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816" w:rsidRDefault="00854816" w:rsidP="00854816">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65pt" o:ole="">
            <v:imagedata r:id="rId8" o:title=""/>
          </v:shape>
          <o:OLEObject Type="Embed" ProgID="Presentations.Drawing.13" ShapeID="_x0000_i1025" DrawAspect="Content" ObjectID="_1569842944" r:id="rId9"/>
        </w:object>
      </w:r>
      <w:r>
        <w:t xml:space="preserve"> </w:t>
      </w:r>
      <w:r>
        <w:ptab w:relativeTo="margin" w:alignment="right" w:leader="none"/>
      </w:r>
    </w:p>
    <w:p w:rsidR="00854816" w:rsidRDefault="00854816" w:rsidP="00854816">
      <w:pPr>
        <w:pStyle w:val="Header"/>
      </w:pPr>
    </w:p>
    <w:p w:rsidR="00854816" w:rsidRPr="001E12E2" w:rsidRDefault="00854816" w:rsidP="00854816">
      <w:pPr>
        <w:jc w:val="center"/>
        <w:rPr>
          <w:b/>
        </w:rPr>
      </w:pPr>
      <w:r w:rsidRPr="001E12E2">
        <w:rPr>
          <w:b/>
        </w:rPr>
        <w:t>COUR SUPRÊME DU CANADA</w:t>
      </w:r>
    </w:p>
    <w:p w:rsidR="00854816" w:rsidRDefault="00854816" w:rsidP="00854816"/>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760"/>
        <w:gridCol w:w="3708"/>
      </w:tblGrid>
      <w:tr w:rsidR="00854816" w:rsidRPr="001E12E2" w:rsidTr="00B54908">
        <w:trPr>
          <w:cantSplit/>
        </w:trPr>
        <w:tc>
          <w:tcPr>
            <w:tcW w:w="5760" w:type="dxa"/>
          </w:tcPr>
          <w:p w:rsidR="00854816" w:rsidRPr="00854816" w:rsidRDefault="00854816" w:rsidP="00B54908">
            <w:pPr>
              <w:rPr>
                <w:lang w:val="fr-CA"/>
              </w:rPr>
            </w:pPr>
            <w:r w:rsidRPr="00854816">
              <w:rPr>
                <w:b/>
                <w:smallCaps/>
                <w:lang w:val="fr-CA"/>
              </w:rPr>
              <w:t>Référence :</w:t>
            </w:r>
            <w:r w:rsidRPr="00854816">
              <w:rPr>
                <w:lang w:val="fr-CA"/>
              </w:rPr>
              <w:t xml:space="preserve"> R. </w:t>
            </w:r>
            <w:r w:rsidRPr="00854816">
              <w:rPr>
                <w:i/>
                <w:lang w:val="fr-CA"/>
              </w:rPr>
              <w:t>c.</w:t>
            </w:r>
            <w:r w:rsidRPr="00854816">
              <w:rPr>
                <w:lang w:val="fr-CA"/>
              </w:rPr>
              <w:t xml:space="preserve"> </w:t>
            </w:r>
            <w:r w:rsidRPr="00854816">
              <w:rPr>
                <w:rStyle w:val="SCCAppellantForIndexChar"/>
                <w:rFonts w:eastAsiaTheme="minorHAnsi"/>
                <w:b w:val="0"/>
                <w:lang w:val="fr-CA"/>
              </w:rPr>
              <w:t>Paterson, 2017 CSC 15</w:t>
            </w:r>
            <w:r>
              <w:rPr>
                <w:rStyle w:val="SCCAppellantForIndexChar"/>
                <w:rFonts w:eastAsiaTheme="minorHAnsi"/>
                <w:b w:val="0"/>
                <w:lang w:val="fr-CA"/>
              </w:rPr>
              <w:t>, [2017] 1 R.C.S. 202</w:t>
            </w:r>
          </w:p>
        </w:tc>
        <w:tc>
          <w:tcPr>
            <w:tcW w:w="3708" w:type="dxa"/>
          </w:tcPr>
          <w:p w:rsidR="00854816" w:rsidRPr="00854816" w:rsidRDefault="00854816" w:rsidP="00B54908">
            <w:pPr>
              <w:rPr>
                <w:lang w:val="fr-CA"/>
              </w:rPr>
            </w:pPr>
            <w:r w:rsidRPr="00854816">
              <w:rPr>
                <w:b/>
                <w:smallCaps/>
                <w:lang w:val="fr-CA"/>
              </w:rPr>
              <w:t>Appel entendu :</w:t>
            </w:r>
            <w:r w:rsidRPr="00854816">
              <w:rPr>
                <w:lang w:val="fr-CA"/>
              </w:rPr>
              <w:t xml:space="preserve"> 2 novembre 2016</w:t>
            </w:r>
          </w:p>
          <w:p w:rsidR="00854816" w:rsidRPr="00854816" w:rsidRDefault="00854816" w:rsidP="00B54908">
            <w:pPr>
              <w:rPr>
                <w:lang w:val="fr-CA"/>
              </w:rPr>
            </w:pPr>
            <w:r w:rsidRPr="00854816">
              <w:rPr>
                <w:b/>
                <w:smallCaps/>
                <w:lang w:val="fr-CA"/>
              </w:rPr>
              <w:t>Jugement rendu :</w:t>
            </w:r>
            <w:r w:rsidRPr="00854816">
              <w:rPr>
                <w:lang w:val="fr-CA"/>
              </w:rPr>
              <w:t xml:space="preserve"> 17 mars 2017</w:t>
            </w:r>
          </w:p>
          <w:p w:rsidR="00854816" w:rsidRPr="001E12E2" w:rsidRDefault="00854816" w:rsidP="00B54908">
            <w:r w:rsidRPr="001E12E2">
              <w:rPr>
                <w:b/>
                <w:smallCaps/>
              </w:rPr>
              <w:t>Do</w:t>
            </w:r>
            <w:r>
              <w:rPr>
                <w:b/>
                <w:smallCaps/>
              </w:rPr>
              <w:t>ssier :</w:t>
            </w:r>
            <w:r w:rsidRPr="001E12E2">
              <w:t xml:space="preserve"> </w:t>
            </w:r>
            <w:r>
              <w:t>36472</w:t>
            </w:r>
          </w:p>
        </w:tc>
      </w:tr>
    </w:tbl>
    <w:p w:rsidR="00854816" w:rsidRPr="001E12E2" w:rsidRDefault="00854816" w:rsidP="00854816"/>
    <w:p w:rsidR="00854816" w:rsidRDefault="00854816" w:rsidP="00854816">
      <w:pPr>
        <w:pStyle w:val="SCCLsocPrefix"/>
      </w:pPr>
      <w:bookmarkStart w:id="0" w:name="_GoBack"/>
      <w:bookmarkEnd w:id="0"/>
      <w:r>
        <w:t>Entre :</w:t>
      </w:r>
    </w:p>
    <w:p w:rsidR="00854816" w:rsidRPr="00561E76" w:rsidRDefault="00854816" w:rsidP="00854816">
      <w:pPr>
        <w:pStyle w:val="SCCLsocParty"/>
        <w:jc w:val="center"/>
      </w:pPr>
      <w:r>
        <w:t>Brendan Paterson</w:t>
      </w:r>
    </w:p>
    <w:p w:rsidR="00854816" w:rsidRDefault="00854816" w:rsidP="00854816">
      <w:pPr>
        <w:jc w:val="center"/>
      </w:pPr>
      <w:r>
        <w:t>Appelant</w:t>
      </w:r>
    </w:p>
    <w:p w:rsidR="00854816" w:rsidRPr="00561E76" w:rsidRDefault="00854816" w:rsidP="00854816">
      <w:pPr>
        <w:jc w:val="center"/>
      </w:pPr>
    </w:p>
    <w:p w:rsidR="00854816" w:rsidRPr="00854816" w:rsidRDefault="00854816" w:rsidP="00854816">
      <w:pPr>
        <w:pStyle w:val="SCCLsocVersus"/>
        <w:spacing w:after="0"/>
        <w:jc w:val="center"/>
        <w:rPr>
          <w:i w:val="0"/>
        </w:rPr>
      </w:pPr>
      <w:r w:rsidRPr="00854816">
        <w:rPr>
          <w:i w:val="0"/>
        </w:rPr>
        <w:t>et</w:t>
      </w:r>
    </w:p>
    <w:p w:rsidR="00854816" w:rsidRPr="00561E76" w:rsidRDefault="00854816" w:rsidP="00854816">
      <w:pPr>
        <w:jc w:val="center"/>
      </w:pPr>
    </w:p>
    <w:p w:rsidR="00854816" w:rsidRPr="00561E76" w:rsidRDefault="00854816" w:rsidP="00854816">
      <w:pPr>
        <w:pStyle w:val="SCCLsocParty"/>
        <w:jc w:val="center"/>
      </w:pPr>
      <w:r>
        <w:t>Sa Majesté la Reine</w:t>
      </w:r>
    </w:p>
    <w:p w:rsidR="00854816" w:rsidRPr="00561E76" w:rsidRDefault="00854816" w:rsidP="00854816">
      <w:pPr>
        <w:jc w:val="center"/>
      </w:pPr>
      <w:r>
        <w:t>Intimée</w:t>
      </w:r>
    </w:p>
    <w:p w:rsidR="00854816" w:rsidRPr="00561E76" w:rsidRDefault="00854816" w:rsidP="00854816">
      <w:pPr>
        <w:jc w:val="center"/>
      </w:pPr>
    </w:p>
    <w:p w:rsidR="00854816" w:rsidRDefault="00854816" w:rsidP="00854816">
      <w:pPr>
        <w:pStyle w:val="SCCLsocOtherPartySeparator"/>
        <w:spacing w:after="0"/>
        <w:jc w:val="center"/>
      </w:pPr>
      <w:r>
        <w:t>- et –</w:t>
      </w:r>
    </w:p>
    <w:p w:rsidR="00854816" w:rsidRPr="00561E76" w:rsidRDefault="00854816" w:rsidP="00854816">
      <w:pPr>
        <w:jc w:val="center"/>
      </w:pPr>
    </w:p>
    <w:p w:rsidR="00854816" w:rsidRPr="00854816" w:rsidRDefault="00854816" w:rsidP="00854816">
      <w:pPr>
        <w:pStyle w:val="SCCLsocParty"/>
        <w:jc w:val="center"/>
        <w:rPr>
          <w:lang w:val="fr-CA"/>
        </w:rPr>
      </w:pPr>
      <w:r w:rsidRPr="00854816">
        <w:rPr>
          <w:lang w:val="fr-CA"/>
        </w:rPr>
        <w:t>Procureur général de l’Ontario, procureur général de l’Alberta et British Columbia Civil Liberties Association</w:t>
      </w:r>
    </w:p>
    <w:p w:rsidR="00854816" w:rsidRPr="00854816" w:rsidRDefault="00854816" w:rsidP="00854816">
      <w:pPr>
        <w:jc w:val="center"/>
        <w:rPr>
          <w:lang w:val="fr-CA"/>
        </w:rPr>
      </w:pPr>
      <w:r w:rsidRPr="00854816">
        <w:rPr>
          <w:lang w:val="fr-CA"/>
        </w:rPr>
        <w:t>Intervenants</w:t>
      </w:r>
    </w:p>
    <w:p w:rsidR="00854816" w:rsidRPr="00854816" w:rsidRDefault="00854816" w:rsidP="00854816">
      <w:pPr>
        <w:rPr>
          <w:lang w:val="fr-CA"/>
        </w:rPr>
      </w:pPr>
    </w:p>
    <w:p w:rsidR="00854816" w:rsidRPr="00854816" w:rsidRDefault="00854816" w:rsidP="00854816">
      <w:pPr>
        <w:rPr>
          <w:lang w:val="fr-CA"/>
        </w:rPr>
      </w:pPr>
    </w:p>
    <w:p w:rsidR="00854816" w:rsidRPr="00854816" w:rsidRDefault="00854816" w:rsidP="00854816">
      <w:pPr>
        <w:jc w:val="center"/>
        <w:rPr>
          <w:b/>
          <w:smallCaps/>
          <w:lang w:val="fr-CA"/>
        </w:rPr>
      </w:pPr>
      <w:r w:rsidRPr="00854816">
        <w:rPr>
          <w:b/>
          <w:smallCaps/>
          <w:lang w:val="fr-CA"/>
        </w:rPr>
        <w:t>Traduction française officielle</w:t>
      </w:r>
    </w:p>
    <w:p w:rsidR="00854816" w:rsidRPr="00854816" w:rsidRDefault="00854816" w:rsidP="00854816">
      <w:pPr>
        <w:rPr>
          <w:lang w:val="fr-CA"/>
        </w:rPr>
      </w:pPr>
    </w:p>
    <w:p w:rsidR="00854816" w:rsidRPr="00854816" w:rsidRDefault="00854816" w:rsidP="00854816">
      <w:pPr>
        <w:rPr>
          <w:lang w:val="fr-CA"/>
        </w:rPr>
      </w:pPr>
      <w:r w:rsidRPr="00854816">
        <w:rPr>
          <w:b/>
          <w:smallCaps/>
          <w:lang w:val="fr-CA"/>
        </w:rPr>
        <w:t>Coram :</w:t>
      </w:r>
      <w:r w:rsidRPr="00854816">
        <w:rPr>
          <w:lang w:val="fr-CA"/>
        </w:rPr>
        <w:t xml:space="preserve"> La juge en chef McLachlin et les juges Abella, Moldaver, Karakatsanis, Wagner, Gascon et Brown</w:t>
      </w:r>
    </w:p>
    <w:p w:rsidR="00854816" w:rsidRPr="00854816" w:rsidRDefault="00854816" w:rsidP="00854816">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54816" w:rsidRPr="00854816" w:rsidTr="00B54908">
        <w:trPr>
          <w:cantSplit/>
          <w:trHeight w:val="1175"/>
        </w:trPr>
        <w:tc>
          <w:tcPr>
            <w:tcW w:w="3618" w:type="dxa"/>
          </w:tcPr>
          <w:p w:rsidR="00854816" w:rsidRPr="00854816" w:rsidRDefault="00854816" w:rsidP="00B54908">
            <w:pPr>
              <w:ind w:left="-58"/>
              <w:rPr>
                <w:b/>
                <w:smallCaps/>
                <w:lang w:val="fr-CA"/>
              </w:rPr>
            </w:pPr>
            <w:r w:rsidRPr="00854816">
              <w:rPr>
                <w:b/>
                <w:smallCaps/>
                <w:lang w:val="fr-CA"/>
              </w:rPr>
              <w:t>Motifs de jugement :</w:t>
            </w:r>
          </w:p>
          <w:p w:rsidR="00854816" w:rsidRPr="00854816" w:rsidRDefault="00854816" w:rsidP="00B54908">
            <w:pPr>
              <w:ind w:left="-58"/>
              <w:rPr>
                <w:lang w:val="fr-CA"/>
              </w:rPr>
            </w:pPr>
            <w:r w:rsidRPr="00854816">
              <w:rPr>
                <w:lang w:val="fr-CA"/>
              </w:rPr>
              <w:t>(par. 1 à 59)</w:t>
            </w:r>
          </w:p>
          <w:p w:rsidR="00854816" w:rsidRPr="00854816" w:rsidRDefault="00854816" w:rsidP="00B54908">
            <w:pPr>
              <w:ind w:left="-58"/>
              <w:rPr>
                <w:lang w:val="fr-CA"/>
              </w:rPr>
            </w:pPr>
          </w:p>
          <w:p w:rsidR="00854816" w:rsidRPr="007E3C13" w:rsidRDefault="00854816" w:rsidP="00B54908">
            <w:pPr>
              <w:ind w:left="-58"/>
              <w:rPr>
                <w:b/>
                <w:smallCaps/>
              </w:rPr>
            </w:pPr>
            <w:r w:rsidRPr="007E3C13">
              <w:rPr>
                <w:b/>
                <w:smallCaps/>
              </w:rPr>
              <w:t>Motifs dissidents :</w:t>
            </w:r>
          </w:p>
          <w:p w:rsidR="00854816" w:rsidRPr="007E3C13" w:rsidRDefault="00854816" w:rsidP="00B54908">
            <w:pPr>
              <w:ind w:left="-58"/>
            </w:pPr>
            <w:r w:rsidRPr="007E3C13">
              <w:t>(par. 60 à 99)</w:t>
            </w:r>
          </w:p>
        </w:tc>
        <w:tc>
          <w:tcPr>
            <w:tcW w:w="5958" w:type="dxa"/>
          </w:tcPr>
          <w:p w:rsidR="00854816" w:rsidRPr="00854816" w:rsidRDefault="00854816" w:rsidP="00B54908">
            <w:pPr>
              <w:rPr>
                <w:lang w:val="fr-CA"/>
              </w:rPr>
            </w:pPr>
            <w:r w:rsidRPr="00854816">
              <w:rPr>
                <w:lang w:val="fr-CA"/>
              </w:rPr>
              <w:t>Le juge Brown (avec l’accord de la juge en chef McLachlin et des juges Abella, Karakatsanis et Wagner)</w:t>
            </w:r>
          </w:p>
          <w:p w:rsidR="00854816" w:rsidRPr="00854816" w:rsidRDefault="00854816" w:rsidP="00B54908">
            <w:pPr>
              <w:rPr>
                <w:lang w:val="fr-CA"/>
              </w:rPr>
            </w:pPr>
          </w:p>
          <w:p w:rsidR="00854816" w:rsidRPr="00854816" w:rsidRDefault="00854816" w:rsidP="00B54908">
            <w:pPr>
              <w:rPr>
                <w:lang w:val="fr-CA"/>
              </w:rPr>
            </w:pPr>
            <w:r w:rsidRPr="00854816">
              <w:rPr>
                <w:lang w:val="fr-CA"/>
              </w:rPr>
              <w:t>Le juge Moldaver (avec l’accord du juge Gascon)</w:t>
            </w:r>
          </w:p>
        </w:tc>
      </w:tr>
    </w:tbl>
    <w:p w:rsidR="00854816" w:rsidRPr="00854816" w:rsidRDefault="00854816" w:rsidP="00854816">
      <w:pPr>
        <w:rPr>
          <w:lang w:val="fr-CA"/>
        </w:rPr>
      </w:pPr>
    </w:p>
    <w:p w:rsidR="00854816" w:rsidRPr="00854816" w:rsidRDefault="00854816" w:rsidP="00854816">
      <w:pPr>
        <w:rPr>
          <w:lang w:val="fr-CA"/>
        </w:rPr>
      </w:pPr>
      <w:r>
        <w:rPr>
          <w:noProof/>
          <w:lang w:val="en-US"/>
        </w:rPr>
        <mc:AlternateContent>
          <mc:Choice Requires="wps">
            <w:drawing>
              <wp:anchor distT="0" distB="0" distL="114300" distR="114300" simplePos="0" relativeHeight="251659264" behindDoc="0" locked="0" layoutInCell="1" allowOverlap="1" wp14:anchorId="4DD177CD" wp14:editId="77EDCC69">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BEFC0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54816" w:rsidRPr="00854816" w:rsidRDefault="00854816" w:rsidP="006534E4">
      <w:pPr>
        <w:widowControl w:val="0"/>
        <w:spacing w:after="720"/>
        <w:jc w:val="both"/>
        <w:rPr>
          <w:rStyle w:val="SCCAppellantForRunningHeadChar"/>
          <w:smallCaps w:val="0"/>
          <w:lang w:val="fr-CA"/>
        </w:rPr>
      </w:pPr>
    </w:p>
    <w:p w:rsidR="00B84FD9" w:rsidRPr="00001C1E" w:rsidRDefault="00001C1E" w:rsidP="006534E4">
      <w:pPr>
        <w:widowControl w:val="0"/>
        <w:spacing w:after="720"/>
        <w:jc w:val="both"/>
        <w:rPr>
          <w:smallCaps/>
          <w:lang w:val="en-US"/>
        </w:rPr>
      </w:pPr>
      <w:r w:rsidRPr="00001C1E">
        <w:rPr>
          <w:rStyle w:val="SCCAppellantForRunningHeadChar"/>
          <w:smallCaps w:val="0"/>
          <w:lang w:val="en-US"/>
        </w:rPr>
        <w:t>R</w:t>
      </w:r>
      <w:r w:rsidR="00B84FD9" w:rsidRPr="00001C1E">
        <w:rPr>
          <w:rStyle w:val="SCCAppellantForRunningHeadChar"/>
          <w:smallCaps w:val="0"/>
          <w:lang w:val="en-US"/>
        </w:rPr>
        <w:t xml:space="preserve">. </w:t>
      </w:r>
      <w:r w:rsidR="00B84FD9" w:rsidRPr="00001C1E">
        <w:rPr>
          <w:rStyle w:val="SCCAppellantForRunningHeadChar"/>
          <w:i/>
          <w:smallCaps w:val="0"/>
          <w:lang w:val="en-US"/>
        </w:rPr>
        <w:t>c.</w:t>
      </w:r>
      <w:r w:rsidR="00B84FD9" w:rsidRPr="00001C1E">
        <w:rPr>
          <w:rStyle w:val="SCCAppellantForRunningHeadChar"/>
          <w:smallCaps w:val="0"/>
          <w:lang w:val="en-US"/>
        </w:rPr>
        <w:t xml:space="preserve"> </w:t>
      </w:r>
      <w:r w:rsidRPr="00001C1E">
        <w:rPr>
          <w:rStyle w:val="SCCAppellantForRunningHeadChar"/>
          <w:smallCaps w:val="0"/>
          <w:lang w:val="en-US"/>
        </w:rPr>
        <w:t>P</w:t>
      </w:r>
      <w:r w:rsidR="00B84FD9" w:rsidRPr="00001C1E">
        <w:rPr>
          <w:rStyle w:val="SCCAppellantForRunningHeadChar"/>
          <w:smallCaps w:val="0"/>
          <w:lang w:val="en-US"/>
        </w:rPr>
        <w:t>aterson</w:t>
      </w:r>
      <w:r w:rsidRPr="00001C1E">
        <w:rPr>
          <w:rStyle w:val="SCCAppellantForRunningHeadChar"/>
          <w:smallCaps w:val="0"/>
          <w:lang w:val="en-US"/>
        </w:rPr>
        <w:t xml:space="preserve">, </w:t>
      </w:r>
      <w:r w:rsidRPr="00001C1E">
        <w:rPr>
          <w:lang w:val="en-US"/>
        </w:rPr>
        <w:t>2017 CSC 15, [2017] 1 R.C.S. 202</w:t>
      </w:r>
    </w:p>
    <w:p w:rsidR="00B84FD9" w:rsidRPr="0053711F" w:rsidRDefault="00B84FD9" w:rsidP="006534E4">
      <w:pPr>
        <w:pStyle w:val="SCCLsocLastPartyInRole"/>
        <w:widowControl w:val="0"/>
        <w:rPr>
          <w:lang w:val="fr-CA"/>
        </w:rPr>
      </w:pPr>
      <w:r w:rsidRPr="0053711F">
        <w:rPr>
          <w:lang w:val="fr-CA"/>
        </w:rPr>
        <w:lastRenderedPageBreak/>
        <w:t>Brendan Paterson</w:t>
      </w:r>
      <w:r w:rsidRPr="0053711F">
        <w:rPr>
          <w:rStyle w:val="SCCLsocPartyRole"/>
          <w:lang w:val="fr-CA"/>
        </w:rPr>
        <w:tab/>
        <w:t>Appelant</w:t>
      </w:r>
    </w:p>
    <w:p w:rsidR="00B84FD9" w:rsidRPr="0053711F" w:rsidRDefault="00B84FD9" w:rsidP="006534E4">
      <w:pPr>
        <w:pStyle w:val="SCCLsocVersus"/>
        <w:widowControl w:val="0"/>
        <w:rPr>
          <w:lang w:val="fr-CA"/>
        </w:rPr>
      </w:pPr>
      <w:r w:rsidRPr="0053711F">
        <w:rPr>
          <w:lang w:val="fr-CA"/>
        </w:rPr>
        <w:t>c.</w:t>
      </w:r>
    </w:p>
    <w:p w:rsidR="00B84FD9" w:rsidRPr="0053711F" w:rsidRDefault="00B84FD9" w:rsidP="006534E4">
      <w:pPr>
        <w:pStyle w:val="SCCLsocLastPartyInRole"/>
        <w:widowControl w:val="0"/>
        <w:rPr>
          <w:lang w:val="fr-CA"/>
        </w:rPr>
      </w:pPr>
      <w:r w:rsidRPr="0053711F">
        <w:rPr>
          <w:lang w:val="fr-CA"/>
        </w:rPr>
        <w:t>Sa Majesté la Reine</w:t>
      </w:r>
      <w:r w:rsidRPr="0053711F">
        <w:rPr>
          <w:rStyle w:val="SCCLsocPartyRole"/>
          <w:lang w:val="fr-CA"/>
        </w:rPr>
        <w:tab/>
        <w:t>Intimée</w:t>
      </w:r>
    </w:p>
    <w:p w:rsidR="00B84FD9" w:rsidRPr="0053711F" w:rsidRDefault="00B84FD9" w:rsidP="006534E4">
      <w:pPr>
        <w:pStyle w:val="SCCLsocOtherPartySeparator"/>
        <w:widowControl w:val="0"/>
        <w:rPr>
          <w:lang w:val="fr-CA"/>
        </w:rPr>
      </w:pPr>
      <w:r w:rsidRPr="0053711F">
        <w:rPr>
          <w:lang w:val="fr-CA"/>
        </w:rPr>
        <w:t>et</w:t>
      </w:r>
    </w:p>
    <w:p w:rsidR="00B84FD9" w:rsidRPr="0053711F" w:rsidRDefault="00B84FD9" w:rsidP="006534E4">
      <w:pPr>
        <w:pStyle w:val="SCCLsocParty"/>
        <w:widowControl w:val="0"/>
        <w:rPr>
          <w:lang w:val="fr-CA"/>
        </w:rPr>
      </w:pPr>
      <w:r w:rsidRPr="0053711F">
        <w:rPr>
          <w:lang w:val="fr-CA"/>
        </w:rPr>
        <w:t xml:space="preserve">Procureur général de l’Ontario, </w:t>
      </w:r>
    </w:p>
    <w:p w:rsidR="00B84FD9" w:rsidRPr="0053711F" w:rsidRDefault="00B84FD9" w:rsidP="006534E4">
      <w:pPr>
        <w:pStyle w:val="SCCLsocParty"/>
        <w:widowControl w:val="0"/>
        <w:rPr>
          <w:lang w:val="fr-CA"/>
        </w:rPr>
      </w:pPr>
      <w:r w:rsidRPr="0053711F">
        <w:rPr>
          <w:lang w:val="fr-CA"/>
        </w:rPr>
        <w:t xml:space="preserve">procureur général de l’Alberta et </w:t>
      </w:r>
    </w:p>
    <w:p w:rsidR="00B84FD9" w:rsidRPr="0053711F" w:rsidRDefault="00B84FD9" w:rsidP="006534E4">
      <w:pPr>
        <w:pStyle w:val="SCCLsocLastPartyInRole"/>
        <w:widowControl w:val="0"/>
        <w:rPr>
          <w:lang w:val="fr-CA"/>
        </w:rPr>
      </w:pPr>
      <w:r w:rsidRPr="0053711F">
        <w:rPr>
          <w:lang w:val="fr-CA"/>
        </w:rPr>
        <w:t>British Columbia Civil Liberties Association</w:t>
      </w:r>
      <w:r w:rsidRPr="0053711F">
        <w:rPr>
          <w:rStyle w:val="SCCLsocPartyRole"/>
          <w:lang w:val="fr-CA"/>
        </w:rPr>
        <w:tab/>
        <w:t>Intervenants</w:t>
      </w:r>
    </w:p>
    <w:p w:rsidR="00B84FD9" w:rsidRPr="0053711F" w:rsidRDefault="00B84FD9" w:rsidP="006534E4">
      <w:pPr>
        <w:widowControl w:val="0"/>
        <w:spacing w:after="720"/>
        <w:jc w:val="both"/>
        <w:rPr>
          <w:b/>
          <w:lang w:val="fr-CA"/>
        </w:rPr>
      </w:pPr>
      <w:r w:rsidRPr="0053711F">
        <w:rPr>
          <w:b/>
          <w:lang w:val="fr-CA"/>
        </w:rPr>
        <w:t xml:space="preserve">Répertorié : R. </w:t>
      </w:r>
      <w:r w:rsidRPr="0053711F">
        <w:rPr>
          <w:b/>
          <w:i/>
          <w:lang w:val="fr-CA"/>
        </w:rPr>
        <w:t>c.</w:t>
      </w:r>
      <w:r w:rsidRPr="0053711F">
        <w:rPr>
          <w:b/>
          <w:lang w:val="fr-CA"/>
        </w:rPr>
        <w:t xml:space="preserve"> </w:t>
      </w:r>
      <w:r w:rsidRPr="0053711F">
        <w:rPr>
          <w:rStyle w:val="SCCAppellantForIndexChar"/>
          <w:lang w:val="fr-CA"/>
        </w:rPr>
        <w:t>Paterson</w:t>
      </w:r>
    </w:p>
    <w:p w:rsidR="00B84FD9" w:rsidRPr="0053711F" w:rsidRDefault="00B84FD9" w:rsidP="006534E4">
      <w:pPr>
        <w:pStyle w:val="SCCSystemYear"/>
        <w:widowControl w:val="0"/>
        <w:spacing w:after="720"/>
        <w:jc w:val="both"/>
        <w:rPr>
          <w:lang w:val="fr-CA"/>
        </w:rPr>
      </w:pPr>
      <w:r w:rsidRPr="0053711F">
        <w:rPr>
          <w:lang w:val="fr-CA"/>
        </w:rPr>
        <w:t>2017 CSC 15</w:t>
      </w:r>
    </w:p>
    <w:p w:rsidR="00B84FD9" w:rsidRPr="0053711F" w:rsidRDefault="00B84FD9" w:rsidP="006534E4">
      <w:pPr>
        <w:widowControl w:val="0"/>
        <w:spacing w:after="720"/>
        <w:jc w:val="both"/>
        <w:rPr>
          <w:lang w:val="fr-CA"/>
        </w:rPr>
      </w:pPr>
      <w:r w:rsidRPr="0053711F">
        <w:rPr>
          <w:lang w:val="fr-CA"/>
        </w:rPr>
        <w:t>N</w:t>
      </w:r>
      <w:r w:rsidRPr="0053711F">
        <w:rPr>
          <w:vertAlign w:val="superscript"/>
          <w:lang w:val="fr-CA"/>
        </w:rPr>
        <w:t>o</w:t>
      </w:r>
      <w:r w:rsidRPr="0053711F">
        <w:rPr>
          <w:lang w:val="fr-CA"/>
        </w:rPr>
        <w:t xml:space="preserve"> du greffe : 36472.</w:t>
      </w:r>
    </w:p>
    <w:p w:rsidR="00B84FD9" w:rsidRPr="0053711F" w:rsidRDefault="00B84FD9" w:rsidP="006534E4">
      <w:pPr>
        <w:widowControl w:val="0"/>
        <w:spacing w:after="720"/>
        <w:jc w:val="both"/>
        <w:rPr>
          <w:lang w:val="fr-CA"/>
        </w:rPr>
      </w:pPr>
      <w:r w:rsidRPr="0053711F">
        <w:rPr>
          <w:lang w:val="fr-CA"/>
        </w:rPr>
        <w:t>2016 : 2 novembre; 2017 : 17 mars.</w:t>
      </w:r>
    </w:p>
    <w:p w:rsidR="00B84FD9" w:rsidRPr="0053711F" w:rsidRDefault="00B84FD9" w:rsidP="006534E4">
      <w:pPr>
        <w:widowControl w:val="0"/>
        <w:spacing w:after="720"/>
        <w:jc w:val="both"/>
        <w:rPr>
          <w:lang w:val="fr-CA"/>
        </w:rPr>
      </w:pPr>
      <w:r w:rsidRPr="0053711F">
        <w:rPr>
          <w:lang w:val="fr-CA"/>
        </w:rPr>
        <w:t>Présents : La juge en chef McLachlin et les juges Abella, Moldaver, Karakatsanis, Wagner, Gascon et Brown.</w:t>
      </w:r>
    </w:p>
    <w:p w:rsidR="00B84FD9" w:rsidRPr="0053711F" w:rsidRDefault="00B84FD9" w:rsidP="006534E4">
      <w:pPr>
        <w:widowControl w:val="0"/>
        <w:spacing w:after="720"/>
        <w:jc w:val="both"/>
        <w:rPr>
          <w:smallCaps/>
          <w:lang w:val="fr-CA"/>
        </w:rPr>
      </w:pPr>
      <w:r w:rsidRPr="0053711F">
        <w:rPr>
          <w:smallCaps/>
          <w:lang w:val="fr-CA"/>
        </w:rPr>
        <w:t>en appel de la cour d’appel de la colombie</w:t>
      </w:r>
      <w:r w:rsidRPr="0053711F">
        <w:rPr>
          <w:smallCaps/>
          <w:lang w:val="fr-CA"/>
        </w:rPr>
        <w:noBreakHyphen/>
        <w:t>britannique</w:t>
      </w:r>
    </w:p>
    <w:p w:rsidR="00B84FD9" w:rsidRPr="0053711F" w:rsidRDefault="00B84FD9" w:rsidP="006534E4">
      <w:pPr>
        <w:pStyle w:val="SCCNormalDoubleSpacing"/>
        <w:widowControl w:val="0"/>
        <w:spacing w:before="240" w:after="480"/>
        <w:rPr>
          <w:i/>
          <w:lang w:val="fr-CA"/>
        </w:rPr>
      </w:pPr>
      <w:r w:rsidRPr="0053711F">
        <w:rPr>
          <w:lang w:val="fr-CA"/>
        </w:rPr>
        <w:tab/>
      </w:r>
      <w:r w:rsidRPr="0053711F">
        <w:rPr>
          <w:i/>
          <w:lang w:val="fr-CA"/>
        </w:rPr>
        <w:t>Droit constitutionnel — Charte des droits — Fouilles, perquisitions et saisies — Exclusion de la preuve — Accusé ayant avoué aux policiers avoir de la marihuana chez lui — Accusé ayant autorisé les policiers à saisir des mégots après que ces derniers lui eurent dit qu’ils effectueraient une saisie « sans poursuite » — Entrée sans mandat ayant permis aux policiers de constater la présence d’autres drogues et d’</w:t>
      </w:r>
      <w:r>
        <w:rPr>
          <w:i/>
          <w:lang w:val="fr-CA"/>
        </w:rPr>
        <w:t xml:space="preserve">une </w:t>
      </w:r>
      <w:r w:rsidRPr="0053711F">
        <w:rPr>
          <w:i/>
          <w:lang w:val="fr-CA"/>
        </w:rPr>
        <w:t>arme à feu dans la résidence puis ayant entraîné l’arrestation de l’accusé — L’</w:t>
      </w:r>
      <w:r>
        <w:rPr>
          <w:i/>
          <w:lang w:val="fr-CA"/>
        </w:rPr>
        <w:t>« </w:t>
      </w:r>
      <w:r w:rsidRPr="0053711F">
        <w:rPr>
          <w:i/>
          <w:lang w:val="fr-CA"/>
        </w:rPr>
        <w:t>urgence de la situation</w:t>
      </w:r>
      <w:r>
        <w:rPr>
          <w:i/>
          <w:lang w:val="fr-CA"/>
        </w:rPr>
        <w:t> »</w:t>
      </w:r>
      <w:r w:rsidRPr="0053711F">
        <w:rPr>
          <w:i/>
          <w:lang w:val="fr-CA"/>
        </w:rPr>
        <w:t xml:space="preserve">, au sens </w:t>
      </w:r>
      <w:r w:rsidR="00D65298">
        <w:rPr>
          <w:i/>
          <w:lang w:val="fr-CA"/>
        </w:rPr>
        <w:t>de l’art.</w:t>
      </w:r>
      <w:r w:rsidRPr="0053711F">
        <w:rPr>
          <w:i/>
          <w:lang w:val="fr-CA"/>
        </w:rPr>
        <w:t xml:space="preserve"> 11(7) de la Loi réglementant certaines drogues et autres substances, a-t-elle rendu </w:t>
      </w:r>
      <w:r>
        <w:rPr>
          <w:i/>
          <w:lang w:val="fr-CA"/>
        </w:rPr>
        <w:t>« </w:t>
      </w:r>
      <w:r w:rsidRPr="0053711F">
        <w:rPr>
          <w:i/>
          <w:lang w:val="fr-CA"/>
        </w:rPr>
        <w:t>difficilement réalisable</w:t>
      </w:r>
      <w:r>
        <w:rPr>
          <w:i/>
          <w:lang w:val="fr-CA"/>
        </w:rPr>
        <w:t> »</w:t>
      </w:r>
      <w:r w:rsidRPr="0053711F">
        <w:rPr>
          <w:i/>
          <w:lang w:val="fr-CA"/>
        </w:rPr>
        <w:t xml:space="preserve"> l’obtention d’un mandat avant l’entrée et la perquisition dans la résidence? — Y a-t-il eu atteinte au droit constitutionnel de l’accusé à la protection contre les fouilles, les perquisitions et les saisies abusives? — Dans l’affirmative, la preuve recueillie grâce à l’entrée et à la perquisition sans mandat devrait-elle être écartée? — Loi réglementant certaines drogues et autres substances, L.C. 1996, c. 19, art. 11(7) — Charte canadienne des droits et libertés, art. 8, 24(2).</w:t>
      </w:r>
    </w:p>
    <w:p w:rsidR="00B84FD9" w:rsidRPr="0053711F" w:rsidRDefault="00B84FD9" w:rsidP="006534E4">
      <w:pPr>
        <w:pStyle w:val="SCCNormalDoubleSpacing"/>
        <w:widowControl w:val="0"/>
        <w:spacing w:before="240" w:after="480"/>
        <w:rPr>
          <w:i/>
          <w:lang w:val="fr-CA"/>
        </w:rPr>
      </w:pPr>
      <w:r w:rsidRPr="0053711F">
        <w:rPr>
          <w:i/>
          <w:lang w:val="fr-CA"/>
        </w:rPr>
        <w:tab/>
        <w:t>Droit criminel — Preuve — Admissibilité — Voir</w:t>
      </w:r>
      <w:r>
        <w:rPr>
          <w:i/>
          <w:lang w:val="fr-CA"/>
        </w:rPr>
        <w:noBreakHyphen/>
      </w:r>
      <w:r w:rsidRPr="0053711F">
        <w:rPr>
          <w:i/>
          <w:lang w:val="fr-CA"/>
        </w:rPr>
        <w:t xml:space="preserve">dire — Accusé ayant avoué aux policiers avoir de la marihuana chez lui — Le ministère public était-il tenu de prouver </w:t>
      </w:r>
      <w:r w:rsidRPr="0053711F">
        <w:rPr>
          <w:i/>
          <w:noProof/>
          <w:szCs w:val="24"/>
          <w:lang w:val="fr-CA"/>
        </w:rPr>
        <w:t>le caractère volontaire de la déclaration de l’accusé pour que celle</w:t>
      </w:r>
      <w:r w:rsidRPr="0053711F">
        <w:rPr>
          <w:i/>
          <w:noProof/>
          <w:szCs w:val="24"/>
          <w:lang w:val="fr-CA"/>
        </w:rPr>
        <w:noBreakHyphen/>
        <w:t>ci puisse être admise en preuve lors du voir</w:t>
      </w:r>
      <w:r w:rsidRPr="0053711F">
        <w:rPr>
          <w:i/>
          <w:noProof/>
          <w:szCs w:val="24"/>
          <w:lang w:val="fr-CA"/>
        </w:rPr>
        <w:noBreakHyphen/>
        <w:t xml:space="preserve">dire </w:t>
      </w:r>
      <w:r w:rsidRPr="0053711F">
        <w:rPr>
          <w:i/>
          <w:lang w:val="fr-CA"/>
        </w:rPr>
        <w:t>tenu sur la légalité de l’entrée et de la perquisition chez l’accusé? — L</w:t>
      </w:r>
      <w:r w:rsidRPr="0053711F">
        <w:rPr>
          <w:i/>
          <w:szCs w:val="24"/>
          <w:lang w:val="fr-CA"/>
        </w:rPr>
        <w:t>a règle des confessions de la common law devrait</w:t>
      </w:r>
      <w:r w:rsidRPr="0053711F">
        <w:rPr>
          <w:i/>
          <w:szCs w:val="24"/>
          <w:lang w:val="fr-CA"/>
        </w:rPr>
        <w:noBreakHyphen/>
        <w:t>elle s’appliquer aux déclarations considérées lors d’un voir</w:t>
      </w:r>
      <w:r w:rsidRPr="0053711F">
        <w:rPr>
          <w:i/>
          <w:szCs w:val="24"/>
          <w:lang w:val="fr-CA"/>
        </w:rPr>
        <w:noBreakHyphen/>
        <w:t>dire constitutionnel?</w:t>
      </w:r>
    </w:p>
    <w:p w:rsidR="00B84FD9" w:rsidRPr="0053711F" w:rsidRDefault="00B84FD9" w:rsidP="006534E4">
      <w:pPr>
        <w:pStyle w:val="SCCNormalDoubleSpacing"/>
        <w:widowControl w:val="0"/>
        <w:spacing w:before="240" w:after="480"/>
        <w:rPr>
          <w:lang w:val="fr-CA"/>
        </w:rPr>
      </w:pPr>
      <w:r w:rsidRPr="0053711F">
        <w:rPr>
          <w:lang w:val="fr-CA"/>
        </w:rPr>
        <w:tab/>
        <w:t>Le litige fait suite à l’entrée sans mandat des policiers chez l’accusé, P, après que celui</w:t>
      </w:r>
      <w:r w:rsidRPr="0053711F">
        <w:rPr>
          <w:lang w:val="fr-CA"/>
        </w:rPr>
        <w:noBreakHyphen/>
        <w:t>ci eut accepté de leur remettre quelques mégots de marihuana. Les policiers ont dit à P qu’ils allaient</w:t>
      </w:r>
      <w:r>
        <w:rPr>
          <w:lang w:val="fr-CA"/>
        </w:rPr>
        <w:t xml:space="preserve"> </w:t>
      </w:r>
      <w:r w:rsidRPr="0053711F">
        <w:rPr>
          <w:lang w:val="fr-CA"/>
        </w:rPr>
        <w:t>effectuer une saisie « sans poursuite », c’est</w:t>
      </w:r>
      <w:r w:rsidRPr="0053711F">
        <w:rPr>
          <w:lang w:val="fr-CA"/>
        </w:rPr>
        <w:noBreakHyphen/>
        <w:t>à</w:t>
      </w:r>
      <w:r w:rsidRPr="0053711F">
        <w:rPr>
          <w:lang w:val="fr-CA"/>
        </w:rPr>
        <w:noBreakHyphen/>
        <w:t>dire qu’ils saisiraient les mégots et qu’aucune accusation ne serait portée contre lui. Une fois à l’intérieur, ils ont constaté la présence d’un gilet pare</w:t>
      </w:r>
      <w:r w:rsidRPr="0053711F">
        <w:rPr>
          <w:lang w:val="fr-CA"/>
        </w:rPr>
        <w:noBreakHyphen/>
        <w:t>balles, d’une arme à feu et de drogues. Ils ont arrêté P puis obtenu un télémandat les autorisant à perquisitionner l’appartement, ce qui a mené à la découverte d’autres armes à feu et d’autres drogues, puis à la formulation d’accusations. À l’issue de son procès, P a été déclaré coupable des infractions reprochées. La Cour d’appel de la Colombie</w:t>
      </w:r>
      <w:r w:rsidRPr="0053711F">
        <w:rPr>
          <w:lang w:val="fr-CA"/>
        </w:rPr>
        <w:noBreakHyphen/>
        <w:t>Britannique a confirmé les déclarations de culpabilité. Elle a rejeté la thèse de P selon laquelle la règle des confessions de la common law aurait dû, lors du voir</w:t>
      </w:r>
      <w:r w:rsidRPr="0053711F">
        <w:rPr>
          <w:lang w:val="fr-CA"/>
        </w:rPr>
        <w:noBreakHyphen/>
        <w:t>dire, faire obstacle à l’admission de sa déclaration relative aux mégots puisque le ministère public n’avait pas prouvé son caractère volontaire hors de tout doute raisonnable.</w:t>
      </w:r>
    </w:p>
    <w:p w:rsidR="00B84FD9" w:rsidRPr="0053711F" w:rsidRDefault="00B84FD9" w:rsidP="006534E4">
      <w:pPr>
        <w:pStyle w:val="SCCNormalDoubleSpacing"/>
        <w:widowControl w:val="0"/>
        <w:spacing w:after="480"/>
        <w:rPr>
          <w:lang w:val="fr-CA"/>
        </w:rPr>
      </w:pPr>
      <w:r w:rsidRPr="0053711F">
        <w:rPr>
          <w:lang w:val="fr-CA"/>
        </w:rPr>
        <w:tab/>
      </w:r>
      <w:r w:rsidRPr="0053711F">
        <w:rPr>
          <w:i/>
          <w:lang w:val="fr-CA"/>
        </w:rPr>
        <w:t>Arrêt</w:t>
      </w:r>
      <w:r w:rsidRPr="0053711F">
        <w:rPr>
          <w:lang w:val="fr-CA"/>
        </w:rPr>
        <w:t xml:space="preserve"> (les juges Moldaver et Gascon sont dissidents) : Le pourvoi est accueilli, les déclarations de culpabilité sont annulées et des acquittements sont inscrits.</w:t>
      </w:r>
    </w:p>
    <w:p w:rsidR="00B84FD9" w:rsidRPr="0053711F" w:rsidRDefault="00B84FD9" w:rsidP="006534E4">
      <w:pPr>
        <w:pStyle w:val="SCCNormalDoubleSpacing"/>
        <w:widowControl w:val="0"/>
        <w:spacing w:after="480"/>
        <w:rPr>
          <w:lang w:val="fr-CA"/>
        </w:rPr>
      </w:pPr>
      <w:r w:rsidRPr="0053711F">
        <w:rPr>
          <w:lang w:val="fr-CA"/>
        </w:rPr>
        <w:tab/>
      </w:r>
      <w:r w:rsidRPr="0053711F">
        <w:rPr>
          <w:i/>
          <w:lang w:val="fr-CA"/>
        </w:rPr>
        <w:t>La</w:t>
      </w:r>
      <w:r w:rsidRPr="0053711F">
        <w:rPr>
          <w:lang w:val="fr-CA"/>
        </w:rPr>
        <w:t xml:space="preserve"> juge en chef McLachlin et les juges Abella, Karakatsanis, Wagner et </w:t>
      </w:r>
      <w:r w:rsidRPr="00D65298">
        <w:rPr>
          <w:lang w:val="fr-CA"/>
        </w:rPr>
        <w:t>Brown</w:t>
      </w:r>
      <w:r w:rsidRPr="0053711F">
        <w:rPr>
          <w:lang w:val="fr-CA"/>
        </w:rPr>
        <w:t> : L</w:t>
      </w:r>
      <w:r w:rsidRPr="0053711F">
        <w:rPr>
          <w:szCs w:val="24"/>
          <w:lang w:val="fr-CA"/>
        </w:rPr>
        <w:t>a portée de la règle des confessions ne devrait pas être accrue de manière que la règle s’applique aux déclarations considérées lors d’un voir</w:t>
      </w:r>
      <w:r w:rsidRPr="0053711F">
        <w:rPr>
          <w:szCs w:val="24"/>
          <w:lang w:val="fr-CA"/>
        </w:rPr>
        <w:noBreakHyphen/>
        <w:t>dire constitutionnel. L</w:t>
      </w:r>
      <w:r w:rsidRPr="0053711F">
        <w:rPr>
          <w:lang w:val="fr-CA"/>
        </w:rPr>
        <w:t xml:space="preserve">e ministère public doit prouver le caractère volontaire de la déclaration d’un accusé avant de l’invoquer au procès pour obtenir une déclaration de culpabilité. L’objet de l’examen auquel se livre le tribunal lors </w:t>
      </w:r>
      <w:r w:rsidRPr="0053711F">
        <w:rPr>
          <w:szCs w:val="24"/>
          <w:lang w:val="fr-CA"/>
        </w:rPr>
        <w:t>d’un voir</w:t>
      </w:r>
      <w:r w:rsidRPr="0053711F">
        <w:rPr>
          <w:szCs w:val="24"/>
          <w:lang w:val="fr-CA"/>
        </w:rPr>
        <w:noBreakHyphen/>
        <w:t xml:space="preserve">dire constitutionnel </w:t>
      </w:r>
      <w:r w:rsidRPr="0053711F">
        <w:rPr>
          <w:lang w:val="fr-CA"/>
        </w:rPr>
        <w:t>se distingue de celui d’un procès criminel, lequel se soucie de la culpabilité ou de la non</w:t>
      </w:r>
      <w:r w:rsidRPr="0053711F">
        <w:rPr>
          <w:lang w:val="fr-CA"/>
        </w:rPr>
        <w:noBreakHyphen/>
        <w:t>culpabilité de la personne accusée d’une infraction, alors que le voir</w:t>
      </w:r>
      <w:r w:rsidRPr="0053711F">
        <w:rPr>
          <w:lang w:val="fr-CA"/>
        </w:rPr>
        <w:noBreakHyphen/>
        <w:t xml:space="preserve">dire </w:t>
      </w:r>
      <w:r w:rsidRPr="0053711F">
        <w:rPr>
          <w:szCs w:val="24"/>
          <w:lang w:val="fr-CA"/>
        </w:rPr>
        <w:t>constitutionnel ne s’attache pas à la culpabilité de l’accusé, mais plutôt au respect ou non de ses droits</w:t>
      </w:r>
      <w:r w:rsidRPr="0053711F">
        <w:rPr>
          <w:lang w:val="fr-CA"/>
        </w:rPr>
        <w:t xml:space="preserve"> constitutionnels. Le voir</w:t>
      </w:r>
      <w:r w:rsidRPr="0053711F">
        <w:rPr>
          <w:lang w:val="fr-CA"/>
        </w:rPr>
        <w:noBreakHyphen/>
        <w:t xml:space="preserve">dire </w:t>
      </w:r>
      <w:r w:rsidRPr="0053711F">
        <w:rPr>
          <w:szCs w:val="24"/>
          <w:lang w:val="fr-CA"/>
        </w:rPr>
        <w:t>constitutionnel</w:t>
      </w:r>
      <w:r w:rsidRPr="0053711F">
        <w:rPr>
          <w:lang w:val="fr-CA"/>
        </w:rPr>
        <w:t xml:space="preserve"> suppose donc l’analyse de la totalité des circonstances connues du représentant de l’État et sur lesquelles ce dernier s’est fondé au moment de prendre la mesure en cause. S</w:t>
      </w:r>
      <w:r w:rsidRPr="0053711F">
        <w:rPr>
          <w:szCs w:val="24"/>
          <w:lang w:val="fr-CA"/>
        </w:rPr>
        <w:t>euls sont considérés l’état d’esprit et la conduite du représentant de l’État à ce moment précis. La véracité de la déclaration à partir de laquelle il a agi ne l’est pas. C’est pourquoi la véracité d’une déclaration</w:t>
      </w:r>
      <w:r w:rsidRPr="0053711F">
        <w:rPr>
          <w:lang w:val="fr-CA"/>
        </w:rPr>
        <w:t xml:space="preserve"> n’a pas d’incidence sur son admissibilité; l’examen s’attache plutôt à la question de savoir s’il était raisonnable que le représentant de l’État voie dans la déclaration un motif justifiant la mesure. L</w:t>
      </w:r>
      <w:r w:rsidRPr="0053711F">
        <w:rPr>
          <w:szCs w:val="24"/>
          <w:lang w:val="fr-CA"/>
        </w:rPr>
        <w:t>’admission en preuve de la déclaration d’un accusé afin de statuer sur la constitutionnalité d’une mesure de l’État, et non sur la culpabilité de l’accusé, ne fait pas entrer en jeu la raison d’être de la règle des confessions. Appliquer cette règle aux éléments de preuve présentés lors d’un voir</w:t>
      </w:r>
      <w:r w:rsidRPr="0053711F">
        <w:rPr>
          <w:szCs w:val="24"/>
          <w:lang w:val="fr-CA"/>
        </w:rPr>
        <w:noBreakHyphen/>
        <w:t>dire constitutionnel reviendrait à dénaturer aussi bien la règle que sa raison d’être. Pareille application paralyserait l</w:t>
      </w:r>
      <w:r w:rsidRPr="0053711F">
        <w:rPr>
          <w:lang w:val="fr-CA"/>
        </w:rPr>
        <w:t>es enquêtes policières et compromettrait la sécurité publique, sans compter que la durée et la complexité des voir</w:t>
      </w:r>
      <w:r w:rsidRPr="0053711F">
        <w:rPr>
          <w:lang w:val="fr-CA"/>
        </w:rPr>
        <w:noBreakHyphen/>
        <w:t xml:space="preserve">dire s’accroîtraient inutilement. </w:t>
      </w:r>
    </w:p>
    <w:p w:rsidR="00B84FD9" w:rsidRPr="0053711F" w:rsidRDefault="00B84FD9" w:rsidP="006534E4">
      <w:pPr>
        <w:pStyle w:val="SCCNormalDoubleSpacing"/>
        <w:widowControl w:val="0"/>
        <w:spacing w:after="480"/>
        <w:rPr>
          <w:noProof/>
          <w:szCs w:val="24"/>
          <w:lang w:val="fr-CA"/>
        </w:rPr>
      </w:pPr>
      <w:r w:rsidRPr="0053711F">
        <w:rPr>
          <w:lang w:val="fr-CA"/>
        </w:rPr>
        <w:tab/>
        <w:t>L</w:t>
      </w:r>
      <w:r w:rsidRPr="0053711F">
        <w:rPr>
          <w:noProof/>
          <w:szCs w:val="24"/>
          <w:lang w:val="fr-CA"/>
        </w:rPr>
        <w:t xml:space="preserve">’entrée sans mandat des policiers chez P n’était pas justifiée par une « urgence de la situation » qui rendait « difficilement réalisable » l’obtention d’un mandat au sens du par. 11(7) de la </w:t>
      </w:r>
      <w:r w:rsidRPr="0053711F">
        <w:rPr>
          <w:i/>
          <w:lang w:val="fr-CA"/>
        </w:rPr>
        <w:t>Loi réglementant certaines drogues et autres substances</w:t>
      </w:r>
      <w:r w:rsidRPr="0053711F">
        <w:rPr>
          <w:lang w:val="fr-CA"/>
        </w:rPr>
        <w:t xml:space="preserve"> (« </w:t>
      </w:r>
      <w:r w:rsidRPr="0053711F">
        <w:rPr>
          <w:i/>
          <w:lang w:val="fr-CA"/>
        </w:rPr>
        <w:t>LRCDAS </w:t>
      </w:r>
      <w:r w:rsidRPr="0053711F">
        <w:rPr>
          <w:lang w:val="fr-CA"/>
        </w:rPr>
        <w:t xml:space="preserve">»). Elle a donc porté atteinte au droit de P garanti à l’art. 8 de la </w:t>
      </w:r>
      <w:r w:rsidRPr="0053711F">
        <w:rPr>
          <w:i/>
          <w:lang w:val="fr-CA"/>
        </w:rPr>
        <w:t>Charte</w:t>
      </w:r>
      <w:r w:rsidRPr="0053711F">
        <w:rPr>
          <w:lang w:val="fr-CA"/>
        </w:rPr>
        <w:t>. L</w:t>
      </w:r>
      <w:r w:rsidRPr="0053711F">
        <w:rPr>
          <w:noProof/>
          <w:szCs w:val="24"/>
          <w:lang w:val="fr-CA"/>
        </w:rPr>
        <w:t>’« urgence de la situation » ne renvoie pas seulement à la commodité, à l’opportunité ou à l’économie de temps, mais bien à l’existence de circonstances pressantes. L</w:t>
      </w:r>
      <w:r w:rsidRPr="0053711F">
        <w:rPr>
          <w:noProof/>
          <w:lang w:val="fr-CA"/>
        </w:rPr>
        <w:t>’urgence de la situation ne justifie pas à elle seule la perquisition sans mandat d’une résidence sur le fondement du par. 11(7). Elle doit rendre l’obtention d’un mandat « </w:t>
      </w:r>
      <w:r w:rsidRPr="0053711F">
        <w:rPr>
          <w:noProof/>
          <w:szCs w:val="24"/>
          <w:lang w:val="fr-CA"/>
        </w:rPr>
        <w:t>difficilement réalisable ». P</w:t>
      </w:r>
      <w:r w:rsidRPr="0053711F">
        <w:rPr>
          <w:noProof/>
          <w:lang w:val="fr-CA"/>
        </w:rPr>
        <w:t>our que l’entrée sans mandat réponde aux exigences du par. 11(7), le ministère public doit démontrer qu’elle s’imposait en raison du caractère pressant de la situation, que les policiers se devaient d’intervenir sans délai soit pour préserver la preuve, soit pour assurer leur sécurité ou celle du public. De plus, ce caractère pressant doit avoir été tel que prendre le temps d’obtenir un mandat aurait sérieusement compromis ces impératifs</w:t>
      </w:r>
      <w:r w:rsidRPr="0053711F">
        <w:rPr>
          <w:noProof/>
          <w:szCs w:val="24"/>
          <w:lang w:val="fr-CA"/>
        </w:rPr>
        <w:t>.</w:t>
      </w:r>
    </w:p>
    <w:p w:rsidR="00B84FD9" w:rsidRPr="0053711F" w:rsidRDefault="00B84FD9" w:rsidP="006534E4">
      <w:pPr>
        <w:pStyle w:val="SCCNormalDoubleSpacing"/>
        <w:widowControl w:val="0"/>
        <w:spacing w:after="480"/>
        <w:rPr>
          <w:noProof/>
          <w:szCs w:val="24"/>
          <w:lang w:val="fr-CA"/>
        </w:rPr>
      </w:pPr>
      <w:r w:rsidRPr="0053711F">
        <w:rPr>
          <w:noProof/>
          <w:szCs w:val="24"/>
          <w:lang w:val="fr-CA"/>
        </w:rPr>
        <w:tab/>
        <w:t>Aucune circonstance pressante ne commandait en l’espèce une intervention immédiate pour préserver la preuve. Qui plus est, les circonstances dans lesquelles P a reconnu avoir en sa possession quelques mégots en partie consumés, jumelées à la volonté des policiers de saisir ces mégots sans poursuite, n’ont pas non plus rendu l’obtention d’un mandat difficilement réalisable. C’est le caractère difficilement réalisable, non le caractère seulement inconvénient, qui satisfait à l’exigence du par. 11(7). Dans la présente affaire, les policiers auraient pu opter pour une mesure réalisable, soit arrêter P et obtenir un mandat les autorisant à entrer chez lui et saisir les mégots. Si la situation n’était pas suffisamment grave pour arrêter P et obtenir un mandat, elle ne l’était pas non plus pour entrer sans mandat dans une résidence privée. En outre, la crainte liée à la sécurité des policiers n’est pas à l’origine de la décision d’entrer sans mandat; c’est plutôt l’entrée sans mandat qui a fait naître cette crainte.</w:t>
      </w:r>
    </w:p>
    <w:p w:rsidR="00B84FD9" w:rsidRPr="0053711F" w:rsidRDefault="00B84FD9" w:rsidP="006534E4">
      <w:pPr>
        <w:pStyle w:val="SCCNormalDoubleSpacing"/>
        <w:widowControl w:val="0"/>
        <w:spacing w:after="480"/>
        <w:rPr>
          <w:noProof/>
          <w:lang w:val="fr-CA"/>
        </w:rPr>
      </w:pPr>
      <w:r w:rsidRPr="0053711F">
        <w:rPr>
          <w:noProof/>
          <w:szCs w:val="24"/>
          <w:lang w:val="fr-CA"/>
        </w:rPr>
        <w:tab/>
        <w:t xml:space="preserve">Il convient d’écarter, sous le régime du par. 24(2) de la </w:t>
      </w:r>
      <w:r w:rsidRPr="0053711F">
        <w:rPr>
          <w:i/>
          <w:noProof/>
          <w:szCs w:val="24"/>
          <w:lang w:val="fr-CA"/>
        </w:rPr>
        <w:t>Charte</w:t>
      </w:r>
      <w:r w:rsidRPr="0053711F">
        <w:rPr>
          <w:noProof/>
          <w:szCs w:val="24"/>
          <w:lang w:val="fr-CA"/>
        </w:rPr>
        <w:t xml:space="preserve">, les éléments de preuve obtenus grâce à l’entrée chez P et à la perquisition des lieux, car leur utilisation est susceptible de déconsidérer l’administration de la justice. Sans être flagrante, la conduite des policiers dénote un écart marqué à une norme constitutionnelle bien établie. </w:t>
      </w:r>
      <w:r w:rsidRPr="0053711F">
        <w:rPr>
          <w:noProof/>
          <w:lang w:val="fr-CA"/>
        </w:rPr>
        <w:t>Les policiers ne sont pas intervenus dans un contexte juridique inconnu : leur intention d’effectuer une saisie « sans poursuite » importait peu en droit compte tenu des principes juridiques bien établis qui régissent le pouvoir des policiers d’entrer sans mandat dans une résidence. La mise en balance des facteurs pertinents, à savoir la gravité de la conduite de l’État, la gravité de l’atteinte à un droit constitutionnel et l’incidence sur l’intérêt de la société dans l’instruction de l’affaire au fond, ne constituera jamais une entreprise tout à fait objective. La destruction concrète de la preuve du ministère public pèse fortement dans la balance, mais il en va de même de l’</w:t>
      </w:r>
      <w:r w:rsidRPr="0053711F">
        <w:rPr>
          <w:noProof/>
          <w:szCs w:val="24"/>
          <w:lang w:val="fr-CA"/>
        </w:rPr>
        <w:t>entrée sans mandat dans une résidence privée</w:t>
      </w:r>
      <w:r w:rsidRPr="0053711F">
        <w:rPr>
          <w:noProof/>
          <w:lang w:val="fr-CA"/>
        </w:rPr>
        <w:t xml:space="preserve"> afin d’empêcher P de détruire trois mégots que les policiers comptaient de toute façon détruire. Il importe de ne pas permettre que le troisième facteur </w:t>
      </w:r>
      <w:r w:rsidRPr="0053711F">
        <w:rPr>
          <w:lang w:val="fr-CA"/>
        </w:rPr>
        <w:t xml:space="preserve">— </w:t>
      </w:r>
      <w:r w:rsidRPr="0053711F">
        <w:rPr>
          <w:noProof/>
          <w:lang w:val="fr-CA"/>
        </w:rPr>
        <w:t xml:space="preserve">l’intérêt de la société dans l’instruction de l’affaire au fond </w:t>
      </w:r>
      <w:r w:rsidRPr="0053711F">
        <w:rPr>
          <w:lang w:val="fr-CA"/>
        </w:rPr>
        <w:t>—</w:t>
      </w:r>
      <w:r w:rsidRPr="0053711F">
        <w:rPr>
          <w:noProof/>
          <w:lang w:val="fr-CA"/>
        </w:rPr>
        <w:t xml:space="preserve"> l’emporte sur toutes les autres considérations, surtout lorsque</w:t>
      </w:r>
      <w:r>
        <w:rPr>
          <w:noProof/>
          <w:lang w:val="fr-CA"/>
        </w:rPr>
        <w:t>,</w:t>
      </w:r>
      <w:r w:rsidRPr="0053711F">
        <w:rPr>
          <w:noProof/>
          <w:lang w:val="fr-CA"/>
        </w:rPr>
        <w:t xml:space="preserve"> comme en l’espèce</w:t>
      </w:r>
      <w:r>
        <w:rPr>
          <w:noProof/>
          <w:lang w:val="fr-CA"/>
        </w:rPr>
        <w:t>,</w:t>
      </w:r>
      <w:r w:rsidRPr="0053711F">
        <w:rPr>
          <w:noProof/>
          <w:lang w:val="fr-CA"/>
        </w:rPr>
        <w:t xml:space="preserve"> la conduite reprochée est grave et a une grande incidence sur un droit constitutionnel de P. </w:t>
      </w:r>
      <w:r w:rsidRPr="0053711F">
        <w:rPr>
          <w:noProof/>
          <w:szCs w:val="24"/>
          <w:lang w:val="fr-CA"/>
        </w:rPr>
        <w:t xml:space="preserve">Après examen de ces facteurs séparément puis dans leur ensemble, </w:t>
      </w:r>
      <w:r w:rsidRPr="0053711F">
        <w:rPr>
          <w:noProof/>
          <w:lang w:val="fr-CA"/>
        </w:rPr>
        <w:t>l’importance de faire en sorte que pareille conduite ne soit pas cautionnée par les tribunaux milite en faveur de l’exclusion de la preuve.</w:t>
      </w:r>
    </w:p>
    <w:p w:rsidR="00B84FD9" w:rsidRPr="0053711F" w:rsidRDefault="00B84FD9" w:rsidP="006534E4">
      <w:pPr>
        <w:pStyle w:val="SCCNormalDoubleSpacing"/>
        <w:widowControl w:val="0"/>
        <w:spacing w:after="480"/>
        <w:rPr>
          <w:szCs w:val="24"/>
          <w:lang w:val="fr-CA"/>
        </w:rPr>
      </w:pPr>
      <w:r w:rsidRPr="0053711F">
        <w:rPr>
          <w:i/>
          <w:noProof/>
          <w:lang w:val="fr-CA"/>
        </w:rPr>
        <w:tab/>
        <w:t>Les</w:t>
      </w:r>
      <w:r w:rsidRPr="0053711F">
        <w:rPr>
          <w:noProof/>
          <w:lang w:val="fr-CA"/>
        </w:rPr>
        <w:t xml:space="preserve"> juges </w:t>
      </w:r>
      <w:r w:rsidRPr="00D65298">
        <w:rPr>
          <w:noProof/>
          <w:lang w:val="fr-CA"/>
        </w:rPr>
        <w:t>Moldaver</w:t>
      </w:r>
      <w:r w:rsidRPr="0053711F">
        <w:rPr>
          <w:noProof/>
          <w:lang w:val="fr-CA"/>
        </w:rPr>
        <w:t xml:space="preserve"> et Gascon (dissidents) : Il y a accord avec l’analyse et la conclusion des juges majoritaires concernant le caractère volontaire de la déclaration. Malgré les conclusions contraires du juge du procès et des trois juges de la Cour d’appel, l</w:t>
      </w:r>
      <w:r w:rsidRPr="0053711F">
        <w:rPr>
          <w:lang w:val="fr-CA"/>
        </w:rPr>
        <w:t xml:space="preserve">’entrée des policiers chez P était certes illégale et attentatoire à son droit à la protection de sa vie privée garanti par l’art. 8. Toutefois, les </w:t>
      </w:r>
      <w:r w:rsidRPr="0053711F">
        <w:rPr>
          <w:szCs w:val="24"/>
          <w:lang w:val="fr-CA"/>
        </w:rPr>
        <w:t>armes à feu et les drogues saisies chez P ont été admises en preuve à juste titre, de sorte que le pourvoi devrait être rejeté.</w:t>
      </w:r>
    </w:p>
    <w:p w:rsidR="00B84FD9" w:rsidRPr="0053711F" w:rsidRDefault="00B84FD9" w:rsidP="006534E4">
      <w:pPr>
        <w:pStyle w:val="SCCNormalDoubleSpacing"/>
        <w:widowControl w:val="0"/>
        <w:spacing w:after="480"/>
        <w:rPr>
          <w:lang w:val="fr-CA"/>
        </w:rPr>
      </w:pPr>
      <w:r w:rsidRPr="0053711F">
        <w:rPr>
          <w:lang w:val="fr-CA"/>
        </w:rPr>
        <w:tab/>
        <w:t>Dans ce genre de dossier, il incombe à la Cour de clarifier le droit applicable afin que policiers, avocats de la défense, procureurs de la Couronne, juges de première instance et d’appel, de même que citoyens en général, puissent savoir quel est le droit applicable et comment il s’appliquera à l’avenir. Il ne lui appartient pas de juger la conduite des policiers à l’aune d’une norme qui échappe au discernement et aux connaissances de juges de première instance et d’appel chevronnés. Pour les besoins de la clarification du droit applicable, il est concédé que les policiers ne pouvaient se prévaloir du par. 11(7) de la </w:t>
      </w:r>
      <w:r w:rsidRPr="0053711F">
        <w:rPr>
          <w:i/>
          <w:lang w:val="fr-CA"/>
        </w:rPr>
        <w:t xml:space="preserve">Loi réglementant certaines drogues et autres substances </w:t>
      </w:r>
      <w:r w:rsidRPr="0053711F">
        <w:rPr>
          <w:lang w:val="fr-CA"/>
        </w:rPr>
        <w:t>au vu des faits de l’espèce. Trois possibilités s’offraient en fait à eux : (1) tenter d’obtenir le consentement légal de P à ce qu’ils entrent chez lui et saisissent les mégots, (2) arrêter P et obtenir un mandat les autorisant à perquisitionner chez lui et saisir les mégots ou (3) abandonner la partie et quitter les lieux, et manquer ainsi à leur devoir de saisir une substance illicite, ne serait-ce que pour la consigner puis la détruire. Cela dit, il est injuste de blâmer la conduite des policiers alors que, jusqu’à ce que la Cour se prononce aujourd’hui, les paramètres d’application du par. 11(7) dans le cas d’une saisie « sans poursuite » étaient au mieux flous. Il suffit de consulter les décisions des tribunaux inférieurs pour le constater.</w:t>
      </w:r>
    </w:p>
    <w:p w:rsidR="00B84FD9" w:rsidRPr="0053711F" w:rsidRDefault="00B84FD9" w:rsidP="006534E4">
      <w:pPr>
        <w:pStyle w:val="SCCNormalDoubleSpacing"/>
        <w:widowControl w:val="0"/>
        <w:spacing w:after="480"/>
        <w:rPr>
          <w:lang w:val="fr-CA"/>
        </w:rPr>
      </w:pPr>
      <w:r w:rsidRPr="0053711F">
        <w:rPr>
          <w:lang w:val="fr-CA"/>
        </w:rPr>
        <w:tab/>
        <w:t xml:space="preserve">Notre Cour a statué avec constance que les tribunaux peuvent tenir compte de l’incertitude juridique lorsqu’ils apprécient la gravité d’une atteinte policière à un droit garanti par la </w:t>
      </w:r>
      <w:r w:rsidRPr="0053711F">
        <w:rPr>
          <w:i/>
          <w:lang w:val="fr-CA"/>
        </w:rPr>
        <w:t>Charte</w:t>
      </w:r>
      <w:r w:rsidRPr="0053711F">
        <w:rPr>
          <w:lang w:val="fr-CA"/>
        </w:rPr>
        <w:t>. Lorsque le droit évolue ou qu’il est incertain, et lorsque l’on conclut que les policiers ont agi de bonne foi, sans méconnaissance ou mépris délibéré des droits constitutionnels de l’accusé,</w:t>
      </w:r>
      <w:r w:rsidRPr="0053711F">
        <w:rPr>
          <w:i/>
          <w:lang w:val="fr-CA"/>
        </w:rPr>
        <w:t xml:space="preserve"> </w:t>
      </w:r>
      <w:r w:rsidRPr="0053711F">
        <w:rPr>
          <w:lang w:val="fr-CA"/>
        </w:rPr>
        <w:t>la gravité de l’atteinte peut en être atténuée.</w:t>
      </w:r>
    </w:p>
    <w:p w:rsidR="00B84FD9" w:rsidRPr="0053711F" w:rsidRDefault="00B84FD9" w:rsidP="006534E4">
      <w:pPr>
        <w:pStyle w:val="SCCNormalDoubleSpacing"/>
        <w:widowControl w:val="0"/>
        <w:spacing w:after="480"/>
        <w:rPr>
          <w:lang w:val="fr-CA"/>
        </w:rPr>
      </w:pPr>
      <w:r w:rsidRPr="0053711F">
        <w:rPr>
          <w:lang w:val="fr-CA"/>
        </w:rPr>
        <w:tab/>
        <w:t xml:space="preserve">Dans la présente affaire, la gravité de l’atteinte est nettement atténuée par la portée incertaine du par. 11(7) de la </w:t>
      </w:r>
      <w:r w:rsidRPr="0053711F">
        <w:rPr>
          <w:i/>
          <w:lang w:val="fr-CA"/>
        </w:rPr>
        <w:t>LRCDAS</w:t>
      </w:r>
      <w:r w:rsidRPr="0053711F">
        <w:rPr>
          <w:lang w:val="fr-CA"/>
        </w:rPr>
        <w:t xml:space="preserve"> dans le cas d’une saisie « sans poursuite » et par les conclusions catégoriques du juge du procès selon lesquelles les policiers ont toujours agi de bonne foi. L’incidence de l’entrée des policiers sur l’intérêt de P en matière de respect de la vie privée est également atténuée par le fait que les éléments de preuve en cause auraient pu être découverts légalement si un mandat avait été obtenu. </w:t>
      </w:r>
    </w:p>
    <w:p w:rsidR="00B84FD9" w:rsidRPr="0053711F" w:rsidRDefault="00B84FD9" w:rsidP="006534E4">
      <w:pPr>
        <w:pStyle w:val="SCCNormalDoubleSpacing"/>
        <w:widowControl w:val="0"/>
        <w:spacing w:after="480"/>
        <w:rPr>
          <w:noProof/>
          <w:szCs w:val="24"/>
          <w:lang w:val="fr-CA"/>
        </w:rPr>
      </w:pPr>
      <w:r w:rsidRPr="0053711F">
        <w:rPr>
          <w:lang w:val="fr-CA"/>
        </w:rPr>
        <w:tab/>
        <w:t xml:space="preserve">Ainsi, malgré leur bonne foi, les policiers ont commis l’erreur de se croire autorisés par le par. 11(7) à entrer chez P dans le cadre d’une saisie « sans poursuite »; ils ont commis la même erreur que les tribunaux inférieurs. C’est le cumul de l’incertitude juridique, de la bonne foi des policiers, de la possibilité de découvrir une preuve essentielle à la tenue d’un procès au fond et de la fiabilité d’une telle preuve qui permet de conclure la mise en balance en statuant que la preuve est admissible. Dès lors, c’est l’exclusion d’éléments de preuve fiables et cruciaux susceptibles d’établir la perpétration par P d’infractions très graves en matière d’armes à feu et de drogues qui est beaucoup plus susceptible d’amener le public à perdre confiance dans notre système de justice criminelle. Néanmoins, dans un cas comme celui considéré en l’espèce, une autre réparation, telle la réduction de peine, pourrait être accordée sur le fondement du par. 24(1) de la </w:t>
      </w:r>
      <w:r w:rsidRPr="0053711F">
        <w:rPr>
          <w:i/>
          <w:lang w:val="fr-CA"/>
        </w:rPr>
        <w:t>Charte</w:t>
      </w:r>
      <w:r w:rsidRPr="0053711F">
        <w:rPr>
          <w:lang w:val="fr-CA"/>
        </w:rPr>
        <w:t xml:space="preserve"> au lieu que la preuve soit écartée comme le prévoit le par. 24(2). Mais cette possibilité n’a pas été soulevée et il faudra statuer sur elle dans un dossier ultérieur.</w:t>
      </w:r>
    </w:p>
    <w:p w:rsidR="00B84FD9" w:rsidRPr="0053711F" w:rsidRDefault="00B84FD9" w:rsidP="006534E4">
      <w:pPr>
        <w:pStyle w:val="SCCNormalDoubleSpacing"/>
        <w:widowControl w:val="0"/>
        <w:spacing w:after="480"/>
        <w:rPr>
          <w:lang w:val="fr-CA"/>
        </w:rPr>
      </w:pPr>
      <w:r w:rsidRPr="0053711F">
        <w:rPr>
          <w:b/>
          <w:lang w:val="fr-CA"/>
        </w:rPr>
        <w:t>Jurisprudence</w:t>
      </w:r>
    </w:p>
    <w:p w:rsidR="00B84FD9" w:rsidRPr="0053711F" w:rsidRDefault="00B84FD9" w:rsidP="006534E4">
      <w:pPr>
        <w:pStyle w:val="SCCNormalDoubleSpacing"/>
        <w:widowControl w:val="0"/>
        <w:spacing w:after="720" w:line="240" w:lineRule="auto"/>
        <w:rPr>
          <w:lang w:val="fr-CA"/>
        </w:rPr>
      </w:pPr>
      <w:r w:rsidRPr="0053711F">
        <w:rPr>
          <w:lang w:val="fr-CA"/>
        </w:rPr>
        <w:t>Citée par le juge Brown</w:t>
      </w:r>
    </w:p>
    <w:p w:rsidR="00B84FD9" w:rsidRPr="0053711F" w:rsidRDefault="00B84FD9" w:rsidP="006534E4">
      <w:pPr>
        <w:pStyle w:val="SCCNormalDoubleSpacing"/>
        <w:widowControl w:val="0"/>
        <w:spacing w:after="480"/>
        <w:rPr>
          <w:lang w:val="fr-CA"/>
        </w:rPr>
      </w:pPr>
      <w:r w:rsidRPr="0053711F">
        <w:rPr>
          <w:lang w:val="fr-CA"/>
        </w:rPr>
        <w:tab/>
      </w:r>
      <w:r w:rsidRPr="0053711F">
        <w:rPr>
          <w:b/>
          <w:lang w:val="fr-CA"/>
        </w:rPr>
        <w:t xml:space="preserve">Arrêt appliqué : </w:t>
      </w:r>
      <w:r w:rsidRPr="0053711F">
        <w:rPr>
          <w:i/>
          <w:lang w:val="fr-CA"/>
        </w:rPr>
        <w:t>R. c. Grant</w:t>
      </w:r>
      <w:r w:rsidRPr="0053711F">
        <w:rPr>
          <w:lang w:val="fr-CA"/>
        </w:rPr>
        <w:t>, 2009 CSC 32, [2009] 2 R.C.S. 353</w:t>
      </w:r>
      <w:r>
        <w:rPr>
          <w:lang w:val="fr-CA"/>
        </w:rPr>
        <w:t>;</w:t>
      </w:r>
      <w:r w:rsidRPr="0053711F">
        <w:rPr>
          <w:lang w:val="fr-CA"/>
        </w:rPr>
        <w:t xml:space="preserve"> </w:t>
      </w:r>
      <w:r w:rsidRPr="0053711F">
        <w:rPr>
          <w:b/>
          <w:lang w:val="fr-CA"/>
        </w:rPr>
        <w:t>arrêts mentionnés :</w:t>
      </w:r>
      <w:r w:rsidRPr="0053711F">
        <w:rPr>
          <w:lang w:val="fr-CA"/>
        </w:rPr>
        <w:t xml:space="preserve"> </w:t>
      </w:r>
      <w:r w:rsidRPr="0053711F">
        <w:rPr>
          <w:i/>
          <w:lang w:val="fr-CA"/>
        </w:rPr>
        <w:t>R. c. Hodgson</w:t>
      </w:r>
      <w:r w:rsidRPr="0053711F">
        <w:rPr>
          <w:lang w:val="fr-CA"/>
        </w:rPr>
        <w:t xml:space="preserve">, [1998] 2 R.C.S. 449; </w:t>
      </w:r>
      <w:r w:rsidRPr="0053711F">
        <w:rPr>
          <w:i/>
          <w:lang w:val="fr-CA"/>
        </w:rPr>
        <w:t>Ibrahim c. The King</w:t>
      </w:r>
      <w:r w:rsidRPr="0053711F">
        <w:rPr>
          <w:lang w:val="fr-CA"/>
        </w:rPr>
        <w:t xml:space="preserve">, [1914] A.C. 599; </w:t>
      </w:r>
      <w:r w:rsidRPr="0053711F">
        <w:rPr>
          <w:i/>
          <w:lang w:val="fr-CA"/>
        </w:rPr>
        <w:t>Boudreau c. The King</w:t>
      </w:r>
      <w:r w:rsidRPr="0053711F">
        <w:rPr>
          <w:lang w:val="fr-CA"/>
        </w:rPr>
        <w:t xml:space="preserve">, [1949] R.C.S. 262; </w:t>
      </w:r>
      <w:r w:rsidRPr="0053711F">
        <w:rPr>
          <w:i/>
          <w:lang w:val="fr-CA"/>
        </w:rPr>
        <w:t>Rothman c. La Reine</w:t>
      </w:r>
      <w:r w:rsidRPr="0053711F">
        <w:rPr>
          <w:lang w:val="fr-CA"/>
        </w:rPr>
        <w:t xml:space="preserve">, [1981] 1 R.C.S. 640; </w:t>
      </w:r>
      <w:r w:rsidRPr="0053711F">
        <w:rPr>
          <w:i/>
          <w:lang w:val="fr-CA"/>
        </w:rPr>
        <w:t>R. c. Hebert</w:t>
      </w:r>
      <w:r w:rsidRPr="0053711F">
        <w:rPr>
          <w:lang w:val="fr-CA"/>
        </w:rPr>
        <w:t xml:space="preserve">, [1990] 2 R.C.S. 151; </w:t>
      </w:r>
      <w:r w:rsidRPr="0053711F">
        <w:rPr>
          <w:i/>
          <w:lang w:val="fr-CA"/>
        </w:rPr>
        <w:t>R. c. S. (R.J.)</w:t>
      </w:r>
      <w:r w:rsidRPr="0053711F">
        <w:rPr>
          <w:lang w:val="fr-CA"/>
        </w:rPr>
        <w:t xml:space="preserve">, [1995] 1 R.C.S. 451; </w:t>
      </w:r>
      <w:r w:rsidRPr="0053711F">
        <w:rPr>
          <w:i/>
          <w:lang w:val="fr-CA"/>
        </w:rPr>
        <w:t>R. c. MacKenzie</w:t>
      </w:r>
      <w:r w:rsidRPr="0053711F">
        <w:rPr>
          <w:lang w:val="fr-CA"/>
        </w:rPr>
        <w:t xml:space="preserve">, 2013 CSC 50, [2013] 3 R.C.S. 250; </w:t>
      </w:r>
      <w:r w:rsidRPr="0053711F">
        <w:rPr>
          <w:i/>
          <w:lang w:val="fr-CA"/>
        </w:rPr>
        <w:t>R. c. Orbanski</w:t>
      </w:r>
      <w:r w:rsidRPr="0053711F">
        <w:rPr>
          <w:lang w:val="fr-CA"/>
        </w:rPr>
        <w:t xml:space="preserve">, 2005 CSC 37, [2005] 2 R.C.S. 3; </w:t>
      </w:r>
      <w:r w:rsidRPr="0053711F">
        <w:rPr>
          <w:i/>
          <w:lang w:val="fr-CA"/>
        </w:rPr>
        <w:t>R. c. Soules</w:t>
      </w:r>
      <w:r w:rsidRPr="0053711F">
        <w:rPr>
          <w:lang w:val="fr-CA"/>
        </w:rPr>
        <w:t xml:space="preserve">, 2011 ONCA 429, 105 O.R. (3d) 561; </w:t>
      </w:r>
      <w:r w:rsidRPr="0053711F">
        <w:rPr>
          <w:i/>
          <w:iCs/>
          <w:lang w:val="fr-CA"/>
        </w:rPr>
        <w:t>Rizzo &amp; Rizzo Shoes Ltd. (Re)</w:t>
      </w:r>
      <w:r w:rsidRPr="0053711F">
        <w:rPr>
          <w:lang w:val="fr-CA"/>
        </w:rPr>
        <w:t xml:space="preserve">, [1998] 1 R.C.S. 27; </w:t>
      </w:r>
      <w:r w:rsidRPr="0053711F">
        <w:rPr>
          <w:i/>
          <w:lang w:val="fr-CA"/>
        </w:rPr>
        <w:t>Société Radio</w:t>
      </w:r>
      <w:r w:rsidRPr="0053711F">
        <w:rPr>
          <w:i/>
          <w:lang w:val="fr-CA"/>
        </w:rPr>
        <w:noBreakHyphen/>
        <w:t>Canada c. SODRAC 2003 Inc.</w:t>
      </w:r>
      <w:r w:rsidRPr="0053711F">
        <w:rPr>
          <w:lang w:val="fr-CA"/>
        </w:rPr>
        <w:t xml:space="preserve">, 2015 CSC 57, [2015] 3 R.C.S. 615; </w:t>
      </w:r>
      <w:r w:rsidRPr="0053711F">
        <w:rPr>
          <w:i/>
          <w:lang w:val="fr-CA"/>
        </w:rPr>
        <w:t>R. c. Grant</w:t>
      </w:r>
      <w:r w:rsidRPr="0053711F">
        <w:rPr>
          <w:lang w:val="fr-CA"/>
        </w:rPr>
        <w:t>, [1993] 3 R.C.S. 223;</w:t>
      </w:r>
      <w:r w:rsidRPr="0053711F">
        <w:rPr>
          <w:i/>
          <w:lang w:val="fr-CA"/>
        </w:rPr>
        <w:t xml:space="preserve"> R. c. Feeney</w:t>
      </w:r>
      <w:r w:rsidRPr="0053711F">
        <w:rPr>
          <w:lang w:val="fr-CA"/>
        </w:rPr>
        <w:t xml:space="preserve">, [1997] 2 R.C.S. 13; </w:t>
      </w:r>
      <w:r w:rsidRPr="0053711F">
        <w:rPr>
          <w:i/>
          <w:lang w:val="fr-CA"/>
        </w:rPr>
        <w:t>R. c. Silveira</w:t>
      </w:r>
      <w:r w:rsidRPr="0053711F">
        <w:rPr>
          <w:lang w:val="fr-CA"/>
        </w:rPr>
        <w:t>, [1995] 2 R.C.S. 297</w:t>
      </w:r>
      <w:r>
        <w:rPr>
          <w:lang w:val="fr-CA"/>
        </w:rPr>
        <w:t xml:space="preserve">; </w:t>
      </w:r>
      <w:r w:rsidRPr="0053711F">
        <w:rPr>
          <w:i/>
          <w:lang w:val="fr-CA"/>
        </w:rPr>
        <w:t>R. c. MacDonald</w:t>
      </w:r>
      <w:r w:rsidRPr="0053711F">
        <w:rPr>
          <w:lang w:val="fr-CA"/>
        </w:rPr>
        <w:t xml:space="preserve">, 2014 CSC 3, [2014] 1 R.C.S. 37; </w:t>
      </w:r>
      <w:r w:rsidRPr="0053711F">
        <w:rPr>
          <w:i/>
          <w:lang w:val="fr-CA"/>
        </w:rPr>
        <w:t>R. c. Macooh</w:t>
      </w:r>
      <w:r w:rsidRPr="0053711F">
        <w:rPr>
          <w:lang w:val="fr-CA"/>
        </w:rPr>
        <w:t xml:space="preserve">, [1993] 2 R.C.S. 802; </w:t>
      </w:r>
      <w:r w:rsidRPr="0053711F">
        <w:rPr>
          <w:i/>
          <w:lang w:val="fr-CA"/>
        </w:rPr>
        <w:t>R. c. Erickson</w:t>
      </w:r>
      <w:r w:rsidRPr="0053711F">
        <w:rPr>
          <w:lang w:val="fr-CA"/>
        </w:rPr>
        <w:t xml:space="preserve">, 2003 BCCA 693, 192 B.C.A.C. 203; </w:t>
      </w:r>
      <w:r w:rsidRPr="0053711F">
        <w:rPr>
          <w:i/>
          <w:lang w:val="fr-CA"/>
        </w:rPr>
        <w:t>R. c. Buhay</w:t>
      </w:r>
      <w:r w:rsidRPr="0053711F">
        <w:rPr>
          <w:lang w:val="fr-CA"/>
        </w:rPr>
        <w:t xml:space="preserve">, 2003 CSC 30, [2003] 1 R.C.S. 631; </w:t>
      </w:r>
      <w:r w:rsidRPr="0053711F">
        <w:rPr>
          <w:i/>
          <w:lang w:val="fr-CA"/>
        </w:rPr>
        <w:t>R. c. Harrison</w:t>
      </w:r>
      <w:r w:rsidRPr="0053711F">
        <w:rPr>
          <w:lang w:val="fr-CA"/>
        </w:rPr>
        <w:t xml:space="preserve">, 2009 CSC 34, [2009] 2 R.C.S. 494; </w:t>
      </w:r>
      <w:r w:rsidRPr="0053711F">
        <w:rPr>
          <w:i/>
          <w:lang w:val="fr-CA"/>
        </w:rPr>
        <w:t>R. c. McGuffie</w:t>
      </w:r>
      <w:r w:rsidRPr="0053711F">
        <w:rPr>
          <w:lang w:val="fr-CA"/>
        </w:rPr>
        <w:t>, 2016 ONCA 365, 348 O.A.C. 365.</w:t>
      </w:r>
    </w:p>
    <w:p w:rsidR="00B84FD9" w:rsidRPr="0053711F" w:rsidRDefault="00B84FD9" w:rsidP="006534E4">
      <w:pPr>
        <w:pStyle w:val="SCCNormalDoubleSpacing"/>
        <w:widowControl w:val="0"/>
        <w:spacing w:after="720" w:line="240" w:lineRule="auto"/>
        <w:rPr>
          <w:lang w:val="fr-CA"/>
        </w:rPr>
      </w:pPr>
      <w:r w:rsidRPr="0053711F">
        <w:rPr>
          <w:lang w:val="fr-CA"/>
        </w:rPr>
        <w:t>Citée par le juge Moldaver (dissident)</w:t>
      </w:r>
    </w:p>
    <w:p w:rsidR="00B84FD9" w:rsidRPr="0053711F" w:rsidRDefault="00B84FD9" w:rsidP="006534E4">
      <w:pPr>
        <w:pStyle w:val="SCCNormalDoubleSpacing"/>
        <w:widowControl w:val="0"/>
        <w:spacing w:after="480"/>
      </w:pPr>
      <w:r w:rsidRPr="0053711F">
        <w:rPr>
          <w:lang w:val="fr-CA"/>
        </w:rPr>
        <w:tab/>
      </w:r>
      <w:r w:rsidRPr="0053711F">
        <w:rPr>
          <w:i/>
          <w:lang w:val="en-US"/>
        </w:rPr>
        <w:t>R. c. Erickson</w:t>
      </w:r>
      <w:r w:rsidRPr="0053711F">
        <w:rPr>
          <w:lang w:val="en-US"/>
        </w:rPr>
        <w:t xml:space="preserve">, 2003 BCCA 693, 192 B.C.A.C. 203; </w:t>
      </w:r>
      <w:r w:rsidRPr="0053711F">
        <w:rPr>
          <w:i/>
          <w:lang w:val="en-US"/>
        </w:rPr>
        <w:t>R. c. Grant</w:t>
      </w:r>
      <w:r w:rsidRPr="0053711F">
        <w:rPr>
          <w:lang w:val="en-US"/>
        </w:rPr>
        <w:t xml:space="preserve">, [1993] 3 R.C.S. 223; </w:t>
      </w:r>
      <w:r w:rsidRPr="0053711F">
        <w:rPr>
          <w:i/>
          <w:lang w:val="en-US"/>
        </w:rPr>
        <w:t>R. c. Feeney</w:t>
      </w:r>
      <w:r w:rsidRPr="0053711F">
        <w:rPr>
          <w:lang w:val="en-US"/>
        </w:rPr>
        <w:t xml:space="preserve">, [1997] 2 R.C.S. 13; </w:t>
      </w:r>
      <w:r w:rsidRPr="0053711F">
        <w:rPr>
          <w:i/>
          <w:lang w:val="en-US"/>
        </w:rPr>
        <w:t>R. c. M.</w:t>
      </w:r>
      <w:r w:rsidR="00D65298">
        <w:rPr>
          <w:i/>
          <w:lang w:val="en-US"/>
        </w:rPr>
        <w:t xml:space="preserve"> </w:t>
      </w:r>
      <w:r w:rsidRPr="0053711F">
        <w:rPr>
          <w:i/>
          <w:lang w:val="en-US"/>
        </w:rPr>
        <w:t>(N.)</w:t>
      </w:r>
      <w:r w:rsidRPr="0053711F">
        <w:t xml:space="preserve"> (2007), 223 C.C.C. (3d) 417; </w:t>
      </w:r>
      <w:r w:rsidRPr="0053711F">
        <w:rPr>
          <w:i/>
        </w:rPr>
        <w:t>R. c. Silveira</w:t>
      </w:r>
      <w:r w:rsidRPr="0053711F">
        <w:t xml:space="preserve">, [1995] 2 R.C.S. 297; </w:t>
      </w:r>
      <w:r w:rsidRPr="0053711F">
        <w:rPr>
          <w:i/>
        </w:rPr>
        <w:t>R. c. Cole</w:t>
      </w:r>
      <w:r w:rsidRPr="0053711F">
        <w:t xml:space="preserve">, 2012 CSC 53, [2012] 3 R.C.S. 34; </w:t>
      </w:r>
      <w:r w:rsidRPr="0053711F">
        <w:rPr>
          <w:i/>
        </w:rPr>
        <w:t>R. c. Aucoin</w:t>
      </w:r>
      <w:r w:rsidRPr="0053711F">
        <w:t xml:space="preserve">, 2012 CSC 66, [2012] 3 R.C.S. 408; </w:t>
      </w:r>
      <w:r w:rsidRPr="0053711F">
        <w:rPr>
          <w:i/>
        </w:rPr>
        <w:t>R. c. Vu</w:t>
      </w:r>
      <w:r w:rsidRPr="0053711F">
        <w:t xml:space="preserve">, 2013 CSC 60, [2013] 3 R.C.S. 657; </w:t>
      </w:r>
      <w:r w:rsidRPr="0053711F">
        <w:rPr>
          <w:i/>
        </w:rPr>
        <w:t>R. c. Spencer</w:t>
      </w:r>
      <w:r w:rsidRPr="0053711F">
        <w:t xml:space="preserve">, 2014 CSC 43, [2014] 2 R.C.S. 212; </w:t>
      </w:r>
      <w:r w:rsidRPr="0053711F">
        <w:rPr>
          <w:i/>
        </w:rPr>
        <w:t>R. c. Fearon</w:t>
      </w:r>
      <w:r w:rsidRPr="0053711F">
        <w:t>, 2014 CSC 77, [2014] 3 R.C.S. 621.</w:t>
      </w:r>
    </w:p>
    <w:p w:rsidR="00B84FD9" w:rsidRPr="0053711F" w:rsidRDefault="00B84FD9" w:rsidP="006534E4">
      <w:pPr>
        <w:pStyle w:val="SCCNormalDoubleSpacing"/>
        <w:widowControl w:val="0"/>
        <w:spacing w:after="720" w:line="240" w:lineRule="auto"/>
        <w:rPr>
          <w:lang w:val="fr-CA"/>
        </w:rPr>
      </w:pPr>
      <w:r w:rsidRPr="0053711F">
        <w:rPr>
          <w:b/>
          <w:lang w:val="fr-CA"/>
        </w:rPr>
        <w:t>Lois et règlements cités</w:t>
      </w:r>
    </w:p>
    <w:p w:rsidR="00B84FD9" w:rsidRPr="0053711F" w:rsidRDefault="00B84FD9" w:rsidP="006534E4">
      <w:pPr>
        <w:pStyle w:val="SCCNormalDoubleSpacing"/>
        <w:widowControl w:val="0"/>
        <w:spacing w:after="240" w:line="240" w:lineRule="auto"/>
        <w:ind w:left="547" w:hanging="547"/>
        <w:rPr>
          <w:lang w:val="fr-CA"/>
        </w:rPr>
      </w:pPr>
      <w:r w:rsidRPr="0053711F">
        <w:rPr>
          <w:i/>
          <w:lang w:val="fr-CA"/>
        </w:rPr>
        <w:t>Charte canadienne des droits et libertés</w:t>
      </w:r>
      <w:r w:rsidRPr="0053711F">
        <w:rPr>
          <w:lang w:val="fr-CA"/>
        </w:rPr>
        <w:t>, art. 7, 8, 9, 24(1),(2).</w:t>
      </w:r>
    </w:p>
    <w:p w:rsidR="00B84FD9" w:rsidRPr="0053711F" w:rsidRDefault="00B84FD9" w:rsidP="006534E4">
      <w:pPr>
        <w:pStyle w:val="SCCNormalDoubleSpacing"/>
        <w:widowControl w:val="0"/>
        <w:spacing w:after="240" w:line="240" w:lineRule="auto"/>
        <w:ind w:left="547" w:hanging="547"/>
        <w:rPr>
          <w:lang w:val="fr-CA"/>
        </w:rPr>
      </w:pPr>
      <w:r w:rsidRPr="0053711F">
        <w:rPr>
          <w:i/>
          <w:lang w:val="fr-CA"/>
        </w:rPr>
        <w:t>Code criminel</w:t>
      </w:r>
      <w:r w:rsidRPr="0053711F">
        <w:rPr>
          <w:lang w:val="fr-CA"/>
        </w:rPr>
        <w:t>, L.R.C. 1985, c. C</w:t>
      </w:r>
      <w:r w:rsidRPr="0053711F">
        <w:rPr>
          <w:lang w:val="fr-CA"/>
        </w:rPr>
        <w:noBreakHyphen/>
        <w:t>46, art. 117.02(1), 184.3(1), 487.1, 487.11, 529.3.</w:t>
      </w:r>
    </w:p>
    <w:p w:rsidR="00B84FD9" w:rsidRPr="0053711F" w:rsidRDefault="00B84FD9" w:rsidP="006534E4">
      <w:pPr>
        <w:pStyle w:val="SCCNormalDoubleSpacing"/>
        <w:widowControl w:val="0"/>
        <w:spacing w:after="240" w:line="240" w:lineRule="auto"/>
        <w:ind w:left="547" w:hanging="547"/>
        <w:rPr>
          <w:lang w:val="fr-CA"/>
        </w:rPr>
      </w:pPr>
      <w:r w:rsidRPr="0053711F">
        <w:rPr>
          <w:i/>
          <w:lang w:val="fr-CA"/>
        </w:rPr>
        <w:t>Loi réglementant certaines drogues et autres substances</w:t>
      </w:r>
      <w:r w:rsidRPr="0053711F">
        <w:rPr>
          <w:lang w:val="fr-CA"/>
        </w:rPr>
        <w:t>, L.C. 1996, c. 19, art. 11(1), (2), (7).</w:t>
      </w:r>
    </w:p>
    <w:p w:rsidR="00B84FD9" w:rsidRPr="0053711F" w:rsidRDefault="00B84FD9" w:rsidP="006534E4">
      <w:pPr>
        <w:pStyle w:val="SCCNormalDoubleSpacing"/>
        <w:widowControl w:val="0"/>
        <w:spacing w:after="720" w:line="240" w:lineRule="auto"/>
        <w:ind w:left="547" w:hanging="547"/>
        <w:rPr>
          <w:lang w:val="fr-CA"/>
        </w:rPr>
      </w:pPr>
      <w:r w:rsidRPr="0053711F">
        <w:rPr>
          <w:i/>
          <w:lang w:val="fr-CA"/>
        </w:rPr>
        <w:t>Loi sur les stupéfiants</w:t>
      </w:r>
      <w:r w:rsidRPr="0053711F">
        <w:rPr>
          <w:lang w:val="fr-CA"/>
        </w:rPr>
        <w:t>, L.R.C. 1985, c. N</w:t>
      </w:r>
      <w:r w:rsidRPr="0053711F">
        <w:rPr>
          <w:lang w:val="fr-CA"/>
        </w:rPr>
        <w:noBreakHyphen/>
        <w:t>1 [abr. 1996, c. 19, art. 94], art. 10.</w:t>
      </w:r>
    </w:p>
    <w:p w:rsidR="00B84FD9" w:rsidRPr="0053711F" w:rsidRDefault="00B84FD9" w:rsidP="006534E4">
      <w:pPr>
        <w:pStyle w:val="SCCNormalDoubleSpacing"/>
        <w:widowControl w:val="0"/>
        <w:spacing w:after="720" w:line="240" w:lineRule="auto"/>
        <w:rPr>
          <w:lang w:val="fr-CA"/>
        </w:rPr>
      </w:pPr>
      <w:r w:rsidRPr="0053711F">
        <w:rPr>
          <w:b/>
          <w:lang w:val="fr-CA"/>
        </w:rPr>
        <w:t>Doctrine et autres documents cités</w:t>
      </w:r>
    </w:p>
    <w:p w:rsidR="00B84FD9" w:rsidRPr="0053711F" w:rsidRDefault="00B84FD9" w:rsidP="006534E4">
      <w:pPr>
        <w:pStyle w:val="SCCNormalDoubleSpacing"/>
        <w:widowControl w:val="0"/>
        <w:spacing w:after="240" w:line="240" w:lineRule="auto"/>
        <w:ind w:left="547" w:hanging="547"/>
        <w:rPr>
          <w:lang w:val="fr-CA"/>
        </w:rPr>
      </w:pPr>
      <w:r w:rsidRPr="0053711F">
        <w:rPr>
          <w:lang w:val="fr-CA"/>
        </w:rPr>
        <w:t>Canada. Groupe de travail fédéral</w:t>
      </w:r>
      <w:r w:rsidRPr="0053711F">
        <w:rPr>
          <w:lang w:val="fr-CA"/>
        </w:rPr>
        <w:noBreakHyphen/>
        <w:t xml:space="preserve">provincial sur l’uniformisation des règles de preuve. </w:t>
      </w:r>
      <w:r w:rsidRPr="0053711F">
        <w:rPr>
          <w:i/>
          <w:lang w:val="fr-CA"/>
        </w:rPr>
        <w:t>La preuve au Canada : Rapport du groupe de travail fédéral</w:t>
      </w:r>
      <w:r w:rsidRPr="0053711F">
        <w:rPr>
          <w:i/>
          <w:lang w:val="fr-CA"/>
        </w:rPr>
        <w:noBreakHyphen/>
        <w:t>provincial sur l’uniformisation des règles de preuve</w:t>
      </w:r>
      <w:r w:rsidRPr="0053711F">
        <w:rPr>
          <w:lang w:val="fr-CA"/>
        </w:rPr>
        <w:t>, Cowansville (Qc), Yvon Blais, 1983.</w:t>
      </w:r>
    </w:p>
    <w:p w:rsidR="00B84FD9" w:rsidRPr="0053711F" w:rsidRDefault="00B84FD9" w:rsidP="006534E4">
      <w:pPr>
        <w:pStyle w:val="SCCNormalDoubleSpacing"/>
        <w:widowControl w:val="0"/>
        <w:spacing w:after="240" w:line="240" w:lineRule="auto"/>
        <w:ind w:left="547" w:hanging="547"/>
      </w:pPr>
      <w:r w:rsidRPr="0053711F">
        <w:t xml:space="preserve">Lederman, Sidney N., Alan W. Bryant and Michelle K. Fuerst. </w:t>
      </w:r>
      <w:r w:rsidRPr="0053711F">
        <w:rPr>
          <w:i/>
        </w:rPr>
        <w:t>The Law of Evidence in Canada</w:t>
      </w:r>
      <w:r w:rsidRPr="0053711F">
        <w:t>, 4th ed., Markham (Ont.), LexisNexis, 2014.</w:t>
      </w:r>
    </w:p>
    <w:p w:rsidR="00B84FD9" w:rsidRPr="0053711F" w:rsidRDefault="00B84FD9" w:rsidP="006534E4">
      <w:pPr>
        <w:pStyle w:val="SCCNormalDoubleSpacing"/>
        <w:widowControl w:val="0"/>
        <w:spacing w:after="720" w:line="240" w:lineRule="auto"/>
        <w:ind w:left="547" w:hanging="547"/>
        <w:rPr>
          <w:lang w:val="fr-CA"/>
        </w:rPr>
      </w:pPr>
      <w:r w:rsidRPr="0053711F">
        <w:rPr>
          <w:lang w:val="fr-CA"/>
        </w:rPr>
        <w:t xml:space="preserve">Penney, Steven, Vincenzo Rondinelli and James Stribopoulos. </w:t>
      </w:r>
      <w:r w:rsidRPr="0053711F">
        <w:rPr>
          <w:i/>
          <w:lang w:val="fr-CA"/>
        </w:rPr>
        <w:t>Criminal Procedure in Canada</w:t>
      </w:r>
      <w:r w:rsidRPr="0053711F">
        <w:rPr>
          <w:lang w:val="fr-CA"/>
        </w:rPr>
        <w:t>, Markham (Ont.), LexisNexis, 2011.</w:t>
      </w:r>
    </w:p>
    <w:p w:rsidR="00B84FD9" w:rsidRPr="0053711F" w:rsidRDefault="00B84FD9" w:rsidP="006534E4">
      <w:pPr>
        <w:pStyle w:val="SCCNormalDoubleSpacing"/>
        <w:widowControl w:val="0"/>
        <w:spacing w:after="480"/>
        <w:rPr>
          <w:lang w:val="fr-CA"/>
        </w:rPr>
      </w:pPr>
      <w:r w:rsidRPr="0053711F">
        <w:rPr>
          <w:lang w:val="fr-CA"/>
        </w:rPr>
        <w:tab/>
        <w:t>POURVOI contre un arrêt de la Cour d’appel de la Colombie</w:t>
      </w:r>
      <w:r w:rsidRPr="0053711F">
        <w:rPr>
          <w:lang w:val="fr-CA"/>
        </w:rPr>
        <w:noBreakHyphen/>
        <w:t xml:space="preserve">Britannique (les juges Lowry, Frankel et Bennett), 2015 BCCA 205, 372 B.C.A.C. 148, 640 W.A.C. 148, 324 C.C.C. (3d) 305, 340 C.R.R. (2d) 41, [2015] B.C.J. No. 946 (QL), 2015 CarswellBC 1256 (WL Can.), qui a confirmé les déclarations de culpabilité de possession de substances </w:t>
      </w:r>
      <w:r>
        <w:rPr>
          <w:lang w:val="fr-CA"/>
        </w:rPr>
        <w:t>désignées</w:t>
      </w:r>
      <w:r w:rsidRPr="0053711F">
        <w:rPr>
          <w:lang w:val="fr-CA"/>
        </w:rPr>
        <w:t xml:space="preserve">, de possession de substances </w:t>
      </w:r>
      <w:r>
        <w:rPr>
          <w:lang w:val="fr-CA"/>
        </w:rPr>
        <w:t>désignées</w:t>
      </w:r>
      <w:r w:rsidRPr="0053711F">
        <w:rPr>
          <w:lang w:val="fr-CA"/>
        </w:rPr>
        <w:t xml:space="preserve"> en vue d’en faire le trafic et de possession illégale d’armes à feu </w:t>
      </w:r>
      <w:r>
        <w:rPr>
          <w:lang w:val="fr-CA"/>
        </w:rPr>
        <w:t xml:space="preserve">prohibées ou à autorisation restreinte </w:t>
      </w:r>
      <w:r w:rsidRPr="0053711F">
        <w:rPr>
          <w:lang w:val="fr-CA"/>
        </w:rPr>
        <w:t>inscrites par le juge Blok, 2012 BCSC 1680, [2012] B.C.J. No. 2343 (QL), 2012 CarswellBC 3519 (WL Can.). Pourvoi accueilli, déclarations de culpabilité annulées et acquittements inscrits, les juges Moldaver et Gascon sont dissidents.</w:t>
      </w:r>
    </w:p>
    <w:p w:rsidR="00B84FD9" w:rsidRPr="0053711F" w:rsidRDefault="00B84FD9" w:rsidP="006534E4">
      <w:pPr>
        <w:pStyle w:val="SCCNormalDoubleSpacing"/>
        <w:widowControl w:val="0"/>
        <w:spacing w:before="480" w:after="480"/>
        <w:rPr>
          <w:lang w:val="fr-CA"/>
        </w:rPr>
      </w:pPr>
      <w:r w:rsidRPr="0053711F">
        <w:rPr>
          <w:rStyle w:val="SCCCounselNameChar"/>
          <w:lang w:val="fr-CA"/>
        </w:rPr>
        <w:tab/>
        <w:t>Daniel J. Song</w:t>
      </w:r>
      <w:r w:rsidRPr="00F274D7">
        <w:rPr>
          <w:rStyle w:val="SCCCounselNameChar"/>
          <w:i w:val="0"/>
          <w:lang w:val="fr-CA"/>
        </w:rPr>
        <w:t>,</w:t>
      </w:r>
      <w:r w:rsidRPr="0053711F">
        <w:rPr>
          <w:rStyle w:val="SCCCounselNameChar"/>
          <w:lang w:val="fr-CA"/>
        </w:rPr>
        <w:t xml:space="preserve"> Kenneth S. Westlake</w:t>
      </w:r>
      <w:r w:rsidRPr="00F274D7">
        <w:rPr>
          <w:rStyle w:val="SCCCounselNameChar"/>
          <w:i w:val="0"/>
          <w:lang w:val="fr-CA"/>
        </w:rPr>
        <w:t>,</w:t>
      </w:r>
      <w:r w:rsidRPr="0053711F">
        <w:rPr>
          <w:rStyle w:val="SCCCounselNameChar"/>
          <w:lang w:val="fr-CA"/>
        </w:rPr>
        <w:t xml:space="preserve"> c.r.</w:t>
      </w:r>
      <w:r w:rsidRPr="0053711F">
        <w:rPr>
          <w:rStyle w:val="SCCCounselSeparatorChar"/>
          <w:lang w:val="fr-CA"/>
        </w:rPr>
        <w:t xml:space="preserve">, et </w:t>
      </w:r>
      <w:r w:rsidRPr="0053711F">
        <w:rPr>
          <w:rStyle w:val="SCCCounselNameChar"/>
          <w:lang w:val="fr-CA"/>
        </w:rPr>
        <w:t>Brent R. Anderson</w:t>
      </w:r>
      <w:r w:rsidRPr="0053711F">
        <w:rPr>
          <w:rStyle w:val="SCCCounselPartyRoleChar"/>
          <w:lang w:val="fr-CA"/>
        </w:rPr>
        <w:t>, pour l’appelant.</w:t>
      </w:r>
    </w:p>
    <w:p w:rsidR="00B84FD9" w:rsidRPr="0053711F" w:rsidRDefault="00B84FD9" w:rsidP="006534E4">
      <w:pPr>
        <w:pStyle w:val="SCCNormalDoubleSpacing"/>
        <w:widowControl w:val="0"/>
        <w:spacing w:before="480" w:after="480"/>
        <w:rPr>
          <w:lang w:val="fr-CA"/>
        </w:rPr>
      </w:pPr>
      <w:r w:rsidRPr="0053711F">
        <w:rPr>
          <w:rStyle w:val="SCCCounselNameChar"/>
          <w:lang w:val="fr-CA"/>
        </w:rPr>
        <w:tab/>
        <w:t>W. Paul Riley</w:t>
      </w:r>
      <w:r w:rsidRPr="00F274D7">
        <w:rPr>
          <w:rStyle w:val="SCCCounselNameChar"/>
          <w:i w:val="0"/>
          <w:lang w:val="fr-CA"/>
        </w:rPr>
        <w:t>,</w:t>
      </w:r>
      <w:r w:rsidRPr="0053711F">
        <w:rPr>
          <w:rStyle w:val="SCCCounselNameChar"/>
          <w:lang w:val="fr-CA"/>
        </w:rPr>
        <w:t xml:space="preserve"> c.r.</w:t>
      </w:r>
      <w:r w:rsidRPr="0053711F">
        <w:rPr>
          <w:rStyle w:val="SCCCounselSeparatorChar"/>
          <w:lang w:val="fr-CA"/>
        </w:rPr>
        <w:t xml:space="preserve">, et </w:t>
      </w:r>
      <w:r w:rsidRPr="0053711F">
        <w:rPr>
          <w:rStyle w:val="SCCCounselNameChar"/>
          <w:lang w:val="fr-CA"/>
        </w:rPr>
        <w:t>Janna Hyman</w:t>
      </w:r>
      <w:r w:rsidRPr="0053711F">
        <w:rPr>
          <w:rStyle w:val="SCCCounselPartyRoleChar"/>
          <w:lang w:val="fr-CA"/>
        </w:rPr>
        <w:t>, pour l’intimée.</w:t>
      </w:r>
    </w:p>
    <w:p w:rsidR="00B84FD9" w:rsidRPr="0053711F" w:rsidRDefault="00B84FD9" w:rsidP="006534E4">
      <w:pPr>
        <w:pStyle w:val="SCCNormalDoubleSpacing"/>
        <w:widowControl w:val="0"/>
        <w:spacing w:before="480" w:after="480"/>
        <w:rPr>
          <w:lang w:val="fr-CA"/>
        </w:rPr>
      </w:pPr>
      <w:r w:rsidRPr="0053711F">
        <w:rPr>
          <w:rStyle w:val="SCCCounselNameChar"/>
          <w:lang w:val="fr-CA"/>
        </w:rPr>
        <w:tab/>
        <w:t>Gillian Roberts</w:t>
      </w:r>
      <w:r w:rsidRPr="0053711F">
        <w:rPr>
          <w:rStyle w:val="SCCCounselPartyRoleChar"/>
          <w:lang w:val="fr-CA"/>
        </w:rPr>
        <w:t>, pour l’intervenant le procureur général de l’Ontario.</w:t>
      </w:r>
    </w:p>
    <w:p w:rsidR="00B84FD9" w:rsidRPr="0053711F" w:rsidRDefault="00B84FD9" w:rsidP="006534E4">
      <w:pPr>
        <w:pStyle w:val="SCCNormalDoubleSpacing"/>
        <w:widowControl w:val="0"/>
        <w:spacing w:before="480" w:after="480"/>
        <w:rPr>
          <w:lang w:val="fr-CA"/>
        </w:rPr>
      </w:pPr>
      <w:r w:rsidRPr="0053711F">
        <w:rPr>
          <w:rStyle w:val="SCCCounselNameChar"/>
          <w:lang w:val="fr-CA"/>
        </w:rPr>
        <w:tab/>
      </w:r>
      <w:r w:rsidRPr="00F274D7">
        <w:rPr>
          <w:rStyle w:val="SCCCounselNameChar"/>
          <w:i w:val="0"/>
          <w:lang w:val="fr-CA"/>
        </w:rPr>
        <w:t xml:space="preserve">Argumentation écrite seulement par </w:t>
      </w:r>
      <w:r w:rsidRPr="0053711F">
        <w:rPr>
          <w:rStyle w:val="SCCCounselNameChar"/>
          <w:lang w:val="fr-CA"/>
        </w:rPr>
        <w:t>Jolaine Antonio</w:t>
      </w:r>
      <w:r w:rsidRPr="0053711F">
        <w:rPr>
          <w:rStyle w:val="SCCCounselPartyRoleChar"/>
          <w:lang w:val="fr-CA"/>
        </w:rPr>
        <w:t>, pour l’intervenant le procureur général de l’Alberta.</w:t>
      </w:r>
    </w:p>
    <w:p w:rsidR="00B84FD9" w:rsidRDefault="00B84FD9" w:rsidP="006534E4">
      <w:pPr>
        <w:pStyle w:val="SCCNormalDoubleSpacing"/>
        <w:widowControl w:val="0"/>
        <w:spacing w:before="480" w:after="480"/>
        <w:rPr>
          <w:rStyle w:val="SCCCounselPartyRoleChar"/>
          <w:lang w:val="fr-CA"/>
        </w:rPr>
      </w:pPr>
      <w:r w:rsidRPr="0053711F">
        <w:rPr>
          <w:rStyle w:val="SCCCounselNameChar"/>
          <w:lang w:val="fr-CA"/>
        </w:rPr>
        <w:tab/>
        <w:t>Roy Millen</w:t>
      </w:r>
      <w:r w:rsidRPr="0053711F">
        <w:rPr>
          <w:rStyle w:val="SCCCounselSeparatorChar"/>
          <w:lang w:val="fr-CA"/>
        </w:rPr>
        <w:t xml:space="preserve"> et </w:t>
      </w:r>
      <w:r w:rsidRPr="0053711F">
        <w:rPr>
          <w:rStyle w:val="SCCCounselNameChar"/>
          <w:lang w:val="fr-CA"/>
        </w:rPr>
        <w:t>Rebecca Spigelman</w:t>
      </w:r>
      <w:r w:rsidRPr="0053711F">
        <w:rPr>
          <w:rStyle w:val="SCCCounselPartyRoleChar"/>
          <w:lang w:val="fr-CA"/>
        </w:rPr>
        <w:t xml:space="preserve">, pour l’intervenante </w:t>
      </w:r>
      <w:r w:rsidRPr="0053711F">
        <w:rPr>
          <w:lang w:val="fr-CA"/>
        </w:rPr>
        <w:t>British Columbia Civil Liberties Association</w:t>
      </w:r>
      <w:r w:rsidRPr="0053711F">
        <w:rPr>
          <w:rStyle w:val="SCCCounselPartyRoleChar"/>
          <w:lang w:val="fr-CA"/>
        </w:rPr>
        <w:t>.</w:t>
      </w:r>
    </w:p>
    <w:p w:rsidR="00F274D7" w:rsidRPr="0053711F" w:rsidRDefault="00F274D7" w:rsidP="006534E4">
      <w:pPr>
        <w:pStyle w:val="SCCNormalDoubleSpacing"/>
        <w:widowControl w:val="0"/>
        <w:spacing w:before="480" w:after="480"/>
        <w:rPr>
          <w:lang w:val="fr-CA"/>
        </w:rPr>
      </w:pPr>
      <w:r>
        <w:rPr>
          <w:rStyle w:val="SCCCounselPartyRoleChar"/>
          <w:lang w:val="fr-CA"/>
        </w:rPr>
        <w:tab/>
        <w:t>Version française du jugement de la juge en chef McLachlin et des juges Abella, Karakatsanis, Wagner et Brown rendu par</w:t>
      </w:r>
    </w:p>
    <w:p w:rsidR="00A37A4C" w:rsidRPr="00822328" w:rsidRDefault="00A37A4C" w:rsidP="006534E4">
      <w:pPr>
        <w:pStyle w:val="JudgeJuge"/>
        <w:widowControl w:val="0"/>
        <w:spacing w:before="480"/>
        <w:rPr>
          <w:lang w:val="fr-CA"/>
        </w:rPr>
      </w:pPr>
      <w:r w:rsidRPr="00822328">
        <w:rPr>
          <w:lang w:val="fr-CA"/>
        </w:rPr>
        <w:tab/>
        <w:t xml:space="preserve">Le juge Brown — </w:t>
      </w:r>
    </w:p>
    <w:p w:rsidR="00A37A4C" w:rsidRPr="00822328" w:rsidRDefault="00A37A4C" w:rsidP="006534E4">
      <w:pPr>
        <w:pStyle w:val="Title1LevelTitre1Niveau-AltL"/>
        <w:widowControl w:val="0"/>
        <w:tabs>
          <w:tab w:val="clear" w:pos="576"/>
          <w:tab w:val="num" w:pos="432"/>
        </w:tabs>
        <w:ind w:left="432" w:hanging="432"/>
        <w:jc w:val="left"/>
        <w:rPr>
          <w:rFonts w:cs="Times New Roman"/>
          <w:szCs w:val="24"/>
          <w:lang w:val="fr-CA"/>
        </w:rPr>
      </w:pPr>
      <w:r w:rsidRPr="00822328">
        <w:rPr>
          <w:rFonts w:cs="Times New Roman"/>
          <w:szCs w:val="24"/>
          <w:lang w:val="fr-CA"/>
        </w:rPr>
        <w:t>Introduction</w:t>
      </w:r>
    </w:p>
    <w:p w:rsidR="00A37A4C" w:rsidRPr="00822328" w:rsidRDefault="00A37A4C" w:rsidP="006534E4">
      <w:pPr>
        <w:pStyle w:val="ParaNoNdepar-AltN"/>
        <w:widowControl w:val="0"/>
        <w:rPr>
          <w:rFonts w:cs="Times New Roman"/>
          <w:lang w:val="fr-CA"/>
        </w:rPr>
      </w:pPr>
      <w:r w:rsidRPr="00822328">
        <w:rPr>
          <w:rFonts w:cs="Times New Roman"/>
          <w:lang w:val="fr-CA"/>
        </w:rPr>
        <w:t>Le pourvoi soulève les trois questions suivantes : (1) </w:t>
      </w:r>
      <w:r w:rsidRPr="00822328">
        <w:rPr>
          <w:rFonts w:cs="Times New Roman"/>
          <w:szCs w:val="24"/>
          <w:lang w:val="fr-CA"/>
        </w:rPr>
        <w:t>la règle des confessions de la common law s</w:t>
      </w:r>
      <w:r>
        <w:rPr>
          <w:rFonts w:cs="Times New Roman"/>
          <w:szCs w:val="24"/>
          <w:lang w:val="fr-CA"/>
        </w:rPr>
        <w:t>’</w:t>
      </w:r>
      <w:r w:rsidRPr="00822328">
        <w:rPr>
          <w:rFonts w:cs="Times New Roman"/>
          <w:szCs w:val="24"/>
          <w:lang w:val="fr-CA"/>
        </w:rPr>
        <w:t>applique</w:t>
      </w:r>
      <w:r w:rsidRPr="00822328">
        <w:rPr>
          <w:rFonts w:cs="Times New Roman"/>
          <w:szCs w:val="24"/>
          <w:lang w:val="fr-CA"/>
        </w:rPr>
        <w:noBreakHyphen/>
        <w:t>t</w:t>
      </w:r>
      <w:r w:rsidRPr="00822328">
        <w:rPr>
          <w:rFonts w:cs="Times New Roman"/>
          <w:szCs w:val="24"/>
          <w:lang w:val="fr-CA"/>
        </w:rPr>
        <w:noBreakHyphen/>
        <w:t xml:space="preserve">elle </w:t>
      </w:r>
      <w:r w:rsidRPr="00822328">
        <w:rPr>
          <w:rFonts w:cs="Times New Roman"/>
          <w:lang w:val="fr-CA"/>
        </w:rPr>
        <w:t>aux déclarations considérées lors d</w:t>
      </w:r>
      <w:r>
        <w:rPr>
          <w:rFonts w:cs="Times New Roman"/>
          <w:lang w:val="fr-CA"/>
        </w:rPr>
        <w:t>’</w:t>
      </w:r>
      <w:r w:rsidRPr="00822328">
        <w:rPr>
          <w:rFonts w:cs="Times New Roman"/>
          <w:lang w:val="fr-CA"/>
        </w:rPr>
        <w:t>un voir</w:t>
      </w:r>
      <w:r w:rsidRPr="00822328">
        <w:rPr>
          <w:rFonts w:cs="Times New Roman"/>
          <w:lang w:val="fr-CA"/>
        </w:rPr>
        <w:noBreakHyphen/>
        <w:t xml:space="preserve">dire tenu au regard de la </w:t>
      </w:r>
      <w:r w:rsidRPr="00822328">
        <w:rPr>
          <w:rFonts w:cs="Times New Roman"/>
          <w:i/>
          <w:lang w:val="fr-CA"/>
        </w:rPr>
        <w:t>Charte canadienne des droits et libertés</w:t>
      </w:r>
      <w:r w:rsidRPr="00822328">
        <w:rPr>
          <w:rFonts w:cs="Times New Roman"/>
          <w:lang w:val="fr-CA"/>
        </w:rPr>
        <w:t>, (2) au vu des faits de l</w:t>
      </w:r>
      <w:r>
        <w:rPr>
          <w:rFonts w:cs="Times New Roman"/>
          <w:lang w:val="fr-CA"/>
        </w:rPr>
        <w:t>’</w:t>
      </w:r>
      <w:r w:rsidRPr="00822328">
        <w:rPr>
          <w:rFonts w:cs="Times New Roman"/>
          <w:lang w:val="fr-CA"/>
        </w:rPr>
        <w:t>espèce, l</w:t>
      </w:r>
      <w:r>
        <w:rPr>
          <w:rFonts w:cs="Times New Roman"/>
          <w:lang w:val="fr-CA"/>
        </w:rPr>
        <w:t>’</w:t>
      </w:r>
      <w:r w:rsidRPr="00822328">
        <w:rPr>
          <w:rFonts w:cs="Times New Roman"/>
          <w:lang w:val="fr-CA"/>
        </w:rPr>
        <w:t xml:space="preserve">urgence de la situation au sens du par. 11(7) de la </w:t>
      </w:r>
      <w:r w:rsidRPr="00822328">
        <w:rPr>
          <w:rFonts w:cs="Times New Roman"/>
          <w:i/>
          <w:lang w:val="fr-CA"/>
        </w:rPr>
        <w:t>Loi réglementant certaines drogues et autres substances</w:t>
      </w:r>
      <w:r w:rsidRPr="00822328">
        <w:rPr>
          <w:rFonts w:cs="Times New Roman"/>
          <w:lang w:val="fr-CA"/>
        </w:rPr>
        <w:t>, L.C. 1996, c. 19 (« </w:t>
      </w:r>
      <w:r w:rsidRPr="00822328">
        <w:rPr>
          <w:rFonts w:cs="Times New Roman"/>
          <w:i/>
          <w:lang w:val="fr-CA"/>
        </w:rPr>
        <w:t>LRCDAS </w:t>
      </w:r>
      <w:r w:rsidRPr="00822328">
        <w:rPr>
          <w:rFonts w:cs="Times New Roman"/>
          <w:lang w:val="fr-CA"/>
        </w:rPr>
        <w:t>»)</w:t>
      </w:r>
      <w:r w:rsidR="00F274D7">
        <w:rPr>
          <w:rFonts w:cs="Times New Roman"/>
          <w:lang w:val="fr-CA"/>
        </w:rPr>
        <w:t>,</w:t>
      </w:r>
      <w:r w:rsidRPr="00822328">
        <w:rPr>
          <w:rFonts w:cs="Times New Roman"/>
          <w:lang w:val="fr-CA"/>
        </w:rPr>
        <w:t xml:space="preserve"> a</w:t>
      </w:r>
      <w:r w:rsidRPr="00822328">
        <w:rPr>
          <w:rFonts w:cs="Times New Roman"/>
          <w:lang w:val="fr-CA"/>
        </w:rPr>
        <w:noBreakHyphen/>
        <w:t>t</w:t>
      </w:r>
      <w:r w:rsidRPr="00822328">
        <w:rPr>
          <w:rFonts w:cs="Times New Roman"/>
          <w:lang w:val="fr-CA"/>
        </w:rPr>
        <w:noBreakHyphen/>
        <w:t>elle rendu difficilement réalisable l</w:t>
      </w:r>
      <w:r>
        <w:rPr>
          <w:rFonts w:cs="Times New Roman"/>
          <w:lang w:val="fr-CA"/>
        </w:rPr>
        <w:t>’</w:t>
      </w:r>
      <w:r w:rsidRPr="00822328">
        <w:rPr>
          <w:rFonts w:cs="Times New Roman"/>
          <w:lang w:val="fr-CA"/>
        </w:rPr>
        <w:t>obtention d</w:t>
      </w:r>
      <w:r>
        <w:rPr>
          <w:rFonts w:cs="Times New Roman"/>
          <w:lang w:val="fr-CA"/>
        </w:rPr>
        <w:t>’</w:t>
      </w:r>
      <w:r w:rsidRPr="00822328">
        <w:rPr>
          <w:rFonts w:cs="Times New Roman"/>
          <w:lang w:val="fr-CA"/>
        </w:rPr>
        <w:t>un mandat avant d</w:t>
      </w:r>
      <w:r>
        <w:rPr>
          <w:rFonts w:cs="Times New Roman"/>
          <w:lang w:val="fr-CA"/>
        </w:rPr>
        <w:t>’</w:t>
      </w:r>
      <w:r w:rsidRPr="00822328">
        <w:rPr>
          <w:rFonts w:cs="Times New Roman"/>
          <w:lang w:val="fr-CA"/>
        </w:rPr>
        <w:t>entrer chez l</w:t>
      </w:r>
      <w:r>
        <w:rPr>
          <w:rFonts w:cs="Times New Roman"/>
          <w:lang w:val="fr-CA"/>
        </w:rPr>
        <w:t>’</w:t>
      </w:r>
      <w:r w:rsidRPr="00822328">
        <w:rPr>
          <w:rFonts w:cs="Times New Roman"/>
          <w:lang w:val="fr-CA"/>
        </w:rPr>
        <w:t>appelant et d</w:t>
      </w:r>
      <w:r>
        <w:rPr>
          <w:rFonts w:cs="Times New Roman"/>
          <w:lang w:val="fr-CA"/>
        </w:rPr>
        <w:t>’</w:t>
      </w:r>
      <w:r w:rsidRPr="00822328">
        <w:rPr>
          <w:rFonts w:cs="Times New Roman"/>
          <w:lang w:val="fr-CA"/>
        </w:rPr>
        <w:t>y effectuer une perquisition et (3) l</w:t>
      </w:r>
      <w:r>
        <w:rPr>
          <w:rFonts w:cs="Times New Roman"/>
          <w:lang w:val="fr-CA"/>
        </w:rPr>
        <w:t>’</w:t>
      </w:r>
      <w:r w:rsidRPr="00822328">
        <w:rPr>
          <w:rFonts w:cs="Times New Roman"/>
          <w:lang w:val="fr-CA"/>
        </w:rPr>
        <w:t>inobservation par les policiers des exigences relatives au rapport subséquent à la perquisition constitue</w:t>
      </w:r>
      <w:r w:rsidRPr="00822328">
        <w:rPr>
          <w:rFonts w:cs="Times New Roman"/>
          <w:lang w:val="fr-CA"/>
        </w:rPr>
        <w:noBreakHyphen/>
        <w:t>t</w:t>
      </w:r>
      <w:r w:rsidRPr="00822328">
        <w:rPr>
          <w:rFonts w:cs="Times New Roman"/>
          <w:lang w:val="fr-CA"/>
        </w:rPr>
        <w:noBreakHyphen/>
        <w:t>elle une atteinte au droit garanti à l</w:t>
      </w:r>
      <w:r>
        <w:rPr>
          <w:rFonts w:cs="Times New Roman"/>
          <w:lang w:val="fr-CA"/>
        </w:rPr>
        <w:t>’</w:t>
      </w:r>
      <w:r w:rsidRPr="00822328">
        <w:rPr>
          <w:rFonts w:cs="Times New Roman"/>
          <w:lang w:val="fr-CA"/>
        </w:rPr>
        <w:t xml:space="preserve">art. 8 de la </w:t>
      </w:r>
      <w:r w:rsidRPr="00822328">
        <w:rPr>
          <w:rFonts w:cs="Times New Roman"/>
          <w:i/>
          <w:lang w:val="fr-CA"/>
        </w:rPr>
        <w:t>Charte</w:t>
      </w:r>
      <w:r w:rsidRPr="00822328">
        <w:rPr>
          <w:rFonts w:cs="Times New Roman"/>
          <w:lang w:val="fr-CA"/>
        </w:rPr>
        <w:t>? En outre, selon sa réponse aux deuxième et troisième questions, la Cour pourrait devoir décider si les éléments de preuve obtenus grâce à l</w:t>
      </w:r>
      <w:r>
        <w:rPr>
          <w:rFonts w:cs="Times New Roman"/>
          <w:lang w:val="fr-CA"/>
        </w:rPr>
        <w:t>’</w:t>
      </w:r>
      <w:r w:rsidRPr="00822328">
        <w:rPr>
          <w:rFonts w:cs="Times New Roman"/>
          <w:lang w:val="fr-CA"/>
        </w:rPr>
        <w:t>entrée et à la perquisition sans mandat chez l</w:t>
      </w:r>
      <w:r>
        <w:rPr>
          <w:rFonts w:cs="Times New Roman"/>
          <w:lang w:val="fr-CA"/>
        </w:rPr>
        <w:t>’</w:t>
      </w:r>
      <w:r w:rsidRPr="00822328">
        <w:rPr>
          <w:rFonts w:cs="Times New Roman"/>
          <w:lang w:val="fr-CA"/>
        </w:rPr>
        <w:t xml:space="preserve">appelant devraient être écartés ou non par application du par. 24(2) de la </w:t>
      </w:r>
      <w:r w:rsidRPr="00822328">
        <w:rPr>
          <w:rFonts w:cs="Times New Roman"/>
          <w:i/>
          <w:lang w:val="fr-CA"/>
        </w:rPr>
        <w:t>Charte</w:t>
      </w:r>
      <w:r w:rsidRPr="00822328">
        <w:rPr>
          <w:rFonts w:cs="Times New Roman"/>
          <w:lang w:val="fr-CA"/>
        </w:rPr>
        <w:t>.</w:t>
      </w:r>
    </w:p>
    <w:p w:rsidR="00A37A4C" w:rsidRPr="00822328" w:rsidRDefault="00A37A4C" w:rsidP="006534E4">
      <w:pPr>
        <w:pStyle w:val="ParaNoNdepar-AltN"/>
        <w:widowControl w:val="0"/>
        <w:rPr>
          <w:rFonts w:cs="Times New Roman"/>
          <w:lang w:val="fr-CA"/>
        </w:rPr>
      </w:pPr>
      <w:r w:rsidRPr="00822328">
        <w:rPr>
          <w:rFonts w:cs="Times New Roman"/>
          <w:lang w:val="fr-CA"/>
        </w:rPr>
        <w:t>Le litige fait suite à l</w:t>
      </w:r>
      <w:r>
        <w:rPr>
          <w:rFonts w:cs="Times New Roman"/>
          <w:lang w:val="fr-CA"/>
        </w:rPr>
        <w:t>’</w:t>
      </w:r>
      <w:r w:rsidRPr="00822328">
        <w:rPr>
          <w:rFonts w:cs="Times New Roman"/>
          <w:lang w:val="fr-CA"/>
        </w:rPr>
        <w:t>entrée sans mandat des policiers chez l</w:t>
      </w:r>
      <w:r>
        <w:rPr>
          <w:rFonts w:cs="Times New Roman"/>
          <w:lang w:val="fr-CA"/>
        </w:rPr>
        <w:t>’</w:t>
      </w:r>
      <w:r w:rsidRPr="00822328">
        <w:rPr>
          <w:rFonts w:cs="Times New Roman"/>
          <w:lang w:val="fr-CA"/>
        </w:rPr>
        <w:t>appelant, Brendan Paterson, après que celui</w:t>
      </w:r>
      <w:r w:rsidRPr="00822328">
        <w:rPr>
          <w:rFonts w:cs="Times New Roman"/>
          <w:lang w:val="fr-CA"/>
        </w:rPr>
        <w:noBreakHyphen/>
        <w:t>ci eut accepté de leur remettre quelques « mégots » de marihuana. Une fois à l</w:t>
      </w:r>
      <w:r>
        <w:rPr>
          <w:rFonts w:cs="Times New Roman"/>
          <w:lang w:val="fr-CA"/>
        </w:rPr>
        <w:t>’</w:t>
      </w:r>
      <w:r w:rsidRPr="00822328">
        <w:rPr>
          <w:rFonts w:cs="Times New Roman"/>
          <w:lang w:val="fr-CA"/>
        </w:rPr>
        <w:t>intérieur, les policiers ont constaté la présence d</w:t>
      </w:r>
      <w:r>
        <w:rPr>
          <w:rFonts w:cs="Times New Roman"/>
          <w:lang w:val="fr-CA"/>
        </w:rPr>
        <w:t>’</w:t>
      </w:r>
      <w:r w:rsidRPr="00822328">
        <w:rPr>
          <w:rFonts w:cs="Times New Roman"/>
          <w:lang w:val="fr-CA"/>
        </w:rPr>
        <w:t>un gilet pare</w:t>
      </w:r>
      <w:r w:rsidRPr="00822328">
        <w:rPr>
          <w:rFonts w:cs="Times New Roman"/>
          <w:lang w:val="fr-CA"/>
        </w:rPr>
        <w:noBreakHyphen/>
        <w:t>balles, d</w:t>
      </w:r>
      <w:r>
        <w:rPr>
          <w:rFonts w:cs="Times New Roman"/>
          <w:lang w:val="fr-CA"/>
        </w:rPr>
        <w:t>’</w:t>
      </w:r>
      <w:r w:rsidRPr="00822328">
        <w:rPr>
          <w:rFonts w:cs="Times New Roman"/>
          <w:lang w:val="fr-CA"/>
        </w:rPr>
        <w:t>une arme à feu et de drogues. Ils ont arrêté l</w:t>
      </w:r>
      <w:r>
        <w:rPr>
          <w:rFonts w:cs="Times New Roman"/>
          <w:lang w:val="fr-CA"/>
        </w:rPr>
        <w:t>’</w:t>
      </w:r>
      <w:r w:rsidRPr="00822328">
        <w:rPr>
          <w:rFonts w:cs="Times New Roman"/>
          <w:lang w:val="fr-CA"/>
        </w:rPr>
        <w:t>appelant puis obtenu un télémandat dont l</w:t>
      </w:r>
      <w:r>
        <w:rPr>
          <w:rFonts w:cs="Times New Roman"/>
          <w:lang w:val="fr-CA"/>
        </w:rPr>
        <w:t>’</w:t>
      </w:r>
      <w:r w:rsidRPr="00822328">
        <w:rPr>
          <w:rFonts w:cs="Times New Roman"/>
          <w:lang w:val="fr-CA"/>
        </w:rPr>
        <w:t>exécution a permis la découverte d</w:t>
      </w:r>
      <w:r>
        <w:rPr>
          <w:rFonts w:cs="Times New Roman"/>
          <w:lang w:val="fr-CA"/>
        </w:rPr>
        <w:t>’</w:t>
      </w:r>
      <w:r w:rsidRPr="00822328">
        <w:rPr>
          <w:rFonts w:cs="Times New Roman"/>
          <w:lang w:val="fr-CA"/>
        </w:rPr>
        <w:t>autres armes à feu et d</w:t>
      </w:r>
      <w:r>
        <w:rPr>
          <w:rFonts w:cs="Times New Roman"/>
          <w:lang w:val="fr-CA"/>
        </w:rPr>
        <w:t>’</w:t>
      </w:r>
      <w:r w:rsidRPr="00822328">
        <w:rPr>
          <w:rFonts w:cs="Times New Roman"/>
          <w:lang w:val="fr-CA"/>
        </w:rPr>
        <w:t>autres drogues ainsi que la formulation de neuf chefs d</w:t>
      </w:r>
      <w:r>
        <w:rPr>
          <w:rFonts w:cs="Times New Roman"/>
          <w:lang w:val="fr-CA"/>
        </w:rPr>
        <w:t>’</w:t>
      </w:r>
      <w:r w:rsidRPr="00822328">
        <w:rPr>
          <w:rFonts w:cs="Times New Roman"/>
          <w:lang w:val="fr-CA"/>
        </w:rPr>
        <w:t>accusation. Au procès, l</w:t>
      </w:r>
      <w:r>
        <w:rPr>
          <w:rFonts w:cs="Times New Roman"/>
          <w:lang w:val="fr-CA"/>
        </w:rPr>
        <w:t>’</w:t>
      </w:r>
      <w:r w:rsidRPr="00822328">
        <w:rPr>
          <w:rFonts w:cs="Times New Roman"/>
          <w:lang w:val="fr-CA"/>
        </w:rPr>
        <w:t>appelant a soutenu que l</w:t>
      </w:r>
      <w:r>
        <w:rPr>
          <w:rFonts w:cs="Times New Roman"/>
          <w:lang w:val="fr-CA"/>
        </w:rPr>
        <w:t>’</w:t>
      </w:r>
      <w:r w:rsidRPr="00822328">
        <w:rPr>
          <w:rFonts w:cs="Times New Roman"/>
          <w:lang w:val="fr-CA"/>
        </w:rPr>
        <w:t>entrée sans mandat dans sa résidence avait porté atteinte au droit à la protection que lui garantit l</w:t>
      </w:r>
      <w:r>
        <w:rPr>
          <w:rFonts w:cs="Times New Roman"/>
          <w:lang w:val="fr-CA"/>
        </w:rPr>
        <w:t>’</w:t>
      </w:r>
      <w:r w:rsidRPr="00822328">
        <w:rPr>
          <w:rFonts w:cs="Times New Roman"/>
          <w:lang w:val="fr-CA"/>
        </w:rPr>
        <w:t xml:space="preserve">art. 8 de la </w:t>
      </w:r>
      <w:r w:rsidRPr="00822328">
        <w:rPr>
          <w:rFonts w:cs="Times New Roman"/>
          <w:i/>
          <w:lang w:val="fr-CA"/>
        </w:rPr>
        <w:t>Charte</w:t>
      </w:r>
      <w:r w:rsidRPr="00822328">
        <w:rPr>
          <w:rFonts w:cs="Times New Roman"/>
          <w:lang w:val="fr-CA"/>
        </w:rPr>
        <w:t xml:space="preserve"> contre les fouilles, les perquisitions ou les saisies abusives en ce qu</w:t>
      </w:r>
      <w:r>
        <w:rPr>
          <w:rFonts w:cs="Times New Roman"/>
          <w:lang w:val="fr-CA"/>
        </w:rPr>
        <w:t>’</w:t>
      </w:r>
      <w:r w:rsidRPr="00822328">
        <w:rPr>
          <w:rFonts w:cs="Times New Roman"/>
          <w:lang w:val="fr-CA"/>
        </w:rPr>
        <w:t>aucune « urgence de la situation » n</w:t>
      </w:r>
      <w:r>
        <w:rPr>
          <w:rFonts w:cs="Times New Roman"/>
          <w:lang w:val="fr-CA"/>
        </w:rPr>
        <w:t>’</w:t>
      </w:r>
      <w:r w:rsidRPr="00822328">
        <w:rPr>
          <w:rFonts w:cs="Times New Roman"/>
          <w:lang w:val="fr-CA"/>
        </w:rPr>
        <w:t>avait rendu difficilement réalisable l</w:t>
      </w:r>
      <w:r>
        <w:rPr>
          <w:rFonts w:cs="Times New Roman"/>
          <w:lang w:val="fr-CA"/>
        </w:rPr>
        <w:t>’</w:t>
      </w:r>
      <w:r w:rsidRPr="00822328">
        <w:rPr>
          <w:rFonts w:cs="Times New Roman"/>
          <w:lang w:val="fr-CA"/>
        </w:rPr>
        <w:t>obtention d</w:t>
      </w:r>
      <w:r>
        <w:rPr>
          <w:rFonts w:cs="Times New Roman"/>
          <w:lang w:val="fr-CA"/>
        </w:rPr>
        <w:t>’</w:t>
      </w:r>
      <w:r w:rsidRPr="00822328">
        <w:rPr>
          <w:rFonts w:cs="Times New Roman"/>
          <w:lang w:val="fr-CA"/>
        </w:rPr>
        <w:t>un mandat comme l</w:t>
      </w:r>
      <w:r>
        <w:rPr>
          <w:rFonts w:cs="Times New Roman"/>
          <w:lang w:val="fr-CA"/>
        </w:rPr>
        <w:t>’</w:t>
      </w:r>
      <w:r w:rsidRPr="00822328">
        <w:rPr>
          <w:rFonts w:cs="Times New Roman"/>
          <w:lang w:val="fr-CA"/>
        </w:rPr>
        <w:t xml:space="preserve">exige le par. 11(7) de la </w:t>
      </w:r>
      <w:r w:rsidRPr="00822328">
        <w:rPr>
          <w:rFonts w:cs="Times New Roman"/>
          <w:i/>
          <w:lang w:val="fr-CA"/>
        </w:rPr>
        <w:t>LRCDAS</w:t>
      </w:r>
      <w:r w:rsidRPr="00822328">
        <w:rPr>
          <w:rFonts w:cs="Times New Roman"/>
          <w:lang w:val="fr-CA"/>
        </w:rPr>
        <w:t>. Il a en outre allégué que le dépôt par les policiers d</w:t>
      </w:r>
      <w:r>
        <w:rPr>
          <w:rFonts w:cs="Times New Roman"/>
          <w:lang w:val="fr-CA"/>
        </w:rPr>
        <w:t>’</w:t>
      </w:r>
      <w:r w:rsidRPr="00822328">
        <w:rPr>
          <w:rFonts w:cs="Times New Roman"/>
          <w:lang w:val="fr-CA"/>
        </w:rPr>
        <w:t>un rapport tardif et incomplet auprès du greffier du tribunal relativement au télémandat avait emporté une autre atteinte au droit garanti à l</w:t>
      </w:r>
      <w:r>
        <w:rPr>
          <w:rFonts w:cs="Times New Roman"/>
          <w:lang w:val="fr-CA"/>
        </w:rPr>
        <w:t>’</w:t>
      </w:r>
      <w:r w:rsidRPr="00822328">
        <w:rPr>
          <w:rFonts w:cs="Times New Roman"/>
          <w:lang w:val="fr-CA"/>
        </w:rPr>
        <w:t xml:space="preserve">art. 8. </w:t>
      </w:r>
    </w:p>
    <w:p w:rsidR="00A37A4C" w:rsidRPr="00822328" w:rsidRDefault="00A37A4C" w:rsidP="006534E4">
      <w:pPr>
        <w:pStyle w:val="ParaNoNdepar-AltN"/>
        <w:widowControl w:val="0"/>
        <w:rPr>
          <w:rFonts w:cs="Times New Roman"/>
          <w:lang w:val="fr-CA"/>
        </w:rPr>
      </w:pPr>
      <w:r w:rsidRPr="00822328">
        <w:rPr>
          <w:rFonts w:cs="Times New Roman"/>
          <w:lang w:val="fr-CA"/>
        </w:rPr>
        <w:t>Le juge du procès a estimé que l</w:t>
      </w:r>
      <w:r>
        <w:rPr>
          <w:rFonts w:cs="Times New Roman"/>
          <w:lang w:val="fr-CA"/>
        </w:rPr>
        <w:t>’</w:t>
      </w:r>
      <w:r w:rsidRPr="00822328">
        <w:rPr>
          <w:rFonts w:cs="Times New Roman"/>
          <w:lang w:val="fr-CA"/>
        </w:rPr>
        <w:t>urgence de la situation avait justifié l</w:t>
      </w:r>
      <w:r>
        <w:rPr>
          <w:rFonts w:cs="Times New Roman"/>
          <w:lang w:val="fr-CA"/>
        </w:rPr>
        <w:t>’</w:t>
      </w:r>
      <w:r w:rsidRPr="00822328">
        <w:rPr>
          <w:rFonts w:cs="Times New Roman"/>
          <w:lang w:val="fr-CA"/>
        </w:rPr>
        <w:t>entrée dans la résidence, mais aussi que le rapport tardif et incomplet avait porté atteinte au droit garanti à l</w:t>
      </w:r>
      <w:r>
        <w:rPr>
          <w:rFonts w:cs="Times New Roman"/>
          <w:lang w:val="fr-CA"/>
        </w:rPr>
        <w:t>’</w:t>
      </w:r>
      <w:r w:rsidRPr="00822328">
        <w:rPr>
          <w:rFonts w:cs="Times New Roman"/>
          <w:lang w:val="fr-CA"/>
        </w:rPr>
        <w:t xml:space="preserve">art. 8 de la </w:t>
      </w:r>
      <w:r w:rsidRPr="00822328">
        <w:rPr>
          <w:rFonts w:cs="Times New Roman"/>
          <w:i/>
          <w:lang w:val="fr-CA"/>
        </w:rPr>
        <w:t>Charte</w:t>
      </w:r>
      <w:r w:rsidRPr="00822328">
        <w:rPr>
          <w:rFonts w:cs="Times New Roman"/>
          <w:lang w:val="fr-CA"/>
        </w:rPr>
        <w:t>. Il a tout de même admis la preuve et déclaré l</w:t>
      </w:r>
      <w:r>
        <w:rPr>
          <w:rFonts w:cs="Times New Roman"/>
          <w:lang w:val="fr-CA"/>
        </w:rPr>
        <w:t>’</w:t>
      </w:r>
      <w:r w:rsidRPr="00822328">
        <w:rPr>
          <w:rFonts w:cs="Times New Roman"/>
          <w:lang w:val="fr-CA"/>
        </w:rPr>
        <w:t>appelant coupable. La Cour d</w:t>
      </w:r>
      <w:r>
        <w:rPr>
          <w:rFonts w:cs="Times New Roman"/>
          <w:lang w:val="fr-CA"/>
        </w:rPr>
        <w:t>’</w:t>
      </w:r>
      <w:r w:rsidRPr="00822328">
        <w:rPr>
          <w:rFonts w:cs="Times New Roman"/>
          <w:lang w:val="fr-CA"/>
        </w:rPr>
        <w:t>appel de la Colombie</w:t>
      </w:r>
      <w:r w:rsidRPr="00822328">
        <w:rPr>
          <w:rFonts w:cs="Times New Roman"/>
          <w:lang w:val="fr-CA"/>
        </w:rPr>
        <w:noBreakHyphen/>
        <w:t>Britannique a confirmé la décision. Selon la thèse avancée par l</w:t>
      </w:r>
      <w:r>
        <w:rPr>
          <w:rFonts w:cs="Times New Roman"/>
          <w:lang w:val="fr-CA"/>
        </w:rPr>
        <w:t>’</w:t>
      </w:r>
      <w:r w:rsidRPr="00822328">
        <w:rPr>
          <w:rFonts w:cs="Times New Roman"/>
          <w:lang w:val="fr-CA"/>
        </w:rPr>
        <w:t>appelant devant elle, la règle des confessions de la common law aurait dû, lors du voir</w:t>
      </w:r>
      <w:r w:rsidRPr="00822328">
        <w:rPr>
          <w:rFonts w:cs="Times New Roman"/>
          <w:lang w:val="fr-CA"/>
        </w:rPr>
        <w:noBreakHyphen/>
        <w:t>dire tenu sur la légalité de l</w:t>
      </w:r>
      <w:r>
        <w:rPr>
          <w:rFonts w:cs="Times New Roman"/>
          <w:lang w:val="fr-CA"/>
        </w:rPr>
        <w:t>’</w:t>
      </w:r>
      <w:r w:rsidRPr="00822328">
        <w:rPr>
          <w:rFonts w:cs="Times New Roman"/>
          <w:lang w:val="fr-CA"/>
        </w:rPr>
        <w:t>entrée et de la perquisition, faire obstacle à l</w:t>
      </w:r>
      <w:r>
        <w:rPr>
          <w:rFonts w:cs="Times New Roman"/>
          <w:lang w:val="fr-CA"/>
        </w:rPr>
        <w:t>’</w:t>
      </w:r>
      <w:r w:rsidRPr="00822328">
        <w:rPr>
          <w:rFonts w:cs="Times New Roman"/>
          <w:lang w:val="fr-CA"/>
        </w:rPr>
        <w:t>admission de sa déclaration relative aux mégots puisque le ministère public n</w:t>
      </w:r>
      <w:r>
        <w:rPr>
          <w:rFonts w:cs="Times New Roman"/>
          <w:lang w:val="fr-CA"/>
        </w:rPr>
        <w:t>’</w:t>
      </w:r>
      <w:r w:rsidRPr="00822328">
        <w:rPr>
          <w:rFonts w:cs="Times New Roman"/>
          <w:lang w:val="fr-CA"/>
        </w:rPr>
        <w:t>avait pas prouvé hors de tout doute raisonnable son caractère volontaire. La Cour d</w:t>
      </w:r>
      <w:r>
        <w:rPr>
          <w:rFonts w:cs="Times New Roman"/>
          <w:lang w:val="fr-CA"/>
        </w:rPr>
        <w:t>’</w:t>
      </w:r>
      <w:r w:rsidRPr="00822328">
        <w:rPr>
          <w:rFonts w:cs="Times New Roman"/>
          <w:lang w:val="fr-CA"/>
        </w:rPr>
        <w:t>appel a rejeté la prétention et confirmé les déclarations de culpabilité.</w:t>
      </w:r>
    </w:p>
    <w:p w:rsidR="00A37A4C" w:rsidRPr="00822328" w:rsidRDefault="00A37A4C" w:rsidP="006534E4">
      <w:pPr>
        <w:pStyle w:val="ParaNoNdepar-AltN"/>
        <w:widowControl w:val="0"/>
        <w:rPr>
          <w:rFonts w:cs="Times New Roman"/>
          <w:lang w:val="fr-CA"/>
        </w:rPr>
      </w:pPr>
      <w:r w:rsidRPr="00822328">
        <w:rPr>
          <w:rFonts w:cs="Times New Roman"/>
          <w:lang w:val="fr-CA"/>
        </w:rPr>
        <w:t>Pour les motifs qui suivent, je conviens avec la Cour d</w:t>
      </w:r>
      <w:r>
        <w:rPr>
          <w:rFonts w:cs="Times New Roman"/>
          <w:lang w:val="fr-CA"/>
        </w:rPr>
        <w:t>’</w:t>
      </w:r>
      <w:r w:rsidRPr="00822328">
        <w:rPr>
          <w:rFonts w:cs="Times New Roman"/>
          <w:lang w:val="fr-CA"/>
        </w:rPr>
        <w:t>appel que la règle des confessions ne trouve aucune application en l</w:t>
      </w:r>
      <w:r>
        <w:rPr>
          <w:rFonts w:cs="Times New Roman"/>
          <w:lang w:val="fr-CA"/>
        </w:rPr>
        <w:t>’</w:t>
      </w:r>
      <w:r w:rsidRPr="00822328">
        <w:rPr>
          <w:rFonts w:cs="Times New Roman"/>
          <w:lang w:val="fr-CA"/>
        </w:rPr>
        <w:t>espèce. J</w:t>
      </w:r>
      <w:r>
        <w:rPr>
          <w:rFonts w:cs="Times New Roman"/>
          <w:lang w:val="fr-CA"/>
        </w:rPr>
        <w:t>’</w:t>
      </w:r>
      <w:r w:rsidRPr="00822328">
        <w:rPr>
          <w:rFonts w:cs="Times New Roman"/>
          <w:lang w:val="fr-CA"/>
        </w:rPr>
        <w:t>arrive toutefois à une conclusion différente de la sienne en ce qui concerne l</w:t>
      </w:r>
      <w:r>
        <w:rPr>
          <w:rFonts w:cs="Times New Roman"/>
          <w:lang w:val="fr-CA"/>
        </w:rPr>
        <w:t>’</w:t>
      </w:r>
      <w:r w:rsidRPr="00822328">
        <w:rPr>
          <w:rFonts w:cs="Times New Roman"/>
          <w:lang w:val="fr-CA"/>
        </w:rPr>
        <w:t>entrée des policiers chez l</w:t>
      </w:r>
      <w:r>
        <w:rPr>
          <w:rFonts w:cs="Times New Roman"/>
          <w:lang w:val="fr-CA"/>
        </w:rPr>
        <w:t>’</w:t>
      </w:r>
      <w:r w:rsidRPr="00822328">
        <w:rPr>
          <w:rFonts w:cs="Times New Roman"/>
          <w:lang w:val="fr-CA"/>
        </w:rPr>
        <w:t>appelant car, soit dit en tout respect, elle n</w:t>
      </w:r>
      <w:r>
        <w:rPr>
          <w:rFonts w:cs="Times New Roman"/>
          <w:lang w:val="fr-CA"/>
        </w:rPr>
        <w:t>’</w:t>
      </w:r>
      <w:r w:rsidRPr="00822328">
        <w:rPr>
          <w:rFonts w:cs="Times New Roman"/>
          <w:lang w:val="fr-CA"/>
        </w:rPr>
        <w:t>était pas justifiée par une urgence de la situation qui rendait difficilement réalisable l</w:t>
      </w:r>
      <w:r>
        <w:rPr>
          <w:rFonts w:cs="Times New Roman"/>
          <w:lang w:val="fr-CA"/>
        </w:rPr>
        <w:t>’</w:t>
      </w:r>
      <w:r w:rsidRPr="00822328">
        <w:rPr>
          <w:rFonts w:cs="Times New Roman"/>
          <w:lang w:val="fr-CA"/>
        </w:rPr>
        <w:t>obtention d</w:t>
      </w:r>
      <w:r>
        <w:rPr>
          <w:rFonts w:cs="Times New Roman"/>
          <w:lang w:val="fr-CA"/>
        </w:rPr>
        <w:t>’</w:t>
      </w:r>
      <w:r w:rsidRPr="00822328">
        <w:rPr>
          <w:rFonts w:cs="Times New Roman"/>
          <w:lang w:val="fr-CA"/>
        </w:rPr>
        <w:t>un mandat. Comme je suis également d</w:t>
      </w:r>
      <w:r>
        <w:rPr>
          <w:rFonts w:cs="Times New Roman"/>
          <w:lang w:val="fr-CA"/>
        </w:rPr>
        <w:t>’</w:t>
      </w:r>
      <w:r w:rsidRPr="00822328">
        <w:rPr>
          <w:rFonts w:cs="Times New Roman"/>
          <w:lang w:val="fr-CA"/>
        </w:rPr>
        <w:t xml:space="preserve">avis que la preuve obtenue grâce à cette entrée devrait être écartée par application du par. 24(2) de la </w:t>
      </w:r>
      <w:r w:rsidRPr="00822328">
        <w:rPr>
          <w:rFonts w:cs="Times New Roman"/>
          <w:i/>
          <w:lang w:val="fr-CA"/>
        </w:rPr>
        <w:t>Charte</w:t>
      </w:r>
      <w:r w:rsidRPr="00822328">
        <w:rPr>
          <w:rFonts w:cs="Times New Roman"/>
          <w:lang w:val="fr-CA"/>
        </w:rPr>
        <w:t>, point n</w:t>
      </w:r>
      <w:r>
        <w:rPr>
          <w:rFonts w:cs="Times New Roman"/>
          <w:lang w:val="fr-CA"/>
        </w:rPr>
        <w:t>’</w:t>
      </w:r>
      <w:r w:rsidRPr="00822328">
        <w:rPr>
          <w:rFonts w:cs="Times New Roman"/>
          <w:lang w:val="fr-CA"/>
        </w:rPr>
        <w:t>est besoin de décider si un rapport tardif et incomplet peut en soi permettre de conclure à une atteinte au droit garanti à l</w:t>
      </w:r>
      <w:r>
        <w:rPr>
          <w:rFonts w:cs="Times New Roman"/>
          <w:lang w:val="fr-CA"/>
        </w:rPr>
        <w:t>’</w:t>
      </w:r>
      <w:r w:rsidRPr="00822328">
        <w:rPr>
          <w:rFonts w:cs="Times New Roman"/>
          <w:lang w:val="fr-CA"/>
        </w:rPr>
        <w:t xml:space="preserve">art. 8 de la </w:t>
      </w:r>
      <w:r w:rsidRPr="00822328">
        <w:rPr>
          <w:rFonts w:cs="Times New Roman"/>
          <w:i/>
          <w:lang w:val="fr-CA"/>
        </w:rPr>
        <w:t>Charte</w:t>
      </w:r>
      <w:r w:rsidRPr="00822328">
        <w:rPr>
          <w:rFonts w:cs="Times New Roman"/>
          <w:lang w:val="fr-CA"/>
        </w:rPr>
        <w:t>, ni s</w:t>
      </w:r>
      <w:r>
        <w:rPr>
          <w:rFonts w:cs="Times New Roman"/>
          <w:lang w:val="fr-CA"/>
        </w:rPr>
        <w:t>’</w:t>
      </w:r>
      <w:r w:rsidRPr="00822328">
        <w:rPr>
          <w:rFonts w:cs="Times New Roman"/>
          <w:lang w:val="fr-CA"/>
        </w:rPr>
        <w:t>il y a eu une telle atteinte dans les faits. Par conséquent, je suis d</w:t>
      </w:r>
      <w:r>
        <w:rPr>
          <w:rFonts w:cs="Times New Roman"/>
          <w:lang w:val="fr-CA"/>
        </w:rPr>
        <w:t>’</w:t>
      </w:r>
      <w:r w:rsidRPr="00822328">
        <w:rPr>
          <w:rFonts w:cs="Times New Roman"/>
          <w:lang w:val="fr-CA"/>
        </w:rPr>
        <w:t>avis d</w:t>
      </w:r>
      <w:r>
        <w:rPr>
          <w:rFonts w:cs="Times New Roman"/>
          <w:lang w:val="fr-CA"/>
        </w:rPr>
        <w:t>’</w:t>
      </w:r>
      <w:r w:rsidRPr="00822328">
        <w:rPr>
          <w:rFonts w:cs="Times New Roman"/>
          <w:lang w:val="fr-CA"/>
        </w:rPr>
        <w:t>accueillir le pourvoi, d</w:t>
      </w:r>
      <w:r>
        <w:rPr>
          <w:rFonts w:cs="Times New Roman"/>
          <w:lang w:val="fr-CA"/>
        </w:rPr>
        <w:t>’</w:t>
      </w:r>
      <w:r w:rsidRPr="00822328">
        <w:rPr>
          <w:rFonts w:cs="Times New Roman"/>
          <w:lang w:val="fr-CA"/>
        </w:rPr>
        <w:t>annuler les déclarations de culpabilité et d</w:t>
      </w:r>
      <w:r>
        <w:rPr>
          <w:rFonts w:cs="Times New Roman"/>
          <w:lang w:val="fr-CA"/>
        </w:rPr>
        <w:t>’</w:t>
      </w:r>
      <w:r w:rsidRPr="00822328">
        <w:rPr>
          <w:rFonts w:cs="Times New Roman"/>
          <w:lang w:val="fr-CA"/>
        </w:rPr>
        <w:t>inscrire des acquittements.</w:t>
      </w:r>
    </w:p>
    <w:p w:rsidR="00A37A4C" w:rsidRPr="00822328" w:rsidRDefault="00A37A4C" w:rsidP="006534E4">
      <w:pPr>
        <w:pStyle w:val="Title1LevelTitre1Niveau-AltL"/>
        <w:widowControl w:val="0"/>
        <w:rPr>
          <w:rFonts w:cs="Times New Roman"/>
          <w:szCs w:val="24"/>
          <w:lang w:val="fr-CA"/>
        </w:rPr>
      </w:pPr>
      <w:r w:rsidRPr="00822328">
        <w:rPr>
          <w:rFonts w:cs="Times New Roman"/>
          <w:szCs w:val="24"/>
          <w:lang w:val="fr-CA"/>
        </w:rPr>
        <w:t>Aperçu des faits et historique judiciaire</w:t>
      </w:r>
    </w:p>
    <w:p w:rsidR="00A37A4C" w:rsidRPr="00822328" w:rsidRDefault="00A37A4C" w:rsidP="006534E4">
      <w:pPr>
        <w:pStyle w:val="Title2LevelTitre2Niveau"/>
        <w:widowControl w:val="0"/>
        <w:rPr>
          <w:rFonts w:cs="Times New Roman"/>
          <w:lang w:val="fr-CA"/>
        </w:rPr>
      </w:pPr>
      <w:r w:rsidRPr="00822328">
        <w:rPr>
          <w:rFonts w:cs="Times New Roman"/>
          <w:lang w:val="fr-CA"/>
        </w:rPr>
        <w:t>Contexte</w:t>
      </w:r>
    </w:p>
    <w:p w:rsidR="00A37A4C" w:rsidRPr="00822328" w:rsidRDefault="00A37A4C" w:rsidP="006534E4">
      <w:pPr>
        <w:pStyle w:val="ParaNoNdepar-AltN"/>
        <w:widowControl w:val="0"/>
        <w:rPr>
          <w:rFonts w:cs="Times New Roman"/>
          <w:lang w:val="fr-CA"/>
        </w:rPr>
      </w:pPr>
      <w:r w:rsidRPr="00822328">
        <w:rPr>
          <w:rFonts w:cs="Times New Roman"/>
          <w:lang w:val="fr-CA"/>
        </w:rPr>
        <w:t>Le 30 novembre 2007, à Langley, en Colombie</w:t>
      </w:r>
      <w:r w:rsidRPr="00822328">
        <w:rPr>
          <w:rFonts w:cs="Times New Roman"/>
          <w:lang w:val="fr-CA"/>
        </w:rPr>
        <w:noBreakHyphen/>
        <w:t>Britannique, les agents Warner, Bell et Dykeman de la Gendarm</w:t>
      </w:r>
      <w:r w:rsidR="009C316C">
        <w:rPr>
          <w:rFonts w:cs="Times New Roman"/>
          <w:lang w:val="fr-CA"/>
        </w:rPr>
        <w:t>er</w:t>
      </w:r>
      <w:r w:rsidRPr="00822328">
        <w:rPr>
          <w:rFonts w:cs="Times New Roman"/>
          <w:lang w:val="fr-CA"/>
        </w:rPr>
        <w:t>ie royale du Canada ont été dépêchés pour répondre à l</w:t>
      </w:r>
      <w:r>
        <w:rPr>
          <w:rFonts w:cs="Times New Roman"/>
          <w:lang w:val="fr-CA"/>
        </w:rPr>
        <w:t>’</w:t>
      </w:r>
      <w:r w:rsidRPr="00822328">
        <w:rPr>
          <w:rFonts w:cs="Times New Roman"/>
          <w:lang w:val="fr-CA"/>
        </w:rPr>
        <w:t>appel au service 9</w:t>
      </w:r>
      <w:r w:rsidRPr="00822328">
        <w:rPr>
          <w:rFonts w:cs="Times New Roman"/>
          <w:lang w:val="fr-CA"/>
        </w:rPr>
        <w:noBreakHyphen/>
        <w:t>1</w:t>
      </w:r>
      <w:r w:rsidRPr="00822328">
        <w:rPr>
          <w:rFonts w:cs="Times New Roman"/>
          <w:lang w:val="fr-CA"/>
        </w:rPr>
        <w:noBreakHyphen/>
        <w:t>1 de C.W., une femme en pleurs qui était apparemment blessée. Après avoir parlé à la mère de C.W., qui leur a communiqué les coordonnées de l</w:t>
      </w:r>
      <w:r>
        <w:rPr>
          <w:rFonts w:cs="Times New Roman"/>
          <w:lang w:val="fr-CA"/>
        </w:rPr>
        <w:t>’</w:t>
      </w:r>
      <w:r w:rsidRPr="00822328">
        <w:rPr>
          <w:rFonts w:cs="Times New Roman"/>
          <w:lang w:val="fr-CA"/>
        </w:rPr>
        <w:t>appelant (le copain de C.W.), les agents se sont rendus à la résidence de ce dernier. Le gérant de l</w:t>
      </w:r>
      <w:r>
        <w:rPr>
          <w:rFonts w:cs="Times New Roman"/>
          <w:lang w:val="fr-CA"/>
        </w:rPr>
        <w:t>’</w:t>
      </w:r>
      <w:r w:rsidRPr="00822328">
        <w:rPr>
          <w:rFonts w:cs="Times New Roman"/>
          <w:lang w:val="fr-CA"/>
        </w:rPr>
        <w:t>immeuble les a alors dirigés vers le bon appartement et les a informés que C.W. avait été emmenée à l</w:t>
      </w:r>
      <w:r>
        <w:rPr>
          <w:rFonts w:cs="Times New Roman"/>
          <w:lang w:val="fr-CA"/>
        </w:rPr>
        <w:t>’</w:t>
      </w:r>
      <w:r w:rsidRPr="00822328">
        <w:rPr>
          <w:rFonts w:cs="Times New Roman"/>
          <w:lang w:val="fr-CA"/>
        </w:rPr>
        <w:t xml:space="preserve">hôpital pour des blessures de nature indéterminée. </w:t>
      </w:r>
      <w:r w:rsidRPr="00822328">
        <w:rPr>
          <w:rFonts w:cs="Times New Roman"/>
          <w:szCs w:val="24"/>
          <w:lang w:val="fr-CA"/>
        </w:rPr>
        <w:t>(C.W. dira par la suite aux policiers qu</w:t>
      </w:r>
      <w:r>
        <w:rPr>
          <w:rFonts w:cs="Times New Roman"/>
          <w:szCs w:val="24"/>
          <w:lang w:val="fr-CA"/>
        </w:rPr>
        <w:t>’</w:t>
      </w:r>
      <w:r w:rsidRPr="00822328">
        <w:rPr>
          <w:rFonts w:cs="Times New Roman"/>
          <w:szCs w:val="24"/>
          <w:lang w:val="fr-CA"/>
        </w:rPr>
        <w:t>elle était tombée accidentellement et s</w:t>
      </w:r>
      <w:r>
        <w:rPr>
          <w:rFonts w:cs="Times New Roman"/>
          <w:szCs w:val="24"/>
          <w:lang w:val="fr-CA"/>
        </w:rPr>
        <w:t>’</w:t>
      </w:r>
      <w:r w:rsidRPr="00822328">
        <w:rPr>
          <w:rFonts w:cs="Times New Roman"/>
          <w:szCs w:val="24"/>
          <w:lang w:val="fr-CA"/>
        </w:rPr>
        <w:t>était blessée à l</w:t>
      </w:r>
      <w:r>
        <w:rPr>
          <w:rFonts w:cs="Times New Roman"/>
          <w:szCs w:val="24"/>
          <w:lang w:val="fr-CA"/>
        </w:rPr>
        <w:t>’</w:t>
      </w:r>
      <w:r w:rsidRPr="00822328">
        <w:rPr>
          <w:rFonts w:cs="Times New Roman"/>
          <w:szCs w:val="24"/>
          <w:lang w:val="fr-CA"/>
        </w:rPr>
        <w:t>arrière de la tête, et que l</w:t>
      </w:r>
      <w:r>
        <w:rPr>
          <w:rFonts w:cs="Times New Roman"/>
          <w:szCs w:val="24"/>
          <w:lang w:val="fr-CA"/>
        </w:rPr>
        <w:t>’</w:t>
      </w:r>
      <w:r w:rsidRPr="00822328">
        <w:rPr>
          <w:rFonts w:cs="Times New Roman"/>
          <w:szCs w:val="24"/>
          <w:lang w:val="fr-CA"/>
        </w:rPr>
        <w:t>appelant n</w:t>
      </w:r>
      <w:r>
        <w:rPr>
          <w:rFonts w:cs="Times New Roman"/>
          <w:szCs w:val="24"/>
          <w:lang w:val="fr-CA"/>
        </w:rPr>
        <w:t>’</w:t>
      </w:r>
      <w:r w:rsidRPr="00822328">
        <w:rPr>
          <w:rFonts w:cs="Times New Roman"/>
          <w:szCs w:val="24"/>
          <w:lang w:val="fr-CA"/>
        </w:rPr>
        <w:t xml:space="preserve">y était pour rien.) </w:t>
      </w:r>
      <w:r w:rsidRPr="00822328">
        <w:rPr>
          <w:rFonts w:cs="Times New Roman"/>
          <w:lang w:val="fr-CA"/>
        </w:rPr>
        <w:t>Après que les policiers eurent frappé maintes fois à sa porte et signalé leur présence, l</w:t>
      </w:r>
      <w:r>
        <w:rPr>
          <w:rFonts w:cs="Times New Roman"/>
          <w:lang w:val="fr-CA"/>
        </w:rPr>
        <w:t>’</w:t>
      </w:r>
      <w:r w:rsidRPr="00822328">
        <w:rPr>
          <w:rFonts w:cs="Times New Roman"/>
          <w:lang w:val="fr-CA"/>
        </w:rPr>
        <w:t>appelant leur a ouvert. C</w:t>
      </w:r>
      <w:r>
        <w:rPr>
          <w:rFonts w:cs="Times New Roman"/>
          <w:lang w:val="fr-CA"/>
        </w:rPr>
        <w:t>’</w:t>
      </w:r>
      <w:r w:rsidRPr="00822328">
        <w:rPr>
          <w:rFonts w:cs="Times New Roman"/>
          <w:lang w:val="fr-CA"/>
        </w:rPr>
        <w:t>est alors que l</w:t>
      </w:r>
      <w:r>
        <w:rPr>
          <w:rFonts w:cs="Times New Roman"/>
          <w:lang w:val="fr-CA"/>
        </w:rPr>
        <w:t>’</w:t>
      </w:r>
      <w:r w:rsidRPr="00822328">
        <w:rPr>
          <w:rFonts w:cs="Times New Roman"/>
          <w:lang w:val="fr-CA"/>
        </w:rPr>
        <w:t>agent Dykeman a perçu une odeur de marihuana fraîche et de marihuana fumée.</w:t>
      </w:r>
    </w:p>
    <w:p w:rsidR="00A37A4C" w:rsidRPr="00822328" w:rsidRDefault="00A37A4C" w:rsidP="006534E4">
      <w:pPr>
        <w:pStyle w:val="ParaNoNdepar-AltN"/>
        <w:widowControl w:val="0"/>
        <w:rPr>
          <w:rFonts w:cs="Times New Roman"/>
          <w:lang w:val="fr-CA"/>
        </w:rPr>
      </w:pPr>
      <w:r w:rsidRPr="00822328">
        <w:rPr>
          <w:rFonts w:cs="Times New Roman"/>
          <w:lang w:val="fr-CA"/>
        </w:rPr>
        <w:t>Après avoir interrogé l</w:t>
      </w:r>
      <w:r>
        <w:rPr>
          <w:rFonts w:cs="Times New Roman"/>
          <w:lang w:val="fr-CA"/>
        </w:rPr>
        <w:t>’</w:t>
      </w:r>
      <w:r w:rsidRPr="00822328">
        <w:rPr>
          <w:rFonts w:cs="Times New Roman"/>
          <w:lang w:val="fr-CA"/>
        </w:rPr>
        <w:t>appelant au sujet de l</w:t>
      </w:r>
      <w:r>
        <w:rPr>
          <w:rFonts w:cs="Times New Roman"/>
          <w:lang w:val="fr-CA"/>
        </w:rPr>
        <w:t>’</w:t>
      </w:r>
      <w:r w:rsidRPr="00822328">
        <w:rPr>
          <w:rFonts w:cs="Times New Roman"/>
          <w:lang w:val="fr-CA"/>
        </w:rPr>
        <w:t>appel au service 9</w:t>
      </w:r>
      <w:r w:rsidRPr="00822328">
        <w:rPr>
          <w:rFonts w:cs="Times New Roman"/>
          <w:lang w:val="fr-CA"/>
        </w:rPr>
        <w:noBreakHyphen/>
        <w:t>1</w:t>
      </w:r>
      <w:r w:rsidRPr="00822328">
        <w:rPr>
          <w:rFonts w:cs="Times New Roman"/>
          <w:lang w:val="fr-CA"/>
        </w:rPr>
        <w:noBreakHyphen/>
        <w:t>1 et s</w:t>
      </w:r>
      <w:r>
        <w:rPr>
          <w:rFonts w:cs="Times New Roman"/>
          <w:lang w:val="fr-CA"/>
        </w:rPr>
        <w:t>’</w:t>
      </w:r>
      <w:r w:rsidRPr="00822328">
        <w:rPr>
          <w:rFonts w:cs="Times New Roman"/>
          <w:lang w:val="fr-CA"/>
        </w:rPr>
        <w:t>être assurés que personne n</w:t>
      </w:r>
      <w:r>
        <w:rPr>
          <w:rFonts w:cs="Times New Roman"/>
          <w:lang w:val="fr-CA"/>
        </w:rPr>
        <w:t>’</w:t>
      </w:r>
      <w:r w:rsidRPr="00822328">
        <w:rPr>
          <w:rFonts w:cs="Times New Roman"/>
          <w:lang w:val="fr-CA"/>
        </w:rPr>
        <w:t>avait besoin d</w:t>
      </w:r>
      <w:r>
        <w:rPr>
          <w:rFonts w:cs="Times New Roman"/>
          <w:lang w:val="fr-CA"/>
        </w:rPr>
        <w:t>’</w:t>
      </w:r>
      <w:r w:rsidRPr="00822328">
        <w:rPr>
          <w:rFonts w:cs="Times New Roman"/>
          <w:lang w:val="fr-CA"/>
        </w:rPr>
        <w:t>aide, les agents lui ont également posé des questions sur l</w:t>
      </w:r>
      <w:r>
        <w:rPr>
          <w:rFonts w:cs="Times New Roman"/>
          <w:lang w:val="fr-CA"/>
        </w:rPr>
        <w:t>’</w:t>
      </w:r>
      <w:r w:rsidRPr="00822328">
        <w:rPr>
          <w:rFonts w:cs="Times New Roman"/>
          <w:lang w:val="fr-CA"/>
        </w:rPr>
        <w:t>odeur. L</w:t>
      </w:r>
      <w:r>
        <w:rPr>
          <w:rFonts w:cs="Times New Roman"/>
          <w:lang w:val="fr-CA"/>
        </w:rPr>
        <w:t>’</w:t>
      </w:r>
      <w:r w:rsidRPr="00822328">
        <w:rPr>
          <w:rFonts w:cs="Times New Roman"/>
          <w:lang w:val="fr-CA"/>
        </w:rPr>
        <w:t>appelant a d</w:t>
      </w:r>
      <w:r>
        <w:rPr>
          <w:rFonts w:cs="Times New Roman"/>
          <w:lang w:val="fr-CA"/>
        </w:rPr>
        <w:t>’</w:t>
      </w:r>
      <w:r w:rsidRPr="00822328">
        <w:rPr>
          <w:rFonts w:cs="Times New Roman"/>
          <w:lang w:val="fr-CA"/>
        </w:rPr>
        <w:t>abord nié que les effluves provenaient de son appartement, mais il a ensuite reconnu avoir chez lui une certaine quantité de « mégots » de marihuana non consumés. Il n</w:t>
      </w:r>
      <w:r>
        <w:rPr>
          <w:rFonts w:cs="Times New Roman"/>
          <w:lang w:val="fr-CA"/>
        </w:rPr>
        <w:t>’</w:t>
      </w:r>
      <w:r w:rsidRPr="00822328">
        <w:rPr>
          <w:rFonts w:cs="Times New Roman"/>
          <w:lang w:val="fr-CA"/>
        </w:rPr>
        <w:t>a pas précisé le nombre exact de ces mégots, mais l</w:t>
      </w:r>
      <w:r>
        <w:rPr>
          <w:rFonts w:cs="Times New Roman"/>
          <w:lang w:val="fr-CA"/>
        </w:rPr>
        <w:t>’</w:t>
      </w:r>
      <w:r w:rsidRPr="00822328">
        <w:rPr>
          <w:rFonts w:cs="Times New Roman"/>
          <w:lang w:val="fr-CA"/>
        </w:rPr>
        <w:t>agent Dykeman a conclu qu</w:t>
      </w:r>
      <w:r>
        <w:rPr>
          <w:rFonts w:cs="Times New Roman"/>
          <w:lang w:val="fr-CA"/>
        </w:rPr>
        <w:t>’</w:t>
      </w:r>
      <w:r w:rsidRPr="00822328">
        <w:rPr>
          <w:rFonts w:cs="Times New Roman"/>
          <w:lang w:val="fr-CA"/>
        </w:rPr>
        <w:t>il y en avait trois. Les agents ont expliqué à l</w:t>
      </w:r>
      <w:r>
        <w:rPr>
          <w:rFonts w:cs="Times New Roman"/>
          <w:lang w:val="fr-CA"/>
        </w:rPr>
        <w:t>’</w:t>
      </w:r>
      <w:r w:rsidRPr="00822328">
        <w:rPr>
          <w:rFonts w:cs="Times New Roman"/>
          <w:lang w:val="fr-CA"/>
        </w:rPr>
        <w:t>appelant qu</w:t>
      </w:r>
      <w:r>
        <w:rPr>
          <w:rFonts w:cs="Times New Roman"/>
          <w:lang w:val="fr-CA"/>
        </w:rPr>
        <w:t>’</w:t>
      </w:r>
      <w:r w:rsidRPr="00822328">
        <w:rPr>
          <w:rFonts w:cs="Times New Roman"/>
          <w:lang w:val="fr-CA"/>
        </w:rPr>
        <w:t>ils allaient devoir saisir les mégots, mais qu</w:t>
      </w:r>
      <w:r>
        <w:rPr>
          <w:rFonts w:cs="Times New Roman"/>
          <w:lang w:val="fr-CA"/>
        </w:rPr>
        <w:t>’</w:t>
      </w:r>
      <w:r w:rsidRPr="00822328">
        <w:rPr>
          <w:rFonts w:cs="Times New Roman"/>
          <w:lang w:val="fr-CA"/>
        </w:rPr>
        <w:t>il s</w:t>
      </w:r>
      <w:r>
        <w:rPr>
          <w:rFonts w:cs="Times New Roman"/>
          <w:lang w:val="fr-CA"/>
        </w:rPr>
        <w:t>’</w:t>
      </w:r>
      <w:r w:rsidRPr="00822328">
        <w:rPr>
          <w:rFonts w:cs="Times New Roman"/>
          <w:lang w:val="fr-CA"/>
        </w:rPr>
        <w:t>agirait d</w:t>
      </w:r>
      <w:r>
        <w:rPr>
          <w:rFonts w:cs="Times New Roman"/>
          <w:lang w:val="fr-CA"/>
        </w:rPr>
        <w:t>’</w:t>
      </w:r>
      <w:r w:rsidRPr="00822328">
        <w:rPr>
          <w:rFonts w:cs="Times New Roman"/>
          <w:lang w:val="fr-CA"/>
        </w:rPr>
        <w:t>une saisie « sans poursuite », c</w:t>
      </w:r>
      <w:r>
        <w:rPr>
          <w:rFonts w:cs="Times New Roman"/>
          <w:lang w:val="fr-CA"/>
        </w:rPr>
        <w:t>’</w:t>
      </w:r>
      <w:r w:rsidRPr="00822328">
        <w:rPr>
          <w:rFonts w:cs="Times New Roman"/>
          <w:lang w:val="fr-CA"/>
        </w:rPr>
        <w:t>est</w:t>
      </w:r>
      <w:r w:rsidRPr="00822328">
        <w:rPr>
          <w:rFonts w:cs="Times New Roman"/>
          <w:lang w:val="fr-CA"/>
        </w:rPr>
        <w:noBreakHyphen/>
        <w:t>à</w:t>
      </w:r>
      <w:r w:rsidRPr="00822328">
        <w:rPr>
          <w:rFonts w:cs="Times New Roman"/>
          <w:lang w:val="fr-CA"/>
        </w:rPr>
        <w:noBreakHyphen/>
        <w:t>dire qu</w:t>
      </w:r>
      <w:r>
        <w:rPr>
          <w:rFonts w:cs="Times New Roman"/>
          <w:lang w:val="fr-CA"/>
        </w:rPr>
        <w:t>’</w:t>
      </w:r>
      <w:r w:rsidRPr="00822328">
        <w:rPr>
          <w:rFonts w:cs="Times New Roman"/>
          <w:lang w:val="fr-CA"/>
        </w:rPr>
        <w:t>ils saisiraient les mégots et qu</w:t>
      </w:r>
      <w:r>
        <w:rPr>
          <w:rFonts w:cs="Times New Roman"/>
          <w:lang w:val="fr-CA"/>
        </w:rPr>
        <w:t>’</w:t>
      </w:r>
      <w:r w:rsidRPr="00822328">
        <w:rPr>
          <w:rFonts w:cs="Times New Roman"/>
          <w:lang w:val="fr-CA"/>
        </w:rPr>
        <w:t>aucune accusation ne serait portée contre lui. (L</w:t>
      </w:r>
      <w:r>
        <w:rPr>
          <w:rFonts w:cs="Times New Roman"/>
          <w:lang w:val="fr-CA"/>
        </w:rPr>
        <w:t>’</w:t>
      </w:r>
      <w:r w:rsidRPr="00822328">
        <w:rPr>
          <w:rFonts w:cs="Times New Roman"/>
          <w:lang w:val="fr-CA"/>
        </w:rPr>
        <w:t>agent Dykeman a dit avoir pensé à demander un mandat, mais avoir décidé de n</w:t>
      </w:r>
      <w:r>
        <w:rPr>
          <w:rFonts w:cs="Times New Roman"/>
          <w:lang w:val="fr-CA"/>
        </w:rPr>
        <w:t>’</w:t>
      </w:r>
      <w:r w:rsidRPr="00822328">
        <w:rPr>
          <w:rFonts w:cs="Times New Roman"/>
          <w:lang w:val="fr-CA"/>
        </w:rPr>
        <w:t>en rien faire et de seulement saisir les mégots de sorte que ses collègues et lui</w:t>
      </w:r>
      <w:r w:rsidRPr="00822328">
        <w:rPr>
          <w:rFonts w:cs="Times New Roman"/>
          <w:lang w:val="fr-CA"/>
        </w:rPr>
        <w:noBreakHyphen/>
        <w:t>même puissent quitter les lieux.) L</w:t>
      </w:r>
      <w:r>
        <w:rPr>
          <w:rFonts w:cs="Times New Roman"/>
          <w:lang w:val="fr-CA"/>
        </w:rPr>
        <w:t>’</w:t>
      </w:r>
      <w:r w:rsidRPr="00822328">
        <w:rPr>
          <w:rFonts w:cs="Times New Roman"/>
          <w:lang w:val="fr-CA"/>
        </w:rPr>
        <w:t>appelant a accepté de remettre les mégots, puis il a tenté de refermer la porte, mais l</w:t>
      </w:r>
      <w:r>
        <w:rPr>
          <w:rFonts w:cs="Times New Roman"/>
          <w:lang w:val="fr-CA"/>
        </w:rPr>
        <w:t>’</w:t>
      </w:r>
      <w:r w:rsidRPr="00822328">
        <w:rPr>
          <w:rFonts w:cs="Times New Roman"/>
          <w:lang w:val="fr-CA"/>
        </w:rPr>
        <w:t>agent Dykeman l</w:t>
      </w:r>
      <w:r>
        <w:rPr>
          <w:rFonts w:cs="Times New Roman"/>
          <w:lang w:val="fr-CA"/>
        </w:rPr>
        <w:t>’</w:t>
      </w:r>
      <w:r w:rsidRPr="00822328">
        <w:rPr>
          <w:rFonts w:cs="Times New Roman"/>
          <w:lang w:val="fr-CA"/>
        </w:rPr>
        <w:t>en a empêché avec son pied et a dit ne pas vouloir le perdre de vue. Il aurait agi ainsi de crainte que l</w:t>
      </w:r>
      <w:r>
        <w:rPr>
          <w:rFonts w:cs="Times New Roman"/>
          <w:lang w:val="fr-CA"/>
        </w:rPr>
        <w:t>’</w:t>
      </w:r>
      <w:r w:rsidRPr="00822328">
        <w:rPr>
          <w:rFonts w:cs="Times New Roman"/>
          <w:lang w:val="fr-CA"/>
        </w:rPr>
        <w:t>appelant ne détruise les mégots et pour assurer la « sécurité des policiers ». L</w:t>
      </w:r>
      <w:r>
        <w:rPr>
          <w:rFonts w:cs="Times New Roman"/>
          <w:lang w:val="fr-CA"/>
        </w:rPr>
        <w:t>’</w:t>
      </w:r>
      <w:r w:rsidRPr="00822328">
        <w:rPr>
          <w:rFonts w:cs="Times New Roman"/>
          <w:lang w:val="fr-CA"/>
        </w:rPr>
        <w:t>agent Dykeman a suivi l</w:t>
      </w:r>
      <w:r>
        <w:rPr>
          <w:rFonts w:cs="Times New Roman"/>
          <w:lang w:val="fr-CA"/>
        </w:rPr>
        <w:t>’</w:t>
      </w:r>
      <w:r w:rsidRPr="00822328">
        <w:rPr>
          <w:rFonts w:cs="Times New Roman"/>
          <w:lang w:val="fr-CA"/>
        </w:rPr>
        <w:t>appelant à l</w:t>
      </w:r>
      <w:r>
        <w:rPr>
          <w:rFonts w:cs="Times New Roman"/>
          <w:lang w:val="fr-CA"/>
        </w:rPr>
        <w:t>’</w:t>
      </w:r>
      <w:r w:rsidRPr="00822328">
        <w:rPr>
          <w:rFonts w:cs="Times New Roman"/>
          <w:lang w:val="fr-CA"/>
        </w:rPr>
        <w:t>intérieur, et l</w:t>
      </w:r>
      <w:r>
        <w:rPr>
          <w:rFonts w:cs="Times New Roman"/>
          <w:lang w:val="fr-CA"/>
        </w:rPr>
        <w:t>’</w:t>
      </w:r>
      <w:r w:rsidRPr="00822328">
        <w:rPr>
          <w:rFonts w:cs="Times New Roman"/>
          <w:lang w:val="fr-CA"/>
        </w:rPr>
        <w:t>agent Bell a suivi son collègue afin qu</w:t>
      </w:r>
      <w:r>
        <w:rPr>
          <w:rFonts w:cs="Times New Roman"/>
          <w:lang w:val="fr-CA"/>
        </w:rPr>
        <w:t>’</w:t>
      </w:r>
      <w:r w:rsidRPr="00822328">
        <w:rPr>
          <w:rFonts w:cs="Times New Roman"/>
          <w:lang w:val="fr-CA"/>
        </w:rPr>
        <w:t>il ne soit pas seul avec l</w:t>
      </w:r>
      <w:r>
        <w:rPr>
          <w:rFonts w:cs="Times New Roman"/>
          <w:lang w:val="fr-CA"/>
        </w:rPr>
        <w:t>’</w:t>
      </w:r>
      <w:r w:rsidRPr="00822328">
        <w:rPr>
          <w:rFonts w:cs="Times New Roman"/>
          <w:lang w:val="fr-CA"/>
        </w:rPr>
        <w:t>appelant, par crainte d</w:t>
      </w:r>
      <w:r>
        <w:rPr>
          <w:rFonts w:cs="Times New Roman"/>
          <w:lang w:val="fr-CA"/>
        </w:rPr>
        <w:t>’</w:t>
      </w:r>
      <w:r w:rsidRPr="00822328">
        <w:rPr>
          <w:rFonts w:cs="Times New Roman"/>
          <w:lang w:val="fr-CA"/>
        </w:rPr>
        <w:t xml:space="preserve">un danger </w:t>
      </w:r>
      <w:r w:rsidRPr="00822328">
        <w:rPr>
          <w:rFonts w:cs="Times New Roman"/>
          <w:szCs w:val="24"/>
          <w:lang w:val="fr-CA"/>
        </w:rPr>
        <w:t>(la mère de C.W. ayant dit aux policiers que l</w:t>
      </w:r>
      <w:r>
        <w:rPr>
          <w:rFonts w:cs="Times New Roman"/>
          <w:szCs w:val="24"/>
          <w:lang w:val="fr-CA"/>
        </w:rPr>
        <w:t>’</w:t>
      </w:r>
      <w:r w:rsidRPr="00822328">
        <w:rPr>
          <w:rFonts w:cs="Times New Roman"/>
          <w:szCs w:val="24"/>
          <w:lang w:val="fr-CA"/>
        </w:rPr>
        <w:t>appelant possédait un fusil de chasse)</w:t>
      </w:r>
      <w:r w:rsidR="00F274D7">
        <w:rPr>
          <w:rFonts w:cs="Times New Roman"/>
          <w:szCs w:val="24"/>
          <w:lang w:val="fr-CA"/>
        </w:rPr>
        <w:t>.</w:t>
      </w:r>
    </w:p>
    <w:p w:rsidR="00A37A4C" w:rsidRPr="00822328" w:rsidRDefault="00A37A4C" w:rsidP="006534E4">
      <w:pPr>
        <w:pStyle w:val="ParaNoNdepar-AltN"/>
        <w:widowControl w:val="0"/>
        <w:rPr>
          <w:rFonts w:cs="Times New Roman"/>
          <w:lang w:val="fr-CA"/>
        </w:rPr>
      </w:pPr>
      <w:r w:rsidRPr="00822328">
        <w:rPr>
          <w:rFonts w:cs="Times New Roman"/>
          <w:lang w:val="fr-CA"/>
        </w:rPr>
        <w:t>Une fois à l</w:t>
      </w:r>
      <w:r>
        <w:rPr>
          <w:rFonts w:cs="Times New Roman"/>
          <w:lang w:val="fr-CA"/>
        </w:rPr>
        <w:t>’</w:t>
      </w:r>
      <w:r w:rsidRPr="00822328">
        <w:rPr>
          <w:rFonts w:cs="Times New Roman"/>
          <w:lang w:val="fr-CA"/>
        </w:rPr>
        <w:t>intérieur, l</w:t>
      </w:r>
      <w:r>
        <w:rPr>
          <w:rFonts w:cs="Times New Roman"/>
          <w:lang w:val="fr-CA"/>
        </w:rPr>
        <w:t>’</w:t>
      </w:r>
      <w:r w:rsidRPr="00822328">
        <w:rPr>
          <w:rFonts w:cs="Times New Roman"/>
          <w:lang w:val="fr-CA"/>
        </w:rPr>
        <w:t>appelant a pris un sac contenant les mégots pour le remettre aux agents. L</w:t>
      </w:r>
      <w:r>
        <w:rPr>
          <w:rFonts w:cs="Times New Roman"/>
          <w:lang w:val="fr-CA"/>
        </w:rPr>
        <w:t>’</w:t>
      </w:r>
      <w:r w:rsidRPr="00822328">
        <w:rPr>
          <w:rFonts w:cs="Times New Roman"/>
          <w:lang w:val="fr-CA"/>
        </w:rPr>
        <w:t>agent Dykeman a alors aperçu une veste pare</w:t>
      </w:r>
      <w:r w:rsidRPr="00822328">
        <w:rPr>
          <w:rFonts w:cs="Times New Roman"/>
          <w:lang w:val="fr-CA"/>
        </w:rPr>
        <w:noBreakHyphen/>
        <w:t>balles sur un canapé, une arme de poing sur une table basse et un sac de comprimés (qui lui ont semblé être de l</w:t>
      </w:r>
      <w:r>
        <w:rPr>
          <w:rFonts w:cs="Times New Roman"/>
          <w:lang w:val="fr-CA"/>
        </w:rPr>
        <w:t>’</w:t>
      </w:r>
      <w:r w:rsidRPr="00822328">
        <w:rPr>
          <w:rFonts w:cs="Times New Roman"/>
          <w:lang w:val="fr-CA"/>
        </w:rPr>
        <w:t>ecstasy) sur le support d</w:t>
      </w:r>
      <w:r>
        <w:rPr>
          <w:rFonts w:cs="Times New Roman"/>
          <w:lang w:val="fr-CA"/>
        </w:rPr>
        <w:t>’</w:t>
      </w:r>
      <w:r w:rsidRPr="00822328">
        <w:rPr>
          <w:rFonts w:cs="Times New Roman"/>
          <w:lang w:val="fr-CA"/>
        </w:rPr>
        <w:t>une enceinte acoustique. L</w:t>
      </w:r>
      <w:r>
        <w:rPr>
          <w:rFonts w:cs="Times New Roman"/>
          <w:lang w:val="fr-CA"/>
        </w:rPr>
        <w:t>’</w:t>
      </w:r>
      <w:r w:rsidRPr="00822328">
        <w:rPr>
          <w:rFonts w:cs="Times New Roman"/>
          <w:lang w:val="fr-CA"/>
        </w:rPr>
        <w:t>agent Bell et lui ont procédé sur</w:t>
      </w:r>
      <w:r w:rsidRPr="00822328">
        <w:rPr>
          <w:rFonts w:cs="Times New Roman"/>
          <w:lang w:val="fr-CA"/>
        </w:rPr>
        <w:noBreakHyphen/>
        <w:t>le</w:t>
      </w:r>
      <w:r w:rsidRPr="00822328">
        <w:rPr>
          <w:rFonts w:cs="Times New Roman"/>
          <w:lang w:val="fr-CA"/>
        </w:rPr>
        <w:noBreakHyphen/>
        <w:t>champ à l</w:t>
      </w:r>
      <w:r>
        <w:rPr>
          <w:rFonts w:cs="Times New Roman"/>
          <w:lang w:val="fr-CA"/>
        </w:rPr>
        <w:t>’</w:t>
      </w:r>
      <w:r w:rsidRPr="00822328">
        <w:rPr>
          <w:rFonts w:cs="Times New Roman"/>
          <w:lang w:val="fr-CA"/>
        </w:rPr>
        <w:t>arrestation et à la fouille de l</w:t>
      </w:r>
      <w:r>
        <w:rPr>
          <w:rFonts w:cs="Times New Roman"/>
          <w:lang w:val="fr-CA"/>
        </w:rPr>
        <w:t>’</w:t>
      </w:r>
      <w:r w:rsidRPr="00822328">
        <w:rPr>
          <w:rFonts w:cs="Times New Roman"/>
          <w:lang w:val="fr-CA"/>
        </w:rPr>
        <w:t>appelant et ont trouvé sur lui un téléphone portable et une forte somme d</w:t>
      </w:r>
      <w:r>
        <w:rPr>
          <w:rFonts w:cs="Times New Roman"/>
          <w:lang w:val="fr-CA"/>
        </w:rPr>
        <w:t>’</w:t>
      </w:r>
      <w:r w:rsidRPr="00822328">
        <w:rPr>
          <w:rFonts w:cs="Times New Roman"/>
          <w:lang w:val="fr-CA"/>
        </w:rPr>
        <w:t>argent. Un examen rapide des lieux a révélé la présence de deux grands sacs de comprimés (encore une fois de l</w:t>
      </w:r>
      <w:r>
        <w:rPr>
          <w:rFonts w:cs="Times New Roman"/>
          <w:lang w:val="fr-CA"/>
        </w:rPr>
        <w:t>’</w:t>
      </w:r>
      <w:r w:rsidRPr="00822328">
        <w:rPr>
          <w:rFonts w:cs="Times New Roman"/>
          <w:lang w:val="fr-CA"/>
        </w:rPr>
        <w:t>ecstasy, selon eux) et, sur la tablette d</w:t>
      </w:r>
      <w:r>
        <w:rPr>
          <w:rFonts w:cs="Times New Roman"/>
          <w:lang w:val="fr-CA"/>
        </w:rPr>
        <w:t>’</w:t>
      </w:r>
      <w:r w:rsidRPr="00822328">
        <w:rPr>
          <w:rFonts w:cs="Times New Roman"/>
          <w:lang w:val="fr-CA"/>
        </w:rPr>
        <w:t xml:space="preserve">un placard, un sac qui paraissait contenir </w:t>
      </w:r>
      <w:r w:rsidRPr="00822328">
        <w:rPr>
          <w:rFonts w:cs="Times New Roman"/>
          <w:szCs w:val="24"/>
          <w:lang w:val="fr-CA"/>
        </w:rPr>
        <w:t xml:space="preserve">du crack. </w:t>
      </w:r>
    </w:p>
    <w:p w:rsidR="00A37A4C" w:rsidRPr="00822328" w:rsidRDefault="00A37A4C" w:rsidP="006534E4">
      <w:pPr>
        <w:pStyle w:val="ParaNoNdepar-AltN"/>
        <w:widowControl w:val="0"/>
        <w:rPr>
          <w:rFonts w:cs="Times New Roman"/>
          <w:lang w:val="fr-CA"/>
        </w:rPr>
      </w:pPr>
      <w:r w:rsidRPr="00822328">
        <w:rPr>
          <w:rFonts w:cs="Times New Roman"/>
          <w:lang w:val="fr-CA"/>
        </w:rPr>
        <w:t>Après s</w:t>
      </w:r>
      <w:r>
        <w:rPr>
          <w:rFonts w:cs="Times New Roman"/>
          <w:lang w:val="fr-CA"/>
        </w:rPr>
        <w:t>’</w:t>
      </w:r>
      <w:r w:rsidRPr="00822328">
        <w:rPr>
          <w:rFonts w:cs="Times New Roman"/>
          <w:lang w:val="fr-CA"/>
        </w:rPr>
        <w:t>être assuré de l</w:t>
      </w:r>
      <w:r>
        <w:rPr>
          <w:rFonts w:cs="Times New Roman"/>
          <w:lang w:val="fr-CA"/>
        </w:rPr>
        <w:t>’</w:t>
      </w:r>
      <w:r w:rsidRPr="00822328">
        <w:rPr>
          <w:rFonts w:cs="Times New Roman"/>
          <w:lang w:val="fr-CA"/>
        </w:rPr>
        <w:t>absence d</w:t>
      </w:r>
      <w:r>
        <w:rPr>
          <w:rFonts w:cs="Times New Roman"/>
          <w:lang w:val="fr-CA"/>
        </w:rPr>
        <w:t>’</w:t>
      </w:r>
      <w:r w:rsidRPr="00822328">
        <w:rPr>
          <w:rFonts w:cs="Times New Roman"/>
          <w:lang w:val="fr-CA"/>
        </w:rPr>
        <w:t>autres personnes dans la résidence, l</w:t>
      </w:r>
      <w:r>
        <w:rPr>
          <w:rFonts w:cs="Times New Roman"/>
          <w:lang w:val="fr-CA"/>
        </w:rPr>
        <w:t>’</w:t>
      </w:r>
      <w:r w:rsidRPr="00822328">
        <w:rPr>
          <w:rFonts w:cs="Times New Roman"/>
          <w:lang w:val="fr-CA"/>
        </w:rPr>
        <w:t xml:space="preserve">agent Dykeman est retourné à son détachement. Il a obtenu un télémandat en application des par. 11(1) et (2) de la </w:t>
      </w:r>
      <w:r w:rsidRPr="00822328">
        <w:rPr>
          <w:rFonts w:cs="Times New Roman"/>
          <w:i/>
          <w:lang w:val="fr-CA"/>
        </w:rPr>
        <w:t>LRCDAS</w:t>
      </w:r>
      <w:r w:rsidRPr="00822328">
        <w:rPr>
          <w:rFonts w:cs="Times New Roman"/>
          <w:lang w:val="fr-CA"/>
        </w:rPr>
        <w:t xml:space="preserve"> et de l</w:t>
      </w:r>
      <w:r>
        <w:rPr>
          <w:rFonts w:cs="Times New Roman"/>
          <w:lang w:val="fr-CA"/>
        </w:rPr>
        <w:t>’</w:t>
      </w:r>
      <w:r w:rsidRPr="00822328">
        <w:rPr>
          <w:rFonts w:cs="Times New Roman"/>
          <w:lang w:val="fr-CA"/>
        </w:rPr>
        <w:t xml:space="preserve">art. 487.1 du </w:t>
      </w:r>
      <w:r w:rsidRPr="00822328">
        <w:rPr>
          <w:rFonts w:cs="Times New Roman"/>
          <w:i/>
          <w:lang w:val="fr-CA"/>
        </w:rPr>
        <w:t>Code criminel</w:t>
      </w:r>
      <w:r w:rsidRPr="00822328">
        <w:rPr>
          <w:rFonts w:cs="Times New Roman"/>
          <w:lang w:val="fr-CA"/>
        </w:rPr>
        <w:t>, L.R.C. 1985, c. C</w:t>
      </w:r>
      <w:r w:rsidRPr="00822328">
        <w:rPr>
          <w:rFonts w:cs="Times New Roman"/>
          <w:lang w:val="fr-CA"/>
        </w:rPr>
        <w:noBreakHyphen/>
        <w:t>46. Les policiers ont exécuté le mandat le même jour; ils ont découvert de la cocaïne, de la métamphétamine, des comprimés d</w:t>
      </w:r>
      <w:r>
        <w:rPr>
          <w:rFonts w:cs="Times New Roman"/>
          <w:lang w:val="fr-CA"/>
        </w:rPr>
        <w:t>’</w:t>
      </w:r>
      <w:r w:rsidRPr="00822328">
        <w:rPr>
          <w:rFonts w:cs="Times New Roman"/>
          <w:lang w:val="fr-CA"/>
        </w:rPr>
        <w:t>ectasy, de la marihuana et de l</w:t>
      </w:r>
      <w:r>
        <w:rPr>
          <w:rFonts w:cs="Times New Roman"/>
          <w:lang w:val="fr-CA"/>
        </w:rPr>
        <w:t>’</w:t>
      </w:r>
      <w:r w:rsidRPr="00822328">
        <w:rPr>
          <w:rFonts w:cs="Times New Roman"/>
          <w:lang w:val="fr-CA"/>
        </w:rPr>
        <w:t>oxycodone, un attirail de consommation de drogues, quatre armes à feu chargées, un gilet pare</w:t>
      </w:r>
      <w:r w:rsidRPr="00822328">
        <w:rPr>
          <w:rFonts w:cs="Times New Roman"/>
          <w:lang w:val="fr-CA"/>
        </w:rPr>
        <w:noBreakHyphen/>
        <w:t>balles ainsi qu</w:t>
      </w:r>
      <w:r>
        <w:rPr>
          <w:rFonts w:cs="Times New Roman"/>
          <w:lang w:val="fr-CA"/>
        </w:rPr>
        <w:t>’</w:t>
      </w:r>
      <w:r w:rsidRPr="00822328">
        <w:rPr>
          <w:rFonts w:cs="Times New Roman"/>
          <w:lang w:val="fr-CA"/>
        </w:rPr>
        <w:t>une importante somme d</w:t>
      </w:r>
      <w:r>
        <w:rPr>
          <w:rFonts w:cs="Times New Roman"/>
          <w:lang w:val="fr-CA"/>
        </w:rPr>
        <w:t>’</w:t>
      </w:r>
      <w:r w:rsidRPr="00822328">
        <w:rPr>
          <w:rFonts w:cs="Times New Roman"/>
          <w:lang w:val="fr-CA"/>
        </w:rPr>
        <w:t>argent. M. Paterson a finalement été reconnu coupable de quatre chefs de possession d</w:t>
      </w:r>
      <w:r>
        <w:rPr>
          <w:rFonts w:cs="Times New Roman"/>
          <w:lang w:val="fr-CA"/>
        </w:rPr>
        <w:t>’</w:t>
      </w:r>
      <w:r w:rsidRPr="00822328">
        <w:rPr>
          <w:rFonts w:cs="Times New Roman"/>
          <w:lang w:val="fr-CA"/>
        </w:rPr>
        <w:t>une arme à feu prohibée ou à autorisation restreinte, de trois chefs de possession d</w:t>
      </w:r>
      <w:r>
        <w:rPr>
          <w:rFonts w:cs="Times New Roman"/>
          <w:lang w:val="fr-CA"/>
        </w:rPr>
        <w:t>’</w:t>
      </w:r>
      <w:r w:rsidRPr="00822328">
        <w:rPr>
          <w:rFonts w:cs="Times New Roman"/>
          <w:lang w:val="fr-CA"/>
        </w:rPr>
        <w:t>une substance désignée en vue d</w:t>
      </w:r>
      <w:r>
        <w:rPr>
          <w:rFonts w:cs="Times New Roman"/>
          <w:lang w:val="fr-CA"/>
        </w:rPr>
        <w:t>’</w:t>
      </w:r>
      <w:r w:rsidRPr="00822328">
        <w:rPr>
          <w:rFonts w:cs="Times New Roman"/>
          <w:lang w:val="fr-CA"/>
        </w:rPr>
        <w:t>en faire le trafic et de deux chefs de possession simple d</w:t>
      </w:r>
      <w:r>
        <w:rPr>
          <w:rFonts w:cs="Times New Roman"/>
          <w:lang w:val="fr-CA"/>
        </w:rPr>
        <w:t>’</w:t>
      </w:r>
      <w:r w:rsidRPr="00822328">
        <w:rPr>
          <w:rFonts w:cs="Times New Roman"/>
          <w:lang w:val="fr-CA"/>
        </w:rPr>
        <w:t xml:space="preserve">une substance désignée. </w:t>
      </w:r>
    </w:p>
    <w:p w:rsidR="00A37A4C" w:rsidRPr="00822328" w:rsidRDefault="00102694" w:rsidP="006534E4">
      <w:pPr>
        <w:pStyle w:val="ParaNoNdepar-AltN"/>
        <w:widowControl w:val="0"/>
        <w:rPr>
          <w:rFonts w:cs="Times New Roman"/>
          <w:lang w:val="fr-CA"/>
        </w:rPr>
      </w:pPr>
      <w:r>
        <w:rPr>
          <w:rFonts w:cs="Times New Roman"/>
          <w:lang w:val="fr-CA"/>
        </w:rPr>
        <w:t>Le paragraphe</w:t>
      </w:r>
      <w:r w:rsidR="00A37A4C" w:rsidRPr="00822328">
        <w:rPr>
          <w:rFonts w:cs="Times New Roman"/>
          <w:lang w:val="fr-CA"/>
        </w:rPr>
        <w:t xml:space="preserve"> 487.1(9) du </w:t>
      </w:r>
      <w:r w:rsidR="00A37A4C" w:rsidRPr="00822328">
        <w:rPr>
          <w:rFonts w:cs="Times New Roman"/>
          <w:i/>
          <w:lang w:val="fr-CA"/>
        </w:rPr>
        <w:t>Code criminel</w:t>
      </w:r>
      <w:r w:rsidR="00A37A4C" w:rsidRPr="00822328">
        <w:rPr>
          <w:rFonts w:cs="Times New Roman"/>
          <w:lang w:val="fr-CA"/>
        </w:rPr>
        <w:t xml:space="preserve"> exige de l</w:t>
      </w:r>
      <w:r w:rsidR="00A37A4C">
        <w:rPr>
          <w:rFonts w:cs="Times New Roman"/>
          <w:lang w:val="fr-CA"/>
        </w:rPr>
        <w:t>’</w:t>
      </w:r>
      <w:r w:rsidR="00A37A4C" w:rsidRPr="00822328">
        <w:rPr>
          <w:rFonts w:cs="Times New Roman"/>
          <w:lang w:val="fr-CA"/>
        </w:rPr>
        <w:t>agent de la paix à qui est décerné un mandat de perquisition qu</w:t>
      </w:r>
      <w:r w:rsidR="00A37A4C">
        <w:rPr>
          <w:rFonts w:cs="Times New Roman"/>
          <w:lang w:val="fr-CA"/>
        </w:rPr>
        <w:t>’</w:t>
      </w:r>
      <w:r w:rsidR="00A37A4C" w:rsidRPr="00822328">
        <w:rPr>
          <w:rFonts w:cs="Times New Roman"/>
          <w:lang w:val="fr-CA"/>
        </w:rPr>
        <w:t xml:space="preserve">il dépose </w:t>
      </w:r>
      <w:r w:rsidR="00A37A4C" w:rsidRPr="00822328">
        <w:rPr>
          <w:rFonts w:cs="Times New Roman"/>
          <w:szCs w:val="24"/>
          <w:lang w:val="fr-CA"/>
        </w:rPr>
        <w:t>auprès du greffier du tribunal,</w:t>
      </w:r>
      <w:r w:rsidR="00A37A4C" w:rsidRPr="00822328">
        <w:rPr>
          <w:rFonts w:cs="Times New Roman"/>
          <w:lang w:val="fr-CA"/>
        </w:rPr>
        <w:t xml:space="preserve"> « dans les plus brefs délais possible mais au plus tard dans les sept jours suivant l</w:t>
      </w:r>
      <w:r w:rsidR="00A37A4C">
        <w:rPr>
          <w:rFonts w:cs="Times New Roman"/>
          <w:lang w:val="fr-CA"/>
        </w:rPr>
        <w:t>’</w:t>
      </w:r>
      <w:r w:rsidR="00A37A4C" w:rsidRPr="00822328">
        <w:rPr>
          <w:rFonts w:cs="Times New Roman"/>
          <w:lang w:val="fr-CA"/>
        </w:rPr>
        <w:t>exécution du mandat », un rapport (« rapport rédigé selon la formule 5.2 ») qui précise entre autres quelles choses ont été saisies et les motifs qui ont justifié la saisie de choses non mentionnées dans la dénonciation visant l</w:t>
      </w:r>
      <w:r w:rsidR="00A37A4C">
        <w:rPr>
          <w:rFonts w:cs="Times New Roman"/>
          <w:lang w:val="fr-CA"/>
        </w:rPr>
        <w:t>’</w:t>
      </w:r>
      <w:r w:rsidR="00A37A4C" w:rsidRPr="00822328">
        <w:rPr>
          <w:rFonts w:cs="Times New Roman"/>
          <w:lang w:val="fr-CA"/>
        </w:rPr>
        <w:t>obtention d</w:t>
      </w:r>
      <w:r w:rsidR="00A37A4C">
        <w:rPr>
          <w:rFonts w:cs="Times New Roman"/>
          <w:lang w:val="fr-CA"/>
        </w:rPr>
        <w:t>’</w:t>
      </w:r>
      <w:r w:rsidR="00A37A4C" w:rsidRPr="00822328">
        <w:rPr>
          <w:rFonts w:cs="Times New Roman"/>
          <w:lang w:val="fr-CA"/>
        </w:rPr>
        <w:t>un mandat de perquisition. En l</w:t>
      </w:r>
      <w:r w:rsidR="00A37A4C">
        <w:rPr>
          <w:rFonts w:cs="Times New Roman"/>
          <w:lang w:val="fr-CA"/>
        </w:rPr>
        <w:t>’</w:t>
      </w:r>
      <w:r w:rsidR="00A37A4C" w:rsidRPr="00822328">
        <w:rPr>
          <w:rFonts w:cs="Times New Roman"/>
          <w:lang w:val="fr-CA"/>
        </w:rPr>
        <w:t>espèce, le mandat a été exécuté le 30 novembre 2007, mais le rapport rédigé selon la formule 5.2 n</w:t>
      </w:r>
      <w:r w:rsidR="00A37A4C">
        <w:rPr>
          <w:rFonts w:cs="Times New Roman"/>
          <w:lang w:val="fr-CA"/>
        </w:rPr>
        <w:t>’</w:t>
      </w:r>
      <w:r w:rsidR="00A37A4C" w:rsidRPr="00822328">
        <w:rPr>
          <w:rFonts w:cs="Times New Roman"/>
          <w:lang w:val="fr-CA"/>
        </w:rPr>
        <w:t>a été déposé que le 13 février 2008. Qui plus est, le rapport était incomplet, bon nombre des objets saisis n</w:t>
      </w:r>
      <w:r w:rsidR="00A37A4C">
        <w:rPr>
          <w:rFonts w:cs="Times New Roman"/>
          <w:lang w:val="fr-CA"/>
        </w:rPr>
        <w:t>’</w:t>
      </w:r>
      <w:r w:rsidR="00A37A4C" w:rsidRPr="00822328">
        <w:rPr>
          <w:rFonts w:cs="Times New Roman"/>
          <w:lang w:val="fr-CA"/>
        </w:rPr>
        <w:t>y figurant pas et aucun motif de saisie n</w:t>
      </w:r>
      <w:r w:rsidR="00A37A4C">
        <w:rPr>
          <w:rFonts w:cs="Times New Roman"/>
          <w:lang w:val="fr-CA"/>
        </w:rPr>
        <w:t>’</w:t>
      </w:r>
      <w:r w:rsidR="00A37A4C" w:rsidRPr="00822328">
        <w:rPr>
          <w:rFonts w:cs="Times New Roman"/>
          <w:lang w:val="fr-CA"/>
        </w:rPr>
        <w:t xml:space="preserve">y étant précisé. </w:t>
      </w:r>
    </w:p>
    <w:p w:rsidR="00A37A4C" w:rsidRPr="00822328" w:rsidRDefault="00A37A4C" w:rsidP="006534E4">
      <w:pPr>
        <w:pStyle w:val="Title2LevelTitre2Niveau"/>
        <w:widowControl w:val="0"/>
        <w:rPr>
          <w:rFonts w:cs="Times New Roman"/>
          <w:lang w:val="fr-CA"/>
        </w:rPr>
      </w:pPr>
      <w:r w:rsidRPr="00822328">
        <w:rPr>
          <w:rFonts w:cs="Times New Roman"/>
          <w:lang w:val="fr-CA"/>
        </w:rPr>
        <w:t>Historique judiciaire</w:t>
      </w:r>
    </w:p>
    <w:p w:rsidR="00A37A4C" w:rsidRPr="00822328" w:rsidRDefault="00A37A4C" w:rsidP="006534E4">
      <w:pPr>
        <w:pStyle w:val="Title3LevelTitre3Niveau"/>
        <w:widowControl w:val="0"/>
        <w:rPr>
          <w:rFonts w:cs="Times New Roman"/>
          <w:lang w:val="fr-CA"/>
        </w:rPr>
      </w:pPr>
      <w:r w:rsidRPr="00822328">
        <w:rPr>
          <w:rFonts w:cs="Times New Roman"/>
          <w:lang w:val="fr-CA"/>
        </w:rPr>
        <w:t>Cour suprême de la Colombie</w:t>
      </w:r>
      <w:r w:rsidRPr="00822328">
        <w:rPr>
          <w:rFonts w:cs="Times New Roman"/>
          <w:lang w:val="fr-CA"/>
        </w:rPr>
        <w:noBreakHyphen/>
        <w:t xml:space="preserve">Britannique </w:t>
      </w:r>
      <w:r w:rsidRPr="00822328">
        <w:rPr>
          <w:rFonts w:cs="Times New Roman"/>
          <w:i/>
          <w:lang w:val="fr-CA"/>
        </w:rPr>
        <w:t xml:space="preserve">— </w:t>
      </w:r>
      <w:r w:rsidRPr="00822328">
        <w:rPr>
          <w:rFonts w:cs="Times New Roman"/>
          <w:lang w:val="fr-CA"/>
        </w:rPr>
        <w:t>Le juge Blok (2011 BCSC 1728)</w:t>
      </w:r>
    </w:p>
    <w:p w:rsidR="00A37A4C" w:rsidRPr="00822328" w:rsidRDefault="00A37A4C" w:rsidP="006534E4">
      <w:pPr>
        <w:pStyle w:val="ParaNoNdepar-AltN"/>
        <w:widowControl w:val="0"/>
        <w:rPr>
          <w:rFonts w:cs="Times New Roman"/>
          <w:lang w:val="fr-CA"/>
        </w:rPr>
      </w:pPr>
      <w:r w:rsidRPr="00822328">
        <w:rPr>
          <w:rFonts w:cs="Times New Roman"/>
          <w:lang w:val="fr-CA"/>
        </w:rPr>
        <w:t>Le juge du procès a présidé un voir</w:t>
      </w:r>
      <w:r w:rsidRPr="00822328">
        <w:rPr>
          <w:rFonts w:cs="Times New Roman"/>
          <w:lang w:val="fr-CA"/>
        </w:rPr>
        <w:noBreakHyphen/>
        <w:t>dire afin de se prononcer sur l</w:t>
      </w:r>
      <w:r>
        <w:rPr>
          <w:rFonts w:cs="Times New Roman"/>
          <w:lang w:val="fr-CA"/>
        </w:rPr>
        <w:t>’</w:t>
      </w:r>
      <w:r w:rsidRPr="00822328">
        <w:rPr>
          <w:rFonts w:cs="Times New Roman"/>
          <w:lang w:val="fr-CA"/>
        </w:rPr>
        <w:t>admissibilité de la preuve recueillie par les policiers lors de la perquisition chez l</w:t>
      </w:r>
      <w:r>
        <w:rPr>
          <w:rFonts w:cs="Times New Roman"/>
          <w:lang w:val="fr-CA"/>
        </w:rPr>
        <w:t>’</w:t>
      </w:r>
      <w:r w:rsidRPr="00822328">
        <w:rPr>
          <w:rFonts w:cs="Times New Roman"/>
          <w:lang w:val="fr-CA"/>
        </w:rPr>
        <w:t xml:space="preserve">appelant. Il a conclu que </w:t>
      </w:r>
      <w:r w:rsidRPr="00822328">
        <w:rPr>
          <w:rFonts w:cs="Times New Roman"/>
          <w:szCs w:val="24"/>
          <w:lang w:val="fr-CA"/>
        </w:rPr>
        <w:t>le devoir fondamental du policier de protéger la vie et d</w:t>
      </w:r>
      <w:r>
        <w:rPr>
          <w:rFonts w:cs="Times New Roman"/>
          <w:szCs w:val="24"/>
          <w:lang w:val="fr-CA"/>
        </w:rPr>
        <w:t>’</w:t>
      </w:r>
      <w:r w:rsidRPr="00822328">
        <w:rPr>
          <w:rFonts w:cs="Times New Roman"/>
          <w:szCs w:val="24"/>
          <w:lang w:val="fr-CA"/>
        </w:rPr>
        <w:t>assurer la sécurité publique</w:t>
      </w:r>
      <w:r w:rsidRPr="00822328">
        <w:rPr>
          <w:rFonts w:cs="Times New Roman"/>
          <w:lang w:val="fr-CA"/>
        </w:rPr>
        <w:t>, jumelé à l</w:t>
      </w:r>
      <w:r>
        <w:rPr>
          <w:rFonts w:cs="Times New Roman"/>
          <w:lang w:val="fr-CA"/>
        </w:rPr>
        <w:t>’</w:t>
      </w:r>
      <w:r w:rsidRPr="00822328">
        <w:rPr>
          <w:rFonts w:cs="Times New Roman"/>
          <w:lang w:val="fr-CA"/>
        </w:rPr>
        <w:t xml:space="preserve">urgence de la situation au sens du par. 11(7) de la </w:t>
      </w:r>
      <w:r w:rsidRPr="00822328">
        <w:rPr>
          <w:rFonts w:cs="Times New Roman"/>
          <w:i/>
          <w:lang w:val="fr-CA"/>
        </w:rPr>
        <w:t>LRCDAS</w:t>
      </w:r>
      <w:r w:rsidRPr="00822328">
        <w:rPr>
          <w:rFonts w:cs="Times New Roman"/>
          <w:lang w:val="fr-CA"/>
        </w:rPr>
        <w:t>, avait justifié l</w:t>
      </w:r>
      <w:r>
        <w:rPr>
          <w:rFonts w:cs="Times New Roman"/>
          <w:lang w:val="fr-CA"/>
        </w:rPr>
        <w:t>’</w:t>
      </w:r>
      <w:r w:rsidRPr="00822328">
        <w:rPr>
          <w:rFonts w:cs="Times New Roman"/>
          <w:lang w:val="fr-CA"/>
        </w:rPr>
        <w:t>entrée des policiers dans la résidence et la perquisition de celle</w:t>
      </w:r>
      <w:r w:rsidRPr="00822328">
        <w:rPr>
          <w:rFonts w:cs="Times New Roman"/>
          <w:lang w:val="fr-CA"/>
        </w:rPr>
        <w:noBreakHyphen/>
        <w:t>ci. Même s</w:t>
      </w:r>
      <w:r>
        <w:rPr>
          <w:rFonts w:cs="Times New Roman"/>
          <w:lang w:val="fr-CA"/>
        </w:rPr>
        <w:t>’</w:t>
      </w:r>
      <w:r w:rsidRPr="00822328">
        <w:rPr>
          <w:rFonts w:cs="Times New Roman"/>
          <w:lang w:val="fr-CA"/>
        </w:rPr>
        <w:t>il conclut que le dépôt tardif du rapport incomplet rédigé selon la formule 5.2 constitue une atteinte au droit que l</w:t>
      </w:r>
      <w:r>
        <w:rPr>
          <w:rFonts w:cs="Times New Roman"/>
          <w:lang w:val="fr-CA"/>
        </w:rPr>
        <w:t>’</w:t>
      </w:r>
      <w:r w:rsidRPr="00822328">
        <w:rPr>
          <w:rFonts w:cs="Times New Roman"/>
          <w:lang w:val="fr-CA"/>
        </w:rPr>
        <w:t xml:space="preserve">art. 8 de la </w:t>
      </w:r>
      <w:r w:rsidRPr="00822328">
        <w:rPr>
          <w:rFonts w:cs="Times New Roman"/>
          <w:i/>
          <w:lang w:val="fr-CA"/>
        </w:rPr>
        <w:t>Charte</w:t>
      </w:r>
      <w:r w:rsidRPr="00822328">
        <w:rPr>
          <w:rFonts w:cs="Times New Roman"/>
          <w:lang w:val="fr-CA"/>
        </w:rPr>
        <w:t xml:space="preserve"> garantit à l</w:t>
      </w:r>
      <w:r>
        <w:rPr>
          <w:rFonts w:cs="Times New Roman"/>
          <w:lang w:val="fr-CA"/>
        </w:rPr>
        <w:t>’</w:t>
      </w:r>
      <w:r w:rsidRPr="00822328">
        <w:rPr>
          <w:rFonts w:cs="Times New Roman"/>
          <w:lang w:val="fr-CA"/>
        </w:rPr>
        <w:t>appelant d</w:t>
      </w:r>
      <w:r>
        <w:rPr>
          <w:rFonts w:cs="Times New Roman"/>
          <w:lang w:val="fr-CA"/>
        </w:rPr>
        <w:t>’</w:t>
      </w:r>
      <w:r w:rsidRPr="00822328">
        <w:rPr>
          <w:rFonts w:cs="Times New Roman"/>
          <w:lang w:val="fr-CA"/>
        </w:rPr>
        <w:t>être protégé contre les fouilles, les perquisitions ou les saisies abusives, il refuse d</w:t>
      </w:r>
      <w:r>
        <w:rPr>
          <w:rFonts w:cs="Times New Roman"/>
          <w:lang w:val="fr-CA"/>
        </w:rPr>
        <w:t>’</w:t>
      </w:r>
      <w:r w:rsidRPr="00822328">
        <w:rPr>
          <w:rFonts w:cs="Times New Roman"/>
          <w:lang w:val="fr-CA"/>
        </w:rPr>
        <w:t>écarter la preuve sur le fondement du par. 24(2). Il estime en effet qu</w:t>
      </w:r>
      <w:r>
        <w:rPr>
          <w:rFonts w:cs="Times New Roman"/>
          <w:lang w:val="fr-CA"/>
        </w:rPr>
        <w:t>’</w:t>
      </w:r>
      <w:r w:rsidRPr="00822328">
        <w:rPr>
          <w:rFonts w:cs="Times New Roman"/>
          <w:lang w:val="fr-CA"/>
        </w:rPr>
        <w:t>il s</w:t>
      </w:r>
      <w:r>
        <w:rPr>
          <w:rFonts w:cs="Times New Roman"/>
          <w:lang w:val="fr-CA"/>
        </w:rPr>
        <w:t>’</w:t>
      </w:r>
      <w:r w:rsidRPr="00822328">
        <w:rPr>
          <w:rFonts w:cs="Times New Roman"/>
          <w:lang w:val="fr-CA"/>
        </w:rPr>
        <w:t>agit d</w:t>
      </w:r>
      <w:r>
        <w:rPr>
          <w:rFonts w:cs="Times New Roman"/>
          <w:lang w:val="fr-CA"/>
        </w:rPr>
        <w:t>’</w:t>
      </w:r>
      <w:r w:rsidRPr="00822328">
        <w:rPr>
          <w:rFonts w:cs="Times New Roman"/>
          <w:lang w:val="fr-CA"/>
        </w:rPr>
        <w:t>une atteinte involontaire et sans gravité, que son incidence sur les droits de l</w:t>
      </w:r>
      <w:r>
        <w:rPr>
          <w:rFonts w:cs="Times New Roman"/>
          <w:lang w:val="fr-CA"/>
        </w:rPr>
        <w:t>’</w:t>
      </w:r>
      <w:r w:rsidRPr="00822328">
        <w:rPr>
          <w:rFonts w:cs="Times New Roman"/>
          <w:lang w:val="fr-CA"/>
        </w:rPr>
        <w:t>appelant est circonscrite et que les éléments ainsi recueillis sont très fiables et sont indispensables à la preuve par le ministère public de la perpétration d</w:t>
      </w:r>
      <w:r>
        <w:rPr>
          <w:rFonts w:cs="Times New Roman"/>
          <w:lang w:val="fr-CA"/>
        </w:rPr>
        <w:t>’</w:t>
      </w:r>
      <w:r w:rsidRPr="00822328">
        <w:rPr>
          <w:rFonts w:cs="Times New Roman"/>
          <w:lang w:val="fr-CA"/>
        </w:rPr>
        <w:t>infractions graves. Le juge du procès reconnaît donc l</w:t>
      </w:r>
      <w:r>
        <w:rPr>
          <w:rFonts w:cs="Times New Roman"/>
          <w:lang w:val="fr-CA"/>
        </w:rPr>
        <w:t>’</w:t>
      </w:r>
      <w:r w:rsidRPr="00822328">
        <w:rPr>
          <w:rFonts w:cs="Times New Roman"/>
          <w:lang w:val="fr-CA"/>
        </w:rPr>
        <w:t>appelant coupable de tous les chefs d</w:t>
      </w:r>
      <w:r>
        <w:rPr>
          <w:rFonts w:cs="Times New Roman"/>
          <w:lang w:val="fr-CA"/>
        </w:rPr>
        <w:t>’</w:t>
      </w:r>
      <w:r w:rsidRPr="00822328">
        <w:rPr>
          <w:rFonts w:cs="Times New Roman"/>
          <w:lang w:val="fr-CA"/>
        </w:rPr>
        <w:t>accusation (2012 BCSC 1680).</w:t>
      </w:r>
    </w:p>
    <w:p w:rsidR="00A37A4C" w:rsidRPr="00822328" w:rsidRDefault="00A37A4C" w:rsidP="006534E4">
      <w:pPr>
        <w:pStyle w:val="Title3LevelTitre3Niveau"/>
        <w:widowControl w:val="0"/>
        <w:rPr>
          <w:rFonts w:cs="Times New Roman"/>
          <w:lang w:val="fr-CA"/>
        </w:rPr>
      </w:pPr>
      <w:r w:rsidRPr="00822328">
        <w:rPr>
          <w:rFonts w:cs="Times New Roman"/>
          <w:lang w:val="fr-CA"/>
        </w:rPr>
        <w:t>Cour d</w:t>
      </w:r>
      <w:r>
        <w:rPr>
          <w:rFonts w:cs="Times New Roman"/>
          <w:lang w:val="fr-CA"/>
        </w:rPr>
        <w:t>’</w:t>
      </w:r>
      <w:r w:rsidRPr="00822328">
        <w:rPr>
          <w:rFonts w:cs="Times New Roman"/>
          <w:lang w:val="fr-CA"/>
        </w:rPr>
        <w:t>appel de la Colombie</w:t>
      </w:r>
      <w:r w:rsidRPr="00822328">
        <w:rPr>
          <w:rFonts w:cs="Times New Roman"/>
          <w:lang w:val="fr-CA"/>
        </w:rPr>
        <w:noBreakHyphen/>
        <w:t>Britannique — Les juges Lowry, Frankel et Bennett (2015 BCCA 205, 372 B.C.A.C. 148)</w:t>
      </w:r>
    </w:p>
    <w:p w:rsidR="00A37A4C" w:rsidRPr="00822328" w:rsidRDefault="00A37A4C" w:rsidP="006534E4">
      <w:pPr>
        <w:pStyle w:val="ParaNoNdepar-AltN"/>
        <w:widowControl w:val="0"/>
        <w:tabs>
          <w:tab w:val="clear" w:pos="1152"/>
          <w:tab w:val="left" w:pos="1166"/>
        </w:tabs>
        <w:rPr>
          <w:rFonts w:cs="Times New Roman"/>
          <w:szCs w:val="24"/>
          <w:lang w:val="fr-CA"/>
        </w:rPr>
      </w:pPr>
      <w:r w:rsidRPr="00822328">
        <w:rPr>
          <w:rFonts w:cs="Times New Roman"/>
          <w:szCs w:val="24"/>
          <w:lang w:val="fr-CA"/>
        </w:rPr>
        <w:t>En appel, l</w:t>
      </w:r>
      <w:r>
        <w:rPr>
          <w:rFonts w:cs="Times New Roman"/>
          <w:szCs w:val="24"/>
          <w:lang w:val="fr-CA"/>
        </w:rPr>
        <w:t>’</w:t>
      </w:r>
      <w:r w:rsidRPr="00822328">
        <w:rPr>
          <w:rFonts w:cs="Times New Roman"/>
          <w:szCs w:val="24"/>
          <w:lang w:val="fr-CA"/>
        </w:rPr>
        <w:t>appelant a soutenu pour la première fois que le juge du procès avait eu tort de ne pas se prononcer sur le caractère volontaire de sa déclaration selon laquelle il avait des mégots chez lui avant de se fonder sur elle lors du voir</w:t>
      </w:r>
      <w:r w:rsidRPr="00822328">
        <w:rPr>
          <w:rFonts w:cs="Times New Roman"/>
          <w:szCs w:val="24"/>
          <w:lang w:val="fr-CA"/>
        </w:rPr>
        <w:noBreakHyphen/>
        <w:t>dire. Il a également fait valoir que le juge avait conclu à tort que l</w:t>
      </w:r>
      <w:r>
        <w:rPr>
          <w:rFonts w:cs="Times New Roman"/>
          <w:szCs w:val="24"/>
          <w:lang w:val="fr-CA"/>
        </w:rPr>
        <w:t>’</w:t>
      </w:r>
      <w:r w:rsidRPr="00822328">
        <w:rPr>
          <w:rFonts w:cs="Times New Roman"/>
          <w:szCs w:val="24"/>
          <w:lang w:val="fr-CA"/>
        </w:rPr>
        <w:t>urgence de la situation avait justifié l</w:t>
      </w:r>
      <w:r>
        <w:rPr>
          <w:rFonts w:cs="Times New Roman"/>
          <w:szCs w:val="24"/>
          <w:lang w:val="fr-CA"/>
        </w:rPr>
        <w:t>’</w:t>
      </w:r>
      <w:r w:rsidRPr="00822328">
        <w:rPr>
          <w:rFonts w:cs="Times New Roman"/>
          <w:szCs w:val="24"/>
          <w:lang w:val="fr-CA"/>
        </w:rPr>
        <w:t>entrée des policiers dans sa demeure et que le dépôt tardif d</w:t>
      </w:r>
      <w:r>
        <w:rPr>
          <w:rFonts w:cs="Times New Roman"/>
          <w:szCs w:val="24"/>
          <w:lang w:val="fr-CA"/>
        </w:rPr>
        <w:t>’</w:t>
      </w:r>
      <w:r w:rsidRPr="00822328">
        <w:rPr>
          <w:rFonts w:cs="Times New Roman"/>
          <w:szCs w:val="24"/>
          <w:lang w:val="fr-CA"/>
        </w:rPr>
        <w:t xml:space="preserve">un </w:t>
      </w:r>
      <w:r w:rsidRPr="00822328">
        <w:rPr>
          <w:rFonts w:cs="Times New Roman"/>
          <w:lang w:val="fr-CA"/>
        </w:rPr>
        <w:t xml:space="preserve">rapport incomplet rédigé selon la formule 5.2 </w:t>
      </w:r>
      <w:r w:rsidRPr="00822328">
        <w:rPr>
          <w:rFonts w:cs="Times New Roman"/>
          <w:szCs w:val="24"/>
          <w:lang w:val="fr-CA"/>
        </w:rPr>
        <w:t>ne commandait pas d</w:t>
      </w:r>
      <w:r>
        <w:rPr>
          <w:rFonts w:cs="Times New Roman"/>
          <w:szCs w:val="24"/>
          <w:lang w:val="fr-CA"/>
        </w:rPr>
        <w:t>’</w:t>
      </w:r>
      <w:r w:rsidRPr="00822328">
        <w:rPr>
          <w:rFonts w:cs="Times New Roman"/>
          <w:szCs w:val="24"/>
          <w:lang w:val="fr-CA"/>
        </w:rPr>
        <w:t xml:space="preserve">écarter la preuve par application du par. 24(2) de la </w:t>
      </w:r>
      <w:r w:rsidRPr="00822328">
        <w:rPr>
          <w:rFonts w:cs="Times New Roman"/>
          <w:i/>
          <w:szCs w:val="24"/>
          <w:lang w:val="fr-CA"/>
        </w:rPr>
        <w:t>Charte</w:t>
      </w:r>
      <w:r w:rsidRPr="00822328">
        <w:rPr>
          <w:rFonts w:cs="Times New Roman"/>
          <w:szCs w:val="24"/>
          <w:lang w:val="fr-CA"/>
        </w:rPr>
        <w:t xml:space="preserve">. </w:t>
      </w:r>
    </w:p>
    <w:p w:rsidR="00A37A4C" w:rsidRPr="00822328" w:rsidRDefault="00A37A4C" w:rsidP="006534E4">
      <w:pPr>
        <w:pStyle w:val="ParaNoNdepar-AltN"/>
        <w:widowControl w:val="0"/>
        <w:rPr>
          <w:rFonts w:cs="Times New Roman"/>
          <w:lang w:val="fr-CA"/>
        </w:rPr>
      </w:pPr>
      <w:r w:rsidRPr="00822328">
        <w:rPr>
          <w:rFonts w:cs="Times New Roman"/>
          <w:lang w:val="fr-CA"/>
        </w:rPr>
        <w:t>L</w:t>
      </w:r>
      <w:r>
        <w:rPr>
          <w:rFonts w:cs="Times New Roman"/>
          <w:lang w:val="fr-CA"/>
        </w:rPr>
        <w:t>’</w:t>
      </w:r>
      <w:r w:rsidRPr="00822328">
        <w:rPr>
          <w:rFonts w:cs="Times New Roman"/>
          <w:lang w:val="fr-CA"/>
        </w:rPr>
        <w:t>appel a été rejeté. S</w:t>
      </w:r>
      <w:r>
        <w:rPr>
          <w:rFonts w:cs="Times New Roman"/>
          <w:lang w:val="fr-CA"/>
        </w:rPr>
        <w:t>’</w:t>
      </w:r>
      <w:r w:rsidRPr="00822328">
        <w:rPr>
          <w:rFonts w:cs="Times New Roman"/>
          <w:lang w:val="fr-CA"/>
        </w:rPr>
        <w:t>agissant du caractère volontaire de la déclaration de l</w:t>
      </w:r>
      <w:r>
        <w:rPr>
          <w:rFonts w:cs="Times New Roman"/>
          <w:lang w:val="fr-CA"/>
        </w:rPr>
        <w:t>’</w:t>
      </w:r>
      <w:r w:rsidRPr="00822328">
        <w:rPr>
          <w:rFonts w:cs="Times New Roman"/>
          <w:lang w:val="fr-CA"/>
        </w:rPr>
        <w:t>accusé, le ministère public n</w:t>
      </w:r>
      <w:r>
        <w:rPr>
          <w:rFonts w:cs="Times New Roman"/>
          <w:lang w:val="fr-CA"/>
        </w:rPr>
        <w:t>’</w:t>
      </w:r>
      <w:r w:rsidRPr="00822328">
        <w:rPr>
          <w:rFonts w:cs="Times New Roman"/>
          <w:lang w:val="fr-CA"/>
        </w:rPr>
        <w:t>était pas tenu de le prouver pour que la déclaration puisse être admise dans le cadre du voir</w:t>
      </w:r>
      <w:r w:rsidRPr="00822328">
        <w:rPr>
          <w:rFonts w:cs="Times New Roman"/>
          <w:lang w:val="fr-CA"/>
        </w:rPr>
        <w:noBreakHyphen/>
        <w:t>dire. La Cour d</w:t>
      </w:r>
      <w:r>
        <w:rPr>
          <w:rFonts w:cs="Times New Roman"/>
          <w:lang w:val="fr-CA"/>
        </w:rPr>
        <w:t>’</w:t>
      </w:r>
      <w:r w:rsidRPr="00822328">
        <w:rPr>
          <w:rFonts w:cs="Times New Roman"/>
          <w:lang w:val="fr-CA"/>
        </w:rPr>
        <w:t>appel explique qu</w:t>
      </w:r>
      <w:r>
        <w:rPr>
          <w:rFonts w:cs="Times New Roman"/>
          <w:lang w:val="fr-CA"/>
        </w:rPr>
        <w:t>’</w:t>
      </w:r>
      <w:r w:rsidRPr="00822328">
        <w:rPr>
          <w:rFonts w:cs="Times New Roman"/>
          <w:lang w:val="fr-CA"/>
        </w:rPr>
        <w:t>il en est ainsi à cause de la raison d</w:t>
      </w:r>
      <w:r>
        <w:rPr>
          <w:rFonts w:cs="Times New Roman"/>
          <w:lang w:val="fr-CA"/>
        </w:rPr>
        <w:t>’</w:t>
      </w:r>
      <w:r w:rsidRPr="00822328">
        <w:rPr>
          <w:rFonts w:cs="Times New Roman"/>
          <w:lang w:val="fr-CA"/>
        </w:rPr>
        <w:t xml:space="preserve">être principale de la </w:t>
      </w:r>
      <w:r w:rsidRPr="00822328">
        <w:rPr>
          <w:rFonts w:cs="Times New Roman"/>
          <w:szCs w:val="24"/>
          <w:lang w:val="fr-CA"/>
        </w:rPr>
        <w:t>règle des confessions de la common law</w:t>
      </w:r>
      <w:r w:rsidRPr="00822328">
        <w:rPr>
          <w:rFonts w:cs="Times New Roman"/>
          <w:lang w:val="fr-CA"/>
        </w:rPr>
        <w:t>, à savoir assurer la fiabilité d</w:t>
      </w:r>
      <w:r>
        <w:rPr>
          <w:rFonts w:cs="Times New Roman"/>
          <w:lang w:val="fr-CA"/>
        </w:rPr>
        <w:t>’</w:t>
      </w:r>
      <w:r w:rsidRPr="00822328">
        <w:rPr>
          <w:rFonts w:cs="Times New Roman"/>
          <w:lang w:val="fr-CA"/>
        </w:rPr>
        <w:t>un aveu et l</w:t>
      </w:r>
      <w:r>
        <w:rPr>
          <w:rFonts w:cs="Times New Roman"/>
          <w:lang w:val="fr-CA"/>
        </w:rPr>
        <w:t>’</w:t>
      </w:r>
      <w:r w:rsidRPr="00822328">
        <w:rPr>
          <w:rFonts w:cs="Times New Roman"/>
          <w:lang w:val="fr-CA"/>
        </w:rPr>
        <w:t>équité du procès. Or, cette raison d</w:t>
      </w:r>
      <w:r>
        <w:rPr>
          <w:rFonts w:cs="Times New Roman"/>
          <w:lang w:val="fr-CA"/>
        </w:rPr>
        <w:t>’</w:t>
      </w:r>
      <w:r w:rsidRPr="00822328">
        <w:rPr>
          <w:rFonts w:cs="Times New Roman"/>
          <w:lang w:val="fr-CA"/>
        </w:rPr>
        <w:t>être ne vaut pas lorsque la preuve pourrait ne jamais être entendue par le juge des faits et que c</w:t>
      </w:r>
      <w:r>
        <w:rPr>
          <w:rFonts w:cs="Times New Roman"/>
          <w:lang w:val="fr-CA"/>
        </w:rPr>
        <w:t>’</w:t>
      </w:r>
      <w:r w:rsidRPr="00822328">
        <w:rPr>
          <w:rFonts w:cs="Times New Roman"/>
          <w:lang w:val="fr-CA"/>
        </w:rPr>
        <w:t>est la conduite de l</w:t>
      </w:r>
      <w:r>
        <w:rPr>
          <w:rFonts w:cs="Times New Roman"/>
          <w:lang w:val="fr-CA"/>
        </w:rPr>
        <w:t>’</w:t>
      </w:r>
      <w:r w:rsidRPr="00822328">
        <w:rPr>
          <w:rFonts w:cs="Times New Roman"/>
          <w:lang w:val="fr-CA"/>
        </w:rPr>
        <w:t>État, non la culpabilité de l</w:t>
      </w:r>
      <w:r>
        <w:rPr>
          <w:rFonts w:cs="Times New Roman"/>
          <w:lang w:val="fr-CA"/>
        </w:rPr>
        <w:t>’</w:t>
      </w:r>
      <w:r w:rsidRPr="00822328">
        <w:rPr>
          <w:rFonts w:cs="Times New Roman"/>
          <w:lang w:val="fr-CA"/>
        </w:rPr>
        <w:t>accusé, qui est en cause. Par ailleurs, les policiers devraient pouvoir se fonder sur une déclaration pour tenir une enquête, même lorsque cette déclaration n</w:t>
      </w:r>
      <w:r>
        <w:rPr>
          <w:rFonts w:cs="Times New Roman"/>
          <w:lang w:val="fr-CA"/>
        </w:rPr>
        <w:t>’</w:t>
      </w:r>
      <w:r w:rsidRPr="00822328">
        <w:rPr>
          <w:rFonts w:cs="Times New Roman"/>
          <w:lang w:val="fr-CA"/>
        </w:rPr>
        <w:t>est pas le fruit d</w:t>
      </w:r>
      <w:r>
        <w:rPr>
          <w:rFonts w:cs="Times New Roman"/>
          <w:lang w:val="fr-CA"/>
        </w:rPr>
        <w:t>’</w:t>
      </w:r>
      <w:r w:rsidRPr="00822328">
        <w:rPr>
          <w:rFonts w:cs="Times New Roman"/>
          <w:lang w:val="fr-CA"/>
        </w:rPr>
        <w:t>un état d</w:t>
      </w:r>
      <w:r>
        <w:rPr>
          <w:rFonts w:cs="Times New Roman"/>
          <w:lang w:val="fr-CA"/>
        </w:rPr>
        <w:t>’</w:t>
      </w:r>
      <w:r w:rsidRPr="00822328">
        <w:rPr>
          <w:rFonts w:cs="Times New Roman"/>
          <w:lang w:val="fr-CA"/>
        </w:rPr>
        <w:t>esprit conscient ou qu</w:t>
      </w:r>
      <w:r>
        <w:rPr>
          <w:rFonts w:cs="Times New Roman"/>
          <w:lang w:val="fr-CA"/>
        </w:rPr>
        <w:t>’</w:t>
      </w:r>
      <w:r w:rsidRPr="00822328">
        <w:rPr>
          <w:rFonts w:cs="Times New Roman"/>
          <w:lang w:val="fr-CA"/>
        </w:rPr>
        <w:t>elle est par ailleurs involontaire. Enfin, imputer le fardeau de la preuve au ministère public lors d</w:t>
      </w:r>
      <w:r>
        <w:rPr>
          <w:rFonts w:cs="Times New Roman"/>
          <w:lang w:val="fr-CA"/>
        </w:rPr>
        <w:t>’</w:t>
      </w:r>
      <w:r w:rsidRPr="00822328">
        <w:rPr>
          <w:rFonts w:cs="Times New Roman"/>
          <w:lang w:val="fr-CA"/>
        </w:rPr>
        <w:t>un voir</w:t>
      </w:r>
      <w:r w:rsidRPr="00822328">
        <w:rPr>
          <w:rFonts w:cs="Times New Roman"/>
          <w:lang w:val="fr-CA"/>
        </w:rPr>
        <w:noBreakHyphen/>
        <w:t>dire constitutionnel entre en conflit avec l</w:t>
      </w:r>
      <w:r>
        <w:rPr>
          <w:rFonts w:cs="Times New Roman"/>
          <w:lang w:val="fr-CA"/>
        </w:rPr>
        <w:t>’</w:t>
      </w:r>
      <w:r w:rsidRPr="00822328">
        <w:rPr>
          <w:rFonts w:cs="Times New Roman"/>
          <w:lang w:val="fr-CA"/>
        </w:rPr>
        <w:t>obligation prédominante de l</w:t>
      </w:r>
      <w:r>
        <w:rPr>
          <w:rFonts w:cs="Times New Roman"/>
          <w:lang w:val="fr-CA"/>
        </w:rPr>
        <w:t>’</w:t>
      </w:r>
      <w:r w:rsidRPr="00822328">
        <w:rPr>
          <w:rFonts w:cs="Times New Roman"/>
          <w:lang w:val="fr-CA"/>
        </w:rPr>
        <w:t>accusé de démontrer l</w:t>
      </w:r>
      <w:r>
        <w:rPr>
          <w:rFonts w:cs="Times New Roman"/>
          <w:lang w:val="fr-CA"/>
        </w:rPr>
        <w:t>’</w:t>
      </w:r>
      <w:r w:rsidRPr="00822328">
        <w:rPr>
          <w:rFonts w:cs="Times New Roman"/>
          <w:lang w:val="fr-CA"/>
        </w:rPr>
        <w:t>existence d</w:t>
      </w:r>
      <w:r>
        <w:rPr>
          <w:rFonts w:cs="Times New Roman"/>
          <w:lang w:val="fr-CA"/>
        </w:rPr>
        <w:t>’</w:t>
      </w:r>
      <w:r w:rsidRPr="00822328">
        <w:rPr>
          <w:rFonts w:cs="Times New Roman"/>
          <w:lang w:val="fr-CA"/>
        </w:rPr>
        <w:t xml:space="preserve">une atteinte. </w:t>
      </w:r>
    </w:p>
    <w:p w:rsidR="00A37A4C" w:rsidRPr="00822328" w:rsidRDefault="00A37A4C" w:rsidP="006534E4">
      <w:pPr>
        <w:pStyle w:val="ParaNoNdepar-AltN"/>
        <w:widowControl w:val="0"/>
        <w:tabs>
          <w:tab w:val="clear" w:pos="1152"/>
          <w:tab w:val="left" w:pos="1166"/>
        </w:tabs>
        <w:rPr>
          <w:rFonts w:cs="Times New Roman"/>
          <w:szCs w:val="24"/>
          <w:lang w:val="fr-CA"/>
        </w:rPr>
      </w:pPr>
      <w:r w:rsidRPr="00822328">
        <w:rPr>
          <w:rFonts w:cs="Times New Roman"/>
          <w:szCs w:val="24"/>
          <w:lang w:val="fr-CA"/>
        </w:rPr>
        <w:t>Au sujet de l</w:t>
      </w:r>
      <w:r>
        <w:rPr>
          <w:rFonts w:cs="Times New Roman"/>
          <w:szCs w:val="24"/>
          <w:lang w:val="fr-CA"/>
        </w:rPr>
        <w:t>’</w:t>
      </w:r>
      <w:r w:rsidRPr="00822328">
        <w:rPr>
          <w:rFonts w:cs="Times New Roman"/>
          <w:szCs w:val="24"/>
          <w:lang w:val="fr-CA"/>
        </w:rPr>
        <w:t>entrée sans mandat chez l</w:t>
      </w:r>
      <w:r>
        <w:rPr>
          <w:rFonts w:cs="Times New Roman"/>
          <w:szCs w:val="24"/>
          <w:lang w:val="fr-CA"/>
        </w:rPr>
        <w:t>’</w:t>
      </w:r>
      <w:r w:rsidRPr="00822328">
        <w:rPr>
          <w:rFonts w:cs="Times New Roman"/>
          <w:szCs w:val="24"/>
          <w:lang w:val="fr-CA"/>
        </w:rPr>
        <w:t>appelant, la Cour d</w:t>
      </w:r>
      <w:r>
        <w:rPr>
          <w:rFonts w:cs="Times New Roman"/>
          <w:szCs w:val="24"/>
          <w:lang w:val="fr-CA"/>
        </w:rPr>
        <w:t>’</w:t>
      </w:r>
      <w:r w:rsidRPr="00822328">
        <w:rPr>
          <w:rFonts w:cs="Times New Roman"/>
          <w:szCs w:val="24"/>
          <w:lang w:val="fr-CA"/>
        </w:rPr>
        <w:t>appel convient avec le juge du procès que, puisque l</w:t>
      </w:r>
      <w:r>
        <w:rPr>
          <w:rFonts w:cs="Times New Roman"/>
          <w:szCs w:val="24"/>
          <w:lang w:val="fr-CA"/>
        </w:rPr>
        <w:t>’</w:t>
      </w:r>
      <w:r w:rsidRPr="00822328">
        <w:rPr>
          <w:rFonts w:cs="Times New Roman"/>
          <w:szCs w:val="24"/>
          <w:lang w:val="fr-CA"/>
        </w:rPr>
        <w:t>obtention d</w:t>
      </w:r>
      <w:r>
        <w:rPr>
          <w:rFonts w:cs="Times New Roman"/>
          <w:szCs w:val="24"/>
          <w:lang w:val="fr-CA"/>
        </w:rPr>
        <w:t>’</w:t>
      </w:r>
      <w:r w:rsidRPr="00822328">
        <w:rPr>
          <w:rFonts w:cs="Times New Roman"/>
          <w:szCs w:val="24"/>
          <w:lang w:val="fr-CA"/>
        </w:rPr>
        <w:t>un mandat était « difficilement réalisable », les policiers satisfaisaient au critère de l</w:t>
      </w:r>
      <w:r>
        <w:rPr>
          <w:rFonts w:cs="Times New Roman"/>
          <w:szCs w:val="24"/>
          <w:lang w:val="fr-CA"/>
        </w:rPr>
        <w:t>’</w:t>
      </w:r>
      <w:r w:rsidRPr="00822328">
        <w:rPr>
          <w:rFonts w:cs="Times New Roman"/>
          <w:szCs w:val="24"/>
          <w:lang w:val="fr-CA"/>
        </w:rPr>
        <w:t>urgence de la situation. L</w:t>
      </w:r>
      <w:r>
        <w:rPr>
          <w:rFonts w:cs="Times New Roman"/>
          <w:szCs w:val="24"/>
          <w:lang w:val="fr-CA"/>
        </w:rPr>
        <w:t>’</w:t>
      </w:r>
      <w:r w:rsidRPr="00822328">
        <w:rPr>
          <w:rFonts w:cs="Times New Roman"/>
          <w:szCs w:val="24"/>
          <w:lang w:val="fr-CA"/>
        </w:rPr>
        <w:t>entrée de l</w:t>
      </w:r>
      <w:r>
        <w:rPr>
          <w:rFonts w:cs="Times New Roman"/>
          <w:szCs w:val="24"/>
          <w:lang w:val="fr-CA"/>
        </w:rPr>
        <w:t>’</w:t>
      </w:r>
      <w:r w:rsidRPr="00822328">
        <w:rPr>
          <w:rFonts w:cs="Times New Roman"/>
          <w:szCs w:val="24"/>
          <w:lang w:val="fr-CA"/>
        </w:rPr>
        <w:t>agent Bell à la suite de son collègue Dykeman était également raisonnable puisqu</w:t>
      </w:r>
      <w:r>
        <w:rPr>
          <w:rFonts w:cs="Times New Roman"/>
          <w:szCs w:val="24"/>
          <w:lang w:val="fr-CA"/>
        </w:rPr>
        <w:t>’</w:t>
      </w:r>
      <w:r w:rsidRPr="00822328">
        <w:rPr>
          <w:rFonts w:cs="Times New Roman"/>
          <w:szCs w:val="24"/>
          <w:lang w:val="fr-CA"/>
        </w:rPr>
        <w:t>elle résultait d</w:t>
      </w:r>
      <w:r>
        <w:rPr>
          <w:rFonts w:cs="Times New Roman"/>
          <w:szCs w:val="24"/>
          <w:lang w:val="fr-CA"/>
        </w:rPr>
        <w:t>’</w:t>
      </w:r>
      <w:r w:rsidRPr="00822328">
        <w:rPr>
          <w:rFonts w:cs="Times New Roman"/>
          <w:szCs w:val="24"/>
          <w:lang w:val="fr-CA"/>
        </w:rPr>
        <w:t>un souci pour la sécurité d</w:t>
      </w:r>
      <w:r>
        <w:rPr>
          <w:rFonts w:cs="Times New Roman"/>
          <w:szCs w:val="24"/>
          <w:lang w:val="fr-CA"/>
        </w:rPr>
        <w:t>’</w:t>
      </w:r>
      <w:r w:rsidRPr="00822328">
        <w:rPr>
          <w:rFonts w:cs="Times New Roman"/>
          <w:szCs w:val="24"/>
          <w:lang w:val="fr-CA"/>
        </w:rPr>
        <w:t>un policier. Enfin, la déférence s</w:t>
      </w:r>
      <w:r>
        <w:rPr>
          <w:rFonts w:cs="Times New Roman"/>
          <w:szCs w:val="24"/>
          <w:lang w:val="fr-CA"/>
        </w:rPr>
        <w:t>’</w:t>
      </w:r>
      <w:r w:rsidRPr="00822328">
        <w:rPr>
          <w:rFonts w:cs="Times New Roman"/>
          <w:szCs w:val="24"/>
          <w:lang w:val="fr-CA"/>
        </w:rPr>
        <w:t>impose vis</w:t>
      </w:r>
      <w:r w:rsidRPr="00822328">
        <w:rPr>
          <w:rFonts w:cs="Times New Roman"/>
          <w:szCs w:val="24"/>
          <w:lang w:val="fr-CA"/>
        </w:rPr>
        <w:noBreakHyphen/>
        <w:t>à</w:t>
      </w:r>
      <w:r w:rsidRPr="00822328">
        <w:rPr>
          <w:rFonts w:cs="Times New Roman"/>
          <w:szCs w:val="24"/>
          <w:lang w:val="fr-CA"/>
        </w:rPr>
        <w:noBreakHyphen/>
        <w:t>vis de la décision du juge du procès fondée sur le par. 24(2) d</w:t>
      </w:r>
      <w:r>
        <w:rPr>
          <w:rFonts w:cs="Times New Roman"/>
          <w:szCs w:val="24"/>
          <w:lang w:val="fr-CA"/>
        </w:rPr>
        <w:t>’</w:t>
      </w:r>
      <w:r w:rsidRPr="00822328">
        <w:rPr>
          <w:rFonts w:cs="Times New Roman"/>
          <w:szCs w:val="24"/>
          <w:lang w:val="fr-CA"/>
        </w:rPr>
        <w:t>admettre en preuve les éléments obtenus par les policiers grâce à l</w:t>
      </w:r>
      <w:r>
        <w:rPr>
          <w:rFonts w:cs="Times New Roman"/>
          <w:szCs w:val="24"/>
          <w:lang w:val="fr-CA"/>
        </w:rPr>
        <w:t>’</w:t>
      </w:r>
      <w:r w:rsidRPr="00822328">
        <w:rPr>
          <w:rFonts w:cs="Times New Roman"/>
          <w:szCs w:val="24"/>
          <w:lang w:val="fr-CA"/>
        </w:rPr>
        <w:t>entrée sans mandat puis à la perquisition qui a suivi. La Cour d</w:t>
      </w:r>
      <w:r>
        <w:rPr>
          <w:rFonts w:cs="Times New Roman"/>
          <w:szCs w:val="24"/>
          <w:lang w:val="fr-CA"/>
        </w:rPr>
        <w:t>’</w:t>
      </w:r>
      <w:r w:rsidRPr="00822328">
        <w:rPr>
          <w:rFonts w:cs="Times New Roman"/>
          <w:szCs w:val="24"/>
          <w:lang w:val="fr-CA"/>
        </w:rPr>
        <w:t>appel ne juge donc pas nécessaire de se prononcer sur le bien</w:t>
      </w:r>
      <w:r w:rsidRPr="00822328">
        <w:rPr>
          <w:rFonts w:cs="Times New Roman"/>
          <w:szCs w:val="24"/>
          <w:lang w:val="fr-CA"/>
        </w:rPr>
        <w:noBreakHyphen/>
        <w:t xml:space="preserve">fondé de la conclusion du juge du procès selon laquelle les irrégularités du </w:t>
      </w:r>
      <w:r w:rsidRPr="00822328">
        <w:rPr>
          <w:rFonts w:cs="Times New Roman"/>
          <w:lang w:val="fr-CA"/>
        </w:rPr>
        <w:t>rapport rédigé selon la formule 5.2 ont porté atteinte au droit garanti par</w:t>
      </w:r>
      <w:r w:rsidRPr="00822328">
        <w:rPr>
          <w:rFonts w:cs="Times New Roman"/>
          <w:szCs w:val="24"/>
          <w:lang w:val="fr-CA"/>
        </w:rPr>
        <w:t xml:space="preserve"> l</w:t>
      </w:r>
      <w:r>
        <w:rPr>
          <w:rFonts w:cs="Times New Roman"/>
          <w:szCs w:val="24"/>
          <w:lang w:val="fr-CA"/>
        </w:rPr>
        <w:t>’</w:t>
      </w:r>
      <w:r w:rsidRPr="00822328">
        <w:rPr>
          <w:rFonts w:cs="Times New Roman"/>
          <w:szCs w:val="24"/>
          <w:lang w:val="fr-CA"/>
        </w:rPr>
        <w:t>art. 8.</w:t>
      </w:r>
    </w:p>
    <w:p w:rsidR="00A37A4C" w:rsidRPr="00822328" w:rsidRDefault="00A37A4C" w:rsidP="006534E4">
      <w:pPr>
        <w:pStyle w:val="Title1LevelTitre1Niveau-AltL"/>
        <w:widowControl w:val="0"/>
        <w:rPr>
          <w:rFonts w:cs="Times New Roman"/>
          <w:lang w:val="fr-CA"/>
        </w:rPr>
      </w:pPr>
      <w:r w:rsidRPr="00822328">
        <w:rPr>
          <w:rFonts w:cs="Times New Roman"/>
          <w:lang w:val="fr-CA"/>
        </w:rPr>
        <w:t>Analyse</w:t>
      </w:r>
    </w:p>
    <w:p w:rsidR="00A37A4C" w:rsidRPr="00822328" w:rsidRDefault="00A37A4C" w:rsidP="006534E4">
      <w:pPr>
        <w:pStyle w:val="Title2LevelTitre2Niveau"/>
        <w:widowControl w:val="0"/>
        <w:tabs>
          <w:tab w:val="num" w:pos="432"/>
        </w:tabs>
        <w:ind w:left="432" w:hanging="432"/>
        <w:jc w:val="left"/>
        <w:outlineLvl w:val="0"/>
        <w:rPr>
          <w:rFonts w:cs="Times New Roman"/>
          <w:szCs w:val="24"/>
          <w:lang w:val="fr-CA"/>
        </w:rPr>
      </w:pPr>
      <w:r w:rsidRPr="00822328">
        <w:rPr>
          <w:rFonts w:cs="Times New Roman"/>
          <w:szCs w:val="24"/>
          <w:lang w:val="fr-CA"/>
        </w:rPr>
        <w:t>Le caractère volontaire</w:t>
      </w:r>
    </w:p>
    <w:p w:rsidR="00A37A4C" w:rsidRPr="00822328" w:rsidRDefault="00A37A4C" w:rsidP="006534E4">
      <w:pPr>
        <w:pStyle w:val="ParaNoNdepar-AltN"/>
        <w:widowControl w:val="0"/>
        <w:rPr>
          <w:rFonts w:cs="Times New Roman"/>
          <w:szCs w:val="24"/>
          <w:lang w:val="fr-CA"/>
        </w:rPr>
      </w:pPr>
      <w:r w:rsidRPr="00822328">
        <w:rPr>
          <w:rFonts w:cs="Times New Roman"/>
          <w:lang w:val="fr-CA"/>
        </w:rPr>
        <w:t>La règle des confessions traduit le souci du droit pour le « caractère volontaire » d</w:t>
      </w:r>
      <w:r>
        <w:rPr>
          <w:rFonts w:cs="Times New Roman"/>
          <w:lang w:val="fr-CA"/>
        </w:rPr>
        <w:t>’</w:t>
      </w:r>
      <w:r w:rsidRPr="00822328">
        <w:rPr>
          <w:rFonts w:cs="Times New Roman"/>
          <w:lang w:val="fr-CA"/>
        </w:rPr>
        <w:t>une déclaration obtenue grâce à une technique d</w:t>
      </w:r>
      <w:r>
        <w:rPr>
          <w:rFonts w:cs="Times New Roman"/>
          <w:lang w:val="fr-CA"/>
        </w:rPr>
        <w:t>’</w:t>
      </w:r>
      <w:r w:rsidRPr="00822328">
        <w:rPr>
          <w:rFonts w:cs="Times New Roman"/>
          <w:lang w:val="fr-CA"/>
        </w:rPr>
        <w:t>enquête policière. Elle fait obstacle à l</w:t>
      </w:r>
      <w:r>
        <w:rPr>
          <w:rFonts w:cs="Times New Roman"/>
          <w:lang w:val="fr-CA"/>
        </w:rPr>
        <w:t>’</w:t>
      </w:r>
      <w:r w:rsidRPr="00822328">
        <w:rPr>
          <w:rFonts w:cs="Times New Roman"/>
          <w:lang w:val="fr-CA"/>
        </w:rPr>
        <w:t xml:space="preserve">admission en preuve </w:t>
      </w:r>
      <w:r w:rsidRPr="00822328">
        <w:rPr>
          <w:rFonts w:cs="Times New Roman"/>
          <w:i/>
          <w:lang w:val="fr-CA"/>
        </w:rPr>
        <w:t>au procès</w:t>
      </w:r>
      <w:r w:rsidRPr="00822328">
        <w:rPr>
          <w:rFonts w:cs="Times New Roman"/>
          <w:lang w:val="fr-CA"/>
        </w:rPr>
        <w:t xml:space="preserve"> de la déclaration d</w:t>
      </w:r>
      <w:r>
        <w:rPr>
          <w:rFonts w:cs="Times New Roman"/>
          <w:lang w:val="fr-CA"/>
        </w:rPr>
        <w:t>’</w:t>
      </w:r>
      <w:r w:rsidRPr="00822328">
        <w:rPr>
          <w:rFonts w:cs="Times New Roman"/>
          <w:lang w:val="fr-CA"/>
        </w:rPr>
        <w:t>un suspect à un policier ou à une autre personne en situation d</w:t>
      </w:r>
      <w:r>
        <w:rPr>
          <w:rFonts w:cs="Times New Roman"/>
          <w:lang w:val="fr-CA"/>
        </w:rPr>
        <w:t>’</w:t>
      </w:r>
      <w:r w:rsidRPr="00822328">
        <w:rPr>
          <w:rFonts w:cs="Times New Roman"/>
          <w:lang w:val="fr-CA"/>
        </w:rPr>
        <w:t xml:space="preserve">autorité, sauf si le ministère public prouve hors de tout doute raisonnable que la déclaration était volontaire (S. Penney, V. Rondinelli et J. Stribopoulos, </w:t>
      </w:r>
      <w:r w:rsidRPr="00822328">
        <w:rPr>
          <w:rFonts w:cs="Times New Roman"/>
          <w:i/>
          <w:lang w:val="fr-CA"/>
        </w:rPr>
        <w:t>Criminal Procedure in Canada</w:t>
      </w:r>
      <w:r w:rsidRPr="00822328">
        <w:rPr>
          <w:rFonts w:cs="Times New Roman"/>
          <w:lang w:val="fr-CA"/>
        </w:rPr>
        <w:t xml:space="preserve"> (2011), p. 272</w:t>
      </w:r>
      <w:r w:rsidR="00102694">
        <w:rPr>
          <w:rFonts w:cs="Times New Roman"/>
          <w:lang w:val="fr-CA"/>
        </w:rPr>
        <w:t>;</w:t>
      </w:r>
      <w:r w:rsidRPr="00822328">
        <w:rPr>
          <w:rFonts w:cs="Times New Roman"/>
          <w:lang w:val="fr-CA"/>
        </w:rPr>
        <w:t xml:space="preserve"> </w:t>
      </w:r>
      <w:r w:rsidRPr="00822328">
        <w:rPr>
          <w:rFonts w:cs="Times New Roman"/>
          <w:i/>
          <w:lang w:val="fr-CA"/>
        </w:rPr>
        <w:t>R. c. Hodgson</w:t>
      </w:r>
      <w:r w:rsidRPr="00822328">
        <w:rPr>
          <w:rFonts w:cs="Times New Roman"/>
          <w:lang w:val="fr-CA"/>
        </w:rPr>
        <w:t>, [1998] 2 R.C.S. 449, par. 17). Identique à celui qui lui incombe en ce qui concerne la culpabilité même de l</w:t>
      </w:r>
      <w:r>
        <w:rPr>
          <w:rFonts w:cs="Times New Roman"/>
          <w:lang w:val="fr-CA"/>
        </w:rPr>
        <w:t>’</w:t>
      </w:r>
      <w:r w:rsidRPr="00822328">
        <w:rPr>
          <w:rFonts w:cs="Times New Roman"/>
          <w:lang w:val="fr-CA"/>
        </w:rPr>
        <w:t xml:space="preserve">accusé, le fardeau de preuve qui pèse sur </w:t>
      </w:r>
      <w:r w:rsidR="00102694">
        <w:rPr>
          <w:rFonts w:cs="Times New Roman"/>
          <w:lang w:val="fr-CA"/>
        </w:rPr>
        <w:t xml:space="preserve">le </w:t>
      </w:r>
      <w:r w:rsidRPr="00822328">
        <w:rPr>
          <w:rFonts w:cs="Times New Roman"/>
          <w:lang w:val="fr-CA"/>
        </w:rPr>
        <w:t>ministère public à cet égard fait ressortir le rattachement de la règle des confessions au principe juridique voulant qu</w:t>
      </w:r>
      <w:r>
        <w:rPr>
          <w:rFonts w:cs="Times New Roman"/>
          <w:lang w:val="fr-CA"/>
        </w:rPr>
        <w:t>’</w:t>
      </w:r>
      <w:r w:rsidRPr="00822328">
        <w:rPr>
          <w:rFonts w:cs="Times New Roman"/>
          <w:lang w:val="fr-CA"/>
        </w:rPr>
        <w:t>une déclaration involontaire [</w:t>
      </w:r>
      <w:r w:rsidRPr="00822328">
        <w:rPr>
          <w:rFonts w:cs="Times New Roman"/>
          <w:smallCaps/>
          <w:lang w:val="fr-CA"/>
        </w:rPr>
        <w:t>traduction</w:t>
      </w:r>
      <w:r w:rsidRPr="00822328">
        <w:rPr>
          <w:rFonts w:cs="Times New Roman"/>
          <w:lang w:val="fr-CA"/>
        </w:rPr>
        <w:t>] « </w:t>
      </w:r>
      <w:r w:rsidRPr="00822328">
        <w:rPr>
          <w:rFonts w:cs="Times New Roman"/>
          <w:szCs w:val="24"/>
          <w:lang w:val="fr-CA"/>
        </w:rPr>
        <w:t>ne soit pas une affirmation de culpabilité fiable » (S. N. Lederma</w:t>
      </w:r>
      <w:r w:rsidR="00102694">
        <w:rPr>
          <w:rFonts w:cs="Times New Roman"/>
          <w:szCs w:val="24"/>
          <w:lang w:val="fr-CA"/>
        </w:rPr>
        <w:t>n, A. W. Bryant et M. K. Fuerst</w:t>
      </w:r>
      <w:r w:rsidRPr="00822328">
        <w:rPr>
          <w:rFonts w:cs="Times New Roman"/>
          <w:szCs w:val="24"/>
          <w:lang w:val="fr-CA"/>
        </w:rPr>
        <w:t xml:space="preserve">, </w:t>
      </w:r>
      <w:r w:rsidRPr="00822328">
        <w:rPr>
          <w:rFonts w:cs="Times New Roman"/>
          <w:i/>
          <w:szCs w:val="24"/>
          <w:lang w:val="fr-CA"/>
        </w:rPr>
        <w:t>The Law of Evidence in Canada</w:t>
      </w:r>
      <w:r w:rsidRPr="00822328">
        <w:rPr>
          <w:rFonts w:cs="Times New Roman"/>
          <w:szCs w:val="24"/>
          <w:lang w:val="fr-CA"/>
        </w:rPr>
        <w:t xml:space="preserve"> (4</w:t>
      </w:r>
      <w:r w:rsidRPr="00822328">
        <w:rPr>
          <w:rFonts w:cs="Times New Roman"/>
          <w:szCs w:val="24"/>
          <w:vertAlign w:val="superscript"/>
          <w:lang w:val="fr-CA"/>
        </w:rPr>
        <w:t>e</w:t>
      </w:r>
      <w:r w:rsidRPr="00822328">
        <w:rPr>
          <w:rFonts w:cs="Times New Roman"/>
          <w:szCs w:val="24"/>
          <w:lang w:val="fr-CA"/>
        </w:rPr>
        <w:t xml:space="preserve"> éd. 2014), §8.24; </w:t>
      </w:r>
      <w:r w:rsidRPr="00822328">
        <w:rPr>
          <w:rFonts w:cs="Times New Roman"/>
          <w:i/>
          <w:szCs w:val="24"/>
          <w:lang w:val="fr-CA"/>
        </w:rPr>
        <w:t>Ibrahim c. The King</w:t>
      </w:r>
      <w:r w:rsidRPr="00822328">
        <w:rPr>
          <w:rFonts w:cs="Times New Roman"/>
          <w:szCs w:val="24"/>
          <w:lang w:val="fr-CA"/>
        </w:rPr>
        <w:t xml:space="preserve">, [1914] A.C. 599 (C.P.), p. 609; </w:t>
      </w:r>
      <w:r w:rsidRPr="00822328">
        <w:rPr>
          <w:rFonts w:cs="Times New Roman"/>
          <w:i/>
          <w:szCs w:val="24"/>
          <w:lang w:val="fr-CA"/>
        </w:rPr>
        <w:t>Boudreau c. The King</w:t>
      </w:r>
      <w:r w:rsidRPr="00822328">
        <w:rPr>
          <w:rFonts w:cs="Times New Roman"/>
          <w:szCs w:val="24"/>
          <w:lang w:val="fr-CA"/>
        </w:rPr>
        <w:t xml:space="preserve">, [1949] R.C.S. 262; </w:t>
      </w:r>
      <w:r w:rsidRPr="00822328">
        <w:rPr>
          <w:rFonts w:cs="Times New Roman"/>
          <w:i/>
          <w:szCs w:val="24"/>
          <w:lang w:val="fr-CA"/>
        </w:rPr>
        <w:t>Rothman c. La Reine</w:t>
      </w:r>
      <w:r w:rsidRPr="00822328">
        <w:rPr>
          <w:rFonts w:cs="Times New Roman"/>
          <w:szCs w:val="24"/>
          <w:lang w:val="fr-CA"/>
        </w:rPr>
        <w:t>, [1981] 1 R.C.S. 640, p. 653</w:t>
      </w:r>
      <w:r w:rsidRPr="00822328">
        <w:rPr>
          <w:rFonts w:cs="Times New Roman"/>
          <w:szCs w:val="24"/>
          <w:lang w:val="fr-CA"/>
        </w:rPr>
        <w:noBreakHyphen/>
        <w:t>654, le juge Estey, dissident)</w:t>
      </w:r>
      <w:r w:rsidRPr="00822328">
        <w:rPr>
          <w:rStyle w:val="FootnoteReference"/>
          <w:rFonts w:cs="Times New Roman"/>
          <w:szCs w:val="24"/>
          <w:lang w:val="fr-CA"/>
        </w:rPr>
        <w:footnoteReference w:id="1"/>
      </w:r>
      <w:r w:rsidRPr="00822328">
        <w:rPr>
          <w:rFonts w:cs="Times New Roman"/>
          <w:szCs w:val="24"/>
          <w:lang w:val="fr-CA"/>
        </w:rPr>
        <w:t>. Comme le reconnaît la Cour dans l</w:t>
      </w:r>
      <w:r>
        <w:rPr>
          <w:rFonts w:cs="Times New Roman"/>
          <w:szCs w:val="24"/>
          <w:lang w:val="fr-CA"/>
        </w:rPr>
        <w:t>’</w:t>
      </w:r>
      <w:r w:rsidRPr="00822328">
        <w:rPr>
          <w:rFonts w:cs="Times New Roman"/>
          <w:szCs w:val="24"/>
          <w:lang w:val="fr-CA"/>
        </w:rPr>
        <w:t xml:space="preserve">arrêt </w:t>
      </w:r>
      <w:r w:rsidRPr="00822328">
        <w:rPr>
          <w:rFonts w:cs="Times New Roman"/>
          <w:i/>
          <w:szCs w:val="24"/>
          <w:lang w:val="fr-CA"/>
        </w:rPr>
        <w:t xml:space="preserve">Hodgson </w:t>
      </w:r>
      <w:r w:rsidRPr="00822328">
        <w:rPr>
          <w:rFonts w:cs="Times New Roman"/>
          <w:lang w:val="fr-CA"/>
        </w:rPr>
        <w:t>(par. 19)</w:t>
      </w:r>
      <w:r w:rsidRPr="00822328">
        <w:rPr>
          <w:rFonts w:cs="Times New Roman"/>
          <w:szCs w:val="24"/>
          <w:lang w:val="fr-CA"/>
        </w:rPr>
        <w:t>, la déclaration obtenue par la force, par la menace ou grâce à des promesses est intrinsèquement non fiable.</w:t>
      </w:r>
    </w:p>
    <w:p w:rsidR="00A37A4C" w:rsidRPr="00822328" w:rsidRDefault="00A37A4C" w:rsidP="006534E4">
      <w:pPr>
        <w:pStyle w:val="ParaNoNdepar-AltN"/>
        <w:widowControl w:val="0"/>
        <w:rPr>
          <w:rFonts w:cs="Times New Roman"/>
          <w:lang w:val="fr-CA"/>
        </w:rPr>
      </w:pPr>
      <w:r w:rsidRPr="00822328">
        <w:rPr>
          <w:rFonts w:cs="Times New Roman"/>
          <w:lang w:val="fr-CA"/>
        </w:rPr>
        <w:t>Toutefois, la Cour reconnaît également que la non</w:t>
      </w:r>
      <w:r w:rsidRPr="00822328">
        <w:rPr>
          <w:rFonts w:cs="Times New Roman"/>
          <w:lang w:val="fr-CA"/>
        </w:rPr>
        <w:noBreakHyphen/>
        <w:t>fiabilité éventuelle d</w:t>
      </w:r>
      <w:r>
        <w:rPr>
          <w:rFonts w:cs="Times New Roman"/>
          <w:lang w:val="fr-CA"/>
        </w:rPr>
        <w:t>’</w:t>
      </w:r>
      <w:r w:rsidRPr="00822328">
        <w:rPr>
          <w:rFonts w:cs="Times New Roman"/>
          <w:lang w:val="fr-CA"/>
        </w:rPr>
        <w:t>un aveu involontaire n</w:t>
      </w:r>
      <w:r>
        <w:rPr>
          <w:rFonts w:cs="Times New Roman"/>
          <w:lang w:val="fr-CA"/>
        </w:rPr>
        <w:t>’</w:t>
      </w:r>
      <w:r w:rsidRPr="00822328">
        <w:rPr>
          <w:rFonts w:cs="Times New Roman"/>
          <w:lang w:val="fr-CA"/>
        </w:rPr>
        <w:t>explique qu</w:t>
      </w:r>
      <w:r>
        <w:rPr>
          <w:rFonts w:cs="Times New Roman"/>
          <w:lang w:val="fr-CA"/>
        </w:rPr>
        <w:t>’</w:t>
      </w:r>
      <w:r w:rsidRPr="00822328">
        <w:rPr>
          <w:rFonts w:cs="Times New Roman"/>
          <w:lang w:val="fr-CA"/>
        </w:rPr>
        <w:t>en partie l</w:t>
      </w:r>
      <w:r>
        <w:rPr>
          <w:rFonts w:cs="Times New Roman"/>
          <w:lang w:val="fr-CA"/>
        </w:rPr>
        <w:t>’</w:t>
      </w:r>
      <w:r w:rsidRPr="00822328">
        <w:rPr>
          <w:rFonts w:cs="Times New Roman"/>
          <w:lang w:val="fr-CA"/>
        </w:rPr>
        <w:t xml:space="preserve">exclusion de la preuve par application de la règle des confessions. Ainsi, dans </w:t>
      </w:r>
      <w:r w:rsidRPr="00822328">
        <w:rPr>
          <w:rFonts w:cs="Times New Roman"/>
          <w:i/>
          <w:lang w:val="fr-CA"/>
        </w:rPr>
        <w:t>R. c. Hebert</w:t>
      </w:r>
      <w:r w:rsidRPr="00822328">
        <w:rPr>
          <w:rFonts w:cs="Times New Roman"/>
          <w:lang w:val="fr-CA"/>
        </w:rPr>
        <w:t>, [1990] 2 R.C.S. 151, la Cour affirme que cette règle repose sur les notions fondamentales que sont l</w:t>
      </w:r>
      <w:r>
        <w:rPr>
          <w:rFonts w:cs="Times New Roman"/>
          <w:lang w:val="fr-CA"/>
        </w:rPr>
        <w:t>’</w:t>
      </w:r>
      <w:r w:rsidRPr="00822328">
        <w:rPr>
          <w:rFonts w:cs="Times New Roman"/>
          <w:lang w:val="fr-CA"/>
        </w:rPr>
        <w:t>équité procédurale et (p. 173) « </w:t>
      </w:r>
      <w:r w:rsidRPr="00822328">
        <w:rPr>
          <w:rFonts w:cs="Times New Roman"/>
          <w:spacing w:val="-3"/>
          <w:lang w:val="fr-CA"/>
        </w:rPr>
        <w:t>l</w:t>
      </w:r>
      <w:r>
        <w:rPr>
          <w:rFonts w:cs="Times New Roman"/>
          <w:spacing w:val="-3"/>
          <w:lang w:val="fr-CA"/>
        </w:rPr>
        <w:t>’</w:t>
      </w:r>
      <w:r w:rsidRPr="00822328">
        <w:rPr>
          <w:rFonts w:cs="Times New Roman"/>
          <w:spacing w:val="-3"/>
          <w:lang w:val="fr-CA"/>
        </w:rPr>
        <w:t>idée qu</w:t>
      </w:r>
      <w:r>
        <w:rPr>
          <w:rFonts w:cs="Times New Roman"/>
          <w:spacing w:val="-3"/>
          <w:lang w:val="fr-CA"/>
        </w:rPr>
        <w:t>’</w:t>
      </w:r>
      <w:r w:rsidRPr="00822328">
        <w:rPr>
          <w:rFonts w:cs="Times New Roman"/>
          <w:spacing w:val="-3"/>
          <w:lang w:val="fr-CA"/>
        </w:rPr>
        <w:t>une personne assujettie au pouvoir de l</w:t>
      </w:r>
      <w:r>
        <w:rPr>
          <w:rFonts w:cs="Times New Roman"/>
          <w:spacing w:val="-3"/>
          <w:lang w:val="fr-CA"/>
        </w:rPr>
        <w:t>’</w:t>
      </w:r>
      <w:r w:rsidRPr="00822328">
        <w:rPr>
          <w:rFonts w:cs="Times New Roman"/>
          <w:spacing w:val="-3"/>
          <w:lang w:val="fr-CA"/>
        </w:rPr>
        <w:t>État en matière criminelle a le droit de décider librement de faire ou non une déclaration aux policiers</w:t>
      </w:r>
      <w:r w:rsidRPr="00822328">
        <w:rPr>
          <w:rFonts w:cs="Times New Roman"/>
          <w:lang w:val="fr-CA"/>
        </w:rPr>
        <w:t> », jumelée au « </w:t>
      </w:r>
      <w:r w:rsidRPr="00822328">
        <w:rPr>
          <w:rFonts w:cs="Times New Roman"/>
          <w:spacing w:val="-3"/>
          <w:lang w:val="fr-CA"/>
        </w:rPr>
        <w:t>souci</w:t>
      </w:r>
      <w:r w:rsidR="00102694">
        <w:rPr>
          <w:rFonts w:cs="Times New Roman"/>
          <w:spacing w:val="-3"/>
          <w:lang w:val="fr-CA"/>
        </w:rPr>
        <w:t xml:space="preserve"> [. . .]</w:t>
      </w:r>
      <w:r w:rsidRPr="00822328">
        <w:rPr>
          <w:rFonts w:cs="Times New Roman"/>
          <w:spacing w:val="-3"/>
          <w:lang w:val="fr-CA"/>
        </w:rPr>
        <w:t xml:space="preserve"> de préserver l</w:t>
      </w:r>
      <w:r>
        <w:rPr>
          <w:rFonts w:cs="Times New Roman"/>
          <w:spacing w:val="-3"/>
          <w:lang w:val="fr-CA"/>
        </w:rPr>
        <w:t>’</w:t>
      </w:r>
      <w:r w:rsidRPr="00822328">
        <w:rPr>
          <w:rFonts w:cs="Times New Roman"/>
          <w:spacing w:val="-3"/>
          <w:lang w:val="fr-CA"/>
        </w:rPr>
        <w:t>intégrité du processus judiciaire et la considération dont il jouit</w:t>
      </w:r>
      <w:r w:rsidRPr="00822328">
        <w:rPr>
          <w:rFonts w:cs="Times New Roman"/>
          <w:lang w:val="fr-CA"/>
        </w:rPr>
        <w:t> ». Elle ajoute (à la p. 175) que ces préoccupations sous</w:t>
      </w:r>
      <w:r w:rsidRPr="00822328">
        <w:rPr>
          <w:rFonts w:cs="Times New Roman"/>
          <w:lang w:val="fr-CA"/>
        </w:rPr>
        <w:noBreakHyphen/>
        <w:t xml:space="preserve">tendent </w:t>
      </w:r>
      <w:r w:rsidRPr="00822328">
        <w:rPr>
          <w:rFonts w:cs="Times New Roman"/>
          <w:spacing w:val="-3"/>
          <w:lang w:val="fr-CA"/>
        </w:rPr>
        <w:t>le privilège de ne pas s</w:t>
      </w:r>
      <w:r>
        <w:rPr>
          <w:rFonts w:cs="Times New Roman"/>
          <w:spacing w:val="-3"/>
          <w:lang w:val="fr-CA"/>
        </w:rPr>
        <w:t>’</w:t>
      </w:r>
      <w:r w:rsidRPr="00822328">
        <w:rPr>
          <w:rFonts w:cs="Times New Roman"/>
          <w:spacing w:val="-3"/>
          <w:lang w:val="fr-CA"/>
        </w:rPr>
        <w:t>incriminer</w:t>
      </w:r>
      <w:r w:rsidRPr="00822328">
        <w:rPr>
          <w:rFonts w:cs="Times New Roman"/>
          <w:lang w:val="fr-CA"/>
        </w:rPr>
        <w:t xml:space="preserve"> et appuient l</w:t>
      </w:r>
      <w:r>
        <w:rPr>
          <w:rFonts w:cs="Times New Roman"/>
          <w:lang w:val="fr-CA"/>
        </w:rPr>
        <w:t>’</w:t>
      </w:r>
      <w:r w:rsidRPr="00822328">
        <w:rPr>
          <w:rFonts w:cs="Times New Roman"/>
          <w:lang w:val="fr-CA"/>
        </w:rPr>
        <w:t>assimilation du droit de la personne détenue de garder le silence à un principe de justice fondamentale au sens de l</w:t>
      </w:r>
      <w:r>
        <w:rPr>
          <w:rFonts w:cs="Times New Roman"/>
          <w:lang w:val="fr-CA"/>
        </w:rPr>
        <w:t>’</w:t>
      </w:r>
      <w:r w:rsidRPr="00822328">
        <w:rPr>
          <w:rFonts w:cs="Times New Roman"/>
          <w:lang w:val="fr-CA"/>
        </w:rPr>
        <w:t xml:space="preserve">art. 7 de la </w:t>
      </w:r>
      <w:r w:rsidRPr="00822328">
        <w:rPr>
          <w:rFonts w:cs="Times New Roman"/>
          <w:i/>
          <w:lang w:val="fr-CA"/>
        </w:rPr>
        <w:t>Charte</w:t>
      </w:r>
      <w:r w:rsidRPr="00822328">
        <w:rPr>
          <w:rFonts w:cs="Times New Roman"/>
          <w:lang w:val="fr-CA"/>
        </w:rPr>
        <w:t>. En tant qu</w:t>
      </w:r>
      <w:r>
        <w:rPr>
          <w:rFonts w:cs="Times New Roman"/>
          <w:lang w:val="fr-CA"/>
        </w:rPr>
        <w:t>’</w:t>
      </w:r>
      <w:r w:rsidRPr="00822328">
        <w:rPr>
          <w:rFonts w:cs="Times New Roman"/>
          <w:lang w:val="fr-CA"/>
        </w:rPr>
        <w:t>exigence visant à limiter la portée des techniques d</w:t>
      </w:r>
      <w:r>
        <w:rPr>
          <w:rFonts w:cs="Times New Roman"/>
          <w:lang w:val="fr-CA"/>
        </w:rPr>
        <w:t>’</w:t>
      </w:r>
      <w:r w:rsidRPr="00822328">
        <w:rPr>
          <w:rFonts w:cs="Times New Roman"/>
          <w:lang w:val="fr-CA"/>
        </w:rPr>
        <w:t>enquête policière, le « caractère volontaire » est donc largement associé au principe voulant que, pour préserver l</w:t>
      </w:r>
      <w:r>
        <w:rPr>
          <w:rFonts w:cs="Times New Roman"/>
          <w:lang w:val="fr-CA"/>
        </w:rPr>
        <w:t>’</w:t>
      </w:r>
      <w:r w:rsidRPr="00822328">
        <w:rPr>
          <w:rFonts w:cs="Times New Roman"/>
          <w:lang w:val="fr-CA"/>
        </w:rPr>
        <w:t>intégrité du processus judiciaire et la considération dont il jouit, le ministère public doive établir la culpabilité sans l</w:t>
      </w:r>
      <w:r>
        <w:rPr>
          <w:rFonts w:cs="Times New Roman"/>
          <w:lang w:val="fr-CA"/>
        </w:rPr>
        <w:t>’</w:t>
      </w:r>
      <w:r w:rsidRPr="00822328">
        <w:rPr>
          <w:rFonts w:cs="Times New Roman"/>
          <w:lang w:val="fr-CA"/>
        </w:rPr>
        <w:t>aide de l</w:t>
      </w:r>
      <w:r>
        <w:rPr>
          <w:rFonts w:cs="Times New Roman"/>
          <w:lang w:val="fr-CA"/>
        </w:rPr>
        <w:t>’</w:t>
      </w:r>
      <w:r w:rsidRPr="00822328">
        <w:rPr>
          <w:rFonts w:cs="Times New Roman"/>
          <w:lang w:val="fr-CA"/>
        </w:rPr>
        <w:t>accusé (</w:t>
      </w:r>
      <w:r w:rsidRPr="00822328">
        <w:rPr>
          <w:rFonts w:cs="Times New Roman"/>
          <w:i/>
          <w:lang w:val="fr-CA"/>
        </w:rPr>
        <w:t>Hodgson</w:t>
      </w:r>
      <w:r w:rsidRPr="00822328">
        <w:rPr>
          <w:rFonts w:cs="Times New Roman"/>
          <w:lang w:val="fr-CA"/>
        </w:rPr>
        <w:t xml:space="preserve">, par. 23, citant le </w:t>
      </w:r>
      <w:r w:rsidR="00102694">
        <w:rPr>
          <w:rFonts w:cs="Times New Roman"/>
          <w:i/>
          <w:iCs/>
          <w:lang w:val="fr-CA"/>
        </w:rPr>
        <w:t>Rapport du g</w:t>
      </w:r>
      <w:r w:rsidRPr="00822328">
        <w:rPr>
          <w:rFonts w:cs="Times New Roman"/>
          <w:i/>
          <w:iCs/>
          <w:lang w:val="fr-CA"/>
        </w:rPr>
        <w:t>roupe de travail fédéral</w:t>
      </w:r>
      <w:r w:rsidRPr="00822328">
        <w:rPr>
          <w:rFonts w:cs="Times New Roman"/>
          <w:i/>
          <w:iCs/>
          <w:lang w:val="fr-CA"/>
        </w:rPr>
        <w:noBreakHyphen/>
        <w:t>provincial sur l</w:t>
      </w:r>
      <w:r>
        <w:rPr>
          <w:rFonts w:cs="Times New Roman"/>
          <w:i/>
          <w:iCs/>
          <w:lang w:val="fr-CA"/>
        </w:rPr>
        <w:t>’</w:t>
      </w:r>
      <w:r w:rsidRPr="00822328">
        <w:rPr>
          <w:rFonts w:cs="Times New Roman"/>
          <w:i/>
          <w:iCs/>
          <w:lang w:val="fr-CA"/>
        </w:rPr>
        <w:t>uniformisation des règles de preuve</w:t>
      </w:r>
      <w:r w:rsidR="00102694">
        <w:rPr>
          <w:rFonts w:cs="Times New Roman"/>
          <w:lang w:val="fr-CA"/>
        </w:rPr>
        <w:t xml:space="preserve"> (1983</w:t>
      </w:r>
      <w:r w:rsidRPr="00822328">
        <w:rPr>
          <w:rFonts w:cs="Times New Roman"/>
          <w:lang w:val="fr-CA"/>
        </w:rPr>
        <w:t>), p. 195).</w:t>
      </w:r>
    </w:p>
    <w:p w:rsidR="00A37A4C" w:rsidRPr="00822328" w:rsidRDefault="00A37A4C" w:rsidP="006534E4">
      <w:pPr>
        <w:pStyle w:val="ParaNoNdepar-AltN"/>
        <w:widowControl w:val="0"/>
        <w:rPr>
          <w:rFonts w:cs="Times New Roman"/>
          <w:lang w:val="fr-CA"/>
        </w:rPr>
      </w:pPr>
      <w:r w:rsidRPr="00822328">
        <w:rPr>
          <w:rFonts w:cs="Times New Roman"/>
          <w:lang w:val="fr-CA"/>
        </w:rPr>
        <w:t>Ces raisons d</w:t>
      </w:r>
      <w:r>
        <w:rPr>
          <w:rFonts w:cs="Times New Roman"/>
          <w:lang w:val="fr-CA"/>
        </w:rPr>
        <w:t>’</w:t>
      </w:r>
      <w:r w:rsidRPr="00822328">
        <w:rPr>
          <w:rFonts w:cs="Times New Roman"/>
          <w:lang w:val="fr-CA"/>
        </w:rPr>
        <w:t>être de la règle des confessions ne sont pas formulées clairement et, comme le fait observer la Cour dans plus d</w:t>
      </w:r>
      <w:r>
        <w:rPr>
          <w:rFonts w:cs="Times New Roman"/>
          <w:lang w:val="fr-CA"/>
        </w:rPr>
        <w:t>’</w:t>
      </w:r>
      <w:r w:rsidRPr="00822328">
        <w:rPr>
          <w:rFonts w:cs="Times New Roman"/>
          <w:lang w:val="fr-CA"/>
        </w:rPr>
        <w:t>un arrêt, « </w:t>
      </w:r>
      <w:r w:rsidRPr="00822328">
        <w:rPr>
          <w:rFonts w:cs="Times New Roman"/>
          <w:szCs w:val="24"/>
          <w:lang w:val="fr-CA"/>
        </w:rPr>
        <w:t>il n</w:t>
      </w:r>
      <w:r>
        <w:rPr>
          <w:rFonts w:cs="Times New Roman"/>
          <w:szCs w:val="24"/>
          <w:lang w:val="fr-CA"/>
        </w:rPr>
        <w:t>’</w:t>
      </w:r>
      <w:r w:rsidRPr="00822328">
        <w:rPr>
          <w:rFonts w:cs="Times New Roman"/>
          <w:szCs w:val="24"/>
          <w:lang w:val="fr-CA"/>
        </w:rPr>
        <w:t>a pas toujours été facile de justifier la règle des confessions par autre chose que la fiabilité des déclarations</w:t>
      </w:r>
      <w:r w:rsidRPr="00822328">
        <w:rPr>
          <w:rFonts w:cs="Times New Roman"/>
          <w:lang w:val="fr-CA"/>
        </w:rPr>
        <w:t> » (</w:t>
      </w:r>
      <w:r w:rsidRPr="00822328">
        <w:rPr>
          <w:rFonts w:cs="Times New Roman"/>
          <w:i/>
          <w:lang w:val="fr-CA"/>
        </w:rPr>
        <w:t>R. c. S. (R.J.)</w:t>
      </w:r>
      <w:r w:rsidRPr="00822328">
        <w:rPr>
          <w:rFonts w:cs="Times New Roman"/>
          <w:lang w:val="fr-CA"/>
        </w:rPr>
        <w:t xml:space="preserve">, [1995] 1 R.C.S. 451, par. 73; </w:t>
      </w:r>
      <w:r w:rsidRPr="00822328">
        <w:rPr>
          <w:rFonts w:cs="Times New Roman"/>
          <w:i/>
          <w:lang w:val="fr-CA"/>
        </w:rPr>
        <w:t>Hodgson</w:t>
      </w:r>
      <w:r w:rsidRPr="00822328">
        <w:rPr>
          <w:rFonts w:cs="Times New Roman"/>
          <w:lang w:val="fr-CA"/>
        </w:rPr>
        <w:t>, par. 23). Il suffit de signaler en l</w:t>
      </w:r>
      <w:r>
        <w:rPr>
          <w:rFonts w:cs="Times New Roman"/>
          <w:lang w:val="fr-CA"/>
        </w:rPr>
        <w:t>’</w:t>
      </w:r>
      <w:r w:rsidRPr="00822328">
        <w:rPr>
          <w:rFonts w:cs="Times New Roman"/>
          <w:lang w:val="fr-CA"/>
        </w:rPr>
        <w:t>espèce que le ministère public doit prouver le caractère volontaire de la déclaration d</w:t>
      </w:r>
      <w:r>
        <w:rPr>
          <w:rFonts w:cs="Times New Roman"/>
          <w:lang w:val="fr-CA"/>
        </w:rPr>
        <w:t>’</w:t>
      </w:r>
      <w:r w:rsidRPr="00822328">
        <w:rPr>
          <w:rFonts w:cs="Times New Roman"/>
          <w:lang w:val="fr-CA"/>
        </w:rPr>
        <w:t>un accusé avant de l</w:t>
      </w:r>
      <w:r>
        <w:rPr>
          <w:rFonts w:cs="Times New Roman"/>
          <w:lang w:val="fr-CA"/>
        </w:rPr>
        <w:t>’</w:t>
      </w:r>
      <w:r w:rsidRPr="00822328">
        <w:rPr>
          <w:rFonts w:cs="Times New Roman"/>
          <w:lang w:val="fr-CA"/>
        </w:rPr>
        <w:t>invoquer au procès pour obtenir une déclaration de culpabilité et que cette règle intervient pour garantir l</w:t>
      </w:r>
      <w:r>
        <w:rPr>
          <w:rFonts w:cs="Times New Roman"/>
          <w:lang w:val="fr-CA"/>
        </w:rPr>
        <w:t>’</w:t>
      </w:r>
      <w:r w:rsidRPr="00822328">
        <w:rPr>
          <w:rFonts w:cs="Times New Roman"/>
          <w:lang w:val="fr-CA"/>
        </w:rPr>
        <w:t>équité procédurale et empêcher qu</w:t>
      </w:r>
      <w:r>
        <w:rPr>
          <w:rFonts w:cs="Times New Roman"/>
          <w:lang w:val="fr-CA"/>
        </w:rPr>
        <w:t>’</w:t>
      </w:r>
      <w:r w:rsidRPr="00822328">
        <w:rPr>
          <w:rFonts w:cs="Times New Roman"/>
          <w:lang w:val="fr-CA"/>
        </w:rPr>
        <w:t>un accusé soit déclaré coupable à partir d</w:t>
      </w:r>
      <w:r>
        <w:rPr>
          <w:rFonts w:cs="Times New Roman"/>
          <w:lang w:val="fr-CA"/>
        </w:rPr>
        <w:t>’</w:t>
      </w:r>
      <w:r w:rsidRPr="00822328">
        <w:rPr>
          <w:rFonts w:cs="Times New Roman"/>
          <w:lang w:val="fr-CA"/>
        </w:rPr>
        <w:t>un témoignage forcé et donc intrinsèquement non fiable. Même si cette règle vaut donc uniquement au procès, l</w:t>
      </w:r>
      <w:r>
        <w:rPr>
          <w:rFonts w:cs="Times New Roman"/>
          <w:lang w:val="fr-CA"/>
        </w:rPr>
        <w:t>’</w:t>
      </w:r>
      <w:r w:rsidRPr="00822328">
        <w:rPr>
          <w:rFonts w:cs="Times New Roman"/>
          <w:lang w:val="fr-CA"/>
        </w:rPr>
        <w:t>appelant soutient que son [</w:t>
      </w:r>
      <w:r w:rsidRPr="00822328">
        <w:rPr>
          <w:rFonts w:cs="Times New Roman"/>
          <w:smallCaps/>
          <w:lang w:val="fr-CA"/>
        </w:rPr>
        <w:t>traduction</w:t>
      </w:r>
      <w:r w:rsidRPr="00822328">
        <w:rPr>
          <w:rFonts w:cs="Times New Roman"/>
          <w:lang w:val="fr-CA"/>
        </w:rPr>
        <w:t>] « objectif général » devrait jouer de manière à obliger le ministère public à prouver, lors d</w:t>
      </w:r>
      <w:r>
        <w:rPr>
          <w:rFonts w:cs="Times New Roman"/>
          <w:lang w:val="fr-CA"/>
        </w:rPr>
        <w:t>’</w:t>
      </w:r>
      <w:r w:rsidRPr="00822328">
        <w:rPr>
          <w:rFonts w:cs="Times New Roman"/>
          <w:lang w:val="fr-CA"/>
        </w:rPr>
        <w:t>un voir</w:t>
      </w:r>
      <w:r w:rsidRPr="00822328">
        <w:rPr>
          <w:rFonts w:cs="Times New Roman"/>
          <w:lang w:val="fr-CA"/>
        </w:rPr>
        <w:noBreakHyphen/>
        <w:t>dire, le caractère volontaire d</w:t>
      </w:r>
      <w:r>
        <w:rPr>
          <w:rFonts w:cs="Times New Roman"/>
          <w:lang w:val="fr-CA"/>
        </w:rPr>
        <w:t>’</w:t>
      </w:r>
      <w:r w:rsidRPr="00822328">
        <w:rPr>
          <w:rFonts w:cs="Times New Roman"/>
          <w:lang w:val="fr-CA"/>
        </w:rPr>
        <w:t xml:space="preserve">une déclaration à </w:t>
      </w:r>
      <w:r w:rsidRPr="00822328">
        <w:rPr>
          <w:rFonts w:cs="Times New Roman"/>
          <w:i/>
          <w:lang w:val="fr-CA"/>
        </w:rPr>
        <w:t xml:space="preserve">quelque </w:t>
      </w:r>
      <w:r w:rsidRPr="00822328">
        <w:rPr>
          <w:rFonts w:cs="Times New Roman"/>
          <w:lang w:val="fr-CA"/>
        </w:rPr>
        <w:t>fin</w:t>
      </w:r>
      <w:r w:rsidRPr="00822328">
        <w:rPr>
          <w:rFonts w:cs="Times New Roman"/>
          <w:i/>
          <w:lang w:val="fr-CA"/>
        </w:rPr>
        <w:t xml:space="preserve"> </w:t>
      </w:r>
      <w:r w:rsidRPr="00822328">
        <w:rPr>
          <w:rFonts w:cs="Times New Roman"/>
          <w:lang w:val="fr-CA"/>
        </w:rPr>
        <w:t>que ce soit, « </w:t>
      </w:r>
      <w:r>
        <w:rPr>
          <w:rFonts w:cs="Times New Roman"/>
          <w:lang w:val="fr-CA"/>
        </w:rPr>
        <w:t xml:space="preserve">même simplement </w:t>
      </w:r>
      <w:r w:rsidRPr="00822328">
        <w:rPr>
          <w:rFonts w:cs="Times New Roman"/>
          <w:lang w:val="fr-CA"/>
        </w:rPr>
        <w:t>pour établir l</w:t>
      </w:r>
      <w:r>
        <w:rPr>
          <w:rFonts w:cs="Times New Roman"/>
          <w:lang w:val="fr-CA"/>
        </w:rPr>
        <w:t>’</w:t>
      </w:r>
      <w:r w:rsidRPr="00822328">
        <w:rPr>
          <w:rFonts w:cs="Times New Roman"/>
          <w:lang w:val="fr-CA"/>
        </w:rPr>
        <w:t>existence de motifs raisonnables d</w:t>
      </w:r>
      <w:r>
        <w:rPr>
          <w:rFonts w:cs="Times New Roman"/>
          <w:lang w:val="fr-CA"/>
        </w:rPr>
        <w:t>’</w:t>
      </w:r>
      <w:r w:rsidRPr="00822328">
        <w:rPr>
          <w:rFonts w:cs="Times New Roman"/>
          <w:lang w:val="fr-CA"/>
        </w:rPr>
        <w:t>effectuer une fouille ou une perquisition ». Selon lui, ne faire porter l</w:t>
      </w:r>
      <w:r>
        <w:rPr>
          <w:rFonts w:cs="Times New Roman"/>
          <w:lang w:val="fr-CA"/>
        </w:rPr>
        <w:t>’</w:t>
      </w:r>
      <w:r w:rsidRPr="00822328">
        <w:rPr>
          <w:rFonts w:cs="Times New Roman"/>
          <w:lang w:val="fr-CA"/>
        </w:rPr>
        <w:t xml:space="preserve">examen judiciaire du caractère volontaire de la déclaration que sur la preuve offerte </w:t>
      </w:r>
      <w:r w:rsidRPr="00822328">
        <w:rPr>
          <w:rFonts w:cs="Times New Roman"/>
          <w:i/>
          <w:lang w:val="fr-CA"/>
        </w:rPr>
        <w:t>au procès</w:t>
      </w:r>
      <w:r w:rsidRPr="00822328">
        <w:rPr>
          <w:rFonts w:cs="Times New Roman"/>
          <w:lang w:val="fr-CA"/>
        </w:rPr>
        <w:t xml:space="preserve"> confère à la police « un avantage injuste [. . .] sur la personne handicapée ou atteinte de troubles mentaux », ce qui « crée un déséquilibre systémique au détriment de ceux qui ont besoin des protections juridiques les plus importantes ». En outre, l</w:t>
      </w:r>
      <w:r>
        <w:rPr>
          <w:rFonts w:cs="Times New Roman"/>
          <w:lang w:val="fr-CA"/>
        </w:rPr>
        <w:t>’</w:t>
      </w:r>
      <w:r w:rsidRPr="00822328">
        <w:rPr>
          <w:rFonts w:cs="Times New Roman"/>
          <w:lang w:val="fr-CA"/>
        </w:rPr>
        <w:t>appelant tient pour « incriminante » toute preuve susceptible d</w:t>
      </w:r>
      <w:r>
        <w:rPr>
          <w:rFonts w:cs="Times New Roman"/>
          <w:lang w:val="fr-CA"/>
        </w:rPr>
        <w:t>’</w:t>
      </w:r>
      <w:r w:rsidRPr="00822328">
        <w:rPr>
          <w:rFonts w:cs="Times New Roman"/>
          <w:lang w:val="fr-CA"/>
        </w:rPr>
        <w:t>aider le ministère public de quelque manière, de sorte qu</w:t>
      </w:r>
      <w:r>
        <w:rPr>
          <w:rFonts w:cs="Times New Roman"/>
          <w:lang w:val="fr-CA"/>
        </w:rPr>
        <w:t>’</w:t>
      </w:r>
      <w:r w:rsidRPr="00822328">
        <w:rPr>
          <w:rFonts w:cs="Times New Roman"/>
          <w:lang w:val="fr-CA"/>
        </w:rPr>
        <w:t xml:space="preserve">il faudrait selon lui démontrer que la déclaration invoquée pour justifier une fouille ou une perquisition a été faite volontairement. Dès lors, un élément de preuve non fiable comme un aveu involontaire ne pourrait être invoqué pour justifier une fouille ou une perquisition. </w:t>
      </w:r>
    </w:p>
    <w:p w:rsidR="00A37A4C" w:rsidRPr="00822328" w:rsidRDefault="00A37A4C" w:rsidP="006534E4">
      <w:pPr>
        <w:pStyle w:val="ParaNoNdepar-AltN"/>
        <w:widowControl w:val="0"/>
        <w:rPr>
          <w:rFonts w:cs="Times New Roman"/>
          <w:szCs w:val="24"/>
          <w:lang w:val="fr-CA"/>
        </w:rPr>
      </w:pPr>
      <w:r w:rsidRPr="00822328">
        <w:rPr>
          <w:rFonts w:cs="Times New Roman"/>
          <w:szCs w:val="24"/>
          <w:lang w:val="fr-CA"/>
        </w:rPr>
        <w:t>En ce qui a trait à la procédure qui devrait être suivie, l</w:t>
      </w:r>
      <w:r>
        <w:rPr>
          <w:rFonts w:cs="Times New Roman"/>
          <w:szCs w:val="24"/>
          <w:lang w:val="fr-CA"/>
        </w:rPr>
        <w:t>’</w:t>
      </w:r>
      <w:r w:rsidRPr="00822328">
        <w:rPr>
          <w:rFonts w:cs="Times New Roman"/>
          <w:szCs w:val="24"/>
          <w:lang w:val="fr-CA"/>
        </w:rPr>
        <w:t>appelant soutient que le caractère volontaire d</w:t>
      </w:r>
      <w:r>
        <w:rPr>
          <w:rFonts w:cs="Times New Roman"/>
          <w:szCs w:val="24"/>
          <w:lang w:val="fr-CA"/>
        </w:rPr>
        <w:t>’</w:t>
      </w:r>
      <w:r w:rsidRPr="00822328">
        <w:rPr>
          <w:rFonts w:cs="Times New Roman"/>
          <w:szCs w:val="24"/>
          <w:lang w:val="fr-CA"/>
        </w:rPr>
        <w:t>une déclaration qui mène à une fouille ou à une perquisition policière — telle sa déclaration concernant les mégots — devrait être établi avant la tenue d</w:t>
      </w:r>
      <w:r>
        <w:rPr>
          <w:rFonts w:cs="Times New Roman"/>
          <w:szCs w:val="24"/>
          <w:lang w:val="fr-CA"/>
        </w:rPr>
        <w:t>’</w:t>
      </w:r>
      <w:r w:rsidRPr="00822328">
        <w:rPr>
          <w:rFonts w:cs="Times New Roman"/>
          <w:szCs w:val="24"/>
          <w:lang w:val="fr-CA"/>
        </w:rPr>
        <w:t>un voir</w:t>
      </w:r>
      <w:r w:rsidRPr="00822328">
        <w:rPr>
          <w:rFonts w:cs="Times New Roman"/>
          <w:szCs w:val="24"/>
          <w:lang w:val="fr-CA"/>
        </w:rPr>
        <w:noBreakHyphen/>
        <w:t>dire sur la légalité de la mesure. À titre subsidiaire, il avance qu</w:t>
      </w:r>
      <w:r>
        <w:rPr>
          <w:rFonts w:cs="Times New Roman"/>
          <w:szCs w:val="24"/>
          <w:lang w:val="fr-CA"/>
        </w:rPr>
        <w:t>’</w:t>
      </w:r>
      <w:r w:rsidRPr="00822328">
        <w:rPr>
          <w:rFonts w:cs="Times New Roman"/>
          <w:szCs w:val="24"/>
          <w:lang w:val="fr-CA"/>
        </w:rPr>
        <w:t>un voir</w:t>
      </w:r>
      <w:r w:rsidRPr="00822328">
        <w:rPr>
          <w:rFonts w:cs="Times New Roman"/>
          <w:szCs w:val="24"/>
          <w:lang w:val="fr-CA"/>
        </w:rPr>
        <w:noBreakHyphen/>
        <w:t>dire mixte portant sur plusieurs aspects pourrait avoir lieu. En l</w:t>
      </w:r>
      <w:r>
        <w:rPr>
          <w:rFonts w:cs="Times New Roman"/>
          <w:szCs w:val="24"/>
          <w:lang w:val="fr-CA"/>
        </w:rPr>
        <w:t>’</w:t>
      </w:r>
      <w:r w:rsidRPr="00822328">
        <w:rPr>
          <w:rFonts w:cs="Times New Roman"/>
          <w:szCs w:val="24"/>
          <w:lang w:val="fr-CA"/>
        </w:rPr>
        <w:t>espèce, puisque ni le juge du procès, ni les avocats n</w:t>
      </w:r>
      <w:r>
        <w:rPr>
          <w:rFonts w:cs="Times New Roman"/>
          <w:szCs w:val="24"/>
          <w:lang w:val="fr-CA"/>
        </w:rPr>
        <w:t>’</w:t>
      </w:r>
      <w:r w:rsidRPr="00822328">
        <w:rPr>
          <w:rFonts w:cs="Times New Roman"/>
          <w:szCs w:val="24"/>
          <w:lang w:val="fr-CA"/>
        </w:rPr>
        <w:t>abordent la question du caractère volontaire de sa déclaration et que celle</w:t>
      </w:r>
      <w:r w:rsidRPr="00822328">
        <w:rPr>
          <w:rFonts w:cs="Times New Roman"/>
          <w:szCs w:val="24"/>
          <w:lang w:val="fr-CA"/>
        </w:rPr>
        <w:noBreakHyphen/>
        <w:t>ci aurait pu être jugée involontaire, il prétend qu</w:t>
      </w:r>
      <w:r>
        <w:rPr>
          <w:rFonts w:cs="Times New Roman"/>
          <w:szCs w:val="24"/>
          <w:lang w:val="fr-CA"/>
        </w:rPr>
        <w:t>’</w:t>
      </w:r>
      <w:r w:rsidRPr="00822328">
        <w:rPr>
          <w:rFonts w:cs="Times New Roman"/>
          <w:szCs w:val="24"/>
          <w:lang w:val="fr-CA"/>
        </w:rPr>
        <w:t>un nouveau procès s</w:t>
      </w:r>
      <w:r>
        <w:rPr>
          <w:rFonts w:cs="Times New Roman"/>
          <w:szCs w:val="24"/>
          <w:lang w:val="fr-CA"/>
        </w:rPr>
        <w:t>’</w:t>
      </w:r>
      <w:r w:rsidRPr="00822328">
        <w:rPr>
          <w:rFonts w:cs="Times New Roman"/>
          <w:szCs w:val="24"/>
          <w:lang w:val="fr-CA"/>
        </w:rPr>
        <w:t>impose.</w:t>
      </w:r>
    </w:p>
    <w:p w:rsidR="00A37A4C" w:rsidRPr="00822328" w:rsidRDefault="00A37A4C" w:rsidP="006534E4">
      <w:pPr>
        <w:pStyle w:val="ParaNoNdepar-AltN"/>
        <w:widowControl w:val="0"/>
        <w:rPr>
          <w:rFonts w:cs="Times New Roman"/>
          <w:szCs w:val="24"/>
          <w:lang w:val="fr-CA"/>
        </w:rPr>
      </w:pPr>
      <w:r w:rsidRPr="00822328">
        <w:rPr>
          <w:rFonts w:cs="Times New Roman"/>
          <w:szCs w:val="24"/>
          <w:lang w:val="fr-CA"/>
        </w:rPr>
        <w:t>À mon avis, la portée de la règle des confessions ne devrait pas être accrue comme le préconise l</w:t>
      </w:r>
      <w:r>
        <w:rPr>
          <w:rFonts w:cs="Times New Roman"/>
          <w:szCs w:val="24"/>
          <w:lang w:val="fr-CA"/>
        </w:rPr>
        <w:t>’</w:t>
      </w:r>
      <w:r w:rsidRPr="00822328">
        <w:rPr>
          <w:rFonts w:cs="Times New Roman"/>
          <w:szCs w:val="24"/>
          <w:lang w:val="fr-CA"/>
        </w:rPr>
        <w:t>appelant. Plus particulièrement, et pour les raisons qui suivent, la règle ne devrait pas s</w:t>
      </w:r>
      <w:r>
        <w:rPr>
          <w:rFonts w:cs="Times New Roman"/>
          <w:szCs w:val="24"/>
          <w:lang w:val="fr-CA"/>
        </w:rPr>
        <w:t>’</w:t>
      </w:r>
      <w:r w:rsidRPr="00822328">
        <w:rPr>
          <w:rFonts w:cs="Times New Roman"/>
          <w:szCs w:val="24"/>
          <w:lang w:val="fr-CA"/>
        </w:rPr>
        <w:t>appliquer aux déclarations considérées lors d</w:t>
      </w:r>
      <w:r>
        <w:rPr>
          <w:rFonts w:cs="Times New Roman"/>
          <w:szCs w:val="24"/>
          <w:lang w:val="fr-CA"/>
        </w:rPr>
        <w:t>’</w:t>
      </w:r>
      <w:r w:rsidRPr="00822328">
        <w:rPr>
          <w:rFonts w:cs="Times New Roman"/>
          <w:szCs w:val="24"/>
          <w:lang w:val="fr-CA"/>
        </w:rPr>
        <w:t>un voir</w:t>
      </w:r>
      <w:r w:rsidRPr="00822328">
        <w:rPr>
          <w:rFonts w:cs="Times New Roman"/>
          <w:szCs w:val="24"/>
          <w:lang w:val="fr-CA"/>
        </w:rPr>
        <w:noBreakHyphen/>
        <w:t>dire constitutionnel.</w:t>
      </w:r>
    </w:p>
    <w:p w:rsidR="00A37A4C" w:rsidRPr="00822328" w:rsidRDefault="00A37A4C" w:rsidP="006534E4">
      <w:pPr>
        <w:pStyle w:val="ParaNoNdepar-AltN"/>
        <w:widowControl w:val="0"/>
        <w:rPr>
          <w:rFonts w:cs="Times New Roman"/>
          <w:lang w:val="fr-CA"/>
        </w:rPr>
      </w:pPr>
      <w:r w:rsidRPr="00822328">
        <w:rPr>
          <w:rFonts w:cs="Times New Roman"/>
          <w:lang w:val="fr-CA"/>
        </w:rPr>
        <w:t>Premièrement, les prétentions de l</w:t>
      </w:r>
      <w:r>
        <w:rPr>
          <w:rFonts w:cs="Times New Roman"/>
          <w:lang w:val="fr-CA"/>
        </w:rPr>
        <w:t>’</w:t>
      </w:r>
      <w:r w:rsidRPr="00822328">
        <w:rPr>
          <w:rFonts w:cs="Times New Roman"/>
          <w:lang w:val="fr-CA"/>
        </w:rPr>
        <w:t>appelant méconnaissent l</w:t>
      </w:r>
      <w:r>
        <w:rPr>
          <w:rFonts w:cs="Times New Roman"/>
          <w:lang w:val="fr-CA"/>
        </w:rPr>
        <w:t>’</w:t>
      </w:r>
      <w:r w:rsidRPr="00822328">
        <w:rPr>
          <w:rFonts w:cs="Times New Roman"/>
          <w:lang w:val="fr-CA"/>
        </w:rPr>
        <w:t>objet de l</w:t>
      </w:r>
      <w:r>
        <w:rPr>
          <w:rFonts w:cs="Times New Roman"/>
          <w:lang w:val="fr-CA"/>
        </w:rPr>
        <w:t>’</w:t>
      </w:r>
      <w:r w:rsidRPr="00822328">
        <w:rPr>
          <w:rFonts w:cs="Times New Roman"/>
          <w:lang w:val="fr-CA"/>
        </w:rPr>
        <w:t xml:space="preserve">examen auquel se livre le tribunal lors </w:t>
      </w:r>
      <w:r w:rsidRPr="00822328">
        <w:rPr>
          <w:rFonts w:cs="Times New Roman"/>
          <w:szCs w:val="24"/>
          <w:lang w:val="fr-CA"/>
        </w:rPr>
        <w:t>d</w:t>
      </w:r>
      <w:r>
        <w:rPr>
          <w:rFonts w:cs="Times New Roman"/>
          <w:szCs w:val="24"/>
          <w:lang w:val="fr-CA"/>
        </w:rPr>
        <w:t>’</w:t>
      </w:r>
      <w:r w:rsidRPr="00822328">
        <w:rPr>
          <w:rFonts w:cs="Times New Roman"/>
          <w:szCs w:val="24"/>
          <w:lang w:val="fr-CA"/>
        </w:rPr>
        <w:t>un voir</w:t>
      </w:r>
      <w:r w:rsidRPr="00822328">
        <w:rPr>
          <w:rFonts w:cs="Times New Roman"/>
          <w:szCs w:val="24"/>
          <w:lang w:val="fr-CA"/>
        </w:rPr>
        <w:noBreakHyphen/>
        <w:t>dire constitutionnel et le</w:t>
      </w:r>
      <w:r w:rsidRPr="00822328">
        <w:rPr>
          <w:rFonts w:cs="Times New Roman"/>
          <w:lang w:val="fr-CA"/>
        </w:rPr>
        <w:t xml:space="preserve"> fait que cet objet se distingue de celui d</w:t>
      </w:r>
      <w:r>
        <w:rPr>
          <w:rFonts w:cs="Times New Roman"/>
          <w:lang w:val="fr-CA"/>
        </w:rPr>
        <w:t>’</w:t>
      </w:r>
      <w:r w:rsidRPr="00822328">
        <w:rPr>
          <w:rFonts w:cs="Times New Roman"/>
          <w:lang w:val="fr-CA"/>
        </w:rPr>
        <w:t>un procès criminel, lequel se soucie de la culpabilité ou de la non</w:t>
      </w:r>
      <w:r w:rsidRPr="00822328">
        <w:rPr>
          <w:rFonts w:cs="Times New Roman"/>
          <w:lang w:val="fr-CA"/>
        </w:rPr>
        <w:noBreakHyphen/>
        <w:t>culpabilité de la personne accusée d</w:t>
      </w:r>
      <w:r>
        <w:rPr>
          <w:rFonts w:cs="Times New Roman"/>
          <w:lang w:val="fr-CA"/>
        </w:rPr>
        <w:t>’</w:t>
      </w:r>
      <w:r w:rsidRPr="00822328">
        <w:rPr>
          <w:rFonts w:cs="Times New Roman"/>
          <w:lang w:val="fr-CA"/>
        </w:rPr>
        <w:t>une infraction, alors que le voir</w:t>
      </w:r>
      <w:r w:rsidRPr="00822328">
        <w:rPr>
          <w:rFonts w:cs="Times New Roman"/>
          <w:lang w:val="fr-CA"/>
        </w:rPr>
        <w:noBreakHyphen/>
        <w:t xml:space="preserve">dire </w:t>
      </w:r>
      <w:r w:rsidRPr="00822328">
        <w:rPr>
          <w:rFonts w:cs="Times New Roman"/>
          <w:szCs w:val="24"/>
          <w:lang w:val="fr-CA"/>
        </w:rPr>
        <w:t>constitutionnel ne s</w:t>
      </w:r>
      <w:r>
        <w:rPr>
          <w:rFonts w:cs="Times New Roman"/>
          <w:szCs w:val="24"/>
          <w:lang w:val="fr-CA"/>
        </w:rPr>
        <w:t>’</w:t>
      </w:r>
      <w:r w:rsidRPr="00822328">
        <w:rPr>
          <w:rFonts w:cs="Times New Roman"/>
          <w:szCs w:val="24"/>
          <w:lang w:val="fr-CA"/>
        </w:rPr>
        <w:t>attache pas à la culpabilité de l</w:t>
      </w:r>
      <w:r>
        <w:rPr>
          <w:rFonts w:cs="Times New Roman"/>
          <w:szCs w:val="24"/>
          <w:lang w:val="fr-CA"/>
        </w:rPr>
        <w:t>’</w:t>
      </w:r>
      <w:r w:rsidRPr="00822328">
        <w:rPr>
          <w:rFonts w:cs="Times New Roman"/>
          <w:szCs w:val="24"/>
          <w:lang w:val="fr-CA"/>
        </w:rPr>
        <w:t>accusé, mais plutôt au respect ou non de ses droits</w:t>
      </w:r>
      <w:r w:rsidRPr="00822328">
        <w:rPr>
          <w:rFonts w:cs="Times New Roman"/>
          <w:lang w:val="fr-CA"/>
        </w:rPr>
        <w:t xml:space="preserve"> constitutionnels. Le voir</w:t>
      </w:r>
      <w:r w:rsidRPr="00822328">
        <w:rPr>
          <w:rFonts w:cs="Times New Roman"/>
          <w:lang w:val="fr-CA"/>
        </w:rPr>
        <w:noBreakHyphen/>
        <w:t>dire constitutionnel suppose donc l</w:t>
      </w:r>
      <w:r>
        <w:rPr>
          <w:rFonts w:cs="Times New Roman"/>
          <w:lang w:val="fr-CA"/>
        </w:rPr>
        <w:t>’</w:t>
      </w:r>
      <w:r w:rsidRPr="00822328">
        <w:rPr>
          <w:rFonts w:cs="Times New Roman"/>
          <w:lang w:val="fr-CA"/>
        </w:rPr>
        <w:t>analyse de la totalité des circonstances connues du représentant de l</w:t>
      </w:r>
      <w:r>
        <w:rPr>
          <w:rFonts w:cs="Times New Roman"/>
          <w:lang w:val="fr-CA"/>
        </w:rPr>
        <w:t>’</w:t>
      </w:r>
      <w:r w:rsidRPr="00822328">
        <w:rPr>
          <w:rFonts w:cs="Times New Roman"/>
          <w:lang w:val="fr-CA"/>
        </w:rPr>
        <w:t>État et sur lesquelles ce dernier s</w:t>
      </w:r>
      <w:r>
        <w:rPr>
          <w:rFonts w:cs="Times New Roman"/>
          <w:lang w:val="fr-CA"/>
        </w:rPr>
        <w:t>’</w:t>
      </w:r>
      <w:r w:rsidRPr="00822328">
        <w:rPr>
          <w:rFonts w:cs="Times New Roman"/>
          <w:lang w:val="fr-CA"/>
        </w:rPr>
        <w:t>est fondé au moment de prendre la mesure en cause. Plus précisément</w:t>
      </w:r>
      <w:r w:rsidRPr="00822328">
        <w:rPr>
          <w:rFonts w:cs="Times New Roman"/>
          <w:szCs w:val="24"/>
          <w:lang w:val="fr-CA"/>
        </w:rPr>
        <w:t>, seuls sont considérés l</w:t>
      </w:r>
      <w:r>
        <w:rPr>
          <w:rFonts w:cs="Times New Roman"/>
          <w:szCs w:val="24"/>
          <w:lang w:val="fr-CA"/>
        </w:rPr>
        <w:t>’</w:t>
      </w:r>
      <w:r w:rsidRPr="00822328">
        <w:rPr>
          <w:rFonts w:cs="Times New Roman"/>
          <w:szCs w:val="24"/>
          <w:lang w:val="fr-CA"/>
        </w:rPr>
        <w:t>état d</w:t>
      </w:r>
      <w:r>
        <w:rPr>
          <w:rFonts w:cs="Times New Roman"/>
          <w:szCs w:val="24"/>
          <w:lang w:val="fr-CA"/>
        </w:rPr>
        <w:t>’</w:t>
      </w:r>
      <w:r w:rsidRPr="00822328">
        <w:rPr>
          <w:rFonts w:cs="Times New Roman"/>
          <w:szCs w:val="24"/>
          <w:lang w:val="fr-CA"/>
        </w:rPr>
        <w:t>esprit et la conduite du représentant de l</w:t>
      </w:r>
      <w:r>
        <w:rPr>
          <w:rFonts w:cs="Times New Roman"/>
          <w:szCs w:val="24"/>
          <w:lang w:val="fr-CA"/>
        </w:rPr>
        <w:t>’</w:t>
      </w:r>
      <w:r w:rsidRPr="00822328">
        <w:rPr>
          <w:rFonts w:cs="Times New Roman"/>
          <w:szCs w:val="24"/>
          <w:lang w:val="fr-CA"/>
        </w:rPr>
        <w:t>État à ce moment précis, et la véracité de la déclaration à partir de laquelle il a agi ne l</w:t>
      </w:r>
      <w:r>
        <w:rPr>
          <w:rFonts w:cs="Times New Roman"/>
          <w:szCs w:val="24"/>
          <w:lang w:val="fr-CA"/>
        </w:rPr>
        <w:t>’</w:t>
      </w:r>
      <w:r w:rsidRPr="00822328">
        <w:rPr>
          <w:rFonts w:cs="Times New Roman"/>
          <w:szCs w:val="24"/>
          <w:lang w:val="fr-CA"/>
        </w:rPr>
        <w:t>est pas. C</w:t>
      </w:r>
      <w:r>
        <w:rPr>
          <w:rFonts w:cs="Times New Roman"/>
          <w:szCs w:val="24"/>
          <w:lang w:val="fr-CA"/>
        </w:rPr>
        <w:t>’</w:t>
      </w:r>
      <w:r w:rsidRPr="00822328">
        <w:rPr>
          <w:rFonts w:cs="Times New Roman"/>
          <w:szCs w:val="24"/>
          <w:lang w:val="fr-CA"/>
        </w:rPr>
        <w:t>est pourquoi la véracité d</w:t>
      </w:r>
      <w:r>
        <w:rPr>
          <w:rFonts w:cs="Times New Roman"/>
          <w:szCs w:val="24"/>
          <w:lang w:val="fr-CA"/>
        </w:rPr>
        <w:t>’</w:t>
      </w:r>
      <w:r w:rsidRPr="00822328">
        <w:rPr>
          <w:rFonts w:cs="Times New Roman"/>
          <w:szCs w:val="24"/>
          <w:lang w:val="fr-CA"/>
        </w:rPr>
        <w:t>une déclaration</w:t>
      </w:r>
      <w:r w:rsidRPr="00822328">
        <w:rPr>
          <w:rFonts w:cs="Times New Roman"/>
          <w:lang w:val="fr-CA"/>
        </w:rPr>
        <w:t xml:space="preserve"> n</w:t>
      </w:r>
      <w:r>
        <w:rPr>
          <w:rFonts w:cs="Times New Roman"/>
          <w:lang w:val="fr-CA"/>
        </w:rPr>
        <w:t>’</w:t>
      </w:r>
      <w:r w:rsidRPr="00822328">
        <w:rPr>
          <w:rFonts w:cs="Times New Roman"/>
          <w:lang w:val="fr-CA"/>
        </w:rPr>
        <w:t>a pas d</w:t>
      </w:r>
      <w:r>
        <w:rPr>
          <w:rFonts w:cs="Times New Roman"/>
          <w:lang w:val="fr-CA"/>
        </w:rPr>
        <w:t>’</w:t>
      </w:r>
      <w:r w:rsidRPr="00822328">
        <w:rPr>
          <w:rFonts w:cs="Times New Roman"/>
          <w:lang w:val="fr-CA"/>
        </w:rPr>
        <w:t>incidence sur son admissibilité; l</w:t>
      </w:r>
      <w:r>
        <w:rPr>
          <w:rFonts w:cs="Times New Roman"/>
          <w:lang w:val="fr-CA"/>
        </w:rPr>
        <w:t>’</w:t>
      </w:r>
      <w:r w:rsidRPr="00822328">
        <w:rPr>
          <w:rFonts w:cs="Times New Roman"/>
          <w:lang w:val="fr-CA"/>
        </w:rPr>
        <w:t>examen s</w:t>
      </w:r>
      <w:r>
        <w:rPr>
          <w:rFonts w:cs="Times New Roman"/>
          <w:lang w:val="fr-CA"/>
        </w:rPr>
        <w:t>’</w:t>
      </w:r>
      <w:r w:rsidRPr="00822328">
        <w:rPr>
          <w:rFonts w:cs="Times New Roman"/>
          <w:lang w:val="fr-CA"/>
        </w:rPr>
        <w:t>attache plutôt à la question de savoir s</w:t>
      </w:r>
      <w:r>
        <w:rPr>
          <w:rFonts w:cs="Times New Roman"/>
          <w:lang w:val="fr-CA"/>
        </w:rPr>
        <w:t>’</w:t>
      </w:r>
      <w:r w:rsidRPr="00822328">
        <w:rPr>
          <w:rFonts w:cs="Times New Roman"/>
          <w:lang w:val="fr-CA"/>
        </w:rPr>
        <w:t>il était raisonnable que le représentant de l</w:t>
      </w:r>
      <w:r>
        <w:rPr>
          <w:rFonts w:cs="Times New Roman"/>
          <w:lang w:val="fr-CA"/>
        </w:rPr>
        <w:t>’</w:t>
      </w:r>
      <w:r w:rsidRPr="00822328">
        <w:rPr>
          <w:rFonts w:cs="Times New Roman"/>
          <w:lang w:val="fr-CA"/>
        </w:rPr>
        <w:t xml:space="preserve">État voie dans la déclaration un motif justifiant la mesure. </w:t>
      </w:r>
    </w:p>
    <w:p w:rsidR="00A37A4C" w:rsidRPr="00822328" w:rsidRDefault="00A37A4C" w:rsidP="006534E4">
      <w:pPr>
        <w:pStyle w:val="ParaNoNdepar-AltN"/>
        <w:widowControl w:val="0"/>
        <w:rPr>
          <w:rFonts w:cs="Times New Roman"/>
          <w:lang w:val="fr-CA"/>
        </w:rPr>
      </w:pPr>
      <w:r w:rsidRPr="00822328">
        <w:rPr>
          <w:rFonts w:cs="Times New Roman"/>
          <w:lang w:val="fr-CA"/>
        </w:rPr>
        <w:t>L</w:t>
      </w:r>
      <w:r>
        <w:rPr>
          <w:rFonts w:cs="Times New Roman"/>
          <w:lang w:val="fr-CA"/>
        </w:rPr>
        <w:t>’</w:t>
      </w:r>
      <w:r w:rsidRPr="00822328">
        <w:rPr>
          <w:rFonts w:cs="Times New Roman"/>
          <w:lang w:val="fr-CA"/>
        </w:rPr>
        <w:t>importance de cette distinction entre l</w:t>
      </w:r>
      <w:r>
        <w:rPr>
          <w:rFonts w:cs="Times New Roman"/>
          <w:lang w:val="fr-CA"/>
        </w:rPr>
        <w:t>’</w:t>
      </w:r>
      <w:r w:rsidRPr="00822328">
        <w:rPr>
          <w:rFonts w:cs="Times New Roman"/>
          <w:lang w:val="fr-CA"/>
        </w:rPr>
        <w:t xml:space="preserve">objet du </w:t>
      </w:r>
      <w:r w:rsidRPr="00822328">
        <w:rPr>
          <w:rFonts w:cs="Times New Roman"/>
          <w:szCs w:val="24"/>
          <w:lang w:val="fr-CA"/>
        </w:rPr>
        <w:t>voir</w:t>
      </w:r>
      <w:r w:rsidRPr="00822328">
        <w:rPr>
          <w:rFonts w:cs="Times New Roman"/>
          <w:szCs w:val="24"/>
          <w:lang w:val="fr-CA"/>
        </w:rPr>
        <w:noBreakHyphen/>
        <w:t>dire constitutionnel</w:t>
      </w:r>
      <w:r w:rsidRPr="00822328">
        <w:rPr>
          <w:rFonts w:cs="Times New Roman"/>
          <w:lang w:val="fr-CA"/>
        </w:rPr>
        <w:t xml:space="preserve"> et celui du procès vaut également pour l</w:t>
      </w:r>
      <w:r>
        <w:rPr>
          <w:rFonts w:cs="Times New Roman"/>
          <w:lang w:val="fr-CA"/>
        </w:rPr>
        <w:t>’</w:t>
      </w:r>
      <w:r w:rsidRPr="00822328">
        <w:rPr>
          <w:rFonts w:cs="Times New Roman"/>
          <w:lang w:val="fr-CA"/>
        </w:rPr>
        <w:t>admissibilité d</w:t>
      </w:r>
      <w:r>
        <w:rPr>
          <w:rFonts w:cs="Times New Roman"/>
          <w:lang w:val="fr-CA"/>
        </w:rPr>
        <w:t>’</w:t>
      </w:r>
      <w:r w:rsidRPr="00822328">
        <w:rPr>
          <w:rFonts w:cs="Times New Roman"/>
          <w:lang w:val="fr-CA"/>
        </w:rPr>
        <w:t>autres types de preuve, dont le ouï</w:t>
      </w:r>
      <w:r w:rsidRPr="00822328">
        <w:rPr>
          <w:rFonts w:cs="Times New Roman"/>
          <w:lang w:val="fr-CA"/>
        </w:rPr>
        <w:noBreakHyphen/>
        <w:t>dire, la preuve de mauvaise moralité ou de conduite antérieure indigne, le renseignement obtenu d</w:t>
      </w:r>
      <w:r>
        <w:rPr>
          <w:rFonts w:cs="Times New Roman"/>
          <w:lang w:val="fr-CA"/>
        </w:rPr>
        <w:t>’</w:t>
      </w:r>
      <w:r w:rsidRPr="00822328">
        <w:rPr>
          <w:rFonts w:cs="Times New Roman"/>
          <w:lang w:val="fr-CA"/>
        </w:rPr>
        <w:t xml:space="preserve">un indicateur anonyme, le renseignement protégé par un privilège ou, comme dans </w:t>
      </w:r>
      <w:r w:rsidRPr="00822328">
        <w:rPr>
          <w:rFonts w:cs="Times New Roman"/>
          <w:i/>
          <w:lang w:val="fr-CA"/>
        </w:rPr>
        <w:t>R. c. MacKenzie</w:t>
      </w:r>
      <w:r w:rsidRPr="00822328">
        <w:rPr>
          <w:rFonts w:cs="Times New Roman"/>
          <w:lang w:val="fr-CA"/>
        </w:rPr>
        <w:t>, 2013 CSC 50, [2013] 3 R.C.S. 250, par. 61</w:t>
      </w:r>
      <w:r w:rsidRPr="00822328">
        <w:rPr>
          <w:rFonts w:cs="Times New Roman"/>
          <w:lang w:val="fr-CA"/>
        </w:rPr>
        <w:noBreakHyphen/>
        <w:t>62, l</w:t>
      </w:r>
      <w:r>
        <w:rPr>
          <w:rFonts w:cs="Times New Roman"/>
          <w:lang w:val="fr-CA"/>
        </w:rPr>
        <w:t>’</w:t>
      </w:r>
      <w:r w:rsidRPr="00822328">
        <w:rPr>
          <w:rFonts w:cs="Times New Roman"/>
          <w:lang w:val="fr-CA"/>
        </w:rPr>
        <w:t>opinion personnelle basée sur la formation et l</w:t>
      </w:r>
      <w:r>
        <w:rPr>
          <w:rFonts w:cs="Times New Roman"/>
          <w:lang w:val="fr-CA"/>
        </w:rPr>
        <w:t>’</w:t>
      </w:r>
      <w:r w:rsidRPr="00822328">
        <w:rPr>
          <w:rFonts w:cs="Times New Roman"/>
          <w:lang w:val="fr-CA"/>
        </w:rPr>
        <w:t>expérience. Ces types de preuve suscitent tous des craintes concernant soit la fiabilité, soit le respect de considérations de politique générale, de sorte qu</w:t>
      </w:r>
      <w:r>
        <w:rPr>
          <w:rFonts w:cs="Times New Roman"/>
          <w:lang w:val="fr-CA"/>
        </w:rPr>
        <w:t>’</w:t>
      </w:r>
      <w:r w:rsidRPr="00822328">
        <w:rPr>
          <w:rFonts w:cs="Times New Roman"/>
          <w:lang w:val="fr-CA"/>
        </w:rPr>
        <w:t>ils sont assujettis à des règles de preuve strictes qui font partiellement ou totalement obstacle à leur admissibilité au fond lors du procès. Cependant, de telles craintes n</w:t>
      </w:r>
      <w:r>
        <w:rPr>
          <w:rFonts w:cs="Times New Roman"/>
          <w:lang w:val="fr-CA"/>
        </w:rPr>
        <w:t>’</w:t>
      </w:r>
      <w:r w:rsidRPr="00822328">
        <w:rPr>
          <w:rFonts w:cs="Times New Roman"/>
          <w:lang w:val="fr-CA"/>
        </w:rPr>
        <w:t>entrent pas en jeu dans le cas d</w:t>
      </w:r>
      <w:r>
        <w:rPr>
          <w:rFonts w:cs="Times New Roman"/>
          <w:lang w:val="fr-CA"/>
        </w:rPr>
        <w:t>’</w:t>
      </w:r>
      <w:r w:rsidRPr="00822328">
        <w:rPr>
          <w:rFonts w:cs="Times New Roman"/>
          <w:lang w:val="fr-CA"/>
        </w:rPr>
        <w:t>un</w:t>
      </w:r>
      <w:r w:rsidRPr="00822328">
        <w:rPr>
          <w:rFonts w:cs="Times New Roman"/>
          <w:i/>
          <w:szCs w:val="24"/>
          <w:lang w:val="fr-CA"/>
        </w:rPr>
        <w:t xml:space="preserve"> </w:t>
      </w:r>
      <w:r w:rsidRPr="00822328">
        <w:rPr>
          <w:rFonts w:cs="Times New Roman"/>
          <w:szCs w:val="24"/>
          <w:lang w:val="fr-CA"/>
        </w:rPr>
        <w:t>voir</w:t>
      </w:r>
      <w:r w:rsidRPr="00822328">
        <w:rPr>
          <w:rFonts w:cs="Times New Roman"/>
          <w:szCs w:val="24"/>
          <w:lang w:val="fr-CA"/>
        </w:rPr>
        <w:noBreakHyphen/>
        <w:t>dire constitutionnel</w:t>
      </w:r>
      <w:r w:rsidRPr="00822328">
        <w:rPr>
          <w:rFonts w:cs="Times New Roman"/>
          <w:lang w:val="fr-CA"/>
        </w:rPr>
        <w:t xml:space="preserve"> étant donné l</w:t>
      </w:r>
      <w:r>
        <w:rPr>
          <w:rFonts w:cs="Times New Roman"/>
          <w:lang w:val="fr-CA"/>
        </w:rPr>
        <w:t>’</w:t>
      </w:r>
      <w:r w:rsidRPr="00822328">
        <w:rPr>
          <w:rFonts w:cs="Times New Roman"/>
          <w:lang w:val="fr-CA"/>
        </w:rPr>
        <w:t>utilisation restreinte de l</w:t>
      </w:r>
      <w:r>
        <w:rPr>
          <w:rFonts w:cs="Times New Roman"/>
          <w:lang w:val="fr-CA"/>
        </w:rPr>
        <w:t>’</w:t>
      </w:r>
      <w:r w:rsidRPr="00822328">
        <w:rPr>
          <w:rFonts w:cs="Times New Roman"/>
          <w:lang w:val="fr-CA"/>
        </w:rPr>
        <w:t>élément de preuve, lequel ne porte en effet que sur l</w:t>
      </w:r>
      <w:r>
        <w:rPr>
          <w:rFonts w:cs="Times New Roman"/>
          <w:lang w:val="fr-CA"/>
        </w:rPr>
        <w:t>’</w:t>
      </w:r>
      <w:r w:rsidRPr="00822328">
        <w:rPr>
          <w:rFonts w:cs="Times New Roman"/>
          <w:lang w:val="fr-CA"/>
        </w:rPr>
        <w:t>état d</w:t>
      </w:r>
      <w:r>
        <w:rPr>
          <w:rFonts w:cs="Times New Roman"/>
          <w:lang w:val="fr-CA"/>
        </w:rPr>
        <w:t>’</w:t>
      </w:r>
      <w:r w:rsidRPr="00822328">
        <w:rPr>
          <w:rFonts w:cs="Times New Roman"/>
          <w:lang w:val="fr-CA"/>
        </w:rPr>
        <w:t>esprit et la conduite du représentant de l</w:t>
      </w:r>
      <w:r>
        <w:rPr>
          <w:rFonts w:cs="Times New Roman"/>
          <w:lang w:val="fr-CA"/>
        </w:rPr>
        <w:t>’</w:t>
      </w:r>
      <w:r w:rsidRPr="00822328">
        <w:rPr>
          <w:rFonts w:cs="Times New Roman"/>
          <w:lang w:val="fr-CA"/>
        </w:rPr>
        <w:t>État, non sur la fiabilité de l</w:t>
      </w:r>
      <w:r>
        <w:rPr>
          <w:rFonts w:cs="Times New Roman"/>
          <w:lang w:val="fr-CA"/>
        </w:rPr>
        <w:t>’</w:t>
      </w:r>
      <w:r w:rsidRPr="00822328">
        <w:rPr>
          <w:rFonts w:cs="Times New Roman"/>
          <w:lang w:val="fr-CA"/>
        </w:rPr>
        <w:t>élément de preuve pour statuer ultimement sur la culpabilité de l</w:t>
      </w:r>
      <w:r>
        <w:rPr>
          <w:rFonts w:cs="Times New Roman"/>
          <w:lang w:val="fr-CA"/>
        </w:rPr>
        <w:t>’</w:t>
      </w:r>
      <w:r w:rsidRPr="00822328">
        <w:rPr>
          <w:rFonts w:cs="Times New Roman"/>
          <w:lang w:val="fr-CA"/>
        </w:rPr>
        <w:t>accusé. Il s</w:t>
      </w:r>
      <w:r>
        <w:rPr>
          <w:rFonts w:cs="Times New Roman"/>
          <w:lang w:val="fr-CA"/>
        </w:rPr>
        <w:t>’</w:t>
      </w:r>
      <w:r w:rsidRPr="00822328">
        <w:rPr>
          <w:rFonts w:cs="Times New Roman"/>
          <w:lang w:val="fr-CA"/>
        </w:rPr>
        <w:t>ensuit qu</w:t>
      </w:r>
      <w:r>
        <w:rPr>
          <w:rFonts w:cs="Times New Roman"/>
          <w:lang w:val="fr-CA"/>
        </w:rPr>
        <w:t>’</w:t>
      </w:r>
      <w:r w:rsidRPr="00822328">
        <w:rPr>
          <w:rFonts w:cs="Times New Roman"/>
          <w:lang w:val="fr-CA"/>
        </w:rPr>
        <w:t>admettre en preuve une déclaration de l</w:t>
      </w:r>
      <w:r>
        <w:rPr>
          <w:rFonts w:cs="Times New Roman"/>
          <w:lang w:val="fr-CA"/>
        </w:rPr>
        <w:t>’</w:t>
      </w:r>
      <w:r w:rsidRPr="00822328">
        <w:rPr>
          <w:rFonts w:cs="Times New Roman"/>
          <w:lang w:val="fr-CA"/>
        </w:rPr>
        <w:t>accusé en vue d</w:t>
      </w:r>
      <w:r>
        <w:rPr>
          <w:rFonts w:cs="Times New Roman"/>
          <w:lang w:val="fr-CA"/>
        </w:rPr>
        <w:t>’</w:t>
      </w:r>
      <w:r w:rsidRPr="00822328">
        <w:rPr>
          <w:rFonts w:cs="Times New Roman"/>
          <w:lang w:val="fr-CA"/>
        </w:rPr>
        <w:t>une telle utilisation restreinte, sans établir au préalable son caractère volontaire, n</w:t>
      </w:r>
      <w:r>
        <w:rPr>
          <w:rFonts w:cs="Times New Roman"/>
          <w:lang w:val="fr-CA"/>
        </w:rPr>
        <w:t>’</w:t>
      </w:r>
      <w:r w:rsidRPr="00822328">
        <w:rPr>
          <w:rFonts w:cs="Times New Roman"/>
          <w:lang w:val="fr-CA"/>
        </w:rPr>
        <w:t>est pas contraire aux raisons d</w:t>
      </w:r>
      <w:r>
        <w:rPr>
          <w:rFonts w:cs="Times New Roman"/>
          <w:lang w:val="fr-CA"/>
        </w:rPr>
        <w:t>’</w:t>
      </w:r>
      <w:r w:rsidRPr="00822328">
        <w:rPr>
          <w:rFonts w:cs="Times New Roman"/>
          <w:lang w:val="fr-CA"/>
        </w:rPr>
        <w:t>être de la règle des confessions. Le souci qui sous</w:t>
      </w:r>
      <w:r w:rsidRPr="00822328">
        <w:rPr>
          <w:rFonts w:cs="Times New Roman"/>
          <w:lang w:val="fr-CA"/>
        </w:rPr>
        <w:noBreakHyphen/>
        <w:t>tend celle</w:t>
      </w:r>
      <w:r w:rsidRPr="00822328">
        <w:rPr>
          <w:rFonts w:cs="Times New Roman"/>
          <w:lang w:val="fr-CA"/>
        </w:rPr>
        <w:noBreakHyphen/>
        <w:t>ci, à savoir assurer l</w:t>
      </w:r>
      <w:r>
        <w:rPr>
          <w:rFonts w:cs="Times New Roman"/>
          <w:lang w:val="fr-CA"/>
        </w:rPr>
        <w:t>’</w:t>
      </w:r>
      <w:r w:rsidRPr="00822328">
        <w:rPr>
          <w:rFonts w:cs="Times New Roman"/>
          <w:lang w:val="fr-CA"/>
        </w:rPr>
        <w:t>équité du procès et éviter qu</w:t>
      </w:r>
      <w:r>
        <w:rPr>
          <w:rFonts w:cs="Times New Roman"/>
          <w:lang w:val="fr-CA"/>
        </w:rPr>
        <w:t>’</w:t>
      </w:r>
      <w:r w:rsidRPr="00822328">
        <w:rPr>
          <w:rFonts w:cs="Times New Roman"/>
          <w:lang w:val="fr-CA"/>
        </w:rPr>
        <w:t>une personne soit déclarée coupable à partir d</w:t>
      </w:r>
      <w:r>
        <w:rPr>
          <w:rFonts w:cs="Times New Roman"/>
          <w:lang w:val="fr-CA"/>
        </w:rPr>
        <w:t>’</w:t>
      </w:r>
      <w:r w:rsidRPr="00822328">
        <w:rPr>
          <w:rFonts w:cs="Times New Roman"/>
          <w:lang w:val="fr-CA"/>
        </w:rPr>
        <w:t>éléments de preuve intrinsèquement non fiables, n</w:t>
      </w:r>
      <w:r>
        <w:rPr>
          <w:rFonts w:cs="Times New Roman"/>
          <w:lang w:val="fr-CA"/>
        </w:rPr>
        <w:t>’</w:t>
      </w:r>
      <w:r w:rsidRPr="00822328">
        <w:rPr>
          <w:rFonts w:cs="Times New Roman"/>
          <w:lang w:val="fr-CA"/>
        </w:rPr>
        <w:t>entre tout simplement pas en jeu à l</w:t>
      </w:r>
      <w:r>
        <w:rPr>
          <w:rFonts w:cs="Times New Roman"/>
          <w:lang w:val="fr-CA"/>
        </w:rPr>
        <w:t>’</w:t>
      </w:r>
      <w:r w:rsidRPr="00822328">
        <w:rPr>
          <w:rFonts w:cs="Times New Roman"/>
          <w:lang w:val="fr-CA"/>
        </w:rPr>
        <w:t>étape du voir</w:t>
      </w:r>
      <w:r w:rsidRPr="00822328">
        <w:rPr>
          <w:rFonts w:cs="Times New Roman"/>
          <w:lang w:val="fr-CA"/>
        </w:rPr>
        <w:noBreakHyphen/>
        <w:t>dire</w:t>
      </w:r>
      <w:r w:rsidRPr="00822328">
        <w:rPr>
          <w:rFonts w:cs="Times New Roman"/>
          <w:szCs w:val="24"/>
          <w:lang w:val="fr-CA"/>
        </w:rPr>
        <w:t>.</w:t>
      </w:r>
    </w:p>
    <w:p w:rsidR="00A37A4C" w:rsidRPr="00822328" w:rsidRDefault="00A37A4C" w:rsidP="006534E4">
      <w:pPr>
        <w:pStyle w:val="ParaNoNdepar-AltN"/>
        <w:widowControl w:val="0"/>
        <w:tabs>
          <w:tab w:val="clear" w:pos="1152"/>
          <w:tab w:val="left" w:pos="1166"/>
        </w:tabs>
        <w:rPr>
          <w:rFonts w:cs="Times New Roman"/>
          <w:szCs w:val="24"/>
          <w:lang w:val="fr-CA"/>
        </w:rPr>
      </w:pPr>
      <w:r w:rsidRPr="00822328">
        <w:rPr>
          <w:rFonts w:cs="Times New Roman"/>
          <w:szCs w:val="24"/>
          <w:lang w:val="fr-CA"/>
        </w:rPr>
        <w:t>En résumé, l</w:t>
      </w:r>
      <w:r>
        <w:rPr>
          <w:rFonts w:cs="Times New Roman"/>
          <w:szCs w:val="24"/>
          <w:lang w:val="fr-CA"/>
        </w:rPr>
        <w:t>’</w:t>
      </w:r>
      <w:r w:rsidRPr="00822328">
        <w:rPr>
          <w:rFonts w:cs="Times New Roman"/>
          <w:szCs w:val="24"/>
          <w:lang w:val="fr-CA"/>
        </w:rPr>
        <w:t>admission en preuve de la déclaration d</w:t>
      </w:r>
      <w:r>
        <w:rPr>
          <w:rFonts w:cs="Times New Roman"/>
          <w:szCs w:val="24"/>
          <w:lang w:val="fr-CA"/>
        </w:rPr>
        <w:t>’</w:t>
      </w:r>
      <w:r w:rsidRPr="00822328">
        <w:rPr>
          <w:rFonts w:cs="Times New Roman"/>
          <w:szCs w:val="24"/>
          <w:lang w:val="fr-CA"/>
        </w:rPr>
        <w:t>un accusé afin de statuer sur la constitutionnalité d</w:t>
      </w:r>
      <w:r>
        <w:rPr>
          <w:rFonts w:cs="Times New Roman"/>
          <w:szCs w:val="24"/>
          <w:lang w:val="fr-CA"/>
        </w:rPr>
        <w:t>’</w:t>
      </w:r>
      <w:r w:rsidRPr="00822328">
        <w:rPr>
          <w:rFonts w:cs="Times New Roman"/>
          <w:szCs w:val="24"/>
          <w:lang w:val="fr-CA"/>
        </w:rPr>
        <w:t>une mesure de l</w:t>
      </w:r>
      <w:r>
        <w:rPr>
          <w:rFonts w:cs="Times New Roman"/>
          <w:szCs w:val="24"/>
          <w:lang w:val="fr-CA"/>
        </w:rPr>
        <w:t>’</w:t>
      </w:r>
      <w:r w:rsidRPr="00822328">
        <w:rPr>
          <w:rFonts w:cs="Times New Roman"/>
          <w:szCs w:val="24"/>
          <w:lang w:val="fr-CA"/>
        </w:rPr>
        <w:t>État, et non sur la culpabilité de l</w:t>
      </w:r>
      <w:r>
        <w:rPr>
          <w:rFonts w:cs="Times New Roman"/>
          <w:szCs w:val="24"/>
          <w:lang w:val="fr-CA"/>
        </w:rPr>
        <w:t>’</w:t>
      </w:r>
      <w:r w:rsidRPr="00822328">
        <w:rPr>
          <w:rFonts w:cs="Times New Roman"/>
          <w:szCs w:val="24"/>
          <w:lang w:val="fr-CA"/>
        </w:rPr>
        <w:t>accusé, ne fait pas entrer en jeu la raison d</w:t>
      </w:r>
      <w:r>
        <w:rPr>
          <w:rFonts w:cs="Times New Roman"/>
          <w:szCs w:val="24"/>
          <w:lang w:val="fr-CA"/>
        </w:rPr>
        <w:t>’</w:t>
      </w:r>
      <w:r w:rsidRPr="00822328">
        <w:rPr>
          <w:rFonts w:cs="Times New Roman"/>
          <w:szCs w:val="24"/>
          <w:lang w:val="fr-CA"/>
        </w:rPr>
        <w:t>être de la règle des confessions. Appliquer cette règle aux éléments de preuve présentés lors d</w:t>
      </w:r>
      <w:r>
        <w:rPr>
          <w:rFonts w:cs="Times New Roman"/>
          <w:szCs w:val="24"/>
          <w:lang w:val="fr-CA"/>
        </w:rPr>
        <w:t>’</w:t>
      </w:r>
      <w:r w:rsidRPr="00822328">
        <w:rPr>
          <w:rFonts w:cs="Times New Roman"/>
          <w:szCs w:val="24"/>
          <w:lang w:val="fr-CA"/>
        </w:rPr>
        <w:t>un voir</w:t>
      </w:r>
      <w:r w:rsidRPr="00822328">
        <w:rPr>
          <w:rFonts w:cs="Times New Roman"/>
          <w:szCs w:val="24"/>
          <w:lang w:val="fr-CA"/>
        </w:rPr>
        <w:noBreakHyphen/>
        <w:t>dire constitutionnel reviendrait à dénaturer aussi bien la règle que sa raison d</w:t>
      </w:r>
      <w:r>
        <w:rPr>
          <w:rFonts w:cs="Times New Roman"/>
          <w:szCs w:val="24"/>
          <w:lang w:val="fr-CA"/>
        </w:rPr>
        <w:t>’</w:t>
      </w:r>
      <w:r w:rsidRPr="00822328">
        <w:rPr>
          <w:rFonts w:cs="Times New Roman"/>
          <w:szCs w:val="24"/>
          <w:lang w:val="fr-CA"/>
        </w:rPr>
        <w:t xml:space="preserve">être. </w:t>
      </w:r>
    </w:p>
    <w:p w:rsidR="00A37A4C" w:rsidRPr="00822328" w:rsidRDefault="00A37A4C" w:rsidP="006534E4">
      <w:pPr>
        <w:pStyle w:val="ParaNoNdepar-AltN"/>
        <w:widowControl w:val="0"/>
        <w:tabs>
          <w:tab w:val="clear" w:pos="1152"/>
          <w:tab w:val="left" w:pos="1166"/>
        </w:tabs>
        <w:rPr>
          <w:rFonts w:cs="Times New Roman"/>
          <w:szCs w:val="24"/>
          <w:lang w:val="fr-CA"/>
        </w:rPr>
      </w:pPr>
      <w:r w:rsidRPr="00822328">
        <w:rPr>
          <w:rFonts w:cs="Times New Roman"/>
          <w:szCs w:val="24"/>
          <w:lang w:val="fr-CA"/>
        </w:rPr>
        <w:t>Deuxièmement, notre procédure pénale répond déjà à la crainte de l</w:t>
      </w:r>
      <w:r>
        <w:rPr>
          <w:rFonts w:cs="Times New Roman"/>
          <w:szCs w:val="24"/>
          <w:lang w:val="fr-CA"/>
        </w:rPr>
        <w:t>’</w:t>
      </w:r>
      <w:r w:rsidRPr="00822328">
        <w:rPr>
          <w:rFonts w:cs="Times New Roman"/>
          <w:szCs w:val="24"/>
          <w:lang w:val="fr-CA"/>
        </w:rPr>
        <w:t>appelant qu</w:t>
      </w:r>
      <w:r>
        <w:rPr>
          <w:rFonts w:cs="Times New Roman"/>
          <w:szCs w:val="24"/>
          <w:lang w:val="fr-CA"/>
        </w:rPr>
        <w:t>’</w:t>
      </w:r>
      <w:r w:rsidRPr="00822328">
        <w:rPr>
          <w:rFonts w:cs="Times New Roman"/>
          <w:szCs w:val="24"/>
          <w:lang w:val="fr-CA"/>
        </w:rPr>
        <w:t>un policier puisse obtenir un renseignement d</w:t>
      </w:r>
      <w:r>
        <w:rPr>
          <w:rFonts w:cs="Times New Roman"/>
          <w:szCs w:val="24"/>
          <w:lang w:val="fr-CA"/>
        </w:rPr>
        <w:t>’</w:t>
      </w:r>
      <w:r w:rsidRPr="00822328">
        <w:rPr>
          <w:rFonts w:cs="Times New Roman"/>
          <w:szCs w:val="24"/>
          <w:lang w:val="fr-CA"/>
        </w:rPr>
        <w:t>un témoin vulnérable par la contrainte. Permettre au ministère public de présenter une déclaration lors d</w:t>
      </w:r>
      <w:r>
        <w:rPr>
          <w:rFonts w:cs="Times New Roman"/>
          <w:szCs w:val="24"/>
          <w:lang w:val="fr-CA"/>
        </w:rPr>
        <w:t>’</w:t>
      </w:r>
      <w:r w:rsidRPr="00822328">
        <w:rPr>
          <w:rFonts w:cs="Times New Roman"/>
          <w:szCs w:val="24"/>
          <w:lang w:val="fr-CA"/>
        </w:rPr>
        <w:t>un voir</w:t>
      </w:r>
      <w:r w:rsidRPr="00822328">
        <w:rPr>
          <w:rFonts w:cs="Times New Roman"/>
          <w:szCs w:val="24"/>
          <w:lang w:val="fr-CA"/>
        </w:rPr>
        <w:noBreakHyphen/>
        <w:t>dire constitutionnel sans en prouver le caractère volontaire diffère sensiblement de cautionner la conduite d</w:t>
      </w:r>
      <w:r>
        <w:rPr>
          <w:rFonts w:cs="Times New Roman"/>
          <w:szCs w:val="24"/>
          <w:lang w:val="fr-CA"/>
        </w:rPr>
        <w:t>’</w:t>
      </w:r>
      <w:r w:rsidRPr="00822328">
        <w:rPr>
          <w:rFonts w:cs="Times New Roman"/>
          <w:szCs w:val="24"/>
          <w:lang w:val="fr-CA"/>
        </w:rPr>
        <w:t>un policier qui obtient une déclaration involontaire sous la contrainte. Les prétentions de l</w:t>
      </w:r>
      <w:r>
        <w:rPr>
          <w:rFonts w:cs="Times New Roman"/>
          <w:szCs w:val="24"/>
          <w:lang w:val="fr-CA"/>
        </w:rPr>
        <w:t>’</w:t>
      </w:r>
      <w:r w:rsidRPr="00822328">
        <w:rPr>
          <w:rFonts w:cs="Times New Roman"/>
          <w:szCs w:val="24"/>
          <w:lang w:val="fr-CA"/>
        </w:rPr>
        <w:t>appelant créent une fausse dichotomie, car elles ne tiennent pas compte des autres protections juridiques contre les actes abusifs de l</w:t>
      </w:r>
      <w:r>
        <w:rPr>
          <w:rFonts w:cs="Times New Roman"/>
          <w:szCs w:val="24"/>
          <w:lang w:val="fr-CA"/>
        </w:rPr>
        <w:t>’</w:t>
      </w:r>
      <w:r w:rsidRPr="00822328">
        <w:rPr>
          <w:rFonts w:cs="Times New Roman"/>
          <w:szCs w:val="24"/>
          <w:lang w:val="fr-CA"/>
        </w:rPr>
        <w:t>État. Par exemple, l</w:t>
      </w:r>
      <w:r>
        <w:rPr>
          <w:rFonts w:cs="Times New Roman"/>
          <w:szCs w:val="24"/>
          <w:lang w:val="fr-CA"/>
        </w:rPr>
        <w:t>’</w:t>
      </w:r>
      <w:r w:rsidRPr="00822328">
        <w:rPr>
          <w:rFonts w:cs="Times New Roman"/>
          <w:szCs w:val="24"/>
          <w:lang w:val="fr-CA"/>
        </w:rPr>
        <w:t>obligation du ministère public de prouver que le policier s</w:t>
      </w:r>
      <w:r>
        <w:rPr>
          <w:rFonts w:cs="Times New Roman"/>
          <w:szCs w:val="24"/>
          <w:lang w:val="fr-CA"/>
        </w:rPr>
        <w:t>’</w:t>
      </w:r>
      <w:r w:rsidRPr="00822328">
        <w:rPr>
          <w:rFonts w:cs="Times New Roman"/>
          <w:szCs w:val="24"/>
          <w:lang w:val="fr-CA"/>
        </w:rPr>
        <w:t>est raisonnablement fondé sur la déclaration de l</w:t>
      </w:r>
      <w:r>
        <w:rPr>
          <w:rFonts w:cs="Times New Roman"/>
          <w:szCs w:val="24"/>
          <w:lang w:val="fr-CA"/>
        </w:rPr>
        <w:t>’</w:t>
      </w:r>
      <w:r w:rsidRPr="00822328">
        <w:rPr>
          <w:rFonts w:cs="Times New Roman"/>
          <w:szCs w:val="24"/>
          <w:lang w:val="fr-CA"/>
        </w:rPr>
        <w:t>accusé et qu</w:t>
      </w:r>
      <w:r>
        <w:rPr>
          <w:rFonts w:cs="Times New Roman"/>
          <w:szCs w:val="24"/>
          <w:lang w:val="fr-CA"/>
        </w:rPr>
        <w:t>’</w:t>
      </w:r>
      <w:r w:rsidRPr="00822328">
        <w:rPr>
          <w:rFonts w:cs="Times New Roman"/>
          <w:szCs w:val="24"/>
          <w:lang w:val="fr-CA"/>
        </w:rPr>
        <w:t>il a invoqué les motifs requis pour agir répond déjà à la crainte de l</w:t>
      </w:r>
      <w:r>
        <w:rPr>
          <w:rFonts w:cs="Times New Roman"/>
          <w:szCs w:val="24"/>
          <w:lang w:val="fr-CA"/>
        </w:rPr>
        <w:t>’</w:t>
      </w:r>
      <w:r w:rsidRPr="00822328">
        <w:rPr>
          <w:rFonts w:cs="Times New Roman"/>
          <w:szCs w:val="24"/>
          <w:lang w:val="fr-CA"/>
        </w:rPr>
        <w:t>appelant que les policiers puissent ne pas tenir compte de signes manifestes de non</w:t>
      </w:r>
      <w:r w:rsidRPr="00822328">
        <w:rPr>
          <w:rFonts w:cs="Times New Roman"/>
          <w:szCs w:val="24"/>
          <w:lang w:val="fr-CA"/>
        </w:rPr>
        <w:noBreakHyphen/>
        <w:t>fiabilité, telle l</w:t>
      </w:r>
      <w:r>
        <w:rPr>
          <w:rFonts w:cs="Times New Roman"/>
          <w:szCs w:val="24"/>
          <w:lang w:val="fr-CA"/>
        </w:rPr>
        <w:t>’</w:t>
      </w:r>
      <w:r w:rsidRPr="00822328">
        <w:rPr>
          <w:rFonts w:cs="Times New Roman"/>
          <w:szCs w:val="24"/>
          <w:lang w:val="fr-CA"/>
        </w:rPr>
        <w:t>absence d</w:t>
      </w:r>
      <w:r>
        <w:rPr>
          <w:rFonts w:cs="Times New Roman"/>
          <w:szCs w:val="24"/>
          <w:lang w:val="fr-CA"/>
        </w:rPr>
        <w:t>’</w:t>
      </w:r>
      <w:r w:rsidRPr="00822328">
        <w:rPr>
          <w:rFonts w:cs="Times New Roman"/>
          <w:szCs w:val="24"/>
          <w:lang w:val="fr-CA"/>
        </w:rPr>
        <w:t xml:space="preserve">un </w:t>
      </w:r>
      <w:r w:rsidRPr="00822328">
        <w:rPr>
          <w:rFonts w:cs="Times New Roman"/>
          <w:lang w:val="fr-CA"/>
        </w:rPr>
        <w:t>état d</w:t>
      </w:r>
      <w:r>
        <w:rPr>
          <w:rFonts w:cs="Times New Roman"/>
          <w:lang w:val="fr-CA"/>
        </w:rPr>
        <w:t>’</w:t>
      </w:r>
      <w:r w:rsidRPr="00822328">
        <w:rPr>
          <w:rFonts w:cs="Times New Roman"/>
          <w:lang w:val="fr-CA"/>
        </w:rPr>
        <w:t>esprit conscient</w:t>
      </w:r>
      <w:r w:rsidRPr="00822328">
        <w:rPr>
          <w:rFonts w:cs="Times New Roman"/>
          <w:szCs w:val="24"/>
          <w:lang w:val="fr-CA"/>
        </w:rPr>
        <w:t>. De même, une technique policière coercitive ou par ailleurs abusive visant à soutirer un renseignement à l</w:t>
      </w:r>
      <w:r>
        <w:rPr>
          <w:rFonts w:cs="Times New Roman"/>
          <w:szCs w:val="24"/>
          <w:lang w:val="fr-CA"/>
        </w:rPr>
        <w:t>’</w:t>
      </w:r>
      <w:r w:rsidRPr="00822328">
        <w:rPr>
          <w:rFonts w:cs="Times New Roman"/>
          <w:szCs w:val="24"/>
          <w:lang w:val="fr-CA"/>
        </w:rPr>
        <w:t>accusé contre son gré serait soumise à un examen au regard de l</w:t>
      </w:r>
      <w:r>
        <w:rPr>
          <w:rFonts w:cs="Times New Roman"/>
          <w:szCs w:val="24"/>
          <w:lang w:val="fr-CA"/>
        </w:rPr>
        <w:t>’</w:t>
      </w:r>
      <w:r w:rsidRPr="00822328">
        <w:rPr>
          <w:rFonts w:cs="Times New Roman"/>
          <w:szCs w:val="24"/>
          <w:lang w:val="fr-CA"/>
        </w:rPr>
        <w:t xml:space="preserve">art. 7, 8 ou 9 de la </w:t>
      </w:r>
      <w:r w:rsidRPr="00822328">
        <w:rPr>
          <w:rFonts w:cs="Times New Roman"/>
          <w:i/>
          <w:szCs w:val="24"/>
          <w:lang w:val="fr-CA"/>
        </w:rPr>
        <w:t>Charte</w:t>
      </w:r>
      <w:r w:rsidRPr="00822328">
        <w:rPr>
          <w:rFonts w:cs="Times New Roman"/>
          <w:szCs w:val="24"/>
          <w:lang w:val="fr-CA"/>
        </w:rPr>
        <w:t>. La preuve ainsi obtenue pourrait être écartée par application du par. 24(2) ou entraîner l</w:t>
      </w:r>
      <w:r>
        <w:rPr>
          <w:rFonts w:cs="Times New Roman"/>
          <w:szCs w:val="24"/>
          <w:lang w:val="fr-CA"/>
        </w:rPr>
        <w:t>’</w:t>
      </w:r>
      <w:r w:rsidRPr="00822328">
        <w:rPr>
          <w:rFonts w:cs="Times New Roman"/>
          <w:szCs w:val="24"/>
          <w:lang w:val="fr-CA"/>
        </w:rPr>
        <w:t>arrêt des procédures. En somme, la thèse de l</w:t>
      </w:r>
      <w:r>
        <w:rPr>
          <w:rFonts w:cs="Times New Roman"/>
          <w:szCs w:val="24"/>
          <w:lang w:val="fr-CA"/>
        </w:rPr>
        <w:t>’</w:t>
      </w:r>
      <w:r w:rsidRPr="00822328">
        <w:rPr>
          <w:rFonts w:cs="Times New Roman"/>
          <w:szCs w:val="24"/>
          <w:lang w:val="fr-CA"/>
        </w:rPr>
        <w:t>appelant ne justifie pas la crainte que les droits de l</w:t>
      </w:r>
      <w:r>
        <w:rPr>
          <w:rFonts w:cs="Times New Roman"/>
          <w:szCs w:val="24"/>
          <w:lang w:val="fr-CA"/>
        </w:rPr>
        <w:t>’</w:t>
      </w:r>
      <w:r w:rsidRPr="00822328">
        <w:rPr>
          <w:rFonts w:cs="Times New Roman"/>
          <w:szCs w:val="24"/>
          <w:lang w:val="fr-CA"/>
        </w:rPr>
        <w:t>accusé ne soient pas tout à fait conciliables avec le recours de l</w:t>
      </w:r>
      <w:r>
        <w:rPr>
          <w:rFonts w:cs="Times New Roman"/>
          <w:szCs w:val="24"/>
          <w:lang w:val="fr-CA"/>
        </w:rPr>
        <w:t>’</w:t>
      </w:r>
      <w:r w:rsidRPr="00822328">
        <w:rPr>
          <w:rFonts w:cs="Times New Roman"/>
          <w:szCs w:val="24"/>
          <w:lang w:val="fr-CA"/>
        </w:rPr>
        <w:t>État à une déclaration de l</w:t>
      </w:r>
      <w:r>
        <w:rPr>
          <w:rFonts w:cs="Times New Roman"/>
          <w:szCs w:val="24"/>
          <w:lang w:val="fr-CA"/>
        </w:rPr>
        <w:t>’</w:t>
      </w:r>
      <w:r w:rsidRPr="00822328">
        <w:rPr>
          <w:rFonts w:cs="Times New Roman"/>
          <w:szCs w:val="24"/>
          <w:lang w:val="fr-CA"/>
        </w:rPr>
        <w:t>accusé pour démontrer la constitutionnalité d</w:t>
      </w:r>
      <w:r>
        <w:rPr>
          <w:rFonts w:cs="Times New Roman"/>
          <w:szCs w:val="24"/>
          <w:lang w:val="fr-CA"/>
        </w:rPr>
        <w:t>’</w:t>
      </w:r>
      <w:r w:rsidRPr="00822328">
        <w:rPr>
          <w:rFonts w:cs="Times New Roman"/>
          <w:szCs w:val="24"/>
          <w:lang w:val="fr-CA"/>
        </w:rPr>
        <w:t>une étape de l</w:t>
      </w:r>
      <w:r>
        <w:rPr>
          <w:rFonts w:cs="Times New Roman"/>
          <w:szCs w:val="24"/>
          <w:lang w:val="fr-CA"/>
        </w:rPr>
        <w:t>’</w:t>
      </w:r>
      <w:r w:rsidRPr="00822328">
        <w:rPr>
          <w:rFonts w:cs="Times New Roman"/>
          <w:szCs w:val="24"/>
          <w:lang w:val="fr-CA"/>
        </w:rPr>
        <w:t>enquête.</w:t>
      </w:r>
    </w:p>
    <w:p w:rsidR="00A37A4C" w:rsidRPr="00822328" w:rsidRDefault="00A37A4C" w:rsidP="006534E4">
      <w:pPr>
        <w:pStyle w:val="ParaNoNdepar-AltN"/>
        <w:widowControl w:val="0"/>
        <w:tabs>
          <w:tab w:val="clear" w:pos="1152"/>
          <w:tab w:val="left" w:pos="1166"/>
        </w:tabs>
        <w:rPr>
          <w:rFonts w:cs="Times New Roman"/>
          <w:szCs w:val="24"/>
          <w:lang w:val="fr-CA"/>
        </w:rPr>
      </w:pPr>
      <w:r w:rsidRPr="00822328">
        <w:rPr>
          <w:rFonts w:cs="Times New Roman"/>
          <w:lang w:val="fr-CA"/>
        </w:rPr>
        <w:t>Enfin, appliquer la règle des confessions à la déclaration produite lors d</w:t>
      </w:r>
      <w:r>
        <w:rPr>
          <w:rFonts w:cs="Times New Roman"/>
          <w:lang w:val="fr-CA"/>
        </w:rPr>
        <w:t>’</w:t>
      </w:r>
      <w:r w:rsidRPr="00822328">
        <w:rPr>
          <w:rFonts w:cs="Times New Roman"/>
          <w:lang w:val="fr-CA"/>
        </w:rPr>
        <w:t>un voir</w:t>
      </w:r>
      <w:r w:rsidRPr="00822328">
        <w:rPr>
          <w:rFonts w:cs="Times New Roman"/>
          <w:lang w:val="fr-CA"/>
        </w:rPr>
        <w:noBreakHyphen/>
        <w:t xml:space="preserve">dire </w:t>
      </w:r>
      <w:r w:rsidRPr="00822328">
        <w:rPr>
          <w:rFonts w:cs="Times New Roman"/>
          <w:szCs w:val="24"/>
          <w:lang w:val="fr-CA"/>
        </w:rPr>
        <w:t>constitutionnel</w:t>
      </w:r>
      <w:r w:rsidRPr="00822328">
        <w:rPr>
          <w:rFonts w:cs="Times New Roman"/>
          <w:lang w:val="fr-CA"/>
        </w:rPr>
        <w:t xml:space="preserve"> aurait l</w:t>
      </w:r>
      <w:r>
        <w:rPr>
          <w:rFonts w:cs="Times New Roman"/>
          <w:lang w:val="fr-CA"/>
        </w:rPr>
        <w:t>’</w:t>
      </w:r>
      <w:r w:rsidRPr="00822328">
        <w:rPr>
          <w:rFonts w:cs="Times New Roman"/>
          <w:lang w:val="fr-CA"/>
        </w:rPr>
        <w:t>effet non souhaitable de faire obstacle aux pouvoirs d</w:t>
      </w:r>
      <w:r>
        <w:rPr>
          <w:rFonts w:cs="Times New Roman"/>
          <w:lang w:val="fr-CA"/>
        </w:rPr>
        <w:t>’</w:t>
      </w:r>
      <w:r w:rsidRPr="00822328">
        <w:rPr>
          <w:rFonts w:cs="Times New Roman"/>
          <w:lang w:val="fr-CA"/>
        </w:rPr>
        <w:t>enquête à la fois légitimes et nécessaires de la police. À titre d</w:t>
      </w:r>
      <w:r>
        <w:rPr>
          <w:rFonts w:cs="Times New Roman"/>
          <w:lang w:val="fr-CA"/>
        </w:rPr>
        <w:t>’</w:t>
      </w:r>
      <w:r w:rsidRPr="00822328">
        <w:rPr>
          <w:rFonts w:cs="Times New Roman"/>
          <w:lang w:val="fr-CA"/>
        </w:rPr>
        <w:t>exemple, et comme le fait remarquer l</w:t>
      </w:r>
      <w:r>
        <w:rPr>
          <w:rFonts w:cs="Times New Roman"/>
          <w:lang w:val="fr-CA"/>
        </w:rPr>
        <w:t>’</w:t>
      </w:r>
      <w:r w:rsidRPr="00822328">
        <w:rPr>
          <w:rFonts w:cs="Times New Roman"/>
          <w:lang w:val="fr-CA"/>
        </w:rPr>
        <w:t>intervenant le procureur général de l</w:t>
      </w:r>
      <w:r>
        <w:rPr>
          <w:rFonts w:cs="Times New Roman"/>
          <w:lang w:val="fr-CA"/>
        </w:rPr>
        <w:t>’</w:t>
      </w:r>
      <w:r w:rsidRPr="00822328">
        <w:rPr>
          <w:rFonts w:cs="Times New Roman"/>
          <w:lang w:val="fr-CA"/>
        </w:rPr>
        <w:t>Ontario, exiger des policiers qu</w:t>
      </w:r>
      <w:r>
        <w:rPr>
          <w:rFonts w:cs="Times New Roman"/>
          <w:lang w:val="fr-CA"/>
        </w:rPr>
        <w:t>’</w:t>
      </w:r>
      <w:r w:rsidRPr="00822328">
        <w:rPr>
          <w:rFonts w:cs="Times New Roman"/>
          <w:lang w:val="fr-CA"/>
        </w:rPr>
        <w:t>ils prouvent le caractère volontaire de la déclaration d</w:t>
      </w:r>
      <w:r>
        <w:rPr>
          <w:rFonts w:cs="Times New Roman"/>
          <w:lang w:val="fr-CA"/>
        </w:rPr>
        <w:t>’</w:t>
      </w:r>
      <w:r w:rsidRPr="00822328">
        <w:rPr>
          <w:rFonts w:cs="Times New Roman"/>
          <w:lang w:val="fr-CA"/>
        </w:rPr>
        <w:t>un accusé irait à l</w:t>
      </w:r>
      <w:r>
        <w:rPr>
          <w:rFonts w:cs="Times New Roman"/>
          <w:lang w:val="fr-CA"/>
        </w:rPr>
        <w:t>’</w:t>
      </w:r>
      <w:r w:rsidRPr="00822328">
        <w:rPr>
          <w:rFonts w:cs="Times New Roman"/>
          <w:lang w:val="fr-CA"/>
        </w:rPr>
        <w:t>encontre de l</w:t>
      </w:r>
      <w:r>
        <w:rPr>
          <w:rFonts w:cs="Times New Roman"/>
          <w:lang w:val="fr-CA"/>
        </w:rPr>
        <w:t>’</w:t>
      </w:r>
      <w:r w:rsidRPr="00822328">
        <w:rPr>
          <w:rFonts w:cs="Times New Roman"/>
          <w:lang w:val="fr-CA"/>
        </w:rPr>
        <w:t xml:space="preserve">arrêt </w:t>
      </w:r>
      <w:r w:rsidRPr="00822328">
        <w:rPr>
          <w:rFonts w:cs="Times New Roman"/>
          <w:i/>
          <w:lang w:val="fr-CA"/>
        </w:rPr>
        <w:t>R. c. Orbanski</w:t>
      </w:r>
      <w:r w:rsidRPr="00822328">
        <w:rPr>
          <w:rFonts w:cs="Times New Roman"/>
          <w:lang w:val="fr-CA"/>
        </w:rPr>
        <w:t>, 2005 CSC 37, [2005] 2 R.C.S. 3. Dans cet arrêt, la Cour opine que les policiers qui interceptent un conducteur sur la route peuvent, uniquement pour établir l</w:t>
      </w:r>
      <w:r>
        <w:rPr>
          <w:rFonts w:cs="Times New Roman"/>
          <w:lang w:val="fr-CA"/>
        </w:rPr>
        <w:t>’</w:t>
      </w:r>
      <w:r w:rsidRPr="00822328">
        <w:rPr>
          <w:rFonts w:cs="Times New Roman"/>
          <w:lang w:val="fr-CA"/>
        </w:rPr>
        <w:t>existence de motifs qui justifient l</w:t>
      </w:r>
      <w:r>
        <w:rPr>
          <w:rFonts w:cs="Times New Roman"/>
          <w:lang w:val="fr-CA"/>
        </w:rPr>
        <w:t>’</w:t>
      </w:r>
      <w:r w:rsidRPr="00822328">
        <w:rPr>
          <w:rFonts w:cs="Times New Roman"/>
          <w:lang w:val="fr-CA"/>
        </w:rPr>
        <w:t xml:space="preserve">ordre de fournir un échantillon dans un </w:t>
      </w:r>
      <w:r w:rsidRPr="00822328">
        <w:rPr>
          <w:rFonts w:cs="Times New Roman"/>
          <w:lang w:val="fr-FR"/>
        </w:rPr>
        <w:t>appareil de détection approuvé</w:t>
      </w:r>
      <w:r w:rsidRPr="00822328">
        <w:rPr>
          <w:rFonts w:cs="Times New Roman"/>
          <w:lang w:val="fr-CA"/>
        </w:rPr>
        <w:t>, s</w:t>
      </w:r>
      <w:r>
        <w:rPr>
          <w:rFonts w:cs="Times New Roman"/>
          <w:lang w:val="fr-CA"/>
        </w:rPr>
        <w:t>’</w:t>
      </w:r>
      <w:r w:rsidRPr="00822328">
        <w:rPr>
          <w:rFonts w:cs="Times New Roman"/>
          <w:lang w:val="fr-CA"/>
        </w:rPr>
        <w:t>appuyer sur les réponses obtenues de cet automobiliste sur sa consommation d</w:t>
      </w:r>
      <w:r>
        <w:rPr>
          <w:rFonts w:cs="Times New Roman"/>
          <w:lang w:val="fr-CA"/>
        </w:rPr>
        <w:t>’</w:t>
      </w:r>
      <w:r w:rsidRPr="00822328">
        <w:rPr>
          <w:rFonts w:cs="Times New Roman"/>
          <w:lang w:val="fr-CA"/>
        </w:rPr>
        <w:t>alcool. Un tel élément de preuve découle forcément, comme le dit la Cour, de la « </w:t>
      </w:r>
      <w:r w:rsidRPr="00822328">
        <w:rPr>
          <w:rFonts w:cs="Times New Roman"/>
          <w:lang w:val="fr-FR"/>
        </w:rPr>
        <w:t xml:space="preserve">participation directe et </w:t>
      </w:r>
      <w:r w:rsidRPr="00822328">
        <w:rPr>
          <w:rFonts w:cs="Times New Roman"/>
          <w:u w:val="single"/>
          <w:lang w:val="fr-FR"/>
        </w:rPr>
        <w:t>obligatoire</w:t>
      </w:r>
      <w:r w:rsidRPr="00822328">
        <w:rPr>
          <w:rFonts w:cs="Times New Roman"/>
          <w:lang w:val="fr-FR"/>
        </w:rPr>
        <w:t> »</w:t>
      </w:r>
      <w:r w:rsidRPr="00822328">
        <w:rPr>
          <w:rFonts w:cs="Times New Roman"/>
          <w:lang w:val="fr-CA"/>
        </w:rPr>
        <w:t xml:space="preserve"> du </w:t>
      </w:r>
      <w:r w:rsidR="00B94C88">
        <w:rPr>
          <w:rFonts w:cs="Times New Roman"/>
          <w:lang w:val="fr-CA"/>
        </w:rPr>
        <w:t>conducteur (par. 58</w:t>
      </w:r>
      <w:r w:rsidRPr="00822328">
        <w:rPr>
          <w:rFonts w:cs="Times New Roman"/>
          <w:lang w:val="fr-CA"/>
        </w:rPr>
        <w:t xml:space="preserve"> (je souligne</w:t>
      </w:r>
      <w:r w:rsidR="00B94C88">
        <w:rPr>
          <w:rFonts w:cs="Times New Roman"/>
          <w:lang w:val="fr-CA"/>
        </w:rPr>
        <w:t>)</w:t>
      </w:r>
      <w:r w:rsidRPr="00822328">
        <w:rPr>
          <w:rFonts w:cs="Times New Roman"/>
          <w:lang w:val="fr-CA"/>
        </w:rPr>
        <w:t>)</w:t>
      </w:r>
      <w:r w:rsidRPr="00822328">
        <w:rPr>
          <w:rStyle w:val="FootnoteReference"/>
          <w:rFonts w:cs="Times New Roman"/>
          <w:szCs w:val="24"/>
          <w:lang w:val="fr-CA"/>
        </w:rPr>
        <w:footnoteReference w:id="2"/>
      </w:r>
      <w:r w:rsidRPr="00822328">
        <w:rPr>
          <w:rFonts w:cs="Times New Roman"/>
          <w:lang w:val="fr-CA"/>
        </w:rPr>
        <w:t xml:space="preserve"> et serait in</w:t>
      </w:r>
      <w:r w:rsidRPr="00822328">
        <w:rPr>
          <w:rFonts w:cs="Times New Roman"/>
          <w:szCs w:val="24"/>
          <w:lang w:val="fr-CA"/>
        </w:rPr>
        <w:t>admissible au procès pour prouver une capacité de conduite affaiblie</w:t>
      </w:r>
      <w:r w:rsidRPr="00822328">
        <w:rPr>
          <w:rFonts w:cs="Times New Roman"/>
          <w:lang w:val="fr-CA"/>
        </w:rPr>
        <w:t>. Néanmoins, l</w:t>
      </w:r>
      <w:r>
        <w:rPr>
          <w:rFonts w:cs="Times New Roman"/>
          <w:lang w:val="fr-CA"/>
        </w:rPr>
        <w:t>’</w:t>
      </w:r>
      <w:r w:rsidRPr="00822328">
        <w:rPr>
          <w:rFonts w:cs="Times New Roman"/>
          <w:lang w:val="fr-CA"/>
        </w:rPr>
        <w:t>objectif restreint de justifier une enquête plus approfondie, ainsi que l</w:t>
      </w:r>
      <w:r>
        <w:rPr>
          <w:rFonts w:cs="Times New Roman"/>
          <w:lang w:val="fr-CA"/>
        </w:rPr>
        <w:t>’</w:t>
      </w:r>
      <w:r w:rsidRPr="00822328">
        <w:rPr>
          <w:rFonts w:cs="Times New Roman"/>
          <w:lang w:val="fr-CA"/>
        </w:rPr>
        <w:t>absence de tout souci d</w:t>
      </w:r>
      <w:r>
        <w:rPr>
          <w:rFonts w:cs="Times New Roman"/>
          <w:lang w:val="fr-CA"/>
        </w:rPr>
        <w:t>’</w:t>
      </w:r>
      <w:r w:rsidRPr="00822328">
        <w:rPr>
          <w:rFonts w:cs="Times New Roman"/>
          <w:lang w:val="fr-CA"/>
        </w:rPr>
        <w:t>équité du procès et de fiabilité de la preuve, milite en faveur de l</w:t>
      </w:r>
      <w:r>
        <w:rPr>
          <w:rFonts w:cs="Times New Roman"/>
          <w:lang w:val="fr-CA"/>
        </w:rPr>
        <w:t>’</w:t>
      </w:r>
      <w:r w:rsidRPr="00822328">
        <w:rPr>
          <w:rFonts w:cs="Times New Roman"/>
          <w:lang w:val="fr-CA"/>
        </w:rPr>
        <w:t>admissibilité de l</w:t>
      </w:r>
      <w:r>
        <w:rPr>
          <w:rFonts w:cs="Times New Roman"/>
          <w:lang w:val="fr-CA"/>
        </w:rPr>
        <w:t>’</w:t>
      </w:r>
      <w:r w:rsidRPr="00822328">
        <w:rPr>
          <w:rFonts w:cs="Times New Roman"/>
          <w:lang w:val="fr-CA"/>
        </w:rPr>
        <w:t>élément lors d</w:t>
      </w:r>
      <w:r>
        <w:rPr>
          <w:rFonts w:cs="Times New Roman"/>
          <w:lang w:val="fr-CA"/>
        </w:rPr>
        <w:t>’</w:t>
      </w:r>
      <w:r w:rsidRPr="00822328">
        <w:rPr>
          <w:rFonts w:cs="Times New Roman"/>
          <w:lang w:val="fr-CA"/>
        </w:rPr>
        <w:t>un voir</w:t>
      </w:r>
      <w:r w:rsidRPr="00822328">
        <w:rPr>
          <w:rFonts w:cs="Times New Roman"/>
          <w:lang w:val="fr-CA"/>
        </w:rPr>
        <w:noBreakHyphen/>
        <w:t>dire sur la constitutionnalité de l</w:t>
      </w:r>
      <w:r>
        <w:rPr>
          <w:rFonts w:cs="Times New Roman"/>
          <w:lang w:val="fr-CA"/>
        </w:rPr>
        <w:t>’</w:t>
      </w:r>
      <w:r w:rsidRPr="00822328">
        <w:rPr>
          <w:rFonts w:cs="Times New Roman"/>
          <w:lang w:val="fr-CA"/>
        </w:rPr>
        <w:t>enquête comme telle et, en particulier, sur le caractère raisonnable des motifs pour lesquels le policier a ordonné la fourniture d</w:t>
      </w:r>
      <w:r>
        <w:rPr>
          <w:rFonts w:cs="Times New Roman"/>
          <w:lang w:val="fr-CA"/>
        </w:rPr>
        <w:t>’</w:t>
      </w:r>
      <w:r w:rsidRPr="00822328">
        <w:rPr>
          <w:rFonts w:cs="Times New Roman"/>
          <w:lang w:val="fr-CA"/>
        </w:rPr>
        <w:t>un échantillon d</w:t>
      </w:r>
      <w:r>
        <w:rPr>
          <w:rFonts w:cs="Times New Roman"/>
          <w:lang w:val="fr-CA"/>
        </w:rPr>
        <w:t>’</w:t>
      </w:r>
      <w:r w:rsidRPr="00822328">
        <w:rPr>
          <w:rFonts w:cs="Times New Roman"/>
          <w:lang w:val="fr-CA"/>
        </w:rPr>
        <w:t>haleine.</w:t>
      </w:r>
    </w:p>
    <w:p w:rsidR="00A37A4C" w:rsidRPr="00822328" w:rsidRDefault="00A37A4C" w:rsidP="006534E4">
      <w:pPr>
        <w:pStyle w:val="ParaNoNdepar-AltN"/>
        <w:widowControl w:val="0"/>
        <w:tabs>
          <w:tab w:val="clear" w:pos="1152"/>
          <w:tab w:val="left" w:pos="1166"/>
        </w:tabs>
        <w:rPr>
          <w:rFonts w:cs="Times New Roman"/>
          <w:szCs w:val="24"/>
          <w:lang w:val="fr-CA"/>
        </w:rPr>
      </w:pPr>
      <w:r w:rsidRPr="00822328">
        <w:rPr>
          <w:rFonts w:cs="Times New Roman"/>
          <w:szCs w:val="24"/>
          <w:lang w:val="fr-CA"/>
        </w:rPr>
        <w:t>En effet, dans certains cas, l</w:t>
      </w:r>
      <w:r>
        <w:rPr>
          <w:rFonts w:cs="Times New Roman"/>
          <w:szCs w:val="24"/>
          <w:lang w:val="fr-CA"/>
        </w:rPr>
        <w:t>’</w:t>
      </w:r>
      <w:r w:rsidRPr="00822328">
        <w:rPr>
          <w:rFonts w:cs="Times New Roman"/>
          <w:szCs w:val="24"/>
          <w:lang w:val="fr-CA"/>
        </w:rPr>
        <w:t>application de la règle des confessions aux déclarations présentées dans le cadre d</w:t>
      </w:r>
      <w:r>
        <w:rPr>
          <w:rFonts w:cs="Times New Roman"/>
          <w:szCs w:val="24"/>
          <w:lang w:val="fr-CA"/>
        </w:rPr>
        <w:t>’</w:t>
      </w:r>
      <w:r w:rsidRPr="00822328">
        <w:rPr>
          <w:rFonts w:cs="Times New Roman"/>
          <w:szCs w:val="24"/>
          <w:lang w:val="fr-CA"/>
        </w:rPr>
        <w:t>un voir</w:t>
      </w:r>
      <w:r w:rsidRPr="00822328">
        <w:rPr>
          <w:rFonts w:cs="Times New Roman"/>
          <w:szCs w:val="24"/>
          <w:lang w:val="fr-CA"/>
        </w:rPr>
        <w:noBreakHyphen/>
        <w:t>dire constitutionnel donnerait lieu à des situations absurdes</w:t>
      </w:r>
      <w:r w:rsidRPr="00822328">
        <w:rPr>
          <w:rFonts w:cs="Times New Roman"/>
          <w:lang w:val="fr-CA"/>
        </w:rPr>
        <w:t>. Les policiers devraient alors s</w:t>
      </w:r>
      <w:r>
        <w:rPr>
          <w:rFonts w:cs="Times New Roman"/>
          <w:lang w:val="fr-CA"/>
        </w:rPr>
        <w:t>’</w:t>
      </w:r>
      <w:r w:rsidRPr="00822328">
        <w:rPr>
          <w:rFonts w:cs="Times New Roman"/>
          <w:lang w:val="fr-CA"/>
        </w:rPr>
        <w:t>assurer du caractère volontaire des déclarations de pratiquement toutes les personnes qu</w:t>
      </w:r>
      <w:r>
        <w:rPr>
          <w:rFonts w:cs="Times New Roman"/>
          <w:lang w:val="fr-CA"/>
        </w:rPr>
        <w:t>’</w:t>
      </w:r>
      <w:r w:rsidRPr="00822328">
        <w:rPr>
          <w:rFonts w:cs="Times New Roman"/>
          <w:lang w:val="fr-CA"/>
        </w:rPr>
        <w:t>ils rencontrent lors d</w:t>
      </w:r>
      <w:r>
        <w:rPr>
          <w:rFonts w:cs="Times New Roman"/>
          <w:lang w:val="fr-CA"/>
        </w:rPr>
        <w:t>’</w:t>
      </w:r>
      <w:r w:rsidRPr="00822328">
        <w:rPr>
          <w:rFonts w:cs="Times New Roman"/>
          <w:lang w:val="fr-CA"/>
        </w:rPr>
        <w:t>une intervention d</w:t>
      </w:r>
      <w:r>
        <w:rPr>
          <w:rFonts w:cs="Times New Roman"/>
          <w:lang w:val="fr-CA"/>
        </w:rPr>
        <w:t>’</w:t>
      </w:r>
      <w:r w:rsidRPr="00822328">
        <w:rPr>
          <w:rFonts w:cs="Times New Roman"/>
          <w:lang w:val="fr-CA"/>
        </w:rPr>
        <w:t>urgence, que ce soit au moment de répondre à l</w:t>
      </w:r>
      <w:r>
        <w:rPr>
          <w:rFonts w:cs="Times New Roman"/>
          <w:lang w:val="fr-CA"/>
        </w:rPr>
        <w:t>’</w:t>
      </w:r>
      <w:r w:rsidRPr="00822328">
        <w:rPr>
          <w:rFonts w:cs="Times New Roman"/>
          <w:lang w:val="fr-CA"/>
        </w:rPr>
        <w:t>appel au service 9</w:t>
      </w:r>
      <w:r w:rsidRPr="00822328">
        <w:rPr>
          <w:rFonts w:cs="Times New Roman"/>
          <w:lang w:val="fr-CA"/>
        </w:rPr>
        <w:noBreakHyphen/>
        <w:t>1</w:t>
      </w:r>
      <w:r w:rsidRPr="00822328">
        <w:rPr>
          <w:rFonts w:cs="Times New Roman"/>
          <w:lang w:val="fr-CA"/>
        </w:rPr>
        <w:noBreakHyphen/>
        <w:t>1 ou à un autre moment au début d</w:t>
      </w:r>
      <w:r>
        <w:rPr>
          <w:rFonts w:cs="Times New Roman"/>
          <w:lang w:val="fr-CA"/>
        </w:rPr>
        <w:t>’</w:t>
      </w:r>
      <w:r w:rsidRPr="00822328">
        <w:rPr>
          <w:rFonts w:cs="Times New Roman"/>
          <w:lang w:val="fr-CA"/>
        </w:rPr>
        <w:t>une enquête, à un stade où l</w:t>
      </w:r>
      <w:r>
        <w:rPr>
          <w:rFonts w:cs="Times New Roman"/>
          <w:lang w:val="fr-CA"/>
        </w:rPr>
        <w:t>’</w:t>
      </w:r>
      <w:r w:rsidRPr="00822328">
        <w:rPr>
          <w:rFonts w:cs="Times New Roman"/>
          <w:lang w:val="fr-CA"/>
        </w:rPr>
        <w:t>on peut difficilement départager suspects et simples témoins. Lorsqu</w:t>
      </w:r>
      <w:r>
        <w:rPr>
          <w:rFonts w:cs="Times New Roman"/>
          <w:lang w:val="fr-CA"/>
        </w:rPr>
        <w:t>’</w:t>
      </w:r>
      <w:r w:rsidRPr="00822328">
        <w:rPr>
          <w:rFonts w:cs="Times New Roman"/>
          <w:lang w:val="fr-CA"/>
        </w:rPr>
        <w:t>une situation prend naissance et évolue rapidement, les policiers doivent pouvoir, dans les limites fixées par la Constitution, intervenir et enquêter avec diligence. La conséquence logique de la thèse de l</w:t>
      </w:r>
      <w:r>
        <w:rPr>
          <w:rFonts w:cs="Times New Roman"/>
          <w:lang w:val="fr-CA"/>
        </w:rPr>
        <w:t>’</w:t>
      </w:r>
      <w:r w:rsidRPr="00822328">
        <w:rPr>
          <w:rFonts w:cs="Times New Roman"/>
          <w:lang w:val="fr-CA"/>
        </w:rPr>
        <w:t>appelant serait la remise en question de pratiques policières élémentaires que nul ne conteste et qui sont tributaires des déclarations des suspects. Les enquêtes policières en seraient paralysées et la sécurité publique compromise, sans compter que la durée et la complexité des voir</w:t>
      </w:r>
      <w:r w:rsidRPr="00822328">
        <w:rPr>
          <w:rFonts w:cs="Times New Roman"/>
          <w:lang w:val="fr-CA"/>
        </w:rPr>
        <w:noBreakHyphen/>
        <w:t>dire s</w:t>
      </w:r>
      <w:r>
        <w:rPr>
          <w:rFonts w:cs="Times New Roman"/>
          <w:lang w:val="fr-CA"/>
        </w:rPr>
        <w:t>’</w:t>
      </w:r>
      <w:r w:rsidRPr="00822328">
        <w:rPr>
          <w:rFonts w:cs="Times New Roman"/>
          <w:lang w:val="fr-CA"/>
        </w:rPr>
        <w:t>accroîtraient inutilement, tout cela uniquement, faut</w:t>
      </w:r>
      <w:r w:rsidRPr="00822328">
        <w:rPr>
          <w:rFonts w:cs="Times New Roman"/>
          <w:lang w:val="fr-CA"/>
        </w:rPr>
        <w:noBreakHyphen/>
        <w:t>il le répéter, pour offrir à l</w:t>
      </w:r>
      <w:r>
        <w:rPr>
          <w:rFonts w:cs="Times New Roman"/>
          <w:lang w:val="fr-CA"/>
        </w:rPr>
        <w:t>’</w:t>
      </w:r>
      <w:r w:rsidRPr="00822328">
        <w:rPr>
          <w:rFonts w:cs="Times New Roman"/>
          <w:lang w:val="fr-CA"/>
        </w:rPr>
        <w:t>accusé des protections que notre procédure pénale prévoit déjà (comme je l</w:t>
      </w:r>
      <w:r>
        <w:rPr>
          <w:rFonts w:cs="Times New Roman"/>
          <w:lang w:val="fr-CA"/>
        </w:rPr>
        <w:t>’</w:t>
      </w:r>
      <w:r w:rsidRPr="00822328">
        <w:rPr>
          <w:rFonts w:cs="Times New Roman"/>
          <w:lang w:val="fr-CA"/>
        </w:rPr>
        <w:t>explique au par. 22).</w:t>
      </w:r>
    </w:p>
    <w:p w:rsidR="00A37A4C" w:rsidRPr="00822328" w:rsidRDefault="00A37A4C" w:rsidP="006534E4">
      <w:pPr>
        <w:pStyle w:val="ParaNoNdepar-AltN"/>
        <w:widowControl w:val="0"/>
        <w:tabs>
          <w:tab w:val="clear" w:pos="1152"/>
          <w:tab w:val="left" w:pos="1166"/>
        </w:tabs>
        <w:rPr>
          <w:rFonts w:cs="Times New Roman"/>
          <w:noProof/>
          <w:szCs w:val="24"/>
          <w:lang w:val="fr-CA"/>
        </w:rPr>
      </w:pPr>
      <w:r w:rsidRPr="00822328">
        <w:rPr>
          <w:rFonts w:cs="Times New Roman"/>
          <w:noProof/>
          <w:szCs w:val="24"/>
          <w:lang w:val="fr-CA"/>
        </w:rPr>
        <w:t>Au vu de ce qui précède, je suis d</w:t>
      </w:r>
      <w:r>
        <w:rPr>
          <w:rFonts w:cs="Times New Roman"/>
          <w:noProof/>
          <w:szCs w:val="24"/>
          <w:lang w:val="fr-CA"/>
        </w:rPr>
        <w:t>’</w:t>
      </w:r>
      <w:r w:rsidRPr="00822328">
        <w:rPr>
          <w:rFonts w:cs="Times New Roman"/>
          <w:noProof/>
          <w:szCs w:val="24"/>
          <w:lang w:val="fr-CA"/>
        </w:rPr>
        <w:t>avis que la Cour d</w:t>
      </w:r>
      <w:r>
        <w:rPr>
          <w:rFonts w:cs="Times New Roman"/>
          <w:noProof/>
          <w:szCs w:val="24"/>
          <w:lang w:val="fr-CA"/>
        </w:rPr>
        <w:t>’</w:t>
      </w:r>
      <w:r w:rsidRPr="00822328">
        <w:rPr>
          <w:rFonts w:cs="Times New Roman"/>
          <w:noProof/>
          <w:szCs w:val="24"/>
          <w:lang w:val="fr-CA"/>
        </w:rPr>
        <w:t>appel a raison de conclure que le ministère public n</w:t>
      </w:r>
      <w:r>
        <w:rPr>
          <w:rFonts w:cs="Times New Roman"/>
          <w:noProof/>
          <w:szCs w:val="24"/>
          <w:lang w:val="fr-CA"/>
        </w:rPr>
        <w:t>’</w:t>
      </w:r>
      <w:r w:rsidRPr="00822328">
        <w:rPr>
          <w:rFonts w:cs="Times New Roman"/>
          <w:noProof/>
          <w:szCs w:val="24"/>
          <w:lang w:val="fr-CA"/>
        </w:rPr>
        <w:t>avait pas à prouver le caractère volontaire de la déclaration de l</w:t>
      </w:r>
      <w:r>
        <w:rPr>
          <w:rFonts w:cs="Times New Roman"/>
          <w:noProof/>
          <w:szCs w:val="24"/>
          <w:lang w:val="fr-CA"/>
        </w:rPr>
        <w:t>’</w:t>
      </w:r>
      <w:r w:rsidRPr="00822328">
        <w:rPr>
          <w:rFonts w:cs="Times New Roman"/>
          <w:noProof/>
          <w:szCs w:val="24"/>
          <w:lang w:val="fr-CA"/>
        </w:rPr>
        <w:t>appelant selon laquelle il avait des mégots chez lui pour que cette déclaration puisse être admise en preuve lors du voir</w:t>
      </w:r>
      <w:r w:rsidRPr="00822328">
        <w:rPr>
          <w:rFonts w:cs="Times New Roman"/>
          <w:noProof/>
          <w:szCs w:val="24"/>
          <w:lang w:val="fr-CA"/>
        </w:rPr>
        <w:noBreakHyphen/>
        <w:t xml:space="preserve">dire </w:t>
      </w:r>
      <w:r w:rsidRPr="00822328">
        <w:rPr>
          <w:rFonts w:cs="Times New Roman"/>
          <w:szCs w:val="24"/>
          <w:lang w:val="fr-CA"/>
        </w:rPr>
        <w:t>constitutionnel</w:t>
      </w:r>
      <w:r w:rsidRPr="00822328">
        <w:rPr>
          <w:rFonts w:cs="Times New Roman"/>
          <w:noProof/>
          <w:szCs w:val="24"/>
          <w:lang w:val="fr-CA"/>
        </w:rPr>
        <w:t xml:space="preserve">. </w:t>
      </w:r>
    </w:p>
    <w:p w:rsidR="00A37A4C" w:rsidRPr="00822328" w:rsidRDefault="00A37A4C" w:rsidP="006534E4">
      <w:pPr>
        <w:pStyle w:val="Title2LevelTitre2Niveau"/>
        <w:widowControl w:val="0"/>
        <w:tabs>
          <w:tab w:val="num" w:pos="432"/>
        </w:tabs>
        <w:ind w:left="432" w:hanging="432"/>
        <w:outlineLvl w:val="0"/>
        <w:rPr>
          <w:rFonts w:cs="Times New Roman"/>
          <w:noProof/>
          <w:szCs w:val="24"/>
          <w:lang w:val="fr-CA"/>
        </w:rPr>
      </w:pPr>
      <w:r w:rsidRPr="00822328">
        <w:rPr>
          <w:rFonts w:cs="Times New Roman"/>
          <w:noProof/>
          <w:szCs w:val="24"/>
          <w:lang w:val="fr-CA"/>
        </w:rPr>
        <w:t>L</w:t>
      </w:r>
      <w:r>
        <w:rPr>
          <w:rFonts w:cs="Times New Roman"/>
          <w:noProof/>
          <w:szCs w:val="24"/>
          <w:lang w:val="fr-CA"/>
        </w:rPr>
        <w:t>’</w:t>
      </w:r>
      <w:r w:rsidRPr="00822328">
        <w:rPr>
          <w:rFonts w:cs="Times New Roman"/>
          <w:noProof/>
          <w:szCs w:val="24"/>
          <w:lang w:val="fr-CA"/>
        </w:rPr>
        <w:t>urgence de la situation qui aurait rendu difficilement réalisable l</w:t>
      </w:r>
      <w:r>
        <w:rPr>
          <w:rFonts w:cs="Times New Roman"/>
          <w:noProof/>
          <w:szCs w:val="24"/>
          <w:lang w:val="fr-CA"/>
        </w:rPr>
        <w:t>’</w:t>
      </w:r>
      <w:r w:rsidRPr="00822328">
        <w:rPr>
          <w:rFonts w:cs="Times New Roman"/>
          <w:noProof/>
          <w:szCs w:val="24"/>
          <w:lang w:val="fr-CA"/>
        </w:rPr>
        <w:t>obtention d</w:t>
      </w:r>
      <w:r>
        <w:rPr>
          <w:rFonts w:cs="Times New Roman"/>
          <w:noProof/>
          <w:szCs w:val="24"/>
          <w:lang w:val="fr-CA"/>
        </w:rPr>
        <w:t>’</w:t>
      </w:r>
      <w:r w:rsidRPr="00822328">
        <w:rPr>
          <w:rFonts w:cs="Times New Roman"/>
          <w:noProof/>
          <w:szCs w:val="24"/>
          <w:lang w:val="fr-CA"/>
        </w:rPr>
        <w:t>un mandat justifiait</w:t>
      </w:r>
      <w:r w:rsidRPr="00822328">
        <w:rPr>
          <w:rFonts w:cs="Times New Roman"/>
          <w:noProof/>
          <w:szCs w:val="24"/>
          <w:lang w:val="fr-CA"/>
        </w:rPr>
        <w:noBreakHyphen/>
        <w:t>elle l</w:t>
      </w:r>
      <w:r>
        <w:rPr>
          <w:rFonts w:cs="Times New Roman"/>
          <w:noProof/>
          <w:szCs w:val="24"/>
          <w:lang w:val="fr-CA"/>
        </w:rPr>
        <w:t>’</w:t>
      </w:r>
      <w:r w:rsidRPr="00822328">
        <w:rPr>
          <w:rFonts w:cs="Times New Roman"/>
          <w:noProof/>
          <w:szCs w:val="24"/>
          <w:lang w:val="fr-CA"/>
        </w:rPr>
        <w:t>entrée sans mandat dans la résidence de l</w:t>
      </w:r>
      <w:r>
        <w:rPr>
          <w:rFonts w:cs="Times New Roman"/>
          <w:noProof/>
          <w:szCs w:val="24"/>
          <w:lang w:val="fr-CA"/>
        </w:rPr>
        <w:t>’</w:t>
      </w:r>
      <w:r w:rsidRPr="00822328">
        <w:rPr>
          <w:rFonts w:cs="Times New Roman"/>
          <w:noProof/>
          <w:szCs w:val="24"/>
          <w:lang w:val="fr-CA"/>
        </w:rPr>
        <w:t>appelant?</w:t>
      </w:r>
    </w:p>
    <w:p w:rsidR="00A37A4C" w:rsidRPr="00822328" w:rsidRDefault="00A37A4C" w:rsidP="006534E4">
      <w:pPr>
        <w:pStyle w:val="Title3LevelTitre3Niveau"/>
        <w:widowControl w:val="0"/>
        <w:rPr>
          <w:rFonts w:cs="Times New Roman"/>
          <w:noProof/>
          <w:lang w:val="fr-CA"/>
        </w:rPr>
      </w:pPr>
      <w:r w:rsidRPr="00822328">
        <w:rPr>
          <w:rFonts w:cs="Times New Roman"/>
          <w:noProof/>
          <w:lang w:val="fr-CA"/>
        </w:rPr>
        <w:t>Ce qu</w:t>
      </w:r>
      <w:r>
        <w:rPr>
          <w:rFonts w:cs="Times New Roman"/>
          <w:noProof/>
          <w:lang w:val="fr-CA"/>
        </w:rPr>
        <w:t>’</w:t>
      </w:r>
      <w:r w:rsidRPr="00822328">
        <w:rPr>
          <w:rFonts w:cs="Times New Roman"/>
          <w:noProof/>
          <w:lang w:val="fr-CA"/>
        </w:rPr>
        <w:t>il faut entendre par « urgence de la situation » et « difficilement réalisable »</w:t>
      </w:r>
    </w:p>
    <w:p w:rsidR="00A37A4C" w:rsidRPr="00822328" w:rsidRDefault="00A37A4C" w:rsidP="006534E4">
      <w:pPr>
        <w:pStyle w:val="ParaNoNdepar-AltN"/>
        <w:widowControl w:val="0"/>
        <w:tabs>
          <w:tab w:val="clear" w:pos="1152"/>
          <w:tab w:val="left" w:pos="1166"/>
        </w:tabs>
        <w:rPr>
          <w:rFonts w:cs="Times New Roman"/>
          <w:noProof/>
          <w:szCs w:val="24"/>
          <w:lang w:val="fr-CA"/>
        </w:rPr>
      </w:pPr>
      <w:r w:rsidRPr="00822328">
        <w:rPr>
          <w:rFonts w:cs="Times New Roman"/>
          <w:noProof/>
          <w:szCs w:val="24"/>
          <w:lang w:val="fr-CA"/>
        </w:rPr>
        <w:t>Nul ne conteste devant nous que l</w:t>
      </w:r>
      <w:r>
        <w:rPr>
          <w:rFonts w:cs="Times New Roman"/>
          <w:noProof/>
          <w:szCs w:val="24"/>
          <w:lang w:val="fr-CA"/>
        </w:rPr>
        <w:t>’</w:t>
      </w:r>
      <w:r w:rsidRPr="00822328">
        <w:rPr>
          <w:rFonts w:cs="Times New Roman"/>
          <w:noProof/>
          <w:szCs w:val="24"/>
          <w:lang w:val="fr-CA"/>
        </w:rPr>
        <w:t>entrée sans mandat des policiers chez l</w:t>
      </w:r>
      <w:r>
        <w:rPr>
          <w:rFonts w:cs="Times New Roman"/>
          <w:noProof/>
          <w:szCs w:val="24"/>
          <w:lang w:val="fr-CA"/>
        </w:rPr>
        <w:t>’</w:t>
      </w:r>
      <w:r w:rsidRPr="00822328">
        <w:rPr>
          <w:rFonts w:cs="Times New Roman"/>
          <w:noProof/>
          <w:szCs w:val="24"/>
          <w:lang w:val="fr-CA"/>
        </w:rPr>
        <w:t>appelant constituait une perquisition. Il nous faut toutefois décider si elle était justifiée par une « urgence de la situation » qui rendait « difficilement réalisable » l</w:t>
      </w:r>
      <w:r>
        <w:rPr>
          <w:rFonts w:cs="Times New Roman"/>
          <w:noProof/>
          <w:szCs w:val="24"/>
          <w:lang w:val="fr-CA"/>
        </w:rPr>
        <w:t>’</w:t>
      </w:r>
      <w:r w:rsidRPr="00822328">
        <w:rPr>
          <w:rFonts w:cs="Times New Roman"/>
          <w:noProof/>
          <w:szCs w:val="24"/>
          <w:lang w:val="fr-CA"/>
        </w:rPr>
        <w:t>obtention d</w:t>
      </w:r>
      <w:r>
        <w:rPr>
          <w:rFonts w:cs="Times New Roman"/>
          <w:noProof/>
          <w:szCs w:val="24"/>
          <w:lang w:val="fr-CA"/>
        </w:rPr>
        <w:t>’</w:t>
      </w:r>
      <w:r w:rsidRPr="00822328">
        <w:rPr>
          <w:rFonts w:cs="Times New Roman"/>
          <w:noProof/>
          <w:szCs w:val="24"/>
          <w:lang w:val="fr-CA"/>
        </w:rPr>
        <w:t xml:space="preserve">un mandat au sens du par. 11(7) de la </w:t>
      </w:r>
      <w:r w:rsidRPr="00822328">
        <w:rPr>
          <w:rFonts w:cs="Times New Roman"/>
          <w:i/>
          <w:noProof/>
          <w:szCs w:val="24"/>
          <w:lang w:val="fr-CA"/>
        </w:rPr>
        <w:t>LRCDAS</w:t>
      </w:r>
      <w:r w:rsidRPr="00822328">
        <w:rPr>
          <w:rFonts w:cs="Times New Roman"/>
          <w:noProof/>
          <w:szCs w:val="24"/>
          <w:lang w:val="fr-CA"/>
        </w:rPr>
        <w:t>.</w:t>
      </w:r>
    </w:p>
    <w:p w:rsidR="00A37A4C" w:rsidRDefault="00A37A4C" w:rsidP="006534E4">
      <w:pPr>
        <w:pStyle w:val="ParaNoNdepar-AltN"/>
        <w:widowControl w:val="0"/>
        <w:tabs>
          <w:tab w:val="clear" w:pos="1152"/>
          <w:tab w:val="left" w:pos="1166"/>
        </w:tabs>
        <w:rPr>
          <w:rFonts w:cs="Times New Roman"/>
          <w:noProof/>
          <w:szCs w:val="24"/>
          <w:lang w:val="fr-CA"/>
        </w:rPr>
      </w:pPr>
      <w:r w:rsidRPr="00822328">
        <w:rPr>
          <w:rFonts w:cs="Times New Roman"/>
          <w:noProof/>
          <w:szCs w:val="24"/>
          <w:lang w:val="fr-CA"/>
        </w:rPr>
        <w:t xml:space="preserve">Le texte du par. 11(7) de la </w:t>
      </w:r>
      <w:r w:rsidRPr="00822328">
        <w:rPr>
          <w:rFonts w:cs="Times New Roman"/>
          <w:i/>
          <w:noProof/>
          <w:szCs w:val="24"/>
          <w:lang w:val="fr-CA"/>
        </w:rPr>
        <w:t>LRCDAS</w:t>
      </w:r>
      <w:r w:rsidRPr="00822328">
        <w:rPr>
          <w:rFonts w:cs="Times New Roman"/>
          <w:noProof/>
          <w:szCs w:val="24"/>
          <w:lang w:val="fr-CA"/>
        </w:rPr>
        <w:t xml:space="preserve"> est le suivant :</w:t>
      </w:r>
    </w:p>
    <w:p w:rsidR="006A5E0B" w:rsidRDefault="006A5E0B" w:rsidP="006534E4">
      <w:pPr>
        <w:pStyle w:val="ParaNoNdepar-AltN"/>
        <w:widowControl w:val="0"/>
        <w:numPr>
          <w:ilvl w:val="0"/>
          <w:numId w:val="0"/>
        </w:numPr>
        <w:spacing w:before="0" w:after="0" w:line="240" w:lineRule="auto"/>
        <w:ind w:left="1166"/>
        <w:rPr>
          <w:lang w:val="fr-FR"/>
        </w:rPr>
      </w:pPr>
      <w:r w:rsidRPr="00822328">
        <w:rPr>
          <w:rStyle w:val="lawlabel2"/>
          <w:lang w:val="fr-FR"/>
        </w:rPr>
        <w:t>(7)</w:t>
      </w:r>
      <w:r w:rsidRPr="00822328">
        <w:rPr>
          <w:lang w:val="fr-FR"/>
        </w:rPr>
        <w:t> L</w:t>
      </w:r>
      <w:r>
        <w:rPr>
          <w:lang w:val="fr-FR"/>
        </w:rPr>
        <w:t>’</w:t>
      </w:r>
      <w:r w:rsidRPr="00822328">
        <w:rPr>
          <w:lang w:val="fr-FR"/>
        </w:rPr>
        <w:t>agent de la paix peut exercer sans mandat les pouvoirs visés aux paragraphes (1), (5) ou (6) lorsque l</w:t>
      </w:r>
      <w:r>
        <w:rPr>
          <w:lang w:val="fr-FR"/>
        </w:rPr>
        <w:t>’</w:t>
      </w:r>
      <w:r w:rsidRPr="00822328">
        <w:rPr>
          <w:lang w:val="fr-FR"/>
        </w:rPr>
        <w:t>urgence de la situation rend son obtention difficilement réalisable, sous réserve que les conditions de délivrance en soient réunies.</w:t>
      </w:r>
    </w:p>
    <w:p w:rsidR="003F78A6" w:rsidRDefault="003F78A6" w:rsidP="006534E4">
      <w:pPr>
        <w:pStyle w:val="ParaNoNdepar-AltN"/>
        <w:widowControl w:val="0"/>
        <w:numPr>
          <w:ilvl w:val="0"/>
          <w:numId w:val="0"/>
        </w:numPr>
        <w:spacing w:before="0" w:after="0" w:line="240" w:lineRule="auto"/>
        <w:ind w:left="1166"/>
        <w:rPr>
          <w:lang w:val="fr-FR"/>
        </w:rPr>
      </w:pPr>
    </w:p>
    <w:p w:rsidR="006A5E0B" w:rsidRDefault="006A5E0B" w:rsidP="006534E4">
      <w:pPr>
        <w:pStyle w:val="ParaNoNdepar-AltN"/>
        <w:widowControl w:val="0"/>
        <w:numPr>
          <w:ilvl w:val="0"/>
          <w:numId w:val="0"/>
        </w:numPr>
        <w:spacing w:before="0" w:after="720" w:line="240" w:lineRule="auto"/>
        <w:ind w:left="1166"/>
      </w:pPr>
      <w:r w:rsidRPr="00822328">
        <w:rPr>
          <w:b/>
          <w:bCs/>
        </w:rPr>
        <w:t>(7)</w:t>
      </w:r>
      <w:r>
        <w:t> </w:t>
      </w:r>
      <w:r w:rsidRPr="00822328">
        <w:t xml:space="preserve">A peace officer </w:t>
      </w:r>
      <w:r w:rsidRPr="003F78A6">
        <w:rPr>
          <w:lang w:val="en-US"/>
        </w:rPr>
        <w:t>may</w:t>
      </w:r>
      <w:r w:rsidRPr="00822328">
        <w:t xml:space="preserve"> exercise any of the powers described in subsection (1), (5) or (6) without a warrant if the conditions for obtaining a warrant exist but by reason of exigent circumstances it would be impracticable to obtain one.</w:t>
      </w:r>
    </w:p>
    <w:p w:rsidR="00A37A4C" w:rsidRPr="00822328" w:rsidRDefault="00B94C88" w:rsidP="006534E4">
      <w:pPr>
        <w:pStyle w:val="ParaNoNdepar-AltN"/>
        <w:widowControl w:val="0"/>
        <w:rPr>
          <w:rFonts w:cs="Times New Roman"/>
          <w:noProof/>
          <w:lang w:val="fr-CA"/>
        </w:rPr>
      </w:pPr>
      <w:r>
        <w:rPr>
          <w:rFonts w:cs="Times New Roman"/>
          <w:noProof/>
          <w:lang w:val="fr-CA"/>
        </w:rPr>
        <w:t xml:space="preserve">Le paragraphe </w:t>
      </w:r>
      <w:r w:rsidR="00A37A4C" w:rsidRPr="00822328">
        <w:rPr>
          <w:rFonts w:cs="Times New Roman"/>
          <w:noProof/>
          <w:lang w:val="fr-CA"/>
        </w:rPr>
        <w:t xml:space="preserve">11(1) de la </w:t>
      </w:r>
      <w:r w:rsidR="00A37A4C" w:rsidRPr="00822328">
        <w:rPr>
          <w:rFonts w:cs="Times New Roman"/>
          <w:i/>
          <w:noProof/>
          <w:lang w:val="fr-CA"/>
        </w:rPr>
        <w:t>LRCDAS</w:t>
      </w:r>
      <w:r w:rsidR="00A37A4C" w:rsidRPr="00822328">
        <w:rPr>
          <w:rFonts w:cs="Times New Roman"/>
          <w:noProof/>
          <w:lang w:val="fr-CA"/>
        </w:rPr>
        <w:t xml:space="preserve"> autorise l</w:t>
      </w:r>
      <w:r w:rsidR="00A37A4C">
        <w:rPr>
          <w:rFonts w:cs="Times New Roman"/>
          <w:noProof/>
          <w:lang w:val="fr-CA"/>
        </w:rPr>
        <w:t>’</w:t>
      </w:r>
      <w:r w:rsidR="00A37A4C" w:rsidRPr="00822328">
        <w:rPr>
          <w:rFonts w:cs="Times New Roman"/>
          <w:noProof/>
          <w:lang w:val="fr-CA"/>
        </w:rPr>
        <w:t>agent de la paix à exécuter une perquisition avec mandat en un lieu en vue notamment d</w:t>
      </w:r>
      <w:r w:rsidR="00A37A4C">
        <w:rPr>
          <w:rFonts w:cs="Times New Roman"/>
          <w:noProof/>
          <w:lang w:val="fr-CA"/>
        </w:rPr>
        <w:t>’</w:t>
      </w:r>
      <w:r w:rsidR="00A37A4C" w:rsidRPr="00822328">
        <w:rPr>
          <w:rFonts w:cs="Times New Roman"/>
          <w:noProof/>
          <w:lang w:val="fr-CA"/>
        </w:rPr>
        <w:t xml:space="preserve">y saisir une substance désignée. Dans la présente affaire, le par. 11(7) a donc permis aux </w:t>
      </w:r>
      <w:r w:rsidR="00A37A4C" w:rsidRPr="00822328">
        <w:rPr>
          <w:rFonts w:cs="Times New Roman"/>
          <w:noProof/>
          <w:szCs w:val="24"/>
          <w:lang w:val="fr-CA"/>
        </w:rPr>
        <w:t>agents Dykeman et Bell d</w:t>
      </w:r>
      <w:r w:rsidR="00A37A4C">
        <w:rPr>
          <w:rFonts w:cs="Times New Roman"/>
          <w:noProof/>
          <w:szCs w:val="24"/>
          <w:lang w:val="fr-CA"/>
        </w:rPr>
        <w:t>’</w:t>
      </w:r>
      <w:r w:rsidR="00A37A4C" w:rsidRPr="00822328">
        <w:rPr>
          <w:rFonts w:cs="Times New Roman"/>
          <w:noProof/>
          <w:szCs w:val="24"/>
          <w:lang w:val="fr-CA"/>
        </w:rPr>
        <w:t>effectuer une perquisition sans mandat chez l</w:t>
      </w:r>
      <w:r w:rsidR="00A37A4C">
        <w:rPr>
          <w:rFonts w:cs="Times New Roman"/>
          <w:noProof/>
          <w:szCs w:val="24"/>
          <w:lang w:val="fr-CA"/>
        </w:rPr>
        <w:t>’</w:t>
      </w:r>
      <w:r w:rsidR="00A37A4C" w:rsidRPr="00822328">
        <w:rPr>
          <w:rFonts w:cs="Times New Roman"/>
          <w:noProof/>
          <w:szCs w:val="24"/>
          <w:lang w:val="fr-CA"/>
        </w:rPr>
        <w:t>appelant pour y rechercher une substance désignée dans la mesure où les conditions de délivrance du mandat étaient réunies (ce qui n</w:t>
      </w:r>
      <w:r w:rsidR="00A37A4C">
        <w:rPr>
          <w:rFonts w:cs="Times New Roman"/>
          <w:noProof/>
          <w:szCs w:val="24"/>
          <w:lang w:val="fr-CA"/>
        </w:rPr>
        <w:t>’</w:t>
      </w:r>
      <w:r w:rsidR="00A37A4C" w:rsidRPr="00822328">
        <w:rPr>
          <w:rFonts w:cs="Times New Roman"/>
          <w:noProof/>
          <w:szCs w:val="24"/>
          <w:lang w:val="fr-CA"/>
        </w:rPr>
        <w:t>est pas contesté en l</w:t>
      </w:r>
      <w:r w:rsidR="00A37A4C">
        <w:rPr>
          <w:rFonts w:cs="Times New Roman"/>
          <w:noProof/>
          <w:szCs w:val="24"/>
          <w:lang w:val="fr-CA"/>
        </w:rPr>
        <w:t>’</w:t>
      </w:r>
      <w:r w:rsidR="00A37A4C" w:rsidRPr="00822328">
        <w:rPr>
          <w:rFonts w:cs="Times New Roman"/>
          <w:noProof/>
          <w:szCs w:val="24"/>
          <w:lang w:val="fr-CA"/>
        </w:rPr>
        <w:t>espèce) et où l</w:t>
      </w:r>
      <w:r w:rsidR="00A37A4C">
        <w:rPr>
          <w:rFonts w:cs="Times New Roman"/>
          <w:noProof/>
          <w:szCs w:val="24"/>
          <w:lang w:val="fr-CA"/>
        </w:rPr>
        <w:t>’</w:t>
      </w:r>
      <w:r w:rsidR="00A37A4C" w:rsidRPr="00822328">
        <w:rPr>
          <w:rFonts w:cs="Times New Roman"/>
          <w:noProof/>
          <w:szCs w:val="24"/>
          <w:lang w:val="fr-CA"/>
        </w:rPr>
        <w:t>urgence de la situation rendait difficilement réalisable l</w:t>
      </w:r>
      <w:r w:rsidR="00A37A4C">
        <w:rPr>
          <w:rFonts w:cs="Times New Roman"/>
          <w:noProof/>
          <w:szCs w:val="24"/>
          <w:lang w:val="fr-CA"/>
        </w:rPr>
        <w:t>’</w:t>
      </w:r>
      <w:r w:rsidR="00A37A4C" w:rsidRPr="00822328">
        <w:rPr>
          <w:rFonts w:cs="Times New Roman"/>
          <w:noProof/>
          <w:szCs w:val="24"/>
          <w:lang w:val="fr-CA"/>
        </w:rPr>
        <w:t>obtention d</w:t>
      </w:r>
      <w:r w:rsidR="00A37A4C">
        <w:rPr>
          <w:rFonts w:cs="Times New Roman"/>
          <w:noProof/>
          <w:szCs w:val="24"/>
          <w:lang w:val="fr-CA"/>
        </w:rPr>
        <w:t>’</w:t>
      </w:r>
      <w:r w:rsidR="00A37A4C" w:rsidRPr="00822328">
        <w:rPr>
          <w:rFonts w:cs="Times New Roman"/>
          <w:noProof/>
          <w:szCs w:val="24"/>
          <w:lang w:val="fr-CA"/>
        </w:rPr>
        <w:t xml:space="preserve">un mandat. </w:t>
      </w:r>
    </w:p>
    <w:p w:rsidR="00A37A4C" w:rsidRPr="00822328" w:rsidRDefault="00A37A4C" w:rsidP="006534E4">
      <w:pPr>
        <w:pStyle w:val="ParaNoNdepar-AltN"/>
        <w:widowControl w:val="0"/>
        <w:rPr>
          <w:rFonts w:cs="Times New Roman"/>
          <w:noProof/>
          <w:lang w:val="fr-CA"/>
        </w:rPr>
      </w:pPr>
      <w:r w:rsidRPr="00822328">
        <w:rPr>
          <w:rFonts w:cs="Times New Roman"/>
          <w:noProof/>
          <w:szCs w:val="24"/>
          <w:lang w:val="fr-CA"/>
        </w:rPr>
        <w:t>En ce qui concerne la signification de l</w:t>
      </w:r>
      <w:r>
        <w:rPr>
          <w:rFonts w:cs="Times New Roman"/>
          <w:noProof/>
          <w:szCs w:val="24"/>
          <w:lang w:val="fr-CA"/>
        </w:rPr>
        <w:t>’</w:t>
      </w:r>
      <w:r w:rsidRPr="00822328">
        <w:rPr>
          <w:rFonts w:cs="Times New Roman"/>
          <w:noProof/>
          <w:szCs w:val="24"/>
          <w:lang w:val="fr-CA"/>
        </w:rPr>
        <w:t>expression « urgence de la situation », l</w:t>
      </w:r>
      <w:r>
        <w:rPr>
          <w:rFonts w:cs="Times New Roman"/>
          <w:noProof/>
          <w:szCs w:val="24"/>
          <w:lang w:val="fr-CA"/>
        </w:rPr>
        <w:t>’</w:t>
      </w:r>
      <w:r w:rsidRPr="00822328">
        <w:rPr>
          <w:rFonts w:cs="Times New Roman"/>
          <w:noProof/>
          <w:szCs w:val="24"/>
          <w:lang w:val="fr-CA"/>
        </w:rPr>
        <w:t xml:space="preserve">appelant invoque le par. 529.3(1) du </w:t>
      </w:r>
      <w:r w:rsidRPr="00822328">
        <w:rPr>
          <w:rFonts w:cs="Times New Roman"/>
          <w:i/>
          <w:noProof/>
          <w:szCs w:val="24"/>
          <w:lang w:val="fr-CA"/>
        </w:rPr>
        <w:t>Code criminel</w:t>
      </w:r>
      <w:r w:rsidRPr="00822328">
        <w:rPr>
          <w:rFonts w:cs="Times New Roman"/>
          <w:noProof/>
          <w:szCs w:val="24"/>
          <w:lang w:val="fr-CA"/>
        </w:rPr>
        <w:t>, qui autorise un agent de la paix à pénétrer sans mandat dans une maison d</w:t>
      </w:r>
      <w:r>
        <w:rPr>
          <w:rFonts w:cs="Times New Roman"/>
          <w:noProof/>
          <w:szCs w:val="24"/>
          <w:lang w:val="fr-CA"/>
        </w:rPr>
        <w:t>’</w:t>
      </w:r>
      <w:r w:rsidRPr="00822328">
        <w:rPr>
          <w:rFonts w:cs="Times New Roman"/>
          <w:noProof/>
          <w:szCs w:val="24"/>
          <w:lang w:val="fr-CA"/>
        </w:rPr>
        <w:t>habitation pour y arrêter une personne s</w:t>
      </w:r>
      <w:r>
        <w:rPr>
          <w:rFonts w:cs="Times New Roman"/>
          <w:noProof/>
          <w:szCs w:val="24"/>
          <w:lang w:val="fr-CA"/>
        </w:rPr>
        <w:t>’</w:t>
      </w:r>
      <w:r w:rsidRPr="00822328">
        <w:rPr>
          <w:rFonts w:cs="Times New Roman"/>
          <w:noProof/>
          <w:szCs w:val="24"/>
          <w:lang w:val="fr-CA"/>
        </w:rPr>
        <w:t>il a des motifs raisonnables de croire que la personne s</w:t>
      </w:r>
      <w:r>
        <w:rPr>
          <w:rFonts w:cs="Times New Roman"/>
          <w:noProof/>
          <w:szCs w:val="24"/>
          <w:lang w:val="fr-CA"/>
        </w:rPr>
        <w:t>’</w:t>
      </w:r>
      <w:r w:rsidRPr="00822328">
        <w:rPr>
          <w:rFonts w:cs="Times New Roman"/>
          <w:noProof/>
          <w:szCs w:val="24"/>
          <w:lang w:val="fr-CA"/>
        </w:rPr>
        <w:t xml:space="preserve">y trouve, si « les conditions </w:t>
      </w:r>
      <w:r w:rsidR="003F78A6">
        <w:rPr>
          <w:rFonts w:cs="Times New Roman"/>
          <w:noProof/>
          <w:szCs w:val="24"/>
          <w:lang w:val="fr-CA"/>
        </w:rPr>
        <w:t>de délivrance du mandat [. . .</w:t>
      </w:r>
      <w:r w:rsidRPr="00822328">
        <w:rPr>
          <w:rFonts w:cs="Times New Roman"/>
          <w:noProof/>
          <w:szCs w:val="24"/>
          <w:lang w:val="fr-CA"/>
        </w:rPr>
        <w:t>] sont réunies et si l</w:t>
      </w:r>
      <w:r>
        <w:rPr>
          <w:rFonts w:cs="Times New Roman"/>
          <w:noProof/>
          <w:szCs w:val="24"/>
          <w:lang w:val="fr-CA"/>
        </w:rPr>
        <w:t>’</w:t>
      </w:r>
      <w:r w:rsidRPr="00822328">
        <w:rPr>
          <w:rFonts w:cs="Times New Roman"/>
          <w:noProof/>
          <w:szCs w:val="24"/>
          <w:lang w:val="fr-CA"/>
        </w:rPr>
        <w:t>urgence de la situation rend difficilement réalisable son obtention ». Suivant le par. 529.3(2), il y a notamment « urgence » lorsque l</w:t>
      </w:r>
      <w:r>
        <w:rPr>
          <w:rFonts w:cs="Times New Roman"/>
          <w:noProof/>
          <w:szCs w:val="24"/>
          <w:lang w:val="fr-CA"/>
        </w:rPr>
        <w:t>’</w:t>
      </w:r>
      <w:r w:rsidRPr="00822328">
        <w:rPr>
          <w:rFonts w:cs="Times New Roman"/>
          <w:noProof/>
          <w:szCs w:val="24"/>
          <w:lang w:val="fr-CA"/>
        </w:rPr>
        <w:t>agent de la paix, selon le cas :</w:t>
      </w:r>
    </w:p>
    <w:p w:rsidR="00A37A4C" w:rsidRPr="00822328" w:rsidRDefault="00A37A4C" w:rsidP="006534E4">
      <w:pPr>
        <w:pStyle w:val="Citation-AltC"/>
        <w:widowControl w:val="0"/>
        <w:tabs>
          <w:tab w:val="left" w:pos="1530"/>
        </w:tabs>
        <w:spacing w:after="240"/>
        <w:ind w:hanging="1166"/>
        <w:contextualSpacing w:val="0"/>
        <w:rPr>
          <w:noProof/>
          <w:lang w:val="fr-CA"/>
        </w:rPr>
      </w:pPr>
      <w:r w:rsidRPr="00822328">
        <w:rPr>
          <w:noProof/>
          <w:lang w:val="fr-CA"/>
        </w:rPr>
        <w:tab/>
      </w:r>
      <w:r w:rsidRPr="00822328">
        <w:rPr>
          <w:b/>
          <w:noProof/>
          <w:lang w:val="fr-CA"/>
        </w:rPr>
        <w:t>a)</w:t>
      </w:r>
      <w:r w:rsidRPr="00822328">
        <w:rPr>
          <w:noProof/>
          <w:lang w:val="fr-CA"/>
        </w:rPr>
        <w:tab/>
        <w:t>a des motifs raisonnables de soupçonner qu</w:t>
      </w:r>
      <w:r>
        <w:rPr>
          <w:noProof/>
          <w:lang w:val="fr-CA"/>
        </w:rPr>
        <w:t>’</w:t>
      </w:r>
      <w:r w:rsidRPr="00822328">
        <w:rPr>
          <w:noProof/>
          <w:lang w:val="fr-CA"/>
        </w:rPr>
        <w:t>il est nécessaire de pénétrer dans la maison d</w:t>
      </w:r>
      <w:r>
        <w:rPr>
          <w:noProof/>
          <w:lang w:val="fr-CA"/>
        </w:rPr>
        <w:t>’</w:t>
      </w:r>
      <w:r w:rsidRPr="00822328">
        <w:rPr>
          <w:noProof/>
          <w:lang w:val="fr-CA"/>
        </w:rPr>
        <w:t xml:space="preserve">habitation pour éviter à une personne des lésions corporelles imminentes ou la mort; </w:t>
      </w:r>
    </w:p>
    <w:p w:rsidR="00A37A4C" w:rsidRPr="00822328" w:rsidRDefault="00A37A4C" w:rsidP="006534E4">
      <w:pPr>
        <w:pStyle w:val="Citation-AltC"/>
        <w:widowControl w:val="0"/>
        <w:tabs>
          <w:tab w:val="left" w:pos="1530"/>
        </w:tabs>
        <w:ind w:left="1170" w:hanging="1170"/>
        <w:rPr>
          <w:noProof/>
          <w:lang w:val="fr-CA"/>
        </w:rPr>
      </w:pPr>
      <w:r w:rsidRPr="00822328">
        <w:rPr>
          <w:noProof/>
          <w:lang w:val="fr-CA"/>
        </w:rPr>
        <w:tab/>
      </w:r>
      <w:r w:rsidRPr="00822328">
        <w:rPr>
          <w:b/>
          <w:noProof/>
          <w:lang w:val="fr-CA"/>
        </w:rPr>
        <w:t>b)</w:t>
      </w:r>
      <w:r w:rsidRPr="00822328">
        <w:rPr>
          <w:noProof/>
          <w:lang w:val="fr-CA"/>
        </w:rPr>
        <w:tab/>
        <w:t>a des motifs raisonnables de croire que des éléments de preuve relatifs à la perpétration d</w:t>
      </w:r>
      <w:r>
        <w:rPr>
          <w:noProof/>
          <w:lang w:val="fr-CA"/>
        </w:rPr>
        <w:t>’</w:t>
      </w:r>
      <w:r w:rsidRPr="00822328">
        <w:rPr>
          <w:noProof/>
          <w:lang w:val="fr-CA"/>
        </w:rPr>
        <w:t>un acte criminel se trouvent dans la maison d</w:t>
      </w:r>
      <w:r>
        <w:rPr>
          <w:noProof/>
          <w:lang w:val="fr-CA"/>
        </w:rPr>
        <w:t>’</w:t>
      </w:r>
      <w:r w:rsidRPr="00822328">
        <w:rPr>
          <w:noProof/>
          <w:lang w:val="fr-CA"/>
        </w:rPr>
        <w:t>habitation et qu</w:t>
      </w:r>
      <w:r>
        <w:rPr>
          <w:noProof/>
          <w:lang w:val="fr-CA"/>
        </w:rPr>
        <w:t>’</w:t>
      </w:r>
      <w:r w:rsidRPr="00822328">
        <w:rPr>
          <w:noProof/>
          <w:lang w:val="fr-CA"/>
        </w:rPr>
        <w:t>il est nécessaire d</w:t>
      </w:r>
      <w:r>
        <w:rPr>
          <w:noProof/>
          <w:lang w:val="fr-CA"/>
        </w:rPr>
        <w:t>’</w:t>
      </w:r>
      <w:r w:rsidRPr="00822328">
        <w:rPr>
          <w:noProof/>
          <w:lang w:val="fr-CA"/>
        </w:rPr>
        <w:t>y pénétrer pour éviter leur perte ou leur destruction imminentes.</w:t>
      </w:r>
    </w:p>
    <w:p w:rsidR="00A37A4C" w:rsidRPr="00822328" w:rsidRDefault="00A37A4C" w:rsidP="006534E4">
      <w:pPr>
        <w:pStyle w:val="ParaNoNdepar-AltN"/>
        <w:widowControl w:val="0"/>
        <w:rPr>
          <w:rFonts w:cs="Times New Roman"/>
          <w:noProof/>
          <w:lang w:val="fr-CA"/>
        </w:rPr>
      </w:pPr>
      <w:r w:rsidRPr="00822328">
        <w:rPr>
          <w:rFonts w:cs="Times New Roman"/>
          <w:noProof/>
          <w:lang w:val="fr-CA"/>
        </w:rPr>
        <w:t>L</w:t>
      </w:r>
      <w:r>
        <w:rPr>
          <w:rFonts w:cs="Times New Roman"/>
          <w:noProof/>
          <w:lang w:val="fr-CA"/>
        </w:rPr>
        <w:t>’</w:t>
      </w:r>
      <w:r w:rsidRPr="00822328">
        <w:rPr>
          <w:rFonts w:cs="Times New Roman"/>
          <w:noProof/>
          <w:lang w:val="fr-CA"/>
        </w:rPr>
        <w:t>appelant soutient essentiellement qu</w:t>
      </w:r>
      <w:r>
        <w:rPr>
          <w:rFonts w:cs="Times New Roman"/>
          <w:noProof/>
          <w:lang w:val="fr-CA"/>
        </w:rPr>
        <w:t>’</w:t>
      </w:r>
      <w:r w:rsidRPr="00822328">
        <w:rPr>
          <w:rFonts w:cs="Times New Roman"/>
          <w:noProof/>
          <w:lang w:val="fr-CA"/>
        </w:rPr>
        <w:t xml:space="preserve">il faut recourir au par. 529.3(2) du </w:t>
      </w:r>
      <w:r w:rsidRPr="00822328">
        <w:rPr>
          <w:rFonts w:cs="Times New Roman"/>
          <w:i/>
          <w:noProof/>
          <w:lang w:val="fr-CA"/>
        </w:rPr>
        <w:t xml:space="preserve">Code criminel </w:t>
      </w:r>
      <w:r w:rsidRPr="00822328">
        <w:rPr>
          <w:rFonts w:cs="Times New Roman"/>
          <w:noProof/>
          <w:lang w:val="fr-CA"/>
        </w:rPr>
        <w:t>pour définir l</w:t>
      </w:r>
      <w:r>
        <w:rPr>
          <w:rFonts w:cs="Times New Roman"/>
          <w:noProof/>
          <w:lang w:val="fr-CA"/>
        </w:rPr>
        <w:t>’</w:t>
      </w:r>
      <w:r w:rsidRPr="00822328">
        <w:rPr>
          <w:rFonts w:cs="Times New Roman"/>
          <w:noProof/>
          <w:lang w:val="fr-CA"/>
        </w:rPr>
        <w:t xml:space="preserve">expression « urgence de la situation » employée au par. 11(7) de la </w:t>
      </w:r>
      <w:r w:rsidRPr="00822328">
        <w:rPr>
          <w:rFonts w:cs="Times New Roman"/>
          <w:i/>
          <w:noProof/>
          <w:lang w:val="fr-CA"/>
        </w:rPr>
        <w:t>LRCDAS</w:t>
      </w:r>
      <w:r w:rsidRPr="00822328">
        <w:rPr>
          <w:rFonts w:cs="Times New Roman"/>
          <w:noProof/>
          <w:lang w:val="fr-CA"/>
        </w:rPr>
        <w:t>. Les policiers seraient dès lors tenus de démontrer qu</w:t>
      </w:r>
      <w:r>
        <w:rPr>
          <w:rFonts w:cs="Times New Roman"/>
          <w:noProof/>
          <w:lang w:val="fr-CA"/>
        </w:rPr>
        <w:t>’</w:t>
      </w:r>
      <w:r w:rsidRPr="00822328">
        <w:rPr>
          <w:rFonts w:cs="Times New Roman"/>
          <w:noProof/>
          <w:lang w:val="fr-CA"/>
        </w:rPr>
        <w:t>il était nécessaire de pénétrer dans les lieux soit pour éviter à une personne des lésions corporelles imminentes ou la mort, soit pour éviter la perte ou la destruction d</w:t>
      </w:r>
      <w:r>
        <w:rPr>
          <w:rFonts w:cs="Times New Roman"/>
          <w:noProof/>
          <w:lang w:val="fr-CA"/>
        </w:rPr>
        <w:t>’</w:t>
      </w:r>
      <w:r w:rsidRPr="00822328">
        <w:rPr>
          <w:rFonts w:cs="Times New Roman"/>
          <w:noProof/>
          <w:lang w:val="fr-CA"/>
        </w:rPr>
        <w:t>éléments de preuve relatifs à la perpétration d</w:t>
      </w:r>
      <w:r>
        <w:rPr>
          <w:rFonts w:cs="Times New Roman"/>
          <w:noProof/>
          <w:lang w:val="fr-CA"/>
        </w:rPr>
        <w:t>’</w:t>
      </w:r>
      <w:r w:rsidRPr="00822328">
        <w:rPr>
          <w:rFonts w:cs="Times New Roman"/>
          <w:noProof/>
          <w:lang w:val="fr-CA"/>
        </w:rPr>
        <w:t>un acte criminel. Or, les faits dont les agents Dykeman et Bell avaient connaissance avant leur entrée chez l</w:t>
      </w:r>
      <w:r>
        <w:rPr>
          <w:rFonts w:cs="Times New Roman"/>
          <w:noProof/>
          <w:lang w:val="fr-CA"/>
        </w:rPr>
        <w:t>’</w:t>
      </w:r>
      <w:r w:rsidRPr="00822328">
        <w:rPr>
          <w:rFonts w:cs="Times New Roman"/>
          <w:noProof/>
          <w:lang w:val="fr-CA"/>
        </w:rPr>
        <w:t>appelant ne leur permettaient pas de satisfaire à l</w:t>
      </w:r>
      <w:r>
        <w:rPr>
          <w:rFonts w:cs="Times New Roman"/>
          <w:noProof/>
          <w:lang w:val="fr-CA"/>
        </w:rPr>
        <w:t>’</w:t>
      </w:r>
      <w:r w:rsidRPr="00822328">
        <w:rPr>
          <w:rFonts w:cs="Times New Roman"/>
          <w:noProof/>
          <w:lang w:val="fr-CA"/>
        </w:rPr>
        <w:t>une ou l</w:t>
      </w:r>
      <w:r>
        <w:rPr>
          <w:rFonts w:cs="Times New Roman"/>
          <w:noProof/>
          <w:lang w:val="fr-CA"/>
        </w:rPr>
        <w:t>’</w:t>
      </w:r>
      <w:r w:rsidRPr="00822328">
        <w:rPr>
          <w:rFonts w:cs="Times New Roman"/>
          <w:noProof/>
          <w:lang w:val="fr-CA"/>
        </w:rPr>
        <w:t>autre de ces conditions.</w:t>
      </w:r>
    </w:p>
    <w:p w:rsidR="00A37A4C" w:rsidRPr="00822328" w:rsidRDefault="00A37A4C" w:rsidP="006534E4">
      <w:pPr>
        <w:pStyle w:val="ParaNoNdepar-AltN"/>
        <w:widowControl w:val="0"/>
        <w:rPr>
          <w:rFonts w:cs="Times New Roman"/>
          <w:noProof/>
          <w:lang w:val="fr-CA"/>
        </w:rPr>
      </w:pPr>
      <w:r w:rsidRPr="00822328">
        <w:rPr>
          <w:rFonts w:cs="Times New Roman"/>
          <w:noProof/>
          <w:lang w:val="fr-CA"/>
        </w:rPr>
        <w:t>Je rejette la thèse de l</w:t>
      </w:r>
      <w:r>
        <w:rPr>
          <w:rFonts w:cs="Times New Roman"/>
          <w:noProof/>
          <w:lang w:val="fr-CA"/>
        </w:rPr>
        <w:t>’</w:t>
      </w:r>
      <w:r w:rsidRPr="00822328">
        <w:rPr>
          <w:rFonts w:cs="Times New Roman"/>
          <w:noProof/>
          <w:lang w:val="fr-CA"/>
        </w:rPr>
        <w:t>appelant. L</w:t>
      </w:r>
      <w:r>
        <w:rPr>
          <w:rFonts w:cs="Times New Roman"/>
          <w:noProof/>
          <w:lang w:val="fr-CA"/>
        </w:rPr>
        <w:t>’</w:t>
      </w:r>
      <w:r w:rsidR="003F78A6">
        <w:rPr>
          <w:rFonts w:cs="Times New Roman"/>
          <w:noProof/>
          <w:lang w:val="fr-CA"/>
        </w:rPr>
        <w:t>article</w:t>
      </w:r>
      <w:r w:rsidRPr="00822328">
        <w:rPr>
          <w:rFonts w:cs="Times New Roman"/>
          <w:noProof/>
          <w:lang w:val="fr-CA"/>
        </w:rPr>
        <w:t xml:space="preserve"> 11 de la </w:t>
      </w:r>
      <w:r w:rsidRPr="00822328">
        <w:rPr>
          <w:rFonts w:cs="Times New Roman"/>
          <w:i/>
          <w:noProof/>
          <w:lang w:val="fr-CA"/>
        </w:rPr>
        <w:t xml:space="preserve">LRCDAS </w:t>
      </w:r>
      <w:r w:rsidRPr="00822328">
        <w:rPr>
          <w:rFonts w:cs="Times New Roman"/>
          <w:noProof/>
          <w:lang w:val="fr-CA"/>
        </w:rPr>
        <w:t xml:space="preserve">ne comporte pas le libellé exprès du par. 529.3(2) du </w:t>
      </w:r>
      <w:r w:rsidRPr="00822328">
        <w:rPr>
          <w:rFonts w:cs="Times New Roman"/>
          <w:i/>
          <w:noProof/>
          <w:lang w:val="fr-CA"/>
        </w:rPr>
        <w:t>Code criminel</w:t>
      </w:r>
      <w:r w:rsidRPr="00822328">
        <w:rPr>
          <w:rFonts w:cs="Times New Roman"/>
          <w:noProof/>
          <w:lang w:val="fr-CA"/>
        </w:rPr>
        <w:t xml:space="preserve"> qui rend la disposition applicable, lorsqu</w:t>
      </w:r>
      <w:r>
        <w:rPr>
          <w:rFonts w:cs="Times New Roman"/>
          <w:noProof/>
          <w:lang w:val="fr-CA"/>
        </w:rPr>
        <w:t>’</w:t>
      </w:r>
      <w:r w:rsidRPr="00822328">
        <w:rPr>
          <w:rFonts w:cs="Times New Roman"/>
          <w:noProof/>
          <w:lang w:val="fr-CA"/>
        </w:rPr>
        <w:t>il s</w:t>
      </w:r>
      <w:r>
        <w:rPr>
          <w:rFonts w:cs="Times New Roman"/>
          <w:noProof/>
          <w:lang w:val="fr-CA"/>
        </w:rPr>
        <w:t>’</w:t>
      </w:r>
      <w:r w:rsidRPr="00822328">
        <w:rPr>
          <w:rFonts w:cs="Times New Roman"/>
          <w:noProof/>
          <w:lang w:val="fr-CA"/>
        </w:rPr>
        <w:t xml:space="preserve">agit de préserver un élément de preuve, seulement en lien avec un acte </w:t>
      </w:r>
      <w:r w:rsidRPr="00822328">
        <w:rPr>
          <w:rFonts w:cs="Times New Roman"/>
          <w:i/>
          <w:noProof/>
          <w:lang w:val="fr-CA"/>
        </w:rPr>
        <w:t>criminel</w:t>
      </w:r>
      <w:r w:rsidRPr="00822328">
        <w:rPr>
          <w:rFonts w:cs="Times New Roman"/>
          <w:noProof/>
          <w:lang w:val="fr-CA"/>
        </w:rPr>
        <w:t>. Le Parlement, qui s</w:t>
      </w:r>
      <w:r>
        <w:rPr>
          <w:rFonts w:cs="Times New Roman"/>
          <w:noProof/>
          <w:lang w:val="fr-CA"/>
        </w:rPr>
        <w:t>’</w:t>
      </w:r>
      <w:r w:rsidRPr="00822328">
        <w:rPr>
          <w:rFonts w:cs="Times New Roman"/>
          <w:noProof/>
          <w:lang w:val="fr-CA"/>
        </w:rPr>
        <w:t>acquitte de sa fonction législative avec régularité et compétence dans l</w:t>
      </w:r>
      <w:r>
        <w:rPr>
          <w:rFonts w:cs="Times New Roman"/>
          <w:noProof/>
          <w:lang w:val="fr-CA"/>
        </w:rPr>
        <w:t>’</w:t>
      </w:r>
      <w:r w:rsidRPr="00822328">
        <w:rPr>
          <w:rFonts w:cs="Times New Roman"/>
          <w:noProof/>
          <w:lang w:val="fr-CA"/>
        </w:rPr>
        <w:t>exercice de son pouvoir en matière de droit criminel, aurait pu facilement assortir la perquisition sans mandat prévue au par. 11(7) des mêmes conditions que celles énoncées au par. 529.3(2). La décision de s</w:t>
      </w:r>
      <w:r>
        <w:rPr>
          <w:rFonts w:cs="Times New Roman"/>
          <w:noProof/>
          <w:lang w:val="fr-CA"/>
        </w:rPr>
        <w:t>’</w:t>
      </w:r>
      <w:r w:rsidRPr="00822328">
        <w:rPr>
          <w:rFonts w:cs="Times New Roman"/>
          <w:noProof/>
          <w:lang w:val="fr-CA"/>
        </w:rPr>
        <w:t>en abstenir n</w:t>
      </w:r>
      <w:r>
        <w:rPr>
          <w:rFonts w:cs="Times New Roman"/>
          <w:noProof/>
          <w:lang w:val="fr-CA"/>
        </w:rPr>
        <w:t>’</w:t>
      </w:r>
      <w:r w:rsidRPr="00822328">
        <w:rPr>
          <w:rFonts w:cs="Times New Roman"/>
          <w:noProof/>
          <w:lang w:val="fr-CA"/>
        </w:rPr>
        <w:t>a rien d</w:t>
      </w:r>
      <w:r>
        <w:rPr>
          <w:rFonts w:cs="Times New Roman"/>
          <w:noProof/>
          <w:lang w:val="fr-CA"/>
        </w:rPr>
        <w:t>’</w:t>
      </w:r>
      <w:r w:rsidRPr="00822328">
        <w:rPr>
          <w:rFonts w:cs="Times New Roman"/>
          <w:noProof/>
          <w:lang w:val="fr-CA"/>
        </w:rPr>
        <w:t>étonnant lorsque l</w:t>
      </w:r>
      <w:r>
        <w:rPr>
          <w:rFonts w:cs="Times New Roman"/>
          <w:noProof/>
          <w:lang w:val="fr-CA"/>
        </w:rPr>
        <w:t>’</w:t>
      </w:r>
      <w:r w:rsidRPr="00822328">
        <w:rPr>
          <w:rFonts w:cs="Times New Roman"/>
          <w:noProof/>
          <w:lang w:val="fr-CA"/>
        </w:rPr>
        <w:t xml:space="preserve">on compare le par. 529.3(2) aux autres dispositions du </w:t>
      </w:r>
      <w:r w:rsidRPr="00822328">
        <w:rPr>
          <w:rFonts w:cs="Times New Roman"/>
          <w:i/>
          <w:noProof/>
          <w:lang w:val="fr-CA"/>
        </w:rPr>
        <w:t xml:space="preserve">Code criminel </w:t>
      </w:r>
      <w:r w:rsidRPr="00822328">
        <w:rPr>
          <w:rFonts w:cs="Times New Roman"/>
          <w:noProof/>
          <w:lang w:val="fr-CA"/>
        </w:rPr>
        <w:t>qui autorisent l</w:t>
      </w:r>
      <w:r>
        <w:rPr>
          <w:rFonts w:cs="Times New Roman"/>
          <w:noProof/>
          <w:lang w:val="fr-CA"/>
        </w:rPr>
        <w:t>’</w:t>
      </w:r>
      <w:r w:rsidRPr="00822328">
        <w:rPr>
          <w:rFonts w:cs="Times New Roman"/>
          <w:noProof/>
          <w:lang w:val="fr-CA"/>
        </w:rPr>
        <w:t>entrée sans mandat. Il s</w:t>
      </w:r>
      <w:r>
        <w:rPr>
          <w:rFonts w:cs="Times New Roman"/>
          <w:noProof/>
          <w:lang w:val="fr-CA"/>
        </w:rPr>
        <w:t>’</w:t>
      </w:r>
      <w:r w:rsidRPr="00822328">
        <w:rPr>
          <w:rFonts w:cs="Times New Roman"/>
          <w:noProof/>
          <w:lang w:val="fr-CA"/>
        </w:rPr>
        <w:t>agit là d</w:t>
      </w:r>
      <w:r>
        <w:rPr>
          <w:rFonts w:cs="Times New Roman"/>
          <w:noProof/>
          <w:lang w:val="fr-CA"/>
        </w:rPr>
        <w:t>’</w:t>
      </w:r>
      <w:r w:rsidRPr="00822328">
        <w:rPr>
          <w:rFonts w:cs="Times New Roman"/>
          <w:noProof/>
          <w:lang w:val="fr-CA"/>
        </w:rPr>
        <w:t>une considération importante, car interpréter une disposition législative revient à rechercher l</w:t>
      </w:r>
      <w:r>
        <w:rPr>
          <w:rFonts w:cs="Times New Roman"/>
          <w:noProof/>
          <w:lang w:val="fr-CA"/>
        </w:rPr>
        <w:t>’</w:t>
      </w:r>
      <w:r w:rsidRPr="00822328">
        <w:rPr>
          <w:rFonts w:cs="Times New Roman"/>
          <w:noProof/>
          <w:lang w:val="fr-CA"/>
        </w:rPr>
        <w:t>intention du législateur par l</w:t>
      </w:r>
      <w:r>
        <w:rPr>
          <w:rFonts w:cs="Times New Roman"/>
          <w:noProof/>
          <w:lang w:val="fr-CA"/>
        </w:rPr>
        <w:t>’</w:t>
      </w:r>
      <w:r w:rsidRPr="00822328">
        <w:rPr>
          <w:rFonts w:cs="Times New Roman"/>
          <w:noProof/>
          <w:lang w:val="fr-CA"/>
        </w:rPr>
        <w:t>examen des termes employés, considérés dans leur contexte global, en suivant le sens grammatical et ordinaire qui s</w:t>
      </w:r>
      <w:r>
        <w:rPr>
          <w:rFonts w:cs="Times New Roman"/>
          <w:noProof/>
          <w:lang w:val="fr-CA"/>
        </w:rPr>
        <w:t>’</w:t>
      </w:r>
      <w:r w:rsidRPr="00822328">
        <w:rPr>
          <w:rFonts w:cs="Times New Roman"/>
          <w:noProof/>
          <w:lang w:val="fr-CA"/>
        </w:rPr>
        <w:t>harmonise avec l</w:t>
      </w:r>
      <w:r>
        <w:rPr>
          <w:rFonts w:cs="Times New Roman"/>
          <w:noProof/>
          <w:lang w:val="fr-CA"/>
        </w:rPr>
        <w:t>’</w:t>
      </w:r>
      <w:r w:rsidRPr="00822328">
        <w:rPr>
          <w:rFonts w:cs="Times New Roman"/>
          <w:noProof/>
          <w:lang w:val="fr-CA"/>
        </w:rPr>
        <w:t>économie de la loi et son objet (</w:t>
      </w:r>
      <w:r w:rsidRPr="00822328">
        <w:rPr>
          <w:rFonts w:cs="Times New Roman"/>
          <w:i/>
          <w:noProof/>
          <w:lang w:val="fr-CA"/>
        </w:rPr>
        <w:t>Rizzo &amp; Rizzo Shoes Ltd. (Re)</w:t>
      </w:r>
      <w:r w:rsidRPr="00822328">
        <w:rPr>
          <w:rFonts w:cs="Times New Roman"/>
          <w:noProof/>
          <w:lang w:val="fr-CA"/>
        </w:rPr>
        <w:t>, [1998] 1 R.C.S. 27, par. 21). Par exemple, la disposition générale sur l</w:t>
      </w:r>
      <w:r>
        <w:rPr>
          <w:rFonts w:cs="Times New Roman"/>
          <w:noProof/>
          <w:lang w:val="fr-CA"/>
        </w:rPr>
        <w:t>’</w:t>
      </w:r>
      <w:r w:rsidRPr="00822328">
        <w:rPr>
          <w:rFonts w:cs="Times New Roman"/>
          <w:noProof/>
          <w:lang w:val="fr-CA"/>
        </w:rPr>
        <w:t>entrée sans mandat en raison de l</w:t>
      </w:r>
      <w:r>
        <w:rPr>
          <w:rFonts w:cs="Times New Roman"/>
          <w:noProof/>
          <w:lang w:val="fr-CA"/>
        </w:rPr>
        <w:t>’</w:t>
      </w:r>
      <w:r w:rsidR="003F78A6">
        <w:rPr>
          <w:rFonts w:cs="Times New Roman"/>
          <w:noProof/>
          <w:lang w:val="fr-CA"/>
        </w:rPr>
        <w:t>urgence de la situation (</w:t>
      </w:r>
      <w:r w:rsidRPr="00822328">
        <w:rPr>
          <w:rFonts w:cs="Times New Roman"/>
          <w:noProof/>
          <w:lang w:val="fr-CA"/>
        </w:rPr>
        <w:t>art. 487.11) et celle qui autorise l</w:t>
      </w:r>
      <w:r>
        <w:rPr>
          <w:rFonts w:cs="Times New Roman"/>
          <w:noProof/>
          <w:lang w:val="fr-CA"/>
        </w:rPr>
        <w:t>’</w:t>
      </w:r>
      <w:r w:rsidRPr="00822328">
        <w:rPr>
          <w:rFonts w:cs="Times New Roman"/>
          <w:noProof/>
          <w:lang w:val="fr-CA"/>
        </w:rPr>
        <w:t>entrée sans mandat dans un lieu pour y effectuer une perquisition et saisir des armes à feu ou d</w:t>
      </w:r>
      <w:r>
        <w:rPr>
          <w:rFonts w:cs="Times New Roman"/>
          <w:noProof/>
          <w:lang w:val="fr-CA"/>
        </w:rPr>
        <w:t>’</w:t>
      </w:r>
      <w:r w:rsidRPr="00822328">
        <w:rPr>
          <w:rFonts w:cs="Times New Roman"/>
          <w:noProof/>
          <w:lang w:val="fr-CA"/>
        </w:rPr>
        <w:t>autres armes lorsqu</w:t>
      </w:r>
      <w:r>
        <w:rPr>
          <w:rFonts w:cs="Times New Roman"/>
          <w:noProof/>
          <w:lang w:val="fr-CA"/>
        </w:rPr>
        <w:t>’</w:t>
      </w:r>
      <w:r w:rsidRPr="00822328">
        <w:rPr>
          <w:rFonts w:cs="Times New Roman"/>
          <w:noProof/>
          <w:lang w:val="fr-CA"/>
        </w:rPr>
        <w:t>il y a urgence de la situation (par. 117.02(1)) ne définissent pas l</w:t>
      </w:r>
      <w:r>
        <w:rPr>
          <w:rFonts w:cs="Times New Roman"/>
          <w:noProof/>
          <w:lang w:val="fr-CA"/>
        </w:rPr>
        <w:t>’</w:t>
      </w:r>
      <w:r w:rsidRPr="00822328">
        <w:rPr>
          <w:rFonts w:cs="Times New Roman"/>
          <w:noProof/>
          <w:lang w:val="fr-CA"/>
        </w:rPr>
        <w:t>expression « urgence de la situation ». Au vu de ces dispositions, aucune raison valable ne permet de conclure que le législateur a voulu que l</w:t>
      </w:r>
      <w:r>
        <w:rPr>
          <w:rFonts w:cs="Times New Roman"/>
          <w:noProof/>
          <w:lang w:val="fr-CA"/>
        </w:rPr>
        <w:t>’</w:t>
      </w:r>
      <w:r w:rsidRPr="00822328">
        <w:rPr>
          <w:rFonts w:cs="Times New Roman"/>
          <w:noProof/>
          <w:lang w:val="fr-CA"/>
        </w:rPr>
        <w:t xml:space="preserve">on recoure au par. 529.3(2) du </w:t>
      </w:r>
      <w:r w:rsidRPr="00822328">
        <w:rPr>
          <w:rFonts w:cs="Times New Roman"/>
          <w:i/>
          <w:noProof/>
          <w:lang w:val="fr-CA"/>
        </w:rPr>
        <w:t xml:space="preserve">Code criminel </w:t>
      </w:r>
      <w:r w:rsidRPr="00822328">
        <w:rPr>
          <w:rFonts w:cs="Times New Roman"/>
          <w:noProof/>
          <w:lang w:val="fr-CA"/>
        </w:rPr>
        <w:t>pour définir l</w:t>
      </w:r>
      <w:r>
        <w:rPr>
          <w:rFonts w:cs="Times New Roman"/>
          <w:noProof/>
          <w:lang w:val="fr-CA"/>
        </w:rPr>
        <w:t>’</w:t>
      </w:r>
      <w:r w:rsidRPr="00822328">
        <w:rPr>
          <w:rFonts w:cs="Times New Roman"/>
          <w:noProof/>
          <w:lang w:val="fr-CA"/>
        </w:rPr>
        <w:t xml:space="preserve">« urgence de la situation » visée au par. 11(7) de la </w:t>
      </w:r>
      <w:r w:rsidRPr="00822328">
        <w:rPr>
          <w:rFonts w:cs="Times New Roman"/>
          <w:i/>
          <w:noProof/>
          <w:lang w:val="fr-CA"/>
        </w:rPr>
        <w:t>LRCDAS</w:t>
      </w:r>
      <w:r w:rsidRPr="00822328">
        <w:rPr>
          <w:rFonts w:cs="Times New Roman"/>
          <w:noProof/>
          <w:lang w:val="fr-CA"/>
        </w:rPr>
        <w:t>. Je refuse donc, malgré l</w:t>
      </w:r>
      <w:r>
        <w:rPr>
          <w:rFonts w:cs="Times New Roman"/>
          <w:noProof/>
          <w:lang w:val="fr-CA"/>
        </w:rPr>
        <w:t>’</w:t>
      </w:r>
      <w:r w:rsidRPr="00822328">
        <w:rPr>
          <w:rFonts w:cs="Times New Roman"/>
          <w:noProof/>
          <w:lang w:val="fr-CA"/>
        </w:rPr>
        <w:t>invitation de l</w:t>
      </w:r>
      <w:r>
        <w:rPr>
          <w:rFonts w:cs="Times New Roman"/>
          <w:noProof/>
          <w:lang w:val="fr-CA"/>
        </w:rPr>
        <w:t>’</w:t>
      </w:r>
      <w:r w:rsidRPr="00822328">
        <w:rPr>
          <w:rFonts w:cs="Times New Roman"/>
          <w:noProof/>
          <w:lang w:val="fr-CA"/>
        </w:rPr>
        <w:t>a</w:t>
      </w:r>
      <w:r w:rsidR="003F78A6">
        <w:rPr>
          <w:rFonts w:cs="Times New Roman"/>
          <w:noProof/>
          <w:lang w:val="fr-CA"/>
        </w:rPr>
        <w:t>ppelant en ce sens, à « faire “en interprétant” la loi</w:t>
      </w:r>
      <w:r w:rsidRPr="00822328">
        <w:rPr>
          <w:rFonts w:cs="Times New Roman"/>
          <w:noProof/>
          <w:lang w:val="fr-CA"/>
        </w:rPr>
        <w:t xml:space="preserve"> ce que le législateur a choisi de ne pas faire en l</w:t>
      </w:r>
      <w:r>
        <w:rPr>
          <w:rFonts w:cs="Times New Roman"/>
          <w:noProof/>
          <w:lang w:val="fr-CA"/>
        </w:rPr>
        <w:t>’</w:t>
      </w:r>
      <w:r w:rsidRPr="00822328">
        <w:rPr>
          <w:rFonts w:cs="Times New Roman"/>
          <w:noProof/>
          <w:lang w:val="fr-CA"/>
        </w:rPr>
        <w:t>adoptant » (</w:t>
      </w:r>
      <w:r w:rsidRPr="00822328">
        <w:rPr>
          <w:rFonts w:cs="Times New Roman"/>
          <w:i/>
          <w:noProof/>
          <w:lang w:val="fr-CA"/>
        </w:rPr>
        <w:t>Société Radio</w:t>
      </w:r>
      <w:r w:rsidRPr="00822328">
        <w:rPr>
          <w:rFonts w:cs="Times New Roman"/>
          <w:i/>
          <w:noProof/>
          <w:lang w:val="fr-CA"/>
        </w:rPr>
        <w:noBreakHyphen/>
        <w:t>Canada c. SODRAC 2003 Inc.</w:t>
      </w:r>
      <w:r w:rsidRPr="00822328">
        <w:rPr>
          <w:rFonts w:cs="Times New Roman"/>
          <w:noProof/>
          <w:lang w:val="fr-CA"/>
        </w:rPr>
        <w:t xml:space="preserve">, 2015 </w:t>
      </w:r>
      <w:r w:rsidR="0020088A">
        <w:rPr>
          <w:rFonts w:cs="Times New Roman"/>
          <w:noProof/>
          <w:lang w:val="fr-CA"/>
        </w:rPr>
        <w:t xml:space="preserve">CSC 57, [2015] 3 R.C.S. 615, </w:t>
      </w:r>
      <w:r w:rsidRPr="00822328">
        <w:rPr>
          <w:rFonts w:cs="Times New Roman"/>
          <w:noProof/>
          <w:lang w:val="fr-CA"/>
        </w:rPr>
        <w:t>par. 53).</w:t>
      </w:r>
    </w:p>
    <w:p w:rsidR="00A37A4C" w:rsidRPr="00822328" w:rsidRDefault="00A37A4C" w:rsidP="006534E4">
      <w:pPr>
        <w:pStyle w:val="ParaNoNdepar-AltN"/>
        <w:widowControl w:val="0"/>
        <w:rPr>
          <w:rFonts w:cs="Times New Roman"/>
          <w:noProof/>
          <w:szCs w:val="24"/>
          <w:lang w:val="fr-CA"/>
        </w:rPr>
      </w:pPr>
      <w:r w:rsidRPr="00822328">
        <w:rPr>
          <w:rFonts w:cs="Times New Roman"/>
          <w:noProof/>
          <w:lang w:val="fr-CA"/>
        </w:rPr>
        <w:t>Cela dit, l</w:t>
      </w:r>
      <w:r>
        <w:rPr>
          <w:rFonts w:cs="Times New Roman"/>
          <w:noProof/>
          <w:lang w:val="fr-CA"/>
        </w:rPr>
        <w:t>’</w:t>
      </w:r>
      <w:r w:rsidRPr="00822328">
        <w:rPr>
          <w:rFonts w:cs="Times New Roman"/>
          <w:noProof/>
          <w:lang w:val="fr-CA"/>
        </w:rPr>
        <w:t>« urgence de la situation » a été reconnue dans des cas qui s</w:t>
      </w:r>
      <w:r>
        <w:rPr>
          <w:rFonts w:cs="Times New Roman"/>
          <w:noProof/>
          <w:lang w:val="fr-CA"/>
        </w:rPr>
        <w:t>’</w:t>
      </w:r>
      <w:r w:rsidRPr="00822328">
        <w:rPr>
          <w:rFonts w:cs="Times New Roman"/>
          <w:noProof/>
          <w:lang w:val="fr-CA"/>
        </w:rPr>
        <w:t>apparentaient beaucoup à ceux mentionnés dans la définition du par. 529.3(2). Les décisions de la Cour relatives à l</w:t>
      </w:r>
      <w:r>
        <w:rPr>
          <w:rFonts w:cs="Times New Roman"/>
          <w:noProof/>
          <w:lang w:val="fr-CA"/>
        </w:rPr>
        <w:t>’</w:t>
      </w:r>
      <w:r w:rsidRPr="00822328">
        <w:rPr>
          <w:rFonts w:cs="Times New Roman"/>
          <w:noProof/>
          <w:lang w:val="fr-CA"/>
        </w:rPr>
        <w:t>application de l</w:t>
      </w:r>
      <w:r>
        <w:rPr>
          <w:rFonts w:cs="Times New Roman"/>
          <w:noProof/>
          <w:lang w:val="fr-CA"/>
        </w:rPr>
        <w:t>’</w:t>
      </w:r>
      <w:r w:rsidRPr="00822328">
        <w:rPr>
          <w:rFonts w:cs="Times New Roman"/>
          <w:noProof/>
          <w:lang w:val="fr-CA"/>
        </w:rPr>
        <w:t xml:space="preserve">art. 10 de la </w:t>
      </w:r>
      <w:r w:rsidRPr="00822328">
        <w:rPr>
          <w:rFonts w:cs="Times New Roman"/>
          <w:i/>
          <w:noProof/>
          <w:lang w:val="fr-CA"/>
        </w:rPr>
        <w:t>Loi sur les stupéfiants</w:t>
      </w:r>
      <w:r w:rsidRPr="00822328">
        <w:rPr>
          <w:rFonts w:cs="Times New Roman"/>
          <w:noProof/>
          <w:lang w:val="fr-CA"/>
        </w:rPr>
        <w:t>, L.R.C. 1985, c. N</w:t>
      </w:r>
      <w:r w:rsidRPr="00822328">
        <w:rPr>
          <w:rFonts w:cs="Times New Roman"/>
          <w:noProof/>
          <w:lang w:val="fr-CA"/>
        </w:rPr>
        <w:noBreakHyphen/>
        <w:t xml:space="preserve">1 (abrogée et remplacée par la </w:t>
      </w:r>
      <w:r w:rsidRPr="00822328">
        <w:rPr>
          <w:rFonts w:cs="Times New Roman"/>
          <w:i/>
          <w:noProof/>
          <w:lang w:val="fr-CA"/>
        </w:rPr>
        <w:t>LRCDAS</w:t>
      </w:r>
      <w:r w:rsidRPr="00822328">
        <w:rPr>
          <w:rFonts w:cs="Times New Roman"/>
          <w:noProof/>
          <w:lang w:val="fr-CA"/>
        </w:rPr>
        <w:t>), lequel disposait qu</w:t>
      </w:r>
      <w:r>
        <w:rPr>
          <w:rFonts w:cs="Times New Roman"/>
          <w:noProof/>
          <w:lang w:val="fr-CA"/>
        </w:rPr>
        <w:t>’</w:t>
      </w:r>
      <w:r w:rsidRPr="00822328">
        <w:rPr>
          <w:rFonts w:cs="Times New Roman"/>
          <w:noProof/>
          <w:lang w:val="fr-CA"/>
        </w:rPr>
        <w:t>une perquisition pouvait être effectuée sans mandat, sauf dans une maison d</w:t>
      </w:r>
      <w:r>
        <w:rPr>
          <w:rFonts w:cs="Times New Roman"/>
          <w:noProof/>
          <w:lang w:val="fr-CA"/>
        </w:rPr>
        <w:t>’</w:t>
      </w:r>
      <w:r w:rsidRPr="00822328">
        <w:rPr>
          <w:rFonts w:cs="Times New Roman"/>
          <w:noProof/>
          <w:lang w:val="fr-CA"/>
        </w:rPr>
        <w:t>habitation, lorsque l</w:t>
      </w:r>
      <w:r>
        <w:rPr>
          <w:rFonts w:cs="Times New Roman"/>
          <w:noProof/>
          <w:lang w:val="fr-CA"/>
        </w:rPr>
        <w:t>’</w:t>
      </w:r>
      <w:r w:rsidRPr="00822328">
        <w:rPr>
          <w:rFonts w:cs="Times New Roman"/>
          <w:noProof/>
          <w:lang w:val="fr-CA"/>
        </w:rPr>
        <w:t>agent de la paix croyait, pour des motifs raisonnables, à la perpétration d</w:t>
      </w:r>
      <w:r>
        <w:rPr>
          <w:rFonts w:cs="Times New Roman"/>
          <w:noProof/>
          <w:lang w:val="fr-CA"/>
        </w:rPr>
        <w:t>’</w:t>
      </w:r>
      <w:r w:rsidRPr="00822328">
        <w:rPr>
          <w:rFonts w:cs="Times New Roman"/>
          <w:noProof/>
          <w:lang w:val="fr-CA"/>
        </w:rPr>
        <w:t>une infraction en matière de stupéfiants, est éclairante. Dans l</w:t>
      </w:r>
      <w:r>
        <w:rPr>
          <w:rFonts w:cs="Times New Roman"/>
          <w:noProof/>
          <w:lang w:val="fr-CA"/>
        </w:rPr>
        <w:t>’</w:t>
      </w:r>
      <w:r w:rsidRPr="00822328">
        <w:rPr>
          <w:rFonts w:cs="Times New Roman"/>
          <w:noProof/>
          <w:lang w:val="fr-CA"/>
        </w:rPr>
        <w:t xml:space="preserve">arrêt </w:t>
      </w:r>
      <w:r w:rsidRPr="00822328">
        <w:rPr>
          <w:rFonts w:cs="Times New Roman"/>
          <w:i/>
          <w:noProof/>
          <w:lang w:val="fr-CA"/>
        </w:rPr>
        <w:t>R. c. Grant</w:t>
      </w:r>
      <w:r w:rsidRPr="00822328">
        <w:rPr>
          <w:rFonts w:cs="Times New Roman"/>
          <w:noProof/>
          <w:lang w:val="fr-CA"/>
        </w:rPr>
        <w:t>, [1993] 3 R.C.S</w:t>
      </w:r>
      <w:r w:rsidR="002A6661">
        <w:rPr>
          <w:rFonts w:cs="Times New Roman"/>
          <w:noProof/>
          <w:lang w:val="fr-CA"/>
        </w:rPr>
        <w:t>.</w:t>
      </w:r>
      <w:r w:rsidR="0020088A">
        <w:rPr>
          <w:rFonts w:cs="Times New Roman"/>
          <w:noProof/>
          <w:lang w:val="fr-CA"/>
        </w:rPr>
        <w:t xml:space="preserve"> 223 (</w:t>
      </w:r>
      <w:r w:rsidRPr="00822328">
        <w:rPr>
          <w:rFonts w:cs="Times New Roman"/>
          <w:noProof/>
          <w:lang w:val="fr-CA"/>
        </w:rPr>
        <w:t>« </w:t>
      </w:r>
      <w:r w:rsidRPr="00822328">
        <w:rPr>
          <w:rFonts w:cs="Times New Roman"/>
          <w:i/>
          <w:noProof/>
          <w:lang w:val="fr-CA"/>
        </w:rPr>
        <w:t>Grant</w:t>
      </w:r>
      <w:r w:rsidR="0020088A">
        <w:rPr>
          <w:rFonts w:cs="Times New Roman"/>
          <w:noProof/>
          <w:lang w:val="fr-CA"/>
        </w:rPr>
        <w:t xml:space="preserve"> 1993 »)</w:t>
      </w:r>
      <w:r w:rsidRPr="00822328">
        <w:rPr>
          <w:rFonts w:cs="Times New Roman"/>
          <w:noProof/>
          <w:lang w:val="fr-CA"/>
        </w:rPr>
        <w:t>, la Cour statue que cette disposition respecte l</w:t>
      </w:r>
      <w:r>
        <w:rPr>
          <w:rFonts w:cs="Times New Roman"/>
          <w:noProof/>
          <w:lang w:val="fr-CA"/>
        </w:rPr>
        <w:t>’</w:t>
      </w:r>
      <w:r w:rsidRPr="00822328">
        <w:rPr>
          <w:rFonts w:cs="Times New Roman"/>
          <w:noProof/>
          <w:lang w:val="fr-CA"/>
        </w:rPr>
        <w:t xml:space="preserve">art. 8 de la </w:t>
      </w:r>
      <w:r w:rsidRPr="00822328">
        <w:rPr>
          <w:rFonts w:cs="Times New Roman"/>
          <w:i/>
          <w:noProof/>
          <w:lang w:val="fr-CA"/>
        </w:rPr>
        <w:t>Charte</w:t>
      </w:r>
      <w:r w:rsidRPr="00822328">
        <w:rPr>
          <w:rFonts w:cs="Times New Roman"/>
          <w:noProof/>
          <w:lang w:val="fr-CA"/>
        </w:rPr>
        <w:t xml:space="preserve"> lorsqu</w:t>
      </w:r>
      <w:r>
        <w:rPr>
          <w:rFonts w:cs="Times New Roman"/>
          <w:noProof/>
          <w:lang w:val="fr-CA"/>
        </w:rPr>
        <w:t>’</w:t>
      </w:r>
      <w:r w:rsidRPr="00822328">
        <w:rPr>
          <w:rFonts w:cs="Times New Roman"/>
          <w:noProof/>
          <w:lang w:val="fr-CA"/>
        </w:rPr>
        <w:t>elle fait l</w:t>
      </w:r>
      <w:r>
        <w:rPr>
          <w:rFonts w:cs="Times New Roman"/>
          <w:noProof/>
          <w:lang w:val="fr-CA"/>
        </w:rPr>
        <w:t>’</w:t>
      </w:r>
      <w:r w:rsidRPr="00822328">
        <w:rPr>
          <w:rFonts w:cs="Times New Roman"/>
          <w:noProof/>
          <w:lang w:val="fr-CA"/>
        </w:rPr>
        <w:t>objet d</w:t>
      </w:r>
      <w:r>
        <w:rPr>
          <w:rFonts w:cs="Times New Roman"/>
          <w:noProof/>
          <w:lang w:val="fr-CA"/>
        </w:rPr>
        <w:t>’</w:t>
      </w:r>
      <w:r w:rsidRPr="00822328">
        <w:rPr>
          <w:rFonts w:cs="Times New Roman"/>
          <w:noProof/>
          <w:lang w:val="fr-CA"/>
        </w:rPr>
        <w:t>une interprétation atténuée de façon à permettre la perquisition sans mandat seulement en situation d</w:t>
      </w:r>
      <w:r>
        <w:rPr>
          <w:rFonts w:cs="Times New Roman"/>
          <w:noProof/>
          <w:lang w:val="fr-CA"/>
        </w:rPr>
        <w:t>’</w:t>
      </w:r>
      <w:r w:rsidRPr="00822328">
        <w:rPr>
          <w:rFonts w:cs="Times New Roman"/>
          <w:noProof/>
          <w:lang w:val="fr-CA"/>
        </w:rPr>
        <w:t>urgence. La Cour opine qu</w:t>
      </w:r>
      <w:r>
        <w:rPr>
          <w:rFonts w:cs="Times New Roman"/>
          <w:noProof/>
          <w:lang w:val="fr-CA"/>
        </w:rPr>
        <w:t>’</w:t>
      </w:r>
      <w:r w:rsidRPr="00822328">
        <w:rPr>
          <w:rFonts w:cs="Times New Roman"/>
          <w:noProof/>
          <w:lang w:val="fr-CA"/>
        </w:rPr>
        <w:t>il y a situation d</w:t>
      </w:r>
      <w:r>
        <w:rPr>
          <w:rFonts w:cs="Times New Roman"/>
          <w:noProof/>
          <w:lang w:val="fr-CA"/>
        </w:rPr>
        <w:t>’</w:t>
      </w:r>
      <w:r w:rsidRPr="00822328">
        <w:rPr>
          <w:rFonts w:cs="Times New Roman"/>
          <w:noProof/>
          <w:lang w:val="fr-CA"/>
        </w:rPr>
        <w:t>urgence lorsqu</w:t>
      </w:r>
      <w:r>
        <w:rPr>
          <w:rFonts w:cs="Times New Roman"/>
          <w:noProof/>
          <w:lang w:val="fr-CA"/>
        </w:rPr>
        <w:t>’</w:t>
      </w:r>
      <w:r w:rsidRPr="00822328">
        <w:rPr>
          <w:rFonts w:cs="Times New Roman"/>
          <w:noProof/>
          <w:lang w:val="fr-CA"/>
        </w:rPr>
        <w:t>il existe « un risque i</w:t>
      </w:r>
      <w:r w:rsidRPr="00822328">
        <w:rPr>
          <w:rFonts w:cs="Times New Roman"/>
          <w:noProof/>
          <w:szCs w:val="24"/>
          <w:lang w:val="fr-CA"/>
        </w:rPr>
        <w:t>mminent que les éléments de preuve soient perdus, enlevés, détruits ou qu</w:t>
      </w:r>
      <w:r>
        <w:rPr>
          <w:rFonts w:cs="Times New Roman"/>
          <w:noProof/>
          <w:szCs w:val="24"/>
          <w:lang w:val="fr-CA"/>
        </w:rPr>
        <w:t>’</w:t>
      </w:r>
      <w:r w:rsidRPr="00822328">
        <w:rPr>
          <w:rFonts w:cs="Times New Roman"/>
          <w:noProof/>
          <w:szCs w:val="24"/>
          <w:lang w:val="fr-CA"/>
        </w:rPr>
        <w:t>ils disparaissent si la fouille, la perquisition ou la saisie est retardée » (</w:t>
      </w:r>
      <w:r w:rsidRPr="0020088A">
        <w:rPr>
          <w:rStyle w:val="Emphasis"/>
          <w:rFonts w:cs="Times New Roman"/>
          <w:b w:val="0"/>
          <w:noProof/>
          <w:szCs w:val="24"/>
          <w:lang w:val="fr-CA"/>
        </w:rPr>
        <w:t xml:space="preserve">Grant </w:t>
      </w:r>
      <w:r w:rsidRPr="0020088A">
        <w:rPr>
          <w:rStyle w:val="Emphasis"/>
          <w:rFonts w:cs="Times New Roman"/>
          <w:b w:val="0"/>
          <w:i w:val="0"/>
          <w:noProof/>
          <w:szCs w:val="24"/>
          <w:lang w:val="fr-CA"/>
        </w:rPr>
        <w:t>1993</w:t>
      </w:r>
      <w:r w:rsidRPr="00822328">
        <w:rPr>
          <w:rFonts w:cs="Times New Roman"/>
          <w:noProof/>
          <w:szCs w:val="24"/>
          <w:lang w:val="fr-CA"/>
        </w:rPr>
        <w:t xml:space="preserve">, p. 243; </w:t>
      </w:r>
      <w:r w:rsidRPr="00822328">
        <w:rPr>
          <w:rFonts w:cs="Times New Roman"/>
          <w:i/>
          <w:noProof/>
          <w:szCs w:val="24"/>
          <w:lang w:val="fr-CA"/>
        </w:rPr>
        <w:t xml:space="preserve">R. </w:t>
      </w:r>
      <w:r w:rsidRPr="00822328">
        <w:rPr>
          <w:rFonts w:cs="Times New Roman"/>
          <w:i/>
          <w:iCs/>
          <w:noProof/>
          <w:szCs w:val="24"/>
          <w:lang w:val="fr-CA"/>
        </w:rPr>
        <w:t>c</w:t>
      </w:r>
      <w:r w:rsidRPr="00822328">
        <w:rPr>
          <w:rFonts w:cs="Times New Roman"/>
          <w:i/>
          <w:noProof/>
          <w:szCs w:val="24"/>
          <w:lang w:val="fr-CA"/>
        </w:rPr>
        <w:t xml:space="preserve">. </w:t>
      </w:r>
      <w:bookmarkStart w:id="1" w:name="QuickMark"/>
      <w:bookmarkEnd w:id="1"/>
      <w:r w:rsidRPr="00822328">
        <w:rPr>
          <w:rFonts w:cs="Times New Roman"/>
          <w:i/>
          <w:noProof/>
          <w:szCs w:val="24"/>
          <w:lang w:val="fr-CA"/>
        </w:rPr>
        <w:t>Feeney</w:t>
      </w:r>
      <w:r w:rsidRPr="00822328">
        <w:rPr>
          <w:rFonts w:cs="Times New Roman"/>
          <w:noProof/>
          <w:szCs w:val="24"/>
          <w:lang w:val="fr-CA"/>
        </w:rPr>
        <w:t>, [1997] 2 R.C.S. 13, par. 153, la juge L</w:t>
      </w:r>
      <w:r>
        <w:rPr>
          <w:rFonts w:cs="Times New Roman"/>
          <w:noProof/>
          <w:szCs w:val="24"/>
          <w:lang w:val="fr-CA"/>
        </w:rPr>
        <w:t>’</w:t>
      </w:r>
      <w:r w:rsidRPr="00822328">
        <w:rPr>
          <w:rFonts w:cs="Times New Roman"/>
          <w:noProof/>
          <w:szCs w:val="24"/>
          <w:lang w:val="fr-CA"/>
        </w:rPr>
        <w:t>Heureux</w:t>
      </w:r>
      <w:r w:rsidRPr="00822328">
        <w:rPr>
          <w:rFonts w:cs="Times New Roman"/>
          <w:noProof/>
          <w:szCs w:val="24"/>
          <w:lang w:val="fr-CA"/>
        </w:rPr>
        <w:noBreakHyphen/>
        <w:t xml:space="preserve">Dubé, dissidente; </w:t>
      </w:r>
      <w:r w:rsidRPr="00822328">
        <w:rPr>
          <w:rFonts w:cs="Times New Roman"/>
          <w:i/>
          <w:noProof/>
          <w:szCs w:val="24"/>
          <w:lang w:val="fr-CA"/>
        </w:rPr>
        <w:t>R. c. Silveira</w:t>
      </w:r>
      <w:r w:rsidRPr="00822328">
        <w:rPr>
          <w:rFonts w:cs="Times New Roman"/>
          <w:noProof/>
          <w:szCs w:val="24"/>
          <w:lang w:val="fr-CA"/>
        </w:rPr>
        <w:t>, [1995] 2 R.C.S. 297, par. 51, le juge La Forest, dissident). De même, elle estime par ailleurs qu</w:t>
      </w:r>
      <w:r>
        <w:rPr>
          <w:rFonts w:cs="Times New Roman"/>
          <w:noProof/>
          <w:szCs w:val="24"/>
          <w:lang w:val="fr-CA"/>
        </w:rPr>
        <w:t>’</w:t>
      </w:r>
      <w:r w:rsidRPr="00822328">
        <w:rPr>
          <w:rFonts w:cs="Times New Roman"/>
          <w:noProof/>
          <w:szCs w:val="24"/>
          <w:lang w:val="fr-CA"/>
        </w:rPr>
        <w:t>il y a « situation d</w:t>
      </w:r>
      <w:r>
        <w:rPr>
          <w:rFonts w:cs="Times New Roman"/>
          <w:noProof/>
          <w:szCs w:val="24"/>
          <w:lang w:val="fr-CA"/>
        </w:rPr>
        <w:t>’</w:t>
      </w:r>
      <w:r w:rsidRPr="00822328">
        <w:rPr>
          <w:rFonts w:cs="Times New Roman"/>
          <w:noProof/>
          <w:szCs w:val="24"/>
          <w:lang w:val="fr-CA"/>
        </w:rPr>
        <w:t>urgence quand une action immédiate est requise pour assurer la sécurité des policiers » (</w:t>
      </w:r>
      <w:r w:rsidRPr="00822328">
        <w:rPr>
          <w:rFonts w:cs="Times New Roman"/>
          <w:i/>
          <w:noProof/>
          <w:szCs w:val="24"/>
          <w:lang w:val="fr-CA"/>
        </w:rPr>
        <w:t>Feeney</w:t>
      </w:r>
      <w:r w:rsidRPr="00822328">
        <w:rPr>
          <w:rFonts w:cs="Times New Roman"/>
          <w:noProof/>
          <w:szCs w:val="24"/>
          <w:lang w:val="fr-CA"/>
        </w:rPr>
        <w:t>,</w:t>
      </w:r>
      <w:r w:rsidRPr="00822328">
        <w:rPr>
          <w:rFonts w:cs="Times New Roman"/>
          <w:i/>
          <w:noProof/>
          <w:szCs w:val="24"/>
          <w:lang w:val="fr-CA"/>
        </w:rPr>
        <w:t xml:space="preserve"> </w:t>
      </w:r>
      <w:r w:rsidRPr="00822328">
        <w:rPr>
          <w:rFonts w:cs="Times New Roman"/>
          <w:noProof/>
          <w:szCs w:val="24"/>
          <w:lang w:val="fr-CA"/>
        </w:rPr>
        <w:t xml:space="preserve">par. 52; voir également, relativement aux fouilles et aux perquisitions visant à assurer la sécurité des policiers, </w:t>
      </w:r>
      <w:r w:rsidRPr="00822328">
        <w:rPr>
          <w:rFonts w:cs="Times New Roman"/>
          <w:i/>
          <w:noProof/>
          <w:szCs w:val="24"/>
          <w:lang w:val="fr-CA"/>
        </w:rPr>
        <w:t>R. c. MacDonald</w:t>
      </w:r>
      <w:r w:rsidRPr="00822328">
        <w:rPr>
          <w:rFonts w:cs="Times New Roman"/>
          <w:noProof/>
          <w:szCs w:val="24"/>
          <w:lang w:val="fr-CA"/>
        </w:rPr>
        <w:t xml:space="preserve">, 2014 CSC 3, [2014] 1 R.C.S. 37, par. 32, où la Cour affirme que ces fouilles et ces perquisitions constituent une réponse « à une situation dangereuse créée par une personne, situation à laquelle les policiers doivent réagir </w:t>
      </w:r>
      <w:r w:rsidRPr="00822328">
        <w:rPr>
          <w:rFonts w:cs="Times New Roman"/>
          <w:noProof/>
          <w:lang w:val="fr-CA"/>
        </w:rPr>
        <w:t>“</w:t>
      </w:r>
      <w:r w:rsidRPr="00822328">
        <w:rPr>
          <w:rFonts w:cs="Times New Roman"/>
          <w:noProof/>
          <w:szCs w:val="24"/>
          <w:lang w:val="fr-CA"/>
        </w:rPr>
        <w:t>sous l</w:t>
      </w:r>
      <w:r>
        <w:rPr>
          <w:rFonts w:cs="Times New Roman"/>
          <w:noProof/>
          <w:szCs w:val="24"/>
          <w:lang w:val="fr-CA"/>
        </w:rPr>
        <w:t>’</w:t>
      </w:r>
      <w:r w:rsidRPr="00822328">
        <w:rPr>
          <w:rFonts w:cs="Times New Roman"/>
          <w:noProof/>
          <w:szCs w:val="24"/>
          <w:lang w:val="fr-CA"/>
        </w:rPr>
        <w:t>impulsion du moment</w:t>
      </w:r>
      <w:r w:rsidRPr="00822328">
        <w:rPr>
          <w:rFonts w:cs="Times New Roman"/>
          <w:noProof/>
          <w:lang w:val="fr-CA"/>
        </w:rPr>
        <w:t>”</w:t>
      </w:r>
      <w:r w:rsidRPr="00822328">
        <w:rPr>
          <w:rFonts w:cs="Times New Roman"/>
          <w:noProof/>
          <w:szCs w:val="24"/>
          <w:lang w:val="fr-CA"/>
        </w:rPr>
        <w:t> »). Dans l</w:t>
      </w:r>
      <w:r>
        <w:rPr>
          <w:rFonts w:cs="Times New Roman"/>
          <w:noProof/>
          <w:szCs w:val="24"/>
          <w:lang w:val="fr-CA"/>
        </w:rPr>
        <w:t>’</w:t>
      </w:r>
      <w:r w:rsidRPr="00822328">
        <w:rPr>
          <w:rFonts w:cs="Times New Roman"/>
          <w:noProof/>
          <w:szCs w:val="24"/>
          <w:lang w:val="fr-CA"/>
        </w:rPr>
        <w:t xml:space="preserve">arrêt </w:t>
      </w:r>
      <w:r w:rsidRPr="00822328">
        <w:rPr>
          <w:rFonts w:cs="Times New Roman"/>
          <w:i/>
          <w:noProof/>
          <w:szCs w:val="24"/>
          <w:lang w:val="fr-CA"/>
        </w:rPr>
        <w:t>Feeney</w:t>
      </w:r>
      <w:r w:rsidRPr="00822328">
        <w:rPr>
          <w:rFonts w:cs="Times New Roman"/>
          <w:noProof/>
          <w:szCs w:val="24"/>
          <w:lang w:val="fr-CA"/>
        </w:rPr>
        <w:t>, la Cour ajoute au par. 47</w:t>
      </w:r>
      <w:r w:rsidRPr="00822328">
        <w:rPr>
          <w:rFonts w:cs="Times New Roman"/>
          <w:i/>
          <w:noProof/>
          <w:szCs w:val="24"/>
          <w:lang w:val="fr-CA"/>
        </w:rPr>
        <w:t xml:space="preserve"> </w:t>
      </w:r>
      <w:r w:rsidRPr="00822328">
        <w:rPr>
          <w:rFonts w:cs="Times New Roman"/>
          <w:noProof/>
          <w:szCs w:val="24"/>
          <w:lang w:val="fr-CA"/>
        </w:rPr>
        <w:t>qu</w:t>
      </w:r>
      <w:r>
        <w:rPr>
          <w:rFonts w:cs="Times New Roman"/>
          <w:noProof/>
          <w:szCs w:val="24"/>
          <w:lang w:val="fr-CA"/>
        </w:rPr>
        <w:t>’</w:t>
      </w:r>
      <w:r w:rsidRPr="00822328">
        <w:rPr>
          <w:rFonts w:cs="Times New Roman"/>
          <w:noProof/>
          <w:szCs w:val="24"/>
          <w:lang w:val="fr-CA"/>
        </w:rPr>
        <w:t>il peut y avoir situation d</w:t>
      </w:r>
      <w:r>
        <w:rPr>
          <w:rFonts w:cs="Times New Roman"/>
          <w:noProof/>
          <w:szCs w:val="24"/>
          <w:lang w:val="fr-CA"/>
        </w:rPr>
        <w:t>’</w:t>
      </w:r>
      <w:r w:rsidRPr="00822328">
        <w:rPr>
          <w:rFonts w:cs="Times New Roman"/>
          <w:noProof/>
          <w:szCs w:val="24"/>
          <w:lang w:val="fr-CA"/>
        </w:rPr>
        <w:t>urgence</w:t>
      </w:r>
      <w:r w:rsidRPr="00822328">
        <w:rPr>
          <w:rFonts w:cs="Times New Roman"/>
          <w:i/>
          <w:noProof/>
          <w:szCs w:val="24"/>
          <w:lang w:val="fr-CA"/>
        </w:rPr>
        <w:t xml:space="preserve"> </w:t>
      </w:r>
      <w:r w:rsidRPr="00822328">
        <w:rPr>
          <w:rFonts w:cs="Times New Roman"/>
          <w:noProof/>
          <w:szCs w:val="24"/>
          <w:lang w:val="fr-CA"/>
        </w:rPr>
        <w:t>lorsqu</w:t>
      </w:r>
      <w:r>
        <w:rPr>
          <w:rFonts w:cs="Times New Roman"/>
          <w:noProof/>
          <w:szCs w:val="24"/>
          <w:lang w:val="fr-CA"/>
        </w:rPr>
        <w:t>’</w:t>
      </w:r>
      <w:r w:rsidRPr="00822328">
        <w:rPr>
          <w:rFonts w:cs="Times New Roman"/>
          <w:noProof/>
          <w:szCs w:val="24"/>
          <w:lang w:val="fr-CA"/>
        </w:rPr>
        <w:t xml:space="preserve">un policier prend un suspect « en chasse » (voir également </w:t>
      </w:r>
      <w:r w:rsidRPr="00822328">
        <w:rPr>
          <w:rFonts w:cs="Times New Roman"/>
          <w:i/>
          <w:noProof/>
          <w:szCs w:val="24"/>
          <w:lang w:val="fr-CA"/>
        </w:rPr>
        <w:t>R. c. Macooh</w:t>
      </w:r>
      <w:r w:rsidRPr="00822328">
        <w:rPr>
          <w:rFonts w:cs="Times New Roman"/>
          <w:noProof/>
          <w:szCs w:val="24"/>
          <w:lang w:val="fr-CA"/>
        </w:rPr>
        <w:t>, [1993] 2 R.C.S. 802, p. 820</w:t>
      </w:r>
      <w:r w:rsidR="0020088A">
        <w:rPr>
          <w:rFonts w:cs="Times New Roman"/>
          <w:noProof/>
          <w:szCs w:val="24"/>
          <w:lang w:val="fr-CA"/>
        </w:rPr>
        <w:t>-</w:t>
      </w:r>
      <w:r w:rsidRPr="00822328">
        <w:rPr>
          <w:rFonts w:cs="Times New Roman"/>
          <w:noProof/>
          <w:szCs w:val="24"/>
          <w:lang w:val="fr-CA"/>
        </w:rPr>
        <w:t xml:space="preserve">821). </w:t>
      </w:r>
    </w:p>
    <w:p w:rsidR="00A37A4C" w:rsidRPr="00822328" w:rsidRDefault="00A37A4C" w:rsidP="006534E4">
      <w:pPr>
        <w:pStyle w:val="ParaNoNdepar-AltN"/>
        <w:widowControl w:val="0"/>
        <w:tabs>
          <w:tab w:val="clear" w:pos="1152"/>
          <w:tab w:val="left" w:pos="1166"/>
        </w:tabs>
        <w:rPr>
          <w:rFonts w:cs="Times New Roman"/>
          <w:noProof/>
          <w:szCs w:val="24"/>
          <w:lang w:val="fr-CA"/>
        </w:rPr>
      </w:pPr>
      <w:r w:rsidRPr="00822328">
        <w:rPr>
          <w:rFonts w:cs="Times New Roman"/>
          <w:noProof/>
          <w:szCs w:val="24"/>
          <w:lang w:val="fr-CA"/>
        </w:rPr>
        <w:t>Il appert de ce qui précède que l</w:t>
      </w:r>
      <w:r>
        <w:rPr>
          <w:rFonts w:cs="Times New Roman"/>
          <w:noProof/>
          <w:szCs w:val="24"/>
          <w:lang w:val="fr-CA"/>
        </w:rPr>
        <w:t>’</w:t>
      </w:r>
      <w:r w:rsidRPr="00822328">
        <w:rPr>
          <w:rFonts w:cs="Times New Roman"/>
          <w:noProof/>
          <w:szCs w:val="24"/>
          <w:lang w:val="fr-CA"/>
        </w:rPr>
        <w:t>« urgence de la situation » dont il est fait mention au par. 11(7) ne renvoie pas seulement à la commodité, à l</w:t>
      </w:r>
      <w:r>
        <w:rPr>
          <w:rFonts w:cs="Times New Roman"/>
          <w:noProof/>
          <w:szCs w:val="24"/>
          <w:lang w:val="fr-CA"/>
        </w:rPr>
        <w:t>’</w:t>
      </w:r>
      <w:r w:rsidRPr="00822328">
        <w:rPr>
          <w:rFonts w:cs="Times New Roman"/>
          <w:noProof/>
          <w:szCs w:val="24"/>
          <w:lang w:val="fr-CA"/>
        </w:rPr>
        <w:t>opportunité ou à l</w:t>
      </w:r>
      <w:r>
        <w:rPr>
          <w:rFonts w:cs="Times New Roman"/>
          <w:noProof/>
          <w:szCs w:val="24"/>
          <w:lang w:val="fr-CA"/>
        </w:rPr>
        <w:t>’</w:t>
      </w:r>
      <w:r w:rsidRPr="00822328">
        <w:rPr>
          <w:rFonts w:cs="Times New Roman"/>
          <w:noProof/>
          <w:szCs w:val="24"/>
          <w:lang w:val="fr-CA"/>
        </w:rPr>
        <w:t>économie de temps, mais bien à l</w:t>
      </w:r>
      <w:r>
        <w:rPr>
          <w:rFonts w:cs="Times New Roman"/>
          <w:noProof/>
          <w:szCs w:val="24"/>
          <w:lang w:val="fr-CA"/>
        </w:rPr>
        <w:t>’</w:t>
      </w:r>
      <w:r w:rsidRPr="00822328">
        <w:rPr>
          <w:rFonts w:cs="Times New Roman"/>
          <w:noProof/>
          <w:szCs w:val="24"/>
          <w:lang w:val="fr-CA"/>
        </w:rPr>
        <w:t xml:space="preserve">existence de </w:t>
      </w:r>
      <w:r w:rsidRPr="00822328">
        <w:rPr>
          <w:rFonts w:cs="Times New Roman"/>
          <w:i/>
          <w:noProof/>
          <w:szCs w:val="24"/>
          <w:lang w:val="fr-CA"/>
        </w:rPr>
        <w:t>circonstances pressantes</w:t>
      </w:r>
      <w:r w:rsidRPr="00822328">
        <w:rPr>
          <w:rFonts w:cs="Times New Roman"/>
          <w:noProof/>
          <w:szCs w:val="24"/>
          <w:lang w:val="fr-CA"/>
        </w:rPr>
        <w:t xml:space="preserve"> propres à une situation qui requiert l</w:t>
      </w:r>
      <w:r>
        <w:rPr>
          <w:rFonts w:cs="Times New Roman"/>
          <w:noProof/>
          <w:szCs w:val="24"/>
          <w:lang w:val="fr-CA"/>
        </w:rPr>
        <w:t>’</w:t>
      </w:r>
      <w:r w:rsidRPr="00822328">
        <w:rPr>
          <w:rFonts w:cs="Times New Roman"/>
          <w:noProof/>
          <w:szCs w:val="24"/>
          <w:lang w:val="fr-CA"/>
        </w:rPr>
        <w:t>intervention immédiate des policiers soit pour préserver la preuve, soit pour assurer la sécurité des policiers ou celle du public. L</w:t>
      </w:r>
      <w:r>
        <w:rPr>
          <w:rFonts w:cs="Times New Roman"/>
          <w:noProof/>
          <w:szCs w:val="24"/>
          <w:lang w:val="fr-CA"/>
        </w:rPr>
        <w:t>’</w:t>
      </w:r>
      <w:r w:rsidRPr="00822328">
        <w:rPr>
          <w:rFonts w:cs="Times New Roman"/>
          <w:noProof/>
          <w:szCs w:val="24"/>
          <w:lang w:val="fr-CA"/>
        </w:rPr>
        <w:t xml:space="preserve">expression employée dans la version anglaise du par. 11(7) </w:t>
      </w:r>
      <w:r w:rsidRPr="00822328">
        <w:rPr>
          <w:rFonts w:cs="Times New Roman"/>
          <w:lang w:val="fr-CA"/>
        </w:rPr>
        <w:t xml:space="preserve">— </w:t>
      </w:r>
      <w:r w:rsidRPr="00822328">
        <w:rPr>
          <w:rFonts w:cs="Times New Roman"/>
          <w:i/>
          <w:lang w:val="fr-CA"/>
        </w:rPr>
        <w:t>exigent circumstances</w:t>
      </w:r>
      <w:r w:rsidRPr="00822328">
        <w:rPr>
          <w:rFonts w:cs="Times New Roman"/>
          <w:lang w:val="fr-CA"/>
        </w:rPr>
        <w:t xml:space="preserve"> — confirme cette interprétation.</w:t>
      </w:r>
    </w:p>
    <w:p w:rsidR="00A37A4C" w:rsidRPr="00822328" w:rsidRDefault="00A37A4C" w:rsidP="006534E4">
      <w:pPr>
        <w:pStyle w:val="ParaNoNdepar-AltN"/>
        <w:widowControl w:val="0"/>
        <w:rPr>
          <w:rFonts w:cs="Times New Roman"/>
          <w:noProof/>
          <w:lang w:val="fr-CA"/>
        </w:rPr>
      </w:pPr>
      <w:r w:rsidRPr="00822328">
        <w:rPr>
          <w:rFonts w:cs="Times New Roman"/>
          <w:noProof/>
          <w:lang w:val="fr-CA"/>
        </w:rPr>
        <w:t>Par ailleurs, l</w:t>
      </w:r>
      <w:r>
        <w:rPr>
          <w:rFonts w:cs="Times New Roman"/>
          <w:noProof/>
          <w:lang w:val="fr-CA"/>
        </w:rPr>
        <w:t>’</w:t>
      </w:r>
      <w:r w:rsidRPr="00822328">
        <w:rPr>
          <w:rFonts w:cs="Times New Roman"/>
          <w:noProof/>
          <w:lang w:val="fr-CA"/>
        </w:rPr>
        <w:t>urgence de la situation ne justifie pas à elle seule la perquisition sans mandat d</w:t>
      </w:r>
      <w:r>
        <w:rPr>
          <w:rFonts w:cs="Times New Roman"/>
          <w:noProof/>
          <w:lang w:val="fr-CA"/>
        </w:rPr>
        <w:t>’</w:t>
      </w:r>
      <w:r w:rsidRPr="00822328">
        <w:rPr>
          <w:rFonts w:cs="Times New Roman"/>
          <w:noProof/>
          <w:lang w:val="fr-CA"/>
        </w:rPr>
        <w:t>une résidence sur le fondement du par. 11(7). Elle doit en effet rendre l</w:t>
      </w:r>
      <w:r>
        <w:rPr>
          <w:rFonts w:cs="Times New Roman"/>
          <w:noProof/>
          <w:lang w:val="fr-CA"/>
        </w:rPr>
        <w:t>’</w:t>
      </w:r>
      <w:r w:rsidRPr="00822328">
        <w:rPr>
          <w:rFonts w:cs="Times New Roman"/>
          <w:noProof/>
          <w:lang w:val="fr-CA"/>
        </w:rPr>
        <w:t>obtention d</w:t>
      </w:r>
      <w:r>
        <w:rPr>
          <w:rFonts w:cs="Times New Roman"/>
          <w:noProof/>
          <w:lang w:val="fr-CA"/>
        </w:rPr>
        <w:t>’</w:t>
      </w:r>
      <w:r w:rsidRPr="00822328">
        <w:rPr>
          <w:rFonts w:cs="Times New Roman"/>
          <w:noProof/>
          <w:lang w:val="fr-CA"/>
        </w:rPr>
        <w:t>un mandat « </w:t>
      </w:r>
      <w:r w:rsidRPr="00822328">
        <w:rPr>
          <w:rFonts w:cs="Times New Roman"/>
          <w:noProof/>
          <w:szCs w:val="24"/>
          <w:lang w:val="fr-CA"/>
        </w:rPr>
        <w:t>difficilement réalisable ». À cet égard, je ne puis malheureusement pas convenir avec la Cour d</w:t>
      </w:r>
      <w:r>
        <w:rPr>
          <w:rFonts w:cs="Times New Roman"/>
          <w:noProof/>
          <w:szCs w:val="24"/>
          <w:lang w:val="fr-CA"/>
        </w:rPr>
        <w:t>’</w:t>
      </w:r>
      <w:r w:rsidRPr="00822328">
        <w:rPr>
          <w:rFonts w:cs="Times New Roman"/>
          <w:noProof/>
          <w:szCs w:val="24"/>
          <w:lang w:val="fr-CA"/>
        </w:rPr>
        <w:t>appel que, pour l</w:t>
      </w:r>
      <w:r>
        <w:rPr>
          <w:rFonts w:cs="Times New Roman"/>
          <w:noProof/>
          <w:szCs w:val="24"/>
          <w:lang w:val="fr-CA"/>
        </w:rPr>
        <w:t>’</w:t>
      </w:r>
      <w:r w:rsidRPr="00822328">
        <w:rPr>
          <w:rFonts w:cs="Times New Roman"/>
          <w:noProof/>
          <w:szCs w:val="24"/>
          <w:lang w:val="fr-CA"/>
        </w:rPr>
        <w:t>application du par. 11(7), lorsque l</w:t>
      </w:r>
      <w:r>
        <w:rPr>
          <w:rFonts w:cs="Times New Roman"/>
          <w:noProof/>
          <w:szCs w:val="24"/>
          <w:lang w:val="fr-CA"/>
        </w:rPr>
        <w:t>’</w:t>
      </w:r>
      <w:r w:rsidRPr="00822328">
        <w:rPr>
          <w:rFonts w:cs="Times New Roman"/>
          <w:noProof/>
          <w:szCs w:val="24"/>
          <w:lang w:val="fr-CA"/>
        </w:rPr>
        <w:t>obtention d</w:t>
      </w:r>
      <w:r>
        <w:rPr>
          <w:rFonts w:cs="Times New Roman"/>
          <w:noProof/>
          <w:szCs w:val="24"/>
          <w:lang w:val="fr-CA"/>
        </w:rPr>
        <w:t>’</w:t>
      </w:r>
      <w:r w:rsidRPr="00822328">
        <w:rPr>
          <w:rFonts w:cs="Times New Roman"/>
          <w:noProof/>
          <w:szCs w:val="24"/>
          <w:lang w:val="fr-CA"/>
        </w:rPr>
        <w:t>un mandat est difficilement réalisable, il y a nécessairement urgence de la situation. Le libellé du par. 11(7) (« lorsque l</w:t>
      </w:r>
      <w:r>
        <w:rPr>
          <w:rFonts w:cs="Times New Roman"/>
          <w:noProof/>
          <w:szCs w:val="24"/>
          <w:lang w:val="fr-CA"/>
        </w:rPr>
        <w:t>’</w:t>
      </w:r>
      <w:r w:rsidRPr="00822328">
        <w:rPr>
          <w:rFonts w:cs="Times New Roman"/>
          <w:noProof/>
          <w:szCs w:val="24"/>
          <w:lang w:val="fr-CA"/>
        </w:rPr>
        <w:t>urgence de la situation rend [l</w:t>
      </w:r>
      <w:r>
        <w:rPr>
          <w:rFonts w:cs="Times New Roman"/>
          <w:noProof/>
          <w:szCs w:val="24"/>
          <w:lang w:val="fr-CA"/>
        </w:rPr>
        <w:t>’</w:t>
      </w:r>
      <w:r w:rsidR="00FD1664">
        <w:rPr>
          <w:rFonts w:cs="Times New Roman"/>
          <w:noProof/>
          <w:szCs w:val="24"/>
          <w:lang w:val="fr-CA"/>
        </w:rPr>
        <w:t>]</w:t>
      </w:r>
      <w:r w:rsidRPr="00822328">
        <w:rPr>
          <w:rFonts w:cs="Times New Roman"/>
          <w:noProof/>
          <w:szCs w:val="24"/>
          <w:lang w:val="fr-CA"/>
        </w:rPr>
        <w:t>obtention [d</w:t>
      </w:r>
      <w:r>
        <w:rPr>
          <w:rFonts w:cs="Times New Roman"/>
          <w:noProof/>
          <w:szCs w:val="24"/>
          <w:lang w:val="fr-CA"/>
        </w:rPr>
        <w:t>’</w:t>
      </w:r>
      <w:r w:rsidRPr="00822328">
        <w:rPr>
          <w:rFonts w:cs="Times New Roman"/>
          <w:noProof/>
          <w:szCs w:val="24"/>
          <w:lang w:val="fr-CA"/>
        </w:rPr>
        <w:t>un mandat] difficilement réalisable ») montre clairement que le caractère difficilement réalisable de l</w:t>
      </w:r>
      <w:r>
        <w:rPr>
          <w:rFonts w:cs="Times New Roman"/>
          <w:noProof/>
          <w:szCs w:val="24"/>
          <w:lang w:val="fr-CA"/>
        </w:rPr>
        <w:t>’</w:t>
      </w:r>
      <w:r w:rsidRPr="00822328">
        <w:rPr>
          <w:rFonts w:cs="Times New Roman"/>
          <w:noProof/>
          <w:szCs w:val="24"/>
          <w:lang w:val="fr-CA"/>
        </w:rPr>
        <w:t>obtention d</w:t>
      </w:r>
      <w:r>
        <w:rPr>
          <w:rFonts w:cs="Times New Roman"/>
          <w:noProof/>
          <w:szCs w:val="24"/>
          <w:lang w:val="fr-CA"/>
        </w:rPr>
        <w:t>’</w:t>
      </w:r>
      <w:r w:rsidRPr="00822328">
        <w:rPr>
          <w:rFonts w:cs="Times New Roman"/>
          <w:noProof/>
          <w:szCs w:val="24"/>
          <w:lang w:val="fr-CA"/>
        </w:rPr>
        <w:t>un mandat ne permet pas de conclure à l</w:t>
      </w:r>
      <w:r>
        <w:rPr>
          <w:rFonts w:cs="Times New Roman"/>
          <w:noProof/>
          <w:szCs w:val="24"/>
          <w:lang w:val="fr-CA"/>
        </w:rPr>
        <w:t>’</w:t>
      </w:r>
      <w:r w:rsidRPr="00822328">
        <w:rPr>
          <w:rFonts w:cs="Times New Roman"/>
          <w:noProof/>
          <w:szCs w:val="24"/>
          <w:lang w:val="fr-CA"/>
        </w:rPr>
        <w:t>urgence de la situation. L</w:t>
      </w:r>
      <w:r>
        <w:rPr>
          <w:rFonts w:cs="Times New Roman"/>
          <w:noProof/>
          <w:szCs w:val="24"/>
          <w:lang w:val="fr-CA"/>
        </w:rPr>
        <w:t>’</w:t>
      </w:r>
      <w:r w:rsidRPr="00822328">
        <w:rPr>
          <w:rFonts w:cs="Times New Roman"/>
          <w:noProof/>
          <w:szCs w:val="24"/>
          <w:lang w:val="fr-CA"/>
        </w:rPr>
        <w:t>urgence de la situation doit plutôt être établie pour que l</w:t>
      </w:r>
      <w:r>
        <w:rPr>
          <w:rFonts w:cs="Times New Roman"/>
          <w:noProof/>
          <w:szCs w:val="24"/>
          <w:lang w:val="fr-CA"/>
        </w:rPr>
        <w:t>’</w:t>
      </w:r>
      <w:r w:rsidRPr="00822328">
        <w:rPr>
          <w:rFonts w:cs="Times New Roman"/>
          <w:noProof/>
          <w:szCs w:val="24"/>
          <w:lang w:val="fr-CA"/>
        </w:rPr>
        <w:t>obtention d</w:t>
      </w:r>
      <w:r>
        <w:rPr>
          <w:rFonts w:cs="Times New Roman"/>
          <w:noProof/>
          <w:szCs w:val="24"/>
          <w:lang w:val="fr-CA"/>
        </w:rPr>
        <w:t>’</w:t>
      </w:r>
      <w:r w:rsidRPr="00822328">
        <w:rPr>
          <w:rFonts w:cs="Times New Roman"/>
          <w:noProof/>
          <w:szCs w:val="24"/>
          <w:lang w:val="fr-CA"/>
        </w:rPr>
        <w:t>un mandat puisse être jugée difficilement réalisable. Autrement dit, le caractère « difficilement réalisable », quel que soit le sens de l</w:t>
      </w:r>
      <w:r>
        <w:rPr>
          <w:rFonts w:cs="Times New Roman"/>
          <w:noProof/>
          <w:szCs w:val="24"/>
          <w:lang w:val="fr-CA"/>
        </w:rPr>
        <w:t>’</w:t>
      </w:r>
      <w:r w:rsidRPr="00822328">
        <w:rPr>
          <w:rFonts w:cs="Times New Roman"/>
          <w:noProof/>
          <w:szCs w:val="24"/>
          <w:lang w:val="fr-CA"/>
        </w:rPr>
        <w:t>expression, ne saurait justifier une perquisition sans mandat en application du par. 11(7) au motif qu</w:t>
      </w:r>
      <w:r>
        <w:rPr>
          <w:rFonts w:cs="Times New Roman"/>
          <w:noProof/>
          <w:szCs w:val="24"/>
          <w:lang w:val="fr-CA"/>
        </w:rPr>
        <w:t>’</w:t>
      </w:r>
      <w:r w:rsidRPr="00822328">
        <w:rPr>
          <w:rFonts w:cs="Times New Roman"/>
          <w:noProof/>
          <w:szCs w:val="24"/>
          <w:lang w:val="fr-CA"/>
        </w:rPr>
        <w:t>il en découle une urgence de la situation. Il faut plutôt établir que l</w:t>
      </w:r>
      <w:r>
        <w:rPr>
          <w:rFonts w:cs="Times New Roman"/>
          <w:noProof/>
          <w:szCs w:val="24"/>
          <w:lang w:val="fr-CA"/>
        </w:rPr>
        <w:t>’</w:t>
      </w:r>
      <w:r w:rsidRPr="00822328">
        <w:rPr>
          <w:rFonts w:cs="Times New Roman"/>
          <w:noProof/>
          <w:szCs w:val="24"/>
          <w:lang w:val="fr-CA"/>
        </w:rPr>
        <w:t>urgence de la situation a fait en sorte que l</w:t>
      </w:r>
      <w:r>
        <w:rPr>
          <w:rFonts w:cs="Times New Roman"/>
          <w:noProof/>
          <w:szCs w:val="24"/>
          <w:lang w:val="fr-CA"/>
        </w:rPr>
        <w:t>’</w:t>
      </w:r>
      <w:r w:rsidRPr="00822328">
        <w:rPr>
          <w:rFonts w:cs="Times New Roman"/>
          <w:noProof/>
          <w:szCs w:val="24"/>
          <w:lang w:val="fr-CA"/>
        </w:rPr>
        <w:t>obtention d</w:t>
      </w:r>
      <w:r>
        <w:rPr>
          <w:rFonts w:cs="Times New Roman"/>
          <w:noProof/>
          <w:szCs w:val="24"/>
          <w:lang w:val="fr-CA"/>
        </w:rPr>
        <w:t>’</w:t>
      </w:r>
      <w:r w:rsidRPr="00822328">
        <w:rPr>
          <w:rFonts w:cs="Times New Roman"/>
          <w:noProof/>
          <w:szCs w:val="24"/>
          <w:lang w:val="fr-CA"/>
        </w:rPr>
        <w:t>un mandat était difficilement réalisable.</w:t>
      </w:r>
    </w:p>
    <w:p w:rsidR="00A37A4C" w:rsidRPr="00822328" w:rsidRDefault="00A37A4C" w:rsidP="006534E4">
      <w:pPr>
        <w:pStyle w:val="ParaNoNdepar-AltN"/>
        <w:widowControl w:val="0"/>
        <w:rPr>
          <w:rFonts w:cs="Times New Roman"/>
          <w:noProof/>
          <w:lang w:val="fr-CA"/>
        </w:rPr>
      </w:pPr>
      <w:r w:rsidRPr="00822328">
        <w:rPr>
          <w:rFonts w:cs="Times New Roman"/>
          <w:noProof/>
          <w:szCs w:val="24"/>
          <w:lang w:val="fr-CA"/>
        </w:rPr>
        <w:t>Selon l</w:t>
      </w:r>
      <w:r>
        <w:rPr>
          <w:rFonts w:cs="Times New Roman"/>
          <w:noProof/>
          <w:szCs w:val="24"/>
          <w:lang w:val="fr-CA"/>
        </w:rPr>
        <w:t>’</w:t>
      </w:r>
      <w:r w:rsidRPr="00822328">
        <w:rPr>
          <w:rFonts w:cs="Times New Roman"/>
          <w:noProof/>
          <w:szCs w:val="24"/>
          <w:lang w:val="fr-CA"/>
        </w:rPr>
        <w:t>appelant, la condition que l</w:t>
      </w:r>
      <w:r>
        <w:rPr>
          <w:rFonts w:cs="Times New Roman"/>
          <w:noProof/>
          <w:szCs w:val="24"/>
          <w:lang w:val="fr-CA"/>
        </w:rPr>
        <w:t>’</w:t>
      </w:r>
      <w:r w:rsidRPr="00822328">
        <w:rPr>
          <w:rFonts w:cs="Times New Roman"/>
          <w:noProof/>
          <w:szCs w:val="24"/>
          <w:lang w:val="fr-CA"/>
        </w:rPr>
        <w:t>« urgence de la situation » rende l</w:t>
      </w:r>
      <w:r>
        <w:rPr>
          <w:rFonts w:cs="Times New Roman"/>
          <w:noProof/>
          <w:szCs w:val="24"/>
          <w:lang w:val="fr-CA"/>
        </w:rPr>
        <w:t>’</w:t>
      </w:r>
      <w:r w:rsidRPr="00822328">
        <w:rPr>
          <w:rFonts w:cs="Times New Roman"/>
          <w:noProof/>
          <w:szCs w:val="24"/>
          <w:lang w:val="fr-CA"/>
        </w:rPr>
        <w:t>obtention d</w:t>
      </w:r>
      <w:r>
        <w:rPr>
          <w:rFonts w:cs="Times New Roman"/>
          <w:noProof/>
          <w:szCs w:val="24"/>
          <w:lang w:val="fr-CA"/>
        </w:rPr>
        <w:t>’</w:t>
      </w:r>
      <w:r w:rsidRPr="00822328">
        <w:rPr>
          <w:rFonts w:cs="Times New Roman"/>
          <w:noProof/>
          <w:szCs w:val="24"/>
          <w:lang w:val="fr-CA"/>
        </w:rPr>
        <w:t xml:space="preserve">un mandat « difficilement réalisable » commande en effet que </w:t>
      </w:r>
      <w:r w:rsidRPr="00822328">
        <w:rPr>
          <w:rFonts w:cs="Times New Roman"/>
          <w:smallCaps/>
          <w:noProof/>
          <w:szCs w:val="24"/>
          <w:lang w:val="fr-CA"/>
        </w:rPr>
        <w:t xml:space="preserve">[traduction] </w:t>
      </w:r>
      <w:r w:rsidRPr="00822328">
        <w:rPr>
          <w:rFonts w:cs="Times New Roman"/>
          <w:noProof/>
          <w:szCs w:val="24"/>
          <w:lang w:val="fr-CA"/>
        </w:rPr>
        <w:t xml:space="preserve">« les policiers </w:t>
      </w:r>
      <w:r w:rsidRPr="00822328">
        <w:rPr>
          <w:rFonts w:cs="Times New Roman"/>
          <w:i/>
          <w:noProof/>
          <w:szCs w:val="24"/>
          <w:lang w:val="fr-CA"/>
        </w:rPr>
        <w:t>n</w:t>
      </w:r>
      <w:r>
        <w:rPr>
          <w:rFonts w:cs="Times New Roman"/>
          <w:i/>
          <w:noProof/>
          <w:szCs w:val="24"/>
          <w:lang w:val="fr-CA"/>
        </w:rPr>
        <w:t>’</w:t>
      </w:r>
      <w:r w:rsidRPr="00822328">
        <w:rPr>
          <w:rFonts w:cs="Times New Roman"/>
          <w:i/>
          <w:noProof/>
          <w:szCs w:val="24"/>
          <w:lang w:val="fr-CA"/>
        </w:rPr>
        <w:t>aient alors d</w:t>
      </w:r>
      <w:r>
        <w:rPr>
          <w:rFonts w:cs="Times New Roman"/>
          <w:i/>
          <w:noProof/>
          <w:szCs w:val="24"/>
          <w:lang w:val="fr-CA"/>
        </w:rPr>
        <w:t>’</w:t>
      </w:r>
      <w:r w:rsidRPr="00822328">
        <w:rPr>
          <w:rFonts w:cs="Times New Roman"/>
          <w:i/>
          <w:noProof/>
          <w:szCs w:val="24"/>
          <w:lang w:val="fr-CA"/>
        </w:rPr>
        <w:t>autre choix</w:t>
      </w:r>
      <w:r w:rsidRPr="00822328">
        <w:rPr>
          <w:rFonts w:cs="Times New Roman"/>
          <w:noProof/>
          <w:szCs w:val="24"/>
          <w:lang w:val="fr-CA"/>
        </w:rPr>
        <w:t xml:space="preserve"> que d</w:t>
      </w:r>
      <w:r>
        <w:rPr>
          <w:rFonts w:cs="Times New Roman"/>
          <w:noProof/>
          <w:szCs w:val="24"/>
          <w:lang w:val="fr-CA"/>
        </w:rPr>
        <w:t>’</w:t>
      </w:r>
      <w:r w:rsidRPr="00822328">
        <w:rPr>
          <w:rFonts w:cs="Times New Roman"/>
          <w:noProof/>
          <w:szCs w:val="24"/>
          <w:lang w:val="fr-CA"/>
        </w:rPr>
        <w:t>entrer dans une maison d</w:t>
      </w:r>
      <w:r>
        <w:rPr>
          <w:rFonts w:cs="Times New Roman"/>
          <w:noProof/>
          <w:szCs w:val="24"/>
          <w:lang w:val="fr-CA"/>
        </w:rPr>
        <w:t>’</w:t>
      </w:r>
      <w:r w:rsidRPr="00822328">
        <w:rPr>
          <w:rFonts w:cs="Times New Roman"/>
          <w:noProof/>
          <w:szCs w:val="24"/>
          <w:lang w:val="fr-CA"/>
        </w:rPr>
        <w:t>habitation</w:t>
      </w:r>
      <w:r w:rsidRPr="00822328">
        <w:rPr>
          <w:rFonts w:cs="Times New Roman"/>
          <w:noProof/>
          <w:lang w:val="fr-CA"/>
        </w:rPr>
        <w:t> »</w:t>
      </w:r>
      <w:r w:rsidRPr="00822328">
        <w:rPr>
          <w:rFonts w:cs="Times New Roman"/>
          <w:noProof/>
          <w:szCs w:val="24"/>
          <w:lang w:val="fr-CA"/>
        </w:rPr>
        <w:t>. En d</w:t>
      </w:r>
      <w:r>
        <w:rPr>
          <w:rFonts w:cs="Times New Roman"/>
          <w:noProof/>
          <w:szCs w:val="24"/>
          <w:lang w:val="fr-CA"/>
        </w:rPr>
        <w:t>’</w:t>
      </w:r>
      <w:r w:rsidRPr="00822328">
        <w:rPr>
          <w:rFonts w:cs="Times New Roman"/>
          <w:noProof/>
          <w:szCs w:val="24"/>
          <w:lang w:val="fr-CA"/>
        </w:rPr>
        <w:t>autres termes, il soutient que le caractère « difficilement réalisable » doit s</w:t>
      </w:r>
      <w:r>
        <w:rPr>
          <w:rFonts w:cs="Times New Roman"/>
          <w:noProof/>
          <w:szCs w:val="24"/>
          <w:lang w:val="fr-CA"/>
        </w:rPr>
        <w:t>’</w:t>
      </w:r>
      <w:r w:rsidRPr="00822328">
        <w:rPr>
          <w:rFonts w:cs="Times New Roman"/>
          <w:noProof/>
          <w:szCs w:val="24"/>
          <w:lang w:val="fr-CA"/>
        </w:rPr>
        <w:t>entendre de l</w:t>
      </w:r>
      <w:r>
        <w:rPr>
          <w:rFonts w:cs="Times New Roman"/>
          <w:noProof/>
          <w:szCs w:val="24"/>
          <w:lang w:val="fr-CA"/>
        </w:rPr>
        <w:t>’</w:t>
      </w:r>
      <w:r w:rsidRPr="00822328">
        <w:rPr>
          <w:rFonts w:cs="Times New Roman"/>
          <w:noProof/>
          <w:szCs w:val="24"/>
          <w:lang w:val="fr-CA"/>
        </w:rPr>
        <w:t>impossibilité. En revanche, le ministère public fait valoir que le critère applicable est beaucoup moins strict, de sorte que l</w:t>
      </w:r>
      <w:r>
        <w:rPr>
          <w:rFonts w:cs="Times New Roman"/>
          <w:noProof/>
          <w:szCs w:val="24"/>
          <w:lang w:val="fr-CA"/>
        </w:rPr>
        <w:t>’</w:t>
      </w:r>
      <w:r w:rsidRPr="00822328">
        <w:rPr>
          <w:rFonts w:cs="Times New Roman"/>
          <w:noProof/>
          <w:szCs w:val="24"/>
          <w:lang w:val="fr-CA"/>
        </w:rPr>
        <w:t>obtention d</w:t>
      </w:r>
      <w:r>
        <w:rPr>
          <w:rFonts w:cs="Times New Roman"/>
          <w:noProof/>
          <w:szCs w:val="24"/>
          <w:lang w:val="fr-CA"/>
        </w:rPr>
        <w:t>’</w:t>
      </w:r>
      <w:r w:rsidRPr="00822328">
        <w:rPr>
          <w:rFonts w:cs="Times New Roman"/>
          <w:noProof/>
          <w:szCs w:val="24"/>
          <w:lang w:val="fr-CA"/>
        </w:rPr>
        <w:t xml:space="preserve">un mandat ne doit être ni </w:t>
      </w:r>
      <w:r w:rsidRPr="00822328">
        <w:rPr>
          <w:rFonts w:cs="Times New Roman"/>
          <w:smallCaps/>
          <w:noProof/>
          <w:szCs w:val="24"/>
          <w:lang w:val="fr-CA"/>
        </w:rPr>
        <w:t xml:space="preserve">[traduction] </w:t>
      </w:r>
      <w:r w:rsidRPr="00822328">
        <w:rPr>
          <w:rFonts w:cs="Times New Roman"/>
          <w:noProof/>
          <w:szCs w:val="24"/>
          <w:lang w:val="fr-CA"/>
        </w:rPr>
        <w:t>« réaliste » (quoi que cela puisse vouloir dire) ni « pratique ».</w:t>
      </w:r>
    </w:p>
    <w:p w:rsidR="00A37A4C" w:rsidRPr="00822328" w:rsidRDefault="00A37A4C" w:rsidP="006534E4">
      <w:pPr>
        <w:pStyle w:val="ParaNoNdepar-AltN"/>
        <w:widowControl w:val="0"/>
        <w:rPr>
          <w:rFonts w:cs="Times New Roman"/>
          <w:noProof/>
          <w:szCs w:val="24"/>
          <w:lang w:val="fr-CA"/>
        </w:rPr>
      </w:pPr>
      <w:r w:rsidRPr="00822328">
        <w:rPr>
          <w:rFonts w:cs="Times New Roman"/>
          <w:noProof/>
          <w:lang w:val="fr-CA"/>
        </w:rPr>
        <w:t>Les prétentions de l</w:t>
      </w:r>
      <w:r>
        <w:rPr>
          <w:rFonts w:cs="Times New Roman"/>
          <w:noProof/>
          <w:lang w:val="fr-CA"/>
        </w:rPr>
        <w:t>’</w:t>
      </w:r>
      <w:r w:rsidRPr="00822328">
        <w:rPr>
          <w:rFonts w:cs="Times New Roman"/>
          <w:noProof/>
          <w:lang w:val="fr-CA"/>
        </w:rPr>
        <w:t>appelant ne me convainquent pas que le qualificatif « difficilement réalisable » retenu par le législateur suppose l</w:t>
      </w:r>
      <w:r>
        <w:rPr>
          <w:rFonts w:cs="Times New Roman"/>
          <w:noProof/>
          <w:lang w:val="fr-CA"/>
        </w:rPr>
        <w:t>’</w:t>
      </w:r>
      <w:r w:rsidRPr="00822328">
        <w:rPr>
          <w:rFonts w:cs="Times New Roman"/>
          <w:noProof/>
          <w:lang w:val="fr-CA"/>
        </w:rPr>
        <w:t>application de la condition stricte de l</w:t>
      </w:r>
      <w:r>
        <w:rPr>
          <w:rFonts w:cs="Times New Roman"/>
          <w:noProof/>
          <w:lang w:val="fr-CA"/>
        </w:rPr>
        <w:t>’</w:t>
      </w:r>
      <w:r w:rsidRPr="00822328">
        <w:rPr>
          <w:rFonts w:cs="Times New Roman"/>
          <w:noProof/>
          <w:lang w:val="fr-CA"/>
        </w:rPr>
        <w:t>impossibilité. Celles du ministère public ne me convainquent pas non plus qu</w:t>
      </w:r>
      <w:r>
        <w:rPr>
          <w:rFonts w:cs="Times New Roman"/>
          <w:noProof/>
          <w:lang w:val="fr-CA"/>
        </w:rPr>
        <w:t>’</w:t>
      </w:r>
      <w:r w:rsidRPr="00822328">
        <w:rPr>
          <w:rFonts w:cs="Times New Roman"/>
          <w:noProof/>
          <w:lang w:val="fr-CA"/>
        </w:rPr>
        <w:t>il sera « difficilement réalisable » d</w:t>
      </w:r>
      <w:r>
        <w:rPr>
          <w:rFonts w:cs="Times New Roman"/>
          <w:noProof/>
          <w:lang w:val="fr-CA"/>
        </w:rPr>
        <w:t>’</w:t>
      </w:r>
      <w:r w:rsidRPr="00822328">
        <w:rPr>
          <w:rFonts w:cs="Times New Roman"/>
          <w:noProof/>
          <w:lang w:val="fr-CA"/>
        </w:rPr>
        <w:t>obtenir un mandat de perquisition du seul fait que ce sera « peu pratique ». Cependant, considéré dans le contexte du par. 11(7), dont le critère de l</w:t>
      </w:r>
      <w:r>
        <w:rPr>
          <w:rFonts w:cs="Times New Roman"/>
          <w:noProof/>
          <w:lang w:val="fr-CA"/>
        </w:rPr>
        <w:t>’</w:t>
      </w:r>
      <w:r w:rsidRPr="00822328">
        <w:rPr>
          <w:rFonts w:cs="Times New Roman"/>
          <w:noProof/>
          <w:lang w:val="fr-CA"/>
        </w:rPr>
        <w:t>urgence de la situation, le qualificatif « difficilement réalisable » suppose, tout bien considéré, l</w:t>
      </w:r>
      <w:r>
        <w:rPr>
          <w:rFonts w:cs="Times New Roman"/>
          <w:noProof/>
          <w:lang w:val="fr-CA"/>
        </w:rPr>
        <w:t>’</w:t>
      </w:r>
      <w:r w:rsidRPr="00822328">
        <w:rPr>
          <w:rFonts w:cs="Times New Roman"/>
          <w:noProof/>
          <w:lang w:val="fr-CA"/>
        </w:rPr>
        <w:t>application d</w:t>
      </w:r>
      <w:r>
        <w:rPr>
          <w:rFonts w:cs="Times New Roman"/>
          <w:noProof/>
          <w:lang w:val="fr-CA"/>
        </w:rPr>
        <w:t>’</w:t>
      </w:r>
      <w:r w:rsidRPr="00822328">
        <w:rPr>
          <w:rFonts w:cs="Times New Roman"/>
          <w:noProof/>
          <w:lang w:val="fr-CA"/>
        </w:rPr>
        <w:t>un critère plus strict voulant que l</w:t>
      </w:r>
      <w:r>
        <w:rPr>
          <w:rFonts w:cs="Times New Roman"/>
          <w:noProof/>
          <w:lang w:val="fr-CA"/>
        </w:rPr>
        <w:t>’</w:t>
      </w:r>
      <w:r w:rsidRPr="00822328">
        <w:rPr>
          <w:rFonts w:cs="Times New Roman"/>
          <w:noProof/>
          <w:lang w:val="fr-CA"/>
        </w:rPr>
        <w:t>obtention d</w:t>
      </w:r>
      <w:r>
        <w:rPr>
          <w:rFonts w:cs="Times New Roman"/>
          <w:noProof/>
          <w:lang w:val="fr-CA"/>
        </w:rPr>
        <w:t>’</w:t>
      </w:r>
      <w:r w:rsidRPr="00822328">
        <w:rPr>
          <w:rFonts w:cs="Times New Roman"/>
          <w:noProof/>
          <w:lang w:val="fr-CA"/>
        </w:rPr>
        <w:t>un mandat soit</w:t>
      </w:r>
      <w:r w:rsidRPr="00822328">
        <w:rPr>
          <w:rFonts w:cs="Times New Roman"/>
          <w:noProof/>
          <w:szCs w:val="24"/>
          <w:lang w:val="fr-CA"/>
        </w:rPr>
        <w:t xml:space="preserve"> impossible dans les faits ou inenvisageable. Dans la version anglaise de la disposition, le terme correspondant à « difficilement réalisable » </w:t>
      </w:r>
      <w:r w:rsidRPr="00822328">
        <w:rPr>
          <w:rFonts w:cs="Times New Roman"/>
          <w:lang w:val="fr-CA"/>
        </w:rPr>
        <w:t>—</w:t>
      </w:r>
      <w:r w:rsidRPr="00822328">
        <w:rPr>
          <w:rFonts w:cs="Times New Roman"/>
          <w:noProof/>
          <w:szCs w:val="24"/>
          <w:lang w:val="fr-CA"/>
        </w:rPr>
        <w:t xml:space="preserve"> « </w:t>
      </w:r>
      <w:r w:rsidRPr="00822328">
        <w:rPr>
          <w:rFonts w:cs="Times New Roman"/>
          <w:i/>
          <w:noProof/>
          <w:szCs w:val="24"/>
          <w:lang w:val="fr-CA"/>
        </w:rPr>
        <w:t>impracticable</w:t>
      </w:r>
      <w:r w:rsidRPr="00822328">
        <w:rPr>
          <w:rFonts w:cs="Times New Roman"/>
          <w:noProof/>
          <w:szCs w:val="24"/>
          <w:lang w:val="fr-CA"/>
        </w:rPr>
        <w:t xml:space="preserve"> » </w:t>
      </w:r>
      <w:r w:rsidRPr="00822328">
        <w:rPr>
          <w:rFonts w:cs="Times New Roman"/>
          <w:lang w:val="fr-CA"/>
        </w:rPr>
        <w:t>— se concilie également avec</w:t>
      </w:r>
      <w:r w:rsidRPr="00822328">
        <w:rPr>
          <w:rFonts w:cs="Times New Roman"/>
          <w:noProof/>
          <w:szCs w:val="24"/>
          <w:lang w:val="fr-CA"/>
        </w:rPr>
        <w:t xml:space="preserve"> l</w:t>
      </w:r>
      <w:r>
        <w:rPr>
          <w:rFonts w:cs="Times New Roman"/>
          <w:noProof/>
          <w:szCs w:val="24"/>
          <w:lang w:val="fr-CA"/>
        </w:rPr>
        <w:t>’</w:t>
      </w:r>
      <w:r w:rsidRPr="00822328">
        <w:rPr>
          <w:rFonts w:cs="Times New Roman"/>
          <w:noProof/>
          <w:szCs w:val="24"/>
          <w:lang w:val="fr-CA"/>
        </w:rPr>
        <w:t>application d</w:t>
      </w:r>
      <w:r>
        <w:rPr>
          <w:rFonts w:cs="Times New Roman"/>
          <w:noProof/>
          <w:szCs w:val="24"/>
          <w:lang w:val="fr-CA"/>
        </w:rPr>
        <w:t>’</w:t>
      </w:r>
      <w:r w:rsidRPr="00822328">
        <w:rPr>
          <w:rFonts w:cs="Times New Roman"/>
          <w:noProof/>
          <w:szCs w:val="24"/>
          <w:lang w:val="fr-CA"/>
        </w:rPr>
        <w:t>une condition moins stricte que l</w:t>
      </w:r>
      <w:r>
        <w:rPr>
          <w:rFonts w:cs="Times New Roman"/>
          <w:noProof/>
          <w:szCs w:val="24"/>
          <w:lang w:val="fr-CA"/>
        </w:rPr>
        <w:t>’</w:t>
      </w:r>
      <w:r w:rsidRPr="00822328">
        <w:rPr>
          <w:rFonts w:cs="Times New Roman"/>
          <w:noProof/>
          <w:szCs w:val="24"/>
          <w:lang w:val="fr-CA"/>
        </w:rPr>
        <w:t>impossibilité mais plus stricte que celle du caractère « peu pratique »</w:t>
      </w:r>
      <w:r w:rsidRPr="00822328">
        <w:rPr>
          <w:rStyle w:val="FootnoteReference"/>
          <w:rFonts w:cs="Times New Roman"/>
          <w:noProof/>
          <w:szCs w:val="24"/>
          <w:lang w:val="fr-CA"/>
        </w:rPr>
        <w:footnoteReference w:id="3"/>
      </w:r>
      <w:r w:rsidRPr="00822328">
        <w:rPr>
          <w:rFonts w:cs="Times New Roman"/>
          <w:noProof/>
          <w:szCs w:val="24"/>
          <w:lang w:val="fr-CA"/>
        </w:rPr>
        <w:t xml:space="preserve">. Dans cette optique, le qualificatif </w:t>
      </w:r>
      <w:r w:rsidRPr="00822328">
        <w:rPr>
          <w:rFonts w:cs="Times New Roman"/>
          <w:noProof/>
          <w:lang w:val="fr-CA"/>
        </w:rPr>
        <w:t xml:space="preserve">employé au par. 11(7) suppose que la nature urgente </w:t>
      </w:r>
      <w:r w:rsidRPr="00822328">
        <w:rPr>
          <w:rFonts w:cs="Times New Roman"/>
          <w:noProof/>
          <w:szCs w:val="24"/>
          <w:lang w:val="fr-CA"/>
        </w:rPr>
        <w:t>de la situation est telle que prendre le temps d</w:t>
      </w:r>
      <w:r>
        <w:rPr>
          <w:rFonts w:cs="Times New Roman"/>
          <w:noProof/>
          <w:szCs w:val="24"/>
          <w:lang w:val="fr-CA"/>
        </w:rPr>
        <w:t>’</w:t>
      </w:r>
      <w:r w:rsidRPr="00822328">
        <w:rPr>
          <w:rFonts w:cs="Times New Roman"/>
          <w:noProof/>
          <w:szCs w:val="24"/>
          <w:lang w:val="fr-CA"/>
        </w:rPr>
        <w:t>obtenir un mandat compromettrait sérieusement l</w:t>
      </w:r>
      <w:r>
        <w:rPr>
          <w:rFonts w:cs="Times New Roman"/>
          <w:noProof/>
          <w:szCs w:val="24"/>
          <w:lang w:val="fr-CA"/>
        </w:rPr>
        <w:t>’</w:t>
      </w:r>
      <w:r w:rsidRPr="00822328">
        <w:rPr>
          <w:rFonts w:cs="Times New Roman"/>
          <w:noProof/>
          <w:szCs w:val="24"/>
          <w:lang w:val="fr-CA"/>
        </w:rPr>
        <w:t>objectif de l</w:t>
      </w:r>
      <w:r>
        <w:rPr>
          <w:rFonts w:cs="Times New Roman"/>
          <w:noProof/>
          <w:szCs w:val="24"/>
          <w:lang w:val="fr-CA"/>
        </w:rPr>
        <w:t>’</w:t>
      </w:r>
      <w:r w:rsidRPr="00822328">
        <w:rPr>
          <w:rFonts w:cs="Times New Roman"/>
          <w:noProof/>
          <w:szCs w:val="24"/>
          <w:lang w:val="fr-CA"/>
        </w:rPr>
        <w:t>intervention policière, qu</w:t>
      </w:r>
      <w:r>
        <w:rPr>
          <w:rFonts w:cs="Times New Roman"/>
          <w:noProof/>
          <w:szCs w:val="24"/>
          <w:lang w:val="fr-CA"/>
        </w:rPr>
        <w:t>’</w:t>
      </w:r>
      <w:r w:rsidRPr="00822328">
        <w:rPr>
          <w:rFonts w:cs="Times New Roman"/>
          <w:noProof/>
          <w:szCs w:val="24"/>
          <w:lang w:val="fr-CA"/>
        </w:rPr>
        <w:t>il s</w:t>
      </w:r>
      <w:r>
        <w:rPr>
          <w:rFonts w:cs="Times New Roman"/>
          <w:noProof/>
          <w:szCs w:val="24"/>
          <w:lang w:val="fr-CA"/>
        </w:rPr>
        <w:t>’</w:t>
      </w:r>
      <w:r w:rsidRPr="00822328">
        <w:rPr>
          <w:rFonts w:cs="Times New Roman"/>
          <w:noProof/>
          <w:szCs w:val="24"/>
          <w:lang w:val="fr-CA"/>
        </w:rPr>
        <w:t>agisse soit de préserver la preuve, soit d</w:t>
      </w:r>
      <w:r>
        <w:rPr>
          <w:rFonts w:cs="Times New Roman"/>
          <w:noProof/>
          <w:szCs w:val="24"/>
          <w:lang w:val="fr-CA"/>
        </w:rPr>
        <w:t>’</w:t>
      </w:r>
      <w:r w:rsidRPr="00822328">
        <w:rPr>
          <w:rFonts w:cs="Times New Roman"/>
          <w:noProof/>
          <w:szCs w:val="24"/>
          <w:lang w:val="fr-CA"/>
        </w:rPr>
        <w:t xml:space="preserve">assurer la sécurité des policiers ou celle du public. </w:t>
      </w:r>
    </w:p>
    <w:p w:rsidR="00A37A4C" w:rsidRPr="00822328" w:rsidRDefault="00A37A4C" w:rsidP="006534E4">
      <w:pPr>
        <w:pStyle w:val="ParaNoNdepar-AltN"/>
        <w:widowControl w:val="0"/>
        <w:rPr>
          <w:rFonts w:cs="Times New Roman"/>
          <w:noProof/>
          <w:szCs w:val="24"/>
          <w:lang w:val="fr-CA"/>
        </w:rPr>
      </w:pPr>
      <w:r w:rsidRPr="00822328">
        <w:rPr>
          <w:rFonts w:cs="Times New Roman"/>
          <w:noProof/>
          <w:lang w:val="fr-CA"/>
        </w:rPr>
        <w:t>Dès lors, pour que l</w:t>
      </w:r>
      <w:r>
        <w:rPr>
          <w:rFonts w:cs="Times New Roman"/>
          <w:noProof/>
          <w:lang w:val="fr-CA"/>
        </w:rPr>
        <w:t>’</w:t>
      </w:r>
      <w:r w:rsidRPr="00822328">
        <w:rPr>
          <w:rFonts w:cs="Times New Roman"/>
          <w:noProof/>
          <w:lang w:val="fr-CA"/>
        </w:rPr>
        <w:t>entrée sans mandat réponde aux exigences du par. 11(7), le ministère public doit démontrer qu</w:t>
      </w:r>
      <w:r>
        <w:rPr>
          <w:rFonts w:cs="Times New Roman"/>
          <w:noProof/>
          <w:lang w:val="fr-CA"/>
        </w:rPr>
        <w:t>’</w:t>
      </w:r>
      <w:r w:rsidRPr="00822328">
        <w:rPr>
          <w:rFonts w:cs="Times New Roman"/>
          <w:noProof/>
          <w:lang w:val="fr-CA"/>
        </w:rPr>
        <w:t>elle s</w:t>
      </w:r>
      <w:r>
        <w:rPr>
          <w:rFonts w:cs="Times New Roman"/>
          <w:noProof/>
          <w:lang w:val="fr-CA"/>
        </w:rPr>
        <w:t>’</w:t>
      </w:r>
      <w:r w:rsidRPr="00822328">
        <w:rPr>
          <w:rFonts w:cs="Times New Roman"/>
          <w:noProof/>
          <w:lang w:val="fr-CA"/>
        </w:rPr>
        <w:t>imposait en raison du caractère pressant de la situation, que les policiers se devaient d</w:t>
      </w:r>
      <w:r>
        <w:rPr>
          <w:rFonts w:cs="Times New Roman"/>
          <w:noProof/>
          <w:lang w:val="fr-CA"/>
        </w:rPr>
        <w:t>’</w:t>
      </w:r>
      <w:r w:rsidRPr="00822328">
        <w:rPr>
          <w:rFonts w:cs="Times New Roman"/>
          <w:noProof/>
          <w:lang w:val="fr-CA"/>
        </w:rPr>
        <w:t>intervenir sans délai soit pour préserver la preuve, soit pour assurer leur sécurité ou celle du public. De plus, ce caractère pressant doit avoir été tel que prendre le temps d</w:t>
      </w:r>
      <w:r>
        <w:rPr>
          <w:rFonts w:cs="Times New Roman"/>
          <w:noProof/>
          <w:lang w:val="fr-CA"/>
        </w:rPr>
        <w:t>’</w:t>
      </w:r>
      <w:r w:rsidRPr="00822328">
        <w:rPr>
          <w:rFonts w:cs="Times New Roman"/>
          <w:noProof/>
          <w:lang w:val="fr-CA"/>
        </w:rPr>
        <w:t>obtenir un mandat aurait sérieusement compromis ces impératifs</w:t>
      </w:r>
      <w:r w:rsidRPr="00822328">
        <w:rPr>
          <w:rFonts w:cs="Times New Roman"/>
          <w:noProof/>
          <w:szCs w:val="24"/>
          <w:lang w:val="fr-CA"/>
        </w:rPr>
        <w:t>.</w:t>
      </w:r>
    </w:p>
    <w:p w:rsidR="00A37A4C" w:rsidRPr="00822328" w:rsidRDefault="00A37A4C" w:rsidP="006534E4">
      <w:pPr>
        <w:pStyle w:val="Title3LevelTitre3Niveau"/>
        <w:widowControl w:val="0"/>
        <w:tabs>
          <w:tab w:val="clear" w:pos="1152"/>
          <w:tab w:val="num" w:pos="864"/>
        </w:tabs>
        <w:ind w:left="864" w:hanging="432"/>
        <w:outlineLvl w:val="0"/>
        <w:rPr>
          <w:rFonts w:cs="Times New Roman"/>
          <w:noProof/>
          <w:szCs w:val="24"/>
          <w:lang w:val="fr-CA"/>
        </w:rPr>
      </w:pPr>
      <w:r w:rsidRPr="00822328">
        <w:rPr>
          <w:rFonts w:cs="Times New Roman"/>
          <w:noProof/>
          <w:szCs w:val="24"/>
          <w:lang w:val="fr-CA"/>
        </w:rPr>
        <w:t>La perquisition sans mandat effectuée sur le fondement du par</w:t>
      </w:r>
      <w:r w:rsidR="00363E9C">
        <w:rPr>
          <w:rFonts w:cs="Times New Roman"/>
          <w:noProof/>
          <w:szCs w:val="24"/>
          <w:lang w:val="fr-CA"/>
        </w:rPr>
        <w:t>.</w:t>
      </w:r>
      <w:r w:rsidRPr="00822328">
        <w:rPr>
          <w:rFonts w:cs="Times New Roman"/>
          <w:noProof/>
          <w:szCs w:val="24"/>
          <w:lang w:val="fr-CA"/>
        </w:rPr>
        <w:t> 11(7) était</w:t>
      </w:r>
      <w:r w:rsidRPr="00822328">
        <w:rPr>
          <w:rFonts w:cs="Times New Roman"/>
          <w:noProof/>
          <w:szCs w:val="24"/>
          <w:lang w:val="fr-CA"/>
        </w:rPr>
        <w:noBreakHyphen/>
        <w:t>elle justifiée en l</w:t>
      </w:r>
      <w:r>
        <w:rPr>
          <w:rFonts w:cs="Times New Roman"/>
          <w:noProof/>
          <w:szCs w:val="24"/>
          <w:lang w:val="fr-CA"/>
        </w:rPr>
        <w:t>’</w:t>
      </w:r>
      <w:r w:rsidRPr="00822328">
        <w:rPr>
          <w:rFonts w:cs="Times New Roman"/>
          <w:noProof/>
          <w:szCs w:val="24"/>
          <w:lang w:val="fr-CA"/>
        </w:rPr>
        <w:t>espèce?</w:t>
      </w:r>
    </w:p>
    <w:p w:rsidR="00A37A4C" w:rsidRPr="00822328" w:rsidRDefault="00A37A4C" w:rsidP="006534E4">
      <w:pPr>
        <w:pStyle w:val="ParaNoNdepar-AltN"/>
        <w:widowControl w:val="0"/>
        <w:tabs>
          <w:tab w:val="clear" w:pos="1152"/>
          <w:tab w:val="left" w:pos="1166"/>
        </w:tabs>
        <w:rPr>
          <w:rFonts w:cs="Times New Roman"/>
          <w:noProof/>
          <w:szCs w:val="24"/>
          <w:lang w:val="fr-CA"/>
        </w:rPr>
      </w:pPr>
      <w:r w:rsidRPr="00822328">
        <w:rPr>
          <w:rFonts w:cs="Times New Roman"/>
          <w:noProof/>
          <w:szCs w:val="24"/>
          <w:lang w:val="fr-CA"/>
        </w:rPr>
        <w:t>Le juge du procès conclut que l</w:t>
      </w:r>
      <w:r>
        <w:rPr>
          <w:rFonts w:cs="Times New Roman"/>
          <w:noProof/>
          <w:szCs w:val="24"/>
          <w:lang w:val="fr-CA"/>
        </w:rPr>
        <w:t>’</w:t>
      </w:r>
      <w:r w:rsidRPr="00822328">
        <w:rPr>
          <w:rFonts w:cs="Times New Roman"/>
          <w:noProof/>
          <w:szCs w:val="24"/>
          <w:lang w:val="fr-CA"/>
        </w:rPr>
        <w:t>« urgence de la situation » tenait à deux choses en l</w:t>
      </w:r>
      <w:r>
        <w:rPr>
          <w:rFonts w:cs="Times New Roman"/>
          <w:noProof/>
          <w:szCs w:val="24"/>
          <w:lang w:val="fr-CA"/>
        </w:rPr>
        <w:t>’</w:t>
      </w:r>
      <w:r w:rsidRPr="00822328">
        <w:rPr>
          <w:rFonts w:cs="Times New Roman"/>
          <w:noProof/>
          <w:szCs w:val="24"/>
          <w:lang w:val="fr-CA"/>
        </w:rPr>
        <w:t xml:space="preserve">espèce. Premièrement, les policiers avaient </w:t>
      </w:r>
      <w:r w:rsidRPr="00822328">
        <w:rPr>
          <w:rFonts w:cs="Times New Roman"/>
          <w:smallCaps/>
          <w:noProof/>
          <w:szCs w:val="24"/>
          <w:lang w:val="fr-CA"/>
        </w:rPr>
        <w:t>[traduction]</w:t>
      </w:r>
      <w:r w:rsidRPr="00822328">
        <w:rPr>
          <w:rFonts w:cs="Times New Roman"/>
          <w:noProof/>
          <w:szCs w:val="24"/>
          <w:lang w:val="fr-CA"/>
        </w:rPr>
        <w:t xml:space="preserve"> « des motifs raisonnables de croire à la présence d</w:t>
      </w:r>
      <w:r>
        <w:rPr>
          <w:rFonts w:cs="Times New Roman"/>
          <w:noProof/>
          <w:szCs w:val="24"/>
          <w:lang w:val="fr-CA"/>
        </w:rPr>
        <w:t>’</w:t>
      </w:r>
      <w:r w:rsidRPr="00822328">
        <w:rPr>
          <w:rFonts w:cs="Times New Roman"/>
          <w:noProof/>
          <w:szCs w:val="24"/>
          <w:lang w:val="fr-CA"/>
        </w:rPr>
        <w:t xml:space="preserve">une quantité </w:t>
      </w:r>
      <w:r w:rsidRPr="00822328">
        <w:rPr>
          <w:rFonts w:cs="Times New Roman"/>
          <w:lang w:val="fr-CA"/>
        </w:rPr>
        <w:t>—</w:t>
      </w:r>
      <w:r w:rsidRPr="00822328">
        <w:rPr>
          <w:rFonts w:cs="Times New Roman"/>
          <w:noProof/>
          <w:szCs w:val="24"/>
          <w:lang w:val="fr-CA"/>
        </w:rPr>
        <w:t xml:space="preserve"> quoique minime </w:t>
      </w:r>
      <w:r w:rsidRPr="00822328">
        <w:rPr>
          <w:rFonts w:cs="Times New Roman"/>
          <w:lang w:val="fr-CA"/>
        </w:rPr>
        <w:t>—</w:t>
      </w:r>
      <w:r w:rsidRPr="00822328">
        <w:rPr>
          <w:rFonts w:cs="Times New Roman"/>
          <w:noProof/>
          <w:szCs w:val="24"/>
          <w:lang w:val="fr-CA"/>
        </w:rPr>
        <w:t xml:space="preserve"> d</w:t>
      </w:r>
      <w:r>
        <w:rPr>
          <w:rFonts w:cs="Times New Roman"/>
          <w:noProof/>
          <w:szCs w:val="24"/>
          <w:lang w:val="fr-CA"/>
        </w:rPr>
        <w:t>’</w:t>
      </w:r>
      <w:r w:rsidRPr="00822328">
        <w:rPr>
          <w:rFonts w:cs="Times New Roman"/>
          <w:noProof/>
          <w:szCs w:val="24"/>
          <w:lang w:val="fr-CA"/>
        </w:rPr>
        <w:t>une substance désignée dans l</w:t>
      </w:r>
      <w:r>
        <w:rPr>
          <w:rFonts w:cs="Times New Roman"/>
          <w:noProof/>
          <w:szCs w:val="24"/>
          <w:lang w:val="fr-CA"/>
        </w:rPr>
        <w:t>’</w:t>
      </w:r>
      <w:r w:rsidRPr="00822328">
        <w:rPr>
          <w:rFonts w:cs="Times New Roman"/>
          <w:noProof/>
          <w:szCs w:val="24"/>
          <w:lang w:val="fr-CA"/>
        </w:rPr>
        <w:t>appartement de l</w:t>
      </w:r>
      <w:r>
        <w:rPr>
          <w:rFonts w:cs="Times New Roman"/>
          <w:noProof/>
          <w:szCs w:val="24"/>
          <w:lang w:val="fr-CA"/>
        </w:rPr>
        <w:t>’</w:t>
      </w:r>
      <w:r w:rsidRPr="00822328">
        <w:rPr>
          <w:rFonts w:cs="Times New Roman"/>
          <w:noProof/>
          <w:szCs w:val="24"/>
          <w:lang w:val="fr-CA"/>
        </w:rPr>
        <w:t>accusé » (par. 75). Deuxièmement, ils croyaient raisonnablement « que la substance désignée risquait d</w:t>
      </w:r>
      <w:r>
        <w:rPr>
          <w:rFonts w:cs="Times New Roman"/>
          <w:noProof/>
          <w:szCs w:val="24"/>
          <w:lang w:val="fr-CA"/>
        </w:rPr>
        <w:t>’</w:t>
      </w:r>
      <w:r w:rsidRPr="00822328">
        <w:rPr>
          <w:rFonts w:cs="Times New Roman"/>
          <w:noProof/>
          <w:szCs w:val="24"/>
          <w:lang w:val="fr-CA"/>
        </w:rPr>
        <w:t xml:space="preserve">être perdue, détruite ou consommée </w:t>
      </w:r>
      <w:r w:rsidRPr="00822328">
        <w:rPr>
          <w:rFonts w:cs="Times New Roman"/>
          <w:noProof/>
          <w:szCs w:val="24"/>
          <w:u w:val="single"/>
          <w:lang w:val="fr-CA"/>
        </w:rPr>
        <w:t>puisqu</w:t>
      </w:r>
      <w:r>
        <w:rPr>
          <w:rFonts w:cs="Times New Roman"/>
          <w:noProof/>
          <w:szCs w:val="24"/>
          <w:u w:val="single"/>
          <w:lang w:val="fr-CA"/>
        </w:rPr>
        <w:t>’</w:t>
      </w:r>
      <w:r w:rsidRPr="00822328">
        <w:rPr>
          <w:rFonts w:cs="Times New Roman"/>
          <w:noProof/>
          <w:szCs w:val="24"/>
          <w:u w:val="single"/>
          <w:lang w:val="fr-CA"/>
        </w:rPr>
        <w:t>ils ne comptaient pas arrêter l</w:t>
      </w:r>
      <w:r>
        <w:rPr>
          <w:rFonts w:cs="Times New Roman"/>
          <w:noProof/>
          <w:szCs w:val="24"/>
          <w:u w:val="single"/>
          <w:lang w:val="fr-CA"/>
        </w:rPr>
        <w:t>’</w:t>
      </w:r>
      <w:r w:rsidRPr="00822328">
        <w:rPr>
          <w:rFonts w:cs="Times New Roman"/>
          <w:noProof/>
          <w:szCs w:val="24"/>
          <w:u w:val="single"/>
          <w:lang w:val="fr-CA"/>
        </w:rPr>
        <w:t>accusé pour la possession de cette quantité de marihuana, de sorte que ce dernier serait demeuré dans l</w:t>
      </w:r>
      <w:r>
        <w:rPr>
          <w:rFonts w:cs="Times New Roman"/>
          <w:noProof/>
          <w:szCs w:val="24"/>
          <w:u w:val="single"/>
          <w:lang w:val="fr-CA"/>
        </w:rPr>
        <w:t>’</w:t>
      </w:r>
      <w:r w:rsidRPr="00822328">
        <w:rPr>
          <w:rFonts w:cs="Times New Roman"/>
          <w:noProof/>
          <w:szCs w:val="24"/>
          <w:u w:val="single"/>
          <w:lang w:val="fr-CA"/>
        </w:rPr>
        <w:t>appartement</w:t>
      </w:r>
      <w:r w:rsidRPr="00805FD2">
        <w:rPr>
          <w:rFonts w:cs="Times New Roman"/>
          <w:noProof/>
          <w:szCs w:val="24"/>
          <w:lang w:val="fr-CA"/>
        </w:rPr>
        <w:t> </w:t>
      </w:r>
      <w:r w:rsidR="00363E9C">
        <w:rPr>
          <w:rFonts w:cs="Times New Roman"/>
          <w:noProof/>
          <w:szCs w:val="24"/>
          <w:lang w:val="fr-CA"/>
        </w:rPr>
        <w:t>» (par. 75 (</w:t>
      </w:r>
      <w:r w:rsidRPr="00822328">
        <w:rPr>
          <w:rFonts w:cs="Times New Roman"/>
          <w:noProof/>
          <w:szCs w:val="24"/>
          <w:lang w:val="fr-CA"/>
        </w:rPr>
        <w:t>je souligne)</w:t>
      </w:r>
      <w:r w:rsidR="00363E9C">
        <w:rPr>
          <w:rFonts w:cs="Times New Roman"/>
          <w:noProof/>
          <w:szCs w:val="24"/>
          <w:lang w:val="fr-CA"/>
        </w:rPr>
        <w:t>)</w:t>
      </w:r>
      <w:r w:rsidRPr="00822328">
        <w:rPr>
          <w:rFonts w:cs="Times New Roman"/>
          <w:noProof/>
          <w:szCs w:val="24"/>
          <w:lang w:val="fr-CA"/>
        </w:rPr>
        <w:t xml:space="preserve">. Le juge indique (au par. 76, citant </w:t>
      </w:r>
      <w:r w:rsidRPr="00822328">
        <w:rPr>
          <w:rFonts w:cs="Times New Roman"/>
          <w:i/>
          <w:noProof/>
          <w:szCs w:val="24"/>
          <w:lang w:val="fr-CA"/>
        </w:rPr>
        <w:t>R. c. Erickson</w:t>
      </w:r>
      <w:r w:rsidRPr="00822328">
        <w:rPr>
          <w:rFonts w:cs="Times New Roman"/>
          <w:noProof/>
          <w:szCs w:val="24"/>
          <w:lang w:val="fr-CA"/>
        </w:rPr>
        <w:t>, 2003 BCCA 693, 192 B.C.A.C. 203, par. 33) que cette situation a rendu l</w:t>
      </w:r>
      <w:r>
        <w:rPr>
          <w:rFonts w:cs="Times New Roman"/>
          <w:noProof/>
          <w:szCs w:val="24"/>
          <w:lang w:val="fr-CA"/>
        </w:rPr>
        <w:t>’</w:t>
      </w:r>
      <w:r w:rsidRPr="00822328">
        <w:rPr>
          <w:rFonts w:cs="Times New Roman"/>
          <w:noProof/>
          <w:szCs w:val="24"/>
          <w:lang w:val="fr-CA"/>
        </w:rPr>
        <w:t>obtention d</w:t>
      </w:r>
      <w:r>
        <w:rPr>
          <w:rFonts w:cs="Times New Roman"/>
          <w:noProof/>
          <w:szCs w:val="24"/>
          <w:lang w:val="fr-CA"/>
        </w:rPr>
        <w:t>’</w:t>
      </w:r>
      <w:r w:rsidRPr="00822328">
        <w:rPr>
          <w:rFonts w:cs="Times New Roman"/>
          <w:noProof/>
          <w:szCs w:val="24"/>
          <w:lang w:val="fr-CA"/>
        </w:rPr>
        <w:t>un mandat difficilement réalisable (à savoir, selon lui, « pas tout à fait impossible et assez pratique »), de sorte que l</w:t>
      </w:r>
      <w:r>
        <w:rPr>
          <w:rFonts w:cs="Times New Roman"/>
          <w:noProof/>
          <w:szCs w:val="24"/>
          <w:lang w:val="fr-CA"/>
        </w:rPr>
        <w:t>’</w:t>
      </w:r>
      <w:r w:rsidRPr="00822328">
        <w:rPr>
          <w:rFonts w:cs="Times New Roman"/>
          <w:noProof/>
          <w:szCs w:val="24"/>
          <w:lang w:val="fr-CA"/>
        </w:rPr>
        <w:t>intervention des policiers était justifiée au regard du par. 11(7). Arrivant à la même conclusion, la Cour d</w:t>
      </w:r>
      <w:r>
        <w:rPr>
          <w:rFonts w:cs="Times New Roman"/>
          <w:noProof/>
          <w:szCs w:val="24"/>
          <w:lang w:val="fr-CA"/>
        </w:rPr>
        <w:t>’</w:t>
      </w:r>
      <w:r w:rsidRPr="00822328">
        <w:rPr>
          <w:rFonts w:cs="Times New Roman"/>
          <w:noProof/>
          <w:szCs w:val="24"/>
          <w:lang w:val="fr-CA"/>
        </w:rPr>
        <w:t>appel fait remarquer que l</w:t>
      </w:r>
      <w:r>
        <w:rPr>
          <w:rFonts w:cs="Times New Roman"/>
          <w:noProof/>
          <w:szCs w:val="24"/>
          <w:lang w:val="fr-CA"/>
        </w:rPr>
        <w:t>’</w:t>
      </w:r>
      <w:r w:rsidRPr="00822328">
        <w:rPr>
          <w:rFonts w:cs="Times New Roman"/>
          <w:noProof/>
          <w:szCs w:val="24"/>
          <w:lang w:val="fr-CA"/>
        </w:rPr>
        <w:t>appelant a admis avoir de la marihuana chez lui, que les policiers ne comptaient pas l</w:t>
      </w:r>
      <w:r>
        <w:rPr>
          <w:rFonts w:cs="Times New Roman"/>
          <w:noProof/>
          <w:szCs w:val="24"/>
          <w:lang w:val="fr-CA"/>
        </w:rPr>
        <w:t>’</w:t>
      </w:r>
      <w:r w:rsidRPr="00822328">
        <w:rPr>
          <w:rFonts w:cs="Times New Roman"/>
          <w:noProof/>
          <w:szCs w:val="24"/>
          <w:lang w:val="fr-CA"/>
        </w:rPr>
        <w:t>arrêter mais seulement saisir les mégots puis quitter les lieux et que s</w:t>
      </w:r>
      <w:r>
        <w:rPr>
          <w:rFonts w:cs="Times New Roman"/>
          <w:noProof/>
          <w:szCs w:val="24"/>
          <w:lang w:val="fr-CA"/>
        </w:rPr>
        <w:t>’</w:t>
      </w:r>
      <w:r w:rsidRPr="00822328">
        <w:rPr>
          <w:rFonts w:cs="Times New Roman"/>
          <w:noProof/>
          <w:szCs w:val="24"/>
          <w:lang w:val="fr-CA"/>
        </w:rPr>
        <w:t>ils étaient allés chercher un mandat,</w:t>
      </w:r>
      <w:r w:rsidR="00363E9C">
        <w:rPr>
          <w:rFonts w:cs="Times New Roman"/>
          <w:noProof/>
          <w:szCs w:val="24"/>
          <w:lang w:val="fr-CA"/>
        </w:rPr>
        <w:t xml:space="preserve"> [</w:t>
      </w:r>
      <w:r w:rsidR="00363E9C" w:rsidRPr="00363E9C">
        <w:rPr>
          <w:rFonts w:cs="Times New Roman"/>
          <w:smallCaps/>
          <w:noProof/>
          <w:szCs w:val="24"/>
          <w:lang w:val="fr-CA"/>
        </w:rPr>
        <w:t>traduction</w:t>
      </w:r>
      <w:r w:rsidR="00363E9C">
        <w:rPr>
          <w:rFonts w:cs="Times New Roman"/>
          <w:noProof/>
          <w:szCs w:val="24"/>
          <w:lang w:val="fr-CA"/>
        </w:rPr>
        <w:t>]</w:t>
      </w:r>
      <w:r w:rsidRPr="00822328">
        <w:rPr>
          <w:rFonts w:cs="Times New Roman"/>
          <w:noProof/>
          <w:szCs w:val="24"/>
          <w:lang w:val="fr-CA"/>
        </w:rPr>
        <w:t xml:space="preserve"> « l</w:t>
      </w:r>
      <w:r>
        <w:rPr>
          <w:rFonts w:cs="Times New Roman"/>
          <w:noProof/>
          <w:szCs w:val="24"/>
          <w:lang w:val="fr-CA"/>
        </w:rPr>
        <w:t>’</w:t>
      </w:r>
      <w:r w:rsidRPr="00822328">
        <w:rPr>
          <w:rFonts w:cs="Times New Roman"/>
          <w:noProof/>
          <w:szCs w:val="24"/>
          <w:lang w:val="fr-CA"/>
        </w:rPr>
        <w:t>appelant aurait pu aisément détruire les mégots » (par. 72).</w:t>
      </w:r>
    </w:p>
    <w:p w:rsidR="00A37A4C" w:rsidRPr="00822328" w:rsidRDefault="00A37A4C" w:rsidP="006534E4">
      <w:pPr>
        <w:pStyle w:val="ParaNoNdepar-AltN"/>
        <w:widowControl w:val="0"/>
        <w:tabs>
          <w:tab w:val="clear" w:pos="1152"/>
          <w:tab w:val="left" w:pos="1166"/>
        </w:tabs>
        <w:rPr>
          <w:rFonts w:cs="Times New Roman"/>
          <w:noProof/>
          <w:szCs w:val="24"/>
          <w:lang w:val="fr-CA"/>
        </w:rPr>
      </w:pPr>
      <w:r w:rsidRPr="00822328">
        <w:rPr>
          <w:rFonts w:cs="Times New Roman"/>
          <w:noProof/>
          <w:szCs w:val="24"/>
          <w:lang w:val="fr-CA"/>
        </w:rPr>
        <w:t>Soit dit en tout respect, le risque que l</w:t>
      </w:r>
      <w:r>
        <w:rPr>
          <w:rFonts w:cs="Times New Roman"/>
          <w:noProof/>
          <w:szCs w:val="24"/>
          <w:lang w:val="fr-CA"/>
        </w:rPr>
        <w:t>’</w:t>
      </w:r>
      <w:r w:rsidRPr="00822328">
        <w:rPr>
          <w:rFonts w:cs="Times New Roman"/>
          <w:noProof/>
          <w:szCs w:val="24"/>
          <w:lang w:val="fr-CA"/>
        </w:rPr>
        <w:t>appelant détruise des mégots que les policiers désiraient saisir « sans poursuite » et détruire eux</w:t>
      </w:r>
      <w:r w:rsidRPr="00822328">
        <w:rPr>
          <w:rFonts w:cs="Times New Roman"/>
          <w:noProof/>
          <w:szCs w:val="24"/>
          <w:lang w:val="fr-CA"/>
        </w:rPr>
        <w:noBreakHyphen/>
        <w:t>mêmes, et ce, sans aucune conséquence juridique pour l</w:t>
      </w:r>
      <w:r>
        <w:rPr>
          <w:rFonts w:cs="Times New Roman"/>
          <w:noProof/>
          <w:szCs w:val="24"/>
          <w:lang w:val="fr-CA"/>
        </w:rPr>
        <w:t>’</w:t>
      </w:r>
      <w:r w:rsidRPr="00822328">
        <w:rPr>
          <w:rFonts w:cs="Times New Roman"/>
          <w:noProof/>
          <w:szCs w:val="24"/>
          <w:lang w:val="fr-CA"/>
        </w:rPr>
        <w:t>appelant, est loin de répondre au critère de l</w:t>
      </w:r>
      <w:r>
        <w:rPr>
          <w:rFonts w:cs="Times New Roman"/>
          <w:noProof/>
          <w:szCs w:val="24"/>
          <w:lang w:val="fr-CA"/>
        </w:rPr>
        <w:t>’</w:t>
      </w:r>
      <w:r w:rsidRPr="00822328">
        <w:rPr>
          <w:rFonts w:cs="Times New Roman"/>
          <w:noProof/>
          <w:szCs w:val="24"/>
          <w:lang w:val="fr-CA"/>
        </w:rPr>
        <w:t>urgence prévu au par. 11(7). Aucune circonstance pressante ne commandait une intervention immédiate pour préserver la preuve. Qui plus est, les circonstances dans lesquelles l</w:t>
      </w:r>
      <w:r>
        <w:rPr>
          <w:rFonts w:cs="Times New Roman"/>
          <w:noProof/>
          <w:szCs w:val="24"/>
          <w:lang w:val="fr-CA"/>
        </w:rPr>
        <w:t>’</w:t>
      </w:r>
      <w:r w:rsidRPr="00822328">
        <w:rPr>
          <w:rFonts w:cs="Times New Roman"/>
          <w:noProof/>
          <w:szCs w:val="24"/>
          <w:lang w:val="fr-CA"/>
        </w:rPr>
        <w:t>appelant a reconnu avoir en sa possession quelques mégots en partie consumés, jumelées à la volonté des policiers de saisir ces mégots sans poursuite, n</w:t>
      </w:r>
      <w:r>
        <w:rPr>
          <w:rFonts w:cs="Times New Roman"/>
          <w:noProof/>
          <w:szCs w:val="24"/>
          <w:lang w:val="fr-CA"/>
        </w:rPr>
        <w:t>’</w:t>
      </w:r>
      <w:r w:rsidRPr="00822328">
        <w:rPr>
          <w:rFonts w:cs="Times New Roman"/>
          <w:noProof/>
          <w:szCs w:val="24"/>
          <w:lang w:val="fr-CA"/>
        </w:rPr>
        <w:t>ont pas non plus rendu l</w:t>
      </w:r>
      <w:r>
        <w:rPr>
          <w:rFonts w:cs="Times New Roman"/>
          <w:noProof/>
          <w:szCs w:val="24"/>
          <w:lang w:val="fr-CA"/>
        </w:rPr>
        <w:t>’</w:t>
      </w:r>
      <w:r w:rsidRPr="00822328">
        <w:rPr>
          <w:rFonts w:cs="Times New Roman"/>
          <w:noProof/>
          <w:szCs w:val="24"/>
          <w:lang w:val="fr-CA"/>
        </w:rPr>
        <w:t>obtention d</w:t>
      </w:r>
      <w:r>
        <w:rPr>
          <w:rFonts w:cs="Times New Roman"/>
          <w:noProof/>
          <w:szCs w:val="24"/>
          <w:lang w:val="fr-CA"/>
        </w:rPr>
        <w:t>’</w:t>
      </w:r>
      <w:r w:rsidRPr="00822328">
        <w:rPr>
          <w:rFonts w:cs="Times New Roman"/>
          <w:noProof/>
          <w:szCs w:val="24"/>
          <w:lang w:val="fr-CA"/>
        </w:rPr>
        <w:t>un mandat difficilement réalisable. Obtenir un mandat était peut</w:t>
      </w:r>
      <w:r w:rsidRPr="00822328">
        <w:rPr>
          <w:rFonts w:cs="Times New Roman"/>
          <w:noProof/>
          <w:szCs w:val="24"/>
          <w:lang w:val="fr-CA"/>
        </w:rPr>
        <w:noBreakHyphen/>
        <w:t>être inconvénient ou peu pratique, mais cela ne satisfaisait pas à l</w:t>
      </w:r>
      <w:r>
        <w:rPr>
          <w:rFonts w:cs="Times New Roman"/>
          <w:noProof/>
          <w:szCs w:val="24"/>
          <w:lang w:val="fr-CA"/>
        </w:rPr>
        <w:t>’</w:t>
      </w:r>
      <w:r w:rsidRPr="00822328">
        <w:rPr>
          <w:rFonts w:cs="Times New Roman"/>
          <w:noProof/>
          <w:szCs w:val="24"/>
          <w:lang w:val="fr-CA"/>
        </w:rPr>
        <w:t>exigence du par. 11(7). En l</w:t>
      </w:r>
      <w:r>
        <w:rPr>
          <w:rFonts w:cs="Times New Roman"/>
          <w:noProof/>
          <w:szCs w:val="24"/>
          <w:lang w:val="fr-CA"/>
        </w:rPr>
        <w:t>’</w:t>
      </w:r>
      <w:r w:rsidRPr="00822328">
        <w:rPr>
          <w:rFonts w:cs="Times New Roman"/>
          <w:noProof/>
          <w:szCs w:val="24"/>
          <w:lang w:val="fr-CA"/>
        </w:rPr>
        <w:t>espèce, les policiers auraient pu opter pour une mesure réalisable, soit arrêter l</w:t>
      </w:r>
      <w:r>
        <w:rPr>
          <w:rFonts w:cs="Times New Roman"/>
          <w:noProof/>
          <w:szCs w:val="24"/>
          <w:lang w:val="fr-CA"/>
        </w:rPr>
        <w:t>’</w:t>
      </w:r>
      <w:r w:rsidRPr="00822328">
        <w:rPr>
          <w:rFonts w:cs="Times New Roman"/>
          <w:noProof/>
          <w:szCs w:val="24"/>
          <w:lang w:val="fr-CA"/>
        </w:rPr>
        <w:t>appelant et obtenir un mandat les autorisant à entrer chez lui et saisir les mégots. Si, comme l</w:t>
      </w:r>
      <w:r>
        <w:rPr>
          <w:rFonts w:cs="Times New Roman"/>
          <w:noProof/>
          <w:szCs w:val="24"/>
          <w:lang w:val="fr-CA"/>
        </w:rPr>
        <w:t>’</w:t>
      </w:r>
      <w:r w:rsidRPr="00822328">
        <w:rPr>
          <w:rFonts w:cs="Times New Roman"/>
          <w:noProof/>
          <w:szCs w:val="24"/>
          <w:lang w:val="fr-CA"/>
        </w:rPr>
        <w:t>affirme le ministère public, la situation n</w:t>
      </w:r>
      <w:r>
        <w:rPr>
          <w:rFonts w:cs="Times New Roman"/>
          <w:noProof/>
          <w:szCs w:val="24"/>
          <w:lang w:val="fr-CA"/>
        </w:rPr>
        <w:t>’</w:t>
      </w:r>
      <w:r w:rsidRPr="00822328">
        <w:rPr>
          <w:rFonts w:cs="Times New Roman"/>
          <w:noProof/>
          <w:szCs w:val="24"/>
          <w:lang w:val="fr-CA"/>
        </w:rPr>
        <w:t>était pas suffisamment grave pour arrêter l</w:t>
      </w:r>
      <w:r>
        <w:rPr>
          <w:rFonts w:cs="Times New Roman"/>
          <w:noProof/>
          <w:szCs w:val="24"/>
          <w:lang w:val="fr-CA"/>
        </w:rPr>
        <w:t>’</w:t>
      </w:r>
      <w:r w:rsidRPr="00822328">
        <w:rPr>
          <w:rFonts w:cs="Times New Roman"/>
          <w:noProof/>
          <w:szCs w:val="24"/>
          <w:lang w:val="fr-CA"/>
        </w:rPr>
        <w:t>appelant et obtenir un mandat, elle ne l</w:t>
      </w:r>
      <w:r>
        <w:rPr>
          <w:rFonts w:cs="Times New Roman"/>
          <w:noProof/>
          <w:szCs w:val="24"/>
          <w:lang w:val="fr-CA"/>
        </w:rPr>
        <w:t>’</w:t>
      </w:r>
      <w:r w:rsidRPr="00822328">
        <w:rPr>
          <w:rFonts w:cs="Times New Roman"/>
          <w:noProof/>
          <w:szCs w:val="24"/>
          <w:lang w:val="fr-CA"/>
        </w:rPr>
        <w:t>était pas non</w:t>
      </w:r>
      <w:r w:rsidR="00363E9C">
        <w:rPr>
          <w:rFonts w:cs="Times New Roman"/>
          <w:noProof/>
          <w:szCs w:val="24"/>
          <w:lang w:val="fr-CA"/>
        </w:rPr>
        <w:t xml:space="preserve"> plus</w:t>
      </w:r>
      <w:r w:rsidRPr="00822328">
        <w:rPr>
          <w:rFonts w:cs="Times New Roman"/>
          <w:noProof/>
          <w:szCs w:val="24"/>
          <w:lang w:val="fr-CA"/>
        </w:rPr>
        <w:t xml:space="preserve"> pour entrer sans mandat dans une résidence privée.</w:t>
      </w:r>
    </w:p>
    <w:p w:rsidR="00A37A4C" w:rsidRPr="00822328" w:rsidRDefault="00A37A4C" w:rsidP="006534E4">
      <w:pPr>
        <w:pStyle w:val="ParaNoNdepar-AltN"/>
        <w:widowControl w:val="0"/>
        <w:rPr>
          <w:rFonts w:cs="Times New Roman"/>
          <w:noProof/>
          <w:lang w:val="fr-CA"/>
        </w:rPr>
      </w:pPr>
      <w:r w:rsidRPr="00822328">
        <w:rPr>
          <w:rFonts w:cs="Times New Roman"/>
          <w:noProof/>
          <w:lang w:val="fr-CA"/>
        </w:rPr>
        <w:t>Reste la question de la sécurité des policiers. Comme le fait remarquer la Cour d</w:t>
      </w:r>
      <w:r>
        <w:rPr>
          <w:rFonts w:cs="Times New Roman"/>
          <w:noProof/>
          <w:lang w:val="fr-CA"/>
        </w:rPr>
        <w:t>’</w:t>
      </w:r>
      <w:r w:rsidRPr="00822328">
        <w:rPr>
          <w:rFonts w:cs="Times New Roman"/>
          <w:noProof/>
          <w:lang w:val="fr-CA"/>
        </w:rPr>
        <w:t>appel, l</w:t>
      </w:r>
      <w:r>
        <w:rPr>
          <w:rFonts w:cs="Times New Roman"/>
          <w:noProof/>
          <w:lang w:val="fr-CA"/>
        </w:rPr>
        <w:t>’</w:t>
      </w:r>
      <w:r w:rsidRPr="00822328">
        <w:rPr>
          <w:rFonts w:cs="Times New Roman"/>
          <w:noProof/>
          <w:lang w:val="fr-CA"/>
        </w:rPr>
        <w:t>agent Bell a suivi l</w:t>
      </w:r>
      <w:r>
        <w:rPr>
          <w:rFonts w:cs="Times New Roman"/>
          <w:noProof/>
          <w:lang w:val="fr-CA"/>
        </w:rPr>
        <w:t>’</w:t>
      </w:r>
      <w:r w:rsidRPr="00822328">
        <w:rPr>
          <w:rFonts w:cs="Times New Roman"/>
          <w:noProof/>
          <w:lang w:val="fr-CA"/>
        </w:rPr>
        <w:t>agent Dykeman à l</w:t>
      </w:r>
      <w:r>
        <w:rPr>
          <w:rFonts w:cs="Times New Roman"/>
          <w:noProof/>
          <w:lang w:val="fr-CA"/>
        </w:rPr>
        <w:t>’</w:t>
      </w:r>
      <w:r w:rsidRPr="00822328">
        <w:rPr>
          <w:rFonts w:cs="Times New Roman"/>
          <w:noProof/>
          <w:lang w:val="fr-CA"/>
        </w:rPr>
        <w:t>intérieur de l</w:t>
      </w:r>
      <w:r>
        <w:rPr>
          <w:rFonts w:cs="Times New Roman"/>
          <w:noProof/>
          <w:lang w:val="fr-CA"/>
        </w:rPr>
        <w:t>’</w:t>
      </w:r>
      <w:r w:rsidRPr="00822328">
        <w:rPr>
          <w:rFonts w:cs="Times New Roman"/>
          <w:noProof/>
          <w:lang w:val="fr-CA"/>
        </w:rPr>
        <w:t>appartement, car il se souciait de la sécurité de son collègue. Étant donné la possibilité évoquée par la mère de C.W. que l</w:t>
      </w:r>
      <w:r>
        <w:rPr>
          <w:rFonts w:cs="Times New Roman"/>
          <w:noProof/>
          <w:lang w:val="fr-CA"/>
        </w:rPr>
        <w:t>’</w:t>
      </w:r>
      <w:r w:rsidRPr="00822328">
        <w:rPr>
          <w:rFonts w:cs="Times New Roman"/>
          <w:noProof/>
          <w:lang w:val="fr-CA"/>
        </w:rPr>
        <w:t>appelant possède un fusil de chasse, la crainte de l</w:t>
      </w:r>
      <w:r>
        <w:rPr>
          <w:rFonts w:cs="Times New Roman"/>
          <w:noProof/>
          <w:lang w:val="fr-CA"/>
        </w:rPr>
        <w:t>’</w:t>
      </w:r>
      <w:r w:rsidRPr="00822328">
        <w:rPr>
          <w:rFonts w:cs="Times New Roman"/>
          <w:noProof/>
          <w:lang w:val="fr-CA"/>
        </w:rPr>
        <w:t>agent était fondée. Toutefois, ce n</w:t>
      </w:r>
      <w:r>
        <w:rPr>
          <w:rFonts w:cs="Times New Roman"/>
          <w:noProof/>
          <w:lang w:val="fr-CA"/>
        </w:rPr>
        <w:t>’</w:t>
      </w:r>
      <w:r w:rsidRPr="00822328">
        <w:rPr>
          <w:rFonts w:cs="Times New Roman"/>
          <w:noProof/>
          <w:lang w:val="fr-CA"/>
        </w:rPr>
        <w:t>est pas cette crainte qui a incité l</w:t>
      </w:r>
      <w:r>
        <w:rPr>
          <w:rFonts w:cs="Times New Roman"/>
          <w:noProof/>
          <w:lang w:val="fr-CA"/>
        </w:rPr>
        <w:t>’</w:t>
      </w:r>
      <w:r w:rsidRPr="00822328">
        <w:rPr>
          <w:rFonts w:cs="Times New Roman"/>
          <w:noProof/>
          <w:lang w:val="fr-CA"/>
        </w:rPr>
        <w:t>agent Dykeman à entrer chez l</w:t>
      </w:r>
      <w:r>
        <w:rPr>
          <w:rFonts w:cs="Times New Roman"/>
          <w:noProof/>
          <w:lang w:val="fr-CA"/>
        </w:rPr>
        <w:t>’</w:t>
      </w:r>
      <w:r w:rsidRPr="00822328">
        <w:rPr>
          <w:rFonts w:cs="Times New Roman"/>
          <w:noProof/>
          <w:lang w:val="fr-CA"/>
        </w:rPr>
        <w:t>appelant. Le policier a en effet témoigné qu</w:t>
      </w:r>
      <w:r>
        <w:rPr>
          <w:rFonts w:cs="Times New Roman"/>
          <w:noProof/>
          <w:lang w:val="fr-CA"/>
        </w:rPr>
        <w:t>’</w:t>
      </w:r>
      <w:r w:rsidRPr="00822328">
        <w:rPr>
          <w:rFonts w:cs="Times New Roman"/>
          <w:noProof/>
          <w:lang w:val="fr-CA"/>
        </w:rPr>
        <w:t>il se souciait de la sécurité de son collègue et qu</w:t>
      </w:r>
      <w:r>
        <w:rPr>
          <w:rFonts w:cs="Times New Roman"/>
          <w:noProof/>
          <w:lang w:val="fr-CA"/>
        </w:rPr>
        <w:t>’</w:t>
      </w:r>
      <w:r w:rsidRPr="00822328">
        <w:rPr>
          <w:rFonts w:cs="Times New Roman"/>
          <w:noProof/>
          <w:lang w:val="fr-CA"/>
        </w:rPr>
        <w:t>il craignait que l</w:t>
      </w:r>
      <w:r>
        <w:rPr>
          <w:rFonts w:cs="Times New Roman"/>
          <w:noProof/>
          <w:lang w:val="fr-CA"/>
        </w:rPr>
        <w:t>’</w:t>
      </w:r>
      <w:r w:rsidRPr="00822328">
        <w:rPr>
          <w:rFonts w:cs="Times New Roman"/>
          <w:noProof/>
          <w:lang w:val="fr-CA"/>
        </w:rPr>
        <w:t xml:space="preserve">appelant détruise les </w:t>
      </w:r>
      <w:r w:rsidRPr="00822328">
        <w:rPr>
          <w:rFonts w:cs="Times New Roman"/>
          <w:noProof/>
          <w:szCs w:val="24"/>
          <w:lang w:val="fr-CA"/>
        </w:rPr>
        <w:t>mégots</w:t>
      </w:r>
      <w:r w:rsidRPr="00822328">
        <w:rPr>
          <w:rFonts w:cs="Times New Roman"/>
          <w:noProof/>
          <w:lang w:val="fr-CA"/>
        </w:rPr>
        <w:t xml:space="preserve">, mais le juge du procès a estimé que la sécurité des policiers </w:t>
      </w:r>
      <w:r w:rsidRPr="00822328">
        <w:rPr>
          <w:rFonts w:cs="Times New Roman"/>
          <w:smallCaps/>
          <w:noProof/>
          <w:szCs w:val="24"/>
          <w:lang w:val="fr-CA"/>
        </w:rPr>
        <w:t>[traduction]</w:t>
      </w:r>
      <w:r w:rsidRPr="00822328">
        <w:rPr>
          <w:rFonts w:cs="Times New Roman"/>
          <w:noProof/>
          <w:szCs w:val="24"/>
          <w:lang w:val="fr-CA"/>
        </w:rPr>
        <w:t xml:space="preserve"> </w:t>
      </w:r>
      <w:r w:rsidRPr="00822328">
        <w:rPr>
          <w:rFonts w:cs="Times New Roman"/>
          <w:noProof/>
          <w:lang w:val="fr-CA"/>
        </w:rPr>
        <w:t xml:space="preserve">« se rapportait en réalité à la </w:t>
      </w:r>
      <w:r w:rsidRPr="00822328">
        <w:rPr>
          <w:rFonts w:cs="Times New Roman"/>
          <w:noProof/>
          <w:szCs w:val="24"/>
          <w:lang w:val="fr-CA"/>
        </w:rPr>
        <w:t>tentative [des agents Dykeman et Bell] d</w:t>
      </w:r>
      <w:r>
        <w:rPr>
          <w:rFonts w:cs="Times New Roman"/>
          <w:noProof/>
          <w:szCs w:val="24"/>
          <w:lang w:val="fr-CA"/>
        </w:rPr>
        <w:t>’</w:t>
      </w:r>
      <w:r w:rsidRPr="00822328">
        <w:rPr>
          <w:rFonts w:cs="Times New Roman"/>
          <w:noProof/>
          <w:szCs w:val="24"/>
          <w:lang w:val="fr-CA"/>
        </w:rPr>
        <w:t>exécuter la saisie d</w:t>
      </w:r>
      <w:r>
        <w:rPr>
          <w:rFonts w:cs="Times New Roman"/>
          <w:noProof/>
          <w:szCs w:val="24"/>
          <w:lang w:val="fr-CA"/>
        </w:rPr>
        <w:t>’</w:t>
      </w:r>
      <w:r w:rsidRPr="00822328">
        <w:rPr>
          <w:rFonts w:cs="Times New Roman"/>
          <w:noProof/>
          <w:szCs w:val="24"/>
          <w:lang w:val="fr-CA"/>
        </w:rPr>
        <w:t xml:space="preserve">une façon moins attentatoire » </w:t>
      </w:r>
      <w:r w:rsidRPr="00822328">
        <w:rPr>
          <w:rFonts w:cs="Times New Roman"/>
          <w:noProof/>
          <w:lang w:val="fr-CA"/>
        </w:rPr>
        <w:t>(par. 80)</w:t>
      </w:r>
      <w:r w:rsidRPr="00822328">
        <w:rPr>
          <w:rFonts w:cs="Times New Roman"/>
          <w:noProof/>
          <w:szCs w:val="24"/>
          <w:lang w:val="fr-CA"/>
        </w:rPr>
        <w:t>. Autrement dit, la crainte liée à la sécurité des policiers n</w:t>
      </w:r>
      <w:r>
        <w:rPr>
          <w:rFonts w:cs="Times New Roman"/>
          <w:noProof/>
          <w:szCs w:val="24"/>
          <w:lang w:val="fr-CA"/>
        </w:rPr>
        <w:t>’</w:t>
      </w:r>
      <w:r w:rsidRPr="00822328">
        <w:rPr>
          <w:rFonts w:cs="Times New Roman"/>
          <w:noProof/>
          <w:szCs w:val="24"/>
          <w:lang w:val="fr-CA"/>
        </w:rPr>
        <w:t>est pas à l</w:t>
      </w:r>
      <w:r>
        <w:rPr>
          <w:rFonts w:cs="Times New Roman"/>
          <w:noProof/>
          <w:szCs w:val="24"/>
          <w:lang w:val="fr-CA"/>
        </w:rPr>
        <w:t>’</w:t>
      </w:r>
      <w:r w:rsidRPr="00822328">
        <w:rPr>
          <w:rFonts w:cs="Times New Roman"/>
          <w:noProof/>
          <w:szCs w:val="24"/>
          <w:lang w:val="fr-CA"/>
        </w:rPr>
        <w:t>origine de la décision d</w:t>
      </w:r>
      <w:r>
        <w:rPr>
          <w:rFonts w:cs="Times New Roman"/>
          <w:noProof/>
          <w:szCs w:val="24"/>
          <w:lang w:val="fr-CA"/>
        </w:rPr>
        <w:t>’</w:t>
      </w:r>
      <w:r w:rsidRPr="00822328">
        <w:rPr>
          <w:rFonts w:cs="Times New Roman"/>
          <w:noProof/>
          <w:szCs w:val="24"/>
          <w:lang w:val="fr-CA"/>
        </w:rPr>
        <w:t>entrer sans mandat; c</w:t>
      </w:r>
      <w:r>
        <w:rPr>
          <w:rFonts w:cs="Times New Roman"/>
          <w:noProof/>
          <w:szCs w:val="24"/>
          <w:lang w:val="fr-CA"/>
        </w:rPr>
        <w:t>’</w:t>
      </w:r>
      <w:r w:rsidRPr="00822328">
        <w:rPr>
          <w:rFonts w:cs="Times New Roman"/>
          <w:noProof/>
          <w:szCs w:val="24"/>
          <w:lang w:val="fr-CA"/>
        </w:rPr>
        <w:t>est plutôt l</w:t>
      </w:r>
      <w:r>
        <w:rPr>
          <w:rFonts w:cs="Times New Roman"/>
          <w:noProof/>
          <w:szCs w:val="24"/>
          <w:lang w:val="fr-CA"/>
        </w:rPr>
        <w:t>’</w:t>
      </w:r>
      <w:r w:rsidRPr="00822328">
        <w:rPr>
          <w:rFonts w:cs="Times New Roman"/>
          <w:noProof/>
          <w:szCs w:val="24"/>
          <w:lang w:val="fr-CA"/>
        </w:rPr>
        <w:t>entrée sans mandat qui a fait naître cette crainte. Bien qu</w:t>
      </w:r>
      <w:r>
        <w:rPr>
          <w:rFonts w:cs="Times New Roman"/>
          <w:noProof/>
          <w:szCs w:val="24"/>
          <w:lang w:val="fr-CA"/>
        </w:rPr>
        <w:t>’</w:t>
      </w:r>
      <w:r w:rsidRPr="00822328">
        <w:rPr>
          <w:rFonts w:cs="Times New Roman"/>
          <w:noProof/>
          <w:szCs w:val="24"/>
          <w:lang w:val="fr-CA"/>
        </w:rPr>
        <w:t>elles soient fondées, la crainte de l</w:t>
      </w:r>
      <w:r>
        <w:rPr>
          <w:rFonts w:cs="Times New Roman"/>
          <w:noProof/>
          <w:szCs w:val="24"/>
          <w:lang w:val="fr-CA"/>
        </w:rPr>
        <w:t>’</w:t>
      </w:r>
      <w:r w:rsidRPr="00822328">
        <w:rPr>
          <w:rFonts w:cs="Times New Roman"/>
          <w:noProof/>
          <w:szCs w:val="24"/>
          <w:lang w:val="fr-CA"/>
        </w:rPr>
        <w:t>agent Dykeman et celle de l</w:t>
      </w:r>
      <w:r>
        <w:rPr>
          <w:rFonts w:cs="Times New Roman"/>
          <w:noProof/>
          <w:szCs w:val="24"/>
          <w:lang w:val="fr-CA"/>
        </w:rPr>
        <w:t>’</w:t>
      </w:r>
      <w:r w:rsidRPr="00822328">
        <w:rPr>
          <w:rFonts w:cs="Times New Roman"/>
          <w:noProof/>
          <w:szCs w:val="24"/>
          <w:lang w:val="fr-CA"/>
        </w:rPr>
        <w:t>agent Bell ne constituaient pas le fondement de la décision d</w:t>
      </w:r>
      <w:r>
        <w:rPr>
          <w:rFonts w:cs="Times New Roman"/>
          <w:noProof/>
          <w:szCs w:val="24"/>
          <w:lang w:val="fr-CA"/>
        </w:rPr>
        <w:t>’</w:t>
      </w:r>
      <w:r w:rsidRPr="00822328">
        <w:rPr>
          <w:rFonts w:cs="Times New Roman"/>
          <w:noProof/>
          <w:szCs w:val="24"/>
          <w:lang w:val="fr-CA"/>
        </w:rPr>
        <w:t>entrer dans la demeure, mais en étaient plutôt la conséquence. Il ne pouvait donc y avoir, à partir de ces faits, une urgence de la situation qui rendait l</w:t>
      </w:r>
      <w:r>
        <w:rPr>
          <w:rFonts w:cs="Times New Roman"/>
          <w:noProof/>
          <w:szCs w:val="24"/>
          <w:lang w:val="fr-CA"/>
        </w:rPr>
        <w:t>’</w:t>
      </w:r>
      <w:r w:rsidRPr="00822328">
        <w:rPr>
          <w:rFonts w:cs="Times New Roman"/>
          <w:noProof/>
          <w:szCs w:val="24"/>
          <w:lang w:val="fr-CA"/>
        </w:rPr>
        <w:t>obtention d</w:t>
      </w:r>
      <w:r>
        <w:rPr>
          <w:rFonts w:cs="Times New Roman"/>
          <w:noProof/>
          <w:szCs w:val="24"/>
          <w:lang w:val="fr-CA"/>
        </w:rPr>
        <w:t>’</w:t>
      </w:r>
      <w:r w:rsidRPr="00822328">
        <w:rPr>
          <w:rFonts w:cs="Times New Roman"/>
          <w:noProof/>
          <w:szCs w:val="24"/>
          <w:lang w:val="fr-CA"/>
        </w:rPr>
        <w:t xml:space="preserve">un mandat difficilement réalisable au sens du par. 11(7) de la </w:t>
      </w:r>
      <w:r w:rsidRPr="00822328">
        <w:rPr>
          <w:rFonts w:cs="Times New Roman"/>
          <w:i/>
          <w:noProof/>
          <w:szCs w:val="24"/>
          <w:lang w:val="fr-CA"/>
        </w:rPr>
        <w:t>LRCDAS</w:t>
      </w:r>
      <w:r w:rsidRPr="00822328">
        <w:rPr>
          <w:rFonts w:cs="Times New Roman"/>
          <w:noProof/>
          <w:szCs w:val="24"/>
          <w:lang w:val="fr-CA"/>
        </w:rPr>
        <w:t xml:space="preserve">. </w:t>
      </w:r>
    </w:p>
    <w:p w:rsidR="00A37A4C" w:rsidRPr="00822328" w:rsidRDefault="00A37A4C" w:rsidP="006534E4">
      <w:pPr>
        <w:pStyle w:val="ParaNoNdepar-AltN"/>
        <w:widowControl w:val="0"/>
        <w:tabs>
          <w:tab w:val="clear" w:pos="1152"/>
          <w:tab w:val="left" w:pos="1166"/>
        </w:tabs>
        <w:rPr>
          <w:rFonts w:cs="Times New Roman"/>
          <w:noProof/>
          <w:szCs w:val="24"/>
          <w:lang w:val="fr-CA"/>
        </w:rPr>
      </w:pPr>
      <w:r w:rsidRPr="00822328">
        <w:rPr>
          <w:rFonts w:cs="Times New Roman"/>
          <w:noProof/>
          <w:szCs w:val="24"/>
          <w:lang w:val="fr-CA"/>
        </w:rPr>
        <w:t>Dès lors, l</w:t>
      </w:r>
      <w:r>
        <w:rPr>
          <w:rFonts w:cs="Times New Roman"/>
          <w:noProof/>
          <w:szCs w:val="24"/>
          <w:lang w:val="fr-CA"/>
        </w:rPr>
        <w:t>’</w:t>
      </w:r>
      <w:r w:rsidRPr="00822328">
        <w:rPr>
          <w:rFonts w:cs="Times New Roman"/>
          <w:noProof/>
          <w:szCs w:val="24"/>
          <w:lang w:val="fr-CA"/>
        </w:rPr>
        <w:t>entrée sans mandat des policiers chez l</w:t>
      </w:r>
      <w:r>
        <w:rPr>
          <w:rFonts w:cs="Times New Roman"/>
          <w:noProof/>
          <w:szCs w:val="24"/>
          <w:lang w:val="fr-CA"/>
        </w:rPr>
        <w:t>’</w:t>
      </w:r>
      <w:r w:rsidRPr="00822328">
        <w:rPr>
          <w:rFonts w:cs="Times New Roman"/>
          <w:noProof/>
          <w:szCs w:val="24"/>
          <w:lang w:val="fr-CA"/>
        </w:rPr>
        <w:t>appelant n</w:t>
      </w:r>
      <w:r>
        <w:rPr>
          <w:rFonts w:cs="Times New Roman"/>
          <w:noProof/>
          <w:szCs w:val="24"/>
          <w:lang w:val="fr-CA"/>
        </w:rPr>
        <w:t>’</w:t>
      </w:r>
      <w:r w:rsidRPr="00822328">
        <w:rPr>
          <w:rFonts w:cs="Times New Roman"/>
          <w:noProof/>
          <w:szCs w:val="24"/>
          <w:lang w:val="fr-CA"/>
        </w:rPr>
        <w:t xml:space="preserve">était pas autorisée au par. 11(7) de la </w:t>
      </w:r>
      <w:r w:rsidRPr="00822328">
        <w:rPr>
          <w:rFonts w:cs="Times New Roman"/>
          <w:i/>
          <w:noProof/>
          <w:szCs w:val="24"/>
          <w:lang w:val="fr-CA"/>
        </w:rPr>
        <w:t>LRCDAS</w:t>
      </w:r>
      <w:r w:rsidRPr="00822328">
        <w:rPr>
          <w:rFonts w:cs="Times New Roman"/>
          <w:noProof/>
          <w:szCs w:val="24"/>
          <w:lang w:val="fr-CA"/>
        </w:rPr>
        <w:t xml:space="preserve"> et elle a porté atteinte à son droit à la protection contre les fouilles, les perquisitions ou les saisies abusives garanti par l</w:t>
      </w:r>
      <w:r>
        <w:rPr>
          <w:rFonts w:cs="Times New Roman"/>
          <w:noProof/>
          <w:szCs w:val="24"/>
          <w:lang w:val="fr-CA"/>
        </w:rPr>
        <w:t>’</w:t>
      </w:r>
      <w:r w:rsidRPr="00822328">
        <w:rPr>
          <w:rFonts w:cs="Times New Roman"/>
          <w:noProof/>
          <w:szCs w:val="24"/>
          <w:lang w:val="fr-CA"/>
        </w:rPr>
        <w:t xml:space="preserve">art. 8 de la </w:t>
      </w:r>
      <w:r w:rsidRPr="00822328">
        <w:rPr>
          <w:rFonts w:cs="Times New Roman"/>
          <w:i/>
          <w:noProof/>
          <w:szCs w:val="24"/>
          <w:lang w:val="fr-CA"/>
        </w:rPr>
        <w:t>Charte</w:t>
      </w:r>
      <w:r w:rsidRPr="00822328">
        <w:rPr>
          <w:rFonts w:cs="Times New Roman"/>
          <w:noProof/>
          <w:szCs w:val="24"/>
          <w:lang w:val="fr-CA"/>
        </w:rPr>
        <w:t xml:space="preserve">. </w:t>
      </w:r>
    </w:p>
    <w:p w:rsidR="00A37A4C" w:rsidRPr="00822328" w:rsidRDefault="00A37A4C" w:rsidP="006534E4">
      <w:pPr>
        <w:pStyle w:val="Title2LevelTitre2Niveau"/>
        <w:widowControl w:val="0"/>
        <w:tabs>
          <w:tab w:val="num" w:pos="432"/>
        </w:tabs>
        <w:ind w:left="432" w:hanging="432"/>
        <w:jc w:val="left"/>
        <w:outlineLvl w:val="0"/>
        <w:rPr>
          <w:rFonts w:cs="Times New Roman"/>
          <w:noProof/>
          <w:szCs w:val="24"/>
          <w:lang w:val="fr-CA"/>
        </w:rPr>
      </w:pPr>
      <w:r w:rsidRPr="00822328">
        <w:rPr>
          <w:rFonts w:cs="Times New Roman"/>
          <w:noProof/>
          <w:szCs w:val="24"/>
          <w:lang w:val="fr-CA"/>
        </w:rPr>
        <w:t>Éléments de preuve</w:t>
      </w:r>
      <w:r w:rsidR="00363E9C">
        <w:rPr>
          <w:rFonts w:cs="Times New Roman"/>
          <w:noProof/>
          <w:szCs w:val="24"/>
          <w:lang w:val="fr-CA"/>
        </w:rPr>
        <w:t xml:space="preserve"> écartés par application du par. </w:t>
      </w:r>
      <w:r w:rsidRPr="00822328">
        <w:rPr>
          <w:rFonts w:cs="Times New Roman"/>
          <w:noProof/>
          <w:szCs w:val="24"/>
          <w:lang w:val="fr-CA"/>
        </w:rPr>
        <w:t>24(2) de la Charte</w:t>
      </w:r>
    </w:p>
    <w:p w:rsidR="00A37A4C" w:rsidRPr="00822328" w:rsidRDefault="00A37A4C" w:rsidP="006534E4">
      <w:pPr>
        <w:pStyle w:val="ParaNoNdepar-AltN"/>
        <w:widowControl w:val="0"/>
        <w:tabs>
          <w:tab w:val="clear" w:pos="1152"/>
          <w:tab w:val="left" w:pos="1166"/>
        </w:tabs>
        <w:rPr>
          <w:rFonts w:cs="Times New Roman"/>
          <w:noProof/>
          <w:szCs w:val="24"/>
          <w:lang w:val="fr-CA"/>
        </w:rPr>
      </w:pPr>
      <w:r w:rsidRPr="00822328">
        <w:rPr>
          <w:rFonts w:cs="Times New Roman"/>
          <w:noProof/>
          <w:szCs w:val="24"/>
          <w:lang w:val="fr-CA"/>
        </w:rPr>
        <w:t>Comme j</w:t>
      </w:r>
      <w:r>
        <w:rPr>
          <w:rFonts w:cs="Times New Roman"/>
          <w:noProof/>
          <w:szCs w:val="24"/>
          <w:lang w:val="fr-CA"/>
        </w:rPr>
        <w:t>’</w:t>
      </w:r>
      <w:r w:rsidRPr="00822328">
        <w:rPr>
          <w:rFonts w:cs="Times New Roman"/>
          <w:noProof/>
          <w:szCs w:val="24"/>
          <w:lang w:val="fr-CA"/>
        </w:rPr>
        <w:t>arrive à une conclusion différente de celle du juge du procès sur la constitutionnalité de l</w:t>
      </w:r>
      <w:r>
        <w:rPr>
          <w:rFonts w:cs="Times New Roman"/>
          <w:noProof/>
          <w:szCs w:val="24"/>
          <w:lang w:val="fr-CA"/>
        </w:rPr>
        <w:t>’</w:t>
      </w:r>
      <w:r w:rsidRPr="00822328">
        <w:rPr>
          <w:rFonts w:cs="Times New Roman"/>
          <w:noProof/>
          <w:szCs w:val="24"/>
          <w:lang w:val="fr-CA"/>
        </w:rPr>
        <w:t>entrée des policiers chez l</w:t>
      </w:r>
      <w:r>
        <w:rPr>
          <w:rFonts w:cs="Times New Roman"/>
          <w:noProof/>
          <w:szCs w:val="24"/>
          <w:lang w:val="fr-CA"/>
        </w:rPr>
        <w:t>’</w:t>
      </w:r>
      <w:r w:rsidRPr="00822328">
        <w:rPr>
          <w:rFonts w:cs="Times New Roman"/>
          <w:noProof/>
          <w:szCs w:val="24"/>
          <w:lang w:val="fr-CA"/>
        </w:rPr>
        <w:t>appelant, je ne défère pas à sa conclusion sur l</w:t>
      </w:r>
      <w:r>
        <w:rPr>
          <w:rFonts w:cs="Times New Roman"/>
          <w:noProof/>
          <w:szCs w:val="24"/>
          <w:lang w:val="fr-CA"/>
        </w:rPr>
        <w:t>’</w:t>
      </w:r>
      <w:r w:rsidRPr="00822328">
        <w:rPr>
          <w:rFonts w:cs="Times New Roman"/>
          <w:noProof/>
          <w:szCs w:val="24"/>
          <w:lang w:val="fr-CA"/>
        </w:rPr>
        <w:t xml:space="preserve">exclusion de la preuve par application du par. 24(2) de la </w:t>
      </w:r>
      <w:r w:rsidRPr="00822328">
        <w:rPr>
          <w:rFonts w:cs="Times New Roman"/>
          <w:i/>
          <w:noProof/>
          <w:szCs w:val="24"/>
          <w:lang w:val="fr-CA"/>
        </w:rPr>
        <w:t>Charte</w:t>
      </w:r>
      <w:r w:rsidRPr="00822328">
        <w:rPr>
          <w:rFonts w:cs="Times New Roman"/>
          <w:noProof/>
          <w:szCs w:val="24"/>
          <w:lang w:val="fr-CA"/>
        </w:rPr>
        <w:t xml:space="preserve"> (</w:t>
      </w:r>
      <w:r w:rsidRPr="00822328">
        <w:rPr>
          <w:rFonts w:cs="Times New Roman"/>
          <w:i/>
          <w:noProof/>
          <w:szCs w:val="24"/>
          <w:lang w:val="fr-CA"/>
        </w:rPr>
        <w:t xml:space="preserve">R. </w:t>
      </w:r>
      <w:r w:rsidRPr="00822328">
        <w:rPr>
          <w:rFonts w:cs="Times New Roman"/>
          <w:i/>
          <w:iCs/>
          <w:noProof/>
          <w:szCs w:val="24"/>
          <w:lang w:val="fr-CA"/>
        </w:rPr>
        <w:t>c. Grant</w:t>
      </w:r>
      <w:r w:rsidRPr="00822328">
        <w:rPr>
          <w:rFonts w:cs="Times New Roman"/>
          <w:noProof/>
          <w:szCs w:val="24"/>
          <w:lang w:val="fr-CA"/>
        </w:rPr>
        <w:t>, 2009 CSC 32, [2009] 2 R.C.S. 353 (« </w:t>
      </w:r>
      <w:r w:rsidRPr="00822328">
        <w:rPr>
          <w:rFonts w:cs="Times New Roman"/>
          <w:i/>
          <w:noProof/>
          <w:szCs w:val="24"/>
          <w:lang w:val="fr-CA"/>
        </w:rPr>
        <w:t xml:space="preserve">Grant </w:t>
      </w:r>
      <w:r w:rsidRPr="00822328">
        <w:rPr>
          <w:rFonts w:cs="Times New Roman"/>
          <w:noProof/>
          <w:szCs w:val="24"/>
          <w:lang w:val="fr-CA"/>
        </w:rPr>
        <w:t xml:space="preserve">2009 »), par. 129). </w:t>
      </w:r>
    </w:p>
    <w:p w:rsidR="00A37A4C" w:rsidRPr="00822328" w:rsidRDefault="00A37A4C" w:rsidP="006534E4">
      <w:pPr>
        <w:pStyle w:val="Title3LevelTitre3Niveau"/>
        <w:widowControl w:val="0"/>
        <w:tabs>
          <w:tab w:val="clear" w:pos="1152"/>
          <w:tab w:val="num" w:pos="864"/>
        </w:tabs>
        <w:ind w:left="864" w:hanging="432"/>
        <w:jc w:val="left"/>
        <w:outlineLvl w:val="0"/>
        <w:rPr>
          <w:rFonts w:cs="Times New Roman"/>
          <w:noProof/>
          <w:szCs w:val="24"/>
          <w:lang w:val="fr-CA"/>
        </w:rPr>
      </w:pPr>
      <w:r w:rsidRPr="00822328">
        <w:rPr>
          <w:rFonts w:cs="Times New Roman"/>
          <w:noProof/>
          <w:szCs w:val="24"/>
          <w:lang w:val="fr-CA"/>
        </w:rPr>
        <w:t>La gravité de l</w:t>
      </w:r>
      <w:r>
        <w:rPr>
          <w:rFonts w:cs="Times New Roman"/>
          <w:noProof/>
          <w:szCs w:val="24"/>
          <w:lang w:val="fr-CA"/>
        </w:rPr>
        <w:t>’</w:t>
      </w:r>
      <w:r w:rsidRPr="00822328">
        <w:rPr>
          <w:rFonts w:cs="Times New Roman"/>
          <w:noProof/>
          <w:szCs w:val="24"/>
          <w:lang w:val="fr-CA"/>
        </w:rPr>
        <w:t>atteinte de l</w:t>
      </w:r>
      <w:r>
        <w:rPr>
          <w:rFonts w:cs="Times New Roman"/>
          <w:noProof/>
          <w:szCs w:val="24"/>
          <w:lang w:val="fr-CA"/>
        </w:rPr>
        <w:t>’</w:t>
      </w:r>
      <w:r w:rsidRPr="00822328">
        <w:rPr>
          <w:rFonts w:cs="Times New Roman"/>
          <w:noProof/>
          <w:szCs w:val="24"/>
          <w:lang w:val="fr-CA"/>
        </w:rPr>
        <w:t>État à un droit constitutionnel</w:t>
      </w:r>
    </w:p>
    <w:p w:rsidR="00A37A4C" w:rsidRPr="00822328" w:rsidRDefault="00A37A4C" w:rsidP="006534E4">
      <w:pPr>
        <w:pStyle w:val="ParaNoNdepar-AltN"/>
        <w:widowControl w:val="0"/>
        <w:rPr>
          <w:rFonts w:cs="Times New Roman"/>
          <w:noProof/>
          <w:szCs w:val="24"/>
          <w:lang w:val="fr-CA"/>
        </w:rPr>
      </w:pPr>
      <w:r w:rsidRPr="00822328">
        <w:rPr>
          <w:rFonts w:cs="Times New Roman"/>
          <w:noProof/>
          <w:lang w:val="fr-CA"/>
        </w:rPr>
        <w:t>Lorsqu</w:t>
      </w:r>
      <w:r>
        <w:rPr>
          <w:rFonts w:cs="Times New Roman"/>
          <w:noProof/>
          <w:lang w:val="fr-CA"/>
        </w:rPr>
        <w:t>’</w:t>
      </w:r>
      <w:r w:rsidRPr="00822328">
        <w:rPr>
          <w:rFonts w:cs="Times New Roman"/>
          <w:noProof/>
          <w:lang w:val="fr-CA"/>
        </w:rPr>
        <w:t>elle apprécie la gravité d</w:t>
      </w:r>
      <w:r>
        <w:rPr>
          <w:rFonts w:cs="Times New Roman"/>
          <w:noProof/>
          <w:lang w:val="fr-CA"/>
        </w:rPr>
        <w:t>’</w:t>
      </w:r>
      <w:r w:rsidRPr="00822328">
        <w:rPr>
          <w:rFonts w:cs="Times New Roman"/>
          <w:noProof/>
          <w:lang w:val="fr-CA"/>
        </w:rPr>
        <w:t>une mesure de l</w:t>
      </w:r>
      <w:r>
        <w:rPr>
          <w:rFonts w:cs="Times New Roman"/>
          <w:noProof/>
          <w:lang w:val="fr-CA"/>
        </w:rPr>
        <w:t>’</w:t>
      </w:r>
      <w:r w:rsidRPr="00822328">
        <w:rPr>
          <w:rFonts w:cs="Times New Roman"/>
          <w:noProof/>
          <w:lang w:val="fr-CA"/>
        </w:rPr>
        <w:t xml:space="preserve">État qui porte atteinte à un droit garanti par la </w:t>
      </w:r>
      <w:r w:rsidRPr="00822328">
        <w:rPr>
          <w:rFonts w:cs="Times New Roman"/>
          <w:i/>
          <w:noProof/>
          <w:lang w:val="fr-CA"/>
        </w:rPr>
        <w:t>Charte</w:t>
      </w:r>
      <w:r w:rsidRPr="00822328">
        <w:rPr>
          <w:rFonts w:cs="Times New Roman"/>
          <w:noProof/>
          <w:lang w:val="fr-CA"/>
        </w:rPr>
        <w:t>, la Cour doit situer cette conduite sur l</w:t>
      </w:r>
      <w:r>
        <w:rPr>
          <w:rFonts w:cs="Times New Roman"/>
          <w:noProof/>
          <w:lang w:val="fr-CA"/>
        </w:rPr>
        <w:t>’</w:t>
      </w:r>
      <w:r w:rsidRPr="00822328">
        <w:rPr>
          <w:rFonts w:cs="Times New Roman"/>
          <w:noProof/>
          <w:lang w:val="fr-CA"/>
        </w:rPr>
        <w:t>échelle de culpabilité. Comme elle l</w:t>
      </w:r>
      <w:r>
        <w:rPr>
          <w:rFonts w:cs="Times New Roman"/>
          <w:noProof/>
          <w:lang w:val="fr-CA"/>
        </w:rPr>
        <w:t>’</w:t>
      </w:r>
      <w:r w:rsidRPr="00822328">
        <w:rPr>
          <w:rFonts w:cs="Times New Roman"/>
          <w:noProof/>
          <w:lang w:val="fr-CA"/>
        </w:rPr>
        <w:t xml:space="preserve">explique dans </w:t>
      </w:r>
      <w:r w:rsidRPr="00822328">
        <w:rPr>
          <w:rFonts w:cs="Times New Roman"/>
          <w:i/>
          <w:noProof/>
          <w:lang w:val="fr-CA"/>
        </w:rPr>
        <w:t>Grant</w:t>
      </w:r>
      <w:r w:rsidRPr="00822328">
        <w:rPr>
          <w:rFonts w:cs="Times New Roman"/>
          <w:noProof/>
          <w:lang w:val="fr-CA"/>
        </w:rPr>
        <w:t xml:space="preserve"> 2009, « </w:t>
      </w:r>
      <w:r w:rsidRPr="00822328">
        <w:rPr>
          <w:rFonts w:cs="Times New Roman"/>
          <w:noProof/>
          <w:szCs w:val="24"/>
          <w:lang w:val="fr-CA"/>
        </w:rPr>
        <w:t>l</w:t>
      </w:r>
      <w:r>
        <w:rPr>
          <w:rFonts w:cs="Times New Roman"/>
          <w:noProof/>
          <w:szCs w:val="24"/>
          <w:lang w:val="fr-CA"/>
        </w:rPr>
        <w:t>’</w:t>
      </w:r>
      <w:r w:rsidRPr="00822328">
        <w:rPr>
          <w:rFonts w:cs="Times New Roman"/>
          <w:noProof/>
          <w:szCs w:val="24"/>
          <w:lang w:val="fr-CA"/>
        </w:rPr>
        <w:t>utilisation d</w:t>
      </w:r>
      <w:r>
        <w:rPr>
          <w:rFonts w:cs="Times New Roman"/>
          <w:noProof/>
          <w:szCs w:val="24"/>
          <w:lang w:val="fr-CA"/>
        </w:rPr>
        <w:t>’</w:t>
      </w:r>
      <w:r w:rsidRPr="00822328">
        <w:rPr>
          <w:rFonts w:cs="Times New Roman"/>
          <w:noProof/>
          <w:szCs w:val="24"/>
          <w:lang w:val="fr-CA"/>
        </w:rPr>
        <w:t>éléments de preuve obtenus par suite de violations mineures ou commises par inadvertance peut ébranler minimalement la confiance du public à l</w:t>
      </w:r>
      <w:r>
        <w:rPr>
          <w:rFonts w:cs="Times New Roman"/>
          <w:noProof/>
          <w:szCs w:val="24"/>
          <w:lang w:val="fr-CA"/>
        </w:rPr>
        <w:t>’</w:t>
      </w:r>
      <w:r w:rsidRPr="00822328">
        <w:rPr>
          <w:rFonts w:cs="Times New Roman"/>
          <w:noProof/>
          <w:szCs w:val="24"/>
          <w:lang w:val="fr-CA"/>
        </w:rPr>
        <w:t>égard de la primauté du droit</w:t>
      </w:r>
      <w:r w:rsidRPr="00822328">
        <w:rPr>
          <w:rFonts w:cs="Times New Roman"/>
          <w:noProof/>
          <w:lang w:val="fr-CA"/>
        </w:rPr>
        <w:t> », alors que « celle d</w:t>
      </w:r>
      <w:r>
        <w:rPr>
          <w:rFonts w:cs="Times New Roman"/>
          <w:noProof/>
          <w:lang w:val="fr-CA"/>
        </w:rPr>
        <w:t>’</w:t>
      </w:r>
      <w:r w:rsidRPr="00822328">
        <w:rPr>
          <w:rFonts w:cs="Times New Roman"/>
          <w:noProof/>
          <w:lang w:val="fr-CA"/>
        </w:rPr>
        <w:t xml:space="preserve">éléments de preuve obtenus au mépris délibéré des droits garantis par la </w:t>
      </w:r>
      <w:r w:rsidRPr="00822328">
        <w:rPr>
          <w:rFonts w:cs="Times New Roman"/>
          <w:i/>
          <w:noProof/>
          <w:lang w:val="fr-CA"/>
        </w:rPr>
        <w:t>Charte</w:t>
      </w:r>
      <w:r w:rsidRPr="00822328">
        <w:rPr>
          <w:rFonts w:cs="Times New Roman"/>
          <w:noProof/>
          <w:lang w:val="fr-CA"/>
        </w:rPr>
        <w:t xml:space="preserve"> ou en ne s</w:t>
      </w:r>
      <w:r>
        <w:rPr>
          <w:rFonts w:cs="Times New Roman"/>
          <w:noProof/>
          <w:lang w:val="fr-CA"/>
        </w:rPr>
        <w:t>’</w:t>
      </w:r>
      <w:r w:rsidRPr="00822328">
        <w:rPr>
          <w:rFonts w:cs="Times New Roman"/>
          <w:noProof/>
          <w:lang w:val="fr-CA"/>
        </w:rPr>
        <w:t>en souciant pas aura nécessairement une incidence néfaste sur cette confiance et risquera de déconsidérer l</w:t>
      </w:r>
      <w:r>
        <w:rPr>
          <w:rFonts w:cs="Times New Roman"/>
          <w:noProof/>
          <w:lang w:val="fr-CA"/>
        </w:rPr>
        <w:t>’</w:t>
      </w:r>
      <w:r w:rsidRPr="00822328">
        <w:rPr>
          <w:rFonts w:cs="Times New Roman"/>
          <w:noProof/>
          <w:lang w:val="fr-CA"/>
        </w:rPr>
        <w:t>administration de la justice »</w:t>
      </w:r>
      <w:r w:rsidR="00363E9C">
        <w:rPr>
          <w:rFonts w:cs="Times New Roman"/>
          <w:noProof/>
          <w:lang w:val="fr-CA"/>
        </w:rPr>
        <w:t xml:space="preserve"> </w:t>
      </w:r>
      <w:r w:rsidR="00363E9C" w:rsidRPr="00822328">
        <w:rPr>
          <w:rFonts w:cs="Times New Roman"/>
          <w:noProof/>
          <w:lang w:val="fr-CA"/>
        </w:rPr>
        <w:t>(par. 74)</w:t>
      </w:r>
      <w:r w:rsidRPr="00822328">
        <w:rPr>
          <w:rFonts w:cs="Times New Roman"/>
          <w:noProof/>
          <w:lang w:val="fr-CA"/>
        </w:rPr>
        <w:t>. Dans ses observations, le ministère public s</w:t>
      </w:r>
      <w:r>
        <w:rPr>
          <w:rFonts w:cs="Times New Roman"/>
          <w:noProof/>
          <w:lang w:val="fr-CA"/>
        </w:rPr>
        <w:t>’</w:t>
      </w:r>
      <w:r w:rsidRPr="00822328">
        <w:rPr>
          <w:rFonts w:cs="Times New Roman"/>
          <w:noProof/>
          <w:lang w:val="fr-CA"/>
        </w:rPr>
        <w:t xml:space="preserve">en remet implicitement à cette distinction, faisant valoir que </w:t>
      </w:r>
      <w:r w:rsidRPr="00822328">
        <w:rPr>
          <w:rFonts w:cs="Times New Roman"/>
          <w:smallCaps/>
          <w:noProof/>
          <w:lang w:val="fr-CA"/>
        </w:rPr>
        <w:t>[traduction]</w:t>
      </w:r>
      <w:r w:rsidRPr="00822328">
        <w:rPr>
          <w:rFonts w:cs="Times New Roman"/>
          <w:noProof/>
          <w:lang w:val="fr-CA"/>
        </w:rPr>
        <w:t xml:space="preserve"> « les policiers comptaient entrer dans l</w:t>
      </w:r>
      <w:r>
        <w:rPr>
          <w:rFonts w:cs="Times New Roman"/>
          <w:noProof/>
          <w:lang w:val="fr-CA"/>
        </w:rPr>
        <w:t>’</w:t>
      </w:r>
      <w:r w:rsidRPr="00822328">
        <w:rPr>
          <w:rFonts w:cs="Times New Roman"/>
          <w:noProof/>
          <w:lang w:val="fr-CA"/>
        </w:rPr>
        <w:t>appartement uniquement pour saisir la marihuana et n</w:t>
      </w:r>
      <w:r>
        <w:rPr>
          <w:rFonts w:cs="Times New Roman"/>
          <w:noProof/>
          <w:lang w:val="fr-CA"/>
        </w:rPr>
        <w:t>’</w:t>
      </w:r>
      <w:r w:rsidRPr="00822328">
        <w:rPr>
          <w:rFonts w:cs="Times New Roman"/>
          <w:noProof/>
          <w:lang w:val="fr-CA"/>
        </w:rPr>
        <w:t>avaient pas de “dessein ultérieur” ».</w:t>
      </w:r>
    </w:p>
    <w:p w:rsidR="00A37A4C" w:rsidRPr="00822328" w:rsidRDefault="00A37A4C" w:rsidP="006534E4">
      <w:pPr>
        <w:pStyle w:val="ParaNoNdepar-AltN"/>
        <w:widowControl w:val="0"/>
        <w:rPr>
          <w:rFonts w:cs="Times New Roman"/>
          <w:noProof/>
          <w:szCs w:val="24"/>
          <w:lang w:val="fr-CA"/>
        </w:rPr>
      </w:pPr>
      <w:r w:rsidRPr="00822328">
        <w:rPr>
          <w:rFonts w:cs="Times New Roman"/>
          <w:noProof/>
          <w:szCs w:val="24"/>
          <w:lang w:val="fr-CA"/>
        </w:rPr>
        <w:t>Mon collègue le juge Moldaver rappelle que, selon le juge du procès, les policier</w:t>
      </w:r>
      <w:r w:rsidR="00CA0CB9">
        <w:rPr>
          <w:rFonts w:cs="Times New Roman"/>
          <w:noProof/>
          <w:szCs w:val="24"/>
          <w:lang w:val="fr-CA"/>
        </w:rPr>
        <w:t>s ont agi de bonne foi (par. 66</w:t>
      </w:r>
      <w:r w:rsidRPr="00822328">
        <w:rPr>
          <w:rFonts w:cs="Times New Roman"/>
          <w:noProof/>
          <w:szCs w:val="24"/>
          <w:lang w:val="fr-CA"/>
        </w:rPr>
        <w:t>; motifs du juge du procès, par. 79). Certes, « le tribunal aura moins à se dissocier de la conduite de la police lorsque celle</w:t>
      </w:r>
      <w:r w:rsidRPr="00822328">
        <w:rPr>
          <w:rFonts w:cs="Times New Roman"/>
          <w:noProof/>
          <w:szCs w:val="24"/>
          <w:lang w:val="fr-CA"/>
        </w:rPr>
        <w:noBreakHyphen/>
        <w:t>ci a agi de “bonne foi” » (</w:t>
      </w:r>
      <w:r w:rsidRPr="00822328">
        <w:rPr>
          <w:rFonts w:cs="Times New Roman"/>
          <w:i/>
          <w:noProof/>
          <w:szCs w:val="24"/>
          <w:lang w:val="fr-CA"/>
        </w:rPr>
        <w:t>Grant</w:t>
      </w:r>
      <w:r w:rsidRPr="00822328">
        <w:rPr>
          <w:rFonts w:cs="Times New Roman"/>
          <w:noProof/>
          <w:szCs w:val="24"/>
          <w:lang w:val="fr-CA"/>
        </w:rPr>
        <w:t xml:space="preserve"> 2009, par. 75), mais les erreurs commises de bonne foi doivent être </w:t>
      </w:r>
      <w:r w:rsidRPr="00822328">
        <w:rPr>
          <w:rFonts w:cs="Times New Roman"/>
          <w:i/>
          <w:noProof/>
          <w:szCs w:val="24"/>
          <w:lang w:val="fr-CA"/>
        </w:rPr>
        <w:t>raisonnables</w:t>
      </w:r>
      <w:r w:rsidRPr="00822328">
        <w:rPr>
          <w:rFonts w:cs="Times New Roman"/>
          <w:noProof/>
          <w:szCs w:val="24"/>
          <w:lang w:val="fr-CA"/>
        </w:rPr>
        <w:t xml:space="preserve"> (</w:t>
      </w:r>
      <w:r w:rsidRPr="00822328">
        <w:rPr>
          <w:rFonts w:cs="Times New Roman"/>
          <w:i/>
          <w:noProof/>
          <w:szCs w:val="24"/>
          <w:lang w:val="fr-CA"/>
        </w:rPr>
        <w:t>R. c. Buhay</w:t>
      </w:r>
      <w:r w:rsidRPr="00822328">
        <w:rPr>
          <w:rFonts w:cs="Times New Roman"/>
          <w:noProof/>
          <w:szCs w:val="24"/>
          <w:lang w:val="fr-CA"/>
        </w:rPr>
        <w:t>, 2003 CSC 30, [2003] 1 R.C.S. 631, par. 59). La Cour a bien dit qu</w:t>
      </w:r>
      <w:r>
        <w:rPr>
          <w:rFonts w:cs="Times New Roman"/>
          <w:noProof/>
          <w:szCs w:val="24"/>
          <w:lang w:val="fr-CA"/>
        </w:rPr>
        <w:t>’</w:t>
      </w:r>
      <w:r w:rsidRPr="00822328">
        <w:rPr>
          <w:rFonts w:cs="Times New Roman"/>
          <w:noProof/>
          <w:szCs w:val="24"/>
          <w:lang w:val="fr-CA"/>
        </w:rPr>
        <w:t>il ne peut y avoir de bonne foi en cas de négligence dans l</w:t>
      </w:r>
      <w:r>
        <w:rPr>
          <w:rFonts w:cs="Times New Roman"/>
          <w:noProof/>
          <w:szCs w:val="24"/>
          <w:lang w:val="fr-CA"/>
        </w:rPr>
        <w:t>’</w:t>
      </w:r>
      <w:r w:rsidRPr="00822328">
        <w:rPr>
          <w:rFonts w:cs="Times New Roman"/>
          <w:noProof/>
          <w:szCs w:val="24"/>
          <w:lang w:val="fr-CA"/>
        </w:rPr>
        <w:t>observation des normes constitutionnelles (</w:t>
      </w:r>
      <w:r w:rsidRPr="00822328">
        <w:rPr>
          <w:rFonts w:cs="Times New Roman"/>
          <w:i/>
          <w:noProof/>
          <w:szCs w:val="24"/>
          <w:lang w:val="fr-CA"/>
        </w:rPr>
        <w:t>Grant</w:t>
      </w:r>
      <w:r w:rsidRPr="00822328">
        <w:rPr>
          <w:rFonts w:cs="Times New Roman"/>
          <w:noProof/>
          <w:szCs w:val="24"/>
          <w:lang w:val="fr-CA"/>
        </w:rPr>
        <w:t xml:space="preserve"> 2009, par. 75). Même lorsque l</w:t>
      </w:r>
      <w:r>
        <w:rPr>
          <w:rFonts w:cs="Times New Roman"/>
          <w:noProof/>
          <w:szCs w:val="24"/>
          <w:lang w:val="fr-CA"/>
        </w:rPr>
        <w:t>’</w:t>
      </w:r>
      <w:r w:rsidRPr="00822328">
        <w:rPr>
          <w:rFonts w:cs="Times New Roman"/>
          <w:noProof/>
          <w:lang w:val="fr-CA"/>
        </w:rPr>
        <w:t>atteinte à un droit garanti par</w:t>
      </w:r>
      <w:r w:rsidRPr="00822328">
        <w:rPr>
          <w:rFonts w:cs="Times New Roman"/>
          <w:noProof/>
          <w:szCs w:val="24"/>
          <w:lang w:val="fr-CA"/>
        </w:rPr>
        <w:t xml:space="preserve"> la </w:t>
      </w:r>
      <w:r w:rsidRPr="00822328">
        <w:rPr>
          <w:rFonts w:cs="Times New Roman"/>
          <w:i/>
          <w:noProof/>
          <w:szCs w:val="24"/>
          <w:lang w:val="fr-CA"/>
        </w:rPr>
        <w:t>Charte</w:t>
      </w:r>
      <w:r w:rsidRPr="00822328">
        <w:rPr>
          <w:rFonts w:cs="Times New Roman"/>
          <w:noProof/>
          <w:szCs w:val="24"/>
          <w:lang w:val="fr-CA"/>
        </w:rPr>
        <w:t xml:space="preserve"> n</w:t>
      </w:r>
      <w:r>
        <w:rPr>
          <w:rFonts w:cs="Times New Roman"/>
          <w:noProof/>
          <w:szCs w:val="24"/>
          <w:lang w:val="fr-CA"/>
        </w:rPr>
        <w:t>’</w:t>
      </w:r>
      <w:r w:rsidRPr="00822328">
        <w:rPr>
          <w:rFonts w:cs="Times New Roman"/>
          <w:noProof/>
          <w:szCs w:val="24"/>
          <w:lang w:val="fr-CA"/>
        </w:rPr>
        <w:t>est pas le résultat d</w:t>
      </w:r>
      <w:r>
        <w:rPr>
          <w:rFonts w:cs="Times New Roman"/>
          <w:noProof/>
          <w:szCs w:val="24"/>
          <w:lang w:val="fr-CA"/>
        </w:rPr>
        <w:t>’</w:t>
      </w:r>
      <w:r w:rsidRPr="00822328">
        <w:rPr>
          <w:rFonts w:cs="Times New Roman"/>
          <w:noProof/>
          <w:szCs w:val="24"/>
          <w:lang w:val="fr-CA"/>
        </w:rPr>
        <w:t>un acte délibéré ou d</w:t>
      </w:r>
      <w:r>
        <w:rPr>
          <w:rFonts w:cs="Times New Roman"/>
          <w:noProof/>
          <w:szCs w:val="24"/>
          <w:lang w:val="fr-CA"/>
        </w:rPr>
        <w:t>’</w:t>
      </w:r>
      <w:r w:rsidRPr="00822328">
        <w:rPr>
          <w:rFonts w:cs="Times New Roman"/>
          <w:noProof/>
          <w:szCs w:val="24"/>
          <w:lang w:val="fr-CA"/>
        </w:rPr>
        <w:t>un abus systémique ou institutionnel, la Cour conclut qu</w:t>
      </w:r>
      <w:r>
        <w:rPr>
          <w:rFonts w:cs="Times New Roman"/>
          <w:noProof/>
          <w:szCs w:val="24"/>
          <w:lang w:val="fr-CA"/>
        </w:rPr>
        <w:t>’</w:t>
      </w:r>
      <w:r w:rsidRPr="00822328">
        <w:rPr>
          <w:rFonts w:cs="Times New Roman"/>
          <w:noProof/>
          <w:szCs w:val="24"/>
          <w:lang w:val="fr-CA"/>
        </w:rPr>
        <w:t>il est justifié d</w:t>
      </w:r>
      <w:r>
        <w:rPr>
          <w:rFonts w:cs="Times New Roman"/>
          <w:noProof/>
          <w:szCs w:val="24"/>
          <w:lang w:val="fr-CA"/>
        </w:rPr>
        <w:t>’</w:t>
      </w:r>
      <w:r w:rsidRPr="00822328">
        <w:rPr>
          <w:rFonts w:cs="Times New Roman"/>
          <w:noProof/>
          <w:szCs w:val="24"/>
          <w:lang w:val="fr-CA"/>
        </w:rPr>
        <w:t>écarter la preuve s</w:t>
      </w:r>
      <w:r>
        <w:rPr>
          <w:rFonts w:cs="Times New Roman"/>
          <w:noProof/>
          <w:szCs w:val="24"/>
          <w:lang w:val="fr-CA"/>
        </w:rPr>
        <w:t>’</w:t>
      </w:r>
      <w:r w:rsidRPr="00822328">
        <w:rPr>
          <w:rFonts w:cs="Times New Roman"/>
          <w:noProof/>
          <w:szCs w:val="24"/>
          <w:lang w:val="fr-CA"/>
        </w:rPr>
        <w:t>il y a eu violation manifeste d</w:t>
      </w:r>
      <w:r>
        <w:rPr>
          <w:rFonts w:cs="Times New Roman"/>
          <w:noProof/>
          <w:szCs w:val="24"/>
          <w:lang w:val="fr-CA"/>
        </w:rPr>
        <w:t>’</w:t>
      </w:r>
      <w:r w:rsidRPr="00822328">
        <w:rPr>
          <w:rFonts w:cs="Times New Roman"/>
          <w:noProof/>
          <w:szCs w:val="24"/>
          <w:lang w:val="fr-CA"/>
        </w:rPr>
        <w:t>une règle bien établie régissant la conduite de l</w:t>
      </w:r>
      <w:r>
        <w:rPr>
          <w:rFonts w:cs="Times New Roman"/>
          <w:noProof/>
          <w:szCs w:val="24"/>
          <w:lang w:val="fr-CA"/>
        </w:rPr>
        <w:t>’</w:t>
      </w:r>
      <w:r w:rsidRPr="00822328">
        <w:rPr>
          <w:rFonts w:cs="Times New Roman"/>
          <w:noProof/>
          <w:szCs w:val="24"/>
          <w:lang w:val="fr-CA"/>
        </w:rPr>
        <w:t>État (</w:t>
      </w:r>
      <w:r w:rsidRPr="00822328">
        <w:rPr>
          <w:rFonts w:cs="Times New Roman"/>
          <w:i/>
          <w:noProof/>
          <w:szCs w:val="24"/>
          <w:lang w:val="fr-CA"/>
        </w:rPr>
        <w:t>R. c. Harrison</w:t>
      </w:r>
      <w:r w:rsidRPr="00822328">
        <w:rPr>
          <w:rFonts w:cs="Times New Roman"/>
          <w:noProof/>
          <w:szCs w:val="24"/>
          <w:lang w:val="fr-CA"/>
        </w:rPr>
        <w:t>, 2009 CSC 34, [2009] 2 R.C.S. 494, par. 24</w:t>
      </w:r>
      <w:r w:rsidRPr="00822328">
        <w:rPr>
          <w:rFonts w:cs="Times New Roman"/>
          <w:noProof/>
          <w:szCs w:val="24"/>
          <w:lang w:val="fr-CA"/>
        </w:rPr>
        <w:noBreakHyphen/>
        <w:t>25).</w:t>
      </w:r>
    </w:p>
    <w:p w:rsidR="00A37A4C" w:rsidRPr="00822328" w:rsidRDefault="00A37A4C" w:rsidP="006534E4">
      <w:pPr>
        <w:pStyle w:val="ParaNoNdepar-AltN"/>
        <w:widowControl w:val="0"/>
        <w:rPr>
          <w:rFonts w:cs="Times New Roman"/>
          <w:noProof/>
          <w:lang w:val="fr-CA"/>
        </w:rPr>
      </w:pPr>
      <w:r w:rsidRPr="00822328">
        <w:rPr>
          <w:rFonts w:cs="Times New Roman"/>
          <w:noProof/>
          <w:lang w:val="fr-CA"/>
        </w:rPr>
        <w:t>Mon collègue insist</w:t>
      </w:r>
      <w:r w:rsidR="00363E9C">
        <w:rPr>
          <w:rFonts w:cs="Times New Roman"/>
          <w:noProof/>
          <w:lang w:val="fr-CA"/>
        </w:rPr>
        <w:t>e aussi beaucoup (aux par. 78-</w:t>
      </w:r>
      <w:r w:rsidRPr="00822328">
        <w:rPr>
          <w:rFonts w:cs="Times New Roman"/>
          <w:noProof/>
          <w:lang w:val="fr-CA"/>
        </w:rPr>
        <w:t>92) sur le fait qu</w:t>
      </w:r>
      <w:r>
        <w:rPr>
          <w:rFonts w:cs="Times New Roman"/>
          <w:noProof/>
          <w:lang w:val="fr-CA"/>
        </w:rPr>
        <w:t>’</w:t>
      </w:r>
      <w:r w:rsidRPr="00822328">
        <w:rPr>
          <w:rFonts w:cs="Times New Roman"/>
          <w:noProof/>
          <w:lang w:val="fr-CA"/>
        </w:rPr>
        <w:t>il s</w:t>
      </w:r>
      <w:r>
        <w:rPr>
          <w:rFonts w:cs="Times New Roman"/>
          <w:noProof/>
          <w:lang w:val="fr-CA"/>
        </w:rPr>
        <w:t>’</w:t>
      </w:r>
      <w:r w:rsidRPr="00822328">
        <w:rPr>
          <w:rFonts w:cs="Times New Roman"/>
          <w:noProof/>
          <w:lang w:val="fr-CA"/>
        </w:rPr>
        <w:t>est agi d</w:t>
      </w:r>
      <w:r>
        <w:rPr>
          <w:rFonts w:cs="Times New Roman"/>
          <w:noProof/>
          <w:lang w:val="fr-CA"/>
        </w:rPr>
        <w:t>’</w:t>
      </w:r>
      <w:r w:rsidRPr="00822328">
        <w:rPr>
          <w:rFonts w:cs="Times New Roman"/>
          <w:noProof/>
          <w:lang w:val="fr-CA"/>
        </w:rPr>
        <w:t xml:space="preserve">une saisie « sans poursuite » et, plus particulièrement, sur le fait que cette caractéristique de la saisie est « cruciale </w:t>
      </w:r>
      <w:r w:rsidR="00363E9C" w:rsidRPr="00822328">
        <w:rPr>
          <w:rFonts w:cs="Times New Roman"/>
          <w:noProof/>
          <w:lang w:val="fr-CA"/>
        </w:rPr>
        <w:t>[</w:t>
      </w:r>
      <w:r w:rsidRPr="00822328">
        <w:rPr>
          <w:rFonts w:cs="Times New Roman"/>
          <w:noProof/>
          <w:lang w:val="fr-CA"/>
        </w:rPr>
        <w:t>dans la décision des tribunaux inférieurs de] conclure à la légalité de l</w:t>
      </w:r>
      <w:r>
        <w:rPr>
          <w:rFonts w:cs="Times New Roman"/>
          <w:noProof/>
          <w:lang w:val="fr-CA"/>
        </w:rPr>
        <w:t>’</w:t>
      </w:r>
      <w:r w:rsidRPr="00822328">
        <w:rPr>
          <w:rFonts w:cs="Times New Roman"/>
          <w:noProof/>
          <w:lang w:val="fr-CA"/>
        </w:rPr>
        <w:t>entrée sans mandat des policiers chez l</w:t>
      </w:r>
      <w:r>
        <w:rPr>
          <w:rFonts w:cs="Times New Roman"/>
          <w:noProof/>
          <w:lang w:val="fr-CA"/>
        </w:rPr>
        <w:t>’</w:t>
      </w:r>
      <w:r w:rsidRPr="00822328">
        <w:rPr>
          <w:rFonts w:cs="Times New Roman"/>
          <w:noProof/>
          <w:lang w:val="fr-CA"/>
        </w:rPr>
        <w:t>appelant » (par. 76 et 80). C</w:t>
      </w:r>
      <w:r>
        <w:rPr>
          <w:rFonts w:cs="Times New Roman"/>
          <w:noProof/>
          <w:lang w:val="fr-CA"/>
        </w:rPr>
        <w:t>’</w:t>
      </w:r>
      <w:r w:rsidRPr="00822328">
        <w:rPr>
          <w:rFonts w:cs="Times New Roman"/>
          <w:noProof/>
          <w:lang w:val="fr-CA"/>
        </w:rPr>
        <w:t>est pourquoi, selon lui, nous serions saisis d</w:t>
      </w:r>
      <w:r>
        <w:rPr>
          <w:rFonts w:cs="Times New Roman"/>
          <w:noProof/>
          <w:lang w:val="fr-CA"/>
        </w:rPr>
        <w:t>’</w:t>
      </w:r>
      <w:r w:rsidRPr="00822328">
        <w:rPr>
          <w:rFonts w:cs="Times New Roman"/>
          <w:noProof/>
          <w:lang w:val="fr-CA"/>
        </w:rPr>
        <w:t>une affaire « sans précédent » (par. 77 et 88).</w:t>
      </w:r>
    </w:p>
    <w:p w:rsidR="00A37A4C" w:rsidRPr="00822328" w:rsidRDefault="00A37A4C" w:rsidP="006534E4">
      <w:pPr>
        <w:pStyle w:val="ParaNoNdepar-AltN"/>
        <w:widowControl w:val="0"/>
        <w:rPr>
          <w:rFonts w:cs="Times New Roman"/>
          <w:noProof/>
          <w:lang w:val="fr-CA"/>
        </w:rPr>
      </w:pPr>
      <w:r w:rsidRPr="00822328">
        <w:rPr>
          <w:rFonts w:cs="Times New Roman"/>
          <w:noProof/>
          <w:lang w:val="fr-CA"/>
        </w:rPr>
        <w:t>Le juge du procès et la Cour d</w:t>
      </w:r>
      <w:r>
        <w:rPr>
          <w:rFonts w:cs="Times New Roman"/>
          <w:noProof/>
          <w:lang w:val="fr-CA"/>
        </w:rPr>
        <w:t>’</w:t>
      </w:r>
      <w:r w:rsidRPr="00822328">
        <w:rPr>
          <w:rFonts w:cs="Times New Roman"/>
          <w:noProof/>
          <w:lang w:val="fr-CA"/>
        </w:rPr>
        <w:t>appel relèvent effectivement l</w:t>
      </w:r>
      <w:r>
        <w:rPr>
          <w:rFonts w:cs="Times New Roman"/>
          <w:noProof/>
          <w:lang w:val="fr-CA"/>
        </w:rPr>
        <w:t>’</w:t>
      </w:r>
      <w:r w:rsidRPr="00822328">
        <w:rPr>
          <w:rFonts w:cs="Times New Roman"/>
          <w:noProof/>
          <w:lang w:val="fr-CA"/>
        </w:rPr>
        <w:t>intention des policiers d</w:t>
      </w:r>
      <w:r>
        <w:rPr>
          <w:rFonts w:cs="Times New Roman"/>
          <w:noProof/>
          <w:lang w:val="fr-CA"/>
        </w:rPr>
        <w:t>’</w:t>
      </w:r>
      <w:r w:rsidRPr="00822328">
        <w:rPr>
          <w:rFonts w:cs="Times New Roman"/>
          <w:noProof/>
          <w:lang w:val="fr-CA"/>
        </w:rPr>
        <w:t>effectuer une saisie « sans poursuite » lorsqu</w:t>
      </w:r>
      <w:r>
        <w:rPr>
          <w:rFonts w:cs="Times New Roman"/>
          <w:noProof/>
          <w:lang w:val="fr-CA"/>
        </w:rPr>
        <w:t>’</w:t>
      </w:r>
      <w:r w:rsidRPr="00822328">
        <w:rPr>
          <w:rFonts w:cs="Times New Roman"/>
          <w:noProof/>
          <w:lang w:val="fr-CA"/>
        </w:rPr>
        <w:t>ils examinent la bonne foi des policiers (motifs de première instance, par. 79) et le degré de l</w:t>
      </w:r>
      <w:r>
        <w:rPr>
          <w:rFonts w:cs="Times New Roman"/>
          <w:noProof/>
          <w:lang w:val="fr-CA"/>
        </w:rPr>
        <w:t>’</w:t>
      </w:r>
      <w:r w:rsidRPr="00822328">
        <w:rPr>
          <w:rFonts w:cs="Times New Roman"/>
          <w:noProof/>
          <w:lang w:val="fr-CA"/>
        </w:rPr>
        <w:t>atteinte qui a résulté de la perquisition par rapport à celui de l</w:t>
      </w:r>
      <w:r>
        <w:rPr>
          <w:rFonts w:cs="Times New Roman"/>
          <w:noProof/>
          <w:lang w:val="fr-CA"/>
        </w:rPr>
        <w:t>’</w:t>
      </w:r>
      <w:r w:rsidRPr="00822328">
        <w:rPr>
          <w:rFonts w:cs="Times New Roman"/>
          <w:noProof/>
          <w:lang w:val="fr-CA"/>
        </w:rPr>
        <w:t>atteinte qui aurait résulté d</w:t>
      </w:r>
      <w:r>
        <w:rPr>
          <w:rFonts w:cs="Times New Roman"/>
          <w:noProof/>
          <w:lang w:val="fr-CA"/>
        </w:rPr>
        <w:t>’</w:t>
      </w:r>
      <w:r w:rsidRPr="00822328">
        <w:rPr>
          <w:rFonts w:cs="Times New Roman"/>
          <w:noProof/>
          <w:lang w:val="fr-CA"/>
        </w:rPr>
        <w:t>une arrestation (motifs de la C.A., par. 72 et 74). Cela dit, ni le juge du procès ni la Cour d</w:t>
      </w:r>
      <w:r>
        <w:rPr>
          <w:rFonts w:cs="Times New Roman"/>
          <w:noProof/>
          <w:lang w:val="fr-CA"/>
        </w:rPr>
        <w:t>’</w:t>
      </w:r>
      <w:r w:rsidRPr="00822328">
        <w:rPr>
          <w:rFonts w:cs="Times New Roman"/>
          <w:noProof/>
          <w:lang w:val="fr-CA"/>
        </w:rPr>
        <w:t>appel n</w:t>
      </w:r>
      <w:r>
        <w:rPr>
          <w:rFonts w:cs="Times New Roman"/>
          <w:noProof/>
          <w:lang w:val="fr-CA"/>
        </w:rPr>
        <w:t>’</w:t>
      </w:r>
      <w:r w:rsidRPr="00822328">
        <w:rPr>
          <w:rFonts w:cs="Times New Roman"/>
          <w:noProof/>
          <w:lang w:val="fr-CA"/>
        </w:rPr>
        <w:t>y voient une question de droit inédite, et le ministère public n</w:t>
      </w:r>
      <w:r>
        <w:rPr>
          <w:rFonts w:cs="Times New Roman"/>
          <w:noProof/>
          <w:lang w:val="fr-CA"/>
        </w:rPr>
        <w:t>’</w:t>
      </w:r>
      <w:r w:rsidRPr="00822328">
        <w:rPr>
          <w:rFonts w:cs="Times New Roman"/>
          <w:noProof/>
          <w:lang w:val="fr-CA"/>
        </w:rPr>
        <w:t>allègue pas non plus qu</w:t>
      </w:r>
      <w:r>
        <w:rPr>
          <w:rFonts w:cs="Times New Roman"/>
          <w:noProof/>
          <w:lang w:val="fr-CA"/>
        </w:rPr>
        <w:t>’</w:t>
      </w:r>
      <w:r w:rsidRPr="00822328">
        <w:rPr>
          <w:rFonts w:cs="Times New Roman"/>
          <w:noProof/>
          <w:lang w:val="fr-CA"/>
        </w:rPr>
        <w:t>il s</w:t>
      </w:r>
      <w:r>
        <w:rPr>
          <w:rFonts w:cs="Times New Roman"/>
          <w:noProof/>
          <w:lang w:val="fr-CA"/>
        </w:rPr>
        <w:t>’</w:t>
      </w:r>
      <w:r w:rsidRPr="00822328">
        <w:rPr>
          <w:rFonts w:cs="Times New Roman"/>
          <w:noProof/>
          <w:lang w:val="fr-CA"/>
        </w:rPr>
        <w:t>agit d</w:t>
      </w:r>
      <w:r>
        <w:rPr>
          <w:rFonts w:cs="Times New Roman"/>
          <w:noProof/>
          <w:lang w:val="fr-CA"/>
        </w:rPr>
        <w:t>’</w:t>
      </w:r>
      <w:r w:rsidRPr="00822328">
        <w:rPr>
          <w:rFonts w:cs="Times New Roman"/>
          <w:noProof/>
          <w:lang w:val="fr-CA"/>
        </w:rPr>
        <w:t>une telle question, ce qui n</w:t>
      </w:r>
      <w:r>
        <w:rPr>
          <w:rFonts w:cs="Times New Roman"/>
          <w:noProof/>
          <w:lang w:val="fr-CA"/>
        </w:rPr>
        <w:t>’</w:t>
      </w:r>
      <w:r w:rsidRPr="00822328">
        <w:rPr>
          <w:rFonts w:cs="Times New Roman"/>
          <w:noProof/>
          <w:lang w:val="fr-CA"/>
        </w:rPr>
        <w:t>est guère étonnant. Là réside mon humble désaccord avec mon collègue : il ne s</w:t>
      </w:r>
      <w:r>
        <w:rPr>
          <w:rFonts w:cs="Times New Roman"/>
          <w:noProof/>
          <w:lang w:val="fr-CA"/>
        </w:rPr>
        <w:t>’</w:t>
      </w:r>
      <w:r w:rsidRPr="00822328">
        <w:rPr>
          <w:rFonts w:cs="Times New Roman"/>
          <w:noProof/>
          <w:lang w:val="fr-CA"/>
        </w:rPr>
        <w:t>agit tout simplement pas d</w:t>
      </w:r>
      <w:r>
        <w:rPr>
          <w:rFonts w:cs="Times New Roman"/>
          <w:noProof/>
          <w:lang w:val="fr-CA"/>
        </w:rPr>
        <w:t>’</w:t>
      </w:r>
      <w:r w:rsidRPr="00822328">
        <w:rPr>
          <w:rFonts w:cs="Times New Roman"/>
          <w:noProof/>
          <w:lang w:val="fr-CA"/>
        </w:rPr>
        <w:t>une affaire sans précédent. Les policiers ne sont pas intervenus dans un contexte juridique inconnu : leur intention d</w:t>
      </w:r>
      <w:r>
        <w:rPr>
          <w:rFonts w:cs="Times New Roman"/>
          <w:noProof/>
          <w:lang w:val="fr-CA"/>
        </w:rPr>
        <w:t>’</w:t>
      </w:r>
      <w:r w:rsidRPr="00822328">
        <w:rPr>
          <w:rFonts w:cs="Times New Roman"/>
          <w:noProof/>
          <w:lang w:val="fr-CA"/>
        </w:rPr>
        <w:t>effectuer une saisie « sans poursuite » importait peu en droit compte tenu des principes juridiques bien établis qui régissent le pouvoir des policiers d</w:t>
      </w:r>
      <w:r>
        <w:rPr>
          <w:rFonts w:cs="Times New Roman"/>
          <w:noProof/>
          <w:lang w:val="fr-CA"/>
        </w:rPr>
        <w:t>’</w:t>
      </w:r>
      <w:r w:rsidRPr="00822328">
        <w:rPr>
          <w:rFonts w:cs="Times New Roman"/>
          <w:noProof/>
          <w:lang w:val="fr-CA"/>
        </w:rPr>
        <w:t>entrer sans mandat dans une résidence. Le caractère déraisonnable présumé d</w:t>
      </w:r>
      <w:r>
        <w:rPr>
          <w:rFonts w:cs="Times New Roman"/>
          <w:noProof/>
          <w:lang w:val="fr-CA"/>
        </w:rPr>
        <w:t>’</w:t>
      </w:r>
      <w:r w:rsidRPr="00822328">
        <w:rPr>
          <w:rFonts w:cs="Times New Roman"/>
          <w:noProof/>
          <w:lang w:val="fr-CA"/>
        </w:rPr>
        <w:t>une perquisition sans mandat et l</w:t>
      </w:r>
      <w:r>
        <w:rPr>
          <w:rFonts w:cs="Times New Roman"/>
          <w:noProof/>
          <w:lang w:val="fr-CA"/>
        </w:rPr>
        <w:t>’</w:t>
      </w:r>
      <w:r w:rsidRPr="00822328">
        <w:rPr>
          <w:rFonts w:cs="Times New Roman"/>
          <w:noProof/>
          <w:lang w:val="fr-CA"/>
        </w:rPr>
        <w:t>attente élevée en matière de vie privée d</w:t>
      </w:r>
      <w:r>
        <w:rPr>
          <w:rFonts w:cs="Times New Roman"/>
          <w:noProof/>
          <w:lang w:val="fr-CA"/>
        </w:rPr>
        <w:t>’</w:t>
      </w:r>
      <w:r w:rsidRPr="00822328">
        <w:rPr>
          <w:rFonts w:cs="Times New Roman"/>
          <w:noProof/>
          <w:lang w:val="fr-CA"/>
        </w:rPr>
        <w:t>une personne à l</w:t>
      </w:r>
      <w:r>
        <w:rPr>
          <w:rFonts w:cs="Times New Roman"/>
          <w:noProof/>
          <w:lang w:val="fr-CA"/>
        </w:rPr>
        <w:t>’</w:t>
      </w:r>
      <w:r w:rsidRPr="00822328">
        <w:rPr>
          <w:rFonts w:cs="Times New Roman"/>
          <w:noProof/>
          <w:lang w:val="fr-CA"/>
        </w:rPr>
        <w:t>égard de sa résidence sous</w:t>
      </w:r>
      <w:r w:rsidRPr="00822328">
        <w:rPr>
          <w:rFonts w:cs="Times New Roman"/>
          <w:noProof/>
          <w:lang w:val="fr-CA"/>
        </w:rPr>
        <w:noBreakHyphen/>
        <w:t>tendent depuis longtemps notre conception des justes rapports entre les citoyens et l</w:t>
      </w:r>
      <w:r>
        <w:rPr>
          <w:rFonts w:cs="Times New Roman"/>
          <w:noProof/>
          <w:lang w:val="fr-CA"/>
        </w:rPr>
        <w:t>’</w:t>
      </w:r>
      <w:r w:rsidRPr="00822328">
        <w:rPr>
          <w:rFonts w:cs="Times New Roman"/>
          <w:noProof/>
          <w:lang w:val="fr-CA"/>
        </w:rPr>
        <w:t xml:space="preserve">État. Qui plus est, la Cour exige depuis longtemps (voir les arrêts </w:t>
      </w:r>
      <w:r w:rsidRPr="00822328">
        <w:rPr>
          <w:rFonts w:cs="Times New Roman"/>
          <w:i/>
          <w:noProof/>
          <w:lang w:val="fr-CA"/>
        </w:rPr>
        <w:t>Grant</w:t>
      </w:r>
      <w:r w:rsidRPr="00822328">
        <w:rPr>
          <w:rFonts w:cs="Times New Roman"/>
          <w:noProof/>
          <w:lang w:val="fr-CA"/>
        </w:rPr>
        <w:t xml:space="preserve"> 1993, </w:t>
      </w:r>
      <w:r w:rsidRPr="00822328">
        <w:rPr>
          <w:rFonts w:cs="Times New Roman"/>
          <w:i/>
          <w:noProof/>
          <w:lang w:val="fr-CA"/>
        </w:rPr>
        <w:t>Silveira</w:t>
      </w:r>
      <w:r w:rsidRPr="00822328">
        <w:rPr>
          <w:rFonts w:cs="Times New Roman"/>
          <w:noProof/>
          <w:lang w:val="fr-CA"/>
        </w:rPr>
        <w:t xml:space="preserve"> et </w:t>
      </w:r>
      <w:r w:rsidRPr="00822328">
        <w:rPr>
          <w:rFonts w:cs="Times New Roman"/>
          <w:i/>
          <w:noProof/>
          <w:lang w:val="fr-CA"/>
        </w:rPr>
        <w:t>Feeney</w:t>
      </w:r>
      <w:r w:rsidRPr="00822328">
        <w:rPr>
          <w:rFonts w:cs="Times New Roman"/>
          <w:noProof/>
          <w:lang w:val="fr-CA"/>
        </w:rPr>
        <w:t>), en ce qui concerne l</w:t>
      </w:r>
      <w:r>
        <w:rPr>
          <w:rFonts w:cs="Times New Roman"/>
          <w:noProof/>
          <w:lang w:val="fr-CA"/>
        </w:rPr>
        <w:t>’</w:t>
      </w:r>
      <w:r w:rsidRPr="00822328">
        <w:rPr>
          <w:rFonts w:cs="Times New Roman"/>
          <w:noProof/>
          <w:lang w:val="fr-CA"/>
        </w:rPr>
        <w:t>urgence de la situation entraînant une entrée sans mandat, que le ministère public démontre l</w:t>
      </w:r>
      <w:r>
        <w:rPr>
          <w:rFonts w:cs="Times New Roman"/>
          <w:noProof/>
          <w:lang w:val="fr-CA"/>
        </w:rPr>
        <w:t>’</w:t>
      </w:r>
      <w:r w:rsidRPr="00822328">
        <w:rPr>
          <w:rFonts w:cs="Times New Roman"/>
          <w:noProof/>
          <w:lang w:val="fr-CA"/>
        </w:rPr>
        <w:t>existence d</w:t>
      </w:r>
      <w:r>
        <w:rPr>
          <w:rFonts w:cs="Times New Roman"/>
          <w:noProof/>
          <w:lang w:val="fr-CA"/>
        </w:rPr>
        <w:t>’</w:t>
      </w:r>
      <w:r w:rsidRPr="00822328">
        <w:rPr>
          <w:rFonts w:cs="Times New Roman"/>
          <w:noProof/>
          <w:lang w:val="fr-CA"/>
        </w:rPr>
        <w:t xml:space="preserve">une </w:t>
      </w:r>
      <w:r w:rsidRPr="00822328">
        <w:rPr>
          <w:rFonts w:cs="Times New Roman"/>
          <w:i/>
          <w:noProof/>
          <w:lang w:val="fr-CA"/>
        </w:rPr>
        <w:t>situation d</w:t>
      </w:r>
      <w:r>
        <w:rPr>
          <w:rFonts w:cs="Times New Roman"/>
          <w:i/>
          <w:noProof/>
          <w:lang w:val="fr-CA"/>
        </w:rPr>
        <w:t>’</w:t>
      </w:r>
      <w:r w:rsidRPr="00822328">
        <w:rPr>
          <w:rFonts w:cs="Times New Roman"/>
          <w:i/>
          <w:noProof/>
          <w:lang w:val="fr-CA"/>
        </w:rPr>
        <w:t>urgence</w:t>
      </w:r>
      <w:r w:rsidRPr="00822328">
        <w:rPr>
          <w:rFonts w:cs="Times New Roman"/>
          <w:noProof/>
          <w:lang w:val="fr-CA"/>
        </w:rPr>
        <w:t>, spécialement lorsque la perquisition est effectuée dans une résidence. Comme le fait observer la Cour dans l</w:t>
      </w:r>
      <w:r>
        <w:rPr>
          <w:rFonts w:cs="Times New Roman"/>
          <w:noProof/>
          <w:lang w:val="fr-CA"/>
        </w:rPr>
        <w:t>’</w:t>
      </w:r>
      <w:r w:rsidRPr="00822328">
        <w:rPr>
          <w:rFonts w:cs="Times New Roman"/>
          <w:noProof/>
          <w:lang w:val="fr-CA"/>
        </w:rPr>
        <w:t xml:space="preserve">arrêt </w:t>
      </w:r>
      <w:r w:rsidRPr="00822328">
        <w:rPr>
          <w:rFonts w:cs="Times New Roman"/>
          <w:i/>
          <w:noProof/>
          <w:lang w:val="fr-CA"/>
        </w:rPr>
        <w:t>Silveira</w:t>
      </w:r>
      <w:r w:rsidRPr="00822328">
        <w:rPr>
          <w:rFonts w:cs="Times New Roman"/>
          <w:noProof/>
          <w:lang w:val="fr-CA"/>
        </w:rPr>
        <w:t>, « [i]l n</w:t>
      </w:r>
      <w:r>
        <w:rPr>
          <w:rFonts w:cs="Times New Roman"/>
          <w:noProof/>
          <w:lang w:val="fr-CA"/>
        </w:rPr>
        <w:t>’</w:t>
      </w:r>
      <w:r w:rsidRPr="00822328">
        <w:rPr>
          <w:rFonts w:cs="Times New Roman"/>
          <w:noProof/>
          <w:lang w:val="fr-CA"/>
        </w:rPr>
        <w:t>existe aucun endroit au monde où une personne possède une attente plus grande en matière de vie privée que dans sa “maison d</w:t>
      </w:r>
      <w:r>
        <w:rPr>
          <w:rFonts w:cs="Times New Roman"/>
          <w:noProof/>
          <w:lang w:val="fr-CA"/>
        </w:rPr>
        <w:t>’</w:t>
      </w:r>
      <w:r w:rsidRPr="00822328">
        <w:rPr>
          <w:rFonts w:cs="Times New Roman"/>
          <w:noProof/>
          <w:lang w:val="fr-CA"/>
        </w:rPr>
        <w:t>habitation” » (par. 140). Dans le même ordre d</w:t>
      </w:r>
      <w:r>
        <w:rPr>
          <w:rFonts w:cs="Times New Roman"/>
          <w:noProof/>
          <w:lang w:val="fr-CA"/>
        </w:rPr>
        <w:t>’</w:t>
      </w:r>
      <w:r w:rsidRPr="00822328">
        <w:rPr>
          <w:rFonts w:cs="Times New Roman"/>
          <w:noProof/>
          <w:lang w:val="fr-CA"/>
        </w:rPr>
        <w:t>idées, le juge La Forest (dissident, mais non sur ce point) rappelle la grande valeur que la loi accorde à la protection de la maison d</w:t>
      </w:r>
      <w:r>
        <w:rPr>
          <w:rFonts w:cs="Times New Roman"/>
          <w:noProof/>
          <w:lang w:val="fr-CA"/>
        </w:rPr>
        <w:t>’</w:t>
      </w:r>
      <w:r w:rsidRPr="00822328">
        <w:rPr>
          <w:rFonts w:cs="Times New Roman"/>
          <w:noProof/>
          <w:lang w:val="fr-CA"/>
        </w:rPr>
        <w:t>une personne contre l</w:t>
      </w:r>
      <w:r>
        <w:rPr>
          <w:rFonts w:cs="Times New Roman"/>
          <w:noProof/>
          <w:lang w:val="fr-CA"/>
        </w:rPr>
        <w:t>’</w:t>
      </w:r>
      <w:r w:rsidRPr="00822328">
        <w:rPr>
          <w:rFonts w:cs="Times New Roman"/>
          <w:noProof/>
          <w:lang w:val="fr-CA"/>
        </w:rPr>
        <w:t>intrusion de l</w:t>
      </w:r>
      <w:r>
        <w:rPr>
          <w:rFonts w:cs="Times New Roman"/>
          <w:noProof/>
          <w:lang w:val="fr-CA"/>
        </w:rPr>
        <w:t>’</w:t>
      </w:r>
      <w:r w:rsidRPr="00822328">
        <w:rPr>
          <w:rFonts w:cs="Times New Roman"/>
          <w:noProof/>
          <w:lang w:val="fr-CA"/>
        </w:rPr>
        <w:t>État (par. 41) : il s</w:t>
      </w:r>
      <w:r>
        <w:rPr>
          <w:rFonts w:cs="Times New Roman"/>
          <w:noProof/>
          <w:lang w:val="fr-CA"/>
        </w:rPr>
        <w:t>’</w:t>
      </w:r>
      <w:r w:rsidRPr="00822328">
        <w:rPr>
          <w:rFonts w:cs="Times New Roman"/>
          <w:noProof/>
          <w:lang w:val="fr-CA"/>
        </w:rPr>
        <w:t>agit selon lui d</w:t>
      </w:r>
      <w:r>
        <w:rPr>
          <w:rFonts w:cs="Times New Roman"/>
          <w:noProof/>
          <w:lang w:val="fr-CA"/>
        </w:rPr>
        <w:t>’</w:t>
      </w:r>
      <w:r w:rsidRPr="00822328">
        <w:rPr>
          <w:rFonts w:cs="Times New Roman"/>
          <w:noProof/>
          <w:lang w:val="fr-CA"/>
        </w:rPr>
        <w:t>« un rempart assurant la protection du particulier contre l</w:t>
      </w:r>
      <w:r>
        <w:rPr>
          <w:rFonts w:cs="Times New Roman"/>
          <w:noProof/>
          <w:lang w:val="fr-CA"/>
        </w:rPr>
        <w:t>’</w:t>
      </w:r>
      <w:r w:rsidRPr="00822328">
        <w:rPr>
          <w:rFonts w:cs="Times New Roman"/>
          <w:noProof/>
          <w:lang w:val="fr-CA"/>
        </w:rPr>
        <w:t>État [qui] procure à l</w:t>
      </w:r>
      <w:r>
        <w:rPr>
          <w:rFonts w:cs="Times New Roman"/>
          <w:noProof/>
          <w:lang w:val="fr-CA"/>
        </w:rPr>
        <w:t>’</w:t>
      </w:r>
      <w:r w:rsidRPr="00822328">
        <w:rPr>
          <w:rFonts w:cs="Times New Roman"/>
          <w:noProof/>
          <w:lang w:val="fr-CA"/>
        </w:rPr>
        <w:t>individu une certaine mesure de vie privée et de tranquillité vis</w:t>
      </w:r>
      <w:r w:rsidRPr="00822328">
        <w:rPr>
          <w:rFonts w:cs="Times New Roman"/>
          <w:noProof/>
          <w:lang w:val="fr-CA"/>
        </w:rPr>
        <w:noBreakHyphen/>
        <w:t>à</w:t>
      </w:r>
      <w:r w:rsidRPr="00822328">
        <w:rPr>
          <w:rFonts w:cs="Times New Roman"/>
          <w:noProof/>
          <w:lang w:val="fr-CA"/>
        </w:rPr>
        <w:noBreakHyphen/>
        <w:t>vis du pouvoir atterrant de l</w:t>
      </w:r>
      <w:r>
        <w:rPr>
          <w:rFonts w:cs="Times New Roman"/>
          <w:noProof/>
          <w:lang w:val="fr-CA"/>
        </w:rPr>
        <w:t>’</w:t>
      </w:r>
      <w:r w:rsidRPr="00822328">
        <w:rPr>
          <w:rFonts w:cs="Times New Roman"/>
          <w:noProof/>
          <w:lang w:val="fr-CA"/>
        </w:rPr>
        <w:t xml:space="preserve">État ». </w:t>
      </w:r>
    </w:p>
    <w:p w:rsidR="00A37A4C" w:rsidRPr="00822328" w:rsidRDefault="00A37A4C" w:rsidP="006534E4">
      <w:pPr>
        <w:pStyle w:val="ParaNoNdepar-AltN"/>
        <w:widowControl w:val="0"/>
        <w:tabs>
          <w:tab w:val="clear" w:pos="1152"/>
          <w:tab w:val="left" w:pos="1166"/>
        </w:tabs>
        <w:rPr>
          <w:rFonts w:cs="Times New Roman"/>
          <w:noProof/>
          <w:szCs w:val="24"/>
          <w:lang w:val="fr-CA"/>
        </w:rPr>
      </w:pPr>
      <w:r w:rsidRPr="00822328">
        <w:rPr>
          <w:rFonts w:cs="Times New Roman"/>
          <w:noProof/>
          <w:szCs w:val="24"/>
          <w:lang w:val="fr-CA"/>
        </w:rPr>
        <w:t>Les faits de la présente affaire ne démontrent pas l</w:t>
      </w:r>
      <w:r>
        <w:rPr>
          <w:rFonts w:cs="Times New Roman"/>
          <w:noProof/>
          <w:szCs w:val="24"/>
          <w:lang w:val="fr-CA"/>
        </w:rPr>
        <w:t>’</w:t>
      </w:r>
      <w:r w:rsidRPr="00822328">
        <w:rPr>
          <w:rFonts w:cs="Times New Roman"/>
          <w:noProof/>
          <w:szCs w:val="24"/>
          <w:lang w:val="fr-CA"/>
        </w:rPr>
        <w:t>existence de circonstances pressantes ni même ne permettent de tirer une conclusion dans ce sens. Par conséquent, à supposer même que l</w:t>
      </w:r>
      <w:r>
        <w:rPr>
          <w:rFonts w:cs="Times New Roman"/>
          <w:noProof/>
          <w:szCs w:val="24"/>
          <w:lang w:val="fr-CA"/>
        </w:rPr>
        <w:t>’</w:t>
      </w:r>
      <w:r w:rsidRPr="00822328">
        <w:rPr>
          <w:rFonts w:cs="Times New Roman"/>
          <w:noProof/>
          <w:szCs w:val="24"/>
          <w:lang w:val="fr-CA"/>
        </w:rPr>
        <w:t>on fasse droit à la prétention du ministère public concernant l</w:t>
      </w:r>
      <w:r>
        <w:rPr>
          <w:rFonts w:cs="Times New Roman"/>
          <w:noProof/>
          <w:szCs w:val="24"/>
          <w:lang w:val="fr-CA"/>
        </w:rPr>
        <w:t>’</w:t>
      </w:r>
      <w:r w:rsidRPr="00822328">
        <w:rPr>
          <w:rFonts w:cs="Times New Roman"/>
          <w:noProof/>
          <w:szCs w:val="24"/>
          <w:lang w:val="fr-CA"/>
        </w:rPr>
        <w:t xml:space="preserve">absence de quelque </w:t>
      </w:r>
      <w:r w:rsidR="00363E9C">
        <w:rPr>
          <w:rFonts w:cs="Times New Roman"/>
          <w:noProof/>
          <w:szCs w:val="24"/>
          <w:lang w:val="fr-CA"/>
        </w:rPr>
        <w:t>[</w:t>
      </w:r>
      <w:r w:rsidR="00363E9C" w:rsidRPr="00363E9C">
        <w:rPr>
          <w:rFonts w:cs="Times New Roman"/>
          <w:smallCaps/>
          <w:noProof/>
          <w:szCs w:val="24"/>
          <w:lang w:val="fr-CA"/>
        </w:rPr>
        <w:t>traduction</w:t>
      </w:r>
      <w:r w:rsidR="00363E9C">
        <w:rPr>
          <w:rFonts w:cs="Times New Roman"/>
          <w:noProof/>
          <w:szCs w:val="24"/>
          <w:lang w:val="fr-CA"/>
        </w:rPr>
        <w:t xml:space="preserve">] </w:t>
      </w:r>
      <w:r w:rsidRPr="00822328">
        <w:rPr>
          <w:rFonts w:cs="Times New Roman"/>
          <w:noProof/>
          <w:szCs w:val="24"/>
          <w:lang w:val="fr-CA"/>
        </w:rPr>
        <w:t>« dessein ultérieur », la conduite de l</w:t>
      </w:r>
      <w:r>
        <w:rPr>
          <w:rFonts w:cs="Times New Roman"/>
          <w:noProof/>
          <w:szCs w:val="24"/>
          <w:lang w:val="fr-CA"/>
        </w:rPr>
        <w:t>’</w:t>
      </w:r>
      <w:r w:rsidRPr="00822328">
        <w:rPr>
          <w:rFonts w:cs="Times New Roman"/>
          <w:noProof/>
          <w:szCs w:val="24"/>
          <w:lang w:val="fr-CA"/>
        </w:rPr>
        <w:t>État qui a intrinsèquement porté atteinte à un droit constitutionnel</w:t>
      </w:r>
      <w:r w:rsidRPr="00822328">
        <w:rPr>
          <w:rFonts w:cs="Times New Roman"/>
          <w:i/>
          <w:noProof/>
          <w:szCs w:val="24"/>
          <w:lang w:val="fr-CA"/>
        </w:rPr>
        <w:t xml:space="preserve"> </w:t>
      </w:r>
      <w:r w:rsidRPr="00822328">
        <w:rPr>
          <w:rFonts w:cs="Times New Roman"/>
          <w:noProof/>
          <w:szCs w:val="24"/>
          <w:lang w:val="fr-CA"/>
        </w:rPr>
        <w:t>était, à mon avis et au vu de l</w:t>
      </w:r>
      <w:r>
        <w:rPr>
          <w:rFonts w:cs="Times New Roman"/>
          <w:noProof/>
          <w:szCs w:val="24"/>
          <w:lang w:val="fr-CA"/>
        </w:rPr>
        <w:t>’</w:t>
      </w:r>
      <w:r w:rsidRPr="00822328">
        <w:rPr>
          <w:rFonts w:cs="Times New Roman"/>
          <w:noProof/>
          <w:szCs w:val="24"/>
          <w:lang w:val="fr-CA"/>
        </w:rPr>
        <w:t>opinion exprimée antérieurement par la Cour sur le critère de l</w:t>
      </w:r>
      <w:r>
        <w:rPr>
          <w:rFonts w:cs="Times New Roman"/>
          <w:noProof/>
          <w:szCs w:val="24"/>
          <w:lang w:val="fr-CA"/>
        </w:rPr>
        <w:t>’</w:t>
      </w:r>
      <w:r w:rsidRPr="00822328">
        <w:rPr>
          <w:rFonts w:cs="Times New Roman"/>
          <w:noProof/>
          <w:szCs w:val="24"/>
          <w:lang w:val="fr-CA"/>
        </w:rPr>
        <w:t>urgence de la situation, suffisamment grave pour que l</w:t>
      </w:r>
      <w:r>
        <w:rPr>
          <w:rFonts w:cs="Times New Roman"/>
          <w:noProof/>
          <w:szCs w:val="24"/>
          <w:lang w:val="fr-CA"/>
        </w:rPr>
        <w:t>’</w:t>
      </w:r>
      <w:r w:rsidRPr="00822328">
        <w:rPr>
          <w:rFonts w:cs="Times New Roman"/>
          <w:noProof/>
          <w:szCs w:val="24"/>
          <w:lang w:val="fr-CA"/>
        </w:rPr>
        <w:t xml:space="preserve">on écarte les éléments de preuve obtenus grâce à elle. </w:t>
      </w:r>
    </w:p>
    <w:p w:rsidR="00A37A4C" w:rsidRPr="00822328" w:rsidRDefault="00A37A4C" w:rsidP="006534E4">
      <w:pPr>
        <w:pStyle w:val="Title3LevelTitre3Niveau"/>
        <w:widowControl w:val="0"/>
        <w:tabs>
          <w:tab w:val="clear" w:pos="1152"/>
          <w:tab w:val="num" w:pos="864"/>
        </w:tabs>
        <w:ind w:left="864" w:hanging="432"/>
        <w:jc w:val="left"/>
        <w:outlineLvl w:val="0"/>
        <w:rPr>
          <w:rFonts w:cs="Times New Roman"/>
          <w:noProof/>
          <w:szCs w:val="24"/>
          <w:lang w:val="fr-CA"/>
        </w:rPr>
      </w:pPr>
      <w:r w:rsidRPr="00822328">
        <w:rPr>
          <w:rFonts w:cs="Times New Roman"/>
          <w:noProof/>
          <w:szCs w:val="24"/>
          <w:lang w:val="fr-CA"/>
        </w:rPr>
        <w:t>L</w:t>
      </w:r>
      <w:r>
        <w:rPr>
          <w:rFonts w:cs="Times New Roman"/>
          <w:noProof/>
          <w:szCs w:val="24"/>
          <w:lang w:val="fr-CA"/>
        </w:rPr>
        <w:t>’</w:t>
      </w:r>
      <w:r w:rsidRPr="00822328">
        <w:rPr>
          <w:rFonts w:cs="Times New Roman"/>
          <w:noProof/>
          <w:szCs w:val="24"/>
          <w:lang w:val="fr-CA"/>
        </w:rPr>
        <w:t>incidence sur les droits constitutionnels de l</w:t>
      </w:r>
      <w:r>
        <w:rPr>
          <w:rFonts w:cs="Times New Roman"/>
          <w:noProof/>
          <w:szCs w:val="24"/>
          <w:lang w:val="fr-CA"/>
        </w:rPr>
        <w:t>’</w:t>
      </w:r>
      <w:r w:rsidRPr="00822328">
        <w:rPr>
          <w:rFonts w:cs="Times New Roman"/>
          <w:noProof/>
          <w:szCs w:val="24"/>
          <w:lang w:val="fr-CA"/>
        </w:rPr>
        <w:t>accusé</w:t>
      </w:r>
    </w:p>
    <w:p w:rsidR="00A37A4C" w:rsidRPr="00822328" w:rsidRDefault="00A37A4C" w:rsidP="006534E4">
      <w:pPr>
        <w:pStyle w:val="ParaNoNdepar-AltN"/>
        <w:widowControl w:val="0"/>
        <w:rPr>
          <w:rFonts w:cs="Times New Roman"/>
          <w:noProof/>
          <w:szCs w:val="24"/>
          <w:lang w:val="fr-CA"/>
        </w:rPr>
      </w:pPr>
      <w:r w:rsidRPr="00822328">
        <w:rPr>
          <w:rFonts w:cs="Times New Roman"/>
          <w:noProof/>
          <w:szCs w:val="24"/>
          <w:lang w:val="fr-CA"/>
        </w:rPr>
        <w:t>Le deuxième examen que commande l</w:t>
      </w:r>
      <w:r>
        <w:rPr>
          <w:rFonts w:cs="Times New Roman"/>
          <w:noProof/>
          <w:szCs w:val="24"/>
          <w:lang w:val="fr-CA"/>
        </w:rPr>
        <w:t>’</w:t>
      </w:r>
      <w:r w:rsidRPr="00822328">
        <w:rPr>
          <w:rFonts w:cs="Times New Roman"/>
          <w:noProof/>
          <w:szCs w:val="24"/>
          <w:lang w:val="fr-CA"/>
        </w:rPr>
        <w:t>application du par. 24(2) porte sur la déconsidération de l</w:t>
      </w:r>
      <w:r>
        <w:rPr>
          <w:rFonts w:cs="Times New Roman"/>
          <w:noProof/>
          <w:szCs w:val="24"/>
          <w:lang w:val="fr-CA"/>
        </w:rPr>
        <w:t>’</w:t>
      </w:r>
      <w:r w:rsidRPr="00822328">
        <w:rPr>
          <w:rFonts w:cs="Times New Roman"/>
          <w:noProof/>
          <w:szCs w:val="24"/>
          <w:lang w:val="fr-CA"/>
        </w:rPr>
        <w:t>administration de la justice qui pourrait résulter de l</w:t>
      </w:r>
      <w:r>
        <w:rPr>
          <w:rFonts w:cs="Times New Roman"/>
          <w:noProof/>
          <w:szCs w:val="24"/>
          <w:lang w:val="fr-CA"/>
        </w:rPr>
        <w:t>’</w:t>
      </w:r>
      <w:r w:rsidRPr="00822328">
        <w:rPr>
          <w:rFonts w:cs="Times New Roman"/>
          <w:noProof/>
          <w:szCs w:val="24"/>
          <w:lang w:val="fr-CA"/>
        </w:rPr>
        <w:t>utilisation des éléments de preuve,</w:t>
      </w:r>
      <w:bookmarkStart w:id="2" w:name="OLE_LINK1"/>
      <w:bookmarkStart w:id="3" w:name="OLE_LINK2"/>
      <w:r w:rsidRPr="00822328">
        <w:rPr>
          <w:rFonts w:cs="Times New Roman"/>
          <w:noProof/>
          <w:szCs w:val="24"/>
          <w:lang w:val="fr-CA"/>
        </w:rPr>
        <w:t xml:space="preserve"> </w:t>
      </w:r>
      <w:bookmarkEnd w:id="2"/>
      <w:bookmarkEnd w:id="3"/>
      <w:r w:rsidRPr="00822328">
        <w:rPr>
          <w:rFonts w:cs="Times New Roman"/>
          <w:noProof/>
          <w:szCs w:val="24"/>
          <w:lang w:val="fr-CA"/>
        </w:rPr>
        <w:t>sous l</w:t>
      </w:r>
      <w:r>
        <w:rPr>
          <w:rFonts w:cs="Times New Roman"/>
          <w:noProof/>
          <w:szCs w:val="24"/>
          <w:lang w:val="fr-CA"/>
        </w:rPr>
        <w:t>’</w:t>
      </w:r>
      <w:r w:rsidRPr="00822328">
        <w:rPr>
          <w:rFonts w:cs="Times New Roman"/>
          <w:noProof/>
          <w:szCs w:val="24"/>
          <w:lang w:val="fr-CA"/>
        </w:rPr>
        <w:t>angle de l</w:t>
      </w:r>
      <w:r>
        <w:rPr>
          <w:rFonts w:cs="Times New Roman"/>
          <w:noProof/>
          <w:szCs w:val="24"/>
          <w:lang w:val="fr-CA"/>
        </w:rPr>
        <w:t>’</w:t>
      </w:r>
      <w:r w:rsidRPr="00822328">
        <w:rPr>
          <w:rFonts w:cs="Times New Roman"/>
          <w:noProof/>
          <w:szCs w:val="24"/>
          <w:lang w:val="fr-CA"/>
        </w:rPr>
        <w:t xml:space="preserve">intérêt de la société dans le respect des droits garantis par la </w:t>
      </w:r>
      <w:r w:rsidRPr="00822328">
        <w:rPr>
          <w:rFonts w:cs="Times New Roman"/>
          <w:i/>
          <w:noProof/>
          <w:szCs w:val="24"/>
          <w:lang w:val="fr-CA"/>
        </w:rPr>
        <w:t>Charte</w:t>
      </w:r>
      <w:r w:rsidRPr="00822328">
        <w:rPr>
          <w:rFonts w:cs="Times New Roman"/>
          <w:noProof/>
          <w:szCs w:val="24"/>
          <w:lang w:val="fr-CA"/>
        </w:rPr>
        <w:t>. Il s</w:t>
      </w:r>
      <w:r>
        <w:rPr>
          <w:rFonts w:cs="Times New Roman"/>
          <w:noProof/>
          <w:szCs w:val="24"/>
          <w:lang w:val="fr-CA"/>
        </w:rPr>
        <w:t>’</w:t>
      </w:r>
      <w:r w:rsidRPr="00822328">
        <w:rPr>
          <w:rFonts w:cs="Times New Roman"/>
          <w:noProof/>
          <w:szCs w:val="24"/>
          <w:lang w:val="fr-CA"/>
        </w:rPr>
        <w:t>agit donc de déterminer le degré auquel l</w:t>
      </w:r>
      <w:r>
        <w:rPr>
          <w:rFonts w:cs="Times New Roman"/>
          <w:noProof/>
          <w:szCs w:val="24"/>
          <w:lang w:val="fr-CA"/>
        </w:rPr>
        <w:t>’</w:t>
      </w:r>
      <w:r w:rsidRPr="00822328">
        <w:rPr>
          <w:rFonts w:cs="Times New Roman"/>
          <w:noProof/>
          <w:szCs w:val="24"/>
          <w:lang w:val="fr-CA"/>
        </w:rPr>
        <w:t>atteinte a compromis</w:t>
      </w:r>
      <w:r w:rsidRPr="00822328">
        <w:rPr>
          <w:rFonts w:cs="Times New Roman"/>
          <w:noProof/>
          <w:lang w:val="fr-CA"/>
        </w:rPr>
        <w:t xml:space="preserve"> le droit garanti par la </w:t>
      </w:r>
      <w:r w:rsidRPr="00822328">
        <w:rPr>
          <w:rFonts w:cs="Times New Roman"/>
          <w:i/>
          <w:noProof/>
          <w:lang w:val="fr-CA"/>
        </w:rPr>
        <w:t>Charte</w:t>
      </w:r>
      <w:r w:rsidRPr="00822328">
        <w:rPr>
          <w:rFonts w:cs="Times New Roman"/>
          <w:noProof/>
          <w:lang w:val="fr-CA"/>
        </w:rPr>
        <w:t xml:space="preserve">. Rappelons ce que dit la Cour dans </w:t>
      </w:r>
      <w:r w:rsidRPr="00822328">
        <w:rPr>
          <w:rFonts w:cs="Times New Roman"/>
          <w:i/>
          <w:noProof/>
          <w:lang w:val="fr-CA"/>
        </w:rPr>
        <w:t>Grant</w:t>
      </w:r>
      <w:r w:rsidRPr="00822328">
        <w:rPr>
          <w:rFonts w:cs="Times New Roman"/>
          <w:noProof/>
          <w:lang w:val="fr-CA"/>
        </w:rPr>
        <w:t xml:space="preserve"> 2009, par. 76 :</w:t>
      </w:r>
    </w:p>
    <w:p w:rsidR="00A37A4C" w:rsidRPr="00822328" w:rsidRDefault="00A37A4C" w:rsidP="006534E4">
      <w:pPr>
        <w:pStyle w:val="Citation-AltC"/>
        <w:widowControl w:val="0"/>
        <w:ind w:hanging="1166"/>
        <w:contextualSpacing w:val="0"/>
        <w:rPr>
          <w:noProof/>
          <w:lang w:val="fr-CA"/>
        </w:rPr>
      </w:pPr>
      <w:r w:rsidRPr="00822328">
        <w:rPr>
          <w:noProof/>
          <w:lang w:val="fr-CA"/>
        </w:rPr>
        <w:tab/>
        <w:t>[L</w:t>
      </w:r>
      <w:r>
        <w:rPr>
          <w:noProof/>
          <w:lang w:val="fr-CA"/>
        </w:rPr>
        <w:t>’</w:t>
      </w:r>
      <w:r w:rsidRPr="00822328">
        <w:rPr>
          <w:noProof/>
          <w:lang w:val="fr-CA"/>
        </w:rPr>
        <w:t>effet de l</w:t>
      </w:r>
      <w:r>
        <w:rPr>
          <w:noProof/>
          <w:lang w:val="fr-CA"/>
        </w:rPr>
        <w:t>’</w:t>
      </w:r>
      <w:r w:rsidRPr="00822328">
        <w:rPr>
          <w:noProof/>
          <w:lang w:val="fr-CA"/>
        </w:rPr>
        <w:t>atteinte à un droit constitutionnel] peut être passager ou d</w:t>
      </w:r>
      <w:r>
        <w:rPr>
          <w:noProof/>
          <w:lang w:val="fr-CA"/>
        </w:rPr>
        <w:t>’</w:t>
      </w:r>
      <w:r w:rsidRPr="00822328">
        <w:rPr>
          <w:noProof/>
          <w:lang w:val="fr-CA"/>
        </w:rPr>
        <w:t>ordre simplement formel comme il peut être profondément attentatoire. Plus il est marqué, plus l</w:t>
      </w:r>
      <w:r>
        <w:rPr>
          <w:noProof/>
          <w:lang w:val="fr-CA"/>
        </w:rPr>
        <w:t>’</w:t>
      </w:r>
      <w:r w:rsidRPr="00822328">
        <w:rPr>
          <w:noProof/>
          <w:lang w:val="fr-CA"/>
        </w:rPr>
        <w:t xml:space="preserve">utilisation des éléments de preuve risque de donner à penser que les droits garantis par la </w:t>
      </w:r>
      <w:r w:rsidRPr="00822328">
        <w:rPr>
          <w:i/>
          <w:noProof/>
          <w:lang w:val="fr-CA"/>
        </w:rPr>
        <w:t>Charte</w:t>
      </w:r>
      <w:r w:rsidRPr="00822328">
        <w:rPr>
          <w:noProof/>
          <w:lang w:val="fr-CA"/>
        </w:rPr>
        <w:t>, pour encensés qu</w:t>
      </w:r>
      <w:r>
        <w:rPr>
          <w:noProof/>
          <w:lang w:val="fr-CA"/>
        </w:rPr>
        <w:t>’</w:t>
      </w:r>
      <w:r w:rsidRPr="00822328">
        <w:rPr>
          <w:noProof/>
          <w:lang w:val="fr-CA"/>
        </w:rPr>
        <w:t>ils soient, ne revêtent pas d</w:t>
      </w:r>
      <w:r>
        <w:rPr>
          <w:noProof/>
          <w:lang w:val="fr-CA"/>
        </w:rPr>
        <w:t>’</w:t>
      </w:r>
      <w:r w:rsidRPr="00822328">
        <w:rPr>
          <w:noProof/>
          <w:lang w:val="fr-CA"/>
        </w:rPr>
        <w:t>utilité réelle pour les citoyens, ce qui engendrerait le cynisme et déconsidérerait l</w:t>
      </w:r>
      <w:r>
        <w:rPr>
          <w:noProof/>
          <w:lang w:val="fr-CA"/>
        </w:rPr>
        <w:t>’</w:t>
      </w:r>
      <w:r w:rsidRPr="00822328">
        <w:rPr>
          <w:noProof/>
          <w:lang w:val="fr-CA"/>
        </w:rPr>
        <w:t>administration de la justice.</w:t>
      </w:r>
    </w:p>
    <w:p w:rsidR="00A37A4C" w:rsidRPr="00822328" w:rsidRDefault="00A37A4C" w:rsidP="006534E4">
      <w:pPr>
        <w:pStyle w:val="ParaNoNdepar-AltN"/>
        <w:widowControl w:val="0"/>
        <w:rPr>
          <w:rFonts w:cs="Times New Roman"/>
          <w:noProof/>
          <w:szCs w:val="24"/>
          <w:lang w:val="fr-CA"/>
        </w:rPr>
      </w:pPr>
      <w:r w:rsidRPr="00822328">
        <w:rPr>
          <w:rFonts w:cs="Times New Roman"/>
          <w:noProof/>
          <w:lang w:val="fr-CA"/>
        </w:rPr>
        <w:t>Par conséquent, lorsque le droit constitutionnel à la protection de la vie privée est en jeu (comme en l</w:t>
      </w:r>
      <w:r>
        <w:rPr>
          <w:rFonts w:cs="Times New Roman"/>
          <w:noProof/>
          <w:lang w:val="fr-CA"/>
        </w:rPr>
        <w:t>’</w:t>
      </w:r>
      <w:r w:rsidRPr="00822328">
        <w:rPr>
          <w:rFonts w:cs="Times New Roman"/>
          <w:noProof/>
          <w:lang w:val="fr-CA"/>
        </w:rPr>
        <w:t>espèce), l</w:t>
      </w:r>
      <w:r>
        <w:rPr>
          <w:rFonts w:cs="Times New Roman"/>
          <w:noProof/>
          <w:lang w:val="fr-CA"/>
        </w:rPr>
        <w:t>’</w:t>
      </w:r>
      <w:r w:rsidRPr="00822328">
        <w:rPr>
          <w:rFonts w:cs="Times New Roman"/>
          <w:noProof/>
          <w:lang w:val="fr-CA"/>
        </w:rPr>
        <w:t>atteinte qui se produit dans un contexte d</w:t>
      </w:r>
      <w:r>
        <w:rPr>
          <w:rFonts w:cs="Times New Roman"/>
          <w:noProof/>
          <w:lang w:val="fr-CA"/>
        </w:rPr>
        <w:t>’</w:t>
      </w:r>
      <w:r w:rsidRPr="00822328">
        <w:rPr>
          <w:rFonts w:cs="Times New Roman"/>
          <w:noProof/>
          <w:lang w:val="fr-CA"/>
        </w:rPr>
        <w:t>« attente [. . .] élevée en matière de vie privée » milite en faveur de l</w:t>
      </w:r>
      <w:r>
        <w:rPr>
          <w:rFonts w:cs="Times New Roman"/>
          <w:noProof/>
          <w:lang w:val="fr-CA"/>
        </w:rPr>
        <w:t>’</w:t>
      </w:r>
      <w:r w:rsidRPr="00822328">
        <w:rPr>
          <w:rFonts w:cs="Times New Roman"/>
          <w:noProof/>
          <w:lang w:val="fr-CA"/>
        </w:rPr>
        <w:t>exclusion de la preuve alors que, toutes les autres considérations étant par ailleurs égales, l</w:t>
      </w:r>
      <w:r>
        <w:rPr>
          <w:rFonts w:cs="Times New Roman"/>
          <w:noProof/>
          <w:lang w:val="fr-CA"/>
        </w:rPr>
        <w:t>’</w:t>
      </w:r>
      <w:r w:rsidRPr="00822328">
        <w:rPr>
          <w:rFonts w:cs="Times New Roman"/>
          <w:noProof/>
          <w:lang w:val="fr-CA"/>
        </w:rPr>
        <w:t>atteinte dans un contexte d</w:t>
      </w:r>
      <w:r>
        <w:rPr>
          <w:rFonts w:cs="Times New Roman"/>
          <w:noProof/>
          <w:lang w:val="fr-CA"/>
        </w:rPr>
        <w:t>’</w:t>
      </w:r>
      <w:r w:rsidRPr="00822328">
        <w:rPr>
          <w:rFonts w:cs="Times New Roman"/>
          <w:noProof/>
          <w:lang w:val="fr-CA"/>
        </w:rPr>
        <w:t>attente moindre en la matière ne milite pas autant dans ce sens. Comme le dit la Cour dans l</w:t>
      </w:r>
      <w:r>
        <w:rPr>
          <w:rFonts w:cs="Times New Roman"/>
          <w:noProof/>
          <w:lang w:val="fr-CA"/>
        </w:rPr>
        <w:t>’</w:t>
      </w:r>
      <w:r w:rsidRPr="00822328">
        <w:rPr>
          <w:rFonts w:cs="Times New Roman"/>
          <w:noProof/>
          <w:lang w:val="fr-CA"/>
        </w:rPr>
        <w:t xml:space="preserve">arrêt </w:t>
      </w:r>
      <w:r w:rsidRPr="00822328">
        <w:rPr>
          <w:rFonts w:cs="Times New Roman"/>
          <w:i/>
          <w:noProof/>
          <w:lang w:val="fr-CA"/>
        </w:rPr>
        <w:t>Grant</w:t>
      </w:r>
      <w:r w:rsidRPr="00822328">
        <w:rPr>
          <w:rFonts w:cs="Times New Roman"/>
          <w:noProof/>
          <w:lang w:val="fr-CA"/>
        </w:rPr>
        <w:t xml:space="preserve"> 2009 : « La fouille ou perquisition abusive qui est effectuée dans un contexte d</w:t>
      </w:r>
      <w:r>
        <w:rPr>
          <w:rFonts w:cs="Times New Roman"/>
          <w:noProof/>
          <w:lang w:val="fr-CA"/>
        </w:rPr>
        <w:t>’</w:t>
      </w:r>
      <w:r w:rsidRPr="00822328">
        <w:rPr>
          <w:rFonts w:cs="Times New Roman"/>
          <w:noProof/>
          <w:lang w:val="fr-CA"/>
        </w:rPr>
        <w:t>attente</w:t>
      </w:r>
      <w:r w:rsidRPr="00822328">
        <w:rPr>
          <w:rFonts w:cs="Times New Roman"/>
          <w:noProof/>
          <w:szCs w:val="24"/>
          <w:lang w:val="fr-CA"/>
        </w:rPr>
        <w:t xml:space="preserve"> raisonnablement élevée en matière de vie privée ou qui porte atteinte à la dignité individuelle est plus grave » </w:t>
      </w:r>
      <w:r w:rsidRPr="00822328">
        <w:rPr>
          <w:rFonts w:cs="Times New Roman"/>
          <w:noProof/>
          <w:lang w:val="fr-CA"/>
        </w:rPr>
        <w:t>(par. 78).</w:t>
      </w:r>
    </w:p>
    <w:p w:rsidR="00A37A4C" w:rsidRPr="00822328" w:rsidRDefault="00A37A4C" w:rsidP="006534E4">
      <w:pPr>
        <w:pStyle w:val="ParaNoNdepar-AltN"/>
        <w:widowControl w:val="0"/>
        <w:rPr>
          <w:rFonts w:cs="Times New Roman"/>
          <w:noProof/>
          <w:lang w:val="fr-CA"/>
        </w:rPr>
      </w:pPr>
      <w:r w:rsidRPr="00822328">
        <w:rPr>
          <w:rFonts w:cs="Times New Roman"/>
          <w:noProof/>
          <w:lang w:val="fr-CA"/>
        </w:rPr>
        <w:t>Le ministère public reconnaît que l</w:t>
      </w:r>
      <w:r>
        <w:rPr>
          <w:rFonts w:cs="Times New Roman"/>
          <w:noProof/>
          <w:lang w:val="fr-CA"/>
        </w:rPr>
        <w:t>’</w:t>
      </w:r>
      <w:r w:rsidRPr="00822328">
        <w:rPr>
          <w:rFonts w:cs="Times New Roman"/>
          <w:noProof/>
          <w:lang w:val="fr-CA"/>
        </w:rPr>
        <w:t>entrée sans mandat chez l</w:t>
      </w:r>
      <w:r>
        <w:rPr>
          <w:rFonts w:cs="Times New Roman"/>
          <w:noProof/>
          <w:lang w:val="fr-CA"/>
        </w:rPr>
        <w:t>’</w:t>
      </w:r>
      <w:r w:rsidRPr="00822328">
        <w:rPr>
          <w:rFonts w:cs="Times New Roman"/>
          <w:noProof/>
          <w:lang w:val="fr-CA"/>
        </w:rPr>
        <w:t xml:space="preserve">appelant a constitué une </w:t>
      </w:r>
      <w:r w:rsidRPr="00822328">
        <w:rPr>
          <w:rFonts w:cs="Times New Roman"/>
          <w:smallCaps/>
          <w:noProof/>
          <w:lang w:val="fr-CA"/>
        </w:rPr>
        <w:t xml:space="preserve">[traduction] </w:t>
      </w:r>
      <w:r w:rsidRPr="00822328">
        <w:rPr>
          <w:rFonts w:cs="Times New Roman"/>
          <w:noProof/>
          <w:lang w:val="fr-CA"/>
        </w:rPr>
        <w:t>« atteinte relativement grave », mais il fait valoir que toute incidence sur les droits constitutionnels de l</w:t>
      </w:r>
      <w:r>
        <w:rPr>
          <w:rFonts w:cs="Times New Roman"/>
          <w:noProof/>
          <w:lang w:val="fr-CA"/>
        </w:rPr>
        <w:t>’</w:t>
      </w:r>
      <w:r w:rsidRPr="00822328">
        <w:rPr>
          <w:rFonts w:cs="Times New Roman"/>
          <w:noProof/>
          <w:lang w:val="fr-CA"/>
        </w:rPr>
        <w:t>appelant a été « atténuée par la relative brièveté de la perquisition initiale sans mandat et par la délimitation de son objet » puisque les policiers se sont retirés afin d</w:t>
      </w:r>
      <w:r>
        <w:rPr>
          <w:rFonts w:cs="Times New Roman"/>
          <w:noProof/>
          <w:lang w:val="fr-CA"/>
        </w:rPr>
        <w:t>’</w:t>
      </w:r>
      <w:r w:rsidRPr="00822328">
        <w:rPr>
          <w:rFonts w:cs="Times New Roman"/>
          <w:noProof/>
          <w:lang w:val="fr-CA"/>
        </w:rPr>
        <w:t>obtenir un mandat après avoir constaté la présence de l</w:t>
      </w:r>
      <w:r>
        <w:rPr>
          <w:rFonts w:cs="Times New Roman"/>
          <w:noProof/>
          <w:lang w:val="fr-CA"/>
        </w:rPr>
        <w:t>’</w:t>
      </w:r>
      <w:r w:rsidRPr="00822328">
        <w:rPr>
          <w:rFonts w:cs="Times New Roman"/>
          <w:noProof/>
          <w:lang w:val="fr-CA"/>
        </w:rPr>
        <w:t>arme à feu et des drogues. Je conviens avec lui que la décision des policiers d</w:t>
      </w:r>
      <w:r>
        <w:rPr>
          <w:rFonts w:cs="Times New Roman"/>
          <w:noProof/>
          <w:lang w:val="fr-CA"/>
        </w:rPr>
        <w:t>’</w:t>
      </w:r>
      <w:r w:rsidRPr="00822328">
        <w:rPr>
          <w:rFonts w:cs="Times New Roman"/>
          <w:noProof/>
          <w:lang w:val="fr-CA"/>
        </w:rPr>
        <w:t>obtenir un mandat avant de perquisitionner plus avant la résidence de l</w:t>
      </w:r>
      <w:r>
        <w:rPr>
          <w:rFonts w:cs="Times New Roman"/>
          <w:noProof/>
          <w:lang w:val="fr-CA"/>
        </w:rPr>
        <w:t>’</w:t>
      </w:r>
      <w:r w:rsidRPr="00822328">
        <w:rPr>
          <w:rFonts w:cs="Times New Roman"/>
          <w:noProof/>
          <w:lang w:val="fr-CA"/>
        </w:rPr>
        <w:t>appelant a empêché qu</w:t>
      </w:r>
      <w:r>
        <w:rPr>
          <w:rFonts w:cs="Times New Roman"/>
          <w:noProof/>
          <w:lang w:val="fr-CA"/>
        </w:rPr>
        <w:t>’</w:t>
      </w:r>
      <w:r w:rsidRPr="00822328">
        <w:rPr>
          <w:rFonts w:cs="Times New Roman"/>
          <w:noProof/>
          <w:lang w:val="fr-CA"/>
        </w:rPr>
        <w:t>une incidence sérieuse sur le droit à la protection de la vie privée ne s</w:t>
      </w:r>
      <w:r>
        <w:rPr>
          <w:rFonts w:cs="Times New Roman"/>
          <w:noProof/>
          <w:lang w:val="fr-CA"/>
        </w:rPr>
        <w:t>’</w:t>
      </w:r>
      <w:r w:rsidRPr="00822328">
        <w:rPr>
          <w:rFonts w:cs="Times New Roman"/>
          <w:noProof/>
          <w:lang w:val="fr-CA"/>
        </w:rPr>
        <w:t>aggrave encore, mais je conviens aussi qu</w:t>
      </w:r>
      <w:r>
        <w:rPr>
          <w:rFonts w:cs="Times New Roman"/>
          <w:noProof/>
          <w:lang w:val="fr-CA"/>
        </w:rPr>
        <w:t>’</w:t>
      </w:r>
      <w:r w:rsidRPr="00822328">
        <w:rPr>
          <w:rFonts w:cs="Times New Roman"/>
          <w:noProof/>
          <w:lang w:val="fr-CA"/>
        </w:rPr>
        <w:t>il s</w:t>
      </w:r>
      <w:r>
        <w:rPr>
          <w:rFonts w:cs="Times New Roman"/>
          <w:noProof/>
          <w:lang w:val="fr-CA"/>
        </w:rPr>
        <w:t>’</w:t>
      </w:r>
      <w:r w:rsidRPr="00822328">
        <w:rPr>
          <w:rFonts w:cs="Times New Roman"/>
          <w:noProof/>
          <w:lang w:val="fr-CA"/>
        </w:rPr>
        <w:t>est agi d</w:t>
      </w:r>
      <w:r>
        <w:rPr>
          <w:rFonts w:cs="Times New Roman"/>
          <w:noProof/>
          <w:lang w:val="fr-CA"/>
        </w:rPr>
        <w:t>’</w:t>
      </w:r>
      <w:r w:rsidRPr="00822328">
        <w:rPr>
          <w:rFonts w:cs="Times New Roman"/>
          <w:noProof/>
          <w:lang w:val="fr-CA"/>
        </w:rPr>
        <w:t>une « atteinte relativement grave » par rapport à d</w:t>
      </w:r>
      <w:r>
        <w:rPr>
          <w:rFonts w:cs="Times New Roman"/>
          <w:noProof/>
          <w:lang w:val="fr-CA"/>
        </w:rPr>
        <w:t>’</w:t>
      </w:r>
      <w:r w:rsidRPr="00822328">
        <w:rPr>
          <w:rFonts w:cs="Times New Roman"/>
          <w:noProof/>
          <w:lang w:val="fr-CA"/>
        </w:rPr>
        <w:t>autres. Il est bien établi qu</w:t>
      </w:r>
      <w:r>
        <w:rPr>
          <w:rFonts w:cs="Times New Roman"/>
          <w:noProof/>
          <w:lang w:val="fr-CA"/>
        </w:rPr>
        <w:t>’</w:t>
      </w:r>
      <w:r w:rsidRPr="00822328">
        <w:rPr>
          <w:rFonts w:cs="Times New Roman"/>
          <w:noProof/>
          <w:lang w:val="fr-CA"/>
        </w:rPr>
        <w:t>« [u]</w:t>
      </w:r>
      <w:r w:rsidRPr="00822328">
        <w:rPr>
          <w:rFonts w:cs="Times New Roman"/>
          <w:noProof/>
          <w:szCs w:val="24"/>
          <w:lang w:val="fr-CA"/>
        </w:rPr>
        <w:t>ne perquisition ou une fouille illégale dans un domicile sera donc considérée comme une violation plus grave à ce stade de l</w:t>
      </w:r>
      <w:r>
        <w:rPr>
          <w:rFonts w:cs="Times New Roman"/>
          <w:noProof/>
          <w:szCs w:val="24"/>
          <w:lang w:val="fr-CA"/>
        </w:rPr>
        <w:t>’</w:t>
      </w:r>
      <w:r w:rsidRPr="00822328">
        <w:rPr>
          <w:rFonts w:cs="Times New Roman"/>
          <w:noProof/>
          <w:szCs w:val="24"/>
          <w:lang w:val="fr-CA"/>
        </w:rPr>
        <w:t>analyse</w:t>
      </w:r>
      <w:r w:rsidRPr="00822328">
        <w:rPr>
          <w:rFonts w:cs="Times New Roman"/>
          <w:noProof/>
          <w:lang w:val="fr-CA"/>
        </w:rPr>
        <w:t> » (</w:t>
      </w:r>
      <w:r w:rsidRPr="00822328">
        <w:rPr>
          <w:rFonts w:cs="Times New Roman"/>
          <w:i/>
          <w:noProof/>
          <w:lang w:val="fr-CA"/>
        </w:rPr>
        <w:t>Grant</w:t>
      </w:r>
      <w:r w:rsidRPr="00822328">
        <w:rPr>
          <w:rFonts w:cs="Times New Roman"/>
          <w:noProof/>
          <w:lang w:val="fr-CA"/>
        </w:rPr>
        <w:t xml:space="preserve"> 2009, par. 113). Je conclus dès lors que l</w:t>
      </w:r>
      <w:r>
        <w:rPr>
          <w:rFonts w:cs="Times New Roman"/>
          <w:noProof/>
          <w:lang w:val="fr-CA"/>
        </w:rPr>
        <w:t>’</w:t>
      </w:r>
      <w:r w:rsidRPr="00822328">
        <w:rPr>
          <w:rFonts w:cs="Times New Roman"/>
          <w:noProof/>
          <w:lang w:val="fr-CA"/>
        </w:rPr>
        <w:t>incidence de l</w:t>
      </w:r>
      <w:r>
        <w:rPr>
          <w:rFonts w:cs="Times New Roman"/>
          <w:noProof/>
          <w:lang w:val="fr-CA"/>
        </w:rPr>
        <w:t>’</w:t>
      </w:r>
      <w:r w:rsidRPr="00822328">
        <w:rPr>
          <w:rFonts w:cs="Times New Roman"/>
          <w:noProof/>
          <w:lang w:val="fr-CA"/>
        </w:rPr>
        <w:t>entrée sans mandat sur les droits de l</w:t>
      </w:r>
      <w:r>
        <w:rPr>
          <w:rFonts w:cs="Times New Roman"/>
          <w:noProof/>
          <w:lang w:val="fr-CA"/>
        </w:rPr>
        <w:t>’</w:t>
      </w:r>
      <w:r w:rsidRPr="00822328">
        <w:rPr>
          <w:rFonts w:cs="Times New Roman"/>
          <w:noProof/>
          <w:lang w:val="fr-CA"/>
        </w:rPr>
        <w:t>appelant garantis par l</w:t>
      </w:r>
      <w:r>
        <w:rPr>
          <w:rFonts w:cs="Times New Roman"/>
          <w:noProof/>
          <w:lang w:val="fr-CA"/>
        </w:rPr>
        <w:t>’</w:t>
      </w:r>
      <w:r w:rsidRPr="00822328">
        <w:rPr>
          <w:rFonts w:cs="Times New Roman"/>
          <w:noProof/>
          <w:lang w:val="fr-CA"/>
        </w:rPr>
        <w:t xml:space="preserve">art. 8 de la </w:t>
      </w:r>
      <w:r w:rsidRPr="00822328">
        <w:rPr>
          <w:rFonts w:cs="Times New Roman"/>
          <w:i/>
          <w:noProof/>
          <w:lang w:val="fr-CA"/>
        </w:rPr>
        <w:t>Charte</w:t>
      </w:r>
      <w:r w:rsidRPr="00822328">
        <w:rPr>
          <w:rFonts w:cs="Times New Roman"/>
          <w:noProof/>
          <w:lang w:val="fr-CA"/>
        </w:rPr>
        <w:t xml:space="preserve"> était grande, ce qui milite fortement en faveur de l</w:t>
      </w:r>
      <w:r>
        <w:rPr>
          <w:rFonts w:cs="Times New Roman"/>
          <w:noProof/>
          <w:lang w:val="fr-CA"/>
        </w:rPr>
        <w:t>’</w:t>
      </w:r>
      <w:r w:rsidRPr="00822328">
        <w:rPr>
          <w:rFonts w:cs="Times New Roman"/>
          <w:noProof/>
          <w:lang w:val="fr-CA"/>
        </w:rPr>
        <w:t>exclusion des éléments de preuve.</w:t>
      </w:r>
    </w:p>
    <w:p w:rsidR="00A37A4C" w:rsidRPr="00822328" w:rsidRDefault="00A37A4C" w:rsidP="006534E4">
      <w:pPr>
        <w:pStyle w:val="Title3LevelTitre3Niveau"/>
        <w:widowControl w:val="0"/>
        <w:tabs>
          <w:tab w:val="clear" w:pos="1152"/>
          <w:tab w:val="num" w:pos="864"/>
        </w:tabs>
        <w:ind w:left="864" w:hanging="432"/>
        <w:jc w:val="left"/>
        <w:outlineLvl w:val="0"/>
        <w:rPr>
          <w:rFonts w:cs="Times New Roman"/>
          <w:noProof/>
          <w:szCs w:val="24"/>
          <w:lang w:val="fr-CA"/>
        </w:rPr>
      </w:pPr>
      <w:r w:rsidRPr="00822328">
        <w:rPr>
          <w:rFonts w:cs="Times New Roman"/>
          <w:noProof/>
          <w:szCs w:val="24"/>
          <w:lang w:val="fr-CA"/>
        </w:rPr>
        <w:t>L</w:t>
      </w:r>
      <w:r>
        <w:rPr>
          <w:rFonts w:cs="Times New Roman"/>
          <w:noProof/>
          <w:szCs w:val="24"/>
          <w:lang w:val="fr-CA"/>
        </w:rPr>
        <w:t>’</w:t>
      </w:r>
      <w:r w:rsidRPr="00822328">
        <w:rPr>
          <w:rFonts w:cs="Times New Roman"/>
          <w:noProof/>
          <w:szCs w:val="24"/>
          <w:lang w:val="fr-CA"/>
        </w:rPr>
        <w:t>intérêt de la société dans l</w:t>
      </w:r>
      <w:r>
        <w:rPr>
          <w:rFonts w:cs="Times New Roman"/>
          <w:noProof/>
          <w:szCs w:val="24"/>
          <w:lang w:val="fr-CA"/>
        </w:rPr>
        <w:t>’</w:t>
      </w:r>
      <w:r w:rsidRPr="00822328">
        <w:rPr>
          <w:rFonts w:cs="Times New Roman"/>
          <w:noProof/>
          <w:szCs w:val="24"/>
          <w:lang w:val="fr-CA"/>
        </w:rPr>
        <w:t>instruction de l</w:t>
      </w:r>
      <w:r>
        <w:rPr>
          <w:rFonts w:cs="Times New Roman"/>
          <w:noProof/>
          <w:szCs w:val="24"/>
          <w:lang w:val="fr-CA"/>
        </w:rPr>
        <w:t>’</w:t>
      </w:r>
      <w:r w:rsidRPr="00822328">
        <w:rPr>
          <w:rFonts w:cs="Times New Roman"/>
          <w:noProof/>
          <w:szCs w:val="24"/>
          <w:lang w:val="fr-CA"/>
        </w:rPr>
        <w:t>affaire au fond</w:t>
      </w:r>
    </w:p>
    <w:p w:rsidR="00A37A4C" w:rsidRPr="00822328" w:rsidRDefault="00A37A4C" w:rsidP="006534E4">
      <w:pPr>
        <w:pStyle w:val="ParaNoNdepar-AltN"/>
        <w:widowControl w:val="0"/>
        <w:tabs>
          <w:tab w:val="clear" w:pos="1152"/>
          <w:tab w:val="left" w:pos="1166"/>
        </w:tabs>
        <w:rPr>
          <w:rFonts w:cs="Times New Roman"/>
          <w:noProof/>
          <w:szCs w:val="24"/>
          <w:lang w:val="fr-CA"/>
        </w:rPr>
      </w:pPr>
      <w:r w:rsidRPr="00822328">
        <w:rPr>
          <w:rFonts w:cs="Times New Roman"/>
          <w:noProof/>
          <w:szCs w:val="24"/>
          <w:lang w:val="fr-CA"/>
        </w:rPr>
        <w:t>Il nous faut encore examiner l</w:t>
      </w:r>
      <w:r>
        <w:rPr>
          <w:rFonts w:cs="Times New Roman"/>
          <w:noProof/>
          <w:szCs w:val="24"/>
          <w:lang w:val="fr-CA"/>
        </w:rPr>
        <w:t>’</w:t>
      </w:r>
      <w:r w:rsidRPr="00822328">
        <w:rPr>
          <w:rFonts w:cs="Times New Roman"/>
          <w:noProof/>
          <w:szCs w:val="24"/>
          <w:lang w:val="fr-CA"/>
        </w:rPr>
        <w:t>effet de l</w:t>
      </w:r>
      <w:r>
        <w:rPr>
          <w:rFonts w:cs="Times New Roman"/>
          <w:noProof/>
          <w:szCs w:val="24"/>
          <w:lang w:val="fr-CA"/>
        </w:rPr>
        <w:t>’</w:t>
      </w:r>
      <w:r w:rsidRPr="00822328">
        <w:rPr>
          <w:rFonts w:cs="Times New Roman"/>
          <w:noProof/>
          <w:szCs w:val="24"/>
          <w:lang w:val="fr-CA"/>
        </w:rPr>
        <w:t>utilisation des éléments de preuve sur l</w:t>
      </w:r>
      <w:r>
        <w:rPr>
          <w:rFonts w:cs="Times New Roman"/>
          <w:noProof/>
          <w:szCs w:val="24"/>
          <w:lang w:val="fr-CA"/>
        </w:rPr>
        <w:t>’</w:t>
      </w:r>
      <w:r w:rsidRPr="00822328">
        <w:rPr>
          <w:rFonts w:cs="Times New Roman"/>
          <w:noProof/>
          <w:szCs w:val="24"/>
          <w:lang w:val="fr-CA"/>
        </w:rPr>
        <w:t>intérêt public lié à l</w:t>
      </w:r>
      <w:r>
        <w:rPr>
          <w:rFonts w:cs="Times New Roman"/>
          <w:noProof/>
          <w:szCs w:val="24"/>
          <w:lang w:val="fr-CA"/>
        </w:rPr>
        <w:t>’</w:t>
      </w:r>
      <w:r w:rsidRPr="00822328">
        <w:rPr>
          <w:rFonts w:cs="Times New Roman"/>
          <w:noProof/>
          <w:szCs w:val="24"/>
          <w:lang w:val="fr-CA"/>
        </w:rPr>
        <w:t>instruction de l</w:t>
      </w:r>
      <w:r>
        <w:rPr>
          <w:rFonts w:cs="Times New Roman"/>
          <w:noProof/>
          <w:szCs w:val="24"/>
          <w:lang w:val="fr-CA"/>
        </w:rPr>
        <w:t>’</w:t>
      </w:r>
      <w:r w:rsidRPr="00822328">
        <w:rPr>
          <w:rFonts w:cs="Times New Roman"/>
          <w:noProof/>
          <w:szCs w:val="24"/>
          <w:lang w:val="fr-CA"/>
        </w:rPr>
        <w:t>affaire au fond. Il s</w:t>
      </w:r>
      <w:r>
        <w:rPr>
          <w:rFonts w:cs="Times New Roman"/>
          <w:noProof/>
          <w:szCs w:val="24"/>
          <w:lang w:val="fr-CA"/>
        </w:rPr>
        <w:t>’</w:t>
      </w:r>
      <w:r w:rsidRPr="00822328">
        <w:rPr>
          <w:rFonts w:cs="Times New Roman"/>
          <w:noProof/>
          <w:szCs w:val="24"/>
          <w:lang w:val="fr-CA"/>
        </w:rPr>
        <w:t>agit donc de se pencher sur la fiabilité des éléments et sur leur rôle dans la preuve exigée du poursuivant. Le ministère public soutient ce qui suit à cet égard :</w:t>
      </w:r>
    </w:p>
    <w:p w:rsidR="00A37A4C" w:rsidRPr="00822328" w:rsidRDefault="00A37A4C" w:rsidP="006534E4">
      <w:pPr>
        <w:pStyle w:val="Citation-AltC"/>
        <w:widowControl w:val="0"/>
        <w:spacing w:after="240"/>
        <w:ind w:hanging="1166"/>
        <w:contextualSpacing w:val="0"/>
        <w:rPr>
          <w:noProof/>
          <w:lang w:val="fr-CA"/>
        </w:rPr>
      </w:pPr>
      <w:r w:rsidRPr="00822328">
        <w:rPr>
          <w:smallCaps/>
          <w:noProof/>
          <w:lang w:val="fr-CA"/>
        </w:rPr>
        <w:tab/>
      </w:r>
      <w:r w:rsidR="00363E9C">
        <w:rPr>
          <w:smallCaps/>
          <w:noProof/>
          <w:lang w:val="fr-CA"/>
        </w:rPr>
        <w:tab/>
      </w:r>
      <w:r w:rsidRPr="00822328">
        <w:rPr>
          <w:smallCaps/>
          <w:noProof/>
          <w:lang w:val="fr-CA"/>
        </w:rPr>
        <w:t xml:space="preserve">[traduction] </w:t>
      </w:r>
      <w:r w:rsidRPr="00822328">
        <w:rPr>
          <w:noProof/>
          <w:lang w:val="fr-CA"/>
        </w:rPr>
        <w:t>Enfin, l</w:t>
      </w:r>
      <w:r>
        <w:rPr>
          <w:noProof/>
          <w:lang w:val="fr-CA"/>
        </w:rPr>
        <w:t>’</w:t>
      </w:r>
      <w:r w:rsidRPr="00822328">
        <w:rPr>
          <w:noProof/>
          <w:lang w:val="fr-CA"/>
        </w:rPr>
        <w:t>intérêt de la société dans l</w:t>
      </w:r>
      <w:r>
        <w:rPr>
          <w:noProof/>
          <w:lang w:val="fr-CA"/>
        </w:rPr>
        <w:t>’</w:t>
      </w:r>
      <w:r w:rsidRPr="00822328">
        <w:rPr>
          <w:noProof/>
          <w:lang w:val="fr-CA"/>
        </w:rPr>
        <w:t>instruction de l</w:t>
      </w:r>
      <w:r>
        <w:rPr>
          <w:noProof/>
          <w:lang w:val="fr-CA"/>
        </w:rPr>
        <w:t>’</w:t>
      </w:r>
      <w:r w:rsidRPr="00822328">
        <w:rPr>
          <w:noProof/>
          <w:lang w:val="fr-CA"/>
        </w:rPr>
        <w:t>affaire au fond militait en faveur de l</w:t>
      </w:r>
      <w:r>
        <w:rPr>
          <w:noProof/>
          <w:lang w:val="fr-CA"/>
        </w:rPr>
        <w:t>’</w:t>
      </w:r>
      <w:r w:rsidRPr="00822328">
        <w:rPr>
          <w:noProof/>
          <w:lang w:val="fr-CA"/>
        </w:rPr>
        <w:t>utilisation des éléments de preuve. Écarter des éléments de preuve d</w:t>
      </w:r>
      <w:r>
        <w:rPr>
          <w:noProof/>
          <w:lang w:val="fr-CA"/>
        </w:rPr>
        <w:t>’</w:t>
      </w:r>
      <w:r w:rsidRPr="00822328">
        <w:rPr>
          <w:noProof/>
          <w:lang w:val="fr-CA"/>
        </w:rPr>
        <w:t>une si grande fiabilité, essentiels à la poursuite de l</w:t>
      </w:r>
      <w:r>
        <w:rPr>
          <w:noProof/>
          <w:lang w:val="fr-CA"/>
        </w:rPr>
        <w:t>’</w:t>
      </w:r>
      <w:r w:rsidRPr="00822328">
        <w:rPr>
          <w:noProof/>
          <w:lang w:val="fr-CA"/>
        </w:rPr>
        <w:t>auteur d</w:t>
      </w:r>
      <w:r>
        <w:rPr>
          <w:noProof/>
          <w:lang w:val="fr-CA"/>
        </w:rPr>
        <w:t>’</w:t>
      </w:r>
      <w:r w:rsidRPr="00822328">
        <w:rPr>
          <w:noProof/>
          <w:lang w:val="fr-CA"/>
        </w:rPr>
        <w:t>infractions graves en matière de drogues et d</w:t>
      </w:r>
      <w:r>
        <w:rPr>
          <w:noProof/>
          <w:lang w:val="fr-CA"/>
        </w:rPr>
        <w:t>’</w:t>
      </w:r>
      <w:r w:rsidRPr="00822328">
        <w:rPr>
          <w:noProof/>
          <w:lang w:val="fr-CA"/>
        </w:rPr>
        <w:t>armes à feu, compromettrait sérieusement la fonction de recherche de la vérité du procès et pourrait déconsidérer l</w:t>
      </w:r>
      <w:r>
        <w:rPr>
          <w:noProof/>
          <w:lang w:val="fr-CA"/>
        </w:rPr>
        <w:t>’</w:t>
      </w:r>
      <w:r w:rsidRPr="00822328">
        <w:rPr>
          <w:noProof/>
          <w:lang w:val="fr-CA"/>
        </w:rPr>
        <w:t>administration de la justice.</w:t>
      </w:r>
    </w:p>
    <w:p w:rsidR="00A37A4C" w:rsidRPr="00822328" w:rsidRDefault="00363E9C" w:rsidP="006534E4">
      <w:pPr>
        <w:pStyle w:val="Citation-AltC"/>
        <w:widowControl w:val="0"/>
        <w:ind w:hanging="1166"/>
        <w:contextualSpacing w:val="0"/>
        <w:rPr>
          <w:noProof/>
          <w:lang w:val="fr-CA"/>
        </w:rPr>
      </w:pPr>
      <w:r>
        <w:rPr>
          <w:noProof/>
          <w:lang w:val="fr-CA"/>
        </w:rPr>
        <w:t>(m.i., par. 105</w:t>
      </w:r>
      <w:r w:rsidR="00A37A4C" w:rsidRPr="00822328">
        <w:rPr>
          <w:noProof/>
          <w:lang w:val="fr-CA"/>
        </w:rPr>
        <w:t>)</w:t>
      </w:r>
    </w:p>
    <w:p w:rsidR="00A37A4C" w:rsidRPr="00822328" w:rsidRDefault="00A37A4C" w:rsidP="006534E4">
      <w:pPr>
        <w:pStyle w:val="ParaNoNdepar-AltN"/>
        <w:widowControl w:val="0"/>
        <w:tabs>
          <w:tab w:val="clear" w:pos="1152"/>
          <w:tab w:val="left" w:pos="1166"/>
        </w:tabs>
        <w:rPr>
          <w:rFonts w:cs="Times New Roman"/>
          <w:noProof/>
          <w:szCs w:val="24"/>
          <w:lang w:val="fr-CA"/>
        </w:rPr>
      </w:pPr>
      <w:r w:rsidRPr="00822328">
        <w:rPr>
          <w:rFonts w:cs="Times New Roman"/>
          <w:noProof/>
          <w:szCs w:val="24"/>
          <w:lang w:val="fr-CA"/>
        </w:rPr>
        <w:t>Les accusations portées contre l</w:t>
      </w:r>
      <w:r>
        <w:rPr>
          <w:rFonts w:cs="Times New Roman"/>
          <w:noProof/>
          <w:szCs w:val="24"/>
          <w:lang w:val="fr-CA"/>
        </w:rPr>
        <w:t>’</w:t>
      </w:r>
      <w:r w:rsidRPr="00822328">
        <w:rPr>
          <w:rFonts w:cs="Times New Roman"/>
          <w:noProof/>
          <w:szCs w:val="24"/>
          <w:lang w:val="fr-CA"/>
        </w:rPr>
        <w:t>appelant sont assurément graves. Aussi, je fais droit aux prétentions du ministère public : les éléments saisis sont</w:t>
      </w:r>
      <w:r w:rsidRPr="00822328">
        <w:rPr>
          <w:rFonts w:cs="Times New Roman"/>
          <w:noProof/>
          <w:lang w:val="fr-CA"/>
        </w:rPr>
        <w:t xml:space="preserve"> d</w:t>
      </w:r>
      <w:r>
        <w:rPr>
          <w:rFonts w:cs="Times New Roman"/>
          <w:noProof/>
          <w:lang w:val="fr-CA"/>
        </w:rPr>
        <w:t>’</w:t>
      </w:r>
      <w:r w:rsidRPr="00822328">
        <w:rPr>
          <w:rFonts w:cs="Times New Roman"/>
          <w:noProof/>
          <w:lang w:val="fr-CA"/>
        </w:rPr>
        <w:t xml:space="preserve">une grande fiabilité et </w:t>
      </w:r>
      <w:r w:rsidRPr="00822328">
        <w:rPr>
          <w:rFonts w:cs="Times New Roman"/>
          <w:noProof/>
          <w:szCs w:val="24"/>
          <w:lang w:val="fr-CA"/>
        </w:rPr>
        <w:t>essentiels à la preuve du poursuivant, un constat qui milite fortement en faveur de leur admission en preuve malgré l</w:t>
      </w:r>
      <w:r>
        <w:rPr>
          <w:rFonts w:cs="Times New Roman"/>
          <w:noProof/>
          <w:szCs w:val="24"/>
          <w:lang w:val="fr-CA"/>
        </w:rPr>
        <w:t>’</w:t>
      </w:r>
      <w:r w:rsidRPr="00822328">
        <w:rPr>
          <w:rFonts w:cs="Times New Roman"/>
          <w:noProof/>
          <w:szCs w:val="24"/>
          <w:lang w:val="fr-CA"/>
        </w:rPr>
        <w:t>atteinte aux droits de l</w:t>
      </w:r>
      <w:r>
        <w:rPr>
          <w:rFonts w:cs="Times New Roman"/>
          <w:noProof/>
          <w:szCs w:val="24"/>
          <w:lang w:val="fr-CA"/>
        </w:rPr>
        <w:t>’</w:t>
      </w:r>
      <w:r w:rsidRPr="00822328">
        <w:rPr>
          <w:rFonts w:cs="Times New Roman"/>
          <w:noProof/>
          <w:szCs w:val="24"/>
          <w:lang w:val="fr-CA"/>
        </w:rPr>
        <w:t>appelant garantis à l</w:t>
      </w:r>
      <w:r>
        <w:rPr>
          <w:rFonts w:cs="Times New Roman"/>
          <w:noProof/>
          <w:szCs w:val="24"/>
          <w:lang w:val="fr-CA"/>
        </w:rPr>
        <w:t>’</w:t>
      </w:r>
      <w:r w:rsidRPr="00822328">
        <w:rPr>
          <w:rFonts w:cs="Times New Roman"/>
          <w:noProof/>
          <w:szCs w:val="24"/>
          <w:lang w:val="fr-CA"/>
        </w:rPr>
        <w:t>art. 8.</w:t>
      </w:r>
    </w:p>
    <w:p w:rsidR="00A37A4C" w:rsidRPr="00822328" w:rsidRDefault="00A37A4C" w:rsidP="006534E4">
      <w:pPr>
        <w:pStyle w:val="Title3LevelTitre3Niveau"/>
        <w:widowControl w:val="0"/>
        <w:rPr>
          <w:rFonts w:cs="Times New Roman"/>
          <w:noProof/>
          <w:lang w:val="fr-CA"/>
        </w:rPr>
      </w:pPr>
      <w:r w:rsidRPr="00822328">
        <w:rPr>
          <w:rFonts w:cs="Times New Roman"/>
          <w:noProof/>
          <w:lang w:val="fr-CA"/>
        </w:rPr>
        <w:t>Les éléments de preuve devraient être écartés</w:t>
      </w:r>
    </w:p>
    <w:p w:rsidR="00A37A4C" w:rsidRPr="00822328" w:rsidRDefault="00A37A4C" w:rsidP="006534E4">
      <w:pPr>
        <w:pStyle w:val="ParaNoNdepar-AltN"/>
        <w:widowControl w:val="0"/>
        <w:tabs>
          <w:tab w:val="clear" w:pos="1152"/>
          <w:tab w:val="left" w:pos="1166"/>
        </w:tabs>
        <w:rPr>
          <w:rFonts w:cs="Times New Roman"/>
          <w:noProof/>
          <w:szCs w:val="24"/>
          <w:lang w:val="fr-CA"/>
        </w:rPr>
      </w:pPr>
      <w:r w:rsidRPr="00822328">
        <w:rPr>
          <w:rFonts w:cs="Times New Roman"/>
          <w:noProof/>
          <w:szCs w:val="24"/>
          <w:lang w:val="fr-CA"/>
        </w:rPr>
        <w:t>En résumé, sans être flagrante, la conduite des policiers dénote un écart marqué à une norme constitutionnelle bien établie. L</w:t>
      </w:r>
      <w:r>
        <w:rPr>
          <w:rFonts w:cs="Times New Roman"/>
          <w:noProof/>
          <w:szCs w:val="24"/>
          <w:lang w:val="fr-CA"/>
        </w:rPr>
        <w:t>’</w:t>
      </w:r>
      <w:r w:rsidRPr="00822328">
        <w:rPr>
          <w:rFonts w:cs="Times New Roman"/>
          <w:noProof/>
          <w:szCs w:val="24"/>
          <w:lang w:val="fr-CA"/>
        </w:rPr>
        <w:t>incidence de l</w:t>
      </w:r>
      <w:r>
        <w:rPr>
          <w:rFonts w:cs="Times New Roman"/>
          <w:noProof/>
          <w:szCs w:val="24"/>
          <w:lang w:val="fr-CA"/>
        </w:rPr>
        <w:t>’</w:t>
      </w:r>
      <w:r w:rsidRPr="00822328">
        <w:rPr>
          <w:rFonts w:cs="Times New Roman"/>
          <w:noProof/>
          <w:szCs w:val="24"/>
          <w:lang w:val="fr-CA"/>
        </w:rPr>
        <w:t>atteinte aux droits de l</w:t>
      </w:r>
      <w:r>
        <w:rPr>
          <w:rFonts w:cs="Times New Roman"/>
          <w:noProof/>
          <w:szCs w:val="24"/>
          <w:lang w:val="fr-CA"/>
        </w:rPr>
        <w:t>’</w:t>
      </w:r>
      <w:r w:rsidRPr="00822328">
        <w:rPr>
          <w:rFonts w:cs="Times New Roman"/>
          <w:noProof/>
          <w:szCs w:val="24"/>
          <w:lang w:val="fr-CA"/>
        </w:rPr>
        <w:t>appelant garantis à l</w:t>
      </w:r>
      <w:r>
        <w:rPr>
          <w:rFonts w:cs="Times New Roman"/>
          <w:noProof/>
          <w:szCs w:val="24"/>
          <w:lang w:val="fr-CA"/>
        </w:rPr>
        <w:t>’</w:t>
      </w:r>
      <w:r w:rsidRPr="00822328">
        <w:rPr>
          <w:rFonts w:cs="Times New Roman"/>
          <w:noProof/>
          <w:szCs w:val="24"/>
          <w:lang w:val="fr-CA"/>
        </w:rPr>
        <w:t>art. 8 est considérable puisqu</w:t>
      </w:r>
      <w:r>
        <w:rPr>
          <w:rFonts w:cs="Times New Roman"/>
          <w:noProof/>
          <w:szCs w:val="24"/>
          <w:lang w:val="fr-CA"/>
        </w:rPr>
        <w:t>’</w:t>
      </w:r>
      <w:r w:rsidRPr="00822328">
        <w:rPr>
          <w:rFonts w:cs="Times New Roman"/>
          <w:noProof/>
          <w:szCs w:val="24"/>
          <w:lang w:val="fr-CA"/>
        </w:rPr>
        <w:t>il y a eu intrusion là où l</w:t>
      </w:r>
      <w:r>
        <w:rPr>
          <w:rFonts w:cs="Times New Roman"/>
          <w:noProof/>
          <w:szCs w:val="24"/>
          <w:lang w:val="fr-CA"/>
        </w:rPr>
        <w:t>’</w:t>
      </w:r>
      <w:r w:rsidRPr="00822328">
        <w:rPr>
          <w:rFonts w:cs="Times New Roman"/>
          <w:noProof/>
          <w:szCs w:val="24"/>
          <w:lang w:val="fr-CA"/>
        </w:rPr>
        <w:t>appelant avait l</w:t>
      </w:r>
      <w:r>
        <w:rPr>
          <w:rFonts w:cs="Times New Roman"/>
          <w:noProof/>
          <w:szCs w:val="24"/>
          <w:lang w:val="fr-CA"/>
        </w:rPr>
        <w:t>’</w:t>
      </w:r>
      <w:r w:rsidRPr="00822328">
        <w:rPr>
          <w:rFonts w:cs="Times New Roman"/>
          <w:noProof/>
          <w:szCs w:val="24"/>
          <w:lang w:val="fr-CA"/>
        </w:rPr>
        <w:t>attente la plus élevée quant au respect de sa vie privée. Toutefois, la valeur probante des éléments de preuve aux fins de statuer sur la culpabilité de l</w:t>
      </w:r>
      <w:r>
        <w:rPr>
          <w:rFonts w:cs="Times New Roman"/>
          <w:noProof/>
          <w:szCs w:val="24"/>
          <w:lang w:val="fr-CA"/>
        </w:rPr>
        <w:t>’</w:t>
      </w:r>
      <w:r w:rsidRPr="00822328">
        <w:rPr>
          <w:rFonts w:cs="Times New Roman"/>
          <w:noProof/>
          <w:szCs w:val="24"/>
          <w:lang w:val="fr-CA"/>
        </w:rPr>
        <w:t xml:space="preserve">appelant est elle aussi considérable. </w:t>
      </w:r>
    </w:p>
    <w:p w:rsidR="00A37A4C" w:rsidRPr="00822328" w:rsidRDefault="00A37A4C" w:rsidP="006534E4">
      <w:pPr>
        <w:pStyle w:val="ParaNoNdepar-AltN"/>
        <w:widowControl w:val="0"/>
        <w:rPr>
          <w:rFonts w:cs="Times New Roman"/>
          <w:noProof/>
          <w:lang w:val="fr-CA"/>
        </w:rPr>
      </w:pPr>
      <w:r w:rsidRPr="00822328">
        <w:rPr>
          <w:rFonts w:cs="Times New Roman"/>
          <w:noProof/>
          <w:lang w:val="fr-CA"/>
        </w:rPr>
        <w:t>Il s</w:t>
      </w:r>
      <w:r>
        <w:rPr>
          <w:rFonts w:cs="Times New Roman"/>
          <w:noProof/>
          <w:lang w:val="fr-CA"/>
        </w:rPr>
        <w:t>’</w:t>
      </w:r>
      <w:r w:rsidRPr="00822328">
        <w:rPr>
          <w:rFonts w:cs="Times New Roman"/>
          <w:noProof/>
          <w:lang w:val="fr-CA"/>
        </w:rPr>
        <w:t>agit d</w:t>
      </w:r>
      <w:r>
        <w:rPr>
          <w:rFonts w:cs="Times New Roman"/>
          <w:noProof/>
          <w:lang w:val="fr-CA"/>
        </w:rPr>
        <w:t>’</w:t>
      </w:r>
      <w:r w:rsidRPr="00822328">
        <w:rPr>
          <w:rFonts w:cs="Times New Roman"/>
          <w:noProof/>
          <w:lang w:val="fr-CA"/>
        </w:rPr>
        <w:t xml:space="preserve">un cas où il est difficile de trancher. Comme le souligne la Cour dans </w:t>
      </w:r>
      <w:r w:rsidRPr="00822328">
        <w:rPr>
          <w:rFonts w:cs="Times New Roman"/>
          <w:i/>
          <w:noProof/>
          <w:lang w:val="fr-CA"/>
        </w:rPr>
        <w:t xml:space="preserve">Grant </w:t>
      </w:r>
      <w:r w:rsidRPr="00822328">
        <w:rPr>
          <w:rFonts w:cs="Times New Roman"/>
          <w:noProof/>
          <w:lang w:val="fr-CA"/>
        </w:rPr>
        <w:t>2009, « [l]a mise en balance requise par le par. 24(2) est de nature qualitative, la précision mathématique est donc impossible » (par. 140). En effet, puisque les facteurs énoncés dans l</w:t>
      </w:r>
      <w:r>
        <w:rPr>
          <w:rFonts w:cs="Times New Roman"/>
          <w:noProof/>
          <w:lang w:val="fr-CA"/>
        </w:rPr>
        <w:t>’</w:t>
      </w:r>
      <w:r w:rsidRPr="00822328">
        <w:rPr>
          <w:rFonts w:cs="Times New Roman"/>
          <w:noProof/>
          <w:lang w:val="fr-CA"/>
        </w:rPr>
        <w:t xml:space="preserve">arrêt </w:t>
      </w:r>
      <w:r w:rsidRPr="00822328">
        <w:rPr>
          <w:rFonts w:cs="Times New Roman"/>
          <w:i/>
          <w:noProof/>
          <w:lang w:val="fr-CA"/>
        </w:rPr>
        <w:t>Grant</w:t>
      </w:r>
      <w:r w:rsidRPr="00822328">
        <w:rPr>
          <w:rFonts w:cs="Times New Roman"/>
          <w:noProof/>
          <w:lang w:val="fr-CA"/>
        </w:rPr>
        <w:t xml:space="preserve"> 2009 sont incommensurables l</w:t>
      </w:r>
      <w:r>
        <w:rPr>
          <w:rFonts w:cs="Times New Roman"/>
          <w:noProof/>
          <w:lang w:val="fr-CA"/>
        </w:rPr>
        <w:t>’</w:t>
      </w:r>
      <w:r w:rsidRPr="00822328">
        <w:rPr>
          <w:rFonts w:cs="Times New Roman"/>
          <w:noProof/>
          <w:lang w:val="fr-CA"/>
        </w:rPr>
        <w:t>un avec l</w:t>
      </w:r>
      <w:r>
        <w:rPr>
          <w:rFonts w:cs="Times New Roman"/>
          <w:noProof/>
          <w:lang w:val="fr-CA"/>
        </w:rPr>
        <w:t>’</w:t>
      </w:r>
      <w:r w:rsidRPr="00822328">
        <w:rPr>
          <w:rFonts w:cs="Times New Roman"/>
          <w:noProof/>
          <w:lang w:val="fr-CA"/>
        </w:rPr>
        <w:t>autre — il faut en effet soupeser la gravité de la conduite de l</w:t>
      </w:r>
      <w:r>
        <w:rPr>
          <w:rFonts w:cs="Times New Roman"/>
          <w:noProof/>
          <w:lang w:val="fr-CA"/>
        </w:rPr>
        <w:t>’</w:t>
      </w:r>
      <w:r w:rsidRPr="00822328">
        <w:rPr>
          <w:rFonts w:cs="Times New Roman"/>
          <w:noProof/>
          <w:lang w:val="fr-CA"/>
        </w:rPr>
        <w:t>État, la gravité de l</w:t>
      </w:r>
      <w:r>
        <w:rPr>
          <w:rFonts w:cs="Times New Roman"/>
          <w:noProof/>
          <w:lang w:val="fr-CA"/>
        </w:rPr>
        <w:t>’</w:t>
      </w:r>
      <w:r w:rsidRPr="00822328">
        <w:rPr>
          <w:rFonts w:cs="Times New Roman"/>
          <w:noProof/>
          <w:lang w:val="fr-CA"/>
        </w:rPr>
        <w:t>atteinte à un droit constitutionnel et l</w:t>
      </w:r>
      <w:r>
        <w:rPr>
          <w:rFonts w:cs="Times New Roman"/>
          <w:noProof/>
          <w:lang w:val="fr-CA"/>
        </w:rPr>
        <w:t>’</w:t>
      </w:r>
      <w:r w:rsidRPr="00822328">
        <w:rPr>
          <w:rFonts w:cs="Times New Roman"/>
          <w:noProof/>
          <w:lang w:val="fr-CA"/>
        </w:rPr>
        <w:t>incidence sur l</w:t>
      </w:r>
      <w:r>
        <w:rPr>
          <w:rFonts w:cs="Times New Roman"/>
          <w:noProof/>
          <w:lang w:val="fr-CA"/>
        </w:rPr>
        <w:t>’</w:t>
      </w:r>
      <w:r w:rsidRPr="00822328">
        <w:rPr>
          <w:rFonts w:cs="Times New Roman"/>
          <w:noProof/>
          <w:lang w:val="fr-CA"/>
        </w:rPr>
        <w:t>intérêt de la société dans l</w:t>
      </w:r>
      <w:r>
        <w:rPr>
          <w:rFonts w:cs="Times New Roman"/>
          <w:noProof/>
          <w:lang w:val="fr-CA"/>
        </w:rPr>
        <w:t>’</w:t>
      </w:r>
      <w:r w:rsidRPr="00822328">
        <w:rPr>
          <w:rFonts w:cs="Times New Roman"/>
          <w:noProof/>
          <w:lang w:val="fr-CA"/>
        </w:rPr>
        <w:t>instruction de l</w:t>
      </w:r>
      <w:r>
        <w:rPr>
          <w:rFonts w:cs="Times New Roman"/>
          <w:noProof/>
          <w:lang w:val="fr-CA"/>
        </w:rPr>
        <w:t>’</w:t>
      </w:r>
      <w:r w:rsidRPr="00822328">
        <w:rPr>
          <w:rFonts w:cs="Times New Roman"/>
          <w:noProof/>
          <w:lang w:val="fr-CA"/>
        </w:rPr>
        <w:t>affaire au fond —, la « mise en balance » ne constituera jamais une entreprise tout à fait objective. Il faut néanmoins arriver à une conclusion raisonnée. La destruction concrète de la preuve du ministère public pèse fortement dans la balance, mais il en va de même de l</w:t>
      </w:r>
      <w:r>
        <w:rPr>
          <w:rFonts w:cs="Times New Roman"/>
          <w:noProof/>
          <w:lang w:val="fr-CA"/>
        </w:rPr>
        <w:t>’</w:t>
      </w:r>
      <w:r w:rsidRPr="00822328">
        <w:rPr>
          <w:rFonts w:cs="Times New Roman"/>
          <w:noProof/>
          <w:szCs w:val="24"/>
          <w:lang w:val="fr-CA"/>
        </w:rPr>
        <w:t>entrée sans mandat dans une résidence privée</w:t>
      </w:r>
      <w:r w:rsidRPr="00822328">
        <w:rPr>
          <w:rFonts w:cs="Times New Roman"/>
          <w:noProof/>
          <w:lang w:val="fr-CA"/>
        </w:rPr>
        <w:t xml:space="preserve"> afin d</w:t>
      </w:r>
      <w:r>
        <w:rPr>
          <w:rFonts w:cs="Times New Roman"/>
          <w:noProof/>
          <w:lang w:val="fr-CA"/>
        </w:rPr>
        <w:t>’</w:t>
      </w:r>
      <w:r w:rsidRPr="00822328">
        <w:rPr>
          <w:rFonts w:cs="Times New Roman"/>
          <w:noProof/>
          <w:lang w:val="fr-CA"/>
        </w:rPr>
        <w:t>empêcher l</w:t>
      </w:r>
      <w:r>
        <w:rPr>
          <w:rFonts w:cs="Times New Roman"/>
          <w:noProof/>
          <w:lang w:val="fr-CA"/>
        </w:rPr>
        <w:t>’</w:t>
      </w:r>
      <w:r w:rsidRPr="00822328">
        <w:rPr>
          <w:rFonts w:cs="Times New Roman"/>
          <w:noProof/>
          <w:lang w:val="fr-CA"/>
        </w:rPr>
        <w:t>appelant de détruire trois mégots que les policiers comptaient de toute façon détruire.</w:t>
      </w:r>
    </w:p>
    <w:p w:rsidR="00A37A4C" w:rsidRPr="00822328" w:rsidRDefault="00A37A4C" w:rsidP="006534E4">
      <w:pPr>
        <w:pStyle w:val="ParaNoNdepar-AltN"/>
        <w:widowControl w:val="0"/>
        <w:rPr>
          <w:rFonts w:cs="Times New Roman"/>
          <w:noProof/>
          <w:lang w:val="fr-CA"/>
        </w:rPr>
      </w:pPr>
      <w:r w:rsidRPr="00822328">
        <w:rPr>
          <w:rFonts w:cs="Times New Roman"/>
          <w:noProof/>
          <w:lang w:val="fr-CA"/>
        </w:rPr>
        <w:t xml:space="preserve"> Dans sa mise en balance de ces considérations, mon collègue invoque la gravité de l</w:t>
      </w:r>
      <w:r>
        <w:rPr>
          <w:rFonts w:cs="Times New Roman"/>
          <w:noProof/>
          <w:lang w:val="fr-CA"/>
        </w:rPr>
        <w:t>’</w:t>
      </w:r>
      <w:r w:rsidRPr="00822328">
        <w:rPr>
          <w:rFonts w:cs="Times New Roman"/>
          <w:noProof/>
          <w:lang w:val="fr-CA"/>
        </w:rPr>
        <w:t>infraction pour conclure qu</w:t>
      </w:r>
      <w:r>
        <w:rPr>
          <w:rFonts w:cs="Times New Roman"/>
          <w:noProof/>
          <w:lang w:val="fr-CA"/>
        </w:rPr>
        <w:t>’</w:t>
      </w:r>
      <w:r w:rsidRPr="00822328">
        <w:rPr>
          <w:rFonts w:cs="Times New Roman"/>
          <w:noProof/>
          <w:lang w:val="fr-CA"/>
        </w:rPr>
        <w:t xml:space="preserve">écarter la preuve </w:t>
      </w:r>
      <w:r w:rsidRPr="00822328">
        <w:rPr>
          <w:rFonts w:cs="Times New Roman"/>
          <w:lang w:val="fr-CA"/>
        </w:rPr>
        <w:t>est « beaucoup plus susceptible d</w:t>
      </w:r>
      <w:r>
        <w:rPr>
          <w:rFonts w:cs="Times New Roman"/>
          <w:lang w:val="fr-CA"/>
        </w:rPr>
        <w:t>’</w:t>
      </w:r>
      <w:r w:rsidRPr="00822328">
        <w:rPr>
          <w:rFonts w:cs="Times New Roman"/>
          <w:lang w:val="fr-CA"/>
        </w:rPr>
        <w:t>amener le public à perdre confiance dans notre système de justice criminelle » (par. 94). Il s</w:t>
      </w:r>
      <w:r>
        <w:rPr>
          <w:rFonts w:cs="Times New Roman"/>
          <w:lang w:val="fr-CA"/>
        </w:rPr>
        <w:t>’</w:t>
      </w:r>
      <w:r w:rsidRPr="00822328">
        <w:rPr>
          <w:rFonts w:cs="Times New Roman"/>
          <w:lang w:val="fr-CA"/>
        </w:rPr>
        <w:t xml:space="preserve">appuie toutefois sur une conception restrictive de la confiance du public que la Cour a déjà rejetée. Dans </w:t>
      </w:r>
      <w:r w:rsidRPr="00822328">
        <w:rPr>
          <w:rFonts w:cs="Times New Roman"/>
          <w:i/>
          <w:lang w:val="fr-CA"/>
        </w:rPr>
        <w:t>Grant</w:t>
      </w:r>
      <w:r w:rsidRPr="00822328">
        <w:rPr>
          <w:rFonts w:cs="Times New Roman"/>
          <w:lang w:val="fr-CA"/>
        </w:rPr>
        <w:t xml:space="preserve"> 2009, la Cour signale en effet que « [la gravité de l</w:t>
      </w:r>
      <w:r>
        <w:rPr>
          <w:rFonts w:cs="Times New Roman"/>
          <w:lang w:val="fr-CA"/>
        </w:rPr>
        <w:t>’</w:t>
      </w:r>
      <w:r w:rsidRPr="00822328">
        <w:rPr>
          <w:rFonts w:cs="Times New Roman"/>
          <w:lang w:val="fr-CA"/>
        </w:rPr>
        <w:t>infraction] peut jouer dans les deux sens. [. . .][S]i la gravité d</w:t>
      </w:r>
      <w:r>
        <w:rPr>
          <w:rFonts w:cs="Times New Roman"/>
          <w:lang w:val="fr-CA"/>
        </w:rPr>
        <w:t>’</w:t>
      </w:r>
      <w:r w:rsidRPr="00822328">
        <w:rPr>
          <w:rFonts w:cs="Times New Roman"/>
          <w:lang w:val="fr-CA"/>
        </w:rPr>
        <w:t>une infraction accroît l</w:t>
      </w:r>
      <w:r>
        <w:rPr>
          <w:rFonts w:cs="Times New Roman"/>
          <w:lang w:val="fr-CA"/>
        </w:rPr>
        <w:t>’</w:t>
      </w:r>
      <w:r w:rsidRPr="00822328">
        <w:rPr>
          <w:rFonts w:cs="Times New Roman"/>
          <w:lang w:val="fr-CA"/>
        </w:rPr>
        <w:t>intérêt du public à</w:t>
      </w:r>
      <w:r w:rsidR="002E0C9A">
        <w:rPr>
          <w:rFonts w:cs="Times New Roman"/>
          <w:lang w:val="fr-CA"/>
        </w:rPr>
        <w:t xml:space="preserve"> ce</w:t>
      </w:r>
      <w:r w:rsidRPr="00822328">
        <w:rPr>
          <w:rFonts w:cs="Times New Roman"/>
          <w:lang w:val="fr-CA"/>
        </w:rPr>
        <w:t xml:space="preserve"> qu</w:t>
      </w:r>
      <w:r>
        <w:rPr>
          <w:rFonts w:cs="Times New Roman"/>
          <w:lang w:val="fr-CA"/>
        </w:rPr>
        <w:t>’</w:t>
      </w:r>
      <w:r w:rsidRPr="00822328">
        <w:rPr>
          <w:rFonts w:cs="Times New Roman"/>
          <w:lang w:val="fr-CA"/>
        </w:rPr>
        <w:t>il y ait un jugement au fond, l</w:t>
      </w:r>
      <w:r>
        <w:rPr>
          <w:rFonts w:cs="Times New Roman"/>
          <w:lang w:val="fr-CA"/>
        </w:rPr>
        <w:t>’</w:t>
      </w:r>
      <w:r w:rsidRPr="00822328">
        <w:rPr>
          <w:rFonts w:cs="Times New Roman"/>
          <w:lang w:val="fr-CA"/>
        </w:rPr>
        <w:t>intérêt du public en l</w:t>
      </w:r>
      <w:r>
        <w:rPr>
          <w:rFonts w:cs="Times New Roman"/>
          <w:lang w:val="fr-CA"/>
        </w:rPr>
        <w:t>’</w:t>
      </w:r>
      <w:r w:rsidRPr="00822328">
        <w:rPr>
          <w:rFonts w:cs="Times New Roman"/>
          <w:lang w:val="fr-CA"/>
        </w:rPr>
        <w:t>irréprochabilité du système de justice n</w:t>
      </w:r>
      <w:r>
        <w:rPr>
          <w:rFonts w:cs="Times New Roman"/>
          <w:lang w:val="fr-CA"/>
        </w:rPr>
        <w:t>’</w:t>
      </w:r>
      <w:r w:rsidRPr="00822328">
        <w:rPr>
          <w:rFonts w:cs="Times New Roman"/>
          <w:lang w:val="fr-CA"/>
        </w:rPr>
        <w:t>est pas moins vital, particulièrement lorsque l</w:t>
      </w:r>
      <w:r>
        <w:rPr>
          <w:rFonts w:cs="Times New Roman"/>
          <w:lang w:val="fr-CA"/>
        </w:rPr>
        <w:t>’</w:t>
      </w:r>
      <w:r w:rsidRPr="00822328">
        <w:rPr>
          <w:rFonts w:cs="Times New Roman"/>
          <w:lang w:val="fr-CA"/>
        </w:rPr>
        <w:t xml:space="preserve">accusé encourt de lourdes conséquences pénales » (par. 84). Dans </w:t>
      </w:r>
      <w:r w:rsidRPr="00822328">
        <w:rPr>
          <w:rFonts w:cs="Times New Roman"/>
          <w:i/>
          <w:lang w:val="fr-CA"/>
        </w:rPr>
        <w:t>R. c. McGuffie</w:t>
      </w:r>
      <w:r w:rsidRPr="00822328">
        <w:rPr>
          <w:rFonts w:cs="Times New Roman"/>
          <w:lang w:val="fr-CA"/>
        </w:rPr>
        <w:t xml:space="preserve">, 2016 ONCA 365, 348 O.A.C. 365, </w:t>
      </w:r>
      <w:r w:rsidR="002E0C9A">
        <w:rPr>
          <w:rFonts w:cs="Times New Roman"/>
          <w:lang w:val="fr-CA"/>
        </w:rPr>
        <w:t xml:space="preserve">par. 73, </w:t>
      </w:r>
      <w:r>
        <w:rPr>
          <w:rFonts w:cs="Times New Roman"/>
          <w:lang w:val="fr-CA"/>
        </w:rPr>
        <w:t>l</w:t>
      </w:r>
      <w:r w:rsidRPr="00822328">
        <w:rPr>
          <w:rFonts w:cs="Times New Roman"/>
          <w:lang w:val="fr-CA"/>
        </w:rPr>
        <w:t>e juge Doherty explique de manière éclairante l</w:t>
      </w:r>
      <w:r>
        <w:rPr>
          <w:rFonts w:cs="Times New Roman"/>
          <w:lang w:val="fr-CA"/>
        </w:rPr>
        <w:t>’</w:t>
      </w:r>
      <w:r w:rsidRPr="00822328">
        <w:rPr>
          <w:rFonts w:cs="Times New Roman"/>
          <w:lang w:val="fr-CA"/>
        </w:rPr>
        <w:t>intérêt du public dans l</w:t>
      </w:r>
      <w:r>
        <w:rPr>
          <w:rFonts w:cs="Times New Roman"/>
          <w:lang w:val="fr-CA"/>
        </w:rPr>
        <w:t>’</w:t>
      </w:r>
      <w:r w:rsidRPr="00822328">
        <w:rPr>
          <w:rFonts w:cs="Times New Roman"/>
          <w:lang w:val="fr-CA"/>
        </w:rPr>
        <w:t>« irréprochabilité » du système de justice :</w:t>
      </w:r>
    </w:p>
    <w:p w:rsidR="00A37A4C" w:rsidRPr="00822328" w:rsidRDefault="00A37A4C" w:rsidP="006534E4">
      <w:pPr>
        <w:pStyle w:val="Citation-AltC"/>
        <w:widowControl w:val="0"/>
        <w:ind w:hanging="1166"/>
        <w:contextualSpacing w:val="0"/>
        <w:rPr>
          <w:noProof/>
          <w:lang w:val="fr-CA"/>
        </w:rPr>
      </w:pPr>
      <w:r w:rsidRPr="00822328">
        <w:rPr>
          <w:smallCaps/>
          <w:noProof/>
          <w:lang w:val="fr-CA"/>
        </w:rPr>
        <w:tab/>
        <w:t xml:space="preserve">[traduction] </w:t>
      </w:r>
      <w:r w:rsidRPr="00822328">
        <w:rPr>
          <w:noProof/>
          <w:lang w:val="fr-CA"/>
        </w:rPr>
        <w:t>D</w:t>
      </w:r>
      <w:r>
        <w:rPr>
          <w:noProof/>
          <w:lang w:val="fr-CA"/>
        </w:rPr>
        <w:t>’</w:t>
      </w:r>
      <w:r w:rsidRPr="00822328">
        <w:rPr>
          <w:noProof/>
          <w:lang w:val="fr-CA"/>
        </w:rPr>
        <w:t>une part, lorsque l</w:t>
      </w:r>
      <w:r>
        <w:rPr>
          <w:noProof/>
          <w:lang w:val="fr-CA"/>
        </w:rPr>
        <w:t>’</w:t>
      </w:r>
      <w:r w:rsidRPr="00822328">
        <w:rPr>
          <w:noProof/>
          <w:lang w:val="fr-CA"/>
        </w:rPr>
        <w:t>élément considéré est fiable et important quant à la preuve exigée du ministère public, on peut dire de la gravité de l</w:t>
      </w:r>
      <w:r>
        <w:rPr>
          <w:noProof/>
          <w:lang w:val="fr-CA"/>
        </w:rPr>
        <w:t>’</w:t>
      </w:r>
      <w:r w:rsidRPr="00822328">
        <w:rPr>
          <w:noProof/>
          <w:lang w:val="fr-CA"/>
        </w:rPr>
        <w:t>accusation qu</w:t>
      </w:r>
      <w:r>
        <w:rPr>
          <w:noProof/>
          <w:lang w:val="fr-CA"/>
        </w:rPr>
        <w:t>’</w:t>
      </w:r>
      <w:r w:rsidRPr="00822328">
        <w:rPr>
          <w:noProof/>
          <w:lang w:val="fr-CA"/>
        </w:rPr>
        <w:t>elle accroît l</w:t>
      </w:r>
      <w:r>
        <w:rPr>
          <w:noProof/>
          <w:lang w:val="fr-CA"/>
        </w:rPr>
        <w:t>’</w:t>
      </w:r>
      <w:r w:rsidRPr="00822328">
        <w:rPr>
          <w:noProof/>
          <w:lang w:val="fr-CA"/>
        </w:rPr>
        <w:t>intérêt de la société dans l</w:t>
      </w:r>
      <w:r>
        <w:rPr>
          <w:noProof/>
          <w:lang w:val="fr-CA"/>
        </w:rPr>
        <w:t>’</w:t>
      </w:r>
      <w:r w:rsidRPr="00822328">
        <w:rPr>
          <w:noProof/>
          <w:lang w:val="fr-CA"/>
        </w:rPr>
        <w:t>instruction de l</w:t>
      </w:r>
      <w:r>
        <w:rPr>
          <w:noProof/>
          <w:lang w:val="fr-CA"/>
        </w:rPr>
        <w:t>’</w:t>
      </w:r>
      <w:r w:rsidRPr="00822328">
        <w:rPr>
          <w:noProof/>
          <w:lang w:val="fr-CA"/>
        </w:rPr>
        <w:t>affaire au fond. D</w:t>
      </w:r>
      <w:r>
        <w:rPr>
          <w:noProof/>
          <w:lang w:val="fr-CA"/>
        </w:rPr>
        <w:t>’</w:t>
      </w:r>
      <w:r w:rsidRPr="00822328">
        <w:rPr>
          <w:noProof/>
          <w:lang w:val="fr-CA"/>
        </w:rPr>
        <w:t>autre part, le souci de la société de faire en sorte que les tribunaux ne paraissent pas cautionner l</w:t>
      </w:r>
      <w:r>
        <w:rPr>
          <w:noProof/>
          <w:lang w:val="fr-CA"/>
        </w:rPr>
        <w:t>’</w:t>
      </w:r>
      <w:r w:rsidRPr="00822328">
        <w:rPr>
          <w:noProof/>
          <w:lang w:val="fr-CA"/>
        </w:rPr>
        <w:t>inconduite policière et que les droits individuels soient pris au sérieux passe à l</w:t>
      </w:r>
      <w:r>
        <w:rPr>
          <w:noProof/>
          <w:lang w:val="fr-CA"/>
        </w:rPr>
        <w:t>’</w:t>
      </w:r>
      <w:r w:rsidRPr="00822328">
        <w:rPr>
          <w:noProof/>
          <w:lang w:val="fr-CA"/>
        </w:rPr>
        <w:t>avant</w:t>
      </w:r>
      <w:r w:rsidRPr="00822328">
        <w:rPr>
          <w:noProof/>
          <w:lang w:val="fr-CA"/>
        </w:rPr>
        <w:noBreakHyphen/>
        <w:t>plan lorsque les conséquences subies par ceux dont les droits ont été bafoués sont particulièrement graves</w:t>
      </w:r>
      <w:r w:rsidR="002E0C9A">
        <w:rPr>
          <w:noProof/>
          <w:lang w:val="fr-CA"/>
        </w:rPr>
        <w:t xml:space="preserve"> </w:t>
      </w:r>
      <w:r w:rsidRPr="00822328">
        <w:rPr>
          <w:noProof/>
          <w:lang w:val="fr-CA"/>
        </w:rPr>
        <w:t>. . . [Références omises.]</w:t>
      </w:r>
    </w:p>
    <w:p w:rsidR="00A37A4C" w:rsidRPr="00822328" w:rsidRDefault="00A37A4C" w:rsidP="006534E4">
      <w:pPr>
        <w:pStyle w:val="ParaNoNdepar-AltN"/>
        <w:widowControl w:val="0"/>
        <w:tabs>
          <w:tab w:val="clear" w:pos="1152"/>
          <w:tab w:val="left" w:pos="1166"/>
        </w:tabs>
        <w:rPr>
          <w:rFonts w:cs="Times New Roman"/>
          <w:noProof/>
          <w:lang w:val="fr-CA"/>
        </w:rPr>
      </w:pPr>
      <w:r w:rsidRPr="00822328">
        <w:rPr>
          <w:rFonts w:cs="Times New Roman"/>
          <w:noProof/>
          <w:lang w:val="fr-CA"/>
        </w:rPr>
        <w:t>Il importe donc de ne pas permettre que le troisième facteur de l</w:t>
      </w:r>
      <w:r>
        <w:rPr>
          <w:rFonts w:cs="Times New Roman"/>
          <w:noProof/>
          <w:lang w:val="fr-CA"/>
        </w:rPr>
        <w:t>’</w:t>
      </w:r>
      <w:r w:rsidRPr="00822328">
        <w:rPr>
          <w:rFonts w:cs="Times New Roman"/>
          <w:noProof/>
          <w:lang w:val="fr-CA"/>
        </w:rPr>
        <w:t xml:space="preserve">arrêt </w:t>
      </w:r>
      <w:r w:rsidRPr="00822328">
        <w:rPr>
          <w:rFonts w:cs="Times New Roman"/>
          <w:i/>
          <w:noProof/>
          <w:lang w:val="fr-CA"/>
        </w:rPr>
        <w:t xml:space="preserve">Grant </w:t>
      </w:r>
      <w:r w:rsidRPr="00822328">
        <w:rPr>
          <w:rFonts w:cs="Times New Roman"/>
          <w:noProof/>
          <w:lang w:val="fr-CA"/>
        </w:rPr>
        <w:t>2009, à savoir l</w:t>
      </w:r>
      <w:r>
        <w:rPr>
          <w:rFonts w:cs="Times New Roman"/>
          <w:noProof/>
          <w:lang w:val="fr-CA"/>
        </w:rPr>
        <w:t>’</w:t>
      </w:r>
      <w:r w:rsidRPr="00822328">
        <w:rPr>
          <w:rFonts w:cs="Times New Roman"/>
          <w:noProof/>
          <w:lang w:val="fr-CA"/>
        </w:rPr>
        <w:t>intérêt de la société dans l</w:t>
      </w:r>
      <w:r>
        <w:rPr>
          <w:rFonts w:cs="Times New Roman"/>
          <w:noProof/>
          <w:lang w:val="fr-CA"/>
        </w:rPr>
        <w:t>’</w:t>
      </w:r>
      <w:r w:rsidRPr="00822328">
        <w:rPr>
          <w:rFonts w:cs="Times New Roman"/>
          <w:noProof/>
          <w:lang w:val="fr-CA"/>
        </w:rPr>
        <w:t>instruction de l</w:t>
      </w:r>
      <w:r>
        <w:rPr>
          <w:rFonts w:cs="Times New Roman"/>
          <w:noProof/>
          <w:lang w:val="fr-CA"/>
        </w:rPr>
        <w:t>’</w:t>
      </w:r>
      <w:r w:rsidRPr="00822328">
        <w:rPr>
          <w:rFonts w:cs="Times New Roman"/>
          <w:noProof/>
          <w:lang w:val="fr-CA"/>
        </w:rPr>
        <w:t>affaire au fond, l</w:t>
      </w:r>
      <w:r>
        <w:rPr>
          <w:rFonts w:cs="Times New Roman"/>
          <w:noProof/>
          <w:lang w:val="fr-CA"/>
        </w:rPr>
        <w:t>’</w:t>
      </w:r>
      <w:r w:rsidRPr="00822328">
        <w:rPr>
          <w:rFonts w:cs="Times New Roman"/>
          <w:noProof/>
          <w:lang w:val="fr-CA"/>
        </w:rPr>
        <w:t>emporte sur toutes les autres considérations, surtout lorsque (comme en l</w:t>
      </w:r>
      <w:r>
        <w:rPr>
          <w:rFonts w:cs="Times New Roman"/>
          <w:noProof/>
          <w:lang w:val="fr-CA"/>
        </w:rPr>
        <w:t>’</w:t>
      </w:r>
      <w:r w:rsidRPr="00822328">
        <w:rPr>
          <w:rFonts w:cs="Times New Roman"/>
          <w:noProof/>
          <w:lang w:val="fr-CA"/>
        </w:rPr>
        <w:t>espèce) la conduite reprochée est grave et a une grande incidence sur un droit constitutionnel de l</w:t>
      </w:r>
      <w:r>
        <w:rPr>
          <w:rFonts w:cs="Times New Roman"/>
          <w:noProof/>
          <w:lang w:val="fr-CA"/>
        </w:rPr>
        <w:t>’</w:t>
      </w:r>
      <w:r w:rsidRPr="00822328">
        <w:rPr>
          <w:rFonts w:cs="Times New Roman"/>
          <w:noProof/>
          <w:lang w:val="fr-CA"/>
        </w:rPr>
        <w:t>appelant. Dans la présente affaire, j</w:t>
      </w:r>
      <w:r>
        <w:rPr>
          <w:rFonts w:cs="Times New Roman"/>
          <w:noProof/>
          <w:lang w:val="fr-CA"/>
        </w:rPr>
        <w:t>’</w:t>
      </w:r>
      <w:r w:rsidRPr="00822328">
        <w:rPr>
          <w:rFonts w:cs="Times New Roman"/>
          <w:noProof/>
          <w:lang w:val="fr-CA"/>
        </w:rPr>
        <w:t>estime que l</w:t>
      </w:r>
      <w:r>
        <w:rPr>
          <w:rFonts w:cs="Times New Roman"/>
          <w:noProof/>
          <w:lang w:val="fr-CA"/>
        </w:rPr>
        <w:t>’</w:t>
      </w:r>
      <w:r w:rsidRPr="00822328">
        <w:rPr>
          <w:rFonts w:cs="Times New Roman"/>
          <w:noProof/>
          <w:lang w:val="fr-CA"/>
        </w:rPr>
        <w:t>importance de faire en sorte que pareille conduite ne soit pas cautionnée par les tribunaux milite en faveur de l</w:t>
      </w:r>
      <w:r>
        <w:rPr>
          <w:rFonts w:cs="Times New Roman"/>
          <w:noProof/>
          <w:lang w:val="fr-CA"/>
        </w:rPr>
        <w:t>’</w:t>
      </w:r>
      <w:r w:rsidRPr="00822328">
        <w:rPr>
          <w:rFonts w:cs="Times New Roman"/>
          <w:noProof/>
          <w:lang w:val="fr-CA"/>
        </w:rPr>
        <w:t xml:space="preserve">exclusion de la preuve. Comme le dit également le juge Doherty dans </w:t>
      </w:r>
      <w:r w:rsidRPr="00822328">
        <w:rPr>
          <w:rFonts w:cs="Times New Roman"/>
          <w:i/>
          <w:noProof/>
          <w:lang w:val="fr-CA"/>
        </w:rPr>
        <w:t>McGuffie</w:t>
      </w:r>
      <w:r w:rsidRPr="00822328">
        <w:rPr>
          <w:rFonts w:cs="Times New Roman"/>
          <w:noProof/>
          <w:lang w:val="fr-CA"/>
        </w:rPr>
        <w:t xml:space="preserve">, </w:t>
      </w:r>
      <w:r w:rsidRPr="00822328">
        <w:rPr>
          <w:rFonts w:cs="Times New Roman"/>
          <w:smallCaps/>
          <w:noProof/>
          <w:lang w:val="fr-CA"/>
        </w:rPr>
        <w:t xml:space="preserve">[traduction] </w:t>
      </w:r>
      <w:r w:rsidRPr="00822328">
        <w:rPr>
          <w:rFonts w:cs="Times New Roman"/>
          <w:noProof/>
          <w:lang w:val="fr-CA"/>
        </w:rPr>
        <w:t>« le tribunal ne peut dissocier convenablement le système de justice de l</w:t>
      </w:r>
      <w:r>
        <w:rPr>
          <w:rFonts w:cs="Times New Roman"/>
          <w:noProof/>
          <w:lang w:val="fr-CA"/>
        </w:rPr>
        <w:t>’</w:t>
      </w:r>
      <w:r w:rsidRPr="00822328">
        <w:rPr>
          <w:rFonts w:cs="Times New Roman"/>
          <w:noProof/>
          <w:lang w:val="fr-CA"/>
        </w:rPr>
        <w:t>inconduite policière et consolider l</w:t>
      </w:r>
      <w:r>
        <w:rPr>
          <w:rFonts w:cs="Times New Roman"/>
          <w:noProof/>
          <w:lang w:val="fr-CA"/>
        </w:rPr>
        <w:t>’</w:t>
      </w:r>
      <w:r w:rsidRPr="00822328">
        <w:rPr>
          <w:rFonts w:cs="Times New Roman"/>
          <w:noProof/>
          <w:lang w:val="fr-CA"/>
        </w:rPr>
        <w:t xml:space="preserve">engagement de la collectivité envers les droits individuels que protège la </w:t>
      </w:r>
      <w:r w:rsidRPr="00822328">
        <w:rPr>
          <w:rFonts w:cs="Times New Roman"/>
          <w:i/>
          <w:noProof/>
          <w:lang w:val="fr-CA"/>
        </w:rPr>
        <w:t>Charte</w:t>
      </w:r>
      <w:r w:rsidRPr="00822328">
        <w:rPr>
          <w:rFonts w:cs="Times New Roman"/>
          <w:noProof/>
          <w:lang w:val="fr-CA"/>
        </w:rPr>
        <w:t xml:space="preserve"> qu</w:t>
      </w:r>
      <w:r>
        <w:rPr>
          <w:rFonts w:cs="Times New Roman"/>
          <w:noProof/>
          <w:lang w:val="fr-CA"/>
        </w:rPr>
        <w:t>’</w:t>
      </w:r>
      <w:r w:rsidRPr="00822328">
        <w:rPr>
          <w:rFonts w:cs="Times New Roman"/>
          <w:noProof/>
          <w:lang w:val="fr-CA"/>
        </w:rPr>
        <w:t>en écartant la preuve</w:t>
      </w:r>
      <w:r w:rsidR="002E0C9A">
        <w:rPr>
          <w:rFonts w:cs="Times New Roman"/>
          <w:noProof/>
          <w:lang w:val="fr-CA"/>
        </w:rPr>
        <w:t>.</w:t>
      </w:r>
      <w:r w:rsidRPr="00822328">
        <w:rPr>
          <w:rFonts w:cs="Times New Roman"/>
          <w:noProof/>
          <w:lang w:val="fr-CA"/>
        </w:rPr>
        <w:t xml:space="preserve"> [. . .] Ce résultat malheureux est directement imputable à la manière dont les policiers ont décidé de se conduire » (par. 83).</w:t>
      </w:r>
    </w:p>
    <w:p w:rsidR="00A37A4C" w:rsidRPr="00822328" w:rsidRDefault="00A37A4C" w:rsidP="006534E4">
      <w:pPr>
        <w:pStyle w:val="ParaNoNdepar-AltN"/>
        <w:widowControl w:val="0"/>
        <w:tabs>
          <w:tab w:val="clear" w:pos="1152"/>
          <w:tab w:val="left" w:pos="1166"/>
        </w:tabs>
        <w:rPr>
          <w:rFonts w:cs="Times New Roman"/>
          <w:noProof/>
          <w:szCs w:val="24"/>
          <w:lang w:val="fr-CA"/>
        </w:rPr>
      </w:pPr>
      <w:r w:rsidRPr="00822328">
        <w:rPr>
          <w:rFonts w:cs="Times New Roman"/>
          <w:noProof/>
          <w:szCs w:val="24"/>
          <w:lang w:val="fr-CA"/>
        </w:rPr>
        <w:t>Après examen de ces facteurs séparément puis dans leur ensemble, j</w:t>
      </w:r>
      <w:r>
        <w:rPr>
          <w:rFonts w:cs="Times New Roman"/>
          <w:noProof/>
          <w:szCs w:val="24"/>
          <w:lang w:val="fr-CA"/>
        </w:rPr>
        <w:t>’</w:t>
      </w:r>
      <w:r w:rsidRPr="00822328">
        <w:rPr>
          <w:rFonts w:cs="Times New Roman"/>
          <w:noProof/>
          <w:szCs w:val="24"/>
          <w:lang w:val="fr-CA"/>
        </w:rPr>
        <w:t>estime qu</w:t>
      </w:r>
      <w:r>
        <w:rPr>
          <w:rFonts w:cs="Times New Roman"/>
          <w:noProof/>
          <w:szCs w:val="24"/>
          <w:lang w:val="fr-CA"/>
        </w:rPr>
        <w:t>’</w:t>
      </w:r>
      <w:r w:rsidRPr="00822328">
        <w:rPr>
          <w:rFonts w:cs="Times New Roman"/>
          <w:noProof/>
          <w:szCs w:val="24"/>
          <w:lang w:val="fr-CA"/>
        </w:rPr>
        <w:t>il convient d</w:t>
      </w:r>
      <w:r>
        <w:rPr>
          <w:rFonts w:cs="Times New Roman"/>
          <w:noProof/>
          <w:szCs w:val="24"/>
          <w:lang w:val="fr-CA"/>
        </w:rPr>
        <w:t>’</w:t>
      </w:r>
      <w:r w:rsidRPr="00822328">
        <w:rPr>
          <w:rFonts w:cs="Times New Roman"/>
          <w:noProof/>
          <w:szCs w:val="24"/>
          <w:lang w:val="fr-CA"/>
        </w:rPr>
        <w:t>écarter les éléments de preuve obtenus grâce à l</w:t>
      </w:r>
      <w:r>
        <w:rPr>
          <w:rFonts w:cs="Times New Roman"/>
          <w:noProof/>
          <w:szCs w:val="24"/>
          <w:lang w:val="fr-CA"/>
        </w:rPr>
        <w:t>’</w:t>
      </w:r>
      <w:r w:rsidRPr="00822328">
        <w:rPr>
          <w:rFonts w:cs="Times New Roman"/>
          <w:noProof/>
          <w:szCs w:val="24"/>
          <w:lang w:val="fr-CA"/>
        </w:rPr>
        <w:t>entrée chez l</w:t>
      </w:r>
      <w:r>
        <w:rPr>
          <w:rFonts w:cs="Times New Roman"/>
          <w:noProof/>
          <w:szCs w:val="24"/>
          <w:lang w:val="fr-CA"/>
        </w:rPr>
        <w:t>’</w:t>
      </w:r>
      <w:r w:rsidRPr="00822328">
        <w:rPr>
          <w:rFonts w:cs="Times New Roman"/>
          <w:noProof/>
          <w:szCs w:val="24"/>
          <w:lang w:val="fr-CA"/>
        </w:rPr>
        <w:t>appelant et à la perquisition des lieux, car leur utilisation est susceptible de déconsidérer l</w:t>
      </w:r>
      <w:r>
        <w:rPr>
          <w:rFonts w:cs="Times New Roman"/>
          <w:noProof/>
          <w:szCs w:val="24"/>
          <w:lang w:val="fr-CA"/>
        </w:rPr>
        <w:t>’</w:t>
      </w:r>
      <w:r w:rsidRPr="00822328">
        <w:rPr>
          <w:rFonts w:cs="Times New Roman"/>
          <w:noProof/>
          <w:szCs w:val="24"/>
          <w:lang w:val="fr-CA"/>
        </w:rPr>
        <w:t xml:space="preserve">administration de la justice. </w:t>
      </w:r>
    </w:p>
    <w:p w:rsidR="00A37A4C" w:rsidRPr="00822328" w:rsidRDefault="00A37A4C" w:rsidP="006534E4">
      <w:pPr>
        <w:pStyle w:val="Title1LevelTitre1Niveau-AltL"/>
        <w:widowControl w:val="0"/>
        <w:rPr>
          <w:rFonts w:cs="Times New Roman"/>
          <w:noProof/>
          <w:lang w:val="fr-CA"/>
        </w:rPr>
      </w:pPr>
      <w:r w:rsidRPr="00822328">
        <w:rPr>
          <w:rFonts w:cs="Times New Roman"/>
          <w:noProof/>
          <w:lang w:val="fr-CA"/>
        </w:rPr>
        <w:t xml:space="preserve">Conclusion </w:t>
      </w:r>
    </w:p>
    <w:p w:rsidR="00A37A4C" w:rsidRPr="00822328" w:rsidRDefault="00A37A4C" w:rsidP="006534E4">
      <w:pPr>
        <w:pStyle w:val="ParaNoNdepar-AltN"/>
        <w:widowControl w:val="0"/>
        <w:rPr>
          <w:rFonts w:cs="Times New Roman"/>
          <w:noProof/>
          <w:lang w:val="fr-CA"/>
        </w:rPr>
      </w:pPr>
      <w:r w:rsidRPr="00822328">
        <w:rPr>
          <w:rFonts w:cs="Times New Roman"/>
          <w:noProof/>
          <w:lang w:val="fr-CA"/>
        </w:rPr>
        <w:t>Vu ma conclusion relative au par. 24(2), point n</w:t>
      </w:r>
      <w:r>
        <w:rPr>
          <w:rFonts w:cs="Times New Roman"/>
          <w:noProof/>
          <w:lang w:val="fr-CA"/>
        </w:rPr>
        <w:t>’</w:t>
      </w:r>
      <w:r w:rsidRPr="00822328">
        <w:rPr>
          <w:rFonts w:cs="Times New Roman"/>
          <w:noProof/>
          <w:lang w:val="fr-CA"/>
        </w:rPr>
        <w:t>est besoin de décider si le dépôt tardif d</w:t>
      </w:r>
      <w:r>
        <w:rPr>
          <w:rFonts w:cs="Times New Roman"/>
          <w:noProof/>
          <w:lang w:val="fr-CA"/>
        </w:rPr>
        <w:t>’</w:t>
      </w:r>
      <w:r w:rsidRPr="00822328">
        <w:rPr>
          <w:rFonts w:cs="Times New Roman"/>
          <w:noProof/>
          <w:lang w:val="fr-CA"/>
        </w:rPr>
        <w:t>un rapport incomplet rédigé selon la formule 5.2 pourrait constituer en soi une atteinte au droit garanti à l</w:t>
      </w:r>
      <w:r>
        <w:rPr>
          <w:rFonts w:cs="Times New Roman"/>
          <w:noProof/>
          <w:lang w:val="fr-CA"/>
        </w:rPr>
        <w:t>’</w:t>
      </w:r>
      <w:r w:rsidRPr="00822328">
        <w:rPr>
          <w:rFonts w:cs="Times New Roman"/>
          <w:noProof/>
          <w:lang w:val="fr-CA"/>
        </w:rPr>
        <w:t xml:space="preserve">art. 8 de la </w:t>
      </w:r>
      <w:r w:rsidRPr="00822328">
        <w:rPr>
          <w:rFonts w:cs="Times New Roman"/>
          <w:i/>
          <w:noProof/>
          <w:lang w:val="fr-CA"/>
        </w:rPr>
        <w:t>Charte</w:t>
      </w:r>
      <w:r w:rsidRPr="00822328">
        <w:rPr>
          <w:rFonts w:cs="Times New Roman"/>
          <w:noProof/>
          <w:lang w:val="fr-CA"/>
        </w:rPr>
        <w:t xml:space="preserve"> et si tel a été le cas en l</w:t>
      </w:r>
      <w:r>
        <w:rPr>
          <w:rFonts w:cs="Times New Roman"/>
          <w:noProof/>
          <w:lang w:val="fr-CA"/>
        </w:rPr>
        <w:t>’</w:t>
      </w:r>
      <w:r w:rsidRPr="00822328">
        <w:rPr>
          <w:rFonts w:cs="Times New Roman"/>
          <w:noProof/>
          <w:lang w:val="fr-CA"/>
        </w:rPr>
        <w:t xml:space="preserve">espèce. </w:t>
      </w:r>
    </w:p>
    <w:p w:rsidR="00A37A4C" w:rsidRDefault="00A37A4C" w:rsidP="006534E4">
      <w:pPr>
        <w:pStyle w:val="ParaNoNdepar-AltN"/>
        <w:widowControl w:val="0"/>
        <w:rPr>
          <w:rFonts w:cs="Times New Roman"/>
          <w:noProof/>
          <w:szCs w:val="24"/>
          <w:lang w:val="fr-CA"/>
        </w:rPr>
      </w:pPr>
      <w:r w:rsidRPr="00822328">
        <w:rPr>
          <w:rFonts w:cs="Times New Roman"/>
          <w:noProof/>
          <w:szCs w:val="24"/>
          <w:lang w:val="fr-CA"/>
        </w:rPr>
        <w:t>Je suis d</w:t>
      </w:r>
      <w:r>
        <w:rPr>
          <w:rFonts w:cs="Times New Roman"/>
          <w:noProof/>
          <w:szCs w:val="24"/>
          <w:lang w:val="fr-CA"/>
        </w:rPr>
        <w:t>’</w:t>
      </w:r>
      <w:r w:rsidRPr="00822328">
        <w:rPr>
          <w:rFonts w:cs="Times New Roman"/>
          <w:noProof/>
          <w:szCs w:val="24"/>
          <w:lang w:val="fr-CA"/>
        </w:rPr>
        <w:t>avis d</w:t>
      </w:r>
      <w:r>
        <w:rPr>
          <w:rFonts w:cs="Times New Roman"/>
          <w:noProof/>
          <w:szCs w:val="24"/>
          <w:lang w:val="fr-CA"/>
        </w:rPr>
        <w:t>’</w:t>
      </w:r>
      <w:r w:rsidRPr="00822328">
        <w:rPr>
          <w:rFonts w:cs="Times New Roman"/>
          <w:noProof/>
          <w:szCs w:val="24"/>
          <w:lang w:val="fr-CA"/>
        </w:rPr>
        <w:t>accueillir le pourvoi, d</w:t>
      </w:r>
      <w:r>
        <w:rPr>
          <w:rFonts w:cs="Times New Roman"/>
          <w:noProof/>
          <w:szCs w:val="24"/>
          <w:lang w:val="fr-CA"/>
        </w:rPr>
        <w:t>’</w:t>
      </w:r>
      <w:r w:rsidRPr="00822328">
        <w:rPr>
          <w:rFonts w:cs="Times New Roman"/>
          <w:noProof/>
          <w:szCs w:val="24"/>
          <w:lang w:val="fr-CA"/>
        </w:rPr>
        <w:t>annuler les déclarations de culpabilité et d</w:t>
      </w:r>
      <w:r>
        <w:rPr>
          <w:rFonts w:cs="Times New Roman"/>
          <w:noProof/>
          <w:szCs w:val="24"/>
          <w:lang w:val="fr-CA"/>
        </w:rPr>
        <w:t>’</w:t>
      </w:r>
      <w:r w:rsidRPr="00822328">
        <w:rPr>
          <w:rFonts w:cs="Times New Roman"/>
          <w:noProof/>
          <w:szCs w:val="24"/>
          <w:lang w:val="fr-CA"/>
        </w:rPr>
        <w:t>inscrire des acquittements.</w:t>
      </w:r>
    </w:p>
    <w:p w:rsidR="00A37A4C" w:rsidRPr="008F53A0" w:rsidRDefault="00A37A4C" w:rsidP="006534E4">
      <w:pPr>
        <w:pStyle w:val="JudgeJuge"/>
        <w:widowControl w:val="0"/>
        <w:spacing w:before="480"/>
        <w:rPr>
          <w:smallCaps w:val="0"/>
          <w:lang w:val="fr-CA"/>
        </w:rPr>
      </w:pPr>
      <w:r w:rsidRPr="00357367">
        <w:rPr>
          <w:lang w:val="fr-CA"/>
        </w:rPr>
        <w:tab/>
      </w:r>
      <w:r w:rsidR="008F53A0" w:rsidRPr="008F53A0">
        <w:rPr>
          <w:smallCaps w:val="0"/>
          <w:lang w:val="fr-CA"/>
        </w:rPr>
        <w:t>Vers</w:t>
      </w:r>
      <w:r w:rsidR="008F53A0">
        <w:rPr>
          <w:smallCaps w:val="0"/>
          <w:lang w:val="fr-CA"/>
        </w:rPr>
        <w:t>ion française des motifs des juges Moldaver et Gascon rendus par</w:t>
      </w:r>
    </w:p>
    <w:p w:rsidR="00A37A4C" w:rsidRPr="00357367" w:rsidRDefault="008F53A0" w:rsidP="006534E4">
      <w:pPr>
        <w:pStyle w:val="ParaNoNdepar-AltN"/>
        <w:widowControl w:val="0"/>
        <w:rPr>
          <w:rFonts w:cs="Times New Roman"/>
          <w:lang w:val="fr-CA"/>
        </w:rPr>
      </w:pPr>
      <w:r>
        <w:rPr>
          <w:smallCaps/>
          <w:lang w:val="fr-CA"/>
        </w:rPr>
        <w:t>Le j</w:t>
      </w:r>
      <w:r w:rsidRPr="008F53A0">
        <w:rPr>
          <w:smallCaps/>
          <w:lang w:val="fr-CA"/>
        </w:rPr>
        <w:t>uge Moldaver</w:t>
      </w:r>
      <w:r w:rsidRPr="00357367">
        <w:rPr>
          <w:lang w:val="fr-CA"/>
        </w:rPr>
        <w:t xml:space="preserve"> — </w:t>
      </w:r>
      <w:r w:rsidR="00A37A4C" w:rsidRPr="00357367">
        <w:rPr>
          <w:rFonts w:cs="Times New Roman"/>
          <w:lang w:val="fr-CA"/>
        </w:rPr>
        <w:t>J</w:t>
      </w:r>
      <w:r w:rsidR="00A37A4C">
        <w:rPr>
          <w:rFonts w:cs="Times New Roman"/>
          <w:lang w:val="fr-CA"/>
        </w:rPr>
        <w:t>’</w:t>
      </w:r>
      <w:r w:rsidR="00A37A4C" w:rsidRPr="00357367">
        <w:rPr>
          <w:rFonts w:cs="Times New Roman"/>
          <w:lang w:val="fr-CA"/>
        </w:rPr>
        <w:t>ai pris connaissance des motifs de mon collègue le juge Brown et je souscris à son analyse ainsi qu</w:t>
      </w:r>
      <w:r w:rsidR="00A37A4C">
        <w:rPr>
          <w:rFonts w:cs="Times New Roman"/>
          <w:lang w:val="fr-CA"/>
        </w:rPr>
        <w:t>’</w:t>
      </w:r>
      <w:r w:rsidR="00A37A4C" w:rsidRPr="00357367">
        <w:rPr>
          <w:rFonts w:cs="Times New Roman"/>
          <w:lang w:val="fr-CA"/>
        </w:rPr>
        <w:t>à sa conclusion au sujet du caractère volontaire de la déclaration. Je conviens aussi avec lui que l</w:t>
      </w:r>
      <w:r w:rsidR="00A37A4C">
        <w:rPr>
          <w:rFonts w:cs="Times New Roman"/>
          <w:lang w:val="fr-CA"/>
        </w:rPr>
        <w:t>’</w:t>
      </w:r>
      <w:r w:rsidR="00A37A4C" w:rsidRPr="00357367">
        <w:rPr>
          <w:rFonts w:cs="Times New Roman"/>
          <w:lang w:val="fr-CA"/>
        </w:rPr>
        <w:t>entrée des policiers chez l</w:t>
      </w:r>
      <w:r w:rsidR="00A37A4C">
        <w:rPr>
          <w:rFonts w:cs="Times New Roman"/>
          <w:lang w:val="fr-CA"/>
        </w:rPr>
        <w:t>’</w:t>
      </w:r>
      <w:r w:rsidR="00A37A4C" w:rsidRPr="00357367">
        <w:rPr>
          <w:rFonts w:cs="Times New Roman"/>
          <w:lang w:val="fr-CA"/>
        </w:rPr>
        <w:t>appelant a porté atteinte au droit de ce dernier à la protection de sa vie privée garanti par l</w:t>
      </w:r>
      <w:r w:rsidR="00A37A4C">
        <w:rPr>
          <w:rFonts w:cs="Times New Roman"/>
          <w:lang w:val="fr-CA"/>
        </w:rPr>
        <w:t>’</w:t>
      </w:r>
      <w:r w:rsidR="00A37A4C" w:rsidRPr="00357367">
        <w:rPr>
          <w:rFonts w:cs="Times New Roman"/>
          <w:lang w:val="fr-CA"/>
        </w:rPr>
        <w:t xml:space="preserve">art. 8 de la </w:t>
      </w:r>
      <w:r w:rsidR="00A37A4C" w:rsidRPr="00357367">
        <w:rPr>
          <w:rFonts w:cs="Times New Roman"/>
          <w:i/>
          <w:lang w:val="fr-CA"/>
        </w:rPr>
        <w:t>Charte canadienne des droits et libertés</w:t>
      </w:r>
      <w:r w:rsidR="00A37A4C" w:rsidRPr="00357367">
        <w:rPr>
          <w:rFonts w:cs="Times New Roman"/>
          <w:lang w:val="fr-CA"/>
        </w:rPr>
        <w:t>. En revanche, je ne peux malheureusement pas faire mienne</w:t>
      </w:r>
      <w:r w:rsidR="00A37A4C" w:rsidRPr="00357367">
        <w:rPr>
          <w:rFonts w:cs="Times New Roman"/>
          <w:szCs w:val="24"/>
          <w:lang w:val="fr-CA"/>
        </w:rPr>
        <w:t xml:space="preserve"> son analyse, au regard du par. 24(2) de la </w:t>
      </w:r>
      <w:r w:rsidR="00A37A4C" w:rsidRPr="00357367">
        <w:rPr>
          <w:rFonts w:cs="Times New Roman"/>
          <w:i/>
          <w:szCs w:val="24"/>
          <w:lang w:val="fr-CA"/>
        </w:rPr>
        <w:t>Charte</w:t>
      </w:r>
      <w:r w:rsidR="00A37A4C" w:rsidRPr="00357367">
        <w:rPr>
          <w:rFonts w:cs="Times New Roman"/>
          <w:szCs w:val="24"/>
          <w:lang w:val="fr-CA"/>
        </w:rPr>
        <w:t>, de l</w:t>
      </w:r>
      <w:r w:rsidR="00A37A4C">
        <w:rPr>
          <w:rFonts w:cs="Times New Roman"/>
          <w:szCs w:val="24"/>
          <w:lang w:val="fr-CA"/>
        </w:rPr>
        <w:t>’</w:t>
      </w:r>
      <w:r w:rsidR="00A37A4C" w:rsidRPr="00357367">
        <w:rPr>
          <w:rFonts w:cs="Times New Roman"/>
          <w:szCs w:val="24"/>
          <w:lang w:val="fr-CA"/>
        </w:rPr>
        <w:t>admissibilité en preuve des armes à feu et des drogues saisies chez l</w:t>
      </w:r>
      <w:r w:rsidR="00A37A4C">
        <w:rPr>
          <w:rFonts w:cs="Times New Roman"/>
          <w:szCs w:val="24"/>
          <w:lang w:val="fr-CA"/>
        </w:rPr>
        <w:t>’</w:t>
      </w:r>
      <w:r w:rsidR="00A37A4C" w:rsidRPr="00357367">
        <w:rPr>
          <w:rFonts w:cs="Times New Roman"/>
          <w:szCs w:val="24"/>
          <w:lang w:val="fr-CA"/>
        </w:rPr>
        <w:t>appelant. À mon avis, ces objets ont été admis en preuve à juste titre, et je suis donc d</w:t>
      </w:r>
      <w:r w:rsidR="00A37A4C">
        <w:rPr>
          <w:rFonts w:cs="Times New Roman"/>
          <w:szCs w:val="24"/>
          <w:lang w:val="fr-CA"/>
        </w:rPr>
        <w:t>’</w:t>
      </w:r>
      <w:r w:rsidR="00A37A4C" w:rsidRPr="00357367">
        <w:rPr>
          <w:rFonts w:cs="Times New Roman"/>
          <w:szCs w:val="24"/>
          <w:lang w:val="fr-CA"/>
        </w:rPr>
        <w:t>avis de rejeter le pourvoi. Par ailleurs, à l</w:t>
      </w:r>
      <w:r w:rsidR="00A37A4C">
        <w:rPr>
          <w:rFonts w:cs="Times New Roman"/>
          <w:szCs w:val="24"/>
          <w:lang w:val="fr-CA"/>
        </w:rPr>
        <w:t>’</w:t>
      </w:r>
      <w:r w:rsidR="00A37A4C" w:rsidRPr="00357367">
        <w:rPr>
          <w:rFonts w:cs="Times New Roman"/>
          <w:szCs w:val="24"/>
          <w:lang w:val="fr-CA"/>
        </w:rPr>
        <w:t>instar de mon collègue, j</w:t>
      </w:r>
      <w:r w:rsidR="00A37A4C">
        <w:rPr>
          <w:rFonts w:cs="Times New Roman"/>
          <w:szCs w:val="24"/>
          <w:lang w:val="fr-CA"/>
        </w:rPr>
        <w:t>’</w:t>
      </w:r>
      <w:r w:rsidR="00A37A4C" w:rsidRPr="00357367">
        <w:rPr>
          <w:rFonts w:cs="Times New Roman"/>
          <w:szCs w:val="24"/>
          <w:lang w:val="fr-CA"/>
        </w:rPr>
        <w:t>estime qu</w:t>
      </w:r>
      <w:r w:rsidR="00A37A4C">
        <w:rPr>
          <w:rFonts w:cs="Times New Roman"/>
          <w:szCs w:val="24"/>
          <w:lang w:val="fr-CA"/>
        </w:rPr>
        <w:t>’</w:t>
      </w:r>
      <w:r w:rsidR="00A37A4C" w:rsidRPr="00357367">
        <w:rPr>
          <w:rFonts w:cs="Times New Roman"/>
          <w:szCs w:val="24"/>
          <w:lang w:val="fr-CA"/>
        </w:rPr>
        <w:t>il n</w:t>
      </w:r>
      <w:r w:rsidR="00A37A4C">
        <w:rPr>
          <w:rFonts w:cs="Times New Roman"/>
          <w:szCs w:val="24"/>
          <w:lang w:val="fr-CA"/>
        </w:rPr>
        <w:t>’</w:t>
      </w:r>
      <w:r w:rsidR="00A37A4C" w:rsidRPr="00357367">
        <w:rPr>
          <w:rFonts w:cs="Times New Roman"/>
          <w:szCs w:val="24"/>
          <w:lang w:val="fr-CA"/>
        </w:rPr>
        <w:t>est pas nécessaire de trancher les questions relatives au rapport rédigé selon la formule 5.2 et destiné à un juge de paix, sauf pour signaler que, même si le dépôt tardif d</w:t>
      </w:r>
      <w:r w:rsidR="00A37A4C">
        <w:rPr>
          <w:rFonts w:cs="Times New Roman"/>
          <w:szCs w:val="24"/>
          <w:lang w:val="fr-CA"/>
        </w:rPr>
        <w:t>’</w:t>
      </w:r>
      <w:r w:rsidR="00A37A4C" w:rsidRPr="00357367">
        <w:rPr>
          <w:rFonts w:cs="Times New Roman"/>
          <w:szCs w:val="24"/>
          <w:lang w:val="fr-CA"/>
        </w:rPr>
        <w:t>un rapport incomplet avait effectivement porté atteinte au droit garanti à l</w:t>
      </w:r>
      <w:r w:rsidR="00A37A4C">
        <w:rPr>
          <w:rFonts w:cs="Times New Roman"/>
          <w:szCs w:val="24"/>
          <w:lang w:val="fr-CA"/>
        </w:rPr>
        <w:t>’</w:t>
      </w:r>
      <w:r w:rsidR="00A37A4C" w:rsidRPr="00357367">
        <w:rPr>
          <w:rFonts w:cs="Times New Roman"/>
          <w:szCs w:val="24"/>
          <w:lang w:val="fr-CA"/>
        </w:rPr>
        <w:t>appelant par l</w:t>
      </w:r>
      <w:r w:rsidR="00A37A4C">
        <w:rPr>
          <w:rFonts w:cs="Times New Roman"/>
          <w:szCs w:val="24"/>
          <w:lang w:val="fr-CA"/>
        </w:rPr>
        <w:t>’</w:t>
      </w:r>
      <w:r w:rsidR="00A37A4C" w:rsidRPr="00357367">
        <w:rPr>
          <w:rFonts w:cs="Times New Roman"/>
          <w:szCs w:val="24"/>
          <w:lang w:val="fr-CA"/>
        </w:rPr>
        <w:t xml:space="preserve">art. 8 de la </w:t>
      </w:r>
      <w:r w:rsidR="00A37A4C" w:rsidRPr="00357367">
        <w:rPr>
          <w:rFonts w:cs="Times New Roman"/>
          <w:i/>
          <w:szCs w:val="24"/>
          <w:lang w:val="fr-CA"/>
        </w:rPr>
        <w:t>Charte</w:t>
      </w:r>
      <w:r w:rsidR="00A37A4C" w:rsidRPr="00357367">
        <w:rPr>
          <w:rFonts w:cs="Times New Roman"/>
          <w:szCs w:val="24"/>
          <w:lang w:val="fr-CA"/>
        </w:rPr>
        <w:t>, cette atteinte aurait eu lieu par inadvertance et n</w:t>
      </w:r>
      <w:r w:rsidR="00A37A4C">
        <w:rPr>
          <w:rFonts w:cs="Times New Roman"/>
          <w:szCs w:val="24"/>
          <w:lang w:val="fr-CA"/>
        </w:rPr>
        <w:t>’</w:t>
      </w:r>
      <w:r w:rsidR="00A37A4C" w:rsidRPr="00357367">
        <w:rPr>
          <w:rFonts w:cs="Times New Roman"/>
          <w:szCs w:val="24"/>
          <w:lang w:val="fr-CA"/>
        </w:rPr>
        <w:t>aurait eu aucune incidence sur son intérêt en matière de respect de la vie privée. Pareille atteinte n</w:t>
      </w:r>
      <w:r w:rsidR="00A37A4C">
        <w:rPr>
          <w:rFonts w:cs="Times New Roman"/>
          <w:szCs w:val="24"/>
          <w:lang w:val="fr-CA"/>
        </w:rPr>
        <w:t>’</w:t>
      </w:r>
      <w:r w:rsidR="00A37A4C" w:rsidRPr="00357367">
        <w:rPr>
          <w:rFonts w:cs="Times New Roman"/>
          <w:szCs w:val="24"/>
          <w:lang w:val="fr-CA"/>
        </w:rPr>
        <w:t>aurait donc pu faire pencher la balance de manière à écarter la preuve par application du par. 24(2).</w:t>
      </w:r>
    </w:p>
    <w:p w:rsidR="00A37A4C" w:rsidRPr="008F53A0" w:rsidRDefault="00A37A4C" w:rsidP="006534E4">
      <w:pPr>
        <w:pStyle w:val="Title1LevelTitre1Niveau-AltL"/>
        <w:widowControl w:val="0"/>
        <w:numPr>
          <w:ilvl w:val="0"/>
          <w:numId w:val="16"/>
        </w:numPr>
        <w:tabs>
          <w:tab w:val="clear" w:pos="576"/>
          <w:tab w:val="num" w:pos="432"/>
        </w:tabs>
        <w:jc w:val="left"/>
        <w:rPr>
          <w:rFonts w:cs="Times New Roman"/>
          <w:szCs w:val="24"/>
          <w:lang w:val="fr-CA"/>
        </w:rPr>
      </w:pPr>
      <w:r w:rsidRPr="008F53A0">
        <w:rPr>
          <w:rFonts w:cs="Times New Roman"/>
          <w:szCs w:val="24"/>
          <w:lang w:val="fr-CA"/>
        </w:rPr>
        <w:t>Faits à l’origine du litige</w:t>
      </w:r>
    </w:p>
    <w:p w:rsidR="00A37A4C" w:rsidRPr="00357367" w:rsidRDefault="00A37A4C" w:rsidP="006534E4">
      <w:pPr>
        <w:pStyle w:val="ParaNoNdepar-AltN"/>
        <w:widowControl w:val="0"/>
        <w:rPr>
          <w:rFonts w:cs="Times New Roman"/>
          <w:lang w:val="fr-CA"/>
        </w:rPr>
      </w:pPr>
      <w:r w:rsidRPr="00357367">
        <w:rPr>
          <w:rFonts w:cs="Times New Roman"/>
          <w:lang w:val="fr-CA"/>
        </w:rPr>
        <w:t>Mon collègue résume les faits à l</w:t>
      </w:r>
      <w:r>
        <w:rPr>
          <w:rFonts w:cs="Times New Roman"/>
          <w:lang w:val="fr-CA"/>
        </w:rPr>
        <w:t>’</w:t>
      </w:r>
      <w:r w:rsidRPr="00357367">
        <w:rPr>
          <w:rFonts w:cs="Times New Roman"/>
          <w:lang w:val="fr-CA"/>
        </w:rPr>
        <w:t>origine du pourvoi et je ne vois pas l</w:t>
      </w:r>
      <w:r>
        <w:rPr>
          <w:rFonts w:cs="Times New Roman"/>
          <w:lang w:val="fr-CA"/>
        </w:rPr>
        <w:t>’</w:t>
      </w:r>
      <w:r w:rsidRPr="00357367">
        <w:rPr>
          <w:rFonts w:cs="Times New Roman"/>
          <w:lang w:val="fr-CA"/>
        </w:rPr>
        <w:t>utilité de les exposer à mon tour. J</w:t>
      </w:r>
      <w:r>
        <w:rPr>
          <w:rFonts w:cs="Times New Roman"/>
          <w:lang w:val="fr-CA"/>
        </w:rPr>
        <w:t>’</w:t>
      </w:r>
      <w:r w:rsidRPr="00357367">
        <w:rPr>
          <w:rFonts w:cs="Times New Roman"/>
          <w:lang w:val="fr-CA"/>
        </w:rPr>
        <w:t>estime toutefois important de revenir sur les infractions précises dont l</w:t>
      </w:r>
      <w:r>
        <w:rPr>
          <w:rFonts w:cs="Times New Roman"/>
          <w:lang w:val="fr-CA"/>
        </w:rPr>
        <w:t>’</w:t>
      </w:r>
      <w:r w:rsidRPr="00357367">
        <w:rPr>
          <w:rFonts w:cs="Times New Roman"/>
          <w:lang w:val="fr-CA"/>
        </w:rPr>
        <w:t>appelant a été reconnu coupable, ainsi que sur les divers éléments de preuve que les policiers ont saisis à son appartement. Il me paraît également important de rappeler les observations et les conclusions de fait du juge du procès sur la conduite des policiers.</w:t>
      </w:r>
    </w:p>
    <w:p w:rsidR="00A37A4C" w:rsidRPr="00357367" w:rsidRDefault="00A37A4C" w:rsidP="006534E4">
      <w:pPr>
        <w:pStyle w:val="Title2LevelTitre2Niveau"/>
        <w:widowControl w:val="0"/>
        <w:rPr>
          <w:rFonts w:cs="Times New Roman"/>
          <w:lang w:val="fr-CA"/>
        </w:rPr>
      </w:pPr>
      <w:r w:rsidRPr="00357367">
        <w:rPr>
          <w:rFonts w:cs="Times New Roman"/>
          <w:lang w:val="fr-CA"/>
        </w:rPr>
        <w:t>Infractions reprochées et éléments de preuve saisis</w:t>
      </w:r>
    </w:p>
    <w:p w:rsidR="00A37A4C" w:rsidRPr="00357367" w:rsidRDefault="00A37A4C" w:rsidP="006534E4">
      <w:pPr>
        <w:pStyle w:val="ParaNoNdepar-AltN"/>
        <w:widowControl w:val="0"/>
        <w:rPr>
          <w:rFonts w:cs="Times New Roman"/>
          <w:lang w:val="fr-CA"/>
        </w:rPr>
      </w:pPr>
      <w:r w:rsidRPr="00357367">
        <w:rPr>
          <w:rFonts w:cs="Times New Roman"/>
          <w:lang w:val="fr-CA"/>
        </w:rPr>
        <w:t>L</w:t>
      </w:r>
      <w:r>
        <w:rPr>
          <w:rFonts w:cs="Times New Roman"/>
          <w:lang w:val="fr-CA"/>
        </w:rPr>
        <w:t>’</w:t>
      </w:r>
      <w:r w:rsidRPr="00357367">
        <w:rPr>
          <w:rFonts w:cs="Times New Roman"/>
          <w:lang w:val="fr-CA"/>
        </w:rPr>
        <w:t>appelant a été accusé de neuf infractions, dont cinq en matière de drogues et quatre liées à la possession illégale d</w:t>
      </w:r>
      <w:r>
        <w:rPr>
          <w:rFonts w:cs="Times New Roman"/>
          <w:lang w:val="fr-CA"/>
        </w:rPr>
        <w:t>’</w:t>
      </w:r>
      <w:r w:rsidRPr="00357367">
        <w:rPr>
          <w:rFonts w:cs="Times New Roman"/>
          <w:lang w:val="fr-CA"/>
        </w:rPr>
        <w:t>une arme de poing. Les accusations ont toutes été portées à partir des éléments de preuve recueillis chez lui.</w:t>
      </w:r>
    </w:p>
    <w:p w:rsidR="00A37A4C" w:rsidRPr="00357367" w:rsidRDefault="00A37A4C" w:rsidP="006534E4">
      <w:pPr>
        <w:pStyle w:val="ParaNoNdepar-AltN"/>
        <w:widowControl w:val="0"/>
        <w:rPr>
          <w:rFonts w:cs="Times New Roman"/>
          <w:lang w:val="fr-CA"/>
        </w:rPr>
      </w:pPr>
      <w:r w:rsidRPr="00357367">
        <w:rPr>
          <w:rFonts w:cs="Times New Roman"/>
          <w:lang w:val="fr-CA"/>
        </w:rPr>
        <w:t>Voici les éléments de preuve à l</w:t>
      </w:r>
      <w:r>
        <w:rPr>
          <w:rFonts w:cs="Times New Roman"/>
          <w:lang w:val="fr-CA"/>
        </w:rPr>
        <w:t>’</w:t>
      </w:r>
      <w:r w:rsidRPr="00357367">
        <w:rPr>
          <w:rFonts w:cs="Times New Roman"/>
          <w:lang w:val="fr-CA"/>
        </w:rPr>
        <w:t>origine des accusations en matière de drogues :</w:t>
      </w:r>
    </w:p>
    <w:p w:rsidR="00A37A4C" w:rsidRPr="00357367" w:rsidRDefault="00A37A4C" w:rsidP="006534E4">
      <w:pPr>
        <w:pStyle w:val="Citation-AltC"/>
        <w:widowControl w:val="0"/>
        <w:spacing w:before="480" w:after="480" w:line="480" w:lineRule="auto"/>
        <w:ind w:left="1170" w:hanging="1170"/>
        <w:contextualSpacing w:val="0"/>
        <w:rPr>
          <w:lang w:val="fr-CA"/>
        </w:rPr>
      </w:pPr>
      <w:r w:rsidRPr="00357367">
        <w:rPr>
          <w:lang w:val="fr-CA"/>
        </w:rPr>
        <w:t>a)</w:t>
      </w:r>
      <w:r w:rsidRPr="00357367">
        <w:rPr>
          <w:lang w:val="fr-CA"/>
        </w:rPr>
        <w:tab/>
        <w:t>825 grammes de cocaïne d</w:t>
      </w:r>
      <w:r>
        <w:rPr>
          <w:lang w:val="fr-CA"/>
        </w:rPr>
        <w:t>’</w:t>
      </w:r>
      <w:r w:rsidRPr="00357367">
        <w:rPr>
          <w:lang w:val="fr-CA"/>
        </w:rPr>
        <w:t>une valeur de 31 200 $ sur le marché de gros (possession en vue d</w:t>
      </w:r>
      <w:r>
        <w:rPr>
          <w:lang w:val="fr-CA"/>
        </w:rPr>
        <w:t>’</w:t>
      </w:r>
      <w:r w:rsidRPr="00357367">
        <w:rPr>
          <w:lang w:val="fr-CA"/>
        </w:rPr>
        <w:t>en faire le trafic);</w:t>
      </w:r>
    </w:p>
    <w:p w:rsidR="00A37A4C" w:rsidRPr="00357367" w:rsidRDefault="00A37A4C" w:rsidP="006534E4">
      <w:pPr>
        <w:pStyle w:val="Citation-AltC"/>
        <w:widowControl w:val="0"/>
        <w:spacing w:before="480" w:after="480" w:line="480" w:lineRule="auto"/>
        <w:ind w:left="1170" w:hanging="1170"/>
        <w:contextualSpacing w:val="0"/>
        <w:rPr>
          <w:lang w:val="fr-CA"/>
        </w:rPr>
      </w:pPr>
      <w:r w:rsidRPr="00357367">
        <w:rPr>
          <w:lang w:val="fr-CA"/>
        </w:rPr>
        <w:t>b)</w:t>
      </w:r>
      <w:r w:rsidRPr="00357367">
        <w:rPr>
          <w:lang w:val="fr-CA"/>
        </w:rPr>
        <w:tab/>
        <w:t>200 grammes de méthamphétamine d</w:t>
      </w:r>
      <w:r>
        <w:rPr>
          <w:lang w:val="fr-CA"/>
        </w:rPr>
        <w:t>’</w:t>
      </w:r>
      <w:r w:rsidRPr="00357367">
        <w:rPr>
          <w:lang w:val="fr-CA"/>
        </w:rPr>
        <w:t>une valeur de 5 850 $ sur le marché de gros (possession en vue d</w:t>
      </w:r>
      <w:r>
        <w:rPr>
          <w:lang w:val="fr-CA"/>
        </w:rPr>
        <w:t>’</w:t>
      </w:r>
      <w:r w:rsidRPr="00357367">
        <w:rPr>
          <w:lang w:val="fr-CA"/>
        </w:rPr>
        <w:t>en faire le trafic);</w:t>
      </w:r>
    </w:p>
    <w:p w:rsidR="00A37A4C" w:rsidRPr="00357367" w:rsidRDefault="00A37A4C" w:rsidP="006534E4">
      <w:pPr>
        <w:pStyle w:val="Citation-AltC"/>
        <w:widowControl w:val="0"/>
        <w:spacing w:before="480" w:after="480" w:line="480" w:lineRule="auto"/>
        <w:ind w:left="1170" w:hanging="1170"/>
        <w:contextualSpacing w:val="0"/>
        <w:rPr>
          <w:lang w:val="fr-CA"/>
        </w:rPr>
      </w:pPr>
      <w:r w:rsidRPr="00357367">
        <w:rPr>
          <w:lang w:val="fr-CA"/>
        </w:rPr>
        <w:t>c)</w:t>
      </w:r>
      <w:r w:rsidRPr="00357367">
        <w:rPr>
          <w:lang w:val="fr-CA"/>
        </w:rPr>
        <w:tab/>
        <w:t>9 000 comprimés d</w:t>
      </w:r>
      <w:r>
        <w:rPr>
          <w:lang w:val="fr-CA"/>
        </w:rPr>
        <w:t>’</w:t>
      </w:r>
      <w:r w:rsidRPr="00357367">
        <w:rPr>
          <w:lang w:val="fr-CA"/>
        </w:rPr>
        <w:t>ecstasy d</w:t>
      </w:r>
      <w:r>
        <w:rPr>
          <w:lang w:val="fr-CA"/>
        </w:rPr>
        <w:t>’</w:t>
      </w:r>
      <w:r w:rsidRPr="00357367">
        <w:rPr>
          <w:lang w:val="fr-CA"/>
        </w:rPr>
        <w:t>une valeur de 17 466 $ sur le marché de gros (possession en vue d</w:t>
      </w:r>
      <w:r>
        <w:rPr>
          <w:lang w:val="fr-CA"/>
        </w:rPr>
        <w:t>’</w:t>
      </w:r>
      <w:r w:rsidRPr="00357367">
        <w:rPr>
          <w:lang w:val="fr-CA"/>
        </w:rPr>
        <w:t>en faire le trafic);</w:t>
      </w:r>
    </w:p>
    <w:p w:rsidR="00A37A4C" w:rsidRPr="00357367" w:rsidRDefault="00A37A4C" w:rsidP="006534E4">
      <w:pPr>
        <w:pStyle w:val="Citation-AltC"/>
        <w:widowControl w:val="0"/>
        <w:spacing w:after="480" w:line="480" w:lineRule="auto"/>
        <w:ind w:left="1170" w:hanging="1170"/>
        <w:contextualSpacing w:val="0"/>
        <w:rPr>
          <w:lang w:val="fr-CA"/>
        </w:rPr>
      </w:pPr>
      <w:r w:rsidRPr="00357367">
        <w:rPr>
          <w:lang w:val="fr-CA"/>
        </w:rPr>
        <w:t>d)</w:t>
      </w:r>
      <w:r w:rsidRPr="00357367">
        <w:rPr>
          <w:lang w:val="fr-CA"/>
        </w:rPr>
        <w:tab/>
        <w:t xml:space="preserve">une petite quantité de marihuana (possession simple); </w:t>
      </w:r>
    </w:p>
    <w:p w:rsidR="00A37A4C" w:rsidRPr="00357367" w:rsidRDefault="00A37A4C" w:rsidP="006534E4">
      <w:pPr>
        <w:pStyle w:val="Citation-AltC"/>
        <w:widowControl w:val="0"/>
        <w:spacing w:before="480" w:after="480" w:line="480" w:lineRule="auto"/>
        <w:ind w:left="1170" w:hanging="1170"/>
        <w:contextualSpacing w:val="0"/>
        <w:rPr>
          <w:lang w:val="fr-CA"/>
        </w:rPr>
      </w:pPr>
      <w:r w:rsidRPr="00357367">
        <w:rPr>
          <w:lang w:val="fr-CA"/>
        </w:rPr>
        <w:t>e)</w:t>
      </w:r>
      <w:r w:rsidRPr="00357367">
        <w:rPr>
          <w:lang w:val="fr-CA"/>
        </w:rPr>
        <w:tab/>
        <w:t>une petite quantité d</w:t>
      </w:r>
      <w:r>
        <w:rPr>
          <w:lang w:val="fr-CA"/>
        </w:rPr>
        <w:t>’</w:t>
      </w:r>
      <w:r w:rsidRPr="00357367">
        <w:rPr>
          <w:lang w:val="fr-CA"/>
        </w:rPr>
        <w:t>oxycodone (possession simple).</w:t>
      </w:r>
    </w:p>
    <w:p w:rsidR="00A37A4C" w:rsidRPr="00357367" w:rsidRDefault="00A37A4C" w:rsidP="006534E4">
      <w:pPr>
        <w:pStyle w:val="ParaNoNdepar-AltN"/>
        <w:widowControl w:val="0"/>
        <w:rPr>
          <w:rFonts w:cs="Times New Roman"/>
          <w:lang w:val="fr-CA"/>
        </w:rPr>
      </w:pPr>
      <w:r w:rsidRPr="00357367">
        <w:rPr>
          <w:rFonts w:cs="Times New Roman"/>
          <w:lang w:val="fr-CA"/>
        </w:rPr>
        <w:t>Voici les éléments de preuve à l</w:t>
      </w:r>
      <w:r>
        <w:rPr>
          <w:rFonts w:cs="Times New Roman"/>
          <w:lang w:val="fr-CA"/>
        </w:rPr>
        <w:t>’</w:t>
      </w:r>
      <w:r w:rsidRPr="00357367">
        <w:rPr>
          <w:rFonts w:cs="Times New Roman"/>
          <w:lang w:val="fr-CA"/>
        </w:rPr>
        <w:t>origine des accusations relatives à une arme à feu :</w:t>
      </w:r>
    </w:p>
    <w:p w:rsidR="00A37A4C" w:rsidRPr="00357367" w:rsidRDefault="00A37A4C" w:rsidP="006534E4">
      <w:pPr>
        <w:pStyle w:val="Citation-AltC"/>
        <w:widowControl w:val="0"/>
        <w:numPr>
          <w:ilvl w:val="0"/>
          <w:numId w:val="13"/>
        </w:numPr>
        <w:spacing w:before="480" w:after="480" w:line="480" w:lineRule="auto"/>
        <w:ind w:left="1170" w:hanging="1170"/>
        <w:contextualSpacing w:val="0"/>
        <w:rPr>
          <w:lang w:val="fr-CA"/>
        </w:rPr>
      </w:pPr>
      <w:r w:rsidRPr="00357367">
        <w:rPr>
          <w:lang w:val="fr-CA"/>
        </w:rPr>
        <w:t>un revolver Smith &amp; Wesson spécial de calibre 38 (arme à feu prohibée), chargé;</w:t>
      </w:r>
    </w:p>
    <w:p w:rsidR="00A37A4C" w:rsidRPr="00357367" w:rsidRDefault="00A37A4C" w:rsidP="006534E4">
      <w:pPr>
        <w:pStyle w:val="Citation-AltC"/>
        <w:widowControl w:val="0"/>
        <w:numPr>
          <w:ilvl w:val="0"/>
          <w:numId w:val="13"/>
        </w:numPr>
        <w:spacing w:before="480" w:after="480" w:line="480" w:lineRule="auto"/>
        <w:ind w:left="1170" w:hanging="1170"/>
        <w:contextualSpacing w:val="0"/>
        <w:rPr>
          <w:lang w:val="fr-CA"/>
        </w:rPr>
      </w:pPr>
      <w:r w:rsidRPr="00357367">
        <w:rPr>
          <w:lang w:val="fr-CA"/>
        </w:rPr>
        <w:t>un pistolet semi</w:t>
      </w:r>
      <w:r w:rsidRPr="00357367">
        <w:rPr>
          <w:lang w:val="fr-CA"/>
        </w:rPr>
        <w:noBreakHyphen/>
        <w:t>automatique Ruger P85 9 mm (arme à feu à autorisation restreinte), chargé;</w:t>
      </w:r>
    </w:p>
    <w:p w:rsidR="00A37A4C" w:rsidRPr="00357367" w:rsidRDefault="00A37A4C" w:rsidP="006534E4">
      <w:pPr>
        <w:pStyle w:val="Citation-AltC"/>
        <w:widowControl w:val="0"/>
        <w:numPr>
          <w:ilvl w:val="0"/>
          <w:numId w:val="13"/>
        </w:numPr>
        <w:spacing w:before="480" w:after="480" w:line="480" w:lineRule="auto"/>
        <w:ind w:left="1170" w:hanging="1170"/>
        <w:contextualSpacing w:val="0"/>
        <w:rPr>
          <w:lang w:val="fr-CA"/>
        </w:rPr>
      </w:pPr>
      <w:r w:rsidRPr="00357367">
        <w:rPr>
          <w:lang w:val="fr-CA"/>
        </w:rPr>
        <w:t>un pistolet semi</w:t>
      </w:r>
      <w:r w:rsidRPr="00357367">
        <w:rPr>
          <w:lang w:val="fr-CA"/>
        </w:rPr>
        <w:noBreakHyphen/>
        <w:t xml:space="preserve">automatique Ruger P90 de calibre 45 (arme à feu à autorisation restreinte), chargé; </w:t>
      </w:r>
    </w:p>
    <w:p w:rsidR="00A37A4C" w:rsidRPr="00357367" w:rsidRDefault="00A37A4C" w:rsidP="006534E4">
      <w:pPr>
        <w:pStyle w:val="Citation-AltC"/>
        <w:widowControl w:val="0"/>
        <w:numPr>
          <w:ilvl w:val="0"/>
          <w:numId w:val="13"/>
        </w:numPr>
        <w:spacing w:before="480" w:after="480" w:line="480" w:lineRule="auto"/>
        <w:ind w:left="1170" w:hanging="1170"/>
        <w:contextualSpacing w:val="0"/>
        <w:rPr>
          <w:lang w:val="fr-CA"/>
        </w:rPr>
      </w:pPr>
      <w:r w:rsidRPr="00357367">
        <w:rPr>
          <w:lang w:val="fr-CA"/>
        </w:rPr>
        <w:t>un pistolet semi</w:t>
      </w:r>
      <w:r w:rsidRPr="00357367">
        <w:rPr>
          <w:lang w:val="fr-CA"/>
        </w:rPr>
        <w:noBreakHyphen/>
        <w:t>automatique 1M1 Desert Eagle Remington Magnum de calibre 44 (arme à feu à autorisation restreinte), chargé.</w:t>
      </w:r>
    </w:p>
    <w:p w:rsidR="00A37A4C" w:rsidRPr="00357367" w:rsidRDefault="00A37A4C" w:rsidP="006534E4">
      <w:pPr>
        <w:pStyle w:val="ParaNoNdepar-AltN"/>
        <w:widowControl w:val="0"/>
        <w:rPr>
          <w:rFonts w:cs="Times New Roman"/>
          <w:lang w:val="fr-CA"/>
        </w:rPr>
      </w:pPr>
      <w:r w:rsidRPr="00357367">
        <w:rPr>
          <w:rFonts w:cs="Times New Roman"/>
          <w:lang w:val="fr-CA"/>
        </w:rPr>
        <w:t>Outre ces objets, 4 655 $ en espèces ont été découverts sur l</w:t>
      </w:r>
      <w:r>
        <w:rPr>
          <w:rFonts w:cs="Times New Roman"/>
          <w:lang w:val="fr-CA"/>
        </w:rPr>
        <w:t>’</w:t>
      </w:r>
      <w:r w:rsidRPr="00357367">
        <w:rPr>
          <w:rFonts w:cs="Times New Roman"/>
          <w:lang w:val="fr-CA"/>
        </w:rPr>
        <w:t>appelant lors de son arrestation. Une somme supplémentaire de 30 000 $ a été trouvée dans une boîte sous un canapé du salon. Un gilet pare</w:t>
      </w:r>
      <w:r w:rsidRPr="00357367">
        <w:rPr>
          <w:rFonts w:cs="Times New Roman"/>
          <w:lang w:val="fr-CA"/>
        </w:rPr>
        <w:noBreakHyphen/>
        <w:t>balles se trouvait sur le même canapé.</w:t>
      </w:r>
    </w:p>
    <w:p w:rsidR="00A37A4C" w:rsidRPr="00357367" w:rsidRDefault="00A37A4C" w:rsidP="006534E4">
      <w:pPr>
        <w:pStyle w:val="Title2LevelTitre2Niveau"/>
        <w:widowControl w:val="0"/>
        <w:rPr>
          <w:rFonts w:cs="Times New Roman"/>
          <w:lang w:val="fr-CA"/>
        </w:rPr>
      </w:pPr>
      <w:r w:rsidRPr="00357367">
        <w:rPr>
          <w:rFonts w:cs="Times New Roman"/>
          <w:lang w:val="fr-CA"/>
        </w:rPr>
        <w:t>Conduite des policiers</w:t>
      </w:r>
    </w:p>
    <w:p w:rsidR="00A37A4C" w:rsidRPr="00357367" w:rsidRDefault="00A37A4C" w:rsidP="006534E4">
      <w:pPr>
        <w:pStyle w:val="ParaNoNdepar-AltN"/>
        <w:widowControl w:val="0"/>
        <w:rPr>
          <w:rFonts w:cs="Times New Roman"/>
          <w:lang w:val="fr-CA"/>
        </w:rPr>
      </w:pPr>
      <w:r w:rsidRPr="00357367">
        <w:rPr>
          <w:rFonts w:cs="Times New Roman"/>
          <w:lang w:val="fr-CA"/>
        </w:rPr>
        <w:t>Dans la décision rendue à l</w:t>
      </w:r>
      <w:r>
        <w:rPr>
          <w:rFonts w:cs="Times New Roman"/>
          <w:lang w:val="fr-CA"/>
        </w:rPr>
        <w:t>’</w:t>
      </w:r>
      <w:r w:rsidRPr="00357367">
        <w:rPr>
          <w:rFonts w:cs="Times New Roman"/>
          <w:lang w:val="fr-CA"/>
        </w:rPr>
        <w:t>issue du voir</w:t>
      </w:r>
      <w:r w:rsidRPr="00357367">
        <w:rPr>
          <w:rFonts w:cs="Times New Roman"/>
          <w:lang w:val="fr-CA"/>
        </w:rPr>
        <w:noBreakHyphen/>
        <w:t>dire sur l</w:t>
      </w:r>
      <w:r>
        <w:rPr>
          <w:rFonts w:cs="Times New Roman"/>
          <w:lang w:val="fr-CA"/>
        </w:rPr>
        <w:t>’</w:t>
      </w:r>
      <w:r w:rsidRPr="00357367">
        <w:rPr>
          <w:rFonts w:cs="Times New Roman"/>
          <w:lang w:val="fr-CA"/>
        </w:rPr>
        <w:t>admissibilité des éléments de preuve saisis chez l</w:t>
      </w:r>
      <w:r>
        <w:rPr>
          <w:rFonts w:cs="Times New Roman"/>
          <w:lang w:val="fr-CA"/>
        </w:rPr>
        <w:t>’</w:t>
      </w:r>
      <w:r w:rsidRPr="00357367">
        <w:rPr>
          <w:rFonts w:cs="Times New Roman"/>
          <w:lang w:val="fr-CA"/>
        </w:rPr>
        <w:t>appelant, le juge du procès conclut que les policiers ont agi de bonne foi lorsqu</w:t>
      </w:r>
      <w:r>
        <w:rPr>
          <w:rFonts w:cs="Times New Roman"/>
          <w:lang w:val="fr-CA"/>
        </w:rPr>
        <w:t>’</w:t>
      </w:r>
      <w:r w:rsidRPr="00357367">
        <w:rPr>
          <w:rFonts w:cs="Times New Roman"/>
          <w:lang w:val="fr-CA"/>
        </w:rPr>
        <w:t>ils sont entrés dans la demeure. Il rejette expressément la thèse de la défense selon laquelle il s</w:t>
      </w:r>
      <w:r>
        <w:rPr>
          <w:rFonts w:cs="Times New Roman"/>
          <w:lang w:val="fr-CA"/>
        </w:rPr>
        <w:t>’</w:t>
      </w:r>
      <w:r w:rsidRPr="00357367">
        <w:rPr>
          <w:rFonts w:cs="Times New Roman"/>
          <w:lang w:val="fr-CA"/>
        </w:rPr>
        <w:t>agissait d</w:t>
      </w:r>
      <w:r>
        <w:rPr>
          <w:rFonts w:cs="Times New Roman"/>
          <w:lang w:val="fr-CA"/>
        </w:rPr>
        <w:t>’</w:t>
      </w:r>
      <w:r w:rsidRPr="00357367">
        <w:rPr>
          <w:rFonts w:cs="Times New Roman"/>
          <w:lang w:val="fr-CA"/>
        </w:rPr>
        <w:t>une ruse. Voici ce qu</w:t>
      </w:r>
      <w:r>
        <w:rPr>
          <w:rFonts w:cs="Times New Roman"/>
          <w:lang w:val="fr-CA"/>
        </w:rPr>
        <w:t>’</w:t>
      </w:r>
      <w:r w:rsidRPr="00357367">
        <w:rPr>
          <w:rFonts w:cs="Times New Roman"/>
          <w:lang w:val="fr-CA"/>
        </w:rPr>
        <w:t xml:space="preserve">il dit : </w:t>
      </w:r>
    </w:p>
    <w:p w:rsidR="00A37A4C" w:rsidRPr="00357367" w:rsidRDefault="00A37A4C" w:rsidP="006534E4">
      <w:pPr>
        <w:pStyle w:val="Citation-AltC"/>
        <w:widowControl w:val="0"/>
        <w:spacing w:after="240"/>
        <w:ind w:left="1168" w:hanging="1168"/>
        <w:contextualSpacing w:val="0"/>
        <w:rPr>
          <w:lang w:val="fr-CA"/>
        </w:rPr>
      </w:pPr>
      <w:r w:rsidRPr="00357367">
        <w:rPr>
          <w:lang w:val="fr-CA"/>
        </w:rPr>
        <w:tab/>
        <w:t>[</w:t>
      </w:r>
      <w:r w:rsidRPr="00357367">
        <w:rPr>
          <w:smallCaps/>
          <w:lang w:val="fr-CA"/>
        </w:rPr>
        <w:t>traduction</w:t>
      </w:r>
      <w:r w:rsidRPr="00357367">
        <w:rPr>
          <w:lang w:val="fr-CA"/>
        </w:rPr>
        <w:t>] Nul élément de la preuve offerte en l</w:t>
      </w:r>
      <w:r>
        <w:rPr>
          <w:lang w:val="fr-CA"/>
        </w:rPr>
        <w:t>’</w:t>
      </w:r>
      <w:r w:rsidRPr="00357367">
        <w:rPr>
          <w:lang w:val="fr-CA"/>
        </w:rPr>
        <w:t>espèce ne permet de conclure à la mauvaise foi ou à quelque dessein ultérieur comme lorsque l</w:t>
      </w:r>
      <w:r>
        <w:rPr>
          <w:lang w:val="fr-CA"/>
        </w:rPr>
        <w:t>’</w:t>
      </w:r>
      <w:r w:rsidRPr="00357367">
        <w:rPr>
          <w:lang w:val="fr-CA"/>
        </w:rPr>
        <w:t>intention déclarée des policiers n</w:t>
      </w:r>
      <w:r>
        <w:rPr>
          <w:lang w:val="fr-CA"/>
        </w:rPr>
        <w:t>’</w:t>
      </w:r>
      <w:r w:rsidRPr="00357367">
        <w:rPr>
          <w:lang w:val="fr-CA"/>
        </w:rPr>
        <w:t>est qu</w:t>
      </w:r>
      <w:r>
        <w:rPr>
          <w:lang w:val="fr-CA"/>
        </w:rPr>
        <w:t>’</w:t>
      </w:r>
      <w:r w:rsidRPr="00357367">
        <w:rPr>
          <w:lang w:val="fr-CA"/>
        </w:rPr>
        <w:t>un prétexte ou une ruse pour s</w:t>
      </w:r>
      <w:r>
        <w:rPr>
          <w:lang w:val="fr-CA"/>
        </w:rPr>
        <w:t>’</w:t>
      </w:r>
      <w:r w:rsidRPr="00357367">
        <w:rPr>
          <w:lang w:val="fr-CA"/>
        </w:rPr>
        <w:t>introduire dans les lieux et y jeter un coup d</w:t>
      </w:r>
      <w:r>
        <w:rPr>
          <w:lang w:val="fr-CA"/>
        </w:rPr>
        <w:t>’</w:t>
      </w:r>
      <w:r w:rsidRPr="00357367">
        <w:rPr>
          <w:lang w:val="fr-CA"/>
        </w:rPr>
        <w:t>œil. La preuve ne permet aucunement de tirer une conclusion en ce sens.</w:t>
      </w:r>
    </w:p>
    <w:p w:rsidR="00A37A4C" w:rsidRPr="00357367" w:rsidRDefault="00A37A4C" w:rsidP="006534E4">
      <w:pPr>
        <w:pStyle w:val="Citation-AltC"/>
        <w:widowControl w:val="0"/>
        <w:ind w:left="0"/>
        <w:contextualSpacing w:val="0"/>
        <w:rPr>
          <w:lang w:val="fr-CA"/>
        </w:rPr>
      </w:pPr>
      <w:r w:rsidRPr="00357367">
        <w:rPr>
          <w:lang w:val="fr-CA"/>
        </w:rPr>
        <w:t>(2011 BCSC 1728, par. 79 (CanLII))</w:t>
      </w:r>
    </w:p>
    <w:p w:rsidR="00A37A4C" w:rsidRPr="00357367" w:rsidRDefault="00A37A4C" w:rsidP="006534E4">
      <w:pPr>
        <w:pStyle w:val="ContinueParaSuitedupar-AltP"/>
        <w:widowControl w:val="0"/>
        <w:rPr>
          <w:rFonts w:cs="Times New Roman"/>
          <w:lang w:val="fr-CA"/>
        </w:rPr>
      </w:pPr>
      <w:r w:rsidRPr="00357367">
        <w:rPr>
          <w:rFonts w:cs="Times New Roman"/>
          <w:lang w:val="fr-CA"/>
        </w:rPr>
        <w:t>Le juge du procès estime plutôt que les policiers ont entrepris une saisie « sans poursuite », c</w:t>
      </w:r>
      <w:r>
        <w:rPr>
          <w:rFonts w:cs="Times New Roman"/>
          <w:lang w:val="fr-CA"/>
        </w:rPr>
        <w:t>’</w:t>
      </w:r>
      <w:r w:rsidRPr="00357367">
        <w:rPr>
          <w:rFonts w:cs="Times New Roman"/>
          <w:lang w:val="fr-CA"/>
        </w:rPr>
        <w:t>est</w:t>
      </w:r>
      <w:r w:rsidRPr="00357367">
        <w:rPr>
          <w:rFonts w:cs="Times New Roman"/>
          <w:lang w:val="fr-CA"/>
        </w:rPr>
        <w:noBreakHyphen/>
        <w:t>à</w:t>
      </w:r>
      <w:r w:rsidRPr="00357367">
        <w:rPr>
          <w:rFonts w:cs="Times New Roman"/>
          <w:lang w:val="fr-CA"/>
        </w:rPr>
        <w:noBreakHyphen/>
        <w:t>dire qu</w:t>
      </w:r>
      <w:r>
        <w:rPr>
          <w:rFonts w:cs="Times New Roman"/>
          <w:lang w:val="fr-CA"/>
        </w:rPr>
        <w:t>’</w:t>
      </w:r>
      <w:r w:rsidRPr="00357367">
        <w:rPr>
          <w:rFonts w:cs="Times New Roman"/>
          <w:lang w:val="fr-CA"/>
        </w:rPr>
        <w:t>ils comptaient seulement recueillir les mégots de marihuana et quitter les lieux sans arrêter l</w:t>
      </w:r>
      <w:r>
        <w:rPr>
          <w:rFonts w:cs="Times New Roman"/>
          <w:lang w:val="fr-CA"/>
        </w:rPr>
        <w:t>’</w:t>
      </w:r>
      <w:r w:rsidRPr="00357367">
        <w:rPr>
          <w:rFonts w:cs="Times New Roman"/>
          <w:lang w:val="fr-CA"/>
        </w:rPr>
        <w:t>appelant ou faire porter d</w:t>
      </w:r>
      <w:r>
        <w:rPr>
          <w:rFonts w:cs="Times New Roman"/>
          <w:lang w:val="fr-CA"/>
        </w:rPr>
        <w:t>’</w:t>
      </w:r>
      <w:r w:rsidRPr="00357367">
        <w:rPr>
          <w:rFonts w:cs="Times New Roman"/>
          <w:lang w:val="fr-CA"/>
        </w:rPr>
        <w:t>accusations contre lui.</w:t>
      </w:r>
    </w:p>
    <w:p w:rsidR="00A37A4C" w:rsidRPr="00357367" w:rsidRDefault="00A37A4C" w:rsidP="006534E4">
      <w:pPr>
        <w:pStyle w:val="ParaNoNdepar-AltN"/>
        <w:widowControl w:val="0"/>
        <w:rPr>
          <w:rFonts w:cs="Times New Roman"/>
          <w:lang w:val="fr-CA"/>
        </w:rPr>
      </w:pPr>
      <w:r w:rsidRPr="00357367">
        <w:rPr>
          <w:rFonts w:cs="Times New Roman"/>
          <w:lang w:val="fr-CA"/>
        </w:rPr>
        <w:t>Pour conclure que les policiers ont toujours agi de bonne foi, le juge du procès fait observer que, dans leurs échanges avec l</w:t>
      </w:r>
      <w:r>
        <w:rPr>
          <w:rFonts w:cs="Times New Roman"/>
          <w:lang w:val="fr-CA"/>
        </w:rPr>
        <w:t>’</w:t>
      </w:r>
      <w:r w:rsidRPr="00357367">
        <w:rPr>
          <w:rFonts w:cs="Times New Roman"/>
          <w:lang w:val="fr-CA"/>
        </w:rPr>
        <w:t>appelant, ils se sont comportés d</w:t>
      </w:r>
      <w:r>
        <w:rPr>
          <w:rFonts w:cs="Times New Roman"/>
          <w:lang w:val="fr-CA"/>
        </w:rPr>
        <w:t>’</w:t>
      </w:r>
      <w:r w:rsidRPr="00357367">
        <w:rPr>
          <w:rFonts w:cs="Times New Roman"/>
          <w:lang w:val="fr-CA"/>
        </w:rPr>
        <w:t>une manière qui [</w:t>
      </w:r>
      <w:r w:rsidRPr="00357367">
        <w:rPr>
          <w:rFonts w:cs="Times New Roman"/>
          <w:smallCaps/>
          <w:lang w:val="fr-CA"/>
        </w:rPr>
        <w:t>traduction</w:t>
      </w:r>
      <w:r w:rsidRPr="00357367">
        <w:rPr>
          <w:rFonts w:cs="Times New Roman"/>
          <w:lang w:val="fr-CA"/>
        </w:rPr>
        <w:t>] « témoignait d</w:t>
      </w:r>
      <w:r>
        <w:rPr>
          <w:rFonts w:cs="Times New Roman"/>
          <w:lang w:val="fr-CA"/>
        </w:rPr>
        <w:t>’</w:t>
      </w:r>
      <w:r w:rsidRPr="00357367">
        <w:rPr>
          <w:rFonts w:cs="Times New Roman"/>
          <w:lang w:val="fr-CA"/>
        </w:rPr>
        <w:t>un certain respect pour son droit à la protection de sa vie privée », que, au départ, l</w:t>
      </w:r>
      <w:r>
        <w:rPr>
          <w:rFonts w:cs="Times New Roman"/>
          <w:lang w:val="fr-CA"/>
        </w:rPr>
        <w:t>’</w:t>
      </w:r>
      <w:r w:rsidRPr="00357367">
        <w:rPr>
          <w:rFonts w:cs="Times New Roman"/>
          <w:lang w:val="fr-CA"/>
        </w:rPr>
        <w:t>entrée a été « très brève et relativement peu attentatoire » et que, après avoir aperçu l</w:t>
      </w:r>
      <w:r>
        <w:rPr>
          <w:rFonts w:cs="Times New Roman"/>
          <w:lang w:val="fr-CA"/>
        </w:rPr>
        <w:t>’</w:t>
      </w:r>
      <w:r w:rsidRPr="00357367">
        <w:rPr>
          <w:rFonts w:cs="Times New Roman"/>
          <w:lang w:val="fr-CA"/>
        </w:rPr>
        <w:t>arme de poing et les comprimés d</w:t>
      </w:r>
      <w:r>
        <w:rPr>
          <w:rFonts w:cs="Times New Roman"/>
          <w:lang w:val="fr-CA"/>
        </w:rPr>
        <w:t>’</w:t>
      </w:r>
      <w:r w:rsidRPr="00357367">
        <w:rPr>
          <w:rFonts w:cs="Times New Roman"/>
          <w:lang w:val="fr-CA"/>
        </w:rPr>
        <w:t>ecstasy bien en vue, « ils ont mis fin à la perquisition (sauf pour s</w:t>
      </w:r>
      <w:r>
        <w:rPr>
          <w:rFonts w:cs="Times New Roman"/>
          <w:lang w:val="fr-CA"/>
        </w:rPr>
        <w:t>’</w:t>
      </w:r>
      <w:r w:rsidRPr="00357367">
        <w:rPr>
          <w:rFonts w:cs="Times New Roman"/>
          <w:lang w:val="fr-CA"/>
        </w:rPr>
        <w:t>assurer de l</w:t>
      </w:r>
      <w:r>
        <w:rPr>
          <w:rFonts w:cs="Times New Roman"/>
          <w:lang w:val="fr-CA"/>
        </w:rPr>
        <w:t>’</w:t>
      </w:r>
      <w:r w:rsidRPr="00357367">
        <w:rPr>
          <w:rFonts w:cs="Times New Roman"/>
          <w:lang w:val="fr-CA"/>
        </w:rPr>
        <w:t>absence d</w:t>
      </w:r>
      <w:r>
        <w:rPr>
          <w:rFonts w:cs="Times New Roman"/>
          <w:lang w:val="fr-CA"/>
        </w:rPr>
        <w:t>’</w:t>
      </w:r>
      <w:r w:rsidRPr="00357367">
        <w:rPr>
          <w:rFonts w:cs="Times New Roman"/>
          <w:lang w:val="fr-CA"/>
        </w:rPr>
        <w:t xml:space="preserve">autres personnes </w:t>
      </w:r>
      <w:r w:rsidR="009C316C">
        <w:rPr>
          <w:rFonts w:cs="Times New Roman"/>
          <w:lang w:val="fr-CA"/>
        </w:rPr>
        <w:t>sur</w:t>
      </w:r>
      <w:r w:rsidRPr="00357367">
        <w:rPr>
          <w:rFonts w:cs="Times New Roman"/>
          <w:lang w:val="fr-CA"/>
        </w:rPr>
        <w:t xml:space="preserve"> les lieux et pour les besoins de leur propre sécurité) afin d</w:t>
      </w:r>
      <w:r>
        <w:rPr>
          <w:rFonts w:cs="Times New Roman"/>
          <w:lang w:val="fr-CA"/>
        </w:rPr>
        <w:t>’</w:t>
      </w:r>
      <w:r w:rsidRPr="00357367">
        <w:rPr>
          <w:rFonts w:cs="Times New Roman"/>
          <w:lang w:val="fr-CA"/>
        </w:rPr>
        <w:t>aller demander un mandat » (par. 121). Enfin, le juge du procès ajoute foi aux témoignages des policiers suivant lesquels des préoccupations valables liées à la sécurité les empêchaient d</w:t>
      </w:r>
      <w:r>
        <w:rPr>
          <w:rFonts w:cs="Times New Roman"/>
          <w:lang w:val="fr-CA"/>
        </w:rPr>
        <w:t>’</w:t>
      </w:r>
      <w:r w:rsidRPr="00357367">
        <w:rPr>
          <w:rFonts w:cs="Times New Roman"/>
          <w:lang w:val="fr-CA"/>
        </w:rPr>
        <w:t>attendre dans le couloir, à l</w:t>
      </w:r>
      <w:r>
        <w:rPr>
          <w:rFonts w:cs="Times New Roman"/>
          <w:lang w:val="fr-CA"/>
        </w:rPr>
        <w:t>’</w:t>
      </w:r>
      <w:r w:rsidRPr="00357367">
        <w:rPr>
          <w:rFonts w:cs="Times New Roman"/>
          <w:lang w:val="fr-CA"/>
        </w:rPr>
        <w:t>extérieur, devant la porte, le temps que l</w:t>
      </w:r>
      <w:r>
        <w:rPr>
          <w:rFonts w:cs="Times New Roman"/>
          <w:lang w:val="fr-CA"/>
        </w:rPr>
        <w:t>’</w:t>
      </w:r>
      <w:r w:rsidRPr="00357367">
        <w:rPr>
          <w:rFonts w:cs="Times New Roman"/>
          <w:lang w:val="fr-CA"/>
        </w:rPr>
        <w:t>appelant récupère lui</w:t>
      </w:r>
      <w:r w:rsidRPr="00357367">
        <w:rPr>
          <w:rFonts w:cs="Times New Roman"/>
          <w:lang w:val="fr-CA"/>
        </w:rPr>
        <w:noBreakHyphen/>
        <w:t xml:space="preserve">même les mégots de marihuana. </w:t>
      </w:r>
    </w:p>
    <w:p w:rsidR="00A37A4C" w:rsidRPr="00357367" w:rsidRDefault="00A37A4C" w:rsidP="006534E4">
      <w:pPr>
        <w:pStyle w:val="Title1LevelTitre1Niveau-AltL"/>
        <w:widowControl w:val="0"/>
        <w:tabs>
          <w:tab w:val="clear" w:pos="576"/>
          <w:tab w:val="num" w:pos="432"/>
        </w:tabs>
        <w:ind w:left="432" w:hanging="432"/>
        <w:jc w:val="left"/>
        <w:rPr>
          <w:rFonts w:cs="Times New Roman"/>
          <w:szCs w:val="24"/>
          <w:lang w:val="fr-CA"/>
        </w:rPr>
      </w:pPr>
      <w:r w:rsidRPr="00357367">
        <w:rPr>
          <w:rFonts w:cs="Times New Roman"/>
          <w:szCs w:val="24"/>
          <w:lang w:val="fr-CA"/>
        </w:rPr>
        <w:t>Analyse</w:t>
      </w:r>
    </w:p>
    <w:p w:rsidR="00A37A4C" w:rsidRDefault="00A37A4C" w:rsidP="006534E4">
      <w:pPr>
        <w:pStyle w:val="ParaNoNdepar-AltN"/>
        <w:widowControl w:val="0"/>
        <w:rPr>
          <w:rFonts w:cs="Times New Roman"/>
          <w:lang w:val="fr-CA"/>
        </w:rPr>
      </w:pPr>
      <w:r w:rsidRPr="00357367">
        <w:rPr>
          <w:rFonts w:cs="Times New Roman"/>
          <w:lang w:val="fr-CA"/>
        </w:rPr>
        <w:t>En l</w:t>
      </w:r>
      <w:r>
        <w:rPr>
          <w:rFonts w:cs="Times New Roman"/>
          <w:lang w:val="fr-CA"/>
        </w:rPr>
        <w:t>’</w:t>
      </w:r>
      <w:r w:rsidRPr="00357367">
        <w:rPr>
          <w:rFonts w:cs="Times New Roman"/>
          <w:lang w:val="fr-CA"/>
        </w:rPr>
        <w:t>espèce, l</w:t>
      </w:r>
      <w:r>
        <w:rPr>
          <w:rFonts w:cs="Times New Roman"/>
          <w:lang w:val="fr-CA"/>
        </w:rPr>
        <w:t>’</w:t>
      </w:r>
      <w:r w:rsidRPr="00357367">
        <w:rPr>
          <w:rFonts w:cs="Times New Roman"/>
          <w:lang w:val="fr-CA"/>
        </w:rPr>
        <w:t>entrée sans mandat des policiers chez l</w:t>
      </w:r>
      <w:r>
        <w:rPr>
          <w:rFonts w:cs="Times New Roman"/>
          <w:lang w:val="fr-CA"/>
        </w:rPr>
        <w:t>’</w:t>
      </w:r>
      <w:r w:rsidRPr="00357367">
        <w:rPr>
          <w:rFonts w:cs="Times New Roman"/>
          <w:lang w:val="fr-CA"/>
        </w:rPr>
        <w:t xml:space="preserve">appelant est régie par le par. 11(7) de la </w:t>
      </w:r>
      <w:r w:rsidRPr="00357367">
        <w:rPr>
          <w:rFonts w:cs="Times New Roman"/>
          <w:i/>
          <w:lang w:val="fr-CA"/>
        </w:rPr>
        <w:t>Loi réglementant certaines drogues et autres substances</w:t>
      </w:r>
      <w:r w:rsidRPr="00357367">
        <w:rPr>
          <w:rFonts w:cs="Times New Roman"/>
          <w:lang w:val="fr-CA"/>
        </w:rPr>
        <w:t>, L.C. 1996, c. 19 (« </w:t>
      </w:r>
      <w:r w:rsidRPr="00357367">
        <w:rPr>
          <w:rFonts w:cs="Times New Roman"/>
          <w:i/>
          <w:lang w:val="fr-CA"/>
        </w:rPr>
        <w:t>LRCDAS </w:t>
      </w:r>
      <w:r w:rsidRPr="00357367">
        <w:rPr>
          <w:rFonts w:cs="Times New Roman"/>
          <w:lang w:val="fr-CA"/>
        </w:rPr>
        <w:t>»), dont voici le libellé dans ses versions française et anglaise :</w:t>
      </w:r>
    </w:p>
    <w:p w:rsidR="00714C74" w:rsidRDefault="00714C74" w:rsidP="006534E4">
      <w:pPr>
        <w:pStyle w:val="ParaNoNdepar-AltN"/>
        <w:widowControl w:val="0"/>
        <w:numPr>
          <w:ilvl w:val="0"/>
          <w:numId w:val="0"/>
        </w:numPr>
        <w:spacing w:before="0" w:after="0" w:line="240" w:lineRule="auto"/>
        <w:ind w:left="1170"/>
        <w:rPr>
          <w:lang w:val="fr-FR"/>
        </w:rPr>
      </w:pPr>
      <w:r>
        <w:rPr>
          <w:rStyle w:val="lawlabel2"/>
          <w:lang w:val="fr-FR"/>
        </w:rPr>
        <w:t>(</w:t>
      </w:r>
      <w:r w:rsidRPr="00357367">
        <w:rPr>
          <w:rStyle w:val="lawlabel2"/>
          <w:lang w:val="fr-FR"/>
        </w:rPr>
        <w:t>7)</w:t>
      </w:r>
      <w:r w:rsidRPr="00357367">
        <w:rPr>
          <w:lang w:val="fr-FR"/>
        </w:rPr>
        <w:t> L</w:t>
      </w:r>
      <w:r>
        <w:rPr>
          <w:lang w:val="fr-FR"/>
        </w:rPr>
        <w:t>’</w:t>
      </w:r>
      <w:r w:rsidRPr="00357367">
        <w:rPr>
          <w:lang w:val="fr-FR"/>
        </w:rPr>
        <w:t xml:space="preserve">agent de la paix peut exercer sans mandat les pouvoirs visés aux paragraphes (1), (5) ou (6) </w:t>
      </w:r>
      <w:r w:rsidRPr="00357367">
        <w:rPr>
          <w:u w:val="single"/>
          <w:lang w:val="fr-FR"/>
        </w:rPr>
        <w:t>lorsque l</w:t>
      </w:r>
      <w:r>
        <w:rPr>
          <w:u w:val="single"/>
          <w:lang w:val="fr-FR"/>
        </w:rPr>
        <w:t>’</w:t>
      </w:r>
      <w:r w:rsidRPr="00357367">
        <w:rPr>
          <w:u w:val="single"/>
          <w:lang w:val="fr-FR"/>
        </w:rPr>
        <w:t>urgence de la situation rend son obtention difficilement réalisabl</w:t>
      </w:r>
      <w:r w:rsidRPr="00221E43">
        <w:rPr>
          <w:u w:val="single"/>
          <w:lang w:val="fr-FR"/>
        </w:rPr>
        <w:t>e</w:t>
      </w:r>
      <w:r w:rsidRPr="00357367">
        <w:rPr>
          <w:lang w:val="fr-FR"/>
        </w:rPr>
        <w:t>, sous réserve que les conditions de délivrance en soient réunies.</w:t>
      </w:r>
    </w:p>
    <w:p w:rsidR="00714C74" w:rsidRPr="002A6661" w:rsidRDefault="00714C74" w:rsidP="006534E4">
      <w:pPr>
        <w:pStyle w:val="ParaNoNdepar-AltN"/>
        <w:widowControl w:val="0"/>
        <w:numPr>
          <w:ilvl w:val="0"/>
          <w:numId w:val="0"/>
        </w:numPr>
        <w:spacing w:before="0" w:after="0" w:line="240" w:lineRule="auto"/>
        <w:ind w:left="1170" w:hanging="90"/>
        <w:rPr>
          <w:b/>
          <w:bCs/>
          <w:lang w:val="fr-CA"/>
        </w:rPr>
      </w:pPr>
    </w:p>
    <w:p w:rsidR="00714C74" w:rsidRDefault="00714C74" w:rsidP="00267390">
      <w:pPr>
        <w:pStyle w:val="ParaNoNdepar-AltN"/>
        <w:widowControl w:val="0"/>
        <w:numPr>
          <w:ilvl w:val="0"/>
          <w:numId w:val="0"/>
        </w:numPr>
        <w:spacing w:before="0" w:after="720" w:line="240" w:lineRule="auto"/>
        <w:ind w:left="1166"/>
      </w:pPr>
      <w:r w:rsidRPr="00357367">
        <w:rPr>
          <w:b/>
          <w:bCs/>
        </w:rPr>
        <w:t>(7)</w:t>
      </w:r>
      <w:r>
        <w:t> </w:t>
      </w:r>
      <w:r w:rsidRPr="00357367">
        <w:t xml:space="preserve">A peace officer may exercise any of the powers described in subsection (1), (5) or (6) without a warrant if the conditions for obtaining a warrant exist but </w:t>
      </w:r>
      <w:r w:rsidRPr="00357367">
        <w:rPr>
          <w:u w:val="single"/>
        </w:rPr>
        <w:t>by reason of exigent circumstances it would be impracticable to obtain one</w:t>
      </w:r>
      <w:r w:rsidRPr="00357367">
        <w:t>.</w:t>
      </w:r>
    </w:p>
    <w:p w:rsidR="00A37A4C" w:rsidRPr="00357367" w:rsidRDefault="00A37A4C" w:rsidP="006534E4">
      <w:pPr>
        <w:pStyle w:val="ParaNoNdepar-AltN"/>
        <w:widowControl w:val="0"/>
        <w:rPr>
          <w:rFonts w:cs="Times New Roman"/>
          <w:lang w:val="fr-CA"/>
        </w:rPr>
      </w:pPr>
      <w:r w:rsidRPr="00357367">
        <w:rPr>
          <w:rFonts w:cs="Times New Roman"/>
          <w:lang w:val="fr-CA"/>
        </w:rPr>
        <w:t>Nul ne conteste que les policiers avaient le pouvoir légal de saisir les mégots et que les conditions de délivrance d</w:t>
      </w:r>
      <w:r>
        <w:rPr>
          <w:rFonts w:cs="Times New Roman"/>
          <w:lang w:val="fr-CA"/>
        </w:rPr>
        <w:t>’</w:t>
      </w:r>
      <w:r w:rsidRPr="00357367">
        <w:rPr>
          <w:rFonts w:cs="Times New Roman"/>
          <w:lang w:val="fr-CA"/>
        </w:rPr>
        <w:t>un mandat étaient réunies. La légalité de l</w:t>
      </w:r>
      <w:r>
        <w:rPr>
          <w:rFonts w:cs="Times New Roman"/>
          <w:lang w:val="fr-CA"/>
        </w:rPr>
        <w:t>’</w:t>
      </w:r>
      <w:r w:rsidRPr="00357367">
        <w:rPr>
          <w:rFonts w:cs="Times New Roman"/>
          <w:lang w:val="fr-CA"/>
        </w:rPr>
        <w:t>entrée sans mandat et l</w:t>
      </w:r>
      <w:r>
        <w:rPr>
          <w:rFonts w:cs="Times New Roman"/>
          <w:lang w:val="fr-CA"/>
        </w:rPr>
        <w:t>’</w:t>
      </w:r>
      <w:r w:rsidRPr="00357367">
        <w:rPr>
          <w:rFonts w:cs="Times New Roman"/>
          <w:lang w:val="fr-CA"/>
        </w:rPr>
        <w:t xml:space="preserve">admissibilité de la preuve saisie au regard du par. 24(2) de la </w:t>
      </w:r>
      <w:r w:rsidRPr="00357367">
        <w:rPr>
          <w:rFonts w:cs="Times New Roman"/>
          <w:i/>
          <w:lang w:val="fr-CA"/>
        </w:rPr>
        <w:t>Charte</w:t>
      </w:r>
      <w:r w:rsidRPr="00357367">
        <w:rPr>
          <w:rFonts w:cs="Times New Roman"/>
          <w:lang w:val="fr-CA"/>
        </w:rPr>
        <w:t xml:space="preserve"> forment l</w:t>
      </w:r>
      <w:r>
        <w:rPr>
          <w:rFonts w:cs="Times New Roman"/>
          <w:lang w:val="fr-CA"/>
        </w:rPr>
        <w:t>’</w:t>
      </w:r>
      <w:r w:rsidRPr="00357367">
        <w:rPr>
          <w:rFonts w:cs="Times New Roman"/>
          <w:lang w:val="fr-CA"/>
        </w:rPr>
        <w:t>axe central du pourvoi.</w:t>
      </w:r>
    </w:p>
    <w:p w:rsidR="00A37A4C" w:rsidRPr="00357367" w:rsidRDefault="00A37A4C" w:rsidP="006534E4">
      <w:pPr>
        <w:pStyle w:val="ParaNoNdepar-AltN"/>
        <w:widowControl w:val="0"/>
        <w:rPr>
          <w:rFonts w:cs="Times New Roman"/>
          <w:lang w:val="fr-CA"/>
        </w:rPr>
      </w:pPr>
      <w:r w:rsidRPr="00357367">
        <w:rPr>
          <w:rFonts w:cs="Times New Roman"/>
          <w:lang w:val="fr-CA"/>
        </w:rPr>
        <w:t>La légalité de l</w:t>
      </w:r>
      <w:r>
        <w:rPr>
          <w:rFonts w:cs="Times New Roman"/>
          <w:lang w:val="fr-CA"/>
        </w:rPr>
        <w:t>’</w:t>
      </w:r>
      <w:r w:rsidRPr="00357367">
        <w:rPr>
          <w:rFonts w:cs="Times New Roman"/>
          <w:lang w:val="fr-CA"/>
        </w:rPr>
        <w:t>entrée des policiers tient au respect des critères qui correspondent à l</w:t>
      </w:r>
      <w:r>
        <w:rPr>
          <w:rFonts w:cs="Times New Roman"/>
          <w:lang w:val="fr-CA"/>
        </w:rPr>
        <w:t>’</w:t>
      </w:r>
      <w:r w:rsidRPr="00357367">
        <w:rPr>
          <w:rFonts w:cs="Times New Roman"/>
          <w:lang w:val="fr-CA"/>
        </w:rPr>
        <w:t>« urgence de la situation » et au caractère « difficilement réalisable ». Contrairement à ce que concluent le juge du procès et les trois juges de la Cour d</w:t>
      </w:r>
      <w:r>
        <w:rPr>
          <w:rFonts w:cs="Times New Roman"/>
          <w:lang w:val="fr-CA"/>
        </w:rPr>
        <w:t>’</w:t>
      </w:r>
      <w:r w:rsidRPr="00357367">
        <w:rPr>
          <w:rFonts w:cs="Times New Roman"/>
          <w:lang w:val="fr-CA"/>
        </w:rPr>
        <w:t>appel de la Colombie</w:t>
      </w:r>
      <w:r w:rsidRPr="00357367">
        <w:rPr>
          <w:rFonts w:cs="Times New Roman"/>
          <w:lang w:val="fr-CA"/>
        </w:rPr>
        <w:noBreakHyphen/>
        <w:t>Britannique (2015 BCCA 205, 372 B.C.A.C. 148), le juge Brown estime — et j</w:t>
      </w:r>
      <w:r>
        <w:rPr>
          <w:rFonts w:cs="Times New Roman"/>
          <w:lang w:val="fr-CA"/>
        </w:rPr>
        <w:t>’</w:t>
      </w:r>
      <w:r w:rsidRPr="00357367">
        <w:rPr>
          <w:rFonts w:cs="Times New Roman"/>
          <w:lang w:val="fr-CA"/>
        </w:rPr>
        <w:t>en conviens avec lui — que ces critères n</w:t>
      </w:r>
      <w:r>
        <w:rPr>
          <w:rFonts w:cs="Times New Roman"/>
          <w:lang w:val="fr-CA"/>
        </w:rPr>
        <w:t>’</w:t>
      </w:r>
      <w:r w:rsidRPr="00357367">
        <w:rPr>
          <w:rFonts w:cs="Times New Roman"/>
          <w:lang w:val="fr-CA"/>
        </w:rPr>
        <w:t>ont pas été respectés et que l</w:t>
      </w:r>
      <w:r>
        <w:rPr>
          <w:rFonts w:cs="Times New Roman"/>
          <w:lang w:val="fr-CA"/>
        </w:rPr>
        <w:t>’</w:t>
      </w:r>
      <w:r w:rsidRPr="00357367">
        <w:rPr>
          <w:rFonts w:cs="Times New Roman"/>
          <w:lang w:val="fr-CA"/>
        </w:rPr>
        <w:t>entrée des policiers a porté atteinte au droit de l</w:t>
      </w:r>
      <w:r>
        <w:rPr>
          <w:rFonts w:cs="Times New Roman"/>
          <w:lang w:val="fr-CA"/>
        </w:rPr>
        <w:t>’</w:t>
      </w:r>
      <w:r w:rsidRPr="00357367">
        <w:rPr>
          <w:rFonts w:cs="Times New Roman"/>
          <w:lang w:val="fr-CA"/>
        </w:rPr>
        <w:t>appelant à la protection de sa vie privée garanti par l</w:t>
      </w:r>
      <w:r>
        <w:rPr>
          <w:rFonts w:cs="Times New Roman"/>
          <w:lang w:val="fr-CA"/>
        </w:rPr>
        <w:t>’</w:t>
      </w:r>
      <w:r w:rsidRPr="00357367">
        <w:rPr>
          <w:rFonts w:cs="Times New Roman"/>
          <w:lang w:val="fr-CA"/>
        </w:rPr>
        <w:t>art. 8. Toutefois, pour arriver à sa conclusion, mon collègue affirme non seulement que l</w:t>
      </w:r>
      <w:r>
        <w:rPr>
          <w:rFonts w:cs="Times New Roman"/>
          <w:lang w:val="fr-CA"/>
        </w:rPr>
        <w:t>’</w:t>
      </w:r>
      <w:r w:rsidRPr="00357367">
        <w:rPr>
          <w:rFonts w:cs="Times New Roman"/>
          <w:lang w:val="fr-CA"/>
        </w:rPr>
        <w:t>entrée était illégale, mais aussi que les policiers savaient ou auraient dû savoir qu</w:t>
      </w:r>
      <w:r>
        <w:rPr>
          <w:rFonts w:cs="Times New Roman"/>
          <w:lang w:val="fr-CA"/>
        </w:rPr>
        <w:t>’</w:t>
      </w:r>
      <w:r w:rsidRPr="00357367">
        <w:rPr>
          <w:rFonts w:cs="Times New Roman"/>
          <w:lang w:val="fr-CA"/>
        </w:rPr>
        <w:t>elle l</w:t>
      </w:r>
      <w:r>
        <w:rPr>
          <w:rFonts w:cs="Times New Roman"/>
          <w:lang w:val="fr-CA"/>
        </w:rPr>
        <w:t>’</w:t>
      </w:r>
      <w:r w:rsidRPr="00357367">
        <w:rPr>
          <w:rFonts w:cs="Times New Roman"/>
          <w:lang w:val="fr-CA"/>
        </w:rPr>
        <w:t>était, autrement dit qu</w:t>
      </w:r>
      <w:r>
        <w:rPr>
          <w:rFonts w:cs="Times New Roman"/>
          <w:lang w:val="fr-CA"/>
        </w:rPr>
        <w:t>’</w:t>
      </w:r>
      <w:r w:rsidRPr="00357367">
        <w:rPr>
          <w:rFonts w:cs="Times New Roman"/>
          <w:lang w:val="fr-CA"/>
        </w:rPr>
        <w:t>ils auraient dû savoir ce qu</w:t>
      </w:r>
      <w:r>
        <w:rPr>
          <w:rFonts w:cs="Times New Roman"/>
          <w:lang w:val="fr-CA"/>
        </w:rPr>
        <w:t>’</w:t>
      </w:r>
      <w:r w:rsidRPr="00357367">
        <w:rPr>
          <w:rFonts w:cs="Times New Roman"/>
          <w:lang w:val="fr-CA"/>
        </w:rPr>
        <w:t>ignoraient le juge du procès et les trois juges de la Cour d</w:t>
      </w:r>
      <w:r>
        <w:rPr>
          <w:rFonts w:cs="Times New Roman"/>
          <w:lang w:val="fr-CA"/>
        </w:rPr>
        <w:t>’</w:t>
      </w:r>
      <w:r w:rsidRPr="00357367">
        <w:rPr>
          <w:rFonts w:cs="Times New Roman"/>
          <w:lang w:val="fr-CA"/>
        </w:rPr>
        <w:t xml:space="preserve">appel. </w:t>
      </w:r>
    </w:p>
    <w:p w:rsidR="00A37A4C" w:rsidRPr="00357367" w:rsidRDefault="00A37A4C" w:rsidP="006534E4">
      <w:pPr>
        <w:pStyle w:val="ParaNoNdepar-AltN"/>
        <w:widowControl w:val="0"/>
        <w:rPr>
          <w:rFonts w:cs="Times New Roman"/>
          <w:lang w:val="fr-CA"/>
        </w:rPr>
      </w:pPr>
      <w:r w:rsidRPr="00357367">
        <w:rPr>
          <w:rFonts w:cs="Times New Roman"/>
          <w:lang w:val="fr-CA"/>
        </w:rPr>
        <w:t xml:space="preserve">Mon collègue se penche ensuite sur le par. 24(2) de la </w:t>
      </w:r>
      <w:r w:rsidRPr="00357367">
        <w:rPr>
          <w:rFonts w:cs="Times New Roman"/>
          <w:i/>
          <w:lang w:val="fr-CA"/>
        </w:rPr>
        <w:t>Charte</w:t>
      </w:r>
      <w:r w:rsidRPr="00357367">
        <w:rPr>
          <w:rFonts w:cs="Times New Roman"/>
          <w:lang w:val="fr-CA"/>
        </w:rPr>
        <w:t xml:space="preserve"> et conclut que les actes des policiers ayant porté atteinte au droit garanti à l</w:t>
      </w:r>
      <w:r>
        <w:rPr>
          <w:rFonts w:cs="Times New Roman"/>
          <w:lang w:val="fr-CA"/>
        </w:rPr>
        <w:t>’</w:t>
      </w:r>
      <w:r w:rsidRPr="00357367">
        <w:rPr>
          <w:rFonts w:cs="Times New Roman"/>
          <w:lang w:val="fr-CA"/>
        </w:rPr>
        <w:t>appelant par l</w:t>
      </w:r>
      <w:r>
        <w:rPr>
          <w:rFonts w:cs="Times New Roman"/>
          <w:lang w:val="fr-CA"/>
        </w:rPr>
        <w:t>’</w:t>
      </w:r>
      <w:r w:rsidRPr="00357367">
        <w:rPr>
          <w:rFonts w:cs="Times New Roman"/>
          <w:lang w:val="fr-CA"/>
        </w:rPr>
        <w:t>art. 8 ont été à ce point graves et que l</w:t>
      </w:r>
      <w:r>
        <w:rPr>
          <w:rFonts w:cs="Times New Roman"/>
          <w:lang w:val="fr-CA"/>
        </w:rPr>
        <w:t>’</w:t>
      </w:r>
      <w:r w:rsidRPr="00357367">
        <w:rPr>
          <w:rFonts w:cs="Times New Roman"/>
          <w:lang w:val="fr-CA"/>
        </w:rPr>
        <w:t>incidence sur son intérêt en matière de respect de la vie privée a été à ce point importante que l</w:t>
      </w:r>
      <w:r>
        <w:rPr>
          <w:rFonts w:cs="Times New Roman"/>
          <w:lang w:val="fr-CA"/>
        </w:rPr>
        <w:t>’</w:t>
      </w:r>
      <w:r w:rsidRPr="00357367">
        <w:rPr>
          <w:rFonts w:cs="Times New Roman"/>
          <w:lang w:val="fr-CA"/>
        </w:rPr>
        <w:t>administration de la justice serait susceptible d</w:t>
      </w:r>
      <w:r>
        <w:rPr>
          <w:rFonts w:cs="Times New Roman"/>
          <w:lang w:val="fr-CA"/>
        </w:rPr>
        <w:t>’</w:t>
      </w:r>
      <w:r w:rsidRPr="00357367">
        <w:rPr>
          <w:rFonts w:cs="Times New Roman"/>
          <w:lang w:val="fr-CA"/>
        </w:rPr>
        <w:t>être déconsidérée si les armes et les drogues, ainsi que les autres éléments saisis par les policiers, étaient admis en preuve, et ce, malgré les conclusions catégoriques du juge du procès — que nul ne conteste — selon lesquelles les policiers ont toujours agi de bonne foi et voulu éviter à l</w:t>
      </w:r>
      <w:r>
        <w:rPr>
          <w:rFonts w:cs="Times New Roman"/>
          <w:lang w:val="fr-CA"/>
        </w:rPr>
        <w:t>’</w:t>
      </w:r>
      <w:r w:rsidRPr="00357367">
        <w:rPr>
          <w:rFonts w:cs="Times New Roman"/>
          <w:lang w:val="fr-CA"/>
        </w:rPr>
        <w:t>appelant une arrestation pour quelques mégots de marihuana qu</w:t>
      </w:r>
      <w:r>
        <w:rPr>
          <w:rFonts w:cs="Times New Roman"/>
          <w:lang w:val="fr-CA"/>
        </w:rPr>
        <w:t>’</w:t>
      </w:r>
      <w:r w:rsidRPr="00357367">
        <w:rPr>
          <w:rFonts w:cs="Times New Roman"/>
          <w:lang w:val="fr-CA"/>
        </w:rPr>
        <w:t xml:space="preserve">ils comptaient saisir « sans poursuite ». </w:t>
      </w:r>
    </w:p>
    <w:p w:rsidR="00A37A4C" w:rsidRPr="00357367" w:rsidRDefault="00A37A4C" w:rsidP="006534E4">
      <w:pPr>
        <w:pStyle w:val="ParaNoNdepar-AltN"/>
        <w:widowControl w:val="0"/>
        <w:rPr>
          <w:rFonts w:cs="Times New Roman"/>
          <w:lang w:val="fr-CA"/>
        </w:rPr>
      </w:pPr>
      <w:r w:rsidRPr="00357367">
        <w:rPr>
          <w:rFonts w:cs="Times New Roman"/>
          <w:lang w:val="fr-CA"/>
        </w:rPr>
        <w:t>Je considère l</w:t>
      </w:r>
      <w:r>
        <w:rPr>
          <w:rFonts w:cs="Times New Roman"/>
          <w:lang w:val="fr-CA"/>
        </w:rPr>
        <w:t>’</w:t>
      </w:r>
      <w:r w:rsidRPr="00357367">
        <w:rPr>
          <w:rFonts w:cs="Times New Roman"/>
          <w:lang w:val="fr-CA"/>
        </w:rPr>
        <w:t>affaire sous un angle bien différent. Dans ce genre de dossier, il incombe à la Cour de clarifier le droit applicable afin que policiers, avocats de la défense, procureurs de la Couronne, juges de première instance et d</w:t>
      </w:r>
      <w:r>
        <w:rPr>
          <w:rFonts w:cs="Times New Roman"/>
          <w:lang w:val="fr-CA"/>
        </w:rPr>
        <w:t>’</w:t>
      </w:r>
      <w:r w:rsidRPr="00357367">
        <w:rPr>
          <w:rFonts w:cs="Times New Roman"/>
          <w:lang w:val="fr-CA"/>
        </w:rPr>
        <w:t>appel, de même que citoyens en général, puissent savoir quel est le droit applicable et comment il s</w:t>
      </w:r>
      <w:r>
        <w:rPr>
          <w:rFonts w:cs="Times New Roman"/>
          <w:lang w:val="fr-CA"/>
        </w:rPr>
        <w:t>’</w:t>
      </w:r>
      <w:r w:rsidRPr="00357367">
        <w:rPr>
          <w:rFonts w:cs="Times New Roman"/>
          <w:lang w:val="fr-CA"/>
        </w:rPr>
        <w:t>appliquera à l</w:t>
      </w:r>
      <w:r>
        <w:rPr>
          <w:rFonts w:cs="Times New Roman"/>
          <w:lang w:val="fr-CA"/>
        </w:rPr>
        <w:t>’</w:t>
      </w:r>
      <w:r w:rsidRPr="00357367">
        <w:rPr>
          <w:rFonts w:cs="Times New Roman"/>
          <w:lang w:val="fr-CA"/>
        </w:rPr>
        <w:t>avenir. Il ne lui appartient pas de juger la conduite des policiers à l</w:t>
      </w:r>
      <w:r>
        <w:rPr>
          <w:rFonts w:cs="Times New Roman"/>
          <w:lang w:val="fr-CA"/>
        </w:rPr>
        <w:t>’</w:t>
      </w:r>
      <w:r w:rsidRPr="00357367">
        <w:rPr>
          <w:rFonts w:cs="Times New Roman"/>
          <w:lang w:val="fr-CA"/>
        </w:rPr>
        <w:t>aune d</w:t>
      </w:r>
      <w:r>
        <w:rPr>
          <w:rFonts w:cs="Times New Roman"/>
          <w:lang w:val="fr-CA"/>
        </w:rPr>
        <w:t>’</w:t>
      </w:r>
      <w:r w:rsidRPr="00357367">
        <w:rPr>
          <w:rFonts w:cs="Times New Roman"/>
          <w:lang w:val="fr-CA"/>
        </w:rPr>
        <w:t>une norme qui échappe au discernement et aux connaissances de juges de première instance et d</w:t>
      </w:r>
      <w:r>
        <w:rPr>
          <w:rFonts w:cs="Times New Roman"/>
          <w:lang w:val="fr-CA"/>
        </w:rPr>
        <w:t>’</w:t>
      </w:r>
      <w:r w:rsidRPr="00357367">
        <w:rPr>
          <w:rFonts w:cs="Times New Roman"/>
          <w:lang w:val="fr-CA"/>
        </w:rPr>
        <w:t>appel chevronnés.</w:t>
      </w:r>
    </w:p>
    <w:p w:rsidR="00A37A4C" w:rsidRPr="00357367" w:rsidRDefault="00A37A4C" w:rsidP="006534E4">
      <w:pPr>
        <w:pStyle w:val="ParaNoNdepar-AltN"/>
        <w:widowControl w:val="0"/>
        <w:rPr>
          <w:rFonts w:cs="Times New Roman"/>
          <w:lang w:val="fr-CA"/>
        </w:rPr>
      </w:pPr>
      <w:r w:rsidRPr="00357367">
        <w:rPr>
          <w:rFonts w:cs="Times New Roman"/>
          <w:lang w:val="fr-CA"/>
        </w:rPr>
        <w:t xml:space="preserve">Pour les besoins de la clarification du droit applicable, je concède que les policiers ne pouvaient se prévaloir du par. 11(7) de la </w:t>
      </w:r>
      <w:r w:rsidRPr="00357367">
        <w:rPr>
          <w:rFonts w:cs="Times New Roman"/>
          <w:i/>
          <w:lang w:val="fr-CA"/>
        </w:rPr>
        <w:t>LRCDAS</w:t>
      </w:r>
      <w:r w:rsidRPr="00357367">
        <w:rPr>
          <w:rFonts w:cs="Times New Roman"/>
          <w:lang w:val="fr-CA"/>
        </w:rPr>
        <w:t xml:space="preserve"> au vu des faits de l</w:t>
      </w:r>
      <w:r>
        <w:rPr>
          <w:rFonts w:cs="Times New Roman"/>
          <w:lang w:val="fr-CA"/>
        </w:rPr>
        <w:t>’</w:t>
      </w:r>
      <w:r w:rsidRPr="00357367">
        <w:rPr>
          <w:rFonts w:cs="Times New Roman"/>
          <w:lang w:val="fr-CA"/>
        </w:rPr>
        <w:t>espèce. Trois possibilités s</w:t>
      </w:r>
      <w:r>
        <w:rPr>
          <w:rFonts w:cs="Times New Roman"/>
          <w:lang w:val="fr-CA"/>
        </w:rPr>
        <w:t>’</w:t>
      </w:r>
      <w:r w:rsidRPr="00357367">
        <w:rPr>
          <w:rFonts w:cs="Times New Roman"/>
          <w:lang w:val="fr-CA"/>
        </w:rPr>
        <w:t>offraient en fait à eux : (1) tenter d</w:t>
      </w:r>
      <w:r>
        <w:rPr>
          <w:rFonts w:cs="Times New Roman"/>
          <w:lang w:val="fr-CA"/>
        </w:rPr>
        <w:t>’</w:t>
      </w:r>
      <w:r w:rsidRPr="00357367">
        <w:rPr>
          <w:rFonts w:cs="Times New Roman"/>
          <w:lang w:val="fr-CA"/>
        </w:rPr>
        <w:t>obtenir le consentement légal de l</w:t>
      </w:r>
      <w:r>
        <w:rPr>
          <w:rFonts w:cs="Times New Roman"/>
          <w:lang w:val="fr-CA"/>
        </w:rPr>
        <w:t>’</w:t>
      </w:r>
      <w:r w:rsidRPr="00357367">
        <w:rPr>
          <w:rFonts w:cs="Times New Roman"/>
          <w:lang w:val="fr-CA"/>
        </w:rPr>
        <w:t>appelant à ce qu</w:t>
      </w:r>
      <w:r>
        <w:rPr>
          <w:rFonts w:cs="Times New Roman"/>
          <w:lang w:val="fr-CA"/>
        </w:rPr>
        <w:t>’</w:t>
      </w:r>
      <w:r w:rsidRPr="00357367">
        <w:rPr>
          <w:rFonts w:cs="Times New Roman"/>
          <w:lang w:val="fr-CA"/>
        </w:rPr>
        <w:t>ils entrent chez lui et saisissent les mégots, (2) arrêter l</w:t>
      </w:r>
      <w:r>
        <w:rPr>
          <w:rFonts w:cs="Times New Roman"/>
          <w:lang w:val="fr-CA"/>
        </w:rPr>
        <w:t>’</w:t>
      </w:r>
      <w:r w:rsidRPr="00357367">
        <w:rPr>
          <w:rFonts w:cs="Times New Roman"/>
          <w:lang w:val="fr-CA"/>
        </w:rPr>
        <w:t>appelant et obtenir un mandat les autorisant à perquisitionner chez lui et saisir les mégots ou (3) abandonner la partie et quitter les lieux, et manquer ainsi à leur devoir de saisir une substance illicite, ne serait</w:t>
      </w:r>
      <w:r w:rsidRPr="00357367">
        <w:rPr>
          <w:rFonts w:cs="Times New Roman"/>
          <w:lang w:val="fr-CA"/>
        </w:rPr>
        <w:noBreakHyphen/>
        <w:t xml:space="preserve">ce que pour la consigner puis la détruire. </w:t>
      </w:r>
    </w:p>
    <w:p w:rsidR="00A37A4C" w:rsidRPr="00357367" w:rsidRDefault="00A37A4C" w:rsidP="006534E4">
      <w:pPr>
        <w:pStyle w:val="ParaNoNdepar-AltN"/>
        <w:widowControl w:val="0"/>
        <w:rPr>
          <w:rFonts w:cs="Times New Roman"/>
          <w:lang w:val="fr-CA"/>
        </w:rPr>
      </w:pPr>
      <w:r w:rsidRPr="00357367">
        <w:rPr>
          <w:rFonts w:cs="Times New Roman"/>
          <w:lang w:val="fr-CA"/>
        </w:rPr>
        <w:t>Cela dit, il est à mon humble avis injuste de blâmer la conduite des policiers alors que, jusqu</w:t>
      </w:r>
      <w:r>
        <w:rPr>
          <w:rFonts w:cs="Times New Roman"/>
          <w:lang w:val="fr-CA"/>
        </w:rPr>
        <w:t>’</w:t>
      </w:r>
      <w:r w:rsidRPr="00357367">
        <w:rPr>
          <w:rFonts w:cs="Times New Roman"/>
          <w:lang w:val="fr-CA"/>
        </w:rPr>
        <w:t>à ce que la Cour se prononce aujourd</w:t>
      </w:r>
      <w:r>
        <w:rPr>
          <w:rFonts w:cs="Times New Roman"/>
          <w:lang w:val="fr-CA"/>
        </w:rPr>
        <w:t>’</w:t>
      </w:r>
      <w:r w:rsidRPr="00357367">
        <w:rPr>
          <w:rFonts w:cs="Times New Roman"/>
          <w:lang w:val="fr-CA"/>
        </w:rPr>
        <w:t>hui, les paramètres d</w:t>
      </w:r>
      <w:r>
        <w:rPr>
          <w:rFonts w:cs="Times New Roman"/>
          <w:lang w:val="fr-CA"/>
        </w:rPr>
        <w:t>’</w:t>
      </w:r>
      <w:r w:rsidRPr="00357367">
        <w:rPr>
          <w:rFonts w:cs="Times New Roman"/>
          <w:lang w:val="fr-CA"/>
        </w:rPr>
        <w:t>application du par. 11(7) dans le cas d</w:t>
      </w:r>
      <w:r>
        <w:rPr>
          <w:rFonts w:cs="Times New Roman"/>
          <w:lang w:val="fr-CA"/>
        </w:rPr>
        <w:t>’</w:t>
      </w:r>
      <w:r w:rsidRPr="00357367">
        <w:rPr>
          <w:rFonts w:cs="Times New Roman"/>
          <w:lang w:val="fr-CA"/>
        </w:rPr>
        <w:t>une saisie « sans poursuite » étaient au mieux flous. Il suffit de consulter les décisions des tribunaux inférieurs pour le constater.</w:t>
      </w:r>
    </w:p>
    <w:p w:rsidR="00A37A4C" w:rsidRPr="00357367" w:rsidRDefault="00A37A4C" w:rsidP="006534E4">
      <w:pPr>
        <w:pStyle w:val="ParaNoNdepar-AltN"/>
        <w:widowControl w:val="0"/>
        <w:rPr>
          <w:rFonts w:cs="Times New Roman"/>
          <w:lang w:val="fr-CA"/>
        </w:rPr>
      </w:pPr>
      <w:r w:rsidRPr="00357367">
        <w:rPr>
          <w:rFonts w:cs="Times New Roman"/>
          <w:lang w:val="fr-CA"/>
        </w:rPr>
        <w:t>Le juge Brown adopte un point de vue différent. Il ne considère pas que le recours à une saisie « sans poursuite » conférait quelque nouveauté à l</w:t>
      </w:r>
      <w:r>
        <w:rPr>
          <w:rFonts w:cs="Times New Roman"/>
          <w:lang w:val="fr-CA"/>
        </w:rPr>
        <w:t>’</w:t>
      </w:r>
      <w:r w:rsidRPr="00357367">
        <w:rPr>
          <w:rFonts w:cs="Times New Roman"/>
          <w:lang w:val="fr-CA"/>
        </w:rPr>
        <w:t xml:space="preserve">analyse juridique que commande le par. 11(7). Selon lui, </w:t>
      </w:r>
      <w:r w:rsidRPr="00357367">
        <w:rPr>
          <w:rFonts w:cs="Times New Roman"/>
          <w:noProof/>
          <w:lang w:val="fr-CA"/>
        </w:rPr>
        <w:t>les policiers « ne sont pas intervenus dans un contexte juridique inconnu » (par. 46).</w:t>
      </w:r>
      <w:r w:rsidRPr="00357367">
        <w:rPr>
          <w:rFonts w:cs="Times New Roman"/>
          <w:lang w:val="fr-CA"/>
        </w:rPr>
        <w:t xml:space="preserve"> Il ajoute : </w:t>
      </w:r>
    </w:p>
    <w:p w:rsidR="00A37A4C" w:rsidRPr="00357367" w:rsidRDefault="00A37A4C" w:rsidP="006534E4">
      <w:pPr>
        <w:pStyle w:val="Citation-AltC"/>
        <w:widowControl w:val="0"/>
        <w:ind w:hanging="1166"/>
        <w:contextualSpacing w:val="0"/>
        <w:rPr>
          <w:lang w:val="fr-CA"/>
        </w:rPr>
      </w:pPr>
      <w:r w:rsidRPr="00357367">
        <w:rPr>
          <w:noProof/>
          <w:lang w:val="fr-CA"/>
        </w:rPr>
        <w:tab/>
      </w:r>
      <w:r w:rsidR="00FA5305">
        <w:rPr>
          <w:noProof/>
          <w:lang w:val="fr-CA"/>
        </w:rPr>
        <w:tab/>
      </w:r>
      <w:r w:rsidRPr="00357367">
        <w:rPr>
          <w:noProof/>
          <w:lang w:val="fr-CA"/>
        </w:rPr>
        <w:t>. . . le risque que l</w:t>
      </w:r>
      <w:r>
        <w:rPr>
          <w:noProof/>
          <w:lang w:val="fr-CA"/>
        </w:rPr>
        <w:t>’</w:t>
      </w:r>
      <w:r w:rsidRPr="00357367">
        <w:rPr>
          <w:noProof/>
          <w:lang w:val="fr-CA"/>
        </w:rPr>
        <w:t>appelant détruise des mégots que les policiers désiraient saisir « sans poursuite » et détruire eux</w:t>
      </w:r>
      <w:r w:rsidRPr="00357367">
        <w:rPr>
          <w:noProof/>
          <w:lang w:val="fr-CA"/>
        </w:rPr>
        <w:noBreakHyphen/>
        <w:t>mêmes, et ce, sans aucune conséquence juridique pour l</w:t>
      </w:r>
      <w:r>
        <w:rPr>
          <w:noProof/>
          <w:lang w:val="fr-CA"/>
        </w:rPr>
        <w:t>’</w:t>
      </w:r>
      <w:r w:rsidRPr="00357367">
        <w:rPr>
          <w:noProof/>
          <w:lang w:val="fr-CA"/>
        </w:rPr>
        <w:t xml:space="preserve">appelant, </w:t>
      </w:r>
      <w:r w:rsidRPr="00357367">
        <w:rPr>
          <w:noProof/>
          <w:u w:val="single"/>
          <w:lang w:val="fr-CA"/>
        </w:rPr>
        <w:t>est loin de répondre au critère de l</w:t>
      </w:r>
      <w:r>
        <w:rPr>
          <w:noProof/>
          <w:u w:val="single"/>
          <w:lang w:val="fr-CA"/>
        </w:rPr>
        <w:t>’</w:t>
      </w:r>
      <w:r w:rsidRPr="00357367">
        <w:rPr>
          <w:noProof/>
          <w:u w:val="single"/>
          <w:lang w:val="fr-CA"/>
        </w:rPr>
        <w:t>urgence prévu au par. 11(7)</w:t>
      </w:r>
      <w:r w:rsidRPr="00357367">
        <w:rPr>
          <w:noProof/>
          <w:lang w:val="fr-CA"/>
        </w:rPr>
        <w:t>. [Je souligne; par. 39.]</w:t>
      </w:r>
    </w:p>
    <w:p w:rsidR="00A37A4C" w:rsidRPr="00357367" w:rsidRDefault="00A37A4C" w:rsidP="006534E4">
      <w:pPr>
        <w:pStyle w:val="ParaNoNdepar-AltN"/>
        <w:widowControl w:val="0"/>
        <w:tabs>
          <w:tab w:val="clear" w:pos="1152"/>
          <w:tab w:val="left" w:pos="1166"/>
        </w:tabs>
        <w:rPr>
          <w:rFonts w:cs="Times New Roman"/>
          <w:lang w:val="fr-CA"/>
        </w:rPr>
      </w:pPr>
      <w:r w:rsidRPr="00357367">
        <w:rPr>
          <w:rFonts w:cs="Times New Roman"/>
          <w:lang w:val="fr-CA"/>
        </w:rPr>
        <w:t>Je ne peux souscrire à l</w:t>
      </w:r>
      <w:r>
        <w:rPr>
          <w:rFonts w:cs="Times New Roman"/>
          <w:lang w:val="fr-CA"/>
        </w:rPr>
        <w:t>’</w:t>
      </w:r>
      <w:r w:rsidRPr="00357367">
        <w:rPr>
          <w:rFonts w:cs="Times New Roman"/>
          <w:lang w:val="fr-CA"/>
        </w:rPr>
        <w:t>analyse de mon collègue. Il recourt à un raisonnement a posteriori sur un sujet qui revêt une certaine complexité, à savoir l</w:t>
      </w:r>
      <w:r>
        <w:rPr>
          <w:rFonts w:cs="Times New Roman"/>
          <w:lang w:val="fr-CA"/>
        </w:rPr>
        <w:t>’</w:t>
      </w:r>
      <w:r w:rsidRPr="00357367">
        <w:rPr>
          <w:rFonts w:cs="Times New Roman"/>
          <w:lang w:val="fr-CA"/>
        </w:rPr>
        <w:t>interprétation du par. 11(7) dans le cas d</w:t>
      </w:r>
      <w:r>
        <w:rPr>
          <w:rFonts w:cs="Times New Roman"/>
          <w:lang w:val="fr-CA"/>
        </w:rPr>
        <w:t>’</w:t>
      </w:r>
      <w:r w:rsidRPr="00357367">
        <w:rPr>
          <w:rFonts w:cs="Times New Roman"/>
          <w:lang w:val="fr-CA"/>
        </w:rPr>
        <w:t>une saisie « sans poursuite », et il met à mal le raisonnement des tribunaux inférieurs dans lequel la caractéristique « sans poursuite » de la saisie est cruciale pour conclure à la légalité de l</w:t>
      </w:r>
      <w:r>
        <w:rPr>
          <w:rFonts w:cs="Times New Roman"/>
          <w:lang w:val="fr-CA"/>
        </w:rPr>
        <w:t>’</w:t>
      </w:r>
      <w:r w:rsidRPr="00357367">
        <w:rPr>
          <w:rFonts w:cs="Times New Roman"/>
          <w:lang w:val="fr-CA"/>
        </w:rPr>
        <w:t>entrée sans mandat des policiers chez l</w:t>
      </w:r>
      <w:r>
        <w:rPr>
          <w:rFonts w:cs="Times New Roman"/>
          <w:lang w:val="fr-CA"/>
        </w:rPr>
        <w:t>’</w:t>
      </w:r>
      <w:r w:rsidRPr="00357367">
        <w:rPr>
          <w:rFonts w:cs="Times New Roman"/>
          <w:lang w:val="fr-CA"/>
        </w:rPr>
        <w:t>appelant.</w:t>
      </w:r>
    </w:p>
    <w:p w:rsidR="00A37A4C" w:rsidRPr="00357367" w:rsidRDefault="00A37A4C" w:rsidP="006534E4">
      <w:pPr>
        <w:pStyle w:val="ParaNoNdepar-AltN"/>
        <w:widowControl w:val="0"/>
        <w:tabs>
          <w:tab w:val="clear" w:pos="1152"/>
          <w:tab w:val="left" w:pos="1166"/>
        </w:tabs>
        <w:rPr>
          <w:rFonts w:cs="Times New Roman"/>
          <w:lang w:val="fr-CA"/>
        </w:rPr>
      </w:pPr>
      <w:r w:rsidRPr="00357367">
        <w:rPr>
          <w:rFonts w:cs="Times New Roman"/>
          <w:lang w:val="fr-CA"/>
        </w:rPr>
        <w:t>Il n</w:t>
      </w:r>
      <w:r>
        <w:rPr>
          <w:rFonts w:cs="Times New Roman"/>
          <w:lang w:val="fr-CA"/>
        </w:rPr>
        <w:t>’</w:t>
      </w:r>
      <w:r w:rsidRPr="00357367">
        <w:rPr>
          <w:rFonts w:cs="Times New Roman"/>
          <w:lang w:val="fr-CA"/>
        </w:rPr>
        <w:t>est pas étonnant que les tribunaux inférieurs mettent l</w:t>
      </w:r>
      <w:r>
        <w:rPr>
          <w:rFonts w:cs="Times New Roman"/>
          <w:lang w:val="fr-CA"/>
        </w:rPr>
        <w:t>’</w:t>
      </w:r>
      <w:r w:rsidRPr="00357367">
        <w:rPr>
          <w:rFonts w:cs="Times New Roman"/>
          <w:lang w:val="fr-CA"/>
        </w:rPr>
        <w:t>accent sur la caractéristique « sans poursuite » de la saisie. Pour autant que je sache, c</w:t>
      </w:r>
      <w:r>
        <w:rPr>
          <w:rFonts w:cs="Times New Roman"/>
          <w:lang w:val="fr-CA"/>
        </w:rPr>
        <w:t>’</w:t>
      </w:r>
      <w:r w:rsidRPr="00357367">
        <w:rPr>
          <w:rFonts w:cs="Times New Roman"/>
          <w:lang w:val="fr-CA"/>
        </w:rPr>
        <w:t>est la première fois qu</w:t>
      </w:r>
      <w:r>
        <w:rPr>
          <w:rFonts w:cs="Times New Roman"/>
          <w:lang w:val="fr-CA"/>
        </w:rPr>
        <w:t>’</w:t>
      </w:r>
      <w:r w:rsidRPr="00357367">
        <w:rPr>
          <w:rFonts w:cs="Times New Roman"/>
          <w:lang w:val="fr-CA"/>
        </w:rPr>
        <w:t>une cour de justice était appelée à interpréter le par. 11(7) en lien avec une saisie « sans poursuite ». Autrement dit, il s</w:t>
      </w:r>
      <w:r>
        <w:rPr>
          <w:rFonts w:cs="Times New Roman"/>
          <w:lang w:val="fr-CA"/>
        </w:rPr>
        <w:t>’</w:t>
      </w:r>
      <w:r w:rsidRPr="00357367">
        <w:rPr>
          <w:rFonts w:cs="Times New Roman"/>
          <w:lang w:val="fr-CA"/>
        </w:rPr>
        <w:t>agit d</w:t>
      </w:r>
      <w:r>
        <w:rPr>
          <w:rFonts w:cs="Times New Roman"/>
          <w:lang w:val="fr-CA"/>
        </w:rPr>
        <w:t>’</w:t>
      </w:r>
      <w:r w:rsidRPr="00357367">
        <w:rPr>
          <w:rFonts w:cs="Times New Roman"/>
          <w:lang w:val="fr-CA"/>
        </w:rPr>
        <w:t>une affaire sans précédent. Les tribunaux inférieurs devaient, de même que la Cour aujourd</w:t>
      </w:r>
      <w:r>
        <w:rPr>
          <w:rFonts w:cs="Times New Roman"/>
          <w:lang w:val="fr-CA"/>
        </w:rPr>
        <w:t>’</w:t>
      </w:r>
      <w:r w:rsidRPr="00357367">
        <w:rPr>
          <w:rFonts w:cs="Times New Roman"/>
          <w:lang w:val="fr-CA"/>
        </w:rPr>
        <w:t>hui, se prononcer pour la première fois sur la signification et l</w:t>
      </w:r>
      <w:r>
        <w:rPr>
          <w:rFonts w:cs="Times New Roman"/>
          <w:lang w:val="fr-CA"/>
        </w:rPr>
        <w:t>’</w:t>
      </w:r>
      <w:r w:rsidRPr="00357367">
        <w:rPr>
          <w:rFonts w:cs="Times New Roman"/>
          <w:lang w:val="fr-CA"/>
        </w:rPr>
        <w:t>application des expressions « urgence de la situation » et « difficilement réalisable » employées au par. 11(7) dans le cas d</w:t>
      </w:r>
      <w:r>
        <w:rPr>
          <w:rFonts w:cs="Times New Roman"/>
          <w:lang w:val="fr-CA"/>
        </w:rPr>
        <w:t>’</w:t>
      </w:r>
      <w:r w:rsidRPr="00357367">
        <w:rPr>
          <w:rFonts w:cs="Times New Roman"/>
          <w:lang w:val="fr-CA"/>
        </w:rPr>
        <w:t>une saisie « sans poursuite ». Et comme je l</w:t>
      </w:r>
      <w:r>
        <w:rPr>
          <w:rFonts w:cs="Times New Roman"/>
          <w:lang w:val="fr-CA"/>
        </w:rPr>
        <w:t>’</w:t>
      </w:r>
      <w:r w:rsidRPr="00357367">
        <w:rPr>
          <w:rFonts w:cs="Times New Roman"/>
          <w:lang w:val="fr-CA"/>
        </w:rPr>
        <w:t>explique plus loin, leurs décisions sont à la fois réfléchies et bien étayées même si la Cour les juge aujourd</w:t>
      </w:r>
      <w:r>
        <w:rPr>
          <w:rFonts w:cs="Times New Roman"/>
          <w:lang w:val="fr-CA"/>
        </w:rPr>
        <w:t>’</w:t>
      </w:r>
      <w:r w:rsidRPr="00357367">
        <w:rPr>
          <w:rFonts w:cs="Times New Roman"/>
          <w:lang w:val="fr-CA"/>
        </w:rPr>
        <w:t>hui erronées.</w:t>
      </w:r>
    </w:p>
    <w:p w:rsidR="00A37A4C" w:rsidRPr="00357367" w:rsidRDefault="00A37A4C" w:rsidP="006534E4">
      <w:pPr>
        <w:pStyle w:val="Title2LevelTitre2Niveau"/>
        <w:widowControl w:val="0"/>
        <w:rPr>
          <w:rFonts w:cs="Times New Roman"/>
          <w:lang w:val="fr-CA"/>
        </w:rPr>
      </w:pPr>
      <w:r w:rsidRPr="00357367">
        <w:rPr>
          <w:rFonts w:cs="Times New Roman"/>
          <w:lang w:val="fr-CA"/>
        </w:rPr>
        <w:t>Motifs du juge du procès</w:t>
      </w:r>
    </w:p>
    <w:p w:rsidR="00A37A4C" w:rsidRPr="00357367" w:rsidRDefault="00A37A4C" w:rsidP="006534E4">
      <w:pPr>
        <w:pStyle w:val="ParaNoNdepar-AltN"/>
        <w:widowControl w:val="0"/>
        <w:tabs>
          <w:tab w:val="clear" w:pos="1152"/>
          <w:tab w:val="left" w:pos="1166"/>
        </w:tabs>
        <w:rPr>
          <w:rFonts w:cs="Times New Roman"/>
          <w:lang w:val="fr-CA"/>
        </w:rPr>
      </w:pPr>
      <w:r w:rsidRPr="00357367">
        <w:rPr>
          <w:rFonts w:cs="Times New Roman"/>
          <w:lang w:val="fr-CA"/>
        </w:rPr>
        <w:t>Pour conclure que le ministère public a établi l</w:t>
      </w:r>
      <w:r>
        <w:rPr>
          <w:rFonts w:cs="Times New Roman"/>
          <w:lang w:val="fr-CA"/>
        </w:rPr>
        <w:t>’</w:t>
      </w:r>
      <w:r w:rsidRPr="00357367">
        <w:rPr>
          <w:rFonts w:cs="Times New Roman"/>
          <w:lang w:val="fr-CA"/>
        </w:rPr>
        <w:t>urgence de la situation, le juge du procès examine quelques arrêts de la Cour d</w:t>
      </w:r>
      <w:r>
        <w:rPr>
          <w:rFonts w:cs="Times New Roman"/>
          <w:lang w:val="fr-CA"/>
        </w:rPr>
        <w:t>’</w:t>
      </w:r>
      <w:r w:rsidRPr="00357367">
        <w:rPr>
          <w:rFonts w:cs="Times New Roman"/>
          <w:lang w:val="fr-CA"/>
        </w:rPr>
        <w:t>appel de la Colombie</w:t>
      </w:r>
      <w:r w:rsidRPr="00357367">
        <w:rPr>
          <w:rFonts w:cs="Times New Roman"/>
          <w:lang w:val="fr-CA"/>
        </w:rPr>
        <w:noBreakHyphen/>
        <w:t>Britannique et attribue à l</w:t>
      </w:r>
      <w:r>
        <w:rPr>
          <w:rFonts w:cs="Times New Roman"/>
          <w:lang w:val="fr-CA"/>
        </w:rPr>
        <w:t>’</w:t>
      </w:r>
      <w:r w:rsidRPr="00357367">
        <w:rPr>
          <w:rFonts w:cs="Times New Roman"/>
          <w:lang w:val="fr-CA"/>
        </w:rPr>
        <w:t>expression « urgence de la situation » une signification assez semblable à celle que retient mon collègue. Voici comment il explique ensuite que, selon lui, il y avait urgence de la situation au vu des faits de l</w:t>
      </w:r>
      <w:r>
        <w:rPr>
          <w:rFonts w:cs="Times New Roman"/>
          <w:lang w:val="fr-CA"/>
        </w:rPr>
        <w:t>’</w:t>
      </w:r>
      <w:r w:rsidRPr="00357367">
        <w:rPr>
          <w:rFonts w:cs="Times New Roman"/>
          <w:lang w:val="fr-CA"/>
        </w:rPr>
        <w:t>espèce :</w:t>
      </w:r>
    </w:p>
    <w:p w:rsidR="00A37A4C" w:rsidRPr="00357367" w:rsidRDefault="00A37A4C" w:rsidP="006534E4">
      <w:pPr>
        <w:pStyle w:val="Citation-AltC"/>
        <w:widowControl w:val="0"/>
        <w:ind w:hanging="1166"/>
        <w:contextualSpacing w:val="0"/>
        <w:rPr>
          <w:noProof/>
          <w:lang w:val="fr-CA"/>
        </w:rPr>
      </w:pPr>
      <w:r w:rsidRPr="00357367">
        <w:rPr>
          <w:smallCaps/>
          <w:noProof/>
          <w:lang w:val="fr-CA"/>
        </w:rPr>
        <w:tab/>
      </w:r>
      <w:r w:rsidR="00FA5305">
        <w:rPr>
          <w:smallCaps/>
          <w:noProof/>
          <w:lang w:val="fr-CA"/>
        </w:rPr>
        <w:tab/>
      </w:r>
      <w:r w:rsidRPr="00357367">
        <w:rPr>
          <w:smallCaps/>
          <w:noProof/>
          <w:lang w:val="fr-CA"/>
        </w:rPr>
        <w:t xml:space="preserve">[traduction] </w:t>
      </w:r>
      <w:r w:rsidRPr="00357367">
        <w:rPr>
          <w:noProof/>
          <w:lang w:val="fr-CA"/>
        </w:rPr>
        <w:t>. . . dans la présente affaire, les policiers (1) avaient des motifs raisonnables de croire à la présence d</w:t>
      </w:r>
      <w:r>
        <w:rPr>
          <w:noProof/>
          <w:lang w:val="fr-CA"/>
        </w:rPr>
        <w:t>’</w:t>
      </w:r>
      <w:r w:rsidRPr="00357367">
        <w:rPr>
          <w:noProof/>
          <w:lang w:val="fr-CA"/>
        </w:rPr>
        <w:t>une quantité</w:t>
      </w:r>
      <w:r w:rsidRPr="00357367">
        <w:rPr>
          <w:lang w:val="fr-CA"/>
        </w:rPr>
        <w:t xml:space="preserve"> —</w:t>
      </w:r>
      <w:r w:rsidRPr="00357367">
        <w:rPr>
          <w:noProof/>
          <w:lang w:val="fr-CA"/>
        </w:rPr>
        <w:t xml:space="preserve"> quoique minime </w:t>
      </w:r>
      <w:r w:rsidRPr="00357367">
        <w:rPr>
          <w:lang w:val="fr-CA"/>
        </w:rPr>
        <w:t>—</w:t>
      </w:r>
      <w:r w:rsidRPr="00357367">
        <w:rPr>
          <w:noProof/>
          <w:lang w:val="fr-CA"/>
        </w:rPr>
        <w:t xml:space="preserve"> d</w:t>
      </w:r>
      <w:r>
        <w:rPr>
          <w:noProof/>
          <w:lang w:val="fr-CA"/>
        </w:rPr>
        <w:t>’</w:t>
      </w:r>
      <w:r w:rsidRPr="00357367">
        <w:rPr>
          <w:noProof/>
          <w:lang w:val="fr-CA"/>
        </w:rPr>
        <w:t>une substance désignée dans l</w:t>
      </w:r>
      <w:r>
        <w:rPr>
          <w:noProof/>
          <w:lang w:val="fr-CA"/>
        </w:rPr>
        <w:t>’</w:t>
      </w:r>
      <w:r w:rsidRPr="00357367">
        <w:rPr>
          <w:noProof/>
          <w:lang w:val="fr-CA"/>
        </w:rPr>
        <w:t>appartement de l</w:t>
      </w:r>
      <w:r>
        <w:rPr>
          <w:noProof/>
          <w:lang w:val="fr-CA"/>
        </w:rPr>
        <w:t>’</w:t>
      </w:r>
      <w:r w:rsidRPr="00357367">
        <w:rPr>
          <w:noProof/>
          <w:lang w:val="fr-CA"/>
        </w:rPr>
        <w:t>accusé, en raison de l</w:t>
      </w:r>
      <w:r>
        <w:rPr>
          <w:noProof/>
          <w:lang w:val="fr-CA"/>
        </w:rPr>
        <w:t>’</w:t>
      </w:r>
      <w:r w:rsidRPr="00357367">
        <w:rPr>
          <w:noProof/>
          <w:lang w:val="fr-CA"/>
        </w:rPr>
        <w:t>odeur remarquée à l</w:t>
      </w:r>
      <w:r>
        <w:rPr>
          <w:noProof/>
          <w:lang w:val="fr-CA"/>
        </w:rPr>
        <w:t>’</w:t>
      </w:r>
      <w:r w:rsidRPr="00357367">
        <w:rPr>
          <w:noProof/>
          <w:lang w:val="fr-CA"/>
        </w:rPr>
        <w:t>ouverture d</w:t>
      </w:r>
      <w:r>
        <w:rPr>
          <w:noProof/>
          <w:lang w:val="fr-CA"/>
        </w:rPr>
        <w:t>’</w:t>
      </w:r>
      <w:r w:rsidRPr="00357367">
        <w:rPr>
          <w:noProof/>
          <w:lang w:val="fr-CA"/>
        </w:rPr>
        <w:t>une porte et de l</w:t>
      </w:r>
      <w:r>
        <w:rPr>
          <w:noProof/>
          <w:lang w:val="fr-CA"/>
        </w:rPr>
        <w:t>’</w:t>
      </w:r>
      <w:r w:rsidRPr="00357367">
        <w:rPr>
          <w:noProof/>
          <w:lang w:val="fr-CA"/>
        </w:rPr>
        <w:t>aveu de l</w:t>
      </w:r>
      <w:r>
        <w:rPr>
          <w:noProof/>
          <w:lang w:val="fr-CA"/>
        </w:rPr>
        <w:t>’</w:t>
      </w:r>
      <w:r w:rsidRPr="00357367">
        <w:rPr>
          <w:noProof/>
          <w:lang w:val="fr-CA"/>
        </w:rPr>
        <w:t>accusé, de sorte qu</w:t>
      </w:r>
      <w:r>
        <w:rPr>
          <w:noProof/>
          <w:lang w:val="fr-CA"/>
        </w:rPr>
        <w:t>’</w:t>
      </w:r>
      <w:r w:rsidRPr="00357367">
        <w:rPr>
          <w:noProof/>
          <w:lang w:val="fr-CA"/>
        </w:rPr>
        <w:t>ils disposaient de motifs pour obtenir un mandat de perquisition, et ils (2) avaient la croyance raisonnablement fondée que la substance désignée risquait d</w:t>
      </w:r>
      <w:r>
        <w:rPr>
          <w:noProof/>
          <w:lang w:val="fr-CA"/>
        </w:rPr>
        <w:t>’</w:t>
      </w:r>
      <w:r w:rsidRPr="00357367">
        <w:rPr>
          <w:noProof/>
          <w:lang w:val="fr-CA"/>
        </w:rPr>
        <w:t xml:space="preserve">être perdue, détruite ou consommée </w:t>
      </w:r>
      <w:r w:rsidRPr="00357367">
        <w:rPr>
          <w:noProof/>
          <w:u w:val="single"/>
          <w:lang w:val="fr-CA"/>
        </w:rPr>
        <w:t>puisqu</w:t>
      </w:r>
      <w:r>
        <w:rPr>
          <w:noProof/>
          <w:u w:val="single"/>
          <w:lang w:val="fr-CA"/>
        </w:rPr>
        <w:t>’</w:t>
      </w:r>
      <w:r w:rsidRPr="00357367">
        <w:rPr>
          <w:noProof/>
          <w:u w:val="single"/>
          <w:lang w:val="fr-CA"/>
        </w:rPr>
        <w:t>ils ne comptaient pas arrêter l</w:t>
      </w:r>
      <w:r>
        <w:rPr>
          <w:noProof/>
          <w:u w:val="single"/>
          <w:lang w:val="fr-CA"/>
        </w:rPr>
        <w:t>’</w:t>
      </w:r>
      <w:r w:rsidRPr="00357367">
        <w:rPr>
          <w:noProof/>
          <w:u w:val="single"/>
          <w:lang w:val="fr-CA"/>
        </w:rPr>
        <w:t>accusé pour la possession de cette quantité de marihuana, de sorte que ce dernier serait demeuré dans l</w:t>
      </w:r>
      <w:r>
        <w:rPr>
          <w:noProof/>
          <w:u w:val="single"/>
          <w:lang w:val="fr-CA"/>
        </w:rPr>
        <w:t>’</w:t>
      </w:r>
      <w:r w:rsidRPr="00357367">
        <w:rPr>
          <w:noProof/>
          <w:u w:val="single"/>
          <w:lang w:val="fr-CA"/>
        </w:rPr>
        <w:t>appartement</w:t>
      </w:r>
      <w:r w:rsidRPr="00357367">
        <w:rPr>
          <w:noProof/>
          <w:lang w:val="fr-CA"/>
        </w:rPr>
        <w:t>. Je suis donc convaincu que les conditions auxquelles il y a « </w:t>
      </w:r>
      <w:r w:rsidRPr="00357367">
        <w:rPr>
          <w:lang w:val="fr-CA"/>
        </w:rPr>
        <w:t>urgence de la situation » sont réunies. [J</w:t>
      </w:r>
      <w:r w:rsidRPr="00357367">
        <w:rPr>
          <w:noProof/>
          <w:lang w:val="fr-CA"/>
        </w:rPr>
        <w:t xml:space="preserve">e souligne; par. 75.] </w:t>
      </w:r>
    </w:p>
    <w:p w:rsidR="00A37A4C" w:rsidRPr="00357367" w:rsidRDefault="00A37A4C" w:rsidP="006534E4">
      <w:pPr>
        <w:pStyle w:val="ParaNoNdepar-AltN"/>
        <w:widowControl w:val="0"/>
        <w:rPr>
          <w:rFonts w:cs="Times New Roman"/>
          <w:lang w:val="fr-CA"/>
        </w:rPr>
      </w:pPr>
      <w:r w:rsidRPr="00357367">
        <w:rPr>
          <w:rFonts w:cs="Times New Roman"/>
          <w:noProof/>
          <w:lang w:val="fr-CA"/>
        </w:rPr>
        <w:t xml:space="preserve">Le juge se </w:t>
      </w:r>
      <w:r w:rsidRPr="00357367">
        <w:rPr>
          <w:rFonts w:cs="Times New Roman"/>
          <w:lang w:val="fr-CA"/>
        </w:rPr>
        <w:t>penche</w:t>
      </w:r>
      <w:r w:rsidRPr="00357367">
        <w:rPr>
          <w:rFonts w:cs="Times New Roman"/>
          <w:noProof/>
          <w:lang w:val="fr-CA"/>
        </w:rPr>
        <w:t xml:space="preserve"> ensuite sur le caractère difficilement réalisable de l</w:t>
      </w:r>
      <w:r>
        <w:rPr>
          <w:rFonts w:cs="Times New Roman"/>
          <w:noProof/>
          <w:lang w:val="fr-CA"/>
        </w:rPr>
        <w:t>’</w:t>
      </w:r>
      <w:r w:rsidRPr="00357367">
        <w:rPr>
          <w:rFonts w:cs="Times New Roman"/>
          <w:noProof/>
          <w:lang w:val="fr-CA"/>
        </w:rPr>
        <w:t>obtention d</w:t>
      </w:r>
      <w:r>
        <w:rPr>
          <w:rFonts w:cs="Times New Roman"/>
          <w:noProof/>
          <w:lang w:val="fr-CA"/>
        </w:rPr>
        <w:t>’</w:t>
      </w:r>
      <w:r w:rsidRPr="00357367">
        <w:rPr>
          <w:rFonts w:cs="Times New Roman"/>
          <w:noProof/>
          <w:lang w:val="fr-CA"/>
        </w:rPr>
        <w:t>un mandat dans les circonstances. Inspirée de l</w:t>
      </w:r>
      <w:r>
        <w:rPr>
          <w:rFonts w:cs="Times New Roman"/>
          <w:noProof/>
          <w:lang w:val="fr-CA"/>
        </w:rPr>
        <w:t>’</w:t>
      </w:r>
      <w:r w:rsidRPr="00357367">
        <w:rPr>
          <w:rFonts w:cs="Times New Roman"/>
          <w:noProof/>
          <w:lang w:val="fr-CA"/>
        </w:rPr>
        <w:t xml:space="preserve">arrêt </w:t>
      </w:r>
      <w:r w:rsidRPr="00357367">
        <w:rPr>
          <w:rFonts w:cs="Times New Roman"/>
          <w:i/>
          <w:noProof/>
          <w:lang w:val="fr-CA"/>
        </w:rPr>
        <w:t>R. c. Erickson</w:t>
      </w:r>
      <w:r w:rsidRPr="00357367">
        <w:rPr>
          <w:rFonts w:cs="Times New Roman"/>
          <w:noProof/>
          <w:lang w:val="fr-CA"/>
        </w:rPr>
        <w:t xml:space="preserve">, 2003 BCCA 693, 192 B.C.A.C. 203, sa définition de « difficilement réalisable » correspond </w:t>
      </w:r>
      <w:r w:rsidRPr="00357367">
        <w:rPr>
          <w:rFonts w:cs="Times New Roman"/>
          <w:lang w:val="fr-CA"/>
        </w:rPr>
        <w:t xml:space="preserve">à </w:t>
      </w:r>
      <w:r w:rsidRPr="00357367">
        <w:rPr>
          <w:rFonts w:cs="Times New Roman"/>
          <w:smallCaps/>
          <w:noProof/>
          <w:szCs w:val="24"/>
          <w:lang w:val="fr-CA"/>
        </w:rPr>
        <w:t>[traduction]</w:t>
      </w:r>
      <w:r w:rsidRPr="00357367">
        <w:rPr>
          <w:rFonts w:cs="Times New Roman"/>
          <w:noProof/>
          <w:szCs w:val="24"/>
          <w:lang w:val="fr-CA"/>
        </w:rPr>
        <w:t xml:space="preserve"> « pas tout à fait impossible et assez pratique, qui relève du bon sens » (par. 76, citant </w:t>
      </w:r>
      <w:r w:rsidRPr="00357367">
        <w:rPr>
          <w:rFonts w:cs="Times New Roman"/>
          <w:i/>
          <w:noProof/>
          <w:lang w:val="fr-CA"/>
        </w:rPr>
        <w:t>Erickson</w:t>
      </w:r>
      <w:r w:rsidRPr="00357367">
        <w:rPr>
          <w:rFonts w:cs="Times New Roman"/>
          <w:noProof/>
          <w:lang w:val="fr-CA"/>
        </w:rPr>
        <w:t>, par. 33</w:t>
      </w:r>
      <w:r w:rsidRPr="00357367">
        <w:rPr>
          <w:rFonts w:cs="Times New Roman"/>
          <w:noProof/>
          <w:szCs w:val="24"/>
          <w:lang w:val="fr-CA"/>
        </w:rPr>
        <w:t>)</w:t>
      </w:r>
      <w:r w:rsidRPr="00357367">
        <w:rPr>
          <w:rFonts w:cs="Times New Roman"/>
          <w:noProof/>
          <w:lang w:val="fr-CA"/>
        </w:rPr>
        <w:t>. Voici ce qu</w:t>
      </w:r>
      <w:r>
        <w:rPr>
          <w:rFonts w:cs="Times New Roman"/>
          <w:noProof/>
          <w:lang w:val="fr-CA"/>
        </w:rPr>
        <w:t>’</w:t>
      </w:r>
      <w:r w:rsidRPr="00357367">
        <w:rPr>
          <w:rFonts w:cs="Times New Roman"/>
          <w:noProof/>
          <w:lang w:val="fr-CA"/>
        </w:rPr>
        <w:t>il ajoute au par. 77 :</w:t>
      </w:r>
    </w:p>
    <w:p w:rsidR="00A37A4C" w:rsidRPr="00357367" w:rsidRDefault="00A37A4C" w:rsidP="006534E4">
      <w:pPr>
        <w:pStyle w:val="Citation-AltC"/>
        <w:widowControl w:val="0"/>
        <w:ind w:hanging="1166"/>
        <w:contextualSpacing w:val="0"/>
        <w:rPr>
          <w:lang w:val="fr-CA"/>
        </w:rPr>
      </w:pPr>
      <w:r w:rsidRPr="00357367">
        <w:rPr>
          <w:smallCaps/>
          <w:noProof/>
          <w:lang w:val="fr-CA"/>
        </w:rPr>
        <w:tab/>
      </w:r>
      <w:r w:rsidR="00FA5305">
        <w:rPr>
          <w:smallCaps/>
          <w:noProof/>
          <w:lang w:val="fr-CA"/>
        </w:rPr>
        <w:tab/>
      </w:r>
      <w:r w:rsidRPr="00357367">
        <w:rPr>
          <w:smallCaps/>
          <w:noProof/>
          <w:lang w:val="fr-CA"/>
        </w:rPr>
        <w:t xml:space="preserve">[traduction] </w:t>
      </w:r>
      <w:r w:rsidRPr="00357367">
        <w:rPr>
          <w:noProof/>
          <w:lang w:val="fr-CA"/>
        </w:rPr>
        <w:t>. . . j</w:t>
      </w:r>
      <w:r>
        <w:rPr>
          <w:noProof/>
          <w:lang w:val="fr-CA"/>
        </w:rPr>
        <w:t>’</w:t>
      </w:r>
      <w:r w:rsidRPr="00357367">
        <w:rPr>
          <w:noProof/>
          <w:lang w:val="fr-CA"/>
        </w:rPr>
        <w:t>arrive à la conclusion que, vu l</w:t>
      </w:r>
      <w:r>
        <w:rPr>
          <w:noProof/>
          <w:lang w:val="fr-CA"/>
        </w:rPr>
        <w:t>’</w:t>
      </w:r>
      <w:r w:rsidRPr="00357367">
        <w:rPr>
          <w:lang w:val="fr-CA"/>
        </w:rPr>
        <w:t>urgence de la situation en l</w:t>
      </w:r>
      <w:r>
        <w:rPr>
          <w:lang w:val="fr-CA"/>
        </w:rPr>
        <w:t>’</w:t>
      </w:r>
      <w:r w:rsidRPr="00357367">
        <w:rPr>
          <w:lang w:val="fr-CA"/>
        </w:rPr>
        <w:t>espèce, l</w:t>
      </w:r>
      <w:r>
        <w:rPr>
          <w:lang w:val="fr-CA"/>
        </w:rPr>
        <w:t>’</w:t>
      </w:r>
      <w:r w:rsidRPr="00357367">
        <w:rPr>
          <w:lang w:val="fr-CA"/>
        </w:rPr>
        <w:t>obtention d</w:t>
      </w:r>
      <w:r>
        <w:rPr>
          <w:lang w:val="fr-CA"/>
        </w:rPr>
        <w:t>’</w:t>
      </w:r>
      <w:r w:rsidRPr="00357367">
        <w:rPr>
          <w:lang w:val="fr-CA"/>
        </w:rPr>
        <w:t xml:space="preserve">un mandat de perquisition était difficilement réalisable, si bien que la saisie de la substance désignée en application </w:t>
      </w:r>
      <w:r w:rsidRPr="00357367">
        <w:rPr>
          <w:noProof/>
          <w:lang w:val="fr-CA"/>
        </w:rPr>
        <w:t>du</w:t>
      </w:r>
      <w:r w:rsidRPr="00357367">
        <w:rPr>
          <w:lang w:val="fr-CA"/>
        </w:rPr>
        <w:t xml:space="preserve"> par. 11(7) de la </w:t>
      </w:r>
      <w:r w:rsidRPr="00357367">
        <w:rPr>
          <w:i/>
          <w:lang w:val="fr-CA"/>
        </w:rPr>
        <w:t xml:space="preserve">LRCDAS </w:t>
      </w:r>
      <w:r w:rsidRPr="00357367">
        <w:rPr>
          <w:lang w:val="fr-CA"/>
        </w:rPr>
        <w:t>était justifiée.</w:t>
      </w:r>
    </w:p>
    <w:p w:rsidR="00A37A4C" w:rsidRPr="00357367" w:rsidRDefault="00A37A4C" w:rsidP="006534E4">
      <w:pPr>
        <w:pStyle w:val="ParaNoNdepar-AltN"/>
        <w:widowControl w:val="0"/>
        <w:rPr>
          <w:rFonts w:cs="Times New Roman"/>
          <w:lang w:val="fr-CA"/>
        </w:rPr>
      </w:pPr>
      <w:r w:rsidRPr="00357367">
        <w:rPr>
          <w:rFonts w:cs="Times New Roman"/>
          <w:lang w:val="fr-CA"/>
        </w:rPr>
        <w:t>On constate que la caractéristique « sans poursuite » de la saisie joue un rôle crucial dans la conclusion du juge du procès selon laquelle il y avait urgence de la situation et celle</w:t>
      </w:r>
      <w:r w:rsidRPr="00357367">
        <w:rPr>
          <w:rFonts w:cs="Times New Roman"/>
          <w:lang w:val="fr-CA"/>
        </w:rPr>
        <w:noBreakHyphen/>
        <w:t>ci rendait difficilement réalisable l</w:t>
      </w:r>
      <w:r>
        <w:rPr>
          <w:rFonts w:cs="Times New Roman"/>
          <w:lang w:val="fr-CA"/>
        </w:rPr>
        <w:t>’</w:t>
      </w:r>
      <w:r w:rsidRPr="00357367">
        <w:rPr>
          <w:rFonts w:cs="Times New Roman"/>
          <w:lang w:val="fr-CA"/>
        </w:rPr>
        <w:t>obtention d</w:t>
      </w:r>
      <w:r>
        <w:rPr>
          <w:rFonts w:cs="Times New Roman"/>
          <w:lang w:val="fr-CA"/>
        </w:rPr>
        <w:t>’</w:t>
      </w:r>
      <w:r w:rsidRPr="00357367">
        <w:rPr>
          <w:rFonts w:cs="Times New Roman"/>
          <w:lang w:val="fr-CA"/>
        </w:rPr>
        <w:t>un mandat par les policiers avant d</w:t>
      </w:r>
      <w:r>
        <w:rPr>
          <w:rFonts w:cs="Times New Roman"/>
          <w:lang w:val="fr-CA"/>
        </w:rPr>
        <w:t>’</w:t>
      </w:r>
      <w:r w:rsidRPr="00357367">
        <w:rPr>
          <w:rFonts w:cs="Times New Roman"/>
          <w:lang w:val="fr-CA"/>
        </w:rPr>
        <w:t>entrer chez l</w:t>
      </w:r>
      <w:r>
        <w:rPr>
          <w:rFonts w:cs="Times New Roman"/>
          <w:lang w:val="fr-CA"/>
        </w:rPr>
        <w:t>’</w:t>
      </w:r>
      <w:r w:rsidRPr="00357367">
        <w:rPr>
          <w:rFonts w:cs="Times New Roman"/>
          <w:lang w:val="fr-CA"/>
        </w:rPr>
        <w:t>appelant. Dire que cette caractéristique est sans importance pour trancher les points de droit en l</w:t>
      </w:r>
      <w:r>
        <w:rPr>
          <w:rFonts w:cs="Times New Roman"/>
          <w:lang w:val="fr-CA"/>
        </w:rPr>
        <w:t>’</w:t>
      </w:r>
      <w:r w:rsidRPr="00357367">
        <w:rPr>
          <w:rFonts w:cs="Times New Roman"/>
          <w:lang w:val="fr-CA"/>
        </w:rPr>
        <w:t>espèce comme le fait mon collègue revient à faire fi du raisonnement explicite du juge à l</w:t>
      </w:r>
      <w:r>
        <w:rPr>
          <w:rFonts w:cs="Times New Roman"/>
          <w:lang w:val="fr-CA"/>
        </w:rPr>
        <w:t>’</w:t>
      </w:r>
      <w:r w:rsidRPr="00357367">
        <w:rPr>
          <w:rFonts w:cs="Times New Roman"/>
          <w:lang w:val="fr-CA"/>
        </w:rPr>
        <w:t>effet contraire.</w:t>
      </w:r>
    </w:p>
    <w:p w:rsidR="00A37A4C" w:rsidRPr="00357367" w:rsidRDefault="00A37A4C" w:rsidP="006534E4">
      <w:pPr>
        <w:pStyle w:val="Title2LevelTitre2Niveau"/>
        <w:widowControl w:val="0"/>
        <w:rPr>
          <w:rFonts w:cs="Times New Roman"/>
          <w:lang w:val="fr-CA"/>
        </w:rPr>
      </w:pPr>
      <w:r w:rsidRPr="00357367">
        <w:rPr>
          <w:rFonts w:cs="Times New Roman"/>
          <w:lang w:val="fr-CA"/>
        </w:rPr>
        <w:t>Motifs de la Cour d</w:t>
      </w:r>
      <w:r>
        <w:rPr>
          <w:rFonts w:cs="Times New Roman"/>
          <w:lang w:val="fr-CA"/>
        </w:rPr>
        <w:t>’</w:t>
      </w:r>
      <w:r w:rsidRPr="00357367">
        <w:rPr>
          <w:rFonts w:cs="Times New Roman"/>
          <w:lang w:val="fr-CA"/>
        </w:rPr>
        <w:t>appel</w:t>
      </w:r>
    </w:p>
    <w:p w:rsidR="00A37A4C" w:rsidRPr="00357367" w:rsidRDefault="00A37A4C" w:rsidP="006534E4">
      <w:pPr>
        <w:pStyle w:val="ParaNoNdepar-AltN"/>
        <w:widowControl w:val="0"/>
        <w:rPr>
          <w:rFonts w:cs="Times New Roman"/>
          <w:lang w:val="fr-CA"/>
        </w:rPr>
      </w:pPr>
      <w:r w:rsidRPr="00357367">
        <w:rPr>
          <w:rFonts w:cs="Times New Roman"/>
          <w:lang w:val="fr-CA"/>
        </w:rPr>
        <w:t>Les propos de mon collègue ne se concilient pas non plus avec le raisonnement de la Cour d</w:t>
      </w:r>
      <w:r>
        <w:rPr>
          <w:rFonts w:cs="Times New Roman"/>
          <w:lang w:val="fr-CA"/>
        </w:rPr>
        <w:t>’</w:t>
      </w:r>
      <w:r w:rsidRPr="00357367">
        <w:rPr>
          <w:rFonts w:cs="Times New Roman"/>
          <w:lang w:val="fr-CA"/>
        </w:rPr>
        <w:t>appel. Comme le juge du procès, la Cour d</w:t>
      </w:r>
      <w:r>
        <w:rPr>
          <w:rFonts w:cs="Times New Roman"/>
          <w:lang w:val="fr-CA"/>
        </w:rPr>
        <w:t>’</w:t>
      </w:r>
      <w:r w:rsidRPr="00357367">
        <w:rPr>
          <w:rFonts w:cs="Times New Roman"/>
          <w:lang w:val="fr-CA"/>
        </w:rPr>
        <w:t>appel s</w:t>
      </w:r>
      <w:r>
        <w:rPr>
          <w:rFonts w:cs="Times New Roman"/>
          <w:lang w:val="fr-CA"/>
        </w:rPr>
        <w:t>’</w:t>
      </w:r>
      <w:r w:rsidRPr="00357367">
        <w:rPr>
          <w:rFonts w:cs="Times New Roman"/>
          <w:lang w:val="fr-CA"/>
        </w:rPr>
        <w:t xml:space="preserve">interroge sur la signification des expressions « urgence de la situation » et </w:t>
      </w:r>
      <w:r w:rsidRPr="00357367">
        <w:rPr>
          <w:rFonts w:cs="Times New Roman"/>
          <w:noProof/>
          <w:lang w:val="fr-CA"/>
        </w:rPr>
        <w:t xml:space="preserve">« difficilement réalisable ». De fait, pour définir la première, elle invoque et cite deux des trois arrêts que mon collègue juge incontournables, soit </w:t>
      </w:r>
      <w:r w:rsidRPr="00357367">
        <w:rPr>
          <w:rFonts w:cs="Times New Roman"/>
          <w:i/>
          <w:noProof/>
          <w:lang w:val="fr-CA"/>
        </w:rPr>
        <w:t>R. c. Grant</w:t>
      </w:r>
      <w:r w:rsidRPr="00357367">
        <w:rPr>
          <w:rFonts w:cs="Times New Roman"/>
          <w:noProof/>
          <w:lang w:val="fr-CA"/>
        </w:rPr>
        <w:t>, [1993] 3 R.C.S. 223</w:t>
      </w:r>
      <w:r w:rsidR="00D6432E">
        <w:rPr>
          <w:rFonts w:cs="Times New Roman"/>
          <w:noProof/>
          <w:lang w:val="fr-CA"/>
        </w:rPr>
        <w:t>,</w:t>
      </w:r>
      <w:r w:rsidRPr="00357367">
        <w:rPr>
          <w:rFonts w:cs="Times New Roman"/>
          <w:noProof/>
          <w:lang w:val="fr-CA"/>
        </w:rPr>
        <w:t xml:space="preserve"> et </w:t>
      </w:r>
      <w:r w:rsidRPr="00357367">
        <w:rPr>
          <w:rFonts w:cs="Times New Roman"/>
          <w:i/>
          <w:noProof/>
          <w:lang w:val="fr-CA"/>
        </w:rPr>
        <w:t>R. c. Feeney</w:t>
      </w:r>
      <w:r w:rsidRPr="00357367">
        <w:rPr>
          <w:rFonts w:cs="Times New Roman"/>
          <w:noProof/>
          <w:lang w:val="fr-CA"/>
        </w:rPr>
        <w:t>, [1997] 2 R.C.S. 13.</w:t>
      </w:r>
    </w:p>
    <w:p w:rsidR="00A37A4C" w:rsidRPr="00357367" w:rsidRDefault="00A37A4C" w:rsidP="006534E4">
      <w:pPr>
        <w:pStyle w:val="ParaNoNdepar-AltN"/>
        <w:widowControl w:val="0"/>
        <w:rPr>
          <w:rFonts w:cs="Times New Roman"/>
          <w:lang w:val="fr-CA"/>
        </w:rPr>
      </w:pPr>
      <w:r w:rsidRPr="00357367">
        <w:rPr>
          <w:rFonts w:cs="Times New Roman"/>
          <w:noProof/>
          <w:lang w:val="fr-CA"/>
        </w:rPr>
        <w:t>Se rangeant à l</w:t>
      </w:r>
      <w:r>
        <w:rPr>
          <w:rFonts w:cs="Times New Roman"/>
          <w:noProof/>
          <w:lang w:val="fr-CA"/>
        </w:rPr>
        <w:t>’</w:t>
      </w:r>
      <w:r w:rsidRPr="00357367">
        <w:rPr>
          <w:rFonts w:cs="Times New Roman"/>
          <w:noProof/>
          <w:lang w:val="fr-CA"/>
        </w:rPr>
        <w:t xml:space="preserve">avis du juge du procès selon lequel il y avait </w:t>
      </w:r>
      <w:r w:rsidRPr="00357367">
        <w:rPr>
          <w:rFonts w:cs="Times New Roman"/>
          <w:lang w:val="fr-CA"/>
        </w:rPr>
        <w:t>urgence de la situation au vu des faits de l</w:t>
      </w:r>
      <w:r>
        <w:rPr>
          <w:rFonts w:cs="Times New Roman"/>
          <w:lang w:val="fr-CA"/>
        </w:rPr>
        <w:t>’</w:t>
      </w:r>
      <w:r w:rsidRPr="00357367">
        <w:rPr>
          <w:rFonts w:cs="Times New Roman"/>
          <w:lang w:val="fr-CA"/>
        </w:rPr>
        <w:t>espèce, la Cour d</w:t>
      </w:r>
      <w:r>
        <w:rPr>
          <w:rFonts w:cs="Times New Roman"/>
          <w:lang w:val="fr-CA"/>
        </w:rPr>
        <w:t>’</w:t>
      </w:r>
      <w:r w:rsidRPr="00357367">
        <w:rPr>
          <w:rFonts w:cs="Times New Roman"/>
          <w:lang w:val="fr-CA"/>
        </w:rPr>
        <w:t>appel examine la thèse de l</w:t>
      </w:r>
      <w:r>
        <w:rPr>
          <w:rFonts w:cs="Times New Roman"/>
          <w:lang w:val="fr-CA"/>
        </w:rPr>
        <w:t>’</w:t>
      </w:r>
      <w:r w:rsidRPr="00357367">
        <w:rPr>
          <w:rFonts w:cs="Times New Roman"/>
          <w:lang w:val="fr-CA"/>
        </w:rPr>
        <w:t>appelant selon laquelle les policiers, en agissant comme ils l</w:t>
      </w:r>
      <w:r>
        <w:rPr>
          <w:rFonts w:cs="Times New Roman"/>
          <w:lang w:val="fr-CA"/>
        </w:rPr>
        <w:t>’</w:t>
      </w:r>
      <w:r w:rsidRPr="00357367">
        <w:rPr>
          <w:rFonts w:cs="Times New Roman"/>
          <w:lang w:val="fr-CA"/>
        </w:rPr>
        <w:t>ont fait, ont créé de toutes pièces une urgence de la situation et rendu l</w:t>
      </w:r>
      <w:r>
        <w:rPr>
          <w:rFonts w:cs="Times New Roman"/>
          <w:lang w:val="fr-CA"/>
        </w:rPr>
        <w:t>’</w:t>
      </w:r>
      <w:r w:rsidRPr="00357367">
        <w:rPr>
          <w:rFonts w:cs="Times New Roman"/>
          <w:lang w:val="fr-CA"/>
        </w:rPr>
        <w:t>obtention d</w:t>
      </w:r>
      <w:r>
        <w:rPr>
          <w:rFonts w:cs="Times New Roman"/>
          <w:lang w:val="fr-CA"/>
        </w:rPr>
        <w:t>’</w:t>
      </w:r>
      <w:r w:rsidRPr="00357367">
        <w:rPr>
          <w:rFonts w:cs="Times New Roman"/>
          <w:lang w:val="fr-CA"/>
        </w:rPr>
        <w:t>un mandat difficilement réalisable. Elle rejette la prétention en s</w:t>
      </w:r>
      <w:r>
        <w:rPr>
          <w:rFonts w:cs="Times New Roman"/>
          <w:lang w:val="fr-CA"/>
        </w:rPr>
        <w:t>’</w:t>
      </w:r>
      <w:r w:rsidRPr="00357367">
        <w:rPr>
          <w:rFonts w:cs="Times New Roman"/>
          <w:lang w:val="fr-CA"/>
        </w:rPr>
        <w:t xml:space="preserve">appuyant sur la décision </w:t>
      </w:r>
      <w:r w:rsidRPr="00357367">
        <w:rPr>
          <w:rFonts w:cs="Times New Roman"/>
          <w:i/>
          <w:lang w:val="fr-CA"/>
        </w:rPr>
        <w:t>R. c. M. (N.)</w:t>
      </w:r>
      <w:r w:rsidRPr="00357367">
        <w:rPr>
          <w:rFonts w:cs="Times New Roman"/>
          <w:lang w:val="fr-CA"/>
        </w:rPr>
        <w:t xml:space="preserve"> (2007), 223 C.C.C. (3d) 417 (C.S.J. Ont.), dans laquelle le juge Hill répertorie (au par. 232) tous les arrêts de principe, dont </w:t>
      </w:r>
      <w:r w:rsidRPr="00357367">
        <w:rPr>
          <w:rFonts w:cs="Times New Roman"/>
          <w:i/>
          <w:lang w:val="fr-CA"/>
        </w:rPr>
        <w:t>R. c. Silveira</w:t>
      </w:r>
      <w:r w:rsidRPr="00357367">
        <w:rPr>
          <w:rFonts w:cs="Times New Roman"/>
          <w:lang w:val="fr-CA"/>
        </w:rPr>
        <w:t>, [1995] 2 R.C.S. 297, auquel renvoie d</w:t>
      </w:r>
      <w:r>
        <w:rPr>
          <w:rFonts w:cs="Times New Roman"/>
          <w:lang w:val="fr-CA"/>
        </w:rPr>
        <w:t>’</w:t>
      </w:r>
      <w:r w:rsidRPr="00357367">
        <w:rPr>
          <w:rFonts w:cs="Times New Roman"/>
          <w:lang w:val="fr-CA"/>
        </w:rPr>
        <w:t>ailleurs mon collègue, qui portent sur des situations pressantes créées de toutes pièces par les policiers.</w:t>
      </w:r>
    </w:p>
    <w:p w:rsidR="00A37A4C" w:rsidRPr="00357367" w:rsidRDefault="00A37A4C" w:rsidP="006534E4">
      <w:pPr>
        <w:pStyle w:val="ParaNoNdepar-AltN"/>
        <w:widowControl w:val="0"/>
        <w:rPr>
          <w:rFonts w:cs="Times New Roman"/>
          <w:lang w:val="fr-CA"/>
        </w:rPr>
      </w:pPr>
      <w:r w:rsidRPr="00357367">
        <w:rPr>
          <w:rFonts w:cs="Times New Roman"/>
          <w:lang w:val="fr-CA"/>
        </w:rPr>
        <w:t>Puis, la Cour d</w:t>
      </w:r>
      <w:r>
        <w:rPr>
          <w:rFonts w:cs="Times New Roman"/>
          <w:lang w:val="fr-CA"/>
        </w:rPr>
        <w:t>’</w:t>
      </w:r>
      <w:r w:rsidRPr="00357367">
        <w:rPr>
          <w:rFonts w:cs="Times New Roman"/>
          <w:lang w:val="fr-CA"/>
        </w:rPr>
        <w:t>appel se demande s</w:t>
      </w:r>
      <w:r>
        <w:rPr>
          <w:rFonts w:cs="Times New Roman"/>
          <w:lang w:val="fr-CA"/>
        </w:rPr>
        <w:t>’</w:t>
      </w:r>
      <w:r w:rsidRPr="00357367">
        <w:rPr>
          <w:rFonts w:cs="Times New Roman"/>
          <w:lang w:val="fr-CA"/>
        </w:rPr>
        <w:t xml:space="preserve">il y avait urgence de la situation et, au par. 72, elle fait sienne la conclusion du juge du procès : </w:t>
      </w:r>
    </w:p>
    <w:p w:rsidR="00A37A4C" w:rsidRPr="00357367" w:rsidRDefault="00A37A4C" w:rsidP="006534E4">
      <w:pPr>
        <w:pStyle w:val="Citation-AltC"/>
        <w:widowControl w:val="0"/>
        <w:ind w:hanging="1166"/>
        <w:contextualSpacing w:val="0"/>
        <w:rPr>
          <w:lang w:val="fr-CA"/>
        </w:rPr>
      </w:pPr>
      <w:r w:rsidRPr="00357367">
        <w:rPr>
          <w:smallCaps/>
          <w:noProof/>
          <w:lang w:val="fr-CA"/>
        </w:rPr>
        <w:tab/>
      </w:r>
      <w:r w:rsidR="00FA5305">
        <w:rPr>
          <w:smallCaps/>
          <w:noProof/>
          <w:lang w:val="fr-CA"/>
        </w:rPr>
        <w:tab/>
      </w:r>
      <w:r w:rsidRPr="00357367">
        <w:rPr>
          <w:smallCaps/>
          <w:noProof/>
          <w:lang w:val="fr-CA"/>
        </w:rPr>
        <w:t xml:space="preserve">[traduction] </w:t>
      </w:r>
      <w:r w:rsidRPr="00357367">
        <w:rPr>
          <w:lang w:val="fr-CA"/>
        </w:rPr>
        <w:t>Comme il existait nettement des motifs d</w:t>
      </w:r>
      <w:r>
        <w:rPr>
          <w:lang w:val="fr-CA"/>
        </w:rPr>
        <w:t>’</w:t>
      </w:r>
      <w:r w:rsidRPr="00357367">
        <w:rPr>
          <w:lang w:val="fr-CA"/>
        </w:rPr>
        <w:t>arrêter M. Paterson et d</w:t>
      </w:r>
      <w:r>
        <w:rPr>
          <w:lang w:val="fr-CA"/>
        </w:rPr>
        <w:t>’</w:t>
      </w:r>
      <w:r w:rsidRPr="00357367">
        <w:rPr>
          <w:lang w:val="fr-CA"/>
        </w:rPr>
        <w:t>obtenir un mandat, j</w:t>
      </w:r>
      <w:r>
        <w:rPr>
          <w:lang w:val="fr-CA"/>
        </w:rPr>
        <w:t>’</w:t>
      </w:r>
      <w:r w:rsidRPr="00357367">
        <w:rPr>
          <w:lang w:val="fr-CA"/>
        </w:rPr>
        <w:t xml:space="preserve">examine maintenant le par. 11(7) de la </w:t>
      </w:r>
      <w:r w:rsidRPr="00357367">
        <w:rPr>
          <w:i/>
          <w:lang w:val="fr-CA"/>
        </w:rPr>
        <w:t>LRCDAS</w:t>
      </w:r>
      <w:r w:rsidRPr="00357367">
        <w:rPr>
          <w:lang w:val="fr-CA"/>
        </w:rPr>
        <w:t xml:space="preserve">. Pour décider de la justesse de la conclusion du juge du procès selon laquelle le par. 11(7) de la </w:t>
      </w:r>
      <w:r w:rsidRPr="00357367">
        <w:rPr>
          <w:i/>
          <w:lang w:val="fr-CA"/>
        </w:rPr>
        <w:t xml:space="preserve">LRCDAS </w:t>
      </w:r>
      <w:r w:rsidRPr="00357367">
        <w:rPr>
          <w:lang w:val="fr-CA"/>
        </w:rPr>
        <w:t>s</w:t>
      </w:r>
      <w:r>
        <w:rPr>
          <w:lang w:val="fr-CA"/>
        </w:rPr>
        <w:t>’</w:t>
      </w:r>
      <w:r w:rsidRPr="00357367">
        <w:rPr>
          <w:lang w:val="fr-CA"/>
        </w:rPr>
        <w:t>appliquait, je me demande d</w:t>
      </w:r>
      <w:r>
        <w:rPr>
          <w:lang w:val="fr-CA"/>
        </w:rPr>
        <w:t>’</w:t>
      </w:r>
      <w:r w:rsidRPr="00357367">
        <w:rPr>
          <w:lang w:val="fr-CA"/>
        </w:rPr>
        <w:t>abord s</w:t>
      </w:r>
      <w:r>
        <w:rPr>
          <w:lang w:val="fr-CA"/>
        </w:rPr>
        <w:t>’</w:t>
      </w:r>
      <w:r w:rsidRPr="00357367">
        <w:rPr>
          <w:lang w:val="fr-CA"/>
        </w:rPr>
        <w:t xml:space="preserve">il y avait urgence de la situation. À mon avis, il y en avait assurément une. Les policiers avaient perçu une odeur de marihuana, et M. Paterson avait reconnu avoir de la marihuana chez lui. </w:t>
      </w:r>
      <w:r w:rsidRPr="00357367">
        <w:rPr>
          <w:u w:val="single"/>
          <w:lang w:val="fr-CA"/>
        </w:rPr>
        <w:t>M. Paterson se trouvait dans l</w:t>
      </w:r>
      <w:r>
        <w:rPr>
          <w:u w:val="single"/>
          <w:lang w:val="fr-CA"/>
        </w:rPr>
        <w:t>’</w:t>
      </w:r>
      <w:r w:rsidRPr="00357367">
        <w:rPr>
          <w:u w:val="single"/>
          <w:lang w:val="fr-CA"/>
        </w:rPr>
        <w:t>appartement, et les policiers ne comptaient pas l</w:t>
      </w:r>
      <w:r>
        <w:rPr>
          <w:u w:val="single"/>
          <w:lang w:val="fr-CA"/>
        </w:rPr>
        <w:t>’</w:t>
      </w:r>
      <w:r w:rsidRPr="00357367">
        <w:rPr>
          <w:u w:val="single"/>
          <w:lang w:val="fr-CA"/>
        </w:rPr>
        <w:t>arrêter. Je signale incidemment que le juge du procès est conscient de la possibilité que les policiers aient pu créer une situation qui leur aurait permis d</w:t>
      </w:r>
      <w:r>
        <w:rPr>
          <w:u w:val="single"/>
          <w:lang w:val="fr-CA"/>
        </w:rPr>
        <w:t>’</w:t>
      </w:r>
      <w:r w:rsidRPr="00357367">
        <w:rPr>
          <w:u w:val="single"/>
          <w:lang w:val="fr-CA"/>
        </w:rPr>
        <w:t>entrer dans l</w:t>
      </w:r>
      <w:r>
        <w:rPr>
          <w:u w:val="single"/>
          <w:lang w:val="fr-CA"/>
        </w:rPr>
        <w:t>’</w:t>
      </w:r>
      <w:r w:rsidRPr="00357367">
        <w:rPr>
          <w:u w:val="single"/>
          <w:lang w:val="fr-CA"/>
        </w:rPr>
        <w:t>appartement sans mandat et qu</w:t>
      </w:r>
      <w:r>
        <w:rPr>
          <w:u w:val="single"/>
          <w:lang w:val="fr-CA"/>
        </w:rPr>
        <w:t>’</w:t>
      </w:r>
      <w:r w:rsidRPr="00357367">
        <w:rPr>
          <w:u w:val="single"/>
          <w:lang w:val="fr-CA"/>
        </w:rPr>
        <w:t>il conclut que tel n</w:t>
      </w:r>
      <w:r>
        <w:rPr>
          <w:u w:val="single"/>
          <w:lang w:val="fr-CA"/>
        </w:rPr>
        <w:t>’</w:t>
      </w:r>
      <w:r w:rsidRPr="00357367">
        <w:rPr>
          <w:u w:val="single"/>
          <w:lang w:val="fr-CA"/>
        </w:rPr>
        <w:t>a pas été le cas. Il ajoute foi à leurs témoignages selon lesquels ils voulaient seulement saisir les « mégots » puis, s</w:t>
      </w:r>
      <w:r>
        <w:rPr>
          <w:u w:val="single"/>
          <w:lang w:val="fr-CA"/>
        </w:rPr>
        <w:t>’</w:t>
      </w:r>
      <w:r w:rsidRPr="00357367">
        <w:rPr>
          <w:u w:val="single"/>
          <w:lang w:val="fr-CA"/>
        </w:rPr>
        <w:t>agissant d</w:t>
      </w:r>
      <w:r>
        <w:rPr>
          <w:u w:val="single"/>
          <w:lang w:val="fr-CA"/>
        </w:rPr>
        <w:t>’</w:t>
      </w:r>
      <w:r w:rsidRPr="00357367">
        <w:rPr>
          <w:u w:val="single"/>
          <w:lang w:val="fr-CA"/>
        </w:rPr>
        <w:t>une saisie « sans poursuite », quitter les lieux. S</w:t>
      </w:r>
      <w:r>
        <w:rPr>
          <w:u w:val="single"/>
          <w:lang w:val="fr-CA"/>
        </w:rPr>
        <w:t>’</w:t>
      </w:r>
      <w:r w:rsidRPr="00357367">
        <w:rPr>
          <w:u w:val="single"/>
          <w:lang w:val="fr-CA"/>
        </w:rPr>
        <w:t>ils étaient allés chercher un mandat tandis que M. Paterson demeurait sur place, ce dernier aurait pu aisément détruire les mégots.</w:t>
      </w:r>
      <w:r w:rsidRPr="00357367">
        <w:rPr>
          <w:lang w:val="fr-CA"/>
        </w:rPr>
        <w:t xml:space="preserve"> [Je souligne.]</w:t>
      </w:r>
    </w:p>
    <w:p w:rsidR="00A37A4C" w:rsidRPr="00357367" w:rsidRDefault="00A37A4C" w:rsidP="006534E4">
      <w:pPr>
        <w:pStyle w:val="ContinueParaSuitedupar-AltP"/>
        <w:widowControl w:val="0"/>
        <w:rPr>
          <w:rFonts w:cs="Times New Roman"/>
          <w:lang w:val="fr-CA"/>
        </w:rPr>
      </w:pPr>
      <w:r w:rsidRPr="00357367">
        <w:rPr>
          <w:rFonts w:cs="Times New Roman"/>
          <w:lang w:val="fr-CA"/>
        </w:rPr>
        <w:t>Il est donc manifeste que la caractéristique « sans poursuite » de la saisie a joué un rôle central dans l</w:t>
      </w:r>
      <w:r>
        <w:rPr>
          <w:rFonts w:cs="Times New Roman"/>
          <w:lang w:val="fr-CA"/>
        </w:rPr>
        <w:t>’</w:t>
      </w:r>
      <w:r w:rsidRPr="00357367">
        <w:rPr>
          <w:rFonts w:cs="Times New Roman"/>
          <w:lang w:val="fr-CA"/>
        </w:rPr>
        <w:t>analyse de la Cour d</w:t>
      </w:r>
      <w:r>
        <w:rPr>
          <w:rFonts w:cs="Times New Roman"/>
          <w:lang w:val="fr-CA"/>
        </w:rPr>
        <w:t>’</w:t>
      </w:r>
      <w:r w:rsidRPr="00357367">
        <w:rPr>
          <w:rFonts w:cs="Times New Roman"/>
          <w:lang w:val="fr-CA"/>
        </w:rPr>
        <w:t>appel relative à l</w:t>
      </w:r>
      <w:r>
        <w:rPr>
          <w:rFonts w:cs="Times New Roman"/>
          <w:lang w:val="fr-CA"/>
        </w:rPr>
        <w:t>’</w:t>
      </w:r>
      <w:r w:rsidRPr="00357367">
        <w:rPr>
          <w:rFonts w:cs="Times New Roman"/>
          <w:lang w:val="fr-CA"/>
        </w:rPr>
        <w:t>« urgence de la situation ».</w:t>
      </w:r>
    </w:p>
    <w:p w:rsidR="00A37A4C" w:rsidRPr="00357367" w:rsidRDefault="00A37A4C" w:rsidP="006534E4">
      <w:pPr>
        <w:pStyle w:val="ParaNoNdepar-AltN"/>
        <w:widowControl w:val="0"/>
        <w:rPr>
          <w:rFonts w:cs="Times New Roman"/>
          <w:lang w:val="fr-CA"/>
        </w:rPr>
      </w:pPr>
      <w:r w:rsidRPr="00357367">
        <w:rPr>
          <w:rFonts w:cs="Times New Roman"/>
          <w:lang w:val="fr-CA"/>
        </w:rPr>
        <w:t>La Cour d</w:t>
      </w:r>
      <w:r>
        <w:rPr>
          <w:rFonts w:cs="Times New Roman"/>
          <w:lang w:val="fr-CA"/>
        </w:rPr>
        <w:t>’</w:t>
      </w:r>
      <w:r w:rsidRPr="00357367">
        <w:rPr>
          <w:rFonts w:cs="Times New Roman"/>
          <w:lang w:val="fr-CA"/>
        </w:rPr>
        <w:t>appel se penche ensuite sur l</w:t>
      </w:r>
      <w:r>
        <w:rPr>
          <w:rFonts w:cs="Times New Roman"/>
          <w:lang w:val="fr-CA"/>
        </w:rPr>
        <w:t>’</w:t>
      </w:r>
      <w:r w:rsidRPr="00357367">
        <w:rPr>
          <w:rFonts w:cs="Times New Roman"/>
          <w:lang w:val="fr-CA"/>
        </w:rPr>
        <w:t>expression « difficilement réalisable », qu</w:t>
      </w:r>
      <w:r>
        <w:rPr>
          <w:rFonts w:cs="Times New Roman"/>
          <w:lang w:val="fr-CA"/>
        </w:rPr>
        <w:t>’</w:t>
      </w:r>
      <w:r w:rsidRPr="00357367">
        <w:rPr>
          <w:rFonts w:cs="Times New Roman"/>
          <w:lang w:val="fr-CA"/>
        </w:rPr>
        <w:t>elle définit conformément à sa décision dans l</w:t>
      </w:r>
      <w:r>
        <w:rPr>
          <w:rFonts w:cs="Times New Roman"/>
          <w:lang w:val="fr-CA"/>
        </w:rPr>
        <w:t>’</w:t>
      </w:r>
      <w:r w:rsidRPr="00357367">
        <w:rPr>
          <w:rFonts w:cs="Times New Roman"/>
          <w:lang w:val="fr-CA"/>
        </w:rPr>
        <w:t xml:space="preserve">affaire </w:t>
      </w:r>
      <w:r w:rsidRPr="00357367">
        <w:rPr>
          <w:rFonts w:cs="Times New Roman"/>
          <w:i/>
          <w:lang w:val="fr-CA"/>
        </w:rPr>
        <w:t>Erickson</w:t>
      </w:r>
      <w:r w:rsidRPr="00357367">
        <w:rPr>
          <w:rFonts w:cs="Times New Roman"/>
          <w:lang w:val="fr-CA"/>
        </w:rPr>
        <w:t xml:space="preserve">. </w:t>
      </w:r>
      <w:r w:rsidRPr="00357367">
        <w:rPr>
          <w:rFonts w:cs="Times New Roman"/>
          <w:noProof/>
          <w:szCs w:val="24"/>
          <w:lang w:val="fr-CA"/>
        </w:rPr>
        <w:t xml:space="preserve">Puis elle revient sur la portée de la saisie </w:t>
      </w:r>
      <w:r w:rsidRPr="00357367">
        <w:rPr>
          <w:rFonts w:cs="Times New Roman"/>
          <w:lang w:val="fr-CA"/>
        </w:rPr>
        <w:t>« sans poursuite » pour formuler une remarque importante:</w:t>
      </w:r>
    </w:p>
    <w:p w:rsidR="00A37A4C" w:rsidRPr="00357367" w:rsidRDefault="00A37A4C" w:rsidP="006534E4">
      <w:pPr>
        <w:pStyle w:val="Citation-AltC"/>
        <w:widowControl w:val="0"/>
        <w:ind w:hanging="1166"/>
        <w:contextualSpacing w:val="0"/>
        <w:rPr>
          <w:lang w:val="fr-CA"/>
        </w:rPr>
      </w:pPr>
      <w:r w:rsidRPr="00357367">
        <w:rPr>
          <w:smallCaps/>
          <w:noProof/>
          <w:lang w:val="fr-CA"/>
        </w:rPr>
        <w:tab/>
      </w:r>
      <w:r w:rsidR="00FA5305">
        <w:rPr>
          <w:smallCaps/>
          <w:noProof/>
          <w:lang w:val="fr-CA"/>
        </w:rPr>
        <w:tab/>
      </w:r>
      <w:r w:rsidRPr="00357367">
        <w:rPr>
          <w:smallCaps/>
          <w:noProof/>
          <w:lang w:val="fr-CA"/>
        </w:rPr>
        <w:t xml:space="preserve">[traduction] </w:t>
      </w:r>
      <w:r w:rsidRPr="00357367">
        <w:rPr>
          <w:smallCaps/>
          <w:noProof/>
          <w:u w:val="single"/>
          <w:lang w:val="fr-CA"/>
        </w:rPr>
        <w:t>D</w:t>
      </w:r>
      <w:r w:rsidRPr="00357367">
        <w:rPr>
          <w:u w:val="single"/>
          <w:lang w:val="fr-CA"/>
        </w:rPr>
        <w:t>ans la présente affaire, les policiers auraient été contraints d</w:t>
      </w:r>
      <w:r>
        <w:rPr>
          <w:u w:val="single"/>
          <w:lang w:val="fr-CA"/>
        </w:rPr>
        <w:t>’</w:t>
      </w:r>
      <w:r w:rsidRPr="00357367">
        <w:rPr>
          <w:u w:val="single"/>
          <w:lang w:val="fr-CA"/>
        </w:rPr>
        <w:t>arrêter M. Paterson, ce qui aurait plus porté atteinte à ses droits à la liberté, puis d</w:t>
      </w:r>
      <w:r>
        <w:rPr>
          <w:u w:val="single"/>
          <w:lang w:val="fr-CA"/>
        </w:rPr>
        <w:t>’</w:t>
      </w:r>
      <w:r w:rsidRPr="00357367">
        <w:rPr>
          <w:u w:val="single"/>
          <w:lang w:val="fr-CA"/>
        </w:rPr>
        <w:t>obtenir un mandat les autorisant à saisir les mégots. Ils ont soupesé ces possibilités et conclu qu</w:t>
      </w:r>
      <w:r>
        <w:rPr>
          <w:u w:val="single"/>
          <w:lang w:val="fr-CA"/>
        </w:rPr>
        <w:t>’</w:t>
      </w:r>
      <w:r w:rsidRPr="00357367">
        <w:rPr>
          <w:u w:val="single"/>
          <w:lang w:val="fr-CA"/>
        </w:rPr>
        <w:t>il s</w:t>
      </w:r>
      <w:r>
        <w:rPr>
          <w:u w:val="single"/>
          <w:lang w:val="fr-CA"/>
        </w:rPr>
        <w:t>’</w:t>
      </w:r>
      <w:r w:rsidRPr="00357367">
        <w:rPr>
          <w:u w:val="single"/>
          <w:lang w:val="fr-CA"/>
        </w:rPr>
        <w:t>agissait d</w:t>
      </w:r>
      <w:r>
        <w:rPr>
          <w:u w:val="single"/>
          <w:lang w:val="fr-CA"/>
        </w:rPr>
        <w:t>’</w:t>
      </w:r>
      <w:r w:rsidRPr="00357367">
        <w:rPr>
          <w:u w:val="single"/>
          <w:lang w:val="fr-CA"/>
        </w:rPr>
        <w:t>une démarche peu pratique (ce terme est le mien) dans le cadre de ce qui devait constituer — croyaient</w:t>
      </w:r>
      <w:r w:rsidRPr="00357367">
        <w:rPr>
          <w:u w:val="single"/>
          <w:lang w:val="fr-CA"/>
        </w:rPr>
        <w:noBreakHyphen/>
        <w:t>ils — une saisie « sans poursuite »</w:t>
      </w:r>
      <w:r w:rsidRPr="00FA5305">
        <w:rPr>
          <w:u w:val="single"/>
          <w:lang w:val="fr-CA"/>
        </w:rPr>
        <w:t>.</w:t>
      </w:r>
      <w:r w:rsidRPr="00357367">
        <w:rPr>
          <w:lang w:val="fr-CA"/>
        </w:rPr>
        <w:t xml:space="preserve"> Le juge du procès en conclut que l</w:t>
      </w:r>
      <w:r>
        <w:rPr>
          <w:lang w:val="fr-CA"/>
        </w:rPr>
        <w:t>’</w:t>
      </w:r>
      <w:r w:rsidRPr="00357367">
        <w:rPr>
          <w:lang w:val="fr-CA"/>
        </w:rPr>
        <w:t>obtention d</w:t>
      </w:r>
      <w:r>
        <w:rPr>
          <w:lang w:val="fr-CA"/>
        </w:rPr>
        <w:t>’</w:t>
      </w:r>
      <w:r w:rsidRPr="00357367">
        <w:rPr>
          <w:lang w:val="fr-CA"/>
        </w:rPr>
        <w:t>un mandat était difficilement réalisable, et rien ne justifie d</w:t>
      </w:r>
      <w:r>
        <w:rPr>
          <w:lang w:val="fr-CA"/>
        </w:rPr>
        <w:t>’</w:t>
      </w:r>
      <w:r w:rsidRPr="00357367">
        <w:rPr>
          <w:lang w:val="fr-CA"/>
        </w:rPr>
        <w:t>écarter sa conclusion. [Je souligne; par. 74.]</w:t>
      </w:r>
    </w:p>
    <w:p w:rsidR="00A37A4C" w:rsidRPr="00357367" w:rsidRDefault="00A37A4C" w:rsidP="006534E4">
      <w:pPr>
        <w:pStyle w:val="ParaNoNdepar-AltN"/>
        <w:widowControl w:val="0"/>
        <w:rPr>
          <w:rFonts w:cs="Times New Roman"/>
          <w:lang w:val="fr-CA"/>
        </w:rPr>
      </w:pPr>
      <w:r w:rsidRPr="00357367">
        <w:rPr>
          <w:rFonts w:cs="Times New Roman"/>
          <w:lang w:val="fr-CA"/>
        </w:rPr>
        <w:t>En d</w:t>
      </w:r>
      <w:r>
        <w:rPr>
          <w:rFonts w:cs="Times New Roman"/>
          <w:lang w:val="fr-CA"/>
        </w:rPr>
        <w:t>’</w:t>
      </w:r>
      <w:r w:rsidRPr="00357367">
        <w:rPr>
          <w:rFonts w:cs="Times New Roman"/>
          <w:lang w:val="fr-CA"/>
        </w:rPr>
        <w:t>autres termes, la Cour d</w:t>
      </w:r>
      <w:r>
        <w:rPr>
          <w:rFonts w:cs="Times New Roman"/>
          <w:lang w:val="fr-CA"/>
        </w:rPr>
        <w:t>’</w:t>
      </w:r>
      <w:r w:rsidRPr="00357367">
        <w:rPr>
          <w:rFonts w:cs="Times New Roman"/>
          <w:lang w:val="fr-CA"/>
        </w:rPr>
        <w:t>appel estime que, en agissant comme ils l</w:t>
      </w:r>
      <w:r>
        <w:rPr>
          <w:rFonts w:cs="Times New Roman"/>
          <w:lang w:val="fr-CA"/>
        </w:rPr>
        <w:t>’</w:t>
      </w:r>
      <w:r w:rsidRPr="00357367">
        <w:rPr>
          <w:rFonts w:cs="Times New Roman"/>
          <w:lang w:val="fr-CA"/>
        </w:rPr>
        <w:t>ont fait, les policiers ont soupesé les possibilités qui s</w:t>
      </w:r>
      <w:r>
        <w:rPr>
          <w:rFonts w:cs="Times New Roman"/>
          <w:lang w:val="fr-CA"/>
        </w:rPr>
        <w:t>’</w:t>
      </w:r>
      <w:r w:rsidRPr="00357367">
        <w:rPr>
          <w:rFonts w:cs="Times New Roman"/>
          <w:lang w:val="fr-CA"/>
        </w:rPr>
        <w:t>offraient à eux dans le cas d</w:t>
      </w:r>
      <w:r>
        <w:rPr>
          <w:rFonts w:cs="Times New Roman"/>
          <w:lang w:val="fr-CA"/>
        </w:rPr>
        <w:t>’</w:t>
      </w:r>
      <w:r w:rsidRPr="00357367">
        <w:rPr>
          <w:rFonts w:cs="Times New Roman"/>
          <w:lang w:val="fr-CA"/>
        </w:rPr>
        <w:t>une saisie « sans poursuite » — (1) arrêter l</w:t>
      </w:r>
      <w:r>
        <w:rPr>
          <w:rFonts w:cs="Times New Roman"/>
          <w:lang w:val="fr-CA"/>
        </w:rPr>
        <w:t>’</w:t>
      </w:r>
      <w:r w:rsidRPr="00357367">
        <w:rPr>
          <w:rFonts w:cs="Times New Roman"/>
          <w:lang w:val="fr-CA"/>
        </w:rPr>
        <w:t>appelant ou (2) entrer chez lui sans mandat à une fin bien circonscrite — et retenu la seconde, qui leur paraissait moins attentatoire et plus respectueuse des droits constitutionnels de l</w:t>
      </w:r>
      <w:r>
        <w:rPr>
          <w:rFonts w:cs="Times New Roman"/>
          <w:lang w:val="fr-CA"/>
        </w:rPr>
        <w:t>’</w:t>
      </w:r>
      <w:r w:rsidRPr="00357367">
        <w:rPr>
          <w:rFonts w:cs="Times New Roman"/>
          <w:lang w:val="fr-CA"/>
        </w:rPr>
        <w:t>appelant que la première.</w:t>
      </w:r>
    </w:p>
    <w:p w:rsidR="00A37A4C" w:rsidRPr="00357367" w:rsidRDefault="00A37A4C" w:rsidP="006534E4">
      <w:pPr>
        <w:pStyle w:val="Title2LevelTitre2Niveau"/>
        <w:widowControl w:val="0"/>
        <w:rPr>
          <w:rFonts w:cs="Times New Roman"/>
          <w:lang w:val="fr-CA"/>
        </w:rPr>
      </w:pPr>
      <w:r w:rsidRPr="00357367">
        <w:rPr>
          <w:rFonts w:cs="Times New Roman"/>
          <w:lang w:val="fr-CA"/>
        </w:rPr>
        <w:t>L</w:t>
      </w:r>
      <w:r>
        <w:rPr>
          <w:rFonts w:cs="Times New Roman"/>
          <w:lang w:val="fr-CA"/>
        </w:rPr>
        <w:t>’</w:t>
      </w:r>
      <w:r w:rsidRPr="00357367">
        <w:rPr>
          <w:rFonts w:cs="Times New Roman"/>
          <w:lang w:val="fr-CA"/>
        </w:rPr>
        <w:t>admissibilité de la preuve au regard du par</w:t>
      </w:r>
      <w:r w:rsidR="00FA5305">
        <w:rPr>
          <w:rFonts w:cs="Times New Roman"/>
          <w:lang w:val="fr-CA"/>
        </w:rPr>
        <w:t>.</w:t>
      </w:r>
      <w:r w:rsidRPr="00357367">
        <w:rPr>
          <w:rFonts w:cs="Times New Roman"/>
          <w:lang w:val="fr-CA"/>
        </w:rPr>
        <w:t> 24(2)</w:t>
      </w:r>
    </w:p>
    <w:p w:rsidR="00A37A4C" w:rsidRPr="00357367" w:rsidRDefault="00A37A4C" w:rsidP="006534E4">
      <w:pPr>
        <w:pStyle w:val="ParaNoNdepar-AltN"/>
        <w:widowControl w:val="0"/>
        <w:rPr>
          <w:rFonts w:cs="Times New Roman"/>
          <w:lang w:val="fr-CA"/>
        </w:rPr>
      </w:pPr>
      <w:r w:rsidRPr="00357367">
        <w:rPr>
          <w:rFonts w:cs="Times New Roman"/>
          <w:lang w:val="fr-CA"/>
        </w:rPr>
        <w:t>Au vu de ces observations du plus haut tribunal de la Colombie</w:t>
      </w:r>
      <w:r w:rsidRPr="00357367">
        <w:rPr>
          <w:rFonts w:cs="Times New Roman"/>
          <w:lang w:val="fr-CA"/>
        </w:rPr>
        <w:noBreakHyphen/>
        <w:t>Britannique, je ne saurais convenir avec mon collègue que la caractéristique « sans poursuite » de la saisie n</w:t>
      </w:r>
      <w:r>
        <w:rPr>
          <w:rFonts w:cs="Times New Roman"/>
          <w:lang w:val="fr-CA"/>
        </w:rPr>
        <w:t>’</w:t>
      </w:r>
      <w:r w:rsidRPr="00357367">
        <w:rPr>
          <w:rFonts w:cs="Times New Roman"/>
          <w:lang w:val="fr-CA"/>
        </w:rPr>
        <w:t>ajoute aucun élément de nouveauté à l</w:t>
      </w:r>
      <w:r>
        <w:rPr>
          <w:rFonts w:cs="Times New Roman"/>
          <w:lang w:val="fr-CA"/>
        </w:rPr>
        <w:t>’</w:t>
      </w:r>
      <w:r w:rsidRPr="00357367">
        <w:rPr>
          <w:rFonts w:cs="Times New Roman"/>
          <w:lang w:val="fr-CA"/>
        </w:rPr>
        <w:t>analyse juridique. Je passe donc à la particularité du présent dossier — l</w:t>
      </w:r>
      <w:r>
        <w:rPr>
          <w:rFonts w:cs="Times New Roman"/>
          <w:lang w:val="fr-CA"/>
        </w:rPr>
        <w:t>’</w:t>
      </w:r>
      <w:r w:rsidRPr="00357367">
        <w:rPr>
          <w:rFonts w:cs="Times New Roman"/>
          <w:lang w:val="fr-CA"/>
        </w:rPr>
        <w:t>incertitude juridique — qui me paraît cruciale pour décider si la conduite des policiers a été si grave et si attentatoire au droit de l</w:t>
      </w:r>
      <w:r>
        <w:rPr>
          <w:rFonts w:cs="Times New Roman"/>
          <w:lang w:val="fr-CA"/>
        </w:rPr>
        <w:t>’</w:t>
      </w:r>
      <w:r w:rsidRPr="00357367">
        <w:rPr>
          <w:rFonts w:cs="Times New Roman"/>
          <w:lang w:val="fr-CA"/>
        </w:rPr>
        <w:t>appelant à la protection de sa vie privée qu</w:t>
      </w:r>
      <w:r>
        <w:rPr>
          <w:rFonts w:cs="Times New Roman"/>
          <w:lang w:val="fr-CA"/>
        </w:rPr>
        <w:t>’</w:t>
      </w:r>
      <w:r w:rsidRPr="00357367">
        <w:rPr>
          <w:rFonts w:cs="Times New Roman"/>
          <w:lang w:val="fr-CA"/>
        </w:rPr>
        <w:t xml:space="preserve">il faut écarter par application du par. 24(2) de la </w:t>
      </w:r>
      <w:r w:rsidRPr="00357367">
        <w:rPr>
          <w:rFonts w:cs="Times New Roman"/>
          <w:i/>
          <w:lang w:val="fr-CA"/>
        </w:rPr>
        <w:t>Charte</w:t>
      </w:r>
      <w:r w:rsidRPr="00357367">
        <w:rPr>
          <w:rFonts w:cs="Times New Roman"/>
          <w:lang w:val="fr-CA"/>
        </w:rPr>
        <w:t xml:space="preserve"> la preuve constituée des drogues et des armes à feu chargées trouvées chez lui au motif que son admission serait susceptible de déconsidérer l</w:t>
      </w:r>
      <w:r>
        <w:rPr>
          <w:rFonts w:cs="Times New Roman"/>
          <w:lang w:val="fr-CA"/>
        </w:rPr>
        <w:t>’</w:t>
      </w:r>
      <w:r w:rsidRPr="00357367">
        <w:rPr>
          <w:rFonts w:cs="Times New Roman"/>
          <w:lang w:val="fr-CA"/>
        </w:rPr>
        <w:t>administration de la justice.</w:t>
      </w:r>
    </w:p>
    <w:p w:rsidR="00A37A4C" w:rsidRPr="00357367" w:rsidRDefault="00A37A4C" w:rsidP="006534E4">
      <w:pPr>
        <w:pStyle w:val="ParaNoNdepar-AltN"/>
        <w:widowControl w:val="0"/>
        <w:rPr>
          <w:rFonts w:cs="Times New Roman"/>
          <w:lang w:val="fr-CA"/>
        </w:rPr>
      </w:pPr>
      <w:r w:rsidRPr="00357367">
        <w:rPr>
          <w:rFonts w:cs="Times New Roman"/>
          <w:lang w:val="fr-CA"/>
        </w:rPr>
        <w:t>Je reconnais d</w:t>
      </w:r>
      <w:r>
        <w:rPr>
          <w:rFonts w:cs="Times New Roman"/>
          <w:lang w:val="fr-CA"/>
        </w:rPr>
        <w:t>’</w:t>
      </w:r>
      <w:r w:rsidRPr="00357367">
        <w:rPr>
          <w:rFonts w:cs="Times New Roman"/>
          <w:lang w:val="fr-CA"/>
        </w:rPr>
        <w:t>emblée que l</w:t>
      </w:r>
      <w:r>
        <w:rPr>
          <w:rFonts w:cs="Times New Roman"/>
          <w:lang w:val="fr-CA"/>
        </w:rPr>
        <w:t>’</w:t>
      </w:r>
      <w:r w:rsidRPr="00357367">
        <w:rPr>
          <w:rFonts w:cs="Times New Roman"/>
          <w:lang w:val="fr-CA"/>
        </w:rPr>
        <w:t>entrée des policiers chez l</w:t>
      </w:r>
      <w:r>
        <w:rPr>
          <w:rFonts w:cs="Times New Roman"/>
          <w:lang w:val="fr-CA"/>
        </w:rPr>
        <w:t>’</w:t>
      </w:r>
      <w:r w:rsidRPr="00357367">
        <w:rPr>
          <w:rFonts w:cs="Times New Roman"/>
          <w:lang w:val="fr-CA"/>
        </w:rPr>
        <w:t>appelant était illégale. Pour le dire en peu de mots, il n</w:t>
      </w:r>
      <w:r>
        <w:rPr>
          <w:rFonts w:cs="Times New Roman"/>
          <w:lang w:val="fr-CA"/>
        </w:rPr>
        <w:t>’</w:t>
      </w:r>
      <w:r w:rsidRPr="00357367">
        <w:rPr>
          <w:rFonts w:cs="Times New Roman"/>
          <w:lang w:val="fr-CA"/>
        </w:rPr>
        <w:t>y avait pas de risque immédiat de destruction des mégots auquel les policiers ne pouvaient faire obstacle sans recourir à une entrée sans mandat. En d</w:t>
      </w:r>
      <w:r>
        <w:rPr>
          <w:rFonts w:cs="Times New Roman"/>
          <w:lang w:val="fr-CA"/>
        </w:rPr>
        <w:t>’</w:t>
      </w:r>
      <w:r w:rsidRPr="00357367">
        <w:rPr>
          <w:rFonts w:cs="Times New Roman"/>
          <w:lang w:val="fr-CA"/>
        </w:rPr>
        <w:t>autres termes, il n</w:t>
      </w:r>
      <w:r>
        <w:rPr>
          <w:rFonts w:cs="Times New Roman"/>
          <w:lang w:val="fr-CA"/>
        </w:rPr>
        <w:t>’</w:t>
      </w:r>
      <w:r w:rsidRPr="00357367">
        <w:rPr>
          <w:rFonts w:cs="Times New Roman"/>
          <w:lang w:val="fr-CA"/>
        </w:rPr>
        <w:t>existait pas d</w:t>
      </w:r>
      <w:r>
        <w:rPr>
          <w:rFonts w:cs="Times New Roman"/>
          <w:lang w:val="fr-CA"/>
        </w:rPr>
        <w:t>’</w:t>
      </w:r>
      <w:r w:rsidRPr="00357367">
        <w:rPr>
          <w:rFonts w:cs="Times New Roman"/>
          <w:lang w:val="fr-CA"/>
        </w:rPr>
        <w:t>urgence de la situation. Selon moi, le mot « urgence » suppose l</w:t>
      </w:r>
      <w:r>
        <w:rPr>
          <w:rFonts w:cs="Times New Roman"/>
          <w:lang w:val="fr-CA"/>
        </w:rPr>
        <w:t>’</w:t>
      </w:r>
      <w:r w:rsidRPr="00357367">
        <w:rPr>
          <w:rFonts w:cs="Times New Roman"/>
          <w:lang w:val="fr-CA"/>
        </w:rPr>
        <w:t>existence de circonstances pressantes, sans plus, et il n</w:t>
      </w:r>
      <w:r>
        <w:rPr>
          <w:rFonts w:cs="Times New Roman"/>
          <w:lang w:val="fr-CA"/>
        </w:rPr>
        <w:t>’</w:t>
      </w:r>
      <w:r w:rsidRPr="00357367">
        <w:rPr>
          <w:rFonts w:cs="Times New Roman"/>
          <w:lang w:val="fr-CA"/>
        </w:rPr>
        <w:t>y en avait pas vraiment en l</w:t>
      </w:r>
      <w:r>
        <w:rPr>
          <w:rFonts w:cs="Times New Roman"/>
          <w:lang w:val="fr-CA"/>
        </w:rPr>
        <w:t>’</w:t>
      </w:r>
      <w:r w:rsidRPr="00357367">
        <w:rPr>
          <w:rFonts w:cs="Times New Roman"/>
          <w:lang w:val="fr-CA"/>
        </w:rPr>
        <w:t>espèce. Les policiers auraient pu arrêter l</w:t>
      </w:r>
      <w:r>
        <w:rPr>
          <w:rFonts w:cs="Times New Roman"/>
          <w:lang w:val="fr-CA"/>
        </w:rPr>
        <w:t>’</w:t>
      </w:r>
      <w:r w:rsidRPr="00357367">
        <w:rPr>
          <w:rFonts w:cs="Times New Roman"/>
          <w:lang w:val="fr-CA"/>
        </w:rPr>
        <w:t>appelant puis obtenir un mandat autorisant la perquisition de son appartement. La démarche aurait certes été peu commode et emporté une atteinte d</w:t>
      </w:r>
      <w:r>
        <w:rPr>
          <w:rFonts w:cs="Times New Roman"/>
          <w:lang w:val="fr-CA"/>
        </w:rPr>
        <w:t>’</w:t>
      </w:r>
      <w:r w:rsidRPr="00357367">
        <w:rPr>
          <w:rFonts w:cs="Times New Roman"/>
          <w:lang w:val="fr-CA"/>
        </w:rPr>
        <w:t>une certaine importance au droit de l</w:t>
      </w:r>
      <w:r>
        <w:rPr>
          <w:rFonts w:cs="Times New Roman"/>
          <w:lang w:val="fr-CA"/>
        </w:rPr>
        <w:t>’</w:t>
      </w:r>
      <w:r w:rsidRPr="00357367">
        <w:rPr>
          <w:rFonts w:cs="Times New Roman"/>
          <w:lang w:val="fr-CA"/>
        </w:rPr>
        <w:t>appelant à la liberté, d</w:t>
      </w:r>
      <w:r>
        <w:rPr>
          <w:rFonts w:cs="Times New Roman"/>
          <w:lang w:val="fr-CA"/>
        </w:rPr>
        <w:t>’</w:t>
      </w:r>
      <w:r w:rsidRPr="00357367">
        <w:rPr>
          <w:rFonts w:cs="Times New Roman"/>
          <w:lang w:val="fr-CA"/>
        </w:rPr>
        <w:t>autant plus qu</w:t>
      </w:r>
      <w:r>
        <w:rPr>
          <w:rFonts w:cs="Times New Roman"/>
          <w:lang w:val="fr-CA"/>
        </w:rPr>
        <w:t>’</w:t>
      </w:r>
      <w:r w:rsidRPr="00357367">
        <w:rPr>
          <w:rFonts w:cs="Times New Roman"/>
          <w:lang w:val="fr-CA"/>
        </w:rPr>
        <w:t>il devait s</w:t>
      </w:r>
      <w:r>
        <w:rPr>
          <w:rFonts w:cs="Times New Roman"/>
          <w:lang w:val="fr-CA"/>
        </w:rPr>
        <w:t>’</w:t>
      </w:r>
      <w:r w:rsidRPr="00357367">
        <w:rPr>
          <w:rFonts w:cs="Times New Roman"/>
          <w:lang w:val="fr-CA"/>
        </w:rPr>
        <w:t>agir d</w:t>
      </w:r>
      <w:r>
        <w:rPr>
          <w:rFonts w:cs="Times New Roman"/>
          <w:lang w:val="fr-CA"/>
        </w:rPr>
        <w:t>’</w:t>
      </w:r>
      <w:r w:rsidRPr="00357367">
        <w:rPr>
          <w:rFonts w:cs="Times New Roman"/>
          <w:lang w:val="fr-CA"/>
        </w:rPr>
        <w:t>une saisie « sans poursuite » et que les policiers ne comptaient pas faire porter d</w:t>
      </w:r>
      <w:r>
        <w:rPr>
          <w:rFonts w:cs="Times New Roman"/>
          <w:lang w:val="fr-CA"/>
        </w:rPr>
        <w:t>’</w:t>
      </w:r>
      <w:r w:rsidRPr="00357367">
        <w:rPr>
          <w:rFonts w:cs="Times New Roman"/>
          <w:lang w:val="fr-CA"/>
        </w:rPr>
        <w:t>accusations contre l</w:t>
      </w:r>
      <w:r>
        <w:rPr>
          <w:rFonts w:cs="Times New Roman"/>
          <w:lang w:val="fr-CA"/>
        </w:rPr>
        <w:t>’</w:t>
      </w:r>
      <w:r w:rsidRPr="00357367">
        <w:rPr>
          <w:rFonts w:cs="Times New Roman"/>
          <w:lang w:val="fr-CA"/>
        </w:rPr>
        <w:t>appelant. Cependant, le caractère peu commode de la démarche et la privation de liberté qui en aurait découlé ne sauraient donner lieu à une urgence de la situation alors qu</w:t>
      </w:r>
      <w:r>
        <w:rPr>
          <w:rFonts w:cs="Times New Roman"/>
          <w:lang w:val="fr-CA"/>
        </w:rPr>
        <w:t>’</w:t>
      </w:r>
      <w:r w:rsidRPr="00357367">
        <w:rPr>
          <w:rFonts w:cs="Times New Roman"/>
          <w:lang w:val="fr-CA"/>
        </w:rPr>
        <w:t>il n</w:t>
      </w:r>
      <w:r>
        <w:rPr>
          <w:rFonts w:cs="Times New Roman"/>
          <w:lang w:val="fr-CA"/>
        </w:rPr>
        <w:t>’</w:t>
      </w:r>
      <w:r w:rsidRPr="00357367">
        <w:rPr>
          <w:rFonts w:cs="Times New Roman"/>
          <w:lang w:val="fr-CA"/>
        </w:rPr>
        <w:t>y en a pas. Rappelons que trois possibilités s</w:t>
      </w:r>
      <w:r>
        <w:rPr>
          <w:rFonts w:cs="Times New Roman"/>
          <w:lang w:val="fr-CA"/>
        </w:rPr>
        <w:t>’</w:t>
      </w:r>
      <w:r w:rsidRPr="00357367">
        <w:rPr>
          <w:rFonts w:cs="Times New Roman"/>
          <w:lang w:val="fr-CA"/>
        </w:rPr>
        <w:t>offraient aux policiers dans les circonstances : (1) demander à l</w:t>
      </w:r>
      <w:r>
        <w:rPr>
          <w:rFonts w:cs="Times New Roman"/>
          <w:lang w:val="fr-CA"/>
        </w:rPr>
        <w:t>’</w:t>
      </w:r>
      <w:r w:rsidRPr="00357367">
        <w:rPr>
          <w:rFonts w:cs="Times New Roman"/>
          <w:lang w:val="fr-CA"/>
        </w:rPr>
        <w:t>appelant de consentir légalement à ce qu</w:t>
      </w:r>
      <w:r>
        <w:rPr>
          <w:rFonts w:cs="Times New Roman"/>
          <w:lang w:val="fr-CA"/>
        </w:rPr>
        <w:t>’</w:t>
      </w:r>
      <w:r w:rsidRPr="00357367">
        <w:rPr>
          <w:rFonts w:cs="Times New Roman"/>
          <w:lang w:val="fr-CA"/>
        </w:rPr>
        <w:t>ils entrent chez lui et saisissent les mégots, (2) arrêter l</w:t>
      </w:r>
      <w:r>
        <w:rPr>
          <w:rFonts w:cs="Times New Roman"/>
          <w:lang w:val="fr-CA"/>
        </w:rPr>
        <w:t>’</w:t>
      </w:r>
      <w:r w:rsidRPr="00357367">
        <w:rPr>
          <w:rFonts w:cs="Times New Roman"/>
          <w:lang w:val="fr-CA"/>
        </w:rPr>
        <w:t>appelant puis obtenir un mandat de perquisition ou (3) laisser tomber et partir sans les mégots, et manquer ainsi à leur devoir de saisir une substance illicite, ne serait</w:t>
      </w:r>
      <w:r w:rsidRPr="00357367">
        <w:rPr>
          <w:rFonts w:cs="Times New Roman"/>
          <w:lang w:val="fr-CA"/>
        </w:rPr>
        <w:noBreakHyphen/>
        <w:t xml:space="preserve">ce que pour la consigner puis la détruire. </w:t>
      </w:r>
    </w:p>
    <w:p w:rsidR="00A37A4C" w:rsidRPr="00357367" w:rsidRDefault="00A37A4C" w:rsidP="006534E4">
      <w:pPr>
        <w:pStyle w:val="ParaNoNdepar-AltN"/>
        <w:widowControl w:val="0"/>
        <w:rPr>
          <w:rFonts w:cs="Times New Roman"/>
          <w:lang w:val="fr-CA"/>
        </w:rPr>
      </w:pPr>
      <w:r w:rsidRPr="00357367">
        <w:rPr>
          <w:rFonts w:cs="Times New Roman"/>
          <w:lang w:val="fr-CA"/>
        </w:rPr>
        <w:t>Cela dit, l</w:t>
      </w:r>
      <w:r>
        <w:rPr>
          <w:rFonts w:cs="Times New Roman"/>
          <w:lang w:val="fr-CA"/>
        </w:rPr>
        <w:t>’</w:t>
      </w:r>
      <w:r w:rsidRPr="00357367">
        <w:rPr>
          <w:rFonts w:cs="Times New Roman"/>
          <w:lang w:val="fr-CA"/>
        </w:rPr>
        <w:t>analyse juridique de la notion d</w:t>
      </w:r>
      <w:r>
        <w:rPr>
          <w:rFonts w:cs="Times New Roman"/>
          <w:lang w:val="fr-CA"/>
        </w:rPr>
        <w:t>’</w:t>
      </w:r>
      <w:r w:rsidRPr="00357367">
        <w:rPr>
          <w:rFonts w:cs="Times New Roman"/>
          <w:lang w:val="fr-CA"/>
        </w:rPr>
        <w:t>urgence pour les besoins du par. 11(7) dans le cas d</w:t>
      </w:r>
      <w:r>
        <w:rPr>
          <w:rFonts w:cs="Times New Roman"/>
          <w:lang w:val="fr-CA"/>
        </w:rPr>
        <w:t>’</w:t>
      </w:r>
      <w:r w:rsidRPr="00357367">
        <w:rPr>
          <w:rFonts w:cs="Times New Roman"/>
          <w:lang w:val="fr-CA"/>
        </w:rPr>
        <w:t>une saisie « sans poursuite » ne me paraît pas du tout simple ou évidente. Je me suis d</w:t>
      </w:r>
      <w:r>
        <w:rPr>
          <w:rFonts w:cs="Times New Roman"/>
          <w:lang w:val="fr-CA"/>
        </w:rPr>
        <w:t>’</w:t>
      </w:r>
      <w:r w:rsidRPr="00357367">
        <w:rPr>
          <w:rFonts w:cs="Times New Roman"/>
          <w:lang w:val="fr-CA"/>
        </w:rPr>
        <w:t>ailleurs attaché à démontrer comment la caractéristique « sans poursuite » de la saisie occupe une grande place dans la décision du juge du procès et dans celle de la Cour d</w:t>
      </w:r>
      <w:r>
        <w:rPr>
          <w:rFonts w:cs="Times New Roman"/>
          <w:lang w:val="fr-CA"/>
        </w:rPr>
        <w:t>’</w:t>
      </w:r>
      <w:r w:rsidRPr="00357367">
        <w:rPr>
          <w:rFonts w:cs="Times New Roman"/>
          <w:lang w:val="fr-CA"/>
        </w:rPr>
        <w:t>appel, ce qui est d</w:t>
      </w:r>
      <w:r>
        <w:rPr>
          <w:rFonts w:cs="Times New Roman"/>
          <w:lang w:val="fr-CA"/>
        </w:rPr>
        <w:t>’</w:t>
      </w:r>
      <w:r w:rsidRPr="00357367">
        <w:rPr>
          <w:rFonts w:cs="Times New Roman"/>
          <w:lang w:val="fr-CA"/>
        </w:rPr>
        <w:t>ailleurs fort compréhensible. Je le répète, il s</w:t>
      </w:r>
      <w:r>
        <w:rPr>
          <w:rFonts w:cs="Times New Roman"/>
          <w:lang w:val="fr-CA"/>
        </w:rPr>
        <w:t>’</w:t>
      </w:r>
      <w:r w:rsidRPr="00357367">
        <w:rPr>
          <w:rFonts w:cs="Times New Roman"/>
          <w:lang w:val="fr-CA"/>
        </w:rPr>
        <w:t>agit d</w:t>
      </w:r>
      <w:r>
        <w:rPr>
          <w:rFonts w:cs="Times New Roman"/>
          <w:lang w:val="fr-CA"/>
        </w:rPr>
        <w:t>’</w:t>
      </w:r>
      <w:r w:rsidRPr="00357367">
        <w:rPr>
          <w:rFonts w:cs="Times New Roman"/>
          <w:lang w:val="fr-CA"/>
        </w:rPr>
        <w:t>une affaire sans précédent. Le droit applicable n</w:t>
      </w:r>
      <w:r>
        <w:rPr>
          <w:rFonts w:cs="Times New Roman"/>
          <w:lang w:val="fr-CA"/>
        </w:rPr>
        <w:t>’</w:t>
      </w:r>
      <w:r w:rsidRPr="00357367">
        <w:rPr>
          <w:rFonts w:cs="Times New Roman"/>
          <w:lang w:val="fr-CA"/>
        </w:rPr>
        <w:t>était pas établi lorsque les policiers sont entrés chez l</w:t>
      </w:r>
      <w:r>
        <w:rPr>
          <w:rFonts w:cs="Times New Roman"/>
          <w:lang w:val="fr-CA"/>
        </w:rPr>
        <w:t>’</w:t>
      </w:r>
      <w:r w:rsidRPr="00357367">
        <w:rPr>
          <w:rFonts w:cs="Times New Roman"/>
          <w:lang w:val="fr-CA"/>
        </w:rPr>
        <w:t>appelant. Il suffit pour s</w:t>
      </w:r>
      <w:r>
        <w:rPr>
          <w:rFonts w:cs="Times New Roman"/>
          <w:lang w:val="fr-CA"/>
        </w:rPr>
        <w:t>’</w:t>
      </w:r>
      <w:r w:rsidRPr="00357367">
        <w:rPr>
          <w:rFonts w:cs="Times New Roman"/>
          <w:lang w:val="fr-CA"/>
        </w:rPr>
        <w:t>en rendre compte de comparer l</w:t>
      </w:r>
      <w:r>
        <w:rPr>
          <w:rFonts w:cs="Times New Roman"/>
          <w:lang w:val="fr-CA"/>
        </w:rPr>
        <w:t>’</w:t>
      </w:r>
      <w:r w:rsidRPr="00357367">
        <w:rPr>
          <w:rFonts w:cs="Times New Roman"/>
          <w:lang w:val="fr-CA"/>
        </w:rPr>
        <w:t>analyse que notre Cour en fait avec celles qu</w:t>
      </w:r>
      <w:r>
        <w:rPr>
          <w:rFonts w:cs="Times New Roman"/>
          <w:lang w:val="fr-CA"/>
        </w:rPr>
        <w:t>’</w:t>
      </w:r>
      <w:r w:rsidRPr="00357367">
        <w:rPr>
          <w:rFonts w:cs="Times New Roman"/>
          <w:lang w:val="fr-CA"/>
        </w:rPr>
        <w:t>en font les tribunaux inférieurs.</w:t>
      </w:r>
    </w:p>
    <w:p w:rsidR="00A37A4C" w:rsidRPr="00357367" w:rsidRDefault="00A37A4C" w:rsidP="006534E4">
      <w:pPr>
        <w:pStyle w:val="ParaNoNdepar-AltN"/>
        <w:widowControl w:val="0"/>
        <w:rPr>
          <w:rFonts w:cs="Times New Roman"/>
          <w:lang w:val="fr-CA"/>
        </w:rPr>
      </w:pPr>
      <w:r w:rsidRPr="00357367">
        <w:rPr>
          <w:rFonts w:cs="Times New Roman"/>
          <w:lang w:val="fr-CA"/>
        </w:rPr>
        <w:t>Mon collègue n</w:t>
      </w:r>
      <w:r>
        <w:rPr>
          <w:rFonts w:cs="Times New Roman"/>
          <w:lang w:val="fr-CA"/>
        </w:rPr>
        <w:t>’</w:t>
      </w:r>
      <w:r w:rsidRPr="00357367">
        <w:rPr>
          <w:rFonts w:cs="Times New Roman"/>
          <w:lang w:val="fr-CA"/>
        </w:rPr>
        <w:t>est pas d</w:t>
      </w:r>
      <w:r>
        <w:rPr>
          <w:rFonts w:cs="Times New Roman"/>
          <w:lang w:val="fr-CA"/>
        </w:rPr>
        <w:t>’</w:t>
      </w:r>
      <w:r w:rsidRPr="00357367">
        <w:rPr>
          <w:rFonts w:cs="Times New Roman"/>
          <w:lang w:val="fr-CA"/>
        </w:rPr>
        <w:t>accord. Il estime qu</w:t>
      </w:r>
      <w:r>
        <w:rPr>
          <w:rFonts w:cs="Times New Roman"/>
          <w:lang w:val="fr-CA"/>
        </w:rPr>
        <w:t>’</w:t>
      </w:r>
      <w:r w:rsidRPr="00357367">
        <w:rPr>
          <w:rFonts w:cs="Times New Roman"/>
          <w:lang w:val="fr-CA"/>
        </w:rPr>
        <w:t>il ne s</w:t>
      </w:r>
      <w:r>
        <w:rPr>
          <w:rFonts w:cs="Times New Roman"/>
          <w:lang w:val="fr-CA"/>
        </w:rPr>
        <w:t>’</w:t>
      </w:r>
      <w:r w:rsidRPr="00357367">
        <w:rPr>
          <w:rFonts w:cs="Times New Roman"/>
          <w:lang w:val="fr-CA"/>
        </w:rPr>
        <w:t>agit pas d</w:t>
      </w:r>
      <w:r>
        <w:rPr>
          <w:rFonts w:cs="Times New Roman"/>
          <w:lang w:val="fr-CA"/>
        </w:rPr>
        <w:t>’</w:t>
      </w:r>
      <w:r w:rsidRPr="00357367">
        <w:rPr>
          <w:rFonts w:cs="Times New Roman"/>
          <w:lang w:val="fr-CA"/>
        </w:rPr>
        <w:t>une affaire sans précédent. Aucune question de droit inédite ne se pose. L</w:t>
      </w:r>
      <w:r w:rsidRPr="00357367">
        <w:rPr>
          <w:rFonts w:cs="Times New Roman"/>
          <w:noProof/>
          <w:lang w:val="fr-CA"/>
        </w:rPr>
        <w:t>es policiers ne sont pas intervenus dans un « contexte juridique inconnu » (par. 46). Ils étaient bien au fait des principes juridiques qui régissaient leur entrée dans un lieu d</w:t>
      </w:r>
      <w:r>
        <w:rPr>
          <w:rFonts w:cs="Times New Roman"/>
          <w:noProof/>
          <w:lang w:val="fr-CA"/>
        </w:rPr>
        <w:t>’</w:t>
      </w:r>
      <w:r w:rsidRPr="00357367">
        <w:rPr>
          <w:rFonts w:cs="Times New Roman"/>
          <w:noProof/>
          <w:lang w:val="fr-CA"/>
        </w:rPr>
        <w:t>habitation pour y effectuer une saisie « sans poursuite » et, en s</w:t>
      </w:r>
      <w:r>
        <w:rPr>
          <w:rFonts w:cs="Times New Roman"/>
          <w:noProof/>
          <w:lang w:val="fr-CA"/>
        </w:rPr>
        <w:t>’</w:t>
      </w:r>
      <w:r w:rsidRPr="00357367">
        <w:rPr>
          <w:rFonts w:cs="Times New Roman"/>
          <w:noProof/>
          <w:lang w:val="fr-CA"/>
        </w:rPr>
        <w:t>introduisant chez l</w:t>
      </w:r>
      <w:r>
        <w:rPr>
          <w:rFonts w:cs="Times New Roman"/>
          <w:noProof/>
          <w:lang w:val="fr-CA"/>
        </w:rPr>
        <w:t>’</w:t>
      </w:r>
      <w:r w:rsidRPr="00357367">
        <w:rPr>
          <w:rFonts w:cs="Times New Roman"/>
          <w:noProof/>
          <w:lang w:val="fr-CA"/>
        </w:rPr>
        <w:t>appelant sans mandat, ils ont soit délibérément manqué à ces principes bien établis, soit fait abstraction de ceux</w:t>
      </w:r>
      <w:r w:rsidRPr="00357367">
        <w:rPr>
          <w:rFonts w:cs="Times New Roman"/>
          <w:noProof/>
          <w:lang w:val="fr-CA"/>
        </w:rPr>
        <w:noBreakHyphen/>
      </w:r>
      <w:r w:rsidR="006D6BE2">
        <w:rPr>
          <w:rFonts w:cs="Times New Roman"/>
          <w:noProof/>
          <w:lang w:val="fr-CA"/>
        </w:rPr>
        <w:t>ci (par. 45-</w:t>
      </w:r>
      <w:r w:rsidRPr="00357367">
        <w:rPr>
          <w:rFonts w:cs="Times New Roman"/>
          <w:noProof/>
          <w:lang w:val="fr-CA"/>
        </w:rPr>
        <w:t>46). Il ajoute</w:t>
      </w:r>
      <w:r w:rsidRPr="00357367">
        <w:rPr>
          <w:rFonts w:cs="Times New Roman"/>
          <w:lang w:val="fr-CA"/>
        </w:rPr>
        <w:t xml:space="preserve"> que la caractéristique « sans poursuite » de la saisie n</w:t>
      </w:r>
      <w:r>
        <w:rPr>
          <w:rFonts w:cs="Times New Roman"/>
          <w:lang w:val="fr-CA"/>
        </w:rPr>
        <w:t>’</w:t>
      </w:r>
      <w:r w:rsidRPr="00357367">
        <w:rPr>
          <w:rFonts w:cs="Times New Roman"/>
          <w:lang w:val="fr-CA"/>
        </w:rPr>
        <w:t>occupe pas une grande place dans l</w:t>
      </w:r>
      <w:r>
        <w:rPr>
          <w:rFonts w:cs="Times New Roman"/>
          <w:lang w:val="fr-CA"/>
        </w:rPr>
        <w:t>’</w:t>
      </w:r>
      <w:r w:rsidRPr="00357367">
        <w:rPr>
          <w:rFonts w:cs="Times New Roman"/>
          <w:lang w:val="fr-CA"/>
        </w:rPr>
        <w:t>analyse juridique qui amène le juge du procès et la Cour d</w:t>
      </w:r>
      <w:r>
        <w:rPr>
          <w:rFonts w:cs="Times New Roman"/>
          <w:lang w:val="fr-CA"/>
        </w:rPr>
        <w:t>’</w:t>
      </w:r>
      <w:r w:rsidRPr="00357367">
        <w:rPr>
          <w:rFonts w:cs="Times New Roman"/>
          <w:lang w:val="fr-CA"/>
        </w:rPr>
        <w:t>appel à conclure à la légalité de l</w:t>
      </w:r>
      <w:r>
        <w:rPr>
          <w:rFonts w:cs="Times New Roman"/>
          <w:lang w:val="fr-CA"/>
        </w:rPr>
        <w:t>’</w:t>
      </w:r>
      <w:r w:rsidRPr="00357367">
        <w:rPr>
          <w:rFonts w:cs="Times New Roman"/>
          <w:lang w:val="fr-CA"/>
        </w:rPr>
        <w:t>entrée des policiers. Les deux tribunaux la « </w:t>
      </w:r>
      <w:r w:rsidRPr="00357367">
        <w:rPr>
          <w:rFonts w:cs="Times New Roman"/>
          <w:noProof/>
          <w:lang w:val="fr-CA"/>
        </w:rPr>
        <w:t>relèvent » plutôt, sans plus, « lorsqu</w:t>
      </w:r>
      <w:r>
        <w:rPr>
          <w:rFonts w:cs="Times New Roman"/>
          <w:noProof/>
          <w:lang w:val="fr-CA"/>
        </w:rPr>
        <w:t>’</w:t>
      </w:r>
      <w:r w:rsidRPr="00357367">
        <w:rPr>
          <w:rFonts w:cs="Times New Roman"/>
          <w:noProof/>
          <w:lang w:val="fr-CA"/>
        </w:rPr>
        <w:t>ils examinent la bonne foi des policiers [. . .] et le degré de l</w:t>
      </w:r>
      <w:r>
        <w:rPr>
          <w:rFonts w:cs="Times New Roman"/>
          <w:noProof/>
          <w:lang w:val="fr-CA"/>
        </w:rPr>
        <w:t>’</w:t>
      </w:r>
      <w:r w:rsidRPr="00357367">
        <w:rPr>
          <w:rFonts w:cs="Times New Roman"/>
          <w:noProof/>
          <w:lang w:val="fr-CA"/>
        </w:rPr>
        <w:t>atteinte qui a résulté de la perquisition par rapport à celui de l</w:t>
      </w:r>
      <w:r>
        <w:rPr>
          <w:rFonts w:cs="Times New Roman"/>
          <w:noProof/>
          <w:lang w:val="fr-CA"/>
        </w:rPr>
        <w:t>’</w:t>
      </w:r>
      <w:r w:rsidRPr="00357367">
        <w:rPr>
          <w:rFonts w:cs="Times New Roman"/>
          <w:noProof/>
          <w:lang w:val="fr-CA"/>
        </w:rPr>
        <w:t>atteinte qui aurait résulté d</w:t>
      </w:r>
      <w:r>
        <w:rPr>
          <w:rFonts w:cs="Times New Roman"/>
          <w:noProof/>
          <w:lang w:val="fr-CA"/>
        </w:rPr>
        <w:t>’</w:t>
      </w:r>
      <w:r w:rsidRPr="00357367">
        <w:rPr>
          <w:rFonts w:cs="Times New Roman"/>
          <w:noProof/>
          <w:lang w:val="fr-CA"/>
        </w:rPr>
        <w:t>une arrestation</w:t>
      </w:r>
      <w:r w:rsidR="006D6BE2">
        <w:rPr>
          <w:rFonts w:cs="Times New Roman"/>
          <w:noProof/>
          <w:lang w:val="fr-CA"/>
        </w:rPr>
        <w:t xml:space="preserve"> </w:t>
      </w:r>
      <w:r w:rsidRPr="00357367">
        <w:rPr>
          <w:rFonts w:cs="Times New Roman"/>
          <w:noProof/>
          <w:lang w:val="fr-CA"/>
        </w:rPr>
        <w:t>» (par. 46 (référence omise)). Comme les policiers, ils connaissaient parfaitement la teneur du droit applicable, lequel était clair et établi.</w:t>
      </w:r>
    </w:p>
    <w:p w:rsidR="00A37A4C" w:rsidRPr="00357367" w:rsidRDefault="00A37A4C" w:rsidP="006534E4">
      <w:pPr>
        <w:pStyle w:val="ParaNoNdepar-AltN"/>
        <w:widowControl w:val="0"/>
        <w:rPr>
          <w:rFonts w:cs="Times New Roman"/>
          <w:lang w:val="fr-CA"/>
        </w:rPr>
      </w:pPr>
      <w:r w:rsidRPr="00357367">
        <w:rPr>
          <w:rFonts w:cs="Times New Roman"/>
          <w:noProof/>
          <w:lang w:val="fr-CA"/>
        </w:rPr>
        <w:t>En ce qui concerne les policiers, mon collègue s</w:t>
      </w:r>
      <w:r>
        <w:rPr>
          <w:rFonts w:cs="Times New Roman"/>
          <w:noProof/>
          <w:lang w:val="fr-CA"/>
        </w:rPr>
        <w:t>’</w:t>
      </w:r>
      <w:r w:rsidRPr="00357367">
        <w:rPr>
          <w:rFonts w:cs="Times New Roman"/>
          <w:noProof/>
          <w:lang w:val="fr-CA"/>
        </w:rPr>
        <w:t>appuie sur ce raisonnement pour montrer le caractère gravissime de leur inconduite : ils savaient ou auraient dû savoir qu</w:t>
      </w:r>
      <w:r>
        <w:rPr>
          <w:rFonts w:cs="Times New Roman"/>
          <w:noProof/>
          <w:lang w:val="fr-CA"/>
        </w:rPr>
        <w:t>’</w:t>
      </w:r>
      <w:r w:rsidRPr="00357367">
        <w:rPr>
          <w:rFonts w:cs="Times New Roman"/>
          <w:noProof/>
          <w:lang w:val="fr-CA"/>
        </w:rPr>
        <w:t>ils ne pouvaient entrer chez l</w:t>
      </w:r>
      <w:r>
        <w:rPr>
          <w:rFonts w:cs="Times New Roman"/>
          <w:noProof/>
          <w:lang w:val="fr-CA"/>
        </w:rPr>
        <w:t>’</w:t>
      </w:r>
      <w:r w:rsidRPr="00357367">
        <w:rPr>
          <w:rFonts w:cs="Times New Roman"/>
          <w:noProof/>
          <w:lang w:val="fr-CA"/>
        </w:rPr>
        <w:t>appelant sans mandat et ils sont quand même entrés chez lui en faisant preuve d</w:t>
      </w:r>
      <w:r>
        <w:rPr>
          <w:rFonts w:cs="Times New Roman"/>
          <w:noProof/>
          <w:lang w:val="fr-CA"/>
        </w:rPr>
        <w:t>’</w:t>
      </w:r>
      <w:r w:rsidRPr="00357367">
        <w:rPr>
          <w:rFonts w:cs="Times New Roman"/>
          <w:noProof/>
          <w:lang w:val="fr-CA"/>
        </w:rPr>
        <w:t>une insouciance déréglée ou téméraire à l</w:t>
      </w:r>
      <w:r>
        <w:rPr>
          <w:rFonts w:cs="Times New Roman"/>
          <w:noProof/>
          <w:lang w:val="fr-CA"/>
        </w:rPr>
        <w:t>’</w:t>
      </w:r>
      <w:r w:rsidRPr="00357367">
        <w:rPr>
          <w:rFonts w:cs="Times New Roman"/>
          <w:noProof/>
          <w:lang w:val="fr-CA"/>
        </w:rPr>
        <w:t>égard de son droit à la protection de sa vie privée. Toutefois, il n</w:t>
      </w:r>
      <w:r>
        <w:rPr>
          <w:rFonts w:cs="Times New Roman"/>
          <w:noProof/>
          <w:lang w:val="fr-CA"/>
        </w:rPr>
        <w:t>’</w:t>
      </w:r>
      <w:r w:rsidRPr="00357367">
        <w:rPr>
          <w:rFonts w:cs="Times New Roman"/>
          <w:noProof/>
          <w:lang w:val="fr-CA"/>
        </w:rPr>
        <w:t>explique pas (et ne peut expliquer) que les tribunaux inférieurs, qui étaient aussi très au fait du droit établi, n</w:t>
      </w:r>
      <w:r>
        <w:rPr>
          <w:rFonts w:cs="Times New Roman"/>
          <w:noProof/>
          <w:lang w:val="fr-CA"/>
        </w:rPr>
        <w:t>’</w:t>
      </w:r>
      <w:r w:rsidRPr="00357367">
        <w:rPr>
          <w:rFonts w:cs="Times New Roman"/>
          <w:noProof/>
          <w:lang w:val="fr-CA"/>
        </w:rPr>
        <w:t>ont pas appliqué celui</w:t>
      </w:r>
      <w:r w:rsidRPr="00357367">
        <w:rPr>
          <w:rFonts w:cs="Times New Roman"/>
          <w:noProof/>
          <w:lang w:val="fr-CA"/>
        </w:rPr>
        <w:noBreakHyphen/>
        <w:t xml:space="preserve">ci. </w:t>
      </w:r>
    </w:p>
    <w:p w:rsidR="00A37A4C" w:rsidRPr="00357367" w:rsidRDefault="00A37A4C" w:rsidP="006534E4">
      <w:pPr>
        <w:pStyle w:val="ParaNoNdepar-AltN"/>
        <w:widowControl w:val="0"/>
        <w:rPr>
          <w:rFonts w:cs="Times New Roman"/>
          <w:lang w:val="fr-CA"/>
        </w:rPr>
      </w:pPr>
      <w:r w:rsidRPr="00357367">
        <w:rPr>
          <w:rFonts w:cs="Times New Roman"/>
          <w:noProof/>
          <w:lang w:val="fr-CA"/>
        </w:rPr>
        <w:t>Soit dit en tout respect, la raison en est simple. Le droit applicable à une saisie « sans poursuite » dans le contexte de l</w:t>
      </w:r>
      <w:r>
        <w:rPr>
          <w:rFonts w:cs="Times New Roman"/>
          <w:noProof/>
          <w:lang w:val="fr-CA"/>
        </w:rPr>
        <w:t>’</w:t>
      </w:r>
      <w:r w:rsidRPr="00357367">
        <w:rPr>
          <w:rFonts w:cs="Times New Roman"/>
          <w:noProof/>
          <w:lang w:val="fr-CA"/>
        </w:rPr>
        <w:t>application du par. 11(7) n</w:t>
      </w:r>
      <w:r>
        <w:rPr>
          <w:rFonts w:cs="Times New Roman"/>
          <w:noProof/>
          <w:lang w:val="fr-CA"/>
        </w:rPr>
        <w:t>’</w:t>
      </w:r>
      <w:r w:rsidRPr="00357367">
        <w:rPr>
          <w:rFonts w:cs="Times New Roman"/>
          <w:noProof/>
          <w:lang w:val="fr-CA"/>
        </w:rPr>
        <w:t>était ni clair ni établi. Les décisions du juge du procès et de la Cour d</w:t>
      </w:r>
      <w:r>
        <w:rPr>
          <w:rFonts w:cs="Times New Roman"/>
          <w:noProof/>
          <w:lang w:val="fr-CA"/>
        </w:rPr>
        <w:t>’</w:t>
      </w:r>
      <w:r w:rsidRPr="00357367">
        <w:rPr>
          <w:rFonts w:cs="Times New Roman"/>
          <w:noProof/>
          <w:lang w:val="fr-CA"/>
        </w:rPr>
        <w:t>appel en font foi. Elles montrent de manière claire et concluante que les deux tribunaux accordent une grande importance à la caractéristique « sans poursuite » de la saisie pour conclure à la légalité de l</w:t>
      </w:r>
      <w:r>
        <w:rPr>
          <w:rFonts w:cs="Times New Roman"/>
          <w:noProof/>
          <w:lang w:val="fr-CA"/>
        </w:rPr>
        <w:t>’</w:t>
      </w:r>
      <w:r w:rsidRPr="00357367">
        <w:rPr>
          <w:rFonts w:cs="Times New Roman"/>
          <w:noProof/>
          <w:lang w:val="fr-CA"/>
        </w:rPr>
        <w:t>entrée des policiers chez l</w:t>
      </w:r>
      <w:r>
        <w:rPr>
          <w:rFonts w:cs="Times New Roman"/>
          <w:noProof/>
          <w:lang w:val="fr-CA"/>
        </w:rPr>
        <w:t>’</w:t>
      </w:r>
      <w:r w:rsidRPr="00357367">
        <w:rPr>
          <w:rFonts w:cs="Times New Roman"/>
          <w:noProof/>
          <w:lang w:val="fr-CA"/>
        </w:rPr>
        <w:t>appelant. Malgré ses prétentions à l</w:t>
      </w:r>
      <w:r>
        <w:rPr>
          <w:rFonts w:cs="Times New Roman"/>
          <w:noProof/>
          <w:lang w:val="fr-CA"/>
        </w:rPr>
        <w:t>’</w:t>
      </w:r>
      <w:r w:rsidRPr="00357367">
        <w:rPr>
          <w:rFonts w:cs="Times New Roman"/>
          <w:noProof/>
          <w:lang w:val="fr-CA"/>
        </w:rPr>
        <w:t>effet contraire, mon collègue ne peut citer à l</w:t>
      </w:r>
      <w:r>
        <w:rPr>
          <w:rFonts w:cs="Times New Roman"/>
          <w:noProof/>
          <w:lang w:val="fr-CA"/>
        </w:rPr>
        <w:t>’</w:t>
      </w:r>
      <w:r w:rsidRPr="00357367">
        <w:rPr>
          <w:rFonts w:cs="Times New Roman"/>
          <w:noProof/>
          <w:lang w:val="fr-CA"/>
        </w:rPr>
        <w:t>appui une seule décision portant ne serait</w:t>
      </w:r>
      <w:r w:rsidRPr="00357367">
        <w:rPr>
          <w:rFonts w:cs="Times New Roman"/>
          <w:noProof/>
          <w:lang w:val="fr-CA"/>
        </w:rPr>
        <w:noBreakHyphen/>
        <w:t>ce que sur la caractéristique « sans poursuite » d</w:t>
      </w:r>
      <w:r>
        <w:rPr>
          <w:rFonts w:cs="Times New Roman"/>
          <w:noProof/>
          <w:lang w:val="fr-CA"/>
        </w:rPr>
        <w:t>’</w:t>
      </w:r>
      <w:r w:rsidRPr="00357367">
        <w:rPr>
          <w:rFonts w:cs="Times New Roman"/>
          <w:noProof/>
          <w:lang w:val="fr-CA"/>
        </w:rPr>
        <w:t>une saisie en pareil contexte, encore moins une décision qui établirait le droit applicable.</w:t>
      </w:r>
      <w:r w:rsidRPr="00357367">
        <w:rPr>
          <w:rFonts w:cs="Times New Roman"/>
          <w:lang w:val="fr-CA"/>
        </w:rPr>
        <w:t xml:space="preserve"> </w:t>
      </w:r>
    </w:p>
    <w:p w:rsidR="00A37A4C" w:rsidRPr="00357367" w:rsidRDefault="00A37A4C" w:rsidP="006534E4">
      <w:pPr>
        <w:pStyle w:val="ParaNoNdepar-AltN"/>
        <w:widowControl w:val="0"/>
        <w:rPr>
          <w:rFonts w:cs="Times New Roman"/>
          <w:lang w:val="fr-CA"/>
        </w:rPr>
      </w:pPr>
      <w:r w:rsidRPr="00357367">
        <w:rPr>
          <w:rFonts w:cs="Times New Roman"/>
          <w:lang w:val="fr-CA"/>
        </w:rPr>
        <w:t>Ainsi, contrairement à ce que conclut mon collègue, la présente affaire fait ressortir la signification incertaine des expressions « urgence de la situation » et « difficilement réalisable » employées au par. 11(7) dans le cas d</w:t>
      </w:r>
      <w:r>
        <w:rPr>
          <w:rFonts w:cs="Times New Roman"/>
          <w:lang w:val="fr-CA"/>
        </w:rPr>
        <w:t>’</w:t>
      </w:r>
      <w:r w:rsidRPr="00357367">
        <w:rPr>
          <w:rFonts w:cs="Times New Roman"/>
          <w:lang w:val="fr-CA"/>
        </w:rPr>
        <w:t>une saisie « sans poursuite ». J</w:t>
      </w:r>
      <w:r>
        <w:rPr>
          <w:rFonts w:cs="Times New Roman"/>
          <w:lang w:val="fr-CA"/>
        </w:rPr>
        <w:t>’</w:t>
      </w:r>
      <w:r w:rsidRPr="00357367">
        <w:rPr>
          <w:rFonts w:cs="Times New Roman"/>
          <w:lang w:val="fr-CA"/>
        </w:rPr>
        <w:t>insiste sur cette incertitude, car ces dernières années, notre Cour a statué avec constance que les tribunaux peuvent tenir compte de l</w:t>
      </w:r>
      <w:r>
        <w:rPr>
          <w:rFonts w:cs="Times New Roman"/>
          <w:lang w:val="fr-CA"/>
        </w:rPr>
        <w:t>’</w:t>
      </w:r>
      <w:r w:rsidRPr="00357367">
        <w:rPr>
          <w:rFonts w:cs="Times New Roman"/>
          <w:lang w:val="fr-CA"/>
        </w:rPr>
        <w:t>incertitude juridique lorsqu</w:t>
      </w:r>
      <w:r>
        <w:rPr>
          <w:rFonts w:cs="Times New Roman"/>
          <w:lang w:val="fr-CA"/>
        </w:rPr>
        <w:t>’</w:t>
      </w:r>
      <w:r w:rsidRPr="00357367">
        <w:rPr>
          <w:rFonts w:cs="Times New Roman"/>
          <w:lang w:val="fr-CA"/>
        </w:rPr>
        <w:t>ils apprécient la gravité d</w:t>
      </w:r>
      <w:r>
        <w:rPr>
          <w:rFonts w:cs="Times New Roman"/>
          <w:lang w:val="fr-CA"/>
        </w:rPr>
        <w:t>’</w:t>
      </w:r>
      <w:r w:rsidRPr="00357367">
        <w:rPr>
          <w:rFonts w:cs="Times New Roman"/>
          <w:lang w:val="fr-CA"/>
        </w:rPr>
        <w:t xml:space="preserve">une atteinte policière à un droit garanti par la </w:t>
      </w:r>
      <w:r w:rsidRPr="00357367">
        <w:rPr>
          <w:rFonts w:cs="Times New Roman"/>
          <w:i/>
          <w:lang w:val="fr-CA"/>
        </w:rPr>
        <w:t>Charte</w:t>
      </w:r>
      <w:r w:rsidRPr="00357367">
        <w:rPr>
          <w:rFonts w:cs="Times New Roman"/>
          <w:lang w:val="fr-CA"/>
        </w:rPr>
        <w:t>. Lorsque le droit évolue ou qu</w:t>
      </w:r>
      <w:r>
        <w:rPr>
          <w:rFonts w:cs="Times New Roman"/>
          <w:lang w:val="fr-CA"/>
        </w:rPr>
        <w:t>’</w:t>
      </w:r>
      <w:r w:rsidRPr="00357367">
        <w:rPr>
          <w:rFonts w:cs="Times New Roman"/>
          <w:lang w:val="fr-CA"/>
        </w:rPr>
        <w:t>il est incertain, et lorsque l</w:t>
      </w:r>
      <w:r>
        <w:rPr>
          <w:rFonts w:cs="Times New Roman"/>
          <w:lang w:val="fr-CA"/>
        </w:rPr>
        <w:t>’</w:t>
      </w:r>
      <w:r w:rsidRPr="00357367">
        <w:rPr>
          <w:rFonts w:cs="Times New Roman"/>
          <w:lang w:val="fr-CA"/>
        </w:rPr>
        <w:t>on conclut que les policiers ont agi de bonne foi, sans méconnaissance ou mépris délibéré des droits constitutionnels de l</w:t>
      </w:r>
      <w:r>
        <w:rPr>
          <w:rFonts w:cs="Times New Roman"/>
          <w:lang w:val="fr-CA"/>
        </w:rPr>
        <w:t>’</w:t>
      </w:r>
      <w:r w:rsidRPr="00357367">
        <w:rPr>
          <w:rFonts w:cs="Times New Roman"/>
          <w:lang w:val="fr-CA"/>
        </w:rPr>
        <w:t>accusé,</w:t>
      </w:r>
      <w:r w:rsidRPr="00357367">
        <w:rPr>
          <w:rFonts w:cs="Times New Roman"/>
          <w:i/>
          <w:lang w:val="fr-CA"/>
        </w:rPr>
        <w:t xml:space="preserve"> </w:t>
      </w:r>
      <w:r w:rsidRPr="00357367">
        <w:rPr>
          <w:rFonts w:cs="Times New Roman"/>
          <w:lang w:val="fr-CA"/>
        </w:rPr>
        <w:t>la gravité de l</w:t>
      </w:r>
      <w:r>
        <w:rPr>
          <w:rFonts w:cs="Times New Roman"/>
          <w:lang w:val="fr-CA"/>
        </w:rPr>
        <w:t>’</w:t>
      </w:r>
      <w:r w:rsidRPr="00357367">
        <w:rPr>
          <w:rFonts w:cs="Times New Roman"/>
          <w:lang w:val="fr-CA"/>
        </w:rPr>
        <w:t>atteinte peut en être atténuée (</w:t>
      </w:r>
      <w:r>
        <w:rPr>
          <w:rFonts w:cs="Times New Roman"/>
          <w:lang w:val="fr-CA"/>
        </w:rPr>
        <w:t xml:space="preserve">voir </w:t>
      </w:r>
      <w:r w:rsidRPr="00357367">
        <w:rPr>
          <w:rFonts w:cs="Times New Roman"/>
          <w:i/>
          <w:lang w:val="fr-CA"/>
        </w:rPr>
        <w:t>R. c. Cole</w:t>
      </w:r>
      <w:r w:rsidRPr="00357367">
        <w:rPr>
          <w:rFonts w:cs="Times New Roman"/>
          <w:lang w:val="fr-CA"/>
        </w:rPr>
        <w:t>, 2012 CSC 53, [2012] 3 R.C.S. 34, par. 86</w:t>
      </w:r>
      <w:r w:rsidRPr="00357367">
        <w:rPr>
          <w:rFonts w:cs="Times New Roman"/>
          <w:lang w:val="fr-CA"/>
        </w:rPr>
        <w:noBreakHyphen/>
        <w:t xml:space="preserve">89; </w:t>
      </w:r>
      <w:r w:rsidRPr="00357367">
        <w:rPr>
          <w:rFonts w:cs="Times New Roman"/>
          <w:i/>
          <w:lang w:val="fr-CA"/>
        </w:rPr>
        <w:t>R. c. Aucoin</w:t>
      </w:r>
      <w:r w:rsidRPr="00357367">
        <w:rPr>
          <w:rFonts w:cs="Times New Roman"/>
          <w:lang w:val="fr-CA"/>
        </w:rPr>
        <w:t xml:space="preserve">, 2012 CSC 66, [2012] 3 R.C.S. 408, par. 50; </w:t>
      </w:r>
      <w:r w:rsidRPr="00357367">
        <w:rPr>
          <w:rFonts w:cs="Times New Roman"/>
          <w:i/>
          <w:lang w:val="fr-CA"/>
        </w:rPr>
        <w:t>R. c. Vu</w:t>
      </w:r>
      <w:r w:rsidRPr="00357367">
        <w:rPr>
          <w:rFonts w:cs="Times New Roman"/>
          <w:lang w:val="fr-CA"/>
        </w:rPr>
        <w:t xml:space="preserve">, 2013 CSC 60, [2013] 3 R.C.S. 657, par. 69 et 71; </w:t>
      </w:r>
      <w:r w:rsidRPr="00357367">
        <w:rPr>
          <w:rFonts w:cs="Times New Roman"/>
          <w:i/>
          <w:lang w:val="fr-CA"/>
        </w:rPr>
        <w:t>R. c. Spencer</w:t>
      </w:r>
      <w:r w:rsidRPr="00357367">
        <w:rPr>
          <w:rFonts w:cs="Times New Roman"/>
          <w:lang w:val="fr-CA"/>
        </w:rPr>
        <w:t xml:space="preserve">, 2014 CSC 43, [2014] 2 R.C.S. 212, par. 77; </w:t>
      </w:r>
      <w:r>
        <w:rPr>
          <w:rFonts w:cs="Times New Roman"/>
          <w:lang w:val="fr-CA"/>
        </w:rPr>
        <w:t xml:space="preserve">et </w:t>
      </w:r>
      <w:r w:rsidRPr="00357367">
        <w:rPr>
          <w:rFonts w:cs="Times New Roman"/>
          <w:i/>
          <w:lang w:val="fr-CA"/>
        </w:rPr>
        <w:t>R. c. Fearon</w:t>
      </w:r>
      <w:r w:rsidRPr="00357367">
        <w:rPr>
          <w:rFonts w:cs="Times New Roman"/>
          <w:lang w:val="fr-CA"/>
        </w:rPr>
        <w:t>, 2014 CSC 77, [2014] 3 R.C.S. 621, par. 93</w:t>
      </w:r>
      <w:r w:rsidRPr="00357367">
        <w:rPr>
          <w:rFonts w:cs="Times New Roman"/>
          <w:lang w:val="fr-CA"/>
        </w:rPr>
        <w:noBreakHyphen/>
        <w:t>95).</w:t>
      </w:r>
    </w:p>
    <w:p w:rsidR="00A37A4C" w:rsidRPr="00357367" w:rsidRDefault="00A37A4C" w:rsidP="006534E4">
      <w:pPr>
        <w:pStyle w:val="ParaNoNdepar-AltN"/>
        <w:widowControl w:val="0"/>
        <w:rPr>
          <w:rFonts w:cs="Times New Roman"/>
          <w:lang w:val="fr-CA"/>
        </w:rPr>
      </w:pPr>
      <w:r w:rsidRPr="00357367">
        <w:rPr>
          <w:rFonts w:cs="Times New Roman"/>
          <w:lang w:val="fr-CA"/>
        </w:rPr>
        <w:t>Cela correspond en tous points à la situation en l</w:t>
      </w:r>
      <w:r>
        <w:rPr>
          <w:rFonts w:cs="Times New Roman"/>
          <w:lang w:val="fr-CA"/>
        </w:rPr>
        <w:t>’</w:t>
      </w:r>
      <w:r w:rsidRPr="00357367">
        <w:rPr>
          <w:rFonts w:cs="Times New Roman"/>
          <w:lang w:val="fr-CA"/>
        </w:rPr>
        <w:t>espèce. La gravité de l</w:t>
      </w:r>
      <w:r>
        <w:rPr>
          <w:rFonts w:cs="Times New Roman"/>
          <w:lang w:val="fr-CA"/>
        </w:rPr>
        <w:t>’</w:t>
      </w:r>
      <w:r w:rsidRPr="00357367">
        <w:rPr>
          <w:rFonts w:cs="Times New Roman"/>
          <w:lang w:val="fr-CA"/>
        </w:rPr>
        <w:t xml:space="preserve">atteinte est selon moi nettement atténuée par la portée incertaine du par. 11(7) de la </w:t>
      </w:r>
      <w:r w:rsidRPr="00357367">
        <w:rPr>
          <w:rFonts w:cs="Times New Roman"/>
          <w:i/>
          <w:lang w:val="fr-CA"/>
        </w:rPr>
        <w:t>LRCDAS</w:t>
      </w:r>
      <w:r w:rsidRPr="00357367">
        <w:rPr>
          <w:rFonts w:cs="Times New Roman"/>
          <w:lang w:val="fr-CA"/>
        </w:rPr>
        <w:t xml:space="preserve"> dans le cas d</w:t>
      </w:r>
      <w:r>
        <w:rPr>
          <w:rFonts w:cs="Times New Roman"/>
          <w:lang w:val="fr-CA"/>
        </w:rPr>
        <w:t>’</w:t>
      </w:r>
      <w:r w:rsidRPr="00357367">
        <w:rPr>
          <w:rFonts w:cs="Times New Roman"/>
          <w:lang w:val="fr-CA"/>
        </w:rPr>
        <w:t>une saisie « sans poursuite » et par les conclusions catégoriques du juge du procès selon lesquelles les policiers ont toujours agi de bonne foi.</w:t>
      </w:r>
    </w:p>
    <w:p w:rsidR="00A37A4C" w:rsidRPr="00357367" w:rsidRDefault="00A37A4C" w:rsidP="006534E4">
      <w:pPr>
        <w:pStyle w:val="ParaNoNdepar-AltN"/>
        <w:widowControl w:val="0"/>
        <w:rPr>
          <w:rFonts w:cs="Times New Roman"/>
          <w:lang w:val="fr-CA"/>
        </w:rPr>
      </w:pPr>
      <w:r w:rsidRPr="00357367">
        <w:rPr>
          <w:rFonts w:cs="Times New Roman"/>
          <w:lang w:val="fr-CA"/>
        </w:rPr>
        <w:t>Et dès lors que la gravité de la conduite des policiers est dûment mise en balance avec la fiabilité incontestée des éléments de preuve saisis et avec l</w:t>
      </w:r>
      <w:r>
        <w:rPr>
          <w:rFonts w:cs="Times New Roman"/>
          <w:lang w:val="fr-CA"/>
        </w:rPr>
        <w:t>’</w:t>
      </w:r>
      <w:r w:rsidRPr="00357367">
        <w:rPr>
          <w:rFonts w:cs="Times New Roman"/>
          <w:lang w:val="fr-CA"/>
        </w:rPr>
        <w:t>intérêt de la société dans l</w:t>
      </w:r>
      <w:r>
        <w:rPr>
          <w:rFonts w:cs="Times New Roman"/>
          <w:lang w:val="fr-CA"/>
        </w:rPr>
        <w:t>’</w:t>
      </w:r>
      <w:r w:rsidRPr="00357367">
        <w:rPr>
          <w:rFonts w:cs="Times New Roman"/>
          <w:lang w:val="fr-CA"/>
        </w:rPr>
        <w:t>instruction de l</w:t>
      </w:r>
      <w:r>
        <w:rPr>
          <w:rFonts w:cs="Times New Roman"/>
          <w:lang w:val="fr-CA"/>
        </w:rPr>
        <w:t>’</w:t>
      </w:r>
      <w:r w:rsidRPr="00357367">
        <w:rPr>
          <w:rFonts w:cs="Times New Roman"/>
          <w:lang w:val="fr-CA"/>
        </w:rPr>
        <w:t>affaire au fond, l</w:t>
      </w:r>
      <w:r>
        <w:rPr>
          <w:rFonts w:cs="Times New Roman"/>
          <w:lang w:val="fr-CA"/>
        </w:rPr>
        <w:t>’</w:t>
      </w:r>
      <w:r w:rsidRPr="00357367">
        <w:rPr>
          <w:rFonts w:cs="Times New Roman"/>
          <w:lang w:val="fr-CA"/>
        </w:rPr>
        <w:t>analyse fondée sur le par. 24(2) aboutit selon moi à un résultat qui milite en faveur de l</w:t>
      </w:r>
      <w:r>
        <w:rPr>
          <w:rFonts w:cs="Times New Roman"/>
          <w:lang w:val="fr-CA"/>
        </w:rPr>
        <w:t>’</w:t>
      </w:r>
      <w:r w:rsidRPr="00357367">
        <w:rPr>
          <w:rFonts w:cs="Times New Roman"/>
          <w:lang w:val="fr-CA"/>
        </w:rPr>
        <w:t>admission en preuve des éléments en cause. Malgré leur bonne foi, les policiers ont commis l</w:t>
      </w:r>
      <w:r>
        <w:rPr>
          <w:rFonts w:cs="Times New Roman"/>
          <w:lang w:val="fr-CA"/>
        </w:rPr>
        <w:t>’</w:t>
      </w:r>
      <w:r w:rsidRPr="00357367">
        <w:rPr>
          <w:rFonts w:cs="Times New Roman"/>
          <w:lang w:val="fr-CA"/>
        </w:rPr>
        <w:t>erreur de se croire autorisés par le par. 11(7) à entrer chez l</w:t>
      </w:r>
      <w:r>
        <w:rPr>
          <w:rFonts w:cs="Times New Roman"/>
          <w:lang w:val="fr-CA"/>
        </w:rPr>
        <w:t>’</w:t>
      </w:r>
      <w:r w:rsidRPr="00357367">
        <w:rPr>
          <w:rFonts w:cs="Times New Roman"/>
          <w:lang w:val="fr-CA"/>
        </w:rPr>
        <w:t>appelant dans le cadre d</w:t>
      </w:r>
      <w:r>
        <w:rPr>
          <w:rFonts w:cs="Times New Roman"/>
          <w:lang w:val="fr-CA"/>
        </w:rPr>
        <w:t>’</w:t>
      </w:r>
      <w:r w:rsidRPr="00357367">
        <w:rPr>
          <w:rFonts w:cs="Times New Roman"/>
          <w:lang w:val="fr-CA"/>
        </w:rPr>
        <w:t>une saisie « sans poursuite »; ils ont commis la même erreur que le juge du procès et la Cour d</w:t>
      </w:r>
      <w:r>
        <w:rPr>
          <w:rFonts w:cs="Times New Roman"/>
          <w:lang w:val="fr-CA"/>
        </w:rPr>
        <w:t>’</w:t>
      </w:r>
      <w:r w:rsidRPr="00357367">
        <w:rPr>
          <w:rFonts w:cs="Times New Roman"/>
          <w:lang w:val="fr-CA"/>
        </w:rPr>
        <w:t>appel de la Colombie</w:t>
      </w:r>
      <w:r w:rsidRPr="00357367">
        <w:rPr>
          <w:rFonts w:cs="Times New Roman"/>
          <w:lang w:val="fr-CA"/>
        </w:rPr>
        <w:noBreakHyphen/>
        <w:t>Britannique. Partant, je ne vois pas comment l</w:t>
      </w:r>
      <w:r>
        <w:rPr>
          <w:rFonts w:cs="Times New Roman"/>
          <w:lang w:val="fr-CA"/>
        </w:rPr>
        <w:t>’</w:t>
      </w:r>
      <w:r w:rsidRPr="00357367">
        <w:rPr>
          <w:rFonts w:cs="Times New Roman"/>
          <w:lang w:val="fr-CA"/>
        </w:rPr>
        <w:t>admission des éléments de preuve recueillis chez l</w:t>
      </w:r>
      <w:r>
        <w:rPr>
          <w:rFonts w:cs="Times New Roman"/>
          <w:lang w:val="fr-CA"/>
        </w:rPr>
        <w:t>’</w:t>
      </w:r>
      <w:r w:rsidRPr="00357367">
        <w:rPr>
          <w:rFonts w:cs="Times New Roman"/>
          <w:lang w:val="fr-CA"/>
        </w:rPr>
        <w:t>appelant saperait la confiance du public dans le système de justice criminelle et déconsidérerait l</w:t>
      </w:r>
      <w:r>
        <w:rPr>
          <w:rFonts w:cs="Times New Roman"/>
          <w:lang w:val="fr-CA"/>
        </w:rPr>
        <w:t>’</w:t>
      </w:r>
      <w:r w:rsidRPr="00357367">
        <w:rPr>
          <w:rFonts w:cs="Times New Roman"/>
          <w:lang w:val="fr-CA"/>
        </w:rPr>
        <w:t>administration de la justice. En réalité, c</w:t>
      </w:r>
      <w:r>
        <w:rPr>
          <w:rFonts w:cs="Times New Roman"/>
          <w:lang w:val="fr-CA"/>
        </w:rPr>
        <w:t>’</w:t>
      </w:r>
      <w:r w:rsidRPr="00357367">
        <w:rPr>
          <w:rFonts w:cs="Times New Roman"/>
          <w:lang w:val="fr-CA"/>
        </w:rPr>
        <w:t>est plutôt l</w:t>
      </w:r>
      <w:r>
        <w:rPr>
          <w:rFonts w:cs="Times New Roman"/>
          <w:lang w:val="fr-CA"/>
        </w:rPr>
        <w:t>’</w:t>
      </w:r>
      <w:r w:rsidRPr="00357367">
        <w:rPr>
          <w:rFonts w:cs="Times New Roman"/>
          <w:lang w:val="fr-CA"/>
        </w:rPr>
        <w:t>exclusion d</w:t>
      </w:r>
      <w:r>
        <w:rPr>
          <w:rFonts w:cs="Times New Roman"/>
          <w:lang w:val="fr-CA"/>
        </w:rPr>
        <w:t>’</w:t>
      </w:r>
      <w:r w:rsidRPr="00357367">
        <w:rPr>
          <w:rFonts w:cs="Times New Roman"/>
          <w:lang w:val="fr-CA"/>
        </w:rPr>
        <w:t>éléments de preuve fiables et cruciaux susceptibles d</w:t>
      </w:r>
      <w:r>
        <w:rPr>
          <w:rFonts w:cs="Times New Roman"/>
          <w:lang w:val="fr-CA"/>
        </w:rPr>
        <w:t>’</w:t>
      </w:r>
      <w:r w:rsidRPr="00357367">
        <w:rPr>
          <w:rFonts w:cs="Times New Roman"/>
          <w:lang w:val="fr-CA"/>
        </w:rPr>
        <w:t>établir la perpétration par l</w:t>
      </w:r>
      <w:r>
        <w:rPr>
          <w:rFonts w:cs="Times New Roman"/>
          <w:lang w:val="fr-CA"/>
        </w:rPr>
        <w:t>’</w:t>
      </w:r>
      <w:r w:rsidRPr="00357367">
        <w:rPr>
          <w:rFonts w:cs="Times New Roman"/>
          <w:lang w:val="fr-CA"/>
        </w:rPr>
        <w:t>appelant d</w:t>
      </w:r>
      <w:r>
        <w:rPr>
          <w:rFonts w:cs="Times New Roman"/>
          <w:lang w:val="fr-CA"/>
        </w:rPr>
        <w:t>’</w:t>
      </w:r>
      <w:r w:rsidRPr="00357367">
        <w:rPr>
          <w:rFonts w:cs="Times New Roman"/>
          <w:lang w:val="fr-CA"/>
        </w:rPr>
        <w:t>infractions très graves en matière d</w:t>
      </w:r>
      <w:r>
        <w:rPr>
          <w:rFonts w:cs="Times New Roman"/>
          <w:lang w:val="fr-CA"/>
        </w:rPr>
        <w:t>’</w:t>
      </w:r>
      <w:r w:rsidRPr="00357367">
        <w:rPr>
          <w:rFonts w:cs="Times New Roman"/>
          <w:lang w:val="fr-CA"/>
        </w:rPr>
        <w:t>armes à feu et de drogues qui est beaucoup plus susceptible d</w:t>
      </w:r>
      <w:r>
        <w:rPr>
          <w:rFonts w:cs="Times New Roman"/>
          <w:lang w:val="fr-CA"/>
        </w:rPr>
        <w:t>’</w:t>
      </w:r>
      <w:r w:rsidRPr="00357367">
        <w:rPr>
          <w:rFonts w:cs="Times New Roman"/>
          <w:lang w:val="fr-CA"/>
        </w:rPr>
        <w:t xml:space="preserve">amener le public à perdre confiance dans notre système de justice criminelle. </w:t>
      </w:r>
    </w:p>
    <w:p w:rsidR="00A37A4C" w:rsidRPr="00357367" w:rsidRDefault="00A37A4C" w:rsidP="006534E4">
      <w:pPr>
        <w:pStyle w:val="ParaNoNdepar-AltN"/>
        <w:widowControl w:val="0"/>
        <w:rPr>
          <w:rFonts w:cs="Times New Roman"/>
          <w:lang w:val="fr-CA"/>
        </w:rPr>
      </w:pPr>
      <w:r w:rsidRPr="00357367">
        <w:rPr>
          <w:rFonts w:cs="Times New Roman"/>
          <w:lang w:val="fr-CA"/>
        </w:rPr>
        <w:t>Pour arriver à cette conclusion, je reconnais que l</w:t>
      </w:r>
      <w:r>
        <w:rPr>
          <w:rFonts w:cs="Times New Roman"/>
          <w:lang w:val="fr-CA"/>
        </w:rPr>
        <w:t>’</w:t>
      </w:r>
      <w:r w:rsidRPr="00357367">
        <w:rPr>
          <w:rFonts w:cs="Times New Roman"/>
          <w:lang w:val="fr-CA"/>
        </w:rPr>
        <w:t>entrée des policiers chez l</w:t>
      </w:r>
      <w:r>
        <w:rPr>
          <w:rFonts w:cs="Times New Roman"/>
          <w:lang w:val="fr-CA"/>
        </w:rPr>
        <w:t>’</w:t>
      </w:r>
      <w:r w:rsidRPr="00357367">
        <w:rPr>
          <w:rFonts w:cs="Times New Roman"/>
          <w:lang w:val="fr-CA"/>
        </w:rPr>
        <w:t>appelant a eu une incidence importante sur son intérêt en matière de respect de la vie privée. Je signale toutefois que les éléments de preuve en cause pouvaient être découverts légalement. S</w:t>
      </w:r>
      <w:r>
        <w:rPr>
          <w:rFonts w:cs="Times New Roman"/>
          <w:lang w:val="fr-CA"/>
        </w:rPr>
        <w:t>’</w:t>
      </w:r>
      <w:r w:rsidRPr="00357367">
        <w:rPr>
          <w:rFonts w:cs="Times New Roman"/>
          <w:lang w:val="fr-CA"/>
        </w:rPr>
        <w:t>ils avaient obtenu un mandat les autorisant à saisir les mégots, les policiers auraient découvert les drogues et les armes à feu. Étant donné qu</w:t>
      </w:r>
      <w:r>
        <w:rPr>
          <w:rFonts w:cs="Times New Roman"/>
          <w:lang w:val="fr-CA"/>
        </w:rPr>
        <w:t>’</w:t>
      </w:r>
      <w:r w:rsidRPr="00357367">
        <w:rPr>
          <w:rFonts w:cs="Times New Roman"/>
          <w:lang w:val="fr-CA"/>
        </w:rPr>
        <w:t>ils ont toujours fait preuve de bonne foi et qu</w:t>
      </w:r>
      <w:r>
        <w:rPr>
          <w:rFonts w:cs="Times New Roman"/>
          <w:lang w:val="fr-CA"/>
        </w:rPr>
        <w:t>’</w:t>
      </w:r>
      <w:r w:rsidRPr="00357367">
        <w:rPr>
          <w:rFonts w:cs="Times New Roman"/>
          <w:lang w:val="fr-CA"/>
        </w:rPr>
        <w:t>ils n</w:t>
      </w:r>
      <w:r>
        <w:rPr>
          <w:rFonts w:cs="Times New Roman"/>
          <w:lang w:val="fr-CA"/>
        </w:rPr>
        <w:t>’</w:t>
      </w:r>
      <w:r w:rsidRPr="00357367">
        <w:rPr>
          <w:rFonts w:cs="Times New Roman"/>
          <w:lang w:val="fr-CA"/>
        </w:rPr>
        <w:t>ont pas délibérément porté atteinte aux droits constitutionnels de l</w:t>
      </w:r>
      <w:r>
        <w:rPr>
          <w:rFonts w:cs="Times New Roman"/>
          <w:lang w:val="fr-CA"/>
        </w:rPr>
        <w:t>’</w:t>
      </w:r>
      <w:r w:rsidRPr="00357367">
        <w:rPr>
          <w:rFonts w:cs="Times New Roman"/>
          <w:lang w:val="fr-CA"/>
        </w:rPr>
        <w:t>appelant, il y a atténuation de l</w:t>
      </w:r>
      <w:r>
        <w:rPr>
          <w:rFonts w:cs="Times New Roman"/>
          <w:lang w:val="fr-CA"/>
        </w:rPr>
        <w:t>’</w:t>
      </w:r>
      <w:r w:rsidRPr="00357367">
        <w:rPr>
          <w:rFonts w:cs="Times New Roman"/>
          <w:lang w:val="fr-CA"/>
        </w:rPr>
        <w:t>incidence de l</w:t>
      </w:r>
      <w:r>
        <w:rPr>
          <w:rFonts w:cs="Times New Roman"/>
          <w:lang w:val="fr-CA"/>
        </w:rPr>
        <w:t>’</w:t>
      </w:r>
      <w:r w:rsidRPr="00357367">
        <w:rPr>
          <w:rFonts w:cs="Times New Roman"/>
          <w:lang w:val="fr-CA"/>
        </w:rPr>
        <w:t>atteinte sur l</w:t>
      </w:r>
      <w:r>
        <w:rPr>
          <w:rFonts w:cs="Times New Roman"/>
          <w:lang w:val="fr-CA"/>
        </w:rPr>
        <w:t>’</w:t>
      </w:r>
      <w:r w:rsidRPr="00357367">
        <w:rPr>
          <w:rFonts w:cs="Times New Roman"/>
          <w:lang w:val="fr-CA"/>
        </w:rPr>
        <w:t>intérêt de l</w:t>
      </w:r>
      <w:r>
        <w:rPr>
          <w:rFonts w:cs="Times New Roman"/>
          <w:lang w:val="fr-CA"/>
        </w:rPr>
        <w:t>’</w:t>
      </w:r>
      <w:r w:rsidRPr="00357367">
        <w:rPr>
          <w:rFonts w:cs="Times New Roman"/>
          <w:lang w:val="fr-CA"/>
        </w:rPr>
        <w:t>appelant en matière de vie privée (</w:t>
      </w:r>
      <w:r w:rsidRPr="00357367">
        <w:rPr>
          <w:rFonts w:cs="Times New Roman"/>
          <w:i/>
          <w:lang w:val="fr-CA"/>
        </w:rPr>
        <w:t>Cole</w:t>
      </w:r>
      <w:r w:rsidRPr="00357367">
        <w:rPr>
          <w:rFonts w:cs="Times New Roman"/>
          <w:lang w:val="fr-CA"/>
        </w:rPr>
        <w:t>, par. 89 et 93). Je ne suis donc pas convaincu que cette incidence suffit à faire pencher la balance de manière à écarter les éléments de preuve en cause.</w:t>
      </w:r>
    </w:p>
    <w:p w:rsidR="00A37A4C" w:rsidRPr="00357367" w:rsidRDefault="00A37A4C" w:rsidP="006534E4">
      <w:pPr>
        <w:pStyle w:val="ParaNoNdepar-AltN"/>
        <w:widowControl w:val="0"/>
        <w:rPr>
          <w:rFonts w:cs="Times New Roman"/>
          <w:lang w:val="fr-CA"/>
        </w:rPr>
      </w:pPr>
      <w:r w:rsidRPr="00357367">
        <w:rPr>
          <w:rFonts w:cs="Times New Roman"/>
          <w:lang w:val="fr-CA"/>
        </w:rPr>
        <w:t>En somme, c</w:t>
      </w:r>
      <w:r>
        <w:rPr>
          <w:rFonts w:cs="Times New Roman"/>
          <w:lang w:val="fr-CA"/>
        </w:rPr>
        <w:t>’</w:t>
      </w:r>
      <w:r w:rsidRPr="00357367">
        <w:rPr>
          <w:rFonts w:cs="Times New Roman"/>
          <w:lang w:val="fr-CA"/>
        </w:rPr>
        <w:t>est le cumul de l</w:t>
      </w:r>
      <w:r>
        <w:rPr>
          <w:rFonts w:cs="Times New Roman"/>
          <w:lang w:val="fr-CA"/>
        </w:rPr>
        <w:t>’</w:t>
      </w:r>
      <w:r w:rsidRPr="00357367">
        <w:rPr>
          <w:rFonts w:cs="Times New Roman"/>
          <w:lang w:val="fr-CA"/>
        </w:rPr>
        <w:t>incertitude juridique, de la bonne foi des policiers, de la possibilité de découvrir une preuve essentielle à la tenue d</w:t>
      </w:r>
      <w:r>
        <w:rPr>
          <w:rFonts w:cs="Times New Roman"/>
          <w:lang w:val="fr-CA"/>
        </w:rPr>
        <w:t>’</w:t>
      </w:r>
      <w:r w:rsidRPr="00357367">
        <w:rPr>
          <w:rFonts w:cs="Times New Roman"/>
          <w:lang w:val="fr-CA"/>
        </w:rPr>
        <w:t>un procès au fond et de la fiabilité d</w:t>
      </w:r>
      <w:r>
        <w:rPr>
          <w:rFonts w:cs="Times New Roman"/>
          <w:lang w:val="fr-CA"/>
        </w:rPr>
        <w:t>’</w:t>
      </w:r>
      <w:r w:rsidRPr="00357367">
        <w:rPr>
          <w:rFonts w:cs="Times New Roman"/>
          <w:lang w:val="fr-CA"/>
        </w:rPr>
        <w:t>une telle preuve qui permet de conclure la mise en balance en statuant que la preuve est admissible.</w:t>
      </w:r>
    </w:p>
    <w:p w:rsidR="00A37A4C" w:rsidRPr="00357367" w:rsidRDefault="00A37A4C" w:rsidP="006534E4">
      <w:pPr>
        <w:pStyle w:val="ParaNoNdepar-AltN"/>
        <w:widowControl w:val="0"/>
        <w:rPr>
          <w:rFonts w:cs="Times New Roman"/>
          <w:lang w:val="fr-CA"/>
        </w:rPr>
      </w:pPr>
      <w:r w:rsidRPr="00357367">
        <w:rPr>
          <w:rFonts w:cs="Times New Roman"/>
          <w:lang w:val="fr-CA"/>
        </w:rPr>
        <w:t>Même si j</w:t>
      </w:r>
      <w:r>
        <w:rPr>
          <w:rFonts w:cs="Times New Roman"/>
          <w:lang w:val="fr-CA"/>
        </w:rPr>
        <w:t>’</w:t>
      </w:r>
      <w:r w:rsidRPr="00357367">
        <w:rPr>
          <w:rFonts w:cs="Times New Roman"/>
          <w:lang w:val="fr-CA"/>
        </w:rPr>
        <w:t>estime que les drogues et les armes saisies devraient être admises en preuve, je ne cautionne pas l</w:t>
      </w:r>
      <w:r>
        <w:rPr>
          <w:rFonts w:cs="Times New Roman"/>
          <w:lang w:val="fr-CA"/>
        </w:rPr>
        <w:t>’</w:t>
      </w:r>
      <w:r w:rsidRPr="00357367">
        <w:rPr>
          <w:rFonts w:cs="Times New Roman"/>
          <w:lang w:val="fr-CA"/>
        </w:rPr>
        <w:t>inconduite des policiers ni ne prends à la légère les droits individuels de l</w:t>
      </w:r>
      <w:r>
        <w:rPr>
          <w:rFonts w:cs="Times New Roman"/>
          <w:lang w:val="fr-CA"/>
        </w:rPr>
        <w:t>’</w:t>
      </w:r>
      <w:r w:rsidRPr="00357367">
        <w:rPr>
          <w:rFonts w:cs="Times New Roman"/>
          <w:lang w:val="fr-CA"/>
        </w:rPr>
        <w:t>appelant. Il faut certes faire preuve de vigilance dans la protection des citoyens contre l</w:t>
      </w:r>
      <w:r>
        <w:rPr>
          <w:rFonts w:cs="Times New Roman"/>
          <w:lang w:val="fr-CA"/>
        </w:rPr>
        <w:t>’</w:t>
      </w:r>
      <w:r w:rsidRPr="00357367">
        <w:rPr>
          <w:rFonts w:cs="Times New Roman"/>
          <w:lang w:val="fr-CA"/>
        </w:rPr>
        <w:t>inconduite policière délibérée et même, parfois, celle qui résulte de la négligence. Mais nous n</w:t>
      </w:r>
      <w:r>
        <w:rPr>
          <w:rFonts w:cs="Times New Roman"/>
          <w:lang w:val="fr-CA"/>
        </w:rPr>
        <w:t>’</w:t>
      </w:r>
      <w:r w:rsidRPr="00357367">
        <w:rPr>
          <w:rFonts w:cs="Times New Roman"/>
          <w:lang w:val="fr-CA"/>
        </w:rPr>
        <w:t>avons pas affaire à un tel cas. Écarter des éléments fiables requis pour prouver la perpétration d</w:t>
      </w:r>
      <w:r>
        <w:rPr>
          <w:rFonts w:cs="Times New Roman"/>
          <w:lang w:val="fr-CA"/>
        </w:rPr>
        <w:t>’</w:t>
      </w:r>
      <w:r w:rsidRPr="00357367">
        <w:rPr>
          <w:rFonts w:cs="Times New Roman"/>
          <w:lang w:val="fr-CA"/>
        </w:rPr>
        <w:t>infractions criminelles graves lorsque les policiers, malgré leur bonne foi, ont cru à tort qu</w:t>
      </w:r>
      <w:r>
        <w:rPr>
          <w:rFonts w:cs="Times New Roman"/>
          <w:lang w:val="fr-CA"/>
        </w:rPr>
        <w:t>’</w:t>
      </w:r>
      <w:r w:rsidRPr="00357367">
        <w:rPr>
          <w:rFonts w:cs="Times New Roman"/>
          <w:lang w:val="fr-CA"/>
        </w:rPr>
        <w:t>ils pouvaient entrer sans mandat chez l</w:t>
      </w:r>
      <w:r>
        <w:rPr>
          <w:rFonts w:cs="Times New Roman"/>
          <w:lang w:val="fr-CA"/>
        </w:rPr>
        <w:t>’</w:t>
      </w:r>
      <w:r w:rsidRPr="00357367">
        <w:rPr>
          <w:rFonts w:cs="Times New Roman"/>
          <w:lang w:val="fr-CA"/>
        </w:rPr>
        <w:t>appelant — ce qu</w:t>
      </w:r>
      <w:r>
        <w:rPr>
          <w:rFonts w:cs="Times New Roman"/>
          <w:lang w:val="fr-CA"/>
        </w:rPr>
        <w:t>’</w:t>
      </w:r>
      <w:r w:rsidRPr="00357367">
        <w:rPr>
          <w:rFonts w:cs="Times New Roman"/>
          <w:lang w:val="fr-CA"/>
        </w:rPr>
        <w:t>ont également cru à tort le juge du procès et la Cour d</w:t>
      </w:r>
      <w:r>
        <w:rPr>
          <w:rFonts w:cs="Times New Roman"/>
          <w:lang w:val="fr-CA"/>
        </w:rPr>
        <w:t>’</w:t>
      </w:r>
      <w:r w:rsidRPr="00357367">
        <w:rPr>
          <w:rFonts w:cs="Times New Roman"/>
          <w:lang w:val="fr-CA"/>
        </w:rPr>
        <w:t>appel — ne favorise en rien la confiance du public dans l</w:t>
      </w:r>
      <w:r>
        <w:rPr>
          <w:rFonts w:cs="Times New Roman"/>
          <w:lang w:val="fr-CA"/>
        </w:rPr>
        <w:t>’</w:t>
      </w:r>
      <w:r w:rsidRPr="00357367">
        <w:rPr>
          <w:rFonts w:cs="Times New Roman"/>
          <w:lang w:val="fr-CA"/>
        </w:rPr>
        <w:t>administration de la justice. Au contraire, c</w:t>
      </w:r>
      <w:r>
        <w:rPr>
          <w:rFonts w:cs="Times New Roman"/>
          <w:lang w:val="fr-CA"/>
        </w:rPr>
        <w:t>’</w:t>
      </w:r>
      <w:r w:rsidRPr="00357367">
        <w:rPr>
          <w:rFonts w:cs="Times New Roman"/>
          <w:lang w:val="fr-CA"/>
        </w:rPr>
        <w:t>est trahir cette confiance.</w:t>
      </w:r>
    </w:p>
    <w:p w:rsidR="00A37A4C" w:rsidRPr="00357367" w:rsidRDefault="00A37A4C" w:rsidP="006534E4">
      <w:pPr>
        <w:pStyle w:val="ParaNoNdepar-AltN"/>
        <w:widowControl w:val="0"/>
        <w:rPr>
          <w:rFonts w:cs="Times New Roman"/>
          <w:noProof/>
          <w:lang w:val="fr-CA"/>
        </w:rPr>
      </w:pPr>
      <w:r w:rsidRPr="00357367">
        <w:rPr>
          <w:rFonts w:cs="Times New Roman"/>
          <w:lang w:val="fr-CA"/>
        </w:rPr>
        <w:t>Néanmoins, dans un cas comme celui dont nous sommes saisis où il y a eu atteinte importante à l</w:t>
      </w:r>
      <w:r>
        <w:rPr>
          <w:rFonts w:cs="Times New Roman"/>
          <w:lang w:val="fr-CA"/>
        </w:rPr>
        <w:t>’</w:t>
      </w:r>
      <w:r w:rsidRPr="00357367">
        <w:rPr>
          <w:rFonts w:cs="Times New Roman"/>
          <w:lang w:val="fr-CA"/>
        </w:rPr>
        <w:t>intérêt de l</w:t>
      </w:r>
      <w:r>
        <w:rPr>
          <w:rFonts w:cs="Times New Roman"/>
          <w:lang w:val="fr-CA"/>
        </w:rPr>
        <w:t>’</w:t>
      </w:r>
      <w:r w:rsidRPr="00357367">
        <w:rPr>
          <w:rFonts w:cs="Times New Roman"/>
          <w:lang w:val="fr-CA"/>
        </w:rPr>
        <w:t>appelant en matière de respect de la vie privée, malgré l</w:t>
      </w:r>
      <w:r>
        <w:rPr>
          <w:rFonts w:cs="Times New Roman"/>
          <w:lang w:val="fr-CA"/>
        </w:rPr>
        <w:t>’</w:t>
      </w:r>
      <w:r w:rsidRPr="00357367">
        <w:rPr>
          <w:rFonts w:cs="Times New Roman"/>
          <w:lang w:val="fr-CA"/>
        </w:rPr>
        <w:t>incertitude du droit et la bonne foi des policiers, je n</w:t>
      </w:r>
      <w:r>
        <w:rPr>
          <w:rFonts w:cs="Times New Roman"/>
          <w:lang w:val="fr-CA"/>
        </w:rPr>
        <w:t>’</w:t>
      </w:r>
      <w:r w:rsidRPr="00357367">
        <w:rPr>
          <w:rFonts w:cs="Times New Roman"/>
          <w:lang w:val="fr-CA"/>
        </w:rPr>
        <w:t>exclus pas la possibilité d</w:t>
      </w:r>
      <w:r>
        <w:rPr>
          <w:rFonts w:cs="Times New Roman"/>
          <w:lang w:val="fr-CA"/>
        </w:rPr>
        <w:t>’</w:t>
      </w:r>
      <w:r w:rsidRPr="00357367">
        <w:rPr>
          <w:rFonts w:cs="Times New Roman"/>
          <w:lang w:val="fr-CA"/>
        </w:rPr>
        <w:t xml:space="preserve">une autre réparation, fondée sur le par. 24(1) de la </w:t>
      </w:r>
      <w:r w:rsidRPr="00357367">
        <w:rPr>
          <w:rFonts w:cs="Times New Roman"/>
          <w:i/>
          <w:lang w:val="fr-CA"/>
        </w:rPr>
        <w:t>Charte</w:t>
      </w:r>
      <w:r w:rsidRPr="00357367">
        <w:rPr>
          <w:rFonts w:cs="Times New Roman"/>
          <w:lang w:val="fr-CA"/>
        </w:rPr>
        <w:t>, que celle d</w:t>
      </w:r>
      <w:r>
        <w:rPr>
          <w:rFonts w:cs="Times New Roman"/>
          <w:lang w:val="fr-CA"/>
        </w:rPr>
        <w:t>’</w:t>
      </w:r>
      <w:r w:rsidRPr="00357367">
        <w:rPr>
          <w:rFonts w:cs="Times New Roman"/>
          <w:lang w:val="fr-CA"/>
        </w:rPr>
        <w:t xml:space="preserve">écarter la preuve prévue au par. 24(2) de la </w:t>
      </w:r>
      <w:r w:rsidRPr="00357367">
        <w:rPr>
          <w:rFonts w:cs="Times New Roman"/>
          <w:i/>
          <w:lang w:val="fr-CA"/>
        </w:rPr>
        <w:t>Charte</w:t>
      </w:r>
      <w:r w:rsidRPr="00357367">
        <w:rPr>
          <w:rFonts w:cs="Times New Roman"/>
          <w:lang w:val="fr-CA"/>
        </w:rPr>
        <w:t>; il pourrait par exemple y avoir réduction de la peine infligée. Mais l</w:t>
      </w:r>
      <w:r>
        <w:rPr>
          <w:rFonts w:cs="Times New Roman"/>
          <w:lang w:val="fr-CA"/>
        </w:rPr>
        <w:t>’</w:t>
      </w:r>
      <w:r w:rsidRPr="00357367">
        <w:rPr>
          <w:rFonts w:cs="Times New Roman"/>
          <w:lang w:val="fr-CA"/>
        </w:rPr>
        <w:t>appelant n</w:t>
      </w:r>
      <w:r>
        <w:rPr>
          <w:rFonts w:cs="Times New Roman"/>
          <w:lang w:val="fr-CA"/>
        </w:rPr>
        <w:t>’</w:t>
      </w:r>
      <w:r w:rsidRPr="00357367">
        <w:rPr>
          <w:rFonts w:cs="Times New Roman"/>
          <w:lang w:val="fr-CA"/>
        </w:rPr>
        <w:t>a pas fait valoir cette possibilité et il faudra statuer sur elle dans un dossier ultérieur.</w:t>
      </w:r>
    </w:p>
    <w:p w:rsidR="00A37A4C" w:rsidRPr="00357367" w:rsidRDefault="00A37A4C" w:rsidP="006534E4">
      <w:pPr>
        <w:pStyle w:val="Title1LevelTitre1Niveau-AltL"/>
        <w:widowControl w:val="0"/>
        <w:rPr>
          <w:rFonts w:cs="Times New Roman"/>
          <w:lang w:val="fr-CA"/>
        </w:rPr>
      </w:pPr>
      <w:r w:rsidRPr="00357367">
        <w:rPr>
          <w:rFonts w:cs="Times New Roman"/>
          <w:noProof/>
          <w:lang w:val="fr-CA"/>
        </w:rPr>
        <w:t>Conclusion</w:t>
      </w:r>
    </w:p>
    <w:p w:rsidR="00A37A4C" w:rsidRPr="00357367" w:rsidRDefault="00A37A4C" w:rsidP="006534E4">
      <w:pPr>
        <w:pStyle w:val="ParaNoNdepar-AltN"/>
        <w:widowControl w:val="0"/>
        <w:rPr>
          <w:rFonts w:cs="Times New Roman"/>
          <w:lang w:val="fr-CA"/>
        </w:rPr>
      </w:pPr>
      <w:r w:rsidRPr="00357367">
        <w:rPr>
          <w:rFonts w:cs="Times New Roman"/>
          <w:lang w:val="fr-CA"/>
        </w:rPr>
        <w:t>Pour ces motifs, je suis d</w:t>
      </w:r>
      <w:r>
        <w:rPr>
          <w:rFonts w:cs="Times New Roman"/>
          <w:lang w:val="fr-CA"/>
        </w:rPr>
        <w:t>’</w:t>
      </w:r>
      <w:r w:rsidRPr="00357367">
        <w:rPr>
          <w:rFonts w:cs="Times New Roman"/>
          <w:lang w:val="fr-CA"/>
        </w:rPr>
        <w:t>avis de rejeter le pourvoi.</w:t>
      </w:r>
    </w:p>
    <w:p w:rsidR="00B84FD9" w:rsidRPr="0053711F" w:rsidRDefault="00B84FD9" w:rsidP="006534E4">
      <w:pPr>
        <w:pStyle w:val="SCCNormalDoubleSpacing"/>
        <w:widowControl w:val="0"/>
        <w:spacing w:before="480" w:after="480"/>
        <w:rPr>
          <w:lang w:val="fr-CA"/>
        </w:rPr>
      </w:pPr>
      <w:r w:rsidRPr="0053711F">
        <w:rPr>
          <w:lang w:val="fr-CA"/>
        </w:rPr>
        <w:tab/>
      </w:r>
      <w:r w:rsidRPr="0053711F">
        <w:rPr>
          <w:i/>
          <w:lang w:val="fr-CA"/>
        </w:rPr>
        <w:t>Pourvoi accueilli,</w:t>
      </w:r>
      <w:r w:rsidRPr="0053711F">
        <w:rPr>
          <w:lang w:val="fr-CA"/>
        </w:rPr>
        <w:t xml:space="preserve"> </w:t>
      </w:r>
      <w:r w:rsidRPr="0053711F">
        <w:rPr>
          <w:i/>
          <w:lang w:val="fr-CA"/>
        </w:rPr>
        <w:t xml:space="preserve">déclarations de culpabilité annulées et acquittements inscrits, les juges </w:t>
      </w:r>
      <w:r w:rsidRPr="0053711F">
        <w:rPr>
          <w:smallCaps/>
          <w:lang w:val="fr-CA"/>
        </w:rPr>
        <w:t xml:space="preserve">Moldaver </w:t>
      </w:r>
      <w:r w:rsidRPr="0053711F">
        <w:rPr>
          <w:i/>
          <w:lang w:val="fr-CA"/>
        </w:rPr>
        <w:t xml:space="preserve">et </w:t>
      </w:r>
      <w:r w:rsidRPr="0053711F">
        <w:rPr>
          <w:smallCaps/>
          <w:lang w:val="fr-CA"/>
        </w:rPr>
        <w:t>Gascon</w:t>
      </w:r>
      <w:r w:rsidRPr="0053711F">
        <w:rPr>
          <w:i/>
          <w:lang w:val="fr-CA"/>
        </w:rPr>
        <w:t xml:space="preserve"> sont dissidents.</w:t>
      </w:r>
    </w:p>
    <w:p w:rsidR="00B84FD9" w:rsidRPr="0053711F" w:rsidRDefault="00B84FD9" w:rsidP="006534E4">
      <w:pPr>
        <w:pStyle w:val="SCCLawFirm"/>
        <w:widowControl w:val="0"/>
        <w:spacing w:before="480" w:after="480"/>
        <w:rPr>
          <w:lang w:val="fr-CA"/>
        </w:rPr>
      </w:pPr>
      <w:r w:rsidRPr="0053711F">
        <w:rPr>
          <w:lang w:val="fr-CA"/>
        </w:rPr>
        <w:tab/>
        <w:t>Procureurs de l’appelant : Sprake Song &amp; Konye, Vancouver; Kenneth S. Westlake, Vancouver; Anderson Criminal Law, Vancouver.</w:t>
      </w:r>
    </w:p>
    <w:p w:rsidR="00B84FD9" w:rsidRPr="0053711F" w:rsidRDefault="00B84FD9" w:rsidP="006534E4">
      <w:pPr>
        <w:pStyle w:val="SCCLawFirm"/>
        <w:widowControl w:val="0"/>
        <w:spacing w:before="480" w:after="480"/>
        <w:rPr>
          <w:lang w:val="fr-CA"/>
        </w:rPr>
      </w:pPr>
      <w:r w:rsidRPr="0053711F">
        <w:rPr>
          <w:lang w:val="fr-CA"/>
        </w:rPr>
        <w:tab/>
        <w:t>Procureur de l’intimée : Service des poursuites pénales du Canada, Vancouver.</w:t>
      </w:r>
    </w:p>
    <w:p w:rsidR="00B84FD9" w:rsidRPr="0053711F" w:rsidRDefault="00B84FD9" w:rsidP="006534E4">
      <w:pPr>
        <w:pStyle w:val="SCCLawFirm"/>
        <w:widowControl w:val="0"/>
        <w:spacing w:before="480" w:after="480"/>
        <w:rPr>
          <w:lang w:val="fr-CA"/>
        </w:rPr>
      </w:pPr>
      <w:r w:rsidRPr="0053711F">
        <w:rPr>
          <w:lang w:val="fr-CA"/>
        </w:rPr>
        <w:tab/>
        <w:t>Procureur de l’intervenant le procureur général de l’Ontario : Procureur général de l’Ontario, Toronto.</w:t>
      </w:r>
    </w:p>
    <w:p w:rsidR="00B84FD9" w:rsidRPr="0053711F" w:rsidRDefault="00B84FD9" w:rsidP="006534E4">
      <w:pPr>
        <w:pStyle w:val="SCCLawFirm"/>
        <w:widowControl w:val="0"/>
        <w:spacing w:before="480" w:after="480"/>
        <w:rPr>
          <w:lang w:val="fr-CA"/>
        </w:rPr>
      </w:pPr>
      <w:r w:rsidRPr="0053711F">
        <w:rPr>
          <w:lang w:val="fr-CA"/>
        </w:rPr>
        <w:tab/>
        <w:t>Procureur de l’intervenant le procureur général de l’Alberta : Procureur général de l’Alberta, Calgary.</w:t>
      </w:r>
    </w:p>
    <w:p w:rsidR="00B84FD9" w:rsidRPr="0053711F" w:rsidRDefault="00B84FD9" w:rsidP="006534E4">
      <w:pPr>
        <w:pStyle w:val="SCCLawFirm"/>
        <w:widowControl w:val="0"/>
        <w:rPr>
          <w:lang w:val="fr-CA"/>
        </w:rPr>
      </w:pPr>
      <w:r w:rsidRPr="0053711F">
        <w:rPr>
          <w:lang w:val="fr-CA"/>
        </w:rPr>
        <w:tab/>
        <w:t>Procureurs de l’intervenante British Columbia Civil Liberties Association : Blake, Cassels &amp; Graydon, Vancouver.</w:t>
      </w:r>
    </w:p>
    <w:p w:rsidR="005D37A6" w:rsidRPr="00B84FD9" w:rsidRDefault="005D37A6" w:rsidP="006534E4">
      <w:pPr>
        <w:widowControl w:val="0"/>
        <w:rPr>
          <w:lang w:val="fr-CA"/>
        </w:rPr>
      </w:pPr>
    </w:p>
    <w:sectPr w:rsidR="005D37A6" w:rsidRPr="00B84FD9" w:rsidSect="00267390">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A4C" w:rsidRDefault="00A37A4C" w:rsidP="00A37A4C">
      <w:r>
        <w:separator/>
      </w:r>
    </w:p>
  </w:endnote>
  <w:endnote w:type="continuationSeparator" w:id="0">
    <w:p w:rsidR="00A37A4C" w:rsidRDefault="00A37A4C" w:rsidP="00A3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Yet R">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2D" w:rsidRDefault="00CD6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2D" w:rsidRDefault="00CD6D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2D" w:rsidRDefault="00CD6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A4C" w:rsidRDefault="00A37A4C" w:rsidP="00A37A4C">
      <w:r>
        <w:separator/>
      </w:r>
    </w:p>
  </w:footnote>
  <w:footnote w:type="continuationSeparator" w:id="0">
    <w:p w:rsidR="00A37A4C" w:rsidRDefault="00A37A4C" w:rsidP="00A37A4C">
      <w:r>
        <w:continuationSeparator/>
      </w:r>
    </w:p>
  </w:footnote>
  <w:footnote w:id="1">
    <w:p w:rsidR="00A37A4C" w:rsidRPr="0053249D" w:rsidRDefault="00A37A4C" w:rsidP="00A37A4C">
      <w:pPr>
        <w:pStyle w:val="FootnoteText"/>
        <w:rPr>
          <w:lang w:val="fr-CA"/>
        </w:rPr>
      </w:pPr>
      <w:r>
        <w:rPr>
          <w:rStyle w:val="FootnoteReference"/>
        </w:rPr>
        <w:footnoteRef/>
      </w:r>
      <w:r w:rsidRPr="0053249D">
        <w:rPr>
          <w:lang w:val="fr-CA"/>
        </w:rPr>
        <w:t xml:space="preserve">  </w:t>
      </w:r>
      <w:r>
        <w:rPr>
          <w:lang w:val="fr-CA"/>
        </w:rPr>
        <w:t>À ce sujet</w:t>
      </w:r>
      <w:r w:rsidRPr="009B1AB5">
        <w:rPr>
          <w:lang w:val="fr-CA"/>
        </w:rPr>
        <w:t>,</w:t>
      </w:r>
      <w:r>
        <w:rPr>
          <w:lang w:val="fr-CA"/>
        </w:rPr>
        <w:t xml:space="preserve"> je ne peux malheureusement souscrire à l’affirmation de la Cour d’appel (au par. </w:t>
      </w:r>
      <w:r w:rsidRPr="009B1AB5">
        <w:rPr>
          <w:lang w:val="fr-CA"/>
        </w:rPr>
        <w:t>57</w:t>
      </w:r>
      <w:r>
        <w:rPr>
          <w:lang w:val="fr-CA"/>
        </w:rPr>
        <w:t>)</w:t>
      </w:r>
      <w:r w:rsidRPr="009B1AB5">
        <w:rPr>
          <w:lang w:val="fr-CA"/>
        </w:rPr>
        <w:t xml:space="preserve"> </w:t>
      </w:r>
      <w:r>
        <w:rPr>
          <w:lang w:val="fr-CA"/>
        </w:rPr>
        <w:t xml:space="preserve">selon laquelle la règle des confessions </w:t>
      </w:r>
      <w:r w:rsidRPr="009B1AB5">
        <w:rPr>
          <w:lang w:val="fr-CA"/>
        </w:rPr>
        <w:t>[</w:t>
      </w:r>
      <w:r w:rsidRPr="009B1AB5">
        <w:rPr>
          <w:smallCaps/>
          <w:lang w:val="fr-CA"/>
        </w:rPr>
        <w:t>traduction</w:t>
      </w:r>
      <w:r w:rsidRPr="009B1AB5">
        <w:rPr>
          <w:lang w:val="fr-CA"/>
        </w:rPr>
        <w:t xml:space="preserve">] </w:t>
      </w:r>
      <w:r>
        <w:rPr>
          <w:lang w:val="fr-CA"/>
        </w:rPr>
        <w:t>« permet de faire obstacle à l’admission de faux aveux ».</w:t>
      </w:r>
      <w:r w:rsidRPr="009B1AB5">
        <w:rPr>
          <w:lang w:val="fr-CA"/>
        </w:rPr>
        <w:t xml:space="preserve"> </w:t>
      </w:r>
      <w:r>
        <w:rPr>
          <w:lang w:val="fr-CA"/>
        </w:rPr>
        <w:t>La véracité de la déclaration en cause importe peu aux fins de l’examen</w:t>
      </w:r>
      <w:r w:rsidRPr="009B1AB5">
        <w:rPr>
          <w:lang w:val="fr-CA"/>
        </w:rPr>
        <w:t>.</w:t>
      </w:r>
      <w:r>
        <w:rPr>
          <w:lang w:val="fr-CA"/>
        </w:rPr>
        <w:t xml:space="preserve"> </w:t>
      </w:r>
    </w:p>
  </w:footnote>
  <w:footnote w:id="2">
    <w:p w:rsidR="00A37A4C" w:rsidRPr="008D7056" w:rsidRDefault="00A37A4C" w:rsidP="00A37A4C">
      <w:pPr>
        <w:pStyle w:val="FootnoteText"/>
        <w:rPr>
          <w:lang w:val="fr-CA"/>
        </w:rPr>
      </w:pPr>
      <w:r>
        <w:rPr>
          <w:rStyle w:val="FootnoteReference"/>
        </w:rPr>
        <w:footnoteRef/>
      </w:r>
      <w:r w:rsidRPr="008D7056">
        <w:rPr>
          <w:lang w:val="fr-CA"/>
        </w:rPr>
        <w:t xml:space="preserve">  Le procureur général de l</w:t>
      </w:r>
      <w:r>
        <w:rPr>
          <w:lang w:val="fr-CA"/>
        </w:rPr>
        <w:t>’</w:t>
      </w:r>
      <w:r w:rsidRPr="008D7056">
        <w:rPr>
          <w:lang w:val="fr-CA"/>
        </w:rPr>
        <w:t xml:space="preserve">Ontario </w:t>
      </w:r>
      <w:r>
        <w:rPr>
          <w:lang w:val="fr-CA"/>
        </w:rPr>
        <w:t xml:space="preserve">signale </w:t>
      </w:r>
      <w:r w:rsidRPr="008D7056">
        <w:rPr>
          <w:lang w:val="fr-CA"/>
        </w:rPr>
        <w:t>que, dans l</w:t>
      </w:r>
      <w:r>
        <w:rPr>
          <w:lang w:val="fr-CA"/>
        </w:rPr>
        <w:t>’</w:t>
      </w:r>
      <w:r w:rsidRPr="008D7056">
        <w:rPr>
          <w:lang w:val="fr-CA"/>
        </w:rPr>
        <w:t xml:space="preserve">affaire </w:t>
      </w:r>
      <w:r w:rsidRPr="008D7056">
        <w:rPr>
          <w:i/>
          <w:lang w:val="fr-CA"/>
        </w:rPr>
        <w:t>R.</w:t>
      </w:r>
      <w:r>
        <w:rPr>
          <w:i/>
          <w:lang w:val="fr-CA"/>
        </w:rPr>
        <w:t xml:space="preserve"> c. </w:t>
      </w:r>
      <w:r w:rsidRPr="008D7056">
        <w:rPr>
          <w:i/>
          <w:lang w:val="fr-CA"/>
        </w:rPr>
        <w:t>Soules</w:t>
      </w:r>
      <w:r w:rsidRPr="008D7056">
        <w:rPr>
          <w:lang w:val="fr-CA"/>
        </w:rPr>
        <w:t>, 2011</w:t>
      </w:r>
      <w:r>
        <w:rPr>
          <w:lang w:val="fr-CA"/>
        </w:rPr>
        <w:t xml:space="preserve"> ONCA </w:t>
      </w:r>
      <w:r w:rsidRPr="008D7056">
        <w:rPr>
          <w:lang w:val="fr-CA"/>
        </w:rPr>
        <w:t xml:space="preserve">429, </w:t>
      </w:r>
      <w:r>
        <w:rPr>
          <w:lang w:val="fr-CA"/>
        </w:rPr>
        <w:t xml:space="preserve">105 O.R. (3d) 561, invoquée par </w:t>
      </w:r>
      <w:r w:rsidRPr="008D7056">
        <w:rPr>
          <w:lang w:val="fr-CA"/>
        </w:rPr>
        <w:t>l</w:t>
      </w:r>
      <w:r>
        <w:rPr>
          <w:lang w:val="fr-CA"/>
        </w:rPr>
        <w:t>’</w:t>
      </w:r>
      <w:r w:rsidRPr="008D7056">
        <w:rPr>
          <w:lang w:val="fr-CA"/>
        </w:rPr>
        <w:t xml:space="preserve">appelant, </w:t>
      </w:r>
      <w:r>
        <w:rPr>
          <w:lang w:val="fr-CA"/>
        </w:rPr>
        <w:t xml:space="preserve">les </w:t>
      </w:r>
      <w:r w:rsidRPr="008D7056">
        <w:rPr>
          <w:lang w:val="fr-CA"/>
        </w:rPr>
        <w:t xml:space="preserve">policiers </w:t>
      </w:r>
      <w:r>
        <w:rPr>
          <w:lang w:val="fr-CA"/>
        </w:rPr>
        <w:t xml:space="preserve">ont été empêchés </w:t>
      </w:r>
      <w:r w:rsidRPr="008D7056">
        <w:rPr>
          <w:lang w:val="fr-CA"/>
        </w:rPr>
        <w:t>d</w:t>
      </w:r>
      <w:r>
        <w:rPr>
          <w:lang w:val="fr-CA"/>
        </w:rPr>
        <w:t>’</w:t>
      </w:r>
      <w:r w:rsidRPr="008D7056">
        <w:rPr>
          <w:lang w:val="fr-CA"/>
        </w:rPr>
        <w:t xml:space="preserve">utiliser </w:t>
      </w:r>
      <w:r w:rsidRPr="008D7056">
        <w:rPr>
          <w:i/>
          <w:lang w:val="fr-CA"/>
        </w:rPr>
        <w:t>à quelque fin que ce soit</w:t>
      </w:r>
      <w:r w:rsidRPr="008D7056">
        <w:rPr>
          <w:rFonts w:ascii="CG Times" w:hAnsi="CG Times"/>
          <w:spacing w:val="-3"/>
          <w:lang w:val="fr-CA"/>
        </w:rPr>
        <w:t xml:space="preserve"> les d</w:t>
      </w:r>
      <w:r w:rsidRPr="008D7056">
        <w:rPr>
          <w:rFonts w:ascii="CG Times" w:hAnsi="CG Times" w:hint="eastAsia"/>
          <w:spacing w:val="-3"/>
          <w:lang w:val="fr-CA"/>
        </w:rPr>
        <w:t>é</w:t>
      </w:r>
      <w:r w:rsidRPr="008D7056">
        <w:rPr>
          <w:rFonts w:ascii="CG Times" w:hAnsi="CG Times"/>
          <w:spacing w:val="-3"/>
          <w:lang w:val="fr-CA"/>
        </w:rPr>
        <w:t xml:space="preserve">clarations </w:t>
      </w:r>
      <w:r>
        <w:rPr>
          <w:rFonts w:ascii="CG Times" w:hAnsi="CG Times"/>
          <w:spacing w:val="-3"/>
          <w:lang w:val="fr-CA"/>
        </w:rPr>
        <w:t>obtenues de l’</w:t>
      </w:r>
      <w:r w:rsidRPr="008D7056">
        <w:rPr>
          <w:rFonts w:ascii="CG Times" w:hAnsi="CG Times"/>
          <w:spacing w:val="-3"/>
          <w:lang w:val="fr-CA"/>
        </w:rPr>
        <w:t>accus</w:t>
      </w:r>
      <w:r w:rsidRPr="008D7056">
        <w:rPr>
          <w:rFonts w:ascii="CG Times" w:hAnsi="CG Times" w:hint="eastAsia"/>
          <w:spacing w:val="-3"/>
          <w:lang w:val="fr-CA"/>
        </w:rPr>
        <w:t>é</w:t>
      </w:r>
      <w:r w:rsidRPr="008D7056">
        <w:rPr>
          <w:rFonts w:ascii="CG Times" w:hAnsi="CG Times"/>
          <w:spacing w:val="-3"/>
          <w:lang w:val="fr-CA"/>
        </w:rPr>
        <w:t xml:space="preserve"> </w:t>
      </w:r>
      <w:r>
        <w:rPr>
          <w:rFonts w:ascii="CG Times" w:hAnsi="CG Times"/>
          <w:spacing w:val="-3"/>
          <w:lang w:val="fr-CA"/>
        </w:rPr>
        <w:t>en vertu d’une obligation légale</w:t>
      </w:r>
      <w:r w:rsidRPr="008D7056">
        <w:rPr>
          <w:lang w:val="fr-CA"/>
        </w:rPr>
        <w:t xml:space="preserve">, y compris pour établir </w:t>
      </w:r>
      <w:r>
        <w:rPr>
          <w:lang w:val="fr-CA"/>
        </w:rPr>
        <w:t>l’existence d</w:t>
      </w:r>
      <w:r w:rsidRPr="008D7056">
        <w:rPr>
          <w:lang w:val="fr-CA"/>
        </w:rPr>
        <w:t xml:space="preserve">e motifs </w:t>
      </w:r>
      <w:r>
        <w:rPr>
          <w:lang w:val="fr-CA"/>
        </w:rPr>
        <w:t>d’approfondir l’</w:t>
      </w:r>
      <w:r w:rsidRPr="008D7056">
        <w:rPr>
          <w:lang w:val="fr-CA"/>
        </w:rPr>
        <w:t>enquête. Sans me prononcer sur le bien</w:t>
      </w:r>
      <w:r>
        <w:rPr>
          <w:lang w:val="fr-CA"/>
        </w:rPr>
        <w:noBreakHyphen/>
      </w:r>
      <w:r w:rsidRPr="008D7056">
        <w:rPr>
          <w:lang w:val="fr-CA"/>
        </w:rPr>
        <w:t>fondé de l</w:t>
      </w:r>
      <w:r>
        <w:rPr>
          <w:lang w:val="fr-CA"/>
        </w:rPr>
        <w:t>’</w:t>
      </w:r>
      <w:r w:rsidRPr="008D7056">
        <w:rPr>
          <w:lang w:val="fr-CA"/>
        </w:rPr>
        <w:t xml:space="preserve">arrêt </w:t>
      </w:r>
      <w:r w:rsidRPr="008D7056">
        <w:rPr>
          <w:i/>
          <w:lang w:val="fr-CA"/>
        </w:rPr>
        <w:t>Soules</w:t>
      </w:r>
      <w:r w:rsidRPr="008D7056">
        <w:rPr>
          <w:lang w:val="fr-CA"/>
        </w:rPr>
        <w:t xml:space="preserve">, je ferai remarquer que, dans </w:t>
      </w:r>
      <w:r w:rsidRPr="008D7056">
        <w:rPr>
          <w:i/>
          <w:lang w:val="fr-CA"/>
        </w:rPr>
        <w:t>Orbanski</w:t>
      </w:r>
      <w:r w:rsidRPr="008D7056">
        <w:rPr>
          <w:lang w:val="fr-CA"/>
        </w:rPr>
        <w:t xml:space="preserve">, la Cour </w:t>
      </w:r>
      <w:r>
        <w:rPr>
          <w:lang w:val="fr-CA"/>
        </w:rPr>
        <w:t>est catégorique :</w:t>
      </w:r>
      <w:r w:rsidRPr="008D7056">
        <w:rPr>
          <w:lang w:val="fr-CA"/>
        </w:rPr>
        <w:t xml:space="preserve"> les policiers </w:t>
      </w:r>
      <w:r>
        <w:rPr>
          <w:lang w:val="fr-CA"/>
        </w:rPr>
        <w:t xml:space="preserve">peuvent </w:t>
      </w:r>
      <w:r w:rsidRPr="008D7056">
        <w:rPr>
          <w:lang w:val="fr-CA"/>
        </w:rPr>
        <w:t xml:space="preserve">utiliser </w:t>
      </w:r>
      <w:r>
        <w:rPr>
          <w:lang w:val="fr-CA"/>
        </w:rPr>
        <w:t xml:space="preserve">une </w:t>
      </w:r>
      <w:r w:rsidRPr="008D7056">
        <w:rPr>
          <w:lang w:val="fr-CA"/>
        </w:rPr>
        <w:t>déclaration</w:t>
      </w:r>
      <w:r>
        <w:rPr>
          <w:lang w:val="fr-CA"/>
        </w:rPr>
        <w:t xml:space="preserve"> obtenue lors d’un contrôle routier à la</w:t>
      </w:r>
      <w:r w:rsidRPr="008D7056">
        <w:rPr>
          <w:lang w:val="fr-CA"/>
        </w:rPr>
        <w:t xml:space="preserve"> fin </w:t>
      </w:r>
      <w:r>
        <w:rPr>
          <w:lang w:val="fr-CA"/>
        </w:rPr>
        <w:t>susmentionnée</w:t>
      </w:r>
      <w:r w:rsidRPr="008D7056">
        <w:rPr>
          <w:lang w:val="fr-CA"/>
        </w:rPr>
        <w:t>.</w:t>
      </w:r>
    </w:p>
  </w:footnote>
  <w:footnote w:id="3">
    <w:p w:rsidR="00A37A4C" w:rsidRPr="00514711" w:rsidRDefault="00A37A4C" w:rsidP="00A37A4C">
      <w:pPr>
        <w:pStyle w:val="FootnoteText"/>
        <w:rPr>
          <w:lang w:val="fr-CA"/>
        </w:rPr>
      </w:pPr>
      <w:r>
        <w:rPr>
          <w:rStyle w:val="FootnoteReference"/>
        </w:rPr>
        <w:footnoteRef/>
      </w:r>
      <w:r w:rsidRPr="00261CB2">
        <w:rPr>
          <w:lang w:val="fr-CA"/>
        </w:rPr>
        <w:t xml:space="preserve"> </w:t>
      </w:r>
      <w:r>
        <w:rPr>
          <w:lang w:val="fr-CA"/>
        </w:rPr>
        <w:t xml:space="preserve"> Je précise toutefois que </w:t>
      </w:r>
      <w:r w:rsidRPr="001C0F53">
        <w:rPr>
          <w:lang w:val="fr-CA"/>
        </w:rPr>
        <w:t>cette interprétation de l</w:t>
      </w:r>
      <w:r>
        <w:rPr>
          <w:lang w:val="fr-CA"/>
        </w:rPr>
        <w:t>’</w:t>
      </w:r>
      <w:r w:rsidRPr="001C0F53">
        <w:rPr>
          <w:lang w:val="fr-CA"/>
        </w:rPr>
        <w:t>expression « difficilement réalisable » ne vaut que pour l</w:t>
      </w:r>
      <w:r>
        <w:rPr>
          <w:lang w:val="fr-CA"/>
        </w:rPr>
        <w:t>’</w:t>
      </w:r>
      <w:r w:rsidRPr="001C0F53">
        <w:rPr>
          <w:lang w:val="fr-CA"/>
        </w:rPr>
        <w:t xml:space="preserve">application du par. 11(7) de la </w:t>
      </w:r>
      <w:r w:rsidRPr="001C0F53">
        <w:rPr>
          <w:i/>
          <w:lang w:val="fr-CA"/>
        </w:rPr>
        <w:t>LRCDAS</w:t>
      </w:r>
      <w:r w:rsidRPr="001C0F53">
        <w:rPr>
          <w:lang w:val="fr-CA"/>
        </w:rPr>
        <w:t xml:space="preserve"> et les conditions auxquelles une perquisition peut être effectuée sans mandat. Elle ne vaut pas pour l</w:t>
      </w:r>
      <w:r>
        <w:rPr>
          <w:lang w:val="fr-CA"/>
        </w:rPr>
        <w:t>’</w:t>
      </w:r>
      <w:r w:rsidRPr="001C0F53">
        <w:rPr>
          <w:lang w:val="fr-CA"/>
        </w:rPr>
        <w:t>emploi du</w:t>
      </w:r>
      <w:r>
        <w:rPr>
          <w:lang w:val="fr-CA"/>
        </w:rPr>
        <w:t xml:space="preserve"> terme « </w:t>
      </w:r>
      <w:r w:rsidRPr="00E91FA6">
        <w:rPr>
          <w:i/>
          <w:lang w:val="fr-CA"/>
        </w:rPr>
        <w:t>impracticable</w:t>
      </w:r>
      <w:r w:rsidRPr="00E91FA6">
        <w:rPr>
          <w:lang w:val="fr-CA"/>
        </w:rPr>
        <w:t> » dans d</w:t>
      </w:r>
      <w:r>
        <w:rPr>
          <w:lang w:val="fr-CA"/>
        </w:rPr>
        <w:t>’</w:t>
      </w:r>
      <w:r w:rsidRPr="00E91FA6">
        <w:rPr>
          <w:lang w:val="fr-CA"/>
        </w:rPr>
        <w:t>autres dispositions pénales, surtout lorsque la version française du terme est différente. Par exemple, le par. 184.3(1)</w:t>
      </w:r>
      <w:r>
        <w:rPr>
          <w:lang w:val="fr-CA"/>
        </w:rPr>
        <w:t xml:space="preserve"> du </w:t>
      </w:r>
      <w:r w:rsidRPr="00E91FA6">
        <w:rPr>
          <w:i/>
          <w:lang w:val="fr-CA"/>
        </w:rPr>
        <w:t>Code criminel</w:t>
      </w:r>
      <w:r w:rsidRPr="00E91FA6">
        <w:rPr>
          <w:lang w:val="fr-CA"/>
        </w:rPr>
        <w:t xml:space="preserve"> permet d</w:t>
      </w:r>
      <w:r>
        <w:rPr>
          <w:lang w:val="fr-CA"/>
        </w:rPr>
        <w:t>’</w:t>
      </w:r>
      <w:r w:rsidRPr="00E91FA6">
        <w:rPr>
          <w:lang w:val="fr-CA"/>
        </w:rPr>
        <w:t>obtenir un télémandat pour intercepter une communication privée si les circonstances rendent « peu commode »</w:t>
      </w:r>
      <w:r w:rsidRPr="00E17D73">
        <w:rPr>
          <w:lang w:val="fr-CA"/>
        </w:rPr>
        <w:t xml:space="preserve"> </w:t>
      </w:r>
      <w:r>
        <w:rPr>
          <w:lang w:val="fr-CA"/>
        </w:rPr>
        <w:t>(</w:t>
      </w:r>
      <w:r w:rsidRPr="00E91FA6">
        <w:rPr>
          <w:lang w:val="fr-CA"/>
        </w:rPr>
        <w:t>et non « </w:t>
      </w:r>
      <w:r w:rsidRPr="00E17D73">
        <w:rPr>
          <w:lang w:val="fr-CA"/>
        </w:rPr>
        <w:t>difficilement réalisable</w:t>
      </w:r>
      <w:r w:rsidRPr="00E91FA6">
        <w:rPr>
          <w:lang w:val="fr-CA"/>
        </w:rPr>
        <w:t> »</w:t>
      </w:r>
      <w:r>
        <w:rPr>
          <w:lang w:val="fr-CA"/>
        </w:rPr>
        <w:t>)</w:t>
      </w:r>
      <w:r w:rsidRPr="00E91FA6">
        <w:rPr>
          <w:lang w:val="fr-CA"/>
        </w:rPr>
        <w:t xml:space="preserve"> pour le demandeur de se présenter devant le juge. De même, le par. 487.1(4) du </w:t>
      </w:r>
      <w:r w:rsidRPr="00E91FA6">
        <w:rPr>
          <w:i/>
          <w:lang w:val="fr-CA"/>
        </w:rPr>
        <w:t>Code criminel</w:t>
      </w:r>
      <w:r w:rsidRPr="00E91FA6">
        <w:rPr>
          <w:lang w:val="fr-CA"/>
        </w:rPr>
        <w:t xml:space="preserve"> exige que la dénonciation présentée en vue d</w:t>
      </w:r>
      <w:r>
        <w:rPr>
          <w:lang w:val="fr-CA"/>
        </w:rPr>
        <w:t>’</w:t>
      </w:r>
      <w:r w:rsidRPr="00E91FA6">
        <w:rPr>
          <w:lang w:val="fr-CA"/>
        </w:rPr>
        <w:t xml:space="preserve">obtenir un télémandat comporte « un énoncé des circonstances qui rendent peu commode </w:t>
      </w:r>
      <w:r w:rsidR="0090363B">
        <w:rPr>
          <w:lang w:val="fr-CA"/>
        </w:rPr>
        <w:t>[et non “</w:t>
      </w:r>
      <w:r w:rsidRPr="00E17D73">
        <w:rPr>
          <w:lang w:val="fr-CA"/>
        </w:rPr>
        <w:t>difficilement réalisable</w:t>
      </w:r>
      <w:r w:rsidR="0090363B">
        <w:rPr>
          <w:lang w:val="fr-CA"/>
        </w:rPr>
        <w:t>”]</w:t>
      </w:r>
      <w:r>
        <w:rPr>
          <w:lang w:val="fr-CA"/>
        </w:rPr>
        <w:t xml:space="preserve"> </w:t>
      </w:r>
      <w:r w:rsidRPr="00E91FA6">
        <w:rPr>
          <w:lang w:val="fr-CA"/>
        </w:rPr>
        <w:t>pour l</w:t>
      </w:r>
      <w:r>
        <w:rPr>
          <w:lang w:val="fr-CA"/>
        </w:rPr>
        <w:t>’</w:t>
      </w:r>
      <w:r w:rsidRPr="00E91FA6">
        <w:rPr>
          <w:lang w:val="fr-CA"/>
        </w:rPr>
        <w:t>agent de paix de se présenter devant le juge de paix ».</w:t>
      </w:r>
      <w:r>
        <w:rPr>
          <w:lang w:val="fr-CA"/>
        </w:rPr>
        <w:t xml:space="preserve"> Dans ces trois dispositions, le terme correspondant de la version anglaise est </w:t>
      </w:r>
      <w:r w:rsidRPr="00E17D73">
        <w:rPr>
          <w:lang w:val="fr-CA"/>
        </w:rPr>
        <w:t>« </w:t>
      </w:r>
      <w:r w:rsidRPr="00E17D73">
        <w:rPr>
          <w:i/>
          <w:lang w:val="fr-CA"/>
        </w:rPr>
        <w:t>impracticable</w:t>
      </w:r>
      <w:r w:rsidRPr="00E17D73">
        <w:rPr>
          <w:lang w:val="fr-CA"/>
        </w:rPr>
        <w:t> »</w:t>
      </w:r>
      <w:r>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2D" w:rsidRDefault="00CD6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6422"/>
      <w:docPartObj>
        <w:docPartGallery w:val="Page Numbers (Top of Page)"/>
        <w:docPartUnique/>
      </w:docPartObj>
    </w:sdtPr>
    <w:sdtEndPr>
      <w:rPr>
        <w:noProof/>
      </w:rPr>
    </w:sdtEndPr>
    <w:sdtContent>
      <w:p w:rsidR="00267390" w:rsidRDefault="00267390">
        <w:pPr>
          <w:pStyle w:val="Header"/>
          <w:jc w:val="center"/>
        </w:pPr>
        <w:r>
          <w:fldChar w:fldCharType="begin"/>
        </w:r>
        <w:r>
          <w:instrText xml:space="preserve"> PAGE   \* MERGEFORMAT </w:instrText>
        </w:r>
        <w:r>
          <w:fldChar w:fldCharType="separate"/>
        </w:r>
        <w:r w:rsidR="00854816">
          <w:rPr>
            <w:noProof/>
          </w:rPr>
          <w:t>64</w:t>
        </w:r>
        <w:r>
          <w:rPr>
            <w:noProof/>
          </w:rPr>
          <w:fldChar w:fldCharType="end"/>
        </w:r>
      </w:p>
    </w:sdtContent>
  </w:sdt>
  <w:p w:rsidR="00450352" w:rsidRPr="00450352" w:rsidRDefault="00854816"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2D" w:rsidRDefault="00CD6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7A9"/>
    <w:multiLevelType w:val="hybridMultilevel"/>
    <w:tmpl w:val="BA307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AC40B67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eastAsia="Yet R" w:hint="default"/>
        <w:b w:val="0"/>
        <w:i w:val="0"/>
        <w:color w:val="auto"/>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290C77"/>
    <w:multiLevelType w:val="hybridMultilevel"/>
    <w:tmpl w:val="DA5476BC"/>
    <w:lvl w:ilvl="0" w:tplc="5A225B22">
      <w:start w:val="7"/>
      <w:numFmt w:val="decimal"/>
      <w:lvlText w:val="(%1)"/>
      <w:lvlJc w:val="left"/>
      <w:pPr>
        <w:ind w:left="18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3207BDF"/>
    <w:multiLevelType w:val="hybridMultilevel"/>
    <w:tmpl w:val="937472D4"/>
    <w:lvl w:ilvl="0" w:tplc="337C7B3E">
      <w:start w:val="18"/>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DD016F5"/>
    <w:multiLevelType w:val="hybridMultilevel"/>
    <w:tmpl w:val="E12AC356"/>
    <w:lvl w:ilvl="0" w:tplc="040C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9270F1C"/>
    <w:multiLevelType w:val="hybridMultilevel"/>
    <w:tmpl w:val="B69875E6"/>
    <w:lvl w:ilvl="0" w:tplc="DB283630">
      <w:start w:val="1"/>
      <w:numFmt w:val="decimal"/>
      <w:lvlText w:val="(%1)"/>
      <w:lvlJc w:val="left"/>
      <w:pPr>
        <w:ind w:left="1886" w:hanging="360"/>
      </w:pPr>
      <w:rPr>
        <w:rFonts w:hint="default"/>
      </w:r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num w:numId="1">
    <w:abstractNumId w:val="9"/>
  </w:num>
  <w:num w:numId="2">
    <w:abstractNumId w:val="2"/>
  </w:num>
  <w:num w:numId="3">
    <w:abstractNumId w:val="1"/>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8"/>
  </w:num>
  <w:num w:numId="11">
    <w:abstractNumId w:val="11"/>
  </w:num>
  <w:num w:numId="12">
    <w:abstractNumId w:val="7"/>
  </w:num>
  <w:num w:numId="13">
    <w:abstractNumId w:val="10"/>
  </w:num>
  <w:num w:numId="14">
    <w:abstractNumId w:val="6"/>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D9"/>
    <w:rsid w:val="0000150B"/>
    <w:rsid w:val="0000189E"/>
    <w:rsid w:val="00001C1E"/>
    <w:rsid w:val="00002440"/>
    <w:rsid w:val="00002482"/>
    <w:rsid w:val="00002B36"/>
    <w:rsid w:val="00002C32"/>
    <w:rsid w:val="000033DC"/>
    <w:rsid w:val="0000387F"/>
    <w:rsid w:val="00003F7A"/>
    <w:rsid w:val="000040B5"/>
    <w:rsid w:val="0000433A"/>
    <w:rsid w:val="00004BAA"/>
    <w:rsid w:val="00004E38"/>
    <w:rsid w:val="000058BD"/>
    <w:rsid w:val="00006107"/>
    <w:rsid w:val="00006484"/>
    <w:rsid w:val="00006EAE"/>
    <w:rsid w:val="00007471"/>
    <w:rsid w:val="0000757F"/>
    <w:rsid w:val="00007B81"/>
    <w:rsid w:val="00007E35"/>
    <w:rsid w:val="0001036F"/>
    <w:rsid w:val="0001150C"/>
    <w:rsid w:val="0001248F"/>
    <w:rsid w:val="00012672"/>
    <w:rsid w:val="00012BB4"/>
    <w:rsid w:val="000132F9"/>
    <w:rsid w:val="00013F85"/>
    <w:rsid w:val="00014871"/>
    <w:rsid w:val="00017679"/>
    <w:rsid w:val="000201FE"/>
    <w:rsid w:val="00021C33"/>
    <w:rsid w:val="000228CF"/>
    <w:rsid w:val="00022C0F"/>
    <w:rsid w:val="00023A81"/>
    <w:rsid w:val="00023B94"/>
    <w:rsid w:val="00024977"/>
    <w:rsid w:val="00025009"/>
    <w:rsid w:val="000258CB"/>
    <w:rsid w:val="0002649D"/>
    <w:rsid w:val="000264EC"/>
    <w:rsid w:val="0002668E"/>
    <w:rsid w:val="00026D7C"/>
    <w:rsid w:val="0002785E"/>
    <w:rsid w:val="000279AD"/>
    <w:rsid w:val="00027DD1"/>
    <w:rsid w:val="00030453"/>
    <w:rsid w:val="000306E5"/>
    <w:rsid w:val="00030E0E"/>
    <w:rsid w:val="00031D2A"/>
    <w:rsid w:val="00031DD5"/>
    <w:rsid w:val="000321A1"/>
    <w:rsid w:val="00032C93"/>
    <w:rsid w:val="00032D0D"/>
    <w:rsid w:val="00033B00"/>
    <w:rsid w:val="00033ED4"/>
    <w:rsid w:val="0003495F"/>
    <w:rsid w:val="00034B5C"/>
    <w:rsid w:val="00035286"/>
    <w:rsid w:val="000353E6"/>
    <w:rsid w:val="00035697"/>
    <w:rsid w:val="00036AF7"/>
    <w:rsid w:val="00036E84"/>
    <w:rsid w:val="000372F2"/>
    <w:rsid w:val="00037A79"/>
    <w:rsid w:val="0004046B"/>
    <w:rsid w:val="00040B9E"/>
    <w:rsid w:val="0004185A"/>
    <w:rsid w:val="0004265D"/>
    <w:rsid w:val="00042CDB"/>
    <w:rsid w:val="00043088"/>
    <w:rsid w:val="00044B6C"/>
    <w:rsid w:val="00044C24"/>
    <w:rsid w:val="000454E1"/>
    <w:rsid w:val="000456CB"/>
    <w:rsid w:val="00045949"/>
    <w:rsid w:val="00045D44"/>
    <w:rsid w:val="0004680B"/>
    <w:rsid w:val="0005033B"/>
    <w:rsid w:val="00050CD4"/>
    <w:rsid w:val="0005194D"/>
    <w:rsid w:val="00052BEC"/>
    <w:rsid w:val="00052C40"/>
    <w:rsid w:val="0005367E"/>
    <w:rsid w:val="000539F8"/>
    <w:rsid w:val="00053DC7"/>
    <w:rsid w:val="00053EB6"/>
    <w:rsid w:val="00054EBD"/>
    <w:rsid w:val="00055090"/>
    <w:rsid w:val="00055196"/>
    <w:rsid w:val="0005559E"/>
    <w:rsid w:val="00055A7B"/>
    <w:rsid w:val="00055BD8"/>
    <w:rsid w:val="0005604C"/>
    <w:rsid w:val="00056079"/>
    <w:rsid w:val="000560A9"/>
    <w:rsid w:val="00056436"/>
    <w:rsid w:val="00056DEB"/>
    <w:rsid w:val="00056E32"/>
    <w:rsid w:val="000570F1"/>
    <w:rsid w:val="00057F33"/>
    <w:rsid w:val="000611BF"/>
    <w:rsid w:val="0006138A"/>
    <w:rsid w:val="000618EE"/>
    <w:rsid w:val="00062343"/>
    <w:rsid w:val="00062C9C"/>
    <w:rsid w:val="00063B90"/>
    <w:rsid w:val="00063F0D"/>
    <w:rsid w:val="000652C5"/>
    <w:rsid w:val="0006587D"/>
    <w:rsid w:val="000664DA"/>
    <w:rsid w:val="000666D4"/>
    <w:rsid w:val="00066751"/>
    <w:rsid w:val="00066CAC"/>
    <w:rsid w:val="00067941"/>
    <w:rsid w:val="00067A3F"/>
    <w:rsid w:val="00070057"/>
    <w:rsid w:val="0007030B"/>
    <w:rsid w:val="00070482"/>
    <w:rsid w:val="000707B6"/>
    <w:rsid w:val="000712A8"/>
    <w:rsid w:val="00071403"/>
    <w:rsid w:val="00071676"/>
    <w:rsid w:val="000717AE"/>
    <w:rsid w:val="000718B3"/>
    <w:rsid w:val="00071A31"/>
    <w:rsid w:val="00071A3E"/>
    <w:rsid w:val="00071DAF"/>
    <w:rsid w:val="00072DDE"/>
    <w:rsid w:val="00073507"/>
    <w:rsid w:val="000740DC"/>
    <w:rsid w:val="0007440B"/>
    <w:rsid w:val="00074EFE"/>
    <w:rsid w:val="0007620E"/>
    <w:rsid w:val="000767AA"/>
    <w:rsid w:val="00076BD7"/>
    <w:rsid w:val="00076CF5"/>
    <w:rsid w:val="0007701E"/>
    <w:rsid w:val="00077902"/>
    <w:rsid w:val="0008076E"/>
    <w:rsid w:val="00080F9C"/>
    <w:rsid w:val="00082A0B"/>
    <w:rsid w:val="00082AC7"/>
    <w:rsid w:val="0008350F"/>
    <w:rsid w:val="00083C53"/>
    <w:rsid w:val="000843DB"/>
    <w:rsid w:val="000847AF"/>
    <w:rsid w:val="00084A18"/>
    <w:rsid w:val="00085400"/>
    <w:rsid w:val="0008567A"/>
    <w:rsid w:val="0008588C"/>
    <w:rsid w:val="0008649A"/>
    <w:rsid w:val="000870B0"/>
    <w:rsid w:val="0008717C"/>
    <w:rsid w:val="000878EE"/>
    <w:rsid w:val="00087E1B"/>
    <w:rsid w:val="00091E08"/>
    <w:rsid w:val="00091E78"/>
    <w:rsid w:val="00091E9F"/>
    <w:rsid w:val="00092F55"/>
    <w:rsid w:val="00093210"/>
    <w:rsid w:val="0009389F"/>
    <w:rsid w:val="00093BAD"/>
    <w:rsid w:val="00093D6D"/>
    <w:rsid w:val="00094912"/>
    <w:rsid w:val="000955AF"/>
    <w:rsid w:val="00095ED9"/>
    <w:rsid w:val="000966F9"/>
    <w:rsid w:val="000968E3"/>
    <w:rsid w:val="00096FD3"/>
    <w:rsid w:val="00097D3C"/>
    <w:rsid w:val="000A077C"/>
    <w:rsid w:val="000A0CEA"/>
    <w:rsid w:val="000A0E07"/>
    <w:rsid w:val="000A0E82"/>
    <w:rsid w:val="000A0F68"/>
    <w:rsid w:val="000A19B7"/>
    <w:rsid w:val="000A3590"/>
    <w:rsid w:val="000A38F5"/>
    <w:rsid w:val="000A3975"/>
    <w:rsid w:val="000A399F"/>
    <w:rsid w:val="000A43CA"/>
    <w:rsid w:val="000A4BE3"/>
    <w:rsid w:val="000A4CD2"/>
    <w:rsid w:val="000A56A6"/>
    <w:rsid w:val="000A5794"/>
    <w:rsid w:val="000A60D7"/>
    <w:rsid w:val="000A64CE"/>
    <w:rsid w:val="000A658B"/>
    <w:rsid w:val="000A79F9"/>
    <w:rsid w:val="000B01AB"/>
    <w:rsid w:val="000B07E6"/>
    <w:rsid w:val="000B0DCF"/>
    <w:rsid w:val="000B11F1"/>
    <w:rsid w:val="000B128E"/>
    <w:rsid w:val="000B3027"/>
    <w:rsid w:val="000B3BC3"/>
    <w:rsid w:val="000B3BDC"/>
    <w:rsid w:val="000B47F5"/>
    <w:rsid w:val="000B5BB4"/>
    <w:rsid w:val="000B610D"/>
    <w:rsid w:val="000B6373"/>
    <w:rsid w:val="000B668E"/>
    <w:rsid w:val="000B6CFC"/>
    <w:rsid w:val="000B721F"/>
    <w:rsid w:val="000B77B6"/>
    <w:rsid w:val="000B7B56"/>
    <w:rsid w:val="000C03C0"/>
    <w:rsid w:val="000C06FD"/>
    <w:rsid w:val="000C0AE8"/>
    <w:rsid w:val="000C0C99"/>
    <w:rsid w:val="000C2412"/>
    <w:rsid w:val="000C25F4"/>
    <w:rsid w:val="000C3A89"/>
    <w:rsid w:val="000C3C63"/>
    <w:rsid w:val="000C3C66"/>
    <w:rsid w:val="000C3DC1"/>
    <w:rsid w:val="000C45E6"/>
    <w:rsid w:val="000C4EF0"/>
    <w:rsid w:val="000C4F69"/>
    <w:rsid w:val="000C537C"/>
    <w:rsid w:val="000C5463"/>
    <w:rsid w:val="000C59E0"/>
    <w:rsid w:val="000C63EC"/>
    <w:rsid w:val="000C6E01"/>
    <w:rsid w:val="000D0133"/>
    <w:rsid w:val="000D0774"/>
    <w:rsid w:val="000D1641"/>
    <w:rsid w:val="000D1C94"/>
    <w:rsid w:val="000D2535"/>
    <w:rsid w:val="000D2FE6"/>
    <w:rsid w:val="000D38FB"/>
    <w:rsid w:val="000D52E4"/>
    <w:rsid w:val="000D53A2"/>
    <w:rsid w:val="000D7242"/>
    <w:rsid w:val="000E0058"/>
    <w:rsid w:val="000E05E3"/>
    <w:rsid w:val="000E0674"/>
    <w:rsid w:val="000E0C61"/>
    <w:rsid w:val="000E124C"/>
    <w:rsid w:val="000E1C61"/>
    <w:rsid w:val="000E24D3"/>
    <w:rsid w:val="000E33DD"/>
    <w:rsid w:val="000E3971"/>
    <w:rsid w:val="000E3C3B"/>
    <w:rsid w:val="000E3E55"/>
    <w:rsid w:val="000E453A"/>
    <w:rsid w:val="000E4B2B"/>
    <w:rsid w:val="000E4C6A"/>
    <w:rsid w:val="000E515F"/>
    <w:rsid w:val="000E560C"/>
    <w:rsid w:val="000E5C6B"/>
    <w:rsid w:val="000E79DC"/>
    <w:rsid w:val="000E7B45"/>
    <w:rsid w:val="000F0500"/>
    <w:rsid w:val="000F2134"/>
    <w:rsid w:val="000F2540"/>
    <w:rsid w:val="000F2556"/>
    <w:rsid w:val="000F25E2"/>
    <w:rsid w:val="000F27A2"/>
    <w:rsid w:val="000F2BF4"/>
    <w:rsid w:val="000F3DA8"/>
    <w:rsid w:val="000F3E85"/>
    <w:rsid w:val="000F5FCF"/>
    <w:rsid w:val="000F7EBA"/>
    <w:rsid w:val="00101202"/>
    <w:rsid w:val="0010192D"/>
    <w:rsid w:val="00101A20"/>
    <w:rsid w:val="00102694"/>
    <w:rsid w:val="00105031"/>
    <w:rsid w:val="0010588E"/>
    <w:rsid w:val="00106417"/>
    <w:rsid w:val="00106CAF"/>
    <w:rsid w:val="00107280"/>
    <w:rsid w:val="00107E46"/>
    <w:rsid w:val="00110206"/>
    <w:rsid w:val="0011092B"/>
    <w:rsid w:val="00111298"/>
    <w:rsid w:val="001113A7"/>
    <w:rsid w:val="001114B6"/>
    <w:rsid w:val="00111C49"/>
    <w:rsid w:val="00112653"/>
    <w:rsid w:val="00113114"/>
    <w:rsid w:val="00113248"/>
    <w:rsid w:val="00113D2F"/>
    <w:rsid w:val="00113E45"/>
    <w:rsid w:val="00114482"/>
    <w:rsid w:val="00114EDD"/>
    <w:rsid w:val="00115A34"/>
    <w:rsid w:val="0011623B"/>
    <w:rsid w:val="001163A8"/>
    <w:rsid w:val="001165D7"/>
    <w:rsid w:val="00116A26"/>
    <w:rsid w:val="001174BD"/>
    <w:rsid w:val="00117559"/>
    <w:rsid w:val="0012062C"/>
    <w:rsid w:val="0012068B"/>
    <w:rsid w:val="00120705"/>
    <w:rsid w:val="001213E3"/>
    <w:rsid w:val="00121A12"/>
    <w:rsid w:val="001221BA"/>
    <w:rsid w:val="00122719"/>
    <w:rsid w:val="001227F7"/>
    <w:rsid w:val="001228E0"/>
    <w:rsid w:val="00122BC2"/>
    <w:rsid w:val="00123491"/>
    <w:rsid w:val="00124465"/>
    <w:rsid w:val="00124EC1"/>
    <w:rsid w:val="0012573B"/>
    <w:rsid w:val="00126105"/>
    <w:rsid w:val="001265A0"/>
    <w:rsid w:val="00127002"/>
    <w:rsid w:val="0012731F"/>
    <w:rsid w:val="0012734D"/>
    <w:rsid w:val="001301EF"/>
    <w:rsid w:val="00130979"/>
    <w:rsid w:val="00130F3C"/>
    <w:rsid w:val="00130F98"/>
    <w:rsid w:val="0013164D"/>
    <w:rsid w:val="0013178C"/>
    <w:rsid w:val="00133492"/>
    <w:rsid w:val="00134567"/>
    <w:rsid w:val="00134AE0"/>
    <w:rsid w:val="00135920"/>
    <w:rsid w:val="00136B8A"/>
    <w:rsid w:val="00137FEA"/>
    <w:rsid w:val="001401FD"/>
    <w:rsid w:val="00140CE9"/>
    <w:rsid w:val="00141899"/>
    <w:rsid w:val="00141F1D"/>
    <w:rsid w:val="001420F8"/>
    <w:rsid w:val="001429C3"/>
    <w:rsid w:val="00143EF2"/>
    <w:rsid w:val="0014415A"/>
    <w:rsid w:val="00145E1B"/>
    <w:rsid w:val="00146189"/>
    <w:rsid w:val="001462DD"/>
    <w:rsid w:val="001463FB"/>
    <w:rsid w:val="001469EA"/>
    <w:rsid w:val="001472BB"/>
    <w:rsid w:val="00147BE6"/>
    <w:rsid w:val="00147C57"/>
    <w:rsid w:val="00147D6E"/>
    <w:rsid w:val="00150412"/>
    <w:rsid w:val="0015135C"/>
    <w:rsid w:val="00151388"/>
    <w:rsid w:val="00151D28"/>
    <w:rsid w:val="00152C22"/>
    <w:rsid w:val="00152DBC"/>
    <w:rsid w:val="00152EDA"/>
    <w:rsid w:val="00153D27"/>
    <w:rsid w:val="001542A9"/>
    <w:rsid w:val="00154744"/>
    <w:rsid w:val="00154A56"/>
    <w:rsid w:val="00155950"/>
    <w:rsid w:val="00156553"/>
    <w:rsid w:val="0015681B"/>
    <w:rsid w:val="00161724"/>
    <w:rsid w:val="00162509"/>
    <w:rsid w:val="001628B6"/>
    <w:rsid w:val="00162C56"/>
    <w:rsid w:val="001639AE"/>
    <w:rsid w:val="00164139"/>
    <w:rsid w:val="00165223"/>
    <w:rsid w:val="00165AF6"/>
    <w:rsid w:val="001668FA"/>
    <w:rsid w:val="001679D4"/>
    <w:rsid w:val="00167AE4"/>
    <w:rsid w:val="00167F3E"/>
    <w:rsid w:val="0017046B"/>
    <w:rsid w:val="00170536"/>
    <w:rsid w:val="001708D1"/>
    <w:rsid w:val="0017113D"/>
    <w:rsid w:val="00171802"/>
    <w:rsid w:val="00171BD1"/>
    <w:rsid w:val="00171D28"/>
    <w:rsid w:val="00173418"/>
    <w:rsid w:val="001736C5"/>
    <w:rsid w:val="00173765"/>
    <w:rsid w:val="00173846"/>
    <w:rsid w:val="00173F6C"/>
    <w:rsid w:val="00174C00"/>
    <w:rsid w:val="00174CAF"/>
    <w:rsid w:val="001757FE"/>
    <w:rsid w:val="00176AE5"/>
    <w:rsid w:val="00176C7C"/>
    <w:rsid w:val="00177022"/>
    <w:rsid w:val="00177268"/>
    <w:rsid w:val="001800A6"/>
    <w:rsid w:val="00180534"/>
    <w:rsid w:val="00180726"/>
    <w:rsid w:val="001807D3"/>
    <w:rsid w:val="00180ECD"/>
    <w:rsid w:val="0018110D"/>
    <w:rsid w:val="001811B3"/>
    <w:rsid w:val="001816F8"/>
    <w:rsid w:val="00181ECC"/>
    <w:rsid w:val="00182065"/>
    <w:rsid w:val="0018220C"/>
    <w:rsid w:val="001842C8"/>
    <w:rsid w:val="00184D5A"/>
    <w:rsid w:val="00184F86"/>
    <w:rsid w:val="00185024"/>
    <w:rsid w:val="001851D1"/>
    <w:rsid w:val="00185998"/>
    <w:rsid w:val="0018666E"/>
    <w:rsid w:val="0018700E"/>
    <w:rsid w:val="001876E9"/>
    <w:rsid w:val="00190042"/>
    <w:rsid w:val="00190048"/>
    <w:rsid w:val="001904E2"/>
    <w:rsid w:val="00190E78"/>
    <w:rsid w:val="001925D3"/>
    <w:rsid w:val="00192D11"/>
    <w:rsid w:val="00193973"/>
    <w:rsid w:val="00193AFF"/>
    <w:rsid w:val="00194B5B"/>
    <w:rsid w:val="00194E0E"/>
    <w:rsid w:val="00194EAE"/>
    <w:rsid w:val="001956E1"/>
    <w:rsid w:val="00196E3F"/>
    <w:rsid w:val="001971E2"/>
    <w:rsid w:val="001A012A"/>
    <w:rsid w:val="001A160E"/>
    <w:rsid w:val="001A19F6"/>
    <w:rsid w:val="001A1A01"/>
    <w:rsid w:val="001A1AE2"/>
    <w:rsid w:val="001A1CED"/>
    <w:rsid w:val="001A1D0C"/>
    <w:rsid w:val="001A38A7"/>
    <w:rsid w:val="001A3E63"/>
    <w:rsid w:val="001A49EB"/>
    <w:rsid w:val="001A4B90"/>
    <w:rsid w:val="001A53D6"/>
    <w:rsid w:val="001A6A3B"/>
    <w:rsid w:val="001A7164"/>
    <w:rsid w:val="001A7402"/>
    <w:rsid w:val="001A7791"/>
    <w:rsid w:val="001A7AF6"/>
    <w:rsid w:val="001B0346"/>
    <w:rsid w:val="001B0829"/>
    <w:rsid w:val="001B0A7C"/>
    <w:rsid w:val="001B12AD"/>
    <w:rsid w:val="001B1F28"/>
    <w:rsid w:val="001B2028"/>
    <w:rsid w:val="001B2422"/>
    <w:rsid w:val="001B2676"/>
    <w:rsid w:val="001B2F23"/>
    <w:rsid w:val="001B3800"/>
    <w:rsid w:val="001B431F"/>
    <w:rsid w:val="001B4BF4"/>
    <w:rsid w:val="001B4C8A"/>
    <w:rsid w:val="001B4CB9"/>
    <w:rsid w:val="001B6464"/>
    <w:rsid w:val="001B6C01"/>
    <w:rsid w:val="001B7928"/>
    <w:rsid w:val="001B7F27"/>
    <w:rsid w:val="001C0414"/>
    <w:rsid w:val="001C08FA"/>
    <w:rsid w:val="001C2328"/>
    <w:rsid w:val="001C25D4"/>
    <w:rsid w:val="001C2E92"/>
    <w:rsid w:val="001C2EC9"/>
    <w:rsid w:val="001C3AA7"/>
    <w:rsid w:val="001C448E"/>
    <w:rsid w:val="001C5CFC"/>
    <w:rsid w:val="001C6414"/>
    <w:rsid w:val="001C718D"/>
    <w:rsid w:val="001C7338"/>
    <w:rsid w:val="001C77C2"/>
    <w:rsid w:val="001C7BE0"/>
    <w:rsid w:val="001D152B"/>
    <w:rsid w:val="001D177E"/>
    <w:rsid w:val="001D1A3B"/>
    <w:rsid w:val="001D33E9"/>
    <w:rsid w:val="001D3CA9"/>
    <w:rsid w:val="001D3DC3"/>
    <w:rsid w:val="001D4200"/>
    <w:rsid w:val="001D485F"/>
    <w:rsid w:val="001D4956"/>
    <w:rsid w:val="001D5026"/>
    <w:rsid w:val="001D5382"/>
    <w:rsid w:val="001D62E2"/>
    <w:rsid w:val="001D62E8"/>
    <w:rsid w:val="001D6865"/>
    <w:rsid w:val="001D6EC9"/>
    <w:rsid w:val="001D75FF"/>
    <w:rsid w:val="001D7882"/>
    <w:rsid w:val="001D7F24"/>
    <w:rsid w:val="001E11FC"/>
    <w:rsid w:val="001E279E"/>
    <w:rsid w:val="001E2A6B"/>
    <w:rsid w:val="001E31F4"/>
    <w:rsid w:val="001E4208"/>
    <w:rsid w:val="001E4CB6"/>
    <w:rsid w:val="001E7133"/>
    <w:rsid w:val="001E77E0"/>
    <w:rsid w:val="001F0056"/>
    <w:rsid w:val="001F00C4"/>
    <w:rsid w:val="001F01AE"/>
    <w:rsid w:val="001F0C6F"/>
    <w:rsid w:val="001F1D41"/>
    <w:rsid w:val="001F2D95"/>
    <w:rsid w:val="001F380C"/>
    <w:rsid w:val="001F3A5B"/>
    <w:rsid w:val="001F3B3B"/>
    <w:rsid w:val="001F61DB"/>
    <w:rsid w:val="001F67AF"/>
    <w:rsid w:val="001F6CE3"/>
    <w:rsid w:val="001F71DF"/>
    <w:rsid w:val="001F78B0"/>
    <w:rsid w:val="001F7C18"/>
    <w:rsid w:val="002007A1"/>
    <w:rsid w:val="0020088A"/>
    <w:rsid w:val="00201CDC"/>
    <w:rsid w:val="00202096"/>
    <w:rsid w:val="002025B4"/>
    <w:rsid w:val="0020278E"/>
    <w:rsid w:val="00202B52"/>
    <w:rsid w:val="00203D38"/>
    <w:rsid w:val="00203ED9"/>
    <w:rsid w:val="0020440F"/>
    <w:rsid w:val="002044E5"/>
    <w:rsid w:val="002055F6"/>
    <w:rsid w:val="00205C56"/>
    <w:rsid w:val="002066D7"/>
    <w:rsid w:val="00206761"/>
    <w:rsid w:val="00207D7B"/>
    <w:rsid w:val="002106CB"/>
    <w:rsid w:val="00211EA4"/>
    <w:rsid w:val="00212C69"/>
    <w:rsid w:val="00212DA3"/>
    <w:rsid w:val="002143E6"/>
    <w:rsid w:val="0021493B"/>
    <w:rsid w:val="00214E4B"/>
    <w:rsid w:val="00215647"/>
    <w:rsid w:val="00215C2E"/>
    <w:rsid w:val="0021672D"/>
    <w:rsid w:val="002169FF"/>
    <w:rsid w:val="00216A99"/>
    <w:rsid w:val="00217E51"/>
    <w:rsid w:val="00217F2E"/>
    <w:rsid w:val="002203EC"/>
    <w:rsid w:val="002205C0"/>
    <w:rsid w:val="002211F1"/>
    <w:rsid w:val="00221E43"/>
    <w:rsid w:val="00224BBA"/>
    <w:rsid w:val="002256DA"/>
    <w:rsid w:val="0022660A"/>
    <w:rsid w:val="0022662D"/>
    <w:rsid w:val="00226E17"/>
    <w:rsid w:val="00230044"/>
    <w:rsid w:val="00230399"/>
    <w:rsid w:val="00230602"/>
    <w:rsid w:val="002328F2"/>
    <w:rsid w:val="002343DB"/>
    <w:rsid w:val="00234B6A"/>
    <w:rsid w:val="00234CF4"/>
    <w:rsid w:val="002368B7"/>
    <w:rsid w:val="00237666"/>
    <w:rsid w:val="00237B2D"/>
    <w:rsid w:val="00237C20"/>
    <w:rsid w:val="00237F67"/>
    <w:rsid w:val="00240421"/>
    <w:rsid w:val="00240E34"/>
    <w:rsid w:val="002410E5"/>
    <w:rsid w:val="00241201"/>
    <w:rsid w:val="002412A1"/>
    <w:rsid w:val="0024219F"/>
    <w:rsid w:val="00243228"/>
    <w:rsid w:val="00243ACD"/>
    <w:rsid w:val="00244D79"/>
    <w:rsid w:val="0024570C"/>
    <w:rsid w:val="00246238"/>
    <w:rsid w:val="00246E2E"/>
    <w:rsid w:val="002478E3"/>
    <w:rsid w:val="00247E39"/>
    <w:rsid w:val="0025023A"/>
    <w:rsid w:val="00251123"/>
    <w:rsid w:val="0025134D"/>
    <w:rsid w:val="00251DE2"/>
    <w:rsid w:val="002524B7"/>
    <w:rsid w:val="00254C84"/>
    <w:rsid w:val="00254CFA"/>
    <w:rsid w:val="002552D5"/>
    <w:rsid w:val="002555E7"/>
    <w:rsid w:val="0025565A"/>
    <w:rsid w:val="002567C2"/>
    <w:rsid w:val="00257846"/>
    <w:rsid w:val="00260D0E"/>
    <w:rsid w:val="00260E3F"/>
    <w:rsid w:val="002631F2"/>
    <w:rsid w:val="0026364B"/>
    <w:rsid w:val="0026390F"/>
    <w:rsid w:val="00263A18"/>
    <w:rsid w:val="0026407C"/>
    <w:rsid w:val="00264FF8"/>
    <w:rsid w:val="00265A30"/>
    <w:rsid w:val="002664BE"/>
    <w:rsid w:val="002669CF"/>
    <w:rsid w:val="00266B4A"/>
    <w:rsid w:val="0026700B"/>
    <w:rsid w:val="00267390"/>
    <w:rsid w:val="00267ECC"/>
    <w:rsid w:val="00271E23"/>
    <w:rsid w:val="00271FEC"/>
    <w:rsid w:val="00272806"/>
    <w:rsid w:val="00272C50"/>
    <w:rsid w:val="00273002"/>
    <w:rsid w:val="00273100"/>
    <w:rsid w:val="00273361"/>
    <w:rsid w:val="00273C8F"/>
    <w:rsid w:val="00274922"/>
    <w:rsid w:val="00274BA1"/>
    <w:rsid w:val="00274D70"/>
    <w:rsid w:val="002761AE"/>
    <w:rsid w:val="002765E8"/>
    <w:rsid w:val="00276824"/>
    <w:rsid w:val="00276E07"/>
    <w:rsid w:val="00276FF9"/>
    <w:rsid w:val="002776AB"/>
    <w:rsid w:val="00280BE3"/>
    <w:rsid w:val="0028131E"/>
    <w:rsid w:val="0028155C"/>
    <w:rsid w:val="0028197C"/>
    <w:rsid w:val="00281A52"/>
    <w:rsid w:val="00282EBF"/>
    <w:rsid w:val="002831B8"/>
    <w:rsid w:val="00283569"/>
    <w:rsid w:val="00284A1A"/>
    <w:rsid w:val="0028584F"/>
    <w:rsid w:val="0028635D"/>
    <w:rsid w:val="0028647D"/>
    <w:rsid w:val="00286579"/>
    <w:rsid w:val="002866CC"/>
    <w:rsid w:val="002879E9"/>
    <w:rsid w:val="00287B39"/>
    <w:rsid w:val="00287BD6"/>
    <w:rsid w:val="00287E9F"/>
    <w:rsid w:val="002903D6"/>
    <w:rsid w:val="00290756"/>
    <w:rsid w:val="00290BEE"/>
    <w:rsid w:val="002918F3"/>
    <w:rsid w:val="002919C6"/>
    <w:rsid w:val="0029200D"/>
    <w:rsid w:val="00294170"/>
    <w:rsid w:val="00294C0D"/>
    <w:rsid w:val="00294C23"/>
    <w:rsid w:val="002958B0"/>
    <w:rsid w:val="0029627F"/>
    <w:rsid w:val="00296C66"/>
    <w:rsid w:val="002970B2"/>
    <w:rsid w:val="002971E9"/>
    <w:rsid w:val="00297F22"/>
    <w:rsid w:val="002A00F0"/>
    <w:rsid w:val="002A1B5C"/>
    <w:rsid w:val="002A23E0"/>
    <w:rsid w:val="002A2F28"/>
    <w:rsid w:val="002A41CA"/>
    <w:rsid w:val="002A5329"/>
    <w:rsid w:val="002A5D57"/>
    <w:rsid w:val="002A6661"/>
    <w:rsid w:val="002A67D0"/>
    <w:rsid w:val="002B083A"/>
    <w:rsid w:val="002B11E4"/>
    <w:rsid w:val="002B1334"/>
    <w:rsid w:val="002B16E8"/>
    <w:rsid w:val="002B1B50"/>
    <w:rsid w:val="002B222A"/>
    <w:rsid w:val="002B2614"/>
    <w:rsid w:val="002B4349"/>
    <w:rsid w:val="002B43DB"/>
    <w:rsid w:val="002B4593"/>
    <w:rsid w:val="002B4609"/>
    <w:rsid w:val="002B5080"/>
    <w:rsid w:val="002B5085"/>
    <w:rsid w:val="002B57DB"/>
    <w:rsid w:val="002B625A"/>
    <w:rsid w:val="002B7157"/>
    <w:rsid w:val="002B7236"/>
    <w:rsid w:val="002B7863"/>
    <w:rsid w:val="002C0484"/>
    <w:rsid w:val="002C0984"/>
    <w:rsid w:val="002C0C7A"/>
    <w:rsid w:val="002C0E24"/>
    <w:rsid w:val="002C0EA8"/>
    <w:rsid w:val="002C107D"/>
    <w:rsid w:val="002C256E"/>
    <w:rsid w:val="002C2668"/>
    <w:rsid w:val="002C2E37"/>
    <w:rsid w:val="002C31DC"/>
    <w:rsid w:val="002C3475"/>
    <w:rsid w:val="002C381F"/>
    <w:rsid w:val="002C3E9A"/>
    <w:rsid w:val="002C3FF7"/>
    <w:rsid w:val="002C4268"/>
    <w:rsid w:val="002C5311"/>
    <w:rsid w:val="002C5B04"/>
    <w:rsid w:val="002C60F0"/>
    <w:rsid w:val="002C6CB6"/>
    <w:rsid w:val="002D000F"/>
    <w:rsid w:val="002D0204"/>
    <w:rsid w:val="002D0C4E"/>
    <w:rsid w:val="002D170D"/>
    <w:rsid w:val="002D17BB"/>
    <w:rsid w:val="002D1C34"/>
    <w:rsid w:val="002D1D67"/>
    <w:rsid w:val="002D2060"/>
    <w:rsid w:val="002D2139"/>
    <w:rsid w:val="002D31F8"/>
    <w:rsid w:val="002D3AF3"/>
    <w:rsid w:val="002D414E"/>
    <w:rsid w:val="002D4914"/>
    <w:rsid w:val="002D4E3E"/>
    <w:rsid w:val="002D600B"/>
    <w:rsid w:val="002E00A0"/>
    <w:rsid w:val="002E0256"/>
    <w:rsid w:val="002E0B6A"/>
    <w:rsid w:val="002E0C9A"/>
    <w:rsid w:val="002E2265"/>
    <w:rsid w:val="002E23CD"/>
    <w:rsid w:val="002E2E13"/>
    <w:rsid w:val="002E3919"/>
    <w:rsid w:val="002E3993"/>
    <w:rsid w:val="002E3B36"/>
    <w:rsid w:val="002E3FD3"/>
    <w:rsid w:val="002E4FF2"/>
    <w:rsid w:val="002E5692"/>
    <w:rsid w:val="002E5732"/>
    <w:rsid w:val="002E6499"/>
    <w:rsid w:val="002E660C"/>
    <w:rsid w:val="002E6801"/>
    <w:rsid w:val="002E6F7D"/>
    <w:rsid w:val="002E7387"/>
    <w:rsid w:val="002F054A"/>
    <w:rsid w:val="002F0866"/>
    <w:rsid w:val="002F184A"/>
    <w:rsid w:val="002F23BA"/>
    <w:rsid w:val="002F2579"/>
    <w:rsid w:val="002F2A1B"/>
    <w:rsid w:val="002F3C48"/>
    <w:rsid w:val="002F3E59"/>
    <w:rsid w:val="002F4BA0"/>
    <w:rsid w:val="002F57EF"/>
    <w:rsid w:val="002F5F98"/>
    <w:rsid w:val="002F62AF"/>
    <w:rsid w:val="002F69C7"/>
    <w:rsid w:val="002F6B73"/>
    <w:rsid w:val="002F76CC"/>
    <w:rsid w:val="002F78EE"/>
    <w:rsid w:val="002F7B3B"/>
    <w:rsid w:val="00300DC5"/>
    <w:rsid w:val="00300E21"/>
    <w:rsid w:val="00302219"/>
    <w:rsid w:val="003022BC"/>
    <w:rsid w:val="003025F9"/>
    <w:rsid w:val="0030272F"/>
    <w:rsid w:val="00303348"/>
    <w:rsid w:val="00303648"/>
    <w:rsid w:val="0030404C"/>
    <w:rsid w:val="003043F7"/>
    <w:rsid w:val="00304AB0"/>
    <w:rsid w:val="003050E8"/>
    <w:rsid w:val="0030514A"/>
    <w:rsid w:val="003058F2"/>
    <w:rsid w:val="00305F03"/>
    <w:rsid w:val="00305F85"/>
    <w:rsid w:val="00306FB1"/>
    <w:rsid w:val="00310403"/>
    <w:rsid w:val="00310E13"/>
    <w:rsid w:val="0031121F"/>
    <w:rsid w:val="0031390C"/>
    <w:rsid w:val="00313E44"/>
    <w:rsid w:val="00314536"/>
    <w:rsid w:val="00315260"/>
    <w:rsid w:val="00315329"/>
    <w:rsid w:val="0031565E"/>
    <w:rsid w:val="00316363"/>
    <w:rsid w:val="00316859"/>
    <w:rsid w:val="00316B32"/>
    <w:rsid w:val="00316BC8"/>
    <w:rsid w:val="00316EA5"/>
    <w:rsid w:val="00317E82"/>
    <w:rsid w:val="00317F9A"/>
    <w:rsid w:val="00317FDE"/>
    <w:rsid w:val="003206EB"/>
    <w:rsid w:val="0032077F"/>
    <w:rsid w:val="003217BC"/>
    <w:rsid w:val="003218C2"/>
    <w:rsid w:val="00321D6D"/>
    <w:rsid w:val="00321FBB"/>
    <w:rsid w:val="0032271E"/>
    <w:rsid w:val="003227F2"/>
    <w:rsid w:val="00322858"/>
    <w:rsid w:val="00322BC0"/>
    <w:rsid w:val="00322CF9"/>
    <w:rsid w:val="00322E9B"/>
    <w:rsid w:val="003238DA"/>
    <w:rsid w:val="00324730"/>
    <w:rsid w:val="003248EE"/>
    <w:rsid w:val="00324B41"/>
    <w:rsid w:val="00324C31"/>
    <w:rsid w:val="0032591A"/>
    <w:rsid w:val="00325B6B"/>
    <w:rsid w:val="00325B7C"/>
    <w:rsid w:val="00325D88"/>
    <w:rsid w:val="00326375"/>
    <w:rsid w:val="00326813"/>
    <w:rsid w:val="003269C4"/>
    <w:rsid w:val="00327141"/>
    <w:rsid w:val="0033004C"/>
    <w:rsid w:val="00330203"/>
    <w:rsid w:val="0033102D"/>
    <w:rsid w:val="003311BA"/>
    <w:rsid w:val="003318FE"/>
    <w:rsid w:val="00332D08"/>
    <w:rsid w:val="00335241"/>
    <w:rsid w:val="00335433"/>
    <w:rsid w:val="0033740D"/>
    <w:rsid w:val="00337946"/>
    <w:rsid w:val="00337980"/>
    <w:rsid w:val="00337DCF"/>
    <w:rsid w:val="00337F5F"/>
    <w:rsid w:val="00340DD4"/>
    <w:rsid w:val="0034122C"/>
    <w:rsid w:val="00341734"/>
    <w:rsid w:val="00341B1F"/>
    <w:rsid w:val="00341D61"/>
    <w:rsid w:val="00341DA0"/>
    <w:rsid w:val="003420B8"/>
    <w:rsid w:val="0034282B"/>
    <w:rsid w:val="00342A92"/>
    <w:rsid w:val="00342E2B"/>
    <w:rsid w:val="00345863"/>
    <w:rsid w:val="00345D03"/>
    <w:rsid w:val="003460D3"/>
    <w:rsid w:val="003466D1"/>
    <w:rsid w:val="00346A93"/>
    <w:rsid w:val="00347972"/>
    <w:rsid w:val="00347C9B"/>
    <w:rsid w:val="00347F0F"/>
    <w:rsid w:val="00351E03"/>
    <w:rsid w:val="00351FA6"/>
    <w:rsid w:val="003526B2"/>
    <w:rsid w:val="00352BEB"/>
    <w:rsid w:val="003534EA"/>
    <w:rsid w:val="00354A4D"/>
    <w:rsid w:val="00354CF4"/>
    <w:rsid w:val="003565F8"/>
    <w:rsid w:val="003566EA"/>
    <w:rsid w:val="00356749"/>
    <w:rsid w:val="00356E0A"/>
    <w:rsid w:val="00356E34"/>
    <w:rsid w:val="003576A0"/>
    <w:rsid w:val="003578A3"/>
    <w:rsid w:val="0035797F"/>
    <w:rsid w:val="003605C1"/>
    <w:rsid w:val="00360800"/>
    <w:rsid w:val="003611B5"/>
    <w:rsid w:val="0036142A"/>
    <w:rsid w:val="003617F7"/>
    <w:rsid w:val="00361B4A"/>
    <w:rsid w:val="00361C11"/>
    <w:rsid w:val="00363062"/>
    <w:rsid w:val="00363E9C"/>
    <w:rsid w:val="00363F1E"/>
    <w:rsid w:val="003646ED"/>
    <w:rsid w:val="00365A38"/>
    <w:rsid w:val="00366412"/>
    <w:rsid w:val="0036667B"/>
    <w:rsid w:val="00366EE4"/>
    <w:rsid w:val="0036729C"/>
    <w:rsid w:val="0037115D"/>
    <w:rsid w:val="00371DFB"/>
    <w:rsid w:val="00372A86"/>
    <w:rsid w:val="00372CB9"/>
    <w:rsid w:val="003732F0"/>
    <w:rsid w:val="0037454C"/>
    <w:rsid w:val="00374598"/>
    <w:rsid w:val="00375661"/>
    <w:rsid w:val="003768BA"/>
    <w:rsid w:val="00376E3B"/>
    <w:rsid w:val="0037709B"/>
    <w:rsid w:val="0038088B"/>
    <w:rsid w:val="0038099B"/>
    <w:rsid w:val="003810B3"/>
    <w:rsid w:val="00381B20"/>
    <w:rsid w:val="00382622"/>
    <w:rsid w:val="00382868"/>
    <w:rsid w:val="00382918"/>
    <w:rsid w:val="00383112"/>
    <w:rsid w:val="00384037"/>
    <w:rsid w:val="00384F41"/>
    <w:rsid w:val="0038524E"/>
    <w:rsid w:val="00385354"/>
    <w:rsid w:val="003864E8"/>
    <w:rsid w:val="003867DA"/>
    <w:rsid w:val="00386ACF"/>
    <w:rsid w:val="003905EE"/>
    <w:rsid w:val="003908C6"/>
    <w:rsid w:val="00390962"/>
    <w:rsid w:val="00390C7F"/>
    <w:rsid w:val="0039156D"/>
    <w:rsid w:val="00392CDB"/>
    <w:rsid w:val="003944FD"/>
    <w:rsid w:val="00394734"/>
    <w:rsid w:val="00395B09"/>
    <w:rsid w:val="00396A8E"/>
    <w:rsid w:val="00396BCD"/>
    <w:rsid w:val="00396F4D"/>
    <w:rsid w:val="00396F8A"/>
    <w:rsid w:val="003972EC"/>
    <w:rsid w:val="003978BA"/>
    <w:rsid w:val="00397951"/>
    <w:rsid w:val="00397EAC"/>
    <w:rsid w:val="003A0254"/>
    <w:rsid w:val="003A0547"/>
    <w:rsid w:val="003A0CB3"/>
    <w:rsid w:val="003A196D"/>
    <w:rsid w:val="003A1C9F"/>
    <w:rsid w:val="003A1E2E"/>
    <w:rsid w:val="003A243C"/>
    <w:rsid w:val="003A28A5"/>
    <w:rsid w:val="003A2CC9"/>
    <w:rsid w:val="003A3083"/>
    <w:rsid w:val="003A502D"/>
    <w:rsid w:val="003A5BCC"/>
    <w:rsid w:val="003A5F63"/>
    <w:rsid w:val="003A6E40"/>
    <w:rsid w:val="003A7AB6"/>
    <w:rsid w:val="003B01CC"/>
    <w:rsid w:val="003B0266"/>
    <w:rsid w:val="003B08BB"/>
    <w:rsid w:val="003B0C33"/>
    <w:rsid w:val="003B113F"/>
    <w:rsid w:val="003B1265"/>
    <w:rsid w:val="003B17FF"/>
    <w:rsid w:val="003B1890"/>
    <w:rsid w:val="003B22F4"/>
    <w:rsid w:val="003B2409"/>
    <w:rsid w:val="003B2629"/>
    <w:rsid w:val="003B282F"/>
    <w:rsid w:val="003B31D7"/>
    <w:rsid w:val="003B3533"/>
    <w:rsid w:val="003B3744"/>
    <w:rsid w:val="003B37EA"/>
    <w:rsid w:val="003B3C8A"/>
    <w:rsid w:val="003B4496"/>
    <w:rsid w:val="003B498D"/>
    <w:rsid w:val="003B4BB0"/>
    <w:rsid w:val="003B5804"/>
    <w:rsid w:val="003B620C"/>
    <w:rsid w:val="003B6B34"/>
    <w:rsid w:val="003B72D2"/>
    <w:rsid w:val="003C0FA9"/>
    <w:rsid w:val="003C131C"/>
    <w:rsid w:val="003C2F35"/>
    <w:rsid w:val="003C3379"/>
    <w:rsid w:val="003C3E43"/>
    <w:rsid w:val="003C53BA"/>
    <w:rsid w:val="003C5837"/>
    <w:rsid w:val="003C5C30"/>
    <w:rsid w:val="003C6B48"/>
    <w:rsid w:val="003C6CB2"/>
    <w:rsid w:val="003C7F33"/>
    <w:rsid w:val="003D0CA7"/>
    <w:rsid w:val="003D19DA"/>
    <w:rsid w:val="003D1F3D"/>
    <w:rsid w:val="003D2817"/>
    <w:rsid w:val="003D28DA"/>
    <w:rsid w:val="003D2CAE"/>
    <w:rsid w:val="003D40DA"/>
    <w:rsid w:val="003D42FE"/>
    <w:rsid w:val="003D484A"/>
    <w:rsid w:val="003D4E1A"/>
    <w:rsid w:val="003D5346"/>
    <w:rsid w:val="003D5F9D"/>
    <w:rsid w:val="003D643E"/>
    <w:rsid w:val="003D683D"/>
    <w:rsid w:val="003D69E4"/>
    <w:rsid w:val="003D71E2"/>
    <w:rsid w:val="003D73AC"/>
    <w:rsid w:val="003E14C2"/>
    <w:rsid w:val="003E36E9"/>
    <w:rsid w:val="003E3E9C"/>
    <w:rsid w:val="003E42A6"/>
    <w:rsid w:val="003E4632"/>
    <w:rsid w:val="003E5136"/>
    <w:rsid w:val="003E52BF"/>
    <w:rsid w:val="003E628D"/>
    <w:rsid w:val="003E7700"/>
    <w:rsid w:val="003F05D3"/>
    <w:rsid w:val="003F1220"/>
    <w:rsid w:val="003F2124"/>
    <w:rsid w:val="003F2191"/>
    <w:rsid w:val="003F2E43"/>
    <w:rsid w:val="003F4153"/>
    <w:rsid w:val="003F5D43"/>
    <w:rsid w:val="003F5D4A"/>
    <w:rsid w:val="003F5DF9"/>
    <w:rsid w:val="003F6827"/>
    <w:rsid w:val="003F68F8"/>
    <w:rsid w:val="003F6917"/>
    <w:rsid w:val="003F6AA9"/>
    <w:rsid w:val="003F6B16"/>
    <w:rsid w:val="003F6C50"/>
    <w:rsid w:val="003F6DD1"/>
    <w:rsid w:val="003F6F0F"/>
    <w:rsid w:val="003F78A6"/>
    <w:rsid w:val="00400572"/>
    <w:rsid w:val="004005CC"/>
    <w:rsid w:val="00400647"/>
    <w:rsid w:val="0040096F"/>
    <w:rsid w:val="0040147C"/>
    <w:rsid w:val="004024C0"/>
    <w:rsid w:val="00402AE5"/>
    <w:rsid w:val="00402C18"/>
    <w:rsid w:val="00403CE7"/>
    <w:rsid w:val="00406DD2"/>
    <w:rsid w:val="00406E0A"/>
    <w:rsid w:val="00407E09"/>
    <w:rsid w:val="00407F74"/>
    <w:rsid w:val="0041007A"/>
    <w:rsid w:val="00410932"/>
    <w:rsid w:val="0041178A"/>
    <w:rsid w:val="00412C03"/>
    <w:rsid w:val="004135BA"/>
    <w:rsid w:val="00413D5B"/>
    <w:rsid w:val="004153B8"/>
    <w:rsid w:val="00416280"/>
    <w:rsid w:val="004174BF"/>
    <w:rsid w:val="0042082A"/>
    <w:rsid w:val="004213DC"/>
    <w:rsid w:val="00421576"/>
    <w:rsid w:val="00421625"/>
    <w:rsid w:val="004217A5"/>
    <w:rsid w:val="00421BD5"/>
    <w:rsid w:val="00422404"/>
    <w:rsid w:val="00422974"/>
    <w:rsid w:val="00422B79"/>
    <w:rsid w:val="004231EF"/>
    <w:rsid w:val="00423907"/>
    <w:rsid w:val="00423CD3"/>
    <w:rsid w:val="00424EF5"/>
    <w:rsid w:val="00425167"/>
    <w:rsid w:val="004256B8"/>
    <w:rsid w:val="00426202"/>
    <w:rsid w:val="00427394"/>
    <w:rsid w:val="004301F1"/>
    <w:rsid w:val="00430A78"/>
    <w:rsid w:val="00430AEB"/>
    <w:rsid w:val="00430B90"/>
    <w:rsid w:val="004310D8"/>
    <w:rsid w:val="00431595"/>
    <w:rsid w:val="0043164E"/>
    <w:rsid w:val="00431D4B"/>
    <w:rsid w:val="00432270"/>
    <w:rsid w:val="0043263D"/>
    <w:rsid w:val="004327A0"/>
    <w:rsid w:val="00432CDB"/>
    <w:rsid w:val="00433E0B"/>
    <w:rsid w:val="004346E0"/>
    <w:rsid w:val="00434D50"/>
    <w:rsid w:val="00435564"/>
    <w:rsid w:val="00436232"/>
    <w:rsid w:val="0043659B"/>
    <w:rsid w:val="004378EC"/>
    <w:rsid w:val="00440576"/>
    <w:rsid w:val="00440F53"/>
    <w:rsid w:val="00441E22"/>
    <w:rsid w:val="00441FD5"/>
    <w:rsid w:val="00442E86"/>
    <w:rsid w:val="00443059"/>
    <w:rsid w:val="004437BA"/>
    <w:rsid w:val="004447E6"/>
    <w:rsid w:val="00446968"/>
    <w:rsid w:val="00447432"/>
    <w:rsid w:val="00447AE3"/>
    <w:rsid w:val="0045025B"/>
    <w:rsid w:val="00450A95"/>
    <w:rsid w:val="00450D93"/>
    <w:rsid w:val="0045157A"/>
    <w:rsid w:val="00451B7C"/>
    <w:rsid w:val="00452276"/>
    <w:rsid w:val="00452C15"/>
    <w:rsid w:val="00452CF3"/>
    <w:rsid w:val="00453310"/>
    <w:rsid w:val="004534CA"/>
    <w:rsid w:val="00453D0B"/>
    <w:rsid w:val="0045423A"/>
    <w:rsid w:val="0045449A"/>
    <w:rsid w:val="00454686"/>
    <w:rsid w:val="004558A0"/>
    <w:rsid w:val="004559F1"/>
    <w:rsid w:val="00455F6D"/>
    <w:rsid w:val="00456616"/>
    <w:rsid w:val="00456860"/>
    <w:rsid w:val="00457055"/>
    <w:rsid w:val="004578AC"/>
    <w:rsid w:val="00457F73"/>
    <w:rsid w:val="0046012F"/>
    <w:rsid w:val="00460488"/>
    <w:rsid w:val="00460631"/>
    <w:rsid w:val="0046064C"/>
    <w:rsid w:val="00460A23"/>
    <w:rsid w:val="00461880"/>
    <w:rsid w:val="00461A09"/>
    <w:rsid w:val="004639C0"/>
    <w:rsid w:val="00463B3A"/>
    <w:rsid w:val="004640F0"/>
    <w:rsid w:val="004647C8"/>
    <w:rsid w:val="00465291"/>
    <w:rsid w:val="004653A5"/>
    <w:rsid w:val="00465AB0"/>
    <w:rsid w:val="00465CCB"/>
    <w:rsid w:val="00466D9A"/>
    <w:rsid w:val="00466F0D"/>
    <w:rsid w:val="00474AFE"/>
    <w:rsid w:val="004762B2"/>
    <w:rsid w:val="00476AC8"/>
    <w:rsid w:val="00480976"/>
    <w:rsid w:val="00480B13"/>
    <w:rsid w:val="00480DDC"/>
    <w:rsid w:val="00480EC9"/>
    <w:rsid w:val="00481858"/>
    <w:rsid w:val="004818A1"/>
    <w:rsid w:val="00482CE5"/>
    <w:rsid w:val="00483174"/>
    <w:rsid w:val="004845F7"/>
    <w:rsid w:val="00484916"/>
    <w:rsid w:val="004852BC"/>
    <w:rsid w:val="00485308"/>
    <w:rsid w:val="00485E99"/>
    <w:rsid w:val="0048755C"/>
    <w:rsid w:val="004878E4"/>
    <w:rsid w:val="00487BA9"/>
    <w:rsid w:val="00487D29"/>
    <w:rsid w:val="0049086B"/>
    <w:rsid w:val="00490985"/>
    <w:rsid w:val="0049138A"/>
    <w:rsid w:val="004922EE"/>
    <w:rsid w:val="00492A54"/>
    <w:rsid w:val="004934E6"/>
    <w:rsid w:val="00493B77"/>
    <w:rsid w:val="00493F13"/>
    <w:rsid w:val="00494285"/>
    <w:rsid w:val="00494671"/>
    <w:rsid w:val="0049581B"/>
    <w:rsid w:val="00495D95"/>
    <w:rsid w:val="00496795"/>
    <w:rsid w:val="00496980"/>
    <w:rsid w:val="00496C73"/>
    <w:rsid w:val="00497094"/>
    <w:rsid w:val="00497358"/>
    <w:rsid w:val="0049746C"/>
    <w:rsid w:val="00497B69"/>
    <w:rsid w:val="004A1077"/>
    <w:rsid w:val="004A1F26"/>
    <w:rsid w:val="004A288D"/>
    <w:rsid w:val="004A2AC6"/>
    <w:rsid w:val="004A2D1C"/>
    <w:rsid w:val="004A2F92"/>
    <w:rsid w:val="004A3B7D"/>
    <w:rsid w:val="004A49FD"/>
    <w:rsid w:val="004A4D78"/>
    <w:rsid w:val="004A5577"/>
    <w:rsid w:val="004A593D"/>
    <w:rsid w:val="004A65EC"/>
    <w:rsid w:val="004A681B"/>
    <w:rsid w:val="004A6A23"/>
    <w:rsid w:val="004A725E"/>
    <w:rsid w:val="004A7A95"/>
    <w:rsid w:val="004B0831"/>
    <w:rsid w:val="004B0CFC"/>
    <w:rsid w:val="004B1514"/>
    <w:rsid w:val="004B26FA"/>
    <w:rsid w:val="004B3242"/>
    <w:rsid w:val="004B3C7C"/>
    <w:rsid w:val="004B4229"/>
    <w:rsid w:val="004B43EA"/>
    <w:rsid w:val="004B4578"/>
    <w:rsid w:val="004B4B2A"/>
    <w:rsid w:val="004B5CA2"/>
    <w:rsid w:val="004B6AF2"/>
    <w:rsid w:val="004B7E23"/>
    <w:rsid w:val="004C0237"/>
    <w:rsid w:val="004C0425"/>
    <w:rsid w:val="004C07BD"/>
    <w:rsid w:val="004C09C0"/>
    <w:rsid w:val="004C13DC"/>
    <w:rsid w:val="004C153F"/>
    <w:rsid w:val="004C2611"/>
    <w:rsid w:val="004C2A0C"/>
    <w:rsid w:val="004C3465"/>
    <w:rsid w:val="004C36D4"/>
    <w:rsid w:val="004C3F5D"/>
    <w:rsid w:val="004C438C"/>
    <w:rsid w:val="004C4E44"/>
    <w:rsid w:val="004C546A"/>
    <w:rsid w:val="004C5E47"/>
    <w:rsid w:val="004C61C8"/>
    <w:rsid w:val="004C6650"/>
    <w:rsid w:val="004C7CA8"/>
    <w:rsid w:val="004D0230"/>
    <w:rsid w:val="004D124D"/>
    <w:rsid w:val="004D196E"/>
    <w:rsid w:val="004D1AF8"/>
    <w:rsid w:val="004D2096"/>
    <w:rsid w:val="004D2789"/>
    <w:rsid w:val="004D2C93"/>
    <w:rsid w:val="004D2DC2"/>
    <w:rsid w:val="004D3563"/>
    <w:rsid w:val="004D393F"/>
    <w:rsid w:val="004D446B"/>
    <w:rsid w:val="004D4F09"/>
    <w:rsid w:val="004D5481"/>
    <w:rsid w:val="004D7951"/>
    <w:rsid w:val="004D7DF4"/>
    <w:rsid w:val="004E01BD"/>
    <w:rsid w:val="004E0608"/>
    <w:rsid w:val="004E08A0"/>
    <w:rsid w:val="004E10B5"/>
    <w:rsid w:val="004E1E7E"/>
    <w:rsid w:val="004E2A33"/>
    <w:rsid w:val="004E3250"/>
    <w:rsid w:val="004E3ABD"/>
    <w:rsid w:val="004E3FEB"/>
    <w:rsid w:val="004E4958"/>
    <w:rsid w:val="004E4A4C"/>
    <w:rsid w:val="004E5905"/>
    <w:rsid w:val="004E5B62"/>
    <w:rsid w:val="004E6764"/>
    <w:rsid w:val="004E7190"/>
    <w:rsid w:val="004E7332"/>
    <w:rsid w:val="004E7CBF"/>
    <w:rsid w:val="004E7E50"/>
    <w:rsid w:val="004E7EA3"/>
    <w:rsid w:val="004E7EB0"/>
    <w:rsid w:val="004F0925"/>
    <w:rsid w:val="004F0A4A"/>
    <w:rsid w:val="004F0AC3"/>
    <w:rsid w:val="004F10F3"/>
    <w:rsid w:val="004F257F"/>
    <w:rsid w:val="004F260A"/>
    <w:rsid w:val="004F4361"/>
    <w:rsid w:val="004F6D6E"/>
    <w:rsid w:val="004F70E7"/>
    <w:rsid w:val="004F7653"/>
    <w:rsid w:val="0050027A"/>
    <w:rsid w:val="00500678"/>
    <w:rsid w:val="00500B99"/>
    <w:rsid w:val="005016B9"/>
    <w:rsid w:val="00502778"/>
    <w:rsid w:val="00503BBA"/>
    <w:rsid w:val="0050487B"/>
    <w:rsid w:val="00504D05"/>
    <w:rsid w:val="00505390"/>
    <w:rsid w:val="005057C3"/>
    <w:rsid w:val="005059D1"/>
    <w:rsid w:val="00505E16"/>
    <w:rsid w:val="00505EA4"/>
    <w:rsid w:val="00506C16"/>
    <w:rsid w:val="00506C98"/>
    <w:rsid w:val="005071FB"/>
    <w:rsid w:val="0051006F"/>
    <w:rsid w:val="00510242"/>
    <w:rsid w:val="00510653"/>
    <w:rsid w:val="00510826"/>
    <w:rsid w:val="00513333"/>
    <w:rsid w:val="0051348F"/>
    <w:rsid w:val="005141E1"/>
    <w:rsid w:val="00514A71"/>
    <w:rsid w:val="00515079"/>
    <w:rsid w:val="00515140"/>
    <w:rsid w:val="00515CA8"/>
    <w:rsid w:val="00516414"/>
    <w:rsid w:val="00516C9B"/>
    <w:rsid w:val="00516F40"/>
    <w:rsid w:val="005176FB"/>
    <w:rsid w:val="00520127"/>
    <w:rsid w:val="005201DD"/>
    <w:rsid w:val="005202AC"/>
    <w:rsid w:val="00520525"/>
    <w:rsid w:val="00520CEC"/>
    <w:rsid w:val="00521239"/>
    <w:rsid w:val="00523410"/>
    <w:rsid w:val="00523AE2"/>
    <w:rsid w:val="0052421C"/>
    <w:rsid w:val="005244CD"/>
    <w:rsid w:val="005249EE"/>
    <w:rsid w:val="00524BD9"/>
    <w:rsid w:val="00525BA7"/>
    <w:rsid w:val="00525CD3"/>
    <w:rsid w:val="00525F2C"/>
    <w:rsid w:val="00526DDE"/>
    <w:rsid w:val="00527D79"/>
    <w:rsid w:val="00531426"/>
    <w:rsid w:val="00533659"/>
    <w:rsid w:val="00533956"/>
    <w:rsid w:val="00534DBA"/>
    <w:rsid w:val="00535BD1"/>
    <w:rsid w:val="0053611F"/>
    <w:rsid w:val="005364AA"/>
    <w:rsid w:val="00536598"/>
    <w:rsid w:val="00536A2D"/>
    <w:rsid w:val="0053707B"/>
    <w:rsid w:val="00537D08"/>
    <w:rsid w:val="0054045F"/>
    <w:rsid w:val="00541273"/>
    <w:rsid w:val="0054173D"/>
    <w:rsid w:val="00541E68"/>
    <w:rsid w:val="00542FE1"/>
    <w:rsid w:val="00543FF8"/>
    <w:rsid w:val="005441B3"/>
    <w:rsid w:val="00544485"/>
    <w:rsid w:val="0054451E"/>
    <w:rsid w:val="00544770"/>
    <w:rsid w:val="00544D8D"/>
    <w:rsid w:val="00545642"/>
    <w:rsid w:val="00545A2F"/>
    <w:rsid w:val="00546580"/>
    <w:rsid w:val="00547969"/>
    <w:rsid w:val="00550302"/>
    <w:rsid w:val="00550AFE"/>
    <w:rsid w:val="00550CF2"/>
    <w:rsid w:val="00551A36"/>
    <w:rsid w:val="00552679"/>
    <w:rsid w:val="00552F43"/>
    <w:rsid w:val="00553432"/>
    <w:rsid w:val="005536BC"/>
    <w:rsid w:val="00553843"/>
    <w:rsid w:val="00553BE0"/>
    <w:rsid w:val="00553F2C"/>
    <w:rsid w:val="005543D1"/>
    <w:rsid w:val="00556CF3"/>
    <w:rsid w:val="00556F4E"/>
    <w:rsid w:val="005575A4"/>
    <w:rsid w:val="00557FAC"/>
    <w:rsid w:val="0056049C"/>
    <w:rsid w:val="00560594"/>
    <w:rsid w:val="005612BD"/>
    <w:rsid w:val="005614E3"/>
    <w:rsid w:val="00562BCC"/>
    <w:rsid w:val="0056312D"/>
    <w:rsid w:val="00563357"/>
    <w:rsid w:val="005636B5"/>
    <w:rsid w:val="00564364"/>
    <w:rsid w:val="00564534"/>
    <w:rsid w:val="0056480D"/>
    <w:rsid w:val="00564A75"/>
    <w:rsid w:val="00565984"/>
    <w:rsid w:val="00565AEE"/>
    <w:rsid w:val="005664C5"/>
    <w:rsid w:val="005667B4"/>
    <w:rsid w:val="005670F6"/>
    <w:rsid w:val="00567272"/>
    <w:rsid w:val="00570405"/>
    <w:rsid w:val="00572F19"/>
    <w:rsid w:val="00574D0F"/>
    <w:rsid w:val="00574E3E"/>
    <w:rsid w:val="00574E49"/>
    <w:rsid w:val="005760EC"/>
    <w:rsid w:val="005768FC"/>
    <w:rsid w:val="00577686"/>
    <w:rsid w:val="005776E9"/>
    <w:rsid w:val="00577D72"/>
    <w:rsid w:val="00580988"/>
    <w:rsid w:val="00580C21"/>
    <w:rsid w:val="00580D07"/>
    <w:rsid w:val="00580EA6"/>
    <w:rsid w:val="00581364"/>
    <w:rsid w:val="005813EE"/>
    <w:rsid w:val="00581C76"/>
    <w:rsid w:val="00581D74"/>
    <w:rsid w:val="00582643"/>
    <w:rsid w:val="005826B1"/>
    <w:rsid w:val="005833C5"/>
    <w:rsid w:val="005835BA"/>
    <w:rsid w:val="00583707"/>
    <w:rsid w:val="005846A9"/>
    <w:rsid w:val="00584CC2"/>
    <w:rsid w:val="00584FBA"/>
    <w:rsid w:val="00585545"/>
    <w:rsid w:val="00586083"/>
    <w:rsid w:val="00586818"/>
    <w:rsid w:val="005868E9"/>
    <w:rsid w:val="00586A68"/>
    <w:rsid w:val="005877D7"/>
    <w:rsid w:val="00587CFC"/>
    <w:rsid w:val="005904C0"/>
    <w:rsid w:val="005905CC"/>
    <w:rsid w:val="0059094C"/>
    <w:rsid w:val="00591BBA"/>
    <w:rsid w:val="00591F0D"/>
    <w:rsid w:val="0059222A"/>
    <w:rsid w:val="00592758"/>
    <w:rsid w:val="00593140"/>
    <w:rsid w:val="00593368"/>
    <w:rsid w:val="00593AC4"/>
    <w:rsid w:val="00593B81"/>
    <w:rsid w:val="00593D26"/>
    <w:rsid w:val="00593EC0"/>
    <w:rsid w:val="00594004"/>
    <w:rsid w:val="00594669"/>
    <w:rsid w:val="005947CB"/>
    <w:rsid w:val="00595C12"/>
    <w:rsid w:val="005967D7"/>
    <w:rsid w:val="00596C6C"/>
    <w:rsid w:val="00596CD0"/>
    <w:rsid w:val="00596E89"/>
    <w:rsid w:val="00596EE3"/>
    <w:rsid w:val="00597161"/>
    <w:rsid w:val="00597305"/>
    <w:rsid w:val="005A0D1E"/>
    <w:rsid w:val="005A1068"/>
    <w:rsid w:val="005A135A"/>
    <w:rsid w:val="005A1EEF"/>
    <w:rsid w:val="005A2D8F"/>
    <w:rsid w:val="005A30A3"/>
    <w:rsid w:val="005A48EF"/>
    <w:rsid w:val="005A56C1"/>
    <w:rsid w:val="005A5A39"/>
    <w:rsid w:val="005A6045"/>
    <w:rsid w:val="005A62E6"/>
    <w:rsid w:val="005A6D46"/>
    <w:rsid w:val="005A7D5E"/>
    <w:rsid w:val="005B00B4"/>
    <w:rsid w:val="005B0700"/>
    <w:rsid w:val="005B1565"/>
    <w:rsid w:val="005B1A2E"/>
    <w:rsid w:val="005B1A9A"/>
    <w:rsid w:val="005B2158"/>
    <w:rsid w:val="005B313F"/>
    <w:rsid w:val="005B3683"/>
    <w:rsid w:val="005B384E"/>
    <w:rsid w:val="005B48EA"/>
    <w:rsid w:val="005B4DCE"/>
    <w:rsid w:val="005B4FAA"/>
    <w:rsid w:val="005B5E79"/>
    <w:rsid w:val="005B5FEC"/>
    <w:rsid w:val="005B6448"/>
    <w:rsid w:val="005B6505"/>
    <w:rsid w:val="005B678A"/>
    <w:rsid w:val="005B6D72"/>
    <w:rsid w:val="005C071D"/>
    <w:rsid w:val="005C1483"/>
    <w:rsid w:val="005C15D4"/>
    <w:rsid w:val="005C1A64"/>
    <w:rsid w:val="005C2353"/>
    <w:rsid w:val="005C29C4"/>
    <w:rsid w:val="005C2AE0"/>
    <w:rsid w:val="005C2E8A"/>
    <w:rsid w:val="005C2EA9"/>
    <w:rsid w:val="005C3EF9"/>
    <w:rsid w:val="005C4675"/>
    <w:rsid w:val="005C4E4F"/>
    <w:rsid w:val="005C6060"/>
    <w:rsid w:val="005C62BF"/>
    <w:rsid w:val="005C6B01"/>
    <w:rsid w:val="005D147E"/>
    <w:rsid w:val="005D157B"/>
    <w:rsid w:val="005D1CB1"/>
    <w:rsid w:val="005D218E"/>
    <w:rsid w:val="005D2271"/>
    <w:rsid w:val="005D25AD"/>
    <w:rsid w:val="005D2BFD"/>
    <w:rsid w:val="005D326D"/>
    <w:rsid w:val="005D34CC"/>
    <w:rsid w:val="005D37A6"/>
    <w:rsid w:val="005D3850"/>
    <w:rsid w:val="005D3D47"/>
    <w:rsid w:val="005D3DD1"/>
    <w:rsid w:val="005D59EA"/>
    <w:rsid w:val="005D6315"/>
    <w:rsid w:val="005D66BA"/>
    <w:rsid w:val="005D69F9"/>
    <w:rsid w:val="005D7428"/>
    <w:rsid w:val="005D7DAD"/>
    <w:rsid w:val="005E13FF"/>
    <w:rsid w:val="005E1931"/>
    <w:rsid w:val="005E19EA"/>
    <w:rsid w:val="005E3DC3"/>
    <w:rsid w:val="005E3FF6"/>
    <w:rsid w:val="005E5969"/>
    <w:rsid w:val="005E6A88"/>
    <w:rsid w:val="005E6BEB"/>
    <w:rsid w:val="005E77E9"/>
    <w:rsid w:val="005F0E28"/>
    <w:rsid w:val="005F0E68"/>
    <w:rsid w:val="005F11F2"/>
    <w:rsid w:val="005F1AC9"/>
    <w:rsid w:val="005F2DD4"/>
    <w:rsid w:val="005F31A0"/>
    <w:rsid w:val="005F3615"/>
    <w:rsid w:val="005F39A9"/>
    <w:rsid w:val="005F3D1C"/>
    <w:rsid w:val="005F49B7"/>
    <w:rsid w:val="005F4E4A"/>
    <w:rsid w:val="005F52B5"/>
    <w:rsid w:val="005F5CBE"/>
    <w:rsid w:val="005F661D"/>
    <w:rsid w:val="005F71D4"/>
    <w:rsid w:val="005F721C"/>
    <w:rsid w:val="005F7415"/>
    <w:rsid w:val="005F78FD"/>
    <w:rsid w:val="005F79B6"/>
    <w:rsid w:val="005F7A86"/>
    <w:rsid w:val="005F7FCB"/>
    <w:rsid w:val="006005C2"/>
    <w:rsid w:val="006006C6"/>
    <w:rsid w:val="00600A99"/>
    <w:rsid w:val="00600B83"/>
    <w:rsid w:val="00600C6E"/>
    <w:rsid w:val="00601180"/>
    <w:rsid w:val="00602867"/>
    <w:rsid w:val="00603A52"/>
    <w:rsid w:val="0060424A"/>
    <w:rsid w:val="00604606"/>
    <w:rsid w:val="0060472F"/>
    <w:rsid w:val="00604A26"/>
    <w:rsid w:val="00604C26"/>
    <w:rsid w:val="00604CFC"/>
    <w:rsid w:val="00605685"/>
    <w:rsid w:val="006061F8"/>
    <w:rsid w:val="00606D9A"/>
    <w:rsid w:val="00607A46"/>
    <w:rsid w:val="0061039D"/>
    <w:rsid w:val="0061084A"/>
    <w:rsid w:val="006110D1"/>
    <w:rsid w:val="00614138"/>
    <w:rsid w:val="0061440C"/>
    <w:rsid w:val="006144A2"/>
    <w:rsid w:val="00614C03"/>
    <w:rsid w:val="006155C4"/>
    <w:rsid w:val="00615712"/>
    <w:rsid w:val="00616770"/>
    <w:rsid w:val="00616857"/>
    <w:rsid w:val="00621125"/>
    <w:rsid w:val="0062190E"/>
    <w:rsid w:val="00622B37"/>
    <w:rsid w:val="006236E4"/>
    <w:rsid w:val="00623BB1"/>
    <w:rsid w:val="00624048"/>
    <w:rsid w:val="00624614"/>
    <w:rsid w:val="00625343"/>
    <w:rsid w:val="00625DE3"/>
    <w:rsid w:val="006302B5"/>
    <w:rsid w:val="00630FEC"/>
    <w:rsid w:val="00631307"/>
    <w:rsid w:val="006325C1"/>
    <w:rsid w:val="00633127"/>
    <w:rsid w:val="00633829"/>
    <w:rsid w:val="006349C8"/>
    <w:rsid w:val="00634D14"/>
    <w:rsid w:val="00634E89"/>
    <w:rsid w:val="006350CA"/>
    <w:rsid w:val="006351B1"/>
    <w:rsid w:val="00635482"/>
    <w:rsid w:val="006354EA"/>
    <w:rsid w:val="00635A0D"/>
    <w:rsid w:val="00636E83"/>
    <w:rsid w:val="00636F0B"/>
    <w:rsid w:val="00637203"/>
    <w:rsid w:val="0063762C"/>
    <w:rsid w:val="00637667"/>
    <w:rsid w:val="00637B69"/>
    <w:rsid w:val="00640482"/>
    <w:rsid w:val="00640FFF"/>
    <w:rsid w:val="006414D4"/>
    <w:rsid w:val="00641D05"/>
    <w:rsid w:val="00641E16"/>
    <w:rsid w:val="00642551"/>
    <w:rsid w:val="0064272F"/>
    <w:rsid w:val="00642FBE"/>
    <w:rsid w:val="0064334F"/>
    <w:rsid w:val="006452C0"/>
    <w:rsid w:val="00645BC2"/>
    <w:rsid w:val="006460B2"/>
    <w:rsid w:val="00647131"/>
    <w:rsid w:val="006476A6"/>
    <w:rsid w:val="00647900"/>
    <w:rsid w:val="00647B51"/>
    <w:rsid w:val="006507BB"/>
    <w:rsid w:val="00650AA0"/>
    <w:rsid w:val="00650F54"/>
    <w:rsid w:val="00651BFD"/>
    <w:rsid w:val="00651CF5"/>
    <w:rsid w:val="00652B02"/>
    <w:rsid w:val="00653326"/>
    <w:rsid w:val="006534E4"/>
    <w:rsid w:val="00653DA0"/>
    <w:rsid w:val="00653F8A"/>
    <w:rsid w:val="00654740"/>
    <w:rsid w:val="00656924"/>
    <w:rsid w:val="00656959"/>
    <w:rsid w:val="00657013"/>
    <w:rsid w:val="00657166"/>
    <w:rsid w:val="00657C02"/>
    <w:rsid w:val="0066003B"/>
    <w:rsid w:val="00660964"/>
    <w:rsid w:val="00660A44"/>
    <w:rsid w:val="00662579"/>
    <w:rsid w:val="00663A6C"/>
    <w:rsid w:val="00663F44"/>
    <w:rsid w:val="00664A55"/>
    <w:rsid w:val="00664F83"/>
    <w:rsid w:val="00665057"/>
    <w:rsid w:val="00665CB1"/>
    <w:rsid w:val="00666FE1"/>
    <w:rsid w:val="0066700F"/>
    <w:rsid w:val="006678ED"/>
    <w:rsid w:val="00667E99"/>
    <w:rsid w:val="00670A05"/>
    <w:rsid w:val="00670B20"/>
    <w:rsid w:val="00671279"/>
    <w:rsid w:val="00671719"/>
    <w:rsid w:val="00671779"/>
    <w:rsid w:val="00671CB8"/>
    <w:rsid w:val="00671EC5"/>
    <w:rsid w:val="006729E9"/>
    <w:rsid w:val="00673530"/>
    <w:rsid w:val="006737CC"/>
    <w:rsid w:val="00673993"/>
    <w:rsid w:val="0067400E"/>
    <w:rsid w:val="00674FE2"/>
    <w:rsid w:val="006751B4"/>
    <w:rsid w:val="006752C0"/>
    <w:rsid w:val="0067569C"/>
    <w:rsid w:val="006757D5"/>
    <w:rsid w:val="0067591B"/>
    <w:rsid w:val="00675B17"/>
    <w:rsid w:val="00676DFE"/>
    <w:rsid w:val="0067732C"/>
    <w:rsid w:val="0067777B"/>
    <w:rsid w:val="00677DFD"/>
    <w:rsid w:val="006815EA"/>
    <w:rsid w:val="006819F2"/>
    <w:rsid w:val="00681FA7"/>
    <w:rsid w:val="0068261E"/>
    <w:rsid w:val="0068263C"/>
    <w:rsid w:val="00684922"/>
    <w:rsid w:val="00684A03"/>
    <w:rsid w:val="00684BC5"/>
    <w:rsid w:val="00684D78"/>
    <w:rsid w:val="00685CC7"/>
    <w:rsid w:val="0068638E"/>
    <w:rsid w:val="00686903"/>
    <w:rsid w:val="00687282"/>
    <w:rsid w:val="006902D6"/>
    <w:rsid w:val="0069196D"/>
    <w:rsid w:val="00691AEB"/>
    <w:rsid w:val="00691E6B"/>
    <w:rsid w:val="00692954"/>
    <w:rsid w:val="00692E4D"/>
    <w:rsid w:val="00693048"/>
    <w:rsid w:val="00693079"/>
    <w:rsid w:val="006932B7"/>
    <w:rsid w:val="00693A59"/>
    <w:rsid w:val="00694AB5"/>
    <w:rsid w:val="00695771"/>
    <w:rsid w:val="006957EA"/>
    <w:rsid w:val="00695C41"/>
    <w:rsid w:val="00695ED4"/>
    <w:rsid w:val="00695F7C"/>
    <w:rsid w:val="00696071"/>
    <w:rsid w:val="00696186"/>
    <w:rsid w:val="00697FDA"/>
    <w:rsid w:val="006A096B"/>
    <w:rsid w:val="006A0A9E"/>
    <w:rsid w:val="006A0EBA"/>
    <w:rsid w:val="006A177D"/>
    <w:rsid w:val="006A1A5A"/>
    <w:rsid w:val="006A1C86"/>
    <w:rsid w:val="006A205C"/>
    <w:rsid w:val="006A27DB"/>
    <w:rsid w:val="006A2F69"/>
    <w:rsid w:val="006A38BD"/>
    <w:rsid w:val="006A3DD5"/>
    <w:rsid w:val="006A3EB0"/>
    <w:rsid w:val="006A43F8"/>
    <w:rsid w:val="006A48C3"/>
    <w:rsid w:val="006A50AE"/>
    <w:rsid w:val="006A50C6"/>
    <w:rsid w:val="006A5338"/>
    <w:rsid w:val="006A5618"/>
    <w:rsid w:val="006A5E0B"/>
    <w:rsid w:val="006A65F3"/>
    <w:rsid w:val="006A6EDF"/>
    <w:rsid w:val="006B053A"/>
    <w:rsid w:val="006B1071"/>
    <w:rsid w:val="006B25C3"/>
    <w:rsid w:val="006B29A0"/>
    <w:rsid w:val="006B3C7F"/>
    <w:rsid w:val="006B3D98"/>
    <w:rsid w:val="006B43B9"/>
    <w:rsid w:val="006B4603"/>
    <w:rsid w:val="006B47AE"/>
    <w:rsid w:val="006B5D3C"/>
    <w:rsid w:val="006B65C4"/>
    <w:rsid w:val="006B73E9"/>
    <w:rsid w:val="006B74D0"/>
    <w:rsid w:val="006B7942"/>
    <w:rsid w:val="006C131A"/>
    <w:rsid w:val="006C2FF2"/>
    <w:rsid w:val="006C3295"/>
    <w:rsid w:val="006C346A"/>
    <w:rsid w:val="006C3B0D"/>
    <w:rsid w:val="006C3FA6"/>
    <w:rsid w:val="006C402F"/>
    <w:rsid w:val="006C4AE8"/>
    <w:rsid w:val="006C4B8A"/>
    <w:rsid w:val="006C4C0F"/>
    <w:rsid w:val="006C4F57"/>
    <w:rsid w:val="006C5E80"/>
    <w:rsid w:val="006C5F9B"/>
    <w:rsid w:val="006C699A"/>
    <w:rsid w:val="006C69E7"/>
    <w:rsid w:val="006D0358"/>
    <w:rsid w:val="006D0A2E"/>
    <w:rsid w:val="006D157B"/>
    <w:rsid w:val="006D2270"/>
    <w:rsid w:val="006D25AE"/>
    <w:rsid w:val="006D2BDD"/>
    <w:rsid w:val="006D2FCD"/>
    <w:rsid w:val="006D550B"/>
    <w:rsid w:val="006D6030"/>
    <w:rsid w:val="006D606B"/>
    <w:rsid w:val="006D6BE2"/>
    <w:rsid w:val="006D7865"/>
    <w:rsid w:val="006E0300"/>
    <w:rsid w:val="006E0696"/>
    <w:rsid w:val="006E1FC2"/>
    <w:rsid w:val="006E2278"/>
    <w:rsid w:val="006E361C"/>
    <w:rsid w:val="006E478B"/>
    <w:rsid w:val="006E567B"/>
    <w:rsid w:val="006E5FDC"/>
    <w:rsid w:val="006E6AE8"/>
    <w:rsid w:val="006E6BF7"/>
    <w:rsid w:val="006E6EA1"/>
    <w:rsid w:val="006E7A6C"/>
    <w:rsid w:val="006E7F5D"/>
    <w:rsid w:val="006F0989"/>
    <w:rsid w:val="006F0D13"/>
    <w:rsid w:val="006F0F13"/>
    <w:rsid w:val="006F0FCE"/>
    <w:rsid w:val="006F1719"/>
    <w:rsid w:val="006F1CEC"/>
    <w:rsid w:val="006F1D71"/>
    <w:rsid w:val="006F222C"/>
    <w:rsid w:val="006F224E"/>
    <w:rsid w:val="006F2A0B"/>
    <w:rsid w:val="006F347A"/>
    <w:rsid w:val="006F361A"/>
    <w:rsid w:val="006F4128"/>
    <w:rsid w:val="006F52D4"/>
    <w:rsid w:val="006F53E0"/>
    <w:rsid w:val="006F5CCB"/>
    <w:rsid w:val="006F6292"/>
    <w:rsid w:val="006F6553"/>
    <w:rsid w:val="006F6F58"/>
    <w:rsid w:val="006F72D0"/>
    <w:rsid w:val="006F7CB7"/>
    <w:rsid w:val="006F7DAA"/>
    <w:rsid w:val="00700423"/>
    <w:rsid w:val="00700B55"/>
    <w:rsid w:val="00701655"/>
    <w:rsid w:val="00702057"/>
    <w:rsid w:val="0070207E"/>
    <w:rsid w:val="00703067"/>
    <w:rsid w:val="007045E6"/>
    <w:rsid w:val="007047A9"/>
    <w:rsid w:val="007048EF"/>
    <w:rsid w:val="00705B46"/>
    <w:rsid w:val="00705B6E"/>
    <w:rsid w:val="00705C4C"/>
    <w:rsid w:val="0070692F"/>
    <w:rsid w:val="00707104"/>
    <w:rsid w:val="007076CF"/>
    <w:rsid w:val="0071000F"/>
    <w:rsid w:val="007105FB"/>
    <w:rsid w:val="0071144C"/>
    <w:rsid w:val="00711566"/>
    <w:rsid w:val="007119A9"/>
    <w:rsid w:val="00712116"/>
    <w:rsid w:val="00712FFD"/>
    <w:rsid w:val="00713211"/>
    <w:rsid w:val="00713893"/>
    <w:rsid w:val="00713944"/>
    <w:rsid w:val="00713CB8"/>
    <w:rsid w:val="00713DD0"/>
    <w:rsid w:val="00714239"/>
    <w:rsid w:val="00714BEA"/>
    <w:rsid w:val="00714C74"/>
    <w:rsid w:val="00715FFB"/>
    <w:rsid w:val="0071672C"/>
    <w:rsid w:val="00716D1E"/>
    <w:rsid w:val="007207DA"/>
    <w:rsid w:val="00721AA7"/>
    <w:rsid w:val="00722D5B"/>
    <w:rsid w:val="007232EC"/>
    <w:rsid w:val="00723921"/>
    <w:rsid w:val="00724012"/>
    <w:rsid w:val="007242C7"/>
    <w:rsid w:val="007244CF"/>
    <w:rsid w:val="0072645F"/>
    <w:rsid w:val="007264EF"/>
    <w:rsid w:val="007279B0"/>
    <w:rsid w:val="007279D3"/>
    <w:rsid w:val="00727B07"/>
    <w:rsid w:val="00727F39"/>
    <w:rsid w:val="00730B41"/>
    <w:rsid w:val="00730D48"/>
    <w:rsid w:val="0073164A"/>
    <w:rsid w:val="00731FBC"/>
    <w:rsid w:val="00732040"/>
    <w:rsid w:val="007323D1"/>
    <w:rsid w:val="007325B1"/>
    <w:rsid w:val="0073379B"/>
    <w:rsid w:val="00733E50"/>
    <w:rsid w:val="00733F4B"/>
    <w:rsid w:val="00735065"/>
    <w:rsid w:val="00735714"/>
    <w:rsid w:val="00735919"/>
    <w:rsid w:val="00740639"/>
    <w:rsid w:val="00740BA6"/>
    <w:rsid w:val="00741078"/>
    <w:rsid w:val="00741FCC"/>
    <w:rsid w:val="007430D4"/>
    <w:rsid w:val="00743697"/>
    <w:rsid w:val="00743A18"/>
    <w:rsid w:val="00743C83"/>
    <w:rsid w:val="00743D8F"/>
    <w:rsid w:val="007441A6"/>
    <w:rsid w:val="0074448F"/>
    <w:rsid w:val="0074480C"/>
    <w:rsid w:val="00744FE2"/>
    <w:rsid w:val="0074548A"/>
    <w:rsid w:val="007454A6"/>
    <w:rsid w:val="0074561C"/>
    <w:rsid w:val="00746825"/>
    <w:rsid w:val="007476D3"/>
    <w:rsid w:val="0075082B"/>
    <w:rsid w:val="00751B14"/>
    <w:rsid w:val="00751B2C"/>
    <w:rsid w:val="007521A6"/>
    <w:rsid w:val="007529CB"/>
    <w:rsid w:val="00753176"/>
    <w:rsid w:val="007534D3"/>
    <w:rsid w:val="00754043"/>
    <w:rsid w:val="00754254"/>
    <w:rsid w:val="007545CC"/>
    <w:rsid w:val="0075475D"/>
    <w:rsid w:val="00754F82"/>
    <w:rsid w:val="007551AB"/>
    <w:rsid w:val="007557F8"/>
    <w:rsid w:val="00755CB2"/>
    <w:rsid w:val="0075774A"/>
    <w:rsid w:val="00761C25"/>
    <w:rsid w:val="0076291D"/>
    <w:rsid w:val="00763351"/>
    <w:rsid w:val="00764246"/>
    <w:rsid w:val="00764795"/>
    <w:rsid w:val="007649BC"/>
    <w:rsid w:val="007650B8"/>
    <w:rsid w:val="0076557C"/>
    <w:rsid w:val="00766728"/>
    <w:rsid w:val="00766EB1"/>
    <w:rsid w:val="00767113"/>
    <w:rsid w:val="00770454"/>
    <w:rsid w:val="00770479"/>
    <w:rsid w:val="007713D9"/>
    <w:rsid w:val="007718D3"/>
    <w:rsid w:val="00771964"/>
    <w:rsid w:val="00772085"/>
    <w:rsid w:val="00772A08"/>
    <w:rsid w:val="00773668"/>
    <w:rsid w:val="00773BE5"/>
    <w:rsid w:val="007743C4"/>
    <w:rsid w:val="00774501"/>
    <w:rsid w:val="007753E1"/>
    <w:rsid w:val="00775E4A"/>
    <w:rsid w:val="00776D5F"/>
    <w:rsid w:val="007771FE"/>
    <w:rsid w:val="007772FA"/>
    <w:rsid w:val="00777D41"/>
    <w:rsid w:val="00777E73"/>
    <w:rsid w:val="00777EA8"/>
    <w:rsid w:val="00777F84"/>
    <w:rsid w:val="00777FA3"/>
    <w:rsid w:val="00780066"/>
    <w:rsid w:val="007800AA"/>
    <w:rsid w:val="007801B8"/>
    <w:rsid w:val="00780254"/>
    <w:rsid w:val="007802AA"/>
    <w:rsid w:val="00780702"/>
    <w:rsid w:val="00780FD8"/>
    <w:rsid w:val="00781010"/>
    <w:rsid w:val="00781341"/>
    <w:rsid w:val="00781391"/>
    <w:rsid w:val="00781A94"/>
    <w:rsid w:val="00782C4E"/>
    <w:rsid w:val="00782F80"/>
    <w:rsid w:val="00783CCD"/>
    <w:rsid w:val="00783DF3"/>
    <w:rsid w:val="007851F4"/>
    <w:rsid w:val="00785AEE"/>
    <w:rsid w:val="00786A4A"/>
    <w:rsid w:val="00787386"/>
    <w:rsid w:val="00787A0C"/>
    <w:rsid w:val="00790365"/>
    <w:rsid w:val="0079126D"/>
    <w:rsid w:val="00791E0C"/>
    <w:rsid w:val="0079205F"/>
    <w:rsid w:val="007928A2"/>
    <w:rsid w:val="00792BF4"/>
    <w:rsid w:val="007936A9"/>
    <w:rsid w:val="00794432"/>
    <w:rsid w:val="007946F9"/>
    <w:rsid w:val="00794EFB"/>
    <w:rsid w:val="0079540D"/>
    <w:rsid w:val="00795BAC"/>
    <w:rsid w:val="00795BBB"/>
    <w:rsid w:val="00795EAD"/>
    <w:rsid w:val="007965D1"/>
    <w:rsid w:val="0079685D"/>
    <w:rsid w:val="00796F88"/>
    <w:rsid w:val="007A04C8"/>
    <w:rsid w:val="007A18D2"/>
    <w:rsid w:val="007A26EA"/>
    <w:rsid w:val="007A3158"/>
    <w:rsid w:val="007A3216"/>
    <w:rsid w:val="007A4E52"/>
    <w:rsid w:val="007A6FF1"/>
    <w:rsid w:val="007B13EE"/>
    <w:rsid w:val="007B1B15"/>
    <w:rsid w:val="007B1B99"/>
    <w:rsid w:val="007B1CA9"/>
    <w:rsid w:val="007B1D47"/>
    <w:rsid w:val="007B246B"/>
    <w:rsid w:val="007B3264"/>
    <w:rsid w:val="007B404B"/>
    <w:rsid w:val="007B4ADC"/>
    <w:rsid w:val="007B4C71"/>
    <w:rsid w:val="007B52FD"/>
    <w:rsid w:val="007B5A6D"/>
    <w:rsid w:val="007B5D37"/>
    <w:rsid w:val="007B632D"/>
    <w:rsid w:val="007B6517"/>
    <w:rsid w:val="007B757D"/>
    <w:rsid w:val="007B759F"/>
    <w:rsid w:val="007C009C"/>
    <w:rsid w:val="007C0534"/>
    <w:rsid w:val="007C0F54"/>
    <w:rsid w:val="007C205B"/>
    <w:rsid w:val="007C24F6"/>
    <w:rsid w:val="007C2597"/>
    <w:rsid w:val="007C2C14"/>
    <w:rsid w:val="007C2E01"/>
    <w:rsid w:val="007C3983"/>
    <w:rsid w:val="007C452B"/>
    <w:rsid w:val="007C49C6"/>
    <w:rsid w:val="007C562D"/>
    <w:rsid w:val="007C62E2"/>
    <w:rsid w:val="007C6FC3"/>
    <w:rsid w:val="007C72EE"/>
    <w:rsid w:val="007C7864"/>
    <w:rsid w:val="007C78A7"/>
    <w:rsid w:val="007D0086"/>
    <w:rsid w:val="007D0187"/>
    <w:rsid w:val="007D09AA"/>
    <w:rsid w:val="007D12DF"/>
    <w:rsid w:val="007D12EE"/>
    <w:rsid w:val="007D18A7"/>
    <w:rsid w:val="007D24C7"/>
    <w:rsid w:val="007D254D"/>
    <w:rsid w:val="007D2842"/>
    <w:rsid w:val="007D3B2C"/>
    <w:rsid w:val="007D3B98"/>
    <w:rsid w:val="007D3C4D"/>
    <w:rsid w:val="007D40AF"/>
    <w:rsid w:val="007D4A0F"/>
    <w:rsid w:val="007D5A7A"/>
    <w:rsid w:val="007D5F32"/>
    <w:rsid w:val="007D65F6"/>
    <w:rsid w:val="007D76E1"/>
    <w:rsid w:val="007E0D15"/>
    <w:rsid w:val="007E2A0C"/>
    <w:rsid w:val="007E3125"/>
    <w:rsid w:val="007E3834"/>
    <w:rsid w:val="007E3E33"/>
    <w:rsid w:val="007E4B40"/>
    <w:rsid w:val="007E4B43"/>
    <w:rsid w:val="007E5D7A"/>
    <w:rsid w:val="007E627F"/>
    <w:rsid w:val="007E6AD3"/>
    <w:rsid w:val="007E72F2"/>
    <w:rsid w:val="007F1B0A"/>
    <w:rsid w:val="007F1CAA"/>
    <w:rsid w:val="007F26E9"/>
    <w:rsid w:val="007F33DE"/>
    <w:rsid w:val="007F3C15"/>
    <w:rsid w:val="007F500F"/>
    <w:rsid w:val="007F529D"/>
    <w:rsid w:val="007F542E"/>
    <w:rsid w:val="007F6011"/>
    <w:rsid w:val="007F6181"/>
    <w:rsid w:val="008005DA"/>
    <w:rsid w:val="00800D2F"/>
    <w:rsid w:val="00800EDF"/>
    <w:rsid w:val="008016CB"/>
    <w:rsid w:val="00801981"/>
    <w:rsid w:val="008023E7"/>
    <w:rsid w:val="008025C7"/>
    <w:rsid w:val="00802D3D"/>
    <w:rsid w:val="00803053"/>
    <w:rsid w:val="008032AE"/>
    <w:rsid w:val="00804C6E"/>
    <w:rsid w:val="00805D77"/>
    <w:rsid w:val="00805FD2"/>
    <w:rsid w:val="00806043"/>
    <w:rsid w:val="0080654A"/>
    <w:rsid w:val="00806D8B"/>
    <w:rsid w:val="00807990"/>
    <w:rsid w:val="00807E68"/>
    <w:rsid w:val="008100B6"/>
    <w:rsid w:val="00810B52"/>
    <w:rsid w:val="00810E4E"/>
    <w:rsid w:val="008115F2"/>
    <w:rsid w:val="00811990"/>
    <w:rsid w:val="00811992"/>
    <w:rsid w:val="00811A70"/>
    <w:rsid w:val="00812344"/>
    <w:rsid w:val="008127DE"/>
    <w:rsid w:val="00813168"/>
    <w:rsid w:val="00813BF2"/>
    <w:rsid w:val="0081433B"/>
    <w:rsid w:val="008150D5"/>
    <w:rsid w:val="008154C7"/>
    <w:rsid w:val="0081560B"/>
    <w:rsid w:val="008160CB"/>
    <w:rsid w:val="00816BAB"/>
    <w:rsid w:val="00817092"/>
    <w:rsid w:val="00817217"/>
    <w:rsid w:val="00820FEF"/>
    <w:rsid w:val="0082107B"/>
    <w:rsid w:val="00821087"/>
    <w:rsid w:val="008213A6"/>
    <w:rsid w:val="00821592"/>
    <w:rsid w:val="00821974"/>
    <w:rsid w:val="008220EC"/>
    <w:rsid w:val="00822AAC"/>
    <w:rsid w:val="008231F4"/>
    <w:rsid w:val="00823AC6"/>
    <w:rsid w:val="00824060"/>
    <w:rsid w:val="0082499B"/>
    <w:rsid w:val="00825CFF"/>
    <w:rsid w:val="008262A0"/>
    <w:rsid w:val="0082662E"/>
    <w:rsid w:val="00826BA5"/>
    <w:rsid w:val="00826F8B"/>
    <w:rsid w:val="0082785A"/>
    <w:rsid w:val="00827A52"/>
    <w:rsid w:val="00827B58"/>
    <w:rsid w:val="00827DBD"/>
    <w:rsid w:val="00830019"/>
    <w:rsid w:val="008301D4"/>
    <w:rsid w:val="008315DF"/>
    <w:rsid w:val="008316C3"/>
    <w:rsid w:val="00831D37"/>
    <w:rsid w:val="0083226C"/>
    <w:rsid w:val="0083241B"/>
    <w:rsid w:val="00832C2A"/>
    <w:rsid w:val="00832E3C"/>
    <w:rsid w:val="0083334C"/>
    <w:rsid w:val="00833DAC"/>
    <w:rsid w:val="0083502C"/>
    <w:rsid w:val="00835ED6"/>
    <w:rsid w:val="00836FA6"/>
    <w:rsid w:val="00840044"/>
    <w:rsid w:val="00840CE0"/>
    <w:rsid w:val="00842D8A"/>
    <w:rsid w:val="00842DE5"/>
    <w:rsid w:val="008437B1"/>
    <w:rsid w:val="00844D8D"/>
    <w:rsid w:val="00847574"/>
    <w:rsid w:val="00850DA4"/>
    <w:rsid w:val="00850E87"/>
    <w:rsid w:val="0085151E"/>
    <w:rsid w:val="008526CF"/>
    <w:rsid w:val="00852920"/>
    <w:rsid w:val="008530F4"/>
    <w:rsid w:val="00853D5E"/>
    <w:rsid w:val="008543B6"/>
    <w:rsid w:val="00854816"/>
    <w:rsid w:val="00854A15"/>
    <w:rsid w:val="008552BB"/>
    <w:rsid w:val="00855C2F"/>
    <w:rsid w:val="00855CF8"/>
    <w:rsid w:val="00857887"/>
    <w:rsid w:val="00860416"/>
    <w:rsid w:val="0086046F"/>
    <w:rsid w:val="00861349"/>
    <w:rsid w:val="008618D6"/>
    <w:rsid w:val="00861B9C"/>
    <w:rsid w:val="00861E75"/>
    <w:rsid w:val="008626F0"/>
    <w:rsid w:val="0086309F"/>
    <w:rsid w:val="008637B8"/>
    <w:rsid w:val="00863F24"/>
    <w:rsid w:val="00864DCF"/>
    <w:rsid w:val="008656D7"/>
    <w:rsid w:val="008657AC"/>
    <w:rsid w:val="008669C6"/>
    <w:rsid w:val="00866CC1"/>
    <w:rsid w:val="00867402"/>
    <w:rsid w:val="0086748A"/>
    <w:rsid w:val="00870236"/>
    <w:rsid w:val="0087049B"/>
    <w:rsid w:val="0087064C"/>
    <w:rsid w:val="00870BBF"/>
    <w:rsid w:val="008712E8"/>
    <w:rsid w:val="008723D1"/>
    <w:rsid w:val="00872918"/>
    <w:rsid w:val="00872D0C"/>
    <w:rsid w:val="00873D3A"/>
    <w:rsid w:val="00874C82"/>
    <w:rsid w:val="00874D41"/>
    <w:rsid w:val="00875E67"/>
    <w:rsid w:val="008762A4"/>
    <w:rsid w:val="0087736C"/>
    <w:rsid w:val="008775D1"/>
    <w:rsid w:val="00881AAC"/>
    <w:rsid w:val="00881C60"/>
    <w:rsid w:val="008824A9"/>
    <w:rsid w:val="008827AE"/>
    <w:rsid w:val="008834A4"/>
    <w:rsid w:val="00884E93"/>
    <w:rsid w:val="00885878"/>
    <w:rsid w:val="00885DD2"/>
    <w:rsid w:val="0088626A"/>
    <w:rsid w:val="00886BA8"/>
    <w:rsid w:val="008870B4"/>
    <w:rsid w:val="008875AF"/>
    <w:rsid w:val="00887A71"/>
    <w:rsid w:val="00887B8C"/>
    <w:rsid w:val="008906E5"/>
    <w:rsid w:val="008908EF"/>
    <w:rsid w:val="008909AA"/>
    <w:rsid w:val="00890B41"/>
    <w:rsid w:val="008916D7"/>
    <w:rsid w:val="00891BEE"/>
    <w:rsid w:val="00892ADE"/>
    <w:rsid w:val="00892B69"/>
    <w:rsid w:val="008931B4"/>
    <w:rsid w:val="00893587"/>
    <w:rsid w:val="00893A94"/>
    <w:rsid w:val="00894054"/>
    <w:rsid w:val="00895509"/>
    <w:rsid w:val="00895B19"/>
    <w:rsid w:val="00896545"/>
    <w:rsid w:val="0089663B"/>
    <w:rsid w:val="0089670C"/>
    <w:rsid w:val="008979FE"/>
    <w:rsid w:val="008A0EA4"/>
    <w:rsid w:val="008A159D"/>
    <w:rsid w:val="008A3125"/>
    <w:rsid w:val="008A31D6"/>
    <w:rsid w:val="008A3C0A"/>
    <w:rsid w:val="008A3E0B"/>
    <w:rsid w:val="008A42C6"/>
    <w:rsid w:val="008A45E6"/>
    <w:rsid w:val="008A5B21"/>
    <w:rsid w:val="008A5F8F"/>
    <w:rsid w:val="008A76A7"/>
    <w:rsid w:val="008A76CA"/>
    <w:rsid w:val="008A7A49"/>
    <w:rsid w:val="008B0320"/>
    <w:rsid w:val="008B07B6"/>
    <w:rsid w:val="008B0ECC"/>
    <w:rsid w:val="008B241A"/>
    <w:rsid w:val="008B3341"/>
    <w:rsid w:val="008B42CE"/>
    <w:rsid w:val="008B4F48"/>
    <w:rsid w:val="008B51DC"/>
    <w:rsid w:val="008B56B1"/>
    <w:rsid w:val="008B5916"/>
    <w:rsid w:val="008B69D3"/>
    <w:rsid w:val="008B6C41"/>
    <w:rsid w:val="008B7998"/>
    <w:rsid w:val="008B7F76"/>
    <w:rsid w:val="008C17BD"/>
    <w:rsid w:val="008C1958"/>
    <w:rsid w:val="008C1ACD"/>
    <w:rsid w:val="008C1B8F"/>
    <w:rsid w:val="008C1DCB"/>
    <w:rsid w:val="008C2EB9"/>
    <w:rsid w:val="008C300D"/>
    <w:rsid w:val="008C543E"/>
    <w:rsid w:val="008C69C2"/>
    <w:rsid w:val="008C70D3"/>
    <w:rsid w:val="008C72D4"/>
    <w:rsid w:val="008C7700"/>
    <w:rsid w:val="008D0BA5"/>
    <w:rsid w:val="008D0CC1"/>
    <w:rsid w:val="008D1065"/>
    <w:rsid w:val="008D1098"/>
    <w:rsid w:val="008D1622"/>
    <w:rsid w:val="008D240F"/>
    <w:rsid w:val="008D2E68"/>
    <w:rsid w:val="008D38A8"/>
    <w:rsid w:val="008D3EE2"/>
    <w:rsid w:val="008D5617"/>
    <w:rsid w:val="008D6072"/>
    <w:rsid w:val="008D6858"/>
    <w:rsid w:val="008D7350"/>
    <w:rsid w:val="008D762E"/>
    <w:rsid w:val="008D7C11"/>
    <w:rsid w:val="008E0DA8"/>
    <w:rsid w:val="008E11DC"/>
    <w:rsid w:val="008E321E"/>
    <w:rsid w:val="008E3358"/>
    <w:rsid w:val="008E3DD3"/>
    <w:rsid w:val="008E44CB"/>
    <w:rsid w:val="008E4F09"/>
    <w:rsid w:val="008E519B"/>
    <w:rsid w:val="008E569E"/>
    <w:rsid w:val="008E5EA7"/>
    <w:rsid w:val="008E6AD4"/>
    <w:rsid w:val="008E711D"/>
    <w:rsid w:val="008E7594"/>
    <w:rsid w:val="008E766F"/>
    <w:rsid w:val="008E7D16"/>
    <w:rsid w:val="008E7D51"/>
    <w:rsid w:val="008E7FFC"/>
    <w:rsid w:val="008F0D27"/>
    <w:rsid w:val="008F19B2"/>
    <w:rsid w:val="008F1E46"/>
    <w:rsid w:val="008F1EA6"/>
    <w:rsid w:val="008F2085"/>
    <w:rsid w:val="008F3A90"/>
    <w:rsid w:val="008F3EB3"/>
    <w:rsid w:val="008F43BA"/>
    <w:rsid w:val="008F53A0"/>
    <w:rsid w:val="008F5BA9"/>
    <w:rsid w:val="008F5D3A"/>
    <w:rsid w:val="008F5FF7"/>
    <w:rsid w:val="008F6A1C"/>
    <w:rsid w:val="009000E9"/>
    <w:rsid w:val="0090058F"/>
    <w:rsid w:val="00900859"/>
    <w:rsid w:val="00900D95"/>
    <w:rsid w:val="009010C7"/>
    <w:rsid w:val="00901C57"/>
    <w:rsid w:val="00901E31"/>
    <w:rsid w:val="009022A0"/>
    <w:rsid w:val="0090246C"/>
    <w:rsid w:val="00902DD9"/>
    <w:rsid w:val="0090363B"/>
    <w:rsid w:val="009041AA"/>
    <w:rsid w:val="00904794"/>
    <w:rsid w:val="00905164"/>
    <w:rsid w:val="00905775"/>
    <w:rsid w:val="00905C19"/>
    <w:rsid w:val="00905FF1"/>
    <w:rsid w:val="00906725"/>
    <w:rsid w:val="00906AA7"/>
    <w:rsid w:val="00907941"/>
    <w:rsid w:val="00907D37"/>
    <w:rsid w:val="009113AF"/>
    <w:rsid w:val="00911F17"/>
    <w:rsid w:val="00912D7D"/>
    <w:rsid w:val="00913FA1"/>
    <w:rsid w:val="00915151"/>
    <w:rsid w:val="0091554B"/>
    <w:rsid w:val="009168DD"/>
    <w:rsid w:val="009172F1"/>
    <w:rsid w:val="009176EA"/>
    <w:rsid w:val="00917DEC"/>
    <w:rsid w:val="009202F6"/>
    <w:rsid w:val="00920554"/>
    <w:rsid w:val="00920BE9"/>
    <w:rsid w:val="00922433"/>
    <w:rsid w:val="00922674"/>
    <w:rsid w:val="00923C53"/>
    <w:rsid w:val="009246D7"/>
    <w:rsid w:val="00925CE8"/>
    <w:rsid w:val="0092669E"/>
    <w:rsid w:val="00926C63"/>
    <w:rsid w:val="00927628"/>
    <w:rsid w:val="00930AA7"/>
    <w:rsid w:val="0093163F"/>
    <w:rsid w:val="0093181C"/>
    <w:rsid w:val="00932148"/>
    <w:rsid w:val="00932528"/>
    <w:rsid w:val="009326BD"/>
    <w:rsid w:val="009327FB"/>
    <w:rsid w:val="0093295D"/>
    <w:rsid w:val="00932BF2"/>
    <w:rsid w:val="00932D07"/>
    <w:rsid w:val="00933450"/>
    <w:rsid w:val="009340EF"/>
    <w:rsid w:val="00934B1D"/>
    <w:rsid w:val="00935752"/>
    <w:rsid w:val="00935783"/>
    <w:rsid w:val="009361C7"/>
    <w:rsid w:val="0093633E"/>
    <w:rsid w:val="00936C6C"/>
    <w:rsid w:val="00936D4D"/>
    <w:rsid w:val="0093726B"/>
    <w:rsid w:val="0093756C"/>
    <w:rsid w:val="0093788A"/>
    <w:rsid w:val="009405F1"/>
    <w:rsid w:val="00940FE2"/>
    <w:rsid w:val="00941544"/>
    <w:rsid w:val="00942D92"/>
    <w:rsid w:val="00943364"/>
    <w:rsid w:val="00943A9A"/>
    <w:rsid w:val="00944C00"/>
    <w:rsid w:val="00944FB6"/>
    <w:rsid w:val="009451C3"/>
    <w:rsid w:val="009476E2"/>
    <w:rsid w:val="00947E60"/>
    <w:rsid w:val="00947EC7"/>
    <w:rsid w:val="00950D4F"/>
    <w:rsid w:val="00950EF7"/>
    <w:rsid w:val="009515DA"/>
    <w:rsid w:val="009526F0"/>
    <w:rsid w:val="0095416E"/>
    <w:rsid w:val="00954BC5"/>
    <w:rsid w:val="0095509E"/>
    <w:rsid w:val="0095599A"/>
    <w:rsid w:val="009561A3"/>
    <w:rsid w:val="009562E9"/>
    <w:rsid w:val="00956C9C"/>
    <w:rsid w:val="0095730D"/>
    <w:rsid w:val="00960202"/>
    <w:rsid w:val="00960A4A"/>
    <w:rsid w:val="00961322"/>
    <w:rsid w:val="00961508"/>
    <w:rsid w:val="00961BDD"/>
    <w:rsid w:val="00961D33"/>
    <w:rsid w:val="0096261B"/>
    <w:rsid w:val="00962A9B"/>
    <w:rsid w:val="00963267"/>
    <w:rsid w:val="009640BF"/>
    <w:rsid w:val="009643AB"/>
    <w:rsid w:val="0096551B"/>
    <w:rsid w:val="009659E7"/>
    <w:rsid w:val="00965B78"/>
    <w:rsid w:val="009660C1"/>
    <w:rsid w:val="00966DDF"/>
    <w:rsid w:val="0096734F"/>
    <w:rsid w:val="009679B3"/>
    <w:rsid w:val="009679DA"/>
    <w:rsid w:val="009700A0"/>
    <w:rsid w:val="009711CA"/>
    <w:rsid w:val="009717D4"/>
    <w:rsid w:val="00972C29"/>
    <w:rsid w:val="00974062"/>
    <w:rsid w:val="00974BD0"/>
    <w:rsid w:val="009750F1"/>
    <w:rsid w:val="00975BDB"/>
    <w:rsid w:val="009763D7"/>
    <w:rsid w:val="0097652F"/>
    <w:rsid w:val="00977C3E"/>
    <w:rsid w:val="00982239"/>
    <w:rsid w:val="00982841"/>
    <w:rsid w:val="0098362F"/>
    <w:rsid w:val="009837CB"/>
    <w:rsid w:val="00983E6F"/>
    <w:rsid w:val="00984E21"/>
    <w:rsid w:val="00984F36"/>
    <w:rsid w:val="0098572D"/>
    <w:rsid w:val="009857B0"/>
    <w:rsid w:val="00985AB5"/>
    <w:rsid w:val="00985CF3"/>
    <w:rsid w:val="00985F29"/>
    <w:rsid w:val="00986BAB"/>
    <w:rsid w:val="0098737D"/>
    <w:rsid w:val="0099014E"/>
    <w:rsid w:val="009902E4"/>
    <w:rsid w:val="009924F7"/>
    <w:rsid w:val="00992654"/>
    <w:rsid w:val="009929E0"/>
    <w:rsid w:val="00992E78"/>
    <w:rsid w:val="0099311B"/>
    <w:rsid w:val="0099336B"/>
    <w:rsid w:val="009975E4"/>
    <w:rsid w:val="00997683"/>
    <w:rsid w:val="00997D63"/>
    <w:rsid w:val="009A022E"/>
    <w:rsid w:val="009A0238"/>
    <w:rsid w:val="009A0DCB"/>
    <w:rsid w:val="009A163C"/>
    <w:rsid w:val="009A18E6"/>
    <w:rsid w:val="009A1A07"/>
    <w:rsid w:val="009A2EBE"/>
    <w:rsid w:val="009A3083"/>
    <w:rsid w:val="009A31D0"/>
    <w:rsid w:val="009A33E8"/>
    <w:rsid w:val="009A49F2"/>
    <w:rsid w:val="009A4C13"/>
    <w:rsid w:val="009A5019"/>
    <w:rsid w:val="009A59C7"/>
    <w:rsid w:val="009A5D81"/>
    <w:rsid w:val="009A622D"/>
    <w:rsid w:val="009A6DD4"/>
    <w:rsid w:val="009A7382"/>
    <w:rsid w:val="009A7908"/>
    <w:rsid w:val="009A7A43"/>
    <w:rsid w:val="009B02C3"/>
    <w:rsid w:val="009B0602"/>
    <w:rsid w:val="009B08F5"/>
    <w:rsid w:val="009B0A08"/>
    <w:rsid w:val="009B286C"/>
    <w:rsid w:val="009B2ACB"/>
    <w:rsid w:val="009B2BE7"/>
    <w:rsid w:val="009B39AD"/>
    <w:rsid w:val="009B4B4A"/>
    <w:rsid w:val="009B4E4A"/>
    <w:rsid w:val="009B4ECD"/>
    <w:rsid w:val="009B5F00"/>
    <w:rsid w:val="009B6697"/>
    <w:rsid w:val="009B6A2B"/>
    <w:rsid w:val="009B6E38"/>
    <w:rsid w:val="009B6EAE"/>
    <w:rsid w:val="009C0B55"/>
    <w:rsid w:val="009C278C"/>
    <w:rsid w:val="009C316C"/>
    <w:rsid w:val="009C3482"/>
    <w:rsid w:val="009C3507"/>
    <w:rsid w:val="009C359B"/>
    <w:rsid w:val="009C3D9E"/>
    <w:rsid w:val="009C47B3"/>
    <w:rsid w:val="009C483E"/>
    <w:rsid w:val="009C4BDF"/>
    <w:rsid w:val="009C4E21"/>
    <w:rsid w:val="009C4F49"/>
    <w:rsid w:val="009C545F"/>
    <w:rsid w:val="009D01DA"/>
    <w:rsid w:val="009D0308"/>
    <w:rsid w:val="009D05E8"/>
    <w:rsid w:val="009D065F"/>
    <w:rsid w:val="009D0718"/>
    <w:rsid w:val="009D1675"/>
    <w:rsid w:val="009D3E0B"/>
    <w:rsid w:val="009D4D85"/>
    <w:rsid w:val="009D67FE"/>
    <w:rsid w:val="009D6862"/>
    <w:rsid w:val="009E1598"/>
    <w:rsid w:val="009E2258"/>
    <w:rsid w:val="009E23BE"/>
    <w:rsid w:val="009E249A"/>
    <w:rsid w:val="009E2CA2"/>
    <w:rsid w:val="009E34F2"/>
    <w:rsid w:val="009E44AD"/>
    <w:rsid w:val="009E5873"/>
    <w:rsid w:val="009E5CBE"/>
    <w:rsid w:val="009E5D38"/>
    <w:rsid w:val="009E620B"/>
    <w:rsid w:val="009E6578"/>
    <w:rsid w:val="009E65F2"/>
    <w:rsid w:val="009E662A"/>
    <w:rsid w:val="009E6AE1"/>
    <w:rsid w:val="009F13EF"/>
    <w:rsid w:val="009F181C"/>
    <w:rsid w:val="009F214D"/>
    <w:rsid w:val="009F371D"/>
    <w:rsid w:val="009F38D8"/>
    <w:rsid w:val="009F4466"/>
    <w:rsid w:val="009F4FFD"/>
    <w:rsid w:val="009F6368"/>
    <w:rsid w:val="009F69F0"/>
    <w:rsid w:val="009F76FC"/>
    <w:rsid w:val="00A006E1"/>
    <w:rsid w:val="00A00CE8"/>
    <w:rsid w:val="00A01602"/>
    <w:rsid w:val="00A01AA9"/>
    <w:rsid w:val="00A02A72"/>
    <w:rsid w:val="00A02B19"/>
    <w:rsid w:val="00A040E8"/>
    <w:rsid w:val="00A05F9D"/>
    <w:rsid w:val="00A06384"/>
    <w:rsid w:val="00A079C4"/>
    <w:rsid w:val="00A104E1"/>
    <w:rsid w:val="00A11E57"/>
    <w:rsid w:val="00A11FDF"/>
    <w:rsid w:val="00A124BE"/>
    <w:rsid w:val="00A128C7"/>
    <w:rsid w:val="00A1308A"/>
    <w:rsid w:val="00A13570"/>
    <w:rsid w:val="00A13634"/>
    <w:rsid w:val="00A1422F"/>
    <w:rsid w:val="00A1458D"/>
    <w:rsid w:val="00A168D8"/>
    <w:rsid w:val="00A16F32"/>
    <w:rsid w:val="00A170F7"/>
    <w:rsid w:val="00A17A17"/>
    <w:rsid w:val="00A17F21"/>
    <w:rsid w:val="00A17FA6"/>
    <w:rsid w:val="00A2029D"/>
    <w:rsid w:val="00A20E5E"/>
    <w:rsid w:val="00A218D8"/>
    <w:rsid w:val="00A2343D"/>
    <w:rsid w:val="00A23C27"/>
    <w:rsid w:val="00A24196"/>
    <w:rsid w:val="00A24E53"/>
    <w:rsid w:val="00A25298"/>
    <w:rsid w:val="00A256BD"/>
    <w:rsid w:val="00A26A8D"/>
    <w:rsid w:val="00A27741"/>
    <w:rsid w:val="00A27A90"/>
    <w:rsid w:val="00A30A49"/>
    <w:rsid w:val="00A30D95"/>
    <w:rsid w:val="00A3107F"/>
    <w:rsid w:val="00A31549"/>
    <w:rsid w:val="00A31DFF"/>
    <w:rsid w:val="00A31ED5"/>
    <w:rsid w:val="00A33001"/>
    <w:rsid w:val="00A33B78"/>
    <w:rsid w:val="00A34E26"/>
    <w:rsid w:val="00A357D2"/>
    <w:rsid w:val="00A35982"/>
    <w:rsid w:val="00A370B1"/>
    <w:rsid w:val="00A37A4C"/>
    <w:rsid w:val="00A37F36"/>
    <w:rsid w:val="00A37F53"/>
    <w:rsid w:val="00A4021D"/>
    <w:rsid w:val="00A43490"/>
    <w:rsid w:val="00A43790"/>
    <w:rsid w:val="00A43F86"/>
    <w:rsid w:val="00A451EB"/>
    <w:rsid w:val="00A456D8"/>
    <w:rsid w:val="00A4594B"/>
    <w:rsid w:val="00A45C5B"/>
    <w:rsid w:val="00A4661A"/>
    <w:rsid w:val="00A47A53"/>
    <w:rsid w:val="00A47D44"/>
    <w:rsid w:val="00A502D2"/>
    <w:rsid w:val="00A509BD"/>
    <w:rsid w:val="00A53D4C"/>
    <w:rsid w:val="00A53ECD"/>
    <w:rsid w:val="00A5485B"/>
    <w:rsid w:val="00A54A0C"/>
    <w:rsid w:val="00A54FBC"/>
    <w:rsid w:val="00A5512F"/>
    <w:rsid w:val="00A55448"/>
    <w:rsid w:val="00A5562C"/>
    <w:rsid w:val="00A55CFE"/>
    <w:rsid w:val="00A573D1"/>
    <w:rsid w:val="00A60394"/>
    <w:rsid w:val="00A6081C"/>
    <w:rsid w:val="00A60971"/>
    <w:rsid w:val="00A61339"/>
    <w:rsid w:val="00A62051"/>
    <w:rsid w:val="00A6282B"/>
    <w:rsid w:val="00A63177"/>
    <w:rsid w:val="00A6389C"/>
    <w:rsid w:val="00A63B02"/>
    <w:rsid w:val="00A63E3B"/>
    <w:rsid w:val="00A63EF2"/>
    <w:rsid w:val="00A6456B"/>
    <w:rsid w:val="00A64A3D"/>
    <w:rsid w:val="00A651DF"/>
    <w:rsid w:val="00A661E5"/>
    <w:rsid w:val="00A664AA"/>
    <w:rsid w:val="00A666DA"/>
    <w:rsid w:val="00A66915"/>
    <w:rsid w:val="00A66CDD"/>
    <w:rsid w:val="00A670BC"/>
    <w:rsid w:val="00A67591"/>
    <w:rsid w:val="00A67C20"/>
    <w:rsid w:val="00A70002"/>
    <w:rsid w:val="00A7003A"/>
    <w:rsid w:val="00A70223"/>
    <w:rsid w:val="00A71A4E"/>
    <w:rsid w:val="00A71AD7"/>
    <w:rsid w:val="00A724BF"/>
    <w:rsid w:val="00A73163"/>
    <w:rsid w:val="00A73BD7"/>
    <w:rsid w:val="00A74AA9"/>
    <w:rsid w:val="00A75633"/>
    <w:rsid w:val="00A75CA2"/>
    <w:rsid w:val="00A765A7"/>
    <w:rsid w:val="00A76ED6"/>
    <w:rsid w:val="00A77C1A"/>
    <w:rsid w:val="00A80522"/>
    <w:rsid w:val="00A806A0"/>
    <w:rsid w:val="00A81033"/>
    <w:rsid w:val="00A81BAE"/>
    <w:rsid w:val="00A81F2F"/>
    <w:rsid w:val="00A82719"/>
    <w:rsid w:val="00A82A6A"/>
    <w:rsid w:val="00A82F99"/>
    <w:rsid w:val="00A83620"/>
    <w:rsid w:val="00A838F8"/>
    <w:rsid w:val="00A83A97"/>
    <w:rsid w:val="00A84913"/>
    <w:rsid w:val="00A85DA5"/>
    <w:rsid w:val="00A861FD"/>
    <w:rsid w:val="00A86615"/>
    <w:rsid w:val="00A86C8C"/>
    <w:rsid w:val="00A86EFB"/>
    <w:rsid w:val="00A87C6E"/>
    <w:rsid w:val="00A87D6D"/>
    <w:rsid w:val="00A87FBF"/>
    <w:rsid w:val="00A90047"/>
    <w:rsid w:val="00A90F7C"/>
    <w:rsid w:val="00A91489"/>
    <w:rsid w:val="00A915D2"/>
    <w:rsid w:val="00A92297"/>
    <w:rsid w:val="00A92D9F"/>
    <w:rsid w:val="00A92F65"/>
    <w:rsid w:val="00A9358B"/>
    <w:rsid w:val="00A936D7"/>
    <w:rsid w:val="00A93C2E"/>
    <w:rsid w:val="00A95750"/>
    <w:rsid w:val="00A962AB"/>
    <w:rsid w:val="00A962DF"/>
    <w:rsid w:val="00A9685F"/>
    <w:rsid w:val="00AA095E"/>
    <w:rsid w:val="00AA0AB0"/>
    <w:rsid w:val="00AA0C50"/>
    <w:rsid w:val="00AA18B8"/>
    <w:rsid w:val="00AA3F2E"/>
    <w:rsid w:val="00AA3FED"/>
    <w:rsid w:val="00AA43BA"/>
    <w:rsid w:val="00AA5D0B"/>
    <w:rsid w:val="00AA71E1"/>
    <w:rsid w:val="00AA7E80"/>
    <w:rsid w:val="00AB02B3"/>
    <w:rsid w:val="00AB065F"/>
    <w:rsid w:val="00AB0C50"/>
    <w:rsid w:val="00AB13E2"/>
    <w:rsid w:val="00AB156E"/>
    <w:rsid w:val="00AB252B"/>
    <w:rsid w:val="00AB25F3"/>
    <w:rsid w:val="00AB3201"/>
    <w:rsid w:val="00AB3DF5"/>
    <w:rsid w:val="00AB5777"/>
    <w:rsid w:val="00AB6108"/>
    <w:rsid w:val="00AB6618"/>
    <w:rsid w:val="00AB66A2"/>
    <w:rsid w:val="00AB69F5"/>
    <w:rsid w:val="00AB6EF2"/>
    <w:rsid w:val="00AB6F58"/>
    <w:rsid w:val="00AC1CBD"/>
    <w:rsid w:val="00AC285B"/>
    <w:rsid w:val="00AC2864"/>
    <w:rsid w:val="00AC2A07"/>
    <w:rsid w:val="00AC2F52"/>
    <w:rsid w:val="00AC310D"/>
    <w:rsid w:val="00AC4E2E"/>
    <w:rsid w:val="00AC586C"/>
    <w:rsid w:val="00AC5A6F"/>
    <w:rsid w:val="00AC6925"/>
    <w:rsid w:val="00AC6DDC"/>
    <w:rsid w:val="00AC76DD"/>
    <w:rsid w:val="00AD0102"/>
    <w:rsid w:val="00AD0EE0"/>
    <w:rsid w:val="00AD27E2"/>
    <w:rsid w:val="00AD3A2D"/>
    <w:rsid w:val="00AD3D07"/>
    <w:rsid w:val="00AD4802"/>
    <w:rsid w:val="00AD4F7D"/>
    <w:rsid w:val="00AD556F"/>
    <w:rsid w:val="00AD6084"/>
    <w:rsid w:val="00AD6636"/>
    <w:rsid w:val="00AE042B"/>
    <w:rsid w:val="00AE045E"/>
    <w:rsid w:val="00AE1130"/>
    <w:rsid w:val="00AE113C"/>
    <w:rsid w:val="00AE15CD"/>
    <w:rsid w:val="00AE2A19"/>
    <w:rsid w:val="00AE3336"/>
    <w:rsid w:val="00AE41AA"/>
    <w:rsid w:val="00AE4E61"/>
    <w:rsid w:val="00AE4F3D"/>
    <w:rsid w:val="00AE5976"/>
    <w:rsid w:val="00AE6089"/>
    <w:rsid w:val="00AE6154"/>
    <w:rsid w:val="00AE67ED"/>
    <w:rsid w:val="00AE78EE"/>
    <w:rsid w:val="00AF10FF"/>
    <w:rsid w:val="00AF18A2"/>
    <w:rsid w:val="00AF2A35"/>
    <w:rsid w:val="00AF2E55"/>
    <w:rsid w:val="00AF4FB6"/>
    <w:rsid w:val="00AF522E"/>
    <w:rsid w:val="00AF5CCE"/>
    <w:rsid w:val="00AF5FB6"/>
    <w:rsid w:val="00AF6354"/>
    <w:rsid w:val="00AF6A7A"/>
    <w:rsid w:val="00AF7093"/>
    <w:rsid w:val="00AF7687"/>
    <w:rsid w:val="00AF79FF"/>
    <w:rsid w:val="00AF7EFB"/>
    <w:rsid w:val="00B00C80"/>
    <w:rsid w:val="00B02445"/>
    <w:rsid w:val="00B03A85"/>
    <w:rsid w:val="00B04042"/>
    <w:rsid w:val="00B04095"/>
    <w:rsid w:val="00B0417F"/>
    <w:rsid w:val="00B049FF"/>
    <w:rsid w:val="00B04D30"/>
    <w:rsid w:val="00B05E4B"/>
    <w:rsid w:val="00B061A8"/>
    <w:rsid w:val="00B101D5"/>
    <w:rsid w:val="00B10998"/>
    <w:rsid w:val="00B11D60"/>
    <w:rsid w:val="00B11FC1"/>
    <w:rsid w:val="00B1260B"/>
    <w:rsid w:val="00B126ED"/>
    <w:rsid w:val="00B1324D"/>
    <w:rsid w:val="00B13267"/>
    <w:rsid w:val="00B14127"/>
    <w:rsid w:val="00B15181"/>
    <w:rsid w:val="00B1519D"/>
    <w:rsid w:val="00B15366"/>
    <w:rsid w:val="00B1570C"/>
    <w:rsid w:val="00B15E24"/>
    <w:rsid w:val="00B15E9B"/>
    <w:rsid w:val="00B16B69"/>
    <w:rsid w:val="00B16D60"/>
    <w:rsid w:val="00B16EED"/>
    <w:rsid w:val="00B20236"/>
    <w:rsid w:val="00B20939"/>
    <w:rsid w:val="00B219CC"/>
    <w:rsid w:val="00B227AF"/>
    <w:rsid w:val="00B22D08"/>
    <w:rsid w:val="00B22EAD"/>
    <w:rsid w:val="00B23990"/>
    <w:rsid w:val="00B23A70"/>
    <w:rsid w:val="00B23DB5"/>
    <w:rsid w:val="00B23E2E"/>
    <w:rsid w:val="00B248FF"/>
    <w:rsid w:val="00B25CFA"/>
    <w:rsid w:val="00B26CE2"/>
    <w:rsid w:val="00B26F58"/>
    <w:rsid w:val="00B27117"/>
    <w:rsid w:val="00B276D2"/>
    <w:rsid w:val="00B27C33"/>
    <w:rsid w:val="00B3000D"/>
    <w:rsid w:val="00B30A99"/>
    <w:rsid w:val="00B30E61"/>
    <w:rsid w:val="00B30F80"/>
    <w:rsid w:val="00B315B6"/>
    <w:rsid w:val="00B319F2"/>
    <w:rsid w:val="00B31AF0"/>
    <w:rsid w:val="00B31E8A"/>
    <w:rsid w:val="00B325C4"/>
    <w:rsid w:val="00B32F0E"/>
    <w:rsid w:val="00B3391C"/>
    <w:rsid w:val="00B33EA1"/>
    <w:rsid w:val="00B34126"/>
    <w:rsid w:val="00B343B0"/>
    <w:rsid w:val="00B357D0"/>
    <w:rsid w:val="00B35B31"/>
    <w:rsid w:val="00B360D9"/>
    <w:rsid w:val="00B36416"/>
    <w:rsid w:val="00B374DD"/>
    <w:rsid w:val="00B4143F"/>
    <w:rsid w:val="00B419CA"/>
    <w:rsid w:val="00B422C7"/>
    <w:rsid w:val="00B42E49"/>
    <w:rsid w:val="00B448E6"/>
    <w:rsid w:val="00B448F5"/>
    <w:rsid w:val="00B457DA"/>
    <w:rsid w:val="00B459B4"/>
    <w:rsid w:val="00B46B3D"/>
    <w:rsid w:val="00B46C0D"/>
    <w:rsid w:val="00B502DA"/>
    <w:rsid w:val="00B5076B"/>
    <w:rsid w:val="00B50A5A"/>
    <w:rsid w:val="00B51981"/>
    <w:rsid w:val="00B5198A"/>
    <w:rsid w:val="00B51BB0"/>
    <w:rsid w:val="00B51D51"/>
    <w:rsid w:val="00B527E4"/>
    <w:rsid w:val="00B52AB8"/>
    <w:rsid w:val="00B533CA"/>
    <w:rsid w:val="00B5377C"/>
    <w:rsid w:val="00B5397D"/>
    <w:rsid w:val="00B53D77"/>
    <w:rsid w:val="00B541C6"/>
    <w:rsid w:val="00B54273"/>
    <w:rsid w:val="00B5457D"/>
    <w:rsid w:val="00B54DDD"/>
    <w:rsid w:val="00B55274"/>
    <w:rsid w:val="00B55804"/>
    <w:rsid w:val="00B55B31"/>
    <w:rsid w:val="00B55B9B"/>
    <w:rsid w:val="00B55EC3"/>
    <w:rsid w:val="00B56045"/>
    <w:rsid w:val="00B606A5"/>
    <w:rsid w:val="00B60EB2"/>
    <w:rsid w:val="00B61527"/>
    <w:rsid w:val="00B62437"/>
    <w:rsid w:val="00B64527"/>
    <w:rsid w:val="00B66843"/>
    <w:rsid w:val="00B668E6"/>
    <w:rsid w:val="00B668F1"/>
    <w:rsid w:val="00B66CDF"/>
    <w:rsid w:val="00B7064F"/>
    <w:rsid w:val="00B71EA3"/>
    <w:rsid w:val="00B7208D"/>
    <w:rsid w:val="00B7235C"/>
    <w:rsid w:val="00B7238E"/>
    <w:rsid w:val="00B7251D"/>
    <w:rsid w:val="00B7265E"/>
    <w:rsid w:val="00B73252"/>
    <w:rsid w:val="00B740A5"/>
    <w:rsid w:val="00B751CC"/>
    <w:rsid w:val="00B751D8"/>
    <w:rsid w:val="00B7520C"/>
    <w:rsid w:val="00B763B4"/>
    <w:rsid w:val="00B77160"/>
    <w:rsid w:val="00B77311"/>
    <w:rsid w:val="00B8015B"/>
    <w:rsid w:val="00B801B2"/>
    <w:rsid w:val="00B81746"/>
    <w:rsid w:val="00B818A2"/>
    <w:rsid w:val="00B821B3"/>
    <w:rsid w:val="00B82CD4"/>
    <w:rsid w:val="00B83025"/>
    <w:rsid w:val="00B8332C"/>
    <w:rsid w:val="00B83D25"/>
    <w:rsid w:val="00B83DAB"/>
    <w:rsid w:val="00B84175"/>
    <w:rsid w:val="00B8436C"/>
    <w:rsid w:val="00B84FD9"/>
    <w:rsid w:val="00B85525"/>
    <w:rsid w:val="00B85AAA"/>
    <w:rsid w:val="00B85C79"/>
    <w:rsid w:val="00B85DB9"/>
    <w:rsid w:val="00B85DF9"/>
    <w:rsid w:val="00B85E9F"/>
    <w:rsid w:val="00B86448"/>
    <w:rsid w:val="00B8650F"/>
    <w:rsid w:val="00B86D1A"/>
    <w:rsid w:val="00B87F7E"/>
    <w:rsid w:val="00B9233A"/>
    <w:rsid w:val="00B92455"/>
    <w:rsid w:val="00B9270A"/>
    <w:rsid w:val="00B92D2D"/>
    <w:rsid w:val="00B93213"/>
    <w:rsid w:val="00B9362C"/>
    <w:rsid w:val="00B93741"/>
    <w:rsid w:val="00B93C77"/>
    <w:rsid w:val="00B93DCA"/>
    <w:rsid w:val="00B93E88"/>
    <w:rsid w:val="00B94462"/>
    <w:rsid w:val="00B9447C"/>
    <w:rsid w:val="00B9492D"/>
    <w:rsid w:val="00B94C88"/>
    <w:rsid w:val="00B952A2"/>
    <w:rsid w:val="00B9571F"/>
    <w:rsid w:val="00B957CF"/>
    <w:rsid w:val="00B9594B"/>
    <w:rsid w:val="00B95F80"/>
    <w:rsid w:val="00B96185"/>
    <w:rsid w:val="00B964C0"/>
    <w:rsid w:val="00B97DF5"/>
    <w:rsid w:val="00BA0532"/>
    <w:rsid w:val="00BA083C"/>
    <w:rsid w:val="00BA0FF9"/>
    <w:rsid w:val="00BA31FB"/>
    <w:rsid w:val="00BA432B"/>
    <w:rsid w:val="00BA50BB"/>
    <w:rsid w:val="00BA5199"/>
    <w:rsid w:val="00BA5DC2"/>
    <w:rsid w:val="00BA6D29"/>
    <w:rsid w:val="00BA7A49"/>
    <w:rsid w:val="00BB0007"/>
    <w:rsid w:val="00BB01C4"/>
    <w:rsid w:val="00BB0336"/>
    <w:rsid w:val="00BB0777"/>
    <w:rsid w:val="00BB0A9B"/>
    <w:rsid w:val="00BB102D"/>
    <w:rsid w:val="00BB1C1B"/>
    <w:rsid w:val="00BB24C0"/>
    <w:rsid w:val="00BB2949"/>
    <w:rsid w:val="00BB3217"/>
    <w:rsid w:val="00BB385C"/>
    <w:rsid w:val="00BB3909"/>
    <w:rsid w:val="00BB3AF3"/>
    <w:rsid w:val="00BB3C02"/>
    <w:rsid w:val="00BB3ED0"/>
    <w:rsid w:val="00BB4C70"/>
    <w:rsid w:val="00BB4CC5"/>
    <w:rsid w:val="00BB4EE2"/>
    <w:rsid w:val="00BB534A"/>
    <w:rsid w:val="00BB5586"/>
    <w:rsid w:val="00BB652D"/>
    <w:rsid w:val="00BB6C53"/>
    <w:rsid w:val="00BB7BD2"/>
    <w:rsid w:val="00BC037D"/>
    <w:rsid w:val="00BC1182"/>
    <w:rsid w:val="00BC211F"/>
    <w:rsid w:val="00BC2202"/>
    <w:rsid w:val="00BC2523"/>
    <w:rsid w:val="00BC2806"/>
    <w:rsid w:val="00BC2FEF"/>
    <w:rsid w:val="00BC4192"/>
    <w:rsid w:val="00BC68FE"/>
    <w:rsid w:val="00BC7B71"/>
    <w:rsid w:val="00BC7FD5"/>
    <w:rsid w:val="00BD10C6"/>
    <w:rsid w:val="00BD13F4"/>
    <w:rsid w:val="00BD2791"/>
    <w:rsid w:val="00BD2BC4"/>
    <w:rsid w:val="00BD2E2A"/>
    <w:rsid w:val="00BD2EEA"/>
    <w:rsid w:val="00BD2FCD"/>
    <w:rsid w:val="00BD3580"/>
    <w:rsid w:val="00BD39FA"/>
    <w:rsid w:val="00BD3BEF"/>
    <w:rsid w:val="00BD4316"/>
    <w:rsid w:val="00BD4E77"/>
    <w:rsid w:val="00BD56FF"/>
    <w:rsid w:val="00BD5DEC"/>
    <w:rsid w:val="00BD6DF1"/>
    <w:rsid w:val="00BD71AC"/>
    <w:rsid w:val="00BD7562"/>
    <w:rsid w:val="00BE00B2"/>
    <w:rsid w:val="00BE0116"/>
    <w:rsid w:val="00BE019D"/>
    <w:rsid w:val="00BE33E6"/>
    <w:rsid w:val="00BE3587"/>
    <w:rsid w:val="00BE36D9"/>
    <w:rsid w:val="00BE3BE7"/>
    <w:rsid w:val="00BE4259"/>
    <w:rsid w:val="00BE46CF"/>
    <w:rsid w:val="00BE4986"/>
    <w:rsid w:val="00BE5B25"/>
    <w:rsid w:val="00BE5F41"/>
    <w:rsid w:val="00BE7102"/>
    <w:rsid w:val="00BE7CC8"/>
    <w:rsid w:val="00BF123C"/>
    <w:rsid w:val="00BF1403"/>
    <w:rsid w:val="00BF1D91"/>
    <w:rsid w:val="00BF2410"/>
    <w:rsid w:val="00BF264E"/>
    <w:rsid w:val="00BF2CD6"/>
    <w:rsid w:val="00BF4183"/>
    <w:rsid w:val="00BF4DF2"/>
    <w:rsid w:val="00BF65EB"/>
    <w:rsid w:val="00BF6B63"/>
    <w:rsid w:val="00BF6B73"/>
    <w:rsid w:val="00BF7237"/>
    <w:rsid w:val="00BF747B"/>
    <w:rsid w:val="00BF7FC4"/>
    <w:rsid w:val="00C0026F"/>
    <w:rsid w:val="00C01021"/>
    <w:rsid w:val="00C0198D"/>
    <w:rsid w:val="00C0207C"/>
    <w:rsid w:val="00C0210B"/>
    <w:rsid w:val="00C0212D"/>
    <w:rsid w:val="00C02241"/>
    <w:rsid w:val="00C043E6"/>
    <w:rsid w:val="00C0512E"/>
    <w:rsid w:val="00C063B5"/>
    <w:rsid w:val="00C066CF"/>
    <w:rsid w:val="00C075B1"/>
    <w:rsid w:val="00C075BA"/>
    <w:rsid w:val="00C07B06"/>
    <w:rsid w:val="00C103F5"/>
    <w:rsid w:val="00C11478"/>
    <w:rsid w:val="00C1194E"/>
    <w:rsid w:val="00C12310"/>
    <w:rsid w:val="00C12368"/>
    <w:rsid w:val="00C12824"/>
    <w:rsid w:val="00C12C9B"/>
    <w:rsid w:val="00C130F4"/>
    <w:rsid w:val="00C13854"/>
    <w:rsid w:val="00C13908"/>
    <w:rsid w:val="00C150B1"/>
    <w:rsid w:val="00C150C2"/>
    <w:rsid w:val="00C1527E"/>
    <w:rsid w:val="00C15E8D"/>
    <w:rsid w:val="00C16144"/>
    <w:rsid w:val="00C16DA9"/>
    <w:rsid w:val="00C16DB3"/>
    <w:rsid w:val="00C16EC5"/>
    <w:rsid w:val="00C16F99"/>
    <w:rsid w:val="00C17031"/>
    <w:rsid w:val="00C20122"/>
    <w:rsid w:val="00C20CE3"/>
    <w:rsid w:val="00C2139E"/>
    <w:rsid w:val="00C22036"/>
    <w:rsid w:val="00C22648"/>
    <w:rsid w:val="00C22980"/>
    <w:rsid w:val="00C22989"/>
    <w:rsid w:val="00C23092"/>
    <w:rsid w:val="00C23CA3"/>
    <w:rsid w:val="00C23DA8"/>
    <w:rsid w:val="00C24AA3"/>
    <w:rsid w:val="00C252E2"/>
    <w:rsid w:val="00C25F3C"/>
    <w:rsid w:val="00C263BD"/>
    <w:rsid w:val="00C277DC"/>
    <w:rsid w:val="00C3013A"/>
    <w:rsid w:val="00C303A8"/>
    <w:rsid w:val="00C31E32"/>
    <w:rsid w:val="00C333E8"/>
    <w:rsid w:val="00C34D37"/>
    <w:rsid w:val="00C34DD3"/>
    <w:rsid w:val="00C34F77"/>
    <w:rsid w:val="00C354F6"/>
    <w:rsid w:val="00C371EB"/>
    <w:rsid w:val="00C376F0"/>
    <w:rsid w:val="00C4091E"/>
    <w:rsid w:val="00C40E04"/>
    <w:rsid w:val="00C415DB"/>
    <w:rsid w:val="00C417AD"/>
    <w:rsid w:val="00C4194D"/>
    <w:rsid w:val="00C41C2B"/>
    <w:rsid w:val="00C41F83"/>
    <w:rsid w:val="00C4210E"/>
    <w:rsid w:val="00C4264A"/>
    <w:rsid w:val="00C42E1B"/>
    <w:rsid w:val="00C42E20"/>
    <w:rsid w:val="00C434CE"/>
    <w:rsid w:val="00C4363F"/>
    <w:rsid w:val="00C439C7"/>
    <w:rsid w:val="00C43C60"/>
    <w:rsid w:val="00C43CCC"/>
    <w:rsid w:val="00C45622"/>
    <w:rsid w:val="00C4605C"/>
    <w:rsid w:val="00C46229"/>
    <w:rsid w:val="00C466E2"/>
    <w:rsid w:val="00C467F5"/>
    <w:rsid w:val="00C46A45"/>
    <w:rsid w:val="00C507C9"/>
    <w:rsid w:val="00C51075"/>
    <w:rsid w:val="00C51CA6"/>
    <w:rsid w:val="00C51CF3"/>
    <w:rsid w:val="00C5244B"/>
    <w:rsid w:val="00C526EF"/>
    <w:rsid w:val="00C52E30"/>
    <w:rsid w:val="00C53159"/>
    <w:rsid w:val="00C53331"/>
    <w:rsid w:val="00C53D18"/>
    <w:rsid w:val="00C5442B"/>
    <w:rsid w:val="00C56434"/>
    <w:rsid w:val="00C56CFB"/>
    <w:rsid w:val="00C57305"/>
    <w:rsid w:val="00C57917"/>
    <w:rsid w:val="00C57DA1"/>
    <w:rsid w:val="00C6031A"/>
    <w:rsid w:val="00C61D85"/>
    <w:rsid w:val="00C62460"/>
    <w:rsid w:val="00C626A0"/>
    <w:rsid w:val="00C62D55"/>
    <w:rsid w:val="00C63873"/>
    <w:rsid w:val="00C63E1C"/>
    <w:rsid w:val="00C64580"/>
    <w:rsid w:val="00C64C78"/>
    <w:rsid w:val="00C6511D"/>
    <w:rsid w:val="00C6526E"/>
    <w:rsid w:val="00C653B0"/>
    <w:rsid w:val="00C662F3"/>
    <w:rsid w:val="00C6660B"/>
    <w:rsid w:val="00C67341"/>
    <w:rsid w:val="00C7091D"/>
    <w:rsid w:val="00C71DE1"/>
    <w:rsid w:val="00C7319A"/>
    <w:rsid w:val="00C73745"/>
    <w:rsid w:val="00C739FE"/>
    <w:rsid w:val="00C7404D"/>
    <w:rsid w:val="00C75704"/>
    <w:rsid w:val="00C75A9E"/>
    <w:rsid w:val="00C8019A"/>
    <w:rsid w:val="00C80D2A"/>
    <w:rsid w:val="00C80F29"/>
    <w:rsid w:val="00C81C86"/>
    <w:rsid w:val="00C8339F"/>
    <w:rsid w:val="00C8384C"/>
    <w:rsid w:val="00C83A9D"/>
    <w:rsid w:val="00C8427E"/>
    <w:rsid w:val="00C84361"/>
    <w:rsid w:val="00C84CE7"/>
    <w:rsid w:val="00C850BA"/>
    <w:rsid w:val="00C854DE"/>
    <w:rsid w:val="00C85578"/>
    <w:rsid w:val="00C8616D"/>
    <w:rsid w:val="00C8711A"/>
    <w:rsid w:val="00C9042A"/>
    <w:rsid w:val="00C90BBF"/>
    <w:rsid w:val="00C90EB1"/>
    <w:rsid w:val="00C91224"/>
    <w:rsid w:val="00C912B2"/>
    <w:rsid w:val="00C914A0"/>
    <w:rsid w:val="00C915E1"/>
    <w:rsid w:val="00C92170"/>
    <w:rsid w:val="00C9325F"/>
    <w:rsid w:val="00C9344D"/>
    <w:rsid w:val="00C94539"/>
    <w:rsid w:val="00C94E8F"/>
    <w:rsid w:val="00C972A4"/>
    <w:rsid w:val="00C97365"/>
    <w:rsid w:val="00C97C85"/>
    <w:rsid w:val="00CA0279"/>
    <w:rsid w:val="00CA0C18"/>
    <w:rsid w:val="00CA0CB9"/>
    <w:rsid w:val="00CA0FD9"/>
    <w:rsid w:val="00CA1383"/>
    <w:rsid w:val="00CA2A1F"/>
    <w:rsid w:val="00CA2BCC"/>
    <w:rsid w:val="00CA2F6B"/>
    <w:rsid w:val="00CA30CF"/>
    <w:rsid w:val="00CA3623"/>
    <w:rsid w:val="00CA464C"/>
    <w:rsid w:val="00CA4756"/>
    <w:rsid w:val="00CA4B80"/>
    <w:rsid w:val="00CA4B91"/>
    <w:rsid w:val="00CA53E0"/>
    <w:rsid w:val="00CA61CE"/>
    <w:rsid w:val="00CA6280"/>
    <w:rsid w:val="00CA7A97"/>
    <w:rsid w:val="00CB0254"/>
    <w:rsid w:val="00CB04D1"/>
    <w:rsid w:val="00CB17AC"/>
    <w:rsid w:val="00CB207F"/>
    <w:rsid w:val="00CB21E6"/>
    <w:rsid w:val="00CB2B82"/>
    <w:rsid w:val="00CB2BA7"/>
    <w:rsid w:val="00CB36FE"/>
    <w:rsid w:val="00CB4966"/>
    <w:rsid w:val="00CB5376"/>
    <w:rsid w:val="00CB6558"/>
    <w:rsid w:val="00CB6A63"/>
    <w:rsid w:val="00CB705E"/>
    <w:rsid w:val="00CB721A"/>
    <w:rsid w:val="00CB7285"/>
    <w:rsid w:val="00CB75CB"/>
    <w:rsid w:val="00CB7C2C"/>
    <w:rsid w:val="00CB7C94"/>
    <w:rsid w:val="00CC0137"/>
    <w:rsid w:val="00CC049A"/>
    <w:rsid w:val="00CC10AE"/>
    <w:rsid w:val="00CC1A7F"/>
    <w:rsid w:val="00CC30CF"/>
    <w:rsid w:val="00CC339F"/>
    <w:rsid w:val="00CC3942"/>
    <w:rsid w:val="00CC4A04"/>
    <w:rsid w:val="00CC4BE2"/>
    <w:rsid w:val="00CC4E94"/>
    <w:rsid w:val="00CC5353"/>
    <w:rsid w:val="00CC54DA"/>
    <w:rsid w:val="00CC5F30"/>
    <w:rsid w:val="00CC61DB"/>
    <w:rsid w:val="00CC625F"/>
    <w:rsid w:val="00CC6293"/>
    <w:rsid w:val="00CD0366"/>
    <w:rsid w:val="00CD0A04"/>
    <w:rsid w:val="00CD158E"/>
    <w:rsid w:val="00CD1CD9"/>
    <w:rsid w:val="00CD2004"/>
    <w:rsid w:val="00CD21E2"/>
    <w:rsid w:val="00CD2E57"/>
    <w:rsid w:val="00CD4181"/>
    <w:rsid w:val="00CD56EA"/>
    <w:rsid w:val="00CD5A65"/>
    <w:rsid w:val="00CD5D03"/>
    <w:rsid w:val="00CD6302"/>
    <w:rsid w:val="00CD6408"/>
    <w:rsid w:val="00CD6D2D"/>
    <w:rsid w:val="00CD7947"/>
    <w:rsid w:val="00CE0530"/>
    <w:rsid w:val="00CE0C75"/>
    <w:rsid w:val="00CE1179"/>
    <w:rsid w:val="00CE133C"/>
    <w:rsid w:val="00CE1496"/>
    <w:rsid w:val="00CE151B"/>
    <w:rsid w:val="00CE1B58"/>
    <w:rsid w:val="00CE1C00"/>
    <w:rsid w:val="00CE35B1"/>
    <w:rsid w:val="00CE3742"/>
    <w:rsid w:val="00CE3E1F"/>
    <w:rsid w:val="00CE48F8"/>
    <w:rsid w:val="00CE5D31"/>
    <w:rsid w:val="00CE5E99"/>
    <w:rsid w:val="00CE63C1"/>
    <w:rsid w:val="00CE68C3"/>
    <w:rsid w:val="00CF0010"/>
    <w:rsid w:val="00CF06AD"/>
    <w:rsid w:val="00CF0781"/>
    <w:rsid w:val="00CF12BF"/>
    <w:rsid w:val="00CF1EDF"/>
    <w:rsid w:val="00CF1F8F"/>
    <w:rsid w:val="00CF2351"/>
    <w:rsid w:val="00CF34D6"/>
    <w:rsid w:val="00CF35E2"/>
    <w:rsid w:val="00CF4415"/>
    <w:rsid w:val="00CF4436"/>
    <w:rsid w:val="00CF49C8"/>
    <w:rsid w:val="00CF4AB7"/>
    <w:rsid w:val="00CF4DFA"/>
    <w:rsid w:val="00CF5173"/>
    <w:rsid w:val="00CF5180"/>
    <w:rsid w:val="00CF53F4"/>
    <w:rsid w:val="00CF56A6"/>
    <w:rsid w:val="00CF5F69"/>
    <w:rsid w:val="00CF624A"/>
    <w:rsid w:val="00CF7066"/>
    <w:rsid w:val="00D00A36"/>
    <w:rsid w:val="00D00E2E"/>
    <w:rsid w:val="00D01231"/>
    <w:rsid w:val="00D02646"/>
    <w:rsid w:val="00D0342C"/>
    <w:rsid w:val="00D034B5"/>
    <w:rsid w:val="00D03877"/>
    <w:rsid w:val="00D0388A"/>
    <w:rsid w:val="00D04E4D"/>
    <w:rsid w:val="00D054C1"/>
    <w:rsid w:val="00D05857"/>
    <w:rsid w:val="00D0585C"/>
    <w:rsid w:val="00D05CEA"/>
    <w:rsid w:val="00D06072"/>
    <w:rsid w:val="00D07AF6"/>
    <w:rsid w:val="00D07C01"/>
    <w:rsid w:val="00D07D1C"/>
    <w:rsid w:val="00D103DA"/>
    <w:rsid w:val="00D10511"/>
    <w:rsid w:val="00D109FE"/>
    <w:rsid w:val="00D117B1"/>
    <w:rsid w:val="00D12765"/>
    <w:rsid w:val="00D12F8A"/>
    <w:rsid w:val="00D134AA"/>
    <w:rsid w:val="00D135B0"/>
    <w:rsid w:val="00D13B53"/>
    <w:rsid w:val="00D14161"/>
    <w:rsid w:val="00D14345"/>
    <w:rsid w:val="00D148E9"/>
    <w:rsid w:val="00D1499A"/>
    <w:rsid w:val="00D149F5"/>
    <w:rsid w:val="00D15214"/>
    <w:rsid w:val="00D1523B"/>
    <w:rsid w:val="00D15853"/>
    <w:rsid w:val="00D15B2B"/>
    <w:rsid w:val="00D1604D"/>
    <w:rsid w:val="00D16252"/>
    <w:rsid w:val="00D20056"/>
    <w:rsid w:val="00D201B5"/>
    <w:rsid w:val="00D20988"/>
    <w:rsid w:val="00D20B46"/>
    <w:rsid w:val="00D20E90"/>
    <w:rsid w:val="00D21AB1"/>
    <w:rsid w:val="00D22382"/>
    <w:rsid w:val="00D2301C"/>
    <w:rsid w:val="00D24C4E"/>
    <w:rsid w:val="00D250C9"/>
    <w:rsid w:val="00D2633D"/>
    <w:rsid w:val="00D26EA3"/>
    <w:rsid w:val="00D27219"/>
    <w:rsid w:val="00D272DF"/>
    <w:rsid w:val="00D27740"/>
    <w:rsid w:val="00D313F6"/>
    <w:rsid w:val="00D31D17"/>
    <w:rsid w:val="00D32A8C"/>
    <w:rsid w:val="00D32F4B"/>
    <w:rsid w:val="00D3395E"/>
    <w:rsid w:val="00D33D67"/>
    <w:rsid w:val="00D34208"/>
    <w:rsid w:val="00D34234"/>
    <w:rsid w:val="00D34246"/>
    <w:rsid w:val="00D34590"/>
    <w:rsid w:val="00D34985"/>
    <w:rsid w:val="00D35A2D"/>
    <w:rsid w:val="00D35B11"/>
    <w:rsid w:val="00D35E2C"/>
    <w:rsid w:val="00D365D7"/>
    <w:rsid w:val="00D37003"/>
    <w:rsid w:val="00D37DE9"/>
    <w:rsid w:val="00D4041C"/>
    <w:rsid w:val="00D418CE"/>
    <w:rsid w:val="00D42103"/>
    <w:rsid w:val="00D43575"/>
    <w:rsid w:val="00D439A1"/>
    <w:rsid w:val="00D45562"/>
    <w:rsid w:val="00D4591D"/>
    <w:rsid w:val="00D4605C"/>
    <w:rsid w:val="00D46852"/>
    <w:rsid w:val="00D46B06"/>
    <w:rsid w:val="00D47B59"/>
    <w:rsid w:val="00D5000D"/>
    <w:rsid w:val="00D50013"/>
    <w:rsid w:val="00D5031B"/>
    <w:rsid w:val="00D5090A"/>
    <w:rsid w:val="00D5161C"/>
    <w:rsid w:val="00D51EB2"/>
    <w:rsid w:val="00D51F15"/>
    <w:rsid w:val="00D52940"/>
    <w:rsid w:val="00D531E6"/>
    <w:rsid w:val="00D53566"/>
    <w:rsid w:val="00D5393F"/>
    <w:rsid w:val="00D5465D"/>
    <w:rsid w:val="00D56200"/>
    <w:rsid w:val="00D571C3"/>
    <w:rsid w:val="00D5770A"/>
    <w:rsid w:val="00D57C17"/>
    <w:rsid w:val="00D60676"/>
    <w:rsid w:val="00D60DFD"/>
    <w:rsid w:val="00D62782"/>
    <w:rsid w:val="00D62FC7"/>
    <w:rsid w:val="00D641ED"/>
    <w:rsid w:val="00D6432E"/>
    <w:rsid w:val="00D64CA7"/>
    <w:rsid w:val="00D65298"/>
    <w:rsid w:val="00D655E5"/>
    <w:rsid w:val="00D6652C"/>
    <w:rsid w:val="00D7092A"/>
    <w:rsid w:val="00D71085"/>
    <w:rsid w:val="00D72689"/>
    <w:rsid w:val="00D72C78"/>
    <w:rsid w:val="00D72E04"/>
    <w:rsid w:val="00D7346B"/>
    <w:rsid w:val="00D741B4"/>
    <w:rsid w:val="00D74350"/>
    <w:rsid w:val="00D74483"/>
    <w:rsid w:val="00D745C4"/>
    <w:rsid w:val="00D746A6"/>
    <w:rsid w:val="00D74EE8"/>
    <w:rsid w:val="00D7508B"/>
    <w:rsid w:val="00D753FD"/>
    <w:rsid w:val="00D75ED5"/>
    <w:rsid w:val="00D76CAB"/>
    <w:rsid w:val="00D77C77"/>
    <w:rsid w:val="00D77DC6"/>
    <w:rsid w:val="00D804C1"/>
    <w:rsid w:val="00D815E1"/>
    <w:rsid w:val="00D815FD"/>
    <w:rsid w:val="00D81A91"/>
    <w:rsid w:val="00D82799"/>
    <w:rsid w:val="00D829A8"/>
    <w:rsid w:val="00D8347C"/>
    <w:rsid w:val="00D83ED8"/>
    <w:rsid w:val="00D84268"/>
    <w:rsid w:val="00D84298"/>
    <w:rsid w:val="00D84735"/>
    <w:rsid w:val="00D85306"/>
    <w:rsid w:val="00D853DC"/>
    <w:rsid w:val="00D855A8"/>
    <w:rsid w:val="00D85A95"/>
    <w:rsid w:val="00D85D17"/>
    <w:rsid w:val="00D86259"/>
    <w:rsid w:val="00D87D64"/>
    <w:rsid w:val="00D9039D"/>
    <w:rsid w:val="00D90AEF"/>
    <w:rsid w:val="00D9100F"/>
    <w:rsid w:val="00D918B7"/>
    <w:rsid w:val="00D919AA"/>
    <w:rsid w:val="00D92D23"/>
    <w:rsid w:val="00D9384A"/>
    <w:rsid w:val="00D93BEB"/>
    <w:rsid w:val="00D95189"/>
    <w:rsid w:val="00D9529E"/>
    <w:rsid w:val="00D969DF"/>
    <w:rsid w:val="00D96E1F"/>
    <w:rsid w:val="00D97CF9"/>
    <w:rsid w:val="00DA0495"/>
    <w:rsid w:val="00DA06B2"/>
    <w:rsid w:val="00DA0E89"/>
    <w:rsid w:val="00DA1516"/>
    <w:rsid w:val="00DA186C"/>
    <w:rsid w:val="00DA192A"/>
    <w:rsid w:val="00DA1AC4"/>
    <w:rsid w:val="00DA211A"/>
    <w:rsid w:val="00DA251C"/>
    <w:rsid w:val="00DA2923"/>
    <w:rsid w:val="00DA2A1E"/>
    <w:rsid w:val="00DA357D"/>
    <w:rsid w:val="00DA368B"/>
    <w:rsid w:val="00DA3DC5"/>
    <w:rsid w:val="00DA40C1"/>
    <w:rsid w:val="00DA43C2"/>
    <w:rsid w:val="00DA452A"/>
    <w:rsid w:val="00DA46ED"/>
    <w:rsid w:val="00DA48E3"/>
    <w:rsid w:val="00DA5ABC"/>
    <w:rsid w:val="00DA5BEE"/>
    <w:rsid w:val="00DA5CA8"/>
    <w:rsid w:val="00DA68EC"/>
    <w:rsid w:val="00DA75D5"/>
    <w:rsid w:val="00DA7CE9"/>
    <w:rsid w:val="00DB1673"/>
    <w:rsid w:val="00DB179D"/>
    <w:rsid w:val="00DB1B0A"/>
    <w:rsid w:val="00DB1B2D"/>
    <w:rsid w:val="00DB220B"/>
    <w:rsid w:val="00DB2352"/>
    <w:rsid w:val="00DB27FE"/>
    <w:rsid w:val="00DB4ABC"/>
    <w:rsid w:val="00DB5744"/>
    <w:rsid w:val="00DB6180"/>
    <w:rsid w:val="00DB6D69"/>
    <w:rsid w:val="00DC08C6"/>
    <w:rsid w:val="00DC0AFC"/>
    <w:rsid w:val="00DC0FF5"/>
    <w:rsid w:val="00DC16CE"/>
    <w:rsid w:val="00DC2B1D"/>
    <w:rsid w:val="00DC3589"/>
    <w:rsid w:val="00DC39DC"/>
    <w:rsid w:val="00DC3A46"/>
    <w:rsid w:val="00DC4AD7"/>
    <w:rsid w:val="00DC4C9F"/>
    <w:rsid w:val="00DC5043"/>
    <w:rsid w:val="00DC608A"/>
    <w:rsid w:val="00DC7115"/>
    <w:rsid w:val="00DC7510"/>
    <w:rsid w:val="00DD09CC"/>
    <w:rsid w:val="00DD132D"/>
    <w:rsid w:val="00DD190E"/>
    <w:rsid w:val="00DD2158"/>
    <w:rsid w:val="00DD216B"/>
    <w:rsid w:val="00DD2E2A"/>
    <w:rsid w:val="00DD31B7"/>
    <w:rsid w:val="00DD4ED2"/>
    <w:rsid w:val="00DD5104"/>
    <w:rsid w:val="00DD5AFB"/>
    <w:rsid w:val="00DE000D"/>
    <w:rsid w:val="00DE2868"/>
    <w:rsid w:val="00DE28F0"/>
    <w:rsid w:val="00DE3349"/>
    <w:rsid w:val="00DE44FB"/>
    <w:rsid w:val="00DE4FF9"/>
    <w:rsid w:val="00DE67F3"/>
    <w:rsid w:val="00DE6832"/>
    <w:rsid w:val="00DE705F"/>
    <w:rsid w:val="00DE70EC"/>
    <w:rsid w:val="00DE793D"/>
    <w:rsid w:val="00DE7EB1"/>
    <w:rsid w:val="00DE7FAA"/>
    <w:rsid w:val="00DF2672"/>
    <w:rsid w:val="00DF2964"/>
    <w:rsid w:val="00DF4231"/>
    <w:rsid w:val="00DF5400"/>
    <w:rsid w:val="00DF546A"/>
    <w:rsid w:val="00DF5A87"/>
    <w:rsid w:val="00DF5DA9"/>
    <w:rsid w:val="00DF5DB0"/>
    <w:rsid w:val="00DF7288"/>
    <w:rsid w:val="00E01C73"/>
    <w:rsid w:val="00E01D59"/>
    <w:rsid w:val="00E02CB3"/>
    <w:rsid w:val="00E03C24"/>
    <w:rsid w:val="00E04651"/>
    <w:rsid w:val="00E0493E"/>
    <w:rsid w:val="00E04C09"/>
    <w:rsid w:val="00E0605B"/>
    <w:rsid w:val="00E06B33"/>
    <w:rsid w:val="00E070DB"/>
    <w:rsid w:val="00E07230"/>
    <w:rsid w:val="00E0769F"/>
    <w:rsid w:val="00E1055E"/>
    <w:rsid w:val="00E10B9B"/>
    <w:rsid w:val="00E10DC7"/>
    <w:rsid w:val="00E10E2E"/>
    <w:rsid w:val="00E11F9C"/>
    <w:rsid w:val="00E12BF8"/>
    <w:rsid w:val="00E12FAE"/>
    <w:rsid w:val="00E13796"/>
    <w:rsid w:val="00E13C3D"/>
    <w:rsid w:val="00E13EC2"/>
    <w:rsid w:val="00E14297"/>
    <w:rsid w:val="00E14CD8"/>
    <w:rsid w:val="00E14DB0"/>
    <w:rsid w:val="00E157ED"/>
    <w:rsid w:val="00E16E7C"/>
    <w:rsid w:val="00E172CC"/>
    <w:rsid w:val="00E1754E"/>
    <w:rsid w:val="00E175B3"/>
    <w:rsid w:val="00E17AEB"/>
    <w:rsid w:val="00E17AED"/>
    <w:rsid w:val="00E2087F"/>
    <w:rsid w:val="00E2088D"/>
    <w:rsid w:val="00E208B7"/>
    <w:rsid w:val="00E20FCA"/>
    <w:rsid w:val="00E22667"/>
    <w:rsid w:val="00E229AE"/>
    <w:rsid w:val="00E23331"/>
    <w:rsid w:val="00E23A71"/>
    <w:rsid w:val="00E242D1"/>
    <w:rsid w:val="00E24A3C"/>
    <w:rsid w:val="00E24C97"/>
    <w:rsid w:val="00E24CBE"/>
    <w:rsid w:val="00E24F45"/>
    <w:rsid w:val="00E258F4"/>
    <w:rsid w:val="00E26209"/>
    <w:rsid w:val="00E263F2"/>
    <w:rsid w:val="00E267DC"/>
    <w:rsid w:val="00E277F7"/>
    <w:rsid w:val="00E27F0E"/>
    <w:rsid w:val="00E3070A"/>
    <w:rsid w:val="00E31651"/>
    <w:rsid w:val="00E318DF"/>
    <w:rsid w:val="00E32B54"/>
    <w:rsid w:val="00E3302D"/>
    <w:rsid w:val="00E33FD4"/>
    <w:rsid w:val="00E3413C"/>
    <w:rsid w:val="00E342EE"/>
    <w:rsid w:val="00E3486D"/>
    <w:rsid w:val="00E35330"/>
    <w:rsid w:val="00E35700"/>
    <w:rsid w:val="00E35BB8"/>
    <w:rsid w:val="00E35CA5"/>
    <w:rsid w:val="00E3602E"/>
    <w:rsid w:val="00E3620B"/>
    <w:rsid w:val="00E377E9"/>
    <w:rsid w:val="00E37BC3"/>
    <w:rsid w:val="00E37C2D"/>
    <w:rsid w:val="00E37D58"/>
    <w:rsid w:val="00E37D9D"/>
    <w:rsid w:val="00E40338"/>
    <w:rsid w:val="00E4062C"/>
    <w:rsid w:val="00E41342"/>
    <w:rsid w:val="00E41C0D"/>
    <w:rsid w:val="00E4224C"/>
    <w:rsid w:val="00E42936"/>
    <w:rsid w:val="00E42FD1"/>
    <w:rsid w:val="00E43022"/>
    <w:rsid w:val="00E436D0"/>
    <w:rsid w:val="00E43ADE"/>
    <w:rsid w:val="00E43F98"/>
    <w:rsid w:val="00E44E4B"/>
    <w:rsid w:val="00E450AB"/>
    <w:rsid w:val="00E45BBC"/>
    <w:rsid w:val="00E45C03"/>
    <w:rsid w:val="00E4687A"/>
    <w:rsid w:val="00E46A9B"/>
    <w:rsid w:val="00E475A8"/>
    <w:rsid w:val="00E47E3C"/>
    <w:rsid w:val="00E5000F"/>
    <w:rsid w:val="00E505E7"/>
    <w:rsid w:val="00E5303C"/>
    <w:rsid w:val="00E5369A"/>
    <w:rsid w:val="00E53702"/>
    <w:rsid w:val="00E53A94"/>
    <w:rsid w:val="00E53ED3"/>
    <w:rsid w:val="00E5405E"/>
    <w:rsid w:val="00E54299"/>
    <w:rsid w:val="00E54E77"/>
    <w:rsid w:val="00E559AB"/>
    <w:rsid w:val="00E565C3"/>
    <w:rsid w:val="00E56CD7"/>
    <w:rsid w:val="00E57228"/>
    <w:rsid w:val="00E57B23"/>
    <w:rsid w:val="00E57DE8"/>
    <w:rsid w:val="00E57E66"/>
    <w:rsid w:val="00E60224"/>
    <w:rsid w:val="00E60598"/>
    <w:rsid w:val="00E60B0A"/>
    <w:rsid w:val="00E61414"/>
    <w:rsid w:val="00E61760"/>
    <w:rsid w:val="00E61940"/>
    <w:rsid w:val="00E61C85"/>
    <w:rsid w:val="00E640AA"/>
    <w:rsid w:val="00E64D9E"/>
    <w:rsid w:val="00E64E9F"/>
    <w:rsid w:val="00E65309"/>
    <w:rsid w:val="00E65B92"/>
    <w:rsid w:val="00E65D43"/>
    <w:rsid w:val="00E663C6"/>
    <w:rsid w:val="00E666FC"/>
    <w:rsid w:val="00E70540"/>
    <w:rsid w:val="00E70775"/>
    <w:rsid w:val="00E71E29"/>
    <w:rsid w:val="00E72171"/>
    <w:rsid w:val="00E7415D"/>
    <w:rsid w:val="00E7426C"/>
    <w:rsid w:val="00E7433B"/>
    <w:rsid w:val="00E74781"/>
    <w:rsid w:val="00E74E62"/>
    <w:rsid w:val="00E7538D"/>
    <w:rsid w:val="00E75A17"/>
    <w:rsid w:val="00E75D98"/>
    <w:rsid w:val="00E76057"/>
    <w:rsid w:val="00E76593"/>
    <w:rsid w:val="00E77D02"/>
    <w:rsid w:val="00E81525"/>
    <w:rsid w:val="00E81940"/>
    <w:rsid w:val="00E81AD3"/>
    <w:rsid w:val="00E8227D"/>
    <w:rsid w:val="00E82F0F"/>
    <w:rsid w:val="00E834A0"/>
    <w:rsid w:val="00E8361D"/>
    <w:rsid w:val="00E84783"/>
    <w:rsid w:val="00E84895"/>
    <w:rsid w:val="00E85C72"/>
    <w:rsid w:val="00E8668D"/>
    <w:rsid w:val="00E86763"/>
    <w:rsid w:val="00E86C26"/>
    <w:rsid w:val="00E86EE7"/>
    <w:rsid w:val="00E87F95"/>
    <w:rsid w:val="00E87FC4"/>
    <w:rsid w:val="00E908B1"/>
    <w:rsid w:val="00E909E7"/>
    <w:rsid w:val="00E91817"/>
    <w:rsid w:val="00E92054"/>
    <w:rsid w:val="00E92623"/>
    <w:rsid w:val="00E92C9E"/>
    <w:rsid w:val="00E92CE0"/>
    <w:rsid w:val="00E92E43"/>
    <w:rsid w:val="00E93D35"/>
    <w:rsid w:val="00E94DD9"/>
    <w:rsid w:val="00E953B7"/>
    <w:rsid w:val="00E9567C"/>
    <w:rsid w:val="00E95912"/>
    <w:rsid w:val="00E95CD5"/>
    <w:rsid w:val="00E968A9"/>
    <w:rsid w:val="00E9740B"/>
    <w:rsid w:val="00E974FC"/>
    <w:rsid w:val="00EA043B"/>
    <w:rsid w:val="00EA146C"/>
    <w:rsid w:val="00EA1545"/>
    <w:rsid w:val="00EA25D8"/>
    <w:rsid w:val="00EA2B3F"/>
    <w:rsid w:val="00EA2DA7"/>
    <w:rsid w:val="00EA3180"/>
    <w:rsid w:val="00EA37AB"/>
    <w:rsid w:val="00EA382C"/>
    <w:rsid w:val="00EA3D9A"/>
    <w:rsid w:val="00EA3DEC"/>
    <w:rsid w:val="00EA4A6E"/>
    <w:rsid w:val="00EA775F"/>
    <w:rsid w:val="00EA7838"/>
    <w:rsid w:val="00EB0355"/>
    <w:rsid w:val="00EB1143"/>
    <w:rsid w:val="00EB16EA"/>
    <w:rsid w:val="00EB1E2E"/>
    <w:rsid w:val="00EB2C8D"/>
    <w:rsid w:val="00EB2D60"/>
    <w:rsid w:val="00EB49C7"/>
    <w:rsid w:val="00EB4DAC"/>
    <w:rsid w:val="00EB5C4A"/>
    <w:rsid w:val="00EB62AC"/>
    <w:rsid w:val="00EB7205"/>
    <w:rsid w:val="00EB7591"/>
    <w:rsid w:val="00EB79C0"/>
    <w:rsid w:val="00EC035F"/>
    <w:rsid w:val="00EC1D2D"/>
    <w:rsid w:val="00EC1DF3"/>
    <w:rsid w:val="00EC2162"/>
    <w:rsid w:val="00EC249B"/>
    <w:rsid w:val="00EC265C"/>
    <w:rsid w:val="00EC2FF1"/>
    <w:rsid w:val="00EC3351"/>
    <w:rsid w:val="00EC380E"/>
    <w:rsid w:val="00EC4333"/>
    <w:rsid w:val="00EC47C9"/>
    <w:rsid w:val="00EC494B"/>
    <w:rsid w:val="00EC5205"/>
    <w:rsid w:val="00EC5886"/>
    <w:rsid w:val="00EC5A0B"/>
    <w:rsid w:val="00EC5B0F"/>
    <w:rsid w:val="00EC5BCC"/>
    <w:rsid w:val="00EC5BE0"/>
    <w:rsid w:val="00EC6560"/>
    <w:rsid w:val="00ED06FC"/>
    <w:rsid w:val="00ED0721"/>
    <w:rsid w:val="00ED198C"/>
    <w:rsid w:val="00ED1A7E"/>
    <w:rsid w:val="00ED1B83"/>
    <w:rsid w:val="00ED2186"/>
    <w:rsid w:val="00ED28F5"/>
    <w:rsid w:val="00ED2F8D"/>
    <w:rsid w:val="00ED3714"/>
    <w:rsid w:val="00ED41EA"/>
    <w:rsid w:val="00ED4899"/>
    <w:rsid w:val="00ED4996"/>
    <w:rsid w:val="00ED4A4E"/>
    <w:rsid w:val="00ED537A"/>
    <w:rsid w:val="00ED5CF2"/>
    <w:rsid w:val="00ED5D87"/>
    <w:rsid w:val="00ED7061"/>
    <w:rsid w:val="00ED74B6"/>
    <w:rsid w:val="00ED79A9"/>
    <w:rsid w:val="00ED7C56"/>
    <w:rsid w:val="00ED7E95"/>
    <w:rsid w:val="00ED7EC4"/>
    <w:rsid w:val="00EE0292"/>
    <w:rsid w:val="00EE3032"/>
    <w:rsid w:val="00EE33E3"/>
    <w:rsid w:val="00EE398C"/>
    <w:rsid w:val="00EE4F75"/>
    <w:rsid w:val="00EE55D1"/>
    <w:rsid w:val="00EE5A04"/>
    <w:rsid w:val="00EE69C2"/>
    <w:rsid w:val="00EE69CB"/>
    <w:rsid w:val="00EE6CC2"/>
    <w:rsid w:val="00EE6DB7"/>
    <w:rsid w:val="00EE7169"/>
    <w:rsid w:val="00EE74C9"/>
    <w:rsid w:val="00EF0332"/>
    <w:rsid w:val="00EF04D8"/>
    <w:rsid w:val="00EF17B3"/>
    <w:rsid w:val="00EF35A0"/>
    <w:rsid w:val="00EF4283"/>
    <w:rsid w:val="00EF4EC0"/>
    <w:rsid w:val="00EF53E3"/>
    <w:rsid w:val="00EF5F21"/>
    <w:rsid w:val="00EF63D1"/>
    <w:rsid w:val="00EF6F4A"/>
    <w:rsid w:val="00EF6F9F"/>
    <w:rsid w:val="00EF7C8C"/>
    <w:rsid w:val="00F00B90"/>
    <w:rsid w:val="00F02A8A"/>
    <w:rsid w:val="00F02D6C"/>
    <w:rsid w:val="00F03095"/>
    <w:rsid w:val="00F03A30"/>
    <w:rsid w:val="00F03BFC"/>
    <w:rsid w:val="00F03CD1"/>
    <w:rsid w:val="00F0494A"/>
    <w:rsid w:val="00F05889"/>
    <w:rsid w:val="00F06751"/>
    <w:rsid w:val="00F07307"/>
    <w:rsid w:val="00F07A0D"/>
    <w:rsid w:val="00F07B9A"/>
    <w:rsid w:val="00F07D00"/>
    <w:rsid w:val="00F1096D"/>
    <w:rsid w:val="00F10D1B"/>
    <w:rsid w:val="00F116FC"/>
    <w:rsid w:val="00F11A56"/>
    <w:rsid w:val="00F122C8"/>
    <w:rsid w:val="00F1315A"/>
    <w:rsid w:val="00F14382"/>
    <w:rsid w:val="00F15092"/>
    <w:rsid w:val="00F15585"/>
    <w:rsid w:val="00F15D61"/>
    <w:rsid w:val="00F16717"/>
    <w:rsid w:val="00F168A7"/>
    <w:rsid w:val="00F16D75"/>
    <w:rsid w:val="00F17393"/>
    <w:rsid w:val="00F2035B"/>
    <w:rsid w:val="00F203B4"/>
    <w:rsid w:val="00F2095F"/>
    <w:rsid w:val="00F216E2"/>
    <w:rsid w:val="00F21B32"/>
    <w:rsid w:val="00F2383F"/>
    <w:rsid w:val="00F2388A"/>
    <w:rsid w:val="00F23AFB"/>
    <w:rsid w:val="00F23C42"/>
    <w:rsid w:val="00F2465B"/>
    <w:rsid w:val="00F247E5"/>
    <w:rsid w:val="00F248FA"/>
    <w:rsid w:val="00F24A73"/>
    <w:rsid w:val="00F25A61"/>
    <w:rsid w:val="00F26621"/>
    <w:rsid w:val="00F2683E"/>
    <w:rsid w:val="00F268A1"/>
    <w:rsid w:val="00F274D7"/>
    <w:rsid w:val="00F276BA"/>
    <w:rsid w:val="00F27C63"/>
    <w:rsid w:val="00F27E06"/>
    <w:rsid w:val="00F3062C"/>
    <w:rsid w:val="00F31216"/>
    <w:rsid w:val="00F31830"/>
    <w:rsid w:val="00F31A40"/>
    <w:rsid w:val="00F32A67"/>
    <w:rsid w:val="00F33618"/>
    <w:rsid w:val="00F33A1F"/>
    <w:rsid w:val="00F33D90"/>
    <w:rsid w:val="00F344FC"/>
    <w:rsid w:val="00F34960"/>
    <w:rsid w:val="00F35855"/>
    <w:rsid w:val="00F35BF2"/>
    <w:rsid w:val="00F363E7"/>
    <w:rsid w:val="00F3770C"/>
    <w:rsid w:val="00F415A6"/>
    <w:rsid w:val="00F4178F"/>
    <w:rsid w:val="00F41FF2"/>
    <w:rsid w:val="00F426F1"/>
    <w:rsid w:val="00F43700"/>
    <w:rsid w:val="00F43822"/>
    <w:rsid w:val="00F4393D"/>
    <w:rsid w:val="00F43C67"/>
    <w:rsid w:val="00F44216"/>
    <w:rsid w:val="00F44246"/>
    <w:rsid w:val="00F4453E"/>
    <w:rsid w:val="00F45FE8"/>
    <w:rsid w:val="00F472A7"/>
    <w:rsid w:val="00F50E80"/>
    <w:rsid w:val="00F5151E"/>
    <w:rsid w:val="00F51B49"/>
    <w:rsid w:val="00F52F08"/>
    <w:rsid w:val="00F53A02"/>
    <w:rsid w:val="00F545DB"/>
    <w:rsid w:val="00F5484A"/>
    <w:rsid w:val="00F54A6A"/>
    <w:rsid w:val="00F55F4C"/>
    <w:rsid w:val="00F56B28"/>
    <w:rsid w:val="00F56BCE"/>
    <w:rsid w:val="00F56EF1"/>
    <w:rsid w:val="00F57C19"/>
    <w:rsid w:val="00F60461"/>
    <w:rsid w:val="00F608BA"/>
    <w:rsid w:val="00F60AEF"/>
    <w:rsid w:val="00F61E11"/>
    <w:rsid w:val="00F62F9B"/>
    <w:rsid w:val="00F635EB"/>
    <w:rsid w:val="00F64834"/>
    <w:rsid w:val="00F64ED2"/>
    <w:rsid w:val="00F65096"/>
    <w:rsid w:val="00F65E1D"/>
    <w:rsid w:val="00F65FA6"/>
    <w:rsid w:val="00F66EEA"/>
    <w:rsid w:val="00F70124"/>
    <w:rsid w:val="00F70FEB"/>
    <w:rsid w:val="00F71D33"/>
    <w:rsid w:val="00F72154"/>
    <w:rsid w:val="00F72183"/>
    <w:rsid w:val="00F727BC"/>
    <w:rsid w:val="00F72A86"/>
    <w:rsid w:val="00F73226"/>
    <w:rsid w:val="00F73396"/>
    <w:rsid w:val="00F73628"/>
    <w:rsid w:val="00F75285"/>
    <w:rsid w:val="00F80177"/>
    <w:rsid w:val="00F80338"/>
    <w:rsid w:val="00F8080A"/>
    <w:rsid w:val="00F8106F"/>
    <w:rsid w:val="00F81A38"/>
    <w:rsid w:val="00F81A5C"/>
    <w:rsid w:val="00F822ED"/>
    <w:rsid w:val="00F823D0"/>
    <w:rsid w:val="00F82548"/>
    <w:rsid w:val="00F82605"/>
    <w:rsid w:val="00F82B07"/>
    <w:rsid w:val="00F83749"/>
    <w:rsid w:val="00F83795"/>
    <w:rsid w:val="00F8436A"/>
    <w:rsid w:val="00F8522E"/>
    <w:rsid w:val="00F85311"/>
    <w:rsid w:val="00F86028"/>
    <w:rsid w:val="00F860B2"/>
    <w:rsid w:val="00F861AE"/>
    <w:rsid w:val="00F861F5"/>
    <w:rsid w:val="00F865E2"/>
    <w:rsid w:val="00F86B61"/>
    <w:rsid w:val="00F900B4"/>
    <w:rsid w:val="00F90955"/>
    <w:rsid w:val="00F912DC"/>
    <w:rsid w:val="00F91359"/>
    <w:rsid w:val="00F918D9"/>
    <w:rsid w:val="00F91CD4"/>
    <w:rsid w:val="00F91F44"/>
    <w:rsid w:val="00F92AB5"/>
    <w:rsid w:val="00F92D4A"/>
    <w:rsid w:val="00F9373E"/>
    <w:rsid w:val="00F93ACF"/>
    <w:rsid w:val="00F94D82"/>
    <w:rsid w:val="00F95BDB"/>
    <w:rsid w:val="00F96255"/>
    <w:rsid w:val="00F96369"/>
    <w:rsid w:val="00F96546"/>
    <w:rsid w:val="00F9763A"/>
    <w:rsid w:val="00F97872"/>
    <w:rsid w:val="00F9792C"/>
    <w:rsid w:val="00FA0E89"/>
    <w:rsid w:val="00FA1869"/>
    <w:rsid w:val="00FA1E9A"/>
    <w:rsid w:val="00FA1F58"/>
    <w:rsid w:val="00FA2181"/>
    <w:rsid w:val="00FA317F"/>
    <w:rsid w:val="00FA4DCE"/>
    <w:rsid w:val="00FA5305"/>
    <w:rsid w:val="00FA6359"/>
    <w:rsid w:val="00FA73F0"/>
    <w:rsid w:val="00FA7406"/>
    <w:rsid w:val="00FB0056"/>
    <w:rsid w:val="00FB0C13"/>
    <w:rsid w:val="00FB22F2"/>
    <w:rsid w:val="00FB25D5"/>
    <w:rsid w:val="00FB2746"/>
    <w:rsid w:val="00FB3043"/>
    <w:rsid w:val="00FB37A0"/>
    <w:rsid w:val="00FB3FC6"/>
    <w:rsid w:val="00FB4B85"/>
    <w:rsid w:val="00FB4BDB"/>
    <w:rsid w:val="00FB4DA0"/>
    <w:rsid w:val="00FB6172"/>
    <w:rsid w:val="00FB67A9"/>
    <w:rsid w:val="00FB6D07"/>
    <w:rsid w:val="00FB6DC8"/>
    <w:rsid w:val="00FB71D3"/>
    <w:rsid w:val="00FB77BE"/>
    <w:rsid w:val="00FB7820"/>
    <w:rsid w:val="00FC1B54"/>
    <w:rsid w:val="00FC1CB5"/>
    <w:rsid w:val="00FC20A5"/>
    <w:rsid w:val="00FC26B3"/>
    <w:rsid w:val="00FC2D7A"/>
    <w:rsid w:val="00FC3364"/>
    <w:rsid w:val="00FC35D4"/>
    <w:rsid w:val="00FC3FC7"/>
    <w:rsid w:val="00FC4883"/>
    <w:rsid w:val="00FC502D"/>
    <w:rsid w:val="00FC62F1"/>
    <w:rsid w:val="00FC631F"/>
    <w:rsid w:val="00FC6B98"/>
    <w:rsid w:val="00FC6C9D"/>
    <w:rsid w:val="00FC71B5"/>
    <w:rsid w:val="00FC73AB"/>
    <w:rsid w:val="00FC7CE7"/>
    <w:rsid w:val="00FC7F9A"/>
    <w:rsid w:val="00FD00FB"/>
    <w:rsid w:val="00FD0319"/>
    <w:rsid w:val="00FD143A"/>
    <w:rsid w:val="00FD1664"/>
    <w:rsid w:val="00FD1C20"/>
    <w:rsid w:val="00FD1CAC"/>
    <w:rsid w:val="00FD292A"/>
    <w:rsid w:val="00FD2C6B"/>
    <w:rsid w:val="00FD30AA"/>
    <w:rsid w:val="00FD30F1"/>
    <w:rsid w:val="00FD35DE"/>
    <w:rsid w:val="00FD438D"/>
    <w:rsid w:val="00FD51DD"/>
    <w:rsid w:val="00FD520A"/>
    <w:rsid w:val="00FD52EA"/>
    <w:rsid w:val="00FD5323"/>
    <w:rsid w:val="00FD7473"/>
    <w:rsid w:val="00FD7687"/>
    <w:rsid w:val="00FD7C57"/>
    <w:rsid w:val="00FE13DC"/>
    <w:rsid w:val="00FE2EF8"/>
    <w:rsid w:val="00FE3767"/>
    <w:rsid w:val="00FE3C09"/>
    <w:rsid w:val="00FE5457"/>
    <w:rsid w:val="00FE59A7"/>
    <w:rsid w:val="00FE5A2F"/>
    <w:rsid w:val="00FE7A34"/>
    <w:rsid w:val="00FF0E5F"/>
    <w:rsid w:val="00FF196D"/>
    <w:rsid w:val="00FF1C20"/>
    <w:rsid w:val="00FF1CD5"/>
    <w:rsid w:val="00FF3150"/>
    <w:rsid w:val="00FF4BE1"/>
    <w:rsid w:val="00FF5116"/>
    <w:rsid w:val="00FF6A0B"/>
    <w:rsid w:val="00FF7C08"/>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470CF-44E2-417F-9C37-B997A2B2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FD9"/>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A37A4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A37A4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B84FD9"/>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B84FD9"/>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B84FD9"/>
    <w:pPr>
      <w:tabs>
        <w:tab w:val="center" w:pos="4680"/>
        <w:tab w:val="right" w:pos="9360"/>
      </w:tabs>
    </w:pPr>
  </w:style>
  <w:style w:type="character" w:customStyle="1" w:styleId="HeaderChar">
    <w:name w:val="Header Char"/>
    <w:basedOn w:val="DefaultParagraphFont"/>
    <w:link w:val="Header"/>
    <w:uiPriority w:val="99"/>
    <w:rsid w:val="00B84FD9"/>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B84FD9"/>
    <w:pPr>
      <w:tabs>
        <w:tab w:val="right" w:pos="8222"/>
      </w:tabs>
      <w:jc w:val="both"/>
    </w:pPr>
    <w:rPr>
      <w:b/>
    </w:rPr>
  </w:style>
  <w:style w:type="character" w:customStyle="1" w:styleId="SCCLsocPartyChar">
    <w:name w:val="SCC.Lsoc.Party Char"/>
    <w:basedOn w:val="DefaultParagraphFont"/>
    <w:link w:val="SCCLsocParty"/>
    <w:rsid w:val="00B84FD9"/>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B84FD9"/>
    <w:pPr>
      <w:spacing w:after="720"/>
    </w:pPr>
    <w:rPr>
      <w:i/>
    </w:rPr>
  </w:style>
  <w:style w:type="character" w:customStyle="1" w:styleId="SCCLsocVersusChar">
    <w:name w:val="SCC.Lsoc.Versus Char"/>
    <w:basedOn w:val="DefaultParagraphFont"/>
    <w:link w:val="SCCLsocVersus"/>
    <w:rsid w:val="00B84FD9"/>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B84FD9"/>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B84FD9"/>
    <w:pPr>
      <w:spacing w:after="720"/>
    </w:pPr>
  </w:style>
  <w:style w:type="character" w:customStyle="1" w:styleId="SCCLsocOtherPartySeparatorChar">
    <w:name w:val="SCC.Lsoc.OtherPartySeparator Char"/>
    <w:basedOn w:val="DefaultParagraphFont"/>
    <w:link w:val="SCCLsocOtherPartySeparator"/>
    <w:rsid w:val="00B84FD9"/>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B84FD9"/>
    <w:rPr>
      <w:smallCaps/>
    </w:rPr>
  </w:style>
  <w:style w:type="character" w:customStyle="1" w:styleId="SCCAppellantForRunningHeadChar">
    <w:name w:val="SCC.AppellantForRunningHead Char"/>
    <w:basedOn w:val="DefaultParagraphFont"/>
    <w:link w:val="SCCAppellantForRunningHead"/>
    <w:rsid w:val="00B84FD9"/>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B84FD9"/>
    <w:rPr>
      <w:b/>
    </w:rPr>
  </w:style>
  <w:style w:type="character" w:customStyle="1" w:styleId="SCCAppellantForIndexChar">
    <w:name w:val="SCC.AppellantForIndex Char"/>
    <w:basedOn w:val="DefaultParagraphFont"/>
    <w:link w:val="SCCAppellantForIndex"/>
    <w:rsid w:val="00B84FD9"/>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B84FD9"/>
    <w:rPr>
      <w:b/>
    </w:rPr>
  </w:style>
  <w:style w:type="character" w:customStyle="1" w:styleId="SCCSystemYearChar">
    <w:name w:val="SCC.SystemYear Char"/>
    <w:basedOn w:val="DefaultParagraphFont"/>
    <w:link w:val="SCCSystemYear"/>
    <w:rsid w:val="00B84FD9"/>
    <w:rPr>
      <w:rFonts w:ascii="Times New Roman" w:eastAsia="Times New Roman" w:hAnsi="Times New Roman" w:cs="Times New Roman"/>
      <w:b/>
      <w:sz w:val="24"/>
      <w:szCs w:val="20"/>
      <w:lang w:val="en-CA" w:eastAsia="en-CA"/>
    </w:rPr>
  </w:style>
  <w:style w:type="paragraph" w:customStyle="1" w:styleId="SCCCounselName">
    <w:name w:val="SCC.CounselName"/>
    <w:basedOn w:val="SCCNormalDoubleSpacing"/>
    <w:next w:val="SCCNormalDoubleSpacing"/>
    <w:link w:val="SCCCounselNameChar"/>
    <w:rsid w:val="00B84FD9"/>
    <w:rPr>
      <w:i/>
    </w:rPr>
  </w:style>
  <w:style w:type="character" w:customStyle="1" w:styleId="SCCCounselNameChar">
    <w:name w:val="SCC.CounselName Char"/>
    <w:basedOn w:val="SCCNormalDoubleSpacingChar"/>
    <w:link w:val="SCCCounselName"/>
    <w:rsid w:val="00B84FD9"/>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B84FD9"/>
  </w:style>
  <w:style w:type="character" w:customStyle="1" w:styleId="SCCCounselSeparatorChar">
    <w:name w:val="SCC.CounselSeparator Char"/>
    <w:basedOn w:val="SCCNormalDoubleSpacingChar"/>
    <w:link w:val="SCCCounselSeparator"/>
    <w:rsid w:val="00B84FD9"/>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B84FD9"/>
    <w:rPr>
      <w:i/>
    </w:rPr>
  </w:style>
  <w:style w:type="character" w:customStyle="1" w:styleId="SCCLawFirmChar">
    <w:name w:val="SCC.LawFirm Char"/>
    <w:basedOn w:val="SCCNormalDoubleSpacingChar"/>
    <w:link w:val="SCCLawFirm"/>
    <w:rsid w:val="00B84FD9"/>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B84FD9"/>
  </w:style>
  <w:style w:type="character" w:customStyle="1" w:styleId="SCCCounselPartyRoleChar">
    <w:name w:val="SCC.CounselPartyRole Char"/>
    <w:basedOn w:val="SCCNormalDoubleSpacingChar"/>
    <w:link w:val="SCCCounselPartyRole"/>
    <w:rsid w:val="00B84FD9"/>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B84FD9"/>
    <w:pPr>
      <w:tabs>
        <w:tab w:val="right" w:pos="8222"/>
      </w:tabs>
      <w:spacing w:after="720"/>
    </w:pPr>
    <w:rPr>
      <w:b/>
    </w:rPr>
  </w:style>
  <w:style w:type="character" w:customStyle="1" w:styleId="SCCLsocLastPartyInRoleChar">
    <w:name w:val="SCC.Lsoc.LastPartyInRole Char"/>
    <w:basedOn w:val="SCCLsocPartyChar"/>
    <w:link w:val="SCCLsocLastPartyInRole"/>
    <w:rsid w:val="00B84FD9"/>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A37A4C"/>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A37A4C"/>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unhideWhenUsed/>
    <w:rsid w:val="00A37A4C"/>
    <w:pPr>
      <w:tabs>
        <w:tab w:val="center" w:pos="4680"/>
        <w:tab w:val="right" w:pos="9360"/>
      </w:tabs>
    </w:pPr>
    <w:rPr>
      <w:szCs w:val="24"/>
    </w:rPr>
  </w:style>
  <w:style w:type="character" w:customStyle="1" w:styleId="FooterChar">
    <w:name w:val="Footer Char"/>
    <w:basedOn w:val="DefaultParagraphFont"/>
    <w:link w:val="Footer"/>
    <w:uiPriority w:val="99"/>
    <w:rsid w:val="00A37A4C"/>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A37A4C"/>
    <w:pPr>
      <w:spacing w:after="480"/>
    </w:pPr>
    <w:rPr>
      <w:rFonts w:eastAsiaTheme="minorHAnsi" w:cstheme="minorBidi"/>
      <w:szCs w:val="22"/>
      <w:lang w:eastAsia="en-US"/>
    </w:rPr>
  </w:style>
  <w:style w:type="paragraph" w:customStyle="1" w:styleId="SCCCoram">
    <w:name w:val="SCC.Coram"/>
    <w:basedOn w:val="Normal"/>
    <w:next w:val="Normal"/>
    <w:link w:val="SCCCoramChar"/>
    <w:rsid w:val="00A37A4C"/>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A37A4C"/>
    <w:pPr>
      <w:spacing w:after="480"/>
    </w:pPr>
    <w:rPr>
      <w:rFonts w:eastAsiaTheme="minorHAnsi" w:cstheme="minorBidi"/>
      <w:szCs w:val="22"/>
      <w:lang w:eastAsia="en-US"/>
    </w:rPr>
  </w:style>
  <w:style w:type="character" w:customStyle="1" w:styleId="SCCCoramChar">
    <w:name w:val="SCC.Coram Char"/>
    <w:basedOn w:val="DefaultParagraphFont"/>
    <w:link w:val="SCCCoram"/>
    <w:rsid w:val="00A37A4C"/>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A37A4C"/>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A37A4C"/>
    <w:rPr>
      <w:rFonts w:ascii="Times New Roman" w:hAnsi="Times New Roman"/>
      <w:sz w:val="24"/>
      <w:lang w:val="en-CA"/>
    </w:rPr>
  </w:style>
  <w:style w:type="paragraph" w:customStyle="1" w:styleId="SCCBanSummary">
    <w:name w:val="SCC.BanSummary"/>
    <w:basedOn w:val="Normal"/>
    <w:next w:val="Normal"/>
    <w:link w:val="SCCBanSummaryChar"/>
    <w:rsid w:val="00A37A4C"/>
    <w:pPr>
      <w:jc w:val="right"/>
    </w:pPr>
    <w:rPr>
      <w:rFonts w:eastAsiaTheme="minorEastAsia"/>
      <w:b/>
      <w:szCs w:val="24"/>
    </w:rPr>
  </w:style>
  <w:style w:type="character" w:customStyle="1" w:styleId="SCCBanSummaryChar">
    <w:name w:val="SCC.BanSummary Char"/>
    <w:basedOn w:val="DefaultParagraphFont"/>
    <w:link w:val="SCCBanSummary"/>
    <w:rsid w:val="00A37A4C"/>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A37A4C"/>
    <w:rPr>
      <w:color w:val="808080"/>
    </w:rPr>
  </w:style>
  <w:style w:type="paragraph" w:styleId="BalloonText">
    <w:name w:val="Balloon Text"/>
    <w:basedOn w:val="Normal"/>
    <w:link w:val="BalloonTextChar"/>
    <w:uiPriority w:val="99"/>
    <w:semiHidden/>
    <w:unhideWhenUsed/>
    <w:rsid w:val="00A37A4C"/>
    <w:rPr>
      <w:rFonts w:ascii="Tahoma" w:hAnsi="Tahoma" w:cs="Tahoma"/>
      <w:sz w:val="16"/>
      <w:szCs w:val="16"/>
    </w:rPr>
  </w:style>
  <w:style w:type="character" w:customStyle="1" w:styleId="BalloonTextChar">
    <w:name w:val="Balloon Text Char"/>
    <w:basedOn w:val="DefaultParagraphFont"/>
    <w:link w:val="BalloonText"/>
    <w:uiPriority w:val="99"/>
    <w:semiHidden/>
    <w:rsid w:val="00A37A4C"/>
    <w:rPr>
      <w:rFonts w:ascii="Tahoma" w:eastAsia="Times New Roman" w:hAnsi="Tahoma" w:cs="Tahoma"/>
      <w:sz w:val="16"/>
      <w:szCs w:val="16"/>
      <w:lang w:val="en-CA" w:eastAsia="en-CA"/>
    </w:rPr>
  </w:style>
  <w:style w:type="table" w:styleId="TableGrid">
    <w:name w:val="Table Grid"/>
    <w:basedOn w:val="TableNormal"/>
    <w:uiPriority w:val="59"/>
    <w:rsid w:val="00A37A4C"/>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37A4C"/>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A37A4C"/>
    <w:pPr>
      <w:spacing w:before="480" w:after="480" w:line="480" w:lineRule="auto"/>
      <w:jc w:val="both"/>
    </w:pPr>
    <w:rPr>
      <w:rFonts w:ascii="Times New Roman" w:hAnsi="Times New Roman"/>
      <w:sz w:val="24"/>
      <w:lang w:val="en-CA"/>
    </w:rPr>
  </w:style>
  <w:style w:type="paragraph" w:customStyle="1" w:styleId="JudgeJuge">
    <w:name w:val="Judge / Juge"/>
    <w:uiPriority w:val="3"/>
    <w:rsid w:val="00A37A4C"/>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A37A4C"/>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A37A4C"/>
    <w:pPr>
      <w:numPr>
        <w:numId w:val="7"/>
      </w:numPr>
      <w:spacing w:before="480" w:after="720" w:line="240" w:lineRule="auto"/>
      <w:jc w:val="both"/>
      <w:outlineLvl w:val="0"/>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A37A4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37A4C"/>
    <w:pPr>
      <w:numPr>
        <w:ilvl w:val="2"/>
      </w:numPr>
      <w:outlineLvl w:val="2"/>
    </w:pPr>
  </w:style>
  <w:style w:type="paragraph" w:customStyle="1" w:styleId="Title4LevelTitre4Niveau">
    <w:name w:val="Title 4 Level / Titre 4 Niveau"/>
    <w:basedOn w:val="Title3LevelTitre3Niveau"/>
    <w:next w:val="ParaNoNdepar-AltN"/>
    <w:uiPriority w:val="4"/>
    <w:qFormat/>
    <w:rsid w:val="00A37A4C"/>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37A4C"/>
    <w:pPr>
      <w:numPr>
        <w:ilvl w:val="4"/>
      </w:numPr>
      <w:outlineLvl w:val="4"/>
    </w:pPr>
  </w:style>
  <w:style w:type="paragraph" w:styleId="TOC1">
    <w:name w:val="toc 1"/>
    <w:basedOn w:val="Normal"/>
    <w:next w:val="Normal"/>
    <w:autoRedefine/>
    <w:uiPriority w:val="39"/>
    <w:unhideWhenUsed/>
    <w:rsid w:val="00A37A4C"/>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37A4C"/>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37A4C"/>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37A4C"/>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37A4C"/>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37A4C"/>
    <w:pPr>
      <w:tabs>
        <w:tab w:val="left" w:pos="2160"/>
        <w:tab w:val="right" w:leader="dot" w:pos="8270"/>
      </w:tabs>
      <w:spacing w:after="100"/>
      <w:ind w:left="1800"/>
    </w:pPr>
    <w:rPr>
      <w:noProof/>
    </w:rPr>
  </w:style>
  <w:style w:type="table" w:customStyle="1" w:styleId="TableGrid1">
    <w:name w:val="Table Grid1"/>
    <w:basedOn w:val="TableNormal"/>
    <w:uiPriority w:val="59"/>
    <w:rsid w:val="00A37A4C"/>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37A4C"/>
    <w:pPr>
      <w:tabs>
        <w:tab w:val="left" w:pos="360"/>
      </w:tabs>
      <w:spacing w:before="480" w:after="720" w:line="240" w:lineRule="auto"/>
      <w:ind w:left="360" w:hanging="360"/>
      <w:jc w:val="both"/>
      <w:outlineLvl w:val="0"/>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A37A4C"/>
    <w:pPr>
      <w:numPr>
        <w:ilvl w:val="5"/>
      </w:numPr>
      <w:outlineLvl w:val="5"/>
    </w:pPr>
    <w:rPr>
      <w:i/>
      <w:u w:val="none"/>
    </w:rPr>
  </w:style>
  <w:style w:type="paragraph" w:styleId="FootnoteText">
    <w:name w:val="footnote text"/>
    <w:basedOn w:val="Normal"/>
    <w:link w:val="FootnoteTextChar"/>
    <w:uiPriority w:val="99"/>
    <w:unhideWhenUsed/>
    <w:rsid w:val="00A37A4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37A4C"/>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A37A4C"/>
    <w:rPr>
      <w:vertAlign w:val="superscript"/>
    </w:rPr>
  </w:style>
  <w:style w:type="character" w:styleId="Hyperlink">
    <w:name w:val="Hyperlink"/>
    <w:basedOn w:val="DefaultParagraphFont"/>
    <w:uiPriority w:val="99"/>
    <w:unhideWhenUsed/>
    <w:rsid w:val="00A37A4C"/>
    <w:rPr>
      <w:color w:val="0563C1" w:themeColor="hyperlink"/>
      <w:u w:val="single"/>
    </w:rPr>
  </w:style>
  <w:style w:type="character" w:styleId="Emphasis">
    <w:name w:val="Emphasis"/>
    <w:uiPriority w:val="20"/>
    <w:qFormat/>
    <w:rsid w:val="00A37A4C"/>
    <w:rPr>
      <w:b/>
      <w:bCs/>
      <w:i/>
      <w:iCs/>
      <w:spacing w:val="10"/>
      <w:bdr w:val="none" w:sz="0" w:space="0" w:color="auto"/>
      <w:shd w:val="clear" w:color="auto" w:fill="auto"/>
    </w:rPr>
  </w:style>
  <w:style w:type="paragraph" w:styleId="ListParagraph">
    <w:name w:val="List Paragraph"/>
    <w:basedOn w:val="Normal"/>
    <w:uiPriority w:val="34"/>
    <w:qFormat/>
    <w:rsid w:val="00A37A4C"/>
    <w:pPr>
      <w:ind w:left="720"/>
      <w:contextualSpacing/>
    </w:pPr>
    <w:rPr>
      <w:rFonts w:eastAsiaTheme="minorHAnsi" w:cstheme="minorBidi"/>
      <w:szCs w:val="22"/>
      <w:lang w:val="en-US" w:eastAsia="en-US"/>
    </w:rPr>
  </w:style>
  <w:style w:type="character" w:customStyle="1" w:styleId="decisia-reflex2-icon">
    <w:name w:val="decisia-reflex2-icon"/>
    <w:basedOn w:val="DefaultParagraphFont"/>
    <w:rsid w:val="00A37A4C"/>
    <w:rPr>
      <w:strike w:val="0"/>
      <w:dstrike w:val="0"/>
      <w:sz w:val="19"/>
      <w:szCs w:val="19"/>
      <w:u w:val="none"/>
      <w:effect w:val="none"/>
    </w:rPr>
  </w:style>
  <w:style w:type="character" w:customStyle="1" w:styleId="cohl1">
    <w:name w:val="co_hl1"/>
    <w:basedOn w:val="DefaultParagraphFont"/>
    <w:rsid w:val="00A37A4C"/>
    <w:rPr>
      <w:color w:val="212121"/>
    </w:rPr>
  </w:style>
  <w:style w:type="character" w:customStyle="1" w:styleId="cohl2">
    <w:name w:val="co_hl2"/>
    <w:basedOn w:val="DefaultParagraphFont"/>
    <w:rsid w:val="00A37A4C"/>
    <w:rPr>
      <w:color w:val="212121"/>
    </w:rPr>
  </w:style>
  <w:style w:type="character" w:customStyle="1" w:styleId="htitletext2">
    <w:name w:val="htitletext2"/>
    <w:basedOn w:val="DefaultParagraphFont"/>
    <w:rsid w:val="00A37A4C"/>
    <w:rPr>
      <w:b w:val="0"/>
      <w:bCs w:val="0"/>
      <w:vanish w:val="0"/>
      <w:webHidden w:val="0"/>
      <w:sz w:val="36"/>
      <w:szCs w:val="36"/>
      <w:specVanish w:val="0"/>
    </w:rPr>
  </w:style>
  <w:style w:type="character" w:styleId="CommentReference">
    <w:name w:val="annotation reference"/>
    <w:basedOn w:val="DefaultParagraphFont"/>
    <w:uiPriority w:val="99"/>
    <w:semiHidden/>
    <w:unhideWhenUsed/>
    <w:rsid w:val="00A37A4C"/>
    <w:rPr>
      <w:sz w:val="16"/>
      <w:szCs w:val="16"/>
    </w:rPr>
  </w:style>
  <w:style w:type="paragraph" w:styleId="CommentText">
    <w:name w:val="annotation text"/>
    <w:basedOn w:val="Normal"/>
    <w:link w:val="CommentTextChar"/>
    <w:uiPriority w:val="99"/>
    <w:semiHidden/>
    <w:unhideWhenUsed/>
    <w:rsid w:val="00A37A4C"/>
    <w:rPr>
      <w:sz w:val="20"/>
    </w:rPr>
  </w:style>
  <w:style w:type="character" w:customStyle="1" w:styleId="CommentTextChar">
    <w:name w:val="Comment Text Char"/>
    <w:basedOn w:val="DefaultParagraphFont"/>
    <w:link w:val="CommentText"/>
    <w:uiPriority w:val="99"/>
    <w:semiHidden/>
    <w:rsid w:val="00A37A4C"/>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A37A4C"/>
    <w:rPr>
      <w:b/>
      <w:bCs/>
    </w:rPr>
  </w:style>
  <w:style w:type="character" w:customStyle="1" w:styleId="CommentSubjectChar">
    <w:name w:val="Comment Subject Char"/>
    <w:basedOn w:val="CommentTextChar"/>
    <w:link w:val="CommentSubject"/>
    <w:uiPriority w:val="99"/>
    <w:semiHidden/>
    <w:rsid w:val="00A37A4C"/>
    <w:rPr>
      <w:rFonts w:ascii="Times New Roman" w:eastAsia="Times New Roman" w:hAnsi="Times New Roman" w:cs="Times New Roman"/>
      <w:b/>
      <w:bCs/>
      <w:sz w:val="20"/>
      <w:szCs w:val="20"/>
      <w:lang w:val="en-CA" w:eastAsia="en-CA"/>
    </w:rPr>
  </w:style>
  <w:style w:type="character" w:customStyle="1" w:styleId="lawlabel2">
    <w:name w:val="lawlabel2"/>
    <w:basedOn w:val="DefaultParagraphFont"/>
    <w:rsid w:val="00A37A4C"/>
    <w:rPr>
      <w:b/>
      <w:bCs/>
      <w:color w:val="000000"/>
    </w:rPr>
  </w:style>
  <w:style w:type="character" w:customStyle="1" w:styleId="SCCLsocPartyRoleChar">
    <w:name w:val="SCC.Lsoc.PartyRole Char"/>
    <w:basedOn w:val="DefaultParagraphFont"/>
    <w:rsid w:val="00854816"/>
    <w:rPr>
      <w:lang w:val="fr-CA"/>
    </w:rPr>
  </w:style>
  <w:style w:type="paragraph" w:customStyle="1" w:styleId="SCCLsocPrefix">
    <w:name w:val="SCC.Lsoc.Prefix"/>
    <w:basedOn w:val="Normal"/>
    <w:next w:val="Normal"/>
    <w:link w:val="SCCLsocPrefixChar"/>
    <w:rsid w:val="00854816"/>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854816"/>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3A508-11FE-407D-87AD-09BD64D8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64</Pages>
  <Words>15032</Words>
  <Characters>85686</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100517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Audet Suzanne</cp:lastModifiedBy>
  <cp:revision>29</cp:revision>
  <cp:lastPrinted>2017-10-18T18:41:00Z</cp:lastPrinted>
  <dcterms:created xsi:type="dcterms:W3CDTF">2017-03-17T19:25:00Z</dcterms:created>
  <dcterms:modified xsi:type="dcterms:W3CDTF">2017-10-18T18:43:00Z</dcterms:modified>
</cp:coreProperties>
</file>