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75" w:rsidRDefault="00CB2B75" w:rsidP="00CB2B7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4.25pt" o:ole="">
            <v:imagedata r:id="rId7" o:title=""/>
          </v:shape>
          <o:OLEObject Type="Embed" ProgID="Presentations.Drawing.17" ShapeID="_x0000_i1025" DrawAspect="Content" ObjectID="_1581496153" r:id="rId8"/>
        </w:object>
      </w:r>
      <w:r>
        <w:t xml:space="preserve"> </w:t>
      </w:r>
      <w:r>
        <w:ptab w:relativeTo="margin" w:alignment="right" w:leader="none"/>
      </w:r>
    </w:p>
    <w:p w:rsidR="00CB2B75" w:rsidRDefault="00CB2B75" w:rsidP="00CB2B75">
      <w:pPr>
        <w:pStyle w:val="Header"/>
      </w:pPr>
    </w:p>
    <w:p w:rsidR="00CB2B75" w:rsidRPr="001E12E2" w:rsidRDefault="00CB2B75" w:rsidP="00CB2B75">
      <w:pPr>
        <w:jc w:val="center"/>
        <w:rPr>
          <w:b/>
        </w:rPr>
      </w:pPr>
      <w:r w:rsidRPr="001E12E2">
        <w:rPr>
          <w:b/>
        </w:rPr>
        <w:t>COUR SUPRÊME DU CANADA</w:t>
      </w:r>
    </w:p>
    <w:p w:rsidR="00CB2B75" w:rsidRDefault="00CB2B75" w:rsidP="00CB2B7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CB2B75" w:rsidRPr="001E12E2" w:rsidTr="00FB3DBE">
        <w:trPr>
          <w:cantSplit/>
        </w:trPr>
        <w:tc>
          <w:tcPr>
            <w:tcW w:w="5490" w:type="dxa"/>
          </w:tcPr>
          <w:p w:rsidR="00CB2B75" w:rsidRPr="00CB2B75" w:rsidRDefault="00CB2B75" w:rsidP="00FB3DBE">
            <w:pPr>
              <w:spacing w:after="720"/>
              <w:jc w:val="both"/>
              <w:rPr>
                <w:szCs w:val="20"/>
                <w:lang w:val="fr-CA"/>
              </w:rPr>
            </w:pPr>
            <w:r w:rsidRPr="00CB2B75">
              <w:rPr>
                <w:b/>
                <w:smallCaps/>
                <w:lang w:val="fr-CA"/>
              </w:rPr>
              <w:t>Référence :</w:t>
            </w:r>
            <w:r w:rsidRPr="00CB2B75">
              <w:rPr>
                <w:lang w:val="fr-CA"/>
              </w:rPr>
              <w:t xml:space="preserve"> </w:t>
            </w:r>
            <w:r w:rsidRPr="00CB2B75">
              <w:rPr>
                <w:rStyle w:val="SCCAppellantForIndexChar"/>
                <w:rFonts w:eastAsiaTheme="minorHAnsi"/>
                <w:b w:val="0"/>
                <w:lang w:val="fr-CA"/>
              </w:rPr>
              <w:t>Green</w:t>
            </w:r>
            <w:r w:rsidRPr="00CB2B75">
              <w:rPr>
                <w:lang w:val="fr-CA"/>
              </w:rPr>
              <w:t xml:space="preserve"> </w:t>
            </w:r>
            <w:r w:rsidRPr="00CB2B75">
              <w:rPr>
                <w:i/>
                <w:lang w:val="fr-CA"/>
              </w:rPr>
              <w:t>c.</w:t>
            </w:r>
            <w:r w:rsidRPr="00CB2B75">
              <w:rPr>
                <w:lang w:val="fr-CA"/>
              </w:rPr>
              <w:t xml:space="preserve"> </w:t>
            </w:r>
            <w:r w:rsidRPr="00CB2B75">
              <w:rPr>
                <w:rStyle w:val="SCCRespondentForIndexChar"/>
                <w:rFonts w:eastAsiaTheme="minorHAnsi"/>
                <w:b w:val="0"/>
                <w:lang w:val="fr-CA"/>
              </w:rPr>
              <w:t>Société du Barreau du Manitoba, 2017 CSC 20</w:t>
            </w:r>
            <w:r>
              <w:rPr>
                <w:rStyle w:val="SCCRespondentForIndexChar"/>
                <w:rFonts w:eastAsiaTheme="minorHAnsi"/>
                <w:b w:val="0"/>
                <w:lang w:val="fr-CA"/>
              </w:rPr>
              <w:t>, [2017] 1 R.C.S. 360</w:t>
            </w:r>
          </w:p>
        </w:tc>
        <w:tc>
          <w:tcPr>
            <w:tcW w:w="4086" w:type="dxa"/>
          </w:tcPr>
          <w:p w:rsidR="00CB2B75" w:rsidRPr="00CB2B75" w:rsidRDefault="00CB2B75" w:rsidP="00FB3DBE">
            <w:pPr>
              <w:rPr>
                <w:lang w:val="fr-CA"/>
              </w:rPr>
            </w:pPr>
            <w:r w:rsidRPr="00CB2B75">
              <w:rPr>
                <w:b/>
                <w:smallCaps/>
                <w:lang w:val="fr-CA"/>
              </w:rPr>
              <w:t>Appel entendu :</w:t>
            </w:r>
            <w:r w:rsidRPr="00CB2B75">
              <w:rPr>
                <w:lang w:val="fr-CA"/>
              </w:rPr>
              <w:t xml:space="preserve"> 9 novembre 2016</w:t>
            </w:r>
          </w:p>
          <w:p w:rsidR="00CB2B75" w:rsidRPr="00CB2B75" w:rsidRDefault="00CB2B75" w:rsidP="00FB3DBE">
            <w:pPr>
              <w:rPr>
                <w:lang w:val="fr-CA"/>
              </w:rPr>
            </w:pPr>
            <w:r w:rsidRPr="00CB2B75">
              <w:rPr>
                <w:b/>
                <w:smallCaps/>
                <w:lang w:val="fr-CA"/>
              </w:rPr>
              <w:t>Jugement rendu :</w:t>
            </w:r>
            <w:r w:rsidRPr="00CB2B75">
              <w:rPr>
                <w:lang w:val="fr-CA"/>
              </w:rPr>
              <w:t xml:space="preserve"> 30 mars 2017</w:t>
            </w:r>
          </w:p>
          <w:p w:rsidR="00CB2B75" w:rsidRPr="001E12E2" w:rsidRDefault="00CB2B75" w:rsidP="00FB3DBE">
            <w:r w:rsidRPr="001E12E2">
              <w:rPr>
                <w:b/>
                <w:smallCaps/>
              </w:rPr>
              <w:t>Do</w:t>
            </w:r>
            <w:r>
              <w:rPr>
                <w:b/>
                <w:smallCaps/>
              </w:rPr>
              <w:t>ssier :</w:t>
            </w:r>
            <w:r w:rsidRPr="001E12E2">
              <w:t xml:space="preserve"> </w:t>
            </w:r>
            <w:r>
              <w:t>36583</w:t>
            </w:r>
          </w:p>
        </w:tc>
      </w:tr>
    </w:tbl>
    <w:p w:rsidR="00CB2B75" w:rsidRPr="001E12E2" w:rsidRDefault="00CB2B75" w:rsidP="00CB2B75"/>
    <w:p w:rsidR="00CB2B75" w:rsidRDefault="00CB2B75" w:rsidP="00CB2B75">
      <w:pPr>
        <w:pStyle w:val="SCCLsocPrefix"/>
      </w:pPr>
      <w:r>
        <w:t>Entre :</w:t>
      </w:r>
    </w:p>
    <w:p w:rsidR="00CB2B75" w:rsidRDefault="00CB2B75" w:rsidP="00CB2B75">
      <w:pPr>
        <w:pStyle w:val="SCCLsocParty"/>
        <w:jc w:val="center"/>
      </w:pPr>
      <w:r>
        <w:t>Sidney Green</w:t>
      </w:r>
    </w:p>
    <w:p w:rsidR="00CB2B75" w:rsidRDefault="00CB2B75" w:rsidP="00CB2B75">
      <w:pPr>
        <w:jc w:val="center"/>
      </w:pPr>
      <w:r>
        <w:t>Appelant</w:t>
      </w:r>
    </w:p>
    <w:p w:rsidR="00CB2B75" w:rsidRDefault="00CB2B75" w:rsidP="00CB2B75">
      <w:pPr>
        <w:pStyle w:val="SCCLsocVersus"/>
        <w:spacing w:after="0"/>
        <w:jc w:val="center"/>
      </w:pPr>
    </w:p>
    <w:p w:rsidR="00CB2B75" w:rsidRPr="00CB2B75" w:rsidRDefault="00CB2B75" w:rsidP="00CB2B75">
      <w:pPr>
        <w:pStyle w:val="SCCLsocVersus"/>
        <w:spacing w:after="0"/>
        <w:jc w:val="center"/>
        <w:rPr>
          <w:i w:val="0"/>
        </w:rPr>
      </w:pPr>
      <w:r w:rsidRPr="00CB2B75">
        <w:rPr>
          <w:i w:val="0"/>
        </w:rPr>
        <w:t>et</w:t>
      </w:r>
    </w:p>
    <w:p w:rsidR="00CB2B75" w:rsidRDefault="00CB2B75" w:rsidP="00CB2B75">
      <w:pPr>
        <w:pStyle w:val="SCCLsocParty"/>
        <w:jc w:val="center"/>
      </w:pPr>
    </w:p>
    <w:p w:rsidR="00CB2B75" w:rsidRPr="00CB2B75" w:rsidRDefault="00CB2B75" w:rsidP="00CB2B75">
      <w:pPr>
        <w:pStyle w:val="SCCLsocParty"/>
        <w:jc w:val="center"/>
        <w:rPr>
          <w:lang w:val="fr-CA"/>
        </w:rPr>
      </w:pPr>
      <w:r w:rsidRPr="00CB2B75">
        <w:rPr>
          <w:lang w:val="fr-CA"/>
        </w:rPr>
        <w:t>La Société du Barreau du Manitoba</w:t>
      </w:r>
    </w:p>
    <w:p w:rsidR="00CB2B75" w:rsidRPr="00CB2B75" w:rsidRDefault="00CB2B75" w:rsidP="00CB2B75">
      <w:pPr>
        <w:jc w:val="center"/>
        <w:rPr>
          <w:lang w:val="fr-CA"/>
        </w:rPr>
      </w:pPr>
      <w:r w:rsidRPr="00CB2B75">
        <w:rPr>
          <w:lang w:val="fr-CA"/>
        </w:rPr>
        <w:t>Intimée</w:t>
      </w:r>
    </w:p>
    <w:p w:rsidR="00CB2B75" w:rsidRPr="00CB2B75" w:rsidRDefault="00CB2B75" w:rsidP="00CB2B75">
      <w:pPr>
        <w:pStyle w:val="SCCLsocOtherPartySeparator"/>
        <w:spacing w:after="0"/>
        <w:jc w:val="center"/>
        <w:rPr>
          <w:lang w:val="fr-CA"/>
        </w:rPr>
      </w:pPr>
    </w:p>
    <w:p w:rsidR="00CB2B75" w:rsidRPr="00CB2B75" w:rsidRDefault="00CB2B75" w:rsidP="00CB2B75">
      <w:pPr>
        <w:pStyle w:val="SCCLsocOtherPartySeparator"/>
        <w:spacing w:after="0"/>
        <w:jc w:val="center"/>
        <w:rPr>
          <w:lang w:val="fr-CA"/>
        </w:rPr>
      </w:pPr>
      <w:r w:rsidRPr="00CB2B75">
        <w:rPr>
          <w:lang w:val="fr-CA"/>
        </w:rPr>
        <w:t>- et -</w:t>
      </w:r>
    </w:p>
    <w:p w:rsidR="00CB2B75" w:rsidRPr="00CB2B75" w:rsidRDefault="00CB2B75" w:rsidP="00CB2B75">
      <w:pPr>
        <w:pStyle w:val="SCCLsocParty"/>
        <w:jc w:val="center"/>
        <w:rPr>
          <w:lang w:val="fr-CA"/>
        </w:rPr>
      </w:pPr>
    </w:p>
    <w:p w:rsidR="00CB2B75" w:rsidRPr="00CB2B75" w:rsidRDefault="00CB2B75" w:rsidP="00CB2B75">
      <w:pPr>
        <w:pStyle w:val="SCCLsocParty"/>
        <w:jc w:val="center"/>
        <w:rPr>
          <w:lang w:val="fr-CA"/>
        </w:rPr>
      </w:pPr>
      <w:r w:rsidRPr="00CB2B75">
        <w:rPr>
          <w:lang w:val="fr-CA"/>
        </w:rPr>
        <w:t>Fédération des ordres professionnels de juristes du Canada</w:t>
      </w:r>
    </w:p>
    <w:p w:rsidR="00CB2B75" w:rsidRPr="00534561" w:rsidRDefault="00CB2B75" w:rsidP="00CB2B75">
      <w:pPr>
        <w:jc w:val="center"/>
        <w:rPr>
          <w:lang w:val="fr-CA"/>
        </w:rPr>
      </w:pPr>
      <w:r w:rsidRPr="00534561">
        <w:rPr>
          <w:lang w:val="fr-CA"/>
        </w:rPr>
        <w:t>Intervenante</w:t>
      </w:r>
    </w:p>
    <w:p w:rsidR="00CB2B75" w:rsidRPr="00534561" w:rsidRDefault="00CB2B75" w:rsidP="00CB2B75">
      <w:pPr>
        <w:rPr>
          <w:lang w:val="fr-CA"/>
        </w:rPr>
      </w:pPr>
    </w:p>
    <w:p w:rsidR="00CB2B75" w:rsidRPr="00CB2B75" w:rsidRDefault="00CB2B75" w:rsidP="00CB2B75">
      <w:pPr>
        <w:jc w:val="center"/>
        <w:rPr>
          <w:b/>
          <w:smallCaps/>
          <w:lang w:val="fr-CA"/>
        </w:rPr>
      </w:pPr>
      <w:r w:rsidRPr="00CB2B75">
        <w:rPr>
          <w:b/>
          <w:smallCaps/>
          <w:lang w:val="fr-CA"/>
        </w:rPr>
        <w:t>Traduction française officielle</w:t>
      </w:r>
    </w:p>
    <w:p w:rsidR="00CB2B75" w:rsidRPr="00CB2B75" w:rsidRDefault="00CB2B75" w:rsidP="00CB2B75">
      <w:pPr>
        <w:rPr>
          <w:lang w:val="fr-CA"/>
        </w:rPr>
      </w:pPr>
    </w:p>
    <w:p w:rsidR="00CB2B75" w:rsidRPr="00CB2B75" w:rsidRDefault="00CB2B75" w:rsidP="00CB2B75">
      <w:pPr>
        <w:rPr>
          <w:lang w:val="fr-CA"/>
        </w:rPr>
      </w:pPr>
      <w:r w:rsidRPr="00CB2B75">
        <w:rPr>
          <w:b/>
          <w:smallCaps/>
          <w:lang w:val="fr-CA"/>
        </w:rPr>
        <w:t>Coram :</w:t>
      </w:r>
      <w:r w:rsidRPr="00CB2B75">
        <w:rPr>
          <w:lang w:val="fr-CA"/>
        </w:rPr>
        <w:t xml:space="preserve"> La juge en chef McLachlin et les juges Abella, Moldaver, Karakatsanis, Wagner, Gascon et Côté</w:t>
      </w:r>
    </w:p>
    <w:p w:rsidR="00CB2B75" w:rsidRPr="00CB2B75" w:rsidRDefault="00CB2B75" w:rsidP="00CB2B7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B2B75" w:rsidRPr="007F0B4C" w:rsidTr="00FB3DBE">
        <w:trPr>
          <w:cantSplit/>
        </w:trPr>
        <w:tc>
          <w:tcPr>
            <w:tcW w:w="3618" w:type="dxa"/>
          </w:tcPr>
          <w:p w:rsidR="00CB2B75" w:rsidRPr="00CB2B75" w:rsidRDefault="00CB2B75" w:rsidP="00FB3DBE">
            <w:pPr>
              <w:rPr>
                <w:lang w:val="fr-CA"/>
              </w:rPr>
            </w:pPr>
            <w:r w:rsidRPr="00CB2B75">
              <w:rPr>
                <w:b/>
                <w:smallCaps/>
                <w:lang w:val="fr-CA"/>
              </w:rPr>
              <w:t>Motifs de jugement :</w:t>
            </w:r>
          </w:p>
          <w:p w:rsidR="00CB2B75" w:rsidRPr="00CB2B75" w:rsidRDefault="00CB2B75" w:rsidP="00FB3DBE">
            <w:pPr>
              <w:rPr>
                <w:lang w:val="fr-CA"/>
              </w:rPr>
            </w:pPr>
            <w:r w:rsidRPr="00CB2B75">
              <w:rPr>
                <w:lang w:val="fr-CA"/>
              </w:rPr>
              <w:t>(par. 1 à 69)</w:t>
            </w:r>
          </w:p>
        </w:tc>
        <w:tc>
          <w:tcPr>
            <w:tcW w:w="5958" w:type="dxa"/>
          </w:tcPr>
          <w:p w:rsidR="00CB2B75" w:rsidRPr="00CB2B75" w:rsidRDefault="00CB2B75" w:rsidP="00FB3DBE">
            <w:pPr>
              <w:rPr>
                <w:lang w:val="fr-CA"/>
              </w:rPr>
            </w:pPr>
            <w:r w:rsidRPr="00CB2B75">
              <w:rPr>
                <w:lang w:val="fr-CA"/>
              </w:rPr>
              <w:t>Le juge Wagner (avec l’accord de la juge en chef McLachlin et des juges Moldaver, Karakatsanis  et Gascon)</w:t>
            </w:r>
          </w:p>
        </w:tc>
      </w:tr>
    </w:tbl>
    <w:p w:rsidR="00CB2B75" w:rsidRPr="00CB2B75" w:rsidRDefault="00CB2B75" w:rsidP="00CB2B7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B2B75" w:rsidRPr="007F0B4C" w:rsidTr="00FB3DBE">
        <w:trPr>
          <w:cantSplit/>
        </w:trPr>
        <w:tc>
          <w:tcPr>
            <w:tcW w:w="3618" w:type="dxa"/>
          </w:tcPr>
          <w:p w:rsidR="00CB2B75" w:rsidRDefault="00CB2B75" w:rsidP="00FB3DBE">
            <w:pPr>
              <w:rPr>
                <w:b/>
                <w:smallCaps/>
              </w:rPr>
            </w:pPr>
            <w:r>
              <w:rPr>
                <w:b/>
                <w:smallCaps/>
              </w:rPr>
              <w:t>Motifs</w:t>
            </w:r>
            <w:r w:rsidRPr="001E12E2">
              <w:rPr>
                <w:b/>
                <w:smallCaps/>
              </w:rPr>
              <w:t xml:space="preserve"> </w:t>
            </w:r>
            <w:r>
              <w:rPr>
                <w:b/>
                <w:smallCaps/>
              </w:rPr>
              <w:t>dissidents :</w:t>
            </w:r>
          </w:p>
          <w:p w:rsidR="003E628C" w:rsidRDefault="003E628C" w:rsidP="00FB3DBE"/>
          <w:p w:rsidR="003E628C" w:rsidRDefault="003E628C" w:rsidP="00FB3DBE"/>
          <w:p w:rsidR="003E628C" w:rsidRDefault="003E628C" w:rsidP="00FB3DBE">
            <w:r>
              <w:t>+/.</w:t>
            </w:r>
          </w:p>
          <w:p w:rsidR="00CB2B75" w:rsidRPr="001E12E2" w:rsidRDefault="003E628C" w:rsidP="003E628C">
            <w:r>
              <w:t>/*+</w:t>
            </w:r>
            <w:r w:rsidR="00CB2B75">
              <w:t>r</w:t>
            </w:r>
            <w:r w:rsidR="00CB2B75" w:rsidRPr="007467D4">
              <w:t>. 70 à 98</w:t>
            </w:r>
            <w:r w:rsidR="00CB2B75">
              <w:t>)</w:t>
            </w:r>
          </w:p>
        </w:tc>
        <w:tc>
          <w:tcPr>
            <w:tcW w:w="5958" w:type="dxa"/>
          </w:tcPr>
          <w:p w:rsidR="00CB2B75" w:rsidRPr="00CB2B75" w:rsidRDefault="00CB2B75" w:rsidP="00FB3DBE">
            <w:pPr>
              <w:rPr>
                <w:lang w:val="fr-CA"/>
              </w:rPr>
            </w:pPr>
            <w:r w:rsidRPr="00CB2B75">
              <w:rPr>
                <w:lang w:val="fr-CA"/>
              </w:rPr>
              <w:t>La juge Abella (avec l’accord de la juge Côté)</w:t>
            </w:r>
          </w:p>
        </w:tc>
      </w:tr>
    </w:tbl>
    <w:p w:rsidR="00CB2B75" w:rsidRPr="00CB2B75" w:rsidRDefault="00CB2B75" w:rsidP="00CB2B75">
      <w:pPr>
        <w:rPr>
          <w:lang w:val="fr-CA"/>
        </w:rPr>
      </w:pPr>
      <w:r>
        <w:rPr>
          <w:noProof/>
          <w:lang w:val="en-US" w:eastAsia="en-US"/>
        </w:rPr>
        <mc:AlternateContent>
          <mc:Choice Requires="wps">
            <w:drawing>
              <wp:anchor distT="0" distB="0" distL="114300" distR="114300" simplePos="0" relativeHeight="251659264" behindDoc="0" locked="0" layoutInCell="1" allowOverlap="1" wp14:anchorId="046F4A9F" wp14:editId="3C8E564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0D5C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sidR="003E628C">
        <w:rPr>
          <w:lang w:val="fr-CA"/>
        </w:rPr>
        <w:t>¬¯vmncb</w:t>
      </w:r>
    </w:p>
    <w:p w:rsidR="00CB2B75" w:rsidRDefault="00CB2B75" w:rsidP="00987CB6">
      <w:pPr>
        <w:widowControl w:val="0"/>
        <w:spacing w:after="720"/>
        <w:jc w:val="both"/>
        <w:rPr>
          <w:rStyle w:val="SCCAppellantForRunningHeadChar"/>
          <w:smallCaps w:val="0"/>
          <w:lang w:val="fr-CA"/>
        </w:rPr>
      </w:pPr>
    </w:p>
    <w:p w:rsidR="004D7D95" w:rsidRPr="005B589B" w:rsidRDefault="005B589B" w:rsidP="00987CB6">
      <w:pPr>
        <w:widowControl w:val="0"/>
        <w:spacing w:after="720"/>
        <w:jc w:val="both"/>
        <w:rPr>
          <w:smallCaps/>
          <w:lang w:val="fr-CA"/>
        </w:rPr>
      </w:pPr>
      <w:r>
        <w:rPr>
          <w:rStyle w:val="SCCAppellantForRunningHeadChar"/>
          <w:smallCaps w:val="0"/>
          <w:lang w:val="fr-CA"/>
        </w:rPr>
        <w:lastRenderedPageBreak/>
        <w:t xml:space="preserve">Green </w:t>
      </w:r>
      <w:r w:rsidRPr="005B589B">
        <w:rPr>
          <w:rStyle w:val="SCCAppellantForRunningHeadChar"/>
          <w:i/>
          <w:smallCaps w:val="0"/>
          <w:lang w:val="fr-CA"/>
        </w:rPr>
        <w:t>c.</w:t>
      </w:r>
      <w:r>
        <w:rPr>
          <w:rStyle w:val="SCCAppellantForRunningHeadChar"/>
          <w:smallCaps w:val="0"/>
          <w:lang w:val="fr-CA"/>
        </w:rPr>
        <w:t xml:space="preserve"> S</w:t>
      </w:r>
      <w:r w:rsidR="004D7D95" w:rsidRPr="005B589B">
        <w:rPr>
          <w:rStyle w:val="SCCRespondentForRunningHeadChar"/>
          <w:smallCaps w:val="0"/>
          <w:lang w:val="fr-CA"/>
        </w:rPr>
        <w:t xml:space="preserve">ociété du </w:t>
      </w:r>
      <w:r>
        <w:rPr>
          <w:rStyle w:val="SCCRespondentForRunningHeadChar"/>
          <w:smallCaps w:val="0"/>
          <w:lang w:val="fr-CA"/>
        </w:rPr>
        <w:t>B</w:t>
      </w:r>
      <w:r w:rsidR="004D7D95" w:rsidRPr="005B589B">
        <w:rPr>
          <w:rStyle w:val="SCCRespondentForRunningHeadChar"/>
          <w:smallCaps w:val="0"/>
          <w:lang w:val="fr-CA"/>
        </w:rPr>
        <w:t xml:space="preserve">arreau du </w:t>
      </w:r>
      <w:r>
        <w:rPr>
          <w:rStyle w:val="SCCRespondentForRunningHeadChar"/>
          <w:smallCaps w:val="0"/>
          <w:lang w:val="fr-CA"/>
        </w:rPr>
        <w:t>M</w:t>
      </w:r>
      <w:r w:rsidR="004D7D95" w:rsidRPr="005B589B">
        <w:rPr>
          <w:rStyle w:val="SCCRespondentForRunningHeadChar"/>
          <w:smallCaps w:val="0"/>
          <w:lang w:val="fr-CA"/>
        </w:rPr>
        <w:t>anitoba</w:t>
      </w:r>
      <w:r>
        <w:rPr>
          <w:rStyle w:val="SCCRespondentForRunningHeadChar"/>
          <w:smallCaps w:val="0"/>
          <w:lang w:val="fr-CA"/>
        </w:rPr>
        <w:t xml:space="preserve">, </w:t>
      </w:r>
      <w:r w:rsidRPr="00AA33D3">
        <w:rPr>
          <w:lang w:val="fr-CA"/>
        </w:rPr>
        <w:t>2017 CSC 20</w:t>
      </w:r>
      <w:r>
        <w:rPr>
          <w:lang w:val="fr-CA"/>
        </w:rPr>
        <w:t>, [2017] 1 R.C.S. 360</w:t>
      </w:r>
    </w:p>
    <w:p w:rsidR="0000429B" w:rsidRPr="00AA33D3" w:rsidRDefault="00A120BD" w:rsidP="003E628C">
      <w:pPr>
        <w:pStyle w:val="SCCLsocLastPartyInRole"/>
        <w:widowControl w:val="0"/>
        <w:rPr>
          <w:lang w:val="fr-CA"/>
        </w:rPr>
      </w:pPr>
      <w:r w:rsidRPr="00AA33D3">
        <w:rPr>
          <w:lang w:val="fr-CA"/>
        </w:rPr>
        <w:t>Sidney Green</w:t>
      </w:r>
      <w:r w:rsidRPr="00AA33D3">
        <w:rPr>
          <w:rStyle w:val="SCCLsocPartyRole"/>
          <w:lang w:val="fr-CA"/>
        </w:rPr>
        <w:tab/>
        <w:t>Appelant</w:t>
      </w:r>
      <w:r w:rsidRPr="00AA33D3">
        <w:rPr>
          <w:lang w:val="fr-CA"/>
        </w:rPr>
        <w:t>c.</w:t>
      </w:r>
    </w:p>
    <w:p w:rsidR="0000429B" w:rsidRPr="00AA33D3" w:rsidRDefault="00336E51" w:rsidP="00987CB6">
      <w:pPr>
        <w:pStyle w:val="SCCLsocLastPartyInRole"/>
        <w:widowControl w:val="0"/>
        <w:rPr>
          <w:lang w:val="fr-CA"/>
        </w:rPr>
      </w:pPr>
      <w:r w:rsidRPr="00AA33D3">
        <w:rPr>
          <w:lang w:val="fr-CA"/>
        </w:rPr>
        <w:t xml:space="preserve">La </w:t>
      </w:r>
      <w:r w:rsidR="00A120BD" w:rsidRPr="00AA33D3">
        <w:rPr>
          <w:lang w:val="fr-CA"/>
        </w:rPr>
        <w:t>Société du Barreau du Manitoba</w:t>
      </w:r>
      <w:r w:rsidR="00A120BD" w:rsidRPr="00AA33D3">
        <w:rPr>
          <w:rStyle w:val="SCCLsocPartyRole"/>
          <w:lang w:val="fr-CA"/>
        </w:rPr>
        <w:tab/>
        <w:t>Intimée</w:t>
      </w:r>
    </w:p>
    <w:p w:rsidR="0000429B" w:rsidRPr="00AA33D3" w:rsidRDefault="00A120BD" w:rsidP="00987CB6">
      <w:pPr>
        <w:pStyle w:val="SCCLsocOtherPartySeparator"/>
        <w:widowControl w:val="0"/>
        <w:rPr>
          <w:lang w:val="fr-CA"/>
        </w:rPr>
      </w:pPr>
      <w:r w:rsidRPr="00AA33D3">
        <w:rPr>
          <w:lang w:val="fr-CA"/>
        </w:rPr>
        <w:t>et</w:t>
      </w:r>
    </w:p>
    <w:p w:rsidR="0000429B" w:rsidRPr="00AA33D3" w:rsidRDefault="00A120BD" w:rsidP="00987CB6">
      <w:pPr>
        <w:pStyle w:val="SCCLsocLastPartyInRole"/>
        <w:widowControl w:val="0"/>
        <w:rPr>
          <w:lang w:val="fr-CA"/>
        </w:rPr>
      </w:pPr>
      <w:r w:rsidRPr="00AA33D3">
        <w:rPr>
          <w:lang w:val="fr-CA"/>
        </w:rPr>
        <w:t>Fédération des ordres professionnels de juristes du Canada</w:t>
      </w:r>
      <w:r w:rsidRPr="00AA33D3">
        <w:rPr>
          <w:rStyle w:val="SCCLsocPartyRole"/>
          <w:lang w:val="fr-CA"/>
        </w:rPr>
        <w:tab/>
        <w:t>Intervenante</w:t>
      </w:r>
    </w:p>
    <w:p w:rsidR="004D7D95" w:rsidRPr="00AA33D3" w:rsidRDefault="002C2D76" w:rsidP="00987CB6">
      <w:pPr>
        <w:widowControl w:val="0"/>
        <w:spacing w:after="720"/>
        <w:jc w:val="both"/>
        <w:rPr>
          <w:b/>
          <w:lang w:val="fr-CA"/>
        </w:rPr>
      </w:pPr>
      <w:r w:rsidRPr="00AA33D3">
        <w:rPr>
          <w:b/>
          <w:lang w:val="fr-CA"/>
        </w:rPr>
        <w:t>Répertorié</w:t>
      </w:r>
      <w:r w:rsidR="004425A5" w:rsidRPr="00AA33D3">
        <w:rPr>
          <w:b/>
          <w:lang w:val="fr-CA"/>
        </w:rPr>
        <w:t> :</w:t>
      </w:r>
      <w:r w:rsidRPr="00AA33D3">
        <w:rPr>
          <w:b/>
          <w:lang w:val="fr-CA"/>
        </w:rPr>
        <w:t> </w:t>
      </w:r>
      <w:r w:rsidR="004D7D95" w:rsidRPr="00AA33D3">
        <w:rPr>
          <w:rStyle w:val="SCCAppellantForIndexChar"/>
          <w:lang w:val="fr-CA"/>
        </w:rPr>
        <w:t>Green</w:t>
      </w:r>
      <w:r w:rsidR="004D7D95" w:rsidRPr="00AA33D3">
        <w:rPr>
          <w:b/>
          <w:lang w:val="fr-CA"/>
        </w:rPr>
        <w:t xml:space="preserve"> </w:t>
      </w:r>
      <w:r w:rsidR="004D7D95" w:rsidRPr="00AA33D3">
        <w:rPr>
          <w:b/>
          <w:i/>
          <w:lang w:val="fr-CA"/>
        </w:rPr>
        <w:t>c.</w:t>
      </w:r>
      <w:r w:rsidR="004D7D95" w:rsidRPr="00AA33D3">
        <w:rPr>
          <w:b/>
          <w:lang w:val="fr-CA"/>
        </w:rPr>
        <w:t xml:space="preserve"> </w:t>
      </w:r>
      <w:r w:rsidR="004D7D95" w:rsidRPr="00AA33D3">
        <w:rPr>
          <w:rStyle w:val="SCCRespondentForIndexChar"/>
          <w:lang w:val="fr-CA"/>
        </w:rPr>
        <w:t>Société du Barreau du Manitoba</w:t>
      </w:r>
    </w:p>
    <w:p w:rsidR="004D7D95" w:rsidRPr="00AA33D3" w:rsidRDefault="00D17B0E" w:rsidP="00987CB6">
      <w:pPr>
        <w:pStyle w:val="SCCSystemYear"/>
        <w:widowControl w:val="0"/>
        <w:spacing w:after="720"/>
        <w:jc w:val="both"/>
        <w:rPr>
          <w:lang w:val="fr-CA"/>
        </w:rPr>
      </w:pPr>
      <w:r w:rsidRPr="00AA33D3">
        <w:rPr>
          <w:lang w:val="fr-CA"/>
        </w:rPr>
        <w:t>201</w:t>
      </w:r>
      <w:r w:rsidR="002C6E46" w:rsidRPr="00AA33D3">
        <w:rPr>
          <w:lang w:val="fr-CA"/>
        </w:rPr>
        <w:t>7</w:t>
      </w:r>
      <w:r w:rsidR="004D7D95" w:rsidRPr="00AA33D3">
        <w:rPr>
          <w:lang w:val="fr-CA"/>
        </w:rPr>
        <w:t xml:space="preserve"> CSC </w:t>
      </w:r>
      <w:r w:rsidR="00F87C08" w:rsidRPr="00AA33D3">
        <w:rPr>
          <w:lang w:val="fr-CA"/>
        </w:rPr>
        <w:t>20</w:t>
      </w:r>
    </w:p>
    <w:p w:rsidR="004D7D95" w:rsidRPr="00AA33D3" w:rsidRDefault="004D7D95" w:rsidP="00987CB6">
      <w:pPr>
        <w:widowControl w:val="0"/>
        <w:spacing w:after="720"/>
        <w:jc w:val="both"/>
        <w:rPr>
          <w:lang w:val="fr-CA"/>
        </w:rPr>
      </w:pPr>
      <w:r w:rsidRPr="00AA33D3">
        <w:rPr>
          <w:lang w:val="fr-CA"/>
        </w:rPr>
        <w:t>N</w:t>
      </w:r>
      <w:r w:rsidRPr="00AA33D3">
        <w:rPr>
          <w:vertAlign w:val="superscript"/>
          <w:lang w:val="fr-CA"/>
        </w:rPr>
        <w:t>o</w:t>
      </w:r>
      <w:r w:rsidRPr="00AA33D3">
        <w:rPr>
          <w:lang w:val="fr-CA"/>
        </w:rPr>
        <w:t xml:space="preserve"> du greffe</w:t>
      </w:r>
      <w:r w:rsidR="004425A5" w:rsidRPr="00AA33D3">
        <w:rPr>
          <w:lang w:val="fr-CA"/>
        </w:rPr>
        <w:t> :</w:t>
      </w:r>
      <w:r w:rsidRPr="00AA33D3">
        <w:rPr>
          <w:lang w:val="fr-CA"/>
        </w:rPr>
        <w:t> 36583.</w:t>
      </w:r>
    </w:p>
    <w:p w:rsidR="004D7D95" w:rsidRPr="00AA33D3" w:rsidRDefault="00D17B0E" w:rsidP="00987CB6">
      <w:pPr>
        <w:widowControl w:val="0"/>
        <w:spacing w:after="720"/>
        <w:jc w:val="both"/>
        <w:rPr>
          <w:lang w:val="fr-CA"/>
        </w:rPr>
      </w:pPr>
      <w:r w:rsidRPr="00AA33D3">
        <w:rPr>
          <w:lang w:val="fr-CA"/>
        </w:rPr>
        <w:t>2016</w:t>
      </w:r>
      <w:r w:rsidR="004425A5" w:rsidRPr="00AA33D3">
        <w:rPr>
          <w:lang w:val="fr-CA"/>
        </w:rPr>
        <w:t> :</w:t>
      </w:r>
      <w:r w:rsidR="002C2D76" w:rsidRPr="00AA33D3">
        <w:rPr>
          <w:lang w:val="fr-CA"/>
        </w:rPr>
        <w:t> </w:t>
      </w:r>
      <w:r w:rsidR="00D4455D" w:rsidRPr="00AA33D3">
        <w:rPr>
          <w:lang w:val="fr-CA"/>
        </w:rPr>
        <w:t>9 </w:t>
      </w:r>
      <w:r w:rsidRPr="00AA33D3">
        <w:rPr>
          <w:lang w:val="fr-CA"/>
        </w:rPr>
        <w:t>novembre</w:t>
      </w:r>
      <w:r w:rsidR="004D7D95" w:rsidRPr="00AA33D3">
        <w:rPr>
          <w:lang w:val="fr-CA"/>
        </w:rPr>
        <w:t xml:space="preserve">; </w:t>
      </w:r>
      <w:r w:rsidR="00787608" w:rsidRPr="00AA33D3">
        <w:rPr>
          <w:lang w:val="fr-CA"/>
        </w:rPr>
        <w:t>2017</w:t>
      </w:r>
      <w:r w:rsidR="004425A5" w:rsidRPr="00AA33D3">
        <w:rPr>
          <w:lang w:val="fr-CA"/>
        </w:rPr>
        <w:t> : 30 </w:t>
      </w:r>
      <w:r w:rsidR="00787608" w:rsidRPr="00AA33D3">
        <w:rPr>
          <w:lang w:val="fr-CA"/>
        </w:rPr>
        <w:t>mars.</w:t>
      </w:r>
    </w:p>
    <w:p w:rsidR="004D7D95" w:rsidRPr="00AA33D3" w:rsidRDefault="004D7D95" w:rsidP="00987CB6">
      <w:pPr>
        <w:widowControl w:val="0"/>
        <w:spacing w:after="720"/>
        <w:jc w:val="both"/>
        <w:rPr>
          <w:lang w:val="fr-CA"/>
        </w:rPr>
      </w:pPr>
      <w:r w:rsidRPr="00AA33D3">
        <w:rPr>
          <w:lang w:val="fr-CA"/>
        </w:rPr>
        <w:t>Présents</w:t>
      </w:r>
      <w:r w:rsidR="004425A5" w:rsidRPr="00AA33D3">
        <w:rPr>
          <w:lang w:val="fr-CA"/>
        </w:rPr>
        <w:t> :</w:t>
      </w:r>
      <w:r w:rsidRPr="00AA33D3">
        <w:rPr>
          <w:lang w:val="fr-CA"/>
        </w:rPr>
        <w:t> La juge en chef McLachlin et les juges Abella, Moldaver, Karakatsanis, Wagner, Gascon et Côté.</w:t>
      </w:r>
    </w:p>
    <w:p w:rsidR="004D7D95" w:rsidRPr="00AA33D3" w:rsidRDefault="004D7D95" w:rsidP="00987CB6">
      <w:pPr>
        <w:widowControl w:val="0"/>
        <w:spacing w:after="720"/>
        <w:jc w:val="both"/>
        <w:rPr>
          <w:smallCaps/>
          <w:lang w:val="fr-CA"/>
        </w:rPr>
      </w:pPr>
      <w:r w:rsidRPr="00AA33D3">
        <w:rPr>
          <w:smallCaps/>
          <w:lang w:val="fr-CA"/>
        </w:rPr>
        <w:t>en appel de la cour d</w:t>
      </w:r>
      <w:r w:rsidR="00AA33D3">
        <w:rPr>
          <w:smallCaps/>
          <w:lang w:val="fr-CA"/>
        </w:rPr>
        <w:t>’</w:t>
      </w:r>
      <w:r w:rsidRPr="00AA33D3">
        <w:rPr>
          <w:smallCaps/>
          <w:lang w:val="fr-CA"/>
        </w:rPr>
        <w:t>appel du manitoba</w:t>
      </w:r>
    </w:p>
    <w:p w:rsidR="00D90FFB" w:rsidRPr="00AA33D3" w:rsidRDefault="004D7D95" w:rsidP="00987CB6">
      <w:pPr>
        <w:pStyle w:val="SCCNormalDoubleSpacing"/>
        <w:widowControl w:val="0"/>
        <w:spacing w:before="480" w:after="480"/>
        <w:rPr>
          <w:lang w:val="fr-CA"/>
        </w:rPr>
      </w:pPr>
      <w:r w:rsidRPr="00AA33D3">
        <w:rPr>
          <w:lang w:val="fr-CA"/>
        </w:rPr>
        <w:tab/>
      </w:r>
      <w:r w:rsidR="009E6500" w:rsidRPr="00AA33D3">
        <w:rPr>
          <w:i/>
          <w:lang w:val="fr-CA"/>
        </w:rPr>
        <w:t>Droit des professions</w:t>
      </w:r>
      <w:r w:rsidR="00001F4F" w:rsidRPr="00AA33D3">
        <w:rPr>
          <w:i/>
          <w:lang w:val="fr-CA"/>
        </w:rPr>
        <w:t xml:space="preserve"> — </w:t>
      </w:r>
      <w:r w:rsidR="009E6500" w:rsidRPr="00AA33D3">
        <w:rPr>
          <w:i/>
          <w:lang w:val="fr-CA"/>
        </w:rPr>
        <w:t>Avocats et procureurs</w:t>
      </w:r>
      <w:r w:rsidR="00D90FFB" w:rsidRPr="00AA33D3">
        <w:rPr>
          <w:i/>
          <w:lang w:val="fr-CA"/>
        </w:rPr>
        <w:t xml:space="preserve"> </w:t>
      </w:r>
      <w:r w:rsidR="009E6500" w:rsidRPr="00AA33D3">
        <w:rPr>
          <w:i/>
          <w:lang w:val="fr-CA"/>
        </w:rPr>
        <w:t xml:space="preserve">— </w:t>
      </w:r>
      <w:r w:rsidR="00D90FFB" w:rsidRPr="00AA33D3">
        <w:rPr>
          <w:i/>
          <w:lang w:val="fr-CA"/>
        </w:rPr>
        <w:t xml:space="preserve">Formation professionnelle continue </w:t>
      </w:r>
      <w:r w:rsidR="009E6500" w:rsidRPr="00AA33D3">
        <w:rPr>
          <w:i/>
          <w:lang w:val="fr-CA"/>
        </w:rPr>
        <w:t>—</w:t>
      </w:r>
      <w:r w:rsidR="00D90FFB" w:rsidRPr="00AA33D3">
        <w:rPr>
          <w:i/>
          <w:lang w:val="fr-CA"/>
        </w:rPr>
        <w:t xml:space="preserve"> Permis d</w:t>
      </w:r>
      <w:r w:rsidR="00AA33D3">
        <w:rPr>
          <w:i/>
          <w:lang w:val="fr-CA"/>
        </w:rPr>
        <w:t>’</w:t>
      </w:r>
      <w:r w:rsidR="00D90FFB" w:rsidRPr="00AA33D3">
        <w:rPr>
          <w:i/>
          <w:lang w:val="fr-CA"/>
        </w:rPr>
        <w:t>exercice d</w:t>
      </w:r>
      <w:r w:rsidR="00AA33D3">
        <w:rPr>
          <w:i/>
          <w:lang w:val="fr-CA"/>
        </w:rPr>
        <w:t>’</w:t>
      </w:r>
      <w:r w:rsidR="00D90FFB" w:rsidRPr="00AA33D3">
        <w:rPr>
          <w:i/>
          <w:lang w:val="fr-CA"/>
        </w:rPr>
        <w:t xml:space="preserve">un avocat suspendu par </w:t>
      </w:r>
      <w:r w:rsidR="00AF280F">
        <w:rPr>
          <w:i/>
          <w:lang w:val="fr-CA"/>
        </w:rPr>
        <w:t xml:space="preserve">le </w:t>
      </w:r>
      <w:r w:rsidR="00667399">
        <w:rPr>
          <w:i/>
          <w:lang w:val="fr-CA"/>
        </w:rPr>
        <w:t>Barreau pour non</w:t>
      </w:r>
      <w:r w:rsidR="00667399">
        <w:rPr>
          <w:i/>
          <w:lang w:val="fr-CA"/>
        </w:rPr>
        <w:noBreakHyphen/>
      </w:r>
      <w:r w:rsidR="00D90FFB" w:rsidRPr="00AA33D3">
        <w:rPr>
          <w:i/>
          <w:lang w:val="fr-CA"/>
        </w:rPr>
        <w:t>respect de</w:t>
      </w:r>
      <w:r w:rsidR="002D026F" w:rsidRPr="00AA33D3">
        <w:rPr>
          <w:i/>
          <w:lang w:val="fr-CA"/>
        </w:rPr>
        <w:t>s</w:t>
      </w:r>
      <w:r w:rsidR="00AF280F">
        <w:rPr>
          <w:i/>
          <w:lang w:val="fr-CA"/>
        </w:rPr>
        <w:t xml:space="preserve"> R</w:t>
      </w:r>
      <w:r w:rsidR="00D90FFB" w:rsidRPr="00AA33D3">
        <w:rPr>
          <w:i/>
          <w:lang w:val="fr-CA"/>
        </w:rPr>
        <w:t xml:space="preserve">ègles </w:t>
      </w:r>
      <w:r w:rsidR="008F5204">
        <w:rPr>
          <w:i/>
          <w:lang w:val="fr-CA"/>
        </w:rPr>
        <w:t>de l</w:t>
      </w:r>
      <w:r w:rsidR="00AF280F">
        <w:rPr>
          <w:i/>
          <w:lang w:val="fr-CA"/>
        </w:rPr>
        <w:t xml:space="preserve">a Société du Barreau du Manitoba </w:t>
      </w:r>
      <w:r w:rsidR="00D90FFB" w:rsidRPr="00AA33D3">
        <w:rPr>
          <w:i/>
          <w:lang w:val="fr-CA"/>
        </w:rPr>
        <w:t xml:space="preserve">qui prévoient une </w:t>
      </w:r>
      <w:r w:rsidR="00D90FFB" w:rsidRPr="00AA33D3">
        <w:rPr>
          <w:i/>
          <w:lang w:val="fr-CA"/>
        </w:rPr>
        <w:lastRenderedPageBreak/>
        <w:t>formatio</w:t>
      </w:r>
      <w:r w:rsidR="009E6500" w:rsidRPr="00AA33D3">
        <w:rPr>
          <w:i/>
          <w:lang w:val="fr-CA"/>
        </w:rPr>
        <w:t xml:space="preserve">n professionnelle obligatoire — </w:t>
      </w:r>
      <w:r w:rsidR="00D90FFB" w:rsidRPr="00AA33D3">
        <w:rPr>
          <w:i/>
          <w:lang w:val="fr-CA"/>
        </w:rPr>
        <w:t>Dé</w:t>
      </w:r>
      <w:r w:rsidR="002D026F" w:rsidRPr="00AA33D3">
        <w:rPr>
          <w:i/>
          <w:lang w:val="fr-CA"/>
        </w:rPr>
        <w:t>cision</w:t>
      </w:r>
      <w:r w:rsidR="00D90FFB" w:rsidRPr="00AA33D3">
        <w:rPr>
          <w:i/>
          <w:lang w:val="fr-CA"/>
        </w:rPr>
        <w:t xml:space="preserve"> sollicitée par </w:t>
      </w:r>
      <w:r w:rsidR="002D026F" w:rsidRPr="00AA33D3">
        <w:rPr>
          <w:i/>
          <w:lang w:val="fr-CA"/>
        </w:rPr>
        <w:t xml:space="preserve">un </w:t>
      </w:r>
      <w:r w:rsidR="00D90FFB" w:rsidRPr="00AA33D3">
        <w:rPr>
          <w:i/>
          <w:lang w:val="fr-CA"/>
        </w:rPr>
        <w:t>avocat</w:t>
      </w:r>
      <w:r w:rsidR="002D026F" w:rsidRPr="00AA33D3">
        <w:rPr>
          <w:i/>
          <w:lang w:val="fr-CA"/>
        </w:rPr>
        <w:t>, déclarant</w:t>
      </w:r>
      <w:r w:rsidR="00D90FFB" w:rsidRPr="00AA33D3">
        <w:rPr>
          <w:i/>
          <w:lang w:val="fr-CA"/>
        </w:rPr>
        <w:t xml:space="preserve"> que les règles contestées sont invalides parce qu</w:t>
      </w:r>
      <w:r w:rsidR="00AA33D3">
        <w:rPr>
          <w:i/>
          <w:lang w:val="fr-CA"/>
        </w:rPr>
        <w:t>’</w:t>
      </w:r>
      <w:r w:rsidR="00D90FFB" w:rsidRPr="00AA33D3">
        <w:rPr>
          <w:i/>
          <w:lang w:val="fr-CA"/>
        </w:rPr>
        <w:t xml:space="preserve">elles prescrivent la suspension </w:t>
      </w:r>
      <w:r w:rsidR="00DF60A8" w:rsidRPr="00AA33D3">
        <w:rPr>
          <w:i/>
          <w:lang w:val="fr-CA"/>
        </w:rPr>
        <w:t xml:space="preserve">du droit de pratique </w:t>
      </w:r>
      <w:r w:rsidR="00D90FFB" w:rsidRPr="00AA33D3">
        <w:rPr>
          <w:i/>
          <w:lang w:val="fr-CA"/>
        </w:rPr>
        <w:t>en cas de non-respect</w:t>
      </w:r>
      <w:r w:rsidR="002362D3" w:rsidRPr="00AA33D3">
        <w:rPr>
          <w:i/>
          <w:lang w:val="fr-CA"/>
        </w:rPr>
        <w:t>, et ce,</w:t>
      </w:r>
      <w:r w:rsidR="00D90FFB" w:rsidRPr="00AA33D3">
        <w:rPr>
          <w:i/>
          <w:lang w:val="fr-CA"/>
        </w:rPr>
        <w:t xml:space="preserve"> sans droit d</w:t>
      </w:r>
      <w:r w:rsidR="00AA33D3">
        <w:rPr>
          <w:i/>
          <w:lang w:val="fr-CA"/>
        </w:rPr>
        <w:t>’</w:t>
      </w:r>
      <w:r w:rsidR="00D90FFB" w:rsidRPr="00AA33D3">
        <w:rPr>
          <w:i/>
          <w:lang w:val="fr-CA"/>
        </w:rPr>
        <w:t>être entendu et sans</w:t>
      </w:r>
      <w:r w:rsidR="009E6500" w:rsidRPr="00AA33D3">
        <w:rPr>
          <w:i/>
          <w:lang w:val="fr-CA"/>
        </w:rPr>
        <w:t xml:space="preserve"> droit d</w:t>
      </w:r>
      <w:r w:rsidR="00AA33D3">
        <w:rPr>
          <w:i/>
          <w:lang w:val="fr-CA"/>
        </w:rPr>
        <w:t>’</w:t>
      </w:r>
      <w:r w:rsidR="009E6500" w:rsidRPr="00AA33D3">
        <w:rPr>
          <w:i/>
          <w:lang w:val="fr-CA"/>
        </w:rPr>
        <w:t xml:space="preserve">appel — </w:t>
      </w:r>
      <w:r w:rsidR="00D90FFB" w:rsidRPr="00AA33D3">
        <w:rPr>
          <w:i/>
          <w:lang w:val="fr-CA"/>
        </w:rPr>
        <w:t xml:space="preserve">Les règles sont-elles valides compte tenu du mandat </w:t>
      </w:r>
      <w:r w:rsidR="002D026F" w:rsidRPr="00AA33D3">
        <w:rPr>
          <w:i/>
          <w:lang w:val="fr-CA"/>
        </w:rPr>
        <w:t>conféré au</w:t>
      </w:r>
      <w:r w:rsidR="00D90FFB" w:rsidRPr="00AA33D3">
        <w:rPr>
          <w:i/>
          <w:lang w:val="fr-CA"/>
        </w:rPr>
        <w:t xml:space="preserve"> Barreau </w:t>
      </w:r>
      <w:r w:rsidR="002D026F" w:rsidRPr="00AA33D3">
        <w:rPr>
          <w:i/>
          <w:lang w:val="fr-CA"/>
        </w:rPr>
        <w:t>par</w:t>
      </w:r>
      <w:r w:rsidR="00D90FFB" w:rsidRPr="00AA33D3">
        <w:rPr>
          <w:i/>
          <w:lang w:val="fr-CA"/>
        </w:rPr>
        <w:t xml:space="preserve"> la Loi sur la profession d</w:t>
      </w:r>
      <w:r w:rsidR="00AA33D3">
        <w:rPr>
          <w:i/>
          <w:lang w:val="fr-CA"/>
        </w:rPr>
        <w:t>’</w:t>
      </w:r>
      <w:r w:rsidR="00D90FFB" w:rsidRPr="00AA33D3">
        <w:rPr>
          <w:i/>
          <w:lang w:val="fr-CA"/>
        </w:rPr>
        <w:t>avocat, C.P.L.M., c. L107</w:t>
      </w:r>
      <w:r w:rsidR="00667399">
        <w:rPr>
          <w:i/>
          <w:lang w:val="fr-CA"/>
        </w:rPr>
        <w:t>?</w:t>
      </w:r>
    </w:p>
    <w:p w:rsidR="002D026F" w:rsidRPr="00AA33D3" w:rsidRDefault="002D026F" w:rsidP="00987CB6">
      <w:pPr>
        <w:pStyle w:val="SCCNormalDoubleSpacing"/>
        <w:widowControl w:val="0"/>
        <w:spacing w:before="480" w:after="480"/>
        <w:rPr>
          <w:i/>
          <w:lang w:val="fr-CA"/>
        </w:rPr>
      </w:pPr>
      <w:r w:rsidRPr="00AA33D3">
        <w:rPr>
          <w:lang w:val="fr-CA"/>
        </w:rPr>
        <w:tab/>
      </w:r>
      <w:r w:rsidR="009E6500" w:rsidRPr="00AA33D3">
        <w:rPr>
          <w:i/>
          <w:lang w:val="fr-CA"/>
        </w:rPr>
        <w:t xml:space="preserve">Droit des professions — Avocats et procureurs — Barreau — </w:t>
      </w:r>
      <w:r w:rsidRPr="00AA33D3">
        <w:rPr>
          <w:i/>
          <w:lang w:val="fr-CA"/>
        </w:rPr>
        <w:t>Règle</w:t>
      </w:r>
      <w:r w:rsidR="002362D3" w:rsidRPr="00AA33D3">
        <w:rPr>
          <w:i/>
          <w:lang w:val="fr-CA"/>
        </w:rPr>
        <w:t>s</w:t>
      </w:r>
      <w:r w:rsidR="009E6500" w:rsidRPr="00AA33D3">
        <w:rPr>
          <w:i/>
          <w:lang w:val="fr-CA"/>
        </w:rPr>
        <w:t xml:space="preserve"> — Norme de contrôle — </w:t>
      </w:r>
      <w:r w:rsidR="00C74F7D" w:rsidRPr="00AA33D3">
        <w:rPr>
          <w:i/>
          <w:lang w:val="fr-CA"/>
        </w:rPr>
        <w:t>Loi sur la profession d</w:t>
      </w:r>
      <w:r w:rsidR="00AA33D3">
        <w:rPr>
          <w:i/>
          <w:lang w:val="fr-CA"/>
        </w:rPr>
        <w:t>’</w:t>
      </w:r>
      <w:r w:rsidR="00C74F7D" w:rsidRPr="00AA33D3">
        <w:rPr>
          <w:i/>
          <w:lang w:val="fr-CA"/>
        </w:rPr>
        <w:t>avocat conférant le pouvoir aux conseillers de la Société du Barreau du Manitoba d</w:t>
      </w:r>
      <w:r w:rsidR="00AA33D3">
        <w:rPr>
          <w:i/>
          <w:lang w:val="fr-CA"/>
        </w:rPr>
        <w:t>’</w:t>
      </w:r>
      <w:r w:rsidR="00C74F7D" w:rsidRPr="00AA33D3">
        <w:rPr>
          <w:i/>
          <w:lang w:val="fr-CA"/>
        </w:rPr>
        <w:t>adopter des règles applicab</w:t>
      </w:r>
      <w:r w:rsidR="009E6500" w:rsidRPr="00AA33D3">
        <w:rPr>
          <w:i/>
          <w:lang w:val="fr-CA"/>
        </w:rPr>
        <w:t>les à l</w:t>
      </w:r>
      <w:r w:rsidR="00AA33D3">
        <w:rPr>
          <w:i/>
          <w:lang w:val="fr-CA"/>
        </w:rPr>
        <w:t>’</w:t>
      </w:r>
      <w:r w:rsidR="009E6500" w:rsidRPr="00AA33D3">
        <w:rPr>
          <w:i/>
          <w:lang w:val="fr-CA"/>
        </w:rPr>
        <w:t xml:space="preserve">ensemble de ses membres — </w:t>
      </w:r>
      <w:r w:rsidR="00C74F7D" w:rsidRPr="00AA33D3">
        <w:rPr>
          <w:i/>
          <w:lang w:val="fr-CA"/>
        </w:rPr>
        <w:t>Norme de contrôle applicable aux règles adoptées par le Barreau.</w:t>
      </w:r>
    </w:p>
    <w:p w:rsidR="00D90FFB" w:rsidRPr="00AA33D3" w:rsidRDefault="00D90FFB" w:rsidP="00987CB6">
      <w:pPr>
        <w:pStyle w:val="SCCNormalDoubleSpacing"/>
        <w:widowControl w:val="0"/>
        <w:spacing w:before="480" w:after="480"/>
        <w:rPr>
          <w:lang w:val="fr-CA"/>
        </w:rPr>
      </w:pPr>
      <w:r w:rsidRPr="00AA33D3">
        <w:rPr>
          <w:i/>
          <w:lang w:val="fr-CA"/>
        </w:rPr>
        <w:tab/>
      </w:r>
      <w:r w:rsidR="009E6500" w:rsidRPr="00AA33D3">
        <w:rPr>
          <w:lang w:val="fr-CA"/>
        </w:rPr>
        <w:t xml:space="preserve">G </w:t>
      </w:r>
      <w:r w:rsidR="00C74F7D" w:rsidRPr="00AA33D3">
        <w:rPr>
          <w:lang w:val="fr-CA"/>
        </w:rPr>
        <w:t>a été admis au B</w:t>
      </w:r>
      <w:r w:rsidRPr="00AA33D3">
        <w:rPr>
          <w:lang w:val="fr-CA"/>
        </w:rPr>
        <w:t xml:space="preserve">arreau en 1955 et il exerce sa profession et est membre </w:t>
      </w:r>
      <w:r w:rsidR="00C74F7D" w:rsidRPr="00AA33D3">
        <w:rPr>
          <w:lang w:val="fr-CA"/>
        </w:rPr>
        <w:t xml:space="preserve">de </w:t>
      </w:r>
      <w:r w:rsidR="00D51351">
        <w:rPr>
          <w:lang w:val="fr-CA"/>
        </w:rPr>
        <w:t>L</w:t>
      </w:r>
      <w:r w:rsidR="00C74F7D" w:rsidRPr="00AA33D3">
        <w:rPr>
          <w:lang w:val="fr-CA"/>
        </w:rPr>
        <w:t xml:space="preserve">a Société </w:t>
      </w:r>
      <w:r w:rsidRPr="00AA33D3">
        <w:rPr>
          <w:lang w:val="fr-CA"/>
        </w:rPr>
        <w:t xml:space="preserve">du Barreau </w:t>
      </w:r>
      <w:r w:rsidR="00C74F7D" w:rsidRPr="00AA33D3">
        <w:rPr>
          <w:lang w:val="fr-CA"/>
        </w:rPr>
        <w:t xml:space="preserve">du Manitoba </w:t>
      </w:r>
      <w:r w:rsidR="00A65F94">
        <w:rPr>
          <w:lang w:val="fr-CA"/>
        </w:rPr>
        <w:t xml:space="preserve">(« Barreau » ou « Société du Barreau ») </w:t>
      </w:r>
      <w:r w:rsidRPr="00AA33D3">
        <w:rPr>
          <w:lang w:val="fr-CA"/>
        </w:rPr>
        <w:t>depuis plus de 60 ans</w:t>
      </w:r>
      <w:r w:rsidR="00AA33D3">
        <w:rPr>
          <w:lang w:val="fr-CA"/>
        </w:rPr>
        <w:t xml:space="preserve">. </w:t>
      </w:r>
      <w:r w:rsidRPr="00AA33D3">
        <w:rPr>
          <w:lang w:val="fr-CA"/>
        </w:rPr>
        <w:t xml:space="preserve">Malgré les règles obligatoires du Barreau qui exigent que tous les avocats en exercice participent à 12 heures </w:t>
      </w:r>
      <w:r w:rsidR="00C74F7D" w:rsidRPr="00AA33D3">
        <w:rPr>
          <w:lang w:val="fr-CA"/>
        </w:rPr>
        <w:t xml:space="preserve">de </w:t>
      </w:r>
      <w:r w:rsidRPr="00AA33D3">
        <w:rPr>
          <w:lang w:val="fr-CA"/>
        </w:rPr>
        <w:t>perfectionnement professionnel permanent («</w:t>
      </w:r>
      <w:r w:rsidR="0029251B">
        <w:rPr>
          <w:lang w:val="fr-CA"/>
        </w:rPr>
        <w:t> </w:t>
      </w:r>
      <w:r w:rsidRPr="00AA33D3">
        <w:rPr>
          <w:lang w:val="fr-CA"/>
        </w:rPr>
        <w:t>PPP</w:t>
      </w:r>
      <w:r w:rsidR="0029251B">
        <w:rPr>
          <w:lang w:val="fr-CA"/>
        </w:rPr>
        <w:t> </w:t>
      </w:r>
      <w:r w:rsidRPr="00AA33D3">
        <w:rPr>
          <w:lang w:val="fr-CA"/>
        </w:rPr>
        <w:t>») par année, G n</w:t>
      </w:r>
      <w:r w:rsidR="00AA33D3">
        <w:rPr>
          <w:lang w:val="fr-CA"/>
        </w:rPr>
        <w:t>’</w:t>
      </w:r>
      <w:r w:rsidRPr="00AA33D3">
        <w:rPr>
          <w:lang w:val="fr-CA"/>
        </w:rPr>
        <w:t xml:space="preserve">a déclaré aucune activité de </w:t>
      </w:r>
      <w:r w:rsidR="00C74F7D" w:rsidRPr="00AA33D3">
        <w:rPr>
          <w:lang w:val="fr-CA"/>
        </w:rPr>
        <w:t>formation</w:t>
      </w:r>
      <w:r w:rsidRPr="00AA33D3">
        <w:rPr>
          <w:lang w:val="fr-CA"/>
        </w:rPr>
        <w:t xml:space="preserve"> pour les années 2012 et 2013</w:t>
      </w:r>
      <w:r w:rsidR="00AA33D3">
        <w:rPr>
          <w:lang w:val="fr-CA"/>
        </w:rPr>
        <w:t xml:space="preserve">. </w:t>
      </w:r>
      <w:r w:rsidRPr="00AA33D3">
        <w:rPr>
          <w:lang w:val="fr-CA"/>
        </w:rPr>
        <w:t>Plus d</w:t>
      </w:r>
      <w:r w:rsidR="00AA33D3">
        <w:rPr>
          <w:lang w:val="fr-CA"/>
        </w:rPr>
        <w:t>’</w:t>
      </w:r>
      <w:r w:rsidRPr="00AA33D3">
        <w:rPr>
          <w:lang w:val="fr-CA"/>
        </w:rPr>
        <w:t>un an après que G a fait défaut de déclarer des heures de PPP, le Barreau l</w:t>
      </w:r>
      <w:r w:rsidR="00AA33D3">
        <w:rPr>
          <w:lang w:val="fr-CA"/>
        </w:rPr>
        <w:t>’</w:t>
      </w:r>
      <w:r w:rsidRPr="00AA33D3">
        <w:rPr>
          <w:lang w:val="fr-CA"/>
        </w:rPr>
        <w:t>avisait que s</w:t>
      </w:r>
      <w:r w:rsidR="00AA33D3">
        <w:rPr>
          <w:lang w:val="fr-CA"/>
        </w:rPr>
        <w:t>’</w:t>
      </w:r>
      <w:r w:rsidRPr="00AA33D3">
        <w:rPr>
          <w:lang w:val="fr-CA"/>
        </w:rPr>
        <w:t>il ne se conformait pas aux règles dans un délai de 60 jours, son permis d</w:t>
      </w:r>
      <w:r w:rsidR="00AA33D3">
        <w:rPr>
          <w:lang w:val="fr-CA"/>
        </w:rPr>
        <w:t>’</w:t>
      </w:r>
      <w:r w:rsidRPr="00AA33D3">
        <w:rPr>
          <w:lang w:val="fr-CA"/>
        </w:rPr>
        <w:t xml:space="preserve">exercice serait suspendu. On a aussi </w:t>
      </w:r>
      <w:r w:rsidR="00C74F7D" w:rsidRPr="00AA33D3">
        <w:rPr>
          <w:lang w:val="fr-CA"/>
        </w:rPr>
        <w:t>invité</w:t>
      </w:r>
      <w:r w:rsidRPr="00AA33D3">
        <w:rPr>
          <w:lang w:val="fr-CA"/>
        </w:rPr>
        <w:t xml:space="preserve"> G </w:t>
      </w:r>
      <w:r w:rsidR="00C74F7D" w:rsidRPr="00AA33D3">
        <w:rPr>
          <w:lang w:val="fr-CA"/>
        </w:rPr>
        <w:t>à</w:t>
      </w:r>
      <w:r w:rsidRPr="00AA33D3">
        <w:rPr>
          <w:lang w:val="fr-CA"/>
        </w:rPr>
        <w:t xml:space="preserve"> corriger toute erreur dans son rapport de déclaration de PPP et </w:t>
      </w:r>
      <w:r w:rsidR="00C74F7D" w:rsidRPr="00AA33D3">
        <w:rPr>
          <w:lang w:val="fr-CA"/>
        </w:rPr>
        <w:t>on l</w:t>
      </w:r>
      <w:r w:rsidR="00AA33D3">
        <w:rPr>
          <w:lang w:val="fr-CA"/>
        </w:rPr>
        <w:t>’</w:t>
      </w:r>
      <w:r w:rsidR="00C74F7D" w:rsidRPr="00AA33D3">
        <w:rPr>
          <w:lang w:val="fr-CA"/>
        </w:rPr>
        <w:t xml:space="preserve">a informé de la possibilité </w:t>
      </w:r>
      <w:r w:rsidRPr="00AA33D3">
        <w:rPr>
          <w:lang w:val="fr-CA"/>
        </w:rPr>
        <w:t>de prolonger le délai de 60 jours. G n</w:t>
      </w:r>
      <w:r w:rsidR="00AA33D3">
        <w:rPr>
          <w:lang w:val="fr-CA"/>
        </w:rPr>
        <w:t>’</w:t>
      </w:r>
      <w:r w:rsidRPr="00AA33D3">
        <w:rPr>
          <w:lang w:val="fr-CA"/>
        </w:rPr>
        <w:t>a pas répondu et n</w:t>
      </w:r>
      <w:r w:rsidR="00AA33D3">
        <w:rPr>
          <w:lang w:val="fr-CA"/>
        </w:rPr>
        <w:t>’</w:t>
      </w:r>
      <w:r w:rsidRPr="00AA33D3">
        <w:rPr>
          <w:lang w:val="fr-CA"/>
        </w:rPr>
        <w:t xml:space="preserve">a pas non plus sollicité le contrôle judiciaire de la décision de </w:t>
      </w:r>
      <w:r w:rsidR="00C74F7D" w:rsidRPr="00AA33D3">
        <w:rPr>
          <w:lang w:val="fr-CA"/>
        </w:rPr>
        <w:t>le suspendre</w:t>
      </w:r>
      <w:r w:rsidR="00AA33D3">
        <w:rPr>
          <w:lang w:val="fr-CA"/>
        </w:rPr>
        <w:t xml:space="preserve">. </w:t>
      </w:r>
      <w:r w:rsidRPr="00AA33D3">
        <w:rPr>
          <w:lang w:val="fr-CA"/>
        </w:rPr>
        <w:t xml:space="preserve">Il a plutôt présenté une demande de jugement </w:t>
      </w:r>
      <w:r w:rsidRPr="00AA33D3">
        <w:rPr>
          <w:lang w:val="fr-CA"/>
        </w:rPr>
        <w:lastRenderedPageBreak/>
        <w:t xml:space="preserve">déclaratoire, par laquelle il a contesté la validité des </w:t>
      </w:r>
      <w:r w:rsidR="00C74F7D" w:rsidRPr="00AA33D3">
        <w:rPr>
          <w:lang w:val="fr-CA"/>
        </w:rPr>
        <w:t xml:space="preserve">dispositions des </w:t>
      </w:r>
      <w:r w:rsidRPr="00AA33D3">
        <w:rPr>
          <w:i/>
          <w:lang w:val="fr-CA"/>
        </w:rPr>
        <w:t xml:space="preserve">Règles de </w:t>
      </w:r>
      <w:r w:rsidR="008F5204">
        <w:rPr>
          <w:i/>
          <w:lang w:val="fr-CA"/>
        </w:rPr>
        <w:t>l</w:t>
      </w:r>
      <w:r w:rsidRPr="00AA33D3">
        <w:rPr>
          <w:i/>
          <w:lang w:val="fr-CA"/>
        </w:rPr>
        <w:t>a Société du Barreau du Manitoba</w:t>
      </w:r>
      <w:r w:rsidRPr="00AA33D3">
        <w:rPr>
          <w:lang w:val="fr-CA"/>
        </w:rPr>
        <w:t xml:space="preserve"> (« Règles »)</w:t>
      </w:r>
      <w:r w:rsidR="00C74F7D" w:rsidRPr="00AA33D3">
        <w:rPr>
          <w:lang w:val="fr-CA"/>
        </w:rPr>
        <w:t xml:space="preserve"> relatives </w:t>
      </w:r>
      <w:r w:rsidR="002362D3" w:rsidRPr="00AA33D3">
        <w:rPr>
          <w:lang w:val="fr-CA"/>
        </w:rPr>
        <w:t>au PPP</w:t>
      </w:r>
      <w:r w:rsidRPr="00AA33D3">
        <w:rPr>
          <w:lang w:val="fr-CA"/>
        </w:rPr>
        <w:t xml:space="preserve">. Le juge de première instance a rejeté la demande de G, concluant que les règles contestées relèvent nettement du mandat que la </w:t>
      </w:r>
      <w:r w:rsidRPr="00AA33D3">
        <w:rPr>
          <w:i/>
          <w:lang w:val="fr-CA"/>
        </w:rPr>
        <w:t>Loi sur la profession d</w:t>
      </w:r>
      <w:r w:rsidR="00AA33D3">
        <w:rPr>
          <w:i/>
          <w:lang w:val="fr-CA"/>
        </w:rPr>
        <w:t>’</w:t>
      </w:r>
      <w:r w:rsidRPr="00AA33D3">
        <w:rPr>
          <w:i/>
          <w:lang w:val="fr-CA"/>
        </w:rPr>
        <w:t xml:space="preserve">avocat </w:t>
      </w:r>
      <w:r w:rsidRPr="00AA33D3">
        <w:rPr>
          <w:lang w:val="fr-CA"/>
        </w:rPr>
        <w:t>(« Loi ») confère au Barreau</w:t>
      </w:r>
      <w:r w:rsidR="00AA33D3">
        <w:rPr>
          <w:lang w:val="fr-CA"/>
        </w:rPr>
        <w:t xml:space="preserve">. </w:t>
      </w:r>
      <w:r w:rsidRPr="00AA33D3">
        <w:rPr>
          <w:lang w:val="fr-CA"/>
        </w:rPr>
        <w:t>La Cour d</w:t>
      </w:r>
      <w:r w:rsidR="00AA33D3">
        <w:rPr>
          <w:lang w:val="fr-CA"/>
        </w:rPr>
        <w:t>’</w:t>
      </w:r>
      <w:r w:rsidRPr="00AA33D3">
        <w:rPr>
          <w:lang w:val="fr-CA"/>
        </w:rPr>
        <w:t>appel a rejeté l</w:t>
      </w:r>
      <w:r w:rsidR="00AA33D3">
        <w:rPr>
          <w:lang w:val="fr-CA"/>
        </w:rPr>
        <w:t>’</w:t>
      </w:r>
      <w:r w:rsidRPr="00AA33D3">
        <w:rPr>
          <w:lang w:val="fr-CA"/>
        </w:rPr>
        <w:t xml:space="preserve">appel pour des motifs semblables. </w:t>
      </w:r>
    </w:p>
    <w:p w:rsidR="00D90FFB" w:rsidRPr="00AA33D3" w:rsidRDefault="00D90FFB" w:rsidP="00987CB6">
      <w:pPr>
        <w:pStyle w:val="SCCNormalDoubleSpacing"/>
        <w:widowControl w:val="0"/>
        <w:spacing w:before="480" w:after="480"/>
        <w:rPr>
          <w:lang w:val="fr-CA"/>
        </w:rPr>
      </w:pPr>
      <w:r w:rsidRPr="00AA33D3">
        <w:rPr>
          <w:lang w:val="fr-CA"/>
        </w:rPr>
        <w:tab/>
      </w:r>
      <w:r w:rsidRPr="00AA33D3">
        <w:rPr>
          <w:i/>
          <w:lang w:val="fr-CA"/>
        </w:rPr>
        <w:t>Arrêt</w:t>
      </w:r>
      <w:r w:rsidRPr="00AA33D3">
        <w:rPr>
          <w:rStyle w:val="QuoteChar"/>
          <w:i w:val="0"/>
          <w:color w:val="auto"/>
          <w:lang w:val="fr-CA"/>
        </w:rPr>
        <w:t xml:space="preserve"> (les juges Abella et Côté sont dissidentes) :</w:t>
      </w:r>
      <w:r w:rsidRPr="00AA33D3">
        <w:rPr>
          <w:lang w:val="fr-CA"/>
        </w:rPr>
        <w:t xml:space="preserve"> L</w:t>
      </w:r>
      <w:r w:rsidR="00AA33D3">
        <w:rPr>
          <w:lang w:val="fr-CA"/>
        </w:rPr>
        <w:t>’</w:t>
      </w:r>
      <w:r w:rsidRPr="00AA33D3">
        <w:rPr>
          <w:lang w:val="fr-CA"/>
        </w:rPr>
        <w:t>appel est rejeté.</w:t>
      </w:r>
    </w:p>
    <w:p w:rsidR="00D90FFB" w:rsidRPr="00AA33D3" w:rsidRDefault="00D90FFB" w:rsidP="00987CB6">
      <w:pPr>
        <w:pStyle w:val="SCCNormalDoubleSpacing"/>
        <w:widowControl w:val="0"/>
        <w:spacing w:before="480" w:after="480"/>
        <w:rPr>
          <w:lang w:val="fr-CA"/>
        </w:rPr>
      </w:pPr>
      <w:r w:rsidRPr="00AA33D3">
        <w:rPr>
          <w:lang w:val="fr-CA"/>
        </w:rPr>
        <w:tab/>
      </w:r>
      <w:r w:rsidRPr="00AA33D3">
        <w:rPr>
          <w:i/>
          <w:lang w:val="fr-CA"/>
        </w:rPr>
        <w:t xml:space="preserve">La </w:t>
      </w:r>
      <w:r w:rsidRPr="00AA33D3">
        <w:rPr>
          <w:lang w:val="fr-CA"/>
        </w:rPr>
        <w:t xml:space="preserve">juge en chef McLachlin et les juges Moldaver, Karakatsanis, </w:t>
      </w:r>
      <w:r w:rsidRPr="00490C55">
        <w:rPr>
          <w:lang w:val="fr-CA"/>
        </w:rPr>
        <w:t>Wagner</w:t>
      </w:r>
      <w:r w:rsidRPr="00AA33D3">
        <w:rPr>
          <w:lang w:val="fr-CA"/>
        </w:rPr>
        <w:t xml:space="preserve"> et Gascon : </w:t>
      </w:r>
      <w:r w:rsidR="00C74F7D" w:rsidRPr="00AA33D3">
        <w:rPr>
          <w:lang w:val="fr-CA"/>
        </w:rPr>
        <w:t>L</w:t>
      </w:r>
      <w:r w:rsidRPr="00AA33D3">
        <w:rPr>
          <w:lang w:val="fr-CA"/>
        </w:rPr>
        <w:t>a norme de c</w:t>
      </w:r>
      <w:r w:rsidR="00C74F7D" w:rsidRPr="00AA33D3">
        <w:rPr>
          <w:lang w:val="fr-CA"/>
        </w:rPr>
        <w:t>ontrôle applicable à l</w:t>
      </w:r>
      <w:r w:rsidR="00AA33D3">
        <w:rPr>
          <w:lang w:val="fr-CA"/>
        </w:rPr>
        <w:t>’</w:t>
      </w:r>
      <w:r w:rsidR="00C74F7D" w:rsidRPr="00AA33D3">
        <w:rPr>
          <w:lang w:val="fr-CA"/>
        </w:rPr>
        <w:t>examen d</w:t>
      </w:r>
      <w:r w:rsidRPr="00AA33D3">
        <w:rPr>
          <w:lang w:val="fr-CA"/>
        </w:rPr>
        <w:t>e règle</w:t>
      </w:r>
      <w:r w:rsidR="00C74F7D" w:rsidRPr="00AA33D3">
        <w:rPr>
          <w:lang w:val="fr-CA"/>
        </w:rPr>
        <w:t>s</w:t>
      </w:r>
      <w:r w:rsidRPr="00AA33D3">
        <w:rPr>
          <w:lang w:val="fr-CA"/>
        </w:rPr>
        <w:t xml:space="preserve"> </w:t>
      </w:r>
      <w:r w:rsidR="00C74F7D" w:rsidRPr="00AA33D3">
        <w:rPr>
          <w:lang w:val="fr-CA"/>
        </w:rPr>
        <w:t>adoptées par un</w:t>
      </w:r>
      <w:r w:rsidRPr="00AA33D3">
        <w:rPr>
          <w:lang w:val="fr-CA"/>
        </w:rPr>
        <w:t xml:space="preserve"> </w:t>
      </w:r>
      <w:r w:rsidR="002362D3" w:rsidRPr="00AA33D3">
        <w:rPr>
          <w:lang w:val="fr-CA"/>
        </w:rPr>
        <w:t>b</w:t>
      </w:r>
      <w:r w:rsidRPr="00AA33D3">
        <w:rPr>
          <w:lang w:val="fr-CA"/>
        </w:rPr>
        <w:t xml:space="preserve">arreau est celle de la décision raisonnable. Une règle ne sera annulée que </w:t>
      </w:r>
      <w:r w:rsidR="002362D3" w:rsidRPr="00AA33D3">
        <w:rPr>
          <w:lang w:val="fr-CA"/>
        </w:rPr>
        <w:t>si elle est du type</w:t>
      </w:r>
      <w:r w:rsidRPr="00AA33D3">
        <w:rPr>
          <w:lang w:val="fr-CA"/>
        </w:rPr>
        <w:t xml:space="preserve"> qui n</w:t>
      </w:r>
      <w:r w:rsidR="00AA33D3">
        <w:rPr>
          <w:lang w:val="fr-CA"/>
        </w:rPr>
        <w:t>’</w:t>
      </w:r>
      <w:r w:rsidRPr="00AA33D3">
        <w:rPr>
          <w:lang w:val="fr-CA"/>
        </w:rPr>
        <w:t>aurait pu être adopté par un organisme raisonnable tenant compte des facteurs pertinents. Cela signifie que la teneur de la règle doit être conforme à la raison d</w:t>
      </w:r>
      <w:r w:rsidR="00AA33D3">
        <w:rPr>
          <w:lang w:val="fr-CA"/>
        </w:rPr>
        <w:t>’</w:t>
      </w:r>
      <w:r w:rsidRPr="00AA33D3">
        <w:rPr>
          <w:lang w:val="fr-CA"/>
        </w:rPr>
        <w:t>être du régime mis sur pied par la législature. La norme de la décision raisonnable est celle qui convient, et ce pour plusieurs raisons. Premièrement, lorsqu</w:t>
      </w:r>
      <w:r w:rsidR="00AA33D3">
        <w:rPr>
          <w:lang w:val="fr-CA"/>
        </w:rPr>
        <w:t>’</w:t>
      </w:r>
      <w:r w:rsidRPr="00AA33D3">
        <w:rPr>
          <w:lang w:val="fr-CA"/>
        </w:rPr>
        <w:t>ils adoptent des règles qui s</w:t>
      </w:r>
      <w:r w:rsidR="00AA33D3">
        <w:rPr>
          <w:lang w:val="fr-CA"/>
        </w:rPr>
        <w:t>’</w:t>
      </w:r>
      <w:r w:rsidRPr="00AA33D3">
        <w:rPr>
          <w:lang w:val="fr-CA"/>
        </w:rPr>
        <w:t xml:space="preserve">appliquent de façon générale à la profession, les conseillers agissent en qualité de législateurs. La norme de contrôle doit refléter le large pouvoir </w:t>
      </w:r>
      <w:r w:rsidR="00253884">
        <w:rPr>
          <w:lang w:val="fr-CA"/>
        </w:rPr>
        <w:t>d’un</w:t>
      </w:r>
      <w:r w:rsidRPr="00AA33D3">
        <w:rPr>
          <w:lang w:val="fr-CA"/>
        </w:rPr>
        <w:t xml:space="preserve"> </w:t>
      </w:r>
      <w:r w:rsidR="002362D3" w:rsidRPr="00AA33D3">
        <w:rPr>
          <w:lang w:val="fr-CA"/>
        </w:rPr>
        <w:t>b</w:t>
      </w:r>
      <w:r w:rsidRPr="00AA33D3">
        <w:rPr>
          <w:lang w:val="fr-CA"/>
        </w:rPr>
        <w:t xml:space="preserve">arreau </w:t>
      </w:r>
      <w:r w:rsidR="002362D3" w:rsidRPr="00AA33D3">
        <w:rPr>
          <w:lang w:val="fr-CA"/>
        </w:rPr>
        <w:t>de</w:t>
      </w:r>
      <w:r w:rsidRPr="00AA33D3">
        <w:rPr>
          <w:lang w:val="fr-CA"/>
        </w:rPr>
        <w:t xml:space="preserve"> réglementer la profession d</w:t>
      </w:r>
      <w:r w:rsidR="00AA33D3">
        <w:rPr>
          <w:lang w:val="fr-CA"/>
        </w:rPr>
        <w:t>’</w:t>
      </w:r>
      <w:r w:rsidRPr="00AA33D3">
        <w:rPr>
          <w:lang w:val="fr-CA"/>
        </w:rPr>
        <w:t>avocat en fonction de plusieurs considérations de principe dans l</w:t>
      </w:r>
      <w:r w:rsidR="00AA33D3">
        <w:rPr>
          <w:lang w:val="fr-CA"/>
        </w:rPr>
        <w:t>’</w:t>
      </w:r>
      <w:r w:rsidRPr="00AA33D3">
        <w:rPr>
          <w:lang w:val="fr-CA"/>
        </w:rPr>
        <w:t>intérêt public. Deuxièmement, les conseillers d</w:t>
      </w:r>
      <w:r w:rsidR="00C74F7D" w:rsidRPr="00AA33D3">
        <w:rPr>
          <w:lang w:val="fr-CA"/>
        </w:rPr>
        <w:t>es</w:t>
      </w:r>
      <w:r w:rsidRPr="00AA33D3">
        <w:rPr>
          <w:lang w:val="fr-CA"/>
        </w:rPr>
        <w:t xml:space="preserve"> </w:t>
      </w:r>
      <w:r w:rsidR="002362D3" w:rsidRPr="00AA33D3">
        <w:rPr>
          <w:lang w:val="fr-CA"/>
        </w:rPr>
        <w:t>b</w:t>
      </w:r>
      <w:r w:rsidRPr="00AA33D3">
        <w:rPr>
          <w:lang w:val="fr-CA"/>
        </w:rPr>
        <w:t>arreau</w:t>
      </w:r>
      <w:r w:rsidR="00C74F7D" w:rsidRPr="00AA33D3">
        <w:rPr>
          <w:lang w:val="fr-CA"/>
        </w:rPr>
        <w:t>x</w:t>
      </w:r>
      <w:r w:rsidRPr="00AA33D3">
        <w:rPr>
          <w:lang w:val="fr-CA"/>
        </w:rPr>
        <w:t xml:space="preserve"> sont nombreux à être élus par les membres de la profession juridique et à devoir leur rendre des comptes; appliquer la norme de la décision raisonnable garantit que les cours respecteront le devoir des conseillers de servir ces membres. Troisièmement, un </w:t>
      </w:r>
      <w:r w:rsidR="002362D3" w:rsidRPr="00AA33D3">
        <w:rPr>
          <w:lang w:val="fr-CA"/>
        </w:rPr>
        <w:t>b</w:t>
      </w:r>
      <w:r w:rsidRPr="00AA33D3">
        <w:rPr>
          <w:lang w:val="fr-CA"/>
        </w:rPr>
        <w:t>arreau agit conformément à sa loi constitutive lorsqu</w:t>
      </w:r>
      <w:r w:rsidR="00AA33D3">
        <w:rPr>
          <w:lang w:val="fr-CA"/>
        </w:rPr>
        <w:t>’</w:t>
      </w:r>
      <w:r w:rsidRPr="00AA33D3">
        <w:rPr>
          <w:lang w:val="fr-CA"/>
        </w:rPr>
        <w:t xml:space="preserve">il adopte des règles comme celles qui sont </w:t>
      </w:r>
      <w:r w:rsidRPr="00AA33D3">
        <w:rPr>
          <w:lang w:val="fr-CA"/>
        </w:rPr>
        <w:lastRenderedPageBreak/>
        <w:t>contestées</w:t>
      </w:r>
      <w:r w:rsidR="00C74F7D" w:rsidRPr="00AA33D3">
        <w:rPr>
          <w:lang w:val="fr-CA"/>
        </w:rPr>
        <w:t xml:space="preserve"> par G</w:t>
      </w:r>
      <w:r w:rsidRPr="00AA33D3">
        <w:rPr>
          <w:lang w:val="fr-CA"/>
        </w:rPr>
        <w:t>; il y a donc une présomption d</w:t>
      </w:r>
      <w:r w:rsidR="00AA33D3">
        <w:rPr>
          <w:lang w:val="fr-CA"/>
        </w:rPr>
        <w:t>’</w:t>
      </w:r>
      <w:r w:rsidRPr="00AA33D3">
        <w:rPr>
          <w:lang w:val="fr-CA"/>
        </w:rPr>
        <w:t xml:space="preserve">assujettissement à la norme de la décision raisonnable. Un </w:t>
      </w:r>
      <w:r w:rsidR="002362D3" w:rsidRPr="00AA33D3">
        <w:rPr>
          <w:lang w:val="fr-CA"/>
        </w:rPr>
        <w:t>b</w:t>
      </w:r>
      <w:r w:rsidRPr="00AA33D3">
        <w:rPr>
          <w:lang w:val="fr-CA"/>
        </w:rPr>
        <w:t>arreau doit donc jouir d</w:t>
      </w:r>
      <w:r w:rsidR="00AA33D3">
        <w:rPr>
          <w:lang w:val="fr-CA"/>
        </w:rPr>
        <w:t>’</w:t>
      </w:r>
      <w:r w:rsidRPr="00AA33D3">
        <w:rPr>
          <w:lang w:val="fr-CA"/>
        </w:rPr>
        <w:t>une vaste latitude pour adopter des règles fond</w:t>
      </w:r>
      <w:r w:rsidR="0029251B">
        <w:rPr>
          <w:lang w:val="fr-CA"/>
        </w:rPr>
        <w:t>ées sur son interprétation de « </w:t>
      </w:r>
      <w:r w:rsidRPr="00AA33D3">
        <w:rPr>
          <w:lang w:val="fr-CA"/>
        </w:rPr>
        <w:t>l</w:t>
      </w:r>
      <w:r w:rsidR="00AA33D3">
        <w:rPr>
          <w:lang w:val="fr-CA"/>
        </w:rPr>
        <w:t>’</w:t>
      </w:r>
      <w:r w:rsidRPr="00AA33D3">
        <w:rPr>
          <w:lang w:val="fr-CA"/>
        </w:rPr>
        <w:t>intérêt public</w:t>
      </w:r>
      <w:r w:rsidR="0029251B">
        <w:rPr>
          <w:lang w:val="fr-CA"/>
        </w:rPr>
        <w:t> </w:t>
      </w:r>
      <w:r w:rsidRPr="00AA33D3">
        <w:rPr>
          <w:lang w:val="fr-CA"/>
        </w:rPr>
        <w:t xml:space="preserve">» aux termes de sa loi habilitante. Enfin, un </w:t>
      </w:r>
      <w:r w:rsidR="002362D3" w:rsidRPr="00AA33D3">
        <w:rPr>
          <w:lang w:val="fr-CA"/>
        </w:rPr>
        <w:t>b</w:t>
      </w:r>
      <w:r w:rsidRPr="00AA33D3">
        <w:rPr>
          <w:lang w:val="fr-CA"/>
        </w:rPr>
        <w:t>arreau est doté de l</w:t>
      </w:r>
      <w:r w:rsidR="00AA33D3">
        <w:rPr>
          <w:lang w:val="fr-CA"/>
        </w:rPr>
        <w:t>’</w:t>
      </w:r>
      <w:r w:rsidRPr="00AA33D3">
        <w:rPr>
          <w:lang w:val="fr-CA"/>
        </w:rPr>
        <w:t xml:space="preserve">expertise particulière des organismes professionnels autonomes pour prescrire les politiques et </w:t>
      </w:r>
      <w:r w:rsidR="002362D3" w:rsidRPr="00AA33D3">
        <w:rPr>
          <w:lang w:val="fr-CA"/>
        </w:rPr>
        <w:t xml:space="preserve">les </w:t>
      </w:r>
      <w:r w:rsidRPr="00AA33D3">
        <w:rPr>
          <w:lang w:val="fr-CA"/>
        </w:rPr>
        <w:t>procédures qui régissent l</w:t>
      </w:r>
      <w:r w:rsidR="00AA33D3">
        <w:rPr>
          <w:lang w:val="fr-CA"/>
        </w:rPr>
        <w:t>’</w:t>
      </w:r>
      <w:r w:rsidRPr="00AA33D3">
        <w:rPr>
          <w:lang w:val="fr-CA"/>
        </w:rPr>
        <w:t>exercice de leur profession en particulier</w:t>
      </w:r>
      <w:r w:rsidR="00AA33D3">
        <w:rPr>
          <w:lang w:val="fr-CA"/>
        </w:rPr>
        <w:t xml:space="preserve">. </w:t>
      </w:r>
    </w:p>
    <w:p w:rsidR="00D90FFB" w:rsidRPr="00AA33D3" w:rsidRDefault="00D90FFB" w:rsidP="00987CB6">
      <w:pPr>
        <w:pStyle w:val="SCCNormalDoubleSpacing"/>
        <w:widowControl w:val="0"/>
        <w:spacing w:before="480" w:after="480"/>
        <w:rPr>
          <w:lang w:val="fr-CA"/>
        </w:rPr>
      </w:pPr>
      <w:r w:rsidRPr="00AA33D3">
        <w:rPr>
          <w:lang w:val="fr-CA"/>
        </w:rPr>
        <w:tab/>
        <w:t xml:space="preserve">Pour décider si les règles contestées sont raisonnables, la portée du mandat légal confié au </w:t>
      </w:r>
      <w:r w:rsidR="00CD7E2B">
        <w:rPr>
          <w:lang w:val="fr-CA"/>
        </w:rPr>
        <w:t>B</w:t>
      </w:r>
      <w:r w:rsidRPr="00AA33D3">
        <w:rPr>
          <w:lang w:val="fr-CA"/>
        </w:rPr>
        <w:t xml:space="preserve">arreau doit </w:t>
      </w:r>
      <w:r w:rsidR="00C74F7D" w:rsidRPr="00AA33D3">
        <w:rPr>
          <w:lang w:val="fr-CA"/>
        </w:rPr>
        <w:t>d</w:t>
      </w:r>
      <w:r w:rsidR="00AA33D3">
        <w:rPr>
          <w:lang w:val="fr-CA"/>
        </w:rPr>
        <w:t>’</w:t>
      </w:r>
      <w:r w:rsidR="00C74F7D" w:rsidRPr="00AA33D3">
        <w:rPr>
          <w:lang w:val="fr-CA"/>
        </w:rPr>
        <w:t xml:space="preserve">abord </w:t>
      </w:r>
      <w:r w:rsidRPr="00AA33D3">
        <w:rPr>
          <w:lang w:val="fr-CA"/>
        </w:rPr>
        <w:t>être interprét</w:t>
      </w:r>
      <w:r w:rsidR="002362D3" w:rsidRPr="00AA33D3">
        <w:rPr>
          <w:lang w:val="fr-CA"/>
        </w:rPr>
        <w:t>ée</w:t>
      </w:r>
      <w:r w:rsidRPr="00AA33D3">
        <w:rPr>
          <w:lang w:val="fr-CA"/>
        </w:rPr>
        <w:t>. L</w:t>
      </w:r>
      <w:r w:rsidR="00AA33D3">
        <w:rPr>
          <w:lang w:val="fr-CA"/>
        </w:rPr>
        <w:t>’</w:t>
      </w:r>
      <w:r w:rsidRPr="00AA33D3">
        <w:rPr>
          <w:lang w:val="fr-CA"/>
        </w:rPr>
        <w:t>objet, le libellé et l</w:t>
      </w:r>
      <w:r w:rsidR="00AA33D3">
        <w:rPr>
          <w:lang w:val="fr-CA"/>
        </w:rPr>
        <w:t>’</w:t>
      </w:r>
      <w:r w:rsidRPr="00AA33D3">
        <w:rPr>
          <w:lang w:val="fr-CA"/>
        </w:rPr>
        <w:t>économie de la Loi militent en faveur d</w:t>
      </w:r>
      <w:r w:rsidR="00AA33D3">
        <w:rPr>
          <w:lang w:val="fr-CA"/>
        </w:rPr>
        <w:t>’</w:t>
      </w:r>
      <w:r w:rsidRPr="00AA33D3">
        <w:rPr>
          <w:lang w:val="fr-CA"/>
        </w:rPr>
        <w:t>une interprétation généreuse du pouvoir du Barreau d</w:t>
      </w:r>
      <w:r w:rsidR="00AA33D3">
        <w:rPr>
          <w:lang w:val="fr-CA"/>
        </w:rPr>
        <w:t>’</w:t>
      </w:r>
      <w:r w:rsidRPr="00AA33D3">
        <w:rPr>
          <w:lang w:val="fr-CA"/>
        </w:rPr>
        <w:t>adopter des règles</w:t>
      </w:r>
      <w:r w:rsidR="00AA33D3">
        <w:rPr>
          <w:lang w:val="fr-CA"/>
        </w:rPr>
        <w:t xml:space="preserve">. </w:t>
      </w:r>
      <w:r w:rsidRPr="00AA33D3">
        <w:rPr>
          <w:lang w:val="fr-CA"/>
        </w:rPr>
        <w:t>Le législateur a confié au Barreau un large mandat d</w:t>
      </w:r>
      <w:r w:rsidR="00AA33D3">
        <w:rPr>
          <w:lang w:val="fr-CA"/>
        </w:rPr>
        <w:t>’</w:t>
      </w:r>
      <w:r w:rsidRPr="00AA33D3">
        <w:rPr>
          <w:lang w:val="fr-CA"/>
        </w:rPr>
        <w:t>intérêt public accompagné de vastes pouvoirs réglementaires pour accomplir ce mandat — un mandat qui doit être interprété de façon large et compatible avec l</w:t>
      </w:r>
      <w:r w:rsidR="00AA33D3">
        <w:rPr>
          <w:lang w:val="fr-CA"/>
        </w:rPr>
        <w:t>’</w:t>
      </w:r>
      <w:r w:rsidRPr="00AA33D3">
        <w:rPr>
          <w:lang w:val="fr-CA"/>
        </w:rPr>
        <w:t xml:space="preserve">objet de la </w:t>
      </w:r>
      <w:r w:rsidR="002362D3" w:rsidRPr="00AA33D3">
        <w:rPr>
          <w:lang w:val="fr-CA"/>
        </w:rPr>
        <w:t>L</w:t>
      </w:r>
      <w:r w:rsidRPr="00AA33D3">
        <w:rPr>
          <w:lang w:val="fr-CA"/>
        </w:rPr>
        <w:t>oi. Le libellé et l</w:t>
      </w:r>
      <w:r w:rsidR="00AA33D3">
        <w:rPr>
          <w:lang w:val="fr-CA"/>
        </w:rPr>
        <w:t>’</w:t>
      </w:r>
      <w:r w:rsidRPr="00AA33D3">
        <w:rPr>
          <w:lang w:val="fr-CA"/>
        </w:rPr>
        <w:t>économie de la Loi indiquent également la portée de l</w:t>
      </w:r>
      <w:r w:rsidR="00AA33D3">
        <w:rPr>
          <w:lang w:val="fr-CA"/>
        </w:rPr>
        <w:t>’</w:t>
      </w:r>
      <w:r w:rsidRPr="00AA33D3">
        <w:rPr>
          <w:lang w:val="fr-CA"/>
        </w:rPr>
        <w:t xml:space="preserve">autorité du Barreau et de son pouvoir de réglementation. Plus particulièrement, </w:t>
      </w:r>
      <w:r w:rsidR="00C74F7D" w:rsidRPr="00AA33D3">
        <w:rPr>
          <w:lang w:val="fr-CA"/>
        </w:rPr>
        <w:t xml:space="preserve">il peut </w:t>
      </w:r>
      <w:r w:rsidRPr="00AA33D3">
        <w:rPr>
          <w:lang w:val="fr-CA"/>
        </w:rPr>
        <w:t>fixer les sanctions qu</w:t>
      </w:r>
      <w:r w:rsidR="00AA33D3">
        <w:rPr>
          <w:lang w:val="fr-CA"/>
        </w:rPr>
        <w:t>’</w:t>
      </w:r>
      <w:r w:rsidRPr="00AA33D3">
        <w:rPr>
          <w:lang w:val="fr-CA"/>
        </w:rPr>
        <w:t xml:space="preserve">entraînent les contraventions à la </w:t>
      </w:r>
      <w:r w:rsidR="00C74F7D" w:rsidRPr="00AA33D3">
        <w:rPr>
          <w:lang w:val="fr-CA"/>
        </w:rPr>
        <w:t>L</w:t>
      </w:r>
      <w:r w:rsidRPr="00AA33D3">
        <w:rPr>
          <w:lang w:val="fr-CA"/>
        </w:rPr>
        <w:t xml:space="preserve">oi ou aux </w:t>
      </w:r>
      <w:r w:rsidR="00C74F7D" w:rsidRPr="00AA33D3">
        <w:rPr>
          <w:lang w:val="fr-CA"/>
        </w:rPr>
        <w:t>R</w:t>
      </w:r>
      <w:r w:rsidRPr="00AA33D3">
        <w:rPr>
          <w:lang w:val="fr-CA"/>
        </w:rPr>
        <w:t>ègles, comme la suspension, en cas de manquement aux normes de formation que la Loi lui prescrit d</w:t>
      </w:r>
      <w:r w:rsidR="00AA33D3">
        <w:rPr>
          <w:lang w:val="fr-CA"/>
        </w:rPr>
        <w:t>’</w:t>
      </w:r>
      <w:r w:rsidRPr="00AA33D3">
        <w:rPr>
          <w:lang w:val="fr-CA"/>
        </w:rPr>
        <w:t xml:space="preserve">adopter. </w:t>
      </w:r>
      <w:r w:rsidR="00C74F7D" w:rsidRPr="00AA33D3">
        <w:rPr>
          <w:lang w:val="fr-CA"/>
        </w:rPr>
        <w:t>P</w:t>
      </w:r>
      <w:r w:rsidRPr="00AA33D3">
        <w:rPr>
          <w:lang w:val="fr-CA"/>
        </w:rPr>
        <w:t xml:space="preserve">uisque le Barreau a le pouvoir de créer un régime de PPP, </w:t>
      </w:r>
      <w:r w:rsidR="00C74F7D" w:rsidRPr="00AA33D3">
        <w:rPr>
          <w:lang w:val="fr-CA"/>
        </w:rPr>
        <w:t>il</w:t>
      </w:r>
      <w:r w:rsidRPr="00AA33D3">
        <w:rPr>
          <w:lang w:val="fr-CA"/>
        </w:rPr>
        <w:t xml:space="preserve"> a nécessairement le pouvoir d</w:t>
      </w:r>
      <w:r w:rsidR="00AA33D3">
        <w:rPr>
          <w:lang w:val="fr-CA"/>
        </w:rPr>
        <w:t>’</w:t>
      </w:r>
      <w:r w:rsidRPr="00AA33D3">
        <w:rPr>
          <w:lang w:val="fr-CA"/>
        </w:rPr>
        <w:t>en imposer l</w:t>
      </w:r>
      <w:r w:rsidR="00AA33D3">
        <w:rPr>
          <w:lang w:val="fr-CA"/>
        </w:rPr>
        <w:t>’</w:t>
      </w:r>
      <w:r w:rsidRPr="00AA33D3">
        <w:rPr>
          <w:lang w:val="fr-CA"/>
        </w:rPr>
        <w:t>application</w:t>
      </w:r>
      <w:r w:rsidR="00AA33D3">
        <w:rPr>
          <w:lang w:val="fr-CA"/>
        </w:rPr>
        <w:t xml:space="preserve">. </w:t>
      </w:r>
    </w:p>
    <w:p w:rsidR="00D90FFB" w:rsidRPr="00AA33D3" w:rsidRDefault="00D90FFB" w:rsidP="00987CB6">
      <w:pPr>
        <w:pStyle w:val="SCCNormalDoubleSpacing"/>
        <w:widowControl w:val="0"/>
        <w:spacing w:before="480" w:after="480"/>
        <w:rPr>
          <w:lang w:val="fr-CA"/>
        </w:rPr>
      </w:pPr>
      <w:r w:rsidRPr="00AA33D3">
        <w:rPr>
          <w:lang w:val="fr-CA"/>
        </w:rPr>
        <w:tab/>
        <w:t>En l</w:t>
      </w:r>
      <w:r w:rsidR="00AA33D3">
        <w:rPr>
          <w:lang w:val="fr-CA"/>
        </w:rPr>
        <w:t>’</w:t>
      </w:r>
      <w:r w:rsidRPr="00AA33D3">
        <w:rPr>
          <w:lang w:val="fr-CA"/>
        </w:rPr>
        <w:t>espèce, les règles contestées sont raisonnables compte tenu du mandat conféré au Barreau par la Loi</w:t>
      </w:r>
      <w:r w:rsidR="00AA33D3">
        <w:rPr>
          <w:lang w:val="fr-CA"/>
        </w:rPr>
        <w:t xml:space="preserve">. </w:t>
      </w:r>
      <w:r w:rsidRPr="00AA33D3">
        <w:rPr>
          <w:lang w:val="fr-CA"/>
        </w:rPr>
        <w:t xml:space="preserve">Il est raisonnable que les </w:t>
      </w:r>
      <w:r w:rsidR="00CD7E2B">
        <w:rPr>
          <w:lang w:val="fr-CA"/>
        </w:rPr>
        <w:t>R</w:t>
      </w:r>
      <w:r w:rsidRPr="00AA33D3">
        <w:rPr>
          <w:lang w:val="fr-CA"/>
        </w:rPr>
        <w:t>ègles exposent un avocat à une suspension parce qu</w:t>
      </w:r>
      <w:r w:rsidR="00AA33D3">
        <w:rPr>
          <w:lang w:val="fr-CA"/>
        </w:rPr>
        <w:t>’</w:t>
      </w:r>
      <w:r w:rsidRPr="00AA33D3">
        <w:rPr>
          <w:lang w:val="fr-CA"/>
        </w:rPr>
        <w:t>il ne s</w:t>
      </w:r>
      <w:r w:rsidR="00AA33D3">
        <w:rPr>
          <w:lang w:val="fr-CA"/>
        </w:rPr>
        <w:t>’</w:t>
      </w:r>
      <w:r w:rsidRPr="00AA33D3">
        <w:rPr>
          <w:lang w:val="fr-CA"/>
        </w:rPr>
        <w:t xml:space="preserve">est pas conformé au programme de PPP. La Loi confère </w:t>
      </w:r>
      <w:r w:rsidRPr="00AA33D3">
        <w:rPr>
          <w:lang w:val="fr-CA"/>
        </w:rPr>
        <w:lastRenderedPageBreak/>
        <w:t>clairement au Barreau le pouvoir de créer un programme de PPP dont le non-respect peut entraîner une suspension et l</w:t>
      </w:r>
      <w:r w:rsidR="00AA33D3">
        <w:rPr>
          <w:lang w:val="fr-CA"/>
        </w:rPr>
        <w:t>’</w:t>
      </w:r>
      <w:r w:rsidRPr="00AA33D3">
        <w:rPr>
          <w:lang w:val="fr-CA"/>
        </w:rPr>
        <w:t xml:space="preserve">objectif général de la </w:t>
      </w:r>
      <w:r w:rsidR="00CD7E2B">
        <w:rPr>
          <w:lang w:val="fr-CA"/>
        </w:rPr>
        <w:t>L</w:t>
      </w:r>
      <w:r w:rsidRPr="00AA33D3">
        <w:rPr>
          <w:lang w:val="fr-CA"/>
        </w:rPr>
        <w:t xml:space="preserve">oi, son libellé et son économie démontrent que les règles contestées sont raisonnables compte tenu du mandat que la </w:t>
      </w:r>
      <w:r w:rsidR="002362D3" w:rsidRPr="00AA33D3">
        <w:rPr>
          <w:lang w:val="fr-CA"/>
        </w:rPr>
        <w:t>L</w:t>
      </w:r>
      <w:r w:rsidRPr="00AA33D3">
        <w:rPr>
          <w:lang w:val="fr-CA"/>
        </w:rPr>
        <w:t>oi confère au Barreau. Une telle suspension, qui se rapporte au manquement aux norm</w:t>
      </w:r>
      <w:r w:rsidR="00C74F7D" w:rsidRPr="00AA33D3">
        <w:rPr>
          <w:lang w:val="fr-CA"/>
        </w:rPr>
        <w:t>e</w:t>
      </w:r>
      <w:r w:rsidRPr="00AA33D3">
        <w:rPr>
          <w:lang w:val="fr-CA"/>
        </w:rPr>
        <w:t>s et qui ne constitue ni une punition ni une remise en question de la compétence professionnelle de l</w:t>
      </w:r>
      <w:r w:rsidR="00AA33D3">
        <w:rPr>
          <w:lang w:val="fr-CA"/>
        </w:rPr>
        <w:t>’</w:t>
      </w:r>
      <w:r w:rsidRPr="00AA33D3">
        <w:rPr>
          <w:lang w:val="fr-CA"/>
        </w:rPr>
        <w:t>avocat visé, est un moyen raisonnable et efficace d</w:t>
      </w:r>
      <w:r w:rsidR="00AA33D3">
        <w:rPr>
          <w:lang w:val="fr-CA"/>
        </w:rPr>
        <w:t>’</w:t>
      </w:r>
      <w:r w:rsidRPr="00AA33D3">
        <w:rPr>
          <w:lang w:val="fr-CA"/>
        </w:rPr>
        <w:t>assurer l</w:t>
      </w:r>
      <w:r w:rsidR="00AA33D3">
        <w:rPr>
          <w:lang w:val="fr-CA"/>
        </w:rPr>
        <w:t>’</w:t>
      </w:r>
      <w:r w:rsidRPr="00AA33D3">
        <w:rPr>
          <w:lang w:val="fr-CA"/>
        </w:rPr>
        <w:t>uniformité des services juridiques à l</w:t>
      </w:r>
      <w:r w:rsidR="00AA33D3">
        <w:rPr>
          <w:lang w:val="fr-CA"/>
        </w:rPr>
        <w:t>’</w:t>
      </w:r>
      <w:r w:rsidRPr="00AA33D3">
        <w:rPr>
          <w:lang w:val="fr-CA"/>
        </w:rPr>
        <w:t>échelle de la province et de garantir que même les avocats qui n</w:t>
      </w:r>
      <w:r w:rsidR="00AA33D3">
        <w:rPr>
          <w:lang w:val="fr-CA"/>
        </w:rPr>
        <w:t>’</w:t>
      </w:r>
      <w:r w:rsidRPr="00AA33D3">
        <w:rPr>
          <w:lang w:val="fr-CA"/>
        </w:rPr>
        <w:t>ont aucune envie de respecter les normes en matière de formation s</w:t>
      </w:r>
      <w:r w:rsidR="00AA33D3">
        <w:rPr>
          <w:lang w:val="fr-CA"/>
        </w:rPr>
        <w:t>’</w:t>
      </w:r>
      <w:r w:rsidRPr="00AA33D3">
        <w:rPr>
          <w:lang w:val="fr-CA"/>
        </w:rPr>
        <w:t xml:space="preserve">y conformeront. </w:t>
      </w:r>
      <w:r w:rsidR="00C74F7D" w:rsidRPr="00AA33D3">
        <w:rPr>
          <w:lang w:val="fr-CA"/>
        </w:rPr>
        <w:t>E</w:t>
      </w:r>
      <w:r w:rsidRPr="00AA33D3">
        <w:rPr>
          <w:lang w:val="fr-CA"/>
        </w:rPr>
        <w:t>xercer la profession d</w:t>
      </w:r>
      <w:r w:rsidR="00AA33D3">
        <w:rPr>
          <w:lang w:val="fr-CA"/>
        </w:rPr>
        <w:t>’</w:t>
      </w:r>
      <w:r w:rsidRPr="00AA33D3">
        <w:rPr>
          <w:lang w:val="fr-CA"/>
        </w:rPr>
        <w:t>avocat n</w:t>
      </w:r>
      <w:r w:rsidR="00AA33D3">
        <w:rPr>
          <w:lang w:val="fr-CA"/>
        </w:rPr>
        <w:t>’</w:t>
      </w:r>
      <w:r w:rsidRPr="00AA33D3">
        <w:rPr>
          <w:lang w:val="fr-CA"/>
        </w:rPr>
        <w:t xml:space="preserve">est </w:t>
      </w:r>
      <w:r w:rsidR="00C74F7D" w:rsidRPr="00AA33D3">
        <w:rPr>
          <w:lang w:val="fr-CA"/>
        </w:rPr>
        <w:t>ni un droit</w:t>
      </w:r>
      <w:r w:rsidRPr="00AA33D3">
        <w:rPr>
          <w:lang w:val="fr-CA"/>
        </w:rPr>
        <w:t xml:space="preserve"> issu de la common law ni un droit de propriété, mais plutôt un droit prévu par la </w:t>
      </w:r>
      <w:r w:rsidR="00CD7E2B">
        <w:rPr>
          <w:lang w:val="fr-CA"/>
        </w:rPr>
        <w:t>L</w:t>
      </w:r>
      <w:r w:rsidRPr="00AA33D3">
        <w:rPr>
          <w:lang w:val="fr-CA"/>
        </w:rPr>
        <w:t xml:space="preserve">oi qui est tributaire des </w:t>
      </w:r>
      <w:r w:rsidR="00FD18BB">
        <w:rPr>
          <w:lang w:val="fr-CA"/>
        </w:rPr>
        <w:t>principes énoncés dans la Loi et les Règles</w:t>
      </w:r>
      <w:r w:rsidRPr="00AA33D3">
        <w:rPr>
          <w:lang w:val="fr-CA"/>
        </w:rPr>
        <w:t>.</w:t>
      </w:r>
    </w:p>
    <w:p w:rsidR="00D90FFB" w:rsidRPr="00AA33D3" w:rsidRDefault="00D90FFB" w:rsidP="00987CB6">
      <w:pPr>
        <w:pStyle w:val="SCCNormalDoubleSpacing"/>
        <w:widowControl w:val="0"/>
        <w:spacing w:before="480" w:after="480"/>
        <w:rPr>
          <w:lang w:val="fr-CA"/>
        </w:rPr>
      </w:pPr>
      <w:r w:rsidRPr="00AA33D3">
        <w:rPr>
          <w:lang w:val="fr-CA"/>
        </w:rPr>
        <w:tab/>
        <w:t>En outre, l</w:t>
      </w:r>
      <w:r w:rsidR="00AA33D3">
        <w:rPr>
          <w:lang w:val="fr-CA"/>
        </w:rPr>
        <w:t>’</w:t>
      </w:r>
      <w:r w:rsidRPr="00AA33D3">
        <w:rPr>
          <w:lang w:val="fr-CA"/>
        </w:rPr>
        <w:t>infliction d</w:t>
      </w:r>
      <w:r w:rsidR="00AA33D3">
        <w:rPr>
          <w:lang w:val="fr-CA"/>
        </w:rPr>
        <w:t>’</w:t>
      </w:r>
      <w:r w:rsidRPr="00AA33D3">
        <w:rPr>
          <w:lang w:val="fr-CA"/>
        </w:rPr>
        <w:t>une suspension aux membres sans audience et sans droit d</w:t>
      </w:r>
      <w:r w:rsidR="00AA33D3">
        <w:rPr>
          <w:lang w:val="fr-CA"/>
        </w:rPr>
        <w:t>’</w:t>
      </w:r>
      <w:r w:rsidRPr="00AA33D3">
        <w:rPr>
          <w:lang w:val="fr-CA"/>
        </w:rPr>
        <w:t>appel en cas de manquement aux règles de PPP n</w:t>
      </w:r>
      <w:r w:rsidR="00AA33D3">
        <w:rPr>
          <w:lang w:val="fr-CA"/>
        </w:rPr>
        <w:t>’</w:t>
      </w:r>
      <w:r w:rsidRPr="00AA33D3">
        <w:rPr>
          <w:lang w:val="fr-CA"/>
        </w:rPr>
        <w:t xml:space="preserve">est pas déraisonnable compte tenu des pouvoirs que la </w:t>
      </w:r>
      <w:r w:rsidR="002362D3" w:rsidRPr="00AA33D3">
        <w:rPr>
          <w:lang w:val="fr-CA"/>
        </w:rPr>
        <w:t>L</w:t>
      </w:r>
      <w:r w:rsidRPr="00AA33D3">
        <w:rPr>
          <w:lang w:val="fr-CA"/>
        </w:rPr>
        <w:t>oi confère au Barreau</w:t>
      </w:r>
      <w:r w:rsidR="00AA33D3">
        <w:rPr>
          <w:lang w:val="fr-CA"/>
        </w:rPr>
        <w:t xml:space="preserve">. </w:t>
      </w:r>
      <w:r w:rsidRPr="00AA33D3">
        <w:rPr>
          <w:lang w:val="fr-CA"/>
        </w:rPr>
        <w:t>En fait, elle concorde parfaitement avec l</w:t>
      </w:r>
      <w:r w:rsidR="00AA33D3">
        <w:rPr>
          <w:lang w:val="fr-CA"/>
        </w:rPr>
        <w:t>’</w:t>
      </w:r>
      <w:r w:rsidRPr="00AA33D3">
        <w:rPr>
          <w:lang w:val="fr-CA"/>
        </w:rPr>
        <w:t>obligation du Barreau d</w:t>
      </w:r>
      <w:r w:rsidR="00AA33D3">
        <w:rPr>
          <w:lang w:val="fr-CA"/>
        </w:rPr>
        <w:t>’</w:t>
      </w:r>
      <w:r w:rsidRPr="00AA33D3">
        <w:rPr>
          <w:lang w:val="fr-CA"/>
        </w:rPr>
        <w:t>établir et de faire appliquer des normes de formation</w:t>
      </w:r>
      <w:r w:rsidR="00AA33D3">
        <w:rPr>
          <w:lang w:val="fr-CA"/>
        </w:rPr>
        <w:t xml:space="preserve">. </w:t>
      </w:r>
      <w:r w:rsidRPr="00AA33D3">
        <w:rPr>
          <w:lang w:val="fr-CA"/>
        </w:rPr>
        <w:t>La suspension qui fait l</w:t>
      </w:r>
      <w:r w:rsidR="00AA33D3">
        <w:rPr>
          <w:lang w:val="fr-CA"/>
        </w:rPr>
        <w:t>’</w:t>
      </w:r>
      <w:r w:rsidRPr="00AA33D3">
        <w:rPr>
          <w:lang w:val="fr-CA"/>
        </w:rPr>
        <w:t xml:space="preserve">objet du présent litige est de nature administrative, et il est raisonnable que les règles contestées ne prévoient ni </w:t>
      </w:r>
      <w:r w:rsidR="00C74F7D" w:rsidRPr="00AA33D3">
        <w:rPr>
          <w:lang w:val="fr-CA"/>
        </w:rPr>
        <w:t xml:space="preserve">le </w:t>
      </w:r>
      <w:r w:rsidRPr="00AA33D3">
        <w:rPr>
          <w:lang w:val="fr-CA"/>
        </w:rPr>
        <w:t xml:space="preserve">droit à une audience ni </w:t>
      </w:r>
      <w:r w:rsidR="00C74F7D" w:rsidRPr="00AA33D3">
        <w:rPr>
          <w:lang w:val="fr-CA"/>
        </w:rPr>
        <w:t xml:space="preserve">un </w:t>
      </w:r>
      <w:r w:rsidRPr="00AA33D3">
        <w:rPr>
          <w:lang w:val="fr-CA"/>
        </w:rPr>
        <w:t>droit d</w:t>
      </w:r>
      <w:r w:rsidR="00AA33D3">
        <w:rPr>
          <w:lang w:val="fr-CA"/>
        </w:rPr>
        <w:t>’</w:t>
      </w:r>
      <w:r w:rsidRPr="00AA33D3">
        <w:rPr>
          <w:lang w:val="fr-CA"/>
        </w:rPr>
        <w:t>appel parce que les avocats sont les seuls responsables de se conformer aux règles, au moment qui leur convient</w:t>
      </w:r>
      <w:r w:rsidR="00AA33D3">
        <w:rPr>
          <w:lang w:val="fr-CA"/>
        </w:rPr>
        <w:t xml:space="preserve">. </w:t>
      </w:r>
      <w:r w:rsidRPr="00AA33D3">
        <w:rPr>
          <w:lang w:val="fr-CA"/>
        </w:rPr>
        <w:t>Seuls les membres peuvent mettre fin à la suspension en se conformant aux exigences. En outre, les règles qui autorisent l</w:t>
      </w:r>
      <w:r w:rsidR="00AA33D3">
        <w:rPr>
          <w:lang w:val="fr-CA"/>
        </w:rPr>
        <w:t>’</w:t>
      </w:r>
      <w:r w:rsidRPr="00AA33D3">
        <w:rPr>
          <w:lang w:val="fr-CA"/>
        </w:rPr>
        <w:t>infliction d</w:t>
      </w:r>
      <w:r w:rsidR="00AA33D3">
        <w:rPr>
          <w:lang w:val="fr-CA"/>
        </w:rPr>
        <w:t>’</w:t>
      </w:r>
      <w:r w:rsidRPr="00AA33D3">
        <w:rPr>
          <w:lang w:val="fr-CA"/>
        </w:rPr>
        <w:t>une suspension ne s</w:t>
      </w:r>
      <w:r w:rsidR="00AA33D3">
        <w:rPr>
          <w:lang w:val="fr-CA"/>
        </w:rPr>
        <w:t>’</w:t>
      </w:r>
      <w:r w:rsidRPr="00AA33D3">
        <w:rPr>
          <w:lang w:val="fr-CA"/>
        </w:rPr>
        <w:t xml:space="preserve">appliquent pas automatiquement. En effet, en plus des garanties procédurales de common law dont jouit un avocat, les règles </w:t>
      </w:r>
      <w:r w:rsidR="00C74F7D" w:rsidRPr="00AA33D3">
        <w:rPr>
          <w:lang w:val="fr-CA"/>
        </w:rPr>
        <w:t xml:space="preserve">qui prévoient la </w:t>
      </w:r>
      <w:r w:rsidR="00C74F7D" w:rsidRPr="00AA33D3">
        <w:rPr>
          <w:lang w:val="fr-CA"/>
        </w:rPr>
        <w:lastRenderedPageBreak/>
        <w:t>suspension</w:t>
      </w:r>
      <w:r w:rsidRPr="00AA33D3">
        <w:rPr>
          <w:lang w:val="fr-CA"/>
        </w:rPr>
        <w:t xml:space="preserve"> attribuent expressément au directeur général du Barreau le pouvoir discrétionnaire de s</w:t>
      </w:r>
      <w:r w:rsidR="00AA33D3">
        <w:rPr>
          <w:lang w:val="fr-CA"/>
        </w:rPr>
        <w:t>’</w:t>
      </w:r>
      <w:r w:rsidRPr="00AA33D3">
        <w:rPr>
          <w:lang w:val="fr-CA"/>
        </w:rPr>
        <w:t xml:space="preserve">assurer que les </w:t>
      </w:r>
      <w:r w:rsidR="002362D3" w:rsidRPr="00AA33D3">
        <w:rPr>
          <w:lang w:val="fr-CA"/>
        </w:rPr>
        <w:t>R</w:t>
      </w:r>
      <w:r w:rsidRPr="00AA33D3">
        <w:rPr>
          <w:lang w:val="fr-CA"/>
        </w:rPr>
        <w:t>ègles ne soient pas trop sévères</w:t>
      </w:r>
      <w:r w:rsidR="00C74F7D" w:rsidRPr="00AA33D3">
        <w:rPr>
          <w:lang w:val="fr-CA"/>
        </w:rPr>
        <w:t>.</w:t>
      </w:r>
      <w:r w:rsidRPr="00AA33D3">
        <w:rPr>
          <w:lang w:val="fr-CA"/>
        </w:rPr>
        <w:t xml:space="preserve"> L</w:t>
      </w:r>
      <w:r w:rsidR="00AA33D3">
        <w:rPr>
          <w:lang w:val="fr-CA"/>
        </w:rPr>
        <w:t>’</w:t>
      </w:r>
      <w:r w:rsidRPr="00AA33D3">
        <w:rPr>
          <w:lang w:val="fr-CA"/>
        </w:rPr>
        <w:t>omission d</w:t>
      </w:r>
      <w:r w:rsidR="00AA33D3">
        <w:rPr>
          <w:lang w:val="fr-CA"/>
        </w:rPr>
        <w:t>’</w:t>
      </w:r>
      <w:r w:rsidRPr="00AA33D3">
        <w:rPr>
          <w:lang w:val="fr-CA"/>
        </w:rPr>
        <w:t>un avocat de se conformer aux règles contestées relatives à la formation, même après avoir été avisé et s</w:t>
      </w:r>
      <w:r w:rsidR="00AA33D3">
        <w:rPr>
          <w:lang w:val="fr-CA"/>
        </w:rPr>
        <w:t>’</w:t>
      </w:r>
      <w:r w:rsidRPr="00AA33D3">
        <w:rPr>
          <w:lang w:val="fr-CA"/>
        </w:rPr>
        <w:t>être vu offrir l</w:t>
      </w:r>
      <w:r w:rsidR="00AA33D3">
        <w:rPr>
          <w:lang w:val="fr-CA"/>
        </w:rPr>
        <w:t>’</w:t>
      </w:r>
      <w:r w:rsidRPr="00AA33D3">
        <w:rPr>
          <w:lang w:val="fr-CA"/>
        </w:rPr>
        <w:t>occasion de demander une prorogation de délai, justifie clairement que le Barreau inflige une suspension temporaire</w:t>
      </w:r>
      <w:r w:rsidR="00AA33D3">
        <w:rPr>
          <w:lang w:val="fr-CA"/>
        </w:rPr>
        <w:t xml:space="preserve">. </w:t>
      </w:r>
    </w:p>
    <w:p w:rsidR="00D90FFB" w:rsidRPr="00AA33D3" w:rsidRDefault="00D90FFB" w:rsidP="00987CB6">
      <w:pPr>
        <w:pStyle w:val="SCCNormalDoubleSpacing"/>
        <w:widowControl w:val="0"/>
        <w:spacing w:before="480" w:after="480"/>
        <w:rPr>
          <w:lang w:val="fr-CA"/>
        </w:rPr>
      </w:pPr>
      <w:r w:rsidRPr="00AA33D3">
        <w:rPr>
          <w:lang w:val="fr-CA"/>
        </w:rPr>
        <w:tab/>
      </w:r>
      <w:r w:rsidRPr="00AA33D3">
        <w:rPr>
          <w:i/>
          <w:lang w:val="fr-CA"/>
        </w:rPr>
        <w:t xml:space="preserve">Les </w:t>
      </w:r>
      <w:r w:rsidRPr="00AA33D3">
        <w:rPr>
          <w:lang w:val="fr-CA"/>
        </w:rPr>
        <w:t xml:space="preserve">juges </w:t>
      </w:r>
      <w:r w:rsidRPr="00490C55">
        <w:rPr>
          <w:lang w:val="fr-CA"/>
        </w:rPr>
        <w:t>Abella</w:t>
      </w:r>
      <w:r w:rsidRPr="00AA33D3">
        <w:rPr>
          <w:lang w:val="fr-CA"/>
        </w:rPr>
        <w:t xml:space="preserve"> et Côté (dissidentes) :  La question en litige dans le présent pourvoi </w:t>
      </w:r>
      <w:r w:rsidRPr="00AA33D3">
        <w:rPr>
          <w:i/>
          <w:lang w:val="fr-CA"/>
        </w:rPr>
        <w:t>n</w:t>
      </w:r>
      <w:r w:rsidR="00AA33D3">
        <w:rPr>
          <w:i/>
          <w:lang w:val="fr-CA"/>
        </w:rPr>
        <w:t>’</w:t>
      </w:r>
      <w:r w:rsidRPr="00AA33D3">
        <w:rPr>
          <w:lang w:val="fr-CA"/>
        </w:rPr>
        <w:t xml:space="preserve">est </w:t>
      </w:r>
      <w:r w:rsidRPr="00AA33D3">
        <w:rPr>
          <w:i/>
          <w:lang w:val="fr-CA"/>
        </w:rPr>
        <w:t xml:space="preserve">pas </w:t>
      </w:r>
      <w:r w:rsidR="00C74F7D" w:rsidRPr="00AA33D3">
        <w:rPr>
          <w:lang w:val="fr-CA"/>
        </w:rPr>
        <w:t>celle de savoir si la Société du</w:t>
      </w:r>
      <w:r w:rsidRPr="00AA33D3">
        <w:rPr>
          <w:lang w:val="fr-CA"/>
        </w:rPr>
        <w:t xml:space="preserve"> Barreau peut suspendre le droit d</w:t>
      </w:r>
      <w:r w:rsidR="00AA33D3">
        <w:rPr>
          <w:lang w:val="fr-CA"/>
        </w:rPr>
        <w:t>’</w:t>
      </w:r>
      <w:r w:rsidRPr="00AA33D3">
        <w:rPr>
          <w:lang w:val="fr-CA"/>
        </w:rPr>
        <w:t>exercice d</w:t>
      </w:r>
      <w:r w:rsidR="00AA33D3">
        <w:rPr>
          <w:lang w:val="fr-CA"/>
        </w:rPr>
        <w:t>’</w:t>
      </w:r>
      <w:r w:rsidRPr="00AA33D3">
        <w:rPr>
          <w:lang w:val="fr-CA"/>
        </w:rPr>
        <w:t>un avocat pour un manquement à l</w:t>
      </w:r>
      <w:r w:rsidR="00AA33D3">
        <w:rPr>
          <w:lang w:val="fr-CA"/>
        </w:rPr>
        <w:t>’</w:t>
      </w:r>
      <w:r w:rsidRPr="00AA33D3">
        <w:rPr>
          <w:lang w:val="fr-CA"/>
        </w:rPr>
        <w:t xml:space="preserve">obligation de suivre les 12 heures </w:t>
      </w:r>
      <w:r w:rsidR="00C74F7D" w:rsidRPr="00AA33D3">
        <w:rPr>
          <w:lang w:val="fr-CA"/>
        </w:rPr>
        <w:t xml:space="preserve">annuelles </w:t>
      </w:r>
      <w:r w:rsidRPr="00AA33D3">
        <w:rPr>
          <w:lang w:val="fr-CA"/>
        </w:rPr>
        <w:t>de formation permanente obligatoire, mais bien celle de savoir si</w:t>
      </w:r>
      <w:r w:rsidR="001A5612">
        <w:rPr>
          <w:lang w:val="fr-CA"/>
        </w:rPr>
        <w:t xml:space="preserve"> e</w:t>
      </w:r>
      <w:r w:rsidRPr="00AA33D3">
        <w:rPr>
          <w:lang w:val="fr-CA"/>
        </w:rPr>
        <w:t>l</w:t>
      </w:r>
      <w:r w:rsidR="001A5612">
        <w:rPr>
          <w:lang w:val="fr-CA"/>
        </w:rPr>
        <w:t>le</w:t>
      </w:r>
      <w:r w:rsidRPr="00AA33D3">
        <w:rPr>
          <w:lang w:val="fr-CA"/>
        </w:rPr>
        <w:t xml:space="preserve"> peut infliger une suspension </w:t>
      </w:r>
      <w:r w:rsidRPr="00AA33D3">
        <w:rPr>
          <w:i/>
          <w:lang w:val="fr-CA"/>
        </w:rPr>
        <w:t>automatique</w:t>
      </w:r>
      <w:r w:rsidRPr="00AA33D3">
        <w:rPr>
          <w:lang w:val="fr-CA"/>
        </w:rPr>
        <w:t xml:space="preserve">. </w:t>
      </w:r>
    </w:p>
    <w:p w:rsidR="00C74F7D" w:rsidRPr="00AA33D3" w:rsidRDefault="00D90FFB" w:rsidP="00987CB6">
      <w:pPr>
        <w:pStyle w:val="SCCNormalDoubleSpacing"/>
        <w:widowControl w:val="0"/>
        <w:spacing w:before="480" w:after="480"/>
        <w:rPr>
          <w:lang w:val="fr-CA"/>
        </w:rPr>
      </w:pPr>
      <w:r w:rsidRPr="00AA33D3">
        <w:rPr>
          <w:lang w:val="fr-CA"/>
        </w:rPr>
        <w:tab/>
        <w:t>Un barreau ne peut adopter que des règles conformes à l</w:t>
      </w:r>
      <w:r w:rsidR="00AA33D3">
        <w:rPr>
          <w:lang w:val="fr-CA"/>
        </w:rPr>
        <w:t>’</w:t>
      </w:r>
      <w:r w:rsidRPr="00AA33D3">
        <w:rPr>
          <w:lang w:val="fr-CA"/>
        </w:rPr>
        <w:t>objet, au champ d</w:t>
      </w:r>
      <w:r w:rsidR="00AA33D3">
        <w:rPr>
          <w:lang w:val="fr-CA"/>
        </w:rPr>
        <w:t>’</w:t>
      </w:r>
      <w:r w:rsidRPr="00AA33D3">
        <w:rPr>
          <w:lang w:val="fr-CA"/>
        </w:rPr>
        <w:t>application et aux objectifs de sa loi habilitante et ce pouvoir doit être exercé de manière raisonnable. Cela dit, le fait qu</w:t>
      </w:r>
      <w:r w:rsidR="00AA33D3">
        <w:rPr>
          <w:lang w:val="fr-CA"/>
        </w:rPr>
        <w:t>’</w:t>
      </w:r>
      <w:r w:rsidRPr="00AA33D3">
        <w:rPr>
          <w:lang w:val="fr-CA"/>
        </w:rPr>
        <w:t>il faille faire preuve de retenue ne signifie pas qu</w:t>
      </w:r>
      <w:r w:rsidR="00AA33D3">
        <w:rPr>
          <w:lang w:val="fr-CA"/>
        </w:rPr>
        <w:t>’</w:t>
      </w:r>
      <w:r w:rsidRPr="00AA33D3">
        <w:rPr>
          <w:lang w:val="fr-CA"/>
        </w:rPr>
        <w:t xml:space="preserve">un </w:t>
      </w:r>
      <w:r w:rsidR="00C74F7D" w:rsidRPr="00AA33D3">
        <w:rPr>
          <w:lang w:val="fr-CA"/>
        </w:rPr>
        <w:t>b</w:t>
      </w:r>
      <w:r w:rsidRPr="00AA33D3">
        <w:rPr>
          <w:lang w:val="fr-CA"/>
        </w:rPr>
        <w:t>arreau a carte blanche; il existe plusieurs fondements pour conclure au caractère déraisonnable de la législation déléguée, comme lorsqu</w:t>
      </w:r>
      <w:r w:rsidR="00AA33D3">
        <w:rPr>
          <w:lang w:val="fr-CA"/>
        </w:rPr>
        <w:t>’</w:t>
      </w:r>
      <w:r w:rsidRPr="00AA33D3">
        <w:rPr>
          <w:lang w:val="fr-CA"/>
        </w:rPr>
        <w:t>elle est manifestement injuste</w:t>
      </w:r>
      <w:r w:rsidR="00C74F7D" w:rsidRPr="00AA33D3">
        <w:rPr>
          <w:lang w:val="fr-CA"/>
        </w:rPr>
        <w:t>.</w:t>
      </w:r>
      <w:r w:rsidRPr="00AA33D3">
        <w:rPr>
          <w:lang w:val="fr-CA"/>
        </w:rPr>
        <w:t xml:space="preserve"> </w:t>
      </w:r>
    </w:p>
    <w:p w:rsidR="00D90FFB" w:rsidRPr="00AA33D3" w:rsidRDefault="00C74F7D" w:rsidP="00987CB6">
      <w:pPr>
        <w:pStyle w:val="SCCNormalDoubleSpacing"/>
        <w:widowControl w:val="0"/>
        <w:spacing w:before="480" w:after="480"/>
        <w:rPr>
          <w:lang w:val="fr-CA"/>
        </w:rPr>
      </w:pPr>
      <w:r w:rsidRPr="00AA33D3">
        <w:rPr>
          <w:lang w:val="fr-CA"/>
        </w:rPr>
        <w:tab/>
      </w:r>
      <w:r w:rsidR="00D90FFB" w:rsidRPr="00AA33D3">
        <w:rPr>
          <w:lang w:val="fr-CA"/>
        </w:rPr>
        <w:t>Au Manitoba, la Société du Barreau a pour objet « de défendre et de protéger l</w:t>
      </w:r>
      <w:r w:rsidR="00AA33D3">
        <w:rPr>
          <w:lang w:val="fr-CA"/>
        </w:rPr>
        <w:t>’</w:t>
      </w:r>
      <w:r w:rsidR="00D90FFB" w:rsidRPr="00AA33D3">
        <w:rPr>
          <w:lang w:val="fr-CA"/>
        </w:rPr>
        <w:t>intérêt public relativement à la prestation de services juridiques d</w:t>
      </w:r>
      <w:r w:rsidR="00AA33D3">
        <w:rPr>
          <w:lang w:val="fr-CA"/>
        </w:rPr>
        <w:t>’</w:t>
      </w:r>
      <w:r w:rsidR="00D90FFB" w:rsidRPr="00AA33D3">
        <w:rPr>
          <w:lang w:val="fr-CA"/>
        </w:rPr>
        <w:t>une manière compétente, intègre et indépendante ». Il s</w:t>
      </w:r>
      <w:r w:rsidR="00AA33D3">
        <w:rPr>
          <w:lang w:val="fr-CA"/>
        </w:rPr>
        <w:t>’</w:t>
      </w:r>
      <w:r w:rsidR="00D90FFB" w:rsidRPr="00AA33D3">
        <w:rPr>
          <w:lang w:val="fr-CA"/>
        </w:rPr>
        <w:t>agit là des valeurs fondamentales du professionnalisme de l</w:t>
      </w:r>
      <w:r w:rsidR="00AA33D3">
        <w:rPr>
          <w:lang w:val="fr-CA"/>
        </w:rPr>
        <w:t>’</w:t>
      </w:r>
      <w:r w:rsidR="00D90FFB" w:rsidRPr="00AA33D3">
        <w:rPr>
          <w:lang w:val="fr-CA"/>
        </w:rPr>
        <w:t>avocat. La protection de l</w:t>
      </w:r>
      <w:r w:rsidR="00AA33D3">
        <w:rPr>
          <w:lang w:val="fr-CA"/>
        </w:rPr>
        <w:t>’</w:t>
      </w:r>
      <w:r w:rsidR="00D90FFB" w:rsidRPr="00AA33D3">
        <w:rPr>
          <w:lang w:val="fr-CA"/>
        </w:rPr>
        <w:t>intérêt public emporte non seulement l</w:t>
      </w:r>
      <w:r w:rsidR="00AA33D3">
        <w:rPr>
          <w:lang w:val="fr-CA"/>
        </w:rPr>
        <w:t>’</w:t>
      </w:r>
      <w:r w:rsidR="00D90FFB" w:rsidRPr="00AA33D3">
        <w:rPr>
          <w:lang w:val="fr-CA"/>
        </w:rPr>
        <w:t xml:space="preserve">obligation de veiller à ce que les avocats fournissent des services juridiques conformément à ces valeurs, mais également celle de protéger la </w:t>
      </w:r>
      <w:r w:rsidR="00D90FFB" w:rsidRPr="00AA33D3">
        <w:rPr>
          <w:i/>
          <w:lang w:val="fr-CA"/>
        </w:rPr>
        <w:t>perception</w:t>
      </w:r>
      <w:r w:rsidR="00D90FFB" w:rsidRPr="00AA33D3">
        <w:rPr>
          <w:lang w:val="fr-CA"/>
        </w:rPr>
        <w:t xml:space="preserve"> de </w:t>
      </w:r>
      <w:r w:rsidR="00D90FFB" w:rsidRPr="00AA33D3">
        <w:rPr>
          <w:lang w:val="fr-CA"/>
        </w:rPr>
        <w:lastRenderedPageBreak/>
        <w:t>professionnalisme de ces services au sein du public</w:t>
      </w:r>
      <w:r w:rsidR="00AA33D3">
        <w:rPr>
          <w:lang w:val="fr-CA"/>
        </w:rPr>
        <w:t xml:space="preserve">. </w:t>
      </w:r>
      <w:r w:rsidR="00D90FFB" w:rsidRPr="00AA33D3">
        <w:rPr>
          <w:lang w:val="fr-CA"/>
        </w:rPr>
        <w:t>Bien que l</w:t>
      </w:r>
      <w:r w:rsidR="00AA33D3">
        <w:rPr>
          <w:lang w:val="fr-CA"/>
        </w:rPr>
        <w:t>’</w:t>
      </w:r>
      <w:r w:rsidR="00D90FFB" w:rsidRPr="00AA33D3">
        <w:rPr>
          <w:lang w:val="fr-CA"/>
        </w:rPr>
        <w:t>objectif premier d</w:t>
      </w:r>
      <w:r w:rsidR="00AA33D3">
        <w:rPr>
          <w:lang w:val="fr-CA"/>
        </w:rPr>
        <w:t>’</w:t>
      </w:r>
      <w:r w:rsidR="00D90FFB" w:rsidRPr="00AA33D3">
        <w:rPr>
          <w:lang w:val="fr-CA"/>
        </w:rPr>
        <w:t>un barreau soit la protection de l</w:t>
      </w:r>
      <w:r w:rsidR="00AA33D3">
        <w:rPr>
          <w:lang w:val="fr-CA"/>
        </w:rPr>
        <w:t>’</w:t>
      </w:r>
      <w:r w:rsidR="00D90FFB" w:rsidRPr="00AA33D3">
        <w:rPr>
          <w:lang w:val="fr-CA"/>
        </w:rPr>
        <w:t xml:space="preserve">intérêt public, </w:t>
      </w:r>
      <w:r w:rsidRPr="00AA33D3">
        <w:rPr>
          <w:lang w:val="fr-CA"/>
        </w:rPr>
        <w:t>il</w:t>
      </w:r>
      <w:r w:rsidR="00D90FFB" w:rsidRPr="00AA33D3">
        <w:rPr>
          <w:lang w:val="fr-CA"/>
        </w:rPr>
        <w:t xml:space="preserve"> ne saurait réaliser cet objectif sans protéger également la capacité de ses membres à exercer le droit de manière professionnelle. En conséquence, les barreaux doivent s</w:t>
      </w:r>
      <w:r w:rsidR="00AA33D3">
        <w:rPr>
          <w:lang w:val="fr-CA"/>
        </w:rPr>
        <w:t>’</w:t>
      </w:r>
      <w:r w:rsidR="00D90FFB" w:rsidRPr="00AA33D3">
        <w:rPr>
          <w:lang w:val="fr-CA"/>
        </w:rPr>
        <w:t>acquitter de leur mandat d</w:t>
      </w:r>
      <w:r w:rsidR="00AA33D3">
        <w:rPr>
          <w:lang w:val="fr-CA"/>
        </w:rPr>
        <w:t>’</w:t>
      </w:r>
      <w:r w:rsidR="00D90FFB" w:rsidRPr="00AA33D3">
        <w:rPr>
          <w:lang w:val="fr-CA"/>
        </w:rPr>
        <w:t>une manière qui non seulement protège la capacité des avocats d</w:t>
      </w:r>
      <w:r w:rsidR="00AA33D3">
        <w:rPr>
          <w:lang w:val="fr-CA"/>
        </w:rPr>
        <w:t>’</w:t>
      </w:r>
      <w:r w:rsidR="00D90FFB" w:rsidRPr="00AA33D3">
        <w:rPr>
          <w:lang w:val="fr-CA"/>
        </w:rPr>
        <w:t xml:space="preserve">agir de façon professionnelle, mais qui renforce aussi, au sein du public, la perception que les avocats </w:t>
      </w:r>
      <w:r w:rsidR="00D90FFB" w:rsidRPr="00AA33D3">
        <w:rPr>
          <w:i/>
          <w:lang w:val="fr-CA"/>
        </w:rPr>
        <w:t>se comportent</w:t>
      </w:r>
      <w:r w:rsidR="00D90FFB" w:rsidRPr="00AA33D3">
        <w:rPr>
          <w:lang w:val="fr-CA"/>
        </w:rPr>
        <w:t xml:space="preserve"> de telle façon. Corollairement, cela signifie que les barreaux ne peuvent adopter des règles qui érodent de manière déraisonnable la confiance du public envers les avocats.</w:t>
      </w:r>
    </w:p>
    <w:p w:rsidR="00D90FFB" w:rsidRPr="00AA33D3" w:rsidRDefault="00D90FFB" w:rsidP="00987CB6">
      <w:pPr>
        <w:pStyle w:val="SCCNormalDoubleSpacing"/>
        <w:widowControl w:val="0"/>
        <w:spacing w:before="480" w:after="480"/>
        <w:rPr>
          <w:lang w:val="fr-CA"/>
        </w:rPr>
      </w:pPr>
      <w:r w:rsidRPr="00AA33D3">
        <w:rPr>
          <w:lang w:val="fr-CA"/>
        </w:rPr>
        <w:tab/>
        <w:t>En l</w:t>
      </w:r>
      <w:r w:rsidR="00AA33D3">
        <w:rPr>
          <w:lang w:val="fr-CA"/>
        </w:rPr>
        <w:t>’</w:t>
      </w:r>
      <w:r w:rsidRPr="00AA33D3">
        <w:rPr>
          <w:lang w:val="fr-CA"/>
        </w:rPr>
        <w:t xml:space="preserve">espèce, la règle de la Société du Barreau portant que les membres qui omettent de compléter les 12 heures de </w:t>
      </w:r>
      <w:r w:rsidR="008B0772">
        <w:rPr>
          <w:lang w:val="fr-CA"/>
        </w:rPr>
        <w:t>p</w:t>
      </w:r>
      <w:r w:rsidRPr="00AA33D3">
        <w:rPr>
          <w:lang w:val="fr-CA"/>
        </w:rPr>
        <w:t xml:space="preserve">erfectionnement </w:t>
      </w:r>
      <w:r w:rsidR="008B0772">
        <w:rPr>
          <w:lang w:val="fr-CA"/>
        </w:rPr>
        <w:t>p</w:t>
      </w:r>
      <w:r w:rsidRPr="00AA33D3">
        <w:rPr>
          <w:lang w:val="fr-CA"/>
        </w:rPr>
        <w:t xml:space="preserve">rofessionnel </w:t>
      </w:r>
      <w:r w:rsidR="008B0772">
        <w:rPr>
          <w:lang w:val="fr-CA"/>
        </w:rPr>
        <w:t>p</w:t>
      </w:r>
      <w:r w:rsidRPr="00AA33D3">
        <w:rPr>
          <w:lang w:val="fr-CA"/>
        </w:rPr>
        <w:t>ermanent obligatoire au cours d</w:t>
      </w:r>
      <w:r w:rsidR="00AA33D3">
        <w:rPr>
          <w:lang w:val="fr-CA"/>
        </w:rPr>
        <w:t>’</w:t>
      </w:r>
      <w:r w:rsidRPr="00AA33D3">
        <w:rPr>
          <w:lang w:val="fr-CA"/>
        </w:rPr>
        <w:t>une année civile sont automatiquement suspendus est déraisonnable parce qu</w:t>
      </w:r>
      <w:r w:rsidR="00AA33D3">
        <w:rPr>
          <w:lang w:val="fr-CA"/>
        </w:rPr>
        <w:t>’</w:t>
      </w:r>
      <w:r w:rsidRPr="00AA33D3">
        <w:rPr>
          <w:lang w:val="fr-CA"/>
        </w:rPr>
        <w:t>elle est incompatible avec le mandat qui a été confié à la Société du Barreau, à savoir protéger la confiance du public envers la profession juridique. Lorsqu</w:t>
      </w:r>
      <w:r w:rsidR="00AA33D3">
        <w:rPr>
          <w:lang w:val="fr-CA"/>
        </w:rPr>
        <w:t>’</w:t>
      </w:r>
      <w:r w:rsidRPr="00AA33D3">
        <w:rPr>
          <w:lang w:val="fr-CA"/>
        </w:rPr>
        <w:t>un avocat est suspendu, la confiance du public à son endroit l</w:t>
      </w:r>
      <w:r w:rsidR="00AA33D3">
        <w:rPr>
          <w:lang w:val="fr-CA"/>
        </w:rPr>
        <w:t>’</w:t>
      </w:r>
      <w:r w:rsidRPr="00AA33D3">
        <w:rPr>
          <w:lang w:val="fr-CA"/>
        </w:rPr>
        <w:t>est également. C</w:t>
      </w:r>
      <w:r w:rsidR="00AA33D3">
        <w:rPr>
          <w:lang w:val="fr-CA"/>
        </w:rPr>
        <w:t>’</w:t>
      </w:r>
      <w:r w:rsidRPr="00AA33D3">
        <w:rPr>
          <w:lang w:val="fr-CA"/>
        </w:rPr>
        <w:t>est la raison pour laquelle la Société du Barreau enquête avec autant de soin sur les plaintes concernant une faute professionnelle ou une allégation d</w:t>
      </w:r>
      <w:r w:rsidR="00AA33D3">
        <w:rPr>
          <w:lang w:val="fr-CA"/>
        </w:rPr>
        <w:t>’</w:t>
      </w:r>
      <w:r w:rsidRPr="00AA33D3">
        <w:rPr>
          <w:lang w:val="fr-CA"/>
        </w:rPr>
        <w:t>incompétence, veillant ainsi à n</w:t>
      </w:r>
      <w:r w:rsidR="00AA33D3">
        <w:rPr>
          <w:lang w:val="fr-CA"/>
        </w:rPr>
        <w:t>’</w:t>
      </w:r>
      <w:r w:rsidRPr="00AA33D3">
        <w:rPr>
          <w:lang w:val="fr-CA"/>
        </w:rPr>
        <w:t>imposer une suspension qu</w:t>
      </w:r>
      <w:r w:rsidR="00AA33D3">
        <w:rPr>
          <w:lang w:val="fr-CA"/>
        </w:rPr>
        <w:t>’</w:t>
      </w:r>
      <w:r w:rsidRPr="00AA33D3">
        <w:rPr>
          <w:lang w:val="fr-CA"/>
        </w:rPr>
        <w:t>après avoir accordé certaines garanties procédurales minimales, et après avoir envisagé des sanctions moins sévères</w:t>
      </w:r>
      <w:r w:rsidR="00AA33D3">
        <w:rPr>
          <w:lang w:val="fr-CA"/>
        </w:rPr>
        <w:t xml:space="preserve">. </w:t>
      </w:r>
      <w:r w:rsidRPr="00AA33D3">
        <w:rPr>
          <w:lang w:val="fr-CA"/>
        </w:rPr>
        <w:t>Lorsqu</w:t>
      </w:r>
      <w:r w:rsidR="00AA33D3">
        <w:rPr>
          <w:lang w:val="fr-CA"/>
        </w:rPr>
        <w:t>’</w:t>
      </w:r>
      <w:r w:rsidRPr="00AA33D3">
        <w:rPr>
          <w:lang w:val="fr-CA"/>
        </w:rPr>
        <w:t>une suspension est infligée au terme d</w:t>
      </w:r>
      <w:r w:rsidR="00AA33D3">
        <w:rPr>
          <w:lang w:val="fr-CA"/>
        </w:rPr>
        <w:t>’</w:t>
      </w:r>
      <w:r w:rsidRPr="00AA33D3">
        <w:rPr>
          <w:lang w:val="fr-CA"/>
        </w:rPr>
        <w:t>un tel processus, la perte de confiance du public en résultant est alors justifiée. Cependant, lorsqu</w:t>
      </w:r>
      <w:r w:rsidR="00AA33D3">
        <w:rPr>
          <w:lang w:val="fr-CA"/>
        </w:rPr>
        <w:t>’</w:t>
      </w:r>
      <w:r w:rsidRPr="00AA33D3">
        <w:rPr>
          <w:lang w:val="fr-CA"/>
        </w:rPr>
        <w:t>une suspension est imposée automatiquement à l</w:t>
      </w:r>
      <w:r w:rsidR="00AA33D3">
        <w:rPr>
          <w:lang w:val="fr-CA"/>
        </w:rPr>
        <w:t>’</w:t>
      </w:r>
      <w:r w:rsidRPr="00AA33D3">
        <w:rPr>
          <w:lang w:val="fr-CA"/>
        </w:rPr>
        <w:t>égard de l</w:t>
      </w:r>
      <w:r w:rsidR="00AA33D3">
        <w:rPr>
          <w:lang w:val="fr-CA"/>
        </w:rPr>
        <w:t>’</w:t>
      </w:r>
      <w:r w:rsidRPr="00AA33D3">
        <w:rPr>
          <w:lang w:val="fr-CA"/>
        </w:rPr>
        <w:t xml:space="preserve">infraction la </w:t>
      </w:r>
      <w:r w:rsidRPr="00AA33D3">
        <w:rPr>
          <w:i/>
          <w:lang w:val="fr-CA"/>
        </w:rPr>
        <w:t>moins</w:t>
      </w:r>
      <w:r w:rsidRPr="00AA33D3">
        <w:rPr>
          <w:lang w:val="fr-CA"/>
        </w:rPr>
        <w:t xml:space="preserve"> grave qui soit — le défaut de suivre </w:t>
      </w:r>
      <w:r w:rsidRPr="00AA33D3">
        <w:rPr>
          <w:lang w:val="fr-CA"/>
        </w:rPr>
        <w:lastRenderedPageBreak/>
        <w:t xml:space="preserve">les 12 heures </w:t>
      </w:r>
      <w:r w:rsidR="00C74F7D" w:rsidRPr="00AA33D3">
        <w:rPr>
          <w:lang w:val="fr-CA"/>
        </w:rPr>
        <w:t>d</w:t>
      </w:r>
      <w:r w:rsidR="00AA33D3">
        <w:rPr>
          <w:lang w:val="fr-CA"/>
        </w:rPr>
        <w:t>’</w:t>
      </w:r>
      <w:r w:rsidRPr="00AA33D3">
        <w:rPr>
          <w:lang w:val="fr-CA"/>
        </w:rPr>
        <w:t>activités de formation — la Société du Barreau contrevient à son obligation de protéger la confiance du public envers le professionnalisme des avocats contre une érosion inutile</w:t>
      </w:r>
      <w:r w:rsidR="00AA33D3">
        <w:rPr>
          <w:lang w:val="fr-CA"/>
        </w:rPr>
        <w:t xml:space="preserve">. </w:t>
      </w:r>
    </w:p>
    <w:p w:rsidR="00D90FFB" w:rsidRPr="00AA33D3" w:rsidRDefault="00D90FFB" w:rsidP="00987CB6">
      <w:pPr>
        <w:pStyle w:val="SCCNormalDoubleSpacing"/>
        <w:widowControl w:val="0"/>
        <w:spacing w:before="480" w:after="480"/>
        <w:rPr>
          <w:lang w:val="fr-CA"/>
        </w:rPr>
      </w:pPr>
      <w:r w:rsidRPr="00AA33D3">
        <w:rPr>
          <w:lang w:val="fr-CA"/>
        </w:rPr>
        <w:tab/>
        <w:t>Les incidences financières de la suspension sont évidentes. Il en est de même des incidences sur la réputation, compte tenu particulièrement du fait que le directeur général doit aviser les membres de la Société du Barreau, ainsi que les juges en chef des tribunaux au Manitoba, du nom du membre qui a été suspendu</w:t>
      </w:r>
      <w:r w:rsidR="00AA33D3">
        <w:rPr>
          <w:lang w:val="fr-CA"/>
        </w:rPr>
        <w:t xml:space="preserve">. </w:t>
      </w:r>
      <w:r w:rsidRPr="00AA33D3">
        <w:rPr>
          <w:lang w:val="fr-CA"/>
        </w:rPr>
        <w:t>Il s</w:t>
      </w:r>
      <w:r w:rsidR="00AA33D3">
        <w:rPr>
          <w:lang w:val="fr-CA"/>
        </w:rPr>
        <w:t>’</w:t>
      </w:r>
      <w:r w:rsidRPr="00AA33D3">
        <w:rPr>
          <w:lang w:val="fr-CA"/>
        </w:rPr>
        <w:t>agit de la seule question liée à la compétence des membres et régie par la Société du Barreau qui n</w:t>
      </w:r>
      <w:r w:rsidR="00AA33D3">
        <w:rPr>
          <w:lang w:val="fr-CA"/>
        </w:rPr>
        <w:t>’</w:t>
      </w:r>
      <w:r w:rsidRPr="00AA33D3">
        <w:rPr>
          <w:lang w:val="fr-CA"/>
        </w:rPr>
        <w:t>est assortie d</w:t>
      </w:r>
      <w:r w:rsidR="00AA33D3">
        <w:rPr>
          <w:lang w:val="fr-CA"/>
        </w:rPr>
        <w:t>’</w:t>
      </w:r>
      <w:r w:rsidRPr="00AA33D3">
        <w:rPr>
          <w:lang w:val="fr-CA"/>
        </w:rPr>
        <w:t>aucune garantie procédurale et d</w:t>
      </w:r>
      <w:r w:rsidR="00AA33D3">
        <w:rPr>
          <w:lang w:val="fr-CA"/>
        </w:rPr>
        <w:t>’</w:t>
      </w:r>
      <w:r w:rsidRPr="00AA33D3">
        <w:rPr>
          <w:lang w:val="fr-CA"/>
        </w:rPr>
        <w:t>aucun recours pour le membre, et d</w:t>
      </w:r>
      <w:r w:rsidR="00AA33D3">
        <w:rPr>
          <w:lang w:val="fr-CA"/>
        </w:rPr>
        <w:t>’</w:t>
      </w:r>
      <w:r w:rsidRPr="00AA33D3">
        <w:rPr>
          <w:lang w:val="fr-CA"/>
        </w:rPr>
        <w:t>aucune latitude en faveur du directeur général, et lui seul entraîne une suspension automatique, sans égard à l</w:t>
      </w:r>
      <w:r w:rsidR="00AA33D3">
        <w:rPr>
          <w:lang w:val="fr-CA"/>
        </w:rPr>
        <w:t>’</w:t>
      </w:r>
      <w:r w:rsidRPr="00AA33D3">
        <w:rPr>
          <w:lang w:val="fr-CA"/>
        </w:rPr>
        <w:t>existence ou non de circonstances susceptibles de le justifier. Ces facteurs rendent la suspension arbitraire. L</w:t>
      </w:r>
      <w:r w:rsidR="00AA33D3">
        <w:rPr>
          <w:lang w:val="fr-CA"/>
        </w:rPr>
        <w:t>’</w:t>
      </w:r>
      <w:r w:rsidRPr="00AA33D3">
        <w:rPr>
          <w:lang w:val="fr-CA"/>
        </w:rPr>
        <w:t>absence de pouvoir discrétionnaire, de mesures d</w:t>
      </w:r>
      <w:r w:rsidR="00AA33D3">
        <w:rPr>
          <w:lang w:val="fr-CA"/>
        </w:rPr>
        <w:t>’</w:t>
      </w:r>
      <w:r w:rsidRPr="00AA33D3">
        <w:rPr>
          <w:lang w:val="fr-CA"/>
        </w:rPr>
        <w:t>équité procédurale et de mesures réparatrices contraste nettement avec les mesures prévues par d</w:t>
      </w:r>
      <w:r w:rsidR="00AA33D3">
        <w:rPr>
          <w:lang w:val="fr-CA"/>
        </w:rPr>
        <w:t>’</w:t>
      </w:r>
      <w:r w:rsidRPr="00AA33D3">
        <w:rPr>
          <w:lang w:val="fr-CA"/>
        </w:rPr>
        <w:t xml:space="preserve">autres dispositions de la Loi ou des Règles qui tendent à la réalisation du mandat de la Société du Barreau pour établir les normes de compétence pour les avocats. </w:t>
      </w:r>
      <w:r w:rsidR="00C74F7D" w:rsidRPr="00AA33D3">
        <w:rPr>
          <w:lang w:val="fr-CA"/>
        </w:rPr>
        <w:t>Elle</w:t>
      </w:r>
      <w:r w:rsidRPr="00AA33D3">
        <w:rPr>
          <w:lang w:val="fr-CA"/>
        </w:rPr>
        <w:t xml:space="preserve"> contraste aussi nettement avec les </w:t>
      </w:r>
      <w:r w:rsidR="00C74F7D" w:rsidRPr="00AA33D3">
        <w:rPr>
          <w:lang w:val="fr-CA"/>
        </w:rPr>
        <w:t xml:space="preserve">exigences des </w:t>
      </w:r>
      <w:r w:rsidRPr="00AA33D3">
        <w:rPr>
          <w:lang w:val="fr-CA"/>
        </w:rPr>
        <w:t xml:space="preserve">règlements </w:t>
      </w:r>
      <w:r w:rsidR="00C74F7D" w:rsidRPr="00AA33D3">
        <w:rPr>
          <w:lang w:val="fr-CA"/>
        </w:rPr>
        <w:t>et d</w:t>
      </w:r>
      <w:r w:rsidRPr="00AA33D3">
        <w:rPr>
          <w:lang w:val="fr-CA"/>
        </w:rPr>
        <w:t xml:space="preserve">es politiques </w:t>
      </w:r>
      <w:r w:rsidR="009E1B9B" w:rsidRPr="00AA33D3">
        <w:rPr>
          <w:lang w:val="fr-CA"/>
        </w:rPr>
        <w:t xml:space="preserve">de formation professionnelle obligatoire </w:t>
      </w:r>
      <w:r w:rsidRPr="00AA33D3">
        <w:rPr>
          <w:lang w:val="fr-CA"/>
        </w:rPr>
        <w:t>de la plupart des autres provinces et territoires du Canada</w:t>
      </w:r>
      <w:r w:rsidR="00AA33D3">
        <w:rPr>
          <w:lang w:val="fr-CA"/>
        </w:rPr>
        <w:t xml:space="preserve">. </w:t>
      </w:r>
    </w:p>
    <w:p w:rsidR="00D90FFB" w:rsidRPr="00AA33D3" w:rsidRDefault="00D90FFB" w:rsidP="00987CB6">
      <w:pPr>
        <w:pStyle w:val="SCCNormalDoubleSpacing"/>
        <w:widowControl w:val="0"/>
        <w:spacing w:before="480" w:after="480"/>
        <w:rPr>
          <w:lang w:val="fr-CA"/>
        </w:rPr>
      </w:pPr>
      <w:r w:rsidRPr="00AA33D3">
        <w:rPr>
          <w:lang w:val="fr-CA"/>
        </w:rPr>
        <w:tab/>
        <w:t>L</w:t>
      </w:r>
      <w:r w:rsidR="00AA33D3">
        <w:rPr>
          <w:lang w:val="fr-CA"/>
        </w:rPr>
        <w:t>’</w:t>
      </w:r>
      <w:r w:rsidRPr="00AA33D3">
        <w:rPr>
          <w:lang w:val="fr-CA"/>
        </w:rPr>
        <w:t>absence d</w:t>
      </w:r>
      <w:r w:rsidR="00AA33D3">
        <w:rPr>
          <w:lang w:val="fr-CA"/>
        </w:rPr>
        <w:t>’</w:t>
      </w:r>
      <w:r w:rsidRPr="00AA33D3">
        <w:rPr>
          <w:lang w:val="fr-CA"/>
        </w:rPr>
        <w:t xml:space="preserve">un pouvoir discrétionnaire </w:t>
      </w:r>
      <w:r w:rsidR="009925F8">
        <w:rPr>
          <w:lang w:val="fr-CA"/>
        </w:rPr>
        <w:t xml:space="preserve">en l’espèce </w:t>
      </w:r>
      <w:r w:rsidRPr="00AA33D3">
        <w:rPr>
          <w:lang w:val="fr-CA"/>
        </w:rPr>
        <w:t>est fatale. Un</w:t>
      </w:r>
      <w:r w:rsidR="009925F8">
        <w:rPr>
          <w:lang w:val="fr-CA"/>
        </w:rPr>
        <w:t>e</w:t>
      </w:r>
      <w:r w:rsidRPr="00AA33D3">
        <w:rPr>
          <w:lang w:val="fr-CA"/>
        </w:rPr>
        <w:t xml:space="preserve"> </w:t>
      </w:r>
      <w:r w:rsidR="009925F8">
        <w:rPr>
          <w:lang w:val="fr-CA"/>
        </w:rPr>
        <w:t>r</w:t>
      </w:r>
      <w:r w:rsidRPr="00AA33D3">
        <w:rPr>
          <w:lang w:val="fr-CA"/>
        </w:rPr>
        <w:t xml:space="preserve">ègle qui entraîne la suspension </w:t>
      </w:r>
      <w:r w:rsidRPr="00AA33D3">
        <w:rPr>
          <w:i/>
          <w:lang w:val="fr-CA"/>
        </w:rPr>
        <w:t>automatique</w:t>
      </w:r>
      <w:r w:rsidRPr="00AA33D3">
        <w:rPr>
          <w:lang w:val="fr-CA"/>
        </w:rPr>
        <w:t xml:space="preserve"> du permis d</w:t>
      </w:r>
      <w:r w:rsidR="00AA33D3">
        <w:rPr>
          <w:lang w:val="fr-CA"/>
        </w:rPr>
        <w:t>’</w:t>
      </w:r>
      <w:r w:rsidRPr="00AA33D3">
        <w:rPr>
          <w:lang w:val="fr-CA"/>
        </w:rPr>
        <w:t>exercice d</w:t>
      </w:r>
      <w:r w:rsidR="00AA33D3">
        <w:rPr>
          <w:lang w:val="fr-CA"/>
        </w:rPr>
        <w:t>’</w:t>
      </w:r>
      <w:r w:rsidRPr="00AA33D3">
        <w:rPr>
          <w:lang w:val="fr-CA"/>
        </w:rPr>
        <w:t>un avocat parce qu</w:t>
      </w:r>
      <w:r w:rsidR="00AA33D3">
        <w:rPr>
          <w:lang w:val="fr-CA"/>
        </w:rPr>
        <w:t>’</w:t>
      </w:r>
      <w:r w:rsidRPr="00AA33D3">
        <w:rPr>
          <w:lang w:val="fr-CA"/>
        </w:rPr>
        <w:t>il n</w:t>
      </w:r>
      <w:r w:rsidR="00AA33D3">
        <w:rPr>
          <w:lang w:val="fr-CA"/>
        </w:rPr>
        <w:t>’</w:t>
      </w:r>
      <w:r w:rsidRPr="00AA33D3">
        <w:rPr>
          <w:lang w:val="fr-CA"/>
        </w:rPr>
        <w:t xml:space="preserve">a pas suivi 12 heures </w:t>
      </w:r>
      <w:r w:rsidR="00490C55">
        <w:rPr>
          <w:lang w:val="fr-CA"/>
        </w:rPr>
        <w:t xml:space="preserve">de </w:t>
      </w:r>
      <w:r w:rsidR="00CB64E0">
        <w:rPr>
          <w:lang w:val="fr-CA"/>
        </w:rPr>
        <w:t xml:space="preserve">perfectionnement professionnel permanent </w:t>
      </w:r>
      <w:r w:rsidRPr="00AA33D3">
        <w:rPr>
          <w:lang w:val="fr-CA"/>
        </w:rPr>
        <w:t xml:space="preserve">est si loin de </w:t>
      </w:r>
      <w:r w:rsidRPr="00AA33D3">
        <w:rPr>
          <w:lang w:val="fr-CA"/>
        </w:rPr>
        <w:lastRenderedPageBreak/>
        <w:t>garantir la confiance du public envers les avocats qu</w:t>
      </w:r>
      <w:r w:rsidR="00AA33D3">
        <w:rPr>
          <w:lang w:val="fr-CA"/>
        </w:rPr>
        <w:t>’</w:t>
      </w:r>
      <w:r w:rsidR="00B64681">
        <w:rPr>
          <w:lang w:val="fr-CA"/>
        </w:rPr>
        <w:t>elle</w:t>
      </w:r>
      <w:r w:rsidRPr="00AA33D3">
        <w:rPr>
          <w:lang w:val="fr-CA"/>
        </w:rPr>
        <w:t xml:space="preserve"> est manifestement injuste, et donc déraisonnable. </w:t>
      </w:r>
    </w:p>
    <w:p w:rsidR="004D7D95" w:rsidRPr="00AA33D3" w:rsidRDefault="004D7D95" w:rsidP="00987CB6">
      <w:pPr>
        <w:pStyle w:val="SCCNormalDoubleSpacing"/>
        <w:widowControl w:val="0"/>
        <w:spacing w:before="480" w:after="480"/>
        <w:rPr>
          <w:lang w:val="fr-CA"/>
        </w:rPr>
      </w:pPr>
      <w:r w:rsidRPr="00AA33D3">
        <w:rPr>
          <w:b/>
          <w:lang w:val="fr-CA"/>
        </w:rPr>
        <w:t>Jurisprudence</w:t>
      </w:r>
    </w:p>
    <w:p w:rsidR="002D7E96" w:rsidRPr="00AA33D3" w:rsidRDefault="002D7E96" w:rsidP="00987CB6">
      <w:pPr>
        <w:pStyle w:val="SCCNormalDoubleSpacing"/>
        <w:widowControl w:val="0"/>
        <w:spacing w:after="720" w:line="240" w:lineRule="auto"/>
        <w:rPr>
          <w:lang w:val="fr-CA"/>
        </w:rPr>
      </w:pPr>
      <w:r w:rsidRPr="00AA33D3">
        <w:rPr>
          <w:lang w:val="fr-CA"/>
        </w:rPr>
        <w:t>Citée par le juge Wagner</w:t>
      </w:r>
    </w:p>
    <w:p w:rsidR="008B4AEF" w:rsidRPr="00AA33D3" w:rsidRDefault="004D7D95" w:rsidP="00987CB6">
      <w:pPr>
        <w:pStyle w:val="SCCNormalDoubleSpacing"/>
        <w:widowControl w:val="0"/>
        <w:spacing w:before="480" w:after="480"/>
        <w:rPr>
          <w:lang w:val="fr-CA"/>
        </w:rPr>
      </w:pPr>
      <w:r w:rsidRPr="00AA33D3">
        <w:rPr>
          <w:lang w:val="fr-CA"/>
        </w:rPr>
        <w:tab/>
      </w:r>
      <w:r w:rsidRPr="00AA33D3">
        <w:rPr>
          <w:b/>
          <w:lang w:val="fr-CA"/>
        </w:rPr>
        <w:t xml:space="preserve">Arrêts </w:t>
      </w:r>
      <w:r w:rsidR="004E32C4">
        <w:rPr>
          <w:b/>
          <w:lang w:val="fr-CA"/>
        </w:rPr>
        <w:t>appliqués</w:t>
      </w:r>
      <w:r w:rsidR="004425A5" w:rsidRPr="00AA33D3">
        <w:rPr>
          <w:b/>
          <w:lang w:val="fr-CA"/>
        </w:rPr>
        <w:t> :</w:t>
      </w:r>
      <w:r w:rsidRPr="00AA33D3">
        <w:rPr>
          <w:lang w:val="fr-CA"/>
        </w:rPr>
        <w:t xml:space="preserve"> </w:t>
      </w:r>
      <w:r w:rsidR="00837CC2" w:rsidRPr="00AA33D3">
        <w:rPr>
          <w:i/>
          <w:lang w:val="fr-CA"/>
        </w:rPr>
        <w:t>Dunsmuir c. Nouveau</w:t>
      </w:r>
      <w:r w:rsidR="004425A5" w:rsidRPr="00AA33D3">
        <w:rPr>
          <w:i/>
          <w:lang w:val="fr-CA"/>
        </w:rPr>
        <w:noBreakHyphen/>
      </w:r>
      <w:r w:rsidR="00837CC2" w:rsidRPr="00AA33D3">
        <w:rPr>
          <w:i/>
          <w:lang w:val="fr-CA"/>
        </w:rPr>
        <w:t>Brunswick</w:t>
      </w:r>
      <w:r w:rsidR="00837CC2" w:rsidRPr="00AA33D3">
        <w:rPr>
          <w:lang w:val="fr-CA"/>
        </w:rPr>
        <w:t>, 2008 CSC 9, [2008] 1 R.C.S. 190;</w:t>
      </w:r>
      <w:r w:rsidR="003B4B95" w:rsidRPr="00AA33D3">
        <w:rPr>
          <w:lang w:val="fr-CA"/>
        </w:rPr>
        <w:t xml:space="preserve"> </w:t>
      </w:r>
      <w:r w:rsidR="004E32C4" w:rsidRPr="00AA33D3">
        <w:rPr>
          <w:i/>
          <w:lang w:val="fr-CA"/>
        </w:rPr>
        <w:t>Catalyst Paper Corp. c. North Cowichan (District)</w:t>
      </w:r>
      <w:r w:rsidR="004E32C4" w:rsidRPr="00AA33D3">
        <w:rPr>
          <w:lang w:val="fr-CA"/>
        </w:rPr>
        <w:t>, 2012 CSC 2, [2012] 1 R.C.S. 5;</w:t>
      </w:r>
      <w:r w:rsidR="004E32C4">
        <w:rPr>
          <w:lang w:val="fr-CA"/>
        </w:rPr>
        <w:t xml:space="preserve"> </w:t>
      </w:r>
      <w:r w:rsidR="004E32C4" w:rsidRPr="004E32C4">
        <w:rPr>
          <w:b/>
          <w:lang w:val="fr-CA"/>
        </w:rPr>
        <w:t>arrêts mentionnés</w:t>
      </w:r>
      <w:r w:rsidR="004E32C4">
        <w:rPr>
          <w:b/>
          <w:lang w:val="fr-CA"/>
        </w:rPr>
        <w:t> </w:t>
      </w:r>
      <w:r w:rsidR="004E32C4" w:rsidRPr="004E32C4">
        <w:rPr>
          <w:b/>
          <w:lang w:val="fr-CA"/>
        </w:rPr>
        <w:t>:</w:t>
      </w:r>
      <w:r w:rsidR="004E32C4">
        <w:rPr>
          <w:lang w:val="fr-CA"/>
        </w:rPr>
        <w:t xml:space="preserve"> </w:t>
      </w:r>
      <w:r w:rsidR="003B4B95" w:rsidRPr="00AA33D3">
        <w:rPr>
          <w:i/>
          <w:lang w:val="fr-CA"/>
        </w:rPr>
        <w:t>Compagnie des chemins de fer nationaux du Canad</w:t>
      </w:r>
      <w:r w:rsidR="00AA33D3" w:rsidRPr="00AA33D3">
        <w:rPr>
          <w:i/>
          <w:lang w:val="fr-CA"/>
        </w:rPr>
        <w:t>a</w:t>
      </w:r>
      <w:r w:rsidR="00AA33D3">
        <w:rPr>
          <w:i/>
          <w:lang w:val="fr-CA"/>
        </w:rPr>
        <w:t xml:space="preserve"> </w:t>
      </w:r>
      <w:r w:rsidR="00AA33D3" w:rsidRPr="00AA33D3">
        <w:rPr>
          <w:i/>
          <w:lang w:val="fr-CA"/>
        </w:rPr>
        <w:t>c</w:t>
      </w:r>
      <w:r w:rsidR="003B4B95" w:rsidRPr="00AA33D3">
        <w:rPr>
          <w:i/>
          <w:lang w:val="fr-CA"/>
        </w:rPr>
        <w:t>. Canada (Procureur général)</w:t>
      </w:r>
      <w:r w:rsidR="003B4B95" w:rsidRPr="00AA33D3">
        <w:rPr>
          <w:lang w:val="fr-CA"/>
        </w:rPr>
        <w:t xml:space="preserve">, 2014 CSC 40, [2014] 2 R.C.S. 135; </w:t>
      </w:r>
      <w:r w:rsidR="00402DA8" w:rsidRPr="00AA33D3">
        <w:rPr>
          <w:i/>
          <w:lang w:val="fr-CA"/>
        </w:rPr>
        <w:t xml:space="preserve">Katz Group Canada Inc. c. Ontario </w:t>
      </w:r>
      <w:r w:rsidR="0006024F" w:rsidRPr="00AA33D3">
        <w:rPr>
          <w:i/>
          <w:lang w:val="fr-CA"/>
        </w:rPr>
        <w:t>(Santé et Soins de longue durée</w:t>
      </w:r>
      <w:r w:rsidR="00402DA8" w:rsidRPr="00AA33D3">
        <w:rPr>
          <w:i/>
          <w:lang w:val="fr-CA"/>
        </w:rPr>
        <w:t>)</w:t>
      </w:r>
      <w:r w:rsidR="00402DA8" w:rsidRPr="00AA33D3">
        <w:rPr>
          <w:lang w:val="fr-CA"/>
        </w:rPr>
        <w:t>,</w:t>
      </w:r>
      <w:r w:rsidR="00402DA8" w:rsidRPr="00AA33D3">
        <w:rPr>
          <w:i/>
          <w:lang w:val="fr-CA"/>
        </w:rPr>
        <w:t xml:space="preserve"> </w:t>
      </w:r>
      <w:r w:rsidR="00402DA8" w:rsidRPr="00AA33D3">
        <w:rPr>
          <w:lang w:val="fr-CA"/>
        </w:rPr>
        <w:t xml:space="preserve">2013 CSC 64, [2013] 3 R.C.S. 810; </w:t>
      </w:r>
      <w:r w:rsidR="00F02544" w:rsidRPr="00AA33D3">
        <w:rPr>
          <w:i/>
          <w:lang w:val="fr-CA"/>
        </w:rPr>
        <w:t xml:space="preserve">Alberta (Information and Privacy Commissioner) </w:t>
      </w:r>
      <w:r w:rsidR="00F02544" w:rsidRPr="00AA33D3">
        <w:rPr>
          <w:i/>
          <w:iCs/>
          <w:lang w:val="fr-CA"/>
        </w:rPr>
        <w:t>c.</w:t>
      </w:r>
      <w:r w:rsidR="00F02544" w:rsidRPr="00AA33D3">
        <w:rPr>
          <w:i/>
          <w:lang w:val="fr-CA"/>
        </w:rPr>
        <w:t xml:space="preserve"> Alberta Teachers</w:t>
      </w:r>
      <w:r w:rsidR="00AA33D3">
        <w:rPr>
          <w:i/>
          <w:lang w:val="fr-CA"/>
        </w:rPr>
        <w:t>’</w:t>
      </w:r>
      <w:r w:rsidR="00F02544" w:rsidRPr="00AA33D3">
        <w:rPr>
          <w:i/>
          <w:lang w:val="fr-CA"/>
        </w:rPr>
        <w:t xml:space="preserve"> Association</w:t>
      </w:r>
      <w:r w:rsidR="00F02544" w:rsidRPr="00AA33D3">
        <w:rPr>
          <w:lang w:val="fr-CA"/>
        </w:rPr>
        <w:t>, 2011 CSC 61, [2011] 3 S.C.R. 654;</w:t>
      </w:r>
      <w:r w:rsidR="000734AC" w:rsidRPr="00AA33D3">
        <w:rPr>
          <w:lang w:val="fr-CA"/>
        </w:rPr>
        <w:t xml:space="preserve"> </w:t>
      </w:r>
      <w:r w:rsidR="000734AC" w:rsidRPr="00AA33D3">
        <w:rPr>
          <w:i/>
          <w:lang w:val="fr-CA"/>
        </w:rPr>
        <w:t>Agraira c. Canada (Sécurité publique et Protection civile)</w:t>
      </w:r>
      <w:r w:rsidR="000734AC" w:rsidRPr="00AA33D3">
        <w:rPr>
          <w:lang w:val="fr-CA"/>
        </w:rPr>
        <w:t>, 2013 CSC 36, [2013] 2 R.C.S. 559</w:t>
      </w:r>
      <w:r w:rsidR="00E40638" w:rsidRPr="00AA33D3">
        <w:rPr>
          <w:lang w:val="fr-CA"/>
        </w:rPr>
        <w:t xml:space="preserve">; </w:t>
      </w:r>
      <w:r w:rsidR="00E40638" w:rsidRPr="00AA33D3">
        <w:rPr>
          <w:i/>
          <w:lang w:val="fr-CA"/>
        </w:rPr>
        <w:t>Edmonton (</w:t>
      </w:r>
      <w:r w:rsidR="00081FE7" w:rsidRPr="00AA33D3">
        <w:rPr>
          <w:i/>
          <w:lang w:val="fr-CA"/>
        </w:rPr>
        <w:t>Ville) c</w:t>
      </w:r>
      <w:r w:rsidR="00E40638" w:rsidRPr="00AA33D3">
        <w:rPr>
          <w:i/>
          <w:lang w:val="fr-CA"/>
        </w:rPr>
        <w:t>. Edmonton East (Capilano) Shopping Centres Ltd.</w:t>
      </w:r>
      <w:r w:rsidR="00E40638" w:rsidRPr="00AA33D3">
        <w:rPr>
          <w:lang w:val="fr-CA"/>
        </w:rPr>
        <w:t xml:space="preserve">, 2016 </w:t>
      </w:r>
      <w:r w:rsidR="00081FE7" w:rsidRPr="00AA33D3">
        <w:rPr>
          <w:lang w:val="fr-CA"/>
        </w:rPr>
        <w:t>CSC</w:t>
      </w:r>
      <w:r w:rsidR="00E40638" w:rsidRPr="00AA33D3">
        <w:rPr>
          <w:lang w:val="fr-CA"/>
        </w:rPr>
        <w:t xml:space="preserve"> 47</w:t>
      </w:r>
      <w:r w:rsidR="00B73562" w:rsidRPr="00AA33D3">
        <w:rPr>
          <w:lang w:val="fr-CA"/>
        </w:rPr>
        <w:t>, [2016] 2 R.C.S. 293</w:t>
      </w:r>
      <w:r w:rsidR="008B4AEF" w:rsidRPr="00AA33D3">
        <w:rPr>
          <w:lang w:val="fr-CA"/>
        </w:rPr>
        <w:t xml:space="preserve">; </w:t>
      </w:r>
      <w:r w:rsidR="008B4AEF" w:rsidRPr="00AA33D3">
        <w:rPr>
          <w:i/>
          <w:lang w:val="fr-CA"/>
        </w:rPr>
        <w:t>Pearlman c. Comité judiciaire de la Société du Barreau du Manitoba</w:t>
      </w:r>
      <w:r w:rsidR="008B4AEF" w:rsidRPr="00AA33D3">
        <w:rPr>
          <w:lang w:val="fr-CA"/>
        </w:rPr>
        <w:t>, [1991] 2 R.C.S. 869</w:t>
      </w:r>
      <w:r w:rsidR="0030794A" w:rsidRPr="00AA33D3">
        <w:rPr>
          <w:lang w:val="fr-CA"/>
        </w:rPr>
        <w:t xml:space="preserve">; </w:t>
      </w:r>
      <w:r w:rsidR="0030794A" w:rsidRPr="00AA33D3">
        <w:rPr>
          <w:i/>
          <w:lang w:val="fr-CA"/>
        </w:rPr>
        <w:t>Rizzo &amp; Rizzo Shoes Ltd</w:t>
      </w:r>
      <w:r w:rsidR="0030794A" w:rsidRPr="00AA33D3">
        <w:rPr>
          <w:lang w:val="fr-CA"/>
        </w:rPr>
        <w:t xml:space="preserve">. </w:t>
      </w:r>
      <w:r w:rsidR="0030794A" w:rsidRPr="00AA33D3">
        <w:rPr>
          <w:i/>
          <w:lang w:val="fr-CA"/>
        </w:rPr>
        <w:t>(Re)</w:t>
      </w:r>
      <w:r w:rsidR="0030794A" w:rsidRPr="00AA33D3">
        <w:rPr>
          <w:lang w:val="fr-CA"/>
        </w:rPr>
        <w:t>, [1998] 1 R.C.S. 27</w:t>
      </w:r>
      <w:r w:rsidR="0050757A" w:rsidRPr="00AA33D3">
        <w:rPr>
          <w:lang w:val="fr-CA"/>
        </w:rPr>
        <w:t xml:space="preserve">; </w:t>
      </w:r>
      <w:r w:rsidR="0050757A" w:rsidRPr="00AA33D3">
        <w:rPr>
          <w:i/>
          <w:lang w:val="fr-CA"/>
        </w:rPr>
        <w:t>United Taxi Drivers</w:t>
      </w:r>
      <w:r w:rsidR="00AA33D3">
        <w:rPr>
          <w:i/>
          <w:lang w:val="fr-CA"/>
        </w:rPr>
        <w:t>’</w:t>
      </w:r>
      <w:r w:rsidR="0050757A" w:rsidRPr="00AA33D3">
        <w:rPr>
          <w:i/>
          <w:lang w:val="fr-CA"/>
        </w:rPr>
        <w:t xml:space="preserve"> </w:t>
      </w:r>
      <w:r w:rsidR="0006024F" w:rsidRPr="00AA33D3">
        <w:rPr>
          <w:i/>
          <w:lang w:val="fr-CA"/>
        </w:rPr>
        <w:t>Fellowship of Southern Alberta c</w:t>
      </w:r>
      <w:r w:rsidR="0050757A" w:rsidRPr="00AA33D3">
        <w:rPr>
          <w:i/>
          <w:lang w:val="fr-CA"/>
        </w:rPr>
        <w:t>. Calgary (</w:t>
      </w:r>
      <w:r w:rsidR="00806B8A" w:rsidRPr="00AA33D3">
        <w:rPr>
          <w:i/>
          <w:lang w:val="fr-CA"/>
        </w:rPr>
        <w:t>Ville</w:t>
      </w:r>
      <w:r w:rsidR="0050757A" w:rsidRPr="00AA33D3">
        <w:rPr>
          <w:i/>
          <w:lang w:val="fr-CA"/>
        </w:rPr>
        <w:t>)</w:t>
      </w:r>
      <w:r w:rsidR="0050757A" w:rsidRPr="00AA33D3">
        <w:rPr>
          <w:lang w:val="fr-CA"/>
        </w:rPr>
        <w:t xml:space="preserve">, 2004 </w:t>
      </w:r>
      <w:r w:rsidR="00806B8A" w:rsidRPr="00AA33D3">
        <w:rPr>
          <w:lang w:val="fr-CA"/>
        </w:rPr>
        <w:t>C</w:t>
      </w:r>
      <w:r w:rsidR="0050757A" w:rsidRPr="00AA33D3">
        <w:rPr>
          <w:lang w:val="fr-CA"/>
        </w:rPr>
        <w:t xml:space="preserve">SC 19, </w:t>
      </w:r>
      <w:r w:rsidR="00806B8A" w:rsidRPr="00AA33D3">
        <w:rPr>
          <w:lang w:val="fr-CA"/>
        </w:rPr>
        <w:t>[2004] 1 R</w:t>
      </w:r>
      <w:r w:rsidR="0050757A" w:rsidRPr="00AA33D3">
        <w:rPr>
          <w:lang w:val="fr-CA"/>
        </w:rPr>
        <w:t>.C.</w:t>
      </w:r>
      <w:r w:rsidR="00806B8A" w:rsidRPr="00AA33D3">
        <w:rPr>
          <w:lang w:val="fr-CA"/>
        </w:rPr>
        <w:t>S</w:t>
      </w:r>
      <w:r w:rsidR="0050757A" w:rsidRPr="00AA33D3">
        <w:rPr>
          <w:lang w:val="fr-CA"/>
        </w:rPr>
        <w:t>. 485</w:t>
      </w:r>
      <w:r w:rsidR="0081191A" w:rsidRPr="00AA33D3">
        <w:rPr>
          <w:lang w:val="fr-CA"/>
        </w:rPr>
        <w:t xml:space="preserve">; </w:t>
      </w:r>
      <w:r w:rsidR="0081191A" w:rsidRPr="00AA33D3">
        <w:rPr>
          <w:i/>
          <w:lang w:val="fr-CA"/>
        </w:rPr>
        <w:t>Barreau du Nouveau</w:t>
      </w:r>
      <w:r w:rsidR="004425A5" w:rsidRPr="00AA33D3">
        <w:rPr>
          <w:i/>
          <w:lang w:val="fr-CA"/>
        </w:rPr>
        <w:noBreakHyphen/>
      </w:r>
      <w:r w:rsidR="0081191A" w:rsidRPr="00AA33D3">
        <w:rPr>
          <w:i/>
          <w:lang w:val="fr-CA"/>
        </w:rPr>
        <w:t xml:space="preserve">Brunswick </w:t>
      </w:r>
      <w:r w:rsidR="0081191A" w:rsidRPr="00AA33D3">
        <w:rPr>
          <w:i/>
          <w:iCs/>
          <w:lang w:val="fr-CA"/>
        </w:rPr>
        <w:t>c.</w:t>
      </w:r>
      <w:r w:rsidR="0081191A" w:rsidRPr="00AA33D3">
        <w:rPr>
          <w:i/>
          <w:lang w:val="fr-CA"/>
        </w:rPr>
        <w:t xml:space="preserve"> Ryan</w:t>
      </w:r>
      <w:r w:rsidR="0081191A" w:rsidRPr="00AA33D3">
        <w:rPr>
          <w:lang w:val="fr-CA"/>
        </w:rPr>
        <w:t xml:space="preserve">, 2003 CSC 20, [2003] 1 R.C.S. 247; </w:t>
      </w:r>
      <w:r w:rsidR="0081191A" w:rsidRPr="00AA33D3">
        <w:rPr>
          <w:i/>
          <w:lang w:val="fr-CA"/>
        </w:rPr>
        <w:t>Compagnie des chemins de fer nationaux du Canada c. McKercher LLP</w:t>
      </w:r>
      <w:r w:rsidR="0081191A" w:rsidRPr="00AA33D3">
        <w:rPr>
          <w:lang w:val="fr-CA"/>
        </w:rPr>
        <w:t>, 2013 CSC 39, [2013] 2 R.C.S. 649</w:t>
      </w:r>
      <w:r w:rsidR="00E22A97" w:rsidRPr="00AA33D3">
        <w:rPr>
          <w:lang w:val="fr-CA"/>
        </w:rPr>
        <w:t xml:space="preserve">; </w:t>
      </w:r>
      <w:r w:rsidR="00806B8A" w:rsidRPr="00AA33D3">
        <w:rPr>
          <w:i/>
          <w:lang w:val="fr-CA"/>
        </w:rPr>
        <w:t>ATCO Gas and</w:t>
      </w:r>
      <w:r w:rsidR="00E22A97" w:rsidRPr="00AA33D3">
        <w:rPr>
          <w:i/>
          <w:lang w:val="fr-CA"/>
        </w:rPr>
        <w:t xml:space="preserve"> Pipelines Ltd. c</w:t>
      </w:r>
      <w:r w:rsidR="00806B8A" w:rsidRPr="00AA33D3">
        <w:rPr>
          <w:i/>
          <w:lang w:val="fr-CA"/>
        </w:rPr>
        <w:t>. Alberta (Energy and</w:t>
      </w:r>
      <w:r w:rsidR="00E22A97" w:rsidRPr="00AA33D3">
        <w:rPr>
          <w:i/>
          <w:lang w:val="fr-CA"/>
        </w:rPr>
        <w:t xml:space="preserve"> Utilities Board)</w:t>
      </w:r>
      <w:r w:rsidR="00E22A97" w:rsidRPr="00AA33D3">
        <w:rPr>
          <w:lang w:val="fr-CA"/>
        </w:rPr>
        <w:t>, 2006 CSC 4, [2006] 1 R.C.S. 140</w:t>
      </w:r>
      <w:r w:rsidR="0006024F" w:rsidRPr="00AA33D3">
        <w:rPr>
          <w:lang w:val="fr-CA"/>
        </w:rPr>
        <w:t>;</w:t>
      </w:r>
      <w:r w:rsidR="00130D0E" w:rsidRPr="00AA33D3">
        <w:rPr>
          <w:i/>
          <w:lang w:val="fr-CA"/>
        </w:rPr>
        <w:t xml:space="preserve"> Culligan c. Miller, J. </w:t>
      </w:r>
      <w:r w:rsidR="00490C55">
        <w:rPr>
          <w:lang w:val="fr-CA"/>
        </w:rPr>
        <w:t>(1996), 178 R.N.-</w:t>
      </w:r>
      <w:r w:rsidR="00130D0E" w:rsidRPr="00AA33D3">
        <w:rPr>
          <w:lang w:val="fr-CA"/>
        </w:rPr>
        <w:t>B. (2</w:t>
      </w:r>
      <w:r w:rsidR="00130D0E" w:rsidRPr="00AA33D3">
        <w:rPr>
          <w:vertAlign w:val="superscript"/>
          <w:lang w:val="fr-CA"/>
        </w:rPr>
        <w:t>e</w:t>
      </w:r>
      <w:r w:rsidR="00130D0E" w:rsidRPr="00AA33D3">
        <w:rPr>
          <w:lang w:val="fr-CA"/>
        </w:rPr>
        <w:t xml:space="preserve">) 321; </w:t>
      </w:r>
      <w:r w:rsidR="00130D0E" w:rsidRPr="00AA33D3">
        <w:rPr>
          <w:i/>
          <w:lang w:val="fr-CA"/>
        </w:rPr>
        <w:t>Shewchuk</w:t>
      </w:r>
      <w:r w:rsidR="004425A5" w:rsidRPr="00AA33D3">
        <w:rPr>
          <w:i/>
          <w:lang w:val="fr-CA"/>
        </w:rPr>
        <w:noBreakHyphen/>
      </w:r>
      <w:r w:rsidR="00130D0E" w:rsidRPr="00AA33D3">
        <w:rPr>
          <w:i/>
          <w:lang w:val="fr-CA"/>
        </w:rPr>
        <w:t xml:space="preserve">Dann c. Assn. of Social Workers (Alberta) </w:t>
      </w:r>
      <w:r w:rsidR="00130D0E" w:rsidRPr="00AA33D3">
        <w:rPr>
          <w:lang w:val="fr-CA"/>
        </w:rPr>
        <w:t xml:space="preserve">(1996), 38 Admin. L.R. (2d) 19; </w:t>
      </w:r>
      <w:r w:rsidR="00130D0E" w:rsidRPr="00AA33D3">
        <w:rPr>
          <w:i/>
          <w:lang w:val="fr-CA"/>
        </w:rPr>
        <w:lastRenderedPageBreak/>
        <w:t>Laferrière c. Canada (Procureur général)</w:t>
      </w:r>
      <w:r w:rsidR="0006024F" w:rsidRPr="00AA33D3">
        <w:rPr>
          <w:lang w:val="fr-CA"/>
        </w:rPr>
        <w:t>, 2015 CF</w:t>
      </w:r>
      <w:r w:rsidR="00130D0E" w:rsidRPr="00AA33D3">
        <w:rPr>
          <w:lang w:val="fr-CA"/>
        </w:rPr>
        <w:t xml:space="preserve"> 612; </w:t>
      </w:r>
      <w:r w:rsidR="00130D0E" w:rsidRPr="00AA33D3">
        <w:rPr>
          <w:i/>
          <w:lang w:val="fr-CA"/>
        </w:rPr>
        <w:t>Irwin c. Alberta Veterinary Medical Association</w:t>
      </w:r>
      <w:r w:rsidR="00130D0E" w:rsidRPr="00AA33D3">
        <w:rPr>
          <w:lang w:val="fr-CA"/>
        </w:rPr>
        <w:t>, 2015 ABCA 396, 609 A.R. 299;</w:t>
      </w:r>
      <w:r w:rsidR="00806B8A" w:rsidRPr="00AA33D3">
        <w:rPr>
          <w:i/>
          <w:iCs/>
          <w:lang w:val="fr-CA"/>
        </w:rPr>
        <w:t xml:space="preserve"> Knight c. Indian Head School Division </w:t>
      </w:r>
      <w:r w:rsidR="004425A5" w:rsidRPr="00AA33D3">
        <w:rPr>
          <w:i/>
          <w:iCs/>
          <w:lang w:val="fr-CA"/>
        </w:rPr>
        <w:t>No. </w:t>
      </w:r>
      <w:r w:rsidR="00806B8A" w:rsidRPr="00AA33D3">
        <w:rPr>
          <w:i/>
          <w:iCs/>
          <w:lang w:val="fr-CA"/>
        </w:rPr>
        <w:t>19</w:t>
      </w:r>
      <w:r w:rsidR="00806B8A" w:rsidRPr="00AA33D3">
        <w:rPr>
          <w:lang w:val="fr-CA"/>
        </w:rPr>
        <w:t>, [</w:t>
      </w:r>
      <w:r w:rsidR="00806B8A" w:rsidRPr="00AA33D3">
        <w:rPr>
          <w:rStyle w:val="reflex3-alt"/>
          <w:lang w:val="fr-CA"/>
        </w:rPr>
        <w:t>1990] 1 R.C.S. 653</w:t>
      </w:r>
      <w:r w:rsidR="000D0B83" w:rsidRPr="00AA33D3">
        <w:rPr>
          <w:rStyle w:val="reflex3-alt"/>
          <w:lang w:val="fr-CA"/>
        </w:rPr>
        <w:t xml:space="preserve">; </w:t>
      </w:r>
      <w:r w:rsidR="000D0B83" w:rsidRPr="00AA33D3">
        <w:rPr>
          <w:i/>
          <w:lang w:val="fr-CA"/>
        </w:rPr>
        <w:t>Baker c. Canada (Ministre de la Citoyenneté et de l</w:t>
      </w:r>
      <w:r w:rsidR="00AA33D3">
        <w:rPr>
          <w:i/>
          <w:lang w:val="fr-CA"/>
        </w:rPr>
        <w:t>’</w:t>
      </w:r>
      <w:r w:rsidR="000D0B83" w:rsidRPr="00AA33D3">
        <w:rPr>
          <w:i/>
          <w:lang w:val="fr-CA"/>
        </w:rPr>
        <w:t>Immigration)</w:t>
      </w:r>
      <w:r w:rsidR="000D0B83" w:rsidRPr="00AA33D3">
        <w:rPr>
          <w:lang w:val="fr-CA"/>
        </w:rPr>
        <w:t>,</w:t>
      </w:r>
      <w:r w:rsidR="000D0B83" w:rsidRPr="00AA33D3">
        <w:rPr>
          <w:i/>
          <w:lang w:val="fr-CA"/>
        </w:rPr>
        <w:t xml:space="preserve"> </w:t>
      </w:r>
      <w:r w:rsidR="000D0B83" w:rsidRPr="00AA33D3">
        <w:rPr>
          <w:lang w:val="fr-CA"/>
        </w:rPr>
        <w:t>[1999] 2 R.C.S. 817</w:t>
      </w:r>
      <w:r w:rsidR="0041370F" w:rsidRPr="00AA33D3">
        <w:rPr>
          <w:lang w:val="fr-CA"/>
        </w:rPr>
        <w:t xml:space="preserve">; </w:t>
      </w:r>
      <w:r w:rsidR="0041370F" w:rsidRPr="00AA33D3">
        <w:rPr>
          <w:i/>
          <w:lang w:val="fr-CA"/>
        </w:rPr>
        <w:t>Moreau</w:t>
      </w:r>
      <w:r w:rsidR="004425A5" w:rsidRPr="00AA33D3">
        <w:rPr>
          <w:i/>
          <w:lang w:val="fr-CA"/>
        </w:rPr>
        <w:noBreakHyphen/>
      </w:r>
      <w:r w:rsidR="0041370F" w:rsidRPr="00AA33D3">
        <w:rPr>
          <w:i/>
          <w:lang w:val="fr-CA"/>
        </w:rPr>
        <w:t>Bérubé c. Nouveau</w:t>
      </w:r>
      <w:r w:rsidR="004425A5" w:rsidRPr="00AA33D3">
        <w:rPr>
          <w:i/>
          <w:lang w:val="fr-CA"/>
        </w:rPr>
        <w:noBreakHyphen/>
      </w:r>
      <w:r w:rsidR="0041370F" w:rsidRPr="00AA33D3">
        <w:rPr>
          <w:i/>
          <w:lang w:val="fr-CA"/>
        </w:rPr>
        <w:t>Brunswick (Conseil de la magistrature)</w:t>
      </w:r>
      <w:r w:rsidR="0041370F" w:rsidRPr="00AA33D3">
        <w:rPr>
          <w:lang w:val="fr-CA"/>
        </w:rPr>
        <w:t xml:space="preserve">, 2002 CSC 11, [2002] 1 R.C.S. 249; </w:t>
      </w:r>
      <w:r w:rsidR="0041370F" w:rsidRPr="00AA33D3">
        <w:rPr>
          <w:i/>
          <w:lang w:val="fr-CA"/>
        </w:rPr>
        <w:t xml:space="preserve">Canada (Procureur général) </w:t>
      </w:r>
      <w:r w:rsidR="0041370F" w:rsidRPr="00AA33D3">
        <w:rPr>
          <w:i/>
          <w:iCs/>
          <w:lang w:val="fr-CA"/>
        </w:rPr>
        <w:t>c.</w:t>
      </w:r>
      <w:r w:rsidR="0041370F" w:rsidRPr="00AA33D3">
        <w:rPr>
          <w:i/>
          <w:lang w:val="fr-CA"/>
        </w:rPr>
        <w:t xml:space="preserve"> Mavi</w:t>
      </w:r>
      <w:r w:rsidR="0041370F" w:rsidRPr="00AA33D3">
        <w:rPr>
          <w:lang w:val="fr-CA"/>
        </w:rPr>
        <w:t>, 2011 CSC 30, [2011] 2 R.C.S. 504</w:t>
      </w:r>
      <w:r w:rsidR="00B95776" w:rsidRPr="00AA33D3">
        <w:rPr>
          <w:lang w:val="fr-CA"/>
        </w:rPr>
        <w:t xml:space="preserve">; </w:t>
      </w:r>
      <w:r w:rsidR="00B95776" w:rsidRPr="00AA33D3">
        <w:rPr>
          <w:i/>
          <w:lang w:val="fr-CA"/>
        </w:rPr>
        <w:t>Kruse c. Johnson</w:t>
      </w:r>
      <w:r w:rsidR="00B95776" w:rsidRPr="00AA33D3">
        <w:rPr>
          <w:lang w:val="fr-CA"/>
        </w:rPr>
        <w:t>, [1898] 2 Q.B. 91.</w:t>
      </w:r>
    </w:p>
    <w:p w:rsidR="002D7E96" w:rsidRPr="00AA33D3" w:rsidRDefault="002D7E96" w:rsidP="00987CB6">
      <w:pPr>
        <w:pStyle w:val="SCCNormalDoubleSpacing"/>
        <w:widowControl w:val="0"/>
        <w:spacing w:after="720" w:line="240" w:lineRule="auto"/>
        <w:rPr>
          <w:lang w:val="fr-CA"/>
        </w:rPr>
      </w:pPr>
      <w:r w:rsidRPr="00AA33D3">
        <w:rPr>
          <w:lang w:val="fr-CA"/>
        </w:rPr>
        <w:t>Citée par la juge Abella (dissidente)</w:t>
      </w:r>
    </w:p>
    <w:p w:rsidR="004D7D95" w:rsidRPr="00AA33D3" w:rsidRDefault="002D7E96" w:rsidP="00987CB6">
      <w:pPr>
        <w:pStyle w:val="SCCNormalDoubleSpacing"/>
        <w:widowControl w:val="0"/>
        <w:spacing w:before="480" w:after="480"/>
        <w:rPr>
          <w:lang w:val="en-US"/>
        </w:rPr>
      </w:pPr>
      <w:r w:rsidRPr="00AA33D3">
        <w:rPr>
          <w:lang w:val="fr-CA"/>
        </w:rPr>
        <w:tab/>
      </w:r>
      <w:r w:rsidR="00F702BC" w:rsidRPr="00AA33D3">
        <w:rPr>
          <w:i/>
          <w:lang w:val="en-US"/>
        </w:rPr>
        <w:t>Catalyst Paper Cor</w:t>
      </w:r>
      <w:r w:rsidR="004425A5" w:rsidRPr="00AA33D3">
        <w:rPr>
          <w:i/>
          <w:lang w:val="en-US"/>
        </w:rPr>
        <w:t xml:space="preserve">p. </w:t>
      </w:r>
      <w:r w:rsidR="00F702BC" w:rsidRPr="00AA33D3">
        <w:rPr>
          <w:i/>
          <w:lang w:val="en-US"/>
        </w:rPr>
        <w:t>c. North Cowichan (District)</w:t>
      </w:r>
      <w:r w:rsidR="00F702BC" w:rsidRPr="00AA33D3">
        <w:rPr>
          <w:lang w:val="en-US"/>
        </w:rPr>
        <w:t xml:space="preserve">, 2012 CSC 2, [2012] 1 R.C.S. 5; </w:t>
      </w:r>
      <w:r w:rsidR="00F702BC" w:rsidRPr="00AA33D3">
        <w:rPr>
          <w:i/>
          <w:lang w:val="en-US"/>
        </w:rPr>
        <w:t>Katz Group Canada Inc. c. Ontario</w:t>
      </w:r>
      <w:r w:rsidR="00C57143" w:rsidRPr="00AA33D3">
        <w:rPr>
          <w:i/>
          <w:lang w:val="en-US"/>
        </w:rPr>
        <w:t xml:space="preserve"> (Santé et Soins de longue duré</w:t>
      </w:r>
      <w:r w:rsidR="00F702BC" w:rsidRPr="00AA33D3">
        <w:rPr>
          <w:i/>
          <w:lang w:val="en-US"/>
        </w:rPr>
        <w:t>e)</w:t>
      </w:r>
      <w:r w:rsidR="00F702BC" w:rsidRPr="00AA33D3">
        <w:rPr>
          <w:lang w:val="en-US"/>
        </w:rPr>
        <w:t>,</w:t>
      </w:r>
      <w:r w:rsidR="00F702BC" w:rsidRPr="00AA33D3">
        <w:rPr>
          <w:i/>
          <w:lang w:val="en-US"/>
        </w:rPr>
        <w:t xml:space="preserve"> </w:t>
      </w:r>
      <w:r w:rsidR="00F702BC" w:rsidRPr="00AA33D3">
        <w:rPr>
          <w:lang w:val="en-US"/>
        </w:rPr>
        <w:t xml:space="preserve">2013 CSC 64, [2013] 3 R.C.S. 810; </w:t>
      </w:r>
      <w:r w:rsidR="00F702BC" w:rsidRPr="00AA33D3">
        <w:rPr>
          <w:i/>
          <w:lang w:val="en-US"/>
        </w:rPr>
        <w:t>Waddell c. Governor in Council</w:t>
      </w:r>
      <w:r w:rsidR="00F702BC" w:rsidRPr="00AA33D3">
        <w:rPr>
          <w:lang w:val="en-US"/>
        </w:rPr>
        <w:t xml:space="preserve"> (1983), 8 Admin. L.R. 266; </w:t>
      </w:r>
      <w:r w:rsidR="00667C79" w:rsidRPr="00AA33D3">
        <w:rPr>
          <w:i/>
        </w:rPr>
        <w:t>K</w:t>
      </w:r>
      <w:r w:rsidR="00EC6706" w:rsidRPr="00AA33D3">
        <w:rPr>
          <w:i/>
        </w:rPr>
        <w:t>ruse c</w:t>
      </w:r>
      <w:r w:rsidR="00667C79" w:rsidRPr="00AA33D3">
        <w:rPr>
          <w:i/>
        </w:rPr>
        <w:t>. Johnson</w:t>
      </w:r>
      <w:r w:rsidR="00667C79" w:rsidRPr="00AA33D3">
        <w:t xml:space="preserve">, [1898] 2 Q.B. 91; </w:t>
      </w:r>
      <w:r w:rsidR="00943219" w:rsidRPr="00AA33D3">
        <w:rPr>
          <w:i/>
          <w:lang w:val="en-US"/>
        </w:rPr>
        <w:t>Barreau du Nouveau</w:t>
      </w:r>
      <w:r w:rsidR="004425A5" w:rsidRPr="00AA33D3">
        <w:rPr>
          <w:i/>
          <w:lang w:val="en-US"/>
        </w:rPr>
        <w:noBreakHyphen/>
      </w:r>
      <w:r w:rsidR="00943219" w:rsidRPr="00AA33D3">
        <w:rPr>
          <w:i/>
          <w:lang w:val="en-US"/>
        </w:rPr>
        <w:t xml:space="preserve">Brunswick </w:t>
      </w:r>
      <w:r w:rsidR="00943219" w:rsidRPr="00AA33D3">
        <w:rPr>
          <w:i/>
          <w:iCs/>
          <w:lang w:val="en-US"/>
        </w:rPr>
        <w:t>c.</w:t>
      </w:r>
      <w:r w:rsidR="00943219" w:rsidRPr="00AA33D3">
        <w:rPr>
          <w:i/>
          <w:lang w:val="en-US"/>
        </w:rPr>
        <w:t xml:space="preserve"> Ryan</w:t>
      </w:r>
      <w:r w:rsidR="00943219" w:rsidRPr="00AA33D3">
        <w:rPr>
          <w:lang w:val="en-US"/>
        </w:rPr>
        <w:t xml:space="preserve">, 2003 CSC 20, [2003] 1 R.C.S. 247; </w:t>
      </w:r>
      <w:r w:rsidR="00943219" w:rsidRPr="00AA33D3">
        <w:rPr>
          <w:i/>
          <w:lang w:val="en-US"/>
        </w:rPr>
        <w:t>Law Society of British Columbia c. Mangat</w:t>
      </w:r>
      <w:r w:rsidR="00943219" w:rsidRPr="00AA33D3">
        <w:rPr>
          <w:lang w:val="en-US"/>
        </w:rPr>
        <w:t>, 2001 CSC 67, [2001] 3 R.C.S. 113;</w:t>
      </w:r>
      <w:r w:rsidR="00A237CF" w:rsidRPr="00AA33D3">
        <w:rPr>
          <w:lang w:val="en-US"/>
        </w:rPr>
        <w:t xml:space="preserve"> </w:t>
      </w:r>
      <w:r w:rsidR="00F734FD" w:rsidRPr="00AA33D3">
        <w:rPr>
          <w:i/>
          <w:lang w:val="en-US"/>
        </w:rPr>
        <w:t>Canada (Procureur général) c. Law Society of British Columbia</w:t>
      </w:r>
      <w:r w:rsidR="00F734FD" w:rsidRPr="00AA33D3">
        <w:rPr>
          <w:lang w:val="en-US"/>
        </w:rPr>
        <w:t xml:space="preserve">, [1982] 2 R.C.S. 307; </w:t>
      </w:r>
      <w:r w:rsidR="00A237CF" w:rsidRPr="00AA33D3">
        <w:rPr>
          <w:i/>
          <w:lang w:val="en-US"/>
        </w:rPr>
        <w:t>Pett c. Greyhound Racing Assn., Ltd.</w:t>
      </w:r>
      <w:r w:rsidR="00A237CF" w:rsidRPr="00AA33D3">
        <w:rPr>
          <w:lang w:val="en-US"/>
        </w:rPr>
        <w:t xml:space="preserve">, [1968] 2 All E.R. 545; </w:t>
      </w:r>
      <w:r w:rsidR="000D53B9" w:rsidRPr="00AA33D3">
        <w:rPr>
          <w:i/>
          <w:lang w:val="en-US"/>
        </w:rPr>
        <w:t>Joplin c. Chief Constable of the City of Vancouver</w:t>
      </w:r>
      <w:r w:rsidR="000D53B9" w:rsidRPr="00AA33D3">
        <w:rPr>
          <w:lang w:val="en-US"/>
        </w:rPr>
        <w:t xml:space="preserve"> (1982), 144 D.L.R. (3d) 285;</w:t>
      </w:r>
      <w:r w:rsidR="00F734FD" w:rsidRPr="00AA33D3">
        <w:rPr>
          <w:lang w:val="en-US"/>
        </w:rPr>
        <w:t xml:space="preserve"> </w:t>
      </w:r>
      <w:r w:rsidR="00F734FD" w:rsidRPr="00AA33D3">
        <w:rPr>
          <w:i/>
          <w:lang w:val="en-US"/>
        </w:rPr>
        <w:t>Kane c. Conseil d</w:t>
      </w:r>
      <w:r w:rsidR="00AA33D3">
        <w:rPr>
          <w:i/>
          <w:lang w:val="en-US"/>
        </w:rPr>
        <w:t>’</w:t>
      </w:r>
      <w:r w:rsidR="00F734FD" w:rsidRPr="00AA33D3">
        <w:rPr>
          <w:i/>
          <w:lang w:val="en-US"/>
        </w:rPr>
        <w:t>administration de l</w:t>
      </w:r>
      <w:r w:rsidR="00AA33D3">
        <w:rPr>
          <w:i/>
          <w:lang w:val="en-US"/>
        </w:rPr>
        <w:t>’</w:t>
      </w:r>
      <w:r w:rsidR="00F734FD" w:rsidRPr="00AA33D3">
        <w:rPr>
          <w:i/>
          <w:lang w:val="en-US"/>
        </w:rPr>
        <w:t>Université de la Colombie</w:t>
      </w:r>
      <w:r w:rsidR="004425A5" w:rsidRPr="00AA33D3">
        <w:rPr>
          <w:i/>
          <w:lang w:val="en-US"/>
        </w:rPr>
        <w:noBreakHyphen/>
      </w:r>
      <w:r w:rsidR="00F734FD" w:rsidRPr="00AA33D3">
        <w:rPr>
          <w:i/>
          <w:lang w:val="en-US"/>
        </w:rPr>
        <w:t>Britannique</w:t>
      </w:r>
      <w:r w:rsidR="00F734FD" w:rsidRPr="00AA33D3">
        <w:rPr>
          <w:lang w:val="en-US"/>
        </w:rPr>
        <w:t>, [1980] 1 R.C.S. 1105.</w:t>
      </w:r>
    </w:p>
    <w:p w:rsidR="004D7D95" w:rsidRPr="00AA33D3" w:rsidRDefault="004D7D95" w:rsidP="00987CB6">
      <w:pPr>
        <w:pStyle w:val="SCCNormalDoubleSpacing"/>
        <w:widowControl w:val="0"/>
        <w:spacing w:after="720" w:line="240" w:lineRule="auto"/>
        <w:rPr>
          <w:lang w:val="fr-CA"/>
        </w:rPr>
      </w:pPr>
      <w:r w:rsidRPr="00AA33D3">
        <w:rPr>
          <w:b/>
          <w:lang w:val="fr-CA"/>
        </w:rPr>
        <w:t>Lois et règlements cités</w:t>
      </w:r>
    </w:p>
    <w:p w:rsidR="00854824" w:rsidRPr="00AA33D3" w:rsidRDefault="00854824" w:rsidP="00987CB6">
      <w:pPr>
        <w:pStyle w:val="SCCNormalDoubleSpacing"/>
        <w:widowControl w:val="0"/>
        <w:spacing w:before="240" w:after="240" w:line="240" w:lineRule="auto"/>
        <w:ind w:left="540" w:hanging="540"/>
        <w:rPr>
          <w:lang w:val="fr-CA"/>
        </w:rPr>
      </w:pPr>
      <w:r w:rsidRPr="00AA33D3">
        <w:rPr>
          <w:i/>
          <w:lang w:val="fr-CA"/>
        </w:rPr>
        <w:t xml:space="preserve">Law Society Rules 2015 </w:t>
      </w:r>
      <w:r w:rsidR="000E791B" w:rsidRPr="00AA33D3">
        <w:rPr>
          <w:lang w:val="fr-CA"/>
        </w:rPr>
        <w:t>[</w:t>
      </w:r>
      <w:r w:rsidR="003D5943" w:rsidRPr="00AA33D3">
        <w:rPr>
          <w:lang w:val="fr-CA"/>
        </w:rPr>
        <w:t>prises en vertu de la</w:t>
      </w:r>
      <w:r w:rsidRPr="00AA33D3">
        <w:rPr>
          <w:i/>
          <w:lang w:val="fr-CA"/>
        </w:rPr>
        <w:t xml:space="preserve"> Legal Profession Act</w:t>
      </w:r>
      <w:r w:rsidRPr="00AA33D3">
        <w:rPr>
          <w:lang w:val="fr-CA"/>
        </w:rPr>
        <w:t>, S.B.C. 1998, c.</w:t>
      </w:r>
      <w:r w:rsidR="004425A5" w:rsidRPr="00AA33D3">
        <w:rPr>
          <w:lang w:val="fr-CA"/>
        </w:rPr>
        <w:t> </w:t>
      </w:r>
      <w:r w:rsidRPr="00AA33D3">
        <w:rPr>
          <w:lang w:val="fr-CA"/>
        </w:rPr>
        <w:t>9</w:t>
      </w:r>
      <w:r w:rsidR="000E791B" w:rsidRPr="00AA33D3">
        <w:rPr>
          <w:lang w:val="fr-CA"/>
        </w:rPr>
        <w:t>]</w:t>
      </w:r>
      <w:r w:rsidR="004425A5" w:rsidRPr="00AA33D3">
        <w:rPr>
          <w:lang w:val="fr-CA"/>
        </w:rPr>
        <w:t xml:space="preserve">, </w:t>
      </w:r>
      <w:r w:rsidR="004425A5" w:rsidRPr="00AA33D3">
        <w:rPr>
          <w:lang w:val="fr-CA"/>
        </w:rPr>
        <w:lastRenderedPageBreak/>
        <w:t>règles </w:t>
      </w:r>
      <w:r w:rsidRPr="00AA33D3">
        <w:rPr>
          <w:lang w:val="fr-CA"/>
        </w:rPr>
        <w:t>3</w:t>
      </w:r>
      <w:r w:rsidR="004425A5" w:rsidRPr="00AA33D3">
        <w:rPr>
          <w:lang w:val="fr-CA"/>
        </w:rPr>
        <w:noBreakHyphen/>
      </w:r>
      <w:r w:rsidRPr="00AA33D3">
        <w:rPr>
          <w:lang w:val="fr-CA"/>
        </w:rPr>
        <w:t>29(1), (5), 3</w:t>
      </w:r>
      <w:r w:rsidR="004425A5" w:rsidRPr="00AA33D3">
        <w:rPr>
          <w:lang w:val="fr-CA"/>
        </w:rPr>
        <w:noBreakHyphen/>
      </w:r>
      <w:r w:rsidRPr="00AA33D3">
        <w:rPr>
          <w:lang w:val="fr-CA"/>
        </w:rPr>
        <w:t>32</w:t>
      </w:r>
      <w:r w:rsidR="00196FA7" w:rsidRPr="00AA33D3">
        <w:rPr>
          <w:lang w:val="fr-CA"/>
        </w:rPr>
        <w:t>.</w:t>
      </w:r>
    </w:p>
    <w:p w:rsidR="00854824" w:rsidRPr="00AA33D3" w:rsidRDefault="00854824" w:rsidP="00987CB6">
      <w:pPr>
        <w:pStyle w:val="ListBullet"/>
        <w:widowControl w:val="0"/>
        <w:numPr>
          <w:ilvl w:val="0"/>
          <w:numId w:val="0"/>
        </w:numPr>
        <w:spacing w:before="240" w:after="240"/>
        <w:ind w:left="360" w:hanging="360"/>
        <w:contextualSpacing w:val="0"/>
        <w:rPr>
          <w:lang w:val="fr-CA"/>
        </w:rPr>
      </w:pPr>
      <w:r w:rsidRPr="00AA33D3">
        <w:rPr>
          <w:i/>
          <w:lang w:val="fr-CA"/>
        </w:rPr>
        <w:t>Loi d</w:t>
      </w:r>
      <w:r w:rsidR="00AA33D3">
        <w:rPr>
          <w:i/>
          <w:lang w:val="fr-CA"/>
        </w:rPr>
        <w:t>’</w:t>
      </w:r>
      <w:r w:rsidRPr="00AA33D3">
        <w:rPr>
          <w:i/>
          <w:lang w:val="fr-CA"/>
        </w:rPr>
        <w:t>interprétation</w:t>
      </w:r>
      <w:r w:rsidR="004425A5" w:rsidRPr="00AA33D3">
        <w:rPr>
          <w:lang w:val="fr-CA"/>
        </w:rPr>
        <w:t>, C.P.L.M., c. </w:t>
      </w:r>
      <w:r w:rsidRPr="00AA33D3">
        <w:rPr>
          <w:lang w:val="fr-CA"/>
        </w:rPr>
        <w:t xml:space="preserve">I80, </w:t>
      </w:r>
      <w:r w:rsidR="004425A5" w:rsidRPr="00AA33D3">
        <w:rPr>
          <w:lang w:val="fr-CA"/>
        </w:rPr>
        <w:t>art. </w:t>
      </w:r>
      <w:r w:rsidRPr="00AA33D3">
        <w:rPr>
          <w:lang w:val="fr-CA"/>
        </w:rPr>
        <w:t xml:space="preserve">6, 32(1). </w:t>
      </w:r>
    </w:p>
    <w:p w:rsidR="00854824" w:rsidRPr="00AA33D3" w:rsidRDefault="00854824" w:rsidP="00987CB6">
      <w:pPr>
        <w:pStyle w:val="SCCNormalDoubleSpacing"/>
        <w:widowControl w:val="0"/>
        <w:spacing w:before="240" w:after="240" w:line="240" w:lineRule="auto"/>
        <w:ind w:left="540" w:hanging="540"/>
        <w:rPr>
          <w:lang w:val="fr-CA"/>
        </w:rPr>
      </w:pPr>
      <w:r w:rsidRPr="00AA33D3">
        <w:rPr>
          <w:i/>
          <w:lang w:val="fr-CA"/>
        </w:rPr>
        <w:t>Loi sur la profession d</w:t>
      </w:r>
      <w:r w:rsidR="00AA33D3">
        <w:rPr>
          <w:i/>
          <w:lang w:val="fr-CA"/>
        </w:rPr>
        <w:t>’</w:t>
      </w:r>
      <w:r w:rsidRPr="00AA33D3">
        <w:rPr>
          <w:i/>
          <w:lang w:val="fr-CA"/>
        </w:rPr>
        <w:t>avocat</w:t>
      </w:r>
      <w:r w:rsidR="00D4455D" w:rsidRPr="00AA33D3">
        <w:rPr>
          <w:lang w:val="fr-CA"/>
        </w:rPr>
        <w:t xml:space="preserve">, C.P.L.M., c. L107, </w:t>
      </w:r>
      <w:r w:rsidR="004425A5" w:rsidRPr="00AA33D3">
        <w:rPr>
          <w:lang w:val="fr-CA"/>
        </w:rPr>
        <w:t>art. </w:t>
      </w:r>
      <w:r w:rsidRPr="00AA33D3">
        <w:rPr>
          <w:lang w:val="fr-CA"/>
        </w:rPr>
        <w:t xml:space="preserve">3, 4(1), (2), (5), (6), 5, 12(2), 19(5), </w:t>
      </w:r>
      <w:r w:rsidR="006A60B0" w:rsidRPr="00AA33D3">
        <w:rPr>
          <w:lang w:val="fr-CA"/>
        </w:rPr>
        <w:t>43</w:t>
      </w:r>
      <w:r w:rsidRPr="00AA33D3">
        <w:rPr>
          <w:lang w:val="fr-CA"/>
        </w:rPr>
        <w:t>c)(ii), 65, 68</w:t>
      </w:r>
      <w:r w:rsidR="006A60B0" w:rsidRPr="00AA33D3">
        <w:rPr>
          <w:lang w:val="fr-CA"/>
        </w:rPr>
        <w:t xml:space="preserve">b), </w:t>
      </w:r>
      <w:r w:rsidRPr="00AA33D3">
        <w:rPr>
          <w:lang w:val="fr-CA"/>
        </w:rPr>
        <w:t>c), 72</w:t>
      </w:r>
      <w:r w:rsidR="006A60B0" w:rsidRPr="00AA33D3">
        <w:rPr>
          <w:lang w:val="fr-CA"/>
        </w:rPr>
        <w:t>, 75(1), 76(1)a)(i)</w:t>
      </w:r>
      <w:r w:rsidRPr="00AA33D3">
        <w:rPr>
          <w:lang w:val="fr-CA"/>
        </w:rPr>
        <w:t xml:space="preserve">. </w:t>
      </w:r>
    </w:p>
    <w:p w:rsidR="00854824" w:rsidRPr="00AA33D3" w:rsidRDefault="00854824" w:rsidP="00987CB6">
      <w:pPr>
        <w:pStyle w:val="SCCNormalDoubleSpacing"/>
        <w:widowControl w:val="0"/>
        <w:spacing w:before="240" w:after="240" w:line="240" w:lineRule="auto"/>
        <w:ind w:left="540" w:hanging="540"/>
        <w:rPr>
          <w:lang w:val="fr-CA"/>
        </w:rPr>
      </w:pPr>
      <w:r w:rsidRPr="00AA33D3">
        <w:rPr>
          <w:i/>
          <w:lang w:val="fr-CA"/>
        </w:rPr>
        <w:t>Règlement administratif n</w:t>
      </w:r>
      <w:r w:rsidRPr="00AA33D3">
        <w:rPr>
          <w:i/>
          <w:vertAlign w:val="superscript"/>
          <w:lang w:val="fr-CA"/>
        </w:rPr>
        <w:t>o</w:t>
      </w:r>
      <w:r w:rsidR="004425A5" w:rsidRPr="00AA33D3">
        <w:rPr>
          <w:i/>
          <w:lang w:val="fr-CA"/>
        </w:rPr>
        <w:t> </w:t>
      </w:r>
      <w:r w:rsidRPr="00AA33D3">
        <w:rPr>
          <w:i/>
          <w:lang w:val="fr-CA"/>
        </w:rPr>
        <w:t>6.1 — Formation professionnelle continue</w:t>
      </w:r>
      <w:r w:rsidR="00A46092" w:rsidRPr="00AA33D3">
        <w:rPr>
          <w:lang w:val="fr-CA"/>
        </w:rPr>
        <w:t xml:space="preserve"> </w:t>
      </w:r>
      <w:r w:rsidR="000E791B" w:rsidRPr="00AA33D3">
        <w:rPr>
          <w:lang w:val="fr-CA"/>
        </w:rPr>
        <w:t>[</w:t>
      </w:r>
      <w:r w:rsidR="00D4455D" w:rsidRPr="00AA33D3">
        <w:rPr>
          <w:lang w:val="fr-CA"/>
        </w:rPr>
        <w:t xml:space="preserve">pris en vertu </w:t>
      </w:r>
      <w:r w:rsidRPr="00AA33D3">
        <w:rPr>
          <w:lang w:val="fr-CA"/>
        </w:rPr>
        <w:t xml:space="preserve">de la </w:t>
      </w:r>
      <w:r w:rsidRPr="00AA33D3">
        <w:rPr>
          <w:i/>
          <w:lang w:val="fr-CA"/>
        </w:rPr>
        <w:t>Loi sur le Barreau</w:t>
      </w:r>
      <w:r w:rsidR="00D4455D" w:rsidRPr="00AA33D3">
        <w:rPr>
          <w:lang w:val="fr-CA"/>
        </w:rPr>
        <w:t>, L.R.O. 1990, c. </w:t>
      </w:r>
      <w:r w:rsidRPr="00AA33D3">
        <w:rPr>
          <w:lang w:val="fr-CA"/>
        </w:rPr>
        <w:t>L.8</w:t>
      </w:r>
      <w:r w:rsidR="000E791B" w:rsidRPr="00AA33D3">
        <w:rPr>
          <w:lang w:val="fr-CA"/>
        </w:rPr>
        <w:t>]</w:t>
      </w:r>
      <w:r w:rsidRPr="00AA33D3">
        <w:rPr>
          <w:lang w:val="fr-CA"/>
        </w:rPr>
        <w:t xml:space="preserve">, </w:t>
      </w:r>
      <w:r w:rsidR="004425A5" w:rsidRPr="00AA33D3">
        <w:rPr>
          <w:lang w:val="fr-CA"/>
        </w:rPr>
        <w:t>art. </w:t>
      </w:r>
      <w:r w:rsidRPr="00AA33D3">
        <w:rPr>
          <w:lang w:val="fr-CA"/>
        </w:rPr>
        <w:t>2(4)</w:t>
      </w:r>
      <w:r w:rsidR="00196FA7" w:rsidRPr="00AA33D3">
        <w:rPr>
          <w:lang w:val="fr-CA"/>
        </w:rPr>
        <w:t>.</w:t>
      </w:r>
    </w:p>
    <w:p w:rsidR="00854824" w:rsidRPr="00AA33D3" w:rsidRDefault="00854824" w:rsidP="00987CB6">
      <w:pPr>
        <w:pStyle w:val="SCCNormalDoubleSpacing"/>
        <w:widowControl w:val="0"/>
        <w:spacing w:before="240" w:after="240" w:line="240" w:lineRule="auto"/>
        <w:ind w:left="540" w:hanging="540"/>
        <w:rPr>
          <w:lang w:val="fr-CA"/>
        </w:rPr>
      </w:pPr>
      <w:r w:rsidRPr="00AA33D3">
        <w:rPr>
          <w:i/>
          <w:lang w:val="fr-CA"/>
        </w:rPr>
        <w:t>Règlement sur la formation continue obligatoire des avocats</w:t>
      </w:r>
      <w:r w:rsidRPr="00AA33D3">
        <w:rPr>
          <w:lang w:val="fr-CA"/>
        </w:rPr>
        <w:t>, RLRQ, c.</w:t>
      </w:r>
      <w:r w:rsidR="004425A5" w:rsidRPr="00AA33D3">
        <w:rPr>
          <w:lang w:val="fr-CA"/>
        </w:rPr>
        <w:t> </w:t>
      </w:r>
      <w:r w:rsidRPr="00AA33D3">
        <w:rPr>
          <w:lang w:val="fr-CA"/>
        </w:rPr>
        <w:t>B</w:t>
      </w:r>
      <w:r w:rsidR="004425A5" w:rsidRPr="00AA33D3">
        <w:rPr>
          <w:lang w:val="fr-CA"/>
        </w:rPr>
        <w:noBreakHyphen/>
      </w:r>
      <w:r w:rsidRPr="00AA33D3">
        <w:rPr>
          <w:lang w:val="fr-CA"/>
        </w:rPr>
        <w:t>1, r.</w:t>
      </w:r>
      <w:r w:rsidR="004425A5" w:rsidRPr="00AA33D3">
        <w:rPr>
          <w:lang w:val="fr-CA"/>
        </w:rPr>
        <w:t> </w:t>
      </w:r>
      <w:r w:rsidRPr="00AA33D3">
        <w:rPr>
          <w:lang w:val="fr-CA"/>
        </w:rPr>
        <w:t xml:space="preserve">12, </w:t>
      </w:r>
      <w:r w:rsidR="004425A5" w:rsidRPr="00AA33D3">
        <w:rPr>
          <w:lang w:val="fr-CA"/>
        </w:rPr>
        <w:t>art. </w:t>
      </w:r>
      <w:r w:rsidRPr="00AA33D3">
        <w:rPr>
          <w:lang w:val="fr-CA"/>
        </w:rPr>
        <w:t>15 à 17.</w:t>
      </w:r>
    </w:p>
    <w:p w:rsidR="00196FA7" w:rsidRPr="00AA33D3" w:rsidRDefault="00854824" w:rsidP="00987CB6">
      <w:pPr>
        <w:pStyle w:val="SCCNormalDoubleSpacing"/>
        <w:widowControl w:val="0"/>
        <w:spacing w:before="240" w:after="240" w:line="240" w:lineRule="auto"/>
        <w:ind w:left="540" w:hanging="540"/>
        <w:rPr>
          <w:lang w:val="fr-CA"/>
        </w:rPr>
      </w:pPr>
      <w:r w:rsidRPr="00AA33D3">
        <w:rPr>
          <w:i/>
          <w:lang w:val="fr-CA"/>
        </w:rPr>
        <w:t xml:space="preserve">Règles </w:t>
      </w:r>
      <w:r w:rsidR="00196FA7" w:rsidRPr="008F5204">
        <w:rPr>
          <w:i/>
          <w:lang w:val="fr-CA"/>
        </w:rPr>
        <w:t>du Barreau du Yukon</w:t>
      </w:r>
      <w:r w:rsidRPr="00AA33D3">
        <w:rPr>
          <w:lang w:val="fr-CA"/>
        </w:rPr>
        <w:t xml:space="preserve"> </w:t>
      </w:r>
      <w:r w:rsidR="000E791B" w:rsidRPr="00AA33D3">
        <w:rPr>
          <w:lang w:val="fr-CA"/>
        </w:rPr>
        <w:t>[</w:t>
      </w:r>
      <w:r w:rsidR="00196FA7" w:rsidRPr="00AA33D3">
        <w:rPr>
          <w:lang w:val="fr-CA"/>
        </w:rPr>
        <w:t xml:space="preserve">prises en vertu de la </w:t>
      </w:r>
      <w:r w:rsidR="00196FA7" w:rsidRPr="00AA33D3">
        <w:rPr>
          <w:i/>
          <w:lang w:val="fr-CA"/>
        </w:rPr>
        <w:t xml:space="preserve">Loi sur la profession </w:t>
      </w:r>
      <w:r w:rsidR="004425A5" w:rsidRPr="00AA33D3">
        <w:rPr>
          <w:i/>
          <w:lang w:val="fr-CA"/>
        </w:rPr>
        <w:t>d</w:t>
      </w:r>
      <w:r w:rsidR="00AA33D3">
        <w:rPr>
          <w:i/>
          <w:lang w:val="fr-CA"/>
        </w:rPr>
        <w:t>’</w:t>
      </w:r>
      <w:r w:rsidR="004425A5" w:rsidRPr="00AA33D3">
        <w:rPr>
          <w:i/>
          <w:lang w:val="fr-CA"/>
        </w:rPr>
        <w:t>avocat</w:t>
      </w:r>
      <w:r w:rsidR="004425A5" w:rsidRPr="00AA33D3">
        <w:rPr>
          <w:lang w:val="fr-CA"/>
        </w:rPr>
        <w:t>, L.R.Y. 2002, c. </w:t>
      </w:r>
      <w:r w:rsidR="000E791B" w:rsidRPr="00AA33D3">
        <w:rPr>
          <w:lang w:val="fr-CA"/>
        </w:rPr>
        <w:t>134]</w:t>
      </w:r>
      <w:r w:rsidR="00196FA7" w:rsidRPr="00AA33D3">
        <w:rPr>
          <w:lang w:val="fr-CA"/>
        </w:rPr>
        <w:t xml:space="preserve">, règle 95.3(5). </w:t>
      </w:r>
    </w:p>
    <w:p w:rsidR="00196FA7" w:rsidRPr="00AA33D3" w:rsidRDefault="008F5204" w:rsidP="00987CB6">
      <w:pPr>
        <w:pStyle w:val="SCCNormalDoubleSpacing"/>
        <w:widowControl w:val="0"/>
        <w:spacing w:before="240" w:after="240" w:line="240" w:lineRule="auto"/>
        <w:ind w:left="540" w:hanging="540"/>
        <w:rPr>
          <w:lang w:val="fr-CA"/>
        </w:rPr>
      </w:pPr>
      <w:r>
        <w:rPr>
          <w:i/>
          <w:lang w:val="fr-CA"/>
        </w:rPr>
        <w:t>Règles de l</w:t>
      </w:r>
      <w:r w:rsidR="00854824" w:rsidRPr="00AA33D3">
        <w:rPr>
          <w:i/>
          <w:lang w:val="fr-CA"/>
        </w:rPr>
        <w:t>a Société du Barreau du Manitoba</w:t>
      </w:r>
      <w:r w:rsidR="00854824" w:rsidRPr="00AA33D3">
        <w:rPr>
          <w:lang w:val="fr-CA"/>
        </w:rPr>
        <w:t xml:space="preserve"> </w:t>
      </w:r>
      <w:r w:rsidR="000E791B" w:rsidRPr="00AA33D3">
        <w:rPr>
          <w:lang w:val="fr-CA"/>
        </w:rPr>
        <w:t>[</w:t>
      </w:r>
      <w:r w:rsidR="00196FA7" w:rsidRPr="00AA33D3">
        <w:rPr>
          <w:lang w:val="fr-CA"/>
        </w:rPr>
        <w:t>prises en vertu de la</w:t>
      </w:r>
      <w:r w:rsidR="00196FA7" w:rsidRPr="00AA33D3">
        <w:rPr>
          <w:i/>
          <w:lang w:val="fr-CA"/>
        </w:rPr>
        <w:t xml:space="preserve"> Loi sur la profession d</w:t>
      </w:r>
      <w:r w:rsidR="00AA33D3">
        <w:rPr>
          <w:i/>
          <w:lang w:val="fr-CA"/>
        </w:rPr>
        <w:t>’</w:t>
      </w:r>
      <w:r w:rsidR="00196FA7" w:rsidRPr="00AA33D3">
        <w:rPr>
          <w:i/>
          <w:lang w:val="fr-CA"/>
        </w:rPr>
        <w:t>avocat</w:t>
      </w:r>
      <w:r w:rsidR="000E791B" w:rsidRPr="00AA33D3">
        <w:rPr>
          <w:lang w:val="fr-CA"/>
        </w:rPr>
        <w:t>, C.P.L.M., c. L107]</w:t>
      </w:r>
      <w:r w:rsidR="00196FA7" w:rsidRPr="00AA33D3">
        <w:rPr>
          <w:lang w:val="fr-CA"/>
        </w:rPr>
        <w:t>,</w:t>
      </w:r>
      <w:r w:rsidR="00854824" w:rsidRPr="00AA33D3">
        <w:rPr>
          <w:lang w:val="fr-CA"/>
        </w:rPr>
        <w:t xml:space="preserve"> règl</w:t>
      </w:r>
      <w:r w:rsidR="004425A5" w:rsidRPr="00AA33D3">
        <w:rPr>
          <w:lang w:val="fr-CA"/>
        </w:rPr>
        <w:t>es </w:t>
      </w:r>
      <w:r w:rsidR="00854824" w:rsidRPr="00AA33D3">
        <w:rPr>
          <w:lang w:val="fr-CA"/>
        </w:rPr>
        <w:t>2</w:t>
      </w:r>
      <w:r w:rsidR="004425A5" w:rsidRPr="00AA33D3">
        <w:rPr>
          <w:lang w:val="fr-CA"/>
        </w:rPr>
        <w:noBreakHyphen/>
      </w:r>
      <w:r w:rsidR="00854824" w:rsidRPr="00AA33D3">
        <w:rPr>
          <w:lang w:val="fr-CA"/>
        </w:rPr>
        <w:t>81.1(1), (6), (8), (9), (12), (13), 2</w:t>
      </w:r>
      <w:r w:rsidR="004425A5" w:rsidRPr="00AA33D3">
        <w:rPr>
          <w:lang w:val="fr-CA"/>
        </w:rPr>
        <w:noBreakHyphen/>
      </w:r>
      <w:r w:rsidR="00854824" w:rsidRPr="00AA33D3">
        <w:rPr>
          <w:lang w:val="fr-CA"/>
        </w:rPr>
        <w:t>81.2(3), 2</w:t>
      </w:r>
      <w:r w:rsidR="004425A5" w:rsidRPr="00AA33D3">
        <w:rPr>
          <w:lang w:val="fr-CA"/>
        </w:rPr>
        <w:noBreakHyphen/>
      </w:r>
      <w:r w:rsidR="00854824" w:rsidRPr="00AA33D3">
        <w:rPr>
          <w:lang w:val="fr-CA"/>
        </w:rPr>
        <w:t>88, 2</w:t>
      </w:r>
      <w:r w:rsidR="004425A5" w:rsidRPr="00AA33D3">
        <w:rPr>
          <w:lang w:val="fr-CA"/>
        </w:rPr>
        <w:noBreakHyphen/>
      </w:r>
      <w:r w:rsidR="00854824" w:rsidRPr="00AA33D3">
        <w:rPr>
          <w:lang w:val="fr-CA"/>
        </w:rPr>
        <w:t>91, 2</w:t>
      </w:r>
      <w:r w:rsidR="004425A5" w:rsidRPr="00AA33D3">
        <w:rPr>
          <w:lang w:val="fr-CA"/>
        </w:rPr>
        <w:noBreakHyphen/>
      </w:r>
      <w:r w:rsidR="00854824" w:rsidRPr="00AA33D3">
        <w:rPr>
          <w:lang w:val="fr-CA"/>
        </w:rPr>
        <w:t>97, 5</w:t>
      </w:r>
      <w:r w:rsidR="004425A5" w:rsidRPr="00AA33D3">
        <w:rPr>
          <w:lang w:val="fr-CA"/>
        </w:rPr>
        <w:noBreakHyphen/>
      </w:r>
      <w:r w:rsidR="00854824" w:rsidRPr="00AA33D3">
        <w:rPr>
          <w:lang w:val="fr-CA"/>
        </w:rPr>
        <w:t>47(10), 5</w:t>
      </w:r>
      <w:r w:rsidR="004425A5" w:rsidRPr="00AA33D3">
        <w:rPr>
          <w:lang w:val="fr-CA"/>
        </w:rPr>
        <w:noBreakHyphen/>
      </w:r>
      <w:r w:rsidR="00854824" w:rsidRPr="00AA33D3">
        <w:rPr>
          <w:lang w:val="fr-CA"/>
        </w:rPr>
        <w:t>64(2), (3), 5</w:t>
      </w:r>
      <w:r w:rsidR="004425A5" w:rsidRPr="00AA33D3">
        <w:rPr>
          <w:lang w:val="fr-CA"/>
        </w:rPr>
        <w:noBreakHyphen/>
      </w:r>
      <w:r w:rsidR="00854824" w:rsidRPr="00AA33D3">
        <w:rPr>
          <w:lang w:val="fr-CA"/>
        </w:rPr>
        <w:t>65(1), 5</w:t>
      </w:r>
      <w:r w:rsidR="004425A5" w:rsidRPr="00AA33D3">
        <w:rPr>
          <w:lang w:val="fr-CA"/>
        </w:rPr>
        <w:noBreakHyphen/>
      </w:r>
      <w:r w:rsidR="00854824" w:rsidRPr="00AA33D3">
        <w:rPr>
          <w:lang w:val="fr-CA"/>
        </w:rPr>
        <w:t>66, 5</w:t>
      </w:r>
      <w:r w:rsidR="004425A5" w:rsidRPr="00AA33D3">
        <w:rPr>
          <w:lang w:val="fr-CA"/>
        </w:rPr>
        <w:noBreakHyphen/>
      </w:r>
      <w:r w:rsidR="00854824" w:rsidRPr="00AA33D3">
        <w:rPr>
          <w:lang w:val="fr-CA"/>
        </w:rPr>
        <w:t>72(1), (4), 5</w:t>
      </w:r>
      <w:r w:rsidR="004425A5" w:rsidRPr="00AA33D3">
        <w:rPr>
          <w:lang w:val="fr-CA"/>
        </w:rPr>
        <w:noBreakHyphen/>
      </w:r>
      <w:r w:rsidR="00854824" w:rsidRPr="00AA33D3">
        <w:rPr>
          <w:lang w:val="fr-CA"/>
        </w:rPr>
        <w:t>74(1), 5</w:t>
      </w:r>
      <w:r w:rsidR="004425A5" w:rsidRPr="00AA33D3">
        <w:rPr>
          <w:lang w:val="fr-CA"/>
        </w:rPr>
        <w:noBreakHyphen/>
      </w:r>
      <w:r w:rsidR="00854824" w:rsidRPr="00AA33D3">
        <w:rPr>
          <w:lang w:val="fr-CA"/>
        </w:rPr>
        <w:t>81(2), 5</w:t>
      </w:r>
      <w:r w:rsidR="004425A5" w:rsidRPr="00AA33D3">
        <w:rPr>
          <w:lang w:val="fr-CA"/>
        </w:rPr>
        <w:noBreakHyphen/>
      </w:r>
      <w:r w:rsidR="00854824" w:rsidRPr="00AA33D3">
        <w:rPr>
          <w:lang w:val="fr-CA"/>
        </w:rPr>
        <w:t>96</w:t>
      </w:r>
      <w:r w:rsidR="00D96785" w:rsidRPr="00AA33D3">
        <w:rPr>
          <w:lang w:val="fr-CA"/>
        </w:rPr>
        <w:t>(2)</w:t>
      </w:r>
      <w:r w:rsidR="00196FA7" w:rsidRPr="00AA33D3">
        <w:rPr>
          <w:lang w:val="fr-CA"/>
        </w:rPr>
        <w:t xml:space="preserve">. </w:t>
      </w:r>
    </w:p>
    <w:p w:rsidR="00854824" w:rsidRPr="00AA33D3" w:rsidRDefault="00854824" w:rsidP="00987CB6">
      <w:pPr>
        <w:pStyle w:val="SCCNormalDoubleSpacing"/>
        <w:widowControl w:val="0"/>
        <w:spacing w:before="240" w:after="240" w:line="240" w:lineRule="auto"/>
        <w:ind w:left="540" w:hanging="540"/>
        <w:rPr>
          <w:lang w:val="fr-CA"/>
        </w:rPr>
      </w:pPr>
      <w:r w:rsidRPr="00AA33D3">
        <w:rPr>
          <w:i/>
          <w:lang w:val="fr-CA"/>
        </w:rPr>
        <w:t>Règles sur la formation professionnelle continue obligatoire</w:t>
      </w:r>
      <w:r w:rsidR="003D5943" w:rsidRPr="00AA33D3">
        <w:rPr>
          <w:lang w:val="fr-CA"/>
        </w:rPr>
        <w:t xml:space="preserve"> </w:t>
      </w:r>
      <w:r w:rsidR="000E791B" w:rsidRPr="00AA33D3">
        <w:rPr>
          <w:lang w:val="fr-CA"/>
        </w:rPr>
        <w:t>[</w:t>
      </w:r>
      <w:r w:rsidRPr="00AA33D3">
        <w:rPr>
          <w:lang w:val="fr-CA"/>
        </w:rPr>
        <w:t xml:space="preserve">prises en vertu de la </w:t>
      </w:r>
      <w:r w:rsidRPr="00AA33D3">
        <w:rPr>
          <w:i/>
          <w:lang w:val="fr-CA"/>
        </w:rPr>
        <w:t>Loi de 1996 sur le Barreau</w:t>
      </w:r>
      <w:r w:rsidRPr="00AA33D3">
        <w:rPr>
          <w:lang w:val="fr-CA"/>
        </w:rPr>
        <w:t>, L.N.</w:t>
      </w:r>
      <w:r w:rsidR="004425A5" w:rsidRPr="00AA33D3">
        <w:rPr>
          <w:lang w:val="fr-CA"/>
        </w:rPr>
        <w:noBreakHyphen/>
        <w:t>B. 1996, c. </w:t>
      </w:r>
      <w:r w:rsidRPr="00AA33D3">
        <w:rPr>
          <w:lang w:val="fr-CA"/>
        </w:rPr>
        <w:t>89</w:t>
      </w:r>
      <w:r w:rsidR="000E791B" w:rsidRPr="00AA33D3">
        <w:rPr>
          <w:lang w:val="fr-CA"/>
        </w:rPr>
        <w:t>]</w:t>
      </w:r>
      <w:r w:rsidR="00196FA7" w:rsidRPr="00AA33D3">
        <w:rPr>
          <w:lang w:val="fr-CA"/>
        </w:rPr>
        <w:t xml:space="preserve">, </w:t>
      </w:r>
      <w:r w:rsidR="004425A5" w:rsidRPr="00AA33D3">
        <w:rPr>
          <w:lang w:val="fr-CA"/>
        </w:rPr>
        <w:t>art. </w:t>
      </w:r>
      <w:r w:rsidR="00196FA7" w:rsidRPr="00AA33D3">
        <w:rPr>
          <w:lang w:val="fr-CA"/>
        </w:rPr>
        <w:t>7(1) à (3), 8(1), (2).</w:t>
      </w:r>
    </w:p>
    <w:p w:rsidR="006D000F" w:rsidRPr="00AA33D3" w:rsidRDefault="00854824" w:rsidP="00987CB6">
      <w:pPr>
        <w:pStyle w:val="SCCNormalDoubleSpacing"/>
        <w:widowControl w:val="0"/>
        <w:spacing w:after="720" w:line="240" w:lineRule="auto"/>
        <w:ind w:left="547" w:hanging="547"/>
        <w:rPr>
          <w:lang w:val="fr-CA"/>
        </w:rPr>
      </w:pPr>
      <w:r w:rsidRPr="00AA33D3">
        <w:rPr>
          <w:i/>
          <w:lang w:val="fr-CA"/>
        </w:rPr>
        <w:t>Regulations</w:t>
      </w:r>
      <w:r w:rsidR="003D5943" w:rsidRPr="00AA33D3">
        <w:rPr>
          <w:lang w:val="fr-CA"/>
        </w:rPr>
        <w:t xml:space="preserve"> </w:t>
      </w:r>
      <w:r w:rsidR="000E791B" w:rsidRPr="00AA33D3">
        <w:rPr>
          <w:lang w:val="fr-CA"/>
        </w:rPr>
        <w:t>[</w:t>
      </w:r>
      <w:r w:rsidR="003D5943" w:rsidRPr="00AA33D3">
        <w:rPr>
          <w:lang w:val="fr-CA"/>
        </w:rPr>
        <w:t>p</w:t>
      </w:r>
      <w:r w:rsidR="00CF1C15" w:rsidRPr="00AA33D3">
        <w:rPr>
          <w:lang w:val="fr-CA"/>
        </w:rPr>
        <w:t>ris</w:t>
      </w:r>
      <w:r w:rsidR="003D5943" w:rsidRPr="00AA33D3">
        <w:rPr>
          <w:lang w:val="fr-CA"/>
        </w:rPr>
        <w:t xml:space="preserve"> en vertu de la</w:t>
      </w:r>
      <w:r w:rsidRPr="00AA33D3">
        <w:rPr>
          <w:i/>
          <w:lang w:val="fr-CA"/>
        </w:rPr>
        <w:t xml:space="preserve"> Legal Profession Act</w:t>
      </w:r>
      <w:r w:rsidR="004425A5" w:rsidRPr="00AA33D3">
        <w:rPr>
          <w:lang w:val="fr-CA"/>
        </w:rPr>
        <w:t>, S.N.S. 2004, c. </w:t>
      </w:r>
      <w:r w:rsidRPr="00AA33D3">
        <w:rPr>
          <w:lang w:val="fr-CA"/>
        </w:rPr>
        <w:t>28</w:t>
      </w:r>
      <w:r w:rsidR="000E791B" w:rsidRPr="00AA33D3">
        <w:rPr>
          <w:lang w:val="fr-CA"/>
        </w:rPr>
        <w:t>]</w:t>
      </w:r>
      <w:r w:rsidR="00B90DF1" w:rsidRPr="00AA33D3">
        <w:rPr>
          <w:lang w:val="fr-CA"/>
        </w:rPr>
        <w:t>, r</w:t>
      </w:r>
      <w:r w:rsidR="003D5943" w:rsidRPr="00AA33D3">
        <w:rPr>
          <w:lang w:val="fr-CA"/>
        </w:rPr>
        <w:t xml:space="preserve">ègle </w:t>
      </w:r>
      <w:r w:rsidRPr="00AA33D3">
        <w:rPr>
          <w:lang w:val="fr-CA"/>
        </w:rPr>
        <w:t>8.3.9</w:t>
      </w:r>
      <w:r w:rsidR="00B90DF1" w:rsidRPr="00AA33D3">
        <w:rPr>
          <w:lang w:val="fr-CA"/>
        </w:rPr>
        <w:t>.</w:t>
      </w:r>
    </w:p>
    <w:p w:rsidR="004D7D95" w:rsidRPr="00AA33D3" w:rsidRDefault="004D7D95" w:rsidP="00987CB6">
      <w:pPr>
        <w:pStyle w:val="SCCNormalDoubleSpacing"/>
        <w:widowControl w:val="0"/>
        <w:spacing w:after="720" w:line="240" w:lineRule="auto"/>
        <w:rPr>
          <w:lang w:val="fr-CA"/>
        </w:rPr>
      </w:pPr>
      <w:r w:rsidRPr="00AA33D3">
        <w:rPr>
          <w:b/>
          <w:lang w:val="fr-CA"/>
        </w:rPr>
        <w:t>Doctrine et autres documents cités</w:t>
      </w:r>
    </w:p>
    <w:p w:rsidR="00FA6B4F" w:rsidRPr="00AA33D3" w:rsidRDefault="00FA6B4F" w:rsidP="00987CB6">
      <w:pPr>
        <w:pStyle w:val="SCCNormalDoubleSpacing"/>
        <w:widowControl w:val="0"/>
        <w:spacing w:before="240" w:after="240" w:line="240" w:lineRule="auto"/>
        <w:ind w:left="540" w:hanging="540"/>
        <w:rPr>
          <w:lang w:val="fr-CA"/>
        </w:rPr>
      </w:pPr>
      <w:r w:rsidRPr="00AA33D3">
        <w:rPr>
          <w:lang w:val="fr-CA"/>
        </w:rPr>
        <w:t xml:space="preserve">Barreau du Québec. </w:t>
      </w:r>
      <w:r w:rsidRPr="00AA33D3">
        <w:rPr>
          <w:i/>
          <w:lang w:val="fr-CA"/>
        </w:rPr>
        <w:t>Guide sur les dispenses de l</w:t>
      </w:r>
      <w:r w:rsidR="00AA33D3">
        <w:rPr>
          <w:i/>
          <w:lang w:val="fr-CA"/>
        </w:rPr>
        <w:t>’</w:t>
      </w:r>
      <w:r w:rsidRPr="00AA33D3">
        <w:rPr>
          <w:i/>
          <w:lang w:val="fr-CA"/>
        </w:rPr>
        <w:t>obligation de formation continue</w:t>
      </w:r>
      <w:r w:rsidRPr="00AA33D3">
        <w:rPr>
          <w:lang w:val="fr-CA"/>
        </w:rPr>
        <w:t xml:space="preserve">, </w:t>
      </w:r>
      <w:r w:rsidR="003D5943" w:rsidRPr="00AA33D3">
        <w:rPr>
          <w:lang w:val="fr-CA"/>
        </w:rPr>
        <w:t>édité en mars 2015</w:t>
      </w:r>
      <w:r w:rsidRPr="00AA33D3">
        <w:rPr>
          <w:lang w:val="fr-CA"/>
        </w:rPr>
        <w:t xml:space="preserve">, </w:t>
      </w:r>
      <w:r w:rsidR="004425A5" w:rsidRPr="00AA33D3">
        <w:rPr>
          <w:lang w:val="fr-CA"/>
        </w:rPr>
        <w:t>p. </w:t>
      </w:r>
      <w:r w:rsidRPr="00AA33D3">
        <w:rPr>
          <w:lang w:val="fr-CA"/>
        </w:rPr>
        <w:t>10 (</w:t>
      </w:r>
      <w:r w:rsidR="009452C3" w:rsidRPr="00AA33D3">
        <w:rPr>
          <w:lang w:val="fr-CA"/>
        </w:rPr>
        <w:t>en ligne</w:t>
      </w:r>
      <w:r w:rsidR="00DA0CE1" w:rsidRPr="00AA33D3">
        <w:rPr>
          <w:lang w:val="fr-CA"/>
        </w:rPr>
        <w:t> </w:t>
      </w:r>
      <w:r w:rsidRPr="00AA33D3">
        <w:rPr>
          <w:lang w:val="fr-CA"/>
        </w:rPr>
        <w:t>: http://www.barreau.qc.ca/pdf/publications/guides</w:t>
      </w:r>
      <w:r w:rsidR="004425A5" w:rsidRPr="00AA33D3">
        <w:rPr>
          <w:lang w:val="fr-CA"/>
        </w:rPr>
        <w:t>-</w:t>
      </w:r>
      <w:r w:rsidRPr="00AA33D3">
        <w:rPr>
          <w:lang w:val="fr-CA"/>
        </w:rPr>
        <w:t>fco/fco</w:t>
      </w:r>
      <w:r w:rsidR="004425A5" w:rsidRPr="00AA33D3">
        <w:rPr>
          <w:lang w:val="fr-CA"/>
        </w:rPr>
        <w:t>-</w:t>
      </w:r>
      <w:r w:rsidRPr="00AA33D3">
        <w:rPr>
          <w:lang w:val="fr-CA"/>
        </w:rPr>
        <w:t>guide</w:t>
      </w:r>
      <w:r w:rsidR="004425A5" w:rsidRPr="00AA33D3">
        <w:rPr>
          <w:lang w:val="fr-CA"/>
        </w:rPr>
        <w:t>-</w:t>
      </w:r>
      <w:r w:rsidRPr="00AA33D3">
        <w:rPr>
          <w:lang w:val="fr-CA"/>
        </w:rPr>
        <w:t xml:space="preserve">dispenses.pdf; </w:t>
      </w:r>
      <w:r w:rsidR="00B90DF1" w:rsidRPr="00AA33D3">
        <w:rPr>
          <w:lang w:val="fr-CA"/>
        </w:rPr>
        <w:t>version archivée</w:t>
      </w:r>
      <w:r w:rsidR="004425A5" w:rsidRPr="00AA33D3">
        <w:rPr>
          <w:lang w:val="fr-CA"/>
        </w:rPr>
        <w:t> :</w:t>
      </w:r>
      <w:r w:rsidR="00F87C08" w:rsidRPr="00AA33D3">
        <w:rPr>
          <w:lang w:val="fr-CA"/>
        </w:rPr>
        <w:t xml:space="preserve"> </w:t>
      </w:r>
      <w:hyperlink r:id="rId9" w:history="1">
        <w:r w:rsidR="003E628C" w:rsidRPr="00DB2200">
          <w:rPr>
            <w:rStyle w:val="Hyperlink"/>
            <w:lang w:val="fr-CA"/>
          </w:rPr>
          <w:t>http://www.scc-csc.ca/cso-dce/2017SCC-CSC20_1_fra.pdf</w:t>
        </w:r>
      </w:hyperlink>
      <w:r w:rsidR="003E628C">
        <w:rPr>
          <w:lang w:val="fr-CA"/>
        </w:rPr>
        <w:t xml:space="preserve"> </w:t>
      </w:r>
      <w:r w:rsidRPr="00AA33D3">
        <w:rPr>
          <w:lang w:val="fr-CA"/>
        </w:rPr>
        <w:t>)</w:t>
      </w:r>
      <w:r w:rsidR="00F87C08" w:rsidRPr="00AA33D3">
        <w:rPr>
          <w:lang w:val="fr-CA"/>
        </w:rPr>
        <w:t>.</w:t>
      </w:r>
    </w:p>
    <w:p w:rsidR="00561C84" w:rsidRPr="00AA33D3" w:rsidRDefault="00561C84" w:rsidP="00987CB6">
      <w:pPr>
        <w:pStyle w:val="SCCNormalDoubleSpacing"/>
        <w:widowControl w:val="0"/>
        <w:spacing w:after="240" w:line="240" w:lineRule="auto"/>
        <w:ind w:left="540" w:hanging="540"/>
      </w:pPr>
      <w:r w:rsidRPr="00AA33D3">
        <w:rPr>
          <w:lang w:val="en-US"/>
        </w:rPr>
        <w:t>Brown, Donald J.</w:t>
      </w:r>
      <w:r w:rsidR="00490C55">
        <w:rPr>
          <w:lang w:val="en-US"/>
        </w:rPr>
        <w:t xml:space="preserve"> </w:t>
      </w:r>
      <w:r w:rsidRPr="00AA33D3">
        <w:rPr>
          <w:lang w:val="en-US"/>
        </w:rPr>
        <w:t xml:space="preserve">M., and John M. Evans, with the assistance of David Fairlie. </w:t>
      </w:r>
      <w:r w:rsidRPr="00AA33D3">
        <w:rPr>
          <w:i/>
          <w:lang w:val="en-US"/>
        </w:rPr>
        <w:t>Judicial Review of Administrative Action in Cana</w:t>
      </w:r>
      <w:r w:rsidRPr="00AA33D3">
        <w:rPr>
          <w:i/>
        </w:rPr>
        <w:t>da</w:t>
      </w:r>
      <w:r w:rsidRPr="00AA33D3">
        <w:t>,</w:t>
      </w:r>
      <w:r w:rsidR="00AE4156" w:rsidRPr="00AA33D3">
        <w:t xml:space="preserve"> </w:t>
      </w:r>
      <w:r w:rsidRPr="00AA33D3">
        <w:t>Toronto, Thomson Reuters, 2013 (loose</w:t>
      </w:r>
      <w:r w:rsidR="004425A5" w:rsidRPr="00AA33D3">
        <w:noBreakHyphen/>
      </w:r>
      <w:r w:rsidRPr="00AA33D3">
        <w:t>leaf updated December 2016, release</w:t>
      </w:r>
      <w:r w:rsidR="004425A5" w:rsidRPr="00AA33D3">
        <w:t> </w:t>
      </w:r>
      <w:r w:rsidRPr="00AA33D3">
        <w:t>4).</w:t>
      </w:r>
    </w:p>
    <w:p w:rsidR="00D55BF9" w:rsidRPr="00AA33D3" w:rsidRDefault="004425A5" w:rsidP="00987CB6">
      <w:pPr>
        <w:pStyle w:val="SCCNormalDoubleSpacing"/>
        <w:widowControl w:val="0"/>
        <w:spacing w:after="240" w:line="240" w:lineRule="auto"/>
        <w:ind w:left="540" w:hanging="540"/>
      </w:pPr>
      <w:r w:rsidRPr="00AA33D3">
        <w:t>Huscroft, Grant, « </w:t>
      </w:r>
      <w:r w:rsidR="00D55BF9" w:rsidRPr="00AA33D3">
        <w:t>From Natural Justice to Fairness</w:t>
      </w:r>
      <w:r w:rsidR="00F87C08" w:rsidRPr="00AA33D3">
        <w:t> </w:t>
      </w:r>
      <w:r w:rsidR="00D55BF9" w:rsidRPr="00AA33D3">
        <w:t>: Thresholds, Content</w:t>
      </w:r>
      <w:r w:rsidR="00490C55">
        <w:t>,</w:t>
      </w:r>
      <w:r w:rsidR="00D55BF9" w:rsidRPr="00AA33D3">
        <w:t xml:space="preserve"> </w:t>
      </w:r>
      <w:r w:rsidRPr="00AA33D3">
        <w:t>and the Role of Judicial Review </w:t>
      </w:r>
      <w:r w:rsidR="00D55BF9" w:rsidRPr="00AA33D3">
        <w:t>», in Flood, Colleen</w:t>
      </w:r>
      <w:r w:rsidRPr="00AA33D3">
        <w:t> </w:t>
      </w:r>
      <w:r w:rsidR="00D55BF9" w:rsidRPr="00AA33D3">
        <w:t xml:space="preserve">M., and Lorne Sossin, eds., </w:t>
      </w:r>
      <w:r w:rsidR="00D55BF9" w:rsidRPr="00AA33D3">
        <w:rPr>
          <w:i/>
        </w:rPr>
        <w:t>Administrative Law in Context</w:t>
      </w:r>
      <w:r w:rsidR="00D55BF9" w:rsidRPr="00AA33D3">
        <w:t>, 2nd ed</w:t>
      </w:r>
      <w:r w:rsidR="0055098F" w:rsidRPr="00AA33D3">
        <w:t>.</w:t>
      </w:r>
      <w:r w:rsidR="00D55BF9" w:rsidRPr="00AA33D3">
        <w:t xml:space="preserve">, Toronto, Emond Montgomery, 2013, 147. </w:t>
      </w:r>
    </w:p>
    <w:p w:rsidR="0055098F" w:rsidRPr="00AA33D3" w:rsidRDefault="0055098F" w:rsidP="00987CB6">
      <w:pPr>
        <w:pStyle w:val="SCCNormalDoubleSpacing"/>
        <w:widowControl w:val="0"/>
        <w:spacing w:after="240" w:line="240" w:lineRule="auto"/>
        <w:ind w:left="540" w:hanging="540"/>
      </w:pPr>
      <w:r w:rsidRPr="00AA33D3">
        <w:t xml:space="preserve">Law Society of Saskatchewan. </w:t>
      </w:r>
      <w:r w:rsidRPr="00AA33D3">
        <w:rPr>
          <w:i/>
        </w:rPr>
        <w:t>Continuing Professional Development Policy</w:t>
      </w:r>
      <w:r w:rsidRPr="00AA33D3">
        <w:t>,</w:t>
      </w:r>
      <w:r w:rsidR="004425A5" w:rsidRPr="00AA33D3">
        <w:t xml:space="preserve"> revised September </w:t>
      </w:r>
      <w:r w:rsidRPr="00AA33D3">
        <w:t>15, 2016</w:t>
      </w:r>
      <w:r w:rsidR="00B90DF1" w:rsidRPr="00AA33D3">
        <w:t>, sections 16, 18, and 19</w:t>
      </w:r>
      <w:r w:rsidRPr="00AA33D3">
        <w:t xml:space="preserve"> (</w:t>
      </w:r>
      <w:r w:rsidR="0087448B" w:rsidRPr="00AA33D3">
        <w:t>en ligne</w:t>
      </w:r>
      <w:r w:rsidR="004425A5" w:rsidRPr="00AA33D3">
        <w:t> :</w:t>
      </w:r>
      <w:r w:rsidRPr="00AA33D3">
        <w:t xml:space="preserve"> </w:t>
      </w:r>
      <w:r w:rsidRPr="00AA33D3">
        <w:lastRenderedPageBreak/>
        <w:t>https://www.lawsociety.sk.ca/media/61741/policy.pdf; version archivée</w:t>
      </w:r>
      <w:r w:rsidR="004425A5" w:rsidRPr="00AA33D3">
        <w:t> :</w:t>
      </w:r>
      <w:r w:rsidR="00F87C08" w:rsidRPr="00AA33D3">
        <w:t xml:space="preserve"> </w:t>
      </w:r>
      <w:hyperlink r:id="rId10" w:history="1">
        <w:r w:rsidR="007F0B4C" w:rsidRPr="00ED395E">
          <w:rPr>
            <w:rStyle w:val="Hyperlink"/>
          </w:rPr>
          <w:t>http://www.scc-csc.ca/cso-dce/2017SCC-CSC20_2_eng.pdf</w:t>
        </w:r>
      </w:hyperlink>
      <w:bookmarkStart w:id="0" w:name="_GoBack"/>
      <w:bookmarkEnd w:id="0"/>
      <w:r w:rsidRPr="00AA33D3">
        <w:t>).</w:t>
      </w:r>
    </w:p>
    <w:p w:rsidR="00EE5F43" w:rsidRPr="00AA33D3" w:rsidRDefault="00EE5F43" w:rsidP="00987CB6">
      <w:pPr>
        <w:pStyle w:val="SCCNormalDoubleSpacing"/>
        <w:widowControl w:val="0"/>
        <w:spacing w:after="240" w:line="240" w:lineRule="auto"/>
        <w:ind w:left="540" w:hanging="540"/>
      </w:pPr>
      <w:r w:rsidRPr="00AA33D3">
        <w:t xml:space="preserve">MacKenzie, Gavin. </w:t>
      </w:r>
      <w:r w:rsidRPr="00AA33D3">
        <w:rPr>
          <w:i/>
        </w:rPr>
        <w:t>Lawyers and Ethics</w:t>
      </w:r>
      <w:r w:rsidR="004425A5" w:rsidRPr="00AA33D3">
        <w:rPr>
          <w:i/>
        </w:rPr>
        <w:t> :</w:t>
      </w:r>
      <w:r w:rsidRPr="00AA33D3">
        <w:rPr>
          <w:i/>
        </w:rPr>
        <w:t xml:space="preserve"> Professional Responsibility and Discipline</w:t>
      </w:r>
      <w:r w:rsidRPr="00AA33D3">
        <w:t>, 5th ed., Toronto, Carswell, 2009.</w:t>
      </w:r>
    </w:p>
    <w:p w:rsidR="004D7D95" w:rsidRPr="00AA33D3" w:rsidRDefault="00256CD5" w:rsidP="00987CB6">
      <w:pPr>
        <w:pStyle w:val="SCCNormalDoubleSpacing"/>
        <w:widowControl w:val="0"/>
        <w:spacing w:after="720" w:line="240" w:lineRule="auto"/>
        <w:ind w:left="547" w:hanging="547"/>
      </w:pPr>
      <w:r w:rsidRPr="00AA33D3">
        <w:t xml:space="preserve">Sullivan, Ruth. </w:t>
      </w:r>
      <w:r w:rsidRPr="00AA33D3">
        <w:rPr>
          <w:i/>
        </w:rPr>
        <w:t>Sullivan on the Construction of Statutes</w:t>
      </w:r>
      <w:r w:rsidRPr="00AA33D3">
        <w:t>, 6th ed., Markham (Ont.), LexisNexis, 2014.</w:t>
      </w:r>
    </w:p>
    <w:p w:rsidR="004D7D95" w:rsidRPr="00AA33D3" w:rsidRDefault="00767E16" w:rsidP="00987CB6">
      <w:pPr>
        <w:pStyle w:val="SCCNormalDoubleSpacing"/>
        <w:widowControl w:val="0"/>
        <w:spacing w:before="480" w:after="480"/>
        <w:rPr>
          <w:lang w:val="fr-CA"/>
        </w:rPr>
      </w:pPr>
      <w:r w:rsidRPr="00AA33D3">
        <w:tab/>
      </w:r>
      <w:r w:rsidR="004D7D95" w:rsidRPr="00AA33D3">
        <w:t>POURVOI contre un arrêt de la Cour d</w:t>
      </w:r>
      <w:r w:rsidR="00AA33D3">
        <w:t>’</w:t>
      </w:r>
      <w:r w:rsidR="004D7D95" w:rsidRPr="00AA33D3">
        <w:t>appel du Manitoba</w:t>
      </w:r>
      <w:r w:rsidRPr="00AA33D3">
        <w:t xml:space="preserve"> (les juges Monnin, Cameron et Mainella), 2015 MBCA 67, 319 Man. R. (2d) 189, 638 W.A.C. 189, 75 C.P.C. (7th) 73, 386 D.L.R. (4th) 511, [2015] 10 W.W.R. 239, [2015] M.J. </w:t>
      </w:r>
      <w:r w:rsidR="004425A5" w:rsidRPr="00AA33D3">
        <w:t>No. </w:t>
      </w:r>
      <w:r w:rsidRPr="00AA33D3">
        <w:t xml:space="preserve">175 (QL), 2015 CarswellMan 332 (WL Can.), </w:t>
      </w:r>
      <w:r w:rsidR="002C2D76" w:rsidRPr="00AA33D3">
        <w:t>qui a confirmé une décision du juge</w:t>
      </w:r>
      <w:r w:rsidRPr="00AA33D3">
        <w:t xml:space="preserve"> Rempel, 2014 MBQB 249, 313 Man. R. (2d) 19, 66 C.P.C. (7th) 430, [2015] 5 W.W.R. 769, [2014] M.J. </w:t>
      </w:r>
      <w:r w:rsidR="004425A5" w:rsidRPr="00AA33D3">
        <w:t>No. </w:t>
      </w:r>
      <w:r w:rsidRPr="00AA33D3">
        <w:t xml:space="preserve">350 (QL), 2014 CarswellMan 760 (WL Can.). </w:t>
      </w:r>
      <w:r w:rsidR="002C2D76" w:rsidRPr="00AA33D3">
        <w:rPr>
          <w:lang w:val="fr-CA"/>
        </w:rPr>
        <w:t>Pourvoi</w:t>
      </w:r>
      <w:r w:rsidR="005504FC" w:rsidRPr="00AA33D3">
        <w:rPr>
          <w:lang w:val="fr-CA"/>
        </w:rPr>
        <w:t xml:space="preserve"> rejeté, les juges Abella et Côté sont dissidentes</w:t>
      </w:r>
      <w:r w:rsidRPr="00AA33D3">
        <w:rPr>
          <w:lang w:val="fr-CA"/>
        </w:rPr>
        <w:t>.</w:t>
      </w:r>
    </w:p>
    <w:p w:rsidR="0000429B" w:rsidRPr="00AA33D3" w:rsidRDefault="002C2D76" w:rsidP="00987CB6">
      <w:pPr>
        <w:pStyle w:val="SCCNormalDoubleSpacing"/>
        <w:widowControl w:val="0"/>
        <w:spacing w:before="480" w:after="480"/>
        <w:rPr>
          <w:lang w:val="fr-CA"/>
        </w:rPr>
      </w:pPr>
      <w:r w:rsidRPr="00AA33D3">
        <w:rPr>
          <w:rStyle w:val="SCCCounselNameChar"/>
          <w:i w:val="0"/>
          <w:lang w:val="fr-CA"/>
        </w:rPr>
        <w:tab/>
      </w:r>
      <w:r w:rsidRPr="00AA33D3">
        <w:rPr>
          <w:rStyle w:val="SCCCounselNameChar"/>
          <w:lang w:val="fr-CA"/>
        </w:rPr>
        <w:t>Charles R. Huband</w:t>
      </w:r>
      <w:r w:rsidRPr="00AA33D3">
        <w:rPr>
          <w:rStyle w:val="SCCCounselSeparatorChar"/>
          <w:lang w:val="fr-CA"/>
        </w:rPr>
        <w:t xml:space="preserve"> et </w:t>
      </w:r>
      <w:r w:rsidRPr="00AA33D3">
        <w:rPr>
          <w:rStyle w:val="SCCCounselNameChar"/>
          <w:lang w:val="fr-CA"/>
        </w:rPr>
        <w:t>Kevin T. Williams</w:t>
      </w:r>
      <w:r w:rsidR="00A120BD" w:rsidRPr="00AA33D3">
        <w:rPr>
          <w:rStyle w:val="SCCCounselPartyRoleChar"/>
          <w:lang w:val="fr-CA"/>
        </w:rPr>
        <w:t>, pour l</w:t>
      </w:r>
      <w:r w:rsidR="00AA33D3">
        <w:rPr>
          <w:rStyle w:val="SCCCounselPartyRoleChar"/>
          <w:lang w:val="fr-CA"/>
        </w:rPr>
        <w:t>’</w:t>
      </w:r>
      <w:r w:rsidR="00A120BD" w:rsidRPr="00AA33D3">
        <w:rPr>
          <w:rStyle w:val="SCCCounselPartyRoleChar"/>
          <w:lang w:val="fr-CA"/>
        </w:rPr>
        <w:t>appelant.</w:t>
      </w:r>
    </w:p>
    <w:p w:rsidR="0000429B" w:rsidRPr="00AA33D3" w:rsidRDefault="002C2D76" w:rsidP="00987CB6">
      <w:pPr>
        <w:pStyle w:val="SCCNormalDoubleSpacing"/>
        <w:widowControl w:val="0"/>
        <w:spacing w:before="480" w:after="480"/>
        <w:rPr>
          <w:lang w:val="fr-CA"/>
        </w:rPr>
      </w:pPr>
      <w:r w:rsidRPr="00AA33D3">
        <w:rPr>
          <w:rStyle w:val="SCCCounselNameChar"/>
          <w:i w:val="0"/>
          <w:lang w:val="fr-CA"/>
        </w:rPr>
        <w:tab/>
      </w:r>
      <w:r w:rsidRPr="00AA33D3">
        <w:rPr>
          <w:rStyle w:val="SCCCounselNameChar"/>
          <w:lang w:val="fr-CA"/>
        </w:rPr>
        <w:t>Rocky Kravetsky</w:t>
      </w:r>
      <w:r w:rsidRPr="00AA33D3">
        <w:rPr>
          <w:rStyle w:val="SCCCounselPartyRoleChar"/>
          <w:lang w:val="fr-CA"/>
        </w:rPr>
        <w:t xml:space="preserve"> et </w:t>
      </w:r>
      <w:r w:rsidRPr="00AA33D3">
        <w:rPr>
          <w:rStyle w:val="SCCCounselPartyRoleChar"/>
          <w:i/>
          <w:lang w:val="fr-CA"/>
        </w:rPr>
        <w:t>Jeffrey W. Beedell</w:t>
      </w:r>
      <w:r w:rsidR="00A120BD" w:rsidRPr="00AA33D3">
        <w:rPr>
          <w:rStyle w:val="SCCCounselPartyRoleChar"/>
          <w:lang w:val="fr-CA"/>
        </w:rPr>
        <w:t>, pour l</w:t>
      </w:r>
      <w:r w:rsidR="00AA33D3">
        <w:rPr>
          <w:rStyle w:val="SCCCounselPartyRoleChar"/>
          <w:lang w:val="fr-CA"/>
        </w:rPr>
        <w:t>’</w:t>
      </w:r>
      <w:r w:rsidR="00A120BD" w:rsidRPr="00AA33D3">
        <w:rPr>
          <w:rStyle w:val="SCCCounselPartyRoleChar"/>
          <w:lang w:val="fr-CA"/>
        </w:rPr>
        <w:t>intimée.</w:t>
      </w:r>
    </w:p>
    <w:p w:rsidR="0000429B" w:rsidRDefault="002C2D76" w:rsidP="00987CB6">
      <w:pPr>
        <w:pStyle w:val="SCCNormalDoubleSpacing"/>
        <w:widowControl w:val="0"/>
        <w:spacing w:before="480" w:after="480"/>
        <w:rPr>
          <w:rStyle w:val="SCCCounselPartyRoleChar"/>
          <w:lang w:val="fr-CA"/>
        </w:rPr>
      </w:pPr>
      <w:r w:rsidRPr="00AA33D3">
        <w:rPr>
          <w:rStyle w:val="SCCCounselNameChar"/>
          <w:i w:val="0"/>
          <w:lang w:val="fr-CA"/>
        </w:rPr>
        <w:tab/>
      </w:r>
      <w:r w:rsidRPr="00AA33D3">
        <w:rPr>
          <w:rStyle w:val="SCCCounselNameChar"/>
          <w:lang w:val="fr-CA"/>
        </w:rPr>
        <w:t>Neil Finkelstein</w:t>
      </w:r>
      <w:r w:rsidRPr="00AA33D3">
        <w:rPr>
          <w:rStyle w:val="SCCCounselSeparatorChar"/>
          <w:lang w:val="fr-CA"/>
        </w:rPr>
        <w:t xml:space="preserve"> et </w:t>
      </w:r>
      <w:r w:rsidRPr="00AA33D3">
        <w:rPr>
          <w:rStyle w:val="SCCCounselNameChar"/>
          <w:lang w:val="fr-CA"/>
        </w:rPr>
        <w:t>Brandon Kain</w:t>
      </w:r>
      <w:r w:rsidR="00A120BD" w:rsidRPr="00AA33D3">
        <w:rPr>
          <w:rStyle w:val="SCCCounselPartyRoleChar"/>
          <w:lang w:val="fr-CA"/>
        </w:rPr>
        <w:t>, pour l</w:t>
      </w:r>
      <w:r w:rsidR="00AA33D3">
        <w:rPr>
          <w:rStyle w:val="SCCCounselPartyRoleChar"/>
          <w:lang w:val="fr-CA"/>
        </w:rPr>
        <w:t>’</w:t>
      </w:r>
      <w:r w:rsidR="00A120BD" w:rsidRPr="00AA33D3">
        <w:rPr>
          <w:rStyle w:val="SCCCounselPartyRoleChar"/>
          <w:lang w:val="fr-CA"/>
        </w:rPr>
        <w:t>intervenante.</w:t>
      </w:r>
    </w:p>
    <w:p w:rsidR="00520294" w:rsidRPr="00490C55" w:rsidRDefault="00490C55" w:rsidP="00987CB6">
      <w:pPr>
        <w:pStyle w:val="JudgeJuge"/>
        <w:widowControl w:val="0"/>
        <w:spacing w:before="480"/>
        <w:rPr>
          <w:smallCaps w:val="0"/>
          <w:lang w:val="fr-CA"/>
        </w:rPr>
      </w:pPr>
      <w:r>
        <w:rPr>
          <w:smallCaps w:val="0"/>
          <w:lang w:val="fr-CA"/>
        </w:rPr>
        <w:tab/>
      </w:r>
      <w:r w:rsidR="00520294" w:rsidRPr="00490C55">
        <w:rPr>
          <w:smallCaps w:val="0"/>
          <w:lang w:val="fr-CA"/>
        </w:rPr>
        <w:t>Version française du jugement de la juge en chef McLachlin et des juges Moldaver, Karakatsanis, Wagner et Gascon rendu par</w:t>
      </w:r>
    </w:p>
    <w:p w:rsidR="00520294" w:rsidRPr="00CB18F4" w:rsidRDefault="00520294" w:rsidP="00987CB6">
      <w:pPr>
        <w:pStyle w:val="JudgeJuge"/>
        <w:widowControl w:val="0"/>
        <w:spacing w:before="480"/>
        <w:rPr>
          <w:lang w:val="fr-CA"/>
        </w:rPr>
      </w:pPr>
      <w:r w:rsidRPr="00CB18F4">
        <w:rPr>
          <w:lang w:val="fr-CA"/>
        </w:rPr>
        <w:tab/>
        <w:t xml:space="preserve">Le juge Wagner — </w:t>
      </w:r>
    </w:p>
    <w:p w:rsidR="00520294" w:rsidRPr="00CB18F4" w:rsidRDefault="00520294" w:rsidP="00987CB6">
      <w:pPr>
        <w:pStyle w:val="Title1LevelTitre1Niveau-AltL"/>
        <w:widowControl w:val="0"/>
        <w:spacing w:before="0"/>
        <w:rPr>
          <w:rFonts w:cs="Times New Roman"/>
          <w:lang w:val="fr-CA"/>
        </w:rPr>
      </w:pPr>
      <w:r w:rsidRPr="00CB18F4">
        <w:rPr>
          <w:rFonts w:cs="Times New Roman"/>
          <w:lang w:val="fr-CA"/>
        </w:rPr>
        <w:lastRenderedPageBreak/>
        <w:t>Introduction</w:t>
      </w:r>
    </w:p>
    <w:p w:rsidR="00520294" w:rsidRPr="00CB18F4" w:rsidRDefault="00520294" w:rsidP="00987CB6">
      <w:pPr>
        <w:pStyle w:val="ParaNoNdepar-AltN"/>
        <w:widowControl w:val="0"/>
        <w:rPr>
          <w:rFonts w:cs="Times New Roman"/>
          <w:lang w:val="fr-CA"/>
        </w:rPr>
      </w:pPr>
      <w:r w:rsidRPr="00CB18F4">
        <w:rPr>
          <w:rFonts w:cs="Times New Roman"/>
          <w:lang w:val="fr-CA"/>
        </w:rPr>
        <w:t>La formation professionnelle des avocats est un processus continu. Les lois sont modifiées, la common law évolue et les normes de pratique changent en raison des progrès de la technologie et d</w:t>
      </w:r>
      <w:r>
        <w:rPr>
          <w:rFonts w:cs="Times New Roman"/>
          <w:lang w:val="fr-CA"/>
        </w:rPr>
        <w:t>’</w:t>
      </w:r>
      <w:r w:rsidRPr="00CB18F4">
        <w:rPr>
          <w:rFonts w:cs="Times New Roman"/>
          <w:lang w:val="fr-CA"/>
        </w:rPr>
        <w:t>autres facteurs. Les avocats doivent veiller à tenir leurs connaissances à jour et à renforcer leurs compétences, et ils doivent s</w:t>
      </w:r>
      <w:r>
        <w:rPr>
          <w:rFonts w:cs="Times New Roman"/>
          <w:lang w:val="fr-CA"/>
        </w:rPr>
        <w:t>’</w:t>
      </w:r>
      <w:r w:rsidRPr="00CB18F4">
        <w:rPr>
          <w:rFonts w:cs="Times New Roman"/>
          <w:lang w:val="fr-CA"/>
        </w:rPr>
        <w:t>assurer que l</w:t>
      </w:r>
      <w:r>
        <w:rPr>
          <w:rFonts w:cs="Times New Roman"/>
          <w:lang w:val="fr-CA"/>
        </w:rPr>
        <w:t>’</w:t>
      </w:r>
      <w:r w:rsidRPr="00CB18F4">
        <w:rPr>
          <w:rFonts w:cs="Times New Roman"/>
          <w:lang w:val="fr-CA"/>
        </w:rPr>
        <w:t>exercice de leur profession est toujours respectueux des normes déontologiques et professionnelles.</w:t>
      </w:r>
    </w:p>
    <w:p w:rsidR="00520294" w:rsidRPr="00CB18F4" w:rsidRDefault="00520294" w:rsidP="00987CB6">
      <w:pPr>
        <w:pStyle w:val="ParaNoNdepar-AltN"/>
        <w:widowControl w:val="0"/>
        <w:rPr>
          <w:rFonts w:cs="Times New Roman"/>
          <w:lang w:val="fr-CA"/>
        </w:rPr>
      </w:pPr>
      <w:r w:rsidRPr="00CB18F4">
        <w:rPr>
          <w:rFonts w:cs="Times New Roman"/>
          <w:lang w:val="fr-CA"/>
        </w:rPr>
        <w:t>Ce pourvoi porte sur un élément fondamental de la formation continue des avocats, soit le perfectionnement professionnel permanent (« PPP »). La question à trancher est celle de savoir si La Soc</w:t>
      </w:r>
      <w:r w:rsidR="00490C55">
        <w:rPr>
          <w:rFonts w:cs="Times New Roman"/>
          <w:lang w:val="fr-CA"/>
        </w:rPr>
        <w:t>iété du Barreau du Manitoba (</w:t>
      </w:r>
      <w:r w:rsidRPr="00CB18F4">
        <w:rPr>
          <w:rFonts w:cs="Times New Roman"/>
          <w:lang w:val="fr-CA"/>
        </w:rPr>
        <w:t>« Barreau ») peut imposer des règles selon lesquelles le manquement par un avocat aux exigences d</w:t>
      </w:r>
      <w:r>
        <w:rPr>
          <w:rFonts w:cs="Times New Roman"/>
          <w:lang w:val="fr-CA"/>
        </w:rPr>
        <w:t>’</w:t>
      </w:r>
      <w:r w:rsidRPr="00CB18F4">
        <w:rPr>
          <w:rFonts w:cs="Times New Roman"/>
          <w:lang w:val="fr-CA"/>
        </w:rPr>
        <w:t>un programme de PPP obligatoire est susceptible d</w:t>
      </w:r>
      <w:r>
        <w:rPr>
          <w:rFonts w:cs="Times New Roman"/>
          <w:lang w:val="fr-CA"/>
        </w:rPr>
        <w:t>’</w:t>
      </w:r>
      <w:r w:rsidRPr="00CB18F4">
        <w:rPr>
          <w:rFonts w:cs="Times New Roman"/>
          <w:lang w:val="fr-CA"/>
        </w:rPr>
        <w:t>entraîner la suspension de son droit de pratique.</w:t>
      </w:r>
    </w:p>
    <w:p w:rsidR="00520294" w:rsidRPr="00CB18F4" w:rsidRDefault="00520294" w:rsidP="00987CB6">
      <w:pPr>
        <w:pStyle w:val="ParaNoNdepar-AltN"/>
        <w:widowControl w:val="0"/>
        <w:rPr>
          <w:rFonts w:cs="Times New Roman"/>
          <w:lang w:val="fr-CA"/>
        </w:rPr>
      </w:pPr>
      <w:r w:rsidRPr="00CB18F4">
        <w:rPr>
          <w:rFonts w:cs="Times New Roman"/>
          <w:lang w:val="fr-CA"/>
        </w:rPr>
        <w:t>À l</w:t>
      </w:r>
      <w:r>
        <w:rPr>
          <w:rFonts w:cs="Times New Roman"/>
          <w:lang w:val="fr-CA"/>
        </w:rPr>
        <w:t>’</w:t>
      </w:r>
      <w:r w:rsidRPr="00CB18F4">
        <w:rPr>
          <w:rFonts w:cs="Times New Roman"/>
          <w:lang w:val="fr-CA"/>
        </w:rPr>
        <w:t>instar des tribunaux d</w:t>
      </w:r>
      <w:r>
        <w:rPr>
          <w:rFonts w:cs="Times New Roman"/>
          <w:lang w:val="fr-CA"/>
        </w:rPr>
        <w:t>’</w:t>
      </w:r>
      <w:r w:rsidRPr="00CB18F4">
        <w:rPr>
          <w:rFonts w:cs="Times New Roman"/>
          <w:lang w:val="fr-CA"/>
        </w:rPr>
        <w:t>instances inférieures, je suis d</w:t>
      </w:r>
      <w:r>
        <w:rPr>
          <w:rFonts w:cs="Times New Roman"/>
          <w:lang w:val="fr-CA"/>
        </w:rPr>
        <w:t>’</w:t>
      </w:r>
      <w:r w:rsidRPr="00CB18F4">
        <w:rPr>
          <w:rFonts w:cs="Times New Roman"/>
          <w:lang w:val="fr-CA"/>
        </w:rPr>
        <w:t>avis que le Barreau possède un tel pouvoir. En effet, il est légalement tenu de protéger les membres du public qui souhaitent obtenir des services juridiques en établissant des normes de formation pour les avocats en exercice et en les faisant respecter. Les programmes de PPP servent cet intérêt public et permettent d</w:t>
      </w:r>
      <w:r>
        <w:rPr>
          <w:rFonts w:cs="Times New Roman"/>
          <w:lang w:val="fr-CA"/>
        </w:rPr>
        <w:t>’</w:t>
      </w:r>
      <w:r w:rsidRPr="00CB18F4">
        <w:rPr>
          <w:rFonts w:cs="Times New Roman"/>
          <w:lang w:val="fr-CA"/>
        </w:rPr>
        <w:t xml:space="preserve">accroître la confiance du public envers la profession juridique en exigeant que les avocats participent, de façon continue, à des activités qui rehaussent leurs compétences, leur intégrité et leur professionnalisme. Les programmes de PPP sont de fait devenus un aspect essentiel de la formation </w:t>
      </w:r>
      <w:r w:rsidRPr="00CB18F4">
        <w:rPr>
          <w:rFonts w:cs="Times New Roman"/>
          <w:lang w:val="fr-CA"/>
        </w:rPr>
        <w:lastRenderedPageBreak/>
        <w:t>professionnelle au Canada et la plupart des barreaux canadiens ont d</w:t>
      </w:r>
      <w:r>
        <w:rPr>
          <w:rFonts w:cs="Times New Roman"/>
          <w:lang w:val="fr-CA"/>
        </w:rPr>
        <w:t>’</w:t>
      </w:r>
      <w:r w:rsidRPr="00CB18F4">
        <w:rPr>
          <w:rFonts w:cs="Times New Roman"/>
          <w:lang w:val="fr-CA"/>
        </w:rPr>
        <w:t>ailleurs mis en œuvre des programmes obligatoires de PPP.</w:t>
      </w:r>
    </w:p>
    <w:p w:rsidR="00520294" w:rsidRPr="00CB18F4" w:rsidRDefault="00520294" w:rsidP="00987CB6">
      <w:pPr>
        <w:pStyle w:val="ParaNoNdepar-AltN"/>
        <w:widowControl w:val="0"/>
        <w:rPr>
          <w:rFonts w:cs="Times New Roman"/>
          <w:lang w:val="fr-CA"/>
        </w:rPr>
      </w:pPr>
      <w:r w:rsidRPr="00CB18F4">
        <w:rPr>
          <w:rFonts w:cs="Times New Roman"/>
          <w:lang w:val="fr-CA"/>
        </w:rPr>
        <w:t>Cela dit, les normes de formation ne peuvent assurer l</w:t>
      </w:r>
      <w:r>
        <w:rPr>
          <w:rFonts w:cs="Times New Roman"/>
          <w:lang w:val="fr-CA"/>
        </w:rPr>
        <w:t>’</w:t>
      </w:r>
      <w:r w:rsidRPr="00CB18F4">
        <w:rPr>
          <w:rFonts w:cs="Times New Roman"/>
          <w:lang w:val="fr-CA"/>
        </w:rPr>
        <w:t>excellence des services juridiques que si les membres du Barreau s</w:t>
      </w:r>
      <w:r>
        <w:rPr>
          <w:rFonts w:cs="Times New Roman"/>
          <w:lang w:val="fr-CA"/>
        </w:rPr>
        <w:t>’</w:t>
      </w:r>
      <w:r w:rsidRPr="00CB18F4">
        <w:rPr>
          <w:rFonts w:cs="Times New Roman"/>
          <w:lang w:val="fr-CA"/>
        </w:rPr>
        <w:t>y conforment. Si un avocat omet de compléter le nombre d</w:t>
      </w:r>
      <w:r>
        <w:rPr>
          <w:rFonts w:cs="Times New Roman"/>
          <w:lang w:val="fr-CA"/>
        </w:rPr>
        <w:t>’</w:t>
      </w:r>
      <w:r w:rsidRPr="00CB18F4">
        <w:rPr>
          <w:rFonts w:cs="Times New Roman"/>
          <w:lang w:val="fr-CA"/>
        </w:rPr>
        <w:t>heures de formation requis (« heures de PPP »), même après avoir été averti de son manquement, sa suspension temporaire jusqu</w:t>
      </w:r>
      <w:r>
        <w:rPr>
          <w:rFonts w:cs="Times New Roman"/>
          <w:lang w:val="fr-CA"/>
        </w:rPr>
        <w:t>’</w:t>
      </w:r>
      <w:r w:rsidRPr="00CB18F4">
        <w:rPr>
          <w:rFonts w:cs="Times New Roman"/>
          <w:lang w:val="fr-CA"/>
        </w:rPr>
        <w:t>à ce qu</w:t>
      </w:r>
      <w:r>
        <w:rPr>
          <w:rFonts w:cs="Times New Roman"/>
          <w:lang w:val="fr-CA"/>
        </w:rPr>
        <w:t>’</w:t>
      </w:r>
      <w:r w:rsidRPr="00CB18F4">
        <w:rPr>
          <w:rFonts w:cs="Times New Roman"/>
          <w:lang w:val="fr-CA"/>
        </w:rPr>
        <w:t>il les ait respectées est une façon raisonnable d</w:t>
      </w:r>
      <w:r>
        <w:rPr>
          <w:rFonts w:cs="Times New Roman"/>
          <w:lang w:val="fr-CA"/>
        </w:rPr>
        <w:t>’</w:t>
      </w:r>
      <w:r w:rsidRPr="00CB18F4">
        <w:rPr>
          <w:rFonts w:cs="Times New Roman"/>
          <w:lang w:val="fr-CA"/>
        </w:rPr>
        <w:t>en assurer la conformité. Cette suspension est de nature administrative, et non punitive.</w:t>
      </w:r>
    </w:p>
    <w:p w:rsidR="00520294" w:rsidRPr="00CB18F4" w:rsidRDefault="00520294" w:rsidP="00987CB6">
      <w:pPr>
        <w:pStyle w:val="ParaNoNdepar-AltN"/>
        <w:widowControl w:val="0"/>
        <w:rPr>
          <w:rFonts w:cs="Times New Roman"/>
          <w:lang w:val="fr-CA"/>
        </w:rPr>
      </w:pPr>
      <w:r w:rsidRPr="00CB18F4">
        <w:rPr>
          <w:rFonts w:cs="Times New Roman"/>
          <w:lang w:val="fr-CA"/>
        </w:rPr>
        <w:t>Ce pourvoi doit être rejeté. Les règles contestées relatives au PPP sont raisonnables compte tenu de l</w:t>
      </w:r>
      <w:r>
        <w:rPr>
          <w:rFonts w:cs="Times New Roman"/>
          <w:lang w:val="fr-CA"/>
        </w:rPr>
        <w:t>’</w:t>
      </w:r>
      <w:r w:rsidRPr="00CB18F4">
        <w:rPr>
          <w:rFonts w:cs="Times New Roman"/>
          <w:lang w:val="fr-CA"/>
        </w:rPr>
        <w:t>importance des programmes de PPP et du vaste pouvoir du Barreau d</w:t>
      </w:r>
      <w:r>
        <w:rPr>
          <w:rFonts w:cs="Times New Roman"/>
          <w:lang w:val="fr-CA"/>
        </w:rPr>
        <w:t>’</w:t>
      </w:r>
      <w:r w:rsidRPr="00CB18F4">
        <w:rPr>
          <w:rFonts w:cs="Times New Roman"/>
          <w:lang w:val="fr-CA"/>
        </w:rPr>
        <w:t>adopter des règles pour établir des normes de formation.</w:t>
      </w:r>
    </w:p>
    <w:p w:rsidR="00520294" w:rsidRPr="00CB18F4" w:rsidRDefault="00520294" w:rsidP="00987CB6">
      <w:pPr>
        <w:pStyle w:val="Title1LevelTitre1Niveau-AltL"/>
        <w:widowControl w:val="0"/>
        <w:rPr>
          <w:rFonts w:cs="Times New Roman"/>
          <w:lang w:val="fr-CA"/>
        </w:rPr>
      </w:pPr>
      <w:r w:rsidRPr="00CB18F4">
        <w:rPr>
          <w:rFonts w:cs="Times New Roman"/>
          <w:lang w:val="fr-CA"/>
        </w:rPr>
        <w:t>Faits</w:t>
      </w:r>
    </w:p>
    <w:p w:rsidR="00520294" w:rsidRPr="00CB18F4" w:rsidRDefault="00520294" w:rsidP="00987CB6">
      <w:pPr>
        <w:pStyle w:val="ParaNoNdepar-AltN"/>
        <w:widowControl w:val="0"/>
        <w:rPr>
          <w:rFonts w:cs="Times New Roman"/>
          <w:lang w:val="fr-CA"/>
        </w:rPr>
      </w:pPr>
      <w:r w:rsidRPr="00CB18F4">
        <w:rPr>
          <w:rFonts w:cs="Times New Roman"/>
          <w:lang w:val="fr-CA"/>
        </w:rPr>
        <w:t>L</w:t>
      </w:r>
      <w:r>
        <w:rPr>
          <w:rFonts w:cs="Times New Roman"/>
          <w:lang w:val="fr-CA"/>
        </w:rPr>
        <w:t>’</w:t>
      </w:r>
      <w:r w:rsidRPr="00CB18F4">
        <w:rPr>
          <w:rFonts w:cs="Times New Roman"/>
          <w:lang w:val="fr-CA"/>
        </w:rPr>
        <w:t>appelant, M. Sidney Green, a été admis au barreau du Manitoba en 1955. Il exerce sa profession et est membre du Barreau depuis plus de 60 ans. Il a déjà été conseiller du Barreau</w:t>
      </w:r>
      <w:r w:rsidRPr="007A2C96">
        <w:rPr>
          <w:rStyle w:val="Hyperlink"/>
          <w:u w:val="none"/>
          <w:vertAlign w:val="superscript"/>
        </w:rPr>
        <w:footnoteReference w:id="1"/>
      </w:r>
      <w:r w:rsidRPr="00CB18F4">
        <w:rPr>
          <w:rFonts w:cs="Times New Roman"/>
          <w:lang w:val="fr-CA"/>
        </w:rPr>
        <w:t>; il a aussi participé à de nombreux programmes de PPP et y a prononcé des conférences. Il n</w:t>
      </w:r>
      <w:r>
        <w:rPr>
          <w:rFonts w:cs="Times New Roman"/>
          <w:lang w:val="fr-CA"/>
        </w:rPr>
        <w:t>’</w:t>
      </w:r>
      <w:r w:rsidRPr="00CB18F4">
        <w:rPr>
          <w:rFonts w:cs="Times New Roman"/>
          <w:lang w:val="fr-CA"/>
        </w:rPr>
        <w:t>a aucun dossier disciplinaire, et ne fait face à aucune accusation d</w:t>
      </w:r>
      <w:r>
        <w:rPr>
          <w:rFonts w:cs="Times New Roman"/>
          <w:lang w:val="fr-CA"/>
        </w:rPr>
        <w:t>’</w:t>
      </w:r>
      <w:r w:rsidRPr="00CB18F4">
        <w:rPr>
          <w:rFonts w:cs="Times New Roman"/>
          <w:lang w:val="fr-CA"/>
        </w:rPr>
        <w:t xml:space="preserve">infraction disciplinaire. </w:t>
      </w:r>
    </w:p>
    <w:p w:rsidR="00520294" w:rsidRPr="00CB18F4" w:rsidRDefault="00520294" w:rsidP="00987CB6">
      <w:pPr>
        <w:pStyle w:val="ParaNoNdepar-AltN"/>
        <w:widowControl w:val="0"/>
        <w:rPr>
          <w:rFonts w:cs="Times New Roman"/>
          <w:lang w:val="fr-CA"/>
        </w:rPr>
      </w:pPr>
      <w:r w:rsidRPr="00CB18F4">
        <w:rPr>
          <w:rFonts w:cs="Times New Roman"/>
          <w:lang w:val="fr-CA"/>
        </w:rPr>
        <w:lastRenderedPageBreak/>
        <w:t>En l</w:t>
      </w:r>
      <w:r>
        <w:rPr>
          <w:rFonts w:cs="Times New Roman"/>
          <w:lang w:val="fr-CA"/>
        </w:rPr>
        <w:t>’</w:t>
      </w:r>
      <w:r w:rsidRPr="00CB18F4">
        <w:rPr>
          <w:rFonts w:cs="Times New Roman"/>
          <w:lang w:val="fr-CA"/>
        </w:rPr>
        <w:t xml:space="preserve">espèce, M. Green conteste les </w:t>
      </w:r>
      <w:r w:rsidRPr="00CB18F4">
        <w:rPr>
          <w:rFonts w:cs="Times New Roman"/>
          <w:i/>
          <w:lang w:val="fr-CA"/>
        </w:rPr>
        <w:t xml:space="preserve">Règles de </w:t>
      </w:r>
      <w:r w:rsidR="00780DBF">
        <w:rPr>
          <w:rFonts w:cs="Times New Roman"/>
          <w:i/>
          <w:lang w:val="fr-CA"/>
        </w:rPr>
        <w:t>l</w:t>
      </w:r>
      <w:r w:rsidRPr="00CB18F4">
        <w:rPr>
          <w:rFonts w:cs="Times New Roman"/>
          <w:i/>
          <w:lang w:val="fr-CA"/>
        </w:rPr>
        <w:t>a Société du Barreau du Manitoba</w:t>
      </w:r>
      <w:r w:rsidRPr="00CB18F4">
        <w:rPr>
          <w:rFonts w:cs="Times New Roman"/>
          <w:lang w:val="fr-CA"/>
        </w:rPr>
        <w:t xml:space="preserve"> (« Règles ») qui rendent le programme de PPP obligatoire. Ce programme n</w:t>
      </w:r>
      <w:r>
        <w:rPr>
          <w:rFonts w:cs="Times New Roman"/>
          <w:lang w:val="fr-CA"/>
        </w:rPr>
        <w:t>’</w:t>
      </w:r>
      <w:r w:rsidRPr="00CB18F4">
        <w:rPr>
          <w:rFonts w:cs="Times New Roman"/>
          <w:lang w:val="fr-CA"/>
        </w:rPr>
        <w:t>a pas toujours été obligatoire au Manitoba. D</w:t>
      </w:r>
      <w:r>
        <w:rPr>
          <w:rFonts w:cs="Times New Roman"/>
          <w:lang w:val="fr-CA"/>
        </w:rPr>
        <w:t>’</w:t>
      </w:r>
      <w:r w:rsidRPr="00CB18F4">
        <w:rPr>
          <w:rFonts w:cs="Times New Roman"/>
          <w:lang w:val="fr-CA"/>
        </w:rPr>
        <w:t>abord, en 2007, les conseillers ont approuvé des règles selon lesquelles tous les avocats devaient obligatoirement déclarer les heures qu</w:t>
      </w:r>
      <w:r>
        <w:rPr>
          <w:rFonts w:cs="Times New Roman"/>
          <w:lang w:val="fr-CA"/>
        </w:rPr>
        <w:t>’</w:t>
      </w:r>
      <w:r w:rsidRPr="00CB18F4">
        <w:rPr>
          <w:rFonts w:cs="Times New Roman"/>
          <w:lang w:val="fr-CA"/>
        </w:rPr>
        <w:t>ils avaient consacrées au P</w:t>
      </w:r>
      <w:r>
        <w:rPr>
          <w:rFonts w:cs="Times New Roman"/>
          <w:lang w:val="fr-CA"/>
        </w:rPr>
        <w:t>PP. </w:t>
      </w:r>
      <w:r w:rsidRPr="00CB18F4">
        <w:rPr>
          <w:rFonts w:cs="Times New Roman"/>
          <w:lang w:val="fr-CA"/>
        </w:rPr>
        <w:t>Le Barreau a colligé et évalué ces déclarations sur une période de deux ans. Bon nombre de membres ont déclaré n</w:t>
      </w:r>
      <w:r>
        <w:rPr>
          <w:rFonts w:cs="Times New Roman"/>
          <w:lang w:val="fr-CA"/>
        </w:rPr>
        <w:t>’</w:t>
      </w:r>
      <w:r w:rsidRPr="00CB18F4">
        <w:rPr>
          <w:rFonts w:cs="Times New Roman"/>
          <w:lang w:val="fr-CA"/>
        </w:rPr>
        <w:t>avoir participé à aucune activité de perfectionnement professionnel, ou d</w:t>
      </w:r>
      <w:r>
        <w:rPr>
          <w:rFonts w:cs="Times New Roman"/>
          <w:lang w:val="fr-CA"/>
        </w:rPr>
        <w:t>’</w:t>
      </w:r>
      <w:r w:rsidRPr="00CB18F4">
        <w:rPr>
          <w:rFonts w:cs="Times New Roman"/>
          <w:lang w:val="fr-CA"/>
        </w:rPr>
        <w:t>y avoir consacré moins d</w:t>
      </w:r>
      <w:r>
        <w:rPr>
          <w:rFonts w:cs="Times New Roman"/>
          <w:lang w:val="fr-CA"/>
        </w:rPr>
        <w:t>’</w:t>
      </w:r>
      <w:r w:rsidRPr="00CB18F4">
        <w:rPr>
          <w:rFonts w:cs="Times New Roman"/>
          <w:lang w:val="fr-CA"/>
        </w:rPr>
        <w:t>u</w:t>
      </w:r>
      <w:r w:rsidR="00490C55">
        <w:rPr>
          <w:rFonts w:cs="Times New Roman"/>
          <w:lang w:val="fr-CA"/>
        </w:rPr>
        <w:t>ne heure par mois. Ensuite, le C</w:t>
      </w:r>
      <w:r w:rsidRPr="00CB18F4">
        <w:rPr>
          <w:rFonts w:cs="Times New Roman"/>
          <w:lang w:val="fr-CA"/>
        </w:rPr>
        <w:t>omité des admissions et de la formation professionnelle du Barreau (« Comité ») a recommandé que les conseillers adoptent un programme de PPP obligatoire. À cette époque, le directeur général du Barreau a également avisé les conseillers que le PPP volontaire ne fonctionnait pas.</w:t>
      </w:r>
    </w:p>
    <w:p w:rsidR="00520294" w:rsidRPr="00CB18F4" w:rsidRDefault="00520294" w:rsidP="00987CB6">
      <w:pPr>
        <w:pStyle w:val="ParaNoNdepar-AltN"/>
        <w:widowControl w:val="0"/>
        <w:rPr>
          <w:rFonts w:cs="Times New Roman"/>
          <w:lang w:val="fr-CA"/>
        </w:rPr>
      </w:pPr>
      <w:r w:rsidRPr="00CB18F4">
        <w:rPr>
          <w:rFonts w:cs="Times New Roman"/>
          <w:lang w:val="fr-CA"/>
        </w:rPr>
        <w:t>De la fin mars 2010 à mai 2011, tout en consultant les membres, les conseillers ont examiné l</w:t>
      </w:r>
      <w:r>
        <w:rPr>
          <w:rFonts w:cs="Times New Roman"/>
          <w:lang w:val="fr-CA"/>
        </w:rPr>
        <w:t>’</w:t>
      </w:r>
      <w:r w:rsidRPr="00CB18F4">
        <w:rPr>
          <w:rFonts w:cs="Times New Roman"/>
          <w:lang w:val="fr-CA"/>
        </w:rPr>
        <w:t>opportunité de rendre le programme de PPP obligatoire. Au cours de cette période, ces derniers et les membres du Comité se sont chacun réunis à plusieurs reprises et ont reçu divers commentaires et suggestions. En aucun temps M. Green n</w:t>
      </w:r>
      <w:r>
        <w:rPr>
          <w:rFonts w:cs="Times New Roman"/>
          <w:lang w:val="fr-CA"/>
        </w:rPr>
        <w:t>’</w:t>
      </w:r>
      <w:r w:rsidRPr="00CB18F4">
        <w:rPr>
          <w:rFonts w:cs="Times New Roman"/>
          <w:lang w:val="fr-CA"/>
        </w:rPr>
        <w:t>a</w:t>
      </w:r>
      <w:r>
        <w:rPr>
          <w:rFonts w:cs="Times New Roman"/>
          <w:lang w:val="fr-CA"/>
        </w:rPr>
        <w:noBreakHyphen/>
      </w:r>
      <w:r w:rsidRPr="00CB18F4">
        <w:rPr>
          <w:rFonts w:cs="Times New Roman"/>
          <w:lang w:val="fr-CA"/>
        </w:rPr>
        <w:t>t</w:t>
      </w:r>
      <w:r>
        <w:rPr>
          <w:rFonts w:cs="Times New Roman"/>
          <w:lang w:val="fr-CA"/>
        </w:rPr>
        <w:noBreakHyphen/>
      </w:r>
      <w:r w:rsidRPr="00CB18F4">
        <w:rPr>
          <w:rFonts w:cs="Times New Roman"/>
          <w:lang w:val="fr-CA"/>
        </w:rPr>
        <w:t>il présenté d</w:t>
      </w:r>
      <w:r>
        <w:rPr>
          <w:rFonts w:cs="Times New Roman"/>
          <w:lang w:val="fr-CA"/>
        </w:rPr>
        <w:t>’</w:t>
      </w:r>
      <w:r w:rsidRPr="00CB18F4">
        <w:rPr>
          <w:rFonts w:cs="Times New Roman"/>
          <w:lang w:val="fr-CA"/>
        </w:rPr>
        <w:t>observation aux conseillers concernant les exigences de PPP proposées, bien que le Barreau ait invité ses membres à le faire.</w:t>
      </w:r>
    </w:p>
    <w:p w:rsidR="00520294" w:rsidRPr="00CB18F4" w:rsidRDefault="00520294" w:rsidP="00987CB6">
      <w:pPr>
        <w:pStyle w:val="ParaNoNdepar-AltN"/>
        <w:widowControl w:val="0"/>
        <w:rPr>
          <w:rFonts w:cs="Times New Roman"/>
          <w:lang w:val="fr-CA"/>
        </w:rPr>
      </w:pPr>
      <w:r w:rsidRPr="00CB18F4">
        <w:rPr>
          <w:rFonts w:cs="Times New Roman"/>
          <w:lang w:val="fr-CA"/>
        </w:rPr>
        <w:t>Par la suite, les conseillers ont approuvé les exigences du PPP obligatoire et ont modifié les Règles afin qu</w:t>
      </w:r>
      <w:r>
        <w:rPr>
          <w:rFonts w:cs="Times New Roman"/>
          <w:lang w:val="fr-CA"/>
        </w:rPr>
        <w:t>’</w:t>
      </w:r>
      <w:r w:rsidRPr="00CB18F4">
        <w:rPr>
          <w:rFonts w:cs="Times New Roman"/>
          <w:lang w:val="fr-CA"/>
        </w:rPr>
        <w:t>elles exigent que tous les avocats en exercice participent à ces activités de formation permanente (à raison d</w:t>
      </w:r>
      <w:r>
        <w:rPr>
          <w:rFonts w:cs="Times New Roman"/>
          <w:lang w:val="fr-CA"/>
        </w:rPr>
        <w:t>’</w:t>
      </w:r>
      <w:r w:rsidRPr="00CB18F4">
        <w:rPr>
          <w:rFonts w:cs="Times New Roman"/>
          <w:lang w:val="fr-CA"/>
        </w:rPr>
        <w:t>une heure par mois d</w:t>
      </w:r>
      <w:r>
        <w:rPr>
          <w:rFonts w:cs="Times New Roman"/>
          <w:lang w:val="fr-CA"/>
        </w:rPr>
        <w:t>’</w:t>
      </w:r>
      <w:r w:rsidRPr="00CB18F4">
        <w:rPr>
          <w:rFonts w:cs="Times New Roman"/>
          <w:lang w:val="fr-CA"/>
        </w:rPr>
        <w:t xml:space="preserve">exercice, soit un total de 12 heures par année). Le manquement à ces exigences peut </w:t>
      </w:r>
      <w:r w:rsidRPr="00CB18F4">
        <w:rPr>
          <w:rFonts w:cs="Times New Roman"/>
          <w:lang w:val="fr-CA"/>
        </w:rPr>
        <w:lastRenderedPageBreak/>
        <w:t>entraîner la suspension du permis d</w:t>
      </w:r>
      <w:r>
        <w:rPr>
          <w:rFonts w:cs="Times New Roman"/>
          <w:lang w:val="fr-CA"/>
        </w:rPr>
        <w:t>’</w:t>
      </w:r>
      <w:r w:rsidRPr="00CB18F4">
        <w:rPr>
          <w:rFonts w:cs="Times New Roman"/>
          <w:lang w:val="fr-CA"/>
        </w:rPr>
        <w:t>exercice de l</w:t>
      </w:r>
      <w:r>
        <w:rPr>
          <w:rFonts w:cs="Times New Roman"/>
          <w:lang w:val="fr-CA"/>
        </w:rPr>
        <w:t>’</w:t>
      </w:r>
      <w:r w:rsidRPr="00CB18F4">
        <w:rPr>
          <w:rFonts w:cs="Times New Roman"/>
          <w:lang w:val="fr-CA"/>
        </w:rPr>
        <w:t>avocat. Le texte des règles se lit ainsi</w:t>
      </w:r>
      <w:r>
        <w:rPr>
          <w:rFonts w:cs="Times New Roman"/>
          <w:lang w:val="fr-CA"/>
        </w:rPr>
        <w:t> :</w:t>
      </w:r>
    </w:p>
    <w:p w:rsidR="00520294" w:rsidRPr="00CB18F4" w:rsidRDefault="00520294" w:rsidP="00987CB6">
      <w:pPr>
        <w:pStyle w:val="Citation-AltC"/>
        <w:widowControl w:val="0"/>
        <w:tabs>
          <w:tab w:val="left" w:pos="2430"/>
        </w:tabs>
        <w:spacing w:after="240"/>
        <w:ind w:hanging="1166"/>
        <w:contextualSpacing w:val="0"/>
        <w:rPr>
          <w:lang w:val="fr-CA"/>
        </w:rPr>
      </w:pPr>
      <w:r w:rsidRPr="00CB18F4">
        <w:rPr>
          <w:lang w:val="fr-CA"/>
        </w:rPr>
        <w:tab/>
      </w:r>
      <w:r w:rsidRPr="00CB18F4">
        <w:rPr>
          <w:b/>
          <w:lang w:val="fr-CA"/>
        </w:rPr>
        <w:t>2</w:t>
      </w:r>
      <w:r>
        <w:rPr>
          <w:b/>
          <w:lang w:val="fr-CA"/>
        </w:rPr>
        <w:noBreakHyphen/>
      </w:r>
      <w:r w:rsidRPr="00CB18F4">
        <w:rPr>
          <w:b/>
          <w:lang w:val="fr-CA"/>
        </w:rPr>
        <w:t>81.1(8)</w:t>
      </w:r>
      <w:r w:rsidRPr="00CB18F4">
        <w:rPr>
          <w:lang w:val="fr-CA"/>
        </w:rPr>
        <w:tab/>
        <w:t>À compter du 1</w:t>
      </w:r>
      <w:r w:rsidRPr="00CB18F4">
        <w:rPr>
          <w:vertAlign w:val="superscript"/>
          <w:lang w:val="fr-CA"/>
        </w:rPr>
        <w:t>er</w:t>
      </w:r>
      <w:r w:rsidRPr="00CB18F4">
        <w:rPr>
          <w:lang w:val="fr-CA"/>
        </w:rPr>
        <w:t> janvier 2012 et sous réserve du paragraphe (10), les avocats en exercice sont tenus d</w:t>
      </w:r>
      <w:r>
        <w:rPr>
          <w:lang w:val="fr-CA"/>
        </w:rPr>
        <w:t>’</w:t>
      </w:r>
      <w:r w:rsidRPr="00CB18F4">
        <w:rPr>
          <w:lang w:val="fr-CA"/>
        </w:rPr>
        <w:t>effectuer une heure d</w:t>
      </w:r>
      <w:r>
        <w:rPr>
          <w:lang w:val="fr-CA"/>
        </w:rPr>
        <w:t>’</w:t>
      </w:r>
      <w:r w:rsidRPr="00CB18F4">
        <w:rPr>
          <w:lang w:val="fr-CA"/>
        </w:rPr>
        <w:t>activités admissibles par mois ou partie de mois de l</w:t>
      </w:r>
      <w:r>
        <w:rPr>
          <w:lang w:val="fr-CA"/>
        </w:rPr>
        <w:t>’</w:t>
      </w:r>
      <w:r w:rsidRPr="00CB18F4">
        <w:rPr>
          <w:lang w:val="fr-CA"/>
        </w:rPr>
        <w:t>année civile au cours de laquelle ils</w:t>
      </w:r>
      <w:r w:rsidR="00490C55">
        <w:rPr>
          <w:lang w:val="fr-CA"/>
        </w:rPr>
        <w:t xml:space="preserve"> exercent activement le droit. . . .</w:t>
      </w:r>
    </w:p>
    <w:p w:rsidR="00520294" w:rsidRPr="00CB18F4" w:rsidRDefault="00490C55" w:rsidP="00987CB6">
      <w:pPr>
        <w:pStyle w:val="Citation-AltC"/>
        <w:widowControl w:val="0"/>
        <w:tabs>
          <w:tab w:val="left" w:pos="2430"/>
        </w:tabs>
        <w:spacing w:after="240"/>
        <w:ind w:hanging="1166"/>
        <w:contextualSpacing w:val="0"/>
        <w:jc w:val="center"/>
        <w:rPr>
          <w:lang w:val="fr-CA"/>
        </w:rPr>
      </w:pPr>
      <w:r>
        <w:rPr>
          <w:lang w:val="fr-CA"/>
        </w:rPr>
        <w:t>. . .</w:t>
      </w:r>
    </w:p>
    <w:p w:rsidR="00520294" w:rsidRPr="00CB18F4" w:rsidRDefault="00520294" w:rsidP="00987CB6">
      <w:pPr>
        <w:pStyle w:val="Citation-AltC"/>
        <w:widowControl w:val="0"/>
        <w:tabs>
          <w:tab w:val="left" w:pos="2430"/>
        </w:tabs>
        <w:spacing w:after="240"/>
        <w:ind w:hanging="1166"/>
        <w:contextualSpacing w:val="0"/>
        <w:rPr>
          <w:lang w:val="fr-CA"/>
        </w:rPr>
      </w:pPr>
      <w:r w:rsidRPr="00CB18F4">
        <w:rPr>
          <w:lang w:val="fr-CA"/>
        </w:rPr>
        <w:tab/>
      </w:r>
      <w:r w:rsidRPr="00CB18F4">
        <w:rPr>
          <w:b/>
          <w:lang w:val="fr-CA"/>
        </w:rPr>
        <w:t>2</w:t>
      </w:r>
      <w:r>
        <w:rPr>
          <w:b/>
          <w:lang w:val="fr-CA"/>
        </w:rPr>
        <w:noBreakHyphen/>
      </w:r>
      <w:r w:rsidRPr="00CB18F4">
        <w:rPr>
          <w:b/>
          <w:lang w:val="fr-CA"/>
        </w:rPr>
        <w:t>81.1(12)</w:t>
      </w:r>
      <w:r w:rsidRPr="00CB18F4">
        <w:rPr>
          <w:lang w:val="fr-CA"/>
        </w:rPr>
        <w:tab/>
        <w:t>Le directeur général peut aviser par écrit l</w:t>
      </w:r>
      <w:r>
        <w:rPr>
          <w:lang w:val="fr-CA"/>
        </w:rPr>
        <w:t>’</w:t>
      </w:r>
      <w:r w:rsidRPr="00CB18F4">
        <w:rPr>
          <w:lang w:val="fr-CA"/>
        </w:rPr>
        <w:t>avocat en exercice qui ne s</w:t>
      </w:r>
      <w:r>
        <w:rPr>
          <w:lang w:val="fr-CA"/>
        </w:rPr>
        <w:t>’</w:t>
      </w:r>
      <w:r w:rsidRPr="00CB18F4">
        <w:rPr>
          <w:lang w:val="fr-CA"/>
        </w:rPr>
        <w:t>est pas conformé au paragraphe (8) qu</w:t>
      </w:r>
      <w:r>
        <w:rPr>
          <w:lang w:val="fr-CA"/>
        </w:rPr>
        <w:t>’</w:t>
      </w:r>
      <w:r w:rsidRPr="00CB18F4">
        <w:rPr>
          <w:lang w:val="fr-CA"/>
        </w:rPr>
        <w:t>il est tenu de le faire avant l</w:t>
      </w:r>
      <w:r>
        <w:rPr>
          <w:lang w:val="fr-CA"/>
        </w:rPr>
        <w:t>’</w:t>
      </w:r>
      <w:r w:rsidRPr="00CB18F4">
        <w:rPr>
          <w:lang w:val="fr-CA"/>
        </w:rPr>
        <w:t>expiration d</w:t>
      </w:r>
      <w:r>
        <w:rPr>
          <w:lang w:val="fr-CA"/>
        </w:rPr>
        <w:t>’</w:t>
      </w:r>
      <w:r w:rsidRPr="00CB18F4">
        <w:rPr>
          <w:lang w:val="fr-CA"/>
        </w:rPr>
        <w:t>un délai de 60 jours à compter de l</w:t>
      </w:r>
      <w:r>
        <w:rPr>
          <w:lang w:val="fr-CA"/>
        </w:rPr>
        <w:t>’</w:t>
      </w:r>
      <w:r w:rsidRPr="00CB18F4">
        <w:rPr>
          <w:lang w:val="fr-CA"/>
        </w:rPr>
        <w:t>envoi de l</w:t>
      </w:r>
      <w:r>
        <w:rPr>
          <w:lang w:val="fr-CA"/>
        </w:rPr>
        <w:t>’</w:t>
      </w:r>
      <w:r w:rsidRPr="00CB18F4">
        <w:rPr>
          <w:lang w:val="fr-CA"/>
        </w:rPr>
        <w:t>avis. L</w:t>
      </w:r>
      <w:r>
        <w:rPr>
          <w:lang w:val="fr-CA"/>
        </w:rPr>
        <w:t>’</w:t>
      </w:r>
      <w:r w:rsidRPr="00CB18F4">
        <w:rPr>
          <w:lang w:val="fr-CA"/>
        </w:rPr>
        <w:t>avocat qui ne se conforme pas à ce paragraphe avant l</w:t>
      </w:r>
      <w:r>
        <w:rPr>
          <w:lang w:val="fr-CA"/>
        </w:rPr>
        <w:t>’</w:t>
      </w:r>
      <w:r w:rsidRPr="00CB18F4">
        <w:rPr>
          <w:lang w:val="fr-CA"/>
        </w:rPr>
        <w:t>expiration du délai est automatiquement suspendu et ne peut exercer le droit avant de s</w:t>
      </w:r>
      <w:r>
        <w:rPr>
          <w:lang w:val="fr-CA"/>
        </w:rPr>
        <w:t>’</w:t>
      </w:r>
      <w:r w:rsidRPr="00CB18F4">
        <w:rPr>
          <w:lang w:val="fr-CA"/>
        </w:rPr>
        <w:t>être conformé à ce paragraphe et d</w:t>
      </w:r>
      <w:r>
        <w:rPr>
          <w:lang w:val="fr-CA"/>
        </w:rPr>
        <w:t>’</w:t>
      </w:r>
      <w:r w:rsidRPr="00CB18F4">
        <w:rPr>
          <w:lang w:val="fr-CA"/>
        </w:rPr>
        <w:t>avoir versé les droits de réinscription.</w:t>
      </w:r>
    </w:p>
    <w:p w:rsidR="00520294" w:rsidRPr="00CB18F4" w:rsidRDefault="00520294" w:rsidP="00987CB6">
      <w:pPr>
        <w:pStyle w:val="Citation-AltC"/>
        <w:widowControl w:val="0"/>
        <w:tabs>
          <w:tab w:val="left" w:pos="2430"/>
        </w:tabs>
        <w:ind w:hanging="1166"/>
        <w:contextualSpacing w:val="0"/>
        <w:rPr>
          <w:lang w:val="fr-CA"/>
        </w:rPr>
      </w:pPr>
      <w:r w:rsidRPr="00CB18F4">
        <w:rPr>
          <w:lang w:val="fr-CA"/>
        </w:rPr>
        <w:tab/>
      </w:r>
      <w:r w:rsidRPr="00CB18F4">
        <w:rPr>
          <w:b/>
          <w:lang w:val="fr-CA"/>
        </w:rPr>
        <w:t>2</w:t>
      </w:r>
      <w:r>
        <w:rPr>
          <w:b/>
          <w:lang w:val="fr-CA"/>
        </w:rPr>
        <w:noBreakHyphen/>
      </w:r>
      <w:r w:rsidRPr="00CB18F4">
        <w:rPr>
          <w:b/>
          <w:lang w:val="fr-CA"/>
        </w:rPr>
        <w:t>81.1(13)</w:t>
      </w:r>
      <w:r w:rsidRPr="00CB18F4">
        <w:rPr>
          <w:lang w:val="fr-CA"/>
        </w:rPr>
        <w:tab/>
        <w:t>Le directeur général peut renvoyer au comité d</w:t>
      </w:r>
      <w:r>
        <w:rPr>
          <w:lang w:val="fr-CA"/>
        </w:rPr>
        <w:t>’</w:t>
      </w:r>
      <w:r w:rsidRPr="00CB18F4">
        <w:rPr>
          <w:lang w:val="fr-CA"/>
        </w:rPr>
        <w:t>enquête sur les plaintes le cas de l</w:t>
      </w:r>
      <w:r>
        <w:rPr>
          <w:lang w:val="fr-CA"/>
        </w:rPr>
        <w:t>’</w:t>
      </w:r>
      <w:r w:rsidRPr="00CB18F4">
        <w:rPr>
          <w:lang w:val="fr-CA"/>
        </w:rPr>
        <w:t>avocat qui est suspendu plusieurs fois pour défaut d</w:t>
      </w:r>
      <w:r>
        <w:rPr>
          <w:lang w:val="fr-CA"/>
        </w:rPr>
        <w:t>’</w:t>
      </w:r>
      <w:r w:rsidRPr="00CB18F4">
        <w:rPr>
          <w:lang w:val="fr-CA"/>
        </w:rPr>
        <w:t>observation du paragraphe (8).</w:t>
      </w:r>
    </w:p>
    <w:p w:rsidR="00520294" w:rsidRPr="00CB18F4" w:rsidRDefault="00520294" w:rsidP="00987CB6">
      <w:pPr>
        <w:pStyle w:val="ParaNoNdepar-AltN"/>
        <w:widowControl w:val="0"/>
        <w:rPr>
          <w:rFonts w:cs="Times New Roman"/>
          <w:lang w:val="fr-CA"/>
        </w:rPr>
      </w:pPr>
      <w:r w:rsidRPr="00CB18F4">
        <w:rPr>
          <w:rFonts w:cs="Times New Roman"/>
          <w:lang w:val="fr-CA"/>
        </w:rPr>
        <w:t>Malgré ces règles obligatoires, M. Green n</w:t>
      </w:r>
      <w:r>
        <w:rPr>
          <w:rFonts w:cs="Times New Roman"/>
          <w:lang w:val="fr-CA"/>
        </w:rPr>
        <w:t>’</w:t>
      </w:r>
      <w:r w:rsidRPr="00CB18F4">
        <w:rPr>
          <w:rFonts w:cs="Times New Roman"/>
          <w:lang w:val="fr-CA"/>
        </w:rPr>
        <w:t>a déclaré aucune activité de PPP pour les années</w:t>
      </w:r>
      <w:r>
        <w:rPr>
          <w:rFonts w:cs="Times New Roman"/>
          <w:lang w:val="fr-CA"/>
        </w:rPr>
        <w:t xml:space="preserve"> </w:t>
      </w:r>
      <w:r w:rsidRPr="00CB18F4">
        <w:rPr>
          <w:rFonts w:cs="Times New Roman"/>
          <w:lang w:val="fr-CA"/>
        </w:rPr>
        <w:t>2012 et 2013. Le 30 mai 2014, soit plus d</w:t>
      </w:r>
      <w:r>
        <w:rPr>
          <w:rFonts w:cs="Times New Roman"/>
          <w:lang w:val="fr-CA"/>
        </w:rPr>
        <w:t>’</w:t>
      </w:r>
      <w:r w:rsidRPr="00CB18F4">
        <w:rPr>
          <w:rFonts w:cs="Times New Roman"/>
          <w:lang w:val="fr-CA"/>
        </w:rPr>
        <w:t>un an après que ce dernier a fait défaut de déclarer des heures de PPP, le directeur général du Barreau lui a envoyé une lettre qui l</w:t>
      </w:r>
      <w:r>
        <w:rPr>
          <w:rFonts w:cs="Times New Roman"/>
          <w:lang w:val="fr-CA"/>
        </w:rPr>
        <w:t>’</w:t>
      </w:r>
      <w:r w:rsidRPr="00CB18F4">
        <w:rPr>
          <w:rFonts w:cs="Times New Roman"/>
          <w:lang w:val="fr-CA"/>
        </w:rPr>
        <w:t>avisait que, s</w:t>
      </w:r>
      <w:r>
        <w:rPr>
          <w:rFonts w:cs="Times New Roman"/>
          <w:lang w:val="fr-CA"/>
        </w:rPr>
        <w:t>’</w:t>
      </w:r>
      <w:r w:rsidRPr="00CB18F4">
        <w:rPr>
          <w:rFonts w:cs="Times New Roman"/>
          <w:lang w:val="fr-CA"/>
        </w:rPr>
        <w:t>il ne se conformait pas aux Règles dans un délai de 60 jours, son permis d</w:t>
      </w:r>
      <w:r>
        <w:rPr>
          <w:rFonts w:cs="Times New Roman"/>
          <w:lang w:val="fr-CA"/>
        </w:rPr>
        <w:t>’</w:t>
      </w:r>
      <w:r w:rsidRPr="00CB18F4">
        <w:rPr>
          <w:rFonts w:cs="Times New Roman"/>
          <w:lang w:val="fr-CA"/>
        </w:rPr>
        <w:t>exercice serait suspendu. Le directeur général a aussi invité M. Green à corriger toute erreur dans son rapport de déclaration de PPP et lui a offert de prolonger le délai de 60 jours dont il disposait pour s</w:t>
      </w:r>
      <w:r>
        <w:rPr>
          <w:rFonts w:cs="Times New Roman"/>
          <w:lang w:val="fr-CA"/>
        </w:rPr>
        <w:t>’</w:t>
      </w:r>
      <w:r w:rsidRPr="00CB18F4">
        <w:rPr>
          <w:rFonts w:cs="Times New Roman"/>
          <w:lang w:val="fr-CA"/>
        </w:rPr>
        <w:t>acquitter de ses obligations de formation. </w:t>
      </w:r>
    </w:p>
    <w:p w:rsidR="00520294" w:rsidRPr="00CB18F4" w:rsidRDefault="00520294" w:rsidP="00987CB6">
      <w:pPr>
        <w:pStyle w:val="ParaNoNdepar-AltN"/>
        <w:widowControl w:val="0"/>
        <w:rPr>
          <w:rFonts w:cs="Times New Roman"/>
          <w:lang w:val="fr-CA"/>
        </w:rPr>
      </w:pPr>
      <w:r w:rsidRPr="00CB18F4">
        <w:rPr>
          <w:rFonts w:cs="Times New Roman"/>
          <w:lang w:val="fr-CA"/>
        </w:rPr>
        <w:t>Monsieur Green n</w:t>
      </w:r>
      <w:r>
        <w:rPr>
          <w:rFonts w:cs="Times New Roman"/>
          <w:lang w:val="fr-CA"/>
        </w:rPr>
        <w:t>’</w:t>
      </w:r>
      <w:r w:rsidRPr="00CB18F4">
        <w:rPr>
          <w:rFonts w:cs="Times New Roman"/>
          <w:lang w:val="fr-CA"/>
        </w:rPr>
        <w:t>a pas répondu à la lettre et n</w:t>
      </w:r>
      <w:r>
        <w:rPr>
          <w:rFonts w:cs="Times New Roman"/>
          <w:lang w:val="fr-CA"/>
        </w:rPr>
        <w:t>’</w:t>
      </w:r>
      <w:r w:rsidRPr="00CB18F4">
        <w:rPr>
          <w:rFonts w:cs="Times New Roman"/>
          <w:lang w:val="fr-CA"/>
        </w:rPr>
        <w:t xml:space="preserve">a pas non plus sollicité le contrôle judiciaire de la décision de le suspendre. Il a plutôt présenté une demande de jugement déclaratoire le 25 juin 2014, par laquelle il a contesté la validité des règles de </w:t>
      </w:r>
      <w:r w:rsidRPr="00CB18F4">
        <w:rPr>
          <w:rFonts w:cs="Times New Roman"/>
          <w:lang w:val="fr-CA"/>
        </w:rPr>
        <w:lastRenderedPageBreak/>
        <w:t>PPP (« règles contestées »). Bien que le Barreau ait suspendu le certificat d</w:t>
      </w:r>
      <w:r>
        <w:rPr>
          <w:rFonts w:cs="Times New Roman"/>
          <w:lang w:val="fr-CA"/>
        </w:rPr>
        <w:t>’</w:t>
      </w:r>
      <w:r w:rsidRPr="00CB18F4">
        <w:rPr>
          <w:rFonts w:cs="Times New Roman"/>
          <w:lang w:val="fr-CA"/>
        </w:rPr>
        <w:t>exercice de M. Green à partir du 30 juillet 2014, il a accepté de ne pas donner effet à la suspension tant que ce litige ne serait pas réglé.</w:t>
      </w:r>
    </w:p>
    <w:p w:rsidR="00520294" w:rsidRPr="00CB18F4" w:rsidRDefault="00520294" w:rsidP="00987CB6">
      <w:pPr>
        <w:pStyle w:val="Title1LevelTitre1Niveau-AltL"/>
        <w:widowControl w:val="0"/>
        <w:rPr>
          <w:rFonts w:cs="Times New Roman"/>
          <w:lang w:val="fr-CA"/>
        </w:rPr>
      </w:pPr>
      <w:r w:rsidRPr="00CB18F4">
        <w:rPr>
          <w:rFonts w:cs="Times New Roman"/>
          <w:lang w:val="fr-CA"/>
        </w:rPr>
        <w:t>Décisions des juridictions d</w:t>
      </w:r>
      <w:r>
        <w:rPr>
          <w:rFonts w:cs="Times New Roman"/>
          <w:lang w:val="fr-CA"/>
        </w:rPr>
        <w:t>’</w:t>
      </w:r>
      <w:r w:rsidRPr="00CB18F4">
        <w:rPr>
          <w:rFonts w:cs="Times New Roman"/>
          <w:lang w:val="fr-CA"/>
        </w:rPr>
        <w:t>instances inférieures</w:t>
      </w:r>
    </w:p>
    <w:p w:rsidR="00520294" w:rsidRPr="00CB18F4" w:rsidRDefault="00520294" w:rsidP="00987CB6">
      <w:pPr>
        <w:pStyle w:val="Title2LevelTitre2Niveau"/>
        <w:widowControl w:val="0"/>
        <w:rPr>
          <w:rFonts w:cs="Times New Roman"/>
          <w:lang w:val="fr-CA"/>
        </w:rPr>
      </w:pPr>
      <w:r w:rsidRPr="00CB18F4">
        <w:rPr>
          <w:rFonts w:cs="Times New Roman"/>
          <w:lang w:val="fr-CA"/>
        </w:rPr>
        <w:t xml:space="preserve">Cour du Banc de la Reine du Manitoba, 2014 MBQB 249, 313 Man. R. (2d) 19 </w:t>
      </w:r>
    </w:p>
    <w:p w:rsidR="00520294" w:rsidRPr="00CB18F4" w:rsidRDefault="00520294" w:rsidP="00987CB6">
      <w:pPr>
        <w:pStyle w:val="ParaNoNdepar-AltN"/>
        <w:widowControl w:val="0"/>
        <w:rPr>
          <w:rFonts w:cs="Times New Roman"/>
          <w:lang w:val="fr-CA"/>
        </w:rPr>
      </w:pPr>
      <w:r w:rsidRPr="00CB18F4">
        <w:rPr>
          <w:rFonts w:cs="Times New Roman"/>
          <w:lang w:val="fr-CA"/>
        </w:rPr>
        <w:t xml:space="preserve">Le juge de première instance a rejeté la demande de M. Green, concluant que les règles relatives au PPP relèvent nettement du mandat que la </w:t>
      </w:r>
      <w:r w:rsidRPr="00CB18F4">
        <w:rPr>
          <w:rFonts w:cs="Times New Roman"/>
          <w:i/>
          <w:lang w:val="fr-CA"/>
        </w:rPr>
        <w:t>Loi sur la profession d</w:t>
      </w:r>
      <w:r>
        <w:rPr>
          <w:rFonts w:cs="Times New Roman"/>
          <w:i/>
          <w:lang w:val="fr-CA"/>
        </w:rPr>
        <w:t>’</w:t>
      </w:r>
      <w:r w:rsidRPr="00CB18F4">
        <w:rPr>
          <w:rFonts w:cs="Times New Roman"/>
          <w:i/>
          <w:lang w:val="fr-CA"/>
        </w:rPr>
        <w:t>avocat</w:t>
      </w:r>
      <w:r w:rsidRPr="00CB18F4">
        <w:rPr>
          <w:rFonts w:cs="Times New Roman"/>
          <w:lang w:val="fr-CA"/>
        </w:rPr>
        <w:t>, C.P.L.M., c. L107 (« Loi »)</w:t>
      </w:r>
      <w:r w:rsidR="008208FB">
        <w:rPr>
          <w:rFonts w:cs="Times New Roman"/>
          <w:lang w:val="fr-CA"/>
        </w:rPr>
        <w:t>,</w:t>
      </w:r>
      <w:r w:rsidRPr="00CB18F4">
        <w:rPr>
          <w:rFonts w:cs="Times New Roman"/>
          <w:lang w:val="fr-CA"/>
        </w:rPr>
        <w:t xml:space="preserve"> confère au Barreau. Celui</w:t>
      </w:r>
      <w:r>
        <w:rPr>
          <w:rFonts w:cs="Times New Roman"/>
          <w:lang w:val="fr-CA"/>
        </w:rPr>
        <w:noBreakHyphen/>
      </w:r>
      <w:r w:rsidRPr="00CB18F4">
        <w:rPr>
          <w:rFonts w:cs="Times New Roman"/>
          <w:lang w:val="fr-CA"/>
        </w:rPr>
        <w:t>ci est tenu d</w:t>
      </w:r>
      <w:r>
        <w:rPr>
          <w:rFonts w:cs="Times New Roman"/>
          <w:lang w:val="fr-CA"/>
        </w:rPr>
        <w:t>’</w:t>
      </w:r>
      <w:r w:rsidRPr="00CB18F4">
        <w:rPr>
          <w:rFonts w:cs="Times New Roman"/>
          <w:lang w:val="fr-CA"/>
        </w:rPr>
        <w:t>« établi[r] des normes régissant la formation, la responsabilité professionnelle et la compétence » des avocats</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 xml:space="preserve">3(2). Les règles contestées sont donc conformes au large pouvoir que le </w:t>
      </w:r>
      <w:r>
        <w:rPr>
          <w:rFonts w:cs="Times New Roman"/>
          <w:lang w:val="fr-CA"/>
        </w:rPr>
        <w:t>par. </w:t>
      </w:r>
      <w:r w:rsidRPr="00CB18F4">
        <w:rPr>
          <w:rFonts w:cs="Times New Roman"/>
          <w:lang w:val="fr-CA"/>
        </w:rPr>
        <w:t>4(5) de la Loi confè</w:t>
      </w:r>
      <w:r w:rsidR="00490C55">
        <w:rPr>
          <w:rFonts w:cs="Times New Roman"/>
          <w:lang w:val="fr-CA"/>
        </w:rPr>
        <w:t>re au Barreau pour adopter les r</w:t>
      </w:r>
      <w:r w:rsidRPr="00CB18F4">
        <w:rPr>
          <w:rFonts w:cs="Times New Roman"/>
          <w:lang w:val="fr-CA"/>
        </w:rPr>
        <w:t>ègles qu</w:t>
      </w:r>
      <w:r>
        <w:rPr>
          <w:rFonts w:cs="Times New Roman"/>
          <w:lang w:val="fr-CA"/>
        </w:rPr>
        <w:t>’</w:t>
      </w:r>
      <w:r w:rsidRPr="00CB18F4">
        <w:rPr>
          <w:rFonts w:cs="Times New Roman"/>
          <w:lang w:val="fr-CA"/>
        </w:rPr>
        <w:t>elle juge souhaitables pour s</w:t>
      </w:r>
      <w:r>
        <w:rPr>
          <w:rFonts w:cs="Times New Roman"/>
          <w:lang w:val="fr-CA"/>
        </w:rPr>
        <w:t>’</w:t>
      </w:r>
      <w:r w:rsidRPr="00CB18F4">
        <w:rPr>
          <w:rFonts w:cs="Times New Roman"/>
          <w:lang w:val="fr-CA"/>
        </w:rPr>
        <w:t>acquitter du mandat que lui confère la loi et pour protéger l</w:t>
      </w:r>
      <w:r>
        <w:rPr>
          <w:rFonts w:cs="Times New Roman"/>
          <w:lang w:val="fr-CA"/>
        </w:rPr>
        <w:t>’</w:t>
      </w:r>
      <w:r w:rsidRPr="00CB18F4">
        <w:rPr>
          <w:rFonts w:cs="Times New Roman"/>
          <w:lang w:val="fr-CA"/>
        </w:rPr>
        <w:t>intérêt public.</w:t>
      </w:r>
    </w:p>
    <w:p w:rsidR="00520294" w:rsidRPr="00CB18F4" w:rsidRDefault="00520294" w:rsidP="00987CB6">
      <w:pPr>
        <w:pStyle w:val="ParaNoNdepar-AltN"/>
        <w:widowControl w:val="0"/>
        <w:rPr>
          <w:rFonts w:cs="Times New Roman"/>
          <w:lang w:val="fr-CA"/>
        </w:rPr>
      </w:pPr>
      <w:r w:rsidRPr="00CB18F4">
        <w:rPr>
          <w:rFonts w:cs="Times New Roman"/>
          <w:lang w:val="fr-CA"/>
        </w:rPr>
        <w:t>Le juge de première instance a également rejeté les arguments soulevés par l</w:t>
      </w:r>
      <w:r>
        <w:rPr>
          <w:rFonts w:cs="Times New Roman"/>
          <w:lang w:val="fr-CA"/>
        </w:rPr>
        <w:t>’</w:t>
      </w:r>
      <w:r w:rsidRPr="00CB18F4">
        <w:rPr>
          <w:rFonts w:cs="Times New Roman"/>
          <w:lang w:val="fr-CA"/>
        </w:rPr>
        <w:t>appelant portant sur la justice naturelle et sur l</w:t>
      </w:r>
      <w:r>
        <w:rPr>
          <w:rFonts w:cs="Times New Roman"/>
          <w:lang w:val="fr-CA"/>
        </w:rPr>
        <w:t>’</w:t>
      </w:r>
      <w:r w:rsidRPr="00CB18F4">
        <w:rPr>
          <w:rFonts w:cs="Times New Roman"/>
          <w:lang w:val="fr-CA"/>
        </w:rPr>
        <w:t>équité procédurale.</w:t>
      </w:r>
    </w:p>
    <w:p w:rsidR="00520294" w:rsidRPr="00CB18F4" w:rsidRDefault="00520294" w:rsidP="00987CB6">
      <w:pPr>
        <w:pStyle w:val="Title2LevelTitre2Niveau"/>
        <w:widowControl w:val="0"/>
        <w:rPr>
          <w:rFonts w:cs="Times New Roman"/>
          <w:lang w:val="fr-CA"/>
        </w:rPr>
      </w:pPr>
      <w:r w:rsidRPr="00CB18F4">
        <w:rPr>
          <w:rFonts w:cs="Times New Roman"/>
          <w:lang w:val="fr-CA"/>
        </w:rPr>
        <w:t>Cour d</w:t>
      </w:r>
      <w:r>
        <w:rPr>
          <w:rFonts w:cs="Times New Roman"/>
          <w:lang w:val="fr-CA"/>
        </w:rPr>
        <w:t>’</w:t>
      </w:r>
      <w:r w:rsidRPr="00CB18F4">
        <w:rPr>
          <w:rFonts w:cs="Times New Roman"/>
          <w:lang w:val="fr-CA"/>
        </w:rPr>
        <w:t>appel du Manitoba, 2015 MBCA 67, 319 Man. R. (2d) 189</w:t>
      </w:r>
    </w:p>
    <w:p w:rsidR="00520294" w:rsidRPr="00CB18F4" w:rsidRDefault="00520294" w:rsidP="00987CB6">
      <w:pPr>
        <w:pStyle w:val="ParaNoNdepar-AltN"/>
        <w:widowControl w:val="0"/>
        <w:rPr>
          <w:rFonts w:cs="Times New Roman"/>
          <w:lang w:val="fr-CA"/>
        </w:rPr>
      </w:pPr>
      <w:r w:rsidRPr="00CB18F4">
        <w:rPr>
          <w:rFonts w:cs="Times New Roman"/>
          <w:lang w:val="fr-CA"/>
        </w:rPr>
        <w:t>La Cour d</w:t>
      </w:r>
      <w:r>
        <w:rPr>
          <w:rFonts w:cs="Times New Roman"/>
          <w:lang w:val="fr-CA"/>
        </w:rPr>
        <w:t>’</w:t>
      </w:r>
      <w:r w:rsidRPr="00CB18F4">
        <w:rPr>
          <w:rFonts w:cs="Times New Roman"/>
          <w:lang w:val="fr-CA"/>
        </w:rPr>
        <w:t>appel a rejeté l</w:t>
      </w:r>
      <w:r>
        <w:rPr>
          <w:rFonts w:cs="Times New Roman"/>
          <w:lang w:val="fr-CA"/>
        </w:rPr>
        <w:t>’</w:t>
      </w:r>
      <w:r w:rsidRPr="00CB18F4">
        <w:rPr>
          <w:rFonts w:cs="Times New Roman"/>
          <w:lang w:val="fr-CA"/>
        </w:rPr>
        <w:t xml:space="preserve">appel pour des motifs semblables à ceux énoncés par le juge de première instance. Elle a souligné que la loi qui régit le Barreau est une </w:t>
      </w:r>
      <w:r w:rsidRPr="00CB18F4">
        <w:rPr>
          <w:rFonts w:cs="Times New Roman"/>
          <w:lang w:val="fr-CA"/>
        </w:rPr>
        <w:lastRenderedPageBreak/>
        <w:t>loi d</w:t>
      </w:r>
      <w:r>
        <w:rPr>
          <w:rFonts w:cs="Times New Roman"/>
          <w:lang w:val="fr-CA"/>
        </w:rPr>
        <w:t>’</w:t>
      </w:r>
      <w:r w:rsidRPr="00CB18F4">
        <w:rPr>
          <w:rFonts w:cs="Times New Roman"/>
          <w:lang w:val="fr-CA"/>
        </w:rPr>
        <w:t>intérêt public conçue pour protéger les membres du public qui veulent obtenir des services juridiques. Elle a donc conclu que, pour lui permettre d</w:t>
      </w:r>
      <w:r>
        <w:rPr>
          <w:rFonts w:cs="Times New Roman"/>
          <w:lang w:val="fr-CA"/>
        </w:rPr>
        <w:t>’</w:t>
      </w:r>
      <w:r w:rsidRPr="00CB18F4">
        <w:rPr>
          <w:rFonts w:cs="Times New Roman"/>
          <w:lang w:val="fr-CA"/>
        </w:rPr>
        <w:t>atteindre cet objectif, il faut donner une interprétation large et libérale au pouvoir de réglementation du Barreau.</w:t>
      </w:r>
    </w:p>
    <w:p w:rsidR="00520294" w:rsidRPr="00CB18F4" w:rsidRDefault="00520294" w:rsidP="00987CB6">
      <w:pPr>
        <w:pStyle w:val="ParaNoNdepar-AltN"/>
        <w:widowControl w:val="0"/>
        <w:rPr>
          <w:rFonts w:cs="Times New Roman"/>
          <w:lang w:val="fr-CA"/>
        </w:rPr>
      </w:pPr>
      <w:r w:rsidRPr="00CB18F4">
        <w:rPr>
          <w:rFonts w:cs="Times New Roman"/>
          <w:lang w:val="fr-CA"/>
        </w:rPr>
        <w:t>L</w:t>
      </w:r>
      <w:r>
        <w:rPr>
          <w:rFonts w:cs="Times New Roman"/>
          <w:lang w:val="fr-CA"/>
        </w:rPr>
        <w:t>’</w:t>
      </w:r>
      <w:r w:rsidRPr="00CB18F4">
        <w:rPr>
          <w:rFonts w:cs="Times New Roman"/>
          <w:lang w:val="fr-CA"/>
        </w:rPr>
        <w:t>appelant a reconnu en Cour d</w:t>
      </w:r>
      <w:r>
        <w:rPr>
          <w:rFonts w:cs="Times New Roman"/>
          <w:lang w:val="fr-CA"/>
        </w:rPr>
        <w:t>’</w:t>
      </w:r>
      <w:r w:rsidRPr="00CB18F4">
        <w:rPr>
          <w:rFonts w:cs="Times New Roman"/>
          <w:lang w:val="fr-CA"/>
        </w:rPr>
        <w:t>appel que le Barreau a le pouvoir d</w:t>
      </w:r>
      <w:r>
        <w:rPr>
          <w:rFonts w:cs="Times New Roman"/>
          <w:lang w:val="fr-CA"/>
        </w:rPr>
        <w:t>’</w:t>
      </w:r>
      <w:r w:rsidRPr="00CB18F4">
        <w:rPr>
          <w:rFonts w:cs="Times New Roman"/>
          <w:lang w:val="fr-CA"/>
        </w:rPr>
        <w:t>adopter des règles pour mettre sur pied un programme de P</w:t>
      </w:r>
      <w:r>
        <w:rPr>
          <w:rFonts w:cs="Times New Roman"/>
          <w:lang w:val="fr-CA"/>
        </w:rPr>
        <w:t xml:space="preserve">PP. </w:t>
      </w:r>
      <w:r w:rsidRPr="00CB18F4">
        <w:rPr>
          <w:rFonts w:cs="Times New Roman"/>
          <w:lang w:val="fr-CA"/>
        </w:rPr>
        <w:t>La Cour d</w:t>
      </w:r>
      <w:r>
        <w:rPr>
          <w:rFonts w:cs="Times New Roman"/>
          <w:lang w:val="fr-CA"/>
        </w:rPr>
        <w:t>’</w:t>
      </w:r>
      <w:r w:rsidRPr="00CB18F4">
        <w:rPr>
          <w:rFonts w:cs="Times New Roman"/>
          <w:lang w:val="fr-CA"/>
        </w:rPr>
        <w:t>appel a conclu que le Barreau a également le pouvoir de rendre ce programme obligatoire et, en vertu de l</w:t>
      </w:r>
      <w:r>
        <w:rPr>
          <w:rFonts w:cs="Times New Roman"/>
          <w:lang w:val="fr-CA"/>
        </w:rPr>
        <w:t>’art. </w:t>
      </w:r>
      <w:r w:rsidRPr="00CB18F4">
        <w:rPr>
          <w:rFonts w:cs="Times New Roman"/>
          <w:lang w:val="fr-CA"/>
        </w:rPr>
        <w:t>65 de la Loi, d</w:t>
      </w:r>
      <w:r>
        <w:rPr>
          <w:rFonts w:cs="Times New Roman"/>
          <w:lang w:val="fr-CA"/>
        </w:rPr>
        <w:t>’</w:t>
      </w:r>
      <w:r w:rsidRPr="00CB18F4">
        <w:rPr>
          <w:rFonts w:cs="Times New Roman"/>
          <w:lang w:val="fr-CA"/>
        </w:rPr>
        <w:t>établir des sanctions en cas de manquement à l</w:t>
      </w:r>
      <w:r>
        <w:rPr>
          <w:rFonts w:cs="Times New Roman"/>
          <w:lang w:val="fr-CA"/>
        </w:rPr>
        <w:t>’</w:t>
      </w:r>
      <w:r w:rsidRPr="00CB18F4">
        <w:rPr>
          <w:rFonts w:cs="Times New Roman"/>
          <w:lang w:val="fr-CA"/>
        </w:rPr>
        <w:t>égard du programme en question. </w:t>
      </w:r>
    </w:p>
    <w:p w:rsidR="00520294" w:rsidRPr="00CB18F4" w:rsidRDefault="00520294" w:rsidP="00987CB6">
      <w:pPr>
        <w:pStyle w:val="ParaNoNdepar-AltN"/>
        <w:widowControl w:val="0"/>
        <w:rPr>
          <w:rFonts w:cs="Times New Roman"/>
          <w:lang w:val="fr-CA"/>
        </w:rPr>
      </w:pPr>
      <w:r w:rsidRPr="00CB18F4">
        <w:rPr>
          <w:rFonts w:cs="Times New Roman"/>
          <w:lang w:val="fr-CA"/>
        </w:rPr>
        <w:t>De plus, la Cour d</w:t>
      </w:r>
      <w:r>
        <w:rPr>
          <w:rFonts w:cs="Times New Roman"/>
          <w:lang w:val="fr-CA"/>
        </w:rPr>
        <w:t>’</w:t>
      </w:r>
      <w:r w:rsidRPr="00CB18F4">
        <w:rPr>
          <w:rFonts w:cs="Times New Roman"/>
          <w:lang w:val="fr-CA"/>
        </w:rPr>
        <w:t>appel a conclu que la suspension d</w:t>
      </w:r>
      <w:r>
        <w:rPr>
          <w:rFonts w:cs="Times New Roman"/>
          <w:lang w:val="fr-CA"/>
        </w:rPr>
        <w:t>’</w:t>
      </w:r>
      <w:r w:rsidRPr="00CB18F4">
        <w:rPr>
          <w:rFonts w:cs="Times New Roman"/>
          <w:lang w:val="fr-CA"/>
        </w:rPr>
        <w:t>un avocat parce qu</w:t>
      </w:r>
      <w:r>
        <w:rPr>
          <w:rFonts w:cs="Times New Roman"/>
          <w:lang w:val="fr-CA"/>
        </w:rPr>
        <w:t>’</w:t>
      </w:r>
      <w:r w:rsidRPr="00CB18F4">
        <w:rPr>
          <w:rFonts w:cs="Times New Roman"/>
          <w:lang w:val="fr-CA"/>
        </w:rPr>
        <w:t>il n</w:t>
      </w:r>
      <w:r>
        <w:rPr>
          <w:rFonts w:cs="Times New Roman"/>
          <w:lang w:val="fr-CA"/>
        </w:rPr>
        <w:t>’</w:t>
      </w:r>
      <w:r w:rsidRPr="00CB18F4">
        <w:rPr>
          <w:rFonts w:cs="Times New Roman"/>
          <w:lang w:val="fr-CA"/>
        </w:rPr>
        <w:t>a pas effectué ses heures de PPP est de nature administrative et ne nécessite pas la mise en œuvre de mesures plus poussées applicables dans une instance contre un avocat pour faute professionnelle ou incompétence</w:t>
      </w:r>
      <w:r>
        <w:rPr>
          <w:rFonts w:cs="Times New Roman"/>
          <w:lang w:val="fr-CA"/>
        </w:rPr>
        <w:t xml:space="preserve"> </w:t>
      </w:r>
      <w:r w:rsidRPr="00CB18F4">
        <w:rPr>
          <w:rFonts w:cs="Times New Roman"/>
          <w:lang w:val="fr-CA"/>
        </w:rPr>
        <w:t>— décrites à l</w:t>
      </w:r>
      <w:r>
        <w:rPr>
          <w:rFonts w:cs="Times New Roman"/>
          <w:lang w:val="fr-CA"/>
        </w:rPr>
        <w:t>’art. </w:t>
      </w:r>
      <w:r w:rsidRPr="00CB18F4">
        <w:rPr>
          <w:rFonts w:cs="Times New Roman"/>
          <w:lang w:val="fr-CA"/>
        </w:rPr>
        <w:t>72 de la Loi.</w:t>
      </w:r>
    </w:p>
    <w:p w:rsidR="00520294" w:rsidRPr="00CB18F4" w:rsidRDefault="00520294" w:rsidP="00987CB6">
      <w:pPr>
        <w:pStyle w:val="Title1LevelTitre1Niveau-AltL"/>
        <w:widowControl w:val="0"/>
        <w:rPr>
          <w:rFonts w:cs="Times New Roman"/>
          <w:lang w:val="fr-CA"/>
        </w:rPr>
      </w:pPr>
      <w:r w:rsidRPr="00CB18F4">
        <w:rPr>
          <w:rFonts w:cs="Times New Roman"/>
          <w:lang w:val="fr-CA"/>
        </w:rPr>
        <w:t>Questions en litige</w:t>
      </w:r>
    </w:p>
    <w:p w:rsidR="00520294" w:rsidRPr="00CB18F4" w:rsidRDefault="00520294" w:rsidP="00987CB6">
      <w:pPr>
        <w:pStyle w:val="ParaNoNdepar-AltN"/>
        <w:widowControl w:val="0"/>
        <w:rPr>
          <w:rFonts w:cs="Times New Roman"/>
          <w:lang w:val="fr-CA"/>
        </w:rPr>
      </w:pPr>
      <w:r w:rsidRPr="00CB18F4">
        <w:rPr>
          <w:rFonts w:cs="Times New Roman"/>
          <w:lang w:val="fr-CA"/>
        </w:rPr>
        <w:t>Ce pourvoi soulève deux questions</w:t>
      </w:r>
      <w:r>
        <w:rPr>
          <w:rFonts w:cs="Times New Roman"/>
          <w:lang w:val="fr-CA"/>
        </w:rPr>
        <w:t> :</w:t>
      </w:r>
      <w:r w:rsidRPr="00CB18F4">
        <w:rPr>
          <w:rFonts w:cs="Times New Roman"/>
          <w:lang w:val="fr-CA"/>
        </w:rPr>
        <w:t xml:space="preserve"> (1) quelle norme de contrôle s</w:t>
      </w:r>
      <w:r>
        <w:rPr>
          <w:rFonts w:cs="Times New Roman"/>
          <w:lang w:val="fr-CA"/>
        </w:rPr>
        <w:t>’</w:t>
      </w:r>
      <w:r w:rsidRPr="00CB18F4">
        <w:rPr>
          <w:rFonts w:cs="Times New Roman"/>
          <w:lang w:val="fr-CA"/>
        </w:rPr>
        <w:t xml:space="preserve">applique à la question de la validité des </w:t>
      </w:r>
      <w:r>
        <w:rPr>
          <w:rFonts w:cs="Times New Roman"/>
          <w:lang w:val="fr-CA"/>
        </w:rPr>
        <w:t>r</w:t>
      </w:r>
      <w:r w:rsidRPr="00CB18F4">
        <w:rPr>
          <w:rFonts w:cs="Times New Roman"/>
          <w:lang w:val="fr-CA"/>
        </w:rPr>
        <w:t>ègles adoptées par un barreau, et (2) à la lumière de la norme de contrôle applicable, les règles contestées sont</w:t>
      </w:r>
      <w:r>
        <w:rPr>
          <w:rFonts w:cs="Times New Roman"/>
          <w:lang w:val="fr-CA"/>
        </w:rPr>
        <w:noBreakHyphen/>
      </w:r>
      <w:r w:rsidRPr="00CB18F4">
        <w:rPr>
          <w:rFonts w:cs="Times New Roman"/>
          <w:lang w:val="fr-CA"/>
        </w:rPr>
        <w:t>elles valides compte tenu des pouvoirs du Barreau définis par la Loi?</w:t>
      </w:r>
    </w:p>
    <w:p w:rsidR="00520294" w:rsidRPr="00CB18F4" w:rsidRDefault="00520294" w:rsidP="00987CB6">
      <w:pPr>
        <w:pStyle w:val="Title1LevelTitre1Niveau-AltL"/>
        <w:widowControl w:val="0"/>
        <w:rPr>
          <w:rFonts w:cs="Times New Roman"/>
          <w:lang w:val="fr-CA"/>
        </w:rPr>
      </w:pPr>
      <w:r w:rsidRPr="00CB18F4">
        <w:rPr>
          <w:rFonts w:cs="Times New Roman"/>
          <w:lang w:val="fr-CA"/>
        </w:rPr>
        <w:t>Analyse</w:t>
      </w:r>
    </w:p>
    <w:p w:rsidR="00520294" w:rsidRPr="00CB18F4" w:rsidRDefault="00520294" w:rsidP="00987CB6">
      <w:pPr>
        <w:pStyle w:val="ParaNoNdepar-AltN"/>
        <w:widowControl w:val="0"/>
        <w:rPr>
          <w:rFonts w:cs="Times New Roman"/>
          <w:lang w:val="fr-CA"/>
        </w:rPr>
      </w:pPr>
      <w:r w:rsidRPr="00CB18F4">
        <w:rPr>
          <w:rFonts w:cs="Times New Roman"/>
          <w:lang w:val="fr-CA"/>
        </w:rPr>
        <w:lastRenderedPageBreak/>
        <w:t>Monsieur Green a contesté les règles relatives au PPP parce qu</w:t>
      </w:r>
      <w:r>
        <w:rPr>
          <w:rFonts w:cs="Times New Roman"/>
          <w:lang w:val="fr-CA"/>
        </w:rPr>
        <w:t>’</w:t>
      </w:r>
      <w:r w:rsidRPr="00CB18F4">
        <w:rPr>
          <w:rFonts w:cs="Times New Roman"/>
          <w:lang w:val="fr-CA"/>
        </w:rPr>
        <w:t>il n</w:t>
      </w:r>
      <w:r>
        <w:rPr>
          <w:rFonts w:cs="Times New Roman"/>
          <w:lang w:val="fr-CA"/>
        </w:rPr>
        <w:t>’</w:t>
      </w:r>
      <w:r w:rsidRPr="00CB18F4">
        <w:rPr>
          <w:rFonts w:cs="Times New Roman"/>
          <w:lang w:val="fr-CA"/>
        </w:rPr>
        <w:t>est absolument pas intéressé à s</w:t>
      </w:r>
      <w:r>
        <w:rPr>
          <w:rFonts w:cs="Times New Roman"/>
          <w:lang w:val="fr-CA"/>
        </w:rPr>
        <w:t>’</w:t>
      </w:r>
      <w:r w:rsidRPr="00CB18F4">
        <w:rPr>
          <w:rFonts w:cs="Times New Roman"/>
          <w:lang w:val="fr-CA"/>
        </w:rPr>
        <w:t>y conformer. Depuis l</w:t>
      </w:r>
      <w:r>
        <w:rPr>
          <w:rFonts w:cs="Times New Roman"/>
          <w:lang w:val="fr-CA"/>
        </w:rPr>
        <w:t>’</w:t>
      </w:r>
      <w:r w:rsidRPr="00CB18F4">
        <w:rPr>
          <w:rFonts w:cs="Times New Roman"/>
          <w:lang w:val="fr-CA"/>
        </w:rPr>
        <w:t>entrée en vigueur de ces règles en 2012, il n</w:t>
      </w:r>
      <w:r>
        <w:rPr>
          <w:rFonts w:cs="Times New Roman"/>
          <w:lang w:val="fr-CA"/>
        </w:rPr>
        <w:t>’</w:t>
      </w:r>
      <w:r w:rsidRPr="00CB18F4">
        <w:rPr>
          <w:rFonts w:cs="Times New Roman"/>
          <w:lang w:val="fr-CA"/>
        </w:rPr>
        <w:t>a déclaré aucune heure de P</w:t>
      </w:r>
      <w:r>
        <w:rPr>
          <w:rFonts w:cs="Times New Roman"/>
          <w:lang w:val="fr-CA"/>
        </w:rPr>
        <w:t xml:space="preserve">PP. </w:t>
      </w:r>
      <w:r w:rsidRPr="00CB18F4">
        <w:rPr>
          <w:rFonts w:cs="Times New Roman"/>
          <w:lang w:val="fr-CA"/>
        </w:rPr>
        <w:t>Il soutient que les règles relatives à ce programme de formation sont injustes parce qu</w:t>
      </w:r>
      <w:r>
        <w:rPr>
          <w:rFonts w:cs="Times New Roman"/>
          <w:lang w:val="fr-CA"/>
        </w:rPr>
        <w:t>’</w:t>
      </w:r>
      <w:r w:rsidRPr="00CB18F4">
        <w:rPr>
          <w:rFonts w:cs="Times New Roman"/>
          <w:lang w:val="fr-CA"/>
        </w:rPr>
        <w:t>elles prévoient l</w:t>
      </w:r>
      <w:r>
        <w:rPr>
          <w:rFonts w:cs="Times New Roman"/>
          <w:lang w:val="fr-CA"/>
        </w:rPr>
        <w:t>’</w:t>
      </w:r>
      <w:r w:rsidRPr="00CB18F4">
        <w:rPr>
          <w:rFonts w:cs="Times New Roman"/>
          <w:lang w:val="fr-CA"/>
        </w:rPr>
        <w:t>infliction d</w:t>
      </w:r>
      <w:r>
        <w:rPr>
          <w:rFonts w:cs="Times New Roman"/>
          <w:lang w:val="fr-CA"/>
        </w:rPr>
        <w:t>’</w:t>
      </w:r>
      <w:r w:rsidRPr="00CB18F4">
        <w:rPr>
          <w:rFonts w:cs="Times New Roman"/>
          <w:lang w:val="fr-CA"/>
        </w:rPr>
        <w:t>une suspension, sans audience et sans droit d</w:t>
      </w:r>
      <w:r>
        <w:rPr>
          <w:rFonts w:cs="Times New Roman"/>
          <w:lang w:val="fr-CA"/>
        </w:rPr>
        <w:t>’</w:t>
      </w:r>
      <w:r w:rsidR="005967FA">
        <w:rPr>
          <w:rFonts w:cs="Times New Roman"/>
          <w:lang w:val="fr-CA"/>
        </w:rPr>
        <w:t>appel. Monsieur</w:t>
      </w:r>
      <w:r w:rsidRPr="00CB18F4">
        <w:rPr>
          <w:rFonts w:cs="Times New Roman"/>
          <w:lang w:val="fr-CA"/>
        </w:rPr>
        <w:t> Green n</w:t>
      </w:r>
      <w:r>
        <w:rPr>
          <w:rFonts w:cs="Times New Roman"/>
          <w:lang w:val="fr-CA"/>
        </w:rPr>
        <w:t>’</w:t>
      </w:r>
      <w:r w:rsidRPr="00CB18F4">
        <w:rPr>
          <w:rFonts w:cs="Times New Roman"/>
          <w:lang w:val="fr-CA"/>
        </w:rPr>
        <w:t>a cependant pas sollicité de contrôle judiciaire de la décision du Barreau de le suspendre. Il ne s</w:t>
      </w:r>
      <w:r>
        <w:rPr>
          <w:rFonts w:cs="Times New Roman"/>
          <w:lang w:val="fr-CA"/>
        </w:rPr>
        <w:t>’</w:t>
      </w:r>
      <w:r w:rsidRPr="00CB18F4">
        <w:rPr>
          <w:rFonts w:cs="Times New Roman"/>
          <w:lang w:val="fr-CA"/>
        </w:rPr>
        <w:t>est pas plaint non plus que le Barreau l</w:t>
      </w:r>
      <w:r>
        <w:rPr>
          <w:rFonts w:cs="Times New Roman"/>
          <w:lang w:val="fr-CA"/>
        </w:rPr>
        <w:t>’</w:t>
      </w:r>
      <w:r w:rsidRPr="00CB18F4">
        <w:rPr>
          <w:rFonts w:cs="Times New Roman"/>
          <w:lang w:val="fr-CA"/>
        </w:rPr>
        <w:t>avait traité de façon injuste. Il conteste plutôt les règles en cause en se fondant sur ces motifs d</w:t>
      </w:r>
      <w:r>
        <w:rPr>
          <w:rFonts w:cs="Times New Roman"/>
          <w:lang w:val="fr-CA"/>
        </w:rPr>
        <w:t>’</w:t>
      </w:r>
      <w:r w:rsidRPr="00CB18F4">
        <w:rPr>
          <w:rFonts w:cs="Times New Roman"/>
          <w:lang w:val="fr-CA"/>
        </w:rPr>
        <w:t>ordre procédural, non pas par crainte d</w:t>
      </w:r>
      <w:r>
        <w:rPr>
          <w:rFonts w:cs="Times New Roman"/>
          <w:lang w:val="fr-CA"/>
        </w:rPr>
        <w:t>’</w:t>
      </w:r>
      <w:r w:rsidRPr="00CB18F4">
        <w:rPr>
          <w:rFonts w:cs="Times New Roman"/>
          <w:lang w:val="fr-CA"/>
        </w:rPr>
        <w:t>une injustice, mais tout simplement parce qu</w:t>
      </w:r>
      <w:r>
        <w:rPr>
          <w:rFonts w:cs="Times New Roman"/>
          <w:lang w:val="fr-CA"/>
        </w:rPr>
        <w:t>’</w:t>
      </w:r>
      <w:r w:rsidRPr="00CB18F4">
        <w:rPr>
          <w:rFonts w:cs="Times New Roman"/>
          <w:lang w:val="fr-CA"/>
        </w:rPr>
        <w:t>il n</w:t>
      </w:r>
      <w:r>
        <w:rPr>
          <w:rFonts w:cs="Times New Roman"/>
          <w:lang w:val="fr-CA"/>
        </w:rPr>
        <w:t>’</w:t>
      </w:r>
      <w:r w:rsidRPr="00CB18F4">
        <w:rPr>
          <w:rFonts w:cs="Times New Roman"/>
          <w:lang w:val="fr-CA"/>
        </w:rPr>
        <w:t>est pas intéressé à assister au nombre requis d</w:t>
      </w:r>
      <w:r>
        <w:rPr>
          <w:rFonts w:cs="Times New Roman"/>
          <w:lang w:val="fr-CA"/>
        </w:rPr>
        <w:t>’</w:t>
      </w:r>
      <w:r w:rsidRPr="00CB18F4">
        <w:rPr>
          <w:rFonts w:cs="Times New Roman"/>
          <w:lang w:val="fr-CA"/>
        </w:rPr>
        <w:t>heures de P</w:t>
      </w:r>
      <w:r>
        <w:rPr>
          <w:rFonts w:cs="Times New Roman"/>
          <w:lang w:val="fr-CA"/>
        </w:rPr>
        <w:t>PP. </w:t>
      </w:r>
    </w:p>
    <w:p w:rsidR="00520294" w:rsidRPr="00CB18F4" w:rsidRDefault="00520294" w:rsidP="00987CB6">
      <w:pPr>
        <w:pStyle w:val="ParaNoNdepar-AltN"/>
        <w:widowControl w:val="0"/>
        <w:rPr>
          <w:rFonts w:cs="Times New Roman"/>
          <w:lang w:val="fr-CA"/>
        </w:rPr>
      </w:pPr>
      <w:r w:rsidRPr="00CB18F4">
        <w:rPr>
          <w:rFonts w:cs="Times New Roman"/>
          <w:lang w:val="fr-CA"/>
        </w:rPr>
        <w:t xml:space="preserve">En dépit des motivations pour lesquelles M. Green conteste les </w:t>
      </w:r>
      <w:r>
        <w:rPr>
          <w:rFonts w:cs="Times New Roman"/>
          <w:lang w:val="fr-CA"/>
        </w:rPr>
        <w:t>r</w:t>
      </w:r>
      <w:r w:rsidRPr="00CB18F4">
        <w:rPr>
          <w:rFonts w:cs="Times New Roman"/>
          <w:lang w:val="fr-CA"/>
        </w:rPr>
        <w:t>ègles</w:t>
      </w:r>
      <w:r>
        <w:rPr>
          <w:rFonts w:cs="Times New Roman"/>
          <w:lang w:val="fr-CA"/>
        </w:rPr>
        <w:t xml:space="preserve"> de PPP</w:t>
      </w:r>
      <w:r w:rsidRPr="00CB18F4">
        <w:rPr>
          <w:rFonts w:cs="Times New Roman"/>
          <w:lang w:val="fr-CA"/>
        </w:rPr>
        <w:t>, la Cour doit maintenant déterminer si celles</w:t>
      </w:r>
      <w:r>
        <w:rPr>
          <w:rFonts w:cs="Times New Roman"/>
          <w:lang w:val="fr-CA"/>
        </w:rPr>
        <w:noBreakHyphen/>
      </w:r>
      <w:r w:rsidRPr="00CB18F4">
        <w:rPr>
          <w:rFonts w:cs="Times New Roman"/>
          <w:lang w:val="fr-CA"/>
        </w:rPr>
        <w:t>ci relèvent du mandat légal du Barreau. La Cour ne s</w:t>
      </w:r>
      <w:r>
        <w:rPr>
          <w:rFonts w:cs="Times New Roman"/>
          <w:lang w:val="fr-CA"/>
        </w:rPr>
        <w:t>’</w:t>
      </w:r>
      <w:r w:rsidRPr="00CB18F4">
        <w:rPr>
          <w:rFonts w:cs="Times New Roman"/>
          <w:lang w:val="fr-CA"/>
        </w:rPr>
        <w:t>est jamais penchée sur la question de déterminer quelle est la norme de contrôle appropriée devant être appliquée dans le cas de l</w:t>
      </w:r>
      <w:r>
        <w:rPr>
          <w:rFonts w:cs="Times New Roman"/>
          <w:lang w:val="fr-CA"/>
        </w:rPr>
        <w:t>’</w:t>
      </w:r>
      <w:r w:rsidRPr="00CB18F4">
        <w:rPr>
          <w:rFonts w:cs="Times New Roman"/>
          <w:lang w:val="fr-CA"/>
        </w:rPr>
        <w:t xml:space="preserve">examen de la validité des </w:t>
      </w:r>
      <w:r>
        <w:rPr>
          <w:rFonts w:cs="Times New Roman"/>
          <w:lang w:val="fr-CA"/>
        </w:rPr>
        <w:t>r</w:t>
      </w:r>
      <w:r w:rsidRPr="00CB18F4">
        <w:rPr>
          <w:rFonts w:cs="Times New Roman"/>
          <w:lang w:val="fr-CA"/>
        </w:rPr>
        <w:t xml:space="preserve">ègles adoptées par un barreau. Le cadre relatif à la norme de contrôle judiciaire énoncé dans </w:t>
      </w:r>
      <w:r w:rsidRPr="00CB18F4">
        <w:rPr>
          <w:rFonts w:cs="Times New Roman"/>
          <w:i/>
          <w:lang w:val="fr-CA"/>
        </w:rPr>
        <w:t>Dunsmuir c. Nouveau</w:t>
      </w:r>
      <w:r>
        <w:rPr>
          <w:rFonts w:cs="Times New Roman"/>
          <w:i/>
          <w:lang w:val="fr-CA"/>
        </w:rPr>
        <w:noBreakHyphen/>
      </w:r>
      <w:r w:rsidRPr="00CB18F4">
        <w:rPr>
          <w:rFonts w:cs="Times New Roman"/>
          <w:i/>
          <w:lang w:val="fr-CA"/>
        </w:rPr>
        <w:t>Brunswick</w:t>
      </w:r>
      <w:r w:rsidRPr="00CB18F4">
        <w:rPr>
          <w:rFonts w:cs="Times New Roman"/>
          <w:lang w:val="fr-CA"/>
        </w:rPr>
        <w:t>, 2008 CSC 9, [2008] 1 R.C.S. 190</w:t>
      </w:r>
      <w:r w:rsidR="00A428D5">
        <w:rPr>
          <w:rFonts w:cs="Times New Roman"/>
          <w:lang w:val="fr-CA"/>
        </w:rPr>
        <w:t>,</w:t>
      </w:r>
      <w:r w:rsidRPr="00CB18F4">
        <w:rPr>
          <w:rFonts w:cs="Times New Roman"/>
          <w:lang w:val="fr-CA"/>
        </w:rPr>
        <w:t xml:space="preserve"> s</w:t>
      </w:r>
      <w:r>
        <w:rPr>
          <w:rFonts w:cs="Times New Roman"/>
          <w:lang w:val="fr-CA"/>
        </w:rPr>
        <w:t>’</w:t>
      </w:r>
      <w:r w:rsidRPr="00CB18F4">
        <w:rPr>
          <w:rFonts w:cs="Times New Roman"/>
          <w:lang w:val="fr-CA"/>
        </w:rPr>
        <w:t>applique en l</w:t>
      </w:r>
      <w:r>
        <w:rPr>
          <w:rFonts w:cs="Times New Roman"/>
          <w:lang w:val="fr-CA"/>
        </w:rPr>
        <w:t>’</w:t>
      </w:r>
      <w:r w:rsidRPr="00CB18F4">
        <w:rPr>
          <w:rFonts w:cs="Times New Roman"/>
          <w:lang w:val="fr-CA"/>
        </w:rPr>
        <w:t>espèce parce qu</w:t>
      </w:r>
      <w:r>
        <w:rPr>
          <w:rFonts w:cs="Times New Roman"/>
          <w:lang w:val="fr-CA"/>
        </w:rPr>
        <w:t>’</w:t>
      </w:r>
      <w:r w:rsidRPr="00CB18F4">
        <w:rPr>
          <w:rFonts w:cs="Times New Roman"/>
          <w:lang w:val="fr-CA"/>
        </w:rPr>
        <w:t>il est applicable à « tout exercice de l</w:t>
      </w:r>
      <w:r>
        <w:rPr>
          <w:rFonts w:cs="Times New Roman"/>
          <w:lang w:val="fr-CA"/>
        </w:rPr>
        <w:t>’</w:t>
      </w:r>
      <w:r w:rsidRPr="00CB18F4">
        <w:rPr>
          <w:rFonts w:cs="Times New Roman"/>
          <w:lang w:val="fr-CA"/>
        </w:rPr>
        <w:t>autorité publique</w:t>
      </w:r>
      <w:r>
        <w:rPr>
          <w:rFonts w:cs="Times New Roman"/>
          <w:lang w:val="fr-CA"/>
        </w:rPr>
        <w:t> </w:t>
      </w:r>
      <w:r w:rsidRPr="00CB18F4">
        <w:rPr>
          <w:rFonts w:cs="Times New Roman"/>
          <w:lang w:val="fr-CA"/>
        </w:rPr>
        <w:t>» et à «</w:t>
      </w:r>
      <w:r>
        <w:rPr>
          <w:rFonts w:cs="Times New Roman"/>
          <w:lang w:val="fr-CA"/>
        </w:rPr>
        <w:t> </w:t>
      </w:r>
      <w:r w:rsidRPr="00CB18F4">
        <w:rPr>
          <w:rFonts w:cs="Times New Roman"/>
          <w:lang w:val="fr-CA"/>
        </w:rPr>
        <w:t>[ceux qui exercent des] pouvoirs légaux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 xml:space="preserve">28; </w:t>
      </w:r>
      <w:r w:rsidRPr="00CB18F4">
        <w:rPr>
          <w:rFonts w:cs="Times New Roman"/>
          <w:i/>
          <w:lang w:val="fr-CA"/>
        </w:rPr>
        <w:t>Compagnie des chemins de fer nationaux du Canada c. Canada (Procureur général)</w:t>
      </w:r>
      <w:r w:rsidRPr="00CB18F4">
        <w:rPr>
          <w:rFonts w:cs="Times New Roman"/>
          <w:lang w:val="fr-CA"/>
        </w:rPr>
        <w:t xml:space="preserve">, 2014 CSC 40, [2014] 2 R.C.S. 135, </w:t>
      </w:r>
      <w:r>
        <w:rPr>
          <w:rFonts w:cs="Times New Roman"/>
          <w:lang w:val="fr-CA"/>
        </w:rPr>
        <w:t>par. </w:t>
      </w:r>
      <w:r w:rsidRPr="00CB18F4">
        <w:rPr>
          <w:rFonts w:cs="Times New Roman"/>
          <w:lang w:val="fr-CA"/>
        </w:rPr>
        <w:t xml:space="preserve">53. </w:t>
      </w:r>
    </w:p>
    <w:p w:rsidR="00520294" w:rsidRPr="00CB18F4" w:rsidRDefault="00520294" w:rsidP="00987CB6">
      <w:pPr>
        <w:pStyle w:val="Title2LevelTitre2Niveau"/>
        <w:widowControl w:val="0"/>
        <w:rPr>
          <w:rFonts w:cs="Times New Roman"/>
          <w:lang w:val="fr-CA"/>
        </w:rPr>
      </w:pPr>
      <w:r w:rsidRPr="00CB18F4">
        <w:rPr>
          <w:rFonts w:cs="Times New Roman"/>
          <w:lang w:val="fr-CA"/>
        </w:rPr>
        <w:t>La norme de contrôle applicable est celle de la décision raisonnable</w:t>
      </w:r>
    </w:p>
    <w:p w:rsidR="00520294" w:rsidRPr="00CB18F4" w:rsidRDefault="00520294" w:rsidP="00987CB6">
      <w:pPr>
        <w:pStyle w:val="ParaNoNdepar-AltN"/>
        <w:widowControl w:val="0"/>
        <w:rPr>
          <w:rFonts w:cs="Times New Roman"/>
          <w:lang w:val="fr-CA"/>
        </w:rPr>
      </w:pPr>
      <w:r w:rsidRPr="00CB18F4">
        <w:rPr>
          <w:rFonts w:cs="Times New Roman"/>
          <w:lang w:val="fr-CA"/>
        </w:rPr>
        <w:lastRenderedPageBreak/>
        <w:t>À mon avis, la norme de contrôle applicable à l</w:t>
      </w:r>
      <w:r>
        <w:rPr>
          <w:rFonts w:cs="Times New Roman"/>
          <w:lang w:val="fr-CA"/>
        </w:rPr>
        <w:t>’</w:t>
      </w:r>
      <w:r w:rsidRPr="00CB18F4">
        <w:rPr>
          <w:rFonts w:cs="Times New Roman"/>
          <w:lang w:val="fr-CA"/>
        </w:rPr>
        <w:t>examen d</w:t>
      </w:r>
      <w:r>
        <w:rPr>
          <w:rFonts w:cs="Times New Roman"/>
          <w:lang w:val="fr-CA"/>
        </w:rPr>
        <w:t>’</w:t>
      </w:r>
      <w:r w:rsidRPr="00CB18F4">
        <w:rPr>
          <w:rFonts w:cs="Times New Roman"/>
          <w:lang w:val="fr-CA"/>
        </w:rPr>
        <w:t>une règle d</w:t>
      </w:r>
      <w:r>
        <w:rPr>
          <w:rFonts w:cs="Times New Roman"/>
          <w:lang w:val="fr-CA"/>
        </w:rPr>
        <w:t>’</w:t>
      </w:r>
      <w:r w:rsidRPr="00CB18F4">
        <w:rPr>
          <w:rFonts w:cs="Times New Roman"/>
          <w:lang w:val="fr-CA"/>
        </w:rPr>
        <w:t>u</w:t>
      </w:r>
      <w:r>
        <w:rPr>
          <w:rFonts w:cs="Times New Roman"/>
          <w:lang w:val="fr-CA"/>
        </w:rPr>
        <w:t>n b</w:t>
      </w:r>
      <w:r w:rsidRPr="00CB18F4">
        <w:rPr>
          <w:rFonts w:cs="Times New Roman"/>
          <w:lang w:val="fr-CA"/>
        </w:rPr>
        <w:t>arreau est celle de la décision raisonnable. Une règle du Barreau ne sera annulée que « s</w:t>
      </w:r>
      <w:r>
        <w:rPr>
          <w:rFonts w:cs="Times New Roman"/>
          <w:lang w:val="fr-CA"/>
        </w:rPr>
        <w:t>’</w:t>
      </w:r>
      <w:r w:rsidRPr="00CB18F4">
        <w:rPr>
          <w:rFonts w:cs="Times New Roman"/>
          <w:lang w:val="fr-CA"/>
        </w:rPr>
        <w:t>il s</w:t>
      </w:r>
      <w:r>
        <w:rPr>
          <w:rFonts w:cs="Times New Roman"/>
          <w:lang w:val="fr-CA"/>
        </w:rPr>
        <w:t>’</w:t>
      </w:r>
      <w:r w:rsidRPr="00CB18F4">
        <w:rPr>
          <w:rFonts w:cs="Times New Roman"/>
          <w:lang w:val="fr-CA"/>
        </w:rPr>
        <w:t>agit d</w:t>
      </w:r>
      <w:r>
        <w:rPr>
          <w:rFonts w:cs="Times New Roman"/>
          <w:lang w:val="fr-CA"/>
        </w:rPr>
        <w:t>’</w:t>
      </w:r>
      <w:r w:rsidRPr="00CB18F4">
        <w:rPr>
          <w:rFonts w:cs="Times New Roman"/>
          <w:lang w:val="fr-CA"/>
        </w:rPr>
        <w:t>un[e] règl</w:t>
      </w:r>
      <w:r w:rsidR="00490C55">
        <w:rPr>
          <w:rFonts w:cs="Times New Roman"/>
          <w:lang w:val="fr-CA"/>
        </w:rPr>
        <w:t>[</w:t>
      </w:r>
      <w:r w:rsidRPr="00CB18F4">
        <w:rPr>
          <w:rFonts w:cs="Times New Roman"/>
          <w:lang w:val="fr-CA"/>
        </w:rPr>
        <w:t>e</w:t>
      </w:r>
      <w:r w:rsidR="00490C55">
        <w:rPr>
          <w:rFonts w:cs="Times New Roman"/>
          <w:lang w:val="fr-CA"/>
        </w:rPr>
        <w:t>]</w:t>
      </w:r>
      <w:r w:rsidRPr="00CB18F4">
        <w:rPr>
          <w:rFonts w:cs="Times New Roman"/>
          <w:lang w:val="fr-CA"/>
        </w:rPr>
        <w:t xml:space="preserve"> qui n</w:t>
      </w:r>
      <w:r>
        <w:rPr>
          <w:rFonts w:cs="Times New Roman"/>
          <w:lang w:val="fr-CA"/>
        </w:rPr>
        <w:t>’</w:t>
      </w:r>
      <w:r w:rsidRPr="00CB18F4">
        <w:rPr>
          <w:rFonts w:cs="Times New Roman"/>
          <w:lang w:val="fr-CA"/>
        </w:rPr>
        <w:t>aurait pu être adopté[e] par un organisme raisonnable tenant compte [des] facteurs [pertinents] »</w:t>
      </w:r>
      <w:r>
        <w:rPr>
          <w:rFonts w:cs="Times New Roman"/>
          <w:lang w:val="fr-CA"/>
        </w:rPr>
        <w:t> :</w:t>
      </w:r>
      <w:r w:rsidRPr="00CB18F4">
        <w:rPr>
          <w:rFonts w:cs="Times New Roman"/>
          <w:lang w:val="fr-CA"/>
        </w:rPr>
        <w:t xml:space="preserve"> </w:t>
      </w:r>
      <w:r w:rsidRPr="00CB18F4">
        <w:rPr>
          <w:rFonts w:cs="Times New Roman"/>
          <w:i/>
          <w:lang w:val="fr-CA"/>
        </w:rPr>
        <w:t>Catalyst Paper Cor</w:t>
      </w:r>
      <w:r>
        <w:rPr>
          <w:rFonts w:cs="Times New Roman"/>
          <w:i/>
          <w:lang w:val="fr-CA"/>
        </w:rPr>
        <w:t>p. </w:t>
      </w:r>
      <w:r w:rsidRPr="00CB18F4">
        <w:rPr>
          <w:rFonts w:cs="Times New Roman"/>
          <w:i/>
          <w:lang w:val="fr-CA"/>
        </w:rPr>
        <w:t>c. North Cowichan (District)</w:t>
      </w:r>
      <w:r w:rsidRPr="00CB18F4">
        <w:rPr>
          <w:rFonts w:cs="Times New Roman"/>
          <w:lang w:val="fr-CA"/>
        </w:rPr>
        <w:t xml:space="preserve">, 2012 CSC 2, [2012] 1 R.C.S. 5, </w:t>
      </w:r>
      <w:r>
        <w:rPr>
          <w:rFonts w:cs="Times New Roman"/>
          <w:lang w:val="fr-CA"/>
        </w:rPr>
        <w:t>par. </w:t>
      </w:r>
      <w:r w:rsidRPr="00CB18F4">
        <w:rPr>
          <w:rFonts w:cs="Times New Roman"/>
          <w:lang w:val="fr-CA"/>
        </w:rPr>
        <w:t>24. Cela signifie que « la teneur » des Règles du Barreau « doit être conforme à la raison d</w:t>
      </w:r>
      <w:r>
        <w:rPr>
          <w:rFonts w:cs="Times New Roman"/>
          <w:lang w:val="fr-CA"/>
        </w:rPr>
        <w:t>’</w:t>
      </w:r>
      <w:r w:rsidRPr="00CB18F4">
        <w:rPr>
          <w:rFonts w:cs="Times New Roman"/>
          <w:lang w:val="fr-CA"/>
        </w:rPr>
        <w:t>être du régime mis sur pied par la législature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 xml:space="preserve">25; voir également </w:t>
      </w:r>
      <w:r w:rsidRPr="00CB18F4">
        <w:rPr>
          <w:rFonts w:cs="Times New Roman"/>
          <w:i/>
          <w:lang w:val="fr-CA"/>
        </w:rPr>
        <w:t>Katz Group Ca</w:t>
      </w:r>
      <w:r w:rsidR="00490C55">
        <w:rPr>
          <w:rFonts w:cs="Times New Roman"/>
          <w:i/>
          <w:lang w:val="fr-CA"/>
        </w:rPr>
        <w:t>nada Inc. c. Ontario (Santé et S</w:t>
      </w:r>
      <w:r w:rsidRPr="00CB18F4">
        <w:rPr>
          <w:rFonts w:cs="Times New Roman"/>
          <w:i/>
          <w:lang w:val="fr-CA"/>
        </w:rPr>
        <w:t>oins de longue durée)</w:t>
      </w:r>
      <w:r w:rsidRPr="00CB18F4">
        <w:rPr>
          <w:rFonts w:cs="Times New Roman"/>
          <w:lang w:val="fr-CA"/>
        </w:rPr>
        <w:t xml:space="preserve">, 2013 CSC 64, [2013] 3 R.C.S. 810, </w:t>
      </w:r>
      <w:r>
        <w:rPr>
          <w:rFonts w:cs="Times New Roman"/>
          <w:lang w:val="fr-CA"/>
        </w:rPr>
        <w:t>par. </w:t>
      </w:r>
      <w:r w:rsidRPr="00CB18F4">
        <w:rPr>
          <w:rFonts w:cs="Times New Roman"/>
          <w:lang w:val="fr-CA"/>
        </w:rPr>
        <w:t>25.</w:t>
      </w:r>
    </w:p>
    <w:p w:rsidR="00520294" w:rsidRPr="00CB18F4" w:rsidRDefault="00520294" w:rsidP="00987CB6">
      <w:pPr>
        <w:pStyle w:val="ParaNoNdepar-AltN"/>
        <w:widowControl w:val="0"/>
        <w:rPr>
          <w:rFonts w:cs="Times New Roman"/>
          <w:lang w:val="fr-CA"/>
        </w:rPr>
      </w:pPr>
      <w:r w:rsidRPr="00CB18F4">
        <w:rPr>
          <w:rFonts w:cs="Times New Roman"/>
          <w:lang w:val="fr-CA"/>
        </w:rPr>
        <w:t>Les règles adoptées par les barreaux sont semblables aux règlements adoptés par les conseils municipaux. La juge en chef McLachlin a expliqué la raison d</w:t>
      </w:r>
      <w:r>
        <w:rPr>
          <w:rFonts w:cs="Times New Roman"/>
          <w:lang w:val="fr-CA"/>
        </w:rPr>
        <w:t>’</w:t>
      </w:r>
      <w:r w:rsidRPr="00CB18F4">
        <w:rPr>
          <w:rFonts w:cs="Times New Roman"/>
          <w:lang w:val="fr-CA"/>
        </w:rPr>
        <w:t>être de cette norme de contrôle dans l</w:t>
      </w:r>
      <w:r>
        <w:rPr>
          <w:rFonts w:cs="Times New Roman"/>
          <w:lang w:val="fr-CA"/>
        </w:rPr>
        <w:t>’</w:t>
      </w:r>
      <w:r w:rsidRPr="00CB18F4">
        <w:rPr>
          <w:rFonts w:cs="Times New Roman"/>
          <w:lang w:val="fr-CA"/>
        </w:rPr>
        <w:t xml:space="preserve">arrêt </w:t>
      </w:r>
      <w:r w:rsidRPr="00CB18F4">
        <w:rPr>
          <w:rFonts w:cs="Times New Roman"/>
          <w:i/>
          <w:lang w:val="fr-CA"/>
        </w:rPr>
        <w:t>Catalyst Paper</w:t>
      </w:r>
      <w:r w:rsidRPr="000712AF">
        <w:rPr>
          <w:rFonts w:cs="Times New Roman"/>
          <w:lang w:val="fr-CA"/>
        </w:rPr>
        <w:t> :</w:t>
      </w:r>
      <w:r w:rsidRPr="00CB18F4">
        <w:rPr>
          <w:rFonts w:cs="Times New Roman"/>
          <w:lang w:val="fr-CA"/>
        </w:rPr>
        <w:t xml:space="preserve"> </w:t>
      </w:r>
    </w:p>
    <w:p w:rsidR="00520294" w:rsidRPr="00CB18F4" w:rsidRDefault="00490C55" w:rsidP="00987CB6">
      <w:pPr>
        <w:pStyle w:val="Citation-AltC"/>
        <w:widowControl w:val="0"/>
        <w:ind w:hanging="1166"/>
        <w:contextualSpacing w:val="0"/>
        <w:rPr>
          <w:lang w:val="fr-CA"/>
        </w:rPr>
      </w:pPr>
      <w:r>
        <w:rPr>
          <w:lang w:val="fr-CA"/>
        </w:rPr>
        <w:tab/>
      </w:r>
      <w:r>
        <w:rPr>
          <w:lang w:val="fr-CA"/>
        </w:rPr>
        <w:tab/>
        <w:t xml:space="preserve">. . . </w:t>
      </w:r>
      <w:r w:rsidR="00520294" w:rsidRPr="00CB18F4">
        <w:rPr>
          <w:lang w:val="fr-CA"/>
        </w:rPr>
        <w:t>la révision des règlements municipaux doit refléter le large pouvoir discrétionnaire que les législateurs provinciaux ont traditionnellement conféré aux municipalités en matière de législation déléguée. Les conseil</w:t>
      </w:r>
      <w:r w:rsidR="007A2C96">
        <w:rPr>
          <w:lang w:val="fr-CA"/>
        </w:rPr>
        <w:t>ler</w:t>
      </w:r>
      <w:r w:rsidR="00520294" w:rsidRPr="00CB18F4">
        <w:rPr>
          <w:lang w:val="fr-CA"/>
        </w:rPr>
        <w:t>s municipaux qui adoptent des règlements accomplissent une tâche qui a des répercussions sur l</w:t>
      </w:r>
      <w:r w:rsidR="00520294">
        <w:rPr>
          <w:lang w:val="fr-CA"/>
        </w:rPr>
        <w:t>’</w:t>
      </w:r>
      <w:r w:rsidR="00520294" w:rsidRPr="00CB18F4">
        <w:rPr>
          <w:lang w:val="fr-CA"/>
        </w:rPr>
        <w:t>ensemble de leur collectivité et qui est de nature législative plutôt qu</w:t>
      </w:r>
      <w:r w:rsidR="00520294">
        <w:rPr>
          <w:lang w:val="fr-CA"/>
        </w:rPr>
        <w:t>’</w:t>
      </w:r>
      <w:r w:rsidR="00520294" w:rsidRPr="00CB18F4">
        <w:rPr>
          <w:lang w:val="fr-CA"/>
        </w:rPr>
        <w:t>adjudicative. Les règlements municipaux ne sont pas des décisions quasi judiciaires. Ils font plutôt intervenir toute une gamme de considérations non juridiques, notamment sur les plans social, économique et politique. [</w:t>
      </w:r>
      <w:r w:rsidR="00520294">
        <w:rPr>
          <w:lang w:val="fr-CA"/>
        </w:rPr>
        <w:t>par. </w:t>
      </w:r>
      <w:r w:rsidR="00520294" w:rsidRPr="00CB18F4">
        <w:rPr>
          <w:lang w:val="fr-CA"/>
        </w:rPr>
        <w:t>19]</w:t>
      </w:r>
    </w:p>
    <w:p w:rsidR="00520294" w:rsidRPr="00CB18F4" w:rsidRDefault="00520294" w:rsidP="00987CB6">
      <w:pPr>
        <w:pStyle w:val="ParaNoNdepar-AltN"/>
        <w:widowControl w:val="0"/>
        <w:rPr>
          <w:rFonts w:cs="Times New Roman"/>
          <w:lang w:val="fr-CA"/>
        </w:rPr>
      </w:pPr>
      <w:r w:rsidRPr="00CB18F4">
        <w:rPr>
          <w:rFonts w:cs="Times New Roman"/>
          <w:lang w:val="fr-CA"/>
        </w:rPr>
        <w:t>Des considérations similaires sont de mise dans le contexte de règles adoptées par un barreau. Dans le cas qui nous occupe, le législateur a expressément accordé au Barreau un large pouvoir discrétionnaire pour réglementer la profession d</w:t>
      </w:r>
      <w:r>
        <w:rPr>
          <w:rFonts w:cs="Times New Roman"/>
          <w:lang w:val="fr-CA"/>
        </w:rPr>
        <w:t>’</w:t>
      </w:r>
      <w:r w:rsidRPr="00CB18F4">
        <w:rPr>
          <w:rFonts w:cs="Times New Roman"/>
          <w:lang w:val="fr-CA"/>
        </w:rPr>
        <w:t>avocat en fonction de plusieurs considérations de principe dans l</w:t>
      </w:r>
      <w:r>
        <w:rPr>
          <w:rFonts w:cs="Times New Roman"/>
          <w:lang w:val="fr-CA"/>
        </w:rPr>
        <w:t>’</w:t>
      </w:r>
      <w:r w:rsidRPr="00CB18F4">
        <w:rPr>
          <w:rFonts w:cs="Times New Roman"/>
          <w:lang w:val="fr-CA"/>
        </w:rPr>
        <w:t>intérêt public. La Loi habilite les conseillers du Barreau à adopter des règles qui s</w:t>
      </w:r>
      <w:r>
        <w:rPr>
          <w:rFonts w:cs="Times New Roman"/>
          <w:lang w:val="fr-CA"/>
        </w:rPr>
        <w:t>’</w:t>
      </w:r>
      <w:r w:rsidRPr="00CB18F4">
        <w:rPr>
          <w:rFonts w:cs="Times New Roman"/>
          <w:lang w:val="fr-CA"/>
        </w:rPr>
        <w:t xml:space="preserve">appliquent de façon </w:t>
      </w:r>
      <w:r w:rsidRPr="00CB18F4">
        <w:rPr>
          <w:rFonts w:cs="Times New Roman"/>
          <w:lang w:val="fr-CA"/>
        </w:rPr>
        <w:lastRenderedPageBreak/>
        <w:t xml:space="preserve">générale à la profession et, à ce titre, les conseillers agissent en qualité de législateurs. </w:t>
      </w:r>
    </w:p>
    <w:p w:rsidR="00520294" w:rsidRPr="00CB18F4" w:rsidRDefault="00520294" w:rsidP="00987CB6">
      <w:pPr>
        <w:pStyle w:val="ParaNoNdepar-AltN"/>
        <w:widowControl w:val="0"/>
        <w:rPr>
          <w:rFonts w:cs="Times New Roman"/>
          <w:lang w:val="fr-CA"/>
        </w:rPr>
      </w:pPr>
      <w:r w:rsidRPr="00CB18F4">
        <w:rPr>
          <w:rFonts w:cs="Times New Roman"/>
          <w:lang w:val="fr-CA"/>
        </w:rPr>
        <w:t>La norme de la décision raisonnable convient bien parce que les conseillers du Barreau sont nombreux à être élus par les membres de la profession juridique et à devoir leur rendre des comptes. S</w:t>
      </w:r>
      <w:r>
        <w:rPr>
          <w:rFonts w:cs="Times New Roman"/>
          <w:lang w:val="fr-CA"/>
        </w:rPr>
        <w:t>’</w:t>
      </w:r>
      <w:r w:rsidRPr="00CB18F4">
        <w:rPr>
          <w:rFonts w:cs="Times New Roman"/>
          <w:lang w:val="fr-CA"/>
        </w:rPr>
        <w:t>il est vrai que les membres du public n</w:t>
      </w:r>
      <w:r>
        <w:rPr>
          <w:rFonts w:cs="Times New Roman"/>
          <w:lang w:val="fr-CA"/>
        </w:rPr>
        <w:t>’</w:t>
      </w:r>
      <w:r w:rsidRPr="00CB18F4">
        <w:rPr>
          <w:rFonts w:cs="Times New Roman"/>
          <w:lang w:val="fr-CA"/>
        </w:rPr>
        <w:t>élisent pas directement les conseillers, les Règles adoptées par ces derniers ne s</w:t>
      </w:r>
      <w:r>
        <w:rPr>
          <w:rFonts w:cs="Times New Roman"/>
          <w:lang w:val="fr-CA"/>
        </w:rPr>
        <w:t>’</w:t>
      </w:r>
      <w:r w:rsidRPr="00CB18F4">
        <w:rPr>
          <w:rFonts w:cs="Times New Roman"/>
          <w:lang w:val="fr-CA"/>
        </w:rPr>
        <w:t>appliquent qu</w:t>
      </w:r>
      <w:r>
        <w:rPr>
          <w:rFonts w:cs="Times New Roman"/>
          <w:lang w:val="fr-CA"/>
        </w:rPr>
        <w:t>’</w:t>
      </w:r>
      <w:r w:rsidRPr="00CB18F4">
        <w:rPr>
          <w:rFonts w:cs="Times New Roman"/>
          <w:lang w:val="fr-CA"/>
        </w:rPr>
        <w:t>aux membres de la profession. En conséquence, les commentaires que la juge en chef McLachlin a formulés dans l</w:t>
      </w:r>
      <w:r>
        <w:rPr>
          <w:rFonts w:cs="Times New Roman"/>
          <w:lang w:val="fr-CA"/>
        </w:rPr>
        <w:t>’</w:t>
      </w:r>
      <w:r w:rsidRPr="00CB18F4">
        <w:rPr>
          <w:rFonts w:cs="Times New Roman"/>
          <w:lang w:val="fr-CA"/>
        </w:rPr>
        <w:t xml:space="preserve">arrêt </w:t>
      </w:r>
      <w:r w:rsidRPr="00CB18F4">
        <w:rPr>
          <w:rFonts w:cs="Times New Roman"/>
          <w:i/>
          <w:lang w:val="fr-CA"/>
        </w:rPr>
        <w:t xml:space="preserve">Catalyst Paper </w:t>
      </w:r>
      <w:r w:rsidRPr="00CB18F4">
        <w:rPr>
          <w:rFonts w:cs="Times New Roman"/>
          <w:lang w:val="fr-CA"/>
        </w:rPr>
        <w:t>sur les règlements municipaux sont également pertinents en l</w:t>
      </w:r>
      <w:r>
        <w:rPr>
          <w:rFonts w:cs="Times New Roman"/>
          <w:lang w:val="fr-CA"/>
        </w:rPr>
        <w:t>’</w:t>
      </w:r>
      <w:r w:rsidRPr="00CB18F4">
        <w:rPr>
          <w:rFonts w:cs="Times New Roman"/>
          <w:lang w:val="fr-CA"/>
        </w:rPr>
        <w:t>espèce</w:t>
      </w:r>
      <w:r>
        <w:rPr>
          <w:rFonts w:cs="Times New Roman"/>
          <w:lang w:val="fr-CA"/>
        </w:rPr>
        <w:t> :</w:t>
      </w:r>
      <w:r w:rsidR="00490C55">
        <w:rPr>
          <w:rFonts w:cs="Times New Roman"/>
          <w:lang w:val="fr-CA"/>
        </w:rPr>
        <w:t xml:space="preserve"> « . . .</w:t>
      </w:r>
      <w:r w:rsidRPr="00CB18F4">
        <w:rPr>
          <w:rFonts w:cs="Times New Roman"/>
          <w:lang w:val="fr-CA"/>
        </w:rPr>
        <w:t xml:space="preserve"> la norme de la décision raisonnable signifie que les tribunaux doivent respecter le devoir qui incombe aux représentants élus de servir leurs concitoyens, qui les ont élus et devant qui ils sont ultimement responsables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19.</w:t>
      </w:r>
    </w:p>
    <w:p w:rsidR="00520294" w:rsidRPr="00CB18F4" w:rsidRDefault="00520294" w:rsidP="00987CB6">
      <w:pPr>
        <w:pStyle w:val="ParaNoNdepar-AltN"/>
        <w:widowControl w:val="0"/>
        <w:rPr>
          <w:rFonts w:cs="Times New Roman"/>
          <w:lang w:val="fr-CA"/>
        </w:rPr>
      </w:pPr>
      <w:r w:rsidRPr="00CB18F4">
        <w:rPr>
          <w:rFonts w:cs="Times New Roman"/>
          <w:lang w:val="fr-CA"/>
        </w:rPr>
        <w:t>En plus de l</w:t>
      </w:r>
      <w:r>
        <w:rPr>
          <w:rFonts w:cs="Times New Roman"/>
          <w:lang w:val="fr-CA"/>
        </w:rPr>
        <w:t>’</w:t>
      </w:r>
      <w:r w:rsidRPr="00CB18F4">
        <w:rPr>
          <w:rFonts w:cs="Times New Roman"/>
          <w:lang w:val="fr-CA"/>
        </w:rPr>
        <w:t xml:space="preserve">enseignement spécifique fourni dans </w:t>
      </w:r>
      <w:r w:rsidRPr="00CB18F4">
        <w:rPr>
          <w:rFonts w:cs="Times New Roman"/>
          <w:i/>
          <w:lang w:val="fr-CA"/>
        </w:rPr>
        <w:t>Catalyst Paper</w:t>
      </w:r>
      <w:r w:rsidRPr="00CB18F4">
        <w:rPr>
          <w:rFonts w:cs="Times New Roman"/>
          <w:lang w:val="fr-CA"/>
        </w:rPr>
        <w:t xml:space="preserve"> — qui selon moi s</w:t>
      </w:r>
      <w:r>
        <w:rPr>
          <w:rFonts w:cs="Times New Roman"/>
          <w:lang w:val="fr-CA"/>
        </w:rPr>
        <w:t>’</w:t>
      </w:r>
      <w:r w:rsidRPr="00CB18F4">
        <w:rPr>
          <w:rFonts w:cs="Times New Roman"/>
          <w:lang w:val="fr-CA"/>
        </w:rPr>
        <w:t>applique à la présente affaire —, les principes généraux établis par la Cour sur la norme de contrôle favorisent également l</w:t>
      </w:r>
      <w:r>
        <w:rPr>
          <w:rFonts w:cs="Times New Roman"/>
          <w:lang w:val="fr-CA"/>
        </w:rPr>
        <w:t>’</w:t>
      </w:r>
      <w:r w:rsidRPr="00CB18F4">
        <w:rPr>
          <w:rFonts w:cs="Times New Roman"/>
          <w:lang w:val="fr-CA"/>
        </w:rPr>
        <w:t>application de celle de la décision raisonnable. Le Barreau a agi conformément à sa loi constitutive lorsqu</w:t>
      </w:r>
      <w:r>
        <w:rPr>
          <w:rFonts w:cs="Times New Roman"/>
          <w:lang w:val="fr-CA"/>
        </w:rPr>
        <w:t>’</w:t>
      </w:r>
      <w:r w:rsidRPr="00CB18F4">
        <w:rPr>
          <w:rFonts w:cs="Times New Roman"/>
          <w:lang w:val="fr-CA"/>
        </w:rPr>
        <w:t>il a adopté les règles contestées, ce qui entraîne une présomption d</w:t>
      </w:r>
      <w:r>
        <w:rPr>
          <w:rFonts w:cs="Times New Roman"/>
          <w:lang w:val="fr-CA"/>
        </w:rPr>
        <w:t>’</w:t>
      </w:r>
      <w:r w:rsidRPr="00CB18F4">
        <w:rPr>
          <w:rFonts w:cs="Times New Roman"/>
          <w:lang w:val="fr-CA"/>
        </w:rPr>
        <w:t>assujettissement à la norme de la décision raisonnable</w:t>
      </w:r>
      <w:r>
        <w:rPr>
          <w:rFonts w:cs="Times New Roman"/>
          <w:lang w:val="fr-CA"/>
        </w:rPr>
        <w:t> :</w:t>
      </w:r>
      <w:r w:rsidRPr="00CB18F4">
        <w:rPr>
          <w:rFonts w:cs="Times New Roman"/>
          <w:lang w:val="fr-CA"/>
        </w:rPr>
        <w:t xml:space="preserve"> </w:t>
      </w:r>
      <w:r w:rsidRPr="00CB18F4">
        <w:rPr>
          <w:rFonts w:cs="Times New Roman"/>
          <w:i/>
          <w:lang w:val="fr-CA"/>
        </w:rPr>
        <w:t>Alberta (Information and Privacy Commissioner) c</w:t>
      </w:r>
      <w:r w:rsidRPr="00CB18F4">
        <w:rPr>
          <w:rFonts w:cs="Times New Roman"/>
          <w:i/>
          <w:iCs/>
          <w:lang w:val="fr-CA"/>
        </w:rPr>
        <w:t>.</w:t>
      </w:r>
      <w:r w:rsidRPr="00CB18F4">
        <w:rPr>
          <w:rFonts w:cs="Times New Roman"/>
          <w:i/>
          <w:lang w:val="fr-CA"/>
        </w:rPr>
        <w:t xml:space="preserve"> Alberta Teachers</w:t>
      </w:r>
      <w:r>
        <w:rPr>
          <w:rFonts w:cs="Times New Roman"/>
          <w:i/>
          <w:lang w:val="fr-CA"/>
        </w:rPr>
        <w:t>’</w:t>
      </w:r>
      <w:r w:rsidRPr="00CB18F4">
        <w:rPr>
          <w:rFonts w:cs="Times New Roman"/>
          <w:i/>
          <w:lang w:val="fr-CA"/>
        </w:rPr>
        <w:t xml:space="preserve"> Association</w:t>
      </w:r>
      <w:r w:rsidRPr="00CB18F4">
        <w:rPr>
          <w:rFonts w:cs="Times New Roman"/>
          <w:lang w:val="fr-CA"/>
        </w:rPr>
        <w:t>, 2011 CSC 61, [2011] 3 R.C.S.</w:t>
      </w:r>
      <w:r>
        <w:rPr>
          <w:rFonts w:cs="Times New Roman"/>
          <w:lang w:val="fr-CA"/>
        </w:rPr>
        <w:t xml:space="preserve"> </w:t>
      </w:r>
      <w:r w:rsidRPr="00CB18F4">
        <w:rPr>
          <w:rFonts w:cs="Times New Roman"/>
          <w:lang w:val="fr-CA"/>
        </w:rPr>
        <w:t xml:space="preserve">654, </w:t>
      </w:r>
      <w:r>
        <w:rPr>
          <w:rFonts w:cs="Times New Roman"/>
          <w:lang w:val="fr-CA"/>
        </w:rPr>
        <w:t>par. </w:t>
      </w:r>
      <w:r w:rsidRPr="00CB18F4">
        <w:rPr>
          <w:rFonts w:cs="Times New Roman"/>
          <w:lang w:val="fr-CA"/>
        </w:rPr>
        <w:t>34 et 39. Dans le cas qui nous occupe, le Barreau doit donc jouir d</w:t>
      </w:r>
      <w:r>
        <w:rPr>
          <w:rFonts w:cs="Times New Roman"/>
          <w:lang w:val="fr-CA"/>
        </w:rPr>
        <w:t>’</w:t>
      </w:r>
      <w:r w:rsidRPr="00CB18F4">
        <w:rPr>
          <w:rFonts w:cs="Times New Roman"/>
          <w:lang w:val="fr-CA"/>
        </w:rPr>
        <w:t>une vaste latitude pour adopter des règles fondées sur son interprétation de « l</w:t>
      </w:r>
      <w:r>
        <w:rPr>
          <w:rFonts w:cs="Times New Roman"/>
          <w:lang w:val="fr-CA"/>
        </w:rPr>
        <w:t>’</w:t>
      </w:r>
      <w:r w:rsidRPr="00CB18F4">
        <w:rPr>
          <w:rFonts w:cs="Times New Roman"/>
          <w:lang w:val="fr-CA"/>
        </w:rPr>
        <w:t>intérêt public » aux termes de sa loi habilitante</w:t>
      </w:r>
      <w:r>
        <w:rPr>
          <w:rFonts w:cs="Times New Roman"/>
          <w:lang w:val="fr-CA"/>
        </w:rPr>
        <w:t> :</w:t>
      </w:r>
      <w:r w:rsidRPr="00CB18F4">
        <w:rPr>
          <w:rFonts w:cs="Times New Roman"/>
          <w:lang w:val="fr-CA"/>
        </w:rPr>
        <w:t xml:space="preserve"> </w:t>
      </w:r>
      <w:r w:rsidRPr="00CB18F4">
        <w:rPr>
          <w:rFonts w:cs="Times New Roman"/>
          <w:i/>
          <w:lang w:val="fr-CA"/>
        </w:rPr>
        <w:t>Agraira c. Canada (Sécurité publique et Protection civile)</w:t>
      </w:r>
      <w:r w:rsidRPr="00CB18F4">
        <w:rPr>
          <w:rFonts w:cs="Times New Roman"/>
          <w:lang w:val="fr-CA"/>
        </w:rPr>
        <w:t xml:space="preserve">, 2013 CSC 36, [2013] 2 </w:t>
      </w:r>
      <w:r w:rsidRPr="00CB18F4">
        <w:rPr>
          <w:rFonts w:cs="Times New Roman"/>
          <w:lang w:val="fr-CA"/>
        </w:rPr>
        <w:lastRenderedPageBreak/>
        <w:t xml:space="preserve">R.C.S. 559, </w:t>
      </w:r>
      <w:r>
        <w:rPr>
          <w:rFonts w:cs="Times New Roman"/>
          <w:lang w:val="fr-CA"/>
        </w:rPr>
        <w:t>par. </w:t>
      </w:r>
      <w:r w:rsidRPr="00CB18F4">
        <w:rPr>
          <w:rFonts w:cs="Times New Roman"/>
          <w:lang w:val="fr-CA"/>
        </w:rPr>
        <w:t xml:space="preserve">50 et 87. </w:t>
      </w:r>
    </w:p>
    <w:p w:rsidR="00520294" w:rsidRPr="00CB18F4" w:rsidRDefault="00520294" w:rsidP="00987CB6">
      <w:pPr>
        <w:pStyle w:val="ParaNoNdepar-AltN"/>
        <w:widowControl w:val="0"/>
        <w:rPr>
          <w:rFonts w:cs="Times New Roman"/>
          <w:lang w:val="fr-CA"/>
        </w:rPr>
      </w:pPr>
      <w:r w:rsidRPr="00CB18F4">
        <w:rPr>
          <w:rFonts w:cs="Times New Roman"/>
          <w:lang w:val="fr-CA"/>
        </w:rPr>
        <w:t>De plus, le Barreau a l</w:t>
      </w:r>
      <w:r>
        <w:rPr>
          <w:rFonts w:cs="Times New Roman"/>
          <w:lang w:val="fr-CA"/>
        </w:rPr>
        <w:t>’</w:t>
      </w:r>
      <w:r w:rsidRPr="00CB18F4">
        <w:rPr>
          <w:rFonts w:cs="Times New Roman"/>
          <w:lang w:val="fr-CA"/>
        </w:rPr>
        <w:t>expertise voulue pour réglementer la profession juridique « sur le plan institutionnel »</w:t>
      </w:r>
      <w:r>
        <w:rPr>
          <w:rFonts w:cs="Times New Roman"/>
          <w:lang w:val="fr-CA"/>
        </w:rPr>
        <w:t> :</w:t>
      </w:r>
      <w:r w:rsidRPr="00CB18F4">
        <w:rPr>
          <w:rFonts w:cs="Times New Roman"/>
          <w:lang w:val="fr-CA"/>
        </w:rPr>
        <w:t xml:space="preserve"> </w:t>
      </w:r>
      <w:r w:rsidRPr="00CB18F4">
        <w:rPr>
          <w:rFonts w:cs="Times New Roman"/>
          <w:i/>
          <w:lang w:val="fr-CA"/>
        </w:rPr>
        <w:t>Edmonton (Ville) c. Edmonton East (Capilano) Shopping Centres Ltd.</w:t>
      </w:r>
      <w:r w:rsidRPr="00CB18F4">
        <w:rPr>
          <w:rFonts w:cs="Times New Roman"/>
          <w:lang w:val="fr-CA"/>
        </w:rPr>
        <w:t xml:space="preserve">, 2016 CSC 47, [2016] 2 R.C.S. 293, </w:t>
      </w:r>
      <w:r>
        <w:rPr>
          <w:rFonts w:cs="Times New Roman"/>
          <w:lang w:val="fr-CA"/>
        </w:rPr>
        <w:t>par. </w:t>
      </w:r>
      <w:r w:rsidRPr="00CB18F4">
        <w:rPr>
          <w:rFonts w:cs="Times New Roman"/>
          <w:lang w:val="fr-CA"/>
        </w:rPr>
        <w:t>33. La Cour a déjà reconnu l</w:t>
      </w:r>
      <w:r>
        <w:rPr>
          <w:rFonts w:cs="Times New Roman"/>
          <w:lang w:val="fr-CA"/>
        </w:rPr>
        <w:t>’</w:t>
      </w:r>
      <w:r w:rsidRPr="00CB18F4">
        <w:rPr>
          <w:rFonts w:cs="Times New Roman"/>
          <w:lang w:val="fr-CA"/>
        </w:rPr>
        <w:t>expertise particulière d</w:t>
      </w:r>
      <w:r>
        <w:rPr>
          <w:rFonts w:cs="Times New Roman"/>
          <w:lang w:val="fr-CA"/>
        </w:rPr>
        <w:t>’</w:t>
      </w:r>
      <w:r w:rsidRPr="00CB18F4">
        <w:rPr>
          <w:rFonts w:cs="Times New Roman"/>
          <w:lang w:val="fr-CA"/>
        </w:rPr>
        <w:t>organismes professionnels autonomes pour prescrire les politiques et procédures qui régissent l</w:t>
      </w:r>
      <w:r>
        <w:rPr>
          <w:rFonts w:cs="Times New Roman"/>
          <w:lang w:val="fr-CA"/>
        </w:rPr>
        <w:t>’</w:t>
      </w:r>
      <w:r w:rsidRPr="00CB18F4">
        <w:rPr>
          <w:rFonts w:cs="Times New Roman"/>
          <w:lang w:val="fr-CA"/>
        </w:rPr>
        <w:t>exercice d</w:t>
      </w:r>
      <w:r>
        <w:rPr>
          <w:rFonts w:cs="Times New Roman"/>
          <w:lang w:val="fr-CA"/>
        </w:rPr>
        <w:t>’</w:t>
      </w:r>
      <w:r w:rsidRPr="00CB18F4">
        <w:rPr>
          <w:rFonts w:cs="Times New Roman"/>
          <w:lang w:val="fr-CA"/>
        </w:rPr>
        <w:t>une profession en particulier</w:t>
      </w:r>
      <w:r>
        <w:rPr>
          <w:rFonts w:cs="Times New Roman"/>
          <w:lang w:val="fr-CA"/>
        </w:rPr>
        <w:t> :</w:t>
      </w:r>
      <w:r w:rsidRPr="00CB18F4">
        <w:rPr>
          <w:rFonts w:cs="Times New Roman"/>
          <w:lang w:val="fr-CA"/>
        </w:rPr>
        <w:t xml:space="preserve"> </w:t>
      </w:r>
      <w:r w:rsidR="00BC2E55">
        <w:rPr>
          <w:rFonts w:cs="Times New Roman"/>
          <w:i/>
          <w:lang w:val="fr-CA"/>
        </w:rPr>
        <w:t>Pearlman c. Comité j</w:t>
      </w:r>
      <w:r w:rsidRPr="00CB18F4">
        <w:rPr>
          <w:rFonts w:cs="Times New Roman"/>
          <w:i/>
          <w:lang w:val="fr-CA"/>
        </w:rPr>
        <w:t>udiciaire</w:t>
      </w:r>
      <w:r w:rsidR="00BC2E55">
        <w:rPr>
          <w:rFonts w:cs="Times New Roman"/>
          <w:i/>
          <w:lang w:val="fr-CA"/>
        </w:rPr>
        <w:t xml:space="preserve"> de la Société</w:t>
      </w:r>
      <w:r w:rsidRPr="00CB18F4">
        <w:rPr>
          <w:rFonts w:cs="Times New Roman"/>
          <w:i/>
          <w:lang w:val="fr-CA"/>
        </w:rPr>
        <w:t xml:space="preserve"> du Barreau du Manitoba</w:t>
      </w:r>
      <w:r w:rsidRPr="00CB18F4">
        <w:rPr>
          <w:rFonts w:cs="Times New Roman"/>
          <w:lang w:val="fr-CA"/>
        </w:rPr>
        <w:t xml:space="preserve">, [1991] 2 R.C.S. 869, </w:t>
      </w:r>
      <w:r>
        <w:rPr>
          <w:rFonts w:cs="Times New Roman"/>
          <w:lang w:val="fr-CA"/>
        </w:rPr>
        <w:t>p. </w:t>
      </w:r>
      <w:r w:rsidRPr="00CB18F4">
        <w:rPr>
          <w:rFonts w:cs="Times New Roman"/>
          <w:lang w:val="fr-CA"/>
        </w:rPr>
        <w:t xml:space="preserve">887. </w:t>
      </w:r>
    </w:p>
    <w:p w:rsidR="00520294" w:rsidRPr="00CB18F4" w:rsidRDefault="00520294" w:rsidP="00987CB6">
      <w:pPr>
        <w:pStyle w:val="Title2LevelTitre2Niveau"/>
        <w:widowControl w:val="0"/>
        <w:rPr>
          <w:rFonts w:cs="Times New Roman"/>
          <w:lang w:val="fr-CA"/>
        </w:rPr>
      </w:pPr>
      <w:r w:rsidRPr="00CB18F4">
        <w:rPr>
          <w:rFonts w:cs="Times New Roman"/>
          <w:lang w:val="fr-CA"/>
        </w:rPr>
        <w:t>Les règles contestées sont</w:t>
      </w:r>
      <w:r>
        <w:rPr>
          <w:rFonts w:cs="Times New Roman"/>
          <w:lang w:val="fr-CA"/>
        </w:rPr>
        <w:noBreakHyphen/>
      </w:r>
      <w:r w:rsidRPr="00CB18F4">
        <w:rPr>
          <w:rFonts w:cs="Times New Roman"/>
          <w:lang w:val="fr-CA"/>
        </w:rPr>
        <w:t>elles raisonnables compte tenu du mandat que la Loi confère au Barreau?</w:t>
      </w:r>
    </w:p>
    <w:p w:rsidR="00520294" w:rsidRPr="00CB18F4" w:rsidRDefault="00520294" w:rsidP="00987CB6">
      <w:pPr>
        <w:pStyle w:val="ParaNoNdepar-AltN"/>
        <w:widowControl w:val="0"/>
        <w:rPr>
          <w:rFonts w:cs="Times New Roman"/>
          <w:lang w:val="fr-CA"/>
        </w:rPr>
      </w:pPr>
      <w:r w:rsidRPr="00CB18F4">
        <w:rPr>
          <w:rFonts w:cs="Times New Roman"/>
          <w:lang w:val="fr-CA"/>
        </w:rPr>
        <w:t>Pour décider si les règles contestées sont raisonnables, je vais adopter une approche en deux étapes. Tout d</w:t>
      </w:r>
      <w:r>
        <w:rPr>
          <w:rFonts w:cs="Times New Roman"/>
          <w:lang w:val="fr-CA"/>
        </w:rPr>
        <w:t>’</w:t>
      </w:r>
      <w:r w:rsidRPr="00CB18F4">
        <w:rPr>
          <w:rFonts w:cs="Times New Roman"/>
          <w:lang w:val="fr-CA"/>
        </w:rPr>
        <w:t>abord, je vais interpréter la portée du mandat légal confié au Barreau, et ce, conformément au principe moderne d</w:t>
      </w:r>
      <w:r>
        <w:rPr>
          <w:rFonts w:cs="Times New Roman"/>
          <w:lang w:val="fr-CA"/>
        </w:rPr>
        <w:t>’</w:t>
      </w:r>
      <w:r w:rsidRPr="00CB18F4">
        <w:rPr>
          <w:rFonts w:cs="Times New Roman"/>
          <w:lang w:val="fr-CA"/>
        </w:rPr>
        <w:t>interprétation des lois adopté par la Cour</w:t>
      </w:r>
      <w:r>
        <w:rPr>
          <w:rFonts w:cs="Times New Roman"/>
          <w:lang w:val="fr-CA"/>
        </w:rPr>
        <w:t> :</w:t>
      </w:r>
      <w:r w:rsidRPr="00CB18F4">
        <w:rPr>
          <w:rFonts w:cs="Times New Roman"/>
          <w:lang w:val="fr-CA"/>
        </w:rPr>
        <w:t xml:space="preserve"> </w:t>
      </w:r>
      <w:r w:rsidRPr="00CB18F4">
        <w:rPr>
          <w:rFonts w:cs="Times New Roman"/>
          <w:i/>
          <w:lang w:val="fr-CA"/>
        </w:rPr>
        <w:t>Rizzo &amp; Rizzo Shoes Ltd. (Re)</w:t>
      </w:r>
      <w:r w:rsidRPr="00CB18F4">
        <w:rPr>
          <w:rFonts w:cs="Times New Roman"/>
          <w:lang w:val="fr-CA"/>
        </w:rPr>
        <w:t xml:space="preserve">, [1998] 1 R.C.S. 27, </w:t>
      </w:r>
      <w:r>
        <w:rPr>
          <w:rFonts w:cs="Times New Roman"/>
          <w:lang w:val="fr-CA"/>
        </w:rPr>
        <w:t>par. </w:t>
      </w:r>
      <w:r w:rsidRPr="00CB18F4">
        <w:rPr>
          <w:rFonts w:cs="Times New Roman"/>
          <w:lang w:val="fr-CA"/>
        </w:rPr>
        <w:t>21. Ensuite, j</w:t>
      </w:r>
      <w:r>
        <w:rPr>
          <w:rFonts w:cs="Times New Roman"/>
          <w:lang w:val="fr-CA"/>
        </w:rPr>
        <w:t>’</w:t>
      </w:r>
      <w:r w:rsidRPr="00CB18F4">
        <w:rPr>
          <w:rFonts w:cs="Times New Roman"/>
          <w:lang w:val="fr-CA"/>
        </w:rPr>
        <w:t>examinerai si, à la lumière de ce mandat, les règles contestées sont déraisonnables parce qu</w:t>
      </w:r>
      <w:r>
        <w:rPr>
          <w:rFonts w:cs="Times New Roman"/>
          <w:lang w:val="fr-CA"/>
        </w:rPr>
        <w:t>’</w:t>
      </w:r>
      <w:r w:rsidRPr="00CB18F4">
        <w:rPr>
          <w:rFonts w:cs="Times New Roman"/>
          <w:lang w:val="fr-CA"/>
        </w:rPr>
        <w:t>elles exposent les avocats à une suspension en cas de manquement aux Règles et eu égard aux protections procédurales qu</w:t>
      </w:r>
      <w:r>
        <w:rPr>
          <w:rFonts w:cs="Times New Roman"/>
          <w:lang w:val="fr-CA"/>
        </w:rPr>
        <w:t>’</w:t>
      </w:r>
      <w:r w:rsidRPr="00CB18F4">
        <w:rPr>
          <w:rFonts w:cs="Times New Roman"/>
          <w:lang w:val="fr-CA"/>
        </w:rPr>
        <w:t xml:space="preserve">elles procurent. </w:t>
      </w:r>
    </w:p>
    <w:p w:rsidR="00520294" w:rsidRPr="00CB18F4" w:rsidRDefault="00520294" w:rsidP="00987CB6">
      <w:pPr>
        <w:pStyle w:val="Title3LevelTitre3Niveau"/>
        <w:widowControl w:val="0"/>
        <w:rPr>
          <w:rFonts w:cs="Times New Roman"/>
          <w:lang w:val="fr-CA"/>
        </w:rPr>
      </w:pPr>
      <w:r w:rsidRPr="00CB18F4">
        <w:rPr>
          <w:rFonts w:cs="Times New Roman"/>
          <w:lang w:val="fr-CA"/>
        </w:rPr>
        <w:t>Le mandat légal</w:t>
      </w:r>
    </w:p>
    <w:p w:rsidR="00520294" w:rsidRPr="00CB18F4" w:rsidRDefault="00520294" w:rsidP="00987CB6">
      <w:pPr>
        <w:pStyle w:val="ParaNoNdepar-AltN"/>
        <w:widowControl w:val="0"/>
        <w:rPr>
          <w:rFonts w:cs="Times New Roman"/>
          <w:lang w:val="fr-CA"/>
        </w:rPr>
      </w:pPr>
      <w:r w:rsidRPr="00CB18F4">
        <w:rPr>
          <w:rFonts w:cs="Times New Roman"/>
          <w:lang w:val="fr-CA"/>
        </w:rPr>
        <w:t>L</w:t>
      </w:r>
      <w:r>
        <w:rPr>
          <w:rFonts w:cs="Times New Roman"/>
          <w:lang w:val="fr-CA"/>
        </w:rPr>
        <w:t>’</w:t>
      </w:r>
      <w:r w:rsidRPr="00CB18F4">
        <w:rPr>
          <w:rFonts w:cs="Times New Roman"/>
          <w:lang w:val="fr-CA"/>
        </w:rPr>
        <w:t>objet, le libellé et l</w:t>
      </w:r>
      <w:r>
        <w:rPr>
          <w:rFonts w:cs="Times New Roman"/>
          <w:lang w:val="fr-CA"/>
        </w:rPr>
        <w:t>’</w:t>
      </w:r>
      <w:r w:rsidRPr="00CB18F4">
        <w:rPr>
          <w:rFonts w:cs="Times New Roman"/>
          <w:lang w:val="fr-CA"/>
        </w:rPr>
        <w:t>économie de la Loi militent en faveur d</w:t>
      </w:r>
      <w:r>
        <w:rPr>
          <w:rFonts w:cs="Times New Roman"/>
          <w:lang w:val="fr-CA"/>
        </w:rPr>
        <w:t>’</w:t>
      </w:r>
      <w:r w:rsidRPr="00CB18F4">
        <w:rPr>
          <w:rFonts w:cs="Times New Roman"/>
          <w:lang w:val="fr-CA"/>
        </w:rPr>
        <w:t xml:space="preserve">une </w:t>
      </w:r>
      <w:r w:rsidRPr="00CB18F4">
        <w:rPr>
          <w:rFonts w:cs="Times New Roman"/>
          <w:lang w:val="fr-CA"/>
        </w:rPr>
        <w:lastRenderedPageBreak/>
        <w:t>interprétation généreuse du pouvoir du Barreau d</w:t>
      </w:r>
      <w:r>
        <w:rPr>
          <w:rFonts w:cs="Times New Roman"/>
          <w:lang w:val="fr-CA"/>
        </w:rPr>
        <w:t>’</w:t>
      </w:r>
      <w:r w:rsidRPr="00CB18F4">
        <w:rPr>
          <w:rFonts w:cs="Times New Roman"/>
          <w:lang w:val="fr-CA"/>
        </w:rPr>
        <w:t xml:space="preserve">adopter des règles. </w:t>
      </w:r>
    </w:p>
    <w:p w:rsidR="00520294" w:rsidRPr="00CB18F4" w:rsidRDefault="00520294" w:rsidP="00987CB6">
      <w:pPr>
        <w:pStyle w:val="Title4LevelTitre4Niveau"/>
        <w:widowControl w:val="0"/>
        <w:rPr>
          <w:rFonts w:cs="Times New Roman"/>
          <w:lang w:val="fr-CA"/>
        </w:rPr>
      </w:pPr>
      <w:r w:rsidRPr="00CB18F4">
        <w:rPr>
          <w:rFonts w:cs="Times New Roman"/>
          <w:lang w:val="fr-CA"/>
        </w:rPr>
        <w:t>Objet de la Loi</w:t>
      </w:r>
    </w:p>
    <w:p w:rsidR="00520294" w:rsidRPr="00CB18F4" w:rsidRDefault="00520294" w:rsidP="00987CB6">
      <w:pPr>
        <w:pStyle w:val="ParaNoNdepar-AltN"/>
        <w:widowControl w:val="0"/>
        <w:rPr>
          <w:rFonts w:cs="Times New Roman"/>
          <w:lang w:val="fr-CA"/>
        </w:rPr>
      </w:pPr>
      <w:r w:rsidRPr="00CB18F4">
        <w:rPr>
          <w:rFonts w:cs="Times New Roman"/>
          <w:lang w:val="fr-CA"/>
        </w:rPr>
        <w:t>Je commence mon analyse avec l</w:t>
      </w:r>
      <w:r>
        <w:rPr>
          <w:rFonts w:cs="Times New Roman"/>
          <w:lang w:val="fr-CA"/>
        </w:rPr>
        <w:t>’</w:t>
      </w:r>
      <w:r w:rsidRPr="00CB18F4">
        <w:rPr>
          <w:rFonts w:cs="Times New Roman"/>
          <w:lang w:val="fr-CA"/>
        </w:rPr>
        <w:t>examen de l</w:t>
      </w:r>
      <w:r>
        <w:rPr>
          <w:rFonts w:cs="Times New Roman"/>
          <w:lang w:val="fr-CA"/>
        </w:rPr>
        <w:t>’</w:t>
      </w:r>
      <w:r w:rsidRPr="00CB18F4">
        <w:rPr>
          <w:rFonts w:cs="Times New Roman"/>
          <w:lang w:val="fr-CA"/>
        </w:rPr>
        <w:t xml:space="preserve">objet de la </w:t>
      </w:r>
      <w:r>
        <w:rPr>
          <w:rFonts w:cs="Times New Roman"/>
          <w:lang w:val="fr-CA"/>
        </w:rPr>
        <w:t>L</w:t>
      </w:r>
      <w:r w:rsidRPr="00CB18F4">
        <w:rPr>
          <w:rFonts w:cs="Times New Roman"/>
          <w:lang w:val="fr-CA"/>
        </w:rPr>
        <w:t>oi. Le législateur a confié au Barreau un large mandat d</w:t>
      </w:r>
      <w:r>
        <w:rPr>
          <w:rFonts w:cs="Times New Roman"/>
          <w:lang w:val="fr-CA"/>
        </w:rPr>
        <w:t>’</w:t>
      </w:r>
      <w:r w:rsidRPr="00CB18F4">
        <w:rPr>
          <w:rFonts w:cs="Times New Roman"/>
          <w:lang w:val="fr-CA"/>
        </w:rPr>
        <w:t>intérêt public accompagné de vastes pouvoirs réglementaires pour accomplir ce mandat. Ce dernier doit être interprété de façon large et compatible avec l</w:t>
      </w:r>
      <w:r>
        <w:rPr>
          <w:rFonts w:cs="Times New Roman"/>
          <w:lang w:val="fr-CA"/>
        </w:rPr>
        <w:t>’</w:t>
      </w:r>
      <w:r w:rsidRPr="00CB18F4">
        <w:rPr>
          <w:rFonts w:cs="Times New Roman"/>
          <w:lang w:val="fr-CA"/>
        </w:rPr>
        <w:t xml:space="preserve">objet de la </w:t>
      </w:r>
      <w:r>
        <w:rPr>
          <w:rFonts w:cs="Times New Roman"/>
          <w:lang w:val="fr-CA"/>
        </w:rPr>
        <w:t>L</w:t>
      </w:r>
      <w:r w:rsidRPr="00CB18F4">
        <w:rPr>
          <w:rFonts w:cs="Times New Roman"/>
          <w:lang w:val="fr-CA"/>
        </w:rPr>
        <w:t>oi</w:t>
      </w:r>
      <w:r>
        <w:rPr>
          <w:rFonts w:cs="Times New Roman"/>
          <w:lang w:val="fr-CA"/>
        </w:rPr>
        <w:t> :</w:t>
      </w:r>
      <w:r w:rsidRPr="00CB18F4">
        <w:rPr>
          <w:rFonts w:cs="Times New Roman"/>
          <w:lang w:val="fr-CA"/>
        </w:rPr>
        <w:t xml:space="preserve"> </w:t>
      </w:r>
      <w:r w:rsidRPr="00CB18F4">
        <w:rPr>
          <w:rFonts w:cs="Times New Roman"/>
          <w:i/>
          <w:lang w:val="fr-CA"/>
        </w:rPr>
        <w:t>United Taxi Drivers</w:t>
      </w:r>
      <w:r>
        <w:rPr>
          <w:rFonts w:cs="Times New Roman"/>
          <w:i/>
          <w:lang w:val="fr-CA"/>
        </w:rPr>
        <w:t>’</w:t>
      </w:r>
      <w:r w:rsidRPr="00CB18F4">
        <w:rPr>
          <w:rFonts w:cs="Times New Roman"/>
          <w:i/>
          <w:lang w:val="fr-CA"/>
        </w:rPr>
        <w:t xml:space="preserve"> Fellowship of Southern Alberta c. Calgary (Ville)</w:t>
      </w:r>
      <w:r w:rsidRPr="00CB18F4">
        <w:rPr>
          <w:rFonts w:cs="Times New Roman"/>
          <w:lang w:val="fr-CA"/>
        </w:rPr>
        <w:t xml:space="preserve">, 2004 CSC 19, [2004] 1 R.C.S. 485, </w:t>
      </w:r>
      <w:r>
        <w:rPr>
          <w:rFonts w:cs="Times New Roman"/>
          <w:lang w:val="fr-CA"/>
        </w:rPr>
        <w:t>par. </w:t>
      </w:r>
      <w:r w:rsidR="00B02C5B">
        <w:rPr>
          <w:rFonts w:cs="Times New Roman"/>
          <w:lang w:val="fr-CA"/>
        </w:rPr>
        <w:t>6-</w:t>
      </w:r>
      <w:r w:rsidRPr="00CB18F4">
        <w:rPr>
          <w:rFonts w:cs="Times New Roman"/>
          <w:lang w:val="fr-CA"/>
        </w:rPr>
        <w:t xml:space="preserve">8; </w:t>
      </w:r>
      <w:r w:rsidRPr="00CB18F4">
        <w:rPr>
          <w:rFonts w:cs="Times New Roman"/>
          <w:i/>
          <w:lang w:val="fr-CA"/>
        </w:rPr>
        <w:t>Loi d</w:t>
      </w:r>
      <w:r>
        <w:rPr>
          <w:rFonts w:cs="Times New Roman"/>
          <w:i/>
          <w:lang w:val="fr-CA"/>
        </w:rPr>
        <w:t>’</w:t>
      </w:r>
      <w:r w:rsidRPr="00CB18F4">
        <w:rPr>
          <w:rFonts w:cs="Times New Roman"/>
          <w:i/>
          <w:lang w:val="fr-CA"/>
        </w:rPr>
        <w:t>interprétation</w:t>
      </w:r>
      <w:r w:rsidRPr="00CB18F4">
        <w:rPr>
          <w:rFonts w:cs="Times New Roman"/>
          <w:lang w:val="fr-CA"/>
        </w:rPr>
        <w:t xml:space="preserve">, C.P.L.M., c. I80, </w:t>
      </w:r>
      <w:r>
        <w:rPr>
          <w:rFonts w:cs="Times New Roman"/>
          <w:lang w:val="fr-CA"/>
        </w:rPr>
        <w:t>art. </w:t>
      </w:r>
      <w:r w:rsidRPr="00CB18F4">
        <w:rPr>
          <w:rFonts w:cs="Times New Roman"/>
          <w:lang w:val="fr-CA"/>
        </w:rPr>
        <w:t xml:space="preserve">6. </w:t>
      </w:r>
    </w:p>
    <w:p w:rsidR="00520294" w:rsidRPr="00CB18F4" w:rsidRDefault="00520294" w:rsidP="00987CB6">
      <w:pPr>
        <w:pStyle w:val="ParaNoNdepar-AltN"/>
        <w:widowControl w:val="0"/>
        <w:rPr>
          <w:rFonts w:cs="Times New Roman"/>
          <w:lang w:val="fr-CA"/>
        </w:rPr>
      </w:pPr>
      <w:r w:rsidRPr="00CB18F4">
        <w:rPr>
          <w:rFonts w:cs="Times New Roman"/>
          <w:lang w:val="fr-CA"/>
        </w:rPr>
        <w:t>D</w:t>
      </w:r>
      <w:r>
        <w:rPr>
          <w:rFonts w:cs="Times New Roman"/>
          <w:lang w:val="fr-CA"/>
        </w:rPr>
        <w:t>’</w:t>
      </w:r>
      <w:r w:rsidRPr="00CB18F4">
        <w:rPr>
          <w:rFonts w:cs="Times New Roman"/>
          <w:lang w:val="fr-CA"/>
        </w:rPr>
        <w:t>abord, la Loi contient une disposition détaillée exposant son objet, qui oblige le Barreau à agir dans l</w:t>
      </w:r>
      <w:r>
        <w:rPr>
          <w:rFonts w:cs="Times New Roman"/>
          <w:lang w:val="fr-CA"/>
        </w:rPr>
        <w:t>’</w:t>
      </w:r>
      <w:r w:rsidRPr="00CB18F4">
        <w:rPr>
          <w:rFonts w:cs="Times New Roman"/>
          <w:lang w:val="fr-CA"/>
        </w:rPr>
        <w:t>intérêt public</w:t>
      </w:r>
      <w:r>
        <w:rPr>
          <w:rFonts w:cs="Times New Roman"/>
          <w:lang w:val="fr-CA"/>
        </w:rPr>
        <w:t> :</w:t>
      </w:r>
      <w:r w:rsidR="00B02C5B">
        <w:rPr>
          <w:rFonts w:cs="Times New Roman"/>
          <w:lang w:val="fr-CA"/>
        </w:rPr>
        <w:t xml:space="preserve"> « L</w:t>
      </w:r>
      <w:r w:rsidRPr="00CB18F4">
        <w:rPr>
          <w:rFonts w:cs="Times New Roman"/>
          <w:lang w:val="fr-CA"/>
        </w:rPr>
        <w:t>a Société a pour objet de défendre et de protéger l</w:t>
      </w:r>
      <w:r>
        <w:rPr>
          <w:rFonts w:cs="Times New Roman"/>
          <w:lang w:val="fr-CA"/>
        </w:rPr>
        <w:t>’</w:t>
      </w:r>
      <w:r w:rsidRPr="00CB18F4">
        <w:rPr>
          <w:rFonts w:cs="Times New Roman"/>
          <w:lang w:val="fr-CA"/>
        </w:rPr>
        <w:t>intérêt public relativement à la prestation de services juridiques d</w:t>
      </w:r>
      <w:r>
        <w:rPr>
          <w:rFonts w:cs="Times New Roman"/>
          <w:lang w:val="fr-CA"/>
        </w:rPr>
        <w:t>’</w:t>
      </w:r>
      <w:r w:rsidRPr="00CB18F4">
        <w:rPr>
          <w:rFonts w:cs="Times New Roman"/>
          <w:lang w:val="fr-CA"/>
        </w:rPr>
        <w:t>une manière compétente, intègre et indépendante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3(1). Il revient au Barreau de définir le sens de l</w:t>
      </w:r>
      <w:r>
        <w:rPr>
          <w:rFonts w:cs="Times New Roman"/>
          <w:lang w:val="fr-CA"/>
        </w:rPr>
        <w:t>’</w:t>
      </w:r>
      <w:r w:rsidRPr="00CB18F4">
        <w:rPr>
          <w:rFonts w:cs="Times New Roman"/>
          <w:lang w:val="fr-CA"/>
        </w:rPr>
        <w:t xml:space="preserve">expression « intérêt public » qui figure dans cette disposition. Dans la poursuite de cet objet, le Barreau </w:t>
      </w:r>
      <w:r w:rsidRPr="00CB18F4">
        <w:rPr>
          <w:rFonts w:cs="Times New Roman"/>
          <w:i/>
          <w:lang w:val="fr-CA"/>
        </w:rPr>
        <w:t>doit</w:t>
      </w:r>
      <w:r>
        <w:rPr>
          <w:rFonts w:cs="Times New Roman"/>
          <w:lang w:val="fr-CA"/>
        </w:rPr>
        <w:t> :</w:t>
      </w:r>
      <w:r w:rsidRPr="00CB18F4">
        <w:rPr>
          <w:rFonts w:cs="Times New Roman"/>
          <w:lang w:val="fr-CA"/>
        </w:rPr>
        <w:t xml:space="preserve"> « a) établi[r] des normes régissant la formation [. . .] des personnes qui exercent ou veulent exercer le droit dans la province; [et] b) réglemente[r] l</w:t>
      </w:r>
      <w:r>
        <w:rPr>
          <w:rFonts w:cs="Times New Roman"/>
          <w:lang w:val="fr-CA"/>
        </w:rPr>
        <w:t>’</w:t>
      </w:r>
      <w:r w:rsidRPr="00CB18F4">
        <w:rPr>
          <w:rFonts w:cs="Times New Roman"/>
          <w:lang w:val="fr-CA"/>
        </w:rPr>
        <w:t>exercice du droit dans la province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3(2).</w:t>
      </w:r>
    </w:p>
    <w:p w:rsidR="00520294" w:rsidRPr="00CB18F4" w:rsidRDefault="00520294" w:rsidP="00987CB6">
      <w:pPr>
        <w:pStyle w:val="ParaNoNdepar-AltN"/>
        <w:widowControl w:val="0"/>
        <w:rPr>
          <w:rFonts w:cs="Times New Roman"/>
          <w:lang w:val="fr-CA"/>
        </w:rPr>
      </w:pPr>
      <w:r w:rsidRPr="00CB18F4">
        <w:rPr>
          <w:rFonts w:cs="Times New Roman"/>
          <w:lang w:val="fr-CA"/>
        </w:rPr>
        <w:t>De plus, l</w:t>
      </w:r>
      <w:r>
        <w:rPr>
          <w:rFonts w:cs="Times New Roman"/>
          <w:lang w:val="fr-CA"/>
        </w:rPr>
        <w:t>’</w:t>
      </w:r>
      <w:r w:rsidRPr="00CB18F4">
        <w:rPr>
          <w:rFonts w:cs="Times New Roman"/>
          <w:lang w:val="fr-CA"/>
        </w:rPr>
        <w:t>indépendance que le législateur accorde au Barreau démontre son intention de donner à celui</w:t>
      </w:r>
      <w:r>
        <w:rPr>
          <w:rFonts w:cs="Times New Roman"/>
          <w:lang w:val="fr-CA"/>
        </w:rPr>
        <w:noBreakHyphen/>
      </w:r>
      <w:r w:rsidRPr="00CB18F4">
        <w:rPr>
          <w:rFonts w:cs="Times New Roman"/>
          <w:lang w:val="fr-CA"/>
        </w:rPr>
        <w:t>ci tous les pouvoirs nécessaires pour qu</w:t>
      </w:r>
      <w:r>
        <w:rPr>
          <w:rFonts w:cs="Times New Roman"/>
          <w:lang w:val="fr-CA"/>
        </w:rPr>
        <w:t>’</w:t>
      </w:r>
      <w:r w:rsidRPr="00CB18F4">
        <w:rPr>
          <w:rFonts w:cs="Times New Roman"/>
          <w:lang w:val="fr-CA"/>
        </w:rPr>
        <w:t>il régisse la conduite de ses membres. Comme la Cour l</w:t>
      </w:r>
      <w:r>
        <w:rPr>
          <w:rFonts w:cs="Times New Roman"/>
          <w:lang w:val="fr-CA"/>
        </w:rPr>
        <w:t>’</w:t>
      </w:r>
      <w:r w:rsidRPr="00CB18F4">
        <w:rPr>
          <w:rFonts w:cs="Times New Roman"/>
          <w:lang w:val="fr-CA"/>
        </w:rPr>
        <w:t>a déjà écrit, la profession d</w:t>
      </w:r>
      <w:r>
        <w:rPr>
          <w:rFonts w:cs="Times New Roman"/>
          <w:lang w:val="fr-CA"/>
        </w:rPr>
        <w:t>’</w:t>
      </w:r>
      <w:r w:rsidRPr="00CB18F4">
        <w:rPr>
          <w:rFonts w:cs="Times New Roman"/>
          <w:lang w:val="fr-CA"/>
        </w:rPr>
        <w:t>avocat au Manitoba « est [. . .] autonome à presque tous les points de vue »</w:t>
      </w:r>
      <w:r>
        <w:rPr>
          <w:rFonts w:cs="Times New Roman"/>
          <w:lang w:val="fr-CA"/>
        </w:rPr>
        <w:t> :</w:t>
      </w:r>
      <w:r w:rsidRPr="00CB18F4">
        <w:rPr>
          <w:rFonts w:cs="Times New Roman"/>
          <w:lang w:val="fr-CA"/>
        </w:rPr>
        <w:t xml:space="preserve"> </w:t>
      </w:r>
      <w:r w:rsidRPr="00CB18F4">
        <w:rPr>
          <w:rFonts w:cs="Times New Roman"/>
          <w:i/>
          <w:lang w:val="fr-CA"/>
        </w:rPr>
        <w:t>Pearlman</w:t>
      </w:r>
      <w:r w:rsidRPr="00CB18F4">
        <w:rPr>
          <w:rFonts w:cs="Times New Roman"/>
          <w:lang w:val="fr-CA"/>
        </w:rPr>
        <w:t xml:space="preserve">, </w:t>
      </w:r>
      <w:r>
        <w:rPr>
          <w:rFonts w:cs="Times New Roman"/>
          <w:lang w:val="fr-CA"/>
        </w:rPr>
        <w:t>p. </w:t>
      </w:r>
      <w:r w:rsidRPr="00CB18F4">
        <w:rPr>
          <w:rFonts w:cs="Times New Roman"/>
          <w:lang w:val="fr-CA"/>
        </w:rPr>
        <w:t xml:space="preserve">886. </w:t>
      </w:r>
    </w:p>
    <w:p w:rsidR="00520294" w:rsidRPr="00CB18F4" w:rsidRDefault="00520294" w:rsidP="00987CB6">
      <w:pPr>
        <w:pStyle w:val="ParaNoNdepar-AltN"/>
        <w:widowControl w:val="0"/>
        <w:rPr>
          <w:rFonts w:cs="Times New Roman"/>
          <w:lang w:val="fr-CA"/>
        </w:rPr>
      </w:pPr>
      <w:r w:rsidRPr="00CB18F4">
        <w:rPr>
          <w:rFonts w:cs="Times New Roman"/>
          <w:lang w:val="fr-CA"/>
        </w:rPr>
        <w:lastRenderedPageBreak/>
        <w:t>Enfin, l</w:t>
      </w:r>
      <w:r>
        <w:rPr>
          <w:rFonts w:cs="Times New Roman"/>
          <w:lang w:val="fr-CA"/>
        </w:rPr>
        <w:t>’</w:t>
      </w:r>
      <w:r w:rsidRPr="00CB18F4">
        <w:rPr>
          <w:rFonts w:cs="Times New Roman"/>
          <w:lang w:val="fr-CA"/>
        </w:rPr>
        <w:t>interprétation large du pouvoir de réglementation du Barreau est conforme à l</w:t>
      </w:r>
      <w:r>
        <w:rPr>
          <w:rFonts w:cs="Times New Roman"/>
          <w:lang w:val="fr-CA"/>
        </w:rPr>
        <w:t>’</w:t>
      </w:r>
      <w:r w:rsidRPr="00CB18F4">
        <w:rPr>
          <w:rFonts w:cs="Times New Roman"/>
          <w:lang w:val="fr-CA"/>
        </w:rPr>
        <w:t>approche adoptée par la Cour dans des décisions antérieures. À titre d</w:t>
      </w:r>
      <w:r>
        <w:rPr>
          <w:rFonts w:cs="Times New Roman"/>
          <w:lang w:val="fr-CA"/>
        </w:rPr>
        <w:t>’</w:t>
      </w:r>
      <w:r w:rsidRPr="00CB18F4">
        <w:rPr>
          <w:rFonts w:cs="Times New Roman"/>
          <w:lang w:val="fr-CA"/>
        </w:rPr>
        <w:t xml:space="preserve">exemple, selon le juge Iacobucci dans </w:t>
      </w:r>
      <w:r w:rsidRPr="00CB18F4">
        <w:rPr>
          <w:rFonts w:cs="Times New Roman"/>
          <w:i/>
          <w:lang w:val="fr-CA"/>
        </w:rPr>
        <w:t>Barreau du Nouveau</w:t>
      </w:r>
      <w:r>
        <w:rPr>
          <w:rFonts w:cs="Times New Roman"/>
          <w:i/>
          <w:lang w:val="fr-CA"/>
        </w:rPr>
        <w:noBreakHyphen/>
      </w:r>
      <w:r w:rsidRPr="00CB18F4">
        <w:rPr>
          <w:rFonts w:cs="Times New Roman"/>
          <w:i/>
          <w:lang w:val="fr-CA"/>
        </w:rPr>
        <w:t xml:space="preserve">Brunswick </w:t>
      </w:r>
      <w:r w:rsidRPr="00CB18F4">
        <w:rPr>
          <w:rFonts w:cs="Times New Roman"/>
          <w:i/>
          <w:iCs/>
          <w:lang w:val="fr-CA"/>
        </w:rPr>
        <w:t>c.</w:t>
      </w:r>
      <w:r w:rsidRPr="00CB18F4">
        <w:rPr>
          <w:rFonts w:cs="Times New Roman"/>
          <w:i/>
          <w:lang w:val="fr-CA"/>
        </w:rPr>
        <w:t xml:space="preserve"> Ryan</w:t>
      </w:r>
      <w:r w:rsidRPr="00CB18F4">
        <w:rPr>
          <w:rFonts w:cs="Times New Roman"/>
          <w:lang w:val="fr-CA"/>
        </w:rPr>
        <w:t>, 2003 CSC 20, [2003] 1 R.C.S. 247</w:t>
      </w:r>
      <w:r>
        <w:rPr>
          <w:rFonts w:cs="Times New Roman"/>
          <w:lang w:val="fr-CA"/>
        </w:rPr>
        <w:t> :</w:t>
      </w:r>
      <w:r w:rsidR="00B02C5B">
        <w:rPr>
          <w:rFonts w:cs="Times New Roman"/>
          <w:lang w:val="fr-CA"/>
        </w:rPr>
        <w:t xml:space="preserve"> « I</w:t>
      </w:r>
      <w:r w:rsidRPr="00CB18F4">
        <w:rPr>
          <w:rFonts w:cs="Times New Roman"/>
          <w:lang w:val="fr-CA"/>
        </w:rPr>
        <w:t>l est clairement entendu que le Barreau est l</w:t>
      </w:r>
      <w:r>
        <w:rPr>
          <w:rFonts w:cs="Times New Roman"/>
          <w:lang w:val="fr-CA"/>
        </w:rPr>
        <w:t>’</w:t>
      </w:r>
      <w:r w:rsidRPr="00CB18F4">
        <w:rPr>
          <w:rFonts w:cs="Times New Roman"/>
          <w:lang w:val="fr-CA"/>
        </w:rPr>
        <w:t>organisme chargé au premier titre d</w:t>
      </w:r>
      <w:r>
        <w:rPr>
          <w:rFonts w:cs="Times New Roman"/>
          <w:lang w:val="fr-CA"/>
        </w:rPr>
        <w:t>’</w:t>
      </w:r>
      <w:r w:rsidRPr="00CB18F4">
        <w:rPr>
          <w:rFonts w:cs="Times New Roman"/>
          <w:lang w:val="fr-CA"/>
        </w:rPr>
        <w:t>établir les normes professionnelles et de les faire appliquer par ses membres »</w:t>
      </w:r>
      <w:r>
        <w:rPr>
          <w:rFonts w:cs="Times New Roman"/>
          <w:lang w:val="fr-CA"/>
        </w:rPr>
        <w:t> :</w:t>
      </w:r>
      <w:r w:rsidRPr="00CB18F4">
        <w:rPr>
          <w:rFonts w:cs="Times New Roman"/>
          <w:lang w:val="fr-CA"/>
        </w:rPr>
        <w:t xml:space="preserve"> </w:t>
      </w:r>
      <w:r>
        <w:rPr>
          <w:rFonts w:cs="Times New Roman"/>
          <w:lang w:val="fr-CA"/>
        </w:rPr>
        <w:t>par. </w:t>
      </w:r>
      <w:r w:rsidR="00B02C5B">
        <w:rPr>
          <w:rFonts w:cs="Times New Roman"/>
          <w:lang w:val="fr-CA"/>
        </w:rPr>
        <w:t>40. De plus, la j</w:t>
      </w:r>
      <w:r w:rsidRPr="00CB18F4">
        <w:rPr>
          <w:rFonts w:cs="Times New Roman"/>
          <w:lang w:val="fr-CA"/>
        </w:rPr>
        <w:t xml:space="preserve">uge en chef </w:t>
      </w:r>
      <w:r w:rsidR="00B02C5B">
        <w:rPr>
          <w:rFonts w:cs="Times New Roman"/>
          <w:lang w:val="fr-CA"/>
        </w:rPr>
        <w:t xml:space="preserve">McLachlin </w:t>
      </w:r>
      <w:r w:rsidRPr="00CB18F4">
        <w:rPr>
          <w:rFonts w:cs="Times New Roman"/>
          <w:lang w:val="fr-CA"/>
        </w:rPr>
        <w:t xml:space="preserve">a écrit dans </w:t>
      </w:r>
      <w:r w:rsidRPr="00CB18F4">
        <w:rPr>
          <w:rFonts w:cs="Times New Roman"/>
          <w:i/>
          <w:lang w:val="fr-CA"/>
        </w:rPr>
        <w:t>Compagnie des chemins de fer nationaux du Canada c. McKercher LLP</w:t>
      </w:r>
      <w:r w:rsidRPr="00CB18F4">
        <w:rPr>
          <w:rFonts w:cs="Times New Roman"/>
          <w:lang w:val="fr-CA"/>
        </w:rPr>
        <w:t>, 2013 CSC 39, [2013] 2 R.C.S. 649, que « [l]es règles du barreau se veulent des règles générales applicables à tous les membres pour assurer l</w:t>
      </w:r>
      <w:r>
        <w:rPr>
          <w:rFonts w:cs="Times New Roman"/>
          <w:lang w:val="fr-CA"/>
        </w:rPr>
        <w:t>’</w:t>
      </w:r>
      <w:r w:rsidRPr="00CB18F4">
        <w:rPr>
          <w:rFonts w:cs="Times New Roman"/>
          <w:lang w:val="fr-CA"/>
        </w:rPr>
        <w:t>éthique professionnelle, protéger le public et i</w:t>
      </w:r>
      <w:r w:rsidR="00B02C5B">
        <w:rPr>
          <w:rFonts w:cs="Times New Roman"/>
          <w:lang w:val="fr-CA"/>
        </w:rPr>
        <w:t>mposer</w:t>
      </w:r>
      <w:r w:rsidRPr="00CB18F4">
        <w:rPr>
          <w:rFonts w:cs="Times New Roman"/>
          <w:lang w:val="fr-CA"/>
        </w:rPr>
        <w:t xml:space="preserve"> des sanctions disciplinaires aux avocats qui enfreignent les règles — bref, ces règles assurent le bon encadrement de la profession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15. Ces affirmations générales témoignent du vaste pouvoir de réglementation du Barreau.</w:t>
      </w:r>
    </w:p>
    <w:p w:rsidR="00520294" w:rsidRPr="00CB18F4" w:rsidRDefault="00520294" w:rsidP="00987CB6">
      <w:pPr>
        <w:pStyle w:val="Title4LevelTitre4Niveau"/>
        <w:widowControl w:val="0"/>
        <w:rPr>
          <w:rFonts w:cs="Times New Roman"/>
          <w:lang w:val="fr-CA"/>
        </w:rPr>
      </w:pPr>
      <w:r w:rsidRPr="00CB18F4">
        <w:rPr>
          <w:rFonts w:cs="Times New Roman"/>
          <w:lang w:val="fr-CA"/>
        </w:rPr>
        <w:t xml:space="preserve">Le sens grammatical ordinaire des mots </w:t>
      </w:r>
    </w:p>
    <w:p w:rsidR="00520294" w:rsidRPr="00CB18F4" w:rsidRDefault="00520294" w:rsidP="00987CB6">
      <w:pPr>
        <w:pStyle w:val="ParaNoNdepar-AltN"/>
        <w:widowControl w:val="0"/>
        <w:rPr>
          <w:rFonts w:cs="Times New Roman"/>
          <w:lang w:val="fr-CA"/>
        </w:rPr>
      </w:pPr>
      <w:r w:rsidRPr="00CB18F4">
        <w:rPr>
          <w:rFonts w:cs="Times New Roman"/>
          <w:lang w:val="fr-CA"/>
        </w:rPr>
        <w:t>Le libellé de la Loi indique également la portée de l</w:t>
      </w:r>
      <w:r>
        <w:rPr>
          <w:rFonts w:cs="Times New Roman"/>
          <w:lang w:val="fr-CA"/>
        </w:rPr>
        <w:t>’</w:t>
      </w:r>
      <w:r w:rsidRPr="00CB18F4">
        <w:rPr>
          <w:rFonts w:cs="Times New Roman"/>
          <w:lang w:val="fr-CA"/>
        </w:rPr>
        <w:t>autorité du Barreau et de son pouvoir de réglementation. La Loi impose aux conseillers l</w:t>
      </w:r>
      <w:r>
        <w:rPr>
          <w:rFonts w:cs="Times New Roman"/>
          <w:lang w:val="fr-CA"/>
        </w:rPr>
        <w:t>’</w:t>
      </w:r>
      <w:r w:rsidRPr="00CB18F4">
        <w:rPr>
          <w:rFonts w:cs="Times New Roman"/>
          <w:lang w:val="fr-CA"/>
        </w:rPr>
        <w:t>obligation d</w:t>
      </w:r>
      <w:r>
        <w:rPr>
          <w:rFonts w:cs="Times New Roman"/>
          <w:lang w:val="fr-CA"/>
        </w:rPr>
        <w:t>’</w:t>
      </w:r>
      <w:r w:rsidRPr="00CB18F4">
        <w:rPr>
          <w:rFonts w:cs="Times New Roman"/>
          <w:lang w:val="fr-CA"/>
        </w:rPr>
        <w:t>« établi[r] des normes régissant la formation [. . .] des personnes qui exercent ou veulent exercer le droit » au Manitoba</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 xml:space="preserve">3(2)a). Compte tenu de cette obligation, ses </w:t>
      </w:r>
      <w:r>
        <w:rPr>
          <w:rFonts w:cs="Times New Roman"/>
          <w:lang w:val="fr-CA"/>
        </w:rPr>
        <w:t>par. </w:t>
      </w:r>
      <w:r w:rsidRPr="00CB18F4">
        <w:rPr>
          <w:rFonts w:cs="Times New Roman"/>
          <w:lang w:val="fr-CA"/>
        </w:rPr>
        <w:t>4(5) et 4(6) investissent le Barreau d</w:t>
      </w:r>
      <w:r>
        <w:rPr>
          <w:rFonts w:cs="Times New Roman"/>
          <w:lang w:val="fr-CA"/>
        </w:rPr>
        <w:t>’</w:t>
      </w:r>
      <w:r w:rsidRPr="00CB18F4">
        <w:rPr>
          <w:rFonts w:cs="Times New Roman"/>
          <w:lang w:val="fr-CA"/>
        </w:rPr>
        <w:t>un pouvoir de réglementation non limitatif afin que celui</w:t>
      </w:r>
      <w:r>
        <w:rPr>
          <w:rFonts w:cs="Times New Roman"/>
          <w:lang w:val="fr-CA"/>
        </w:rPr>
        <w:noBreakHyphen/>
      </w:r>
      <w:r w:rsidRPr="00CB18F4">
        <w:rPr>
          <w:rFonts w:cs="Times New Roman"/>
          <w:lang w:val="fr-CA"/>
        </w:rPr>
        <w:t>ci puisse atteindre cet objectif ainsi que ses autres objectifs d</w:t>
      </w:r>
      <w:r>
        <w:rPr>
          <w:rFonts w:cs="Times New Roman"/>
          <w:lang w:val="fr-CA"/>
        </w:rPr>
        <w:t>’</w:t>
      </w:r>
      <w:r w:rsidRPr="00CB18F4">
        <w:rPr>
          <w:rFonts w:cs="Times New Roman"/>
          <w:lang w:val="fr-CA"/>
        </w:rPr>
        <w:t xml:space="preserve">intérêt public. Le </w:t>
      </w:r>
      <w:r w:rsidR="00B02C5B">
        <w:rPr>
          <w:rFonts w:cs="Times New Roman"/>
          <w:lang w:val="fr-CA"/>
        </w:rPr>
        <w:t>paragraphe</w:t>
      </w:r>
      <w:r>
        <w:rPr>
          <w:rFonts w:cs="Times New Roman"/>
          <w:lang w:val="fr-CA"/>
        </w:rPr>
        <w:t> </w:t>
      </w:r>
      <w:r w:rsidRPr="00CB18F4">
        <w:rPr>
          <w:rFonts w:cs="Times New Roman"/>
          <w:lang w:val="fr-CA"/>
        </w:rPr>
        <w:t>4(5) indique qu</w:t>
      </w:r>
      <w:r>
        <w:rPr>
          <w:rFonts w:cs="Times New Roman"/>
          <w:lang w:val="fr-CA"/>
        </w:rPr>
        <w:t>’</w:t>
      </w:r>
      <w:r w:rsidRPr="00CB18F4">
        <w:rPr>
          <w:rFonts w:cs="Times New Roman"/>
          <w:lang w:val="fr-CA"/>
        </w:rPr>
        <w:t>« </w:t>
      </w:r>
      <w:r w:rsidRPr="000712AF">
        <w:rPr>
          <w:rFonts w:cs="Times New Roman"/>
          <w:u w:val="single"/>
          <w:lang w:val="fr-CA"/>
        </w:rPr>
        <w:t>[</w:t>
      </w:r>
      <w:r w:rsidRPr="00CB18F4">
        <w:rPr>
          <w:rFonts w:cs="Times New Roman"/>
          <w:u w:val="single"/>
          <w:lang w:val="fr-CA"/>
        </w:rPr>
        <w:t>e]n plus</w:t>
      </w:r>
      <w:r w:rsidRPr="00B02C5B">
        <w:rPr>
          <w:rFonts w:cs="Times New Roman"/>
          <w:lang w:val="fr-CA"/>
        </w:rPr>
        <w:t xml:space="preserve"> de</w:t>
      </w:r>
      <w:r w:rsidRPr="00CB18F4">
        <w:rPr>
          <w:rFonts w:cs="Times New Roman"/>
          <w:lang w:val="fr-CA"/>
        </w:rPr>
        <w:t xml:space="preserve"> pouvoir ou de devoir </w:t>
      </w:r>
      <w:r w:rsidR="00B02C5B">
        <w:rPr>
          <w:rFonts w:cs="Times New Roman"/>
          <w:lang w:val="fr-CA"/>
        </w:rPr>
        <w:t>prendre</w:t>
      </w:r>
      <w:r w:rsidRPr="00CB18F4">
        <w:rPr>
          <w:rFonts w:cs="Times New Roman"/>
          <w:lang w:val="fr-CA"/>
        </w:rPr>
        <w:t xml:space="preserve"> des règles à des fins déterminées », les conseillers peuvent adopter des règles pour </w:t>
      </w:r>
      <w:r w:rsidRPr="00CB18F4">
        <w:rPr>
          <w:rFonts w:cs="Times New Roman"/>
          <w:lang w:val="fr-CA"/>
        </w:rPr>
        <w:lastRenderedPageBreak/>
        <w:t>« poursuivre son objet et exercer ses fonctions ». En plus des pouvoirs déjà énoncés dans la Loi, les conseillers ont donc le pouvoir d</w:t>
      </w:r>
      <w:r>
        <w:rPr>
          <w:rFonts w:cs="Times New Roman"/>
          <w:lang w:val="fr-CA"/>
        </w:rPr>
        <w:t>’</w:t>
      </w:r>
      <w:r w:rsidRPr="00CB18F4">
        <w:rPr>
          <w:rFonts w:cs="Times New Roman"/>
          <w:lang w:val="fr-CA"/>
        </w:rPr>
        <w:t>adopter des règles pour favoriser la réalisation de l</w:t>
      </w:r>
      <w:r>
        <w:rPr>
          <w:rFonts w:cs="Times New Roman"/>
          <w:lang w:val="fr-CA"/>
        </w:rPr>
        <w:t>’</w:t>
      </w:r>
      <w:r w:rsidRPr="00CB18F4">
        <w:rPr>
          <w:rFonts w:cs="Times New Roman"/>
          <w:lang w:val="fr-CA"/>
        </w:rPr>
        <w:t xml:space="preserve">objet et des obligations du Barreau. Le </w:t>
      </w:r>
      <w:r w:rsidR="00B02C5B">
        <w:rPr>
          <w:rFonts w:cs="Times New Roman"/>
          <w:lang w:val="fr-CA"/>
        </w:rPr>
        <w:t>paragraphe</w:t>
      </w:r>
      <w:r>
        <w:rPr>
          <w:rFonts w:cs="Times New Roman"/>
          <w:lang w:val="fr-CA"/>
        </w:rPr>
        <w:t> </w:t>
      </w:r>
      <w:r w:rsidRPr="00CB18F4">
        <w:rPr>
          <w:rFonts w:cs="Times New Roman"/>
          <w:lang w:val="fr-CA"/>
        </w:rPr>
        <w:t>4(6) confère aux Règles établies par les conseillers un caractère obligatoire pour tous les membres du Barreau.</w:t>
      </w:r>
    </w:p>
    <w:p w:rsidR="00520294" w:rsidRPr="00CB18F4" w:rsidRDefault="00520294" w:rsidP="00987CB6">
      <w:pPr>
        <w:pStyle w:val="ParaNoNdepar-AltN"/>
        <w:widowControl w:val="0"/>
        <w:rPr>
          <w:rFonts w:cs="Times New Roman"/>
          <w:lang w:val="fr-CA"/>
        </w:rPr>
      </w:pPr>
      <w:r w:rsidRPr="00CB18F4">
        <w:rPr>
          <w:rFonts w:cs="Times New Roman"/>
          <w:lang w:val="fr-CA"/>
        </w:rPr>
        <w:t>Plus précisément, la Loi prévoit que les conseillers peuvent « créer et maintenir ou soutenir d</w:t>
      </w:r>
      <w:r>
        <w:rPr>
          <w:rFonts w:cs="Times New Roman"/>
          <w:lang w:val="fr-CA"/>
        </w:rPr>
        <w:t>’</w:t>
      </w:r>
      <w:r w:rsidRPr="00CB18F4">
        <w:rPr>
          <w:rFonts w:cs="Times New Roman"/>
          <w:lang w:val="fr-CA"/>
        </w:rPr>
        <w:t>une autre façon un système de formation juridique, y compris [. . .] un programme de formation juridique permanente »</w:t>
      </w:r>
      <w:r>
        <w:rPr>
          <w:rFonts w:cs="Times New Roman"/>
          <w:lang w:val="fr-CA"/>
        </w:rPr>
        <w:t> :</w:t>
      </w:r>
      <w:r w:rsidRPr="00CB18F4">
        <w:rPr>
          <w:rFonts w:cs="Times New Roman"/>
          <w:lang w:val="fr-CA"/>
        </w:rPr>
        <w:t xml:space="preserve"> s</w:t>
      </w:r>
      <w:r w:rsidR="00B02C5B">
        <w:rPr>
          <w:rFonts w:cs="Times New Roman"/>
          <w:lang w:val="fr-CA"/>
        </w:rPr>
        <w:t>ous</w:t>
      </w:r>
      <w:r>
        <w:rPr>
          <w:rFonts w:cs="Times New Roman"/>
          <w:lang w:val="fr-CA"/>
        </w:rPr>
        <w:noBreakHyphen/>
        <w:t>al. </w:t>
      </w:r>
      <w:r w:rsidRPr="00CB18F4">
        <w:rPr>
          <w:rFonts w:cs="Times New Roman"/>
          <w:lang w:val="fr-CA"/>
        </w:rPr>
        <w:t>43c)(ii).</w:t>
      </w:r>
    </w:p>
    <w:p w:rsidR="00520294" w:rsidRPr="00CB18F4" w:rsidRDefault="00520294" w:rsidP="00987CB6">
      <w:pPr>
        <w:pStyle w:val="ParaNoNdepar-AltN"/>
        <w:widowControl w:val="0"/>
        <w:rPr>
          <w:rFonts w:cs="Times New Roman"/>
          <w:lang w:val="fr-CA"/>
        </w:rPr>
      </w:pPr>
      <w:r w:rsidRPr="00CB18F4">
        <w:rPr>
          <w:rFonts w:cs="Times New Roman"/>
          <w:lang w:val="fr-CA"/>
        </w:rPr>
        <w:t>En ce qui concerne une possible suspension, l</w:t>
      </w:r>
      <w:r>
        <w:rPr>
          <w:rFonts w:cs="Times New Roman"/>
          <w:lang w:val="fr-CA"/>
        </w:rPr>
        <w:t>’art. </w:t>
      </w:r>
      <w:r w:rsidRPr="00CB18F4">
        <w:rPr>
          <w:rFonts w:cs="Times New Roman"/>
          <w:lang w:val="fr-CA"/>
        </w:rPr>
        <w:t>65 habilite expressément le Barreau à « fixer les sanctions qu</w:t>
      </w:r>
      <w:r>
        <w:rPr>
          <w:rFonts w:cs="Times New Roman"/>
          <w:lang w:val="fr-CA"/>
        </w:rPr>
        <w:t>’</w:t>
      </w:r>
      <w:r w:rsidRPr="00CB18F4">
        <w:rPr>
          <w:rFonts w:cs="Times New Roman"/>
          <w:lang w:val="fr-CA"/>
        </w:rPr>
        <w:t>entraînent les contraventions à la présente loi ou aux règles ». Cette formulation ne saurait être plus claire — le Barreau peut fixer des sanctions, comme la suspension, en cas de manquement aux normes de formation que la Loi lui prescrit d</w:t>
      </w:r>
      <w:r>
        <w:rPr>
          <w:rFonts w:cs="Times New Roman"/>
          <w:lang w:val="fr-CA"/>
        </w:rPr>
        <w:t>’</w:t>
      </w:r>
      <w:r w:rsidRPr="00CB18F4">
        <w:rPr>
          <w:rFonts w:cs="Times New Roman"/>
          <w:lang w:val="fr-CA"/>
        </w:rPr>
        <w:t xml:space="preserve">adopter. </w:t>
      </w:r>
    </w:p>
    <w:p w:rsidR="00520294" w:rsidRPr="00CB18F4" w:rsidRDefault="00520294" w:rsidP="00987CB6">
      <w:pPr>
        <w:pStyle w:val="ParaNoNdepar-AltN"/>
        <w:widowControl w:val="0"/>
        <w:rPr>
          <w:rFonts w:cs="Times New Roman"/>
          <w:lang w:val="fr-CA"/>
        </w:rPr>
      </w:pPr>
      <w:r w:rsidRPr="00CB18F4">
        <w:rPr>
          <w:rFonts w:cs="Times New Roman"/>
          <w:lang w:val="fr-CA"/>
        </w:rPr>
        <w:t>L</w:t>
      </w:r>
      <w:r>
        <w:rPr>
          <w:rFonts w:cs="Times New Roman"/>
          <w:lang w:val="fr-CA"/>
        </w:rPr>
        <w:t>’</w:t>
      </w:r>
      <w:r w:rsidRPr="00CB18F4">
        <w:rPr>
          <w:rFonts w:cs="Times New Roman"/>
          <w:lang w:val="fr-CA"/>
        </w:rPr>
        <w:t>appelant invoque en outre la règle d</w:t>
      </w:r>
      <w:r>
        <w:rPr>
          <w:rFonts w:cs="Times New Roman"/>
          <w:lang w:val="fr-CA"/>
        </w:rPr>
        <w:t>’</w:t>
      </w:r>
      <w:r w:rsidRPr="00CB18F4">
        <w:rPr>
          <w:rFonts w:cs="Times New Roman"/>
          <w:lang w:val="fr-CA"/>
        </w:rPr>
        <w:t>interprétation des lois relative à « l</w:t>
      </w:r>
      <w:r>
        <w:rPr>
          <w:rFonts w:cs="Times New Roman"/>
          <w:lang w:val="fr-CA"/>
        </w:rPr>
        <w:t>’</w:t>
      </w:r>
      <w:r w:rsidRPr="00CB18F4">
        <w:rPr>
          <w:rFonts w:cs="Times New Roman"/>
          <w:lang w:val="fr-CA"/>
        </w:rPr>
        <w:t>exclusion implicite » pour soutenir qu</w:t>
      </w:r>
      <w:r>
        <w:rPr>
          <w:rFonts w:cs="Times New Roman"/>
          <w:lang w:val="fr-CA"/>
        </w:rPr>
        <w:t>’</w:t>
      </w:r>
      <w:r w:rsidRPr="00CB18F4">
        <w:rPr>
          <w:rFonts w:cs="Times New Roman"/>
          <w:lang w:val="fr-CA"/>
        </w:rPr>
        <w:t>une suspension ne peut être infligée en vertu de la Loi. Puisque cette dernière habilite expressément le Barreau à infliger une « suspension » dans quatre cas précis, mais pas dans le contexte du PPP, l</w:t>
      </w:r>
      <w:r>
        <w:rPr>
          <w:rFonts w:cs="Times New Roman"/>
          <w:lang w:val="fr-CA"/>
        </w:rPr>
        <w:t>’</w:t>
      </w:r>
      <w:r w:rsidRPr="00CB18F4">
        <w:rPr>
          <w:rFonts w:cs="Times New Roman"/>
          <w:lang w:val="fr-CA"/>
        </w:rPr>
        <w:t xml:space="preserve">appelant soutient que le législateur voulait délibérément exclure la suspension des sanctions applicables à un cas autre que ceux mentionnés. </w:t>
      </w:r>
    </w:p>
    <w:p w:rsidR="00520294" w:rsidRPr="00CB18F4" w:rsidRDefault="00520294" w:rsidP="00987CB6">
      <w:pPr>
        <w:pStyle w:val="ParaNoNdepar-AltN"/>
        <w:widowControl w:val="0"/>
        <w:rPr>
          <w:rFonts w:cs="Times New Roman"/>
          <w:lang w:val="fr-CA"/>
        </w:rPr>
      </w:pPr>
      <w:r w:rsidRPr="00CB18F4">
        <w:rPr>
          <w:rFonts w:cs="Times New Roman"/>
          <w:lang w:val="fr-CA"/>
        </w:rPr>
        <w:t>Cet argument est mal fondé pour deux raisons. D</w:t>
      </w:r>
      <w:r>
        <w:rPr>
          <w:rFonts w:cs="Times New Roman"/>
          <w:lang w:val="fr-CA"/>
        </w:rPr>
        <w:t>’</w:t>
      </w:r>
      <w:r w:rsidRPr="00CB18F4">
        <w:rPr>
          <w:rFonts w:cs="Times New Roman"/>
          <w:lang w:val="fr-CA"/>
        </w:rPr>
        <w:t xml:space="preserve">abord, il ne tient pas </w:t>
      </w:r>
      <w:r w:rsidRPr="00CB18F4">
        <w:rPr>
          <w:rFonts w:cs="Times New Roman"/>
          <w:lang w:val="fr-CA"/>
        </w:rPr>
        <w:lastRenderedPageBreak/>
        <w:t>compte de la démarche d</w:t>
      </w:r>
      <w:r>
        <w:rPr>
          <w:rFonts w:cs="Times New Roman"/>
          <w:lang w:val="fr-CA"/>
        </w:rPr>
        <w:t>’</w:t>
      </w:r>
      <w:r w:rsidRPr="00CB18F4">
        <w:rPr>
          <w:rFonts w:cs="Times New Roman"/>
          <w:lang w:val="fr-CA"/>
        </w:rPr>
        <w:t>évaluation appropriée de la légalité des règles contestées. La Cour n</w:t>
      </w:r>
      <w:r>
        <w:rPr>
          <w:rFonts w:cs="Times New Roman"/>
          <w:lang w:val="fr-CA"/>
        </w:rPr>
        <w:t>’</w:t>
      </w:r>
      <w:r w:rsidRPr="00CB18F4">
        <w:rPr>
          <w:rFonts w:cs="Times New Roman"/>
          <w:lang w:val="fr-CA"/>
        </w:rPr>
        <w:t>est pas appelée à décider si la Loi énonce expressément ce pouvoir, mais plutôt à déterminer si les règles contestées sont raisonnables compte tenu du mandat prévu par la Loi.</w:t>
      </w:r>
    </w:p>
    <w:p w:rsidR="00520294" w:rsidRPr="00CB18F4" w:rsidRDefault="00520294" w:rsidP="00987CB6">
      <w:pPr>
        <w:pStyle w:val="ParaNoNdepar-AltN"/>
        <w:widowControl w:val="0"/>
        <w:rPr>
          <w:rFonts w:cs="Times New Roman"/>
          <w:lang w:val="fr-CA"/>
        </w:rPr>
      </w:pPr>
      <w:r w:rsidRPr="00CB18F4">
        <w:rPr>
          <w:rFonts w:cs="Times New Roman"/>
          <w:lang w:val="fr-CA"/>
        </w:rPr>
        <w:t>Ensuite, la thèse de l</w:t>
      </w:r>
      <w:r>
        <w:rPr>
          <w:rFonts w:cs="Times New Roman"/>
          <w:lang w:val="fr-CA"/>
        </w:rPr>
        <w:t>’</w:t>
      </w:r>
      <w:r w:rsidRPr="00CB18F4">
        <w:rPr>
          <w:rFonts w:cs="Times New Roman"/>
          <w:lang w:val="fr-CA"/>
        </w:rPr>
        <w:t>appelant est incompatible avec la méthode d</w:t>
      </w:r>
      <w:r>
        <w:rPr>
          <w:rFonts w:cs="Times New Roman"/>
          <w:lang w:val="fr-CA"/>
        </w:rPr>
        <w:t>’</w:t>
      </w:r>
      <w:r w:rsidRPr="00CB18F4">
        <w:rPr>
          <w:rFonts w:cs="Times New Roman"/>
          <w:lang w:val="fr-CA"/>
        </w:rPr>
        <w:t>interprétation téléologique mise de l</w:t>
      </w:r>
      <w:r>
        <w:rPr>
          <w:rFonts w:cs="Times New Roman"/>
          <w:lang w:val="fr-CA"/>
        </w:rPr>
        <w:t>’</w:t>
      </w:r>
      <w:r w:rsidRPr="00CB18F4">
        <w:rPr>
          <w:rFonts w:cs="Times New Roman"/>
          <w:lang w:val="fr-CA"/>
        </w:rPr>
        <w:t>avant par la Cour. Les arguments portant sur l</w:t>
      </w:r>
      <w:r>
        <w:rPr>
          <w:rFonts w:cs="Times New Roman"/>
          <w:lang w:val="fr-CA"/>
        </w:rPr>
        <w:t>’</w:t>
      </w:r>
      <w:r w:rsidRPr="00CB18F4">
        <w:rPr>
          <w:rFonts w:cs="Times New Roman"/>
          <w:lang w:val="fr-CA"/>
        </w:rPr>
        <w:t>exclusion implicite sont simplement des arguments de texte, et ne peuvent fonder à eux seuls l</w:t>
      </w:r>
      <w:r>
        <w:rPr>
          <w:rFonts w:cs="Times New Roman"/>
          <w:lang w:val="fr-CA"/>
        </w:rPr>
        <w:t>’</w:t>
      </w:r>
      <w:r w:rsidRPr="00CB18F4">
        <w:rPr>
          <w:rFonts w:cs="Times New Roman"/>
          <w:lang w:val="fr-CA"/>
        </w:rPr>
        <w:t>interprétation d</w:t>
      </w:r>
      <w:r>
        <w:rPr>
          <w:rFonts w:cs="Times New Roman"/>
          <w:lang w:val="fr-CA"/>
        </w:rPr>
        <w:t>’</w:t>
      </w:r>
      <w:r w:rsidRPr="00CB18F4">
        <w:rPr>
          <w:rFonts w:cs="Times New Roman"/>
          <w:lang w:val="fr-CA"/>
        </w:rPr>
        <w:t>une loi</w:t>
      </w:r>
      <w:r>
        <w:rPr>
          <w:rFonts w:cs="Times New Roman"/>
          <w:lang w:val="fr-CA"/>
        </w:rPr>
        <w:t> :</w:t>
      </w:r>
      <w:r w:rsidRPr="00CB18F4">
        <w:rPr>
          <w:rFonts w:cs="Times New Roman"/>
          <w:lang w:val="fr-CA"/>
        </w:rPr>
        <w:t xml:space="preserve"> R. Sullivan, </w:t>
      </w:r>
      <w:r w:rsidRPr="00CB18F4">
        <w:rPr>
          <w:rFonts w:cs="Times New Roman"/>
          <w:i/>
          <w:lang w:val="fr-CA"/>
        </w:rPr>
        <w:t>Sullivan on the Construction of Statutes</w:t>
      </w:r>
      <w:r w:rsidRPr="00CB18F4">
        <w:rPr>
          <w:rFonts w:cs="Times New Roman"/>
          <w:lang w:val="fr-CA"/>
        </w:rPr>
        <w:t xml:space="preserve"> (6</w:t>
      </w:r>
      <w:r w:rsidRPr="00CB18F4">
        <w:rPr>
          <w:rFonts w:cs="Times New Roman"/>
          <w:vertAlign w:val="superscript"/>
          <w:lang w:val="fr-CA"/>
        </w:rPr>
        <w:t>e</w:t>
      </w:r>
      <w:r w:rsidRPr="00CB18F4">
        <w:rPr>
          <w:rFonts w:cs="Times New Roman"/>
          <w:lang w:val="fr-CA"/>
        </w:rPr>
        <w:t xml:space="preserve"> éd. 2014), </w:t>
      </w:r>
      <w:r>
        <w:rPr>
          <w:rFonts w:cs="Times New Roman"/>
          <w:lang w:val="fr-CA"/>
        </w:rPr>
        <w:t>p. </w:t>
      </w:r>
      <w:r w:rsidR="00B02C5B">
        <w:rPr>
          <w:rFonts w:cs="Times New Roman"/>
          <w:lang w:val="fr-CA"/>
        </w:rPr>
        <w:t>256-</w:t>
      </w:r>
      <w:r w:rsidRPr="00CB18F4">
        <w:rPr>
          <w:rFonts w:cs="Times New Roman"/>
          <w:lang w:val="fr-CA"/>
        </w:rPr>
        <w:t>257. Le libellé de la loi doit être considéré parallèlement à son objet et à son économie. À mon avis, l</w:t>
      </w:r>
      <w:r>
        <w:rPr>
          <w:rFonts w:cs="Times New Roman"/>
          <w:lang w:val="fr-CA"/>
        </w:rPr>
        <w:t>’</w:t>
      </w:r>
      <w:r w:rsidRPr="00CB18F4">
        <w:rPr>
          <w:rFonts w:cs="Times New Roman"/>
          <w:lang w:val="fr-CA"/>
        </w:rPr>
        <w:t>objet de la Loi ajoute à la formulation non limitative des dispositions pertinentes pour conclure que la règle de l</w:t>
      </w:r>
      <w:r>
        <w:rPr>
          <w:rFonts w:cs="Times New Roman"/>
          <w:lang w:val="fr-CA"/>
        </w:rPr>
        <w:t>’</w:t>
      </w:r>
      <w:r w:rsidRPr="00CB18F4">
        <w:rPr>
          <w:rFonts w:cs="Times New Roman"/>
          <w:lang w:val="fr-CA"/>
        </w:rPr>
        <w:t>exclusion implicite ne devrait pas être appliquée en l</w:t>
      </w:r>
      <w:r>
        <w:rPr>
          <w:rFonts w:cs="Times New Roman"/>
          <w:lang w:val="fr-CA"/>
        </w:rPr>
        <w:t>’</w:t>
      </w:r>
      <w:r w:rsidRPr="00CB18F4">
        <w:rPr>
          <w:rFonts w:cs="Times New Roman"/>
          <w:lang w:val="fr-CA"/>
        </w:rPr>
        <w:t>espèce.</w:t>
      </w:r>
    </w:p>
    <w:p w:rsidR="00520294" w:rsidRPr="00CB18F4" w:rsidRDefault="00520294" w:rsidP="00987CB6">
      <w:pPr>
        <w:pStyle w:val="Title4LevelTitre4Niveau"/>
        <w:widowControl w:val="0"/>
        <w:rPr>
          <w:rFonts w:cs="Times New Roman"/>
          <w:lang w:val="fr-CA"/>
        </w:rPr>
      </w:pPr>
      <w:r w:rsidRPr="00CB18F4">
        <w:rPr>
          <w:rFonts w:cs="Times New Roman"/>
          <w:lang w:val="fr-CA"/>
        </w:rPr>
        <w:t>Économie de la Loi</w:t>
      </w:r>
    </w:p>
    <w:p w:rsidR="00520294" w:rsidRPr="00CB18F4" w:rsidRDefault="00520294" w:rsidP="00987CB6">
      <w:pPr>
        <w:pStyle w:val="ParaNoNdepar-AltN"/>
        <w:widowControl w:val="0"/>
        <w:rPr>
          <w:rFonts w:cs="Times New Roman"/>
          <w:lang w:val="fr-CA"/>
        </w:rPr>
      </w:pPr>
      <w:r w:rsidRPr="00CB18F4">
        <w:rPr>
          <w:rFonts w:cs="Times New Roman"/>
          <w:lang w:val="fr-CA"/>
        </w:rPr>
        <w:t>L</w:t>
      </w:r>
      <w:r>
        <w:rPr>
          <w:rFonts w:cs="Times New Roman"/>
          <w:lang w:val="fr-CA"/>
        </w:rPr>
        <w:t>’</w:t>
      </w:r>
      <w:r w:rsidRPr="00CB18F4">
        <w:rPr>
          <w:rFonts w:cs="Times New Roman"/>
          <w:lang w:val="fr-CA"/>
        </w:rPr>
        <w:t>économie de la Loi fragilise davantage la position de l</w:t>
      </w:r>
      <w:r>
        <w:rPr>
          <w:rFonts w:cs="Times New Roman"/>
          <w:lang w:val="fr-CA"/>
        </w:rPr>
        <w:t>’</w:t>
      </w:r>
      <w:r w:rsidRPr="00CB18F4">
        <w:rPr>
          <w:rFonts w:cs="Times New Roman"/>
          <w:lang w:val="fr-CA"/>
        </w:rPr>
        <w:t>appelant. Il faut se rappeler que la Loi n</w:t>
      </w:r>
      <w:r>
        <w:rPr>
          <w:rFonts w:cs="Times New Roman"/>
          <w:lang w:val="fr-CA"/>
        </w:rPr>
        <w:t>’</w:t>
      </w:r>
      <w:r w:rsidRPr="00CB18F4">
        <w:rPr>
          <w:rFonts w:cs="Times New Roman"/>
          <w:lang w:val="fr-CA"/>
        </w:rPr>
        <w:t>exige pas que le Barreau mette sur pied un programme de PPP; elle prévoit seulement qu</w:t>
      </w:r>
      <w:r>
        <w:rPr>
          <w:rFonts w:cs="Times New Roman"/>
          <w:lang w:val="fr-CA"/>
        </w:rPr>
        <w:t>’</w:t>
      </w:r>
      <w:r w:rsidRPr="00CB18F4">
        <w:rPr>
          <w:rFonts w:cs="Times New Roman"/>
          <w:lang w:val="fr-CA"/>
        </w:rPr>
        <w:t>un tel programme « </w:t>
      </w:r>
      <w:r w:rsidRPr="00CB18F4">
        <w:rPr>
          <w:rFonts w:cs="Times New Roman"/>
          <w:u w:val="single"/>
          <w:lang w:val="fr-CA"/>
        </w:rPr>
        <w:t>peut</w:t>
      </w:r>
      <w:r w:rsidRPr="00CB18F4">
        <w:rPr>
          <w:rFonts w:cs="Times New Roman"/>
          <w:lang w:val="fr-CA"/>
        </w:rPr>
        <w:t> » être établi et maintenu par le Barreau</w:t>
      </w:r>
      <w:r>
        <w:rPr>
          <w:rFonts w:cs="Times New Roman"/>
          <w:lang w:val="fr-CA"/>
        </w:rPr>
        <w:t> :</w:t>
      </w:r>
      <w:r w:rsidRPr="00CB18F4">
        <w:rPr>
          <w:rFonts w:cs="Times New Roman"/>
          <w:lang w:val="fr-CA"/>
        </w:rPr>
        <w:t xml:space="preserve"> s</w:t>
      </w:r>
      <w:r w:rsidR="00B02C5B">
        <w:rPr>
          <w:rFonts w:cs="Times New Roman"/>
          <w:lang w:val="fr-CA"/>
        </w:rPr>
        <w:t>ous</w:t>
      </w:r>
      <w:r>
        <w:rPr>
          <w:rFonts w:cs="Times New Roman"/>
          <w:lang w:val="fr-CA"/>
        </w:rPr>
        <w:noBreakHyphen/>
        <w:t>al. </w:t>
      </w:r>
      <w:r w:rsidRPr="00CB18F4">
        <w:rPr>
          <w:rFonts w:cs="Times New Roman"/>
          <w:lang w:val="fr-CA"/>
        </w:rPr>
        <w:t>43c)(ii). Il serait donc absurde que le législateur établisse des sanctions en cas de non</w:t>
      </w:r>
      <w:r>
        <w:rPr>
          <w:rFonts w:cs="Times New Roman"/>
          <w:lang w:val="fr-CA"/>
        </w:rPr>
        <w:noBreakHyphen/>
      </w:r>
      <w:r w:rsidRPr="00CB18F4">
        <w:rPr>
          <w:rFonts w:cs="Times New Roman"/>
          <w:lang w:val="fr-CA"/>
        </w:rPr>
        <w:t>conformité à un programme que le Barreau n</w:t>
      </w:r>
      <w:r>
        <w:rPr>
          <w:rFonts w:cs="Times New Roman"/>
          <w:lang w:val="fr-CA"/>
        </w:rPr>
        <w:t>’</w:t>
      </w:r>
      <w:r w:rsidRPr="00CB18F4">
        <w:rPr>
          <w:rFonts w:cs="Times New Roman"/>
          <w:lang w:val="fr-CA"/>
        </w:rPr>
        <w:t xml:space="preserve">est même pas tenu de mettre sur pied. </w:t>
      </w:r>
    </w:p>
    <w:p w:rsidR="00520294" w:rsidRPr="00CB18F4" w:rsidRDefault="00520294" w:rsidP="00987CB6">
      <w:pPr>
        <w:pStyle w:val="ParaNoNdepar-AltN"/>
        <w:widowControl w:val="0"/>
        <w:rPr>
          <w:rFonts w:cs="Times New Roman"/>
          <w:lang w:val="fr-CA"/>
        </w:rPr>
      </w:pPr>
      <w:r w:rsidRPr="00CB18F4">
        <w:rPr>
          <w:rFonts w:cs="Times New Roman"/>
          <w:lang w:val="fr-CA"/>
        </w:rPr>
        <w:t>S</w:t>
      </w:r>
      <w:r>
        <w:rPr>
          <w:rFonts w:cs="Times New Roman"/>
          <w:lang w:val="fr-CA"/>
        </w:rPr>
        <w:t>’</w:t>
      </w:r>
      <w:r w:rsidRPr="00CB18F4">
        <w:rPr>
          <w:rFonts w:cs="Times New Roman"/>
          <w:lang w:val="fr-CA"/>
        </w:rPr>
        <w:t xml:space="preserve">il est vrai que seulement quatre dispositions dans la Loi prévoient que la </w:t>
      </w:r>
      <w:r w:rsidRPr="00CB18F4">
        <w:rPr>
          <w:rFonts w:cs="Times New Roman"/>
          <w:lang w:val="fr-CA"/>
        </w:rPr>
        <w:lastRenderedPageBreak/>
        <w:t>« suspension » peut constituer une sanction, chacune de ces dispositions est le pendant de règles et procédures obligatoires qui sont déjà établies par la Loi. La suspension en cas de défaut de paiement des droits correspond à l</w:t>
      </w:r>
      <w:r>
        <w:rPr>
          <w:rFonts w:cs="Times New Roman"/>
          <w:lang w:val="fr-CA"/>
        </w:rPr>
        <w:t>’</w:t>
      </w:r>
      <w:r w:rsidRPr="00CB18F4">
        <w:rPr>
          <w:rFonts w:cs="Times New Roman"/>
          <w:lang w:val="fr-CA"/>
        </w:rPr>
        <w:t>obligation des membres de payer ces droits</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19(5). La suspension infligée par le Comité d</w:t>
      </w:r>
      <w:r>
        <w:rPr>
          <w:rFonts w:cs="Times New Roman"/>
          <w:lang w:val="fr-CA"/>
        </w:rPr>
        <w:t>’</w:t>
      </w:r>
      <w:r w:rsidRPr="00CB18F4">
        <w:rPr>
          <w:rFonts w:cs="Times New Roman"/>
          <w:lang w:val="fr-CA"/>
        </w:rPr>
        <w:t>enquête sur les plaintes correspond à l</w:t>
      </w:r>
      <w:r>
        <w:rPr>
          <w:rFonts w:cs="Times New Roman"/>
          <w:lang w:val="fr-CA"/>
        </w:rPr>
        <w:t>’</w:t>
      </w:r>
      <w:r w:rsidRPr="00CB18F4">
        <w:rPr>
          <w:rFonts w:cs="Times New Roman"/>
          <w:lang w:val="fr-CA"/>
        </w:rPr>
        <w:t>obligation du comité d</w:t>
      </w:r>
      <w:r>
        <w:rPr>
          <w:rFonts w:cs="Times New Roman"/>
          <w:lang w:val="fr-CA"/>
        </w:rPr>
        <w:t>’</w:t>
      </w:r>
      <w:r w:rsidRPr="00CB18F4">
        <w:rPr>
          <w:rFonts w:cs="Times New Roman"/>
          <w:lang w:val="fr-CA"/>
        </w:rPr>
        <w:t>examiner les plaintes</w:t>
      </w:r>
      <w:r>
        <w:rPr>
          <w:rFonts w:cs="Times New Roman"/>
          <w:lang w:val="fr-CA"/>
        </w:rPr>
        <w:t> :</w:t>
      </w:r>
      <w:r w:rsidRPr="00CB18F4">
        <w:rPr>
          <w:rFonts w:cs="Times New Roman"/>
          <w:lang w:val="fr-CA"/>
        </w:rPr>
        <w:t xml:space="preserve"> </w:t>
      </w:r>
      <w:r>
        <w:rPr>
          <w:rFonts w:cs="Times New Roman"/>
          <w:lang w:val="fr-CA"/>
        </w:rPr>
        <w:t>al. </w:t>
      </w:r>
      <w:r w:rsidRPr="00CB18F4">
        <w:rPr>
          <w:rFonts w:cs="Times New Roman"/>
          <w:lang w:val="fr-CA"/>
        </w:rPr>
        <w:t>68c). La suspension infligée par le Comité de discipline correspond à son obligation d</w:t>
      </w:r>
      <w:r>
        <w:rPr>
          <w:rFonts w:cs="Times New Roman"/>
          <w:lang w:val="fr-CA"/>
        </w:rPr>
        <w:t>’</w:t>
      </w:r>
      <w:r w:rsidRPr="00CB18F4">
        <w:rPr>
          <w:rFonts w:cs="Times New Roman"/>
          <w:lang w:val="fr-CA"/>
        </w:rPr>
        <w:t>instruire la procédure disciplinaire</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 xml:space="preserve">72(1) et (2). La Loi exige le paiement de droits et la création de ces comités, elle énonce donc ensuite les conséquences et les pouvoirs connexes à ces exigences. </w:t>
      </w:r>
    </w:p>
    <w:p w:rsidR="00520294" w:rsidRPr="00CB18F4" w:rsidRDefault="00520294" w:rsidP="00987CB6">
      <w:pPr>
        <w:pStyle w:val="ParaNoNdepar-AltN"/>
        <w:widowControl w:val="0"/>
        <w:rPr>
          <w:rFonts w:cs="Times New Roman"/>
          <w:lang w:val="fr-CA"/>
        </w:rPr>
      </w:pPr>
      <w:r w:rsidRPr="00CB18F4">
        <w:rPr>
          <w:rFonts w:cs="Times New Roman"/>
          <w:lang w:val="fr-CA"/>
        </w:rPr>
        <w:t>En revanche, le Barreau n</w:t>
      </w:r>
      <w:r>
        <w:rPr>
          <w:rFonts w:cs="Times New Roman"/>
          <w:lang w:val="fr-CA"/>
        </w:rPr>
        <w:t>’</w:t>
      </w:r>
      <w:r w:rsidRPr="00CB18F4">
        <w:rPr>
          <w:rFonts w:cs="Times New Roman"/>
          <w:lang w:val="fr-CA"/>
        </w:rPr>
        <w:t>est pas tenu d</w:t>
      </w:r>
      <w:r>
        <w:rPr>
          <w:rFonts w:cs="Times New Roman"/>
          <w:lang w:val="fr-CA"/>
        </w:rPr>
        <w:t>’</w:t>
      </w:r>
      <w:r w:rsidRPr="00CB18F4">
        <w:rPr>
          <w:rFonts w:cs="Times New Roman"/>
          <w:lang w:val="fr-CA"/>
        </w:rPr>
        <w:t>établir un programme de PPP</w:t>
      </w:r>
      <w:r>
        <w:rPr>
          <w:rFonts w:cs="Times New Roman"/>
          <w:lang w:val="fr-CA"/>
        </w:rPr>
        <w:t> :</w:t>
      </w:r>
      <w:r w:rsidRPr="00CB18F4">
        <w:rPr>
          <w:rFonts w:cs="Times New Roman"/>
          <w:lang w:val="fr-CA"/>
        </w:rPr>
        <w:t xml:space="preserve"> s</w:t>
      </w:r>
      <w:r w:rsidR="00B02C5B">
        <w:rPr>
          <w:rFonts w:cs="Times New Roman"/>
          <w:lang w:val="fr-CA"/>
        </w:rPr>
        <w:t>ous</w:t>
      </w:r>
      <w:r>
        <w:rPr>
          <w:rFonts w:cs="Times New Roman"/>
          <w:lang w:val="fr-CA"/>
        </w:rPr>
        <w:noBreakHyphen/>
        <w:t>al. </w:t>
      </w:r>
      <w:r w:rsidRPr="00CB18F4">
        <w:rPr>
          <w:rFonts w:cs="Times New Roman"/>
          <w:lang w:val="fr-CA"/>
        </w:rPr>
        <w:t>43c)(ii). Si le législateur avait indiqué expressément les sanctions auxquelles ferait face un avocat qui ne respecte pas les exigences de PPP, mais que le Barreau n</w:t>
      </w:r>
      <w:r>
        <w:rPr>
          <w:rFonts w:cs="Times New Roman"/>
          <w:lang w:val="fr-CA"/>
        </w:rPr>
        <w:t>’</w:t>
      </w:r>
      <w:r w:rsidRPr="00CB18F4">
        <w:rPr>
          <w:rFonts w:cs="Times New Roman"/>
          <w:lang w:val="fr-CA"/>
        </w:rPr>
        <w:t>avait jamais fait respecter de telles exigences, ces sanctions seraient superflues. Or, le législateur n</w:t>
      </w:r>
      <w:r>
        <w:rPr>
          <w:rFonts w:cs="Times New Roman"/>
          <w:lang w:val="fr-CA"/>
        </w:rPr>
        <w:t>’</w:t>
      </w:r>
      <w:r w:rsidRPr="00CB18F4">
        <w:rPr>
          <w:rFonts w:cs="Times New Roman"/>
          <w:lang w:val="fr-CA"/>
        </w:rPr>
        <w:t>adopte pas de dispositions inutiles.</w:t>
      </w:r>
    </w:p>
    <w:p w:rsidR="00520294" w:rsidRPr="00CB18F4" w:rsidRDefault="00520294" w:rsidP="00987CB6">
      <w:pPr>
        <w:pStyle w:val="ParaNoNdepar-AltN"/>
        <w:widowControl w:val="0"/>
        <w:rPr>
          <w:rFonts w:cs="Times New Roman"/>
          <w:lang w:val="fr-CA"/>
        </w:rPr>
      </w:pPr>
      <w:r w:rsidRPr="00CB18F4">
        <w:rPr>
          <w:rFonts w:cs="Times New Roman"/>
          <w:lang w:val="fr-CA"/>
        </w:rPr>
        <w:t>À mon avis, les renvois précis à une « suspension » dans la Loi ne traduisent pas l</w:t>
      </w:r>
      <w:r>
        <w:rPr>
          <w:rFonts w:cs="Times New Roman"/>
          <w:lang w:val="fr-CA"/>
        </w:rPr>
        <w:t>’</w:t>
      </w:r>
      <w:r w:rsidRPr="00CB18F4">
        <w:rPr>
          <w:rFonts w:cs="Times New Roman"/>
          <w:lang w:val="fr-CA"/>
        </w:rPr>
        <w:t>intention du législateur de limiter l</w:t>
      </w:r>
      <w:r>
        <w:rPr>
          <w:rFonts w:cs="Times New Roman"/>
          <w:lang w:val="fr-CA"/>
        </w:rPr>
        <w:t>’</w:t>
      </w:r>
      <w:r w:rsidRPr="00CB18F4">
        <w:rPr>
          <w:rFonts w:cs="Times New Roman"/>
          <w:lang w:val="fr-CA"/>
        </w:rPr>
        <w:t>application de cette sanction à certaines circonstances. Ils démontrent plutôt que lorsque le législateur a voulu prévoir les pouvoirs disciplinaires d</w:t>
      </w:r>
      <w:r>
        <w:rPr>
          <w:rFonts w:cs="Times New Roman"/>
          <w:lang w:val="fr-CA"/>
        </w:rPr>
        <w:t>’</w:t>
      </w:r>
      <w:r w:rsidRPr="00CB18F4">
        <w:rPr>
          <w:rFonts w:cs="Times New Roman"/>
          <w:lang w:val="fr-CA"/>
        </w:rPr>
        <w:t xml:space="preserve">un comité ou les sanctions en cas de manquement à une exigence imposée par la </w:t>
      </w:r>
      <w:r>
        <w:rPr>
          <w:rFonts w:cs="Times New Roman"/>
          <w:lang w:val="fr-CA"/>
        </w:rPr>
        <w:t>L</w:t>
      </w:r>
      <w:r w:rsidRPr="00CB18F4">
        <w:rPr>
          <w:rFonts w:cs="Times New Roman"/>
          <w:lang w:val="fr-CA"/>
        </w:rPr>
        <w:t>oi, il l</w:t>
      </w:r>
      <w:r>
        <w:rPr>
          <w:rFonts w:cs="Times New Roman"/>
          <w:lang w:val="fr-CA"/>
        </w:rPr>
        <w:t>’</w:t>
      </w:r>
      <w:r w:rsidRPr="00CB18F4">
        <w:rPr>
          <w:rFonts w:cs="Times New Roman"/>
          <w:lang w:val="fr-CA"/>
        </w:rPr>
        <w:t>a fait de façon expresse. Autrement, le législateur laisse le Barreau décider, en vertu de son pouvoir général de réglementation, s</w:t>
      </w:r>
      <w:r>
        <w:rPr>
          <w:rFonts w:cs="Times New Roman"/>
          <w:lang w:val="fr-CA"/>
        </w:rPr>
        <w:t>’</w:t>
      </w:r>
      <w:r w:rsidRPr="00CB18F4">
        <w:rPr>
          <w:rFonts w:cs="Times New Roman"/>
          <w:lang w:val="fr-CA"/>
        </w:rPr>
        <w:t>il prévoit des sanctions en cas de violation des Règles qu</w:t>
      </w:r>
      <w:r>
        <w:rPr>
          <w:rFonts w:cs="Times New Roman"/>
          <w:lang w:val="fr-CA"/>
        </w:rPr>
        <w:t>’</w:t>
      </w:r>
      <w:r w:rsidRPr="00CB18F4">
        <w:rPr>
          <w:rFonts w:cs="Times New Roman"/>
          <w:lang w:val="fr-CA"/>
        </w:rPr>
        <w:t xml:space="preserve">il a adoptées. La portée du pouvoir </w:t>
      </w:r>
      <w:r w:rsidRPr="00CB18F4">
        <w:rPr>
          <w:rFonts w:cs="Times New Roman"/>
          <w:lang w:val="fr-CA"/>
        </w:rPr>
        <w:lastRenderedPageBreak/>
        <w:t>d</w:t>
      </w:r>
      <w:r>
        <w:rPr>
          <w:rFonts w:cs="Times New Roman"/>
          <w:lang w:val="fr-CA"/>
        </w:rPr>
        <w:t>’</w:t>
      </w:r>
      <w:r w:rsidRPr="00CB18F4">
        <w:rPr>
          <w:rFonts w:cs="Times New Roman"/>
          <w:lang w:val="fr-CA"/>
        </w:rPr>
        <w:t>adoption de règlements et d</w:t>
      </w:r>
      <w:r>
        <w:rPr>
          <w:rFonts w:cs="Times New Roman"/>
          <w:lang w:val="fr-CA"/>
        </w:rPr>
        <w:t>’</w:t>
      </w:r>
      <w:r w:rsidRPr="00CB18F4">
        <w:rPr>
          <w:rFonts w:cs="Times New Roman"/>
          <w:lang w:val="fr-CA"/>
        </w:rPr>
        <w:t xml:space="preserve">établissement de sanctions décrite au </w:t>
      </w:r>
      <w:r>
        <w:rPr>
          <w:rFonts w:cs="Times New Roman"/>
          <w:lang w:val="fr-CA"/>
        </w:rPr>
        <w:t>par. </w:t>
      </w:r>
      <w:r w:rsidRPr="00CB18F4">
        <w:rPr>
          <w:rFonts w:cs="Times New Roman"/>
          <w:lang w:val="fr-CA"/>
        </w:rPr>
        <w:t>4(5) et à l</w:t>
      </w:r>
      <w:r>
        <w:rPr>
          <w:rFonts w:cs="Times New Roman"/>
          <w:lang w:val="fr-CA"/>
        </w:rPr>
        <w:t>’art. </w:t>
      </w:r>
      <w:r w:rsidRPr="00CB18F4">
        <w:rPr>
          <w:rFonts w:cs="Times New Roman"/>
          <w:lang w:val="fr-CA"/>
        </w:rPr>
        <w:t>65 l</w:t>
      </w:r>
      <w:r>
        <w:rPr>
          <w:rFonts w:cs="Times New Roman"/>
          <w:lang w:val="fr-CA"/>
        </w:rPr>
        <w:t>’</w:t>
      </w:r>
      <w:r w:rsidRPr="00CB18F4">
        <w:rPr>
          <w:rFonts w:cs="Times New Roman"/>
          <w:lang w:val="fr-CA"/>
        </w:rPr>
        <w:t>indique également.</w:t>
      </w:r>
    </w:p>
    <w:p w:rsidR="00520294" w:rsidRPr="00CB18F4" w:rsidRDefault="00520294" w:rsidP="00987CB6">
      <w:pPr>
        <w:pStyle w:val="ParaNoNdepar-AltN"/>
        <w:widowControl w:val="0"/>
        <w:rPr>
          <w:rFonts w:cs="Times New Roman"/>
          <w:lang w:val="fr-CA"/>
        </w:rPr>
      </w:pPr>
      <w:r w:rsidRPr="00CB18F4">
        <w:rPr>
          <w:rFonts w:cs="Times New Roman"/>
          <w:lang w:val="fr-CA"/>
        </w:rPr>
        <w:t>Quoi qu</w:t>
      </w:r>
      <w:r>
        <w:rPr>
          <w:rFonts w:cs="Times New Roman"/>
          <w:lang w:val="fr-CA"/>
        </w:rPr>
        <w:t>’</w:t>
      </w:r>
      <w:r w:rsidRPr="00CB18F4">
        <w:rPr>
          <w:rFonts w:cs="Times New Roman"/>
          <w:lang w:val="fr-CA"/>
        </w:rPr>
        <w:t>il en soit, puisque le Barreau a le pouvoir de créer un régime de PPP, elle a nécessairement le pouvoir d</w:t>
      </w:r>
      <w:r>
        <w:rPr>
          <w:rFonts w:cs="Times New Roman"/>
          <w:lang w:val="fr-CA"/>
        </w:rPr>
        <w:t>’</w:t>
      </w:r>
      <w:r w:rsidRPr="00CB18F4">
        <w:rPr>
          <w:rFonts w:cs="Times New Roman"/>
          <w:lang w:val="fr-CA"/>
        </w:rPr>
        <w:t>en imposer l</w:t>
      </w:r>
      <w:r>
        <w:rPr>
          <w:rFonts w:cs="Times New Roman"/>
          <w:lang w:val="fr-CA"/>
        </w:rPr>
        <w:t>’</w:t>
      </w:r>
      <w:r w:rsidRPr="00CB18F4">
        <w:rPr>
          <w:rFonts w:cs="Times New Roman"/>
          <w:lang w:val="fr-CA"/>
        </w:rPr>
        <w:t xml:space="preserve">application. Étant donné la portée de son libellé, la </w:t>
      </w:r>
      <w:r>
        <w:rPr>
          <w:rFonts w:cs="Times New Roman"/>
          <w:lang w:val="fr-CA"/>
        </w:rPr>
        <w:t>L</w:t>
      </w:r>
      <w:r w:rsidRPr="00CB18F4">
        <w:rPr>
          <w:rFonts w:cs="Times New Roman"/>
          <w:lang w:val="fr-CA"/>
        </w:rPr>
        <w:t>oi doit être interprétée de telle sorte que « sont compris dans les pouvoirs conférés par la loi habilitante non seulement ceux qui y sont expressément énoncés, mais aussi, par déduction, tous ceux qui sont de fait nécessaires à la réalisation de l</w:t>
      </w:r>
      <w:r>
        <w:rPr>
          <w:rFonts w:cs="Times New Roman"/>
          <w:lang w:val="fr-CA"/>
        </w:rPr>
        <w:t>’</w:t>
      </w:r>
      <w:r w:rsidRPr="00CB18F4">
        <w:rPr>
          <w:rFonts w:cs="Times New Roman"/>
          <w:lang w:val="fr-CA"/>
        </w:rPr>
        <w:t>objectif du régime législatif »</w:t>
      </w:r>
      <w:r>
        <w:rPr>
          <w:rFonts w:cs="Times New Roman"/>
          <w:lang w:val="fr-CA"/>
        </w:rPr>
        <w:t> :</w:t>
      </w:r>
      <w:r w:rsidRPr="00CB18F4">
        <w:rPr>
          <w:rFonts w:cs="Times New Roman"/>
          <w:lang w:val="fr-CA"/>
        </w:rPr>
        <w:t xml:space="preserve"> </w:t>
      </w:r>
      <w:r w:rsidRPr="00CB18F4">
        <w:rPr>
          <w:rFonts w:cs="Times New Roman"/>
          <w:i/>
          <w:lang w:val="fr-CA"/>
        </w:rPr>
        <w:t>ATCO Gas and Pipelines Ltd. c. Alberta (Energy and Utilities Board)</w:t>
      </w:r>
      <w:r w:rsidRPr="00CB18F4">
        <w:rPr>
          <w:rFonts w:cs="Times New Roman"/>
          <w:lang w:val="fr-CA"/>
        </w:rPr>
        <w:t xml:space="preserve">, 2006 CSC 4, [2006] 1 R.C.S. 140, </w:t>
      </w:r>
      <w:r>
        <w:rPr>
          <w:rFonts w:cs="Times New Roman"/>
          <w:lang w:val="fr-CA"/>
        </w:rPr>
        <w:t>par. </w:t>
      </w:r>
      <w:r w:rsidRPr="00CB18F4">
        <w:rPr>
          <w:rFonts w:cs="Times New Roman"/>
          <w:lang w:val="fr-CA"/>
        </w:rPr>
        <w:t xml:space="preserve">51. Ce principe est compatible avec la </w:t>
      </w:r>
      <w:r w:rsidRPr="00CB18F4">
        <w:rPr>
          <w:rFonts w:cs="Times New Roman"/>
          <w:i/>
          <w:lang w:val="fr-CA"/>
        </w:rPr>
        <w:t>Loi d</w:t>
      </w:r>
      <w:r>
        <w:rPr>
          <w:rFonts w:cs="Times New Roman"/>
          <w:i/>
          <w:lang w:val="fr-CA"/>
        </w:rPr>
        <w:t>’</w:t>
      </w:r>
      <w:r w:rsidRPr="00CB18F4">
        <w:rPr>
          <w:rFonts w:cs="Times New Roman"/>
          <w:i/>
          <w:lang w:val="fr-CA"/>
        </w:rPr>
        <w:t>interprétation</w:t>
      </w:r>
      <w:r w:rsidRPr="00CB18F4">
        <w:rPr>
          <w:rFonts w:cs="Times New Roman"/>
          <w:lang w:val="fr-CA"/>
        </w:rPr>
        <w:t xml:space="preserve"> qui prévoit que </w:t>
      </w:r>
      <w:r w:rsidR="00A01594" w:rsidRPr="00CB18F4">
        <w:rPr>
          <w:rFonts w:cs="Times New Roman"/>
          <w:lang w:val="fr-CA"/>
        </w:rPr>
        <w:t>« </w:t>
      </w:r>
      <w:r w:rsidR="00A01594">
        <w:rPr>
          <w:rFonts w:cs="Times New Roman"/>
          <w:lang w:val="fr-CA"/>
        </w:rPr>
        <w:t>[</w:t>
      </w:r>
      <w:r w:rsidRPr="00CB18F4">
        <w:rPr>
          <w:rFonts w:cs="Times New Roman"/>
          <w:lang w:val="fr-CA"/>
        </w:rPr>
        <w:t>l</w:t>
      </w:r>
      <w:r w:rsidR="00A01594">
        <w:rPr>
          <w:rFonts w:cs="Times New Roman"/>
          <w:lang w:val="fr-CA"/>
        </w:rPr>
        <w:t>]</w:t>
      </w:r>
      <w:r w:rsidRPr="00CB18F4">
        <w:rPr>
          <w:rFonts w:cs="Times New Roman"/>
          <w:lang w:val="fr-CA"/>
        </w:rPr>
        <w:t>e pouvoir de prendre une mesure ou de la faire exécuter comporte les pouvoirs connexes qui sont nécessaires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 xml:space="preserve">32(1). </w:t>
      </w:r>
    </w:p>
    <w:p w:rsidR="00520294" w:rsidRPr="00CB18F4" w:rsidRDefault="00520294" w:rsidP="00987CB6">
      <w:pPr>
        <w:pStyle w:val="Title3LevelTitre3Niveau"/>
        <w:widowControl w:val="0"/>
        <w:rPr>
          <w:rFonts w:cs="Times New Roman"/>
          <w:lang w:val="fr-CA"/>
        </w:rPr>
      </w:pPr>
      <w:r w:rsidRPr="00CB18F4">
        <w:rPr>
          <w:rFonts w:cs="Times New Roman"/>
          <w:lang w:val="fr-CA"/>
        </w:rPr>
        <w:t>Est</w:t>
      </w:r>
      <w:r>
        <w:rPr>
          <w:rFonts w:cs="Times New Roman"/>
          <w:lang w:val="fr-CA"/>
        </w:rPr>
        <w:noBreakHyphen/>
      </w:r>
      <w:r w:rsidRPr="00CB18F4">
        <w:rPr>
          <w:rFonts w:cs="Times New Roman"/>
          <w:lang w:val="fr-CA"/>
        </w:rPr>
        <w:t>il raisonnable que les Règles exposent un avocat à une suspension parce qu</w:t>
      </w:r>
      <w:r>
        <w:rPr>
          <w:rFonts w:cs="Times New Roman"/>
          <w:lang w:val="fr-CA"/>
        </w:rPr>
        <w:t>’</w:t>
      </w:r>
      <w:r w:rsidRPr="00CB18F4">
        <w:rPr>
          <w:rFonts w:cs="Times New Roman"/>
          <w:lang w:val="fr-CA"/>
        </w:rPr>
        <w:t>il ne s</w:t>
      </w:r>
      <w:r>
        <w:rPr>
          <w:rFonts w:cs="Times New Roman"/>
          <w:lang w:val="fr-CA"/>
        </w:rPr>
        <w:t>’</w:t>
      </w:r>
      <w:r w:rsidRPr="00CB18F4">
        <w:rPr>
          <w:rFonts w:cs="Times New Roman"/>
          <w:lang w:val="fr-CA"/>
        </w:rPr>
        <w:t>est pas conformé au programme de PPP?</w:t>
      </w:r>
    </w:p>
    <w:p w:rsidR="00520294" w:rsidRPr="00CB18F4" w:rsidRDefault="00520294" w:rsidP="00987CB6">
      <w:pPr>
        <w:pStyle w:val="ParaNoNdepar-AltN"/>
        <w:widowControl w:val="0"/>
        <w:rPr>
          <w:rFonts w:cs="Times New Roman"/>
          <w:lang w:val="fr-CA"/>
        </w:rPr>
      </w:pPr>
      <w:r w:rsidRPr="00CB18F4">
        <w:rPr>
          <w:rFonts w:cs="Times New Roman"/>
          <w:lang w:val="fr-CA"/>
        </w:rPr>
        <w:t xml:space="preserve">Après avoir interprété la </w:t>
      </w:r>
      <w:r>
        <w:rPr>
          <w:rFonts w:cs="Times New Roman"/>
          <w:lang w:val="fr-CA"/>
        </w:rPr>
        <w:t>L</w:t>
      </w:r>
      <w:r w:rsidRPr="00CB18F4">
        <w:rPr>
          <w:rFonts w:cs="Times New Roman"/>
          <w:lang w:val="fr-CA"/>
        </w:rPr>
        <w:t>oi, je me penche maintenant sur le caractère raisonnable des règles contestées. M</w:t>
      </w:r>
      <w:r>
        <w:rPr>
          <w:rFonts w:cs="Times New Roman"/>
          <w:lang w:val="fr-CA"/>
        </w:rPr>
        <w:t xml:space="preserve">onsieur </w:t>
      </w:r>
      <w:r w:rsidRPr="00CB18F4">
        <w:rPr>
          <w:rFonts w:cs="Times New Roman"/>
          <w:lang w:val="fr-CA"/>
        </w:rPr>
        <w:t>Green a admis en Cour d</w:t>
      </w:r>
      <w:r>
        <w:rPr>
          <w:rFonts w:cs="Times New Roman"/>
          <w:lang w:val="fr-CA"/>
        </w:rPr>
        <w:t>’</w:t>
      </w:r>
      <w:r w:rsidRPr="00CB18F4">
        <w:rPr>
          <w:rFonts w:cs="Times New Roman"/>
          <w:lang w:val="fr-CA"/>
        </w:rPr>
        <w:t>appel que le Barreau a le pouvoir d</w:t>
      </w:r>
      <w:r>
        <w:rPr>
          <w:rFonts w:cs="Times New Roman"/>
          <w:lang w:val="fr-CA"/>
        </w:rPr>
        <w:t>’</w:t>
      </w:r>
      <w:r w:rsidRPr="00CB18F4">
        <w:rPr>
          <w:rFonts w:cs="Times New Roman"/>
          <w:lang w:val="fr-CA"/>
        </w:rPr>
        <w:t>adopter des règles pour établir un programme de P</w:t>
      </w:r>
      <w:r>
        <w:rPr>
          <w:rFonts w:cs="Times New Roman"/>
          <w:lang w:val="fr-CA"/>
        </w:rPr>
        <w:t>PP. </w:t>
      </w:r>
      <w:r w:rsidRPr="00CB18F4">
        <w:rPr>
          <w:rFonts w:cs="Times New Roman"/>
          <w:lang w:val="fr-CA"/>
        </w:rPr>
        <w:t>Contrairement à sa position devant les juridictions d</w:t>
      </w:r>
      <w:r>
        <w:rPr>
          <w:rFonts w:cs="Times New Roman"/>
          <w:lang w:val="fr-CA"/>
        </w:rPr>
        <w:t>’</w:t>
      </w:r>
      <w:r w:rsidRPr="00CB18F4">
        <w:rPr>
          <w:rFonts w:cs="Times New Roman"/>
          <w:lang w:val="fr-CA"/>
        </w:rPr>
        <w:t>instances inférieures, M. Green a aussi admis devant la Cour que le Barreau peut rendre le programme de PPP obligatoire. Il reste donc à déterminer si les règles contestées sont déraisonnables parce qu</w:t>
      </w:r>
      <w:r>
        <w:rPr>
          <w:rFonts w:cs="Times New Roman"/>
          <w:lang w:val="fr-CA"/>
        </w:rPr>
        <w:t>’</w:t>
      </w:r>
      <w:r w:rsidRPr="00CB18F4">
        <w:rPr>
          <w:rFonts w:cs="Times New Roman"/>
          <w:lang w:val="fr-CA"/>
        </w:rPr>
        <w:t>elles permettent l</w:t>
      </w:r>
      <w:r>
        <w:rPr>
          <w:rFonts w:cs="Times New Roman"/>
          <w:lang w:val="fr-CA"/>
        </w:rPr>
        <w:t>’</w:t>
      </w:r>
      <w:r w:rsidRPr="00CB18F4">
        <w:rPr>
          <w:rFonts w:cs="Times New Roman"/>
          <w:lang w:val="fr-CA"/>
        </w:rPr>
        <w:t>infliction d</w:t>
      </w:r>
      <w:r>
        <w:rPr>
          <w:rFonts w:cs="Times New Roman"/>
          <w:lang w:val="fr-CA"/>
        </w:rPr>
        <w:t>’</w:t>
      </w:r>
      <w:r w:rsidRPr="00CB18F4">
        <w:rPr>
          <w:rFonts w:cs="Times New Roman"/>
          <w:lang w:val="fr-CA"/>
        </w:rPr>
        <w:t>une suspension à un avocat qui ne s</w:t>
      </w:r>
      <w:r>
        <w:rPr>
          <w:rFonts w:cs="Times New Roman"/>
          <w:lang w:val="fr-CA"/>
        </w:rPr>
        <w:t>’</w:t>
      </w:r>
      <w:r w:rsidRPr="00CB18F4">
        <w:rPr>
          <w:rFonts w:cs="Times New Roman"/>
          <w:lang w:val="fr-CA"/>
        </w:rPr>
        <w:t xml:space="preserve">est pas </w:t>
      </w:r>
      <w:r w:rsidRPr="00CB18F4">
        <w:rPr>
          <w:rFonts w:cs="Times New Roman"/>
          <w:lang w:val="fr-CA"/>
        </w:rPr>
        <w:lastRenderedPageBreak/>
        <w:t>conformé au programme de PPP obligatoire.</w:t>
      </w:r>
    </w:p>
    <w:p w:rsidR="00520294" w:rsidRPr="00CB18F4" w:rsidRDefault="00520294" w:rsidP="00987CB6">
      <w:pPr>
        <w:pStyle w:val="ParaNoNdepar-AltN"/>
        <w:widowControl w:val="0"/>
        <w:rPr>
          <w:rFonts w:cs="Times New Roman"/>
          <w:lang w:val="fr-CA"/>
        </w:rPr>
      </w:pPr>
      <w:r w:rsidRPr="00CB18F4">
        <w:rPr>
          <w:rFonts w:cs="Times New Roman"/>
          <w:lang w:val="fr-CA"/>
        </w:rPr>
        <w:t>À mon avis, la Loi confère clairement au Barreau le pouvoir de créer un programme de PPP dont le non</w:t>
      </w:r>
      <w:r>
        <w:rPr>
          <w:rFonts w:cs="Times New Roman"/>
          <w:lang w:val="fr-CA"/>
        </w:rPr>
        <w:noBreakHyphen/>
      </w:r>
      <w:r w:rsidRPr="00CB18F4">
        <w:rPr>
          <w:rFonts w:cs="Times New Roman"/>
          <w:lang w:val="fr-CA"/>
        </w:rPr>
        <w:t>respect peut entraîner une suspension. Plus particulièrement, l</w:t>
      </w:r>
      <w:r>
        <w:rPr>
          <w:rFonts w:cs="Times New Roman"/>
          <w:lang w:val="fr-CA"/>
        </w:rPr>
        <w:t>’art. </w:t>
      </w:r>
      <w:r w:rsidRPr="00CB18F4">
        <w:rPr>
          <w:rFonts w:cs="Times New Roman"/>
          <w:lang w:val="fr-CA"/>
        </w:rPr>
        <w:t xml:space="preserve">3, les </w:t>
      </w:r>
      <w:r>
        <w:rPr>
          <w:rFonts w:cs="Times New Roman"/>
          <w:lang w:val="fr-CA"/>
        </w:rPr>
        <w:t>par. </w:t>
      </w:r>
      <w:r w:rsidRPr="00CB18F4">
        <w:rPr>
          <w:rFonts w:cs="Times New Roman"/>
          <w:lang w:val="fr-CA"/>
        </w:rPr>
        <w:t>4(5) et 4(6), le s</w:t>
      </w:r>
      <w:r w:rsidR="00836F4A">
        <w:rPr>
          <w:rFonts w:cs="Times New Roman"/>
          <w:lang w:val="fr-CA"/>
        </w:rPr>
        <w:t>ous</w:t>
      </w:r>
      <w:r>
        <w:rPr>
          <w:rFonts w:cs="Times New Roman"/>
          <w:lang w:val="fr-CA"/>
        </w:rPr>
        <w:noBreakHyphen/>
        <w:t>al. </w:t>
      </w:r>
      <w:r w:rsidRPr="00CB18F4">
        <w:rPr>
          <w:rFonts w:cs="Times New Roman"/>
          <w:lang w:val="fr-CA"/>
        </w:rPr>
        <w:t>43c)(ii) et l</w:t>
      </w:r>
      <w:r>
        <w:rPr>
          <w:rFonts w:cs="Times New Roman"/>
          <w:lang w:val="fr-CA"/>
        </w:rPr>
        <w:t>’art. </w:t>
      </w:r>
      <w:r w:rsidRPr="00CB18F4">
        <w:rPr>
          <w:rFonts w:cs="Times New Roman"/>
          <w:lang w:val="fr-CA"/>
        </w:rPr>
        <w:t>65, interprétés à la lumière de l</w:t>
      </w:r>
      <w:r>
        <w:rPr>
          <w:rFonts w:cs="Times New Roman"/>
          <w:lang w:val="fr-CA"/>
        </w:rPr>
        <w:t>’</w:t>
      </w:r>
      <w:r w:rsidRPr="00CB18F4">
        <w:rPr>
          <w:rFonts w:cs="Times New Roman"/>
          <w:lang w:val="fr-CA"/>
        </w:rPr>
        <w:t>objectif d</w:t>
      </w:r>
      <w:r>
        <w:rPr>
          <w:rFonts w:cs="Times New Roman"/>
          <w:lang w:val="fr-CA"/>
        </w:rPr>
        <w:t>’</w:t>
      </w:r>
      <w:r w:rsidRPr="00CB18F4">
        <w:rPr>
          <w:rFonts w:cs="Times New Roman"/>
          <w:lang w:val="fr-CA"/>
        </w:rPr>
        <w:t>intérêt public de la loi, confèrent le pouvoir d</w:t>
      </w:r>
      <w:r>
        <w:rPr>
          <w:rFonts w:cs="Times New Roman"/>
          <w:lang w:val="fr-CA"/>
        </w:rPr>
        <w:t>’</w:t>
      </w:r>
      <w:r w:rsidRPr="00CB18F4">
        <w:rPr>
          <w:rFonts w:cs="Times New Roman"/>
          <w:lang w:val="fr-CA"/>
        </w:rPr>
        <w:t>adopter les règles contestées relatives au P</w:t>
      </w:r>
      <w:r>
        <w:rPr>
          <w:rFonts w:cs="Times New Roman"/>
          <w:lang w:val="fr-CA"/>
        </w:rPr>
        <w:t xml:space="preserve">PP. </w:t>
      </w:r>
      <w:r w:rsidRPr="00CB18F4">
        <w:rPr>
          <w:rFonts w:cs="Times New Roman"/>
          <w:lang w:val="fr-CA"/>
        </w:rPr>
        <w:t>L</w:t>
      </w:r>
      <w:r>
        <w:rPr>
          <w:rFonts w:cs="Times New Roman"/>
          <w:lang w:val="fr-CA"/>
        </w:rPr>
        <w:t>’objectif général de la L</w:t>
      </w:r>
      <w:r w:rsidRPr="00CB18F4">
        <w:rPr>
          <w:rFonts w:cs="Times New Roman"/>
          <w:lang w:val="fr-CA"/>
        </w:rPr>
        <w:t>oi, son libellé et son économie démontrent que les règles contestées sont raisonnables compte tenu du mandat que la loi confère au Barreau.</w:t>
      </w:r>
    </w:p>
    <w:p w:rsidR="00520294" w:rsidRPr="00CB18F4" w:rsidRDefault="00520294" w:rsidP="00987CB6">
      <w:pPr>
        <w:pStyle w:val="ParaNoNdepar-AltN"/>
        <w:widowControl w:val="0"/>
        <w:rPr>
          <w:rFonts w:cs="Times New Roman"/>
          <w:lang w:val="fr-CA"/>
        </w:rPr>
      </w:pPr>
      <w:r w:rsidRPr="00CB18F4">
        <w:rPr>
          <w:rFonts w:cs="Times New Roman"/>
          <w:lang w:val="fr-CA"/>
        </w:rPr>
        <w:t>La mise en œuvre de normes obligatoires comme celles établies par les règles contestées est conforme à l</w:t>
      </w:r>
      <w:r>
        <w:rPr>
          <w:rFonts w:cs="Times New Roman"/>
          <w:lang w:val="fr-CA"/>
        </w:rPr>
        <w:t>’</w:t>
      </w:r>
      <w:r w:rsidRPr="00CB18F4">
        <w:rPr>
          <w:rFonts w:cs="Times New Roman"/>
          <w:lang w:val="fr-CA"/>
        </w:rPr>
        <w:t>objet et aux fonctions du Barreau énoncés à l</w:t>
      </w:r>
      <w:r>
        <w:rPr>
          <w:rFonts w:cs="Times New Roman"/>
          <w:lang w:val="fr-CA"/>
        </w:rPr>
        <w:t>’art. </w:t>
      </w:r>
      <w:r w:rsidRPr="00CB18F4">
        <w:rPr>
          <w:rFonts w:cs="Times New Roman"/>
          <w:lang w:val="fr-CA"/>
        </w:rPr>
        <w:t>3 de la Loi. Je souscris à l</w:t>
      </w:r>
      <w:r>
        <w:rPr>
          <w:rFonts w:cs="Times New Roman"/>
          <w:lang w:val="fr-CA"/>
        </w:rPr>
        <w:t>’</w:t>
      </w:r>
      <w:r w:rsidRPr="00CB18F4">
        <w:rPr>
          <w:rFonts w:cs="Times New Roman"/>
          <w:lang w:val="fr-CA"/>
        </w:rPr>
        <w:t>opinion de la Cour d</w:t>
      </w:r>
      <w:r>
        <w:rPr>
          <w:rFonts w:cs="Times New Roman"/>
          <w:lang w:val="fr-CA"/>
        </w:rPr>
        <w:t>’</w:t>
      </w:r>
      <w:r w:rsidRPr="00CB18F4">
        <w:rPr>
          <w:rFonts w:cs="Times New Roman"/>
          <w:lang w:val="fr-CA"/>
        </w:rPr>
        <w:t>appel, selon laquelle [</w:t>
      </w:r>
      <w:r w:rsidRPr="00CB18F4">
        <w:rPr>
          <w:rFonts w:cs="Times New Roman"/>
          <w:smallCaps/>
          <w:lang w:val="fr-CA"/>
        </w:rPr>
        <w:t>traduction</w:t>
      </w:r>
      <w:r>
        <w:rPr>
          <w:rFonts w:cs="Times New Roman"/>
          <w:lang w:val="fr-CA"/>
        </w:rPr>
        <w:t xml:space="preserve">] </w:t>
      </w:r>
      <w:r w:rsidRPr="00CB18F4">
        <w:rPr>
          <w:rFonts w:cs="Times New Roman"/>
          <w:lang w:val="fr-CA"/>
        </w:rPr>
        <w:t>« </w:t>
      </w:r>
      <w:r w:rsidR="00836F4A">
        <w:rPr>
          <w:rFonts w:cs="Times New Roman"/>
          <w:lang w:val="fr-CA"/>
        </w:rPr>
        <w:t>[</w:t>
      </w:r>
      <w:r w:rsidRPr="00CB18F4">
        <w:rPr>
          <w:rFonts w:cs="Times New Roman"/>
          <w:lang w:val="fr-CA"/>
        </w:rPr>
        <w:t>l</w:t>
      </w:r>
      <w:r w:rsidR="00836F4A">
        <w:rPr>
          <w:rFonts w:cs="Times New Roman"/>
          <w:lang w:val="fr-CA"/>
        </w:rPr>
        <w:t>]</w:t>
      </w:r>
      <w:r w:rsidRPr="00CB18F4">
        <w:rPr>
          <w:rFonts w:cs="Times New Roman"/>
          <w:lang w:val="fr-CA"/>
        </w:rPr>
        <w:t>e fait que le Barreau établisse une telle norme à laquelle les avocats doivent se conformer pour conserver leur certificat d</w:t>
      </w:r>
      <w:r>
        <w:rPr>
          <w:rFonts w:cs="Times New Roman"/>
          <w:lang w:val="fr-CA"/>
        </w:rPr>
        <w:t>’</w:t>
      </w:r>
      <w:r w:rsidRPr="00CB18F4">
        <w:rPr>
          <w:rFonts w:cs="Times New Roman"/>
          <w:lang w:val="fr-CA"/>
        </w:rPr>
        <w:t>exercice lequel sert, de l</w:t>
      </w:r>
      <w:r>
        <w:rPr>
          <w:rFonts w:cs="Times New Roman"/>
          <w:lang w:val="fr-CA"/>
        </w:rPr>
        <w:t>’</w:t>
      </w:r>
      <w:r w:rsidRPr="00CB18F4">
        <w:rPr>
          <w:rFonts w:cs="Times New Roman"/>
          <w:lang w:val="fr-CA"/>
        </w:rPr>
        <w:t>avis des conseillers, à protéger le public, s</w:t>
      </w:r>
      <w:r>
        <w:rPr>
          <w:rFonts w:cs="Times New Roman"/>
          <w:lang w:val="fr-CA"/>
        </w:rPr>
        <w:t>’</w:t>
      </w:r>
      <w:r w:rsidRPr="00CB18F4">
        <w:rPr>
          <w:rFonts w:cs="Times New Roman"/>
          <w:lang w:val="fr-CA"/>
        </w:rPr>
        <w:t>inscrit dans les fonctions qui lui sont confiées par la Loi »</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17 (</w:t>
      </w:r>
      <w:r w:rsidR="00836F4A">
        <w:rPr>
          <w:rFonts w:cs="Times New Roman"/>
          <w:lang w:val="fr-CA"/>
        </w:rPr>
        <w:t xml:space="preserve">italiques </w:t>
      </w:r>
      <w:r w:rsidRPr="00CB18F4">
        <w:rPr>
          <w:rFonts w:cs="Times New Roman"/>
          <w:lang w:val="fr-CA"/>
        </w:rPr>
        <w:t>omis).</w:t>
      </w:r>
    </w:p>
    <w:p w:rsidR="00520294" w:rsidRPr="00CB18F4" w:rsidRDefault="00520294" w:rsidP="00987CB6">
      <w:pPr>
        <w:pStyle w:val="ParaNoNdepar-AltN"/>
        <w:widowControl w:val="0"/>
        <w:rPr>
          <w:rFonts w:cs="Times New Roman"/>
          <w:lang w:val="fr-CA"/>
        </w:rPr>
      </w:pPr>
      <w:r w:rsidRPr="00CB18F4">
        <w:rPr>
          <w:rFonts w:cs="Times New Roman"/>
          <w:lang w:val="fr-CA"/>
        </w:rPr>
        <w:t>Pour que ces normes aient un effet, le Barreau doit établir des sanctions auxquelles s</w:t>
      </w:r>
      <w:r>
        <w:rPr>
          <w:rFonts w:cs="Times New Roman"/>
          <w:lang w:val="fr-CA"/>
        </w:rPr>
        <w:t>’</w:t>
      </w:r>
      <w:r w:rsidRPr="00CB18F4">
        <w:rPr>
          <w:rFonts w:cs="Times New Roman"/>
          <w:lang w:val="fr-CA"/>
        </w:rPr>
        <w:t>exposent les avocats qui y contreviennent. D</w:t>
      </w:r>
      <w:r>
        <w:rPr>
          <w:rFonts w:cs="Times New Roman"/>
          <w:lang w:val="fr-CA"/>
        </w:rPr>
        <w:t>’</w:t>
      </w:r>
      <w:r w:rsidRPr="00CB18F4">
        <w:rPr>
          <w:rFonts w:cs="Times New Roman"/>
          <w:lang w:val="fr-CA"/>
        </w:rPr>
        <w:t>un point de vue pratique, une norme de formation dont l</w:t>
      </w:r>
      <w:r>
        <w:rPr>
          <w:rFonts w:cs="Times New Roman"/>
          <w:lang w:val="fr-CA"/>
        </w:rPr>
        <w:t>’</w:t>
      </w:r>
      <w:r w:rsidRPr="00CB18F4">
        <w:rPr>
          <w:rFonts w:cs="Times New Roman"/>
          <w:lang w:val="fr-CA"/>
        </w:rPr>
        <w:t>application n</w:t>
      </w:r>
      <w:r>
        <w:rPr>
          <w:rFonts w:cs="Times New Roman"/>
          <w:lang w:val="fr-CA"/>
        </w:rPr>
        <w:t>’</w:t>
      </w:r>
      <w:r w:rsidRPr="00CB18F4">
        <w:rPr>
          <w:rFonts w:cs="Times New Roman"/>
          <w:lang w:val="fr-CA"/>
        </w:rPr>
        <w:t>est pas contrôlée n</w:t>
      </w:r>
      <w:r>
        <w:rPr>
          <w:rFonts w:cs="Times New Roman"/>
          <w:lang w:val="fr-CA"/>
        </w:rPr>
        <w:t>’</w:t>
      </w:r>
      <w:r w:rsidRPr="00CB18F4">
        <w:rPr>
          <w:rFonts w:cs="Times New Roman"/>
          <w:lang w:val="fr-CA"/>
        </w:rPr>
        <w:t>est pas du tout une norme, elle n</w:t>
      </w:r>
      <w:r>
        <w:rPr>
          <w:rFonts w:cs="Times New Roman"/>
          <w:lang w:val="fr-CA"/>
        </w:rPr>
        <w:t>’</w:t>
      </w:r>
      <w:r w:rsidRPr="00CB18F4">
        <w:rPr>
          <w:rFonts w:cs="Times New Roman"/>
          <w:lang w:val="fr-CA"/>
        </w:rPr>
        <w:t>est qu</w:t>
      </w:r>
      <w:r>
        <w:rPr>
          <w:rFonts w:cs="Times New Roman"/>
          <w:lang w:val="fr-CA"/>
        </w:rPr>
        <w:t>’</w:t>
      </w:r>
      <w:r w:rsidRPr="00CB18F4">
        <w:rPr>
          <w:rFonts w:cs="Times New Roman"/>
          <w:lang w:val="fr-CA"/>
        </w:rPr>
        <w:t>un vœu pieux.</w:t>
      </w:r>
    </w:p>
    <w:p w:rsidR="00520294" w:rsidRPr="00CB18F4" w:rsidRDefault="00520294" w:rsidP="00987CB6">
      <w:pPr>
        <w:pStyle w:val="ParaNoNdepar-AltN"/>
        <w:widowControl w:val="0"/>
        <w:rPr>
          <w:rFonts w:cs="Times New Roman"/>
          <w:lang w:val="fr-CA"/>
        </w:rPr>
      </w:pPr>
      <w:r w:rsidRPr="00CB18F4">
        <w:rPr>
          <w:rFonts w:cs="Times New Roman"/>
          <w:lang w:val="fr-CA"/>
        </w:rPr>
        <w:t xml:space="preserve">La suspension est un moyen raisonnable par lequel le Barreau peut faire en </w:t>
      </w:r>
      <w:r w:rsidRPr="00CB18F4">
        <w:rPr>
          <w:rFonts w:cs="Times New Roman"/>
          <w:lang w:val="fr-CA"/>
        </w:rPr>
        <w:lastRenderedPageBreak/>
        <w:t>sorte que les avocats respectent les exigences de P</w:t>
      </w:r>
      <w:r>
        <w:rPr>
          <w:rFonts w:cs="Times New Roman"/>
          <w:lang w:val="fr-CA"/>
        </w:rPr>
        <w:t xml:space="preserve">PP. </w:t>
      </w:r>
      <w:r w:rsidRPr="00CB18F4">
        <w:rPr>
          <w:rFonts w:cs="Times New Roman"/>
          <w:lang w:val="fr-CA"/>
        </w:rPr>
        <w:t>Cette suspension se rapporte au manquement aux normes; il ne s</w:t>
      </w:r>
      <w:r>
        <w:rPr>
          <w:rFonts w:cs="Times New Roman"/>
          <w:lang w:val="fr-CA"/>
        </w:rPr>
        <w:t>’</w:t>
      </w:r>
      <w:r w:rsidRPr="00CB18F4">
        <w:rPr>
          <w:rFonts w:cs="Times New Roman"/>
          <w:lang w:val="fr-CA"/>
        </w:rPr>
        <w:t>agit ni d</w:t>
      </w:r>
      <w:r>
        <w:rPr>
          <w:rFonts w:cs="Times New Roman"/>
          <w:lang w:val="fr-CA"/>
        </w:rPr>
        <w:t>’</w:t>
      </w:r>
      <w:r w:rsidRPr="00CB18F4">
        <w:rPr>
          <w:rFonts w:cs="Times New Roman"/>
          <w:lang w:val="fr-CA"/>
        </w:rPr>
        <w:t>une punition ni d</w:t>
      </w:r>
      <w:r>
        <w:rPr>
          <w:rFonts w:cs="Times New Roman"/>
          <w:lang w:val="fr-CA"/>
        </w:rPr>
        <w:t>’</w:t>
      </w:r>
      <w:r w:rsidRPr="00CB18F4">
        <w:rPr>
          <w:rFonts w:cs="Times New Roman"/>
          <w:lang w:val="fr-CA"/>
        </w:rPr>
        <w:t>une remise en question de la compétence professionnelle de l</w:t>
      </w:r>
      <w:r>
        <w:rPr>
          <w:rFonts w:cs="Times New Roman"/>
          <w:lang w:val="fr-CA"/>
        </w:rPr>
        <w:t>’</w:t>
      </w:r>
      <w:r w:rsidRPr="00CB18F4">
        <w:rPr>
          <w:rFonts w:cs="Times New Roman"/>
          <w:lang w:val="fr-CA"/>
        </w:rPr>
        <w:t>avocat visé. J</w:t>
      </w:r>
      <w:r>
        <w:rPr>
          <w:rFonts w:cs="Times New Roman"/>
          <w:lang w:val="fr-CA"/>
        </w:rPr>
        <w:t>’</w:t>
      </w:r>
      <w:r w:rsidRPr="00CB18F4">
        <w:rPr>
          <w:rFonts w:cs="Times New Roman"/>
          <w:lang w:val="fr-CA"/>
        </w:rPr>
        <w:t>estime par ailleurs que d</w:t>
      </w:r>
      <w:r>
        <w:rPr>
          <w:rFonts w:cs="Times New Roman"/>
          <w:lang w:val="fr-CA"/>
        </w:rPr>
        <w:t>’</w:t>
      </w:r>
      <w:r w:rsidRPr="00CB18F4">
        <w:rPr>
          <w:rFonts w:cs="Times New Roman"/>
          <w:lang w:val="fr-CA"/>
        </w:rPr>
        <w:t>autres conséquences, comme une amende, ne seraient peut</w:t>
      </w:r>
      <w:r>
        <w:rPr>
          <w:rFonts w:cs="Times New Roman"/>
          <w:lang w:val="fr-CA"/>
        </w:rPr>
        <w:noBreakHyphen/>
      </w:r>
      <w:r w:rsidRPr="00CB18F4">
        <w:rPr>
          <w:rFonts w:cs="Times New Roman"/>
          <w:lang w:val="fr-CA"/>
        </w:rPr>
        <w:t>être pas suffisantes pour faire en sorte que les membres du Barreau se conforment aux exigences en matière de formation puisqu</w:t>
      </w:r>
      <w:r>
        <w:rPr>
          <w:rFonts w:cs="Times New Roman"/>
          <w:lang w:val="fr-CA"/>
        </w:rPr>
        <w:t>’</w:t>
      </w:r>
      <w:r w:rsidRPr="00CB18F4">
        <w:rPr>
          <w:rFonts w:cs="Times New Roman"/>
          <w:lang w:val="fr-CA"/>
        </w:rPr>
        <w:t>un programme duquel on peut se soustraire en payant une amende n</w:t>
      </w:r>
      <w:r>
        <w:rPr>
          <w:rFonts w:cs="Times New Roman"/>
          <w:lang w:val="fr-CA"/>
        </w:rPr>
        <w:t>’</w:t>
      </w:r>
      <w:r w:rsidRPr="00CB18F4">
        <w:rPr>
          <w:rFonts w:cs="Times New Roman"/>
          <w:lang w:val="fr-CA"/>
        </w:rPr>
        <w:t>a pas véritablement d</w:t>
      </w:r>
      <w:r>
        <w:rPr>
          <w:rFonts w:cs="Times New Roman"/>
          <w:lang w:val="fr-CA"/>
        </w:rPr>
        <w:t>’</w:t>
      </w:r>
      <w:r w:rsidRPr="00CB18F4">
        <w:rPr>
          <w:rFonts w:cs="Times New Roman"/>
          <w:lang w:val="fr-CA"/>
        </w:rPr>
        <w:t>application universelle. Pour conclure de la sorte, je tiens compte du fait qu</w:t>
      </w:r>
      <w:r>
        <w:rPr>
          <w:rFonts w:cs="Times New Roman"/>
          <w:lang w:val="fr-CA"/>
        </w:rPr>
        <w:t>’</w:t>
      </w:r>
      <w:r w:rsidRPr="00CB18F4">
        <w:rPr>
          <w:rFonts w:cs="Times New Roman"/>
          <w:lang w:val="fr-CA"/>
        </w:rPr>
        <w:t>en adoptant ces règles obligatoires, le Barreau agissait en réaction à l</w:t>
      </w:r>
      <w:r>
        <w:rPr>
          <w:rFonts w:cs="Times New Roman"/>
          <w:lang w:val="fr-CA"/>
        </w:rPr>
        <w:t>’</w:t>
      </w:r>
      <w:r w:rsidRPr="00CB18F4">
        <w:rPr>
          <w:rFonts w:cs="Times New Roman"/>
          <w:lang w:val="fr-CA"/>
        </w:rPr>
        <w:t>habitude de certains avocats de ne pas se conformer aux normes en matière de PPP lorsqu</w:t>
      </w:r>
      <w:r>
        <w:rPr>
          <w:rFonts w:cs="Times New Roman"/>
          <w:lang w:val="fr-CA"/>
        </w:rPr>
        <w:t>’</w:t>
      </w:r>
      <w:r w:rsidRPr="00CB18F4">
        <w:rPr>
          <w:rFonts w:cs="Times New Roman"/>
          <w:lang w:val="fr-CA"/>
        </w:rPr>
        <w:t>elles n</w:t>
      </w:r>
      <w:r>
        <w:rPr>
          <w:rFonts w:cs="Times New Roman"/>
          <w:lang w:val="fr-CA"/>
        </w:rPr>
        <w:t>’</w:t>
      </w:r>
      <w:r w:rsidRPr="00CB18F4">
        <w:rPr>
          <w:rFonts w:cs="Times New Roman"/>
          <w:lang w:val="fr-CA"/>
        </w:rPr>
        <w:t>avaient pas de caractère contraignant.</w:t>
      </w:r>
    </w:p>
    <w:p w:rsidR="00520294" w:rsidRPr="00CB18F4" w:rsidRDefault="00520294" w:rsidP="00987CB6">
      <w:pPr>
        <w:pStyle w:val="ParaNoNdepar-AltN"/>
        <w:widowControl w:val="0"/>
        <w:rPr>
          <w:rFonts w:cs="Times New Roman"/>
          <w:lang w:val="fr-CA"/>
        </w:rPr>
      </w:pPr>
      <w:r w:rsidRPr="00CB18F4">
        <w:rPr>
          <w:rFonts w:cs="Times New Roman"/>
          <w:lang w:val="fr-CA"/>
        </w:rPr>
        <w:t>Afin d</w:t>
      </w:r>
      <w:r>
        <w:rPr>
          <w:rFonts w:cs="Times New Roman"/>
          <w:lang w:val="fr-CA"/>
        </w:rPr>
        <w:t>’</w:t>
      </w:r>
      <w:r w:rsidRPr="00CB18F4">
        <w:rPr>
          <w:rFonts w:cs="Times New Roman"/>
          <w:lang w:val="fr-CA"/>
        </w:rPr>
        <w:t>assurer l</w:t>
      </w:r>
      <w:r>
        <w:rPr>
          <w:rFonts w:cs="Times New Roman"/>
          <w:lang w:val="fr-CA"/>
        </w:rPr>
        <w:t>’</w:t>
      </w:r>
      <w:r w:rsidRPr="00CB18F4">
        <w:rPr>
          <w:rFonts w:cs="Times New Roman"/>
          <w:lang w:val="fr-CA"/>
        </w:rPr>
        <w:t>uniformité des services juridiques à l</w:t>
      </w:r>
      <w:r>
        <w:rPr>
          <w:rFonts w:cs="Times New Roman"/>
          <w:lang w:val="fr-CA"/>
        </w:rPr>
        <w:t>’</w:t>
      </w:r>
      <w:r w:rsidRPr="00CB18F4">
        <w:rPr>
          <w:rFonts w:cs="Times New Roman"/>
          <w:lang w:val="fr-CA"/>
        </w:rPr>
        <w:t>échelle de la province, la possibilité d</w:t>
      </w:r>
      <w:r>
        <w:rPr>
          <w:rFonts w:cs="Times New Roman"/>
          <w:lang w:val="fr-CA"/>
        </w:rPr>
        <w:t>’</w:t>
      </w:r>
      <w:r w:rsidRPr="00CB18F4">
        <w:rPr>
          <w:rFonts w:cs="Times New Roman"/>
          <w:lang w:val="fr-CA"/>
        </w:rPr>
        <w:t>une suspension garantit de façon efficace que même les avocats qui n</w:t>
      </w:r>
      <w:r>
        <w:rPr>
          <w:rFonts w:cs="Times New Roman"/>
          <w:lang w:val="fr-CA"/>
        </w:rPr>
        <w:t>’</w:t>
      </w:r>
      <w:r w:rsidRPr="00CB18F4">
        <w:rPr>
          <w:rFonts w:cs="Times New Roman"/>
          <w:lang w:val="fr-CA"/>
        </w:rPr>
        <w:t>ont aucune envie de respecter les normes en matière de formation s</w:t>
      </w:r>
      <w:r>
        <w:rPr>
          <w:rFonts w:cs="Times New Roman"/>
          <w:lang w:val="fr-CA"/>
        </w:rPr>
        <w:t>’</w:t>
      </w:r>
      <w:r w:rsidRPr="00CB18F4">
        <w:rPr>
          <w:rFonts w:cs="Times New Roman"/>
          <w:lang w:val="fr-CA"/>
        </w:rPr>
        <w:t>y conformeront. À preuve, M. Green a soutenu que, à son avis, les activités de PPP qui lui étaient offertes ne lui auraient été d</w:t>
      </w:r>
      <w:r>
        <w:rPr>
          <w:rFonts w:cs="Times New Roman"/>
          <w:lang w:val="fr-CA"/>
        </w:rPr>
        <w:t>’</w:t>
      </w:r>
      <w:r w:rsidRPr="00CB18F4">
        <w:rPr>
          <w:rFonts w:cs="Times New Roman"/>
          <w:lang w:val="fr-CA"/>
        </w:rPr>
        <w:t>aucune utilité dans le cadre de sa pratique. Or, ce n</w:t>
      </w:r>
      <w:r>
        <w:rPr>
          <w:rFonts w:cs="Times New Roman"/>
          <w:lang w:val="fr-CA"/>
        </w:rPr>
        <w:t>’</w:t>
      </w:r>
      <w:r w:rsidRPr="00CB18F4">
        <w:rPr>
          <w:rFonts w:cs="Times New Roman"/>
          <w:lang w:val="fr-CA"/>
        </w:rPr>
        <w:t>est pas à M. Green de décider si le PPP est utile ou adéquat. Le législateur a décidé que le Barreau doit imposer des normes pour régir la formation de tous ceux qui exercent le droit (</w:t>
      </w:r>
      <w:r>
        <w:rPr>
          <w:rFonts w:cs="Times New Roman"/>
          <w:lang w:val="fr-CA"/>
        </w:rPr>
        <w:t>par. </w:t>
      </w:r>
      <w:r w:rsidRPr="00CB18F4">
        <w:rPr>
          <w:rFonts w:cs="Times New Roman"/>
          <w:lang w:val="fr-CA"/>
        </w:rPr>
        <w:t>3(2)), et qu</w:t>
      </w:r>
      <w:r>
        <w:rPr>
          <w:rFonts w:cs="Times New Roman"/>
          <w:lang w:val="fr-CA"/>
        </w:rPr>
        <w:t>’</w:t>
      </w:r>
      <w:r w:rsidRPr="00CB18F4">
        <w:rPr>
          <w:rFonts w:cs="Times New Roman"/>
          <w:lang w:val="fr-CA"/>
        </w:rPr>
        <w:t>il appartient à ce dernier de déterminer la nature de ces normes.</w:t>
      </w:r>
    </w:p>
    <w:p w:rsidR="00520294" w:rsidRPr="00CB18F4" w:rsidRDefault="00520294" w:rsidP="00987CB6">
      <w:pPr>
        <w:pStyle w:val="ParaNoNdepar-AltN"/>
        <w:widowControl w:val="0"/>
        <w:rPr>
          <w:rFonts w:cs="Times New Roman"/>
          <w:lang w:val="fr-CA"/>
        </w:rPr>
      </w:pPr>
      <w:r w:rsidRPr="00CB18F4">
        <w:rPr>
          <w:rFonts w:cs="Times New Roman"/>
          <w:lang w:val="fr-CA"/>
        </w:rPr>
        <w:t>Monsieur Green soutient également que les règles contestées qui exposent un avocat à une suspension sont déraisonnables parce que son</w:t>
      </w:r>
      <w:r w:rsidR="00836F4A">
        <w:rPr>
          <w:rFonts w:cs="Times New Roman"/>
          <w:lang w:val="fr-CA"/>
        </w:rPr>
        <w:t xml:space="preserve"> [</w:t>
      </w:r>
      <w:r w:rsidR="00836F4A" w:rsidRPr="00836F4A">
        <w:rPr>
          <w:rFonts w:cs="Times New Roman"/>
          <w:smallCaps/>
          <w:lang w:val="fr-CA"/>
        </w:rPr>
        <w:t>traduction</w:t>
      </w:r>
      <w:r w:rsidR="00836F4A">
        <w:rPr>
          <w:rFonts w:cs="Times New Roman"/>
          <w:lang w:val="fr-CA"/>
        </w:rPr>
        <w:t>]</w:t>
      </w:r>
      <w:r w:rsidRPr="00CB18F4">
        <w:rPr>
          <w:rFonts w:cs="Times New Roman"/>
          <w:lang w:val="fr-CA"/>
        </w:rPr>
        <w:t xml:space="preserve"> « droit </w:t>
      </w:r>
      <w:r w:rsidRPr="00CB18F4">
        <w:rPr>
          <w:rFonts w:cs="Times New Roman"/>
          <w:lang w:val="fr-CA"/>
        </w:rPr>
        <w:lastRenderedPageBreak/>
        <w:t>issu de la common law » d</w:t>
      </w:r>
      <w:r>
        <w:rPr>
          <w:rFonts w:cs="Times New Roman"/>
          <w:lang w:val="fr-CA"/>
        </w:rPr>
        <w:t>’</w:t>
      </w:r>
      <w:r w:rsidRPr="00CB18F4">
        <w:rPr>
          <w:rFonts w:cs="Times New Roman"/>
          <w:lang w:val="fr-CA"/>
        </w:rPr>
        <w:t>exercer la profession d</w:t>
      </w:r>
      <w:r>
        <w:rPr>
          <w:rFonts w:cs="Times New Roman"/>
          <w:lang w:val="fr-CA"/>
        </w:rPr>
        <w:t>’</w:t>
      </w:r>
      <w:r w:rsidRPr="00CB18F4">
        <w:rPr>
          <w:rFonts w:cs="Times New Roman"/>
          <w:lang w:val="fr-CA"/>
        </w:rPr>
        <w:t>avocat ne peut lui être enlevé en l</w:t>
      </w:r>
      <w:r>
        <w:rPr>
          <w:rFonts w:cs="Times New Roman"/>
          <w:lang w:val="fr-CA"/>
        </w:rPr>
        <w:t>’</w:t>
      </w:r>
      <w:r w:rsidRPr="00CB18F4">
        <w:rPr>
          <w:rFonts w:cs="Times New Roman"/>
          <w:lang w:val="fr-CA"/>
        </w:rPr>
        <w:t>absence d</w:t>
      </w:r>
      <w:r>
        <w:rPr>
          <w:rFonts w:cs="Times New Roman"/>
          <w:lang w:val="fr-CA"/>
        </w:rPr>
        <w:t>’</w:t>
      </w:r>
      <w:r w:rsidRPr="00CB18F4">
        <w:rPr>
          <w:rFonts w:cs="Times New Roman"/>
          <w:lang w:val="fr-CA"/>
        </w:rPr>
        <w:t>un texte législatif clair. Cet argument ne me convainc pas. Le droit d</w:t>
      </w:r>
      <w:r>
        <w:rPr>
          <w:rFonts w:cs="Times New Roman"/>
          <w:lang w:val="fr-CA"/>
        </w:rPr>
        <w:t>’</w:t>
      </w:r>
      <w:r w:rsidRPr="00CB18F4">
        <w:rPr>
          <w:rFonts w:cs="Times New Roman"/>
          <w:lang w:val="fr-CA"/>
        </w:rPr>
        <w:t>exercer la profession d</w:t>
      </w:r>
      <w:r>
        <w:rPr>
          <w:rFonts w:cs="Times New Roman"/>
          <w:lang w:val="fr-CA"/>
        </w:rPr>
        <w:t>’</w:t>
      </w:r>
      <w:r w:rsidRPr="00CB18F4">
        <w:rPr>
          <w:rFonts w:cs="Times New Roman"/>
          <w:lang w:val="fr-CA"/>
        </w:rPr>
        <w:t>avocat n</w:t>
      </w:r>
      <w:r>
        <w:rPr>
          <w:rFonts w:cs="Times New Roman"/>
          <w:lang w:val="fr-CA"/>
        </w:rPr>
        <w:t>’</w:t>
      </w:r>
      <w:r w:rsidRPr="00CB18F4">
        <w:rPr>
          <w:rFonts w:cs="Times New Roman"/>
          <w:lang w:val="fr-CA"/>
        </w:rPr>
        <w:t xml:space="preserve">est ni issu de la common law ni un droit de propriété, mais plutôt un droit conféré par la loi qui est tributaire des </w:t>
      </w:r>
      <w:r>
        <w:rPr>
          <w:rFonts w:cs="Times New Roman"/>
          <w:lang w:val="fr-CA"/>
        </w:rPr>
        <w:t xml:space="preserve">principes </w:t>
      </w:r>
      <w:r w:rsidRPr="00CB18F4">
        <w:rPr>
          <w:rFonts w:cs="Times New Roman"/>
          <w:lang w:val="fr-CA"/>
        </w:rPr>
        <w:t xml:space="preserve">énoncés dans la Loi et </w:t>
      </w:r>
      <w:r>
        <w:rPr>
          <w:rFonts w:cs="Times New Roman"/>
          <w:lang w:val="fr-CA"/>
        </w:rPr>
        <w:t xml:space="preserve">des Règles adoptées </w:t>
      </w:r>
      <w:r w:rsidRPr="00CB18F4">
        <w:rPr>
          <w:rFonts w:cs="Times New Roman"/>
          <w:lang w:val="fr-CA"/>
        </w:rPr>
        <w:t>par le Barreau. Comme la Cour l</w:t>
      </w:r>
      <w:r>
        <w:rPr>
          <w:rFonts w:cs="Times New Roman"/>
          <w:lang w:val="fr-CA"/>
        </w:rPr>
        <w:t>’</w:t>
      </w:r>
      <w:r w:rsidRPr="00CB18F4">
        <w:rPr>
          <w:rFonts w:cs="Times New Roman"/>
          <w:lang w:val="fr-CA"/>
        </w:rPr>
        <w:t>a déjà conclu, «</w:t>
      </w:r>
      <w:r>
        <w:rPr>
          <w:rFonts w:cs="Times New Roman"/>
          <w:lang w:val="fr-CA"/>
        </w:rPr>
        <w:t> </w:t>
      </w:r>
      <w:r w:rsidRPr="00CB18F4">
        <w:rPr>
          <w:rFonts w:cs="Times New Roman"/>
          <w:lang w:val="fr-CA"/>
        </w:rPr>
        <w:t>la Société du Barreau a les pleins pouvoirs pour déterminer les personnes qui peuvent exercer le droit dans la province, les conditions ou exigences qui leur sont imposées et, ce qui est peut</w:t>
      </w:r>
      <w:r>
        <w:rPr>
          <w:rFonts w:cs="Times New Roman"/>
          <w:lang w:val="fr-CA"/>
        </w:rPr>
        <w:noBreakHyphen/>
      </w:r>
      <w:r w:rsidRPr="00CB18F4">
        <w:rPr>
          <w:rFonts w:cs="Times New Roman"/>
          <w:lang w:val="fr-CA"/>
        </w:rPr>
        <w:t>être le plus important, les moyens de faire respecter ces conditions ou exigences</w:t>
      </w:r>
      <w:r>
        <w:rPr>
          <w:rFonts w:cs="Times New Roman"/>
          <w:lang w:val="fr-CA"/>
        </w:rPr>
        <w:t> </w:t>
      </w:r>
      <w:r w:rsidRPr="00CB18F4">
        <w:rPr>
          <w:rFonts w:cs="Times New Roman"/>
          <w:lang w:val="fr-CA"/>
        </w:rPr>
        <w:t>»</w:t>
      </w:r>
      <w:r>
        <w:rPr>
          <w:rFonts w:cs="Times New Roman"/>
          <w:lang w:val="fr-CA"/>
        </w:rPr>
        <w:t> :</w:t>
      </w:r>
      <w:r w:rsidRPr="00CB18F4">
        <w:rPr>
          <w:rFonts w:cs="Times New Roman"/>
          <w:lang w:val="fr-CA"/>
        </w:rPr>
        <w:t xml:space="preserve"> </w:t>
      </w:r>
      <w:r w:rsidRPr="00CB18F4">
        <w:rPr>
          <w:rFonts w:cs="Times New Roman"/>
          <w:i/>
          <w:lang w:val="fr-CA"/>
        </w:rPr>
        <w:t>Pearlman</w:t>
      </w:r>
      <w:r w:rsidRPr="00CB18F4">
        <w:rPr>
          <w:rFonts w:cs="Times New Roman"/>
          <w:lang w:val="fr-CA"/>
        </w:rPr>
        <w:t xml:space="preserve">, </w:t>
      </w:r>
      <w:r>
        <w:rPr>
          <w:rFonts w:cs="Times New Roman"/>
          <w:lang w:val="fr-CA"/>
        </w:rPr>
        <w:t>p. </w:t>
      </w:r>
      <w:r w:rsidRPr="00CB18F4">
        <w:rPr>
          <w:rFonts w:cs="Times New Roman"/>
          <w:lang w:val="fr-CA"/>
        </w:rPr>
        <w:t>886. Le Barreau n</w:t>
      </w:r>
      <w:r>
        <w:rPr>
          <w:rFonts w:cs="Times New Roman"/>
          <w:lang w:val="fr-CA"/>
        </w:rPr>
        <w:t>’</w:t>
      </w:r>
      <w:r w:rsidRPr="00CB18F4">
        <w:rPr>
          <w:rFonts w:cs="Times New Roman"/>
          <w:lang w:val="fr-CA"/>
        </w:rPr>
        <w:t>a pas porté atteinte aux droits de l</w:t>
      </w:r>
      <w:r>
        <w:rPr>
          <w:rFonts w:cs="Times New Roman"/>
          <w:lang w:val="fr-CA"/>
        </w:rPr>
        <w:t>’</w:t>
      </w:r>
      <w:r w:rsidRPr="00CB18F4">
        <w:rPr>
          <w:rFonts w:cs="Times New Roman"/>
          <w:lang w:val="fr-CA"/>
        </w:rPr>
        <w:t>appelant. Il fait seulement ce que la loi exige qu</w:t>
      </w:r>
      <w:r>
        <w:rPr>
          <w:rFonts w:cs="Times New Roman"/>
          <w:lang w:val="fr-CA"/>
        </w:rPr>
        <w:t>’</w:t>
      </w:r>
      <w:r w:rsidRPr="00CB18F4">
        <w:rPr>
          <w:rFonts w:cs="Times New Roman"/>
          <w:lang w:val="fr-CA"/>
        </w:rPr>
        <w:t>il fasse, soit réglementer la formation des avocats dans l</w:t>
      </w:r>
      <w:r>
        <w:rPr>
          <w:rFonts w:cs="Times New Roman"/>
          <w:lang w:val="fr-CA"/>
        </w:rPr>
        <w:t>’</w:t>
      </w:r>
      <w:r w:rsidRPr="00CB18F4">
        <w:rPr>
          <w:rFonts w:cs="Times New Roman"/>
          <w:lang w:val="fr-CA"/>
        </w:rPr>
        <w:t>intérêt public.</w:t>
      </w:r>
    </w:p>
    <w:p w:rsidR="00520294" w:rsidRPr="00CB18F4" w:rsidRDefault="00520294" w:rsidP="00987CB6">
      <w:pPr>
        <w:pStyle w:val="ParaNoNdepar-AltN"/>
        <w:widowControl w:val="0"/>
        <w:rPr>
          <w:rFonts w:cs="Times New Roman"/>
          <w:lang w:val="fr-CA"/>
        </w:rPr>
      </w:pPr>
      <w:r w:rsidRPr="00CB18F4">
        <w:rPr>
          <w:rFonts w:cs="Times New Roman"/>
          <w:lang w:val="fr-CA"/>
        </w:rPr>
        <w:t>À la lumière des dispositions pertinentes de la Loi et des préoccupations pratiques relatives à l</w:t>
      </w:r>
      <w:r>
        <w:rPr>
          <w:rFonts w:cs="Times New Roman"/>
          <w:lang w:val="fr-CA"/>
        </w:rPr>
        <w:t>’</w:t>
      </w:r>
      <w:r w:rsidRPr="00CB18F4">
        <w:rPr>
          <w:rFonts w:cs="Times New Roman"/>
          <w:lang w:val="fr-CA"/>
        </w:rPr>
        <w:t>application des normes de formation, les règles créant un programme de PPP obligatoire qui permettent la suspension d</w:t>
      </w:r>
      <w:r>
        <w:rPr>
          <w:rFonts w:cs="Times New Roman"/>
          <w:lang w:val="fr-CA"/>
        </w:rPr>
        <w:t>’</w:t>
      </w:r>
      <w:r w:rsidRPr="00CB18F4">
        <w:rPr>
          <w:rFonts w:cs="Times New Roman"/>
          <w:lang w:val="fr-CA"/>
        </w:rPr>
        <w:t>un avocat en cas de manquement à celles</w:t>
      </w:r>
      <w:r>
        <w:rPr>
          <w:rFonts w:cs="Times New Roman"/>
          <w:lang w:val="fr-CA"/>
        </w:rPr>
        <w:noBreakHyphen/>
      </w:r>
      <w:r w:rsidRPr="00CB18F4">
        <w:rPr>
          <w:rFonts w:cs="Times New Roman"/>
          <w:lang w:val="fr-CA"/>
        </w:rPr>
        <w:t>ci ne sont pas déraisonnables.</w:t>
      </w:r>
    </w:p>
    <w:p w:rsidR="00520294" w:rsidRPr="00CB18F4" w:rsidRDefault="00520294" w:rsidP="00987CB6">
      <w:pPr>
        <w:pStyle w:val="Title3LevelTitre3Niveau"/>
        <w:widowControl w:val="0"/>
        <w:rPr>
          <w:rFonts w:cs="Times New Roman"/>
          <w:lang w:val="fr-CA"/>
        </w:rPr>
      </w:pPr>
      <w:r w:rsidRPr="00CB18F4">
        <w:rPr>
          <w:rFonts w:cs="Times New Roman"/>
          <w:lang w:val="fr-CA"/>
        </w:rPr>
        <w:t>Est</w:t>
      </w:r>
      <w:r>
        <w:rPr>
          <w:rFonts w:cs="Times New Roman"/>
          <w:lang w:val="fr-CA"/>
        </w:rPr>
        <w:noBreakHyphen/>
      </w:r>
      <w:r w:rsidRPr="00CB18F4">
        <w:rPr>
          <w:rFonts w:cs="Times New Roman"/>
          <w:lang w:val="fr-CA"/>
        </w:rPr>
        <w:t>il raisonnable que les Règles prévoient la possibilité d</w:t>
      </w:r>
      <w:r>
        <w:rPr>
          <w:rFonts w:cs="Times New Roman"/>
          <w:lang w:val="fr-CA"/>
        </w:rPr>
        <w:t>’</w:t>
      </w:r>
      <w:r w:rsidRPr="00CB18F4">
        <w:rPr>
          <w:rFonts w:cs="Times New Roman"/>
          <w:lang w:val="fr-CA"/>
        </w:rPr>
        <w:t>une suspension d</w:t>
      </w:r>
      <w:r>
        <w:rPr>
          <w:rFonts w:cs="Times New Roman"/>
          <w:lang w:val="fr-CA"/>
        </w:rPr>
        <w:t>’</w:t>
      </w:r>
      <w:r w:rsidRPr="00CB18F4">
        <w:rPr>
          <w:rFonts w:cs="Times New Roman"/>
          <w:lang w:val="fr-CA"/>
        </w:rPr>
        <w:t>un avocat sans audience et sans droit d</w:t>
      </w:r>
      <w:r>
        <w:rPr>
          <w:rFonts w:cs="Times New Roman"/>
          <w:lang w:val="fr-CA"/>
        </w:rPr>
        <w:t>’</w:t>
      </w:r>
      <w:r w:rsidR="00836F4A">
        <w:rPr>
          <w:rFonts w:cs="Times New Roman"/>
          <w:lang w:val="fr-CA"/>
        </w:rPr>
        <w:t>appel</w:t>
      </w:r>
      <w:r w:rsidRPr="00CB18F4">
        <w:rPr>
          <w:rFonts w:cs="Times New Roman"/>
          <w:lang w:val="fr-CA"/>
        </w:rPr>
        <w:t>?</w:t>
      </w:r>
    </w:p>
    <w:p w:rsidR="00520294" w:rsidRPr="00CB18F4" w:rsidRDefault="00520294" w:rsidP="00987CB6">
      <w:pPr>
        <w:pStyle w:val="ParaNoNdepar-AltN"/>
        <w:widowControl w:val="0"/>
        <w:rPr>
          <w:rFonts w:cs="Times New Roman"/>
          <w:lang w:val="fr-CA"/>
        </w:rPr>
      </w:pPr>
      <w:r w:rsidRPr="00CB18F4">
        <w:rPr>
          <w:rFonts w:cs="Times New Roman"/>
          <w:lang w:val="fr-CA"/>
        </w:rPr>
        <w:t>L</w:t>
      </w:r>
      <w:r>
        <w:rPr>
          <w:rFonts w:cs="Times New Roman"/>
          <w:lang w:val="fr-CA"/>
        </w:rPr>
        <w:t>’</w:t>
      </w:r>
      <w:r w:rsidRPr="00CB18F4">
        <w:rPr>
          <w:rFonts w:cs="Times New Roman"/>
          <w:lang w:val="fr-CA"/>
        </w:rPr>
        <w:t>appelant met également en doute l</w:t>
      </w:r>
      <w:r>
        <w:rPr>
          <w:rFonts w:cs="Times New Roman"/>
          <w:lang w:val="fr-CA"/>
        </w:rPr>
        <w:t>’</w:t>
      </w:r>
      <w:r w:rsidRPr="00CB18F4">
        <w:rPr>
          <w:rFonts w:cs="Times New Roman"/>
          <w:lang w:val="fr-CA"/>
        </w:rPr>
        <w:t>équité procédurale des règles contestées. En effet, il soutient que ces règles sont invalides parce qu</w:t>
      </w:r>
      <w:r>
        <w:rPr>
          <w:rFonts w:cs="Times New Roman"/>
          <w:lang w:val="fr-CA"/>
        </w:rPr>
        <w:t>’</w:t>
      </w:r>
      <w:r w:rsidRPr="00CB18F4">
        <w:rPr>
          <w:rFonts w:cs="Times New Roman"/>
          <w:lang w:val="fr-CA"/>
        </w:rPr>
        <w:t>elles ne prévoient ni audience ni droit d</w:t>
      </w:r>
      <w:r>
        <w:rPr>
          <w:rFonts w:cs="Times New Roman"/>
          <w:lang w:val="fr-CA"/>
        </w:rPr>
        <w:t>’</w:t>
      </w:r>
      <w:r w:rsidRPr="00CB18F4">
        <w:rPr>
          <w:rFonts w:cs="Times New Roman"/>
          <w:lang w:val="fr-CA"/>
        </w:rPr>
        <w:t xml:space="preserve">appel pour le membre avant sa suspension. À mon avis, </w:t>
      </w:r>
      <w:r>
        <w:rPr>
          <w:rFonts w:cs="Times New Roman"/>
          <w:lang w:val="fr-CA"/>
        </w:rPr>
        <w:t>cette contestation des r</w:t>
      </w:r>
      <w:r w:rsidRPr="00CB18F4">
        <w:rPr>
          <w:rFonts w:cs="Times New Roman"/>
          <w:lang w:val="fr-CA"/>
        </w:rPr>
        <w:t>ègles n</w:t>
      </w:r>
      <w:r>
        <w:rPr>
          <w:rFonts w:cs="Times New Roman"/>
          <w:lang w:val="fr-CA"/>
        </w:rPr>
        <w:t>’</w:t>
      </w:r>
      <w:r w:rsidRPr="00CB18F4">
        <w:rPr>
          <w:rFonts w:cs="Times New Roman"/>
          <w:lang w:val="fr-CA"/>
        </w:rPr>
        <w:t>est pas appropriée dans le contexte d</w:t>
      </w:r>
      <w:r>
        <w:rPr>
          <w:rFonts w:cs="Times New Roman"/>
          <w:lang w:val="fr-CA"/>
        </w:rPr>
        <w:t>’</w:t>
      </w:r>
      <w:r w:rsidRPr="00CB18F4">
        <w:rPr>
          <w:rFonts w:cs="Times New Roman"/>
          <w:lang w:val="fr-CA"/>
        </w:rPr>
        <w:t xml:space="preserve">une demande de </w:t>
      </w:r>
      <w:r w:rsidRPr="00CB18F4">
        <w:rPr>
          <w:rFonts w:cs="Times New Roman"/>
          <w:lang w:val="fr-CA"/>
        </w:rPr>
        <w:lastRenderedPageBreak/>
        <w:t>jugement déclaratoire. L</w:t>
      </w:r>
      <w:r>
        <w:rPr>
          <w:rFonts w:cs="Times New Roman"/>
          <w:lang w:val="fr-CA"/>
        </w:rPr>
        <w:t>’</w:t>
      </w:r>
      <w:r w:rsidRPr="00CB18F4">
        <w:rPr>
          <w:rFonts w:cs="Times New Roman"/>
          <w:lang w:val="fr-CA"/>
        </w:rPr>
        <w:t>équité procédurale en common law ne s</w:t>
      </w:r>
      <w:r>
        <w:rPr>
          <w:rFonts w:cs="Times New Roman"/>
          <w:lang w:val="fr-CA"/>
        </w:rPr>
        <w:t>’</w:t>
      </w:r>
      <w:r w:rsidRPr="00CB18F4">
        <w:rPr>
          <w:rFonts w:cs="Times New Roman"/>
          <w:lang w:val="fr-CA"/>
        </w:rPr>
        <w:t>applique que lorsque le Barreau prend une décision précise qui touche les intérêts d</w:t>
      </w:r>
      <w:r>
        <w:rPr>
          <w:rFonts w:cs="Times New Roman"/>
          <w:lang w:val="fr-CA"/>
        </w:rPr>
        <w:t>’</w:t>
      </w:r>
      <w:r w:rsidRPr="00CB18F4">
        <w:rPr>
          <w:rFonts w:cs="Times New Roman"/>
          <w:lang w:val="fr-CA"/>
        </w:rPr>
        <w:t>une personne. Puisqu</w:t>
      </w:r>
      <w:r>
        <w:rPr>
          <w:rFonts w:cs="Times New Roman"/>
          <w:lang w:val="fr-CA"/>
        </w:rPr>
        <w:t>’</w:t>
      </w:r>
      <w:r w:rsidRPr="00CB18F4">
        <w:rPr>
          <w:rFonts w:cs="Times New Roman"/>
          <w:lang w:val="fr-CA"/>
        </w:rPr>
        <w:t>il n</w:t>
      </w:r>
      <w:r>
        <w:rPr>
          <w:rFonts w:cs="Times New Roman"/>
          <w:lang w:val="fr-CA"/>
        </w:rPr>
        <w:t>’</w:t>
      </w:r>
      <w:r w:rsidRPr="00CB18F4">
        <w:rPr>
          <w:rFonts w:cs="Times New Roman"/>
          <w:lang w:val="fr-CA"/>
        </w:rPr>
        <w:t xml:space="preserve">a pas sollicité le contrôle judiciaire de sa suspension, M. Green ne peut que faire valoir que les règles contestées sont déraisonnables compte tenu du pouvoir que la Loi confère au Barreau. </w:t>
      </w:r>
    </w:p>
    <w:p w:rsidR="00520294" w:rsidRPr="00CB18F4" w:rsidRDefault="00520294" w:rsidP="00987CB6">
      <w:pPr>
        <w:pStyle w:val="ParaNoNdepar-AltN"/>
        <w:widowControl w:val="0"/>
        <w:rPr>
          <w:rFonts w:cs="Times New Roman"/>
          <w:lang w:val="fr-CA"/>
        </w:rPr>
      </w:pPr>
      <w:r w:rsidRPr="00CB18F4">
        <w:rPr>
          <w:rFonts w:cs="Times New Roman"/>
          <w:lang w:val="fr-CA"/>
        </w:rPr>
        <w:t>Étant donné la nature administrative de la suspension et du pouvoir discrétionnaire conféré au directeur général par des règles lorsqu</w:t>
      </w:r>
      <w:r>
        <w:rPr>
          <w:rFonts w:cs="Times New Roman"/>
          <w:lang w:val="fr-CA"/>
        </w:rPr>
        <w:t>’</w:t>
      </w:r>
      <w:r w:rsidRPr="00CB18F4">
        <w:rPr>
          <w:rFonts w:cs="Times New Roman"/>
          <w:lang w:val="fr-CA"/>
        </w:rPr>
        <w:t xml:space="preserve">il inflige une suspension, je conclus que les règles </w:t>
      </w:r>
      <w:r>
        <w:rPr>
          <w:rFonts w:cs="Times New Roman"/>
          <w:lang w:val="fr-CA"/>
        </w:rPr>
        <w:t xml:space="preserve">contestées </w:t>
      </w:r>
      <w:r w:rsidRPr="00CB18F4">
        <w:rPr>
          <w:rFonts w:cs="Times New Roman"/>
          <w:lang w:val="fr-CA"/>
        </w:rPr>
        <w:t>ne sont pas déraisonnables pour le seul motif qu</w:t>
      </w:r>
      <w:r>
        <w:rPr>
          <w:rFonts w:cs="Times New Roman"/>
          <w:lang w:val="fr-CA"/>
        </w:rPr>
        <w:t>’</w:t>
      </w:r>
      <w:r w:rsidRPr="00CB18F4">
        <w:rPr>
          <w:rFonts w:cs="Times New Roman"/>
          <w:lang w:val="fr-CA"/>
        </w:rPr>
        <w:t>elles ne prévoient ni audience ni droit d</w:t>
      </w:r>
      <w:r>
        <w:rPr>
          <w:rFonts w:cs="Times New Roman"/>
          <w:lang w:val="fr-CA"/>
        </w:rPr>
        <w:t>’</w:t>
      </w:r>
      <w:r w:rsidRPr="00CB18F4">
        <w:rPr>
          <w:rFonts w:cs="Times New Roman"/>
          <w:lang w:val="fr-CA"/>
        </w:rPr>
        <w:t xml:space="preserve">appel. </w:t>
      </w:r>
    </w:p>
    <w:p w:rsidR="00520294" w:rsidRPr="00CB18F4" w:rsidRDefault="00520294" w:rsidP="00987CB6">
      <w:pPr>
        <w:pStyle w:val="Title4LevelTitre4Niveau"/>
        <w:widowControl w:val="0"/>
        <w:rPr>
          <w:rFonts w:cs="Times New Roman"/>
          <w:lang w:val="fr-CA"/>
        </w:rPr>
      </w:pPr>
      <w:r w:rsidRPr="00CB18F4">
        <w:rPr>
          <w:rFonts w:cs="Times New Roman"/>
          <w:lang w:val="fr-CA"/>
        </w:rPr>
        <w:t>Les Règles n</w:t>
      </w:r>
      <w:r>
        <w:rPr>
          <w:rFonts w:cs="Times New Roman"/>
          <w:lang w:val="fr-CA"/>
        </w:rPr>
        <w:t>’</w:t>
      </w:r>
      <w:r w:rsidRPr="00CB18F4">
        <w:rPr>
          <w:rFonts w:cs="Times New Roman"/>
          <w:lang w:val="fr-CA"/>
        </w:rPr>
        <w:t xml:space="preserve">englobent pas toutes les garanties procédurales prévues en common law </w:t>
      </w:r>
    </w:p>
    <w:p w:rsidR="00520294" w:rsidRPr="00CB18F4" w:rsidRDefault="00520294" w:rsidP="00987CB6">
      <w:pPr>
        <w:pStyle w:val="ParaNoNdepar-AltN"/>
        <w:widowControl w:val="0"/>
        <w:rPr>
          <w:rFonts w:cs="Times New Roman"/>
          <w:lang w:val="fr-CA"/>
        </w:rPr>
      </w:pPr>
      <w:r w:rsidRPr="00CB18F4">
        <w:rPr>
          <w:rFonts w:cs="Times New Roman"/>
          <w:lang w:val="fr-CA"/>
        </w:rPr>
        <w:t>L</w:t>
      </w:r>
      <w:r>
        <w:rPr>
          <w:rFonts w:cs="Times New Roman"/>
          <w:lang w:val="fr-CA"/>
        </w:rPr>
        <w:t>’</w:t>
      </w:r>
      <w:r w:rsidRPr="00CB18F4">
        <w:rPr>
          <w:rFonts w:cs="Times New Roman"/>
          <w:lang w:val="fr-CA"/>
        </w:rPr>
        <w:t>équité procédurale en common law ne réside pas dans un ensemble de règles adoptées. Comme l</w:t>
      </w:r>
      <w:r>
        <w:rPr>
          <w:rFonts w:cs="Times New Roman"/>
          <w:lang w:val="fr-CA"/>
        </w:rPr>
        <w:t>’</w:t>
      </w:r>
      <w:r w:rsidRPr="00CB18F4">
        <w:rPr>
          <w:rFonts w:cs="Times New Roman"/>
          <w:lang w:val="fr-CA"/>
        </w:rPr>
        <w:t>expliquent Brown et Evans, la [</w:t>
      </w:r>
      <w:r w:rsidRPr="00CB18F4">
        <w:rPr>
          <w:rFonts w:cs="Times New Roman"/>
          <w:smallCaps/>
          <w:szCs w:val="24"/>
          <w:lang w:val="fr-CA"/>
        </w:rPr>
        <w:t>traduction</w:t>
      </w:r>
      <w:r w:rsidRPr="00CB18F4">
        <w:rPr>
          <w:rFonts w:cs="Times New Roman"/>
          <w:lang w:val="fr-CA"/>
        </w:rPr>
        <w:t>] «</w:t>
      </w:r>
      <w:r>
        <w:rPr>
          <w:rFonts w:cs="Times New Roman"/>
          <w:lang w:val="fr-CA"/>
        </w:rPr>
        <w:t> </w:t>
      </w:r>
      <w:r w:rsidRPr="00CB18F4">
        <w:rPr>
          <w:rFonts w:cs="Times New Roman"/>
          <w:lang w:val="fr-CA"/>
        </w:rPr>
        <w:t>législation déléguée qui semble permettre une violation fondamentale de l</w:t>
      </w:r>
      <w:r>
        <w:rPr>
          <w:rFonts w:cs="Times New Roman"/>
          <w:lang w:val="fr-CA"/>
        </w:rPr>
        <w:t>’</w:t>
      </w:r>
      <w:r w:rsidRPr="00CB18F4">
        <w:rPr>
          <w:rFonts w:cs="Times New Roman"/>
          <w:lang w:val="fr-CA"/>
        </w:rPr>
        <w:t>obligation d</w:t>
      </w:r>
      <w:r>
        <w:rPr>
          <w:rFonts w:cs="Times New Roman"/>
          <w:lang w:val="fr-CA"/>
        </w:rPr>
        <w:t>’</w:t>
      </w:r>
      <w:r w:rsidRPr="00CB18F4">
        <w:rPr>
          <w:rFonts w:cs="Times New Roman"/>
          <w:lang w:val="fr-CA"/>
        </w:rPr>
        <w:t>équité ne sera normalement pas considérée comme englobant tous les droits procéduraux</w:t>
      </w:r>
      <w:r>
        <w:rPr>
          <w:rFonts w:cs="Times New Roman"/>
          <w:lang w:val="fr-CA"/>
        </w:rPr>
        <w:t> </w:t>
      </w:r>
      <w:r w:rsidRPr="00CB18F4">
        <w:rPr>
          <w:rFonts w:cs="Times New Roman"/>
          <w:lang w:val="fr-CA"/>
        </w:rPr>
        <w:t>»</w:t>
      </w:r>
      <w:r>
        <w:rPr>
          <w:rFonts w:cs="Times New Roman"/>
          <w:lang w:val="fr-CA"/>
        </w:rPr>
        <w:t> :</w:t>
      </w:r>
      <w:r w:rsidRPr="00CB18F4">
        <w:rPr>
          <w:rFonts w:cs="Times New Roman"/>
          <w:lang w:val="fr-CA"/>
        </w:rPr>
        <w:t xml:space="preserve"> </w:t>
      </w:r>
      <w:r w:rsidRPr="00CB18F4">
        <w:rPr>
          <w:rFonts w:cs="Times New Roman"/>
          <w:i/>
          <w:iCs/>
          <w:lang w:val="fr-CA"/>
        </w:rPr>
        <w:t>Judicial Review of Administrative Action in Canada</w:t>
      </w:r>
      <w:r w:rsidRPr="00CB18F4">
        <w:rPr>
          <w:rFonts w:cs="Times New Roman"/>
          <w:lang w:val="fr-CA"/>
        </w:rPr>
        <w:t xml:space="preserve"> (feuilles mobiles), rubrique 7:1512. Un organisme décisionnel établi par la loi peut toujours prévoir des procédures s</w:t>
      </w:r>
      <w:r>
        <w:rPr>
          <w:rFonts w:cs="Times New Roman"/>
          <w:lang w:val="fr-CA"/>
        </w:rPr>
        <w:t>’</w:t>
      </w:r>
      <w:r w:rsidRPr="00CB18F4">
        <w:rPr>
          <w:rFonts w:cs="Times New Roman"/>
          <w:lang w:val="fr-CA"/>
        </w:rPr>
        <w:t>ajoutant à celles énoncées dans une règle afin de s</w:t>
      </w:r>
      <w:r>
        <w:rPr>
          <w:rFonts w:cs="Times New Roman"/>
          <w:lang w:val="fr-CA"/>
        </w:rPr>
        <w:t>’</w:t>
      </w:r>
      <w:r w:rsidRPr="00CB18F4">
        <w:rPr>
          <w:rFonts w:cs="Times New Roman"/>
          <w:lang w:val="fr-CA"/>
        </w:rPr>
        <w:t>assurer que les principes de l</w:t>
      </w:r>
      <w:r>
        <w:rPr>
          <w:rFonts w:cs="Times New Roman"/>
          <w:lang w:val="fr-CA"/>
        </w:rPr>
        <w:t>’</w:t>
      </w:r>
      <w:r w:rsidRPr="00CB18F4">
        <w:rPr>
          <w:rFonts w:cs="Times New Roman"/>
          <w:lang w:val="fr-CA"/>
        </w:rPr>
        <w:t>équité procédurale sont respectés</w:t>
      </w:r>
      <w:r>
        <w:rPr>
          <w:rFonts w:cs="Times New Roman"/>
          <w:lang w:val="fr-CA"/>
        </w:rPr>
        <w:t> :</w:t>
      </w:r>
      <w:r w:rsidRPr="00CB18F4">
        <w:rPr>
          <w:rFonts w:cs="Times New Roman"/>
          <w:lang w:val="fr-CA"/>
        </w:rPr>
        <w:t xml:space="preserve"> voir </w:t>
      </w:r>
      <w:r w:rsidRPr="00CB18F4">
        <w:rPr>
          <w:rFonts w:cs="Times New Roman"/>
          <w:i/>
          <w:lang w:val="fr-CA"/>
        </w:rPr>
        <w:t>Culligan c. Miller, J.</w:t>
      </w:r>
      <w:r w:rsidRPr="00CB18F4">
        <w:rPr>
          <w:rFonts w:cs="Times New Roman"/>
          <w:lang w:val="fr-CA"/>
        </w:rPr>
        <w:t xml:space="preserve"> (1996), 178 </w:t>
      </w:r>
      <w:r w:rsidR="00097F41">
        <w:rPr>
          <w:rFonts w:cs="Times New Roman"/>
          <w:lang w:val="fr-CA"/>
        </w:rPr>
        <w:t>R.N.-B.</w:t>
      </w:r>
      <w:r w:rsidR="000712AF">
        <w:rPr>
          <w:rFonts w:cs="Times New Roman"/>
          <w:lang w:val="fr-CA"/>
        </w:rPr>
        <w:t xml:space="preserve"> (2</w:t>
      </w:r>
      <w:r w:rsidR="000712AF" w:rsidRPr="000712AF">
        <w:rPr>
          <w:rFonts w:cs="Times New Roman"/>
          <w:vertAlign w:val="superscript"/>
          <w:lang w:val="fr-CA"/>
        </w:rPr>
        <w:t>e</w:t>
      </w:r>
      <w:r w:rsidRPr="00CB18F4">
        <w:rPr>
          <w:rFonts w:cs="Times New Roman"/>
          <w:lang w:val="fr-CA"/>
        </w:rPr>
        <w:t>) 321</w:t>
      </w:r>
      <w:r w:rsidR="00097F41">
        <w:rPr>
          <w:rFonts w:cs="Times New Roman"/>
          <w:lang w:val="fr-CA"/>
        </w:rPr>
        <w:t xml:space="preserve"> </w:t>
      </w:r>
      <w:r w:rsidRPr="00CB18F4">
        <w:rPr>
          <w:rFonts w:cs="Times New Roman"/>
          <w:lang w:val="fr-CA"/>
        </w:rPr>
        <w:t xml:space="preserve">(B.R.), </w:t>
      </w:r>
      <w:r>
        <w:rPr>
          <w:rFonts w:cs="Times New Roman"/>
          <w:lang w:val="fr-CA"/>
        </w:rPr>
        <w:t>par. </w:t>
      </w:r>
      <w:r w:rsidR="00097F41">
        <w:rPr>
          <w:rFonts w:cs="Times New Roman"/>
          <w:lang w:val="fr-CA"/>
        </w:rPr>
        <w:t>23-</w:t>
      </w:r>
      <w:r w:rsidRPr="00CB18F4">
        <w:rPr>
          <w:rFonts w:cs="Times New Roman"/>
          <w:lang w:val="fr-CA"/>
        </w:rPr>
        <w:t xml:space="preserve">24; </w:t>
      </w:r>
      <w:r w:rsidRPr="00CB18F4">
        <w:rPr>
          <w:rFonts w:cs="Times New Roman"/>
          <w:i/>
          <w:lang w:val="fr-CA"/>
        </w:rPr>
        <w:t>Shewchuk</w:t>
      </w:r>
      <w:r>
        <w:rPr>
          <w:rFonts w:cs="Times New Roman"/>
          <w:i/>
          <w:lang w:val="fr-CA"/>
        </w:rPr>
        <w:noBreakHyphen/>
      </w:r>
      <w:r w:rsidRPr="00CB18F4">
        <w:rPr>
          <w:rFonts w:cs="Times New Roman"/>
          <w:i/>
          <w:lang w:val="fr-CA"/>
        </w:rPr>
        <w:t>Dann c. Assn. of Social Workers (Alberta)</w:t>
      </w:r>
      <w:r w:rsidRPr="00CB18F4">
        <w:rPr>
          <w:rFonts w:cs="Times New Roman"/>
          <w:lang w:val="fr-CA"/>
        </w:rPr>
        <w:t xml:space="preserve"> (1996), 38 Admin. L.R. (2d) 19 (C.A.); </w:t>
      </w:r>
      <w:r w:rsidRPr="00CB18F4">
        <w:rPr>
          <w:rFonts w:cs="Times New Roman"/>
          <w:i/>
          <w:lang w:val="fr-CA"/>
        </w:rPr>
        <w:t xml:space="preserve">Laferrière c. Canada (Procureur </w:t>
      </w:r>
      <w:r w:rsidRPr="00CB18F4">
        <w:rPr>
          <w:rFonts w:cs="Times New Roman"/>
          <w:i/>
          <w:lang w:val="fr-CA"/>
        </w:rPr>
        <w:lastRenderedPageBreak/>
        <w:t>général)</w:t>
      </w:r>
      <w:r w:rsidR="00097F41">
        <w:rPr>
          <w:rFonts w:cs="Times New Roman"/>
          <w:lang w:val="fr-CA"/>
        </w:rPr>
        <w:t>, 2015 CF</w:t>
      </w:r>
      <w:r w:rsidRPr="00CB18F4">
        <w:rPr>
          <w:rFonts w:cs="Times New Roman"/>
          <w:lang w:val="fr-CA"/>
        </w:rPr>
        <w:t xml:space="preserve"> 612, </w:t>
      </w:r>
      <w:r>
        <w:rPr>
          <w:rFonts w:cs="Times New Roman"/>
          <w:lang w:val="fr-CA"/>
        </w:rPr>
        <w:t>par. </w:t>
      </w:r>
      <w:r w:rsidRPr="00CB18F4">
        <w:rPr>
          <w:rFonts w:cs="Times New Roman"/>
          <w:lang w:val="fr-CA"/>
        </w:rPr>
        <w:t>13</w:t>
      </w:r>
      <w:r w:rsidR="00097F41">
        <w:rPr>
          <w:rFonts w:cs="Times New Roman"/>
          <w:lang w:val="fr-CA"/>
        </w:rPr>
        <w:t>-</w:t>
      </w:r>
      <w:r w:rsidRPr="00CB18F4">
        <w:rPr>
          <w:rFonts w:cs="Times New Roman"/>
          <w:lang w:val="fr-CA"/>
        </w:rPr>
        <w:t xml:space="preserve">14 (CanLII); </w:t>
      </w:r>
      <w:r w:rsidRPr="00CB18F4">
        <w:rPr>
          <w:rFonts w:cs="Times New Roman"/>
          <w:i/>
          <w:lang w:val="fr-CA"/>
        </w:rPr>
        <w:t>Irwin c. Alberta Veterinary Medical Association</w:t>
      </w:r>
      <w:r w:rsidRPr="00CB18F4">
        <w:rPr>
          <w:rFonts w:cs="Times New Roman"/>
          <w:lang w:val="fr-CA"/>
        </w:rPr>
        <w:t xml:space="preserve">, 2015 ABCA 396, 609 A.R. 299, </w:t>
      </w:r>
      <w:r>
        <w:rPr>
          <w:rFonts w:cs="Times New Roman"/>
          <w:lang w:val="fr-CA"/>
        </w:rPr>
        <w:t>par. </w:t>
      </w:r>
      <w:r w:rsidRPr="00CB18F4">
        <w:rPr>
          <w:rFonts w:cs="Times New Roman"/>
          <w:lang w:val="fr-CA"/>
        </w:rPr>
        <w:t>58 et 63. Toutefois, l</w:t>
      </w:r>
      <w:r>
        <w:rPr>
          <w:rFonts w:cs="Times New Roman"/>
          <w:lang w:val="fr-CA"/>
        </w:rPr>
        <w:t>’</w:t>
      </w:r>
      <w:r w:rsidRPr="00CB18F4">
        <w:rPr>
          <w:rFonts w:cs="Times New Roman"/>
          <w:lang w:val="fr-CA"/>
        </w:rPr>
        <w:t>obligation d</w:t>
      </w:r>
      <w:r>
        <w:rPr>
          <w:rFonts w:cs="Times New Roman"/>
          <w:lang w:val="fr-CA"/>
        </w:rPr>
        <w:t>’</w:t>
      </w:r>
      <w:r w:rsidRPr="00CB18F4">
        <w:rPr>
          <w:rFonts w:cs="Times New Roman"/>
          <w:lang w:val="fr-CA"/>
        </w:rPr>
        <w:t>équité issue de la common law [</w:t>
      </w:r>
      <w:r w:rsidRPr="00CB18F4">
        <w:rPr>
          <w:rFonts w:cs="Times New Roman"/>
          <w:smallCaps/>
          <w:lang w:val="fr-CA"/>
        </w:rPr>
        <w:t>traduction</w:t>
      </w:r>
      <w:r w:rsidRPr="00CB18F4">
        <w:rPr>
          <w:rFonts w:cs="Times New Roman"/>
          <w:lang w:val="fr-CA"/>
        </w:rPr>
        <w:t>] «</w:t>
      </w:r>
      <w:r>
        <w:rPr>
          <w:rFonts w:cs="Times New Roman"/>
          <w:lang w:val="fr-CA"/>
        </w:rPr>
        <w:t> </w:t>
      </w:r>
      <w:r w:rsidRPr="00CB18F4">
        <w:rPr>
          <w:rFonts w:cs="Times New Roman"/>
          <w:lang w:val="fr-CA"/>
        </w:rPr>
        <w:t>complète les obligations existantes imposées par la loi et comble les lacunes</w:t>
      </w:r>
      <w:r>
        <w:rPr>
          <w:rFonts w:cs="Times New Roman"/>
          <w:lang w:val="fr-CA"/>
        </w:rPr>
        <w:t> </w:t>
      </w:r>
      <w:r w:rsidRPr="00CB18F4">
        <w:rPr>
          <w:rFonts w:cs="Times New Roman"/>
          <w:lang w:val="fr-CA"/>
        </w:rPr>
        <w:t>» lorsque les procédures ne sont pas expressément prévues</w:t>
      </w:r>
      <w:r>
        <w:rPr>
          <w:rFonts w:cs="Times New Roman"/>
          <w:lang w:val="fr-CA"/>
        </w:rPr>
        <w:t> :</w:t>
      </w:r>
      <w:r w:rsidRPr="00CB18F4">
        <w:rPr>
          <w:rFonts w:cs="Times New Roman"/>
          <w:lang w:val="fr-CA"/>
        </w:rPr>
        <w:t xml:space="preserve"> G. Huscroft, «</w:t>
      </w:r>
      <w:r>
        <w:rPr>
          <w:rFonts w:cs="Times New Roman"/>
          <w:lang w:val="fr-CA"/>
        </w:rPr>
        <w:t> </w:t>
      </w:r>
      <w:r w:rsidRPr="00CB18F4">
        <w:rPr>
          <w:rFonts w:cs="Times New Roman"/>
          <w:lang w:val="fr-CA"/>
        </w:rPr>
        <w:t>From Natural Justice to Fairness</w:t>
      </w:r>
      <w:r w:rsidR="00097F41">
        <w:rPr>
          <w:rFonts w:cs="Times New Roman"/>
          <w:lang w:val="fr-CA"/>
        </w:rPr>
        <w:t xml:space="preserve"> </w:t>
      </w:r>
      <w:r w:rsidRPr="00CB18F4">
        <w:rPr>
          <w:rFonts w:cs="Times New Roman"/>
          <w:lang w:val="fr-CA"/>
        </w:rPr>
        <w:t>: Thresholds, Content, and the Role of Judicial Review »</w:t>
      </w:r>
      <w:r w:rsidR="000712AF">
        <w:rPr>
          <w:rFonts w:cs="Times New Roman"/>
          <w:lang w:val="fr-CA"/>
        </w:rPr>
        <w:t>,</w:t>
      </w:r>
      <w:r w:rsidRPr="00CB18F4">
        <w:rPr>
          <w:rFonts w:cs="Times New Roman"/>
          <w:lang w:val="fr-CA"/>
        </w:rPr>
        <w:t xml:space="preserve"> dans C. M. Flood et L. Sossin, </w:t>
      </w:r>
      <w:r w:rsidR="00E655CB">
        <w:rPr>
          <w:rFonts w:cs="Times New Roman"/>
          <w:lang w:val="fr-CA"/>
        </w:rPr>
        <w:t>dir</w:t>
      </w:r>
      <w:r w:rsidRPr="00CB18F4">
        <w:rPr>
          <w:rFonts w:cs="Times New Roman"/>
          <w:lang w:val="fr-CA"/>
        </w:rPr>
        <w:t xml:space="preserve">., </w:t>
      </w:r>
      <w:r w:rsidRPr="00CB18F4">
        <w:rPr>
          <w:rFonts w:cs="Times New Roman"/>
          <w:i/>
          <w:lang w:val="fr-CA"/>
        </w:rPr>
        <w:t>Administrative Law in Context</w:t>
      </w:r>
      <w:r w:rsidRPr="00CB18F4">
        <w:rPr>
          <w:rFonts w:cs="Times New Roman"/>
          <w:lang w:val="fr-CA"/>
        </w:rPr>
        <w:t xml:space="preserve"> (2</w:t>
      </w:r>
      <w:r w:rsidRPr="00CB18F4">
        <w:rPr>
          <w:rFonts w:cs="Times New Roman"/>
          <w:vertAlign w:val="superscript"/>
          <w:lang w:val="fr-CA"/>
        </w:rPr>
        <w:t>e</w:t>
      </w:r>
      <w:r w:rsidRPr="00CB18F4">
        <w:rPr>
          <w:rFonts w:cs="Times New Roman"/>
          <w:lang w:val="fr-CA"/>
        </w:rPr>
        <w:t xml:space="preserve"> éd. 2013)</w:t>
      </w:r>
      <w:r w:rsidR="00E655CB">
        <w:rPr>
          <w:rFonts w:cs="Times New Roman"/>
          <w:lang w:val="fr-CA"/>
        </w:rPr>
        <w:t>,</w:t>
      </w:r>
      <w:r w:rsidRPr="00CB18F4">
        <w:rPr>
          <w:rFonts w:cs="Times New Roman"/>
          <w:lang w:val="fr-CA"/>
        </w:rPr>
        <w:t xml:space="preserve"> 147, </w:t>
      </w:r>
      <w:r>
        <w:rPr>
          <w:rFonts w:cs="Times New Roman"/>
          <w:lang w:val="fr-CA"/>
        </w:rPr>
        <w:t>p. </w:t>
      </w:r>
      <w:r w:rsidRPr="00CB18F4">
        <w:rPr>
          <w:rFonts w:cs="Times New Roman"/>
          <w:lang w:val="fr-CA"/>
        </w:rPr>
        <w:t>152.</w:t>
      </w:r>
    </w:p>
    <w:p w:rsidR="00520294" w:rsidRPr="00CB18F4" w:rsidRDefault="00520294" w:rsidP="00987CB6">
      <w:pPr>
        <w:pStyle w:val="ParaNoNdepar-AltN"/>
        <w:widowControl w:val="0"/>
        <w:rPr>
          <w:rFonts w:cs="Times New Roman"/>
          <w:lang w:val="fr-CA"/>
        </w:rPr>
      </w:pPr>
      <w:r w:rsidRPr="00CB18F4">
        <w:rPr>
          <w:rFonts w:cs="Times New Roman"/>
          <w:lang w:val="fr-CA"/>
        </w:rPr>
        <w:t>Si l</w:t>
      </w:r>
      <w:r>
        <w:rPr>
          <w:rFonts w:cs="Times New Roman"/>
          <w:lang w:val="fr-CA"/>
        </w:rPr>
        <w:t>’</w:t>
      </w:r>
      <w:r w:rsidRPr="00CB18F4">
        <w:rPr>
          <w:rFonts w:cs="Times New Roman"/>
          <w:lang w:val="fr-CA"/>
        </w:rPr>
        <w:t xml:space="preserve">appelant avait contesté la décision prise par le Barreau de le suspendre plutôt que contesté les </w:t>
      </w:r>
      <w:r>
        <w:rPr>
          <w:rFonts w:cs="Times New Roman"/>
          <w:lang w:val="fr-CA"/>
        </w:rPr>
        <w:t>r</w:t>
      </w:r>
      <w:r w:rsidRPr="00CB18F4">
        <w:rPr>
          <w:rFonts w:cs="Times New Roman"/>
          <w:lang w:val="fr-CA"/>
        </w:rPr>
        <w:t>ègles</w:t>
      </w:r>
      <w:r>
        <w:rPr>
          <w:rFonts w:cs="Times New Roman"/>
          <w:lang w:val="fr-CA"/>
        </w:rPr>
        <w:t xml:space="preserve"> de PPP</w:t>
      </w:r>
      <w:r w:rsidRPr="00CB18F4">
        <w:rPr>
          <w:rFonts w:cs="Times New Roman"/>
          <w:lang w:val="fr-CA"/>
        </w:rPr>
        <w:t>, la Cour aurait pu examiner le processus précis que le Barreau a suivi pour prendre sa décision. Si le Barreau avait pris une décision qui n</w:t>
      </w:r>
      <w:r>
        <w:rPr>
          <w:rFonts w:cs="Times New Roman"/>
          <w:lang w:val="fr-CA"/>
        </w:rPr>
        <w:t>’</w:t>
      </w:r>
      <w:r w:rsidRPr="00CB18F4">
        <w:rPr>
          <w:rFonts w:cs="Times New Roman"/>
          <w:lang w:val="fr-CA"/>
        </w:rPr>
        <w:t>était pas équitable sur le plan procédural, celle</w:t>
      </w:r>
      <w:r>
        <w:rPr>
          <w:rFonts w:cs="Times New Roman"/>
          <w:lang w:val="fr-CA"/>
        </w:rPr>
        <w:noBreakHyphen/>
      </w:r>
      <w:r w:rsidRPr="00CB18F4">
        <w:rPr>
          <w:rFonts w:cs="Times New Roman"/>
          <w:lang w:val="fr-CA"/>
        </w:rPr>
        <w:t>ci aurait été annulée. Mais l</w:t>
      </w:r>
      <w:r>
        <w:rPr>
          <w:rFonts w:cs="Times New Roman"/>
          <w:lang w:val="fr-CA"/>
        </w:rPr>
        <w:t>’</w:t>
      </w:r>
      <w:r w:rsidRPr="00CB18F4">
        <w:rPr>
          <w:rFonts w:cs="Times New Roman"/>
          <w:lang w:val="fr-CA"/>
        </w:rPr>
        <w:t>obligation d</w:t>
      </w:r>
      <w:r>
        <w:rPr>
          <w:rFonts w:cs="Times New Roman"/>
          <w:lang w:val="fr-CA"/>
        </w:rPr>
        <w:t>’</w:t>
      </w:r>
      <w:r w:rsidRPr="00CB18F4">
        <w:rPr>
          <w:rFonts w:cs="Times New Roman"/>
          <w:lang w:val="fr-CA"/>
        </w:rPr>
        <w:t>équité ne s</w:t>
      </w:r>
      <w:r>
        <w:rPr>
          <w:rFonts w:cs="Times New Roman"/>
          <w:lang w:val="fr-CA"/>
        </w:rPr>
        <w:t>’</w:t>
      </w:r>
      <w:r w:rsidRPr="00CB18F4">
        <w:rPr>
          <w:rFonts w:cs="Times New Roman"/>
          <w:lang w:val="fr-CA"/>
        </w:rPr>
        <w:t>applique que lorsque le Barreau prend une décision qui touche «</w:t>
      </w:r>
      <w:r>
        <w:rPr>
          <w:rFonts w:cs="Times New Roman"/>
          <w:lang w:val="fr-CA"/>
        </w:rPr>
        <w:t> </w:t>
      </w:r>
      <w:r w:rsidRPr="00CB18F4">
        <w:rPr>
          <w:rFonts w:cs="Times New Roman"/>
          <w:lang w:val="fr-CA"/>
        </w:rPr>
        <w:t>les droits, les privilèges ou les biens d</w:t>
      </w:r>
      <w:r>
        <w:rPr>
          <w:rFonts w:cs="Times New Roman"/>
          <w:lang w:val="fr-CA"/>
        </w:rPr>
        <w:t>’</w:t>
      </w:r>
      <w:r w:rsidRPr="00CB18F4">
        <w:rPr>
          <w:rFonts w:cs="Times New Roman"/>
          <w:lang w:val="fr-CA"/>
        </w:rPr>
        <w:t>une personne</w:t>
      </w:r>
      <w:r>
        <w:rPr>
          <w:rFonts w:cs="Times New Roman"/>
          <w:lang w:val="fr-CA"/>
        </w:rPr>
        <w:t> </w:t>
      </w:r>
      <w:r w:rsidRPr="00CB18F4">
        <w:rPr>
          <w:rFonts w:cs="Times New Roman"/>
          <w:lang w:val="fr-CA"/>
        </w:rPr>
        <w:t>», comme lorsqu</w:t>
      </w:r>
      <w:r>
        <w:rPr>
          <w:rFonts w:cs="Times New Roman"/>
          <w:lang w:val="fr-CA"/>
        </w:rPr>
        <w:t>’</w:t>
      </w:r>
      <w:r w:rsidRPr="00CB18F4">
        <w:rPr>
          <w:rFonts w:cs="Times New Roman"/>
          <w:lang w:val="fr-CA"/>
        </w:rPr>
        <w:t>elle inflige une suspension, et non lorsqu</w:t>
      </w:r>
      <w:r>
        <w:rPr>
          <w:rFonts w:cs="Times New Roman"/>
          <w:lang w:val="fr-CA"/>
        </w:rPr>
        <w:t>’</w:t>
      </w:r>
      <w:r w:rsidRPr="00CB18F4">
        <w:rPr>
          <w:rFonts w:cs="Times New Roman"/>
          <w:lang w:val="fr-CA"/>
        </w:rPr>
        <w:t>il agit en qualité de législateur et qu</w:t>
      </w:r>
      <w:r>
        <w:rPr>
          <w:rFonts w:cs="Times New Roman"/>
          <w:lang w:val="fr-CA"/>
        </w:rPr>
        <w:t>’</w:t>
      </w:r>
      <w:r w:rsidRPr="00CB18F4">
        <w:rPr>
          <w:rFonts w:cs="Times New Roman"/>
          <w:lang w:val="fr-CA"/>
        </w:rPr>
        <w:t>il adopte des règles d</w:t>
      </w:r>
      <w:r>
        <w:rPr>
          <w:rFonts w:cs="Times New Roman"/>
          <w:lang w:val="fr-CA"/>
        </w:rPr>
        <w:t>’</w:t>
      </w:r>
      <w:r w:rsidRPr="00CB18F4">
        <w:rPr>
          <w:rFonts w:cs="Times New Roman"/>
          <w:lang w:val="fr-CA"/>
        </w:rPr>
        <w:t>application générale dans l</w:t>
      </w:r>
      <w:r>
        <w:rPr>
          <w:rFonts w:cs="Times New Roman"/>
          <w:lang w:val="fr-CA"/>
        </w:rPr>
        <w:t>’</w:t>
      </w:r>
      <w:r w:rsidRPr="00CB18F4">
        <w:rPr>
          <w:rFonts w:cs="Times New Roman"/>
          <w:lang w:val="fr-CA"/>
        </w:rPr>
        <w:t>intérêt public</w:t>
      </w:r>
      <w:r>
        <w:rPr>
          <w:rFonts w:cs="Times New Roman"/>
          <w:lang w:val="fr-CA"/>
        </w:rPr>
        <w:t> :</w:t>
      </w:r>
      <w:r w:rsidRPr="00CB18F4">
        <w:rPr>
          <w:rFonts w:cs="Times New Roman"/>
          <w:lang w:val="fr-CA"/>
        </w:rPr>
        <w:t xml:space="preserve"> </w:t>
      </w:r>
      <w:r w:rsidRPr="00CB18F4">
        <w:rPr>
          <w:rFonts w:cs="Times New Roman"/>
          <w:i/>
          <w:lang w:val="fr-CA"/>
        </w:rPr>
        <w:t>Dunsmuir</w:t>
      </w:r>
      <w:r w:rsidRPr="00CB18F4">
        <w:rPr>
          <w:rFonts w:cs="Times New Roman"/>
          <w:lang w:val="fr-CA"/>
        </w:rPr>
        <w:t xml:space="preserve">, </w:t>
      </w:r>
      <w:r>
        <w:rPr>
          <w:rFonts w:cs="Times New Roman"/>
          <w:lang w:val="fr-CA"/>
        </w:rPr>
        <w:t>par. </w:t>
      </w:r>
      <w:r w:rsidRPr="00CB18F4">
        <w:rPr>
          <w:rFonts w:cs="Times New Roman"/>
          <w:lang w:val="fr-CA"/>
        </w:rPr>
        <w:t xml:space="preserve">79; voir également </w:t>
      </w:r>
      <w:r w:rsidRPr="00CB18F4">
        <w:rPr>
          <w:rFonts w:cs="Times New Roman"/>
          <w:i/>
          <w:iCs/>
          <w:lang w:val="fr-CA"/>
        </w:rPr>
        <w:t xml:space="preserve">Knight c. Indian Head School Division </w:t>
      </w:r>
      <w:r>
        <w:rPr>
          <w:rFonts w:cs="Times New Roman"/>
          <w:i/>
          <w:iCs/>
          <w:lang w:val="fr-CA"/>
        </w:rPr>
        <w:t>No. </w:t>
      </w:r>
      <w:r w:rsidRPr="00CB18F4">
        <w:rPr>
          <w:rFonts w:cs="Times New Roman"/>
          <w:i/>
          <w:iCs/>
          <w:lang w:val="fr-CA"/>
        </w:rPr>
        <w:t>19</w:t>
      </w:r>
      <w:r w:rsidRPr="00CB18F4">
        <w:rPr>
          <w:rFonts w:cs="Times New Roman"/>
          <w:lang w:val="fr-CA"/>
        </w:rPr>
        <w:t>, [</w:t>
      </w:r>
      <w:r w:rsidRPr="00CB18F4">
        <w:rPr>
          <w:rStyle w:val="reflex3-alt"/>
          <w:rFonts w:cs="Times New Roman"/>
          <w:lang w:val="fr-CA"/>
        </w:rPr>
        <w:t>1990] 1 R.C.S. 653,</w:t>
      </w:r>
      <w:r w:rsidRPr="00CB18F4">
        <w:rPr>
          <w:rFonts w:cs="Times New Roman"/>
          <w:lang w:val="fr-CA"/>
        </w:rPr>
        <w:t xml:space="preserve"> </w:t>
      </w:r>
      <w:r>
        <w:rPr>
          <w:rFonts w:cs="Times New Roman"/>
          <w:lang w:val="fr-CA"/>
        </w:rPr>
        <w:t>p. </w:t>
      </w:r>
      <w:r w:rsidRPr="00CB18F4">
        <w:rPr>
          <w:rFonts w:cs="Times New Roman"/>
          <w:lang w:val="fr-CA"/>
        </w:rPr>
        <w:t xml:space="preserve">669. </w:t>
      </w:r>
    </w:p>
    <w:p w:rsidR="00520294" w:rsidRPr="00CB18F4" w:rsidRDefault="00520294" w:rsidP="00987CB6">
      <w:pPr>
        <w:pStyle w:val="ParaNoNdepar-AltN"/>
        <w:widowControl w:val="0"/>
        <w:rPr>
          <w:rFonts w:cs="Times New Roman"/>
          <w:lang w:val="fr-CA"/>
        </w:rPr>
      </w:pPr>
      <w:r w:rsidRPr="00CB18F4">
        <w:rPr>
          <w:rFonts w:cs="Times New Roman"/>
          <w:lang w:val="fr-CA"/>
        </w:rPr>
        <w:t>En circonscrivant sa contestation des Règles comme il l</w:t>
      </w:r>
      <w:r>
        <w:rPr>
          <w:rFonts w:cs="Times New Roman"/>
          <w:lang w:val="fr-CA"/>
        </w:rPr>
        <w:t>’</w:t>
      </w:r>
      <w:r w:rsidRPr="00CB18F4">
        <w:rPr>
          <w:rFonts w:cs="Times New Roman"/>
          <w:lang w:val="fr-CA"/>
        </w:rPr>
        <w:t>a fait, M. Green présume, à tort, que le Barreau ne prend pas au sérieux ses obligations d</w:t>
      </w:r>
      <w:r>
        <w:rPr>
          <w:rFonts w:cs="Times New Roman"/>
          <w:lang w:val="fr-CA"/>
        </w:rPr>
        <w:t>’</w:t>
      </w:r>
      <w:r w:rsidRPr="00CB18F4">
        <w:rPr>
          <w:rFonts w:cs="Times New Roman"/>
          <w:lang w:val="fr-CA"/>
        </w:rPr>
        <w:t>équité procédurale et qu</w:t>
      </w:r>
      <w:r>
        <w:rPr>
          <w:rFonts w:cs="Times New Roman"/>
          <w:lang w:val="fr-CA"/>
        </w:rPr>
        <w:t>’</w:t>
      </w:r>
      <w:r w:rsidRPr="00CB18F4">
        <w:rPr>
          <w:rFonts w:cs="Times New Roman"/>
          <w:lang w:val="fr-CA"/>
        </w:rPr>
        <w:t>il ne prévoit pas de processus approprié adapté aux faits propres à l</w:t>
      </w:r>
      <w:r>
        <w:rPr>
          <w:rFonts w:cs="Times New Roman"/>
          <w:lang w:val="fr-CA"/>
        </w:rPr>
        <w:t>’</w:t>
      </w:r>
      <w:r w:rsidRPr="00CB18F4">
        <w:rPr>
          <w:rFonts w:cs="Times New Roman"/>
          <w:lang w:val="fr-CA"/>
        </w:rPr>
        <w:t xml:space="preserve">affaire et aux attentes raisonnables des parties en cause. Les conseillers peuvent déléguer au directeur général le pouvoir de prévoir un processus supplémentaire si les </w:t>
      </w:r>
      <w:r w:rsidRPr="00CB18F4">
        <w:rPr>
          <w:rFonts w:cs="Times New Roman"/>
          <w:lang w:val="fr-CA"/>
        </w:rPr>
        <w:lastRenderedPageBreak/>
        <w:t>circonstances dans une situation donnée justifient des protections qui s</w:t>
      </w:r>
      <w:r>
        <w:rPr>
          <w:rFonts w:cs="Times New Roman"/>
          <w:lang w:val="fr-CA"/>
        </w:rPr>
        <w:t>’</w:t>
      </w:r>
      <w:r w:rsidRPr="00CB18F4">
        <w:rPr>
          <w:rFonts w:cs="Times New Roman"/>
          <w:lang w:val="fr-CA"/>
        </w:rPr>
        <w:t>ajoutent à celles prévues par les Règles. La Loi autorise les conseillers à, d</w:t>
      </w:r>
      <w:r>
        <w:rPr>
          <w:rFonts w:cs="Times New Roman"/>
          <w:lang w:val="fr-CA"/>
        </w:rPr>
        <w:t>’</w:t>
      </w:r>
      <w:r w:rsidRPr="00CB18F4">
        <w:rPr>
          <w:rFonts w:cs="Times New Roman"/>
          <w:lang w:val="fr-CA"/>
        </w:rPr>
        <w:t>une part, «</w:t>
      </w:r>
      <w:r>
        <w:rPr>
          <w:rFonts w:cs="Times New Roman"/>
          <w:lang w:val="fr-CA"/>
        </w:rPr>
        <w:t> </w:t>
      </w:r>
      <w:r w:rsidRPr="00CB18F4">
        <w:rPr>
          <w:rFonts w:cs="Times New Roman"/>
          <w:lang w:val="fr-CA"/>
        </w:rPr>
        <w:t xml:space="preserve">prendre </w:t>
      </w:r>
      <w:r w:rsidRPr="00CB18F4">
        <w:rPr>
          <w:rFonts w:cs="Times New Roman"/>
          <w:u w:val="single"/>
          <w:lang w:val="fr-CA"/>
        </w:rPr>
        <w:t>les mesures</w:t>
      </w:r>
      <w:r w:rsidRPr="00CB18F4">
        <w:rPr>
          <w:rFonts w:cs="Times New Roman"/>
          <w:lang w:val="fr-CA"/>
        </w:rPr>
        <w:t xml:space="preserve"> qu</w:t>
      </w:r>
      <w:r>
        <w:rPr>
          <w:rFonts w:cs="Times New Roman"/>
          <w:lang w:val="fr-CA"/>
        </w:rPr>
        <w:t>’</w:t>
      </w:r>
      <w:r w:rsidRPr="00CB18F4">
        <w:rPr>
          <w:rFonts w:cs="Times New Roman"/>
          <w:lang w:val="fr-CA"/>
        </w:rPr>
        <w:t>ils estiment nécessaires à son avancement, à sa protection, à ses intérêts ou à son bien</w:t>
      </w:r>
      <w:r>
        <w:rPr>
          <w:rFonts w:cs="Times New Roman"/>
          <w:lang w:val="fr-CA"/>
        </w:rPr>
        <w:noBreakHyphen/>
      </w:r>
      <w:r w:rsidRPr="00CB18F4">
        <w:rPr>
          <w:rFonts w:cs="Times New Roman"/>
          <w:lang w:val="fr-CA"/>
        </w:rPr>
        <w:t>être, pour autant que ces mesures soient compatibles avec la présente loi</w:t>
      </w:r>
      <w:r>
        <w:rPr>
          <w:rFonts w:cs="Times New Roman"/>
          <w:lang w:val="fr-CA"/>
        </w:rPr>
        <w:t> </w:t>
      </w:r>
      <w:r w:rsidRPr="00CB18F4">
        <w:rPr>
          <w:rFonts w:cs="Times New Roman"/>
          <w:lang w:val="fr-CA"/>
        </w:rPr>
        <w:t>» et à, d</w:t>
      </w:r>
      <w:r>
        <w:rPr>
          <w:rFonts w:cs="Times New Roman"/>
          <w:lang w:val="fr-CA"/>
        </w:rPr>
        <w:t>’</w:t>
      </w:r>
      <w:r w:rsidRPr="00CB18F4">
        <w:rPr>
          <w:rFonts w:cs="Times New Roman"/>
          <w:lang w:val="fr-CA"/>
        </w:rPr>
        <w:t>autre part, déléguer ce pouvoir au directeur général</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4(2) et 12(2).</w:t>
      </w:r>
    </w:p>
    <w:p w:rsidR="00520294" w:rsidRPr="00CB18F4" w:rsidRDefault="00520294" w:rsidP="00987CB6">
      <w:pPr>
        <w:pStyle w:val="ParaNoNdepar-AltN"/>
        <w:widowControl w:val="0"/>
        <w:rPr>
          <w:rFonts w:cs="Times New Roman"/>
          <w:lang w:val="fr-CA"/>
        </w:rPr>
      </w:pPr>
      <w:r w:rsidRPr="00CB18F4">
        <w:rPr>
          <w:rFonts w:cs="Times New Roman"/>
          <w:lang w:val="fr-CA"/>
        </w:rPr>
        <w:t>De plus, l</w:t>
      </w:r>
      <w:r>
        <w:rPr>
          <w:rFonts w:cs="Times New Roman"/>
          <w:lang w:val="fr-CA"/>
        </w:rPr>
        <w:t>’</w:t>
      </w:r>
      <w:r w:rsidRPr="00CB18F4">
        <w:rPr>
          <w:rFonts w:cs="Times New Roman"/>
          <w:lang w:val="fr-CA"/>
        </w:rPr>
        <w:t>évaluation du caractère équitable d</w:t>
      </w:r>
      <w:r>
        <w:rPr>
          <w:rFonts w:cs="Times New Roman"/>
          <w:lang w:val="fr-CA"/>
        </w:rPr>
        <w:t>’</w:t>
      </w:r>
      <w:r w:rsidRPr="00CB18F4">
        <w:rPr>
          <w:rFonts w:cs="Times New Roman"/>
          <w:lang w:val="fr-CA"/>
        </w:rPr>
        <w:t>une décision sur le plan procédural doit se faire au cas par cas. La Cour reconnaît depuis longtemps que les exigences de l</w:t>
      </w:r>
      <w:r>
        <w:rPr>
          <w:rFonts w:cs="Times New Roman"/>
          <w:lang w:val="fr-CA"/>
        </w:rPr>
        <w:t>’</w:t>
      </w:r>
      <w:r w:rsidRPr="00CB18F4">
        <w:rPr>
          <w:rFonts w:cs="Times New Roman"/>
          <w:lang w:val="fr-CA"/>
        </w:rPr>
        <w:t>obligation d</w:t>
      </w:r>
      <w:r>
        <w:rPr>
          <w:rFonts w:cs="Times New Roman"/>
          <w:lang w:val="fr-CA"/>
        </w:rPr>
        <w:t>’</w:t>
      </w:r>
      <w:r w:rsidRPr="00CB18F4">
        <w:rPr>
          <w:rFonts w:cs="Times New Roman"/>
          <w:lang w:val="fr-CA"/>
        </w:rPr>
        <w:t>équité sont «</w:t>
      </w:r>
      <w:r>
        <w:rPr>
          <w:rFonts w:cs="Times New Roman"/>
          <w:lang w:val="fr-CA"/>
        </w:rPr>
        <w:t> </w:t>
      </w:r>
      <w:r w:rsidRPr="00CB18F4">
        <w:rPr>
          <w:rFonts w:cs="Times New Roman"/>
          <w:lang w:val="fr-CA"/>
        </w:rPr>
        <w:t>éminemment variable[s] et [leur] contenu est tributaire du contexte particulier de chaque cas</w:t>
      </w:r>
      <w:r>
        <w:rPr>
          <w:rFonts w:cs="Times New Roman"/>
          <w:lang w:val="fr-CA"/>
        </w:rPr>
        <w:t> </w:t>
      </w:r>
      <w:r w:rsidRPr="00CB18F4">
        <w:rPr>
          <w:rFonts w:cs="Times New Roman"/>
          <w:lang w:val="fr-CA"/>
        </w:rPr>
        <w:t>»</w:t>
      </w:r>
      <w:r>
        <w:rPr>
          <w:rFonts w:cs="Times New Roman"/>
          <w:lang w:val="fr-CA"/>
        </w:rPr>
        <w:t> :</w:t>
      </w:r>
      <w:r w:rsidRPr="00CB18F4">
        <w:rPr>
          <w:rFonts w:cs="Times New Roman"/>
          <w:lang w:val="fr-CA"/>
        </w:rPr>
        <w:t xml:space="preserve"> </w:t>
      </w:r>
      <w:r w:rsidRPr="00CB18F4">
        <w:rPr>
          <w:rFonts w:cs="Times New Roman"/>
          <w:i/>
          <w:lang w:val="fr-CA"/>
        </w:rPr>
        <w:t>Dunsmuir</w:t>
      </w:r>
      <w:r w:rsidRPr="00CB18F4">
        <w:rPr>
          <w:rFonts w:cs="Times New Roman"/>
          <w:lang w:val="fr-CA"/>
        </w:rPr>
        <w:t xml:space="preserve">, </w:t>
      </w:r>
      <w:r>
        <w:rPr>
          <w:rFonts w:cs="Times New Roman"/>
          <w:lang w:val="fr-CA"/>
        </w:rPr>
        <w:t>par. </w:t>
      </w:r>
      <w:r w:rsidRPr="00CB18F4">
        <w:rPr>
          <w:rFonts w:cs="Times New Roman"/>
          <w:lang w:val="fr-CA"/>
        </w:rPr>
        <w:t>79</w:t>
      </w:r>
      <w:r w:rsidR="00097F41">
        <w:rPr>
          <w:rFonts w:cs="Times New Roman"/>
          <w:lang w:val="fr-CA"/>
        </w:rPr>
        <w:t>,</w:t>
      </w:r>
      <w:r w:rsidRPr="00CB18F4">
        <w:rPr>
          <w:rFonts w:cs="Times New Roman"/>
          <w:lang w:val="fr-CA"/>
        </w:rPr>
        <w:t xml:space="preserve"> citant </w:t>
      </w:r>
      <w:r w:rsidRPr="00CB18F4">
        <w:rPr>
          <w:rFonts w:cs="Times New Roman"/>
          <w:i/>
          <w:iCs/>
          <w:lang w:val="fr-CA"/>
        </w:rPr>
        <w:t>Knight</w:t>
      </w:r>
      <w:r w:rsidRPr="00CB18F4">
        <w:rPr>
          <w:rStyle w:val="reflex3-alt"/>
          <w:rFonts w:cs="Times New Roman"/>
          <w:lang w:val="fr-CA"/>
        </w:rPr>
        <w:t>,</w:t>
      </w:r>
      <w:r w:rsidRPr="00CB18F4">
        <w:rPr>
          <w:rFonts w:cs="Times New Roman"/>
          <w:lang w:val="fr-CA"/>
        </w:rPr>
        <w:t xml:space="preserve"> </w:t>
      </w:r>
      <w:r>
        <w:rPr>
          <w:rFonts w:cs="Times New Roman"/>
          <w:lang w:val="fr-CA"/>
        </w:rPr>
        <w:t>p. </w:t>
      </w:r>
      <w:r w:rsidRPr="00CB18F4">
        <w:rPr>
          <w:rFonts w:cs="Times New Roman"/>
          <w:lang w:val="fr-CA"/>
        </w:rPr>
        <w:t xml:space="preserve">682, </w:t>
      </w:r>
      <w:r w:rsidRPr="00CB18F4">
        <w:rPr>
          <w:rFonts w:cs="Times New Roman"/>
          <w:i/>
          <w:lang w:val="fr-CA"/>
        </w:rPr>
        <w:t>Baker c. Canada (Ministre de la Citoyenneté et de l</w:t>
      </w:r>
      <w:r>
        <w:rPr>
          <w:rFonts w:cs="Times New Roman"/>
          <w:i/>
          <w:lang w:val="fr-CA"/>
        </w:rPr>
        <w:t>’</w:t>
      </w:r>
      <w:r w:rsidRPr="00CB18F4">
        <w:rPr>
          <w:rFonts w:cs="Times New Roman"/>
          <w:i/>
          <w:lang w:val="fr-CA"/>
        </w:rPr>
        <w:t>Immigration)</w:t>
      </w:r>
      <w:r w:rsidRPr="00CB18F4">
        <w:rPr>
          <w:rFonts w:cs="Times New Roman"/>
          <w:lang w:val="fr-CA"/>
        </w:rPr>
        <w:t>,</w:t>
      </w:r>
      <w:r w:rsidRPr="00CB18F4">
        <w:rPr>
          <w:rFonts w:cs="Times New Roman"/>
          <w:i/>
          <w:lang w:val="fr-CA"/>
        </w:rPr>
        <w:t xml:space="preserve"> </w:t>
      </w:r>
      <w:r w:rsidRPr="00CB18F4">
        <w:rPr>
          <w:rFonts w:cs="Times New Roman"/>
          <w:lang w:val="fr-CA"/>
        </w:rPr>
        <w:t xml:space="preserve">[1999] 2 R.C.S. 817, </w:t>
      </w:r>
      <w:r>
        <w:rPr>
          <w:rFonts w:cs="Times New Roman"/>
          <w:lang w:val="fr-CA"/>
        </w:rPr>
        <w:t>par. </w:t>
      </w:r>
      <w:r w:rsidRPr="00CB18F4">
        <w:rPr>
          <w:rFonts w:cs="Times New Roman"/>
          <w:lang w:val="fr-CA"/>
        </w:rPr>
        <w:t xml:space="preserve">21 et </w:t>
      </w:r>
      <w:r w:rsidRPr="00CB18F4">
        <w:rPr>
          <w:rFonts w:cs="Times New Roman"/>
          <w:i/>
          <w:lang w:val="fr-CA"/>
        </w:rPr>
        <w:t>Moreau</w:t>
      </w:r>
      <w:r>
        <w:rPr>
          <w:rFonts w:eastAsia="MS Mincho" w:cs="Times New Roman"/>
          <w:i/>
          <w:lang w:val="fr-CA"/>
        </w:rPr>
        <w:noBreakHyphen/>
      </w:r>
      <w:r w:rsidRPr="00CB18F4">
        <w:rPr>
          <w:rFonts w:cs="Times New Roman"/>
          <w:i/>
          <w:lang w:val="fr-CA"/>
        </w:rPr>
        <w:t>Bérubé c. Nouveau</w:t>
      </w:r>
      <w:r>
        <w:rPr>
          <w:rFonts w:cs="Times New Roman"/>
          <w:i/>
          <w:lang w:val="fr-CA"/>
        </w:rPr>
        <w:noBreakHyphen/>
      </w:r>
      <w:r w:rsidRPr="00CB18F4">
        <w:rPr>
          <w:rFonts w:cs="Times New Roman"/>
          <w:i/>
          <w:lang w:val="fr-CA"/>
        </w:rPr>
        <w:t>Brunswick (Conseil de la magistrature)</w:t>
      </w:r>
      <w:r w:rsidRPr="00CB18F4">
        <w:rPr>
          <w:rFonts w:cs="Times New Roman"/>
          <w:lang w:val="fr-CA"/>
        </w:rPr>
        <w:t xml:space="preserve">, 2002 CSC 11, [2002] 1 R.C.S. 249, </w:t>
      </w:r>
      <w:r>
        <w:rPr>
          <w:rFonts w:cs="Times New Roman"/>
          <w:lang w:val="fr-CA"/>
        </w:rPr>
        <w:t>par. </w:t>
      </w:r>
      <w:r w:rsidRPr="00CB18F4">
        <w:rPr>
          <w:rFonts w:cs="Times New Roman"/>
          <w:lang w:val="fr-CA"/>
        </w:rPr>
        <w:t>74</w:t>
      </w:r>
      <w:r w:rsidR="00097F41">
        <w:rPr>
          <w:rFonts w:eastAsia="MS Mincho" w:cs="Times New Roman"/>
          <w:lang w:val="fr-CA"/>
        </w:rPr>
        <w:t>-</w:t>
      </w:r>
      <w:r w:rsidRPr="00CB18F4">
        <w:rPr>
          <w:rFonts w:cs="Times New Roman"/>
          <w:lang w:val="fr-CA"/>
        </w:rPr>
        <w:t xml:space="preserve">75; voir également </w:t>
      </w:r>
      <w:r w:rsidRPr="00CB18F4">
        <w:rPr>
          <w:rFonts w:cs="Times New Roman"/>
          <w:i/>
          <w:lang w:val="fr-CA"/>
        </w:rPr>
        <w:t>Canada (Procureur général) c</w:t>
      </w:r>
      <w:r w:rsidRPr="00CB18F4">
        <w:rPr>
          <w:rFonts w:cs="Times New Roman"/>
          <w:i/>
          <w:iCs/>
          <w:lang w:val="fr-CA"/>
        </w:rPr>
        <w:t>.</w:t>
      </w:r>
      <w:r w:rsidRPr="00CB18F4">
        <w:rPr>
          <w:rFonts w:cs="Times New Roman"/>
          <w:i/>
          <w:lang w:val="fr-CA"/>
        </w:rPr>
        <w:t xml:space="preserve"> Mavi</w:t>
      </w:r>
      <w:r w:rsidRPr="00CB18F4">
        <w:rPr>
          <w:rFonts w:cs="Times New Roman"/>
          <w:lang w:val="fr-CA"/>
        </w:rPr>
        <w:t xml:space="preserve">, 2011 CSC 30, [2011] 2 R.C.S. 504, </w:t>
      </w:r>
      <w:r>
        <w:rPr>
          <w:rFonts w:cs="Times New Roman"/>
          <w:lang w:val="fr-CA"/>
        </w:rPr>
        <w:t>par. </w:t>
      </w:r>
      <w:r w:rsidRPr="00CB18F4">
        <w:rPr>
          <w:rFonts w:cs="Times New Roman"/>
          <w:lang w:val="fr-CA"/>
        </w:rPr>
        <w:t>42. En l</w:t>
      </w:r>
      <w:r>
        <w:rPr>
          <w:rFonts w:cs="Times New Roman"/>
          <w:lang w:val="fr-CA"/>
        </w:rPr>
        <w:t>’</w:t>
      </w:r>
      <w:r w:rsidRPr="00CB18F4">
        <w:rPr>
          <w:rFonts w:cs="Times New Roman"/>
          <w:lang w:val="fr-CA"/>
        </w:rPr>
        <w:t>absence de contrôle judiciaire, il serait malavisé que la Cour se prononce sur le processus que le Barreau pourrait suivre dans le cadre de la prise de décision concernant un avocat.</w:t>
      </w:r>
    </w:p>
    <w:p w:rsidR="00520294" w:rsidRPr="00CB18F4" w:rsidRDefault="00520294" w:rsidP="00987CB6">
      <w:pPr>
        <w:pStyle w:val="ParaNoNdepar-AltN"/>
        <w:widowControl w:val="0"/>
        <w:rPr>
          <w:rFonts w:cs="Times New Roman"/>
          <w:lang w:val="fr-CA"/>
        </w:rPr>
      </w:pPr>
      <w:r w:rsidRPr="00CB18F4">
        <w:rPr>
          <w:rFonts w:cs="Times New Roman"/>
          <w:lang w:val="fr-CA"/>
        </w:rPr>
        <w:t>Bien que la décision prise par le Barreau de suspendre M. Green n</w:t>
      </w:r>
      <w:r>
        <w:rPr>
          <w:rFonts w:cs="Times New Roman"/>
          <w:lang w:val="fr-CA"/>
        </w:rPr>
        <w:t>’</w:t>
      </w:r>
      <w:r w:rsidRPr="00CB18F4">
        <w:rPr>
          <w:rFonts w:cs="Times New Roman"/>
          <w:lang w:val="fr-CA"/>
        </w:rPr>
        <w:t>ait pas été contestée, elle démontre pourquoi l</w:t>
      </w:r>
      <w:r>
        <w:rPr>
          <w:rFonts w:cs="Times New Roman"/>
          <w:lang w:val="fr-CA"/>
        </w:rPr>
        <w:t>’</w:t>
      </w:r>
      <w:r w:rsidRPr="00CB18F4">
        <w:rPr>
          <w:rFonts w:cs="Times New Roman"/>
          <w:lang w:val="fr-CA"/>
        </w:rPr>
        <w:t>équité procédurale ne peut être évaluée en l</w:t>
      </w:r>
      <w:r>
        <w:rPr>
          <w:rFonts w:cs="Times New Roman"/>
          <w:lang w:val="fr-CA"/>
        </w:rPr>
        <w:t>’</w:t>
      </w:r>
      <w:r w:rsidRPr="00CB18F4">
        <w:rPr>
          <w:rFonts w:cs="Times New Roman"/>
          <w:lang w:val="fr-CA"/>
        </w:rPr>
        <w:t>absence de fondement factuel. Dans sa lettre à M. Green, le directeur général l</w:t>
      </w:r>
      <w:r>
        <w:rPr>
          <w:rFonts w:cs="Times New Roman"/>
          <w:lang w:val="fr-CA"/>
        </w:rPr>
        <w:t>’</w:t>
      </w:r>
      <w:r w:rsidRPr="00CB18F4">
        <w:rPr>
          <w:rFonts w:cs="Times New Roman"/>
          <w:lang w:val="fr-CA"/>
        </w:rPr>
        <w:t xml:space="preserve">a invité à corriger toute erreur dans </w:t>
      </w:r>
      <w:r w:rsidR="000712AF">
        <w:rPr>
          <w:rFonts w:cs="Times New Roman"/>
          <w:lang w:val="fr-CA"/>
        </w:rPr>
        <w:t>son dossier</w:t>
      </w:r>
      <w:r w:rsidRPr="00CB18F4">
        <w:rPr>
          <w:rFonts w:cs="Times New Roman"/>
          <w:lang w:val="fr-CA"/>
        </w:rPr>
        <w:t xml:space="preserve"> d</w:t>
      </w:r>
      <w:r>
        <w:rPr>
          <w:rFonts w:cs="Times New Roman"/>
          <w:lang w:val="fr-CA"/>
        </w:rPr>
        <w:t>’</w:t>
      </w:r>
      <w:r w:rsidRPr="00CB18F4">
        <w:rPr>
          <w:rFonts w:cs="Times New Roman"/>
          <w:lang w:val="fr-CA"/>
        </w:rPr>
        <w:t>heures</w:t>
      </w:r>
      <w:r w:rsidR="000712AF">
        <w:rPr>
          <w:rFonts w:cs="Times New Roman"/>
          <w:lang w:val="fr-CA"/>
        </w:rPr>
        <w:t xml:space="preserve"> rapportées</w:t>
      </w:r>
      <w:r w:rsidRPr="00CB18F4">
        <w:rPr>
          <w:rFonts w:cs="Times New Roman"/>
          <w:lang w:val="fr-CA"/>
        </w:rPr>
        <w:t xml:space="preserve"> de PPP et a écrit que le Barreau pourrait [</w:t>
      </w:r>
      <w:r w:rsidRPr="00CB18F4">
        <w:rPr>
          <w:rFonts w:cs="Times New Roman"/>
          <w:smallCaps/>
          <w:lang w:val="fr-CA"/>
        </w:rPr>
        <w:t>traduction</w:t>
      </w:r>
      <w:r w:rsidRPr="00CB18F4">
        <w:rPr>
          <w:rFonts w:cs="Times New Roman"/>
          <w:lang w:val="fr-CA"/>
        </w:rPr>
        <w:t>] «</w:t>
      </w:r>
      <w:r>
        <w:rPr>
          <w:rFonts w:cs="Times New Roman"/>
          <w:lang w:val="fr-CA"/>
        </w:rPr>
        <w:t> </w:t>
      </w:r>
      <w:r w:rsidRPr="00CB18F4">
        <w:rPr>
          <w:rFonts w:cs="Times New Roman"/>
          <w:lang w:val="fr-CA"/>
        </w:rPr>
        <w:t>volontiers lui accorder une extension raisonnable</w:t>
      </w:r>
      <w:r>
        <w:rPr>
          <w:rFonts w:cs="Times New Roman"/>
          <w:lang w:val="fr-CA"/>
        </w:rPr>
        <w:t> </w:t>
      </w:r>
      <w:r w:rsidRPr="00CB18F4">
        <w:rPr>
          <w:rFonts w:cs="Times New Roman"/>
          <w:lang w:val="fr-CA"/>
        </w:rPr>
        <w:t>» afin qu</w:t>
      </w:r>
      <w:r>
        <w:rPr>
          <w:rFonts w:cs="Times New Roman"/>
          <w:lang w:val="fr-CA"/>
        </w:rPr>
        <w:t>’</w:t>
      </w:r>
      <w:r w:rsidRPr="00CB18F4">
        <w:rPr>
          <w:rFonts w:cs="Times New Roman"/>
          <w:lang w:val="fr-CA"/>
        </w:rPr>
        <w:t>il puisse effectuer les heures manquantes. Or, le directeur général n</w:t>
      </w:r>
      <w:r>
        <w:rPr>
          <w:rFonts w:cs="Times New Roman"/>
          <w:lang w:val="fr-CA"/>
        </w:rPr>
        <w:t>’</w:t>
      </w:r>
      <w:r w:rsidRPr="00CB18F4">
        <w:rPr>
          <w:rFonts w:cs="Times New Roman"/>
          <w:lang w:val="fr-CA"/>
        </w:rPr>
        <w:t xml:space="preserve">a pas ce </w:t>
      </w:r>
      <w:r w:rsidRPr="00CB18F4">
        <w:rPr>
          <w:rFonts w:cs="Times New Roman"/>
          <w:lang w:val="fr-CA"/>
        </w:rPr>
        <w:lastRenderedPageBreak/>
        <w:t>pouvoir en vertu des Règles. Il est seulement habilité à proroger le délai de déclaration des activités de PPP des membres ou le délai de dépôt de leur rapport annuel</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2</w:t>
      </w:r>
      <w:r>
        <w:rPr>
          <w:rFonts w:cs="Times New Roman"/>
          <w:lang w:val="fr-CA"/>
        </w:rPr>
        <w:noBreakHyphen/>
      </w:r>
      <w:r w:rsidRPr="00CB18F4">
        <w:rPr>
          <w:rFonts w:cs="Times New Roman"/>
          <w:lang w:val="fr-CA"/>
        </w:rPr>
        <w:t>81.1(6) et 2</w:t>
      </w:r>
      <w:r>
        <w:rPr>
          <w:rFonts w:cs="Times New Roman"/>
          <w:lang w:val="fr-CA"/>
        </w:rPr>
        <w:noBreakHyphen/>
      </w:r>
      <w:r w:rsidRPr="00CB18F4">
        <w:rPr>
          <w:rFonts w:cs="Times New Roman"/>
          <w:lang w:val="fr-CA"/>
        </w:rPr>
        <w:t>81.2(3) des Règles. Le directeur général était donc prêt à offrir à M. Green un processus prolongé par rapport à ce que les Règles prescrivent en l</w:t>
      </w:r>
      <w:r>
        <w:rPr>
          <w:rFonts w:cs="Times New Roman"/>
          <w:lang w:val="fr-CA"/>
        </w:rPr>
        <w:t>’</w:t>
      </w:r>
      <w:r w:rsidRPr="00CB18F4">
        <w:rPr>
          <w:rFonts w:cs="Times New Roman"/>
          <w:lang w:val="fr-CA"/>
        </w:rPr>
        <w:t xml:space="preserve">invitant à répondre à la lettre et en envisageant cette prorogation. </w:t>
      </w:r>
    </w:p>
    <w:p w:rsidR="00520294" w:rsidRPr="00CB18F4" w:rsidRDefault="00520294" w:rsidP="00987CB6">
      <w:pPr>
        <w:pStyle w:val="Title4LevelTitre4Niveau"/>
        <w:widowControl w:val="0"/>
        <w:rPr>
          <w:rFonts w:cs="Times New Roman"/>
          <w:lang w:val="fr-CA"/>
        </w:rPr>
      </w:pPr>
      <w:r w:rsidRPr="00CB18F4">
        <w:rPr>
          <w:rFonts w:cs="Times New Roman"/>
          <w:lang w:val="fr-CA"/>
        </w:rPr>
        <w:t>Les règles imposant une suspension administrative sans audience et sans droit d</w:t>
      </w:r>
      <w:r>
        <w:rPr>
          <w:rFonts w:cs="Times New Roman"/>
          <w:lang w:val="fr-CA"/>
        </w:rPr>
        <w:t>’</w:t>
      </w:r>
      <w:r w:rsidRPr="00CB18F4">
        <w:rPr>
          <w:rFonts w:cs="Times New Roman"/>
          <w:lang w:val="fr-CA"/>
        </w:rPr>
        <w:t>appel sont raisonnables</w:t>
      </w:r>
    </w:p>
    <w:p w:rsidR="00520294" w:rsidRPr="00CB18F4" w:rsidRDefault="00520294" w:rsidP="00987CB6">
      <w:pPr>
        <w:pStyle w:val="ParaNoNdepar-AltN"/>
        <w:widowControl w:val="0"/>
        <w:rPr>
          <w:rFonts w:cs="Times New Roman"/>
          <w:lang w:val="fr-CA"/>
        </w:rPr>
      </w:pPr>
      <w:r w:rsidRPr="00CB18F4">
        <w:rPr>
          <w:rFonts w:cs="Times New Roman"/>
          <w:lang w:val="fr-CA"/>
        </w:rPr>
        <w:t>Puisque M. Green n</w:t>
      </w:r>
      <w:r>
        <w:rPr>
          <w:rFonts w:cs="Times New Roman"/>
          <w:lang w:val="fr-CA"/>
        </w:rPr>
        <w:t>’</w:t>
      </w:r>
      <w:r w:rsidRPr="00CB18F4">
        <w:rPr>
          <w:rFonts w:cs="Times New Roman"/>
          <w:lang w:val="fr-CA"/>
        </w:rPr>
        <w:t>a pas contesté la décision du Barreau, ses arguments procéduraux ne sont autre chose qu</w:t>
      </w:r>
      <w:r>
        <w:rPr>
          <w:rFonts w:cs="Times New Roman"/>
          <w:lang w:val="fr-CA"/>
        </w:rPr>
        <w:t>’</w:t>
      </w:r>
      <w:r w:rsidRPr="00CB18F4">
        <w:rPr>
          <w:rFonts w:cs="Times New Roman"/>
          <w:lang w:val="fr-CA"/>
        </w:rPr>
        <w:t>une autre façon d</w:t>
      </w:r>
      <w:r>
        <w:rPr>
          <w:rFonts w:cs="Times New Roman"/>
          <w:lang w:val="fr-CA"/>
        </w:rPr>
        <w:t>’attaquer la validité des r</w:t>
      </w:r>
      <w:r w:rsidRPr="00CB18F4">
        <w:rPr>
          <w:rFonts w:cs="Times New Roman"/>
          <w:lang w:val="fr-CA"/>
        </w:rPr>
        <w:t>ègles</w:t>
      </w:r>
      <w:r>
        <w:rPr>
          <w:rFonts w:cs="Times New Roman"/>
          <w:lang w:val="fr-CA"/>
        </w:rPr>
        <w:t xml:space="preserve"> de PPP</w:t>
      </w:r>
      <w:r w:rsidRPr="00CB18F4">
        <w:rPr>
          <w:rFonts w:cs="Times New Roman"/>
          <w:lang w:val="fr-CA"/>
        </w:rPr>
        <w:t>. À mon avis, l</w:t>
      </w:r>
      <w:r>
        <w:rPr>
          <w:rFonts w:cs="Times New Roman"/>
          <w:lang w:val="fr-CA"/>
        </w:rPr>
        <w:t>’</w:t>
      </w:r>
      <w:r w:rsidRPr="00CB18F4">
        <w:rPr>
          <w:rFonts w:cs="Times New Roman"/>
          <w:lang w:val="fr-CA"/>
        </w:rPr>
        <w:t>infliction d</w:t>
      </w:r>
      <w:r>
        <w:rPr>
          <w:rFonts w:cs="Times New Roman"/>
          <w:lang w:val="fr-CA"/>
        </w:rPr>
        <w:t>’</w:t>
      </w:r>
      <w:r w:rsidRPr="00CB18F4">
        <w:rPr>
          <w:rFonts w:cs="Times New Roman"/>
          <w:lang w:val="fr-CA"/>
        </w:rPr>
        <w:t>une suspension administrative aux membres sans audience et sans droit d</w:t>
      </w:r>
      <w:r>
        <w:rPr>
          <w:rFonts w:cs="Times New Roman"/>
          <w:lang w:val="fr-CA"/>
        </w:rPr>
        <w:t>’</w:t>
      </w:r>
      <w:r w:rsidRPr="00CB18F4">
        <w:rPr>
          <w:rFonts w:cs="Times New Roman"/>
          <w:lang w:val="fr-CA"/>
        </w:rPr>
        <w:t>appel en cas de manquement aux règles de PPP n</w:t>
      </w:r>
      <w:r>
        <w:rPr>
          <w:rFonts w:cs="Times New Roman"/>
          <w:lang w:val="fr-CA"/>
        </w:rPr>
        <w:t>’</w:t>
      </w:r>
      <w:r w:rsidRPr="00CB18F4">
        <w:rPr>
          <w:rFonts w:cs="Times New Roman"/>
          <w:lang w:val="fr-CA"/>
        </w:rPr>
        <w:t xml:space="preserve">est pas déraisonnable compte tenu des pouvoirs que la </w:t>
      </w:r>
      <w:r>
        <w:rPr>
          <w:rFonts w:cs="Times New Roman"/>
          <w:lang w:val="fr-CA"/>
        </w:rPr>
        <w:t>L</w:t>
      </w:r>
      <w:r w:rsidRPr="00CB18F4">
        <w:rPr>
          <w:rFonts w:cs="Times New Roman"/>
          <w:lang w:val="fr-CA"/>
        </w:rPr>
        <w:t>oi confère au Barreau — en fait, elle concorde parfaitement avec l</w:t>
      </w:r>
      <w:r>
        <w:rPr>
          <w:rFonts w:cs="Times New Roman"/>
          <w:lang w:val="fr-CA"/>
        </w:rPr>
        <w:t>’</w:t>
      </w:r>
      <w:r w:rsidRPr="00CB18F4">
        <w:rPr>
          <w:rFonts w:cs="Times New Roman"/>
          <w:lang w:val="fr-CA"/>
        </w:rPr>
        <w:t>obligation du Barreau d</w:t>
      </w:r>
      <w:r>
        <w:rPr>
          <w:rFonts w:cs="Times New Roman"/>
          <w:lang w:val="fr-CA"/>
        </w:rPr>
        <w:t>’</w:t>
      </w:r>
      <w:r w:rsidRPr="00CB18F4">
        <w:rPr>
          <w:rFonts w:cs="Times New Roman"/>
          <w:lang w:val="fr-CA"/>
        </w:rPr>
        <w:t xml:space="preserve">établir et de faire appliquer des normes de formation. </w:t>
      </w:r>
    </w:p>
    <w:p w:rsidR="00520294" w:rsidRPr="00CB18F4" w:rsidRDefault="00520294" w:rsidP="00987CB6">
      <w:pPr>
        <w:pStyle w:val="ParaNoNdepar-AltN"/>
        <w:widowControl w:val="0"/>
        <w:rPr>
          <w:rFonts w:cs="Times New Roman"/>
          <w:lang w:val="fr-CA"/>
        </w:rPr>
      </w:pPr>
      <w:r w:rsidRPr="00CB18F4">
        <w:rPr>
          <w:rFonts w:cs="Times New Roman"/>
          <w:lang w:val="fr-CA"/>
        </w:rPr>
        <w:t>Il est important de réaliser que la suspension qui fait l</w:t>
      </w:r>
      <w:r>
        <w:rPr>
          <w:rFonts w:cs="Times New Roman"/>
          <w:lang w:val="fr-CA"/>
        </w:rPr>
        <w:t>’</w:t>
      </w:r>
      <w:r w:rsidRPr="00CB18F4">
        <w:rPr>
          <w:rFonts w:cs="Times New Roman"/>
          <w:lang w:val="fr-CA"/>
        </w:rPr>
        <w:t>objet du présent litige ne constitue pas une mesure disciplinaire. Les normes PPP, telles qu</w:t>
      </w:r>
      <w:r>
        <w:rPr>
          <w:rFonts w:cs="Times New Roman"/>
          <w:lang w:val="fr-CA"/>
        </w:rPr>
        <w:t>’</w:t>
      </w:r>
      <w:r w:rsidRPr="00CB18F4">
        <w:rPr>
          <w:rFonts w:cs="Times New Roman"/>
          <w:lang w:val="fr-CA"/>
        </w:rPr>
        <w:t>elles sont définies par les Règles, ne concernent pas uniquement la compétence des avocats. Certes, elles peuvent contribuer à mettre à jour leurs connaissances, mais elles protègent également l</w:t>
      </w:r>
      <w:r>
        <w:rPr>
          <w:rFonts w:cs="Times New Roman"/>
          <w:lang w:val="fr-CA"/>
        </w:rPr>
        <w:t>’</w:t>
      </w:r>
      <w:r w:rsidRPr="00CB18F4">
        <w:rPr>
          <w:rFonts w:cs="Times New Roman"/>
          <w:lang w:val="fr-CA"/>
        </w:rPr>
        <w:t>intérêt public en renforçant l</w:t>
      </w:r>
      <w:r>
        <w:rPr>
          <w:rFonts w:cs="Times New Roman"/>
          <w:lang w:val="fr-CA"/>
        </w:rPr>
        <w:t>’</w:t>
      </w:r>
      <w:r w:rsidRPr="00CB18F4">
        <w:rPr>
          <w:rFonts w:cs="Times New Roman"/>
          <w:lang w:val="fr-CA"/>
        </w:rPr>
        <w:t>intégrité et la responsabilité professionnelle des avocats et en favorisant la confiance du public envers la profession</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2</w:t>
      </w:r>
      <w:r>
        <w:rPr>
          <w:rFonts w:cs="Times New Roman"/>
          <w:lang w:val="fr-CA"/>
        </w:rPr>
        <w:noBreakHyphen/>
      </w:r>
      <w:r w:rsidRPr="00CB18F4">
        <w:rPr>
          <w:rFonts w:cs="Times New Roman"/>
          <w:lang w:val="fr-CA"/>
        </w:rPr>
        <w:t>81.1(1) des Règles. Un membre raisonnable du public comprend qu</w:t>
      </w:r>
      <w:r>
        <w:rPr>
          <w:rFonts w:cs="Times New Roman"/>
          <w:lang w:val="fr-CA"/>
        </w:rPr>
        <w:t>’</w:t>
      </w:r>
      <w:r w:rsidRPr="00CB18F4">
        <w:rPr>
          <w:rFonts w:cs="Times New Roman"/>
          <w:lang w:val="fr-CA"/>
        </w:rPr>
        <w:t xml:space="preserve">une </w:t>
      </w:r>
      <w:r w:rsidRPr="00CB18F4">
        <w:rPr>
          <w:rFonts w:cs="Times New Roman"/>
          <w:lang w:val="fr-CA"/>
        </w:rPr>
        <w:lastRenderedPageBreak/>
        <w:t>suspension temporaire pour défaut d</w:t>
      </w:r>
      <w:r>
        <w:rPr>
          <w:rFonts w:cs="Times New Roman"/>
          <w:lang w:val="fr-CA"/>
        </w:rPr>
        <w:t>’</w:t>
      </w:r>
      <w:r w:rsidRPr="00CB18F4">
        <w:rPr>
          <w:rFonts w:cs="Times New Roman"/>
          <w:lang w:val="fr-CA"/>
        </w:rPr>
        <w:t>avoir complété les heures de PPP n</w:t>
      </w:r>
      <w:r>
        <w:rPr>
          <w:rFonts w:cs="Times New Roman"/>
          <w:lang w:val="fr-CA"/>
        </w:rPr>
        <w:t>’</w:t>
      </w:r>
      <w:r w:rsidRPr="00CB18F4">
        <w:rPr>
          <w:rFonts w:cs="Times New Roman"/>
          <w:lang w:val="fr-CA"/>
        </w:rPr>
        <w:t>est pas de la même nature qu</w:t>
      </w:r>
      <w:r>
        <w:rPr>
          <w:rFonts w:cs="Times New Roman"/>
          <w:lang w:val="fr-CA"/>
        </w:rPr>
        <w:t>’</w:t>
      </w:r>
      <w:r w:rsidRPr="00CB18F4">
        <w:rPr>
          <w:rFonts w:cs="Times New Roman"/>
          <w:lang w:val="fr-CA"/>
        </w:rPr>
        <w:t>une suspension disciplinaire plus sérieuse. La compétence d</w:t>
      </w:r>
      <w:r>
        <w:rPr>
          <w:rFonts w:cs="Times New Roman"/>
          <w:lang w:val="fr-CA"/>
        </w:rPr>
        <w:t>’</w:t>
      </w:r>
      <w:r w:rsidRPr="00CB18F4">
        <w:rPr>
          <w:rFonts w:cs="Times New Roman"/>
          <w:lang w:val="fr-CA"/>
        </w:rPr>
        <w:t>un avocat dans le traitement d</w:t>
      </w:r>
      <w:r>
        <w:rPr>
          <w:rFonts w:cs="Times New Roman"/>
          <w:lang w:val="fr-CA"/>
        </w:rPr>
        <w:t>’</w:t>
      </w:r>
      <w:r w:rsidRPr="00CB18F4">
        <w:rPr>
          <w:rFonts w:cs="Times New Roman"/>
          <w:lang w:val="fr-CA"/>
        </w:rPr>
        <w:t>un dossier, par exemple, n</w:t>
      </w:r>
      <w:r>
        <w:rPr>
          <w:rFonts w:cs="Times New Roman"/>
          <w:lang w:val="fr-CA"/>
        </w:rPr>
        <w:t>’</w:t>
      </w:r>
      <w:r w:rsidRPr="00CB18F4">
        <w:rPr>
          <w:rFonts w:cs="Times New Roman"/>
          <w:lang w:val="fr-CA"/>
        </w:rPr>
        <w:t>est pas en cause s</w:t>
      </w:r>
      <w:r>
        <w:rPr>
          <w:rFonts w:cs="Times New Roman"/>
          <w:lang w:val="fr-CA"/>
        </w:rPr>
        <w:t>’</w:t>
      </w:r>
      <w:r w:rsidRPr="00CB18F4">
        <w:rPr>
          <w:rFonts w:cs="Times New Roman"/>
          <w:lang w:val="fr-CA"/>
        </w:rPr>
        <w:t>il ne respecte pas les exigences de P</w:t>
      </w:r>
      <w:r>
        <w:rPr>
          <w:rFonts w:cs="Times New Roman"/>
          <w:lang w:val="fr-CA"/>
        </w:rPr>
        <w:t>PP. </w:t>
      </w:r>
    </w:p>
    <w:p w:rsidR="00520294" w:rsidRPr="00CB18F4" w:rsidRDefault="00520294" w:rsidP="00987CB6">
      <w:pPr>
        <w:pStyle w:val="ParaNoNdepar-AltN"/>
        <w:widowControl w:val="0"/>
        <w:rPr>
          <w:rFonts w:cs="Times New Roman"/>
          <w:lang w:val="fr-CA"/>
        </w:rPr>
      </w:pPr>
      <w:r w:rsidRPr="00CB18F4">
        <w:rPr>
          <w:rFonts w:cs="Times New Roman"/>
          <w:lang w:val="fr-CA"/>
        </w:rPr>
        <w:t>C</w:t>
      </w:r>
      <w:r>
        <w:rPr>
          <w:rFonts w:cs="Times New Roman"/>
          <w:lang w:val="fr-CA"/>
        </w:rPr>
        <w:t>’</w:t>
      </w:r>
      <w:r w:rsidRPr="00CB18F4">
        <w:rPr>
          <w:rFonts w:cs="Times New Roman"/>
          <w:lang w:val="fr-CA"/>
        </w:rPr>
        <w:t>est pourquoi le simple défaut de respecter les règles contestées ne justifie pas une conclusion d</w:t>
      </w:r>
      <w:r>
        <w:rPr>
          <w:rFonts w:cs="Times New Roman"/>
          <w:lang w:val="fr-CA"/>
        </w:rPr>
        <w:t>’</w:t>
      </w:r>
      <w:r w:rsidRPr="00CB18F4">
        <w:rPr>
          <w:rFonts w:cs="Times New Roman"/>
          <w:lang w:val="fr-CA"/>
        </w:rPr>
        <w:t>inconduite ou d</w:t>
      </w:r>
      <w:r>
        <w:rPr>
          <w:rFonts w:cs="Times New Roman"/>
          <w:lang w:val="fr-CA"/>
        </w:rPr>
        <w:t>’</w:t>
      </w:r>
      <w:r w:rsidRPr="00CB18F4">
        <w:rPr>
          <w:rFonts w:cs="Times New Roman"/>
          <w:lang w:val="fr-CA"/>
        </w:rPr>
        <w:t>incompétence, comme en font foi les Règles elles</w:t>
      </w:r>
      <w:r>
        <w:rPr>
          <w:rFonts w:cs="Times New Roman"/>
          <w:lang w:val="fr-CA"/>
        </w:rPr>
        <w:noBreakHyphen/>
      </w:r>
      <w:r w:rsidRPr="00CB18F4">
        <w:rPr>
          <w:rFonts w:cs="Times New Roman"/>
          <w:lang w:val="fr-CA"/>
        </w:rPr>
        <w:t>mêmes — le directeur général peut renvoyer le défaut d</w:t>
      </w:r>
      <w:r>
        <w:rPr>
          <w:rFonts w:cs="Times New Roman"/>
          <w:lang w:val="fr-CA"/>
        </w:rPr>
        <w:t>’</w:t>
      </w:r>
      <w:r w:rsidRPr="00CB18F4">
        <w:rPr>
          <w:rFonts w:cs="Times New Roman"/>
          <w:lang w:val="fr-CA"/>
        </w:rPr>
        <w:t xml:space="preserve">observation du </w:t>
      </w:r>
      <w:r>
        <w:rPr>
          <w:rFonts w:cs="Times New Roman"/>
          <w:lang w:val="fr-CA"/>
        </w:rPr>
        <w:t>par. </w:t>
      </w:r>
      <w:r w:rsidRPr="00CB18F4">
        <w:rPr>
          <w:rFonts w:cs="Times New Roman"/>
          <w:lang w:val="fr-CA"/>
        </w:rPr>
        <w:t>2</w:t>
      </w:r>
      <w:r>
        <w:rPr>
          <w:rFonts w:cs="Times New Roman"/>
          <w:lang w:val="fr-CA"/>
        </w:rPr>
        <w:noBreakHyphen/>
      </w:r>
      <w:r w:rsidRPr="00CB18F4">
        <w:rPr>
          <w:rFonts w:cs="Times New Roman"/>
          <w:lang w:val="fr-CA"/>
        </w:rPr>
        <w:t>81.1(8) des Règles (qui exige des membres qu</w:t>
      </w:r>
      <w:r>
        <w:rPr>
          <w:rFonts w:cs="Times New Roman"/>
          <w:lang w:val="fr-CA"/>
        </w:rPr>
        <w:t>’</w:t>
      </w:r>
      <w:r w:rsidRPr="00CB18F4">
        <w:rPr>
          <w:rFonts w:cs="Times New Roman"/>
          <w:lang w:val="fr-CA"/>
        </w:rPr>
        <w:t>ils suivent une heure de PPP par mois) au comité d</w:t>
      </w:r>
      <w:r>
        <w:rPr>
          <w:rFonts w:cs="Times New Roman"/>
          <w:lang w:val="fr-CA"/>
        </w:rPr>
        <w:t>’</w:t>
      </w:r>
      <w:r w:rsidRPr="00CB18F4">
        <w:rPr>
          <w:rFonts w:cs="Times New Roman"/>
          <w:lang w:val="fr-CA"/>
        </w:rPr>
        <w:t>enquête sur les plaintes du Barreau, mais seulement si un membre a été suspendu en application des Règles plus d</w:t>
      </w:r>
      <w:r>
        <w:rPr>
          <w:rFonts w:cs="Times New Roman"/>
          <w:lang w:val="fr-CA"/>
        </w:rPr>
        <w:t>’</w:t>
      </w:r>
      <w:r w:rsidRPr="00CB18F4">
        <w:rPr>
          <w:rFonts w:cs="Times New Roman"/>
          <w:lang w:val="fr-CA"/>
        </w:rPr>
        <w:t>une fois</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2</w:t>
      </w:r>
      <w:r>
        <w:rPr>
          <w:rFonts w:cs="Times New Roman"/>
          <w:lang w:val="fr-CA"/>
        </w:rPr>
        <w:noBreakHyphen/>
      </w:r>
      <w:r w:rsidRPr="00CB18F4">
        <w:rPr>
          <w:rFonts w:cs="Times New Roman"/>
          <w:lang w:val="fr-CA"/>
        </w:rPr>
        <w:t xml:space="preserve">81.1(13) des Règles. </w:t>
      </w:r>
    </w:p>
    <w:p w:rsidR="00520294" w:rsidRPr="00CB18F4" w:rsidRDefault="00520294" w:rsidP="00987CB6">
      <w:pPr>
        <w:pStyle w:val="ParaNoNdepar-AltN"/>
        <w:widowControl w:val="0"/>
        <w:rPr>
          <w:rFonts w:cs="Times New Roman"/>
          <w:lang w:val="fr-CA"/>
        </w:rPr>
      </w:pPr>
      <w:r w:rsidRPr="00CB18F4">
        <w:rPr>
          <w:rFonts w:cs="Times New Roman"/>
          <w:lang w:val="fr-CA"/>
        </w:rPr>
        <w:t>De plus, une ordonnance de suspension prononcée en application des règles contestées est publiée et archivée différemment des autres suspensions infligées par le Barreau. En effet, ce dernier n</w:t>
      </w:r>
      <w:r>
        <w:rPr>
          <w:rFonts w:cs="Times New Roman"/>
          <w:lang w:val="fr-CA"/>
        </w:rPr>
        <w:t>’</w:t>
      </w:r>
      <w:r w:rsidRPr="00CB18F4">
        <w:rPr>
          <w:rFonts w:cs="Times New Roman"/>
          <w:lang w:val="fr-CA"/>
        </w:rPr>
        <w:t>est pas tenu de communiquer au public et aux membres de la profession le même avis de la suspension obligatoire en application des règles de PPP, que celui pour une suspension infligée par le comité d</w:t>
      </w:r>
      <w:r>
        <w:rPr>
          <w:rFonts w:cs="Times New Roman"/>
          <w:lang w:val="fr-CA"/>
        </w:rPr>
        <w:t>’</w:t>
      </w:r>
      <w:r w:rsidRPr="00CB18F4">
        <w:rPr>
          <w:rFonts w:cs="Times New Roman"/>
          <w:lang w:val="fr-CA"/>
        </w:rPr>
        <w:t>enquête sur les plaintes</w:t>
      </w:r>
      <w:r>
        <w:rPr>
          <w:rFonts w:cs="Times New Roman"/>
          <w:lang w:val="fr-CA"/>
        </w:rPr>
        <w:t> :</w:t>
      </w:r>
      <w:r w:rsidRPr="00CB18F4">
        <w:rPr>
          <w:rFonts w:cs="Times New Roman"/>
          <w:lang w:val="fr-CA"/>
        </w:rPr>
        <w:t xml:space="preserve"> </w:t>
      </w:r>
      <w:r>
        <w:rPr>
          <w:rFonts w:cs="Times New Roman"/>
          <w:lang w:val="fr-CA"/>
        </w:rPr>
        <w:t>par. </w:t>
      </w:r>
      <w:r w:rsidRPr="00CB18F4">
        <w:rPr>
          <w:rFonts w:cs="Times New Roman"/>
          <w:lang w:val="fr-CA"/>
        </w:rPr>
        <w:t>5</w:t>
      </w:r>
      <w:r>
        <w:rPr>
          <w:rFonts w:cs="Times New Roman"/>
          <w:lang w:val="fr-CA"/>
        </w:rPr>
        <w:noBreakHyphen/>
      </w:r>
      <w:r w:rsidRPr="00CB18F4">
        <w:rPr>
          <w:rFonts w:cs="Times New Roman"/>
          <w:lang w:val="fr-CA"/>
        </w:rPr>
        <w:t>81(2) des Règles. En outre, la suspension fondée sur les règles de PPP n</w:t>
      </w:r>
      <w:r>
        <w:rPr>
          <w:rFonts w:cs="Times New Roman"/>
          <w:lang w:val="fr-CA"/>
        </w:rPr>
        <w:t>’</w:t>
      </w:r>
      <w:r w:rsidRPr="00CB18F4">
        <w:rPr>
          <w:rFonts w:cs="Times New Roman"/>
          <w:lang w:val="fr-CA"/>
        </w:rPr>
        <w:t>est pas inscrite au dossier disciplinaire de l</w:t>
      </w:r>
      <w:r>
        <w:rPr>
          <w:rFonts w:cs="Times New Roman"/>
          <w:lang w:val="fr-CA"/>
        </w:rPr>
        <w:t>’</w:t>
      </w:r>
      <w:r w:rsidRPr="00CB18F4">
        <w:rPr>
          <w:rFonts w:cs="Times New Roman"/>
          <w:lang w:val="fr-CA"/>
        </w:rPr>
        <w:t xml:space="preserve">avocat. </w:t>
      </w:r>
    </w:p>
    <w:p w:rsidR="00520294" w:rsidRPr="00CB18F4" w:rsidRDefault="00520294" w:rsidP="00987CB6">
      <w:pPr>
        <w:pStyle w:val="ParaNoNdepar-AltN"/>
        <w:widowControl w:val="0"/>
        <w:rPr>
          <w:rFonts w:cs="Times New Roman"/>
          <w:lang w:val="fr-CA"/>
        </w:rPr>
      </w:pPr>
      <w:r w:rsidRPr="00CB18F4">
        <w:rPr>
          <w:rFonts w:cs="Times New Roman"/>
          <w:lang w:val="fr-CA"/>
        </w:rPr>
        <w:t>La suspension d</w:t>
      </w:r>
      <w:r>
        <w:rPr>
          <w:rFonts w:cs="Times New Roman"/>
          <w:lang w:val="fr-CA"/>
        </w:rPr>
        <w:t>’</w:t>
      </w:r>
      <w:r w:rsidRPr="00CB18F4">
        <w:rPr>
          <w:rFonts w:cs="Times New Roman"/>
          <w:lang w:val="fr-CA"/>
        </w:rPr>
        <w:t>un avocat pour manquement aux exigences de PPP est de nature administrative. Il est raisonnable que les règles de PPP ne prévoient ni le droit à une audience ni un droit d</w:t>
      </w:r>
      <w:r>
        <w:rPr>
          <w:rFonts w:cs="Times New Roman"/>
          <w:lang w:val="fr-CA"/>
        </w:rPr>
        <w:t>’</w:t>
      </w:r>
      <w:r w:rsidRPr="00CB18F4">
        <w:rPr>
          <w:rFonts w:cs="Times New Roman"/>
          <w:lang w:val="fr-CA"/>
        </w:rPr>
        <w:t xml:space="preserve">appel parce que les avocats sont les seuls responsables de se conformer aux règles, au moment qui leur convient. Les membres déclarent eux même </w:t>
      </w:r>
      <w:r w:rsidRPr="00CB18F4">
        <w:rPr>
          <w:rFonts w:cs="Times New Roman"/>
          <w:lang w:val="fr-CA"/>
        </w:rPr>
        <w:lastRenderedPageBreak/>
        <w:t>s</w:t>
      </w:r>
      <w:r>
        <w:rPr>
          <w:rFonts w:cs="Times New Roman"/>
          <w:lang w:val="fr-CA"/>
        </w:rPr>
        <w:t>’</w:t>
      </w:r>
      <w:r w:rsidRPr="00CB18F4">
        <w:rPr>
          <w:rFonts w:cs="Times New Roman"/>
          <w:lang w:val="fr-CA"/>
        </w:rPr>
        <w:t>être conformés aux règles de PPP — aucune décision n</w:t>
      </w:r>
      <w:r>
        <w:rPr>
          <w:rFonts w:cs="Times New Roman"/>
          <w:lang w:val="fr-CA"/>
        </w:rPr>
        <w:t>’</w:t>
      </w:r>
      <w:r w:rsidRPr="00CB18F4">
        <w:rPr>
          <w:rFonts w:cs="Times New Roman"/>
          <w:lang w:val="fr-CA"/>
        </w:rPr>
        <w:t>est nécessaire pour déterminer si le membre a fait défaut de respecter les exigences. La suspension fondée sur les règles de PPP se termine dès que le membre a satisfait à ces dernières. Il n</w:t>
      </w:r>
      <w:r>
        <w:rPr>
          <w:rFonts w:cs="Times New Roman"/>
          <w:lang w:val="fr-CA"/>
        </w:rPr>
        <w:t>’</w:t>
      </w:r>
      <w:r w:rsidRPr="00CB18F4">
        <w:rPr>
          <w:rFonts w:cs="Times New Roman"/>
          <w:lang w:val="fr-CA"/>
        </w:rPr>
        <w:t>y a aucune peine ou amende, mis à part un droit de réinscription. En conséquence, cette suspension est semblable à celle qui peut être infligée à un membre qui fait défaut de payer les droits (</w:t>
      </w:r>
      <w:r>
        <w:rPr>
          <w:rFonts w:cs="Times New Roman"/>
          <w:lang w:val="fr-CA"/>
        </w:rPr>
        <w:t>par. </w:t>
      </w:r>
      <w:r w:rsidRPr="00CB18F4">
        <w:rPr>
          <w:rFonts w:cs="Times New Roman"/>
          <w:lang w:val="fr-CA"/>
        </w:rPr>
        <w:t xml:space="preserve">19(5), </w:t>
      </w:r>
      <w:r>
        <w:rPr>
          <w:rFonts w:cs="Times New Roman"/>
          <w:lang w:val="fr-CA"/>
        </w:rPr>
        <w:t>art. </w:t>
      </w:r>
      <w:r w:rsidRPr="00CB18F4">
        <w:rPr>
          <w:rFonts w:cs="Times New Roman"/>
          <w:lang w:val="fr-CA"/>
        </w:rPr>
        <w:t>2</w:t>
      </w:r>
      <w:r>
        <w:rPr>
          <w:rFonts w:cs="Times New Roman"/>
          <w:lang w:val="fr-CA"/>
        </w:rPr>
        <w:noBreakHyphen/>
      </w:r>
      <w:r w:rsidRPr="00CB18F4">
        <w:rPr>
          <w:rFonts w:cs="Times New Roman"/>
          <w:lang w:val="fr-CA"/>
        </w:rPr>
        <w:t>88 et 2</w:t>
      </w:r>
      <w:r>
        <w:rPr>
          <w:rFonts w:cs="Times New Roman"/>
          <w:lang w:val="fr-CA"/>
        </w:rPr>
        <w:noBreakHyphen/>
      </w:r>
      <w:r w:rsidRPr="00CB18F4">
        <w:rPr>
          <w:rFonts w:cs="Times New Roman"/>
          <w:lang w:val="fr-CA"/>
        </w:rPr>
        <w:t>91 des Règles) ou de produire un rapport annuel sur les comptes en fiducie (</w:t>
      </w:r>
      <w:r>
        <w:rPr>
          <w:rFonts w:cs="Times New Roman"/>
          <w:lang w:val="fr-CA"/>
        </w:rPr>
        <w:t>par. </w:t>
      </w:r>
      <w:r w:rsidRPr="00CB18F4">
        <w:rPr>
          <w:rFonts w:cs="Times New Roman"/>
          <w:lang w:val="fr-CA"/>
        </w:rPr>
        <w:t>5</w:t>
      </w:r>
      <w:r>
        <w:rPr>
          <w:rFonts w:cs="Times New Roman"/>
          <w:lang w:val="fr-CA"/>
        </w:rPr>
        <w:noBreakHyphen/>
      </w:r>
      <w:r w:rsidRPr="00CB18F4">
        <w:rPr>
          <w:rFonts w:cs="Times New Roman"/>
          <w:lang w:val="fr-CA"/>
        </w:rPr>
        <w:t>47(10) des Règles). Dans les deux cas, il n</w:t>
      </w:r>
      <w:r>
        <w:rPr>
          <w:rFonts w:cs="Times New Roman"/>
          <w:lang w:val="fr-CA"/>
        </w:rPr>
        <w:t>’</w:t>
      </w:r>
      <w:r w:rsidRPr="00CB18F4">
        <w:rPr>
          <w:rFonts w:cs="Times New Roman"/>
          <w:lang w:val="fr-CA"/>
        </w:rPr>
        <w:t>y a raisonnablement ni audience ni droit d</w:t>
      </w:r>
      <w:r>
        <w:rPr>
          <w:rFonts w:cs="Times New Roman"/>
          <w:lang w:val="fr-CA"/>
        </w:rPr>
        <w:t>’</w:t>
      </w:r>
      <w:r w:rsidRPr="00CB18F4">
        <w:rPr>
          <w:rFonts w:cs="Times New Roman"/>
          <w:lang w:val="fr-CA"/>
        </w:rPr>
        <w:t xml:space="preserve">appel prévu dans la Loi et les Règles, puisque seul le membre peut mettre fin à la suspension en se conformant aux exigences. </w:t>
      </w:r>
    </w:p>
    <w:p w:rsidR="00520294" w:rsidRPr="00CB18F4" w:rsidRDefault="00520294" w:rsidP="00987CB6">
      <w:pPr>
        <w:pStyle w:val="ParaNoNdepar-AltN"/>
        <w:widowControl w:val="0"/>
        <w:rPr>
          <w:rFonts w:cs="Times New Roman"/>
          <w:lang w:val="fr-CA"/>
        </w:rPr>
      </w:pPr>
      <w:r w:rsidRPr="00CB18F4">
        <w:rPr>
          <w:rFonts w:cs="Times New Roman"/>
          <w:lang w:val="fr-CA"/>
        </w:rPr>
        <w:t>Il faut se rappeler que M. Green a admis n</w:t>
      </w:r>
      <w:r>
        <w:rPr>
          <w:rFonts w:cs="Times New Roman"/>
          <w:lang w:val="fr-CA"/>
        </w:rPr>
        <w:t>’</w:t>
      </w:r>
      <w:r w:rsidRPr="00CB18F4">
        <w:rPr>
          <w:rFonts w:cs="Times New Roman"/>
          <w:lang w:val="fr-CA"/>
        </w:rPr>
        <w:t>avoir aucun intérêt à se conformer au programme de PPP obligatoire. Or, même si les Règles avaient prévu un processus plus élaboré préalable à l</w:t>
      </w:r>
      <w:r>
        <w:rPr>
          <w:rFonts w:cs="Times New Roman"/>
          <w:lang w:val="fr-CA"/>
        </w:rPr>
        <w:t>’</w:t>
      </w:r>
      <w:r w:rsidRPr="00CB18F4">
        <w:rPr>
          <w:rFonts w:cs="Times New Roman"/>
          <w:lang w:val="fr-CA"/>
        </w:rPr>
        <w:t>infliction d</w:t>
      </w:r>
      <w:r>
        <w:rPr>
          <w:rFonts w:cs="Times New Roman"/>
          <w:lang w:val="fr-CA"/>
        </w:rPr>
        <w:t>’</w:t>
      </w:r>
      <w:r w:rsidRPr="00CB18F4">
        <w:rPr>
          <w:rFonts w:cs="Times New Roman"/>
          <w:lang w:val="fr-CA"/>
        </w:rPr>
        <w:t>une suspension, ces procédures additionnelles ne dispenseraient pas une personne comme M. Green de se conformer au programme de P</w:t>
      </w:r>
      <w:r>
        <w:rPr>
          <w:rFonts w:cs="Times New Roman"/>
          <w:lang w:val="fr-CA"/>
        </w:rPr>
        <w:t>PP. </w:t>
      </w:r>
    </w:p>
    <w:p w:rsidR="00520294" w:rsidRPr="00CB18F4" w:rsidRDefault="00520294" w:rsidP="00987CB6">
      <w:pPr>
        <w:pStyle w:val="ParaNoNdepar-AltN"/>
        <w:widowControl w:val="0"/>
        <w:rPr>
          <w:rFonts w:cs="Times New Roman"/>
          <w:lang w:val="fr-CA"/>
        </w:rPr>
      </w:pPr>
      <w:r w:rsidRPr="00CB18F4">
        <w:rPr>
          <w:rFonts w:cs="Times New Roman"/>
          <w:lang w:val="fr-CA"/>
        </w:rPr>
        <w:t>En outre, les règles qui autorisent l</w:t>
      </w:r>
      <w:r>
        <w:rPr>
          <w:rFonts w:cs="Times New Roman"/>
          <w:lang w:val="fr-CA"/>
        </w:rPr>
        <w:t>’</w:t>
      </w:r>
      <w:r w:rsidRPr="00CB18F4">
        <w:rPr>
          <w:rFonts w:cs="Times New Roman"/>
          <w:lang w:val="fr-CA"/>
        </w:rPr>
        <w:t>infliction d</w:t>
      </w:r>
      <w:r>
        <w:rPr>
          <w:rFonts w:cs="Times New Roman"/>
          <w:lang w:val="fr-CA"/>
        </w:rPr>
        <w:t>’</w:t>
      </w:r>
      <w:r w:rsidRPr="00CB18F4">
        <w:rPr>
          <w:rFonts w:cs="Times New Roman"/>
          <w:lang w:val="fr-CA"/>
        </w:rPr>
        <w:t>une suspension ne s</w:t>
      </w:r>
      <w:r>
        <w:rPr>
          <w:rFonts w:cs="Times New Roman"/>
          <w:lang w:val="fr-CA"/>
        </w:rPr>
        <w:t>’</w:t>
      </w:r>
      <w:r w:rsidRPr="00CB18F4">
        <w:rPr>
          <w:rFonts w:cs="Times New Roman"/>
          <w:lang w:val="fr-CA"/>
        </w:rPr>
        <w:t>appliquent pas automatiquement. En effet, en plus des garanties procédurales de common law dont jouit un avocat, les règles de PPP attribuent expressément au directeur général du Barreau le pouvoir discrétionnaire de s</w:t>
      </w:r>
      <w:r>
        <w:rPr>
          <w:rFonts w:cs="Times New Roman"/>
          <w:lang w:val="fr-CA"/>
        </w:rPr>
        <w:t>’</w:t>
      </w:r>
      <w:r w:rsidRPr="00CB18F4">
        <w:rPr>
          <w:rFonts w:cs="Times New Roman"/>
          <w:lang w:val="fr-CA"/>
        </w:rPr>
        <w:t>assurer que les Règles ne soient pas trop sévères, quelle que soit la situation. Une suspension n</w:t>
      </w:r>
      <w:r>
        <w:rPr>
          <w:rFonts w:cs="Times New Roman"/>
          <w:lang w:val="fr-CA"/>
        </w:rPr>
        <w:t>’</w:t>
      </w:r>
      <w:r w:rsidRPr="00CB18F4">
        <w:rPr>
          <w:rFonts w:cs="Times New Roman"/>
          <w:lang w:val="fr-CA"/>
        </w:rPr>
        <w:t>est pas infligée automatiquement lorsqu</w:t>
      </w:r>
      <w:r>
        <w:rPr>
          <w:rFonts w:cs="Times New Roman"/>
          <w:lang w:val="fr-CA"/>
        </w:rPr>
        <w:t>’</w:t>
      </w:r>
      <w:r w:rsidRPr="00CB18F4">
        <w:rPr>
          <w:rFonts w:cs="Times New Roman"/>
          <w:lang w:val="fr-CA"/>
        </w:rPr>
        <w:t>un avocat n</w:t>
      </w:r>
      <w:r>
        <w:rPr>
          <w:rFonts w:cs="Times New Roman"/>
          <w:lang w:val="fr-CA"/>
        </w:rPr>
        <w:t>’</w:t>
      </w:r>
      <w:r w:rsidRPr="00CB18F4">
        <w:rPr>
          <w:rFonts w:cs="Times New Roman"/>
          <w:lang w:val="fr-CA"/>
        </w:rPr>
        <w:t>a pas effectué toutes les heures de PPP requises. En effet, le directeur «</w:t>
      </w:r>
      <w:r>
        <w:rPr>
          <w:rFonts w:cs="Times New Roman"/>
          <w:lang w:val="fr-CA"/>
        </w:rPr>
        <w:t> </w:t>
      </w:r>
      <w:r w:rsidRPr="00CB18F4">
        <w:rPr>
          <w:rFonts w:cs="Times New Roman"/>
          <w:lang w:val="fr-CA"/>
        </w:rPr>
        <w:t>peut</w:t>
      </w:r>
      <w:r>
        <w:rPr>
          <w:rFonts w:cs="Times New Roman"/>
          <w:lang w:val="fr-CA"/>
        </w:rPr>
        <w:t> </w:t>
      </w:r>
      <w:r w:rsidRPr="00CB18F4">
        <w:rPr>
          <w:rFonts w:cs="Times New Roman"/>
          <w:lang w:val="fr-CA"/>
        </w:rPr>
        <w:t>» aviser par écrit un membre qu</w:t>
      </w:r>
      <w:r>
        <w:rPr>
          <w:rFonts w:cs="Times New Roman"/>
          <w:lang w:val="fr-CA"/>
        </w:rPr>
        <w:t>’</w:t>
      </w:r>
      <w:r w:rsidRPr="00CB18F4">
        <w:rPr>
          <w:rFonts w:cs="Times New Roman"/>
          <w:lang w:val="fr-CA"/>
        </w:rPr>
        <w:t xml:space="preserve">il est tenu de se conformer </w:t>
      </w:r>
      <w:r w:rsidRPr="00CB18F4">
        <w:rPr>
          <w:rFonts w:cs="Times New Roman"/>
          <w:lang w:val="fr-CA"/>
        </w:rPr>
        <w:lastRenderedPageBreak/>
        <w:t>aux exigences de P</w:t>
      </w:r>
      <w:r>
        <w:rPr>
          <w:rFonts w:cs="Times New Roman"/>
          <w:lang w:val="fr-CA"/>
        </w:rPr>
        <w:t>PP. </w:t>
      </w:r>
      <w:r w:rsidRPr="00CB18F4">
        <w:rPr>
          <w:rFonts w:cs="Times New Roman"/>
          <w:lang w:val="fr-CA"/>
        </w:rPr>
        <w:t>Dans ce cas, l</w:t>
      </w:r>
      <w:r>
        <w:rPr>
          <w:rFonts w:cs="Times New Roman"/>
          <w:lang w:val="fr-CA"/>
        </w:rPr>
        <w:t>’</w:t>
      </w:r>
      <w:r w:rsidRPr="00CB18F4">
        <w:rPr>
          <w:rFonts w:cs="Times New Roman"/>
          <w:lang w:val="fr-CA"/>
        </w:rPr>
        <w:t>avocat dispose de 60 jours pour se conformer aux Règles. Rien dans ces dernières n</w:t>
      </w:r>
      <w:r>
        <w:rPr>
          <w:rFonts w:cs="Times New Roman"/>
          <w:lang w:val="fr-CA"/>
        </w:rPr>
        <w:t>’</w:t>
      </w:r>
      <w:r w:rsidRPr="00CB18F4">
        <w:rPr>
          <w:rFonts w:cs="Times New Roman"/>
          <w:lang w:val="fr-CA"/>
        </w:rPr>
        <w:t xml:space="preserve">empêche par ailleurs le directeur général de retirer sa lettre au cours de la période de 60 jours si les circonstances justifient un tel retrait. </w:t>
      </w:r>
    </w:p>
    <w:p w:rsidR="00520294" w:rsidRPr="00CB18F4" w:rsidRDefault="00520294" w:rsidP="00987CB6">
      <w:pPr>
        <w:pStyle w:val="ParaNoNdepar-AltN"/>
        <w:widowControl w:val="0"/>
        <w:rPr>
          <w:rFonts w:cs="Times New Roman"/>
          <w:lang w:val="fr-CA"/>
        </w:rPr>
      </w:pPr>
      <w:r w:rsidRPr="00CB18F4">
        <w:rPr>
          <w:rFonts w:cs="Times New Roman"/>
          <w:lang w:val="fr-CA"/>
        </w:rPr>
        <w:t>Dans le cas qui nous occupe, le directeur général a exercé son pouvoir discrétionnaire</w:t>
      </w:r>
      <w:r>
        <w:rPr>
          <w:rFonts w:cs="Times New Roman"/>
          <w:lang w:val="fr-CA"/>
        </w:rPr>
        <w:t> :</w:t>
      </w:r>
      <w:r w:rsidRPr="00CB18F4">
        <w:rPr>
          <w:rFonts w:cs="Times New Roman"/>
          <w:lang w:val="fr-CA"/>
        </w:rPr>
        <w:t xml:space="preserve"> plutôt que d</w:t>
      </w:r>
      <w:r>
        <w:rPr>
          <w:rFonts w:cs="Times New Roman"/>
          <w:lang w:val="fr-CA"/>
        </w:rPr>
        <w:t>’</w:t>
      </w:r>
      <w:r w:rsidRPr="00CB18F4">
        <w:rPr>
          <w:rFonts w:cs="Times New Roman"/>
          <w:lang w:val="fr-CA"/>
        </w:rPr>
        <w:t>envoyer un avis écrit à M. Green dès qu</w:t>
      </w:r>
      <w:r>
        <w:rPr>
          <w:rFonts w:cs="Times New Roman"/>
          <w:lang w:val="fr-CA"/>
        </w:rPr>
        <w:t>’</w:t>
      </w:r>
      <w:r w:rsidRPr="00CB18F4">
        <w:rPr>
          <w:rFonts w:cs="Times New Roman"/>
          <w:lang w:val="fr-CA"/>
        </w:rPr>
        <w:t>il a appris le défaut de ce dernier, il lui a envoyé l</w:t>
      </w:r>
      <w:r>
        <w:rPr>
          <w:rFonts w:cs="Times New Roman"/>
          <w:lang w:val="fr-CA"/>
        </w:rPr>
        <w:t>’</w:t>
      </w:r>
      <w:r w:rsidRPr="00CB18F4">
        <w:rPr>
          <w:rFonts w:cs="Times New Roman"/>
          <w:lang w:val="fr-CA"/>
        </w:rPr>
        <w:t xml:space="preserve">avis une année complète après son premier manquement aux exigences. Ce faisant, le directeur général a, dans les faits, levé les exigences de PPP applicables à M. Green pour la première année de leur application. </w:t>
      </w:r>
    </w:p>
    <w:p w:rsidR="00520294" w:rsidRPr="00CB18F4" w:rsidRDefault="00520294" w:rsidP="00987CB6">
      <w:pPr>
        <w:pStyle w:val="ParaNoNdepar-AltN"/>
        <w:widowControl w:val="0"/>
        <w:rPr>
          <w:rFonts w:cs="Times New Roman"/>
          <w:lang w:val="fr-CA"/>
        </w:rPr>
      </w:pPr>
      <w:r w:rsidRPr="00CB18F4">
        <w:rPr>
          <w:rFonts w:cs="Times New Roman"/>
          <w:lang w:val="fr-CA"/>
        </w:rPr>
        <w:t>Même si les règles contestées avaient pu inclure des procédures plus élaborées, il n</w:t>
      </w:r>
      <w:r>
        <w:rPr>
          <w:rFonts w:cs="Times New Roman"/>
          <w:lang w:val="fr-CA"/>
        </w:rPr>
        <w:t>’</w:t>
      </w:r>
      <w:r w:rsidRPr="00CB18F4">
        <w:rPr>
          <w:rFonts w:cs="Times New Roman"/>
          <w:lang w:val="fr-CA"/>
        </w:rPr>
        <w:t>existe pas de formule magique pour l</w:t>
      </w:r>
      <w:r>
        <w:rPr>
          <w:rFonts w:cs="Times New Roman"/>
          <w:lang w:val="fr-CA"/>
        </w:rPr>
        <w:t>’</w:t>
      </w:r>
      <w:r w:rsidRPr="00CB18F4">
        <w:rPr>
          <w:rFonts w:cs="Times New Roman"/>
          <w:lang w:val="fr-CA"/>
        </w:rPr>
        <w:t>adoption de règles de P</w:t>
      </w:r>
      <w:r>
        <w:rPr>
          <w:rFonts w:cs="Times New Roman"/>
          <w:lang w:val="fr-CA"/>
        </w:rPr>
        <w:t xml:space="preserve">PP. </w:t>
      </w:r>
      <w:r w:rsidRPr="00CB18F4">
        <w:rPr>
          <w:rFonts w:cs="Times New Roman"/>
          <w:lang w:val="fr-CA"/>
        </w:rPr>
        <w:t>Chaque barreau provincial a mis en œuvre un programme de PPP de manière différente. Il n</w:t>
      </w:r>
      <w:r>
        <w:rPr>
          <w:rFonts w:cs="Times New Roman"/>
          <w:lang w:val="fr-CA"/>
        </w:rPr>
        <w:t>’</w:t>
      </w:r>
      <w:r w:rsidRPr="00CB18F4">
        <w:rPr>
          <w:rFonts w:cs="Times New Roman"/>
          <w:lang w:val="fr-CA"/>
        </w:rPr>
        <w:t>appartient pas à la Cour de réécrire les Règles afin d</w:t>
      </w:r>
      <w:r>
        <w:rPr>
          <w:rFonts w:cs="Times New Roman"/>
          <w:lang w:val="fr-CA"/>
        </w:rPr>
        <w:t>’</w:t>
      </w:r>
      <w:r w:rsidRPr="00CB18F4">
        <w:rPr>
          <w:rFonts w:cs="Times New Roman"/>
          <w:lang w:val="fr-CA"/>
        </w:rPr>
        <w:t>y inclure toutes les protections imaginables; son rôle est plutôt de déterminer si les règles contestées sont raisonnables compte tenu de la Loi. L</w:t>
      </w:r>
      <w:r>
        <w:rPr>
          <w:rFonts w:cs="Times New Roman"/>
          <w:lang w:val="fr-CA"/>
        </w:rPr>
        <w:t>’</w:t>
      </w:r>
      <w:r w:rsidRPr="00CB18F4">
        <w:rPr>
          <w:rFonts w:cs="Times New Roman"/>
          <w:lang w:val="fr-CA"/>
        </w:rPr>
        <w:t xml:space="preserve">approche énoncée par Lord Russell dans </w:t>
      </w:r>
      <w:r w:rsidRPr="00CB18F4">
        <w:rPr>
          <w:rFonts w:cs="Times New Roman"/>
          <w:i/>
          <w:lang w:val="fr-CA"/>
        </w:rPr>
        <w:t>Kruse c. Johnson</w:t>
      </w:r>
      <w:r w:rsidRPr="00CB18F4">
        <w:rPr>
          <w:rFonts w:cs="Times New Roman"/>
          <w:lang w:val="fr-CA"/>
        </w:rPr>
        <w:t>, [1898] 2 B.R. 91 (</w:t>
      </w:r>
      <w:r w:rsidR="00144509">
        <w:rPr>
          <w:rFonts w:cs="Times New Roman"/>
          <w:lang w:val="fr-CA"/>
        </w:rPr>
        <w:t>Div. Ct</w:t>
      </w:r>
      <w:r w:rsidR="00097F41">
        <w:rPr>
          <w:rFonts w:cs="Times New Roman"/>
          <w:lang w:val="fr-CA"/>
        </w:rPr>
        <w:t>.</w:t>
      </w:r>
      <w:r w:rsidRPr="00CB18F4">
        <w:rPr>
          <w:rFonts w:cs="Times New Roman"/>
          <w:lang w:val="fr-CA"/>
        </w:rPr>
        <w:t xml:space="preserve">) et approuvée par la juge en chef McLachlin dans </w:t>
      </w:r>
      <w:r w:rsidRPr="00CB18F4">
        <w:rPr>
          <w:rFonts w:cs="Times New Roman"/>
          <w:i/>
          <w:lang w:val="fr-CA"/>
        </w:rPr>
        <w:t>Catalyst Paper</w:t>
      </w:r>
      <w:r w:rsidRPr="00CB18F4">
        <w:rPr>
          <w:rFonts w:cs="Times New Roman"/>
          <w:lang w:val="fr-CA"/>
        </w:rPr>
        <w:t xml:space="preserve">, </w:t>
      </w:r>
      <w:r>
        <w:rPr>
          <w:rFonts w:cs="Times New Roman"/>
          <w:lang w:val="fr-CA"/>
        </w:rPr>
        <w:t>par. </w:t>
      </w:r>
      <w:r w:rsidRPr="00CB18F4">
        <w:rPr>
          <w:rFonts w:cs="Times New Roman"/>
          <w:lang w:val="fr-CA"/>
        </w:rPr>
        <w:t>21, s</w:t>
      </w:r>
      <w:r>
        <w:rPr>
          <w:rFonts w:cs="Times New Roman"/>
          <w:lang w:val="fr-CA"/>
        </w:rPr>
        <w:t>’</w:t>
      </w:r>
      <w:r w:rsidRPr="00CB18F4">
        <w:rPr>
          <w:rFonts w:cs="Times New Roman"/>
          <w:lang w:val="fr-CA"/>
        </w:rPr>
        <w:t>applique en l</w:t>
      </w:r>
      <w:r>
        <w:rPr>
          <w:rFonts w:cs="Times New Roman"/>
          <w:lang w:val="fr-CA"/>
        </w:rPr>
        <w:t>’</w:t>
      </w:r>
      <w:r w:rsidRPr="00CB18F4">
        <w:rPr>
          <w:rFonts w:cs="Times New Roman"/>
          <w:lang w:val="fr-CA"/>
        </w:rPr>
        <w:t>espèce</w:t>
      </w:r>
      <w:r>
        <w:rPr>
          <w:rFonts w:cs="Times New Roman"/>
          <w:lang w:val="fr-CA"/>
        </w:rPr>
        <w:t> :</w:t>
      </w:r>
    </w:p>
    <w:p w:rsidR="00520294" w:rsidRPr="00CB18F4" w:rsidRDefault="00097F41" w:rsidP="00987CB6">
      <w:pPr>
        <w:pStyle w:val="Citation-AltC"/>
        <w:widowControl w:val="0"/>
        <w:ind w:hanging="1166"/>
        <w:contextualSpacing w:val="0"/>
        <w:rPr>
          <w:lang w:val="fr-CA"/>
        </w:rPr>
      </w:pPr>
      <w:r>
        <w:rPr>
          <w:lang w:val="fr-CA"/>
        </w:rPr>
        <w:tab/>
        <w:t>[</w:t>
      </w:r>
      <w:r w:rsidRPr="00097F41">
        <w:rPr>
          <w:smallCaps/>
          <w:lang w:val="fr-CA"/>
        </w:rPr>
        <w:t>traduction</w:t>
      </w:r>
      <w:r>
        <w:rPr>
          <w:lang w:val="fr-CA"/>
        </w:rPr>
        <w:t xml:space="preserve">] </w:t>
      </w:r>
      <w:r w:rsidR="00520294" w:rsidRPr="00CB18F4">
        <w:rPr>
          <w:lang w:val="fr-CA"/>
        </w:rPr>
        <w:t>. . .</w:t>
      </w:r>
      <w:r>
        <w:rPr>
          <w:lang w:val="fr-CA"/>
        </w:rPr>
        <w:t xml:space="preserve"> j</w:t>
      </w:r>
      <w:r w:rsidR="00520294" w:rsidRPr="00CB18F4">
        <w:rPr>
          <w:lang w:val="fr-CA"/>
        </w:rPr>
        <w:t>e ne veux pas dire qu</w:t>
      </w:r>
      <w:r w:rsidR="00520294">
        <w:rPr>
          <w:lang w:val="fr-CA"/>
        </w:rPr>
        <w:t>’</w:t>
      </w:r>
      <w:r w:rsidR="00520294" w:rsidRPr="00CB18F4">
        <w:rPr>
          <w:lang w:val="fr-CA"/>
        </w:rPr>
        <w:t>il ne peut y avoir de cas où la Cour aurait le devoir d</w:t>
      </w:r>
      <w:r w:rsidR="00520294">
        <w:rPr>
          <w:lang w:val="fr-CA"/>
        </w:rPr>
        <w:t>’</w:t>
      </w:r>
      <w:r w:rsidR="00520294" w:rsidRPr="00CB18F4">
        <w:rPr>
          <w:lang w:val="fr-CA"/>
        </w:rPr>
        <w:t>invalider des règlements, pris en vertu du même pouvoir que ceux</w:t>
      </w:r>
      <w:r w:rsidR="00520294">
        <w:rPr>
          <w:lang w:val="fr-CA"/>
        </w:rPr>
        <w:noBreakHyphen/>
      </w:r>
      <w:r w:rsidR="00520294" w:rsidRPr="00CB18F4">
        <w:rPr>
          <w:lang w:val="fr-CA"/>
        </w:rPr>
        <w:t>ci l</w:t>
      </w:r>
      <w:r w:rsidR="00520294">
        <w:rPr>
          <w:lang w:val="fr-CA"/>
        </w:rPr>
        <w:t>’</w:t>
      </w:r>
      <w:r w:rsidR="00520294" w:rsidRPr="00CB18F4">
        <w:rPr>
          <w:lang w:val="fr-CA"/>
        </w:rPr>
        <w:t>ont été, en se fondant sur leur caractère déraisonn</w:t>
      </w:r>
      <w:r w:rsidR="002B0AB8">
        <w:rPr>
          <w:lang w:val="fr-CA"/>
        </w:rPr>
        <w:t>able. Mais</w:t>
      </w:r>
      <w:r w:rsidR="00520294" w:rsidRPr="00CB18F4">
        <w:rPr>
          <w:lang w:val="fr-CA"/>
        </w:rPr>
        <w:t xml:space="preserve"> déraisonnable en quel sens? On peut penser, par exemple, à des règlements partiaux et d</w:t>
      </w:r>
      <w:r w:rsidR="00520294">
        <w:rPr>
          <w:lang w:val="fr-CA"/>
        </w:rPr>
        <w:t>’</w:t>
      </w:r>
      <w:r w:rsidR="00520294" w:rsidRPr="00CB18F4">
        <w:rPr>
          <w:lang w:val="fr-CA"/>
        </w:rPr>
        <w:t>application inégale pour des catégories distinctes, à des règlements manifestement injustes, à des règlements empreints de mauvaise foi, à des règlements entraînant une immixtion abusive ou gratuite dans les droits des personnes qui y sont assujetties, au point d</w:t>
      </w:r>
      <w:r w:rsidR="00520294">
        <w:rPr>
          <w:lang w:val="fr-CA"/>
        </w:rPr>
        <w:t>’</w:t>
      </w:r>
      <w:r w:rsidR="00520294" w:rsidRPr="00CB18F4">
        <w:rPr>
          <w:lang w:val="fr-CA"/>
        </w:rPr>
        <w:t>être injustifiables aux yeux d</w:t>
      </w:r>
      <w:r w:rsidR="00520294">
        <w:rPr>
          <w:lang w:val="fr-CA"/>
        </w:rPr>
        <w:t>’</w:t>
      </w:r>
      <w:r w:rsidR="00520294" w:rsidRPr="00CB18F4">
        <w:rPr>
          <w:lang w:val="fr-CA"/>
        </w:rPr>
        <w:t xml:space="preserve">hommes raisonnables; </w:t>
      </w:r>
      <w:r w:rsidR="00520294" w:rsidRPr="00CB18F4">
        <w:rPr>
          <w:lang w:val="fr-CA"/>
        </w:rPr>
        <w:lastRenderedPageBreak/>
        <w:t>la Cour pourrait alors dire «</w:t>
      </w:r>
      <w:r w:rsidR="00520294">
        <w:rPr>
          <w:lang w:val="fr-CA"/>
        </w:rPr>
        <w:t> </w:t>
      </w:r>
      <w:r w:rsidR="00520294" w:rsidRPr="00CB18F4">
        <w:rPr>
          <w:lang w:val="fr-CA"/>
        </w:rPr>
        <w:t>le Parlement n</w:t>
      </w:r>
      <w:r w:rsidR="00520294">
        <w:rPr>
          <w:lang w:val="fr-CA"/>
        </w:rPr>
        <w:t>’</w:t>
      </w:r>
      <w:r w:rsidR="00520294" w:rsidRPr="00CB18F4">
        <w:rPr>
          <w:lang w:val="fr-CA"/>
        </w:rPr>
        <w:t>a jamais eu l</w:t>
      </w:r>
      <w:r w:rsidR="00520294">
        <w:rPr>
          <w:lang w:val="fr-CA"/>
        </w:rPr>
        <w:t>’</w:t>
      </w:r>
      <w:r w:rsidR="00520294" w:rsidRPr="00CB18F4">
        <w:rPr>
          <w:lang w:val="fr-CA"/>
        </w:rPr>
        <w:t xml:space="preserve">intention de donner le pouvoir de faire de telles règles; elles sont déraisonnables et </w:t>
      </w:r>
      <w:r w:rsidR="00520294" w:rsidRPr="002B0AB8">
        <w:rPr>
          <w:i/>
          <w:lang w:val="fr-CA"/>
        </w:rPr>
        <w:t>ultra vires</w:t>
      </w:r>
      <w:r w:rsidR="00520294" w:rsidRPr="00CB18F4">
        <w:rPr>
          <w:lang w:val="fr-CA"/>
        </w:rPr>
        <w:t>.</w:t>
      </w:r>
      <w:r w:rsidR="00520294">
        <w:rPr>
          <w:lang w:val="fr-CA"/>
        </w:rPr>
        <w:t> </w:t>
      </w:r>
      <w:r w:rsidR="00520294" w:rsidRPr="00CB18F4">
        <w:rPr>
          <w:lang w:val="fr-CA"/>
        </w:rPr>
        <w:t>» C</w:t>
      </w:r>
      <w:r w:rsidR="00520294">
        <w:rPr>
          <w:lang w:val="fr-CA"/>
        </w:rPr>
        <w:t>’</w:t>
      </w:r>
      <w:r w:rsidR="00520294" w:rsidRPr="00CB18F4">
        <w:rPr>
          <w:lang w:val="fr-CA"/>
        </w:rPr>
        <w:t>est en ce sens et uniquement en ce sens qu</w:t>
      </w:r>
      <w:r w:rsidR="00520294">
        <w:rPr>
          <w:lang w:val="fr-CA"/>
        </w:rPr>
        <w:t>’</w:t>
      </w:r>
      <w:r w:rsidR="00520294" w:rsidRPr="00CB18F4">
        <w:rPr>
          <w:lang w:val="fr-CA"/>
        </w:rPr>
        <w:t xml:space="preserve">il faut, à mon avis, considérer la question du caractère raisonnable. </w:t>
      </w:r>
      <w:r w:rsidR="00520294" w:rsidRPr="00CB18F4">
        <w:rPr>
          <w:u w:val="single"/>
          <w:lang w:val="fr-CA"/>
        </w:rPr>
        <w:t>Un règlement n</w:t>
      </w:r>
      <w:r w:rsidR="00520294">
        <w:rPr>
          <w:u w:val="single"/>
          <w:lang w:val="fr-CA"/>
        </w:rPr>
        <w:t>’</w:t>
      </w:r>
      <w:r w:rsidR="00520294" w:rsidRPr="00CB18F4">
        <w:rPr>
          <w:u w:val="single"/>
          <w:lang w:val="fr-CA"/>
        </w:rPr>
        <w:t>est pas déraisonnable simplement parce que certains juges peuvent estimer qu</w:t>
      </w:r>
      <w:r w:rsidR="00520294">
        <w:rPr>
          <w:u w:val="single"/>
          <w:lang w:val="fr-CA"/>
        </w:rPr>
        <w:t>’</w:t>
      </w:r>
      <w:r w:rsidR="00520294" w:rsidRPr="00CB18F4">
        <w:rPr>
          <w:u w:val="single"/>
          <w:lang w:val="fr-CA"/>
        </w:rPr>
        <w:t>il va au</w:t>
      </w:r>
      <w:r w:rsidR="00520294">
        <w:rPr>
          <w:u w:val="single"/>
          <w:lang w:val="fr-CA"/>
        </w:rPr>
        <w:noBreakHyphen/>
      </w:r>
      <w:r w:rsidR="00520294" w:rsidRPr="00CB18F4">
        <w:rPr>
          <w:u w:val="single"/>
          <w:lang w:val="fr-CA"/>
        </w:rPr>
        <w:t>delà ce qui est prudent ou nécessaire ou commode, ou parce qu</w:t>
      </w:r>
      <w:r w:rsidR="00520294">
        <w:rPr>
          <w:u w:val="single"/>
          <w:lang w:val="fr-CA"/>
        </w:rPr>
        <w:t>’</w:t>
      </w:r>
      <w:r w:rsidR="00520294" w:rsidRPr="00CB18F4">
        <w:rPr>
          <w:u w:val="single"/>
          <w:lang w:val="fr-CA"/>
        </w:rPr>
        <w:t>il n</w:t>
      </w:r>
      <w:r w:rsidR="00520294">
        <w:rPr>
          <w:u w:val="single"/>
          <w:lang w:val="fr-CA"/>
        </w:rPr>
        <w:t>’</w:t>
      </w:r>
      <w:r w:rsidR="00520294" w:rsidRPr="00CB18F4">
        <w:rPr>
          <w:u w:val="single"/>
          <w:lang w:val="fr-CA"/>
        </w:rPr>
        <w:t>est pas assorti d</w:t>
      </w:r>
      <w:r w:rsidR="00520294">
        <w:rPr>
          <w:u w:val="single"/>
          <w:lang w:val="fr-CA"/>
        </w:rPr>
        <w:t>’</w:t>
      </w:r>
      <w:r w:rsidR="00520294" w:rsidRPr="00CB18F4">
        <w:rPr>
          <w:u w:val="single"/>
          <w:lang w:val="fr-CA"/>
        </w:rPr>
        <w:t>une réserve ou d</w:t>
      </w:r>
      <w:r w:rsidR="00520294">
        <w:rPr>
          <w:u w:val="single"/>
          <w:lang w:val="fr-CA"/>
        </w:rPr>
        <w:t>’</w:t>
      </w:r>
      <w:r w:rsidR="00520294" w:rsidRPr="00CB18F4">
        <w:rPr>
          <w:u w:val="single"/>
          <w:lang w:val="fr-CA"/>
        </w:rPr>
        <w:t>une exception qui devrait y figurer de l</w:t>
      </w:r>
      <w:r w:rsidR="00520294">
        <w:rPr>
          <w:u w:val="single"/>
          <w:lang w:val="fr-CA"/>
        </w:rPr>
        <w:t>’</w:t>
      </w:r>
      <w:r w:rsidR="00520294" w:rsidRPr="00CB18F4">
        <w:rPr>
          <w:u w:val="single"/>
          <w:lang w:val="fr-CA"/>
        </w:rPr>
        <w:t>avis de certains juges.</w:t>
      </w:r>
      <w:r w:rsidR="00520294" w:rsidRPr="00CB18F4">
        <w:rPr>
          <w:lang w:val="fr-CA"/>
        </w:rPr>
        <w:t xml:space="preserve"> [Je souligne; </w:t>
      </w:r>
      <w:r w:rsidR="00520294">
        <w:rPr>
          <w:lang w:val="fr-CA"/>
        </w:rPr>
        <w:t>p. </w:t>
      </w:r>
      <w:r w:rsidR="00520294" w:rsidRPr="00CB18F4">
        <w:rPr>
          <w:lang w:val="fr-CA"/>
        </w:rPr>
        <w:t>99</w:t>
      </w:r>
      <w:r w:rsidR="002B0AB8">
        <w:rPr>
          <w:lang w:val="fr-CA"/>
        </w:rPr>
        <w:t>-</w:t>
      </w:r>
      <w:r w:rsidR="00520294" w:rsidRPr="00CB18F4">
        <w:rPr>
          <w:lang w:val="fr-CA"/>
        </w:rPr>
        <w:t>100.]</w:t>
      </w:r>
    </w:p>
    <w:p w:rsidR="00520294" w:rsidRPr="00CB18F4" w:rsidRDefault="00520294" w:rsidP="00987CB6">
      <w:pPr>
        <w:pStyle w:val="ParaNoNdepar-AltN"/>
        <w:widowControl w:val="0"/>
        <w:rPr>
          <w:rFonts w:cs="Times New Roman"/>
          <w:lang w:val="fr-CA"/>
        </w:rPr>
      </w:pPr>
      <w:r w:rsidRPr="00CB18F4">
        <w:rPr>
          <w:rFonts w:cs="Times New Roman"/>
          <w:lang w:val="fr-CA"/>
        </w:rPr>
        <w:t>Même s</w:t>
      </w:r>
      <w:r>
        <w:rPr>
          <w:rFonts w:cs="Times New Roman"/>
          <w:lang w:val="fr-CA"/>
        </w:rPr>
        <w:t>’</w:t>
      </w:r>
      <w:r w:rsidRPr="00CB18F4">
        <w:rPr>
          <w:rFonts w:cs="Times New Roman"/>
          <w:lang w:val="fr-CA"/>
        </w:rPr>
        <w:t>il reste vrai que la règle est déraisonnable si elle entraîne «</w:t>
      </w:r>
      <w:r>
        <w:rPr>
          <w:rFonts w:cs="Times New Roman"/>
          <w:lang w:val="fr-CA"/>
        </w:rPr>
        <w:t> </w:t>
      </w:r>
      <w:r w:rsidRPr="00CB18F4">
        <w:rPr>
          <w:rFonts w:cs="Times New Roman"/>
          <w:lang w:val="fr-CA"/>
        </w:rPr>
        <w:t>une immixtion abusive ou gratuite dans les droits des personnes qui y sont assujetties, au point d</w:t>
      </w:r>
      <w:r>
        <w:rPr>
          <w:rFonts w:cs="Times New Roman"/>
          <w:lang w:val="fr-CA"/>
        </w:rPr>
        <w:t>’</w:t>
      </w:r>
      <w:r w:rsidRPr="00CB18F4">
        <w:rPr>
          <w:rFonts w:cs="Times New Roman"/>
          <w:lang w:val="fr-CA"/>
        </w:rPr>
        <w:t xml:space="preserve">être </w:t>
      </w:r>
      <w:r w:rsidRPr="00CB18F4">
        <w:rPr>
          <w:rFonts w:cs="Times New Roman"/>
          <w:u w:val="single"/>
          <w:lang w:val="fr-CA"/>
        </w:rPr>
        <w:t>injustifiable</w:t>
      </w:r>
      <w:r w:rsidRPr="00CB18F4">
        <w:rPr>
          <w:rFonts w:cs="Times New Roman"/>
          <w:lang w:val="fr-CA"/>
        </w:rPr>
        <w:t xml:space="preserve"> aux yeux d</w:t>
      </w:r>
      <w:r>
        <w:rPr>
          <w:rFonts w:cs="Times New Roman"/>
          <w:lang w:val="fr-CA"/>
        </w:rPr>
        <w:t>’</w:t>
      </w:r>
      <w:r w:rsidRPr="00CB18F4">
        <w:rPr>
          <w:rFonts w:cs="Times New Roman"/>
          <w:lang w:val="fr-CA"/>
        </w:rPr>
        <w:t>hommes raisonnables</w:t>
      </w:r>
      <w:r>
        <w:rPr>
          <w:rFonts w:cs="Times New Roman"/>
          <w:lang w:val="fr-CA"/>
        </w:rPr>
        <w:t> </w:t>
      </w:r>
      <w:r w:rsidRPr="00CB18F4">
        <w:rPr>
          <w:rFonts w:cs="Times New Roman"/>
          <w:lang w:val="fr-CA"/>
        </w:rPr>
        <w:t>», les règles en cause en l</w:t>
      </w:r>
      <w:r>
        <w:rPr>
          <w:rFonts w:cs="Times New Roman"/>
          <w:lang w:val="fr-CA"/>
        </w:rPr>
        <w:t>’</w:t>
      </w:r>
      <w:r w:rsidRPr="00CB18F4">
        <w:rPr>
          <w:rFonts w:cs="Times New Roman"/>
          <w:lang w:val="fr-CA"/>
        </w:rPr>
        <w:t>espèce sont loin d</w:t>
      </w:r>
      <w:r>
        <w:rPr>
          <w:rFonts w:cs="Times New Roman"/>
          <w:lang w:val="fr-CA"/>
        </w:rPr>
        <w:t>’</w:t>
      </w:r>
      <w:r w:rsidRPr="00CB18F4">
        <w:rPr>
          <w:rFonts w:cs="Times New Roman"/>
          <w:lang w:val="fr-CA"/>
        </w:rPr>
        <w:t>être de ce type. L</w:t>
      </w:r>
      <w:r>
        <w:rPr>
          <w:rFonts w:cs="Times New Roman"/>
          <w:lang w:val="fr-CA"/>
        </w:rPr>
        <w:t>’</w:t>
      </w:r>
      <w:r w:rsidRPr="00CB18F4">
        <w:rPr>
          <w:rFonts w:cs="Times New Roman"/>
          <w:lang w:val="fr-CA"/>
        </w:rPr>
        <w:t>omission d</w:t>
      </w:r>
      <w:r>
        <w:rPr>
          <w:rFonts w:cs="Times New Roman"/>
          <w:lang w:val="fr-CA"/>
        </w:rPr>
        <w:t>’</w:t>
      </w:r>
      <w:r w:rsidRPr="00CB18F4">
        <w:rPr>
          <w:rFonts w:cs="Times New Roman"/>
          <w:lang w:val="fr-CA"/>
        </w:rPr>
        <w:t>un avocat de se conformer aux règles contestées relatives à la formation, même après avoir été avisé et s</w:t>
      </w:r>
      <w:r>
        <w:rPr>
          <w:rFonts w:cs="Times New Roman"/>
          <w:lang w:val="fr-CA"/>
        </w:rPr>
        <w:t>’</w:t>
      </w:r>
      <w:r w:rsidRPr="00CB18F4">
        <w:rPr>
          <w:rFonts w:cs="Times New Roman"/>
          <w:lang w:val="fr-CA"/>
        </w:rPr>
        <w:t>être vu offrir l</w:t>
      </w:r>
      <w:r>
        <w:rPr>
          <w:rFonts w:cs="Times New Roman"/>
          <w:lang w:val="fr-CA"/>
        </w:rPr>
        <w:t>’</w:t>
      </w:r>
      <w:r w:rsidRPr="00CB18F4">
        <w:rPr>
          <w:rFonts w:cs="Times New Roman"/>
          <w:lang w:val="fr-CA"/>
        </w:rPr>
        <w:t>occasion de demander une prorogation de délai, justifie clairement que le Barreau inflige une suspension temporaire. Ces règles ne sont ni «</w:t>
      </w:r>
      <w:r>
        <w:rPr>
          <w:rFonts w:cs="Times New Roman"/>
          <w:lang w:val="fr-CA"/>
        </w:rPr>
        <w:t> </w:t>
      </w:r>
      <w:r w:rsidRPr="00CB18F4">
        <w:rPr>
          <w:rFonts w:cs="Times New Roman"/>
          <w:lang w:val="fr-CA"/>
        </w:rPr>
        <w:t xml:space="preserve">“sans importance”, </w:t>
      </w:r>
      <w:r w:rsidR="006A2D10">
        <w:rPr>
          <w:rFonts w:cs="Times New Roman"/>
          <w:lang w:val="fr-CA"/>
        </w:rPr>
        <w:t>[</w:t>
      </w:r>
      <w:r w:rsidRPr="00CB18F4">
        <w:rPr>
          <w:rFonts w:cs="Times New Roman"/>
          <w:lang w:val="fr-CA"/>
        </w:rPr>
        <w:t>ni</w:t>
      </w:r>
      <w:r w:rsidR="006A2D10">
        <w:rPr>
          <w:rFonts w:cs="Times New Roman"/>
          <w:lang w:val="fr-CA"/>
        </w:rPr>
        <w:t>]</w:t>
      </w:r>
      <w:r w:rsidRPr="00CB18F4">
        <w:rPr>
          <w:rFonts w:cs="Times New Roman"/>
          <w:lang w:val="fr-CA"/>
        </w:rPr>
        <w:t xml:space="preserve"> “non pertinent[es]” ou </w:t>
      </w:r>
      <w:r w:rsidR="006A2D10">
        <w:rPr>
          <w:rFonts w:cs="Times New Roman"/>
          <w:lang w:val="fr-CA"/>
        </w:rPr>
        <w:t xml:space="preserve">[. . .] </w:t>
      </w:r>
      <w:r w:rsidRPr="00CB18F4">
        <w:rPr>
          <w:rFonts w:cs="Times New Roman"/>
          <w:lang w:val="fr-CA"/>
        </w:rPr>
        <w:t>“complètement étrang[ères]” à l</w:t>
      </w:r>
      <w:r>
        <w:rPr>
          <w:rFonts w:cs="Times New Roman"/>
          <w:lang w:val="fr-CA"/>
        </w:rPr>
        <w:t>’</w:t>
      </w:r>
      <w:r w:rsidRPr="00CB18F4">
        <w:rPr>
          <w:rFonts w:cs="Times New Roman"/>
          <w:lang w:val="fr-CA"/>
        </w:rPr>
        <w:t>objet de la loi</w:t>
      </w:r>
      <w:r>
        <w:rPr>
          <w:rFonts w:cs="Times New Roman"/>
          <w:lang w:val="fr-CA"/>
        </w:rPr>
        <w:t> </w:t>
      </w:r>
      <w:r w:rsidRPr="00CB18F4">
        <w:rPr>
          <w:rFonts w:cs="Times New Roman"/>
          <w:lang w:val="fr-CA"/>
        </w:rPr>
        <w:t>» relative au Barreau de quelque façon que ce soit</w:t>
      </w:r>
      <w:r>
        <w:rPr>
          <w:rFonts w:cs="Times New Roman"/>
          <w:lang w:val="fr-CA"/>
        </w:rPr>
        <w:t> :</w:t>
      </w:r>
      <w:r w:rsidRPr="00CB18F4">
        <w:rPr>
          <w:rFonts w:cs="Times New Roman"/>
          <w:lang w:val="fr-CA"/>
        </w:rPr>
        <w:t xml:space="preserve"> </w:t>
      </w:r>
      <w:r w:rsidRPr="00CB18F4">
        <w:rPr>
          <w:rFonts w:cs="Times New Roman"/>
          <w:i/>
          <w:lang w:val="fr-CA"/>
        </w:rPr>
        <w:t>Katz</w:t>
      </w:r>
      <w:r w:rsidRPr="00CB18F4">
        <w:rPr>
          <w:rFonts w:cs="Times New Roman"/>
          <w:lang w:val="fr-CA"/>
        </w:rPr>
        <w:t xml:space="preserve">, </w:t>
      </w:r>
      <w:r>
        <w:rPr>
          <w:rFonts w:cs="Times New Roman"/>
          <w:lang w:val="fr-CA"/>
        </w:rPr>
        <w:t>par. </w:t>
      </w:r>
      <w:r w:rsidRPr="00CB18F4">
        <w:rPr>
          <w:rFonts w:cs="Times New Roman"/>
          <w:lang w:val="fr-CA"/>
        </w:rPr>
        <w:t>28.</w:t>
      </w:r>
    </w:p>
    <w:p w:rsidR="00520294" w:rsidRPr="00CB18F4" w:rsidRDefault="00520294" w:rsidP="00987CB6">
      <w:pPr>
        <w:pStyle w:val="ParaNoNdepar-AltN"/>
        <w:widowControl w:val="0"/>
        <w:rPr>
          <w:rFonts w:cs="Times New Roman"/>
          <w:lang w:val="fr-CA"/>
        </w:rPr>
      </w:pPr>
      <w:r w:rsidRPr="00CB18F4">
        <w:rPr>
          <w:rFonts w:cs="Times New Roman"/>
          <w:lang w:val="fr-CA"/>
        </w:rPr>
        <w:t>En conséquence, je ne peux accepter les arguments procéduraux de M. Green. Eu égard au mandat législatif du Barreau, il était tout à fait raisonnable qu</w:t>
      </w:r>
      <w:r>
        <w:rPr>
          <w:rFonts w:cs="Times New Roman"/>
          <w:lang w:val="fr-CA"/>
        </w:rPr>
        <w:t>’</w:t>
      </w:r>
      <w:r w:rsidRPr="00CB18F4">
        <w:rPr>
          <w:rFonts w:cs="Times New Roman"/>
          <w:lang w:val="fr-CA"/>
        </w:rPr>
        <w:t>il adopte les règles contestées de PPP conférant à son directeur général le pouvoir discrétionnaire d</w:t>
      </w:r>
      <w:r>
        <w:rPr>
          <w:rFonts w:cs="Times New Roman"/>
          <w:lang w:val="fr-CA"/>
        </w:rPr>
        <w:t>’</w:t>
      </w:r>
      <w:r w:rsidRPr="00CB18F4">
        <w:rPr>
          <w:rFonts w:cs="Times New Roman"/>
          <w:lang w:val="fr-CA"/>
        </w:rPr>
        <w:t>infliger une suspension administrative sans audience et sans droit d</w:t>
      </w:r>
      <w:r>
        <w:rPr>
          <w:rFonts w:cs="Times New Roman"/>
          <w:lang w:val="fr-CA"/>
        </w:rPr>
        <w:t>’</w:t>
      </w:r>
      <w:r w:rsidRPr="00CB18F4">
        <w:rPr>
          <w:rFonts w:cs="Times New Roman"/>
          <w:lang w:val="fr-CA"/>
        </w:rPr>
        <w:t>appel.</w:t>
      </w:r>
    </w:p>
    <w:p w:rsidR="00520294" w:rsidRPr="00CB18F4" w:rsidRDefault="00520294" w:rsidP="00987CB6">
      <w:pPr>
        <w:pStyle w:val="Title1LevelTitre1Niveau-AltL"/>
        <w:widowControl w:val="0"/>
        <w:rPr>
          <w:rFonts w:cs="Times New Roman"/>
          <w:lang w:val="fr-CA"/>
        </w:rPr>
      </w:pPr>
      <w:r w:rsidRPr="00CB18F4">
        <w:rPr>
          <w:rFonts w:cs="Times New Roman"/>
          <w:lang w:val="fr-CA"/>
        </w:rPr>
        <w:t>Dispositif</w:t>
      </w:r>
    </w:p>
    <w:p w:rsidR="00520294" w:rsidRPr="00CB18F4" w:rsidRDefault="00520294" w:rsidP="00987CB6">
      <w:pPr>
        <w:pStyle w:val="ParaNoNdepar-AltN"/>
        <w:widowControl w:val="0"/>
        <w:rPr>
          <w:rFonts w:cs="Times New Roman"/>
          <w:lang w:val="fr-CA"/>
        </w:rPr>
      </w:pPr>
      <w:r w:rsidRPr="00CB18F4">
        <w:rPr>
          <w:rFonts w:cs="Times New Roman"/>
          <w:lang w:val="fr-CA"/>
        </w:rPr>
        <w:lastRenderedPageBreak/>
        <w:t>Je suis d</w:t>
      </w:r>
      <w:r>
        <w:rPr>
          <w:rFonts w:cs="Times New Roman"/>
          <w:lang w:val="fr-CA"/>
        </w:rPr>
        <w:t>’</w:t>
      </w:r>
      <w:r w:rsidRPr="00CB18F4">
        <w:rPr>
          <w:rFonts w:cs="Times New Roman"/>
          <w:lang w:val="fr-CA"/>
        </w:rPr>
        <w:t>avis de rejeter le pourvoi, avec dépens devant toutes les cours en faveur</w:t>
      </w:r>
      <w:r w:rsidR="00780DBF">
        <w:rPr>
          <w:rFonts w:cs="Times New Roman"/>
          <w:lang w:val="fr-CA"/>
        </w:rPr>
        <w:t xml:space="preserve"> de L</w:t>
      </w:r>
      <w:r w:rsidR="00170CC6">
        <w:rPr>
          <w:rFonts w:cs="Times New Roman"/>
          <w:lang w:val="fr-CA"/>
        </w:rPr>
        <w:t>a Société</w:t>
      </w:r>
      <w:r w:rsidRPr="00CB18F4">
        <w:rPr>
          <w:rFonts w:cs="Times New Roman"/>
          <w:lang w:val="fr-CA"/>
        </w:rPr>
        <w:t xml:space="preserve"> du Barreau du Manitoba. </w:t>
      </w:r>
    </w:p>
    <w:p w:rsidR="00520294" w:rsidRPr="002B0AB8" w:rsidRDefault="002B0AB8" w:rsidP="00987CB6">
      <w:pPr>
        <w:pStyle w:val="JudgeJuge"/>
        <w:widowControl w:val="0"/>
        <w:spacing w:before="480"/>
        <w:rPr>
          <w:smallCaps w:val="0"/>
          <w:lang w:val="fr-CA"/>
        </w:rPr>
      </w:pPr>
      <w:r>
        <w:rPr>
          <w:smallCaps w:val="0"/>
          <w:lang w:val="fr-CA"/>
        </w:rPr>
        <w:tab/>
      </w:r>
      <w:r w:rsidR="00520294" w:rsidRPr="002B0AB8">
        <w:rPr>
          <w:smallCaps w:val="0"/>
          <w:lang w:val="fr-CA"/>
        </w:rPr>
        <w:t>Version française des motifs des juges Abella et Côté rendus par</w:t>
      </w:r>
    </w:p>
    <w:p w:rsidR="00520294" w:rsidRPr="00F91C52" w:rsidRDefault="002B0AB8" w:rsidP="00987CB6">
      <w:pPr>
        <w:pStyle w:val="ParaNoNdepar-AltN"/>
        <w:widowControl w:val="0"/>
        <w:tabs>
          <w:tab w:val="clear" w:pos="1166"/>
          <w:tab w:val="num" w:pos="1152"/>
        </w:tabs>
        <w:rPr>
          <w:rFonts w:cs="Times New Roman"/>
          <w:lang w:val="fr-CA"/>
        </w:rPr>
      </w:pPr>
      <w:r w:rsidRPr="002B0AB8">
        <w:rPr>
          <w:smallCaps/>
          <w:lang w:val="fr-CA"/>
        </w:rPr>
        <w:t>La juge Abella</w:t>
      </w:r>
      <w:r w:rsidRPr="00F91C52">
        <w:rPr>
          <w:lang w:val="fr-CA"/>
        </w:rPr>
        <w:t xml:space="preserve"> </w:t>
      </w:r>
      <w:r>
        <w:rPr>
          <w:lang w:val="fr-CA"/>
        </w:rPr>
        <w:t xml:space="preserve">(dissidente) </w:t>
      </w:r>
      <w:r w:rsidRPr="00F91C52">
        <w:rPr>
          <w:lang w:val="fr-CA"/>
        </w:rPr>
        <w:t xml:space="preserve">— </w:t>
      </w:r>
      <w:r w:rsidR="00520294" w:rsidRPr="00F91C52">
        <w:rPr>
          <w:rFonts w:cs="Times New Roman"/>
          <w:lang w:val="fr-CA"/>
        </w:rPr>
        <w:t>Les sanctions dont est passible au Manitoba un avocat reconnu coupable d’une faute professionnelle ou d’incompétence vont de la réprimande ou de l’amende jusqu’à la suspension ou la radiation. Par ailleurs, un avocat qui omet de compléter les 12 heures de Perfectionnement Professionnel Permanent obligatoire au cours d’une année civile est automatiquement suspendu.</w:t>
      </w:r>
    </w:p>
    <w:p w:rsidR="00520294" w:rsidRPr="00F91C52" w:rsidRDefault="00780DBF" w:rsidP="00987CB6">
      <w:pPr>
        <w:pStyle w:val="ParaNoNdepar-AltN"/>
        <w:widowControl w:val="0"/>
        <w:tabs>
          <w:tab w:val="clear" w:pos="1166"/>
          <w:tab w:val="num" w:pos="1152"/>
        </w:tabs>
        <w:rPr>
          <w:rFonts w:cs="Times New Roman"/>
          <w:lang w:val="fr-CA"/>
        </w:rPr>
      </w:pPr>
      <w:r>
        <w:rPr>
          <w:rFonts w:cs="Times New Roman"/>
          <w:lang w:val="fr-CA"/>
        </w:rPr>
        <w:t>Je reconnais que L</w:t>
      </w:r>
      <w:r w:rsidR="00520294" w:rsidRPr="00F91C52">
        <w:rPr>
          <w:rFonts w:cs="Times New Roman"/>
          <w:lang w:val="fr-CA"/>
        </w:rPr>
        <w:t xml:space="preserve">a Société du Barreau du Manitoba a le pouvoir d’obliger ses membres à suivre </w:t>
      </w:r>
      <w:r w:rsidR="00520294">
        <w:rPr>
          <w:rFonts w:cs="Times New Roman"/>
          <w:lang w:val="fr-CA"/>
        </w:rPr>
        <w:t xml:space="preserve">12 heures de </w:t>
      </w:r>
      <w:r w:rsidR="00520294" w:rsidRPr="00F91C52">
        <w:rPr>
          <w:rFonts w:cs="Times New Roman"/>
          <w:lang w:val="fr-CA"/>
        </w:rPr>
        <w:t xml:space="preserve">cours obligatoires de Perfectionnement Professionnel Permanent. Je reconnais également qu’elle a, en théorie, le pouvoir de suspendre les membres qui ne respectent pas les exigences applicables à cet égard. Mais ni l’une ni l’autre de ces questions ne sont au cœur du présent pourvoi.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La véritable question concerne plutôt le caractère raisonnable de la règle de la Société du Barreau portant que les membres qui ne se conforment pas à ces exigences sont </w:t>
      </w:r>
      <w:r w:rsidRPr="00F91C52">
        <w:rPr>
          <w:rFonts w:cs="Times New Roman"/>
          <w:i/>
          <w:lang w:val="fr-CA"/>
        </w:rPr>
        <w:t xml:space="preserve">automatiquement </w:t>
      </w:r>
      <w:r w:rsidRPr="00F91C52">
        <w:rPr>
          <w:rFonts w:cs="Times New Roman"/>
          <w:lang w:val="fr-CA"/>
        </w:rPr>
        <w:t>suspendus. À mon humble avis, cette situation est incompatible avec le mandat qui a été confié à la Société du Barreau, à savoir protéger la confiance du public envers la profession juridique, parce qu’elle érode gratuitement — et donc déraisonnablement — la confiance du public envers les avocats.</w:t>
      </w:r>
    </w:p>
    <w:p w:rsidR="00520294" w:rsidRPr="00F91C52" w:rsidRDefault="00520294" w:rsidP="00987CB6">
      <w:pPr>
        <w:pStyle w:val="ParaNoNdepar-AltN"/>
        <w:widowControl w:val="0"/>
        <w:numPr>
          <w:ilvl w:val="0"/>
          <w:numId w:val="0"/>
        </w:numPr>
        <w:rPr>
          <w:rFonts w:cs="Times New Roman"/>
          <w:u w:val="single"/>
          <w:lang w:val="fr-CA"/>
        </w:rPr>
      </w:pPr>
      <w:r w:rsidRPr="00F91C52">
        <w:rPr>
          <w:rFonts w:cs="Times New Roman"/>
          <w:u w:val="single"/>
          <w:lang w:val="fr-CA"/>
        </w:rPr>
        <w:lastRenderedPageBreak/>
        <w:t>Analyse</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Dans la panoplie des sanctions disciplinaires dont dispose la Société du Barreau, la suspension constitue l’une des deux plus sévères, la sanction ultime étant la radiation. Lorsqu’un avocat est suspendu, la confiance du public à son endroit l’est également. C’est la raison pour la</w:t>
      </w:r>
      <w:r w:rsidR="002B0AB8">
        <w:rPr>
          <w:rFonts w:cs="Times New Roman"/>
          <w:lang w:val="fr-CA"/>
        </w:rPr>
        <w:t>quell</w:t>
      </w:r>
      <w:r w:rsidR="00780DBF">
        <w:rPr>
          <w:rFonts w:cs="Times New Roman"/>
          <w:lang w:val="fr-CA"/>
        </w:rPr>
        <w:t>e L</w:t>
      </w:r>
      <w:r w:rsidRPr="00F91C52">
        <w:rPr>
          <w:rFonts w:cs="Times New Roman"/>
          <w:lang w:val="fr-CA"/>
        </w:rPr>
        <w:t xml:space="preserve">a Société du Barreau du Manitoba enquête avec autant de soin sur les plaintes concernant une faute professionnelle ou une allégation d’incompétence, veillant ainsi à n’imposer une suspension qu’après avoir accordé certaines garanties procédurales minimales, et après avoir envisagé des sanctions moins sévères.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Lorsqu’une suspension est infligée au terme d’un tel processus, la perte de confiance du public en résultant est alors justifiée. Cependant, lorsqu’une suspension est imposée automatiquement à l’égard de l’infraction la moins grave qui soit — le défaut de suivre des activités de formation —, la Société du Barreau contrevient à son obligation de protéger la confiance du public envers le professionnalisme des avocats contre une érosion inutile.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Infliger automatiquement une des sanctions les plus sévères qui soit entraîne automatiquement l’opprobre du public pour la faute professionnelle la moins grave qui existe. Une telle mesure dilapide la confiance du public sans aucune raison valable. Une sanction pour défaut d’assister à des activités de formation? Peut</w:t>
      </w:r>
      <w:r w:rsidRPr="00F91C52">
        <w:rPr>
          <w:rFonts w:cs="Times New Roman"/>
          <w:lang w:val="fr-CA"/>
        </w:rPr>
        <w:noBreakHyphen/>
        <w:t xml:space="preserve">être. Mais pas une suspension dans tous les cas, sans égard aux motifs de l’inobservation.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lastRenderedPageBreak/>
        <w:t>Les barreaux ont adopté des règles et des sanctions pour maintenir le professionnalisme de leurs membres et faire respecter par ceux</w:t>
      </w:r>
      <w:r w:rsidRPr="00F91C52">
        <w:rPr>
          <w:rFonts w:cs="Times New Roman"/>
          <w:lang w:val="fr-CA"/>
        </w:rPr>
        <w:noBreakHyphen/>
        <w:t xml:space="preserve">ci leurs obligations à cet égard, mais ils ne peuvent pas adopter </w:t>
      </w:r>
      <w:r w:rsidRPr="00F91C52">
        <w:rPr>
          <w:rFonts w:cs="Times New Roman"/>
          <w:i/>
          <w:lang w:val="fr-CA"/>
        </w:rPr>
        <w:t>n’importe quelle</w:t>
      </w:r>
      <w:r w:rsidRPr="00F91C52">
        <w:rPr>
          <w:rFonts w:cs="Times New Roman"/>
          <w:lang w:val="fr-CA"/>
        </w:rPr>
        <w:t xml:space="preserve"> règle. Ils ne peuvent adopter que des règles conformes à l’objet, au champ d’application et aux objectifs de leur loi habilitante (Donald J. M. Brown et John M. Evans, avec le concours de David Fairlie, </w:t>
      </w:r>
      <w:r w:rsidRPr="00F91C52">
        <w:rPr>
          <w:rFonts w:cs="Times New Roman"/>
          <w:i/>
          <w:lang w:val="fr-CA"/>
        </w:rPr>
        <w:t xml:space="preserve">Judicial Review of Administrative Action in Canada </w:t>
      </w:r>
      <w:r w:rsidRPr="00F91C52">
        <w:rPr>
          <w:rFonts w:cs="Times New Roman"/>
          <w:lang w:val="fr-CA"/>
        </w:rPr>
        <w:t xml:space="preserve">(feuilles mobiles), rubrique 15:3261).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Dans </w:t>
      </w:r>
      <w:r w:rsidRPr="00F91C52">
        <w:rPr>
          <w:rFonts w:cs="Times New Roman"/>
          <w:i/>
          <w:lang w:val="fr-CA"/>
        </w:rPr>
        <w:t>Catalyst Paper Corp. c. North Cowichan (District)</w:t>
      </w:r>
      <w:r w:rsidRPr="00F91C52">
        <w:rPr>
          <w:rFonts w:cs="Times New Roman"/>
          <w:lang w:val="fr-CA"/>
        </w:rPr>
        <w:t>,</w:t>
      </w:r>
      <w:r w:rsidRPr="00F91C52">
        <w:rPr>
          <w:rFonts w:cs="Times New Roman"/>
          <w:i/>
          <w:lang w:val="fr-CA"/>
        </w:rPr>
        <w:t xml:space="preserve"> </w:t>
      </w:r>
      <w:r w:rsidRPr="00F91C52">
        <w:rPr>
          <w:rFonts w:cs="Times New Roman"/>
          <w:lang w:val="fr-CA"/>
        </w:rPr>
        <w:t>[2012] 1 R.C.S. 5, la juge en chef</w:t>
      </w:r>
      <w:r w:rsidRPr="00F91C52">
        <w:rPr>
          <w:rFonts w:cs="Times New Roman"/>
          <w:i/>
          <w:lang w:val="fr-CA"/>
        </w:rPr>
        <w:t xml:space="preserve"> </w:t>
      </w:r>
      <w:r w:rsidRPr="00F91C52">
        <w:rPr>
          <w:rFonts w:cs="Times New Roman"/>
          <w:lang w:val="fr-CA"/>
        </w:rPr>
        <w:t>McLachlin a expliqué qu’un tel pouvoir doit être exercé « de manière raisonnable » (par. 15).</w:t>
      </w:r>
      <w:r w:rsidRPr="00F91C52">
        <w:rPr>
          <w:rFonts w:cs="Times New Roman"/>
          <w:b/>
          <w:lang w:val="fr-CA"/>
        </w:rPr>
        <w:t xml:space="preserve"> </w:t>
      </w:r>
      <w:r w:rsidRPr="00F91C52">
        <w:rPr>
          <w:rFonts w:cs="Times New Roman"/>
          <w:lang w:val="fr-CA"/>
        </w:rPr>
        <w:t xml:space="preserve">Ce raisonnement a trouvé écho dans </w:t>
      </w:r>
      <w:r w:rsidRPr="00F91C52">
        <w:rPr>
          <w:rFonts w:cs="Times New Roman"/>
          <w:i/>
          <w:lang w:val="fr-CA"/>
        </w:rPr>
        <w:t>Katz Group Ca</w:t>
      </w:r>
      <w:r w:rsidR="002B0AB8">
        <w:rPr>
          <w:rFonts w:cs="Times New Roman"/>
          <w:i/>
          <w:lang w:val="fr-CA"/>
        </w:rPr>
        <w:t>nada Inc. c. Ontario (Santé et S</w:t>
      </w:r>
      <w:r w:rsidRPr="00F91C52">
        <w:rPr>
          <w:rFonts w:cs="Times New Roman"/>
          <w:i/>
          <w:lang w:val="fr-CA"/>
        </w:rPr>
        <w:t>oins de longue durée)</w:t>
      </w:r>
      <w:r w:rsidRPr="00F91C52">
        <w:rPr>
          <w:rFonts w:cs="Times New Roman"/>
          <w:lang w:val="fr-CA"/>
        </w:rPr>
        <w:t xml:space="preserve">, [2013] 3 R.C.S. 810, où la Cour, par. 24, citant </w:t>
      </w:r>
      <w:r w:rsidRPr="00F91C52">
        <w:rPr>
          <w:rFonts w:cs="Times New Roman"/>
          <w:i/>
          <w:lang w:val="fr-CA"/>
        </w:rPr>
        <w:t xml:space="preserve">Waddell c. Governor in Council </w:t>
      </w:r>
      <w:r w:rsidRPr="00F91C52">
        <w:rPr>
          <w:rFonts w:cs="Times New Roman"/>
          <w:lang w:val="fr-CA"/>
        </w:rPr>
        <w:t>(1983), 8 Admin. L.R. 266 (C.S.</w:t>
      </w:r>
      <w:r w:rsidR="006A2D10">
        <w:rPr>
          <w:rFonts w:cs="Times New Roman"/>
          <w:lang w:val="fr-CA"/>
        </w:rPr>
        <w:t xml:space="preserve"> </w:t>
      </w:r>
      <w:r w:rsidRPr="00F91C52">
        <w:rPr>
          <w:rFonts w:cs="Times New Roman"/>
          <w:lang w:val="fr-CA"/>
        </w:rPr>
        <w:t>C.</w:t>
      </w:r>
      <w:r w:rsidRPr="00F91C52">
        <w:rPr>
          <w:rFonts w:cs="Times New Roman"/>
          <w:lang w:val="fr-CA"/>
        </w:rPr>
        <w:noBreakHyphen/>
        <w:t xml:space="preserve">B.), p. 292, a confirmé que la législation déléguée doit être conforme à l’objet de la loi habilitante « prise dans son ensemble ».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Je reconnais que l’arrêt </w:t>
      </w:r>
      <w:r w:rsidRPr="00F91C52">
        <w:rPr>
          <w:rFonts w:cs="Times New Roman"/>
          <w:i/>
          <w:lang w:val="fr-CA"/>
        </w:rPr>
        <w:t>Katz</w:t>
      </w:r>
      <w:r w:rsidRPr="00F91C52">
        <w:rPr>
          <w:rFonts w:cs="Times New Roman"/>
          <w:lang w:val="fr-CA"/>
        </w:rPr>
        <w:t xml:space="preserve"> suggère une approche empreinte de déférence lors de l’examen de la législation déléguée contestée, mais la liste d’adjectifs énumérés au par. 28 n’est pas exhaustive. Comme l’énonce l’arrêt </w:t>
      </w:r>
      <w:r w:rsidRPr="00F91C52">
        <w:rPr>
          <w:rFonts w:cs="Times New Roman"/>
          <w:i/>
          <w:lang w:val="fr-CA"/>
        </w:rPr>
        <w:t>Catalyst</w:t>
      </w:r>
      <w:r w:rsidR="002B0AB8">
        <w:rPr>
          <w:rFonts w:cs="Times New Roman"/>
          <w:i/>
          <w:lang w:val="fr-CA"/>
        </w:rPr>
        <w:t xml:space="preserve"> Paper</w:t>
      </w:r>
      <w:r w:rsidRPr="00F91C52">
        <w:rPr>
          <w:rFonts w:cs="Times New Roman"/>
          <w:lang w:val="fr-CA"/>
        </w:rPr>
        <w:t xml:space="preserve">, par. 21, il existe en effet d’autres fondements pour conclure au caractère déraisonnable de la législation déléguée, tels ceux auxquels réfère l’arrêt </w:t>
      </w:r>
      <w:r w:rsidRPr="00F91C52">
        <w:rPr>
          <w:rFonts w:cs="Times New Roman"/>
          <w:i/>
          <w:lang w:val="fr-CA"/>
        </w:rPr>
        <w:t>Kruse c. Johnson</w:t>
      </w:r>
      <w:r w:rsidRPr="00F91C52">
        <w:rPr>
          <w:rFonts w:cs="Times New Roman"/>
          <w:lang w:val="fr-CA"/>
        </w:rPr>
        <w:t>, [1898] 2 Q.B. 91 (</w:t>
      </w:r>
      <w:r w:rsidR="00170CC6">
        <w:rPr>
          <w:rFonts w:cs="Times New Roman"/>
          <w:lang w:val="fr-CA"/>
        </w:rPr>
        <w:t>Div. Ct.</w:t>
      </w:r>
      <w:r w:rsidRPr="00F91C52">
        <w:rPr>
          <w:rFonts w:cs="Times New Roman"/>
          <w:lang w:val="fr-CA"/>
        </w:rPr>
        <w:t>), p. 99, où Lord Russell s’est exprimé comme suit :</w:t>
      </w:r>
    </w:p>
    <w:p w:rsidR="00520294" w:rsidRPr="00F91C52" w:rsidRDefault="00130BBF" w:rsidP="00987CB6">
      <w:pPr>
        <w:pStyle w:val="Citation-AltC"/>
        <w:widowControl w:val="0"/>
        <w:ind w:hanging="1166"/>
        <w:contextualSpacing w:val="0"/>
        <w:rPr>
          <w:lang w:val="fr-CA"/>
        </w:rPr>
      </w:pPr>
      <w:r>
        <w:rPr>
          <w:lang w:val="fr-CA"/>
        </w:rPr>
        <w:tab/>
      </w:r>
      <w:r w:rsidRPr="00F91C52">
        <w:rPr>
          <w:lang w:val="fr-CA"/>
        </w:rPr>
        <w:t>[</w:t>
      </w:r>
      <w:r w:rsidRPr="00F91C52">
        <w:rPr>
          <w:smallCaps/>
          <w:lang w:val="fr-CA"/>
        </w:rPr>
        <w:t>traduction</w:t>
      </w:r>
      <w:r w:rsidRPr="00F91C52">
        <w:rPr>
          <w:lang w:val="fr-CA"/>
        </w:rPr>
        <w:t>]</w:t>
      </w:r>
      <w:r>
        <w:rPr>
          <w:lang w:val="fr-CA"/>
        </w:rPr>
        <w:t xml:space="preserve"> . . .</w:t>
      </w:r>
      <w:r w:rsidR="00520294" w:rsidRPr="00F91C52">
        <w:rPr>
          <w:lang w:val="fr-CA"/>
        </w:rPr>
        <w:t xml:space="preserve"> je ne veux pas dire qu’il ne peut y avoir de cas où la </w:t>
      </w:r>
      <w:r w:rsidR="00520294" w:rsidRPr="00F91C52">
        <w:rPr>
          <w:lang w:val="fr-CA"/>
        </w:rPr>
        <w:lastRenderedPageBreak/>
        <w:t>Cour aurait le devoir d’invalider des règlements, pris en vertu du même pouvoir que ceux</w:t>
      </w:r>
      <w:r w:rsidR="00520294" w:rsidRPr="00F91C52">
        <w:rPr>
          <w:lang w:val="fr-CA"/>
        </w:rPr>
        <w:noBreakHyphen/>
        <w:t xml:space="preserve">ci l’ont été, en se fondant sur leur </w:t>
      </w:r>
      <w:r>
        <w:rPr>
          <w:lang w:val="fr-CA"/>
        </w:rPr>
        <w:t>caractère déraisonnable. [. . .]</w:t>
      </w:r>
      <w:r w:rsidR="00520294" w:rsidRPr="00F91C52">
        <w:rPr>
          <w:lang w:val="fr-CA"/>
        </w:rPr>
        <w:t xml:space="preserve"> On peut penser, par exemple, à des règlements partiaux et d’application inégale pour des catégories distinctes, à des règlements </w:t>
      </w:r>
      <w:r w:rsidR="00520294" w:rsidRPr="00F91C52">
        <w:rPr>
          <w:i/>
          <w:lang w:val="fr-CA"/>
        </w:rPr>
        <w:t>manifestement injustes</w:t>
      </w:r>
      <w:r w:rsidR="00520294" w:rsidRPr="00F91C52">
        <w:rPr>
          <w:lang w:val="fr-CA"/>
        </w:rPr>
        <w:t>.</w:t>
      </w:r>
      <w:r w:rsidR="00520294" w:rsidRPr="00F91C52">
        <w:rPr>
          <w:i/>
          <w:lang w:val="fr-CA"/>
        </w:rPr>
        <w:t xml:space="preserve"> </w:t>
      </w:r>
      <w:r>
        <w:rPr>
          <w:i/>
          <w:lang w:val="fr-CA"/>
        </w:rPr>
        <w:t xml:space="preserve">. . </w:t>
      </w:r>
      <w:r w:rsidR="00520294" w:rsidRPr="00F91C52">
        <w:rPr>
          <w:lang w:val="fr-CA"/>
        </w:rPr>
        <w:t>[Je souligne.]</w:t>
      </w:r>
    </w:p>
    <w:p w:rsidR="00520294" w:rsidRPr="00F91C52" w:rsidRDefault="00520294" w:rsidP="00987CB6">
      <w:pPr>
        <w:pStyle w:val="ContinueParaSuitedupar-AltP"/>
        <w:widowControl w:val="0"/>
        <w:rPr>
          <w:rFonts w:cs="Times New Roman"/>
          <w:lang w:val="fr-CA"/>
        </w:rPr>
      </w:pPr>
      <w:r w:rsidRPr="00F91C52">
        <w:rPr>
          <w:rFonts w:cs="Times New Roman"/>
          <w:lang w:val="fr-CA"/>
        </w:rPr>
        <w:t xml:space="preserve">La Cour l’a confirmé dans </w:t>
      </w:r>
      <w:r w:rsidRPr="00F91C52">
        <w:rPr>
          <w:rFonts w:cs="Times New Roman"/>
          <w:i/>
          <w:lang w:val="fr-CA"/>
        </w:rPr>
        <w:t>Catalyst</w:t>
      </w:r>
      <w:r w:rsidR="00130BBF">
        <w:rPr>
          <w:rFonts w:cs="Times New Roman"/>
          <w:i/>
          <w:lang w:val="fr-CA"/>
        </w:rPr>
        <w:t xml:space="preserve"> Paper</w:t>
      </w:r>
      <w:r w:rsidRPr="00F91C52">
        <w:rPr>
          <w:rFonts w:cs="Times New Roman"/>
          <w:lang w:val="fr-CA"/>
        </w:rPr>
        <w:t xml:space="preserve"> lorsqu’elle a précisé que « [l]e fait qu’il faille faire preuve d’une grande retenue [. . .] ne signifie pas [que le délégué a] carte blanche » (par. 24). C’est le mandat « dans son ensemble » qui guide l’analyse.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Ce mandat général, tel que l’a décrit la Cour dans </w:t>
      </w:r>
      <w:r w:rsidRPr="00F91C52">
        <w:rPr>
          <w:rFonts w:cs="Times New Roman"/>
          <w:i/>
          <w:lang w:val="fr-CA"/>
        </w:rPr>
        <w:t>Barreau du Nouveau</w:t>
      </w:r>
      <w:r w:rsidRPr="00F91C52">
        <w:rPr>
          <w:rFonts w:cs="Times New Roman"/>
          <w:i/>
          <w:lang w:val="fr-CA"/>
        </w:rPr>
        <w:noBreakHyphen/>
        <w:t>Brunswick c. Ryan</w:t>
      </w:r>
      <w:r w:rsidRPr="00F91C52">
        <w:rPr>
          <w:rFonts w:cs="Times New Roman"/>
          <w:lang w:val="fr-CA"/>
        </w:rPr>
        <w:t>, [2003] 1 R.C.S. 247, consiste à protéger « </w:t>
      </w:r>
      <w:r w:rsidR="00130BBF">
        <w:rPr>
          <w:rFonts w:cs="Times New Roman"/>
          <w:lang w:val="fr-CA"/>
        </w:rPr>
        <w:t xml:space="preserve">[l]es </w:t>
      </w:r>
      <w:r w:rsidRPr="00F91C52">
        <w:rPr>
          <w:rFonts w:cs="Times New Roman"/>
          <w:lang w:val="fr-CA"/>
        </w:rPr>
        <w:t xml:space="preserve">intérêts du public » (par. 36). </w:t>
      </w:r>
      <w:r w:rsidRPr="00F91C52">
        <w:rPr>
          <w:rFonts w:cs="Times New Roman"/>
          <w:lang w:val="en-US"/>
        </w:rPr>
        <w:t xml:space="preserve">(Voir aussi </w:t>
      </w:r>
      <w:r w:rsidRPr="00F91C52">
        <w:rPr>
          <w:rFonts w:cs="Times New Roman"/>
          <w:i/>
          <w:lang w:val="en-US"/>
        </w:rPr>
        <w:t>Law Society of British Columbia c. Mangat</w:t>
      </w:r>
      <w:r w:rsidRPr="00F91C52">
        <w:rPr>
          <w:rFonts w:cs="Times New Roman"/>
          <w:lang w:val="en-US"/>
        </w:rPr>
        <w:t xml:space="preserve">, [2001] 3 R.C.S. 113, par. 41.) </w:t>
      </w:r>
      <w:r w:rsidRPr="00F91C52">
        <w:rPr>
          <w:rFonts w:cs="Times New Roman"/>
          <w:lang w:val="fr-CA"/>
        </w:rPr>
        <w:t>Au Manitoba, la Société du Barreau a pour objet « de défendre et de protéger l’intérêt public relativement à la prestation de services juridiques d’une manière compétente, intègre et indépendante »</w:t>
      </w:r>
      <w:r w:rsidRPr="00130BBF">
        <w:rPr>
          <w:rStyle w:val="Hyperlink"/>
          <w:u w:val="none"/>
          <w:vertAlign w:val="superscript"/>
        </w:rPr>
        <w:footnoteReference w:id="2"/>
      </w:r>
      <w:r w:rsidRPr="00F91C52">
        <w:rPr>
          <w:rFonts w:cs="Times New Roman"/>
          <w:lang w:val="fr-CA"/>
        </w:rPr>
        <w:t xml:space="preserve">. Il s’agit là des valeurs fondamentales du professionnalisme de l’avocat. La protection de l’intérêt public emporte non seulement l’obligation de veiller à ce que les avocats fournissent des services juridiques conformément à ces valeurs, mais également celle de protéger la </w:t>
      </w:r>
      <w:r w:rsidRPr="00F91C52">
        <w:rPr>
          <w:rFonts w:cs="Times New Roman"/>
          <w:i/>
          <w:lang w:val="fr-CA"/>
        </w:rPr>
        <w:t>perception</w:t>
      </w:r>
      <w:r w:rsidRPr="00F91C52">
        <w:rPr>
          <w:rFonts w:cs="Times New Roman"/>
          <w:lang w:val="fr-CA"/>
        </w:rPr>
        <w:t xml:space="preserve"> de professionnalisme de ces services au sein du public. Les services doivent non seulement être fournis avec professionnalisme, ils doivent également être perçus comme étant fournis de la sorte.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Par conséquent, les barreaux représentent — et protègent — les valeurs </w:t>
      </w:r>
      <w:r w:rsidR="005938CB">
        <w:rPr>
          <w:rFonts w:cs="Times New Roman"/>
          <w:lang w:val="fr-CA"/>
        </w:rPr>
        <w:lastRenderedPageBreak/>
        <w:t>fondamentales de la profession juridique</w:t>
      </w:r>
      <w:r w:rsidRPr="00F91C52">
        <w:rPr>
          <w:rFonts w:cs="Times New Roman"/>
          <w:lang w:val="fr-CA"/>
        </w:rPr>
        <w:t xml:space="preserve">. Ils représentent — et protègent — aussi la confiance qu’a le public que ces valeurs guideront le travail des avocats qui les servent. Bien que l’objectif premier d’une société du barreau soit la protection de l’intérêt public, elle ne saurait réaliser cet objectif sans protéger également la capacité de ses membres à exercer le droit de manière professionnelle. Comme l’a affirmé le juge Estey dans </w:t>
      </w:r>
      <w:r w:rsidRPr="00F91C52">
        <w:rPr>
          <w:rFonts w:cs="Times New Roman"/>
          <w:i/>
          <w:lang w:val="fr-CA"/>
        </w:rPr>
        <w:t>Canada (Procureur général) c. Law Society of British Columbia</w:t>
      </w:r>
      <w:r w:rsidRPr="00F91C52">
        <w:rPr>
          <w:rFonts w:cs="Times New Roman"/>
          <w:lang w:val="fr-CA"/>
        </w:rPr>
        <w:t>,</w:t>
      </w:r>
      <w:r w:rsidRPr="00F91C52">
        <w:rPr>
          <w:rFonts w:cs="Times New Roman"/>
          <w:i/>
          <w:lang w:val="fr-CA"/>
        </w:rPr>
        <w:t xml:space="preserve"> </w:t>
      </w:r>
      <w:r w:rsidRPr="00F91C52">
        <w:rPr>
          <w:rFonts w:cs="Times New Roman"/>
          <w:lang w:val="fr-CA"/>
        </w:rPr>
        <w:t xml:space="preserve">[1982] 2 R.C.S. 307 : </w:t>
      </w:r>
    </w:p>
    <w:p w:rsidR="00520294" w:rsidRPr="00F91C52" w:rsidRDefault="00520294" w:rsidP="00987CB6">
      <w:pPr>
        <w:pStyle w:val="Citation-AltC"/>
        <w:widowControl w:val="0"/>
        <w:spacing w:after="480"/>
        <w:ind w:hanging="1166"/>
        <w:contextualSpacing w:val="0"/>
        <w:rPr>
          <w:lang w:val="en-US"/>
        </w:rPr>
      </w:pPr>
      <w:r w:rsidRPr="00F91C52">
        <w:rPr>
          <w:lang w:val="fr-CA"/>
        </w:rPr>
        <w:tab/>
        <w:t>Du point de vue de l’intérêt public dans une société libre, il est des plus importants que les membres du barreau soient indépendants, impartiaux et accessibles et que le grand public ait, par leur intermédiaire, accès aux conseils et aux services juridiques en général. </w:t>
      </w:r>
      <w:r w:rsidRPr="00F91C52">
        <w:rPr>
          <w:lang w:val="en-US"/>
        </w:rPr>
        <w:t>[p. 336]</w:t>
      </w:r>
      <w:r w:rsidRPr="00F91C52">
        <w:rPr>
          <w:i/>
          <w:lang w:val="en-US"/>
        </w:rPr>
        <w:t xml:space="preserve"> </w:t>
      </w:r>
    </w:p>
    <w:p w:rsidR="00520294" w:rsidRPr="00F91C52" w:rsidRDefault="00130BBF" w:rsidP="00987CB6">
      <w:pPr>
        <w:pStyle w:val="ContinueParaSuitedupar-AltP"/>
        <w:widowControl w:val="0"/>
        <w:spacing w:line="240" w:lineRule="auto"/>
        <w:rPr>
          <w:rFonts w:cs="Times New Roman"/>
          <w:lang w:val="fr-CA"/>
        </w:rPr>
      </w:pPr>
      <w:r>
        <w:rPr>
          <w:rFonts w:cs="Times New Roman"/>
          <w:lang w:val="en-US"/>
        </w:rPr>
        <w:t>(Voir aussi Gavin</w:t>
      </w:r>
      <w:r w:rsidR="00520294" w:rsidRPr="00F91C52">
        <w:rPr>
          <w:rFonts w:cs="Times New Roman"/>
          <w:lang w:val="en-US"/>
        </w:rPr>
        <w:t xml:space="preserve"> MacKenzie, </w:t>
      </w:r>
      <w:r w:rsidR="00520294" w:rsidRPr="00F91C52">
        <w:rPr>
          <w:rFonts w:cs="Times New Roman"/>
          <w:i/>
          <w:lang w:val="en-US"/>
        </w:rPr>
        <w:t>Lawyers and Ethics</w:t>
      </w:r>
      <w:r>
        <w:rPr>
          <w:rFonts w:cs="Times New Roman"/>
          <w:i/>
          <w:lang w:val="en-US"/>
        </w:rPr>
        <w:t xml:space="preserve"> </w:t>
      </w:r>
      <w:r w:rsidR="00520294" w:rsidRPr="00F91C52">
        <w:rPr>
          <w:rFonts w:cs="Times New Roman"/>
          <w:i/>
          <w:lang w:val="en-US"/>
        </w:rPr>
        <w:t xml:space="preserve">: Professional Responsibility and </w:t>
      </w:r>
      <w:r w:rsidR="00520294" w:rsidRPr="00F91C52">
        <w:rPr>
          <w:rFonts w:cs="Times New Roman"/>
          <w:i/>
          <w:lang w:val="fr-CA"/>
        </w:rPr>
        <w:t>Discipline</w:t>
      </w:r>
      <w:r w:rsidR="00520294" w:rsidRPr="00F91C52">
        <w:rPr>
          <w:rFonts w:cs="Times New Roman"/>
          <w:lang w:val="fr-CA"/>
        </w:rPr>
        <w:t xml:space="preserve"> (5</w:t>
      </w:r>
      <w:r w:rsidR="00520294" w:rsidRPr="00F91C52">
        <w:rPr>
          <w:rFonts w:cs="Times New Roman"/>
          <w:vertAlign w:val="superscript"/>
          <w:lang w:val="fr-CA"/>
        </w:rPr>
        <w:t>e</w:t>
      </w:r>
      <w:r w:rsidR="00520294" w:rsidRPr="00F91C52">
        <w:rPr>
          <w:rFonts w:cs="Times New Roman"/>
          <w:lang w:val="fr-CA"/>
        </w:rPr>
        <w:t xml:space="preserve"> éd. 2009), par. 27</w:t>
      </w:r>
      <w:r w:rsidR="00520294" w:rsidRPr="00F91C52">
        <w:rPr>
          <w:rFonts w:cs="Times New Roman"/>
          <w:lang w:val="fr-CA"/>
        </w:rPr>
        <w:noBreakHyphen/>
        <w:t xml:space="preserve">2.)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En conséquence, les barreaux doivent s’acquitter de leur mandat d’une manière qui non seulement protège la capacité des avocats d’agir de façon professionnelle, mais qui renforce aussi, au sein du public, la perception que les avocats </w:t>
      </w:r>
      <w:r w:rsidRPr="00F91C52">
        <w:rPr>
          <w:rFonts w:cs="Times New Roman"/>
          <w:i/>
          <w:lang w:val="fr-CA"/>
        </w:rPr>
        <w:t>se comportent</w:t>
      </w:r>
      <w:r w:rsidRPr="00F91C52">
        <w:rPr>
          <w:rFonts w:cs="Times New Roman"/>
          <w:lang w:val="fr-CA"/>
        </w:rPr>
        <w:t xml:space="preserve"> de telle façon. Corollairement, cela signifie que les barreaux ne peuvent adopter des règles qui érodent de manière déraisonnable la confiance du public envers les avocats.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Et pourtant, c’est exactement ce qui se produit lorsqu’un avocat au Manitoba ne se conforme pas aux exigences relatives à la période de 12 heures de formation obligatoire.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lastRenderedPageBreak/>
        <w:t>Ces exigences, définies comme étant des « </w:t>
      </w:r>
      <w:r w:rsidR="00130BBF">
        <w:rPr>
          <w:rFonts w:cs="Times New Roman"/>
          <w:lang w:val="fr-CA"/>
        </w:rPr>
        <w:t>[</w:t>
      </w:r>
      <w:r w:rsidRPr="00F91C52">
        <w:rPr>
          <w:rFonts w:cs="Times New Roman"/>
          <w:lang w:val="fr-CA"/>
        </w:rPr>
        <w:t>a</w:t>
      </w:r>
      <w:r w:rsidR="00130BBF">
        <w:rPr>
          <w:rFonts w:cs="Times New Roman"/>
          <w:lang w:val="fr-CA"/>
        </w:rPr>
        <w:t>]</w:t>
      </w:r>
      <w:r w:rsidRPr="00F91C52">
        <w:rPr>
          <w:rFonts w:cs="Times New Roman"/>
          <w:lang w:val="fr-CA"/>
        </w:rPr>
        <w:t xml:space="preserve">ctivités de formation qui protègent le public en augmentant la </w:t>
      </w:r>
      <w:r w:rsidRPr="00F91C52">
        <w:rPr>
          <w:rFonts w:cs="Times New Roman"/>
          <w:i/>
          <w:lang w:val="fr-CA"/>
        </w:rPr>
        <w:t>compétence</w:t>
      </w:r>
      <w:r w:rsidRPr="00F91C52">
        <w:rPr>
          <w:rFonts w:cs="Times New Roman"/>
          <w:lang w:val="fr-CA"/>
        </w:rPr>
        <w:t>, l’intégrité et la responsabilité professionnelle des avocats »</w:t>
      </w:r>
      <w:r w:rsidRPr="00A35D9D">
        <w:rPr>
          <w:rStyle w:val="Hyperlink"/>
          <w:u w:val="none"/>
          <w:vertAlign w:val="superscript"/>
        </w:rPr>
        <w:footnoteReference w:id="3"/>
      </w:r>
      <w:r w:rsidRPr="00F91C52">
        <w:rPr>
          <w:rFonts w:cs="Times New Roman"/>
          <w:lang w:val="fr-CA"/>
        </w:rPr>
        <w:t xml:space="preserve">, visent à accroître la compétence des avocats et ont été établies en application de l’al. 3(2)a) de la </w:t>
      </w:r>
      <w:r w:rsidRPr="00F91C52">
        <w:rPr>
          <w:rFonts w:cs="Times New Roman"/>
          <w:i/>
          <w:lang w:val="fr-CA"/>
        </w:rPr>
        <w:t>Loi sur la profession d’avocat</w:t>
      </w:r>
      <w:r w:rsidRPr="00F91C52">
        <w:rPr>
          <w:rFonts w:cs="Times New Roman"/>
          <w:lang w:val="fr-CA"/>
        </w:rPr>
        <w:t>, C.P.L.M., c. L107 (« Loi »)</w:t>
      </w:r>
      <w:r w:rsidR="008208FB">
        <w:rPr>
          <w:rFonts w:cs="Times New Roman"/>
          <w:lang w:val="fr-CA"/>
        </w:rPr>
        <w:t>,</w:t>
      </w:r>
      <w:r w:rsidRPr="00F91C52">
        <w:rPr>
          <w:rFonts w:cs="Times New Roman"/>
          <w:lang w:val="fr-CA"/>
        </w:rPr>
        <w:t xml:space="preserve"> du Manitoba, lequel est rédigé ainsi : </w:t>
      </w:r>
    </w:p>
    <w:p w:rsidR="00520294" w:rsidRPr="00F91C52" w:rsidRDefault="00520294" w:rsidP="00987CB6">
      <w:pPr>
        <w:pStyle w:val="Citation-AltC"/>
        <w:widowControl w:val="0"/>
        <w:spacing w:after="240"/>
        <w:ind w:hanging="1166"/>
        <w:contextualSpacing w:val="0"/>
        <w:rPr>
          <w:lang w:val="fr-CA"/>
        </w:rPr>
      </w:pPr>
      <w:r w:rsidRPr="00F91C52">
        <w:rPr>
          <w:b/>
          <w:lang w:val="fr-CA"/>
        </w:rPr>
        <w:tab/>
        <w:t>3(2) </w:t>
      </w:r>
      <w:r w:rsidRPr="00F91C52">
        <w:rPr>
          <w:lang w:val="fr-CA"/>
        </w:rPr>
        <w:t>Dans la poursuite de son objet, la Société</w:t>
      </w:r>
      <w:r w:rsidR="00130BBF">
        <w:rPr>
          <w:lang w:val="fr-CA"/>
        </w:rPr>
        <w:t> :</w:t>
      </w:r>
    </w:p>
    <w:p w:rsidR="00520294" w:rsidRPr="00F91C52" w:rsidRDefault="00520294" w:rsidP="00987CB6">
      <w:pPr>
        <w:pStyle w:val="Citation-AltC"/>
        <w:widowControl w:val="0"/>
        <w:ind w:left="1440"/>
        <w:contextualSpacing w:val="0"/>
        <w:rPr>
          <w:lang w:val="fr-CA"/>
        </w:rPr>
      </w:pPr>
      <w:r w:rsidRPr="00F91C52">
        <w:rPr>
          <w:lang w:val="fr-CA"/>
        </w:rPr>
        <w:t xml:space="preserve">a) établit des normes régissant la formation, la responsabilité professionnelle et la </w:t>
      </w:r>
      <w:r w:rsidRPr="00F91C52">
        <w:rPr>
          <w:i/>
          <w:lang w:val="fr-CA"/>
        </w:rPr>
        <w:t>compétence</w:t>
      </w:r>
      <w:r w:rsidRPr="00F91C52">
        <w:rPr>
          <w:lang w:val="fr-CA"/>
        </w:rPr>
        <w:t xml:space="preserve"> des personnes qui exercent ou veulent exercer le droit dans la province;</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Lorsque le directeur général est informé qu’un avocat n’a pas complété la période de 12 heures de formation requise, il envoie à ce dernier une lettre l’informant qu’il dispose de 60 jours pour effectuer les heures manquantes. Cette lettre est envoyée automatiquement</w:t>
      </w:r>
      <w:r w:rsidRPr="00130BBF">
        <w:rPr>
          <w:rStyle w:val="Hyperlink"/>
          <w:u w:val="none"/>
          <w:vertAlign w:val="superscript"/>
        </w:rPr>
        <w:footnoteReference w:id="4"/>
      </w:r>
      <w:r w:rsidRPr="00F91C52">
        <w:rPr>
          <w:rFonts w:cs="Times New Roman"/>
          <w:lang w:val="fr-CA"/>
        </w:rPr>
        <w:t>, sans que des observations soient demandées ou acceptées de l’avocat en défaut. Le non</w:t>
      </w:r>
      <w:r w:rsidRPr="00F91C52">
        <w:rPr>
          <w:rFonts w:cs="Times New Roman"/>
          <w:lang w:val="fr-CA"/>
        </w:rPr>
        <w:noBreakHyphen/>
        <w:t>respect des exigences par cet avocat entraîne la suspension de son droit d’exercer sa profession</w:t>
      </w:r>
      <w:r w:rsidRPr="00130BBF">
        <w:rPr>
          <w:rStyle w:val="Hyperlink"/>
          <w:u w:val="none"/>
          <w:vertAlign w:val="superscript"/>
        </w:rPr>
        <w:footnoteReference w:id="5"/>
      </w:r>
      <w:r w:rsidRPr="00F91C52">
        <w:rPr>
          <w:rFonts w:cs="Times New Roman"/>
          <w:lang w:val="fr-CA"/>
        </w:rPr>
        <w:t xml:space="preserve">. </w:t>
      </w:r>
    </w:p>
    <w:p w:rsidR="00520294" w:rsidRPr="00F91C52" w:rsidRDefault="00520294" w:rsidP="00987CB6">
      <w:pPr>
        <w:pStyle w:val="ParaNoNdepar-AltN"/>
        <w:widowControl w:val="0"/>
        <w:tabs>
          <w:tab w:val="clear" w:pos="1166"/>
          <w:tab w:val="num" w:pos="1152"/>
        </w:tabs>
        <w:rPr>
          <w:rFonts w:cs="Times New Roman"/>
          <w:b/>
          <w:lang w:val="fr-CA"/>
        </w:rPr>
      </w:pPr>
      <w:r w:rsidRPr="00F91C52">
        <w:rPr>
          <w:rFonts w:cs="Times New Roman"/>
          <w:lang w:val="fr-CA"/>
        </w:rPr>
        <w:t xml:space="preserve">Le directeur général ne possède que les pouvoirs que lui confèrent la Loi et les </w:t>
      </w:r>
      <w:r w:rsidR="000D13FB">
        <w:rPr>
          <w:rFonts w:cs="Times New Roman"/>
          <w:i/>
          <w:lang w:val="fr-CA"/>
        </w:rPr>
        <w:t>Règles de l</w:t>
      </w:r>
      <w:r w:rsidRPr="00F91C52">
        <w:rPr>
          <w:rFonts w:cs="Times New Roman"/>
          <w:i/>
          <w:lang w:val="fr-CA"/>
        </w:rPr>
        <w:t>a Société du Barreau du Manitoba</w:t>
      </w:r>
      <w:r w:rsidRPr="00F91C52">
        <w:rPr>
          <w:rFonts w:cs="Times New Roman"/>
          <w:lang w:val="fr-CA"/>
        </w:rPr>
        <w:t xml:space="preserve"> (« Règles »)</w:t>
      </w:r>
      <w:r w:rsidRPr="00A35D9D">
        <w:rPr>
          <w:rStyle w:val="Hyperlink"/>
          <w:u w:val="none"/>
          <w:vertAlign w:val="superscript"/>
        </w:rPr>
        <w:footnoteReference w:id="6"/>
      </w:r>
      <w:r w:rsidRPr="00F91C52">
        <w:rPr>
          <w:rFonts w:cs="Times New Roman"/>
          <w:lang w:val="fr-CA"/>
        </w:rPr>
        <w:t xml:space="preserve">. Mis à part celui </w:t>
      </w:r>
      <w:r w:rsidRPr="00F91C52">
        <w:rPr>
          <w:rFonts w:cs="Times New Roman"/>
          <w:lang w:val="fr-CA"/>
        </w:rPr>
        <w:lastRenderedPageBreak/>
        <w:t>d’accorder plus de temps à l’avocat pour qu’il se conforme aux exigences relatives au Perfectionnement Professionnel Permanent, il ne dispose d’aucun pouvoir discrétionnaire l’habilitant à faire autre chose en vertu du par. 2</w:t>
      </w:r>
      <w:r w:rsidRPr="00F91C52">
        <w:rPr>
          <w:rFonts w:cs="Times New Roman"/>
          <w:lang w:val="fr-CA"/>
        </w:rPr>
        <w:noBreakHyphen/>
        <w:t>81.1(12) des Règles que suspendre automatiquement l’avocat :</w:t>
      </w:r>
    </w:p>
    <w:p w:rsidR="00520294" w:rsidRPr="00F91C52" w:rsidRDefault="00520294" w:rsidP="00987CB6">
      <w:pPr>
        <w:pStyle w:val="Citation-AltC"/>
        <w:widowControl w:val="0"/>
        <w:ind w:hanging="1166"/>
        <w:contextualSpacing w:val="0"/>
        <w:rPr>
          <w:b/>
          <w:lang w:val="fr-CA"/>
        </w:rPr>
      </w:pPr>
      <w:r w:rsidRPr="00F91C52">
        <w:rPr>
          <w:i/>
          <w:lang w:val="fr-CA"/>
        </w:rPr>
        <w:tab/>
        <w:t>L’avocat qui ne se conforme pas à ce paragraphe avant l’expiration du délai est automatiquement suspendu et ne peut exercer le droit avant de s’être conformé à ce paragraphe et d’avoir versé les droits de réinscription.</w:t>
      </w:r>
    </w:p>
    <w:p w:rsidR="00520294" w:rsidRPr="00F91C52" w:rsidRDefault="00520294" w:rsidP="00987CB6">
      <w:pPr>
        <w:pStyle w:val="ParaNoNdepar-AltN"/>
        <w:widowControl w:val="0"/>
        <w:tabs>
          <w:tab w:val="clear" w:pos="1166"/>
          <w:tab w:val="num" w:pos="1152"/>
        </w:tabs>
        <w:rPr>
          <w:rFonts w:cs="Times New Roman"/>
          <w:b/>
          <w:lang w:val="fr-CA"/>
        </w:rPr>
      </w:pPr>
      <w:r w:rsidRPr="00F91C52">
        <w:rPr>
          <w:rFonts w:cs="Times New Roman"/>
          <w:lang w:val="fr-CA"/>
        </w:rPr>
        <w:t>Il n’existe aucune exception ou dispense que pourrait invoquer un avocat qui, pour des raisons personnelles ou de santé par exemple, serait incapable de se conformer aux exigences. Tout au plus, le directeur général peut, dans « des circonstances exceptionnelles »</w:t>
      </w:r>
      <w:r w:rsidRPr="00A35D9D">
        <w:rPr>
          <w:rStyle w:val="Hyperlink"/>
          <w:u w:val="none"/>
          <w:vertAlign w:val="superscript"/>
        </w:rPr>
        <w:footnoteReference w:id="7"/>
      </w:r>
      <w:r w:rsidRPr="00F91C52">
        <w:rPr>
          <w:rFonts w:cs="Times New Roman"/>
          <w:lang w:val="fr-CA"/>
        </w:rPr>
        <w:t>, permettre le « report » à l’année suivante des heures non accomplies. Toutefois, il ne peut y renoncer ou en réduire le nombre. Concrètement, cela se traduit par une suspension automatique, peu importe que l’avocat ait eu une raison impérieuse de ne pas se conformer aux exigences. Aucune mesure d’équité procédurale, aussi minimale soit</w:t>
      </w:r>
      <w:r w:rsidRPr="00F91C52">
        <w:rPr>
          <w:rFonts w:cs="Times New Roman"/>
          <w:lang w:val="fr-CA"/>
        </w:rPr>
        <w:noBreakHyphen/>
        <w:t xml:space="preserve">elle, n’est accordée — par exemple la faculté de fournir des explications. Et tous les avocats, sans égard aux circonstances, sont assujettis à la même sanction.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L’absence de pouvoir discrétionnaire, de mesures d’équité procédurale et de mesures réparatrices contraste nettement avec les mesures prévues par d’autres </w:t>
      </w:r>
      <w:r w:rsidRPr="00F91C52">
        <w:rPr>
          <w:rFonts w:cs="Times New Roman"/>
          <w:lang w:val="fr-CA"/>
        </w:rPr>
        <w:lastRenderedPageBreak/>
        <w:t>dispositions de la Loi ou des Règles qui tendent à la réalisation du mandat de la Société du Barreau énoncé au par. 3(2) de la Loi pour établir les normes de compétence pour les avocats. Contrairement à la suspension automatique qui s’applique en cas de manquement à l’obligation de compléter 12 heures par année d’« activités de formation », les garanties procédurales suivantes s’appliquent à tous les autres manquements liés à la « compétence » : l’avocat qui fait l’objet d’une enquête par suite d’une plainte reçoit un avis de la plainte formulée contre lui</w:t>
      </w:r>
      <w:r w:rsidRPr="00A35D9D">
        <w:rPr>
          <w:rStyle w:val="Hyperlink"/>
          <w:u w:val="none"/>
          <w:vertAlign w:val="superscript"/>
        </w:rPr>
        <w:footnoteReference w:id="8"/>
      </w:r>
      <w:r w:rsidRPr="00F91C52">
        <w:rPr>
          <w:rFonts w:cs="Times New Roman"/>
          <w:lang w:val="fr-CA"/>
        </w:rPr>
        <w:t>; il peut présenter une réponse écrite</w:t>
      </w:r>
      <w:r w:rsidRPr="00A35D9D">
        <w:rPr>
          <w:rStyle w:val="Hyperlink"/>
          <w:u w:val="none"/>
          <w:vertAlign w:val="superscript"/>
        </w:rPr>
        <w:footnoteReference w:id="9"/>
      </w:r>
      <w:r w:rsidRPr="00F91C52">
        <w:rPr>
          <w:rFonts w:cs="Times New Roman"/>
          <w:lang w:val="fr-CA"/>
        </w:rPr>
        <w:t>; et le directeur général peut tenter de régler la plainte à l’amiable</w:t>
      </w:r>
      <w:r w:rsidRPr="00A35D9D">
        <w:rPr>
          <w:rStyle w:val="Hyperlink"/>
          <w:u w:val="none"/>
          <w:vertAlign w:val="superscript"/>
        </w:rPr>
        <w:footnoteReference w:id="10"/>
      </w:r>
      <w:r w:rsidRPr="00F91C52">
        <w:rPr>
          <w:rFonts w:cs="Times New Roman"/>
          <w:lang w:val="fr-CA"/>
        </w:rPr>
        <w:t>. Celui</w:t>
      </w:r>
      <w:r w:rsidRPr="00F91C52">
        <w:rPr>
          <w:rFonts w:cs="Times New Roman"/>
          <w:lang w:val="fr-CA"/>
        </w:rPr>
        <w:noBreakHyphen/>
        <w:t>ci peut également décider de ne prendre aucune autre mesure, ou encore renvoyer l’affaire au Comité d’enquête sur les plaintes pour enquête plus approfondie</w:t>
      </w:r>
      <w:r w:rsidRPr="00A35D9D">
        <w:rPr>
          <w:rStyle w:val="Hyperlink"/>
          <w:u w:val="none"/>
          <w:vertAlign w:val="superscript"/>
        </w:rPr>
        <w:footnoteReference w:id="11"/>
      </w:r>
      <w:r w:rsidRPr="00F91C52">
        <w:rPr>
          <w:rFonts w:cs="Times New Roman"/>
          <w:lang w:val="fr-CA"/>
        </w:rPr>
        <w:t xml:space="preserve">.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Si le Comité d’enquête sur les plaintes est saisi de l’affaire, il peut inviter un membre à répondre par écrit aux faits allégués dans la plainte</w:t>
      </w:r>
      <w:r w:rsidRPr="00A35D9D">
        <w:rPr>
          <w:rStyle w:val="Hyperlink"/>
          <w:u w:val="none"/>
          <w:vertAlign w:val="superscript"/>
        </w:rPr>
        <w:footnoteReference w:id="12"/>
      </w:r>
      <w:r w:rsidRPr="00F91C52">
        <w:rPr>
          <w:rFonts w:cs="Times New Roman"/>
          <w:lang w:val="fr-CA"/>
        </w:rPr>
        <w:t xml:space="preserve"> ou à comparaître devant lui</w:t>
      </w:r>
      <w:r w:rsidRPr="00A35D9D">
        <w:rPr>
          <w:rStyle w:val="Hyperlink"/>
          <w:u w:val="none"/>
          <w:vertAlign w:val="superscript"/>
        </w:rPr>
        <w:footnoteReference w:id="13"/>
      </w:r>
      <w:r w:rsidRPr="00F91C52">
        <w:rPr>
          <w:rFonts w:cs="Times New Roman"/>
          <w:lang w:val="fr-CA"/>
        </w:rPr>
        <w:t>. Le comité peut décider de ne prendre aucune autre mesure, d’envoyer une lettre au membre pour lui rappeler ses obligations, de recommander au membre des mesures visant à lui permettre d’améliorer sa pratique, ou de délivrer un avertissement formel</w:t>
      </w:r>
      <w:r w:rsidRPr="006A2D10">
        <w:rPr>
          <w:rStyle w:val="Hyperlink"/>
          <w:u w:val="none"/>
          <w:vertAlign w:val="superscript"/>
        </w:rPr>
        <w:footnoteReference w:id="14"/>
      </w:r>
      <w:r w:rsidRPr="00F91C52">
        <w:rPr>
          <w:rFonts w:cs="Times New Roman"/>
          <w:lang w:val="fr-CA"/>
        </w:rPr>
        <w:t xml:space="preserve">. Le comité peut également ordonner qu’une accusation soit déposée contre le </w:t>
      </w:r>
      <w:r w:rsidRPr="00F91C52">
        <w:rPr>
          <w:rFonts w:cs="Times New Roman"/>
          <w:lang w:val="fr-CA"/>
        </w:rPr>
        <w:lastRenderedPageBreak/>
        <w:t>membre et renvoyée au Comité de discipline</w:t>
      </w:r>
      <w:r w:rsidRPr="00A35D9D">
        <w:rPr>
          <w:rStyle w:val="Hyperlink"/>
          <w:u w:val="none"/>
          <w:vertAlign w:val="superscript"/>
        </w:rPr>
        <w:footnoteReference w:id="15"/>
      </w:r>
      <w:r w:rsidRPr="00F91C52">
        <w:rPr>
          <w:rFonts w:cs="Times New Roman"/>
          <w:lang w:val="fr-CA"/>
        </w:rPr>
        <w:t>, et il peut suspendre le membre jusqu’à la fin de l’enquête et de toute procédure disciplinaire qui peut en résulter</w:t>
      </w:r>
      <w:r w:rsidRPr="00A35D9D">
        <w:rPr>
          <w:rStyle w:val="Hyperlink"/>
          <w:u w:val="none"/>
          <w:vertAlign w:val="superscript"/>
        </w:rPr>
        <w:footnoteReference w:id="16"/>
      </w:r>
      <w:r w:rsidRPr="00F91C52">
        <w:rPr>
          <w:rFonts w:cs="Times New Roman"/>
          <w:lang w:val="fr-CA"/>
        </w:rPr>
        <w:t xml:space="preserve">. Le membre qui fait l’objet d’une suspension à cette étape peut interjeter appel de cette décision devant un juge de la Cour du Banc de la Reine en vertu du par. 75(1) de la Loi.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Si une plainte liée à la compétence d’un membre est renvoyée devant le Comité de discipline, le membre a le droit d’être représenté par un avocat</w:t>
      </w:r>
      <w:r w:rsidRPr="00A35D9D">
        <w:rPr>
          <w:rStyle w:val="Hyperlink"/>
          <w:u w:val="none"/>
          <w:vertAlign w:val="superscript"/>
        </w:rPr>
        <w:footnoteReference w:id="17"/>
      </w:r>
      <w:r w:rsidRPr="00F91C52">
        <w:rPr>
          <w:rFonts w:cs="Times New Roman"/>
          <w:lang w:val="fr-CA"/>
        </w:rPr>
        <w:t>. Le par</w:t>
      </w:r>
      <w:r w:rsidR="00A35D9D">
        <w:rPr>
          <w:rFonts w:cs="Times New Roman"/>
          <w:lang w:val="fr-CA"/>
        </w:rPr>
        <w:t xml:space="preserve">agraphe </w:t>
      </w:r>
      <w:r w:rsidRPr="00F91C52">
        <w:rPr>
          <w:rFonts w:cs="Times New Roman"/>
          <w:lang w:val="fr-CA"/>
        </w:rPr>
        <w:t>72(2) de la Loi prévoit l’éventail des conséquences dont est passible un avocat déclaré incompétent par le Comité de discipline :</w:t>
      </w:r>
    </w:p>
    <w:p w:rsidR="00520294" w:rsidRPr="00F91C52" w:rsidRDefault="00520294" w:rsidP="00987CB6">
      <w:pPr>
        <w:pStyle w:val="Citation-AltC"/>
        <w:widowControl w:val="0"/>
        <w:spacing w:after="240"/>
        <w:ind w:hanging="1166"/>
        <w:contextualSpacing w:val="0"/>
        <w:rPr>
          <w:lang w:val="fr-CA"/>
        </w:rPr>
      </w:pPr>
      <w:r w:rsidRPr="00F91C52">
        <w:rPr>
          <w:lang w:val="fr-CA"/>
        </w:rPr>
        <w:tab/>
        <w:t>a) si le membre est avocat, le radier et ordonner que son nom soit rayé des tableaux de la Société;</w:t>
      </w:r>
    </w:p>
    <w:p w:rsidR="00520294" w:rsidRPr="00F91C52" w:rsidRDefault="00A35D9D" w:rsidP="00987CB6">
      <w:pPr>
        <w:pStyle w:val="Citation-AltC"/>
        <w:widowControl w:val="0"/>
        <w:spacing w:after="240"/>
        <w:ind w:hanging="1166"/>
        <w:contextualSpacing w:val="0"/>
        <w:jc w:val="center"/>
        <w:rPr>
          <w:lang w:val="fr-CA"/>
        </w:rPr>
      </w:pPr>
      <w:r>
        <w:rPr>
          <w:lang w:val="fr-CA"/>
        </w:rPr>
        <w:t>. . .</w:t>
      </w:r>
    </w:p>
    <w:p w:rsidR="00520294" w:rsidRPr="00F91C52" w:rsidRDefault="00520294" w:rsidP="00987CB6">
      <w:pPr>
        <w:pStyle w:val="Citation-AltC"/>
        <w:widowControl w:val="0"/>
        <w:spacing w:after="240"/>
        <w:ind w:hanging="1166"/>
        <w:contextualSpacing w:val="0"/>
        <w:rPr>
          <w:lang w:val="fr-CA"/>
        </w:rPr>
      </w:pPr>
      <w:r w:rsidRPr="00F91C52">
        <w:rPr>
          <w:lang w:val="fr-CA"/>
        </w:rPr>
        <w:tab/>
        <w:t xml:space="preserve">c) imposer au membre des restrictions relativement à l’exercice du droit ou confirmer ou modifier de telles restrictions </w:t>
      </w:r>
      <w:r w:rsidRPr="00F91C52">
        <w:rPr>
          <w:i/>
          <w:lang w:val="fr-CA"/>
        </w:rPr>
        <w:t>ou suspendre le membre</w:t>
      </w:r>
      <w:r w:rsidRPr="00F91C52">
        <w:rPr>
          <w:lang w:val="fr-CA"/>
        </w:rPr>
        <w:t>, jusqu’à ce que celui</w:t>
      </w:r>
      <w:r w:rsidRPr="00F91C52">
        <w:rPr>
          <w:lang w:val="fr-CA"/>
        </w:rPr>
        <w:noBreakHyphen/>
        <w:t>ci le convainque qu’il a les compétences voulues pour exercer le droit;</w:t>
      </w:r>
    </w:p>
    <w:p w:rsidR="00520294" w:rsidRPr="00F91C52" w:rsidRDefault="00520294" w:rsidP="00987CB6">
      <w:pPr>
        <w:pStyle w:val="Citation-AltC"/>
        <w:widowControl w:val="0"/>
        <w:spacing w:after="240"/>
        <w:ind w:hanging="1166"/>
        <w:contextualSpacing w:val="0"/>
        <w:rPr>
          <w:lang w:val="fr-CA"/>
        </w:rPr>
      </w:pPr>
      <w:r w:rsidRPr="00F91C52">
        <w:rPr>
          <w:lang w:val="fr-CA"/>
        </w:rPr>
        <w:tab/>
        <w:t>d) ordonner au membre de payer une amende;</w:t>
      </w:r>
    </w:p>
    <w:p w:rsidR="00520294" w:rsidRPr="00F91C52" w:rsidRDefault="00520294" w:rsidP="00987CB6">
      <w:pPr>
        <w:pStyle w:val="Citation-AltC"/>
        <w:widowControl w:val="0"/>
        <w:spacing w:after="240"/>
        <w:ind w:hanging="1166"/>
        <w:contextualSpacing w:val="0"/>
        <w:rPr>
          <w:lang w:val="fr-CA"/>
        </w:rPr>
      </w:pPr>
      <w:r w:rsidRPr="00F91C52">
        <w:rPr>
          <w:lang w:val="fr-CA"/>
        </w:rPr>
        <w:tab/>
        <w:t>e) ordonner au membre de payer tout ou partie des frais engagés par la Société à l’occasion de toute enquête, procédure ou instance relative à l’affaire ayant donné lieu à la déclaration de culpabilité;</w:t>
      </w:r>
    </w:p>
    <w:p w:rsidR="00520294" w:rsidRPr="00F91C52" w:rsidRDefault="00520294" w:rsidP="00987CB6">
      <w:pPr>
        <w:pStyle w:val="Citation-AltC"/>
        <w:widowControl w:val="0"/>
        <w:spacing w:after="240"/>
        <w:ind w:hanging="1166"/>
        <w:contextualSpacing w:val="0"/>
        <w:rPr>
          <w:lang w:val="fr-CA"/>
        </w:rPr>
      </w:pPr>
      <w:r w:rsidRPr="00F91C52">
        <w:rPr>
          <w:lang w:val="fr-CA"/>
        </w:rPr>
        <w:tab/>
        <w:t>f) réprimander le membre;</w:t>
      </w:r>
    </w:p>
    <w:p w:rsidR="00520294" w:rsidRPr="00F91C52" w:rsidRDefault="00520294" w:rsidP="00987CB6">
      <w:pPr>
        <w:pStyle w:val="Citation-AltC"/>
        <w:widowControl w:val="0"/>
        <w:spacing w:after="240"/>
        <w:ind w:hanging="1166"/>
        <w:contextualSpacing w:val="0"/>
        <w:rPr>
          <w:lang w:val="fr-CA"/>
        </w:rPr>
      </w:pPr>
      <w:r w:rsidRPr="00F91C52">
        <w:rPr>
          <w:lang w:val="fr-CA"/>
        </w:rPr>
        <w:tab/>
        <w:t>g) permettre au membre de démissionner et ordonner que son nom soit rayé des tableaux de la Société;</w:t>
      </w:r>
    </w:p>
    <w:p w:rsidR="00520294" w:rsidRPr="00F91C52" w:rsidRDefault="00520294" w:rsidP="00987CB6">
      <w:pPr>
        <w:pStyle w:val="Citation-AltC"/>
        <w:widowControl w:val="0"/>
        <w:spacing w:after="240"/>
        <w:ind w:hanging="1166"/>
        <w:contextualSpacing w:val="0"/>
        <w:rPr>
          <w:lang w:val="fr-CA"/>
        </w:rPr>
      </w:pPr>
      <w:r w:rsidRPr="00F91C52">
        <w:rPr>
          <w:lang w:val="fr-CA"/>
        </w:rPr>
        <w:tab/>
        <w:t xml:space="preserve">h) si le membre est administrateur, dirigeant ou actionnaire d’un cabinet </w:t>
      </w:r>
      <w:r w:rsidRPr="00F91C52">
        <w:rPr>
          <w:lang w:val="fr-CA"/>
        </w:rPr>
        <w:lastRenderedPageBreak/>
        <w:t>d’avocats à responsabilité limitée, révoquer ou suspendre le permis du cabinet ou assortir ce permis de conditions;</w:t>
      </w:r>
    </w:p>
    <w:p w:rsidR="00520294" w:rsidRPr="00F91C52" w:rsidRDefault="00520294" w:rsidP="00987CB6">
      <w:pPr>
        <w:pStyle w:val="Citation-AltC"/>
        <w:widowControl w:val="0"/>
        <w:spacing w:after="240"/>
        <w:ind w:hanging="1166"/>
        <w:contextualSpacing w:val="0"/>
        <w:rPr>
          <w:lang w:val="fr-CA"/>
        </w:rPr>
      </w:pPr>
      <w:r w:rsidRPr="00F91C52">
        <w:rPr>
          <w:lang w:val="fr-CA"/>
        </w:rPr>
        <w:tab/>
        <w:t>i) ordonner au membre d’obtenir la formation et de se présenter aux examens qu’il estime indiqués ou de faire l’une de ces choses;</w:t>
      </w:r>
    </w:p>
    <w:p w:rsidR="00520294" w:rsidRPr="00F91C52" w:rsidRDefault="00520294" w:rsidP="00987CB6">
      <w:pPr>
        <w:pStyle w:val="Citation-AltC"/>
        <w:widowControl w:val="0"/>
        <w:spacing w:after="240"/>
        <w:ind w:hanging="1166"/>
        <w:contextualSpacing w:val="0"/>
        <w:rPr>
          <w:lang w:val="fr-CA"/>
        </w:rPr>
      </w:pPr>
      <w:r w:rsidRPr="00F91C52">
        <w:rPr>
          <w:lang w:val="fr-CA"/>
        </w:rPr>
        <w:tab/>
        <w:t>j) annuler ou modifier toute ordonnance rendue ou toute mesure prise en vertu du présent paragraphe;</w:t>
      </w:r>
    </w:p>
    <w:p w:rsidR="00520294" w:rsidRPr="00F91C52" w:rsidRDefault="00520294" w:rsidP="00987CB6">
      <w:pPr>
        <w:pStyle w:val="Citation-AltC"/>
        <w:widowControl w:val="0"/>
        <w:ind w:hanging="1166"/>
        <w:contextualSpacing w:val="0"/>
        <w:rPr>
          <w:lang w:val="fr-CA"/>
        </w:rPr>
      </w:pPr>
      <w:r w:rsidRPr="00F91C52">
        <w:rPr>
          <w:lang w:val="fr-CA"/>
        </w:rPr>
        <w:tab/>
        <w:t>k) rendre toute autre ordonnance ou prendre toute autre mesure qu’il estime indiquée dans les circonstances.</w:t>
      </w:r>
    </w:p>
    <w:p w:rsidR="00520294" w:rsidRPr="00F91C52" w:rsidRDefault="00520294" w:rsidP="00987CB6">
      <w:pPr>
        <w:pStyle w:val="ContinueParaSuitedupar-AltP"/>
        <w:widowControl w:val="0"/>
        <w:rPr>
          <w:rFonts w:cs="Times New Roman"/>
          <w:lang w:val="fr-CA"/>
        </w:rPr>
      </w:pPr>
      <w:r w:rsidRPr="00F91C52">
        <w:rPr>
          <w:rFonts w:cs="Times New Roman"/>
          <w:lang w:val="fr-CA"/>
        </w:rPr>
        <w:t>Si le comité de discipline décide d’infliger à un membre, pour cause d’incompétence, une sanction prévue au par. 72(2), notamment une suspension, ce dernier a le droit d’interjeter appel de cette décision devant la Cour d’appel</w:t>
      </w:r>
      <w:r w:rsidRPr="006A2D10">
        <w:rPr>
          <w:rStyle w:val="Hyperlink"/>
          <w:u w:val="none"/>
          <w:vertAlign w:val="superscript"/>
        </w:rPr>
        <w:footnoteReference w:id="18"/>
      </w:r>
      <w:r w:rsidRPr="00F91C52">
        <w:rPr>
          <w:rFonts w:cs="Times New Roman"/>
          <w:lang w:val="fr-CA"/>
        </w:rPr>
        <w:t>.</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Il n’y a qu’une seule question liée à la « compétence » des membres et régie par la Société du Barreau qui n’est assortie d’</w:t>
      </w:r>
      <w:r w:rsidRPr="00F91C52">
        <w:rPr>
          <w:rFonts w:cs="Times New Roman"/>
          <w:i/>
          <w:lang w:val="fr-CA"/>
        </w:rPr>
        <w:t>aucune</w:t>
      </w:r>
      <w:r w:rsidRPr="00F91C52">
        <w:rPr>
          <w:rFonts w:cs="Times New Roman"/>
          <w:lang w:val="fr-CA"/>
        </w:rPr>
        <w:t xml:space="preserve"> garantie procédurale et d’aucun recours pour le membre, et d’aucune latitude en faveur du directeur général : le non</w:t>
      </w:r>
      <w:r w:rsidRPr="00F91C52">
        <w:rPr>
          <w:rFonts w:cs="Times New Roman"/>
          <w:lang w:val="fr-CA"/>
        </w:rPr>
        <w:noBreakHyphen/>
        <w:t>respect des exigences de Perfectionnement Professionnel Permanent. Bien qu’il soit difficile d’imaginer un manquement qui corresponde d’aussi près à un crime sans victimes, il est pourtant le seul qui entraîne automatiquement la perte de la capacité à exercer le droit. Lui seul entraîne une suspension automatique, sans égard à l’existence ou non de circonstances susceptibles de le justifier. Ces facteurs rendent la suspension arbitraire.</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Il convient de comparer cette situation avec les règlements intérieurs et les </w:t>
      </w:r>
      <w:r w:rsidRPr="00F91C52">
        <w:rPr>
          <w:rFonts w:cs="Times New Roman"/>
          <w:lang w:val="fr-CA"/>
        </w:rPr>
        <w:lastRenderedPageBreak/>
        <w:t xml:space="preserve">politiques de la plupart des autres barreaux provinciaux et territoriaux du Canada qui disposent de règles en matière de Perfectionnement Professionnel Permanent. Toutes ces mesures permettent expressément à l’organisme de réglementation concerné d’exercer un pouvoir discrétionnaire à l’égard d’un manquement aux exigences de Perfectionnement Professionnel Permanent lorsqu’une explication raisonnable justifie d’accorder une exemption ou une dispense. Ces barreaux offrent explicitement à leurs membres la possibilité d’être exempté ou dispensé des exigences de Perfectionnement Professionnel Permanent obligatoire.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Au Nouveau</w:t>
      </w:r>
      <w:r w:rsidRPr="00F91C52">
        <w:rPr>
          <w:rFonts w:cs="Times New Roman"/>
          <w:lang w:val="fr-CA"/>
        </w:rPr>
        <w:noBreakHyphen/>
        <w:t>Brunswick, les membres peuvent demander une dispense et, si elle leur est refusée, ils peuvent demander d’être entendus par le comité</w:t>
      </w:r>
      <w:r w:rsidRPr="00835A0C">
        <w:rPr>
          <w:rStyle w:val="Hyperlink"/>
          <w:u w:val="none"/>
          <w:vertAlign w:val="superscript"/>
        </w:rPr>
        <w:footnoteReference w:id="19"/>
      </w:r>
      <w:r w:rsidRPr="00F91C52">
        <w:rPr>
          <w:rFonts w:cs="Times New Roman"/>
          <w:lang w:val="fr-CA"/>
        </w:rPr>
        <w:t>. En Ontario, le Barreau du Haut</w:t>
      </w:r>
      <w:r w:rsidRPr="00F91C52">
        <w:rPr>
          <w:rFonts w:cs="Times New Roman"/>
          <w:lang w:val="fr-CA"/>
        </w:rPr>
        <w:noBreakHyphen/>
        <w:t>Canada peut dispenser un avocat des exigences de formation professionnelle continue obligatoire, ou réduire le nombre d’heures exigées</w:t>
      </w:r>
      <w:r w:rsidRPr="00835A0C">
        <w:rPr>
          <w:rStyle w:val="Hyperlink"/>
          <w:u w:val="none"/>
          <w:vertAlign w:val="superscript"/>
        </w:rPr>
        <w:footnoteReference w:id="20"/>
      </w:r>
      <w:r w:rsidRPr="00F91C52">
        <w:rPr>
          <w:rFonts w:cs="Times New Roman"/>
          <w:lang w:val="fr-CA"/>
        </w:rPr>
        <w:t>. Le directeur général du barreau de la Nouvelle</w:t>
      </w:r>
      <w:r w:rsidRPr="00F91C52">
        <w:rPr>
          <w:rFonts w:cs="Times New Roman"/>
          <w:lang w:val="fr-CA"/>
        </w:rPr>
        <w:noBreakHyphen/>
        <w:t>Écosse peut renoncer à l’application des exigences si une telle mesure est [</w:t>
      </w:r>
      <w:r w:rsidRPr="00F91C52">
        <w:rPr>
          <w:rFonts w:cs="Times New Roman"/>
          <w:smallCaps/>
          <w:lang w:val="fr-CA"/>
        </w:rPr>
        <w:t>traduction</w:t>
      </w:r>
      <w:r w:rsidRPr="00F91C52">
        <w:rPr>
          <w:rFonts w:cs="Times New Roman"/>
          <w:lang w:val="fr-CA"/>
        </w:rPr>
        <w:t>] « dans l’intérêt public »</w:t>
      </w:r>
      <w:r w:rsidRPr="00835A0C">
        <w:rPr>
          <w:rStyle w:val="Hyperlink"/>
          <w:u w:val="none"/>
          <w:vertAlign w:val="superscript"/>
        </w:rPr>
        <w:footnoteReference w:id="21"/>
      </w:r>
      <w:r w:rsidRPr="00F91C52">
        <w:rPr>
          <w:rFonts w:cs="Times New Roman"/>
          <w:lang w:val="fr-CA"/>
        </w:rPr>
        <w:t>. En Colombie</w:t>
      </w:r>
      <w:r w:rsidRPr="00F91C52">
        <w:rPr>
          <w:rFonts w:cs="Times New Roman"/>
          <w:lang w:val="fr-CA"/>
        </w:rPr>
        <w:noBreakHyphen/>
        <w:t>Britannique, s’il existe des [</w:t>
      </w:r>
      <w:r w:rsidRPr="00F91C52">
        <w:rPr>
          <w:rFonts w:cs="Times New Roman"/>
          <w:smallCaps/>
          <w:lang w:val="fr-CA"/>
        </w:rPr>
        <w:t>traduction</w:t>
      </w:r>
      <w:r w:rsidRPr="00F91C52">
        <w:rPr>
          <w:rFonts w:cs="Times New Roman"/>
          <w:lang w:val="fr-CA"/>
        </w:rPr>
        <w:t>] « circonstances particulières », un avocat peut demander au comité sur les normes de pratique d’exercer son pouvoir discrétionnaire afin d’ordonner qu’il ne soit pas suspendu</w:t>
      </w:r>
      <w:r w:rsidRPr="006A2D10">
        <w:rPr>
          <w:rStyle w:val="Hyperlink"/>
          <w:u w:val="none"/>
          <w:vertAlign w:val="superscript"/>
        </w:rPr>
        <w:footnoteReference w:id="22"/>
      </w:r>
      <w:r w:rsidRPr="00F91C52">
        <w:rPr>
          <w:rFonts w:cs="Times New Roman"/>
          <w:lang w:val="fr-CA"/>
        </w:rPr>
        <w:t xml:space="preserve">. En Saskatchewan, le directeur de la formation peut accorder une dispense dans des </w:t>
      </w:r>
      <w:r w:rsidRPr="00F91C52">
        <w:rPr>
          <w:rFonts w:cs="Times New Roman"/>
          <w:lang w:val="fr-CA"/>
        </w:rPr>
        <w:lastRenderedPageBreak/>
        <w:t>[</w:t>
      </w:r>
      <w:r w:rsidRPr="00F91C52">
        <w:rPr>
          <w:rFonts w:cs="Times New Roman"/>
          <w:smallCaps/>
          <w:lang w:val="fr-CA"/>
        </w:rPr>
        <w:t>traduction</w:t>
      </w:r>
      <w:r w:rsidRPr="00F91C52">
        <w:rPr>
          <w:rFonts w:cs="Times New Roman"/>
          <w:lang w:val="fr-CA"/>
        </w:rPr>
        <w:t>] « circonstances exceptionnelles »</w:t>
      </w:r>
      <w:r w:rsidRPr="00835A0C">
        <w:rPr>
          <w:rStyle w:val="Hyperlink"/>
          <w:u w:val="none"/>
          <w:vertAlign w:val="superscript"/>
        </w:rPr>
        <w:footnoteReference w:id="23"/>
      </w:r>
      <w:r w:rsidRPr="00F91C52">
        <w:rPr>
          <w:rFonts w:cs="Times New Roman"/>
          <w:lang w:val="fr-CA"/>
        </w:rPr>
        <w:t>. Au Québec, le règlement et les politiques relatives aux dispenses précisent les circonstances exceptionnelles qui permettent à un membre d’être « dispensé », et celles qui ne le permettent pas</w:t>
      </w:r>
      <w:r w:rsidRPr="00835A0C">
        <w:rPr>
          <w:rStyle w:val="Hyperlink"/>
          <w:u w:val="none"/>
          <w:vertAlign w:val="superscript"/>
        </w:rPr>
        <w:footnoteReference w:id="24"/>
      </w:r>
      <w:r w:rsidRPr="00F91C52">
        <w:rPr>
          <w:rFonts w:cs="Times New Roman"/>
          <w:lang w:val="fr-CA"/>
        </w:rPr>
        <w:t>. Les motifs de dispense admissibles comprennent notamment le congé parental; les motifs d’ordre médical, comme les accidents; le fait de devoir agir à titre d’aidant naturel; le fait de se trouver dans une zone sinistrée ou une zone de guerre et de ne pas être en mesure de participer à des séances de formation. Les motifs de dispense non admissibles comprennent le retour progressif suivant un arrêt de travail pour des raisons médicales; le travail à temps partiel; la précarité de la situation financière; une période de travail intensif; le fait d’être à l’extérieur du Québec pour des raisons professionnelles ou personnelles; le fait de ne pas pratiquer activement la profession juridique; le fait de ne pas être tenu de cotiser à l’assurance</w:t>
      </w:r>
      <w:r w:rsidRPr="00F91C52">
        <w:rPr>
          <w:rFonts w:cs="Times New Roman"/>
          <w:lang w:val="fr-CA"/>
        </w:rPr>
        <w:noBreakHyphen/>
        <w:t>responsabilité professionnelle; le fait d’être sans emploi; la prise d’une année sabbatique ou de vacances. Au Yukon, le président du comité de l’éducation juridique permanente « peut ordonner [. . .] que le membre ne soit pas suspendu »</w:t>
      </w:r>
      <w:r w:rsidRPr="00835A0C">
        <w:rPr>
          <w:rStyle w:val="Hyperlink"/>
          <w:u w:val="none"/>
          <w:vertAlign w:val="superscript"/>
        </w:rPr>
        <w:footnoteReference w:id="25"/>
      </w:r>
      <w:r w:rsidRPr="00F91C52">
        <w:rPr>
          <w:rFonts w:cs="Times New Roman"/>
          <w:lang w:val="fr-CA"/>
        </w:rPr>
        <w:t>.</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 xml:space="preserve">Il n’existe aucun pouvoir discrétionnaire de ce genre au Manitoba. À mon avis, l’absence d’un tel pouvoir est fatale. C’est aussi pourquoi il n’est pas possible de demander un contrôle judiciaire de la décision du directeur général. Le seul recours est </w:t>
      </w:r>
      <w:r w:rsidRPr="00F91C52">
        <w:rPr>
          <w:rFonts w:cs="Times New Roman"/>
          <w:lang w:val="fr-CA"/>
        </w:rPr>
        <w:lastRenderedPageBreak/>
        <w:t>une contestation du caractère raisonnable de la règle en tant que telle. Les conseillers pourraient, éventuellement, décider de changer l</w:t>
      </w:r>
      <w:r>
        <w:rPr>
          <w:rFonts w:cs="Times New Roman"/>
          <w:lang w:val="fr-CA"/>
        </w:rPr>
        <w:t>a</w:t>
      </w:r>
      <w:r w:rsidRPr="00F91C52">
        <w:rPr>
          <w:rFonts w:cs="Times New Roman"/>
          <w:lang w:val="fr-CA"/>
        </w:rPr>
        <w:t xml:space="preserve"> </w:t>
      </w:r>
      <w:r>
        <w:rPr>
          <w:rFonts w:cs="Times New Roman"/>
          <w:lang w:val="fr-CA"/>
        </w:rPr>
        <w:t>Rè</w:t>
      </w:r>
      <w:r w:rsidRPr="00F91C52">
        <w:rPr>
          <w:rFonts w:cs="Times New Roman"/>
          <w:lang w:val="fr-CA"/>
        </w:rPr>
        <w:t>gle</w:t>
      </w:r>
      <w:r>
        <w:rPr>
          <w:rFonts w:cs="Times New Roman"/>
          <w:lang w:val="fr-CA"/>
        </w:rPr>
        <w:t xml:space="preserve"> </w:t>
      </w:r>
      <w:r w:rsidRPr="00F91C52">
        <w:rPr>
          <w:rFonts w:cs="Times New Roman"/>
          <w:lang w:val="fr-CA"/>
        </w:rPr>
        <w:t>et d’accorder au directeur général ce pouvoir discrétionnaire, mais, pour le moment, aucun pouvoir de ce type ne lui a été délégué.</w:t>
      </w:r>
    </w:p>
    <w:p w:rsidR="00520294" w:rsidRPr="00F91C52" w:rsidRDefault="00520294" w:rsidP="00987CB6">
      <w:pPr>
        <w:pStyle w:val="ParaNoNdepar-AltN"/>
        <w:widowControl w:val="0"/>
        <w:tabs>
          <w:tab w:val="clear" w:pos="1166"/>
          <w:tab w:val="num" w:pos="1152"/>
        </w:tabs>
        <w:rPr>
          <w:rFonts w:cs="Times New Roman"/>
          <w:b/>
          <w:lang w:val="fr-CA"/>
        </w:rPr>
      </w:pPr>
      <w:r w:rsidRPr="00F91C52">
        <w:rPr>
          <w:rFonts w:cs="Times New Roman"/>
          <w:lang w:val="fr-CA"/>
        </w:rPr>
        <w:t>La Société du Barreau a fait valoir que la suspension imposée en cas de non</w:t>
      </w:r>
      <w:r w:rsidRPr="00F91C52">
        <w:rPr>
          <w:rFonts w:cs="Times New Roman"/>
          <w:lang w:val="fr-CA"/>
        </w:rPr>
        <w:noBreakHyphen/>
        <w:t xml:space="preserve">respect de l’obligation de Perfectionnement Professionnel Permanent a un caractère administratif, et non punitif et que, en conséquence, elle ne reflète pas l’incompétence du membre visé par la sanction. Le fait de dire que cette sanction n’a pas été infligée pour faute professionnelle ou incompétence « grave » n’a pas pour effet d’en atténuer la sévérité et de réconforter l’intéressé. Une suspension est une suspension, est une suspension. Comme l’a souligné lord Denning dans </w:t>
      </w:r>
      <w:r w:rsidRPr="00F91C52">
        <w:rPr>
          <w:rFonts w:cs="Times New Roman"/>
          <w:i/>
          <w:lang w:val="fr-CA"/>
        </w:rPr>
        <w:t>Pett c. Greyhound Racing Assn., Ltd.</w:t>
      </w:r>
      <w:r w:rsidRPr="00F91C52">
        <w:rPr>
          <w:rFonts w:cs="Times New Roman"/>
          <w:lang w:val="fr-CA"/>
        </w:rPr>
        <w:t>,</w:t>
      </w:r>
      <w:r w:rsidRPr="00F91C52">
        <w:rPr>
          <w:rFonts w:cs="Times New Roman"/>
          <w:i/>
          <w:lang w:val="fr-CA"/>
        </w:rPr>
        <w:t xml:space="preserve"> </w:t>
      </w:r>
      <w:r w:rsidRPr="00F91C52">
        <w:rPr>
          <w:rFonts w:cs="Times New Roman"/>
          <w:lang w:val="fr-CA"/>
        </w:rPr>
        <w:t>[1968] 2 All E.R. 545 (C.A. Div. Civ.), la décision de suspendre une personne ou de ne pas renouveler son permis d’exercer une profession [</w:t>
      </w:r>
      <w:r w:rsidRPr="00F91C52">
        <w:rPr>
          <w:rFonts w:cs="Times New Roman"/>
          <w:smallCaps/>
          <w:lang w:val="fr-CA"/>
        </w:rPr>
        <w:t>traduction</w:t>
      </w:r>
      <w:r w:rsidRPr="00F91C52">
        <w:rPr>
          <w:rFonts w:cs="Times New Roman"/>
          <w:lang w:val="fr-CA"/>
        </w:rPr>
        <w:t>] « affecte sa réputation et son gagne</w:t>
      </w:r>
      <w:r w:rsidRPr="00F91C52">
        <w:rPr>
          <w:rFonts w:cs="Times New Roman"/>
          <w:lang w:val="fr-CA"/>
        </w:rPr>
        <w:noBreakHyphen/>
        <w:t xml:space="preserve">pain » (p. 549). </w:t>
      </w:r>
      <w:r w:rsidRPr="00835A0C">
        <w:rPr>
          <w:rFonts w:cs="Times New Roman"/>
          <w:lang w:val="en-US"/>
        </w:rPr>
        <w:t xml:space="preserve">(Voir également </w:t>
      </w:r>
      <w:r w:rsidRPr="00835A0C">
        <w:rPr>
          <w:rFonts w:cs="Times New Roman"/>
          <w:i/>
          <w:lang w:val="en-US"/>
        </w:rPr>
        <w:t>Joplin c. Chief Constable of the City of Vancouver</w:t>
      </w:r>
      <w:r w:rsidRPr="00835A0C">
        <w:rPr>
          <w:rFonts w:cs="Times New Roman"/>
          <w:lang w:val="en-US"/>
        </w:rPr>
        <w:t xml:space="preserve"> (1982), 144 D.L.R.</w:t>
      </w:r>
      <w:r w:rsidR="00835A0C" w:rsidRPr="00835A0C">
        <w:rPr>
          <w:rFonts w:cs="Times New Roman"/>
          <w:lang w:val="en-US"/>
        </w:rPr>
        <w:t xml:space="preserve"> (3d) 285 (</w:t>
      </w:r>
      <w:r w:rsidR="0089519C">
        <w:rPr>
          <w:rFonts w:cs="Times New Roman"/>
          <w:lang w:val="en-US"/>
        </w:rPr>
        <w:t>C.S. C.-B.</w:t>
      </w:r>
      <w:r w:rsidR="00835A0C" w:rsidRPr="00835A0C">
        <w:rPr>
          <w:rFonts w:cs="Times New Roman"/>
          <w:lang w:val="en-US"/>
        </w:rPr>
        <w:t>), p. 298-</w:t>
      </w:r>
      <w:r w:rsidRPr="00835A0C">
        <w:rPr>
          <w:rFonts w:cs="Times New Roman"/>
          <w:lang w:val="en-US"/>
        </w:rPr>
        <w:t>299</w:t>
      </w:r>
      <w:r w:rsidR="00835A0C" w:rsidRPr="00835A0C">
        <w:rPr>
          <w:rFonts w:cs="Times New Roman"/>
          <w:lang w:val="en-US"/>
        </w:rPr>
        <w:t>.</w:t>
      </w:r>
      <w:r w:rsidRPr="00835A0C">
        <w:rPr>
          <w:rFonts w:cs="Times New Roman"/>
          <w:lang w:val="en-US"/>
        </w:rPr>
        <w:t xml:space="preserve">) </w:t>
      </w:r>
      <w:r w:rsidRPr="00F91C52">
        <w:rPr>
          <w:rFonts w:cs="Times New Roman"/>
          <w:lang w:val="fr-CA"/>
        </w:rPr>
        <w:t xml:space="preserve">C’est pourquoi, dans </w:t>
      </w:r>
      <w:r w:rsidRPr="00F91C52">
        <w:rPr>
          <w:rFonts w:cs="Times New Roman"/>
          <w:i/>
          <w:lang w:val="fr-CA"/>
        </w:rPr>
        <w:t>Kane c. Conseil d’administration de l’U</w:t>
      </w:r>
      <w:r w:rsidR="00835A0C">
        <w:rPr>
          <w:rFonts w:cs="Times New Roman"/>
          <w:i/>
          <w:lang w:val="fr-CA"/>
        </w:rPr>
        <w:t>niversité de la Colombie-Britannique</w:t>
      </w:r>
      <w:r w:rsidRPr="00F91C52">
        <w:rPr>
          <w:rFonts w:cs="Times New Roman"/>
          <w:lang w:val="fr-CA"/>
        </w:rPr>
        <w:t xml:space="preserve">, [1980] 1 R.C.S. 1105, le juge Dickson a conclu qu’« [u]ne justice de haute qualité est exigée lorsque le droit d’une personne d’exercer sa profession ou de garder son emploi est en jeu » (p. 1113). </w:t>
      </w:r>
    </w:p>
    <w:p w:rsidR="00520294" w:rsidRPr="00F91C52" w:rsidRDefault="00520294" w:rsidP="00987CB6">
      <w:pPr>
        <w:pStyle w:val="ParaNoNdepar-AltN"/>
        <w:widowControl w:val="0"/>
        <w:tabs>
          <w:tab w:val="clear" w:pos="1166"/>
          <w:tab w:val="num" w:pos="1152"/>
        </w:tabs>
        <w:rPr>
          <w:rFonts w:cs="Times New Roman"/>
          <w:b/>
          <w:lang w:val="fr-CA"/>
        </w:rPr>
      </w:pPr>
      <w:r w:rsidRPr="00F91C52">
        <w:rPr>
          <w:rFonts w:cs="Times New Roman"/>
          <w:lang w:val="fr-CA"/>
        </w:rPr>
        <w:t xml:space="preserve">La confiance des membres du public envers le professionnalisme d’un avocat est inévitablement érodée lorsqu’ils apprennent que ce dernier a été suspendu. </w:t>
      </w:r>
      <w:r w:rsidRPr="00F91C52">
        <w:rPr>
          <w:rFonts w:cs="Times New Roman"/>
          <w:lang w:val="fr-CA"/>
        </w:rPr>
        <w:lastRenderedPageBreak/>
        <w:t>La raison de cette suspension ne transforme pas par magie une conséquence de nature punitive en conséquence de nature administrative. Les incidences financières de la suspension sont évidentes. Il en est de même des incidences sur la réputation, compte tenu particulièrement du fait que le directeur général doit, en vertu des Règles, aviser les membres de la Société du Barreau, ainsi que les juges en chef des tribunaux au Manitoba, du nom du membre qui a été suspendu</w:t>
      </w:r>
      <w:r w:rsidRPr="00835A0C">
        <w:rPr>
          <w:rStyle w:val="Hyperlink"/>
          <w:u w:val="none"/>
          <w:vertAlign w:val="superscript"/>
        </w:rPr>
        <w:footnoteReference w:id="26"/>
      </w:r>
      <w:r w:rsidRPr="00F91C52">
        <w:rPr>
          <w:rFonts w:cs="Times New Roman"/>
          <w:lang w:val="fr-CA"/>
        </w:rPr>
        <w:t xml:space="preserve">. </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Bien qu’il soit essentiel de renforcer la compétence des avocats, il est tout aussi essentiel de soutenir la responsabilité qu’a la Société du Barreau de protéger la capacité des avocats de jouir de la confiance du public dans l’exercice de leur profession, ou, à tout le moins, de ne pas causer de manière injustifiée la perte de cette confiance. Or, un</w:t>
      </w:r>
      <w:r>
        <w:rPr>
          <w:rFonts w:cs="Times New Roman"/>
          <w:lang w:val="fr-CA"/>
        </w:rPr>
        <w:t>e</w:t>
      </w:r>
      <w:r w:rsidRPr="00F91C52">
        <w:rPr>
          <w:rFonts w:cs="Times New Roman"/>
          <w:lang w:val="fr-CA"/>
        </w:rPr>
        <w:t xml:space="preserve"> </w:t>
      </w:r>
      <w:r>
        <w:rPr>
          <w:rFonts w:cs="Times New Roman"/>
          <w:lang w:val="fr-CA"/>
        </w:rPr>
        <w:t>R</w:t>
      </w:r>
      <w:r w:rsidRPr="00F91C52">
        <w:rPr>
          <w:rFonts w:cs="Times New Roman"/>
          <w:lang w:val="fr-CA"/>
        </w:rPr>
        <w:t xml:space="preserve">ègle qui entraîne la suspension </w:t>
      </w:r>
      <w:r w:rsidRPr="00F91C52">
        <w:rPr>
          <w:rFonts w:cs="Times New Roman"/>
          <w:i/>
          <w:lang w:val="fr-CA"/>
        </w:rPr>
        <w:t>automatique</w:t>
      </w:r>
      <w:r w:rsidRPr="00F91C52">
        <w:rPr>
          <w:rFonts w:cs="Times New Roman"/>
          <w:lang w:val="fr-CA"/>
        </w:rPr>
        <w:t xml:space="preserve"> du permis d’exercice d’un avocat parce qu’il n’a pas suivi 12 heures de formation annuelle est si loin de garantir la confiance du public envers les avocats qu’</w:t>
      </w:r>
      <w:r w:rsidR="00284570">
        <w:rPr>
          <w:rFonts w:cs="Times New Roman"/>
          <w:lang w:val="fr-CA"/>
        </w:rPr>
        <w:t>elle</w:t>
      </w:r>
      <w:r w:rsidRPr="00F91C52">
        <w:rPr>
          <w:rFonts w:cs="Times New Roman"/>
          <w:lang w:val="fr-CA"/>
        </w:rPr>
        <w:t xml:space="preserve"> est « manifestement injuste ». </w:t>
      </w:r>
      <w:r w:rsidR="00284570">
        <w:rPr>
          <w:rFonts w:cs="Times New Roman"/>
          <w:lang w:val="fr-CA"/>
        </w:rPr>
        <w:t>Elle</w:t>
      </w:r>
      <w:r w:rsidRPr="00F91C52">
        <w:rPr>
          <w:rFonts w:cs="Times New Roman"/>
          <w:lang w:val="fr-CA"/>
        </w:rPr>
        <w:t xml:space="preserve"> est donc déraisonnable (</w:t>
      </w:r>
      <w:r w:rsidRPr="00F91C52">
        <w:rPr>
          <w:rFonts w:cs="Times New Roman"/>
          <w:i/>
          <w:lang w:val="fr-CA"/>
        </w:rPr>
        <w:t>Kruse</w:t>
      </w:r>
      <w:r w:rsidR="00835A0C">
        <w:rPr>
          <w:rFonts w:cs="Times New Roman"/>
          <w:lang w:val="fr-CA"/>
        </w:rPr>
        <w:t>, p. 99-</w:t>
      </w:r>
      <w:r w:rsidRPr="00F91C52">
        <w:rPr>
          <w:rFonts w:cs="Times New Roman"/>
          <w:lang w:val="fr-CA"/>
        </w:rPr>
        <w:t>100).</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Puisque le par. 2</w:t>
      </w:r>
      <w:r w:rsidRPr="00F91C52">
        <w:rPr>
          <w:rFonts w:cs="Times New Roman"/>
          <w:lang w:val="fr-CA"/>
        </w:rPr>
        <w:noBreakHyphen/>
        <w:t xml:space="preserve">81(12) des Règles érode de façon injustifiable la confiance du public envers les avocats touchés par son application, </w:t>
      </w:r>
      <w:r w:rsidR="004F1328">
        <w:rPr>
          <w:rFonts w:cs="Times New Roman"/>
          <w:lang w:val="fr-CA"/>
        </w:rPr>
        <w:t>il</w:t>
      </w:r>
      <w:r w:rsidRPr="00F91C52">
        <w:rPr>
          <w:rFonts w:cs="Times New Roman"/>
          <w:lang w:val="fr-CA"/>
        </w:rPr>
        <w:t xml:space="preserve"> est incompatible avec l’obligation de protection du public qui incombe à la Société du Barreau. Il est indéniablement dans l’intérêt du public que la Société du Barreau sanctionne les avocats coupables de manquements au professionnalisme; il n’est toutefois dans </w:t>
      </w:r>
      <w:r w:rsidRPr="00F91C52">
        <w:rPr>
          <w:rFonts w:cs="Times New Roman"/>
          <w:lang w:val="fr-CA"/>
        </w:rPr>
        <w:lastRenderedPageBreak/>
        <w:t>l’intérêt de personne de leur infliger arbitrairement une sanction.</w:t>
      </w:r>
    </w:p>
    <w:p w:rsidR="00520294" w:rsidRPr="00F91C52" w:rsidRDefault="00520294" w:rsidP="00987CB6">
      <w:pPr>
        <w:pStyle w:val="ParaNoNdepar-AltN"/>
        <w:widowControl w:val="0"/>
        <w:tabs>
          <w:tab w:val="clear" w:pos="1166"/>
          <w:tab w:val="num" w:pos="1152"/>
        </w:tabs>
        <w:rPr>
          <w:rFonts w:cs="Times New Roman"/>
          <w:lang w:val="fr-CA"/>
        </w:rPr>
      </w:pPr>
      <w:r w:rsidRPr="00F91C52">
        <w:rPr>
          <w:rFonts w:cs="Times New Roman"/>
          <w:lang w:val="fr-CA"/>
        </w:rPr>
        <w:t>J’accueillerais le pourvoi et j’infirmerais la Règle.</w:t>
      </w:r>
    </w:p>
    <w:p w:rsidR="004D7D95" w:rsidRPr="00AA33D3" w:rsidRDefault="004D7D95" w:rsidP="00987CB6">
      <w:pPr>
        <w:pStyle w:val="SCCNormalDoubleSpacing"/>
        <w:widowControl w:val="0"/>
        <w:spacing w:before="480" w:after="480"/>
        <w:rPr>
          <w:lang w:val="fr-CA"/>
        </w:rPr>
      </w:pPr>
      <w:r w:rsidRPr="00AA33D3">
        <w:rPr>
          <w:lang w:val="fr-CA"/>
        </w:rPr>
        <w:tab/>
      </w:r>
      <w:r w:rsidR="005504FC" w:rsidRPr="00AA33D3">
        <w:rPr>
          <w:i/>
          <w:lang w:val="fr-CA"/>
        </w:rPr>
        <w:t>Pourvoi</w:t>
      </w:r>
      <w:r w:rsidR="00892E0F" w:rsidRPr="00AA33D3">
        <w:rPr>
          <w:i/>
          <w:lang w:val="fr-CA"/>
        </w:rPr>
        <w:t xml:space="preserve"> rejeté</w:t>
      </w:r>
      <w:r w:rsidR="00FB4477">
        <w:rPr>
          <w:i/>
          <w:lang w:val="fr-CA"/>
        </w:rPr>
        <w:t xml:space="preserve"> avec dépens</w:t>
      </w:r>
      <w:r w:rsidR="00892E0F" w:rsidRPr="00AA33D3">
        <w:rPr>
          <w:i/>
          <w:lang w:val="fr-CA"/>
        </w:rPr>
        <w:t xml:space="preserve">, les juges </w:t>
      </w:r>
      <w:r w:rsidR="00892E0F" w:rsidRPr="00AA33D3">
        <w:rPr>
          <w:smallCaps/>
          <w:lang w:val="fr-CA"/>
        </w:rPr>
        <w:t>Abella</w:t>
      </w:r>
      <w:r w:rsidR="00892E0F" w:rsidRPr="00AA33D3">
        <w:rPr>
          <w:i/>
          <w:lang w:val="fr-CA"/>
        </w:rPr>
        <w:t xml:space="preserve"> et </w:t>
      </w:r>
      <w:r w:rsidR="00892E0F" w:rsidRPr="00AA33D3">
        <w:rPr>
          <w:smallCaps/>
          <w:lang w:val="fr-CA"/>
        </w:rPr>
        <w:t xml:space="preserve">Côté </w:t>
      </w:r>
      <w:r w:rsidR="00892E0F" w:rsidRPr="00AA33D3">
        <w:rPr>
          <w:i/>
          <w:lang w:val="fr-CA"/>
        </w:rPr>
        <w:t>sont dissidentes</w:t>
      </w:r>
      <w:r w:rsidR="002C2D76" w:rsidRPr="00AA33D3">
        <w:rPr>
          <w:i/>
          <w:lang w:val="fr-CA"/>
        </w:rPr>
        <w:t>.</w:t>
      </w:r>
    </w:p>
    <w:p w:rsidR="002C2D76" w:rsidRPr="00AA33D3" w:rsidRDefault="002C2D76" w:rsidP="00987CB6">
      <w:pPr>
        <w:pStyle w:val="SCCLawFirm"/>
        <w:widowControl w:val="0"/>
        <w:spacing w:before="480" w:after="480"/>
        <w:rPr>
          <w:lang w:val="fr-CA"/>
        </w:rPr>
      </w:pPr>
      <w:r w:rsidRPr="00AA33D3">
        <w:rPr>
          <w:lang w:val="fr-CA"/>
        </w:rPr>
        <w:tab/>
        <w:t>Procureurs de l</w:t>
      </w:r>
      <w:r w:rsidR="00AA33D3">
        <w:rPr>
          <w:lang w:val="fr-CA"/>
        </w:rPr>
        <w:t>’</w:t>
      </w:r>
      <w:r w:rsidRPr="00AA33D3">
        <w:rPr>
          <w:lang w:val="fr-CA"/>
        </w:rPr>
        <w:t>appelant</w:t>
      </w:r>
      <w:r w:rsidR="004425A5" w:rsidRPr="00AA33D3">
        <w:rPr>
          <w:lang w:val="fr-CA"/>
        </w:rPr>
        <w:t> :</w:t>
      </w:r>
      <w:r w:rsidR="00D4455D" w:rsidRPr="00AA33D3">
        <w:rPr>
          <w:lang w:val="fr-CA"/>
        </w:rPr>
        <w:t> </w:t>
      </w:r>
      <w:r w:rsidRPr="00AA33D3">
        <w:rPr>
          <w:lang w:val="fr-CA"/>
        </w:rPr>
        <w:t>Taylor McCaffrey, Winnipeg.</w:t>
      </w:r>
    </w:p>
    <w:p w:rsidR="002C2D76" w:rsidRPr="00AA33D3" w:rsidRDefault="002C2D76" w:rsidP="00987CB6">
      <w:pPr>
        <w:pStyle w:val="SCCLawFirm"/>
        <w:widowControl w:val="0"/>
        <w:spacing w:before="480" w:after="480"/>
        <w:rPr>
          <w:lang w:val="fr-CA"/>
        </w:rPr>
      </w:pPr>
      <w:r w:rsidRPr="00AA33D3">
        <w:rPr>
          <w:lang w:val="fr-CA"/>
        </w:rPr>
        <w:tab/>
        <w:t>Procureurs de l</w:t>
      </w:r>
      <w:r w:rsidR="00AA33D3">
        <w:rPr>
          <w:lang w:val="fr-CA"/>
        </w:rPr>
        <w:t>’</w:t>
      </w:r>
      <w:r w:rsidRPr="00AA33D3">
        <w:rPr>
          <w:lang w:val="fr-CA"/>
        </w:rPr>
        <w:t>intimée</w:t>
      </w:r>
      <w:r w:rsidR="004425A5" w:rsidRPr="00AA33D3">
        <w:rPr>
          <w:lang w:val="fr-CA"/>
        </w:rPr>
        <w:t> :</w:t>
      </w:r>
      <w:r w:rsidR="00D4455D" w:rsidRPr="00AA33D3">
        <w:rPr>
          <w:lang w:val="fr-CA"/>
        </w:rPr>
        <w:t> </w:t>
      </w:r>
      <w:r w:rsidRPr="00AA33D3">
        <w:rPr>
          <w:lang w:val="fr-CA"/>
        </w:rPr>
        <w:t>Société du Barreau du Manitoba, Winnipeg; Gowling WLG (Canada), Ottawa.</w:t>
      </w:r>
    </w:p>
    <w:p w:rsidR="002C2D76" w:rsidRPr="00AA33D3" w:rsidRDefault="002C2D76" w:rsidP="00987CB6">
      <w:pPr>
        <w:pStyle w:val="SCCLawFirm"/>
        <w:widowControl w:val="0"/>
        <w:spacing w:before="480" w:after="480"/>
        <w:rPr>
          <w:lang w:val="fr-CA"/>
        </w:rPr>
      </w:pPr>
      <w:r w:rsidRPr="00AA33D3">
        <w:rPr>
          <w:lang w:val="fr-CA"/>
        </w:rPr>
        <w:tab/>
        <w:t>Procureurs de l</w:t>
      </w:r>
      <w:r w:rsidR="00AA33D3">
        <w:rPr>
          <w:lang w:val="fr-CA"/>
        </w:rPr>
        <w:t>’</w:t>
      </w:r>
      <w:r w:rsidRPr="00AA33D3">
        <w:rPr>
          <w:lang w:val="fr-CA"/>
        </w:rPr>
        <w:t>intervenante</w:t>
      </w:r>
      <w:r w:rsidR="004425A5" w:rsidRPr="00AA33D3">
        <w:rPr>
          <w:lang w:val="fr-CA"/>
        </w:rPr>
        <w:t> :</w:t>
      </w:r>
      <w:r w:rsidR="00D4455D" w:rsidRPr="00AA33D3">
        <w:rPr>
          <w:lang w:val="fr-CA"/>
        </w:rPr>
        <w:t> </w:t>
      </w:r>
      <w:r w:rsidRPr="00AA33D3">
        <w:rPr>
          <w:lang w:val="fr-CA"/>
        </w:rPr>
        <w:t>McCarthy Tétrault, Toronto.</w:t>
      </w:r>
    </w:p>
    <w:sectPr w:rsidR="002C2D76" w:rsidRPr="00AA33D3"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BC" w:rsidRDefault="000F2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BC" w:rsidRDefault="000F2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BC" w:rsidRDefault="000F2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520294" w:rsidRPr="000B6AAB" w:rsidRDefault="00520294" w:rsidP="00520294">
      <w:pPr>
        <w:pStyle w:val="FootnoteText"/>
        <w:rPr>
          <w:lang w:val="fr-CA"/>
        </w:rPr>
      </w:pPr>
      <w:r w:rsidRPr="000B6AAB">
        <w:rPr>
          <w:rStyle w:val="FootnoteReference"/>
          <w:lang w:val="fr-CA"/>
        </w:rPr>
        <w:footnoteRef/>
      </w:r>
      <w:r w:rsidRPr="000B6AAB">
        <w:rPr>
          <w:lang w:val="fr-CA"/>
        </w:rPr>
        <w:t xml:space="preserve"> </w:t>
      </w:r>
      <w:r>
        <w:rPr>
          <w:lang w:val="fr-CA"/>
        </w:rPr>
        <w:tab/>
        <w:t>Les conseillers sont des membres du Barreau qui ont été élus ou nommés pour le régir :</w:t>
      </w:r>
      <w:r w:rsidRPr="000B6AAB">
        <w:rPr>
          <w:lang w:val="fr-CA"/>
        </w:rPr>
        <w:t xml:space="preserve"> </w:t>
      </w:r>
      <w:r>
        <w:rPr>
          <w:i/>
          <w:lang w:val="fr-CA"/>
        </w:rPr>
        <w:t>Loi sur la profession d’avocat</w:t>
      </w:r>
      <w:r w:rsidRPr="000B6AAB">
        <w:rPr>
          <w:lang w:val="fr-CA"/>
        </w:rPr>
        <w:t>, C.</w:t>
      </w:r>
      <w:r>
        <w:rPr>
          <w:lang w:val="fr-CA"/>
        </w:rPr>
        <w:t>P</w:t>
      </w:r>
      <w:r w:rsidRPr="000B6AAB">
        <w:rPr>
          <w:lang w:val="fr-CA"/>
        </w:rPr>
        <w:t>.</w:t>
      </w:r>
      <w:r>
        <w:rPr>
          <w:lang w:val="fr-CA"/>
        </w:rPr>
        <w:t>L</w:t>
      </w:r>
      <w:r w:rsidRPr="000B6AAB">
        <w:rPr>
          <w:lang w:val="fr-CA"/>
        </w:rPr>
        <w:t>.M.</w:t>
      </w:r>
      <w:r>
        <w:rPr>
          <w:lang w:val="fr-CA"/>
        </w:rPr>
        <w:t>, c. </w:t>
      </w:r>
      <w:r w:rsidRPr="000B6AAB">
        <w:rPr>
          <w:lang w:val="fr-CA"/>
        </w:rPr>
        <w:t xml:space="preserve">L107, </w:t>
      </w:r>
      <w:r>
        <w:rPr>
          <w:lang w:val="fr-CA"/>
        </w:rPr>
        <w:t xml:space="preserve">par. </w:t>
      </w:r>
      <w:r w:rsidRPr="000B6AAB">
        <w:rPr>
          <w:lang w:val="fr-CA"/>
        </w:rPr>
        <w:t>4(1)</w:t>
      </w:r>
      <w:r>
        <w:rPr>
          <w:lang w:val="fr-CA"/>
        </w:rPr>
        <w:t xml:space="preserve"> et</w:t>
      </w:r>
      <w:r w:rsidRPr="000B6AAB">
        <w:rPr>
          <w:lang w:val="fr-CA"/>
        </w:rPr>
        <w:t xml:space="preserve"> </w:t>
      </w:r>
      <w:r>
        <w:rPr>
          <w:lang w:val="fr-CA"/>
        </w:rPr>
        <w:t xml:space="preserve">art. </w:t>
      </w:r>
      <w:r w:rsidRPr="000B6AAB">
        <w:rPr>
          <w:lang w:val="fr-CA"/>
        </w:rPr>
        <w:t>5.</w:t>
      </w:r>
    </w:p>
  </w:footnote>
  <w:footnote w:id="2">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130BBF">
        <w:rPr>
          <w:lang w:val="fr-CA"/>
        </w:rPr>
        <w:tab/>
        <w:t>Le paragraphe</w:t>
      </w:r>
      <w:r>
        <w:rPr>
          <w:lang w:val="fr-CA"/>
        </w:rPr>
        <w:t> </w:t>
      </w:r>
      <w:r w:rsidRPr="00316C57">
        <w:rPr>
          <w:lang w:val="fr-CA"/>
        </w:rPr>
        <w:t xml:space="preserve">3(1) de la </w:t>
      </w:r>
      <w:r w:rsidRPr="00316C57">
        <w:rPr>
          <w:i/>
          <w:lang w:val="fr-CA"/>
        </w:rPr>
        <w:t>Loi sur la profession d</w:t>
      </w:r>
      <w:r>
        <w:rPr>
          <w:i/>
          <w:lang w:val="fr-CA"/>
        </w:rPr>
        <w:t>’</w:t>
      </w:r>
      <w:r w:rsidRPr="00316C57">
        <w:rPr>
          <w:i/>
          <w:lang w:val="fr-CA"/>
        </w:rPr>
        <w:t>avocat</w:t>
      </w:r>
      <w:r w:rsidRPr="00300519">
        <w:rPr>
          <w:lang w:val="fr-CA"/>
        </w:rPr>
        <w:t>, C.</w:t>
      </w:r>
      <w:r>
        <w:rPr>
          <w:lang w:val="fr-CA"/>
        </w:rPr>
        <w:t>P.L.M.</w:t>
      </w:r>
      <w:r w:rsidRPr="00300519">
        <w:rPr>
          <w:lang w:val="fr-CA"/>
        </w:rPr>
        <w:t>, c. L107</w:t>
      </w:r>
      <w:r>
        <w:rPr>
          <w:lang w:val="fr-CA"/>
        </w:rPr>
        <w:t>.</w:t>
      </w:r>
    </w:p>
  </w:footnote>
  <w:footnote w:id="3">
    <w:p w:rsidR="00520294" w:rsidRPr="00047269"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130BBF">
        <w:rPr>
          <w:lang w:val="fr-CA"/>
        </w:rPr>
        <w:t>Le paragraphe</w:t>
      </w:r>
      <w:r>
        <w:rPr>
          <w:lang w:val="fr-CA"/>
        </w:rPr>
        <w:t> </w:t>
      </w:r>
      <w:r w:rsidRPr="00316C57">
        <w:rPr>
          <w:lang w:val="fr-CA"/>
        </w:rPr>
        <w:t>2</w:t>
      </w:r>
      <w:r>
        <w:rPr>
          <w:lang w:val="fr-CA"/>
        </w:rPr>
        <w:noBreakHyphen/>
      </w:r>
      <w:r w:rsidRPr="00316C57">
        <w:rPr>
          <w:lang w:val="fr-CA"/>
        </w:rPr>
        <w:t xml:space="preserve">81.1(1) des </w:t>
      </w:r>
      <w:r w:rsidR="000D13FB">
        <w:rPr>
          <w:i/>
          <w:lang w:val="fr-CA"/>
        </w:rPr>
        <w:t>Règles de l</w:t>
      </w:r>
      <w:r w:rsidRPr="00316C57">
        <w:rPr>
          <w:i/>
          <w:lang w:val="fr-CA"/>
        </w:rPr>
        <w:t>a Société du Barreau du Manitoba</w:t>
      </w:r>
      <w:r>
        <w:rPr>
          <w:lang w:val="fr-CA"/>
        </w:rPr>
        <w:t>.</w:t>
      </w:r>
    </w:p>
  </w:footnote>
  <w:footnote w:id="4">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Pr="00316C57">
        <w:rPr>
          <w:lang w:val="fr-CA"/>
        </w:rPr>
        <w:t xml:space="preserve">Affidavit </w:t>
      </w:r>
      <w:r>
        <w:rPr>
          <w:lang w:val="fr-CA"/>
        </w:rPr>
        <w:t>de</w:t>
      </w:r>
      <w:r w:rsidRPr="00316C57">
        <w:rPr>
          <w:lang w:val="fr-CA"/>
        </w:rPr>
        <w:t xml:space="preserve"> Joan Holmstrom, </w:t>
      </w:r>
      <w:r>
        <w:rPr>
          <w:lang w:val="fr-CA"/>
        </w:rPr>
        <w:t>directrice de la formation de la Société du Barreau</w:t>
      </w:r>
      <w:r w:rsidRPr="00316C57">
        <w:rPr>
          <w:lang w:val="fr-CA"/>
        </w:rPr>
        <w:t xml:space="preserve">, </w:t>
      </w:r>
      <w:r>
        <w:rPr>
          <w:lang w:val="fr-CA"/>
        </w:rPr>
        <w:t>fait sous serment le 7 novembre</w:t>
      </w:r>
      <w:r w:rsidRPr="00316C57">
        <w:rPr>
          <w:lang w:val="fr-CA"/>
        </w:rPr>
        <w:t xml:space="preserve"> 2014</w:t>
      </w:r>
      <w:r>
        <w:rPr>
          <w:lang w:val="fr-CA"/>
        </w:rPr>
        <w:t>,</w:t>
      </w:r>
      <w:r w:rsidRPr="00316C57">
        <w:rPr>
          <w:lang w:val="fr-CA"/>
        </w:rPr>
        <w:t xml:space="preserve"> </w:t>
      </w:r>
      <w:r w:rsidR="00130BBF">
        <w:rPr>
          <w:lang w:val="fr-CA"/>
        </w:rPr>
        <w:t>d.a., vol. II, p. 59-</w:t>
      </w:r>
      <w:r>
        <w:rPr>
          <w:lang w:val="fr-CA"/>
        </w:rPr>
        <w:t>60.</w:t>
      </w:r>
    </w:p>
  </w:footnote>
  <w:footnote w:id="5">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A35D9D">
        <w:rPr>
          <w:lang w:val="fr-CA"/>
        </w:rPr>
        <w:tab/>
        <w:t>Le paragraphe</w:t>
      </w:r>
      <w:r>
        <w:rPr>
          <w:lang w:val="fr-CA"/>
        </w:rPr>
        <w:t> </w:t>
      </w:r>
      <w:r w:rsidRPr="00316C57">
        <w:rPr>
          <w:lang w:val="fr-CA"/>
        </w:rPr>
        <w:t>2</w:t>
      </w:r>
      <w:r>
        <w:rPr>
          <w:lang w:val="fr-CA"/>
        </w:rPr>
        <w:noBreakHyphen/>
      </w:r>
      <w:r w:rsidRPr="00316C57">
        <w:rPr>
          <w:lang w:val="fr-CA"/>
        </w:rPr>
        <w:t xml:space="preserve">81.1(12) </w:t>
      </w:r>
      <w:r>
        <w:rPr>
          <w:lang w:val="fr-CA"/>
        </w:rPr>
        <w:t>des Règles.</w:t>
      </w:r>
    </w:p>
  </w:footnote>
  <w:footnote w:id="6">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A35D9D">
        <w:rPr>
          <w:lang w:val="fr-CA"/>
        </w:rPr>
        <w:tab/>
        <w:t>Le paragraphe</w:t>
      </w:r>
      <w:r>
        <w:rPr>
          <w:lang w:val="fr-CA"/>
        </w:rPr>
        <w:t> </w:t>
      </w:r>
      <w:r w:rsidRPr="00316C57">
        <w:rPr>
          <w:lang w:val="fr-CA"/>
        </w:rPr>
        <w:t xml:space="preserve">12(2) </w:t>
      </w:r>
      <w:r>
        <w:rPr>
          <w:lang w:val="fr-CA"/>
        </w:rPr>
        <w:t>de la</w:t>
      </w:r>
      <w:r w:rsidRPr="00316C57">
        <w:rPr>
          <w:lang w:val="fr-CA"/>
        </w:rPr>
        <w:t xml:space="preserve"> </w:t>
      </w:r>
      <w:r w:rsidRPr="0036569B">
        <w:rPr>
          <w:lang w:val="fr-CA"/>
        </w:rPr>
        <w:t>Loi</w:t>
      </w:r>
      <w:r>
        <w:rPr>
          <w:i/>
          <w:lang w:val="fr-CA"/>
        </w:rPr>
        <w:t> </w:t>
      </w:r>
      <w:r w:rsidRPr="00103B40">
        <w:rPr>
          <w:lang w:val="fr-CA"/>
        </w:rPr>
        <w:t xml:space="preserve">: </w:t>
      </w:r>
      <w:r>
        <w:rPr>
          <w:lang w:val="fr-CA"/>
        </w:rPr>
        <w:t>« Le directeur général exerce les attributions qui lui sont conférées sous le régime de la présente loi et des règles et celles que lui assignent ou lui délèguent les conseillers, le président ou le vice-président. »</w:t>
      </w:r>
    </w:p>
  </w:footnote>
  <w:footnote w:id="7">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35D9D">
        <w:rPr>
          <w:lang w:val="fr-CA"/>
        </w:rPr>
        <w:t>Les paragraphes</w:t>
      </w:r>
      <w:r>
        <w:rPr>
          <w:lang w:val="fr-CA"/>
        </w:rPr>
        <w:t> </w:t>
      </w:r>
      <w:r w:rsidRPr="00316C57">
        <w:rPr>
          <w:lang w:val="fr-CA"/>
        </w:rPr>
        <w:t>2</w:t>
      </w:r>
      <w:r>
        <w:rPr>
          <w:lang w:val="fr-CA"/>
        </w:rPr>
        <w:noBreakHyphen/>
      </w:r>
      <w:r w:rsidRPr="00316C57">
        <w:rPr>
          <w:lang w:val="fr-CA"/>
        </w:rPr>
        <w:t>81.1(</w:t>
      </w:r>
      <w:r>
        <w:rPr>
          <w:lang w:val="fr-CA"/>
        </w:rPr>
        <w:t>6</w:t>
      </w:r>
      <w:r w:rsidRPr="00316C57">
        <w:rPr>
          <w:lang w:val="fr-CA"/>
        </w:rPr>
        <w:t>)</w:t>
      </w:r>
      <w:r>
        <w:rPr>
          <w:lang w:val="fr-CA"/>
        </w:rPr>
        <w:t xml:space="preserve"> et</w:t>
      </w:r>
      <w:r w:rsidRPr="00316C57">
        <w:rPr>
          <w:lang w:val="fr-CA"/>
        </w:rPr>
        <w:t xml:space="preserve"> (</w:t>
      </w:r>
      <w:r>
        <w:rPr>
          <w:lang w:val="fr-CA"/>
        </w:rPr>
        <w:t>9</w:t>
      </w:r>
      <w:r w:rsidRPr="00316C57">
        <w:rPr>
          <w:lang w:val="fr-CA"/>
        </w:rPr>
        <w:t>)</w:t>
      </w:r>
      <w:r>
        <w:rPr>
          <w:lang w:val="fr-CA"/>
        </w:rPr>
        <w:t xml:space="preserve"> des Règles.</w:t>
      </w:r>
    </w:p>
  </w:footnote>
  <w:footnote w:id="8">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35D9D">
        <w:rPr>
          <w:lang w:val="fr-CA"/>
        </w:rPr>
        <w:t>Le paragraphe</w:t>
      </w:r>
      <w:r>
        <w:rPr>
          <w:lang w:val="fr-CA"/>
        </w:rPr>
        <w:t> </w:t>
      </w:r>
      <w:r w:rsidRPr="00316C57">
        <w:rPr>
          <w:lang w:val="fr-CA"/>
        </w:rPr>
        <w:t>5</w:t>
      </w:r>
      <w:r>
        <w:rPr>
          <w:lang w:val="fr-CA"/>
        </w:rPr>
        <w:noBreakHyphen/>
      </w:r>
      <w:r w:rsidRPr="00316C57">
        <w:rPr>
          <w:lang w:val="fr-CA"/>
        </w:rPr>
        <w:t>64(2)</w:t>
      </w:r>
      <w:r>
        <w:rPr>
          <w:lang w:val="fr-CA"/>
        </w:rPr>
        <w:t xml:space="preserve"> des Règles.</w:t>
      </w:r>
    </w:p>
  </w:footnote>
  <w:footnote w:id="9">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35D9D">
        <w:rPr>
          <w:lang w:val="fr-CA"/>
        </w:rPr>
        <w:t>Le paragraphe</w:t>
      </w:r>
      <w:r>
        <w:rPr>
          <w:lang w:val="fr-CA"/>
        </w:rPr>
        <w:t> 5</w:t>
      </w:r>
      <w:r>
        <w:rPr>
          <w:lang w:val="fr-CA"/>
        </w:rPr>
        <w:noBreakHyphen/>
        <w:t>64(3) des Règles.</w:t>
      </w:r>
    </w:p>
  </w:footnote>
  <w:footnote w:id="10">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35D9D">
        <w:rPr>
          <w:lang w:val="fr-CA"/>
        </w:rPr>
        <w:t>Le paragraphe</w:t>
      </w:r>
      <w:r>
        <w:rPr>
          <w:lang w:val="fr-CA"/>
        </w:rPr>
        <w:t> 5</w:t>
      </w:r>
      <w:r>
        <w:rPr>
          <w:lang w:val="fr-CA"/>
        </w:rPr>
        <w:noBreakHyphen/>
        <w:t>65(1) des Règles.</w:t>
      </w:r>
    </w:p>
  </w:footnote>
  <w:footnote w:id="11">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35D9D">
        <w:rPr>
          <w:lang w:val="fr-CA"/>
        </w:rPr>
        <w:t>L’article</w:t>
      </w:r>
      <w:r>
        <w:rPr>
          <w:lang w:val="fr-CA"/>
        </w:rPr>
        <w:t> 5</w:t>
      </w:r>
      <w:r>
        <w:rPr>
          <w:lang w:val="fr-CA"/>
        </w:rPr>
        <w:noBreakHyphen/>
        <w:t>66 des Règles.</w:t>
      </w:r>
    </w:p>
  </w:footnote>
  <w:footnote w:id="12">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35D9D">
        <w:rPr>
          <w:lang w:val="fr-CA"/>
        </w:rPr>
        <w:t xml:space="preserve">Le paragraphe </w:t>
      </w:r>
      <w:r>
        <w:rPr>
          <w:lang w:val="fr-CA"/>
        </w:rPr>
        <w:t>5</w:t>
      </w:r>
      <w:r>
        <w:rPr>
          <w:lang w:val="fr-CA"/>
        </w:rPr>
        <w:noBreakHyphen/>
        <w:t>72(1) des Règles.</w:t>
      </w:r>
    </w:p>
  </w:footnote>
  <w:footnote w:id="13">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35D9D">
        <w:rPr>
          <w:lang w:val="fr-CA"/>
        </w:rPr>
        <w:t>Le paragraphe</w:t>
      </w:r>
      <w:r>
        <w:rPr>
          <w:lang w:val="fr-CA"/>
        </w:rPr>
        <w:t> 5</w:t>
      </w:r>
      <w:r>
        <w:rPr>
          <w:lang w:val="fr-CA"/>
        </w:rPr>
        <w:noBreakHyphen/>
        <w:t>72(4) des Règles.</w:t>
      </w:r>
    </w:p>
  </w:footnote>
  <w:footnote w:id="14">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A35D9D">
        <w:rPr>
          <w:lang w:val="fr-CA"/>
        </w:rPr>
        <w:tab/>
        <w:t xml:space="preserve">Le paragraphe </w:t>
      </w:r>
      <w:r w:rsidRPr="00316C57">
        <w:rPr>
          <w:lang w:val="fr-CA"/>
        </w:rPr>
        <w:t>5</w:t>
      </w:r>
      <w:r>
        <w:rPr>
          <w:lang w:val="fr-CA"/>
        </w:rPr>
        <w:noBreakHyphen/>
      </w:r>
      <w:r w:rsidRPr="00316C57">
        <w:rPr>
          <w:lang w:val="fr-CA"/>
        </w:rPr>
        <w:t>74(1)</w:t>
      </w:r>
      <w:r>
        <w:rPr>
          <w:lang w:val="fr-CA"/>
        </w:rPr>
        <w:t xml:space="preserve"> des Règles.</w:t>
      </w:r>
    </w:p>
  </w:footnote>
  <w:footnote w:id="15">
    <w:p w:rsidR="00520294" w:rsidRPr="0036569B"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A35D9D">
        <w:rPr>
          <w:lang w:val="fr-CA"/>
        </w:rPr>
        <w:tab/>
        <w:t>L’alinéa</w:t>
      </w:r>
      <w:r>
        <w:rPr>
          <w:lang w:val="fr-CA"/>
        </w:rPr>
        <w:t> 68</w:t>
      </w:r>
      <w:r w:rsidRPr="00316C57">
        <w:rPr>
          <w:lang w:val="fr-CA"/>
        </w:rPr>
        <w:t>b)</w:t>
      </w:r>
      <w:r>
        <w:rPr>
          <w:lang w:val="fr-CA"/>
        </w:rPr>
        <w:t xml:space="preserve"> de la</w:t>
      </w:r>
      <w:r w:rsidRPr="00316C57">
        <w:rPr>
          <w:lang w:val="fr-CA"/>
        </w:rPr>
        <w:t xml:space="preserve"> </w:t>
      </w:r>
      <w:r w:rsidRPr="0036569B">
        <w:rPr>
          <w:lang w:val="fr-CA"/>
        </w:rPr>
        <w:t>Loi</w:t>
      </w:r>
      <w:r>
        <w:rPr>
          <w:lang w:val="fr-CA"/>
        </w:rPr>
        <w:t>.</w:t>
      </w:r>
    </w:p>
  </w:footnote>
  <w:footnote w:id="16">
    <w:p w:rsidR="00520294" w:rsidRPr="0036569B"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00A117C4">
        <w:rPr>
          <w:lang w:val="fr-CA"/>
        </w:rPr>
        <w:t>Le sous-alinéa</w:t>
      </w:r>
      <w:r>
        <w:rPr>
          <w:lang w:val="fr-CA"/>
        </w:rPr>
        <w:t> </w:t>
      </w:r>
      <w:r w:rsidRPr="0036569B">
        <w:rPr>
          <w:lang w:val="fr-CA"/>
        </w:rPr>
        <w:t>68b)(i)</w:t>
      </w:r>
      <w:r>
        <w:rPr>
          <w:lang w:val="fr-CA"/>
        </w:rPr>
        <w:t xml:space="preserve"> de la</w:t>
      </w:r>
      <w:r w:rsidRPr="00316C57">
        <w:rPr>
          <w:lang w:val="fr-CA"/>
        </w:rPr>
        <w:t xml:space="preserve"> </w:t>
      </w:r>
      <w:r w:rsidRPr="0036569B">
        <w:rPr>
          <w:lang w:val="fr-CA"/>
        </w:rPr>
        <w:t>Loi</w:t>
      </w:r>
      <w:r>
        <w:rPr>
          <w:lang w:val="fr-CA"/>
        </w:rPr>
        <w:t>.</w:t>
      </w:r>
    </w:p>
  </w:footnote>
  <w:footnote w:id="17">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A35D9D">
        <w:rPr>
          <w:lang w:val="fr-CA"/>
        </w:rPr>
        <w:tab/>
        <w:t xml:space="preserve">Le paragraphe </w:t>
      </w:r>
      <w:r>
        <w:rPr>
          <w:lang w:val="fr-CA"/>
        </w:rPr>
        <w:t> </w:t>
      </w:r>
      <w:r w:rsidRPr="00316C57">
        <w:rPr>
          <w:lang w:val="fr-CA"/>
        </w:rPr>
        <w:t>5</w:t>
      </w:r>
      <w:r>
        <w:rPr>
          <w:lang w:val="fr-CA"/>
        </w:rPr>
        <w:noBreakHyphen/>
      </w:r>
      <w:r w:rsidRPr="00316C57">
        <w:rPr>
          <w:lang w:val="fr-CA"/>
        </w:rPr>
        <w:t>96(2)</w:t>
      </w:r>
      <w:r>
        <w:rPr>
          <w:lang w:val="fr-CA"/>
        </w:rPr>
        <w:t xml:space="preserve"> des Règles</w:t>
      </w:r>
      <w:r w:rsidRPr="00316C57">
        <w:rPr>
          <w:lang w:val="fr-CA"/>
        </w:rPr>
        <w:t>.</w:t>
      </w:r>
    </w:p>
  </w:footnote>
  <w:footnote w:id="18">
    <w:p w:rsidR="00520294" w:rsidRPr="0036569B"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7F706E">
        <w:rPr>
          <w:lang w:val="fr-CA"/>
        </w:rPr>
        <w:tab/>
        <w:t>Le sous-alinéa</w:t>
      </w:r>
      <w:r w:rsidR="00A35D9D">
        <w:rPr>
          <w:lang w:val="fr-CA"/>
        </w:rPr>
        <w:t xml:space="preserve"> </w:t>
      </w:r>
      <w:r>
        <w:rPr>
          <w:lang w:val="fr-CA"/>
        </w:rPr>
        <w:t>76(1)</w:t>
      </w:r>
      <w:r w:rsidRPr="00316C57">
        <w:rPr>
          <w:lang w:val="fr-CA"/>
        </w:rPr>
        <w:t>a)(i)</w:t>
      </w:r>
      <w:r>
        <w:rPr>
          <w:lang w:val="fr-CA"/>
        </w:rPr>
        <w:t xml:space="preserve"> de la</w:t>
      </w:r>
      <w:r w:rsidRPr="00316C57">
        <w:rPr>
          <w:lang w:val="fr-CA"/>
        </w:rPr>
        <w:t xml:space="preserve"> </w:t>
      </w:r>
      <w:r w:rsidRPr="0036569B">
        <w:rPr>
          <w:lang w:val="fr-CA"/>
        </w:rPr>
        <w:t>Loi.</w:t>
      </w:r>
    </w:p>
  </w:footnote>
  <w:footnote w:id="19">
    <w:p w:rsidR="00520294" w:rsidRPr="008F7C14"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Pr>
          <w:lang w:val="fr-CA"/>
        </w:rPr>
        <w:tab/>
      </w:r>
      <w:r w:rsidRPr="008F7C14">
        <w:rPr>
          <w:lang w:val="fr-CA"/>
        </w:rPr>
        <w:t xml:space="preserve">Voir les </w:t>
      </w:r>
      <w:r w:rsidRPr="008F7C14">
        <w:rPr>
          <w:i/>
          <w:lang w:val="fr-CA"/>
        </w:rPr>
        <w:t>Règles sur la formation professionnelle continue obligatoire</w:t>
      </w:r>
      <w:r w:rsidRPr="008F7C14">
        <w:rPr>
          <w:lang w:val="fr-CA"/>
        </w:rPr>
        <w:t xml:space="preserve"> du Barreau du Nouveau-Brunswick, par. 7(1) à (3) et 8(1) et (2).</w:t>
      </w:r>
    </w:p>
  </w:footnote>
  <w:footnote w:id="20">
    <w:p w:rsidR="00520294" w:rsidRPr="008F7C14" w:rsidRDefault="00520294" w:rsidP="00520294">
      <w:pPr>
        <w:pStyle w:val="FootnoteText"/>
        <w:tabs>
          <w:tab w:val="clear" w:pos="180"/>
          <w:tab w:val="left" w:pos="270"/>
        </w:tabs>
        <w:spacing w:after="120"/>
        <w:ind w:left="270" w:hanging="270"/>
        <w:rPr>
          <w:lang w:val="fr-CA"/>
        </w:rPr>
      </w:pPr>
      <w:r w:rsidRPr="008F7C14">
        <w:rPr>
          <w:rStyle w:val="FootnoteReference"/>
          <w:lang w:val="fr-CA"/>
        </w:rPr>
        <w:footnoteRef/>
      </w:r>
      <w:r w:rsidRPr="008F7C14">
        <w:rPr>
          <w:lang w:val="fr-CA"/>
        </w:rPr>
        <w:tab/>
        <w:t xml:space="preserve">Voir le </w:t>
      </w:r>
      <w:r w:rsidRPr="008F7C14">
        <w:rPr>
          <w:i/>
          <w:lang w:val="fr-CA"/>
        </w:rPr>
        <w:t>Règlement administratif </w:t>
      </w:r>
      <w:r w:rsidR="00835A0C">
        <w:rPr>
          <w:i/>
          <w:lang w:val="fr-CA"/>
        </w:rPr>
        <w:t>n</w:t>
      </w:r>
      <w:r w:rsidR="00835A0C" w:rsidRPr="00835A0C">
        <w:rPr>
          <w:i/>
          <w:vertAlign w:val="superscript"/>
          <w:lang w:val="fr-CA"/>
        </w:rPr>
        <w:t>o</w:t>
      </w:r>
      <w:r w:rsidR="00835A0C">
        <w:rPr>
          <w:i/>
          <w:lang w:val="fr-CA"/>
        </w:rPr>
        <w:t xml:space="preserve"> 6.1 — </w:t>
      </w:r>
      <w:r w:rsidRPr="008F7C14">
        <w:rPr>
          <w:i/>
          <w:lang w:val="fr-CA"/>
        </w:rPr>
        <w:t xml:space="preserve">Formation professionnelle continue </w:t>
      </w:r>
      <w:r w:rsidRPr="008F7C14">
        <w:rPr>
          <w:lang w:val="fr-CA"/>
        </w:rPr>
        <w:t>du Barreau du Haut-Canada, par. 2(4).</w:t>
      </w:r>
    </w:p>
  </w:footnote>
  <w:footnote w:id="21">
    <w:p w:rsidR="00520294" w:rsidRPr="008F7C14" w:rsidRDefault="00520294" w:rsidP="00520294">
      <w:pPr>
        <w:pStyle w:val="FootnoteText"/>
        <w:tabs>
          <w:tab w:val="clear" w:pos="180"/>
          <w:tab w:val="left" w:pos="270"/>
        </w:tabs>
        <w:spacing w:after="120"/>
        <w:ind w:left="270" w:hanging="270"/>
        <w:rPr>
          <w:b/>
          <w:lang w:val="fr-CA"/>
        </w:rPr>
      </w:pPr>
      <w:r w:rsidRPr="008F7C14">
        <w:rPr>
          <w:rStyle w:val="FootnoteReference"/>
          <w:lang w:val="fr-CA"/>
        </w:rPr>
        <w:footnoteRef/>
      </w:r>
      <w:r w:rsidRPr="008F7C14">
        <w:rPr>
          <w:lang w:val="fr-CA"/>
        </w:rPr>
        <w:tab/>
        <w:t>Voir les règlements du Barreau de la Nouvelle-Écosse, art. 8.3.9.</w:t>
      </w:r>
    </w:p>
  </w:footnote>
  <w:footnote w:id="22">
    <w:p w:rsidR="00520294" w:rsidRPr="008F7C14" w:rsidRDefault="00520294" w:rsidP="00520294">
      <w:pPr>
        <w:pStyle w:val="FootnoteText"/>
        <w:tabs>
          <w:tab w:val="clear" w:pos="180"/>
          <w:tab w:val="left" w:pos="270"/>
        </w:tabs>
        <w:spacing w:after="120"/>
        <w:ind w:left="270" w:hanging="270"/>
        <w:rPr>
          <w:lang w:val="fr-CA"/>
        </w:rPr>
      </w:pPr>
      <w:r w:rsidRPr="008F7C14">
        <w:rPr>
          <w:rStyle w:val="FootnoteReference"/>
          <w:lang w:val="fr-CA"/>
        </w:rPr>
        <w:footnoteRef/>
      </w:r>
      <w:r w:rsidRPr="008F7C14">
        <w:rPr>
          <w:lang w:val="fr-CA"/>
        </w:rPr>
        <w:tab/>
        <w:t xml:space="preserve">Voir les </w:t>
      </w:r>
      <w:r w:rsidRPr="008F7C14">
        <w:rPr>
          <w:i/>
          <w:lang w:val="fr-CA"/>
        </w:rPr>
        <w:t>Law Society Rules</w:t>
      </w:r>
      <w:r w:rsidR="00835A0C">
        <w:rPr>
          <w:i/>
          <w:lang w:val="fr-CA"/>
        </w:rPr>
        <w:t xml:space="preserve"> 2015</w:t>
      </w:r>
      <w:r w:rsidRPr="008F7C14">
        <w:rPr>
          <w:lang w:val="fr-CA"/>
        </w:rPr>
        <w:t xml:space="preserve"> de la Colombie-Britannique, par. 3</w:t>
      </w:r>
      <w:r w:rsidRPr="008F7C14">
        <w:rPr>
          <w:lang w:val="fr-CA"/>
        </w:rPr>
        <w:noBreakHyphen/>
        <w:t>29(1) et (5) et art. 3</w:t>
      </w:r>
      <w:r w:rsidRPr="008F7C14">
        <w:rPr>
          <w:lang w:val="fr-CA"/>
        </w:rPr>
        <w:noBreakHyphen/>
        <w:t>32.</w:t>
      </w:r>
    </w:p>
  </w:footnote>
  <w:footnote w:id="23">
    <w:p w:rsidR="00520294" w:rsidRPr="00316C57" w:rsidRDefault="00520294" w:rsidP="00520294">
      <w:pPr>
        <w:pStyle w:val="FootnoteText"/>
        <w:tabs>
          <w:tab w:val="clear" w:pos="180"/>
          <w:tab w:val="left" w:pos="270"/>
        </w:tabs>
        <w:spacing w:after="120"/>
        <w:ind w:left="270" w:hanging="270"/>
        <w:rPr>
          <w:lang w:val="fr-CA"/>
        </w:rPr>
      </w:pPr>
      <w:r w:rsidRPr="008F7C14">
        <w:rPr>
          <w:rStyle w:val="FootnoteReference"/>
          <w:lang w:val="fr-CA"/>
        </w:rPr>
        <w:footnoteRef/>
      </w:r>
      <w:r w:rsidRPr="008F7C14">
        <w:rPr>
          <w:lang w:val="fr-CA"/>
        </w:rPr>
        <w:tab/>
        <w:t xml:space="preserve">Voir la </w:t>
      </w:r>
      <w:r w:rsidRPr="008F7C14">
        <w:rPr>
          <w:i/>
          <w:lang w:val="fr-CA"/>
        </w:rPr>
        <w:t xml:space="preserve">Continuing Professional Development Policy </w:t>
      </w:r>
      <w:r w:rsidRPr="008F7C14">
        <w:rPr>
          <w:lang w:val="fr-CA"/>
        </w:rPr>
        <w:t xml:space="preserve">du Barreau de la Saskatchewan qui porte sur les « dispenses » (en ligne) et les </w:t>
      </w:r>
      <w:r w:rsidR="006A2D10">
        <w:rPr>
          <w:lang w:val="fr-CA"/>
        </w:rPr>
        <w:t>paragraphes</w:t>
      </w:r>
      <w:r w:rsidRPr="008F7C14">
        <w:rPr>
          <w:lang w:val="fr-CA"/>
        </w:rPr>
        <w:t> 16, 18 et 19</w:t>
      </w:r>
      <w:r>
        <w:rPr>
          <w:lang w:val="fr-CA"/>
        </w:rPr>
        <w:t>.</w:t>
      </w:r>
    </w:p>
  </w:footnote>
  <w:footnote w:id="24">
    <w:p w:rsidR="00520294" w:rsidRPr="00F55AE3" w:rsidRDefault="00520294" w:rsidP="00520294">
      <w:pPr>
        <w:pStyle w:val="FootnoteText"/>
        <w:tabs>
          <w:tab w:val="clear" w:pos="180"/>
          <w:tab w:val="left" w:pos="270"/>
        </w:tabs>
        <w:spacing w:after="120"/>
        <w:ind w:left="270" w:hanging="270"/>
        <w:rPr>
          <w:lang w:val="fr-CA"/>
        </w:rPr>
      </w:pPr>
      <w:r>
        <w:rPr>
          <w:rStyle w:val="FootnoteReference"/>
        </w:rPr>
        <w:footnoteRef/>
      </w:r>
      <w:r>
        <w:rPr>
          <w:lang w:val="fr-CA"/>
        </w:rPr>
        <w:tab/>
        <w:t xml:space="preserve">Voir le </w:t>
      </w:r>
      <w:r w:rsidRPr="00F55AE3">
        <w:rPr>
          <w:i/>
          <w:lang w:val="fr-CA"/>
        </w:rPr>
        <w:t>Règlement sur la formation continue obligatoire des avocats</w:t>
      </w:r>
      <w:r w:rsidR="00835A0C">
        <w:rPr>
          <w:lang w:val="fr-CA"/>
        </w:rPr>
        <w:t>, RLRQ</w:t>
      </w:r>
      <w:r w:rsidR="00170CC6">
        <w:rPr>
          <w:lang w:val="fr-CA"/>
        </w:rPr>
        <w:t>, c. B</w:t>
      </w:r>
      <w:r>
        <w:rPr>
          <w:lang w:val="fr-CA"/>
        </w:rPr>
        <w:noBreakHyphen/>
        <w:t xml:space="preserve">1, r. 12, art. 15 à 17 pris par le Barreau du Québec, et le </w:t>
      </w:r>
      <w:r w:rsidRPr="00F55AE3">
        <w:rPr>
          <w:i/>
          <w:lang w:val="fr-CA"/>
        </w:rPr>
        <w:t>Guide sur les dispenses de l</w:t>
      </w:r>
      <w:r>
        <w:rPr>
          <w:i/>
          <w:lang w:val="fr-CA"/>
        </w:rPr>
        <w:t>’</w:t>
      </w:r>
      <w:r w:rsidRPr="00F55AE3">
        <w:rPr>
          <w:i/>
          <w:lang w:val="fr-CA"/>
        </w:rPr>
        <w:t>obligation de formation continue</w:t>
      </w:r>
      <w:r>
        <w:rPr>
          <w:lang w:val="fr-CA"/>
        </w:rPr>
        <w:t xml:space="preserve"> (en ligne), p. 10.</w:t>
      </w:r>
    </w:p>
  </w:footnote>
  <w:footnote w:id="25">
    <w:p w:rsidR="00520294" w:rsidRPr="00FA26BF" w:rsidRDefault="00520294" w:rsidP="00520294">
      <w:pPr>
        <w:pStyle w:val="FootnoteText"/>
        <w:tabs>
          <w:tab w:val="clear" w:pos="180"/>
          <w:tab w:val="left" w:pos="270"/>
        </w:tabs>
        <w:spacing w:after="120"/>
        <w:ind w:left="270" w:hanging="270"/>
        <w:rPr>
          <w:lang w:val="fr-CA"/>
        </w:rPr>
      </w:pPr>
      <w:r>
        <w:rPr>
          <w:rStyle w:val="FootnoteReference"/>
        </w:rPr>
        <w:footnoteRef/>
      </w:r>
      <w:r>
        <w:rPr>
          <w:lang w:val="fr-CA"/>
        </w:rPr>
        <w:tab/>
        <w:t>Voir le</w:t>
      </w:r>
      <w:r w:rsidR="00835A0C">
        <w:rPr>
          <w:lang w:val="fr-CA"/>
        </w:rPr>
        <w:t>s</w:t>
      </w:r>
      <w:r>
        <w:rPr>
          <w:lang w:val="fr-CA"/>
        </w:rPr>
        <w:t xml:space="preserve"> </w:t>
      </w:r>
      <w:r w:rsidRPr="00047269">
        <w:rPr>
          <w:i/>
          <w:lang w:val="fr-CA"/>
        </w:rPr>
        <w:t>Règle</w:t>
      </w:r>
      <w:r w:rsidR="00835A0C">
        <w:rPr>
          <w:i/>
          <w:lang w:val="fr-CA"/>
        </w:rPr>
        <w:t xml:space="preserve">s </w:t>
      </w:r>
      <w:r w:rsidRPr="00170CC6">
        <w:rPr>
          <w:i/>
          <w:lang w:val="fr-CA"/>
        </w:rPr>
        <w:t>du Barreau du Yukon</w:t>
      </w:r>
      <w:r w:rsidRPr="00047269">
        <w:rPr>
          <w:lang w:val="fr-CA"/>
        </w:rPr>
        <w:t>, par. 95.3(5).</w:t>
      </w:r>
    </w:p>
  </w:footnote>
  <w:footnote w:id="26">
    <w:p w:rsidR="00520294" w:rsidRPr="00316C57" w:rsidRDefault="00520294" w:rsidP="00520294">
      <w:pPr>
        <w:pStyle w:val="FootnoteText"/>
        <w:tabs>
          <w:tab w:val="clear" w:pos="180"/>
          <w:tab w:val="left" w:pos="270"/>
        </w:tabs>
        <w:spacing w:after="120"/>
        <w:ind w:left="270" w:hanging="270"/>
        <w:rPr>
          <w:lang w:val="fr-CA"/>
        </w:rPr>
      </w:pPr>
      <w:r w:rsidRPr="00316C57">
        <w:rPr>
          <w:rStyle w:val="FootnoteReference"/>
          <w:lang w:val="fr-CA"/>
        </w:rPr>
        <w:footnoteRef/>
      </w:r>
      <w:r w:rsidR="00835A0C">
        <w:rPr>
          <w:lang w:val="fr-CA"/>
        </w:rPr>
        <w:tab/>
        <w:t>L’article</w:t>
      </w:r>
      <w:r>
        <w:rPr>
          <w:lang w:val="fr-CA"/>
        </w:rPr>
        <w:t> 2</w:t>
      </w:r>
      <w:r>
        <w:rPr>
          <w:lang w:val="fr-CA"/>
        </w:rPr>
        <w:noBreakHyphen/>
        <w:t>97 des Règles.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BC" w:rsidRDefault="000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BC" w:rsidRDefault="000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8E2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8363B"/>
    <w:multiLevelType w:val="hybridMultilevel"/>
    <w:tmpl w:val="1B7CE29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D3CD0"/>
    <w:multiLevelType w:val="hybridMultilevel"/>
    <w:tmpl w:val="5A606854"/>
    <w:lvl w:ilvl="0" w:tplc="037024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B2400"/>
    <w:multiLevelType w:val="hybridMultilevel"/>
    <w:tmpl w:val="B0F8B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E3174A"/>
    <w:multiLevelType w:val="hybridMultilevel"/>
    <w:tmpl w:val="4A948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B17FDE"/>
    <w:multiLevelType w:val="hybridMultilevel"/>
    <w:tmpl w:val="03448E2E"/>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93023E8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D300274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6B40AC"/>
    <w:multiLevelType w:val="hybridMultilevel"/>
    <w:tmpl w:val="BA26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45B30"/>
    <w:multiLevelType w:val="hybridMultilevel"/>
    <w:tmpl w:val="5E5A3A3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1D33AE"/>
    <w:multiLevelType w:val="hybridMultilevel"/>
    <w:tmpl w:val="D60AC796"/>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908D3"/>
    <w:multiLevelType w:val="hybridMultilevel"/>
    <w:tmpl w:val="C39A819E"/>
    <w:lvl w:ilvl="0" w:tplc="03CA9746">
      <w:start w:val="11"/>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7" w15:restartNumberingAfterBreak="0">
    <w:nsid w:val="754B090C"/>
    <w:multiLevelType w:val="hybridMultilevel"/>
    <w:tmpl w:val="60F64988"/>
    <w:lvl w:ilvl="0" w:tplc="037024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367E7"/>
    <w:multiLevelType w:val="hybridMultilevel"/>
    <w:tmpl w:val="21BC8B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2"/>
  </w:num>
  <w:num w:numId="5">
    <w:abstractNumId w:val="9"/>
  </w:num>
  <w:num w:numId="6">
    <w:abstractNumId w:val="10"/>
  </w:num>
  <w:num w:numId="7">
    <w:abstractNumId w:val="11"/>
  </w:num>
  <w:num w:numId="8">
    <w:abstractNumId w:val="8"/>
  </w:num>
  <w:num w:numId="9">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num>
  <w:num w:numId="11">
    <w:abstractNumId w:val="7"/>
  </w:num>
  <w:num w:numId="12">
    <w:abstractNumId w:val="1"/>
  </w:num>
  <w:num w:numId="13">
    <w:abstractNumId w:val="12"/>
  </w:num>
  <w:num w:numId="14">
    <w:abstractNumId w:val="17"/>
  </w:num>
  <w:num w:numId="15">
    <w:abstractNumId w:val="18"/>
  </w:num>
  <w:num w:numId="16">
    <w:abstractNumId w:val="15"/>
  </w:num>
  <w:num w:numId="17">
    <w:abstractNumId w:val="13"/>
  </w:num>
  <w:num w:numId="18">
    <w:abstractNumId w:val="4"/>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F4F"/>
    <w:rsid w:val="0000429B"/>
    <w:rsid w:val="000221A0"/>
    <w:rsid w:val="00023FC7"/>
    <w:rsid w:val="00025198"/>
    <w:rsid w:val="000578A3"/>
    <w:rsid w:val="0006024F"/>
    <w:rsid w:val="000648CC"/>
    <w:rsid w:val="000665DA"/>
    <w:rsid w:val="000712AF"/>
    <w:rsid w:val="000734AC"/>
    <w:rsid w:val="00081FE7"/>
    <w:rsid w:val="00091234"/>
    <w:rsid w:val="00097F41"/>
    <w:rsid w:val="000C59B8"/>
    <w:rsid w:val="000C6AF0"/>
    <w:rsid w:val="000D0A77"/>
    <w:rsid w:val="000D0B83"/>
    <w:rsid w:val="000D13FB"/>
    <w:rsid w:val="000D53B9"/>
    <w:rsid w:val="000E791B"/>
    <w:rsid w:val="000F20BC"/>
    <w:rsid w:val="000F7993"/>
    <w:rsid w:val="00100BC4"/>
    <w:rsid w:val="00104F33"/>
    <w:rsid w:val="00111DE2"/>
    <w:rsid w:val="001155E7"/>
    <w:rsid w:val="00116B38"/>
    <w:rsid w:val="00130BBF"/>
    <w:rsid w:val="00130D0E"/>
    <w:rsid w:val="00135406"/>
    <w:rsid w:val="00135972"/>
    <w:rsid w:val="001426A9"/>
    <w:rsid w:val="00144509"/>
    <w:rsid w:val="00154D7C"/>
    <w:rsid w:val="001570B0"/>
    <w:rsid w:val="0015752C"/>
    <w:rsid w:val="00157737"/>
    <w:rsid w:val="00165277"/>
    <w:rsid w:val="00166FB9"/>
    <w:rsid w:val="00170592"/>
    <w:rsid w:val="00170CC6"/>
    <w:rsid w:val="001720F7"/>
    <w:rsid w:val="00195D83"/>
    <w:rsid w:val="00196FA7"/>
    <w:rsid w:val="001A00C1"/>
    <w:rsid w:val="001A5612"/>
    <w:rsid w:val="001B33E0"/>
    <w:rsid w:val="001B4573"/>
    <w:rsid w:val="001C779F"/>
    <w:rsid w:val="001D2AC1"/>
    <w:rsid w:val="001D4E88"/>
    <w:rsid w:val="00213186"/>
    <w:rsid w:val="00220FC2"/>
    <w:rsid w:val="002222F4"/>
    <w:rsid w:val="00224FC0"/>
    <w:rsid w:val="00225EA4"/>
    <w:rsid w:val="00226EAF"/>
    <w:rsid w:val="00231F3A"/>
    <w:rsid w:val="002335CE"/>
    <w:rsid w:val="002362D3"/>
    <w:rsid w:val="002406EE"/>
    <w:rsid w:val="00243EC8"/>
    <w:rsid w:val="00253884"/>
    <w:rsid w:val="002545EE"/>
    <w:rsid w:val="00256CD5"/>
    <w:rsid w:val="00262B46"/>
    <w:rsid w:val="00270D93"/>
    <w:rsid w:val="002745CC"/>
    <w:rsid w:val="00283C74"/>
    <w:rsid w:val="00284570"/>
    <w:rsid w:val="0029251B"/>
    <w:rsid w:val="002A6448"/>
    <w:rsid w:val="002B0AB8"/>
    <w:rsid w:val="002B6FBE"/>
    <w:rsid w:val="002B7924"/>
    <w:rsid w:val="002C10A6"/>
    <w:rsid w:val="002C2D76"/>
    <w:rsid w:val="002C6E46"/>
    <w:rsid w:val="002D026F"/>
    <w:rsid w:val="002D28C3"/>
    <w:rsid w:val="002D39A4"/>
    <w:rsid w:val="002D7E96"/>
    <w:rsid w:val="002E6705"/>
    <w:rsid w:val="0030329A"/>
    <w:rsid w:val="0030794A"/>
    <w:rsid w:val="0031086F"/>
    <w:rsid w:val="0031414C"/>
    <w:rsid w:val="00314E01"/>
    <w:rsid w:val="0032089D"/>
    <w:rsid w:val="00324EF0"/>
    <w:rsid w:val="003310DE"/>
    <w:rsid w:val="00332057"/>
    <w:rsid w:val="003323B0"/>
    <w:rsid w:val="00336703"/>
    <w:rsid w:val="00336E51"/>
    <w:rsid w:val="00340A49"/>
    <w:rsid w:val="0035169A"/>
    <w:rsid w:val="0035259D"/>
    <w:rsid w:val="00364B18"/>
    <w:rsid w:val="003A125D"/>
    <w:rsid w:val="003A4C70"/>
    <w:rsid w:val="003B215F"/>
    <w:rsid w:val="003B4B95"/>
    <w:rsid w:val="003C799C"/>
    <w:rsid w:val="003D0399"/>
    <w:rsid w:val="003D5943"/>
    <w:rsid w:val="003D76F4"/>
    <w:rsid w:val="003E1C71"/>
    <w:rsid w:val="003E60B0"/>
    <w:rsid w:val="003E628C"/>
    <w:rsid w:val="003F327B"/>
    <w:rsid w:val="003F70F3"/>
    <w:rsid w:val="00402DA8"/>
    <w:rsid w:val="00406166"/>
    <w:rsid w:val="0040704B"/>
    <w:rsid w:val="00410A55"/>
    <w:rsid w:val="00411300"/>
    <w:rsid w:val="0041370F"/>
    <w:rsid w:val="00413F17"/>
    <w:rsid w:val="00415417"/>
    <w:rsid w:val="00426659"/>
    <w:rsid w:val="004275AB"/>
    <w:rsid w:val="004425A5"/>
    <w:rsid w:val="00450352"/>
    <w:rsid w:val="00454BDB"/>
    <w:rsid w:val="00456D47"/>
    <w:rsid w:val="00465132"/>
    <w:rsid w:val="00480C90"/>
    <w:rsid w:val="0048396F"/>
    <w:rsid w:val="00490C55"/>
    <w:rsid w:val="00493C18"/>
    <w:rsid w:val="004A600C"/>
    <w:rsid w:val="004A6118"/>
    <w:rsid w:val="004C478D"/>
    <w:rsid w:val="004D488D"/>
    <w:rsid w:val="004D7D95"/>
    <w:rsid w:val="004E2C26"/>
    <w:rsid w:val="004E32C4"/>
    <w:rsid w:val="004F1328"/>
    <w:rsid w:val="0050757A"/>
    <w:rsid w:val="005125A8"/>
    <w:rsid w:val="00517549"/>
    <w:rsid w:val="00520294"/>
    <w:rsid w:val="00520ABC"/>
    <w:rsid w:val="00521AE8"/>
    <w:rsid w:val="00527180"/>
    <w:rsid w:val="005320E5"/>
    <w:rsid w:val="00534561"/>
    <w:rsid w:val="005504FC"/>
    <w:rsid w:val="0055098F"/>
    <w:rsid w:val="00555291"/>
    <w:rsid w:val="00561C84"/>
    <w:rsid w:val="00566AD1"/>
    <w:rsid w:val="005836E1"/>
    <w:rsid w:val="00583EDE"/>
    <w:rsid w:val="005938CB"/>
    <w:rsid w:val="005967FA"/>
    <w:rsid w:val="005A6079"/>
    <w:rsid w:val="005B589B"/>
    <w:rsid w:val="005D31C9"/>
    <w:rsid w:val="005E4607"/>
    <w:rsid w:val="005E4698"/>
    <w:rsid w:val="005F5540"/>
    <w:rsid w:val="00603924"/>
    <w:rsid w:val="00610539"/>
    <w:rsid w:val="00613969"/>
    <w:rsid w:val="00625C35"/>
    <w:rsid w:val="006323D5"/>
    <w:rsid w:val="00647E49"/>
    <w:rsid w:val="00656313"/>
    <w:rsid w:val="006565F4"/>
    <w:rsid w:val="00667399"/>
    <w:rsid w:val="00667C79"/>
    <w:rsid w:val="00684EEA"/>
    <w:rsid w:val="0069689B"/>
    <w:rsid w:val="006A2D10"/>
    <w:rsid w:val="006A60B0"/>
    <w:rsid w:val="006B5FF5"/>
    <w:rsid w:val="006D000F"/>
    <w:rsid w:val="006F30AF"/>
    <w:rsid w:val="00701759"/>
    <w:rsid w:val="00705C15"/>
    <w:rsid w:val="007110F6"/>
    <w:rsid w:val="007113AE"/>
    <w:rsid w:val="00712478"/>
    <w:rsid w:val="007208D1"/>
    <w:rsid w:val="00734D06"/>
    <w:rsid w:val="00744518"/>
    <w:rsid w:val="00747288"/>
    <w:rsid w:val="00747DD3"/>
    <w:rsid w:val="007549C8"/>
    <w:rsid w:val="00766D14"/>
    <w:rsid w:val="00766ED8"/>
    <w:rsid w:val="00767A0F"/>
    <w:rsid w:val="00767E16"/>
    <w:rsid w:val="00780DBF"/>
    <w:rsid w:val="007851F9"/>
    <w:rsid w:val="00787608"/>
    <w:rsid w:val="00791272"/>
    <w:rsid w:val="007A05F6"/>
    <w:rsid w:val="007A2C96"/>
    <w:rsid w:val="007B6F4A"/>
    <w:rsid w:val="007E1C47"/>
    <w:rsid w:val="007E337A"/>
    <w:rsid w:val="007E5C70"/>
    <w:rsid w:val="007F0B4C"/>
    <w:rsid w:val="007F2FF5"/>
    <w:rsid w:val="007F3F08"/>
    <w:rsid w:val="007F706E"/>
    <w:rsid w:val="00804CC6"/>
    <w:rsid w:val="00806B8A"/>
    <w:rsid w:val="0081191A"/>
    <w:rsid w:val="00817190"/>
    <w:rsid w:val="008208FB"/>
    <w:rsid w:val="008257B6"/>
    <w:rsid w:val="008260E2"/>
    <w:rsid w:val="008322BD"/>
    <w:rsid w:val="00834F73"/>
    <w:rsid w:val="00835A0C"/>
    <w:rsid w:val="00836F4A"/>
    <w:rsid w:val="00837CC2"/>
    <w:rsid w:val="00854824"/>
    <w:rsid w:val="00864C8A"/>
    <w:rsid w:val="00864CF8"/>
    <w:rsid w:val="0087448B"/>
    <w:rsid w:val="00874914"/>
    <w:rsid w:val="00891422"/>
    <w:rsid w:val="00892E0F"/>
    <w:rsid w:val="00892E1A"/>
    <w:rsid w:val="0089519C"/>
    <w:rsid w:val="008B0772"/>
    <w:rsid w:val="008B4AEF"/>
    <w:rsid w:val="008B660A"/>
    <w:rsid w:val="008C01DA"/>
    <w:rsid w:val="008D7878"/>
    <w:rsid w:val="008F2674"/>
    <w:rsid w:val="008F5204"/>
    <w:rsid w:val="008F78E9"/>
    <w:rsid w:val="009179F9"/>
    <w:rsid w:val="00917C7A"/>
    <w:rsid w:val="00933E5E"/>
    <w:rsid w:val="00935218"/>
    <w:rsid w:val="00937C52"/>
    <w:rsid w:val="009403F3"/>
    <w:rsid w:val="00943219"/>
    <w:rsid w:val="009452C3"/>
    <w:rsid w:val="009555B7"/>
    <w:rsid w:val="009567AA"/>
    <w:rsid w:val="009602C9"/>
    <w:rsid w:val="00967374"/>
    <w:rsid w:val="00987CB6"/>
    <w:rsid w:val="009925F8"/>
    <w:rsid w:val="009A343A"/>
    <w:rsid w:val="009B2F23"/>
    <w:rsid w:val="009B57B3"/>
    <w:rsid w:val="009D2920"/>
    <w:rsid w:val="009D5A2D"/>
    <w:rsid w:val="009D5AEB"/>
    <w:rsid w:val="009E1B9B"/>
    <w:rsid w:val="009E6500"/>
    <w:rsid w:val="009F0E33"/>
    <w:rsid w:val="00A01594"/>
    <w:rsid w:val="00A117C4"/>
    <w:rsid w:val="00A120BD"/>
    <w:rsid w:val="00A149DF"/>
    <w:rsid w:val="00A1755C"/>
    <w:rsid w:val="00A21B90"/>
    <w:rsid w:val="00A22AAC"/>
    <w:rsid w:val="00A237CF"/>
    <w:rsid w:val="00A35D9D"/>
    <w:rsid w:val="00A41805"/>
    <w:rsid w:val="00A428D5"/>
    <w:rsid w:val="00A46092"/>
    <w:rsid w:val="00A51882"/>
    <w:rsid w:val="00A52AFB"/>
    <w:rsid w:val="00A53201"/>
    <w:rsid w:val="00A548CB"/>
    <w:rsid w:val="00A5521C"/>
    <w:rsid w:val="00A628C6"/>
    <w:rsid w:val="00A643E7"/>
    <w:rsid w:val="00A65F94"/>
    <w:rsid w:val="00A73C38"/>
    <w:rsid w:val="00A921A7"/>
    <w:rsid w:val="00AA175D"/>
    <w:rsid w:val="00AA33D3"/>
    <w:rsid w:val="00AA6F09"/>
    <w:rsid w:val="00AB670D"/>
    <w:rsid w:val="00AD252B"/>
    <w:rsid w:val="00AE32DB"/>
    <w:rsid w:val="00AE4156"/>
    <w:rsid w:val="00AF03C5"/>
    <w:rsid w:val="00AF280F"/>
    <w:rsid w:val="00B000D8"/>
    <w:rsid w:val="00B00F75"/>
    <w:rsid w:val="00B02C5B"/>
    <w:rsid w:val="00B145B6"/>
    <w:rsid w:val="00B279EB"/>
    <w:rsid w:val="00B45BCC"/>
    <w:rsid w:val="00B50C81"/>
    <w:rsid w:val="00B557F8"/>
    <w:rsid w:val="00B64681"/>
    <w:rsid w:val="00B73562"/>
    <w:rsid w:val="00B815FC"/>
    <w:rsid w:val="00B90DF1"/>
    <w:rsid w:val="00B93FBC"/>
    <w:rsid w:val="00B95776"/>
    <w:rsid w:val="00BA4DF9"/>
    <w:rsid w:val="00BA7DA0"/>
    <w:rsid w:val="00BB2EE4"/>
    <w:rsid w:val="00BB4C92"/>
    <w:rsid w:val="00BC2108"/>
    <w:rsid w:val="00BC2E55"/>
    <w:rsid w:val="00BD0E9E"/>
    <w:rsid w:val="00BD1BEC"/>
    <w:rsid w:val="00BD32FF"/>
    <w:rsid w:val="00BD5B5D"/>
    <w:rsid w:val="00BD74BA"/>
    <w:rsid w:val="00BF6FE9"/>
    <w:rsid w:val="00C02092"/>
    <w:rsid w:val="00C21657"/>
    <w:rsid w:val="00C24D91"/>
    <w:rsid w:val="00C26DB2"/>
    <w:rsid w:val="00C53F14"/>
    <w:rsid w:val="00C57143"/>
    <w:rsid w:val="00C600CF"/>
    <w:rsid w:val="00C6084F"/>
    <w:rsid w:val="00C62A66"/>
    <w:rsid w:val="00C66359"/>
    <w:rsid w:val="00C71458"/>
    <w:rsid w:val="00C74F7D"/>
    <w:rsid w:val="00C76E7E"/>
    <w:rsid w:val="00C77613"/>
    <w:rsid w:val="00C828E7"/>
    <w:rsid w:val="00C86719"/>
    <w:rsid w:val="00C921DD"/>
    <w:rsid w:val="00CA6391"/>
    <w:rsid w:val="00CB2B75"/>
    <w:rsid w:val="00CB64E0"/>
    <w:rsid w:val="00CD7E2B"/>
    <w:rsid w:val="00CE036E"/>
    <w:rsid w:val="00CE3171"/>
    <w:rsid w:val="00CE4234"/>
    <w:rsid w:val="00CE7EC2"/>
    <w:rsid w:val="00CF1601"/>
    <w:rsid w:val="00CF1C15"/>
    <w:rsid w:val="00D0172F"/>
    <w:rsid w:val="00D01E33"/>
    <w:rsid w:val="00D05975"/>
    <w:rsid w:val="00D068A7"/>
    <w:rsid w:val="00D17476"/>
    <w:rsid w:val="00D17B0E"/>
    <w:rsid w:val="00D24D6B"/>
    <w:rsid w:val="00D32086"/>
    <w:rsid w:val="00D37A3F"/>
    <w:rsid w:val="00D4431D"/>
    <w:rsid w:val="00D4455D"/>
    <w:rsid w:val="00D4667A"/>
    <w:rsid w:val="00D51351"/>
    <w:rsid w:val="00D55BF9"/>
    <w:rsid w:val="00D63A1C"/>
    <w:rsid w:val="00D7516F"/>
    <w:rsid w:val="00D90FFB"/>
    <w:rsid w:val="00D95F8E"/>
    <w:rsid w:val="00D96785"/>
    <w:rsid w:val="00DA0590"/>
    <w:rsid w:val="00DA0CE1"/>
    <w:rsid w:val="00DC1739"/>
    <w:rsid w:val="00DC1788"/>
    <w:rsid w:val="00DE319C"/>
    <w:rsid w:val="00DF0CA8"/>
    <w:rsid w:val="00DF2B48"/>
    <w:rsid w:val="00DF49A7"/>
    <w:rsid w:val="00DF60A8"/>
    <w:rsid w:val="00DF6AAC"/>
    <w:rsid w:val="00E07EE2"/>
    <w:rsid w:val="00E07FD1"/>
    <w:rsid w:val="00E22A97"/>
    <w:rsid w:val="00E24573"/>
    <w:rsid w:val="00E25E1E"/>
    <w:rsid w:val="00E27EE7"/>
    <w:rsid w:val="00E35404"/>
    <w:rsid w:val="00E40638"/>
    <w:rsid w:val="00E41F52"/>
    <w:rsid w:val="00E44F81"/>
    <w:rsid w:val="00E45109"/>
    <w:rsid w:val="00E47B7A"/>
    <w:rsid w:val="00E56A44"/>
    <w:rsid w:val="00E60269"/>
    <w:rsid w:val="00E655CB"/>
    <w:rsid w:val="00E67F3D"/>
    <w:rsid w:val="00E7537E"/>
    <w:rsid w:val="00E77161"/>
    <w:rsid w:val="00E8628A"/>
    <w:rsid w:val="00E97830"/>
    <w:rsid w:val="00EC6706"/>
    <w:rsid w:val="00EE0830"/>
    <w:rsid w:val="00EE5F43"/>
    <w:rsid w:val="00EE6CB8"/>
    <w:rsid w:val="00EF0683"/>
    <w:rsid w:val="00F0070C"/>
    <w:rsid w:val="00F00EB7"/>
    <w:rsid w:val="00F02544"/>
    <w:rsid w:val="00F16A71"/>
    <w:rsid w:val="00F3020A"/>
    <w:rsid w:val="00F36AB6"/>
    <w:rsid w:val="00F37A09"/>
    <w:rsid w:val="00F409CE"/>
    <w:rsid w:val="00F4379D"/>
    <w:rsid w:val="00F50D2D"/>
    <w:rsid w:val="00F56C8B"/>
    <w:rsid w:val="00F577FA"/>
    <w:rsid w:val="00F62639"/>
    <w:rsid w:val="00F66810"/>
    <w:rsid w:val="00F702BC"/>
    <w:rsid w:val="00F734FD"/>
    <w:rsid w:val="00F84DF4"/>
    <w:rsid w:val="00F85C97"/>
    <w:rsid w:val="00F87C08"/>
    <w:rsid w:val="00FA6B4F"/>
    <w:rsid w:val="00FB37D2"/>
    <w:rsid w:val="00FB4477"/>
    <w:rsid w:val="00FC4EFB"/>
    <w:rsid w:val="00FD068D"/>
    <w:rsid w:val="00FD18BB"/>
    <w:rsid w:val="00FD4F28"/>
    <w:rsid w:val="00FD69C6"/>
    <w:rsid w:val="00FE153F"/>
    <w:rsid w:val="00FE307D"/>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5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806B8A"/>
  </w:style>
  <w:style w:type="paragraph" w:styleId="ListBullet">
    <w:name w:val="List Bullet"/>
    <w:basedOn w:val="Normal"/>
    <w:uiPriority w:val="99"/>
    <w:unhideWhenUsed/>
    <w:rsid w:val="005F5540"/>
    <w:pPr>
      <w:numPr>
        <w:numId w:val="1"/>
      </w:numPr>
      <w:contextualSpacing/>
    </w:pPr>
  </w:style>
  <w:style w:type="character" w:styleId="Hyperlink">
    <w:name w:val="Hyperlink"/>
    <w:basedOn w:val="DefaultParagraphFont"/>
    <w:uiPriority w:val="99"/>
    <w:unhideWhenUsed/>
    <w:rsid w:val="00AD252B"/>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520294"/>
    <w:pPr>
      <w:spacing w:after="480"/>
    </w:pPr>
    <w:rPr>
      <w:rFonts w:eastAsiaTheme="minorHAnsi" w:cstheme="minorBidi"/>
      <w:szCs w:val="22"/>
      <w:lang w:eastAsia="en-US"/>
    </w:rPr>
  </w:style>
  <w:style w:type="paragraph" w:customStyle="1" w:styleId="SCCCoram">
    <w:name w:val="SCC.Coram"/>
    <w:basedOn w:val="Normal"/>
    <w:next w:val="Normal"/>
    <w:link w:val="SCCCoramChar"/>
    <w:rsid w:val="0052029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2029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20294"/>
    <w:rPr>
      <w:rFonts w:eastAsiaTheme="minorHAnsi" w:cstheme="minorBidi"/>
      <w:sz w:val="24"/>
      <w:szCs w:val="22"/>
      <w:lang w:eastAsia="en-US"/>
    </w:rPr>
  </w:style>
  <w:style w:type="character" w:customStyle="1" w:styleId="SCCBanSummaryChar">
    <w:name w:val="SCC.BanSummary Char"/>
    <w:basedOn w:val="DefaultParagraphFont"/>
    <w:link w:val="SCCBanSummary"/>
    <w:rsid w:val="00520294"/>
    <w:rPr>
      <w:b/>
      <w:sz w:val="24"/>
    </w:rPr>
  </w:style>
  <w:style w:type="table" w:styleId="TableGrid">
    <w:name w:val="Table Grid"/>
    <w:basedOn w:val="TableNormal"/>
    <w:uiPriority w:val="59"/>
    <w:rsid w:val="0052029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2029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2029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20294"/>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520294"/>
    <w:pPr>
      <w:numPr>
        <w:numId w:val="7"/>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20294"/>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2029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20294"/>
    <w:pPr>
      <w:numPr>
        <w:ilvl w:val="2"/>
      </w:numPr>
      <w:outlineLvl w:val="2"/>
    </w:pPr>
  </w:style>
  <w:style w:type="paragraph" w:customStyle="1" w:styleId="Title4LevelTitre4Niveau">
    <w:name w:val="Title 4 Level / Titre 4 Niveau"/>
    <w:basedOn w:val="Title3LevelTitre3Niveau"/>
    <w:next w:val="ParaNoNdepar-AltN"/>
    <w:uiPriority w:val="4"/>
    <w:qFormat/>
    <w:rsid w:val="0052029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20294"/>
    <w:pPr>
      <w:numPr>
        <w:ilvl w:val="4"/>
      </w:numPr>
      <w:outlineLvl w:val="4"/>
    </w:pPr>
  </w:style>
  <w:style w:type="paragraph" w:styleId="TOC1">
    <w:name w:val="toc 1"/>
    <w:basedOn w:val="Normal"/>
    <w:next w:val="Normal"/>
    <w:autoRedefine/>
    <w:uiPriority w:val="39"/>
    <w:unhideWhenUsed/>
    <w:rsid w:val="0052029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2029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2029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2029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2029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20294"/>
    <w:pPr>
      <w:tabs>
        <w:tab w:val="left" w:pos="2160"/>
        <w:tab w:val="right" w:leader="dot" w:pos="8270"/>
      </w:tabs>
      <w:spacing w:after="100"/>
      <w:ind w:left="1800"/>
    </w:pPr>
    <w:rPr>
      <w:noProof/>
    </w:rPr>
  </w:style>
  <w:style w:type="table" w:customStyle="1" w:styleId="TableGrid1">
    <w:name w:val="Table Grid1"/>
    <w:basedOn w:val="TableNormal"/>
    <w:uiPriority w:val="59"/>
    <w:rsid w:val="0052029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2029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20294"/>
    <w:pPr>
      <w:numPr>
        <w:ilvl w:val="5"/>
      </w:numPr>
      <w:outlineLvl w:val="5"/>
    </w:pPr>
    <w:rPr>
      <w:i/>
      <w:u w:val="none"/>
    </w:rPr>
  </w:style>
  <w:style w:type="paragraph" w:styleId="FootnoteText">
    <w:name w:val="footnote text"/>
    <w:basedOn w:val="Normal"/>
    <w:link w:val="FootnoteTextChar"/>
    <w:uiPriority w:val="99"/>
    <w:unhideWhenUsed/>
    <w:rsid w:val="0052029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20294"/>
  </w:style>
  <w:style w:type="character" w:styleId="FootnoteReference">
    <w:name w:val="footnote reference"/>
    <w:basedOn w:val="DefaultParagraphFont"/>
    <w:uiPriority w:val="99"/>
    <w:semiHidden/>
    <w:unhideWhenUsed/>
    <w:rsid w:val="00520294"/>
    <w:rPr>
      <w:vertAlign w:val="superscript"/>
    </w:rPr>
  </w:style>
  <w:style w:type="paragraph" w:styleId="ListParagraph">
    <w:name w:val="List Paragraph"/>
    <w:basedOn w:val="Normal"/>
    <w:uiPriority w:val="34"/>
    <w:qFormat/>
    <w:rsid w:val="00520294"/>
    <w:pPr>
      <w:spacing w:after="200" w:line="276" w:lineRule="auto"/>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520294"/>
    <w:rPr>
      <w:sz w:val="16"/>
      <w:szCs w:val="16"/>
    </w:rPr>
  </w:style>
  <w:style w:type="paragraph" w:styleId="CommentText">
    <w:name w:val="annotation text"/>
    <w:basedOn w:val="Normal"/>
    <w:link w:val="CommentTextChar"/>
    <w:uiPriority w:val="99"/>
    <w:semiHidden/>
    <w:unhideWhenUsed/>
    <w:rsid w:val="00520294"/>
    <w:rPr>
      <w:sz w:val="20"/>
    </w:rPr>
  </w:style>
  <w:style w:type="character" w:customStyle="1" w:styleId="CommentTextChar">
    <w:name w:val="Comment Text Char"/>
    <w:basedOn w:val="DefaultParagraphFont"/>
    <w:link w:val="CommentText"/>
    <w:uiPriority w:val="99"/>
    <w:semiHidden/>
    <w:rsid w:val="00520294"/>
  </w:style>
  <w:style w:type="paragraph" w:styleId="CommentSubject">
    <w:name w:val="annotation subject"/>
    <w:basedOn w:val="CommentText"/>
    <w:next w:val="CommentText"/>
    <w:link w:val="CommentSubjectChar"/>
    <w:uiPriority w:val="99"/>
    <w:semiHidden/>
    <w:unhideWhenUsed/>
    <w:rsid w:val="00520294"/>
    <w:rPr>
      <w:b/>
      <w:bCs/>
    </w:rPr>
  </w:style>
  <w:style w:type="character" w:customStyle="1" w:styleId="CommentSubjectChar">
    <w:name w:val="Comment Subject Char"/>
    <w:basedOn w:val="CommentTextChar"/>
    <w:link w:val="CommentSubject"/>
    <w:uiPriority w:val="99"/>
    <w:semiHidden/>
    <w:rsid w:val="00520294"/>
    <w:rPr>
      <w:b/>
      <w:bCs/>
    </w:rPr>
  </w:style>
  <w:style w:type="character" w:customStyle="1" w:styleId="ParaNoNdepar-AltNChar">
    <w:name w:val="Para. No. / Nº de par. - Alt N Char"/>
    <w:basedOn w:val="DefaultParagraphFont"/>
    <w:link w:val="ParaNoNdepar-AltN"/>
    <w:locked/>
    <w:rsid w:val="00520294"/>
    <w:rPr>
      <w:rFonts w:eastAsiaTheme="minorEastAsia" w:cstheme="minorBidi"/>
      <w:sz w:val="24"/>
      <w:szCs w:val="22"/>
      <w:lang w:eastAsia="en-US"/>
    </w:rPr>
  </w:style>
  <w:style w:type="paragraph" w:customStyle="1" w:styleId="secheading">
    <w:name w:val="secheading"/>
    <w:basedOn w:val="Normal"/>
    <w:rsid w:val="00520294"/>
    <w:pPr>
      <w:spacing w:before="100" w:beforeAutospacing="1" w:after="100" w:afterAutospacing="1"/>
    </w:pPr>
    <w:rPr>
      <w:szCs w:val="24"/>
      <w:lang w:val="en-US" w:eastAsia="en-US"/>
    </w:rPr>
  </w:style>
  <w:style w:type="paragraph" w:styleId="NormalWeb">
    <w:name w:val="Normal (Web)"/>
    <w:basedOn w:val="Normal"/>
    <w:uiPriority w:val="99"/>
    <w:semiHidden/>
    <w:unhideWhenUsed/>
    <w:rsid w:val="00520294"/>
    <w:pPr>
      <w:spacing w:before="100" w:beforeAutospacing="1" w:after="100" w:afterAutospacing="1"/>
    </w:pPr>
    <w:rPr>
      <w:szCs w:val="24"/>
      <w:lang w:val="en-US" w:eastAsia="en-US"/>
    </w:rPr>
  </w:style>
  <w:style w:type="paragraph" w:customStyle="1" w:styleId="ind1c">
    <w:name w:val="ind1c"/>
    <w:basedOn w:val="Normal"/>
    <w:rsid w:val="00520294"/>
    <w:pPr>
      <w:spacing w:before="100" w:beforeAutospacing="1" w:after="100" w:afterAutospacing="1"/>
    </w:pPr>
    <w:rPr>
      <w:szCs w:val="24"/>
      <w:lang w:val="en-US" w:eastAsia="en-US"/>
    </w:rPr>
  </w:style>
  <w:style w:type="paragraph" w:customStyle="1" w:styleId="ind2c">
    <w:name w:val="ind2c"/>
    <w:basedOn w:val="Normal"/>
    <w:rsid w:val="00520294"/>
    <w:pPr>
      <w:spacing w:before="100" w:beforeAutospacing="1" w:after="100" w:afterAutospacing="1"/>
    </w:pPr>
    <w:rPr>
      <w:szCs w:val="24"/>
      <w:lang w:val="en-US" w:eastAsia="en-US"/>
    </w:rPr>
  </w:style>
  <w:style w:type="paragraph" w:styleId="EndnoteText">
    <w:name w:val="endnote text"/>
    <w:basedOn w:val="Normal"/>
    <w:link w:val="EndnoteTextChar"/>
    <w:uiPriority w:val="99"/>
    <w:semiHidden/>
    <w:unhideWhenUsed/>
    <w:rsid w:val="00520294"/>
    <w:rPr>
      <w:sz w:val="20"/>
    </w:rPr>
  </w:style>
  <w:style w:type="character" w:customStyle="1" w:styleId="EndnoteTextChar">
    <w:name w:val="Endnote Text Char"/>
    <w:basedOn w:val="DefaultParagraphFont"/>
    <w:link w:val="EndnoteText"/>
    <w:uiPriority w:val="99"/>
    <w:semiHidden/>
    <w:rsid w:val="00520294"/>
  </w:style>
  <w:style w:type="character" w:styleId="EndnoteReference">
    <w:name w:val="endnote reference"/>
    <w:basedOn w:val="DefaultParagraphFont"/>
    <w:uiPriority w:val="99"/>
    <w:semiHidden/>
    <w:unhideWhenUsed/>
    <w:rsid w:val="00520294"/>
    <w:rPr>
      <w:vertAlign w:val="superscript"/>
    </w:rPr>
  </w:style>
  <w:style w:type="table" w:customStyle="1" w:styleId="TableGrid2">
    <w:name w:val="Table Grid2"/>
    <w:basedOn w:val="TableNormal"/>
    <w:next w:val="TableGrid"/>
    <w:uiPriority w:val="59"/>
    <w:rsid w:val="0052029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B2B75"/>
    <w:rPr>
      <w:lang w:val="fr-CA"/>
    </w:rPr>
  </w:style>
  <w:style w:type="paragraph" w:customStyle="1" w:styleId="SCCLsocPrefix">
    <w:name w:val="SCC.Lsoc.Prefix"/>
    <w:basedOn w:val="Normal"/>
    <w:next w:val="Normal"/>
    <w:link w:val="SCCLsocPrefixChar"/>
    <w:rsid w:val="00CB2B7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B2B75"/>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9192">
      <w:bodyDiv w:val="1"/>
      <w:marLeft w:val="0"/>
      <w:marRight w:val="0"/>
      <w:marTop w:val="0"/>
      <w:marBottom w:val="0"/>
      <w:divBdr>
        <w:top w:val="none" w:sz="0" w:space="0" w:color="auto"/>
        <w:left w:val="none" w:sz="0" w:space="0" w:color="auto"/>
        <w:bottom w:val="none" w:sz="0" w:space="0" w:color="auto"/>
        <w:right w:val="none" w:sz="0" w:space="0" w:color="auto"/>
      </w:divBdr>
    </w:div>
    <w:div w:id="610667270">
      <w:bodyDiv w:val="1"/>
      <w:marLeft w:val="0"/>
      <w:marRight w:val="0"/>
      <w:marTop w:val="0"/>
      <w:marBottom w:val="0"/>
      <w:divBdr>
        <w:top w:val="none" w:sz="0" w:space="0" w:color="auto"/>
        <w:left w:val="none" w:sz="0" w:space="0" w:color="auto"/>
        <w:bottom w:val="none" w:sz="0" w:space="0" w:color="auto"/>
        <w:right w:val="none" w:sz="0" w:space="0" w:color="auto"/>
      </w:divBdr>
    </w:div>
    <w:div w:id="1230112898">
      <w:bodyDiv w:val="1"/>
      <w:marLeft w:val="0"/>
      <w:marRight w:val="0"/>
      <w:marTop w:val="0"/>
      <w:marBottom w:val="0"/>
      <w:divBdr>
        <w:top w:val="none" w:sz="0" w:space="0" w:color="auto"/>
        <w:left w:val="none" w:sz="0" w:space="0" w:color="auto"/>
        <w:bottom w:val="none" w:sz="0" w:space="0" w:color="auto"/>
        <w:right w:val="none" w:sz="0" w:space="0" w:color="auto"/>
      </w:divBdr>
      <w:divsChild>
        <w:div w:id="382949257">
          <w:marLeft w:val="0"/>
          <w:marRight w:val="0"/>
          <w:marTop w:val="0"/>
          <w:marBottom w:val="600"/>
          <w:divBdr>
            <w:top w:val="none" w:sz="0" w:space="0" w:color="auto"/>
            <w:left w:val="none" w:sz="0" w:space="0" w:color="auto"/>
            <w:bottom w:val="none" w:sz="0" w:space="0" w:color="auto"/>
            <w:right w:val="none" w:sz="0" w:space="0" w:color="auto"/>
          </w:divBdr>
          <w:divsChild>
            <w:div w:id="1705443795">
              <w:marLeft w:val="72"/>
              <w:marRight w:val="72"/>
              <w:marTop w:val="0"/>
              <w:marBottom w:val="0"/>
              <w:divBdr>
                <w:top w:val="none" w:sz="0" w:space="0" w:color="auto"/>
                <w:left w:val="none" w:sz="0" w:space="0" w:color="auto"/>
                <w:bottom w:val="none" w:sz="0" w:space="0" w:color="auto"/>
                <w:right w:val="none" w:sz="0" w:space="0" w:color="auto"/>
              </w:divBdr>
              <w:divsChild>
                <w:div w:id="12860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c-csc.ca/cso-dce/2017SCC-CSC20_2_eng.pdf" TargetMode="External"/><Relationship Id="rId4" Type="http://schemas.openxmlformats.org/officeDocument/2006/relationships/webSettings" Target="webSettings.xml"/><Relationship Id="rId9" Type="http://schemas.openxmlformats.org/officeDocument/2006/relationships/hyperlink" Target="http://www.scc-csc.ca/cso-dce/2017SCC-CSC20_1_fr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13560</Words>
  <Characters>70294</Characters>
  <Application>Microsoft Office Word</Application>
  <DocSecurity>0</DocSecurity>
  <Lines>585</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2017-03-30T15:26:00Z</dcterms:created>
  <dcterms:modified xsi:type="dcterms:W3CDTF">2018-03-02T16:43:00Z</dcterms:modified>
</cp:coreProperties>
</file>