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07" w:rsidRDefault="00B34C07" w:rsidP="00B34C07">
      <w:pPr>
        <w:pStyle w:val="En-tte"/>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69837945" r:id="rId8"/>
        </w:object>
      </w:r>
      <w:r>
        <w:t xml:space="preserve"> </w:t>
      </w:r>
      <w:r>
        <w:ptab w:relativeTo="margin" w:alignment="right" w:leader="none"/>
      </w:r>
    </w:p>
    <w:p w:rsidR="00B34C07" w:rsidRDefault="00B34C07" w:rsidP="00B34C07">
      <w:pPr>
        <w:pStyle w:val="En-tte"/>
      </w:pPr>
    </w:p>
    <w:p w:rsidR="00B34C07" w:rsidRPr="001E12E2" w:rsidRDefault="00B34C07" w:rsidP="00B34C07">
      <w:pPr>
        <w:jc w:val="center"/>
        <w:rPr>
          <w:b/>
        </w:rPr>
      </w:pPr>
      <w:r w:rsidRPr="001E12E2">
        <w:rPr>
          <w:b/>
        </w:rPr>
        <w:t>COUR SUPRÊME DU CANADA</w:t>
      </w:r>
    </w:p>
    <w:p w:rsidR="00B34C07" w:rsidRDefault="00B34C07" w:rsidP="00B34C07"/>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1638"/>
        <w:gridCol w:w="2808"/>
      </w:tblGrid>
      <w:tr w:rsidR="00B34C07" w:rsidRPr="001E12E2" w:rsidTr="001D6433">
        <w:trPr>
          <w:cantSplit/>
        </w:trPr>
        <w:tc>
          <w:tcPr>
            <w:tcW w:w="6768" w:type="dxa"/>
            <w:gridSpan w:val="2"/>
          </w:tcPr>
          <w:p w:rsidR="00B34C07" w:rsidRPr="001E12E2" w:rsidRDefault="00B34C07" w:rsidP="001D6433"/>
        </w:tc>
        <w:tc>
          <w:tcPr>
            <w:tcW w:w="2808" w:type="dxa"/>
          </w:tcPr>
          <w:p w:rsidR="00B34C07" w:rsidRPr="001E12E2" w:rsidRDefault="00B34C07" w:rsidP="001D6433"/>
        </w:tc>
      </w:tr>
      <w:tr w:rsidR="00B34C07" w:rsidRPr="001E12E2" w:rsidTr="001D6433">
        <w:trPr>
          <w:cantSplit/>
        </w:trPr>
        <w:tc>
          <w:tcPr>
            <w:tcW w:w="5130" w:type="dxa"/>
          </w:tcPr>
          <w:p w:rsidR="00B34C07" w:rsidRPr="00B34C07" w:rsidRDefault="00B34C07" w:rsidP="001D6433">
            <w:pPr>
              <w:ind w:right="-58"/>
              <w:rPr>
                <w:lang w:val="fr-CA"/>
              </w:rPr>
            </w:pPr>
            <w:r w:rsidRPr="00B34C07">
              <w:rPr>
                <w:b/>
                <w:smallCaps/>
                <w:lang w:val="fr-CA"/>
              </w:rPr>
              <w:t>Référence :</w:t>
            </w:r>
            <w:r w:rsidRPr="00B34C07">
              <w:rPr>
                <w:lang w:val="fr-CA"/>
              </w:rPr>
              <w:t xml:space="preserve"> Desjardins Sécurité financière, compagnie d’assurance vie </w:t>
            </w:r>
            <w:r w:rsidRPr="00B34C07">
              <w:rPr>
                <w:i/>
                <w:lang w:val="fr-CA"/>
              </w:rPr>
              <w:t>c.</w:t>
            </w:r>
            <w:r w:rsidRPr="00B34C07">
              <w:rPr>
                <w:lang w:val="fr-CA"/>
              </w:rPr>
              <w:t xml:space="preserve"> </w:t>
            </w:r>
            <w:proofErr w:type="spellStart"/>
            <w:r w:rsidRPr="00B34C07">
              <w:rPr>
                <w:lang w:val="fr-CA"/>
              </w:rPr>
              <w:t>Émond</w:t>
            </w:r>
            <w:proofErr w:type="spellEnd"/>
            <w:r w:rsidRPr="00B34C07">
              <w:rPr>
                <w:lang w:val="fr-CA"/>
              </w:rPr>
              <w:t>, 2017 CSC 19, [2017] 1 R.C.S. 358</w:t>
            </w:r>
          </w:p>
        </w:tc>
        <w:tc>
          <w:tcPr>
            <w:tcW w:w="4446" w:type="dxa"/>
            <w:gridSpan w:val="2"/>
          </w:tcPr>
          <w:p w:rsidR="00B34C07" w:rsidRPr="00B34C07" w:rsidRDefault="00B34C07" w:rsidP="001D6433">
            <w:pPr>
              <w:rPr>
                <w:lang w:val="fr-CA"/>
              </w:rPr>
            </w:pPr>
            <w:r w:rsidRPr="00B34C07">
              <w:rPr>
                <w:b/>
                <w:smallCaps/>
                <w:lang w:val="fr-CA"/>
              </w:rPr>
              <w:t>Appel entendu :</w:t>
            </w:r>
            <w:r w:rsidRPr="00B34C07">
              <w:rPr>
                <w:lang w:val="fr-CA"/>
              </w:rPr>
              <w:t xml:space="preserve"> 29 mars 2017</w:t>
            </w:r>
          </w:p>
          <w:p w:rsidR="00B34C07" w:rsidRPr="00B34C07" w:rsidRDefault="00B34C07" w:rsidP="001D6433">
            <w:pPr>
              <w:rPr>
                <w:smallCaps/>
                <w:lang w:val="fr-CA"/>
              </w:rPr>
            </w:pPr>
            <w:r w:rsidRPr="00B34C07">
              <w:rPr>
                <w:b/>
                <w:smallCaps/>
                <w:lang w:val="fr-CA"/>
              </w:rPr>
              <w:t>Jugement rendu :</w:t>
            </w:r>
            <w:r w:rsidRPr="00B34C07">
              <w:rPr>
                <w:lang w:val="fr-CA"/>
              </w:rPr>
              <w:t xml:space="preserve"> 29 mars 2017</w:t>
            </w:r>
          </w:p>
          <w:p w:rsidR="00B34C07" w:rsidRPr="001E12E2" w:rsidRDefault="00B34C07" w:rsidP="001D6433">
            <w:r w:rsidRPr="001E12E2">
              <w:rPr>
                <w:b/>
                <w:smallCaps/>
              </w:rPr>
              <w:t>Do</w:t>
            </w:r>
            <w:r>
              <w:rPr>
                <w:b/>
                <w:smallCaps/>
              </w:rPr>
              <w:t>ssier :</w:t>
            </w:r>
            <w:r w:rsidRPr="001E12E2">
              <w:t xml:space="preserve"> </w:t>
            </w:r>
            <w:r>
              <w:t>36919</w:t>
            </w:r>
          </w:p>
        </w:tc>
      </w:tr>
    </w:tbl>
    <w:p w:rsidR="00B34C07" w:rsidRDefault="00B34C07" w:rsidP="00B34C07"/>
    <w:p w:rsidR="00B34C07" w:rsidRPr="001E12E2" w:rsidRDefault="00B34C07" w:rsidP="00B34C07"/>
    <w:p w:rsidR="00B34C07" w:rsidRDefault="00B34C07" w:rsidP="00B34C07">
      <w:pPr>
        <w:pStyle w:val="SCCLsocPrefix"/>
      </w:pPr>
      <w:r>
        <w:t>Entre :</w:t>
      </w:r>
    </w:p>
    <w:p w:rsidR="00B34C07" w:rsidRPr="00B34C07" w:rsidRDefault="00B34C07" w:rsidP="00B34C07">
      <w:pPr>
        <w:jc w:val="center"/>
        <w:rPr>
          <w:b/>
          <w:lang w:val="fr-CA"/>
        </w:rPr>
      </w:pPr>
      <w:r w:rsidRPr="00B34C07">
        <w:rPr>
          <w:b/>
          <w:lang w:val="fr-CA"/>
        </w:rPr>
        <w:t>Desjardins Sécurité financière, compagnie d’assurance vie</w:t>
      </w:r>
    </w:p>
    <w:p w:rsidR="00B34C07" w:rsidRPr="00B34C07" w:rsidRDefault="00B34C07" w:rsidP="00B34C07">
      <w:pPr>
        <w:jc w:val="center"/>
        <w:rPr>
          <w:lang w:val="fr-CA"/>
        </w:rPr>
      </w:pPr>
      <w:r w:rsidRPr="00B34C07">
        <w:rPr>
          <w:lang w:val="fr-CA"/>
        </w:rPr>
        <w:t>Appelante</w:t>
      </w:r>
    </w:p>
    <w:p w:rsidR="00B34C07" w:rsidRPr="00B34C07" w:rsidRDefault="00B34C07" w:rsidP="00B34C07">
      <w:pPr>
        <w:jc w:val="center"/>
        <w:rPr>
          <w:lang w:val="fr-CA"/>
        </w:rPr>
      </w:pPr>
    </w:p>
    <w:p w:rsidR="00B34C07" w:rsidRPr="00B34C07" w:rsidRDefault="00B34C07" w:rsidP="00B34C07">
      <w:pPr>
        <w:pStyle w:val="SCCLsocVersus"/>
        <w:spacing w:after="0"/>
        <w:jc w:val="center"/>
        <w:rPr>
          <w:i w:val="0"/>
          <w:lang w:val="fr-CA"/>
        </w:rPr>
      </w:pPr>
      <w:proofErr w:type="gramStart"/>
      <w:r w:rsidRPr="00B34C07">
        <w:rPr>
          <w:i w:val="0"/>
          <w:lang w:val="fr-CA"/>
        </w:rPr>
        <w:t>et</w:t>
      </w:r>
      <w:proofErr w:type="gramEnd"/>
    </w:p>
    <w:p w:rsidR="00B34C07" w:rsidRPr="00B34C07" w:rsidRDefault="00B34C07" w:rsidP="00B34C07">
      <w:pPr>
        <w:jc w:val="center"/>
        <w:rPr>
          <w:lang w:val="fr-CA"/>
        </w:rPr>
      </w:pPr>
    </w:p>
    <w:p w:rsidR="0073776F" w:rsidRDefault="00B34C07" w:rsidP="00B34C07">
      <w:pPr>
        <w:pStyle w:val="SCCLsocParty"/>
        <w:widowControl w:val="0"/>
        <w:jc w:val="center"/>
        <w:rPr>
          <w:lang w:val="fr-CA"/>
        </w:rPr>
      </w:pPr>
      <w:r w:rsidRPr="00B34C07">
        <w:rPr>
          <w:lang w:val="fr-CA"/>
        </w:rPr>
        <w:t xml:space="preserve">Mariette </w:t>
      </w:r>
      <w:proofErr w:type="spellStart"/>
      <w:r w:rsidRPr="00B34C07">
        <w:rPr>
          <w:lang w:val="fr-CA"/>
        </w:rPr>
        <w:t>Émond</w:t>
      </w:r>
      <w:proofErr w:type="spellEnd"/>
      <w:r w:rsidRPr="00B34C07">
        <w:rPr>
          <w:lang w:val="fr-CA"/>
        </w:rPr>
        <w:t xml:space="preserve">, Victor Foisy et </w:t>
      </w:r>
    </w:p>
    <w:p w:rsidR="00B34C07" w:rsidRPr="00B34C07" w:rsidRDefault="00B34C07" w:rsidP="00B34C07">
      <w:pPr>
        <w:pStyle w:val="SCCLsocParty"/>
        <w:widowControl w:val="0"/>
        <w:jc w:val="center"/>
        <w:rPr>
          <w:lang w:val="fr-CA"/>
        </w:rPr>
      </w:pPr>
      <w:r w:rsidRPr="00B34C07">
        <w:rPr>
          <w:lang w:val="fr-CA"/>
        </w:rPr>
        <w:t>Sabrina Foisy</w:t>
      </w:r>
    </w:p>
    <w:p w:rsidR="00B34C07" w:rsidRPr="00B34C07" w:rsidRDefault="00B34C07" w:rsidP="00B34C07">
      <w:pPr>
        <w:jc w:val="center"/>
        <w:rPr>
          <w:lang w:val="fr-CA"/>
        </w:rPr>
      </w:pPr>
      <w:r w:rsidRPr="00B34C07">
        <w:rPr>
          <w:lang w:val="fr-CA"/>
        </w:rPr>
        <w:t>Intimés</w:t>
      </w:r>
    </w:p>
    <w:p w:rsidR="00B34C07" w:rsidRPr="00B34C07" w:rsidRDefault="00B34C07" w:rsidP="00B34C07">
      <w:pPr>
        <w:rPr>
          <w:lang w:val="fr-CA"/>
        </w:rPr>
      </w:pPr>
    </w:p>
    <w:p w:rsidR="00B34C07" w:rsidRPr="00B34C07" w:rsidRDefault="00B34C07" w:rsidP="00B34C07">
      <w:pPr>
        <w:rPr>
          <w:lang w:val="fr-CA"/>
        </w:rPr>
      </w:pPr>
    </w:p>
    <w:p w:rsidR="00B34C07" w:rsidRPr="00B34C07" w:rsidRDefault="00B34C07" w:rsidP="00B34C07">
      <w:pPr>
        <w:rPr>
          <w:lang w:val="fr-CA"/>
        </w:rPr>
      </w:pPr>
      <w:r w:rsidRPr="00B34C07">
        <w:rPr>
          <w:b/>
          <w:smallCaps/>
          <w:lang w:val="fr-CA"/>
        </w:rPr>
        <w:t>Coram :</w:t>
      </w:r>
      <w:r w:rsidRPr="00B34C07">
        <w:rPr>
          <w:lang w:val="fr-CA"/>
        </w:rPr>
        <w:t xml:space="preserve"> Les juges Abella, </w:t>
      </w:r>
      <w:proofErr w:type="spellStart"/>
      <w:r w:rsidRPr="00B34C07">
        <w:rPr>
          <w:lang w:val="fr-CA"/>
        </w:rPr>
        <w:t>Moldaver</w:t>
      </w:r>
      <w:proofErr w:type="spellEnd"/>
      <w:r w:rsidRPr="00B34C07">
        <w:rPr>
          <w:lang w:val="fr-CA"/>
        </w:rPr>
        <w:t xml:space="preserve">, </w:t>
      </w:r>
      <w:proofErr w:type="spellStart"/>
      <w:r w:rsidRPr="00B34C07">
        <w:rPr>
          <w:lang w:val="fr-CA"/>
        </w:rPr>
        <w:t>Karakatsanis</w:t>
      </w:r>
      <w:proofErr w:type="spellEnd"/>
      <w:r w:rsidRPr="00B34C07">
        <w:rPr>
          <w:lang w:val="fr-CA"/>
        </w:rPr>
        <w:t>, Wagner, Gascon, Côté et Brown</w:t>
      </w:r>
    </w:p>
    <w:p w:rsidR="00B34C07" w:rsidRPr="00B34C07" w:rsidRDefault="00B34C07" w:rsidP="00B34C07">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34C07" w:rsidRPr="00ED42DC" w:rsidTr="001D6433">
        <w:trPr>
          <w:cantSplit/>
        </w:trPr>
        <w:tc>
          <w:tcPr>
            <w:tcW w:w="3618" w:type="dxa"/>
          </w:tcPr>
          <w:p w:rsidR="00B34C07" w:rsidRPr="00B34C07" w:rsidRDefault="00B34C07" w:rsidP="001D6433">
            <w:pPr>
              <w:rPr>
                <w:b/>
                <w:smallCaps/>
                <w:lang w:val="fr-CA"/>
              </w:rPr>
            </w:pPr>
            <w:r w:rsidRPr="00B34C07">
              <w:rPr>
                <w:b/>
                <w:smallCaps/>
                <w:lang w:val="fr-CA"/>
              </w:rPr>
              <w:t>Motifs de jugement :</w:t>
            </w:r>
          </w:p>
          <w:p w:rsidR="00B34C07" w:rsidRPr="00B34C07" w:rsidRDefault="00B34C07" w:rsidP="001D6433">
            <w:pPr>
              <w:rPr>
                <w:lang w:val="fr-CA"/>
              </w:rPr>
            </w:pPr>
            <w:r w:rsidRPr="00B34C07">
              <w:rPr>
                <w:lang w:val="fr-CA"/>
              </w:rPr>
              <w:t>(par. 1 à 5)</w:t>
            </w:r>
          </w:p>
        </w:tc>
        <w:tc>
          <w:tcPr>
            <w:tcW w:w="5958" w:type="dxa"/>
          </w:tcPr>
          <w:p w:rsidR="00B34C07" w:rsidRPr="00B34C07" w:rsidRDefault="00B34C07" w:rsidP="001D6433">
            <w:pPr>
              <w:rPr>
                <w:lang w:val="fr-CA"/>
              </w:rPr>
            </w:pPr>
            <w:r w:rsidRPr="00B34C07">
              <w:rPr>
                <w:lang w:val="fr-CA"/>
              </w:rPr>
              <w:t xml:space="preserve">Le juge Wagner (avec l’accord des juges Abella, </w:t>
            </w:r>
            <w:proofErr w:type="spellStart"/>
            <w:r w:rsidRPr="00B34C07">
              <w:rPr>
                <w:lang w:val="fr-CA"/>
              </w:rPr>
              <w:t>Moldaver</w:t>
            </w:r>
            <w:proofErr w:type="spellEnd"/>
            <w:r w:rsidRPr="00B34C07">
              <w:rPr>
                <w:lang w:val="fr-CA"/>
              </w:rPr>
              <w:t xml:space="preserve">, </w:t>
            </w:r>
            <w:proofErr w:type="spellStart"/>
            <w:r w:rsidRPr="00B34C07">
              <w:rPr>
                <w:lang w:val="fr-CA"/>
              </w:rPr>
              <w:t>Karakatsanis</w:t>
            </w:r>
            <w:proofErr w:type="spellEnd"/>
            <w:r w:rsidRPr="00B34C07">
              <w:rPr>
                <w:lang w:val="fr-CA"/>
              </w:rPr>
              <w:t>, Gascon, Côté et Brown)</w:t>
            </w:r>
          </w:p>
        </w:tc>
      </w:tr>
    </w:tbl>
    <w:p w:rsidR="00B34C07" w:rsidRPr="00B34C07" w:rsidRDefault="00B34C07" w:rsidP="00B34C07">
      <w:pPr>
        <w:rPr>
          <w:lang w:val="fr-CA"/>
        </w:rPr>
      </w:pPr>
    </w:p>
    <w:p w:rsidR="00B34C07" w:rsidRPr="00B34C07" w:rsidRDefault="00B34C07" w:rsidP="00B34C07">
      <w:pPr>
        <w:rPr>
          <w:lang w:val="fr-CA"/>
        </w:rPr>
      </w:pPr>
      <w:r>
        <w:rPr>
          <w:noProof/>
          <w:lang w:val="fr-CA" w:eastAsia="fr-CA"/>
        </w:rPr>
        <mc:AlternateContent>
          <mc:Choice Requires="wps">
            <w:drawing>
              <wp:anchor distT="0" distB="0" distL="114300" distR="114300" simplePos="0" relativeHeight="251659264" behindDoc="0" locked="0" layoutInCell="1" allowOverlap="1" wp14:anchorId="4D4E0C8D" wp14:editId="46446C5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5AB7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34C07" w:rsidRDefault="00B34C07" w:rsidP="001B3B94">
      <w:pPr>
        <w:widowControl w:val="0"/>
        <w:spacing w:line="480" w:lineRule="auto"/>
        <w:jc w:val="both"/>
        <w:rPr>
          <w:rStyle w:val="SCCAppellantForRunningHeadChar"/>
          <w:smallCaps w:val="0"/>
          <w:lang w:val="fr-CA"/>
        </w:rPr>
      </w:pPr>
    </w:p>
    <w:p w:rsidR="004D7D95" w:rsidRPr="00527467" w:rsidRDefault="00527467" w:rsidP="00ED42DC">
      <w:pPr>
        <w:widowControl w:val="0"/>
        <w:jc w:val="both"/>
        <w:rPr>
          <w:smallCaps/>
          <w:lang w:val="fr-CA"/>
        </w:rPr>
      </w:pPr>
      <w:r>
        <w:rPr>
          <w:rStyle w:val="SCCAppellantForRunningHeadChar"/>
          <w:smallCaps w:val="0"/>
          <w:lang w:val="fr-CA"/>
        </w:rPr>
        <w:t>D</w:t>
      </w:r>
      <w:r w:rsidR="005966A5" w:rsidRPr="00527467">
        <w:rPr>
          <w:rStyle w:val="SCCAppellantForRunningHeadChar"/>
          <w:smallCaps w:val="0"/>
          <w:lang w:val="fr-CA"/>
        </w:rPr>
        <w:t xml:space="preserve">esjardins </w:t>
      </w:r>
      <w:r>
        <w:rPr>
          <w:rStyle w:val="SCCAppellantForRunningHeadChar"/>
          <w:smallCaps w:val="0"/>
          <w:lang w:val="fr-CA"/>
        </w:rPr>
        <w:t>S</w:t>
      </w:r>
      <w:r w:rsidR="005966A5" w:rsidRPr="00527467">
        <w:rPr>
          <w:rStyle w:val="SCCAppellantForRunningHeadChar"/>
          <w:smallCaps w:val="0"/>
          <w:lang w:val="fr-CA"/>
        </w:rPr>
        <w:t xml:space="preserve">écurité </w:t>
      </w:r>
      <w:r>
        <w:rPr>
          <w:rStyle w:val="SCCAppellantForRunningHeadChar"/>
          <w:smallCaps w:val="0"/>
          <w:lang w:val="fr-CA"/>
        </w:rPr>
        <w:t>f</w:t>
      </w:r>
      <w:r w:rsidR="004D7D95" w:rsidRPr="00527467">
        <w:rPr>
          <w:rStyle w:val="SCCAppellantForRunningHeadChar"/>
          <w:smallCaps w:val="0"/>
          <w:lang w:val="fr-CA"/>
        </w:rPr>
        <w:t>inan</w:t>
      </w:r>
      <w:r w:rsidR="002026A7" w:rsidRPr="00527467">
        <w:rPr>
          <w:rStyle w:val="SCCAppellantForRunningHeadChar"/>
          <w:smallCaps w:val="0"/>
          <w:lang w:val="fr-CA"/>
        </w:rPr>
        <w:t>cière</w:t>
      </w:r>
      <w:r>
        <w:rPr>
          <w:rStyle w:val="SCCAppellantForRunningHeadChar"/>
          <w:smallCaps w:val="0"/>
          <w:lang w:val="fr-CA"/>
        </w:rPr>
        <w:t xml:space="preserve">, compagnie d’assurance vie </w:t>
      </w:r>
      <w:r w:rsidRPr="00527467">
        <w:rPr>
          <w:rStyle w:val="SCCAppellantForRunningHeadChar"/>
          <w:i/>
          <w:smallCaps w:val="0"/>
          <w:lang w:val="fr-CA"/>
        </w:rPr>
        <w:t>c.</w:t>
      </w:r>
      <w:r>
        <w:rPr>
          <w:rStyle w:val="SCCAppellantForRunningHeadChar"/>
          <w:smallCaps w:val="0"/>
          <w:lang w:val="fr-CA"/>
        </w:rPr>
        <w:t xml:space="preserve"> </w:t>
      </w:r>
      <w:proofErr w:type="spellStart"/>
      <w:r>
        <w:rPr>
          <w:rStyle w:val="SCCAppellantForRunningHeadChar"/>
          <w:smallCaps w:val="0"/>
          <w:lang w:val="fr-CA"/>
        </w:rPr>
        <w:t>É</w:t>
      </w:r>
      <w:r>
        <w:rPr>
          <w:rStyle w:val="SCCRespondentForRunningHeadChar"/>
          <w:smallCaps w:val="0"/>
          <w:lang w:val="fr-CA"/>
        </w:rPr>
        <w:t>mond</w:t>
      </w:r>
      <w:proofErr w:type="spellEnd"/>
      <w:r>
        <w:rPr>
          <w:rStyle w:val="SCCRespondentForRunningHeadChar"/>
          <w:smallCaps w:val="0"/>
          <w:lang w:val="fr-CA"/>
        </w:rPr>
        <w:t xml:space="preserve">, </w:t>
      </w:r>
      <w:r w:rsidRPr="00BA5947">
        <w:rPr>
          <w:lang w:val="fr-CA"/>
        </w:rPr>
        <w:t>2017</w:t>
      </w:r>
      <w:r>
        <w:rPr>
          <w:lang w:val="fr-CA"/>
        </w:rPr>
        <w:t xml:space="preserve"> CSC 19, [2017] 1 R.C.S. 358</w:t>
      </w: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bookmarkStart w:id="0" w:name="_GoBack"/>
      <w:bookmarkEnd w:id="0"/>
    </w:p>
    <w:p w:rsidR="000B2FA0" w:rsidRPr="00BA5947" w:rsidRDefault="00BA5947" w:rsidP="001B3B94">
      <w:pPr>
        <w:pStyle w:val="SCCLsocLastPartyInRole"/>
        <w:widowControl w:val="0"/>
        <w:rPr>
          <w:lang w:val="fr-CA"/>
        </w:rPr>
      </w:pPr>
      <w:r w:rsidRPr="00BA5947">
        <w:rPr>
          <w:lang w:val="fr-CA"/>
        </w:rPr>
        <w:t>Desjardins S</w:t>
      </w:r>
      <w:r w:rsidR="005966A5">
        <w:rPr>
          <w:lang w:val="fr-CA"/>
        </w:rPr>
        <w:t>écurité f</w:t>
      </w:r>
      <w:r w:rsidR="0029342C">
        <w:rPr>
          <w:lang w:val="fr-CA"/>
        </w:rPr>
        <w:t>inancière, compagnie d’</w:t>
      </w:r>
      <w:r w:rsidR="005966A5">
        <w:rPr>
          <w:lang w:val="fr-CA"/>
        </w:rPr>
        <w:t xml:space="preserve">assurance </w:t>
      </w:r>
      <w:r w:rsidRPr="00BA5947">
        <w:rPr>
          <w:lang w:val="fr-CA"/>
        </w:rPr>
        <w:t>vie</w:t>
      </w:r>
      <w:r w:rsidR="004A3B21">
        <w:rPr>
          <w:rStyle w:val="SCCLsocPartyRole"/>
          <w:lang w:val="fr-CA"/>
        </w:rPr>
        <w:tab/>
        <w:t>Appelante</w:t>
      </w:r>
    </w:p>
    <w:p w:rsidR="000B2FA0" w:rsidRPr="00BA5947" w:rsidRDefault="00BA5947" w:rsidP="001B3B94">
      <w:pPr>
        <w:pStyle w:val="SCCLsocVersus"/>
        <w:widowControl w:val="0"/>
        <w:rPr>
          <w:lang w:val="fr-CA"/>
        </w:rPr>
      </w:pPr>
      <w:proofErr w:type="gramStart"/>
      <w:r w:rsidRPr="00BA5947">
        <w:rPr>
          <w:lang w:val="fr-CA"/>
        </w:rPr>
        <w:t>c</w:t>
      </w:r>
      <w:proofErr w:type="gramEnd"/>
      <w:r w:rsidRPr="00BA5947">
        <w:rPr>
          <w:lang w:val="fr-CA"/>
        </w:rPr>
        <w:t>.</w:t>
      </w:r>
    </w:p>
    <w:p w:rsidR="000B2FA0" w:rsidRPr="00BA5947" w:rsidRDefault="004A3B21" w:rsidP="001B3B94">
      <w:pPr>
        <w:pStyle w:val="SCCLsocParty"/>
        <w:widowControl w:val="0"/>
        <w:rPr>
          <w:lang w:val="fr-CA"/>
        </w:rPr>
      </w:pPr>
      <w:r>
        <w:rPr>
          <w:lang w:val="fr-CA"/>
        </w:rPr>
        <w:t>Mariette Émond, Victor Foisy et</w:t>
      </w:r>
    </w:p>
    <w:p w:rsidR="000B2FA0" w:rsidRPr="00BA5947" w:rsidRDefault="00BA5947" w:rsidP="001B3B94">
      <w:pPr>
        <w:pStyle w:val="SCCLsocLastPartyInRole"/>
        <w:widowControl w:val="0"/>
        <w:rPr>
          <w:lang w:val="fr-CA"/>
        </w:rPr>
      </w:pPr>
      <w:r w:rsidRPr="00BA5947">
        <w:rPr>
          <w:lang w:val="fr-CA"/>
        </w:rPr>
        <w:lastRenderedPageBreak/>
        <w:t>Sabrina Foisy</w:t>
      </w:r>
      <w:r w:rsidR="004A3B21">
        <w:rPr>
          <w:rStyle w:val="SCCLsocPartyRole"/>
          <w:lang w:val="fr-CA"/>
        </w:rPr>
        <w:tab/>
        <w:t>Intimé</w:t>
      </w:r>
      <w:r w:rsidRPr="00BA5947">
        <w:rPr>
          <w:rStyle w:val="SCCLsocPartyRole"/>
          <w:lang w:val="fr-CA"/>
        </w:rPr>
        <w:t>s</w:t>
      </w: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p>
    <w:p w:rsidR="004D7D95" w:rsidRDefault="004D7D95" w:rsidP="001B3B94">
      <w:pPr>
        <w:widowControl w:val="0"/>
        <w:jc w:val="both"/>
        <w:rPr>
          <w:rStyle w:val="SCCRespondentForIndexChar"/>
          <w:lang w:val="fr-CA"/>
        </w:rPr>
      </w:pPr>
      <w:r w:rsidRPr="00BB4C92">
        <w:rPr>
          <w:b/>
          <w:lang w:val="fr-CA"/>
        </w:rPr>
        <w:t>Répertorié : </w:t>
      </w:r>
      <w:r w:rsidR="00794786" w:rsidRPr="00794786">
        <w:rPr>
          <w:b/>
          <w:lang w:val="fr-CA"/>
        </w:rPr>
        <w:t>Desjardins S</w:t>
      </w:r>
      <w:r w:rsidR="005966A5">
        <w:rPr>
          <w:b/>
          <w:lang w:val="fr-CA"/>
        </w:rPr>
        <w:t>écurité f</w:t>
      </w:r>
      <w:r w:rsidR="007E60CE">
        <w:rPr>
          <w:b/>
          <w:lang w:val="fr-CA"/>
        </w:rPr>
        <w:t>inancière, compagnie d’</w:t>
      </w:r>
      <w:r w:rsidR="005966A5">
        <w:rPr>
          <w:b/>
          <w:lang w:val="fr-CA"/>
        </w:rPr>
        <w:t xml:space="preserve">assurance </w:t>
      </w:r>
      <w:r w:rsidR="00794786" w:rsidRPr="00794786">
        <w:rPr>
          <w:b/>
          <w:lang w:val="fr-CA"/>
        </w:rPr>
        <w:t>vie</w:t>
      </w:r>
      <w:r w:rsidRPr="00BB4C92">
        <w:rPr>
          <w:b/>
          <w:lang w:val="fr-CA"/>
        </w:rPr>
        <w:t xml:space="preserve"> </w:t>
      </w:r>
      <w:r w:rsidRPr="00BB4C92">
        <w:rPr>
          <w:b/>
          <w:i/>
          <w:lang w:val="fr-CA"/>
        </w:rPr>
        <w:t>c.</w:t>
      </w:r>
      <w:r w:rsidRPr="00BB4C92">
        <w:rPr>
          <w:b/>
          <w:lang w:val="fr-CA"/>
        </w:rPr>
        <w:t xml:space="preserve"> </w:t>
      </w:r>
      <w:r w:rsidR="00794786">
        <w:rPr>
          <w:rStyle w:val="SCCRespondentForIndexChar"/>
          <w:lang w:val="fr-CA"/>
        </w:rPr>
        <w:t>Émond</w:t>
      </w:r>
      <w:r w:rsidR="00FD60AB">
        <w:rPr>
          <w:rStyle w:val="SCCRespondentForIndexChar"/>
          <w:lang w:val="fr-CA"/>
        </w:rPr>
        <w:t xml:space="preserve"> </w:t>
      </w:r>
    </w:p>
    <w:p w:rsidR="00FD60AB" w:rsidRDefault="00FD60AB" w:rsidP="001B3B94">
      <w:pPr>
        <w:widowControl w:val="0"/>
        <w:jc w:val="both"/>
        <w:rPr>
          <w:rStyle w:val="SCCRespondentForIndexChar"/>
          <w:lang w:val="fr-CA"/>
        </w:rPr>
      </w:pPr>
    </w:p>
    <w:p w:rsidR="00FD60AB" w:rsidRPr="00794786" w:rsidRDefault="00FD60AB" w:rsidP="001B3B94">
      <w:pPr>
        <w:widowControl w:val="0"/>
        <w:jc w:val="both"/>
        <w:rPr>
          <w:lang w:val="fr-CA"/>
        </w:rPr>
      </w:pPr>
    </w:p>
    <w:p w:rsidR="004D7D95" w:rsidRPr="00794786" w:rsidRDefault="004D7D95" w:rsidP="001B3B94">
      <w:pPr>
        <w:widowControl w:val="0"/>
        <w:jc w:val="both"/>
        <w:rPr>
          <w:lang w:val="fr-CA"/>
        </w:rPr>
      </w:pPr>
    </w:p>
    <w:p w:rsidR="004D7D95" w:rsidRPr="00BA5947" w:rsidRDefault="00D17B0E" w:rsidP="001B3B94">
      <w:pPr>
        <w:pStyle w:val="SCCSystemYear"/>
        <w:widowControl w:val="0"/>
        <w:jc w:val="both"/>
        <w:rPr>
          <w:lang w:val="fr-CA"/>
        </w:rPr>
      </w:pPr>
      <w:r w:rsidRPr="00BA5947">
        <w:rPr>
          <w:lang w:val="fr-CA"/>
        </w:rPr>
        <w:t>2017</w:t>
      </w:r>
      <w:r w:rsidR="009B0277">
        <w:rPr>
          <w:lang w:val="fr-CA"/>
        </w:rPr>
        <w:t xml:space="preserve"> CSC 19</w:t>
      </w: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r w:rsidRPr="00BA5947">
        <w:rPr>
          <w:lang w:val="fr-CA"/>
        </w:rPr>
        <w:t>N</w:t>
      </w:r>
      <w:r w:rsidRPr="00BA5947">
        <w:rPr>
          <w:vertAlign w:val="superscript"/>
          <w:lang w:val="fr-CA"/>
        </w:rPr>
        <w:t>o</w:t>
      </w:r>
      <w:r w:rsidRPr="00BA5947">
        <w:rPr>
          <w:lang w:val="fr-CA"/>
        </w:rPr>
        <w:t xml:space="preserve"> du greffe : 36919.</w:t>
      </w: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p>
    <w:p w:rsidR="004D7D95" w:rsidRPr="00BA5947" w:rsidRDefault="00D17B0E" w:rsidP="001B3B94">
      <w:pPr>
        <w:widowControl w:val="0"/>
        <w:jc w:val="both"/>
        <w:rPr>
          <w:lang w:val="fr-CA"/>
        </w:rPr>
      </w:pPr>
      <w:r w:rsidRPr="00BA5947">
        <w:rPr>
          <w:lang w:val="fr-CA"/>
        </w:rPr>
        <w:t>2017 : 29 mars</w:t>
      </w:r>
      <w:r w:rsidR="004D7D95" w:rsidRPr="00BA5947">
        <w:rPr>
          <w:lang w:val="fr-CA"/>
        </w:rPr>
        <w:t>.</w:t>
      </w: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p>
    <w:p w:rsidR="004D7D95" w:rsidRPr="00BA5947" w:rsidRDefault="004D7D95" w:rsidP="001B3B94">
      <w:pPr>
        <w:widowControl w:val="0"/>
        <w:jc w:val="both"/>
        <w:rPr>
          <w:lang w:val="fr-CA"/>
        </w:rPr>
      </w:pPr>
      <w:r w:rsidRPr="00BA5947">
        <w:rPr>
          <w:lang w:val="fr-CA"/>
        </w:rPr>
        <w:t xml:space="preserve">Présents : Les juges Abella, </w:t>
      </w:r>
      <w:proofErr w:type="spellStart"/>
      <w:r w:rsidRPr="00BA5947">
        <w:rPr>
          <w:lang w:val="fr-CA"/>
        </w:rPr>
        <w:t>Moldaver</w:t>
      </w:r>
      <w:proofErr w:type="spellEnd"/>
      <w:r w:rsidRPr="00BA5947">
        <w:rPr>
          <w:lang w:val="fr-CA"/>
        </w:rPr>
        <w:t xml:space="preserve">, </w:t>
      </w:r>
      <w:proofErr w:type="spellStart"/>
      <w:r w:rsidRPr="00BA5947">
        <w:rPr>
          <w:lang w:val="fr-CA"/>
        </w:rPr>
        <w:t>Karakatsanis</w:t>
      </w:r>
      <w:proofErr w:type="spellEnd"/>
      <w:r w:rsidRPr="00BA5947">
        <w:rPr>
          <w:lang w:val="fr-CA"/>
        </w:rPr>
        <w:t>, Wagner, Gascon, Côté et Brown.</w:t>
      </w:r>
    </w:p>
    <w:p w:rsidR="004D7D95" w:rsidRPr="00BA5947" w:rsidRDefault="004D7D95" w:rsidP="001B3B94">
      <w:pPr>
        <w:widowControl w:val="0"/>
        <w:jc w:val="both"/>
        <w:rPr>
          <w:lang w:val="fr-CA"/>
        </w:rPr>
      </w:pPr>
    </w:p>
    <w:p w:rsidR="00EE0830" w:rsidRPr="00BA5947" w:rsidRDefault="00EE0830" w:rsidP="001B3B94">
      <w:pPr>
        <w:widowControl w:val="0"/>
        <w:jc w:val="both"/>
        <w:rPr>
          <w:lang w:val="fr-CA"/>
        </w:rPr>
      </w:pPr>
    </w:p>
    <w:p w:rsidR="00EE0830" w:rsidRPr="00BA5947" w:rsidRDefault="00EE0830" w:rsidP="001B3B94">
      <w:pPr>
        <w:widowControl w:val="0"/>
        <w:jc w:val="both"/>
        <w:rPr>
          <w:lang w:val="fr-CA"/>
        </w:rPr>
      </w:pPr>
    </w:p>
    <w:p w:rsidR="004D7D95" w:rsidRPr="00BB4C92" w:rsidRDefault="00FD60AB" w:rsidP="001B3B94">
      <w:pPr>
        <w:widowControl w:val="0"/>
        <w:spacing w:line="480" w:lineRule="auto"/>
        <w:jc w:val="both"/>
        <w:rPr>
          <w:lang w:val="fr-CA"/>
        </w:rPr>
      </w:pPr>
      <w:r w:rsidRPr="00075377">
        <w:rPr>
          <w:smallCaps/>
          <w:lang w:val="fr-CA"/>
        </w:rPr>
        <w:t xml:space="preserve">en appel de la cour d’appel du </w:t>
      </w:r>
      <w:proofErr w:type="spellStart"/>
      <w:r w:rsidRPr="00075377">
        <w:rPr>
          <w:smallCaps/>
          <w:lang w:val="fr-CA"/>
        </w:rPr>
        <w:t>québec</w:t>
      </w:r>
      <w:proofErr w:type="spellEnd"/>
    </w:p>
    <w:p w:rsidR="004D7D95" w:rsidRDefault="004D7D95" w:rsidP="001B3B94">
      <w:pPr>
        <w:pStyle w:val="SCCNormalDoubleSpacing"/>
        <w:widowControl w:val="0"/>
        <w:rPr>
          <w:lang w:val="fr-CA"/>
        </w:rPr>
      </w:pPr>
    </w:p>
    <w:p w:rsidR="00FD60AB" w:rsidRDefault="004D7D95" w:rsidP="001B3B94">
      <w:pPr>
        <w:pStyle w:val="SCCNormalDoubleSpacing"/>
        <w:widowControl w:val="0"/>
        <w:rPr>
          <w:b/>
          <w:lang w:val="fr-CA"/>
        </w:rPr>
      </w:pPr>
      <w:r w:rsidRPr="00BB4C92">
        <w:rPr>
          <w:lang w:val="fr-CA"/>
        </w:rPr>
        <w:tab/>
      </w:r>
      <w:r w:rsidR="00A26B1F">
        <w:rPr>
          <w:i/>
          <w:lang w:val="fr-CA"/>
        </w:rPr>
        <w:t>Assurances —</w:t>
      </w:r>
      <w:r w:rsidR="00047EB0" w:rsidRPr="001A3690">
        <w:rPr>
          <w:i/>
          <w:lang w:val="fr-CA"/>
        </w:rPr>
        <w:t xml:space="preserve"> Assurance</w:t>
      </w:r>
      <w:r w:rsidR="008B4529">
        <w:rPr>
          <w:i/>
          <w:lang w:val="fr-CA"/>
        </w:rPr>
        <w:t>s</w:t>
      </w:r>
      <w:r w:rsidR="00047EB0" w:rsidRPr="001A3690">
        <w:rPr>
          <w:i/>
          <w:lang w:val="fr-CA"/>
        </w:rPr>
        <w:t xml:space="preserve"> </w:t>
      </w:r>
      <w:r w:rsidR="001A3690">
        <w:rPr>
          <w:i/>
          <w:lang w:val="fr-CA"/>
        </w:rPr>
        <w:t>de personnes</w:t>
      </w:r>
      <w:r w:rsidR="00047EB0" w:rsidRPr="001A3690">
        <w:rPr>
          <w:i/>
          <w:lang w:val="fr-CA"/>
        </w:rPr>
        <w:t xml:space="preserve"> </w:t>
      </w:r>
      <w:r w:rsidR="00A26B1F">
        <w:rPr>
          <w:i/>
          <w:lang w:val="fr-CA"/>
        </w:rPr>
        <w:t>—</w:t>
      </w:r>
      <w:r w:rsidR="00047EB0" w:rsidRPr="001A3690">
        <w:rPr>
          <w:i/>
          <w:lang w:val="fr-CA"/>
        </w:rPr>
        <w:t xml:space="preserve"> </w:t>
      </w:r>
      <w:r w:rsidR="00A26B1F">
        <w:rPr>
          <w:i/>
          <w:lang w:val="fr-CA"/>
        </w:rPr>
        <w:t>Exclusion —</w:t>
      </w:r>
      <w:r w:rsidR="001A3690">
        <w:rPr>
          <w:i/>
          <w:lang w:val="fr-CA"/>
        </w:rPr>
        <w:t xml:space="preserve"> Contrat d’assurance prévoyant une prestation aux héritiers d’un assuré qui décède en raison </w:t>
      </w:r>
      <w:r w:rsidR="00A26B1F">
        <w:rPr>
          <w:i/>
          <w:lang w:val="fr-CA"/>
        </w:rPr>
        <w:t>d’un accident —</w:t>
      </w:r>
      <w:r w:rsidR="001A3690">
        <w:rPr>
          <w:i/>
          <w:lang w:val="fr-CA"/>
        </w:rPr>
        <w:t xml:space="preserve"> Clause d’exclusion selon laquelle le contrat ne donne droit à aucune prestation </w:t>
      </w:r>
      <w:r w:rsidR="000C6633">
        <w:rPr>
          <w:i/>
          <w:lang w:val="fr-CA"/>
        </w:rPr>
        <w:t>« </w:t>
      </w:r>
      <w:r w:rsidR="001A3690">
        <w:rPr>
          <w:i/>
          <w:lang w:val="fr-CA"/>
        </w:rPr>
        <w:t>si l’accident survient lors de la participation de l’</w:t>
      </w:r>
      <w:r w:rsidR="00944049">
        <w:rPr>
          <w:i/>
          <w:lang w:val="fr-CA"/>
        </w:rPr>
        <w:t>assuré</w:t>
      </w:r>
      <w:r w:rsidR="001A3690">
        <w:rPr>
          <w:i/>
          <w:lang w:val="fr-CA"/>
        </w:rPr>
        <w:t xml:space="preserve"> à tout acte criminel</w:t>
      </w:r>
      <w:r w:rsidR="000C6633">
        <w:rPr>
          <w:i/>
          <w:lang w:val="fr-CA"/>
        </w:rPr>
        <w:t> »</w:t>
      </w:r>
      <w:r w:rsidR="001A3690">
        <w:rPr>
          <w:i/>
          <w:lang w:val="fr-CA"/>
        </w:rPr>
        <w:t xml:space="preserve"> </w:t>
      </w:r>
      <w:r w:rsidR="00A26B1F">
        <w:rPr>
          <w:i/>
          <w:lang w:val="fr-CA"/>
        </w:rPr>
        <w:t>—</w:t>
      </w:r>
      <w:r w:rsidR="001A3690">
        <w:rPr>
          <w:i/>
          <w:lang w:val="fr-CA"/>
        </w:rPr>
        <w:t xml:space="preserve"> </w:t>
      </w:r>
      <w:r w:rsidR="00944049">
        <w:rPr>
          <w:i/>
          <w:lang w:val="fr-CA"/>
        </w:rPr>
        <w:t>Assuré décédé lors d’un accident de motocyclette dans le contex</w:t>
      </w:r>
      <w:r w:rsidR="00A26B1F">
        <w:rPr>
          <w:i/>
          <w:lang w:val="fr-CA"/>
        </w:rPr>
        <w:t>te d’une poursuite policière —</w:t>
      </w:r>
      <w:r w:rsidR="00683E52">
        <w:rPr>
          <w:i/>
          <w:lang w:val="fr-CA"/>
        </w:rPr>
        <w:t xml:space="preserve"> </w:t>
      </w:r>
      <w:r w:rsidR="00944049">
        <w:rPr>
          <w:i/>
          <w:lang w:val="fr-CA"/>
        </w:rPr>
        <w:t>I</w:t>
      </w:r>
      <w:r w:rsidR="00944049" w:rsidRPr="00944049">
        <w:rPr>
          <w:i/>
          <w:lang w:val="fr-CA"/>
        </w:rPr>
        <w:t>nfractions pour lesquelles l’assuré aurait pu être poursuivi, n’eût été son décès, f</w:t>
      </w:r>
      <w:r w:rsidR="00944049">
        <w:rPr>
          <w:i/>
          <w:lang w:val="fr-CA"/>
        </w:rPr>
        <w:t>aisant</w:t>
      </w:r>
      <w:r w:rsidR="00944049" w:rsidRPr="00944049">
        <w:rPr>
          <w:i/>
          <w:lang w:val="fr-CA"/>
        </w:rPr>
        <w:t xml:space="preserve"> partie de la cat</w:t>
      </w:r>
      <w:r w:rsidR="00944049">
        <w:rPr>
          <w:i/>
          <w:lang w:val="fr-CA"/>
        </w:rPr>
        <w:t>ég</w:t>
      </w:r>
      <w:r w:rsidR="00A26B1F">
        <w:rPr>
          <w:i/>
          <w:lang w:val="fr-CA"/>
        </w:rPr>
        <w:t xml:space="preserve">orie des infractions hybrides — </w:t>
      </w:r>
      <w:r w:rsidR="00944049">
        <w:rPr>
          <w:i/>
          <w:lang w:val="fr-CA"/>
        </w:rPr>
        <w:t>L’</w:t>
      </w:r>
      <w:r w:rsidR="00944049" w:rsidRPr="00944049">
        <w:rPr>
          <w:i/>
          <w:lang w:val="fr-CA"/>
        </w:rPr>
        <w:t>exclusion de la police d’assurance n’est pas opposable aux héritiers de</w:t>
      </w:r>
      <w:r w:rsidR="00944049">
        <w:rPr>
          <w:i/>
          <w:lang w:val="fr-CA"/>
        </w:rPr>
        <w:t xml:space="preserve"> l’assuré puisque </w:t>
      </w:r>
      <w:r w:rsidR="009C4FB9" w:rsidRPr="00944049">
        <w:rPr>
          <w:i/>
          <w:lang w:val="fr-CA"/>
        </w:rPr>
        <w:t>l’art. 2402 du Code civil du Québec</w:t>
      </w:r>
      <w:r w:rsidR="009C4FB9">
        <w:rPr>
          <w:i/>
          <w:lang w:val="fr-CA"/>
        </w:rPr>
        <w:t xml:space="preserve">, sur lequel l’exclusion est fondée, </w:t>
      </w:r>
      <w:r w:rsidR="00944049">
        <w:rPr>
          <w:i/>
          <w:lang w:val="fr-CA"/>
        </w:rPr>
        <w:t xml:space="preserve">ne </w:t>
      </w:r>
      <w:r w:rsidR="00944049">
        <w:rPr>
          <w:i/>
          <w:lang w:val="fr-CA"/>
        </w:rPr>
        <w:lastRenderedPageBreak/>
        <w:t>concerne que</w:t>
      </w:r>
      <w:r w:rsidR="00944049" w:rsidRPr="00944049">
        <w:rPr>
          <w:i/>
          <w:lang w:val="fr-CA"/>
        </w:rPr>
        <w:t xml:space="preserve"> les actes criminels exclusivement punissables par voie de mise en accusation et non </w:t>
      </w:r>
      <w:r w:rsidR="00944049">
        <w:rPr>
          <w:i/>
          <w:lang w:val="fr-CA"/>
        </w:rPr>
        <w:t>les</w:t>
      </w:r>
      <w:r w:rsidR="00A26B1F">
        <w:rPr>
          <w:i/>
          <w:lang w:val="fr-CA"/>
        </w:rPr>
        <w:t xml:space="preserve"> infractions hybrides —</w:t>
      </w:r>
      <w:r w:rsidR="009C4FB9">
        <w:rPr>
          <w:i/>
          <w:lang w:val="fr-CA"/>
        </w:rPr>
        <w:t xml:space="preserve"> Code civil du Québec, art. 2402.</w:t>
      </w:r>
    </w:p>
    <w:p w:rsidR="004D7D95" w:rsidRPr="004D7D95" w:rsidRDefault="004D7D95" w:rsidP="001B3B94">
      <w:pPr>
        <w:pStyle w:val="SCCNormalDoubleSpacing"/>
        <w:widowControl w:val="0"/>
        <w:rPr>
          <w:lang w:val="fr-CA"/>
        </w:rPr>
      </w:pPr>
    </w:p>
    <w:p w:rsidR="004D7D95" w:rsidRDefault="004D7D95" w:rsidP="001B3B94">
      <w:pPr>
        <w:pStyle w:val="SCCNormalDoubleSpacing"/>
        <w:widowControl w:val="0"/>
        <w:spacing w:line="240" w:lineRule="auto"/>
        <w:rPr>
          <w:b/>
          <w:lang w:val="fr-CA"/>
        </w:rPr>
      </w:pPr>
      <w:r w:rsidRPr="004D7D95">
        <w:rPr>
          <w:b/>
          <w:lang w:val="fr-CA"/>
        </w:rPr>
        <w:t>Lois et règlements cités</w:t>
      </w:r>
    </w:p>
    <w:p w:rsidR="0001206A" w:rsidRDefault="0001206A" w:rsidP="001B3B94">
      <w:pPr>
        <w:pStyle w:val="SCCNormalDoubleSpacing"/>
        <w:widowControl w:val="0"/>
        <w:spacing w:after="240" w:line="240" w:lineRule="auto"/>
        <w:rPr>
          <w:i/>
          <w:lang w:val="fr-CA"/>
        </w:rPr>
      </w:pPr>
    </w:p>
    <w:p w:rsidR="004D7D95" w:rsidRDefault="00DA0658" w:rsidP="001B3B94">
      <w:pPr>
        <w:pStyle w:val="SCCNormalDoubleSpacing"/>
        <w:widowControl w:val="0"/>
        <w:spacing w:after="240" w:line="240" w:lineRule="auto"/>
        <w:rPr>
          <w:lang w:val="fr-CA"/>
        </w:rPr>
      </w:pPr>
      <w:r w:rsidRPr="00DA0658">
        <w:rPr>
          <w:i/>
          <w:lang w:val="fr-CA"/>
        </w:rPr>
        <w:t>Code civil du Québec</w:t>
      </w:r>
      <w:r>
        <w:rPr>
          <w:lang w:val="fr-CA"/>
        </w:rPr>
        <w:t>, art. 2402.</w:t>
      </w:r>
    </w:p>
    <w:p w:rsidR="00DA0658" w:rsidRDefault="00885DEF" w:rsidP="001B3B94">
      <w:pPr>
        <w:pStyle w:val="SCCNormalDoubleSpacing"/>
        <w:widowControl w:val="0"/>
        <w:rPr>
          <w:lang w:val="fr-CA"/>
        </w:rPr>
      </w:pPr>
      <w:r w:rsidRPr="00885DEF">
        <w:rPr>
          <w:i/>
          <w:lang w:val="fr-CA"/>
        </w:rPr>
        <w:t>Loi d’interprétation</w:t>
      </w:r>
      <w:r>
        <w:rPr>
          <w:lang w:val="fr-CA"/>
        </w:rPr>
        <w:t xml:space="preserve">, </w:t>
      </w:r>
      <w:r w:rsidR="00DA0658" w:rsidRPr="00885DEF">
        <w:rPr>
          <w:lang w:val="fr-CA"/>
        </w:rPr>
        <w:t>L</w:t>
      </w:r>
      <w:r w:rsidR="00DA0658" w:rsidRPr="00DA0658">
        <w:rPr>
          <w:lang w:val="fr-CA"/>
        </w:rPr>
        <w:t>.R.C. 1985, c. I-21,</w:t>
      </w:r>
      <w:r w:rsidR="00DA0658">
        <w:rPr>
          <w:lang w:val="fr-CA"/>
        </w:rPr>
        <w:t xml:space="preserve"> art. 34(1).</w:t>
      </w:r>
    </w:p>
    <w:p w:rsidR="0001206A" w:rsidRPr="004D7D95" w:rsidRDefault="0001206A" w:rsidP="001B3B94">
      <w:pPr>
        <w:pStyle w:val="SCCNormalDoubleSpacing"/>
        <w:widowControl w:val="0"/>
        <w:rPr>
          <w:lang w:val="fr-CA"/>
        </w:rPr>
      </w:pPr>
    </w:p>
    <w:p w:rsidR="004D7D95" w:rsidRDefault="004D7D95" w:rsidP="001B3B94">
      <w:pPr>
        <w:pStyle w:val="SCCNormalDoubleSpacing"/>
        <w:widowControl w:val="0"/>
        <w:rPr>
          <w:lang w:val="fr-CA"/>
        </w:rPr>
      </w:pPr>
      <w:r w:rsidRPr="004D7D95">
        <w:rPr>
          <w:lang w:val="fr-CA"/>
        </w:rPr>
        <w:tab/>
        <w:t xml:space="preserve">POURVOI contre un arrêt de la </w:t>
      </w:r>
      <w:r w:rsidRPr="00BA5947">
        <w:rPr>
          <w:lang w:val="fr-CA"/>
        </w:rPr>
        <w:t xml:space="preserve">Cour d’appel du Québec </w:t>
      </w:r>
      <w:r w:rsidR="0029342C">
        <w:rPr>
          <w:lang w:val="fr-CA"/>
        </w:rPr>
        <w:t xml:space="preserve">(les juges St-Pierre, </w:t>
      </w:r>
      <w:proofErr w:type="spellStart"/>
      <w:r w:rsidR="0029342C">
        <w:rPr>
          <w:lang w:val="fr-CA"/>
        </w:rPr>
        <w:t>Vauclair</w:t>
      </w:r>
      <w:proofErr w:type="spellEnd"/>
      <w:r w:rsidR="00C32760">
        <w:rPr>
          <w:lang w:val="fr-CA"/>
        </w:rPr>
        <w:t xml:space="preserve"> et Mainville), </w:t>
      </w:r>
      <w:r w:rsidR="004A00F6">
        <w:rPr>
          <w:lang w:val="fr-CA"/>
        </w:rPr>
        <w:t>2016 QCCA 161,</w:t>
      </w:r>
      <w:r w:rsidR="00885DEF">
        <w:rPr>
          <w:lang w:val="fr-CA"/>
        </w:rPr>
        <w:t xml:space="preserve"> </w:t>
      </w:r>
      <w:r w:rsidR="00885DEF" w:rsidRPr="00885DEF">
        <w:rPr>
          <w:lang w:val="fr-CA"/>
        </w:rPr>
        <w:t>[2</w:t>
      </w:r>
      <w:r w:rsidR="00885DEF">
        <w:rPr>
          <w:lang w:val="fr-CA"/>
        </w:rPr>
        <w:t>016] AZ-51250639,</w:t>
      </w:r>
      <w:r w:rsidR="004A00F6">
        <w:rPr>
          <w:lang w:val="fr-CA"/>
        </w:rPr>
        <w:t xml:space="preserve"> </w:t>
      </w:r>
      <w:r w:rsidR="004A00F6" w:rsidRPr="004A00F6">
        <w:rPr>
          <w:lang w:val="fr-CA"/>
        </w:rPr>
        <w:t>[2016] J.Q. n</w:t>
      </w:r>
      <w:r w:rsidR="004A00F6" w:rsidRPr="004A00F6">
        <w:rPr>
          <w:vertAlign w:val="superscript"/>
          <w:lang w:val="fr-CA"/>
        </w:rPr>
        <w:t>o</w:t>
      </w:r>
      <w:r w:rsidR="004A00F6" w:rsidRPr="004A00F6">
        <w:rPr>
          <w:lang w:val="fr-CA"/>
        </w:rPr>
        <w:t xml:space="preserve"> 631 (QL), 2016 </w:t>
      </w:r>
      <w:proofErr w:type="spellStart"/>
      <w:r w:rsidR="004A00F6" w:rsidRPr="004A00F6">
        <w:rPr>
          <w:lang w:val="fr-CA"/>
        </w:rPr>
        <w:t>CarswellQue</w:t>
      </w:r>
      <w:proofErr w:type="spellEnd"/>
      <w:r w:rsidR="004A00F6" w:rsidRPr="004A00F6">
        <w:rPr>
          <w:lang w:val="fr-CA"/>
        </w:rPr>
        <w:t xml:space="preserve"> 573 (WL Can</w:t>
      </w:r>
      <w:r w:rsidR="00427445">
        <w:rPr>
          <w:lang w:val="fr-CA"/>
        </w:rPr>
        <w:t>.</w:t>
      </w:r>
      <w:r w:rsidR="004A00F6" w:rsidRPr="004A00F6">
        <w:rPr>
          <w:lang w:val="fr-CA"/>
        </w:rPr>
        <w:t xml:space="preserve">), </w:t>
      </w:r>
      <w:r w:rsidR="00197F01" w:rsidRPr="00885DEF">
        <w:rPr>
          <w:lang w:val="fr-CA"/>
        </w:rPr>
        <w:t xml:space="preserve">qui a confirmé un jugement de la </w:t>
      </w:r>
      <w:r w:rsidR="00C32760" w:rsidRPr="00885DEF">
        <w:rPr>
          <w:lang w:val="fr-CA"/>
        </w:rPr>
        <w:t>juge</w:t>
      </w:r>
      <w:r w:rsidR="00197F01" w:rsidRPr="00885DEF">
        <w:rPr>
          <w:lang w:val="fr-CA"/>
        </w:rPr>
        <w:t xml:space="preserve"> Gervais</w:t>
      </w:r>
      <w:r w:rsidR="00197F01">
        <w:rPr>
          <w:lang w:val="fr-CA"/>
        </w:rPr>
        <w:t xml:space="preserve">, 2014 QCCQ 2565, </w:t>
      </w:r>
      <w:r w:rsidR="00885DEF">
        <w:rPr>
          <w:lang w:val="fr-CA"/>
        </w:rPr>
        <w:t xml:space="preserve">[2014] AZ-51063428, </w:t>
      </w:r>
      <w:r w:rsidR="00197F01">
        <w:rPr>
          <w:lang w:val="fr-CA"/>
        </w:rPr>
        <w:t>[2014] J.Q. n</w:t>
      </w:r>
      <w:r w:rsidR="00197F01" w:rsidRPr="00197F01">
        <w:rPr>
          <w:vertAlign w:val="superscript"/>
          <w:lang w:val="fr-CA"/>
        </w:rPr>
        <w:t>o</w:t>
      </w:r>
      <w:r w:rsidR="00197F01">
        <w:rPr>
          <w:lang w:val="fr-CA"/>
        </w:rPr>
        <w:t xml:space="preserve"> 3112 (QL), 2014 </w:t>
      </w:r>
      <w:proofErr w:type="spellStart"/>
      <w:r w:rsidR="00197F01">
        <w:rPr>
          <w:lang w:val="fr-CA"/>
        </w:rPr>
        <w:t>CarswellQue</w:t>
      </w:r>
      <w:proofErr w:type="spellEnd"/>
      <w:r w:rsidR="00197F01">
        <w:rPr>
          <w:lang w:val="fr-CA"/>
        </w:rPr>
        <w:t xml:space="preserve"> 3132 (WL Can</w:t>
      </w:r>
      <w:r w:rsidR="00427445">
        <w:rPr>
          <w:lang w:val="fr-CA"/>
        </w:rPr>
        <w:t>.</w:t>
      </w:r>
      <w:r w:rsidR="00DA0658">
        <w:rPr>
          <w:lang w:val="fr-CA"/>
        </w:rPr>
        <w:t>).  Pourvoi rejeté</w:t>
      </w:r>
      <w:r w:rsidR="005D610D">
        <w:rPr>
          <w:lang w:val="fr-CA"/>
        </w:rPr>
        <w:t>.</w:t>
      </w:r>
    </w:p>
    <w:p w:rsidR="00197F01" w:rsidRPr="004D7D95" w:rsidRDefault="00197F01" w:rsidP="001B3B94">
      <w:pPr>
        <w:pStyle w:val="SCCNormalDoubleSpacing"/>
        <w:widowControl w:val="0"/>
        <w:rPr>
          <w:lang w:val="fr-CA"/>
        </w:rPr>
      </w:pPr>
    </w:p>
    <w:p w:rsidR="000B2FA0" w:rsidRDefault="00BA5947" w:rsidP="001B3B94">
      <w:pPr>
        <w:pStyle w:val="SCCNormalDoubleSpacing"/>
        <w:widowControl w:val="0"/>
        <w:rPr>
          <w:rStyle w:val="SCCCounselPartyRoleChar"/>
          <w:lang w:val="fr-CA"/>
        </w:rPr>
      </w:pPr>
      <w:r w:rsidRPr="00BA5947">
        <w:rPr>
          <w:rStyle w:val="SCCCounselNameChar"/>
          <w:lang w:val="fr-CA"/>
        </w:rPr>
        <w:tab/>
        <w:t>Maria Isabel Garcia</w:t>
      </w:r>
      <w:r w:rsidR="00FD60AB">
        <w:rPr>
          <w:rStyle w:val="SCCCounselPartyRoleChar"/>
          <w:lang w:val="fr-CA"/>
        </w:rPr>
        <w:t>, pour l’</w:t>
      </w:r>
      <w:r w:rsidR="005D610D">
        <w:rPr>
          <w:rStyle w:val="SCCCounselPartyRoleChar"/>
          <w:lang w:val="fr-CA"/>
        </w:rPr>
        <w:t>appelante</w:t>
      </w:r>
      <w:r w:rsidRPr="00BA5947">
        <w:rPr>
          <w:rStyle w:val="SCCCounselPartyRoleChar"/>
          <w:lang w:val="fr-CA"/>
        </w:rPr>
        <w:t>.</w:t>
      </w:r>
    </w:p>
    <w:p w:rsidR="00C131AF" w:rsidRDefault="00C131AF" w:rsidP="001B3B94">
      <w:pPr>
        <w:pStyle w:val="SCCNormalDoubleSpacing"/>
        <w:widowControl w:val="0"/>
        <w:rPr>
          <w:rStyle w:val="SCCCounselPartyRoleChar"/>
          <w:lang w:val="fr-CA"/>
        </w:rPr>
      </w:pPr>
    </w:p>
    <w:p w:rsidR="005D610D" w:rsidRPr="00BA5947" w:rsidRDefault="005D610D" w:rsidP="001B3B94">
      <w:pPr>
        <w:pStyle w:val="SCCNormalDoubleSpacing"/>
        <w:widowControl w:val="0"/>
        <w:rPr>
          <w:lang w:val="fr-CA"/>
        </w:rPr>
      </w:pPr>
      <w:r>
        <w:rPr>
          <w:rStyle w:val="SCCCounselPartyRoleChar"/>
          <w:lang w:val="fr-CA"/>
        </w:rPr>
        <w:tab/>
        <w:t>Personne n’a comparu pour les intimés.</w:t>
      </w:r>
    </w:p>
    <w:p w:rsidR="000B2FA0" w:rsidRDefault="000B2FA0" w:rsidP="001B3B94">
      <w:pPr>
        <w:pStyle w:val="SCCNormalDoubleSpacing"/>
        <w:widowControl w:val="0"/>
        <w:rPr>
          <w:lang w:val="fr-CA"/>
        </w:rPr>
      </w:pPr>
    </w:p>
    <w:p w:rsidR="00B3753C" w:rsidRDefault="00B3753C" w:rsidP="001B3B94">
      <w:pPr>
        <w:pStyle w:val="SCCNormalDoubleSpacing"/>
        <w:widowControl w:val="0"/>
        <w:rPr>
          <w:lang w:val="fr-CA"/>
        </w:rPr>
      </w:pPr>
      <w:r>
        <w:rPr>
          <w:lang w:val="fr-CA"/>
        </w:rPr>
        <w:tab/>
      </w:r>
      <w:r w:rsidRPr="00B3753C">
        <w:rPr>
          <w:i/>
          <w:lang w:val="fr-CA"/>
        </w:rPr>
        <w:t>Léon H. Moubayed</w:t>
      </w:r>
      <w:r>
        <w:rPr>
          <w:lang w:val="fr-CA"/>
        </w:rPr>
        <w:t xml:space="preserve">, </w:t>
      </w:r>
      <w:r w:rsidR="00885DEF">
        <w:rPr>
          <w:lang w:val="fr-CA"/>
        </w:rPr>
        <w:t>en qualité d</w:t>
      </w:r>
      <w:r>
        <w:rPr>
          <w:lang w:val="fr-CA"/>
        </w:rPr>
        <w:t>’</w:t>
      </w:r>
      <w:r w:rsidRPr="00B3753C">
        <w:rPr>
          <w:i/>
          <w:lang w:val="fr-CA"/>
        </w:rPr>
        <w:t>amicus curiae</w:t>
      </w:r>
      <w:r>
        <w:rPr>
          <w:lang w:val="fr-CA"/>
        </w:rPr>
        <w:t>.</w:t>
      </w:r>
    </w:p>
    <w:p w:rsidR="00DA0658" w:rsidRDefault="00DA0658" w:rsidP="001B3B94">
      <w:pPr>
        <w:pStyle w:val="SCCNormalDoubleSpacing"/>
        <w:widowControl w:val="0"/>
        <w:rPr>
          <w:lang w:val="fr-FR"/>
        </w:rPr>
      </w:pPr>
    </w:p>
    <w:p w:rsidR="00DA0658" w:rsidRDefault="00DA0658" w:rsidP="001B3B94">
      <w:pPr>
        <w:pStyle w:val="SCCNormalDoubleSpacing"/>
        <w:widowControl w:val="0"/>
        <w:rPr>
          <w:lang w:val="fr-CA"/>
        </w:rPr>
      </w:pPr>
      <w:r>
        <w:rPr>
          <w:lang w:val="fr-FR"/>
        </w:rPr>
        <w:tab/>
      </w:r>
      <w:r>
        <w:rPr>
          <w:lang w:val="fr-CA"/>
        </w:rPr>
        <w:t>Le jugement de la Cour a été rendu oralement par</w:t>
      </w:r>
    </w:p>
    <w:p w:rsidR="001D5922" w:rsidRPr="001D5922" w:rsidRDefault="00B3753C" w:rsidP="001B3B94">
      <w:pPr>
        <w:pStyle w:val="ParaNoNdepar-AltN"/>
        <w:widowControl w:val="0"/>
        <w:numPr>
          <w:ilvl w:val="0"/>
          <w:numId w:val="2"/>
        </w:numPr>
        <w:tabs>
          <w:tab w:val="num" w:pos="1152"/>
        </w:tabs>
        <w:ind w:left="0" w:firstLine="0"/>
        <w:rPr>
          <w:lang w:val="fr-CA"/>
        </w:rPr>
      </w:pPr>
      <w:r w:rsidRPr="001D5922">
        <w:rPr>
          <w:smallCaps/>
          <w:lang w:val="fr-CA"/>
        </w:rPr>
        <w:t>Le juge Wagner</w:t>
      </w:r>
      <w:r w:rsidRPr="001D5922">
        <w:rPr>
          <w:lang w:val="fr-CA"/>
        </w:rPr>
        <w:t xml:space="preserve"> —</w:t>
      </w:r>
      <w:r w:rsidR="001D5922" w:rsidRPr="001D5922">
        <w:rPr>
          <w:lang w:val="fr-CA"/>
        </w:rPr>
        <w:t xml:space="preserve"> L’appelante soutient que la clause d’exclusion de portée générale du contrat d’assurance-accident qui prévoit qu’aucune prestation n’est </w:t>
      </w:r>
      <w:r w:rsidR="001D5922" w:rsidRPr="001D5922">
        <w:rPr>
          <w:lang w:val="fr-CA"/>
        </w:rPr>
        <w:lastRenderedPageBreak/>
        <w:t>payable par l’assureur lorsque l’accident survient alors que l’assuré participe à un acte criminel est opposable aux héritiers de ce dernier.</w:t>
      </w:r>
    </w:p>
    <w:p w:rsidR="001D5922" w:rsidRPr="001D5922" w:rsidRDefault="001D5922" w:rsidP="001B3B94">
      <w:pPr>
        <w:pStyle w:val="ParaNoNdepar-AltN"/>
        <w:widowControl w:val="0"/>
        <w:numPr>
          <w:ilvl w:val="0"/>
          <w:numId w:val="2"/>
        </w:numPr>
        <w:tabs>
          <w:tab w:val="num" w:pos="1152"/>
        </w:tabs>
        <w:ind w:left="0" w:firstLine="0"/>
        <w:rPr>
          <w:lang w:val="fr-CA"/>
        </w:rPr>
      </w:pPr>
      <w:r w:rsidRPr="001D5922">
        <w:rPr>
          <w:lang w:val="fr-CA"/>
        </w:rPr>
        <w:t xml:space="preserve">Ici, les infractions </w:t>
      </w:r>
      <w:r w:rsidRPr="00F52197">
        <w:rPr>
          <w:rFonts w:cs="Times New Roman"/>
          <w:lang w:val="fr-CA"/>
        </w:rPr>
        <w:t>pour</w:t>
      </w:r>
      <w:r w:rsidRPr="001D5922">
        <w:rPr>
          <w:lang w:val="fr-CA"/>
        </w:rPr>
        <w:t xml:space="preserve"> lesquelles l’assuré aurait pu être reconnu coupable, n’eût été son décès, sont des infractions mixtes ou hybrides qui peuvent, au choix du ministère public, devenir soit des infractions poursuivies par procédure sommaire ou des actes criminels poursuivis par voie de mise en accusation. </w:t>
      </w:r>
    </w:p>
    <w:p w:rsidR="001D5922" w:rsidRPr="001D5922" w:rsidRDefault="001D5922" w:rsidP="001B3B94">
      <w:pPr>
        <w:pStyle w:val="ParaNoNdepar-AltN"/>
        <w:widowControl w:val="0"/>
        <w:numPr>
          <w:ilvl w:val="0"/>
          <w:numId w:val="2"/>
        </w:numPr>
        <w:tabs>
          <w:tab w:val="num" w:pos="1152"/>
        </w:tabs>
        <w:ind w:left="0" w:firstLine="0"/>
        <w:rPr>
          <w:lang w:val="fr-CA"/>
        </w:rPr>
      </w:pPr>
      <w:r w:rsidRPr="001D5922">
        <w:rPr>
          <w:lang w:val="fr-CA"/>
        </w:rPr>
        <w:t xml:space="preserve">Pour les motifs de la Cour d’appel, nous sommes unanimement d’avis que l’exclusion de la police </w:t>
      </w:r>
      <w:r w:rsidRPr="00F52197">
        <w:rPr>
          <w:rFonts w:cs="Times New Roman"/>
          <w:lang w:val="fr-CA"/>
        </w:rPr>
        <w:t>d’assurance</w:t>
      </w:r>
      <w:r w:rsidRPr="001D5922">
        <w:rPr>
          <w:lang w:val="fr-CA"/>
        </w:rPr>
        <w:t xml:space="preserve"> fondée sur l’art. 2402 du </w:t>
      </w:r>
      <w:r w:rsidRPr="001D5922">
        <w:rPr>
          <w:i/>
          <w:lang w:val="fr-CA"/>
        </w:rPr>
        <w:t>Code civil du Québec</w:t>
      </w:r>
      <w:r w:rsidRPr="001D5922">
        <w:rPr>
          <w:lang w:val="fr-CA"/>
        </w:rPr>
        <w:t xml:space="preserve"> n’est pas opposable aux héritiers de l’assuré, puisque cet article, même en considérant le par. 34(1) de la </w:t>
      </w:r>
      <w:r w:rsidRPr="001D5922">
        <w:rPr>
          <w:i/>
          <w:lang w:val="fr-CA"/>
        </w:rPr>
        <w:t>Loi d’interprétation</w:t>
      </w:r>
      <w:r w:rsidRPr="001D5922">
        <w:rPr>
          <w:lang w:val="fr-CA"/>
        </w:rPr>
        <w:t xml:space="preserve"> fédérale, L.R.C. 1985, c. I-21, doit être interprété à l’aune des principes d’interprétation en matière de droit des assurances afin de promouvoir la précision et la certitude des motifs d’exclusion en cette matière. </w:t>
      </w:r>
    </w:p>
    <w:p w:rsidR="001D5922" w:rsidRPr="001D5922" w:rsidRDefault="001D5922" w:rsidP="001B3B94">
      <w:pPr>
        <w:pStyle w:val="ParaNoNdepar-AltN"/>
        <w:widowControl w:val="0"/>
        <w:numPr>
          <w:ilvl w:val="0"/>
          <w:numId w:val="2"/>
        </w:numPr>
        <w:tabs>
          <w:tab w:val="num" w:pos="1152"/>
        </w:tabs>
        <w:ind w:left="0" w:firstLine="0"/>
        <w:rPr>
          <w:lang w:val="fr-CA"/>
        </w:rPr>
      </w:pPr>
      <w:r w:rsidRPr="001D5922">
        <w:rPr>
          <w:lang w:val="fr-CA"/>
        </w:rPr>
        <w:t xml:space="preserve">Ainsi, l’art. 2402 du </w:t>
      </w:r>
      <w:r w:rsidRPr="001D5922">
        <w:rPr>
          <w:i/>
          <w:lang w:val="fr-CA"/>
        </w:rPr>
        <w:t>Code civil du Québec</w:t>
      </w:r>
      <w:r w:rsidRPr="001D5922">
        <w:rPr>
          <w:lang w:val="fr-CA"/>
        </w:rPr>
        <w:t xml:space="preserve"> ne concerne que les actes criminels exclusivement punissables par voie de mise en accusation et non pas, comme en l’espèce, des infractions </w:t>
      </w:r>
      <w:r w:rsidRPr="00F52197">
        <w:rPr>
          <w:rFonts w:cs="Times New Roman"/>
          <w:lang w:val="fr-CA"/>
        </w:rPr>
        <w:t>mixtes</w:t>
      </w:r>
      <w:r w:rsidRPr="001D5922">
        <w:rPr>
          <w:lang w:val="fr-CA"/>
        </w:rPr>
        <w:t xml:space="preserve"> ou hybrides.</w:t>
      </w:r>
    </w:p>
    <w:p w:rsidR="00577488" w:rsidRDefault="00577488" w:rsidP="001B3B94">
      <w:pPr>
        <w:pStyle w:val="ParaNoNdepar-AltN"/>
        <w:widowControl w:val="0"/>
        <w:numPr>
          <w:ilvl w:val="0"/>
          <w:numId w:val="2"/>
        </w:numPr>
        <w:tabs>
          <w:tab w:val="num" w:pos="1152"/>
        </w:tabs>
        <w:ind w:left="0" w:firstLine="0"/>
        <w:rPr>
          <w:lang w:val="fr-CA"/>
        </w:rPr>
      </w:pPr>
      <w:r w:rsidRPr="00577488">
        <w:rPr>
          <w:lang w:val="fr-CA"/>
        </w:rPr>
        <w:t>Pour ces motifs, le pourvoi est rejeté avec dépens</w:t>
      </w:r>
      <w:r w:rsidR="00F62851">
        <w:rPr>
          <w:lang w:val="fr-CA"/>
        </w:rPr>
        <w:t>.</w:t>
      </w:r>
    </w:p>
    <w:p w:rsidR="00DA0658" w:rsidRPr="005D610D" w:rsidRDefault="00DA0658" w:rsidP="001B3B94">
      <w:pPr>
        <w:pStyle w:val="SCCLawFirm"/>
        <w:widowControl w:val="0"/>
        <w:rPr>
          <w:i w:val="0"/>
          <w:lang w:val="fr-CA"/>
        </w:rPr>
      </w:pPr>
      <w:r w:rsidRPr="00BA5947">
        <w:rPr>
          <w:lang w:val="fr-CA"/>
        </w:rPr>
        <w:tab/>
      </w:r>
      <w:r w:rsidRPr="005D610D">
        <w:rPr>
          <w:lang w:val="fr-CA"/>
        </w:rPr>
        <w:t>Jugement en conséquence.</w:t>
      </w:r>
    </w:p>
    <w:p w:rsidR="00DA0658" w:rsidRPr="00BA5947" w:rsidRDefault="00DA0658" w:rsidP="001B3B94">
      <w:pPr>
        <w:pStyle w:val="SCCNormalDoubleSpacing"/>
        <w:widowControl w:val="0"/>
        <w:rPr>
          <w:lang w:val="fr-CA"/>
        </w:rPr>
      </w:pPr>
    </w:p>
    <w:p w:rsidR="00DA0658" w:rsidRDefault="00DA0658" w:rsidP="001B3B94">
      <w:pPr>
        <w:pStyle w:val="SCCLawFirm"/>
        <w:widowControl w:val="0"/>
        <w:rPr>
          <w:lang w:val="fr-CA"/>
        </w:rPr>
      </w:pPr>
      <w:r>
        <w:rPr>
          <w:lang w:val="fr-CA"/>
        </w:rPr>
        <w:tab/>
        <w:t>Procureurs de l’appelante</w:t>
      </w:r>
      <w:r w:rsidRPr="00BA5947">
        <w:rPr>
          <w:lang w:val="fr-CA"/>
        </w:rPr>
        <w:t> : Cholette Houle, Lévis.</w:t>
      </w:r>
      <w:r w:rsidR="00D46F0B">
        <w:rPr>
          <w:lang w:val="fr-CA"/>
        </w:rPr>
        <w:t xml:space="preserve"> </w:t>
      </w:r>
    </w:p>
    <w:p w:rsidR="008368D0" w:rsidRDefault="008368D0" w:rsidP="001B3B94">
      <w:pPr>
        <w:pStyle w:val="SCCNormalDoubleSpacing"/>
        <w:widowControl w:val="0"/>
        <w:rPr>
          <w:lang w:val="fr-CA"/>
        </w:rPr>
      </w:pPr>
    </w:p>
    <w:sectPr w:rsidR="008368D0"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76A45"/>
    <w:multiLevelType w:val="hybridMultilevel"/>
    <w:tmpl w:val="BA200584"/>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84760"/>
    <w:multiLevelType w:val="hybridMultilevel"/>
    <w:tmpl w:val="879AABAC"/>
    <w:lvl w:ilvl="0" w:tplc="760E9606">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06A"/>
    <w:rsid w:val="00023FC7"/>
    <w:rsid w:val="00025198"/>
    <w:rsid w:val="00047EB0"/>
    <w:rsid w:val="000578A3"/>
    <w:rsid w:val="000648CC"/>
    <w:rsid w:val="000B2FA0"/>
    <w:rsid w:val="000C59B8"/>
    <w:rsid w:val="000C6633"/>
    <w:rsid w:val="000C6AF0"/>
    <w:rsid w:val="000D0A77"/>
    <w:rsid w:val="000D40DB"/>
    <w:rsid w:val="000F7993"/>
    <w:rsid w:val="00104F33"/>
    <w:rsid w:val="00111DE2"/>
    <w:rsid w:val="00116B38"/>
    <w:rsid w:val="00135406"/>
    <w:rsid w:val="00135972"/>
    <w:rsid w:val="001426A9"/>
    <w:rsid w:val="00154D7C"/>
    <w:rsid w:val="001570B0"/>
    <w:rsid w:val="0015752C"/>
    <w:rsid w:val="00157737"/>
    <w:rsid w:val="00161920"/>
    <w:rsid w:val="00165277"/>
    <w:rsid w:val="00170592"/>
    <w:rsid w:val="001720F7"/>
    <w:rsid w:val="00195D83"/>
    <w:rsid w:val="00197F01"/>
    <w:rsid w:val="001A00C1"/>
    <w:rsid w:val="001A3690"/>
    <w:rsid w:val="001B33E0"/>
    <w:rsid w:val="001B3B94"/>
    <w:rsid w:val="001B4573"/>
    <w:rsid w:val="001C779F"/>
    <w:rsid w:val="001D2AC1"/>
    <w:rsid w:val="001D4E88"/>
    <w:rsid w:val="001D5922"/>
    <w:rsid w:val="002026A7"/>
    <w:rsid w:val="00220FC2"/>
    <w:rsid w:val="002222F4"/>
    <w:rsid w:val="00224FC0"/>
    <w:rsid w:val="00225EA4"/>
    <w:rsid w:val="00226EAF"/>
    <w:rsid w:val="00231F3A"/>
    <w:rsid w:val="002406EE"/>
    <w:rsid w:val="00243EC8"/>
    <w:rsid w:val="00270D93"/>
    <w:rsid w:val="002745CC"/>
    <w:rsid w:val="0029342C"/>
    <w:rsid w:val="002B6FBE"/>
    <w:rsid w:val="002B7924"/>
    <w:rsid w:val="002C10A6"/>
    <w:rsid w:val="002D28C3"/>
    <w:rsid w:val="002D39A4"/>
    <w:rsid w:val="002E6705"/>
    <w:rsid w:val="0030329A"/>
    <w:rsid w:val="0031086F"/>
    <w:rsid w:val="0031414C"/>
    <w:rsid w:val="00314E01"/>
    <w:rsid w:val="0032089D"/>
    <w:rsid w:val="003310DE"/>
    <w:rsid w:val="003323B0"/>
    <w:rsid w:val="00337816"/>
    <w:rsid w:val="00340A49"/>
    <w:rsid w:val="0035169A"/>
    <w:rsid w:val="0035259D"/>
    <w:rsid w:val="00353446"/>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27445"/>
    <w:rsid w:val="00450352"/>
    <w:rsid w:val="00454BDB"/>
    <w:rsid w:val="00465132"/>
    <w:rsid w:val="00480C90"/>
    <w:rsid w:val="0048396F"/>
    <w:rsid w:val="00493C18"/>
    <w:rsid w:val="004A00F6"/>
    <w:rsid w:val="004A3B21"/>
    <w:rsid w:val="004A600C"/>
    <w:rsid w:val="004A6118"/>
    <w:rsid w:val="004C478D"/>
    <w:rsid w:val="004D7D95"/>
    <w:rsid w:val="004E2C26"/>
    <w:rsid w:val="005125A8"/>
    <w:rsid w:val="00517549"/>
    <w:rsid w:val="00520ABC"/>
    <w:rsid w:val="00521AE8"/>
    <w:rsid w:val="00527180"/>
    <w:rsid w:val="00527467"/>
    <w:rsid w:val="00555291"/>
    <w:rsid w:val="00566AD1"/>
    <w:rsid w:val="00577488"/>
    <w:rsid w:val="00583EDE"/>
    <w:rsid w:val="005966A5"/>
    <w:rsid w:val="005A6079"/>
    <w:rsid w:val="005D610D"/>
    <w:rsid w:val="005E4698"/>
    <w:rsid w:val="00603924"/>
    <w:rsid w:val="00610539"/>
    <w:rsid w:val="00613969"/>
    <w:rsid w:val="00625C35"/>
    <w:rsid w:val="00647E49"/>
    <w:rsid w:val="00656313"/>
    <w:rsid w:val="006565F4"/>
    <w:rsid w:val="00683E52"/>
    <w:rsid w:val="00684EEA"/>
    <w:rsid w:val="0069689B"/>
    <w:rsid w:val="006B5FF5"/>
    <w:rsid w:val="006F30AF"/>
    <w:rsid w:val="00701759"/>
    <w:rsid w:val="00705C15"/>
    <w:rsid w:val="007110F6"/>
    <w:rsid w:val="007208D1"/>
    <w:rsid w:val="0073776F"/>
    <w:rsid w:val="00740836"/>
    <w:rsid w:val="00744518"/>
    <w:rsid w:val="00747288"/>
    <w:rsid w:val="00747DD3"/>
    <w:rsid w:val="007549C8"/>
    <w:rsid w:val="00766D14"/>
    <w:rsid w:val="00767A0F"/>
    <w:rsid w:val="00791272"/>
    <w:rsid w:val="00794786"/>
    <w:rsid w:val="007A05F6"/>
    <w:rsid w:val="007B6F4A"/>
    <w:rsid w:val="007E1C47"/>
    <w:rsid w:val="007E337A"/>
    <w:rsid w:val="007E5C70"/>
    <w:rsid w:val="007E60CE"/>
    <w:rsid w:val="007F2FF5"/>
    <w:rsid w:val="007F3F08"/>
    <w:rsid w:val="00804CC6"/>
    <w:rsid w:val="00817190"/>
    <w:rsid w:val="008260E2"/>
    <w:rsid w:val="008322BD"/>
    <w:rsid w:val="00834F73"/>
    <w:rsid w:val="008368D0"/>
    <w:rsid w:val="00864C8A"/>
    <w:rsid w:val="00864CF8"/>
    <w:rsid w:val="00874914"/>
    <w:rsid w:val="00885DEF"/>
    <w:rsid w:val="00891422"/>
    <w:rsid w:val="00892E1A"/>
    <w:rsid w:val="008B4529"/>
    <w:rsid w:val="008B660A"/>
    <w:rsid w:val="008C01DA"/>
    <w:rsid w:val="008F2674"/>
    <w:rsid w:val="008F78E9"/>
    <w:rsid w:val="009179F9"/>
    <w:rsid w:val="00917C7A"/>
    <w:rsid w:val="00933E5E"/>
    <w:rsid w:val="00935218"/>
    <w:rsid w:val="00937C52"/>
    <w:rsid w:val="009403F3"/>
    <w:rsid w:val="00944049"/>
    <w:rsid w:val="009555B7"/>
    <w:rsid w:val="009567AA"/>
    <w:rsid w:val="009602C9"/>
    <w:rsid w:val="00967374"/>
    <w:rsid w:val="009A343A"/>
    <w:rsid w:val="009B0277"/>
    <w:rsid w:val="009B2F23"/>
    <w:rsid w:val="009B57B3"/>
    <w:rsid w:val="009C4FB9"/>
    <w:rsid w:val="009D2920"/>
    <w:rsid w:val="009D5AEB"/>
    <w:rsid w:val="009F0E33"/>
    <w:rsid w:val="009F2579"/>
    <w:rsid w:val="00A149DF"/>
    <w:rsid w:val="00A1755C"/>
    <w:rsid w:val="00A21B90"/>
    <w:rsid w:val="00A22AAC"/>
    <w:rsid w:val="00A26B1F"/>
    <w:rsid w:val="00A30641"/>
    <w:rsid w:val="00A41805"/>
    <w:rsid w:val="00A51882"/>
    <w:rsid w:val="00A52AFB"/>
    <w:rsid w:val="00A548CB"/>
    <w:rsid w:val="00A5521C"/>
    <w:rsid w:val="00A643E7"/>
    <w:rsid w:val="00A73C38"/>
    <w:rsid w:val="00A921A7"/>
    <w:rsid w:val="00AB670D"/>
    <w:rsid w:val="00AF03C5"/>
    <w:rsid w:val="00B000D8"/>
    <w:rsid w:val="00B00F75"/>
    <w:rsid w:val="00B145B6"/>
    <w:rsid w:val="00B279EB"/>
    <w:rsid w:val="00B34C07"/>
    <w:rsid w:val="00B3753C"/>
    <w:rsid w:val="00B50C81"/>
    <w:rsid w:val="00B557F8"/>
    <w:rsid w:val="00B72853"/>
    <w:rsid w:val="00B815FC"/>
    <w:rsid w:val="00B93FBC"/>
    <w:rsid w:val="00BA5947"/>
    <w:rsid w:val="00BA7DA0"/>
    <w:rsid w:val="00BB2EE4"/>
    <w:rsid w:val="00BB4C92"/>
    <w:rsid w:val="00BC2108"/>
    <w:rsid w:val="00BD0E9E"/>
    <w:rsid w:val="00BD1BEC"/>
    <w:rsid w:val="00BD32FF"/>
    <w:rsid w:val="00BF6FE9"/>
    <w:rsid w:val="00C02092"/>
    <w:rsid w:val="00C131AF"/>
    <w:rsid w:val="00C24D91"/>
    <w:rsid w:val="00C26DB2"/>
    <w:rsid w:val="00C32760"/>
    <w:rsid w:val="00C53F14"/>
    <w:rsid w:val="00C600CF"/>
    <w:rsid w:val="00C6084F"/>
    <w:rsid w:val="00C62A66"/>
    <w:rsid w:val="00C66359"/>
    <w:rsid w:val="00C71458"/>
    <w:rsid w:val="00C77613"/>
    <w:rsid w:val="00C828E7"/>
    <w:rsid w:val="00C86719"/>
    <w:rsid w:val="00C921DD"/>
    <w:rsid w:val="00CA6391"/>
    <w:rsid w:val="00CC18A2"/>
    <w:rsid w:val="00CE036E"/>
    <w:rsid w:val="00CE3171"/>
    <w:rsid w:val="00CF1601"/>
    <w:rsid w:val="00D0172F"/>
    <w:rsid w:val="00D01E33"/>
    <w:rsid w:val="00D068A7"/>
    <w:rsid w:val="00D17476"/>
    <w:rsid w:val="00D17B0E"/>
    <w:rsid w:val="00D32086"/>
    <w:rsid w:val="00D37A3F"/>
    <w:rsid w:val="00D4431D"/>
    <w:rsid w:val="00D4667A"/>
    <w:rsid w:val="00D46F0B"/>
    <w:rsid w:val="00D63A1C"/>
    <w:rsid w:val="00D7516F"/>
    <w:rsid w:val="00D95F8E"/>
    <w:rsid w:val="00DA0590"/>
    <w:rsid w:val="00DA0658"/>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D42DC"/>
    <w:rsid w:val="00EE0830"/>
    <w:rsid w:val="00EE6CB8"/>
    <w:rsid w:val="00EF0683"/>
    <w:rsid w:val="00F0070C"/>
    <w:rsid w:val="00F00EB7"/>
    <w:rsid w:val="00F36AB6"/>
    <w:rsid w:val="00F37A09"/>
    <w:rsid w:val="00F409CE"/>
    <w:rsid w:val="00F4379D"/>
    <w:rsid w:val="00F50D2D"/>
    <w:rsid w:val="00F52197"/>
    <w:rsid w:val="00F56C8B"/>
    <w:rsid w:val="00F62639"/>
    <w:rsid w:val="00F62851"/>
    <w:rsid w:val="00F66810"/>
    <w:rsid w:val="00F84DF4"/>
    <w:rsid w:val="00F85C97"/>
    <w:rsid w:val="00FB37D2"/>
    <w:rsid w:val="00FC4EFB"/>
    <w:rsid w:val="00FD068D"/>
    <w:rsid w:val="00FD4F28"/>
    <w:rsid w:val="00FD60AB"/>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Titre1">
    <w:name w:val="heading 1"/>
    <w:basedOn w:val="Normal"/>
    <w:next w:val="Normal"/>
    <w:link w:val="Titre1C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semiHidden/>
    <w:unhideWhenUsed/>
    <w:rsid w:val="000C59B8"/>
    <w:pPr>
      <w:tabs>
        <w:tab w:val="center" w:pos="4680"/>
        <w:tab w:val="right" w:pos="9360"/>
      </w:tabs>
    </w:pPr>
  </w:style>
  <w:style w:type="character" w:customStyle="1" w:styleId="PieddepageCar">
    <w:name w:val="Pied de page Car"/>
    <w:basedOn w:val="Policepardfaut"/>
    <w:link w:val="Pieddepage"/>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t01">
    <w:name w:val="solext01"/>
    <w:basedOn w:val="Policepardfaut"/>
    <w:rsid w:val="00B3753C"/>
    <w:rPr>
      <w:shd w:val="clear" w:color="auto" w:fill="BFE8FD"/>
    </w:rPr>
  </w:style>
  <w:style w:type="character" w:customStyle="1" w:styleId="solext110">
    <w:name w:val="solext110"/>
    <w:basedOn w:val="Policepardfaut"/>
    <w:rsid w:val="00B3753C"/>
    <w:rPr>
      <w:shd w:val="clear" w:color="auto" w:fill="F3BFFD"/>
    </w:rPr>
  </w:style>
  <w:style w:type="paragraph" w:styleId="Paragraphedeliste">
    <w:name w:val="List Paragraph"/>
    <w:basedOn w:val="Normal"/>
    <w:uiPriority w:val="34"/>
    <w:qFormat/>
    <w:rsid w:val="00DA0658"/>
    <w:pPr>
      <w:ind w:left="720"/>
      <w:contextualSpacing/>
    </w:pPr>
  </w:style>
  <w:style w:type="paragraph" w:customStyle="1" w:styleId="ParaNoNdepar-AltN">
    <w:name w:val="Para. No. / Nº de par. - Alt N"/>
    <w:link w:val="ParaNoNdepar-AltNChar"/>
    <w:qFormat/>
    <w:rsid w:val="00DA0658"/>
    <w:pPr>
      <w:tabs>
        <w:tab w:val="num" w:pos="1152"/>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Policepardfaut"/>
    <w:link w:val="ParaNoNdepar-AltN"/>
    <w:locked/>
    <w:rsid w:val="00DA0658"/>
    <w:rPr>
      <w:rFonts w:eastAsiaTheme="minorEastAsia" w:cstheme="minorBidi"/>
      <w:sz w:val="24"/>
      <w:szCs w:val="22"/>
      <w:lang w:eastAsia="en-US"/>
    </w:rPr>
  </w:style>
  <w:style w:type="table" w:styleId="Grilledutableau">
    <w:name w:val="Table Grid"/>
    <w:basedOn w:val="TableauNormal"/>
    <w:uiPriority w:val="59"/>
    <w:rsid w:val="00B34C0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Policepardfaut"/>
    <w:rsid w:val="00B34C07"/>
    <w:rPr>
      <w:lang w:val="fr-CA"/>
    </w:rPr>
  </w:style>
  <w:style w:type="paragraph" w:customStyle="1" w:styleId="SCCLsocPrefix">
    <w:name w:val="SCC.Lsoc.Prefix"/>
    <w:basedOn w:val="Normal"/>
    <w:next w:val="Normal"/>
    <w:link w:val="SCCLsocPrefixChar"/>
    <w:rsid w:val="00B34C07"/>
    <w:rPr>
      <w:rFonts w:eastAsiaTheme="minorHAnsi" w:cstheme="minorBidi"/>
      <w:b/>
      <w:smallCaps/>
      <w:szCs w:val="24"/>
      <w:lang w:val="fr-CA" w:eastAsia="en-US"/>
    </w:rPr>
  </w:style>
  <w:style w:type="character" w:customStyle="1" w:styleId="SCCLsocPrefixChar">
    <w:name w:val="SCC.Lsoc.Prefix Char"/>
    <w:basedOn w:val="Policepardfaut"/>
    <w:link w:val="SCCLsocPrefix"/>
    <w:rsid w:val="00B34C07"/>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2017-03-29T19:26:00Z</dcterms:created>
  <dcterms:modified xsi:type="dcterms:W3CDTF">2017-10-18T17:19:00Z</dcterms:modified>
</cp:coreProperties>
</file>