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18" w:rsidRDefault="00B00918" w:rsidP="00B00918">
      <w:pPr>
        <w:pStyle w:val="En-tte"/>
      </w:pPr>
      <w:r>
        <w:ptab w:relativeTo="margin" w:alignment="center" w:leader="none"/>
      </w:r>
      <w:r>
        <w:t xml:space="preserve"> </w:t>
      </w:r>
      <w:r>
        <w:rPr>
          <w:rFonts w:eastAsiaTheme="minorHAnsi" w:cstheme="minorBidi"/>
          <w:szCs w:val="24"/>
          <w:lang w:val="fr-CA" w:eastAsia="en-US"/>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5pt;height:64.15pt" o:ole="">
            <v:imagedata r:id="rId8" o:title=""/>
          </v:shape>
          <o:OLEObject Type="Embed" ProgID="Presentations.Drawing.13" ShapeID="_x0000_i1025" DrawAspect="Content" ObjectID="_1569839605" r:id="rId9"/>
        </w:object>
      </w:r>
      <w:r>
        <w:t xml:space="preserve"> </w:t>
      </w:r>
      <w:r>
        <w:ptab w:relativeTo="margin" w:alignment="right" w:leader="none"/>
      </w:r>
      <w:r>
        <w:t xml:space="preserve"> </w:t>
      </w:r>
    </w:p>
    <w:p w:rsidR="00B00918" w:rsidRDefault="00B00918" w:rsidP="00B00918">
      <w:pPr>
        <w:pStyle w:val="En-tte"/>
      </w:pPr>
    </w:p>
    <w:p w:rsidR="00B00918" w:rsidRDefault="00B00918" w:rsidP="00B00918">
      <w:pPr>
        <w:jc w:val="center"/>
        <w:rPr>
          <w:b/>
        </w:rPr>
      </w:pPr>
      <w:r>
        <w:rPr>
          <w:b/>
        </w:rPr>
        <w:t>COUR SUPRÊME DU CANADA</w:t>
      </w:r>
    </w:p>
    <w:p w:rsidR="00B00918" w:rsidRDefault="00B00918" w:rsidP="00B00918"/>
    <w:tbl>
      <w:tblPr>
        <w:tblStyle w:val="Grilledutableau"/>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12"/>
        <w:gridCol w:w="3764"/>
      </w:tblGrid>
      <w:tr w:rsidR="00B00918" w:rsidTr="00B00918">
        <w:trPr>
          <w:cantSplit/>
        </w:trPr>
        <w:tc>
          <w:tcPr>
            <w:tcW w:w="5812" w:type="dxa"/>
            <w:hideMark/>
          </w:tcPr>
          <w:p w:rsidR="00B00918" w:rsidRPr="00B00918" w:rsidRDefault="00B00918">
            <w:pPr>
              <w:rPr>
                <w:lang w:val="fr-CA"/>
              </w:rPr>
            </w:pPr>
            <w:r w:rsidRPr="00B00918">
              <w:rPr>
                <w:b/>
                <w:smallCaps/>
                <w:lang w:val="fr-CA"/>
              </w:rPr>
              <w:t>Référence :</w:t>
            </w:r>
            <w:r w:rsidRPr="00B00918">
              <w:rPr>
                <w:lang w:val="fr-CA"/>
              </w:rPr>
              <w:t xml:space="preserve"> </w:t>
            </w:r>
            <w:r w:rsidRPr="00B00918">
              <w:rPr>
                <w:rStyle w:val="SCCAppellantForIndexChar"/>
                <w:rFonts w:eastAsiaTheme="minorHAnsi"/>
                <w:b w:val="0"/>
                <w:lang w:val="fr-CA"/>
              </w:rPr>
              <w:t>Saadati</w:t>
            </w:r>
            <w:r w:rsidRPr="00B00918">
              <w:rPr>
                <w:lang w:val="fr-CA"/>
              </w:rPr>
              <w:t xml:space="preserve"> </w:t>
            </w:r>
            <w:r w:rsidRPr="00B00918">
              <w:rPr>
                <w:i/>
                <w:lang w:val="fr-CA"/>
              </w:rPr>
              <w:t>c.</w:t>
            </w:r>
            <w:r w:rsidRPr="00B00918">
              <w:rPr>
                <w:lang w:val="fr-CA"/>
              </w:rPr>
              <w:t xml:space="preserve"> </w:t>
            </w:r>
            <w:r w:rsidRPr="00B00918">
              <w:rPr>
                <w:rStyle w:val="SCCRespondentForIndexChar"/>
                <w:rFonts w:eastAsiaTheme="minorHAnsi"/>
                <w:b w:val="0"/>
                <w:lang w:val="fr-CA"/>
              </w:rPr>
              <w:t>Moorhead, 2017 CSC 28, [2017] 1 R.C.S. 543</w:t>
            </w:r>
          </w:p>
        </w:tc>
        <w:tc>
          <w:tcPr>
            <w:tcW w:w="3764" w:type="dxa"/>
            <w:hideMark/>
          </w:tcPr>
          <w:p w:rsidR="00B00918" w:rsidRPr="00B00918" w:rsidRDefault="00B00918">
            <w:pPr>
              <w:rPr>
                <w:lang w:val="fr-CA"/>
              </w:rPr>
            </w:pPr>
            <w:r w:rsidRPr="00B00918">
              <w:rPr>
                <w:b/>
                <w:smallCaps/>
                <w:lang w:val="fr-CA"/>
              </w:rPr>
              <w:t>Appel entendu :</w:t>
            </w:r>
            <w:r w:rsidRPr="00B00918">
              <w:rPr>
                <w:lang w:val="fr-CA"/>
              </w:rPr>
              <w:t xml:space="preserve"> 16 janvier 2017</w:t>
            </w:r>
          </w:p>
          <w:p w:rsidR="00B00918" w:rsidRPr="00B00918" w:rsidRDefault="00B00918">
            <w:pPr>
              <w:rPr>
                <w:lang w:val="fr-CA"/>
              </w:rPr>
            </w:pPr>
            <w:r w:rsidRPr="00B00918">
              <w:rPr>
                <w:b/>
                <w:smallCaps/>
                <w:lang w:val="fr-CA"/>
              </w:rPr>
              <w:t xml:space="preserve">Jugement rendu : </w:t>
            </w:r>
            <w:r w:rsidRPr="00B00918">
              <w:rPr>
                <w:lang w:val="fr-CA"/>
              </w:rPr>
              <w:t>2 juin 2017</w:t>
            </w:r>
          </w:p>
          <w:p w:rsidR="00B00918" w:rsidRDefault="00B00918">
            <w:pPr>
              <w:rPr>
                <w:lang w:val="en-US"/>
              </w:rPr>
            </w:pPr>
            <w:r>
              <w:rPr>
                <w:b/>
                <w:smallCaps/>
                <w:lang w:val="en-US"/>
              </w:rPr>
              <w:t>Dossier :</w:t>
            </w:r>
            <w:r>
              <w:rPr>
                <w:lang w:val="en-US"/>
              </w:rPr>
              <w:t xml:space="preserve"> 36703</w:t>
            </w:r>
          </w:p>
        </w:tc>
      </w:tr>
    </w:tbl>
    <w:p w:rsidR="00B00918" w:rsidRDefault="00B00918" w:rsidP="00B00918">
      <w:pPr>
        <w:rPr>
          <w:rFonts w:cstheme="minorBidi"/>
          <w:lang w:val="fr-CA" w:eastAsia="en-US"/>
        </w:rPr>
      </w:pPr>
    </w:p>
    <w:p w:rsidR="00B00918" w:rsidRPr="00B00918" w:rsidRDefault="00B00918" w:rsidP="00B00918">
      <w:pPr>
        <w:pStyle w:val="SCCLsocPrefix"/>
        <w:rPr>
          <w:sz w:val="24"/>
        </w:rPr>
      </w:pPr>
      <w:r w:rsidRPr="00B00918">
        <w:rPr>
          <w:sz w:val="24"/>
        </w:rPr>
        <w:t>Entre :</w:t>
      </w:r>
    </w:p>
    <w:p w:rsidR="00B00918" w:rsidRPr="00B00918" w:rsidRDefault="00B00918" w:rsidP="00B00918">
      <w:pPr>
        <w:rPr>
          <w:lang w:val="fr-CA"/>
        </w:rPr>
      </w:pPr>
    </w:p>
    <w:p w:rsidR="00B00918" w:rsidRPr="00B00918" w:rsidRDefault="00B00918" w:rsidP="00B00918">
      <w:pPr>
        <w:pStyle w:val="SCCLsocParty"/>
        <w:jc w:val="center"/>
        <w:rPr>
          <w:lang w:val="fr-CA"/>
        </w:rPr>
      </w:pPr>
      <w:r w:rsidRPr="00B00918">
        <w:rPr>
          <w:lang w:val="fr-CA"/>
        </w:rPr>
        <w:t>Mohsen Saadati, représenté par sa tutrice à l’instance, Sara Zarei</w:t>
      </w:r>
    </w:p>
    <w:p w:rsidR="00B00918" w:rsidRPr="00B00918" w:rsidRDefault="00B00918" w:rsidP="00B00918">
      <w:pPr>
        <w:jc w:val="center"/>
        <w:rPr>
          <w:lang w:val="fr-CA"/>
        </w:rPr>
      </w:pPr>
      <w:r w:rsidRPr="00B00918">
        <w:rPr>
          <w:lang w:val="fr-CA"/>
        </w:rPr>
        <w:t>Appelant</w:t>
      </w:r>
    </w:p>
    <w:p w:rsidR="00B00918" w:rsidRPr="00B00918" w:rsidRDefault="00B00918" w:rsidP="00B00918">
      <w:pPr>
        <w:jc w:val="center"/>
        <w:rPr>
          <w:lang w:val="fr-CA"/>
        </w:rPr>
      </w:pPr>
    </w:p>
    <w:p w:rsidR="00B00918" w:rsidRPr="00510A7B" w:rsidRDefault="00B00918" w:rsidP="00B00918">
      <w:pPr>
        <w:pStyle w:val="SCCLsocVersus"/>
        <w:spacing w:after="0"/>
        <w:jc w:val="center"/>
        <w:rPr>
          <w:i w:val="0"/>
          <w:lang w:val="fr-CA"/>
        </w:rPr>
      </w:pPr>
      <w:r w:rsidRPr="00510A7B">
        <w:rPr>
          <w:i w:val="0"/>
          <w:lang w:val="fr-CA"/>
        </w:rPr>
        <w:t>et</w:t>
      </w:r>
    </w:p>
    <w:p w:rsidR="00B00918" w:rsidRPr="00B00918" w:rsidRDefault="00B00918" w:rsidP="00B00918">
      <w:pPr>
        <w:jc w:val="center"/>
        <w:rPr>
          <w:lang w:val="fr-CA"/>
        </w:rPr>
      </w:pPr>
      <w:bookmarkStart w:id="0" w:name="_GoBack"/>
      <w:bookmarkEnd w:id="0"/>
    </w:p>
    <w:p w:rsidR="00B00918" w:rsidRDefault="00B00918" w:rsidP="00B00918">
      <w:pPr>
        <w:pStyle w:val="SCCLsocParty"/>
        <w:jc w:val="center"/>
        <w:rPr>
          <w:lang w:val="fr-CA"/>
        </w:rPr>
      </w:pPr>
      <w:r w:rsidRPr="00B00918">
        <w:rPr>
          <w:lang w:val="fr-CA"/>
        </w:rPr>
        <w:t xml:space="preserve">Grant Iain Moorhead, </w:t>
      </w:r>
    </w:p>
    <w:p w:rsidR="00B00918" w:rsidRDefault="00B00918" w:rsidP="00B00918">
      <w:pPr>
        <w:pStyle w:val="SCCLsocParty"/>
        <w:jc w:val="center"/>
        <w:rPr>
          <w:lang w:val="en-US"/>
        </w:rPr>
      </w:pPr>
      <w:r w:rsidRPr="00B00918">
        <w:rPr>
          <w:lang w:val="en-US"/>
        </w:rPr>
        <w:t xml:space="preserve">Able Leasing (2001) Ltd. et </w:t>
      </w:r>
    </w:p>
    <w:p w:rsidR="00B00918" w:rsidRPr="00B00918" w:rsidRDefault="00B00918" w:rsidP="00B00918">
      <w:pPr>
        <w:pStyle w:val="SCCLsocParty"/>
        <w:jc w:val="center"/>
        <w:rPr>
          <w:lang w:val="en-US"/>
        </w:rPr>
      </w:pPr>
      <w:r w:rsidRPr="00B00918">
        <w:rPr>
          <w:lang w:val="en-US"/>
        </w:rPr>
        <w:t>Thi Hao Hoang</w:t>
      </w:r>
    </w:p>
    <w:p w:rsidR="00B00918" w:rsidRDefault="00B00918" w:rsidP="00B00918">
      <w:pPr>
        <w:jc w:val="center"/>
        <w:rPr>
          <w:lang w:val="fr-CA"/>
        </w:rPr>
      </w:pPr>
      <w:r w:rsidRPr="00B00918">
        <w:rPr>
          <w:lang w:val="fr-CA"/>
        </w:rPr>
        <w:t>Intimés</w:t>
      </w:r>
    </w:p>
    <w:p w:rsidR="00B00918" w:rsidRPr="00B00918" w:rsidRDefault="00B00918" w:rsidP="00B00918">
      <w:pPr>
        <w:jc w:val="center"/>
        <w:rPr>
          <w:lang w:val="fr-CA"/>
        </w:rPr>
      </w:pPr>
    </w:p>
    <w:p w:rsidR="00B00918" w:rsidRPr="00B00918" w:rsidRDefault="00B00918" w:rsidP="00B00918">
      <w:pPr>
        <w:pStyle w:val="SCCLsocOtherPartySeparator"/>
        <w:spacing w:after="0"/>
        <w:jc w:val="center"/>
        <w:rPr>
          <w:lang w:val="fr-CA"/>
        </w:rPr>
      </w:pPr>
      <w:r w:rsidRPr="00B00918">
        <w:rPr>
          <w:lang w:val="fr-CA"/>
        </w:rPr>
        <w:t>- et -</w:t>
      </w:r>
    </w:p>
    <w:p w:rsidR="00B00918" w:rsidRPr="00B00918" w:rsidRDefault="00B00918" w:rsidP="00B00918">
      <w:pPr>
        <w:jc w:val="center"/>
        <w:rPr>
          <w:lang w:val="fr-CA"/>
        </w:rPr>
      </w:pPr>
    </w:p>
    <w:p w:rsidR="00B00918" w:rsidRPr="00B00918" w:rsidRDefault="00B00918" w:rsidP="00B00918">
      <w:pPr>
        <w:pStyle w:val="SCCLsocParty"/>
        <w:jc w:val="center"/>
        <w:rPr>
          <w:lang w:val="fr-CA"/>
        </w:rPr>
      </w:pPr>
      <w:r w:rsidRPr="00B00918">
        <w:rPr>
          <w:lang w:val="fr-CA"/>
        </w:rPr>
        <w:t>Bureau d’assurance du Canada</w:t>
      </w:r>
    </w:p>
    <w:p w:rsidR="00B00918" w:rsidRPr="00B00918" w:rsidRDefault="00B00918" w:rsidP="00B00918">
      <w:pPr>
        <w:jc w:val="center"/>
        <w:rPr>
          <w:lang w:val="fr-CA"/>
        </w:rPr>
      </w:pPr>
      <w:r w:rsidRPr="00B00918">
        <w:rPr>
          <w:lang w:val="fr-CA"/>
        </w:rPr>
        <w:t>Intervenant</w:t>
      </w:r>
    </w:p>
    <w:p w:rsidR="00B00918" w:rsidRPr="00B00918" w:rsidRDefault="00B00918" w:rsidP="00B00918">
      <w:pPr>
        <w:rPr>
          <w:lang w:val="fr-CA"/>
        </w:rPr>
      </w:pPr>
    </w:p>
    <w:p w:rsidR="00B00918" w:rsidRPr="00B00918" w:rsidRDefault="00B00918" w:rsidP="00B00918">
      <w:pPr>
        <w:rPr>
          <w:lang w:val="fr-CA"/>
        </w:rPr>
      </w:pPr>
    </w:p>
    <w:p w:rsidR="00B00918" w:rsidRPr="00B00918" w:rsidRDefault="00B00918" w:rsidP="00B00918">
      <w:pPr>
        <w:jc w:val="center"/>
        <w:rPr>
          <w:b/>
          <w:smallCaps/>
          <w:lang w:val="fr-CA"/>
        </w:rPr>
      </w:pPr>
      <w:r w:rsidRPr="00B00918">
        <w:rPr>
          <w:b/>
          <w:smallCaps/>
          <w:lang w:val="fr-CA"/>
        </w:rPr>
        <w:t>Traduction française officielle</w:t>
      </w:r>
    </w:p>
    <w:p w:rsidR="00B00918" w:rsidRPr="00B00918" w:rsidRDefault="00B00918" w:rsidP="00B00918">
      <w:pPr>
        <w:rPr>
          <w:lang w:val="fr-CA"/>
        </w:rPr>
      </w:pPr>
    </w:p>
    <w:p w:rsidR="00B00918" w:rsidRPr="00B00918" w:rsidRDefault="00B00918" w:rsidP="00B00918">
      <w:pPr>
        <w:rPr>
          <w:lang w:val="fr-CA"/>
        </w:rPr>
      </w:pPr>
      <w:r w:rsidRPr="00B00918">
        <w:rPr>
          <w:b/>
          <w:smallCaps/>
          <w:lang w:val="fr-CA"/>
        </w:rPr>
        <w:t>Coram :</w:t>
      </w:r>
      <w:r w:rsidRPr="00B00918">
        <w:rPr>
          <w:lang w:val="fr-CA"/>
        </w:rPr>
        <w:t xml:space="preserve"> La juge en chef McLachlin et les juges Abella, Moldaver, Karakatsanis, Wagner, Gascon, Côté, Brown et Rowe</w:t>
      </w:r>
    </w:p>
    <w:p w:rsidR="00B00918" w:rsidRPr="00B00918" w:rsidRDefault="00B00918" w:rsidP="00B00918">
      <w:pPr>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00918" w:rsidRPr="00510A7B" w:rsidTr="00B00918">
        <w:trPr>
          <w:cantSplit/>
        </w:trPr>
        <w:tc>
          <w:tcPr>
            <w:tcW w:w="3618" w:type="dxa"/>
            <w:hideMark/>
          </w:tcPr>
          <w:p w:rsidR="00B00918" w:rsidRPr="00B00918" w:rsidRDefault="00B00918">
            <w:pPr>
              <w:rPr>
                <w:b/>
                <w:smallCaps/>
                <w:lang w:val="fr-CA"/>
              </w:rPr>
            </w:pPr>
            <w:r w:rsidRPr="00B00918">
              <w:rPr>
                <w:b/>
                <w:smallCaps/>
                <w:lang w:val="fr-CA"/>
              </w:rPr>
              <w:t>Motifs de jugement :</w:t>
            </w:r>
          </w:p>
          <w:p w:rsidR="00B00918" w:rsidRPr="00B00918" w:rsidRDefault="00B00918">
            <w:pPr>
              <w:rPr>
                <w:lang w:val="fr-CA"/>
              </w:rPr>
            </w:pPr>
            <w:r w:rsidRPr="00B00918">
              <w:rPr>
                <w:lang w:val="fr-CA"/>
              </w:rPr>
              <w:t>(par. 1 à 45)</w:t>
            </w:r>
          </w:p>
        </w:tc>
        <w:tc>
          <w:tcPr>
            <w:tcW w:w="5958" w:type="dxa"/>
            <w:hideMark/>
          </w:tcPr>
          <w:p w:rsidR="00B00918" w:rsidRPr="00B00918" w:rsidRDefault="00B00918">
            <w:pPr>
              <w:rPr>
                <w:lang w:val="fr-CA"/>
              </w:rPr>
            </w:pPr>
            <w:r w:rsidRPr="00B00918">
              <w:rPr>
                <w:lang w:val="fr-CA"/>
              </w:rPr>
              <w:t>Le juge Brown (avec l’accord de la juge en chef McLachlin et des juges Abella, Moldaver, Karakatsanis, Wagner, Gascon, Côté et Rowe)</w:t>
            </w:r>
          </w:p>
        </w:tc>
      </w:tr>
    </w:tbl>
    <w:p w:rsidR="00B00918" w:rsidRDefault="00B00918" w:rsidP="00B00918">
      <w:pPr>
        <w:rPr>
          <w:rFonts w:cstheme="minorBidi"/>
          <w:lang w:val="fr-CA" w:eastAsia="en-US"/>
        </w:rPr>
      </w:pPr>
    </w:p>
    <w:p w:rsidR="00B00918" w:rsidRPr="00B00918" w:rsidRDefault="00B00918" w:rsidP="00B00918">
      <w:pPr>
        <w:rPr>
          <w:lang w:val="fr-CA"/>
        </w:rPr>
      </w:pPr>
      <w:r>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1609725</wp:posOffset>
                </wp:positionH>
                <wp:positionV relativeFrom="paragraph">
                  <wp:posOffset>184150</wp:posOffset>
                </wp:positionV>
                <wp:extent cx="2505075" cy="0"/>
                <wp:effectExtent l="0" t="0" r="28575"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7A3A9E" id="_x0000_t32" coordsize="21600,21600" o:spt="32" o:oned="t" path="m,l21600,21600e" filled="f">
                <v:path arrowok="t" fillok="f" o:connecttype="none"/>
                <o:lock v:ext="edit" shapetype="t"/>
              </v:shapetype>
              <v:shape id="Connecteur droit avec flèche 1" o:spid="_x0000_s1026" type="#_x0000_t32" style="position:absolute;margin-left:126.75pt;margin-top:14.5pt;width:1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"/>
            </w:pict>
          </mc:Fallback>
        </mc:AlternateContent>
      </w:r>
    </w:p>
    <w:p w:rsidR="00B00918" w:rsidRPr="00B00918" w:rsidRDefault="00B00918" w:rsidP="00C25DD8">
      <w:pPr>
        <w:spacing w:after="720"/>
        <w:jc w:val="both"/>
        <w:rPr>
          <w:rStyle w:val="SCCAppellantForRunningHeadChar"/>
          <w:smallCaps w:val="0"/>
          <w:lang w:val="fr-CA"/>
        </w:rPr>
      </w:pPr>
    </w:p>
    <w:p w:rsidR="004D7D95" w:rsidRPr="004336F3" w:rsidRDefault="004336F3" w:rsidP="00C25DD8">
      <w:pPr>
        <w:spacing w:after="720"/>
        <w:jc w:val="both"/>
        <w:rPr>
          <w:smallCaps/>
          <w:lang w:val="en-US"/>
        </w:rPr>
      </w:pPr>
      <w:r w:rsidRPr="004336F3">
        <w:rPr>
          <w:rStyle w:val="SCCAppellantForRunningHeadChar"/>
          <w:smallCaps w:val="0"/>
          <w:lang w:val="en-US"/>
        </w:rPr>
        <w:t xml:space="preserve">Saadati </w:t>
      </w:r>
      <w:r w:rsidRPr="004336F3">
        <w:rPr>
          <w:rStyle w:val="SCCAppellantForRunningHeadChar"/>
          <w:i/>
          <w:smallCaps w:val="0"/>
          <w:lang w:val="en-US"/>
        </w:rPr>
        <w:t>c.</w:t>
      </w:r>
      <w:r w:rsidRPr="004336F3">
        <w:rPr>
          <w:rStyle w:val="SCCAppellantForRunningHeadChar"/>
          <w:smallCaps w:val="0"/>
          <w:lang w:val="en-US"/>
        </w:rPr>
        <w:t xml:space="preserve"> Moorhead, 2017 CSC 28, [2017] 1 R.C.S. 543</w:t>
      </w:r>
    </w:p>
    <w:p w:rsidR="00B8297F" w:rsidRPr="00381B25" w:rsidRDefault="008442ED" w:rsidP="00C25DD8">
      <w:pPr>
        <w:pStyle w:val="SCCLsocLastPartyInRole"/>
        <w:rPr>
          <w:lang w:val="fr-CA"/>
        </w:rPr>
      </w:pPr>
      <w:r w:rsidRPr="00381B25">
        <w:rPr>
          <w:lang w:val="fr-CA"/>
        </w:rPr>
        <w:lastRenderedPageBreak/>
        <w:t>Mohsen Saadati, représenté par sa tutrice à l</w:t>
      </w:r>
      <w:r w:rsidR="00E72105">
        <w:rPr>
          <w:lang w:val="fr-CA"/>
        </w:rPr>
        <w:t>’</w:t>
      </w:r>
      <w:r w:rsidRPr="00381B25">
        <w:rPr>
          <w:lang w:val="fr-CA"/>
        </w:rPr>
        <w:t>instance, Sara Zarei</w:t>
      </w:r>
      <w:r w:rsidRPr="00381B25">
        <w:rPr>
          <w:rStyle w:val="SCCLsocPartyRole"/>
          <w:lang w:val="fr-CA"/>
        </w:rPr>
        <w:tab/>
        <w:t>Appelant</w:t>
      </w:r>
    </w:p>
    <w:p w:rsidR="00B8297F" w:rsidRPr="00381B25" w:rsidRDefault="008442ED" w:rsidP="00C25DD8">
      <w:pPr>
        <w:pStyle w:val="SCCLsocVersus"/>
        <w:rPr>
          <w:lang w:val="en-US"/>
        </w:rPr>
      </w:pPr>
      <w:r w:rsidRPr="00381B25">
        <w:rPr>
          <w:lang w:val="en-US"/>
        </w:rPr>
        <w:t>c.</w:t>
      </w:r>
    </w:p>
    <w:p w:rsidR="00B8297F" w:rsidRPr="00381B25" w:rsidRDefault="008442ED">
      <w:pPr>
        <w:pStyle w:val="SCCLsocParty"/>
        <w:rPr>
          <w:lang w:val="en-US"/>
        </w:rPr>
      </w:pPr>
      <w:r w:rsidRPr="00381B25">
        <w:rPr>
          <w:lang w:val="en-US"/>
        </w:rPr>
        <w:t>Grant Iain Moorhead,</w:t>
      </w:r>
    </w:p>
    <w:p w:rsidR="00B8297F" w:rsidRPr="00381B25" w:rsidRDefault="00F644EC">
      <w:pPr>
        <w:pStyle w:val="SCCLsocParty"/>
        <w:rPr>
          <w:lang w:val="en-US"/>
        </w:rPr>
      </w:pPr>
      <w:r w:rsidRPr="00381B25">
        <w:rPr>
          <w:lang w:val="en-US"/>
        </w:rPr>
        <w:t>Able Leasing (2001) Ltd. et</w:t>
      </w:r>
    </w:p>
    <w:p w:rsidR="00B8297F" w:rsidRPr="004336F3" w:rsidRDefault="008442ED" w:rsidP="00C25DD8">
      <w:pPr>
        <w:pStyle w:val="SCCLsocLastPartyInRole"/>
        <w:rPr>
          <w:lang w:val="fr-CA"/>
        </w:rPr>
      </w:pPr>
      <w:r w:rsidRPr="004336F3">
        <w:rPr>
          <w:lang w:val="fr-CA"/>
        </w:rPr>
        <w:t>Thi Hao Hoang</w:t>
      </w:r>
      <w:r w:rsidRPr="004336F3">
        <w:rPr>
          <w:rStyle w:val="SCCLsocPartyRole"/>
          <w:lang w:val="fr-CA"/>
        </w:rPr>
        <w:tab/>
        <w:t>Intimés</w:t>
      </w:r>
    </w:p>
    <w:p w:rsidR="00B8297F" w:rsidRPr="00381B25" w:rsidRDefault="008442ED" w:rsidP="00C25DD8">
      <w:pPr>
        <w:pStyle w:val="SCCLsocOtherPartySeparator"/>
        <w:rPr>
          <w:lang w:val="fr-CA"/>
        </w:rPr>
      </w:pPr>
      <w:r w:rsidRPr="00381B25">
        <w:rPr>
          <w:lang w:val="fr-CA"/>
        </w:rPr>
        <w:t>et</w:t>
      </w:r>
    </w:p>
    <w:p w:rsidR="00B8297F" w:rsidRPr="00381B25" w:rsidRDefault="008442ED" w:rsidP="00C25DD8">
      <w:pPr>
        <w:pStyle w:val="SCCLsocLastPartyInRole"/>
        <w:rPr>
          <w:lang w:val="fr-CA"/>
        </w:rPr>
      </w:pPr>
      <w:r w:rsidRPr="00381B25">
        <w:rPr>
          <w:lang w:val="fr-CA"/>
        </w:rPr>
        <w:t>Bureau d</w:t>
      </w:r>
      <w:r w:rsidR="00E72105">
        <w:rPr>
          <w:lang w:val="fr-CA"/>
        </w:rPr>
        <w:t>’</w:t>
      </w:r>
      <w:r w:rsidRPr="00381B25">
        <w:rPr>
          <w:lang w:val="fr-CA"/>
        </w:rPr>
        <w:t>assurance du Canada</w:t>
      </w:r>
      <w:r w:rsidRPr="00381B25">
        <w:rPr>
          <w:rStyle w:val="SCCLsocPartyRole"/>
          <w:lang w:val="fr-CA"/>
        </w:rPr>
        <w:tab/>
        <w:t>Intervenant</w:t>
      </w:r>
    </w:p>
    <w:p w:rsidR="004D7D95" w:rsidRPr="00381B25" w:rsidRDefault="004D7D95" w:rsidP="00C25DD8">
      <w:pPr>
        <w:spacing w:after="720"/>
        <w:jc w:val="both"/>
        <w:rPr>
          <w:b/>
          <w:lang w:val="fr-CA"/>
        </w:rPr>
      </w:pPr>
      <w:r w:rsidRPr="00381B25">
        <w:rPr>
          <w:b/>
          <w:lang w:val="fr-CA"/>
        </w:rPr>
        <w:t>Répertorié</w:t>
      </w:r>
      <w:r w:rsidR="00E72105">
        <w:rPr>
          <w:b/>
          <w:lang w:val="fr-CA"/>
        </w:rPr>
        <w:t> :</w:t>
      </w:r>
      <w:r w:rsidRPr="00381B25">
        <w:rPr>
          <w:b/>
          <w:lang w:val="fr-CA"/>
        </w:rPr>
        <w:t> </w:t>
      </w:r>
      <w:r w:rsidRPr="00381B25">
        <w:rPr>
          <w:rStyle w:val="SCCAppellantForIndexChar"/>
          <w:lang w:val="fr-CA"/>
        </w:rPr>
        <w:t>Saadati</w:t>
      </w:r>
      <w:r w:rsidRPr="00381B25">
        <w:rPr>
          <w:b/>
          <w:lang w:val="fr-CA"/>
        </w:rPr>
        <w:t xml:space="preserve"> </w:t>
      </w:r>
      <w:r w:rsidRPr="00381B25">
        <w:rPr>
          <w:b/>
          <w:i/>
          <w:lang w:val="fr-CA"/>
        </w:rPr>
        <w:t>c.</w:t>
      </w:r>
      <w:r w:rsidRPr="00381B25">
        <w:rPr>
          <w:b/>
          <w:lang w:val="fr-CA"/>
        </w:rPr>
        <w:t xml:space="preserve"> </w:t>
      </w:r>
      <w:r w:rsidRPr="00381B25">
        <w:rPr>
          <w:rStyle w:val="SCCRespondentForIndexChar"/>
          <w:lang w:val="fr-CA"/>
        </w:rPr>
        <w:t>Moorhead</w:t>
      </w:r>
    </w:p>
    <w:p w:rsidR="004D7D95" w:rsidRPr="00381B25" w:rsidRDefault="00D17B0E" w:rsidP="00C25DD8">
      <w:pPr>
        <w:pStyle w:val="SCCSystemYear"/>
        <w:spacing w:after="720"/>
        <w:jc w:val="both"/>
        <w:rPr>
          <w:lang w:val="fr-CA"/>
        </w:rPr>
      </w:pPr>
      <w:r w:rsidRPr="00381B25">
        <w:rPr>
          <w:lang w:val="fr-CA"/>
        </w:rPr>
        <w:t>2017</w:t>
      </w:r>
      <w:r w:rsidR="004D7D95" w:rsidRPr="00381B25">
        <w:rPr>
          <w:lang w:val="fr-CA"/>
        </w:rPr>
        <w:t xml:space="preserve"> CSC </w:t>
      </w:r>
      <w:r w:rsidR="00FD38A5" w:rsidRPr="00381B25">
        <w:rPr>
          <w:lang w:val="fr-CA"/>
        </w:rPr>
        <w:t>28</w:t>
      </w:r>
    </w:p>
    <w:p w:rsidR="004D7D95" w:rsidRPr="00381B25" w:rsidRDefault="004D7D95" w:rsidP="00C25DD8">
      <w:pPr>
        <w:spacing w:after="720"/>
        <w:jc w:val="both"/>
        <w:rPr>
          <w:lang w:val="fr-CA"/>
        </w:rPr>
      </w:pPr>
      <w:r w:rsidRPr="00381B25">
        <w:rPr>
          <w:lang w:val="fr-CA"/>
        </w:rPr>
        <w:t>N</w:t>
      </w:r>
      <w:r w:rsidRPr="00381B25">
        <w:rPr>
          <w:vertAlign w:val="superscript"/>
          <w:lang w:val="fr-CA"/>
        </w:rPr>
        <w:t>o</w:t>
      </w:r>
      <w:r w:rsidRPr="00381B25">
        <w:rPr>
          <w:lang w:val="fr-CA"/>
        </w:rPr>
        <w:t xml:space="preserve"> du greffe</w:t>
      </w:r>
      <w:r w:rsidR="00E72105">
        <w:rPr>
          <w:lang w:val="fr-CA"/>
        </w:rPr>
        <w:t> :</w:t>
      </w:r>
      <w:r w:rsidRPr="00381B25">
        <w:rPr>
          <w:lang w:val="fr-CA"/>
        </w:rPr>
        <w:t> 36703.</w:t>
      </w:r>
    </w:p>
    <w:p w:rsidR="004D7D95" w:rsidRPr="00381B25" w:rsidRDefault="00D17B0E" w:rsidP="00C25DD8">
      <w:pPr>
        <w:spacing w:after="720"/>
        <w:jc w:val="both"/>
        <w:rPr>
          <w:lang w:val="fr-CA"/>
        </w:rPr>
      </w:pPr>
      <w:r w:rsidRPr="00381B25">
        <w:rPr>
          <w:lang w:val="fr-CA"/>
        </w:rPr>
        <w:t>2017</w:t>
      </w:r>
      <w:r w:rsidR="00E72105">
        <w:rPr>
          <w:lang w:val="fr-CA"/>
        </w:rPr>
        <w:t> :</w:t>
      </w:r>
      <w:r w:rsidR="00F644EC" w:rsidRPr="00381B25">
        <w:rPr>
          <w:lang w:val="fr-CA"/>
        </w:rPr>
        <w:t> </w:t>
      </w:r>
      <w:r w:rsidR="00E72105">
        <w:rPr>
          <w:lang w:val="fr-CA"/>
        </w:rPr>
        <w:t>16 </w:t>
      </w:r>
      <w:r w:rsidRPr="00381B25">
        <w:rPr>
          <w:lang w:val="fr-CA"/>
        </w:rPr>
        <w:t>janvier</w:t>
      </w:r>
      <w:r w:rsidR="004D7D95" w:rsidRPr="00381B25">
        <w:rPr>
          <w:lang w:val="fr-CA"/>
        </w:rPr>
        <w:t xml:space="preserve">; </w:t>
      </w:r>
      <w:r w:rsidR="00F644EC" w:rsidRPr="00381B25">
        <w:rPr>
          <w:lang w:val="fr-CA"/>
        </w:rPr>
        <w:t>2017</w:t>
      </w:r>
      <w:r w:rsidR="00E72105">
        <w:rPr>
          <w:lang w:val="fr-CA"/>
        </w:rPr>
        <w:t> :</w:t>
      </w:r>
      <w:r w:rsidR="00F644EC" w:rsidRPr="00381B25">
        <w:rPr>
          <w:lang w:val="fr-CA"/>
        </w:rPr>
        <w:t> </w:t>
      </w:r>
      <w:r w:rsidR="005F4A28" w:rsidRPr="00381B25">
        <w:rPr>
          <w:lang w:val="fr-CA"/>
        </w:rPr>
        <w:t>2</w:t>
      </w:r>
      <w:r w:rsidR="00E72105">
        <w:rPr>
          <w:lang w:val="fr-CA"/>
        </w:rPr>
        <w:t> </w:t>
      </w:r>
      <w:r w:rsidR="005F4A28" w:rsidRPr="00381B25">
        <w:rPr>
          <w:lang w:val="fr-CA"/>
        </w:rPr>
        <w:t>juin</w:t>
      </w:r>
      <w:r w:rsidR="004D7D95" w:rsidRPr="00381B25">
        <w:rPr>
          <w:lang w:val="fr-CA"/>
        </w:rPr>
        <w:t>.</w:t>
      </w:r>
    </w:p>
    <w:p w:rsidR="004D7D95" w:rsidRPr="00381B25" w:rsidRDefault="004D7D95" w:rsidP="00C25DD8">
      <w:pPr>
        <w:spacing w:after="720"/>
        <w:jc w:val="both"/>
        <w:rPr>
          <w:lang w:val="fr-CA"/>
        </w:rPr>
      </w:pPr>
      <w:r w:rsidRPr="00381B25">
        <w:rPr>
          <w:lang w:val="fr-CA"/>
        </w:rPr>
        <w:t>Présents</w:t>
      </w:r>
      <w:r w:rsidR="00E72105">
        <w:rPr>
          <w:lang w:val="fr-CA"/>
        </w:rPr>
        <w:t> :</w:t>
      </w:r>
      <w:r w:rsidRPr="00381B25">
        <w:rPr>
          <w:lang w:val="fr-CA"/>
        </w:rPr>
        <w:t> La juge en chef McLachlin et les juges Abella, Moldaver, Karakatsanis, Wagner, Gascon, Côté, Brown et Rowe.</w:t>
      </w:r>
    </w:p>
    <w:p w:rsidR="004D7D95" w:rsidRPr="00381B25" w:rsidRDefault="004D7D95" w:rsidP="00C25DD8">
      <w:pPr>
        <w:spacing w:after="720"/>
        <w:jc w:val="both"/>
        <w:rPr>
          <w:smallCaps/>
          <w:lang w:val="fr-CA"/>
        </w:rPr>
      </w:pPr>
      <w:r w:rsidRPr="00381B25">
        <w:rPr>
          <w:smallCaps/>
          <w:lang w:val="fr-CA"/>
        </w:rPr>
        <w:t>en appel de la cour d</w:t>
      </w:r>
      <w:r w:rsidR="00E72105">
        <w:rPr>
          <w:smallCaps/>
          <w:lang w:val="fr-CA"/>
        </w:rPr>
        <w:t>’</w:t>
      </w:r>
      <w:r w:rsidRPr="00381B25">
        <w:rPr>
          <w:smallCaps/>
          <w:lang w:val="fr-CA"/>
        </w:rPr>
        <w:t>appel de la colombie</w:t>
      </w:r>
      <w:r w:rsidR="00E72105">
        <w:rPr>
          <w:smallCaps/>
          <w:lang w:val="fr-CA"/>
        </w:rPr>
        <w:noBreakHyphen/>
      </w:r>
      <w:r w:rsidRPr="00381B25">
        <w:rPr>
          <w:smallCaps/>
          <w:lang w:val="fr-CA"/>
        </w:rPr>
        <w:t>britannique</w:t>
      </w:r>
    </w:p>
    <w:p w:rsidR="004D7D95" w:rsidRPr="00381B25" w:rsidRDefault="004D7D95" w:rsidP="00C25DD8">
      <w:pPr>
        <w:pStyle w:val="SCCNormalDoubleSpacing"/>
        <w:spacing w:after="480"/>
        <w:rPr>
          <w:i/>
          <w:lang w:val="fr-CA"/>
        </w:rPr>
      </w:pPr>
      <w:r w:rsidRPr="00381B25">
        <w:rPr>
          <w:lang w:val="fr-CA"/>
        </w:rPr>
        <w:tab/>
      </w:r>
      <w:r w:rsidR="00ED101C" w:rsidRPr="00381B25">
        <w:rPr>
          <w:i/>
          <w:lang w:val="fr-CA"/>
        </w:rPr>
        <w:t xml:space="preserve">Responsabilité délictuelle — Négligence — Véhicules automobiles — Préjudice mental — </w:t>
      </w:r>
      <w:r w:rsidR="006C4D3A">
        <w:rPr>
          <w:i/>
          <w:lang w:val="fr-CA"/>
        </w:rPr>
        <w:t>Dommages</w:t>
      </w:r>
      <w:r w:rsidR="006C4D3A">
        <w:rPr>
          <w:i/>
          <w:lang w:val="fr-CA"/>
        </w:rPr>
        <w:noBreakHyphen/>
        <w:t xml:space="preserve">intérêts </w:t>
      </w:r>
      <w:r w:rsidR="00ED101C" w:rsidRPr="00381B25">
        <w:rPr>
          <w:i/>
          <w:lang w:val="fr-CA"/>
        </w:rPr>
        <w:t>— Poursuite pour négligence par suite d</w:t>
      </w:r>
      <w:r w:rsidR="00E72105">
        <w:rPr>
          <w:i/>
          <w:lang w:val="fr-CA"/>
        </w:rPr>
        <w:t>’</w:t>
      </w:r>
      <w:r w:rsidR="00ED101C" w:rsidRPr="00381B25">
        <w:rPr>
          <w:i/>
          <w:lang w:val="fr-CA"/>
        </w:rPr>
        <w:t xml:space="preserve">un </w:t>
      </w:r>
      <w:r w:rsidR="00ED101C" w:rsidRPr="00381B25">
        <w:rPr>
          <w:i/>
          <w:lang w:val="fr-CA"/>
        </w:rPr>
        <w:lastRenderedPageBreak/>
        <w:t>accident de la route — Octroi en première instance d</w:t>
      </w:r>
      <w:r w:rsidR="00E72105">
        <w:rPr>
          <w:i/>
          <w:lang w:val="fr-CA"/>
        </w:rPr>
        <w:t>’</w:t>
      </w:r>
      <w:r w:rsidR="00ED101C" w:rsidRPr="00381B25">
        <w:rPr>
          <w:i/>
          <w:lang w:val="fr-CA"/>
        </w:rPr>
        <w:t>une indemnité pour préjudice mental sur l</w:t>
      </w:r>
      <w:r w:rsidR="000A2EA0" w:rsidRPr="00381B25">
        <w:rPr>
          <w:i/>
          <w:lang w:val="fr-CA"/>
        </w:rPr>
        <w:t xml:space="preserve">a foi </w:t>
      </w:r>
      <w:r w:rsidR="00ED101C" w:rsidRPr="00381B25">
        <w:rPr>
          <w:i/>
          <w:lang w:val="fr-CA"/>
        </w:rPr>
        <w:t xml:space="preserve">du témoignage de </w:t>
      </w:r>
      <w:r w:rsidR="0043655F" w:rsidRPr="00381B25">
        <w:rPr>
          <w:i/>
          <w:lang w:val="fr-CA"/>
        </w:rPr>
        <w:t>profane</w:t>
      </w:r>
      <w:r w:rsidR="00ED101C" w:rsidRPr="00381B25">
        <w:rPr>
          <w:i/>
          <w:lang w:val="fr-CA"/>
        </w:rPr>
        <w:t>s</w:t>
      </w:r>
      <w:r w:rsidR="00597F74" w:rsidRPr="00381B25">
        <w:rPr>
          <w:i/>
          <w:lang w:val="fr-CA"/>
        </w:rPr>
        <w:t xml:space="preserve"> plutôt qu</w:t>
      </w:r>
      <w:r w:rsidR="00E72105">
        <w:rPr>
          <w:i/>
          <w:lang w:val="fr-CA"/>
        </w:rPr>
        <w:t>’</w:t>
      </w:r>
      <w:r w:rsidR="00597F74" w:rsidRPr="00381B25">
        <w:rPr>
          <w:i/>
          <w:lang w:val="fr-CA"/>
        </w:rPr>
        <w:t>à partir d</w:t>
      </w:r>
      <w:r w:rsidR="00E72105">
        <w:rPr>
          <w:i/>
          <w:lang w:val="fr-CA"/>
        </w:rPr>
        <w:t>’</w:t>
      </w:r>
      <w:r w:rsidR="002C39FA" w:rsidRPr="00381B25">
        <w:rPr>
          <w:i/>
          <w:lang w:val="fr-CA"/>
        </w:rPr>
        <w:t>un</w:t>
      </w:r>
      <w:r w:rsidR="00597F74" w:rsidRPr="00381B25">
        <w:rPr>
          <w:i/>
          <w:lang w:val="fr-CA"/>
        </w:rPr>
        <w:t xml:space="preserve">e preuve </w:t>
      </w:r>
      <w:r w:rsidR="002C39FA" w:rsidRPr="00381B25">
        <w:rPr>
          <w:i/>
          <w:lang w:val="fr-CA"/>
        </w:rPr>
        <w:t>d</w:t>
      </w:r>
      <w:r w:rsidR="00E72105">
        <w:rPr>
          <w:i/>
          <w:lang w:val="fr-CA"/>
        </w:rPr>
        <w:t>’</w:t>
      </w:r>
      <w:r w:rsidR="002C39FA" w:rsidRPr="00381B25">
        <w:rPr>
          <w:i/>
          <w:lang w:val="fr-CA"/>
        </w:rPr>
        <w:t>expert établissant un diagnostic</w:t>
      </w:r>
      <w:r w:rsidR="00597F74" w:rsidRPr="00381B25">
        <w:rPr>
          <w:i/>
          <w:lang w:val="fr-CA"/>
        </w:rPr>
        <w:t xml:space="preserve"> précis</w:t>
      </w:r>
      <w:r w:rsidR="00ED101C" w:rsidRPr="00381B25">
        <w:rPr>
          <w:i/>
          <w:lang w:val="fr-CA"/>
        </w:rPr>
        <w:t xml:space="preserve"> — En quoi consiste le préjudice mental? — </w:t>
      </w:r>
      <w:r w:rsidR="000A2EA0" w:rsidRPr="00381B25">
        <w:rPr>
          <w:i/>
          <w:lang w:val="fr-CA"/>
        </w:rPr>
        <w:t>S</w:t>
      </w:r>
      <w:r w:rsidR="00ED101C" w:rsidRPr="00381B25">
        <w:rPr>
          <w:i/>
          <w:lang w:val="fr-CA"/>
        </w:rPr>
        <w:t>a réparation exige</w:t>
      </w:r>
      <w:r w:rsidR="00E72105">
        <w:rPr>
          <w:i/>
          <w:lang w:val="fr-CA"/>
        </w:rPr>
        <w:noBreakHyphen/>
      </w:r>
      <w:r w:rsidR="00ED101C" w:rsidRPr="00381B25">
        <w:rPr>
          <w:i/>
          <w:lang w:val="fr-CA"/>
        </w:rPr>
        <w:t>t</w:t>
      </w:r>
      <w:r w:rsidR="00E72105">
        <w:rPr>
          <w:i/>
          <w:lang w:val="fr-CA"/>
        </w:rPr>
        <w:noBreakHyphen/>
      </w:r>
      <w:r w:rsidR="00ED101C" w:rsidRPr="00381B25">
        <w:rPr>
          <w:i/>
          <w:lang w:val="fr-CA"/>
        </w:rPr>
        <w:t>elle le témoignage d</w:t>
      </w:r>
      <w:r w:rsidR="00E72105">
        <w:rPr>
          <w:i/>
          <w:lang w:val="fr-CA"/>
        </w:rPr>
        <w:t>’</w:t>
      </w:r>
      <w:r w:rsidR="00ED101C" w:rsidRPr="00381B25">
        <w:rPr>
          <w:i/>
          <w:lang w:val="fr-CA"/>
        </w:rPr>
        <w:t xml:space="preserve">un expert ou </w:t>
      </w:r>
      <w:r w:rsidR="002C39FA" w:rsidRPr="00381B25">
        <w:rPr>
          <w:i/>
          <w:lang w:val="fr-CA"/>
        </w:rPr>
        <w:t xml:space="preserve">quelque autre </w:t>
      </w:r>
      <w:r w:rsidR="00ED101C" w:rsidRPr="00381B25">
        <w:rPr>
          <w:i/>
          <w:lang w:val="fr-CA"/>
        </w:rPr>
        <w:t>preuve d</w:t>
      </w:r>
      <w:r w:rsidR="00E72105">
        <w:rPr>
          <w:i/>
          <w:lang w:val="fr-CA"/>
        </w:rPr>
        <w:t>’</w:t>
      </w:r>
      <w:r w:rsidR="00ED101C" w:rsidRPr="00381B25">
        <w:rPr>
          <w:i/>
          <w:lang w:val="fr-CA"/>
        </w:rPr>
        <w:t>un trouble psychiatrique reconnu? — Le demandeur a</w:t>
      </w:r>
      <w:r w:rsidR="00E72105">
        <w:rPr>
          <w:i/>
          <w:lang w:val="fr-CA"/>
        </w:rPr>
        <w:noBreakHyphen/>
      </w:r>
      <w:r w:rsidR="00ED101C" w:rsidRPr="00381B25">
        <w:rPr>
          <w:i/>
          <w:lang w:val="fr-CA"/>
        </w:rPr>
        <w:t>t</w:t>
      </w:r>
      <w:r w:rsidR="00E72105">
        <w:rPr>
          <w:i/>
          <w:lang w:val="fr-CA"/>
        </w:rPr>
        <w:noBreakHyphen/>
      </w:r>
      <w:r w:rsidR="00ED101C" w:rsidRPr="00381B25">
        <w:rPr>
          <w:i/>
          <w:lang w:val="fr-CA"/>
        </w:rPr>
        <w:t>il subi un préjudice? — L</w:t>
      </w:r>
      <w:r w:rsidR="00E72105">
        <w:rPr>
          <w:i/>
          <w:lang w:val="fr-CA"/>
        </w:rPr>
        <w:t>’</w:t>
      </w:r>
      <w:r w:rsidR="00ED101C" w:rsidRPr="00381B25">
        <w:rPr>
          <w:i/>
          <w:lang w:val="fr-CA"/>
        </w:rPr>
        <w:t>affaire devrait</w:t>
      </w:r>
      <w:r w:rsidR="00E72105">
        <w:rPr>
          <w:i/>
          <w:lang w:val="fr-CA"/>
        </w:rPr>
        <w:noBreakHyphen/>
      </w:r>
      <w:r w:rsidR="00ED101C" w:rsidRPr="00381B25">
        <w:rPr>
          <w:i/>
          <w:lang w:val="fr-CA"/>
        </w:rPr>
        <w:t>elle être renvoyée à la Cour d</w:t>
      </w:r>
      <w:r w:rsidR="00E72105">
        <w:rPr>
          <w:i/>
          <w:lang w:val="fr-CA"/>
        </w:rPr>
        <w:t>’</w:t>
      </w:r>
      <w:r w:rsidR="00ED101C" w:rsidRPr="00381B25">
        <w:rPr>
          <w:i/>
          <w:lang w:val="fr-CA"/>
        </w:rPr>
        <w:t>appel?</w:t>
      </w:r>
    </w:p>
    <w:p w:rsidR="004D7D95" w:rsidRPr="00381B25" w:rsidRDefault="004D7D95" w:rsidP="00C25DD8">
      <w:pPr>
        <w:pStyle w:val="SCCNormalDoubleSpacing"/>
        <w:spacing w:after="480"/>
        <w:rPr>
          <w:lang w:val="fr-CA"/>
        </w:rPr>
      </w:pPr>
      <w:r w:rsidRPr="00381B25">
        <w:rPr>
          <w:lang w:val="fr-CA"/>
        </w:rPr>
        <w:tab/>
      </w:r>
      <w:r w:rsidR="00C5350B" w:rsidRPr="00381B25">
        <w:rPr>
          <w:lang w:val="fr-CA"/>
        </w:rPr>
        <w:t>Le camion</w:t>
      </w:r>
      <w:r w:rsidR="00E72105">
        <w:rPr>
          <w:lang w:val="fr-CA"/>
        </w:rPr>
        <w:noBreakHyphen/>
      </w:r>
      <w:r w:rsidR="00C5350B" w:rsidRPr="00381B25">
        <w:rPr>
          <w:lang w:val="fr-CA"/>
        </w:rPr>
        <w:t>tracteur de S a été heurté par le véhicule que conduisait M. Cet accident de la route était le deuxième d</w:t>
      </w:r>
      <w:r w:rsidR="00E72105">
        <w:rPr>
          <w:lang w:val="fr-CA"/>
        </w:rPr>
        <w:t>’</w:t>
      </w:r>
      <w:r w:rsidR="00C5350B" w:rsidRPr="00381B25">
        <w:rPr>
          <w:lang w:val="fr-CA"/>
        </w:rPr>
        <w:t>une série de cinq subis par S. Depuis le premier accident, S souffrait de douleurs chroniques, et celles</w:t>
      </w:r>
      <w:r w:rsidR="00E72105">
        <w:rPr>
          <w:lang w:val="fr-CA"/>
        </w:rPr>
        <w:noBreakHyphen/>
      </w:r>
      <w:r w:rsidR="00C5350B" w:rsidRPr="00381B25">
        <w:rPr>
          <w:lang w:val="fr-CA"/>
        </w:rPr>
        <w:t>ci s</w:t>
      </w:r>
      <w:r w:rsidR="00E72105">
        <w:rPr>
          <w:lang w:val="fr-CA"/>
        </w:rPr>
        <w:t>’</w:t>
      </w:r>
      <w:r w:rsidR="00C5350B" w:rsidRPr="00381B25">
        <w:rPr>
          <w:lang w:val="fr-CA"/>
        </w:rPr>
        <w:t xml:space="preserve">étaient aggravées après le troisième. </w:t>
      </w:r>
      <w:r w:rsidR="00597F74" w:rsidRPr="00381B25">
        <w:rPr>
          <w:lang w:val="fr-CA"/>
        </w:rPr>
        <w:t>S</w:t>
      </w:r>
      <w:r w:rsidR="00C5350B" w:rsidRPr="00381B25">
        <w:rPr>
          <w:lang w:val="fr-CA"/>
        </w:rPr>
        <w:t xml:space="preserve"> a poursuivi M et les autres défendeurs pour négligence</w:t>
      </w:r>
      <w:r w:rsidR="00597F74" w:rsidRPr="00381B25">
        <w:rPr>
          <w:lang w:val="fr-CA"/>
        </w:rPr>
        <w:t>. Il</w:t>
      </w:r>
      <w:r w:rsidR="00C5350B" w:rsidRPr="00381B25">
        <w:rPr>
          <w:lang w:val="fr-CA"/>
        </w:rPr>
        <w:t xml:space="preserve"> demand</w:t>
      </w:r>
      <w:r w:rsidR="00597F74" w:rsidRPr="00381B25">
        <w:rPr>
          <w:lang w:val="fr-CA"/>
        </w:rPr>
        <w:t>ait</w:t>
      </w:r>
      <w:r w:rsidR="00C5350B" w:rsidRPr="00381B25">
        <w:rPr>
          <w:lang w:val="fr-CA"/>
        </w:rPr>
        <w:t xml:space="preserve"> une indemnité pour perte non pécuniaire et pour perte de revenus antérieure attribuables au deuxième accident. Le juge de première instance a conclu que le deuxième </w:t>
      </w:r>
      <w:r w:rsidR="00597F74" w:rsidRPr="00381B25">
        <w:rPr>
          <w:lang w:val="fr-CA"/>
        </w:rPr>
        <w:t xml:space="preserve">accident </w:t>
      </w:r>
      <w:r w:rsidR="00C5350B" w:rsidRPr="00381B25">
        <w:rPr>
          <w:lang w:val="fr-CA"/>
        </w:rPr>
        <w:t>avait infligé à S des préjudices psychologiques, dont un changement de personnalité et des problèmes cognitifs. Sa conclusion ne prenait pas appui sur un diagnostic précis ou sur le témoignage d</w:t>
      </w:r>
      <w:r w:rsidR="00E72105">
        <w:rPr>
          <w:lang w:val="fr-CA"/>
        </w:rPr>
        <w:t>’</w:t>
      </w:r>
      <w:r w:rsidR="00C5350B" w:rsidRPr="00381B25">
        <w:rPr>
          <w:lang w:val="fr-CA"/>
        </w:rPr>
        <w:t>un expert, mais bien sur le témoignage de proches selon lesquels, après l</w:t>
      </w:r>
      <w:r w:rsidR="00E72105">
        <w:rPr>
          <w:lang w:val="fr-CA"/>
        </w:rPr>
        <w:t>’</w:t>
      </w:r>
      <w:r w:rsidR="00C5350B" w:rsidRPr="00381B25">
        <w:rPr>
          <w:lang w:val="fr-CA"/>
        </w:rPr>
        <w:t>accident, la personnalité de S s</w:t>
      </w:r>
      <w:r w:rsidR="00E72105">
        <w:rPr>
          <w:lang w:val="fr-CA"/>
        </w:rPr>
        <w:t>’</w:t>
      </w:r>
      <w:r w:rsidR="00597F74" w:rsidRPr="00381B25">
        <w:rPr>
          <w:lang w:val="fr-CA"/>
        </w:rPr>
        <w:t>étai</w:t>
      </w:r>
      <w:r w:rsidR="00C5350B" w:rsidRPr="00381B25">
        <w:rPr>
          <w:lang w:val="fr-CA"/>
        </w:rPr>
        <w:t xml:space="preserve">t détériorée. </w:t>
      </w:r>
      <w:r w:rsidR="00E6110A" w:rsidRPr="00381B25">
        <w:rPr>
          <w:lang w:val="fr-CA"/>
        </w:rPr>
        <w:t>Il a conclu en outre que le préjudice mental infligé initialement par le deuxième accident était indissociable de tout préjudice infligé par le troisième accident. Il a accordé à S 100 000</w:t>
      </w:r>
      <w:r w:rsidR="00E72105">
        <w:rPr>
          <w:lang w:val="fr-CA"/>
        </w:rPr>
        <w:t> $</w:t>
      </w:r>
      <w:r w:rsidR="00E6110A" w:rsidRPr="00381B25">
        <w:rPr>
          <w:lang w:val="fr-CA"/>
        </w:rPr>
        <w:t xml:space="preserve"> à titre de dommages</w:t>
      </w:r>
      <w:r w:rsidR="00E72105">
        <w:rPr>
          <w:lang w:val="fr-CA"/>
        </w:rPr>
        <w:noBreakHyphen/>
      </w:r>
      <w:r w:rsidR="00E6110A" w:rsidRPr="00381B25">
        <w:rPr>
          <w:lang w:val="fr-CA"/>
        </w:rPr>
        <w:t>intérêts non pécuniaires. La Cour d</w:t>
      </w:r>
      <w:r w:rsidR="00E72105">
        <w:rPr>
          <w:lang w:val="fr-CA"/>
        </w:rPr>
        <w:t>’</w:t>
      </w:r>
      <w:r w:rsidR="00E6110A" w:rsidRPr="00381B25">
        <w:rPr>
          <w:lang w:val="fr-CA"/>
        </w:rPr>
        <w:t>appel a accueilli l</w:t>
      </w:r>
      <w:r w:rsidR="00E72105">
        <w:rPr>
          <w:lang w:val="fr-CA"/>
        </w:rPr>
        <w:t>’</w:t>
      </w:r>
      <w:r w:rsidR="00E6110A" w:rsidRPr="00381B25">
        <w:rPr>
          <w:lang w:val="fr-CA"/>
        </w:rPr>
        <w:t>appel au motif que S n</w:t>
      </w:r>
      <w:r w:rsidR="00E72105">
        <w:rPr>
          <w:lang w:val="fr-CA"/>
        </w:rPr>
        <w:t>’</w:t>
      </w:r>
      <w:r w:rsidR="00E6110A" w:rsidRPr="00381B25">
        <w:rPr>
          <w:lang w:val="fr-CA"/>
        </w:rPr>
        <w:t xml:space="preserve">avait pas </w:t>
      </w:r>
      <w:r w:rsidR="006C4D3A">
        <w:rPr>
          <w:lang w:val="fr-CA"/>
        </w:rPr>
        <w:t xml:space="preserve">établi, au moyen d’une preuve d’expert, </w:t>
      </w:r>
      <w:r w:rsidR="00E6110A" w:rsidRPr="00381B25">
        <w:rPr>
          <w:lang w:val="fr-CA"/>
        </w:rPr>
        <w:t xml:space="preserve">un </w:t>
      </w:r>
      <w:r w:rsidR="00602073" w:rsidRPr="00381B25">
        <w:rPr>
          <w:lang w:val="fr-CA"/>
        </w:rPr>
        <w:t xml:space="preserve">préjudice correspondant à un </w:t>
      </w:r>
      <w:r w:rsidR="002C39FA" w:rsidRPr="00381B25">
        <w:rPr>
          <w:lang w:val="fr-CA"/>
        </w:rPr>
        <w:t xml:space="preserve">trouble </w:t>
      </w:r>
      <w:r w:rsidR="00E6110A" w:rsidRPr="00381B25">
        <w:rPr>
          <w:lang w:val="fr-CA"/>
        </w:rPr>
        <w:t xml:space="preserve">psychiatrique ou psychologique médicalement reconnu. Elle a également </w:t>
      </w:r>
      <w:r w:rsidR="00597F74" w:rsidRPr="00381B25">
        <w:rPr>
          <w:lang w:val="fr-CA"/>
        </w:rPr>
        <w:lastRenderedPageBreak/>
        <w:t xml:space="preserve">estimé </w:t>
      </w:r>
      <w:r w:rsidR="00E6110A" w:rsidRPr="00381B25">
        <w:rPr>
          <w:lang w:val="fr-CA"/>
        </w:rPr>
        <w:t>que le juge de première instance avait commis l</w:t>
      </w:r>
      <w:r w:rsidR="00E72105">
        <w:rPr>
          <w:lang w:val="fr-CA"/>
        </w:rPr>
        <w:t>’</w:t>
      </w:r>
      <w:r w:rsidR="00E6110A" w:rsidRPr="00381B25">
        <w:rPr>
          <w:lang w:val="fr-CA"/>
        </w:rPr>
        <w:t>erreur de statuer à partir de moyens que S n</w:t>
      </w:r>
      <w:r w:rsidR="00E72105">
        <w:rPr>
          <w:lang w:val="fr-CA"/>
        </w:rPr>
        <w:t>’</w:t>
      </w:r>
      <w:r w:rsidR="00E6110A" w:rsidRPr="00381B25">
        <w:rPr>
          <w:lang w:val="fr-CA"/>
        </w:rPr>
        <w:t>avait ni plaidés ni invoqués.</w:t>
      </w:r>
      <w:r w:rsidR="00E0152C" w:rsidRPr="00381B25">
        <w:rPr>
          <w:lang w:val="fr-CA"/>
        </w:rPr>
        <w:t xml:space="preserve"> </w:t>
      </w:r>
    </w:p>
    <w:p w:rsidR="00597F74" w:rsidRPr="00381B25" w:rsidRDefault="00602073" w:rsidP="00597F74">
      <w:pPr>
        <w:pStyle w:val="SCCNormalDoubleSpacing"/>
        <w:spacing w:after="480"/>
        <w:rPr>
          <w:lang w:val="fr-CA"/>
        </w:rPr>
      </w:pPr>
      <w:r w:rsidRPr="00381B25">
        <w:rPr>
          <w:i/>
          <w:lang w:val="fr-CA"/>
        </w:rPr>
        <w:tab/>
      </w:r>
      <w:r w:rsidR="00597F74" w:rsidRPr="00381B25">
        <w:rPr>
          <w:i/>
          <w:lang w:val="fr-CA"/>
        </w:rPr>
        <w:t>Arrêt</w:t>
      </w:r>
      <w:r w:rsidR="00E72105">
        <w:rPr>
          <w:lang w:val="fr-CA"/>
        </w:rPr>
        <w:t> :</w:t>
      </w:r>
      <w:r w:rsidR="00597F74" w:rsidRPr="00381B25">
        <w:rPr>
          <w:lang w:val="fr-CA"/>
        </w:rPr>
        <w:t xml:space="preserve"> Le pourvoi est accueilli</w:t>
      </w:r>
      <w:r w:rsidR="002C39FA" w:rsidRPr="00381B25">
        <w:rPr>
          <w:lang w:val="fr-CA"/>
        </w:rPr>
        <w:t xml:space="preserve"> et l</w:t>
      </w:r>
      <w:r w:rsidR="00E72105">
        <w:rPr>
          <w:lang w:val="fr-CA"/>
        </w:rPr>
        <w:t>’</w:t>
      </w:r>
      <w:r w:rsidR="002C39FA" w:rsidRPr="00381B25">
        <w:rPr>
          <w:lang w:val="fr-CA"/>
        </w:rPr>
        <w:t>indemnisation accordée en première instance est rétablie</w:t>
      </w:r>
      <w:r w:rsidR="00597F74" w:rsidRPr="00381B25">
        <w:rPr>
          <w:lang w:val="fr-CA"/>
        </w:rPr>
        <w:t>.</w:t>
      </w:r>
    </w:p>
    <w:p w:rsidR="00597F74" w:rsidRPr="00381B25" w:rsidRDefault="00597F74" w:rsidP="00C25DD8">
      <w:pPr>
        <w:pStyle w:val="SCCNormalDoubleSpacing"/>
        <w:spacing w:after="480"/>
        <w:rPr>
          <w:lang w:val="fr-CA"/>
        </w:rPr>
      </w:pPr>
      <w:r w:rsidRPr="00381B25">
        <w:rPr>
          <w:lang w:val="fr-CA"/>
        </w:rPr>
        <w:tab/>
        <w:t>L</w:t>
      </w:r>
      <w:r w:rsidR="00E72105">
        <w:rPr>
          <w:lang w:val="fr-CA"/>
        </w:rPr>
        <w:t>’</w:t>
      </w:r>
      <w:r w:rsidRPr="00381B25">
        <w:rPr>
          <w:lang w:val="fr-CA"/>
        </w:rPr>
        <w:t>octroi en première instance d</w:t>
      </w:r>
      <w:r w:rsidR="00E72105">
        <w:rPr>
          <w:lang w:val="fr-CA"/>
        </w:rPr>
        <w:t>’</w:t>
      </w:r>
      <w:r w:rsidRPr="00381B25">
        <w:rPr>
          <w:lang w:val="fr-CA"/>
        </w:rPr>
        <w:t>une indemnité pour préjudice mental ne contrevient pas à l</w:t>
      </w:r>
      <w:r w:rsidR="00E72105">
        <w:rPr>
          <w:lang w:val="fr-CA"/>
        </w:rPr>
        <w:t>’</w:t>
      </w:r>
      <w:r w:rsidRPr="00381B25">
        <w:rPr>
          <w:lang w:val="fr-CA"/>
        </w:rPr>
        <w:t>équité procédurale. Bien qu</w:t>
      </w:r>
      <w:r w:rsidR="00E72105">
        <w:rPr>
          <w:lang w:val="fr-CA"/>
        </w:rPr>
        <w:t>’</w:t>
      </w:r>
      <w:r w:rsidRPr="00381B25">
        <w:rPr>
          <w:lang w:val="fr-CA"/>
        </w:rPr>
        <w:t>une affaire ne doive pas être jugée à partir de moyens qui n</w:t>
      </w:r>
      <w:r w:rsidR="00E72105">
        <w:rPr>
          <w:lang w:val="fr-CA"/>
        </w:rPr>
        <w:t>’</w:t>
      </w:r>
      <w:r w:rsidRPr="00381B25">
        <w:rPr>
          <w:lang w:val="fr-CA"/>
        </w:rPr>
        <w:t>ont pas été invoqués, dans le cas d</w:t>
      </w:r>
      <w:r w:rsidR="00E72105">
        <w:rPr>
          <w:lang w:val="fr-CA"/>
        </w:rPr>
        <w:t>’</w:t>
      </w:r>
      <w:r w:rsidRPr="00381B25">
        <w:rPr>
          <w:lang w:val="fr-CA"/>
        </w:rPr>
        <w:t>une allégation de préjudice mental causé par la négligence, il suffit en règle générale que les actes de procédure fassent état de quelque manifestation d</w:t>
      </w:r>
      <w:r w:rsidR="00E72105">
        <w:rPr>
          <w:lang w:val="fr-CA"/>
        </w:rPr>
        <w:t>’</w:t>
      </w:r>
      <w:r w:rsidRPr="00381B25">
        <w:rPr>
          <w:lang w:val="fr-CA"/>
        </w:rPr>
        <w:t>un tel préjudice. Les nombreuses allégations d</w:t>
      </w:r>
      <w:r w:rsidR="00E72105">
        <w:rPr>
          <w:lang w:val="fr-CA"/>
        </w:rPr>
        <w:t>’</w:t>
      </w:r>
      <w:r w:rsidRPr="00381B25">
        <w:rPr>
          <w:lang w:val="fr-CA"/>
        </w:rPr>
        <w:t xml:space="preserve">un préjudice </w:t>
      </w:r>
      <w:r w:rsidR="002C39FA" w:rsidRPr="00381B25">
        <w:rPr>
          <w:lang w:val="fr-CA"/>
        </w:rPr>
        <w:t xml:space="preserve">mental </w:t>
      </w:r>
      <w:r w:rsidRPr="00381B25">
        <w:rPr>
          <w:lang w:val="fr-CA"/>
        </w:rPr>
        <w:t>dans les plaidoiries orale et écrite finales de S, jumelées à la nature générale des composants du préjudice allégué dans les actes de procédure ont amplement fait connaître aux défendeurs les arguments auxquels ils devaient répondre, et ces derniers ne se sont opposés à aucune de ces allégations.</w:t>
      </w:r>
    </w:p>
    <w:p w:rsidR="002208B7" w:rsidRPr="00381B25" w:rsidRDefault="00BF5465" w:rsidP="00C25DD8">
      <w:pPr>
        <w:pStyle w:val="SCCNormalDoubleSpacing"/>
        <w:spacing w:after="480"/>
        <w:rPr>
          <w:lang w:val="fr-CA"/>
        </w:rPr>
      </w:pPr>
      <w:r w:rsidRPr="00381B25">
        <w:rPr>
          <w:lang w:val="fr-CA"/>
        </w:rPr>
        <w:tab/>
      </w:r>
      <w:r w:rsidR="002C39FA" w:rsidRPr="00381B25">
        <w:rPr>
          <w:lang w:val="fr-CA"/>
        </w:rPr>
        <w:t>En droit de la négligence, l</w:t>
      </w:r>
      <w:r w:rsidR="00E72105">
        <w:rPr>
          <w:lang w:val="fr-CA"/>
        </w:rPr>
        <w:t>’</w:t>
      </w:r>
      <w:r w:rsidRPr="00381B25">
        <w:rPr>
          <w:lang w:val="fr-CA"/>
        </w:rPr>
        <w:t>indemnisation du préjudice mental exige du demandeur qu</w:t>
      </w:r>
      <w:r w:rsidR="00E72105">
        <w:rPr>
          <w:lang w:val="fr-CA"/>
        </w:rPr>
        <w:t>’</w:t>
      </w:r>
      <w:r w:rsidRPr="00381B25">
        <w:rPr>
          <w:lang w:val="fr-CA"/>
        </w:rPr>
        <w:t>il satisfasse aux conditions auxquelles la négligence peut être établie, c</w:t>
      </w:r>
      <w:r w:rsidR="00E72105">
        <w:rPr>
          <w:lang w:val="fr-CA"/>
        </w:rPr>
        <w:t>’</w:t>
      </w:r>
      <w:r w:rsidRPr="00381B25">
        <w:rPr>
          <w:lang w:val="fr-CA"/>
        </w:rPr>
        <w:t>est</w:t>
      </w:r>
      <w:r w:rsidR="00E72105">
        <w:rPr>
          <w:lang w:val="fr-CA"/>
        </w:rPr>
        <w:noBreakHyphen/>
      </w:r>
      <w:r w:rsidRPr="00381B25">
        <w:rPr>
          <w:lang w:val="fr-CA"/>
        </w:rPr>
        <w:t>à</w:t>
      </w:r>
      <w:r w:rsidR="00E72105">
        <w:rPr>
          <w:lang w:val="fr-CA"/>
        </w:rPr>
        <w:noBreakHyphen/>
      </w:r>
      <w:r w:rsidRPr="00381B25">
        <w:rPr>
          <w:lang w:val="fr-CA"/>
        </w:rPr>
        <w:t>dire prouver l</w:t>
      </w:r>
      <w:r w:rsidR="00E72105">
        <w:rPr>
          <w:lang w:val="fr-CA"/>
        </w:rPr>
        <w:t>’</w:t>
      </w:r>
      <w:r w:rsidRPr="00381B25">
        <w:rPr>
          <w:lang w:val="fr-CA"/>
        </w:rPr>
        <w:t>existence d</w:t>
      </w:r>
      <w:r w:rsidR="00E72105">
        <w:rPr>
          <w:lang w:val="fr-CA"/>
        </w:rPr>
        <w:t>’</w:t>
      </w:r>
      <w:r w:rsidRPr="00381B25">
        <w:rPr>
          <w:lang w:val="fr-CA"/>
        </w:rPr>
        <w:t>une obligation de diligence, d</w:t>
      </w:r>
      <w:r w:rsidR="00E72105">
        <w:rPr>
          <w:lang w:val="fr-CA"/>
        </w:rPr>
        <w:t>’</w:t>
      </w:r>
      <w:r w:rsidRPr="00381B25">
        <w:rPr>
          <w:lang w:val="fr-CA"/>
        </w:rPr>
        <w:t>un manquement, d</w:t>
      </w:r>
      <w:r w:rsidR="00E72105">
        <w:rPr>
          <w:lang w:val="fr-CA"/>
        </w:rPr>
        <w:t>’</w:t>
      </w:r>
      <w:r w:rsidRPr="00381B25">
        <w:rPr>
          <w:lang w:val="fr-CA"/>
        </w:rPr>
        <w:t>un préjudice et d</w:t>
      </w:r>
      <w:r w:rsidR="00E72105">
        <w:rPr>
          <w:lang w:val="fr-CA"/>
        </w:rPr>
        <w:t>’</w:t>
      </w:r>
      <w:r w:rsidRPr="00381B25">
        <w:rPr>
          <w:lang w:val="fr-CA"/>
        </w:rPr>
        <w:t>un lien de causalité factuel et juridique entre le manquement et le préjudice. Le droit canadien de la négligence reconnaît l</w:t>
      </w:r>
      <w:r w:rsidR="00E72105">
        <w:rPr>
          <w:lang w:val="fr-CA"/>
        </w:rPr>
        <w:t>’</w:t>
      </w:r>
      <w:r w:rsidRPr="00381B25">
        <w:rPr>
          <w:lang w:val="fr-CA"/>
        </w:rPr>
        <w:t>existence en common</w:t>
      </w:r>
      <w:r w:rsidR="00E72105">
        <w:rPr>
          <w:lang w:val="fr-CA"/>
        </w:rPr>
        <w:t xml:space="preserve"> </w:t>
      </w:r>
      <w:r w:rsidRPr="00381B25">
        <w:rPr>
          <w:lang w:val="fr-CA"/>
        </w:rPr>
        <w:t>law d</w:t>
      </w:r>
      <w:r w:rsidR="00E72105">
        <w:rPr>
          <w:lang w:val="fr-CA"/>
        </w:rPr>
        <w:t>’</w:t>
      </w:r>
      <w:r w:rsidRPr="00381B25">
        <w:rPr>
          <w:lang w:val="fr-CA"/>
        </w:rPr>
        <w:t>une obligation de prendre des mesures raisonnables afin qu</w:t>
      </w:r>
      <w:r w:rsidR="00E72105">
        <w:rPr>
          <w:lang w:val="fr-CA"/>
        </w:rPr>
        <w:t>’</w:t>
      </w:r>
      <w:r w:rsidRPr="00381B25">
        <w:rPr>
          <w:lang w:val="fr-CA"/>
        </w:rPr>
        <w:t xml:space="preserve">un préjudice mental prévisible ne soit pas causé et que </w:t>
      </w:r>
      <w:r w:rsidR="00597F74" w:rsidRPr="00381B25">
        <w:rPr>
          <w:lang w:val="fr-CA"/>
        </w:rPr>
        <w:t>la</w:t>
      </w:r>
      <w:r w:rsidRPr="00381B25">
        <w:rPr>
          <w:lang w:val="fr-CA"/>
        </w:rPr>
        <w:t xml:space="preserve"> cause d</w:t>
      </w:r>
      <w:r w:rsidR="00E72105">
        <w:rPr>
          <w:lang w:val="fr-CA"/>
        </w:rPr>
        <w:t>’</w:t>
      </w:r>
      <w:r w:rsidRPr="00381B25">
        <w:rPr>
          <w:lang w:val="fr-CA"/>
        </w:rPr>
        <w:t xml:space="preserve">action </w:t>
      </w:r>
      <w:r w:rsidR="00597F74" w:rsidRPr="00381B25">
        <w:rPr>
          <w:lang w:val="fr-CA"/>
        </w:rPr>
        <w:t xml:space="preserve">qui en découle </w:t>
      </w:r>
      <w:r w:rsidRPr="00381B25">
        <w:rPr>
          <w:lang w:val="fr-CA"/>
        </w:rPr>
        <w:t>garantit le droit d</w:t>
      </w:r>
      <w:r w:rsidR="00E72105">
        <w:rPr>
          <w:lang w:val="fr-CA"/>
        </w:rPr>
        <w:t>’</w:t>
      </w:r>
      <w:r w:rsidRPr="00381B25">
        <w:rPr>
          <w:lang w:val="fr-CA"/>
        </w:rPr>
        <w:t>être protégé contre l</w:t>
      </w:r>
      <w:r w:rsidR="00E72105">
        <w:rPr>
          <w:lang w:val="fr-CA"/>
        </w:rPr>
        <w:t>’</w:t>
      </w:r>
      <w:r w:rsidRPr="00381B25">
        <w:rPr>
          <w:lang w:val="fr-CA"/>
        </w:rPr>
        <w:t>atteinte par négligence à sa santé mentale. L</w:t>
      </w:r>
      <w:r w:rsidR="00E72105">
        <w:rPr>
          <w:lang w:val="fr-CA"/>
        </w:rPr>
        <w:t>’</w:t>
      </w:r>
      <w:r w:rsidRPr="00381B25">
        <w:rPr>
          <w:lang w:val="fr-CA"/>
        </w:rPr>
        <w:t xml:space="preserve">analyse que </w:t>
      </w:r>
      <w:r w:rsidRPr="00381B25">
        <w:rPr>
          <w:lang w:val="fr-CA"/>
        </w:rPr>
        <w:lastRenderedPageBreak/>
        <w:t>commande habituellement l</w:t>
      </w:r>
      <w:r w:rsidR="00E72105">
        <w:rPr>
          <w:lang w:val="fr-CA"/>
        </w:rPr>
        <w:t>’</w:t>
      </w:r>
      <w:r w:rsidRPr="00381B25">
        <w:rPr>
          <w:lang w:val="fr-CA"/>
        </w:rPr>
        <w:t xml:space="preserve">obligation de diligence vaut </w:t>
      </w:r>
      <w:r w:rsidR="00597F74" w:rsidRPr="00381B25">
        <w:rPr>
          <w:lang w:val="fr-CA"/>
        </w:rPr>
        <w:t xml:space="preserve">donc </w:t>
      </w:r>
      <w:r w:rsidRPr="00381B25">
        <w:rPr>
          <w:lang w:val="fr-CA"/>
        </w:rPr>
        <w:t>pour le préjudice mental imputé à la négligence. Plus précisément, la responsabilité du préjudice mental ne d</w:t>
      </w:r>
      <w:r w:rsidR="00597F74" w:rsidRPr="00381B25">
        <w:rPr>
          <w:lang w:val="fr-CA"/>
        </w:rPr>
        <w:t>o</w:t>
      </w:r>
      <w:r w:rsidRPr="00381B25">
        <w:rPr>
          <w:lang w:val="fr-CA"/>
        </w:rPr>
        <w:t>it être reconnue que lorsque la demande satisfait aux exigences de proximité pour les besoins de l</w:t>
      </w:r>
      <w:r w:rsidR="00E72105">
        <w:rPr>
          <w:lang w:val="fr-CA"/>
        </w:rPr>
        <w:t>’</w:t>
      </w:r>
      <w:r w:rsidRPr="00381B25">
        <w:rPr>
          <w:lang w:val="fr-CA"/>
        </w:rPr>
        <w:t>obligation de diligence et au critère du caractère éloigné du préjudice</w:t>
      </w:r>
      <w:r w:rsidR="00A228C7" w:rsidRPr="00381B25">
        <w:rPr>
          <w:lang w:val="fr-CA"/>
        </w:rPr>
        <w:t>.</w:t>
      </w:r>
    </w:p>
    <w:p w:rsidR="00A228C7" w:rsidRPr="00381B25" w:rsidRDefault="00A228C7" w:rsidP="00C25DD8">
      <w:pPr>
        <w:pStyle w:val="SCCNormalDoubleSpacing"/>
        <w:spacing w:after="480"/>
        <w:rPr>
          <w:lang w:val="fr-CA"/>
        </w:rPr>
      </w:pPr>
      <w:r w:rsidRPr="00381B25">
        <w:rPr>
          <w:lang w:val="fr-CA"/>
        </w:rPr>
        <w:tab/>
      </w:r>
      <w:r w:rsidR="006F2CDF" w:rsidRPr="00381B25">
        <w:rPr>
          <w:lang w:val="fr-CA"/>
        </w:rPr>
        <w:t>Le demandeur n</w:t>
      </w:r>
      <w:r w:rsidR="00E72105">
        <w:rPr>
          <w:lang w:val="fr-CA"/>
        </w:rPr>
        <w:t>’</w:t>
      </w:r>
      <w:r w:rsidR="006F2CDF" w:rsidRPr="00381B25">
        <w:rPr>
          <w:lang w:val="fr-CA"/>
        </w:rPr>
        <w:t xml:space="preserve">est pas légalement tenu de prouver </w:t>
      </w:r>
      <w:r w:rsidR="00602073" w:rsidRPr="00381B25">
        <w:rPr>
          <w:lang w:val="fr-CA"/>
        </w:rPr>
        <w:t xml:space="preserve">en tout ou en partie </w:t>
      </w:r>
      <w:r w:rsidR="006F2CDF" w:rsidRPr="00381B25">
        <w:rPr>
          <w:lang w:val="fr-CA"/>
        </w:rPr>
        <w:t>l</w:t>
      </w:r>
      <w:r w:rsidR="00E72105">
        <w:rPr>
          <w:lang w:val="fr-CA"/>
        </w:rPr>
        <w:t>’</w:t>
      </w:r>
      <w:r w:rsidR="006F2CDF" w:rsidRPr="00381B25">
        <w:rPr>
          <w:lang w:val="fr-CA"/>
        </w:rPr>
        <w:t>existence</w:t>
      </w:r>
      <w:r w:rsidR="00597F74" w:rsidRPr="00381B25">
        <w:rPr>
          <w:lang w:val="fr-CA"/>
        </w:rPr>
        <w:t xml:space="preserve"> </w:t>
      </w:r>
      <w:r w:rsidR="006F2CDF" w:rsidRPr="00381B25">
        <w:rPr>
          <w:lang w:val="fr-CA"/>
        </w:rPr>
        <w:t>d</w:t>
      </w:r>
      <w:r w:rsidR="00E72105">
        <w:rPr>
          <w:lang w:val="fr-CA"/>
        </w:rPr>
        <w:t>’</w:t>
      </w:r>
      <w:r w:rsidR="006F2CDF" w:rsidRPr="00381B25">
        <w:rPr>
          <w:lang w:val="fr-CA"/>
        </w:rPr>
        <w:t>un trouble psychiatrique reconnu pour que l</w:t>
      </w:r>
      <w:r w:rsidR="00E72105">
        <w:rPr>
          <w:lang w:val="fr-CA"/>
        </w:rPr>
        <w:t>’</w:t>
      </w:r>
      <w:r w:rsidR="006F2CDF" w:rsidRPr="00381B25">
        <w:rPr>
          <w:lang w:val="fr-CA"/>
        </w:rPr>
        <w:t>on puisse conclure au caractère indemnisable du préjudice ment</w:t>
      </w:r>
      <w:r w:rsidR="00E72105">
        <w:rPr>
          <w:lang w:val="fr-CA"/>
        </w:rPr>
        <w:t>al. </w:t>
      </w:r>
      <w:r w:rsidR="00DA5FD1" w:rsidRPr="00381B25">
        <w:rPr>
          <w:lang w:val="fr-CA"/>
        </w:rPr>
        <w:t>Le droit de la négligence réserve un traitement identique aux préjudices mental et physique. Obliger le demandeur qui allègue un préjudice mental à prouver que son état correspond à un trouble psychiatrique reconnaissable, c</w:t>
      </w:r>
      <w:r w:rsidR="00E72105">
        <w:rPr>
          <w:lang w:val="fr-CA"/>
        </w:rPr>
        <w:t>’</w:t>
      </w:r>
      <w:r w:rsidR="00DA5FD1" w:rsidRPr="00381B25">
        <w:rPr>
          <w:lang w:val="fr-CA"/>
        </w:rPr>
        <w:t>est</w:t>
      </w:r>
      <w:r w:rsidR="00E72105">
        <w:rPr>
          <w:lang w:val="fr-CA"/>
        </w:rPr>
        <w:noBreakHyphen/>
      </w:r>
      <w:r w:rsidR="00DA5FD1" w:rsidRPr="00381B25">
        <w:rPr>
          <w:lang w:val="fr-CA"/>
        </w:rPr>
        <w:t>à</w:t>
      </w:r>
      <w:r w:rsidR="00E72105">
        <w:rPr>
          <w:lang w:val="fr-CA"/>
        </w:rPr>
        <w:noBreakHyphen/>
      </w:r>
      <w:r w:rsidR="00DA5FD1" w:rsidRPr="00381B25">
        <w:rPr>
          <w:lang w:val="fr-CA"/>
        </w:rPr>
        <w:t>dire le contraindre à prouver que son état est dûment répertorié, sans faire la même obligation au demandeur qui allègue un préjudice physique</w:t>
      </w:r>
      <w:r w:rsidR="00602073" w:rsidRPr="00381B25">
        <w:rPr>
          <w:lang w:val="fr-CA"/>
        </w:rPr>
        <w:t>,</w:t>
      </w:r>
      <w:r w:rsidR="00DA5FD1" w:rsidRPr="00381B25">
        <w:rPr>
          <w:lang w:val="fr-CA"/>
        </w:rPr>
        <w:t xml:space="preserve"> revient à accorder une protection inégale à la victime d</w:t>
      </w:r>
      <w:r w:rsidR="00E72105">
        <w:rPr>
          <w:lang w:val="fr-CA"/>
        </w:rPr>
        <w:t>’</w:t>
      </w:r>
      <w:r w:rsidR="00DA5FD1" w:rsidRPr="00381B25">
        <w:rPr>
          <w:lang w:val="fr-CA"/>
        </w:rPr>
        <w:t>un préjudice ment</w:t>
      </w:r>
      <w:r w:rsidR="00E72105">
        <w:rPr>
          <w:lang w:val="fr-CA"/>
        </w:rPr>
        <w:t xml:space="preserve">al. </w:t>
      </w:r>
      <w:r w:rsidR="002C39FA" w:rsidRPr="00381B25">
        <w:rPr>
          <w:lang w:val="fr-CA"/>
        </w:rPr>
        <w:t>Des règles distinctes qui écartent la responsabilité dans le cas d</w:t>
      </w:r>
      <w:r w:rsidR="00E72105">
        <w:rPr>
          <w:lang w:val="fr-CA"/>
        </w:rPr>
        <w:t>’</w:t>
      </w:r>
      <w:r w:rsidR="002C39FA" w:rsidRPr="00381B25">
        <w:rPr>
          <w:lang w:val="fr-CA"/>
        </w:rPr>
        <w:t>un préjudice mental, mais non dans le cas d</w:t>
      </w:r>
      <w:r w:rsidR="00E72105">
        <w:rPr>
          <w:lang w:val="fr-CA"/>
        </w:rPr>
        <w:t>’</w:t>
      </w:r>
      <w:r w:rsidR="002C39FA" w:rsidRPr="00381B25">
        <w:rPr>
          <w:lang w:val="fr-CA"/>
        </w:rPr>
        <w:t>un préjudice physique, ne sauraient s</w:t>
      </w:r>
      <w:r w:rsidR="00E72105">
        <w:rPr>
          <w:lang w:val="fr-CA"/>
        </w:rPr>
        <w:t>’</w:t>
      </w:r>
      <w:r w:rsidR="002C39FA" w:rsidRPr="00381B25">
        <w:rPr>
          <w:lang w:val="fr-CA"/>
        </w:rPr>
        <w:t xml:space="preserve">appliquer. </w:t>
      </w:r>
      <w:r w:rsidR="00DA5FD1" w:rsidRPr="00381B25">
        <w:rPr>
          <w:lang w:val="fr-CA"/>
        </w:rPr>
        <w:t>Les éléments requis pour qu</w:t>
      </w:r>
      <w:r w:rsidR="00E72105">
        <w:rPr>
          <w:lang w:val="fr-CA"/>
        </w:rPr>
        <w:t>’</w:t>
      </w:r>
      <w:r w:rsidR="00DA5FD1" w:rsidRPr="00381B25">
        <w:rPr>
          <w:lang w:val="fr-CA"/>
        </w:rPr>
        <w:t>il y ait une cause d</w:t>
      </w:r>
      <w:r w:rsidR="00E72105">
        <w:rPr>
          <w:lang w:val="fr-CA"/>
        </w:rPr>
        <w:t>’</w:t>
      </w:r>
      <w:r w:rsidR="00DA5FD1" w:rsidRPr="00381B25">
        <w:rPr>
          <w:lang w:val="fr-CA"/>
        </w:rPr>
        <w:t xml:space="preserve">action en négligence, de même que les exigences de la Cour </w:t>
      </w:r>
      <w:r w:rsidR="006C4D3A">
        <w:rPr>
          <w:lang w:val="fr-CA"/>
        </w:rPr>
        <w:t xml:space="preserve">suivant l’arrêt </w:t>
      </w:r>
      <w:r w:rsidR="00DA5FD1" w:rsidRPr="00381B25">
        <w:rPr>
          <w:i/>
          <w:lang w:val="fr-CA"/>
        </w:rPr>
        <w:t>Mustapha</w:t>
      </w:r>
      <w:r w:rsidR="00DA5FD1" w:rsidRPr="00381B25">
        <w:rPr>
          <w:lang w:val="fr-CA"/>
        </w:rPr>
        <w:t xml:space="preserve"> </w:t>
      </w:r>
      <w:r w:rsidR="00DA5FD1" w:rsidRPr="00381B25">
        <w:rPr>
          <w:i/>
          <w:lang w:val="fr-CA"/>
        </w:rPr>
        <w:t>c. Culligan du Canada Ltée</w:t>
      </w:r>
      <w:r w:rsidR="00DA5FD1" w:rsidRPr="00381B25">
        <w:rPr>
          <w:lang w:val="fr-CA"/>
        </w:rPr>
        <w:t>, 2008 CSC 27, [2008] 2 R.C.S. 114</w:t>
      </w:r>
      <w:r w:rsidR="006C4D3A">
        <w:rPr>
          <w:lang w:val="fr-CA"/>
        </w:rPr>
        <w:t>,</w:t>
      </w:r>
      <w:r w:rsidR="00DA5FD1" w:rsidRPr="00381B25">
        <w:rPr>
          <w:lang w:val="fr-CA"/>
        </w:rPr>
        <w:t xml:space="preserve"> </w:t>
      </w:r>
      <w:r w:rsidR="006C4D3A" w:rsidRPr="00381B25">
        <w:rPr>
          <w:lang w:val="fr-CA"/>
        </w:rPr>
        <w:t>lorsqu</w:t>
      </w:r>
      <w:r w:rsidR="006C4D3A">
        <w:rPr>
          <w:lang w:val="fr-CA"/>
        </w:rPr>
        <w:t>’</w:t>
      </w:r>
      <w:r w:rsidR="006C4D3A" w:rsidRPr="00381B25">
        <w:rPr>
          <w:lang w:val="fr-CA"/>
        </w:rPr>
        <w:t>il s</w:t>
      </w:r>
      <w:r w:rsidR="006C4D3A">
        <w:rPr>
          <w:lang w:val="fr-CA"/>
        </w:rPr>
        <w:t>’</w:t>
      </w:r>
      <w:r w:rsidR="006C4D3A" w:rsidRPr="00381B25">
        <w:rPr>
          <w:lang w:val="fr-CA"/>
        </w:rPr>
        <w:t>agit de prouver le préjudice mental</w:t>
      </w:r>
      <w:r w:rsidR="00E902E7">
        <w:rPr>
          <w:lang w:val="fr-CA"/>
        </w:rPr>
        <w:t>,</w:t>
      </w:r>
      <w:r w:rsidR="006C4D3A" w:rsidRPr="00381B25">
        <w:rPr>
          <w:lang w:val="fr-CA"/>
        </w:rPr>
        <w:t xml:space="preserve"> </w:t>
      </w:r>
      <w:r w:rsidR="00DA5FD1" w:rsidRPr="00381B25">
        <w:rPr>
          <w:lang w:val="fr-CA"/>
        </w:rPr>
        <w:t>font suffisamment obstacle aux réclamations infondées.</w:t>
      </w:r>
    </w:p>
    <w:p w:rsidR="00394D2A" w:rsidRPr="00381B25" w:rsidRDefault="00394D2A" w:rsidP="00C25DD8">
      <w:pPr>
        <w:pStyle w:val="SCCNormalDoubleSpacing"/>
        <w:spacing w:after="480"/>
        <w:rPr>
          <w:lang w:val="fr-CA"/>
        </w:rPr>
      </w:pPr>
      <w:r w:rsidRPr="00381B25">
        <w:rPr>
          <w:lang w:val="fr-CA"/>
        </w:rPr>
        <w:tab/>
        <w:t>Qui plus est, n</w:t>
      </w:r>
      <w:r w:rsidR="00E72105">
        <w:rPr>
          <w:lang w:val="fr-CA"/>
        </w:rPr>
        <w:t>’</w:t>
      </w:r>
      <w:r w:rsidRPr="00381B25">
        <w:rPr>
          <w:lang w:val="fr-CA"/>
        </w:rPr>
        <w:t>indemniser le préjudice mental que s</w:t>
      </w:r>
      <w:r w:rsidR="00E72105">
        <w:rPr>
          <w:lang w:val="fr-CA"/>
        </w:rPr>
        <w:t>’</w:t>
      </w:r>
      <w:r w:rsidRPr="00381B25">
        <w:rPr>
          <w:lang w:val="fr-CA"/>
        </w:rPr>
        <w:t>il correspond à un état susceptible d</w:t>
      </w:r>
      <w:r w:rsidR="00E72105">
        <w:rPr>
          <w:lang w:val="fr-CA"/>
        </w:rPr>
        <w:t>’</w:t>
      </w:r>
      <w:r w:rsidRPr="00381B25">
        <w:rPr>
          <w:lang w:val="fr-CA"/>
        </w:rPr>
        <w:t>être déterminé au moyen d</w:t>
      </w:r>
      <w:r w:rsidR="00E72105">
        <w:rPr>
          <w:lang w:val="fr-CA"/>
        </w:rPr>
        <w:t>’</w:t>
      </w:r>
      <w:r w:rsidRPr="00381B25">
        <w:rPr>
          <w:lang w:val="fr-CA"/>
        </w:rPr>
        <w:t xml:space="preserve">outils diagnostiques se révèle intrinsèquement suspect sur le plan de la méthodologie juridique. Un diagnostic précis est assurément </w:t>
      </w:r>
      <w:r w:rsidRPr="00381B25">
        <w:rPr>
          <w:lang w:val="fr-CA"/>
        </w:rPr>
        <w:lastRenderedPageBreak/>
        <w:t>important sous l</w:t>
      </w:r>
      <w:r w:rsidR="00E72105">
        <w:rPr>
          <w:lang w:val="fr-CA"/>
        </w:rPr>
        <w:t>’</w:t>
      </w:r>
      <w:r w:rsidRPr="00381B25">
        <w:rPr>
          <w:lang w:val="fr-CA"/>
        </w:rPr>
        <w:t>angle thérapeutique, mais le juge des faits appelé à statuer sur une allégation de préjudice mental ne s</w:t>
      </w:r>
      <w:r w:rsidR="00E72105">
        <w:rPr>
          <w:lang w:val="fr-CA"/>
        </w:rPr>
        <w:t>’</w:t>
      </w:r>
      <w:r w:rsidRPr="00381B25">
        <w:rPr>
          <w:lang w:val="fr-CA"/>
        </w:rPr>
        <w:t>intéresse pas au diagnostic, mais aux symptômes et à leurs conséquences. Point n</w:t>
      </w:r>
      <w:r w:rsidR="00E72105">
        <w:rPr>
          <w:lang w:val="fr-CA"/>
        </w:rPr>
        <w:t>’</w:t>
      </w:r>
      <w:r w:rsidRPr="00381B25">
        <w:rPr>
          <w:lang w:val="fr-CA"/>
        </w:rPr>
        <w:t>est besoin d</w:t>
      </w:r>
      <w:r w:rsidR="00E72105">
        <w:rPr>
          <w:lang w:val="fr-CA"/>
        </w:rPr>
        <w:t>’</w:t>
      </w:r>
      <w:r w:rsidRPr="00381B25">
        <w:rPr>
          <w:lang w:val="fr-CA"/>
        </w:rPr>
        <w:t xml:space="preserve">établir un lien entre le préjudice mental raisonnablement prévisible et un système de classification permettant le diagnostic. Il suffit de prouver que le défendeur négligent a prévu le préjudice, </w:t>
      </w:r>
      <w:r w:rsidR="00597F74" w:rsidRPr="00381B25">
        <w:rPr>
          <w:lang w:val="fr-CA"/>
        </w:rPr>
        <w:t xml:space="preserve">non </w:t>
      </w:r>
      <w:r w:rsidRPr="00381B25">
        <w:rPr>
          <w:lang w:val="fr-CA"/>
        </w:rPr>
        <w:t xml:space="preserve">un </w:t>
      </w:r>
      <w:r w:rsidR="00602073" w:rsidRPr="00381B25">
        <w:rPr>
          <w:lang w:val="fr-CA"/>
        </w:rPr>
        <w:t xml:space="preserve">préjudice correspondant à un </w:t>
      </w:r>
      <w:r w:rsidRPr="00381B25">
        <w:rPr>
          <w:lang w:val="fr-CA"/>
        </w:rPr>
        <w:t>trouble</w:t>
      </w:r>
      <w:r w:rsidRPr="00381B25">
        <w:rPr>
          <w:i/>
          <w:lang w:val="fr-CA"/>
        </w:rPr>
        <w:t xml:space="preserve"> </w:t>
      </w:r>
      <w:r w:rsidRPr="00381B25">
        <w:rPr>
          <w:lang w:val="fr-CA"/>
        </w:rPr>
        <w:t>psychiatrique dûment répertorié.</w:t>
      </w:r>
      <w:r w:rsidR="00597F74" w:rsidRPr="00381B25">
        <w:rPr>
          <w:lang w:val="fr-CA"/>
        </w:rPr>
        <w:t xml:space="preserve"> </w:t>
      </w:r>
      <w:r w:rsidRPr="00381B25">
        <w:rPr>
          <w:lang w:val="fr-CA"/>
        </w:rPr>
        <w:t>L</w:t>
      </w:r>
      <w:r w:rsidR="00E72105">
        <w:rPr>
          <w:lang w:val="fr-CA"/>
        </w:rPr>
        <w:t>’</w:t>
      </w:r>
      <w:r w:rsidRPr="00381B25">
        <w:rPr>
          <w:lang w:val="fr-CA"/>
        </w:rPr>
        <w:t>examen du juge des faits doit porter sur l</w:t>
      </w:r>
      <w:r w:rsidR="00E72105">
        <w:rPr>
          <w:lang w:val="fr-CA"/>
        </w:rPr>
        <w:t>’</w:t>
      </w:r>
      <w:r w:rsidRPr="00381B25">
        <w:rPr>
          <w:lang w:val="fr-CA"/>
        </w:rPr>
        <w:t>ampleur du préjudice infligé au demandeur par ses symptômes, non sur l</w:t>
      </w:r>
      <w:r w:rsidR="00E72105">
        <w:rPr>
          <w:lang w:val="fr-CA"/>
        </w:rPr>
        <w:t>’</w:t>
      </w:r>
      <w:r w:rsidRPr="00381B25">
        <w:rPr>
          <w:lang w:val="fr-CA"/>
        </w:rPr>
        <w:t>appellation qui pourrait y être accolée.</w:t>
      </w:r>
    </w:p>
    <w:p w:rsidR="004D7D95" w:rsidRPr="00381B25" w:rsidRDefault="00394D2A" w:rsidP="00597F74">
      <w:pPr>
        <w:pStyle w:val="SCCNormalDoubleSpacing"/>
        <w:spacing w:after="480"/>
        <w:rPr>
          <w:lang w:val="fr-CA"/>
        </w:rPr>
      </w:pPr>
      <w:r w:rsidRPr="00381B25">
        <w:rPr>
          <w:lang w:val="fr-CA"/>
        </w:rPr>
        <w:tab/>
      </w:r>
      <w:r w:rsidR="00893BF3" w:rsidRPr="00381B25">
        <w:rPr>
          <w:lang w:val="fr-CA"/>
        </w:rPr>
        <w:t>Pour prouver l</w:t>
      </w:r>
      <w:r w:rsidR="00E72105">
        <w:rPr>
          <w:lang w:val="fr-CA"/>
        </w:rPr>
        <w:t>’</w:t>
      </w:r>
      <w:r w:rsidR="00893BF3" w:rsidRPr="00381B25">
        <w:rPr>
          <w:lang w:val="fr-CA"/>
        </w:rPr>
        <w:t>existence d</w:t>
      </w:r>
      <w:r w:rsidR="00E72105">
        <w:rPr>
          <w:lang w:val="fr-CA"/>
        </w:rPr>
        <w:t>’</w:t>
      </w:r>
      <w:r w:rsidR="00893BF3" w:rsidRPr="00381B25">
        <w:rPr>
          <w:lang w:val="fr-CA"/>
        </w:rPr>
        <w:t>un préjudice mental, le demandeur</w:t>
      </w:r>
      <w:r w:rsidRPr="00381B25">
        <w:rPr>
          <w:lang w:val="fr-CA"/>
        </w:rPr>
        <w:t xml:space="preserve"> </w:t>
      </w:r>
      <w:r w:rsidR="00893BF3" w:rsidRPr="00381B25">
        <w:rPr>
          <w:lang w:val="fr-CA"/>
        </w:rPr>
        <w:t>doit établir que le préjudice subi est grave et de longue durée et qu</w:t>
      </w:r>
      <w:r w:rsidR="00E72105">
        <w:rPr>
          <w:lang w:val="fr-CA"/>
        </w:rPr>
        <w:t>’</w:t>
      </w:r>
      <w:r w:rsidR="00893BF3" w:rsidRPr="00381B25">
        <w:rPr>
          <w:lang w:val="fr-CA"/>
        </w:rPr>
        <w:t>il ne s</w:t>
      </w:r>
      <w:r w:rsidR="00E72105">
        <w:rPr>
          <w:lang w:val="fr-CA"/>
        </w:rPr>
        <w:t>’</w:t>
      </w:r>
      <w:r w:rsidR="00893BF3" w:rsidRPr="00381B25">
        <w:rPr>
          <w:lang w:val="fr-CA"/>
        </w:rPr>
        <w:t>agit pas simplement des désagréments, angoisses et craintes ordinaires inhérents à la vie en société.</w:t>
      </w:r>
      <w:r w:rsidR="00AD2BD8" w:rsidRPr="00381B25">
        <w:rPr>
          <w:lang w:val="fr-CA"/>
        </w:rPr>
        <w:t xml:space="preserve"> </w:t>
      </w:r>
      <w:r w:rsidR="00597F74" w:rsidRPr="00381B25">
        <w:rPr>
          <w:lang w:val="fr-CA"/>
        </w:rPr>
        <w:t>La preuve d</w:t>
      </w:r>
      <w:r w:rsidR="00E72105">
        <w:rPr>
          <w:lang w:val="fr-CA"/>
        </w:rPr>
        <w:t>’</w:t>
      </w:r>
      <w:r w:rsidR="00597F74" w:rsidRPr="00381B25">
        <w:rPr>
          <w:lang w:val="fr-CA"/>
        </w:rPr>
        <w:t>expert peut être utile pour décider si l</w:t>
      </w:r>
      <w:r w:rsidR="00E72105">
        <w:rPr>
          <w:lang w:val="fr-CA"/>
        </w:rPr>
        <w:t>’</w:t>
      </w:r>
      <w:r w:rsidR="00597F74" w:rsidRPr="00381B25">
        <w:rPr>
          <w:lang w:val="fr-CA"/>
        </w:rPr>
        <w:t>existence d</w:t>
      </w:r>
      <w:r w:rsidR="00E72105">
        <w:rPr>
          <w:lang w:val="fr-CA"/>
        </w:rPr>
        <w:t>’</w:t>
      </w:r>
      <w:r w:rsidR="00597F74" w:rsidRPr="00381B25">
        <w:rPr>
          <w:lang w:val="fr-CA"/>
        </w:rPr>
        <w:t>un préjudice mental a été établie ou non, mais en l</w:t>
      </w:r>
      <w:r w:rsidR="00E72105">
        <w:rPr>
          <w:lang w:val="fr-CA"/>
        </w:rPr>
        <w:t>’</w:t>
      </w:r>
      <w:r w:rsidR="00597F74" w:rsidRPr="00381B25">
        <w:rPr>
          <w:lang w:val="fr-CA"/>
        </w:rPr>
        <w:t>absence d</w:t>
      </w:r>
      <w:r w:rsidR="00E72105">
        <w:rPr>
          <w:lang w:val="fr-CA"/>
        </w:rPr>
        <w:t>’</w:t>
      </w:r>
      <w:r w:rsidR="00597F74" w:rsidRPr="00381B25">
        <w:rPr>
          <w:lang w:val="fr-CA"/>
        </w:rPr>
        <w:t>un diagnostic psychiatrique, il demeure loisible au juge des faits de conclure, à la lumière des éléments de preuve offerts, que le demandeur a prouvé l</w:t>
      </w:r>
      <w:r w:rsidR="00E72105">
        <w:rPr>
          <w:lang w:val="fr-CA"/>
        </w:rPr>
        <w:t>’</w:t>
      </w:r>
      <w:r w:rsidR="00597F74" w:rsidRPr="00381B25">
        <w:rPr>
          <w:lang w:val="fr-CA"/>
        </w:rPr>
        <w:t>existence d</w:t>
      </w:r>
      <w:r w:rsidR="00E72105">
        <w:rPr>
          <w:lang w:val="fr-CA"/>
        </w:rPr>
        <w:t>’</w:t>
      </w:r>
      <w:r w:rsidR="00597F74" w:rsidRPr="00381B25">
        <w:rPr>
          <w:lang w:val="fr-CA"/>
        </w:rPr>
        <w:t>un préjudice mental selon la prépondérance des probabilités. Le défendeur peut également réfuter l</w:t>
      </w:r>
      <w:r w:rsidR="00E72105">
        <w:rPr>
          <w:lang w:val="fr-CA"/>
        </w:rPr>
        <w:t>’</w:t>
      </w:r>
      <w:r w:rsidR="00597F74" w:rsidRPr="00381B25">
        <w:rPr>
          <w:lang w:val="fr-CA"/>
        </w:rPr>
        <w:t>allégation en faisant témoigner un expert pour établir que l</w:t>
      </w:r>
      <w:r w:rsidR="00E72105">
        <w:rPr>
          <w:lang w:val="fr-CA"/>
        </w:rPr>
        <w:t>’</w:t>
      </w:r>
      <w:r w:rsidR="00597F74" w:rsidRPr="00381B25">
        <w:rPr>
          <w:lang w:val="fr-CA"/>
        </w:rPr>
        <w:t>accident n</w:t>
      </w:r>
      <w:r w:rsidR="00E72105">
        <w:rPr>
          <w:lang w:val="fr-CA"/>
        </w:rPr>
        <w:t>’</w:t>
      </w:r>
      <w:r w:rsidR="00597F74" w:rsidRPr="00381B25">
        <w:rPr>
          <w:lang w:val="fr-CA"/>
        </w:rPr>
        <w:t>a pu avoir causé quelque</w:t>
      </w:r>
      <w:r w:rsidR="00597F74" w:rsidRPr="00381B25">
        <w:rPr>
          <w:i/>
          <w:lang w:val="fr-CA"/>
        </w:rPr>
        <w:t xml:space="preserve"> </w:t>
      </w:r>
      <w:r w:rsidR="00597F74" w:rsidRPr="00381B25">
        <w:rPr>
          <w:lang w:val="fr-CA"/>
        </w:rPr>
        <w:t>préjudice mental ou, du moins, quelque préjudice mental connu en psychiatrie.</w:t>
      </w:r>
    </w:p>
    <w:p w:rsidR="002A4BD4" w:rsidRPr="00381B25" w:rsidRDefault="002A4BD4" w:rsidP="00C25DD8">
      <w:pPr>
        <w:pStyle w:val="SCCNormalDoubleSpacing"/>
        <w:spacing w:after="480"/>
        <w:rPr>
          <w:lang w:val="fr-CA"/>
        </w:rPr>
      </w:pPr>
      <w:r w:rsidRPr="00381B25">
        <w:rPr>
          <w:lang w:val="fr-CA"/>
        </w:rPr>
        <w:tab/>
        <w:t>Dans la présente affaire, la preuve admise en première instance démontre à l</w:t>
      </w:r>
      <w:r w:rsidR="00E72105">
        <w:rPr>
          <w:lang w:val="fr-CA"/>
        </w:rPr>
        <w:t>’</w:t>
      </w:r>
      <w:r w:rsidRPr="00381B25">
        <w:rPr>
          <w:lang w:val="fr-CA"/>
        </w:rPr>
        <w:t>évidence l</w:t>
      </w:r>
      <w:r w:rsidR="00E72105">
        <w:rPr>
          <w:lang w:val="fr-CA"/>
        </w:rPr>
        <w:t>’</w:t>
      </w:r>
      <w:r w:rsidRPr="00381B25">
        <w:rPr>
          <w:lang w:val="fr-CA"/>
        </w:rPr>
        <w:t>existence d</w:t>
      </w:r>
      <w:r w:rsidR="00E72105">
        <w:rPr>
          <w:lang w:val="fr-CA"/>
        </w:rPr>
        <w:t>’</w:t>
      </w:r>
      <w:r w:rsidRPr="00381B25">
        <w:rPr>
          <w:lang w:val="fr-CA"/>
        </w:rPr>
        <w:t>un dérèglement grave et de longue durée qui va au</w:t>
      </w:r>
      <w:r w:rsidR="00E72105">
        <w:rPr>
          <w:lang w:val="fr-CA"/>
        </w:rPr>
        <w:noBreakHyphen/>
      </w:r>
      <w:r w:rsidRPr="00381B25">
        <w:rPr>
          <w:lang w:val="fr-CA"/>
        </w:rPr>
        <w:t xml:space="preserve">delà des contrariétés émotionnelles ou angoisses ordinaires. </w:t>
      </w:r>
      <w:r w:rsidRPr="00381B25">
        <w:rPr>
          <w:rFonts w:eastAsiaTheme="minorHAnsi"/>
          <w:lang w:val="fr-CA"/>
        </w:rPr>
        <w:t>Cette conclusion n</w:t>
      </w:r>
      <w:r w:rsidR="00E72105">
        <w:rPr>
          <w:rFonts w:eastAsiaTheme="minorHAnsi"/>
          <w:lang w:val="fr-CA"/>
        </w:rPr>
        <w:t>’</w:t>
      </w:r>
      <w:r w:rsidRPr="00381B25">
        <w:rPr>
          <w:rFonts w:eastAsiaTheme="minorHAnsi"/>
          <w:lang w:val="fr-CA"/>
        </w:rPr>
        <w:t xml:space="preserve">est pas contestée </w:t>
      </w:r>
      <w:r w:rsidRPr="00381B25">
        <w:rPr>
          <w:rFonts w:eastAsiaTheme="minorHAnsi"/>
          <w:lang w:val="fr-CA"/>
        </w:rPr>
        <w:lastRenderedPageBreak/>
        <w:t>et, s</w:t>
      </w:r>
      <w:r w:rsidR="00E72105">
        <w:rPr>
          <w:rFonts w:eastAsiaTheme="minorHAnsi"/>
          <w:lang w:val="fr-CA"/>
        </w:rPr>
        <w:t>’</w:t>
      </w:r>
      <w:r w:rsidRPr="00381B25">
        <w:rPr>
          <w:rFonts w:eastAsiaTheme="minorHAnsi"/>
          <w:lang w:val="fr-CA"/>
        </w:rPr>
        <w:t>agissant d</w:t>
      </w:r>
      <w:r w:rsidR="00E72105">
        <w:rPr>
          <w:rFonts w:eastAsiaTheme="minorHAnsi"/>
          <w:lang w:val="fr-CA"/>
        </w:rPr>
        <w:t>’</w:t>
      </w:r>
      <w:r w:rsidRPr="00381B25">
        <w:rPr>
          <w:rFonts w:eastAsiaTheme="minorHAnsi"/>
          <w:lang w:val="fr-CA"/>
        </w:rPr>
        <w:t>une conclusion de fait, elle commande la déférence en appel. A</w:t>
      </w:r>
      <w:r w:rsidRPr="00381B25">
        <w:rPr>
          <w:lang w:val="fr-CA"/>
        </w:rPr>
        <w:t>ucune erreur de droit n</w:t>
      </w:r>
      <w:r w:rsidR="00E72105">
        <w:rPr>
          <w:lang w:val="fr-CA"/>
        </w:rPr>
        <w:t>’</w:t>
      </w:r>
      <w:r w:rsidRPr="00381B25">
        <w:rPr>
          <w:lang w:val="fr-CA"/>
        </w:rPr>
        <w:t>entache la conclusion du juge de première instance selon laquelle la preuve des symptômes de S établit l</w:t>
      </w:r>
      <w:r w:rsidR="00E72105">
        <w:rPr>
          <w:lang w:val="fr-CA"/>
        </w:rPr>
        <w:t>’</w:t>
      </w:r>
      <w:r w:rsidRPr="00381B25">
        <w:rPr>
          <w:lang w:val="fr-CA"/>
        </w:rPr>
        <w:t>existence d</w:t>
      </w:r>
      <w:r w:rsidR="00E72105">
        <w:rPr>
          <w:lang w:val="fr-CA"/>
        </w:rPr>
        <w:t>’</w:t>
      </w:r>
      <w:r w:rsidRPr="00381B25">
        <w:rPr>
          <w:lang w:val="fr-CA"/>
        </w:rPr>
        <w:t>un préjudice mental malgré l</w:t>
      </w:r>
      <w:r w:rsidR="00E72105">
        <w:rPr>
          <w:lang w:val="fr-CA"/>
        </w:rPr>
        <w:t>’</w:t>
      </w:r>
      <w:r w:rsidRPr="00381B25">
        <w:rPr>
          <w:lang w:val="fr-CA"/>
        </w:rPr>
        <w:t>absence d</w:t>
      </w:r>
      <w:r w:rsidR="00E72105">
        <w:rPr>
          <w:lang w:val="fr-CA"/>
        </w:rPr>
        <w:t>’</w:t>
      </w:r>
      <w:r w:rsidRPr="00381B25">
        <w:rPr>
          <w:lang w:val="fr-CA"/>
        </w:rPr>
        <w:t>un témoignage d</w:t>
      </w:r>
      <w:r w:rsidR="00E72105">
        <w:rPr>
          <w:lang w:val="fr-CA"/>
        </w:rPr>
        <w:t>’</w:t>
      </w:r>
      <w:r w:rsidRPr="00381B25">
        <w:rPr>
          <w:lang w:val="fr-CA"/>
        </w:rPr>
        <w:t>expert associant ces symptômes à un état dûment répertorié.</w:t>
      </w:r>
    </w:p>
    <w:p w:rsidR="002A4BD4" w:rsidRPr="00381B25" w:rsidRDefault="002A4BD4" w:rsidP="00C25DD8">
      <w:pPr>
        <w:pStyle w:val="SCCNormalDoubleSpacing"/>
        <w:spacing w:after="480"/>
        <w:rPr>
          <w:lang w:val="fr-CA"/>
        </w:rPr>
      </w:pPr>
      <w:r w:rsidRPr="00381B25">
        <w:rPr>
          <w:lang w:val="fr-CA"/>
        </w:rPr>
        <w:tab/>
        <w:t>Renvoyer l</w:t>
      </w:r>
      <w:r w:rsidR="00E72105">
        <w:rPr>
          <w:lang w:val="fr-CA"/>
        </w:rPr>
        <w:t>’</w:t>
      </w:r>
      <w:r w:rsidRPr="00381B25">
        <w:rPr>
          <w:lang w:val="fr-CA"/>
        </w:rPr>
        <w:t>affaire à la Cour d</w:t>
      </w:r>
      <w:r w:rsidR="00E72105">
        <w:rPr>
          <w:lang w:val="fr-CA"/>
        </w:rPr>
        <w:t>’</w:t>
      </w:r>
      <w:r w:rsidRPr="00381B25">
        <w:rPr>
          <w:lang w:val="fr-CA"/>
        </w:rPr>
        <w:t xml:space="preserve">appel </w:t>
      </w:r>
      <w:r w:rsidR="00314D51" w:rsidRPr="00381B25">
        <w:rPr>
          <w:lang w:val="fr-CA"/>
        </w:rPr>
        <w:t>pour qu</w:t>
      </w:r>
      <w:r w:rsidR="00E72105">
        <w:rPr>
          <w:lang w:val="fr-CA"/>
        </w:rPr>
        <w:t>’</w:t>
      </w:r>
      <w:r w:rsidR="00314D51" w:rsidRPr="00381B25">
        <w:rPr>
          <w:lang w:val="fr-CA"/>
        </w:rPr>
        <w:t>elle statue sur le caractère indivisible du préjudice et sur le montant de l</w:t>
      </w:r>
      <w:r w:rsidR="00E72105">
        <w:rPr>
          <w:lang w:val="fr-CA"/>
        </w:rPr>
        <w:t>’</w:t>
      </w:r>
      <w:r w:rsidR="00314D51" w:rsidRPr="00381B25">
        <w:rPr>
          <w:lang w:val="fr-CA"/>
        </w:rPr>
        <w:t xml:space="preserve">indemnité </w:t>
      </w:r>
      <w:r w:rsidRPr="00381B25">
        <w:rPr>
          <w:lang w:val="fr-CA"/>
        </w:rPr>
        <w:t>ne constituerait pas une mesure appropriée</w:t>
      </w:r>
      <w:r w:rsidR="00314D51" w:rsidRPr="00381B25">
        <w:rPr>
          <w:lang w:val="fr-CA"/>
        </w:rPr>
        <w:t>. L</w:t>
      </w:r>
      <w:r w:rsidR="00E72105">
        <w:rPr>
          <w:lang w:val="fr-CA"/>
        </w:rPr>
        <w:t>’</w:t>
      </w:r>
      <w:r w:rsidR="00314D51" w:rsidRPr="00381B25">
        <w:rPr>
          <w:lang w:val="fr-CA"/>
        </w:rPr>
        <w:t>indissociabilité de deux préjudices est une conclusion de fait et</w:t>
      </w:r>
      <w:r w:rsidR="00314D51" w:rsidRPr="00381B25">
        <w:rPr>
          <w:rFonts w:eastAsiaTheme="minorHAnsi"/>
          <w:lang w:val="fr-CA"/>
        </w:rPr>
        <w:t xml:space="preserve"> commande la déférence. En outre, faute d</w:t>
      </w:r>
      <w:r w:rsidR="00E72105">
        <w:rPr>
          <w:rFonts w:eastAsiaTheme="minorHAnsi"/>
          <w:lang w:val="fr-CA"/>
        </w:rPr>
        <w:t>’</w:t>
      </w:r>
      <w:r w:rsidR="00314D51" w:rsidRPr="00381B25">
        <w:rPr>
          <w:rFonts w:eastAsiaTheme="minorHAnsi"/>
          <w:lang w:val="fr-CA"/>
        </w:rPr>
        <w:t xml:space="preserve">observations complètes </w:t>
      </w:r>
      <w:r w:rsidR="00E844D8">
        <w:rPr>
          <w:rFonts w:eastAsiaTheme="minorHAnsi"/>
          <w:lang w:val="fr-CA"/>
        </w:rPr>
        <w:t xml:space="preserve">dans le cadre du pourvoi </w:t>
      </w:r>
      <w:r w:rsidR="00314D51" w:rsidRPr="00381B25">
        <w:rPr>
          <w:rFonts w:eastAsiaTheme="minorHAnsi"/>
          <w:lang w:val="fr-CA"/>
        </w:rPr>
        <w:t xml:space="preserve">et </w:t>
      </w:r>
      <w:r w:rsidR="00E844D8">
        <w:rPr>
          <w:rFonts w:eastAsiaTheme="minorHAnsi"/>
          <w:lang w:val="fr-CA"/>
        </w:rPr>
        <w:t xml:space="preserve">d’éléments </w:t>
      </w:r>
      <w:r w:rsidR="00314D51" w:rsidRPr="00381B25">
        <w:rPr>
          <w:rFonts w:eastAsiaTheme="minorHAnsi"/>
          <w:lang w:val="fr-CA"/>
        </w:rPr>
        <w:t>pertinent</w:t>
      </w:r>
      <w:r w:rsidR="00E844D8">
        <w:rPr>
          <w:rFonts w:eastAsiaTheme="minorHAnsi"/>
          <w:lang w:val="fr-CA"/>
        </w:rPr>
        <w:t>s</w:t>
      </w:r>
      <w:r w:rsidR="00314D51" w:rsidRPr="00381B25">
        <w:rPr>
          <w:rFonts w:eastAsiaTheme="minorHAnsi"/>
          <w:lang w:val="fr-CA"/>
        </w:rPr>
        <w:t xml:space="preserve"> dans le dossier de première instance, la présente affaire ne se prête pas à une décision concernant l</w:t>
      </w:r>
      <w:r w:rsidR="00E72105">
        <w:rPr>
          <w:rFonts w:eastAsiaTheme="minorHAnsi"/>
          <w:lang w:val="fr-CA"/>
        </w:rPr>
        <w:t>’</w:t>
      </w:r>
      <w:r w:rsidR="00314D51" w:rsidRPr="00381B25">
        <w:rPr>
          <w:rFonts w:eastAsiaTheme="minorHAnsi"/>
          <w:lang w:val="fr-CA"/>
        </w:rPr>
        <w:t>effet des dispositions relatives à l</w:t>
      </w:r>
      <w:r w:rsidR="00E72105">
        <w:rPr>
          <w:rFonts w:eastAsiaTheme="minorHAnsi"/>
          <w:lang w:val="fr-CA"/>
        </w:rPr>
        <w:t>’</w:t>
      </w:r>
      <w:r w:rsidR="00314D51" w:rsidRPr="00381B25">
        <w:rPr>
          <w:rFonts w:eastAsiaTheme="minorHAnsi"/>
          <w:lang w:val="fr-CA"/>
        </w:rPr>
        <w:t xml:space="preserve">indemnisation des accidentés du travail sur la dissociabilité des préjudices. Par ailleurs, </w:t>
      </w:r>
      <w:r w:rsidR="00314D51" w:rsidRPr="00381B25">
        <w:rPr>
          <w:lang w:val="fr-CA"/>
        </w:rPr>
        <w:t xml:space="preserve">le montant déterminé par le juge est raisonnable et en adéquation avec le dossier, et il indemnise convenablement </w:t>
      </w:r>
      <w:r w:rsidR="00F0087E" w:rsidRPr="00381B25">
        <w:rPr>
          <w:lang w:val="fr-CA"/>
        </w:rPr>
        <w:t>S</w:t>
      </w:r>
      <w:r w:rsidR="00314D51" w:rsidRPr="00381B25">
        <w:rPr>
          <w:lang w:val="fr-CA"/>
        </w:rPr>
        <w:t xml:space="preserve"> de la perte qu</w:t>
      </w:r>
      <w:r w:rsidR="00E72105">
        <w:rPr>
          <w:lang w:val="fr-CA"/>
        </w:rPr>
        <w:t>’</w:t>
      </w:r>
      <w:r w:rsidR="00314D51" w:rsidRPr="00381B25">
        <w:rPr>
          <w:lang w:val="fr-CA"/>
        </w:rPr>
        <w:t>il a subie. Il y a donc lieu de le rétablir.</w:t>
      </w:r>
    </w:p>
    <w:p w:rsidR="004D7D95" w:rsidRPr="00381B25" w:rsidRDefault="004D7D95" w:rsidP="00C25DD8">
      <w:pPr>
        <w:pStyle w:val="SCCNormalDoubleSpacing"/>
        <w:spacing w:after="720" w:line="240" w:lineRule="auto"/>
        <w:rPr>
          <w:lang w:val="fr-CA"/>
        </w:rPr>
      </w:pPr>
      <w:r w:rsidRPr="00381B25">
        <w:rPr>
          <w:b/>
          <w:lang w:val="fr-CA"/>
        </w:rPr>
        <w:t>Jurisprudence</w:t>
      </w:r>
    </w:p>
    <w:p w:rsidR="004D7D95" w:rsidRPr="00381B25" w:rsidRDefault="004D7D95" w:rsidP="00C25DD8">
      <w:pPr>
        <w:pStyle w:val="SCCNormalDoubleSpacing"/>
        <w:spacing w:after="480"/>
        <w:rPr>
          <w:lang w:val="en-US"/>
        </w:rPr>
      </w:pPr>
      <w:r w:rsidRPr="00381B25">
        <w:rPr>
          <w:lang w:val="fr-CA"/>
        </w:rPr>
        <w:tab/>
      </w:r>
      <w:r w:rsidRPr="00381B25">
        <w:rPr>
          <w:b/>
          <w:lang w:val="fr-CA"/>
        </w:rPr>
        <w:t xml:space="preserve">Arrêt </w:t>
      </w:r>
      <w:r w:rsidR="00E844D8">
        <w:rPr>
          <w:b/>
          <w:lang w:val="fr-CA"/>
        </w:rPr>
        <w:t>appliqu</w:t>
      </w:r>
      <w:r w:rsidRPr="00381B25">
        <w:rPr>
          <w:b/>
          <w:lang w:val="fr-CA"/>
        </w:rPr>
        <w:t>é</w:t>
      </w:r>
      <w:r w:rsidR="00E72105">
        <w:rPr>
          <w:b/>
          <w:lang w:val="fr-CA"/>
        </w:rPr>
        <w:t> :</w:t>
      </w:r>
      <w:r w:rsidRPr="00381B25">
        <w:rPr>
          <w:lang w:val="fr-CA"/>
        </w:rPr>
        <w:t xml:space="preserve"> </w:t>
      </w:r>
      <w:r w:rsidR="004C7F86" w:rsidRPr="00381B25">
        <w:rPr>
          <w:i/>
          <w:lang w:val="fr-CA"/>
        </w:rPr>
        <w:t>Mustapha c. Culligan du Canada Ltée</w:t>
      </w:r>
      <w:r w:rsidR="004C7F86" w:rsidRPr="00381B25">
        <w:rPr>
          <w:lang w:val="fr-CA"/>
        </w:rPr>
        <w:t xml:space="preserve">, 2008 CSC 27, [2008] 2 R.C.S. 114, </w:t>
      </w:r>
      <w:r w:rsidR="009D5EE5" w:rsidRPr="00381B25">
        <w:rPr>
          <w:lang w:val="fr-CA"/>
        </w:rPr>
        <w:t>conf.</w:t>
      </w:r>
      <w:r w:rsidR="004C7F86" w:rsidRPr="00381B25">
        <w:rPr>
          <w:lang w:val="fr-CA"/>
        </w:rPr>
        <w:t xml:space="preserve"> </w:t>
      </w:r>
      <w:r w:rsidR="004C7F86" w:rsidRPr="00381B25">
        <w:rPr>
          <w:lang w:val="en-US"/>
        </w:rPr>
        <w:t xml:space="preserve">(2006), 84 O.R. (3d) 457; </w:t>
      </w:r>
      <w:r w:rsidR="0043655F" w:rsidRPr="00381B25">
        <w:rPr>
          <w:b/>
          <w:lang w:val="en-US"/>
        </w:rPr>
        <w:t>arrêts mentionnés</w:t>
      </w:r>
      <w:r w:rsidR="00E72105">
        <w:rPr>
          <w:b/>
          <w:lang w:val="en-US"/>
        </w:rPr>
        <w:t> :</w:t>
      </w:r>
      <w:r w:rsidR="0043655F" w:rsidRPr="00381B25">
        <w:rPr>
          <w:lang w:val="en-US"/>
        </w:rPr>
        <w:t xml:space="preserve"> </w:t>
      </w:r>
      <w:r w:rsidR="004C7F86" w:rsidRPr="00381B25">
        <w:rPr>
          <w:i/>
          <w:lang w:val="en-US"/>
        </w:rPr>
        <w:t>Clements c. Clements</w:t>
      </w:r>
      <w:r w:rsidR="004C7F86" w:rsidRPr="00381B25">
        <w:rPr>
          <w:lang w:val="en-US"/>
        </w:rPr>
        <w:t>, 2012 CSC 32</w:t>
      </w:r>
      <w:r w:rsidR="00364693" w:rsidRPr="00381B25">
        <w:rPr>
          <w:lang w:val="en-US"/>
        </w:rPr>
        <w:t>, [2012] 2 R.C.S. 181</w:t>
      </w:r>
      <w:r w:rsidR="004C7F86" w:rsidRPr="00381B25">
        <w:rPr>
          <w:lang w:val="en-US"/>
        </w:rPr>
        <w:t xml:space="preserve">; </w:t>
      </w:r>
      <w:r w:rsidR="004C7F86" w:rsidRPr="00381B25">
        <w:rPr>
          <w:i/>
          <w:lang w:val="en-US"/>
        </w:rPr>
        <w:t>Bradley c. Groves</w:t>
      </w:r>
      <w:r w:rsidR="004C7F86" w:rsidRPr="00381B25">
        <w:rPr>
          <w:lang w:val="en-US"/>
        </w:rPr>
        <w:t>, 2010 BCCA 361</w:t>
      </w:r>
      <w:r w:rsidR="000A236F" w:rsidRPr="00381B25">
        <w:rPr>
          <w:lang w:val="en-US"/>
        </w:rPr>
        <w:t>, 326 D.L.R. (4th) 732</w:t>
      </w:r>
      <w:r w:rsidR="004C7F86" w:rsidRPr="00381B25">
        <w:rPr>
          <w:lang w:val="en-US"/>
        </w:rPr>
        <w:t xml:space="preserve">; </w:t>
      </w:r>
      <w:r w:rsidR="004C7F86" w:rsidRPr="00381B25">
        <w:rPr>
          <w:i/>
          <w:lang w:val="en-US"/>
        </w:rPr>
        <w:t>Insurance Cor</w:t>
      </w:r>
      <w:r w:rsidR="00E72105">
        <w:rPr>
          <w:i/>
          <w:lang w:val="en-US"/>
        </w:rPr>
        <w:t>p. </w:t>
      </w:r>
      <w:r w:rsidR="004C7F86" w:rsidRPr="00381B25">
        <w:rPr>
          <w:i/>
          <w:lang w:val="en-US"/>
        </w:rPr>
        <w:t>of British Columbia c. Patko</w:t>
      </w:r>
      <w:r w:rsidR="004C7F86" w:rsidRPr="00381B25">
        <w:rPr>
          <w:lang w:val="en-US"/>
        </w:rPr>
        <w:t xml:space="preserve">, 2008 BCCA 65, 290 D.L.R. (4th) 687; </w:t>
      </w:r>
      <w:r w:rsidR="004C7F86" w:rsidRPr="00381B25">
        <w:rPr>
          <w:i/>
          <w:lang w:val="en-US"/>
        </w:rPr>
        <w:t xml:space="preserve">Rodaro c. Royal Bank </w:t>
      </w:r>
      <w:r w:rsidR="007B4287" w:rsidRPr="00381B25">
        <w:rPr>
          <w:i/>
          <w:lang w:val="en-US"/>
        </w:rPr>
        <w:t>of Canada</w:t>
      </w:r>
      <w:r w:rsidR="007B4287" w:rsidRPr="00381B25">
        <w:rPr>
          <w:lang w:val="en-US"/>
        </w:rPr>
        <w:t xml:space="preserve"> </w:t>
      </w:r>
      <w:r w:rsidR="004C7F86" w:rsidRPr="00381B25">
        <w:rPr>
          <w:lang w:val="en-US"/>
        </w:rPr>
        <w:t>(2002), 59 O</w:t>
      </w:r>
      <w:r w:rsidR="007B4287" w:rsidRPr="00381B25">
        <w:rPr>
          <w:lang w:val="en-US"/>
        </w:rPr>
        <w:t>.</w:t>
      </w:r>
      <w:r w:rsidR="004C7F86" w:rsidRPr="00381B25">
        <w:rPr>
          <w:lang w:val="en-US"/>
        </w:rPr>
        <w:t>R</w:t>
      </w:r>
      <w:r w:rsidR="007B4287" w:rsidRPr="00381B25">
        <w:rPr>
          <w:lang w:val="en-US"/>
        </w:rPr>
        <w:t>.</w:t>
      </w:r>
      <w:r w:rsidR="004C7F86" w:rsidRPr="00381B25">
        <w:rPr>
          <w:lang w:val="en-US"/>
        </w:rPr>
        <w:t xml:space="preserve"> (3d) 74; </w:t>
      </w:r>
      <w:r w:rsidR="004C7F86" w:rsidRPr="00381B25">
        <w:rPr>
          <w:i/>
          <w:lang w:val="en-US"/>
        </w:rPr>
        <w:t>Burgsteden c. Long</w:t>
      </w:r>
      <w:r w:rsidR="004C7F86" w:rsidRPr="00381B25">
        <w:rPr>
          <w:lang w:val="en-US"/>
        </w:rPr>
        <w:t xml:space="preserve">, 2014 SKCA 115, 378 D.L.R. (4th) 562; </w:t>
      </w:r>
      <w:r w:rsidR="004C7F86" w:rsidRPr="00381B25">
        <w:rPr>
          <w:i/>
          <w:lang w:val="en-US"/>
        </w:rPr>
        <w:t>R. c. E.M.W.</w:t>
      </w:r>
      <w:r w:rsidR="004C7F86" w:rsidRPr="00381B25">
        <w:rPr>
          <w:lang w:val="en-US"/>
        </w:rPr>
        <w:t xml:space="preserve">, </w:t>
      </w:r>
      <w:r w:rsidR="00874E6C" w:rsidRPr="00381B25">
        <w:rPr>
          <w:lang w:val="en-US"/>
        </w:rPr>
        <w:t xml:space="preserve">2011 CSC </w:t>
      </w:r>
      <w:r w:rsidR="00874E6C" w:rsidRPr="00381B25">
        <w:rPr>
          <w:lang w:val="en-US"/>
        </w:rPr>
        <w:lastRenderedPageBreak/>
        <w:t xml:space="preserve">31, </w:t>
      </w:r>
      <w:r w:rsidR="004C7F86" w:rsidRPr="00381B25">
        <w:rPr>
          <w:lang w:val="en-US"/>
        </w:rPr>
        <w:t xml:space="preserve">[2011] 2 R.C.S. 542; </w:t>
      </w:r>
      <w:r w:rsidR="004C7F86" w:rsidRPr="00381B25">
        <w:rPr>
          <w:i/>
          <w:lang w:val="en-US"/>
        </w:rPr>
        <w:t>Canada Trustco Mortgage Co. c. Renard</w:t>
      </w:r>
      <w:r w:rsidR="004C7F86" w:rsidRPr="00381B25">
        <w:rPr>
          <w:lang w:val="en-US"/>
        </w:rPr>
        <w:t xml:space="preserve">, 2008 BCCA 343, 298 D.L.R. (4th) 216; </w:t>
      </w:r>
      <w:r w:rsidR="009E59EE" w:rsidRPr="00381B25">
        <w:rPr>
          <w:i/>
          <w:lang w:val="en-US"/>
        </w:rPr>
        <w:t>Succession Odha</w:t>
      </w:r>
      <w:r w:rsidR="004C7F86" w:rsidRPr="00381B25">
        <w:rPr>
          <w:i/>
          <w:lang w:val="en-US"/>
        </w:rPr>
        <w:t>v</w:t>
      </w:r>
      <w:r w:rsidR="009E59EE" w:rsidRPr="00381B25">
        <w:rPr>
          <w:i/>
          <w:lang w:val="en-US"/>
        </w:rPr>
        <w:t>j</w:t>
      </w:r>
      <w:r w:rsidR="004C7F86" w:rsidRPr="00381B25">
        <w:rPr>
          <w:i/>
          <w:lang w:val="en-US"/>
        </w:rPr>
        <w:t>i c. Woodhouse</w:t>
      </w:r>
      <w:r w:rsidR="004C7F86" w:rsidRPr="00381B25">
        <w:rPr>
          <w:lang w:val="en-US"/>
        </w:rPr>
        <w:t xml:space="preserve">, </w:t>
      </w:r>
      <w:r w:rsidR="009E59EE" w:rsidRPr="00381B25">
        <w:rPr>
          <w:lang w:val="en-US"/>
        </w:rPr>
        <w:t xml:space="preserve">2003 CSC 69, </w:t>
      </w:r>
      <w:r w:rsidR="004C7F86" w:rsidRPr="00381B25">
        <w:rPr>
          <w:lang w:val="en-US"/>
        </w:rPr>
        <w:t xml:space="preserve">[2003] 3 R.C.S. 263; </w:t>
      </w:r>
      <w:r w:rsidR="004C7F86" w:rsidRPr="00381B25">
        <w:rPr>
          <w:i/>
          <w:lang w:val="en-US"/>
        </w:rPr>
        <w:t>McLoughlin c. O</w:t>
      </w:r>
      <w:r w:rsidR="00E72105">
        <w:rPr>
          <w:i/>
          <w:lang w:val="en-US"/>
        </w:rPr>
        <w:t>’</w:t>
      </w:r>
      <w:r w:rsidR="004C7F86" w:rsidRPr="00381B25">
        <w:rPr>
          <w:i/>
          <w:lang w:val="en-US"/>
        </w:rPr>
        <w:t>Brian</w:t>
      </w:r>
      <w:r w:rsidR="004C7F86" w:rsidRPr="00381B25">
        <w:rPr>
          <w:lang w:val="en-US"/>
        </w:rPr>
        <w:t>, [1983] 1 A</w:t>
      </w:r>
      <w:r w:rsidR="00F279E5" w:rsidRPr="00381B25">
        <w:rPr>
          <w:lang w:val="en-US"/>
        </w:rPr>
        <w:t>.</w:t>
      </w:r>
      <w:r w:rsidR="004C7F86" w:rsidRPr="00381B25">
        <w:rPr>
          <w:lang w:val="en-US"/>
        </w:rPr>
        <w:t>C</w:t>
      </w:r>
      <w:r w:rsidR="00F279E5" w:rsidRPr="00381B25">
        <w:rPr>
          <w:lang w:val="en-US"/>
        </w:rPr>
        <w:t>.</w:t>
      </w:r>
      <w:r w:rsidR="004C7F86" w:rsidRPr="00381B25">
        <w:rPr>
          <w:lang w:val="en-US"/>
        </w:rPr>
        <w:t xml:space="preserve"> 410; </w:t>
      </w:r>
      <w:r w:rsidR="004C7F86" w:rsidRPr="00381B25">
        <w:rPr>
          <w:i/>
          <w:lang w:val="en-US"/>
        </w:rPr>
        <w:t>Miner c. Canadian Pacific Railway</w:t>
      </w:r>
      <w:r w:rsidR="00F279E5" w:rsidRPr="00381B25">
        <w:rPr>
          <w:i/>
          <w:lang w:val="en-US"/>
        </w:rPr>
        <w:t xml:space="preserve"> Co.</w:t>
      </w:r>
      <w:r w:rsidR="00F279E5" w:rsidRPr="00381B25">
        <w:rPr>
          <w:lang w:val="en-US"/>
        </w:rPr>
        <w:t xml:space="preserve"> </w:t>
      </w:r>
      <w:r w:rsidR="004C7F86" w:rsidRPr="00381B25">
        <w:rPr>
          <w:lang w:val="en-US"/>
        </w:rPr>
        <w:t>(1911)</w:t>
      </w:r>
      <w:r w:rsidR="00F279E5" w:rsidRPr="00381B25">
        <w:rPr>
          <w:lang w:val="en-US"/>
        </w:rPr>
        <w:t>,</w:t>
      </w:r>
      <w:r w:rsidR="004C7F86" w:rsidRPr="00381B25">
        <w:rPr>
          <w:lang w:val="en-US"/>
        </w:rPr>
        <w:t xml:space="preserve"> 18 W.L.R. 476; </w:t>
      </w:r>
      <w:r w:rsidR="004C7F86" w:rsidRPr="00381B25">
        <w:rPr>
          <w:i/>
          <w:lang w:val="en-US"/>
        </w:rPr>
        <w:t>Dulieu c. White &amp; Sons</w:t>
      </w:r>
      <w:r w:rsidR="004C7F86" w:rsidRPr="00381B25">
        <w:rPr>
          <w:lang w:val="en-US"/>
        </w:rPr>
        <w:t xml:space="preserve">, [1901] 2 K.B. 669; </w:t>
      </w:r>
      <w:r w:rsidR="004C7F86" w:rsidRPr="00381B25">
        <w:rPr>
          <w:i/>
          <w:lang w:val="en-US"/>
        </w:rPr>
        <w:t>Hambrook c. Stokes Brothers</w:t>
      </w:r>
      <w:r w:rsidR="004C7F86" w:rsidRPr="00381B25">
        <w:rPr>
          <w:lang w:val="en-US"/>
        </w:rPr>
        <w:t xml:space="preserve">, [1925] 1 K.B. 141; </w:t>
      </w:r>
      <w:r w:rsidR="004C7F86" w:rsidRPr="00381B25">
        <w:rPr>
          <w:i/>
          <w:lang w:val="en-US"/>
        </w:rPr>
        <w:t>Horne c. New Glasgow</w:t>
      </w:r>
      <w:r w:rsidR="00A069FC" w:rsidRPr="00381B25">
        <w:rPr>
          <w:lang w:val="en-US"/>
        </w:rPr>
        <w:t>, [1954</w:t>
      </w:r>
      <w:r w:rsidR="004C7F86" w:rsidRPr="00381B25">
        <w:rPr>
          <w:lang w:val="en-US"/>
        </w:rPr>
        <w:t xml:space="preserve">] 1 D.L.R. 832; </w:t>
      </w:r>
      <w:r w:rsidR="004C7F86" w:rsidRPr="00381B25">
        <w:rPr>
          <w:i/>
          <w:lang w:val="en-US"/>
        </w:rPr>
        <w:t>Alcock c. Chief Constable of South Yorkshire Police</w:t>
      </w:r>
      <w:r w:rsidR="00856944" w:rsidRPr="00381B25">
        <w:rPr>
          <w:lang w:val="en-US"/>
        </w:rPr>
        <w:t>, [1992</w:t>
      </w:r>
      <w:r w:rsidR="004C7F86" w:rsidRPr="00381B25">
        <w:rPr>
          <w:lang w:val="en-US"/>
        </w:rPr>
        <w:t xml:space="preserve">] </w:t>
      </w:r>
      <w:r w:rsidR="00856944" w:rsidRPr="00381B25">
        <w:rPr>
          <w:lang w:val="en-US"/>
        </w:rPr>
        <w:t>1 A.C. 310</w:t>
      </w:r>
      <w:r w:rsidR="004C7F86" w:rsidRPr="00381B25">
        <w:rPr>
          <w:lang w:val="en-US"/>
        </w:rPr>
        <w:t xml:space="preserve">; </w:t>
      </w:r>
      <w:r w:rsidR="004C7F86" w:rsidRPr="00381B25">
        <w:rPr>
          <w:i/>
          <w:lang w:val="en-US"/>
        </w:rPr>
        <w:t>Page c. Smith</w:t>
      </w:r>
      <w:r w:rsidR="004C7F86" w:rsidRPr="00381B25">
        <w:rPr>
          <w:lang w:val="en-US"/>
        </w:rPr>
        <w:t>, [1996] 1 A</w:t>
      </w:r>
      <w:r w:rsidR="00DE2F90" w:rsidRPr="00381B25">
        <w:rPr>
          <w:lang w:val="en-US"/>
        </w:rPr>
        <w:t>.</w:t>
      </w:r>
      <w:r w:rsidR="004C7F86" w:rsidRPr="00381B25">
        <w:rPr>
          <w:lang w:val="en-US"/>
        </w:rPr>
        <w:t>C</w:t>
      </w:r>
      <w:r w:rsidR="00DE2F90" w:rsidRPr="00381B25">
        <w:rPr>
          <w:lang w:val="en-US"/>
        </w:rPr>
        <w:t>.</w:t>
      </w:r>
      <w:r w:rsidR="004C7F86" w:rsidRPr="00381B25">
        <w:rPr>
          <w:lang w:val="en-US"/>
        </w:rPr>
        <w:t xml:space="preserve"> 155; </w:t>
      </w:r>
      <w:r w:rsidR="004C7F86" w:rsidRPr="00381B25">
        <w:rPr>
          <w:i/>
          <w:lang w:val="en-US"/>
        </w:rPr>
        <w:t>White c. Chief Constable of South Yorkshire Police</w:t>
      </w:r>
      <w:r w:rsidR="004C7F86" w:rsidRPr="00381B25">
        <w:rPr>
          <w:lang w:val="en-US"/>
        </w:rPr>
        <w:t xml:space="preserve">, [1999] </w:t>
      </w:r>
      <w:r w:rsidR="00856944" w:rsidRPr="00381B25">
        <w:rPr>
          <w:lang w:val="en-US"/>
        </w:rPr>
        <w:t>2 A.C. 455</w:t>
      </w:r>
      <w:r w:rsidR="004C7F86" w:rsidRPr="00381B25">
        <w:rPr>
          <w:lang w:val="en-US"/>
        </w:rPr>
        <w:t xml:space="preserve">; </w:t>
      </w:r>
      <w:r w:rsidR="004C7F86" w:rsidRPr="00381B25">
        <w:rPr>
          <w:i/>
          <w:lang w:val="en-US"/>
        </w:rPr>
        <w:t>Tame c. New South Wales</w:t>
      </w:r>
      <w:r w:rsidR="00E928F1" w:rsidRPr="00381B25">
        <w:rPr>
          <w:lang w:val="en-US"/>
        </w:rPr>
        <w:t>, [2002] HCA 35,</w:t>
      </w:r>
      <w:r w:rsidR="004C7F86" w:rsidRPr="00381B25">
        <w:rPr>
          <w:lang w:val="en-US"/>
        </w:rPr>
        <w:t xml:space="preserve"> 211 C.L.R. 317; </w:t>
      </w:r>
      <w:r w:rsidR="004C7F86" w:rsidRPr="00381B25">
        <w:rPr>
          <w:i/>
          <w:lang w:val="en-US"/>
        </w:rPr>
        <w:t>Beecham c. Hughes</w:t>
      </w:r>
      <w:r w:rsidR="004C7F86" w:rsidRPr="00381B25">
        <w:rPr>
          <w:lang w:val="en-US"/>
        </w:rPr>
        <w:t xml:space="preserve"> (1988), 27 B.C.L.R. (2d) 1; </w:t>
      </w:r>
      <w:r w:rsidR="004C7F86" w:rsidRPr="00381B25">
        <w:rPr>
          <w:i/>
          <w:lang w:val="en-US"/>
        </w:rPr>
        <w:t xml:space="preserve">Rhodes c. </w:t>
      </w:r>
      <w:r w:rsidR="00634D51" w:rsidRPr="00381B25">
        <w:rPr>
          <w:i/>
          <w:lang w:val="en-US"/>
        </w:rPr>
        <w:t>Canadian National Railway</w:t>
      </w:r>
      <w:r w:rsidR="004C7F86" w:rsidRPr="00381B25">
        <w:rPr>
          <w:lang w:val="en-US"/>
        </w:rPr>
        <w:t xml:space="preserve"> (1990), 75 D.L.R. (4th) 248; </w:t>
      </w:r>
      <w:r w:rsidR="004C7F86" w:rsidRPr="00381B25">
        <w:rPr>
          <w:i/>
          <w:lang w:val="en-US"/>
        </w:rPr>
        <w:t>Toronto Railway</w:t>
      </w:r>
      <w:r w:rsidR="00874E6C" w:rsidRPr="00381B25">
        <w:rPr>
          <w:i/>
          <w:lang w:val="en-US"/>
        </w:rPr>
        <w:t xml:space="preserve"> Co.</w:t>
      </w:r>
      <w:r w:rsidR="004C7F86" w:rsidRPr="00381B25">
        <w:rPr>
          <w:i/>
          <w:lang w:val="en-US"/>
        </w:rPr>
        <w:t xml:space="preserve"> c. Toms</w:t>
      </w:r>
      <w:r w:rsidR="004C7F86" w:rsidRPr="00381B25">
        <w:rPr>
          <w:lang w:val="en-US"/>
        </w:rPr>
        <w:t xml:space="preserve"> (1911), 44 R.C.S. 268; </w:t>
      </w:r>
      <w:r w:rsidR="004C7F86" w:rsidRPr="00381B25">
        <w:rPr>
          <w:i/>
          <w:lang w:val="en-US"/>
        </w:rPr>
        <w:t>Bourhill c. Young</w:t>
      </w:r>
      <w:r w:rsidR="004C7F86" w:rsidRPr="00381B25">
        <w:rPr>
          <w:lang w:val="en-US"/>
        </w:rPr>
        <w:t xml:space="preserve">, [1943] A.C. 92; </w:t>
      </w:r>
      <w:r w:rsidR="004C7F86" w:rsidRPr="00381B25">
        <w:rPr>
          <w:i/>
          <w:lang w:val="en-US"/>
        </w:rPr>
        <w:t>Cooper c. Hobart</w:t>
      </w:r>
      <w:r w:rsidR="004C7F86" w:rsidRPr="00381B25">
        <w:rPr>
          <w:lang w:val="en-US"/>
        </w:rPr>
        <w:t>, 2001 CSC 79</w:t>
      </w:r>
      <w:r w:rsidR="000D498D" w:rsidRPr="00381B25">
        <w:rPr>
          <w:lang w:val="en-US"/>
        </w:rPr>
        <w:t>, [2001] 3 R.C.S. 537</w:t>
      </w:r>
      <w:r w:rsidR="004C7F86" w:rsidRPr="00381B25">
        <w:rPr>
          <w:lang w:val="en-US"/>
        </w:rPr>
        <w:t xml:space="preserve">; </w:t>
      </w:r>
      <w:r w:rsidR="004C7F86" w:rsidRPr="00381B25">
        <w:rPr>
          <w:i/>
          <w:lang w:val="en-US"/>
        </w:rPr>
        <w:t>Donoghue c. Stevenson</w:t>
      </w:r>
      <w:r w:rsidR="004C7F86" w:rsidRPr="00381B25">
        <w:rPr>
          <w:lang w:val="en-US"/>
        </w:rPr>
        <w:t xml:space="preserve">, [1932] A.C. 562; </w:t>
      </w:r>
      <w:r w:rsidR="004C7F86" w:rsidRPr="00381B25">
        <w:rPr>
          <w:i/>
          <w:lang w:val="en-US"/>
        </w:rPr>
        <w:t>Hinz c. Berry</w:t>
      </w:r>
      <w:r w:rsidR="00C055FD" w:rsidRPr="00381B25">
        <w:rPr>
          <w:lang w:val="en-US"/>
        </w:rPr>
        <w:t>,</w:t>
      </w:r>
      <w:r w:rsidR="004C7F86" w:rsidRPr="00381B25">
        <w:rPr>
          <w:lang w:val="en-US"/>
        </w:rPr>
        <w:t xml:space="preserve"> [1970] 2 Q</w:t>
      </w:r>
      <w:r w:rsidR="00C055FD" w:rsidRPr="00381B25">
        <w:rPr>
          <w:lang w:val="en-US"/>
        </w:rPr>
        <w:t>.</w:t>
      </w:r>
      <w:r w:rsidR="004C7F86" w:rsidRPr="00381B25">
        <w:rPr>
          <w:lang w:val="en-US"/>
        </w:rPr>
        <w:t>B</w:t>
      </w:r>
      <w:r w:rsidR="00C055FD" w:rsidRPr="00381B25">
        <w:rPr>
          <w:lang w:val="en-US"/>
        </w:rPr>
        <w:t>. 40</w:t>
      </w:r>
      <w:r w:rsidR="004C7F86" w:rsidRPr="00381B25">
        <w:rPr>
          <w:lang w:val="en-US"/>
        </w:rPr>
        <w:t xml:space="preserve">; </w:t>
      </w:r>
      <w:r w:rsidR="004C7F86" w:rsidRPr="00381B25">
        <w:rPr>
          <w:i/>
          <w:lang w:val="en-US"/>
        </w:rPr>
        <w:t>McDermott c. Ramadanovic Estate</w:t>
      </w:r>
      <w:r w:rsidR="004C7F86" w:rsidRPr="00381B25">
        <w:rPr>
          <w:lang w:val="en-US"/>
        </w:rPr>
        <w:t xml:space="preserve"> (1988), 27 B.C.L.R. (2d) 45; </w:t>
      </w:r>
      <w:r w:rsidR="004C7F86" w:rsidRPr="00381B25">
        <w:rPr>
          <w:i/>
          <w:lang w:val="en-US"/>
        </w:rPr>
        <w:t>Cox c. Fleming</w:t>
      </w:r>
      <w:r w:rsidR="004C7F86" w:rsidRPr="00381B25">
        <w:rPr>
          <w:lang w:val="en-US"/>
        </w:rPr>
        <w:t xml:space="preserve"> (1995), 15 B.C.L.R. (3d) 201; </w:t>
      </w:r>
      <w:r w:rsidR="004C7F86" w:rsidRPr="00381B25">
        <w:rPr>
          <w:i/>
          <w:lang w:val="en-US"/>
        </w:rPr>
        <w:t>Mason c. Westside Cemeteries Ltd.</w:t>
      </w:r>
      <w:r w:rsidR="001B4138" w:rsidRPr="00381B25">
        <w:rPr>
          <w:lang w:val="en-US"/>
        </w:rPr>
        <w:t xml:space="preserve"> (1996), 135 D.L.R. (4th) 361;</w:t>
      </w:r>
      <w:r w:rsidR="004C7F86" w:rsidRPr="00381B25">
        <w:rPr>
          <w:lang w:val="en-US"/>
        </w:rPr>
        <w:t xml:space="preserve"> </w:t>
      </w:r>
      <w:r w:rsidR="004C7F86" w:rsidRPr="00381B25">
        <w:rPr>
          <w:i/>
          <w:lang w:val="en-US"/>
        </w:rPr>
        <w:t>Flett c. Maxwell</w:t>
      </w:r>
      <w:r w:rsidR="004C7F86" w:rsidRPr="00381B25">
        <w:rPr>
          <w:lang w:val="en-US"/>
        </w:rPr>
        <w:t xml:space="preserve">, [1996] B.C.J. </w:t>
      </w:r>
      <w:r w:rsidR="00E72105">
        <w:rPr>
          <w:lang w:val="en-US"/>
        </w:rPr>
        <w:t>No. </w:t>
      </w:r>
      <w:r w:rsidR="004C7F86" w:rsidRPr="00381B25">
        <w:rPr>
          <w:lang w:val="en-US"/>
        </w:rPr>
        <w:t>1455</w:t>
      </w:r>
      <w:r w:rsidR="001737EC" w:rsidRPr="00381B25">
        <w:rPr>
          <w:lang w:val="en-US"/>
        </w:rPr>
        <w:t xml:space="preserve"> (QL)</w:t>
      </w:r>
      <w:r w:rsidR="004C7F86" w:rsidRPr="00381B25">
        <w:rPr>
          <w:lang w:val="en-US"/>
        </w:rPr>
        <w:t xml:space="preserve">; </w:t>
      </w:r>
      <w:r w:rsidR="001737EC" w:rsidRPr="00381B25">
        <w:rPr>
          <w:i/>
          <w:lang w:val="en-US"/>
        </w:rPr>
        <w:t>Vanek c. Great Atlantic &amp; Pacific Co. of Canada</w:t>
      </w:r>
      <w:r w:rsidR="001737EC" w:rsidRPr="00381B25">
        <w:rPr>
          <w:lang w:val="en-US"/>
        </w:rPr>
        <w:t xml:space="preserve"> (1999), 48 O.R. (3d) 228; </w:t>
      </w:r>
      <w:r w:rsidR="001737EC" w:rsidRPr="00381B25">
        <w:rPr>
          <w:i/>
          <w:lang w:val="en-US"/>
        </w:rPr>
        <w:t>Healey c. Lakeridge Health Corp.</w:t>
      </w:r>
      <w:r w:rsidR="001737EC" w:rsidRPr="00381B25">
        <w:rPr>
          <w:lang w:val="en-US"/>
        </w:rPr>
        <w:t>, 2011 ONCA 55, 103 O.R. (3d) 401;</w:t>
      </w:r>
      <w:r w:rsidR="004C7F86" w:rsidRPr="00381B25">
        <w:rPr>
          <w:lang w:val="en-US"/>
        </w:rPr>
        <w:t xml:space="preserve"> </w:t>
      </w:r>
      <w:r w:rsidR="004C7F86" w:rsidRPr="00381B25">
        <w:rPr>
          <w:i/>
          <w:lang w:val="en-US"/>
        </w:rPr>
        <w:t>Frazer c. Haukioja</w:t>
      </w:r>
      <w:r w:rsidR="009D7333" w:rsidRPr="00381B25">
        <w:rPr>
          <w:lang w:val="en-US"/>
        </w:rPr>
        <w:t>,</w:t>
      </w:r>
      <w:r w:rsidR="004C7F86" w:rsidRPr="00381B25">
        <w:rPr>
          <w:lang w:val="en-US"/>
        </w:rPr>
        <w:t xml:space="preserve"> </w:t>
      </w:r>
      <w:r w:rsidR="009D7333" w:rsidRPr="00381B25">
        <w:rPr>
          <w:lang w:val="en-US"/>
        </w:rPr>
        <w:t xml:space="preserve">2010 ONCA 249, </w:t>
      </w:r>
      <w:r w:rsidR="004C7F86" w:rsidRPr="00381B25">
        <w:rPr>
          <w:lang w:val="en-US"/>
        </w:rPr>
        <w:t xml:space="preserve">101 O.R. (3d) 528; </w:t>
      </w:r>
      <w:r w:rsidR="005D074D">
        <w:rPr>
          <w:i/>
          <w:lang w:val="en-US"/>
        </w:rPr>
        <w:t>Kotai c. « Queen of the North »</w:t>
      </w:r>
      <w:r w:rsidR="004C7F86" w:rsidRPr="00381B25">
        <w:rPr>
          <w:i/>
          <w:lang w:val="en-US"/>
        </w:rPr>
        <w:t xml:space="preserve"> (The)</w:t>
      </w:r>
      <w:r w:rsidR="00586E34" w:rsidRPr="00381B25">
        <w:rPr>
          <w:lang w:val="en-US"/>
        </w:rPr>
        <w:t>, 2009 BCSC 1405</w:t>
      </w:r>
      <w:r w:rsidR="004C7F86" w:rsidRPr="00381B25">
        <w:rPr>
          <w:lang w:val="en-US"/>
        </w:rPr>
        <w:t xml:space="preserve">, 70 C.C.L.T. (3d) 221; </w:t>
      </w:r>
      <w:r w:rsidR="004C7F86" w:rsidRPr="00381B25">
        <w:rPr>
          <w:i/>
          <w:lang w:val="en-US"/>
        </w:rPr>
        <w:t>Young c. Borzoni</w:t>
      </w:r>
      <w:r w:rsidR="004C7F86" w:rsidRPr="00381B25">
        <w:rPr>
          <w:lang w:val="en-US"/>
        </w:rPr>
        <w:t>, 2007 BCCA 16</w:t>
      </w:r>
      <w:r w:rsidR="00586E34" w:rsidRPr="00381B25">
        <w:rPr>
          <w:lang w:val="en-US"/>
        </w:rPr>
        <w:t>, 277 D.L.R. (4th) 685</w:t>
      </w:r>
      <w:r w:rsidR="004C7F86" w:rsidRPr="00381B25">
        <w:rPr>
          <w:lang w:val="en-US"/>
        </w:rPr>
        <w:t xml:space="preserve">; </w:t>
      </w:r>
      <w:r w:rsidR="004C7F86" w:rsidRPr="00381B25">
        <w:rPr>
          <w:i/>
          <w:lang w:val="en-US"/>
        </w:rPr>
        <w:t>Graham c. MacMillan</w:t>
      </w:r>
      <w:r w:rsidR="004C7F86" w:rsidRPr="00381B25">
        <w:rPr>
          <w:lang w:val="en-US"/>
        </w:rPr>
        <w:t>, 2003 BCCA 90</w:t>
      </w:r>
      <w:r w:rsidR="00555C3C" w:rsidRPr="00381B25">
        <w:rPr>
          <w:lang w:val="en-US"/>
        </w:rPr>
        <w:t>, 15 C.C.L.T. (3d) 155</w:t>
      </w:r>
      <w:r w:rsidR="004C7F86" w:rsidRPr="00381B25">
        <w:rPr>
          <w:lang w:val="en-US"/>
        </w:rPr>
        <w:t xml:space="preserve">; </w:t>
      </w:r>
      <w:r w:rsidR="004C7F86" w:rsidRPr="00381B25">
        <w:rPr>
          <w:i/>
          <w:lang w:val="en-US"/>
        </w:rPr>
        <w:t>Koerfer c. Davies</w:t>
      </w:r>
      <w:r w:rsidR="004C7F86" w:rsidRPr="00381B25">
        <w:rPr>
          <w:lang w:val="en-US"/>
        </w:rPr>
        <w:t xml:space="preserve">, [1994] O.J. </w:t>
      </w:r>
      <w:r w:rsidR="00E72105">
        <w:rPr>
          <w:lang w:val="en-US"/>
        </w:rPr>
        <w:t>No. </w:t>
      </w:r>
      <w:r w:rsidR="004C7F86" w:rsidRPr="00381B25">
        <w:rPr>
          <w:lang w:val="en-US"/>
        </w:rPr>
        <w:t>1408</w:t>
      </w:r>
      <w:r w:rsidR="00555C3C" w:rsidRPr="00381B25">
        <w:rPr>
          <w:lang w:val="en-US"/>
        </w:rPr>
        <w:t xml:space="preserve"> (QL)</w:t>
      </w:r>
      <w:r w:rsidR="004C7F86" w:rsidRPr="00381B25">
        <w:rPr>
          <w:lang w:val="en-US"/>
        </w:rPr>
        <w:t xml:space="preserve">; </w:t>
      </w:r>
      <w:r w:rsidR="004C7F86" w:rsidRPr="00381B25">
        <w:rPr>
          <w:i/>
          <w:lang w:val="en-US"/>
        </w:rPr>
        <w:t>Duwyn c. Kaprielian</w:t>
      </w:r>
      <w:r w:rsidR="004C7F86" w:rsidRPr="00381B25">
        <w:rPr>
          <w:lang w:val="en-US"/>
        </w:rPr>
        <w:t xml:space="preserve"> (1978), 22 O.R. (2d) 736; </w:t>
      </w:r>
      <w:r w:rsidR="004C7F86" w:rsidRPr="00381B25">
        <w:rPr>
          <w:i/>
          <w:lang w:val="en-US"/>
        </w:rPr>
        <w:t>van Soest c. Residual Health Management Unit</w:t>
      </w:r>
      <w:r w:rsidR="004C7F86" w:rsidRPr="00381B25">
        <w:rPr>
          <w:lang w:val="en-US"/>
        </w:rPr>
        <w:t xml:space="preserve">, </w:t>
      </w:r>
      <w:r w:rsidR="008B310A" w:rsidRPr="00381B25">
        <w:rPr>
          <w:lang w:val="en-US"/>
        </w:rPr>
        <w:t xml:space="preserve">[1999] NZCA 206, </w:t>
      </w:r>
      <w:r w:rsidR="004C7F86" w:rsidRPr="00381B25">
        <w:rPr>
          <w:lang w:val="en-US"/>
        </w:rPr>
        <w:t xml:space="preserve">[2000] 1 N.Z.L.R. 179; </w:t>
      </w:r>
      <w:r w:rsidR="004C7F86" w:rsidRPr="00381B25">
        <w:rPr>
          <w:i/>
          <w:lang w:val="en-US"/>
        </w:rPr>
        <w:t>Sutherland c. Hatton</w:t>
      </w:r>
      <w:r w:rsidR="004C7F86" w:rsidRPr="00381B25">
        <w:rPr>
          <w:lang w:val="en-US"/>
        </w:rPr>
        <w:t>, [2002] EWCA Civ 76</w:t>
      </w:r>
      <w:r w:rsidR="00212294" w:rsidRPr="00381B25">
        <w:rPr>
          <w:lang w:val="en-US"/>
        </w:rPr>
        <w:t>, [2002] 2 All E.R. 1</w:t>
      </w:r>
      <w:r w:rsidR="004C7F86" w:rsidRPr="00381B25">
        <w:rPr>
          <w:lang w:val="en-US"/>
        </w:rPr>
        <w:t xml:space="preserve">; </w:t>
      </w:r>
      <w:r w:rsidR="004C7F86" w:rsidRPr="00381B25">
        <w:rPr>
          <w:i/>
          <w:lang w:val="en-US"/>
        </w:rPr>
        <w:t>Augustus c. Gosset</w:t>
      </w:r>
      <w:r w:rsidR="004C7F86" w:rsidRPr="00381B25">
        <w:rPr>
          <w:lang w:val="en-US"/>
        </w:rPr>
        <w:t xml:space="preserve">, [1996] 3 R.C.S. 268; </w:t>
      </w:r>
      <w:r w:rsidR="004C7F86" w:rsidRPr="00381B25">
        <w:rPr>
          <w:i/>
          <w:lang w:val="en-US"/>
        </w:rPr>
        <w:lastRenderedPageBreak/>
        <w:t>Housen c. Nikolaisen</w:t>
      </w:r>
      <w:r w:rsidR="004C7F86" w:rsidRPr="00381B25">
        <w:rPr>
          <w:lang w:val="en-US"/>
        </w:rPr>
        <w:t>, 2002 CSC 33</w:t>
      </w:r>
      <w:r w:rsidR="00A01C46" w:rsidRPr="00381B25">
        <w:rPr>
          <w:lang w:val="en-US"/>
        </w:rPr>
        <w:t>, [2002] 2 R.C.S. 235</w:t>
      </w:r>
      <w:r w:rsidR="008D7054" w:rsidRPr="00381B25">
        <w:rPr>
          <w:lang w:val="en-US"/>
        </w:rPr>
        <w:t xml:space="preserve">; </w:t>
      </w:r>
      <w:r w:rsidR="008D7054" w:rsidRPr="00381B25">
        <w:rPr>
          <w:i/>
          <w:lang w:val="en-US"/>
        </w:rPr>
        <w:t>Pinch c. Hofstee</w:t>
      </w:r>
      <w:r w:rsidR="008D7054" w:rsidRPr="00381B25">
        <w:rPr>
          <w:lang w:val="en-US"/>
        </w:rPr>
        <w:t xml:space="preserve">, 2015 BCSC 1888; </w:t>
      </w:r>
      <w:r w:rsidR="008D7054" w:rsidRPr="00381B25">
        <w:rPr>
          <w:i/>
          <w:lang w:val="en-US"/>
        </w:rPr>
        <w:t>Zawadzki c. Calimoso</w:t>
      </w:r>
      <w:r w:rsidR="008D7054" w:rsidRPr="00381B25">
        <w:rPr>
          <w:lang w:val="en-US"/>
        </w:rPr>
        <w:t>, 2011 BCSC 45</w:t>
      </w:r>
      <w:r w:rsidR="003E3C8E" w:rsidRPr="00381B25">
        <w:rPr>
          <w:lang w:val="en-US"/>
        </w:rPr>
        <w:t xml:space="preserve">; </w:t>
      </w:r>
      <w:r w:rsidR="003E3C8E" w:rsidRPr="00381B25">
        <w:rPr>
          <w:i/>
          <w:lang w:val="en-US"/>
        </w:rPr>
        <w:t>Wells c. Terre</w:t>
      </w:r>
      <w:r w:rsidR="00E72105">
        <w:rPr>
          <w:i/>
          <w:lang w:val="en-US"/>
        </w:rPr>
        <w:noBreakHyphen/>
      </w:r>
      <w:r w:rsidR="003E3C8E" w:rsidRPr="00381B25">
        <w:rPr>
          <w:i/>
          <w:lang w:val="en-US"/>
        </w:rPr>
        <w:t>Neuve</w:t>
      </w:r>
      <w:r w:rsidR="003E3C8E" w:rsidRPr="00381B25">
        <w:rPr>
          <w:lang w:val="en-US"/>
        </w:rPr>
        <w:t>, [1999] 3 R.C.S. 199</w:t>
      </w:r>
      <w:r w:rsidR="004C7F86" w:rsidRPr="00381B25">
        <w:rPr>
          <w:lang w:val="en-US"/>
        </w:rPr>
        <w:t>.</w:t>
      </w:r>
    </w:p>
    <w:p w:rsidR="004D7D95" w:rsidRPr="00381B25" w:rsidRDefault="004D7D95" w:rsidP="00C25DD8">
      <w:pPr>
        <w:pStyle w:val="SCCNormalDoubleSpacing"/>
        <w:spacing w:after="720" w:line="240" w:lineRule="auto"/>
        <w:rPr>
          <w:lang w:val="fr-CA"/>
        </w:rPr>
      </w:pPr>
      <w:r w:rsidRPr="00381B25">
        <w:rPr>
          <w:b/>
          <w:lang w:val="fr-CA"/>
        </w:rPr>
        <w:t>Lois et règlements cités</w:t>
      </w:r>
    </w:p>
    <w:p w:rsidR="004D7D95" w:rsidRPr="00381B25" w:rsidRDefault="00043AD9" w:rsidP="008D7054">
      <w:pPr>
        <w:pStyle w:val="SCCNormalDoubleSpacing"/>
        <w:spacing w:after="240" w:line="240" w:lineRule="auto"/>
        <w:ind w:left="539" w:hanging="539"/>
        <w:rPr>
          <w:lang w:val="fr-CA"/>
        </w:rPr>
      </w:pPr>
      <w:r w:rsidRPr="00381B25">
        <w:rPr>
          <w:i/>
          <w:lang w:val="fr-CA"/>
        </w:rPr>
        <w:t>Code civil du Québec</w:t>
      </w:r>
      <w:r w:rsidRPr="00381B25">
        <w:rPr>
          <w:lang w:val="fr-CA"/>
        </w:rPr>
        <w:t xml:space="preserve">, </w:t>
      </w:r>
      <w:r w:rsidR="00E72105">
        <w:rPr>
          <w:lang w:val="fr-CA"/>
        </w:rPr>
        <w:t>art. </w:t>
      </w:r>
      <w:r w:rsidRPr="00381B25">
        <w:rPr>
          <w:lang w:val="fr-CA"/>
        </w:rPr>
        <w:t>1457.</w:t>
      </w:r>
    </w:p>
    <w:p w:rsidR="00BA0754" w:rsidRPr="00381B25" w:rsidRDefault="00BA0754" w:rsidP="008D7054">
      <w:pPr>
        <w:pStyle w:val="SCCNormalDoubleSpacing"/>
        <w:spacing w:after="240" w:line="240" w:lineRule="auto"/>
        <w:ind w:left="539" w:hanging="539"/>
        <w:rPr>
          <w:lang w:val="fr-CA"/>
        </w:rPr>
      </w:pPr>
      <w:r w:rsidRPr="00381B25">
        <w:rPr>
          <w:i/>
          <w:lang w:val="fr-CA"/>
        </w:rPr>
        <w:t>Loi sur la Cour suprême</w:t>
      </w:r>
      <w:r w:rsidR="00E72105">
        <w:rPr>
          <w:lang w:val="fr-CA"/>
        </w:rPr>
        <w:t>, L.R.C. 1985, c. </w:t>
      </w:r>
      <w:r w:rsidRPr="00381B25">
        <w:rPr>
          <w:lang w:val="fr-CA"/>
        </w:rPr>
        <w:t>S</w:t>
      </w:r>
      <w:r w:rsidR="00E72105">
        <w:rPr>
          <w:lang w:val="fr-CA"/>
        </w:rPr>
        <w:noBreakHyphen/>
      </w:r>
      <w:r w:rsidRPr="00381B25">
        <w:rPr>
          <w:lang w:val="fr-CA"/>
        </w:rPr>
        <w:t xml:space="preserve">26, </w:t>
      </w:r>
      <w:r w:rsidR="00E72105">
        <w:rPr>
          <w:lang w:val="fr-CA"/>
        </w:rPr>
        <w:t>art. </w:t>
      </w:r>
      <w:r w:rsidRPr="00381B25">
        <w:rPr>
          <w:lang w:val="fr-CA"/>
        </w:rPr>
        <w:t>46.1.</w:t>
      </w:r>
    </w:p>
    <w:p w:rsidR="008D7054" w:rsidRPr="00381B25" w:rsidRDefault="008D7054" w:rsidP="00C25DD8">
      <w:pPr>
        <w:pStyle w:val="SCCNormalDoubleSpacing"/>
        <w:spacing w:after="720" w:line="240" w:lineRule="auto"/>
        <w:ind w:left="540" w:hanging="540"/>
      </w:pPr>
      <w:r w:rsidRPr="00381B25">
        <w:rPr>
          <w:i/>
        </w:rPr>
        <w:t>Workers Compensation Act</w:t>
      </w:r>
      <w:r w:rsidR="00E72105">
        <w:t>, R.S.B.C. 1996, c. </w:t>
      </w:r>
      <w:r w:rsidRPr="00381B25">
        <w:t xml:space="preserve">492, </w:t>
      </w:r>
      <w:r w:rsidR="00E72105">
        <w:t>art. </w:t>
      </w:r>
      <w:r w:rsidR="00BA0754" w:rsidRPr="00381B25">
        <w:t>10</w:t>
      </w:r>
      <w:r w:rsidRPr="00381B25">
        <w:t>.</w:t>
      </w:r>
    </w:p>
    <w:p w:rsidR="004D7D95" w:rsidRPr="00381B25" w:rsidRDefault="004D7D95" w:rsidP="00C25DD8">
      <w:pPr>
        <w:pStyle w:val="SCCNormalDoubleSpacing"/>
        <w:spacing w:after="720" w:line="240" w:lineRule="auto"/>
        <w:rPr>
          <w:lang w:val="fr-CA"/>
        </w:rPr>
      </w:pPr>
      <w:r w:rsidRPr="00381B25">
        <w:rPr>
          <w:b/>
          <w:lang w:val="fr-CA"/>
        </w:rPr>
        <w:t>Doctrine et autres documents cités</w:t>
      </w:r>
    </w:p>
    <w:p w:rsidR="008E2614" w:rsidRPr="00381B25" w:rsidRDefault="008E2614" w:rsidP="00C25DD8">
      <w:pPr>
        <w:pStyle w:val="SCCNormalDoubleSpacing"/>
        <w:spacing w:after="240" w:line="240" w:lineRule="auto"/>
        <w:ind w:left="539" w:hanging="539"/>
        <w:rPr>
          <w:lang w:val="fr-CA"/>
        </w:rPr>
      </w:pPr>
      <w:r w:rsidRPr="00381B25">
        <w:rPr>
          <w:lang w:val="fr-CA"/>
        </w:rPr>
        <w:t xml:space="preserve">American Psychiatric Association. </w:t>
      </w:r>
      <w:r w:rsidR="00BB4421" w:rsidRPr="00381B25">
        <w:rPr>
          <w:i/>
          <w:lang w:val="fr-CA"/>
        </w:rPr>
        <w:t>Manuel diagnostique et statistique des troubles mentaux</w:t>
      </w:r>
      <w:r w:rsidRPr="00381B25">
        <w:rPr>
          <w:lang w:val="fr-CA"/>
        </w:rPr>
        <w:t>, 5</w:t>
      </w:r>
      <w:r w:rsidR="00BB4421" w:rsidRPr="00381B25">
        <w:rPr>
          <w:vertAlign w:val="superscript"/>
          <w:lang w:val="fr-CA"/>
        </w:rPr>
        <w:t>e</w:t>
      </w:r>
      <w:r w:rsidRPr="00381B25">
        <w:rPr>
          <w:lang w:val="fr-CA"/>
        </w:rPr>
        <w:t xml:space="preserve"> </w:t>
      </w:r>
      <w:r w:rsidR="00BB4421" w:rsidRPr="00381B25">
        <w:rPr>
          <w:lang w:val="fr-CA"/>
        </w:rPr>
        <w:t>é</w:t>
      </w:r>
      <w:r w:rsidRPr="00381B25">
        <w:rPr>
          <w:lang w:val="fr-CA"/>
        </w:rPr>
        <w:t>d.</w:t>
      </w:r>
      <w:r w:rsidR="00BB4421" w:rsidRPr="00381B25">
        <w:rPr>
          <w:lang w:val="fr-CA"/>
        </w:rPr>
        <w:t>,</w:t>
      </w:r>
      <w:r w:rsidRPr="00381B25">
        <w:rPr>
          <w:lang w:val="fr-CA"/>
        </w:rPr>
        <w:t xml:space="preserve"> </w:t>
      </w:r>
      <w:r w:rsidR="005A1157" w:rsidRPr="00381B25">
        <w:rPr>
          <w:lang w:val="fr-CA"/>
        </w:rPr>
        <w:t>coordin. géné. de la trad.</w:t>
      </w:r>
      <w:r w:rsidR="00E72105">
        <w:rPr>
          <w:lang w:val="fr-CA"/>
        </w:rPr>
        <w:t> :</w:t>
      </w:r>
      <w:r w:rsidR="00BB4421" w:rsidRPr="00381B25">
        <w:rPr>
          <w:lang w:val="fr-CA"/>
        </w:rPr>
        <w:t xml:space="preserve"> Marc</w:t>
      </w:r>
      <w:r w:rsidR="00E72105">
        <w:rPr>
          <w:lang w:val="fr-CA"/>
        </w:rPr>
        <w:noBreakHyphen/>
      </w:r>
      <w:r w:rsidR="00BB4421" w:rsidRPr="00381B25">
        <w:rPr>
          <w:lang w:val="fr-CA"/>
        </w:rPr>
        <w:t xml:space="preserve">Antoine Crocq </w:t>
      </w:r>
      <w:r w:rsidR="005A1157" w:rsidRPr="00381B25">
        <w:rPr>
          <w:lang w:val="fr-CA"/>
        </w:rPr>
        <w:t>et Julien Daniel Guelfi</w:t>
      </w:r>
      <w:r w:rsidR="008950F0" w:rsidRPr="00381B25">
        <w:rPr>
          <w:lang w:val="fr-CA"/>
        </w:rPr>
        <w:t xml:space="preserve">, </w:t>
      </w:r>
      <w:r w:rsidR="00BB4421" w:rsidRPr="00381B25">
        <w:rPr>
          <w:lang w:val="fr-CA"/>
        </w:rPr>
        <w:t>Issy</w:t>
      </w:r>
      <w:r w:rsidR="00E72105">
        <w:rPr>
          <w:lang w:val="fr-CA"/>
        </w:rPr>
        <w:noBreakHyphen/>
      </w:r>
      <w:r w:rsidR="00BB4421" w:rsidRPr="00381B25">
        <w:rPr>
          <w:lang w:val="fr-CA"/>
        </w:rPr>
        <w:t>les</w:t>
      </w:r>
      <w:r w:rsidR="00E72105">
        <w:rPr>
          <w:lang w:val="fr-CA"/>
        </w:rPr>
        <w:noBreakHyphen/>
      </w:r>
      <w:r w:rsidR="00BB4421" w:rsidRPr="00381B25">
        <w:rPr>
          <w:lang w:val="fr-CA"/>
        </w:rPr>
        <w:t>Moulineaux</w:t>
      </w:r>
      <w:r w:rsidR="007D5E3D" w:rsidRPr="00381B25">
        <w:rPr>
          <w:lang w:val="fr-CA"/>
        </w:rPr>
        <w:t xml:space="preserve"> (Fr.)</w:t>
      </w:r>
      <w:r w:rsidR="00BB4421" w:rsidRPr="00381B25">
        <w:rPr>
          <w:lang w:val="fr-CA"/>
        </w:rPr>
        <w:t>, Elsevier Masson, 2015</w:t>
      </w:r>
      <w:r w:rsidRPr="00381B25">
        <w:rPr>
          <w:lang w:val="fr-CA"/>
        </w:rPr>
        <w:t xml:space="preserve">. </w:t>
      </w:r>
    </w:p>
    <w:p w:rsidR="008E2614" w:rsidRPr="00381B25" w:rsidRDefault="008E2614" w:rsidP="00C25DD8">
      <w:pPr>
        <w:pStyle w:val="SCCNormalDoubleSpacing"/>
        <w:spacing w:after="240" w:line="240" w:lineRule="auto"/>
        <w:ind w:left="539" w:hanging="539"/>
      </w:pPr>
      <w:r w:rsidRPr="00381B25">
        <w:rPr>
          <w:lang w:val="en-US"/>
        </w:rPr>
        <w:t xml:space="preserve">Beever, Allan. </w:t>
      </w:r>
      <w:r w:rsidRPr="00381B25">
        <w:rPr>
          <w:i/>
        </w:rPr>
        <w:t>Rediscovering the Law of Negligence</w:t>
      </w:r>
      <w:r w:rsidR="008950F0" w:rsidRPr="00381B25">
        <w:t>,</w:t>
      </w:r>
      <w:r w:rsidRPr="00381B25">
        <w:rPr>
          <w:i/>
        </w:rPr>
        <w:t xml:space="preserve"> </w:t>
      </w:r>
      <w:r w:rsidRPr="00381B25">
        <w:t>Oxford</w:t>
      </w:r>
      <w:r w:rsidR="008950F0" w:rsidRPr="00381B25">
        <w:t>,</w:t>
      </w:r>
      <w:r w:rsidRPr="00381B25">
        <w:t xml:space="preserve"> Hart, 2007. </w:t>
      </w:r>
    </w:p>
    <w:p w:rsidR="008E2614" w:rsidRPr="00381B25" w:rsidRDefault="008E2614" w:rsidP="00C25DD8">
      <w:pPr>
        <w:pStyle w:val="SCCNormalDoubleSpacing"/>
        <w:spacing w:after="240" w:line="240" w:lineRule="auto"/>
        <w:ind w:left="539" w:hanging="539"/>
      </w:pPr>
      <w:r w:rsidRPr="00381B25">
        <w:rPr>
          <w:lang w:val="en-US"/>
        </w:rPr>
        <w:t>Bélanger</w:t>
      </w:r>
      <w:r w:rsidR="00E72105">
        <w:rPr>
          <w:lang w:val="en-US"/>
        </w:rPr>
        <w:noBreakHyphen/>
      </w:r>
      <w:r w:rsidRPr="00381B25">
        <w:rPr>
          <w:lang w:val="en-US"/>
        </w:rPr>
        <w:t>Hardy, Louise.</w:t>
      </w:r>
      <w:r w:rsidR="008950F0" w:rsidRPr="00381B25">
        <w:rPr>
          <w:lang w:val="en-US"/>
        </w:rPr>
        <w:t xml:space="preserve"> </w:t>
      </w:r>
      <w:r w:rsidR="008950F0" w:rsidRPr="00381B25">
        <w:t>« Reconsidering the “</w:t>
      </w:r>
      <w:r w:rsidRPr="00381B25">
        <w:t>Recognizable Psychiatric Illness</w:t>
      </w:r>
      <w:r w:rsidR="008950F0" w:rsidRPr="00381B25">
        <w:t>”</w:t>
      </w:r>
      <w:r w:rsidRPr="00381B25">
        <w:t xml:space="preserve"> Requirement in Canadian Negligence Law</w:t>
      </w:r>
      <w:r w:rsidR="008950F0" w:rsidRPr="00381B25">
        <w:t> »</w:t>
      </w:r>
      <w:r w:rsidRPr="00381B25">
        <w:t xml:space="preserve"> (2013), 38 </w:t>
      </w:r>
      <w:r w:rsidRPr="00381B25">
        <w:rPr>
          <w:i/>
        </w:rPr>
        <w:t>Queen</w:t>
      </w:r>
      <w:r w:rsidR="00E72105">
        <w:rPr>
          <w:i/>
        </w:rPr>
        <w:t>’</w:t>
      </w:r>
      <w:r w:rsidRPr="00381B25">
        <w:rPr>
          <w:i/>
        </w:rPr>
        <w:t>s L.J.</w:t>
      </w:r>
      <w:r w:rsidRPr="00381B25">
        <w:t xml:space="preserve"> 583.</w:t>
      </w:r>
    </w:p>
    <w:p w:rsidR="008E2614" w:rsidRPr="00381B25" w:rsidRDefault="008E2614" w:rsidP="00C25DD8">
      <w:pPr>
        <w:pStyle w:val="SCCNormalDoubleSpacing"/>
        <w:spacing w:after="240" w:line="240" w:lineRule="auto"/>
        <w:ind w:left="539" w:hanging="539"/>
        <w:rPr>
          <w:lang w:val="en-US"/>
        </w:rPr>
      </w:pPr>
      <w:r w:rsidRPr="00381B25">
        <w:rPr>
          <w:lang w:val="en-US"/>
        </w:rPr>
        <w:t>Bélanger</w:t>
      </w:r>
      <w:r w:rsidR="00E72105">
        <w:rPr>
          <w:lang w:val="en-US"/>
        </w:rPr>
        <w:noBreakHyphen/>
      </w:r>
      <w:r w:rsidRPr="00381B25">
        <w:rPr>
          <w:lang w:val="en-US"/>
        </w:rPr>
        <w:t>Hardy, Louise.</w:t>
      </w:r>
      <w:r w:rsidR="005A1157" w:rsidRPr="00381B25">
        <w:rPr>
          <w:lang w:val="en-US"/>
        </w:rPr>
        <w:t xml:space="preserve"> « </w:t>
      </w:r>
      <w:r w:rsidRPr="00381B25">
        <w:rPr>
          <w:lang w:val="en-US"/>
        </w:rPr>
        <w:t>Thresholds of Actionable Mental Harm in Negligence</w:t>
      </w:r>
      <w:r w:rsidR="00E72105">
        <w:rPr>
          <w:lang w:val="en-US"/>
        </w:rPr>
        <w:t> :</w:t>
      </w:r>
      <w:r w:rsidRPr="00381B25">
        <w:rPr>
          <w:lang w:val="en-US"/>
        </w:rPr>
        <w:t xml:space="preserve"> A Policy</w:t>
      </w:r>
      <w:r w:rsidR="00E72105">
        <w:rPr>
          <w:lang w:val="en-US"/>
        </w:rPr>
        <w:noBreakHyphen/>
      </w:r>
      <w:r w:rsidRPr="00381B25">
        <w:rPr>
          <w:lang w:val="en-US"/>
        </w:rPr>
        <w:t>Based Analysis</w:t>
      </w:r>
      <w:r w:rsidR="005A1157" w:rsidRPr="00381B25">
        <w:rPr>
          <w:lang w:val="en-US"/>
        </w:rPr>
        <w:t> »</w:t>
      </w:r>
      <w:r w:rsidRPr="00381B25">
        <w:rPr>
          <w:lang w:val="en-US"/>
        </w:rPr>
        <w:t xml:space="preserve"> (2013), 36 </w:t>
      </w:r>
      <w:r w:rsidRPr="00381B25">
        <w:rPr>
          <w:i/>
          <w:lang w:val="en-US"/>
        </w:rPr>
        <w:t>D</w:t>
      </w:r>
      <w:r w:rsidR="00E72105">
        <w:rPr>
          <w:i/>
          <w:lang w:val="en-US"/>
        </w:rPr>
        <w:t>al. </w:t>
      </w:r>
      <w:r w:rsidRPr="00381B25">
        <w:rPr>
          <w:i/>
          <w:lang w:val="en-US"/>
        </w:rPr>
        <w:t>L.J.</w:t>
      </w:r>
      <w:r w:rsidRPr="00381B25">
        <w:rPr>
          <w:lang w:val="en-US"/>
        </w:rPr>
        <w:t xml:space="preserve"> 103.</w:t>
      </w:r>
    </w:p>
    <w:p w:rsidR="008E2614" w:rsidRPr="00381B25" w:rsidRDefault="008E2614" w:rsidP="00C25DD8">
      <w:pPr>
        <w:pStyle w:val="SCCNormalDoubleSpacing"/>
        <w:spacing w:after="240" w:line="240" w:lineRule="auto"/>
        <w:ind w:left="539" w:hanging="539"/>
        <w:rPr>
          <w:lang w:val="en-US"/>
        </w:rPr>
      </w:pPr>
      <w:r w:rsidRPr="00381B25">
        <w:rPr>
          <w:lang w:val="en-US"/>
        </w:rPr>
        <w:t>Bryant</w:t>
      </w:r>
      <w:r w:rsidR="007D5E3D" w:rsidRPr="00381B25">
        <w:rPr>
          <w:lang w:val="en-US"/>
        </w:rPr>
        <w:t>, Richard </w:t>
      </w:r>
      <w:r w:rsidRPr="00381B25">
        <w:rPr>
          <w:lang w:val="en-US"/>
        </w:rPr>
        <w:t xml:space="preserve">A. </w:t>
      </w:r>
      <w:r w:rsidR="005A1157" w:rsidRPr="00381B25">
        <w:rPr>
          <w:lang w:val="en-US"/>
        </w:rPr>
        <w:t>« </w:t>
      </w:r>
      <w:r w:rsidRPr="00381B25">
        <w:rPr>
          <w:lang w:val="en-US"/>
        </w:rPr>
        <w:t>Grief as a psychiatric disorder</w:t>
      </w:r>
      <w:r w:rsidR="005A1157" w:rsidRPr="00381B25">
        <w:rPr>
          <w:lang w:val="en-US"/>
        </w:rPr>
        <w:t> »</w:t>
      </w:r>
      <w:r w:rsidRPr="00381B25">
        <w:rPr>
          <w:lang w:val="en-US"/>
        </w:rPr>
        <w:t xml:space="preserve"> (2012), 201 </w:t>
      </w:r>
      <w:r w:rsidRPr="00381B25">
        <w:rPr>
          <w:i/>
          <w:lang w:val="en-US"/>
        </w:rPr>
        <w:t>Br</w:t>
      </w:r>
      <w:r w:rsidR="003934A3">
        <w:rPr>
          <w:i/>
          <w:lang w:val="en-US"/>
        </w:rPr>
        <w:t>it</w:t>
      </w:r>
      <w:r w:rsidRPr="00381B25">
        <w:rPr>
          <w:i/>
          <w:lang w:val="en-US"/>
        </w:rPr>
        <w:t>. J. Psychiatry</w:t>
      </w:r>
      <w:r w:rsidRPr="00381B25">
        <w:rPr>
          <w:lang w:val="en-US"/>
        </w:rPr>
        <w:t xml:space="preserve"> 9.</w:t>
      </w:r>
    </w:p>
    <w:p w:rsidR="008E2614" w:rsidRPr="00381B25" w:rsidRDefault="008E2614" w:rsidP="00C25DD8">
      <w:pPr>
        <w:pStyle w:val="SCCNormalDoubleSpacing"/>
        <w:spacing w:after="240" w:line="240" w:lineRule="auto"/>
        <w:ind w:left="539" w:hanging="539"/>
        <w:rPr>
          <w:lang w:val="en-US"/>
        </w:rPr>
      </w:pPr>
      <w:r w:rsidRPr="00381B25">
        <w:rPr>
          <w:lang w:val="es-MX"/>
        </w:rPr>
        <w:t xml:space="preserve">Cochran, </w:t>
      </w:r>
      <w:r w:rsidR="007D5E3D" w:rsidRPr="00381B25">
        <w:rPr>
          <w:lang w:val="es-MX"/>
        </w:rPr>
        <w:t>Susan </w:t>
      </w:r>
      <w:r w:rsidRPr="00381B25">
        <w:rPr>
          <w:lang w:val="es-MX"/>
        </w:rPr>
        <w:t xml:space="preserve">D., et </w:t>
      </w:r>
      <w:r w:rsidR="00E72105">
        <w:rPr>
          <w:lang w:val="es-MX"/>
        </w:rPr>
        <w:t>al. </w:t>
      </w:r>
      <w:r w:rsidR="005A1157" w:rsidRPr="00381B25">
        <w:t>« </w:t>
      </w:r>
      <w:r w:rsidRPr="00381B25">
        <w:t xml:space="preserve">Proposed declassification of disease categories related to sexual orientation in the </w:t>
      </w:r>
      <w:r w:rsidRPr="00381B25">
        <w:rPr>
          <w:i/>
        </w:rPr>
        <w:t>International Statistical Classification of Diseases and Related Health Problems</w:t>
      </w:r>
      <w:r w:rsidRPr="00381B25">
        <w:t xml:space="preserve"> (ICD</w:t>
      </w:r>
      <w:r w:rsidR="00E72105">
        <w:noBreakHyphen/>
      </w:r>
      <w:r w:rsidRPr="00381B25">
        <w:t>11)</w:t>
      </w:r>
      <w:r w:rsidR="005A1157" w:rsidRPr="00381B25">
        <w:t> »</w:t>
      </w:r>
      <w:r w:rsidRPr="00381B25">
        <w:t xml:space="preserve"> (2014), 92 </w:t>
      </w:r>
      <w:r w:rsidRPr="00381B25">
        <w:rPr>
          <w:i/>
        </w:rPr>
        <w:t xml:space="preserve">Bull. </w:t>
      </w:r>
      <w:r w:rsidRPr="00381B25">
        <w:rPr>
          <w:i/>
          <w:lang w:val="en-US"/>
        </w:rPr>
        <w:t xml:space="preserve">World Health Organ. </w:t>
      </w:r>
      <w:r w:rsidRPr="00381B25">
        <w:rPr>
          <w:lang w:val="en-US"/>
        </w:rPr>
        <w:t xml:space="preserve">672. </w:t>
      </w:r>
    </w:p>
    <w:p w:rsidR="008E2614" w:rsidRPr="00381B25" w:rsidRDefault="008E2614" w:rsidP="00C25DD8">
      <w:pPr>
        <w:pStyle w:val="SCCNormalDoubleSpacing"/>
        <w:spacing w:after="240" w:line="240" w:lineRule="auto"/>
        <w:ind w:left="539" w:hanging="539"/>
        <w:rPr>
          <w:lang w:val="en-US"/>
        </w:rPr>
      </w:pPr>
      <w:r w:rsidRPr="00381B25">
        <w:rPr>
          <w:lang w:val="en-US"/>
        </w:rPr>
        <w:t xml:space="preserve">Drescher, Jack. </w:t>
      </w:r>
      <w:r w:rsidR="007D5E3D" w:rsidRPr="00381B25">
        <w:t>« </w:t>
      </w:r>
      <w:r w:rsidRPr="00381B25">
        <w:t>Out of DSM</w:t>
      </w:r>
      <w:r w:rsidR="00E72105">
        <w:t> :</w:t>
      </w:r>
      <w:r w:rsidRPr="00381B25">
        <w:t xml:space="preserve"> Depathologizing Homosexuality</w:t>
      </w:r>
      <w:r w:rsidR="007D5E3D" w:rsidRPr="00381B25">
        <w:t> »</w:t>
      </w:r>
      <w:r w:rsidRPr="00381B25">
        <w:t xml:space="preserve"> (2015), 5 </w:t>
      </w:r>
      <w:r w:rsidRPr="00381B25">
        <w:rPr>
          <w:i/>
        </w:rPr>
        <w:t xml:space="preserve">Behav. </w:t>
      </w:r>
      <w:r w:rsidRPr="00381B25">
        <w:rPr>
          <w:i/>
          <w:lang w:val="en-US"/>
        </w:rPr>
        <w:t>Sci.</w:t>
      </w:r>
      <w:r w:rsidRPr="00381B25">
        <w:rPr>
          <w:lang w:val="en-US"/>
        </w:rPr>
        <w:t xml:space="preserve"> 565. </w:t>
      </w:r>
    </w:p>
    <w:p w:rsidR="008E2614" w:rsidRPr="00381B25" w:rsidRDefault="008E2614" w:rsidP="00C25DD8">
      <w:pPr>
        <w:pStyle w:val="SCCNormalDoubleSpacing"/>
        <w:spacing w:after="240" w:line="240" w:lineRule="auto"/>
        <w:ind w:left="539" w:hanging="539"/>
        <w:rPr>
          <w:lang w:val="en-US"/>
        </w:rPr>
      </w:pPr>
      <w:r w:rsidRPr="00381B25">
        <w:rPr>
          <w:lang w:val="en-US"/>
        </w:rPr>
        <w:t>Fridman, G.</w:t>
      </w:r>
      <w:r w:rsidR="007D5E3D" w:rsidRPr="00381B25">
        <w:rPr>
          <w:lang w:val="en-US"/>
        </w:rPr>
        <w:t> </w:t>
      </w:r>
      <w:r w:rsidRPr="00381B25">
        <w:rPr>
          <w:lang w:val="en-US"/>
        </w:rPr>
        <w:t>H.</w:t>
      </w:r>
      <w:r w:rsidR="007D5E3D" w:rsidRPr="00381B25">
        <w:rPr>
          <w:lang w:val="en-US"/>
        </w:rPr>
        <w:t> </w:t>
      </w:r>
      <w:r w:rsidRPr="00381B25">
        <w:rPr>
          <w:lang w:val="en-US"/>
        </w:rPr>
        <w:t xml:space="preserve">L. </w:t>
      </w:r>
      <w:r w:rsidRPr="00381B25">
        <w:rPr>
          <w:i/>
          <w:lang w:val="en-US"/>
        </w:rPr>
        <w:t>The Law of Torts in Canada</w:t>
      </w:r>
      <w:r w:rsidRPr="00381B25">
        <w:rPr>
          <w:lang w:val="en-US"/>
        </w:rPr>
        <w:t>, 3</w:t>
      </w:r>
      <w:r w:rsidR="007D5E3D" w:rsidRPr="00381B25">
        <w:rPr>
          <w:lang w:val="en-US"/>
        </w:rPr>
        <w:t>rd ed. by G. H. </w:t>
      </w:r>
      <w:r w:rsidRPr="00381B25">
        <w:rPr>
          <w:lang w:val="en-US"/>
        </w:rPr>
        <w:t>L. Fridman et al.</w:t>
      </w:r>
      <w:r w:rsidR="007D5E3D" w:rsidRPr="00381B25">
        <w:rPr>
          <w:lang w:val="en-US"/>
        </w:rPr>
        <w:t>, Toronto,</w:t>
      </w:r>
      <w:r w:rsidRPr="00381B25">
        <w:rPr>
          <w:lang w:val="en-US"/>
        </w:rPr>
        <w:t xml:space="preserve"> Carswell, 2010. </w:t>
      </w:r>
    </w:p>
    <w:p w:rsidR="00B068D6" w:rsidRPr="00381B25" w:rsidRDefault="00B068D6" w:rsidP="00B068D6">
      <w:pPr>
        <w:pStyle w:val="SCCNormalDoubleSpacing"/>
        <w:spacing w:after="240" w:line="240" w:lineRule="auto"/>
        <w:ind w:left="539" w:hanging="539"/>
      </w:pPr>
      <w:r w:rsidRPr="00381B25">
        <w:lastRenderedPageBreak/>
        <w:t>Gray, Jo</w:t>
      </w:r>
      <w:r w:rsidR="00E72105">
        <w:t>hn E., Margaret Shone and Peter </w:t>
      </w:r>
      <w:r w:rsidRPr="00381B25">
        <w:t xml:space="preserve">F. Liddle. </w:t>
      </w:r>
      <w:r w:rsidRPr="00381B25">
        <w:rPr>
          <w:i/>
        </w:rPr>
        <w:t>Canadian Mental Health Law and Policy</w:t>
      </w:r>
      <w:r w:rsidRPr="00381B25">
        <w:t>, 2nd ed., Markham (Ont.), LexisNexis, 2008.</w:t>
      </w:r>
    </w:p>
    <w:p w:rsidR="008E2614" w:rsidRPr="00381B25" w:rsidRDefault="008E2614" w:rsidP="00C25DD8">
      <w:pPr>
        <w:pStyle w:val="SCCNormalDoubleSpacing"/>
        <w:spacing w:after="240" w:line="240" w:lineRule="auto"/>
        <w:ind w:left="539" w:hanging="539"/>
        <w:rPr>
          <w:lang w:val="en-US"/>
        </w:rPr>
      </w:pPr>
      <w:r w:rsidRPr="00381B25">
        <w:rPr>
          <w:lang w:val="en-US"/>
        </w:rPr>
        <w:t xml:space="preserve">Jones, </w:t>
      </w:r>
      <w:r w:rsidR="00663B67" w:rsidRPr="00381B25">
        <w:rPr>
          <w:lang w:val="en-US"/>
        </w:rPr>
        <w:t>Michael </w:t>
      </w:r>
      <w:r w:rsidRPr="00381B25">
        <w:rPr>
          <w:lang w:val="en-US"/>
        </w:rPr>
        <w:t xml:space="preserve">A. </w:t>
      </w:r>
      <w:r w:rsidR="00663B67" w:rsidRPr="00381B25">
        <w:rPr>
          <w:lang w:val="en-US"/>
        </w:rPr>
        <w:t>« </w:t>
      </w:r>
      <w:r w:rsidRPr="00381B25">
        <w:rPr>
          <w:lang w:val="en-US"/>
        </w:rPr>
        <w:t>Liability for Psychiatric Damage</w:t>
      </w:r>
      <w:r w:rsidR="00E72105">
        <w:rPr>
          <w:lang w:val="en-US"/>
        </w:rPr>
        <w:t> :</w:t>
      </w:r>
      <w:r w:rsidRPr="00381B25">
        <w:rPr>
          <w:lang w:val="en-US"/>
        </w:rPr>
        <w:t xml:space="preserve"> Searching for a Path between Pragmatism and Principle</w:t>
      </w:r>
      <w:r w:rsidR="00663B67" w:rsidRPr="00381B25">
        <w:rPr>
          <w:lang w:val="en-US"/>
        </w:rPr>
        <w:t xml:space="preserve"> », in Jason W. </w:t>
      </w:r>
      <w:r w:rsidRPr="00381B25">
        <w:rPr>
          <w:lang w:val="en-US"/>
        </w:rPr>
        <w:t xml:space="preserve">Neyers, Erika Chamberlain and Stephen G. A. Pitel, eds., </w:t>
      </w:r>
      <w:r w:rsidRPr="00381B25">
        <w:rPr>
          <w:i/>
          <w:lang w:val="en-US"/>
        </w:rPr>
        <w:t>Emerging Issues in Tort Law</w:t>
      </w:r>
      <w:r w:rsidR="00663B67" w:rsidRPr="00381B25">
        <w:rPr>
          <w:lang w:val="en-US"/>
        </w:rPr>
        <w:t>, Oxford,</w:t>
      </w:r>
      <w:r w:rsidRPr="00381B25">
        <w:rPr>
          <w:lang w:val="en-US"/>
        </w:rPr>
        <w:t xml:space="preserve"> Hart, 2007, 113. </w:t>
      </w:r>
    </w:p>
    <w:p w:rsidR="008E2614" w:rsidRPr="00381B25" w:rsidRDefault="008E2614" w:rsidP="00C25DD8">
      <w:pPr>
        <w:pStyle w:val="SCCNormalDoubleSpacing"/>
        <w:spacing w:after="240" w:line="240" w:lineRule="auto"/>
        <w:ind w:left="539" w:hanging="539"/>
        <w:rPr>
          <w:lang w:val="en-US"/>
        </w:rPr>
      </w:pPr>
      <w:r w:rsidRPr="00381B25">
        <w:rPr>
          <w:lang w:val="en-US"/>
        </w:rPr>
        <w:t xml:space="preserve">Klar, </w:t>
      </w:r>
      <w:r w:rsidR="00663B67" w:rsidRPr="00381B25">
        <w:rPr>
          <w:lang w:val="en-US"/>
        </w:rPr>
        <w:t>Lewis </w:t>
      </w:r>
      <w:r w:rsidRPr="00381B25">
        <w:rPr>
          <w:lang w:val="en-US"/>
        </w:rPr>
        <w:t xml:space="preserve">N. </w:t>
      </w:r>
      <w:r w:rsidRPr="00381B25">
        <w:rPr>
          <w:i/>
          <w:lang w:val="en-US"/>
        </w:rPr>
        <w:t>Tort Law</w:t>
      </w:r>
      <w:r w:rsidRPr="00381B25">
        <w:rPr>
          <w:lang w:val="en-US"/>
        </w:rPr>
        <w:t>, 5th ed.</w:t>
      </w:r>
      <w:r w:rsidR="00663B67" w:rsidRPr="00381B25">
        <w:rPr>
          <w:lang w:val="en-US"/>
        </w:rPr>
        <w:t>, Toronto,</w:t>
      </w:r>
      <w:r w:rsidRPr="00381B25">
        <w:rPr>
          <w:lang w:val="en-US"/>
        </w:rPr>
        <w:t xml:space="preserve"> Carswell, 2012.</w:t>
      </w:r>
    </w:p>
    <w:p w:rsidR="008E2614" w:rsidRPr="00381B25" w:rsidRDefault="008E2614" w:rsidP="00C25DD8">
      <w:pPr>
        <w:pStyle w:val="SCCNormalDoubleSpacing"/>
        <w:spacing w:after="240" w:line="240" w:lineRule="auto"/>
        <w:ind w:left="539" w:hanging="539"/>
        <w:rPr>
          <w:lang w:val="en-US"/>
        </w:rPr>
      </w:pPr>
      <w:r w:rsidRPr="00381B25">
        <w:t xml:space="preserve">Linden, </w:t>
      </w:r>
      <w:r w:rsidR="00663B67" w:rsidRPr="00381B25">
        <w:t>Allen </w:t>
      </w:r>
      <w:r w:rsidRPr="00381B25">
        <w:t xml:space="preserve">M., and Bruce Feldthusen. </w:t>
      </w:r>
      <w:r w:rsidRPr="00381B25">
        <w:rPr>
          <w:i/>
          <w:lang w:val="en-US"/>
        </w:rPr>
        <w:t>Canadian Tort Law</w:t>
      </w:r>
      <w:r w:rsidRPr="00381B25">
        <w:rPr>
          <w:lang w:val="en-US"/>
        </w:rPr>
        <w:t>, 10th ed.</w:t>
      </w:r>
      <w:r w:rsidR="00663B67" w:rsidRPr="00381B25">
        <w:rPr>
          <w:lang w:val="en-US"/>
        </w:rPr>
        <w:t>, Toronto,</w:t>
      </w:r>
      <w:r w:rsidRPr="00381B25">
        <w:rPr>
          <w:lang w:val="en-US"/>
        </w:rPr>
        <w:t xml:space="preserve"> LexisNexis, 2015.</w:t>
      </w:r>
    </w:p>
    <w:p w:rsidR="008E2614" w:rsidRPr="00381B25" w:rsidRDefault="008E2614" w:rsidP="00C25DD8">
      <w:pPr>
        <w:pStyle w:val="SCCNormalDoubleSpacing"/>
        <w:spacing w:after="240" w:line="240" w:lineRule="auto"/>
        <w:ind w:left="539" w:hanging="539"/>
        <w:rPr>
          <w:lang w:val="en-US"/>
        </w:rPr>
      </w:pPr>
      <w:r w:rsidRPr="00381B25">
        <w:rPr>
          <w:i/>
          <w:lang w:val="en-US"/>
        </w:rPr>
        <w:t>Markesinis and Deakin</w:t>
      </w:r>
      <w:r w:rsidR="00E72105">
        <w:rPr>
          <w:i/>
          <w:lang w:val="en-US"/>
        </w:rPr>
        <w:t>’</w:t>
      </w:r>
      <w:r w:rsidRPr="00381B25">
        <w:rPr>
          <w:i/>
          <w:lang w:val="en-US"/>
        </w:rPr>
        <w:t>s Tort Law</w:t>
      </w:r>
      <w:r w:rsidRPr="00381B25">
        <w:rPr>
          <w:lang w:val="en-US"/>
        </w:rPr>
        <w:t>, 7th ed. by Simon Deakin, Angu</w:t>
      </w:r>
      <w:r w:rsidR="00663B67" w:rsidRPr="00381B25">
        <w:rPr>
          <w:lang w:val="en-US"/>
        </w:rPr>
        <w:t>s Johnston and Basil Markesinis,</w:t>
      </w:r>
      <w:r w:rsidRPr="00381B25">
        <w:rPr>
          <w:lang w:val="en-US"/>
        </w:rPr>
        <w:t xml:space="preserve"> Oxford</w:t>
      </w:r>
      <w:r w:rsidR="00663B67" w:rsidRPr="00381B25">
        <w:rPr>
          <w:lang w:val="en-US"/>
        </w:rPr>
        <w:t>,</w:t>
      </w:r>
      <w:r w:rsidRPr="00381B25">
        <w:rPr>
          <w:lang w:val="en-US"/>
        </w:rPr>
        <w:t xml:space="preserve"> Clarendon Press, 2013.</w:t>
      </w:r>
    </w:p>
    <w:p w:rsidR="008E2614" w:rsidRPr="00381B25" w:rsidRDefault="008E2614" w:rsidP="00C25DD8">
      <w:pPr>
        <w:pStyle w:val="SCCNormalDoubleSpacing"/>
        <w:spacing w:after="240" w:line="240" w:lineRule="auto"/>
        <w:ind w:left="539" w:hanging="539"/>
        <w:rPr>
          <w:lang w:val="en-US"/>
        </w:rPr>
      </w:pPr>
      <w:r w:rsidRPr="00381B25">
        <w:rPr>
          <w:lang w:val="en-US"/>
        </w:rPr>
        <w:t>Mulheron, Rachael.</w:t>
      </w:r>
      <w:r w:rsidR="00663B67" w:rsidRPr="00381B25">
        <w:rPr>
          <w:lang w:val="en-US"/>
        </w:rPr>
        <w:t xml:space="preserve"> « </w:t>
      </w:r>
      <w:r w:rsidRPr="00381B25">
        <w:rPr>
          <w:lang w:val="en-US"/>
        </w:rPr>
        <w:t xml:space="preserve">Rewriting the Requirement for a </w:t>
      </w:r>
      <w:r w:rsidR="00663B67" w:rsidRPr="00381B25">
        <w:rPr>
          <w:lang w:val="en-US"/>
        </w:rPr>
        <w:t>“</w:t>
      </w:r>
      <w:r w:rsidRPr="00381B25">
        <w:rPr>
          <w:lang w:val="en-US"/>
        </w:rPr>
        <w:t>Recognized Psychiatr</w:t>
      </w:r>
      <w:r w:rsidR="00663B67" w:rsidRPr="00381B25">
        <w:rPr>
          <w:lang w:val="en-US"/>
        </w:rPr>
        <w:t>ic Injury” in Negligence Claims »</w:t>
      </w:r>
      <w:r w:rsidRPr="00381B25">
        <w:rPr>
          <w:lang w:val="en-US"/>
        </w:rPr>
        <w:t xml:space="preserve"> (2012), 32 </w:t>
      </w:r>
      <w:r w:rsidRPr="00381B25">
        <w:rPr>
          <w:i/>
          <w:lang w:val="en-US"/>
        </w:rPr>
        <w:t>Oxford J. Leg. Stud.</w:t>
      </w:r>
      <w:r w:rsidRPr="00381B25">
        <w:rPr>
          <w:lang w:val="en-US"/>
        </w:rPr>
        <w:t xml:space="preserve"> 77.</w:t>
      </w:r>
    </w:p>
    <w:p w:rsidR="00862A66" w:rsidRPr="00381B25" w:rsidRDefault="008E2614" w:rsidP="00C25DD8">
      <w:pPr>
        <w:pStyle w:val="SCCNormalDoubleSpacing"/>
        <w:spacing w:after="240" w:line="240" w:lineRule="auto"/>
        <w:ind w:left="539" w:hanging="539"/>
      </w:pPr>
      <w:r w:rsidRPr="00381B25">
        <w:rPr>
          <w:lang w:val="en-US"/>
        </w:rPr>
        <w:t>Mullany</w:t>
      </w:r>
      <w:r w:rsidR="00663B67" w:rsidRPr="00381B25">
        <w:rPr>
          <w:lang w:val="en-US"/>
        </w:rPr>
        <w:t>, Nicholas </w:t>
      </w:r>
      <w:r w:rsidRPr="00381B25">
        <w:rPr>
          <w:lang w:val="en-US"/>
        </w:rPr>
        <w:t xml:space="preserve">J., and </w:t>
      </w:r>
      <w:r w:rsidR="00663B67" w:rsidRPr="00381B25">
        <w:rPr>
          <w:lang w:val="en-US"/>
        </w:rPr>
        <w:t>Peter </w:t>
      </w:r>
      <w:r w:rsidRPr="00381B25">
        <w:rPr>
          <w:lang w:val="en-US"/>
        </w:rPr>
        <w:t xml:space="preserve">R. Handford. </w:t>
      </w:r>
      <w:r w:rsidRPr="00381B25">
        <w:rPr>
          <w:i/>
        </w:rPr>
        <w:t>Tort Liability for Psychiatric Damage</w:t>
      </w:r>
      <w:r w:rsidR="00663B67" w:rsidRPr="00381B25">
        <w:t>, Sydney (N.S.W.),</w:t>
      </w:r>
      <w:r w:rsidRPr="00381B25">
        <w:t xml:space="preserve"> Law Book Co., 1993. </w:t>
      </w:r>
    </w:p>
    <w:p w:rsidR="00862A66" w:rsidRPr="00381B25" w:rsidRDefault="00862A66" w:rsidP="00C25DD8">
      <w:pPr>
        <w:pStyle w:val="SCCNormalDoubleSpacing"/>
        <w:spacing w:after="240" w:line="240" w:lineRule="auto"/>
        <w:ind w:left="539" w:hanging="539"/>
        <w:rPr>
          <w:lang w:val="fr-CA"/>
        </w:rPr>
      </w:pPr>
      <w:r w:rsidRPr="00381B25">
        <w:rPr>
          <w:lang w:val="fr-CA"/>
        </w:rPr>
        <w:t xml:space="preserve">Organisation mondiale de la Santé. </w:t>
      </w:r>
      <w:r w:rsidRPr="00381B25">
        <w:rPr>
          <w:i/>
          <w:lang w:val="fr-CA"/>
        </w:rPr>
        <w:t>Classification statistique internationale des maladies et des problèmes de santé connexes</w:t>
      </w:r>
      <w:r w:rsidRPr="00381B25">
        <w:rPr>
          <w:lang w:val="fr-CA"/>
        </w:rPr>
        <w:t>, 10</w:t>
      </w:r>
      <w:r w:rsidRPr="00381B25">
        <w:rPr>
          <w:vertAlign w:val="superscript"/>
          <w:lang w:val="fr-CA"/>
        </w:rPr>
        <w:t>e</w:t>
      </w:r>
      <w:r w:rsidRPr="00381B25">
        <w:rPr>
          <w:lang w:val="fr-CA"/>
        </w:rPr>
        <w:t xml:space="preserve"> rév., Genève, O.M.S., 1993. </w:t>
      </w:r>
    </w:p>
    <w:p w:rsidR="008E2614" w:rsidRPr="00381B25" w:rsidRDefault="008E2614" w:rsidP="00C25DD8">
      <w:pPr>
        <w:pStyle w:val="SCCNormalDoubleSpacing"/>
        <w:spacing w:after="240" w:line="240" w:lineRule="auto"/>
        <w:ind w:left="539" w:hanging="539"/>
      </w:pPr>
      <w:r w:rsidRPr="00381B25">
        <w:rPr>
          <w:lang w:val="en-US"/>
        </w:rPr>
        <w:t xml:space="preserve">Ripstein, Arthur. </w:t>
      </w:r>
      <w:r w:rsidRPr="00381B25">
        <w:rPr>
          <w:i/>
        </w:rPr>
        <w:t>Private Wrongs</w:t>
      </w:r>
      <w:r w:rsidR="00663B67" w:rsidRPr="00381B25">
        <w:t>, Cambridge (Mass.),</w:t>
      </w:r>
      <w:r w:rsidRPr="00381B25">
        <w:t xml:space="preserve"> Harvard University Press, 2016.</w:t>
      </w:r>
    </w:p>
    <w:p w:rsidR="008E2614" w:rsidRPr="00381B25" w:rsidRDefault="008E2614" w:rsidP="00C25DD8">
      <w:pPr>
        <w:pStyle w:val="SCCNormalDoubleSpacing"/>
        <w:spacing w:after="240" w:line="240" w:lineRule="auto"/>
        <w:ind w:left="539" w:hanging="539"/>
      </w:pPr>
      <w:r w:rsidRPr="00381B25">
        <w:t>Stapleton, Jane.</w:t>
      </w:r>
      <w:r w:rsidR="00663B67" w:rsidRPr="00381B25">
        <w:t xml:space="preserve"> « </w:t>
      </w:r>
      <w:r w:rsidRPr="00381B25">
        <w:t>In Restraint of Tort</w:t>
      </w:r>
      <w:r w:rsidR="00663B67" w:rsidRPr="00381B25">
        <w:t> »</w:t>
      </w:r>
      <w:r w:rsidRPr="00381B25">
        <w:t xml:space="preserve">, in Peter Birks, ed., </w:t>
      </w:r>
      <w:r w:rsidRPr="00381B25">
        <w:rPr>
          <w:i/>
        </w:rPr>
        <w:t>The Frontiers of Liability</w:t>
      </w:r>
      <w:r w:rsidRPr="00381B25">
        <w:t xml:space="preserve">, </w:t>
      </w:r>
      <w:r w:rsidR="00E72105">
        <w:t>vol. </w:t>
      </w:r>
      <w:r w:rsidR="00663B67" w:rsidRPr="00381B25">
        <w:t>2, New York,</w:t>
      </w:r>
      <w:r w:rsidRPr="00381B25">
        <w:t xml:space="preserve"> Oxford University Press, 1994, 83. </w:t>
      </w:r>
    </w:p>
    <w:p w:rsidR="008E2614" w:rsidRPr="00381B25" w:rsidRDefault="008E2614" w:rsidP="00C25DD8">
      <w:pPr>
        <w:pStyle w:val="SCCNormalDoubleSpacing"/>
        <w:spacing w:after="240" w:line="240" w:lineRule="auto"/>
        <w:ind w:left="539" w:hanging="539"/>
      </w:pPr>
      <w:r w:rsidRPr="00381B25">
        <w:t xml:space="preserve">Stevens, Robert. </w:t>
      </w:r>
      <w:r w:rsidRPr="00381B25">
        <w:rPr>
          <w:i/>
        </w:rPr>
        <w:t>Torts and Rights</w:t>
      </w:r>
      <w:r w:rsidR="00663B67" w:rsidRPr="00381B25">
        <w:t>,</w:t>
      </w:r>
      <w:r w:rsidRPr="00381B25">
        <w:t xml:space="preserve"> Oxford</w:t>
      </w:r>
      <w:r w:rsidR="00663B67" w:rsidRPr="00381B25">
        <w:t>,</w:t>
      </w:r>
      <w:r w:rsidRPr="00381B25">
        <w:t xml:space="preserve"> Oxford University Press, 2007.</w:t>
      </w:r>
    </w:p>
    <w:p w:rsidR="008E2614" w:rsidRPr="00381B25" w:rsidRDefault="008E2614" w:rsidP="00C25DD8">
      <w:pPr>
        <w:pStyle w:val="SCCNormalDoubleSpacing"/>
        <w:spacing w:after="240" w:line="240" w:lineRule="auto"/>
        <w:ind w:left="539" w:hanging="539"/>
        <w:rPr>
          <w:lang w:val="en-US"/>
        </w:rPr>
      </w:pPr>
      <w:r w:rsidRPr="00381B25">
        <w:t>Teff</w:t>
      </w:r>
      <w:r w:rsidRPr="00381B25">
        <w:rPr>
          <w:lang w:val="en-US"/>
        </w:rPr>
        <w:t>, Harvey</w:t>
      </w:r>
      <w:r w:rsidR="00BF12C1" w:rsidRPr="00381B25">
        <w:rPr>
          <w:lang w:val="en-US"/>
        </w:rPr>
        <w:t>.</w:t>
      </w:r>
      <w:r w:rsidRPr="00381B25">
        <w:rPr>
          <w:lang w:val="en-US"/>
        </w:rPr>
        <w:t xml:space="preserve"> </w:t>
      </w:r>
      <w:r w:rsidRPr="00381B25">
        <w:rPr>
          <w:i/>
          <w:lang w:val="en-US"/>
        </w:rPr>
        <w:t>Causing Psychiatric and Emotional Harm</w:t>
      </w:r>
      <w:r w:rsidR="00E72105">
        <w:rPr>
          <w:i/>
          <w:lang w:val="en-US"/>
        </w:rPr>
        <w:t> :</w:t>
      </w:r>
      <w:r w:rsidRPr="00381B25">
        <w:rPr>
          <w:i/>
          <w:lang w:val="en-US"/>
        </w:rPr>
        <w:t xml:space="preserve"> Reshaping the Boundaries of Legal Liability</w:t>
      </w:r>
      <w:r w:rsidR="00BF12C1" w:rsidRPr="00381B25">
        <w:rPr>
          <w:lang w:val="en-US"/>
        </w:rPr>
        <w:t xml:space="preserve">, Oxford, </w:t>
      </w:r>
      <w:r w:rsidRPr="00381B25">
        <w:rPr>
          <w:lang w:val="en-US"/>
        </w:rPr>
        <w:t>Hart</w:t>
      </w:r>
      <w:r w:rsidR="00BF12C1" w:rsidRPr="00381B25">
        <w:rPr>
          <w:lang w:val="en-US"/>
        </w:rPr>
        <w:t>, 2009.</w:t>
      </w:r>
    </w:p>
    <w:p w:rsidR="008E2614" w:rsidRPr="00381B25" w:rsidRDefault="008E2614" w:rsidP="00AF6F49">
      <w:pPr>
        <w:pStyle w:val="SCCNormalDoubleSpacing"/>
        <w:spacing w:after="720" w:line="240" w:lineRule="auto"/>
        <w:ind w:left="540" w:hanging="540"/>
        <w:rPr>
          <w:lang w:val="en-US"/>
        </w:rPr>
      </w:pPr>
      <w:r w:rsidRPr="00381B25">
        <w:rPr>
          <w:lang w:val="en-US"/>
        </w:rPr>
        <w:t xml:space="preserve">Todd, Stephen, et </w:t>
      </w:r>
      <w:r w:rsidR="00E72105">
        <w:rPr>
          <w:lang w:val="en-US"/>
        </w:rPr>
        <w:t>al. </w:t>
      </w:r>
      <w:r w:rsidRPr="00381B25">
        <w:rPr>
          <w:i/>
          <w:lang w:val="en-US"/>
        </w:rPr>
        <w:t>The Law of Torts in New Zealand</w:t>
      </w:r>
      <w:r w:rsidRPr="00381B25">
        <w:rPr>
          <w:lang w:val="en-US"/>
        </w:rPr>
        <w:t>, 5th ed.</w:t>
      </w:r>
      <w:r w:rsidR="00663B67" w:rsidRPr="00381B25">
        <w:rPr>
          <w:lang w:val="en-US"/>
        </w:rPr>
        <w:t>,</w:t>
      </w:r>
      <w:r w:rsidRPr="00381B25">
        <w:rPr>
          <w:lang w:val="en-US"/>
        </w:rPr>
        <w:t xml:space="preserve"> </w:t>
      </w:r>
      <w:r w:rsidR="00663B67" w:rsidRPr="00381B25">
        <w:rPr>
          <w:lang w:val="en-US"/>
        </w:rPr>
        <w:t>Wellington</w:t>
      </w:r>
      <w:r w:rsidRPr="00381B25">
        <w:rPr>
          <w:lang w:val="en-US"/>
        </w:rPr>
        <w:t xml:space="preserve"> </w:t>
      </w:r>
      <w:r w:rsidR="00663B67" w:rsidRPr="00381B25">
        <w:rPr>
          <w:lang w:val="en-US"/>
        </w:rPr>
        <w:t>(N.</w:t>
      </w:r>
      <w:r w:rsidRPr="00381B25">
        <w:rPr>
          <w:lang w:val="en-US"/>
        </w:rPr>
        <w:t>Z.</w:t>
      </w:r>
      <w:r w:rsidR="00663B67" w:rsidRPr="00381B25">
        <w:rPr>
          <w:lang w:val="en-US"/>
        </w:rPr>
        <w:t>),</w:t>
      </w:r>
      <w:r w:rsidRPr="00381B25">
        <w:rPr>
          <w:lang w:val="en-US"/>
        </w:rPr>
        <w:t xml:space="preserve"> Brookers, 2009. </w:t>
      </w:r>
    </w:p>
    <w:p w:rsidR="004D7D95" w:rsidRPr="00381B25" w:rsidRDefault="00F644EC" w:rsidP="00C25DD8">
      <w:pPr>
        <w:pStyle w:val="SCCNormalDoubleSpacing"/>
        <w:spacing w:after="480"/>
        <w:rPr>
          <w:lang w:val="fr-CA"/>
        </w:rPr>
      </w:pPr>
      <w:r w:rsidRPr="00381B25">
        <w:rPr>
          <w:lang w:val="en-US"/>
        </w:rPr>
        <w:tab/>
      </w:r>
      <w:r w:rsidR="004D7D95" w:rsidRPr="00381B25">
        <w:rPr>
          <w:lang w:val="en-US"/>
        </w:rPr>
        <w:t>POURVOI contre un arrêt de la Cour d</w:t>
      </w:r>
      <w:r w:rsidR="00E72105">
        <w:rPr>
          <w:lang w:val="en-US"/>
        </w:rPr>
        <w:t>’</w:t>
      </w:r>
      <w:r w:rsidR="004D7D95" w:rsidRPr="00381B25">
        <w:rPr>
          <w:lang w:val="en-US"/>
        </w:rPr>
        <w:t>appel de la Colombie</w:t>
      </w:r>
      <w:r w:rsidR="00E72105">
        <w:rPr>
          <w:lang w:val="en-US"/>
        </w:rPr>
        <w:noBreakHyphen/>
      </w:r>
      <w:r w:rsidR="004D7D95" w:rsidRPr="00381B25">
        <w:rPr>
          <w:lang w:val="en-US"/>
        </w:rPr>
        <w:t>Britannique</w:t>
      </w:r>
      <w:r w:rsidR="008442ED" w:rsidRPr="00381B25">
        <w:rPr>
          <w:lang w:val="en-US"/>
        </w:rPr>
        <w:t xml:space="preserve"> (les juges Saunders, Chiasson et Frankel), 2015 BCCA 393, 81 B.C.L.R. (5th) 1, 377 B.C.A.C. 106, 648 W.A.C. 106, 23 C.C.L.T. (4th) 177, 390 D.L.R. (4th) 63, [2016] 4 W.W.R. 259, [2015] B.C.J. </w:t>
      </w:r>
      <w:r w:rsidR="00E72105">
        <w:rPr>
          <w:lang w:val="en-US"/>
        </w:rPr>
        <w:t>No. </w:t>
      </w:r>
      <w:r w:rsidR="008442ED" w:rsidRPr="00381B25">
        <w:rPr>
          <w:lang w:val="en-US"/>
        </w:rPr>
        <w:t xml:space="preserve">2027 (QL), 2015 CarswellBC 2694 (WL Can.), qui a </w:t>
      </w:r>
      <w:r w:rsidR="008442ED" w:rsidRPr="00381B25">
        <w:rPr>
          <w:lang w:val="en-US"/>
        </w:rPr>
        <w:lastRenderedPageBreak/>
        <w:t xml:space="preserve">infirmé une décision du juge Funt, 2014 BCSC 1365, [2014] B.C.J. </w:t>
      </w:r>
      <w:r w:rsidR="00E72105">
        <w:rPr>
          <w:lang w:val="en-US"/>
        </w:rPr>
        <w:t>No. </w:t>
      </w:r>
      <w:r w:rsidR="008442ED" w:rsidRPr="00381B25">
        <w:rPr>
          <w:lang w:val="en-US"/>
        </w:rPr>
        <w:t>1898 (QL), 2014 CarswellBC 2133 (WL Can.)</w:t>
      </w:r>
      <w:r w:rsidRPr="00381B25">
        <w:rPr>
          <w:lang w:val="en-US"/>
        </w:rPr>
        <w:t xml:space="preserve">. </w:t>
      </w:r>
      <w:r w:rsidRPr="00381B25">
        <w:rPr>
          <w:lang w:val="fr-CA"/>
        </w:rPr>
        <w:t xml:space="preserve">Pourvoi </w:t>
      </w:r>
      <w:r w:rsidR="0065171B" w:rsidRPr="00381B25">
        <w:rPr>
          <w:lang w:val="fr-CA"/>
        </w:rPr>
        <w:t>accueilli.</w:t>
      </w:r>
    </w:p>
    <w:p w:rsidR="00B8297F" w:rsidRPr="00381B25" w:rsidRDefault="00266929" w:rsidP="00C25DD8">
      <w:pPr>
        <w:pStyle w:val="SCCNormalDoubleSpacing"/>
        <w:spacing w:after="480"/>
        <w:rPr>
          <w:lang w:val="fr-CA"/>
        </w:rPr>
      </w:pPr>
      <w:r w:rsidRPr="00381B25">
        <w:rPr>
          <w:rStyle w:val="SCCCounselNameChar"/>
          <w:i w:val="0"/>
          <w:lang w:val="fr-CA"/>
        </w:rPr>
        <w:tab/>
      </w:r>
      <w:r w:rsidRPr="00381B25">
        <w:rPr>
          <w:rStyle w:val="SCCCounselNameChar"/>
          <w:lang w:val="fr-CA"/>
        </w:rPr>
        <w:t>Dairn Shane</w:t>
      </w:r>
      <w:r w:rsidRPr="00381B25">
        <w:rPr>
          <w:rStyle w:val="SCCCounselPartyRoleChar"/>
          <w:lang w:val="fr-CA"/>
        </w:rPr>
        <w:t xml:space="preserve"> et </w:t>
      </w:r>
      <w:r w:rsidRPr="00381B25">
        <w:rPr>
          <w:rStyle w:val="SCCCounselPartyRoleChar"/>
          <w:i/>
          <w:lang w:val="fr-CA"/>
        </w:rPr>
        <w:t>Joseph Fearon</w:t>
      </w:r>
      <w:r w:rsidR="008442ED" w:rsidRPr="00381B25">
        <w:rPr>
          <w:rStyle w:val="SCCCounselPartyRoleChar"/>
          <w:lang w:val="fr-CA"/>
        </w:rPr>
        <w:t>, pour l</w:t>
      </w:r>
      <w:r w:rsidR="00E72105">
        <w:rPr>
          <w:rStyle w:val="SCCCounselPartyRoleChar"/>
          <w:lang w:val="fr-CA"/>
        </w:rPr>
        <w:t>’</w:t>
      </w:r>
      <w:r w:rsidR="008442ED" w:rsidRPr="00381B25">
        <w:rPr>
          <w:rStyle w:val="SCCCounselPartyRoleChar"/>
          <w:lang w:val="fr-CA"/>
        </w:rPr>
        <w:t>appelant.</w:t>
      </w:r>
    </w:p>
    <w:p w:rsidR="00B8297F" w:rsidRPr="00381B25" w:rsidRDefault="00111B31" w:rsidP="00C25DD8">
      <w:pPr>
        <w:pStyle w:val="SCCNormalDoubleSpacing"/>
        <w:spacing w:after="480"/>
        <w:rPr>
          <w:lang w:val="fr-CA"/>
        </w:rPr>
      </w:pPr>
      <w:r w:rsidRPr="00381B25">
        <w:rPr>
          <w:rStyle w:val="SCCCounselNameChar"/>
          <w:i w:val="0"/>
          <w:lang w:val="fr-CA"/>
        </w:rPr>
        <w:tab/>
      </w:r>
      <w:r w:rsidR="008442ED" w:rsidRPr="00381B25">
        <w:rPr>
          <w:rStyle w:val="SCCCounselNameChar"/>
          <w:lang w:val="fr-CA"/>
        </w:rPr>
        <w:t>Kathleen</w:t>
      </w:r>
      <w:r w:rsidRPr="00381B25">
        <w:rPr>
          <w:rStyle w:val="SCCCounselNameChar"/>
          <w:lang w:val="fr-CA"/>
        </w:rPr>
        <w:t xml:space="preserve"> S. </w:t>
      </w:r>
      <w:r w:rsidR="008442ED" w:rsidRPr="00381B25">
        <w:rPr>
          <w:rStyle w:val="SCCCounselNameChar"/>
          <w:lang w:val="fr-CA"/>
        </w:rPr>
        <w:t>Duffield</w:t>
      </w:r>
      <w:r w:rsidR="008442ED" w:rsidRPr="00381B25">
        <w:rPr>
          <w:rStyle w:val="SCCCounselSeparatorChar"/>
          <w:lang w:val="fr-CA"/>
        </w:rPr>
        <w:t xml:space="preserve"> et </w:t>
      </w:r>
      <w:r w:rsidR="008442ED" w:rsidRPr="00381B25">
        <w:rPr>
          <w:rStyle w:val="SCCCounselNameChar"/>
          <w:lang w:val="fr-CA"/>
        </w:rPr>
        <w:t>Steven</w:t>
      </w:r>
      <w:r w:rsidRPr="00381B25">
        <w:rPr>
          <w:rStyle w:val="SCCCounselNameChar"/>
          <w:lang w:val="fr-CA"/>
        </w:rPr>
        <w:t> </w:t>
      </w:r>
      <w:r w:rsidR="008442ED" w:rsidRPr="00381B25">
        <w:rPr>
          <w:rStyle w:val="SCCCounselNameChar"/>
          <w:lang w:val="fr-CA"/>
        </w:rPr>
        <w:t>W. Lesiuk</w:t>
      </w:r>
      <w:r w:rsidR="008442ED" w:rsidRPr="00381B25">
        <w:rPr>
          <w:rStyle w:val="SCCCounselPartyRoleChar"/>
          <w:lang w:val="fr-CA"/>
        </w:rPr>
        <w:t>, pour l</w:t>
      </w:r>
      <w:r w:rsidR="00F644EC" w:rsidRPr="00381B25">
        <w:rPr>
          <w:rStyle w:val="SCCCounselPartyRoleChar"/>
          <w:lang w:val="fr-CA"/>
        </w:rPr>
        <w:t xml:space="preserve">es </w:t>
      </w:r>
      <w:r w:rsidR="008442ED" w:rsidRPr="00381B25">
        <w:rPr>
          <w:rStyle w:val="SCCCounselPartyRoleChar"/>
          <w:lang w:val="fr-CA"/>
        </w:rPr>
        <w:t>intimé</w:t>
      </w:r>
      <w:r w:rsidR="00F644EC" w:rsidRPr="00381B25">
        <w:rPr>
          <w:rStyle w:val="SCCCounselPartyRoleChar"/>
          <w:lang w:val="fr-CA"/>
        </w:rPr>
        <w:t>s</w:t>
      </w:r>
      <w:r w:rsidR="008442ED" w:rsidRPr="00381B25">
        <w:rPr>
          <w:rStyle w:val="SCCCounselPartyRoleChar"/>
          <w:lang w:val="fr-CA"/>
        </w:rPr>
        <w:t>.</w:t>
      </w:r>
    </w:p>
    <w:p w:rsidR="00B8297F" w:rsidRDefault="00111B31" w:rsidP="00C25DD8">
      <w:pPr>
        <w:pStyle w:val="SCCNormalDoubleSpacing"/>
        <w:spacing w:after="480"/>
        <w:rPr>
          <w:rStyle w:val="SCCCounselPartyRoleChar"/>
          <w:lang w:val="fr-CA"/>
        </w:rPr>
      </w:pPr>
      <w:r w:rsidRPr="00381B25">
        <w:rPr>
          <w:rStyle w:val="SCCCounselNameChar"/>
          <w:i w:val="0"/>
          <w:lang w:val="fr-CA"/>
        </w:rPr>
        <w:tab/>
      </w:r>
      <w:r w:rsidR="008442ED" w:rsidRPr="00381B25">
        <w:rPr>
          <w:rStyle w:val="SCCCounselNameChar"/>
          <w:lang w:val="fr-CA"/>
        </w:rPr>
        <w:t>Alan D</w:t>
      </w:r>
      <w:r w:rsidR="00E72105">
        <w:rPr>
          <w:rStyle w:val="SCCCounselNameChar"/>
          <w:lang w:val="fr-CA"/>
        </w:rPr>
        <w:t>’</w:t>
      </w:r>
      <w:r w:rsidR="008442ED" w:rsidRPr="00381B25">
        <w:rPr>
          <w:rStyle w:val="SCCCounselNameChar"/>
          <w:lang w:val="fr-CA"/>
        </w:rPr>
        <w:t>Silva</w:t>
      </w:r>
      <w:r w:rsidR="008442ED" w:rsidRPr="00381B25">
        <w:rPr>
          <w:rStyle w:val="SCCCounselSeparatorChar"/>
          <w:lang w:val="fr-CA"/>
        </w:rPr>
        <w:t xml:space="preserve"> et </w:t>
      </w:r>
      <w:r w:rsidR="008442ED" w:rsidRPr="00381B25">
        <w:rPr>
          <w:rStyle w:val="SCCCounselNameChar"/>
          <w:lang w:val="fr-CA"/>
        </w:rPr>
        <w:t>Aaron Kreaden</w:t>
      </w:r>
      <w:r w:rsidR="008442ED" w:rsidRPr="00381B25">
        <w:rPr>
          <w:rStyle w:val="SCCCounselPartyRoleChar"/>
          <w:lang w:val="fr-CA"/>
        </w:rPr>
        <w:t>, pour l</w:t>
      </w:r>
      <w:r w:rsidR="00E72105">
        <w:rPr>
          <w:rStyle w:val="SCCCounselPartyRoleChar"/>
          <w:lang w:val="fr-CA"/>
        </w:rPr>
        <w:t>’</w:t>
      </w:r>
      <w:r w:rsidR="008442ED" w:rsidRPr="00381B25">
        <w:rPr>
          <w:rStyle w:val="SCCCounselPartyRoleChar"/>
          <w:lang w:val="fr-CA"/>
        </w:rPr>
        <w:t>intervenant.</w:t>
      </w:r>
    </w:p>
    <w:p w:rsidR="00DE26CA" w:rsidRPr="00F33A1B" w:rsidRDefault="00F33A1B" w:rsidP="00F33A1B">
      <w:pPr>
        <w:pStyle w:val="SCCNormalDoubleSpacing"/>
        <w:spacing w:after="480"/>
        <w:rPr>
          <w:rStyle w:val="SCCCounselPartyRoleChar"/>
          <w:lang w:val="fr-CA"/>
        </w:rPr>
      </w:pPr>
      <w:r>
        <w:rPr>
          <w:lang w:val="fr-CA"/>
        </w:rPr>
        <w:tab/>
      </w:r>
      <w:r w:rsidR="00DE26CA" w:rsidRPr="00502EF3">
        <w:rPr>
          <w:lang w:val="fr-CA"/>
        </w:rPr>
        <w:t>Version française du jugement de la Co</w:t>
      </w:r>
      <w:r w:rsidR="00DE26CA" w:rsidRPr="00F33A1B">
        <w:rPr>
          <w:rStyle w:val="SCCCounselPartyRoleChar"/>
          <w:lang w:val="fr-CA"/>
        </w:rPr>
        <w:t>ur rendu par</w:t>
      </w:r>
    </w:p>
    <w:p w:rsidR="00DE26CA" w:rsidRPr="00DD4D5E" w:rsidRDefault="00DE26CA" w:rsidP="00DE26CA">
      <w:pPr>
        <w:tabs>
          <w:tab w:val="left" w:pos="1166"/>
        </w:tabs>
        <w:spacing w:before="480" w:after="480" w:line="480" w:lineRule="auto"/>
        <w:rPr>
          <w:smallCaps/>
          <w:lang w:val="fr-CA"/>
        </w:rPr>
      </w:pPr>
      <w:r w:rsidRPr="00DD4D5E">
        <w:rPr>
          <w:smallCaps/>
          <w:lang w:val="fr-CA"/>
        </w:rPr>
        <w:tab/>
        <w:t xml:space="preserve">Le juge Brown — </w:t>
      </w:r>
    </w:p>
    <w:p w:rsidR="00DE26CA" w:rsidRPr="00DD4D5E" w:rsidRDefault="00DE26CA" w:rsidP="00DE26CA">
      <w:pPr>
        <w:pStyle w:val="Title1LevelTitre1Niveau-AltL"/>
        <w:rPr>
          <w:rFonts w:cs="Times New Roman"/>
          <w:lang w:val="fr-CA"/>
        </w:rPr>
      </w:pPr>
      <w:r w:rsidRPr="00DD4D5E">
        <w:rPr>
          <w:rFonts w:cs="Times New Roman"/>
          <w:lang w:val="fr-CA"/>
        </w:rPr>
        <w:t>Introduction</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Dans la présente affaire relative à un accident de la route survenu en Colombie</w:t>
      </w:r>
      <w:r w:rsidRPr="00DD4D5E">
        <w:rPr>
          <w:rFonts w:cs="Times New Roman"/>
          <w:lang w:val="fr-CA"/>
        </w:rPr>
        <w:noBreakHyphen/>
        <w:t>Britannique, le pourvoi porte principalement sur l</w:t>
      </w:r>
      <w:r>
        <w:rPr>
          <w:rFonts w:cs="Times New Roman"/>
          <w:lang w:val="fr-CA"/>
        </w:rPr>
        <w:t>’</w:t>
      </w:r>
      <w:r w:rsidRPr="00DD4D5E">
        <w:rPr>
          <w:rFonts w:cs="Times New Roman"/>
          <w:lang w:val="fr-CA"/>
        </w:rPr>
        <w:t>application des principes de common law en matière de négligence à l</w:t>
      </w:r>
      <w:r>
        <w:rPr>
          <w:rFonts w:cs="Times New Roman"/>
          <w:lang w:val="fr-CA"/>
        </w:rPr>
        <w:t>’</w:t>
      </w:r>
      <w:r w:rsidRPr="00DD4D5E">
        <w:rPr>
          <w:rFonts w:cs="Times New Roman"/>
          <w:lang w:val="fr-CA"/>
        </w:rPr>
        <w:t>indemnisation du préjudice mental</w:t>
      </w:r>
      <w:r w:rsidRPr="00DE26CA">
        <w:rPr>
          <w:rStyle w:val="Lienhypertexte"/>
          <w:vertAlign w:val="superscript"/>
        </w:rPr>
        <w:footnoteReference w:id="1"/>
      </w:r>
      <w:r w:rsidRPr="00DD4D5E">
        <w:rPr>
          <w:rFonts w:cs="Times New Roman"/>
          <w:lang w:val="fr-CA"/>
        </w:rPr>
        <w:t xml:space="preserve">. Le </w:t>
      </w:r>
      <w:r w:rsidRPr="00DD4D5E">
        <w:rPr>
          <w:rFonts w:cs="Times New Roman"/>
          <w:lang w:val="fr-CA"/>
        </w:rPr>
        <w:lastRenderedPageBreak/>
        <w:t>juge de première instance accorde à l</w:t>
      </w:r>
      <w:r>
        <w:rPr>
          <w:rFonts w:cs="Times New Roman"/>
          <w:lang w:val="fr-CA"/>
        </w:rPr>
        <w:t>’</w:t>
      </w:r>
      <w:r w:rsidRPr="00DD4D5E">
        <w:rPr>
          <w:rFonts w:cs="Times New Roman"/>
          <w:lang w:val="fr-CA"/>
        </w:rPr>
        <w:t>appelant, Mohsen Saadati, une indemnité pour préjudice mental sur la foi du témoignage non pas d</w:t>
      </w:r>
      <w:r>
        <w:rPr>
          <w:rFonts w:cs="Times New Roman"/>
          <w:lang w:val="fr-CA"/>
        </w:rPr>
        <w:t>’</w:t>
      </w:r>
      <w:r w:rsidRPr="00DD4D5E">
        <w:rPr>
          <w:rFonts w:cs="Times New Roman"/>
          <w:lang w:val="fr-CA"/>
        </w:rPr>
        <w:t>un expert, mais de témoins profanes selon lesquels, après l</w:t>
      </w:r>
      <w:r>
        <w:rPr>
          <w:rFonts w:cs="Times New Roman"/>
          <w:lang w:val="fr-CA"/>
        </w:rPr>
        <w:t>’</w:t>
      </w:r>
      <w:r w:rsidRPr="00DD4D5E">
        <w:rPr>
          <w:rFonts w:cs="Times New Roman"/>
          <w:lang w:val="fr-CA"/>
        </w:rPr>
        <w:t>accident de la route causé par les intimés, la personnalité de l</w:t>
      </w:r>
      <w:r>
        <w:rPr>
          <w:rFonts w:cs="Times New Roman"/>
          <w:lang w:val="fr-CA"/>
        </w:rPr>
        <w:t>’</w:t>
      </w:r>
      <w:r w:rsidRPr="00DD4D5E">
        <w:rPr>
          <w:rFonts w:cs="Times New Roman"/>
          <w:lang w:val="fr-CA"/>
        </w:rPr>
        <w:t>appelant a changé. La Cour d</w:t>
      </w:r>
      <w:r>
        <w:rPr>
          <w:rFonts w:cs="Times New Roman"/>
          <w:lang w:val="fr-CA"/>
        </w:rPr>
        <w:t>’</w:t>
      </w:r>
      <w:r w:rsidRPr="00DD4D5E">
        <w:rPr>
          <w:rFonts w:cs="Times New Roman"/>
          <w:lang w:val="fr-CA"/>
        </w:rPr>
        <w:t>appel de la Colombie</w:t>
      </w:r>
      <w:r w:rsidRPr="00DD4D5E">
        <w:rPr>
          <w:rFonts w:cs="Times New Roman"/>
          <w:lang w:val="fr-CA"/>
        </w:rPr>
        <w:noBreakHyphen/>
        <w:t>Britannique infirme le jugement au motif que, pour être indemnisé d</w:t>
      </w:r>
      <w:r>
        <w:rPr>
          <w:rFonts w:cs="Times New Roman"/>
          <w:lang w:val="fr-CA"/>
        </w:rPr>
        <w:t>’</w:t>
      </w:r>
      <w:r w:rsidRPr="00DD4D5E">
        <w:rPr>
          <w:rFonts w:cs="Times New Roman"/>
          <w:lang w:val="fr-CA"/>
        </w:rPr>
        <w:t>un préjudice mental, le demandeur doit faire confirmer par un médecin expert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w:t>
      </w:r>
      <w:r w:rsidR="00604E07">
        <w:rPr>
          <w:rFonts w:cs="Times New Roman"/>
          <w:lang w:val="fr-CA"/>
        </w:rPr>
        <w:t xml:space="preserve"> [</w:t>
      </w:r>
      <w:r w:rsidR="00604E07" w:rsidRPr="00604E07">
        <w:rPr>
          <w:rFonts w:cs="Times New Roman"/>
          <w:smallCaps/>
          <w:lang w:val="fr-CA"/>
        </w:rPr>
        <w:t>traduction</w:t>
      </w:r>
      <w:r w:rsidR="00604E07">
        <w:rPr>
          <w:rFonts w:cs="Times New Roman"/>
          <w:lang w:val="fr-CA"/>
        </w:rPr>
        <w:t>]</w:t>
      </w:r>
      <w:r w:rsidRPr="00DD4D5E">
        <w:rPr>
          <w:rFonts w:cs="Times New Roman"/>
          <w:lang w:val="fr-CA"/>
        </w:rPr>
        <w:t xml:space="preserve"> « trouble psychiatrique reconnaissable [ou reconnu]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Or, la Cour n</w:t>
      </w:r>
      <w:r>
        <w:rPr>
          <w:rFonts w:cs="Times New Roman"/>
          <w:lang w:val="fr-CA"/>
        </w:rPr>
        <w:t>’</w:t>
      </w:r>
      <w:r w:rsidRPr="00DD4D5E">
        <w:rPr>
          <w:rFonts w:cs="Times New Roman"/>
          <w:lang w:val="fr-CA"/>
        </w:rPr>
        <w:t>a jamais exigé comme condition préalable à l</w:t>
      </w:r>
      <w:r>
        <w:rPr>
          <w:rFonts w:cs="Times New Roman"/>
          <w:lang w:val="fr-CA"/>
        </w:rPr>
        <w:t>’</w:t>
      </w:r>
      <w:r w:rsidRPr="00DD4D5E">
        <w:rPr>
          <w:rFonts w:cs="Times New Roman"/>
          <w:lang w:val="fr-CA"/>
        </w:rPr>
        <w:t>indemnisation du préjudice mental que le demandeur fasse la preuve de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trouble psychiatrique reconnaissable, et il n</w:t>
      </w:r>
      <w:r>
        <w:rPr>
          <w:rFonts w:cs="Times New Roman"/>
          <w:lang w:val="fr-CA"/>
        </w:rPr>
        <w:t>’</w:t>
      </w:r>
      <w:r w:rsidRPr="00DD4D5E">
        <w:rPr>
          <w:rFonts w:cs="Times New Roman"/>
          <w:lang w:val="fr-CA"/>
        </w:rPr>
        <w:t>est pas non plus souhaitable selon moi qu</w:t>
      </w:r>
      <w:r>
        <w:rPr>
          <w:rFonts w:cs="Times New Roman"/>
          <w:lang w:val="fr-CA"/>
        </w:rPr>
        <w:t>’</w:t>
      </w:r>
      <w:r w:rsidRPr="00DD4D5E">
        <w:rPr>
          <w:rFonts w:cs="Times New Roman"/>
          <w:lang w:val="fr-CA"/>
        </w:rPr>
        <w:t>elle l</w:t>
      </w:r>
      <w:r>
        <w:rPr>
          <w:rFonts w:cs="Times New Roman"/>
          <w:lang w:val="fr-CA"/>
        </w:rPr>
        <w:t>’</w:t>
      </w:r>
      <w:r w:rsidRPr="00DD4D5E">
        <w:rPr>
          <w:rFonts w:cs="Times New Roman"/>
          <w:lang w:val="fr-CA"/>
        </w:rPr>
        <w:t>exige maintenant. De la même manière que l</w:t>
      </w:r>
      <w:r>
        <w:rPr>
          <w:rFonts w:cs="Times New Roman"/>
          <w:lang w:val="fr-CA"/>
        </w:rPr>
        <w:t>’</w:t>
      </w:r>
      <w:r w:rsidRPr="00DD4D5E">
        <w:rPr>
          <w:rFonts w:cs="Times New Roman"/>
          <w:lang w:val="fr-CA"/>
        </w:rPr>
        <w:t xml:space="preserve">indemnisation du préjudice </w:t>
      </w:r>
      <w:r w:rsidRPr="00DD4D5E">
        <w:rPr>
          <w:rFonts w:cs="Times New Roman"/>
          <w:i/>
          <w:lang w:val="fr-CA"/>
        </w:rPr>
        <w:t>physique</w:t>
      </w:r>
      <w:r w:rsidRPr="00DD4D5E">
        <w:rPr>
          <w:rFonts w:cs="Times New Roman"/>
          <w:lang w:val="fr-CA"/>
        </w:rPr>
        <w:t xml:space="preserve"> n</w:t>
      </w:r>
      <w:r>
        <w:rPr>
          <w:rFonts w:cs="Times New Roman"/>
          <w:lang w:val="fr-CA"/>
        </w:rPr>
        <w:t>’</w:t>
      </w:r>
      <w:r w:rsidRPr="00DD4D5E">
        <w:rPr>
          <w:rFonts w:cs="Times New Roman"/>
          <w:lang w:val="fr-CA"/>
        </w:rPr>
        <w:t>est pas subordonnée au dépôt en preuve par le demandeur du diagnostic d</w:t>
      </w:r>
      <w:r>
        <w:rPr>
          <w:rFonts w:cs="Times New Roman"/>
          <w:lang w:val="fr-CA"/>
        </w:rPr>
        <w:t>’</w:t>
      </w:r>
      <w:r w:rsidRPr="00DD4D5E">
        <w:rPr>
          <w:rFonts w:cs="Times New Roman"/>
          <w:lang w:val="fr-CA"/>
        </w:rPr>
        <w:t>un expert, celle du préjudice</w:t>
      </w:r>
      <w:r w:rsidRPr="00DD4D5E">
        <w:rPr>
          <w:rFonts w:cs="Times New Roman"/>
          <w:i/>
          <w:lang w:val="fr-CA"/>
        </w:rPr>
        <w:t xml:space="preserve"> mental</w:t>
      </w:r>
      <w:r w:rsidRPr="00DD4D5E">
        <w:rPr>
          <w:rFonts w:cs="Times New Roman"/>
          <w:lang w:val="fr-CA"/>
        </w:rPr>
        <w:t xml:space="preserve"> ne tient pas non plus à la preuve d</w:t>
      </w:r>
      <w:r>
        <w:rPr>
          <w:rFonts w:cs="Times New Roman"/>
          <w:lang w:val="fr-CA"/>
        </w:rPr>
        <w:t>’</w:t>
      </w:r>
      <w:r w:rsidRPr="00DD4D5E">
        <w:rPr>
          <w:rFonts w:cs="Times New Roman"/>
          <w:lang w:val="fr-CA"/>
        </w:rPr>
        <w:t>un trouble psychiatrique reconnaissable. Cette exigence et d</w:t>
      </w:r>
      <w:r>
        <w:rPr>
          <w:rFonts w:cs="Times New Roman"/>
          <w:lang w:val="fr-CA"/>
        </w:rPr>
        <w:t>’</w:t>
      </w:r>
      <w:r w:rsidRPr="00DD4D5E">
        <w:rPr>
          <w:rFonts w:cs="Times New Roman"/>
          <w:lang w:val="fr-CA"/>
        </w:rPr>
        <w:t>autres conditions fixées par certains tribunaux afin de contenir l</w:t>
      </w:r>
      <w:r>
        <w:rPr>
          <w:rFonts w:cs="Times New Roman"/>
          <w:lang w:val="fr-CA"/>
        </w:rPr>
        <w:t>’</w:t>
      </w:r>
      <w:r w:rsidRPr="00DD4D5E">
        <w:rPr>
          <w:rFonts w:cs="Times New Roman"/>
          <w:lang w:val="fr-CA"/>
        </w:rPr>
        <w:t>indemnisation du préjudice mental reposent à mon humble avis sur une conception douteuse de la psychiatrie et de la maladie mentale en général dont devrait se dissocier le droit canadien de la responsabilité délictuelle. De plus, les éléments requis pour qu</w:t>
      </w:r>
      <w:r>
        <w:rPr>
          <w:rFonts w:cs="Times New Roman"/>
          <w:lang w:val="fr-CA"/>
        </w:rPr>
        <w:t>’</w:t>
      </w:r>
      <w:r w:rsidRPr="00DD4D5E">
        <w:rPr>
          <w:rFonts w:cs="Times New Roman"/>
          <w:lang w:val="fr-CA"/>
        </w:rPr>
        <w:t>il y ait une cause d</w:t>
      </w:r>
      <w:r>
        <w:rPr>
          <w:rFonts w:cs="Times New Roman"/>
          <w:lang w:val="fr-CA"/>
        </w:rPr>
        <w:t>’</w:t>
      </w:r>
      <w:r w:rsidRPr="00DD4D5E">
        <w:rPr>
          <w:rFonts w:cs="Times New Roman"/>
          <w:lang w:val="fr-CA"/>
        </w:rPr>
        <w:t>action en négligence, de même que les exigences de la Cour</w:t>
      </w:r>
      <w:r>
        <w:rPr>
          <w:rFonts w:cs="Times New Roman"/>
          <w:lang w:val="fr-CA"/>
        </w:rPr>
        <w:t>,</w:t>
      </w:r>
      <w:r w:rsidRPr="00DD4D5E">
        <w:rPr>
          <w:rFonts w:cs="Times New Roman"/>
          <w:lang w:val="fr-CA"/>
        </w:rPr>
        <w:t xml:space="preserve"> </w:t>
      </w:r>
      <w:r>
        <w:rPr>
          <w:rFonts w:cs="Times New Roman"/>
          <w:lang w:val="fr-CA"/>
        </w:rPr>
        <w:t xml:space="preserve">suivant l’arrêt </w:t>
      </w:r>
      <w:r w:rsidRPr="00DD4D5E">
        <w:rPr>
          <w:rFonts w:cs="Times New Roman"/>
          <w:i/>
          <w:lang w:val="fr-CA"/>
        </w:rPr>
        <w:t>Mustapha</w:t>
      </w:r>
      <w:r w:rsidRPr="00DD4D5E">
        <w:rPr>
          <w:rFonts w:cs="Times New Roman"/>
          <w:lang w:val="fr-CA"/>
        </w:rPr>
        <w:t xml:space="preserve"> </w:t>
      </w:r>
      <w:r w:rsidR="00420084">
        <w:rPr>
          <w:rFonts w:cs="Times New Roman"/>
          <w:i/>
          <w:lang w:val="fr-CA"/>
        </w:rPr>
        <w:t>c. Culligan du Canada Ltée</w:t>
      </w:r>
      <w:r w:rsidRPr="00DD4D5E">
        <w:rPr>
          <w:rFonts w:cs="Times New Roman"/>
          <w:lang w:val="fr-CA"/>
        </w:rPr>
        <w:t>, 2008 CSC 27, [2008] 2 R.C.S. 114, par. 9</w:t>
      </w:r>
      <w:r>
        <w:rPr>
          <w:rFonts w:cs="Times New Roman"/>
          <w:lang w:val="fr-CA"/>
        </w:rPr>
        <w:t>,</w:t>
      </w:r>
      <w:r w:rsidRPr="00DD4D5E">
        <w:rPr>
          <w:rFonts w:cs="Times New Roman"/>
          <w:lang w:val="fr-CA"/>
        </w:rPr>
        <w:t xml:space="preserve"> lorsqu</w:t>
      </w:r>
      <w:r>
        <w:rPr>
          <w:rFonts w:cs="Times New Roman"/>
          <w:lang w:val="fr-CA"/>
        </w:rPr>
        <w:t>’</w:t>
      </w:r>
      <w:r w:rsidRPr="00DD4D5E">
        <w:rPr>
          <w:rFonts w:cs="Times New Roman"/>
          <w:lang w:val="fr-CA"/>
        </w:rPr>
        <w:t>il s</w:t>
      </w:r>
      <w:r>
        <w:rPr>
          <w:rFonts w:cs="Times New Roman"/>
          <w:lang w:val="fr-CA"/>
        </w:rPr>
        <w:t>’</w:t>
      </w:r>
      <w:r w:rsidRPr="00DD4D5E">
        <w:rPr>
          <w:rFonts w:cs="Times New Roman"/>
          <w:lang w:val="fr-CA"/>
        </w:rPr>
        <w:t>agit de prouver le préjudice mental</w:t>
      </w:r>
      <w:r w:rsidR="00E902E7">
        <w:rPr>
          <w:rFonts w:cs="Times New Roman"/>
          <w:lang w:val="fr-CA"/>
        </w:rPr>
        <w:t>,</w:t>
      </w:r>
      <w:r w:rsidRPr="00DD4D5E">
        <w:rPr>
          <w:rFonts w:cs="Times New Roman"/>
          <w:lang w:val="fr-CA"/>
        </w:rPr>
        <w:t xml:space="preserve"> font suffisamment obstacle aux réclamations infondées. J</w:t>
      </w:r>
      <w:r>
        <w:rPr>
          <w:rFonts w:cs="Times New Roman"/>
          <w:lang w:val="fr-CA"/>
        </w:rPr>
        <w:t>’</w:t>
      </w:r>
      <w:r w:rsidRPr="00DD4D5E">
        <w:rPr>
          <w:rFonts w:cs="Times New Roman"/>
          <w:lang w:val="fr-CA"/>
        </w:rPr>
        <w:t>estime donc que le demandeur n</w:t>
      </w:r>
      <w:r>
        <w:rPr>
          <w:rFonts w:cs="Times New Roman"/>
          <w:lang w:val="fr-CA"/>
        </w:rPr>
        <w:t>’</w:t>
      </w:r>
      <w:r w:rsidRPr="00DD4D5E">
        <w:rPr>
          <w:rFonts w:cs="Times New Roman"/>
          <w:lang w:val="fr-CA"/>
        </w:rPr>
        <w:t>est pas légalement tenu de prouver en tout ou en partie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 xml:space="preserve">un trouble psychiatrique </w:t>
      </w:r>
      <w:r w:rsidRPr="00DD4D5E">
        <w:rPr>
          <w:rFonts w:cs="Times New Roman"/>
          <w:lang w:val="fr-CA"/>
        </w:rPr>
        <w:lastRenderedPageBreak/>
        <w:t>reconnu pour que l</w:t>
      </w:r>
      <w:r>
        <w:rPr>
          <w:rFonts w:cs="Times New Roman"/>
          <w:lang w:val="fr-CA"/>
        </w:rPr>
        <w:t>’</w:t>
      </w:r>
      <w:r w:rsidRPr="00DD4D5E">
        <w:rPr>
          <w:rFonts w:cs="Times New Roman"/>
          <w:lang w:val="fr-CA"/>
        </w:rPr>
        <w:t>on puisse conclure au caractère indemnisable du préjudice mental.</w:t>
      </w:r>
      <w:r>
        <w:rPr>
          <w:rFonts w:cs="Times New Roman"/>
          <w:lang w:val="fr-CA"/>
        </w:rPr>
        <w:t xml:space="preserve"> </w:t>
      </w:r>
      <w:r w:rsidRPr="00DD4D5E">
        <w:rPr>
          <w:rFonts w:cs="Times New Roman"/>
          <w:lang w:val="fr-CA"/>
        </w:rPr>
        <w:t>Partant, je suis d</w:t>
      </w:r>
      <w:r>
        <w:rPr>
          <w:rFonts w:cs="Times New Roman"/>
          <w:lang w:val="fr-CA"/>
        </w:rPr>
        <w:t>’</w:t>
      </w:r>
      <w:r w:rsidRPr="00DD4D5E">
        <w:rPr>
          <w:rFonts w:cs="Times New Roman"/>
          <w:lang w:val="fr-CA"/>
        </w:rPr>
        <w:t>avis d</w:t>
      </w:r>
      <w:r>
        <w:rPr>
          <w:rFonts w:cs="Times New Roman"/>
          <w:lang w:val="fr-CA"/>
        </w:rPr>
        <w:t>’</w:t>
      </w:r>
      <w:r w:rsidRPr="00DD4D5E">
        <w:rPr>
          <w:rFonts w:cs="Times New Roman"/>
          <w:lang w:val="fr-CA"/>
        </w:rPr>
        <w:t>accueillir le pourvoi et de rétablir l</w:t>
      </w:r>
      <w:r>
        <w:rPr>
          <w:rFonts w:cs="Times New Roman"/>
          <w:lang w:val="fr-CA"/>
        </w:rPr>
        <w:t>’</w:t>
      </w:r>
      <w:r w:rsidRPr="00DD4D5E">
        <w:rPr>
          <w:rFonts w:cs="Times New Roman"/>
          <w:lang w:val="fr-CA"/>
        </w:rPr>
        <w:t>indemnisation accordée en première instance.</w:t>
      </w:r>
    </w:p>
    <w:p w:rsidR="00DE26CA" w:rsidRPr="00DD4D5E" w:rsidRDefault="00DE26CA" w:rsidP="00DE26CA">
      <w:pPr>
        <w:pStyle w:val="Title1LevelTitre1Niveau-AltL"/>
        <w:rPr>
          <w:rFonts w:cs="Times New Roman"/>
          <w:lang w:val="fr-CA"/>
        </w:rPr>
      </w:pPr>
      <w:r w:rsidRPr="00DD4D5E">
        <w:rPr>
          <w:rFonts w:cs="Times New Roman"/>
          <w:lang w:val="fr-CA"/>
        </w:rPr>
        <w:t>Rappel factuel et procédural</w:t>
      </w:r>
    </w:p>
    <w:p w:rsidR="00DE26CA" w:rsidRPr="00DD4D5E" w:rsidRDefault="00DE26CA" w:rsidP="00DE26CA">
      <w:pPr>
        <w:pStyle w:val="Title2LevelTitre2Niveau"/>
        <w:rPr>
          <w:rFonts w:cs="Times New Roman"/>
          <w:lang w:val="fr-CA"/>
        </w:rPr>
      </w:pPr>
      <w:r w:rsidRPr="00DD4D5E">
        <w:rPr>
          <w:rFonts w:cs="Times New Roman"/>
          <w:lang w:val="fr-CA"/>
        </w:rPr>
        <w:t>Genèse de l</w:t>
      </w:r>
      <w:r>
        <w:rPr>
          <w:rFonts w:cs="Times New Roman"/>
          <w:lang w:val="fr-CA"/>
        </w:rPr>
        <w:t>’</w:t>
      </w:r>
      <w:r w:rsidRPr="00DD4D5E">
        <w:rPr>
          <w:rFonts w:cs="Times New Roman"/>
          <w:lang w:val="fr-CA"/>
        </w:rPr>
        <w:t>instance</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Le soir du 5 juillet</w:t>
      </w:r>
      <w:r>
        <w:rPr>
          <w:rFonts w:cs="Times New Roman"/>
          <w:lang w:val="fr-CA"/>
        </w:rPr>
        <w:t xml:space="preserve"> </w:t>
      </w:r>
      <w:r w:rsidRPr="00DD4D5E">
        <w:rPr>
          <w:rFonts w:cs="Times New Roman"/>
          <w:lang w:val="fr-CA"/>
        </w:rPr>
        <w:t>2005, l</w:t>
      </w:r>
      <w:r>
        <w:rPr>
          <w:rFonts w:cs="Times New Roman"/>
          <w:lang w:val="fr-CA"/>
        </w:rPr>
        <w:t>’</w:t>
      </w:r>
      <w:r w:rsidRPr="00DD4D5E">
        <w:rPr>
          <w:rFonts w:cs="Times New Roman"/>
          <w:lang w:val="fr-CA"/>
        </w:rPr>
        <w:t>appelant circulait à bord d</w:t>
      </w:r>
      <w:r>
        <w:rPr>
          <w:rFonts w:cs="Times New Roman"/>
          <w:lang w:val="fr-CA"/>
        </w:rPr>
        <w:t>’</w:t>
      </w:r>
      <w:r w:rsidRPr="00DD4D5E">
        <w:rPr>
          <w:rFonts w:cs="Times New Roman"/>
          <w:lang w:val="fr-CA"/>
        </w:rPr>
        <w:t>un camion</w:t>
      </w:r>
      <w:r w:rsidRPr="00DD4D5E">
        <w:rPr>
          <w:rFonts w:cs="Times New Roman"/>
          <w:lang w:val="fr-CA"/>
        </w:rPr>
        <w:noBreakHyphen/>
        <w:t>tracteur dans</w:t>
      </w:r>
      <w:r>
        <w:rPr>
          <w:rFonts w:cs="Times New Roman"/>
          <w:lang w:val="fr-CA"/>
        </w:rPr>
        <w:t xml:space="preserve"> la rue Front, à New </w:t>
      </w:r>
      <w:r w:rsidRPr="00DD4D5E">
        <w:rPr>
          <w:rFonts w:cs="Times New Roman"/>
          <w:lang w:val="fr-CA"/>
        </w:rPr>
        <w:t>Westminster, en Colombie</w:t>
      </w:r>
      <w:r w:rsidRPr="00DD4D5E">
        <w:rPr>
          <w:rFonts w:cs="Times New Roman"/>
          <w:lang w:val="fr-CA"/>
        </w:rPr>
        <w:noBreakHyphen/>
        <w:t>Britannique, lorsque son véhicule a été heurté par celui que conduisait l</w:t>
      </w:r>
      <w:r>
        <w:rPr>
          <w:rFonts w:cs="Times New Roman"/>
          <w:lang w:val="fr-CA"/>
        </w:rPr>
        <w:t>’</w:t>
      </w:r>
      <w:r w:rsidRPr="00DD4D5E">
        <w:rPr>
          <w:rFonts w:cs="Times New Roman"/>
          <w:lang w:val="fr-CA"/>
        </w:rPr>
        <w:t xml:space="preserve">intimé, Grant </w:t>
      </w:r>
      <w:r>
        <w:rPr>
          <w:rFonts w:cs="Times New Roman"/>
          <w:lang w:val="fr-CA"/>
        </w:rPr>
        <w:t>Ia</w:t>
      </w:r>
      <w:r w:rsidR="00420084">
        <w:rPr>
          <w:rFonts w:cs="Times New Roman"/>
          <w:lang w:val="fr-CA"/>
        </w:rPr>
        <w:t>i</w:t>
      </w:r>
      <w:r>
        <w:rPr>
          <w:rFonts w:cs="Times New Roman"/>
          <w:lang w:val="fr-CA"/>
        </w:rPr>
        <w:t xml:space="preserve">n </w:t>
      </w:r>
      <w:r w:rsidRPr="00DD4D5E">
        <w:rPr>
          <w:rFonts w:cs="Times New Roman"/>
          <w:lang w:val="fr-CA"/>
        </w:rPr>
        <w:t>Moorhead. Son camion a subi de lourds dommages, mais lui a alors semblé s</w:t>
      </w:r>
      <w:r>
        <w:rPr>
          <w:rFonts w:cs="Times New Roman"/>
          <w:lang w:val="fr-CA"/>
        </w:rPr>
        <w:t>’</w:t>
      </w:r>
      <w:r w:rsidRPr="00DD4D5E">
        <w:rPr>
          <w:rFonts w:cs="Times New Roman"/>
          <w:lang w:val="fr-CA"/>
        </w:rPr>
        <w:t>en tirer indemne. Transporté à un hôpital des environs, il n</w:t>
      </w:r>
      <w:r>
        <w:rPr>
          <w:rFonts w:cs="Times New Roman"/>
          <w:lang w:val="fr-CA"/>
        </w:rPr>
        <w:t>’</w:t>
      </w:r>
      <w:r w:rsidRPr="00DD4D5E">
        <w:rPr>
          <w:rFonts w:cs="Times New Roman"/>
          <w:lang w:val="fr-CA"/>
        </w:rPr>
        <w:t>a pas été gardé en observation.</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Cet accident de la route (« l</w:t>
      </w:r>
      <w:r>
        <w:rPr>
          <w:rFonts w:cs="Times New Roman"/>
          <w:lang w:val="fr-CA"/>
        </w:rPr>
        <w:t>’</w:t>
      </w:r>
      <w:r w:rsidRPr="00DD4D5E">
        <w:rPr>
          <w:rFonts w:cs="Times New Roman"/>
          <w:lang w:val="fr-CA"/>
        </w:rPr>
        <w:t>accident ») était le deuxième d</w:t>
      </w:r>
      <w:r>
        <w:rPr>
          <w:rFonts w:cs="Times New Roman"/>
          <w:lang w:val="fr-CA"/>
        </w:rPr>
        <w:t>’</w:t>
      </w:r>
      <w:r w:rsidRPr="00DD4D5E">
        <w:rPr>
          <w:rFonts w:cs="Times New Roman"/>
          <w:lang w:val="fr-CA"/>
        </w:rPr>
        <w:t>une série de cinq subis par l</w:t>
      </w:r>
      <w:r>
        <w:rPr>
          <w:rFonts w:cs="Times New Roman"/>
          <w:lang w:val="fr-CA"/>
        </w:rPr>
        <w:t>’</w:t>
      </w:r>
      <w:r w:rsidRPr="00DD4D5E">
        <w:rPr>
          <w:rFonts w:cs="Times New Roman"/>
          <w:lang w:val="fr-CA"/>
        </w:rPr>
        <w:t>appelant entre janvier 2003 et mars 2009. Depuis le premier, l</w:t>
      </w:r>
      <w:r>
        <w:rPr>
          <w:rFonts w:cs="Times New Roman"/>
          <w:lang w:val="fr-CA"/>
        </w:rPr>
        <w:t>’</w:t>
      </w:r>
      <w:r w:rsidRPr="00DD4D5E">
        <w:rPr>
          <w:rFonts w:cs="Times New Roman"/>
          <w:lang w:val="fr-CA"/>
        </w:rPr>
        <w:t>appelant souffrait de douleurs chroniques, et celles</w:t>
      </w:r>
      <w:r w:rsidRPr="00DD4D5E">
        <w:rPr>
          <w:rFonts w:cs="Times New Roman"/>
          <w:lang w:val="fr-CA"/>
        </w:rPr>
        <w:noBreakHyphen/>
        <w:t>ci se sont aggravées après le troisième (survenu le 17 septembre 2005). En 2007, l</w:t>
      </w:r>
      <w:r>
        <w:rPr>
          <w:rFonts w:cs="Times New Roman"/>
          <w:lang w:val="fr-CA"/>
        </w:rPr>
        <w:t>’</w:t>
      </w:r>
      <w:r w:rsidRPr="00DD4D5E">
        <w:rPr>
          <w:rFonts w:cs="Times New Roman"/>
          <w:lang w:val="fr-CA"/>
        </w:rPr>
        <w:t>appelant a intenté contre les intimés une action en négligence dans laquelle il réclamait une indemnité pour perte non pécuniaire et pour perte de revenus antérieure. L</w:t>
      </w:r>
      <w:r>
        <w:rPr>
          <w:rFonts w:cs="Times New Roman"/>
          <w:lang w:val="fr-CA"/>
        </w:rPr>
        <w:t>’</w:t>
      </w:r>
      <w:r w:rsidRPr="00DD4D5E">
        <w:rPr>
          <w:rFonts w:cs="Times New Roman"/>
          <w:lang w:val="fr-CA"/>
        </w:rPr>
        <w:t>appelant a eu deux autres accidents, l</w:t>
      </w:r>
      <w:r>
        <w:rPr>
          <w:rFonts w:cs="Times New Roman"/>
          <w:lang w:val="fr-CA"/>
        </w:rPr>
        <w:t>’</w:t>
      </w:r>
      <w:r w:rsidRPr="00DD4D5E">
        <w:rPr>
          <w:rFonts w:cs="Times New Roman"/>
          <w:lang w:val="fr-CA"/>
        </w:rPr>
        <w:t>un en 2008, l</w:t>
      </w:r>
      <w:r>
        <w:rPr>
          <w:rFonts w:cs="Times New Roman"/>
          <w:lang w:val="fr-CA"/>
        </w:rPr>
        <w:t>’</w:t>
      </w:r>
      <w:r w:rsidRPr="00DD4D5E">
        <w:rPr>
          <w:rFonts w:cs="Times New Roman"/>
          <w:lang w:val="fr-CA"/>
        </w:rPr>
        <w:t>autre en 2009. Déclaré mentalement incapable en 2010, son action a été reprise par sa tutrice à l</w:t>
      </w:r>
      <w:r>
        <w:rPr>
          <w:rFonts w:cs="Times New Roman"/>
          <w:lang w:val="fr-CA"/>
        </w:rPr>
        <w:t>’</w:t>
      </w:r>
      <w:r w:rsidRPr="00DD4D5E">
        <w:rPr>
          <w:rFonts w:cs="Times New Roman"/>
          <w:lang w:val="fr-CA"/>
        </w:rPr>
        <w:t>instance.</w:t>
      </w:r>
    </w:p>
    <w:p w:rsidR="00DE26CA" w:rsidRPr="00DD4D5E" w:rsidRDefault="00DE26CA" w:rsidP="00DE26CA">
      <w:pPr>
        <w:pStyle w:val="Title2LevelTitre2Niveau"/>
        <w:rPr>
          <w:rFonts w:cs="Times New Roman"/>
          <w:lang w:val="fr-CA"/>
        </w:rPr>
      </w:pPr>
      <w:r w:rsidRPr="00DD4D5E">
        <w:rPr>
          <w:rFonts w:cs="Times New Roman"/>
          <w:lang w:val="fr-CA"/>
        </w:rPr>
        <w:t>Décisions des juridictions inférieures</w:t>
      </w:r>
    </w:p>
    <w:p w:rsidR="00DE26CA" w:rsidRPr="00DD4D5E" w:rsidRDefault="00DE26CA" w:rsidP="00DE26CA">
      <w:pPr>
        <w:pStyle w:val="Title3LevelTitre3Niveau"/>
        <w:rPr>
          <w:rFonts w:cs="Times New Roman"/>
          <w:lang w:val="fr-CA"/>
        </w:rPr>
      </w:pPr>
      <w:r w:rsidRPr="00DD4D5E">
        <w:rPr>
          <w:rFonts w:cs="Times New Roman"/>
          <w:lang w:val="fr-CA"/>
        </w:rPr>
        <w:lastRenderedPageBreak/>
        <w:t>Cour suprême de la Colombie</w:t>
      </w:r>
      <w:r w:rsidRPr="00DD4D5E">
        <w:rPr>
          <w:rFonts w:cs="Times New Roman"/>
          <w:lang w:val="fr-CA"/>
        </w:rPr>
        <w:noBreakHyphen/>
        <w:t>Britannique — 2014 BCSC 1365</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Les intimés ont collectivement reconnu leur responsabilité à l</w:t>
      </w:r>
      <w:r>
        <w:rPr>
          <w:rFonts w:cs="Times New Roman"/>
          <w:lang w:val="fr-CA"/>
        </w:rPr>
        <w:t>’</w:t>
      </w:r>
      <w:r w:rsidRPr="00DD4D5E">
        <w:rPr>
          <w:rFonts w:cs="Times New Roman"/>
          <w:lang w:val="fr-CA"/>
        </w:rPr>
        <w:t>égard de l</w:t>
      </w:r>
      <w:r>
        <w:rPr>
          <w:rFonts w:cs="Times New Roman"/>
          <w:lang w:val="fr-CA"/>
        </w:rPr>
        <w:t>’</w:t>
      </w:r>
      <w:r w:rsidRPr="00DD4D5E">
        <w:rPr>
          <w:rFonts w:cs="Times New Roman"/>
          <w:lang w:val="fr-CA"/>
        </w:rPr>
        <w:t>accident, mais ont prétendu que l</w:t>
      </w:r>
      <w:r>
        <w:rPr>
          <w:rFonts w:cs="Times New Roman"/>
          <w:lang w:val="fr-CA"/>
        </w:rPr>
        <w:t>’</w:t>
      </w:r>
      <w:r w:rsidRPr="00DD4D5E">
        <w:rPr>
          <w:rFonts w:cs="Times New Roman"/>
          <w:lang w:val="fr-CA"/>
        </w:rPr>
        <w:t>appelant n</w:t>
      </w:r>
      <w:r>
        <w:rPr>
          <w:rFonts w:cs="Times New Roman"/>
          <w:lang w:val="fr-CA"/>
        </w:rPr>
        <w:t>’</w:t>
      </w:r>
      <w:r w:rsidRPr="00DD4D5E">
        <w:rPr>
          <w:rFonts w:cs="Times New Roman"/>
          <w:lang w:val="fr-CA"/>
        </w:rPr>
        <w:t>avait subi aucun préjudice. Des rapports d</w:t>
      </w:r>
      <w:r>
        <w:rPr>
          <w:rFonts w:cs="Times New Roman"/>
          <w:lang w:val="fr-CA"/>
        </w:rPr>
        <w:t>’</w:t>
      </w:r>
      <w:r w:rsidRPr="00DD4D5E">
        <w:rPr>
          <w:rFonts w:cs="Times New Roman"/>
          <w:lang w:val="fr-CA"/>
        </w:rPr>
        <w:t>experts ont été présentés au nom de l</w:t>
      </w:r>
      <w:r>
        <w:rPr>
          <w:rFonts w:cs="Times New Roman"/>
          <w:lang w:val="fr-CA"/>
        </w:rPr>
        <w:t>’</w:t>
      </w:r>
      <w:r w:rsidRPr="00DD4D5E">
        <w:rPr>
          <w:rFonts w:cs="Times New Roman"/>
          <w:lang w:val="fr-CA"/>
        </w:rPr>
        <w:t>appelant à l</w:t>
      </w:r>
      <w:r>
        <w:rPr>
          <w:rFonts w:cs="Times New Roman"/>
          <w:lang w:val="fr-CA"/>
        </w:rPr>
        <w:t>’</w:t>
      </w:r>
      <w:r w:rsidRPr="00DD4D5E">
        <w:rPr>
          <w:rFonts w:cs="Times New Roman"/>
          <w:lang w:val="fr-CA"/>
        </w:rPr>
        <w:t>appui de sa prétention selon laquelle l</w:t>
      </w:r>
      <w:r>
        <w:rPr>
          <w:rFonts w:cs="Times New Roman"/>
          <w:lang w:val="fr-CA"/>
        </w:rPr>
        <w:t>’</w:t>
      </w:r>
      <w:r w:rsidRPr="00DD4D5E">
        <w:rPr>
          <w:rFonts w:cs="Times New Roman"/>
          <w:lang w:val="fr-CA"/>
        </w:rPr>
        <w:t>accident lui avait infligé un préjudice. Le juge de première instance les tient en grande partie pour inadmissibles (2013 BCSC 636, 46 B.C.L.R. (5th) 392). Après avoir apprécié les éléments jugés admissibles, il conclut que l</w:t>
      </w:r>
      <w:r>
        <w:rPr>
          <w:rFonts w:cs="Times New Roman"/>
          <w:lang w:val="fr-CA"/>
        </w:rPr>
        <w:t>’</w:t>
      </w:r>
      <w:r w:rsidRPr="00DD4D5E">
        <w:rPr>
          <w:rFonts w:cs="Times New Roman"/>
          <w:lang w:val="fr-CA"/>
        </w:rPr>
        <w:t>appelant n</w:t>
      </w:r>
      <w:r>
        <w:rPr>
          <w:rFonts w:cs="Times New Roman"/>
          <w:lang w:val="fr-CA"/>
        </w:rPr>
        <w:t>’</w:t>
      </w:r>
      <w:r w:rsidRPr="00DD4D5E">
        <w:rPr>
          <w:rFonts w:cs="Times New Roman"/>
          <w:lang w:val="fr-CA"/>
        </w:rPr>
        <w:t>a pas démontré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préjudice physique imputable à l</w:t>
      </w:r>
      <w:r>
        <w:rPr>
          <w:rFonts w:cs="Times New Roman"/>
          <w:lang w:val="fr-CA"/>
        </w:rPr>
        <w:t>’</w:t>
      </w:r>
      <w:r w:rsidRPr="00DD4D5E">
        <w:rPr>
          <w:rFonts w:cs="Times New Roman"/>
          <w:lang w:val="fr-CA"/>
        </w:rPr>
        <w:t xml:space="preserve">accident. Invoquant le critère de la causalité factuelle énoncé dans </w:t>
      </w:r>
      <w:r w:rsidRPr="00DD4D5E">
        <w:rPr>
          <w:rFonts w:cs="Times New Roman"/>
          <w:i/>
          <w:lang w:val="fr-CA"/>
        </w:rPr>
        <w:t>Clements c. Clements</w:t>
      </w:r>
      <w:r w:rsidRPr="00DD4D5E">
        <w:rPr>
          <w:rFonts w:cs="Times New Roman"/>
          <w:lang w:val="fr-CA"/>
        </w:rPr>
        <w:t>, 2012 CSC 32, [2012] 2 R.C.S. 181, par. 46, il conclut toutefois que l</w:t>
      </w:r>
      <w:r>
        <w:rPr>
          <w:rFonts w:cs="Times New Roman"/>
          <w:lang w:val="fr-CA"/>
        </w:rPr>
        <w:t>’</w:t>
      </w:r>
      <w:r w:rsidRPr="00DD4D5E">
        <w:rPr>
          <w:rFonts w:cs="Times New Roman"/>
          <w:lang w:val="fr-CA"/>
        </w:rPr>
        <w:t>accident a infligé à l</w:t>
      </w:r>
      <w:r>
        <w:rPr>
          <w:rFonts w:cs="Times New Roman"/>
          <w:lang w:val="fr-CA"/>
        </w:rPr>
        <w:t>’</w:t>
      </w:r>
      <w:r w:rsidRPr="00DD4D5E">
        <w:rPr>
          <w:rFonts w:cs="Times New Roman"/>
          <w:lang w:val="fr-CA"/>
        </w:rPr>
        <w:t>appelant [</w:t>
      </w:r>
      <w:r w:rsidRPr="00DD4D5E">
        <w:rPr>
          <w:rFonts w:cs="Times New Roman"/>
          <w:smallCaps/>
          <w:lang w:val="fr-CA"/>
        </w:rPr>
        <w:t>traduction</w:t>
      </w:r>
      <w:r w:rsidRPr="00DD4D5E">
        <w:rPr>
          <w:rFonts w:cs="Times New Roman"/>
          <w:lang w:val="fr-CA"/>
        </w:rPr>
        <w:t>] « des préjudices psychologiques, dont un changement de personnalité et des problèmes cognitifs » (par. 50 (CanLII)). Sa conclusion ne prend pas appui sur un diagnostic précis, mais bien sur le témoignage de proches selon lesquels, après l</w:t>
      </w:r>
      <w:r>
        <w:rPr>
          <w:rFonts w:cs="Times New Roman"/>
          <w:lang w:val="fr-CA"/>
        </w:rPr>
        <w:t>’</w:t>
      </w:r>
      <w:r w:rsidRPr="00DD4D5E">
        <w:rPr>
          <w:rFonts w:cs="Times New Roman"/>
          <w:lang w:val="fr-CA"/>
        </w:rPr>
        <w:t>accident, la personnalité de l</w:t>
      </w:r>
      <w:r>
        <w:rPr>
          <w:rFonts w:cs="Times New Roman"/>
          <w:lang w:val="fr-CA"/>
        </w:rPr>
        <w:t>’</w:t>
      </w:r>
      <w:r w:rsidRPr="00DD4D5E">
        <w:rPr>
          <w:rFonts w:cs="Times New Roman"/>
          <w:lang w:val="fr-CA"/>
        </w:rPr>
        <w:t>appelant s</w:t>
      </w:r>
      <w:r>
        <w:rPr>
          <w:rFonts w:cs="Times New Roman"/>
          <w:lang w:val="fr-CA"/>
        </w:rPr>
        <w:t>’</w:t>
      </w:r>
      <w:r w:rsidRPr="00DD4D5E">
        <w:rPr>
          <w:rFonts w:cs="Times New Roman"/>
          <w:lang w:val="fr-CA"/>
        </w:rPr>
        <w:t>est détériorée. Auparavant enjoué, énergique et charmant, il est devenu maussade et sujet aux sautes d</w:t>
      </w:r>
      <w:r>
        <w:rPr>
          <w:rFonts w:cs="Times New Roman"/>
          <w:lang w:val="fr-CA"/>
        </w:rPr>
        <w:t>’</w:t>
      </w:r>
      <w:r w:rsidRPr="00DD4D5E">
        <w:rPr>
          <w:rFonts w:cs="Times New Roman"/>
          <w:lang w:val="fr-CA"/>
        </w:rPr>
        <w:t>humeur. Ses liens étroits avec sa famille et ses amis se sont dégradés. Il se plaignait de maux de tête.</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Le juge conclut en outre que le préjudice mental de l</w:t>
      </w:r>
      <w:r>
        <w:rPr>
          <w:rFonts w:cs="Times New Roman"/>
          <w:lang w:val="fr-CA"/>
        </w:rPr>
        <w:t>’</w:t>
      </w:r>
      <w:r w:rsidRPr="00DD4D5E">
        <w:rPr>
          <w:rFonts w:cs="Times New Roman"/>
          <w:lang w:val="fr-CA"/>
        </w:rPr>
        <w:t xml:space="preserve">appelant a été aggravé par le </w:t>
      </w:r>
      <w:r>
        <w:rPr>
          <w:rFonts w:cs="Times New Roman"/>
          <w:lang w:val="fr-CA"/>
        </w:rPr>
        <w:t>troisième accident, celui du 17 </w:t>
      </w:r>
      <w:r w:rsidRPr="00DD4D5E">
        <w:rPr>
          <w:rFonts w:cs="Times New Roman"/>
          <w:lang w:val="fr-CA"/>
        </w:rPr>
        <w:t>septembre 2005. Au vu du principe dégagé dans l</w:t>
      </w:r>
      <w:r>
        <w:rPr>
          <w:rFonts w:cs="Times New Roman"/>
          <w:lang w:val="fr-CA"/>
        </w:rPr>
        <w:t>’</w:t>
      </w:r>
      <w:r w:rsidRPr="00DD4D5E">
        <w:rPr>
          <w:rFonts w:cs="Times New Roman"/>
          <w:lang w:val="fr-CA"/>
        </w:rPr>
        <w:t xml:space="preserve">arrêt </w:t>
      </w:r>
      <w:r w:rsidRPr="00DD4D5E">
        <w:rPr>
          <w:rFonts w:cs="Times New Roman"/>
          <w:i/>
          <w:lang w:val="fr-CA"/>
        </w:rPr>
        <w:t>Bradley c. Groves</w:t>
      </w:r>
      <w:r w:rsidRPr="00DD4D5E">
        <w:rPr>
          <w:rFonts w:cs="Times New Roman"/>
          <w:lang w:val="fr-CA"/>
        </w:rPr>
        <w:t>, 2010 BCCA 361, 326 D.L.R. (4th) 732, il tient le préjudice mental causé au départ par l</w:t>
      </w:r>
      <w:r>
        <w:rPr>
          <w:rFonts w:cs="Times New Roman"/>
          <w:lang w:val="fr-CA"/>
        </w:rPr>
        <w:t>’</w:t>
      </w:r>
      <w:r w:rsidRPr="00DD4D5E">
        <w:rPr>
          <w:rFonts w:cs="Times New Roman"/>
          <w:lang w:val="fr-CA"/>
        </w:rPr>
        <w:t>accident pour indissociable de tout préjudice infligé par cet autre accident. Compte tenu du changement de personnalité de l</w:t>
      </w:r>
      <w:r>
        <w:rPr>
          <w:rFonts w:cs="Times New Roman"/>
          <w:lang w:val="fr-CA"/>
        </w:rPr>
        <w:t>’</w:t>
      </w:r>
      <w:r w:rsidRPr="00DD4D5E">
        <w:rPr>
          <w:rFonts w:cs="Times New Roman"/>
          <w:lang w:val="fr-CA"/>
        </w:rPr>
        <w:t xml:space="preserve">appelant, de </w:t>
      </w:r>
      <w:r w:rsidRPr="00DD4D5E">
        <w:rPr>
          <w:rFonts w:cs="Times New Roman"/>
          <w:lang w:val="fr-CA"/>
        </w:rPr>
        <w:lastRenderedPageBreak/>
        <w:t>l</w:t>
      </w:r>
      <w:r>
        <w:rPr>
          <w:rFonts w:cs="Times New Roman"/>
          <w:lang w:val="fr-CA"/>
        </w:rPr>
        <w:t>’</w:t>
      </w:r>
      <w:r w:rsidRPr="00DD4D5E">
        <w:rPr>
          <w:rFonts w:cs="Times New Roman"/>
          <w:lang w:val="fr-CA"/>
        </w:rPr>
        <w:t>étiolement de ses liens étroits avec sa famille et ses amis, de son âge et de la période considérée, le juge accorde 100 000 $ à titre de dommages</w:t>
      </w:r>
      <w:r w:rsidRPr="00DD4D5E">
        <w:rPr>
          <w:rFonts w:cs="Times New Roman"/>
          <w:lang w:val="fr-CA"/>
        </w:rPr>
        <w:noBreakHyphen/>
        <w:t>intérêts non pécuniaires. Il rejette la demande d</w:t>
      </w:r>
      <w:r>
        <w:rPr>
          <w:rFonts w:cs="Times New Roman"/>
          <w:lang w:val="fr-CA"/>
        </w:rPr>
        <w:t>’</w:t>
      </w:r>
      <w:r w:rsidRPr="00DD4D5E">
        <w:rPr>
          <w:rFonts w:cs="Times New Roman"/>
          <w:lang w:val="fr-CA"/>
        </w:rPr>
        <w:t>indemnisation de la perte de revenus antérieure.</w:t>
      </w:r>
    </w:p>
    <w:p w:rsidR="00DE26CA" w:rsidRPr="00DD4D5E" w:rsidRDefault="00DE26CA" w:rsidP="00DE26CA">
      <w:pPr>
        <w:pStyle w:val="Title3LevelTitre3Niveau"/>
        <w:rPr>
          <w:rFonts w:cs="Times New Roman"/>
          <w:lang w:val="fr-CA"/>
        </w:rPr>
      </w:pPr>
      <w:r w:rsidRPr="00DD4D5E">
        <w:rPr>
          <w:rFonts w:cs="Times New Roman"/>
          <w:lang w:val="fr-CA"/>
        </w:rPr>
        <w:t>Cour d</w:t>
      </w:r>
      <w:r>
        <w:rPr>
          <w:rFonts w:cs="Times New Roman"/>
          <w:lang w:val="fr-CA"/>
        </w:rPr>
        <w:t>’</w:t>
      </w:r>
      <w:r w:rsidRPr="00DD4D5E">
        <w:rPr>
          <w:rFonts w:cs="Times New Roman"/>
          <w:lang w:val="fr-CA"/>
        </w:rPr>
        <w:t>appel de la Colombie</w:t>
      </w:r>
      <w:r w:rsidRPr="00DD4D5E">
        <w:rPr>
          <w:rFonts w:cs="Times New Roman"/>
          <w:lang w:val="fr-CA"/>
        </w:rPr>
        <w:noBreakHyphen/>
        <w:t>Britannique — 2015 BCCA 393, 81 B.C.L.R. (5th) 1</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En appel, les intimés ont notamment fait valoir que le juge de première instance avait eu tort d</w:t>
      </w:r>
      <w:r>
        <w:rPr>
          <w:rFonts w:cs="Times New Roman"/>
          <w:lang w:val="fr-CA"/>
        </w:rPr>
        <w:t>’</w:t>
      </w:r>
      <w:r w:rsidRPr="00DD4D5E">
        <w:rPr>
          <w:rFonts w:cs="Times New Roman"/>
          <w:lang w:val="fr-CA"/>
        </w:rPr>
        <w:t>accorder une indemnité pour préjudice mental alors que l</w:t>
      </w:r>
      <w:r>
        <w:rPr>
          <w:rFonts w:cs="Times New Roman"/>
          <w:lang w:val="fr-CA"/>
        </w:rPr>
        <w:t>’</w:t>
      </w:r>
      <w:r w:rsidRPr="00DD4D5E">
        <w:rPr>
          <w:rFonts w:cs="Times New Roman"/>
          <w:lang w:val="fr-CA"/>
        </w:rPr>
        <w:t>appelant n</w:t>
      </w:r>
      <w:r>
        <w:rPr>
          <w:rFonts w:cs="Times New Roman"/>
          <w:lang w:val="fr-CA"/>
        </w:rPr>
        <w:t>’</w:t>
      </w:r>
      <w:r w:rsidRPr="00DD4D5E">
        <w:rPr>
          <w:rFonts w:cs="Times New Roman"/>
          <w:lang w:val="fr-CA"/>
        </w:rPr>
        <w:t>avait pas fait la preuve [</w:t>
      </w:r>
      <w:r w:rsidRPr="00DD4D5E">
        <w:rPr>
          <w:rFonts w:cs="Times New Roman"/>
          <w:smallCaps/>
          <w:lang w:val="fr-CA"/>
        </w:rPr>
        <w:t>traduction</w:t>
      </w:r>
      <w:r w:rsidRPr="00DD4D5E">
        <w:rPr>
          <w:rFonts w:cs="Times New Roman"/>
          <w:lang w:val="fr-CA"/>
        </w:rPr>
        <w:t>] « d</w:t>
      </w:r>
      <w:r>
        <w:rPr>
          <w:rFonts w:cs="Times New Roman"/>
          <w:lang w:val="fr-CA"/>
        </w:rPr>
        <w:t>’</w:t>
      </w:r>
      <w:r w:rsidRPr="00DD4D5E">
        <w:rPr>
          <w:rFonts w:cs="Times New Roman"/>
          <w:lang w:val="fr-CA"/>
        </w:rPr>
        <w:t>un trouble ou d</w:t>
      </w:r>
      <w:r>
        <w:rPr>
          <w:rFonts w:cs="Times New Roman"/>
          <w:lang w:val="fr-CA"/>
        </w:rPr>
        <w:t>’</w:t>
      </w:r>
      <w:r w:rsidRPr="00DD4D5E">
        <w:rPr>
          <w:rFonts w:cs="Times New Roman"/>
          <w:lang w:val="fr-CA"/>
        </w:rPr>
        <w:t>un état psychiatrique ou psychologique médicalement reconnu » (par. 22). La Cour d</w:t>
      </w:r>
      <w:r>
        <w:rPr>
          <w:rFonts w:cs="Times New Roman"/>
          <w:lang w:val="fr-CA"/>
        </w:rPr>
        <w:t>’</w:t>
      </w:r>
      <w:r w:rsidRPr="00DD4D5E">
        <w:rPr>
          <w:rFonts w:cs="Times New Roman"/>
          <w:lang w:val="fr-CA"/>
        </w:rPr>
        <w:t>appel leur donne raison et ajoute que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tel trouble ou état doit être établie par le  « témoignage d</w:t>
      </w:r>
      <w:r>
        <w:rPr>
          <w:rFonts w:cs="Times New Roman"/>
          <w:lang w:val="fr-CA"/>
        </w:rPr>
        <w:t>’</w:t>
      </w:r>
      <w:r w:rsidRPr="00DD4D5E">
        <w:rPr>
          <w:rFonts w:cs="Times New Roman"/>
          <w:lang w:val="fr-CA"/>
        </w:rPr>
        <w:t>un médecin expert » (par. 32). Elle conclut que l</w:t>
      </w:r>
      <w:r>
        <w:rPr>
          <w:rFonts w:cs="Times New Roman"/>
          <w:lang w:val="fr-CA"/>
        </w:rPr>
        <w:t>’</w:t>
      </w:r>
      <w:r w:rsidRPr="00DD4D5E">
        <w:rPr>
          <w:rFonts w:cs="Times New Roman"/>
          <w:lang w:val="fr-CA"/>
        </w:rPr>
        <w:t xml:space="preserve">arrêt </w:t>
      </w:r>
      <w:r w:rsidRPr="00DD4D5E">
        <w:rPr>
          <w:rFonts w:cs="Times New Roman"/>
          <w:i/>
          <w:lang w:val="fr-CA"/>
        </w:rPr>
        <w:t xml:space="preserve">Mustapha </w:t>
      </w:r>
      <w:r w:rsidRPr="00DD4D5E">
        <w:rPr>
          <w:rFonts w:cs="Times New Roman"/>
          <w:lang w:val="fr-CA"/>
        </w:rPr>
        <w:t>n</w:t>
      </w:r>
      <w:r>
        <w:rPr>
          <w:rFonts w:cs="Times New Roman"/>
          <w:lang w:val="fr-CA"/>
        </w:rPr>
        <w:t>’</w:t>
      </w:r>
      <w:r w:rsidRPr="00DD4D5E">
        <w:rPr>
          <w:rFonts w:cs="Times New Roman"/>
          <w:lang w:val="fr-CA"/>
        </w:rPr>
        <w:t xml:space="preserve">a pas modifié le droit applicable à cet égard. </w:t>
      </w:r>
    </w:p>
    <w:p w:rsidR="00DE26CA" w:rsidRPr="00DD4D5E" w:rsidRDefault="00DE26CA" w:rsidP="00DE26CA">
      <w:pPr>
        <w:pStyle w:val="ParaNoNdepar-AltN"/>
        <w:tabs>
          <w:tab w:val="clear" w:pos="1152"/>
          <w:tab w:val="left" w:pos="1166"/>
        </w:tabs>
        <w:rPr>
          <w:rFonts w:eastAsiaTheme="minorHAnsi" w:cs="Times New Roman"/>
          <w:lang w:val="fr-CA"/>
        </w:rPr>
      </w:pPr>
      <w:r w:rsidRPr="00DD4D5E">
        <w:rPr>
          <w:rFonts w:cs="Times New Roman"/>
          <w:lang w:val="fr-CA"/>
        </w:rPr>
        <w:t>La Cour d</w:t>
      </w:r>
      <w:r>
        <w:rPr>
          <w:rFonts w:cs="Times New Roman"/>
          <w:lang w:val="fr-CA"/>
        </w:rPr>
        <w:t>’</w:t>
      </w:r>
      <w:r w:rsidRPr="00DD4D5E">
        <w:rPr>
          <w:rFonts w:cs="Times New Roman"/>
          <w:lang w:val="fr-CA"/>
        </w:rPr>
        <w:t>appel fait également observer que, en ordonnant l</w:t>
      </w:r>
      <w:r>
        <w:rPr>
          <w:rFonts w:cs="Times New Roman"/>
          <w:lang w:val="fr-CA"/>
        </w:rPr>
        <w:t>’</w:t>
      </w:r>
      <w:r w:rsidRPr="00DD4D5E">
        <w:rPr>
          <w:rFonts w:cs="Times New Roman"/>
          <w:lang w:val="fr-CA"/>
        </w:rPr>
        <w:t>indemnisation du préjudice mental, le juge de première instance commet l</w:t>
      </w:r>
      <w:r>
        <w:rPr>
          <w:rFonts w:cs="Times New Roman"/>
          <w:lang w:val="fr-CA"/>
        </w:rPr>
        <w:t>’</w:t>
      </w:r>
      <w:r w:rsidRPr="00DD4D5E">
        <w:rPr>
          <w:rFonts w:cs="Times New Roman"/>
          <w:lang w:val="fr-CA"/>
        </w:rPr>
        <w:t>erreur [</w:t>
      </w:r>
      <w:r w:rsidRPr="00DD4D5E">
        <w:rPr>
          <w:rFonts w:cs="Times New Roman"/>
          <w:smallCaps/>
          <w:lang w:val="fr-CA"/>
        </w:rPr>
        <w:t>traduction</w:t>
      </w:r>
      <w:r w:rsidRPr="00DD4D5E">
        <w:rPr>
          <w:rFonts w:cs="Times New Roman"/>
          <w:lang w:val="fr-CA"/>
        </w:rPr>
        <w:t>] « de statuer à partir de moyens que [l</w:t>
      </w:r>
      <w:r>
        <w:rPr>
          <w:rFonts w:cs="Times New Roman"/>
          <w:lang w:val="fr-CA"/>
        </w:rPr>
        <w:t xml:space="preserve">’appelant] </w:t>
      </w:r>
      <w:r w:rsidRPr="00DD4D5E">
        <w:rPr>
          <w:rFonts w:cs="Times New Roman"/>
          <w:lang w:val="fr-CA"/>
        </w:rPr>
        <w:t>n</w:t>
      </w:r>
      <w:r>
        <w:rPr>
          <w:rFonts w:cs="Times New Roman"/>
          <w:lang w:val="fr-CA"/>
        </w:rPr>
        <w:t>’</w:t>
      </w:r>
      <w:r w:rsidRPr="00DD4D5E">
        <w:rPr>
          <w:rFonts w:cs="Times New Roman"/>
          <w:lang w:val="fr-CA"/>
        </w:rPr>
        <w:t>a ni plaidés ni invoqués » (par. 34). Selon elle, le juge aurait plutôt dû signifier aux avocats qu</w:t>
      </w:r>
      <w:r>
        <w:rPr>
          <w:rFonts w:cs="Times New Roman"/>
          <w:lang w:val="fr-CA"/>
        </w:rPr>
        <w:t>’</w:t>
      </w:r>
      <w:r w:rsidRPr="00DD4D5E">
        <w:rPr>
          <w:rFonts w:cs="Times New Roman"/>
          <w:lang w:val="fr-CA"/>
        </w:rPr>
        <w:t>il était disposé à examiner des moyens non plaidés, donner à l</w:t>
      </w:r>
      <w:r>
        <w:rPr>
          <w:rFonts w:cs="Times New Roman"/>
          <w:lang w:val="fr-CA"/>
        </w:rPr>
        <w:t>’</w:t>
      </w:r>
      <w:r w:rsidRPr="00DD4D5E">
        <w:rPr>
          <w:rFonts w:cs="Times New Roman"/>
          <w:lang w:val="fr-CA"/>
        </w:rPr>
        <w:t>appelant la possibilité de modifier ses actes de procédure et, si la modification était autorisée, permettre aux intimés de présenter d</w:t>
      </w:r>
      <w:r>
        <w:rPr>
          <w:rFonts w:cs="Times New Roman"/>
          <w:lang w:val="fr-CA"/>
        </w:rPr>
        <w:t>’</w:t>
      </w:r>
      <w:r w:rsidRPr="00DD4D5E">
        <w:rPr>
          <w:rFonts w:cs="Times New Roman"/>
          <w:lang w:val="fr-CA"/>
        </w:rPr>
        <w:t>autres éléments de preuve et de faire valoir d</w:t>
      </w:r>
      <w:r>
        <w:rPr>
          <w:rFonts w:cs="Times New Roman"/>
          <w:lang w:val="fr-CA"/>
        </w:rPr>
        <w:t>’</w:t>
      </w:r>
      <w:r w:rsidRPr="00DD4D5E">
        <w:rPr>
          <w:rFonts w:cs="Times New Roman"/>
          <w:lang w:val="fr-CA"/>
        </w:rPr>
        <w:t xml:space="preserve">autres arguments. </w:t>
      </w:r>
    </w:p>
    <w:p w:rsidR="00DE26CA" w:rsidRPr="00DD4D5E" w:rsidRDefault="00DE26CA" w:rsidP="00DE26CA">
      <w:pPr>
        <w:pStyle w:val="Title1LevelTitre1Niveau-AltL"/>
        <w:rPr>
          <w:rFonts w:cs="Times New Roman"/>
          <w:lang w:val="fr-CA"/>
        </w:rPr>
      </w:pPr>
      <w:r w:rsidRPr="00DD4D5E">
        <w:rPr>
          <w:rFonts w:cs="Times New Roman"/>
          <w:lang w:val="fr-CA"/>
        </w:rPr>
        <w:t>Analyse</w:t>
      </w:r>
    </w:p>
    <w:p w:rsidR="00DE26CA" w:rsidRPr="00DD4D5E" w:rsidRDefault="00DE26CA" w:rsidP="00DE26CA">
      <w:pPr>
        <w:pStyle w:val="Title2LevelTitre2Niveau"/>
        <w:rPr>
          <w:rFonts w:cs="Times New Roman"/>
          <w:i w:val="0"/>
          <w:lang w:val="fr-CA"/>
        </w:rPr>
      </w:pPr>
      <w:r w:rsidRPr="00DD4D5E">
        <w:rPr>
          <w:rFonts w:cs="Times New Roman"/>
          <w:lang w:val="fr-CA"/>
        </w:rPr>
        <w:lastRenderedPageBreak/>
        <w:t>Exhaustivité des actes de procédure</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Faisant fond sur l</w:t>
      </w:r>
      <w:r>
        <w:rPr>
          <w:rFonts w:cs="Times New Roman"/>
          <w:lang w:val="fr-CA"/>
        </w:rPr>
        <w:t>’</w:t>
      </w:r>
      <w:r w:rsidRPr="00DD4D5E">
        <w:rPr>
          <w:rFonts w:cs="Times New Roman"/>
          <w:lang w:val="fr-CA"/>
        </w:rPr>
        <w:t>opinion de la Cour d</w:t>
      </w:r>
      <w:r>
        <w:rPr>
          <w:rFonts w:cs="Times New Roman"/>
          <w:lang w:val="fr-CA"/>
        </w:rPr>
        <w:t>’</w:t>
      </w:r>
      <w:r w:rsidRPr="00DD4D5E">
        <w:rPr>
          <w:rFonts w:cs="Times New Roman"/>
          <w:lang w:val="fr-CA"/>
        </w:rPr>
        <w:t>appel sur ce point, les intimés font valoir que l</w:t>
      </w:r>
      <w:r>
        <w:rPr>
          <w:rFonts w:cs="Times New Roman"/>
          <w:lang w:val="fr-CA"/>
        </w:rPr>
        <w:t>’</w:t>
      </w:r>
      <w:r w:rsidRPr="00DD4D5E">
        <w:rPr>
          <w:rFonts w:cs="Times New Roman"/>
          <w:lang w:val="fr-CA"/>
        </w:rPr>
        <w:t>octroi en première instance d</w:t>
      </w:r>
      <w:r>
        <w:rPr>
          <w:rFonts w:cs="Times New Roman"/>
          <w:lang w:val="fr-CA"/>
        </w:rPr>
        <w:t>’</w:t>
      </w:r>
      <w:r w:rsidRPr="00DD4D5E">
        <w:rPr>
          <w:rFonts w:cs="Times New Roman"/>
          <w:lang w:val="fr-CA"/>
        </w:rPr>
        <w:t>une indemnité pour préjudice mental contrevient aux principes d</w:t>
      </w:r>
      <w:r>
        <w:rPr>
          <w:rFonts w:cs="Times New Roman"/>
          <w:lang w:val="fr-CA"/>
        </w:rPr>
        <w:t>’</w:t>
      </w:r>
      <w:r w:rsidRPr="00DD4D5E">
        <w:rPr>
          <w:rFonts w:cs="Times New Roman"/>
          <w:lang w:val="fr-CA"/>
        </w:rPr>
        <w:t>équité procédurale en ce qu</w:t>
      </w:r>
      <w:r>
        <w:rPr>
          <w:rFonts w:cs="Times New Roman"/>
          <w:lang w:val="fr-CA"/>
        </w:rPr>
        <w:t>’</w:t>
      </w:r>
      <w:r w:rsidRPr="00DD4D5E">
        <w:rPr>
          <w:rFonts w:cs="Times New Roman"/>
          <w:lang w:val="fr-CA"/>
        </w:rPr>
        <w:t>il ne s</w:t>
      </w:r>
      <w:r>
        <w:rPr>
          <w:rFonts w:cs="Times New Roman"/>
          <w:lang w:val="fr-CA"/>
        </w:rPr>
        <w:t>’</w:t>
      </w:r>
      <w:r w:rsidRPr="00DD4D5E">
        <w:rPr>
          <w:rFonts w:cs="Times New Roman"/>
          <w:lang w:val="fr-CA"/>
        </w:rPr>
        <w:t>appuie ni sur les actes de procédure ni sur les plaidoiries. Bien qu</w:t>
      </w:r>
      <w:r>
        <w:rPr>
          <w:rFonts w:cs="Times New Roman"/>
          <w:lang w:val="fr-CA"/>
        </w:rPr>
        <w:t>’</w:t>
      </w:r>
      <w:r w:rsidRPr="00DD4D5E">
        <w:rPr>
          <w:rFonts w:cs="Times New Roman"/>
          <w:lang w:val="fr-CA"/>
        </w:rPr>
        <w:t>ils n</w:t>
      </w:r>
      <w:r>
        <w:rPr>
          <w:rFonts w:cs="Times New Roman"/>
          <w:lang w:val="fr-CA"/>
        </w:rPr>
        <w:t>’</w:t>
      </w:r>
      <w:r w:rsidRPr="00DD4D5E">
        <w:rPr>
          <w:rFonts w:cs="Times New Roman"/>
          <w:lang w:val="fr-CA"/>
        </w:rPr>
        <w:t>aient pas fait valoir cet argument devant la Cour d</w:t>
      </w:r>
      <w:r>
        <w:rPr>
          <w:rFonts w:cs="Times New Roman"/>
          <w:lang w:val="fr-CA"/>
        </w:rPr>
        <w:t>’</w:t>
      </w:r>
      <w:r w:rsidRPr="00DD4D5E">
        <w:rPr>
          <w:rFonts w:cs="Times New Roman"/>
          <w:lang w:val="fr-CA"/>
        </w:rPr>
        <w:t>appel, rappelons, comme ils le soutiennent aujourd</w:t>
      </w:r>
      <w:r>
        <w:rPr>
          <w:rFonts w:cs="Times New Roman"/>
          <w:lang w:val="fr-CA"/>
        </w:rPr>
        <w:t>’</w:t>
      </w:r>
      <w:r w:rsidRPr="00DD4D5E">
        <w:rPr>
          <w:rFonts w:cs="Times New Roman"/>
          <w:lang w:val="fr-CA"/>
        </w:rPr>
        <w:t>hui et comme l</w:t>
      </w:r>
      <w:r>
        <w:rPr>
          <w:rFonts w:cs="Times New Roman"/>
          <w:lang w:val="fr-CA"/>
        </w:rPr>
        <w:t>’</w:t>
      </w:r>
      <w:r w:rsidRPr="00DD4D5E">
        <w:rPr>
          <w:rFonts w:cs="Times New Roman"/>
          <w:lang w:val="fr-CA"/>
        </w:rPr>
        <w:t>affirme la Cour d</w:t>
      </w:r>
      <w:r>
        <w:rPr>
          <w:rFonts w:cs="Times New Roman"/>
          <w:lang w:val="fr-CA"/>
        </w:rPr>
        <w:t>’</w:t>
      </w:r>
      <w:r w:rsidRPr="00DD4D5E">
        <w:rPr>
          <w:rFonts w:cs="Times New Roman"/>
          <w:lang w:val="fr-CA"/>
        </w:rPr>
        <w:t>appel, qu</w:t>
      </w:r>
      <w:r>
        <w:rPr>
          <w:rFonts w:cs="Times New Roman"/>
          <w:lang w:val="fr-CA"/>
        </w:rPr>
        <w:t>’</w:t>
      </w:r>
      <w:r w:rsidRPr="00DD4D5E">
        <w:rPr>
          <w:rFonts w:cs="Times New Roman"/>
          <w:lang w:val="fr-CA"/>
        </w:rPr>
        <w:t>une affaire ne doit pas être jugée à partir de moyens qui n</w:t>
      </w:r>
      <w:r>
        <w:rPr>
          <w:rFonts w:cs="Times New Roman"/>
          <w:lang w:val="fr-CA"/>
        </w:rPr>
        <w:t>’</w:t>
      </w:r>
      <w:r w:rsidRPr="00DD4D5E">
        <w:rPr>
          <w:rFonts w:cs="Times New Roman"/>
          <w:lang w:val="fr-CA"/>
        </w:rPr>
        <w:t>ont pas été invoqués (</w:t>
      </w:r>
      <w:r w:rsidRPr="00DD4D5E">
        <w:rPr>
          <w:rFonts w:cs="Times New Roman"/>
          <w:i/>
          <w:lang w:val="fr-CA"/>
        </w:rPr>
        <w:t>Insurance Corp. of British Columbia c. Patko</w:t>
      </w:r>
      <w:r w:rsidRPr="00DD4D5E">
        <w:rPr>
          <w:rFonts w:cs="Times New Roman"/>
          <w:lang w:val="fr-CA"/>
        </w:rPr>
        <w:t xml:space="preserve">, 2008 BCCA 65, 290 D.L.R. (4th) 687, par. 37; </w:t>
      </w:r>
      <w:r w:rsidRPr="00DD4D5E">
        <w:rPr>
          <w:rFonts w:cs="Times New Roman"/>
          <w:i/>
          <w:lang w:val="fr-CA"/>
        </w:rPr>
        <w:t>Rodaro c. Royal Bank</w:t>
      </w:r>
      <w:r w:rsidRPr="00DD4D5E">
        <w:rPr>
          <w:rFonts w:cs="Times New Roman"/>
          <w:lang w:val="fr-CA"/>
        </w:rPr>
        <w:t xml:space="preserve"> </w:t>
      </w:r>
      <w:r w:rsidRPr="00DD4D5E">
        <w:rPr>
          <w:rFonts w:cs="Times New Roman"/>
          <w:i/>
          <w:lang w:val="fr-CA"/>
        </w:rPr>
        <w:t xml:space="preserve">of Canada </w:t>
      </w:r>
      <w:r w:rsidRPr="00DD4D5E">
        <w:rPr>
          <w:rFonts w:cs="Times New Roman"/>
          <w:lang w:val="fr-CA"/>
        </w:rPr>
        <w:t xml:space="preserve">(2002), 59 O.R. (3d) 74 (C.A.), par. 60; </w:t>
      </w:r>
      <w:r w:rsidRPr="00DD4D5E">
        <w:rPr>
          <w:rFonts w:cs="Times New Roman"/>
          <w:i/>
          <w:lang w:val="fr-CA"/>
        </w:rPr>
        <w:t>Burgsteden c. Long</w:t>
      </w:r>
      <w:r w:rsidRPr="00DD4D5E">
        <w:rPr>
          <w:rFonts w:cs="Times New Roman"/>
          <w:lang w:val="fr-CA"/>
        </w:rPr>
        <w:t xml:space="preserve">, 2014 SKCA 115, 378 D.L.R. (4th) 562, par. 17; </w:t>
      </w:r>
      <w:r w:rsidRPr="00DD4D5E">
        <w:rPr>
          <w:rFonts w:cs="Times New Roman"/>
          <w:i/>
          <w:lang w:val="fr-CA"/>
        </w:rPr>
        <w:t>R. c. E.M.W.</w:t>
      </w:r>
      <w:r w:rsidRPr="00DD4D5E">
        <w:rPr>
          <w:rFonts w:cs="Times New Roman"/>
          <w:lang w:val="fr-CA"/>
        </w:rPr>
        <w:t>,</w:t>
      </w:r>
      <w:r w:rsidRPr="00DD4D5E">
        <w:rPr>
          <w:rFonts w:cs="Times New Roman"/>
          <w:i/>
          <w:lang w:val="fr-CA"/>
        </w:rPr>
        <w:t xml:space="preserve"> </w:t>
      </w:r>
      <w:r w:rsidRPr="00DD4D5E">
        <w:rPr>
          <w:rFonts w:cs="Times New Roman"/>
          <w:lang w:val="fr-CA"/>
        </w:rPr>
        <w:t>2011 CSC 31, [2011] 2 R.C.S. 542, par. 4). Il s</w:t>
      </w:r>
      <w:r>
        <w:rPr>
          <w:rFonts w:cs="Times New Roman"/>
          <w:lang w:val="fr-CA"/>
        </w:rPr>
        <w:t>’</w:t>
      </w:r>
      <w:r w:rsidRPr="00DD4D5E">
        <w:rPr>
          <w:rFonts w:cs="Times New Roman"/>
          <w:lang w:val="fr-CA"/>
        </w:rPr>
        <w:t>agit là de justice naturelle : chacune des parties a le droit de connaître les arguments qu</w:t>
      </w:r>
      <w:r>
        <w:rPr>
          <w:rFonts w:cs="Times New Roman"/>
          <w:lang w:val="fr-CA"/>
        </w:rPr>
        <w:t>’</w:t>
      </w:r>
      <w:r w:rsidRPr="00DD4D5E">
        <w:rPr>
          <w:rFonts w:cs="Times New Roman"/>
          <w:lang w:val="fr-CA"/>
        </w:rPr>
        <w:t>on entend présenter contre elle et d</w:t>
      </w:r>
      <w:r>
        <w:rPr>
          <w:rFonts w:cs="Times New Roman"/>
          <w:lang w:val="fr-CA"/>
        </w:rPr>
        <w:t>’</w:t>
      </w:r>
      <w:r w:rsidRPr="00DD4D5E">
        <w:rPr>
          <w:rFonts w:cs="Times New Roman"/>
          <w:lang w:val="fr-CA"/>
        </w:rPr>
        <w:t>y répondre (</w:t>
      </w:r>
      <w:r w:rsidRPr="00DD4D5E">
        <w:rPr>
          <w:rFonts w:cs="Times New Roman"/>
          <w:i/>
          <w:lang w:val="fr-CA"/>
        </w:rPr>
        <w:t>Canada Trustco Mortgage Co. c. Renard</w:t>
      </w:r>
      <w:r w:rsidRPr="00DD4D5E">
        <w:rPr>
          <w:rFonts w:cs="Times New Roman"/>
          <w:lang w:val="fr-CA"/>
        </w:rPr>
        <w:t>, 2008 BCCA 343, 2</w:t>
      </w:r>
      <w:r w:rsidR="0049001D">
        <w:rPr>
          <w:rFonts w:cs="Times New Roman"/>
          <w:lang w:val="fr-CA"/>
        </w:rPr>
        <w:t>98 D.L.R. (4th) 216, par. 38-</w:t>
      </w:r>
      <w:r w:rsidRPr="00DD4D5E">
        <w:rPr>
          <w:rFonts w:cs="Times New Roman"/>
          <w:lang w:val="fr-CA"/>
        </w:rPr>
        <w:t xml:space="preserve">39).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Dans le cas d</w:t>
      </w:r>
      <w:r>
        <w:rPr>
          <w:rFonts w:cs="Times New Roman"/>
          <w:lang w:val="fr-CA"/>
        </w:rPr>
        <w:t>’</w:t>
      </w:r>
      <w:r w:rsidRPr="00DD4D5E">
        <w:rPr>
          <w:rFonts w:cs="Times New Roman"/>
          <w:lang w:val="fr-CA"/>
        </w:rPr>
        <w:t>une allégation de préjudice mental causé par la négligence, il suffit en règle générale que les actes de procédure fassent état de quelque manifestation d</w:t>
      </w:r>
      <w:r>
        <w:rPr>
          <w:rFonts w:cs="Times New Roman"/>
          <w:lang w:val="fr-CA"/>
        </w:rPr>
        <w:t>’</w:t>
      </w:r>
      <w:r w:rsidRPr="00DD4D5E">
        <w:rPr>
          <w:rFonts w:cs="Times New Roman"/>
          <w:lang w:val="fr-CA"/>
        </w:rPr>
        <w:t>un tel préjudice (</w:t>
      </w:r>
      <w:r w:rsidRPr="00DD4D5E">
        <w:rPr>
          <w:rFonts w:cs="Times New Roman"/>
          <w:i/>
          <w:lang w:val="fr-CA"/>
        </w:rPr>
        <w:t>Succession Odhavji c. Woodhouse</w:t>
      </w:r>
      <w:r w:rsidRPr="00DD4D5E">
        <w:rPr>
          <w:rFonts w:cs="Times New Roman"/>
          <w:lang w:val="fr-CA"/>
        </w:rPr>
        <w:t>, 2003 CSC 69, [2003] 3 R.C.S. 263, par. 74). Dans sa déclaration, l</w:t>
      </w:r>
      <w:r>
        <w:rPr>
          <w:rFonts w:cs="Times New Roman"/>
          <w:lang w:val="fr-CA"/>
        </w:rPr>
        <w:t>’</w:t>
      </w:r>
      <w:r w:rsidRPr="00DD4D5E">
        <w:rPr>
          <w:rFonts w:cs="Times New Roman"/>
          <w:lang w:val="fr-CA"/>
        </w:rPr>
        <w:t>appelant énumère divers maux qu</w:t>
      </w:r>
      <w:r>
        <w:rPr>
          <w:rFonts w:cs="Times New Roman"/>
          <w:lang w:val="fr-CA"/>
        </w:rPr>
        <w:t>’</w:t>
      </w:r>
      <w:r w:rsidRPr="00DD4D5E">
        <w:rPr>
          <w:rFonts w:cs="Times New Roman"/>
          <w:lang w:val="fr-CA"/>
        </w:rPr>
        <w:t>il attribue à l</w:t>
      </w:r>
      <w:r>
        <w:rPr>
          <w:rFonts w:cs="Times New Roman"/>
          <w:lang w:val="fr-CA"/>
        </w:rPr>
        <w:t>’</w:t>
      </w:r>
      <w:r w:rsidRPr="00DD4D5E">
        <w:rPr>
          <w:rFonts w:cs="Times New Roman"/>
          <w:lang w:val="fr-CA"/>
        </w:rPr>
        <w:t>accident, dont les suivants :</w:t>
      </w:r>
    </w:p>
    <w:p w:rsidR="00DE26CA" w:rsidRPr="00DD4D5E" w:rsidRDefault="00DE26CA" w:rsidP="00DE26CA">
      <w:pPr>
        <w:pStyle w:val="Citation-AltC"/>
        <w:spacing w:after="240"/>
        <w:ind w:hanging="1166"/>
        <w:contextualSpacing w:val="0"/>
        <w:rPr>
          <w:rFonts w:eastAsiaTheme="minorEastAsia"/>
          <w:lang w:val="fr-CA" w:eastAsia="en-US"/>
        </w:rPr>
      </w:pPr>
      <w:r w:rsidRPr="00DD4D5E">
        <w:rPr>
          <w:rFonts w:eastAsiaTheme="minorEastAsia"/>
          <w:lang w:val="fr-CA" w:eastAsia="en-US"/>
        </w:rPr>
        <w:tab/>
        <w:t>[</w:t>
      </w:r>
      <w:r w:rsidRPr="00DD4D5E">
        <w:rPr>
          <w:rFonts w:eastAsiaTheme="minorEastAsia"/>
          <w:smallCaps/>
          <w:lang w:val="fr-CA" w:eastAsia="en-US"/>
        </w:rPr>
        <w:t>traduction</w:t>
      </w:r>
      <w:r w:rsidRPr="00DD4D5E">
        <w:rPr>
          <w:rFonts w:eastAsiaTheme="minorEastAsia"/>
          <w:lang w:val="fr-CA" w:eastAsia="en-US"/>
        </w:rPr>
        <w:t>]</w:t>
      </w:r>
    </w:p>
    <w:p w:rsidR="00DE26CA" w:rsidRPr="00DD4D5E" w:rsidRDefault="00DE26CA" w:rsidP="00DE26CA">
      <w:pPr>
        <w:pStyle w:val="Citation-AltC"/>
        <w:numPr>
          <w:ilvl w:val="0"/>
          <w:numId w:val="6"/>
        </w:numPr>
        <w:tabs>
          <w:tab w:val="left" w:pos="1620"/>
        </w:tabs>
        <w:spacing w:after="240"/>
        <w:contextualSpacing w:val="0"/>
        <w:rPr>
          <w:lang w:val="fr-CA"/>
        </w:rPr>
      </w:pPr>
      <w:r w:rsidRPr="00DD4D5E">
        <w:rPr>
          <w:lang w:val="fr-CA"/>
        </w:rPr>
        <w:lastRenderedPageBreak/>
        <w:t>tout autre préjudice que pourrait révéler un examen ou rapport médical et dont le détail sera communiqué sans délai;</w:t>
      </w:r>
    </w:p>
    <w:p w:rsidR="00DE26CA" w:rsidRPr="00DD4D5E" w:rsidRDefault="00DE26CA" w:rsidP="00DE26CA">
      <w:pPr>
        <w:pStyle w:val="Citation-AltC"/>
        <w:spacing w:after="240"/>
        <w:ind w:left="1168" w:hanging="1168"/>
        <w:contextualSpacing w:val="0"/>
        <w:rPr>
          <w:lang w:val="fr-CA"/>
        </w:rPr>
      </w:pPr>
      <w:r>
        <w:rPr>
          <w:lang w:val="fr-CA"/>
        </w:rPr>
        <w:tab/>
      </w:r>
      <w:r w:rsidRPr="00DD4D5E">
        <w:rPr>
          <w:lang w:val="fr-CA"/>
        </w:rPr>
        <w:t>ainsi que les conséquences de ces préjudices sur le demandeur, dont les maux de tête, la fatigue, les vertiges, les nausées et l</w:t>
      </w:r>
      <w:r>
        <w:rPr>
          <w:lang w:val="fr-CA"/>
        </w:rPr>
        <w:t>’</w:t>
      </w:r>
      <w:r w:rsidRPr="00DD4D5E">
        <w:rPr>
          <w:lang w:val="fr-CA"/>
        </w:rPr>
        <w:t>insomnie</w:t>
      </w:r>
      <w:r w:rsidR="00D866EB">
        <w:rPr>
          <w:lang w:val="fr-CA"/>
        </w:rPr>
        <w:t>.</w:t>
      </w:r>
      <w:r w:rsidRPr="00DD4D5E">
        <w:rPr>
          <w:lang w:val="fr-CA"/>
        </w:rPr>
        <w:t xml:space="preserve"> </w:t>
      </w:r>
    </w:p>
    <w:p w:rsidR="00DE26CA" w:rsidRPr="00DD4D5E" w:rsidRDefault="00DE26CA" w:rsidP="00DE26CA">
      <w:pPr>
        <w:pStyle w:val="Citation-AltC"/>
        <w:tabs>
          <w:tab w:val="left" w:pos="1170"/>
        </w:tabs>
        <w:ind w:left="0"/>
        <w:contextualSpacing w:val="0"/>
        <w:rPr>
          <w:lang w:val="fr-CA"/>
        </w:rPr>
      </w:pPr>
      <w:r w:rsidRPr="00DD4D5E">
        <w:rPr>
          <w:lang w:val="fr-CA"/>
        </w:rPr>
        <w:t>(d.i., vol. I, p. 7)</w:t>
      </w:r>
    </w:p>
    <w:p w:rsidR="00DE26CA" w:rsidRPr="00DD4D5E" w:rsidRDefault="00DE26CA" w:rsidP="00DE26CA">
      <w:pPr>
        <w:pStyle w:val="ContinueParaSuitedupar-AltP"/>
        <w:rPr>
          <w:rFonts w:cs="Times New Roman"/>
          <w:lang w:val="fr-CA"/>
        </w:rPr>
      </w:pPr>
      <w:r w:rsidRPr="00DD4D5E">
        <w:rPr>
          <w:rFonts w:cs="Times New Roman"/>
          <w:lang w:val="fr-CA"/>
        </w:rPr>
        <w:t>L</w:t>
      </w:r>
      <w:r>
        <w:rPr>
          <w:rFonts w:cs="Times New Roman"/>
          <w:lang w:val="fr-CA"/>
        </w:rPr>
        <w:t>’</w:t>
      </w:r>
      <w:r w:rsidR="00E902E7">
        <w:rPr>
          <w:rFonts w:cs="Times New Roman"/>
          <w:lang w:val="fr-CA"/>
        </w:rPr>
        <w:t>appelant réclame également des</w:t>
      </w:r>
      <w:r w:rsidRPr="00DD4D5E">
        <w:rPr>
          <w:rFonts w:cs="Times New Roman"/>
          <w:lang w:val="fr-CA"/>
        </w:rPr>
        <w:t xml:space="preserve"> « dommages</w:t>
      </w:r>
      <w:r w:rsidRPr="00DD4D5E">
        <w:rPr>
          <w:rFonts w:cs="Times New Roman"/>
          <w:lang w:val="fr-CA"/>
        </w:rPr>
        <w:noBreakHyphen/>
        <w:t>intérêts généraux pour souffrances et douleurs, perte de capacité lucrative pour le passé, le présent et l</w:t>
      </w:r>
      <w:r>
        <w:rPr>
          <w:rFonts w:cs="Times New Roman"/>
          <w:lang w:val="fr-CA"/>
        </w:rPr>
        <w:t>’</w:t>
      </w:r>
      <w:r w:rsidRPr="00DD4D5E">
        <w:rPr>
          <w:rFonts w:cs="Times New Roman"/>
          <w:lang w:val="fr-CA"/>
        </w:rPr>
        <w:t>avenir, manque à gagner, perte de jouissance de la vie,</w:t>
      </w:r>
      <w:r w:rsidR="00116E73">
        <w:rPr>
          <w:rFonts w:cs="Times New Roman"/>
          <w:lang w:val="fr-CA"/>
        </w:rPr>
        <w:t xml:space="preserve"> perte de santé physique . . .</w:t>
      </w:r>
      <w:r w:rsidRPr="00DD4D5E">
        <w:rPr>
          <w:rFonts w:cs="Times New Roman"/>
          <w:lang w:val="fr-CA"/>
        </w:rPr>
        <w:t> » (d.i., vol. I, p. 7).</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Au procès, l</w:t>
      </w:r>
      <w:r>
        <w:rPr>
          <w:rFonts w:cs="Times New Roman"/>
          <w:lang w:val="fr-CA"/>
        </w:rPr>
        <w:t>’</w:t>
      </w:r>
      <w:r w:rsidRPr="00DD4D5E">
        <w:rPr>
          <w:rFonts w:cs="Times New Roman"/>
          <w:lang w:val="fr-CA"/>
        </w:rPr>
        <w:t>appelant a produit le rapport d</w:t>
      </w:r>
      <w:r>
        <w:rPr>
          <w:rFonts w:cs="Times New Roman"/>
          <w:lang w:val="fr-CA"/>
        </w:rPr>
        <w:t>’</w:t>
      </w:r>
      <w:r w:rsidRPr="00DD4D5E">
        <w:rPr>
          <w:rFonts w:cs="Times New Roman"/>
          <w:lang w:val="fr-CA"/>
        </w:rPr>
        <w:t>expert du D</w:t>
      </w:r>
      <w:r w:rsidRPr="00DD4D5E">
        <w:rPr>
          <w:rFonts w:cs="Times New Roman"/>
          <w:vertAlign w:val="superscript"/>
          <w:lang w:val="fr-CA"/>
        </w:rPr>
        <w:t>r</w:t>
      </w:r>
      <w:r w:rsidRPr="00DD4D5E">
        <w:rPr>
          <w:rFonts w:cs="Times New Roman"/>
          <w:lang w:val="fr-CA"/>
        </w:rPr>
        <w:t> </w:t>
      </w:r>
      <w:r>
        <w:rPr>
          <w:rFonts w:cs="Times New Roman"/>
          <w:lang w:val="fr-CA"/>
        </w:rPr>
        <w:t xml:space="preserve">Hiram </w:t>
      </w:r>
      <w:r w:rsidRPr="00DD4D5E">
        <w:rPr>
          <w:rFonts w:cs="Times New Roman"/>
          <w:lang w:val="fr-CA"/>
        </w:rPr>
        <w:t>Mok, psychiatre, qui lui avait diagnostiqué certains troubles mentaux (mais sans indiquer clairement qu</w:t>
      </w:r>
      <w:r>
        <w:rPr>
          <w:rFonts w:cs="Times New Roman"/>
          <w:lang w:val="fr-CA"/>
        </w:rPr>
        <w:t>’</w:t>
      </w:r>
      <w:r w:rsidRPr="00DD4D5E">
        <w:rPr>
          <w:rFonts w:cs="Times New Roman"/>
          <w:lang w:val="fr-CA"/>
        </w:rPr>
        <w:t>ils étaient attribuables à l</w:t>
      </w:r>
      <w:r>
        <w:rPr>
          <w:rFonts w:cs="Times New Roman"/>
          <w:lang w:val="fr-CA"/>
        </w:rPr>
        <w:t>’</w:t>
      </w:r>
      <w:r w:rsidRPr="00DD4D5E">
        <w:rPr>
          <w:rFonts w:cs="Times New Roman"/>
          <w:lang w:val="fr-CA"/>
        </w:rPr>
        <w:t>accident ou aux accidents subséquents). Dans sa plaidoirie écrite finale, l</w:t>
      </w:r>
      <w:r>
        <w:rPr>
          <w:rFonts w:cs="Times New Roman"/>
          <w:lang w:val="fr-CA"/>
        </w:rPr>
        <w:t>’</w:t>
      </w:r>
      <w:r w:rsidRPr="00DD4D5E">
        <w:rPr>
          <w:rFonts w:cs="Times New Roman"/>
          <w:lang w:val="fr-CA"/>
        </w:rPr>
        <w:t>appelant a aussi allégué la manifestation d</w:t>
      </w:r>
      <w:r>
        <w:rPr>
          <w:rFonts w:cs="Times New Roman"/>
          <w:lang w:val="fr-CA"/>
        </w:rPr>
        <w:t>’</w:t>
      </w:r>
      <w:r w:rsidRPr="00DD4D5E">
        <w:rPr>
          <w:rFonts w:cs="Times New Roman"/>
          <w:lang w:val="fr-CA"/>
        </w:rPr>
        <w:t>une réaction psychologique à l</w:t>
      </w:r>
      <w:r>
        <w:rPr>
          <w:rFonts w:cs="Times New Roman"/>
          <w:lang w:val="fr-CA"/>
        </w:rPr>
        <w:t>’</w:t>
      </w:r>
      <w:r w:rsidRPr="00DD4D5E">
        <w:rPr>
          <w:rFonts w:cs="Times New Roman"/>
          <w:lang w:val="fr-CA"/>
        </w:rPr>
        <w:t>accident (autrement dit, un préjudice mental) :</w:t>
      </w:r>
    </w:p>
    <w:p w:rsidR="00DE26CA" w:rsidRPr="00DD4D5E" w:rsidRDefault="00DE26CA" w:rsidP="00DE26CA">
      <w:pPr>
        <w:pStyle w:val="Citation-AltC"/>
        <w:spacing w:after="240"/>
        <w:ind w:hanging="1166"/>
        <w:contextualSpacing w:val="0"/>
        <w:rPr>
          <w:lang w:val="fr-CA"/>
        </w:rPr>
      </w:pPr>
      <w:r w:rsidRPr="00DD4D5E">
        <w:rPr>
          <w:lang w:val="fr-CA"/>
        </w:rPr>
        <w:tab/>
        <w:t>[</w:t>
      </w:r>
      <w:r w:rsidRPr="00DD4D5E">
        <w:rPr>
          <w:rFonts w:eastAsiaTheme="minorEastAsia"/>
          <w:smallCaps/>
          <w:lang w:val="fr-CA" w:eastAsia="en-US"/>
        </w:rPr>
        <w:t>traduction</w:t>
      </w:r>
      <w:r w:rsidR="00E902E7">
        <w:rPr>
          <w:lang w:val="fr-CA"/>
        </w:rPr>
        <w:t xml:space="preserve">] </w:t>
      </w:r>
      <w:r w:rsidRPr="00DD4D5E">
        <w:rPr>
          <w:u w:val="single"/>
          <w:lang w:val="fr-CA"/>
        </w:rPr>
        <w:t>Si la Cour ne conclut pas à une commotion avérée, il appert malgré tout de la preuve que le demandeur a été victime d</w:t>
      </w:r>
      <w:r>
        <w:rPr>
          <w:u w:val="single"/>
          <w:lang w:val="fr-CA"/>
        </w:rPr>
        <w:t>’</w:t>
      </w:r>
      <w:r w:rsidRPr="00DD4D5E">
        <w:rPr>
          <w:u w:val="single"/>
          <w:lang w:val="fr-CA"/>
        </w:rPr>
        <w:t>un changement de personnalité, de sautes d</w:t>
      </w:r>
      <w:r>
        <w:rPr>
          <w:u w:val="single"/>
          <w:lang w:val="fr-CA"/>
        </w:rPr>
        <w:t>’</w:t>
      </w:r>
      <w:r w:rsidRPr="00DD4D5E">
        <w:rPr>
          <w:u w:val="single"/>
          <w:lang w:val="fr-CA"/>
        </w:rPr>
        <w:t>humeur, de pertes de mémoire et de problèmes cognitifs par suite de l</w:t>
      </w:r>
      <w:r>
        <w:rPr>
          <w:u w:val="single"/>
          <w:lang w:val="fr-CA"/>
        </w:rPr>
        <w:t>’</w:t>
      </w:r>
      <w:r w:rsidRPr="00DD4D5E">
        <w:rPr>
          <w:u w:val="single"/>
          <w:lang w:val="fr-CA"/>
        </w:rPr>
        <w:t>accident du 5 juillet 2005.</w:t>
      </w:r>
    </w:p>
    <w:p w:rsidR="00DE26CA" w:rsidRPr="00DD4D5E" w:rsidRDefault="00F33A1B" w:rsidP="00DE26CA">
      <w:pPr>
        <w:pStyle w:val="Citation-AltC"/>
        <w:spacing w:after="240"/>
        <w:ind w:hanging="1166"/>
        <w:contextualSpacing w:val="0"/>
        <w:rPr>
          <w:lang w:val="fr-CA"/>
        </w:rPr>
      </w:pPr>
      <w:r>
        <w:rPr>
          <w:lang w:val="fr-CA"/>
        </w:rPr>
        <w:tab/>
      </w:r>
      <w:r w:rsidR="00DE26CA" w:rsidRPr="00DD4D5E">
        <w:rPr>
          <w:lang w:val="fr-CA"/>
        </w:rPr>
        <w:t>Si cet état de fait n</w:t>
      </w:r>
      <w:r w:rsidR="00DE26CA">
        <w:rPr>
          <w:lang w:val="fr-CA"/>
        </w:rPr>
        <w:t>’</w:t>
      </w:r>
      <w:r w:rsidR="00DE26CA" w:rsidRPr="00DD4D5E">
        <w:rPr>
          <w:lang w:val="fr-CA"/>
        </w:rPr>
        <w:t>a pas été causé par une commotion, il doit l</w:t>
      </w:r>
      <w:r w:rsidR="00DE26CA">
        <w:rPr>
          <w:lang w:val="fr-CA"/>
        </w:rPr>
        <w:t>’</w:t>
      </w:r>
      <w:r w:rsidR="00DE26CA" w:rsidRPr="00DD4D5E">
        <w:rPr>
          <w:lang w:val="fr-CA"/>
        </w:rPr>
        <w:t xml:space="preserve">avoir été par autre chose. </w:t>
      </w:r>
      <w:r w:rsidR="00DE26CA" w:rsidRPr="00DD4D5E">
        <w:rPr>
          <w:u w:val="single"/>
          <w:lang w:val="fr-CA"/>
        </w:rPr>
        <w:t>La seule conclusion logique est qu</w:t>
      </w:r>
      <w:r w:rsidR="00DE26CA">
        <w:rPr>
          <w:u w:val="single"/>
          <w:lang w:val="fr-CA"/>
        </w:rPr>
        <w:t>’</w:t>
      </w:r>
      <w:r w:rsidR="00DE26CA" w:rsidRPr="00DD4D5E">
        <w:rPr>
          <w:u w:val="single"/>
          <w:lang w:val="fr-CA"/>
        </w:rPr>
        <w:t>il a été causé par une réaction psychologique à l</w:t>
      </w:r>
      <w:r w:rsidR="00DE26CA">
        <w:rPr>
          <w:u w:val="single"/>
          <w:lang w:val="fr-CA"/>
        </w:rPr>
        <w:t>’</w:t>
      </w:r>
      <w:r w:rsidR="00DE26CA" w:rsidRPr="00DD4D5E">
        <w:rPr>
          <w:u w:val="single"/>
          <w:lang w:val="fr-CA"/>
        </w:rPr>
        <w:t>accident</w:t>
      </w:r>
      <w:r w:rsidR="00DE26CA" w:rsidRPr="00DD4D5E">
        <w:rPr>
          <w:lang w:val="fr-CA"/>
        </w:rPr>
        <w:t>, par de nouvelles douleurs ou par l</w:t>
      </w:r>
      <w:r w:rsidR="00DE26CA">
        <w:rPr>
          <w:lang w:val="fr-CA"/>
        </w:rPr>
        <w:t>’</w:t>
      </w:r>
      <w:r w:rsidR="00DE26CA" w:rsidRPr="00DD4D5E">
        <w:rPr>
          <w:lang w:val="fr-CA"/>
        </w:rPr>
        <w:t>aggravation d</w:t>
      </w:r>
      <w:r w:rsidR="00DE26CA">
        <w:rPr>
          <w:lang w:val="fr-CA"/>
        </w:rPr>
        <w:t>’</w:t>
      </w:r>
      <w:r w:rsidR="00DE26CA" w:rsidRPr="00DD4D5E">
        <w:rPr>
          <w:lang w:val="fr-CA"/>
        </w:rPr>
        <w:t>anciennes douleurs.</w:t>
      </w:r>
    </w:p>
    <w:p w:rsidR="00DE26CA" w:rsidRPr="00DD4D5E" w:rsidRDefault="00DE26CA" w:rsidP="00DE26CA">
      <w:pPr>
        <w:pStyle w:val="Citation-AltC"/>
        <w:spacing w:after="240"/>
        <w:ind w:hanging="1166"/>
        <w:contextualSpacing w:val="0"/>
        <w:jc w:val="center"/>
        <w:rPr>
          <w:lang w:val="fr-CA"/>
        </w:rPr>
      </w:pPr>
      <w:r>
        <w:rPr>
          <w:lang w:val="fr-CA"/>
        </w:rPr>
        <w:tab/>
      </w:r>
      <w:r w:rsidRPr="00DD4D5E">
        <w:rPr>
          <w:lang w:val="fr-CA"/>
        </w:rPr>
        <w:t>. . .</w:t>
      </w:r>
    </w:p>
    <w:p w:rsidR="00DE26CA" w:rsidRPr="00DD4D5E" w:rsidRDefault="00F33A1B" w:rsidP="00DE26CA">
      <w:pPr>
        <w:pStyle w:val="Citation-AltC"/>
        <w:spacing w:after="240"/>
        <w:ind w:hanging="1166"/>
        <w:contextualSpacing w:val="0"/>
        <w:rPr>
          <w:lang w:val="fr-CA"/>
        </w:rPr>
      </w:pPr>
      <w:r>
        <w:rPr>
          <w:lang w:val="fr-CA"/>
        </w:rPr>
        <w:tab/>
      </w:r>
      <w:r w:rsidR="00DE26CA" w:rsidRPr="00DD4D5E">
        <w:rPr>
          <w:u w:val="single"/>
          <w:lang w:val="fr-CA"/>
        </w:rPr>
        <w:t>Partant, si la Cour conclut que M. Mohsen n</w:t>
      </w:r>
      <w:r w:rsidR="00DE26CA">
        <w:rPr>
          <w:u w:val="single"/>
          <w:lang w:val="fr-CA"/>
        </w:rPr>
        <w:t>’</w:t>
      </w:r>
      <w:r w:rsidR="00DE26CA" w:rsidRPr="00DD4D5E">
        <w:rPr>
          <w:u w:val="single"/>
          <w:lang w:val="fr-CA"/>
        </w:rPr>
        <w:t>a pas subi de commotion, nous soutenons que, selon la prépondérance des probabilités, la seule conclusion logique est que les problèmes mnésiques et cognitifs de M. Mohsen, ainsi que son changement de personnalité, sont imputables à l</w:t>
      </w:r>
      <w:r w:rsidR="00DE26CA">
        <w:rPr>
          <w:u w:val="single"/>
          <w:lang w:val="fr-CA"/>
        </w:rPr>
        <w:t>’</w:t>
      </w:r>
      <w:r w:rsidR="00DE26CA" w:rsidRPr="00DD4D5E">
        <w:rPr>
          <w:u w:val="single"/>
          <w:lang w:val="fr-CA"/>
        </w:rPr>
        <w:t xml:space="preserve">accident de juillet </w:t>
      </w:r>
      <w:r w:rsidR="00DE26CA" w:rsidRPr="00DD4D5E">
        <w:rPr>
          <w:u w:val="single"/>
          <w:lang w:val="fr-CA"/>
        </w:rPr>
        <w:lastRenderedPageBreak/>
        <w:t>2005</w:t>
      </w:r>
      <w:r w:rsidR="00DE26CA" w:rsidRPr="00DD4D5E">
        <w:rPr>
          <w:lang w:val="fr-CA"/>
        </w:rPr>
        <w:t>, ce qui a aggravé le préjudice infligé par l</w:t>
      </w:r>
      <w:r w:rsidR="00DE26CA">
        <w:rPr>
          <w:lang w:val="fr-CA"/>
        </w:rPr>
        <w:t>’</w:t>
      </w:r>
      <w:r w:rsidR="00DE26CA" w:rsidRPr="00DD4D5E">
        <w:rPr>
          <w:lang w:val="fr-CA"/>
        </w:rPr>
        <w:t>accident de janvier 2003 et qui a été exacerbé par l</w:t>
      </w:r>
      <w:r w:rsidR="00DE26CA">
        <w:rPr>
          <w:lang w:val="fr-CA"/>
        </w:rPr>
        <w:t>’</w:t>
      </w:r>
      <w:r w:rsidR="00DE26CA" w:rsidRPr="00DD4D5E">
        <w:rPr>
          <w:lang w:val="fr-CA"/>
        </w:rPr>
        <w:t>accident de septembre 2005. [Je souligne.]</w:t>
      </w:r>
    </w:p>
    <w:p w:rsidR="00DE26CA" w:rsidRPr="00DD4D5E" w:rsidRDefault="00DE26CA" w:rsidP="00DE26CA">
      <w:pPr>
        <w:pStyle w:val="Citation-AltC"/>
        <w:ind w:hanging="1166"/>
        <w:contextualSpacing w:val="0"/>
        <w:rPr>
          <w:lang w:val="fr-CA"/>
        </w:rPr>
      </w:pPr>
      <w:r w:rsidRPr="00DD4D5E">
        <w:rPr>
          <w:lang w:val="fr-CA"/>
        </w:rPr>
        <w:t>(d.i., vol</w:t>
      </w:r>
      <w:r w:rsidR="00723281">
        <w:rPr>
          <w:lang w:val="fr-CA"/>
        </w:rPr>
        <w:t>.</w:t>
      </w:r>
      <w:r w:rsidRPr="00DD4D5E">
        <w:rPr>
          <w:lang w:val="fr-CA"/>
        </w:rPr>
        <w:t> I, p. 285)</w:t>
      </w:r>
    </w:p>
    <w:p w:rsidR="00DE26CA" w:rsidRPr="00DD4D5E" w:rsidRDefault="00DE26CA" w:rsidP="00DE26CA">
      <w:pPr>
        <w:pStyle w:val="ContinueParaSuitedupar-AltP"/>
        <w:rPr>
          <w:rFonts w:cs="Times New Roman"/>
          <w:lang w:val="fr-CA"/>
        </w:rPr>
      </w:pPr>
      <w:r w:rsidRPr="00DD4D5E">
        <w:rPr>
          <w:rFonts w:cs="Times New Roman"/>
          <w:lang w:val="fr-CA"/>
        </w:rPr>
        <w:t>L</w:t>
      </w:r>
      <w:r>
        <w:rPr>
          <w:rFonts w:cs="Times New Roman"/>
          <w:lang w:val="fr-CA"/>
        </w:rPr>
        <w:t>’</w:t>
      </w:r>
      <w:r w:rsidRPr="00DD4D5E">
        <w:rPr>
          <w:rFonts w:cs="Times New Roman"/>
          <w:lang w:val="fr-CA"/>
        </w:rPr>
        <w:t>appelant tient un raisonnement analogue dans sa plaidoirie orale :</w:t>
      </w:r>
    </w:p>
    <w:p w:rsidR="00DE26CA" w:rsidRPr="00DD4D5E" w:rsidRDefault="00DE26CA" w:rsidP="00DE26CA">
      <w:pPr>
        <w:pStyle w:val="Citation-AltC"/>
        <w:spacing w:after="240"/>
        <w:ind w:hanging="1166"/>
        <w:contextualSpacing w:val="0"/>
        <w:rPr>
          <w:lang w:val="fr-CA"/>
        </w:rPr>
      </w:pPr>
      <w:r w:rsidRPr="00DD4D5E">
        <w:rPr>
          <w:lang w:val="fr-CA"/>
        </w:rPr>
        <w:tab/>
      </w:r>
      <w:r w:rsidR="00D83858">
        <w:rPr>
          <w:lang w:val="fr-CA"/>
        </w:rPr>
        <w:tab/>
      </w:r>
      <w:r w:rsidRPr="00DD4D5E">
        <w:rPr>
          <w:lang w:val="fr-CA"/>
        </w:rPr>
        <w:t>[</w:t>
      </w:r>
      <w:r w:rsidRPr="00DD4D5E">
        <w:rPr>
          <w:rFonts w:eastAsiaTheme="minorEastAsia"/>
          <w:smallCaps/>
          <w:lang w:val="fr-CA" w:eastAsia="en-US"/>
        </w:rPr>
        <w:t>traduction</w:t>
      </w:r>
      <w:r w:rsidRPr="00DD4D5E">
        <w:rPr>
          <w:lang w:val="fr-CA"/>
        </w:rPr>
        <w:t xml:space="preserve">] Bon. Évidemment, </w:t>
      </w:r>
      <w:r w:rsidRPr="00DD4D5E">
        <w:rPr>
          <w:u w:val="single"/>
          <w:lang w:val="fr-CA"/>
        </w:rPr>
        <w:t>si le tribunal conclut que la commotion n</w:t>
      </w:r>
      <w:r>
        <w:rPr>
          <w:u w:val="single"/>
          <w:lang w:val="fr-CA"/>
        </w:rPr>
        <w:t>’</w:t>
      </w:r>
      <w:r w:rsidRPr="00DD4D5E">
        <w:rPr>
          <w:u w:val="single"/>
          <w:lang w:val="fr-CA"/>
        </w:rPr>
        <w:t>est pas avérée, nous faisons valoir à titre subsidiaire qu</w:t>
      </w:r>
      <w:r>
        <w:rPr>
          <w:u w:val="single"/>
          <w:lang w:val="fr-CA"/>
        </w:rPr>
        <w:t>’</w:t>
      </w:r>
      <w:r w:rsidRPr="00DD4D5E">
        <w:rPr>
          <w:u w:val="single"/>
          <w:lang w:val="fr-CA"/>
        </w:rPr>
        <w:t>il appert tout de même de la preuve qu</w:t>
      </w:r>
      <w:r>
        <w:rPr>
          <w:u w:val="single"/>
          <w:lang w:val="fr-CA"/>
        </w:rPr>
        <w:t>’</w:t>
      </w:r>
      <w:r w:rsidRPr="00DD4D5E">
        <w:rPr>
          <w:u w:val="single"/>
          <w:lang w:val="fr-CA"/>
        </w:rPr>
        <w:t>il souffre de douleurs chroniques et d</w:t>
      </w:r>
      <w:r>
        <w:rPr>
          <w:u w:val="single"/>
          <w:lang w:val="fr-CA"/>
        </w:rPr>
        <w:t>’</w:t>
      </w:r>
      <w:r w:rsidRPr="00DD4D5E">
        <w:rPr>
          <w:u w:val="single"/>
          <w:lang w:val="fr-CA"/>
        </w:rPr>
        <w:t>une forme de réaction émotionnelle qui ont provoqué chez lui des problèmes mnésiques et cognitifs, ainsi que des sautes d</w:t>
      </w:r>
      <w:r>
        <w:rPr>
          <w:u w:val="single"/>
          <w:lang w:val="fr-CA"/>
        </w:rPr>
        <w:t>’</w:t>
      </w:r>
      <w:r w:rsidRPr="00DD4D5E">
        <w:rPr>
          <w:u w:val="single"/>
          <w:lang w:val="fr-CA"/>
        </w:rPr>
        <w:t>humeur, par suite de l</w:t>
      </w:r>
      <w:r>
        <w:rPr>
          <w:u w:val="single"/>
          <w:lang w:val="fr-CA"/>
        </w:rPr>
        <w:t>’</w:t>
      </w:r>
      <w:r w:rsidRPr="00DD4D5E">
        <w:rPr>
          <w:u w:val="single"/>
          <w:lang w:val="fr-CA"/>
        </w:rPr>
        <w:t>accident de juillet 2005</w:t>
      </w:r>
      <w:r w:rsidRPr="00DD4D5E">
        <w:rPr>
          <w:lang w:val="fr-CA"/>
        </w:rPr>
        <w:t>, ce dont il n</w:t>
      </w:r>
      <w:r>
        <w:rPr>
          <w:lang w:val="fr-CA"/>
        </w:rPr>
        <w:t>’</w:t>
      </w:r>
      <w:r w:rsidRPr="00DD4D5E">
        <w:rPr>
          <w:lang w:val="fr-CA"/>
        </w:rPr>
        <w:t>aurait pas souffert n</w:t>
      </w:r>
      <w:r>
        <w:rPr>
          <w:lang w:val="fr-CA"/>
        </w:rPr>
        <w:t>’</w:t>
      </w:r>
      <w:r w:rsidRPr="00DD4D5E">
        <w:rPr>
          <w:lang w:val="fr-CA"/>
        </w:rPr>
        <w:t>eût été l</w:t>
      </w:r>
      <w:r>
        <w:rPr>
          <w:lang w:val="fr-CA"/>
        </w:rPr>
        <w:t>’</w:t>
      </w:r>
      <w:r w:rsidRPr="00DD4D5E">
        <w:rPr>
          <w:lang w:val="fr-CA"/>
        </w:rPr>
        <w:t xml:space="preserve">accident. </w:t>
      </w:r>
    </w:p>
    <w:p w:rsidR="00DE26CA" w:rsidRPr="00DD4D5E" w:rsidRDefault="00DE26CA" w:rsidP="00DE26CA">
      <w:pPr>
        <w:pStyle w:val="Citation-AltC"/>
        <w:spacing w:after="240"/>
        <w:ind w:left="1168" w:hanging="1168"/>
        <w:contextualSpacing w:val="0"/>
        <w:jc w:val="center"/>
        <w:rPr>
          <w:lang w:val="fr-CA"/>
        </w:rPr>
      </w:pPr>
      <w:r>
        <w:rPr>
          <w:lang w:val="fr-CA"/>
        </w:rPr>
        <w:tab/>
      </w:r>
      <w:r w:rsidRPr="00DD4D5E">
        <w:rPr>
          <w:lang w:val="fr-CA"/>
        </w:rPr>
        <w:t>. . .</w:t>
      </w:r>
    </w:p>
    <w:p w:rsidR="00DE26CA" w:rsidRPr="00DD4D5E" w:rsidRDefault="00DE26CA" w:rsidP="00DE26CA">
      <w:pPr>
        <w:pStyle w:val="Citation-AltC"/>
        <w:spacing w:after="240"/>
        <w:ind w:hanging="1166"/>
        <w:contextualSpacing w:val="0"/>
        <w:rPr>
          <w:lang w:val="fr-CA"/>
        </w:rPr>
      </w:pPr>
      <w:r w:rsidRPr="00DD4D5E">
        <w:rPr>
          <w:lang w:val="fr-CA"/>
        </w:rPr>
        <w:tab/>
      </w:r>
      <w:r w:rsidRPr="00DD4D5E">
        <w:rPr>
          <w:lang w:val="fr-CA"/>
        </w:rPr>
        <w:tab/>
        <w:t>Nous affirmons que c</w:t>
      </w:r>
      <w:r>
        <w:rPr>
          <w:lang w:val="fr-CA"/>
        </w:rPr>
        <w:t>’</w:t>
      </w:r>
      <w:r w:rsidRPr="00DD4D5E">
        <w:rPr>
          <w:lang w:val="fr-CA"/>
        </w:rPr>
        <w:t>est une commotion</w:t>
      </w:r>
      <w:r w:rsidR="00D83858">
        <w:rPr>
          <w:lang w:val="fr-CA"/>
        </w:rPr>
        <w:t>.</w:t>
      </w:r>
      <w:r w:rsidRPr="00DD4D5E">
        <w:rPr>
          <w:lang w:val="fr-CA"/>
        </w:rPr>
        <w:t xml:space="preserve"> [. . .] </w:t>
      </w:r>
      <w:r w:rsidRPr="00DD4D5E">
        <w:rPr>
          <w:u w:val="single"/>
          <w:lang w:val="fr-CA"/>
        </w:rPr>
        <w:t>Mais s</w:t>
      </w:r>
      <w:r>
        <w:rPr>
          <w:u w:val="single"/>
          <w:lang w:val="fr-CA"/>
        </w:rPr>
        <w:t>’</w:t>
      </w:r>
      <w:r w:rsidRPr="00DD4D5E">
        <w:rPr>
          <w:u w:val="single"/>
          <w:lang w:val="fr-CA"/>
        </w:rPr>
        <w:t>il ne s</w:t>
      </w:r>
      <w:r>
        <w:rPr>
          <w:u w:val="single"/>
          <w:lang w:val="fr-CA"/>
        </w:rPr>
        <w:t>’</w:t>
      </w:r>
      <w:r w:rsidRPr="00DD4D5E">
        <w:rPr>
          <w:u w:val="single"/>
          <w:lang w:val="fr-CA"/>
        </w:rPr>
        <w:t>agit pas d</w:t>
      </w:r>
      <w:r>
        <w:rPr>
          <w:u w:val="single"/>
          <w:lang w:val="fr-CA"/>
        </w:rPr>
        <w:t>’</w:t>
      </w:r>
      <w:r w:rsidRPr="00DD4D5E">
        <w:rPr>
          <w:u w:val="single"/>
          <w:lang w:val="fr-CA"/>
        </w:rPr>
        <w:t>une commotion, il s</w:t>
      </w:r>
      <w:r>
        <w:rPr>
          <w:u w:val="single"/>
          <w:lang w:val="fr-CA"/>
        </w:rPr>
        <w:t>’</w:t>
      </w:r>
      <w:r w:rsidRPr="00DD4D5E">
        <w:rPr>
          <w:u w:val="single"/>
          <w:lang w:val="fr-CA"/>
        </w:rPr>
        <w:t>agit de quelque réaction à cet accident</w:t>
      </w:r>
      <w:r w:rsidRPr="00DD4D5E">
        <w:rPr>
          <w:lang w:val="fr-CA"/>
        </w:rPr>
        <w:t xml:space="preserve"> qui a pu être exacerbée par le fait qu</w:t>
      </w:r>
      <w:r>
        <w:rPr>
          <w:lang w:val="fr-CA"/>
        </w:rPr>
        <w:t>’</w:t>
      </w:r>
      <w:r w:rsidRPr="00DD4D5E">
        <w:rPr>
          <w:lang w:val="fr-CA"/>
        </w:rPr>
        <w:t>il avait déjà été blessé lors de l</w:t>
      </w:r>
      <w:r>
        <w:rPr>
          <w:lang w:val="fr-CA"/>
        </w:rPr>
        <w:t>’</w:t>
      </w:r>
      <w:r w:rsidRPr="00DD4D5E">
        <w:rPr>
          <w:lang w:val="fr-CA"/>
        </w:rPr>
        <w:t xml:space="preserve">accident de janvier 2003. </w:t>
      </w:r>
      <w:r w:rsidRPr="00DD4D5E">
        <w:rPr>
          <w:u w:val="single"/>
          <w:lang w:val="fr-CA"/>
        </w:rPr>
        <w:t>Il n</w:t>
      </w:r>
      <w:r>
        <w:rPr>
          <w:u w:val="single"/>
          <w:lang w:val="fr-CA"/>
        </w:rPr>
        <w:t>’</w:t>
      </w:r>
      <w:r w:rsidRPr="00DD4D5E">
        <w:rPr>
          <w:u w:val="single"/>
          <w:lang w:val="fr-CA"/>
        </w:rPr>
        <w:t>empêche que cet homme n</w:t>
      </w:r>
      <w:r>
        <w:rPr>
          <w:u w:val="single"/>
          <w:lang w:val="fr-CA"/>
        </w:rPr>
        <w:t>’</w:t>
      </w:r>
      <w:r w:rsidRPr="00DD4D5E">
        <w:rPr>
          <w:u w:val="single"/>
          <w:lang w:val="fr-CA"/>
        </w:rPr>
        <w:t>a plus jamais été le même</w:t>
      </w:r>
      <w:r w:rsidR="00693483">
        <w:rPr>
          <w:u w:val="single"/>
          <w:lang w:val="fr-CA"/>
        </w:rPr>
        <w:t>.</w:t>
      </w:r>
      <w:r w:rsidRPr="00DD4D5E">
        <w:rPr>
          <w:lang w:val="fr-CA"/>
        </w:rPr>
        <w:t xml:space="preserve"> [. . .] </w:t>
      </w:r>
      <w:r w:rsidRPr="00DD4D5E">
        <w:rPr>
          <w:u w:val="single"/>
          <w:lang w:val="fr-CA"/>
        </w:rPr>
        <w:t>C</w:t>
      </w:r>
      <w:r>
        <w:rPr>
          <w:u w:val="single"/>
          <w:lang w:val="fr-CA"/>
        </w:rPr>
        <w:t>’</w:t>
      </w:r>
      <w:r w:rsidRPr="00DD4D5E">
        <w:rPr>
          <w:u w:val="single"/>
          <w:lang w:val="fr-CA"/>
        </w:rPr>
        <w:t>est cet accident qui en est la cause, peu importe que ce soit en raison d</w:t>
      </w:r>
      <w:r>
        <w:rPr>
          <w:u w:val="single"/>
          <w:lang w:val="fr-CA"/>
        </w:rPr>
        <w:t>’</w:t>
      </w:r>
      <w:r w:rsidRPr="00DD4D5E">
        <w:rPr>
          <w:u w:val="single"/>
          <w:lang w:val="fr-CA"/>
        </w:rPr>
        <w:t>une commotion ou d</w:t>
      </w:r>
      <w:r>
        <w:rPr>
          <w:u w:val="single"/>
          <w:lang w:val="fr-CA"/>
        </w:rPr>
        <w:t>’</w:t>
      </w:r>
      <w:r w:rsidRPr="00DD4D5E">
        <w:rPr>
          <w:u w:val="single"/>
          <w:lang w:val="fr-CA"/>
        </w:rPr>
        <w:t>une réaction psychologique ou émotionnelle à tout ce qui s</w:t>
      </w:r>
      <w:r>
        <w:rPr>
          <w:u w:val="single"/>
          <w:lang w:val="fr-CA"/>
        </w:rPr>
        <w:t>’</w:t>
      </w:r>
      <w:r w:rsidRPr="00DD4D5E">
        <w:rPr>
          <w:u w:val="single"/>
          <w:lang w:val="fr-CA"/>
        </w:rPr>
        <w:t>est produit</w:t>
      </w:r>
      <w:r w:rsidRPr="009529D9">
        <w:rPr>
          <w:u w:val="single"/>
          <w:lang w:val="fr-CA"/>
        </w:rPr>
        <w:t>.</w:t>
      </w:r>
      <w:r w:rsidRPr="00DD4D5E">
        <w:rPr>
          <w:lang w:val="fr-CA"/>
        </w:rPr>
        <w:t xml:space="preserve"> </w:t>
      </w:r>
    </w:p>
    <w:p w:rsidR="00DE26CA" w:rsidRPr="00DD4D5E" w:rsidRDefault="00DE26CA" w:rsidP="00DE26CA">
      <w:pPr>
        <w:pStyle w:val="Citation-AltC"/>
        <w:spacing w:after="240"/>
        <w:ind w:left="1168"/>
        <w:contextualSpacing w:val="0"/>
        <w:jc w:val="center"/>
        <w:rPr>
          <w:lang w:val="fr-CA"/>
        </w:rPr>
      </w:pPr>
      <w:r w:rsidRPr="00DD4D5E">
        <w:rPr>
          <w:lang w:val="fr-CA"/>
        </w:rPr>
        <w:tab/>
        <w:t>. . .</w:t>
      </w:r>
    </w:p>
    <w:p w:rsidR="00DE26CA" w:rsidRPr="00DD4D5E" w:rsidRDefault="00D83858" w:rsidP="00DE26CA">
      <w:pPr>
        <w:pStyle w:val="Citation-AltC"/>
        <w:spacing w:after="240"/>
        <w:ind w:hanging="1166"/>
        <w:contextualSpacing w:val="0"/>
        <w:rPr>
          <w:lang w:val="fr-CA"/>
        </w:rPr>
      </w:pPr>
      <w:r>
        <w:rPr>
          <w:lang w:val="fr-CA"/>
        </w:rPr>
        <w:tab/>
      </w:r>
      <w:r>
        <w:rPr>
          <w:lang w:val="fr-CA"/>
        </w:rPr>
        <w:tab/>
        <w:t>. . .</w:t>
      </w:r>
      <w:r w:rsidR="00DE26CA" w:rsidRPr="00DD4D5E">
        <w:rPr>
          <w:lang w:val="fr-CA"/>
        </w:rPr>
        <w:t xml:space="preserve"> Quelque chose s</w:t>
      </w:r>
      <w:r w:rsidR="00DE26CA">
        <w:rPr>
          <w:lang w:val="fr-CA"/>
        </w:rPr>
        <w:t>’</w:t>
      </w:r>
      <w:r w:rsidR="00DE26CA" w:rsidRPr="00DD4D5E">
        <w:rPr>
          <w:lang w:val="fr-CA"/>
        </w:rPr>
        <w:t>est produit qui l</w:t>
      </w:r>
      <w:r w:rsidR="00DE26CA">
        <w:rPr>
          <w:lang w:val="fr-CA"/>
        </w:rPr>
        <w:t>’</w:t>
      </w:r>
      <w:r w:rsidR="00DE26CA" w:rsidRPr="00DD4D5E">
        <w:rPr>
          <w:lang w:val="fr-CA"/>
        </w:rPr>
        <w:t>a changé. Selon nous, c</w:t>
      </w:r>
      <w:r w:rsidR="00DE26CA">
        <w:rPr>
          <w:lang w:val="fr-CA"/>
        </w:rPr>
        <w:t>’</w:t>
      </w:r>
      <w:r w:rsidR="00DE26CA" w:rsidRPr="00DD4D5E">
        <w:rPr>
          <w:lang w:val="fr-CA"/>
        </w:rPr>
        <w:t>est une commotion, mais à supposer que ce n</w:t>
      </w:r>
      <w:r w:rsidR="00DE26CA">
        <w:rPr>
          <w:lang w:val="fr-CA"/>
        </w:rPr>
        <w:t>’</w:t>
      </w:r>
      <w:r w:rsidR="00DE26CA" w:rsidRPr="00DD4D5E">
        <w:rPr>
          <w:lang w:val="fr-CA"/>
        </w:rPr>
        <w:t xml:space="preserve">en soit pas une, </w:t>
      </w:r>
      <w:r w:rsidR="00DE26CA" w:rsidRPr="00DD4D5E">
        <w:rPr>
          <w:u w:val="single"/>
          <w:lang w:val="fr-CA"/>
        </w:rPr>
        <w:t>il faut que ce soit une sorte de réaction psychique émotionnelle</w:t>
      </w:r>
      <w:r w:rsidR="00DE26CA" w:rsidRPr="00DD4D5E">
        <w:rPr>
          <w:lang w:val="fr-CA"/>
        </w:rPr>
        <w:t>, ce qui échappe à sa volonté. C</w:t>
      </w:r>
      <w:r w:rsidR="00DE26CA">
        <w:rPr>
          <w:lang w:val="fr-CA"/>
        </w:rPr>
        <w:t>’</w:t>
      </w:r>
      <w:r w:rsidR="00DE26CA" w:rsidRPr="00DD4D5E">
        <w:rPr>
          <w:lang w:val="fr-CA"/>
        </w:rPr>
        <w:t>est manifestement quelque chose qui lui est arrivé après l</w:t>
      </w:r>
      <w:r w:rsidR="00DE26CA">
        <w:rPr>
          <w:lang w:val="fr-CA"/>
        </w:rPr>
        <w:t>’</w:t>
      </w:r>
      <w:r w:rsidR="00DE26CA" w:rsidRPr="00DD4D5E">
        <w:rPr>
          <w:lang w:val="fr-CA"/>
        </w:rPr>
        <w:t>accident et qui a fait en sorte qu</w:t>
      </w:r>
      <w:r w:rsidR="00DE26CA">
        <w:rPr>
          <w:lang w:val="fr-CA"/>
        </w:rPr>
        <w:t>’</w:t>
      </w:r>
      <w:r w:rsidR="00DE26CA" w:rsidRPr="00DD4D5E">
        <w:rPr>
          <w:lang w:val="fr-CA"/>
        </w:rPr>
        <w:t>il cesse d</w:t>
      </w:r>
      <w:r w:rsidR="00DE26CA">
        <w:rPr>
          <w:lang w:val="fr-CA"/>
        </w:rPr>
        <w:t>’</w:t>
      </w:r>
      <w:r w:rsidR="00DE26CA" w:rsidRPr="00DD4D5E">
        <w:rPr>
          <w:lang w:val="fr-CA"/>
        </w:rPr>
        <w:t>être lui</w:t>
      </w:r>
      <w:r w:rsidR="00DE26CA" w:rsidRPr="00DD4D5E">
        <w:rPr>
          <w:lang w:val="fr-CA"/>
        </w:rPr>
        <w:noBreakHyphen/>
        <w:t xml:space="preserve">même entre juillet et septembre 2005. </w:t>
      </w:r>
      <w:r w:rsidR="00DE26CA" w:rsidRPr="00DD4D5E">
        <w:rPr>
          <w:u w:val="single"/>
          <w:lang w:val="fr-CA"/>
        </w:rPr>
        <w:t>C</w:t>
      </w:r>
      <w:r w:rsidR="00DE26CA">
        <w:rPr>
          <w:u w:val="single"/>
          <w:lang w:val="fr-CA"/>
        </w:rPr>
        <w:t>’</w:t>
      </w:r>
      <w:r w:rsidR="00DE26CA" w:rsidRPr="00DD4D5E">
        <w:rPr>
          <w:u w:val="single"/>
          <w:lang w:val="fr-CA"/>
        </w:rPr>
        <w:t>est ce qui ressort du témoignage de tous les membres de sa famille.</w:t>
      </w:r>
      <w:r w:rsidR="00DE26CA" w:rsidRPr="00DD4D5E">
        <w:rPr>
          <w:lang w:val="fr-CA"/>
        </w:rPr>
        <w:t xml:space="preserve"> [Je souligne.]</w:t>
      </w:r>
    </w:p>
    <w:p w:rsidR="00DE26CA" w:rsidRPr="00DD4D5E" w:rsidRDefault="00DE26CA" w:rsidP="00DE26CA">
      <w:pPr>
        <w:pStyle w:val="Citation-AltC"/>
        <w:ind w:hanging="1166"/>
        <w:contextualSpacing w:val="0"/>
        <w:rPr>
          <w:u w:val="single"/>
          <w:lang w:val="fr-CA"/>
        </w:rPr>
      </w:pPr>
      <w:r w:rsidRPr="00DD4D5E">
        <w:rPr>
          <w:lang w:val="fr-CA"/>
        </w:rPr>
        <w:t>(d.i., vol</w:t>
      </w:r>
      <w:r w:rsidR="00D83858">
        <w:rPr>
          <w:lang w:val="fr-CA"/>
        </w:rPr>
        <w:t>. I, p. 190</w:t>
      </w:r>
      <w:r w:rsidR="00D83858">
        <w:rPr>
          <w:lang w:val="fr-CA"/>
        </w:rPr>
        <w:noBreakHyphen/>
        <w:t>192)</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Lors du procès, les intimés ne se sont opposés à aucune de ces allégations de réaction « psychologique », « émotionnelle » ou « psychique ». Et, à mon sens, les nombreuses allégations d</w:t>
      </w:r>
      <w:r>
        <w:rPr>
          <w:rFonts w:cs="Times New Roman"/>
          <w:lang w:val="fr-CA"/>
        </w:rPr>
        <w:t>’</w:t>
      </w:r>
      <w:r w:rsidRPr="00DD4D5E">
        <w:rPr>
          <w:rFonts w:cs="Times New Roman"/>
          <w:lang w:val="fr-CA"/>
        </w:rPr>
        <w:t xml:space="preserve">une telle réaction dans les plaidoiries orale et écrite finales </w:t>
      </w:r>
      <w:r w:rsidRPr="00DD4D5E">
        <w:rPr>
          <w:rFonts w:cs="Times New Roman"/>
          <w:lang w:val="fr-CA"/>
        </w:rPr>
        <w:lastRenderedPageBreak/>
        <w:t>de l</w:t>
      </w:r>
      <w:r>
        <w:rPr>
          <w:rFonts w:cs="Times New Roman"/>
          <w:lang w:val="fr-CA"/>
        </w:rPr>
        <w:t>’</w:t>
      </w:r>
      <w:r w:rsidRPr="00DD4D5E">
        <w:rPr>
          <w:rFonts w:cs="Times New Roman"/>
          <w:lang w:val="fr-CA"/>
        </w:rPr>
        <w:t>appelant, jumelées à la nature générale des composants du préjudice allégué dans les actes de procédure, ont amplement fait connaître aux intimés les arguments auxquels ils devaient répondre. Selon moi, il n</w:t>
      </w:r>
      <w:r>
        <w:rPr>
          <w:rFonts w:cs="Times New Roman"/>
          <w:lang w:val="fr-CA"/>
        </w:rPr>
        <w:t>’</w:t>
      </w:r>
      <w:r w:rsidRPr="00DD4D5E">
        <w:rPr>
          <w:rFonts w:cs="Times New Roman"/>
          <w:lang w:val="fr-CA"/>
        </w:rPr>
        <w:t>y a pas eu de manquement à l</w:t>
      </w:r>
      <w:r>
        <w:rPr>
          <w:rFonts w:cs="Times New Roman"/>
          <w:lang w:val="fr-CA"/>
        </w:rPr>
        <w:t>’</w:t>
      </w:r>
      <w:r w:rsidRPr="00DD4D5E">
        <w:rPr>
          <w:rFonts w:cs="Times New Roman"/>
          <w:lang w:val="fr-CA"/>
        </w:rPr>
        <w:t>équité procédurale en l</w:t>
      </w:r>
      <w:r>
        <w:rPr>
          <w:rFonts w:cs="Times New Roman"/>
          <w:lang w:val="fr-CA"/>
        </w:rPr>
        <w:t>’</w:t>
      </w:r>
      <w:r w:rsidRPr="00DD4D5E">
        <w:rPr>
          <w:rFonts w:cs="Times New Roman"/>
          <w:lang w:val="fr-CA"/>
        </w:rPr>
        <w:t xml:space="preserve">espèce. </w:t>
      </w:r>
    </w:p>
    <w:p w:rsidR="00DE26CA" w:rsidRPr="00DD4D5E" w:rsidRDefault="00DE26CA" w:rsidP="00DE26CA">
      <w:pPr>
        <w:pStyle w:val="Title2LevelTitre2Niveau"/>
        <w:rPr>
          <w:rFonts w:cs="Times New Roman"/>
          <w:i w:val="0"/>
          <w:lang w:val="fr-CA"/>
        </w:rPr>
      </w:pPr>
      <w:r w:rsidRPr="00DD4D5E">
        <w:rPr>
          <w:rFonts w:cs="Times New Roman"/>
          <w:lang w:val="fr-CA"/>
        </w:rPr>
        <w:t>Préjudice mental</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Pour établir la responsabilité du défendeur dans une action en négligence, le demandeur doit prouver (i) </w:t>
      </w:r>
      <w:r w:rsidR="00E902E7" w:rsidRPr="00DD4D5E">
        <w:rPr>
          <w:rFonts w:cs="Times New Roman"/>
          <w:lang w:val="fr-CA"/>
        </w:rPr>
        <w:t xml:space="preserve">que </w:t>
      </w:r>
      <w:r w:rsidRPr="00DD4D5E">
        <w:rPr>
          <w:rFonts w:cs="Times New Roman"/>
          <w:lang w:val="fr-CA"/>
        </w:rPr>
        <w:t>le défendeur avait envers lui une obligation de diligence pour empêcher un préjudice de la nature de celui allégué, (ii) </w:t>
      </w:r>
      <w:r w:rsidR="00E902E7">
        <w:rPr>
          <w:rFonts w:cs="Times New Roman"/>
          <w:lang w:val="fr-CA"/>
        </w:rPr>
        <w:t xml:space="preserve">que </w:t>
      </w:r>
      <w:r w:rsidRPr="00DD4D5E">
        <w:rPr>
          <w:rFonts w:cs="Times New Roman"/>
          <w:lang w:val="fr-CA"/>
        </w:rPr>
        <w:t>le défendeur a manqué à son obligation en n</w:t>
      </w:r>
      <w:r>
        <w:rPr>
          <w:rFonts w:cs="Times New Roman"/>
          <w:lang w:val="fr-CA"/>
        </w:rPr>
        <w:t>’</w:t>
      </w:r>
      <w:r w:rsidRPr="00DD4D5E">
        <w:rPr>
          <w:rFonts w:cs="Times New Roman"/>
          <w:lang w:val="fr-CA"/>
        </w:rPr>
        <w:t>observant pas la norme de diligence applicable, (iii) </w:t>
      </w:r>
      <w:r w:rsidR="00E902E7">
        <w:rPr>
          <w:rFonts w:cs="Times New Roman"/>
          <w:lang w:val="fr-CA"/>
        </w:rPr>
        <w:t xml:space="preserve">que </w:t>
      </w:r>
      <w:r w:rsidRPr="00DD4D5E">
        <w:rPr>
          <w:rFonts w:cs="Times New Roman"/>
          <w:lang w:val="fr-CA"/>
        </w:rPr>
        <w:t>le demandeur a subi un préjudice et (iv) </w:t>
      </w:r>
      <w:r w:rsidR="00E902E7">
        <w:rPr>
          <w:rFonts w:cs="Times New Roman"/>
          <w:lang w:val="fr-CA"/>
        </w:rPr>
        <w:t xml:space="preserve">que </w:t>
      </w:r>
      <w:r w:rsidRPr="00DD4D5E">
        <w:rPr>
          <w:rFonts w:cs="Times New Roman"/>
          <w:lang w:val="fr-CA"/>
        </w:rPr>
        <w:t>ce préjudice est imputable, en fait et en droit, au manquement du défendeur (</w:t>
      </w:r>
      <w:r w:rsidRPr="00DD4D5E">
        <w:rPr>
          <w:rFonts w:cs="Times New Roman"/>
          <w:i/>
          <w:lang w:val="fr-CA"/>
        </w:rPr>
        <w:t>Mustapha</w:t>
      </w:r>
      <w:r w:rsidRPr="00DD4D5E">
        <w:rPr>
          <w:rFonts w:cs="Times New Roman"/>
          <w:lang w:val="fr-CA"/>
        </w:rPr>
        <w:t>, par. 3). En l</w:t>
      </w:r>
      <w:r>
        <w:rPr>
          <w:rFonts w:cs="Times New Roman"/>
          <w:lang w:val="fr-CA"/>
        </w:rPr>
        <w:t>’</w:t>
      </w:r>
      <w:r w:rsidRPr="00DD4D5E">
        <w:rPr>
          <w:rFonts w:cs="Times New Roman"/>
          <w:lang w:val="fr-CA"/>
        </w:rPr>
        <w:t>espèce, le litige porte sur le troisième de ces éléments. Comme devant la Cour d</w:t>
      </w:r>
      <w:r>
        <w:rPr>
          <w:rFonts w:cs="Times New Roman"/>
          <w:lang w:val="fr-CA"/>
        </w:rPr>
        <w:t>’</w:t>
      </w:r>
      <w:r w:rsidRPr="00DD4D5E">
        <w:rPr>
          <w:rFonts w:cs="Times New Roman"/>
          <w:lang w:val="fr-CA"/>
        </w:rPr>
        <w:t>appel, les intimés font valoir que le juge de première instance a eu tort d</w:t>
      </w:r>
      <w:r>
        <w:rPr>
          <w:rFonts w:cs="Times New Roman"/>
          <w:lang w:val="fr-CA"/>
        </w:rPr>
        <w:t>’</w:t>
      </w:r>
      <w:r w:rsidRPr="00DD4D5E">
        <w:rPr>
          <w:rFonts w:cs="Times New Roman"/>
          <w:lang w:val="fr-CA"/>
        </w:rPr>
        <w:t>accorder une indemnité pour un préjudice mental qui ne correspond pas à un trouble psychiatrique reconnu dont l</w:t>
      </w:r>
      <w:r>
        <w:rPr>
          <w:rFonts w:cs="Times New Roman"/>
          <w:lang w:val="fr-CA"/>
        </w:rPr>
        <w:t>’</w:t>
      </w:r>
      <w:r w:rsidRPr="00DD4D5E">
        <w:rPr>
          <w:rFonts w:cs="Times New Roman"/>
          <w:lang w:val="fr-CA"/>
        </w:rPr>
        <w:t>existence a été prouvée. Plus précisément, la Cour doit se demander si, pour qu</w:t>
      </w:r>
      <w:r>
        <w:rPr>
          <w:rFonts w:cs="Times New Roman"/>
          <w:lang w:val="fr-CA"/>
        </w:rPr>
        <w:t>’</w:t>
      </w:r>
      <w:r w:rsidRPr="00DD4D5E">
        <w:rPr>
          <w:rFonts w:cs="Times New Roman"/>
          <w:lang w:val="fr-CA"/>
        </w:rPr>
        <w:t>elle puisse conclure à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 xml:space="preserve">un préjudice mental ouvrant droit à indemnisation, il est rigoureusement </w:t>
      </w:r>
      <w:r w:rsidRPr="00DD4D5E">
        <w:rPr>
          <w:rFonts w:cs="Times New Roman"/>
          <w:i/>
          <w:lang w:val="fr-CA"/>
        </w:rPr>
        <w:t>nécessaire</w:t>
      </w:r>
      <w:r w:rsidRPr="00DD4D5E">
        <w:rPr>
          <w:rFonts w:cs="Times New Roman"/>
          <w:lang w:val="fr-CA"/>
        </w:rPr>
        <w:t xml:space="preserve"> que le demandeur produise le témoignage d</w:t>
      </w:r>
      <w:r>
        <w:rPr>
          <w:rFonts w:cs="Times New Roman"/>
          <w:lang w:val="fr-CA"/>
        </w:rPr>
        <w:t>’</w:t>
      </w:r>
      <w:r w:rsidRPr="00DD4D5E">
        <w:rPr>
          <w:rFonts w:cs="Times New Roman"/>
          <w:lang w:val="fr-CA"/>
        </w:rPr>
        <w:t>un expert ou quelque autre élément établissant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 xml:space="preserve">un trouble psychiatrique reconnu. </w:t>
      </w:r>
    </w:p>
    <w:p w:rsidR="00DE26CA" w:rsidRPr="00DD4D5E" w:rsidRDefault="00DE26CA" w:rsidP="00DE26CA">
      <w:pPr>
        <w:pStyle w:val="Title3LevelTitre3Niveau"/>
        <w:rPr>
          <w:rFonts w:cs="Times New Roman"/>
          <w:lang w:val="fr-CA"/>
        </w:rPr>
      </w:pPr>
      <w:r w:rsidRPr="00DD4D5E">
        <w:rPr>
          <w:rFonts w:cs="Times New Roman"/>
          <w:lang w:val="fr-CA"/>
        </w:rPr>
        <w:t>L</w:t>
      </w:r>
      <w:r>
        <w:rPr>
          <w:rFonts w:cs="Times New Roman"/>
          <w:lang w:val="fr-CA"/>
        </w:rPr>
        <w:t>’</w:t>
      </w:r>
      <w:r w:rsidRPr="00DD4D5E">
        <w:rPr>
          <w:rFonts w:cs="Times New Roman"/>
          <w:lang w:val="fr-CA"/>
        </w:rPr>
        <w:t>indemnisation du préjudice mental en droit de la négligence</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lastRenderedPageBreak/>
        <w:t>Dans un premier temps, la common law s</w:t>
      </w:r>
      <w:r>
        <w:rPr>
          <w:rFonts w:cs="Times New Roman"/>
          <w:lang w:val="fr-CA"/>
        </w:rPr>
        <w:t>’</w:t>
      </w:r>
      <w:r w:rsidRPr="00DD4D5E">
        <w:rPr>
          <w:rFonts w:cs="Times New Roman"/>
          <w:lang w:val="fr-CA"/>
        </w:rPr>
        <w:t>est montrée sceptique, voire parfois carrément hostile, à l</w:t>
      </w:r>
      <w:r>
        <w:rPr>
          <w:rFonts w:cs="Times New Roman"/>
          <w:lang w:val="fr-CA"/>
        </w:rPr>
        <w:t>’</w:t>
      </w:r>
      <w:r w:rsidRPr="00DD4D5E">
        <w:rPr>
          <w:rFonts w:cs="Times New Roman"/>
          <w:lang w:val="fr-CA"/>
        </w:rPr>
        <w:t>égard des allégations de préjudice mental causé par négligence (</w:t>
      </w:r>
      <w:r w:rsidRPr="00DD4D5E">
        <w:rPr>
          <w:rFonts w:cs="Times New Roman"/>
          <w:i/>
          <w:lang w:val="fr-CA"/>
        </w:rPr>
        <w:t>McLoughlin c. O</w:t>
      </w:r>
      <w:r>
        <w:rPr>
          <w:rFonts w:cs="Times New Roman"/>
          <w:i/>
          <w:lang w:val="fr-CA"/>
        </w:rPr>
        <w:t>’</w:t>
      </w:r>
      <w:r w:rsidRPr="00DD4D5E">
        <w:rPr>
          <w:rFonts w:cs="Times New Roman"/>
          <w:i/>
          <w:lang w:val="fr-CA"/>
        </w:rPr>
        <w:t>Brian</w:t>
      </w:r>
      <w:r w:rsidRPr="00DD4D5E">
        <w:rPr>
          <w:rFonts w:cs="Times New Roman"/>
          <w:lang w:val="fr-CA"/>
        </w:rPr>
        <w:t xml:space="preserve">, [1983] 1 A.C. 410 (H.L.), p. 433). Elle </w:t>
      </w:r>
      <w:r w:rsidRPr="00DD4D5E">
        <w:rPr>
          <w:rFonts w:cs="Times New Roman"/>
          <w:sz w:val="22"/>
          <w:lang w:val="fr-CA"/>
        </w:rPr>
        <w:t>[</w:t>
      </w:r>
      <w:r w:rsidRPr="00DD4D5E">
        <w:rPr>
          <w:rFonts w:cs="Times New Roman"/>
          <w:smallCaps/>
          <w:sz w:val="22"/>
          <w:lang w:val="fr-CA"/>
        </w:rPr>
        <w:t>traduction</w:t>
      </w:r>
      <w:r w:rsidRPr="00DD4D5E">
        <w:rPr>
          <w:rFonts w:cs="Times New Roman"/>
          <w:sz w:val="22"/>
          <w:lang w:val="fr-CA"/>
        </w:rPr>
        <w:t>]</w:t>
      </w:r>
      <w:r w:rsidRPr="00DD4D5E">
        <w:rPr>
          <w:rFonts w:cs="Times New Roman"/>
          <w:lang w:val="fr-CA"/>
        </w:rPr>
        <w:t xml:space="preserve"> « consacrait presque par essence le doute et les préjugés primaires dont faisait l</w:t>
      </w:r>
      <w:r>
        <w:rPr>
          <w:rFonts w:cs="Times New Roman"/>
          <w:lang w:val="fr-CA"/>
        </w:rPr>
        <w:t>’</w:t>
      </w:r>
      <w:r w:rsidRPr="00DD4D5E">
        <w:rPr>
          <w:rFonts w:cs="Times New Roman"/>
          <w:lang w:val="fr-CA"/>
        </w:rPr>
        <w:t xml:space="preserve">objet le préjudice “invisible” et immatériel » (H. Teff, </w:t>
      </w:r>
      <w:r w:rsidRPr="00DD4D5E">
        <w:rPr>
          <w:rFonts w:cs="Times New Roman"/>
          <w:i/>
          <w:lang w:val="fr-CA"/>
        </w:rPr>
        <w:t>Causing Psychiatric and Emotional Harm</w:t>
      </w:r>
      <w:r>
        <w:rPr>
          <w:rFonts w:cs="Times New Roman"/>
          <w:i/>
          <w:lang w:val="fr-CA"/>
        </w:rPr>
        <w:t> </w:t>
      </w:r>
      <w:r w:rsidRPr="00DD4D5E">
        <w:rPr>
          <w:rFonts w:cs="Times New Roman"/>
          <w:i/>
          <w:lang w:val="fr-CA"/>
        </w:rPr>
        <w:t>: Reshaping the Boundaries of Legal Liability</w:t>
      </w:r>
      <w:r w:rsidRPr="00DD4D5E">
        <w:rPr>
          <w:rFonts w:cs="Times New Roman"/>
          <w:lang w:val="fr-CA"/>
        </w:rPr>
        <w:t xml:space="preserve"> (2009), p. 40). Le préjudice mental n</w:t>
      </w:r>
      <w:r>
        <w:rPr>
          <w:rFonts w:cs="Times New Roman"/>
          <w:lang w:val="fr-CA"/>
        </w:rPr>
        <w:t>’</w:t>
      </w:r>
      <w:r w:rsidRPr="00DD4D5E">
        <w:rPr>
          <w:rFonts w:cs="Times New Roman"/>
          <w:lang w:val="fr-CA"/>
        </w:rPr>
        <w:t xml:space="preserve">était pas considéré comme un </w:t>
      </w:r>
      <w:r w:rsidRPr="00DD4D5E">
        <w:rPr>
          <w:rFonts w:cs="Times New Roman"/>
          <w:sz w:val="22"/>
          <w:lang w:val="fr-CA"/>
        </w:rPr>
        <w:t>[</w:t>
      </w:r>
      <w:r w:rsidRPr="00DD4D5E">
        <w:rPr>
          <w:rFonts w:cs="Times New Roman"/>
          <w:smallCaps/>
          <w:sz w:val="22"/>
          <w:lang w:val="fr-CA"/>
        </w:rPr>
        <w:t>traduction</w:t>
      </w:r>
      <w:r w:rsidRPr="00DD4D5E">
        <w:rPr>
          <w:rFonts w:cs="Times New Roman"/>
          <w:sz w:val="22"/>
          <w:lang w:val="fr-CA"/>
        </w:rPr>
        <w:t>]</w:t>
      </w:r>
      <w:r w:rsidRPr="00DD4D5E">
        <w:rPr>
          <w:rFonts w:cs="Times New Roman"/>
          <w:lang w:val="fr-CA"/>
        </w:rPr>
        <w:t xml:space="preserve"> « préjudice perçu par les sens, mais plutôt [comme] le fruit de l</w:t>
      </w:r>
      <w:r>
        <w:rPr>
          <w:rFonts w:cs="Times New Roman"/>
          <w:lang w:val="fr-CA"/>
        </w:rPr>
        <w:t>’</w:t>
      </w:r>
      <w:r w:rsidRPr="00DD4D5E">
        <w:rPr>
          <w:rFonts w:cs="Times New Roman"/>
          <w:lang w:val="fr-CA"/>
        </w:rPr>
        <w:t>imagination » (</w:t>
      </w:r>
      <w:r w:rsidRPr="00DD4D5E">
        <w:rPr>
          <w:rFonts w:cs="Times New Roman"/>
          <w:i/>
          <w:lang w:val="fr-CA"/>
        </w:rPr>
        <w:t>Miner c. Canadian Pacific Railway Co</w:t>
      </w:r>
      <w:r>
        <w:rPr>
          <w:rFonts w:cs="Times New Roman"/>
          <w:i/>
          <w:lang w:val="fr-CA"/>
        </w:rPr>
        <w:t xml:space="preserve">. </w:t>
      </w:r>
      <w:r w:rsidRPr="00DD4D5E">
        <w:rPr>
          <w:rFonts w:cs="Times New Roman"/>
          <w:lang w:val="fr-CA"/>
        </w:rPr>
        <w:t>(1911), 18 W.L.R. 476 (C.S. Alb., en formation plénière), p. 478). Ce scepticisme a perduré tout au long du siècle dernier, de sorte que le préjudice mental n</w:t>
      </w:r>
      <w:r>
        <w:rPr>
          <w:rFonts w:cs="Times New Roman"/>
          <w:lang w:val="fr-CA"/>
        </w:rPr>
        <w:t>’</w:t>
      </w:r>
      <w:r w:rsidRPr="00DD4D5E">
        <w:rPr>
          <w:rFonts w:cs="Times New Roman"/>
          <w:lang w:val="fr-CA"/>
        </w:rPr>
        <w:t>était indemnisable que s</w:t>
      </w:r>
      <w:r>
        <w:rPr>
          <w:rFonts w:cs="Times New Roman"/>
          <w:lang w:val="fr-CA"/>
        </w:rPr>
        <w:t>’</w:t>
      </w:r>
      <w:r w:rsidRPr="00DD4D5E">
        <w:rPr>
          <w:rFonts w:cs="Times New Roman"/>
          <w:lang w:val="fr-CA"/>
        </w:rPr>
        <w:t>il s</w:t>
      </w:r>
      <w:r>
        <w:rPr>
          <w:rFonts w:cs="Times New Roman"/>
          <w:lang w:val="fr-CA"/>
        </w:rPr>
        <w:t>’</w:t>
      </w:r>
      <w:r w:rsidRPr="00DD4D5E">
        <w:rPr>
          <w:rFonts w:cs="Times New Roman"/>
          <w:lang w:val="fr-CA"/>
        </w:rPr>
        <w:t>accompagnait d</w:t>
      </w:r>
      <w:r>
        <w:rPr>
          <w:rFonts w:cs="Times New Roman"/>
          <w:lang w:val="fr-CA"/>
        </w:rPr>
        <w:t>’</w:t>
      </w:r>
      <w:r w:rsidRPr="00DD4D5E">
        <w:rPr>
          <w:rFonts w:cs="Times New Roman"/>
          <w:lang w:val="fr-CA"/>
        </w:rPr>
        <w:t>un préjudice physique (voir L. Bélanger</w:t>
      </w:r>
      <w:r w:rsidRPr="00DD4D5E">
        <w:rPr>
          <w:rFonts w:cs="Times New Roman"/>
          <w:lang w:val="fr-CA"/>
        </w:rPr>
        <w:noBreakHyphen/>
        <w:t xml:space="preserve">Hardy, « Reconsidering the “Recognizable Psychiatric Illness” Requirement in Canadian Negligence Law » (2013), 38 </w:t>
      </w:r>
      <w:r w:rsidRPr="00DD4D5E">
        <w:rPr>
          <w:rFonts w:cs="Times New Roman"/>
          <w:i/>
          <w:lang w:val="fr-CA"/>
        </w:rPr>
        <w:t>Queen</w:t>
      </w:r>
      <w:r>
        <w:rPr>
          <w:rFonts w:cs="Times New Roman"/>
          <w:i/>
          <w:lang w:val="fr-CA"/>
        </w:rPr>
        <w:t>’</w:t>
      </w:r>
      <w:r w:rsidRPr="00DD4D5E">
        <w:rPr>
          <w:rFonts w:cs="Times New Roman"/>
          <w:i/>
          <w:lang w:val="fr-CA"/>
        </w:rPr>
        <w:t>s L.J.</w:t>
      </w:r>
      <w:r w:rsidRPr="00DD4D5E">
        <w:rPr>
          <w:rFonts w:cs="Times New Roman"/>
          <w:lang w:val="fr-CA"/>
        </w:rPr>
        <w:t xml:space="preserve"> 583, p. 599</w:t>
      </w:r>
      <w:r w:rsidRPr="00DD4D5E">
        <w:rPr>
          <w:rFonts w:cs="Times New Roman"/>
          <w:lang w:val="fr-CA"/>
        </w:rPr>
        <w:noBreakHyphen/>
        <w:t xml:space="preserve">600). </w:t>
      </w:r>
    </w:p>
    <w:p w:rsidR="00DE26CA" w:rsidRPr="00DD4D5E" w:rsidRDefault="00DE26CA" w:rsidP="00DE26CA">
      <w:pPr>
        <w:pStyle w:val="ParaNoNdepar-AltN"/>
        <w:tabs>
          <w:tab w:val="clear" w:pos="1152"/>
          <w:tab w:val="left" w:pos="1166"/>
        </w:tabs>
        <w:rPr>
          <w:rFonts w:cs="Times New Roman"/>
          <w:lang w:val="en-US"/>
        </w:rPr>
      </w:pPr>
      <w:r w:rsidRPr="00DD4D5E">
        <w:rPr>
          <w:rFonts w:cs="Times New Roman"/>
          <w:lang w:val="fr-CA"/>
        </w:rPr>
        <w:t>Même si on a un jour cessé d</w:t>
      </w:r>
      <w:r>
        <w:rPr>
          <w:rFonts w:cs="Times New Roman"/>
          <w:lang w:val="fr-CA"/>
        </w:rPr>
        <w:t>’</w:t>
      </w:r>
      <w:r w:rsidRPr="00DD4D5E">
        <w:rPr>
          <w:rFonts w:cs="Times New Roman"/>
          <w:lang w:val="fr-CA"/>
        </w:rPr>
        <w:t>opposer une fin de non</w:t>
      </w:r>
      <w:r w:rsidRPr="00DD4D5E">
        <w:rPr>
          <w:rFonts w:cs="Times New Roman"/>
          <w:lang w:val="fr-CA"/>
        </w:rPr>
        <w:noBreakHyphen/>
        <w:t>recevoir absolue aux demandes d</w:t>
      </w:r>
      <w:r>
        <w:rPr>
          <w:rFonts w:cs="Times New Roman"/>
          <w:lang w:val="fr-CA"/>
        </w:rPr>
        <w:t>’</w:t>
      </w:r>
      <w:r w:rsidRPr="00DD4D5E">
        <w:rPr>
          <w:rFonts w:cs="Times New Roman"/>
          <w:lang w:val="fr-CA"/>
        </w:rPr>
        <w:t>indemnisation d</w:t>
      </w:r>
      <w:r>
        <w:rPr>
          <w:rFonts w:cs="Times New Roman"/>
          <w:lang w:val="fr-CA"/>
        </w:rPr>
        <w:t>’</w:t>
      </w:r>
      <w:r w:rsidRPr="00DD4D5E">
        <w:rPr>
          <w:rFonts w:cs="Times New Roman"/>
          <w:lang w:val="fr-CA"/>
        </w:rPr>
        <w:t>un préjudice mental en l</w:t>
      </w:r>
      <w:r>
        <w:rPr>
          <w:rFonts w:cs="Times New Roman"/>
          <w:lang w:val="fr-CA"/>
        </w:rPr>
        <w:t>’</w:t>
      </w:r>
      <w:r w:rsidRPr="00DD4D5E">
        <w:rPr>
          <w:rFonts w:cs="Times New Roman"/>
          <w:lang w:val="fr-CA"/>
        </w:rPr>
        <w:t>absence d</w:t>
      </w:r>
      <w:r>
        <w:rPr>
          <w:rFonts w:cs="Times New Roman"/>
          <w:lang w:val="fr-CA"/>
        </w:rPr>
        <w:t>’</w:t>
      </w:r>
      <w:r w:rsidRPr="00DD4D5E">
        <w:rPr>
          <w:rFonts w:cs="Times New Roman"/>
          <w:lang w:val="fr-CA"/>
        </w:rPr>
        <w:t>un préjudice physique concomitant, le scepticisme qui avait initialement entraîné le rejet de ces demandes a perduré, et les tribunaux de common law ont continué à soumettre l</w:t>
      </w:r>
      <w:r>
        <w:rPr>
          <w:rFonts w:cs="Times New Roman"/>
          <w:lang w:val="fr-CA"/>
        </w:rPr>
        <w:t>’</w:t>
      </w:r>
      <w:r w:rsidRPr="00DD4D5E">
        <w:rPr>
          <w:rFonts w:cs="Times New Roman"/>
          <w:lang w:val="fr-CA"/>
        </w:rPr>
        <w:t>indemnisation</w:t>
      </w:r>
      <w:r>
        <w:rPr>
          <w:rFonts w:cs="Times New Roman"/>
          <w:lang w:val="fr-CA"/>
        </w:rPr>
        <w:t xml:space="preserve"> </w:t>
      </w:r>
      <w:r w:rsidRPr="00DD4D5E">
        <w:rPr>
          <w:rFonts w:cs="Times New Roman"/>
          <w:lang w:val="fr-CA"/>
        </w:rPr>
        <w:t>du préjudice mental à des conditions bien plus strictes que celle du préjudice physique causé par négligence. Ainsi, en Angleterre, la responsabilité du préjudice mental causé par négligence a été reconnue pour la première fois dès 1901 (</w:t>
      </w:r>
      <w:r w:rsidRPr="00DD4D5E">
        <w:rPr>
          <w:rFonts w:cs="Times New Roman"/>
          <w:i/>
          <w:lang w:val="fr-CA"/>
        </w:rPr>
        <w:t>Dulieu c. White &amp; Sons</w:t>
      </w:r>
      <w:r w:rsidRPr="00DD4D5E">
        <w:rPr>
          <w:rFonts w:cs="Times New Roman"/>
          <w:lang w:val="fr-CA"/>
        </w:rPr>
        <w:t>, [1901] 2 K.B. 669</w:t>
      </w:r>
      <w:r w:rsidR="00F50ED8">
        <w:rPr>
          <w:rFonts w:cs="Times New Roman"/>
          <w:lang w:val="fr-CA"/>
        </w:rPr>
        <w:t xml:space="preserve"> (C</w:t>
      </w:r>
      <w:r>
        <w:rPr>
          <w:rFonts w:cs="Times New Roman"/>
          <w:lang w:val="fr-CA"/>
        </w:rPr>
        <w:t>. </w:t>
      </w:r>
      <w:r w:rsidRPr="00DD4D5E">
        <w:rPr>
          <w:rFonts w:cs="Times New Roman"/>
          <w:lang w:val="fr-CA"/>
        </w:rPr>
        <w:t>div.)), mais seulement à l</w:t>
      </w:r>
      <w:r>
        <w:rPr>
          <w:rFonts w:cs="Times New Roman"/>
          <w:lang w:val="fr-CA"/>
        </w:rPr>
        <w:t>’</w:t>
      </w:r>
      <w:r w:rsidRPr="00DD4D5E">
        <w:rPr>
          <w:rFonts w:cs="Times New Roman"/>
          <w:lang w:val="fr-CA"/>
        </w:rPr>
        <w:t>égard d</w:t>
      </w:r>
      <w:r>
        <w:rPr>
          <w:rFonts w:cs="Times New Roman"/>
          <w:lang w:val="fr-CA"/>
        </w:rPr>
        <w:t>’</w:t>
      </w:r>
      <w:r w:rsidRPr="00DD4D5E">
        <w:rPr>
          <w:rFonts w:cs="Times New Roman"/>
          <w:lang w:val="fr-CA"/>
        </w:rPr>
        <w:t>un</w:t>
      </w:r>
      <w:r w:rsidRPr="00DD4D5E">
        <w:rPr>
          <w:rFonts w:cs="Times New Roman"/>
          <w:sz w:val="22"/>
          <w:lang w:val="fr-CA"/>
        </w:rPr>
        <w:t xml:space="preserve"> [</w:t>
      </w:r>
      <w:r w:rsidRPr="00DD4D5E">
        <w:rPr>
          <w:rFonts w:cs="Times New Roman"/>
          <w:smallCaps/>
          <w:sz w:val="22"/>
          <w:lang w:val="fr-CA"/>
        </w:rPr>
        <w:t>traduction</w:t>
      </w:r>
      <w:r w:rsidRPr="00DD4D5E">
        <w:rPr>
          <w:rFonts w:cs="Times New Roman"/>
          <w:sz w:val="22"/>
          <w:lang w:val="fr-CA"/>
        </w:rPr>
        <w:t>]</w:t>
      </w:r>
      <w:r w:rsidRPr="00DD4D5E">
        <w:rPr>
          <w:rFonts w:cs="Times New Roman"/>
          <w:lang w:val="fr-CA"/>
        </w:rPr>
        <w:t xml:space="preserve"> « choc découlant d</w:t>
      </w:r>
      <w:r>
        <w:rPr>
          <w:rFonts w:cs="Times New Roman"/>
          <w:lang w:val="fr-CA"/>
        </w:rPr>
        <w:t>’</w:t>
      </w:r>
      <w:r w:rsidRPr="00DD4D5E">
        <w:rPr>
          <w:rFonts w:cs="Times New Roman"/>
          <w:lang w:val="fr-CA"/>
        </w:rPr>
        <w:t xml:space="preserve">une crainte raisonnable de subir un préjudice personnel immédiat » </w:t>
      </w:r>
      <w:r w:rsidRPr="00DD4D5E">
        <w:rPr>
          <w:rFonts w:cs="Times New Roman"/>
          <w:lang w:val="fr-CA"/>
        </w:rPr>
        <w:lastRenderedPageBreak/>
        <w:t>(p. 675) ou (après l</w:t>
      </w:r>
      <w:r>
        <w:rPr>
          <w:rFonts w:cs="Times New Roman"/>
          <w:lang w:val="fr-CA"/>
        </w:rPr>
        <w:t>’</w:t>
      </w:r>
      <w:r w:rsidRPr="00DD4D5E">
        <w:rPr>
          <w:rFonts w:cs="Times New Roman"/>
          <w:lang w:val="fr-CA"/>
        </w:rPr>
        <w:t xml:space="preserve">arrêt </w:t>
      </w:r>
      <w:r w:rsidRPr="00DD4D5E">
        <w:rPr>
          <w:rFonts w:cs="Times New Roman"/>
          <w:i/>
          <w:lang w:val="fr-CA"/>
        </w:rPr>
        <w:t>Hambrook c. Stokes Brothers</w:t>
      </w:r>
      <w:r w:rsidRPr="00DD4D5E">
        <w:rPr>
          <w:rFonts w:cs="Times New Roman"/>
          <w:lang w:val="fr-CA"/>
        </w:rPr>
        <w:t>, [1925] 1 K.B. 141 (C.A.)) d</w:t>
      </w:r>
      <w:r>
        <w:rPr>
          <w:rFonts w:cs="Times New Roman"/>
          <w:lang w:val="fr-CA"/>
        </w:rPr>
        <w:t>’</w:t>
      </w:r>
      <w:r w:rsidRPr="00DD4D5E">
        <w:rPr>
          <w:rFonts w:cs="Times New Roman"/>
          <w:lang w:val="fr-CA"/>
        </w:rPr>
        <w:t>une</w:t>
      </w:r>
      <w:r w:rsidRPr="00DD4D5E">
        <w:rPr>
          <w:rFonts w:cs="Times New Roman"/>
          <w:sz w:val="22"/>
          <w:lang w:val="fr-CA"/>
        </w:rPr>
        <w:t xml:space="preserve"> [</w:t>
      </w:r>
      <w:r w:rsidRPr="00DD4D5E">
        <w:rPr>
          <w:rFonts w:cs="Times New Roman"/>
          <w:smallCaps/>
          <w:sz w:val="22"/>
          <w:lang w:val="fr-CA"/>
        </w:rPr>
        <w:t>traduction</w:t>
      </w:r>
      <w:r w:rsidRPr="00DD4D5E">
        <w:rPr>
          <w:rFonts w:cs="Times New Roman"/>
          <w:sz w:val="22"/>
          <w:lang w:val="fr-CA"/>
        </w:rPr>
        <w:t>]</w:t>
      </w:r>
      <w:r w:rsidRPr="00DD4D5E">
        <w:rPr>
          <w:rFonts w:cs="Times New Roman"/>
          <w:lang w:val="fr-CA"/>
        </w:rPr>
        <w:t xml:space="preserve"> « crainte raisonnable qu</w:t>
      </w:r>
      <w:r>
        <w:rPr>
          <w:rFonts w:cs="Times New Roman"/>
          <w:lang w:val="fr-CA"/>
        </w:rPr>
        <w:t>’</w:t>
      </w:r>
      <w:r w:rsidRPr="00DD4D5E">
        <w:rPr>
          <w:rFonts w:cs="Times New Roman"/>
          <w:lang w:val="fr-CA"/>
        </w:rPr>
        <w:t>un préjudice personnel immédiat soit infligé [au demandeur ou à ses enfants] » (p. 152). Bien que, au Canada, pendant une bonne partie du XX</w:t>
      </w:r>
      <w:r w:rsidRPr="00DD4D5E">
        <w:rPr>
          <w:rFonts w:cs="Times New Roman"/>
          <w:vertAlign w:val="superscript"/>
          <w:lang w:val="fr-CA"/>
        </w:rPr>
        <w:t>e </w:t>
      </w:r>
      <w:r w:rsidRPr="00DD4D5E">
        <w:rPr>
          <w:rFonts w:cs="Times New Roman"/>
          <w:lang w:val="fr-CA"/>
        </w:rPr>
        <w:t xml:space="preserve">siècle (p. ex. dans </w:t>
      </w:r>
      <w:r w:rsidRPr="00DD4D5E">
        <w:rPr>
          <w:rFonts w:cs="Times New Roman"/>
          <w:i/>
          <w:lang w:val="fr-CA"/>
        </w:rPr>
        <w:t>Miner</w:t>
      </w:r>
      <w:r w:rsidRPr="00DD4D5E">
        <w:rPr>
          <w:rFonts w:cs="Times New Roman"/>
          <w:lang w:val="fr-CA"/>
        </w:rPr>
        <w:t>), l</w:t>
      </w:r>
      <w:r>
        <w:rPr>
          <w:rFonts w:cs="Times New Roman"/>
          <w:lang w:val="fr-CA"/>
        </w:rPr>
        <w:t>’</w:t>
      </w:r>
      <w:r w:rsidRPr="00DD4D5E">
        <w:rPr>
          <w:rFonts w:cs="Times New Roman"/>
          <w:lang w:val="fr-CA"/>
        </w:rPr>
        <w:t>indemnisation du préjudice mental soit demeurée tributaire de l</w:t>
      </w:r>
      <w:r>
        <w:rPr>
          <w:rFonts w:cs="Times New Roman"/>
          <w:lang w:val="fr-CA"/>
        </w:rPr>
        <w:t>’</w:t>
      </w:r>
      <w:r w:rsidRPr="00DD4D5E">
        <w:rPr>
          <w:rFonts w:cs="Times New Roman"/>
          <w:lang w:val="fr-CA"/>
        </w:rPr>
        <w:t>obtention d</w:t>
      </w:r>
      <w:r>
        <w:rPr>
          <w:rFonts w:cs="Times New Roman"/>
          <w:lang w:val="fr-CA"/>
        </w:rPr>
        <w:t>’</w:t>
      </w:r>
      <w:r w:rsidRPr="00DD4D5E">
        <w:rPr>
          <w:rFonts w:cs="Times New Roman"/>
          <w:lang w:val="fr-CA"/>
        </w:rPr>
        <w:t>une réparation pour un préjudice physique indemnisable, au milieu du siècle, les tribunaux canadiens ont eux aussi commencé à permettre l</w:t>
      </w:r>
      <w:r>
        <w:rPr>
          <w:rFonts w:cs="Times New Roman"/>
          <w:lang w:val="fr-CA"/>
        </w:rPr>
        <w:t>’</w:t>
      </w:r>
      <w:r w:rsidRPr="00DD4D5E">
        <w:rPr>
          <w:rFonts w:cs="Times New Roman"/>
          <w:lang w:val="fr-CA"/>
        </w:rPr>
        <w:t>indemnisation à des conditions semblables à celles appliquées en droit anglais, soit habituellement que le demandeur ait eu au moment considéré une crainte raisonnable qu</w:t>
      </w:r>
      <w:r>
        <w:rPr>
          <w:rFonts w:cs="Times New Roman"/>
          <w:lang w:val="fr-CA"/>
        </w:rPr>
        <w:t>’</w:t>
      </w:r>
      <w:r w:rsidRPr="00DD4D5E">
        <w:rPr>
          <w:rFonts w:cs="Times New Roman"/>
          <w:lang w:val="fr-CA"/>
        </w:rPr>
        <w:t xml:space="preserve">un préjudice physique lui soit infligé ou le soit à sa famille (p. ex. </w:t>
      </w:r>
      <w:r w:rsidRPr="00DD4D5E">
        <w:rPr>
          <w:rFonts w:cs="Times New Roman"/>
          <w:i/>
          <w:lang w:val="en-US"/>
        </w:rPr>
        <w:t>Horne c. New Glasgow</w:t>
      </w:r>
      <w:r w:rsidRPr="00DD4D5E">
        <w:rPr>
          <w:rFonts w:cs="Times New Roman"/>
          <w:lang w:val="en-US"/>
        </w:rPr>
        <w:t>, [1954] 1 D.L.R. 832 (C.S.</w:t>
      </w:r>
      <w:r w:rsidR="00FA4AA9">
        <w:rPr>
          <w:rFonts w:cs="Times New Roman"/>
          <w:lang w:val="en-US"/>
        </w:rPr>
        <w:t xml:space="preserve"> </w:t>
      </w:r>
      <w:r w:rsidRPr="00DD4D5E">
        <w:rPr>
          <w:rFonts w:cs="Times New Roman"/>
          <w:lang w:val="en-US"/>
        </w:rPr>
        <w:t>N.</w:t>
      </w:r>
      <w:r w:rsidRPr="00DD4D5E">
        <w:rPr>
          <w:rFonts w:cs="Times New Roman"/>
          <w:lang w:val="en-US"/>
        </w:rPr>
        <w:noBreakHyphen/>
        <w:t>É.)).</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D</w:t>
      </w:r>
      <w:r>
        <w:rPr>
          <w:rFonts w:cs="Times New Roman"/>
          <w:lang w:val="fr-CA"/>
        </w:rPr>
        <w:t>’</w:t>
      </w:r>
      <w:r w:rsidRPr="00DD4D5E">
        <w:rPr>
          <w:rFonts w:cs="Times New Roman"/>
          <w:lang w:val="fr-CA"/>
        </w:rPr>
        <w:t>autres obstacles à l</w:t>
      </w:r>
      <w:r>
        <w:rPr>
          <w:rFonts w:cs="Times New Roman"/>
          <w:lang w:val="fr-CA"/>
        </w:rPr>
        <w:t>’</w:t>
      </w:r>
      <w:r w:rsidRPr="00DD4D5E">
        <w:rPr>
          <w:rFonts w:cs="Times New Roman"/>
          <w:lang w:val="fr-CA"/>
        </w:rPr>
        <w:t>indemnisation du préjudice mental se sont dressés en droit anglais. Dans l</w:t>
      </w:r>
      <w:r>
        <w:rPr>
          <w:rFonts w:cs="Times New Roman"/>
          <w:lang w:val="fr-CA"/>
        </w:rPr>
        <w:t>’</w:t>
      </w:r>
      <w:r w:rsidRPr="00DD4D5E">
        <w:rPr>
          <w:rFonts w:cs="Times New Roman"/>
          <w:lang w:val="fr-CA"/>
        </w:rPr>
        <w:t xml:space="preserve">arrêt </w:t>
      </w:r>
      <w:r w:rsidRPr="00DD4D5E">
        <w:rPr>
          <w:rFonts w:cs="Times New Roman"/>
          <w:i/>
          <w:lang w:val="fr-CA"/>
        </w:rPr>
        <w:t>McLoughlin c. O</w:t>
      </w:r>
      <w:r>
        <w:rPr>
          <w:rFonts w:cs="Times New Roman"/>
          <w:i/>
          <w:lang w:val="fr-CA"/>
        </w:rPr>
        <w:t>’</w:t>
      </w:r>
      <w:r w:rsidRPr="00DD4D5E">
        <w:rPr>
          <w:rFonts w:cs="Times New Roman"/>
          <w:i/>
          <w:lang w:val="fr-CA"/>
        </w:rPr>
        <w:t>Brian</w:t>
      </w:r>
      <w:r w:rsidRPr="00DD4D5E">
        <w:rPr>
          <w:rFonts w:cs="Times New Roman"/>
          <w:lang w:val="fr-CA"/>
        </w:rPr>
        <w:t xml:space="preserve">, </w:t>
      </w:r>
      <w:r w:rsidR="00FA4AA9">
        <w:rPr>
          <w:rFonts w:cs="Times New Roman"/>
          <w:lang w:val="fr-CA"/>
        </w:rPr>
        <w:t xml:space="preserve">p. </w:t>
      </w:r>
      <w:r w:rsidRPr="00DD4D5E">
        <w:rPr>
          <w:rFonts w:cs="Times New Roman"/>
          <w:lang w:val="fr-CA"/>
        </w:rPr>
        <w:t>419</w:t>
      </w:r>
      <w:r w:rsidRPr="00DD4D5E">
        <w:rPr>
          <w:rFonts w:cs="Times New Roman"/>
          <w:lang w:val="fr-CA"/>
        </w:rPr>
        <w:noBreakHyphen/>
        <w:t xml:space="preserve">421, lord Wilberforce fait état de trois éléments susceptibles de circonscrire le </w:t>
      </w:r>
      <w:r w:rsidRPr="00DD4D5E">
        <w:rPr>
          <w:rFonts w:cs="Times New Roman"/>
          <w:sz w:val="22"/>
          <w:lang w:val="fr-CA"/>
        </w:rPr>
        <w:t>[</w:t>
      </w:r>
      <w:r w:rsidRPr="00DD4D5E">
        <w:rPr>
          <w:rFonts w:cs="Times New Roman"/>
          <w:smallCaps/>
          <w:sz w:val="22"/>
          <w:lang w:val="fr-CA"/>
        </w:rPr>
        <w:t>traduction</w:t>
      </w:r>
      <w:r w:rsidRPr="00DD4D5E">
        <w:rPr>
          <w:rFonts w:cs="Times New Roman"/>
          <w:sz w:val="22"/>
          <w:lang w:val="fr-CA"/>
        </w:rPr>
        <w:t>]</w:t>
      </w:r>
      <w:r w:rsidRPr="00DD4D5E">
        <w:rPr>
          <w:rFonts w:cs="Times New Roman"/>
          <w:lang w:val="fr-CA"/>
        </w:rPr>
        <w:t xml:space="preserve"> « choc nerveux » indemnisable : la catégorie des personnes admises à demander l</w:t>
      </w:r>
      <w:r>
        <w:rPr>
          <w:rFonts w:cs="Times New Roman"/>
          <w:lang w:val="fr-CA"/>
        </w:rPr>
        <w:t>’</w:t>
      </w:r>
      <w:r w:rsidRPr="00DD4D5E">
        <w:rPr>
          <w:rFonts w:cs="Times New Roman"/>
          <w:lang w:val="fr-CA"/>
        </w:rPr>
        <w:t>indemnisation (ce qu</w:t>
      </w:r>
      <w:r>
        <w:rPr>
          <w:rFonts w:cs="Times New Roman"/>
          <w:lang w:val="fr-CA"/>
        </w:rPr>
        <w:t>’</w:t>
      </w:r>
      <w:r w:rsidRPr="00DD4D5E">
        <w:rPr>
          <w:rFonts w:cs="Times New Roman"/>
          <w:lang w:val="fr-CA"/>
        </w:rPr>
        <w:t>on appelle souvent la proximité relationnelle), la proximité de ces personnes avec l</w:t>
      </w:r>
      <w:r>
        <w:rPr>
          <w:rFonts w:cs="Times New Roman"/>
          <w:lang w:val="fr-CA"/>
        </w:rPr>
        <w:t>’</w:t>
      </w:r>
      <w:r w:rsidRPr="00DD4D5E">
        <w:rPr>
          <w:rFonts w:cs="Times New Roman"/>
          <w:lang w:val="fr-CA"/>
        </w:rPr>
        <w:t xml:space="preserve">accident (la proximité physique ou géographique) et la manière dont le « choc » a été causé (la proximité temporelle) (G. H. L. Fridman, </w:t>
      </w:r>
      <w:r w:rsidRPr="00DD4D5E">
        <w:rPr>
          <w:rFonts w:cs="Times New Roman"/>
          <w:i/>
          <w:lang w:val="fr-CA"/>
        </w:rPr>
        <w:t>The Law of Torts in Canada</w:t>
      </w:r>
      <w:r w:rsidRPr="00DD4D5E">
        <w:rPr>
          <w:rFonts w:cs="Times New Roman"/>
          <w:lang w:val="fr-CA"/>
        </w:rPr>
        <w:t xml:space="preserve"> (3</w:t>
      </w:r>
      <w:r w:rsidRPr="00DD4D5E">
        <w:rPr>
          <w:rFonts w:cs="Times New Roman"/>
          <w:vertAlign w:val="superscript"/>
          <w:lang w:val="fr-CA"/>
        </w:rPr>
        <w:t>e</w:t>
      </w:r>
      <w:r w:rsidRPr="00DD4D5E">
        <w:rPr>
          <w:rFonts w:cs="Times New Roman"/>
          <w:lang w:val="fr-CA"/>
        </w:rPr>
        <w:t xml:space="preserve"> éd. 2010), p. 326). Ultérieurement, lorsque des demandeurs ont allégué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préjudice mental ayant découlé d</w:t>
      </w:r>
      <w:r>
        <w:rPr>
          <w:rFonts w:cs="Times New Roman"/>
          <w:lang w:val="fr-CA"/>
        </w:rPr>
        <w:t>’</w:t>
      </w:r>
      <w:r w:rsidRPr="00DD4D5E">
        <w:rPr>
          <w:rFonts w:cs="Times New Roman"/>
          <w:lang w:val="fr-CA"/>
        </w:rPr>
        <w:t>un événement traumatisant inattendu, une distinction a été établie entre la victime « directe » (directement en cause) et la victime « indirecte » (témoin de l</w:t>
      </w:r>
      <w:r>
        <w:rPr>
          <w:rFonts w:cs="Times New Roman"/>
          <w:lang w:val="fr-CA"/>
        </w:rPr>
        <w:t>’</w:t>
      </w:r>
      <w:r w:rsidRPr="00DD4D5E">
        <w:rPr>
          <w:rFonts w:cs="Times New Roman"/>
          <w:lang w:val="fr-CA"/>
        </w:rPr>
        <w:t>infliction d</w:t>
      </w:r>
      <w:r>
        <w:rPr>
          <w:rFonts w:cs="Times New Roman"/>
          <w:lang w:val="fr-CA"/>
        </w:rPr>
        <w:t>’</w:t>
      </w:r>
      <w:r w:rsidRPr="00DD4D5E">
        <w:rPr>
          <w:rFonts w:cs="Times New Roman"/>
          <w:lang w:val="fr-CA"/>
        </w:rPr>
        <w:t xml:space="preserve">un préjudice physique à autrui) (voir </w:t>
      </w:r>
      <w:r w:rsidRPr="00DD4D5E">
        <w:rPr>
          <w:rFonts w:cs="Times New Roman"/>
          <w:i/>
          <w:lang w:val="fr-CA"/>
        </w:rPr>
        <w:t>Alcock c. Chief Constable of South Yorkshire Police</w:t>
      </w:r>
      <w:r w:rsidRPr="00DD4D5E">
        <w:rPr>
          <w:rFonts w:cs="Times New Roman"/>
          <w:lang w:val="fr-CA"/>
        </w:rPr>
        <w:t xml:space="preserve">, [1992] 1 A.C. 310 (H.L.), et </w:t>
      </w:r>
      <w:r w:rsidRPr="00DD4D5E">
        <w:rPr>
          <w:rFonts w:cs="Times New Roman"/>
          <w:i/>
          <w:lang w:val="fr-CA"/>
        </w:rPr>
        <w:t>Page c. Smith</w:t>
      </w:r>
      <w:r w:rsidRPr="00DD4D5E">
        <w:rPr>
          <w:rFonts w:cs="Times New Roman"/>
          <w:lang w:val="fr-CA"/>
        </w:rPr>
        <w:t xml:space="preserve">, </w:t>
      </w:r>
      <w:r w:rsidR="00E902E7">
        <w:rPr>
          <w:rFonts w:cs="Times New Roman"/>
          <w:lang w:val="fr-CA"/>
        </w:rPr>
        <w:lastRenderedPageBreak/>
        <w:t>[1996] 2</w:t>
      </w:r>
      <w:r w:rsidRPr="00DD4D5E">
        <w:rPr>
          <w:rFonts w:cs="Times New Roman"/>
          <w:lang w:val="fr-CA"/>
        </w:rPr>
        <w:t xml:space="preserve"> A.C. 455 (H.L.)). Or, cette distinction s</w:t>
      </w:r>
      <w:r>
        <w:rPr>
          <w:rFonts w:cs="Times New Roman"/>
          <w:lang w:val="fr-CA"/>
        </w:rPr>
        <w:t>’</w:t>
      </w:r>
      <w:r w:rsidRPr="00DD4D5E">
        <w:rPr>
          <w:rFonts w:cs="Times New Roman"/>
          <w:lang w:val="fr-CA"/>
        </w:rPr>
        <w:t xml:space="preserve">est parfois révélée difficile (comme le montre la difficulté du droit anglais à qualifier la situation du sauveteur (voir </w:t>
      </w:r>
      <w:r w:rsidRPr="00DD4D5E">
        <w:rPr>
          <w:rFonts w:cs="Times New Roman"/>
          <w:i/>
          <w:lang w:val="fr-CA"/>
        </w:rPr>
        <w:t>White c. Chief Constable of South Yorkshire Police</w:t>
      </w:r>
      <w:r w:rsidRPr="00DD4D5E">
        <w:rPr>
          <w:rFonts w:cs="Times New Roman"/>
          <w:lang w:val="fr-CA"/>
        </w:rPr>
        <w:t xml:space="preserve">, [1999] </w:t>
      </w:r>
      <w:r w:rsidR="00673F9C">
        <w:rPr>
          <w:rFonts w:cs="Times New Roman"/>
          <w:lang w:val="fr-CA"/>
        </w:rPr>
        <w:t>2</w:t>
      </w:r>
      <w:r w:rsidRPr="00DD4D5E">
        <w:rPr>
          <w:rFonts w:cs="Times New Roman"/>
          <w:lang w:val="fr-CA"/>
        </w:rPr>
        <w:t xml:space="preserve"> A.C. 455 (H.L.)). Certains ont déploré que cette distinction ne repose sur aucun principe, qu</w:t>
      </w:r>
      <w:r>
        <w:rPr>
          <w:rFonts w:cs="Times New Roman"/>
          <w:lang w:val="fr-CA"/>
        </w:rPr>
        <w:t>’</w:t>
      </w:r>
      <w:r w:rsidRPr="00DD4D5E">
        <w:rPr>
          <w:rFonts w:cs="Times New Roman"/>
          <w:lang w:val="fr-CA"/>
        </w:rPr>
        <w:t>elle n</w:t>
      </w:r>
      <w:r>
        <w:rPr>
          <w:rFonts w:cs="Times New Roman"/>
          <w:lang w:val="fr-CA"/>
        </w:rPr>
        <w:t>’</w:t>
      </w:r>
      <w:r w:rsidRPr="00DD4D5E">
        <w:rPr>
          <w:rFonts w:cs="Times New Roman"/>
          <w:lang w:val="fr-CA"/>
        </w:rPr>
        <w:t>ait aucune pertinence quant au bien</w:t>
      </w:r>
      <w:r w:rsidRPr="00DD4D5E">
        <w:rPr>
          <w:rFonts w:cs="Times New Roman"/>
          <w:lang w:val="fr-CA"/>
        </w:rPr>
        <w:noBreakHyphen/>
        <w:t xml:space="preserve">fondé du recours du demandeur (A. Beever, </w:t>
      </w:r>
      <w:r w:rsidRPr="00DD4D5E">
        <w:rPr>
          <w:rFonts w:cs="Times New Roman"/>
          <w:i/>
          <w:lang w:val="fr-CA"/>
        </w:rPr>
        <w:t>Rediscovering the Law of Negligence</w:t>
      </w:r>
      <w:r w:rsidRPr="00DD4D5E">
        <w:rPr>
          <w:rFonts w:cs="Times New Roman"/>
          <w:lang w:val="fr-CA"/>
        </w:rPr>
        <w:t xml:space="preserve"> (2007), p. 405</w:t>
      </w:r>
      <w:r w:rsidRPr="00DD4D5E">
        <w:rPr>
          <w:rFonts w:cs="Times New Roman"/>
          <w:lang w:val="fr-CA"/>
        </w:rPr>
        <w:noBreakHyphen/>
        <w:t xml:space="preserve">407; J. Stapleton, « In Restraint of Tort », dans P. Birks, dir., </w:t>
      </w:r>
      <w:r w:rsidRPr="00DD4D5E">
        <w:rPr>
          <w:rFonts w:cs="Times New Roman"/>
          <w:i/>
          <w:lang w:val="fr-CA"/>
        </w:rPr>
        <w:t xml:space="preserve">The Frontiers of Liability </w:t>
      </w:r>
      <w:r w:rsidRPr="00DD4D5E">
        <w:rPr>
          <w:rFonts w:cs="Times New Roman"/>
          <w:lang w:val="fr-CA"/>
        </w:rPr>
        <w:t xml:space="preserve">(1994), vol. 2, 83, p. 95; </w:t>
      </w:r>
      <w:r w:rsidRPr="00DD4D5E">
        <w:rPr>
          <w:rFonts w:cs="Times New Roman"/>
          <w:i/>
          <w:lang w:val="fr-CA"/>
        </w:rPr>
        <w:t>Mustapha c. Culligan of Canada Ltd.</w:t>
      </w:r>
      <w:r w:rsidRPr="00DD4D5E">
        <w:rPr>
          <w:rFonts w:cs="Times New Roman"/>
          <w:lang w:val="fr-CA"/>
        </w:rPr>
        <w:t xml:space="preserve"> (2006), 84 O.R. (3d) 457 (C.A.), par. 43). Nul n</w:t>
      </w:r>
      <w:r>
        <w:rPr>
          <w:rFonts w:cs="Times New Roman"/>
          <w:lang w:val="fr-CA"/>
        </w:rPr>
        <w:t>’</w:t>
      </w:r>
      <w:r w:rsidRPr="00DD4D5E">
        <w:rPr>
          <w:rFonts w:cs="Times New Roman"/>
          <w:lang w:val="fr-CA"/>
        </w:rPr>
        <w:t>a jamais vraiment contesté cet état de fait. Lord Hoffman</w:t>
      </w:r>
      <w:r w:rsidR="00E902E7">
        <w:rPr>
          <w:rFonts w:cs="Times New Roman"/>
          <w:lang w:val="fr-CA"/>
        </w:rPr>
        <w:t>n</w:t>
      </w:r>
      <w:r w:rsidRPr="00DD4D5E">
        <w:rPr>
          <w:rFonts w:cs="Times New Roman"/>
          <w:lang w:val="fr-CA"/>
        </w:rPr>
        <w:t xml:space="preserve"> le reconnaît d</w:t>
      </w:r>
      <w:r>
        <w:rPr>
          <w:rFonts w:cs="Times New Roman"/>
          <w:lang w:val="fr-CA"/>
        </w:rPr>
        <w:t>’</w:t>
      </w:r>
      <w:r w:rsidRPr="00DD4D5E">
        <w:rPr>
          <w:rFonts w:cs="Times New Roman"/>
          <w:lang w:val="fr-CA"/>
        </w:rPr>
        <w:t xml:space="preserve">ailleurs avec candeur dans </w:t>
      </w:r>
      <w:r w:rsidRPr="00DD4D5E">
        <w:rPr>
          <w:rFonts w:cs="Times New Roman"/>
          <w:i/>
          <w:lang w:val="fr-CA"/>
        </w:rPr>
        <w:t>White</w:t>
      </w:r>
      <w:r w:rsidRPr="00DD4D5E">
        <w:rPr>
          <w:rFonts w:cs="Times New Roman"/>
          <w:lang w:val="fr-CA"/>
        </w:rPr>
        <w:t> :</w:t>
      </w:r>
      <w:r w:rsidRPr="00DD4D5E">
        <w:rPr>
          <w:rFonts w:cs="Times New Roman"/>
          <w:sz w:val="22"/>
          <w:lang w:val="fr-CA"/>
        </w:rPr>
        <w:t xml:space="preserve"> [</w:t>
      </w:r>
      <w:r w:rsidRPr="00DD4D5E">
        <w:rPr>
          <w:rFonts w:cs="Times New Roman"/>
          <w:smallCaps/>
          <w:sz w:val="22"/>
          <w:lang w:val="fr-CA"/>
        </w:rPr>
        <w:t>traduction</w:t>
      </w:r>
      <w:r w:rsidRPr="00DD4D5E">
        <w:rPr>
          <w:rFonts w:cs="Times New Roman"/>
          <w:sz w:val="22"/>
          <w:lang w:val="fr-CA"/>
        </w:rPr>
        <w:t>]</w:t>
      </w:r>
      <w:r w:rsidRPr="00DD4D5E">
        <w:rPr>
          <w:rFonts w:cs="Times New Roman"/>
          <w:lang w:val="fr-CA"/>
        </w:rPr>
        <w:t xml:space="preserve"> « </w:t>
      </w:r>
      <w:r w:rsidR="00464834">
        <w:rPr>
          <w:rFonts w:cs="Times New Roman"/>
          <w:lang w:val="fr-CA"/>
        </w:rPr>
        <w:t xml:space="preserve">. . . </w:t>
      </w:r>
      <w:r w:rsidRPr="00DD4D5E">
        <w:rPr>
          <w:rFonts w:cs="Times New Roman"/>
          <w:lang w:val="fr-CA"/>
        </w:rPr>
        <w:t>dans ce domaine du droit, la recherche de règles fondées sur un principe a pris fin dans l</w:t>
      </w:r>
      <w:r>
        <w:rPr>
          <w:rFonts w:cs="Times New Roman"/>
          <w:lang w:val="fr-CA"/>
        </w:rPr>
        <w:t>’</w:t>
      </w:r>
      <w:r w:rsidRPr="00DD4D5E">
        <w:rPr>
          <w:rFonts w:cs="Times New Roman"/>
          <w:lang w:val="fr-CA"/>
        </w:rPr>
        <w:t xml:space="preserve">arrêt </w:t>
      </w:r>
      <w:r w:rsidRPr="00DD4D5E">
        <w:rPr>
          <w:rFonts w:cs="Times New Roman"/>
          <w:i/>
          <w:lang w:val="fr-CA"/>
        </w:rPr>
        <w:t>Alcock</w:t>
      </w:r>
      <w:r w:rsidRPr="00DD4D5E">
        <w:rPr>
          <w:rFonts w:cs="Times New Roman"/>
          <w:lang w:val="fr-CA"/>
        </w:rPr>
        <w:t xml:space="preserve"> [. . .] Nul ne peut prétendre que le droit actuel [. . .] est issu de l</w:t>
      </w:r>
      <w:r>
        <w:rPr>
          <w:rFonts w:cs="Times New Roman"/>
          <w:lang w:val="fr-CA"/>
        </w:rPr>
        <w:t>’</w:t>
      </w:r>
      <w:r w:rsidR="000E0D7B">
        <w:rPr>
          <w:rFonts w:cs="Times New Roman"/>
          <w:lang w:val="fr-CA"/>
        </w:rPr>
        <w:t>application de principes.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D</w:t>
      </w:r>
      <w:r>
        <w:rPr>
          <w:rFonts w:cs="Times New Roman"/>
          <w:lang w:val="fr-CA"/>
        </w:rPr>
        <w:t>’</w:t>
      </w:r>
      <w:r w:rsidRPr="00DD4D5E">
        <w:rPr>
          <w:rFonts w:cs="Times New Roman"/>
          <w:lang w:val="fr-CA"/>
        </w:rPr>
        <w:t>autres tribunaux du Commonwealth ont emprunté une avenue différente. La Haute Cour d</w:t>
      </w:r>
      <w:r>
        <w:rPr>
          <w:rFonts w:cs="Times New Roman"/>
          <w:lang w:val="fr-CA"/>
        </w:rPr>
        <w:t>’</w:t>
      </w:r>
      <w:r w:rsidRPr="00DD4D5E">
        <w:rPr>
          <w:rFonts w:cs="Times New Roman"/>
          <w:lang w:val="fr-CA"/>
        </w:rPr>
        <w:t>Australie a rejeté expressément les catégories définies par la Chambre des lords, leur préférant le critère plus souple de la prévisibilité du préjudice (</w:t>
      </w:r>
      <w:r w:rsidRPr="00DD4D5E">
        <w:rPr>
          <w:rFonts w:cs="Times New Roman"/>
          <w:i/>
          <w:lang w:val="fr-CA"/>
        </w:rPr>
        <w:t>Tame c. New South Wales</w:t>
      </w:r>
      <w:r w:rsidRPr="00DD4D5E">
        <w:rPr>
          <w:rFonts w:cs="Times New Roman"/>
          <w:lang w:val="fr-CA"/>
        </w:rPr>
        <w:t>, [2002] HCA 35, 211 C.L.R. 317). En Nouvelle</w:t>
      </w:r>
      <w:r w:rsidRPr="00DD4D5E">
        <w:rPr>
          <w:rFonts w:cs="Times New Roman"/>
          <w:lang w:val="fr-CA"/>
        </w:rPr>
        <w:noBreakHyphen/>
        <w:t>Zélande, on ne s</w:t>
      </w:r>
      <w:r>
        <w:rPr>
          <w:rFonts w:cs="Times New Roman"/>
          <w:lang w:val="fr-CA"/>
        </w:rPr>
        <w:t>’</w:t>
      </w:r>
      <w:r w:rsidRPr="00DD4D5E">
        <w:rPr>
          <w:rFonts w:cs="Times New Roman"/>
          <w:lang w:val="fr-CA"/>
        </w:rPr>
        <w:t xml:space="preserve">est pas prononcé définitivement sur la distinction entre victime directe et victime indirecte (S. Todd et </w:t>
      </w:r>
      <w:r w:rsidR="000E0D7B">
        <w:rPr>
          <w:rFonts w:cs="Times New Roman"/>
          <w:lang w:val="fr-CA"/>
        </w:rPr>
        <w:t>autres</w:t>
      </w:r>
      <w:r w:rsidRPr="00DD4D5E">
        <w:rPr>
          <w:rFonts w:cs="Times New Roman"/>
          <w:lang w:val="fr-CA"/>
        </w:rPr>
        <w:t xml:space="preserve">, </w:t>
      </w:r>
      <w:r w:rsidRPr="00DD4D5E">
        <w:rPr>
          <w:rFonts w:cs="Times New Roman"/>
          <w:i/>
          <w:lang w:val="fr-CA"/>
        </w:rPr>
        <w:t>The Law of Torts in New Zealand</w:t>
      </w:r>
      <w:r w:rsidRPr="00DD4D5E">
        <w:rPr>
          <w:rFonts w:cs="Times New Roman"/>
          <w:lang w:val="fr-CA"/>
        </w:rPr>
        <w:t xml:space="preserve"> (5</w:t>
      </w:r>
      <w:r w:rsidRPr="00DD4D5E">
        <w:rPr>
          <w:rFonts w:cs="Times New Roman"/>
          <w:vertAlign w:val="superscript"/>
          <w:lang w:val="fr-CA"/>
        </w:rPr>
        <w:t>e</w:t>
      </w:r>
      <w:r w:rsidRPr="00DD4D5E">
        <w:rPr>
          <w:rFonts w:cs="Times New Roman"/>
          <w:lang w:val="fr-CA"/>
        </w:rPr>
        <w:t xml:space="preserve"> éd. 2009), p. 182</w:t>
      </w:r>
      <w:r w:rsidRPr="00DD4D5E">
        <w:rPr>
          <w:rFonts w:cs="Times New Roman"/>
          <w:lang w:val="fr-CA"/>
        </w:rPr>
        <w:noBreakHyphen/>
        <w:t>184).</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À l</w:t>
      </w:r>
      <w:r>
        <w:rPr>
          <w:rFonts w:cs="Times New Roman"/>
          <w:lang w:val="fr-CA"/>
        </w:rPr>
        <w:t>’</w:t>
      </w:r>
      <w:r w:rsidRPr="00DD4D5E">
        <w:rPr>
          <w:rFonts w:cs="Times New Roman"/>
          <w:lang w:val="fr-CA"/>
        </w:rPr>
        <w:t>instar des tribunaux anglais, les tribunaux canadiens ont parfois du mal, ainsi que l</w:t>
      </w:r>
      <w:r>
        <w:rPr>
          <w:rFonts w:cs="Times New Roman"/>
          <w:lang w:val="fr-CA"/>
        </w:rPr>
        <w:t>’</w:t>
      </w:r>
      <w:r w:rsidRPr="00DD4D5E">
        <w:rPr>
          <w:rFonts w:cs="Times New Roman"/>
          <w:lang w:val="fr-CA"/>
        </w:rPr>
        <w:t xml:space="preserve">explique le professeur Klar, </w:t>
      </w:r>
      <w:r w:rsidRPr="00DD4D5E">
        <w:rPr>
          <w:rFonts w:cs="Times New Roman"/>
          <w:sz w:val="22"/>
          <w:lang w:val="fr-CA"/>
        </w:rPr>
        <w:t>[</w:t>
      </w:r>
      <w:r w:rsidRPr="00DD4D5E">
        <w:rPr>
          <w:rFonts w:cs="Times New Roman"/>
          <w:smallCaps/>
          <w:sz w:val="22"/>
          <w:lang w:val="fr-CA"/>
        </w:rPr>
        <w:t>traduction</w:t>
      </w:r>
      <w:r w:rsidRPr="00DD4D5E">
        <w:rPr>
          <w:rFonts w:cs="Times New Roman"/>
          <w:sz w:val="22"/>
          <w:lang w:val="fr-CA"/>
        </w:rPr>
        <w:t>]</w:t>
      </w:r>
      <w:r w:rsidRPr="00DD4D5E">
        <w:rPr>
          <w:rFonts w:cs="Times New Roman"/>
          <w:lang w:val="fr-CA"/>
        </w:rPr>
        <w:t xml:space="preserve"> « à trouver des mots susceptibles d</w:t>
      </w:r>
      <w:r>
        <w:rPr>
          <w:rFonts w:cs="Times New Roman"/>
          <w:lang w:val="fr-CA"/>
        </w:rPr>
        <w:t>’</w:t>
      </w:r>
      <w:r w:rsidRPr="00DD4D5E">
        <w:rPr>
          <w:rFonts w:cs="Times New Roman"/>
          <w:lang w:val="fr-CA"/>
        </w:rPr>
        <w:t xml:space="preserve">expliquer clairement pourquoi, sur le fondement de considérations </w:t>
      </w:r>
      <w:r w:rsidRPr="00DD4D5E">
        <w:rPr>
          <w:rFonts w:cs="Times New Roman"/>
          <w:i/>
          <w:lang w:val="fr-CA"/>
        </w:rPr>
        <w:t xml:space="preserve">de politique </w:t>
      </w:r>
      <w:r w:rsidRPr="00DD4D5E">
        <w:rPr>
          <w:rFonts w:cs="Times New Roman"/>
          <w:lang w:val="fr-CA"/>
        </w:rPr>
        <w:lastRenderedPageBreak/>
        <w:t xml:space="preserve">arbitraires, certains préjudices allégués semblent trop indirects et non indemnisables » (L. N. Klar, </w:t>
      </w:r>
      <w:r w:rsidRPr="00DD4D5E">
        <w:rPr>
          <w:rFonts w:cs="Times New Roman"/>
          <w:i/>
          <w:lang w:val="fr-CA"/>
        </w:rPr>
        <w:t>Tort Law</w:t>
      </w:r>
      <w:r w:rsidRPr="00DD4D5E">
        <w:rPr>
          <w:rFonts w:cs="Times New Roman"/>
          <w:lang w:val="fr-CA"/>
        </w:rPr>
        <w:t xml:space="preserve"> (5</w:t>
      </w:r>
      <w:r w:rsidRPr="00DD4D5E">
        <w:rPr>
          <w:rFonts w:cs="Times New Roman"/>
          <w:vertAlign w:val="superscript"/>
          <w:lang w:val="fr-CA"/>
        </w:rPr>
        <w:t>e</w:t>
      </w:r>
      <w:r w:rsidRPr="00DD4D5E">
        <w:rPr>
          <w:rFonts w:cs="Times New Roman"/>
          <w:lang w:val="fr-CA"/>
        </w:rPr>
        <w:t xml:space="preserve"> éd. 2012),</w:t>
      </w:r>
      <w:r>
        <w:rPr>
          <w:rFonts w:cs="Times New Roman"/>
          <w:lang w:val="fr-CA"/>
        </w:rPr>
        <w:t xml:space="preserve"> </w:t>
      </w:r>
      <w:r w:rsidRPr="00DD4D5E">
        <w:rPr>
          <w:rFonts w:cs="Times New Roman"/>
          <w:lang w:val="fr-CA"/>
        </w:rPr>
        <w:t>p. 505 (en italique dans l</w:t>
      </w:r>
      <w:r>
        <w:rPr>
          <w:rFonts w:cs="Times New Roman"/>
          <w:lang w:val="fr-CA"/>
        </w:rPr>
        <w:t>’</w:t>
      </w:r>
      <w:r w:rsidRPr="00DD4D5E">
        <w:rPr>
          <w:rFonts w:cs="Times New Roman"/>
          <w:lang w:val="fr-CA"/>
        </w:rPr>
        <w:t xml:space="preserve">original)). Dans les arrêts </w:t>
      </w:r>
      <w:r w:rsidRPr="00DD4D5E">
        <w:rPr>
          <w:rFonts w:cs="Times New Roman"/>
          <w:i/>
          <w:lang w:val="fr-CA"/>
        </w:rPr>
        <w:t>Beecham c. Hughes</w:t>
      </w:r>
      <w:r w:rsidRPr="00DD4D5E">
        <w:rPr>
          <w:rFonts w:cs="Times New Roman"/>
          <w:lang w:val="fr-CA"/>
        </w:rPr>
        <w:t xml:space="preserve"> (1988), 27 B.C.L.R</w:t>
      </w:r>
      <w:r w:rsidR="000E0D7B">
        <w:rPr>
          <w:rFonts w:cs="Times New Roman"/>
          <w:lang w:val="fr-CA"/>
        </w:rPr>
        <w:t>.</w:t>
      </w:r>
      <w:r w:rsidRPr="00DD4D5E">
        <w:rPr>
          <w:rFonts w:cs="Times New Roman"/>
          <w:lang w:val="fr-CA"/>
        </w:rPr>
        <w:t xml:space="preserve"> (2d) 1 (C.A.), et </w:t>
      </w:r>
      <w:r w:rsidRPr="00DD4D5E">
        <w:rPr>
          <w:rFonts w:cs="Times New Roman"/>
          <w:i/>
          <w:lang w:val="fr-CA"/>
        </w:rPr>
        <w:t>Rhodes c. Canadian National Railway</w:t>
      </w:r>
      <w:r w:rsidRPr="00DD4D5E">
        <w:rPr>
          <w:rFonts w:cs="Times New Roman"/>
          <w:lang w:val="fr-CA"/>
        </w:rPr>
        <w:t xml:space="preserve"> (1990), 75 D.L.R. (4th) 248 (C.A.</w:t>
      </w:r>
      <w:r w:rsidR="00F33A1B">
        <w:rPr>
          <w:rFonts w:cs="Times New Roman"/>
          <w:lang w:val="fr-CA"/>
        </w:rPr>
        <w:t xml:space="preserve"> </w:t>
      </w:r>
      <w:r w:rsidRPr="00DD4D5E">
        <w:rPr>
          <w:rFonts w:cs="Times New Roman"/>
          <w:lang w:val="fr-CA"/>
        </w:rPr>
        <w:t>C.</w:t>
      </w:r>
      <w:r w:rsidRPr="00DD4D5E">
        <w:rPr>
          <w:rFonts w:cs="Times New Roman"/>
          <w:lang w:val="fr-CA"/>
        </w:rPr>
        <w:noBreakHyphen/>
        <w:t>B.), par exemple, la cour d</w:t>
      </w:r>
      <w:r>
        <w:rPr>
          <w:rFonts w:cs="Times New Roman"/>
          <w:lang w:val="fr-CA"/>
        </w:rPr>
        <w:t>’</w:t>
      </w:r>
      <w:r w:rsidRPr="00DD4D5E">
        <w:rPr>
          <w:rFonts w:cs="Times New Roman"/>
          <w:lang w:val="fr-CA"/>
        </w:rPr>
        <w:t>appel fait sienne l</w:t>
      </w:r>
      <w:r>
        <w:rPr>
          <w:rFonts w:cs="Times New Roman"/>
          <w:lang w:val="fr-CA"/>
        </w:rPr>
        <w:t>’</w:t>
      </w:r>
      <w:r w:rsidRPr="00DD4D5E">
        <w:rPr>
          <w:rFonts w:cs="Times New Roman"/>
          <w:lang w:val="fr-CA"/>
        </w:rPr>
        <w:t>analyse à plusieurs volets de la proximité que consacre l</w:t>
      </w:r>
      <w:r>
        <w:rPr>
          <w:rFonts w:cs="Times New Roman"/>
          <w:lang w:val="fr-CA"/>
        </w:rPr>
        <w:t>’</w:t>
      </w:r>
      <w:r w:rsidRPr="00DD4D5E">
        <w:rPr>
          <w:rFonts w:cs="Times New Roman"/>
          <w:lang w:val="fr-CA"/>
        </w:rPr>
        <w:t xml:space="preserve">arrêt </w:t>
      </w:r>
      <w:r w:rsidRPr="00DD4D5E">
        <w:rPr>
          <w:rFonts w:cs="Times New Roman"/>
          <w:i/>
          <w:lang w:val="fr-CA"/>
        </w:rPr>
        <w:t>McLoughlin c. O</w:t>
      </w:r>
      <w:r>
        <w:rPr>
          <w:rFonts w:cs="Times New Roman"/>
          <w:i/>
          <w:lang w:val="fr-CA"/>
        </w:rPr>
        <w:t>’</w:t>
      </w:r>
      <w:r w:rsidRPr="00DD4D5E">
        <w:rPr>
          <w:rFonts w:cs="Times New Roman"/>
          <w:i/>
          <w:lang w:val="fr-CA"/>
        </w:rPr>
        <w:t>Brian</w:t>
      </w:r>
      <w:r w:rsidRPr="00DD4D5E">
        <w:rPr>
          <w:rFonts w:cs="Times New Roman"/>
          <w:lang w:val="fr-CA"/>
        </w:rPr>
        <w:t xml:space="preserve">. Dans </w:t>
      </w:r>
      <w:r w:rsidRPr="00DD4D5E">
        <w:rPr>
          <w:rFonts w:cs="Times New Roman"/>
          <w:i/>
          <w:lang w:val="fr-CA"/>
        </w:rPr>
        <w:t>Beecham</w:t>
      </w:r>
      <w:r w:rsidRPr="00DD4D5E">
        <w:rPr>
          <w:rFonts w:cs="Times New Roman"/>
          <w:lang w:val="fr-CA"/>
        </w:rPr>
        <w:t>, le juge Lambert s</w:t>
      </w:r>
      <w:r>
        <w:rPr>
          <w:rFonts w:cs="Times New Roman"/>
          <w:lang w:val="fr-CA"/>
        </w:rPr>
        <w:t>’</w:t>
      </w:r>
      <w:r w:rsidRPr="00DD4D5E">
        <w:rPr>
          <w:rFonts w:cs="Times New Roman"/>
          <w:lang w:val="fr-CA"/>
        </w:rPr>
        <w:t>exprime comme suit (au p. 43) :</w:t>
      </w:r>
    </w:p>
    <w:p w:rsidR="00DE26CA" w:rsidRPr="00DD4D5E" w:rsidRDefault="00DE26CA" w:rsidP="00DE26CA">
      <w:pPr>
        <w:pStyle w:val="Citation-AltC"/>
        <w:ind w:left="1168" w:hanging="1168"/>
        <w:contextualSpacing w:val="0"/>
        <w:rPr>
          <w:rFonts w:eastAsiaTheme="minorEastAsia"/>
          <w:szCs w:val="22"/>
          <w:lang w:val="fr-CA" w:eastAsia="en-US"/>
        </w:rPr>
      </w:pPr>
      <w:r w:rsidRPr="00DD4D5E">
        <w:rPr>
          <w:lang w:val="fr-CA"/>
        </w:rPr>
        <w:tab/>
      </w:r>
      <w:r w:rsidR="000E0D7B">
        <w:rPr>
          <w:lang w:val="fr-CA"/>
        </w:rPr>
        <w:tab/>
      </w:r>
      <w:r w:rsidRPr="00DD4D5E">
        <w:rPr>
          <w:lang w:val="fr-CA"/>
        </w:rPr>
        <w:t>[</w:t>
      </w:r>
      <w:r w:rsidRPr="00DD4D5E">
        <w:rPr>
          <w:smallCaps/>
          <w:lang w:val="fr-CA"/>
        </w:rPr>
        <w:t>traduction</w:t>
      </w:r>
      <w:r w:rsidRPr="00DD4D5E">
        <w:rPr>
          <w:lang w:val="fr-CA"/>
        </w:rPr>
        <w:t>] . . . j</w:t>
      </w:r>
      <w:r w:rsidRPr="00DD4D5E">
        <w:rPr>
          <w:rFonts w:eastAsiaTheme="minorEastAsia"/>
          <w:szCs w:val="22"/>
          <w:lang w:val="fr-CA" w:eastAsia="en-US"/>
        </w:rPr>
        <w:t>e ne mettrais pas l</w:t>
      </w:r>
      <w:r>
        <w:rPr>
          <w:rFonts w:eastAsiaTheme="minorEastAsia"/>
          <w:szCs w:val="22"/>
          <w:lang w:val="fr-CA" w:eastAsia="en-US"/>
        </w:rPr>
        <w:t>’</w:t>
      </w:r>
      <w:r w:rsidRPr="00DD4D5E">
        <w:rPr>
          <w:rFonts w:eastAsiaTheme="minorEastAsia"/>
          <w:szCs w:val="22"/>
          <w:lang w:val="fr-CA" w:eastAsia="en-US"/>
        </w:rPr>
        <w:t xml:space="preserve">accent uniquement sur la </w:t>
      </w:r>
      <w:r w:rsidR="00F33A1B">
        <w:rPr>
          <w:rFonts w:eastAsiaTheme="minorEastAsia"/>
          <w:szCs w:val="22"/>
          <w:lang w:val="fr-CA" w:eastAsia="en-US"/>
        </w:rPr>
        <w:t>« </w:t>
      </w:r>
      <w:r w:rsidRPr="00DD4D5E">
        <w:rPr>
          <w:rFonts w:eastAsiaTheme="minorEastAsia"/>
          <w:szCs w:val="22"/>
          <w:lang w:val="fr-CA" w:eastAsia="en-US"/>
        </w:rPr>
        <w:t>proximité causale</w:t>
      </w:r>
      <w:r w:rsidR="00F33A1B">
        <w:rPr>
          <w:rFonts w:eastAsiaTheme="minorEastAsia"/>
          <w:szCs w:val="22"/>
          <w:lang w:val="fr-CA" w:eastAsia="en-US"/>
        </w:rPr>
        <w:t> »</w:t>
      </w:r>
      <w:r w:rsidRPr="00DD4D5E">
        <w:rPr>
          <w:rFonts w:eastAsiaTheme="minorEastAsia"/>
          <w:szCs w:val="22"/>
          <w:lang w:val="fr-CA" w:eastAsia="en-US"/>
        </w:rPr>
        <w:t xml:space="preserve"> sans tenir compte de la « proximité temporelle », de la « proximité physique » ou de la « proximité émotionnelle ». J</w:t>
      </w:r>
      <w:r>
        <w:rPr>
          <w:rFonts w:eastAsiaTheme="minorEastAsia"/>
          <w:szCs w:val="22"/>
          <w:lang w:val="fr-CA" w:eastAsia="en-US"/>
        </w:rPr>
        <w:t>’</w:t>
      </w:r>
      <w:r w:rsidRPr="00DD4D5E">
        <w:rPr>
          <w:rFonts w:eastAsiaTheme="minorEastAsia"/>
          <w:szCs w:val="22"/>
          <w:lang w:val="fr-CA" w:eastAsia="en-US"/>
        </w:rPr>
        <w:t>établirais plutôt un équilibre entre tous ces éléments. L</w:t>
      </w:r>
      <w:r>
        <w:rPr>
          <w:rFonts w:eastAsiaTheme="minorEastAsia"/>
          <w:szCs w:val="22"/>
          <w:lang w:val="fr-CA" w:eastAsia="en-US"/>
        </w:rPr>
        <w:t>’</w:t>
      </w:r>
      <w:r w:rsidRPr="00DD4D5E">
        <w:rPr>
          <w:rFonts w:eastAsiaTheme="minorEastAsia"/>
          <w:szCs w:val="22"/>
          <w:lang w:val="fr-CA" w:eastAsia="en-US"/>
        </w:rPr>
        <w:t>existence d</w:t>
      </w:r>
      <w:r>
        <w:rPr>
          <w:rFonts w:eastAsiaTheme="minorEastAsia"/>
          <w:szCs w:val="22"/>
          <w:lang w:val="fr-CA" w:eastAsia="en-US"/>
        </w:rPr>
        <w:t>’</w:t>
      </w:r>
      <w:r w:rsidRPr="00DD4D5E">
        <w:rPr>
          <w:rFonts w:eastAsiaTheme="minorEastAsia"/>
          <w:szCs w:val="22"/>
          <w:lang w:val="fr-CA" w:eastAsia="en-US"/>
        </w:rPr>
        <w:t>un lien affectif étroit, mais prévisible, comme celui entre l</w:t>
      </w:r>
      <w:r>
        <w:rPr>
          <w:rFonts w:eastAsiaTheme="minorEastAsia"/>
          <w:szCs w:val="22"/>
          <w:lang w:val="fr-CA" w:eastAsia="en-US"/>
        </w:rPr>
        <w:t>’</w:t>
      </w:r>
      <w:r w:rsidRPr="00DD4D5E">
        <w:rPr>
          <w:rFonts w:eastAsiaTheme="minorEastAsia"/>
          <w:szCs w:val="22"/>
          <w:lang w:val="fr-CA" w:eastAsia="en-US"/>
        </w:rPr>
        <w:t>enfant et son père ou sa mère, peut, pour l</w:t>
      </w:r>
      <w:r>
        <w:rPr>
          <w:rFonts w:eastAsiaTheme="minorEastAsia"/>
          <w:szCs w:val="22"/>
          <w:lang w:val="fr-CA" w:eastAsia="en-US"/>
        </w:rPr>
        <w:t>’</w:t>
      </w:r>
      <w:r w:rsidRPr="00DD4D5E">
        <w:rPr>
          <w:rFonts w:eastAsiaTheme="minorEastAsia"/>
          <w:szCs w:val="22"/>
          <w:lang w:val="fr-CA" w:eastAsia="en-US"/>
        </w:rPr>
        <w:t>obtention d</w:t>
      </w:r>
      <w:r>
        <w:rPr>
          <w:rFonts w:eastAsiaTheme="minorEastAsia"/>
          <w:szCs w:val="22"/>
          <w:lang w:val="fr-CA" w:eastAsia="en-US"/>
        </w:rPr>
        <w:t>’</w:t>
      </w:r>
      <w:r w:rsidRPr="00DD4D5E">
        <w:rPr>
          <w:rFonts w:eastAsiaTheme="minorEastAsia"/>
          <w:szCs w:val="22"/>
          <w:lang w:val="fr-CA" w:eastAsia="en-US"/>
        </w:rPr>
        <w:t>une réponse sur la responsabilité qui tienne compte de tous les volets, pallier le caractère plutôt éloigné de la cause, par exemple, lorsque le père ou la mère n</w:t>
      </w:r>
      <w:r>
        <w:rPr>
          <w:rFonts w:eastAsiaTheme="minorEastAsia"/>
          <w:szCs w:val="22"/>
          <w:lang w:val="fr-CA" w:eastAsia="en-US"/>
        </w:rPr>
        <w:t>’</w:t>
      </w:r>
      <w:r w:rsidRPr="00DD4D5E">
        <w:rPr>
          <w:rFonts w:eastAsiaTheme="minorEastAsia"/>
          <w:szCs w:val="22"/>
          <w:lang w:val="fr-CA" w:eastAsia="en-US"/>
        </w:rPr>
        <w:t>est pas présent au moment où l</w:t>
      </w:r>
      <w:r>
        <w:rPr>
          <w:rFonts w:eastAsiaTheme="minorEastAsia"/>
          <w:szCs w:val="22"/>
          <w:lang w:val="fr-CA" w:eastAsia="en-US"/>
        </w:rPr>
        <w:t>’</w:t>
      </w:r>
      <w:r w:rsidRPr="00DD4D5E">
        <w:rPr>
          <w:rFonts w:eastAsiaTheme="minorEastAsia"/>
          <w:szCs w:val="22"/>
          <w:lang w:val="fr-CA" w:eastAsia="en-US"/>
        </w:rPr>
        <w:t>enfant subit le préjudice.</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La Cour ne retient cependant ni la distinction entre la victime directe et la victime indirecte, ni l</w:t>
      </w:r>
      <w:r>
        <w:rPr>
          <w:rFonts w:cs="Times New Roman"/>
          <w:lang w:val="fr-CA"/>
        </w:rPr>
        <w:t>’</w:t>
      </w:r>
      <w:r w:rsidRPr="00DD4D5E">
        <w:rPr>
          <w:rFonts w:cs="Times New Roman"/>
          <w:lang w:val="fr-CA"/>
        </w:rPr>
        <w:t xml:space="preserve">analyse dissociée de la proximité à laquelle se livre le tribunal dans </w:t>
      </w:r>
      <w:r w:rsidRPr="00DD4D5E">
        <w:rPr>
          <w:rFonts w:cs="Times New Roman"/>
          <w:i/>
          <w:lang w:val="fr-CA"/>
        </w:rPr>
        <w:t>McLoughlin c. O</w:t>
      </w:r>
      <w:r>
        <w:rPr>
          <w:rFonts w:cs="Times New Roman"/>
          <w:i/>
          <w:lang w:val="fr-CA"/>
        </w:rPr>
        <w:t>’</w:t>
      </w:r>
      <w:r w:rsidRPr="00DD4D5E">
        <w:rPr>
          <w:rFonts w:cs="Times New Roman"/>
          <w:i/>
          <w:lang w:val="fr-CA"/>
        </w:rPr>
        <w:t>Brian</w:t>
      </w:r>
      <w:r w:rsidRPr="00DD4D5E">
        <w:rPr>
          <w:rFonts w:cs="Times New Roman"/>
          <w:lang w:val="fr-CA"/>
        </w:rPr>
        <w:t>. Dans l</w:t>
      </w:r>
      <w:r>
        <w:rPr>
          <w:rFonts w:cs="Times New Roman"/>
          <w:lang w:val="fr-CA"/>
        </w:rPr>
        <w:t>’</w:t>
      </w:r>
      <w:r w:rsidRPr="00DD4D5E">
        <w:rPr>
          <w:rFonts w:cs="Times New Roman"/>
          <w:lang w:val="fr-CA"/>
        </w:rPr>
        <w:t xml:space="preserve">arrêt </w:t>
      </w:r>
      <w:r w:rsidRPr="00DD4D5E">
        <w:rPr>
          <w:rFonts w:cs="Times New Roman"/>
          <w:i/>
          <w:lang w:val="fr-CA"/>
        </w:rPr>
        <w:t>Mustapha</w:t>
      </w:r>
      <w:r w:rsidRPr="00DD4D5E">
        <w:rPr>
          <w:rFonts w:cs="Times New Roman"/>
          <w:lang w:val="fr-CA"/>
        </w:rPr>
        <w:t xml:space="preserve">, elle estime plutôt (au par. 3) que, pour obtenir réparation </w:t>
      </w:r>
      <w:r w:rsidRPr="00DD4D5E">
        <w:rPr>
          <w:rFonts w:eastAsiaTheme="minorHAnsi" w:cs="Times New Roman"/>
          <w:lang w:val="fr-CA"/>
        </w:rPr>
        <w:t>d</w:t>
      </w:r>
      <w:r>
        <w:rPr>
          <w:rFonts w:eastAsiaTheme="minorHAnsi" w:cs="Times New Roman"/>
          <w:lang w:val="fr-CA"/>
        </w:rPr>
        <w:t>’</w:t>
      </w:r>
      <w:r w:rsidRPr="00DD4D5E">
        <w:rPr>
          <w:rFonts w:eastAsiaTheme="minorHAnsi" w:cs="Times New Roman"/>
          <w:lang w:val="fr-CA"/>
        </w:rPr>
        <w:t xml:space="preserve">un préjudice mental, </w:t>
      </w:r>
      <w:r w:rsidRPr="00DD4D5E">
        <w:rPr>
          <w:rFonts w:cs="Times New Roman"/>
          <w:lang w:val="fr-CA"/>
        </w:rPr>
        <w:t>le demandeur doit satisfaire aux conditions auxquelles la négligence peut être établie, c</w:t>
      </w:r>
      <w:r>
        <w:rPr>
          <w:rFonts w:cs="Times New Roman"/>
          <w:lang w:val="fr-CA"/>
        </w:rPr>
        <w:t>’</w:t>
      </w:r>
      <w:r w:rsidRPr="00DD4D5E">
        <w:rPr>
          <w:rFonts w:cs="Times New Roman"/>
          <w:lang w:val="fr-CA"/>
        </w:rPr>
        <w:t>est</w:t>
      </w:r>
      <w:r w:rsidRPr="00DD4D5E">
        <w:rPr>
          <w:rFonts w:cs="Times New Roman"/>
          <w:lang w:val="fr-CA"/>
        </w:rPr>
        <w:noBreakHyphen/>
        <w:t>à</w:t>
      </w:r>
      <w:r w:rsidRPr="00DD4D5E">
        <w:rPr>
          <w:rFonts w:cs="Times New Roman"/>
          <w:lang w:val="fr-CA"/>
        </w:rPr>
        <w:noBreakHyphen/>
        <w:t>dire prouver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une obligation de diligence, d</w:t>
      </w:r>
      <w:r>
        <w:rPr>
          <w:rFonts w:cs="Times New Roman"/>
          <w:lang w:val="fr-CA"/>
        </w:rPr>
        <w:t>’</w:t>
      </w:r>
      <w:r w:rsidRPr="00DD4D5E">
        <w:rPr>
          <w:rFonts w:cs="Times New Roman"/>
          <w:lang w:val="fr-CA"/>
        </w:rPr>
        <w:t>un manquement, d</w:t>
      </w:r>
      <w:r>
        <w:rPr>
          <w:rFonts w:cs="Times New Roman"/>
          <w:lang w:val="fr-CA"/>
        </w:rPr>
        <w:t>’</w:t>
      </w:r>
      <w:r w:rsidRPr="00DD4D5E">
        <w:rPr>
          <w:rFonts w:cs="Times New Roman"/>
          <w:lang w:val="fr-CA"/>
        </w:rPr>
        <w:t>un préjudice et d</w:t>
      </w:r>
      <w:r>
        <w:rPr>
          <w:rFonts w:cs="Times New Roman"/>
          <w:lang w:val="fr-CA"/>
        </w:rPr>
        <w:t>’</w:t>
      </w:r>
      <w:r w:rsidRPr="00DD4D5E">
        <w:rPr>
          <w:rFonts w:cs="Times New Roman"/>
          <w:lang w:val="fr-CA"/>
        </w:rPr>
        <w:t>un lien de causalité factuel et juridique entre le manquement et le préjudice. Chacun de ces éléments dont la preuve est exigée peut représenter un obstacle important à surmonter : le demandeur qui allègue un préjudice mental n</w:t>
      </w:r>
      <w:r>
        <w:rPr>
          <w:rFonts w:cs="Times New Roman"/>
          <w:lang w:val="fr-CA"/>
        </w:rPr>
        <w:t>’</w:t>
      </w:r>
      <w:r w:rsidRPr="00DD4D5E">
        <w:rPr>
          <w:rFonts w:cs="Times New Roman"/>
          <w:lang w:val="fr-CA"/>
        </w:rPr>
        <w:t>entretient pas forcément avec le défendeur une relation suffisamment étroite pour qu</w:t>
      </w:r>
      <w:r>
        <w:rPr>
          <w:rFonts w:cs="Times New Roman"/>
          <w:lang w:val="fr-CA"/>
        </w:rPr>
        <w:t>’</w:t>
      </w:r>
      <w:r w:rsidRPr="00DD4D5E">
        <w:rPr>
          <w:rFonts w:cs="Times New Roman"/>
          <w:lang w:val="fr-CA"/>
        </w:rPr>
        <w:t xml:space="preserve">il puisse y avoir obligation de </w:t>
      </w:r>
      <w:r w:rsidRPr="00DD4D5E">
        <w:rPr>
          <w:rFonts w:cs="Times New Roman"/>
          <w:lang w:val="fr-CA"/>
        </w:rPr>
        <w:lastRenderedPageBreak/>
        <w:t>diligence. De plus, tout acte qui inflige un préjudice mental ne constitue pas un manquement à la norme de diligence. Aussi, toute contrariété émotionnelle n</w:t>
      </w:r>
      <w:r>
        <w:rPr>
          <w:rFonts w:cs="Times New Roman"/>
          <w:lang w:val="fr-CA"/>
        </w:rPr>
        <w:t>’</w:t>
      </w:r>
      <w:r w:rsidRPr="00DD4D5E">
        <w:rPr>
          <w:rFonts w:cs="Times New Roman"/>
          <w:lang w:val="fr-CA"/>
        </w:rPr>
        <w:t>équivaut pas à un « préjudice » véritable que l</w:t>
      </w:r>
      <w:r>
        <w:rPr>
          <w:rFonts w:cs="Times New Roman"/>
          <w:lang w:val="fr-CA"/>
        </w:rPr>
        <w:t>’</w:t>
      </w:r>
      <w:r w:rsidRPr="00DD4D5E">
        <w:rPr>
          <w:rFonts w:cs="Times New Roman"/>
          <w:lang w:val="fr-CA"/>
        </w:rPr>
        <w:t>on peut qualifier de préjudice mental, qui est « grave et de longue durée » et qui va au</w:t>
      </w:r>
      <w:r w:rsidRPr="00DD4D5E">
        <w:rPr>
          <w:rFonts w:cs="Times New Roman"/>
          <w:lang w:val="fr-CA"/>
        </w:rPr>
        <w:noBreakHyphen/>
        <w:t>delà des troubles psychologiques ordinaires dont sont parfois affligées les personnes vivant en société sans que, pour autant, il soit porté atteinte à leur droit à la protection contre le préjudice mental causé par négligence (</w:t>
      </w:r>
      <w:r w:rsidRPr="00DD4D5E">
        <w:rPr>
          <w:rFonts w:cs="Times New Roman"/>
          <w:i/>
          <w:lang w:val="fr-CA"/>
        </w:rPr>
        <w:t>Mustapha</w:t>
      </w:r>
      <w:r w:rsidRPr="00DD4D5E">
        <w:rPr>
          <w:rFonts w:cs="Times New Roman"/>
          <w:lang w:val="fr-CA"/>
        </w:rPr>
        <w:t>, par. 9). Enfin, les préjudices mentaux ne sont pas tous causés, en fait ou en droit, par la négligence du défendeur.</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D</w:t>
      </w:r>
      <w:r>
        <w:rPr>
          <w:rFonts w:cs="Times New Roman"/>
          <w:lang w:val="fr-CA"/>
        </w:rPr>
        <w:t>’</w:t>
      </w:r>
      <w:r w:rsidRPr="00DD4D5E">
        <w:rPr>
          <w:rFonts w:cs="Times New Roman"/>
          <w:lang w:val="fr-CA"/>
        </w:rPr>
        <w:t>ailleurs, dans l</w:t>
      </w:r>
      <w:r>
        <w:rPr>
          <w:rFonts w:cs="Times New Roman"/>
          <w:lang w:val="fr-CA"/>
        </w:rPr>
        <w:t>’</w:t>
      </w:r>
      <w:r w:rsidRPr="00DD4D5E">
        <w:rPr>
          <w:rFonts w:cs="Times New Roman"/>
          <w:lang w:val="fr-CA"/>
        </w:rPr>
        <w:t xml:space="preserve">arrêt </w:t>
      </w:r>
      <w:r w:rsidRPr="00DD4D5E">
        <w:rPr>
          <w:rFonts w:cs="Times New Roman"/>
          <w:i/>
          <w:lang w:val="fr-CA"/>
        </w:rPr>
        <w:t>Mustapha</w:t>
      </w:r>
      <w:r w:rsidRPr="00DD4D5E">
        <w:rPr>
          <w:rFonts w:cs="Times New Roman"/>
          <w:lang w:val="fr-CA"/>
        </w:rPr>
        <w:t>, le demandeur est débouté parce qu</w:t>
      </w:r>
      <w:r>
        <w:rPr>
          <w:rFonts w:cs="Times New Roman"/>
          <w:lang w:val="fr-CA"/>
        </w:rPr>
        <w:t>’</w:t>
      </w:r>
      <w:r w:rsidRPr="00DD4D5E">
        <w:rPr>
          <w:rFonts w:cs="Times New Roman"/>
          <w:lang w:val="fr-CA"/>
        </w:rPr>
        <w:t>il n</w:t>
      </w:r>
      <w:r>
        <w:rPr>
          <w:rFonts w:cs="Times New Roman"/>
          <w:lang w:val="fr-CA"/>
        </w:rPr>
        <w:t>’</w:t>
      </w:r>
      <w:r w:rsidRPr="00DD4D5E">
        <w:rPr>
          <w:rFonts w:cs="Times New Roman"/>
          <w:lang w:val="fr-CA"/>
        </w:rPr>
        <w:t>a pu prouver le dernier élément, à savoir le lien de causalité juridique entre le manquement du défendeur et le préjudice, la proximité entre les deux étant jugée insuffisante. Cet arrêt rappelle donc opportunément que, même en présence d</w:t>
      </w:r>
      <w:r>
        <w:rPr>
          <w:rFonts w:cs="Times New Roman"/>
          <w:lang w:val="fr-CA"/>
        </w:rPr>
        <w:t>’</w:t>
      </w:r>
      <w:r w:rsidRPr="00DD4D5E">
        <w:rPr>
          <w:rFonts w:cs="Times New Roman"/>
          <w:lang w:val="fr-CA"/>
        </w:rPr>
        <w:t>une obligation de diligence, d</w:t>
      </w:r>
      <w:r>
        <w:rPr>
          <w:rFonts w:cs="Times New Roman"/>
          <w:lang w:val="fr-CA"/>
        </w:rPr>
        <w:t>’</w:t>
      </w:r>
      <w:r w:rsidRPr="00DD4D5E">
        <w:rPr>
          <w:rFonts w:cs="Times New Roman"/>
          <w:lang w:val="fr-CA"/>
        </w:rPr>
        <w:t>un manquement, d</w:t>
      </w:r>
      <w:r>
        <w:rPr>
          <w:rFonts w:cs="Times New Roman"/>
          <w:lang w:val="fr-CA"/>
        </w:rPr>
        <w:t>’</w:t>
      </w:r>
      <w:r w:rsidRPr="00DD4D5E">
        <w:rPr>
          <w:rFonts w:cs="Times New Roman"/>
          <w:lang w:val="fr-CA"/>
        </w:rPr>
        <w:t>un préjudice et d</w:t>
      </w:r>
      <w:r>
        <w:rPr>
          <w:rFonts w:cs="Times New Roman"/>
          <w:lang w:val="fr-CA"/>
        </w:rPr>
        <w:t>’</w:t>
      </w:r>
      <w:r w:rsidRPr="00DD4D5E">
        <w:rPr>
          <w:rFonts w:cs="Times New Roman"/>
          <w:lang w:val="fr-CA"/>
        </w:rPr>
        <w:t>un lien de causalité factuel, le demandeur doit encore satisfaire au critère préliminaire de la causalité juridique (ou du caractère non éloigné du préjudice) en démontrant qu</w:t>
      </w:r>
      <w:r>
        <w:rPr>
          <w:rFonts w:cs="Times New Roman"/>
          <w:lang w:val="fr-CA"/>
        </w:rPr>
        <w:t>’</w:t>
      </w:r>
      <w:r w:rsidRPr="00DD4D5E">
        <w:rPr>
          <w:rFonts w:cs="Times New Roman"/>
          <w:lang w:val="fr-CA"/>
        </w:rPr>
        <w:t>il était raisonnablement prévisible que la négligence du défendeur inflige un préjudice mental à une personne dotée d</w:t>
      </w:r>
      <w:r>
        <w:rPr>
          <w:rFonts w:cs="Times New Roman"/>
          <w:lang w:val="fr-CA"/>
        </w:rPr>
        <w:t>’</w:t>
      </w:r>
      <w:r w:rsidRPr="00DD4D5E">
        <w:rPr>
          <w:rFonts w:cs="Times New Roman"/>
          <w:lang w:val="fr-CA"/>
        </w:rPr>
        <w:t>une résilience ordinaire (</w:t>
      </w:r>
      <w:r w:rsidRPr="00DD4D5E">
        <w:rPr>
          <w:rFonts w:cs="Times New Roman"/>
          <w:i/>
          <w:lang w:val="fr-CA"/>
        </w:rPr>
        <w:t>Mustapha</w:t>
      </w:r>
      <w:r w:rsidRPr="00DD4D5E">
        <w:rPr>
          <w:rFonts w:cs="Times New Roman"/>
          <w:lang w:val="fr-CA"/>
        </w:rPr>
        <w:t>, par. 14</w:t>
      </w:r>
      <w:r w:rsidRPr="00DD4D5E">
        <w:rPr>
          <w:rFonts w:cs="Times New Roman"/>
          <w:lang w:val="fr-CA"/>
        </w:rPr>
        <w:noBreakHyphen/>
        <w:t>16). Et de même que le préjudice physique n</w:t>
      </w:r>
      <w:r>
        <w:rPr>
          <w:rFonts w:cs="Times New Roman"/>
          <w:lang w:val="fr-CA"/>
        </w:rPr>
        <w:t>’</w:t>
      </w:r>
      <w:r w:rsidRPr="00DD4D5E">
        <w:rPr>
          <w:rFonts w:cs="Times New Roman"/>
          <w:lang w:val="fr-CA"/>
        </w:rPr>
        <w:t>est pas indemnisable s</w:t>
      </w:r>
      <w:r>
        <w:rPr>
          <w:rFonts w:cs="Times New Roman"/>
          <w:lang w:val="fr-CA"/>
        </w:rPr>
        <w:t>’</w:t>
      </w:r>
      <w:r w:rsidRPr="00DD4D5E">
        <w:rPr>
          <w:rFonts w:cs="Times New Roman"/>
          <w:lang w:val="fr-CA"/>
        </w:rPr>
        <w:t>il n</w:t>
      </w:r>
      <w:r>
        <w:rPr>
          <w:rFonts w:cs="Times New Roman"/>
          <w:lang w:val="fr-CA"/>
        </w:rPr>
        <w:t>’</w:t>
      </w:r>
      <w:r w:rsidRPr="00DD4D5E">
        <w:rPr>
          <w:rFonts w:cs="Times New Roman"/>
          <w:lang w:val="fr-CA"/>
        </w:rPr>
        <w:t>est pas le résultat prévisible de la négligence du défendeur, le demandeur se verra également refuser toute réparation — comme dans l</w:t>
      </w:r>
      <w:r>
        <w:rPr>
          <w:rFonts w:cs="Times New Roman"/>
          <w:lang w:val="fr-CA"/>
        </w:rPr>
        <w:t>’</w:t>
      </w:r>
      <w:r w:rsidRPr="00DD4D5E">
        <w:rPr>
          <w:rFonts w:cs="Times New Roman"/>
          <w:lang w:val="fr-CA"/>
        </w:rPr>
        <w:t xml:space="preserve">affaire </w:t>
      </w:r>
      <w:r w:rsidRPr="00DD4D5E">
        <w:rPr>
          <w:rFonts w:cs="Times New Roman"/>
          <w:i/>
          <w:lang w:val="fr-CA"/>
        </w:rPr>
        <w:t>Mustapha</w:t>
      </w:r>
      <w:r w:rsidRPr="00DD4D5E">
        <w:rPr>
          <w:rFonts w:cs="Times New Roman"/>
          <w:lang w:val="fr-CA"/>
        </w:rPr>
        <w:t xml:space="preserve"> — si on ne pouvait prévoir que le préjudice mental découlerait de la négligence du défendeur.</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lastRenderedPageBreak/>
        <w:t xml:space="preserve">La Cour voit donc dans </w:t>
      </w:r>
      <w:r w:rsidRPr="00DD4D5E">
        <w:rPr>
          <w:rFonts w:eastAsiaTheme="minorHAnsi" w:cs="Times New Roman"/>
          <w:lang w:val="fr-CA"/>
        </w:rPr>
        <w:t>les éléments nécessaires à la naissance d</w:t>
      </w:r>
      <w:r>
        <w:rPr>
          <w:rFonts w:eastAsiaTheme="minorHAnsi" w:cs="Times New Roman"/>
          <w:lang w:val="fr-CA"/>
        </w:rPr>
        <w:t>’</w:t>
      </w:r>
      <w:r w:rsidRPr="00DD4D5E">
        <w:rPr>
          <w:rFonts w:eastAsiaTheme="minorHAnsi" w:cs="Times New Roman"/>
          <w:lang w:val="fr-CA"/>
        </w:rPr>
        <w:t>une cause d</w:t>
      </w:r>
      <w:r>
        <w:rPr>
          <w:rFonts w:eastAsiaTheme="minorHAnsi" w:cs="Times New Roman"/>
          <w:lang w:val="fr-CA"/>
        </w:rPr>
        <w:t>’</w:t>
      </w:r>
      <w:r w:rsidRPr="00DD4D5E">
        <w:rPr>
          <w:rFonts w:eastAsiaTheme="minorHAnsi" w:cs="Times New Roman"/>
          <w:lang w:val="fr-CA"/>
        </w:rPr>
        <w:t>action en négligence</w:t>
      </w:r>
      <w:r w:rsidRPr="00DD4D5E">
        <w:rPr>
          <w:rFonts w:cs="Times New Roman"/>
          <w:lang w:val="fr-CA"/>
        </w:rPr>
        <w:t xml:space="preserve"> des obstacles rationnels suffisants aux demandes infondées ou frivoles d</w:t>
      </w:r>
      <w:r>
        <w:rPr>
          <w:rFonts w:cs="Times New Roman"/>
          <w:lang w:val="fr-CA"/>
        </w:rPr>
        <w:t>’</w:t>
      </w:r>
      <w:r w:rsidRPr="00DD4D5E">
        <w:rPr>
          <w:rFonts w:cs="Times New Roman"/>
          <w:lang w:val="fr-CA"/>
        </w:rPr>
        <w:t>indemnisation d</w:t>
      </w:r>
      <w:r>
        <w:rPr>
          <w:rFonts w:cs="Times New Roman"/>
          <w:lang w:val="fr-CA"/>
        </w:rPr>
        <w:t>’</w:t>
      </w:r>
      <w:r w:rsidRPr="00DD4D5E">
        <w:rPr>
          <w:rFonts w:cs="Times New Roman"/>
          <w:lang w:val="fr-CA"/>
        </w:rPr>
        <w:t>un préjudice mental imputé à la négligence. L</w:t>
      </w:r>
      <w:r>
        <w:rPr>
          <w:rFonts w:cs="Times New Roman"/>
          <w:lang w:val="fr-CA"/>
        </w:rPr>
        <w:t>’</w:t>
      </w:r>
      <w:r w:rsidRPr="00DD4D5E">
        <w:rPr>
          <w:rFonts w:cs="Times New Roman"/>
          <w:lang w:val="fr-CA"/>
        </w:rPr>
        <w:t>idée que les tribunaux devraient se montrer plus exigeants repose non pas sur un principe juridique, mais sur des considérations générales, plus précisément sur un ensemble de craintes liées aux demandes d</w:t>
      </w:r>
      <w:r>
        <w:rPr>
          <w:rFonts w:cs="Times New Roman"/>
          <w:lang w:val="fr-CA"/>
        </w:rPr>
        <w:t>’</w:t>
      </w:r>
      <w:r w:rsidRPr="00DD4D5E">
        <w:rPr>
          <w:rFonts w:cs="Times New Roman"/>
          <w:lang w:val="fr-CA"/>
        </w:rPr>
        <w:t>indemnisation d</w:t>
      </w:r>
      <w:r>
        <w:rPr>
          <w:rFonts w:cs="Times New Roman"/>
          <w:lang w:val="fr-CA"/>
        </w:rPr>
        <w:t>’</w:t>
      </w:r>
      <w:r w:rsidRPr="00DD4D5E">
        <w:rPr>
          <w:rFonts w:cs="Times New Roman"/>
          <w:lang w:val="fr-CA"/>
        </w:rPr>
        <w:t>un préjudice mental (dont celles exprimées en l</w:t>
      </w:r>
      <w:r>
        <w:rPr>
          <w:rFonts w:cs="Times New Roman"/>
          <w:lang w:val="fr-CA"/>
        </w:rPr>
        <w:t>’</w:t>
      </w:r>
      <w:r w:rsidRPr="00DD4D5E">
        <w:rPr>
          <w:rFonts w:cs="Times New Roman"/>
          <w:lang w:val="fr-CA"/>
        </w:rPr>
        <w:t>espèce par l</w:t>
      </w:r>
      <w:r>
        <w:rPr>
          <w:rFonts w:cs="Times New Roman"/>
          <w:lang w:val="fr-CA"/>
        </w:rPr>
        <w:t>’</w:t>
      </w:r>
      <w:r w:rsidRPr="00DD4D5E">
        <w:rPr>
          <w:rFonts w:cs="Times New Roman"/>
          <w:lang w:val="fr-CA"/>
        </w:rPr>
        <w:t>intervenant Bureau d</w:t>
      </w:r>
      <w:r>
        <w:rPr>
          <w:rFonts w:cs="Times New Roman"/>
          <w:lang w:val="fr-CA"/>
        </w:rPr>
        <w:t>’</w:t>
      </w:r>
      <w:r w:rsidRPr="00DD4D5E">
        <w:rPr>
          <w:rFonts w:cs="Times New Roman"/>
          <w:lang w:val="fr-CA"/>
        </w:rPr>
        <w:t>assurance du Canada), qui prennent appui sur des perceptions douteuses de la psychiatrie et de la maladie mentale en général et sur des attitudes à l</w:t>
      </w:r>
      <w:r>
        <w:rPr>
          <w:rFonts w:cs="Times New Roman"/>
          <w:lang w:val="fr-CA"/>
        </w:rPr>
        <w:t>’</w:t>
      </w:r>
      <w:r w:rsidRPr="00DD4D5E">
        <w:rPr>
          <w:rFonts w:cs="Times New Roman"/>
          <w:lang w:val="fr-CA"/>
        </w:rPr>
        <w:t>avenant. Ainsi, la maladie mentale serait « subjective » ou pourrait par ailleurs être feinte ou exagérée aisément; de plus, le droit ne devrait pas permettre l</w:t>
      </w:r>
      <w:r>
        <w:rPr>
          <w:rFonts w:cs="Times New Roman"/>
          <w:lang w:val="fr-CA"/>
        </w:rPr>
        <w:t>’</w:t>
      </w:r>
      <w:r w:rsidRPr="00DD4D5E">
        <w:rPr>
          <w:rFonts w:cs="Times New Roman"/>
          <w:lang w:val="fr-CA"/>
        </w:rPr>
        <w:t>indemnisation de [</w:t>
      </w:r>
      <w:r w:rsidRPr="00DD4D5E">
        <w:rPr>
          <w:rFonts w:cs="Times New Roman"/>
          <w:smallCaps/>
          <w:lang w:val="fr-CA"/>
        </w:rPr>
        <w:t>traduction</w:t>
      </w:r>
      <w:r w:rsidRPr="00DD4D5E">
        <w:rPr>
          <w:rFonts w:cs="Times New Roman"/>
          <w:lang w:val="fr-CA"/>
        </w:rPr>
        <w:t>] «</w:t>
      </w:r>
      <w:r w:rsidR="000E0D7B">
        <w:rPr>
          <w:rFonts w:cs="Times New Roman"/>
          <w:lang w:val="fr-CA"/>
        </w:rPr>
        <w:t> choses insignifiantes », mais</w:t>
      </w:r>
      <w:r w:rsidRPr="00DD4D5E">
        <w:rPr>
          <w:rFonts w:cs="Times New Roman"/>
          <w:lang w:val="fr-CA"/>
        </w:rPr>
        <w:t xml:space="preserve"> devrait plutôt inciter les gens à « se blinder moralement le plus possible » (A. M. Linden et B. Feldthusen, </w:t>
      </w:r>
      <w:r w:rsidRPr="00DD4D5E">
        <w:rPr>
          <w:rFonts w:cs="Times New Roman"/>
          <w:i/>
          <w:lang w:val="fr-CA"/>
        </w:rPr>
        <w:t>Canadian Tort Law</w:t>
      </w:r>
      <w:r w:rsidRPr="00DD4D5E">
        <w:rPr>
          <w:rFonts w:cs="Times New Roman"/>
          <w:lang w:val="fr-CA"/>
        </w:rPr>
        <w:t xml:space="preserve"> (10</w:t>
      </w:r>
      <w:r w:rsidRPr="00DD4D5E">
        <w:rPr>
          <w:rFonts w:cs="Times New Roman"/>
          <w:vertAlign w:val="superscript"/>
          <w:lang w:val="fr-CA"/>
        </w:rPr>
        <w:t>e</w:t>
      </w:r>
      <w:r w:rsidRPr="00DD4D5E">
        <w:rPr>
          <w:rFonts w:cs="Times New Roman"/>
          <w:lang w:val="fr-CA"/>
        </w:rPr>
        <w:t xml:space="preserve"> éd. 2015), p. 449; R. Mulheron, « Rewriting the Requirement for a “Recognized Psychiatric Injury” in Negligence Claims</w:t>
      </w:r>
      <w:r w:rsidR="000E0D7B">
        <w:rPr>
          <w:rFonts w:cs="Times New Roman"/>
          <w:lang w:val="fr-CA"/>
        </w:rPr>
        <w:t xml:space="preserve"> »</w:t>
      </w:r>
      <w:r w:rsidRPr="00DD4D5E">
        <w:rPr>
          <w:rFonts w:cs="Times New Roman"/>
          <w:lang w:val="fr-CA"/>
        </w:rPr>
        <w:t xml:space="preserve"> (2012), 32 </w:t>
      </w:r>
      <w:r w:rsidRPr="00DD4D5E">
        <w:rPr>
          <w:rFonts w:cs="Times New Roman"/>
          <w:i/>
          <w:lang w:val="fr-CA"/>
        </w:rPr>
        <w:t>Oxford J. Leg. Stud.</w:t>
      </w:r>
      <w:r w:rsidRPr="00DD4D5E">
        <w:rPr>
          <w:rFonts w:cs="Times New Roman"/>
          <w:lang w:val="fr-CA"/>
        </w:rPr>
        <w:t xml:space="preserve"> 77, p. 82). Il est bien connu que les personnes qui souffrent de maladie mentale, notamment après avoir subi un préjudice mental, se retrouvent au ban de la société (J. E. Gray, M. Shone et P. F. Liddle, </w:t>
      </w:r>
      <w:r w:rsidRPr="00DD4D5E">
        <w:rPr>
          <w:rFonts w:cs="Times New Roman"/>
          <w:i/>
          <w:lang w:val="fr-CA"/>
        </w:rPr>
        <w:t>Canadian Mental Health Law and Policy</w:t>
      </w:r>
      <w:r w:rsidRPr="00DD4D5E">
        <w:rPr>
          <w:rFonts w:cs="Times New Roman"/>
          <w:lang w:val="fr-CA"/>
        </w:rPr>
        <w:t xml:space="preserve"> (2</w:t>
      </w:r>
      <w:r w:rsidRPr="00DD4D5E">
        <w:rPr>
          <w:rFonts w:cs="Times New Roman"/>
          <w:vertAlign w:val="superscript"/>
          <w:lang w:val="fr-CA"/>
        </w:rPr>
        <w:t>e</w:t>
      </w:r>
      <w:r w:rsidRPr="00DD4D5E">
        <w:rPr>
          <w:rFonts w:cs="Times New Roman"/>
          <w:lang w:val="fr-CA"/>
        </w:rPr>
        <w:t xml:space="preserve"> éd. 2008), p. 139 et 300</w:t>
      </w:r>
      <w:r w:rsidRPr="00DD4D5E">
        <w:rPr>
          <w:rFonts w:cs="Times New Roman"/>
          <w:lang w:val="fr-CA"/>
        </w:rPr>
        <w:noBreakHyphen/>
        <w:t>301), ce qui les empêche souvent, de manière injuste et non justifiée, de prendre part le plus possible à la vie en société. Bien que le droit de la responsabilité délictuelle n</w:t>
      </w:r>
      <w:r>
        <w:rPr>
          <w:rFonts w:cs="Times New Roman"/>
          <w:lang w:val="fr-CA"/>
        </w:rPr>
        <w:t>’</w:t>
      </w:r>
      <w:r w:rsidRPr="00DD4D5E">
        <w:rPr>
          <w:rFonts w:cs="Times New Roman"/>
          <w:lang w:val="fr-CA"/>
        </w:rPr>
        <w:t>ait pas pour mission de vaincre des préjugés malheureux, il ne devrait pas chercher à les perpétuer.</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lastRenderedPageBreak/>
        <w:t>Par conséquent, lorsque le bien</w:t>
      </w:r>
      <w:r w:rsidRPr="00DD4D5E">
        <w:rPr>
          <w:rFonts w:cs="Times New Roman"/>
          <w:lang w:val="fr-CA"/>
        </w:rPr>
        <w:noBreakHyphen/>
        <w:t>fondé d</w:t>
      </w:r>
      <w:r>
        <w:rPr>
          <w:rFonts w:cs="Times New Roman"/>
          <w:lang w:val="fr-CA"/>
        </w:rPr>
        <w:t>’</w:t>
      </w:r>
      <w:r w:rsidRPr="00DD4D5E">
        <w:rPr>
          <w:rFonts w:cs="Times New Roman"/>
          <w:lang w:val="fr-CA"/>
        </w:rPr>
        <w:t>une demande soulève une incertitude véritable sur le plan factuel, le juge des faits peut et doit alors exiger strictement la preuve des éléments requis pour qu</w:t>
      </w:r>
      <w:r>
        <w:rPr>
          <w:rFonts w:cs="Times New Roman"/>
          <w:lang w:val="fr-CA"/>
        </w:rPr>
        <w:t>’</w:t>
      </w:r>
      <w:r w:rsidRPr="00DD4D5E">
        <w:rPr>
          <w:rFonts w:cs="Times New Roman"/>
          <w:lang w:val="fr-CA"/>
        </w:rPr>
        <w:t>il y ait cause d</w:t>
      </w:r>
      <w:r>
        <w:rPr>
          <w:rFonts w:cs="Times New Roman"/>
          <w:lang w:val="fr-CA"/>
        </w:rPr>
        <w:t>’</w:t>
      </w:r>
      <w:r w:rsidRPr="00DD4D5E">
        <w:rPr>
          <w:rFonts w:cs="Times New Roman"/>
          <w:lang w:val="fr-CA"/>
        </w:rPr>
        <w:t>action au lieu de s</w:t>
      </w:r>
      <w:r>
        <w:rPr>
          <w:rFonts w:cs="Times New Roman"/>
          <w:lang w:val="fr-CA"/>
        </w:rPr>
        <w:t>’</w:t>
      </w:r>
      <w:r w:rsidRPr="00DD4D5E">
        <w:rPr>
          <w:rFonts w:cs="Times New Roman"/>
          <w:lang w:val="fr-CA"/>
        </w:rPr>
        <w:t xml:space="preserve">en remettre à des procédés arbitraires pour statuer (R. Stevens, </w:t>
      </w:r>
      <w:r w:rsidRPr="00DD4D5E">
        <w:rPr>
          <w:rFonts w:cs="Times New Roman"/>
          <w:i/>
          <w:lang w:val="fr-CA"/>
        </w:rPr>
        <w:t>Torts and Rights</w:t>
      </w:r>
      <w:r w:rsidRPr="00DD4D5E">
        <w:rPr>
          <w:rFonts w:cs="Times New Roman"/>
          <w:lang w:val="fr-CA"/>
        </w:rPr>
        <w:t xml:space="preserve"> (2007), p. 56). Comme dans la plupart des cas où la crédibilité est en cause, les craintes liées à la « subjectivité » des symptômes ou au caractère feint ou exagéré du préjudice mental relèvent assurément du domaine factuel pour lequel il est préférable de s</w:t>
      </w:r>
      <w:r>
        <w:rPr>
          <w:rFonts w:cs="Times New Roman"/>
          <w:lang w:val="fr-CA"/>
        </w:rPr>
        <w:t>’</w:t>
      </w:r>
      <w:r w:rsidRPr="00DD4D5E">
        <w:rPr>
          <w:rFonts w:cs="Times New Roman"/>
          <w:lang w:val="fr-CA"/>
        </w:rPr>
        <w:t>en remettre au bon sens du juge des faits, dont les conclusions sur la crédibilité fondent souvent des décisions quant à la responsabilité, voire à la liberté. En un mot, ces craintes doivent être dissipées par [</w:t>
      </w:r>
      <w:r w:rsidRPr="00DD4D5E">
        <w:rPr>
          <w:rFonts w:cs="Times New Roman"/>
          <w:smallCaps/>
          <w:lang w:val="fr-CA"/>
        </w:rPr>
        <w:t>traduction</w:t>
      </w:r>
      <w:r w:rsidRPr="00DD4D5E">
        <w:rPr>
          <w:rFonts w:cs="Times New Roman"/>
          <w:lang w:val="fr-CA"/>
        </w:rPr>
        <w:t>] « une recherche soutenue de la vérité, non par l</w:t>
      </w:r>
      <w:r>
        <w:rPr>
          <w:rFonts w:cs="Times New Roman"/>
          <w:lang w:val="fr-CA"/>
        </w:rPr>
        <w:t>’</w:t>
      </w:r>
      <w:r w:rsidRPr="00DD4D5E">
        <w:rPr>
          <w:rFonts w:cs="Times New Roman"/>
          <w:lang w:val="fr-CA"/>
        </w:rPr>
        <w:t xml:space="preserve">abdication des responsabilités judiciaires » (Linden et Feldthusen, p. 449; voir également </w:t>
      </w:r>
      <w:r w:rsidRPr="00DD4D5E">
        <w:rPr>
          <w:rFonts w:cs="Times New Roman"/>
          <w:i/>
          <w:lang w:val="fr-CA"/>
        </w:rPr>
        <w:t>Toronto Railway Co. c. Toms</w:t>
      </w:r>
      <w:r w:rsidRPr="00DD4D5E">
        <w:rPr>
          <w:rFonts w:cs="Times New Roman"/>
          <w:lang w:val="fr-CA"/>
        </w:rPr>
        <w:t xml:space="preserve"> (1911), 44 R.C.S. 268, p. 276; Stevens, p. 5</w:t>
      </w:r>
      <w:r>
        <w:rPr>
          <w:rFonts w:cs="Times New Roman"/>
          <w:lang w:val="fr-CA"/>
        </w:rPr>
        <w:t>6)</w:t>
      </w:r>
      <w:r w:rsidRPr="00DD4D5E">
        <w:rPr>
          <w:rFonts w:cs="Times New Roman"/>
          <w:lang w:val="fr-CA"/>
        </w:rPr>
        <w:t>.</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J</w:t>
      </w:r>
      <w:r>
        <w:rPr>
          <w:rFonts w:cs="Times New Roman"/>
          <w:lang w:val="fr-CA"/>
        </w:rPr>
        <w:t>’</w:t>
      </w:r>
      <w:r w:rsidRPr="00DD4D5E">
        <w:rPr>
          <w:rFonts w:cs="Times New Roman"/>
          <w:lang w:val="fr-CA"/>
        </w:rPr>
        <w:t>ajoute que, en ce qui concerne le premier élément requis pour qu</w:t>
      </w:r>
      <w:r>
        <w:rPr>
          <w:rFonts w:cs="Times New Roman"/>
          <w:lang w:val="fr-CA"/>
        </w:rPr>
        <w:t>’</w:t>
      </w:r>
      <w:r w:rsidRPr="00DD4D5E">
        <w:rPr>
          <w:rFonts w:cs="Times New Roman"/>
          <w:lang w:val="fr-CA"/>
        </w:rPr>
        <w:t>il puisse y avoir indemnisation — en l</w:t>
      </w:r>
      <w:r>
        <w:rPr>
          <w:rFonts w:cs="Times New Roman"/>
          <w:lang w:val="fr-CA"/>
        </w:rPr>
        <w:t>’</w:t>
      </w:r>
      <w:r w:rsidRPr="00DD4D5E">
        <w:rPr>
          <w:rFonts w:cs="Times New Roman"/>
          <w:lang w:val="fr-CA"/>
        </w:rPr>
        <w:t>occurrence,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une obligation de diligence du défendeur envers le demandeur —, il appert implicitement de l</w:t>
      </w:r>
      <w:r>
        <w:rPr>
          <w:rFonts w:cs="Times New Roman"/>
          <w:lang w:val="fr-CA"/>
        </w:rPr>
        <w:t>’</w:t>
      </w:r>
      <w:r w:rsidRPr="00DD4D5E">
        <w:rPr>
          <w:rFonts w:cs="Times New Roman"/>
          <w:lang w:val="fr-CA"/>
        </w:rPr>
        <w:t xml:space="preserve">arrêt </w:t>
      </w:r>
      <w:r w:rsidRPr="00DD4D5E">
        <w:rPr>
          <w:rFonts w:cs="Times New Roman"/>
          <w:i/>
          <w:lang w:val="fr-CA"/>
        </w:rPr>
        <w:t>Mustapha</w:t>
      </w:r>
      <w:r w:rsidRPr="00DD4D5E">
        <w:rPr>
          <w:rFonts w:cs="Times New Roman"/>
          <w:lang w:val="fr-CA"/>
        </w:rPr>
        <w:t xml:space="preserve"> que le droit canadien de la négligence reconnaît l</w:t>
      </w:r>
      <w:r>
        <w:rPr>
          <w:rFonts w:cs="Times New Roman"/>
          <w:lang w:val="fr-CA"/>
        </w:rPr>
        <w:t>’</w:t>
      </w:r>
      <w:r w:rsidRPr="00DD4D5E">
        <w:rPr>
          <w:rFonts w:cs="Times New Roman"/>
          <w:lang w:val="fr-CA"/>
        </w:rPr>
        <w:t>existence en common law d</w:t>
      </w:r>
      <w:r>
        <w:rPr>
          <w:rFonts w:cs="Times New Roman"/>
          <w:lang w:val="fr-CA"/>
        </w:rPr>
        <w:t>’</w:t>
      </w:r>
      <w:r w:rsidRPr="00DD4D5E">
        <w:rPr>
          <w:rFonts w:cs="Times New Roman"/>
          <w:lang w:val="fr-CA"/>
        </w:rPr>
        <w:t>une obligation de prendre des mesures raisonnables afin qu</w:t>
      </w:r>
      <w:r>
        <w:rPr>
          <w:rFonts w:cs="Times New Roman"/>
          <w:lang w:val="fr-CA"/>
        </w:rPr>
        <w:t>’</w:t>
      </w:r>
      <w:r w:rsidRPr="00DD4D5E">
        <w:rPr>
          <w:rFonts w:cs="Times New Roman"/>
          <w:lang w:val="fr-CA"/>
        </w:rPr>
        <w:t>un préjudice mental prévisible ne soit pas causé et que cette cause d</w:t>
      </w:r>
      <w:r>
        <w:rPr>
          <w:rFonts w:cs="Times New Roman"/>
          <w:lang w:val="fr-CA"/>
        </w:rPr>
        <w:t>’</w:t>
      </w:r>
      <w:r w:rsidRPr="00DD4D5E">
        <w:rPr>
          <w:rFonts w:cs="Times New Roman"/>
          <w:lang w:val="fr-CA"/>
        </w:rPr>
        <w:t>action garantit le droit d</w:t>
      </w:r>
      <w:r>
        <w:rPr>
          <w:rFonts w:cs="Times New Roman"/>
          <w:lang w:val="fr-CA"/>
        </w:rPr>
        <w:t>’</w:t>
      </w:r>
      <w:r w:rsidRPr="00DD4D5E">
        <w:rPr>
          <w:rFonts w:cs="Times New Roman"/>
          <w:lang w:val="fr-CA"/>
        </w:rPr>
        <w:t>être protégé contre l</w:t>
      </w:r>
      <w:r>
        <w:rPr>
          <w:rFonts w:cs="Times New Roman"/>
          <w:lang w:val="fr-CA"/>
        </w:rPr>
        <w:t>’</w:t>
      </w:r>
      <w:r w:rsidRPr="00DD4D5E">
        <w:rPr>
          <w:rFonts w:cs="Times New Roman"/>
          <w:lang w:val="fr-CA"/>
        </w:rPr>
        <w:t>atteinte par négligence à sa santé mentale. Ce droit a pour assise le simple fait que la santé mentale d</w:t>
      </w:r>
      <w:r>
        <w:rPr>
          <w:rFonts w:cs="Times New Roman"/>
          <w:lang w:val="fr-CA"/>
        </w:rPr>
        <w:t>’</w:t>
      </w:r>
      <w:r w:rsidRPr="00DD4D5E">
        <w:rPr>
          <w:rFonts w:cs="Times New Roman"/>
          <w:lang w:val="fr-CA"/>
        </w:rPr>
        <w:t>une personne — au même titre que ses biens ou son intégrité physique, à l</w:t>
      </w:r>
      <w:r>
        <w:rPr>
          <w:rFonts w:cs="Times New Roman"/>
          <w:lang w:val="fr-CA"/>
        </w:rPr>
        <w:t>’</w:t>
      </w:r>
      <w:r w:rsidRPr="00DD4D5E">
        <w:rPr>
          <w:rFonts w:cs="Times New Roman"/>
          <w:lang w:val="fr-CA"/>
        </w:rPr>
        <w:t>égard desquels le droit de la négligence permet l</w:t>
      </w:r>
      <w:r>
        <w:rPr>
          <w:rFonts w:cs="Times New Roman"/>
          <w:lang w:val="fr-CA"/>
        </w:rPr>
        <w:t>’</w:t>
      </w:r>
      <w:r w:rsidRPr="00DD4D5E">
        <w:rPr>
          <w:rFonts w:cs="Times New Roman"/>
          <w:lang w:val="fr-CA"/>
        </w:rPr>
        <w:t xml:space="preserve">indemnisation en cas de préjudice — constitue un moyen essentiel grâce auquel une personne choisit de vivre sa vie et de </w:t>
      </w:r>
      <w:r w:rsidRPr="00DD4D5E">
        <w:rPr>
          <w:rFonts w:cs="Times New Roman"/>
          <w:lang w:val="fr-CA"/>
        </w:rPr>
        <w:lastRenderedPageBreak/>
        <w:t xml:space="preserve">réaliser ses aspirations (A. Ripstein, </w:t>
      </w:r>
      <w:r w:rsidRPr="00DD4D5E">
        <w:rPr>
          <w:rFonts w:cs="Times New Roman"/>
          <w:i/>
          <w:lang w:val="fr-CA"/>
        </w:rPr>
        <w:t>Private Wrongs</w:t>
      </w:r>
      <w:r w:rsidRPr="00DD4D5E">
        <w:rPr>
          <w:rFonts w:cs="Times New Roman"/>
          <w:lang w:val="fr-CA"/>
        </w:rPr>
        <w:t xml:space="preserve"> (2016), p. 87 et 252</w:t>
      </w:r>
      <w:r w:rsidRPr="00DD4D5E">
        <w:rPr>
          <w:rFonts w:cs="Times New Roman"/>
          <w:lang w:val="fr-CA"/>
        </w:rPr>
        <w:noBreakHyphen/>
        <w:t>253). Et lorsqu</w:t>
      </w:r>
      <w:r>
        <w:rPr>
          <w:rFonts w:cs="Times New Roman"/>
          <w:lang w:val="fr-CA"/>
        </w:rPr>
        <w:t>’</w:t>
      </w:r>
      <w:r w:rsidRPr="00DD4D5E">
        <w:rPr>
          <w:rFonts w:cs="Times New Roman"/>
          <w:lang w:val="fr-CA"/>
        </w:rPr>
        <w:t>un préjudice mental est causé par négligence, le pouvoir de la personne de faire de tels choix se voit indéniablement compromis, parfois bien davantage que si elle avait subi un préjudice physique grave (</w:t>
      </w:r>
      <w:r w:rsidRPr="00DD4D5E">
        <w:rPr>
          <w:rFonts w:cs="Times New Roman"/>
          <w:i/>
          <w:lang w:val="fr-CA"/>
        </w:rPr>
        <w:t>Bourhill c. Young</w:t>
      </w:r>
      <w:r w:rsidRPr="00DD4D5E">
        <w:rPr>
          <w:rFonts w:cs="Times New Roman"/>
          <w:lang w:val="fr-CA"/>
        </w:rPr>
        <w:t xml:space="preserve">, [1943] A.C. 92 (H.L.), p. 103; </w:t>
      </w:r>
      <w:r w:rsidRPr="00DD4D5E">
        <w:rPr>
          <w:rFonts w:cs="Times New Roman"/>
          <w:i/>
          <w:lang w:val="fr-CA"/>
        </w:rPr>
        <w:t>Toronto Railway</w:t>
      </w:r>
      <w:r w:rsidRPr="00DD4D5E">
        <w:rPr>
          <w:rFonts w:cs="Times New Roman"/>
          <w:lang w:val="fr-CA"/>
        </w:rPr>
        <w:t>, p. 276). Pour dire les choses sans ambages, [</w:t>
      </w:r>
      <w:r w:rsidRPr="00DD4D5E">
        <w:rPr>
          <w:rFonts w:cs="Times New Roman"/>
          <w:smallCaps/>
          <w:lang w:val="fr-CA"/>
        </w:rPr>
        <w:t>traduction</w:t>
      </w:r>
      <w:r w:rsidRPr="00DD4D5E">
        <w:rPr>
          <w:rFonts w:cs="Times New Roman"/>
          <w:lang w:val="fr-CA"/>
        </w:rPr>
        <w:t>] « </w:t>
      </w:r>
      <w:r w:rsidR="00F33A1B">
        <w:rPr>
          <w:rFonts w:cs="Times New Roman"/>
          <w:lang w:val="fr-CA"/>
        </w:rPr>
        <w:t>[</w:t>
      </w:r>
      <w:r w:rsidRPr="00DD4D5E">
        <w:rPr>
          <w:rFonts w:cs="Times New Roman"/>
          <w:lang w:val="fr-CA"/>
        </w:rPr>
        <w:t>l</w:t>
      </w:r>
      <w:r w:rsidR="00F33A1B">
        <w:rPr>
          <w:rFonts w:cs="Times New Roman"/>
          <w:lang w:val="fr-CA"/>
        </w:rPr>
        <w:t>]</w:t>
      </w:r>
      <w:r w:rsidRPr="00DD4D5E">
        <w:rPr>
          <w:rFonts w:cs="Times New Roman"/>
          <w:lang w:val="fr-CA"/>
        </w:rPr>
        <w:t>a perte de sa propre santé mentale constitue une atteinte plus grave à son individualité que la perte d</w:t>
      </w:r>
      <w:r>
        <w:rPr>
          <w:rFonts w:cs="Times New Roman"/>
          <w:lang w:val="fr-CA"/>
        </w:rPr>
        <w:t>’</w:t>
      </w:r>
      <w:r w:rsidRPr="00DD4D5E">
        <w:rPr>
          <w:rFonts w:cs="Times New Roman"/>
          <w:lang w:val="fr-CA"/>
        </w:rPr>
        <w:t>un doigt » (Stevens, p. 55).</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Il appert aussi implicitement de l</w:t>
      </w:r>
      <w:r>
        <w:rPr>
          <w:rFonts w:cs="Times New Roman"/>
          <w:lang w:val="fr-CA"/>
        </w:rPr>
        <w:t>’</w:t>
      </w:r>
      <w:r w:rsidRPr="00DD4D5E">
        <w:rPr>
          <w:rFonts w:cs="Times New Roman"/>
          <w:lang w:val="fr-CA"/>
        </w:rPr>
        <w:t xml:space="preserve">arrêt </w:t>
      </w:r>
      <w:r w:rsidRPr="00DD4D5E">
        <w:rPr>
          <w:rFonts w:cs="Times New Roman"/>
          <w:i/>
          <w:lang w:val="fr-CA"/>
        </w:rPr>
        <w:t>Mustapha</w:t>
      </w:r>
      <w:r w:rsidRPr="00DD4D5E">
        <w:rPr>
          <w:rFonts w:cs="Times New Roman"/>
          <w:lang w:val="fr-CA"/>
        </w:rPr>
        <w:t xml:space="preserve"> que l</w:t>
      </w:r>
      <w:r>
        <w:rPr>
          <w:rFonts w:cs="Times New Roman"/>
          <w:lang w:val="fr-CA"/>
        </w:rPr>
        <w:t>’</w:t>
      </w:r>
      <w:r w:rsidRPr="00DD4D5E">
        <w:rPr>
          <w:rFonts w:cs="Times New Roman"/>
          <w:lang w:val="fr-CA"/>
        </w:rPr>
        <w:t>analyse que commande habituellement l</w:t>
      </w:r>
      <w:r>
        <w:rPr>
          <w:rFonts w:cs="Times New Roman"/>
          <w:lang w:val="fr-CA"/>
        </w:rPr>
        <w:t>’</w:t>
      </w:r>
      <w:r w:rsidRPr="00DD4D5E">
        <w:rPr>
          <w:rFonts w:cs="Times New Roman"/>
          <w:lang w:val="fr-CA"/>
        </w:rPr>
        <w:t>obligation de diligence vaut également pour le préjudice mental imputé à la négligence. Soit dit en tout respect pour les tribunaux qui ont exprimé l</w:t>
      </w:r>
      <w:r>
        <w:rPr>
          <w:rFonts w:cs="Times New Roman"/>
          <w:lang w:val="fr-CA"/>
        </w:rPr>
        <w:t>’</w:t>
      </w:r>
      <w:r w:rsidRPr="00DD4D5E">
        <w:rPr>
          <w:rFonts w:cs="Times New Roman"/>
          <w:lang w:val="fr-CA"/>
        </w:rPr>
        <w:t>opinion contraire, il est selon moi inutile et à vrai dire vain de reconfigurer l</w:t>
      </w:r>
      <w:r>
        <w:rPr>
          <w:rFonts w:cs="Times New Roman"/>
          <w:lang w:val="fr-CA"/>
        </w:rPr>
        <w:t>’</w:t>
      </w:r>
      <w:r w:rsidRPr="00DD4D5E">
        <w:rPr>
          <w:rFonts w:cs="Times New Roman"/>
          <w:lang w:val="fr-CA"/>
        </w:rPr>
        <w:t>analyse de manière qu</w:t>
      </w:r>
      <w:r>
        <w:rPr>
          <w:rFonts w:cs="Times New Roman"/>
          <w:lang w:val="fr-CA"/>
        </w:rPr>
        <w:t>’</w:t>
      </w:r>
      <w:r w:rsidRPr="00DD4D5E">
        <w:rPr>
          <w:rFonts w:cs="Times New Roman"/>
          <w:lang w:val="fr-CA"/>
        </w:rPr>
        <w:t xml:space="preserve">il faille dûment tenir compte séparément de certains volets de la proximité, comme dans </w:t>
      </w:r>
      <w:r w:rsidRPr="00DD4D5E">
        <w:rPr>
          <w:rFonts w:cs="Times New Roman"/>
          <w:i/>
          <w:lang w:val="fr-CA"/>
        </w:rPr>
        <w:t>McLoughlin c. O</w:t>
      </w:r>
      <w:r>
        <w:rPr>
          <w:rFonts w:cs="Times New Roman"/>
          <w:i/>
          <w:lang w:val="fr-CA"/>
        </w:rPr>
        <w:t>’</w:t>
      </w:r>
      <w:r w:rsidRPr="00DD4D5E">
        <w:rPr>
          <w:rFonts w:cs="Times New Roman"/>
          <w:i/>
          <w:lang w:val="fr-CA"/>
        </w:rPr>
        <w:t>Brian</w:t>
      </w:r>
      <w:r w:rsidRPr="00DD4D5E">
        <w:rPr>
          <w:rFonts w:cs="Times New Roman"/>
          <w:lang w:val="fr-CA"/>
        </w:rPr>
        <w:t>. Certes, les volets « temporel », « physique » et « relationnel » peuvent fort bien éclairer l</w:t>
      </w:r>
      <w:r>
        <w:rPr>
          <w:rFonts w:cs="Times New Roman"/>
          <w:lang w:val="fr-CA"/>
        </w:rPr>
        <w:t>’</w:t>
      </w:r>
      <w:r w:rsidRPr="00DD4D5E">
        <w:rPr>
          <w:rFonts w:cs="Times New Roman"/>
          <w:lang w:val="fr-CA"/>
        </w:rPr>
        <w:t>analyse de la proximité qui s</w:t>
      </w:r>
      <w:r>
        <w:rPr>
          <w:rFonts w:cs="Times New Roman"/>
          <w:lang w:val="fr-CA"/>
        </w:rPr>
        <w:t>’</w:t>
      </w:r>
      <w:r w:rsidRPr="00DD4D5E">
        <w:rPr>
          <w:rFonts w:cs="Times New Roman"/>
          <w:lang w:val="fr-CA"/>
        </w:rPr>
        <w:t>impose dans certains cas. Or, l</w:t>
      </w:r>
      <w:r>
        <w:rPr>
          <w:rFonts w:cs="Times New Roman"/>
          <w:lang w:val="fr-CA"/>
        </w:rPr>
        <w:t>’</w:t>
      </w:r>
      <w:r w:rsidRPr="00DD4D5E">
        <w:rPr>
          <w:rFonts w:cs="Times New Roman"/>
          <w:lang w:val="fr-CA"/>
        </w:rPr>
        <w:t>analyse de la proximité que préconise la Cour est — et se veut — assez souple pour embrasser toutes les considérations pertinentes qui sont susceptibles, dans un cas donné, de jouer dans l</w:t>
      </w:r>
      <w:r>
        <w:rPr>
          <w:rFonts w:cs="Times New Roman"/>
          <w:lang w:val="fr-CA"/>
        </w:rPr>
        <w:t>’</w:t>
      </w:r>
      <w:r w:rsidRPr="00DD4D5E">
        <w:rPr>
          <w:rFonts w:cs="Times New Roman"/>
          <w:lang w:val="fr-CA"/>
        </w:rPr>
        <w:t>établissement du l</w:t>
      </w:r>
      <w:r w:rsidRPr="00DD4D5E">
        <w:rPr>
          <w:rFonts w:cs="Times New Roman"/>
          <w:spacing w:val="-3"/>
          <w:lang w:val="fr-CA"/>
        </w:rPr>
        <w:t>ien « étroit et direct » qui caractérise l</w:t>
      </w:r>
      <w:r>
        <w:rPr>
          <w:rFonts w:cs="Times New Roman"/>
          <w:spacing w:val="-3"/>
          <w:lang w:val="fr-CA"/>
        </w:rPr>
        <w:t>’</w:t>
      </w:r>
      <w:r w:rsidRPr="00DD4D5E">
        <w:rPr>
          <w:rFonts w:cs="Times New Roman"/>
          <w:spacing w:val="-3"/>
          <w:lang w:val="fr-CA"/>
        </w:rPr>
        <w:t xml:space="preserve">obligation de diligence en common law </w:t>
      </w:r>
      <w:r w:rsidRPr="00DD4D5E">
        <w:rPr>
          <w:rFonts w:cs="Times New Roman"/>
          <w:lang w:val="fr-CA"/>
        </w:rPr>
        <w:t>(</w:t>
      </w:r>
      <w:r w:rsidRPr="00DD4D5E">
        <w:rPr>
          <w:rFonts w:cs="Times New Roman"/>
          <w:i/>
          <w:lang w:val="fr-CA"/>
        </w:rPr>
        <w:t>Cooper c. Hobart</w:t>
      </w:r>
      <w:r w:rsidRPr="00DD4D5E">
        <w:rPr>
          <w:rFonts w:cs="Times New Roman"/>
          <w:lang w:val="fr-CA"/>
        </w:rPr>
        <w:t>, 2001 CSC 79, [2001] 3 R.C.S. 537, par. 32, citant l</w:t>
      </w:r>
      <w:r>
        <w:rPr>
          <w:rFonts w:cs="Times New Roman"/>
          <w:lang w:val="fr-CA"/>
        </w:rPr>
        <w:t>’</w:t>
      </w:r>
      <w:r w:rsidRPr="00DD4D5E">
        <w:rPr>
          <w:rFonts w:cs="Times New Roman"/>
          <w:lang w:val="fr-CA"/>
        </w:rPr>
        <w:t xml:space="preserve">arrêt </w:t>
      </w:r>
      <w:r w:rsidRPr="00DD4D5E">
        <w:rPr>
          <w:rFonts w:cs="Times New Roman"/>
          <w:i/>
          <w:lang w:val="fr-CA"/>
        </w:rPr>
        <w:t>Donoghue c. Stevenson</w:t>
      </w:r>
      <w:r w:rsidRPr="00DD4D5E">
        <w:rPr>
          <w:rFonts w:cs="Times New Roman"/>
          <w:lang w:val="fr-CA"/>
        </w:rPr>
        <w:t>, [1932] A.C. 562 (H.L.), p. 580</w:t>
      </w:r>
      <w:r w:rsidRPr="00DD4D5E">
        <w:rPr>
          <w:rFonts w:cs="Times New Roman"/>
          <w:lang w:val="fr-CA"/>
        </w:rPr>
        <w:noBreakHyphen/>
        <w:t>581)</w:t>
      </w:r>
      <w:r w:rsidR="00496E3A">
        <w:rPr>
          <w:rFonts w:cs="Times New Roman"/>
          <w:lang w:val="fr-CA"/>
        </w:rPr>
        <w:t>.</w:t>
      </w:r>
      <w:r w:rsidRPr="00DD4D5E">
        <w:rPr>
          <w:rFonts w:cs="Times New Roman"/>
          <w:lang w:val="fr-CA"/>
        </w:rPr>
        <w:t xml:space="preserve"> Comme l</w:t>
      </w:r>
      <w:r>
        <w:rPr>
          <w:rFonts w:cs="Times New Roman"/>
          <w:lang w:val="fr-CA"/>
        </w:rPr>
        <w:t>’</w:t>
      </w:r>
      <w:r w:rsidRPr="00DD4D5E">
        <w:rPr>
          <w:rFonts w:cs="Times New Roman"/>
          <w:lang w:val="fr-CA"/>
        </w:rPr>
        <w:t>e</w:t>
      </w:r>
      <w:r w:rsidR="00496E3A">
        <w:rPr>
          <w:rFonts w:cs="Times New Roman"/>
          <w:lang w:val="fr-CA"/>
        </w:rPr>
        <w:t>xplique la Cour, cette analyse</w:t>
      </w:r>
    </w:p>
    <w:p w:rsidR="00DE26CA" w:rsidRPr="00DD4D5E" w:rsidRDefault="00496E3A" w:rsidP="00DE26CA">
      <w:pPr>
        <w:pStyle w:val="Citation-AltC"/>
        <w:spacing w:after="240"/>
        <w:ind w:hanging="1166"/>
        <w:contextualSpacing w:val="0"/>
        <w:rPr>
          <w:lang w:val="fr-CA"/>
        </w:rPr>
      </w:pPr>
      <w:r>
        <w:rPr>
          <w:lang w:val="fr-CA"/>
        </w:rPr>
        <w:tab/>
      </w:r>
      <w:r w:rsidR="00DE26CA" w:rsidRPr="00DD4D5E">
        <w:rPr>
          <w:lang w:val="fr-CA"/>
        </w:rPr>
        <w:t>met l</w:t>
      </w:r>
      <w:r w:rsidR="00DE26CA">
        <w:rPr>
          <w:lang w:val="fr-CA"/>
        </w:rPr>
        <w:t>’</w:t>
      </w:r>
      <w:r w:rsidR="00DE26CA" w:rsidRPr="00DD4D5E">
        <w:rPr>
          <w:lang w:val="fr-CA"/>
        </w:rPr>
        <w:t xml:space="preserve">accent sur les facteurs découlant du </w:t>
      </w:r>
      <w:r w:rsidR="00DE26CA" w:rsidRPr="00DD4D5E">
        <w:rPr>
          <w:u w:val="single"/>
          <w:lang w:val="fr-CA"/>
        </w:rPr>
        <w:t>lien</w:t>
      </w:r>
      <w:r w:rsidR="00DE26CA" w:rsidRPr="00DD4D5E">
        <w:rPr>
          <w:lang w:val="fr-CA"/>
        </w:rPr>
        <w:t xml:space="preserve"> existant entre la dema</w:t>
      </w:r>
      <w:r>
        <w:rPr>
          <w:lang w:val="fr-CA"/>
        </w:rPr>
        <w:t>nderesse et le défendeur. . .</w:t>
      </w:r>
    </w:p>
    <w:p w:rsidR="00DE26CA" w:rsidRDefault="00DE26CA" w:rsidP="00DE26CA">
      <w:pPr>
        <w:pStyle w:val="Citation-AltC"/>
        <w:spacing w:after="240"/>
        <w:ind w:left="1168"/>
        <w:contextualSpacing w:val="0"/>
        <w:jc w:val="center"/>
        <w:rPr>
          <w:lang w:val="fr-CA"/>
        </w:rPr>
      </w:pPr>
      <w:r w:rsidRPr="00DD4D5E">
        <w:rPr>
          <w:lang w:val="fr-CA"/>
        </w:rPr>
        <w:lastRenderedPageBreak/>
        <w:t>.</w:t>
      </w:r>
      <w:r>
        <w:rPr>
          <w:lang w:val="fr-CA"/>
        </w:rPr>
        <w:t> </w:t>
      </w:r>
      <w:r w:rsidRPr="00DD4D5E">
        <w:rPr>
          <w:lang w:val="fr-CA"/>
        </w:rPr>
        <w:t>.</w:t>
      </w:r>
      <w:r>
        <w:rPr>
          <w:lang w:val="fr-CA"/>
        </w:rPr>
        <w:t> </w:t>
      </w:r>
      <w:r w:rsidRPr="00DD4D5E">
        <w:rPr>
          <w:lang w:val="fr-CA"/>
        </w:rPr>
        <w:t>.</w:t>
      </w:r>
    </w:p>
    <w:p w:rsidR="005C438D" w:rsidRPr="00DD4D5E" w:rsidRDefault="005C438D" w:rsidP="005C438D">
      <w:pPr>
        <w:pStyle w:val="Citation-AltC"/>
        <w:spacing w:after="240"/>
        <w:ind w:hanging="1166"/>
        <w:contextualSpacing w:val="0"/>
        <w:rPr>
          <w:lang w:val="fr-CA"/>
        </w:rPr>
      </w:pPr>
      <w:r>
        <w:rPr>
          <w:lang w:val="fr-CA"/>
        </w:rPr>
        <w:tab/>
      </w:r>
      <w:r>
        <w:rPr>
          <w:lang w:val="fr-CA"/>
        </w:rPr>
        <w:tab/>
      </w:r>
      <w:r w:rsidRPr="00DD4D5E">
        <w:rPr>
          <w:lang w:val="fr-CA"/>
        </w:rPr>
        <w:t>Comme le juge La Forest l</w:t>
      </w:r>
      <w:r>
        <w:rPr>
          <w:lang w:val="fr-CA"/>
        </w:rPr>
        <w:t>’</w:t>
      </w:r>
      <w:r w:rsidRPr="00DD4D5E">
        <w:rPr>
          <w:lang w:val="fr-CA"/>
        </w:rPr>
        <w:t>a affirmé au nom de notre Cour dans l</w:t>
      </w:r>
      <w:r>
        <w:rPr>
          <w:lang w:val="fr-CA"/>
        </w:rPr>
        <w:t>’</w:t>
      </w:r>
      <w:r w:rsidRPr="00DD4D5E">
        <w:rPr>
          <w:lang w:val="fr-CA"/>
        </w:rPr>
        <w:t xml:space="preserve">arrêt </w:t>
      </w:r>
      <w:r w:rsidRPr="00DD4D5E">
        <w:rPr>
          <w:i/>
          <w:lang w:val="fr-CA"/>
        </w:rPr>
        <w:t>Hercules Managements Ltd. c. Ernst &amp; Young</w:t>
      </w:r>
      <w:r w:rsidRPr="00DD4D5E">
        <w:rPr>
          <w:lang w:val="fr-CA"/>
        </w:rPr>
        <w:t xml:space="preserve">, [1997] 2 R.C.S. 165, par. 24 : </w:t>
      </w:r>
    </w:p>
    <w:p w:rsidR="00DE26CA" w:rsidRPr="00DD4D5E" w:rsidRDefault="00DE26CA" w:rsidP="00DE26CA">
      <w:pPr>
        <w:pStyle w:val="Citation-AltC"/>
        <w:ind w:left="1800" w:hanging="1166"/>
        <w:contextualSpacing w:val="0"/>
        <w:rPr>
          <w:lang w:val="fr-CA"/>
        </w:rPr>
      </w:pPr>
      <w:r w:rsidRPr="00DD4D5E">
        <w:rPr>
          <w:lang w:val="fr-CA"/>
        </w:rPr>
        <w:tab/>
        <w:t>L</w:t>
      </w:r>
      <w:r>
        <w:rPr>
          <w:lang w:val="fr-CA"/>
        </w:rPr>
        <w:t>’</w:t>
      </w:r>
      <w:r w:rsidRPr="00DD4D5E">
        <w:rPr>
          <w:lang w:val="fr-CA"/>
        </w:rPr>
        <w:t>expression « lien étroit », utilisée par lord Wilberforce dans l</w:t>
      </w:r>
      <w:r>
        <w:rPr>
          <w:lang w:val="fr-CA"/>
        </w:rPr>
        <w:t>’</w:t>
      </w:r>
      <w:r w:rsidRPr="00DD4D5E">
        <w:rPr>
          <w:lang w:val="fr-CA"/>
        </w:rPr>
        <w:t>arrêt [</w:t>
      </w:r>
      <w:r w:rsidRPr="00DD4D5E">
        <w:rPr>
          <w:i/>
          <w:lang w:val="fr-CA"/>
        </w:rPr>
        <w:t>Anns c. Merton London Borough Council</w:t>
      </w:r>
      <w:r w:rsidRPr="00DD4D5E">
        <w:rPr>
          <w:lang w:val="fr-CA"/>
        </w:rPr>
        <w:t xml:space="preserve">, [1978] A.C. 728 (H.L.)], visait clairement à laisser entendre que les circonstances entourant le lien existant entre le demandeur et le défendeur </w:t>
      </w:r>
      <w:r w:rsidRPr="00496E3A">
        <w:rPr>
          <w:lang w:val="fr-CA"/>
        </w:rPr>
        <w:t xml:space="preserve">sont </w:t>
      </w:r>
      <w:r w:rsidRPr="00DD4D5E">
        <w:rPr>
          <w:u w:val="single"/>
          <w:lang w:val="fr-CA"/>
        </w:rPr>
        <w:t>telles qu</w:t>
      </w:r>
      <w:r>
        <w:rPr>
          <w:u w:val="single"/>
          <w:lang w:val="fr-CA"/>
        </w:rPr>
        <w:t>’</w:t>
      </w:r>
      <w:r w:rsidRPr="00DD4D5E">
        <w:rPr>
          <w:u w:val="single"/>
          <w:lang w:val="fr-CA"/>
        </w:rPr>
        <w:t>on peut affirmer que le défendeur est tenu de se soucier des intérêts légitimes du demandeur dans la gestion de ses affaires</w:t>
      </w:r>
      <w:r w:rsidRPr="00DD4D5E">
        <w:rPr>
          <w:lang w:val="fr-CA"/>
        </w:rPr>
        <w:t xml:space="preserve">. </w:t>
      </w:r>
    </w:p>
    <w:p w:rsidR="00DE26CA" w:rsidRPr="00DD4D5E" w:rsidRDefault="00DE26CA" w:rsidP="00DE26CA">
      <w:pPr>
        <w:pStyle w:val="ContinueParaSuitedupar-AltP"/>
        <w:rPr>
          <w:rFonts w:cs="Times New Roman"/>
          <w:lang w:val="fr-CA"/>
        </w:rPr>
      </w:pPr>
      <w:r w:rsidRPr="00DD4D5E">
        <w:rPr>
          <w:rFonts w:cs="Times New Roman"/>
          <w:lang w:val="fr-CA"/>
        </w:rPr>
        <w:t>(</w:t>
      </w:r>
      <w:r w:rsidRPr="00DD4D5E">
        <w:rPr>
          <w:rFonts w:cs="Times New Roman"/>
          <w:i/>
          <w:lang w:val="fr-CA"/>
        </w:rPr>
        <w:t>Cooper</w:t>
      </w:r>
      <w:r w:rsidRPr="00DD4D5E">
        <w:rPr>
          <w:rFonts w:cs="Times New Roman"/>
          <w:lang w:val="fr-CA"/>
        </w:rPr>
        <w:t>, par. 30 et 33 (souligné dans l</w:t>
      </w:r>
      <w:r>
        <w:rPr>
          <w:rFonts w:cs="Times New Roman"/>
          <w:lang w:val="fr-CA"/>
        </w:rPr>
        <w:t>’</w:t>
      </w:r>
      <w:r w:rsidRPr="00DD4D5E">
        <w:rPr>
          <w:rFonts w:cs="Times New Roman"/>
          <w:lang w:val="fr-CA"/>
        </w:rPr>
        <w:t>original))</w:t>
      </w:r>
    </w:p>
    <w:p w:rsidR="00DE26CA" w:rsidRPr="00DD4D5E" w:rsidRDefault="00DE26CA" w:rsidP="00DE26CA">
      <w:pPr>
        <w:pStyle w:val="Title3LevelTitre3Niveau"/>
        <w:rPr>
          <w:rFonts w:cs="Times New Roman"/>
          <w:lang w:val="fr-CA"/>
        </w:rPr>
      </w:pPr>
      <w:r w:rsidRPr="00DD4D5E">
        <w:rPr>
          <w:rFonts w:cs="Times New Roman"/>
          <w:lang w:val="fr-CA"/>
        </w:rPr>
        <w:t>Trouble psychiatrique reconnu</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Rappelons que la principale question que soulève le pourvoi et, en particulier, la conclusion de la Cour d</w:t>
      </w:r>
      <w:r>
        <w:rPr>
          <w:rFonts w:cs="Times New Roman"/>
          <w:lang w:val="fr-CA"/>
        </w:rPr>
        <w:t>’</w:t>
      </w:r>
      <w:r w:rsidRPr="00DD4D5E">
        <w:rPr>
          <w:rFonts w:cs="Times New Roman"/>
          <w:lang w:val="fr-CA"/>
        </w:rPr>
        <w:t>appel selon laquelle l</w:t>
      </w:r>
      <w:r>
        <w:rPr>
          <w:rFonts w:cs="Times New Roman"/>
          <w:lang w:val="fr-CA"/>
        </w:rPr>
        <w:t>’</w:t>
      </w:r>
      <w:r w:rsidRPr="00DD4D5E">
        <w:rPr>
          <w:rFonts w:cs="Times New Roman"/>
          <w:lang w:val="fr-CA"/>
        </w:rPr>
        <w:t>appelant a été débouté faute d</w:t>
      </w:r>
      <w:r>
        <w:rPr>
          <w:rFonts w:cs="Times New Roman"/>
          <w:lang w:val="fr-CA"/>
        </w:rPr>
        <w:t>’</w:t>
      </w:r>
      <w:r w:rsidRPr="00DD4D5E">
        <w:rPr>
          <w:rFonts w:cs="Times New Roman"/>
          <w:lang w:val="fr-CA"/>
        </w:rPr>
        <w:t>une preuve d</w:t>
      </w:r>
      <w:r>
        <w:rPr>
          <w:rFonts w:cs="Times New Roman"/>
          <w:lang w:val="fr-CA"/>
        </w:rPr>
        <w:t>’</w:t>
      </w:r>
      <w:r w:rsidRPr="00DD4D5E">
        <w:rPr>
          <w:rFonts w:cs="Times New Roman"/>
          <w:lang w:val="fr-CA"/>
        </w:rPr>
        <w:t>expert établissant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trouble psychiatrique reconnu, a trait à l</w:t>
      </w:r>
      <w:r>
        <w:rPr>
          <w:rFonts w:cs="Times New Roman"/>
          <w:lang w:val="fr-CA"/>
        </w:rPr>
        <w:t>’</w:t>
      </w:r>
      <w:r w:rsidRPr="00DD4D5E">
        <w:rPr>
          <w:rFonts w:cs="Times New Roman"/>
          <w:lang w:val="fr-CA"/>
        </w:rPr>
        <w:t>élément de la cause d</w:t>
      </w:r>
      <w:r>
        <w:rPr>
          <w:rFonts w:cs="Times New Roman"/>
          <w:lang w:val="fr-CA"/>
        </w:rPr>
        <w:t>’</w:t>
      </w:r>
      <w:r w:rsidRPr="00DD4D5E">
        <w:rPr>
          <w:rFonts w:cs="Times New Roman"/>
          <w:lang w:val="fr-CA"/>
        </w:rPr>
        <w:t>action qui exige du demandeur qui allègue la négligence qu</w:t>
      </w:r>
      <w:r>
        <w:rPr>
          <w:rFonts w:cs="Times New Roman"/>
          <w:lang w:val="fr-CA"/>
        </w:rPr>
        <w:t>’</w:t>
      </w:r>
      <w:r w:rsidRPr="00DD4D5E">
        <w:rPr>
          <w:rFonts w:cs="Times New Roman"/>
          <w:lang w:val="fr-CA"/>
        </w:rPr>
        <w:t>il prouve le préjudice. La Cour doit donc se demander en quoi consiste le préjudice mental et de quelle manière on l</w:t>
      </w:r>
      <w:r>
        <w:rPr>
          <w:rFonts w:cs="Times New Roman"/>
          <w:lang w:val="fr-CA"/>
        </w:rPr>
        <w:t>’</w:t>
      </w:r>
      <w:r w:rsidRPr="00DD4D5E">
        <w:rPr>
          <w:rFonts w:cs="Times New Roman"/>
          <w:lang w:val="fr-CA"/>
        </w:rPr>
        <w:t>établit.</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w:t>
      </w:r>
      <w:r>
        <w:rPr>
          <w:rFonts w:cs="Times New Roman"/>
          <w:lang w:val="fr-CA"/>
        </w:rPr>
        <w:t>’</w:t>
      </w:r>
      <w:r w:rsidRPr="00DD4D5E">
        <w:rPr>
          <w:rFonts w:cs="Times New Roman"/>
          <w:lang w:val="fr-CA"/>
        </w:rPr>
        <w:t>obligation supposée d</w:t>
      </w:r>
      <w:r>
        <w:rPr>
          <w:rFonts w:cs="Times New Roman"/>
          <w:lang w:val="fr-CA"/>
        </w:rPr>
        <w:t>’</w:t>
      </w:r>
      <w:r w:rsidRPr="00DD4D5E">
        <w:rPr>
          <w:rFonts w:cs="Times New Roman"/>
          <w:lang w:val="fr-CA"/>
        </w:rPr>
        <w:t>établir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trouble psychiatrique reconnu paraît s</w:t>
      </w:r>
      <w:r>
        <w:rPr>
          <w:rFonts w:cs="Times New Roman"/>
          <w:lang w:val="fr-CA"/>
        </w:rPr>
        <w:t>’</w:t>
      </w:r>
      <w:r w:rsidRPr="00DD4D5E">
        <w:rPr>
          <w:rFonts w:cs="Times New Roman"/>
          <w:lang w:val="fr-CA"/>
        </w:rPr>
        <w:t>originer des propos de lord Denning, maître des rôles, dans l</w:t>
      </w:r>
      <w:r>
        <w:rPr>
          <w:rFonts w:cs="Times New Roman"/>
          <w:lang w:val="fr-CA"/>
        </w:rPr>
        <w:t>’</w:t>
      </w:r>
      <w:r w:rsidRPr="00DD4D5E">
        <w:rPr>
          <w:rFonts w:cs="Times New Roman"/>
          <w:lang w:val="fr-CA"/>
        </w:rPr>
        <w:t xml:space="preserve">arrêt </w:t>
      </w:r>
      <w:r w:rsidRPr="00DD4D5E">
        <w:rPr>
          <w:rFonts w:cs="Times New Roman"/>
          <w:i/>
          <w:lang w:val="fr-CA"/>
        </w:rPr>
        <w:t>Hinz c. Berry</w:t>
      </w:r>
      <w:r w:rsidRPr="00DD4D5E">
        <w:rPr>
          <w:rFonts w:cs="Times New Roman"/>
          <w:lang w:val="fr-CA"/>
        </w:rPr>
        <w:t>, [1970] 2 Q.B. 40 (C.A.), p. 42</w:t>
      </w:r>
      <w:r w:rsidR="00496E3A">
        <w:rPr>
          <w:rFonts w:cs="Times New Roman"/>
          <w:lang w:val="fr-CA"/>
        </w:rPr>
        <w:t xml:space="preserve"> </w:t>
      </w:r>
      <w:r w:rsidRPr="00DD4D5E">
        <w:rPr>
          <w:rFonts w:cs="Times New Roman"/>
          <w:lang w:val="fr-CA"/>
        </w:rPr>
        <w:t>:</w:t>
      </w:r>
    </w:p>
    <w:p w:rsidR="00DE26CA" w:rsidRPr="00DD4D5E" w:rsidRDefault="00DE26CA" w:rsidP="00DE26CA">
      <w:pPr>
        <w:pStyle w:val="Citation-AltC"/>
        <w:ind w:hanging="1166"/>
        <w:contextualSpacing w:val="0"/>
        <w:rPr>
          <w:u w:val="single"/>
          <w:lang w:val="fr-CA"/>
        </w:rPr>
      </w:pPr>
      <w:r w:rsidRPr="00DD4D5E">
        <w:rPr>
          <w:bCs/>
          <w:lang w:val="fr-CA"/>
        </w:rPr>
        <w:tab/>
        <w:t>[</w:t>
      </w:r>
      <w:r w:rsidRPr="00DD4D5E">
        <w:rPr>
          <w:smallCaps/>
          <w:lang w:val="fr-CA"/>
        </w:rPr>
        <w:t>traduction</w:t>
      </w:r>
      <w:r w:rsidRPr="00DD4D5E">
        <w:rPr>
          <w:bCs/>
          <w:lang w:val="fr-CA"/>
        </w:rPr>
        <w:t>]</w:t>
      </w:r>
      <w:r w:rsidRPr="00DD4D5E">
        <w:rPr>
          <w:lang w:val="fr-CA"/>
        </w:rPr>
        <w:t xml:space="preserve"> En droit anglais, il n</w:t>
      </w:r>
      <w:r>
        <w:rPr>
          <w:lang w:val="fr-CA"/>
        </w:rPr>
        <w:t>’</w:t>
      </w:r>
      <w:r w:rsidRPr="00DD4D5E">
        <w:rPr>
          <w:lang w:val="fr-CA"/>
        </w:rPr>
        <w:t>y a pas d</w:t>
      </w:r>
      <w:r>
        <w:rPr>
          <w:lang w:val="fr-CA"/>
        </w:rPr>
        <w:t>’</w:t>
      </w:r>
      <w:r w:rsidRPr="00DD4D5E">
        <w:rPr>
          <w:lang w:val="fr-CA"/>
        </w:rPr>
        <w:t>indemnité pour la tristesse ou la peine que cause le décès d</w:t>
      </w:r>
      <w:r>
        <w:rPr>
          <w:lang w:val="fr-CA"/>
        </w:rPr>
        <w:t>’</w:t>
      </w:r>
      <w:r w:rsidRPr="00DD4D5E">
        <w:rPr>
          <w:lang w:val="fr-CA"/>
        </w:rPr>
        <w:t>une personne. Il n</w:t>
      </w:r>
      <w:r>
        <w:rPr>
          <w:lang w:val="fr-CA"/>
        </w:rPr>
        <w:t>’</w:t>
      </w:r>
      <w:r w:rsidRPr="00DD4D5E">
        <w:rPr>
          <w:lang w:val="fr-CA"/>
        </w:rPr>
        <w:t>y en a pas non plus pour l</w:t>
      </w:r>
      <w:r>
        <w:rPr>
          <w:lang w:val="fr-CA"/>
        </w:rPr>
        <w:t>’</w:t>
      </w:r>
      <w:r w:rsidRPr="00DD4D5E">
        <w:rPr>
          <w:lang w:val="fr-CA"/>
        </w:rPr>
        <w:t>inquiétude relative aux enfants, les soucis d</w:t>
      </w:r>
      <w:r>
        <w:rPr>
          <w:lang w:val="fr-CA"/>
        </w:rPr>
        <w:t>’</w:t>
      </w:r>
      <w:r w:rsidRPr="00DD4D5E">
        <w:rPr>
          <w:lang w:val="fr-CA"/>
        </w:rPr>
        <w:t xml:space="preserve">ordre financier ou la </w:t>
      </w:r>
      <w:r w:rsidRPr="00DD4D5E">
        <w:rPr>
          <w:lang w:val="fr-CA"/>
        </w:rPr>
        <w:lastRenderedPageBreak/>
        <w:t>difficulté de s</w:t>
      </w:r>
      <w:r>
        <w:rPr>
          <w:lang w:val="fr-CA"/>
        </w:rPr>
        <w:t>’</w:t>
      </w:r>
      <w:r w:rsidRPr="00DD4D5E">
        <w:rPr>
          <w:lang w:val="fr-CA"/>
        </w:rPr>
        <w:t>adapter à une existence nouvelle. Une indemnité peut cependant être accordée pour choc nerveux ou, pour employer la terminologie médicale, pour un trouble psychiatrique reconnaissable causé par le manquement du défendeur.</w:t>
      </w:r>
    </w:p>
    <w:p w:rsidR="00DE26CA" w:rsidRPr="00DD4D5E" w:rsidRDefault="00DE26CA" w:rsidP="00DE26CA">
      <w:pPr>
        <w:pStyle w:val="ContinueParaSuitedupar-AltP"/>
        <w:rPr>
          <w:rFonts w:cs="Times New Roman"/>
          <w:lang w:val="fr-CA"/>
        </w:rPr>
      </w:pPr>
      <w:r w:rsidRPr="00DD4D5E">
        <w:rPr>
          <w:rFonts w:cs="Times New Roman"/>
          <w:lang w:val="fr-CA"/>
        </w:rPr>
        <w:t>D</w:t>
      </w:r>
      <w:r>
        <w:rPr>
          <w:rFonts w:cs="Times New Roman"/>
          <w:lang w:val="fr-CA"/>
        </w:rPr>
        <w:t>’</w:t>
      </w:r>
      <w:r w:rsidRPr="00DD4D5E">
        <w:rPr>
          <w:rFonts w:cs="Times New Roman"/>
          <w:lang w:val="fr-CA"/>
        </w:rPr>
        <w:t>autres ont repris ces propos, bien qu</w:t>
      </w:r>
      <w:r>
        <w:rPr>
          <w:rFonts w:cs="Times New Roman"/>
          <w:lang w:val="fr-CA"/>
        </w:rPr>
        <w:t>’</w:t>
      </w:r>
      <w:r w:rsidRPr="00DD4D5E">
        <w:rPr>
          <w:rFonts w:cs="Times New Roman"/>
          <w:lang w:val="fr-CA"/>
        </w:rPr>
        <w:t xml:space="preserve">en employant des termes quelque peu différents. Par exemple, dans </w:t>
      </w:r>
      <w:r w:rsidRPr="00DD4D5E">
        <w:rPr>
          <w:rFonts w:cs="Times New Roman"/>
          <w:i/>
          <w:lang w:val="fr-CA"/>
        </w:rPr>
        <w:t>McLoughlin c. O</w:t>
      </w:r>
      <w:r>
        <w:rPr>
          <w:rFonts w:cs="Times New Roman"/>
          <w:i/>
          <w:lang w:val="fr-CA"/>
        </w:rPr>
        <w:t>’</w:t>
      </w:r>
      <w:r w:rsidRPr="00DD4D5E">
        <w:rPr>
          <w:rFonts w:cs="Times New Roman"/>
          <w:i/>
          <w:lang w:val="fr-CA"/>
        </w:rPr>
        <w:t>Brian</w:t>
      </w:r>
      <w:r w:rsidRPr="00DD4D5E">
        <w:rPr>
          <w:rFonts w:cs="Times New Roman"/>
          <w:lang w:val="fr-CA"/>
        </w:rPr>
        <w:t>, p. 431, lord Bridge voit dans cet obstacle l</w:t>
      </w:r>
      <w:r>
        <w:rPr>
          <w:rFonts w:cs="Times New Roman"/>
          <w:lang w:val="fr-CA"/>
        </w:rPr>
        <w:t>’</w:t>
      </w:r>
      <w:r w:rsidRPr="00DD4D5E">
        <w:rPr>
          <w:rFonts w:cs="Times New Roman"/>
          <w:lang w:val="fr-CA"/>
        </w:rPr>
        <w:t>exigence d</w:t>
      </w:r>
      <w:r>
        <w:rPr>
          <w:rFonts w:cs="Times New Roman"/>
          <w:lang w:val="fr-CA"/>
        </w:rPr>
        <w:t>’</w:t>
      </w:r>
      <w:r w:rsidRPr="00DD4D5E">
        <w:rPr>
          <w:rFonts w:cs="Times New Roman"/>
          <w:lang w:val="fr-CA"/>
        </w:rPr>
        <w:t>un [</w:t>
      </w:r>
      <w:r w:rsidRPr="00DD4D5E">
        <w:rPr>
          <w:rFonts w:cs="Times New Roman"/>
          <w:smallCaps/>
          <w:lang w:val="fr-CA"/>
        </w:rPr>
        <w:t>traduction</w:t>
      </w:r>
      <w:r w:rsidRPr="00DD4D5E">
        <w:rPr>
          <w:rFonts w:cs="Times New Roman"/>
          <w:lang w:val="fr-CA"/>
        </w:rPr>
        <w:t>] « réel trouble psychiatrique ». On a parlé également de trouble psychiatrique [</w:t>
      </w:r>
      <w:r w:rsidRPr="00DD4D5E">
        <w:rPr>
          <w:rFonts w:cs="Times New Roman"/>
          <w:smallCaps/>
          <w:lang w:val="fr-CA"/>
        </w:rPr>
        <w:t>traduction</w:t>
      </w:r>
      <w:r w:rsidRPr="00DD4D5E">
        <w:rPr>
          <w:rFonts w:cs="Times New Roman"/>
          <w:lang w:val="fr-CA"/>
        </w:rPr>
        <w:t xml:space="preserve">] « véritable », « reconnu » ou « reconnaissable » (Mulheron, p. 81).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Quelle que soit la formulation employée, il est loin de ressortir de l</w:t>
      </w:r>
      <w:r>
        <w:rPr>
          <w:rFonts w:cs="Times New Roman"/>
          <w:lang w:val="fr-CA"/>
        </w:rPr>
        <w:t>’</w:t>
      </w:r>
      <w:r w:rsidRPr="00DD4D5E">
        <w:rPr>
          <w:rFonts w:cs="Times New Roman"/>
          <w:lang w:val="fr-CA"/>
        </w:rPr>
        <w:t xml:space="preserve">arrêt </w:t>
      </w:r>
      <w:r w:rsidRPr="00DD4D5E">
        <w:rPr>
          <w:rFonts w:cs="Times New Roman"/>
          <w:i/>
          <w:lang w:val="fr-CA"/>
        </w:rPr>
        <w:t>Hinz c. Berry</w:t>
      </w:r>
      <w:r w:rsidRPr="00DD4D5E">
        <w:rPr>
          <w:rFonts w:cs="Times New Roman"/>
          <w:lang w:val="fr-CA"/>
        </w:rPr>
        <w:t xml:space="preserve"> qu</w:t>
      </w:r>
      <w:r>
        <w:rPr>
          <w:rFonts w:cs="Times New Roman"/>
          <w:lang w:val="fr-CA"/>
        </w:rPr>
        <w:t>’</w:t>
      </w:r>
      <w:r w:rsidRPr="00DD4D5E">
        <w:rPr>
          <w:rFonts w:cs="Times New Roman"/>
          <w:lang w:val="fr-CA"/>
        </w:rPr>
        <w:t>il s</w:t>
      </w:r>
      <w:r>
        <w:rPr>
          <w:rFonts w:cs="Times New Roman"/>
          <w:lang w:val="fr-CA"/>
        </w:rPr>
        <w:t>’</w:t>
      </w:r>
      <w:r w:rsidRPr="00DD4D5E">
        <w:rPr>
          <w:rFonts w:cs="Times New Roman"/>
          <w:lang w:val="fr-CA"/>
        </w:rPr>
        <w:t>agit d</w:t>
      </w:r>
      <w:r>
        <w:rPr>
          <w:rFonts w:cs="Times New Roman"/>
          <w:lang w:val="fr-CA"/>
        </w:rPr>
        <w:t>’</w:t>
      </w:r>
      <w:r w:rsidRPr="00DD4D5E">
        <w:rPr>
          <w:rFonts w:cs="Times New Roman"/>
          <w:lang w:val="fr-CA"/>
        </w:rPr>
        <w:t>obliger le demandeur à présenter au tribunal le diagnostic positif d</w:t>
      </w:r>
      <w:r>
        <w:rPr>
          <w:rFonts w:cs="Times New Roman"/>
          <w:lang w:val="fr-CA"/>
        </w:rPr>
        <w:t>’</w:t>
      </w:r>
      <w:r w:rsidRPr="00DD4D5E">
        <w:rPr>
          <w:rFonts w:cs="Times New Roman"/>
          <w:lang w:val="fr-CA"/>
        </w:rPr>
        <w:t>un expert. Il n</w:t>
      </w:r>
      <w:r>
        <w:rPr>
          <w:rFonts w:cs="Times New Roman"/>
          <w:lang w:val="fr-CA"/>
        </w:rPr>
        <w:t>’</w:t>
      </w:r>
      <w:r w:rsidRPr="00DD4D5E">
        <w:rPr>
          <w:rFonts w:cs="Times New Roman"/>
          <w:lang w:val="fr-CA"/>
        </w:rPr>
        <w:t>est, à tout le moins, pas évident que la cour entend dans cet arrêt refiler au témoin</w:t>
      </w:r>
      <w:r w:rsidRPr="00DD4D5E">
        <w:rPr>
          <w:rFonts w:cs="Times New Roman"/>
          <w:lang w:val="fr-CA"/>
        </w:rPr>
        <w:noBreakHyphen/>
        <w:t>expert du domaine psychiatrique la tâche qui incombe au juge des faits de décider si le demandeur a subi ou non un préjudice mental (Teff, p. 53; Bélanger</w:t>
      </w:r>
      <w:r w:rsidRPr="00DD4D5E">
        <w:rPr>
          <w:rFonts w:cs="Times New Roman"/>
          <w:lang w:val="fr-CA"/>
        </w:rPr>
        <w:noBreakHyphen/>
        <w:t>Hardy, p. 607</w:t>
      </w:r>
      <w:r w:rsidRPr="00DD4D5E">
        <w:rPr>
          <w:rFonts w:cs="Times New Roman"/>
          <w:lang w:val="fr-CA"/>
        </w:rPr>
        <w:noBreakHyphen/>
        <w:t>611). Dès lors, la prétention des intimés — à savoir que l</w:t>
      </w:r>
      <w:r>
        <w:rPr>
          <w:rFonts w:cs="Times New Roman"/>
          <w:lang w:val="fr-CA"/>
        </w:rPr>
        <w:t>’</w:t>
      </w:r>
      <w:r w:rsidRPr="00DD4D5E">
        <w:rPr>
          <w:rFonts w:cs="Times New Roman"/>
          <w:lang w:val="fr-CA"/>
        </w:rPr>
        <w:t>expression « trouble psychiatrique reconnaissable » suppose que le préjudice mental soit « reconnaissable » par un témoin</w:t>
      </w:r>
      <w:r w:rsidRPr="00DD4D5E">
        <w:rPr>
          <w:rFonts w:cs="Times New Roman"/>
          <w:lang w:val="fr-CA"/>
        </w:rPr>
        <w:noBreakHyphen/>
        <w:t xml:space="preserve">expert ayant une formation en psychiatrie, non par un témoin ordinaire — a une assise bien fragile.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 xml:space="preserve">Toutefois, après une certaine réticence initiale (p. ex. </w:t>
      </w:r>
      <w:r w:rsidRPr="00DD4D5E">
        <w:rPr>
          <w:rFonts w:cs="Times New Roman"/>
          <w:i/>
          <w:lang w:val="fr-CA"/>
        </w:rPr>
        <w:t>McDermott c. Ramadanovic Estate</w:t>
      </w:r>
      <w:r w:rsidRPr="00DD4D5E">
        <w:rPr>
          <w:rFonts w:cs="Times New Roman"/>
          <w:lang w:val="fr-CA"/>
        </w:rPr>
        <w:t xml:space="preserve"> (1988), 27 B.C.L.R. (2d) 45 (C.S.); </w:t>
      </w:r>
      <w:r w:rsidRPr="00DD4D5E">
        <w:rPr>
          <w:rFonts w:cs="Times New Roman"/>
          <w:i/>
          <w:lang w:val="fr-CA"/>
        </w:rPr>
        <w:t>Rhodes</w:t>
      </w:r>
      <w:r w:rsidRPr="00DD4D5E">
        <w:rPr>
          <w:rFonts w:cs="Times New Roman"/>
          <w:lang w:val="fr-CA"/>
        </w:rPr>
        <w:t>,</w:t>
      </w:r>
      <w:r w:rsidR="00496E3A">
        <w:rPr>
          <w:rFonts w:cs="Times New Roman"/>
          <w:lang w:val="fr-CA"/>
        </w:rPr>
        <w:t xml:space="preserve"> le</w:t>
      </w:r>
      <w:r w:rsidRPr="00DD4D5E">
        <w:rPr>
          <w:rFonts w:cs="Times New Roman"/>
          <w:lang w:val="fr-CA"/>
        </w:rPr>
        <w:t xml:space="preserve"> juge</w:t>
      </w:r>
      <w:r w:rsidRPr="00DD4D5E">
        <w:rPr>
          <w:rFonts w:cs="Times New Roman"/>
          <w:i/>
          <w:lang w:val="fr-CA"/>
        </w:rPr>
        <w:t xml:space="preserve"> </w:t>
      </w:r>
      <w:r w:rsidRPr="00DD4D5E">
        <w:rPr>
          <w:rFonts w:cs="Times New Roman"/>
          <w:lang w:val="fr-CA"/>
        </w:rPr>
        <w:t xml:space="preserve">Southin, motifs concordants; </w:t>
      </w:r>
      <w:r w:rsidRPr="00DD4D5E">
        <w:rPr>
          <w:rFonts w:cs="Times New Roman"/>
          <w:i/>
          <w:lang w:val="fr-CA"/>
        </w:rPr>
        <w:t>Cox c. Fleming</w:t>
      </w:r>
      <w:r w:rsidRPr="00DD4D5E">
        <w:rPr>
          <w:rFonts w:cs="Times New Roman"/>
          <w:lang w:val="fr-CA"/>
        </w:rPr>
        <w:t xml:space="preserve"> (1995), 15 B.C.L.R. (3d) 201 (C.A.); </w:t>
      </w:r>
      <w:r w:rsidRPr="00DD4D5E">
        <w:rPr>
          <w:rFonts w:cs="Times New Roman"/>
          <w:i/>
          <w:lang w:val="fr-CA"/>
        </w:rPr>
        <w:t>Mason c. Westside Cemeteries Ltd</w:t>
      </w:r>
      <w:r w:rsidRPr="00DD4D5E">
        <w:rPr>
          <w:rFonts w:cs="Times New Roman"/>
          <w:lang w:val="fr-CA"/>
        </w:rPr>
        <w:t xml:space="preserve">. </w:t>
      </w:r>
      <w:r w:rsidRPr="0043604D">
        <w:rPr>
          <w:rFonts w:cs="Times New Roman"/>
          <w:lang w:val="en-US"/>
        </w:rPr>
        <w:t xml:space="preserve">(1996), 135 D.L.R. (4th) 361 (C.J. Ont. </w:t>
      </w:r>
      <w:r w:rsidRPr="00DD4D5E">
        <w:rPr>
          <w:rFonts w:cs="Times New Roman"/>
          <w:lang w:val="en-US"/>
        </w:rPr>
        <w:t xml:space="preserve">(Div. gén.)); </w:t>
      </w:r>
      <w:r w:rsidRPr="00DD4D5E">
        <w:rPr>
          <w:rFonts w:cs="Times New Roman"/>
          <w:i/>
          <w:lang w:val="en-US"/>
        </w:rPr>
        <w:t xml:space="preserve">Flett c. </w:t>
      </w:r>
      <w:r w:rsidRPr="00DD4D5E">
        <w:rPr>
          <w:rFonts w:cs="Times New Roman"/>
          <w:i/>
          <w:lang w:val="en-US"/>
        </w:rPr>
        <w:lastRenderedPageBreak/>
        <w:t>Maxwell</w:t>
      </w:r>
      <w:r w:rsidRPr="00DD4D5E">
        <w:rPr>
          <w:rFonts w:cs="Times New Roman"/>
          <w:lang w:val="en-US"/>
        </w:rPr>
        <w:t xml:space="preserve">, [1996] B.C.J. No. 1455 (QL) (C. prov. </w:t>
      </w:r>
      <w:r w:rsidRPr="00DD4D5E">
        <w:rPr>
          <w:rFonts w:cs="Times New Roman"/>
          <w:lang w:val="fr-CA"/>
        </w:rPr>
        <w:t>(div. civ.)), les tribunaux canadiens de première instance et d</w:t>
      </w:r>
      <w:r>
        <w:rPr>
          <w:rFonts w:cs="Times New Roman"/>
          <w:lang w:val="fr-CA"/>
        </w:rPr>
        <w:t>’</w:t>
      </w:r>
      <w:r w:rsidRPr="00DD4D5E">
        <w:rPr>
          <w:rFonts w:cs="Times New Roman"/>
          <w:lang w:val="fr-CA"/>
        </w:rPr>
        <w:t xml:space="preserve">appel ont commencé à considérer que le « trouble psychiatrique reconnaissable » exigé dans </w:t>
      </w:r>
      <w:r w:rsidRPr="00DD4D5E">
        <w:rPr>
          <w:rFonts w:cs="Times New Roman"/>
          <w:i/>
          <w:lang w:val="fr-CA"/>
        </w:rPr>
        <w:t>Hinz c. Berry</w:t>
      </w:r>
      <w:r w:rsidRPr="00DD4D5E">
        <w:rPr>
          <w:rFonts w:cs="Times New Roman"/>
          <w:lang w:val="fr-CA"/>
        </w:rPr>
        <w:t xml:space="preserve"> faisait en sorte que, pour être indemnisé d</w:t>
      </w:r>
      <w:r>
        <w:rPr>
          <w:rFonts w:cs="Times New Roman"/>
          <w:lang w:val="fr-CA"/>
        </w:rPr>
        <w:t>’</w:t>
      </w:r>
      <w:r w:rsidRPr="00DD4D5E">
        <w:rPr>
          <w:rFonts w:cs="Times New Roman"/>
          <w:lang w:val="fr-CA"/>
        </w:rPr>
        <w:t>un préjudice mental, le demandeur devait faire témoigner un expert qui confirme qu</w:t>
      </w:r>
      <w:r>
        <w:rPr>
          <w:rFonts w:cs="Times New Roman"/>
          <w:lang w:val="fr-CA"/>
        </w:rPr>
        <w:t>’</w:t>
      </w:r>
      <w:r w:rsidRPr="00DD4D5E">
        <w:rPr>
          <w:rFonts w:cs="Times New Roman"/>
          <w:lang w:val="fr-CA"/>
        </w:rPr>
        <w:t>il s</w:t>
      </w:r>
      <w:r>
        <w:rPr>
          <w:rFonts w:cs="Times New Roman"/>
          <w:lang w:val="fr-CA"/>
        </w:rPr>
        <w:t>’</w:t>
      </w:r>
      <w:r w:rsidRPr="00DD4D5E">
        <w:rPr>
          <w:rFonts w:cs="Times New Roman"/>
          <w:lang w:val="fr-CA"/>
        </w:rPr>
        <w:t>agit d</w:t>
      </w:r>
      <w:r>
        <w:rPr>
          <w:rFonts w:cs="Times New Roman"/>
          <w:lang w:val="fr-CA"/>
        </w:rPr>
        <w:t>’</w:t>
      </w:r>
      <w:r w:rsidRPr="00DD4D5E">
        <w:rPr>
          <w:rFonts w:cs="Times New Roman"/>
          <w:lang w:val="fr-CA"/>
        </w:rPr>
        <w:t xml:space="preserve">un état </w:t>
      </w:r>
      <w:r w:rsidRPr="00DD4D5E">
        <w:rPr>
          <w:rFonts w:cs="Times New Roman"/>
          <w:i/>
          <w:lang w:val="fr-CA"/>
        </w:rPr>
        <w:t>reconnaissable</w:t>
      </w:r>
      <w:r w:rsidRPr="00DD4D5E">
        <w:rPr>
          <w:rFonts w:cs="Times New Roman"/>
          <w:lang w:val="fr-CA"/>
        </w:rPr>
        <w:t xml:space="preserve"> </w:t>
      </w:r>
      <w:r w:rsidRPr="00DD4D5E">
        <w:rPr>
          <w:rFonts w:cs="Times New Roman"/>
          <w:i/>
          <w:lang w:val="fr-CA"/>
        </w:rPr>
        <w:t>par un expert</w:t>
      </w:r>
      <w:r w:rsidRPr="00DD4D5E">
        <w:rPr>
          <w:rFonts w:cs="Times New Roman"/>
          <w:lang w:val="fr-CA"/>
        </w:rPr>
        <w:t xml:space="preserve"> (p. ex. </w:t>
      </w:r>
      <w:r w:rsidRPr="00DD4D5E">
        <w:rPr>
          <w:rFonts w:cs="Times New Roman"/>
          <w:i/>
          <w:lang w:val="fr-CA"/>
        </w:rPr>
        <w:t>Vanek c. Great Atlantic &amp; Pacific Co. of Canada</w:t>
      </w:r>
      <w:r w:rsidRPr="00DD4D5E">
        <w:rPr>
          <w:rFonts w:cs="Times New Roman"/>
          <w:lang w:val="fr-CA"/>
        </w:rPr>
        <w:t xml:space="preserve"> (1999), 48 O.R. (3d) 228 (C.A.), par. 65</w:t>
      </w:r>
      <w:r w:rsidRPr="00DD4D5E">
        <w:rPr>
          <w:rFonts w:cs="Times New Roman"/>
          <w:lang w:val="fr-CA"/>
        </w:rPr>
        <w:noBreakHyphen/>
        <w:t xml:space="preserve">67; </w:t>
      </w:r>
      <w:r w:rsidRPr="00DD4D5E">
        <w:rPr>
          <w:rFonts w:cs="Times New Roman"/>
          <w:i/>
          <w:lang w:val="fr-CA"/>
        </w:rPr>
        <w:t>Healey c. Lakeridge Health Corp.</w:t>
      </w:r>
      <w:r w:rsidRPr="00DD4D5E">
        <w:rPr>
          <w:rFonts w:cs="Times New Roman"/>
          <w:lang w:val="fr-CA"/>
        </w:rPr>
        <w:t xml:space="preserve">, 2011 ONCA 55, 103 O.R. (3d) 401; </w:t>
      </w:r>
      <w:r w:rsidRPr="00DD4D5E">
        <w:rPr>
          <w:rFonts w:cs="Times New Roman"/>
          <w:i/>
          <w:lang w:val="fr-CA"/>
        </w:rPr>
        <w:t>Frazer c. Haukioja</w:t>
      </w:r>
      <w:r w:rsidRPr="00DD4D5E">
        <w:rPr>
          <w:rFonts w:cs="Times New Roman"/>
          <w:lang w:val="fr-CA"/>
        </w:rPr>
        <w:t xml:space="preserve">, 2010 ONCA 249, 101 O.R. (3d) 528; </w:t>
      </w:r>
      <w:r w:rsidR="00496E3A">
        <w:rPr>
          <w:rFonts w:cs="Times New Roman"/>
          <w:i/>
          <w:lang w:val="fr-CA"/>
        </w:rPr>
        <w:t>Kotai c. « Queen of the North »</w:t>
      </w:r>
      <w:r w:rsidRPr="00DD4D5E">
        <w:rPr>
          <w:rFonts w:cs="Times New Roman"/>
          <w:i/>
          <w:lang w:val="fr-CA"/>
        </w:rPr>
        <w:t xml:space="preserve"> (The)</w:t>
      </w:r>
      <w:r w:rsidRPr="00DD4D5E">
        <w:rPr>
          <w:rFonts w:cs="Times New Roman"/>
          <w:lang w:val="fr-CA"/>
        </w:rPr>
        <w:t xml:space="preserve">, 2009 BCSC 1405, 70 C.C.L.T. (3d) 221; </w:t>
      </w:r>
      <w:r w:rsidRPr="00DD4D5E">
        <w:rPr>
          <w:rFonts w:cs="Times New Roman"/>
          <w:i/>
          <w:lang w:val="fr-CA"/>
        </w:rPr>
        <w:t>Young c. Borzoni</w:t>
      </w:r>
      <w:r w:rsidRPr="00DD4D5E">
        <w:rPr>
          <w:rFonts w:cs="Times New Roman"/>
          <w:lang w:val="fr-CA"/>
        </w:rPr>
        <w:t xml:space="preserve">, 2007 BCCA 16, 277 D.L.R. (4th) 685; </w:t>
      </w:r>
      <w:r w:rsidRPr="00DD4D5E">
        <w:rPr>
          <w:rFonts w:cs="Times New Roman"/>
          <w:i/>
          <w:lang w:val="fr-CA"/>
        </w:rPr>
        <w:t>Graham c. MacMillan</w:t>
      </w:r>
      <w:r w:rsidRPr="00DD4D5E">
        <w:rPr>
          <w:rFonts w:cs="Times New Roman"/>
          <w:lang w:val="fr-CA"/>
        </w:rPr>
        <w:t>, 2003 BCCA 90, 15 C.C.L.T. (3d) 155;</w:t>
      </w:r>
      <w:r w:rsidRPr="00DD4D5E">
        <w:rPr>
          <w:rFonts w:cs="Times New Roman"/>
          <w:i/>
          <w:lang w:val="fr-CA"/>
        </w:rPr>
        <w:t xml:space="preserve"> Koerfer c. Davies</w:t>
      </w:r>
      <w:r w:rsidRPr="00DD4D5E">
        <w:rPr>
          <w:rFonts w:cs="Times New Roman"/>
          <w:lang w:val="fr-CA"/>
        </w:rPr>
        <w:t xml:space="preserve">, [1994] O.J. No. 1408 (QL) (C.A.); </w:t>
      </w:r>
      <w:r w:rsidRPr="00DD4D5E">
        <w:rPr>
          <w:rFonts w:cs="Times New Roman"/>
          <w:i/>
          <w:lang w:val="fr-CA"/>
        </w:rPr>
        <w:t xml:space="preserve">Duwyn c. Kaprielian </w:t>
      </w:r>
      <w:r w:rsidRPr="00DD4D5E">
        <w:rPr>
          <w:rFonts w:cs="Times New Roman"/>
          <w:lang w:val="fr-CA"/>
        </w:rPr>
        <w:t>(1978), 22 O.R. (2d) 736 (C.A.)). De même, en dépit d</w:t>
      </w:r>
      <w:r>
        <w:rPr>
          <w:rFonts w:cs="Times New Roman"/>
          <w:lang w:val="fr-CA"/>
        </w:rPr>
        <w:t>’</w:t>
      </w:r>
      <w:r w:rsidRPr="00DD4D5E">
        <w:rPr>
          <w:rFonts w:cs="Times New Roman"/>
          <w:lang w:val="fr-CA"/>
        </w:rPr>
        <w:t>une certaine réticence observée dans d</w:t>
      </w:r>
      <w:r>
        <w:rPr>
          <w:rFonts w:cs="Times New Roman"/>
          <w:lang w:val="fr-CA"/>
        </w:rPr>
        <w:t>’</w:t>
      </w:r>
      <w:r w:rsidRPr="00DD4D5E">
        <w:rPr>
          <w:rFonts w:cs="Times New Roman"/>
          <w:lang w:val="fr-CA"/>
        </w:rPr>
        <w:t>autres pays du Commonwealth à subordonner l</w:t>
      </w:r>
      <w:r>
        <w:rPr>
          <w:rFonts w:cs="Times New Roman"/>
          <w:lang w:val="fr-CA"/>
        </w:rPr>
        <w:t>’</w:t>
      </w:r>
      <w:r w:rsidRPr="00DD4D5E">
        <w:rPr>
          <w:rFonts w:cs="Times New Roman"/>
          <w:lang w:val="fr-CA"/>
        </w:rPr>
        <w:t>indemnisation du préjudice mental à la présentation d</w:t>
      </w:r>
      <w:r>
        <w:rPr>
          <w:rFonts w:cs="Times New Roman"/>
          <w:lang w:val="fr-CA"/>
        </w:rPr>
        <w:t>’</w:t>
      </w:r>
      <w:r w:rsidRPr="00DD4D5E">
        <w:rPr>
          <w:rFonts w:cs="Times New Roman"/>
          <w:lang w:val="fr-CA"/>
        </w:rPr>
        <w:t>une telle preuve d</w:t>
      </w:r>
      <w:r>
        <w:rPr>
          <w:rFonts w:cs="Times New Roman"/>
          <w:lang w:val="fr-CA"/>
        </w:rPr>
        <w:t>’</w:t>
      </w:r>
      <w:r w:rsidRPr="00DD4D5E">
        <w:rPr>
          <w:rFonts w:cs="Times New Roman"/>
          <w:lang w:val="fr-CA"/>
        </w:rPr>
        <w:t xml:space="preserve">expert du domaine psychiatrique (N. J. Mullany et P. R. Handford, </w:t>
      </w:r>
      <w:r w:rsidRPr="00DD4D5E">
        <w:rPr>
          <w:rFonts w:cs="Times New Roman"/>
          <w:i/>
          <w:lang w:val="fr-CA"/>
        </w:rPr>
        <w:t>Tort Liability for Psychiatric Damage</w:t>
      </w:r>
      <w:r w:rsidRPr="00DD4D5E">
        <w:rPr>
          <w:rFonts w:cs="Times New Roman"/>
          <w:lang w:val="fr-CA"/>
        </w:rPr>
        <w:t xml:space="preserve"> (1993), p. 21), cette condition vaut désormais au Royaume</w:t>
      </w:r>
      <w:r w:rsidRPr="00DD4D5E">
        <w:rPr>
          <w:rFonts w:cs="Times New Roman"/>
          <w:lang w:val="fr-CA"/>
        </w:rPr>
        <w:noBreakHyphen/>
        <w:t>Uni, en Australie et en Nouvelle</w:t>
      </w:r>
      <w:r w:rsidRPr="00DD4D5E">
        <w:rPr>
          <w:rFonts w:cs="Times New Roman"/>
          <w:lang w:val="fr-CA"/>
        </w:rPr>
        <w:noBreakHyphen/>
        <w:t>Zélande (</w:t>
      </w:r>
      <w:r w:rsidRPr="00DD4D5E">
        <w:rPr>
          <w:rFonts w:cs="Times New Roman"/>
          <w:i/>
          <w:lang w:val="fr-CA"/>
        </w:rPr>
        <w:t>White</w:t>
      </w:r>
      <w:r w:rsidRPr="00DD4D5E">
        <w:rPr>
          <w:rFonts w:cs="Times New Roman"/>
          <w:lang w:val="fr-CA"/>
        </w:rPr>
        <w:t>,</w:t>
      </w:r>
      <w:r w:rsidRPr="00DD4D5E">
        <w:rPr>
          <w:rFonts w:cs="Times New Roman"/>
          <w:i/>
          <w:lang w:val="fr-CA"/>
        </w:rPr>
        <w:t xml:space="preserve"> </w:t>
      </w:r>
      <w:r w:rsidRPr="00DD4D5E">
        <w:rPr>
          <w:rFonts w:cs="Times New Roman"/>
          <w:lang w:val="fr-CA"/>
        </w:rPr>
        <w:t xml:space="preserve">p. 491; </w:t>
      </w:r>
      <w:r w:rsidRPr="00DD4D5E">
        <w:rPr>
          <w:rFonts w:cs="Times New Roman"/>
          <w:i/>
          <w:lang w:val="fr-CA"/>
        </w:rPr>
        <w:t>Tame</w:t>
      </w:r>
      <w:r w:rsidRPr="00DD4D5E">
        <w:rPr>
          <w:rFonts w:cs="Times New Roman"/>
          <w:lang w:val="fr-CA"/>
        </w:rPr>
        <w:t>, par. 193</w:t>
      </w:r>
      <w:r w:rsidRPr="00DD4D5E">
        <w:rPr>
          <w:rFonts w:cs="Times New Roman"/>
          <w:lang w:val="fr-CA"/>
        </w:rPr>
        <w:noBreakHyphen/>
        <w:t xml:space="preserve">194; </w:t>
      </w:r>
      <w:r w:rsidRPr="00DD4D5E">
        <w:rPr>
          <w:rFonts w:cs="Times New Roman"/>
          <w:i/>
          <w:lang w:val="fr-CA"/>
        </w:rPr>
        <w:t>van Soest c. Residual Health Management Unit</w:t>
      </w:r>
      <w:r w:rsidRPr="00DD4D5E">
        <w:rPr>
          <w:rFonts w:cs="Times New Roman"/>
          <w:lang w:val="fr-CA"/>
        </w:rPr>
        <w:t xml:space="preserve">, [1999] NZCA 206, [2000] 1 N.Z.L.R. 179, par. 65).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En résumé — et il s</w:t>
      </w:r>
      <w:r>
        <w:rPr>
          <w:rFonts w:cs="Times New Roman"/>
          <w:lang w:val="fr-CA"/>
        </w:rPr>
        <w:t>’</w:t>
      </w:r>
      <w:r w:rsidRPr="00DD4D5E">
        <w:rPr>
          <w:rFonts w:cs="Times New Roman"/>
          <w:lang w:val="fr-CA"/>
        </w:rPr>
        <w:t>agit de l</w:t>
      </w:r>
      <w:r>
        <w:rPr>
          <w:rFonts w:cs="Times New Roman"/>
          <w:lang w:val="fr-CA"/>
        </w:rPr>
        <w:t>’</w:t>
      </w:r>
      <w:r w:rsidRPr="00DD4D5E">
        <w:rPr>
          <w:rFonts w:cs="Times New Roman"/>
          <w:lang w:val="fr-CA"/>
        </w:rPr>
        <w:t>état du droit sur lequel la Cour doit aujourd</w:t>
      </w:r>
      <w:r>
        <w:rPr>
          <w:rFonts w:cs="Times New Roman"/>
          <w:lang w:val="fr-CA"/>
        </w:rPr>
        <w:t>’</w:t>
      </w:r>
      <w:r w:rsidRPr="00DD4D5E">
        <w:rPr>
          <w:rFonts w:cs="Times New Roman"/>
          <w:lang w:val="fr-CA"/>
        </w:rPr>
        <w:t>hui se prononcer —, les règles établies par les tribunaux canadiens de première instance (quoique, dois</w:t>
      </w:r>
      <w:r w:rsidRPr="00DD4D5E">
        <w:rPr>
          <w:rFonts w:cs="Times New Roman"/>
          <w:lang w:val="fr-CA"/>
        </w:rPr>
        <w:noBreakHyphen/>
        <w:t>je le rappeler, sur une base chancelante) exigent du demandeur qui prétend avoir subi un préjudice mental que celui</w:t>
      </w:r>
      <w:r w:rsidRPr="00DD4D5E">
        <w:rPr>
          <w:rFonts w:cs="Times New Roman"/>
          <w:lang w:val="fr-CA"/>
        </w:rPr>
        <w:noBreakHyphen/>
        <w:t xml:space="preserve">ci se soit manifesté à un expert </w:t>
      </w:r>
      <w:r w:rsidRPr="00DD4D5E">
        <w:rPr>
          <w:rFonts w:cs="Times New Roman"/>
          <w:lang w:val="fr-CA"/>
        </w:rPr>
        <w:lastRenderedPageBreak/>
        <w:t>psychiatrique sous la forme d</w:t>
      </w:r>
      <w:r>
        <w:rPr>
          <w:rFonts w:cs="Times New Roman"/>
          <w:lang w:val="fr-CA"/>
        </w:rPr>
        <w:t>’</w:t>
      </w:r>
      <w:r w:rsidRPr="00DD4D5E">
        <w:rPr>
          <w:rFonts w:cs="Times New Roman"/>
          <w:lang w:val="fr-CA"/>
        </w:rPr>
        <w:t xml:space="preserve">un trouble psychiatrique reconnaissable, cliniquement diagnostiqué. Ainsi, cette approche </w:t>
      </w:r>
      <w:r w:rsidRPr="00DD4D5E">
        <w:rPr>
          <w:rFonts w:cs="Times New Roman"/>
          <w:bCs/>
          <w:lang w:val="fr-CA"/>
        </w:rPr>
        <w:t>[</w:t>
      </w:r>
      <w:r w:rsidRPr="00DD4D5E">
        <w:rPr>
          <w:rFonts w:cs="Times New Roman"/>
          <w:smallCaps/>
          <w:lang w:val="fr-CA"/>
        </w:rPr>
        <w:t>traduction</w:t>
      </w:r>
      <w:r w:rsidRPr="00DD4D5E">
        <w:rPr>
          <w:rFonts w:cs="Times New Roman"/>
          <w:bCs/>
          <w:lang w:val="fr-CA"/>
        </w:rPr>
        <w:t>]</w:t>
      </w:r>
      <w:r w:rsidRPr="00DD4D5E">
        <w:rPr>
          <w:rFonts w:cs="Times New Roman"/>
          <w:lang w:val="fr-CA"/>
        </w:rPr>
        <w:t xml:space="preserve"> « s</w:t>
      </w:r>
      <w:r>
        <w:rPr>
          <w:rFonts w:cs="Times New Roman"/>
          <w:lang w:val="fr-CA"/>
        </w:rPr>
        <w:t>’</w:t>
      </w:r>
      <w:r w:rsidRPr="00DD4D5E">
        <w:rPr>
          <w:rFonts w:cs="Times New Roman"/>
          <w:lang w:val="fr-CA"/>
        </w:rPr>
        <w:t>en remet à la psychiatrie pour définir le préjudice mental ou émotionnel susceptible d</w:t>
      </w:r>
      <w:r>
        <w:rPr>
          <w:rFonts w:cs="Times New Roman"/>
          <w:lang w:val="fr-CA"/>
        </w:rPr>
        <w:t>’</w:t>
      </w:r>
      <w:r w:rsidRPr="00DD4D5E">
        <w:rPr>
          <w:rFonts w:cs="Times New Roman"/>
          <w:lang w:val="fr-CA"/>
        </w:rPr>
        <w:t>indemnisation. Ce que cette discipline décide ou non de qualifier de trouble psychiatrique délimite alors juridiquement l</w:t>
      </w:r>
      <w:r>
        <w:rPr>
          <w:rFonts w:cs="Times New Roman"/>
          <w:lang w:val="fr-CA"/>
        </w:rPr>
        <w:t>’</w:t>
      </w:r>
      <w:r w:rsidRPr="00DD4D5E">
        <w:rPr>
          <w:rFonts w:cs="Times New Roman"/>
          <w:lang w:val="fr-CA"/>
        </w:rPr>
        <w:t>indemnisation possible dans ce domaine » (</w:t>
      </w:r>
      <w:r w:rsidRPr="00DD4D5E">
        <w:rPr>
          <w:rFonts w:cs="Times New Roman"/>
          <w:i/>
          <w:lang w:val="fr-CA"/>
        </w:rPr>
        <w:t>van Soest</w:t>
      </w:r>
      <w:r w:rsidRPr="00DD4D5E">
        <w:rPr>
          <w:rFonts w:cs="Times New Roman"/>
          <w:lang w:val="fr-CA"/>
        </w:rPr>
        <w:t xml:space="preserve">, p. 205, </w:t>
      </w:r>
      <w:r w:rsidR="00496E3A">
        <w:rPr>
          <w:rFonts w:cs="Times New Roman"/>
          <w:lang w:val="fr-CA"/>
        </w:rPr>
        <w:t xml:space="preserve">le </w:t>
      </w:r>
      <w:r w:rsidRPr="00DD4D5E">
        <w:rPr>
          <w:rFonts w:cs="Times New Roman"/>
          <w:lang w:val="fr-CA"/>
        </w:rPr>
        <w:t xml:space="preserve">juge Thomas, dissident).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Cette démarche s</w:t>
      </w:r>
      <w:r>
        <w:rPr>
          <w:rFonts w:cs="Times New Roman"/>
          <w:lang w:val="fr-CA"/>
        </w:rPr>
        <w:t>’</w:t>
      </w:r>
      <w:r w:rsidRPr="00DD4D5E">
        <w:rPr>
          <w:rFonts w:cs="Times New Roman"/>
          <w:lang w:val="fr-CA"/>
        </w:rPr>
        <w:t xml:space="preserve">appuie habituellement sur un </w:t>
      </w:r>
      <w:r w:rsidRPr="00DD4D5E">
        <w:rPr>
          <w:rFonts w:cs="Times New Roman"/>
          <w:bCs/>
          <w:lang w:val="fr-CA"/>
        </w:rPr>
        <w:t>[</w:t>
      </w:r>
      <w:r w:rsidRPr="00DD4D5E">
        <w:rPr>
          <w:rFonts w:cs="Times New Roman"/>
          <w:smallCaps/>
          <w:lang w:val="fr-CA"/>
        </w:rPr>
        <w:t>traduction</w:t>
      </w:r>
      <w:r w:rsidRPr="00DD4D5E">
        <w:rPr>
          <w:rFonts w:cs="Times New Roman"/>
          <w:bCs/>
          <w:lang w:val="fr-CA"/>
        </w:rPr>
        <w:t>]</w:t>
      </w:r>
      <w:r w:rsidRPr="00DD4D5E">
        <w:rPr>
          <w:rFonts w:cs="Times New Roman"/>
          <w:lang w:val="fr-CA"/>
        </w:rPr>
        <w:t xml:space="preserve"> « consensus international important concernant la classification des troubles mentaux et les critères qui permettent de les diagnostiquer » qui se dégagerait du </w:t>
      </w:r>
      <w:r w:rsidRPr="00DD4D5E">
        <w:rPr>
          <w:rFonts w:cs="Times New Roman"/>
          <w:i/>
          <w:lang w:val="fr-CA"/>
        </w:rPr>
        <w:t>Manuel diagnostique et statistique des troubles mentaux</w:t>
      </w:r>
      <w:r w:rsidRPr="00DD4D5E">
        <w:rPr>
          <w:rFonts w:cs="Times New Roman"/>
          <w:lang w:val="fr-CA"/>
        </w:rPr>
        <w:t xml:space="preserve"> (le « DSM ») de l</w:t>
      </w:r>
      <w:r>
        <w:rPr>
          <w:rFonts w:cs="Times New Roman"/>
          <w:lang w:val="fr-CA"/>
        </w:rPr>
        <w:t>’</w:t>
      </w:r>
      <w:r w:rsidRPr="00DD4D5E">
        <w:rPr>
          <w:rFonts w:cs="Times New Roman"/>
          <w:lang w:val="fr-CA"/>
        </w:rPr>
        <w:t xml:space="preserve">Association américaine de psychiatrie et de la </w:t>
      </w:r>
      <w:r w:rsidRPr="00DD4D5E">
        <w:rPr>
          <w:rFonts w:cs="Times New Roman"/>
          <w:i/>
          <w:lang w:val="fr-CA"/>
        </w:rPr>
        <w:t>Classification statistique internationale des maladies et des problèmes de santé</w:t>
      </w:r>
      <w:r w:rsidR="00496E3A">
        <w:rPr>
          <w:rFonts w:cs="Times New Roman"/>
          <w:lang w:val="fr-CA"/>
        </w:rPr>
        <w:t xml:space="preserve"> </w:t>
      </w:r>
      <w:r w:rsidR="00496E3A" w:rsidRPr="00496E3A">
        <w:rPr>
          <w:rFonts w:cs="Times New Roman"/>
          <w:i/>
          <w:lang w:val="fr-CA"/>
        </w:rPr>
        <w:t>connexes</w:t>
      </w:r>
      <w:r w:rsidR="00496E3A">
        <w:rPr>
          <w:rFonts w:cs="Times New Roman"/>
          <w:lang w:val="fr-CA"/>
        </w:rPr>
        <w:t xml:space="preserve"> </w:t>
      </w:r>
      <w:r w:rsidRPr="00DD4D5E">
        <w:rPr>
          <w:rFonts w:cs="Times New Roman"/>
          <w:lang w:val="fr-CA"/>
        </w:rPr>
        <w:t>(la « CIM ») de l</w:t>
      </w:r>
      <w:r>
        <w:rPr>
          <w:rFonts w:cs="Times New Roman"/>
          <w:lang w:val="fr-CA"/>
        </w:rPr>
        <w:t>’</w:t>
      </w:r>
      <w:r w:rsidRPr="00DD4D5E">
        <w:rPr>
          <w:rFonts w:cs="Times New Roman"/>
          <w:lang w:val="fr-CA"/>
        </w:rPr>
        <w:t xml:space="preserve">Organisation mondiale de </w:t>
      </w:r>
      <w:r w:rsidR="00496E3A">
        <w:rPr>
          <w:rFonts w:cs="Times New Roman"/>
          <w:lang w:val="fr-CA"/>
        </w:rPr>
        <w:t>la S</w:t>
      </w:r>
      <w:r w:rsidRPr="00DD4D5E">
        <w:rPr>
          <w:rFonts w:cs="Times New Roman"/>
          <w:lang w:val="fr-CA"/>
        </w:rPr>
        <w:t xml:space="preserve">anté (Mulheron, p. 78, se référant à </w:t>
      </w:r>
      <w:r w:rsidRPr="00DD4D5E">
        <w:rPr>
          <w:rFonts w:cs="Times New Roman"/>
          <w:i/>
          <w:lang w:val="fr-CA"/>
        </w:rPr>
        <w:t>Sutherland c. Hatton</w:t>
      </w:r>
      <w:r w:rsidRPr="00DD4D5E">
        <w:rPr>
          <w:rFonts w:cs="Times New Roman"/>
          <w:lang w:val="fr-CA"/>
        </w:rPr>
        <w:t>, [2002] EWCA Civ 76, [2002] 2 All E.R. 1, lord juge Hale (maintenant juge de la Cour suprême du Royaume</w:t>
      </w:r>
      <w:r w:rsidRPr="00DD4D5E">
        <w:rPr>
          <w:rFonts w:cs="Times New Roman"/>
          <w:lang w:val="fr-CA"/>
        </w:rPr>
        <w:noBreakHyphen/>
        <w:t>Uni); voir également Bélanger</w:t>
      </w:r>
      <w:r w:rsidRPr="00DD4D5E">
        <w:rPr>
          <w:rFonts w:cs="Times New Roman"/>
          <w:lang w:val="fr-CA"/>
        </w:rPr>
        <w:noBreakHyphen/>
        <w:t>Hardy, p. 586). Le</w:t>
      </w:r>
      <w:r w:rsidR="00464834">
        <w:rPr>
          <w:rFonts w:cs="Times New Roman"/>
          <w:lang w:val="fr-CA"/>
        </w:rPr>
        <w:t xml:space="preserve"> DSM, qui en est à sa 5</w:t>
      </w:r>
      <w:r w:rsidR="00464834" w:rsidRPr="00464834">
        <w:rPr>
          <w:rFonts w:cs="Times New Roman"/>
          <w:vertAlign w:val="superscript"/>
          <w:lang w:val="fr-CA"/>
        </w:rPr>
        <w:t>e</w:t>
      </w:r>
      <w:r w:rsidR="00464834">
        <w:rPr>
          <w:rFonts w:cs="Times New Roman"/>
          <w:lang w:val="fr-CA"/>
        </w:rPr>
        <w:t xml:space="preserve"> </w:t>
      </w:r>
      <w:r w:rsidRPr="00DD4D5E">
        <w:rPr>
          <w:rFonts w:cs="Times New Roman"/>
          <w:lang w:val="fr-CA"/>
        </w:rPr>
        <w:t>édition (2</w:t>
      </w:r>
      <w:r w:rsidR="00496E3A">
        <w:rPr>
          <w:rFonts w:cs="Times New Roman"/>
          <w:lang w:val="fr-CA"/>
        </w:rPr>
        <w:t>015</w:t>
      </w:r>
      <w:r w:rsidRPr="00DD4D5E">
        <w:rPr>
          <w:rFonts w:cs="Times New Roman"/>
          <w:lang w:val="fr-CA"/>
        </w:rPr>
        <w:t>), énonce les critères qui permettent de diagnostiquer les troubles mentaux</w:t>
      </w:r>
      <w:r w:rsidR="00496E3A">
        <w:rPr>
          <w:rFonts w:cs="Times New Roman"/>
          <w:lang w:val="fr-CA"/>
        </w:rPr>
        <w:t xml:space="preserve"> et répertorie ceux-ci</w:t>
      </w:r>
      <w:r w:rsidRPr="00DD4D5E">
        <w:rPr>
          <w:rFonts w:cs="Times New Roman"/>
          <w:lang w:val="fr-CA"/>
        </w:rPr>
        <w:t>, tandis que la CIM (qui en</w:t>
      </w:r>
      <w:r w:rsidR="00464834">
        <w:rPr>
          <w:rFonts w:cs="Times New Roman"/>
          <w:lang w:val="fr-CA"/>
        </w:rPr>
        <w:t xml:space="preserve"> est à sa 10</w:t>
      </w:r>
      <w:r w:rsidR="00464834" w:rsidRPr="00464834">
        <w:rPr>
          <w:rFonts w:cs="Times New Roman"/>
          <w:vertAlign w:val="superscript"/>
          <w:lang w:val="fr-CA"/>
        </w:rPr>
        <w:t>e</w:t>
      </w:r>
      <w:r w:rsidR="00496E3A">
        <w:rPr>
          <w:rFonts w:cs="Times New Roman"/>
          <w:lang w:val="fr-CA"/>
        </w:rPr>
        <w:t xml:space="preserve"> révision (1993</w:t>
      </w:r>
      <w:r w:rsidRPr="00DD4D5E">
        <w:rPr>
          <w:rFonts w:cs="Times New Roman"/>
          <w:lang w:val="fr-CA"/>
        </w:rPr>
        <w:t>)) renferme la classification de toutes les maladies sur une base statistique (y compris les « troubles mentaux et du comportement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Or, n</w:t>
      </w:r>
      <w:r>
        <w:rPr>
          <w:rFonts w:cs="Times New Roman"/>
          <w:lang w:val="fr-CA"/>
        </w:rPr>
        <w:t>’</w:t>
      </w:r>
      <w:r w:rsidRPr="00DD4D5E">
        <w:rPr>
          <w:rFonts w:cs="Times New Roman"/>
          <w:lang w:val="fr-CA"/>
        </w:rPr>
        <w:t>indemniser le préjudice mental que s</w:t>
      </w:r>
      <w:r>
        <w:rPr>
          <w:rFonts w:cs="Times New Roman"/>
          <w:lang w:val="fr-CA"/>
        </w:rPr>
        <w:t>’</w:t>
      </w:r>
      <w:r w:rsidRPr="00DD4D5E">
        <w:rPr>
          <w:rFonts w:cs="Times New Roman"/>
          <w:lang w:val="fr-CA"/>
        </w:rPr>
        <w:t>il correspond à un état susceptible d</w:t>
      </w:r>
      <w:r>
        <w:rPr>
          <w:rFonts w:cs="Times New Roman"/>
          <w:lang w:val="fr-CA"/>
        </w:rPr>
        <w:t>’</w:t>
      </w:r>
      <w:r w:rsidRPr="00DD4D5E">
        <w:rPr>
          <w:rFonts w:cs="Times New Roman"/>
          <w:lang w:val="fr-CA"/>
        </w:rPr>
        <w:t xml:space="preserve">être déterminé au moyen de ces outils diagnostiques se révèle </w:t>
      </w:r>
      <w:r w:rsidRPr="00DD4D5E">
        <w:rPr>
          <w:rFonts w:cs="Times New Roman"/>
          <w:lang w:val="fr-CA"/>
        </w:rPr>
        <w:lastRenderedPageBreak/>
        <w:t>intrinsèquement suspect sur le plan de la méthodologie juridique. Un diagnostic précis est assurément important sous l</w:t>
      </w:r>
      <w:r>
        <w:rPr>
          <w:rFonts w:cs="Times New Roman"/>
          <w:lang w:val="fr-CA"/>
        </w:rPr>
        <w:t>’</w:t>
      </w:r>
      <w:r w:rsidRPr="00DD4D5E">
        <w:rPr>
          <w:rFonts w:cs="Times New Roman"/>
          <w:lang w:val="fr-CA"/>
        </w:rPr>
        <w:t>angle thérapeutique, mais le juge des faits appelé à statuer sur une allégation de préjudice mental ne s</w:t>
      </w:r>
      <w:r>
        <w:rPr>
          <w:rFonts w:cs="Times New Roman"/>
          <w:lang w:val="fr-CA"/>
        </w:rPr>
        <w:t>’</w:t>
      </w:r>
      <w:r w:rsidRPr="00DD4D5E">
        <w:rPr>
          <w:rFonts w:cs="Times New Roman"/>
          <w:lang w:val="fr-CA"/>
        </w:rPr>
        <w:t>intéresse pas au diagnostic, mais aux symptômes et à leurs conséquences (Mulheron, p. 88). Dit simplement, point n</w:t>
      </w:r>
      <w:r>
        <w:rPr>
          <w:rFonts w:cs="Times New Roman"/>
          <w:lang w:val="fr-CA"/>
        </w:rPr>
        <w:t>’</w:t>
      </w:r>
      <w:r w:rsidRPr="00DD4D5E">
        <w:rPr>
          <w:rFonts w:cs="Times New Roman"/>
          <w:lang w:val="fr-CA"/>
        </w:rPr>
        <w:t>est besoin d</w:t>
      </w:r>
      <w:r>
        <w:rPr>
          <w:rFonts w:cs="Times New Roman"/>
          <w:lang w:val="fr-CA"/>
        </w:rPr>
        <w:t>’</w:t>
      </w:r>
      <w:r w:rsidRPr="00DD4D5E">
        <w:rPr>
          <w:rFonts w:cs="Times New Roman"/>
          <w:lang w:val="fr-CA"/>
        </w:rPr>
        <w:t>établir un lien entre le préjudice mental raisonnablement prévisible et un système de classification permettant le diagnostic. Le juge Thomas dit d</w:t>
      </w:r>
      <w:r>
        <w:rPr>
          <w:rFonts w:cs="Times New Roman"/>
          <w:lang w:val="fr-CA"/>
        </w:rPr>
        <w:t>’</w:t>
      </w:r>
      <w:r w:rsidRPr="00DD4D5E">
        <w:rPr>
          <w:rFonts w:cs="Times New Roman"/>
          <w:lang w:val="fr-CA"/>
        </w:rPr>
        <w:t>ailleurs dans l</w:t>
      </w:r>
      <w:r>
        <w:rPr>
          <w:rFonts w:cs="Times New Roman"/>
          <w:lang w:val="fr-CA"/>
        </w:rPr>
        <w:t>’</w:t>
      </w:r>
      <w:r w:rsidRPr="00DD4D5E">
        <w:rPr>
          <w:rFonts w:cs="Times New Roman"/>
          <w:lang w:val="fr-CA"/>
        </w:rPr>
        <w:t xml:space="preserve">arrêt </w:t>
      </w:r>
      <w:r w:rsidRPr="00DD4D5E">
        <w:rPr>
          <w:rFonts w:cs="Times New Roman"/>
          <w:i/>
          <w:lang w:val="fr-CA"/>
        </w:rPr>
        <w:t>van Soest</w:t>
      </w:r>
      <w:r w:rsidRPr="00DD4D5E">
        <w:rPr>
          <w:rFonts w:cs="Times New Roman"/>
          <w:lang w:val="fr-CA"/>
        </w:rPr>
        <w:t xml:space="preserve"> (p</w:t>
      </w:r>
      <w:r>
        <w:rPr>
          <w:rFonts w:cs="Times New Roman"/>
          <w:lang w:val="fr-CA"/>
        </w:rPr>
        <w:t>ar</w:t>
      </w:r>
      <w:r w:rsidRPr="00DD4D5E">
        <w:rPr>
          <w:rFonts w:cs="Times New Roman"/>
          <w:lang w:val="fr-CA"/>
        </w:rPr>
        <w:t>. 100) qu</w:t>
      </w:r>
      <w:r>
        <w:rPr>
          <w:rFonts w:cs="Times New Roman"/>
          <w:lang w:val="fr-CA"/>
        </w:rPr>
        <w:t>’</w:t>
      </w:r>
      <w:r w:rsidRPr="00DD4D5E">
        <w:rPr>
          <w:rFonts w:cs="Times New Roman"/>
          <w:lang w:val="fr-CA"/>
        </w:rPr>
        <w:t xml:space="preserve">il suffit de prouver que le défendeur négligent a prévu le </w:t>
      </w:r>
      <w:r w:rsidRPr="00DD4D5E">
        <w:rPr>
          <w:rFonts w:cs="Times New Roman"/>
          <w:i/>
          <w:lang w:val="fr-CA"/>
        </w:rPr>
        <w:t>préjudice</w:t>
      </w:r>
      <w:r w:rsidRPr="00DD4D5E">
        <w:rPr>
          <w:rFonts w:cs="Times New Roman"/>
          <w:lang w:val="fr-CA"/>
        </w:rPr>
        <w:t xml:space="preserve">, pas un </w:t>
      </w:r>
      <w:r w:rsidRPr="00DD4D5E">
        <w:rPr>
          <w:rFonts w:cs="Times New Roman"/>
          <w:i/>
          <w:lang w:val="fr-CA"/>
        </w:rPr>
        <w:t>trouble psychiatrique en particulier</w:t>
      </w:r>
      <w:r w:rsidRPr="00DD4D5E">
        <w:rPr>
          <w:rFonts w:cs="Times New Roman"/>
          <w:lang w:val="fr-CA"/>
        </w:rPr>
        <w:t xml:space="preserve"> dûment répertorié. Autrement dit, l</w:t>
      </w:r>
      <w:r>
        <w:rPr>
          <w:rFonts w:cs="Times New Roman"/>
          <w:lang w:val="fr-CA"/>
        </w:rPr>
        <w:t>’</w:t>
      </w:r>
      <w:r w:rsidRPr="00DD4D5E">
        <w:rPr>
          <w:rFonts w:cs="Times New Roman"/>
          <w:lang w:val="fr-CA"/>
        </w:rPr>
        <w:t>examen du juge des faits doit porter sur l</w:t>
      </w:r>
      <w:r>
        <w:rPr>
          <w:rFonts w:cs="Times New Roman"/>
          <w:lang w:val="fr-CA"/>
        </w:rPr>
        <w:t>’</w:t>
      </w:r>
      <w:r w:rsidRPr="00DD4D5E">
        <w:rPr>
          <w:rFonts w:cs="Times New Roman"/>
          <w:lang w:val="fr-CA"/>
        </w:rPr>
        <w:t>ampleur du préjudice infligé au demandeur par ses symptômes, non sur l</w:t>
      </w:r>
      <w:r>
        <w:rPr>
          <w:rFonts w:cs="Times New Roman"/>
          <w:lang w:val="fr-CA"/>
        </w:rPr>
        <w:t>’</w:t>
      </w:r>
      <w:r w:rsidRPr="00DD4D5E">
        <w:rPr>
          <w:rFonts w:cs="Times New Roman"/>
          <w:lang w:val="fr-CA"/>
        </w:rPr>
        <w:t>appellation qui pourrait y être accolée. S</w:t>
      </w:r>
      <w:r>
        <w:rPr>
          <w:rFonts w:cs="Times New Roman"/>
          <w:lang w:val="fr-CA"/>
        </w:rPr>
        <w:t>’</w:t>
      </w:r>
      <w:r w:rsidRPr="00DD4D5E">
        <w:rPr>
          <w:rFonts w:cs="Times New Roman"/>
          <w:lang w:val="fr-CA"/>
        </w:rPr>
        <w:t>en remettre au DSM ou à la CIM pour décider en droit si un préjudice mental est indemnisable ou non revient donc à introduire dans la démarche un contrôle arbitraire qui rend l</w:t>
      </w:r>
      <w:r>
        <w:rPr>
          <w:rFonts w:cs="Times New Roman"/>
          <w:lang w:val="fr-CA"/>
        </w:rPr>
        <w:t>’</w:t>
      </w:r>
      <w:r w:rsidRPr="00DD4D5E">
        <w:rPr>
          <w:rFonts w:cs="Times New Roman"/>
          <w:lang w:val="fr-CA"/>
        </w:rPr>
        <w:t>indemnisation tributaire non pas de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 xml:space="preserve">un fondement juridique raisonné axé sur le </w:t>
      </w:r>
      <w:r w:rsidRPr="00DD4D5E">
        <w:rPr>
          <w:rFonts w:cs="Times New Roman"/>
          <w:i/>
          <w:lang w:val="fr-CA"/>
        </w:rPr>
        <w:t xml:space="preserve">préjudice </w:t>
      </w:r>
      <w:r w:rsidRPr="00DD4D5E">
        <w:rPr>
          <w:rFonts w:cs="Times New Roman"/>
          <w:lang w:val="fr-CA"/>
        </w:rPr>
        <w:t>allégué, mais bien de la conformité à un système de classification sans pertinence juridique conçu pour faciliter la détermination d</w:t>
      </w:r>
      <w:r>
        <w:rPr>
          <w:rFonts w:cs="Times New Roman"/>
          <w:lang w:val="fr-CA"/>
        </w:rPr>
        <w:t>’</w:t>
      </w:r>
      <w:r w:rsidRPr="00DD4D5E">
        <w:rPr>
          <w:rFonts w:cs="Times New Roman"/>
          <w:i/>
          <w:lang w:val="fr-CA"/>
        </w:rPr>
        <w:t>états particuliers</w:t>
      </w:r>
      <w:r w:rsidRPr="00DD4D5E">
        <w:rPr>
          <w:rFonts w:cs="Times New Roman"/>
          <w:lang w:val="fr-CA"/>
        </w:rPr>
        <w:t xml:space="preserve"> (L. Bélanger</w:t>
      </w:r>
      <w:r w:rsidRPr="00DD4D5E">
        <w:rPr>
          <w:rFonts w:cs="Times New Roman"/>
          <w:lang w:val="fr-CA"/>
        </w:rPr>
        <w:noBreakHyphen/>
        <w:t>Hardy, « Thresholds of Actionable Mental Harm in Negligence</w:t>
      </w:r>
      <w:r w:rsidR="00496E3A">
        <w:rPr>
          <w:rFonts w:cs="Times New Roman"/>
          <w:lang w:val="fr-CA"/>
        </w:rPr>
        <w:t xml:space="preserve"> </w:t>
      </w:r>
      <w:r w:rsidRPr="00DD4D5E">
        <w:rPr>
          <w:rFonts w:cs="Times New Roman"/>
          <w:lang w:val="fr-CA"/>
        </w:rPr>
        <w:t>: A Policy</w:t>
      </w:r>
      <w:r w:rsidRPr="00DD4D5E">
        <w:rPr>
          <w:rFonts w:cs="Times New Roman"/>
          <w:lang w:val="fr-CA"/>
        </w:rPr>
        <w:noBreakHyphen/>
        <w:t xml:space="preserve">Based Analysis » (2013), 36 </w:t>
      </w:r>
      <w:r w:rsidRPr="00DD4D5E">
        <w:rPr>
          <w:rFonts w:cs="Times New Roman"/>
          <w:i/>
          <w:lang w:val="fr-CA"/>
        </w:rPr>
        <w:t>Dal. L.J.</w:t>
      </w:r>
      <w:r w:rsidRPr="00DD4D5E">
        <w:rPr>
          <w:rFonts w:cs="Times New Roman"/>
          <w:lang w:val="fr-CA"/>
        </w:rPr>
        <w:t xml:space="preserve"> 103, p. 113</w:t>
      </w:r>
      <w:r w:rsidRPr="00DD4D5E">
        <w:rPr>
          <w:rFonts w:cs="Times New Roman"/>
          <w:lang w:val="fr-CA"/>
        </w:rPr>
        <w:noBreakHyphen/>
        <w:t>115: Mulheron, p. 87</w:t>
      </w:r>
      <w:r w:rsidRPr="00DD4D5E">
        <w:rPr>
          <w:rFonts w:cs="Times New Roman"/>
          <w:lang w:val="fr-CA"/>
        </w:rPr>
        <w:noBreakHyphen/>
        <w:t xml:space="preserve">88).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Pour justifier le recours au DSM ou à la CIM dans les affaires d</w:t>
      </w:r>
      <w:r>
        <w:rPr>
          <w:rFonts w:cs="Times New Roman"/>
          <w:lang w:val="fr-CA"/>
        </w:rPr>
        <w:t>’</w:t>
      </w:r>
      <w:r w:rsidRPr="00DD4D5E">
        <w:rPr>
          <w:rFonts w:cs="Times New Roman"/>
          <w:lang w:val="fr-CA"/>
        </w:rPr>
        <w:t>indemnisation d</w:t>
      </w:r>
      <w:r>
        <w:rPr>
          <w:rFonts w:cs="Times New Roman"/>
          <w:lang w:val="fr-CA"/>
        </w:rPr>
        <w:t>’</w:t>
      </w:r>
      <w:r w:rsidRPr="00DD4D5E">
        <w:rPr>
          <w:rFonts w:cs="Times New Roman"/>
          <w:lang w:val="fr-CA"/>
        </w:rPr>
        <w:t>un préjudice mental, certains ont soutenu qu</w:t>
      </w:r>
      <w:r>
        <w:rPr>
          <w:rFonts w:cs="Times New Roman"/>
          <w:lang w:val="fr-CA"/>
        </w:rPr>
        <w:t>’</w:t>
      </w:r>
      <w:r w:rsidRPr="00DD4D5E">
        <w:rPr>
          <w:rFonts w:cs="Times New Roman"/>
          <w:lang w:val="fr-CA"/>
        </w:rPr>
        <w:t>il favorisait l</w:t>
      </w:r>
      <w:r>
        <w:rPr>
          <w:rFonts w:cs="Times New Roman"/>
          <w:lang w:val="fr-CA"/>
        </w:rPr>
        <w:t>’</w:t>
      </w:r>
      <w:r w:rsidRPr="00DD4D5E">
        <w:rPr>
          <w:rFonts w:cs="Times New Roman"/>
          <w:lang w:val="fr-CA"/>
        </w:rPr>
        <w:t>objectivité, la certitude et la prévisibilité, ou encore, qu</w:t>
      </w:r>
      <w:r>
        <w:rPr>
          <w:rFonts w:cs="Times New Roman"/>
          <w:lang w:val="fr-CA"/>
        </w:rPr>
        <w:t>’</w:t>
      </w:r>
      <w:r w:rsidRPr="00DD4D5E">
        <w:rPr>
          <w:rFonts w:cs="Times New Roman"/>
          <w:lang w:val="fr-CA"/>
        </w:rPr>
        <w:t>il faisait obstacle à la « responsabilité indéterminée » (</w:t>
      </w:r>
      <w:r w:rsidRPr="00DD4D5E">
        <w:rPr>
          <w:rFonts w:cs="Times New Roman"/>
          <w:i/>
          <w:lang w:val="fr-CA"/>
        </w:rPr>
        <w:t>Tame</w:t>
      </w:r>
      <w:r w:rsidRPr="00DD4D5E">
        <w:rPr>
          <w:rFonts w:cs="Times New Roman"/>
          <w:lang w:val="fr-CA"/>
        </w:rPr>
        <w:t>, par. 193</w:t>
      </w:r>
      <w:r w:rsidRPr="00DD4D5E">
        <w:rPr>
          <w:rFonts w:cs="Times New Roman"/>
          <w:lang w:val="fr-CA"/>
        </w:rPr>
        <w:noBreakHyphen/>
        <w:t xml:space="preserve">194, </w:t>
      </w:r>
      <w:r w:rsidRPr="00DD4D5E">
        <w:rPr>
          <w:rFonts w:cs="Times New Roman"/>
          <w:i/>
          <w:lang w:val="fr-CA"/>
        </w:rPr>
        <w:t>Healey</w:t>
      </w:r>
      <w:r w:rsidRPr="00DD4D5E">
        <w:rPr>
          <w:rFonts w:cs="Times New Roman"/>
          <w:lang w:val="fr-CA"/>
        </w:rPr>
        <w:t xml:space="preserve">, par. 65; </w:t>
      </w:r>
      <w:r w:rsidRPr="00DD4D5E">
        <w:rPr>
          <w:rFonts w:cs="Times New Roman"/>
          <w:i/>
          <w:lang w:val="fr-CA"/>
        </w:rPr>
        <w:t xml:space="preserve">Queen of the </w:t>
      </w:r>
      <w:r w:rsidRPr="00DD4D5E">
        <w:rPr>
          <w:rFonts w:cs="Times New Roman"/>
          <w:i/>
          <w:lang w:val="fr-CA"/>
        </w:rPr>
        <w:lastRenderedPageBreak/>
        <w:t>North</w:t>
      </w:r>
      <w:r w:rsidRPr="00DD4D5E">
        <w:rPr>
          <w:rFonts w:cs="Times New Roman"/>
          <w:lang w:val="fr-CA"/>
        </w:rPr>
        <w:t>, par. 68). Or, ces justifications ne résistent pas à l</w:t>
      </w:r>
      <w:r>
        <w:rPr>
          <w:rFonts w:cs="Times New Roman"/>
          <w:lang w:val="fr-CA"/>
        </w:rPr>
        <w:t>’</w:t>
      </w:r>
      <w:r w:rsidRPr="00DD4D5E">
        <w:rPr>
          <w:rFonts w:cs="Times New Roman"/>
          <w:lang w:val="fr-CA"/>
        </w:rPr>
        <w:t>analyse. En fait, on exagère selon moi l</w:t>
      </w:r>
      <w:r>
        <w:rPr>
          <w:rFonts w:cs="Times New Roman"/>
          <w:lang w:val="fr-CA"/>
        </w:rPr>
        <w:t>’</w:t>
      </w:r>
      <w:r w:rsidRPr="00DD4D5E">
        <w:rPr>
          <w:rFonts w:cs="Times New Roman"/>
          <w:lang w:val="fr-CA"/>
        </w:rPr>
        <w:t>importance de l</w:t>
      </w:r>
      <w:r>
        <w:rPr>
          <w:rFonts w:cs="Times New Roman"/>
          <w:lang w:val="fr-CA"/>
        </w:rPr>
        <w:t>’</w:t>
      </w:r>
      <w:r w:rsidRPr="00DD4D5E">
        <w:rPr>
          <w:rFonts w:cs="Times New Roman"/>
          <w:lang w:val="fr-CA"/>
        </w:rPr>
        <w:t>objectivité, de la certitude et de la prévisibilité qui découleraient de l</w:t>
      </w:r>
      <w:r>
        <w:rPr>
          <w:rFonts w:cs="Times New Roman"/>
          <w:lang w:val="fr-CA"/>
        </w:rPr>
        <w:t>’</w:t>
      </w:r>
      <w:r w:rsidRPr="00DD4D5E">
        <w:rPr>
          <w:rFonts w:cs="Times New Roman"/>
          <w:lang w:val="fr-CA"/>
        </w:rPr>
        <w:t>obligation d</w:t>
      </w:r>
      <w:r>
        <w:rPr>
          <w:rFonts w:cs="Times New Roman"/>
          <w:lang w:val="fr-CA"/>
        </w:rPr>
        <w:t>’</w:t>
      </w:r>
      <w:r w:rsidRPr="00DD4D5E">
        <w:rPr>
          <w:rFonts w:cs="Times New Roman"/>
          <w:lang w:val="fr-CA"/>
        </w:rPr>
        <w:t>établir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trouble psychologique reconnaissable. Le diagnostic d</w:t>
      </w:r>
      <w:r>
        <w:rPr>
          <w:rFonts w:cs="Times New Roman"/>
          <w:lang w:val="fr-CA"/>
        </w:rPr>
        <w:t>’</w:t>
      </w:r>
      <w:r w:rsidRPr="00DD4D5E">
        <w:rPr>
          <w:rFonts w:cs="Times New Roman"/>
          <w:lang w:val="fr-CA"/>
        </w:rPr>
        <w:t>un trouble psychiatrique, comme celui d</w:t>
      </w:r>
      <w:r>
        <w:rPr>
          <w:rFonts w:cs="Times New Roman"/>
          <w:lang w:val="fr-CA"/>
        </w:rPr>
        <w:t>’</w:t>
      </w:r>
      <w:r w:rsidRPr="00DD4D5E">
        <w:rPr>
          <w:rFonts w:cs="Times New Roman"/>
          <w:lang w:val="fr-CA"/>
        </w:rPr>
        <w:t>une maladie ou d</w:t>
      </w:r>
      <w:r>
        <w:rPr>
          <w:rFonts w:cs="Times New Roman"/>
          <w:lang w:val="fr-CA"/>
        </w:rPr>
        <w:t>’</w:t>
      </w:r>
      <w:r w:rsidRPr="00DD4D5E">
        <w:rPr>
          <w:rFonts w:cs="Times New Roman"/>
          <w:lang w:val="fr-CA"/>
        </w:rPr>
        <w:t>un préjudice physique, peut parfois être source de désaccord même chez les médecins traitants (M. A. Jones, « Liability for Psychiatric Damage</w:t>
      </w:r>
      <w:r w:rsidR="00496E3A">
        <w:rPr>
          <w:rFonts w:cs="Times New Roman"/>
          <w:lang w:val="fr-CA"/>
        </w:rPr>
        <w:t xml:space="preserve"> </w:t>
      </w:r>
      <w:r w:rsidRPr="00DD4D5E">
        <w:rPr>
          <w:rFonts w:cs="Times New Roman"/>
          <w:lang w:val="fr-CA"/>
        </w:rPr>
        <w:t xml:space="preserve">: Searching for a Path between Pragmatism and Principle », </w:t>
      </w:r>
      <w:r w:rsidR="00496E3A">
        <w:rPr>
          <w:rFonts w:cs="Times New Roman"/>
          <w:lang w:val="fr-CA"/>
        </w:rPr>
        <w:t>dans</w:t>
      </w:r>
      <w:r w:rsidRPr="00DD4D5E">
        <w:rPr>
          <w:rFonts w:cs="Times New Roman"/>
          <w:lang w:val="fr-CA"/>
        </w:rPr>
        <w:t xml:space="preserve"> J. W. Neyers, E. Chamberlain et S. G. A. Pitel, dir., </w:t>
      </w:r>
      <w:r w:rsidRPr="00DD4D5E">
        <w:rPr>
          <w:rFonts w:cs="Times New Roman"/>
          <w:i/>
          <w:lang w:val="fr-CA"/>
        </w:rPr>
        <w:t>Emerging Issues in Tort</w:t>
      </w:r>
      <w:r w:rsidRPr="00DD4D5E">
        <w:rPr>
          <w:rFonts w:cs="Times New Roman"/>
          <w:lang w:val="fr-CA"/>
        </w:rPr>
        <w:t xml:space="preserve"> </w:t>
      </w:r>
      <w:r w:rsidRPr="00DD4D5E">
        <w:rPr>
          <w:rFonts w:cs="Times New Roman"/>
          <w:i/>
          <w:lang w:val="fr-CA"/>
        </w:rPr>
        <w:t xml:space="preserve">Law </w:t>
      </w:r>
      <w:r w:rsidRPr="00DD4D5E">
        <w:rPr>
          <w:rFonts w:cs="Times New Roman"/>
          <w:lang w:val="fr-CA"/>
        </w:rPr>
        <w:t>(2007)</w:t>
      </w:r>
      <w:r w:rsidR="00496E3A">
        <w:rPr>
          <w:rFonts w:cs="Times New Roman"/>
          <w:lang w:val="fr-CA"/>
        </w:rPr>
        <w:t>,</w:t>
      </w:r>
      <w:r w:rsidRPr="00DD4D5E">
        <w:rPr>
          <w:rFonts w:cs="Times New Roman"/>
          <w:lang w:val="fr-CA"/>
        </w:rPr>
        <w:t xml:space="preserve"> 113, p. 131). Dès lors, les troubles répertoriés dans le DSM ne sont pas immuables et sont révisés en permanence pour rendre compte de l</w:t>
      </w:r>
      <w:r>
        <w:rPr>
          <w:rFonts w:cs="Times New Roman"/>
          <w:lang w:val="fr-CA"/>
        </w:rPr>
        <w:t>’</w:t>
      </w:r>
      <w:r w:rsidRPr="00DD4D5E">
        <w:rPr>
          <w:rFonts w:cs="Times New Roman"/>
          <w:lang w:val="fr-CA"/>
        </w:rPr>
        <w:t>évolution du consensus psychiatrique sur la classification des troubles psychiatriques. Certaines qualifications largement acceptées peuvent en effet devenir désuètes. Ainsi, le DSM (DSM</w:t>
      </w:r>
      <w:r w:rsidRPr="00DD4D5E">
        <w:rPr>
          <w:rFonts w:cs="Times New Roman"/>
          <w:lang w:val="fr-CA"/>
        </w:rPr>
        <w:noBreakHyphen/>
        <w:t>II) a considéré l</w:t>
      </w:r>
      <w:r>
        <w:rPr>
          <w:rFonts w:cs="Times New Roman"/>
          <w:lang w:val="fr-CA"/>
        </w:rPr>
        <w:t>’</w:t>
      </w:r>
      <w:r w:rsidRPr="00DD4D5E">
        <w:rPr>
          <w:rFonts w:cs="Times New Roman"/>
          <w:lang w:val="fr-CA"/>
        </w:rPr>
        <w:t>homosexualité comme un trouble psychiatrique jusqu</w:t>
      </w:r>
      <w:r>
        <w:rPr>
          <w:rFonts w:cs="Times New Roman"/>
          <w:lang w:val="fr-CA"/>
        </w:rPr>
        <w:t>’</w:t>
      </w:r>
      <w:r w:rsidRPr="00DD4D5E">
        <w:rPr>
          <w:rFonts w:cs="Times New Roman"/>
          <w:lang w:val="fr-CA"/>
        </w:rPr>
        <w:t>en 1973; il l</w:t>
      </w:r>
      <w:r>
        <w:rPr>
          <w:rFonts w:cs="Times New Roman"/>
          <w:lang w:val="fr-CA"/>
        </w:rPr>
        <w:t>’</w:t>
      </w:r>
      <w:r w:rsidRPr="00DD4D5E">
        <w:rPr>
          <w:rFonts w:cs="Times New Roman"/>
          <w:lang w:val="fr-CA"/>
        </w:rPr>
        <w:t>a ensuite qualifiée de [</w:t>
      </w:r>
      <w:r w:rsidRPr="00DD4D5E">
        <w:rPr>
          <w:rFonts w:cs="Times New Roman"/>
          <w:smallCaps/>
          <w:lang w:val="fr-CA"/>
        </w:rPr>
        <w:t>traduction</w:t>
      </w:r>
      <w:r w:rsidRPr="00DD4D5E">
        <w:rPr>
          <w:rFonts w:cs="Times New Roman"/>
          <w:lang w:val="fr-CA"/>
        </w:rPr>
        <w:t>] « trouble de l</w:t>
      </w:r>
      <w:r>
        <w:rPr>
          <w:rFonts w:cs="Times New Roman"/>
          <w:lang w:val="fr-CA"/>
        </w:rPr>
        <w:t>’</w:t>
      </w:r>
      <w:r w:rsidRPr="00DD4D5E">
        <w:rPr>
          <w:rFonts w:cs="Times New Roman"/>
          <w:lang w:val="fr-CA"/>
        </w:rPr>
        <w:t>orientation sexuelle » chez les personnes qui vivaient une sorte de conflit intérieur vis</w:t>
      </w:r>
      <w:r w:rsidRPr="00DD4D5E">
        <w:rPr>
          <w:rFonts w:cs="Times New Roman"/>
          <w:lang w:val="fr-CA"/>
        </w:rPr>
        <w:noBreakHyphen/>
        <w:t>à</w:t>
      </w:r>
      <w:r w:rsidRPr="00DD4D5E">
        <w:rPr>
          <w:rFonts w:cs="Times New Roman"/>
          <w:lang w:val="fr-CA"/>
        </w:rPr>
        <w:noBreakHyphen/>
        <w:t>vis de leur orientation sexuelle; dans le DSM</w:t>
      </w:r>
      <w:r w:rsidRPr="00DD4D5E">
        <w:rPr>
          <w:rFonts w:cs="Times New Roman"/>
          <w:lang w:val="fr-CA"/>
        </w:rPr>
        <w:noBreakHyphen/>
        <w:t>III, cette q</w:t>
      </w:r>
      <w:r w:rsidR="00496E3A">
        <w:rPr>
          <w:rFonts w:cs="Times New Roman"/>
          <w:lang w:val="fr-CA"/>
        </w:rPr>
        <w:t xml:space="preserve">ualification est remplacée par </w:t>
      </w:r>
      <w:r w:rsidRPr="00DD4D5E">
        <w:rPr>
          <w:rFonts w:cs="Times New Roman"/>
          <w:lang w:val="fr-CA"/>
        </w:rPr>
        <w:t>« homosexualité égo</w:t>
      </w:r>
      <w:r w:rsidRPr="00DD4D5E">
        <w:rPr>
          <w:rFonts w:cs="Times New Roman"/>
          <w:lang w:val="fr-CA"/>
        </w:rPr>
        <w:noBreakHyphen/>
        <w:t xml:space="preserve">dystonique », laquelle a été retirée en 1987 (J. Drescher, « Out of DSM : Depathologizing Homosexuality » (2015), 5 </w:t>
      </w:r>
      <w:r w:rsidRPr="00DD4D5E">
        <w:rPr>
          <w:rFonts w:cs="Times New Roman"/>
          <w:i/>
          <w:lang w:val="fr-CA"/>
        </w:rPr>
        <w:t>Behav. Sci.</w:t>
      </w:r>
      <w:r w:rsidRPr="00DD4D5E">
        <w:rPr>
          <w:rFonts w:cs="Times New Roman"/>
          <w:lang w:val="fr-CA"/>
        </w:rPr>
        <w:t xml:space="preserve"> 565, p. 571). En ce qui concerne la CIM, l</w:t>
      </w:r>
      <w:r>
        <w:rPr>
          <w:rFonts w:cs="Times New Roman"/>
          <w:lang w:val="fr-CA"/>
        </w:rPr>
        <w:t>’</w:t>
      </w:r>
      <w:r w:rsidRPr="00DD4D5E">
        <w:rPr>
          <w:rFonts w:cs="Times New Roman"/>
          <w:lang w:val="fr-CA"/>
        </w:rPr>
        <w:t>homosexualité y a figuré jusqu</w:t>
      </w:r>
      <w:r>
        <w:rPr>
          <w:rFonts w:cs="Times New Roman"/>
          <w:lang w:val="fr-CA"/>
        </w:rPr>
        <w:t>’</w:t>
      </w:r>
      <w:r w:rsidRPr="00DD4D5E">
        <w:rPr>
          <w:rFonts w:cs="Times New Roman"/>
          <w:lang w:val="fr-CA"/>
        </w:rPr>
        <w:t>en 1990 et l</w:t>
      </w:r>
      <w:r>
        <w:rPr>
          <w:rFonts w:cs="Times New Roman"/>
          <w:lang w:val="fr-CA"/>
        </w:rPr>
        <w:t>’</w:t>
      </w:r>
      <w:r w:rsidRPr="00DD4D5E">
        <w:rPr>
          <w:rFonts w:cs="Times New Roman"/>
          <w:lang w:val="fr-CA"/>
        </w:rPr>
        <w:t>homosexualité égo</w:t>
      </w:r>
      <w:r w:rsidRPr="00DD4D5E">
        <w:rPr>
          <w:rFonts w:cs="Times New Roman"/>
          <w:lang w:val="fr-CA"/>
        </w:rPr>
        <w:noBreakHyphen/>
        <w:t>dystonique y constitue encore un état reconnu (bien que, en 2014, l</w:t>
      </w:r>
      <w:r>
        <w:rPr>
          <w:rFonts w:cs="Times New Roman"/>
          <w:lang w:val="fr-CA"/>
        </w:rPr>
        <w:t>’</w:t>
      </w:r>
      <w:r w:rsidRPr="00DD4D5E">
        <w:rPr>
          <w:rFonts w:cs="Times New Roman"/>
          <w:lang w:val="fr-CA"/>
        </w:rPr>
        <w:t>Organisation mondiale de la santé en ait recommandé le retrait dans la 11</w:t>
      </w:r>
      <w:r w:rsidRPr="00DD4D5E">
        <w:rPr>
          <w:rFonts w:cs="Times New Roman"/>
          <w:vertAlign w:val="superscript"/>
          <w:lang w:val="fr-CA"/>
        </w:rPr>
        <w:t>e</w:t>
      </w:r>
      <w:r w:rsidRPr="00DD4D5E">
        <w:rPr>
          <w:rFonts w:cs="Times New Roman"/>
          <w:lang w:val="fr-CA"/>
        </w:rPr>
        <w:t> révision alors en cours) (S. Cochran et</w:t>
      </w:r>
      <w:r w:rsidR="00496E3A">
        <w:rPr>
          <w:rFonts w:cs="Times New Roman"/>
          <w:lang w:val="fr-CA"/>
        </w:rPr>
        <w:t xml:space="preserve"> autres</w:t>
      </w:r>
      <w:r w:rsidRPr="00DD4D5E">
        <w:rPr>
          <w:rFonts w:cs="Times New Roman"/>
          <w:lang w:val="fr-CA"/>
        </w:rPr>
        <w:t xml:space="preserve">, </w:t>
      </w:r>
      <w:r w:rsidRPr="00DD4D5E">
        <w:rPr>
          <w:rFonts w:cs="Times New Roman"/>
          <w:szCs w:val="24"/>
          <w:lang w:val="fr-CA"/>
        </w:rPr>
        <w:t>«</w:t>
      </w:r>
      <w:r w:rsidRPr="00DD4D5E">
        <w:rPr>
          <w:rFonts w:cs="Times New Roman"/>
          <w:i/>
          <w:szCs w:val="24"/>
          <w:lang w:val="fr-CA"/>
        </w:rPr>
        <w:t> </w:t>
      </w:r>
      <w:r w:rsidRPr="001365FC">
        <w:rPr>
          <w:rFonts w:cs="Times New Roman"/>
          <w:bCs/>
          <w:szCs w:val="24"/>
          <w:lang w:val="fr-CA"/>
        </w:rPr>
        <w:t>Propos</w:t>
      </w:r>
      <w:r w:rsidR="00496E3A">
        <w:rPr>
          <w:rFonts w:cs="Times New Roman"/>
          <w:bCs/>
          <w:szCs w:val="24"/>
          <w:lang w:val="fr-CA"/>
        </w:rPr>
        <w:t>ed de</w:t>
      </w:r>
      <w:r w:rsidRPr="001365FC">
        <w:rPr>
          <w:rFonts w:cs="Times New Roman"/>
          <w:bCs/>
          <w:szCs w:val="24"/>
          <w:lang w:val="fr-CA"/>
        </w:rPr>
        <w:t xml:space="preserve">classification </w:t>
      </w:r>
      <w:r w:rsidR="00496E3A">
        <w:rPr>
          <w:rFonts w:cs="Times New Roman"/>
          <w:bCs/>
          <w:szCs w:val="24"/>
          <w:lang w:val="fr-CA"/>
        </w:rPr>
        <w:t>of disease cate</w:t>
      </w:r>
      <w:r w:rsidRPr="001365FC">
        <w:rPr>
          <w:rFonts w:cs="Times New Roman"/>
          <w:bCs/>
          <w:szCs w:val="24"/>
          <w:lang w:val="fr-CA"/>
        </w:rPr>
        <w:t xml:space="preserve">gories </w:t>
      </w:r>
      <w:r w:rsidR="00496E3A">
        <w:rPr>
          <w:rFonts w:cs="Times New Roman"/>
          <w:bCs/>
          <w:szCs w:val="24"/>
          <w:lang w:val="fr-CA"/>
        </w:rPr>
        <w:t>related to sexual orientation in the</w:t>
      </w:r>
      <w:r w:rsidRPr="001365FC">
        <w:rPr>
          <w:rFonts w:cs="Times New Roman"/>
          <w:bCs/>
          <w:szCs w:val="24"/>
          <w:lang w:val="fr-CA"/>
        </w:rPr>
        <w:t xml:space="preserve"> </w:t>
      </w:r>
      <w:r w:rsidR="00496E3A">
        <w:rPr>
          <w:rFonts w:cs="Times New Roman"/>
          <w:bCs/>
          <w:i/>
          <w:iCs/>
          <w:szCs w:val="24"/>
          <w:lang w:val="fr-CA"/>
        </w:rPr>
        <w:t xml:space="preserve">International Statistical Classification of Diseases </w:t>
      </w:r>
      <w:r w:rsidR="0043604D">
        <w:rPr>
          <w:rFonts w:cs="Times New Roman"/>
          <w:bCs/>
          <w:i/>
          <w:iCs/>
          <w:szCs w:val="24"/>
          <w:lang w:val="fr-CA"/>
        </w:rPr>
        <w:t xml:space="preserve">and Related </w:t>
      </w:r>
      <w:r w:rsidR="00496E3A">
        <w:rPr>
          <w:rFonts w:cs="Times New Roman"/>
          <w:bCs/>
          <w:i/>
          <w:iCs/>
          <w:szCs w:val="24"/>
          <w:lang w:val="fr-CA"/>
        </w:rPr>
        <w:t xml:space="preserve">Health Problems </w:t>
      </w:r>
      <w:r w:rsidRPr="001365FC">
        <w:rPr>
          <w:rFonts w:cs="Times New Roman"/>
          <w:bCs/>
          <w:szCs w:val="24"/>
          <w:lang w:val="fr-CA"/>
        </w:rPr>
        <w:t>(</w:t>
      </w:r>
      <w:r w:rsidR="00520AC7">
        <w:rPr>
          <w:rFonts w:cs="Times New Roman"/>
          <w:bCs/>
          <w:szCs w:val="24"/>
          <w:lang w:val="fr-CA"/>
        </w:rPr>
        <w:t>ICD</w:t>
      </w:r>
      <w:r w:rsidRPr="001365FC">
        <w:rPr>
          <w:rFonts w:cs="Times New Roman"/>
          <w:bCs/>
          <w:szCs w:val="24"/>
          <w:lang w:val="fr-CA"/>
        </w:rPr>
        <w:noBreakHyphen/>
        <w:t>11)</w:t>
      </w:r>
      <w:r w:rsidRPr="00DD4D5E">
        <w:rPr>
          <w:rFonts w:cs="Times New Roman"/>
          <w:i/>
          <w:szCs w:val="24"/>
          <w:lang w:val="fr-CA"/>
        </w:rPr>
        <w:t> </w:t>
      </w:r>
      <w:r w:rsidRPr="001365FC">
        <w:rPr>
          <w:rFonts w:cs="Times New Roman"/>
          <w:szCs w:val="24"/>
          <w:lang w:val="fr-CA"/>
        </w:rPr>
        <w:t>»</w:t>
      </w:r>
      <w:r w:rsidRPr="00DD4D5E">
        <w:rPr>
          <w:rFonts w:cs="Times New Roman"/>
          <w:szCs w:val="24"/>
          <w:lang w:val="fr-CA"/>
        </w:rPr>
        <w:t xml:space="preserve"> (2014),</w:t>
      </w:r>
      <w:r w:rsidRPr="00DD4D5E">
        <w:rPr>
          <w:rFonts w:cs="Times New Roman"/>
          <w:lang w:val="fr-CA"/>
        </w:rPr>
        <w:t xml:space="preserve"> 92 </w:t>
      </w:r>
      <w:r w:rsidRPr="00DD4D5E">
        <w:rPr>
          <w:rFonts w:cs="Times New Roman"/>
          <w:i/>
          <w:lang w:val="fr-CA"/>
        </w:rPr>
        <w:t>Bull</w:t>
      </w:r>
      <w:r w:rsidR="00520AC7">
        <w:rPr>
          <w:rFonts w:cs="Times New Roman"/>
          <w:i/>
          <w:lang w:val="fr-CA"/>
        </w:rPr>
        <w:t xml:space="preserve">. World Health Organ. </w:t>
      </w:r>
      <w:r w:rsidRPr="00DD4D5E">
        <w:rPr>
          <w:rFonts w:cs="Times New Roman"/>
          <w:lang w:val="fr-CA"/>
        </w:rPr>
        <w:t>672).</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lastRenderedPageBreak/>
        <w:t>À l</w:t>
      </w:r>
      <w:r>
        <w:rPr>
          <w:rFonts w:cs="Times New Roman"/>
          <w:lang w:val="fr-CA"/>
        </w:rPr>
        <w:t>’</w:t>
      </w:r>
      <w:r w:rsidRPr="00DD4D5E">
        <w:rPr>
          <w:rFonts w:cs="Times New Roman"/>
          <w:lang w:val="fr-CA"/>
        </w:rPr>
        <w:t>inverse, un trouble potentiel d</w:t>
      </w:r>
      <w:r>
        <w:rPr>
          <w:rFonts w:cs="Times New Roman"/>
          <w:lang w:val="fr-CA"/>
        </w:rPr>
        <w:t>’</w:t>
      </w:r>
      <w:r w:rsidRPr="00DD4D5E">
        <w:rPr>
          <w:rFonts w:cs="Times New Roman"/>
          <w:lang w:val="fr-CA"/>
        </w:rPr>
        <w:t>abord exclu du DSM peut y être « reconnu » par la suite. À titre d</w:t>
      </w:r>
      <w:r>
        <w:rPr>
          <w:rFonts w:cs="Times New Roman"/>
          <w:lang w:val="fr-CA"/>
        </w:rPr>
        <w:t>’</w:t>
      </w:r>
      <w:r w:rsidRPr="00DD4D5E">
        <w:rPr>
          <w:rFonts w:cs="Times New Roman"/>
          <w:lang w:val="fr-CA"/>
        </w:rPr>
        <w:t>exemple, le « trouble de stress post</w:t>
      </w:r>
      <w:r w:rsidRPr="00DD4D5E">
        <w:rPr>
          <w:rFonts w:cs="Times New Roman"/>
          <w:lang w:val="fr-CA"/>
        </w:rPr>
        <w:noBreakHyphen/>
        <w:t>traumatique » a fait son entrée dans le DSM (DSM</w:t>
      </w:r>
      <w:r w:rsidRPr="00DD4D5E">
        <w:rPr>
          <w:rFonts w:cs="Times New Roman"/>
          <w:lang w:val="fr-CA"/>
        </w:rPr>
        <w:noBreakHyphen/>
        <w:t>III) en 1980. Qui plus est, depuis la publication du DSM</w:t>
      </w:r>
      <w:r w:rsidRPr="00DD4D5E">
        <w:rPr>
          <w:rFonts w:cs="Times New Roman"/>
          <w:lang w:val="fr-CA"/>
        </w:rPr>
        <w:noBreakHyphen/>
        <w:t>IV, il ne nécessite plus [</w:t>
      </w:r>
      <w:r w:rsidRPr="00DD4D5E">
        <w:rPr>
          <w:rFonts w:cs="Times New Roman"/>
          <w:smallCaps/>
          <w:lang w:val="fr-CA"/>
        </w:rPr>
        <w:t>traduction</w:t>
      </w:r>
      <w:r w:rsidRPr="00DD4D5E">
        <w:rPr>
          <w:rFonts w:cs="Times New Roman"/>
          <w:lang w:val="fr-CA"/>
        </w:rPr>
        <w:t>] « un événement traumatisant au plan psychologique qui se situe généralement au</w:t>
      </w:r>
      <w:r w:rsidRPr="00DD4D5E">
        <w:rPr>
          <w:rFonts w:cs="Times New Roman"/>
          <w:lang w:val="fr-CA"/>
        </w:rPr>
        <w:noBreakHyphen/>
        <w:t>delà de l</w:t>
      </w:r>
      <w:r>
        <w:rPr>
          <w:rFonts w:cs="Times New Roman"/>
          <w:lang w:val="fr-CA"/>
        </w:rPr>
        <w:t>’</w:t>
      </w:r>
      <w:r w:rsidRPr="00DD4D5E">
        <w:rPr>
          <w:rFonts w:cs="Times New Roman"/>
          <w:lang w:val="fr-CA"/>
        </w:rPr>
        <w:t>expérience humaine normale » (Jones, p. 132). Dans la même veine, la publication de la 5</w:t>
      </w:r>
      <w:r w:rsidRPr="00DD4D5E">
        <w:rPr>
          <w:rFonts w:cs="Times New Roman"/>
          <w:vertAlign w:val="superscript"/>
          <w:lang w:val="fr-CA"/>
        </w:rPr>
        <w:t>e</w:t>
      </w:r>
      <w:r w:rsidRPr="00DD4D5E">
        <w:rPr>
          <w:rFonts w:cs="Times New Roman"/>
          <w:lang w:val="fr-CA"/>
        </w:rPr>
        <w:t> édition du DSM (DSM</w:t>
      </w:r>
      <w:r w:rsidRPr="00DD4D5E">
        <w:rPr>
          <w:rFonts w:cs="Times New Roman"/>
          <w:lang w:val="fr-CA"/>
        </w:rPr>
        <w:noBreakHyphen/>
        <w:t>V) a été précédée d</w:t>
      </w:r>
      <w:r>
        <w:rPr>
          <w:rFonts w:cs="Times New Roman"/>
          <w:lang w:val="fr-CA"/>
        </w:rPr>
        <w:t>’</w:t>
      </w:r>
      <w:r w:rsidRPr="00DD4D5E">
        <w:rPr>
          <w:rFonts w:cs="Times New Roman"/>
          <w:lang w:val="fr-CA"/>
        </w:rPr>
        <w:t>un débat sur l</w:t>
      </w:r>
      <w:r>
        <w:rPr>
          <w:rFonts w:cs="Times New Roman"/>
          <w:lang w:val="fr-CA"/>
        </w:rPr>
        <w:t>’</w:t>
      </w:r>
      <w:r w:rsidRPr="00DD4D5E">
        <w:rPr>
          <w:rFonts w:cs="Times New Roman"/>
          <w:lang w:val="fr-CA"/>
        </w:rPr>
        <w:t xml:space="preserve">ajout de la tristesse profonde aux affections psychiatriques recensées (R. A. Bryant, « Grief as a psychiatric disorder » (2012), 201 </w:t>
      </w:r>
      <w:r w:rsidRPr="00DD4D5E">
        <w:rPr>
          <w:rFonts w:cs="Times New Roman"/>
          <w:i/>
          <w:lang w:val="fr-CA"/>
        </w:rPr>
        <w:t>Br</w:t>
      </w:r>
      <w:r w:rsidR="0043604D">
        <w:rPr>
          <w:rFonts w:cs="Times New Roman"/>
          <w:i/>
          <w:lang w:val="fr-CA"/>
        </w:rPr>
        <w:t>it</w:t>
      </w:r>
      <w:r w:rsidRPr="00DD4D5E">
        <w:rPr>
          <w:rFonts w:cs="Times New Roman"/>
          <w:i/>
          <w:lang w:val="fr-CA"/>
        </w:rPr>
        <w:t>. J. Psychiatry</w:t>
      </w:r>
      <w:r w:rsidRPr="00DD4D5E">
        <w:rPr>
          <w:rFonts w:cs="Times New Roman"/>
          <w:lang w:val="fr-CA"/>
        </w:rPr>
        <w:t xml:space="preserve"> 9, p. 9</w:t>
      </w:r>
      <w:r w:rsidRPr="00DD4D5E">
        <w:rPr>
          <w:rFonts w:cs="Times New Roman"/>
          <w:lang w:val="fr-CA"/>
        </w:rPr>
        <w:noBreakHyphen/>
        <w:t>10). Au lieu de favoriser l</w:t>
      </w:r>
      <w:r>
        <w:rPr>
          <w:rFonts w:cs="Times New Roman"/>
          <w:lang w:val="fr-CA"/>
        </w:rPr>
        <w:t>’</w:t>
      </w:r>
      <w:r w:rsidRPr="00DD4D5E">
        <w:rPr>
          <w:rFonts w:cs="Times New Roman"/>
          <w:lang w:val="fr-CA"/>
        </w:rPr>
        <w:t>objectivité, la certitude et la prévisibilité, s</w:t>
      </w:r>
      <w:r>
        <w:rPr>
          <w:rFonts w:cs="Times New Roman"/>
          <w:lang w:val="fr-CA"/>
        </w:rPr>
        <w:t>’</w:t>
      </w:r>
      <w:r w:rsidRPr="00DD4D5E">
        <w:rPr>
          <w:rFonts w:cs="Times New Roman"/>
          <w:lang w:val="fr-CA"/>
        </w:rPr>
        <w:t>en remettre à ces outils diagnostiques itératifs pour déterminer la responsabilité en droit relègue l</w:t>
      </w:r>
      <w:r>
        <w:rPr>
          <w:rFonts w:cs="Times New Roman"/>
          <w:lang w:val="fr-CA"/>
        </w:rPr>
        <w:t>’</w:t>
      </w:r>
      <w:r w:rsidRPr="00DD4D5E">
        <w:rPr>
          <w:rFonts w:cs="Times New Roman"/>
          <w:lang w:val="fr-CA"/>
        </w:rPr>
        <w:t>application des principes de la négligence au fait de suivre un sentier parfois sinueux qui est déblayé par la fine pointe des courants de pensée à la mode de la psychiatrie moderne, peu importe où cela nous mène.</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La prétention que font aujourd</w:t>
      </w:r>
      <w:r>
        <w:rPr>
          <w:rFonts w:cs="Times New Roman"/>
          <w:lang w:val="fr-CA"/>
        </w:rPr>
        <w:t>’</w:t>
      </w:r>
      <w:r w:rsidRPr="00DD4D5E">
        <w:rPr>
          <w:rFonts w:cs="Times New Roman"/>
          <w:lang w:val="fr-CA"/>
        </w:rPr>
        <w:t>hui valoir les intimés et le Bureau d</w:t>
      </w:r>
      <w:r>
        <w:rPr>
          <w:rFonts w:cs="Times New Roman"/>
          <w:lang w:val="fr-CA"/>
        </w:rPr>
        <w:t>’</w:t>
      </w:r>
      <w:r w:rsidRPr="00DD4D5E">
        <w:rPr>
          <w:rFonts w:cs="Times New Roman"/>
          <w:lang w:val="fr-CA"/>
        </w:rPr>
        <w:t>assurance du Canada et selon laquelle il faut exiger la preuve de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trouble psychiatrique reconnaissable pour faire obstacle à la responsabilité indéterminée est elle aussi insoutenable. L</w:t>
      </w:r>
      <w:r>
        <w:rPr>
          <w:rFonts w:cs="Times New Roman"/>
          <w:lang w:val="fr-CA"/>
        </w:rPr>
        <w:t>’</w:t>
      </w:r>
      <w:r w:rsidR="00542873">
        <w:rPr>
          <w:rFonts w:cs="Times New Roman"/>
          <w:lang w:val="fr-CA"/>
        </w:rPr>
        <w:t>article</w:t>
      </w:r>
      <w:r w:rsidRPr="00DD4D5E">
        <w:rPr>
          <w:rFonts w:cs="Times New Roman"/>
          <w:lang w:val="fr-CA"/>
        </w:rPr>
        <w:t xml:space="preserve"> 1457 du </w:t>
      </w:r>
      <w:r w:rsidRPr="00DD4D5E">
        <w:rPr>
          <w:rFonts w:cs="Times New Roman"/>
          <w:i/>
          <w:lang w:val="fr-CA"/>
        </w:rPr>
        <w:t>Code civil du Québec</w:t>
      </w:r>
      <w:r w:rsidRPr="00DD4D5E">
        <w:rPr>
          <w:rFonts w:cs="Times New Roman"/>
          <w:lang w:val="fr-CA"/>
        </w:rPr>
        <w:t xml:space="preserve"> énonce une règle de responsabilité qui o</w:t>
      </w:r>
      <w:r w:rsidR="00542873">
        <w:rPr>
          <w:rFonts w:cs="Times New Roman"/>
          <w:lang w:val="fr-CA"/>
        </w:rPr>
        <w:t>blige le défendeur à « réparer c</w:t>
      </w:r>
      <w:r w:rsidRPr="00DD4D5E">
        <w:rPr>
          <w:rFonts w:cs="Times New Roman"/>
          <w:lang w:val="fr-CA"/>
        </w:rPr>
        <w:t>e préjudice [. . .] qu</w:t>
      </w:r>
      <w:r>
        <w:rPr>
          <w:rFonts w:cs="Times New Roman"/>
          <w:lang w:val="fr-CA"/>
        </w:rPr>
        <w:t>’</w:t>
      </w:r>
      <w:r w:rsidRPr="00DD4D5E">
        <w:rPr>
          <w:rFonts w:cs="Times New Roman"/>
          <w:lang w:val="fr-CA"/>
        </w:rPr>
        <w:t xml:space="preserve">il soit corporel, moral ou matériel » (voir p. ex. </w:t>
      </w:r>
      <w:r w:rsidRPr="00DD4D5E">
        <w:rPr>
          <w:rFonts w:cs="Times New Roman"/>
          <w:i/>
          <w:lang w:val="fr-CA"/>
        </w:rPr>
        <w:t>Augustus c. Gosset</w:t>
      </w:r>
      <w:r w:rsidRPr="00DD4D5E">
        <w:rPr>
          <w:rFonts w:cs="Times New Roman"/>
          <w:lang w:val="fr-CA"/>
        </w:rPr>
        <w:t>, [1996] 3 R.C.S. 268, par. 27). Or, nul n</w:t>
      </w:r>
      <w:r>
        <w:rPr>
          <w:rFonts w:cs="Times New Roman"/>
          <w:lang w:val="fr-CA"/>
        </w:rPr>
        <w:t>’</w:t>
      </w:r>
      <w:r w:rsidRPr="00DD4D5E">
        <w:rPr>
          <w:rFonts w:cs="Times New Roman"/>
          <w:lang w:val="fr-CA"/>
        </w:rPr>
        <w:t>a relevé à notre intention une affaire dans laquelle un tribunal québécois a imposé une responsabilité de nature « indéterminée ». De plus, comme c</w:t>
      </w:r>
      <w:r>
        <w:rPr>
          <w:rFonts w:cs="Times New Roman"/>
          <w:lang w:val="fr-CA"/>
        </w:rPr>
        <w:t>’</w:t>
      </w:r>
      <w:r w:rsidRPr="00DD4D5E">
        <w:rPr>
          <w:rFonts w:cs="Times New Roman"/>
          <w:lang w:val="fr-CA"/>
        </w:rPr>
        <w:t>est le cas de la demande infondée ou visant l</w:t>
      </w:r>
      <w:r>
        <w:rPr>
          <w:rFonts w:cs="Times New Roman"/>
          <w:lang w:val="fr-CA"/>
        </w:rPr>
        <w:t>’</w:t>
      </w:r>
      <w:r w:rsidRPr="00DD4D5E">
        <w:rPr>
          <w:rFonts w:cs="Times New Roman"/>
          <w:lang w:val="fr-CA"/>
        </w:rPr>
        <w:t>indemnisation d</w:t>
      </w:r>
      <w:r>
        <w:rPr>
          <w:rFonts w:cs="Times New Roman"/>
          <w:lang w:val="fr-CA"/>
        </w:rPr>
        <w:t>’</w:t>
      </w:r>
      <w:r w:rsidRPr="00DD4D5E">
        <w:rPr>
          <w:rFonts w:cs="Times New Roman"/>
          <w:lang w:val="fr-CA"/>
        </w:rPr>
        <w:t xml:space="preserve">un préjudice mental </w:t>
      </w:r>
      <w:r w:rsidRPr="00DD4D5E">
        <w:rPr>
          <w:rFonts w:cs="Times New Roman"/>
          <w:lang w:val="fr-CA"/>
        </w:rPr>
        <w:lastRenderedPageBreak/>
        <w:t>anodin imputé à la négligence, l</w:t>
      </w:r>
      <w:r>
        <w:rPr>
          <w:rFonts w:cs="Times New Roman"/>
          <w:lang w:val="fr-CA"/>
        </w:rPr>
        <w:t>’</w:t>
      </w:r>
      <w:r w:rsidRPr="00DD4D5E">
        <w:rPr>
          <w:rFonts w:cs="Times New Roman"/>
          <w:lang w:val="fr-CA"/>
        </w:rPr>
        <w:t xml:space="preserve">application rigoureuse des conditions auxquelles il peut y avoir </w:t>
      </w:r>
      <w:r w:rsidRPr="00DD4D5E">
        <w:rPr>
          <w:rFonts w:eastAsiaTheme="minorHAnsi" w:cs="Times New Roman"/>
          <w:lang w:val="fr-CA"/>
        </w:rPr>
        <w:t>une cause d</w:t>
      </w:r>
      <w:r>
        <w:rPr>
          <w:rFonts w:eastAsiaTheme="minorHAnsi" w:cs="Times New Roman"/>
          <w:lang w:val="fr-CA"/>
        </w:rPr>
        <w:t>’</w:t>
      </w:r>
      <w:r w:rsidRPr="00DD4D5E">
        <w:rPr>
          <w:rFonts w:eastAsiaTheme="minorHAnsi" w:cs="Times New Roman"/>
          <w:lang w:val="fr-CA"/>
        </w:rPr>
        <w:t>action en négligence</w:t>
      </w:r>
      <w:r w:rsidRPr="00DD4D5E">
        <w:rPr>
          <w:rFonts w:cs="Times New Roman"/>
          <w:lang w:val="fr-CA"/>
        </w:rPr>
        <w:t xml:space="preserve"> devrait également suffire pour écarter une éventuelle responsabilité indéterminée. Plus précisément, la responsabilité du préjudice mental ne devrait être reconnue que lorsque la demande satisfait aux exigences de proximité pour les besoins de l</w:t>
      </w:r>
      <w:r>
        <w:rPr>
          <w:rFonts w:cs="Times New Roman"/>
          <w:lang w:val="fr-CA"/>
        </w:rPr>
        <w:t>’</w:t>
      </w:r>
      <w:r w:rsidRPr="00DD4D5E">
        <w:rPr>
          <w:rFonts w:cs="Times New Roman"/>
          <w:lang w:val="fr-CA"/>
        </w:rPr>
        <w:t>obligation de diligence, l</w:t>
      </w:r>
      <w:r>
        <w:rPr>
          <w:rFonts w:cs="Times New Roman"/>
          <w:lang w:val="fr-CA"/>
        </w:rPr>
        <w:t>’</w:t>
      </w:r>
      <w:r w:rsidRPr="00DD4D5E">
        <w:rPr>
          <w:rFonts w:cs="Times New Roman"/>
          <w:lang w:val="fr-CA"/>
        </w:rPr>
        <w:t>accent étant alors mis sur le lien entre les parties (</w:t>
      </w:r>
      <w:r w:rsidRPr="00DD4D5E">
        <w:rPr>
          <w:rFonts w:cs="Times New Roman"/>
          <w:i/>
          <w:lang w:val="fr-CA"/>
        </w:rPr>
        <w:t>Cooper</w:t>
      </w:r>
      <w:r w:rsidRPr="00DD4D5E">
        <w:rPr>
          <w:rFonts w:cs="Times New Roman"/>
          <w:lang w:val="fr-CA"/>
        </w:rPr>
        <w:t>, par. 30), et au critère du caractère éloigné du préjudice, la question étant alors de savoir si « le préjudice a trop peu de lien avec l</w:t>
      </w:r>
      <w:r>
        <w:rPr>
          <w:rFonts w:cs="Times New Roman"/>
          <w:lang w:val="fr-CA"/>
        </w:rPr>
        <w:t>’</w:t>
      </w:r>
      <w:r w:rsidRPr="00DD4D5E">
        <w:rPr>
          <w:rFonts w:cs="Times New Roman"/>
          <w:lang w:val="fr-CA"/>
        </w:rPr>
        <w:t>acte fautif pour que le défendeur puisse raisonnablement être tenu responsable » (</w:t>
      </w:r>
      <w:r w:rsidRPr="00DD4D5E">
        <w:rPr>
          <w:rFonts w:cs="Times New Roman"/>
          <w:i/>
          <w:lang w:val="fr-CA"/>
        </w:rPr>
        <w:t>Mustapha</w:t>
      </w:r>
      <w:r w:rsidRPr="00DD4D5E">
        <w:rPr>
          <w:rFonts w:cs="Times New Roman"/>
          <w:lang w:val="fr-CA"/>
        </w:rPr>
        <w:t>, par. 12, citant Linden et Feldthusen, p. 360). Aucune raison n</w:t>
      </w:r>
      <w:r>
        <w:rPr>
          <w:rFonts w:cs="Times New Roman"/>
          <w:lang w:val="fr-CA"/>
        </w:rPr>
        <w:t>’</w:t>
      </w:r>
      <w:r w:rsidRPr="00DD4D5E">
        <w:rPr>
          <w:rFonts w:cs="Times New Roman"/>
          <w:lang w:val="fr-CA"/>
        </w:rPr>
        <w:t>a été avancée qui nous permette de supposer que les exigences du droit de la négligence à l</w:t>
      </w:r>
      <w:r>
        <w:rPr>
          <w:rFonts w:cs="Times New Roman"/>
          <w:lang w:val="fr-CA"/>
        </w:rPr>
        <w:t>’</w:t>
      </w:r>
      <w:r w:rsidRPr="00DD4D5E">
        <w:rPr>
          <w:rFonts w:cs="Times New Roman"/>
          <w:lang w:val="fr-CA"/>
        </w:rPr>
        <w:t>égard du demandeur qui allègue un préjudice physique écarteraient moins bien l</w:t>
      </w:r>
      <w:r>
        <w:rPr>
          <w:rFonts w:cs="Times New Roman"/>
          <w:lang w:val="fr-CA"/>
        </w:rPr>
        <w:t>’</w:t>
      </w:r>
      <w:r w:rsidRPr="00DD4D5E">
        <w:rPr>
          <w:rFonts w:cs="Times New Roman"/>
          <w:lang w:val="fr-CA"/>
        </w:rPr>
        <w:t>allégation infondée d</w:t>
      </w:r>
      <w:r>
        <w:rPr>
          <w:rFonts w:cs="Times New Roman"/>
          <w:lang w:val="fr-CA"/>
        </w:rPr>
        <w:t>’</w:t>
      </w:r>
      <w:r w:rsidRPr="00DD4D5E">
        <w:rPr>
          <w:rFonts w:cs="Times New Roman"/>
          <w:lang w:val="fr-CA"/>
        </w:rPr>
        <w:t>un préjudice mental. Partant, non seulement il n</w:t>
      </w:r>
      <w:r>
        <w:rPr>
          <w:rFonts w:cs="Times New Roman"/>
          <w:lang w:val="fr-CA"/>
        </w:rPr>
        <w:t>’</w:t>
      </w:r>
      <w:r w:rsidRPr="00DD4D5E">
        <w:rPr>
          <w:rFonts w:cs="Times New Roman"/>
          <w:lang w:val="fr-CA"/>
        </w:rPr>
        <w:t>est pas souhaitable mais il n</w:t>
      </w:r>
      <w:r>
        <w:rPr>
          <w:rFonts w:cs="Times New Roman"/>
          <w:lang w:val="fr-CA"/>
        </w:rPr>
        <w:t>’</w:t>
      </w:r>
      <w:r w:rsidRPr="00DD4D5E">
        <w:rPr>
          <w:rFonts w:cs="Times New Roman"/>
          <w:lang w:val="fr-CA"/>
        </w:rPr>
        <w:t>est pas nécessaire de dénaturer le droit de la négligence par l</w:t>
      </w:r>
      <w:r>
        <w:rPr>
          <w:rFonts w:cs="Times New Roman"/>
          <w:lang w:val="fr-CA"/>
        </w:rPr>
        <w:t>’</w:t>
      </w:r>
      <w:r w:rsidRPr="00DD4D5E">
        <w:rPr>
          <w:rFonts w:cs="Times New Roman"/>
          <w:lang w:val="fr-CA"/>
        </w:rPr>
        <w:t>exigence arbitraire d</w:t>
      </w:r>
      <w:r>
        <w:rPr>
          <w:rFonts w:cs="Times New Roman"/>
          <w:lang w:val="fr-CA"/>
        </w:rPr>
        <w:t>’</w:t>
      </w:r>
      <w:r w:rsidRPr="00DD4D5E">
        <w:rPr>
          <w:rFonts w:cs="Times New Roman"/>
          <w:lang w:val="fr-CA"/>
        </w:rPr>
        <w:t>un diagnostic pour prouver le préjudice mental.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Bref, aucun motif de nature à convaincre la Cour de cautionner l</w:t>
      </w:r>
      <w:r>
        <w:rPr>
          <w:rFonts w:cs="Times New Roman"/>
          <w:lang w:val="fr-CA"/>
        </w:rPr>
        <w:t>’</w:t>
      </w:r>
      <w:r w:rsidRPr="00DD4D5E">
        <w:rPr>
          <w:rFonts w:cs="Times New Roman"/>
          <w:lang w:val="fr-CA"/>
        </w:rPr>
        <w:t>application de règles distinctes qui écartent la responsabilité dans le cas d</w:t>
      </w:r>
      <w:r>
        <w:rPr>
          <w:rFonts w:cs="Times New Roman"/>
          <w:lang w:val="fr-CA"/>
        </w:rPr>
        <w:t>’</w:t>
      </w:r>
      <w:r w:rsidRPr="00DD4D5E">
        <w:rPr>
          <w:rFonts w:cs="Times New Roman"/>
          <w:lang w:val="fr-CA"/>
        </w:rPr>
        <w:t>un préjudice mental, mais non dans le cas d</w:t>
      </w:r>
      <w:r>
        <w:rPr>
          <w:rFonts w:cs="Times New Roman"/>
          <w:lang w:val="fr-CA"/>
        </w:rPr>
        <w:t>’</w:t>
      </w:r>
      <w:r w:rsidRPr="00DD4D5E">
        <w:rPr>
          <w:rFonts w:cs="Times New Roman"/>
          <w:lang w:val="fr-CA"/>
        </w:rPr>
        <w:t>un préjudice physique, n</w:t>
      </w:r>
      <w:r>
        <w:rPr>
          <w:rFonts w:cs="Times New Roman"/>
          <w:lang w:val="fr-CA"/>
        </w:rPr>
        <w:t>’</w:t>
      </w:r>
      <w:r w:rsidRPr="00DD4D5E">
        <w:rPr>
          <w:rFonts w:cs="Times New Roman"/>
          <w:lang w:val="fr-CA"/>
        </w:rPr>
        <w:t>a été soumis en l</w:t>
      </w:r>
      <w:r>
        <w:rPr>
          <w:rFonts w:cs="Times New Roman"/>
          <w:lang w:val="fr-CA"/>
        </w:rPr>
        <w:t>’</w:t>
      </w:r>
      <w:r w:rsidRPr="00DD4D5E">
        <w:rPr>
          <w:rFonts w:cs="Times New Roman"/>
          <w:lang w:val="fr-CA"/>
        </w:rPr>
        <w:t xml:space="preserve">espèce. À vrai dire, il existe une bonne raison de reconnaître que le droit de la négligence réserve déjà un traitement identique à chacune de ces formes </w:t>
      </w:r>
      <w:r w:rsidRPr="00DD4D5E">
        <w:rPr>
          <w:rFonts w:cs="Times New Roman"/>
          <w:smallCaps/>
          <w:lang w:val="fr-CA"/>
        </w:rPr>
        <w:t xml:space="preserve">— </w:t>
      </w:r>
      <w:r w:rsidRPr="00DD4D5E">
        <w:rPr>
          <w:rFonts w:cs="Times New Roman"/>
          <w:lang w:val="fr-CA"/>
        </w:rPr>
        <w:t xml:space="preserve">mentale et physique </w:t>
      </w:r>
      <w:r w:rsidRPr="00DD4D5E">
        <w:rPr>
          <w:rFonts w:cs="Times New Roman"/>
          <w:smallCaps/>
          <w:lang w:val="fr-CA"/>
        </w:rPr>
        <w:t>—</w:t>
      </w:r>
      <w:r w:rsidRPr="00DD4D5E">
        <w:rPr>
          <w:rFonts w:cs="Times New Roman"/>
          <w:lang w:val="fr-CA"/>
        </w:rPr>
        <w:t xml:space="preserve"> de préjudice personnel. Comme le signale la Cour dans l</w:t>
      </w:r>
      <w:r>
        <w:rPr>
          <w:rFonts w:cs="Times New Roman"/>
          <w:lang w:val="fr-CA"/>
        </w:rPr>
        <w:t>’</w:t>
      </w:r>
      <w:r w:rsidRPr="00DD4D5E">
        <w:rPr>
          <w:rFonts w:cs="Times New Roman"/>
          <w:lang w:val="fr-CA"/>
        </w:rPr>
        <w:t xml:space="preserve">arrêt </w:t>
      </w:r>
      <w:r w:rsidRPr="00DD4D5E">
        <w:rPr>
          <w:rFonts w:cs="Times New Roman"/>
          <w:i/>
          <w:lang w:val="fr-CA"/>
        </w:rPr>
        <w:t>Mustapha</w:t>
      </w:r>
      <w:r w:rsidRPr="00DD4D5E">
        <w:rPr>
          <w:rFonts w:cs="Times New Roman"/>
          <w:lang w:val="fr-CA"/>
        </w:rPr>
        <w:t xml:space="preserve">, « [e]n matière de responsabilité délictuelle, la distinction entre préjudice physique et préjudice psychologique est difficile à cerner, voire artificielle » (par. 8). Elle poursuit </w:t>
      </w:r>
      <w:r w:rsidRPr="00DD4D5E">
        <w:rPr>
          <w:rFonts w:cs="Times New Roman"/>
          <w:lang w:val="fr-CA"/>
        </w:rPr>
        <w:lastRenderedPageBreak/>
        <w:t>en citant un extrait de l</w:t>
      </w:r>
      <w:r>
        <w:rPr>
          <w:rFonts w:cs="Times New Roman"/>
          <w:lang w:val="fr-CA"/>
        </w:rPr>
        <w:t>’</w:t>
      </w:r>
      <w:r w:rsidRPr="00DD4D5E">
        <w:rPr>
          <w:rFonts w:cs="Times New Roman"/>
          <w:lang w:val="fr-CA"/>
        </w:rPr>
        <w:t xml:space="preserve">arrêt </w:t>
      </w:r>
      <w:r w:rsidRPr="00DD4D5E">
        <w:rPr>
          <w:rFonts w:cs="Times New Roman"/>
          <w:i/>
          <w:lang w:val="fr-CA"/>
        </w:rPr>
        <w:t>Page c. Smith</w:t>
      </w:r>
      <w:r w:rsidR="00542873">
        <w:rPr>
          <w:rFonts w:cs="Times New Roman"/>
          <w:i/>
          <w:lang w:val="fr-CA"/>
        </w:rPr>
        <w:t xml:space="preserve"> </w:t>
      </w:r>
      <w:r w:rsidR="00542873" w:rsidRPr="00542873">
        <w:rPr>
          <w:rFonts w:cs="Times New Roman"/>
          <w:lang w:val="fr-CA"/>
        </w:rPr>
        <w:t>(p</w:t>
      </w:r>
      <w:r w:rsidR="0043604D">
        <w:rPr>
          <w:rFonts w:cs="Times New Roman"/>
          <w:lang w:val="fr-CA"/>
        </w:rPr>
        <w:t>.</w:t>
      </w:r>
      <w:r w:rsidR="00542873" w:rsidRPr="00542873">
        <w:rPr>
          <w:rFonts w:cs="Times New Roman"/>
          <w:lang w:val="fr-CA"/>
        </w:rPr>
        <w:t xml:space="preserve"> 188)</w:t>
      </w:r>
      <w:r w:rsidRPr="00DD4D5E">
        <w:rPr>
          <w:rFonts w:cs="Times New Roman"/>
          <w:lang w:val="fr-CA"/>
        </w:rPr>
        <w:t> : [</w:t>
      </w:r>
      <w:r w:rsidRPr="00DD4D5E">
        <w:rPr>
          <w:rFonts w:cs="Times New Roman"/>
          <w:smallCaps/>
          <w:lang w:val="fr-CA"/>
        </w:rPr>
        <w:t>traduction</w:t>
      </w:r>
      <w:r w:rsidR="00464834">
        <w:rPr>
          <w:rFonts w:cs="Times New Roman"/>
          <w:lang w:val="fr-CA"/>
        </w:rPr>
        <w:t>] « E</w:t>
      </w:r>
      <w:r w:rsidRPr="00DD4D5E">
        <w:rPr>
          <w:rFonts w:cs="Times New Roman"/>
          <w:lang w:val="fr-CA"/>
        </w:rPr>
        <w:t>n cette époque d</w:t>
      </w:r>
      <w:r>
        <w:rPr>
          <w:rFonts w:cs="Times New Roman"/>
          <w:lang w:val="fr-CA"/>
        </w:rPr>
        <w:t>’</w:t>
      </w:r>
      <w:r w:rsidRPr="00DD4D5E">
        <w:rPr>
          <w:rFonts w:cs="Times New Roman"/>
          <w:lang w:val="fr-CA"/>
        </w:rPr>
        <w:t>essor rapide des connaissances médicales, y compris en matière psychiatrique, il ne serait pas raisonnable d</w:t>
      </w:r>
      <w:r>
        <w:rPr>
          <w:rFonts w:cs="Times New Roman"/>
          <w:lang w:val="fr-CA"/>
        </w:rPr>
        <w:t>’</w:t>
      </w:r>
      <w:r w:rsidRPr="00DD4D5E">
        <w:rPr>
          <w:rFonts w:cs="Times New Roman"/>
          <w:lang w:val="fr-CA"/>
        </w:rPr>
        <w:t xml:space="preserve">astreindre les tribunaux à appliquer en droit une distinction entre préjudice physique et préjudice [mental], distinction [. . .] qui pourrait, sous peu, être complètement dépassée. </w:t>
      </w:r>
      <w:r w:rsidRPr="00542873">
        <w:rPr>
          <w:rFonts w:cs="Times New Roman"/>
          <w:u w:val="single"/>
          <w:lang w:val="fr-CA"/>
        </w:rPr>
        <w:t>On ne gagne rien à les considérer comme des “catégories” différentes de préjudice à la personne et à forcer, de ce fait, l’application de critères juridiques différents</w:t>
      </w:r>
      <w:r w:rsidRPr="00DD4D5E">
        <w:rPr>
          <w:rFonts w:cs="Times New Roman"/>
          <w:lang w:val="fr-CA"/>
        </w:rPr>
        <w:t> » (</w:t>
      </w:r>
      <w:r w:rsidR="00542873">
        <w:rPr>
          <w:rFonts w:cs="Times New Roman"/>
          <w:lang w:val="fr-CA"/>
        </w:rPr>
        <w:t>souligné</w:t>
      </w:r>
      <w:r w:rsidRPr="00DD4D5E">
        <w:rPr>
          <w:rFonts w:cs="Times New Roman"/>
          <w:lang w:val="fr-CA"/>
        </w:rPr>
        <w:t xml:space="preserve"> dans l</w:t>
      </w:r>
      <w:r>
        <w:rPr>
          <w:rFonts w:cs="Times New Roman"/>
          <w:lang w:val="fr-CA"/>
        </w:rPr>
        <w:t>’</w:t>
      </w:r>
      <w:r w:rsidRPr="00DD4D5E">
        <w:rPr>
          <w:rFonts w:cs="Times New Roman"/>
          <w:lang w:val="fr-CA"/>
        </w:rPr>
        <w:t>original; v</w:t>
      </w:r>
      <w:r>
        <w:rPr>
          <w:rFonts w:cs="Times New Roman"/>
          <w:lang w:val="fr-CA"/>
        </w:rPr>
        <w:t>oir également S. </w:t>
      </w:r>
      <w:r w:rsidRPr="00DD4D5E">
        <w:rPr>
          <w:rFonts w:cs="Times New Roman"/>
          <w:lang w:val="fr-CA"/>
        </w:rPr>
        <w:t xml:space="preserve">Deakin, A. Johnston et B. Markesinis, </w:t>
      </w:r>
      <w:r w:rsidRPr="00DD4D5E">
        <w:rPr>
          <w:rFonts w:cs="Times New Roman"/>
          <w:i/>
          <w:lang w:val="fr-CA"/>
        </w:rPr>
        <w:t>Markesinis and Deakin</w:t>
      </w:r>
      <w:r>
        <w:rPr>
          <w:rFonts w:cs="Times New Roman"/>
          <w:i/>
          <w:lang w:val="fr-CA"/>
        </w:rPr>
        <w:t>’</w:t>
      </w:r>
      <w:r w:rsidRPr="00DD4D5E">
        <w:rPr>
          <w:rFonts w:cs="Times New Roman"/>
          <w:i/>
          <w:lang w:val="fr-CA"/>
        </w:rPr>
        <w:t>s Tort Law</w:t>
      </w:r>
      <w:r w:rsidRPr="00DD4D5E">
        <w:rPr>
          <w:rFonts w:cs="Times New Roman"/>
          <w:lang w:val="fr-CA"/>
        </w:rPr>
        <w:t xml:space="preserve"> (7</w:t>
      </w:r>
      <w:r w:rsidRPr="00DD4D5E">
        <w:rPr>
          <w:rFonts w:cs="Times New Roman"/>
          <w:vertAlign w:val="superscript"/>
          <w:lang w:val="fr-CA"/>
        </w:rPr>
        <w:t>e</w:t>
      </w:r>
      <w:r w:rsidRPr="00DD4D5E">
        <w:rPr>
          <w:rFonts w:cs="Times New Roman"/>
          <w:lang w:val="fr-CA"/>
        </w:rPr>
        <w:t> éd. 2013), p. 124). Ces propos s</w:t>
      </w:r>
      <w:r>
        <w:rPr>
          <w:rFonts w:cs="Times New Roman"/>
          <w:lang w:val="fr-CA"/>
        </w:rPr>
        <w:t>’</w:t>
      </w:r>
      <w:r w:rsidRPr="00DD4D5E">
        <w:rPr>
          <w:rFonts w:cs="Times New Roman"/>
          <w:lang w:val="fr-CA"/>
        </w:rPr>
        <w:t>inscrivent dans le droit fil de la position que la Cour a adoptée il y a plus d</w:t>
      </w:r>
      <w:r>
        <w:rPr>
          <w:rFonts w:cs="Times New Roman"/>
          <w:lang w:val="fr-CA"/>
        </w:rPr>
        <w:t>’</w:t>
      </w:r>
      <w:r w:rsidRPr="00DD4D5E">
        <w:rPr>
          <w:rFonts w:cs="Times New Roman"/>
          <w:lang w:val="fr-CA"/>
        </w:rPr>
        <w:t>un siècle sous la plume du juge en chef Fitzpatrick dans l</w:t>
      </w:r>
      <w:r>
        <w:rPr>
          <w:rFonts w:cs="Times New Roman"/>
          <w:lang w:val="fr-CA"/>
        </w:rPr>
        <w:t>’</w:t>
      </w:r>
      <w:r w:rsidRPr="00DD4D5E">
        <w:rPr>
          <w:rFonts w:cs="Times New Roman"/>
          <w:lang w:val="fr-CA"/>
        </w:rPr>
        <w:t xml:space="preserve">arrêt </w:t>
      </w:r>
      <w:r w:rsidRPr="00DD4D5E">
        <w:rPr>
          <w:rFonts w:cs="Times New Roman"/>
          <w:i/>
          <w:lang w:val="fr-CA"/>
        </w:rPr>
        <w:t>Toronto Railway</w:t>
      </w:r>
      <w:r w:rsidRPr="00DD4D5E">
        <w:rPr>
          <w:rFonts w:cs="Times New Roman"/>
          <w:lang w:val="fr-CA"/>
        </w:rPr>
        <w:t> :</w:t>
      </w:r>
    </w:p>
    <w:p w:rsidR="00DE26CA" w:rsidRPr="00DD4D5E" w:rsidRDefault="00DE26CA" w:rsidP="00DE26CA">
      <w:pPr>
        <w:pStyle w:val="Citation-AltC"/>
        <w:ind w:hanging="1166"/>
        <w:contextualSpacing w:val="0"/>
        <w:rPr>
          <w:rFonts w:eastAsiaTheme="minorEastAsia"/>
          <w:lang w:val="fr-CA" w:eastAsia="en-US"/>
        </w:rPr>
      </w:pPr>
      <w:r w:rsidRPr="00DD4D5E">
        <w:rPr>
          <w:rFonts w:eastAsiaTheme="minorEastAsia"/>
          <w:lang w:val="fr-CA" w:eastAsia="en-US"/>
        </w:rPr>
        <w:tab/>
        <w:t>[</w:t>
      </w:r>
      <w:r w:rsidRPr="00DD4D5E">
        <w:rPr>
          <w:rFonts w:eastAsiaTheme="minorEastAsia"/>
          <w:smallCaps/>
          <w:lang w:val="fr-CA" w:eastAsia="en-US"/>
        </w:rPr>
        <w:t>traduction</w:t>
      </w:r>
      <w:r w:rsidRPr="00DD4D5E">
        <w:rPr>
          <w:rFonts w:eastAsiaTheme="minorEastAsia"/>
          <w:lang w:val="fr-CA" w:eastAsia="en-US"/>
        </w:rPr>
        <w:t>] Il semblerait assez difficile d</w:t>
      </w:r>
      <w:r>
        <w:rPr>
          <w:rFonts w:eastAsiaTheme="minorEastAsia"/>
          <w:lang w:val="fr-CA" w:eastAsia="en-US"/>
        </w:rPr>
        <w:t>’</w:t>
      </w:r>
      <w:r w:rsidRPr="00DD4D5E">
        <w:rPr>
          <w:rFonts w:eastAsiaTheme="minorEastAsia"/>
          <w:lang w:val="fr-CA" w:eastAsia="en-US"/>
        </w:rPr>
        <w:t>établir une distinction entre le préjudice infligé par l</w:t>
      </w:r>
      <w:r>
        <w:rPr>
          <w:rFonts w:eastAsiaTheme="minorEastAsia"/>
          <w:lang w:val="fr-CA" w:eastAsia="en-US"/>
        </w:rPr>
        <w:t>’</w:t>
      </w:r>
      <w:r w:rsidRPr="00DD4D5E">
        <w:rPr>
          <w:rFonts w:eastAsiaTheme="minorEastAsia"/>
          <w:lang w:val="fr-CA" w:eastAsia="en-US"/>
        </w:rPr>
        <w:t>impact à la charpente humaine et celui que subit le système nerveux par suite du choc [. . .] La nature du lien mystérieux qui unit le système nerveux aux tissus passifs du corps humain a fait l</w:t>
      </w:r>
      <w:r>
        <w:rPr>
          <w:rFonts w:eastAsiaTheme="minorEastAsia"/>
          <w:lang w:val="fr-CA" w:eastAsia="en-US"/>
        </w:rPr>
        <w:t>’</w:t>
      </w:r>
      <w:r w:rsidRPr="00DD4D5E">
        <w:rPr>
          <w:rFonts w:eastAsiaTheme="minorEastAsia"/>
          <w:lang w:val="fr-CA" w:eastAsia="en-US"/>
        </w:rPr>
        <w:t>objet d</w:t>
      </w:r>
      <w:r>
        <w:rPr>
          <w:rFonts w:eastAsiaTheme="minorEastAsia"/>
          <w:lang w:val="fr-CA" w:eastAsia="en-US"/>
        </w:rPr>
        <w:t>’</w:t>
      </w:r>
      <w:r w:rsidRPr="00DD4D5E">
        <w:rPr>
          <w:rFonts w:eastAsiaTheme="minorEastAsia"/>
          <w:lang w:val="fr-CA" w:eastAsia="en-US"/>
        </w:rPr>
        <w:t>un grand nombre d</w:t>
      </w:r>
      <w:r>
        <w:rPr>
          <w:rFonts w:eastAsiaTheme="minorEastAsia"/>
          <w:lang w:val="fr-CA" w:eastAsia="en-US"/>
        </w:rPr>
        <w:t>’</w:t>
      </w:r>
      <w:r w:rsidRPr="00DD4D5E">
        <w:rPr>
          <w:rFonts w:eastAsiaTheme="minorEastAsia"/>
          <w:lang w:val="fr-CA" w:eastAsia="en-US"/>
        </w:rPr>
        <w:t>hypothèses savantes, mais je ne crois pas que la mesure dans laquelle l</w:t>
      </w:r>
      <w:r>
        <w:rPr>
          <w:rFonts w:eastAsiaTheme="minorEastAsia"/>
          <w:lang w:val="fr-CA" w:eastAsia="en-US"/>
        </w:rPr>
        <w:t>’</w:t>
      </w:r>
      <w:r w:rsidRPr="00DD4D5E">
        <w:rPr>
          <w:rFonts w:eastAsiaTheme="minorEastAsia"/>
          <w:lang w:val="fr-CA" w:eastAsia="en-US"/>
        </w:rPr>
        <w:t>un influe sur l</w:t>
      </w:r>
      <w:r>
        <w:rPr>
          <w:rFonts w:eastAsiaTheme="minorEastAsia"/>
          <w:lang w:val="fr-CA" w:eastAsia="en-US"/>
        </w:rPr>
        <w:t>’</w:t>
      </w:r>
      <w:r w:rsidRPr="00DD4D5E">
        <w:rPr>
          <w:rFonts w:eastAsiaTheme="minorEastAsia"/>
          <w:lang w:val="fr-CA" w:eastAsia="en-US"/>
        </w:rPr>
        <w:t>autre a encore été déterminée définitivement</w:t>
      </w:r>
      <w:r w:rsidR="00464834">
        <w:rPr>
          <w:rFonts w:eastAsiaTheme="minorEastAsia"/>
          <w:lang w:val="fr-CA" w:eastAsia="en-US"/>
        </w:rPr>
        <w:t>. [. . .] j</w:t>
      </w:r>
      <w:r w:rsidRPr="00DD4D5E">
        <w:rPr>
          <w:rFonts w:eastAsiaTheme="minorEastAsia"/>
          <w:lang w:val="fr-CA" w:eastAsia="en-US"/>
        </w:rPr>
        <w:t>e ne puis tracer la ligne de démarcation entre le préjudice infligé au [corps] humain [. . .] et celui qui peut découler de la perturbation du système nerveux [. . .] Celle</w:t>
      </w:r>
      <w:r w:rsidRPr="00DD4D5E">
        <w:rPr>
          <w:rFonts w:eastAsiaTheme="minorEastAsia"/>
          <w:lang w:val="fr-CA" w:eastAsia="en-US"/>
        </w:rPr>
        <w:noBreakHyphen/>
        <w:t>ci peut fort bien avoir été causée par une altération du lien entre les os, les tendons, les artères et les nerfs. En tout état de cause, la conséquence est la même. La victime est frappée d</w:t>
      </w:r>
      <w:r>
        <w:rPr>
          <w:rFonts w:eastAsiaTheme="minorEastAsia"/>
          <w:lang w:val="fr-CA" w:eastAsia="en-US"/>
        </w:rPr>
        <w:t>’</w:t>
      </w:r>
      <w:r w:rsidR="00542873">
        <w:rPr>
          <w:rFonts w:eastAsiaTheme="minorEastAsia"/>
          <w:lang w:val="fr-CA" w:eastAsia="en-US"/>
        </w:rPr>
        <w:t>incapacité . . .</w:t>
      </w:r>
      <w:r w:rsidRPr="00DD4D5E">
        <w:rPr>
          <w:rFonts w:eastAsiaTheme="minorEastAsia"/>
          <w:lang w:val="fr-CA" w:eastAsia="en-US"/>
        </w:rPr>
        <w:t xml:space="preserve"> [p. 269</w:t>
      </w:r>
      <w:r w:rsidRPr="00DD4D5E">
        <w:rPr>
          <w:rFonts w:eastAsiaTheme="minorEastAsia"/>
          <w:lang w:val="fr-CA" w:eastAsia="en-US"/>
        </w:rPr>
        <w:noBreakHyphen/>
        <w:t>270]</w:t>
      </w:r>
    </w:p>
    <w:p w:rsidR="00DE26CA" w:rsidRPr="00DD4D5E" w:rsidRDefault="00DE26CA" w:rsidP="00DE26CA">
      <w:pPr>
        <w:pStyle w:val="ContinueParaSuitedupar-AltP"/>
        <w:rPr>
          <w:rFonts w:cs="Times New Roman"/>
          <w:lang w:val="fr-CA"/>
        </w:rPr>
      </w:pPr>
      <w:r w:rsidRPr="00DD4D5E">
        <w:rPr>
          <w:rFonts w:cs="Times New Roman"/>
          <w:lang w:val="fr-CA"/>
        </w:rPr>
        <w:t>En d</w:t>
      </w:r>
      <w:r>
        <w:rPr>
          <w:rFonts w:cs="Times New Roman"/>
          <w:lang w:val="fr-CA"/>
        </w:rPr>
        <w:t>’</w:t>
      </w:r>
      <w:r w:rsidRPr="00DD4D5E">
        <w:rPr>
          <w:rFonts w:cs="Times New Roman"/>
          <w:lang w:val="fr-CA"/>
        </w:rPr>
        <w:t>autres termes, comme l</w:t>
      </w:r>
      <w:r>
        <w:rPr>
          <w:rFonts w:cs="Times New Roman"/>
          <w:lang w:val="fr-CA"/>
        </w:rPr>
        <w:t>’</w:t>
      </w:r>
      <w:r w:rsidRPr="00DD4D5E">
        <w:rPr>
          <w:rFonts w:cs="Times New Roman"/>
          <w:lang w:val="fr-CA"/>
        </w:rPr>
        <w:t>ajoute le juge Davies (plus tard Juge en chef) dans le même l</w:t>
      </w:r>
      <w:r>
        <w:rPr>
          <w:rFonts w:cs="Times New Roman"/>
          <w:lang w:val="fr-CA"/>
        </w:rPr>
        <w:t>’</w:t>
      </w:r>
      <w:r w:rsidRPr="00DD4D5E">
        <w:rPr>
          <w:rFonts w:cs="Times New Roman"/>
          <w:lang w:val="fr-CA"/>
        </w:rPr>
        <w:t>arrêt, [</w:t>
      </w:r>
      <w:r w:rsidRPr="00DD4D5E">
        <w:rPr>
          <w:rFonts w:cs="Times New Roman"/>
          <w:smallCaps/>
          <w:lang w:val="fr-CA"/>
        </w:rPr>
        <w:t>traduction</w:t>
      </w:r>
      <w:r w:rsidRPr="00DD4D5E">
        <w:rPr>
          <w:rFonts w:cs="Times New Roman"/>
          <w:lang w:val="fr-CA"/>
        </w:rPr>
        <w:t>] « </w:t>
      </w:r>
      <w:r w:rsidR="00542873">
        <w:rPr>
          <w:rFonts w:cs="Times New Roman"/>
          <w:lang w:val="fr-CA"/>
        </w:rPr>
        <w:t>[</w:t>
      </w:r>
      <w:r w:rsidRPr="00DD4D5E">
        <w:rPr>
          <w:rFonts w:cs="Times New Roman"/>
          <w:lang w:val="fr-CA"/>
        </w:rPr>
        <w:t>l</w:t>
      </w:r>
      <w:r w:rsidR="00542873">
        <w:rPr>
          <w:rFonts w:cs="Times New Roman"/>
          <w:lang w:val="fr-CA"/>
        </w:rPr>
        <w:t>]</w:t>
      </w:r>
      <w:r w:rsidRPr="00DD4D5E">
        <w:rPr>
          <w:rFonts w:cs="Times New Roman"/>
          <w:lang w:val="fr-CA"/>
        </w:rPr>
        <w:t>e système nerveux fait tout autant partie de la réalité physique de l</w:t>
      </w:r>
      <w:r>
        <w:rPr>
          <w:rFonts w:cs="Times New Roman"/>
          <w:lang w:val="fr-CA"/>
        </w:rPr>
        <w:t>’</w:t>
      </w:r>
      <w:r w:rsidRPr="00DD4D5E">
        <w:rPr>
          <w:rFonts w:cs="Times New Roman"/>
          <w:lang w:val="fr-CA"/>
        </w:rPr>
        <w:t>être humain que les muscles ou les autres composants » (p. 275). De même, dans l</w:t>
      </w:r>
      <w:r>
        <w:rPr>
          <w:rFonts w:cs="Times New Roman"/>
          <w:lang w:val="fr-CA"/>
        </w:rPr>
        <w:t>’</w:t>
      </w:r>
      <w:r w:rsidRPr="00DD4D5E">
        <w:rPr>
          <w:rFonts w:cs="Times New Roman"/>
          <w:lang w:val="fr-CA"/>
        </w:rPr>
        <w:t xml:space="preserve">arrêt </w:t>
      </w:r>
      <w:r w:rsidRPr="00DD4D5E">
        <w:rPr>
          <w:rFonts w:cs="Times New Roman"/>
          <w:i/>
          <w:lang w:val="fr-CA"/>
        </w:rPr>
        <w:t>Bourhill c. Young</w:t>
      </w:r>
      <w:r w:rsidRPr="00DD4D5E">
        <w:rPr>
          <w:rFonts w:cs="Times New Roman"/>
          <w:lang w:val="fr-CA"/>
        </w:rPr>
        <w:t>, lord Macmillan dit que [</w:t>
      </w:r>
      <w:r w:rsidRPr="00DD4D5E">
        <w:rPr>
          <w:rFonts w:cs="Times New Roman"/>
          <w:smallCaps/>
          <w:lang w:val="fr-CA"/>
        </w:rPr>
        <w:t>traduction</w:t>
      </w:r>
      <w:r w:rsidRPr="00DD4D5E">
        <w:rPr>
          <w:rFonts w:cs="Times New Roman"/>
          <w:lang w:val="fr-CA"/>
        </w:rPr>
        <w:t>] « </w:t>
      </w:r>
      <w:r w:rsidR="00542873">
        <w:rPr>
          <w:rFonts w:cs="Times New Roman"/>
          <w:lang w:val="fr-CA"/>
        </w:rPr>
        <w:t>[</w:t>
      </w:r>
      <w:r w:rsidRPr="00DD4D5E">
        <w:rPr>
          <w:rFonts w:cs="Times New Roman"/>
          <w:lang w:val="fr-CA"/>
        </w:rPr>
        <w:t>l</w:t>
      </w:r>
      <w:r w:rsidR="00542873">
        <w:rPr>
          <w:rFonts w:cs="Times New Roman"/>
          <w:lang w:val="fr-CA"/>
        </w:rPr>
        <w:t>]</w:t>
      </w:r>
      <w:r w:rsidRPr="00DD4D5E">
        <w:rPr>
          <w:rFonts w:cs="Times New Roman"/>
          <w:lang w:val="fr-CA"/>
        </w:rPr>
        <w:t>a distinction entre le choc mental et le préjudice physique n</w:t>
      </w:r>
      <w:r>
        <w:rPr>
          <w:rFonts w:cs="Times New Roman"/>
          <w:lang w:val="fr-CA"/>
        </w:rPr>
        <w:t>’</w:t>
      </w:r>
      <w:r w:rsidRPr="00DD4D5E">
        <w:rPr>
          <w:rFonts w:cs="Times New Roman"/>
          <w:lang w:val="fr-CA"/>
        </w:rPr>
        <w:t>a jamais eu d</w:t>
      </w:r>
      <w:r>
        <w:rPr>
          <w:rFonts w:cs="Times New Roman"/>
          <w:lang w:val="fr-CA"/>
        </w:rPr>
        <w:t>’</w:t>
      </w:r>
      <w:r w:rsidRPr="00DD4D5E">
        <w:rPr>
          <w:rFonts w:cs="Times New Roman"/>
          <w:lang w:val="fr-CA"/>
        </w:rPr>
        <w:t xml:space="preserve">assise </w:t>
      </w:r>
      <w:r w:rsidRPr="00DD4D5E">
        <w:rPr>
          <w:rFonts w:cs="Times New Roman"/>
          <w:lang w:val="fr-CA"/>
        </w:rPr>
        <w:lastRenderedPageBreak/>
        <w:t>scientifique, car il y a lieu de croire que le choc mental découle ou, du moins s</w:t>
      </w:r>
      <w:r>
        <w:rPr>
          <w:rFonts w:cs="Times New Roman"/>
          <w:lang w:val="fr-CA"/>
        </w:rPr>
        <w:t>’</w:t>
      </w:r>
      <w:r w:rsidRPr="00DD4D5E">
        <w:rPr>
          <w:rFonts w:cs="Times New Roman"/>
          <w:lang w:val="fr-CA"/>
        </w:rPr>
        <w:t>accompagne, dans tous les cas, d</w:t>
      </w:r>
      <w:r>
        <w:rPr>
          <w:rFonts w:cs="Times New Roman"/>
          <w:lang w:val="fr-CA"/>
        </w:rPr>
        <w:t>’</w:t>
      </w:r>
      <w:r w:rsidRPr="00DD4D5E">
        <w:rPr>
          <w:rFonts w:cs="Times New Roman"/>
          <w:lang w:val="fr-CA"/>
        </w:rPr>
        <w:t>un dérèglement physique » (p. 103).</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Dès lors, obliger le demandeur qui allègue un préjudice personnel de nature mentale à prouver d</w:t>
      </w:r>
      <w:r>
        <w:rPr>
          <w:rFonts w:cs="Times New Roman"/>
          <w:lang w:val="fr-CA"/>
        </w:rPr>
        <w:t>’</w:t>
      </w:r>
      <w:r w:rsidRPr="00DD4D5E">
        <w:rPr>
          <w:rFonts w:cs="Times New Roman"/>
          <w:lang w:val="fr-CA"/>
        </w:rPr>
        <w:t>abord que son état correspond à un « trouble psychiatrique reconnaissable », c</w:t>
      </w:r>
      <w:r>
        <w:rPr>
          <w:rFonts w:cs="Times New Roman"/>
          <w:lang w:val="fr-CA"/>
        </w:rPr>
        <w:t>’</w:t>
      </w:r>
      <w:r w:rsidRPr="00DD4D5E">
        <w:rPr>
          <w:rFonts w:cs="Times New Roman"/>
          <w:lang w:val="fr-CA"/>
        </w:rPr>
        <w:t>est</w:t>
      </w:r>
      <w:r w:rsidRPr="00DD4D5E">
        <w:rPr>
          <w:rFonts w:cs="Times New Roman"/>
          <w:lang w:val="fr-CA"/>
        </w:rPr>
        <w:noBreakHyphen/>
        <w:t>à</w:t>
      </w:r>
      <w:r w:rsidRPr="00DD4D5E">
        <w:rPr>
          <w:rFonts w:cs="Times New Roman"/>
          <w:lang w:val="fr-CA"/>
        </w:rPr>
        <w:noBreakHyphen/>
        <w:t>dire le contraindre à prouver que son état est dûment répertorié, sans faire la même obligation au demandeur qui allègue un préjudice personnel de nature physique, va à l</w:t>
      </w:r>
      <w:r>
        <w:rPr>
          <w:rFonts w:cs="Times New Roman"/>
          <w:lang w:val="fr-CA"/>
        </w:rPr>
        <w:t>’</w:t>
      </w:r>
      <w:r w:rsidRPr="00DD4D5E">
        <w:rPr>
          <w:rFonts w:cs="Times New Roman"/>
          <w:lang w:val="fr-CA"/>
        </w:rPr>
        <w:t>encontre des affirmations antérieures de la Cour et d</w:t>
      </w:r>
      <w:r>
        <w:rPr>
          <w:rFonts w:cs="Times New Roman"/>
          <w:lang w:val="fr-CA"/>
        </w:rPr>
        <w:t>’</w:t>
      </w:r>
      <w:r w:rsidRPr="00DD4D5E">
        <w:rPr>
          <w:rFonts w:cs="Times New Roman"/>
          <w:lang w:val="fr-CA"/>
        </w:rPr>
        <w:t>autres tribunaux. C</w:t>
      </w:r>
      <w:r>
        <w:rPr>
          <w:rFonts w:cs="Times New Roman"/>
          <w:lang w:val="fr-CA"/>
        </w:rPr>
        <w:t>’</w:t>
      </w:r>
      <w:r w:rsidRPr="00DD4D5E">
        <w:rPr>
          <w:rFonts w:cs="Times New Roman"/>
          <w:lang w:val="fr-CA"/>
        </w:rPr>
        <w:t>est accorder une protection inégale, c</w:t>
      </w:r>
      <w:r>
        <w:rPr>
          <w:rFonts w:cs="Times New Roman"/>
          <w:lang w:val="fr-CA"/>
        </w:rPr>
        <w:t>’</w:t>
      </w:r>
      <w:r w:rsidRPr="00DD4D5E">
        <w:rPr>
          <w:rFonts w:cs="Times New Roman"/>
          <w:lang w:val="fr-CA"/>
        </w:rPr>
        <w:t>est</w:t>
      </w:r>
      <w:r w:rsidRPr="00DD4D5E">
        <w:rPr>
          <w:rFonts w:cs="Times New Roman"/>
          <w:lang w:val="fr-CA"/>
        </w:rPr>
        <w:noBreakHyphen/>
        <w:t>à</w:t>
      </w:r>
      <w:r w:rsidRPr="00DD4D5E">
        <w:rPr>
          <w:rFonts w:cs="Times New Roman"/>
          <w:lang w:val="fr-CA"/>
        </w:rPr>
        <w:noBreakHyphen/>
        <w:t>dire moindre, à la victime d</w:t>
      </w:r>
      <w:r>
        <w:rPr>
          <w:rFonts w:cs="Times New Roman"/>
          <w:lang w:val="fr-CA"/>
        </w:rPr>
        <w:t>’</w:t>
      </w:r>
      <w:r w:rsidRPr="00DD4D5E">
        <w:rPr>
          <w:rFonts w:cs="Times New Roman"/>
          <w:lang w:val="fr-CA"/>
        </w:rPr>
        <w:t>un préjudice mental, et ce, sans justification rationnelle (Beever, p. 410), ce que je ne saurais cautionner.</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Pour autant, le préjudice mental ne se démontre pas toujours aussi aisément que le préjudice physique. Bien qu</w:t>
      </w:r>
      <w:r>
        <w:rPr>
          <w:rFonts w:cs="Times New Roman"/>
          <w:lang w:val="fr-CA"/>
        </w:rPr>
        <w:t>’</w:t>
      </w:r>
      <w:r w:rsidRPr="00DD4D5E">
        <w:rPr>
          <w:rFonts w:cs="Times New Roman"/>
          <w:lang w:val="fr-CA"/>
        </w:rPr>
        <w:t>une allégation d</w:t>
      </w:r>
      <w:r>
        <w:rPr>
          <w:rFonts w:cs="Times New Roman"/>
          <w:lang w:val="fr-CA"/>
        </w:rPr>
        <w:t>’</w:t>
      </w:r>
      <w:r w:rsidRPr="00DD4D5E">
        <w:rPr>
          <w:rFonts w:cs="Times New Roman"/>
          <w:lang w:val="fr-CA"/>
        </w:rPr>
        <w:t>endommagement du tissu musculaire puisse parfois se révéler problématique pour le juge des faits, l</w:t>
      </w:r>
      <w:r>
        <w:rPr>
          <w:rFonts w:cs="Times New Roman"/>
          <w:lang w:val="fr-CA"/>
        </w:rPr>
        <w:t>’</w:t>
      </w:r>
      <w:r w:rsidRPr="00DD4D5E">
        <w:rPr>
          <w:rFonts w:cs="Times New Roman"/>
          <w:lang w:val="fr-CA"/>
        </w:rPr>
        <w:t>existence de bon nombre d</w:t>
      </w:r>
      <w:r>
        <w:rPr>
          <w:rFonts w:cs="Times New Roman"/>
          <w:lang w:val="fr-CA"/>
        </w:rPr>
        <w:t>’</w:t>
      </w:r>
      <w:r w:rsidRPr="00DD4D5E">
        <w:rPr>
          <w:rFonts w:cs="Times New Roman"/>
          <w:lang w:val="fr-CA"/>
        </w:rPr>
        <w:t>affections physiques, comme les lacérations et les fractures, peut être confirmée de manière objective. Par contre, dans bien des cas, le préjudice mental n</w:t>
      </w:r>
      <w:r>
        <w:rPr>
          <w:rFonts w:cs="Times New Roman"/>
          <w:lang w:val="fr-CA"/>
        </w:rPr>
        <w:t>’</w:t>
      </w:r>
      <w:r w:rsidRPr="00DD4D5E">
        <w:rPr>
          <w:rFonts w:cs="Times New Roman"/>
          <w:lang w:val="fr-CA"/>
        </w:rPr>
        <w:t>est pas aussi évident. De plus, comme le dit clairement la Cour dans l</w:t>
      </w:r>
      <w:r>
        <w:rPr>
          <w:rFonts w:cs="Times New Roman"/>
          <w:lang w:val="fr-CA"/>
        </w:rPr>
        <w:t>’</w:t>
      </w:r>
      <w:r w:rsidRPr="00DD4D5E">
        <w:rPr>
          <w:rFonts w:cs="Times New Roman"/>
          <w:lang w:val="fr-CA"/>
        </w:rPr>
        <w:t xml:space="preserve">arrêt </w:t>
      </w:r>
      <w:r w:rsidRPr="00DD4D5E">
        <w:rPr>
          <w:rFonts w:cs="Times New Roman"/>
          <w:i/>
          <w:lang w:val="fr-CA"/>
        </w:rPr>
        <w:t>Mustapha</w:t>
      </w:r>
      <w:r w:rsidRPr="00542873">
        <w:rPr>
          <w:rFonts w:cs="Times New Roman"/>
          <w:lang w:val="fr-CA"/>
        </w:rPr>
        <w:t>,</w:t>
      </w:r>
      <w:r w:rsidRPr="00DD4D5E">
        <w:rPr>
          <w:rFonts w:cs="Times New Roman"/>
          <w:lang w:val="fr-CA"/>
        </w:rPr>
        <w:t xml:space="preserve"> la seule </w:t>
      </w:r>
      <w:r w:rsidRPr="00DD4D5E">
        <w:rPr>
          <w:rFonts w:cs="Times New Roman"/>
          <w:i/>
          <w:lang w:val="fr-CA"/>
        </w:rPr>
        <w:t>contrariété</w:t>
      </w:r>
      <w:r w:rsidRPr="00DD4D5E">
        <w:rPr>
          <w:rFonts w:cs="Times New Roman"/>
          <w:lang w:val="fr-CA"/>
        </w:rPr>
        <w:t xml:space="preserve"> ne saurait établir le </w:t>
      </w:r>
      <w:r w:rsidRPr="00DD4D5E">
        <w:rPr>
          <w:rFonts w:cs="Times New Roman"/>
          <w:i/>
          <w:lang w:val="fr-CA"/>
        </w:rPr>
        <w:t>préjudice</w:t>
      </w:r>
      <w:r w:rsidRPr="00DD4D5E">
        <w:rPr>
          <w:rFonts w:cs="Times New Roman"/>
          <w:lang w:val="fr-CA"/>
        </w:rPr>
        <w:t xml:space="preserve"> mental.</w:t>
      </w:r>
      <w:r>
        <w:rPr>
          <w:rFonts w:cs="Times New Roman"/>
          <w:lang w:val="fr-CA"/>
        </w:rPr>
        <w:t xml:space="preserve"> </w:t>
      </w:r>
      <w:r w:rsidRPr="00DD4D5E">
        <w:rPr>
          <w:rFonts w:cs="Times New Roman"/>
          <w:lang w:val="fr-CA"/>
        </w:rPr>
        <w:t>Même si elles protègent donc la personne contre l</w:t>
      </w:r>
      <w:r>
        <w:rPr>
          <w:rFonts w:cs="Times New Roman"/>
          <w:lang w:val="fr-CA"/>
        </w:rPr>
        <w:t>’</w:t>
      </w:r>
      <w:r w:rsidRPr="00DD4D5E">
        <w:rPr>
          <w:rFonts w:cs="Times New Roman"/>
          <w:lang w:val="fr-CA"/>
        </w:rPr>
        <w:t>atteinte par négligence à sa santé mentale, les règles de la responsabilité délictuelle ne lui reconnaissent pas le droit d</w:t>
      </w:r>
      <w:r>
        <w:rPr>
          <w:rFonts w:cs="Times New Roman"/>
          <w:lang w:val="fr-CA"/>
        </w:rPr>
        <w:t>’</w:t>
      </w:r>
      <w:r w:rsidRPr="00DD4D5E">
        <w:rPr>
          <w:rFonts w:cs="Times New Roman"/>
          <w:lang w:val="fr-CA"/>
        </w:rPr>
        <w:t>être heureuse. En conséquence, le demandeur a un fardeau de preuve bien plus grand, si bien qu</w:t>
      </w:r>
      <w:r>
        <w:rPr>
          <w:rFonts w:cs="Times New Roman"/>
          <w:lang w:val="fr-CA"/>
        </w:rPr>
        <w:t>’</w:t>
      </w:r>
      <w:r w:rsidRPr="00DD4D5E">
        <w:rPr>
          <w:rFonts w:cs="Times New Roman"/>
          <w:lang w:val="fr-CA"/>
        </w:rPr>
        <w:t>il doit établir que le préjudice subi est « grave et de longue durée, et qu</w:t>
      </w:r>
      <w:r>
        <w:rPr>
          <w:rFonts w:cs="Times New Roman"/>
          <w:lang w:val="fr-CA"/>
        </w:rPr>
        <w:t>’</w:t>
      </w:r>
      <w:r w:rsidRPr="00DD4D5E">
        <w:rPr>
          <w:rFonts w:cs="Times New Roman"/>
          <w:lang w:val="fr-CA"/>
        </w:rPr>
        <w:t>il ne [s</w:t>
      </w:r>
      <w:r>
        <w:rPr>
          <w:rFonts w:cs="Times New Roman"/>
          <w:lang w:val="fr-CA"/>
        </w:rPr>
        <w:t>’</w:t>
      </w:r>
      <w:r w:rsidRPr="00DD4D5E">
        <w:rPr>
          <w:rFonts w:cs="Times New Roman"/>
          <w:lang w:val="fr-CA"/>
        </w:rPr>
        <w:t xml:space="preserve">agit pas] </w:t>
      </w:r>
      <w:r w:rsidRPr="00DD4D5E">
        <w:rPr>
          <w:rFonts w:cs="Times New Roman"/>
          <w:lang w:val="fr-CA"/>
        </w:rPr>
        <w:lastRenderedPageBreak/>
        <w:t>simplement des désagréments, angoisses et craintes ordinaires » inhérents à la vie en société (</w:t>
      </w:r>
      <w:r w:rsidRPr="00DD4D5E">
        <w:rPr>
          <w:rFonts w:cs="Times New Roman"/>
          <w:i/>
          <w:lang w:val="fr-CA"/>
        </w:rPr>
        <w:t>Mustapha</w:t>
      </w:r>
      <w:r w:rsidRPr="00DD4D5E">
        <w:rPr>
          <w:rFonts w:cs="Times New Roman"/>
          <w:lang w:val="fr-CA"/>
        </w:rPr>
        <w:t>, par. 9). Cette réalité ne dénote toutefois pas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une distinction en droit entre le préjudice mental et le préjudice physique, mais tient plutôt à la question juridique préalable de savoir</w:t>
      </w:r>
      <w:r w:rsidR="00BE7EAF">
        <w:rPr>
          <w:rFonts w:cs="Times New Roman"/>
          <w:lang w:val="fr-CA"/>
        </w:rPr>
        <w:t xml:space="preserve"> en quoi consiste le « préjudice </w:t>
      </w:r>
      <w:r w:rsidRPr="00DD4D5E">
        <w:rPr>
          <w:rFonts w:cs="Times New Roman"/>
          <w:lang w:val="fr-CA"/>
        </w:rPr>
        <w:t>mental ». En dernière analyse, pour prouver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préjudice mental, le demandeur doit montrer que le dérèglement atteint le degré de sévérité exigé (mais non, contrairement à ce que prétendent les intimés, que son état est dûment répertorié en tant que trouble psychiatrique reconnu).</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Il ne s</w:t>
      </w:r>
      <w:r>
        <w:rPr>
          <w:rFonts w:cs="Times New Roman"/>
          <w:lang w:val="fr-CA"/>
        </w:rPr>
        <w:t>’</w:t>
      </w:r>
      <w:r w:rsidRPr="00DD4D5E">
        <w:rPr>
          <w:rFonts w:cs="Times New Roman"/>
          <w:lang w:val="fr-CA"/>
        </w:rPr>
        <w:t>ensuit pas non plus que la preuve d</w:t>
      </w:r>
      <w:r>
        <w:rPr>
          <w:rFonts w:cs="Times New Roman"/>
          <w:lang w:val="fr-CA"/>
        </w:rPr>
        <w:t>’</w:t>
      </w:r>
      <w:r w:rsidRPr="00DD4D5E">
        <w:rPr>
          <w:rFonts w:cs="Times New Roman"/>
          <w:lang w:val="fr-CA"/>
        </w:rPr>
        <w:t>expert n</w:t>
      </w:r>
      <w:r>
        <w:rPr>
          <w:rFonts w:cs="Times New Roman"/>
          <w:lang w:val="fr-CA"/>
        </w:rPr>
        <w:t>’</w:t>
      </w:r>
      <w:r w:rsidRPr="00DD4D5E">
        <w:rPr>
          <w:rFonts w:cs="Times New Roman"/>
          <w:lang w:val="fr-CA"/>
        </w:rPr>
        <w:t>est d</w:t>
      </w:r>
      <w:r>
        <w:rPr>
          <w:rFonts w:cs="Times New Roman"/>
          <w:lang w:val="fr-CA"/>
        </w:rPr>
        <w:t>’</w:t>
      </w:r>
      <w:r w:rsidRPr="00DD4D5E">
        <w:rPr>
          <w:rFonts w:cs="Times New Roman"/>
          <w:lang w:val="fr-CA"/>
        </w:rPr>
        <w:t>aucune utilité pour décider si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préjudice mental a été établie ou non. Il importe dans bien des cas que le tribunal saisi de l</w:t>
      </w:r>
      <w:r>
        <w:rPr>
          <w:rFonts w:cs="Times New Roman"/>
          <w:lang w:val="fr-CA"/>
        </w:rPr>
        <w:t>’</w:t>
      </w:r>
      <w:r w:rsidRPr="00DD4D5E">
        <w:rPr>
          <w:rFonts w:cs="Times New Roman"/>
          <w:lang w:val="fr-CA"/>
        </w:rPr>
        <w:t>allégation s</w:t>
      </w:r>
      <w:r>
        <w:rPr>
          <w:rFonts w:cs="Times New Roman"/>
          <w:lang w:val="fr-CA"/>
        </w:rPr>
        <w:t>’</w:t>
      </w:r>
      <w:r w:rsidRPr="00DD4D5E">
        <w:rPr>
          <w:rFonts w:cs="Times New Roman"/>
          <w:lang w:val="fr-CA"/>
        </w:rPr>
        <w:t>interroge, par exemple, sur la gravité de l</w:t>
      </w:r>
      <w:r>
        <w:rPr>
          <w:rFonts w:cs="Times New Roman"/>
          <w:lang w:val="fr-CA"/>
        </w:rPr>
        <w:t>’</w:t>
      </w:r>
      <w:r w:rsidRPr="00DD4D5E">
        <w:rPr>
          <w:rFonts w:cs="Times New Roman"/>
          <w:lang w:val="fr-CA"/>
        </w:rPr>
        <w:t>atteinte aux fonctions cognitives et au déroulement des activités quotidiennes du demandeur, sur la durée de cette atteinte, ainsi que sur la nature et l</w:t>
      </w:r>
      <w:r>
        <w:rPr>
          <w:rFonts w:cs="Times New Roman"/>
          <w:lang w:val="fr-CA"/>
        </w:rPr>
        <w:t>’</w:t>
      </w:r>
      <w:r w:rsidRPr="00DD4D5E">
        <w:rPr>
          <w:rFonts w:cs="Times New Roman"/>
          <w:lang w:val="fr-CA"/>
        </w:rPr>
        <w:t>effet de tout traitement (Mulheron, p. 109). Le demandeur qui ne présente aucune preuve d</w:t>
      </w:r>
      <w:r>
        <w:rPr>
          <w:rFonts w:cs="Times New Roman"/>
          <w:lang w:val="fr-CA"/>
        </w:rPr>
        <w:t>’</w:t>
      </w:r>
      <w:r w:rsidRPr="00DD4D5E">
        <w:rPr>
          <w:rFonts w:cs="Times New Roman"/>
          <w:lang w:val="fr-CA"/>
        </w:rPr>
        <w:t>expert susceptible d</w:t>
      </w:r>
      <w:r>
        <w:rPr>
          <w:rFonts w:cs="Times New Roman"/>
          <w:lang w:val="fr-CA"/>
        </w:rPr>
        <w:t>’</w:t>
      </w:r>
      <w:r w:rsidRPr="00DD4D5E">
        <w:rPr>
          <w:rFonts w:cs="Times New Roman"/>
          <w:lang w:val="fr-CA"/>
        </w:rPr>
        <w:t>épauler le juge des faits dans la prise en compte de ces facteurs et d</w:t>
      </w:r>
      <w:r>
        <w:rPr>
          <w:rFonts w:cs="Times New Roman"/>
          <w:lang w:val="fr-CA"/>
        </w:rPr>
        <w:t>’</w:t>
      </w:r>
      <w:r w:rsidRPr="00DD4D5E">
        <w:rPr>
          <w:rFonts w:cs="Times New Roman"/>
          <w:lang w:val="fr-CA"/>
        </w:rPr>
        <w:t>autres considérations pertinentes s</w:t>
      </w:r>
      <w:r>
        <w:rPr>
          <w:rFonts w:cs="Times New Roman"/>
          <w:lang w:val="fr-CA"/>
        </w:rPr>
        <w:t>’</w:t>
      </w:r>
      <w:r w:rsidRPr="00DD4D5E">
        <w:rPr>
          <w:rFonts w:cs="Times New Roman"/>
          <w:lang w:val="fr-CA"/>
        </w:rPr>
        <w:t>expose au risque d</w:t>
      </w:r>
      <w:r>
        <w:rPr>
          <w:rFonts w:cs="Times New Roman"/>
          <w:lang w:val="fr-CA"/>
        </w:rPr>
        <w:t>’</w:t>
      </w:r>
      <w:r w:rsidRPr="00DD4D5E">
        <w:rPr>
          <w:rFonts w:cs="Times New Roman"/>
          <w:lang w:val="fr-CA"/>
        </w:rPr>
        <w:t>être débouté à cause du caractère insuffisant de sa preuve. Dans l</w:t>
      </w:r>
      <w:r>
        <w:rPr>
          <w:rFonts w:cs="Times New Roman"/>
          <w:lang w:val="fr-CA"/>
        </w:rPr>
        <w:t>’</w:t>
      </w:r>
      <w:r w:rsidRPr="00DD4D5E">
        <w:rPr>
          <w:rFonts w:cs="Times New Roman"/>
          <w:lang w:val="fr-CA"/>
        </w:rPr>
        <w:t xml:space="preserve">arrêt </w:t>
      </w:r>
      <w:r w:rsidRPr="00DD4D5E">
        <w:rPr>
          <w:rFonts w:cs="Times New Roman"/>
          <w:i/>
          <w:lang w:val="fr-CA"/>
        </w:rPr>
        <w:t>van Soest</w:t>
      </w:r>
      <w:r w:rsidRPr="00DD4D5E">
        <w:rPr>
          <w:rFonts w:cs="Times New Roman"/>
          <w:lang w:val="fr-CA"/>
        </w:rPr>
        <w:t>, le juge Thomas fait remarquer que [</w:t>
      </w:r>
      <w:r w:rsidRPr="00DD4D5E">
        <w:rPr>
          <w:rFonts w:cs="Times New Roman"/>
          <w:smallCaps/>
          <w:lang w:val="fr-CA"/>
        </w:rPr>
        <w:t>traduction</w:t>
      </w:r>
      <w:r w:rsidRPr="00DD4D5E">
        <w:rPr>
          <w:rFonts w:cs="Times New Roman"/>
          <w:lang w:val="fr-CA"/>
        </w:rPr>
        <w:t>] « l</w:t>
      </w:r>
      <w:r>
        <w:rPr>
          <w:rFonts w:cs="Times New Roman"/>
          <w:lang w:val="fr-CA"/>
        </w:rPr>
        <w:t>’</w:t>
      </w:r>
      <w:r w:rsidRPr="00DD4D5E">
        <w:rPr>
          <w:rFonts w:cs="Times New Roman"/>
          <w:lang w:val="fr-CA"/>
        </w:rPr>
        <w:t>expert peut éclairer le tribunal sur l</w:t>
      </w:r>
      <w:r>
        <w:rPr>
          <w:rFonts w:cs="Times New Roman"/>
          <w:lang w:val="fr-CA"/>
        </w:rPr>
        <w:t>’</w:t>
      </w:r>
      <w:r w:rsidRPr="00DD4D5E">
        <w:rPr>
          <w:rFonts w:cs="Times New Roman"/>
          <w:lang w:val="fr-CA"/>
        </w:rPr>
        <w:t>état actuel des connaissances médicales » « sans devoir aborder la question de savoir si la souffrance morale correspond à un trouble psychiatrique reconnaissable ou non » (par. 103). Précisons toutefois que même si l</w:t>
      </w:r>
      <w:r>
        <w:rPr>
          <w:rFonts w:cs="Times New Roman"/>
          <w:lang w:val="fr-CA"/>
        </w:rPr>
        <w:t>’</w:t>
      </w:r>
      <w:r w:rsidRPr="00DD4D5E">
        <w:rPr>
          <w:rFonts w:cs="Times New Roman"/>
          <w:lang w:val="fr-CA"/>
        </w:rPr>
        <w:t>opinion d</w:t>
      </w:r>
      <w:r>
        <w:rPr>
          <w:rFonts w:cs="Times New Roman"/>
          <w:lang w:val="fr-CA"/>
        </w:rPr>
        <w:t>’</w:t>
      </w:r>
      <w:r w:rsidRPr="00DD4D5E">
        <w:rPr>
          <w:rFonts w:cs="Times New Roman"/>
          <w:lang w:val="fr-CA"/>
        </w:rPr>
        <w:t>un expert est souvent utile pour décider si le demandeur a établi ou non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préjudice mental, elle n</w:t>
      </w:r>
      <w:r>
        <w:rPr>
          <w:rFonts w:cs="Times New Roman"/>
          <w:lang w:val="fr-CA"/>
        </w:rPr>
        <w:t>’</w:t>
      </w:r>
      <w:r w:rsidRPr="00DD4D5E">
        <w:rPr>
          <w:rFonts w:cs="Times New Roman"/>
          <w:lang w:val="fr-CA"/>
        </w:rPr>
        <w:t xml:space="preserve">est pas exigée sur </w:t>
      </w:r>
      <w:r w:rsidRPr="00DD4D5E">
        <w:rPr>
          <w:rFonts w:cs="Times New Roman"/>
          <w:lang w:val="fr-CA"/>
        </w:rPr>
        <w:lastRenderedPageBreak/>
        <w:t>le plan juridique. Malgré l</w:t>
      </w:r>
      <w:r>
        <w:rPr>
          <w:rFonts w:cs="Times New Roman"/>
          <w:lang w:val="fr-CA"/>
        </w:rPr>
        <w:t>’</w:t>
      </w:r>
      <w:r w:rsidRPr="00DD4D5E">
        <w:rPr>
          <w:rFonts w:cs="Times New Roman"/>
          <w:lang w:val="fr-CA"/>
        </w:rPr>
        <w:t>absence d</w:t>
      </w:r>
      <w:r>
        <w:rPr>
          <w:rFonts w:cs="Times New Roman"/>
          <w:lang w:val="fr-CA"/>
        </w:rPr>
        <w:t>’</w:t>
      </w:r>
      <w:r w:rsidRPr="00DD4D5E">
        <w:rPr>
          <w:rFonts w:cs="Times New Roman"/>
          <w:lang w:val="fr-CA"/>
        </w:rPr>
        <w:t>un diagnostic psychiatrique, il demeure loisible au juge des faits de conclure, à la lumière des éléments de preuve offerts, que le demandeur a prouvé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préjudice mental selon la prépondérance des probabilités. Et, bien sûr, le défendeur peut également réfuter l</w:t>
      </w:r>
      <w:r>
        <w:rPr>
          <w:rFonts w:cs="Times New Roman"/>
          <w:lang w:val="fr-CA"/>
        </w:rPr>
        <w:t>’</w:t>
      </w:r>
      <w:r w:rsidRPr="00DD4D5E">
        <w:rPr>
          <w:rFonts w:cs="Times New Roman"/>
          <w:lang w:val="fr-CA"/>
        </w:rPr>
        <w:t>allégation en faisant témoigner un expert pour établir que l</w:t>
      </w:r>
      <w:r>
        <w:rPr>
          <w:rFonts w:cs="Times New Roman"/>
          <w:lang w:val="fr-CA"/>
        </w:rPr>
        <w:t>’</w:t>
      </w:r>
      <w:r w:rsidRPr="00DD4D5E">
        <w:rPr>
          <w:rFonts w:cs="Times New Roman"/>
          <w:lang w:val="fr-CA"/>
        </w:rPr>
        <w:t>accident n</w:t>
      </w:r>
      <w:r>
        <w:rPr>
          <w:rFonts w:cs="Times New Roman"/>
          <w:lang w:val="fr-CA"/>
        </w:rPr>
        <w:t>’</w:t>
      </w:r>
      <w:r w:rsidRPr="00DD4D5E">
        <w:rPr>
          <w:rFonts w:cs="Times New Roman"/>
          <w:lang w:val="fr-CA"/>
        </w:rPr>
        <w:t xml:space="preserve">a pu avoir causé </w:t>
      </w:r>
      <w:r w:rsidRPr="00DD4D5E">
        <w:rPr>
          <w:rFonts w:cs="Times New Roman"/>
          <w:i/>
          <w:lang w:val="fr-CA"/>
        </w:rPr>
        <w:t xml:space="preserve">quelque </w:t>
      </w:r>
      <w:r w:rsidRPr="00DD4D5E">
        <w:rPr>
          <w:rFonts w:cs="Times New Roman"/>
          <w:lang w:val="fr-CA"/>
        </w:rPr>
        <w:t>préjudice mental ou, du moins, quelque préjudice mental connu en psychiatrie. Même si, pour les raisons exposées précédemment, l</w:t>
      </w:r>
      <w:r>
        <w:rPr>
          <w:rFonts w:cs="Times New Roman"/>
          <w:lang w:val="fr-CA"/>
        </w:rPr>
        <w:t>’</w:t>
      </w:r>
      <w:r w:rsidRPr="00DD4D5E">
        <w:rPr>
          <w:rFonts w:cs="Times New Roman"/>
          <w:lang w:val="fr-CA"/>
        </w:rPr>
        <w:t>absence de diagnostic ne peut à elle seule clore le dossier, il s</w:t>
      </w:r>
      <w:r>
        <w:rPr>
          <w:rFonts w:cs="Times New Roman"/>
          <w:lang w:val="fr-CA"/>
        </w:rPr>
        <w:t>’</w:t>
      </w:r>
      <w:r w:rsidRPr="00DD4D5E">
        <w:rPr>
          <w:rFonts w:cs="Times New Roman"/>
          <w:lang w:val="fr-CA"/>
        </w:rPr>
        <w:t>agit d</w:t>
      </w:r>
      <w:r>
        <w:rPr>
          <w:rFonts w:cs="Times New Roman"/>
          <w:lang w:val="fr-CA"/>
        </w:rPr>
        <w:t>’</w:t>
      </w:r>
      <w:r w:rsidRPr="00DD4D5E">
        <w:rPr>
          <w:rFonts w:cs="Times New Roman"/>
          <w:lang w:val="fr-CA"/>
        </w:rPr>
        <w:t>un élément que le juge des faits peut décider de mettre en balance avec les éléments avancés à l</w:t>
      </w:r>
      <w:r>
        <w:rPr>
          <w:rFonts w:cs="Times New Roman"/>
          <w:lang w:val="fr-CA"/>
        </w:rPr>
        <w:t>’</w:t>
      </w:r>
      <w:r w:rsidRPr="00DD4D5E">
        <w:rPr>
          <w:rFonts w:cs="Times New Roman"/>
          <w:lang w:val="fr-CA"/>
        </w:rPr>
        <w:t>appui de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préjudice mental.</w:t>
      </w:r>
    </w:p>
    <w:p w:rsidR="00DE26CA" w:rsidRPr="00DD4D5E" w:rsidRDefault="00DE26CA" w:rsidP="00DE26CA">
      <w:pPr>
        <w:pStyle w:val="Title3LevelTitre3Niveau"/>
        <w:rPr>
          <w:rFonts w:cs="Times New Roman"/>
          <w:lang w:val="fr-CA"/>
        </w:rPr>
      </w:pPr>
      <w:r w:rsidRPr="00DD4D5E">
        <w:rPr>
          <w:rFonts w:cs="Times New Roman"/>
          <w:lang w:val="fr-CA"/>
        </w:rPr>
        <w:t>Application</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 xml:space="preserve">Le juge de première instance conclut </w:t>
      </w:r>
      <w:r w:rsidRPr="00DD4D5E">
        <w:rPr>
          <w:rFonts w:eastAsiaTheme="minorHAnsi" w:cs="Times New Roman"/>
          <w:lang w:val="fr-CA"/>
        </w:rPr>
        <w:t>que l</w:t>
      </w:r>
      <w:r>
        <w:rPr>
          <w:rFonts w:eastAsiaTheme="minorHAnsi" w:cs="Times New Roman"/>
          <w:lang w:val="fr-CA"/>
        </w:rPr>
        <w:t>’</w:t>
      </w:r>
      <w:r w:rsidRPr="00DD4D5E">
        <w:rPr>
          <w:rFonts w:eastAsiaTheme="minorHAnsi" w:cs="Times New Roman"/>
          <w:lang w:val="fr-CA"/>
        </w:rPr>
        <w:t>accident a infligé à l</w:t>
      </w:r>
      <w:r>
        <w:rPr>
          <w:rFonts w:eastAsiaTheme="minorHAnsi" w:cs="Times New Roman"/>
          <w:lang w:val="fr-CA"/>
        </w:rPr>
        <w:t>’</w:t>
      </w:r>
      <w:r w:rsidRPr="00DD4D5E">
        <w:rPr>
          <w:rFonts w:eastAsiaTheme="minorHAnsi" w:cs="Times New Roman"/>
          <w:lang w:val="fr-CA"/>
        </w:rPr>
        <w:t>appelant [</w:t>
      </w:r>
      <w:r w:rsidRPr="00DD4D5E">
        <w:rPr>
          <w:rFonts w:eastAsiaTheme="minorHAnsi" w:cs="Times New Roman"/>
          <w:smallCaps/>
          <w:lang w:val="fr-CA"/>
        </w:rPr>
        <w:t>traduction</w:t>
      </w:r>
      <w:r w:rsidRPr="00DD4D5E">
        <w:rPr>
          <w:rFonts w:eastAsiaTheme="minorHAnsi" w:cs="Times New Roman"/>
          <w:lang w:val="fr-CA"/>
        </w:rPr>
        <w:t>] « des préjudices psychologiques, dont un changement de personnalité et des troubles cognitifs » (par. 50) et, plus particulièrement, des difficultés d</w:t>
      </w:r>
      <w:r>
        <w:rPr>
          <w:rFonts w:eastAsiaTheme="minorHAnsi" w:cs="Times New Roman"/>
          <w:lang w:val="fr-CA"/>
        </w:rPr>
        <w:t>’</w:t>
      </w:r>
      <w:r w:rsidRPr="00DD4D5E">
        <w:rPr>
          <w:rFonts w:eastAsiaTheme="minorHAnsi" w:cs="Times New Roman"/>
          <w:lang w:val="fr-CA"/>
        </w:rPr>
        <w:t>élocution, ce qui a entraîné une détérioration de ses liens personnels étroits avec sa famille et ses amis. Il ajoute que l</w:t>
      </w:r>
      <w:r>
        <w:rPr>
          <w:rFonts w:eastAsiaTheme="minorHAnsi" w:cs="Times New Roman"/>
          <w:lang w:val="fr-CA"/>
        </w:rPr>
        <w:t>’</w:t>
      </w:r>
      <w:r w:rsidRPr="00DD4D5E">
        <w:rPr>
          <w:rFonts w:eastAsiaTheme="minorHAnsi" w:cs="Times New Roman"/>
          <w:lang w:val="fr-CA"/>
        </w:rPr>
        <w:t>appelant « n</w:t>
      </w:r>
      <w:r>
        <w:rPr>
          <w:rFonts w:eastAsiaTheme="minorHAnsi" w:cs="Times New Roman"/>
          <w:lang w:val="fr-CA"/>
        </w:rPr>
        <w:t>’</w:t>
      </w:r>
      <w:r w:rsidRPr="00DD4D5E">
        <w:rPr>
          <w:rFonts w:eastAsiaTheme="minorHAnsi" w:cs="Times New Roman"/>
          <w:lang w:val="fr-CA"/>
        </w:rPr>
        <w:t>était plus le même homme et que son irritabilité s</w:t>
      </w:r>
      <w:r>
        <w:rPr>
          <w:rFonts w:eastAsiaTheme="minorHAnsi" w:cs="Times New Roman"/>
          <w:lang w:val="fr-CA"/>
        </w:rPr>
        <w:t>’</w:t>
      </w:r>
      <w:r w:rsidRPr="00DD4D5E">
        <w:rPr>
          <w:rFonts w:eastAsiaTheme="minorHAnsi" w:cs="Times New Roman"/>
          <w:lang w:val="fr-CA"/>
        </w:rPr>
        <w:t>expliqu[ait] vraisemblablement par la prise de conscience tragique de ne plus être l</w:t>
      </w:r>
      <w:r>
        <w:rPr>
          <w:rFonts w:eastAsiaTheme="minorHAnsi" w:cs="Times New Roman"/>
          <w:lang w:val="fr-CA"/>
        </w:rPr>
        <w:t>’</w:t>
      </w:r>
      <w:r w:rsidRPr="00DD4D5E">
        <w:rPr>
          <w:rFonts w:eastAsiaTheme="minorHAnsi" w:cs="Times New Roman"/>
          <w:lang w:val="fr-CA"/>
        </w:rPr>
        <w:t>homme qu</w:t>
      </w:r>
      <w:r>
        <w:rPr>
          <w:rFonts w:eastAsiaTheme="minorHAnsi" w:cs="Times New Roman"/>
          <w:lang w:val="fr-CA"/>
        </w:rPr>
        <w:t>’</w:t>
      </w:r>
      <w:r w:rsidRPr="00DD4D5E">
        <w:rPr>
          <w:rFonts w:eastAsiaTheme="minorHAnsi" w:cs="Times New Roman"/>
          <w:lang w:val="fr-CA"/>
        </w:rPr>
        <w:t>il avait été » (par. 65). Ces conclusions ne sont pas contestées et, s</w:t>
      </w:r>
      <w:r>
        <w:rPr>
          <w:rFonts w:eastAsiaTheme="minorHAnsi" w:cs="Times New Roman"/>
          <w:lang w:val="fr-CA"/>
        </w:rPr>
        <w:t>’</w:t>
      </w:r>
      <w:r w:rsidRPr="00DD4D5E">
        <w:rPr>
          <w:rFonts w:eastAsiaTheme="minorHAnsi" w:cs="Times New Roman"/>
          <w:lang w:val="fr-CA"/>
        </w:rPr>
        <w:t xml:space="preserve">agissant de conclusions de fait, elles commandent la déférence en appel, sauf erreur manifeste et dominante </w:t>
      </w:r>
      <w:r w:rsidRPr="00DD4D5E">
        <w:rPr>
          <w:rFonts w:cs="Times New Roman"/>
          <w:lang w:val="fr-CA"/>
        </w:rPr>
        <w:t>(</w:t>
      </w:r>
      <w:r w:rsidRPr="00DD4D5E">
        <w:rPr>
          <w:rFonts w:cs="Times New Roman"/>
          <w:i/>
          <w:lang w:val="fr-CA"/>
        </w:rPr>
        <w:t>Housen c. Nikolaisen</w:t>
      </w:r>
      <w:r w:rsidRPr="00DD4D5E">
        <w:rPr>
          <w:rFonts w:cs="Times New Roman"/>
          <w:lang w:val="fr-CA"/>
        </w:rPr>
        <w:t>, 2002 CSC 33, [2002] 2 R.C.S. 235, par. 10).</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Je ne relève aucune erreur de droit dans la conclusion du juge de première instance selon laquelle la preuve des symptômes de l</w:t>
      </w:r>
      <w:r>
        <w:rPr>
          <w:rFonts w:cs="Times New Roman"/>
          <w:lang w:val="fr-CA"/>
        </w:rPr>
        <w:t>’</w:t>
      </w:r>
      <w:r w:rsidRPr="00DD4D5E">
        <w:rPr>
          <w:rFonts w:cs="Times New Roman"/>
          <w:lang w:val="fr-CA"/>
        </w:rPr>
        <w:t>appelant établit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 xml:space="preserve">un </w:t>
      </w:r>
      <w:r w:rsidRPr="00DD4D5E">
        <w:rPr>
          <w:rFonts w:cs="Times New Roman"/>
          <w:lang w:val="fr-CA"/>
        </w:rPr>
        <w:lastRenderedPageBreak/>
        <w:t>préjudice mental.</w:t>
      </w:r>
      <w:r>
        <w:rPr>
          <w:rFonts w:cs="Times New Roman"/>
          <w:lang w:val="fr-CA"/>
        </w:rPr>
        <w:t xml:space="preserve"> </w:t>
      </w:r>
      <w:r w:rsidRPr="00DD4D5E">
        <w:rPr>
          <w:rFonts w:cs="Times New Roman"/>
          <w:lang w:val="fr-CA"/>
        </w:rPr>
        <w:t>Ces symptômes respectent les paramètres du préjudice mental définis dans l</w:t>
      </w:r>
      <w:r>
        <w:rPr>
          <w:rFonts w:cs="Times New Roman"/>
          <w:lang w:val="fr-CA"/>
        </w:rPr>
        <w:t>’</w:t>
      </w:r>
      <w:r w:rsidRPr="00DD4D5E">
        <w:rPr>
          <w:rFonts w:cs="Times New Roman"/>
          <w:lang w:val="fr-CA"/>
        </w:rPr>
        <w:t xml:space="preserve">arrêt </w:t>
      </w:r>
      <w:r w:rsidRPr="00DD4D5E">
        <w:rPr>
          <w:rFonts w:cs="Times New Roman"/>
          <w:i/>
          <w:lang w:val="fr-CA"/>
        </w:rPr>
        <w:t>Mustapha</w:t>
      </w:r>
      <w:r w:rsidRPr="00DD4D5E">
        <w:rPr>
          <w:rFonts w:cs="Times New Roman"/>
          <w:lang w:val="fr-CA"/>
        </w:rPr>
        <w:t xml:space="preserve"> et dont je fais mention précédemment. Aucun témoignage d</w:t>
      </w:r>
      <w:r>
        <w:rPr>
          <w:rFonts w:cs="Times New Roman"/>
          <w:lang w:val="fr-CA"/>
        </w:rPr>
        <w:t>’</w:t>
      </w:r>
      <w:r w:rsidRPr="00DD4D5E">
        <w:rPr>
          <w:rFonts w:cs="Times New Roman"/>
          <w:lang w:val="fr-CA"/>
        </w:rPr>
        <w:t>expert n</w:t>
      </w:r>
      <w:r>
        <w:rPr>
          <w:rFonts w:cs="Times New Roman"/>
          <w:lang w:val="fr-CA"/>
        </w:rPr>
        <w:t>’</w:t>
      </w:r>
      <w:r w:rsidRPr="00DD4D5E">
        <w:rPr>
          <w:rFonts w:cs="Times New Roman"/>
          <w:lang w:val="fr-CA"/>
        </w:rPr>
        <w:t>a associé ces symptômes à un état dûment répertorié dans le DSM ou la CIM, mais ce qui compte, je le répète, c</w:t>
      </w:r>
      <w:r>
        <w:rPr>
          <w:rFonts w:cs="Times New Roman"/>
          <w:lang w:val="fr-CA"/>
        </w:rPr>
        <w:t>’</w:t>
      </w:r>
      <w:r w:rsidRPr="00DD4D5E">
        <w:rPr>
          <w:rFonts w:cs="Times New Roman"/>
          <w:lang w:val="fr-CA"/>
        </w:rPr>
        <w:t>est la réalité, celle des symptômes, non leur qualification particulière. Or, la preuve admise en première instance démontre à l</w:t>
      </w:r>
      <w:r>
        <w:rPr>
          <w:rFonts w:cs="Times New Roman"/>
          <w:lang w:val="fr-CA"/>
        </w:rPr>
        <w:t>’</w:t>
      </w:r>
      <w:r w:rsidRPr="00DD4D5E">
        <w:rPr>
          <w:rFonts w:cs="Times New Roman"/>
          <w:lang w:val="fr-CA"/>
        </w:rPr>
        <w:t>évidence l</w:t>
      </w:r>
      <w:r>
        <w:rPr>
          <w:rFonts w:cs="Times New Roman"/>
          <w:lang w:val="fr-CA"/>
        </w:rPr>
        <w:t>’</w:t>
      </w:r>
      <w:r w:rsidRPr="00DD4D5E">
        <w:rPr>
          <w:rFonts w:cs="Times New Roman"/>
          <w:lang w:val="fr-CA"/>
        </w:rPr>
        <w:t>existence d</w:t>
      </w:r>
      <w:r>
        <w:rPr>
          <w:rFonts w:cs="Times New Roman"/>
          <w:lang w:val="fr-CA"/>
        </w:rPr>
        <w:t>’</w:t>
      </w:r>
      <w:r w:rsidRPr="00DD4D5E">
        <w:rPr>
          <w:rFonts w:cs="Times New Roman"/>
          <w:lang w:val="fr-CA"/>
        </w:rPr>
        <w:t>un dérèglement grave et de longue durée qui va au</w:t>
      </w:r>
      <w:r w:rsidRPr="00DD4D5E">
        <w:rPr>
          <w:rFonts w:cs="Times New Roman"/>
          <w:lang w:val="fr-CA"/>
        </w:rPr>
        <w:noBreakHyphen/>
        <w:t>delà des contrariétés émotionnelles ou angoisses ordinaires.</w:t>
      </w:r>
    </w:p>
    <w:p w:rsidR="00DE26CA" w:rsidRPr="00DD4D5E" w:rsidRDefault="00DE26CA" w:rsidP="00DE26CA">
      <w:pPr>
        <w:pStyle w:val="Title1LevelTitre1Niveau-AltL"/>
        <w:rPr>
          <w:rFonts w:cs="Times New Roman"/>
          <w:lang w:val="fr-CA"/>
        </w:rPr>
      </w:pPr>
      <w:r w:rsidRPr="00DD4D5E">
        <w:rPr>
          <w:rFonts w:cs="Times New Roman"/>
          <w:lang w:val="fr-CA"/>
        </w:rPr>
        <w:t>Conclusion et dispositif</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Je suis d</w:t>
      </w:r>
      <w:r>
        <w:rPr>
          <w:rFonts w:cs="Times New Roman"/>
          <w:lang w:val="fr-CA"/>
        </w:rPr>
        <w:t>’</w:t>
      </w:r>
      <w:r w:rsidRPr="00DD4D5E">
        <w:rPr>
          <w:rFonts w:cs="Times New Roman"/>
          <w:lang w:val="fr-CA"/>
        </w:rPr>
        <w:t>avis d</w:t>
      </w:r>
      <w:r>
        <w:rPr>
          <w:rFonts w:cs="Times New Roman"/>
          <w:lang w:val="fr-CA"/>
        </w:rPr>
        <w:t>’</w:t>
      </w:r>
      <w:r w:rsidRPr="00DD4D5E">
        <w:rPr>
          <w:rFonts w:cs="Times New Roman"/>
          <w:lang w:val="fr-CA"/>
        </w:rPr>
        <w:t>accueillir le pourvoi avec dépens devant notre Cour et devant les juridictions inférieures</w:t>
      </w:r>
      <w:r>
        <w:rPr>
          <w:rFonts w:cs="Times New Roman"/>
          <w:lang w:val="fr-CA"/>
        </w:rPr>
        <w:t xml:space="preserve">.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Les intimés demandent que la Cour d</w:t>
      </w:r>
      <w:r>
        <w:rPr>
          <w:rFonts w:cs="Times New Roman"/>
          <w:lang w:val="fr-CA"/>
        </w:rPr>
        <w:t>’</w:t>
      </w:r>
      <w:r w:rsidRPr="00DD4D5E">
        <w:rPr>
          <w:rFonts w:cs="Times New Roman"/>
          <w:lang w:val="fr-CA"/>
        </w:rPr>
        <w:t>appel soit de nouveau saisie de l</w:t>
      </w:r>
      <w:r>
        <w:rPr>
          <w:rFonts w:cs="Times New Roman"/>
          <w:lang w:val="fr-CA"/>
        </w:rPr>
        <w:t>’</w:t>
      </w:r>
      <w:r w:rsidRPr="00DD4D5E">
        <w:rPr>
          <w:rFonts w:cs="Times New Roman"/>
          <w:lang w:val="fr-CA"/>
        </w:rPr>
        <w:t>affaire pour statuer sur les moyens d</w:t>
      </w:r>
      <w:r>
        <w:rPr>
          <w:rFonts w:cs="Times New Roman"/>
          <w:lang w:val="fr-CA"/>
        </w:rPr>
        <w:t>’</w:t>
      </w:r>
      <w:r w:rsidRPr="00DD4D5E">
        <w:rPr>
          <w:rFonts w:cs="Times New Roman"/>
          <w:lang w:val="fr-CA"/>
        </w:rPr>
        <w:t>appel subsidiaires invoqués devant elle, en l</w:t>
      </w:r>
      <w:r>
        <w:rPr>
          <w:rFonts w:cs="Times New Roman"/>
          <w:lang w:val="fr-CA"/>
        </w:rPr>
        <w:t>’</w:t>
      </w:r>
      <w:r w:rsidRPr="00DD4D5E">
        <w:rPr>
          <w:rFonts w:cs="Times New Roman"/>
          <w:lang w:val="fr-CA"/>
        </w:rPr>
        <w:t>occurrence que le juge de première instance a eu tort de conclure que le préjudice mental causé par l</w:t>
      </w:r>
      <w:r>
        <w:rPr>
          <w:rFonts w:cs="Times New Roman"/>
          <w:lang w:val="fr-CA"/>
        </w:rPr>
        <w:t>’</w:t>
      </w:r>
      <w:r w:rsidRPr="00DD4D5E">
        <w:rPr>
          <w:rFonts w:cs="Times New Roman"/>
          <w:lang w:val="fr-CA"/>
        </w:rPr>
        <w:t>accident est indissociable de celui infligé par le troisième accident et que le montant de l</w:t>
      </w:r>
      <w:r>
        <w:rPr>
          <w:rFonts w:cs="Times New Roman"/>
          <w:lang w:val="fr-CA"/>
        </w:rPr>
        <w:t>’</w:t>
      </w:r>
      <w:r w:rsidRPr="00DD4D5E">
        <w:rPr>
          <w:rFonts w:cs="Times New Roman"/>
          <w:lang w:val="fr-CA"/>
        </w:rPr>
        <w:t>indemnité accordée est excessif. Je suis plutôt d</w:t>
      </w:r>
      <w:r>
        <w:rPr>
          <w:rFonts w:cs="Times New Roman"/>
          <w:lang w:val="fr-CA"/>
        </w:rPr>
        <w:t>’</w:t>
      </w:r>
      <w:r w:rsidRPr="00DD4D5E">
        <w:rPr>
          <w:rFonts w:cs="Times New Roman"/>
          <w:lang w:val="fr-CA"/>
        </w:rPr>
        <w:t>avis de rétablir l</w:t>
      </w:r>
      <w:r>
        <w:rPr>
          <w:rFonts w:cs="Times New Roman"/>
          <w:lang w:val="fr-CA"/>
        </w:rPr>
        <w:t>’</w:t>
      </w:r>
      <w:r w:rsidRPr="00DD4D5E">
        <w:rPr>
          <w:rFonts w:cs="Times New Roman"/>
          <w:lang w:val="fr-CA"/>
        </w:rPr>
        <w:t xml:space="preserve">indemnisation accordée en première instance. </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w:t>
      </w:r>
      <w:r>
        <w:rPr>
          <w:rFonts w:cs="Times New Roman"/>
          <w:lang w:val="fr-CA"/>
        </w:rPr>
        <w:t>’</w:t>
      </w:r>
      <w:r w:rsidRPr="00DD4D5E">
        <w:rPr>
          <w:rFonts w:cs="Times New Roman"/>
          <w:lang w:val="fr-CA"/>
        </w:rPr>
        <w:t>indissociabilité</w:t>
      </w:r>
      <w:r w:rsidR="00542873">
        <w:rPr>
          <w:rFonts w:cs="Times New Roman"/>
          <w:lang w:val="fr-CA"/>
        </w:rPr>
        <w:t xml:space="preserve"> ou la dissociabilité</w:t>
      </w:r>
      <w:r w:rsidRPr="00DD4D5E">
        <w:rPr>
          <w:rFonts w:cs="Times New Roman"/>
          <w:lang w:val="fr-CA"/>
        </w:rPr>
        <w:t xml:space="preserve"> de deux préjudices est une question de fait (</w:t>
      </w:r>
      <w:r w:rsidRPr="00DD4D5E">
        <w:rPr>
          <w:rFonts w:cs="Times New Roman"/>
          <w:i/>
          <w:lang w:val="fr-CA"/>
        </w:rPr>
        <w:t>Bradley</w:t>
      </w:r>
      <w:r w:rsidRPr="00DD4D5E">
        <w:rPr>
          <w:rFonts w:cs="Times New Roman"/>
          <w:lang w:val="fr-CA"/>
        </w:rPr>
        <w:t>, par. 32 et 37). En l</w:t>
      </w:r>
      <w:r>
        <w:rPr>
          <w:rFonts w:cs="Times New Roman"/>
          <w:lang w:val="fr-CA"/>
        </w:rPr>
        <w:t>’</w:t>
      </w:r>
      <w:r w:rsidRPr="00DD4D5E">
        <w:rPr>
          <w:rFonts w:cs="Times New Roman"/>
          <w:lang w:val="fr-CA"/>
        </w:rPr>
        <w:t xml:space="preserve">espèce, le juge de première instance conclut que </w:t>
      </w:r>
      <w:r w:rsidRPr="00DD4D5E">
        <w:rPr>
          <w:rFonts w:eastAsiaTheme="minorHAnsi" w:cs="Times New Roman"/>
          <w:lang w:val="fr-CA"/>
        </w:rPr>
        <w:t>[</w:t>
      </w:r>
      <w:r w:rsidRPr="00DD4D5E">
        <w:rPr>
          <w:rFonts w:eastAsiaTheme="minorHAnsi" w:cs="Times New Roman"/>
          <w:smallCaps/>
          <w:lang w:val="fr-CA"/>
        </w:rPr>
        <w:t>traduction</w:t>
      </w:r>
      <w:r w:rsidRPr="00DD4D5E">
        <w:rPr>
          <w:rFonts w:eastAsiaTheme="minorHAnsi" w:cs="Times New Roman"/>
          <w:lang w:val="fr-CA"/>
        </w:rPr>
        <w:t>] « la cause du changement de personnalité observé chez l</w:t>
      </w:r>
      <w:r>
        <w:rPr>
          <w:rFonts w:eastAsiaTheme="minorHAnsi" w:cs="Times New Roman"/>
          <w:lang w:val="fr-CA"/>
        </w:rPr>
        <w:t>’</w:t>
      </w:r>
      <w:r w:rsidRPr="00DD4D5E">
        <w:rPr>
          <w:rFonts w:eastAsiaTheme="minorHAnsi" w:cs="Times New Roman"/>
          <w:lang w:val="fr-CA"/>
        </w:rPr>
        <w:t>appelant et de ses problèmes cognitifs ne peut être scindée en fonction des faits antérieurs</w:t>
      </w:r>
      <w:r>
        <w:rPr>
          <w:rFonts w:eastAsiaTheme="minorHAnsi" w:cs="Times New Roman"/>
          <w:lang w:val="fr-CA"/>
        </w:rPr>
        <w:t xml:space="preserve"> au </w:t>
      </w:r>
      <w:r>
        <w:rPr>
          <w:rFonts w:eastAsiaTheme="minorHAnsi" w:cs="Times New Roman"/>
          <w:lang w:val="fr-CA"/>
        </w:rPr>
        <w:lastRenderedPageBreak/>
        <w:t>17 </w:t>
      </w:r>
      <w:r w:rsidRPr="00DD4D5E">
        <w:rPr>
          <w:rFonts w:eastAsiaTheme="minorHAnsi" w:cs="Times New Roman"/>
          <w:lang w:val="fr-CA"/>
        </w:rPr>
        <w:t>septembre 2005 et de ceux postérieurs à cette date » (par. 58). Cette conclusion, qu</w:t>
      </w:r>
      <w:r>
        <w:rPr>
          <w:rFonts w:eastAsiaTheme="minorHAnsi" w:cs="Times New Roman"/>
          <w:lang w:val="fr-CA"/>
        </w:rPr>
        <w:t>’</w:t>
      </w:r>
      <w:r w:rsidRPr="00DD4D5E">
        <w:rPr>
          <w:rFonts w:eastAsiaTheme="minorHAnsi" w:cs="Times New Roman"/>
          <w:lang w:val="fr-CA"/>
        </w:rPr>
        <w:t>il lui était loisible de tirer à partir du dossier, commande la déférence. Les intimés font aujourd</w:t>
      </w:r>
      <w:r>
        <w:rPr>
          <w:rFonts w:eastAsiaTheme="minorHAnsi" w:cs="Times New Roman"/>
          <w:lang w:val="fr-CA"/>
        </w:rPr>
        <w:t>’</w:t>
      </w:r>
      <w:r w:rsidRPr="00DD4D5E">
        <w:rPr>
          <w:rFonts w:eastAsiaTheme="minorHAnsi" w:cs="Times New Roman"/>
          <w:lang w:val="fr-CA"/>
        </w:rPr>
        <w:t xml:space="preserve">hui valoir que la </w:t>
      </w:r>
      <w:r w:rsidRPr="00DD4D5E">
        <w:rPr>
          <w:rFonts w:cs="Times New Roman"/>
          <w:i/>
          <w:lang w:val="fr-CA"/>
        </w:rPr>
        <w:t>Workers Compensation Act</w:t>
      </w:r>
      <w:r>
        <w:rPr>
          <w:rFonts w:cs="Times New Roman"/>
          <w:lang w:val="fr-CA"/>
        </w:rPr>
        <w:t>, R.S.B.C. 1996</w:t>
      </w:r>
      <w:r w:rsidR="00542873">
        <w:rPr>
          <w:rFonts w:cs="Times New Roman"/>
          <w:lang w:val="fr-CA"/>
        </w:rPr>
        <w:t>,</w:t>
      </w:r>
      <w:r>
        <w:rPr>
          <w:rFonts w:cs="Times New Roman"/>
          <w:lang w:val="fr-CA"/>
        </w:rPr>
        <w:t xml:space="preserve"> c. </w:t>
      </w:r>
      <w:r w:rsidRPr="00DD4D5E">
        <w:rPr>
          <w:rFonts w:cs="Times New Roman"/>
          <w:lang w:val="fr-CA"/>
        </w:rPr>
        <w:t>492</w:t>
      </w:r>
      <w:r w:rsidR="00542873">
        <w:rPr>
          <w:rFonts w:cs="Times New Roman"/>
          <w:lang w:val="fr-CA"/>
        </w:rPr>
        <w:t>,</w:t>
      </w:r>
      <w:r w:rsidRPr="00DD4D5E">
        <w:rPr>
          <w:rFonts w:cs="Times New Roman"/>
          <w:lang w:val="fr-CA"/>
        </w:rPr>
        <w:t xml:space="preserve"> </w:t>
      </w:r>
      <w:r w:rsidRPr="00DD4D5E">
        <w:rPr>
          <w:rFonts w:eastAsiaTheme="minorHAnsi" w:cs="Times New Roman"/>
          <w:lang w:val="fr-CA"/>
        </w:rPr>
        <w:t>[</w:t>
      </w:r>
      <w:r w:rsidRPr="00DD4D5E">
        <w:rPr>
          <w:rFonts w:eastAsiaTheme="minorHAnsi" w:cs="Times New Roman"/>
          <w:smallCaps/>
          <w:lang w:val="fr-CA"/>
        </w:rPr>
        <w:t>traduction</w:t>
      </w:r>
      <w:r w:rsidRPr="00DD4D5E">
        <w:rPr>
          <w:rFonts w:eastAsiaTheme="minorHAnsi" w:cs="Times New Roman"/>
          <w:lang w:val="fr-CA"/>
        </w:rPr>
        <w:t>] « permet de scinder la réclamation même s</w:t>
      </w:r>
      <w:r>
        <w:rPr>
          <w:rFonts w:eastAsiaTheme="minorHAnsi" w:cs="Times New Roman"/>
          <w:lang w:val="fr-CA"/>
        </w:rPr>
        <w:t>’</w:t>
      </w:r>
      <w:r w:rsidRPr="00DD4D5E">
        <w:rPr>
          <w:rFonts w:eastAsiaTheme="minorHAnsi" w:cs="Times New Roman"/>
          <w:lang w:val="fr-CA"/>
        </w:rPr>
        <w:t>il s</w:t>
      </w:r>
      <w:r>
        <w:rPr>
          <w:rFonts w:eastAsiaTheme="minorHAnsi" w:cs="Times New Roman"/>
          <w:lang w:val="fr-CA"/>
        </w:rPr>
        <w:t>’</w:t>
      </w:r>
      <w:r w:rsidRPr="00DD4D5E">
        <w:rPr>
          <w:rFonts w:eastAsiaTheme="minorHAnsi" w:cs="Times New Roman"/>
          <w:lang w:val="fr-CA"/>
        </w:rPr>
        <w:t>agit d</w:t>
      </w:r>
      <w:r>
        <w:rPr>
          <w:rFonts w:eastAsiaTheme="minorHAnsi" w:cs="Times New Roman"/>
          <w:lang w:val="fr-CA"/>
        </w:rPr>
        <w:t>’</w:t>
      </w:r>
      <w:r w:rsidRPr="00DD4D5E">
        <w:rPr>
          <w:rFonts w:eastAsiaTheme="minorHAnsi" w:cs="Times New Roman"/>
          <w:lang w:val="fr-CA"/>
        </w:rPr>
        <w:t>un préjudice indivisible</w:t>
      </w:r>
      <w:r>
        <w:rPr>
          <w:rFonts w:eastAsiaTheme="minorHAnsi" w:cs="Times New Roman"/>
          <w:lang w:val="fr-CA"/>
        </w:rPr>
        <w:t> »</w:t>
      </w:r>
      <w:r>
        <w:rPr>
          <w:lang w:val="fr-CA"/>
        </w:rPr>
        <w:t>,</w:t>
      </w:r>
      <w:r w:rsidRPr="00DD4D5E">
        <w:rPr>
          <w:rFonts w:eastAsiaTheme="minorHAnsi" w:cs="Times New Roman"/>
          <w:lang w:val="fr-CA"/>
        </w:rPr>
        <w:t xml:space="preserve"> </w:t>
      </w:r>
      <w:r>
        <w:rPr>
          <w:rFonts w:eastAsiaTheme="minorHAnsi" w:cs="Times New Roman"/>
          <w:lang w:val="fr-CA"/>
        </w:rPr>
        <w:t>« </w:t>
      </w:r>
      <w:r w:rsidRPr="00DD4D5E">
        <w:rPr>
          <w:rFonts w:eastAsiaTheme="minorHAnsi" w:cs="Times New Roman"/>
          <w:lang w:val="fr-CA"/>
        </w:rPr>
        <w:t>car la [Loi] établit un régime complet et fait obstacle à l</w:t>
      </w:r>
      <w:r>
        <w:rPr>
          <w:rFonts w:eastAsiaTheme="minorHAnsi" w:cs="Times New Roman"/>
          <w:lang w:val="fr-CA"/>
        </w:rPr>
        <w:t>’</w:t>
      </w:r>
      <w:r w:rsidRPr="00DD4D5E">
        <w:rPr>
          <w:rFonts w:eastAsiaTheme="minorHAnsi" w:cs="Times New Roman"/>
          <w:lang w:val="fr-CA"/>
        </w:rPr>
        <w:t>indemnisation » (transcription, p. 82). Cet argument fondé sur l</w:t>
      </w:r>
      <w:r>
        <w:rPr>
          <w:rFonts w:eastAsiaTheme="minorHAnsi" w:cs="Times New Roman"/>
          <w:lang w:val="fr-CA"/>
        </w:rPr>
        <w:t>’</w:t>
      </w:r>
      <w:r w:rsidRPr="00DD4D5E">
        <w:rPr>
          <w:rFonts w:eastAsiaTheme="minorHAnsi" w:cs="Times New Roman"/>
          <w:lang w:val="fr-CA"/>
        </w:rPr>
        <w:t xml:space="preserve">art. 10 de la </w:t>
      </w:r>
      <w:r w:rsidRPr="00DD4D5E">
        <w:rPr>
          <w:rFonts w:cs="Times New Roman"/>
          <w:i/>
          <w:lang w:val="fr-CA"/>
        </w:rPr>
        <w:t>Workers Compensation Act</w:t>
      </w:r>
      <w:r w:rsidRPr="00DD4D5E">
        <w:rPr>
          <w:rFonts w:eastAsiaTheme="minorHAnsi" w:cs="Times New Roman"/>
          <w:lang w:val="fr-CA"/>
        </w:rPr>
        <w:t xml:space="preserve"> a été formulé succinctement et de vive voix à l</w:t>
      </w:r>
      <w:r>
        <w:rPr>
          <w:rFonts w:eastAsiaTheme="minorHAnsi" w:cs="Times New Roman"/>
          <w:lang w:val="fr-CA"/>
        </w:rPr>
        <w:t>’</w:t>
      </w:r>
      <w:r w:rsidRPr="00DD4D5E">
        <w:rPr>
          <w:rFonts w:eastAsiaTheme="minorHAnsi" w:cs="Times New Roman"/>
          <w:lang w:val="fr-CA"/>
        </w:rPr>
        <w:t>audience (transcription, p. 82), mais il ne figure pas dans la plaidoirie écrite des intimés (voir d.i., vol. I, p. 253</w:t>
      </w:r>
      <w:r w:rsidRPr="00DD4D5E">
        <w:rPr>
          <w:rFonts w:eastAsiaTheme="minorHAnsi" w:cs="Times New Roman"/>
          <w:lang w:val="fr-CA"/>
        </w:rPr>
        <w:noBreakHyphen/>
        <w:t>254). Même si l</w:t>
      </w:r>
      <w:r>
        <w:rPr>
          <w:rFonts w:eastAsiaTheme="minorHAnsi" w:cs="Times New Roman"/>
          <w:lang w:val="fr-CA"/>
        </w:rPr>
        <w:t>’</w:t>
      </w:r>
      <w:r w:rsidRPr="00DD4D5E">
        <w:rPr>
          <w:rFonts w:eastAsiaTheme="minorHAnsi" w:cs="Times New Roman"/>
          <w:lang w:val="fr-CA"/>
        </w:rPr>
        <w:t xml:space="preserve">argument paraît trouver appui dans la décision </w:t>
      </w:r>
      <w:r w:rsidRPr="00DD4D5E">
        <w:rPr>
          <w:rFonts w:eastAsiaTheme="minorHAnsi" w:cs="Times New Roman"/>
          <w:i/>
          <w:lang w:val="fr-CA"/>
        </w:rPr>
        <w:t>Pinch c. Hofstee</w:t>
      </w:r>
      <w:r w:rsidRPr="00DD4D5E">
        <w:rPr>
          <w:rFonts w:eastAsiaTheme="minorHAnsi" w:cs="Times New Roman"/>
          <w:lang w:val="fr-CA"/>
        </w:rPr>
        <w:t>, 2015 BCSC 1888, il n</w:t>
      </w:r>
      <w:r>
        <w:rPr>
          <w:rFonts w:eastAsiaTheme="minorHAnsi" w:cs="Times New Roman"/>
          <w:lang w:val="fr-CA"/>
        </w:rPr>
        <w:t>’</w:t>
      </w:r>
      <w:r w:rsidRPr="00DD4D5E">
        <w:rPr>
          <w:rFonts w:eastAsiaTheme="minorHAnsi" w:cs="Times New Roman"/>
          <w:lang w:val="fr-CA"/>
        </w:rPr>
        <w:t>a pas été considéré par le juge de première instance. Pour un motif connu d</w:t>
      </w:r>
      <w:r>
        <w:rPr>
          <w:rFonts w:eastAsiaTheme="minorHAnsi" w:cs="Times New Roman"/>
          <w:lang w:val="fr-CA"/>
        </w:rPr>
        <w:t>’</w:t>
      </w:r>
      <w:r w:rsidRPr="00DD4D5E">
        <w:rPr>
          <w:rFonts w:eastAsiaTheme="minorHAnsi" w:cs="Times New Roman"/>
          <w:lang w:val="fr-CA"/>
        </w:rPr>
        <w:t>eux seuls, les intimés ne l</w:t>
      </w:r>
      <w:r>
        <w:rPr>
          <w:rFonts w:eastAsiaTheme="minorHAnsi" w:cs="Times New Roman"/>
          <w:lang w:val="fr-CA"/>
        </w:rPr>
        <w:t>’</w:t>
      </w:r>
      <w:r w:rsidRPr="00DD4D5E">
        <w:rPr>
          <w:rFonts w:eastAsiaTheme="minorHAnsi" w:cs="Times New Roman"/>
          <w:lang w:val="fr-CA"/>
        </w:rPr>
        <w:t>ont pas invoqué en Cour d</w:t>
      </w:r>
      <w:r>
        <w:rPr>
          <w:rFonts w:eastAsiaTheme="minorHAnsi" w:cs="Times New Roman"/>
          <w:lang w:val="fr-CA"/>
        </w:rPr>
        <w:t>’</w:t>
      </w:r>
      <w:r w:rsidRPr="00DD4D5E">
        <w:rPr>
          <w:rFonts w:eastAsiaTheme="minorHAnsi" w:cs="Times New Roman"/>
          <w:lang w:val="fr-CA"/>
        </w:rPr>
        <w:t>appel, non plus que dans le mémoire déposé auprès de la Cour. Ce n</w:t>
      </w:r>
      <w:r>
        <w:rPr>
          <w:rFonts w:eastAsiaTheme="minorHAnsi" w:cs="Times New Roman"/>
          <w:lang w:val="fr-CA"/>
        </w:rPr>
        <w:t>’</w:t>
      </w:r>
      <w:r w:rsidRPr="00DD4D5E">
        <w:rPr>
          <w:rFonts w:eastAsiaTheme="minorHAnsi" w:cs="Times New Roman"/>
          <w:lang w:val="fr-CA"/>
        </w:rPr>
        <w:t>est qu</w:t>
      </w:r>
      <w:r>
        <w:rPr>
          <w:rFonts w:eastAsiaTheme="minorHAnsi" w:cs="Times New Roman"/>
          <w:lang w:val="fr-CA"/>
        </w:rPr>
        <w:t>’</w:t>
      </w:r>
      <w:r w:rsidRPr="00DD4D5E">
        <w:rPr>
          <w:rFonts w:eastAsiaTheme="minorHAnsi" w:cs="Times New Roman"/>
          <w:lang w:val="fr-CA"/>
        </w:rPr>
        <w:t>à l</w:t>
      </w:r>
      <w:r>
        <w:rPr>
          <w:rFonts w:eastAsiaTheme="minorHAnsi" w:cs="Times New Roman"/>
          <w:lang w:val="fr-CA"/>
        </w:rPr>
        <w:t>’</w:t>
      </w:r>
      <w:r w:rsidRPr="00DD4D5E">
        <w:rPr>
          <w:rFonts w:eastAsiaTheme="minorHAnsi" w:cs="Times New Roman"/>
          <w:lang w:val="fr-CA"/>
        </w:rPr>
        <w:t>audition du pourvoi qu</w:t>
      </w:r>
      <w:r>
        <w:rPr>
          <w:rFonts w:eastAsiaTheme="minorHAnsi" w:cs="Times New Roman"/>
          <w:lang w:val="fr-CA"/>
        </w:rPr>
        <w:t>’</w:t>
      </w:r>
      <w:r w:rsidRPr="00DD4D5E">
        <w:rPr>
          <w:rFonts w:eastAsiaTheme="minorHAnsi" w:cs="Times New Roman"/>
          <w:lang w:val="fr-CA"/>
        </w:rPr>
        <w:t>ils l</w:t>
      </w:r>
      <w:r>
        <w:rPr>
          <w:rFonts w:eastAsiaTheme="minorHAnsi" w:cs="Times New Roman"/>
          <w:lang w:val="fr-CA"/>
        </w:rPr>
        <w:t>’</w:t>
      </w:r>
      <w:r w:rsidRPr="00DD4D5E">
        <w:rPr>
          <w:rFonts w:eastAsiaTheme="minorHAnsi" w:cs="Times New Roman"/>
          <w:lang w:val="fr-CA"/>
        </w:rPr>
        <w:t xml:space="preserve">ont invoqué à nouveau, de vive voix. Sans faire droit ou rejeter le raisonnement tenu dans </w:t>
      </w:r>
      <w:r w:rsidRPr="00DD4D5E">
        <w:rPr>
          <w:rFonts w:eastAsiaTheme="minorHAnsi" w:cs="Times New Roman"/>
          <w:i/>
          <w:lang w:val="fr-CA"/>
        </w:rPr>
        <w:t>Pinch</w:t>
      </w:r>
      <w:r w:rsidRPr="00DD4D5E">
        <w:rPr>
          <w:rFonts w:eastAsiaTheme="minorHAnsi" w:cs="Times New Roman"/>
          <w:lang w:val="fr-CA"/>
        </w:rPr>
        <w:t>, je signale que, faute d</w:t>
      </w:r>
      <w:r>
        <w:rPr>
          <w:rFonts w:eastAsiaTheme="minorHAnsi" w:cs="Times New Roman"/>
          <w:lang w:val="fr-CA"/>
        </w:rPr>
        <w:t>’</w:t>
      </w:r>
      <w:r w:rsidRPr="00DD4D5E">
        <w:rPr>
          <w:rFonts w:eastAsiaTheme="minorHAnsi" w:cs="Times New Roman"/>
          <w:lang w:val="fr-CA"/>
        </w:rPr>
        <w:t>observations complètes</w:t>
      </w:r>
      <w:r>
        <w:rPr>
          <w:rFonts w:eastAsiaTheme="minorHAnsi" w:cs="Times New Roman"/>
          <w:lang w:val="fr-CA"/>
        </w:rPr>
        <w:t xml:space="preserve"> devant nous</w:t>
      </w:r>
      <w:r w:rsidRPr="00DD4D5E">
        <w:rPr>
          <w:rFonts w:eastAsiaTheme="minorHAnsi" w:cs="Times New Roman"/>
          <w:lang w:val="fr-CA"/>
        </w:rPr>
        <w:t xml:space="preserve"> et </w:t>
      </w:r>
      <w:r>
        <w:rPr>
          <w:rFonts w:eastAsiaTheme="minorHAnsi" w:cs="Times New Roman"/>
          <w:lang w:val="fr-CA"/>
        </w:rPr>
        <w:t xml:space="preserve">d’éléments </w:t>
      </w:r>
      <w:r w:rsidRPr="00DD4D5E">
        <w:rPr>
          <w:rFonts w:eastAsiaTheme="minorHAnsi" w:cs="Times New Roman"/>
          <w:lang w:val="fr-CA"/>
        </w:rPr>
        <w:t>pertinent</w:t>
      </w:r>
      <w:r>
        <w:rPr>
          <w:rFonts w:eastAsiaTheme="minorHAnsi" w:cs="Times New Roman"/>
          <w:lang w:val="fr-CA"/>
        </w:rPr>
        <w:t>s</w:t>
      </w:r>
      <w:r w:rsidRPr="00DD4D5E">
        <w:rPr>
          <w:rFonts w:eastAsiaTheme="minorHAnsi" w:cs="Times New Roman"/>
          <w:lang w:val="fr-CA"/>
        </w:rPr>
        <w:t xml:space="preserve"> dans le dossier de première instance, la présente affaire ne se prête pas à une décision concernant l</w:t>
      </w:r>
      <w:r>
        <w:rPr>
          <w:rFonts w:eastAsiaTheme="minorHAnsi" w:cs="Times New Roman"/>
          <w:lang w:val="fr-CA"/>
        </w:rPr>
        <w:t>’</w:t>
      </w:r>
      <w:r w:rsidRPr="00DD4D5E">
        <w:rPr>
          <w:rFonts w:eastAsiaTheme="minorHAnsi" w:cs="Times New Roman"/>
          <w:lang w:val="fr-CA"/>
        </w:rPr>
        <w:t>effet des dispositions relatives à l</w:t>
      </w:r>
      <w:r>
        <w:rPr>
          <w:rFonts w:eastAsiaTheme="minorHAnsi" w:cs="Times New Roman"/>
          <w:lang w:val="fr-CA"/>
        </w:rPr>
        <w:t>’</w:t>
      </w:r>
      <w:r w:rsidRPr="00DD4D5E">
        <w:rPr>
          <w:rFonts w:eastAsiaTheme="minorHAnsi" w:cs="Times New Roman"/>
          <w:lang w:val="fr-CA"/>
        </w:rPr>
        <w:t>indemnisation des accidentés du travail sur la dissociabilité des préjudices.</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Quant au montant de l</w:t>
      </w:r>
      <w:r>
        <w:rPr>
          <w:rFonts w:cs="Times New Roman"/>
          <w:lang w:val="fr-CA"/>
        </w:rPr>
        <w:t>’</w:t>
      </w:r>
      <w:r w:rsidRPr="00DD4D5E">
        <w:rPr>
          <w:rFonts w:cs="Times New Roman"/>
          <w:lang w:val="fr-CA"/>
        </w:rPr>
        <w:t>indemnité, je constate que les deux accidents à l</w:t>
      </w:r>
      <w:r>
        <w:rPr>
          <w:rFonts w:cs="Times New Roman"/>
          <w:lang w:val="fr-CA"/>
        </w:rPr>
        <w:t>’</w:t>
      </w:r>
      <w:r w:rsidRPr="00DD4D5E">
        <w:rPr>
          <w:rFonts w:cs="Times New Roman"/>
          <w:lang w:val="fr-CA"/>
        </w:rPr>
        <w:t>origine du pourvoi ont eu lieu il y presque 12 ans et que l</w:t>
      </w:r>
      <w:r>
        <w:rPr>
          <w:rFonts w:cs="Times New Roman"/>
          <w:lang w:val="fr-CA"/>
        </w:rPr>
        <w:t>’</w:t>
      </w:r>
      <w:r w:rsidRPr="00DD4D5E">
        <w:rPr>
          <w:rFonts w:cs="Times New Roman"/>
          <w:lang w:val="fr-CA"/>
        </w:rPr>
        <w:t xml:space="preserve">instance </w:t>
      </w:r>
      <w:r w:rsidRPr="00DD4D5E">
        <w:rPr>
          <w:rFonts w:cs="Times New Roman"/>
          <w:smallCaps/>
          <w:lang w:val="fr-CA"/>
        </w:rPr>
        <w:t xml:space="preserve">— </w:t>
      </w:r>
      <w:r w:rsidRPr="00DD4D5E">
        <w:rPr>
          <w:rFonts w:cs="Times New Roman"/>
          <w:lang w:val="fr-CA"/>
        </w:rPr>
        <w:t xml:space="preserve">dans le cadre de laquelle les intimés ont reconnu leur responsabilité </w:t>
      </w:r>
      <w:r w:rsidRPr="00DD4D5E">
        <w:rPr>
          <w:rFonts w:cs="Times New Roman"/>
          <w:smallCaps/>
          <w:lang w:val="fr-CA"/>
        </w:rPr>
        <w:t xml:space="preserve">— </w:t>
      </w:r>
      <w:r w:rsidRPr="00DD4D5E">
        <w:rPr>
          <w:rFonts w:cs="Times New Roman"/>
          <w:lang w:val="fr-CA"/>
        </w:rPr>
        <w:t>a pris naissance il y a tout juste 10 ans ce mois</w:t>
      </w:r>
      <w:r w:rsidRPr="00DD4D5E">
        <w:rPr>
          <w:rFonts w:cs="Times New Roman"/>
          <w:lang w:val="fr-CA"/>
        </w:rPr>
        <w:noBreakHyphen/>
        <w:t>ci. Aussi, la somme modeste accordée en l</w:t>
      </w:r>
      <w:r>
        <w:rPr>
          <w:rFonts w:cs="Times New Roman"/>
          <w:lang w:val="fr-CA"/>
        </w:rPr>
        <w:t>’</w:t>
      </w:r>
      <w:r w:rsidRPr="00DD4D5E">
        <w:rPr>
          <w:rFonts w:cs="Times New Roman"/>
          <w:lang w:val="fr-CA"/>
        </w:rPr>
        <w:t>espèce n</w:t>
      </w:r>
      <w:r>
        <w:rPr>
          <w:rFonts w:cs="Times New Roman"/>
          <w:lang w:val="fr-CA"/>
        </w:rPr>
        <w:t>’</w:t>
      </w:r>
      <w:r w:rsidRPr="00DD4D5E">
        <w:rPr>
          <w:rFonts w:cs="Times New Roman"/>
          <w:lang w:val="fr-CA"/>
        </w:rPr>
        <w:t>est pas en rupture avec les dommages</w:t>
      </w:r>
      <w:r w:rsidRPr="00DD4D5E">
        <w:rPr>
          <w:rFonts w:cs="Times New Roman"/>
          <w:lang w:val="fr-CA"/>
        </w:rPr>
        <w:noBreakHyphen/>
        <w:t xml:space="preserve">intérêts non pécuniaires octroyés par les tribunaux de la </w:t>
      </w:r>
      <w:r w:rsidRPr="00DD4D5E">
        <w:rPr>
          <w:rFonts w:cs="Times New Roman"/>
          <w:lang w:val="fr-CA"/>
        </w:rPr>
        <w:lastRenderedPageBreak/>
        <w:t>Colombie</w:t>
      </w:r>
      <w:r w:rsidRPr="00DD4D5E">
        <w:rPr>
          <w:rFonts w:cs="Times New Roman"/>
          <w:lang w:val="fr-CA"/>
        </w:rPr>
        <w:noBreakHyphen/>
        <w:t xml:space="preserve">Britannique pour un préjudice ayant entraîné chez un demandeur un changement de personnalité et des problèmes cognitifs qui ont eu des répercussions semblables sur sa qualité de vie (p. ex. </w:t>
      </w:r>
      <w:r w:rsidR="00542873">
        <w:rPr>
          <w:rFonts w:cs="Times New Roman"/>
          <w:i/>
          <w:lang w:val="fr-CA"/>
        </w:rPr>
        <w:t>Zawadzki c</w:t>
      </w:r>
      <w:r w:rsidRPr="00DD4D5E">
        <w:rPr>
          <w:rFonts w:cs="Times New Roman"/>
          <w:i/>
          <w:lang w:val="fr-CA"/>
        </w:rPr>
        <w:t>. Calimoso</w:t>
      </w:r>
      <w:r w:rsidRPr="00DD4D5E">
        <w:rPr>
          <w:rFonts w:cs="Times New Roman"/>
          <w:lang w:val="fr-CA"/>
        </w:rPr>
        <w:t>, 2011 BCSC 45).</w:t>
      </w:r>
    </w:p>
    <w:p w:rsidR="00DE26CA" w:rsidRPr="00DD4D5E" w:rsidRDefault="00DE26CA" w:rsidP="00DE26CA">
      <w:pPr>
        <w:pStyle w:val="ParaNoNdepar-AltN"/>
        <w:tabs>
          <w:tab w:val="clear" w:pos="1152"/>
          <w:tab w:val="left" w:pos="1166"/>
        </w:tabs>
        <w:rPr>
          <w:rFonts w:cs="Times New Roman"/>
          <w:lang w:val="fr-CA"/>
        </w:rPr>
      </w:pPr>
      <w:r w:rsidRPr="00DD4D5E">
        <w:rPr>
          <w:rFonts w:cs="Times New Roman"/>
          <w:lang w:val="fr-CA"/>
        </w:rPr>
        <w:t>Le pouvoir de la Cour de renvoyer l</w:t>
      </w:r>
      <w:r>
        <w:rPr>
          <w:rFonts w:cs="Times New Roman"/>
          <w:lang w:val="fr-CA"/>
        </w:rPr>
        <w:t>’</w:t>
      </w:r>
      <w:r w:rsidRPr="00DD4D5E">
        <w:rPr>
          <w:rFonts w:cs="Times New Roman"/>
          <w:lang w:val="fr-CA"/>
        </w:rPr>
        <w:t>affaire à la cour d</w:t>
      </w:r>
      <w:r>
        <w:rPr>
          <w:rFonts w:cs="Times New Roman"/>
          <w:lang w:val="fr-CA"/>
        </w:rPr>
        <w:t>’</w:t>
      </w:r>
      <w:r w:rsidRPr="00DD4D5E">
        <w:rPr>
          <w:rFonts w:cs="Times New Roman"/>
          <w:lang w:val="fr-CA"/>
        </w:rPr>
        <w:t>appel est de nature discrétionnaire (</w:t>
      </w:r>
      <w:r w:rsidRPr="00DD4D5E">
        <w:rPr>
          <w:rFonts w:cs="Times New Roman"/>
          <w:i/>
          <w:lang w:val="fr-CA"/>
        </w:rPr>
        <w:t>Loi sur la Cour suprême</w:t>
      </w:r>
      <w:r w:rsidRPr="00DD4D5E">
        <w:rPr>
          <w:rFonts w:cs="Times New Roman"/>
          <w:lang w:val="fr-CA"/>
        </w:rPr>
        <w:t>, L.R.C. 1985, c. S</w:t>
      </w:r>
      <w:r w:rsidRPr="00DD4D5E">
        <w:rPr>
          <w:rFonts w:cs="Times New Roman"/>
          <w:lang w:val="fr-CA"/>
        </w:rPr>
        <w:noBreakHyphen/>
        <w:t xml:space="preserve">26, art. 46.1; </w:t>
      </w:r>
      <w:r w:rsidRPr="00DD4D5E">
        <w:rPr>
          <w:rFonts w:cs="Times New Roman"/>
          <w:i/>
          <w:lang w:val="fr-CA"/>
        </w:rPr>
        <w:t>Wells c. Terre</w:t>
      </w:r>
      <w:r w:rsidRPr="00DD4D5E">
        <w:rPr>
          <w:rFonts w:cs="Times New Roman"/>
          <w:i/>
          <w:lang w:val="fr-CA"/>
        </w:rPr>
        <w:noBreakHyphen/>
        <w:t>Neuve</w:t>
      </w:r>
      <w:r w:rsidRPr="00DD4D5E">
        <w:rPr>
          <w:rFonts w:cs="Times New Roman"/>
          <w:lang w:val="fr-CA"/>
        </w:rPr>
        <w:t>, [1999] 3 R.C.S. 199, par. 68). Le temps écoulé depuis l</w:t>
      </w:r>
      <w:r>
        <w:rPr>
          <w:rFonts w:cs="Times New Roman"/>
          <w:lang w:val="fr-CA"/>
        </w:rPr>
        <w:t>’</w:t>
      </w:r>
      <w:r w:rsidRPr="00DD4D5E">
        <w:rPr>
          <w:rFonts w:cs="Times New Roman"/>
          <w:lang w:val="fr-CA"/>
        </w:rPr>
        <w:t>acte fautif reconnu dont M. Saadati a été victime et le début de l</w:t>
      </w:r>
      <w:r>
        <w:rPr>
          <w:rFonts w:cs="Times New Roman"/>
          <w:lang w:val="fr-CA"/>
        </w:rPr>
        <w:t>’</w:t>
      </w:r>
      <w:r w:rsidRPr="00DD4D5E">
        <w:rPr>
          <w:rFonts w:cs="Times New Roman"/>
          <w:lang w:val="fr-CA"/>
        </w:rPr>
        <w:t xml:space="preserve">instance milite contre le renvoi. Comme dans </w:t>
      </w:r>
      <w:r w:rsidRPr="00DD4D5E">
        <w:rPr>
          <w:rFonts w:cs="Times New Roman"/>
          <w:i/>
          <w:lang w:val="fr-CA"/>
        </w:rPr>
        <w:t>Wells</w:t>
      </w:r>
      <w:r w:rsidRPr="00DD4D5E">
        <w:rPr>
          <w:rFonts w:cs="Times New Roman"/>
          <w:lang w:val="fr-CA"/>
        </w:rPr>
        <w:t>, le montant déterminé par le juge de première instance est raisonnable et en adéquation avec le dossier, et il indemnise convenablement l</w:t>
      </w:r>
      <w:r>
        <w:rPr>
          <w:rFonts w:cs="Times New Roman"/>
          <w:lang w:val="fr-CA"/>
        </w:rPr>
        <w:t>’</w:t>
      </w:r>
      <w:r w:rsidRPr="00DD4D5E">
        <w:rPr>
          <w:rFonts w:cs="Times New Roman"/>
          <w:lang w:val="fr-CA"/>
        </w:rPr>
        <w:t>appelant de la perte qu</w:t>
      </w:r>
      <w:r>
        <w:rPr>
          <w:rFonts w:cs="Times New Roman"/>
          <w:lang w:val="fr-CA"/>
        </w:rPr>
        <w:t>’</w:t>
      </w:r>
      <w:r w:rsidRPr="00DD4D5E">
        <w:rPr>
          <w:rFonts w:cs="Times New Roman"/>
          <w:lang w:val="fr-CA"/>
        </w:rPr>
        <w:t>il a subie. J</w:t>
      </w:r>
      <w:r>
        <w:rPr>
          <w:rFonts w:cs="Times New Roman"/>
          <w:lang w:val="fr-CA"/>
        </w:rPr>
        <w:t>’</w:t>
      </w:r>
      <w:r w:rsidRPr="00DD4D5E">
        <w:rPr>
          <w:rFonts w:cs="Times New Roman"/>
          <w:lang w:val="fr-CA"/>
        </w:rPr>
        <w:t>estime donc que renvoyer l</w:t>
      </w:r>
      <w:r>
        <w:rPr>
          <w:rFonts w:cs="Times New Roman"/>
          <w:lang w:val="fr-CA"/>
        </w:rPr>
        <w:t>’</w:t>
      </w:r>
      <w:r w:rsidRPr="00DD4D5E">
        <w:rPr>
          <w:rFonts w:cs="Times New Roman"/>
          <w:lang w:val="fr-CA"/>
        </w:rPr>
        <w:t>affaire à la Cour d</w:t>
      </w:r>
      <w:r>
        <w:rPr>
          <w:rFonts w:cs="Times New Roman"/>
          <w:lang w:val="fr-CA"/>
        </w:rPr>
        <w:t>’</w:t>
      </w:r>
      <w:r w:rsidRPr="00DD4D5E">
        <w:rPr>
          <w:rFonts w:cs="Times New Roman"/>
          <w:lang w:val="fr-CA"/>
        </w:rPr>
        <w:t xml:space="preserve">appel ne constituerait pas une « mesur[e] </w:t>
      </w:r>
      <w:r w:rsidR="00542873">
        <w:rPr>
          <w:rFonts w:cs="Times New Roman"/>
          <w:lang w:val="fr-CA"/>
        </w:rPr>
        <w:t xml:space="preserve">[. . .] </w:t>
      </w:r>
      <w:r w:rsidRPr="00DD4D5E">
        <w:rPr>
          <w:rFonts w:cs="Times New Roman"/>
          <w:lang w:val="fr-CA"/>
        </w:rPr>
        <w:t>appropri[ée] » (art. 46.1).</w:t>
      </w:r>
    </w:p>
    <w:p w:rsidR="004D7D95" w:rsidRPr="00381B25" w:rsidRDefault="004D7D95" w:rsidP="00C25DD8">
      <w:pPr>
        <w:pStyle w:val="SCCNormalDoubleSpacing"/>
        <w:spacing w:after="480"/>
        <w:rPr>
          <w:lang w:val="fr-CA"/>
        </w:rPr>
      </w:pPr>
      <w:r w:rsidRPr="00381B25">
        <w:rPr>
          <w:lang w:val="fr-CA"/>
        </w:rPr>
        <w:tab/>
      </w:r>
      <w:r w:rsidR="00F644EC" w:rsidRPr="00381B25">
        <w:rPr>
          <w:i/>
          <w:lang w:val="fr-CA"/>
        </w:rPr>
        <w:t xml:space="preserve">Pourvoi </w:t>
      </w:r>
      <w:r w:rsidR="000A2F08" w:rsidRPr="00381B25">
        <w:rPr>
          <w:i/>
          <w:lang w:val="fr-CA"/>
        </w:rPr>
        <w:t>accueilli avec dépens</w:t>
      </w:r>
      <w:r w:rsidR="00E844D8">
        <w:rPr>
          <w:i/>
          <w:lang w:val="fr-CA"/>
        </w:rPr>
        <w:t xml:space="preserve"> dans toutes les cours</w:t>
      </w:r>
      <w:r w:rsidR="00F644EC" w:rsidRPr="00381B25">
        <w:rPr>
          <w:i/>
          <w:lang w:val="fr-CA"/>
        </w:rPr>
        <w:t>.</w:t>
      </w:r>
    </w:p>
    <w:p w:rsidR="00111B31" w:rsidRPr="00381B25" w:rsidRDefault="00111B31" w:rsidP="00C25DD8">
      <w:pPr>
        <w:pStyle w:val="SCCLawFirm"/>
        <w:spacing w:after="480"/>
        <w:rPr>
          <w:lang w:val="fr-CA"/>
        </w:rPr>
      </w:pPr>
      <w:r w:rsidRPr="00381B25">
        <w:rPr>
          <w:lang w:val="fr-CA"/>
        </w:rPr>
        <w:tab/>
        <w:t>Procureurs de l</w:t>
      </w:r>
      <w:r w:rsidR="00E72105">
        <w:rPr>
          <w:lang w:val="fr-CA"/>
        </w:rPr>
        <w:t>’</w:t>
      </w:r>
      <w:r w:rsidRPr="00381B25">
        <w:rPr>
          <w:lang w:val="fr-CA"/>
        </w:rPr>
        <w:t>appelant</w:t>
      </w:r>
      <w:r w:rsidR="00E72105">
        <w:rPr>
          <w:lang w:val="fr-CA"/>
        </w:rPr>
        <w:t> :</w:t>
      </w:r>
      <w:r w:rsidR="003F096B" w:rsidRPr="00381B25">
        <w:rPr>
          <w:lang w:val="fr-CA"/>
        </w:rPr>
        <w:t> </w:t>
      </w:r>
      <w:r w:rsidRPr="00381B25">
        <w:rPr>
          <w:lang w:val="fr-CA"/>
        </w:rPr>
        <w:t>Preszler Law, Vancouver.</w:t>
      </w:r>
    </w:p>
    <w:p w:rsidR="00111B31" w:rsidRPr="00381B25" w:rsidRDefault="00542873" w:rsidP="00C25DD8">
      <w:pPr>
        <w:pStyle w:val="SCCLawFirm"/>
        <w:spacing w:after="480"/>
        <w:rPr>
          <w:lang w:val="fr-CA"/>
        </w:rPr>
      </w:pPr>
      <w:r>
        <w:rPr>
          <w:lang w:val="fr-CA"/>
        </w:rPr>
        <w:tab/>
        <w:t>Procureur</w:t>
      </w:r>
      <w:r w:rsidR="00111B31" w:rsidRPr="00381B25">
        <w:rPr>
          <w:lang w:val="fr-CA"/>
        </w:rPr>
        <w:t xml:space="preserve"> des intimés</w:t>
      </w:r>
      <w:r w:rsidR="00E72105">
        <w:rPr>
          <w:lang w:val="fr-CA"/>
        </w:rPr>
        <w:t> :</w:t>
      </w:r>
      <w:r w:rsidR="003F096B" w:rsidRPr="00381B25">
        <w:rPr>
          <w:lang w:val="fr-CA"/>
        </w:rPr>
        <w:t> </w:t>
      </w:r>
      <w:r w:rsidR="00111B31" w:rsidRPr="00381B25">
        <w:rPr>
          <w:lang w:val="fr-CA"/>
        </w:rPr>
        <w:t>Intact Insurance Company, Vancouver.</w:t>
      </w:r>
    </w:p>
    <w:p w:rsidR="00111B31" w:rsidRDefault="00111B31" w:rsidP="00111B31">
      <w:pPr>
        <w:pStyle w:val="SCCLawFirm"/>
        <w:rPr>
          <w:lang w:val="fr-CA"/>
        </w:rPr>
      </w:pPr>
      <w:r w:rsidRPr="00381B25">
        <w:rPr>
          <w:lang w:val="fr-CA"/>
        </w:rPr>
        <w:tab/>
        <w:t>Procureurs de l</w:t>
      </w:r>
      <w:r w:rsidR="00E72105">
        <w:rPr>
          <w:lang w:val="fr-CA"/>
        </w:rPr>
        <w:t>’</w:t>
      </w:r>
      <w:r w:rsidRPr="00381B25">
        <w:rPr>
          <w:lang w:val="fr-CA"/>
        </w:rPr>
        <w:t>intervenant</w:t>
      </w:r>
      <w:r w:rsidR="00E72105">
        <w:rPr>
          <w:lang w:val="fr-CA"/>
        </w:rPr>
        <w:t> :</w:t>
      </w:r>
      <w:r w:rsidR="003F096B" w:rsidRPr="00381B25">
        <w:rPr>
          <w:lang w:val="fr-CA"/>
        </w:rPr>
        <w:t> </w:t>
      </w:r>
      <w:r w:rsidRPr="00381B25">
        <w:rPr>
          <w:lang w:val="fr-CA"/>
        </w:rPr>
        <w:t>Stikeman Elliott, Toronto.</w:t>
      </w:r>
      <w:r w:rsidR="00A30023">
        <w:rPr>
          <w:lang w:val="fr-CA"/>
        </w:rPr>
        <w:t xml:space="preserve"> </w:t>
      </w:r>
    </w:p>
    <w:p w:rsidR="009504FD" w:rsidRPr="009504FD" w:rsidRDefault="009504FD" w:rsidP="009504FD">
      <w:pPr>
        <w:pStyle w:val="SCCNormalDoubleSpacing"/>
        <w:rPr>
          <w:lang w:val="fr-CA"/>
        </w:rPr>
      </w:pPr>
    </w:p>
    <w:sectPr w:rsidR="009504FD" w:rsidRPr="009504F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FD" w:rsidRDefault="009504FD">
      <w:r>
        <w:separator/>
      </w:r>
    </w:p>
  </w:endnote>
  <w:endnote w:type="continuationSeparator" w:id="0">
    <w:p w:rsidR="009504FD" w:rsidRDefault="0095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FD" w:rsidRDefault="009504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FD" w:rsidRDefault="009504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FD" w:rsidRDefault="009504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FD" w:rsidRDefault="009504FD">
      <w:r>
        <w:separator/>
      </w:r>
    </w:p>
  </w:footnote>
  <w:footnote w:type="continuationSeparator" w:id="0">
    <w:p w:rsidR="009504FD" w:rsidRDefault="009504FD">
      <w:r>
        <w:continuationSeparator/>
      </w:r>
    </w:p>
  </w:footnote>
  <w:footnote w:id="1">
    <w:p w:rsidR="009504FD" w:rsidRPr="0041005D" w:rsidRDefault="009504FD" w:rsidP="00DE26CA">
      <w:pPr>
        <w:pStyle w:val="Notedebasdepage"/>
        <w:rPr>
          <w:lang w:val="fr-CA"/>
        </w:rPr>
      </w:pPr>
      <w:r w:rsidRPr="00A76F81">
        <w:rPr>
          <w:rStyle w:val="Appelnotedebasdep"/>
        </w:rPr>
        <w:footnoteRef/>
      </w:r>
      <w:r w:rsidRPr="00BD0FEC">
        <w:rPr>
          <w:lang w:val="fr-CA"/>
        </w:rPr>
        <w:t xml:space="preserve">  </w:t>
      </w:r>
      <w:r w:rsidRPr="0041005D">
        <w:rPr>
          <w:lang w:val="fr-CA"/>
        </w:rPr>
        <w:t xml:space="preserve">Doctrine et jurisprudence qualifient ce type de préjudice de diverses manières, dont les suivantes : </w:t>
      </w:r>
      <w:r w:rsidRPr="0041005D">
        <w:rPr>
          <w:rFonts w:eastAsiaTheme="minorHAnsi"/>
          <w:lang w:val="fr-CA"/>
        </w:rPr>
        <w:t>[</w:t>
      </w:r>
      <w:r w:rsidRPr="0041005D">
        <w:rPr>
          <w:rFonts w:eastAsiaTheme="minorHAnsi"/>
          <w:smallCaps/>
          <w:lang w:val="fr-CA"/>
        </w:rPr>
        <w:t>traduction</w:t>
      </w:r>
      <w:r w:rsidRPr="0041005D">
        <w:rPr>
          <w:rFonts w:eastAsiaTheme="minorHAnsi"/>
          <w:lang w:val="fr-CA"/>
        </w:rPr>
        <w:t xml:space="preserve">] </w:t>
      </w:r>
      <w:r w:rsidRPr="0041005D">
        <w:rPr>
          <w:lang w:val="fr-CA"/>
        </w:rPr>
        <w:t xml:space="preserve">« choc nerveux » (voir L. N. Klar, </w:t>
      </w:r>
      <w:r w:rsidRPr="0041005D">
        <w:rPr>
          <w:i/>
          <w:lang w:val="fr-CA"/>
        </w:rPr>
        <w:t>Tort Law</w:t>
      </w:r>
      <w:r w:rsidRPr="0041005D">
        <w:rPr>
          <w:lang w:val="fr-CA"/>
        </w:rPr>
        <w:t xml:space="preserve"> (5</w:t>
      </w:r>
      <w:r w:rsidRPr="0041005D">
        <w:rPr>
          <w:vertAlign w:val="superscript"/>
          <w:lang w:val="fr-CA"/>
        </w:rPr>
        <w:t>e</w:t>
      </w:r>
      <w:r w:rsidRPr="0041005D">
        <w:rPr>
          <w:lang w:val="fr-CA"/>
        </w:rPr>
        <w:t xml:space="preserve"> éd. 2012), p. 498), </w:t>
      </w:r>
      <w:r w:rsidRPr="002503DF">
        <w:rPr>
          <w:lang w:val="fr-CA"/>
        </w:rPr>
        <w:t>« </w:t>
      </w:r>
      <w:r w:rsidRPr="002503DF">
        <w:rPr>
          <w:i/>
          <w:lang w:val="fr-CA"/>
        </w:rPr>
        <w:t>mental injury</w:t>
      </w:r>
      <w:r w:rsidRPr="002503DF">
        <w:rPr>
          <w:lang w:val="fr-CA"/>
        </w:rPr>
        <w:t xml:space="preserve"> », en anglais (voir </w:t>
      </w:r>
      <w:r w:rsidRPr="002503DF">
        <w:rPr>
          <w:i/>
          <w:lang w:val="fr-CA"/>
        </w:rPr>
        <w:t>Mustapha c. Culligan du Canada Ltée</w:t>
      </w:r>
      <w:r w:rsidRPr="002503DF">
        <w:rPr>
          <w:lang w:val="fr-CA"/>
        </w:rPr>
        <w:t>, 2008 CSC 27, [2008] 2 R.C.S. 114;</w:t>
      </w:r>
      <w:r>
        <w:rPr>
          <w:lang w:val="fr-CA"/>
        </w:rPr>
        <w:t xml:space="preserve"> </w:t>
      </w:r>
      <w:r w:rsidRPr="002503DF">
        <w:rPr>
          <w:lang w:val="fr-CA"/>
        </w:rPr>
        <w:t>L. Bélanger</w:t>
      </w:r>
      <w:r w:rsidRPr="002503DF">
        <w:rPr>
          <w:lang w:val="fr-CA"/>
        </w:rPr>
        <w:noBreakHyphen/>
        <w:t xml:space="preserve">Hardy, « Reconsidering the “Recognizable Psychiatric Illness” Requirement in Canadian Negligence Law » (2013), 38 </w:t>
      </w:r>
      <w:r w:rsidRPr="002503DF">
        <w:rPr>
          <w:i/>
          <w:lang w:val="fr-CA"/>
        </w:rPr>
        <w:t>Queen</w:t>
      </w:r>
      <w:r>
        <w:rPr>
          <w:i/>
          <w:lang w:val="fr-CA"/>
        </w:rPr>
        <w:t>’</w:t>
      </w:r>
      <w:r w:rsidRPr="002503DF">
        <w:rPr>
          <w:i/>
          <w:lang w:val="fr-CA"/>
        </w:rPr>
        <w:t>s L.J.</w:t>
      </w:r>
      <w:r w:rsidRPr="002503DF">
        <w:rPr>
          <w:lang w:val="fr-CA"/>
        </w:rPr>
        <w:t xml:space="preserve"> 583, p. 586), </w:t>
      </w:r>
      <w:r w:rsidRPr="002503DF">
        <w:rPr>
          <w:rFonts w:eastAsiaTheme="minorHAnsi"/>
          <w:lang w:val="fr-CA"/>
        </w:rPr>
        <w:t>[</w:t>
      </w:r>
      <w:r w:rsidRPr="002503DF">
        <w:rPr>
          <w:rFonts w:eastAsiaTheme="minorHAnsi"/>
          <w:smallCaps/>
          <w:lang w:val="fr-CA"/>
        </w:rPr>
        <w:t>traduction</w:t>
      </w:r>
      <w:r w:rsidRPr="0041005D">
        <w:rPr>
          <w:rFonts w:eastAsiaTheme="minorHAnsi"/>
          <w:lang w:val="fr-CA"/>
        </w:rPr>
        <w:t xml:space="preserve">] </w:t>
      </w:r>
      <w:r w:rsidRPr="0041005D">
        <w:rPr>
          <w:lang w:val="fr-CA"/>
        </w:rPr>
        <w:t>« préjudice psychologique » (voir Bélanger</w:t>
      </w:r>
      <w:r w:rsidRPr="0041005D">
        <w:rPr>
          <w:lang w:val="fr-CA"/>
        </w:rPr>
        <w:noBreakHyphen/>
        <w:t xml:space="preserve">Hardy, p. 584), </w:t>
      </w:r>
      <w:r w:rsidRPr="0041005D">
        <w:rPr>
          <w:rFonts w:eastAsiaTheme="minorHAnsi"/>
          <w:lang w:val="fr-CA"/>
        </w:rPr>
        <w:t>[</w:t>
      </w:r>
      <w:r w:rsidRPr="0041005D">
        <w:rPr>
          <w:rFonts w:eastAsiaTheme="minorHAnsi"/>
          <w:smallCaps/>
          <w:lang w:val="fr-CA"/>
        </w:rPr>
        <w:t>traduction</w:t>
      </w:r>
      <w:r w:rsidRPr="0041005D">
        <w:rPr>
          <w:rFonts w:eastAsiaTheme="minorHAnsi"/>
          <w:lang w:val="fr-CA"/>
        </w:rPr>
        <w:t>]</w:t>
      </w:r>
      <w:r w:rsidRPr="0041005D">
        <w:rPr>
          <w:lang w:val="fr-CA"/>
        </w:rPr>
        <w:t xml:space="preserve"> « dommage psychique » (A. M. Linden et B. Feldthusen, </w:t>
      </w:r>
      <w:r w:rsidRPr="0041005D">
        <w:rPr>
          <w:i/>
          <w:lang w:val="fr-CA"/>
        </w:rPr>
        <w:t>Canadian Tort Law</w:t>
      </w:r>
      <w:r w:rsidRPr="0041005D">
        <w:rPr>
          <w:lang w:val="fr-CA"/>
        </w:rPr>
        <w:t xml:space="preserve"> (10</w:t>
      </w:r>
      <w:r w:rsidRPr="0041005D">
        <w:rPr>
          <w:vertAlign w:val="superscript"/>
          <w:lang w:val="fr-CA"/>
        </w:rPr>
        <w:t>e</w:t>
      </w:r>
      <w:r w:rsidRPr="0041005D">
        <w:rPr>
          <w:lang w:val="fr-CA"/>
        </w:rPr>
        <w:t xml:space="preserve"> éd. 2015), p. 447) et « préjudice psychiatrique » (</w:t>
      </w:r>
      <w:r w:rsidRPr="0041005D">
        <w:rPr>
          <w:i/>
          <w:lang w:val="fr-CA"/>
        </w:rPr>
        <w:t>Mustapha</w:t>
      </w:r>
      <w:r w:rsidRPr="0041005D">
        <w:rPr>
          <w:lang w:val="fr-CA"/>
        </w:rPr>
        <w:t xml:space="preserve">). Pour sa part, le juge de première instance emploie le terme </w:t>
      </w:r>
      <w:r w:rsidRPr="0041005D">
        <w:rPr>
          <w:rFonts w:eastAsiaTheme="minorHAnsi"/>
          <w:lang w:val="fr-CA"/>
        </w:rPr>
        <w:t>[</w:t>
      </w:r>
      <w:r w:rsidRPr="0041005D">
        <w:rPr>
          <w:rFonts w:eastAsiaTheme="minorHAnsi"/>
          <w:smallCaps/>
          <w:lang w:val="fr-CA"/>
        </w:rPr>
        <w:t>traduction</w:t>
      </w:r>
      <w:r w:rsidRPr="0041005D">
        <w:rPr>
          <w:rFonts w:eastAsiaTheme="minorHAnsi"/>
          <w:lang w:val="fr-CA"/>
        </w:rPr>
        <w:t xml:space="preserve">] </w:t>
      </w:r>
      <w:r w:rsidRPr="0041005D">
        <w:rPr>
          <w:lang w:val="fr-CA"/>
        </w:rPr>
        <w:t>« préjudice psychologique », tandis que la Cour d</w:t>
      </w:r>
      <w:r>
        <w:rPr>
          <w:lang w:val="fr-CA"/>
        </w:rPr>
        <w:t>’</w:t>
      </w:r>
      <w:r w:rsidRPr="0041005D">
        <w:rPr>
          <w:lang w:val="fr-CA"/>
        </w:rPr>
        <w:t xml:space="preserve">appel opte pour </w:t>
      </w:r>
      <w:r w:rsidRPr="0041005D">
        <w:rPr>
          <w:rFonts w:eastAsiaTheme="minorHAnsi"/>
          <w:lang w:val="fr-CA"/>
        </w:rPr>
        <w:t>[</w:t>
      </w:r>
      <w:r w:rsidRPr="0041005D">
        <w:rPr>
          <w:rFonts w:eastAsiaTheme="minorHAnsi"/>
          <w:smallCaps/>
          <w:lang w:val="fr-CA"/>
        </w:rPr>
        <w:t>traduction</w:t>
      </w:r>
      <w:r w:rsidRPr="0041005D">
        <w:rPr>
          <w:rFonts w:eastAsiaTheme="minorHAnsi"/>
          <w:lang w:val="fr-CA"/>
        </w:rPr>
        <w:t xml:space="preserve">] </w:t>
      </w:r>
      <w:r w:rsidRPr="0041005D">
        <w:rPr>
          <w:lang w:val="fr-CA"/>
        </w:rPr>
        <w:t>« trouble psychiatrique ou psychologique ». Bien qu</w:t>
      </w:r>
      <w:r>
        <w:rPr>
          <w:lang w:val="fr-CA"/>
        </w:rPr>
        <w:t>’</w:t>
      </w:r>
      <w:r w:rsidRPr="0041005D">
        <w:rPr>
          <w:lang w:val="fr-CA"/>
        </w:rPr>
        <w:t>il existe de nettes différences entre ces termes selon les disciplines en cause, lorsqu</w:t>
      </w:r>
      <w:r>
        <w:rPr>
          <w:lang w:val="fr-CA"/>
        </w:rPr>
        <w:t>’</w:t>
      </w:r>
      <w:r w:rsidRPr="0041005D">
        <w:rPr>
          <w:lang w:val="fr-CA"/>
        </w:rPr>
        <w:t>il s</w:t>
      </w:r>
      <w:r>
        <w:rPr>
          <w:lang w:val="fr-CA"/>
        </w:rPr>
        <w:t>’</w:t>
      </w:r>
      <w:r w:rsidRPr="0041005D">
        <w:rPr>
          <w:lang w:val="fr-CA"/>
        </w:rPr>
        <w:t>agit de déterminer de façon générale les cas donnant droit à une indemnisation, le choix de l</w:t>
      </w:r>
      <w:r>
        <w:rPr>
          <w:lang w:val="fr-CA"/>
        </w:rPr>
        <w:t>’</w:t>
      </w:r>
      <w:r w:rsidRPr="0041005D">
        <w:rPr>
          <w:lang w:val="fr-CA"/>
        </w:rPr>
        <w:t>un ou l</w:t>
      </w:r>
      <w:r>
        <w:rPr>
          <w:lang w:val="fr-CA"/>
        </w:rPr>
        <w:t>’</w:t>
      </w:r>
      <w:r w:rsidRPr="0041005D">
        <w:rPr>
          <w:lang w:val="fr-CA"/>
        </w:rPr>
        <w:t>autre terme n</w:t>
      </w:r>
      <w:r>
        <w:rPr>
          <w:lang w:val="fr-CA"/>
        </w:rPr>
        <w:t>’</w:t>
      </w:r>
      <w:r w:rsidRPr="0041005D">
        <w:rPr>
          <w:lang w:val="fr-CA"/>
        </w:rPr>
        <w:t>a pas d</w:t>
      </w:r>
      <w:r>
        <w:rPr>
          <w:lang w:val="fr-CA"/>
        </w:rPr>
        <w:t>’</w:t>
      </w:r>
      <w:r w:rsidRPr="0041005D">
        <w:rPr>
          <w:lang w:val="fr-CA"/>
        </w:rPr>
        <w:t>incidence juridique. Par souci de clarté, j</w:t>
      </w:r>
      <w:r>
        <w:rPr>
          <w:lang w:val="fr-CA"/>
        </w:rPr>
        <w:t>’</w:t>
      </w:r>
      <w:r w:rsidRPr="0041005D">
        <w:rPr>
          <w:lang w:val="fr-CA"/>
        </w:rPr>
        <w:t>appelle toutefois « préjudice mental » le préjudice allégué en l</w:t>
      </w:r>
      <w:r>
        <w:rPr>
          <w:lang w:val="fr-CA"/>
        </w:rPr>
        <w:t>’</w:t>
      </w:r>
      <w:r w:rsidRPr="0041005D">
        <w:rPr>
          <w:lang w:val="fr-CA"/>
        </w:rPr>
        <w:t>espèce.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FD" w:rsidRDefault="009504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FD" w:rsidRPr="00450352" w:rsidRDefault="009504FD" w:rsidP="0045035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FD" w:rsidRDefault="009504F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0"/>
        </w:tabs>
      </w:pPr>
      <w:rPr>
        <w:rFonts w:ascii="Times New Roman" w:hAnsi="Times New Roman" w:cs="Times New Roman"/>
        <w:sz w:val="24"/>
        <w:szCs w:val="24"/>
      </w:rPr>
    </w:lvl>
  </w:abstractNum>
  <w:abstractNum w:abstractNumId="1" w15:restartNumberingAfterBreak="0">
    <w:nsid w:val="1C9D5718"/>
    <w:multiLevelType w:val="hybridMultilevel"/>
    <w:tmpl w:val="EAC4EC18"/>
    <w:lvl w:ilvl="0" w:tplc="578C28D8">
      <w:start w:val="8"/>
      <w:numFmt w:val="lowerLetter"/>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603130A"/>
    <w:multiLevelType w:val="multilevel"/>
    <w:tmpl w:val="16B4460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042182"/>
    <w:multiLevelType w:val="hybridMultilevel"/>
    <w:tmpl w:val="810C45CA"/>
    <w:lvl w:ilvl="0" w:tplc="040C0017">
      <w:start w:val="1"/>
      <w:numFmt w:val="lowerLetter"/>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num w:numId="1">
    <w:abstractNumId w:val="2"/>
  </w:num>
  <w:num w:numId="2">
    <w:abstractNumId w:val="3"/>
  </w:num>
  <w:num w:numId="3">
    <w:abstractNumId w:val="0"/>
    <w:lvlOverride w:ilvl="0">
      <w:startOverride w:val="1"/>
      <w:lvl w:ilvl="0">
        <w:start w:val="1"/>
        <w:numFmt w:val="decimal"/>
        <w:lvlText w:val="%1"/>
        <w:lvlJc w:val="left"/>
      </w:lvl>
    </w:lvlOverride>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3AD9"/>
    <w:rsid w:val="000578A3"/>
    <w:rsid w:val="000648CC"/>
    <w:rsid w:val="00072C4F"/>
    <w:rsid w:val="000A236F"/>
    <w:rsid w:val="000A2EA0"/>
    <w:rsid w:val="000A2F08"/>
    <w:rsid w:val="000C02D7"/>
    <w:rsid w:val="000C59B8"/>
    <w:rsid w:val="000C6AF0"/>
    <w:rsid w:val="000D0A77"/>
    <w:rsid w:val="000D498D"/>
    <w:rsid w:val="000E0D7B"/>
    <w:rsid w:val="000E5A3D"/>
    <w:rsid w:val="000F7993"/>
    <w:rsid w:val="00104F33"/>
    <w:rsid w:val="00111B31"/>
    <w:rsid w:val="00111DE2"/>
    <w:rsid w:val="00116B38"/>
    <w:rsid w:val="00116E73"/>
    <w:rsid w:val="00135406"/>
    <w:rsid w:val="00135972"/>
    <w:rsid w:val="001426A9"/>
    <w:rsid w:val="00154D7C"/>
    <w:rsid w:val="001570B0"/>
    <w:rsid w:val="0015752C"/>
    <w:rsid w:val="00157737"/>
    <w:rsid w:val="00165277"/>
    <w:rsid w:val="00170592"/>
    <w:rsid w:val="00170C6B"/>
    <w:rsid w:val="001720F7"/>
    <w:rsid w:val="001737EC"/>
    <w:rsid w:val="00195D83"/>
    <w:rsid w:val="001A00C1"/>
    <w:rsid w:val="001B33E0"/>
    <w:rsid w:val="001B4138"/>
    <w:rsid w:val="001B4573"/>
    <w:rsid w:val="001C779F"/>
    <w:rsid w:val="001D2AC1"/>
    <w:rsid w:val="001D4E88"/>
    <w:rsid w:val="001F1F6C"/>
    <w:rsid w:val="00212294"/>
    <w:rsid w:val="002208B7"/>
    <w:rsid w:val="00220FC2"/>
    <w:rsid w:val="002222F4"/>
    <w:rsid w:val="00224FC0"/>
    <w:rsid w:val="00225EA4"/>
    <w:rsid w:val="00226EAF"/>
    <w:rsid w:val="00231F3A"/>
    <w:rsid w:val="002406EE"/>
    <w:rsid w:val="00243EC8"/>
    <w:rsid w:val="00266929"/>
    <w:rsid w:val="00270D93"/>
    <w:rsid w:val="002745CC"/>
    <w:rsid w:val="002A4BD4"/>
    <w:rsid w:val="002B6FBE"/>
    <w:rsid w:val="002B7924"/>
    <w:rsid w:val="002C10A6"/>
    <w:rsid w:val="002C39FA"/>
    <w:rsid w:val="002D28C3"/>
    <w:rsid w:val="002D39A4"/>
    <w:rsid w:val="002E6705"/>
    <w:rsid w:val="0030329A"/>
    <w:rsid w:val="0031086F"/>
    <w:rsid w:val="0031414C"/>
    <w:rsid w:val="00314D51"/>
    <w:rsid w:val="00314E01"/>
    <w:rsid w:val="0032089D"/>
    <w:rsid w:val="003310DE"/>
    <w:rsid w:val="003323B0"/>
    <w:rsid w:val="00340A49"/>
    <w:rsid w:val="003504D5"/>
    <w:rsid w:val="0035169A"/>
    <w:rsid w:val="0035259D"/>
    <w:rsid w:val="00364693"/>
    <w:rsid w:val="00364B18"/>
    <w:rsid w:val="00381B25"/>
    <w:rsid w:val="003934A3"/>
    <w:rsid w:val="00394D2A"/>
    <w:rsid w:val="003A125D"/>
    <w:rsid w:val="003A4C70"/>
    <w:rsid w:val="003B215F"/>
    <w:rsid w:val="003C799C"/>
    <w:rsid w:val="003D0399"/>
    <w:rsid w:val="003E1C71"/>
    <w:rsid w:val="003E3C8E"/>
    <w:rsid w:val="003F096B"/>
    <w:rsid w:val="003F327B"/>
    <w:rsid w:val="00406166"/>
    <w:rsid w:val="0040704B"/>
    <w:rsid w:val="00410A55"/>
    <w:rsid w:val="00411300"/>
    <w:rsid w:val="00413F17"/>
    <w:rsid w:val="00415417"/>
    <w:rsid w:val="004174A9"/>
    <w:rsid w:val="00420084"/>
    <w:rsid w:val="00426659"/>
    <w:rsid w:val="004336F3"/>
    <w:rsid w:val="0043604D"/>
    <w:rsid w:val="0043655F"/>
    <w:rsid w:val="00450352"/>
    <w:rsid w:val="00454BDB"/>
    <w:rsid w:val="00464834"/>
    <w:rsid w:val="00465132"/>
    <w:rsid w:val="00480C90"/>
    <w:rsid w:val="0048396F"/>
    <w:rsid w:val="00484A40"/>
    <w:rsid w:val="0049001D"/>
    <w:rsid w:val="00493C18"/>
    <w:rsid w:val="00496E3A"/>
    <w:rsid w:val="004A600C"/>
    <w:rsid w:val="004A6118"/>
    <w:rsid w:val="004C478D"/>
    <w:rsid w:val="004C7F86"/>
    <w:rsid w:val="004D7D95"/>
    <w:rsid w:val="004E2C26"/>
    <w:rsid w:val="004F0651"/>
    <w:rsid w:val="00510A7B"/>
    <w:rsid w:val="005125A8"/>
    <w:rsid w:val="00517549"/>
    <w:rsid w:val="00520ABC"/>
    <w:rsid w:val="00520AC7"/>
    <w:rsid w:val="00521AE8"/>
    <w:rsid w:val="00527180"/>
    <w:rsid w:val="00536CA5"/>
    <w:rsid w:val="00542873"/>
    <w:rsid w:val="00555291"/>
    <w:rsid w:val="00555C3C"/>
    <w:rsid w:val="00566AD1"/>
    <w:rsid w:val="00583EDE"/>
    <w:rsid w:val="00586E34"/>
    <w:rsid w:val="00597F74"/>
    <w:rsid w:val="005A1157"/>
    <w:rsid w:val="005A6079"/>
    <w:rsid w:val="005C438D"/>
    <w:rsid w:val="005D074D"/>
    <w:rsid w:val="005E4698"/>
    <w:rsid w:val="005F4A28"/>
    <w:rsid w:val="00602073"/>
    <w:rsid w:val="00603924"/>
    <w:rsid w:val="00604E07"/>
    <w:rsid w:val="00610539"/>
    <w:rsid w:val="00613969"/>
    <w:rsid w:val="00625C35"/>
    <w:rsid w:val="00634D51"/>
    <w:rsid w:val="00647E49"/>
    <w:rsid w:val="0065171B"/>
    <w:rsid w:val="00656313"/>
    <w:rsid w:val="006565F4"/>
    <w:rsid w:val="00663B67"/>
    <w:rsid w:val="00673F9C"/>
    <w:rsid w:val="00684EEA"/>
    <w:rsid w:val="00693483"/>
    <w:rsid w:val="0069689B"/>
    <w:rsid w:val="006B5FF5"/>
    <w:rsid w:val="006C4D3A"/>
    <w:rsid w:val="006F2CDF"/>
    <w:rsid w:val="006F30AF"/>
    <w:rsid w:val="00701759"/>
    <w:rsid w:val="00705C15"/>
    <w:rsid w:val="007110F6"/>
    <w:rsid w:val="007208D1"/>
    <w:rsid w:val="00723281"/>
    <w:rsid w:val="00744518"/>
    <w:rsid w:val="00747288"/>
    <w:rsid w:val="00747DD3"/>
    <w:rsid w:val="007549C8"/>
    <w:rsid w:val="00766D14"/>
    <w:rsid w:val="00767A0F"/>
    <w:rsid w:val="00791272"/>
    <w:rsid w:val="007A05F6"/>
    <w:rsid w:val="007B12B1"/>
    <w:rsid w:val="007B4287"/>
    <w:rsid w:val="007B6F4A"/>
    <w:rsid w:val="007D5E3D"/>
    <w:rsid w:val="007E1C47"/>
    <w:rsid w:val="007E337A"/>
    <w:rsid w:val="007E5C70"/>
    <w:rsid w:val="007F2FF5"/>
    <w:rsid w:val="007F3F08"/>
    <w:rsid w:val="00804CC6"/>
    <w:rsid w:val="00817190"/>
    <w:rsid w:val="008260E2"/>
    <w:rsid w:val="008322BD"/>
    <w:rsid w:val="00834F73"/>
    <w:rsid w:val="008442ED"/>
    <w:rsid w:val="00856944"/>
    <w:rsid w:val="00862A66"/>
    <w:rsid w:val="00864C8A"/>
    <w:rsid w:val="00864CF8"/>
    <w:rsid w:val="00874914"/>
    <w:rsid w:val="00874E6C"/>
    <w:rsid w:val="00891422"/>
    <w:rsid w:val="00892E1A"/>
    <w:rsid w:val="00893BF3"/>
    <w:rsid w:val="008950F0"/>
    <w:rsid w:val="008B310A"/>
    <w:rsid w:val="008B660A"/>
    <w:rsid w:val="008C01DA"/>
    <w:rsid w:val="008D7054"/>
    <w:rsid w:val="008E2614"/>
    <w:rsid w:val="008F2674"/>
    <w:rsid w:val="008F681D"/>
    <w:rsid w:val="008F78E9"/>
    <w:rsid w:val="009179F9"/>
    <w:rsid w:val="00917C7A"/>
    <w:rsid w:val="00933E5E"/>
    <w:rsid w:val="00935218"/>
    <w:rsid w:val="00937C52"/>
    <w:rsid w:val="009403F3"/>
    <w:rsid w:val="009504FD"/>
    <w:rsid w:val="0095554E"/>
    <w:rsid w:val="009555B7"/>
    <w:rsid w:val="009567AA"/>
    <w:rsid w:val="009602C9"/>
    <w:rsid w:val="00967374"/>
    <w:rsid w:val="009A343A"/>
    <w:rsid w:val="009B2F23"/>
    <w:rsid w:val="009B57B3"/>
    <w:rsid w:val="009D2920"/>
    <w:rsid w:val="009D3B7A"/>
    <w:rsid w:val="009D5AEB"/>
    <w:rsid w:val="009D5EE5"/>
    <w:rsid w:val="009D7333"/>
    <w:rsid w:val="009E59EE"/>
    <w:rsid w:val="009F0E33"/>
    <w:rsid w:val="00A01C46"/>
    <w:rsid w:val="00A069FC"/>
    <w:rsid w:val="00A130C3"/>
    <w:rsid w:val="00A149DF"/>
    <w:rsid w:val="00A1755C"/>
    <w:rsid w:val="00A21B90"/>
    <w:rsid w:val="00A228C7"/>
    <w:rsid w:val="00A22AAC"/>
    <w:rsid w:val="00A30023"/>
    <w:rsid w:val="00A41805"/>
    <w:rsid w:val="00A51882"/>
    <w:rsid w:val="00A52AFB"/>
    <w:rsid w:val="00A548CB"/>
    <w:rsid w:val="00A5521C"/>
    <w:rsid w:val="00A643E7"/>
    <w:rsid w:val="00A73C38"/>
    <w:rsid w:val="00A921A7"/>
    <w:rsid w:val="00AB670D"/>
    <w:rsid w:val="00AD2BD8"/>
    <w:rsid w:val="00AF03C5"/>
    <w:rsid w:val="00AF07B5"/>
    <w:rsid w:val="00AF6F49"/>
    <w:rsid w:val="00B000D8"/>
    <w:rsid w:val="00B00918"/>
    <w:rsid w:val="00B00F75"/>
    <w:rsid w:val="00B068D6"/>
    <w:rsid w:val="00B145B6"/>
    <w:rsid w:val="00B279EB"/>
    <w:rsid w:val="00B43B3A"/>
    <w:rsid w:val="00B50C81"/>
    <w:rsid w:val="00B557F8"/>
    <w:rsid w:val="00B815FC"/>
    <w:rsid w:val="00B8297F"/>
    <w:rsid w:val="00B93FBC"/>
    <w:rsid w:val="00BA0754"/>
    <w:rsid w:val="00BA7DA0"/>
    <w:rsid w:val="00BB2EE4"/>
    <w:rsid w:val="00BB4421"/>
    <w:rsid w:val="00BB4C92"/>
    <w:rsid w:val="00BC2108"/>
    <w:rsid w:val="00BD0E9E"/>
    <w:rsid w:val="00BD1BEC"/>
    <w:rsid w:val="00BD32FF"/>
    <w:rsid w:val="00BE7EAF"/>
    <w:rsid w:val="00BF12C1"/>
    <w:rsid w:val="00BF5465"/>
    <w:rsid w:val="00BF6FE9"/>
    <w:rsid w:val="00C02092"/>
    <w:rsid w:val="00C055FD"/>
    <w:rsid w:val="00C24D91"/>
    <w:rsid w:val="00C25DD8"/>
    <w:rsid w:val="00C26DB2"/>
    <w:rsid w:val="00C5350B"/>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20C52"/>
    <w:rsid w:val="00D32086"/>
    <w:rsid w:val="00D37A3F"/>
    <w:rsid w:val="00D4431D"/>
    <w:rsid w:val="00D4667A"/>
    <w:rsid w:val="00D63A1C"/>
    <w:rsid w:val="00D7516F"/>
    <w:rsid w:val="00D83858"/>
    <w:rsid w:val="00D866EB"/>
    <w:rsid w:val="00D91DFD"/>
    <w:rsid w:val="00D95870"/>
    <w:rsid w:val="00D95F8E"/>
    <w:rsid w:val="00DA0590"/>
    <w:rsid w:val="00DA5FD1"/>
    <w:rsid w:val="00DC1739"/>
    <w:rsid w:val="00DC1788"/>
    <w:rsid w:val="00DE0F03"/>
    <w:rsid w:val="00DE26CA"/>
    <w:rsid w:val="00DE2F90"/>
    <w:rsid w:val="00DE319C"/>
    <w:rsid w:val="00DF0CA8"/>
    <w:rsid w:val="00DF2B48"/>
    <w:rsid w:val="00DF49A7"/>
    <w:rsid w:val="00E0152C"/>
    <w:rsid w:val="00E07EE2"/>
    <w:rsid w:val="00E07FD1"/>
    <w:rsid w:val="00E24573"/>
    <w:rsid w:val="00E25E1E"/>
    <w:rsid w:val="00E27EE7"/>
    <w:rsid w:val="00E35404"/>
    <w:rsid w:val="00E45109"/>
    <w:rsid w:val="00E47B7A"/>
    <w:rsid w:val="00E56A44"/>
    <w:rsid w:val="00E60269"/>
    <w:rsid w:val="00E6110A"/>
    <w:rsid w:val="00E72105"/>
    <w:rsid w:val="00E844D8"/>
    <w:rsid w:val="00E902E7"/>
    <w:rsid w:val="00E928F1"/>
    <w:rsid w:val="00E97830"/>
    <w:rsid w:val="00ED101C"/>
    <w:rsid w:val="00EE0830"/>
    <w:rsid w:val="00EE6CB8"/>
    <w:rsid w:val="00EF0683"/>
    <w:rsid w:val="00F0070C"/>
    <w:rsid w:val="00F0087E"/>
    <w:rsid w:val="00F00EB7"/>
    <w:rsid w:val="00F279E5"/>
    <w:rsid w:val="00F3329F"/>
    <w:rsid w:val="00F33A1B"/>
    <w:rsid w:val="00F36AB6"/>
    <w:rsid w:val="00F37A09"/>
    <w:rsid w:val="00F409CE"/>
    <w:rsid w:val="00F4379D"/>
    <w:rsid w:val="00F50D2D"/>
    <w:rsid w:val="00F50ED8"/>
    <w:rsid w:val="00F56C8B"/>
    <w:rsid w:val="00F62639"/>
    <w:rsid w:val="00F644EC"/>
    <w:rsid w:val="00F66810"/>
    <w:rsid w:val="00F84DF4"/>
    <w:rsid w:val="00F85C97"/>
    <w:rsid w:val="00F878E0"/>
    <w:rsid w:val="00FA4AA9"/>
    <w:rsid w:val="00FB37D2"/>
    <w:rsid w:val="00FC4EFB"/>
    <w:rsid w:val="00FD068D"/>
    <w:rsid w:val="00FD38A5"/>
    <w:rsid w:val="00FD4F28"/>
    <w:rsid w:val="00FE6784"/>
    <w:rsid w:val="00FE7A8B"/>
    <w:rsid w:val="00FF6249"/>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6CA"/>
    <w:rPr>
      <w:sz w:val="24"/>
    </w:rPr>
  </w:style>
  <w:style w:type="paragraph" w:styleId="Titre1">
    <w:name w:val="heading 1"/>
    <w:basedOn w:val="Normal"/>
    <w:next w:val="Normal"/>
    <w:link w:val="Titre1C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2,3,A"/>
    <w:basedOn w:val="Normal"/>
    <w:uiPriority w:val="99"/>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Policepardfaut"/>
    <w:link w:val="SCCNormalDoubleSpacing"/>
    <w:rsid w:val="00104F33"/>
    <w:rPr>
      <w:sz w:val="24"/>
    </w:rPr>
  </w:style>
  <w:style w:type="character" w:styleId="lev">
    <w:name w:val="Strong"/>
    <w:basedOn w:val="Policepardfaut"/>
    <w:uiPriority w:val="22"/>
    <w:qFormat/>
    <w:rsid w:val="00C53F14"/>
    <w:rPr>
      <w:b/>
      <w:bCs/>
    </w:rPr>
  </w:style>
  <w:style w:type="paragraph" w:styleId="Citation">
    <w:name w:val="Quote"/>
    <w:basedOn w:val="Normal"/>
    <w:next w:val="Normal"/>
    <w:link w:val="CitationCar"/>
    <w:uiPriority w:val="29"/>
    <w:qFormat/>
    <w:rsid w:val="00A548CB"/>
    <w:rPr>
      <w:i/>
      <w:iCs/>
      <w:color w:val="000000" w:themeColor="text1"/>
    </w:rPr>
  </w:style>
  <w:style w:type="character" w:customStyle="1" w:styleId="CitationCar">
    <w:name w:val="Citation Car"/>
    <w:basedOn w:val="Policepardfaut"/>
    <w:link w:val="Citation"/>
    <w:uiPriority w:val="29"/>
    <w:rsid w:val="00A548CB"/>
    <w:rPr>
      <w:i/>
      <w:iCs/>
      <w:color w:val="000000" w:themeColor="text1"/>
      <w:sz w:val="24"/>
      <w:lang w:val="en-US"/>
    </w:rPr>
  </w:style>
  <w:style w:type="character" w:styleId="Textedelespacerserv">
    <w:name w:val="Placeholder Text"/>
    <w:basedOn w:val="Policepardfaut"/>
    <w:uiPriority w:val="99"/>
    <w:semiHidden/>
    <w:rsid w:val="00CE3171"/>
    <w:rPr>
      <w:color w:val="808080"/>
    </w:rPr>
  </w:style>
  <w:style w:type="paragraph" w:styleId="Textedebulles">
    <w:name w:val="Balloon Text"/>
    <w:basedOn w:val="Normal"/>
    <w:link w:val="TextedebullesCar"/>
    <w:uiPriority w:val="99"/>
    <w:semiHidden/>
    <w:unhideWhenUsed/>
    <w:rsid w:val="00CE3171"/>
    <w:rPr>
      <w:rFonts w:ascii="Tahoma" w:hAnsi="Tahoma" w:cs="Tahoma"/>
      <w:sz w:val="16"/>
      <w:szCs w:val="16"/>
    </w:rPr>
  </w:style>
  <w:style w:type="character" w:customStyle="1" w:styleId="TextedebullesCar">
    <w:name w:val="Texte de bulles Car"/>
    <w:basedOn w:val="Policepardfaut"/>
    <w:link w:val="Textedebulles"/>
    <w:uiPriority w:val="99"/>
    <w:semiHidden/>
    <w:rsid w:val="00CE3171"/>
    <w:rPr>
      <w:rFonts w:ascii="Tahoma" w:hAnsi="Tahoma" w:cs="Tahoma"/>
      <w:sz w:val="16"/>
      <w:szCs w:val="16"/>
      <w:lang w:val="en-US"/>
    </w:rPr>
  </w:style>
  <w:style w:type="paragraph" w:styleId="En-tte">
    <w:name w:val="header"/>
    <w:basedOn w:val="Normal"/>
    <w:link w:val="En-tteCar"/>
    <w:uiPriority w:val="99"/>
    <w:unhideWhenUsed/>
    <w:rsid w:val="000C59B8"/>
    <w:pPr>
      <w:tabs>
        <w:tab w:val="center" w:pos="4680"/>
        <w:tab w:val="right" w:pos="9360"/>
      </w:tabs>
    </w:pPr>
  </w:style>
  <w:style w:type="character" w:customStyle="1" w:styleId="En-tteCar">
    <w:name w:val="En-tête Car"/>
    <w:basedOn w:val="Policepardfaut"/>
    <w:link w:val="En-tte"/>
    <w:uiPriority w:val="99"/>
    <w:rsid w:val="000C59B8"/>
    <w:rPr>
      <w:sz w:val="24"/>
      <w:lang w:val="en-US"/>
    </w:rPr>
  </w:style>
  <w:style w:type="paragraph" w:styleId="Pieddepage">
    <w:name w:val="footer"/>
    <w:basedOn w:val="Normal"/>
    <w:link w:val="PieddepageCar"/>
    <w:uiPriority w:val="99"/>
    <w:unhideWhenUsed/>
    <w:rsid w:val="000C59B8"/>
    <w:pPr>
      <w:tabs>
        <w:tab w:val="center" w:pos="4680"/>
        <w:tab w:val="right" w:pos="9360"/>
      </w:tabs>
    </w:pPr>
  </w:style>
  <w:style w:type="character" w:customStyle="1" w:styleId="PieddepageCar">
    <w:name w:val="Pied de page Car"/>
    <w:basedOn w:val="Policepardfaut"/>
    <w:link w:val="Pieddepage"/>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Policepardfau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Policepardfau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Policepardfau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Policepardfaut"/>
    <w:link w:val="SCCLsocOtherPartySeparator"/>
    <w:rsid w:val="003323B0"/>
    <w:rPr>
      <w:sz w:val="24"/>
    </w:rPr>
  </w:style>
  <w:style w:type="character" w:customStyle="1" w:styleId="Titre1Car">
    <w:name w:val="Titre 1 Car"/>
    <w:basedOn w:val="Policepardfaut"/>
    <w:link w:val="Titre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Policepardfau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Policepardfau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Policepardfau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Policepardfau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Policepardfau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Policepardfau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Policepardfau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Title1LevelTitre1Niveau-AltL">
    <w:name w:val="Title 1 Level / Titre 1 Niveau - Alt L"/>
    <w:next w:val="Normal"/>
    <w:uiPriority w:val="4"/>
    <w:qFormat/>
    <w:rsid w:val="00BF5465"/>
    <w:pPr>
      <w:numPr>
        <w:numId w:val="1"/>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Normal"/>
    <w:uiPriority w:val="4"/>
    <w:qFormat/>
    <w:rsid w:val="00BF5465"/>
    <w:pPr>
      <w:numPr>
        <w:ilvl w:val="1"/>
      </w:numPr>
      <w:outlineLvl w:val="1"/>
    </w:pPr>
    <w:rPr>
      <w:i/>
      <w:u w:val="none"/>
    </w:rPr>
  </w:style>
  <w:style w:type="paragraph" w:customStyle="1" w:styleId="Title3LevelTitre3Niveau">
    <w:name w:val="Title 3 Level / Titre 3 Niveau"/>
    <w:basedOn w:val="Title1LevelTitre1Niveau-AltL"/>
    <w:next w:val="Normal"/>
    <w:uiPriority w:val="4"/>
    <w:qFormat/>
    <w:rsid w:val="00BF5465"/>
    <w:pPr>
      <w:numPr>
        <w:ilvl w:val="2"/>
      </w:numPr>
      <w:outlineLvl w:val="2"/>
    </w:pPr>
  </w:style>
  <w:style w:type="paragraph" w:customStyle="1" w:styleId="Title4LevelTitre4Niveau">
    <w:name w:val="Title 4 Level / Titre 4 Niveau"/>
    <w:basedOn w:val="Title3LevelTitre3Niveau"/>
    <w:next w:val="Normal"/>
    <w:uiPriority w:val="4"/>
    <w:qFormat/>
    <w:rsid w:val="00BF5465"/>
    <w:pPr>
      <w:numPr>
        <w:ilvl w:val="3"/>
      </w:numPr>
      <w:outlineLvl w:val="3"/>
    </w:pPr>
    <w:rPr>
      <w:i/>
      <w:u w:val="none"/>
    </w:rPr>
  </w:style>
  <w:style w:type="paragraph" w:customStyle="1" w:styleId="Title5LevelTitre5Niveau">
    <w:name w:val="Title 5 Level / Titre 5 Niveau"/>
    <w:basedOn w:val="Title1LevelTitre1Niveau-AltL"/>
    <w:next w:val="Normal"/>
    <w:uiPriority w:val="4"/>
    <w:qFormat/>
    <w:rsid w:val="00BF5465"/>
    <w:pPr>
      <w:numPr>
        <w:ilvl w:val="4"/>
      </w:numPr>
      <w:outlineLvl w:val="4"/>
    </w:pPr>
  </w:style>
  <w:style w:type="paragraph" w:customStyle="1" w:styleId="Title6LevelTitre6Niveau">
    <w:name w:val="Title 6 Level / Titre 6 Niveau"/>
    <w:basedOn w:val="Title5LevelTitre5Niveau"/>
    <w:next w:val="Normal"/>
    <w:uiPriority w:val="4"/>
    <w:qFormat/>
    <w:rsid w:val="00BF5465"/>
    <w:pPr>
      <w:numPr>
        <w:ilvl w:val="5"/>
      </w:numPr>
      <w:outlineLvl w:val="5"/>
    </w:pPr>
    <w:rPr>
      <w:i/>
      <w:u w:val="none"/>
    </w:rPr>
  </w:style>
  <w:style w:type="paragraph" w:customStyle="1" w:styleId="SCCLsocOtherPartyRoleSeparator">
    <w:name w:val="SCC.Lsoc.OtherPartyRoleSeparator"/>
    <w:basedOn w:val="Normal"/>
    <w:next w:val="Normal"/>
    <w:link w:val="SCCLsocOtherPartyRoleSeparatorChar"/>
    <w:rsid w:val="00DE26CA"/>
    <w:pPr>
      <w:spacing w:after="480"/>
    </w:pPr>
    <w:rPr>
      <w:rFonts w:eastAsiaTheme="minorHAnsi" w:cstheme="minorBidi"/>
      <w:szCs w:val="22"/>
      <w:lang w:eastAsia="en-US"/>
    </w:rPr>
  </w:style>
  <w:style w:type="paragraph" w:customStyle="1" w:styleId="SCCCoram">
    <w:name w:val="SCC.Coram"/>
    <w:basedOn w:val="Normal"/>
    <w:next w:val="Normal"/>
    <w:link w:val="SCCCoramChar"/>
    <w:rsid w:val="00DE26CA"/>
    <w:pPr>
      <w:pBdr>
        <w:bottom w:val="single" w:sz="4" w:space="1" w:color="auto"/>
      </w:pBdr>
    </w:pPr>
    <w:rPr>
      <w:rFonts w:eastAsiaTheme="minorHAnsi" w:cstheme="minorBidi"/>
      <w:szCs w:val="22"/>
      <w:lang w:eastAsia="en-US"/>
    </w:rPr>
  </w:style>
  <w:style w:type="character" w:customStyle="1" w:styleId="SCCCoramChar">
    <w:name w:val="SCC.Coram Char"/>
    <w:basedOn w:val="Policepardfaut"/>
    <w:link w:val="SCCCoram"/>
    <w:rsid w:val="00DE26CA"/>
    <w:rPr>
      <w:rFonts w:eastAsiaTheme="minorHAnsi" w:cstheme="minorBidi"/>
      <w:sz w:val="24"/>
      <w:szCs w:val="22"/>
      <w:lang w:eastAsia="en-US"/>
    </w:rPr>
  </w:style>
  <w:style w:type="character" w:customStyle="1" w:styleId="SCCLsocOtherPartyRoleSeparatorChar">
    <w:name w:val="SCC.Lsoc.OtherPartyRoleSeparator Char"/>
    <w:basedOn w:val="Policepardfaut"/>
    <w:link w:val="SCCLsocOtherPartyRoleSeparator"/>
    <w:rsid w:val="00DE26CA"/>
    <w:rPr>
      <w:rFonts w:eastAsiaTheme="minorHAnsi" w:cstheme="minorBidi"/>
      <w:sz w:val="24"/>
      <w:szCs w:val="22"/>
      <w:lang w:eastAsia="en-US"/>
    </w:rPr>
  </w:style>
  <w:style w:type="character" w:customStyle="1" w:styleId="SCCBanSummaryChar">
    <w:name w:val="SCC.BanSummary Char"/>
    <w:basedOn w:val="Policepardfaut"/>
    <w:link w:val="SCCBanSummary"/>
    <w:rsid w:val="00DE26CA"/>
    <w:rPr>
      <w:b/>
      <w:sz w:val="24"/>
    </w:rPr>
  </w:style>
  <w:style w:type="table" w:styleId="Grilledutableau">
    <w:name w:val="Table Grid"/>
    <w:basedOn w:val="TableauNormal"/>
    <w:uiPriority w:val="59"/>
    <w:rsid w:val="00DE26C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E26C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E26C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E26CA"/>
    <w:pPr>
      <w:tabs>
        <w:tab w:val="left" w:pos="1166"/>
      </w:tabs>
      <w:spacing w:after="480" w:line="480" w:lineRule="auto"/>
    </w:pPr>
    <w:rPr>
      <w:smallCaps/>
      <w:sz w:val="24"/>
      <w:szCs w:val="24"/>
    </w:rPr>
  </w:style>
  <w:style w:type="paragraph" w:customStyle="1" w:styleId="ParaNoNdepar-AltN">
    <w:name w:val="Para. No. / Nº de par. - Alt N"/>
    <w:qFormat/>
    <w:rsid w:val="00DE26CA"/>
    <w:pPr>
      <w:numPr>
        <w:numId w:val="2"/>
      </w:numPr>
      <w:spacing w:before="480" w:after="480" w:line="480" w:lineRule="auto"/>
      <w:jc w:val="both"/>
    </w:pPr>
    <w:rPr>
      <w:rFonts w:eastAsiaTheme="minorEastAsia" w:cstheme="minorBidi"/>
      <w:sz w:val="24"/>
      <w:szCs w:val="22"/>
      <w:lang w:eastAsia="en-US"/>
    </w:rPr>
  </w:style>
  <w:style w:type="paragraph" w:styleId="TM1">
    <w:name w:val="toc 1"/>
    <w:basedOn w:val="Normal"/>
    <w:next w:val="Normal"/>
    <w:autoRedefine/>
    <w:uiPriority w:val="39"/>
    <w:unhideWhenUsed/>
    <w:rsid w:val="00DE26CA"/>
    <w:pPr>
      <w:tabs>
        <w:tab w:val="left" w:pos="360"/>
        <w:tab w:val="right" w:leader="dot" w:pos="8270"/>
      </w:tabs>
      <w:spacing w:before="120" w:after="120"/>
    </w:pPr>
    <w:rPr>
      <w:noProof/>
      <w:u w:val="single"/>
    </w:rPr>
  </w:style>
  <w:style w:type="paragraph" w:styleId="TM2">
    <w:name w:val="toc 2"/>
    <w:basedOn w:val="Normal"/>
    <w:next w:val="Normal"/>
    <w:autoRedefine/>
    <w:uiPriority w:val="39"/>
    <w:unhideWhenUsed/>
    <w:rsid w:val="00DE26CA"/>
    <w:pPr>
      <w:tabs>
        <w:tab w:val="left" w:pos="720"/>
        <w:tab w:val="right" w:leader="dot" w:pos="8270"/>
      </w:tabs>
      <w:spacing w:before="120" w:after="120"/>
      <w:ind w:left="432" w:hanging="432"/>
    </w:pPr>
    <w:rPr>
      <w:i/>
      <w:szCs w:val="24"/>
    </w:rPr>
  </w:style>
  <w:style w:type="paragraph" w:styleId="TM3">
    <w:name w:val="toc 3"/>
    <w:basedOn w:val="Normal"/>
    <w:next w:val="Normal"/>
    <w:autoRedefine/>
    <w:uiPriority w:val="39"/>
    <w:unhideWhenUsed/>
    <w:rsid w:val="00DE26CA"/>
    <w:pPr>
      <w:tabs>
        <w:tab w:val="left" w:pos="1080"/>
        <w:tab w:val="right" w:leader="dot" w:pos="8270"/>
      </w:tabs>
      <w:spacing w:before="120" w:after="120"/>
      <w:ind w:left="864" w:hanging="432"/>
    </w:pPr>
    <w:rPr>
      <w:noProof/>
      <w:u w:val="single"/>
    </w:rPr>
  </w:style>
  <w:style w:type="paragraph" w:styleId="TM4">
    <w:name w:val="toc 4"/>
    <w:basedOn w:val="Normal"/>
    <w:next w:val="Normal"/>
    <w:autoRedefine/>
    <w:uiPriority w:val="39"/>
    <w:unhideWhenUsed/>
    <w:rsid w:val="00DE26CA"/>
    <w:pPr>
      <w:tabs>
        <w:tab w:val="left" w:pos="900"/>
        <w:tab w:val="right" w:leader="dot" w:pos="8270"/>
      </w:tabs>
      <w:spacing w:before="120" w:after="120"/>
      <w:ind w:left="900" w:hanging="450"/>
    </w:pPr>
    <w:rPr>
      <w:rFonts w:eastAsiaTheme="minorEastAsia" w:cstheme="minorBidi"/>
      <w:i/>
      <w:noProof/>
      <w:szCs w:val="22"/>
    </w:rPr>
  </w:style>
  <w:style w:type="paragraph" w:styleId="TM5">
    <w:name w:val="toc 5"/>
    <w:basedOn w:val="Normal"/>
    <w:next w:val="Normal"/>
    <w:autoRedefine/>
    <w:uiPriority w:val="39"/>
    <w:unhideWhenUsed/>
    <w:rsid w:val="00DE26CA"/>
    <w:pPr>
      <w:tabs>
        <w:tab w:val="left" w:pos="1440"/>
        <w:tab w:val="right" w:leader="dot" w:pos="8270"/>
      </w:tabs>
      <w:spacing w:before="120" w:after="120"/>
      <w:ind w:left="1454" w:hanging="547"/>
    </w:pPr>
    <w:rPr>
      <w:noProof/>
      <w:u w:val="single"/>
    </w:rPr>
  </w:style>
  <w:style w:type="paragraph" w:styleId="TM6">
    <w:name w:val="toc 6"/>
    <w:basedOn w:val="Normal"/>
    <w:next w:val="Normal"/>
    <w:autoRedefine/>
    <w:uiPriority w:val="39"/>
    <w:unhideWhenUsed/>
    <w:rsid w:val="00DE26CA"/>
    <w:pPr>
      <w:tabs>
        <w:tab w:val="left" w:pos="2160"/>
        <w:tab w:val="right" w:leader="dot" w:pos="8270"/>
      </w:tabs>
      <w:spacing w:after="100"/>
      <w:ind w:left="1800"/>
    </w:pPr>
    <w:rPr>
      <w:noProof/>
    </w:rPr>
  </w:style>
  <w:style w:type="table" w:customStyle="1" w:styleId="TableGrid1">
    <w:name w:val="Table Grid1"/>
    <w:basedOn w:val="TableauNormal"/>
    <w:uiPriority w:val="59"/>
    <w:rsid w:val="00DE26C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E26CA"/>
    <w:pPr>
      <w:tabs>
        <w:tab w:val="left" w:pos="360"/>
      </w:tabs>
      <w:spacing w:before="480" w:after="720"/>
      <w:ind w:left="360" w:hanging="360"/>
      <w:jc w:val="both"/>
      <w:outlineLvl w:val="0"/>
    </w:pPr>
    <w:rPr>
      <w:rFonts w:eastAsiaTheme="minorHAnsi" w:cstheme="minorBidi"/>
      <w:sz w:val="24"/>
      <w:szCs w:val="22"/>
      <w:lang w:eastAsia="en-US"/>
    </w:rPr>
  </w:style>
  <w:style w:type="paragraph" w:styleId="Notedebasdepage">
    <w:name w:val="footnote text"/>
    <w:basedOn w:val="Normal"/>
    <w:link w:val="NotedebasdepageCar"/>
    <w:uiPriority w:val="99"/>
    <w:unhideWhenUsed/>
    <w:rsid w:val="00DE26CA"/>
    <w:pPr>
      <w:tabs>
        <w:tab w:val="left" w:pos="180"/>
      </w:tabs>
      <w:ind w:left="187" w:hanging="187"/>
      <w:jc w:val="both"/>
    </w:pPr>
    <w:rPr>
      <w:sz w:val="20"/>
    </w:rPr>
  </w:style>
  <w:style w:type="character" w:customStyle="1" w:styleId="NotedebasdepageCar">
    <w:name w:val="Note de bas de page Car"/>
    <w:basedOn w:val="Policepardfaut"/>
    <w:link w:val="Notedebasdepage"/>
    <w:uiPriority w:val="99"/>
    <w:rsid w:val="00DE26CA"/>
  </w:style>
  <w:style w:type="character" w:styleId="Appelnotedebasdep">
    <w:name w:val="footnote reference"/>
    <w:basedOn w:val="Policepardfaut"/>
    <w:uiPriority w:val="99"/>
    <w:semiHidden/>
    <w:unhideWhenUsed/>
    <w:rsid w:val="00DE26CA"/>
    <w:rPr>
      <w:vertAlign w:val="superscript"/>
    </w:rPr>
  </w:style>
  <w:style w:type="character" w:styleId="Marquedecommentaire">
    <w:name w:val="annotation reference"/>
    <w:basedOn w:val="Policepardfaut"/>
    <w:uiPriority w:val="99"/>
    <w:semiHidden/>
    <w:unhideWhenUsed/>
    <w:rsid w:val="00DE26CA"/>
    <w:rPr>
      <w:sz w:val="16"/>
      <w:szCs w:val="16"/>
    </w:rPr>
  </w:style>
  <w:style w:type="paragraph" w:styleId="Commentaire">
    <w:name w:val="annotation text"/>
    <w:basedOn w:val="Normal"/>
    <w:link w:val="CommentaireCar"/>
    <w:uiPriority w:val="99"/>
    <w:semiHidden/>
    <w:unhideWhenUsed/>
    <w:rsid w:val="00DE26CA"/>
    <w:rPr>
      <w:sz w:val="20"/>
    </w:rPr>
  </w:style>
  <w:style w:type="character" w:customStyle="1" w:styleId="CommentaireCar">
    <w:name w:val="Commentaire Car"/>
    <w:basedOn w:val="Policepardfaut"/>
    <w:link w:val="Commentaire"/>
    <w:uiPriority w:val="99"/>
    <w:semiHidden/>
    <w:rsid w:val="00DE26CA"/>
  </w:style>
  <w:style w:type="paragraph" w:styleId="Objetducommentaire">
    <w:name w:val="annotation subject"/>
    <w:basedOn w:val="Commentaire"/>
    <w:next w:val="Commentaire"/>
    <w:link w:val="ObjetducommentaireCar"/>
    <w:uiPriority w:val="99"/>
    <w:semiHidden/>
    <w:unhideWhenUsed/>
    <w:rsid w:val="00DE26CA"/>
    <w:rPr>
      <w:b/>
      <w:bCs/>
    </w:rPr>
  </w:style>
  <w:style w:type="character" w:customStyle="1" w:styleId="ObjetducommentaireCar">
    <w:name w:val="Objet du commentaire Car"/>
    <w:basedOn w:val="CommentaireCar"/>
    <w:link w:val="Objetducommentaire"/>
    <w:uiPriority w:val="99"/>
    <w:semiHidden/>
    <w:rsid w:val="00DE26CA"/>
    <w:rPr>
      <w:b/>
      <w:bCs/>
    </w:rPr>
  </w:style>
  <w:style w:type="table" w:customStyle="1" w:styleId="TableGrid2">
    <w:name w:val="Table Grid2"/>
    <w:basedOn w:val="TableauNormal"/>
    <w:next w:val="Grilledutableau"/>
    <w:uiPriority w:val="59"/>
    <w:rsid w:val="00DE26C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DE26CA"/>
    <w:rPr>
      <w:color w:val="0000FF" w:themeColor="hyperlink"/>
      <w:u w:val="single"/>
    </w:rPr>
  </w:style>
  <w:style w:type="character" w:customStyle="1" w:styleId="SCCLsocPartyRoleChar">
    <w:name w:val="SCC.Lsoc.PartyRole Char"/>
    <w:basedOn w:val="Policepardfaut"/>
    <w:locked/>
    <w:rsid w:val="00B00918"/>
    <w:rPr>
      <w:lang w:val="fr-CA"/>
    </w:rPr>
  </w:style>
  <w:style w:type="character" w:customStyle="1" w:styleId="SCCLsocPrefixChar">
    <w:name w:val="SCC.Lsoc.Prefix Char"/>
    <w:basedOn w:val="Policepardfaut"/>
    <w:link w:val="SCCLsocPrefix"/>
    <w:locked/>
    <w:rsid w:val="00B00918"/>
    <w:rPr>
      <w:b/>
      <w:smallCaps/>
      <w:lang w:val="fr-CA"/>
    </w:rPr>
  </w:style>
  <w:style w:type="paragraph" w:customStyle="1" w:styleId="SCCLsocPrefix">
    <w:name w:val="SCC.Lsoc.Prefix"/>
    <w:basedOn w:val="Normal"/>
    <w:next w:val="Normal"/>
    <w:link w:val="SCCLsocPrefixChar"/>
    <w:rsid w:val="00B00918"/>
    <w:rPr>
      <w:b/>
      <w:smallCaps/>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0B6DD-0F82-4BBB-B8FD-CE1EDF5F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10910</Words>
  <Characters>57543</Characters>
  <Application>Microsoft Office Word</Application>
  <DocSecurity>0</DocSecurity>
  <Lines>479</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68317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2017-06-02T14:12:00Z</dcterms:created>
  <dcterms:modified xsi:type="dcterms:W3CDTF">2017-10-18T17:47:00Z</dcterms:modified>
</cp:coreProperties>
</file>