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8D" w:rsidRDefault="001C0C8D" w:rsidP="001C0C8D">
      <w:pPr>
        <w:pStyle w:val="Header"/>
      </w:pPr>
      <w:r>
        <w:ptab w:relativeTo="margin" w:alignment="center" w:leader="none"/>
      </w:r>
      <w:r w:rsidRPr="00F72014">
        <w:t xml:space="preserve"> </w:t>
      </w:r>
      <w:r>
        <w:object w:dxaOrig="1365" w:dyaOrig="1440">
          <v:shape id="_x0000_i1026" type="#_x0000_t75" style="width:61.2pt;height:64.9pt" o:ole="">
            <v:imagedata r:id="rId8" o:title=""/>
          </v:shape>
          <o:OLEObject Type="Embed" ProgID="Presentations.Drawing.13" ShapeID="_x0000_i1026" DrawAspect="Content" ObjectID="_1580038514" r:id="rId9"/>
        </w:object>
      </w:r>
      <w:r>
        <w:t xml:space="preserve"> </w:t>
      </w:r>
      <w:r>
        <w:ptab w:relativeTo="margin" w:alignment="right" w:leader="none"/>
      </w:r>
    </w:p>
    <w:p w:rsidR="001C0C8D" w:rsidRDefault="001C0C8D" w:rsidP="001C0C8D">
      <w:pPr>
        <w:pStyle w:val="Header"/>
      </w:pPr>
    </w:p>
    <w:p w:rsidR="001C0C8D" w:rsidRPr="001E12E2" w:rsidRDefault="001C0C8D" w:rsidP="001C0C8D">
      <w:pPr>
        <w:jc w:val="center"/>
        <w:rPr>
          <w:b/>
        </w:rPr>
      </w:pPr>
      <w:r w:rsidRPr="001E12E2">
        <w:rPr>
          <w:b/>
        </w:rPr>
        <w:t>COUR SUPRÊME DU CANADA</w:t>
      </w:r>
    </w:p>
    <w:p w:rsidR="001C0C8D" w:rsidRDefault="001C0C8D" w:rsidP="001C0C8D"/>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500"/>
      </w:tblGrid>
      <w:tr w:rsidR="001C0C8D" w:rsidRPr="001E12E2" w:rsidTr="00AF4593">
        <w:trPr>
          <w:cantSplit/>
        </w:trPr>
        <w:tc>
          <w:tcPr>
            <w:tcW w:w="5130" w:type="dxa"/>
          </w:tcPr>
          <w:p w:rsidR="001C0C8D" w:rsidRPr="001C0C8D" w:rsidRDefault="001C0C8D" w:rsidP="00AF4593">
            <w:pPr>
              <w:rPr>
                <w:lang w:val="fr-CA"/>
              </w:rPr>
            </w:pPr>
            <w:r w:rsidRPr="001C0C8D">
              <w:rPr>
                <w:b/>
                <w:smallCaps/>
                <w:lang w:val="fr-CA"/>
              </w:rPr>
              <w:t>Référence :</w:t>
            </w:r>
            <w:r w:rsidRPr="001C0C8D">
              <w:rPr>
                <w:lang w:val="fr-CA"/>
              </w:rPr>
              <w:t xml:space="preserve"> Inde </w:t>
            </w:r>
            <w:r w:rsidRPr="001C0C8D">
              <w:rPr>
                <w:i/>
                <w:lang w:val="fr-CA"/>
              </w:rPr>
              <w:t>c.</w:t>
            </w:r>
            <w:r w:rsidRPr="001C0C8D">
              <w:rPr>
                <w:lang w:val="fr-CA"/>
              </w:rPr>
              <w:t xml:space="preserve"> </w:t>
            </w:r>
            <w:r w:rsidRPr="001C0C8D">
              <w:rPr>
                <w:rStyle w:val="SCCRespondentForIndexChar"/>
                <w:rFonts w:eastAsiaTheme="minorHAnsi"/>
                <w:b w:val="0"/>
                <w:lang w:val="fr-CA"/>
              </w:rPr>
              <w:t>Badesha, 2017 CSC 44</w:t>
            </w:r>
            <w:r>
              <w:rPr>
                <w:rStyle w:val="SCCRespondentForIndexChar"/>
                <w:rFonts w:eastAsiaTheme="minorHAnsi"/>
                <w:b w:val="0"/>
                <w:lang w:val="fr-CA"/>
              </w:rPr>
              <w:t>,</w:t>
            </w:r>
            <w:bookmarkStart w:id="0" w:name="_GoBack"/>
            <w:bookmarkEnd w:id="0"/>
            <w:r>
              <w:rPr>
                <w:lang w:val="fr-CA"/>
              </w:rPr>
              <w:t xml:space="preserve"> [2017] 2 R.C.S. 127</w:t>
            </w:r>
          </w:p>
        </w:tc>
        <w:tc>
          <w:tcPr>
            <w:tcW w:w="4500" w:type="dxa"/>
          </w:tcPr>
          <w:p w:rsidR="001C0C8D" w:rsidRPr="001C0C8D" w:rsidRDefault="001C0C8D" w:rsidP="00AF4593">
            <w:pPr>
              <w:rPr>
                <w:b/>
                <w:smallCaps/>
                <w:lang w:val="fr-CA"/>
              </w:rPr>
            </w:pPr>
            <w:r w:rsidRPr="001C0C8D">
              <w:rPr>
                <w:b/>
                <w:smallCaps/>
                <w:lang w:val="fr-CA"/>
              </w:rPr>
              <w:t xml:space="preserve">Appel entendu : </w:t>
            </w:r>
            <w:r w:rsidRPr="001C0C8D">
              <w:rPr>
                <w:lang w:val="fr-CA"/>
              </w:rPr>
              <w:t>20 mars 2017</w:t>
            </w:r>
          </w:p>
          <w:p w:rsidR="001C0C8D" w:rsidRPr="001C0C8D" w:rsidRDefault="001C0C8D" w:rsidP="00AF4593">
            <w:pPr>
              <w:rPr>
                <w:lang w:val="fr-CA"/>
              </w:rPr>
            </w:pPr>
            <w:r w:rsidRPr="001C0C8D">
              <w:rPr>
                <w:b/>
                <w:smallCaps/>
                <w:lang w:val="fr-CA"/>
              </w:rPr>
              <w:t>Jugement rendu :</w:t>
            </w:r>
            <w:r w:rsidRPr="001C0C8D">
              <w:rPr>
                <w:lang w:val="fr-CA"/>
              </w:rPr>
              <w:t xml:space="preserve"> 8 septembre 2017</w:t>
            </w:r>
          </w:p>
          <w:p w:rsidR="001C0C8D" w:rsidRPr="001E12E2" w:rsidRDefault="001C0C8D" w:rsidP="00AF4593">
            <w:r w:rsidRPr="001E12E2">
              <w:rPr>
                <w:b/>
                <w:smallCaps/>
              </w:rPr>
              <w:t>Do</w:t>
            </w:r>
            <w:r>
              <w:rPr>
                <w:b/>
                <w:smallCaps/>
              </w:rPr>
              <w:t>ssier :</w:t>
            </w:r>
            <w:r w:rsidRPr="001E12E2">
              <w:t xml:space="preserve"> </w:t>
            </w:r>
            <w:r>
              <w:t>36981</w:t>
            </w:r>
          </w:p>
        </w:tc>
      </w:tr>
    </w:tbl>
    <w:p w:rsidR="001C0C8D" w:rsidRPr="001E12E2" w:rsidRDefault="001C0C8D" w:rsidP="001C0C8D"/>
    <w:p w:rsidR="001C0C8D" w:rsidRDefault="001C0C8D" w:rsidP="001C0C8D">
      <w:pPr>
        <w:pStyle w:val="SCCLsocPrefix"/>
      </w:pPr>
      <w:r>
        <w:t>Entre :</w:t>
      </w:r>
    </w:p>
    <w:p w:rsidR="001C0C8D" w:rsidRPr="001C0C8D" w:rsidRDefault="001C0C8D" w:rsidP="001C0C8D">
      <w:pPr>
        <w:pStyle w:val="SCCLsocParty"/>
        <w:jc w:val="center"/>
        <w:rPr>
          <w:lang w:val="fr-CA"/>
        </w:rPr>
      </w:pPr>
      <w:r w:rsidRPr="001C0C8D">
        <w:rPr>
          <w:lang w:val="fr-CA"/>
        </w:rPr>
        <w:t>Procureur général du Canada au nom de la République de l’Inde</w:t>
      </w:r>
    </w:p>
    <w:p w:rsidR="001C0C8D" w:rsidRPr="001C0C8D" w:rsidRDefault="001C0C8D" w:rsidP="001C0C8D">
      <w:pPr>
        <w:jc w:val="center"/>
        <w:rPr>
          <w:lang w:val="fr-CA"/>
        </w:rPr>
      </w:pPr>
      <w:r w:rsidRPr="001C0C8D">
        <w:rPr>
          <w:lang w:val="fr-CA"/>
        </w:rPr>
        <w:t>Appelant</w:t>
      </w:r>
    </w:p>
    <w:p w:rsidR="001C0C8D" w:rsidRPr="001C0C8D" w:rsidRDefault="001C0C8D" w:rsidP="001C0C8D">
      <w:pPr>
        <w:jc w:val="center"/>
        <w:rPr>
          <w:lang w:val="fr-CA"/>
        </w:rPr>
      </w:pPr>
    </w:p>
    <w:p w:rsidR="001C0C8D" w:rsidRPr="001C0C8D" w:rsidRDefault="001C0C8D" w:rsidP="001C0C8D">
      <w:pPr>
        <w:pStyle w:val="SCCLsocVersus"/>
        <w:spacing w:after="0"/>
        <w:jc w:val="center"/>
        <w:rPr>
          <w:i w:val="0"/>
          <w:lang w:val="fr-CA"/>
        </w:rPr>
      </w:pPr>
      <w:r w:rsidRPr="001C0C8D">
        <w:rPr>
          <w:i w:val="0"/>
          <w:lang w:val="fr-CA"/>
        </w:rPr>
        <w:t>et</w:t>
      </w:r>
    </w:p>
    <w:p w:rsidR="001C0C8D" w:rsidRPr="001C0C8D" w:rsidRDefault="001C0C8D" w:rsidP="001C0C8D">
      <w:pPr>
        <w:jc w:val="center"/>
        <w:rPr>
          <w:lang w:val="fr-CA"/>
        </w:rPr>
      </w:pPr>
    </w:p>
    <w:p w:rsidR="001C0C8D" w:rsidRPr="001C0C8D" w:rsidRDefault="001C0C8D" w:rsidP="001C0C8D">
      <w:pPr>
        <w:pStyle w:val="SCCLsocParty"/>
        <w:jc w:val="center"/>
        <w:rPr>
          <w:lang w:val="fr-CA"/>
        </w:rPr>
      </w:pPr>
      <w:r w:rsidRPr="001C0C8D">
        <w:rPr>
          <w:lang w:val="fr-CA"/>
        </w:rPr>
        <w:t>Surjit Singh Badesha et Malkit Kaur Sidhu</w:t>
      </w:r>
    </w:p>
    <w:p w:rsidR="001C0C8D" w:rsidRPr="001C0C8D" w:rsidRDefault="001C0C8D" w:rsidP="001C0C8D">
      <w:pPr>
        <w:jc w:val="center"/>
        <w:rPr>
          <w:lang w:val="fr-CA"/>
        </w:rPr>
      </w:pPr>
      <w:r w:rsidRPr="001C0C8D">
        <w:rPr>
          <w:lang w:val="fr-CA"/>
        </w:rPr>
        <w:t>Intimés</w:t>
      </w:r>
    </w:p>
    <w:p w:rsidR="001C0C8D" w:rsidRPr="001C0C8D" w:rsidRDefault="001C0C8D" w:rsidP="001C0C8D">
      <w:pPr>
        <w:jc w:val="center"/>
        <w:rPr>
          <w:lang w:val="fr-CA"/>
        </w:rPr>
      </w:pPr>
    </w:p>
    <w:p w:rsidR="001C0C8D" w:rsidRPr="001C0C8D" w:rsidRDefault="001C0C8D" w:rsidP="001C0C8D">
      <w:pPr>
        <w:pStyle w:val="SCCLsocOtherPartySeparator"/>
        <w:spacing w:after="0"/>
        <w:jc w:val="center"/>
        <w:rPr>
          <w:lang w:val="fr-CA"/>
        </w:rPr>
      </w:pPr>
      <w:r w:rsidRPr="001C0C8D">
        <w:rPr>
          <w:lang w:val="fr-CA"/>
        </w:rPr>
        <w:t>- et -</w:t>
      </w:r>
    </w:p>
    <w:p w:rsidR="001C0C8D" w:rsidRPr="001C0C8D" w:rsidRDefault="001C0C8D" w:rsidP="001C0C8D">
      <w:pPr>
        <w:jc w:val="center"/>
        <w:rPr>
          <w:lang w:val="fr-CA"/>
        </w:rPr>
      </w:pPr>
    </w:p>
    <w:p w:rsidR="001C0C8D" w:rsidRPr="001C0C8D" w:rsidRDefault="001C0C8D" w:rsidP="001C0C8D">
      <w:pPr>
        <w:pStyle w:val="SCCLsocParty"/>
        <w:jc w:val="center"/>
        <w:rPr>
          <w:lang w:val="fr-CA"/>
        </w:rPr>
      </w:pPr>
      <w:r w:rsidRPr="001C0C8D">
        <w:rPr>
          <w:lang w:val="fr-CA"/>
        </w:rPr>
        <w:t>David Asper Centre for Constitutional Rights, South Asian Legal Clinic of Ontario, Juristes canadiens pour le droit international de la personne, Canadian Centre for Victims of Torture et Conseil canadien pour les réfugiés</w:t>
      </w:r>
    </w:p>
    <w:p w:rsidR="001C0C8D" w:rsidRDefault="001C0C8D" w:rsidP="001C0C8D">
      <w:pPr>
        <w:jc w:val="center"/>
      </w:pPr>
      <w:r>
        <w:t>Intervenants</w:t>
      </w:r>
    </w:p>
    <w:p w:rsidR="001C0C8D" w:rsidRDefault="001C0C8D" w:rsidP="001C0C8D"/>
    <w:p w:rsidR="001C0C8D" w:rsidRPr="001E12E2" w:rsidRDefault="001C0C8D" w:rsidP="001C0C8D"/>
    <w:p w:rsidR="001C0C8D" w:rsidRPr="001E12E2" w:rsidRDefault="001C0C8D" w:rsidP="001C0C8D">
      <w:pPr>
        <w:jc w:val="center"/>
        <w:rPr>
          <w:b/>
          <w:smallCaps/>
        </w:rPr>
      </w:pPr>
      <w:r>
        <w:rPr>
          <w:b/>
          <w:smallCaps/>
        </w:rPr>
        <w:t>Traduction française o</w:t>
      </w:r>
      <w:r w:rsidRPr="001E12E2">
        <w:rPr>
          <w:b/>
          <w:smallCaps/>
        </w:rPr>
        <w:t>ffici</w:t>
      </w:r>
      <w:r>
        <w:rPr>
          <w:b/>
          <w:smallCaps/>
        </w:rPr>
        <w:t>elle</w:t>
      </w:r>
    </w:p>
    <w:p w:rsidR="001C0C8D" w:rsidRPr="001E12E2" w:rsidRDefault="001C0C8D" w:rsidP="001C0C8D"/>
    <w:p w:rsidR="001C0C8D" w:rsidRPr="001C0C8D" w:rsidRDefault="001C0C8D" w:rsidP="001C0C8D">
      <w:pPr>
        <w:rPr>
          <w:lang w:val="fr-CA"/>
        </w:rPr>
      </w:pPr>
      <w:r w:rsidRPr="001C0C8D">
        <w:rPr>
          <w:b/>
          <w:smallCaps/>
          <w:lang w:val="fr-CA"/>
        </w:rPr>
        <w:t>Coram :</w:t>
      </w:r>
      <w:r w:rsidRPr="001C0C8D">
        <w:rPr>
          <w:lang w:val="fr-CA"/>
        </w:rPr>
        <w:t xml:space="preserve"> La juge en chef McLachlin et les juges Abella, Moldaver, Karakatsanis, Wagner, Gascon, Côté, Brown et Rowe</w:t>
      </w:r>
    </w:p>
    <w:p w:rsidR="001C0C8D" w:rsidRPr="001C0C8D" w:rsidRDefault="001C0C8D" w:rsidP="001C0C8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C0C8D" w:rsidRPr="001C0C8D" w:rsidTr="00AF4593">
        <w:trPr>
          <w:cantSplit/>
        </w:trPr>
        <w:tc>
          <w:tcPr>
            <w:tcW w:w="3618" w:type="dxa"/>
          </w:tcPr>
          <w:p w:rsidR="001C0C8D" w:rsidRPr="001C0C8D" w:rsidRDefault="001C0C8D" w:rsidP="00AF4593">
            <w:pPr>
              <w:rPr>
                <w:b/>
                <w:smallCaps/>
                <w:lang w:val="fr-CA"/>
              </w:rPr>
            </w:pPr>
            <w:r w:rsidRPr="001C0C8D">
              <w:rPr>
                <w:b/>
                <w:smallCaps/>
                <w:lang w:val="fr-CA"/>
              </w:rPr>
              <w:t>Motifs de jugement :</w:t>
            </w:r>
          </w:p>
          <w:p w:rsidR="001C0C8D" w:rsidRPr="001C0C8D" w:rsidRDefault="001C0C8D" w:rsidP="00AF4593">
            <w:pPr>
              <w:rPr>
                <w:lang w:val="fr-CA"/>
              </w:rPr>
            </w:pPr>
            <w:r w:rsidRPr="001C0C8D">
              <w:rPr>
                <w:lang w:val="fr-CA"/>
              </w:rPr>
              <w:t>(par. 1 à 67)</w:t>
            </w:r>
          </w:p>
        </w:tc>
        <w:tc>
          <w:tcPr>
            <w:tcW w:w="5958" w:type="dxa"/>
          </w:tcPr>
          <w:p w:rsidR="001C0C8D" w:rsidRPr="001C0C8D" w:rsidRDefault="001C0C8D" w:rsidP="00AF4593">
            <w:pPr>
              <w:rPr>
                <w:lang w:val="fr-CA"/>
              </w:rPr>
            </w:pPr>
            <w:r w:rsidRPr="001C0C8D">
              <w:rPr>
                <w:lang w:val="fr-CA"/>
              </w:rPr>
              <w:t>Le juge Moldaver (avec l’accord de la juge en chef McLachlin et des juges Abella, Karakatsanis, Wagner, Gascon, Côté, Brown et Rowe)</w:t>
            </w:r>
          </w:p>
        </w:tc>
      </w:tr>
    </w:tbl>
    <w:p w:rsidR="001C0C8D" w:rsidRPr="001C0C8D" w:rsidRDefault="001C0C8D" w:rsidP="001C0C8D">
      <w:pPr>
        <w:rPr>
          <w:lang w:val="fr-CA"/>
        </w:rPr>
      </w:pPr>
    </w:p>
    <w:p w:rsidR="001C0C8D" w:rsidRPr="001C0C8D" w:rsidRDefault="001C0C8D" w:rsidP="001C0C8D">
      <w:pPr>
        <w:rPr>
          <w:lang w:val="fr-CA"/>
        </w:rPr>
      </w:pPr>
    </w:p>
    <w:p w:rsidR="001C0C8D" w:rsidRPr="001C0C8D" w:rsidRDefault="001C0C8D" w:rsidP="001C0C8D">
      <w:pPr>
        <w:rPr>
          <w:lang w:val="fr-CA"/>
        </w:rPr>
      </w:pPr>
      <w:r>
        <w:rPr>
          <w:noProof/>
          <w:lang w:val="en-US"/>
        </w:rPr>
        <mc:AlternateContent>
          <mc:Choice Requires="wps">
            <w:drawing>
              <wp:anchor distT="0" distB="0" distL="114300" distR="114300" simplePos="0" relativeHeight="251659264" behindDoc="0" locked="0" layoutInCell="1" allowOverlap="1" wp14:anchorId="64D198C3" wp14:editId="57DE629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DE73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C0C8D" w:rsidRDefault="001C0C8D" w:rsidP="002B69A7">
      <w:pPr>
        <w:widowControl w:val="0"/>
        <w:spacing w:after="720"/>
        <w:jc w:val="both"/>
        <w:rPr>
          <w:rStyle w:val="SCCRespondentForRunningHeadChar"/>
          <w:smallCaps w:val="0"/>
          <w:lang w:val="fr-CA"/>
        </w:rPr>
      </w:pPr>
    </w:p>
    <w:p w:rsidR="004D7D95" w:rsidRPr="003F3637" w:rsidRDefault="003F3637" w:rsidP="002B69A7">
      <w:pPr>
        <w:widowControl w:val="0"/>
        <w:spacing w:after="720"/>
        <w:jc w:val="both"/>
        <w:rPr>
          <w:smallCaps/>
          <w:lang w:val="fr-CA"/>
        </w:rPr>
      </w:pPr>
      <w:r>
        <w:rPr>
          <w:rStyle w:val="SCCRespondentForRunningHeadChar"/>
          <w:smallCaps w:val="0"/>
          <w:lang w:val="fr-CA"/>
        </w:rPr>
        <w:t>I</w:t>
      </w:r>
      <w:r w:rsidR="00E94995" w:rsidRPr="003F3637">
        <w:rPr>
          <w:rStyle w:val="SCCRespondentForRunningHeadChar"/>
          <w:smallCaps w:val="0"/>
          <w:lang w:val="fr-CA"/>
        </w:rPr>
        <w:t xml:space="preserve">nde </w:t>
      </w:r>
      <w:r w:rsidR="004D7D95" w:rsidRPr="003F3637">
        <w:rPr>
          <w:smallCaps/>
          <w:lang w:val="fr-CA"/>
        </w:rPr>
        <w:t xml:space="preserve"> </w:t>
      </w:r>
      <w:r w:rsidR="004D7D95" w:rsidRPr="003F3637">
        <w:rPr>
          <w:i/>
          <w:lang w:val="fr-CA"/>
        </w:rPr>
        <w:t>c.</w:t>
      </w:r>
      <w:r w:rsidR="004D7D95" w:rsidRPr="003F3637">
        <w:rPr>
          <w:smallCaps/>
          <w:lang w:val="fr-CA"/>
        </w:rPr>
        <w:t xml:space="preserve"> </w:t>
      </w:r>
      <w:r>
        <w:rPr>
          <w:rStyle w:val="SCCRespondentForRunningHeadChar"/>
          <w:smallCaps w:val="0"/>
          <w:lang w:val="fr-CA"/>
        </w:rPr>
        <w:t>B</w:t>
      </w:r>
      <w:r w:rsidR="00722074" w:rsidRPr="003F3637">
        <w:rPr>
          <w:rStyle w:val="SCCRespondentForRunningHeadChar"/>
          <w:smallCaps w:val="0"/>
          <w:lang w:val="fr-CA"/>
        </w:rPr>
        <w:t>adesha</w:t>
      </w:r>
      <w:r>
        <w:rPr>
          <w:rStyle w:val="SCCRespondentForRunningHeadChar"/>
          <w:smallCaps w:val="0"/>
          <w:lang w:val="fr-CA"/>
        </w:rPr>
        <w:t xml:space="preserve">, </w:t>
      </w:r>
      <w:r w:rsidRPr="003F3637">
        <w:rPr>
          <w:lang w:val="fr-CA"/>
        </w:rPr>
        <w:t>2017 CSC 44</w:t>
      </w:r>
      <w:r>
        <w:rPr>
          <w:lang w:val="fr-CA"/>
        </w:rPr>
        <w:t>, [2017] 2 R.C.S. 127</w:t>
      </w:r>
    </w:p>
    <w:p w:rsidR="001663A6" w:rsidRPr="00175C63" w:rsidRDefault="00142C42" w:rsidP="002B69A7">
      <w:pPr>
        <w:pStyle w:val="SCCLsocLastPartyInRole"/>
        <w:widowControl w:val="0"/>
        <w:rPr>
          <w:lang w:val="fr-CA"/>
        </w:rPr>
      </w:pPr>
      <w:r w:rsidRPr="00175C63">
        <w:rPr>
          <w:lang w:val="fr-CA"/>
        </w:rPr>
        <w:lastRenderedPageBreak/>
        <w:t>Procureur général du Canada au nom de la République de l</w:t>
      </w:r>
      <w:r w:rsidR="00722074">
        <w:rPr>
          <w:lang w:val="fr-CA"/>
        </w:rPr>
        <w:t>’</w:t>
      </w:r>
      <w:r w:rsidRPr="00175C63">
        <w:rPr>
          <w:lang w:val="fr-CA"/>
        </w:rPr>
        <w:t>Inde</w:t>
      </w:r>
      <w:r w:rsidR="00722074">
        <w:rPr>
          <w:rStyle w:val="SCCLsocPartyRole"/>
          <w:lang w:val="fr-CA"/>
        </w:rPr>
        <w:tab/>
        <w:t>Appelant</w:t>
      </w:r>
    </w:p>
    <w:p w:rsidR="001663A6" w:rsidRPr="001B2930" w:rsidRDefault="00142C42" w:rsidP="002B69A7">
      <w:pPr>
        <w:pStyle w:val="SCCLsocVersus"/>
        <w:widowControl w:val="0"/>
        <w:rPr>
          <w:lang w:val="fr-CA"/>
        </w:rPr>
      </w:pPr>
      <w:r w:rsidRPr="001B2930">
        <w:rPr>
          <w:lang w:val="fr-CA"/>
        </w:rPr>
        <w:t>c.</w:t>
      </w:r>
    </w:p>
    <w:p w:rsidR="001663A6" w:rsidRPr="00722074" w:rsidRDefault="00722074" w:rsidP="002B69A7">
      <w:pPr>
        <w:pStyle w:val="SCCLsocParty"/>
        <w:widowControl w:val="0"/>
        <w:rPr>
          <w:lang w:val="fr-CA"/>
        </w:rPr>
      </w:pPr>
      <w:r w:rsidRPr="00722074">
        <w:rPr>
          <w:lang w:val="fr-CA"/>
        </w:rPr>
        <w:t>Surjit Singh Badesha et</w:t>
      </w:r>
    </w:p>
    <w:p w:rsidR="001663A6" w:rsidRPr="00722074" w:rsidRDefault="00142C42" w:rsidP="002B69A7">
      <w:pPr>
        <w:pStyle w:val="SCCLsocLastPartyInRole"/>
        <w:widowControl w:val="0"/>
        <w:rPr>
          <w:lang w:val="fr-CA"/>
        </w:rPr>
      </w:pPr>
      <w:r w:rsidRPr="00722074">
        <w:rPr>
          <w:lang w:val="fr-CA"/>
        </w:rPr>
        <w:t>Malkit Kaur Sidhu</w:t>
      </w:r>
      <w:r w:rsidR="00722074" w:rsidRPr="00722074">
        <w:rPr>
          <w:rStyle w:val="SCCLsocPartyRole"/>
          <w:lang w:val="fr-CA"/>
        </w:rPr>
        <w:tab/>
        <w:t>Intimé</w:t>
      </w:r>
      <w:r w:rsidRPr="00722074">
        <w:rPr>
          <w:rStyle w:val="SCCLsocPartyRole"/>
          <w:lang w:val="fr-CA"/>
        </w:rPr>
        <w:t>s</w:t>
      </w:r>
    </w:p>
    <w:p w:rsidR="001663A6" w:rsidRDefault="00142C42" w:rsidP="002B69A7">
      <w:pPr>
        <w:pStyle w:val="SCCLsocOtherPartySeparator"/>
        <w:widowControl w:val="0"/>
      </w:pPr>
      <w:r>
        <w:t>et</w:t>
      </w:r>
    </w:p>
    <w:p w:rsidR="001663A6" w:rsidRDefault="00142C42" w:rsidP="002B69A7">
      <w:pPr>
        <w:pStyle w:val="SCCLsocParty"/>
        <w:widowControl w:val="0"/>
      </w:pPr>
      <w:r>
        <w:t>David Asper Centre for Constitutional Rights,</w:t>
      </w:r>
    </w:p>
    <w:p w:rsidR="001663A6" w:rsidRDefault="00142C42" w:rsidP="002B69A7">
      <w:pPr>
        <w:pStyle w:val="SCCLsocParty"/>
        <w:widowControl w:val="0"/>
      </w:pPr>
      <w:r>
        <w:t>South Asia</w:t>
      </w:r>
      <w:r w:rsidR="00011FDC">
        <w:t>n</w:t>
      </w:r>
      <w:r>
        <w:t xml:space="preserve"> Legal Clinic of Ontario,</w:t>
      </w:r>
    </w:p>
    <w:p w:rsidR="00011FDC" w:rsidRDefault="00011FDC" w:rsidP="002B69A7">
      <w:pPr>
        <w:pStyle w:val="SCCLsocParty"/>
        <w:widowControl w:val="0"/>
        <w:rPr>
          <w:lang w:val="fr-CA"/>
        </w:rPr>
      </w:pPr>
      <w:r>
        <w:rPr>
          <w:lang w:val="fr-CA"/>
        </w:rPr>
        <w:t>Juristes canadiens pour le d</w:t>
      </w:r>
      <w:r w:rsidR="00142C42" w:rsidRPr="00175C63">
        <w:rPr>
          <w:lang w:val="fr-CA"/>
        </w:rPr>
        <w:t>roi</w:t>
      </w:r>
      <w:r w:rsidR="00187D36">
        <w:rPr>
          <w:lang w:val="fr-CA"/>
        </w:rPr>
        <w:t>t i</w:t>
      </w:r>
      <w:r>
        <w:rPr>
          <w:lang w:val="fr-CA"/>
        </w:rPr>
        <w:t>nternational de la personne,</w:t>
      </w:r>
    </w:p>
    <w:p w:rsidR="00011FDC" w:rsidRPr="00011FDC" w:rsidRDefault="00142C42" w:rsidP="002B69A7">
      <w:pPr>
        <w:pStyle w:val="SCCLsocParty"/>
        <w:widowControl w:val="0"/>
      </w:pPr>
      <w:r w:rsidRPr="00011FDC">
        <w:t>Canadia</w:t>
      </w:r>
      <w:r w:rsidR="00011FDC" w:rsidRPr="00011FDC">
        <w:t>n Centre for Victims of Torture et</w:t>
      </w:r>
    </w:p>
    <w:p w:rsidR="001663A6" w:rsidRPr="00175C63" w:rsidRDefault="00187D36" w:rsidP="002B69A7">
      <w:pPr>
        <w:pStyle w:val="SCCLsocLastPartyInRole"/>
        <w:widowControl w:val="0"/>
        <w:rPr>
          <w:lang w:val="fr-CA"/>
        </w:rPr>
      </w:pPr>
      <w:r>
        <w:rPr>
          <w:lang w:val="fr-CA"/>
        </w:rPr>
        <w:t>Conseil canadien pour les r</w:t>
      </w:r>
      <w:r w:rsidR="00142C42" w:rsidRPr="00175C63">
        <w:rPr>
          <w:lang w:val="fr-CA"/>
        </w:rPr>
        <w:t>éfugiés</w:t>
      </w:r>
      <w:r w:rsidR="00142C42" w:rsidRPr="00175C63">
        <w:rPr>
          <w:rStyle w:val="SCCLsocPartyRole"/>
          <w:lang w:val="fr-CA"/>
        </w:rPr>
        <w:tab/>
        <w:t>Inte</w:t>
      </w:r>
      <w:r w:rsidR="00011FDC">
        <w:rPr>
          <w:rStyle w:val="SCCLsocPartyRole"/>
          <w:lang w:val="fr-CA"/>
        </w:rPr>
        <w:t>rvenant</w:t>
      </w:r>
      <w:r w:rsidR="00142C42" w:rsidRPr="00175C63">
        <w:rPr>
          <w:rStyle w:val="SCCLsocPartyRole"/>
          <w:lang w:val="fr-CA"/>
        </w:rPr>
        <w:t>s</w:t>
      </w:r>
    </w:p>
    <w:p w:rsidR="0097534A" w:rsidRPr="005531D8" w:rsidRDefault="004D7D95" w:rsidP="002B69A7">
      <w:pPr>
        <w:widowControl w:val="0"/>
        <w:spacing w:after="720"/>
        <w:jc w:val="both"/>
        <w:rPr>
          <w:lang w:val="fr-CA"/>
        </w:rPr>
      </w:pPr>
      <w:r w:rsidRPr="005531D8">
        <w:rPr>
          <w:b/>
          <w:lang w:val="fr-CA"/>
        </w:rPr>
        <w:t>Répertorié</w:t>
      </w:r>
      <w:r w:rsidR="005531D8">
        <w:rPr>
          <w:b/>
          <w:lang w:val="fr-CA"/>
        </w:rPr>
        <w:t> :</w:t>
      </w:r>
      <w:r w:rsidRPr="005531D8">
        <w:rPr>
          <w:b/>
          <w:lang w:val="fr-CA"/>
        </w:rPr>
        <w:t> </w:t>
      </w:r>
      <w:r w:rsidR="00E94995" w:rsidRPr="005531D8">
        <w:rPr>
          <w:b/>
          <w:lang w:val="fr-CA"/>
        </w:rPr>
        <w:t>Inde</w:t>
      </w:r>
      <w:r w:rsidRPr="005531D8">
        <w:rPr>
          <w:b/>
          <w:lang w:val="fr-CA"/>
        </w:rPr>
        <w:t xml:space="preserve"> </w:t>
      </w:r>
      <w:r w:rsidRPr="005531D8">
        <w:rPr>
          <w:b/>
          <w:i/>
          <w:lang w:val="fr-CA"/>
        </w:rPr>
        <w:t>c.</w:t>
      </w:r>
      <w:r w:rsidRPr="005531D8">
        <w:rPr>
          <w:b/>
          <w:lang w:val="fr-CA"/>
        </w:rPr>
        <w:t xml:space="preserve"> </w:t>
      </w:r>
      <w:r w:rsidR="00116CA6" w:rsidRPr="005531D8">
        <w:rPr>
          <w:b/>
          <w:lang w:val="fr-CA"/>
        </w:rPr>
        <w:t>Bade</w:t>
      </w:r>
      <w:r w:rsidR="0097534A" w:rsidRPr="005531D8">
        <w:rPr>
          <w:b/>
          <w:lang w:val="fr-CA"/>
        </w:rPr>
        <w:t>sha</w:t>
      </w:r>
    </w:p>
    <w:p w:rsidR="004D7D95" w:rsidRPr="005531D8" w:rsidRDefault="00D17B0E" w:rsidP="002B69A7">
      <w:pPr>
        <w:widowControl w:val="0"/>
        <w:spacing w:after="720"/>
        <w:jc w:val="both"/>
        <w:rPr>
          <w:b/>
          <w:lang w:val="fr-CA"/>
        </w:rPr>
      </w:pPr>
      <w:r w:rsidRPr="005531D8">
        <w:rPr>
          <w:b/>
          <w:lang w:val="fr-CA"/>
        </w:rPr>
        <w:t>2017</w:t>
      </w:r>
      <w:r w:rsidR="004D7D95" w:rsidRPr="005531D8">
        <w:rPr>
          <w:b/>
          <w:lang w:val="fr-CA"/>
        </w:rPr>
        <w:t xml:space="preserve"> CSC </w:t>
      </w:r>
      <w:r w:rsidR="00F963E1" w:rsidRPr="005531D8">
        <w:rPr>
          <w:b/>
          <w:lang w:val="fr-CA"/>
        </w:rPr>
        <w:t>44</w:t>
      </w:r>
    </w:p>
    <w:p w:rsidR="004D7D95" w:rsidRPr="00175C63" w:rsidRDefault="004D7D95" w:rsidP="002B69A7">
      <w:pPr>
        <w:widowControl w:val="0"/>
        <w:spacing w:after="720"/>
        <w:jc w:val="both"/>
        <w:rPr>
          <w:lang w:val="fr-CA"/>
        </w:rPr>
      </w:pPr>
      <w:r w:rsidRPr="00175C63">
        <w:rPr>
          <w:lang w:val="fr-CA"/>
        </w:rPr>
        <w:t>N</w:t>
      </w:r>
      <w:r w:rsidRPr="00175C63">
        <w:rPr>
          <w:vertAlign w:val="superscript"/>
          <w:lang w:val="fr-CA"/>
        </w:rPr>
        <w:t>o</w:t>
      </w:r>
      <w:r w:rsidRPr="00175C63">
        <w:rPr>
          <w:lang w:val="fr-CA"/>
        </w:rPr>
        <w:t xml:space="preserve"> du greffe</w:t>
      </w:r>
      <w:r w:rsidR="005531D8">
        <w:rPr>
          <w:lang w:val="fr-CA"/>
        </w:rPr>
        <w:t> :</w:t>
      </w:r>
      <w:r w:rsidRPr="00175C63">
        <w:rPr>
          <w:lang w:val="fr-CA"/>
        </w:rPr>
        <w:t> 36981.</w:t>
      </w:r>
    </w:p>
    <w:p w:rsidR="004D7D95" w:rsidRPr="00175C63" w:rsidRDefault="00116CA6" w:rsidP="002B69A7">
      <w:pPr>
        <w:widowControl w:val="0"/>
        <w:spacing w:after="720"/>
        <w:jc w:val="both"/>
        <w:rPr>
          <w:lang w:val="fr-CA"/>
        </w:rPr>
      </w:pPr>
      <w:r>
        <w:rPr>
          <w:lang w:val="fr-CA"/>
        </w:rPr>
        <w:t>2017</w:t>
      </w:r>
      <w:r w:rsidR="005531D8">
        <w:rPr>
          <w:lang w:val="fr-CA"/>
        </w:rPr>
        <w:t> : 20 </w:t>
      </w:r>
      <w:r w:rsidR="00D17B0E" w:rsidRPr="00175C63">
        <w:rPr>
          <w:lang w:val="fr-CA"/>
        </w:rPr>
        <w:t>mars</w:t>
      </w:r>
      <w:r w:rsidR="004D7D95" w:rsidRPr="00175C63">
        <w:rPr>
          <w:lang w:val="fr-CA"/>
        </w:rPr>
        <w:t xml:space="preserve">; </w:t>
      </w:r>
      <w:r w:rsidR="009117F8">
        <w:rPr>
          <w:lang w:val="fr-CA"/>
        </w:rPr>
        <w:t>2017</w:t>
      </w:r>
      <w:r w:rsidR="005531D8">
        <w:rPr>
          <w:lang w:val="fr-CA"/>
        </w:rPr>
        <w:t> : </w:t>
      </w:r>
      <w:r w:rsidR="009117F8">
        <w:rPr>
          <w:lang w:val="fr-CA"/>
        </w:rPr>
        <w:t>8</w:t>
      </w:r>
      <w:r w:rsidR="005531D8">
        <w:rPr>
          <w:lang w:val="fr-CA"/>
        </w:rPr>
        <w:t> </w:t>
      </w:r>
      <w:r w:rsidR="009117F8">
        <w:rPr>
          <w:lang w:val="fr-CA"/>
        </w:rPr>
        <w:t>septembre.</w:t>
      </w:r>
    </w:p>
    <w:p w:rsidR="004D7D95" w:rsidRPr="00175C63" w:rsidRDefault="004D7D95" w:rsidP="002B69A7">
      <w:pPr>
        <w:widowControl w:val="0"/>
        <w:spacing w:after="720"/>
        <w:rPr>
          <w:lang w:val="fr-CA"/>
        </w:rPr>
      </w:pPr>
      <w:r w:rsidRPr="00175C63">
        <w:rPr>
          <w:lang w:val="fr-CA"/>
        </w:rPr>
        <w:t>Présents</w:t>
      </w:r>
      <w:r w:rsidR="005531D8">
        <w:rPr>
          <w:lang w:val="fr-CA"/>
        </w:rPr>
        <w:t> :</w:t>
      </w:r>
      <w:r w:rsidRPr="00175C63">
        <w:rPr>
          <w:lang w:val="fr-CA"/>
        </w:rPr>
        <w:t> La juge en chef McLachlin et les juges Abella, Moldaver, Karakatsanis, Wagner, Gascon, Côté, Brown et Rowe.</w:t>
      </w:r>
    </w:p>
    <w:p w:rsidR="004D7D95" w:rsidRPr="00BB4C92" w:rsidRDefault="004D7D95" w:rsidP="002B69A7">
      <w:pPr>
        <w:widowControl w:val="0"/>
        <w:spacing w:after="720"/>
        <w:jc w:val="both"/>
        <w:rPr>
          <w:lang w:val="fr-CA"/>
        </w:rPr>
      </w:pPr>
      <w:r w:rsidRPr="00116CA6">
        <w:rPr>
          <w:smallCaps/>
          <w:lang w:val="fr-CA"/>
        </w:rPr>
        <w:t>en appel de la cour d</w:t>
      </w:r>
      <w:r w:rsidR="00722074" w:rsidRPr="00116CA6">
        <w:rPr>
          <w:smallCaps/>
          <w:lang w:val="fr-CA"/>
        </w:rPr>
        <w:t>’</w:t>
      </w:r>
      <w:r w:rsidRPr="00116CA6">
        <w:rPr>
          <w:smallCaps/>
          <w:lang w:val="fr-CA"/>
        </w:rPr>
        <w:t xml:space="preserve">appel de la </w:t>
      </w:r>
      <w:r w:rsidR="00116CA6" w:rsidRPr="00116CA6">
        <w:rPr>
          <w:smallCaps/>
          <w:lang w:val="fr-CA"/>
        </w:rPr>
        <w:t>colombie</w:t>
      </w:r>
      <w:r w:rsidR="005531D8">
        <w:rPr>
          <w:smallCaps/>
          <w:lang w:val="fr-CA"/>
        </w:rPr>
        <w:noBreakHyphen/>
      </w:r>
      <w:r w:rsidR="00116CA6" w:rsidRPr="00116CA6">
        <w:rPr>
          <w:smallCaps/>
          <w:lang w:val="fr-CA"/>
        </w:rPr>
        <w:t>britannique</w:t>
      </w:r>
    </w:p>
    <w:p w:rsidR="00956C01" w:rsidRPr="00776FAC" w:rsidRDefault="004D7D95" w:rsidP="002B69A7">
      <w:pPr>
        <w:pStyle w:val="SCCNormalDoubleSpacing"/>
        <w:widowControl w:val="0"/>
        <w:spacing w:before="480" w:after="480"/>
        <w:rPr>
          <w:i/>
          <w:iCs/>
          <w:lang w:val="fr-CA"/>
        </w:rPr>
      </w:pPr>
      <w:r w:rsidRPr="00BB4C92">
        <w:rPr>
          <w:lang w:val="fr-CA"/>
        </w:rPr>
        <w:lastRenderedPageBreak/>
        <w:tab/>
      </w:r>
      <w:r w:rsidR="00956C01" w:rsidRPr="00776FAC">
        <w:rPr>
          <w:i/>
          <w:lang w:val="fr-CA"/>
        </w:rPr>
        <w:t>Droit constitutionnel — Charte des droits — Justice fondamentale —</w:t>
      </w:r>
      <w:r w:rsidR="00D91532">
        <w:rPr>
          <w:i/>
          <w:lang w:val="fr-CA"/>
        </w:rPr>
        <w:t xml:space="preserve"> </w:t>
      </w:r>
      <w:r w:rsidR="00956C01" w:rsidRPr="00776FAC">
        <w:rPr>
          <w:i/>
          <w:iCs/>
          <w:lang w:val="fr-CA"/>
        </w:rPr>
        <w:t xml:space="preserve">Extradition — Arrêté d’extradition — Contrôle judiciaire — Extradition de deux citoyens canadiens ordonnée par le ministre de la Justice — </w:t>
      </w:r>
      <w:r w:rsidR="00956C01" w:rsidRPr="00776FAC">
        <w:rPr>
          <w:i/>
          <w:lang w:val="fr-CA"/>
        </w:rPr>
        <w:t>Était</w:t>
      </w:r>
      <w:r w:rsidR="005531D8">
        <w:rPr>
          <w:i/>
          <w:lang w:val="fr-CA"/>
        </w:rPr>
        <w:noBreakHyphen/>
      </w:r>
      <w:r w:rsidR="00956C01" w:rsidRPr="00776FAC">
        <w:rPr>
          <w:i/>
          <w:lang w:val="fr-CA"/>
        </w:rPr>
        <w:t xml:space="preserve">il raisonnable de la part du </w:t>
      </w:r>
      <w:r w:rsidR="00997149">
        <w:rPr>
          <w:i/>
          <w:lang w:val="fr-CA"/>
        </w:rPr>
        <w:t>m</w:t>
      </w:r>
      <w:r w:rsidR="00956C01" w:rsidRPr="00776FAC">
        <w:rPr>
          <w:i/>
          <w:lang w:val="fr-CA"/>
        </w:rPr>
        <w:t>inistre de conclure qu’il n’y avait pas de risque sérieux de torture ou de mauvais traitements qui contreviendrait aux principes de justice fondamentale</w:t>
      </w:r>
      <w:r w:rsidR="00956C01">
        <w:rPr>
          <w:lang w:val="fr-CA"/>
        </w:rPr>
        <w:t xml:space="preserve"> </w:t>
      </w:r>
      <w:r w:rsidR="00956C01" w:rsidRPr="003D36B4">
        <w:rPr>
          <w:i/>
          <w:lang w:val="fr-CA"/>
        </w:rPr>
        <w:t xml:space="preserve">ou que les extraditions ne seraient par ailleurs ni injustes </w:t>
      </w:r>
      <w:r w:rsidR="00956C01">
        <w:rPr>
          <w:i/>
          <w:lang w:val="fr-CA"/>
        </w:rPr>
        <w:t>ni</w:t>
      </w:r>
      <w:r w:rsidR="00956C01" w:rsidRPr="003D36B4">
        <w:rPr>
          <w:i/>
          <w:lang w:val="fr-CA"/>
        </w:rPr>
        <w:t xml:space="preserve"> tyranniques?</w:t>
      </w:r>
      <w:r w:rsidR="008958F2">
        <w:rPr>
          <w:i/>
          <w:lang w:val="fr-CA"/>
        </w:rPr>
        <w:t xml:space="preserve"> </w:t>
      </w:r>
      <w:r w:rsidR="008958F2" w:rsidRPr="00776FAC">
        <w:rPr>
          <w:i/>
          <w:iCs/>
          <w:lang w:val="fr-CA"/>
        </w:rPr>
        <w:t>—</w:t>
      </w:r>
      <w:r w:rsidR="008958F2">
        <w:rPr>
          <w:i/>
          <w:iCs/>
          <w:lang w:val="fr-CA"/>
        </w:rPr>
        <w:t xml:space="preserve"> Facteurs contextuels à examiner pour apprécier la fiabilité des assurances diplomatiques</w:t>
      </w:r>
      <w:r w:rsidR="00956C01" w:rsidRPr="00776FAC">
        <w:rPr>
          <w:i/>
          <w:iCs/>
          <w:lang w:val="fr-CA"/>
        </w:rPr>
        <w:t xml:space="preserve"> — Charte</w:t>
      </w:r>
      <w:r w:rsidR="00956C01">
        <w:rPr>
          <w:i/>
          <w:iCs/>
          <w:lang w:val="fr-CA"/>
        </w:rPr>
        <w:t xml:space="preserve"> canadienne des droits et libertés</w:t>
      </w:r>
      <w:r w:rsidR="00956C01" w:rsidRPr="00776FAC">
        <w:rPr>
          <w:i/>
          <w:iCs/>
          <w:lang w:val="fr-CA"/>
        </w:rPr>
        <w:t xml:space="preserve">, </w:t>
      </w:r>
      <w:r w:rsidR="005531D8">
        <w:rPr>
          <w:i/>
          <w:iCs/>
          <w:lang w:val="fr-CA"/>
        </w:rPr>
        <w:t>art. </w:t>
      </w:r>
      <w:r w:rsidR="00956C01" w:rsidRPr="00776FAC">
        <w:rPr>
          <w:i/>
          <w:iCs/>
          <w:lang w:val="fr-CA"/>
        </w:rPr>
        <w:t>7 — Loi</w:t>
      </w:r>
      <w:r w:rsidR="00956C01">
        <w:rPr>
          <w:i/>
          <w:iCs/>
          <w:lang w:val="fr-CA"/>
        </w:rPr>
        <w:t xml:space="preserve"> sur l’e</w:t>
      </w:r>
      <w:r w:rsidR="00956C01" w:rsidRPr="00776FAC">
        <w:rPr>
          <w:i/>
          <w:iCs/>
          <w:lang w:val="fr-CA"/>
        </w:rPr>
        <w:t xml:space="preserve">xtradition, </w:t>
      </w:r>
      <w:r w:rsidR="00956C01">
        <w:rPr>
          <w:i/>
          <w:iCs/>
          <w:lang w:val="fr-CA"/>
        </w:rPr>
        <w:t>L</w:t>
      </w:r>
      <w:r w:rsidR="00956C01" w:rsidRPr="00776FAC">
        <w:rPr>
          <w:i/>
          <w:iCs/>
          <w:lang w:val="fr-CA"/>
        </w:rPr>
        <w:t xml:space="preserve">.C. 1999, c. 18, </w:t>
      </w:r>
      <w:r w:rsidR="005531D8">
        <w:rPr>
          <w:i/>
          <w:iCs/>
          <w:lang w:val="fr-CA"/>
        </w:rPr>
        <w:t>art. </w:t>
      </w:r>
      <w:r w:rsidR="00956C01" w:rsidRPr="00776FAC">
        <w:rPr>
          <w:i/>
          <w:iCs/>
          <w:lang w:val="fr-CA"/>
        </w:rPr>
        <w:t>44(1)a).</w:t>
      </w:r>
    </w:p>
    <w:p w:rsidR="00956C01" w:rsidRPr="00BD1BB3" w:rsidRDefault="00956C01" w:rsidP="002B69A7">
      <w:pPr>
        <w:pStyle w:val="SCCNormalDoubleSpacing"/>
        <w:widowControl w:val="0"/>
        <w:spacing w:before="480" w:after="480"/>
        <w:rPr>
          <w:lang w:val="fr-CA"/>
        </w:rPr>
      </w:pPr>
      <w:r w:rsidRPr="00776FAC">
        <w:rPr>
          <w:lang w:val="fr-CA"/>
        </w:rPr>
        <w:tab/>
      </w:r>
      <w:r w:rsidRPr="00F26419">
        <w:rPr>
          <w:lang w:val="fr-CA"/>
        </w:rPr>
        <w:t xml:space="preserve">B et S ont été inculpés en Inde parce qu’ils auraient </w:t>
      </w:r>
      <w:r w:rsidR="00C663AF">
        <w:rPr>
          <w:lang w:val="fr-CA"/>
        </w:rPr>
        <w:t>planifié</w:t>
      </w:r>
      <w:r w:rsidRPr="00F26419">
        <w:rPr>
          <w:lang w:val="fr-CA"/>
        </w:rPr>
        <w:t xml:space="preserve"> </w:t>
      </w:r>
      <w:r>
        <w:rPr>
          <w:lang w:val="fr-CA"/>
        </w:rPr>
        <w:t xml:space="preserve">un crime d’honneur commis dans ce pays. </w:t>
      </w:r>
      <w:r w:rsidRPr="00642809">
        <w:rPr>
          <w:lang w:val="fr-CA"/>
        </w:rPr>
        <w:t>B est l’oncle de la victim</w:t>
      </w:r>
      <w:r>
        <w:rPr>
          <w:lang w:val="fr-CA"/>
        </w:rPr>
        <w:t>e</w:t>
      </w:r>
      <w:r w:rsidRPr="00642809">
        <w:rPr>
          <w:lang w:val="fr-CA"/>
        </w:rPr>
        <w:t xml:space="preserve"> tandis que S est sa m</w:t>
      </w:r>
      <w:r>
        <w:rPr>
          <w:lang w:val="fr-CA"/>
        </w:rPr>
        <w:t>ère</w:t>
      </w:r>
      <w:r w:rsidRPr="00642809">
        <w:rPr>
          <w:lang w:val="fr-CA"/>
        </w:rPr>
        <w:t>.</w:t>
      </w:r>
      <w:r w:rsidR="00E02C59">
        <w:rPr>
          <w:lang w:val="fr-CA"/>
        </w:rPr>
        <w:t xml:space="preserve"> </w:t>
      </w:r>
      <w:r w:rsidRPr="00642809">
        <w:rPr>
          <w:lang w:val="fr-CA"/>
        </w:rPr>
        <w:t xml:space="preserve">Tous deux sont des citoyens canadiens résidant au Canada. </w:t>
      </w:r>
      <w:r w:rsidRPr="0078227A">
        <w:rPr>
          <w:lang w:val="fr-CA"/>
        </w:rPr>
        <w:t xml:space="preserve">L’Inde a demandé leur extradition afin de les juger </w:t>
      </w:r>
      <w:r>
        <w:rPr>
          <w:lang w:val="fr-CA"/>
        </w:rPr>
        <w:t>relativement à une infraction de complot en vue de commettre</w:t>
      </w:r>
      <w:r w:rsidRPr="0080058A">
        <w:rPr>
          <w:lang w:val="fr-CA"/>
        </w:rPr>
        <w:t xml:space="preserve"> un meurtre</w:t>
      </w:r>
      <w:r w:rsidRPr="0078227A">
        <w:rPr>
          <w:lang w:val="fr-CA"/>
        </w:rPr>
        <w:t xml:space="preserve">. </w:t>
      </w:r>
      <w:r w:rsidRPr="00EE031E">
        <w:rPr>
          <w:lang w:val="fr-CA"/>
        </w:rPr>
        <w:t xml:space="preserve">Le ministre de la Justice a ordonné leur extradition après avoir reçu de l’Inde des assurances concernant le traitement qui leur serait réservé s’ils étaient incarcérés, </w:t>
      </w:r>
      <w:r>
        <w:rPr>
          <w:lang w:val="fr-CA"/>
        </w:rPr>
        <w:t>notamment sur les plans de la santé, de la sécurité et de l’accès à des représentants consulaires</w:t>
      </w:r>
      <w:r w:rsidRPr="00EE031E">
        <w:rPr>
          <w:lang w:val="fr-CA"/>
        </w:rPr>
        <w:t>,</w:t>
      </w:r>
      <w:r>
        <w:rPr>
          <w:lang w:val="fr-CA"/>
        </w:rPr>
        <w:t xml:space="preserve"> et il a jugé, conformément à l’</w:t>
      </w:r>
      <w:r w:rsidR="005531D8">
        <w:rPr>
          <w:lang w:val="fr-CA"/>
        </w:rPr>
        <w:t>al. </w:t>
      </w:r>
      <w:r w:rsidRPr="00EE031E">
        <w:rPr>
          <w:lang w:val="fr-CA"/>
        </w:rPr>
        <w:t xml:space="preserve">44(1)a) </w:t>
      </w:r>
      <w:r>
        <w:rPr>
          <w:lang w:val="fr-CA"/>
        </w:rPr>
        <w:t xml:space="preserve">de la </w:t>
      </w:r>
      <w:r w:rsidRPr="00BD1BB3">
        <w:rPr>
          <w:i/>
          <w:lang w:val="fr-CA"/>
        </w:rPr>
        <w:t>Loi sur</w:t>
      </w:r>
      <w:r>
        <w:rPr>
          <w:lang w:val="fr-CA"/>
        </w:rPr>
        <w:t xml:space="preserve"> </w:t>
      </w:r>
      <w:r w:rsidRPr="00BD1BB3">
        <w:rPr>
          <w:i/>
          <w:lang w:val="fr-CA"/>
        </w:rPr>
        <w:t>l’e</w:t>
      </w:r>
      <w:r w:rsidRPr="00EE031E">
        <w:rPr>
          <w:i/>
          <w:lang w:val="fr-CA"/>
        </w:rPr>
        <w:t>xtradition</w:t>
      </w:r>
      <w:r w:rsidRPr="00EE031E">
        <w:rPr>
          <w:lang w:val="fr-CA"/>
        </w:rPr>
        <w:t xml:space="preserve">, </w:t>
      </w:r>
      <w:r>
        <w:rPr>
          <w:lang w:val="fr-CA"/>
        </w:rPr>
        <w:t>que leur extradition ne serait ni injuste ni tyrannique</w:t>
      </w:r>
      <w:r w:rsidRPr="00EE031E">
        <w:rPr>
          <w:lang w:val="fr-CA"/>
        </w:rPr>
        <w:t xml:space="preserve">. </w:t>
      </w:r>
      <w:r w:rsidRPr="00BD1BB3">
        <w:rPr>
          <w:lang w:val="fr-CA"/>
        </w:rPr>
        <w:t xml:space="preserve">La Cour d’appel a conclu, à la majorité, que les arrêtés du </w:t>
      </w:r>
      <w:r w:rsidR="00997149">
        <w:rPr>
          <w:lang w:val="fr-CA"/>
        </w:rPr>
        <w:t>m</w:t>
      </w:r>
      <w:r w:rsidRPr="00BD1BB3">
        <w:rPr>
          <w:lang w:val="fr-CA"/>
        </w:rPr>
        <w:t>inistre étaient dérais</w:t>
      </w:r>
      <w:r w:rsidR="005531D8">
        <w:rPr>
          <w:lang w:val="fr-CA"/>
        </w:rPr>
        <w:t>onnables et elle les a annulés.</w:t>
      </w:r>
    </w:p>
    <w:p w:rsidR="00956C01" w:rsidRPr="00876B89" w:rsidRDefault="00956C01" w:rsidP="002B69A7">
      <w:pPr>
        <w:pStyle w:val="SCCNormalDoubleSpacing"/>
        <w:widowControl w:val="0"/>
        <w:spacing w:before="480" w:after="480"/>
        <w:rPr>
          <w:lang w:val="fr-CA"/>
        </w:rPr>
      </w:pPr>
      <w:r w:rsidRPr="00BD1BB3">
        <w:rPr>
          <w:lang w:val="fr-CA"/>
        </w:rPr>
        <w:tab/>
      </w:r>
      <w:r w:rsidRPr="00876B89">
        <w:rPr>
          <w:i/>
          <w:lang w:val="fr-CA"/>
        </w:rPr>
        <w:t>Arrêt</w:t>
      </w:r>
      <w:r w:rsidR="005531D8">
        <w:rPr>
          <w:i/>
          <w:lang w:val="fr-CA"/>
        </w:rPr>
        <w:t> </w:t>
      </w:r>
      <w:r w:rsidR="005531D8" w:rsidRPr="00B365D4">
        <w:rPr>
          <w:lang w:val="fr-CA"/>
        </w:rPr>
        <w:t>:</w:t>
      </w:r>
      <w:r w:rsidRPr="00876B89">
        <w:rPr>
          <w:lang w:val="fr-CA"/>
        </w:rPr>
        <w:t xml:space="preserve"> Le pourvoi est accueilli e</w:t>
      </w:r>
      <w:r w:rsidR="00230908">
        <w:rPr>
          <w:lang w:val="fr-CA"/>
        </w:rPr>
        <w:t xml:space="preserve">t les arrêtés d’extradition du </w:t>
      </w:r>
      <w:r w:rsidR="00997149">
        <w:rPr>
          <w:lang w:val="fr-CA"/>
        </w:rPr>
        <w:t>m</w:t>
      </w:r>
      <w:r w:rsidRPr="00876B89">
        <w:rPr>
          <w:lang w:val="fr-CA"/>
        </w:rPr>
        <w:t xml:space="preserve">inistre sont </w:t>
      </w:r>
      <w:r w:rsidRPr="00876B89">
        <w:rPr>
          <w:lang w:val="fr-CA"/>
        </w:rPr>
        <w:lastRenderedPageBreak/>
        <w:t xml:space="preserve">rétablis. </w:t>
      </w:r>
    </w:p>
    <w:p w:rsidR="00956C01" w:rsidRPr="00775FE0" w:rsidRDefault="00956C01" w:rsidP="002B69A7">
      <w:pPr>
        <w:pStyle w:val="SCCNormalDoubleSpacing"/>
        <w:widowControl w:val="0"/>
        <w:spacing w:before="480" w:after="480"/>
        <w:rPr>
          <w:lang w:val="fr-CA"/>
        </w:rPr>
      </w:pPr>
      <w:r w:rsidRPr="00876B89">
        <w:rPr>
          <w:lang w:val="fr-CA"/>
        </w:rPr>
        <w:tab/>
      </w:r>
      <w:r w:rsidRPr="003B6CAF">
        <w:rPr>
          <w:lang w:val="fr-CA"/>
        </w:rPr>
        <w:t xml:space="preserve">Les arrêtés d’extradition du </w:t>
      </w:r>
      <w:r w:rsidR="00997149">
        <w:rPr>
          <w:lang w:val="fr-CA"/>
        </w:rPr>
        <w:t>m</w:t>
      </w:r>
      <w:r w:rsidRPr="003B6CAF">
        <w:rPr>
          <w:lang w:val="fr-CA"/>
        </w:rPr>
        <w:t xml:space="preserve">inistre sont susceptibles de contrôle suivant la norme de la décision </w:t>
      </w:r>
      <w:r>
        <w:rPr>
          <w:lang w:val="fr-CA"/>
        </w:rPr>
        <w:t>raisonnable</w:t>
      </w:r>
      <w:r w:rsidRPr="003B6CAF">
        <w:rPr>
          <w:lang w:val="fr-CA"/>
        </w:rPr>
        <w:t xml:space="preserve">. </w:t>
      </w:r>
      <w:r w:rsidRPr="00775FE0">
        <w:rPr>
          <w:lang w:val="fr-CA"/>
        </w:rPr>
        <w:t xml:space="preserve">En l’espèce, il était raisonnable de la part du </w:t>
      </w:r>
      <w:r w:rsidR="00997149">
        <w:rPr>
          <w:lang w:val="fr-CA"/>
        </w:rPr>
        <w:t>m</w:t>
      </w:r>
      <w:r w:rsidRPr="00775FE0">
        <w:rPr>
          <w:lang w:val="fr-CA"/>
        </w:rPr>
        <w:t xml:space="preserve">inistre de conclure, </w:t>
      </w:r>
      <w:r>
        <w:rPr>
          <w:lang w:val="fr-CA"/>
        </w:rPr>
        <w:t xml:space="preserve">sur la foi des </w:t>
      </w:r>
      <w:r w:rsidRPr="00325099">
        <w:rPr>
          <w:lang w:val="fr-CA"/>
        </w:rPr>
        <w:t>assurances qu’il avait reçues de</w:t>
      </w:r>
      <w:r>
        <w:rPr>
          <w:lang w:val="fr-CA"/>
        </w:rPr>
        <w:t xml:space="preserve"> l’Inde, que B et S ne courraient aucun </w:t>
      </w:r>
      <w:r w:rsidRPr="00325099">
        <w:rPr>
          <w:lang w:val="fr-CA"/>
        </w:rPr>
        <w:t xml:space="preserve">risque sérieux </w:t>
      </w:r>
      <w:r>
        <w:rPr>
          <w:lang w:val="fr-CA"/>
        </w:rPr>
        <w:t xml:space="preserve">de torture </w:t>
      </w:r>
      <w:r w:rsidRPr="00325099">
        <w:rPr>
          <w:lang w:val="fr-CA"/>
        </w:rPr>
        <w:t xml:space="preserve">ou de mauvais traitements </w:t>
      </w:r>
      <w:r>
        <w:rPr>
          <w:lang w:val="fr-CA"/>
        </w:rPr>
        <w:t xml:space="preserve">qui contreviendrait </w:t>
      </w:r>
      <w:r w:rsidRPr="00325099">
        <w:rPr>
          <w:lang w:val="fr-CA"/>
        </w:rPr>
        <w:t>aux pr</w:t>
      </w:r>
      <w:r>
        <w:rPr>
          <w:lang w:val="fr-CA"/>
        </w:rPr>
        <w:t>incipes de justice fondamentale protégés par l’</w:t>
      </w:r>
      <w:r w:rsidR="005531D8">
        <w:rPr>
          <w:lang w:val="fr-CA"/>
        </w:rPr>
        <w:t>art. </w:t>
      </w:r>
      <w:r>
        <w:rPr>
          <w:lang w:val="fr-CA"/>
        </w:rPr>
        <w:t xml:space="preserve">7 de la </w:t>
      </w:r>
      <w:r w:rsidRPr="00775FE0">
        <w:rPr>
          <w:i/>
          <w:lang w:val="fr-CA"/>
        </w:rPr>
        <w:t>Charte</w:t>
      </w:r>
      <w:r w:rsidRPr="00775FE0">
        <w:rPr>
          <w:lang w:val="fr-CA"/>
        </w:rPr>
        <w:t xml:space="preserve">, et que leur extradition ne serait par ailleurs ni injuste ni tyrannique. </w:t>
      </w:r>
    </w:p>
    <w:p w:rsidR="00956C01" w:rsidRPr="003A0C4C" w:rsidRDefault="00956C01" w:rsidP="002B69A7">
      <w:pPr>
        <w:pStyle w:val="SCCNormalDoubleSpacing"/>
        <w:widowControl w:val="0"/>
        <w:spacing w:before="480" w:after="480"/>
        <w:rPr>
          <w:lang w:val="fr-CA"/>
        </w:rPr>
      </w:pPr>
      <w:r w:rsidRPr="00775FE0">
        <w:rPr>
          <w:lang w:val="fr-CA"/>
        </w:rPr>
        <w:tab/>
      </w:r>
      <w:r w:rsidRPr="0080058A">
        <w:rPr>
          <w:lang w:val="fr-CA"/>
        </w:rPr>
        <w:t xml:space="preserve">Lorsque </w:t>
      </w:r>
      <w:r>
        <w:rPr>
          <w:lang w:val="fr-CA"/>
        </w:rPr>
        <w:t xml:space="preserve">l’intéressé court </w:t>
      </w:r>
      <w:r w:rsidRPr="0080058A">
        <w:rPr>
          <w:lang w:val="fr-CA"/>
        </w:rPr>
        <w:t xml:space="preserve">un risque </w:t>
      </w:r>
      <w:r>
        <w:rPr>
          <w:lang w:val="fr-CA"/>
        </w:rPr>
        <w:t xml:space="preserve">sérieux </w:t>
      </w:r>
      <w:r w:rsidRPr="0080058A">
        <w:rPr>
          <w:lang w:val="fr-CA"/>
        </w:rPr>
        <w:t>d’</w:t>
      </w:r>
      <w:r>
        <w:rPr>
          <w:lang w:val="fr-CA"/>
        </w:rPr>
        <w:t>être torturé ou maltraité</w:t>
      </w:r>
      <w:r w:rsidRPr="0080058A">
        <w:rPr>
          <w:lang w:val="fr-CA"/>
        </w:rPr>
        <w:t xml:space="preserve"> dans l</w:t>
      </w:r>
      <w:r>
        <w:rPr>
          <w:lang w:val="fr-CA"/>
        </w:rPr>
        <w:t>’État d’accueil</w:t>
      </w:r>
      <w:r w:rsidRPr="0080058A">
        <w:rPr>
          <w:lang w:val="fr-CA"/>
        </w:rPr>
        <w:t xml:space="preserve">, son extradition viole les principes de justice fondamentale et le ministre </w:t>
      </w:r>
      <w:r>
        <w:rPr>
          <w:lang w:val="fr-CA"/>
        </w:rPr>
        <w:t xml:space="preserve">doit refuser son </w:t>
      </w:r>
      <w:r w:rsidRPr="0080058A">
        <w:rPr>
          <w:lang w:val="fr-CA"/>
        </w:rPr>
        <w:t>extradition en vertu de</w:t>
      </w:r>
      <w:r>
        <w:rPr>
          <w:lang w:val="fr-CA"/>
        </w:rPr>
        <w:t xml:space="preserve"> </w:t>
      </w:r>
      <w:r w:rsidRPr="00775FE0">
        <w:rPr>
          <w:lang w:val="fr-CA"/>
        </w:rPr>
        <w:t>l’</w:t>
      </w:r>
      <w:r w:rsidR="005531D8">
        <w:rPr>
          <w:lang w:val="fr-CA"/>
        </w:rPr>
        <w:t>al. </w:t>
      </w:r>
      <w:r w:rsidRPr="00775FE0">
        <w:rPr>
          <w:lang w:val="fr-CA"/>
        </w:rPr>
        <w:t xml:space="preserve">44(1)a) de la </w:t>
      </w:r>
      <w:r w:rsidRPr="00775FE0">
        <w:rPr>
          <w:i/>
          <w:lang w:val="fr-CA"/>
        </w:rPr>
        <w:t>Loi sur l’extradition</w:t>
      </w:r>
      <w:r w:rsidRPr="00775FE0">
        <w:rPr>
          <w:lang w:val="fr-CA"/>
        </w:rPr>
        <w:t xml:space="preserve">. </w:t>
      </w:r>
      <w:r>
        <w:rPr>
          <w:lang w:val="fr-CA"/>
        </w:rPr>
        <w:t>L</w:t>
      </w:r>
      <w:r w:rsidRPr="0080058A">
        <w:rPr>
          <w:lang w:val="fr-CA"/>
        </w:rPr>
        <w:t>orsqu’il n’y a pas de risque sérieux de torture ou de mauvais traitements et que l’extradition respecte</w:t>
      </w:r>
      <w:r>
        <w:rPr>
          <w:lang w:val="fr-CA"/>
        </w:rPr>
        <w:t xml:space="preserve"> par le fait même</w:t>
      </w:r>
      <w:r w:rsidRPr="0080058A">
        <w:rPr>
          <w:lang w:val="fr-CA"/>
        </w:rPr>
        <w:t xml:space="preserve"> l</w:t>
      </w:r>
      <w:r w:rsidRPr="00325099">
        <w:rPr>
          <w:lang w:val="fr-CA"/>
        </w:rPr>
        <w:t xml:space="preserve">a </w:t>
      </w:r>
      <w:r w:rsidRPr="00325099">
        <w:rPr>
          <w:i/>
          <w:lang w:val="fr-CA"/>
        </w:rPr>
        <w:t>Charte</w:t>
      </w:r>
      <w:r w:rsidRPr="0080058A">
        <w:rPr>
          <w:lang w:val="fr-CA"/>
        </w:rPr>
        <w:t xml:space="preserve">, le </w:t>
      </w:r>
      <w:r w:rsidR="00997149">
        <w:rPr>
          <w:lang w:val="fr-CA"/>
        </w:rPr>
        <w:t>m</w:t>
      </w:r>
      <w:r w:rsidRPr="0080058A">
        <w:rPr>
          <w:lang w:val="fr-CA"/>
        </w:rPr>
        <w:t xml:space="preserve">inistre </w:t>
      </w:r>
      <w:r>
        <w:rPr>
          <w:lang w:val="fr-CA"/>
        </w:rPr>
        <w:t>doit néanmoins refuser l’extradition s’il est convaincu que</w:t>
      </w:r>
      <w:r w:rsidRPr="0080058A">
        <w:rPr>
          <w:lang w:val="fr-CA"/>
        </w:rPr>
        <w:t>, compte tenu de</w:t>
      </w:r>
      <w:r>
        <w:rPr>
          <w:lang w:val="fr-CA"/>
        </w:rPr>
        <w:t xml:space="preserve">s </w:t>
      </w:r>
      <w:r w:rsidRPr="0080058A">
        <w:rPr>
          <w:lang w:val="fr-CA"/>
        </w:rPr>
        <w:t>circonstances</w:t>
      </w:r>
      <w:r>
        <w:rPr>
          <w:lang w:val="fr-CA"/>
        </w:rPr>
        <w:t xml:space="preserve"> dans leur ensemble</w:t>
      </w:r>
      <w:r w:rsidRPr="0080058A">
        <w:rPr>
          <w:lang w:val="fr-CA"/>
        </w:rPr>
        <w:t xml:space="preserve">, l’extradition serait </w:t>
      </w:r>
      <w:r>
        <w:rPr>
          <w:lang w:val="fr-CA"/>
        </w:rPr>
        <w:t xml:space="preserve">par ailleurs </w:t>
      </w:r>
      <w:r w:rsidRPr="0080058A">
        <w:rPr>
          <w:lang w:val="fr-CA"/>
        </w:rPr>
        <w:t xml:space="preserve">injuste ou </w:t>
      </w:r>
      <w:r>
        <w:rPr>
          <w:lang w:val="fr-CA"/>
        </w:rPr>
        <w:t>tyrannique</w:t>
      </w:r>
      <w:r w:rsidRPr="003A0C4C">
        <w:rPr>
          <w:lang w:val="fr-CA"/>
        </w:rPr>
        <w:t xml:space="preserve">. </w:t>
      </w:r>
      <w:r w:rsidRPr="0080058A">
        <w:rPr>
          <w:lang w:val="fr-CA"/>
        </w:rPr>
        <w:t xml:space="preserve">À cet égard, le </w:t>
      </w:r>
      <w:r w:rsidR="00997149">
        <w:rPr>
          <w:lang w:val="fr-CA"/>
        </w:rPr>
        <w:t>m</w:t>
      </w:r>
      <w:r w:rsidRPr="0080058A">
        <w:rPr>
          <w:lang w:val="fr-CA"/>
        </w:rPr>
        <w:t>inistre peut tenir compte des circonstances</w:t>
      </w:r>
      <w:r w:rsidR="00A22580">
        <w:rPr>
          <w:lang w:val="fr-CA"/>
        </w:rPr>
        <w:t xml:space="preserve"> qui rendraient l’extradition incompatible avec</w:t>
      </w:r>
      <w:r>
        <w:rPr>
          <w:lang w:val="fr-CA"/>
        </w:rPr>
        <w:t xml:space="preserve"> la </w:t>
      </w:r>
      <w:r w:rsidRPr="0080058A">
        <w:rPr>
          <w:i/>
          <w:lang w:val="fr-CA"/>
        </w:rPr>
        <w:t>Charte</w:t>
      </w:r>
      <w:r w:rsidRPr="0080058A">
        <w:rPr>
          <w:lang w:val="fr-CA"/>
        </w:rPr>
        <w:t xml:space="preserve">, </w:t>
      </w:r>
      <w:r>
        <w:rPr>
          <w:lang w:val="fr-CA"/>
        </w:rPr>
        <w:t xml:space="preserve">de </w:t>
      </w:r>
      <w:r w:rsidRPr="0080058A">
        <w:rPr>
          <w:lang w:val="fr-CA"/>
        </w:rPr>
        <w:t xml:space="preserve">la gravité de l’infraction reprochée et </w:t>
      </w:r>
      <w:r>
        <w:rPr>
          <w:lang w:val="fr-CA"/>
        </w:rPr>
        <w:t xml:space="preserve">de </w:t>
      </w:r>
      <w:r w:rsidRPr="0080058A">
        <w:rPr>
          <w:lang w:val="fr-CA"/>
        </w:rPr>
        <w:t>l’importance que le Canada respecte ses obligations internationales</w:t>
      </w:r>
      <w:r w:rsidRPr="003A0C4C">
        <w:rPr>
          <w:lang w:val="fr-CA"/>
        </w:rPr>
        <w:t xml:space="preserve">. </w:t>
      </w:r>
      <w:r w:rsidRPr="003A0C4C" w:rsidDel="005E60F1">
        <w:rPr>
          <w:lang w:val="fr-CA"/>
        </w:rPr>
        <w:t xml:space="preserve"> </w:t>
      </w:r>
    </w:p>
    <w:p w:rsidR="00956C01" w:rsidRPr="000C0AE2" w:rsidRDefault="005531D8" w:rsidP="002B69A7">
      <w:pPr>
        <w:pStyle w:val="SCCNormalDoubleSpacing"/>
        <w:widowControl w:val="0"/>
        <w:spacing w:before="480" w:after="480"/>
        <w:rPr>
          <w:lang w:val="fr-CA"/>
        </w:rPr>
      </w:pPr>
      <w:r>
        <w:rPr>
          <w:lang w:val="fr-CA"/>
        </w:rPr>
        <w:tab/>
      </w:r>
      <w:r w:rsidR="00956C01" w:rsidRPr="0080058A">
        <w:rPr>
          <w:lang w:val="fr-CA"/>
        </w:rPr>
        <w:t>Pour dé</w:t>
      </w:r>
      <w:r w:rsidR="00956C01">
        <w:rPr>
          <w:lang w:val="fr-CA"/>
        </w:rPr>
        <w:t xml:space="preserve">cider </w:t>
      </w:r>
      <w:r w:rsidR="00956C01" w:rsidRPr="0080058A">
        <w:rPr>
          <w:lang w:val="fr-CA"/>
        </w:rPr>
        <w:t xml:space="preserve">s’il existe un risque </w:t>
      </w:r>
      <w:r w:rsidR="00956C01">
        <w:rPr>
          <w:lang w:val="fr-CA"/>
        </w:rPr>
        <w:t xml:space="preserve">sérieux </w:t>
      </w:r>
      <w:r w:rsidR="00956C01" w:rsidRPr="0080058A">
        <w:rPr>
          <w:lang w:val="fr-CA"/>
        </w:rPr>
        <w:t xml:space="preserve">de torture ou de mauvais traitements, le </w:t>
      </w:r>
      <w:r w:rsidR="00997149">
        <w:rPr>
          <w:lang w:val="fr-CA"/>
        </w:rPr>
        <w:t>m</w:t>
      </w:r>
      <w:r w:rsidR="00956C01" w:rsidRPr="0080058A">
        <w:rPr>
          <w:lang w:val="fr-CA"/>
        </w:rPr>
        <w:t xml:space="preserve">inistre peut tenir compte des assurances diplomatiques données au sujet du traitement de </w:t>
      </w:r>
      <w:r w:rsidR="00641304">
        <w:rPr>
          <w:lang w:val="fr-CA"/>
        </w:rPr>
        <w:t>l’intéressé</w:t>
      </w:r>
      <w:r w:rsidR="00956C01" w:rsidRPr="00C40DC0">
        <w:rPr>
          <w:lang w:val="fr-CA"/>
        </w:rPr>
        <w:t xml:space="preserve">. </w:t>
      </w:r>
      <w:r w:rsidR="00956C01" w:rsidRPr="0080058A">
        <w:rPr>
          <w:lang w:val="fr-CA"/>
        </w:rPr>
        <w:t xml:space="preserve">Lorsque le </w:t>
      </w:r>
      <w:r w:rsidR="00997149">
        <w:rPr>
          <w:lang w:val="fr-CA"/>
        </w:rPr>
        <w:t>m</w:t>
      </w:r>
      <w:r w:rsidR="00956C01" w:rsidRPr="0080058A">
        <w:rPr>
          <w:lang w:val="fr-CA"/>
        </w:rPr>
        <w:t>inistre estime qu’</w:t>
      </w:r>
      <w:r w:rsidR="00956C01">
        <w:rPr>
          <w:lang w:val="fr-CA"/>
        </w:rPr>
        <w:t xml:space="preserve">un tel </w:t>
      </w:r>
      <w:r w:rsidR="00956C01" w:rsidRPr="0080058A">
        <w:rPr>
          <w:lang w:val="fr-CA"/>
        </w:rPr>
        <w:t xml:space="preserve">risque </w:t>
      </w:r>
      <w:r w:rsidR="00956C01">
        <w:rPr>
          <w:lang w:val="fr-CA"/>
        </w:rPr>
        <w:t xml:space="preserve">existe et qu’il est donc nécessaire que </w:t>
      </w:r>
      <w:r w:rsidR="00956C01" w:rsidRPr="0080058A">
        <w:rPr>
          <w:lang w:val="fr-CA"/>
        </w:rPr>
        <w:t>des assurances diplomatiques soient fournies, l</w:t>
      </w:r>
      <w:r w:rsidR="00956C01">
        <w:rPr>
          <w:lang w:val="fr-CA"/>
        </w:rPr>
        <w:t xml:space="preserve">e tribunal </w:t>
      </w:r>
      <w:r w:rsidR="00956C01">
        <w:rPr>
          <w:lang w:val="fr-CA"/>
        </w:rPr>
        <w:lastRenderedPageBreak/>
        <w:t xml:space="preserve">de révision </w:t>
      </w:r>
      <w:r w:rsidR="00956C01" w:rsidRPr="0080058A">
        <w:rPr>
          <w:lang w:val="fr-CA"/>
        </w:rPr>
        <w:t xml:space="preserve">doit </w:t>
      </w:r>
      <w:r w:rsidR="00956C01">
        <w:rPr>
          <w:lang w:val="fr-CA"/>
        </w:rPr>
        <w:t xml:space="preserve">décider si c’est à raison que le </w:t>
      </w:r>
      <w:r w:rsidR="00997149">
        <w:rPr>
          <w:lang w:val="fr-CA"/>
        </w:rPr>
        <w:t>m</w:t>
      </w:r>
      <w:r w:rsidR="00956C01">
        <w:rPr>
          <w:lang w:val="fr-CA"/>
        </w:rPr>
        <w:t xml:space="preserve">inistre a conclu, sur la foi des </w:t>
      </w:r>
      <w:r w:rsidR="00956C01" w:rsidRPr="0080058A">
        <w:rPr>
          <w:lang w:val="fr-CA"/>
        </w:rPr>
        <w:t>assurances fournies</w:t>
      </w:r>
      <w:r w:rsidR="00956C01">
        <w:rPr>
          <w:lang w:val="fr-CA"/>
        </w:rPr>
        <w:t xml:space="preserve">, qu’il n’y a aucun risque sérieux. Il n’est toutefois pas nécessaire que les assurances diplomatiques </w:t>
      </w:r>
      <w:r w:rsidR="00956C01" w:rsidRPr="003642E3">
        <w:rPr>
          <w:lang w:val="fr-CA"/>
        </w:rPr>
        <w:t>écartent toute possibilité de torture ou de mauvais traitements; elles doivent simpl</w:t>
      </w:r>
      <w:r w:rsidR="00956C01">
        <w:rPr>
          <w:lang w:val="fr-CA"/>
        </w:rPr>
        <w:t xml:space="preserve">ement donner au </w:t>
      </w:r>
      <w:r w:rsidR="00997149">
        <w:rPr>
          <w:lang w:val="fr-CA"/>
        </w:rPr>
        <w:t>m</w:t>
      </w:r>
      <w:r w:rsidR="00956C01">
        <w:rPr>
          <w:lang w:val="fr-CA"/>
        </w:rPr>
        <w:t xml:space="preserve">inistre un motif raisonnable </w:t>
      </w:r>
      <w:r w:rsidR="00956C01" w:rsidRPr="0080058A">
        <w:rPr>
          <w:lang w:val="fr-CA"/>
        </w:rPr>
        <w:t xml:space="preserve">de conclure </w:t>
      </w:r>
      <w:r w:rsidR="00956C01">
        <w:rPr>
          <w:lang w:val="fr-CA"/>
        </w:rPr>
        <w:t xml:space="preserve">qu’il n’y a aucun risque sérieux </w:t>
      </w:r>
      <w:r w:rsidR="00956C01" w:rsidRPr="0080058A">
        <w:rPr>
          <w:lang w:val="fr-CA"/>
        </w:rPr>
        <w:t>de torture ou de mauvais</w:t>
      </w:r>
      <w:r w:rsidR="00956C01">
        <w:rPr>
          <w:lang w:val="fr-CA"/>
        </w:rPr>
        <w:t xml:space="preserve"> traitements. </w:t>
      </w:r>
      <w:r w:rsidR="00956C01" w:rsidRPr="0080058A">
        <w:rPr>
          <w:lang w:val="fr-CA"/>
        </w:rPr>
        <w:t>La fiabilité des assurances diplomatiques dépend des circonstances de l’espèce</w:t>
      </w:r>
      <w:r w:rsidR="00956C01" w:rsidRPr="000C0AE2">
        <w:rPr>
          <w:lang w:val="fr-CA"/>
        </w:rPr>
        <w:t xml:space="preserve"> </w:t>
      </w:r>
      <w:r w:rsidR="00956C01">
        <w:rPr>
          <w:lang w:val="fr-CA"/>
        </w:rPr>
        <w:t xml:space="preserve">et </w:t>
      </w:r>
      <w:r w:rsidR="00956C01" w:rsidRPr="0080058A">
        <w:rPr>
          <w:lang w:val="fr-CA"/>
        </w:rPr>
        <w:t>fait intervenir une foule de facteurs</w:t>
      </w:r>
      <w:r w:rsidR="00956C01" w:rsidRPr="000C0AE2">
        <w:rPr>
          <w:lang w:val="fr-CA"/>
        </w:rPr>
        <w:t xml:space="preserve">. </w:t>
      </w:r>
    </w:p>
    <w:p w:rsidR="00956C01" w:rsidRPr="007010E3" w:rsidRDefault="00956C01" w:rsidP="002B69A7">
      <w:pPr>
        <w:pStyle w:val="SCCNormalDoubleSpacing"/>
        <w:widowControl w:val="0"/>
        <w:spacing w:before="480" w:after="480"/>
        <w:rPr>
          <w:lang w:val="fr-CA"/>
        </w:rPr>
      </w:pPr>
      <w:r w:rsidRPr="000C0AE2">
        <w:rPr>
          <w:lang w:val="fr-CA"/>
        </w:rPr>
        <w:tab/>
      </w:r>
      <w:r w:rsidRPr="00421A41">
        <w:rPr>
          <w:lang w:val="fr-CA"/>
        </w:rPr>
        <w:t>En l’espèce</w:t>
      </w:r>
      <w:r w:rsidR="00997149">
        <w:rPr>
          <w:lang w:val="fr-CA"/>
        </w:rPr>
        <w:t>,</w:t>
      </w:r>
      <w:r w:rsidRPr="00421A41">
        <w:rPr>
          <w:lang w:val="fr-CA"/>
        </w:rPr>
        <w:t xml:space="preserve"> le </w:t>
      </w:r>
      <w:r w:rsidR="00997149">
        <w:rPr>
          <w:lang w:val="fr-CA"/>
        </w:rPr>
        <w:t>m</w:t>
      </w:r>
      <w:r w:rsidRPr="00421A41">
        <w:rPr>
          <w:lang w:val="fr-CA"/>
        </w:rPr>
        <w:t xml:space="preserve">inistre </w:t>
      </w:r>
      <w:r w:rsidRPr="0080058A">
        <w:rPr>
          <w:lang w:val="fr-CA"/>
        </w:rPr>
        <w:t xml:space="preserve">s’est dit </w:t>
      </w:r>
      <w:r>
        <w:rPr>
          <w:lang w:val="fr-CA"/>
        </w:rPr>
        <w:t xml:space="preserve">convaincu, sur la foi des </w:t>
      </w:r>
      <w:r w:rsidRPr="0080058A">
        <w:rPr>
          <w:lang w:val="fr-CA"/>
        </w:rPr>
        <w:t>assurances qu’il avait reçues de l’</w:t>
      </w:r>
      <w:r>
        <w:rPr>
          <w:lang w:val="fr-CA"/>
        </w:rPr>
        <w:t xml:space="preserve">Inde à propos du traitement qui serait réservé à B et à S, que ces derniers ne seraient pas exposés à un risque sérieux </w:t>
      </w:r>
      <w:r w:rsidRPr="0080058A">
        <w:rPr>
          <w:lang w:val="fr-CA"/>
        </w:rPr>
        <w:t xml:space="preserve">de </w:t>
      </w:r>
      <w:r>
        <w:rPr>
          <w:lang w:val="fr-CA"/>
        </w:rPr>
        <w:t xml:space="preserve">torture ou de </w:t>
      </w:r>
      <w:r w:rsidRPr="0080058A">
        <w:rPr>
          <w:lang w:val="fr-CA"/>
        </w:rPr>
        <w:t>mauvais traitements</w:t>
      </w:r>
      <w:r w:rsidRPr="00421A41">
        <w:rPr>
          <w:lang w:val="fr-CA"/>
        </w:rPr>
        <w:t xml:space="preserve">. Le </w:t>
      </w:r>
      <w:r w:rsidR="00997149">
        <w:rPr>
          <w:lang w:val="fr-CA"/>
        </w:rPr>
        <w:t>m</w:t>
      </w:r>
      <w:r w:rsidRPr="00421A41">
        <w:rPr>
          <w:lang w:val="fr-CA"/>
        </w:rPr>
        <w:t xml:space="preserve">inistre a tenu compte des </w:t>
      </w:r>
      <w:r w:rsidRPr="0080058A">
        <w:rPr>
          <w:lang w:val="fr-CA"/>
        </w:rPr>
        <w:t>facteurs pertinents pour déterminer la fiabilité des assurances données</w:t>
      </w:r>
      <w:r w:rsidRPr="00421A41">
        <w:rPr>
          <w:lang w:val="fr-CA"/>
        </w:rPr>
        <w:t xml:space="preserve">, </w:t>
      </w:r>
      <w:r>
        <w:rPr>
          <w:lang w:val="fr-CA"/>
        </w:rPr>
        <w:t xml:space="preserve">facteurs qui </w:t>
      </w:r>
      <w:r w:rsidR="00EC1349">
        <w:rPr>
          <w:lang w:val="fr-CA"/>
        </w:rPr>
        <w:t xml:space="preserve">lui </w:t>
      </w:r>
      <w:r w:rsidRPr="0080058A">
        <w:rPr>
          <w:lang w:val="fr-CA"/>
        </w:rPr>
        <w:t xml:space="preserve">permettaient </w:t>
      </w:r>
      <w:r>
        <w:rPr>
          <w:lang w:val="fr-CA"/>
        </w:rPr>
        <w:t xml:space="preserve">raisonnablement </w:t>
      </w:r>
      <w:r w:rsidRPr="0080058A">
        <w:rPr>
          <w:lang w:val="fr-CA"/>
        </w:rPr>
        <w:t xml:space="preserve">de conclure que l’extradition </w:t>
      </w:r>
      <w:r>
        <w:rPr>
          <w:lang w:val="fr-CA"/>
        </w:rPr>
        <w:t xml:space="preserve">de </w:t>
      </w:r>
      <w:r w:rsidRPr="0080058A">
        <w:rPr>
          <w:lang w:val="fr-CA"/>
        </w:rPr>
        <w:t>B</w:t>
      </w:r>
      <w:r>
        <w:rPr>
          <w:lang w:val="fr-CA"/>
        </w:rPr>
        <w:t xml:space="preserve"> et de S </w:t>
      </w:r>
      <w:r w:rsidRPr="0080058A">
        <w:rPr>
          <w:lang w:val="fr-CA"/>
        </w:rPr>
        <w:t>ne violerait pas les principes de justice fondamentale</w:t>
      </w:r>
      <w:r w:rsidRPr="00421A41">
        <w:rPr>
          <w:lang w:val="fr-CA"/>
        </w:rPr>
        <w:t xml:space="preserve">. </w:t>
      </w:r>
      <w:r w:rsidRPr="0080058A">
        <w:rPr>
          <w:lang w:val="fr-CA"/>
        </w:rPr>
        <w:t>La question que l</w:t>
      </w:r>
      <w:r>
        <w:rPr>
          <w:lang w:val="fr-CA"/>
        </w:rPr>
        <w:t xml:space="preserve">e tribunal de révision </w:t>
      </w:r>
      <w:r w:rsidRPr="0080058A">
        <w:rPr>
          <w:lang w:val="fr-CA"/>
        </w:rPr>
        <w:t>est appelé à se poser n’est pas de savoir s’il n’y a aucune possibilité de torture ou de mauvais traitements</w:t>
      </w:r>
      <w:r>
        <w:rPr>
          <w:lang w:val="fr-CA"/>
        </w:rPr>
        <w:t xml:space="preserve">, mais bien s’il était raisonnable pour le </w:t>
      </w:r>
      <w:r w:rsidR="00997149">
        <w:rPr>
          <w:lang w:val="fr-CA"/>
        </w:rPr>
        <w:t>m</w:t>
      </w:r>
      <w:r>
        <w:rPr>
          <w:lang w:val="fr-CA"/>
        </w:rPr>
        <w:t xml:space="preserve">inistre de conclure qu’il n’y avait aucun </w:t>
      </w:r>
      <w:r w:rsidRPr="0080058A">
        <w:rPr>
          <w:lang w:val="fr-CA"/>
        </w:rPr>
        <w:t xml:space="preserve">risque </w:t>
      </w:r>
      <w:r>
        <w:rPr>
          <w:lang w:val="fr-CA"/>
        </w:rPr>
        <w:t xml:space="preserve">sérieux </w:t>
      </w:r>
      <w:r w:rsidRPr="0080058A">
        <w:rPr>
          <w:lang w:val="fr-CA"/>
        </w:rPr>
        <w:t>de torture ou de mauvais traitements</w:t>
      </w:r>
      <w:r w:rsidRPr="00847004">
        <w:rPr>
          <w:lang w:val="fr-CA"/>
        </w:rPr>
        <w:t xml:space="preserve">. </w:t>
      </w:r>
      <w:r w:rsidRPr="007010E3">
        <w:rPr>
          <w:lang w:val="fr-CA"/>
        </w:rPr>
        <w:t xml:space="preserve">Vu les circonstances, la décision du </w:t>
      </w:r>
      <w:r w:rsidR="00997149">
        <w:rPr>
          <w:lang w:val="fr-CA"/>
        </w:rPr>
        <w:t>m</w:t>
      </w:r>
      <w:r w:rsidRPr="0080058A">
        <w:rPr>
          <w:lang w:val="fr-CA"/>
        </w:rPr>
        <w:t>inistre d’ordonner l’extradition de B</w:t>
      </w:r>
      <w:r>
        <w:rPr>
          <w:lang w:val="fr-CA"/>
        </w:rPr>
        <w:t xml:space="preserve"> et de S se situait dans le cadre des </w:t>
      </w:r>
      <w:r w:rsidRPr="0080058A">
        <w:rPr>
          <w:lang w:val="fr-CA"/>
        </w:rPr>
        <w:t>solutions raisonnables possibles</w:t>
      </w:r>
      <w:r w:rsidRPr="007010E3">
        <w:rPr>
          <w:lang w:val="fr-CA"/>
        </w:rPr>
        <w:t>.</w:t>
      </w:r>
    </w:p>
    <w:p w:rsidR="004D7D95" w:rsidRPr="004D7D95" w:rsidRDefault="004D7D95" w:rsidP="002B69A7">
      <w:pPr>
        <w:pStyle w:val="SCCNormalDoubleSpacing"/>
        <w:widowControl w:val="0"/>
        <w:spacing w:before="480" w:after="480"/>
        <w:rPr>
          <w:b/>
          <w:lang w:val="fr-CA"/>
        </w:rPr>
      </w:pPr>
      <w:r w:rsidRPr="004D7D95">
        <w:rPr>
          <w:b/>
          <w:lang w:val="fr-CA"/>
        </w:rPr>
        <w:t>Jurisprudence</w:t>
      </w:r>
    </w:p>
    <w:p w:rsidR="004D7D95" w:rsidRPr="0085725E" w:rsidRDefault="004D7D95" w:rsidP="002B69A7">
      <w:pPr>
        <w:pStyle w:val="SCCNormalDoubleSpacing"/>
        <w:widowControl w:val="0"/>
        <w:spacing w:before="480" w:after="480"/>
        <w:rPr>
          <w:b/>
          <w:lang w:val="fr-CA"/>
        </w:rPr>
      </w:pPr>
      <w:r w:rsidRPr="004D7D95">
        <w:rPr>
          <w:lang w:val="fr-CA"/>
        </w:rPr>
        <w:tab/>
      </w:r>
      <w:r w:rsidRPr="004D7D95">
        <w:rPr>
          <w:b/>
          <w:lang w:val="fr-CA"/>
        </w:rPr>
        <w:t>Arrêt</w:t>
      </w:r>
      <w:r w:rsidR="00874391">
        <w:rPr>
          <w:b/>
          <w:lang w:val="fr-CA"/>
        </w:rPr>
        <w:t xml:space="preserve"> adopt</w:t>
      </w:r>
      <w:r w:rsidR="00670BF7">
        <w:rPr>
          <w:b/>
          <w:lang w:val="fr-CA"/>
        </w:rPr>
        <w:t>é</w:t>
      </w:r>
      <w:r w:rsidR="005531D8">
        <w:rPr>
          <w:b/>
          <w:lang w:val="fr-CA"/>
        </w:rPr>
        <w:t> :</w:t>
      </w:r>
      <w:r w:rsidR="00670BF7">
        <w:rPr>
          <w:b/>
          <w:lang w:val="fr-CA"/>
        </w:rPr>
        <w:t xml:space="preserve"> </w:t>
      </w:r>
      <w:r w:rsidR="00670BF7">
        <w:rPr>
          <w:i/>
          <w:lang w:val="fr-CA"/>
        </w:rPr>
        <w:t>Othman (Abu Qatada) c</w:t>
      </w:r>
      <w:r w:rsidR="00670BF7" w:rsidRPr="00E21432">
        <w:rPr>
          <w:i/>
          <w:lang w:val="fr-CA"/>
        </w:rPr>
        <w:t xml:space="preserve">. </w:t>
      </w:r>
      <w:r w:rsidR="00670BF7">
        <w:rPr>
          <w:i/>
          <w:lang w:val="fr-CA"/>
        </w:rPr>
        <w:t>Royaume</w:t>
      </w:r>
      <w:r w:rsidR="005531D8">
        <w:rPr>
          <w:i/>
          <w:lang w:val="fr-CA"/>
        </w:rPr>
        <w:noBreakHyphen/>
      </w:r>
      <w:r w:rsidR="00670BF7">
        <w:rPr>
          <w:i/>
          <w:lang w:val="fr-CA"/>
        </w:rPr>
        <w:t>Uni</w:t>
      </w:r>
      <w:r w:rsidR="00670BF7" w:rsidRPr="00D67A06">
        <w:rPr>
          <w:lang w:val="fr-CA"/>
        </w:rPr>
        <w:t>, n</w:t>
      </w:r>
      <w:r w:rsidR="00670BF7" w:rsidRPr="00D67A06">
        <w:rPr>
          <w:vertAlign w:val="superscript"/>
          <w:lang w:val="fr-CA"/>
        </w:rPr>
        <w:t>o</w:t>
      </w:r>
      <w:r w:rsidR="00670BF7" w:rsidRPr="00D67A06">
        <w:rPr>
          <w:lang w:val="fr-CA"/>
        </w:rPr>
        <w:t xml:space="preserve"> 8139/09, </w:t>
      </w:r>
      <w:r w:rsidR="00670BF7" w:rsidRPr="00D67A06">
        <w:rPr>
          <w:sz w:val="23"/>
          <w:szCs w:val="23"/>
          <w:lang w:val="fr-CA"/>
        </w:rPr>
        <w:t xml:space="preserve">CEDH </w:t>
      </w:r>
      <w:r w:rsidR="00670BF7" w:rsidRPr="00D67A06">
        <w:rPr>
          <w:sz w:val="23"/>
          <w:szCs w:val="23"/>
          <w:lang w:val="fr-CA"/>
        </w:rPr>
        <w:lastRenderedPageBreak/>
        <w:t>2012</w:t>
      </w:r>
      <w:r w:rsidR="005531D8">
        <w:rPr>
          <w:sz w:val="23"/>
          <w:szCs w:val="23"/>
          <w:lang w:val="fr-CA"/>
        </w:rPr>
        <w:noBreakHyphen/>
      </w:r>
      <w:r w:rsidR="00670BF7" w:rsidRPr="00D67A06">
        <w:rPr>
          <w:sz w:val="23"/>
          <w:szCs w:val="23"/>
          <w:lang w:val="fr-CA"/>
        </w:rPr>
        <w:t>I</w:t>
      </w:r>
      <w:r w:rsidR="00670BF7">
        <w:rPr>
          <w:sz w:val="23"/>
          <w:szCs w:val="23"/>
          <w:lang w:val="fr-CA"/>
        </w:rPr>
        <w:t xml:space="preserve">; </w:t>
      </w:r>
      <w:r w:rsidR="00670BF7">
        <w:rPr>
          <w:b/>
          <w:lang w:val="fr-CA"/>
        </w:rPr>
        <w:t>arrêt examiné</w:t>
      </w:r>
      <w:r w:rsidR="005531D8">
        <w:rPr>
          <w:b/>
          <w:lang w:val="fr-CA"/>
        </w:rPr>
        <w:t> :</w:t>
      </w:r>
      <w:r w:rsidR="00670BF7">
        <w:rPr>
          <w:b/>
          <w:lang w:val="fr-CA"/>
        </w:rPr>
        <w:t xml:space="preserve"> </w:t>
      </w:r>
      <w:r w:rsidR="00670BF7" w:rsidRPr="003075F9">
        <w:rPr>
          <w:i/>
          <w:lang w:val="fr-CA"/>
        </w:rPr>
        <w:t xml:space="preserve">Suresh </w:t>
      </w:r>
      <w:r w:rsidR="00670BF7">
        <w:rPr>
          <w:i/>
          <w:lang w:val="fr-CA"/>
        </w:rPr>
        <w:t>c</w:t>
      </w:r>
      <w:r w:rsidR="00670BF7" w:rsidRPr="003075F9">
        <w:rPr>
          <w:i/>
          <w:lang w:val="fr-CA"/>
        </w:rPr>
        <w:t xml:space="preserve">. </w:t>
      </w:r>
      <w:r w:rsidR="00670BF7">
        <w:rPr>
          <w:i/>
          <w:lang w:val="fr-CA"/>
        </w:rPr>
        <w:t>Canada (Ministre de la Citoyenneté et de l’Immigration</w:t>
      </w:r>
      <w:r w:rsidR="00670BF7" w:rsidRPr="003075F9">
        <w:rPr>
          <w:i/>
          <w:lang w:val="fr-CA"/>
        </w:rPr>
        <w:t>)</w:t>
      </w:r>
      <w:r w:rsidR="00670BF7" w:rsidRPr="003075F9">
        <w:rPr>
          <w:lang w:val="fr-CA"/>
        </w:rPr>
        <w:t xml:space="preserve">, 2002 </w:t>
      </w:r>
      <w:r w:rsidR="00670BF7">
        <w:rPr>
          <w:lang w:val="fr-CA"/>
        </w:rPr>
        <w:t>C</w:t>
      </w:r>
      <w:r w:rsidR="00670BF7" w:rsidRPr="003075F9">
        <w:rPr>
          <w:lang w:val="fr-CA"/>
        </w:rPr>
        <w:t xml:space="preserve">SC 1, [2002] 1 </w:t>
      </w:r>
      <w:r w:rsidR="00670BF7">
        <w:rPr>
          <w:lang w:val="fr-CA"/>
        </w:rPr>
        <w:t>R</w:t>
      </w:r>
      <w:r w:rsidR="00670BF7" w:rsidRPr="003075F9">
        <w:rPr>
          <w:lang w:val="fr-CA"/>
        </w:rPr>
        <w:t>.C.</w:t>
      </w:r>
      <w:r w:rsidR="00670BF7">
        <w:rPr>
          <w:lang w:val="fr-CA"/>
        </w:rPr>
        <w:t>S</w:t>
      </w:r>
      <w:r w:rsidR="00670BF7" w:rsidRPr="003075F9">
        <w:rPr>
          <w:lang w:val="fr-CA"/>
        </w:rPr>
        <w:t>. 3</w:t>
      </w:r>
      <w:r w:rsidR="00670BF7">
        <w:rPr>
          <w:lang w:val="fr-CA"/>
        </w:rPr>
        <w:t xml:space="preserve">; </w:t>
      </w:r>
      <w:r w:rsidR="00670BF7">
        <w:rPr>
          <w:b/>
          <w:lang w:val="fr-CA"/>
        </w:rPr>
        <w:t>arrêts</w:t>
      </w:r>
      <w:r w:rsidRPr="004D7D95">
        <w:rPr>
          <w:b/>
          <w:lang w:val="fr-CA"/>
        </w:rPr>
        <w:t xml:space="preserve"> mentionnés</w:t>
      </w:r>
      <w:r w:rsidR="005531D8">
        <w:rPr>
          <w:b/>
          <w:lang w:val="fr-CA"/>
        </w:rPr>
        <w:t> :</w:t>
      </w:r>
      <w:r w:rsidRPr="004D7D95">
        <w:rPr>
          <w:lang w:val="fr-CA"/>
        </w:rPr>
        <w:t xml:space="preserve"> </w:t>
      </w:r>
      <w:r w:rsidR="000B0ABF">
        <w:rPr>
          <w:i/>
          <w:lang w:val="fr-CA"/>
        </w:rPr>
        <w:t>Lake c</w:t>
      </w:r>
      <w:r w:rsidR="000B0ABF" w:rsidRPr="000B0ABF">
        <w:rPr>
          <w:i/>
          <w:lang w:val="fr-CA"/>
        </w:rPr>
        <w:t>. Canada (</w:t>
      </w:r>
      <w:r w:rsidR="000B0ABF">
        <w:rPr>
          <w:i/>
          <w:lang w:val="fr-CA"/>
        </w:rPr>
        <w:t>Ministre de la Justice</w:t>
      </w:r>
      <w:r w:rsidR="000B0ABF" w:rsidRPr="000B0ABF">
        <w:rPr>
          <w:i/>
          <w:lang w:val="fr-CA"/>
        </w:rPr>
        <w:t>)</w:t>
      </w:r>
      <w:r w:rsidR="000B0ABF" w:rsidRPr="000B0ABF">
        <w:rPr>
          <w:lang w:val="fr-CA"/>
        </w:rPr>
        <w:t xml:space="preserve">, 2008 </w:t>
      </w:r>
      <w:r w:rsidR="000B0ABF">
        <w:rPr>
          <w:lang w:val="fr-CA"/>
        </w:rPr>
        <w:t>C</w:t>
      </w:r>
      <w:r w:rsidR="000B0ABF" w:rsidRPr="000B0ABF">
        <w:rPr>
          <w:lang w:val="fr-CA"/>
        </w:rPr>
        <w:t xml:space="preserve">SC 23, [2008] 1 </w:t>
      </w:r>
      <w:r w:rsidR="000B0ABF">
        <w:rPr>
          <w:lang w:val="fr-CA"/>
        </w:rPr>
        <w:t>R</w:t>
      </w:r>
      <w:r w:rsidR="000B0ABF" w:rsidRPr="000B0ABF">
        <w:rPr>
          <w:lang w:val="fr-CA"/>
        </w:rPr>
        <w:t>.C.</w:t>
      </w:r>
      <w:r w:rsidR="000B0ABF">
        <w:rPr>
          <w:lang w:val="fr-CA"/>
        </w:rPr>
        <w:t>S</w:t>
      </w:r>
      <w:r w:rsidR="000B0ABF" w:rsidRPr="000B0ABF">
        <w:rPr>
          <w:lang w:val="fr-CA"/>
        </w:rPr>
        <w:t>. 761</w:t>
      </w:r>
      <w:r w:rsidR="000B0ABF">
        <w:rPr>
          <w:lang w:val="fr-CA"/>
        </w:rPr>
        <w:t xml:space="preserve">; </w:t>
      </w:r>
      <w:r w:rsidR="00097C1C">
        <w:rPr>
          <w:i/>
          <w:lang w:val="fr-CA"/>
        </w:rPr>
        <w:t>Canada (Justice) c</w:t>
      </w:r>
      <w:r w:rsidR="00097C1C" w:rsidRPr="00097C1C">
        <w:rPr>
          <w:i/>
          <w:lang w:val="fr-CA"/>
        </w:rPr>
        <w:t>. Fischbacher</w:t>
      </w:r>
      <w:r w:rsidR="00097C1C" w:rsidRPr="00097C1C">
        <w:rPr>
          <w:lang w:val="fr-CA"/>
        </w:rPr>
        <w:t xml:space="preserve">, 2009 </w:t>
      </w:r>
      <w:r w:rsidR="00097C1C">
        <w:rPr>
          <w:lang w:val="fr-CA"/>
        </w:rPr>
        <w:t>C</w:t>
      </w:r>
      <w:r w:rsidR="00097C1C" w:rsidRPr="00097C1C">
        <w:rPr>
          <w:lang w:val="fr-CA"/>
        </w:rPr>
        <w:t xml:space="preserve">SC 46, [2009] 3 </w:t>
      </w:r>
      <w:r w:rsidR="00097C1C">
        <w:rPr>
          <w:lang w:val="fr-CA"/>
        </w:rPr>
        <w:t>R</w:t>
      </w:r>
      <w:r w:rsidR="00097C1C" w:rsidRPr="00097C1C">
        <w:rPr>
          <w:lang w:val="fr-CA"/>
        </w:rPr>
        <w:t>.C.</w:t>
      </w:r>
      <w:r w:rsidR="00097C1C">
        <w:rPr>
          <w:lang w:val="fr-CA"/>
        </w:rPr>
        <w:t>S</w:t>
      </w:r>
      <w:r w:rsidR="00097C1C" w:rsidRPr="00097C1C">
        <w:rPr>
          <w:lang w:val="fr-CA"/>
        </w:rPr>
        <w:t>. 170</w:t>
      </w:r>
      <w:r w:rsidR="00097C1C">
        <w:rPr>
          <w:lang w:val="fr-CA"/>
        </w:rPr>
        <w:t xml:space="preserve">; </w:t>
      </w:r>
      <w:r w:rsidR="006C3903">
        <w:rPr>
          <w:i/>
          <w:lang w:val="fr-CA"/>
        </w:rPr>
        <w:t>États</w:t>
      </w:r>
      <w:r w:rsidR="005531D8">
        <w:rPr>
          <w:i/>
          <w:lang w:val="fr-CA"/>
        </w:rPr>
        <w:noBreakHyphen/>
      </w:r>
      <w:r w:rsidR="006C3903">
        <w:rPr>
          <w:i/>
          <w:lang w:val="fr-CA"/>
        </w:rPr>
        <w:t>Unis</w:t>
      </w:r>
      <w:r w:rsidR="006C3903" w:rsidRPr="006C3903">
        <w:rPr>
          <w:i/>
          <w:lang w:val="fr-CA"/>
        </w:rPr>
        <w:t xml:space="preserve"> </w:t>
      </w:r>
      <w:r w:rsidR="006C3903">
        <w:rPr>
          <w:i/>
          <w:lang w:val="fr-CA"/>
        </w:rPr>
        <w:t>c</w:t>
      </w:r>
      <w:r w:rsidR="006C3903" w:rsidRPr="006C3903">
        <w:rPr>
          <w:i/>
          <w:lang w:val="fr-CA"/>
        </w:rPr>
        <w:t>. Burns</w:t>
      </w:r>
      <w:r w:rsidR="006C3903" w:rsidRPr="006C3903">
        <w:rPr>
          <w:lang w:val="fr-CA"/>
        </w:rPr>
        <w:t xml:space="preserve">, 2001 </w:t>
      </w:r>
      <w:r w:rsidR="006C3903">
        <w:rPr>
          <w:lang w:val="fr-CA"/>
        </w:rPr>
        <w:t>C</w:t>
      </w:r>
      <w:r w:rsidR="006C3903" w:rsidRPr="006C3903">
        <w:rPr>
          <w:lang w:val="fr-CA"/>
        </w:rPr>
        <w:t xml:space="preserve">SC 7, [2001] 1 </w:t>
      </w:r>
      <w:r w:rsidR="006C3903">
        <w:rPr>
          <w:lang w:val="fr-CA"/>
        </w:rPr>
        <w:t>R</w:t>
      </w:r>
      <w:r w:rsidR="006C3903" w:rsidRPr="006C3903">
        <w:rPr>
          <w:lang w:val="fr-CA"/>
        </w:rPr>
        <w:t>.C.</w:t>
      </w:r>
      <w:r w:rsidR="006C3903">
        <w:rPr>
          <w:lang w:val="fr-CA"/>
        </w:rPr>
        <w:t>S</w:t>
      </w:r>
      <w:r w:rsidR="006C3903" w:rsidRPr="006C3903">
        <w:rPr>
          <w:lang w:val="fr-CA"/>
        </w:rPr>
        <w:t>. 283</w:t>
      </w:r>
      <w:r w:rsidR="001853BA">
        <w:rPr>
          <w:lang w:val="fr-CA"/>
        </w:rPr>
        <w:t xml:space="preserve">; </w:t>
      </w:r>
      <w:r w:rsidR="000C4EFB" w:rsidRPr="000C4EFB">
        <w:rPr>
          <w:i/>
          <w:lang w:val="fr-CA"/>
        </w:rPr>
        <w:t>M.M. c. États</w:t>
      </w:r>
      <w:r w:rsidR="005531D8">
        <w:rPr>
          <w:i/>
          <w:lang w:val="fr-CA"/>
        </w:rPr>
        <w:noBreakHyphen/>
      </w:r>
      <w:r w:rsidR="000C4EFB" w:rsidRPr="000C4EFB">
        <w:rPr>
          <w:i/>
          <w:lang w:val="fr-CA"/>
        </w:rPr>
        <w:t>Unis d’Amérique</w:t>
      </w:r>
      <w:r w:rsidR="000C4EFB">
        <w:rPr>
          <w:lang w:val="fr-CA"/>
        </w:rPr>
        <w:t xml:space="preserve">, 2015 CSC 62, </w:t>
      </w:r>
      <w:r w:rsidR="000C4EFB" w:rsidRPr="000C4EFB">
        <w:rPr>
          <w:lang w:val="fr-CA"/>
        </w:rPr>
        <w:t>[</w:t>
      </w:r>
      <w:r w:rsidR="000C4EFB">
        <w:rPr>
          <w:lang w:val="fr-CA"/>
        </w:rPr>
        <w:t xml:space="preserve">2015] 3 R.C.S. 973; </w:t>
      </w:r>
      <w:r w:rsidR="002C5575" w:rsidRPr="002C5575">
        <w:rPr>
          <w:i/>
          <w:lang w:val="fr-CA"/>
        </w:rPr>
        <w:t xml:space="preserve">Kindler </w:t>
      </w:r>
      <w:r w:rsidR="002C5575">
        <w:rPr>
          <w:i/>
          <w:lang w:val="fr-CA"/>
        </w:rPr>
        <w:t>c</w:t>
      </w:r>
      <w:r w:rsidR="002C5575" w:rsidRPr="002C5575">
        <w:rPr>
          <w:i/>
          <w:lang w:val="fr-CA"/>
        </w:rPr>
        <w:t>. Canada (Ministre de la Justice)</w:t>
      </w:r>
      <w:r w:rsidR="002C5575" w:rsidRPr="002C5575">
        <w:rPr>
          <w:lang w:val="fr-CA"/>
        </w:rPr>
        <w:t xml:space="preserve">, [1991] 2 </w:t>
      </w:r>
      <w:r w:rsidR="002C5575">
        <w:rPr>
          <w:lang w:val="fr-CA"/>
        </w:rPr>
        <w:t>R</w:t>
      </w:r>
      <w:r w:rsidR="002C5575" w:rsidRPr="002C5575">
        <w:rPr>
          <w:lang w:val="fr-CA"/>
        </w:rPr>
        <w:t>.C.</w:t>
      </w:r>
      <w:r w:rsidR="002C5575">
        <w:rPr>
          <w:lang w:val="fr-CA"/>
        </w:rPr>
        <w:t>S</w:t>
      </w:r>
      <w:r w:rsidR="002C5575" w:rsidRPr="002C5575">
        <w:rPr>
          <w:lang w:val="fr-CA"/>
        </w:rPr>
        <w:t>. 779</w:t>
      </w:r>
      <w:r w:rsidR="002C5575">
        <w:rPr>
          <w:lang w:val="fr-CA"/>
        </w:rPr>
        <w:t xml:space="preserve">; </w:t>
      </w:r>
      <w:r w:rsidR="007D006F" w:rsidRPr="007D006F">
        <w:rPr>
          <w:i/>
          <w:lang w:val="fr-CA"/>
        </w:rPr>
        <w:t xml:space="preserve">Sriskandarajah </w:t>
      </w:r>
      <w:r w:rsidR="007D006F">
        <w:rPr>
          <w:i/>
          <w:lang w:val="fr-CA"/>
        </w:rPr>
        <w:t>c</w:t>
      </w:r>
      <w:r w:rsidR="007D006F" w:rsidRPr="007D006F">
        <w:rPr>
          <w:i/>
          <w:lang w:val="fr-CA"/>
        </w:rPr>
        <w:t>.</w:t>
      </w:r>
      <w:r w:rsidR="007D006F">
        <w:rPr>
          <w:i/>
          <w:lang w:val="fr-CA"/>
        </w:rPr>
        <w:t xml:space="preserve"> États</w:t>
      </w:r>
      <w:r w:rsidR="005531D8">
        <w:rPr>
          <w:i/>
          <w:lang w:val="fr-CA"/>
        </w:rPr>
        <w:noBreakHyphen/>
      </w:r>
      <w:r w:rsidR="007D006F">
        <w:rPr>
          <w:i/>
          <w:lang w:val="fr-CA"/>
        </w:rPr>
        <w:t>Unis d’Amérique</w:t>
      </w:r>
      <w:r w:rsidR="007D006F">
        <w:rPr>
          <w:lang w:val="fr-CA"/>
        </w:rPr>
        <w:t xml:space="preserve">, </w:t>
      </w:r>
      <w:r w:rsidR="007D006F" w:rsidRPr="007D006F">
        <w:rPr>
          <w:lang w:val="fr-CA"/>
        </w:rPr>
        <w:t xml:space="preserve">2012 </w:t>
      </w:r>
      <w:r w:rsidR="007D006F">
        <w:rPr>
          <w:lang w:val="fr-CA"/>
        </w:rPr>
        <w:t>CS</w:t>
      </w:r>
      <w:r w:rsidR="007D006F" w:rsidRPr="007D006F">
        <w:rPr>
          <w:lang w:val="fr-CA"/>
        </w:rPr>
        <w:t xml:space="preserve">C 70, [2012] 3 </w:t>
      </w:r>
      <w:r w:rsidR="007D006F">
        <w:rPr>
          <w:lang w:val="fr-CA"/>
        </w:rPr>
        <w:t>R</w:t>
      </w:r>
      <w:r w:rsidR="007D006F" w:rsidRPr="007D006F">
        <w:rPr>
          <w:lang w:val="fr-CA"/>
        </w:rPr>
        <w:t>.C.</w:t>
      </w:r>
      <w:r w:rsidR="007D006F">
        <w:rPr>
          <w:lang w:val="fr-CA"/>
        </w:rPr>
        <w:t>S</w:t>
      </w:r>
      <w:r w:rsidR="007D006F" w:rsidRPr="007D006F">
        <w:rPr>
          <w:lang w:val="fr-CA"/>
        </w:rPr>
        <w:t>. 609</w:t>
      </w:r>
      <w:r w:rsidR="007D006F">
        <w:rPr>
          <w:lang w:val="fr-CA"/>
        </w:rPr>
        <w:t xml:space="preserve">; </w:t>
      </w:r>
      <w:r w:rsidR="00D569FA">
        <w:rPr>
          <w:i/>
          <w:lang w:val="fr-CA"/>
        </w:rPr>
        <w:t>Divito c</w:t>
      </w:r>
      <w:r w:rsidR="00D569FA" w:rsidRPr="00D569FA">
        <w:rPr>
          <w:i/>
          <w:lang w:val="fr-CA"/>
        </w:rPr>
        <w:t xml:space="preserve">. Canada </w:t>
      </w:r>
      <w:r w:rsidR="00D569FA" w:rsidRPr="00B365D4">
        <w:rPr>
          <w:i/>
          <w:lang w:val="fr-CA"/>
        </w:rPr>
        <w:t>(</w:t>
      </w:r>
      <w:r w:rsidR="00D569FA">
        <w:rPr>
          <w:i/>
          <w:lang w:val="fr-CA"/>
        </w:rPr>
        <w:t>Sécurité publique et Protection civile</w:t>
      </w:r>
      <w:r w:rsidR="00D569FA" w:rsidRPr="00B365D4">
        <w:rPr>
          <w:i/>
          <w:lang w:val="fr-CA"/>
        </w:rPr>
        <w:t>)</w:t>
      </w:r>
      <w:r w:rsidR="00D569FA" w:rsidRPr="00D569FA">
        <w:rPr>
          <w:lang w:val="fr-CA"/>
        </w:rPr>
        <w:t xml:space="preserve">, 2013 </w:t>
      </w:r>
      <w:r w:rsidR="00FE1FBE">
        <w:rPr>
          <w:lang w:val="fr-CA"/>
        </w:rPr>
        <w:t>CSC</w:t>
      </w:r>
      <w:r w:rsidR="00D569FA" w:rsidRPr="00D569FA">
        <w:rPr>
          <w:lang w:val="fr-CA"/>
        </w:rPr>
        <w:t xml:space="preserve"> 47, [2013] 3 </w:t>
      </w:r>
      <w:r w:rsidR="00FE1FBE">
        <w:rPr>
          <w:lang w:val="fr-CA"/>
        </w:rPr>
        <w:t>R</w:t>
      </w:r>
      <w:r w:rsidR="00D569FA" w:rsidRPr="00D569FA">
        <w:rPr>
          <w:lang w:val="fr-CA"/>
        </w:rPr>
        <w:t>.C.</w:t>
      </w:r>
      <w:r w:rsidR="00FE1FBE">
        <w:rPr>
          <w:lang w:val="fr-CA"/>
        </w:rPr>
        <w:t>S</w:t>
      </w:r>
      <w:r w:rsidR="00D569FA" w:rsidRPr="00D569FA">
        <w:rPr>
          <w:lang w:val="fr-CA"/>
        </w:rPr>
        <w:t>. 157</w:t>
      </w:r>
      <w:r w:rsidR="00D569FA">
        <w:rPr>
          <w:lang w:val="fr-CA"/>
        </w:rPr>
        <w:t xml:space="preserve">; </w:t>
      </w:r>
      <w:r w:rsidR="002C5575" w:rsidRPr="002C5575">
        <w:rPr>
          <w:i/>
          <w:lang w:val="fr-CA"/>
        </w:rPr>
        <w:t xml:space="preserve">Idziak </w:t>
      </w:r>
      <w:r w:rsidR="002C5575">
        <w:rPr>
          <w:i/>
          <w:lang w:val="fr-CA"/>
        </w:rPr>
        <w:t>c</w:t>
      </w:r>
      <w:r w:rsidR="002C5575" w:rsidRPr="002C5575">
        <w:rPr>
          <w:i/>
          <w:lang w:val="fr-CA"/>
        </w:rPr>
        <w:t xml:space="preserve">. </w:t>
      </w:r>
      <w:r w:rsidR="002C5575">
        <w:rPr>
          <w:i/>
          <w:lang w:val="fr-CA"/>
        </w:rPr>
        <w:t>Canada (Ministre de la Justice)</w:t>
      </w:r>
      <w:r w:rsidR="002C5575" w:rsidRPr="002C5575">
        <w:rPr>
          <w:lang w:val="fr-CA"/>
        </w:rPr>
        <w:t xml:space="preserve">, [1992] 3 </w:t>
      </w:r>
      <w:r w:rsidR="002C5575">
        <w:rPr>
          <w:lang w:val="fr-CA"/>
        </w:rPr>
        <w:t>R</w:t>
      </w:r>
      <w:r w:rsidR="002C5575" w:rsidRPr="002C5575">
        <w:rPr>
          <w:lang w:val="fr-CA"/>
        </w:rPr>
        <w:t>.C.</w:t>
      </w:r>
      <w:r w:rsidR="002C5575">
        <w:rPr>
          <w:lang w:val="fr-CA"/>
        </w:rPr>
        <w:t>S</w:t>
      </w:r>
      <w:r w:rsidR="002C5575" w:rsidRPr="002C5575">
        <w:rPr>
          <w:lang w:val="fr-CA"/>
        </w:rPr>
        <w:t>. 631</w:t>
      </w:r>
      <w:r w:rsidR="002C5575">
        <w:rPr>
          <w:lang w:val="fr-CA"/>
        </w:rPr>
        <w:t xml:space="preserve">; </w:t>
      </w:r>
      <w:r w:rsidR="00FE1FBE">
        <w:rPr>
          <w:i/>
          <w:lang w:val="fr-CA"/>
        </w:rPr>
        <w:t>Németh c</w:t>
      </w:r>
      <w:r w:rsidR="00FE1FBE" w:rsidRPr="00FE1FBE">
        <w:rPr>
          <w:i/>
          <w:lang w:val="fr-CA"/>
        </w:rPr>
        <w:t>. Canada (Justice)</w:t>
      </w:r>
      <w:r w:rsidR="00FE1FBE" w:rsidRPr="00FE1FBE">
        <w:rPr>
          <w:lang w:val="fr-CA"/>
        </w:rPr>
        <w:t xml:space="preserve">, 2010 </w:t>
      </w:r>
      <w:r w:rsidR="00FE1FBE">
        <w:rPr>
          <w:lang w:val="fr-CA"/>
        </w:rPr>
        <w:t>C</w:t>
      </w:r>
      <w:r w:rsidR="00FE1FBE" w:rsidRPr="00FE1FBE">
        <w:rPr>
          <w:lang w:val="fr-CA"/>
        </w:rPr>
        <w:t xml:space="preserve">SC 56, [2010] 3 </w:t>
      </w:r>
      <w:r w:rsidR="00FE1FBE">
        <w:rPr>
          <w:lang w:val="fr-CA"/>
        </w:rPr>
        <w:t>R</w:t>
      </w:r>
      <w:r w:rsidR="00FE1FBE" w:rsidRPr="00FE1FBE">
        <w:rPr>
          <w:lang w:val="fr-CA"/>
        </w:rPr>
        <w:t>.C.</w:t>
      </w:r>
      <w:r w:rsidR="00FE1FBE">
        <w:rPr>
          <w:lang w:val="fr-CA"/>
        </w:rPr>
        <w:t>S</w:t>
      </w:r>
      <w:r w:rsidR="00FE1FBE" w:rsidRPr="00FE1FBE">
        <w:rPr>
          <w:lang w:val="fr-CA"/>
        </w:rPr>
        <w:t>. 281</w:t>
      </w:r>
      <w:r w:rsidR="003075F9">
        <w:rPr>
          <w:lang w:val="fr-CA"/>
        </w:rPr>
        <w:t xml:space="preserve">; </w:t>
      </w:r>
      <w:r w:rsidR="00313169" w:rsidRPr="00313169">
        <w:rPr>
          <w:i/>
          <w:lang w:val="fr-CA"/>
        </w:rPr>
        <w:t>Chahal c. Royaume</w:t>
      </w:r>
      <w:r w:rsidR="005531D8">
        <w:rPr>
          <w:i/>
          <w:lang w:val="fr-CA"/>
        </w:rPr>
        <w:noBreakHyphen/>
      </w:r>
      <w:r w:rsidR="00313169" w:rsidRPr="00313169">
        <w:rPr>
          <w:i/>
          <w:lang w:val="fr-CA"/>
        </w:rPr>
        <w:t>Uni</w:t>
      </w:r>
      <w:r w:rsidR="00313169" w:rsidRPr="00313169">
        <w:rPr>
          <w:lang w:val="fr-CA"/>
        </w:rPr>
        <w:t>, n</w:t>
      </w:r>
      <w:r w:rsidR="00313169" w:rsidRPr="00313169">
        <w:rPr>
          <w:vertAlign w:val="superscript"/>
          <w:lang w:val="fr-CA"/>
        </w:rPr>
        <w:t xml:space="preserve">o </w:t>
      </w:r>
      <w:r w:rsidR="00313169" w:rsidRPr="00313169">
        <w:rPr>
          <w:lang w:val="fr-CA"/>
        </w:rPr>
        <w:t>22414/93, 15 novembre 1996 (HUDOC)</w:t>
      </w:r>
      <w:r w:rsidR="00492E59" w:rsidRPr="00492E59">
        <w:rPr>
          <w:lang w:val="fr-CA"/>
        </w:rPr>
        <w:t xml:space="preserve">; </w:t>
      </w:r>
      <w:r w:rsidR="00492E59">
        <w:rPr>
          <w:i/>
          <w:lang w:val="fr-CA"/>
        </w:rPr>
        <w:t>Said c</w:t>
      </w:r>
      <w:r w:rsidR="00492E59" w:rsidRPr="00492E59">
        <w:rPr>
          <w:i/>
          <w:lang w:val="fr-CA"/>
        </w:rPr>
        <w:t>.</w:t>
      </w:r>
      <w:r w:rsidR="00A961EF">
        <w:rPr>
          <w:i/>
          <w:lang w:val="fr-CA"/>
        </w:rPr>
        <w:t xml:space="preserve"> </w:t>
      </w:r>
      <w:r w:rsidR="00492E59">
        <w:rPr>
          <w:i/>
          <w:lang w:val="fr-CA"/>
        </w:rPr>
        <w:t>Pays</w:t>
      </w:r>
      <w:r w:rsidR="005531D8">
        <w:rPr>
          <w:i/>
          <w:lang w:val="fr-CA"/>
        </w:rPr>
        <w:noBreakHyphen/>
      </w:r>
      <w:r w:rsidR="00492E59">
        <w:rPr>
          <w:i/>
          <w:lang w:val="fr-CA"/>
        </w:rPr>
        <w:t>Bas</w:t>
      </w:r>
      <w:r w:rsidR="00492E59" w:rsidRPr="00492E59">
        <w:rPr>
          <w:lang w:val="fr-CA"/>
        </w:rPr>
        <w:t xml:space="preserve">, </w:t>
      </w:r>
      <w:r w:rsidR="00492E59" w:rsidRPr="0085725E">
        <w:rPr>
          <w:sz w:val="23"/>
          <w:szCs w:val="23"/>
          <w:lang w:val="fr-CA"/>
        </w:rPr>
        <w:t xml:space="preserve">5 juillet 2005, </w:t>
      </w:r>
      <w:r w:rsidR="00492E59" w:rsidRPr="0085725E">
        <w:rPr>
          <w:i/>
          <w:sz w:val="23"/>
          <w:szCs w:val="23"/>
          <w:lang w:val="fr-CA"/>
        </w:rPr>
        <w:t xml:space="preserve">Recueil </w:t>
      </w:r>
      <w:r w:rsidR="00492E59" w:rsidRPr="0085725E">
        <w:rPr>
          <w:sz w:val="23"/>
          <w:szCs w:val="23"/>
          <w:lang w:val="fr-CA"/>
        </w:rPr>
        <w:t>2005</w:t>
      </w:r>
      <w:r w:rsidR="005531D8">
        <w:rPr>
          <w:sz w:val="23"/>
          <w:szCs w:val="23"/>
          <w:lang w:val="fr-CA"/>
        </w:rPr>
        <w:noBreakHyphen/>
      </w:r>
      <w:r w:rsidR="00492E59" w:rsidRPr="0085725E">
        <w:rPr>
          <w:sz w:val="23"/>
          <w:szCs w:val="23"/>
          <w:lang w:val="fr-CA"/>
        </w:rPr>
        <w:t>VI</w:t>
      </w:r>
      <w:r w:rsidR="00492E59" w:rsidRPr="00492E59">
        <w:rPr>
          <w:sz w:val="23"/>
          <w:szCs w:val="23"/>
          <w:lang w:val="fr-CA"/>
        </w:rPr>
        <w:t xml:space="preserve">; </w:t>
      </w:r>
      <w:r w:rsidR="00055CC8" w:rsidRPr="00055CC8">
        <w:rPr>
          <w:i/>
          <w:lang w:val="fr-CA"/>
        </w:rPr>
        <w:t xml:space="preserve">Thailand (Kingdom) </w:t>
      </w:r>
      <w:r w:rsidR="00055CC8">
        <w:rPr>
          <w:i/>
          <w:lang w:val="fr-CA"/>
        </w:rPr>
        <w:t>c</w:t>
      </w:r>
      <w:r w:rsidR="00055CC8" w:rsidRPr="00055CC8">
        <w:rPr>
          <w:i/>
          <w:lang w:val="fr-CA"/>
        </w:rPr>
        <w:t>. Saxena</w:t>
      </w:r>
      <w:r w:rsidR="00055CC8" w:rsidRPr="00055CC8">
        <w:rPr>
          <w:lang w:val="fr-CA"/>
        </w:rPr>
        <w:t>, 2006 BCCA 98, 265 D.L.R. (4th) 55</w:t>
      </w:r>
      <w:r w:rsidR="00055CC8">
        <w:rPr>
          <w:lang w:val="fr-CA"/>
        </w:rPr>
        <w:t xml:space="preserve">; </w:t>
      </w:r>
      <w:r w:rsidR="0085725E" w:rsidRPr="0085725E">
        <w:rPr>
          <w:i/>
          <w:lang w:val="fr-CA"/>
        </w:rPr>
        <w:t>Bonamie, Re</w:t>
      </w:r>
      <w:r w:rsidR="0085725E" w:rsidRPr="00D91532">
        <w:rPr>
          <w:lang w:val="fr-CA"/>
        </w:rPr>
        <w:t xml:space="preserve">, </w:t>
      </w:r>
      <w:r w:rsidR="0085725E" w:rsidRPr="0085725E">
        <w:rPr>
          <w:lang w:val="fr-CA"/>
        </w:rPr>
        <w:t>2001 ABCA 267, 293 A.R. 201.</w:t>
      </w:r>
    </w:p>
    <w:p w:rsidR="004D7D95" w:rsidRPr="004D7D95" w:rsidRDefault="004D7D95" w:rsidP="002B69A7">
      <w:pPr>
        <w:pStyle w:val="SCCNormalDoubleSpacing"/>
        <w:widowControl w:val="0"/>
        <w:spacing w:before="480" w:after="480"/>
        <w:rPr>
          <w:b/>
          <w:lang w:val="fr-CA"/>
        </w:rPr>
      </w:pPr>
      <w:r w:rsidRPr="004D7D95">
        <w:rPr>
          <w:b/>
          <w:lang w:val="fr-CA"/>
        </w:rPr>
        <w:t>Lois et règlements cités</w:t>
      </w:r>
    </w:p>
    <w:p w:rsidR="002E1E96" w:rsidRDefault="002C3A10" w:rsidP="002E5E29">
      <w:pPr>
        <w:pStyle w:val="SCCNormalDoubleSpacing"/>
        <w:widowControl w:val="0"/>
        <w:spacing w:after="240" w:line="240" w:lineRule="auto"/>
        <w:ind w:left="547" w:hanging="547"/>
        <w:rPr>
          <w:lang w:val="fr-CA"/>
        </w:rPr>
      </w:pPr>
      <w:r w:rsidRPr="002C3A10">
        <w:rPr>
          <w:i/>
          <w:lang w:val="fr-CA"/>
        </w:rPr>
        <w:t>Charte canadienne des droits et libertés</w:t>
      </w:r>
      <w:r>
        <w:rPr>
          <w:lang w:val="fr-CA"/>
        </w:rPr>
        <w:t xml:space="preserve">, </w:t>
      </w:r>
      <w:r w:rsidR="005531D8">
        <w:rPr>
          <w:lang w:val="fr-CA"/>
        </w:rPr>
        <w:t>art. </w:t>
      </w:r>
      <w:r>
        <w:rPr>
          <w:lang w:val="fr-CA"/>
        </w:rPr>
        <w:t xml:space="preserve">6(1), 7. </w:t>
      </w:r>
    </w:p>
    <w:p w:rsidR="00D91532" w:rsidRPr="00D91532" w:rsidRDefault="00D91532" w:rsidP="002E5E29">
      <w:pPr>
        <w:pStyle w:val="SCCNormalDoubleSpacing"/>
        <w:widowControl w:val="0"/>
        <w:spacing w:after="240" w:line="240" w:lineRule="auto"/>
        <w:ind w:left="547" w:hanging="547"/>
        <w:rPr>
          <w:i/>
          <w:lang w:val="en-US"/>
        </w:rPr>
      </w:pPr>
      <w:r w:rsidRPr="00D91532">
        <w:rPr>
          <w:i/>
          <w:lang w:val="en-US"/>
        </w:rPr>
        <w:t xml:space="preserve">Code of Criminal Procedure </w:t>
      </w:r>
      <w:r w:rsidRPr="00D91532">
        <w:rPr>
          <w:lang w:val="en-US"/>
        </w:rPr>
        <w:t>(Inde)</w:t>
      </w:r>
      <w:r>
        <w:rPr>
          <w:lang w:val="en-US"/>
        </w:rPr>
        <w:t>.</w:t>
      </w:r>
    </w:p>
    <w:p w:rsidR="002E5E29" w:rsidRDefault="002C3A10" w:rsidP="002E5E29">
      <w:pPr>
        <w:pStyle w:val="SCCNormalDoubleSpacing"/>
        <w:widowControl w:val="0"/>
        <w:spacing w:after="240" w:line="240" w:lineRule="auto"/>
        <w:ind w:left="547" w:hanging="547"/>
        <w:rPr>
          <w:lang w:val="fr-CA"/>
        </w:rPr>
      </w:pPr>
      <w:r w:rsidRPr="002C3A10">
        <w:rPr>
          <w:i/>
          <w:lang w:val="fr-CA"/>
        </w:rPr>
        <w:t>Loi sur l’extradition</w:t>
      </w:r>
      <w:r w:rsidR="005531D8">
        <w:rPr>
          <w:lang w:val="fr-CA"/>
        </w:rPr>
        <w:t>, L.C. 1999, c. </w:t>
      </w:r>
      <w:r>
        <w:rPr>
          <w:lang w:val="fr-CA"/>
        </w:rPr>
        <w:t xml:space="preserve">18, </w:t>
      </w:r>
      <w:r w:rsidR="005531D8">
        <w:rPr>
          <w:lang w:val="fr-CA"/>
        </w:rPr>
        <w:t>art. </w:t>
      </w:r>
      <w:r>
        <w:rPr>
          <w:lang w:val="fr-CA"/>
        </w:rPr>
        <w:t>3(2), 44(1)a).</w:t>
      </w:r>
    </w:p>
    <w:p w:rsidR="002E5E29" w:rsidRPr="0049049D" w:rsidRDefault="002E5E29" w:rsidP="002E5E29">
      <w:pPr>
        <w:pStyle w:val="SCCNormalDoubleSpacing"/>
        <w:widowControl w:val="0"/>
        <w:spacing w:after="240" w:line="240" w:lineRule="auto"/>
        <w:ind w:left="547" w:hanging="547"/>
        <w:rPr>
          <w:i/>
          <w:lang w:val="fr-CA"/>
        </w:rPr>
      </w:pPr>
      <w:r>
        <w:rPr>
          <w:i/>
          <w:lang w:val="fr-CA"/>
        </w:rPr>
        <w:t xml:space="preserve">Penal </w:t>
      </w:r>
      <w:r w:rsidRPr="001D5829">
        <w:rPr>
          <w:i/>
          <w:lang w:val="fr-CA"/>
        </w:rPr>
        <w:t>Code</w:t>
      </w:r>
      <w:r>
        <w:rPr>
          <w:i/>
          <w:lang w:val="fr-CA"/>
        </w:rPr>
        <w:t xml:space="preserve"> </w:t>
      </w:r>
      <w:r>
        <w:rPr>
          <w:lang w:val="fr-CA"/>
        </w:rPr>
        <w:t>(Inde</w:t>
      </w:r>
      <w:r w:rsidRPr="00D91532">
        <w:rPr>
          <w:lang w:val="fr-CA"/>
        </w:rPr>
        <w:t>)</w:t>
      </w:r>
      <w:r>
        <w:rPr>
          <w:i/>
          <w:lang w:val="fr-CA"/>
        </w:rPr>
        <w:t>.</w:t>
      </w:r>
    </w:p>
    <w:p w:rsidR="0097534A" w:rsidRDefault="002C3A10" w:rsidP="002E5E29">
      <w:pPr>
        <w:pStyle w:val="SCCNormalDoubleSpacing"/>
        <w:widowControl w:val="0"/>
        <w:spacing w:after="240" w:line="240" w:lineRule="auto"/>
        <w:ind w:left="547" w:hanging="547"/>
        <w:rPr>
          <w:lang w:val="fr-CA"/>
        </w:rPr>
      </w:pPr>
      <w:r>
        <w:rPr>
          <w:lang w:val="fr-CA"/>
        </w:rPr>
        <w:t xml:space="preserve"> </w:t>
      </w:r>
    </w:p>
    <w:p w:rsidR="00C07CE1" w:rsidRDefault="00C07CE1" w:rsidP="002B69A7">
      <w:pPr>
        <w:pStyle w:val="SCCNormalDoubleSpacing"/>
        <w:widowControl w:val="0"/>
        <w:spacing w:before="480" w:after="480"/>
        <w:rPr>
          <w:b/>
          <w:lang w:val="fr-CA"/>
        </w:rPr>
      </w:pPr>
      <w:r w:rsidRPr="00C07CE1">
        <w:rPr>
          <w:b/>
          <w:lang w:val="fr-CA"/>
        </w:rPr>
        <w:t>Traités et autres instruments internationaux</w:t>
      </w:r>
    </w:p>
    <w:p w:rsidR="006B3960" w:rsidRDefault="006B3960" w:rsidP="002B69A7">
      <w:pPr>
        <w:pStyle w:val="SCCNormalDoubleSpacing"/>
        <w:widowControl w:val="0"/>
        <w:spacing w:after="240" w:line="240" w:lineRule="auto"/>
        <w:ind w:left="540" w:hanging="540"/>
        <w:rPr>
          <w:lang w:val="fr-CA"/>
        </w:rPr>
      </w:pPr>
      <w:r w:rsidRPr="000B0ABF">
        <w:rPr>
          <w:i/>
          <w:lang w:val="fr-CA"/>
        </w:rPr>
        <w:lastRenderedPageBreak/>
        <w:t>Convention contre la torture et autres peines ou traitements cruels, inhumains ou dégradants</w:t>
      </w:r>
      <w:r>
        <w:rPr>
          <w:lang w:val="fr-CA"/>
        </w:rPr>
        <w:t>, R.T. Can. 1987 n</w:t>
      </w:r>
      <w:r w:rsidRPr="000B0ABF">
        <w:rPr>
          <w:vertAlign w:val="superscript"/>
          <w:lang w:val="fr-CA"/>
        </w:rPr>
        <w:t>o</w:t>
      </w:r>
      <w:r w:rsidR="009A79A5">
        <w:rPr>
          <w:lang w:val="fr-CA"/>
        </w:rPr>
        <w:t> </w:t>
      </w:r>
      <w:r w:rsidRPr="000B0ABF">
        <w:rPr>
          <w:lang w:val="fr-CA"/>
        </w:rPr>
        <w:t xml:space="preserve">36, </w:t>
      </w:r>
      <w:r w:rsidR="005531D8">
        <w:rPr>
          <w:lang w:val="fr-CA"/>
        </w:rPr>
        <w:t>art. </w:t>
      </w:r>
      <w:r w:rsidRPr="000B0ABF">
        <w:rPr>
          <w:lang w:val="fr-CA"/>
        </w:rPr>
        <w:t>3</w:t>
      </w:r>
      <w:r w:rsidR="00D569FA">
        <w:rPr>
          <w:lang w:val="fr-CA"/>
        </w:rPr>
        <w:t>(1)</w:t>
      </w:r>
      <w:r w:rsidRPr="000B0ABF">
        <w:rPr>
          <w:lang w:val="fr-CA"/>
        </w:rPr>
        <w:t>.</w:t>
      </w:r>
      <w:r>
        <w:rPr>
          <w:lang w:val="fr-CA"/>
        </w:rPr>
        <w:t xml:space="preserve"> </w:t>
      </w:r>
    </w:p>
    <w:p w:rsidR="00056C7A" w:rsidRPr="002C3A10" w:rsidRDefault="00056C7A" w:rsidP="002B69A7">
      <w:pPr>
        <w:pStyle w:val="SCCNormalDoubleSpacing"/>
        <w:widowControl w:val="0"/>
        <w:spacing w:after="240" w:line="240" w:lineRule="auto"/>
        <w:rPr>
          <w:lang w:val="fr-CA"/>
        </w:rPr>
      </w:pPr>
      <w:r w:rsidRPr="002C3A10">
        <w:rPr>
          <w:i/>
          <w:lang w:val="fr-CA"/>
        </w:rPr>
        <w:t>Convention de Vienne sur les relations consulaires</w:t>
      </w:r>
      <w:r>
        <w:rPr>
          <w:lang w:val="fr-CA"/>
        </w:rPr>
        <w:t>, R.T. Can. 1974 n</w:t>
      </w:r>
      <w:r w:rsidRPr="002C3A10">
        <w:rPr>
          <w:vertAlign w:val="superscript"/>
          <w:lang w:val="fr-CA"/>
        </w:rPr>
        <w:t>o</w:t>
      </w:r>
      <w:r w:rsidR="005531D8">
        <w:rPr>
          <w:lang w:val="fr-CA"/>
        </w:rPr>
        <w:t> </w:t>
      </w:r>
      <w:r>
        <w:rPr>
          <w:lang w:val="fr-CA"/>
        </w:rPr>
        <w:t>25.</w:t>
      </w:r>
    </w:p>
    <w:p w:rsidR="0049049D" w:rsidRDefault="0049049D" w:rsidP="002B69A7">
      <w:pPr>
        <w:pStyle w:val="SCCNormalDoubleSpacing"/>
        <w:widowControl w:val="0"/>
        <w:spacing w:after="240" w:line="240" w:lineRule="auto"/>
        <w:rPr>
          <w:lang w:val="fr-CA"/>
        </w:rPr>
      </w:pPr>
      <w:r w:rsidRPr="008D415D">
        <w:rPr>
          <w:i/>
          <w:lang w:val="fr-CA"/>
        </w:rPr>
        <w:t>Pacte international relatif aux droits civils et politiques</w:t>
      </w:r>
      <w:r>
        <w:rPr>
          <w:lang w:val="fr-CA"/>
        </w:rPr>
        <w:t>, R.T. Can. 1976 n</w:t>
      </w:r>
      <w:r w:rsidRPr="0049049D">
        <w:rPr>
          <w:vertAlign w:val="superscript"/>
          <w:lang w:val="fr-CA"/>
        </w:rPr>
        <w:t>o</w:t>
      </w:r>
      <w:r w:rsidR="005531D8">
        <w:rPr>
          <w:lang w:val="fr-CA"/>
        </w:rPr>
        <w:t> </w:t>
      </w:r>
      <w:r>
        <w:rPr>
          <w:lang w:val="fr-CA"/>
        </w:rPr>
        <w:t>47.</w:t>
      </w:r>
    </w:p>
    <w:p w:rsidR="00764808" w:rsidRPr="002A2104" w:rsidRDefault="00B91C20" w:rsidP="002B69A7">
      <w:pPr>
        <w:pStyle w:val="SCCNormalDoubleSpacing"/>
        <w:widowControl w:val="0"/>
        <w:spacing w:after="720" w:line="240" w:lineRule="auto"/>
        <w:ind w:left="547" w:hanging="547"/>
        <w:rPr>
          <w:lang w:val="fr-CA"/>
        </w:rPr>
      </w:pPr>
      <w:r>
        <w:rPr>
          <w:i/>
          <w:lang w:val="fr-CA"/>
        </w:rPr>
        <w:t>Traité d’extradition entre le Gouvernement du Canada et le G</w:t>
      </w:r>
      <w:r w:rsidR="006B3960" w:rsidRPr="002E1E96">
        <w:rPr>
          <w:i/>
          <w:lang w:val="fr-CA"/>
        </w:rPr>
        <w:t>ouvernement de l’Inde</w:t>
      </w:r>
      <w:r w:rsidR="006B3960">
        <w:rPr>
          <w:lang w:val="fr-CA"/>
        </w:rPr>
        <w:t>, R.T. Can. 1987 n</w:t>
      </w:r>
      <w:r w:rsidR="006B3960" w:rsidRPr="002E1E96">
        <w:rPr>
          <w:vertAlign w:val="superscript"/>
          <w:lang w:val="fr-CA"/>
        </w:rPr>
        <w:t>o</w:t>
      </w:r>
      <w:r w:rsidR="005531D8">
        <w:rPr>
          <w:lang w:val="fr-CA"/>
        </w:rPr>
        <w:t> 1</w:t>
      </w:r>
      <w:r w:rsidR="006B3960">
        <w:rPr>
          <w:lang w:val="fr-CA"/>
        </w:rPr>
        <w:t>4.</w:t>
      </w:r>
    </w:p>
    <w:p w:rsidR="004D7D95" w:rsidRPr="00D1075B" w:rsidRDefault="004D7D95" w:rsidP="002B69A7">
      <w:pPr>
        <w:pStyle w:val="SCCNormalDoubleSpacing"/>
        <w:widowControl w:val="0"/>
        <w:spacing w:before="480" w:after="480"/>
        <w:rPr>
          <w:lang w:val="fr-CA"/>
        </w:rPr>
      </w:pPr>
      <w:r w:rsidRPr="004D7D95">
        <w:rPr>
          <w:lang w:val="fr-CA"/>
        </w:rPr>
        <w:tab/>
        <w:t xml:space="preserve">POURVOI contre un arrêt de la </w:t>
      </w:r>
      <w:r w:rsidRPr="00175C63">
        <w:rPr>
          <w:lang w:val="fr-CA"/>
        </w:rPr>
        <w:t>Cour d</w:t>
      </w:r>
      <w:r w:rsidR="00722074">
        <w:rPr>
          <w:lang w:val="fr-CA"/>
        </w:rPr>
        <w:t>’</w:t>
      </w:r>
      <w:r w:rsidRPr="00175C63">
        <w:rPr>
          <w:lang w:val="fr-CA"/>
        </w:rPr>
        <w:t>appel de la Colombie</w:t>
      </w:r>
      <w:r w:rsidR="005531D8">
        <w:rPr>
          <w:lang w:val="fr-CA"/>
        </w:rPr>
        <w:noBreakHyphen/>
      </w:r>
      <w:r w:rsidRPr="00175C63">
        <w:rPr>
          <w:lang w:val="fr-CA"/>
        </w:rPr>
        <w:t>Britannique (</w:t>
      </w:r>
      <w:r w:rsidR="00116CA6">
        <w:rPr>
          <w:lang w:val="fr-CA"/>
        </w:rPr>
        <w:t>les juges Donald, Newbury et Goepel</w:t>
      </w:r>
      <w:r w:rsidRPr="00175C63">
        <w:rPr>
          <w:lang w:val="fr-CA"/>
        </w:rPr>
        <w:t>)</w:t>
      </w:r>
      <w:r w:rsidR="00116CA6">
        <w:rPr>
          <w:lang w:val="fr-CA"/>
        </w:rPr>
        <w:t>,</w:t>
      </w:r>
      <w:r w:rsidR="00D1075B" w:rsidRPr="00D1075B">
        <w:rPr>
          <w:lang w:val="fr-CA"/>
        </w:rPr>
        <w:t xml:space="preserve"> 2016 BCCA 88, 4 Admin. L.R. (6th) 280, 383 B.C.A.C. 220, 661 W.A.C. 220, [2016] B.C.J. </w:t>
      </w:r>
      <w:r w:rsidR="005531D8">
        <w:rPr>
          <w:lang w:val="fr-CA"/>
        </w:rPr>
        <w:t>No. </w:t>
      </w:r>
      <w:r w:rsidR="00D1075B" w:rsidRPr="00D1075B">
        <w:rPr>
          <w:lang w:val="fr-CA"/>
        </w:rPr>
        <w:t xml:space="preserve">365 (QL), 2016 CarswellBC 468 (WL </w:t>
      </w:r>
      <w:r w:rsidR="00D1075B" w:rsidRPr="00201725">
        <w:rPr>
          <w:lang w:val="fr-CA"/>
        </w:rPr>
        <w:t>Can.), qui a</w:t>
      </w:r>
      <w:r w:rsidR="004469A0" w:rsidRPr="00201725">
        <w:rPr>
          <w:lang w:val="fr-CA"/>
        </w:rPr>
        <w:t xml:space="preserve"> accueilli une demande de contrôle judiciaire d’arrêtés d’extradition pris par le ministre de la Justice, annulé les arrêtés et renvoyé l’affaire au </w:t>
      </w:r>
      <w:r w:rsidR="00997149" w:rsidRPr="00201725">
        <w:rPr>
          <w:lang w:val="fr-CA"/>
        </w:rPr>
        <w:t>m</w:t>
      </w:r>
      <w:r w:rsidR="004469A0" w:rsidRPr="00201725">
        <w:rPr>
          <w:lang w:val="fr-CA"/>
        </w:rPr>
        <w:t xml:space="preserve">inistre pour réexamen. </w:t>
      </w:r>
      <w:r w:rsidR="00D1075B" w:rsidRPr="00201725">
        <w:rPr>
          <w:lang w:val="fr-CA"/>
        </w:rPr>
        <w:t>Pourvoi</w:t>
      </w:r>
      <w:r w:rsidR="004469A0" w:rsidRPr="00201725">
        <w:rPr>
          <w:lang w:val="fr-CA"/>
        </w:rPr>
        <w:t xml:space="preserve"> accueilli</w:t>
      </w:r>
      <w:r w:rsidR="00D1075B" w:rsidRPr="00201725">
        <w:rPr>
          <w:lang w:val="fr-CA"/>
        </w:rPr>
        <w:t>.</w:t>
      </w:r>
    </w:p>
    <w:p w:rsidR="001663A6" w:rsidRPr="00175C63" w:rsidRDefault="00142C42" w:rsidP="002B69A7">
      <w:pPr>
        <w:pStyle w:val="SCCNormalDoubleSpacing"/>
        <w:widowControl w:val="0"/>
        <w:spacing w:before="480" w:after="480"/>
        <w:rPr>
          <w:lang w:val="fr-CA"/>
        </w:rPr>
      </w:pPr>
      <w:r w:rsidRPr="00D1075B">
        <w:rPr>
          <w:rStyle w:val="SCCCounselNameChar"/>
          <w:lang w:val="fr-CA"/>
        </w:rPr>
        <w:tab/>
      </w:r>
      <w:r w:rsidRPr="00175C63">
        <w:rPr>
          <w:rStyle w:val="SCCCounselNameChar"/>
          <w:lang w:val="fr-CA"/>
        </w:rPr>
        <w:t>Janet Henchey</w:t>
      </w:r>
      <w:r w:rsidRPr="00175C63">
        <w:rPr>
          <w:rStyle w:val="SCCCounselSeparatorChar"/>
          <w:lang w:val="fr-CA"/>
        </w:rPr>
        <w:t xml:space="preserve"> et </w:t>
      </w:r>
      <w:r w:rsidR="00BC4E44">
        <w:rPr>
          <w:rStyle w:val="SCCCounselNameChar"/>
          <w:lang w:val="fr-CA"/>
        </w:rPr>
        <w:t>Diba </w:t>
      </w:r>
      <w:r w:rsidRPr="00175C63">
        <w:rPr>
          <w:rStyle w:val="SCCCounselNameChar"/>
          <w:lang w:val="fr-CA"/>
        </w:rPr>
        <w:t>B. Majzub</w:t>
      </w:r>
      <w:r w:rsidRPr="00175C63">
        <w:rPr>
          <w:rStyle w:val="SCCCounselPartyRoleChar"/>
          <w:lang w:val="fr-CA"/>
        </w:rPr>
        <w:t>, pour l</w:t>
      </w:r>
      <w:r w:rsidR="00722074">
        <w:rPr>
          <w:rStyle w:val="SCCCounselPartyRoleChar"/>
          <w:lang w:val="fr-CA"/>
        </w:rPr>
        <w:t>’</w:t>
      </w:r>
      <w:r w:rsidR="00D46B35">
        <w:rPr>
          <w:rStyle w:val="SCCCounselPartyRoleChar"/>
          <w:lang w:val="fr-CA"/>
        </w:rPr>
        <w:t>appelant</w:t>
      </w:r>
      <w:r w:rsidRPr="00175C63">
        <w:rPr>
          <w:rStyle w:val="SCCCounselPartyRoleChar"/>
          <w:lang w:val="fr-CA"/>
        </w:rPr>
        <w:t>.</w:t>
      </w:r>
    </w:p>
    <w:p w:rsidR="001663A6" w:rsidRPr="00175C63" w:rsidRDefault="00142C42" w:rsidP="002B69A7">
      <w:pPr>
        <w:pStyle w:val="SCCNormalDoubleSpacing"/>
        <w:widowControl w:val="0"/>
        <w:spacing w:before="480" w:after="480"/>
        <w:rPr>
          <w:lang w:val="fr-CA"/>
        </w:rPr>
      </w:pPr>
      <w:r w:rsidRPr="00175C63">
        <w:rPr>
          <w:rStyle w:val="SCCCounselNameChar"/>
          <w:lang w:val="fr-CA"/>
        </w:rPr>
        <w:tab/>
        <w:t>Michael Klein</w:t>
      </w:r>
      <w:r w:rsidRPr="00D46B35">
        <w:rPr>
          <w:rStyle w:val="SCCCounselNameChar"/>
          <w:i w:val="0"/>
          <w:lang w:val="fr-CA"/>
        </w:rPr>
        <w:t>,</w:t>
      </w:r>
      <w:r w:rsidR="00D46B35">
        <w:rPr>
          <w:rStyle w:val="SCCCounselNameChar"/>
          <w:lang w:val="fr-CA"/>
        </w:rPr>
        <w:t xml:space="preserve"> c.r</w:t>
      </w:r>
      <w:r w:rsidRPr="00175C63">
        <w:rPr>
          <w:rStyle w:val="SCCCounselNameChar"/>
          <w:lang w:val="fr-CA"/>
        </w:rPr>
        <w:t>.</w:t>
      </w:r>
      <w:r w:rsidRPr="00175C63">
        <w:rPr>
          <w:rStyle w:val="SCCCounselPartyRoleChar"/>
          <w:lang w:val="fr-CA"/>
        </w:rPr>
        <w:t xml:space="preserve">, </w:t>
      </w:r>
      <w:r w:rsidR="001F2E43">
        <w:rPr>
          <w:rStyle w:val="SCCCounselPartyRoleChar"/>
          <w:lang w:val="fr-CA"/>
        </w:rPr>
        <w:t xml:space="preserve">et </w:t>
      </w:r>
      <w:r w:rsidR="001F2E43">
        <w:rPr>
          <w:rStyle w:val="SCCCounselPartyRoleChar"/>
          <w:i/>
          <w:lang w:val="fr-CA"/>
        </w:rPr>
        <w:t>Michael Sobkin</w:t>
      </w:r>
      <w:r w:rsidR="001F2E43">
        <w:rPr>
          <w:rStyle w:val="SCCCounselPartyRoleChar"/>
          <w:lang w:val="fr-CA"/>
        </w:rPr>
        <w:t xml:space="preserve">, </w:t>
      </w:r>
      <w:r w:rsidRPr="00175C63">
        <w:rPr>
          <w:rStyle w:val="SCCCounselPartyRoleChar"/>
          <w:lang w:val="fr-CA"/>
        </w:rPr>
        <w:t>pour l</w:t>
      </w:r>
      <w:r w:rsidR="00722074">
        <w:rPr>
          <w:rStyle w:val="SCCCounselPartyRoleChar"/>
          <w:lang w:val="fr-CA"/>
        </w:rPr>
        <w:t>’</w:t>
      </w:r>
      <w:r w:rsidR="00D46B35">
        <w:rPr>
          <w:rStyle w:val="SCCCounselPartyRoleChar"/>
          <w:lang w:val="fr-CA"/>
        </w:rPr>
        <w:t xml:space="preserve">intimé </w:t>
      </w:r>
      <w:r w:rsidR="00D46B35" w:rsidRPr="00D46B35">
        <w:rPr>
          <w:rStyle w:val="SCCCounselPartyRoleChar"/>
          <w:lang w:val="fr-CA"/>
        </w:rPr>
        <w:t>Surjit Singh Badesha</w:t>
      </w:r>
      <w:r w:rsidRPr="00175C63">
        <w:rPr>
          <w:rStyle w:val="SCCCounselPartyRoleChar"/>
          <w:lang w:val="fr-CA"/>
        </w:rPr>
        <w:t>.</w:t>
      </w:r>
    </w:p>
    <w:p w:rsidR="001663A6" w:rsidRPr="00175C63" w:rsidRDefault="00BC4E44" w:rsidP="002B69A7">
      <w:pPr>
        <w:pStyle w:val="SCCNormalDoubleSpacing"/>
        <w:widowControl w:val="0"/>
        <w:spacing w:before="480" w:after="480"/>
        <w:rPr>
          <w:lang w:val="fr-CA"/>
        </w:rPr>
      </w:pPr>
      <w:r>
        <w:rPr>
          <w:rStyle w:val="SCCCounselNameChar"/>
          <w:lang w:val="fr-CA"/>
        </w:rPr>
        <w:tab/>
        <w:t>E. </w:t>
      </w:r>
      <w:r w:rsidR="00142C42" w:rsidRPr="00175C63">
        <w:rPr>
          <w:rStyle w:val="SCCCounselNameChar"/>
          <w:lang w:val="fr-CA"/>
        </w:rPr>
        <w:t>David Crossin</w:t>
      </w:r>
      <w:r w:rsidR="00142C42" w:rsidRPr="00E41E49">
        <w:rPr>
          <w:rStyle w:val="SCCCounselNameChar"/>
          <w:i w:val="0"/>
          <w:lang w:val="fr-CA"/>
        </w:rPr>
        <w:t>,</w:t>
      </w:r>
      <w:r w:rsidR="00E41E49">
        <w:rPr>
          <w:rStyle w:val="SCCCounselNameChar"/>
          <w:lang w:val="fr-CA"/>
        </w:rPr>
        <w:t xml:space="preserve"> c.r</w:t>
      </w:r>
      <w:r w:rsidR="00142C42" w:rsidRPr="00175C63">
        <w:rPr>
          <w:rStyle w:val="SCCCounselNameChar"/>
          <w:lang w:val="fr-CA"/>
        </w:rPr>
        <w:t>.</w:t>
      </w:r>
      <w:r w:rsidR="00142C42" w:rsidRPr="00175C63">
        <w:rPr>
          <w:rStyle w:val="SCCCounselSeparatorChar"/>
          <w:lang w:val="fr-CA"/>
        </w:rPr>
        <w:t xml:space="preserve">, </w:t>
      </w:r>
      <w:r w:rsidR="00142C42" w:rsidRPr="00175C63">
        <w:rPr>
          <w:rStyle w:val="SCCCounselNameChar"/>
          <w:lang w:val="fr-CA"/>
        </w:rPr>
        <w:t>Elizabeth France</w:t>
      </w:r>
      <w:r w:rsidR="00E41E49" w:rsidRPr="00E41E49">
        <w:rPr>
          <w:rStyle w:val="SCCCounselNameChar"/>
          <w:lang w:val="fr-CA"/>
        </w:rPr>
        <w:t xml:space="preserve"> </w:t>
      </w:r>
      <w:r w:rsidR="00E41E49" w:rsidRPr="00175C63">
        <w:rPr>
          <w:rStyle w:val="SCCCounselSeparatorChar"/>
          <w:lang w:val="fr-CA"/>
        </w:rPr>
        <w:t>et</w:t>
      </w:r>
      <w:r w:rsidR="00E41E49">
        <w:rPr>
          <w:rStyle w:val="SCCCounselNameChar"/>
          <w:lang w:val="fr-CA"/>
        </w:rPr>
        <w:t xml:space="preserve"> Miriam </w:t>
      </w:r>
      <w:r w:rsidR="00E41E49" w:rsidRPr="00175C63">
        <w:rPr>
          <w:rStyle w:val="SCCCounselNameChar"/>
          <w:lang w:val="fr-CA"/>
        </w:rPr>
        <w:t>Isman</w:t>
      </w:r>
      <w:r w:rsidR="00142C42" w:rsidRPr="00175C63">
        <w:rPr>
          <w:rStyle w:val="SCCCounselPartyRoleChar"/>
          <w:lang w:val="fr-CA"/>
        </w:rPr>
        <w:t>, pour l</w:t>
      </w:r>
      <w:r w:rsidR="00722074">
        <w:rPr>
          <w:rStyle w:val="SCCCounselPartyRoleChar"/>
          <w:lang w:val="fr-CA"/>
        </w:rPr>
        <w:t>’</w:t>
      </w:r>
      <w:r w:rsidR="00E41E49">
        <w:rPr>
          <w:rStyle w:val="SCCCounselPartyRoleChar"/>
          <w:lang w:val="fr-CA"/>
        </w:rPr>
        <w:t xml:space="preserve">intimée </w:t>
      </w:r>
      <w:r w:rsidR="00E41E49" w:rsidRPr="00E41E49">
        <w:rPr>
          <w:rStyle w:val="SCCCounselPartyRoleChar"/>
          <w:lang w:val="fr-CA"/>
        </w:rPr>
        <w:t>Malkit Kaur Sidhu</w:t>
      </w:r>
      <w:r w:rsidR="00142C42" w:rsidRPr="00175C63">
        <w:rPr>
          <w:rStyle w:val="SCCCounselPartyRoleChar"/>
          <w:lang w:val="fr-CA"/>
        </w:rPr>
        <w:t>.</w:t>
      </w:r>
    </w:p>
    <w:p w:rsidR="001663A6" w:rsidRPr="00175C63" w:rsidRDefault="00142C42" w:rsidP="002B69A7">
      <w:pPr>
        <w:pStyle w:val="SCCNormalDoubleSpacing"/>
        <w:widowControl w:val="0"/>
        <w:spacing w:before="480" w:after="480"/>
        <w:rPr>
          <w:lang w:val="fr-CA"/>
        </w:rPr>
      </w:pPr>
      <w:r w:rsidRPr="00175C63">
        <w:rPr>
          <w:rStyle w:val="SCCCounselNameChar"/>
          <w:lang w:val="fr-CA"/>
        </w:rPr>
        <w:tab/>
        <w:t>John Norris</w:t>
      </w:r>
      <w:r w:rsidRPr="00175C63">
        <w:rPr>
          <w:rStyle w:val="SCCCounselSeparatorChar"/>
          <w:lang w:val="fr-CA"/>
        </w:rPr>
        <w:t xml:space="preserve"> et </w:t>
      </w:r>
      <w:r w:rsidRPr="00175C63">
        <w:rPr>
          <w:rStyle w:val="SCCCounselNameChar"/>
          <w:lang w:val="fr-CA"/>
        </w:rPr>
        <w:t>Cheryl Milne</w:t>
      </w:r>
      <w:r w:rsidRPr="00175C63">
        <w:rPr>
          <w:rStyle w:val="SCCCounselPartyRoleChar"/>
          <w:lang w:val="fr-CA"/>
        </w:rPr>
        <w:t>, pour l</w:t>
      </w:r>
      <w:r w:rsidR="00722074">
        <w:rPr>
          <w:rStyle w:val="SCCCounselPartyRoleChar"/>
          <w:lang w:val="fr-CA"/>
        </w:rPr>
        <w:t>’</w:t>
      </w:r>
      <w:r w:rsidR="00E41E49">
        <w:rPr>
          <w:rStyle w:val="SCCCounselPartyRoleChar"/>
          <w:lang w:val="fr-CA"/>
        </w:rPr>
        <w:t>intervenant</w:t>
      </w:r>
      <w:r w:rsidRPr="00175C63">
        <w:rPr>
          <w:rStyle w:val="SCCCounselPartyRoleChar"/>
          <w:lang w:val="fr-CA"/>
        </w:rPr>
        <w:t xml:space="preserve"> David Asper Centre for Constitutional Rights.</w:t>
      </w:r>
    </w:p>
    <w:p w:rsidR="001663A6" w:rsidRPr="00E41E49" w:rsidRDefault="00142C42" w:rsidP="002B69A7">
      <w:pPr>
        <w:pStyle w:val="SCCNormalDoubleSpacing"/>
        <w:widowControl w:val="0"/>
        <w:spacing w:before="480" w:after="480"/>
      </w:pPr>
      <w:r w:rsidRPr="00175C63">
        <w:rPr>
          <w:rStyle w:val="SCCCounselNameChar"/>
          <w:lang w:val="fr-CA"/>
        </w:rPr>
        <w:tab/>
      </w:r>
      <w:r w:rsidR="00BC4E44">
        <w:rPr>
          <w:rStyle w:val="SCCCounselNameChar"/>
        </w:rPr>
        <w:t>Ranjan </w:t>
      </w:r>
      <w:r w:rsidRPr="00E41E49">
        <w:rPr>
          <w:rStyle w:val="SCCCounselNameChar"/>
        </w:rPr>
        <w:t>K. Agarwal</w:t>
      </w:r>
      <w:r w:rsidRPr="00E41E49">
        <w:rPr>
          <w:rStyle w:val="SCCCounselSeparatorChar"/>
        </w:rPr>
        <w:t xml:space="preserve"> et </w:t>
      </w:r>
      <w:r w:rsidRPr="00E41E49">
        <w:rPr>
          <w:rStyle w:val="SCCCounselNameChar"/>
        </w:rPr>
        <w:t>Preet Bell</w:t>
      </w:r>
      <w:r w:rsidRPr="00E41E49">
        <w:rPr>
          <w:rStyle w:val="SCCCounselPartyRoleChar"/>
        </w:rPr>
        <w:t>, pour l</w:t>
      </w:r>
      <w:r w:rsidR="00722074" w:rsidRPr="00E41E49">
        <w:rPr>
          <w:rStyle w:val="SCCCounselPartyRoleChar"/>
        </w:rPr>
        <w:t>’</w:t>
      </w:r>
      <w:r w:rsidR="00E41E49" w:rsidRPr="00E41E49">
        <w:rPr>
          <w:rStyle w:val="SCCCounselPartyRoleChar"/>
        </w:rPr>
        <w:t>intervenante</w:t>
      </w:r>
      <w:r w:rsidRPr="00E41E49">
        <w:rPr>
          <w:rStyle w:val="SCCCounselPartyRoleChar"/>
        </w:rPr>
        <w:t xml:space="preserve"> South Asia</w:t>
      </w:r>
      <w:r w:rsidR="00011FDC" w:rsidRPr="00E41E49">
        <w:rPr>
          <w:rStyle w:val="SCCCounselPartyRoleChar"/>
        </w:rPr>
        <w:t>n</w:t>
      </w:r>
      <w:r w:rsidRPr="00E41E49">
        <w:rPr>
          <w:rStyle w:val="SCCCounselPartyRoleChar"/>
        </w:rPr>
        <w:t xml:space="preserve"> Legal </w:t>
      </w:r>
      <w:r w:rsidRPr="00E41E49">
        <w:rPr>
          <w:rStyle w:val="SCCCounselPartyRoleChar"/>
        </w:rPr>
        <w:lastRenderedPageBreak/>
        <w:t>Clinic of Ontario.</w:t>
      </w:r>
    </w:p>
    <w:p w:rsidR="001663A6" w:rsidRDefault="00142C42" w:rsidP="002B69A7">
      <w:pPr>
        <w:pStyle w:val="SCCNormalDoubleSpacing"/>
        <w:widowControl w:val="0"/>
        <w:spacing w:before="480" w:after="480"/>
        <w:rPr>
          <w:rStyle w:val="SCCCounselPartyRoleChar"/>
          <w:lang w:val="fr-CA"/>
        </w:rPr>
      </w:pPr>
      <w:r w:rsidRPr="00E41E49">
        <w:rPr>
          <w:rStyle w:val="SCCCounselNameChar"/>
        </w:rPr>
        <w:tab/>
      </w:r>
      <w:r w:rsidRPr="00175C63">
        <w:rPr>
          <w:rStyle w:val="SCCCounselNameChar"/>
          <w:lang w:val="fr-CA"/>
        </w:rPr>
        <w:t>Adriel Weaver</w:t>
      </w:r>
      <w:r w:rsidRPr="00175C63">
        <w:rPr>
          <w:rStyle w:val="SCCCounselSeparatorChar"/>
          <w:lang w:val="fr-CA"/>
        </w:rPr>
        <w:t xml:space="preserve"> et </w:t>
      </w:r>
      <w:r w:rsidRPr="00175C63">
        <w:rPr>
          <w:rStyle w:val="SCCCounselNameChar"/>
          <w:lang w:val="fr-CA"/>
        </w:rPr>
        <w:t>Louis Century</w:t>
      </w:r>
      <w:r w:rsidRPr="00175C63">
        <w:rPr>
          <w:rStyle w:val="SCCCounselPartyRoleChar"/>
          <w:lang w:val="fr-CA"/>
        </w:rPr>
        <w:t>, pour l</w:t>
      </w:r>
      <w:r w:rsidR="00187D36">
        <w:rPr>
          <w:rStyle w:val="SCCCounselPartyRoleChar"/>
          <w:lang w:val="fr-CA"/>
        </w:rPr>
        <w:t>es intervenants Juristes canadiens pour le droit international de la p</w:t>
      </w:r>
      <w:r w:rsidRPr="00175C63">
        <w:rPr>
          <w:rStyle w:val="SCCCounselPartyRoleChar"/>
          <w:lang w:val="fr-CA"/>
        </w:rPr>
        <w:t>ersonne, Canadia</w:t>
      </w:r>
      <w:r w:rsidR="00187D36">
        <w:rPr>
          <w:rStyle w:val="SCCCounselPartyRoleChar"/>
          <w:lang w:val="fr-CA"/>
        </w:rPr>
        <w:t>n Centre for Victims of Torture et le Conseil canadien pour les r</w:t>
      </w:r>
      <w:r w:rsidRPr="00175C63">
        <w:rPr>
          <w:rStyle w:val="SCCCounselPartyRoleChar"/>
          <w:lang w:val="fr-CA"/>
        </w:rPr>
        <w:t>éfugiés.</w:t>
      </w:r>
    </w:p>
    <w:p w:rsidR="00361B98" w:rsidRDefault="00B91C20" w:rsidP="002B69A7">
      <w:pPr>
        <w:pStyle w:val="SCCNormalDoubleSpacing"/>
        <w:widowControl w:val="0"/>
        <w:spacing w:before="480" w:after="480"/>
        <w:rPr>
          <w:lang w:val="fr-CA"/>
        </w:rPr>
      </w:pPr>
      <w:r>
        <w:rPr>
          <w:lang w:val="fr-CA"/>
        </w:rPr>
        <w:tab/>
      </w:r>
      <w:r w:rsidR="00361B98" w:rsidRPr="00502EF3">
        <w:rPr>
          <w:lang w:val="fr-CA"/>
        </w:rPr>
        <w:t xml:space="preserve">Version française du </w:t>
      </w:r>
      <w:r w:rsidR="00361B98" w:rsidRPr="00457BF2">
        <w:rPr>
          <w:rStyle w:val="SCCCounselSeparatorChar"/>
          <w:lang w:val="fr-CA"/>
        </w:rPr>
        <w:t>jugement</w:t>
      </w:r>
      <w:r w:rsidR="00361B98" w:rsidRPr="00502EF3">
        <w:rPr>
          <w:lang w:val="fr-CA"/>
        </w:rPr>
        <w:t xml:space="preserve"> de la Cour rendu par</w:t>
      </w:r>
    </w:p>
    <w:p w:rsidR="00361B98" w:rsidRPr="0080058A" w:rsidRDefault="00361B98" w:rsidP="002B69A7">
      <w:pPr>
        <w:pStyle w:val="JudgeJuge"/>
        <w:widowControl w:val="0"/>
        <w:spacing w:before="480"/>
        <w:rPr>
          <w:lang w:val="fr-CA"/>
        </w:rPr>
      </w:pPr>
      <w:r w:rsidRPr="0080058A">
        <w:rPr>
          <w:lang w:val="fr-CA"/>
        </w:rPr>
        <w:tab/>
        <w:t xml:space="preserve">Le juge Moldaver — </w:t>
      </w:r>
    </w:p>
    <w:p w:rsidR="00361B98" w:rsidRPr="0080058A" w:rsidRDefault="00361B98" w:rsidP="002B69A7">
      <w:pPr>
        <w:pStyle w:val="Title1LevelTitre1Niveau-AltL"/>
        <w:widowControl w:val="0"/>
        <w:rPr>
          <w:rFonts w:cs="Times New Roman"/>
          <w:lang w:val="fr-CA"/>
        </w:rPr>
      </w:pPr>
      <w:r>
        <w:rPr>
          <w:rFonts w:cs="Times New Roman"/>
          <w:lang w:val="fr-CA"/>
        </w:rPr>
        <w:t>Aperçu</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Le </w:t>
      </w:r>
      <w:r>
        <w:rPr>
          <w:rFonts w:cs="Times New Roman"/>
          <w:lang w:val="fr-CA"/>
        </w:rPr>
        <w:t xml:space="preserve">9 juin </w:t>
      </w:r>
      <w:r w:rsidRPr="0080058A">
        <w:rPr>
          <w:rFonts w:cs="Times New Roman"/>
          <w:lang w:val="fr-CA"/>
        </w:rPr>
        <w:t>2000, le cadavre de Jaswinder Kaur Sidhu a été découvert dans un village de l</w:t>
      </w:r>
      <w:r>
        <w:rPr>
          <w:rFonts w:cs="Times New Roman"/>
          <w:lang w:val="fr-CA"/>
        </w:rPr>
        <w:t>’</w:t>
      </w:r>
      <w:r w:rsidRPr="0080058A">
        <w:rPr>
          <w:rFonts w:cs="Times New Roman"/>
          <w:lang w:val="fr-CA"/>
        </w:rPr>
        <w:t xml:space="preserve">État indien du Pendjab. </w:t>
      </w:r>
      <w:r>
        <w:rPr>
          <w:rFonts w:cs="Times New Roman"/>
          <w:lang w:val="fr-CA"/>
        </w:rPr>
        <w:t xml:space="preserve">Selon la </w:t>
      </w:r>
      <w:r w:rsidRPr="0080058A">
        <w:rPr>
          <w:rFonts w:cs="Times New Roman"/>
          <w:lang w:val="fr-CA"/>
        </w:rPr>
        <w:t>thèse des autorités indiennes</w:t>
      </w:r>
      <w:r>
        <w:rPr>
          <w:rFonts w:cs="Times New Roman"/>
          <w:lang w:val="fr-CA"/>
        </w:rPr>
        <w:t xml:space="preserve">, </w:t>
      </w:r>
      <w:r w:rsidRPr="0080058A">
        <w:rPr>
          <w:rFonts w:cs="Times New Roman"/>
          <w:lang w:val="fr-CA"/>
        </w:rPr>
        <w:t xml:space="preserve">Jaswinder Kaur Sidhu </w:t>
      </w:r>
      <w:r>
        <w:rPr>
          <w:rFonts w:cs="Times New Roman"/>
          <w:lang w:val="fr-CA"/>
        </w:rPr>
        <w:t xml:space="preserve">aurait </w:t>
      </w:r>
      <w:r w:rsidRPr="0080058A">
        <w:rPr>
          <w:rFonts w:cs="Times New Roman"/>
          <w:lang w:val="fr-CA"/>
        </w:rPr>
        <w:t>été victime d</w:t>
      </w:r>
      <w:r>
        <w:rPr>
          <w:rFonts w:cs="Times New Roman"/>
          <w:lang w:val="fr-CA"/>
        </w:rPr>
        <w:t>’</w:t>
      </w:r>
      <w:r w:rsidRPr="0080058A">
        <w:rPr>
          <w:rFonts w:cs="Times New Roman"/>
          <w:lang w:val="fr-CA"/>
        </w:rPr>
        <w:t>un crime d</w:t>
      </w:r>
      <w:r>
        <w:rPr>
          <w:rFonts w:cs="Times New Roman"/>
          <w:lang w:val="fr-CA"/>
        </w:rPr>
        <w:t>’</w:t>
      </w:r>
      <w:r w:rsidRPr="0080058A">
        <w:rPr>
          <w:rFonts w:cs="Times New Roman"/>
          <w:lang w:val="fr-CA"/>
        </w:rPr>
        <w:t xml:space="preserve">honneur planifié par les intimés, </w:t>
      </w:r>
      <w:r>
        <w:rPr>
          <w:rFonts w:cs="Times New Roman"/>
          <w:lang w:val="fr-CA"/>
        </w:rPr>
        <w:t xml:space="preserve">son oncle, Surjit Singh Badesha, et sa mère, </w:t>
      </w:r>
      <w:r w:rsidRPr="0080058A">
        <w:rPr>
          <w:rFonts w:cs="Times New Roman"/>
          <w:lang w:val="fr-CA"/>
        </w:rPr>
        <w:t>Malkit Kaur Sidhu</w:t>
      </w:r>
      <w:r>
        <w:rPr>
          <w:rFonts w:cs="Times New Roman"/>
          <w:lang w:val="fr-CA"/>
        </w:rPr>
        <w:t>, tous deux citoyens canadiens résida</w:t>
      </w:r>
      <w:r w:rsidRPr="0080058A">
        <w:rPr>
          <w:rFonts w:cs="Times New Roman"/>
          <w:lang w:val="fr-CA"/>
        </w:rPr>
        <w:t>nt au Canada.</w:t>
      </w:r>
    </w:p>
    <w:p w:rsidR="00361B98" w:rsidRPr="0080058A" w:rsidRDefault="00361B98" w:rsidP="002B69A7">
      <w:pPr>
        <w:pStyle w:val="ParaNoNdepar-AltN"/>
        <w:widowControl w:val="0"/>
        <w:rPr>
          <w:rFonts w:cs="Times New Roman"/>
          <w:lang w:val="fr-CA"/>
        </w:rPr>
      </w:pPr>
      <w:r w:rsidRPr="0080058A">
        <w:rPr>
          <w:rFonts w:cs="Times New Roman"/>
          <w:lang w:val="fr-CA"/>
        </w:rPr>
        <w:t>L</w:t>
      </w:r>
      <w:r>
        <w:rPr>
          <w:rFonts w:cs="Times New Roman"/>
          <w:lang w:val="fr-CA"/>
        </w:rPr>
        <w:t>’</w:t>
      </w:r>
      <w:r w:rsidRPr="0080058A">
        <w:rPr>
          <w:rFonts w:cs="Times New Roman"/>
          <w:lang w:val="fr-CA"/>
        </w:rPr>
        <w:t xml:space="preserve">Inde </w:t>
      </w:r>
      <w:r>
        <w:rPr>
          <w:rFonts w:cs="Times New Roman"/>
          <w:lang w:val="fr-CA"/>
        </w:rPr>
        <w:t xml:space="preserve">a demandé </w:t>
      </w:r>
      <w:r w:rsidRPr="0080058A">
        <w:rPr>
          <w:rFonts w:cs="Times New Roman"/>
          <w:lang w:val="fr-CA"/>
        </w:rPr>
        <w:t>l</w:t>
      </w:r>
      <w:r>
        <w:rPr>
          <w:rFonts w:cs="Times New Roman"/>
          <w:lang w:val="fr-CA"/>
        </w:rPr>
        <w:t>’</w:t>
      </w:r>
      <w:r w:rsidRPr="0080058A">
        <w:rPr>
          <w:rFonts w:cs="Times New Roman"/>
          <w:lang w:val="fr-CA"/>
        </w:rPr>
        <w:t>extradition de M. Badesha et de M</w:t>
      </w:r>
      <w:r w:rsidRPr="00945929">
        <w:rPr>
          <w:rFonts w:cs="Times New Roman"/>
          <w:vertAlign w:val="superscript"/>
          <w:lang w:val="fr-CA"/>
        </w:rPr>
        <w:t>me</w:t>
      </w:r>
      <w:r w:rsidRPr="0080058A">
        <w:rPr>
          <w:rFonts w:cs="Times New Roman"/>
          <w:lang w:val="fr-CA"/>
        </w:rPr>
        <w:t> Sidhu</w:t>
      </w:r>
      <w:r>
        <w:rPr>
          <w:rFonts w:cs="Times New Roman"/>
          <w:lang w:val="fr-CA"/>
        </w:rPr>
        <w:t xml:space="preserve">, qui sont accusés en vertu </w:t>
      </w:r>
      <w:r w:rsidR="00D91532">
        <w:rPr>
          <w:rFonts w:cs="Times New Roman"/>
          <w:lang w:val="fr-CA"/>
        </w:rPr>
        <w:t>du</w:t>
      </w:r>
      <w:r>
        <w:rPr>
          <w:rFonts w:cs="Times New Roman"/>
          <w:lang w:val="fr-CA"/>
        </w:rPr>
        <w:t xml:space="preserve"> </w:t>
      </w:r>
      <w:r w:rsidRPr="000775B1">
        <w:rPr>
          <w:rFonts w:cs="Times New Roman"/>
          <w:i/>
          <w:lang w:val="fr-CA"/>
        </w:rPr>
        <w:t>Penal Code</w:t>
      </w:r>
      <w:r w:rsidRPr="0080058A">
        <w:rPr>
          <w:rFonts w:cs="Times New Roman"/>
          <w:lang w:val="fr-CA"/>
        </w:rPr>
        <w:t xml:space="preserve"> </w:t>
      </w:r>
      <w:r w:rsidR="00D91532">
        <w:rPr>
          <w:rFonts w:cs="Times New Roman"/>
          <w:lang w:val="fr-CA"/>
        </w:rPr>
        <w:t xml:space="preserve">de l’Inde </w:t>
      </w:r>
      <w:r>
        <w:rPr>
          <w:rFonts w:cs="Times New Roman"/>
          <w:lang w:val="fr-CA"/>
        </w:rPr>
        <w:t>(</w:t>
      </w:r>
      <w:r w:rsidR="00D91532">
        <w:rPr>
          <w:rFonts w:cs="Times New Roman"/>
          <w:lang w:val="fr-CA"/>
        </w:rPr>
        <w:t>« </w:t>
      </w:r>
      <w:r w:rsidRPr="00EA3FCB">
        <w:rPr>
          <w:rFonts w:cs="Times New Roman"/>
          <w:lang w:val="fr-CA"/>
        </w:rPr>
        <w:t>Code pénal</w:t>
      </w:r>
      <w:r>
        <w:rPr>
          <w:rFonts w:cs="Times New Roman"/>
          <w:lang w:val="fr-CA"/>
        </w:rPr>
        <w:t xml:space="preserve"> indien</w:t>
      </w:r>
      <w:r w:rsidR="00D91532">
        <w:rPr>
          <w:rFonts w:cs="Times New Roman"/>
          <w:lang w:val="fr-CA"/>
        </w:rPr>
        <w:t> »</w:t>
      </w:r>
      <w:r>
        <w:rPr>
          <w:rFonts w:cs="Times New Roman"/>
          <w:lang w:val="fr-CA"/>
        </w:rPr>
        <w:t xml:space="preserve">) de </w:t>
      </w:r>
      <w:r w:rsidRPr="0080058A">
        <w:rPr>
          <w:rFonts w:cs="Times New Roman"/>
          <w:lang w:val="fr-CA"/>
        </w:rPr>
        <w:t xml:space="preserve">complot en vue de commettre un meurtre. </w:t>
      </w:r>
      <w:r>
        <w:rPr>
          <w:rFonts w:cs="Times New Roman"/>
          <w:lang w:val="fr-CA"/>
        </w:rPr>
        <w:t>À </w:t>
      </w:r>
      <w:r w:rsidRPr="0080058A">
        <w:rPr>
          <w:rFonts w:cs="Times New Roman"/>
          <w:lang w:val="fr-CA"/>
        </w:rPr>
        <w:t>la suite d</w:t>
      </w:r>
      <w:r>
        <w:rPr>
          <w:rFonts w:cs="Times New Roman"/>
          <w:lang w:val="fr-CA"/>
        </w:rPr>
        <w:t>e l’</w:t>
      </w:r>
      <w:r w:rsidRPr="0080058A">
        <w:rPr>
          <w:rFonts w:cs="Times New Roman"/>
          <w:lang w:val="fr-CA"/>
        </w:rPr>
        <w:t>audience d</w:t>
      </w:r>
      <w:r>
        <w:rPr>
          <w:rFonts w:cs="Times New Roman"/>
          <w:lang w:val="fr-CA"/>
        </w:rPr>
        <w:t>’</w:t>
      </w:r>
      <w:r w:rsidRPr="0080058A">
        <w:rPr>
          <w:rFonts w:cs="Times New Roman"/>
          <w:lang w:val="fr-CA"/>
        </w:rPr>
        <w:t>extradition, M. Badesha et M</w:t>
      </w:r>
      <w:r w:rsidRPr="00945929">
        <w:rPr>
          <w:rFonts w:cs="Times New Roman"/>
          <w:vertAlign w:val="superscript"/>
          <w:lang w:val="fr-CA"/>
        </w:rPr>
        <w:t>me</w:t>
      </w:r>
      <w:r w:rsidRPr="0080058A">
        <w:rPr>
          <w:rFonts w:cs="Times New Roman"/>
          <w:lang w:val="fr-CA"/>
        </w:rPr>
        <w:t xml:space="preserve"> Sidhu ont été incarcérés en vue de leur </w:t>
      </w:r>
      <w:r>
        <w:rPr>
          <w:rFonts w:cs="Times New Roman"/>
          <w:lang w:val="fr-CA"/>
        </w:rPr>
        <w:t>remise aux autorités indiennes</w:t>
      </w:r>
      <w:r w:rsidRPr="0080058A">
        <w:rPr>
          <w:rFonts w:cs="Times New Roman"/>
          <w:lang w:val="fr-CA"/>
        </w:rPr>
        <w:t>. Le ministre de la Justice</w:t>
      </w:r>
      <w:r>
        <w:rPr>
          <w:rFonts w:cs="Times New Roman"/>
          <w:lang w:val="fr-CA"/>
        </w:rPr>
        <w:t xml:space="preserve"> </w:t>
      </w:r>
      <w:r w:rsidRPr="0080058A">
        <w:rPr>
          <w:rFonts w:cs="Times New Roman"/>
          <w:lang w:val="fr-CA"/>
        </w:rPr>
        <w:t xml:space="preserve">a par la suite </w:t>
      </w:r>
      <w:r>
        <w:rPr>
          <w:rFonts w:cs="Times New Roman"/>
          <w:lang w:val="fr-CA"/>
        </w:rPr>
        <w:t xml:space="preserve">ordonné leur extradition </w:t>
      </w:r>
      <w:r w:rsidRPr="0080058A">
        <w:rPr>
          <w:rFonts w:cs="Times New Roman"/>
          <w:lang w:val="fr-CA"/>
        </w:rPr>
        <w:t xml:space="preserve">en Inde après avoir </w:t>
      </w:r>
      <w:r>
        <w:rPr>
          <w:rFonts w:cs="Times New Roman"/>
          <w:lang w:val="fr-CA"/>
        </w:rPr>
        <w:t>jugé</w:t>
      </w:r>
      <w:r w:rsidRPr="0080058A">
        <w:rPr>
          <w:rFonts w:cs="Times New Roman"/>
          <w:lang w:val="fr-CA"/>
        </w:rPr>
        <w:t>, conformément à l</w:t>
      </w:r>
      <w:r>
        <w:rPr>
          <w:rFonts w:cs="Times New Roman"/>
          <w:lang w:val="fr-CA"/>
        </w:rPr>
        <w:t>’al. </w:t>
      </w:r>
      <w:r w:rsidRPr="0080058A">
        <w:rPr>
          <w:rFonts w:cs="Times New Roman"/>
          <w:lang w:val="fr-CA"/>
        </w:rPr>
        <w:t xml:space="preserve">44(1)a) de la </w:t>
      </w:r>
      <w:r w:rsidRPr="0080058A">
        <w:rPr>
          <w:rFonts w:cs="Times New Roman"/>
          <w:i/>
          <w:lang w:val="fr-CA"/>
        </w:rPr>
        <w:t>Loi sur l</w:t>
      </w:r>
      <w:r>
        <w:rPr>
          <w:rFonts w:cs="Times New Roman"/>
          <w:i/>
          <w:lang w:val="fr-CA"/>
        </w:rPr>
        <w:t>’</w:t>
      </w:r>
      <w:r w:rsidRPr="0080058A">
        <w:rPr>
          <w:rFonts w:cs="Times New Roman"/>
          <w:i/>
          <w:lang w:val="fr-CA"/>
        </w:rPr>
        <w:t>extradition</w:t>
      </w:r>
      <w:r>
        <w:rPr>
          <w:rFonts w:cs="Times New Roman"/>
          <w:lang w:val="fr-CA"/>
        </w:rPr>
        <w:t>, L.C. 1999, c. 18</w:t>
      </w:r>
      <w:r w:rsidRPr="0080058A">
        <w:rPr>
          <w:rFonts w:cs="Times New Roman"/>
          <w:i/>
          <w:lang w:val="fr-CA"/>
        </w:rPr>
        <w:t xml:space="preserve"> </w:t>
      </w:r>
      <w:r w:rsidRPr="0080058A">
        <w:rPr>
          <w:rFonts w:cs="Times New Roman"/>
          <w:lang w:val="fr-CA"/>
        </w:rPr>
        <w:t>(</w:t>
      </w:r>
      <w:r>
        <w:rPr>
          <w:rFonts w:cs="Times New Roman"/>
          <w:lang w:val="fr-CA"/>
        </w:rPr>
        <w:t>« </w:t>
      </w:r>
      <w:r w:rsidRPr="00B91C20">
        <w:rPr>
          <w:rFonts w:cs="Times New Roman"/>
          <w:lang w:val="fr-CA"/>
        </w:rPr>
        <w:t>Loi</w:t>
      </w:r>
      <w:r>
        <w:rPr>
          <w:rFonts w:cs="Times New Roman"/>
          <w:i/>
          <w:lang w:val="fr-CA"/>
        </w:rPr>
        <w:t xml:space="preserve"> </w:t>
      </w:r>
      <w:r w:rsidRPr="00E5471E">
        <w:rPr>
          <w:rFonts w:cs="Times New Roman"/>
          <w:lang w:val="fr-CA"/>
        </w:rPr>
        <w:t>»</w:t>
      </w:r>
      <w:r w:rsidRPr="0080058A">
        <w:rPr>
          <w:rFonts w:cs="Times New Roman"/>
          <w:lang w:val="fr-CA"/>
        </w:rPr>
        <w:t xml:space="preserve">), que </w:t>
      </w:r>
      <w:r>
        <w:rPr>
          <w:rFonts w:cs="Times New Roman"/>
          <w:lang w:val="fr-CA"/>
        </w:rPr>
        <w:lastRenderedPageBreak/>
        <w:t xml:space="preserve">leur extradition </w:t>
      </w:r>
      <w:r w:rsidRPr="0080058A">
        <w:rPr>
          <w:rFonts w:cs="Times New Roman"/>
          <w:lang w:val="fr-CA"/>
        </w:rPr>
        <w:t xml:space="preserve">ne serait </w:t>
      </w:r>
      <w:r>
        <w:rPr>
          <w:rFonts w:cs="Times New Roman"/>
          <w:lang w:val="fr-CA"/>
        </w:rPr>
        <w:t>pas</w:t>
      </w:r>
      <w:r w:rsidRPr="0080058A">
        <w:rPr>
          <w:rFonts w:cs="Times New Roman"/>
          <w:lang w:val="fr-CA"/>
        </w:rPr>
        <w:t xml:space="preserve"> injuste ou tyrannique. </w:t>
      </w:r>
    </w:p>
    <w:p w:rsidR="00361B98" w:rsidRPr="0080058A" w:rsidRDefault="00361B98" w:rsidP="002B69A7">
      <w:pPr>
        <w:pStyle w:val="ParaNoNdepar-AltN"/>
        <w:widowControl w:val="0"/>
        <w:rPr>
          <w:rFonts w:cs="Times New Roman"/>
          <w:lang w:val="fr-CA"/>
        </w:rPr>
      </w:pPr>
      <w:r w:rsidRPr="0080058A">
        <w:rPr>
          <w:rFonts w:cs="Times New Roman"/>
          <w:lang w:val="fr-CA"/>
        </w:rPr>
        <w:t>M</w:t>
      </w:r>
      <w:r>
        <w:rPr>
          <w:rFonts w:cs="Times New Roman"/>
          <w:lang w:val="fr-CA"/>
        </w:rPr>
        <w:t>. </w:t>
      </w:r>
      <w:r w:rsidRPr="0080058A">
        <w:rPr>
          <w:rFonts w:cs="Times New Roman"/>
          <w:lang w:val="fr-CA"/>
        </w:rPr>
        <w:t>Badesha et M</w:t>
      </w:r>
      <w:r w:rsidRPr="0080058A">
        <w:rPr>
          <w:rFonts w:cs="Times New Roman"/>
          <w:vertAlign w:val="superscript"/>
          <w:lang w:val="fr-CA"/>
        </w:rPr>
        <w:t>me</w:t>
      </w:r>
      <w:r w:rsidRPr="0080058A">
        <w:rPr>
          <w:rFonts w:cs="Times New Roman"/>
          <w:lang w:val="fr-CA"/>
        </w:rPr>
        <w:t xml:space="preserve"> Sidhu ont </w:t>
      </w:r>
      <w:r>
        <w:rPr>
          <w:rFonts w:cs="Times New Roman"/>
          <w:lang w:val="fr-CA"/>
        </w:rPr>
        <w:t xml:space="preserve">sollicité le contrôle judiciaire </w:t>
      </w:r>
      <w:r w:rsidRPr="0080058A">
        <w:rPr>
          <w:rFonts w:cs="Times New Roman"/>
          <w:lang w:val="fr-CA"/>
        </w:rPr>
        <w:t xml:space="preserve">de la décision du </w:t>
      </w:r>
      <w:r>
        <w:rPr>
          <w:rFonts w:cs="Times New Roman"/>
          <w:lang w:val="fr-CA"/>
        </w:rPr>
        <w:t>m</w:t>
      </w:r>
      <w:r w:rsidRPr="0080058A">
        <w:rPr>
          <w:rFonts w:cs="Times New Roman"/>
          <w:lang w:val="fr-CA"/>
        </w:rPr>
        <w:t xml:space="preserve">inistre </w:t>
      </w:r>
      <w:r>
        <w:rPr>
          <w:rFonts w:cs="Times New Roman"/>
          <w:lang w:val="fr-CA"/>
        </w:rPr>
        <w:t xml:space="preserve">à </w:t>
      </w:r>
      <w:r w:rsidRPr="0080058A">
        <w:rPr>
          <w:rFonts w:cs="Times New Roman"/>
          <w:lang w:val="fr-CA"/>
        </w:rPr>
        <w:t>la Cour d</w:t>
      </w:r>
      <w:r>
        <w:rPr>
          <w:rFonts w:cs="Times New Roman"/>
          <w:lang w:val="fr-CA"/>
        </w:rPr>
        <w:t>’</w:t>
      </w:r>
      <w:r w:rsidRPr="0080058A">
        <w:rPr>
          <w:rFonts w:cs="Times New Roman"/>
          <w:lang w:val="fr-CA"/>
        </w:rPr>
        <w:t>appel de la Colombie</w:t>
      </w:r>
      <w:r>
        <w:rPr>
          <w:rFonts w:cs="Times New Roman"/>
          <w:lang w:val="fr-CA"/>
        </w:rPr>
        <w:noBreakHyphen/>
      </w:r>
      <w:r w:rsidRPr="0080058A">
        <w:rPr>
          <w:rFonts w:cs="Times New Roman"/>
          <w:lang w:val="fr-CA"/>
        </w:rPr>
        <w:t>Britannique.</w:t>
      </w:r>
      <w:r w:rsidRPr="0080058A">
        <w:rPr>
          <w:rFonts w:cs="Times New Roman"/>
          <w:i/>
          <w:lang w:val="fr-CA"/>
        </w:rPr>
        <w:t xml:space="preserve"> </w:t>
      </w:r>
      <w:r w:rsidRPr="0080058A">
        <w:rPr>
          <w:rFonts w:cs="Times New Roman"/>
          <w:lang w:val="fr-CA"/>
        </w:rPr>
        <w:t>L</w:t>
      </w:r>
      <w:r>
        <w:rPr>
          <w:rFonts w:cs="Times New Roman"/>
          <w:lang w:val="fr-CA"/>
        </w:rPr>
        <w:t xml:space="preserve">es juges majoritaires ont </w:t>
      </w:r>
      <w:r w:rsidRPr="0080058A">
        <w:rPr>
          <w:rFonts w:cs="Times New Roman"/>
          <w:lang w:val="fr-CA"/>
        </w:rPr>
        <w:t xml:space="preserve">conclu </w:t>
      </w:r>
      <w:r>
        <w:rPr>
          <w:rFonts w:cs="Times New Roman"/>
          <w:lang w:val="fr-CA"/>
        </w:rPr>
        <w:t>au caractère déraisonnable de la décision du m</w:t>
      </w:r>
      <w:r w:rsidRPr="0080058A">
        <w:rPr>
          <w:rFonts w:cs="Times New Roman"/>
          <w:lang w:val="fr-CA"/>
        </w:rPr>
        <w:t>inistre</w:t>
      </w:r>
      <w:r>
        <w:rPr>
          <w:rFonts w:cs="Times New Roman"/>
          <w:lang w:val="fr-CA"/>
        </w:rPr>
        <w:t xml:space="preserve"> selon laquelle </w:t>
      </w:r>
      <w:r w:rsidRPr="0080058A">
        <w:rPr>
          <w:rFonts w:cs="Times New Roman"/>
          <w:lang w:val="fr-CA"/>
        </w:rPr>
        <w:t>l</w:t>
      </w:r>
      <w:r>
        <w:rPr>
          <w:rFonts w:cs="Times New Roman"/>
          <w:lang w:val="fr-CA"/>
        </w:rPr>
        <w:t>’</w:t>
      </w:r>
      <w:r w:rsidRPr="0080058A">
        <w:rPr>
          <w:rFonts w:cs="Times New Roman"/>
          <w:lang w:val="fr-CA"/>
        </w:rPr>
        <w:t>extradition de M. Badesha et de M</w:t>
      </w:r>
      <w:r w:rsidRPr="00945929">
        <w:rPr>
          <w:rFonts w:cs="Times New Roman"/>
          <w:vertAlign w:val="superscript"/>
          <w:lang w:val="fr-CA"/>
        </w:rPr>
        <w:t>me</w:t>
      </w:r>
      <w:r w:rsidRPr="0080058A">
        <w:rPr>
          <w:rFonts w:cs="Times New Roman"/>
          <w:lang w:val="fr-CA"/>
        </w:rPr>
        <w:t xml:space="preserve"> Sidhu </w:t>
      </w:r>
      <w:r>
        <w:rPr>
          <w:rFonts w:cs="Times New Roman"/>
          <w:lang w:val="fr-CA"/>
        </w:rPr>
        <w:t xml:space="preserve">ne </w:t>
      </w:r>
      <w:r w:rsidRPr="0080058A">
        <w:rPr>
          <w:rFonts w:cs="Times New Roman"/>
          <w:lang w:val="fr-CA"/>
        </w:rPr>
        <w:t xml:space="preserve">serait </w:t>
      </w:r>
      <w:r>
        <w:rPr>
          <w:rFonts w:cs="Times New Roman"/>
          <w:lang w:val="fr-CA"/>
        </w:rPr>
        <w:t xml:space="preserve">pas </w:t>
      </w:r>
      <w:r w:rsidRPr="0080058A">
        <w:rPr>
          <w:rFonts w:cs="Times New Roman"/>
          <w:lang w:val="fr-CA"/>
        </w:rPr>
        <w:t xml:space="preserve">injuste ou tyrannique </w:t>
      </w:r>
      <w:r>
        <w:rPr>
          <w:rFonts w:cs="Times New Roman"/>
          <w:lang w:val="fr-CA"/>
        </w:rPr>
        <w:t>dans l</w:t>
      </w:r>
      <w:r w:rsidRPr="0080058A">
        <w:rPr>
          <w:rFonts w:cs="Times New Roman"/>
          <w:lang w:val="fr-CA"/>
        </w:rPr>
        <w:t>e</w:t>
      </w:r>
      <w:r>
        <w:rPr>
          <w:rFonts w:cs="Times New Roman"/>
          <w:lang w:val="fr-CA"/>
        </w:rPr>
        <w:t xml:space="preserve">s </w:t>
      </w:r>
      <w:r w:rsidRPr="0080058A">
        <w:rPr>
          <w:rFonts w:cs="Times New Roman"/>
          <w:lang w:val="fr-CA"/>
        </w:rPr>
        <w:t xml:space="preserve">circonstances. </w:t>
      </w:r>
      <w:r>
        <w:rPr>
          <w:rFonts w:cs="Times New Roman"/>
          <w:lang w:val="fr-CA"/>
        </w:rPr>
        <w:t xml:space="preserve">Ils </w:t>
      </w:r>
      <w:r w:rsidRPr="0080058A">
        <w:rPr>
          <w:rFonts w:cs="Times New Roman"/>
          <w:lang w:val="fr-CA"/>
        </w:rPr>
        <w:t>ont</w:t>
      </w:r>
      <w:r>
        <w:rPr>
          <w:rFonts w:cs="Times New Roman"/>
          <w:lang w:val="fr-CA"/>
        </w:rPr>
        <w:t xml:space="preserve"> donc</w:t>
      </w:r>
      <w:r w:rsidRPr="0080058A">
        <w:rPr>
          <w:rFonts w:cs="Times New Roman"/>
          <w:lang w:val="fr-CA"/>
        </w:rPr>
        <w:t xml:space="preserve"> ordonné que la décision soit annulée et que l</w:t>
      </w:r>
      <w:r>
        <w:rPr>
          <w:rFonts w:cs="Times New Roman"/>
          <w:lang w:val="fr-CA"/>
        </w:rPr>
        <w:t>’</w:t>
      </w:r>
      <w:r w:rsidRPr="0080058A">
        <w:rPr>
          <w:rFonts w:cs="Times New Roman"/>
          <w:lang w:val="fr-CA"/>
        </w:rPr>
        <w:t xml:space="preserve">affaire soit </w:t>
      </w:r>
      <w:r>
        <w:rPr>
          <w:rFonts w:cs="Times New Roman"/>
          <w:lang w:val="fr-CA"/>
        </w:rPr>
        <w:t>renvoyée au ministre pour réexame</w:t>
      </w:r>
      <w:r w:rsidRPr="0080058A">
        <w:rPr>
          <w:rFonts w:cs="Times New Roman"/>
          <w:lang w:val="fr-CA"/>
        </w:rPr>
        <w:t xml:space="preserve">n. Le procureur général du Canada se pourvoit en appel de cette ordonnance. </w:t>
      </w:r>
    </w:p>
    <w:p w:rsidR="00361B98" w:rsidRPr="0080058A" w:rsidRDefault="00361B98" w:rsidP="002B69A7">
      <w:pPr>
        <w:pStyle w:val="ParaNoNdepar-AltN"/>
        <w:widowControl w:val="0"/>
        <w:rPr>
          <w:rFonts w:cs="Times New Roman"/>
          <w:lang w:val="fr-CA"/>
        </w:rPr>
      </w:pPr>
      <w:r w:rsidRPr="0080058A">
        <w:rPr>
          <w:rFonts w:cs="Times New Roman"/>
          <w:lang w:val="fr-CA"/>
        </w:rPr>
        <w:t>La question de savoir si M. Badesha et M</w:t>
      </w:r>
      <w:r w:rsidRPr="0080058A">
        <w:rPr>
          <w:rFonts w:cs="Times New Roman"/>
          <w:vertAlign w:val="superscript"/>
          <w:lang w:val="fr-CA"/>
        </w:rPr>
        <w:t>me</w:t>
      </w:r>
      <w:r w:rsidRPr="0080058A">
        <w:rPr>
          <w:rFonts w:cs="Times New Roman"/>
          <w:lang w:val="fr-CA"/>
        </w:rPr>
        <w:t xml:space="preserve"> Sidhu </w:t>
      </w:r>
      <w:r>
        <w:rPr>
          <w:rFonts w:cs="Times New Roman"/>
          <w:lang w:val="fr-CA"/>
        </w:rPr>
        <w:t xml:space="preserve">courent </w:t>
      </w:r>
      <w:r w:rsidRPr="0080058A">
        <w:rPr>
          <w:rFonts w:cs="Times New Roman"/>
          <w:lang w:val="fr-CA"/>
        </w:rPr>
        <w:t>un risque</w:t>
      </w:r>
      <w:r>
        <w:rPr>
          <w:rFonts w:cs="Times New Roman"/>
          <w:lang w:val="fr-CA"/>
        </w:rPr>
        <w:t xml:space="preserve"> sérieux</w:t>
      </w:r>
      <w:r w:rsidRPr="0080058A">
        <w:rPr>
          <w:rFonts w:cs="Times New Roman"/>
          <w:lang w:val="fr-CA"/>
        </w:rPr>
        <w:t xml:space="preserve"> de torture ou d</w:t>
      </w:r>
      <w:r>
        <w:rPr>
          <w:rFonts w:cs="Times New Roman"/>
          <w:lang w:val="fr-CA"/>
        </w:rPr>
        <w:t xml:space="preserve">’autres </w:t>
      </w:r>
      <w:r w:rsidRPr="0080058A">
        <w:rPr>
          <w:rFonts w:cs="Times New Roman"/>
          <w:lang w:val="fr-CA"/>
        </w:rPr>
        <w:t>mauvais traitements s</w:t>
      </w:r>
      <w:r>
        <w:rPr>
          <w:rFonts w:cs="Times New Roman"/>
          <w:lang w:val="fr-CA"/>
        </w:rPr>
        <w:t>’</w:t>
      </w:r>
      <w:r w:rsidRPr="0080058A">
        <w:rPr>
          <w:rFonts w:cs="Times New Roman"/>
          <w:lang w:val="fr-CA"/>
        </w:rPr>
        <w:t xml:space="preserve">ils </w:t>
      </w:r>
      <w:r>
        <w:rPr>
          <w:rFonts w:cs="Times New Roman"/>
          <w:lang w:val="fr-CA"/>
        </w:rPr>
        <w:t xml:space="preserve">sont </w:t>
      </w:r>
      <w:r w:rsidRPr="0080058A">
        <w:rPr>
          <w:rFonts w:cs="Times New Roman"/>
          <w:lang w:val="fr-CA"/>
        </w:rPr>
        <w:t xml:space="preserve">incarcérés en Inde est au cœur </w:t>
      </w:r>
      <w:r>
        <w:rPr>
          <w:rFonts w:cs="Times New Roman"/>
          <w:lang w:val="fr-CA"/>
        </w:rPr>
        <w:t xml:space="preserve">du présent pourvoi. Dans l’affirmative, leur extradition constituerait une violation des </w:t>
      </w:r>
      <w:r w:rsidRPr="0080058A">
        <w:rPr>
          <w:rFonts w:cs="Times New Roman"/>
          <w:lang w:val="fr-CA"/>
        </w:rPr>
        <w:t>droits que leur garantit l</w:t>
      </w:r>
      <w:r>
        <w:rPr>
          <w:rFonts w:cs="Times New Roman"/>
          <w:lang w:val="fr-CA"/>
        </w:rPr>
        <w:t>’art. </w:t>
      </w:r>
      <w:r w:rsidRPr="0080058A">
        <w:rPr>
          <w:rFonts w:cs="Times New Roman"/>
          <w:lang w:val="fr-CA"/>
        </w:rPr>
        <w:t xml:space="preserve">7 de la </w:t>
      </w:r>
      <w:r w:rsidRPr="0080058A">
        <w:rPr>
          <w:rFonts w:cs="Times New Roman"/>
          <w:i/>
          <w:lang w:val="fr-CA"/>
        </w:rPr>
        <w:t>Charte</w:t>
      </w:r>
      <w:r>
        <w:rPr>
          <w:rFonts w:cs="Times New Roman"/>
          <w:i/>
          <w:lang w:val="fr-CA"/>
        </w:rPr>
        <w:t xml:space="preserve"> canadienne des droits et libertés</w:t>
      </w:r>
      <w:r>
        <w:rPr>
          <w:rFonts w:cs="Times New Roman"/>
          <w:lang w:val="fr-CA"/>
        </w:rPr>
        <w:t xml:space="preserve">, rendant ainsi </w:t>
      </w:r>
      <w:r w:rsidRPr="0080058A">
        <w:rPr>
          <w:rFonts w:cs="Times New Roman"/>
          <w:lang w:val="fr-CA"/>
        </w:rPr>
        <w:t>leur extradition injuste ou tyrannique au sens de l</w:t>
      </w:r>
      <w:r>
        <w:rPr>
          <w:rFonts w:cs="Times New Roman"/>
          <w:lang w:val="fr-CA"/>
        </w:rPr>
        <w:t>’al. </w:t>
      </w:r>
      <w:r w:rsidRPr="0080058A">
        <w:rPr>
          <w:rFonts w:cs="Times New Roman"/>
          <w:lang w:val="fr-CA"/>
        </w:rPr>
        <w:t xml:space="preserve">44(1)a) de la </w:t>
      </w:r>
      <w:r w:rsidRPr="00B91C20">
        <w:rPr>
          <w:rFonts w:cs="Times New Roman"/>
          <w:lang w:val="fr-CA"/>
        </w:rPr>
        <w:t>Loi</w:t>
      </w:r>
      <w:r w:rsidRPr="00457BF2">
        <w:rPr>
          <w:rStyle w:val="Hyperlink"/>
          <w:u w:val="none"/>
          <w:vertAlign w:val="superscript"/>
        </w:rPr>
        <w:footnoteReference w:id="1"/>
      </w:r>
      <w:r w:rsidRPr="0080058A">
        <w:rPr>
          <w:rFonts w:cs="Times New Roman"/>
          <w:lang w:val="fr-CA"/>
        </w:rPr>
        <w:t xml:space="preserve">. </w:t>
      </w:r>
    </w:p>
    <w:p w:rsidR="00361B98" w:rsidRPr="0080058A" w:rsidRDefault="00361B98" w:rsidP="002B69A7">
      <w:pPr>
        <w:pStyle w:val="ParaNoNdepar-AltN"/>
        <w:widowControl w:val="0"/>
        <w:rPr>
          <w:rFonts w:cs="Times New Roman"/>
          <w:lang w:val="fr-CA"/>
        </w:rPr>
      </w:pPr>
      <w:r>
        <w:rPr>
          <w:rFonts w:cs="Times New Roman"/>
          <w:lang w:val="fr-CA"/>
        </w:rPr>
        <w:t xml:space="preserve">Pour décider ou non d’extrader </w:t>
      </w:r>
      <w:r w:rsidRPr="0080058A">
        <w:rPr>
          <w:rFonts w:cs="Times New Roman"/>
          <w:lang w:val="fr-CA"/>
        </w:rPr>
        <w:t>M. Badesha et M</w:t>
      </w:r>
      <w:r w:rsidRPr="0080058A">
        <w:rPr>
          <w:rFonts w:cs="Times New Roman"/>
          <w:vertAlign w:val="superscript"/>
          <w:lang w:val="fr-CA"/>
        </w:rPr>
        <w:t>me</w:t>
      </w:r>
      <w:r w:rsidRPr="0080058A">
        <w:rPr>
          <w:rFonts w:cs="Times New Roman"/>
          <w:lang w:val="fr-CA"/>
        </w:rPr>
        <w:t xml:space="preserve"> Sidhu, le </w:t>
      </w:r>
      <w:r>
        <w:rPr>
          <w:rFonts w:cs="Times New Roman"/>
          <w:lang w:val="fr-CA"/>
        </w:rPr>
        <w:t>m</w:t>
      </w:r>
      <w:r w:rsidRPr="0080058A">
        <w:rPr>
          <w:rFonts w:cs="Times New Roman"/>
          <w:lang w:val="fr-CA"/>
        </w:rPr>
        <w:t xml:space="preserve">inistre a pris en compte les risques </w:t>
      </w:r>
      <w:r>
        <w:rPr>
          <w:rFonts w:cs="Times New Roman"/>
          <w:lang w:val="fr-CA"/>
        </w:rPr>
        <w:t xml:space="preserve">qu’ils pourraient courir sur les plans de la santé et de la sécurité </w:t>
      </w:r>
      <w:r w:rsidRPr="0080058A">
        <w:rPr>
          <w:rFonts w:cs="Times New Roman"/>
          <w:lang w:val="fr-CA"/>
        </w:rPr>
        <w:t>s</w:t>
      </w:r>
      <w:r>
        <w:rPr>
          <w:rFonts w:cs="Times New Roman"/>
          <w:lang w:val="fr-CA"/>
        </w:rPr>
        <w:t>’</w:t>
      </w:r>
      <w:r w:rsidRPr="0080058A">
        <w:rPr>
          <w:rFonts w:cs="Times New Roman"/>
          <w:lang w:val="fr-CA"/>
        </w:rPr>
        <w:t xml:space="preserve">ils étaient incarcérés en Inde et il </w:t>
      </w:r>
      <w:r>
        <w:rPr>
          <w:rFonts w:cs="Times New Roman"/>
          <w:lang w:val="fr-CA"/>
        </w:rPr>
        <w:t xml:space="preserve">a pris </w:t>
      </w:r>
      <w:r w:rsidRPr="0080058A">
        <w:rPr>
          <w:rFonts w:cs="Times New Roman"/>
          <w:lang w:val="fr-CA"/>
        </w:rPr>
        <w:t xml:space="preserve">ces risques </w:t>
      </w:r>
      <w:r>
        <w:rPr>
          <w:rFonts w:cs="Times New Roman"/>
          <w:lang w:val="fr-CA"/>
        </w:rPr>
        <w:t>au sérieux</w:t>
      </w:r>
      <w:r w:rsidRPr="0080058A">
        <w:rPr>
          <w:rFonts w:cs="Times New Roman"/>
          <w:lang w:val="fr-CA"/>
        </w:rPr>
        <w:t xml:space="preserve">. </w:t>
      </w:r>
      <w:r>
        <w:rPr>
          <w:rFonts w:cs="Times New Roman"/>
          <w:lang w:val="fr-CA"/>
        </w:rPr>
        <w:t>T</w:t>
      </w:r>
      <w:r w:rsidRPr="0080058A">
        <w:rPr>
          <w:rFonts w:cs="Times New Roman"/>
          <w:lang w:val="fr-CA"/>
        </w:rPr>
        <w:t>outefois, après avoir demandé et obtenu des autorités indiennes des as</w:t>
      </w:r>
      <w:r>
        <w:rPr>
          <w:rFonts w:cs="Times New Roman"/>
          <w:lang w:val="fr-CA"/>
        </w:rPr>
        <w:t xml:space="preserve">surances censées répondre à ses </w:t>
      </w:r>
      <w:r w:rsidRPr="0080058A">
        <w:rPr>
          <w:rFonts w:cs="Times New Roman"/>
          <w:lang w:val="fr-CA"/>
        </w:rPr>
        <w:t>craintes</w:t>
      </w:r>
      <w:r>
        <w:rPr>
          <w:rFonts w:cs="Times New Roman"/>
          <w:lang w:val="fr-CA"/>
        </w:rPr>
        <w:t xml:space="preserve"> concernant </w:t>
      </w:r>
      <w:r w:rsidRPr="0080058A">
        <w:rPr>
          <w:rFonts w:cs="Times New Roman"/>
          <w:lang w:val="fr-CA"/>
        </w:rPr>
        <w:t>la santé et la sécurité de M. Badesha et de M</w:t>
      </w:r>
      <w:r w:rsidRPr="0080058A">
        <w:rPr>
          <w:rFonts w:cs="Times New Roman"/>
          <w:vertAlign w:val="superscript"/>
          <w:lang w:val="fr-CA"/>
        </w:rPr>
        <w:t>me</w:t>
      </w:r>
      <w:r w:rsidRPr="0080058A">
        <w:rPr>
          <w:rFonts w:cs="Times New Roman"/>
          <w:lang w:val="fr-CA"/>
        </w:rPr>
        <w:t xml:space="preserve"> Sidhu pendant </w:t>
      </w:r>
      <w:r>
        <w:rPr>
          <w:rFonts w:cs="Times New Roman"/>
          <w:lang w:val="fr-CA"/>
        </w:rPr>
        <w:t xml:space="preserve">leur détention, le ministre a finalement conclu qu’ils ne couraient pas un risque sérieux de </w:t>
      </w:r>
      <w:r>
        <w:rPr>
          <w:rFonts w:cs="Times New Roman"/>
          <w:lang w:val="fr-CA"/>
        </w:rPr>
        <w:lastRenderedPageBreak/>
        <w:t>torture ou de mauvais traitements</w:t>
      </w:r>
      <w:r w:rsidRPr="0080058A">
        <w:rPr>
          <w:rFonts w:cs="Times New Roman"/>
          <w:lang w:val="fr-CA"/>
        </w:rPr>
        <w:t xml:space="preserve">. </w:t>
      </w:r>
    </w:p>
    <w:p w:rsidR="00361B98" w:rsidRPr="0080058A" w:rsidRDefault="00361B98" w:rsidP="002B69A7">
      <w:pPr>
        <w:pStyle w:val="ParaNoNdepar-AltN"/>
        <w:widowControl w:val="0"/>
        <w:rPr>
          <w:rFonts w:cs="Times New Roman"/>
          <w:lang w:val="fr-CA"/>
        </w:rPr>
      </w:pPr>
      <w:r w:rsidRPr="0080058A">
        <w:rPr>
          <w:rFonts w:cs="Times New Roman"/>
          <w:lang w:val="fr-CA"/>
        </w:rPr>
        <w:t>Pour les motifs qui suivent, j</w:t>
      </w:r>
      <w:r>
        <w:rPr>
          <w:rFonts w:cs="Times New Roman"/>
          <w:lang w:val="fr-CA"/>
        </w:rPr>
        <w:t>’</w:t>
      </w:r>
      <w:r w:rsidRPr="0080058A">
        <w:rPr>
          <w:rFonts w:cs="Times New Roman"/>
          <w:lang w:val="fr-CA"/>
        </w:rPr>
        <w:t>e</w:t>
      </w:r>
      <w:r>
        <w:rPr>
          <w:rFonts w:cs="Times New Roman"/>
          <w:lang w:val="fr-CA"/>
        </w:rPr>
        <w:t>stime en tout respect</w:t>
      </w:r>
      <w:r w:rsidRPr="0080058A">
        <w:rPr>
          <w:rFonts w:cs="Times New Roman"/>
          <w:lang w:val="fr-CA"/>
        </w:rPr>
        <w:t xml:space="preserve"> que la conclusion </w:t>
      </w:r>
      <w:r>
        <w:rPr>
          <w:rFonts w:cs="Times New Roman"/>
          <w:lang w:val="fr-CA"/>
        </w:rPr>
        <w:t>du m</w:t>
      </w:r>
      <w:r w:rsidRPr="0080058A">
        <w:rPr>
          <w:rFonts w:cs="Times New Roman"/>
          <w:lang w:val="fr-CA"/>
        </w:rPr>
        <w:t xml:space="preserve">inistre </w:t>
      </w:r>
      <w:r>
        <w:rPr>
          <w:rFonts w:cs="Times New Roman"/>
          <w:lang w:val="fr-CA"/>
        </w:rPr>
        <w:t xml:space="preserve">est </w:t>
      </w:r>
      <w:r w:rsidRPr="0080058A">
        <w:rPr>
          <w:rFonts w:cs="Times New Roman"/>
          <w:lang w:val="fr-CA"/>
        </w:rPr>
        <w:t>raisonnable. Je suis du même avis en ce qui concerne sa conclusion connexe suivant laquelle l</w:t>
      </w:r>
      <w:r>
        <w:rPr>
          <w:rFonts w:cs="Times New Roman"/>
          <w:lang w:val="fr-CA"/>
        </w:rPr>
        <w:t>’</w:t>
      </w:r>
      <w:r w:rsidRPr="0080058A">
        <w:rPr>
          <w:rFonts w:cs="Times New Roman"/>
          <w:lang w:val="fr-CA"/>
        </w:rPr>
        <w:t>extradition des intimés n</w:t>
      </w:r>
      <w:r>
        <w:rPr>
          <w:rFonts w:cs="Times New Roman"/>
          <w:lang w:val="fr-CA"/>
        </w:rPr>
        <w:t>’est</w:t>
      </w:r>
      <w:r w:rsidRPr="0080058A">
        <w:rPr>
          <w:rFonts w:cs="Times New Roman"/>
          <w:lang w:val="fr-CA"/>
        </w:rPr>
        <w:t xml:space="preserve"> par ailleurs</w:t>
      </w:r>
      <w:r>
        <w:rPr>
          <w:rFonts w:cs="Times New Roman"/>
          <w:lang w:val="fr-CA"/>
        </w:rPr>
        <w:t xml:space="preserve"> ni injuste ni </w:t>
      </w:r>
      <w:r w:rsidRPr="0080058A">
        <w:rPr>
          <w:rFonts w:cs="Times New Roman"/>
          <w:lang w:val="fr-CA"/>
        </w:rPr>
        <w:t xml:space="preserve">tyrannique. À </w:t>
      </w:r>
      <w:r>
        <w:rPr>
          <w:rFonts w:cs="Times New Roman"/>
          <w:lang w:val="fr-CA"/>
        </w:rPr>
        <w:t>cet égard</w:t>
      </w:r>
      <w:r w:rsidRPr="0080058A">
        <w:rPr>
          <w:rFonts w:cs="Times New Roman"/>
          <w:lang w:val="fr-CA"/>
        </w:rPr>
        <w:t xml:space="preserve">, le </w:t>
      </w:r>
      <w:r>
        <w:rPr>
          <w:rFonts w:cs="Times New Roman"/>
          <w:lang w:val="fr-CA"/>
        </w:rPr>
        <w:t>m</w:t>
      </w:r>
      <w:r w:rsidRPr="0080058A">
        <w:rPr>
          <w:rFonts w:cs="Times New Roman"/>
          <w:lang w:val="fr-CA"/>
        </w:rPr>
        <w:t xml:space="preserve">inistre a </w:t>
      </w:r>
      <w:r>
        <w:rPr>
          <w:rFonts w:cs="Times New Roman"/>
          <w:lang w:val="fr-CA"/>
        </w:rPr>
        <w:t xml:space="preserve">considéré </w:t>
      </w:r>
      <w:r w:rsidRPr="0080058A">
        <w:rPr>
          <w:rFonts w:cs="Times New Roman"/>
          <w:lang w:val="fr-CA"/>
        </w:rPr>
        <w:t>l</w:t>
      </w:r>
      <w:r>
        <w:rPr>
          <w:rFonts w:cs="Times New Roman"/>
          <w:lang w:val="fr-CA"/>
        </w:rPr>
        <w:t xml:space="preserve">e dossier dans son ensemble </w:t>
      </w:r>
      <w:r w:rsidRPr="0080058A">
        <w:rPr>
          <w:rFonts w:cs="Times New Roman"/>
          <w:lang w:val="fr-CA"/>
        </w:rPr>
        <w:t xml:space="preserve">et a </w:t>
      </w:r>
      <w:r>
        <w:rPr>
          <w:rFonts w:cs="Times New Roman"/>
          <w:lang w:val="fr-CA"/>
        </w:rPr>
        <w:t xml:space="preserve">jugé </w:t>
      </w:r>
      <w:r w:rsidRPr="0080058A">
        <w:rPr>
          <w:rFonts w:cs="Times New Roman"/>
          <w:lang w:val="fr-CA"/>
        </w:rPr>
        <w:t xml:space="preserve">que rien ne justifiait le Canada </w:t>
      </w:r>
      <w:r>
        <w:rPr>
          <w:rFonts w:cs="Times New Roman"/>
          <w:lang w:val="fr-CA"/>
        </w:rPr>
        <w:t>de ne pas extrader</w:t>
      </w:r>
      <w:r w:rsidRPr="009E5953">
        <w:rPr>
          <w:rFonts w:cs="Times New Roman"/>
          <w:lang w:val="fr-CA"/>
        </w:rPr>
        <w:t xml:space="preserve"> </w:t>
      </w:r>
      <w:r w:rsidRPr="0080058A">
        <w:rPr>
          <w:rFonts w:cs="Times New Roman"/>
          <w:lang w:val="fr-CA"/>
        </w:rPr>
        <w:t>M. Badesha et M</w:t>
      </w:r>
      <w:r w:rsidRPr="0080058A">
        <w:rPr>
          <w:rFonts w:cs="Times New Roman"/>
          <w:vertAlign w:val="superscript"/>
          <w:lang w:val="fr-CA"/>
        </w:rPr>
        <w:t>me</w:t>
      </w:r>
      <w:r w:rsidRPr="0080058A">
        <w:rPr>
          <w:rFonts w:cs="Times New Roman"/>
          <w:lang w:val="fr-CA"/>
        </w:rPr>
        <w:t> Sidhu</w:t>
      </w:r>
      <w:r>
        <w:rPr>
          <w:rFonts w:cs="Times New Roman"/>
          <w:lang w:val="fr-CA"/>
        </w:rPr>
        <w:t xml:space="preserve"> conformément au </w:t>
      </w:r>
      <w:r w:rsidRPr="0080058A">
        <w:rPr>
          <w:rFonts w:cs="Times New Roman"/>
          <w:lang w:val="fr-CA"/>
        </w:rPr>
        <w:t>traité d</w:t>
      </w:r>
      <w:r>
        <w:rPr>
          <w:rFonts w:cs="Times New Roman"/>
          <w:lang w:val="fr-CA"/>
        </w:rPr>
        <w:t>’</w:t>
      </w:r>
      <w:r w:rsidRPr="0080058A">
        <w:rPr>
          <w:rFonts w:cs="Times New Roman"/>
          <w:lang w:val="fr-CA"/>
        </w:rPr>
        <w:t>extradition qu</w:t>
      </w:r>
      <w:r>
        <w:rPr>
          <w:rFonts w:cs="Times New Roman"/>
          <w:lang w:val="fr-CA"/>
        </w:rPr>
        <w:t>’</w:t>
      </w:r>
      <w:r w:rsidRPr="0080058A">
        <w:rPr>
          <w:rFonts w:cs="Times New Roman"/>
          <w:lang w:val="fr-CA"/>
        </w:rPr>
        <w:t>il a</w:t>
      </w:r>
      <w:r>
        <w:rPr>
          <w:rFonts w:cs="Times New Roman"/>
          <w:lang w:val="fr-CA"/>
        </w:rPr>
        <w:t>vait</w:t>
      </w:r>
      <w:r w:rsidRPr="0080058A">
        <w:rPr>
          <w:rFonts w:cs="Times New Roman"/>
          <w:lang w:val="fr-CA"/>
        </w:rPr>
        <w:t xml:space="preserve"> conclu avec l</w:t>
      </w:r>
      <w:r>
        <w:rPr>
          <w:rFonts w:cs="Times New Roman"/>
          <w:lang w:val="fr-CA"/>
        </w:rPr>
        <w:t>’</w:t>
      </w:r>
      <w:r w:rsidRPr="0080058A">
        <w:rPr>
          <w:rFonts w:cs="Times New Roman"/>
          <w:lang w:val="fr-CA"/>
        </w:rPr>
        <w:t>Inde. Le crime reproché à M. Badesha et à M</w:t>
      </w:r>
      <w:r w:rsidRPr="0080058A">
        <w:rPr>
          <w:rFonts w:cs="Times New Roman"/>
          <w:vertAlign w:val="superscript"/>
          <w:lang w:val="fr-CA"/>
        </w:rPr>
        <w:t>me</w:t>
      </w:r>
      <w:r w:rsidRPr="0080058A">
        <w:rPr>
          <w:rFonts w:cs="Times New Roman"/>
          <w:lang w:val="fr-CA"/>
        </w:rPr>
        <w:t xml:space="preserve"> Sidhu </w:t>
      </w:r>
      <w:r>
        <w:rPr>
          <w:rFonts w:cs="Times New Roman"/>
          <w:lang w:val="fr-CA"/>
        </w:rPr>
        <w:t xml:space="preserve">et </w:t>
      </w:r>
      <w:r w:rsidRPr="0080058A">
        <w:rPr>
          <w:rFonts w:cs="Times New Roman"/>
          <w:lang w:val="fr-CA"/>
        </w:rPr>
        <w:t>pour lequel l</w:t>
      </w:r>
      <w:r>
        <w:rPr>
          <w:rFonts w:cs="Times New Roman"/>
          <w:lang w:val="fr-CA"/>
        </w:rPr>
        <w:t>’</w:t>
      </w:r>
      <w:r w:rsidRPr="0080058A">
        <w:rPr>
          <w:rFonts w:cs="Times New Roman"/>
          <w:lang w:val="fr-CA"/>
        </w:rPr>
        <w:t xml:space="preserve">Inde demandait leur extradition </w:t>
      </w:r>
      <w:r>
        <w:rPr>
          <w:rFonts w:cs="Times New Roman"/>
          <w:lang w:val="fr-CA"/>
        </w:rPr>
        <w:t>est</w:t>
      </w:r>
      <w:r w:rsidRPr="0080058A">
        <w:rPr>
          <w:rFonts w:cs="Times New Roman"/>
          <w:lang w:val="fr-CA"/>
        </w:rPr>
        <w:t xml:space="preserve"> extrêmement grave et, de l</w:t>
      </w:r>
      <w:r>
        <w:rPr>
          <w:rFonts w:cs="Times New Roman"/>
          <w:lang w:val="fr-CA"/>
        </w:rPr>
        <w:t>’avis du m</w:t>
      </w:r>
      <w:r w:rsidRPr="0080058A">
        <w:rPr>
          <w:rFonts w:cs="Times New Roman"/>
          <w:lang w:val="fr-CA"/>
        </w:rPr>
        <w:t xml:space="preserve">inistre, il </w:t>
      </w:r>
      <w:r>
        <w:rPr>
          <w:rFonts w:cs="Times New Roman"/>
          <w:lang w:val="fr-CA"/>
        </w:rPr>
        <w:t xml:space="preserve">importe que le Canada respecte ses </w:t>
      </w:r>
      <w:r w:rsidRPr="0080058A">
        <w:rPr>
          <w:rFonts w:cs="Times New Roman"/>
          <w:lang w:val="fr-CA"/>
        </w:rPr>
        <w:t xml:space="preserve">obligations </w:t>
      </w:r>
      <w:r>
        <w:rPr>
          <w:rFonts w:cs="Times New Roman"/>
          <w:lang w:val="fr-CA"/>
        </w:rPr>
        <w:t xml:space="preserve">aux termes du traité </w:t>
      </w:r>
      <w:r w:rsidRPr="0080058A">
        <w:rPr>
          <w:rFonts w:cs="Times New Roman"/>
          <w:lang w:val="fr-CA"/>
        </w:rPr>
        <w:t xml:space="preserve">pour que </w:t>
      </w:r>
      <w:r>
        <w:rPr>
          <w:rFonts w:cs="Times New Roman"/>
          <w:lang w:val="fr-CA"/>
        </w:rPr>
        <w:t xml:space="preserve">l’Inde soit assurée que </w:t>
      </w:r>
      <w:r w:rsidRPr="0080058A">
        <w:rPr>
          <w:rFonts w:cs="Times New Roman"/>
          <w:lang w:val="fr-CA"/>
        </w:rPr>
        <w:t>[</w:t>
      </w:r>
      <w:r w:rsidRPr="0080058A">
        <w:rPr>
          <w:rFonts w:cs="Times New Roman"/>
          <w:smallCaps/>
          <w:lang w:val="fr-CA"/>
        </w:rPr>
        <w:t>traduction</w:t>
      </w:r>
      <w:r w:rsidRPr="0080058A">
        <w:rPr>
          <w:rFonts w:cs="Times New Roman"/>
          <w:lang w:val="fr-CA"/>
        </w:rPr>
        <w:t xml:space="preserve">] « justice soit rendue sur </w:t>
      </w:r>
      <w:r w:rsidRPr="00444AB7">
        <w:rPr>
          <w:rFonts w:cs="Times New Roman"/>
          <w:lang w:val="fr-CA"/>
        </w:rPr>
        <w:t>[</w:t>
      </w:r>
      <w:r w:rsidRPr="0080058A">
        <w:rPr>
          <w:rFonts w:cs="Times New Roman"/>
          <w:lang w:val="fr-CA"/>
        </w:rPr>
        <w:t>son</w:t>
      </w:r>
      <w:r>
        <w:rPr>
          <w:rFonts w:cs="Times New Roman"/>
          <w:lang w:val="fr-CA"/>
        </w:rPr>
        <w:t>]</w:t>
      </w:r>
      <w:r w:rsidRPr="0080058A">
        <w:rPr>
          <w:rFonts w:cs="Times New Roman"/>
          <w:lang w:val="fr-CA"/>
        </w:rPr>
        <w:t xml:space="preserve"> territoire »</w:t>
      </w:r>
      <w:r>
        <w:rPr>
          <w:rFonts w:cs="Times New Roman"/>
          <w:lang w:val="fr-CA"/>
        </w:rPr>
        <w:t xml:space="preserve"> (voir les motifs du ministre, d.a., vol</w:t>
      </w:r>
      <w:r w:rsidR="00B91C20">
        <w:rPr>
          <w:rFonts w:cs="Times New Roman"/>
          <w:lang w:val="fr-CA"/>
        </w:rPr>
        <w:t>.</w:t>
      </w:r>
      <w:r>
        <w:rPr>
          <w:rFonts w:cs="Times New Roman"/>
          <w:lang w:val="fr-CA"/>
        </w:rPr>
        <w:t> I, p. 85 et 105)</w:t>
      </w:r>
      <w:r w:rsidRPr="0080058A">
        <w:rPr>
          <w:rFonts w:cs="Times New Roman"/>
          <w:lang w:val="fr-CA"/>
        </w:rPr>
        <w:t xml:space="preserve">. En résumé, le </w:t>
      </w:r>
      <w:r>
        <w:rPr>
          <w:rFonts w:cs="Times New Roman"/>
          <w:lang w:val="fr-CA"/>
        </w:rPr>
        <w:t>m</w:t>
      </w:r>
      <w:r w:rsidRPr="0080058A">
        <w:rPr>
          <w:rFonts w:cs="Times New Roman"/>
          <w:lang w:val="fr-CA"/>
        </w:rPr>
        <w:t xml:space="preserve">inistre a </w:t>
      </w:r>
      <w:r>
        <w:rPr>
          <w:rFonts w:cs="Times New Roman"/>
          <w:lang w:val="fr-CA"/>
        </w:rPr>
        <w:t xml:space="preserve">tenu compte des </w:t>
      </w:r>
      <w:r w:rsidRPr="0080058A">
        <w:rPr>
          <w:rFonts w:cs="Times New Roman"/>
          <w:lang w:val="fr-CA"/>
        </w:rPr>
        <w:t xml:space="preserve">faits pertinents et tiré une conclusion </w:t>
      </w:r>
      <w:r>
        <w:rPr>
          <w:rFonts w:cs="Times New Roman"/>
          <w:lang w:val="fr-CA"/>
        </w:rPr>
        <w:t xml:space="preserve">susceptible de se justifier au regard de ces </w:t>
      </w:r>
      <w:r w:rsidRPr="0080058A">
        <w:rPr>
          <w:rFonts w:cs="Times New Roman"/>
          <w:lang w:val="fr-CA"/>
        </w:rPr>
        <w:t>faits (</w:t>
      </w:r>
      <w:r w:rsidRPr="0080058A">
        <w:rPr>
          <w:rFonts w:cs="Times New Roman"/>
          <w:i/>
          <w:lang w:val="fr-CA"/>
        </w:rPr>
        <w:t>Lake</w:t>
      </w:r>
      <w:r>
        <w:rPr>
          <w:rFonts w:cs="Times New Roman"/>
          <w:i/>
          <w:lang w:val="fr-CA"/>
        </w:rPr>
        <w:t xml:space="preserve"> c. Canada (Ministre de la Justice</w:t>
      </w:r>
      <w:r w:rsidRPr="00715B8B">
        <w:rPr>
          <w:rFonts w:cs="Times New Roman"/>
          <w:i/>
          <w:lang w:val="fr-CA"/>
        </w:rPr>
        <w:t>)</w:t>
      </w:r>
      <w:r w:rsidRPr="0080058A">
        <w:rPr>
          <w:rFonts w:cs="Times New Roman"/>
          <w:lang w:val="fr-CA"/>
        </w:rPr>
        <w:t>,</w:t>
      </w:r>
      <w:r>
        <w:rPr>
          <w:rFonts w:cs="Times New Roman"/>
          <w:lang w:val="fr-CA"/>
        </w:rPr>
        <w:t xml:space="preserve"> 2008 CSC 23, </w:t>
      </w:r>
      <w:r w:rsidRPr="00715B8B">
        <w:rPr>
          <w:rFonts w:cs="Times New Roman"/>
          <w:lang w:val="fr-CA"/>
        </w:rPr>
        <w:t>[2008] 1 R.</w:t>
      </w:r>
      <w:r>
        <w:rPr>
          <w:rFonts w:cs="Times New Roman"/>
          <w:lang w:val="fr-CA"/>
        </w:rPr>
        <w:t>C.S. 761,</w:t>
      </w:r>
      <w:r w:rsidRPr="0080058A">
        <w:rPr>
          <w:rFonts w:cs="Times New Roman"/>
          <w:lang w:val="fr-CA"/>
        </w:rPr>
        <w:t xml:space="preserve"> </w:t>
      </w:r>
      <w:r>
        <w:rPr>
          <w:rFonts w:cs="Times New Roman"/>
          <w:lang w:val="fr-CA"/>
        </w:rPr>
        <w:t>par. </w:t>
      </w:r>
      <w:r w:rsidRPr="0080058A">
        <w:rPr>
          <w:rFonts w:cs="Times New Roman"/>
          <w:lang w:val="fr-CA"/>
        </w:rPr>
        <w:t>41).</w:t>
      </w:r>
    </w:p>
    <w:p w:rsidR="00361B98" w:rsidRPr="0080058A" w:rsidRDefault="00361B98" w:rsidP="002B69A7">
      <w:pPr>
        <w:pStyle w:val="ParaNoNdepar-AltN"/>
        <w:widowControl w:val="0"/>
        <w:rPr>
          <w:rFonts w:cs="Times New Roman"/>
          <w:lang w:val="fr-CA"/>
        </w:rPr>
      </w:pPr>
      <w:r w:rsidRPr="0080058A">
        <w:rPr>
          <w:rFonts w:cs="Times New Roman"/>
          <w:lang w:val="fr-CA"/>
        </w:rPr>
        <w:t>En conséquence, je suis d</w:t>
      </w:r>
      <w:r>
        <w:rPr>
          <w:rFonts w:cs="Times New Roman"/>
          <w:lang w:val="fr-CA"/>
        </w:rPr>
        <w:t>’</w:t>
      </w:r>
      <w:r w:rsidRPr="0080058A">
        <w:rPr>
          <w:rFonts w:cs="Times New Roman"/>
          <w:lang w:val="fr-CA"/>
        </w:rPr>
        <w:t>avis d</w:t>
      </w:r>
      <w:r>
        <w:rPr>
          <w:rFonts w:cs="Times New Roman"/>
          <w:lang w:val="fr-CA"/>
        </w:rPr>
        <w:t>’</w:t>
      </w:r>
      <w:r w:rsidRPr="0080058A">
        <w:rPr>
          <w:rFonts w:cs="Times New Roman"/>
          <w:lang w:val="fr-CA"/>
        </w:rPr>
        <w:t>accueillir le pourvoi et de rétablir les arrêtés d</w:t>
      </w:r>
      <w:r>
        <w:rPr>
          <w:rFonts w:cs="Times New Roman"/>
          <w:lang w:val="fr-CA"/>
        </w:rPr>
        <w:t>’</w:t>
      </w:r>
      <w:r w:rsidRPr="0080058A">
        <w:rPr>
          <w:rFonts w:cs="Times New Roman"/>
          <w:lang w:val="fr-CA"/>
        </w:rPr>
        <w:t>extradition.</w:t>
      </w:r>
    </w:p>
    <w:p w:rsidR="00361B98" w:rsidRPr="0080058A" w:rsidRDefault="00361B98" w:rsidP="002B69A7">
      <w:pPr>
        <w:pStyle w:val="Title1LevelTitre1Niveau-AltL"/>
        <w:widowControl w:val="0"/>
        <w:rPr>
          <w:rFonts w:cs="Times New Roman"/>
          <w:lang w:val="fr-CA"/>
        </w:rPr>
      </w:pPr>
      <w:r>
        <w:rPr>
          <w:rFonts w:cs="Times New Roman"/>
          <w:lang w:val="fr-CA"/>
        </w:rPr>
        <w:t>F</w:t>
      </w:r>
      <w:r w:rsidRPr="0080058A">
        <w:rPr>
          <w:rFonts w:cs="Times New Roman"/>
          <w:lang w:val="fr-CA"/>
        </w:rPr>
        <w:t>aits à l</w:t>
      </w:r>
      <w:r>
        <w:rPr>
          <w:rFonts w:cs="Times New Roman"/>
          <w:lang w:val="fr-CA"/>
        </w:rPr>
        <w:t>’</w:t>
      </w:r>
      <w:r w:rsidRPr="0080058A">
        <w:rPr>
          <w:rFonts w:cs="Times New Roman"/>
          <w:lang w:val="fr-CA"/>
        </w:rPr>
        <w:t>origine du litige</w:t>
      </w:r>
    </w:p>
    <w:p w:rsidR="00361B98" w:rsidRPr="0080058A" w:rsidRDefault="00361B98" w:rsidP="002B69A7">
      <w:pPr>
        <w:pStyle w:val="ParaNoNdepar-AltN"/>
        <w:widowControl w:val="0"/>
        <w:rPr>
          <w:rFonts w:cs="Times New Roman"/>
          <w:lang w:val="fr-CA"/>
        </w:rPr>
      </w:pPr>
      <w:r>
        <w:rPr>
          <w:rFonts w:cs="Times New Roman"/>
          <w:lang w:val="fr-CA"/>
        </w:rPr>
        <w:t xml:space="preserve">Le 8 juin </w:t>
      </w:r>
      <w:r w:rsidRPr="0080058A">
        <w:rPr>
          <w:rFonts w:cs="Times New Roman"/>
          <w:lang w:val="fr-CA"/>
        </w:rPr>
        <w:t>2000, Jaswinder Kaur Sidhu et son époux, Sukhwinder</w:t>
      </w:r>
      <w:r>
        <w:rPr>
          <w:rFonts w:cs="Times New Roman"/>
          <w:lang w:val="fr-CA"/>
        </w:rPr>
        <w:t> Singh </w:t>
      </w:r>
      <w:r w:rsidRPr="0080058A">
        <w:rPr>
          <w:rFonts w:cs="Times New Roman"/>
          <w:lang w:val="fr-CA"/>
        </w:rPr>
        <w:t>Sidhu, circulaient sur un scooter dans la région du Pendjab</w:t>
      </w:r>
      <w:r>
        <w:rPr>
          <w:rFonts w:cs="Times New Roman"/>
          <w:lang w:val="fr-CA"/>
        </w:rPr>
        <w:t>,</w:t>
      </w:r>
      <w:r w:rsidRPr="0080058A">
        <w:rPr>
          <w:rFonts w:cs="Times New Roman"/>
          <w:lang w:val="fr-CA"/>
        </w:rPr>
        <w:t xml:space="preserve"> en Inde, lorsqu</w:t>
      </w:r>
      <w:r>
        <w:rPr>
          <w:rFonts w:cs="Times New Roman"/>
          <w:lang w:val="fr-CA"/>
        </w:rPr>
        <w:t>’</w:t>
      </w:r>
      <w:r w:rsidRPr="0080058A">
        <w:rPr>
          <w:rFonts w:cs="Times New Roman"/>
          <w:lang w:val="fr-CA"/>
        </w:rPr>
        <w:t>ils ont été attaqués par un groupe d</w:t>
      </w:r>
      <w:r>
        <w:rPr>
          <w:rFonts w:cs="Times New Roman"/>
          <w:lang w:val="fr-CA"/>
        </w:rPr>
        <w:t>’hommes</w:t>
      </w:r>
      <w:r w:rsidRPr="0080058A">
        <w:rPr>
          <w:rFonts w:cs="Times New Roman"/>
          <w:lang w:val="fr-CA"/>
        </w:rPr>
        <w:t xml:space="preserve"> armés. Sukhwinder a été </w:t>
      </w:r>
      <w:r w:rsidRPr="0080058A">
        <w:rPr>
          <w:rFonts w:cs="Times New Roman"/>
          <w:lang w:val="fr-CA"/>
        </w:rPr>
        <w:lastRenderedPageBreak/>
        <w:t xml:space="preserve">grièvement blessé lors de cette agression. Les agresseurs ont contraint Jaswinder à monter </w:t>
      </w:r>
      <w:r>
        <w:rPr>
          <w:rFonts w:cs="Times New Roman"/>
          <w:lang w:val="fr-CA"/>
        </w:rPr>
        <w:t xml:space="preserve">à bord d’une </w:t>
      </w:r>
      <w:r w:rsidRPr="0080058A">
        <w:rPr>
          <w:rFonts w:cs="Times New Roman"/>
          <w:lang w:val="fr-CA"/>
        </w:rPr>
        <w:t xml:space="preserve">voiture et </w:t>
      </w:r>
      <w:r>
        <w:rPr>
          <w:rFonts w:cs="Times New Roman"/>
          <w:lang w:val="fr-CA"/>
        </w:rPr>
        <w:t>ont pris la fuite</w:t>
      </w:r>
      <w:r w:rsidRPr="0080058A">
        <w:rPr>
          <w:rFonts w:cs="Times New Roman"/>
          <w:lang w:val="fr-CA"/>
        </w:rPr>
        <w:t>. Le lendemain, l</w:t>
      </w:r>
      <w:r>
        <w:rPr>
          <w:rFonts w:cs="Times New Roman"/>
          <w:lang w:val="fr-CA"/>
        </w:rPr>
        <w:t>e cadavre</w:t>
      </w:r>
      <w:r w:rsidRPr="0080058A">
        <w:rPr>
          <w:rFonts w:cs="Times New Roman"/>
          <w:lang w:val="fr-CA"/>
        </w:rPr>
        <w:t xml:space="preserve"> de Jaswinder</w:t>
      </w:r>
      <w:r>
        <w:rPr>
          <w:rFonts w:cs="Times New Roman"/>
          <w:lang w:val="fr-CA"/>
        </w:rPr>
        <w:t xml:space="preserve"> a été découvert</w:t>
      </w:r>
      <w:r w:rsidRPr="0080058A">
        <w:rPr>
          <w:rFonts w:cs="Times New Roman"/>
          <w:lang w:val="fr-CA"/>
        </w:rPr>
        <w:t xml:space="preserve"> sur la berge d</w:t>
      </w:r>
      <w:r>
        <w:rPr>
          <w:rFonts w:cs="Times New Roman"/>
          <w:lang w:val="fr-CA"/>
        </w:rPr>
        <w:t xml:space="preserve">’un canal, </w:t>
      </w:r>
      <w:r w:rsidRPr="0080058A">
        <w:rPr>
          <w:rFonts w:cs="Times New Roman"/>
          <w:lang w:val="fr-CA"/>
        </w:rPr>
        <w:t>dans un village situé à proximité du lieu de l</w:t>
      </w:r>
      <w:r>
        <w:rPr>
          <w:rFonts w:cs="Times New Roman"/>
          <w:lang w:val="fr-CA"/>
        </w:rPr>
        <w:t>’</w:t>
      </w:r>
      <w:r w:rsidRPr="0080058A">
        <w:rPr>
          <w:rFonts w:cs="Times New Roman"/>
          <w:lang w:val="fr-CA"/>
        </w:rPr>
        <w:t xml:space="preserve">agression. </w:t>
      </w:r>
      <w:r>
        <w:rPr>
          <w:rFonts w:cs="Times New Roman"/>
          <w:lang w:val="fr-CA"/>
        </w:rPr>
        <w:t xml:space="preserve">On lui </w:t>
      </w:r>
      <w:r w:rsidRPr="0080058A">
        <w:rPr>
          <w:rFonts w:cs="Times New Roman"/>
          <w:lang w:val="fr-CA"/>
        </w:rPr>
        <w:t xml:space="preserve">avait </w:t>
      </w:r>
      <w:r>
        <w:rPr>
          <w:rFonts w:cs="Times New Roman"/>
          <w:lang w:val="fr-CA"/>
        </w:rPr>
        <w:t>tranché la gorge</w:t>
      </w:r>
      <w:r w:rsidRPr="0080058A">
        <w:rPr>
          <w:rFonts w:cs="Times New Roman"/>
          <w:lang w:val="fr-CA"/>
        </w:rPr>
        <w:t xml:space="preserve">. </w:t>
      </w:r>
    </w:p>
    <w:p w:rsidR="00361B98" w:rsidRPr="0080058A" w:rsidRDefault="00361B98" w:rsidP="002B69A7">
      <w:pPr>
        <w:pStyle w:val="ParaNoNdepar-AltN"/>
        <w:widowControl w:val="0"/>
        <w:rPr>
          <w:rFonts w:cs="Times New Roman"/>
          <w:lang w:val="fr-CA"/>
        </w:rPr>
      </w:pPr>
      <w:r w:rsidRPr="0080058A">
        <w:rPr>
          <w:rFonts w:cs="Times New Roman"/>
          <w:lang w:val="fr-CA"/>
        </w:rPr>
        <w:t>Presque un an plus tôt, Jaswinder et Sukhwinder s</w:t>
      </w:r>
      <w:r>
        <w:rPr>
          <w:rFonts w:cs="Times New Roman"/>
          <w:lang w:val="fr-CA"/>
        </w:rPr>
        <w:t>’</w:t>
      </w:r>
      <w:r w:rsidRPr="0080058A">
        <w:rPr>
          <w:rFonts w:cs="Times New Roman"/>
          <w:lang w:val="fr-CA"/>
        </w:rPr>
        <w:t>étaient épousés en Inde à l</w:t>
      </w:r>
      <w:r>
        <w:rPr>
          <w:rFonts w:cs="Times New Roman"/>
          <w:lang w:val="fr-CA"/>
        </w:rPr>
        <w:t>’</w:t>
      </w:r>
      <w:r w:rsidRPr="0080058A">
        <w:rPr>
          <w:rFonts w:cs="Times New Roman"/>
          <w:lang w:val="fr-CA"/>
        </w:rPr>
        <w:t xml:space="preserve">insu de la famille de Jaswinder. La famille de Jaswinder </w:t>
      </w:r>
      <w:r>
        <w:rPr>
          <w:rFonts w:cs="Times New Roman"/>
          <w:lang w:val="fr-CA"/>
        </w:rPr>
        <w:t>faisait partie d’</w:t>
      </w:r>
      <w:r w:rsidRPr="0080058A">
        <w:rPr>
          <w:rFonts w:cs="Times New Roman"/>
          <w:lang w:val="fr-CA"/>
        </w:rPr>
        <w:t>une classe socioéconomique élevée. Son mari provenait d</w:t>
      </w:r>
      <w:r>
        <w:rPr>
          <w:rFonts w:cs="Times New Roman"/>
          <w:lang w:val="fr-CA"/>
        </w:rPr>
        <w:t>’</w:t>
      </w:r>
      <w:r w:rsidRPr="0080058A">
        <w:rPr>
          <w:rFonts w:cs="Times New Roman"/>
          <w:lang w:val="fr-CA"/>
        </w:rPr>
        <w:t>une classe socioéconomique inférieure</w:t>
      </w:r>
      <w:r>
        <w:rPr>
          <w:rFonts w:cs="Times New Roman"/>
          <w:lang w:val="fr-CA"/>
        </w:rPr>
        <w:t> :</w:t>
      </w:r>
      <w:r w:rsidRPr="0080058A">
        <w:rPr>
          <w:rFonts w:cs="Times New Roman"/>
          <w:lang w:val="fr-CA"/>
        </w:rPr>
        <w:t xml:space="preserve"> il était chauffeur de pousse</w:t>
      </w:r>
      <w:r>
        <w:rPr>
          <w:rFonts w:cs="Times New Roman"/>
          <w:lang w:val="fr-CA"/>
        </w:rPr>
        <w:noBreakHyphen/>
      </w:r>
      <w:r w:rsidRPr="0080058A">
        <w:rPr>
          <w:rFonts w:cs="Times New Roman"/>
          <w:lang w:val="fr-CA"/>
        </w:rPr>
        <w:t xml:space="preserve">pousse </w:t>
      </w:r>
      <w:r>
        <w:rPr>
          <w:rFonts w:cs="Times New Roman"/>
          <w:lang w:val="fr-CA"/>
        </w:rPr>
        <w:t xml:space="preserve">et était </w:t>
      </w:r>
      <w:r w:rsidRPr="0080058A">
        <w:rPr>
          <w:rFonts w:cs="Times New Roman"/>
          <w:lang w:val="fr-CA"/>
        </w:rPr>
        <w:t>issu d</w:t>
      </w:r>
      <w:r>
        <w:rPr>
          <w:rFonts w:cs="Times New Roman"/>
          <w:lang w:val="fr-CA"/>
        </w:rPr>
        <w:t>’</w:t>
      </w:r>
      <w:r w:rsidRPr="0080058A">
        <w:rPr>
          <w:rFonts w:cs="Times New Roman"/>
          <w:lang w:val="fr-CA"/>
        </w:rPr>
        <w:t xml:space="preserve">une famille pauvre. </w:t>
      </w:r>
      <w:r>
        <w:rPr>
          <w:rFonts w:cs="Times New Roman"/>
          <w:lang w:val="fr-CA"/>
        </w:rPr>
        <w:t xml:space="preserve">Le gouvernement de l’Inde allègue que </w:t>
      </w:r>
      <w:r w:rsidRPr="0080058A">
        <w:rPr>
          <w:rFonts w:cs="Times New Roman"/>
          <w:lang w:val="fr-CA"/>
        </w:rPr>
        <w:t>M. Badesha et M</w:t>
      </w:r>
      <w:r w:rsidRPr="0080058A">
        <w:rPr>
          <w:rFonts w:cs="Times New Roman"/>
          <w:vertAlign w:val="superscript"/>
          <w:lang w:val="fr-CA"/>
        </w:rPr>
        <w:t>me</w:t>
      </w:r>
      <w:r w:rsidRPr="0080058A">
        <w:rPr>
          <w:rFonts w:cs="Times New Roman"/>
          <w:lang w:val="fr-CA"/>
        </w:rPr>
        <w:t xml:space="preserve"> Sidhu se </w:t>
      </w:r>
      <w:r>
        <w:rPr>
          <w:rFonts w:cs="Times New Roman"/>
          <w:lang w:val="fr-CA"/>
        </w:rPr>
        <w:t xml:space="preserve">seraient </w:t>
      </w:r>
      <w:r w:rsidRPr="0080058A">
        <w:rPr>
          <w:rFonts w:cs="Times New Roman"/>
          <w:lang w:val="fr-CA"/>
        </w:rPr>
        <w:t>énergiquement opposés au mariage de Jaswinder et de Sukhwinder</w:t>
      </w:r>
      <w:r>
        <w:rPr>
          <w:rFonts w:cs="Times New Roman"/>
          <w:lang w:val="fr-CA"/>
        </w:rPr>
        <w:t xml:space="preserve"> et, constatant que les mesures qu’ils avaient </w:t>
      </w:r>
      <w:r w:rsidRPr="0080058A">
        <w:rPr>
          <w:rFonts w:cs="Times New Roman"/>
          <w:lang w:val="fr-CA"/>
        </w:rPr>
        <w:t>pris</w:t>
      </w:r>
      <w:r>
        <w:rPr>
          <w:rFonts w:cs="Times New Roman"/>
          <w:lang w:val="fr-CA"/>
        </w:rPr>
        <w:t xml:space="preserve">es pour tenter de mettre fin à ce mariage se révélaient </w:t>
      </w:r>
      <w:r w:rsidRPr="0080058A">
        <w:rPr>
          <w:rFonts w:cs="Times New Roman"/>
          <w:lang w:val="fr-CA"/>
        </w:rPr>
        <w:t xml:space="preserve">vaines, </w:t>
      </w:r>
      <w:r>
        <w:rPr>
          <w:rFonts w:cs="Times New Roman"/>
          <w:lang w:val="fr-CA"/>
        </w:rPr>
        <w:t xml:space="preserve">ils auraient eu recours en Inde à plusieurs individus pour qu’ils agressent et tuent </w:t>
      </w:r>
      <w:r w:rsidRPr="0080058A">
        <w:rPr>
          <w:rFonts w:cs="Times New Roman"/>
          <w:lang w:val="fr-CA"/>
        </w:rPr>
        <w:t>le</w:t>
      </w:r>
      <w:r>
        <w:rPr>
          <w:rFonts w:cs="Times New Roman"/>
          <w:lang w:val="fr-CA"/>
        </w:rPr>
        <w:t>s époux</w:t>
      </w:r>
      <w:r w:rsidRPr="0080058A">
        <w:rPr>
          <w:rFonts w:cs="Times New Roman"/>
          <w:lang w:val="fr-CA"/>
        </w:rPr>
        <w:t>.</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En Inde, treize </w:t>
      </w:r>
      <w:r>
        <w:rPr>
          <w:rFonts w:cs="Times New Roman"/>
          <w:lang w:val="fr-CA"/>
        </w:rPr>
        <w:t>individus</w:t>
      </w:r>
      <w:r w:rsidRPr="0080058A">
        <w:rPr>
          <w:rFonts w:cs="Times New Roman"/>
          <w:lang w:val="fr-CA"/>
        </w:rPr>
        <w:t>, dont M. Badesha et M</w:t>
      </w:r>
      <w:r w:rsidRPr="0080058A">
        <w:rPr>
          <w:rFonts w:cs="Times New Roman"/>
          <w:vertAlign w:val="superscript"/>
          <w:lang w:val="fr-CA"/>
        </w:rPr>
        <w:t>me</w:t>
      </w:r>
      <w:r w:rsidRPr="0080058A">
        <w:rPr>
          <w:rFonts w:cs="Times New Roman"/>
          <w:lang w:val="fr-CA"/>
        </w:rPr>
        <w:t> Sidhu, ont été inculpés en lien avec le meurtre de Jaswinder et l</w:t>
      </w:r>
      <w:r>
        <w:rPr>
          <w:rFonts w:cs="Times New Roman"/>
          <w:lang w:val="fr-CA"/>
        </w:rPr>
        <w:t>’</w:t>
      </w:r>
      <w:r w:rsidRPr="0080058A">
        <w:rPr>
          <w:rFonts w:cs="Times New Roman"/>
          <w:lang w:val="fr-CA"/>
        </w:rPr>
        <w:t xml:space="preserve">agression </w:t>
      </w:r>
      <w:r>
        <w:rPr>
          <w:rFonts w:cs="Times New Roman"/>
          <w:lang w:val="fr-CA"/>
        </w:rPr>
        <w:t xml:space="preserve">perpétrée </w:t>
      </w:r>
      <w:r w:rsidRPr="0080058A">
        <w:rPr>
          <w:rFonts w:cs="Times New Roman"/>
          <w:lang w:val="fr-CA"/>
        </w:rPr>
        <w:t xml:space="preserve">contre Sukhwinder. Parmi ces </w:t>
      </w:r>
      <w:r>
        <w:rPr>
          <w:rFonts w:cs="Times New Roman"/>
          <w:lang w:val="fr-CA"/>
        </w:rPr>
        <w:t>individus, onze ont été jugé</w:t>
      </w:r>
      <w:r w:rsidRPr="0080058A">
        <w:rPr>
          <w:rFonts w:cs="Times New Roman"/>
          <w:lang w:val="fr-CA"/>
        </w:rPr>
        <w:t>s ensembl</w:t>
      </w:r>
      <w:r>
        <w:rPr>
          <w:rFonts w:cs="Times New Roman"/>
          <w:lang w:val="fr-CA"/>
        </w:rPr>
        <w:t>e en Inde; sept ont été déclaré</w:t>
      </w:r>
      <w:r w:rsidRPr="0080058A">
        <w:rPr>
          <w:rFonts w:cs="Times New Roman"/>
          <w:lang w:val="fr-CA"/>
        </w:rPr>
        <w:t>s coupa</w:t>
      </w:r>
      <w:r>
        <w:rPr>
          <w:rFonts w:cs="Times New Roman"/>
          <w:lang w:val="fr-CA"/>
        </w:rPr>
        <w:t>bles et quatre ont été acquitté</w:t>
      </w:r>
      <w:r w:rsidRPr="0080058A">
        <w:rPr>
          <w:rFonts w:cs="Times New Roman"/>
          <w:lang w:val="fr-CA"/>
        </w:rPr>
        <w:t>s d</w:t>
      </w:r>
      <w:r>
        <w:rPr>
          <w:rFonts w:cs="Times New Roman"/>
          <w:lang w:val="fr-CA"/>
        </w:rPr>
        <w:t xml:space="preserve">e diverses </w:t>
      </w:r>
      <w:r w:rsidRPr="0080058A">
        <w:rPr>
          <w:rFonts w:cs="Times New Roman"/>
          <w:lang w:val="fr-CA"/>
        </w:rPr>
        <w:t>infractions liées à l</w:t>
      </w:r>
      <w:r>
        <w:rPr>
          <w:rFonts w:cs="Times New Roman"/>
          <w:lang w:val="fr-CA"/>
        </w:rPr>
        <w:t>’</w:t>
      </w:r>
      <w:r w:rsidRPr="0080058A">
        <w:rPr>
          <w:rFonts w:cs="Times New Roman"/>
          <w:lang w:val="fr-CA"/>
        </w:rPr>
        <w:t>agression</w:t>
      </w:r>
      <w:r>
        <w:rPr>
          <w:rFonts w:cs="Times New Roman"/>
          <w:lang w:val="fr-CA"/>
        </w:rPr>
        <w:t xml:space="preserve">, </w:t>
      </w:r>
      <w:r w:rsidRPr="0080058A">
        <w:rPr>
          <w:rFonts w:cs="Times New Roman"/>
          <w:lang w:val="fr-CA"/>
        </w:rPr>
        <w:t xml:space="preserve">notamment de meurtre, de tentative de meurtre et de complot en vue de commettre un meurtre. </w:t>
      </w:r>
      <w:r>
        <w:rPr>
          <w:rFonts w:cs="Times New Roman"/>
          <w:lang w:val="fr-CA"/>
        </w:rPr>
        <w:t xml:space="preserve">Quatre des </w:t>
      </w:r>
      <w:r w:rsidRPr="0080058A">
        <w:rPr>
          <w:rFonts w:cs="Times New Roman"/>
          <w:lang w:val="fr-CA"/>
        </w:rPr>
        <w:t>sept individus déclarés coupables</w:t>
      </w:r>
      <w:r>
        <w:rPr>
          <w:rFonts w:cs="Times New Roman"/>
          <w:lang w:val="fr-CA"/>
        </w:rPr>
        <w:t xml:space="preserve"> </w:t>
      </w:r>
      <w:r w:rsidRPr="0080058A">
        <w:rPr>
          <w:rFonts w:cs="Times New Roman"/>
          <w:lang w:val="fr-CA"/>
        </w:rPr>
        <w:t>ont par la suite été acquittés en appel. M. Badesha et M</w:t>
      </w:r>
      <w:r w:rsidRPr="0080058A">
        <w:rPr>
          <w:rFonts w:cs="Times New Roman"/>
          <w:vertAlign w:val="superscript"/>
          <w:lang w:val="fr-CA"/>
        </w:rPr>
        <w:t>me</w:t>
      </w:r>
      <w:r w:rsidRPr="0080058A">
        <w:rPr>
          <w:rFonts w:cs="Times New Roman"/>
          <w:lang w:val="fr-CA"/>
        </w:rPr>
        <w:t> Sidhu sont les seuls accusés qui n</w:t>
      </w:r>
      <w:r>
        <w:rPr>
          <w:rFonts w:cs="Times New Roman"/>
          <w:lang w:val="fr-CA"/>
        </w:rPr>
        <w:t>’</w:t>
      </w:r>
      <w:r w:rsidRPr="0080058A">
        <w:rPr>
          <w:rFonts w:cs="Times New Roman"/>
          <w:lang w:val="fr-CA"/>
        </w:rPr>
        <w:t xml:space="preserve">ont pas encore </w:t>
      </w:r>
      <w:r>
        <w:rPr>
          <w:rFonts w:cs="Times New Roman"/>
          <w:lang w:val="fr-CA"/>
        </w:rPr>
        <w:t>subi leur procès</w:t>
      </w:r>
      <w:r w:rsidRPr="0080058A">
        <w:rPr>
          <w:rFonts w:cs="Times New Roman"/>
          <w:lang w:val="fr-CA"/>
        </w:rPr>
        <w:t xml:space="preserve"> dans cette affaire. </w:t>
      </w:r>
    </w:p>
    <w:p w:rsidR="00361B98" w:rsidRPr="0080058A" w:rsidRDefault="00361B98" w:rsidP="002B69A7">
      <w:pPr>
        <w:pStyle w:val="ParaNoNdepar-AltN"/>
        <w:widowControl w:val="0"/>
        <w:rPr>
          <w:rFonts w:cs="Times New Roman"/>
          <w:lang w:val="fr-CA"/>
        </w:rPr>
      </w:pPr>
      <w:r w:rsidRPr="0080058A">
        <w:rPr>
          <w:rFonts w:cs="Times New Roman"/>
          <w:lang w:val="fr-CA"/>
        </w:rPr>
        <w:lastRenderedPageBreak/>
        <w:t>Par une note diplomatique, l</w:t>
      </w:r>
      <w:r>
        <w:rPr>
          <w:rFonts w:cs="Times New Roman"/>
          <w:lang w:val="fr-CA"/>
        </w:rPr>
        <w:t>’</w:t>
      </w:r>
      <w:r w:rsidRPr="0080058A">
        <w:rPr>
          <w:rFonts w:cs="Times New Roman"/>
          <w:lang w:val="fr-CA"/>
        </w:rPr>
        <w:t xml:space="preserve">Inde a demandé </w:t>
      </w:r>
      <w:r>
        <w:rPr>
          <w:rFonts w:cs="Times New Roman"/>
          <w:lang w:val="fr-CA"/>
        </w:rPr>
        <w:t xml:space="preserve">leur extradition afin de les juger </w:t>
      </w:r>
      <w:r w:rsidRPr="0080058A">
        <w:rPr>
          <w:rFonts w:cs="Times New Roman"/>
          <w:lang w:val="fr-CA"/>
        </w:rPr>
        <w:t xml:space="preserve">en vertu du </w:t>
      </w:r>
      <w:r>
        <w:rPr>
          <w:rFonts w:cs="Times New Roman"/>
          <w:lang w:val="fr-CA"/>
        </w:rPr>
        <w:t>Code pénal indien relativement à une infraction de complot en vue de commettre</w:t>
      </w:r>
      <w:r w:rsidRPr="0080058A">
        <w:rPr>
          <w:rFonts w:cs="Times New Roman"/>
          <w:lang w:val="fr-CA"/>
        </w:rPr>
        <w:t xml:space="preserve"> un meurtre</w:t>
      </w:r>
      <w:r>
        <w:rPr>
          <w:rFonts w:cs="Times New Roman"/>
          <w:lang w:val="fr-CA"/>
        </w:rPr>
        <w:t xml:space="preserve"> </w:t>
      </w:r>
      <w:r w:rsidRPr="00715B8B">
        <w:rPr>
          <w:rFonts w:cs="Times New Roman"/>
          <w:lang w:val="fr-CA"/>
        </w:rPr>
        <w:t>(</w:t>
      </w:r>
      <w:r w:rsidRPr="00444AB7">
        <w:rPr>
          <w:rFonts w:cs="Times New Roman"/>
          <w:i/>
          <w:lang w:val="fr-CA"/>
        </w:rPr>
        <w:t>Traité d</w:t>
      </w:r>
      <w:r>
        <w:rPr>
          <w:rFonts w:cs="Times New Roman"/>
          <w:i/>
          <w:lang w:val="fr-CA"/>
        </w:rPr>
        <w:t>’</w:t>
      </w:r>
      <w:r w:rsidRPr="00444AB7">
        <w:rPr>
          <w:rFonts w:cs="Times New Roman"/>
          <w:i/>
          <w:lang w:val="fr-CA"/>
        </w:rPr>
        <w:t>extradition entre le Gouvernement du Canada et le Gouvernement de l</w:t>
      </w:r>
      <w:r>
        <w:rPr>
          <w:rFonts w:cs="Times New Roman"/>
          <w:i/>
          <w:lang w:val="fr-CA"/>
        </w:rPr>
        <w:t>’</w:t>
      </w:r>
      <w:r w:rsidRPr="00444AB7">
        <w:rPr>
          <w:rFonts w:cs="Times New Roman"/>
          <w:i/>
          <w:lang w:val="fr-CA"/>
        </w:rPr>
        <w:t>Inde</w:t>
      </w:r>
      <w:r w:rsidRPr="00715B8B">
        <w:rPr>
          <w:rFonts w:cs="Times New Roman"/>
          <w:lang w:val="fr-CA"/>
        </w:rPr>
        <w:t>, R</w:t>
      </w:r>
      <w:r w:rsidR="00B91C20">
        <w:rPr>
          <w:rFonts w:cs="Times New Roman"/>
          <w:lang w:val="fr-CA"/>
        </w:rPr>
        <w:t>.T. Can.</w:t>
      </w:r>
      <w:r w:rsidRPr="00715B8B">
        <w:rPr>
          <w:rFonts w:cs="Times New Roman"/>
          <w:lang w:val="fr-CA"/>
        </w:rPr>
        <w:t xml:space="preserve"> 1987 n</w:t>
      </w:r>
      <w:r w:rsidRPr="00715B8B">
        <w:rPr>
          <w:rFonts w:cs="Times New Roman"/>
          <w:vertAlign w:val="superscript"/>
          <w:lang w:val="fr-CA"/>
        </w:rPr>
        <w:t>o</w:t>
      </w:r>
      <w:r w:rsidRPr="00715B8B">
        <w:rPr>
          <w:rFonts w:cs="Times New Roman"/>
          <w:lang w:val="fr-CA"/>
        </w:rPr>
        <w:t xml:space="preserve"> 14). </w:t>
      </w:r>
      <w:r w:rsidRPr="0080058A">
        <w:rPr>
          <w:rFonts w:cs="Times New Roman"/>
          <w:lang w:val="fr-CA"/>
        </w:rPr>
        <w:t>Le ministre de la Justice a délivré un arrêté introductif d</w:t>
      </w:r>
      <w:r>
        <w:rPr>
          <w:rFonts w:cs="Times New Roman"/>
          <w:lang w:val="fr-CA"/>
        </w:rPr>
        <w:t>’</w:t>
      </w:r>
      <w:r w:rsidRPr="0080058A">
        <w:rPr>
          <w:rFonts w:cs="Times New Roman"/>
          <w:lang w:val="fr-CA"/>
        </w:rPr>
        <w:t>instance consentant à ce que des procédures d</w:t>
      </w:r>
      <w:r>
        <w:rPr>
          <w:rFonts w:cs="Times New Roman"/>
          <w:lang w:val="fr-CA"/>
        </w:rPr>
        <w:t>’</w:t>
      </w:r>
      <w:r w:rsidRPr="0080058A">
        <w:rPr>
          <w:rFonts w:cs="Times New Roman"/>
          <w:lang w:val="fr-CA"/>
        </w:rPr>
        <w:t>extradition soient engagées contre M. Badesha et M</w:t>
      </w:r>
      <w:r w:rsidRPr="0080058A">
        <w:rPr>
          <w:rFonts w:cs="Times New Roman"/>
          <w:vertAlign w:val="superscript"/>
          <w:lang w:val="fr-CA"/>
        </w:rPr>
        <w:t>me</w:t>
      </w:r>
      <w:r w:rsidRPr="0080058A">
        <w:rPr>
          <w:rFonts w:cs="Times New Roman"/>
          <w:lang w:val="fr-CA"/>
        </w:rPr>
        <w:t xml:space="preserve"> Sidhu </w:t>
      </w:r>
      <w:r>
        <w:rPr>
          <w:rFonts w:cs="Times New Roman"/>
          <w:lang w:val="fr-CA"/>
        </w:rPr>
        <w:t xml:space="preserve">à l’égard des </w:t>
      </w:r>
      <w:r w:rsidRPr="0080058A">
        <w:rPr>
          <w:rFonts w:cs="Times New Roman"/>
          <w:lang w:val="fr-CA"/>
        </w:rPr>
        <w:t>infractions canadiennes correspondantes de complot en vue de commettre un meurtre, de tentative de meurtre et de meurtre</w:t>
      </w:r>
      <w:r w:rsidRPr="002F317C">
        <w:rPr>
          <w:rStyle w:val="Hyperlink"/>
          <w:u w:val="none"/>
          <w:vertAlign w:val="superscript"/>
        </w:rPr>
        <w:footnoteReference w:id="2"/>
      </w:r>
      <w:r w:rsidRPr="0080058A">
        <w:rPr>
          <w:rFonts w:cs="Times New Roman"/>
          <w:lang w:val="fr-CA"/>
        </w:rPr>
        <w:t>.</w:t>
      </w:r>
    </w:p>
    <w:p w:rsidR="00361B98" w:rsidRPr="0080058A" w:rsidRDefault="00361B98" w:rsidP="002B69A7">
      <w:pPr>
        <w:pStyle w:val="ParaNoNdepar-AltN"/>
        <w:widowControl w:val="0"/>
        <w:rPr>
          <w:rFonts w:cs="Times New Roman"/>
          <w:lang w:val="fr-CA"/>
        </w:rPr>
      </w:pPr>
      <w:r w:rsidRPr="0080058A">
        <w:rPr>
          <w:rFonts w:cs="Times New Roman"/>
          <w:lang w:val="fr-CA"/>
        </w:rPr>
        <w:t>Le juge d</w:t>
      </w:r>
      <w:r>
        <w:rPr>
          <w:rFonts w:cs="Times New Roman"/>
          <w:lang w:val="fr-CA"/>
        </w:rPr>
        <w:t>’</w:t>
      </w:r>
      <w:r w:rsidRPr="0080058A">
        <w:rPr>
          <w:rFonts w:cs="Times New Roman"/>
          <w:lang w:val="fr-CA"/>
        </w:rPr>
        <w:t>extradition a conclu qu</w:t>
      </w:r>
      <w:r>
        <w:rPr>
          <w:rFonts w:cs="Times New Roman"/>
          <w:lang w:val="fr-CA"/>
        </w:rPr>
        <w:t xml:space="preserve">’un ensemble considérable d’éléments de </w:t>
      </w:r>
      <w:r w:rsidRPr="0080058A">
        <w:rPr>
          <w:rFonts w:cs="Times New Roman"/>
          <w:lang w:val="fr-CA"/>
        </w:rPr>
        <w:t>preuve circonstancielle impliqua</w:t>
      </w:r>
      <w:r>
        <w:rPr>
          <w:rFonts w:cs="Times New Roman"/>
          <w:lang w:val="fr-CA"/>
        </w:rPr>
        <w:t>ie</w:t>
      </w:r>
      <w:r w:rsidRPr="0080058A">
        <w:rPr>
          <w:rFonts w:cs="Times New Roman"/>
          <w:lang w:val="fr-CA"/>
        </w:rPr>
        <w:t>nt M. Badesha et M</w:t>
      </w:r>
      <w:r w:rsidRPr="0080058A">
        <w:rPr>
          <w:rFonts w:cs="Times New Roman"/>
          <w:vertAlign w:val="superscript"/>
          <w:lang w:val="fr-CA"/>
        </w:rPr>
        <w:t>me</w:t>
      </w:r>
      <w:r w:rsidRPr="0080058A">
        <w:rPr>
          <w:rFonts w:cs="Times New Roman"/>
          <w:lang w:val="fr-CA"/>
        </w:rPr>
        <w:t xml:space="preserve"> Sidhu dans le crime qui leur était reproché, notamment des éléments de preuve suivant lesquels ils considéraient que le mariage de Jaswinder et </w:t>
      </w:r>
      <w:r>
        <w:rPr>
          <w:rFonts w:cs="Times New Roman"/>
          <w:lang w:val="fr-CA"/>
        </w:rPr>
        <w:t xml:space="preserve">de </w:t>
      </w:r>
      <w:r w:rsidRPr="0080058A">
        <w:rPr>
          <w:rFonts w:cs="Times New Roman"/>
          <w:lang w:val="fr-CA"/>
        </w:rPr>
        <w:t xml:space="preserve">Sukhwinder </w:t>
      </w:r>
      <w:r>
        <w:rPr>
          <w:rFonts w:cs="Times New Roman"/>
          <w:lang w:val="fr-CA"/>
        </w:rPr>
        <w:t xml:space="preserve">déshonorait </w:t>
      </w:r>
      <w:r w:rsidRPr="0080058A">
        <w:rPr>
          <w:rFonts w:cs="Times New Roman"/>
          <w:lang w:val="fr-CA"/>
        </w:rPr>
        <w:t>leur famille, ils avaient proféré des menaces de mort contre Jaswinder et Sukhwinder</w:t>
      </w:r>
      <w:r>
        <w:rPr>
          <w:rFonts w:cs="Times New Roman"/>
          <w:lang w:val="fr-CA"/>
        </w:rPr>
        <w:t xml:space="preserve"> et </w:t>
      </w:r>
      <w:r w:rsidRPr="0080058A">
        <w:rPr>
          <w:rFonts w:cs="Times New Roman"/>
          <w:lang w:val="fr-CA"/>
        </w:rPr>
        <w:t>des appels téléphoniques</w:t>
      </w:r>
      <w:r>
        <w:rPr>
          <w:rFonts w:cs="Times New Roman"/>
          <w:lang w:val="fr-CA"/>
        </w:rPr>
        <w:t xml:space="preserve"> avaient été faits à partir de </w:t>
      </w:r>
      <w:r w:rsidRPr="0080058A">
        <w:rPr>
          <w:rFonts w:cs="Times New Roman"/>
          <w:lang w:val="fr-CA"/>
        </w:rPr>
        <w:t>la résidence de M. Badesha en Colombie</w:t>
      </w:r>
      <w:r>
        <w:rPr>
          <w:rFonts w:cs="Times New Roman"/>
          <w:lang w:val="fr-CA"/>
        </w:rPr>
        <w:noBreakHyphen/>
      </w:r>
      <w:r w:rsidRPr="0080058A">
        <w:rPr>
          <w:rFonts w:cs="Times New Roman"/>
          <w:lang w:val="fr-CA"/>
        </w:rPr>
        <w:t xml:space="preserve">Britannique </w:t>
      </w:r>
      <w:r>
        <w:rPr>
          <w:rFonts w:cs="Times New Roman"/>
          <w:lang w:val="fr-CA"/>
        </w:rPr>
        <w:t xml:space="preserve">à certains des </w:t>
      </w:r>
      <w:r w:rsidRPr="0080058A">
        <w:rPr>
          <w:rFonts w:cs="Times New Roman"/>
          <w:lang w:val="fr-CA"/>
        </w:rPr>
        <w:t>auteurs des crimes en Inde</w:t>
      </w:r>
      <w:r>
        <w:rPr>
          <w:rFonts w:cs="Times New Roman"/>
          <w:lang w:val="fr-CA"/>
        </w:rPr>
        <w:t>,</w:t>
      </w:r>
      <w:r w:rsidRPr="0080058A">
        <w:rPr>
          <w:rFonts w:cs="Times New Roman"/>
          <w:lang w:val="fr-CA"/>
        </w:rPr>
        <w:t xml:space="preserve"> </w:t>
      </w:r>
      <w:r>
        <w:rPr>
          <w:rFonts w:cs="Times New Roman"/>
          <w:lang w:val="fr-CA"/>
        </w:rPr>
        <w:t xml:space="preserve">à peu près au moment où le </w:t>
      </w:r>
      <w:r w:rsidRPr="0080058A">
        <w:rPr>
          <w:rFonts w:cs="Times New Roman"/>
          <w:lang w:val="fr-CA"/>
        </w:rPr>
        <w:t>couple</w:t>
      </w:r>
      <w:r>
        <w:rPr>
          <w:rFonts w:cs="Times New Roman"/>
          <w:lang w:val="fr-CA"/>
        </w:rPr>
        <w:t xml:space="preserve"> a été agressé</w:t>
      </w:r>
      <w:r w:rsidRPr="0080058A">
        <w:rPr>
          <w:rFonts w:cs="Times New Roman"/>
          <w:lang w:val="fr-CA"/>
        </w:rPr>
        <w:t>. Le juge d</w:t>
      </w:r>
      <w:r>
        <w:rPr>
          <w:rFonts w:cs="Times New Roman"/>
          <w:lang w:val="fr-CA"/>
        </w:rPr>
        <w:t>’</w:t>
      </w:r>
      <w:r w:rsidRPr="0080058A">
        <w:rPr>
          <w:rFonts w:cs="Times New Roman"/>
          <w:lang w:val="fr-CA"/>
        </w:rPr>
        <w:t xml:space="preserve">extradition a </w:t>
      </w:r>
      <w:r>
        <w:rPr>
          <w:rFonts w:cs="Times New Roman"/>
          <w:lang w:val="fr-CA"/>
        </w:rPr>
        <w:t xml:space="preserve">estimé qu’à la lumière de </w:t>
      </w:r>
      <w:r w:rsidRPr="0080058A">
        <w:rPr>
          <w:rFonts w:cs="Times New Roman"/>
          <w:lang w:val="fr-CA"/>
        </w:rPr>
        <w:t>ces éléments de preuve, un jury raisonnable, ayant reçu les directives appropriées, pourrait conclure que M. Badesha et M</w:t>
      </w:r>
      <w:r w:rsidRPr="0080058A">
        <w:rPr>
          <w:rFonts w:cs="Times New Roman"/>
          <w:vertAlign w:val="superscript"/>
          <w:lang w:val="fr-CA"/>
        </w:rPr>
        <w:t>me</w:t>
      </w:r>
      <w:r w:rsidRPr="0080058A">
        <w:rPr>
          <w:rFonts w:cs="Times New Roman"/>
          <w:lang w:val="fr-CA"/>
        </w:rPr>
        <w:t xml:space="preserve"> Sidhu avaient engagé les auteurs indiens des crimes </w:t>
      </w:r>
      <w:r>
        <w:rPr>
          <w:rFonts w:cs="Times New Roman"/>
          <w:lang w:val="fr-CA"/>
        </w:rPr>
        <w:t xml:space="preserve">reprochés pour </w:t>
      </w:r>
      <w:r w:rsidRPr="0080058A">
        <w:rPr>
          <w:rFonts w:cs="Times New Roman"/>
          <w:lang w:val="fr-CA"/>
        </w:rPr>
        <w:t>assassiner Jaswinder. Par conséquent, le juge a incarcéré M. Badesha et M</w:t>
      </w:r>
      <w:r w:rsidRPr="0080058A">
        <w:rPr>
          <w:rFonts w:cs="Times New Roman"/>
          <w:vertAlign w:val="superscript"/>
          <w:lang w:val="fr-CA"/>
        </w:rPr>
        <w:t>me</w:t>
      </w:r>
      <w:r w:rsidRPr="0080058A">
        <w:rPr>
          <w:rFonts w:cs="Times New Roman"/>
          <w:lang w:val="fr-CA"/>
        </w:rPr>
        <w:t xml:space="preserve"> Sidhu </w:t>
      </w:r>
      <w:r>
        <w:rPr>
          <w:rFonts w:cs="Times New Roman"/>
          <w:lang w:val="fr-CA"/>
        </w:rPr>
        <w:t xml:space="preserve">en raison </w:t>
      </w:r>
      <w:r w:rsidRPr="0080058A">
        <w:rPr>
          <w:rFonts w:cs="Times New Roman"/>
          <w:lang w:val="fr-CA"/>
        </w:rPr>
        <w:t>d</w:t>
      </w:r>
      <w:r>
        <w:rPr>
          <w:rFonts w:cs="Times New Roman"/>
          <w:lang w:val="fr-CA"/>
        </w:rPr>
        <w:t xml:space="preserve">es </w:t>
      </w:r>
      <w:r w:rsidRPr="0080058A">
        <w:rPr>
          <w:rFonts w:cs="Times New Roman"/>
          <w:lang w:val="fr-CA"/>
        </w:rPr>
        <w:lastRenderedPageBreak/>
        <w:t>accusation</w:t>
      </w:r>
      <w:r>
        <w:rPr>
          <w:rFonts w:cs="Times New Roman"/>
          <w:lang w:val="fr-CA"/>
        </w:rPr>
        <w:t>s</w:t>
      </w:r>
      <w:r w:rsidRPr="0080058A">
        <w:rPr>
          <w:rFonts w:cs="Times New Roman"/>
          <w:lang w:val="fr-CA"/>
        </w:rPr>
        <w:t xml:space="preserve"> de complot en vue de commettre un meurtre et de meurtre</w:t>
      </w:r>
      <w:r>
        <w:rPr>
          <w:rFonts w:cs="Times New Roman"/>
          <w:lang w:val="fr-CA"/>
        </w:rPr>
        <w:t xml:space="preserve"> qui pesaient contre eux</w:t>
      </w:r>
      <w:r w:rsidRPr="0080058A">
        <w:rPr>
          <w:rFonts w:cs="Times New Roman"/>
          <w:lang w:val="fr-CA"/>
        </w:rPr>
        <w:t>.</w:t>
      </w:r>
    </w:p>
    <w:p w:rsidR="00361B98" w:rsidRPr="0080058A" w:rsidRDefault="00361B98" w:rsidP="002B69A7">
      <w:pPr>
        <w:pStyle w:val="Title1LevelTitre1Niveau-AltL"/>
        <w:widowControl w:val="0"/>
        <w:rPr>
          <w:rFonts w:cs="Times New Roman"/>
          <w:lang w:val="fr-CA"/>
        </w:rPr>
      </w:pPr>
      <w:r w:rsidRPr="0080058A">
        <w:rPr>
          <w:rFonts w:cs="Times New Roman"/>
          <w:lang w:val="fr-CA"/>
        </w:rPr>
        <w:t xml:space="preserve">Décisions </w:t>
      </w:r>
      <w:r>
        <w:rPr>
          <w:rFonts w:cs="Times New Roman"/>
          <w:lang w:val="fr-CA"/>
        </w:rPr>
        <w:t>des juridictions inférieures</w:t>
      </w:r>
    </w:p>
    <w:p w:rsidR="00361B98" w:rsidRPr="0080058A" w:rsidRDefault="00361B98" w:rsidP="002B69A7">
      <w:pPr>
        <w:pStyle w:val="Title2LevelTitre2Niveau"/>
        <w:widowControl w:val="0"/>
        <w:rPr>
          <w:rFonts w:cs="Times New Roman"/>
          <w:lang w:val="fr-CA"/>
        </w:rPr>
      </w:pPr>
      <w:r w:rsidRPr="0080058A">
        <w:rPr>
          <w:rFonts w:cs="Times New Roman"/>
          <w:lang w:val="fr-CA"/>
        </w:rPr>
        <w:t xml:space="preserve">Les </w:t>
      </w:r>
      <w:r>
        <w:rPr>
          <w:rFonts w:cs="Times New Roman"/>
          <w:lang w:val="fr-CA"/>
        </w:rPr>
        <w:t xml:space="preserve">décisions </w:t>
      </w:r>
      <w:r w:rsidRPr="0080058A">
        <w:rPr>
          <w:rFonts w:cs="Times New Roman"/>
          <w:lang w:val="fr-CA"/>
        </w:rPr>
        <w:t xml:space="preserve">du </w:t>
      </w:r>
      <w:r>
        <w:rPr>
          <w:rFonts w:cs="Times New Roman"/>
          <w:lang w:val="fr-CA"/>
        </w:rPr>
        <w:t>m</w:t>
      </w:r>
      <w:r w:rsidRPr="0080058A">
        <w:rPr>
          <w:rFonts w:cs="Times New Roman"/>
          <w:lang w:val="fr-CA"/>
        </w:rPr>
        <w:t>inistre</w:t>
      </w:r>
      <w:r>
        <w:rPr>
          <w:rFonts w:cs="Times New Roman"/>
          <w:lang w:val="fr-CA"/>
        </w:rPr>
        <w:t xml:space="preserve"> en matière d’extradition</w:t>
      </w:r>
      <w:r w:rsidRPr="0080058A">
        <w:rPr>
          <w:rFonts w:cs="Times New Roman"/>
          <w:lang w:val="fr-CA"/>
        </w:rPr>
        <w:t xml:space="preserve"> </w:t>
      </w:r>
    </w:p>
    <w:p w:rsidR="00361B98" w:rsidRPr="0080058A" w:rsidRDefault="00361B98" w:rsidP="002B69A7">
      <w:pPr>
        <w:pStyle w:val="Title3LevelTitre3Niveau"/>
        <w:widowControl w:val="0"/>
        <w:rPr>
          <w:rFonts w:cs="Times New Roman"/>
          <w:lang w:val="fr-CA"/>
        </w:rPr>
      </w:pPr>
      <w:r w:rsidRPr="0080058A">
        <w:rPr>
          <w:rFonts w:cs="Times New Roman"/>
          <w:lang w:val="fr-CA"/>
        </w:rPr>
        <w:t>L</w:t>
      </w:r>
      <w:r>
        <w:rPr>
          <w:rFonts w:cs="Times New Roman"/>
          <w:lang w:val="fr-CA"/>
        </w:rPr>
        <w:t>’arrêté d’e</w:t>
      </w:r>
      <w:r w:rsidRPr="0080058A">
        <w:rPr>
          <w:rFonts w:cs="Times New Roman"/>
          <w:lang w:val="fr-CA"/>
        </w:rPr>
        <w:t>xtrad</w:t>
      </w:r>
      <w:r>
        <w:rPr>
          <w:rFonts w:cs="Times New Roman"/>
          <w:lang w:val="fr-CA"/>
        </w:rPr>
        <w:t>ition visant</w:t>
      </w:r>
      <w:r w:rsidRPr="0080058A">
        <w:rPr>
          <w:rFonts w:cs="Times New Roman"/>
          <w:lang w:val="fr-CA"/>
        </w:rPr>
        <w:t xml:space="preserve"> M. Badesha</w:t>
      </w:r>
    </w:p>
    <w:p w:rsidR="00361B98" w:rsidRPr="0080058A" w:rsidRDefault="00361B98" w:rsidP="002B69A7">
      <w:pPr>
        <w:pStyle w:val="ParaNoNdepar-AltN"/>
        <w:widowControl w:val="0"/>
        <w:rPr>
          <w:rFonts w:cs="Times New Roman"/>
          <w:lang w:val="fr-CA"/>
        </w:rPr>
      </w:pPr>
      <w:r w:rsidRPr="0080058A">
        <w:rPr>
          <w:rFonts w:cs="Times New Roman"/>
          <w:lang w:val="fr-CA"/>
        </w:rPr>
        <w:t>Dans les observations qu</w:t>
      </w:r>
      <w:r>
        <w:rPr>
          <w:rFonts w:cs="Times New Roman"/>
          <w:lang w:val="fr-CA"/>
        </w:rPr>
        <w:t>’</w:t>
      </w:r>
      <w:r w:rsidRPr="0080058A">
        <w:rPr>
          <w:rFonts w:cs="Times New Roman"/>
          <w:lang w:val="fr-CA"/>
        </w:rPr>
        <w:t xml:space="preserve">il a </w:t>
      </w:r>
      <w:r>
        <w:rPr>
          <w:rFonts w:cs="Times New Roman"/>
          <w:lang w:val="fr-CA"/>
        </w:rPr>
        <w:t>présentées au m</w:t>
      </w:r>
      <w:r w:rsidRPr="0080058A">
        <w:rPr>
          <w:rFonts w:cs="Times New Roman"/>
          <w:lang w:val="fr-CA"/>
        </w:rPr>
        <w:t>inistre, M. Badesha a fait valoir que son extradition serait injuste ou tyrannique au sens de l</w:t>
      </w:r>
      <w:r>
        <w:rPr>
          <w:rFonts w:cs="Times New Roman"/>
          <w:lang w:val="fr-CA"/>
        </w:rPr>
        <w:t>’al. </w:t>
      </w:r>
      <w:r w:rsidRPr="0080058A">
        <w:rPr>
          <w:rFonts w:cs="Times New Roman"/>
          <w:lang w:val="fr-CA"/>
        </w:rPr>
        <w:t xml:space="preserve">44(1)a) de la </w:t>
      </w:r>
      <w:r w:rsidRPr="00B73E8F">
        <w:rPr>
          <w:rFonts w:cs="Times New Roman"/>
          <w:lang w:val="fr-CA"/>
        </w:rPr>
        <w:t>Loi</w:t>
      </w:r>
      <w:r w:rsidRPr="0080058A">
        <w:rPr>
          <w:rFonts w:cs="Times New Roman"/>
          <w:lang w:val="fr-CA"/>
        </w:rPr>
        <w:t xml:space="preserve"> parce que</w:t>
      </w:r>
      <w:r>
        <w:rPr>
          <w:rFonts w:cs="Times New Roman"/>
          <w:lang w:val="fr-CA"/>
        </w:rPr>
        <w:t> :</w:t>
      </w:r>
      <w:r w:rsidRPr="0080058A">
        <w:rPr>
          <w:rFonts w:cs="Times New Roman"/>
          <w:lang w:val="fr-CA"/>
        </w:rPr>
        <w:t xml:space="preserve"> (1) il n</w:t>
      </w:r>
      <w:r>
        <w:rPr>
          <w:rFonts w:cs="Times New Roman"/>
          <w:lang w:val="fr-CA"/>
        </w:rPr>
        <w:t>’</w:t>
      </w:r>
      <w:r w:rsidRPr="0080058A">
        <w:rPr>
          <w:rFonts w:cs="Times New Roman"/>
          <w:lang w:val="fr-CA"/>
        </w:rPr>
        <w:t>y avait aucune garantie que l</w:t>
      </w:r>
      <w:r>
        <w:rPr>
          <w:rFonts w:cs="Times New Roman"/>
          <w:lang w:val="fr-CA"/>
        </w:rPr>
        <w:t>’</w:t>
      </w:r>
      <w:r w:rsidRPr="0080058A">
        <w:rPr>
          <w:rFonts w:cs="Times New Roman"/>
          <w:lang w:val="fr-CA"/>
        </w:rPr>
        <w:t xml:space="preserve">Inde respecterait </w:t>
      </w:r>
      <w:r>
        <w:rPr>
          <w:rFonts w:cs="Times New Roman"/>
          <w:lang w:val="fr-CA"/>
        </w:rPr>
        <w:t xml:space="preserve">son assurance de ne pas appliquer la </w:t>
      </w:r>
      <w:r w:rsidRPr="0080058A">
        <w:rPr>
          <w:rFonts w:cs="Times New Roman"/>
          <w:lang w:val="fr-CA"/>
        </w:rPr>
        <w:t>peine de mort; (2) il ne bénéficierait pas d</w:t>
      </w:r>
      <w:r>
        <w:rPr>
          <w:rFonts w:cs="Times New Roman"/>
          <w:lang w:val="fr-CA"/>
        </w:rPr>
        <w:t>’</w:t>
      </w:r>
      <w:r w:rsidRPr="0080058A">
        <w:rPr>
          <w:rFonts w:cs="Times New Roman"/>
          <w:lang w:val="fr-CA"/>
        </w:rPr>
        <w:t xml:space="preserve">un procès équitable en Inde; (3) les conditions de détention en Inde </w:t>
      </w:r>
      <w:r>
        <w:rPr>
          <w:rFonts w:cs="Times New Roman"/>
          <w:lang w:val="fr-CA"/>
        </w:rPr>
        <w:t xml:space="preserve">faisaient en sorte que </w:t>
      </w:r>
      <w:r w:rsidRPr="0080058A">
        <w:rPr>
          <w:rFonts w:cs="Times New Roman"/>
          <w:lang w:val="fr-CA"/>
        </w:rPr>
        <w:t xml:space="preserve">son extradition </w:t>
      </w:r>
      <w:r>
        <w:rPr>
          <w:rFonts w:cs="Times New Roman"/>
          <w:lang w:val="fr-CA"/>
        </w:rPr>
        <w:t xml:space="preserve">serait </w:t>
      </w:r>
      <w:r w:rsidRPr="0080058A">
        <w:rPr>
          <w:rFonts w:cs="Times New Roman"/>
          <w:lang w:val="fr-CA"/>
        </w:rPr>
        <w:t>contraire aux principes de justice fondamental</w:t>
      </w:r>
      <w:r>
        <w:rPr>
          <w:rFonts w:cs="Times New Roman"/>
          <w:lang w:val="fr-CA"/>
        </w:rPr>
        <w:t xml:space="preserve">e, compte tenu de son âge avancé et de ses problèmes de santé; (4) la preuve comportait de graves </w:t>
      </w:r>
      <w:r w:rsidRPr="0080058A">
        <w:rPr>
          <w:rFonts w:cs="Times New Roman"/>
          <w:lang w:val="fr-CA"/>
        </w:rPr>
        <w:t>lacunes.</w:t>
      </w:r>
    </w:p>
    <w:p w:rsidR="00361B98" w:rsidRPr="0080058A" w:rsidRDefault="00361B98" w:rsidP="002B69A7">
      <w:pPr>
        <w:pStyle w:val="ParaNoNdepar-AltN"/>
        <w:widowControl w:val="0"/>
        <w:rPr>
          <w:rFonts w:cs="Times New Roman"/>
          <w:lang w:val="fr-CA"/>
        </w:rPr>
      </w:pPr>
      <w:r w:rsidRPr="0080058A">
        <w:rPr>
          <w:rFonts w:cs="Times New Roman"/>
          <w:lang w:val="fr-CA"/>
        </w:rPr>
        <w:t>Pour ce qui est tout d</w:t>
      </w:r>
      <w:r>
        <w:rPr>
          <w:rFonts w:cs="Times New Roman"/>
          <w:lang w:val="fr-CA"/>
        </w:rPr>
        <w:t>’</w:t>
      </w:r>
      <w:r w:rsidRPr="0080058A">
        <w:rPr>
          <w:rFonts w:cs="Times New Roman"/>
          <w:lang w:val="fr-CA"/>
        </w:rPr>
        <w:t>abord d</w:t>
      </w:r>
      <w:r>
        <w:rPr>
          <w:rFonts w:cs="Times New Roman"/>
          <w:lang w:val="fr-CA"/>
        </w:rPr>
        <w:t>u souci exprimé</w:t>
      </w:r>
      <w:r w:rsidRPr="0080058A">
        <w:rPr>
          <w:rFonts w:cs="Times New Roman"/>
          <w:lang w:val="fr-CA"/>
        </w:rPr>
        <w:t xml:space="preserve"> au sujet de la peine de mort, le </w:t>
      </w:r>
      <w:r>
        <w:rPr>
          <w:rFonts w:cs="Times New Roman"/>
          <w:lang w:val="fr-CA"/>
        </w:rPr>
        <w:t>m</w:t>
      </w:r>
      <w:r w:rsidRPr="0080058A">
        <w:rPr>
          <w:rFonts w:cs="Times New Roman"/>
          <w:lang w:val="fr-CA"/>
        </w:rPr>
        <w:t xml:space="preserve">inistre </w:t>
      </w:r>
      <w:r>
        <w:rPr>
          <w:rFonts w:cs="Times New Roman"/>
          <w:lang w:val="fr-CA"/>
        </w:rPr>
        <w:t xml:space="preserve">a affirmé qu’à défaut </w:t>
      </w:r>
      <w:r w:rsidRPr="0080058A">
        <w:rPr>
          <w:rFonts w:cs="Times New Roman"/>
          <w:lang w:val="fr-CA"/>
        </w:rPr>
        <w:t>d</w:t>
      </w:r>
      <w:r>
        <w:rPr>
          <w:rFonts w:cs="Times New Roman"/>
          <w:lang w:val="fr-CA"/>
        </w:rPr>
        <w:t xml:space="preserve">e </w:t>
      </w:r>
      <w:r w:rsidRPr="0080058A">
        <w:rPr>
          <w:rFonts w:cs="Times New Roman"/>
          <w:lang w:val="fr-CA"/>
        </w:rPr>
        <w:t xml:space="preserve">preuve </w:t>
      </w:r>
      <w:r>
        <w:rPr>
          <w:rFonts w:cs="Times New Roman"/>
          <w:lang w:val="fr-CA"/>
        </w:rPr>
        <w:t>de</w:t>
      </w:r>
      <w:r w:rsidRPr="0080058A">
        <w:rPr>
          <w:rFonts w:cs="Times New Roman"/>
          <w:lang w:val="fr-CA"/>
        </w:rPr>
        <w:t xml:space="preserve"> </w:t>
      </w:r>
      <w:r>
        <w:rPr>
          <w:rFonts w:cs="Times New Roman"/>
          <w:lang w:val="fr-CA"/>
        </w:rPr>
        <w:t xml:space="preserve">la </w:t>
      </w:r>
      <w:r w:rsidRPr="0080058A">
        <w:rPr>
          <w:rFonts w:cs="Times New Roman"/>
          <w:lang w:val="fr-CA"/>
        </w:rPr>
        <w:t>mauvaise foi de l</w:t>
      </w:r>
      <w:r>
        <w:rPr>
          <w:rFonts w:cs="Times New Roman"/>
          <w:lang w:val="fr-CA"/>
        </w:rPr>
        <w:t xml:space="preserve">’Inde, il lui était loisible de </w:t>
      </w:r>
      <w:r w:rsidRPr="0080058A">
        <w:rPr>
          <w:rFonts w:cs="Times New Roman"/>
          <w:lang w:val="fr-CA"/>
        </w:rPr>
        <w:t>présumer que les autorités indiennes respecteraient les assurances qu</w:t>
      </w:r>
      <w:r>
        <w:rPr>
          <w:rFonts w:cs="Times New Roman"/>
          <w:lang w:val="fr-CA"/>
        </w:rPr>
        <w:t>’elles donnai</w:t>
      </w:r>
      <w:r w:rsidRPr="0080058A">
        <w:rPr>
          <w:rFonts w:cs="Times New Roman"/>
          <w:lang w:val="fr-CA"/>
        </w:rPr>
        <w:t>ent</w:t>
      </w:r>
      <w:r>
        <w:rPr>
          <w:rFonts w:cs="Times New Roman"/>
          <w:lang w:val="fr-CA"/>
        </w:rPr>
        <w:t>,</w:t>
      </w:r>
      <w:r w:rsidRPr="0080058A">
        <w:rPr>
          <w:rFonts w:cs="Times New Roman"/>
          <w:lang w:val="fr-CA"/>
        </w:rPr>
        <w:t xml:space="preserve"> y compris celle concernant la peine de mort</w:t>
      </w:r>
      <w:r>
        <w:rPr>
          <w:rFonts w:cs="Times New Roman"/>
          <w:lang w:val="fr-CA"/>
        </w:rPr>
        <w:t>,</w:t>
      </w:r>
      <w:r w:rsidRPr="0080058A">
        <w:rPr>
          <w:rFonts w:cs="Times New Roman"/>
          <w:lang w:val="fr-CA"/>
        </w:rPr>
        <w:t xml:space="preserve"> et le </w:t>
      </w:r>
      <w:r>
        <w:rPr>
          <w:rFonts w:cs="Times New Roman"/>
          <w:lang w:val="fr-CA"/>
        </w:rPr>
        <w:t>m</w:t>
      </w:r>
      <w:r w:rsidRPr="0080058A">
        <w:rPr>
          <w:rFonts w:cs="Times New Roman"/>
          <w:lang w:val="fr-CA"/>
        </w:rPr>
        <w:t xml:space="preserve">inistre a </w:t>
      </w:r>
      <w:r>
        <w:rPr>
          <w:rFonts w:cs="Times New Roman"/>
          <w:lang w:val="fr-CA"/>
        </w:rPr>
        <w:t xml:space="preserve">subordonné la </w:t>
      </w:r>
      <w:r w:rsidRPr="0080058A">
        <w:rPr>
          <w:rFonts w:cs="Times New Roman"/>
          <w:lang w:val="fr-CA"/>
        </w:rPr>
        <w:t>pris</w:t>
      </w:r>
      <w:r>
        <w:rPr>
          <w:rFonts w:cs="Times New Roman"/>
          <w:lang w:val="fr-CA"/>
        </w:rPr>
        <w:t>e de</w:t>
      </w:r>
      <w:r w:rsidRPr="0080058A">
        <w:rPr>
          <w:rFonts w:cs="Times New Roman"/>
          <w:lang w:val="fr-CA"/>
        </w:rPr>
        <w:t xml:space="preserve"> l</w:t>
      </w:r>
      <w:r>
        <w:rPr>
          <w:rFonts w:cs="Times New Roman"/>
          <w:lang w:val="fr-CA"/>
        </w:rPr>
        <w:t>’</w:t>
      </w:r>
      <w:r w:rsidRPr="0080058A">
        <w:rPr>
          <w:rFonts w:cs="Times New Roman"/>
          <w:lang w:val="fr-CA"/>
        </w:rPr>
        <w:t>arrêté d</w:t>
      </w:r>
      <w:r>
        <w:rPr>
          <w:rFonts w:cs="Times New Roman"/>
          <w:lang w:val="fr-CA"/>
        </w:rPr>
        <w:t>’</w:t>
      </w:r>
      <w:r w:rsidRPr="0080058A">
        <w:rPr>
          <w:rFonts w:cs="Times New Roman"/>
          <w:lang w:val="fr-CA"/>
        </w:rPr>
        <w:t xml:space="preserve">extradition </w:t>
      </w:r>
      <w:r>
        <w:rPr>
          <w:rFonts w:cs="Times New Roman"/>
          <w:lang w:val="fr-CA"/>
        </w:rPr>
        <w:t xml:space="preserve">à </w:t>
      </w:r>
      <w:r w:rsidRPr="0080058A">
        <w:rPr>
          <w:rFonts w:cs="Times New Roman"/>
          <w:lang w:val="fr-CA"/>
        </w:rPr>
        <w:t xml:space="preserve">la réception de </w:t>
      </w:r>
      <w:r>
        <w:rPr>
          <w:rFonts w:cs="Times New Roman"/>
          <w:lang w:val="fr-CA"/>
        </w:rPr>
        <w:t xml:space="preserve">cette </w:t>
      </w:r>
      <w:r w:rsidRPr="0080058A">
        <w:rPr>
          <w:rFonts w:cs="Times New Roman"/>
          <w:lang w:val="fr-CA"/>
        </w:rPr>
        <w:t>assurance.</w:t>
      </w:r>
    </w:p>
    <w:p w:rsidR="00361B98" w:rsidRPr="0080058A" w:rsidRDefault="00361B98" w:rsidP="002B69A7">
      <w:pPr>
        <w:pStyle w:val="ParaNoNdepar-AltN"/>
        <w:widowControl w:val="0"/>
        <w:rPr>
          <w:rFonts w:cs="Times New Roman"/>
          <w:lang w:val="fr-CA"/>
        </w:rPr>
      </w:pPr>
      <w:r w:rsidRPr="0080058A">
        <w:rPr>
          <w:rFonts w:cs="Times New Roman"/>
          <w:lang w:val="fr-CA"/>
        </w:rPr>
        <w:t>En ce qui concerne le droit de M. Badesha</w:t>
      </w:r>
      <w:r>
        <w:rPr>
          <w:rFonts w:cs="Times New Roman"/>
          <w:lang w:val="fr-CA"/>
        </w:rPr>
        <w:t xml:space="preserve"> à un procès équitable, le m</w:t>
      </w:r>
      <w:r w:rsidRPr="0080058A">
        <w:rPr>
          <w:rFonts w:cs="Times New Roman"/>
          <w:lang w:val="fr-CA"/>
        </w:rPr>
        <w:t xml:space="preserve">inistre </w:t>
      </w:r>
      <w:r w:rsidRPr="0080058A">
        <w:rPr>
          <w:rFonts w:cs="Times New Roman"/>
          <w:lang w:val="fr-CA"/>
        </w:rPr>
        <w:lastRenderedPageBreak/>
        <w:t>s</w:t>
      </w:r>
      <w:r>
        <w:rPr>
          <w:rFonts w:cs="Times New Roman"/>
          <w:lang w:val="fr-CA"/>
        </w:rPr>
        <w:t>’</w:t>
      </w:r>
      <w:r w:rsidRPr="0080058A">
        <w:rPr>
          <w:rFonts w:cs="Times New Roman"/>
          <w:lang w:val="fr-CA"/>
        </w:rPr>
        <w:t xml:space="preserve">est dit convaincu que, </w:t>
      </w:r>
      <w:r>
        <w:rPr>
          <w:rFonts w:cs="Times New Roman"/>
          <w:lang w:val="fr-CA"/>
        </w:rPr>
        <w:t xml:space="preserve">même s’il y avait encore des </w:t>
      </w:r>
      <w:r w:rsidRPr="0080058A">
        <w:rPr>
          <w:rFonts w:cs="Times New Roman"/>
          <w:lang w:val="fr-CA"/>
        </w:rPr>
        <w:t xml:space="preserve">craintes </w:t>
      </w:r>
      <w:r>
        <w:rPr>
          <w:rFonts w:cs="Times New Roman"/>
          <w:lang w:val="fr-CA"/>
        </w:rPr>
        <w:t xml:space="preserve">à l’égard de </w:t>
      </w:r>
      <w:r w:rsidRPr="0080058A">
        <w:rPr>
          <w:rFonts w:cs="Times New Roman"/>
          <w:lang w:val="fr-CA"/>
        </w:rPr>
        <w:t xml:space="preserve">la corruption et </w:t>
      </w:r>
      <w:r>
        <w:rPr>
          <w:rFonts w:cs="Times New Roman"/>
          <w:lang w:val="fr-CA"/>
        </w:rPr>
        <w:t xml:space="preserve">de </w:t>
      </w:r>
      <w:r w:rsidRPr="0080058A">
        <w:rPr>
          <w:rFonts w:cs="Times New Roman"/>
          <w:lang w:val="fr-CA"/>
        </w:rPr>
        <w:t>l</w:t>
      </w:r>
      <w:r>
        <w:rPr>
          <w:rFonts w:cs="Times New Roman"/>
          <w:lang w:val="fr-CA"/>
        </w:rPr>
        <w:t>’</w:t>
      </w:r>
      <w:r w:rsidRPr="0080058A">
        <w:rPr>
          <w:rFonts w:cs="Times New Roman"/>
          <w:lang w:val="fr-CA"/>
        </w:rPr>
        <w:t xml:space="preserve">intimidation en Inde, il </w:t>
      </w:r>
      <w:r>
        <w:rPr>
          <w:rFonts w:cs="Times New Roman"/>
          <w:lang w:val="fr-CA"/>
        </w:rPr>
        <w:t xml:space="preserve">ne </w:t>
      </w:r>
      <w:r w:rsidRPr="0080058A">
        <w:rPr>
          <w:rFonts w:cs="Times New Roman"/>
          <w:lang w:val="fr-CA"/>
        </w:rPr>
        <w:t xml:space="preserve">disposait </w:t>
      </w:r>
      <w:r>
        <w:rPr>
          <w:rFonts w:cs="Times New Roman"/>
          <w:lang w:val="fr-CA"/>
        </w:rPr>
        <w:t>d’aucun renseignement</w:t>
      </w:r>
      <w:r w:rsidRPr="0080058A">
        <w:rPr>
          <w:rFonts w:cs="Times New Roman"/>
          <w:lang w:val="fr-CA"/>
        </w:rPr>
        <w:t xml:space="preserve"> lui permettant de penser que M. Badesha </w:t>
      </w:r>
      <w:r>
        <w:rPr>
          <w:rFonts w:cs="Times New Roman"/>
          <w:lang w:val="fr-CA"/>
        </w:rPr>
        <w:t xml:space="preserve">serait victime de </w:t>
      </w:r>
      <w:r w:rsidRPr="0080058A">
        <w:rPr>
          <w:rFonts w:cs="Times New Roman"/>
          <w:lang w:val="fr-CA"/>
        </w:rPr>
        <w:t xml:space="preserve">telles exactions. </w:t>
      </w:r>
      <w:r>
        <w:rPr>
          <w:rFonts w:cs="Times New Roman"/>
          <w:lang w:val="fr-CA"/>
        </w:rPr>
        <w:t xml:space="preserve">À défaut </w:t>
      </w:r>
      <w:r w:rsidRPr="0080058A">
        <w:rPr>
          <w:rFonts w:cs="Times New Roman"/>
          <w:lang w:val="fr-CA"/>
        </w:rPr>
        <w:t>d</w:t>
      </w:r>
      <w:r>
        <w:rPr>
          <w:rFonts w:cs="Times New Roman"/>
          <w:lang w:val="fr-CA"/>
        </w:rPr>
        <w:t xml:space="preserve">e </w:t>
      </w:r>
      <w:r w:rsidRPr="0080058A">
        <w:rPr>
          <w:rFonts w:cs="Times New Roman"/>
          <w:lang w:val="fr-CA"/>
        </w:rPr>
        <w:t>preuve</w:t>
      </w:r>
      <w:r>
        <w:rPr>
          <w:rFonts w:cs="Times New Roman"/>
          <w:lang w:val="fr-CA"/>
        </w:rPr>
        <w:t>s</w:t>
      </w:r>
      <w:r w:rsidRPr="0080058A">
        <w:rPr>
          <w:rFonts w:cs="Times New Roman"/>
          <w:lang w:val="fr-CA"/>
        </w:rPr>
        <w:t xml:space="preserve"> contraires, il lui était loisible de tenir pour acquis que M. Badesha bénéficierait d</w:t>
      </w:r>
      <w:r>
        <w:rPr>
          <w:rFonts w:cs="Times New Roman"/>
          <w:lang w:val="fr-CA"/>
        </w:rPr>
        <w:t>’</w:t>
      </w:r>
      <w:r w:rsidRPr="0080058A">
        <w:rPr>
          <w:rFonts w:cs="Times New Roman"/>
          <w:lang w:val="fr-CA"/>
        </w:rPr>
        <w:t xml:space="preserve">un procès équitable en Inde et que son extradition ne violerait pas les principes de justice fondamentale </w:t>
      </w:r>
      <w:r>
        <w:rPr>
          <w:rFonts w:cs="Times New Roman"/>
          <w:lang w:val="fr-CA"/>
        </w:rPr>
        <w:t>pour ce motif</w:t>
      </w:r>
      <w:r w:rsidRPr="0080058A">
        <w:rPr>
          <w:rFonts w:cs="Times New Roman"/>
          <w:lang w:val="fr-CA"/>
        </w:rPr>
        <w:t>. Toutefois, par mesure de précaution, il a assujetti la prise de son arrêté d</w:t>
      </w:r>
      <w:r>
        <w:rPr>
          <w:rFonts w:cs="Times New Roman"/>
          <w:lang w:val="fr-CA"/>
        </w:rPr>
        <w:t>’</w:t>
      </w:r>
      <w:r w:rsidRPr="0080058A">
        <w:rPr>
          <w:rFonts w:cs="Times New Roman"/>
          <w:lang w:val="fr-CA"/>
        </w:rPr>
        <w:t>extradition à la condition que l</w:t>
      </w:r>
      <w:r>
        <w:rPr>
          <w:rFonts w:cs="Times New Roman"/>
          <w:lang w:val="fr-CA"/>
        </w:rPr>
        <w:t>’</w:t>
      </w:r>
      <w:r w:rsidRPr="0080058A">
        <w:rPr>
          <w:rFonts w:cs="Times New Roman"/>
          <w:lang w:val="fr-CA"/>
        </w:rPr>
        <w:t>Inde donne l</w:t>
      </w:r>
      <w:r>
        <w:rPr>
          <w:rFonts w:cs="Times New Roman"/>
          <w:lang w:val="fr-CA"/>
        </w:rPr>
        <w:t>’</w:t>
      </w:r>
      <w:r w:rsidRPr="0080058A">
        <w:rPr>
          <w:rFonts w:cs="Times New Roman"/>
          <w:lang w:val="fr-CA"/>
        </w:rPr>
        <w:t>assurance qu</w:t>
      </w:r>
      <w:r>
        <w:rPr>
          <w:rFonts w:cs="Times New Roman"/>
          <w:lang w:val="fr-CA"/>
        </w:rPr>
        <w:t>’</w:t>
      </w:r>
      <w:r w:rsidRPr="0080058A">
        <w:rPr>
          <w:rFonts w:cs="Times New Roman"/>
          <w:lang w:val="fr-CA"/>
        </w:rPr>
        <w:t>elle permettrait à des représentants canadiens d</w:t>
      </w:r>
      <w:r>
        <w:rPr>
          <w:rFonts w:cs="Times New Roman"/>
          <w:lang w:val="fr-CA"/>
        </w:rPr>
        <w:t>’</w:t>
      </w:r>
      <w:r w:rsidRPr="0080058A">
        <w:rPr>
          <w:rFonts w:cs="Times New Roman"/>
          <w:lang w:val="fr-CA"/>
        </w:rPr>
        <w:t xml:space="preserve">assister sur demande </w:t>
      </w:r>
      <w:r>
        <w:rPr>
          <w:rFonts w:cs="Times New Roman"/>
          <w:lang w:val="fr-CA"/>
        </w:rPr>
        <w:t>au procès</w:t>
      </w:r>
      <w:r w:rsidRPr="0080058A">
        <w:rPr>
          <w:rFonts w:cs="Times New Roman"/>
          <w:lang w:val="fr-CA"/>
        </w:rPr>
        <w:t xml:space="preserve">. </w:t>
      </w:r>
    </w:p>
    <w:p w:rsidR="00361B98" w:rsidRPr="00676A1E" w:rsidRDefault="00361B98" w:rsidP="002B69A7">
      <w:pPr>
        <w:pStyle w:val="ParaNoNdepar-AltN"/>
        <w:widowControl w:val="0"/>
        <w:rPr>
          <w:rFonts w:cs="Times New Roman"/>
          <w:lang w:val="fr-CA"/>
        </w:rPr>
      </w:pPr>
      <w:r w:rsidRPr="0080058A">
        <w:rPr>
          <w:rFonts w:cs="Times New Roman"/>
          <w:lang w:val="fr-CA"/>
        </w:rPr>
        <w:t xml:space="preserve">En ce qui concerne les </w:t>
      </w:r>
      <w:r w:rsidRPr="00676A1E">
        <w:rPr>
          <w:rFonts w:cs="Times New Roman"/>
          <w:lang w:val="fr-CA"/>
        </w:rPr>
        <w:t xml:space="preserve">conditions de détention en Inde, le </w:t>
      </w:r>
      <w:r>
        <w:rPr>
          <w:rFonts w:cs="Times New Roman"/>
          <w:lang w:val="fr-CA"/>
        </w:rPr>
        <w:t>m</w:t>
      </w:r>
      <w:r w:rsidRPr="00676A1E">
        <w:rPr>
          <w:rFonts w:cs="Times New Roman"/>
          <w:lang w:val="fr-CA"/>
        </w:rPr>
        <w:t>inistr</w:t>
      </w:r>
      <w:r>
        <w:rPr>
          <w:rFonts w:cs="Times New Roman"/>
          <w:lang w:val="fr-CA"/>
        </w:rPr>
        <w:t>e a fait observer que le ministère</w:t>
      </w:r>
      <w:r w:rsidRPr="00676A1E">
        <w:rPr>
          <w:rFonts w:cs="Times New Roman"/>
          <w:lang w:val="fr-CA"/>
        </w:rPr>
        <w:t xml:space="preserve"> des Affaires extérieur</w:t>
      </w:r>
      <w:r>
        <w:rPr>
          <w:rFonts w:cs="Times New Roman"/>
          <w:lang w:val="fr-CA"/>
        </w:rPr>
        <w:t>e</w:t>
      </w:r>
      <w:r w:rsidRPr="00676A1E">
        <w:rPr>
          <w:rFonts w:cs="Times New Roman"/>
          <w:lang w:val="fr-CA"/>
        </w:rPr>
        <w:t>s de l</w:t>
      </w:r>
      <w:r>
        <w:rPr>
          <w:rFonts w:cs="Times New Roman"/>
          <w:lang w:val="fr-CA"/>
        </w:rPr>
        <w:t>’</w:t>
      </w:r>
      <w:r w:rsidRPr="00676A1E">
        <w:rPr>
          <w:rFonts w:cs="Times New Roman"/>
          <w:lang w:val="fr-CA"/>
        </w:rPr>
        <w:t>Inde (</w:t>
      </w:r>
      <w:r>
        <w:rPr>
          <w:rFonts w:cs="Times New Roman"/>
          <w:lang w:val="fr-CA"/>
        </w:rPr>
        <w:t>« </w:t>
      </w:r>
      <w:r w:rsidRPr="00676A1E">
        <w:rPr>
          <w:rFonts w:cs="Times New Roman"/>
          <w:lang w:val="fr-CA"/>
        </w:rPr>
        <w:t>MAE</w:t>
      </w:r>
      <w:r>
        <w:rPr>
          <w:rFonts w:cs="Times New Roman"/>
          <w:lang w:val="fr-CA"/>
        </w:rPr>
        <w:t> »</w:t>
      </w:r>
      <w:r w:rsidRPr="00676A1E">
        <w:rPr>
          <w:rFonts w:cs="Times New Roman"/>
          <w:lang w:val="fr-CA"/>
        </w:rPr>
        <w:t xml:space="preserve">) avait informé le Canada que le traitement et la sécurité des détenus </w:t>
      </w:r>
      <w:r>
        <w:rPr>
          <w:rFonts w:cs="Times New Roman"/>
          <w:lang w:val="fr-CA"/>
        </w:rPr>
        <w:t xml:space="preserve">des prisons </w:t>
      </w:r>
      <w:r w:rsidRPr="00676A1E">
        <w:rPr>
          <w:rFonts w:cs="Times New Roman"/>
          <w:lang w:val="fr-CA"/>
        </w:rPr>
        <w:t xml:space="preserve">du Pendjab, la région </w:t>
      </w:r>
      <w:r>
        <w:rPr>
          <w:rFonts w:cs="Times New Roman"/>
          <w:lang w:val="fr-CA"/>
        </w:rPr>
        <w:t xml:space="preserve">où </w:t>
      </w:r>
      <w:r w:rsidRPr="00676A1E">
        <w:rPr>
          <w:rFonts w:cs="Times New Roman"/>
          <w:lang w:val="fr-CA"/>
        </w:rPr>
        <w:t xml:space="preserve">M. Badesha serait incarcéré, étaient régis par le </w:t>
      </w:r>
      <w:r w:rsidRPr="00676A1E">
        <w:rPr>
          <w:rFonts w:cs="Times New Roman"/>
          <w:i/>
          <w:lang w:val="fr-CA"/>
        </w:rPr>
        <w:t>P</w:t>
      </w:r>
      <w:r w:rsidR="00B73E8F">
        <w:rPr>
          <w:rFonts w:cs="Times New Roman"/>
          <w:i/>
          <w:lang w:val="fr-CA"/>
        </w:rPr>
        <w:t>un</w:t>
      </w:r>
      <w:r w:rsidRPr="00676A1E">
        <w:rPr>
          <w:rFonts w:cs="Times New Roman"/>
          <w:i/>
          <w:lang w:val="fr-CA"/>
        </w:rPr>
        <w:t>jab Jail Manu</w:t>
      </w:r>
      <w:r>
        <w:rPr>
          <w:rFonts w:cs="Times New Roman"/>
          <w:i/>
          <w:lang w:val="fr-CA"/>
        </w:rPr>
        <w:t>al. </w:t>
      </w:r>
      <w:r w:rsidRPr="00676A1E">
        <w:rPr>
          <w:rFonts w:cs="Times New Roman"/>
          <w:lang w:val="fr-CA"/>
        </w:rPr>
        <w:t xml:space="preserve">Selon ce </w:t>
      </w:r>
      <w:r>
        <w:rPr>
          <w:rFonts w:cs="Times New Roman"/>
          <w:lang w:val="fr-CA"/>
        </w:rPr>
        <w:t>guide</w:t>
      </w:r>
      <w:r w:rsidRPr="00676A1E">
        <w:rPr>
          <w:rFonts w:cs="Times New Roman"/>
          <w:lang w:val="fr-CA"/>
        </w:rPr>
        <w:t xml:space="preserve">, des médecins </w:t>
      </w:r>
      <w:r>
        <w:rPr>
          <w:rFonts w:cs="Times New Roman"/>
          <w:lang w:val="fr-CA"/>
        </w:rPr>
        <w:t xml:space="preserve">sont tenus de </w:t>
      </w:r>
      <w:r w:rsidRPr="00676A1E">
        <w:rPr>
          <w:rFonts w:cs="Times New Roman"/>
          <w:lang w:val="fr-CA"/>
        </w:rPr>
        <w:t xml:space="preserve">faire des visites fréquentes dans les prisons, </w:t>
      </w:r>
      <w:r>
        <w:rPr>
          <w:rFonts w:cs="Times New Roman"/>
          <w:lang w:val="fr-CA"/>
        </w:rPr>
        <w:t xml:space="preserve">en plus d’être joignables </w:t>
      </w:r>
      <w:r w:rsidRPr="00676A1E">
        <w:rPr>
          <w:rFonts w:cs="Times New Roman"/>
          <w:lang w:val="fr-CA"/>
        </w:rPr>
        <w:t>en</w:t>
      </w:r>
      <w:r>
        <w:rPr>
          <w:rFonts w:cs="Times New Roman"/>
          <w:lang w:val="fr-CA"/>
        </w:rPr>
        <w:t xml:space="preserve"> tout temps </w:t>
      </w:r>
      <w:r w:rsidRPr="00676A1E">
        <w:rPr>
          <w:rFonts w:cs="Times New Roman"/>
          <w:lang w:val="fr-CA"/>
        </w:rPr>
        <w:t xml:space="preserve">et de </w:t>
      </w:r>
      <w:r>
        <w:rPr>
          <w:rFonts w:cs="Times New Roman"/>
          <w:lang w:val="fr-CA"/>
        </w:rPr>
        <w:t xml:space="preserve">devoir </w:t>
      </w:r>
      <w:r w:rsidRPr="00676A1E">
        <w:rPr>
          <w:rFonts w:cs="Times New Roman"/>
          <w:lang w:val="fr-CA"/>
        </w:rPr>
        <w:t>prendre les mesures nécessaires pour l</w:t>
      </w:r>
      <w:r>
        <w:rPr>
          <w:rFonts w:cs="Times New Roman"/>
          <w:lang w:val="fr-CA"/>
        </w:rPr>
        <w:t>’</w:t>
      </w:r>
      <w:r w:rsidRPr="00676A1E">
        <w:rPr>
          <w:rFonts w:cs="Times New Roman"/>
          <w:lang w:val="fr-CA"/>
        </w:rPr>
        <w:t xml:space="preserve">entretien des prisons et la santé des détenus. Le MAE a également expliqué au </w:t>
      </w:r>
      <w:r>
        <w:rPr>
          <w:rFonts w:cs="Times New Roman"/>
          <w:lang w:val="fr-CA"/>
        </w:rPr>
        <w:t>m</w:t>
      </w:r>
      <w:r w:rsidRPr="00676A1E">
        <w:rPr>
          <w:rFonts w:cs="Times New Roman"/>
          <w:lang w:val="fr-CA"/>
        </w:rPr>
        <w:t>inistre que les prisons sont dotées d</w:t>
      </w:r>
      <w:r>
        <w:rPr>
          <w:rFonts w:cs="Times New Roman"/>
          <w:lang w:val="fr-CA"/>
        </w:rPr>
        <w:t>’</w:t>
      </w:r>
      <w:r w:rsidRPr="00676A1E">
        <w:rPr>
          <w:rFonts w:cs="Times New Roman"/>
          <w:lang w:val="fr-CA"/>
        </w:rPr>
        <w:t>équipement</w:t>
      </w:r>
      <w:r>
        <w:rPr>
          <w:rFonts w:cs="Times New Roman"/>
          <w:lang w:val="fr-CA"/>
        </w:rPr>
        <w:t>s</w:t>
      </w:r>
      <w:r w:rsidRPr="00676A1E">
        <w:rPr>
          <w:rFonts w:cs="Times New Roman"/>
          <w:lang w:val="fr-CA"/>
        </w:rPr>
        <w:t xml:space="preserve"> moderne</w:t>
      </w:r>
      <w:r>
        <w:rPr>
          <w:rFonts w:cs="Times New Roman"/>
          <w:lang w:val="fr-CA"/>
        </w:rPr>
        <w:t>s</w:t>
      </w:r>
      <w:r w:rsidRPr="00676A1E">
        <w:rPr>
          <w:rFonts w:cs="Times New Roman"/>
          <w:lang w:val="fr-CA"/>
        </w:rPr>
        <w:t xml:space="preserve"> permettant d</w:t>
      </w:r>
      <w:r>
        <w:rPr>
          <w:rFonts w:cs="Times New Roman"/>
          <w:lang w:val="fr-CA"/>
        </w:rPr>
        <w:t>’</w:t>
      </w:r>
      <w:r w:rsidRPr="00676A1E">
        <w:rPr>
          <w:rFonts w:cs="Times New Roman"/>
          <w:lang w:val="fr-CA"/>
        </w:rPr>
        <w:t xml:space="preserve">offrir des soins médicaux </w:t>
      </w:r>
      <w:r>
        <w:rPr>
          <w:rFonts w:cs="Times New Roman"/>
          <w:lang w:val="fr-CA"/>
        </w:rPr>
        <w:t xml:space="preserve">aux détenus </w:t>
      </w:r>
      <w:r w:rsidRPr="00676A1E">
        <w:rPr>
          <w:rFonts w:cs="Times New Roman"/>
          <w:lang w:val="fr-CA"/>
        </w:rPr>
        <w:t>et</w:t>
      </w:r>
      <w:r>
        <w:rPr>
          <w:rFonts w:cs="Times New Roman"/>
          <w:lang w:val="fr-CA"/>
        </w:rPr>
        <w:t xml:space="preserve"> que des médecins spécialistes </w:t>
      </w:r>
      <w:r w:rsidRPr="00676A1E">
        <w:rPr>
          <w:rFonts w:cs="Times New Roman"/>
          <w:lang w:val="fr-CA"/>
        </w:rPr>
        <w:t xml:space="preserve">se rendent dans les </w:t>
      </w:r>
      <w:r>
        <w:rPr>
          <w:rFonts w:cs="Times New Roman"/>
          <w:lang w:val="fr-CA"/>
        </w:rPr>
        <w:t>p</w:t>
      </w:r>
      <w:r w:rsidRPr="00676A1E">
        <w:rPr>
          <w:rFonts w:cs="Times New Roman"/>
          <w:lang w:val="fr-CA"/>
        </w:rPr>
        <w:t>é</w:t>
      </w:r>
      <w:r>
        <w:rPr>
          <w:rFonts w:cs="Times New Roman"/>
          <w:lang w:val="fr-CA"/>
        </w:rPr>
        <w:t>nitenciers</w:t>
      </w:r>
      <w:r w:rsidRPr="00676A1E">
        <w:rPr>
          <w:rFonts w:cs="Times New Roman"/>
          <w:lang w:val="fr-CA"/>
        </w:rPr>
        <w:t xml:space="preserve"> pour rencontrer les détenus et</w:t>
      </w:r>
      <w:r>
        <w:rPr>
          <w:rFonts w:cs="Times New Roman"/>
          <w:lang w:val="fr-CA"/>
        </w:rPr>
        <w:t xml:space="preserve"> les soigner</w:t>
      </w:r>
      <w:r w:rsidRPr="00676A1E">
        <w:rPr>
          <w:rFonts w:cs="Times New Roman"/>
          <w:lang w:val="fr-CA"/>
        </w:rPr>
        <w:t>.</w:t>
      </w:r>
    </w:p>
    <w:p w:rsidR="00361B98" w:rsidRPr="0080058A" w:rsidRDefault="00361B98" w:rsidP="002B69A7">
      <w:pPr>
        <w:pStyle w:val="ParaNoNdepar-AltN"/>
        <w:widowControl w:val="0"/>
        <w:rPr>
          <w:rFonts w:cs="Times New Roman"/>
          <w:lang w:val="fr-CA"/>
        </w:rPr>
      </w:pPr>
      <w:r>
        <w:rPr>
          <w:rFonts w:cs="Times New Roman"/>
          <w:lang w:val="fr-CA"/>
        </w:rPr>
        <w:t xml:space="preserve">Afin de </w:t>
      </w:r>
      <w:r w:rsidRPr="0080058A">
        <w:rPr>
          <w:rFonts w:cs="Times New Roman"/>
          <w:lang w:val="fr-CA"/>
        </w:rPr>
        <w:t xml:space="preserve">confirmer ces renseignements, le </w:t>
      </w:r>
      <w:r>
        <w:rPr>
          <w:rFonts w:cs="Times New Roman"/>
          <w:lang w:val="fr-CA"/>
        </w:rPr>
        <w:t>m</w:t>
      </w:r>
      <w:r w:rsidRPr="0080058A">
        <w:rPr>
          <w:rFonts w:cs="Times New Roman"/>
          <w:lang w:val="fr-CA"/>
        </w:rPr>
        <w:t xml:space="preserve">inistre a entrepris des démarches </w:t>
      </w:r>
      <w:r>
        <w:rPr>
          <w:rFonts w:cs="Times New Roman"/>
          <w:lang w:val="fr-CA"/>
        </w:rPr>
        <w:t>supplémentaires en demandant à s</w:t>
      </w:r>
      <w:r w:rsidRPr="0080058A">
        <w:rPr>
          <w:rFonts w:cs="Times New Roman"/>
          <w:lang w:val="fr-CA"/>
        </w:rPr>
        <w:t xml:space="preserve">es fonctionnaires de consulter le ministère canadien des Affaires étrangères au sujet des soins médicaux dispensés dans les </w:t>
      </w:r>
      <w:r w:rsidRPr="0080058A">
        <w:rPr>
          <w:rFonts w:cs="Times New Roman"/>
          <w:lang w:val="fr-CA"/>
        </w:rPr>
        <w:lastRenderedPageBreak/>
        <w:t xml:space="preserve">établissements de détention </w:t>
      </w:r>
      <w:r>
        <w:rPr>
          <w:rFonts w:cs="Times New Roman"/>
          <w:lang w:val="fr-CA"/>
        </w:rPr>
        <w:t xml:space="preserve">au </w:t>
      </w:r>
      <w:r w:rsidRPr="0080058A">
        <w:rPr>
          <w:rFonts w:cs="Times New Roman"/>
          <w:lang w:val="fr-CA"/>
        </w:rPr>
        <w:t xml:space="preserve">Pendjab. Selon les renseignements obtenus </w:t>
      </w:r>
      <w:r>
        <w:rPr>
          <w:rFonts w:cs="Times New Roman"/>
          <w:lang w:val="fr-CA"/>
        </w:rPr>
        <w:t>auprès du Haut</w:t>
      </w:r>
      <w:r>
        <w:rPr>
          <w:rFonts w:cs="Times New Roman"/>
          <w:lang w:val="fr-CA"/>
        </w:rPr>
        <w:noBreakHyphen/>
        <w:t>c</w:t>
      </w:r>
      <w:r w:rsidRPr="0080058A">
        <w:rPr>
          <w:rFonts w:cs="Times New Roman"/>
          <w:lang w:val="fr-CA"/>
        </w:rPr>
        <w:t xml:space="preserve">ommissariat du Canada en Inde, le ministère des Affaires étrangères a confirmé que les prisons de cette région </w:t>
      </w:r>
      <w:r>
        <w:rPr>
          <w:rFonts w:cs="Times New Roman"/>
          <w:lang w:val="fr-CA"/>
        </w:rPr>
        <w:t xml:space="preserve">sont équipées pour offrir </w:t>
      </w:r>
      <w:r w:rsidRPr="0080058A">
        <w:rPr>
          <w:rFonts w:cs="Times New Roman"/>
          <w:lang w:val="fr-CA"/>
        </w:rPr>
        <w:t>de</w:t>
      </w:r>
      <w:r>
        <w:rPr>
          <w:rFonts w:cs="Times New Roman"/>
          <w:lang w:val="fr-CA"/>
        </w:rPr>
        <w:t xml:space="preserve">s </w:t>
      </w:r>
      <w:r w:rsidRPr="0080058A">
        <w:rPr>
          <w:rFonts w:cs="Times New Roman"/>
          <w:lang w:val="fr-CA"/>
        </w:rPr>
        <w:t>s</w:t>
      </w:r>
      <w:r>
        <w:rPr>
          <w:rFonts w:cs="Times New Roman"/>
          <w:lang w:val="fr-CA"/>
        </w:rPr>
        <w:t xml:space="preserve">oins </w:t>
      </w:r>
      <w:r w:rsidRPr="0080058A">
        <w:rPr>
          <w:rFonts w:cs="Times New Roman"/>
          <w:lang w:val="fr-CA"/>
        </w:rPr>
        <w:t xml:space="preserve">médicaux </w:t>
      </w:r>
      <w:r>
        <w:rPr>
          <w:rFonts w:cs="Times New Roman"/>
          <w:lang w:val="fr-CA"/>
        </w:rPr>
        <w:t xml:space="preserve">de base </w:t>
      </w:r>
      <w:r w:rsidRPr="0080058A">
        <w:rPr>
          <w:rFonts w:cs="Times New Roman"/>
          <w:lang w:val="fr-CA"/>
        </w:rPr>
        <w:t xml:space="preserve">aux détenus et que les détenus qui </w:t>
      </w:r>
      <w:r>
        <w:rPr>
          <w:rFonts w:cs="Times New Roman"/>
          <w:lang w:val="fr-CA"/>
        </w:rPr>
        <w:t xml:space="preserve">ont besoin de soins plus spécialisés </w:t>
      </w:r>
      <w:r w:rsidRPr="0080058A">
        <w:rPr>
          <w:rFonts w:cs="Times New Roman"/>
          <w:lang w:val="fr-CA"/>
        </w:rPr>
        <w:t xml:space="preserve">sont envoyés dans des hôpitaux et des </w:t>
      </w:r>
      <w:r>
        <w:rPr>
          <w:rFonts w:cs="Times New Roman"/>
          <w:lang w:val="fr-CA"/>
        </w:rPr>
        <w:t>instituts</w:t>
      </w:r>
      <w:r w:rsidRPr="0080058A">
        <w:rPr>
          <w:rFonts w:cs="Times New Roman"/>
          <w:lang w:val="fr-CA"/>
        </w:rPr>
        <w:t xml:space="preserve">. </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Malgré ces </w:t>
      </w:r>
      <w:r>
        <w:rPr>
          <w:rFonts w:cs="Times New Roman"/>
          <w:lang w:val="fr-CA"/>
        </w:rPr>
        <w:t>renseignements</w:t>
      </w:r>
      <w:r w:rsidRPr="0080058A">
        <w:rPr>
          <w:rFonts w:cs="Times New Roman"/>
          <w:lang w:val="fr-CA"/>
        </w:rPr>
        <w:t xml:space="preserve">, le </w:t>
      </w:r>
      <w:r>
        <w:rPr>
          <w:rFonts w:cs="Times New Roman"/>
          <w:lang w:val="fr-CA"/>
        </w:rPr>
        <w:t>m</w:t>
      </w:r>
      <w:r w:rsidRPr="0080058A">
        <w:rPr>
          <w:rFonts w:cs="Times New Roman"/>
          <w:lang w:val="fr-CA"/>
        </w:rPr>
        <w:t>inistre</w:t>
      </w:r>
      <w:r>
        <w:rPr>
          <w:rFonts w:cs="Times New Roman"/>
          <w:lang w:val="fr-CA"/>
        </w:rPr>
        <w:t xml:space="preserve"> se préoccupait toujours de la </w:t>
      </w:r>
      <w:r w:rsidRPr="0080058A">
        <w:rPr>
          <w:rFonts w:cs="Times New Roman"/>
          <w:lang w:val="fr-CA"/>
        </w:rPr>
        <w:t xml:space="preserve">santé et </w:t>
      </w:r>
      <w:r>
        <w:rPr>
          <w:rFonts w:cs="Times New Roman"/>
          <w:lang w:val="fr-CA"/>
        </w:rPr>
        <w:t xml:space="preserve">de </w:t>
      </w:r>
      <w:r w:rsidRPr="0080058A">
        <w:rPr>
          <w:rFonts w:cs="Times New Roman"/>
          <w:lang w:val="fr-CA"/>
        </w:rPr>
        <w:t xml:space="preserve">la sécurité de M. Badesha </w:t>
      </w:r>
      <w:r>
        <w:rPr>
          <w:rFonts w:cs="Times New Roman"/>
          <w:lang w:val="fr-CA"/>
        </w:rPr>
        <w:t xml:space="preserve">pendant qu’il serait détenu, vu les </w:t>
      </w:r>
      <w:r w:rsidRPr="0080058A">
        <w:rPr>
          <w:rFonts w:cs="Times New Roman"/>
          <w:lang w:val="fr-CA"/>
        </w:rPr>
        <w:t xml:space="preserve">autres renseignements </w:t>
      </w:r>
      <w:r>
        <w:rPr>
          <w:rFonts w:cs="Times New Roman"/>
          <w:lang w:val="fr-CA"/>
        </w:rPr>
        <w:t xml:space="preserve">faisant état </w:t>
      </w:r>
      <w:r w:rsidRPr="0080058A">
        <w:rPr>
          <w:rFonts w:cs="Times New Roman"/>
          <w:lang w:val="fr-CA"/>
        </w:rPr>
        <w:t xml:space="preserve">des piètres conditions de détention dans les prisons </w:t>
      </w:r>
      <w:r>
        <w:rPr>
          <w:rFonts w:cs="Times New Roman"/>
          <w:lang w:val="fr-CA"/>
        </w:rPr>
        <w:t>indiennes</w:t>
      </w:r>
      <w:r w:rsidRPr="0080058A">
        <w:rPr>
          <w:rFonts w:cs="Times New Roman"/>
          <w:lang w:val="fr-CA"/>
        </w:rPr>
        <w:t xml:space="preserve">. </w:t>
      </w:r>
      <w:r>
        <w:rPr>
          <w:rFonts w:cs="Times New Roman"/>
          <w:lang w:val="fr-CA"/>
        </w:rPr>
        <w:t xml:space="preserve">Vu </w:t>
      </w:r>
      <w:r w:rsidRPr="0080058A">
        <w:rPr>
          <w:rFonts w:cs="Times New Roman"/>
          <w:lang w:val="fr-CA"/>
        </w:rPr>
        <w:t xml:space="preserve">ces </w:t>
      </w:r>
      <w:r>
        <w:rPr>
          <w:rFonts w:cs="Times New Roman"/>
          <w:lang w:val="fr-CA"/>
        </w:rPr>
        <w:t>informations</w:t>
      </w:r>
      <w:r w:rsidRPr="0080058A">
        <w:rPr>
          <w:rFonts w:cs="Times New Roman"/>
          <w:lang w:val="fr-CA"/>
        </w:rPr>
        <w:t xml:space="preserve">, le </w:t>
      </w:r>
      <w:r>
        <w:rPr>
          <w:rFonts w:cs="Times New Roman"/>
          <w:lang w:val="fr-CA"/>
        </w:rPr>
        <w:t>m</w:t>
      </w:r>
      <w:r w:rsidRPr="0080058A">
        <w:rPr>
          <w:rFonts w:cs="Times New Roman"/>
          <w:lang w:val="fr-CA"/>
        </w:rPr>
        <w:t xml:space="preserve">inistre a </w:t>
      </w:r>
      <w:r>
        <w:rPr>
          <w:rFonts w:cs="Times New Roman"/>
          <w:lang w:val="fr-CA"/>
        </w:rPr>
        <w:t xml:space="preserve">subordonné </w:t>
      </w:r>
      <w:r w:rsidRPr="0080058A">
        <w:rPr>
          <w:rFonts w:cs="Times New Roman"/>
          <w:lang w:val="fr-CA"/>
        </w:rPr>
        <w:t>l</w:t>
      </w:r>
      <w:r>
        <w:rPr>
          <w:rFonts w:cs="Times New Roman"/>
          <w:lang w:val="fr-CA"/>
        </w:rPr>
        <w:t>’</w:t>
      </w:r>
      <w:r w:rsidRPr="0080058A">
        <w:rPr>
          <w:rFonts w:cs="Times New Roman"/>
          <w:lang w:val="fr-CA"/>
        </w:rPr>
        <w:t>extradition de M. Badesha à la condition de recevoir de l</w:t>
      </w:r>
      <w:r>
        <w:rPr>
          <w:rFonts w:cs="Times New Roman"/>
          <w:lang w:val="fr-CA"/>
        </w:rPr>
        <w:t>’</w:t>
      </w:r>
      <w:r w:rsidRPr="0080058A">
        <w:rPr>
          <w:rFonts w:cs="Times New Roman"/>
          <w:lang w:val="fr-CA"/>
        </w:rPr>
        <w:t>Inde l</w:t>
      </w:r>
      <w:r>
        <w:rPr>
          <w:rFonts w:cs="Times New Roman"/>
          <w:lang w:val="fr-CA"/>
        </w:rPr>
        <w:t>’</w:t>
      </w:r>
      <w:r w:rsidRPr="0080058A">
        <w:rPr>
          <w:rFonts w:cs="Times New Roman"/>
          <w:lang w:val="fr-CA"/>
        </w:rPr>
        <w:t>assurance que l</w:t>
      </w:r>
      <w:r>
        <w:rPr>
          <w:rFonts w:cs="Times New Roman"/>
          <w:lang w:val="fr-CA"/>
        </w:rPr>
        <w:t>’</w:t>
      </w:r>
      <w:r w:rsidRPr="0080058A">
        <w:rPr>
          <w:rFonts w:cs="Times New Roman"/>
          <w:lang w:val="fr-CA"/>
        </w:rPr>
        <w:t xml:space="preserve">on fournirait à M. Badesha les soins médicaux et les médicaments </w:t>
      </w:r>
      <w:r>
        <w:rPr>
          <w:rFonts w:cs="Times New Roman"/>
          <w:lang w:val="fr-CA"/>
        </w:rPr>
        <w:t xml:space="preserve">dont il avait besoin </w:t>
      </w:r>
      <w:r w:rsidRPr="0080058A">
        <w:rPr>
          <w:rFonts w:cs="Times New Roman"/>
          <w:lang w:val="fr-CA"/>
        </w:rPr>
        <w:t>et que l</w:t>
      </w:r>
      <w:r>
        <w:rPr>
          <w:rFonts w:cs="Times New Roman"/>
          <w:lang w:val="fr-CA"/>
        </w:rPr>
        <w:t>’</w:t>
      </w:r>
      <w:r w:rsidRPr="0080058A">
        <w:rPr>
          <w:rFonts w:cs="Times New Roman"/>
          <w:lang w:val="fr-CA"/>
        </w:rPr>
        <w:t xml:space="preserve">on prenne toutes les mesures raisonnables pour assurer sa sécurité </w:t>
      </w:r>
      <w:r>
        <w:rPr>
          <w:rFonts w:cs="Times New Roman"/>
          <w:lang w:val="fr-CA"/>
        </w:rPr>
        <w:t xml:space="preserve">au cours de sa </w:t>
      </w:r>
      <w:r w:rsidRPr="0080058A">
        <w:rPr>
          <w:rFonts w:cs="Times New Roman"/>
          <w:lang w:val="fr-CA"/>
        </w:rPr>
        <w:t>dét</w:t>
      </w:r>
      <w:r>
        <w:rPr>
          <w:rFonts w:cs="Times New Roman"/>
          <w:lang w:val="fr-CA"/>
        </w:rPr>
        <w:t xml:space="preserve">ention en Inde. Il a également subordonné </w:t>
      </w:r>
      <w:r w:rsidRPr="0080058A">
        <w:rPr>
          <w:rFonts w:cs="Times New Roman"/>
          <w:lang w:val="fr-CA"/>
        </w:rPr>
        <w:t>l</w:t>
      </w:r>
      <w:r>
        <w:rPr>
          <w:rFonts w:cs="Times New Roman"/>
          <w:lang w:val="fr-CA"/>
        </w:rPr>
        <w:t>’</w:t>
      </w:r>
      <w:r w:rsidRPr="0080058A">
        <w:rPr>
          <w:rFonts w:cs="Times New Roman"/>
          <w:lang w:val="fr-CA"/>
        </w:rPr>
        <w:t xml:space="preserve">extradition de M. Badesha à la condition de recevoir </w:t>
      </w:r>
      <w:r>
        <w:rPr>
          <w:rFonts w:cs="Times New Roman"/>
          <w:lang w:val="fr-CA"/>
        </w:rPr>
        <w:t xml:space="preserve">de </w:t>
      </w:r>
      <w:r w:rsidRPr="0080058A">
        <w:rPr>
          <w:rFonts w:cs="Times New Roman"/>
          <w:lang w:val="fr-CA"/>
        </w:rPr>
        <w:t>l</w:t>
      </w:r>
      <w:r>
        <w:rPr>
          <w:rFonts w:cs="Times New Roman"/>
          <w:lang w:val="fr-CA"/>
        </w:rPr>
        <w:t>’</w:t>
      </w:r>
      <w:r w:rsidRPr="0080058A">
        <w:rPr>
          <w:rFonts w:cs="Times New Roman"/>
          <w:lang w:val="fr-CA"/>
        </w:rPr>
        <w:t xml:space="preserve">Inde </w:t>
      </w:r>
      <w:r>
        <w:rPr>
          <w:rFonts w:cs="Times New Roman"/>
          <w:lang w:val="fr-CA"/>
        </w:rPr>
        <w:t xml:space="preserve">l’assurance que l’on </w:t>
      </w:r>
      <w:r w:rsidRPr="0080058A">
        <w:rPr>
          <w:rFonts w:cs="Times New Roman"/>
          <w:lang w:val="fr-CA"/>
        </w:rPr>
        <w:t xml:space="preserve">accorde </w:t>
      </w:r>
      <w:r>
        <w:rPr>
          <w:rFonts w:cs="Times New Roman"/>
          <w:lang w:val="fr-CA"/>
        </w:rPr>
        <w:t xml:space="preserve">à M. Badesha un </w:t>
      </w:r>
      <w:r w:rsidRPr="0080058A">
        <w:rPr>
          <w:rFonts w:cs="Times New Roman"/>
          <w:lang w:val="fr-CA"/>
        </w:rPr>
        <w:t xml:space="preserve">accès immédiat et sans </w:t>
      </w:r>
      <w:r>
        <w:rPr>
          <w:rFonts w:cs="Times New Roman"/>
          <w:lang w:val="fr-CA"/>
        </w:rPr>
        <w:t xml:space="preserve">réserve </w:t>
      </w:r>
      <w:r w:rsidRPr="0080058A">
        <w:rPr>
          <w:rFonts w:cs="Times New Roman"/>
          <w:lang w:val="fr-CA"/>
        </w:rPr>
        <w:t>à d</w:t>
      </w:r>
      <w:r>
        <w:rPr>
          <w:rFonts w:cs="Times New Roman"/>
          <w:lang w:val="fr-CA"/>
        </w:rPr>
        <w:t xml:space="preserve">es représentants consulaires pendant sa détention. </w:t>
      </w:r>
      <w:r w:rsidRPr="0080058A">
        <w:rPr>
          <w:lang w:val="fr-CA"/>
        </w:rPr>
        <w:t xml:space="preserve">Même si </w:t>
      </w:r>
      <w:r>
        <w:rPr>
          <w:lang w:val="fr-CA"/>
        </w:rPr>
        <w:t>l’</w:t>
      </w:r>
      <w:r w:rsidRPr="0080058A">
        <w:rPr>
          <w:lang w:val="fr-CA"/>
        </w:rPr>
        <w:t xml:space="preserve">assurance </w:t>
      </w:r>
      <w:r>
        <w:rPr>
          <w:lang w:val="fr-CA"/>
        </w:rPr>
        <w:t xml:space="preserve">que le ministre a reçue à cet égard </w:t>
      </w:r>
      <w:r w:rsidRPr="0080058A">
        <w:rPr>
          <w:lang w:val="fr-CA"/>
        </w:rPr>
        <w:t xml:space="preserve">ne </w:t>
      </w:r>
      <w:r>
        <w:rPr>
          <w:lang w:val="fr-CA"/>
        </w:rPr>
        <w:t xml:space="preserve">prévoyait pas un </w:t>
      </w:r>
      <w:r>
        <w:rPr>
          <w:rFonts w:cs="Times New Roman"/>
          <w:lang w:val="fr-CA"/>
        </w:rPr>
        <w:t>« </w:t>
      </w:r>
      <w:r w:rsidRPr="0080058A">
        <w:rPr>
          <w:rFonts w:cs="Times New Roman"/>
          <w:lang w:val="fr-CA"/>
        </w:rPr>
        <w:t xml:space="preserve">accès immédiat et sans </w:t>
      </w:r>
      <w:r>
        <w:rPr>
          <w:rFonts w:cs="Times New Roman"/>
          <w:lang w:val="fr-CA"/>
        </w:rPr>
        <w:t xml:space="preserve">réserve </w:t>
      </w:r>
      <w:r w:rsidRPr="0080058A">
        <w:rPr>
          <w:rFonts w:cs="Times New Roman"/>
          <w:lang w:val="fr-CA"/>
        </w:rPr>
        <w:t>à d</w:t>
      </w:r>
      <w:r>
        <w:rPr>
          <w:rFonts w:cs="Times New Roman"/>
          <w:lang w:val="fr-CA"/>
        </w:rPr>
        <w:t xml:space="preserve">es représentants consulaires », elle stipulait que des services </w:t>
      </w:r>
      <w:r>
        <w:rPr>
          <w:lang w:val="fr-CA"/>
        </w:rPr>
        <w:t>consulaires [</w:t>
      </w:r>
      <w:r w:rsidRPr="00DA20D1">
        <w:rPr>
          <w:smallCaps/>
          <w:lang w:val="fr-CA"/>
        </w:rPr>
        <w:t>traduction</w:t>
      </w:r>
      <w:r>
        <w:rPr>
          <w:lang w:val="fr-CA"/>
        </w:rPr>
        <w:t xml:space="preserve">] « seront fournis </w:t>
      </w:r>
      <w:r w:rsidRPr="0080058A">
        <w:rPr>
          <w:lang w:val="fr-CA"/>
        </w:rPr>
        <w:t xml:space="preserve">conformément aux obligations </w:t>
      </w:r>
      <w:r>
        <w:rPr>
          <w:lang w:val="fr-CA"/>
        </w:rPr>
        <w:t xml:space="preserve">de </w:t>
      </w:r>
      <w:r w:rsidRPr="0080058A">
        <w:rPr>
          <w:lang w:val="fr-CA"/>
        </w:rPr>
        <w:t>l</w:t>
      </w:r>
      <w:r>
        <w:rPr>
          <w:lang w:val="fr-CA"/>
        </w:rPr>
        <w:t>’</w:t>
      </w:r>
      <w:r w:rsidRPr="0080058A">
        <w:rPr>
          <w:lang w:val="fr-CA"/>
        </w:rPr>
        <w:t>Inde</w:t>
      </w:r>
      <w:r>
        <w:rPr>
          <w:lang w:val="fr-CA"/>
        </w:rPr>
        <w:t> »</w:t>
      </w:r>
      <w:r w:rsidRPr="0080058A">
        <w:rPr>
          <w:lang w:val="fr-CA"/>
        </w:rPr>
        <w:t xml:space="preserve"> </w:t>
      </w:r>
      <w:r>
        <w:rPr>
          <w:lang w:val="fr-CA"/>
        </w:rPr>
        <w:t xml:space="preserve">prévues par </w:t>
      </w:r>
      <w:r w:rsidRPr="0080058A">
        <w:rPr>
          <w:lang w:val="fr-CA"/>
        </w:rPr>
        <w:t xml:space="preserve">la </w:t>
      </w:r>
      <w:r w:rsidRPr="0080058A">
        <w:rPr>
          <w:i/>
          <w:lang w:val="fr-CA"/>
        </w:rPr>
        <w:t xml:space="preserve">Convention de Vienne </w:t>
      </w:r>
      <w:r w:rsidRPr="004566A6">
        <w:rPr>
          <w:i/>
          <w:lang w:val="fr-CA"/>
        </w:rPr>
        <w:t>sur les relations consulaires</w:t>
      </w:r>
      <w:r>
        <w:rPr>
          <w:lang w:val="fr-CA"/>
        </w:rPr>
        <w:t>, R</w:t>
      </w:r>
      <w:r w:rsidR="00A82E69">
        <w:rPr>
          <w:lang w:val="fr-CA"/>
        </w:rPr>
        <w:t xml:space="preserve">.T. Can. </w:t>
      </w:r>
      <w:r>
        <w:rPr>
          <w:lang w:val="fr-CA"/>
        </w:rPr>
        <w:t>1974 n</w:t>
      </w:r>
      <w:r w:rsidRPr="00DD0094">
        <w:rPr>
          <w:vertAlign w:val="superscript"/>
          <w:lang w:val="fr-CA"/>
        </w:rPr>
        <w:t>o</w:t>
      </w:r>
      <w:r>
        <w:rPr>
          <w:lang w:val="fr-CA"/>
        </w:rPr>
        <w:t> 25</w:t>
      </w:r>
      <w:r w:rsidRPr="0080058A">
        <w:rPr>
          <w:lang w:val="fr-CA"/>
        </w:rPr>
        <w:t xml:space="preserve">. </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En fin de compte, le </w:t>
      </w:r>
      <w:r>
        <w:rPr>
          <w:rFonts w:cs="Times New Roman"/>
          <w:lang w:val="fr-CA"/>
        </w:rPr>
        <w:t>m</w:t>
      </w:r>
      <w:r w:rsidRPr="0080058A">
        <w:rPr>
          <w:rFonts w:cs="Times New Roman"/>
          <w:lang w:val="fr-CA"/>
        </w:rPr>
        <w:t xml:space="preserve">inistre </w:t>
      </w:r>
      <w:r>
        <w:rPr>
          <w:rFonts w:cs="Times New Roman"/>
          <w:lang w:val="fr-CA"/>
        </w:rPr>
        <w:t xml:space="preserve">était certain </w:t>
      </w:r>
      <w:r w:rsidRPr="0080058A">
        <w:rPr>
          <w:rFonts w:cs="Times New Roman"/>
          <w:lang w:val="fr-CA"/>
        </w:rPr>
        <w:t xml:space="preserve">que les autorités indiennes respecteraient </w:t>
      </w:r>
      <w:r>
        <w:rPr>
          <w:rFonts w:cs="Times New Roman"/>
          <w:lang w:val="fr-CA"/>
        </w:rPr>
        <w:t>c</w:t>
      </w:r>
      <w:r w:rsidRPr="0080058A">
        <w:rPr>
          <w:rFonts w:cs="Times New Roman"/>
          <w:lang w:val="fr-CA"/>
        </w:rPr>
        <w:t>es assurances, parce que l</w:t>
      </w:r>
      <w:r>
        <w:rPr>
          <w:rFonts w:cs="Times New Roman"/>
          <w:lang w:val="fr-CA"/>
        </w:rPr>
        <w:t>’</w:t>
      </w:r>
      <w:r w:rsidRPr="0080058A">
        <w:rPr>
          <w:rFonts w:cs="Times New Roman"/>
          <w:lang w:val="fr-CA"/>
        </w:rPr>
        <w:t xml:space="preserve">Inde avait intérêt à </w:t>
      </w:r>
      <w:r>
        <w:rPr>
          <w:rFonts w:cs="Times New Roman"/>
          <w:lang w:val="fr-CA"/>
        </w:rPr>
        <w:t xml:space="preserve">maintenir son </w:t>
      </w:r>
      <w:r w:rsidRPr="0080058A">
        <w:rPr>
          <w:rFonts w:cs="Times New Roman"/>
          <w:lang w:val="fr-CA"/>
        </w:rPr>
        <w:t xml:space="preserve">traité </w:t>
      </w:r>
      <w:r w:rsidRPr="0080058A">
        <w:rPr>
          <w:rFonts w:cs="Times New Roman"/>
          <w:lang w:val="fr-CA"/>
        </w:rPr>
        <w:lastRenderedPageBreak/>
        <w:t>d</w:t>
      </w:r>
      <w:r>
        <w:rPr>
          <w:rFonts w:cs="Times New Roman"/>
          <w:lang w:val="fr-CA"/>
        </w:rPr>
        <w:t>’</w:t>
      </w:r>
      <w:r w:rsidRPr="0080058A">
        <w:rPr>
          <w:rFonts w:cs="Times New Roman"/>
          <w:lang w:val="fr-CA"/>
        </w:rPr>
        <w:t xml:space="preserve">extradition </w:t>
      </w:r>
      <w:r>
        <w:rPr>
          <w:rFonts w:cs="Times New Roman"/>
          <w:lang w:val="fr-CA"/>
        </w:rPr>
        <w:t xml:space="preserve">et sa </w:t>
      </w:r>
      <w:r w:rsidRPr="0080058A">
        <w:rPr>
          <w:rFonts w:cs="Times New Roman"/>
          <w:lang w:val="fr-CA"/>
        </w:rPr>
        <w:t>[</w:t>
      </w:r>
      <w:r w:rsidRPr="0080058A">
        <w:rPr>
          <w:rFonts w:cs="Times New Roman"/>
          <w:smallCaps/>
          <w:lang w:val="fr-CA"/>
        </w:rPr>
        <w:t>traduction</w:t>
      </w:r>
      <w:r>
        <w:rPr>
          <w:rFonts w:cs="Times New Roman"/>
          <w:lang w:val="fr-CA"/>
        </w:rPr>
        <w:t>] « </w:t>
      </w:r>
      <w:r w:rsidRPr="0080058A">
        <w:rPr>
          <w:rFonts w:cs="Times New Roman"/>
          <w:lang w:val="fr-CA"/>
        </w:rPr>
        <w:t>relation politique positive » avec le Canada. Il a également fait observer qu</w:t>
      </w:r>
      <w:r>
        <w:rPr>
          <w:rFonts w:cs="Times New Roman"/>
          <w:lang w:val="fr-CA"/>
        </w:rPr>
        <w:t>’</w:t>
      </w:r>
      <w:r w:rsidRPr="0080058A">
        <w:rPr>
          <w:rFonts w:cs="Times New Roman"/>
          <w:lang w:val="fr-CA"/>
        </w:rPr>
        <w:t>il existait des moyens de faire respecter les assurances en question. S</w:t>
      </w:r>
      <w:r>
        <w:rPr>
          <w:rFonts w:cs="Times New Roman"/>
          <w:lang w:val="fr-CA"/>
        </w:rPr>
        <w:t>elon</w:t>
      </w:r>
      <w:r w:rsidRPr="0080058A">
        <w:rPr>
          <w:rFonts w:cs="Times New Roman"/>
          <w:lang w:val="fr-CA"/>
        </w:rPr>
        <w:t xml:space="preserve"> le ministère des Affaires </w:t>
      </w:r>
      <w:r>
        <w:rPr>
          <w:rFonts w:cs="Times New Roman"/>
          <w:lang w:val="fr-CA"/>
        </w:rPr>
        <w:t xml:space="preserve">étrangères, </w:t>
      </w:r>
      <w:r w:rsidRPr="0080058A">
        <w:rPr>
          <w:rFonts w:cs="Times New Roman"/>
          <w:lang w:val="fr-CA"/>
        </w:rPr>
        <w:t xml:space="preserve">si un des signataires </w:t>
      </w:r>
      <w:r>
        <w:rPr>
          <w:rFonts w:cs="Times New Roman"/>
          <w:lang w:val="fr-CA"/>
        </w:rPr>
        <w:t xml:space="preserve">du </w:t>
      </w:r>
      <w:r w:rsidRPr="0080058A">
        <w:rPr>
          <w:rFonts w:cs="Times New Roman"/>
          <w:lang w:val="fr-CA"/>
        </w:rPr>
        <w:t>traité d</w:t>
      </w:r>
      <w:r>
        <w:rPr>
          <w:rFonts w:cs="Times New Roman"/>
          <w:lang w:val="fr-CA"/>
        </w:rPr>
        <w:t>’</w:t>
      </w:r>
      <w:r w:rsidRPr="0080058A">
        <w:rPr>
          <w:rFonts w:cs="Times New Roman"/>
          <w:lang w:val="fr-CA"/>
        </w:rPr>
        <w:t>extradition agi</w:t>
      </w:r>
      <w:r>
        <w:rPr>
          <w:rFonts w:cs="Times New Roman"/>
          <w:lang w:val="fr-CA"/>
        </w:rPr>
        <w:t>ssait</w:t>
      </w:r>
      <w:r w:rsidRPr="0080058A">
        <w:rPr>
          <w:rFonts w:cs="Times New Roman"/>
          <w:lang w:val="fr-CA"/>
        </w:rPr>
        <w:t xml:space="preserve"> contrairement aux assurances diplomatiques données au Canada, </w:t>
      </w:r>
      <w:r>
        <w:rPr>
          <w:rFonts w:cs="Times New Roman"/>
          <w:lang w:val="fr-CA"/>
        </w:rPr>
        <w:t xml:space="preserve">ce dernier pouvait </w:t>
      </w:r>
      <w:r w:rsidRPr="0080058A">
        <w:rPr>
          <w:rFonts w:cs="Times New Roman"/>
          <w:lang w:val="fr-CA"/>
        </w:rPr>
        <w:t xml:space="preserve">protester et prendre </w:t>
      </w:r>
      <w:r>
        <w:rPr>
          <w:rFonts w:cs="Times New Roman"/>
          <w:lang w:val="fr-CA"/>
        </w:rPr>
        <w:t xml:space="preserve">certaines </w:t>
      </w:r>
      <w:r w:rsidRPr="0080058A">
        <w:rPr>
          <w:rFonts w:cs="Times New Roman"/>
          <w:lang w:val="fr-CA"/>
        </w:rPr>
        <w:t xml:space="preserve">mesures, notamment au niveau politique, pour assurer </w:t>
      </w:r>
      <w:r>
        <w:rPr>
          <w:rFonts w:cs="Times New Roman"/>
          <w:lang w:val="fr-CA"/>
        </w:rPr>
        <w:t xml:space="preserve">le respect des </w:t>
      </w:r>
      <w:r w:rsidRPr="0080058A">
        <w:rPr>
          <w:rFonts w:cs="Times New Roman"/>
          <w:lang w:val="fr-CA"/>
        </w:rPr>
        <w:t>assurances données</w:t>
      </w:r>
      <w:r>
        <w:rPr>
          <w:rFonts w:cs="Times New Roman"/>
          <w:lang w:val="fr-CA"/>
        </w:rPr>
        <w:t xml:space="preserve">. Il existait également </w:t>
      </w:r>
      <w:r w:rsidRPr="0080058A">
        <w:rPr>
          <w:rFonts w:cs="Times New Roman"/>
          <w:lang w:val="fr-CA"/>
        </w:rPr>
        <w:t>d</w:t>
      </w:r>
      <w:r>
        <w:rPr>
          <w:rFonts w:cs="Times New Roman"/>
          <w:lang w:val="fr-CA"/>
        </w:rPr>
        <w:t>’</w:t>
      </w:r>
      <w:r w:rsidRPr="0080058A">
        <w:rPr>
          <w:rFonts w:cs="Times New Roman"/>
          <w:lang w:val="fr-CA"/>
        </w:rPr>
        <w:t>autres m</w:t>
      </w:r>
      <w:r>
        <w:rPr>
          <w:rFonts w:cs="Times New Roman"/>
          <w:lang w:val="fr-CA"/>
        </w:rPr>
        <w:t>oyens</w:t>
      </w:r>
      <w:r w:rsidRPr="0080058A">
        <w:rPr>
          <w:rFonts w:cs="Times New Roman"/>
          <w:lang w:val="fr-CA"/>
        </w:rPr>
        <w:t xml:space="preserve">, </w:t>
      </w:r>
      <w:r>
        <w:rPr>
          <w:rFonts w:cs="Times New Roman"/>
          <w:lang w:val="fr-CA"/>
        </w:rPr>
        <w:t xml:space="preserve">dont la </w:t>
      </w:r>
      <w:r w:rsidRPr="0080058A">
        <w:rPr>
          <w:rFonts w:cs="Times New Roman"/>
          <w:lang w:val="fr-CA"/>
        </w:rPr>
        <w:t xml:space="preserve">possibilité pour le Canada de </w:t>
      </w:r>
      <w:r>
        <w:rPr>
          <w:rFonts w:cs="Times New Roman"/>
          <w:lang w:val="fr-CA"/>
        </w:rPr>
        <w:t xml:space="preserve">dénoncer le </w:t>
      </w:r>
      <w:r w:rsidRPr="0080058A">
        <w:rPr>
          <w:rFonts w:cs="Times New Roman"/>
          <w:lang w:val="fr-CA"/>
        </w:rPr>
        <w:t>traité d</w:t>
      </w:r>
      <w:r>
        <w:rPr>
          <w:rFonts w:cs="Times New Roman"/>
          <w:lang w:val="fr-CA"/>
        </w:rPr>
        <w:t>’</w:t>
      </w:r>
      <w:r w:rsidRPr="0080058A">
        <w:rPr>
          <w:rFonts w:cs="Times New Roman"/>
          <w:lang w:val="fr-CA"/>
        </w:rPr>
        <w:t>extradition conclu avec l</w:t>
      </w:r>
      <w:r>
        <w:rPr>
          <w:rFonts w:cs="Times New Roman"/>
          <w:lang w:val="fr-CA"/>
        </w:rPr>
        <w:t>’</w:t>
      </w:r>
      <w:r w:rsidRPr="0080058A">
        <w:rPr>
          <w:rFonts w:cs="Times New Roman"/>
          <w:lang w:val="fr-CA"/>
        </w:rPr>
        <w:t>Inde. Par ailleurs,</w:t>
      </w:r>
      <w:r>
        <w:rPr>
          <w:rFonts w:cs="Times New Roman"/>
          <w:lang w:val="fr-CA"/>
        </w:rPr>
        <w:t xml:space="preserve"> l’Inde avait intérêt, </w:t>
      </w:r>
      <w:r w:rsidRPr="0080058A">
        <w:rPr>
          <w:rFonts w:cs="Times New Roman"/>
          <w:lang w:val="fr-CA"/>
        </w:rPr>
        <w:t>sur le plan diplomatique, à respecter les assurances données. Tout manquement de l</w:t>
      </w:r>
      <w:r>
        <w:rPr>
          <w:rFonts w:cs="Times New Roman"/>
          <w:lang w:val="fr-CA"/>
        </w:rPr>
        <w:t>’</w:t>
      </w:r>
      <w:r w:rsidRPr="0080058A">
        <w:rPr>
          <w:rFonts w:cs="Times New Roman"/>
          <w:lang w:val="fr-CA"/>
        </w:rPr>
        <w:t>Inde à cet égard risquait d</w:t>
      </w:r>
      <w:r>
        <w:rPr>
          <w:rFonts w:cs="Times New Roman"/>
          <w:lang w:val="fr-CA"/>
        </w:rPr>
        <w:t>’</w:t>
      </w:r>
      <w:r w:rsidRPr="0080058A">
        <w:rPr>
          <w:rFonts w:cs="Times New Roman"/>
          <w:lang w:val="fr-CA"/>
        </w:rPr>
        <w:t xml:space="preserve">avoir des </w:t>
      </w:r>
      <w:r>
        <w:rPr>
          <w:rFonts w:cs="Times New Roman"/>
          <w:lang w:val="fr-CA"/>
        </w:rPr>
        <w:t>conséquences négatives sur s</w:t>
      </w:r>
      <w:r w:rsidRPr="0080058A">
        <w:rPr>
          <w:rFonts w:cs="Times New Roman"/>
          <w:lang w:val="fr-CA"/>
        </w:rPr>
        <w:t xml:space="preserve">es relations avec les autres </w:t>
      </w:r>
      <w:r>
        <w:rPr>
          <w:rFonts w:cs="Times New Roman"/>
          <w:lang w:val="fr-CA"/>
        </w:rPr>
        <w:t xml:space="preserve">pays </w:t>
      </w:r>
      <w:r w:rsidRPr="0080058A">
        <w:rPr>
          <w:rFonts w:cs="Times New Roman"/>
          <w:lang w:val="fr-CA"/>
        </w:rPr>
        <w:t xml:space="preserve">signataires du traité. </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Le </w:t>
      </w:r>
      <w:r>
        <w:rPr>
          <w:rFonts w:cs="Times New Roman"/>
          <w:lang w:val="fr-CA"/>
        </w:rPr>
        <w:t>m</w:t>
      </w:r>
      <w:r w:rsidRPr="0080058A">
        <w:rPr>
          <w:rFonts w:cs="Times New Roman"/>
          <w:lang w:val="fr-CA"/>
        </w:rPr>
        <w:t>inistre a conclu qu</w:t>
      </w:r>
      <w:r>
        <w:rPr>
          <w:rFonts w:cs="Times New Roman"/>
          <w:lang w:val="fr-CA"/>
        </w:rPr>
        <w:t>’</w:t>
      </w:r>
      <w:r w:rsidRPr="0080058A">
        <w:rPr>
          <w:rFonts w:cs="Times New Roman"/>
          <w:lang w:val="fr-CA"/>
        </w:rPr>
        <w:t xml:space="preserve">une preuve abondante </w:t>
      </w:r>
      <w:r>
        <w:rPr>
          <w:rFonts w:cs="Times New Roman"/>
          <w:lang w:val="fr-CA"/>
        </w:rPr>
        <w:t xml:space="preserve">étayait </w:t>
      </w:r>
      <w:r w:rsidRPr="0080058A">
        <w:rPr>
          <w:rFonts w:cs="Times New Roman"/>
          <w:lang w:val="fr-CA"/>
        </w:rPr>
        <w:t>les allégations formulées par l</w:t>
      </w:r>
      <w:r>
        <w:rPr>
          <w:rFonts w:cs="Times New Roman"/>
          <w:lang w:val="fr-CA"/>
        </w:rPr>
        <w:t>’</w:t>
      </w:r>
      <w:r w:rsidRPr="0080058A">
        <w:rPr>
          <w:rFonts w:cs="Times New Roman"/>
          <w:lang w:val="fr-CA"/>
        </w:rPr>
        <w:t>Inde contre M. Badesha</w:t>
      </w:r>
      <w:r>
        <w:rPr>
          <w:rFonts w:cs="Times New Roman"/>
          <w:lang w:val="fr-CA"/>
        </w:rPr>
        <w:t>, ajoutant</w:t>
      </w:r>
      <w:r w:rsidRPr="0080058A">
        <w:rPr>
          <w:rFonts w:cs="Times New Roman"/>
          <w:lang w:val="fr-CA"/>
        </w:rPr>
        <w:t xml:space="preserve"> qu</w:t>
      </w:r>
      <w:r>
        <w:rPr>
          <w:rFonts w:cs="Times New Roman"/>
          <w:lang w:val="fr-CA"/>
        </w:rPr>
        <w:t xml:space="preserve">e ce dernier disposait de </w:t>
      </w:r>
      <w:r w:rsidRPr="0080058A">
        <w:rPr>
          <w:rFonts w:cs="Times New Roman"/>
          <w:lang w:val="fr-CA"/>
        </w:rPr>
        <w:t xml:space="preserve">recours légaux et procéduraux </w:t>
      </w:r>
      <w:r>
        <w:rPr>
          <w:rFonts w:cs="Times New Roman"/>
          <w:lang w:val="fr-CA"/>
        </w:rPr>
        <w:t xml:space="preserve">adéquats grâce auxquels il pourrait </w:t>
      </w:r>
      <w:r w:rsidRPr="0080058A">
        <w:rPr>
          <w:rFonts w:cs="Times New Roman"/>
          <w:lang w:val="fr-CA"/>
        </w:rPr>
        <w:t>présenter des éléments de preuve</w:t>
      </w:r>
      <w:r>
        <w:rPr>
          <w:rFonts w:cs="Times New Roman"/>
          <w:lang w:val="fr-CA"/>
        </w:rPr>
        <w:t xml:space="preserve"> à décharge</w:t>
      </w:r>
      <w:r w:rsidRPr="0080058A">
        <w:rPr>
          <w:rFonts w:cs="Times New Roman"/>
          <w:lang w:val="fr-CA"/>
        </w:rPr>
        <w:t xml:space="preserve"> </w:t>
      </w:r>
      <w:r>
        <w:rPr>
          <w:rFonts w:cs="Times New Roman"/>
          <w:lang w:val="fr-CA"/>
        </w:rPr>
        <w:t>dans ce pays</w:t>
      </w:r>
      <w:r w:rsidRPr="0080058A">
        <w:rPr>
          <w:rFonts w:cs="Times New Roman"/>
          <w:lang w:val="fr-CA"/>
        </w:rPr>
        <w:t>.</w:t>
      </w:r>
    </w:p>
    <w:p w:rsidR="00361B98" w:rsidRPr="0080058A" w:rsidRDefault="00361B98" w:rsidP="002B69A7">
      <w:pPr>
        <w:pStyle w:val="ParaNoNdepar-AltN"/>
        <w:widowControl w:val="0"/>
        <w:rPr>
          <w:rFonts w:cs="Times New Roman"/>
          <w:lang w:val="fr-CA"/>
        </w:rPr>
      </w:pPr>
      <w:r>
        <w:rPr>
          <w:rFonts w:cs="Times New Roman"/>
          <w:lang w:val="fr-CA"/>
        </w:rPr>
        <w:t>Le m</w:t>
      </w:r>
      <w:r w:rsidRPr="0080058A">
        <w:rPr>
          <w:rFonts w:cs="Times New Roman"/>
          <w:lang w:val="fr-CA"/>
        </w:rPr>
        <w:t xml:space="preserve">inistre a également </w:t>
      </w:r>
      <w:r>
        <w:rPr>
          <w:rFonts w:cs="Times New Roman"/>
          <w:lang w:val="fr-CA"/>
        </w:rPr>
        <w:t xml:space="preserve">jugé </w:t>
      </w:r>
      <w:r w:rsidRPr="0080058A">
        <w:rPr>
          <w:rFonts w:cs="Times New Roman"/>
          <w:lang w:val="fr-CA"/>
        </w:rPr>
        <w:t>que l</w:t>
      </w:r>
      <w:r>
        <w:rPr>
          <w:rFonts w:cs="Times New Roman"/>
          <w:lang w:val="fr-CA"/>
        </w:rPr>
        <w:t>’</w:t>
      </w:r>
      <w:r w:rsidRPr="0080058A">
        <w:rPr>
          <w:rFonts w:cs="Times New Roman"/>
          <w:lang w:val="fr-CA"/>
        </w:rPr>
        <w:t xml:space="preserve">extradition de M. Badesha constituait une limite raisonnable </w:t>
      </w:r>
      <w:r>
        <w:rPr>
          <w:rFonts w:cs="Times New Roman"/>
          <w:lang w:val="fr-CA"/>
        </w:rPr>
        <w:t xml:space="preserve">à son </w:t>
      </w:r>
      <w:r w:rsidRPr="0080058A">
        <w:rPr>
          <w:rFonts w:cs="Times New Roman"/>
          <w:lang w:val="fr-CA"/>
        </w:rPr>
        <w:t xml:space="preserve">droit </w:t>
      </w:r>
      <w:r>
        <w:rPr>
          <w:rFonts w:cs="Times New Roman"/>
          <w:lang w:val="fr-CA"/>
        </w:rPr>
        <w:t>garanti au par. </w:t>
      </w:r>
      <w:r w:rsidRPr="0080058A">
        <w:rPr>
          <w:rFonts w:cs="Times New Roman"/>
          <w:lang w:val="fr-CA"/>
        </w:rPr>
        <w:t xml:space="preserve">6(1) de la </w:t>
      </w:r>
      <w:r w:rsidRPr="0080058A">
        <w:rPr>
          <w:rFonts w:cs="Times New Roman"/>
          <w:i/>
          <w:lang w:val="fr-CA"/>
        </w:rPr>
        <w:t>Charte</w:t>
      </w:r>
      <w:r w:rsidRPr="0080058A">
        <w:rPr>
          <w:rFonts w:cs="Times New Roman"/>
          <w:lang w:val="fr-CA"/>
        </w:rPr>
        <w:t xml:space="preserve"> </w:t>
      </w:r>
      <w:r>
        <w:rPr>
          <w:rFonts w:cs="Times New Roman"/>
          <w:lang w:val="fr-CA"/>
        </w:rPr>
        <w:t xml:space="preserve">de </w:t>
      </w:r>
      <w:r w:rsidRPr="0080058A">
        <w:rPr>
          <w:rFonts w:cs="Times New Roman"/>
          <w:lang w:val="fr-CA"/>
        </w:rPr>
        <w:t>demeurer au Canada</w:t>
      </w:r>
      <w:r w:rsidRPr="0080058A">
        <w:rPr>
          <w:rFonts w:cs="Times New Roman"/>
          <w:i/>
          <w:lang w:val="fr-CA"/>
        </w:rPr>
        <w:t xml:space="preserve">. </w:t>
      </w:r>
      <w:r w:rsidRPr="0080058A">
        <w:rPr>
          <w:rFonts w:cs="Times New Roman"/>
          <w:lang w:val="fr-CA"/>
        </w:rPr>
        <w:t>Il a signalé qu</w:t>
      </w:r>
      <w:r>
        <w:rPr>
          <w:rFonts w:cs="Times New Roman"/>
          <w:lang w:val="fr-CA"/>
        </w:rPr>
        <w:t>’</w:t>
      </w:r>
      <w:r w:rsidRPr="0080058A">
        <w:rPr>
          <w:rFonts w:cs="Times New Roman"/>
          <w:lang w:val="fr-CA"/>
        </w:rPr>
        <w:t>[</w:t>
      </w:r>
      <w:r w:rsidRPr="0080058A">
        <w:rPr>
          <w:rFonts w:cs="Times New Roman"/>
          <w:smallCaps/>
          <w:lang w:val="fr-CA"/>
        </w:rPr>
        <w:t>traduction</w:t>
      </w:r>
      <w:r w:rsidRPr="0080058A">
        <w:rPr>
          <w:rFonts w:cs="Times New Roman"/>
          <w:lang w:val="fr-CA"/>
        </w:rPr>
        <w:t>] « une grande partie, sinon la totalité » de</w:t>
      </w:r>
      <w:r>
        <w:rPr>
          <w:rFonts w:cs="Times New Roman"/>
          <w:lang w:val="fr-CA"/>
        </w:rPr>
        <w:t xml:space="preserve">s éléments de </w:t>
      </w:r>
      <w:r w:rsidRPr="0080058A">
        <w:rPr>
          <w:rFonts w:cs="Times New Roman"/>
          <w:lang w:val="fr-CA"/>
        </w:rPr>
        <w:t>preuve nécessaire</w:t>
      </w:r>
      <w:r>
        <w:rPr>
          <w:rFonts w:cs="Times New Roman"/>
          <w:lang w:val="fr-CA"/>
        </w:rPr>
        <w:t>s</w:t>
      </w:r>
      <w:r w:rsidRPr="0080058A">
        <w:rPr>
          <w:rFonts w:cs="Times New Roman"/>
          <w:lang w:val="fr-CA"/>
        </w:rPr>
        <w:t xml:space="preserve"> pour poursuivre M. Badesha étai</w:t>
      </w:r>
      <w:r>
        <w:rPr>
          <w:rFonts w:cs="Times New Roman"/>
          <w:lang w:val="fr-CA"/>
        </w:rPr>
        <w:t>en</w:t>
      </w:r>
      <w:r w:rsidRPr="0080058A">
        <w:rPr>
          <w:rFonts w:cs="Times New Roman"/>
          <w:lang w:val="fr-CA"/>
        </w:rPr>
        <w:t>t disponible</w:t>
      </w:r>
      <w:r>
        <w:rPr>
          <w:rFonts w:cs="Times New Roman"/>
          <w:lang w:val="fr-CA"/>
        </w:rPr>
        <w:t>s</w:t>
      </w:r>
      <w:r w:rsidRPr="0080058A">
        <w:rPr>
          <w:rFonts w:cs="Times New Roman"/>
          <w:lang w:val="fr-CA"/>
        </w:rPr>
        <w:t xml:space="preserve"> en Inde. De plus, il était dans l</w:t>
      </w:r>
      <w:r>
        <w:rPr>
          <w:rFonts w:cs="Times New Roman"/>
          <w:lang w:val="fr-CA"/>
        </w:rPr>
        <w:t>’</w:t>
      </w:r>
      <w:r w:rsidRPr="0080058A">
        <w:rPr>
          <w:rFonts w:cs="Times New Roman"/>
          <w:lang w:val="fr-CA"/>
        </w:rPr>
        <w:t>intérêt de l</w:t>
      </w:r>
      <w:r>
        <w:rPr>
          <w:rFonts w:cs="Times New Roman"/>
          <w:lang w:val="fr-CA"/>
        </w:rPr>
        <w:t>’Inde de poursuivre M. </w:t>
      </w:r>
      <w:r w:rsidRPr="0080058A">
        <w:rPr>
          <w:rFonts w:cs="Times New Roman"/>
          <w:lang w:val="fr-CA"/>
        </w:rPr>
        <w:t>Badesha pour le crime qui lui était reproché</w:t>
      </w:r>
      <w:r>
        <w:rPr>
          <w:rFonts w:cs="Times New Roman"/>
          <w:lang w:val="fr-CA"/>
        </w:rPr>
        <w:t xml:space="preserve">, </w:t>
      </w:r>
      <w:r w:rsidRPr="0080058A">
        <w:rPr>
          <w:rFonts w:cs="Times New Roman"/>
          <w:lang w:val="fr-CA"/>
        </w:rPr>
        <w:t>un crime d</w:t>
      </w:r>
      <w:r>
        <w:rPr>
          <w:rFonts w:cs="Times New Roman"/>
          <w:lang w:val="fr-CA"/>
        </w:rPr>
        <w:t>’</w:t>
      </w:r>
      <w:r w:rsidRPr="0080058A">
        <w:rPr>
          <w:rFonts w:cs="Times New Roman"/>
          <w:lang w:val="fr-CA"/>
        </w:rPr>
        <w:t>honneur</w:t>
      </w:r>
      <w:r>
        <w:rPr>
          <w:rFonts w:cs="Times New Roman"/>
          <w:lang w:val="fr-CA"/>
        </w:rPr>
        <w:t>,</w:t>
      </w:r>
      <w:r w:rsidRPr="0080058A">
        <w:rPr>
          <w:rFonts w:cs="Times New Roman"/>
          <w:lang w:val="fr-CA"/>
        </w:rPr>
        <w:t xml:space="preserve"> d</w:t>
      </w:r>
      <w:r>
        <w:rPr>
          <w:rFonts w:cs="Times New Roman"/>
          <w:lang w:val="fr-CA"/>
        </w:rPr>
        <w:t>’</w:t>
      </w:r>
      <w:r w:rsidRPr="0080058A">
        <w:rPr>
          <w:rFonts w:cs="Times New Roman"/>
          <w:lang w:val="fr-CA"/>
        </w:rPr>
        <w:t>autant plus que l</w:t>
      </w:r>
      <w:r>
        <w:rPr>
          <w:rFonts w:cs="Times New Roman"/>
          <w:lang w:val="fr-CA"/>
        </w:rPr>
        <w:t>’</w:t>
      </w:r>
      <w:r w:rsidRPr="0080058A">
        <w:rPr>
          <w:rFonts w:cs="Times New Roman"/>
          <w:lang w:val="fr-CA"/>
        </w:rPr>
        <w:t xml:space="preserve">impact de ce crime </w:t>
      </w:r>
      <w:r>
        <w:rPr>
          <w:rFonts w:cs="Times New Roman"/>
          <w:lang w:val="fr-CA"/>
        </w:rPr>
        <w:t xml:space="preserve">se faisait </w:t>
      </w:r>
      <w:r w:rsidRPr="0080058A">
        <w:rPr>
          <w:rFonts w:cs="Times New Roman"/>
          <w:lang w:val="fr-CA"/>
        </w:rPr>
        <w:t>ressenti</w:t>
      </w:r>
      <w:r>
        <w:rPr>
          <w:rFonts w:cs="Times New Roman"/>
          <w:lang w:val="fr-CA"/>
        </w:rPr>
        <w:t>r</w:t>
      </w:r>
      <w:r w:rsidRPr="0080058A">
        <w:rPr>
          <w:rFonts w:cs="Times New Roman"/>
          <w:lang w:val="fr-CA"/>
        </w:rPr>
        <w:t xml:space="preserve"> plus vivement en Inde.</w:t>
      </w:r>
    </w:p>
    <w:p w:rsidR="00361B98" w:rsidRPr="0080058A" w:rsidRDefault="00361B98" w:rsidP="002B69A7">
      <w:pPr>
        <w:pStyle w:val="ParaNoNdepar-AltN"/>
        <w:widowControl w:val="0"/>
        <w:rPr>
          <w:rFonts w:cs="Times New Roman"/>
          <w:lang w:val="fr-CA"/>
        </w:rPr>
      </w:pPr>
      <w:r w:rsidRPr="0080058A">
        <w:rPr>
          <w:rFonts w:cs="Times New Roman"/>
          <w:lang w:val="fr-CA"/>
        </w:rPr>
        <w:lastRenderedPageBreak/>
        <w:t xml:space="preserve">En somme, le </w:t>
      </w:r>
      <w:r>
        <w:rPr>
          <w:rFonts w:cs="Times New Roman"/>
          <w:lang w:val="fr-CA"/>
        </w:rPr>
        <w:t>m</w:t>
      </w:r>
      <w:r w:rsidRPr="0080058A">
        <w:rPr>
          <w:rFonts w:cs="Times New Roman"/>
          <w:lang w:val="fr-CA"/>
        </w:rPr>
        <w:t>inistre a conclu que l</w:t>
      </w:r>
      <w:r>
        <w:rPr>
          <w:rFonts w:cs="Times New Roman"/>
          <w:lang w:val="fr-CA"/>
        </w:rPr>
        <w:t>’</w:t>
      </w:r>
      <w:r w:rsidRPr="0080058A">
        <w:rPr>
          <w:rFonts w:cs="Times New Roman"/>
          <w:lang w:val="fr-CA"/>
        </w:rPr>
        <w:t xml:space="preserve">extradition de M. Badesha ne violerait pas les principes de justice fondamentale </w:t>
      </w:r>
      <w:r>
        <w:rPr>
          <w:rFonts w:cs="Times New Roman"/>
          <w:lang w:val="fr-CA"/>
        </w:rPr>
        <w:t xml:space="preserve">en contravention de l’art. 7 de la </w:t>
      </w:r>
      <w:r>
        <w:rPr>
          <w:rFonts w:cs="Times New Roman"/>
          <w:i/>
          <w:lang w:val="fr-CA"/>
        </w:rPr>
        <w:t xml:space="preserve">Charte </w:t>
      </w:r>
      <w:r>
        <w:rPr>
          <w:rFonts w:cs="Times New Roman"/>
          <w:lang w:val="fr-CA"/>
        </w:rPr>
        <w:t xml:space="preserve">ou ne porterait </w:t>
      </w:r>
      <w:r w:rsidRPr="0080058A">
        <w:rPr>
          <w:rFonts w:cs="Times New Roman"/>
          <w:lang w:val="fr-CA"/>
        </w:rPr>
        <w:t>pas atteinte</w:t>
      </w:r>
      <w:r>
        <w:rPr>
          <w:rFonts w:cs="Times New Roman"/>
          <w:lang w:val="fr-CA"/>
        </w:rPr>
        <w:t xml:space="preserve"> de manière injustifiée</w:t>
      </w:r>
      <w:r w:rsidRPr="0080058A">
        <w:rPr>
          <w:rFonts w:cs="Times New Roman"/>
          <w:lang w:val="fr-CA"/>
        </w:rPr>
        <w:t xml:space="preserve"> au </w:t>
      </w:r>
      <w:r>
        <w:rPr>
          <w:rFonts w:cs="Times New Roman"/>
          <w:lang w:val="fr-CA"/>
        </w:rPr>
        <w:t>par. </w:t>
      </w:r>
      <w:r w:rsidRPr="0080058A">
        <w:rPr>
          <w:rFonts w:cs="Times New Roman"/>
          <w:lang w:val="fr-CA"/>
        </w:rPr>
        <w:t xml:space="preserve">6(1) de la </w:t>
      </w:r>
      <w:r w:rsidRPr="0080058A">
        <w:rPr>
          <w:rFonts w:cs="Times New Roman"/>
          <w:i/>
          <w:lang w:val="fr-CA"/>
        </w:rPr>
        <w:t>Charte</w:t>
      </w:r>
      <w:r w:rsidRPr="0080058A">
        <w:rPr>
          <w:rFonts w:cs="Times New Roman"/>
          <w:lang w:val="fr-CA"/>
        </w:rPr>
        <w:t>. De plus, compte tenu de</w:t>
      </w:r>
      <w:r>
        <w:rPr>
          <w:rFonts w:cs="Times New Roman"/>
          <w:lang w:val="fr-CA"/>
        </w:rPr>
        <w:t xml:space="preserve"> </w:t>
      </w:r>
      <w:r w:rsidRPr="0080058A">
        <w:rPr>
          <w:rFonts w:cs="Times New Roman"/>
          <w:lang w:val="fr-CA"/>
        </w:rPr>
        <w:t>l</w:t>
      </w:r>
      <w:r>
        <w:rPr>
          <w:rFonts w:cs="Times New Roman"/>
          <w:lang w:val="fr-CA"/>
        </w:rPr>
        <w:t>’</w:t>
      </w:r>
      <w:r w:rsidRPr="0080058A">
        <w:rPr>
          <w:rFonts w:cs="Times New Roman"/>
          <w:lang w:val="fr-CA"/>
        </w:rPr>
        <w:t>affaire</w:t>
      </w:r>
      <w:r>
        <w:rPr>
          <w:rFonts w:cs="Times New Roman"/>
          <w:lang w:val="fr-CA"/>
        </w:rPr>
        <w:t xml:space="preserve"> dans son ensemble, </w:t>
      </w:r>
      <w:r w:rsidRPr="0080058A">
        <w:rPr>
          <w:rFonts w:cs="Times New Roman"/>
          <w:lang w:val="fr-CA"/>
        </w:rPr>
        <w:t>notamment de la gravité du crime reproché et de l</w:t>
      </w:r>
      <w:r>
        <w:rPr>
          <w:rFonts w:cs="Times New Roman"/>
          <w:lang w:val="fr-CA"/>
        </w:rPr>
        <w:t>’</w:t>
      </w:r>
      <w:r w:rsidRPr="0080058A">
        <w:rPr>
          <w:rFonts w:cs="Times New Roman"/>
          <w:lang w:val="fr-CA"/>
        </w:rPr>
        <w:t xml:space="preserve">intérêt manifeste </w:t>
      </w:r>
      <w:r>
        <w:rPr>
          <w:rFonts w:cs="Times New Roman"/>
          <w:lang w:val="fr-CA"/>
        </w:rPr>
        <w:t xml:space="preserve">de </w:t>
      </w:r>
      <w:r w:rsidRPr="0080058A">
        <w:rPr>
          <w:rFonts w:cs="Times New Roman"/>
          <w:lang w:val="fr-CA"/>
        </w:rPr>
        <w:t>l</w:t>
      </w:r>
      <w:r>
        <w:rPr>
          <w:rFonts w:cs="Times New Roman"/>
          <w:lang w:val="fr-CA"/>
        </w:rPr>
        <w:t xml:space="preserve">’Inde à ce que ce </w:t>
      </w:r>
      <w:r w:rsidRPr="0080058A">
        <w:rPr>
          <w:rFonts w:cs="Times New Roman"/>
          <w:lang w:val="fr-CA"/>
        </w:rPr>
        <w:t>crime</w:t>
      </w:r>
      <w:r>
        <w:rPr>
          <w:rFonts w:cs="Times New Roman"/>
          <w:lang w:val="fr-CA"/>
        </w:rPr>
        <w:t xml:space="preserve"> </w:t>
      </w:r>
      <w:r w:rsidRPr="0080058A">
        <w:rPr>
          <w:rFonts w:cs="Times New Roman"/>
          <w:lang w:val="fr-CA"/>
        </w:rPr>
        <w:t xml:space="preserve">soit </w:t>
      </w:r>
      <w:r>
        <w:rPr>
          <w:rFonts w:cs="Times New Roman"/>
          <w:lang w:val="fr-CA"/>
        </w:rPr>
        <w:t xml:space="preserve">jugé </w:t>
      </w:r>
      <w:r w:rsidRPr="0080058A">
        <w:rPr>
          <w:rFonts w:cs="Times New Roman"/>
          <w:lang w:val="fr-CA"/>
        </w:rPr>
        <w:t>en territoire indien, l</w:t>
      </w:r>
      <w:r>
        <w:rPr>
          <w:rFonts w:cs="Times New Roman"/>
          <w:lang w:val="fr-CA"/>
        </w:rPr>
        <w:t>’</w:t>
      </w:r>
      <w:r w:rsidRPr="0080058A">
        <w:rPr>
          <w:rFonts w:cs="Times New Roman"/>
          <w:lang w:val="fr-CA"/>
        </w:rPr>
        <w:t xml:space="preserve">extradition de M. Badesha ne serait par ailleurs </w:t>
      </w:r>
      <w:r>
        <w:rPr>
          <w:rFonts w:cs="Times New Roman"/>
          <w:lang w:val="fr-CA"/>
        </w:rPr>
        <w:t xml:space="preserve">ni </w:t>
      </w:r>
      <w:r w:rsidRPr="0080058A">
        <w:rPr>
          <w:rFonts w:cs="Times New Roman"/>
          <w:lang w:val="fr-CA"/>
        </w:rPr>
        <w:t xml:space="preserve">injuste </w:t>
      </w:r>
      <w:r>
        <w:rPr>
          <w:rFonts w:cs="Times New Roman"/>
          <w:lang w:val="fr-CA"/>
        </w:rPr>
        <w:t>ni</w:t>
      </w:r>
      <w:r w:rsidRPr="0080058A">
        <w:rPr>
          <w:rFonts w:cs="Times New Roman"/>
          <w:lang w:val="fr-CA"/>
        </w:rPr>
        <w:t xml:space="preserve"> tyrannique. </w:t>
      </w:r>
    </w:p>
    <w:p w:rsidR="00361B98" w:rsidRPr="0080058A" w:rsidRDefault="00361B98" w:rsidP="002B69A7">
      <w:pPr>
        <w:pStyle w:val="Title3LevelTitre3Niveau"/>
        <w:widowControl w:val="0"/>
        <w:rPr>
          <w:rFonts w:cs="Times New Roman"/>
          <w:lang w:val="fr-CA"/>
        </w:rPr>
      </w:pPr>
      <w:r>
        <w:rPr>
          <w:rFonts w:cs="Times New Roman"/>
          <w:lang w:val="fr-CA"/>
        </w:rPr>
        <w:t>L’arrêté d’extradition visant</w:t>
      </w:r>
      <w:r w:rsidRPr="0080058A">
        <w:rPr>
          <w:rFonts w:cs="Times New Roman"/>
          <w:lang w:val="fr-CA"/>
        </w:rPr>
        <w:t xml:space="preserve"> M</w:t>
      </w:r>
      <w:r w:rsidRPr="0080058A">
        <w:rPr>
          <w:rFonts w:cs="Times New Roman"/>
          <w:vertAlign w:val="superscript"/>
          <w:lang w:val="fr-CA"/>
        </w:rPr>
        <w:t>me</w:t>
      </w:r>
      <w:r w:rsidRPr="0080058A">
        <w:rPr>
          <w:rFonts w:cs="Times New Roman"/>
          <w:lang w:val="fr-CA"/>
        </w:rPr>
        <w:t> Sidhu</w:t>
      </w:r>
    </w:p>
    <w:p w:rsidR="00361B98" w:rsidRPr="0080058A" w:rsidRDefault="00361B98" w:rsidP="002B69A7">
      <w:pPr>
        <w:pStyle w:val="ParaNoNdepar-AltN"/>
        <w:widowControl w:val="0"/>
        <w:rPr>
          <w:rFonts w:cs="Times New Roman"/>
          <w:lang w:val="fr-CA"/>
        </w:rPr>
      </w:pPr>
      <w:r w:rsidRPr="0080058A">
        <w:rPr>
          <w:rFonts w:cs="Times New Roman"/>
          <w:lang w:val="fr-CA"/>
        </w:rPr>
        <w:t>M</w:t>
      </w:r>
      <w:r w:rsidRPr="0080058A">
        <w:rPr>
          <w:rFonts w:cs="Times New Roman"/>
          <w:vertAlign w:val="superscript"/>
          <w:lang w:val="fr-CA"/>
        </w:rPr>
        <w:t>me</w:t>
      </w:r>
      <w:r w:rsidRPr="0080058A">
        <w:rPr>
          <w:rFonts w:cs="Times New Roman"/>
          <w:lang w:val="fr-CA"/>
        </w:rPr>
        <w:t> Sidhu</w:t>
      </w:r>
      <w:r>
        <w:rPr>
          <w:rFonts w:cs="Times New Roman"/>
          <w:lang w:val="fr-CA"/>
        </w:rPr>
        <w:t xml:space="preserve"> a</w:t>
      </w:r>
      <w:r w:rsidRPr="0080058A">
        <w:rPr>
          <w:rFonts w:cs="Times New Roman"/>
          <w:lang w:val="fr-CA"/>
        </w:rPr>
        <w:t xml:space="preserve"> souten</w:t>
      </w:r>
      <w:r>
        <w:rPr>
          <w:rFonts w:cs="Times New Roman"/>
          <w:lang w:val="fr-CA"/>
        </w:rPr>
        <w:t>u</w:t>
      </w:r>
      <w:r w:rsidRPr="0080058A">
        <w:rPr>
          <w:rFonts w:cs="Times New Roman"/>
          <w:lang w:val="fr-CA"/>
        </w:rPr>
        <w:t xml:space="preserve"> que son extradition </w:t>
      </w:r>
      <w:r>
        <w:rPr>
          <w:rFonts w:cs="Times New Roman"/>
          <w:lang w:val="fr-CA"/>
        </w:rPr>
        <w:t xml:space="preserve">serait </w:t>
      </w:r>
      <w:r w:rsidRPr="0080058A">
        <w:rPr>
          <w:rFonts w:cs="Times New Roman"/>
          <w:lang w:val="fr-CA"/>
        </w:rPr>
        <w:t>injuste ou tyrannique au sens de l</w:t>
      </w:r>
      <w:r>
        <w:rPr>
          <w:rFonts w:cs="Times New Roman"/>
          <w:lang w:val="fr-CA"/>
        </w:rPr>
        <w:t>’al. </w:t>
      </w:r>
      <w:r w:rsidRPr="0080058A">
        <w:rPr>
          <w:rFonts w:cs="Times New Roman"/>
          <w:lang w:val="fr-CA"/>
        </w:rPr>
        <w:t xml:space="preserve">44(1)a) de la </w:t>
      </w:r>
      <w:r w:rsidRPr="005C3854">
        <w:rPr>
          <w:rFonts w:cs="Times New Roman"/>
          <w:lang w:val="fr-CA"/>
        </w:rPr>
        <w:t>Loi</w:t>
      </w:r>
      <w:r w:rsidRPr="0080058A">
        <w:rPr>
          <w:rFonts w:cs="Times New Roman"/>
          <w:lang w:val="fr-CA"/>
        </w:rPr>
        <w:t xml:space="preserve"> parce que</w:t>
      </w:r>
      <w:r>
        <w:rPr>
          <w:rFonts w:cs="Times New Roman"/>
          <w:lang w:val="fr-CA"/>
        </w:rPr>
        <w:t> :</w:t>
      </w:r>
      <w:r w:rsidRPr="0080058A">
        <w:rPr>
          <w:rFonts w:cs="Times New Roman"/>
          <w:lang w:val="fr-CA"/>
        </w:rPr>
        <w:t xml:space="preserve"> (1) il n</w:t>
      </w:r>
      <w:r>
        <w:rPr>
          <w:rFonts w:cs="Times New Roman"/>
          <w:lang w:val="fr-CA"/>
        </w:rPr>
        <w:t>’</w:t>
      </w:r>
      <w:r w:rsidRPr="0080058A">
        <w:rPr>
          <w:rFonts w:cs="Times New Roman"/>
          <w:lang w:val="fr-CA"/>
        </w:rPr>
        <w:t>y avait aucune garantie que l</w:t>
      </w:r>
      <w:r>
        <w:rPr>
          <w:rFonts w:cs="Times New Roman"/>
          <w:lang w:val="fr-CA"/>
        </w:rPr>
        <w:t>’</w:t>
      </w:r>
      <w:r w:rsidRPr="0080058A">
        <w:rPr>
          <w:rFonts w:cs="Times New Roman"/>
          <w:lang w:val="fr-CA"/>
        </w:rPr>
        <w:t xml:space="preserve">Inde respecterait son assurance de ne pas appliquer la peine de mort; (2) des </w:t>
      </w:r>
      <w:r>
        <w:rPr>
          <w:rFonts w:cs="Times New Roman"/>
          <w:lang w:val="fr-CA"/>
        </w:rPr>
        <w:t>rapports</w:t>
      </w:r>
      <w:r w:rsidRPr="0080058A">
        <w:rPr>
          <w:rFonts w:cs="Times New Roman"/>
          <w:lang w:val="fr-CA"/>
        </w:rPr>
        <w:t xml:space="preserve"> faisaient état de </w:t>
      </w:r>
      <w:r>
        <w:rPr>
          <w:rFonts w:cs="Times New Roman"/>
          <w:lang w:val="fr-CA"/>
        </w:rPr>
        <w:t xml:space="preserve">cas de </w:t>
      </w:r>
      <w:r w:rsidRPr="0080058A">
        <w:rPr>
          <w:rFonts w:cs="Times New Roman"/>
          <w:lang w:val="fr-CA"/>
        </w:rPr>
        <w:t>violence et de torture</w:t>
      </w:r>
      <w:r>
        <w:rPr>
          <w:rFonts w:cs="Times New Roman"/>
          <w:lang w:val="fr-CA"/>
        </w:rPr>
        <w:t xml:space="preserve"> à l’endroit de personnes détenues</w:t>
      </w:r>
      <w:r w:rsidRPr="0080058A">
        <w:rPr>
          <w:rFonts w:cs="Times New Roman"/>
          <w:lang w:val="fr-CA"/>
        </w:rPr>
        <w:t xml:space="preserve"> en Inde; (3) la situation personnelle de M</w:t>
      </w:r>
      <w:r w:rsidRPr="0080058A">
        <w:rPr>
          <w:rFonts w:cs="Times New Roman"/>
          <w:vertAlign w:val="superscript"/>
          <w:lang w:val="fr-CA"/>
        </w:rPr>
        <w:t>me</w:t>
      </w:r>
      <w:r w:rsidRPr="0080058A">
        <w:rPr>
          <w:rFonts w:cs="Times New Roman"/>
          <w:lang w:val="fr-CA"/>
        </w:rPr>
        <w:t> Sidhu</w:t>
      </w:r>
      <w:r>
        <w:rPr>
          <w:rFonts w:cs="Times New Roman"/>
          <w:lang w:val="fr-CA"/>
        </w:rPr>
        <w:t>, notamment ses problèmes de santé,</w:t>
      </w:r>
      <w:r w:rsidRPr="0080058A">
        <w:rPr>
          <w:rFonts w:cs="Times New Roman"/>
          <w:lang w:val="fr-CA"/>
        </w:rPr>
        <w:t xml:space="preserve"> ferait en sorte</w:t>
      </w:r>
      <w:r>
        <w:rPr>
          <w:rFonts w:cs="Times New Roman"/>
          <w:lang w:val="fr-CA"/>
        </w:rPr>
        <w:t xml:space="preserve"> que son extradition soit </w:t>
      </w:r>
      <w:r w:rsidRPr="0080058A">
        <w:rPr>
          <w:rFonts w:cs="Times New Roman"/>
          <w:lang w:val="fr-CA"/>
        </w:rPr>
        <w:t>contraire à l</w:t>
      </w:r>
      <w:r>
        <w:rPr>
          <w:rFonts w:cs="Times New Roman"/>
          <w:lang w:val="fr-CA"/>
        </w:rPr>
        <w:t>’art. </w:t>
      </w:r>
      <w:r w:rsidRPr="0080058A">
        <w:rPr>
          <w:rFonts w:cs="Times New Roman"/>
          <w:lang w:val="fr-CA"/>
        </w:rPr>
        <w:t xml:space="preserve">7 de la </w:t>
      </w:r>
      <w:r w:rsidRPr="0080058A">
        <w:rPr>
          <w:rFonts w:cs="Times New Roman"/>
          <w:i/>
          <w:lang w:val="fr-CA"/>
        </w:rPr>
        <w:t>Charte</w:t>
      </w:r>
      <w:r w:rsidRPr="0080058A">
        <w:rPr>
          <w:rFonts w:cs="Times New Roman"/>
          <w:lang w:val="fr-CA"/>
        </w:rPr>
        <w:t>,</w:t>
      </w:r>
      <w:r w:rsidRPr="0080058A">
        <w:rPr>
          <w:rFonts w:cs="Times New Roman"/>
          <w:i/>
          <w:lang w:val="fr-CA"/>
        </w:rPr>
        <w:t xml:space="preserve"> </w:t>
      </w:r>
      <w:r w:rsidRPr="0080058A">
        <w:rPr>
          <w:rFonts w:cs="Times New Roman"/>
          <w:lang w:val="fr-CA"/>
        </w:rPr>
        <w:t>(4)</w:t>
      </w:r>
      <w:r>
        <w:rPr>
          <w:rFonts w:cs="Times New Roman"/>
          <w:lang w:val="fr-CA"/>
        </w:rPr>
        <w:t xml:space="preserve"> la preuve comportait de graves </w:t>
      </w:r>
      <w:r w:rsidRPr="0080058A">
        <w:rPr>
          <w:rFonts w:cs="Times New Roman"/>
          <w:lang w:val="fr-CA"/>
        </w:rPr>
        <w:t>lacunes; (5) l</w:t>
      </w:r>
      <w:r>
        <w:rPr>
          <w:rFonts w:cs="Times New Roman"/>
          <w:lang w:val="fr-CA"/>
        </w:rPr>
        <w:t xml:space="preserve">’Inde a </w:t>
      </w:r>
      <w:r w:rsidRPr="0080058A">
        <w:rPr>
          <w:rFonts w:cs="Times New Roman"/>
          <w:lang w:val="fr-CA"/>
        </w:rPr>
        <w:t xml:space="preserve">tardé </w:t>
      </w:r>
      <w:r>
        <w:rPr>
          <w:rFonts w:cs="Times New Roman"/>
          <w:lang w:val="fr-CA"/>
        </w:rPr>
        <w:t xml:space="preserve">à </w:t>
      </w:r>
      <w:r w:rsidRPr="0080058A">
        <w:rPr>
          <w:rFonts w:cs="Times New Roman"/>
          <w:lang w:val="fr-CA"/>
        </w:rPr>
        <w:t>demander l</w:t>
      </w:r>
      <w:r>
        <w:rPr>
          <w:rFonts w:cs="Times New Roman"/>
          <w:lang w:val="fr-CA"/>
        </w:rPr>
        <w:t>’</w:t>
      </w:r>
      <w:r w:rsidRPr="0080058A">
        <w:rPr>
          <w:rFonts w:cs="Times New Roman"/>
          <w:lang w:val="fr-CA"/>
        </w:rPr>
        <w:t>extradition de M</w:t>
      </w:r>
      <w:r w:rsidRPr="002B5A7A">
        <w:rPr>
          <w:rFonts w:cs="Times New Roman"/>
          <w:vertAlign w:val="superscript"/>
          <w:lang w:val="fr-CA"/>
        </w:rPr>
        <w:t>me </w:t>
      </w:r>
      <w:r w:rsidRPr="0080058A">
        <w:rPr>
          <w:rFonts w:cs="Times New Roman"/>
          <w:lang w:val="fr-CA"/>
        </w:rPr>
        <w:t xml:space="preserve">Sidhu. </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Le </w:t>
      </w:r>
      <w:r>
        <w:rPr>
          <w:rFonts w:cs="Times New Roman"/>
          <w:lang w:val="fr-CA"/>
        </w:rPr>
        <w:t>m</w:t>
      </w:r>
      <w:r w:rsidRPr="0080058A">
        <w:rPr>
          <w:rFonts w:cs="Times New Roman"/>
          <w:lang w:val="fr-CA"/>
        </w:rPr>
        <w:t xml:space="preserve">inistre a </w:t>
      </w:r>
      <w:r>
        <w:rPr>
          <w:rFonts w:cs="Times New Roman"/>
          <w:lang w:val="fr-CA"/>
        </w:rPr>
        <w:t xml:space="preserve">affirmé que, faute de </w:t>
      </w:r>
      <w:r w:rsidRPr="0080058A">
        <w:rPr>
          <w:rFonts w:cs="Times New Roman"/>
          <w:lang w:val="fr-CA"/>
        </w:rPr>
        <w:t>preuve</w:t>
      </w:r>
      <w:r>
        <w:rPr>
          <w:rFonts w:cs="Times New Roman"/>
          <w:lang w:val="fr-CA"/>
        </w:rPr>
        <w:t xml:space="preserve"> de la </w:t>
      </w:r>
      <w:r w:rsidRPr="0080058A">
        <w:rPr>
          <w:rFonts w:cs="Times New Roman"/>
          <w:lang w:val="fr-CA"/>
        </w:rPr>
        <w:t>mauvaise foi de l</w:t>
      </w:r>
      <w:r>
        <w:rPr>
          <w:rFonts w:cs="Times New Roman"/>
          <w:lang w:val="fr-CA"/>
        </w:rPr>
        <w:t xml:space="preserve">’Inde, il lui était loisible de </w:t>
      </w:r>
      <w:r w:rsidRPr="0080058A">
        <w:rPr>
          <w:rFonts w:cs="Times New Roman"/>
          <w:lang w:val="fr-CA"/>
        </w:rPr>
        <w:t>présumer que les autorités indiennes respecteraien</w:t>
      </w:r>
      <w:r>
        <w:rPr>
          <w:rFonts w:cs="Times New Roman"/>
          <w:lang w:val="fr-CA"/>
        </w:rPr>
        <w:t>t les assurances qu’elles donn</w:t>
      </w:r>
      <w:r w:rsidRPr="0080058A">
        <w:rPr>
          <w:rFonts w:cs="Times New Roman"/>
          <w:lang w:val="fr-CA"/>
        </w:rPr>
        <w:t>aient</w:t>
      </w:r>
      <w:r>
        <w:rPr>
          <w:rFonts w:cs="Times New Roman"/>
          <w:lang w:val="fr-CA"/>
        </w:rPr>
        <w:t>,</w:t>
      </w:r>
      <w:r w:rsidRPr="0080058A">
        <w:rPr>
          <w:rFonts w:cs="Times New Roman"/>
          <w:lang w:val="fr-CA"/>
        </w:rPr>
        <w:t xml:space="preserve"> y compris </w:t>
      </w:r>
      <w:r>
        <w:rPr>
          <w:rFonts w:cs="Times New Roman"/>
          <w:lang w:val="fr-CA"/>
        </w:rPr>
        <w:t xml:space="preserve">celle de ne pas appliquer </w:t>
      </w:r>
      <w:r w:rsidRPr="0080058A">
        <w:rPr>
          <w:rFonts w:cs="Times New Roman"/>
          <w:lang w:val="fr-CA"/>
        </w:rPr>
        <w:t>la peine de mort</w:t>
      </w:r>
      <w:r>
        <w:rPr>
          <w:rFonts w:cs="Times New Roman"/>
          <w:lang w:val="fr-CA"/>
        </w:rPr>
        <w:t>,</w:t>
      </w:r>
      <w:r w:rsidRPr="0080058A">
        <w:rPr>
          <w:rFonts w:cs="Times New Roman"/>
          <w:lang w:val="fr-CA"/>
        </w:rPr>
        <w:t xml:space="preserve"> et le </w:t>
      </w:r>
      <w:r>
        <w:rPr>
          <w:rFonts w:cs="Times New Roman"/>
          <w:lang w:val="fr-CA"/>
        </w:rPr>
        <w:t>m</w:t>
      </w:r>
      <w:r w:rsidRPr="0080058A">
        <w:rPr>
          <w:rFonts w:cs="Times New Roman"/>
          <w:lang w:val="fr-CA"/>
        </w:rPr>
        <w:t xml:space="preserve">inistre a </w:t>
      </w:r>
      <w:r>
        <w:rPr>
          <w:rFonts w:cs="Times New Roman"/>
          <w:lang w:val="fr-CA"/>
        </w:rPr>
        <w:t xml:space="preserve">subordonné la </w:t>
      </w:r>
      <w:r w:rsidRPr="0080058A">
        <w:rPr>
          <w:rFonts w:cs="Times New Roman"/>
          <w:lang w:val="fr-CA"/>
        </w:rPr>
        <w:t>pris</w:t>
      </w:r>
      <w:r>
        <w:rPr>
          <w:rFonts w:cs="Times New Roman"/>
          <w:lang w:val="fr-CA"/>
        </w:rPr>
        <w:t>e de</w:t>
      </w:r>
      <w:r w:rsidRPr="0080058A">
        <w:rPr>
          <w:rFonts w:cs="Times New Roman"/>
          <w:lang w:val="fr-CA"/>
        </w:rPr>
        <w:t xml:space="preserve"> l</w:t>
      </w:r>
      <w:r>
        <w:rPr>
          <w:rFonts w:cs="Times New Roman"/>
          <w:lang w:val="fr-CA"/>
        </w:rPr>
        <w:t>’</w:t>
      </w:r>
      <w:r w:rsidRPr="0080058A">
        <w:rPr>
          <w:rFonts w:cs="Times New Roman"/>
          <w:lang w:val="fr-CA"/>
        </w:rPr>
        <w:t>arrêté d</w:t>
      </w:r>
      <w:r>
        <w:rPr>
          <w:rFonts w:cs="Times New Roman"/>
          <w:lang w:val="fr-CA"/>
        </w:rPr>
        <w:t>’</w:t>
      </w:r>
      <w:r w:rsidRPr="0080058A">
        <w:rPr>
          <w:rFonts w:cs="Times New Roman"/>
          <w:lang w:val="fr-CA"/>
        </w:rPr>
        <w:t xml:space="preserve">extradition </w:t>
      </w:r>
      <w:r>
        <w:rPr>
          <w:rFonts w:cs="Times New Roman"/>
          <w:lang w:val="fr-CA"/>
        </w:rPr>
        <w:t xml:space="preserve">à </w:t>
      </w:r>
      <w:r w:rsidRPr="0080058A">
        <w:rPr>
          <w:rFonts w:cs="Times New Roman"/>
          <w:lang w:val="fr-CA"/>
        </w:rPr>
        <w:t xml:space="preserve">la réception de </w:t>
      </w:r>
      <w:r>
        <w:rPr>
          <w:rFonts w:cs="Times New Roman"/>
          <w:lang w:val="fr-CA"/>
        </w:rPr>
        <w:t xml:space="preserve">cette </w:t>
      </w:r>
      <w:r w:rsidRPr="0080058A">
        <w:rPr>
          <w:rFonts w:cs="Times New Roman"/>
          <w:lang w:val="fr-CA"/>
        </w:rPr>
        <w:t>assurance.</w:t>
      </w:r>
    </w:p>
    <w:p w:rsidR="00361B98" w:rsidRPr="002B037A" w:rsidRDefault="00361B98" w:rsidP="002B69A7">
      <w:pPr>
        <w:pStyle w:val="ParaNoNdepar-AltN"/>
        <w:widowControl w:val="0"/>
        <w:rPr>
          <w:rFonts w:cs="Times New Roman"/>
          <w:lang w:val="fr-CA"/>
        </w:rPr>
      </w:pPr>
      <w:r w:rsidRPr="0080058A">
        <w:rPr>
          <w:rFonts w:cs="Times New Roman"/>
          <w:lang w:val="fr-CA"/>
        </w:rPr>
        <w:t>En ce qui concerne les craintes exprimées par M</w:t>
      </w:r>
      <w:r w:rsidRPr="0080058A">
        <w:rPr>
          <w:rFonts w:cs="Times New Roman"/>
          <w:vertAlign w:val="superscript"/>
          <w:lang w:val="fr-CA"/>
        </w:rPr>
        <w:t>me</w:t>
      </w:r>
      <w:r w:rsidRPr="0080058A">
        <w:rPr>
          <w:rFonts w:cs="Times New Roman"/>
          <w:lang w:val="fr-CA"/>
        </w:rPr>
        <w:t xml:space="preserve"> Sidhu au sujet de sa sécurité, le </w:t>
      </w:r>
      <w:r>
        <w:rPr>
          <w:rFonts w:cs="Times New Roman"/>
          <w:lang w:val="fr-CA"/>
        </w:rPr>
        <w:t>m</w:t>
      </w:r>
      <w:r w:rsidRPr="0080058A">
        <w:rPr>
          <w:rFonts w:cs="Times New Roman"/>
          <w:lang w:val="fr-CA"/>
        </w:rPr>
        <w:t>inistre s</w:t>
      </w:r>
      <w:r>
        <w:rPr>
          <w:rFonts w:cs="Times New Roman"/>
          <w:lang w:val="fr-CA"/>
        </w:rPr>
        <w:t>’</w:t>
      </w:r>
      <w:r w:rsidRPr="0080058A">
        <w:rPr>
          <w:rFonts w:cs="Times New Roman"/>
          <w:lang w:val="fr-CA"/>
        </w:rPr>
        <w:t xml:space="preserve">est dit convaincu que les autorités indiennes </w:t>
      </w:r>
      <w:r>
        <w:rPr>
          <w:rFonts w:cs="Times New Roman"/>
          <w:lang w:val="fr-CA"/>
        </w:rPr>
        <w:t xml:space="preserve">étaient résolues </w:t>
      </w:r>
      <w:r w:rsidRPr="0080058A">
        <w:rPr>
          <w:rFonts w:cs="Times New Roman"/>
          <w:lang w:val="fr-CA"/>
        </w:rPr>
        <w:t xml:space="preserve">à </w:t>
      </w:r>
      <w:r w:rsidRPr="0080058A">
        <w:rPr>
          <w:rFonts w:cs="Times New Roman"/>
          <w:lang w:val="fr-CA"/>
        </w:rPr>
        <w:lastRenderedPageBreak/>
        <w:t>s</w:t>
      </w:r>
      <w:r>
        <w:rPr>
          <w:rFonts w:cs="Times New Roman"/>
          <w:lang w:val="fr-CA"/>
        </w:rPr>
        <w:t>’</w:t>
      </w:r>
      <w:r w:rsidRPr="0080058A">
        <w:rPr>
          <w:rFonts w:cs="Times New Roman"/>
          <w:lang w:val="fr-CA"/>
        </w:rPr>
        <w:t>attaquer au problème de la violence et de la torture dans le</w:t>
      </w:r>
      <w:r>
        <w:rPr>
          <w:rFonts w:cs="Times New Roman"/>
          <w:lang w:val="fr-CA"/>
        </w:rPr>
        <w:t>ur</w:t>
      </w:r>
      <w:r w:rsidRPr="0080058A">
        <w:rPr>
          <w:rFonts w:cs="Times New Roman"/>
          <w:lang w:val="fr-CA"/>
        </w:rPr>
        <w:t>s établissements</w:t>
      </w:r>
      <w:r>
        <w:rPr>
          <w:rFonts w:cs="Times New Roman"/>
          <w:lang w:val="fr-CA"/>
        </w:rPr>
        <w:t xml:space="preserve"> carcéraux</w:t>
      </w:r>
      <w:r w:rsidRPr="0080058A">
        <w:rPr>
          <w:rFonts w:cs="Times New Roman"/>
          <w:lang w:val="fr-CA"/>
        </w:rPr>
        <w:t xml:space="preserve">. Il a toutefois reconnu que les cas de torture et de mauvais traitements </w:t>
      </w:r>
      <w:r>
        <w:rPr>
          <w:rFonts w:cs="Times New Roman"/>
          <w:lang w:val="fr-CA"/>
        </w:rPr>
        <w:t>dans les prisons indiennes cité</w:t>
      </w:r>
      <w:r w:rsidRPr="0080058A">
        <w:rPr>
          <w:rFonts w:cs="Times New Roman"/>
          <w:lang w:val="fr-CA"/>
        </w:rPr>
        <w:t>s par M</w:t>
      </w:r>
      <w:r w:rsidRPr="0080058A">
        <w:rPr>
          <w:rFonts w:cs="Times New Roman"/>
          <w:vertAlign w:val="superscript"/>
          <w:lang w:val="fr-CA"/>
        </w:rPr>
        <w:t>me</w:t>
      </w:r>
      <w:r w:rsidRPr="0080058A">
        <w:rPr>
          <w:rFonts w:cs="Times New Roman"/>
          <w:lang w:val="fr-CA"/>
        </w:rPr>
        <w:t xml:space="preserve"> Sidhu soulevaient de graves </w:t>
      </w:r>
      <w:r>
        <w:rPr>
          <w:rFonts w:cs="Times New Roman"/>
          <w:lang w:val="fr-CA"/>
        </w:rPr>
        <w:t xml:space="preserve">préoccupations </w:t>
      </w:r>
      <w:r w:rsidRPr="0080058A">
        <w:rPr>
          <w:rFonts w:cs="Times New Roman"/>
          <w:lang w:val="fr-CA"/>
        </w:rPr>
        <w:t>en ce qui concerne la sécurité des détenus dans les prisons indiennes</w:t>
      </w:r>
      <w:r>
        <w:rPr>
          <w:rFonts w:cs="Times New Roman"/>
          <w:lang w:val="fr-CA"/>
        </w:rPr>
        <w:t>,</w:t>
      </w:r>
      <w:r w:rsidRPr="0080058A">
        <w:rPr>
          <w:rFonts w:cs="Times New Roman"/>
          <w:lang w:val="fr-CA"/>
        </w:rPr>
        <w:t xml:space="preserve"> en particulier </w:t>
      </w:r>
      <w:r>
        <w:rPr>
          <w:rFonts w:cs="Times New Roman"/>
          <w:lang w:val="fr-CA"/>
        </w:rPr>
        <w:t xml:space="preserve">celle des </w:t>
      </w:r>
      <w:r w:rsidRPr="0080058A">
        <w:rPr>
          <w:rFonts w:cs="Times New Roman"/>
          <w:lang w:val="fr-CA"/>
        </w:rPr>
        <w:t>détenues. Il a toutefois estimé</w:t>
      </w:r>
      <w:r>
        <w:rPr>
          <w:rFonts w:cs="Times New Roman"/>
          <w:lang w:val="fr-CA"/>
        </w:rPr>
        <w:t>,</w:t>
      </w:r>
      <w:r w:rsidRPr="0080058A">
        <w:rPr>
          <w:rFonts w:cs="Times New Roman"/>
          <w:lang w:val="fr-CA"/>
        </w:rPr>
        <w:t xml:space="preserve"> en fin de compte</w:t>
      </w:r>
      <w:r>
        <w:rPr>
          <w:rFonts w:cs="Times New Roman"/>
          <w:lang w:val="fr-CA"/>
        </w:rPr>
        <w:t>,</w:t>
      </w:r>
      <w:r w:rsidRPr="0080058A">
        <w:rPr>
          <w:rFonts w:cs="Times New Roman"/>
          <w:lang w:val="fr-CA"/>
        </w:rPr>
        <w:t xml:space="preserve"> que l</w:t>
      </w:r>
      <w:r>
        <w:rPr>
          <w:rFonts w:cs="Times New Roman"/>
          <w:lang w:val="fr-CA"/>
        </w:rPr>
        <w:t>’</w:t>
      </w:r>
      <w:r w:rsidRPr="0080058A">
        <w:rPr>
          <w:rFonts w:cs="Times New Roman"/>
          <w:lang w:val="fr-CA"/>
        </w:rPr>
        <w:t>extradition de M</w:t>
      </w:r>
      <w:r w:rsidRPr="0080058A">
        <w:rPr>
          <w:rFonts w:cs="Times New Roman"/>
          <w:vertAlign w:val="superscript"/>
          <w:lang w:val="fr-CA"/>
        </w:rPr>
        <w:t>me</w:t>
      </w:r>
      <w:r w:rsidRPr="0080058A">
        <w:rPr>
          <w:rFonts w:cs="Times New Roman"/>
          <w:lang w:val="fr-CA"/>
        </w:rPr>
        <w:t> Sidhu ne serait pas injuste ou tyrannique</w:t>
      </w:r>
      <w:r>
        <w:rPr>
          <w:rFonts w:cs="Times New Roman"/>
          <w:lang w:val="fr-CA"/>
        </w:rPr>
        <w:t>,</w:t>
      </w:r>
      <w:r w:rsidRPr="0080058A">
        <w:rPr>
          <w:rFonts w:cs="Times New Roman"/>
          <w:lang w:val="fr-CA"/>
        </w:rPr>
        <w:t xml:space="preserve"> à condition </w:t>
      </w:r>
      <w:r>
        <w:rPr>
          <w:rFonts w:cs="Times New Roman"/>
          <w:lang w:val="fr-CA"/>
        </w:rPr>
        <w:t xml:space="preserve">que </w:t>
      </w:r>
      <w:r w:rsidRPr="0080058A">
        <w:rPr>
          <w:rFonts w:cs="Times New Roman"/>
          <w:lang w:val="fr-CA"/>
        </w:rPr>
        <w:t>l</w:t>
      </w:r>
      <w:r>
        <w:rPr>
          <w:rFonts w:cs="Times New Roman"/>
          <w:lang w:val="fr-CA"/>
        </w:rPr>
        <w:t>’</w:t>
      </w:r>
      <w:r w:rsidRPr="0080058A">
        <w:rPr>
          <w:rFonts w:cs="Times New Roman"/>
          <w:lang w:val="fr-CA"/>
        </w:rPr>
        <w:t>Inde</w:t>
      </w:r>
      <w:r>
        <w:rPr>
          <w:rFonts w:cs="Times New Roman"/>
          <w:lang w:val="fr-CA"/>
        </w:rPr>
        <w:t xml:space="preserve"> donne l’assurance de</w:t>
      </w:r>
      <w:r w:rsidRPr="0080058A">
        <w:rPr>
          <w:rFonts w:cs="Times New Roman"/>
          <w:lang w:val="fr-CA"/>
        </w:rPr>
        <w:t xml:space="preserve"> pren</w:t>
      </w:r>
      <w:r>
        <w:rPr>
          <w:rFonts w:cs="Times New Roman"/>
          <w:lang w:val="fr-CA"/>
        </w:rPr>
        <w:t>dr</w:t>
      </w:r>
      <w:r w:rsidRPr="0080058A">
        <w:rPr>
          <w:rFonts w:cs="Times New Roman"/>
          <w:lang w:val="fr-CA"/>
        </w:rPr>
        <w:t>e des mesures raisonnables po</w:t>
      </w:r>
      <w:r>
        <w:rPr>
          <w:rFonts w:cs="Times New Roman"/>
          <w:lang w:val="fr-CA"/>
        </w:rPr>
        <w:t xml:space="preserve">ur assurer sa sécurité pendant sa détention en Inde et qu’on lui accorde, à sa demande, un </w:t>
      </w:r>
      <w:r w:rsidRPr="0080058A">
        <w:rPr>
          <w:rFonts w:cs="Times New Roman"/>
          <w:lang w:val="fr-CA"/>
        </w:rPr>
        <w:t xml:space="preserve">accès immédiat et sans </w:t>
      </w:r>
      <w:r>
        <w:rPr>
          <w:rFonts w:cs="Times New Roman"/>
          <w:lang w:val="fr-CA"/>
        </w:rPr>
        <w:t xml:space="preserve">réserve </w:t>
      </w:r>
      <w:r w:rsidRPr="0080058A">
        <w:rPr>
          <w:rFonts w:cs="Times New Roman"/>
          <w:lang w:val="fr-CA"/>
        </w:rPr>
        <w:t>à d</w:t>
      </w:r>
      <w:r>
        <w:rPr>
          <w:rFonts w:cs="Times New Roman"/>
          <w:lang w:val="fr-CA"/>
        </w:rPr>
        <w:t xml:space="preserve">es représentants consulaires. Pour ce qui est de </w:t>
      </w:r>
      <w:r w:rsidRPr="002B037A">
        <w:rPr>
          <w:rFonts w:cs="Times New Roman"/>
          <w:lang w:val="fr-CA"/>
        </w:rPr>
        <w:t>l</w:t>
      </w:r>
      <w:r>
        <w:rPr>
          <w:rFonts w:cs="Times New Roman"/>
          <w:lang w:val="fr-CA"/>
        </w:rPr>
        <w:t>’</w:t>
      </w:r>
      <w:r w:rsidRPr="002B037A">
        <w:rPr>
          <w:rFonts w:cs="Times New Roman"/>
          <w:lang w:val="fr-CA"/>
        </w:rPr>
        <w:t xml:space="preserve">accès aux services consulaires, le </w:t>
      </w:r>
      <w:r>
        <w:rPr>
          <w:rFonts w:cs="Times New Roman"/>
          <w:lang w:val="fr-CA"/>
        </w:rPr>
        <w:t>m</w:t>
      </w:r>
      <w:r w:rsidRPr="002B037A">
        <w:rPr>
          <w:rFonts w:cs="Times New Roman"/>
          <w:lang w:val="fr-CA"/>
        </w:rPr>
        <w:t>inistre a reçu de l</w:t>
      </w:r>
      <w:r>
        <w:rPr>
          <w:rFonts w:cs="Times New Roman"/>
          <w:lang w:val="fr-CA"/>
        </w:rPr>
        <w:t>’</w:t>
      </w:r>
      <w:r w:rsidRPr="002B037A">
        <w:rPr>
          <w:rFonts w:cs="Times New Roman"/>
          <w:lang w:val="fr-CA"/>
        </w:rPr>
        <w:t>Inde l</w:t>
      </w:r>
      <w:r>
        <w:rPr>
          <w:rFonts w:cs="Times New Roman"/>
          <w:lang w:val="fr-CA"/>
        </w:rPr>
        <w:t>a</w:t>
      </w:r>
      <w:r w:rsidRPr="002B037A">
        <w:rPr>
          <w:rFonts w:cs="Times New Roman"/>
          <w:lang w:val="fr-CA"/>
        </w:rPr>
        <w:t xml:space="preserve"> même</w:t>
      </w:r>
      <w:r>
        <w:rPr>
          <w:rFonts w:cs="Times New Roman"/>
          <w:lang w:val="fr-CA"/>
        </w:rPr>
        <w:t xml:space="preserve"> assurance</w:t>
      </w:r>
      <w:r w:rsidRPr="002B037A">
        <w:rPr>
          <w:rFonts w:cs="Times New Roman"/>
          <w:lang w:val="fr-CA"/>
        </w:rPr>
        <w:t xml:space="preserve"> que celle qu</w:t>
      </w:r>
      <w:r>
        <w:rPr>
          <w:rFonts w:cs="Times New Roman"/>
          <w:lang w:val="fr-CA"/>
        </w:rPr>
        <w:t>’</w:t>
      </w:r>
      <w:r w:rsidRPr="002B037A">
        <w:rPr>
          <w:rFonts w:cs="Times New Roman"/>
          <w:lang w:val="fr-CA"/>
        </w:rPr>
        <w:t xml:space="preserve">il avait </w:t>
      </w:r>
      <w:r>
        <w:rPr>
          <w:rFonts w:cs="Times New Roman"/>
          <w:lang w:val="fr-CA"/>
        </w:rPr>
        <w:t>obtenue</w:t>
      </w:r>
      <w:r w:rsidRPr="002B037A">
        <w:rPr>
          <w:rFonts w:cs="Times New Roman"/>
          <w:lang w:val="fr-CA"/>
        </w:rPr>
        <w:t xml:space="preserve"> au sujet de M. Badesha. </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Le </w:t>
      </w:r>
      <w:r>
        <w:rPr>
          <w:rFonts w:cs="Times New Roman"/>
          <w:lang w:val="fr-CA"/>
        </w:rPr>
        <w:t>m</w:t>
      </w:r>
      <w:r w:rsidRPr="0080058A">
        <w:rPr>
          <w:rFonts w:cs="Times New Roman"/>
          <w:lang w:val="fr-CA"/>
        </w:rPr>
        <w:t xml:space="preserve">inistre a également </w:t>
      </w:r>
      <w:r>
        <w:rPr>
          <w:rFonts w:cs="Times New Roman"/>
          <w:lang w:val="fr-CA"/>
        </w:rPr>
        <w:t xml:space="preserve">subordonné </w:t>
      </w:r>
      <w:r w:rsidRPr="0080058A">
        <w:rPr>
          <w:rFonts w:cs="Times New Roman"/>
          <w:lang w:val="fr-CA"/>
        </w:rPr>
        <w:t>l</w:t>
      </w:r>
      <w:r>
        <w:rPr>
          <w:rFonts w:cs="Times New Roman"/>
          <w:lang w:val="fr-CA"/>
        </w:rPr>
        <w:t>’</w:t>
      </w:r>
      <w:r w:rsidRPr="0080058A">
        <w:rPr>
          <w:rFonts w:cs="Times New Roman"/>
          <w:lang w:val="fr-CA"/>
        </w:rPr>
        <w:t>extradition de M</w:t>
      </w:r>
      <w:r w:rsidRPr="0080058A">
        <w:rPr>
          <w:rFonts w:cs="Times New Roman"/>
          <w:vertAlign w:val="superscript"/>
          <w:lang w:val="fr-CA"/>
        </w:rPr>
        <w:t>me</w:t>
      </w:r>
      <w:r w:rsidRPr="0080058A">
        <w:rPr>
          <w:rFonts w:cs="Times New Roman"/>
          <w:lang w:val="fr-CA"/>
        </w:rPr>
        <w:t> Sidhu à la condition de recevoir de l</w:t>
      </w:r>
      <w:r>
        <w:rPr>
          <w:rFonts w:cs="Times New Roman"/>
          <w:lang w:val="fr-CA"/>
        </w:rPr>
        <w:t>’</w:t>
      </w:r>
      <w:r w:rsidRPr="0080058A">
        <w:rPr>
          <w:rFonts w:cs="Times New Roman"/>
          <w:lang w:val="fr-CA"/>
        </w:rPr>
        <w:t>Inde l</w:t>
      </w:r>
      <w:r>
        <w:rPr>
          <w:rFonts w:cs="Times New Roman"/>
          <w:lang w:val="fr-CA"/>
        </w:rPr>
        <w:t>’</w:t>
      </w:r>
      <w:r w:rsidRPr="0080058A">
        <w:rPr>
          <w:rFonts w:cs="Times New Roman"/>
          <w:lang w:val="fr-CA"/>
        </w:rPr>
        <w:t>assurance que M</w:t>
      </w:r>
      <w:r w:rsidRPr="0080058A">
        <w:rPr>
          <w:rFonts w:cs="Times New Roman"/>
          <w:vertAlign w:val="superscript"/>
          <w:lang w:val="fr-CA"/>
        </w:rPr>
        <w:t>me</w:t>
      </w:r>
      <w:r w:rsidRPr="0080058A">
        <w:rPr>
          <w:rFonts w:cs="Times New Roman"/>
          <w:lang w:val="fr-CA"/>
        </w:rPr>
        <w:t> Sidhu recevrait les soins médicaux et les médicaments dont elle aurait besoin pendant sa période de détention. Il s</w:t>
      </w:r>
      <w:r>
        <w:rPr>
          <w:rFonts w:cs="Times New Roman"/>
          <w:lang w:val="fr-CA"/>
        </w:rPr>
        <w:t>’</w:t>
      </w:r>
      <w:r w:rsidRPr="0080058A">
        <w:rPr>
          <w:rFonts w:cs="Times New Roman"/>
          <w:lang w:val="fr-CA"/>
        </w:rPr>
        <w:t>est dit convaincu que l</w:t>
      </w:r>
      <w:r>
        <w:rPr>
          <w:rFonts w:cs="Times New Roman"/>
          <w:lang w:val="fr-CA"/>
        </w:rPr>
        <w:t>’</w:t>
      </w:r>
      <w:r w:rsidRPr="0080058A">
        <w:rPr>
          <w:rFonts w:cs="Times New Roman"/>
          <w:lang w:val="fr-CA"/>
        </w:rPr>
        <w:t>Inde avait la capacité de respecter cette assurance</w:t>
      </w:r>
      <w:r>
        <w:rPr>
          <w:rFonts w:cs="Times New Roman"/>
          <w:lang w:val="fr-CA"/>
        </w:rPr>
        <w:t>,</w:t>
      </w:r>
      <w:r w:rsidRPr="0080058A">
        <w:rPr>
          <w:rFonts w:cs="Times New Roman"/>
          <w:lang w:val="fr-CA"/>
        </w:rPr>
        <w:t xml:space="preserve"> </w:t>
      </w:r>
      <w:r>
        <w:rPr>
          <w:rFonts w:cs="Times New Roman"/>
          <w:lang w:val="fr-CA"/>
        </w:rPr>
        <w:t xml:space="preserve">à la lumière des </w:t>
      </w:r>
      <w:r w:rsidRPr="0080058A">
        <w:rPr>
          <w:rFonts w:cs="Times New Roman"/>
          <w:lang w:val="fr-CA"/>
        </w:rPr>
        <w:t>renseignements fournis par le MAE et le ministère c</w:t>
      </w:r>
      <w:r>
        <w:rPr>
          <w:rFonts w:cs="Times New Roman"/>
          <w:lang w:val="fr-CA"/>
        </w:rPr>
        <w:t>anadien des Affaires étrangères</w:t>
      </w:r>
      <w:r w:rsidRPr="0080058A">
        <w:rPr>
          <w:rFonts w:cs="Times New Roman"/>
          <w:lang w:val="fr-CA"/>
        </w:rPr>
        <w:t xml:space="preserve">. Le </w:t>
      </w:r>
      <w:r>
        <w:rPr>
          <w:rFonts w:cs="Times New Roman"/>
          <w:lang w:val="fr-CA"/>
        </w:rPr>
        <w:t>m</w:t>
      </w:r>
      <w:r w:rsidRPr="0080058A">
        <w:rPr>
          <w:rFonts w:cs="Times New Roman"/>
          <w:lang w:val="fr-CA"/>
        </w:rPr>
        <w:t>inistre a également fait observer qu</w:t>
      </w:r>
      <w:r>
        <w:rPr>
          <w:rFonts w:cs="Times New Roman"/>
          <w:lang w:val="fr-CA"/>
        </w:rPr>
        <w:t>’il existait, dans l</w:t>
      </w:r>
      <w:r w:rsidRPr="0080058A">
        <w:rPr>
          <w:rFonts w:cs="Times New Roman"/>
          <w:lang w:val="fr-CA"/>
        </w:rPr>
        <w:t>e</w:t>
      </w:r>
      <w:r>
        <w:rPr>
          <w:rFonts w:cs="Times New Roman"/>
          <w:lang w:val="fr-CA"/>
        </w:rPr>
        <w:t xml:space="preserve"> cas de</w:t>
      </w:r>
      <w:r w:rsidRPr="0080058A">
        <w:rPr>
          <w:rFonts w:cs="Times New Roman"/>
          <w:lang w:val="fr-CA"/>
        </w:rPr>
        <w:t xml:space="preserve"> M</w:t>
      </w:r>
      <w:r w:rsidRPr="0080058A">
        <w:rPr>
          <w:rFonts w:cs="Times New Roman"/>
          <w:vertAlign w:val="superscript"/>
          <w:lang w:val="fr-CA"/>
        </w:rPr>
        <w:t>me</w:t>
      </w:r>
      <w:r w:rsidRPr="0080058A">
        <w:rPr>
          <w:rFonts w:cs="Times New Roman"/>
          <w:lang w:val="fr-CA"/>
        </w:rPr>
        <w:t> Sidhu</w:t>
      </w:r>
      <w:r>
        <w:rPr>
          <w:rFonts w:cs="Times New Roman"/>
          <w:lang w:val="fr-CA"/>
        </w:rPr>
        <w:t xml:space="preserve">, les </w:t>
      </w:r>
      <w:r w:rsidRPr="0080058A">
        <w:rPr>
          <w:rFonts w:cs="Times New Roman"/>
          <w:lang w:val="fr-CA"/>
        </w:rPr>
        <w:t xml:space="preserve">mêmes </w:t>
      </w:r>
      <w:r>
        <w:rPr>
          <w:rFonts w:cs="Times New Roman"/>
          <w:lang w:val="fr-CA"/>
        </w:rPr>
        <w:t xml:space="preserve">recours </w:t>
      </w:r>
      <w:r w:rsidRPr="0080058A">
        <w:rPr>
          <w:rFonts w:cs="Times New Roman"/>
          <w:lang w:val="fr-CA"/>
        </w:rPr>
        <w:t xml:space="preserve">que ceux </w:t>
      </w:r>
      <w:r>
        <w:rPr>
          <w:rFonts w:cs="Times New Roman"/>
          <w:lang w:val="fr-CA"/>
        </w:rPr>
        <w:t xml:space="preserve">dont on pouvait se prévaloir </w:t>
      </w:r>
      <w:r w:rsidRPr="0080058A">
        <w:rPr>
          <w:rFonts w:cs="Times New Roman"/>
          <w:lang w:val="fr-CA"/>
        </w:rPr>
        <w:t xml:space="preserve">pour </w:t>
      </w:r>
      <w:r>
        <w:rPr>
          <w:rFonts w:cs="Times New Roman"/>
          <w:lang w:val="fr-CA"/>
        </w:rPr>
        <w:t xml:space="preserve">faire respecter les </w:t>
      </w:r>
      <w:r w:rsidRPr="0080058A">
        <w:rPr>
          <w:rFonts w:cs="Times New Roman"/>
          <w:lang w:val="fr-CA"/>
        </w:rPr>
        <w:t>assurances</w:t>
      </w:r>
      <w:r>
        <w:rPr>
          <w:rFonts w:cs="Times New Roman"/>
          <w:lang w:val="fr-CA"/>
        </w:rPr>
        <w:t xml:space="preserve"> données dans le </w:t>
      </w:r>
      <w:r w:rsidRPr="0080058A">
        <w:rPr>
          <w:rFonts w:cs="Times New Roman"/>
          <w:lang w:val="fr-CA"/>
        </w:rPr>
        <w:t xml:space="preserve">cas </w:t>
      </w:r>
      <w:r>
        <w:rPr>
          <w:rFonts w:cs="Times New Roman"/>
          <w:lang w:val="fr-CA"/>
        </w:rPr>
        <w:t>de M. Badesha</w:t>
      </w:r>
      <w:r w:rsidRPr="0080058A">
        <w:rPr>
          <w:rFonts w:cs="Times New Roman"/>
          <w:lang w:val="fr-CA"/>
        </w:rPr>
        <w:t xml:space="preserve">. </w:t>
      </w:r>
    </w:p>
    <w:p w:rsidR="00361B98" w:rsidRPr="0080058A" w:rsidRDefault="00361B98" w:rsidP="002B69A7">
      <w:pPr>
        <w:pStyle w:val="ParaNoNdepar-AltN"/>
        <w:widowControl w:val="0"/>
        <w:rPr>
          <w:rFonts w:cs="Times New Roman"/>
          <w:lang w:val="fr-CA"/>
        </w:rPr>
      </w:pPr>
      <w:r w:rsidRPr="0080058A">
        <w:rPr>
          <w:rFonts w:cs="Times New Roman"/>
          <w:lang w:val="fr-CA"/>
        </w:rPr>
        <w:t>En ce qui concerne la solidité d</w:t>
      </w:r>
      <w:r>
        <w:rPr>
          <w:rFonts w:cs="Times New Roman"/>
          <w:lang w:val="fr-CA"/>
        </w:rPr>
        <w:t xml:space="preserve">e la preuve </w:t>
      </w:r>
      <w:r w:rsidRPr="0080058A">
        <w:rPr>
          <w:rFonts w:cs="Times New Roman"/>
          <w:lang w:val="fr-CA"/>
        </w:rPr>
        <w:t>contre M</w:t>
      </w:r>
      <w:r w:rsidRPr="0080058A">
        <w:rPr>
          <w:rFonts w:cs="Times New Roman"/>
          <w:vertAlign w:val="superscript"/>
          <w:lang w:val="fr-CA"/>
        </w:rPr>
        <w:t>me</w:t>
      </w:r>
      <w:r w:rsidRPr="0080058A">
        <w:rPr>
          <w:rFonts w:cs="Times New Roman"/>
          <w:lang w:val="fr-CA"/>
        </w:rPr>
        <w:t xml:space="preserve"> Sidhu, le </w:t>
      </w:r>
      <w:r>
        <w:rPr>
          <w:rFonts w:cs="Times New Roman"/>
          <w:lang w:val="fr-CA"/>
        </w:rPr>
        <w:t>m</w:t>
      </w:r>
      <w:r w:rsidRPr="0080058A">
        <w:rPr>
          <w:rFonts w:cs="Times New Roman"/>
          <w:lang w:val="fr-CA"/>
        </w:rPr>
        <w:t xml:space="preserve">inistre a </w:t>
      </w:r>
      <w:r>
        <w:rPr>
          <w:rFonts w:cs="Times New Roman"/>
          <w:lang w:val="fr-CA"/>
        </w:rPr>
        <w:t xml:space="preserve">décidé qu’une preuve suffisante appuyait </w:t>
      </w:r>
      <w:r w:rsidRPr="0080058A">
        <w:rPr>
          <w:rFonts w:cs="Times New Roman"/>
          <w:lang w:val="fr-CA"/>
        </w:rPr>
        <w:t>les allégations formulées par l</w:t>
      </w:r>
      <w:r>
        <w:rPr>
          <w:rFonts w:cs="Times New Roman"/>
          <w:lang w:val="fr-CA"/>
        </w:rPr>
        <w:t>’</w:t>
      </w:r>
      <w:r w:rsidRPr="0080058A">
        <w:rPr>
          <w:rFonts w:cs="Times New Roman"/>
          <w:lang w:val="fr-CA"/>
        </w:rPr>
        <w:t>Inde contre M</w:t>
      </w:r>
      <w:r w:rsidRPr="0080058A">
        <w:rPr>
          <w:rFonts w:cs="Times New Roman"/>
          <w:vertAlign w:val="superscript"/>
          <w:lang w:val="fr-CA"/>
        </w:rPr>
        <w:t>me</w:t>
      </w:r>
      <w:r w:rsidRPr="0080058A">
        <w:rPr>
          <w:rFonts w:cs="Times New Roman"/>
          <w:lang w:val="fr-CA"/>
        </w:rPr>
        <w:t xml:space="preserve"> Sidhu et que </w:t>
      </w:r>
      <w:r>
        <w:rPr>
          <w:rFonts w:cs="Times New Roman"/>
          <w:lang w:val="fr-CA"/>
        </w:rPr>
        <w:t xml:space="preserve">cette dernière </w:t>
      </w:r>
      <w:r w:rsidRPr="0080058A">
        <w:rPr>
          <w:rFonts w:cs="Times New Roman"/>
          <w:lang w:val="fr-CA"/>
        </w:rPr>
        <w:t xml:space="preserve">disposait de recours procéduraux et légaux </w:t>
      </w:r>
      <w:r>
        <w:rPr>
          <w:rFonts w:cs="Times New Roman"/>
          <w:lang w:val="fr-CA"/>
        </w:rPr>
        <w:t xml:space="preserve">adéquats </w:t>
      </w:r>
      <w:r>
        <w:rPr>
          <w:rFonts w:cs="Times New Roman"/>
          <w:lang w:val="fr-CA"/>
        </w:rPr>
        <w:lastRenderedPageBreak/>
        <w:t xml:space="preserve">lui permettant de </w:t>
      </w:r>
      <w:r w:rsidRPr="0080058A">
        <w:rPr>
          <w:rFonts w:cs="Times New Roman"/>
          <w:lang w:val="fr-CA"/>
        </w:rPr>
        <w:t>présenter des éléments de preuve en Inde.</w:t>
      </w:r>
    </w:p>
    <w:p w:rsidR="00361B98" w:rsidRPr="0080058A" w:rsidRDefault="00361B98" w:rsidP="002B69A7">
      <w:pPr>
        <w:pStyle w:val="ParaNoNdepar-AltN"/>
        <w:widowControl w:val="0"/>
        <w:rPr>
          <w:rFonts w:cs="Times New Roman"/>
          <w:lang w:val="fr-CA"/>
        </w:rPr>
      </w:pPr>
      <w:r>
        <w:rPr>
          <w:rFonts w:cs="Times New Roman"/>
          <w:lang w:val="fr-CA"/>
        </w:rPr>
        <w:t xml:space="preserve">Pour ce qui est du retard des </w:t>
      </w:r>
      <w:r w:rsidRPr="0080058A">
        <w:rPr>
          <w:rFonts w:cs="Times New Roman"/>
          <w:lang w:val="fr-CA"/>
        </w:rPr>
        <w:t>autorités indiennes</w:t>
      </w:r>
      <w:r>
        <w:rPr>
          <w:rFonts w:cs="Times New Roman"/>
          <w:lang w:val="fr-CA"/>
        </w:rPr>
        <w:t xml:space="preserve"> à </w:t>
      </w:r>
      <w:r w:rsidRPr="0080058A">
        <w:rPr>
          <w:rFonts w:cs="Times New Roman"/>
          <w:lang w:val="fr-CA"/>
        </w:rPr>
        <w:t>demander l</w:t>
      </w:r>
      <w:r>
        <w:rPr>
          <w:rFonts w:cs="Times New Roman"/>
          <w:lang w:val="fr-CA"/>
        </w:rPr>
        <w:t>’</w:t>
      </w:r>
      <w:r w:rsidRPr="0080058A">
        <w:rPr>
          <w:rFonts w:cs="Times New Roman"/>
          <w:lang w:val="fr-CA"/>
        </w:rPr>
        <w:t>extradition de M</w:t>
      </w:r>
      <w:r w:rsidRPr="0080058A">
        <w:rPr>
          <w:rFonts w:cs="Times New Roman"/>
          <w:vertAlign w:val="superscript"/>
          <w:lang w:val="fr-CA"/>
        </w:rPr>
        <w:t>me</w:t>
      </w:r>
      <w:r w:rsidRPr="0080058A">
        <w:rPr>
          <w:rFonts w:cs="Times New Roman"/>
          <w:lang w:val="fr-CA"/>
        </w:rPr>
        <w:t xml:space="preserve"> Sidhu, le </w:t>
      </w:r>
      <w:r>
        <w:rPr>
          <w:rFonts w:cs="Times New Roman"/>
          <w:lang w:val="fr-CA"/>
        </w:rPr>
        <w:t>m</w:t>
      </w:r>
      <w:r w:rsidRPr="0080058A">
        <w:rPr>
          <w:rFonts w:cs="Times New Roman"/>
          <w:lang w:val="fr-CA"/>
        </w:rPr>
        <w:t xml:space="preserve">inistre a </w:t>
      </w:r>
      <w:r>
        <w:rPr>
          <w:rFonts w:cs="Times New Roman"/>
          <w:lang w:val="fr-CA"/>
        </w:rPr>
        <w:t xml:space="preserve">conclu qu’elles l’avaient fait </w:t>
      </w:r>
      <w:r w:rsidRPr="0080058A">
        <w:rPr>
          <w:rFonts w:cs="Times New Roman"/>
          <w:lang w:val="fr-CA"/>
        </w:rPr>
        <w:t xml:space="preserve">de bonne foi et avec diligence raisonnable. </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Le </w:t>
      </w:r>
      <w:r>
        <w:rPr>
          <w:rFonts w:cs="Times New Roman"/>
          <w:lang w:val="fr-CA"/>
        </w:rPr>
        <w:t>m</w:t>
      </w:r>
      <w:r w:rsidRPr="0080058A">
        <w:rPr>
          <w:rFonts w:cs="Times New Roman"/>
          <w:lang w:val="fr-CA"/>
        </w:rPr>
        <w:t xml:space="preserve">inistre a </w:t>
      </w:r>
      <w:r>
        <w:rPr>
          <w:rFonts w:cs="Times New Roman"/>
          <w:lang w:val="fr-CA"/>
        </w:rPr>
        <w:t>par ailleurs jugé q</w:t>
      </w:r>
      <w:r w:rsidRPr="0080058A">
        <w:rPr>
          <w:rFonts w:cs="Times New Roman"/>
          <w:lang w:val="fr-CA"/>
        </w:rPr>
        <w:t>ue l</w:t>
      </w:r>
      <w:r>
        <w:rPr>
          <w:rFonts w:cs="Times New Roman"/>
          <w:lang w:val="fr-CA"/>
        </w:rPr>
        <w:t>’</w:t>
      </w:r>
      <w:r w:rsidRPr="0080058A">
        <w:rPr>
          <w:rFonts w:cs="Times New Roman"/>
          <w:lang w:val="fr-CA"/>
        </w:rPr>
        <w:t>extradition de M</w:t>
      </w:r>
      <w:r w:rsidRPr="0080058A">
        <w:rPr>
          <w:rFonts w:cs="Times New Roman"/>
          <w:vertAlign w:val="superscript"/>
          <w:lang w:val="fr-CA"/>
        </w:rPr>
        <w:t>me</w:t>
      </w:r>
      <w:r w:rsidRPr="0080058A">
        <w:rPr>
          <w:rFonts w:cs="Times New Roman"/>
          <w:lang w:val="fr-CA"/>
        </w:rPr>
        <w:t> Sidhu consti</w:t>
      </w:r>
      <w:r>
        <w:rPr>
          <w:rFonts w:cs="Times New Roman"/>
          <w:lang w:val="fr-CA"/>
        </w:rPr>
        <w:t>tuait une limite raisonnable à son droit garanti au par. </w:t>
      </w:r>
      <w:r w:rsidRPr="0080058A">
        <w:rPr>
          <w:rFonts w:cs="Times New Roman"/>
          <w:lang w:val="fr-CA"/>
        </w:rPr>
        <w:t xml:space="preserve">6(1) de la </w:t>
      </w:r>
      <w:r w:rsidRPr="0080058A">
        <w:rPr>
          <w:rFonts w:cs="Times New Roman"/>
          <w:i/>
          <w:lang w:val="fr-CA"/>
        </w:rPr>
        <w:t xml:space="preserve">Charte </w:t>
      </w:r>
      <w:r w:rsidRPr="0080058A">
        <w:rPr>
          <w:rFonts w:cs="Times New Roman"/>
          <w:lang w:val="fr-CA"/>
        </w:rPr>
        <w:t>de demeurer au Canada, essentiellement pour les mêmes motifs que ceux qu</w:t>
      </w:r>
      <w:r>
        <w:rPr>
          <w:rFonts w:cs="Times New Roman"/>
          <w:lang w:val="fr-CA"/>
        </w:rPr>
        <w:t>’</w:t>
      </w:r>
      <w:r w:rsidRPr="0080058A">
        <w:rPr>
          <w:rFonts w:cs="Times New Roman"/>
          <w:lang w:val="fr-CA"/>
        </w:rPr>
        <w:t xml:space="preserve">il avait </w:t>
      </w:r>
      <w:r>
        <w:rPr>
          <w:rFonts w:cs="Times New Roman"/>
          <w:lang w:val="fr-CA"/>
        </w:rPr>
        <w:t xml:space="preserve">exposés </w:t>
      </w:r>
      <w:r w:rsidRPr="0080058A">
        <w:rPr>
          <w:rFonts w:cs="Times New Roman"/>
          <w:lang w:val="fr-CA"/>
        </w:rPr>
        <w:t xml:space="preserve">dans le cas de M. Badesha. </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En dernière analyse, le </w:t>
      </w:r>
      <w:r>
        <w:rPr>
          <w:rFonts w:cs="Times New Roman"/>
          <w:lang w:val="fr-CA"/>
        </w:rPr>
        <w:t>m</w:t>
      </w:r>
      <w:r w:rsidRPr="0080058A">
        <w:rPr>
          <w:rFonts w:cs="Times New Roman"/>
          <w:lang w:val="fr-CA"/>
        </w:rPr>
        <w:t>inistre a conclu que l</w:t>
      </w:r>
      <w:r>
        <w:rPr>
          <w:rFonts w:cs="Times New Roman"/>
          <w:lang w:val="fr-CA"/>
        </w:rPr>
        <w:t>’</w:t>
      </w:r>
      <w:r w:rsidRPr="0080058A">
        <w:rPr>
          <w:rFonts w:cs="Times New Roman"/>
          <w:lang w:val="fr-CA"/>
        </w:rPr>
        <w:t>extradition de M</w:t>
      </w:r>
      <w:r w:rsidRPr="0080058A">
        <w:rPr>
          <w:rFonts w:cs="Times New Roman"/>
          <w:vertAlign w:val="superscript"/>
          <w:lang w:val="fr-CA"/>
        </w:rPr>
        <w:t>me</w:t>
      </w:r>
      <w:r w:rsidRPr="0080058A">
        <w:rPr>
          <w:rFonts w:cs="Times New Roman"/>
          <w:lang w:val="fr-CA"/>
        </w:rPr>
        <w:t xml:space="preserve"> Sidhu ne violerait pas les principes de justice fondamentale </w:t>
      </w:r>
      <w:r>
        <w:rPr>
          <w:rFonts w:cs="Times New Roman"/>
          <w:lang w:val="fr-CA"/>
        </w:rPr>
        <w:t xml:space="preserve">en contravention de l’art. 7 de la </w:t>
      </w:r>
      <w:r w:rsidRPr="00585701">
        <w:rPr>
          <w:rFonts w:cs="Times New Roman"/>
          <w:i/>
          <w:lang w:val="fr-CA"/>
        </w:rPr>
        <w:t>Charte</w:t>
      </w:r>
      <w:r>
        <w:rPr>
          <w:rFonts w:cs="Times New Roman"/>
          <w:lang w:val="fr-CA"/>
        </w:rPr>
        <w:t xml:space="preserve"> ou</w:t>
      </w:r>
      <w:r w:rsidRPr="0080058A">
        <w:rPr>
          <w:rFonts w:cs="Times New Roman"/>
          <w:lang w:val="fr-CA"/>
        </w:rPr>
        <w:t xml:space="preserve"> ne porterait pas </w:t>
      </w:r>
      <w:r>
        <w:rPr>
          <w:rFonts w:cs="Times New Roman"/>
          <w:lang w:val="fr-CA"/>
        </w:rPr>
        <w:t xml:space="preserve">indûment </w:t>
      </w:r>
      <w:r w:rsidRPr="0080058A">
        <w:rPr>
          <w:rFonts w:cs="Times New Roman"/>
          <w:lang w:val="fr-CA"/>
        </w:rPr>
        <w:t xml:space="preserve">atteinte au </w:t>
      </w:r>
      <w:r>
        <w:rPr>
          <w:rFonts w:cs="Times New Roman"/>
          <w:lang w:val="fr-CA"/>
        </w:rPr>
        <w:t>par. </w:t>
      </w:r>
      <w:r w:rsidRPr="0080058A">
        <w:rPr>
          <w:rFonts w:cs="Times New Roman"/>
          <w:lang w:val="fr-CA"/>
        </w:rPr>
        <w:t xml:space="preserve">6(1) de la </w:t>
      </w:r>
      <w:r w:rsidRPr="0080058A">
        <w:rPr>
          <w:rFonts w:cs="Times New Roman"/>
          <w:i/>
          <w:lang w:val="fr-CA"/>
        </w:rPr>
        <w:t>Charte</w:t>
      </w:r>
      <w:r w:rsidRPr="0080058A">
        <w:rPr>
          <w:rFonts w:cs="Times New Roman"/>
          <w:lang w:val="fr-CA"/>
        </w:rPr>
        <w:t xml:space="preserve">. </w:t>
      </w:r>
      <w:r>
        <w:rPr>
          <w:rFonts w:cs="Times New Roman"/>
          <w:lang w:val="fr-CA"/>
        </w:rPr>
        <w:t xml:space="preserve">De plus, compte tenu de l’affaire dans son </w:t>
      </w:r>
      <w:r w:rsidRPr="0080058A">
        <w:rPr>
          <w:rFonts w:cs="Times New Roman"/>
          <w:lang w:val="fr-CA"/>
        </w:rPr>
        <w:t>ensemble</w:t>
      </w:r>
      <w:r>
        <w:rPr>
          <w:rFonts w:cs="Times New Roman"/>
          <w:lang w:val="fr-CA"/>
        </w:rPr>
        <w:t xml:space="preserve">, </w:t>
      </w:r>
      <w:r w:rsidRPr="0080058A">
        <w:rPr>
          <w:rFonts w:cs="Times New Roman"/>
          <w:lang w:val="fr-CA"/>
        </w:rPr>
        <w:t>notamment de la gravité du crime reproché et de l</w:t>
      </w:r>
      <w:r>
        <w:rPr>
          <w:rFonts w:cs="Times New Roman"/>
          <w:lang w:val="fr-CA"/>
        </w:rPr>
        <w:t>’</w:t>
      </w:r>
      <w:r w:rsidRPr="0080058A">
        <w:rPr>
          <w:rFonts w:cs="Times New Roman"/>
          <w:lang w:val="fr-CA"/>
        </w:rPr>
        <w:t>intérêt manifeste qu</w:t>
      </w:r>
      <w:r>
        <w:rPr>
          <w:rFonts w:cs="Times New Roman"/>
          <w:lang w:val="fr-CA"/>
        </w:rPr>
        <w:t>’</w:t>
      </w:r>
      <w:r w:rsidRPr="0080058A">
        <w:rPr>
          <w:rFonts w:cs="Times New Roman"/>
          <w:lang w:val="fr-CA"/>
        </w:rPr>
        <w:t>avait l</w:t>
      </w:r>
      <w:r>
        <w:rPr>
          <w:rFonts w:cs="Times New Roman"/>
          <w:lang w:val="fr-CA"/>
        </w:rPr>
        <w:t>’</w:t>
      </w:r>
      <w:r w:rsidRPr="0080058A">
        <w:rPr>
          <w:rFonts w:cs="Times New Roman"/>
          <w:lang w:val="fr-CA"/>
        </w:rPr>
        <w:t xml:space="preserve">Inde à ce que le crime soit </w:t>
      </w:r>
      <w:r>
        <w:rPr>
          <w:rFonts w:cs="Times New Roman"/>
          <w:lang w:val="fr-CA"/>
        </w:rPr>
        <w:t>jugé sur son</w:t>
      </w:r>
      <w:r w:rsidRPr="0080058A">
        <w:rPr>
          <w:rFonts w:cs="Times New Roman"/>
          <w:lang w:val="fr-CA"/>
        </w:rPr>
        <w:t xml:space="preserve"> territoire, </w:t>
      </w:r>
      <w:r>
        <w:rPr>
          <w:rFonts w:cs="Times New Roman"/>
          <w:lang w:val="fr-CA"/>
        </w:rPr>
        <w:t xml:space="preserve">le ministre a conclu que </w:t>
      </w:r>
      <w:r w:rsidRPr="0080058A">
        <w:rPr>
          <w:rFonts w:cs="Times New Roman"/>
          <w:lang w:val="fr-CA"/>
        </w:rPr>
        <w:t>l</w:t>
      </w:r>
      <w:r>
        <w:rPr>
          <w:rFonts w:cs="Times New Roman"/>
          <w:lang w:val="fr-CA"/>
        </w:rPr>
        <w:t>’</w:t>
      </w:r>
      <w:r w:rsidRPr="0080058A">
        <w:rPr>
          <w:rFonts w:cs="Times New Roman"/>
          <w:lang w:val="fr-CA"/>
        </w:rPr>
        <w:t>extradition de M</w:t>
      </w:r>
      <w:r w:rsidRPr="0080058A">
        <w:rPr>
          <w:rFonts w:cs="Times New Roman"/>
          <w:vertAlign w:val="superscript"/>
          <w:lang w:val="fr-CA"/>
        </w:rPr>
        <w:t>me</w:t>
      </w:r>
      <w:r w:rsidRPr="0080058A">
        <w:rPr>
          <w:rFonts w:cs="Times New Roman"/>
          <w:lang w:val="fr-CA"/>
        </w:rPr>
        <w:t xml:space="preserve"> Sidhu ne serait </w:t>
      </w:r>
      <w:r>
        <w:rPr>
          <w:rFonts w:cs="Times New Roman"/>
          <w:lang w:val="fr-CA"/>
        </w:rPr>
        <w:t xml:space="preserve">pas </w:t>
      </w:r>
      <w:r w:rsidRPr="0080058A">
        <w:rPr>
          <w:rFonts w:cs="Times New Roman"/>
          <w:lang w:val="fr-CA"/>
        </w:rPr>
        <w:t>par ailleurs</w:t>
      </w:r>
      <w:r>
        <w:rPr>
          <w:rFonts w:cs="Times New Roman"/>
          <w:lang w:val="fr-CA"/>
        </w:rPr>
        <w:t xml:space="preserve"> </w:t>
      </w:r>
      <w:r w:rsidRPr="0080058A">
        <w:rPr>
          <w:rFonts w:cs="Times New Roman"/>
          <w:lang w:val="fr-CA"/>
        </w:rPr>
        <w:t xml:space="preserve">injuste ou tyrannique. </w:t>
      </w:r>
    </w:p>
    <w:p w:rsidR="00361B98" w:rsidRPr="0080058A" w:rsidRDefault="00361B98" w:rsidP="002B69A7">
      <w:pPr>
        <w:pStyle w:val="Title2LevelTitre2Niveau"/>
        <w:widowControl w:val="0"/>
        <w:rPr>
          <w:rFonts w:cs="Times New Roman"/>
          <w:lang w:val="fr-CA"/>
        </w:rPr>
      </w:pPr>
      <w:r w:rsidRPr="0080058A">
        <w:rPr>
          <w:rFonts w:cs="Times New Roman"/>
          <w:lang w:val="fr-CA"/>
        </w:rPr>
        <w:t>La Cour d</w:t>
      </w:r>
      <w:r>
        <w:rPr>
          <w:rFonts w:cs="Times New Roman"/>
          <w:lang w:val="fr-CA"/>
        </w:rPr>
        <w:t>’</w:t>
      </w:r>
      <w:r w:rsidRPr="0080058A">
        <w:rPr>
          <w:rFonts w:cs="Times New Roman"/>
          <w:lang w:val="fr-CA"/>
        </w:rPr>
        <w:t xml:space="preserve">appel </w:t>
      </w:r>
      <w:r>
        <w:rPr>
          <w:rFonts w:cs="Times New Roman"/>
          <w:lang w:val="fr-CA"/>
        </w:rPr>
        <w:t>de la Colombie</w:t>
      </w:r>
      <w:r>
        <w:rPr>
          <w:rFonts w:cs="Times New Roman"/>
          <w:lang w:val="fr-CA"/>
        </w:rPr>
        <w:noBreakHyphen/>
        <w:t>Britannique, 2016 BCCA 88, 4 Admin. L.R. (6th) 280</w:t>
      </w:r>
    </w:p>
    <w:p w:rsidR="00361B98" w:rsidRPr="0080058A" w:rsidRDefault="00361B98" w:rsidP="002B69A7">
      <w:pPr>
        <w:pStyle w:val="Title3LevelTitre3Niveau"/>
        <w:widowControl w:val="0"/>
        <w:ind w:right="-84"/>
        <w:rPr>
          <w:rFonts w:cs="Times New Roman"/>
          <w:lang w:val="fr-CA"/>
        </w:rPr>
      </w:pPr>
      <w:r>
        <w:rPr>
          <w:rFonts w:cs="Times New Roman"/>
          <w:lang w:val="fr-CA"/>
        </w:rPr>
        <w:t>Le j</w:t>
      </w:r>
      <w:r w:rsidRPr="0080058A">
        <w:rPr>
          <w:rFonts w:cs="Times New Roman"/>
          <w:lang w:val="fr-CA"/>
        </w:rPr>
        <w:t>ugement de la majorité (le juge Donald</w:t>
      </w:r>
      <w:r>
        <w:rPr>
          <w:rFonts w:cs="Times New Roman"/>
          <w:lang w:val="fr-CA"/>
        </w:rPr>
        <w:t>,</w:t>
      </w:r>
      <w:r w:rsidRPr="0080058A">
        <w:rPr>
          <w:rFonts w:cs="Times New Roman"/>
          <w:lang w:val="fr-CA"/>
        </w:rPr>
        <w:t xml:space="preserve"> avec l</w:t>
      </w:r>
      <w:r>
        <w:rPr>
          <w:rFonts w:cs="Times New Roman"/>
          <w:lang w:val="fr-CA"/>
        </w:rPr>
        <w:t>’</w:t>
      </w:r>
      <w:r w:rsidRPr="0080058A">
        <w:rPr>
          <w:rFonts w:cs="Times New Roman"/>
          <w:lang w:val="fr-CA"/>
        </w:rPr>
        <w:t>appui de la juge Newbury)</w:t>
      </w:r>
    </w:p>
    <w:p w:rsidR="00361B98" w:rsidRPr="0080058A" w:rsidRDefault="00361B98" w:rsidP="002B69A7">
      <w:pPr>
        <w:pStyle w:val="ParaNoNdepar-AltN"/>
        <w:widowControl w:val="0"/>
        <w:rPr>
          <w:rFonts w:cs="Times New Roman"/>
          <w:lang w:val="fr-CA"/>
        </w:rPr>
      </w:pPr>
      <w:r w:rsidRPr="0080058A">
        <w:rPr>
          <w:rFonts w:cs="Times New Roman"/>
          <w:lang w:val="fr-CA"/>
        </w:rPr>
        <w:lastRenderedPageBreak/>
        <w:t>La Cour d</w:t>
      </w:r>
      <w:r>
        <w:rPr>
          <w:rFonts w:cs="Times New Roman"/>
          <w:lang w:val="fr-CA"/>
        </w:rPr>
        <w:t>’</w:t>
      </w:r>
      <w:r w:rsidRPr="0080058A">
        <w:rPr>
          <w:rFonts w:cs="Times New Roman"/>
          <w:lang w:val="fr-CA"/>
        </w:rPr>
        <w:t>appel a conclu, à la majorité, qu</w:t>
      </w:r>
      <w:r>
        <w:rPr>
          <w:rFonts w:cs="Times New Roman"/>
          <w:lang w:val="fr-CA"/>
        </w:rPr>
        <w:t>’</w:t>
      </w:r>
      <w:r w:rsidRPr="0080058A">
        <w:rPr>
          <w:rFonts w:cs="Times New Roman"/>
          <w:lang w:val="fr-CA"/>
        </w:rPr>
        <w:t xml:space="preserve">il était déraisonnable de la part du </w:t>
      </w:r>
      <w:r>
        <w:rPr>
          <w:rFonts w:cs="Times New Roman"/>
          <w:lang w:val="fr-CA"/>
        </w:rPr>
        <w:t>m</w:t>
      </w:r>
      <w:r w:rsidRPr="0080058A">
        <w:rPr>
          <w:rFonts w:cs="Times New Roman"/>
          <w:lang w:val="fr-CA"/>
        </w:rPr>
        <w:t>inistre de conclure que l</w:t>
      </w:r>
      <w:r>
        <w:rPr>
          <w:rFonts w:cs="Times New Roman"/>
          <w:lang w:val="fr-CA"/>
        </w:rPr>
        <w:t>’</w:t>
      </w:r>
      <w:r w:rsidRPr="0080058A">
        <w:rPr>
          <w:rFonts w:cs="Times New Roman"/>
          <w:lang w:val="fr-CA"/>
        </w:rPr>
        <w:t>extradition de M. Badesha et de M</w:t>
      </w:r>
      <w:r w:rsidRPr="0080058A">
        <w:rPr>
          <w:rFonts w:cs="Times New Roman"/>
          <w:vertAlign w:val="superscript"/>
          <w:lang w:val="fr-CA"/>
        </w:rPr>
        <w:t>me</w:t>
      </w:r>
      <w:r w:rsidRPr="0080058A">
        <w:rPr>
          <w:rFonts w:cs="Times New Roman"/>
          <w:lang w:val="fr-CA"/>
        </w:rPr>
        <w:t xml:space="preserve"> Sidhu ne serait pas injuste ou tyrannique </w:t>
      </w:r>
      <w:r>
        <w:rPr>
          <w:rFonts w:cs="Times New Roman"/>
          <w:lang w:val="fr-CA"/>
        </w:rPr>
        <w:t>dans l</w:t>
      </w:r>
      <w:r w:rsidRPr="0080058A">
        <w:rPr>
          <w:rFonts w:cs="Times New Roman"/>
          <w:lang w:val="fr-CA"/>
        </w:rPr>
        <w:t>es circonstances. Tout en reconnaissa</w:t>
      </w:r>
      <w:r>
        <w:rPr>
          <w:rFonts w:cs="Times New Roman"/>
          <w:lang w:val="fr-CA"/>
        </w:rPr>
        <w:t>n</w:t>
      </w:r>
      <w:r w:rsidRPr="0080058A">
        <w:rPr>
          <w:rFonts w:cs="Times New Roman"/>
          <w:lang w:val="fr-CA"/>
        </w:rPr>
        <w:t xml:space="preserve">t que la décision du </w:t>
      </w:r>
      <w:r>
        <w:rPr>
          <w:rFonts w:cs="Times New Roman"/>
          <w:lang w:val="fr-CA"/>
        </w:rPr>
        <w:t>m</w:t>
      </w:r>
      <w:r w:rsidRPr="0080058A">
        <w:rPr>
          <w:rFonts w:cs="Times New Roman"/>
          <w:lang w:val="fr-CA"/>
        </w:rPr>
        <w:t>inistre était assujetti</w:t>
      </w:r>
      <w:r>
        <w:rPr>
          <w:rFonts w:cs="Times New Roman"/>
          <w:lang w:val="fr-CA"/>
        </w:rPr>
        <w:t>e</w:t>
      </w:r>
      <w:r w:rsidRPr="0080058A">
        <w:rPr>
          <w:rFonts w:cs="Times New Roman"/>
          <w:lang w:val="fr-CA"/>
        </w:rPr>
        <w:t xml:space="preserve"> à la norme de la décision raisonnable, la majorité a maintenu que</w:t>
      </w:r>
      <w:r>
        <w:rPr>
          <w:rFonts w:cs="Times New Roman"/>
          <w:lang w:val="fr-CA"/>
        </w:rPr>
        <w:t>,</w:t>
      </w:r>
      <w:r w:rsidRPr="0080058A">
        <w:rPr>
          <w:rFonts w:cs="Times New Roman"/>
          <w:lang w:val="fr-CA"/>
        </w:rPr>
        <w:t xml:space="preserve"> pour </w:t>
      </w:r>
      <w:r>
        <w:rPr>
          <w:rFonts w:cs="Times New Roman"/>
          <w:lang w:val="fr-CA"/>
        </w:rPr>
        <w:t xml:space="preserve">qu’il </w:t>
      </w:r>
      <w:r w:rsidRPr="004A5754">
        <w:rPr>
          <w:rFonts w:cs="Times New Roman"/>
          <w:lang w:val="fr-CA"/>
        </w:rPr>
        <w:t xml:space="preserve">puisse </w:t>
      </w:r>
      <w:r>
        <w:rPr>
          <w:rFonts w:cs="Times New Roman"/>
          <w:lang w:val="fr-CA"/>
        </w:rPr>
        <w:t xml:space="preserve">raisonnablement </w:t>
      </w:r>
      <w:r w:rsidRPr="004A5754">
        <w:rPr>
          <w:rFonts w:cs="Times New Roman"/>
          <w:lang w:val="fr-CA"/>
        </w:rPr>
        <w:t>accepter les assurances diplomatiques de l</w:t>
      </w:r>
      <w:r>
        <w:rPr>
          <w:rFonts w:cs="Times New Roman"/>
          <w:lang w:val="fr-CA"/>
        </w:rPr>
        <w:t>’É</w:t>
      </w:r>
      <w:r w:rsidRPr="004A5754">
        <w:rPr>
          <w:rFonts w:cs="Times New Roman"/>
          <w:lang w:val="fr-CA"/>
        </w:rPr>
        <w:t xml:space="preserve">tat </w:t>
      </w:r>
      <w:r>
        <w:rPr>
          <w:rFonts w:cs="Times New Roman"/>
          <w:lang w:val="fr-CA"/>
        </w:rPr>
        <w:t>requérant</w:t>
      </w:r>
      <w:r w:rsidRPr="0080058A">
        <w:rPr>
          <w:rFonts w:cs="Times New Roman"/>
          <w:lang w:val="fr-CA"/>
        </w:rPr>
        <w:t>, les assurances devaient [</w:t>
      </w:r>
      <w:r w:rsidRPr="0080058A">
        <w:rPr>
          <w:rFonts w:cs="Times New Roman"/>
          <w:smallCaps/>
          <w:lang w:val="fr-CA"/>
        </w:rPr>
        <w:t>traduction</w:t>
      </w:r>
      <w:r>
        <w:rPr>
          <w:rFonts w:cs="Times New Roman"/>
          <w:lang w:val="fr-CA"/>
        </w:rPr>
        <w:t>] « contrer véritablement le risque</w:t>
      </w:r>
      <w:r w:rsidRPr="0080058A">
        <w:rPr>
          <w:rFonts w:cs="Times New Roman"/>
          <w:lang w:val="fr-CA"/>
        </w:rPr>
        <w:t xml:space="preserve"> qu</w:t>
      </w:r>
      <w:r>
        <w:rPr>
          <w:rFonts w:cs="Times New Roman"/>
          <w:lang w:val="fr-CA"/>
        </w:rPr>
        <w:t>’elles</w:t>
      </w:r>
      <w:r w:rsidRPr="0080058A">
        <w:rPr>
          <w:rFonts w:cs="Times New Roman"/>
          <w:lang w:val="fr-CA"/>
        </w:rPr>
        <w:t xml:space="preserve"> sont censé</w:t>
      </w:r>
      <w:r>
        <w:rPr>
          <w:rFonts w:cs="Times New Roman"/>
          <w:lang w:val="fr-CA"/>
        </w:rPr>
        <w:t>e</w:t>
      </w:r>
      <w:r w:rsidRPr="0080058A">
        <w:rPr>
          <w:rFonts w:cs="Times New Roman"/>
          <w:lang w:val="fr-CA"/>
        </w:rPr>
        <w:t>s atténuer »</w:t>
      </w:r>
      <w:r>
        <w:rPr>
          <w:rFonts w:cs="Times New Roman"/>
          <w:lang w:val="fr-CA"/>
        </w:rPr>
        <w:t xml:space="preserve"> (par. 37)</w:t>
      </w:r>
      <w:r w:rsidRPr="0080058A">
        <w:rPr>
          <w:rFonts w:cs="Times New Roman"/>
          <w:lang w:val="fr-CA"/>
        </w:rPr>
        <w:t xml:space="preserve">. </w:t>
      </w:r>
    </w:p>
    <w:p w:rsidR="00361B98" w:rsidRPr="0080058A" w:rsidRDefault="00361B98" w:rsidP="002B69A7">
      <w:pPr>
        <w:pStyle w:val="ParaNoNdepar-AltN"/>
        <w:widowControl w:val="0"/>
        <w:rPr>
          <w:rFonts w:cs="Times New Roman"/>
          <w:lang w:val="fr-CA"/>
        </w:rPr>
      </w:pPr>
      <w:r w:rsidRPr="0080058A">
        <w:rPr>
          <w:rFonts w:cs="Times New Roman"/>
          <w:lang w:val="fr-CA"/>
        </w:rPr>
        <w:t>Les juges majoritaires ont fait observer qu</w:t>
      </w:r>
      <w:r>
        <w:rPr>
          <w:rFonts w:cs="Times New Roman"/>
          <w:lang w:val="fr-CA"/>
        </w:rPr>
        <w:t>’</w:t>
      </w:r>
      <w:r w:rsidRPr="0080058A">
        <w:rPr>
          <w:rFonts w:cs="Times New Roman"/>
          <w:lang w:val="fr-CA"/>
        </w:rPr>
        <w:t xml:space="preserve">il y avait </w:t>
      </w:r>
      <w:r>
        <w:rPr>
          <w:rFonts w:cs="Times New Roman"/>
          <w:lang w:val="fr-CA"/>
        </w:rPr>
        <w:t xml:space="preserve">une </w:t>
      </w:r>
      <w:r w:rsidRPr="0080058A">
        <w:rPr>
          <w:rFonts w:cs="Times New Roman"/>
          <w:lang w:val="fr-CA"/>
        </w:rPr>
        <w:t>[</w:t>
      </w:r>
      <w:r w:rsidRPr="0080058A">
        <w:rPr>
          <w:rFonts w:cs="Times New Roman"/>
          <w:smallCaps/>
          <w:lang w:val="fr-CA"/>
        </w:rPr>
        <w:t>traduction</w:t>
      </w:r>
      <w:r w:rsidRPr="0080058A">
        <w:rPr>
          <w:rFonts w:cs="Times New Roman"/>
          <w:lang w:val="fr-CA"/>
        </w:rPr>
        <w:t>] « raison</w:t>
      </w:r>
      <w:r>
        <w:rPr>
          <w:rFonts w:cs="Times New Roman"/>
          <w:lang w:val="fr-CA"/>
        </w:rPr>
        <w:t xml:space="preserve"> valable</w:t>
      </w:r>
      <w:r w:rsidRPr="0080058A">
        <w:rPr>
          <w:rFonts w:cs="Times New Roman"/>
          <w:lang w:val="fr-CA"/>
        </w:rPr>
        <w:t xml:space="preserve"> de craindre » que M. Badesha et M</w:t>
      </w:r>
      <w:r w:rsidRPr="0080058A">
        <w:rPr>
          <w:rFonts w:cs="Times New Roman"/>
          <w:vertAlign w:val="superscript"/>
          <w:lang w:val="fr-CA"/>
        </w:rPr>
        <w:t>me</w:t>
      </w:r>
      <w:r w:rsidRPr="0080058A">
        <w:rPr>
          <w:rFonts w:cs="Times New Roman"/>
          <w:lang w:val="fr-CA"/>
        </w:rPr>
        <w:t> Sidhu</w:t>
      </w:r>
      <w:r>
        <w:rPr>
          <w:rFonts w:cs="Times New Roman"/>
          <w:lang w:val="fr-CA"/>
        </w:rPr>
        <w:t xml:space="preserve"> soient victimes </w:t>
      </w:r>
      <w:r w:rsidRPr="0080058A">
        <w:rPr>
          <w:rFonts w:cs="Times New Roman"/>
          <w:lang w:val="fr-CA"/>
        </w:rPr>
        <w:t>de violences, de torture ou de négligence en Inde s</w:t>
      </w:r>
      <w:r>
        <w:rPr>
          <w:rFonts w:cs="Times New Roman"/>
          <w:lang w:val="fr-CA"/>
        </w:rPr>
        <w:t>’</w:t>
      </w:r>
      <w:r w:rsidRPr="0080058A">
        <w:rPr>
          <w:rFonts w:cs="Times New Roman"/>
          <w:lang w:val="fr-CA"/>
        </w:rPr>
        <w:t xml:space="preserve">ils étaient </w:t>
      </w:r>
      <w:r>
        <w:rPr>
          <w:rFonts w:cs="Times New Roman"/>
          <w:lang w:val="fr-CA"/>
        </w:rPr>
        <w:t>livrés aux autorités indiennes (par. 50)</w:t>
      </w:r>
      <w:r w:rsidRPr="0080058A">
        <w:rPr>
          <w:rFonts w:cs="Times New Roman"/>
          <w:lang w:val="fr-CA"/>
        </w:rPr>
        <w:t>. De l</w:t>
      </w:r>
      <w:r>
        <w:rPr>
          <w:rFonts w:cs="Times New Roman"/>
          <w:lang w:val="fr-CA"/>
        </w:rPr>
        <w:t>’</w:t>
      </w:r>
      <w:r w:rsidRPr="0080058A">
        <w:rPr>
          <w:rFonts w:cs="Times New Roman"/>
          <w:lang w:val="fr-CA"/>
        </w:rPr>
        <w:t xml:space="preserve">avis des juges majoritaires, le </w:t>
      </w:r>
      <w:r>
        <w:rPr>
          <w:rFonts w:cs="Times New Roman"/>
          <w:lang w:val="fr-CA"/>
        </w:rPr>
        <w:t>m</w:t>
      </w:r>
      <w:r w:rsidRPr="0080058A">
        <w:rPr>
          <w:rFonts w:cs="Times New Roman"/>
          <w:lang w:val="fr-CA"/>
        </w:rPr>
        <w:t xml:space="preserve">inistre </w:t>
      </w:r>
      <w:r>
        <w:rPr>
          <w:rFonts w:cs="Times New Roman"/>
          <w:lang w:val="fr-CA"/>
        </w:rPr>
        <w:t xml:space="preserve">ne s’est pas demandé </w:t>
      </w:r>
      <w:r w:rsidRPr="0080058A">
        <w:rPr>
          <w:rFonts w:cs="Times New Roman"/>
          <w:lang w:val="fr-CA"/>
        </w:rPr>
        <w:t>si les assurances données relativement à la santé et à la sécurité de M. Badesha et de M</w:t>
      </w:r>
      <w:r w:rsidRPr="0080058A">
        <w:rPr>
          <w:rFonts w:cs="Times New Roman"/>
          <w:vertAlign w:val="superscript"/>
          <w:lang w:val="fr-CA"/>
        </w:rPr>
        <w:t>me</w:t>
      </w:r>
      <w:r w:rsidRPr="0080058A">
        <w:rPr>
          <w:rFonts w:cs="Times New Roman"/>
          <w:lang w:val="fr-CA"/>
        </w:rPr>
        <w:t> Sidhu répondaient véritablement à ce</w:t>
      </w:r>
      <w:r>
        <w:rPr>
          <w:rFonts w:cs="Times New Roman"/>
          <w:lang w:val="fr-CA"/>
        </w:rPr>
        <w:t>tte</w:t>
      </w:r>
      <w:r w:rsidRPr="0080058A">
        <w:rPr>
          <w:rFonts w:cs="Times New Roman"/>
          <w:lang w:val="fr-CA"/>
        </w:rPr>
        <w:t xml:space="preserve"> préoccupation. Les assurances </w:t>
      </w:r>
      <w:r>
        <w:rPr>
          <w:rFonts w:cs="Times New Roman"/>
          <w:lang w:val="fr-CA"/>
        </w:rPr>
        <w:t xml:space="preserve">données </w:t>
      </w:r>
      <w:r w:rsidRPr="0080058A">
        <w:rPr>
          <w:rFonts w:cs="Times New Roman"/>
          <w:lang w:val="fr-CA"/>
        </w:rPr>
        <w:t>équivalaient à de</w:t>
      </w:r>
      <w:r>
        <w:rPr>
          <w:rFonts w:cs="Times New Roman"/>
          <w:lang w:val="fr-CA"/>
        </w:rPr>
        <w:t xml:space="preserve">s </w:t>
      </w:r>
      <w:r w:rsidRPr="0080058A">
        <w:rPr>
          <w:rFonts w:cs="Times New Roman"/>
          <w:lang w:val="fr-CA"/>
        </w:rPr>
        <w:t>promesses que les lois protégeant les prisonniers en Inde protégeraient M. Badesha et M</w:t>
      </w:r>
      <w:r w:rsidRPr="0080058A">
        <w:rPr>
          <w:rFonts w:cs="Times New Roman"/>
          <w:vertAlign w:val="superscript"/>
          <w:lang w:val="fr-CA"/>
        </w:rPr>
        <w:t>me</w:t>
      </w:r>
      <w:r w:rsidRPr="0080058A">
        <w:rPr>
          <w:rFonts w:cs="Times New Roman"/>
          <w:lang w:val="fr-CA"/>
        </w:rPr>
        <w:t xml:space="preserve"> Sidhu contre de mauvais traitements. Toutefois, les </w:t>
      </w:r>
      <w:r>
        <w:rPr>
          <w:rFonts w:cs="Times New Roman"/>
          <w:lang w:val="fr-CA"/>
        </w:rPr>
        <w:t xml:space="preserve">rapports présentés </w:t>
      </w:r>
      <w:r w:rsidRPr="0080058A">
        <w:rPr>
          <w:rFonts w:cs="Times New Roman"/>
          <w:lang w:val="fr-CA"/>
        </w:rPr>
        <w:t>par M. Badesha et M</w:t>
      </w:r>
      <w:r w:rsidRPr="0080058A">
        <w:rPr>
          <w:rFonts w:cs="Times New Roman"/>
          <w:vertAlign w:val="superscript"/>
          <w:lang w:val="fr-CA"/>
        </w:rPr>
        <w:t>me</w:t>
      </w:r>
      <w:r w:rsidRPr="0080058A">
        <w:rPr>
          <w:rFonts w:cs="Times New Roman"/>
          <w:lang w:val="fr-CA"/>
        </w:rPr>
        <w:t xml:space="preserve"> Sidhu </w:t>
      </w:r>
      <w:r>
        <w:rPr>
          <w:rFonts w:cs="Times New Roman"/>
          <w:lang w:val="fr-CA"/>
        </w:rPr>
        <w:t xml:space="preserve">faisaient état de violations </w:t>
      </w:r>
      <w:r w:rsidRPr="0080058A">
        <w:rPr>
          <w:rFonts w:cs="Times New Roman"/>
          <w:lang w:val="fr-CA"/>
        </w:rPr>
        <w:t xml:space="preserve">des droits de la personne </w:t>
      </w:r>
      <w:r>
        <w:rPr>
          <w:rFonts w:cs="Times New Roman"/>
          <w:lang w:val="fr-CA"/>
        </w:rPr>
        <w:t>qui s’étaient produites en dépit de ces</w:t>
      </w:r>
      <w:r w:rsidRPr="0080058A">
        <w:rPr>
          <w:rFonts w:cs="Times New Roman"/>
          <w:lang w:val="fr-CA"/>
        </w:rPr>
        <w:t xml:space="preserve"> lois. Le </w:t>
      </w:r>
      <w:r>
        <w:rPr>
          <w:rFonts w:cs="Times New Roman"/>
          <w:lang w:val="fr-CA"/>
        </w:rPr>
        <w:t>m</w:t>
      </w:r>
      <w:r w:rsidRPr="0080058A">
        <w:rPr>
          <w:rFonts w:cs="Times New Roman"/>
          <w:lang w:val="fr-CA"/>
        </w:rPr>
        <w:t>inistre ne s</w:t>
      </w:r>
      <w:r>
        <w:rPr>
          <w:rFonts w:cs="Times New Roman"/>
          <w:lang w:val="fr-CA"/>
        </w:rPr>
        <w:t>’</w:t>
      </w:r>
      <w:r w:rsidRPr="0080058A">
        <w:rPr>
          <w:rFonts w:cs="Times New Roman"/>
          <w:lang w:val="fr-CA"/>
        </w:rPr>
        <w:t>est pas demandé quelles mesures l</w:t>
      </w:r>
      <w:r>
        <w:rPr>
          <w:rFonts w:cs="Times New Roman"/>
          <w:lang w:val="fr-CA"/>
        </w:rPr>
        <w:t>’</w:t>
      </w:r>
      <w:r w:rsidRPr="0080058A">
        <w:rPr>
          <w:rFonts w:cs="Times New Roman"/>
          <w:lang w:val="fr-CA"/>
        </w:rPr>
        <w:t xml:space="preserve">Inde prévoyait prendre pour atténuer les risques de violence et de négligence </w:t>
      </w:r>
      <w:r>
        <w:rPr>
          <w:rFonts w:cs="Times New Roman"/>
          <w:lang w:val="fr-CA"/>
        </w:rPr>
        <w:t xml:space="preserve">auxquels seraient par conséquent exposés </w:t>
      </w:r>
      <w:r w:rsidRPr="0080058A">
        <w:rPr>
          <w:rFonts w:cs="Times New Roman"/>
          <w:lang w:val="fr-CA"/>
        </w:rPr>
        <w:t>M. Badesha et M</w:t>
      </w:r>
      <w:r w:rsidRPr="0080058A">
        <w:rPr>
          <w:rFonts w:cs="Times New Roman"/>
          <w:vertAlign w:val="superscript"/>
          <w:lang w:val="fr-CA"/>
        </w:rPr>
        <w:t>me</w:t>
      </w:r>
      <w:r w:rsidRPr="0080058A">
        <w:rPr>
          <w:rFonts w:cs="Times New Roman"/>
          <w:lang w:val="fr-CA"/>
        </w:rPr>
        <w:t xml:space="preserve"> Sidhu </w:t>
      </w:r>
      <w:r>
        <w:rPr>
          <w:rFonts w:cs="Times New Roman"/>
          <w:lang w:val="fr-CA"/>
        </w:rPr>
        <w:t xml:space="preserve">malgré </w:t>
      </w:r>
      <w:r w:rsidRPr="0080058A">
        <w:rPr>
          <w:rFonts w:cs="Times New Roman"/>
          <w:lang w:val="fr-CA"/>
        </w:rPr>
        <w:t>l</w:t>
      </w:r>
      <w:r>
        <w:rPr>
          <w:rFonts w:cs="Times New Roman"/>
          <w:lang w:val="fr-CA"/>
        </w:rPr>
        <w:t>’</w:t>
      </w:r>
      <w:r w:rsidRPr="0080058A">
        <w:rPr>
          <w:rFonts w:cs="Times New Roman"/>
          <w:lang w:val="fr-CA"/>
        </w:rPr>
        <w:t>existence de</w:t>
      </w:r>
      <w:r>
        <w:rPr>
          <w:rFonts w:cs="Times New Roman"/>
          <w:lang w:val="fr-CA"/>
        </w:rPr>
        <w:t xml:space="preserve"> ce</w:t>
      </w:r>
      <w:r w:rsidRPr="0080058A">
        <w:rPr>
          <w:rFonts w:cs="Times New Roman"/>
          <w:lang w:val="fr-CA"/>
        </w:rPr>
        <w:t>s lois. Il n</w:t>
      </w:r>
      <w:r>
        <w:rPr>
          <w:rFonts w:cs="Times New Roman"/>
          <w:lang w:val="fr-CA"/>
        </w:rPr>
        <w:t>’</w:t>
      </w:r>
      <w:r w:rsidRPr="0080058A">
        <w:rPr>
          <w:rFonts w:cs="Times New Roman"/>
          <w:lang w:val="fr-CA"/>
        </w:rPr>
        <w:t>a donc pas tenu compte de la capacité de l</w:t>
      </w:r>
      <w:r>
        <w:rPr>
          <w:rFonts w:cs="Times New Roman"/>
          <w:lang w:val="fr-CA"/>
        </w:rPr>
        <w:t>’</w:t>
      </w:r>
      <w:r w:rsidRPr="0080058A">
        <w:rPr>
          <w:rFonts w:cs="Times New Roman"/>
          <w:lang w:val="fr-CA"/>
        </w:rPr>
        <w:t xml:space="preserve">Inde de respecter les assurances données </w:t>
      </w:r>
      <w:r>
        <w:rPr>
          <w:rFonts w:cs="Times New Roman"/>
          <w:lang w:val="fr-CA"/>
        </w:rPr>
        <w:t xml:space="preserve">à propos </w:t>
      </w:r>
      <w:r w:rsidRPr="0080058A">
        <w:rPr>
          <w:rFonts w:cs="Times New Roman"/>
          <w:lang w:val="fr-CA"/>
        </w:rPr>
        <w:t>de la santé et de la sécurité de M. Badesha et de M</w:t>
      </w:r>
      <w:r w:rsidRPr="0080058A">
        <w:rPr>
          <w:rFonts w:cs="Times New Roman"/>
          <w:vertAlign w:val="superscript"/>
          <w:lang w:val="fr-CA"/>
        </w:rPr>
        <w:t>me</w:t>
      </w:r>
      <w:r w:rsidRPr="0080058A">
        <w:rPr>
          <w:rFonts w:cs="Times New Roman"/>
          <w:lang w:val="fr-CA"/>
        </w:rPr>
        <w:t xml:space="preserve"> Sidhu. La seule protection réaliste que les assurances </w:t>
      </w:r>
      <w:r>
        <w:rPr>
          <w:rFonts w:cs="Times New Roman"/>
          <w:lang w:val="fr-CA"/>
        </w:rPr>
        <w:t xml:space="preserve">donnaient </w:t>
      </w:r>
      <w:r w:rsidRPr="0080058A">
        <w:rPr>
          <w:rFonts w:cs="Times New Roman"/>
          <w:lang w:val="fr-CA"/>
        </w:rPr>
        <w:t xml:space="preserve">contre le </w:t>
      </w:r>
      <w:r w:rsidRPr="0080058A">
        <w:rPr>
          <w:rFonts w:cs="Times New Roman"/>
          <w:lang w:val="fr-CA"/>
        </w:rPr>
        <w:lastRenderedPageBreak/>
        <w:t>risque de torture ou de mauvais traitements était le contrôle consulaire</w:t>
      </w:r>
      <w:r>
        <w:rPr>
          <w:rFonts w:cs="Times New Roman"/>
          <w:lang w:val="fr-CA"/>
        </w:rPr>
        <w:t>,</w:t>
      </w:r>
      <w:r w:rsidRPr="0080058A">
        <w:rPr>
          <w:rFonts w:cs="Times New Roman"/>
          <w:lang w:val="fr-CA"/>
        </w:rPr>
        <w:t xml:space="preserve"> que la majorité a écarté</w:t>
      </w:r>
      <w:r>
        <w:rPr>
          <w:rFonts w:cs="Times New Roman"/>
          <w:lang w:val="fr-CA"/>
        </w:rPr>
        <w:t xml:space="preserve">, </w:t>
      </w:r>
      <w:r w:rsidRPr="0080058A">
        <w:rPr>
          <w:rFonts w:cs="Times New Roman"/>
          <w:lang w:val="fr-CA"/>
        </w:rPr>
        <w:t>le considérant comme une garantie insuffisante. En dernière analyse, les juges majoritaires ont conclu que [</w:t>
      </w:r>
      <w:r w:rsidRPr="0080058A">
        <w:rPr>
          <w:rFonts w:cs="Times New Roman"/>
          <w:smallCaps/>
          <w:lang w:val="fr-CA"/>
        </w:rPr>
        <w:t>traduction</w:t>
      </w:r>
      <w:r w:rsidRPr="0080058A">
        <w:rPr>
          <w:rFonts w:cs="Times New Roman"/>
          <w:lang w:val="fr-CA"/>
        </w:rPr>
        <w:t>] « les assurances données</w:t>
      </w:r>
      <w:r>
        <w:rPr>
          <w:rFonts w:cs="Times New Roman"/>
          <w:lang w:val="fr-CA"/>
        </w:rPr>
        <w:t xml:space="preserve"> en l’espèce</w:t>
      </w:r>
      <w:r w:rsidRPr="0080058A">
        <w:rPr>
          <w:rFonts w:cs="Times New Roman"/>
          <w:lang w:val="fr-CA"/>
        </w:rPr>
        <w:t xml:space="preserve"> au sujet de la santé et de la sécurité ne peuvent être raisonnablement acceptées »</w:t>
      </w:r>
      <w:r>
        <w:rPr>
          <w:rFonts w:cs="Times New Roman"/>
          <w:lang w:val="fr-CA"/>
        </w:rPr>
        <w:t xml:space="preserve"> et </w:t>
      </w:r>
      <w:r w:rsidRPr="0080058A">
        <w:rPr>
          <w:rFonts w:cs="Times New Roman"/>
          <w:lang w:val="fr-CA"/>
        </w:rPr>
        <w:t xml:space="preserve">que la décision du </w:t>
      </w:r>
      <w:r>
        <w:rPr>
          <w:rFonts w:cs="Times New Roman"/>
          <w:lang w:val="fr-CA"/>
        </w:rPr>
        <w:t>m</w:t>
      </w:r>
      <w:r w:rsidRPr="0080058A">
        <w:rPr>
          <w:rFonts w:cs="Times New Roman"/>
          <w:lang w:val="fr-CA"/>
        </w:rPr>
        <w:t xml:space="preserve">inistre </w:t>
      </w:r>
      <w:r>
        <w:rPr>
          <w:rFonts w:cs="Times New Roman"/>
          <w:lang w:val="fr-CA"/>
        </w:rPr>
        <w:t xml:space="preserve">était donc </w:t>
      </w:r>
      <w:r w:rsidRPr="0080058A">
        <w:rPr>
          <w:rFonts w:cs="Times New Roman"/>
          <w:lang w:val="fr-CA"/>
        </w:rPr>
        <w:t xml:space="preserve">déraisonnable </w:t>
      </w:r>
      <w:r>
        <w:rPr>
          <w:rFonts w:cs="Times New Roman"/>
          <w:lang w:val="fr-CA"/>
        </w:rPr>
        <w:t xml:space="preserve">dans les </w:t>
      </w:r>
      <w:r w:rsidRPr="0080058A">
        <w:rPr>
          <w:rFonts w:cs="Times New Roman"/>
          <w:lang w:val="fr-CA"/>
        </w:rPr>
        <w:t>circonstances</w:t>
      </w:r>
      <w:r>
        <w:rPr>
          <w:rFonts w:cs="Times New Roman"/>
          <w:lang w:val="fr-CA"/>
        </w:rPr>
        <w:t xml:space="preserve"> (par. 69)</w:t>
      </w:r>
      <w:r w:rsidRPr="0080058A">
        <w:rPr>
          <w:rFonts w:cs="Times New Roman"/>
          <w:lang w:val="fr-CA"/>
        </w:rPr>
        <w:t>.</w:t>
      </w:r>
    </w:p>
    <w:p w:rsidR="00361B98" w:rsidRPr="0080058A" w:rsidRDefault="00361B98" w:rsidP="002B69A7">
      <w:pPr>
        <w:pStyle w:val="Title3LevelTitre3Niveau"/>
        <w:widowControl w:val="0"/>
        <w:rPr>
          <w:rFonts w:cs="Times New Roman"/>
          <w:lang w:val="fr-CA"/>
        </w:rPr>
      </w:pPr>
      <w:r w:rsidRPr="0080058A">
        <w:rPr>
          <w:rFonts w:cs="Times New Roman"/>
          <w:lang w:val="fr-CA"/>
        </w:rPr>
        <w:t>Le</w:t>
      </w:r>
      <w:r>
        <w:rPr>
          <w:rFonts w:cs="Times New Roman"/>
          <w:lang w:val="fr-CA"/>
        </w:rPr>
        <w:t xml:space="preserve">s motifs </w:t>
      </w:r>
      <w:r w:rsidRPr="0080058A">
        <w:rPr>
          <w:rFonts w:cs="Times New Roman"/>
          <w:lang w:val="fr-CA"/>
        </w:rPr>
        <w:t>minoritaire</w:t>
      </w:r>
      <w:r>
        <w:rPr>
          <w:rFonts w:cs="Times New Roman"/>
          <w:lang w:val="fr-CA"/>
        </w:rPr>
        <w:t>s</w:t>
      </w:r>
      <w:r w:rsidRPr="0080058A">
        <w:rPr>
          <w:rFonts w:cs="Times New Roman"/>
          <w:lang w:val="fr-CA"/>
        </w:rPr>
        <w:t xml:space="preserve"> (le juge Goepel)</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Le juge Goepel, dissident, a </w:t>
      </w:r>
      <w:r>
        <w:rPr>
          <w:rFonts w:cs="Times New Roman"/>
          <w:lang w:val="fr-CA"/>
        </w:rPr>
        <w:t xml:space="preserve">conclu </w:t>
      </w:r>
      <w:r w:rsidRPr="0080058A">
        <w:rPr>
          <w:rFonts w:cs="Times New Roman"/>
          <w:lang w:val="fr-CA"/>
        </w:rPr>
        <w:t xml:space="preserve">que la décision du </w:t>
      </w:r>
      <w:r>
        <w:rPr>
          <w:rFonts w:cs="Times New Roman"/>
          <w:lang w:val="fr-CA"/>
        </w:rPr>
        <w:t>m</w:t>
      </w:r>
      <w:r w:rsidRPr="0080058A">
        <w:rPr>
          <w:rFonts w:cs="Times New Roman"/>
          <w:lang w:val="fr-CA"/>
        </w:rPr>
        <w:t>inistre d</w:t>
      </w:r>
      <w:r>
        <w:rPr>
          <w:rFonts w:cs="Times New Roman"/>
          <w:lang w:val="fr-CA"/>
        </w:rPr>
        <w:t>’</w:t>
      </w:r>
      <w:r w:rsidRPr="0080058A">
        <w:rPr>
          <w:rFonts w:cs="Times New Roman"/>
          <w:lang w:val="fr-CA"/>
        </w:rPr>
        <w:t>ordonner l</w:t>
      </w:r>
      <w:r>
        <w:rPr>
          <w:rFonts w:cs="Times New Roman"/>
          <w:lang w:val="fr-CA"/>
        </w:rPr>
        <w:t>’</w:t>
      </w:r>
      <w:r w:rsidRPr="0080058A">
        <w:rPr>
          <w:rFonts w:cs="Times New Roman"/>
          <w:lang w:val="fr-CA"/>
        </w:rPr>
        <w:t>extradition de M. Badesha et de M</w:t>
      </w:r>
      <w:r w:rsidRPr="0080058A">
        <w:rPr>
          <w:rFonts w:cs="Times New Roman"/>
          <w:vertAlign w:val="superscript"/>
          <w:lang w:val="fr-CA"/>
        </w:rPr>
        <w:t>me</w:t>
      </w:r>
      <w:r w:rsidRPr="0080058A">
        <w:rPr>
          <w:rFonts w:cs="Times New Roman"/>
          <w:lang w:val="fr-CA"/>
        </w:rPr>
        <w:t> Sidhu n</w:t>
      </w:r>
      <w:r>
        <w:rPr>
          <w:rFonts w:cs="Times New Roman"/>
          <w:lang w:val="fr-CA"/>
        </w:rPr>
        <w:t>’</w:t>
      </w:r>
      <w:r w:rsidRPr="0080058A">
        <w:rPr>
          <w:rFonts w:cs="Times New Roman"/>
          <w:lang w:val="fr-CA"/>
        </w:rPr>
        <w:t xml:space="preserve">était pas déraisonnable </w:t>
      </w:r>
      <w:r>
        <w:rPr>
          <w:rFonts w:cs="Times New Roman"/>
          <w:lang w:val="fr-CA"/>
        </w:rPr>
        <w:t xml:space="preserve">eu égard aux </w:t>
      </w:r>
      <w:r w:rsidRPr="0080058A">
        <w:rPr>
          <w:rFonts w:cs="Times New Roman"/>
          <w:lang w:val="fr-CA"/>
        </w:rPr>
        <w:t>assurances données par l</w:t>
      </w:r>
      <w:r>
        <w:rPr>
          <w:rFonts w:cs="Times New Roman"/>
          <w:lang w:val="fr-CA"/>
        </w:rPr>
        <w:t>’</w:t>
      </w:r>
      <w:r w:rsidRPr="0080058A">
        <w:rPr>
          <w:rFonts w:cs="Times New Roman"/>
          <w:lang w:val="fr-CA"/>
        </w:rPr>
        <w:t>Inde.</w:t>
      </w:r>
    </w:p>
    <w:p w:rsidR="00361B98" w:rsidRPr="0080058A" w:rsidRDefault="00361B98" w:rsidP="002B69A7">
      <w:pPr>
        <w:pStyle w:val="ParaNoNdepar-AltN"/>
        <w:widowControl w:val="0"/>
        <w:rPr>
          <w:rFonts w:cs="Times New Roman"/>
          <w:lang w:val="fr-CA"/>
        </w:rPr>
      </w:pPr>
      <w:r>
        <w:rPr>
          <w:rFonts w:cs="Times New Roman"/>
          <w:lang w:val="fr-CA"/>
        </w:rPr>
        <w:t>L</w:t>
      </w:r>
      <w:r w:rsidRPr="0080058A">
        <w:rPr>
          <w:rFonts w:cs="Times New Roman"/>
          <w:lang w:val="fr-CA"/>
        </w:rPr>
        <w:t xml:space="preserve">e juge Goepel </w:t>
      </w:r>
      <w:r>
        <w:rPr>
          <w:rFonts w:cs="Times New Roman"/>
          <w:lang w:val="fr-CA"/>
        </w:rPr>
        <w:t xml:space="preserve">s’est inscrit en faux contre l’opinion de </w:t>
      </w:r>
      <w:r w:rsidRPr="0080058A">
        <w:rPr>
          <w:rFonts w:cs="Times New Roman"/>
          <w:lang w:val="fr-CA"/>
        </w:rPr>
        <w:t xml:space="preserve">la majorité </w:t>
      </w:r>
      <w:r>
        <w:rPr>
          <w:rFonts w:cs="Times New Roman"/>
          <w:lang w:val="fr-CA"/>
        </w:rPr>
        <w:t xml:space="preserve">selon laquelle </w:t>
      </w:r>
      <w:r w:rsidRPr="0080058A">
        <w:rPr>
          <w:rFonts w:cs="Times New Roman"/>
          <w:lang w:val="fr-CA"/>
        </w:rPr>
        <w:t xml:space="preserve">le </w:t>
      </w:r>
      <w:r>
        <w:rPr>
          <w:rFonts w:cs="Times New Roman"/>
          <w:lang w:val="fr-CA"/>
        </w:rPr>
        <w:t>m</w:t>
      </w:r>
      <w:r w:rsidRPr="0080058A">
        <w:rPr>
          <w:rFonts w:cs="Times New Roman"/>
          <w:lang w:val="fr-CA"/>
        </w:rPr>
        <w:t xml:space="preserve">inistre avait commis une erreur en </w:t>
      </w:r>
      <w:r>
        <w:rPr>
          <w:rFonts w:cs="Times New Roman"/>
          <w:lang w:val="fr-CA"/>
        </w:rPr>
        <w:t xml:space="preserve">ne considérant pas que les </w:t>
      </w:r>
      <w:r w:rsidRPr="0080058A">
        <w:rPr>
          <w:rFonts w:cs="Times New Roman"/>
          <w:lang w:val="fr-CA"/>
        </w:rPr>
        <w:t>assurances données par l</w:t>
      </w:r>
      <w:r>
        <w:rPr>
          <w:rFonts w:cs="Times New Roman"/>
          <w:lang w:val="fr-CA"/>
        </w:rPr>
        <w:t>’</w:t>
      </w:r>
      <w:r w:rsidRPr="0080058A">
        <w:rPr>
          <w:rFonts w:cs="Times New Roman"/>
          <w:lang w:val="fr-CA"/>
        </w:rPr>
        <w:t xml:space="preserve">Inde ne </w:t>
      </w:r>
      <w:r>
        <w:rPr>
          <w:rFonts w:cs="Times New Roman"/>
          <w:lang w:val="fr-CA"/>
        </w:rPr>
        <w:t xml:space="preserve">contraient </w:t>
      </w:r>
      <w:r w:rsidRPr="0080058A">
        <w:rPr>
          <w:rFonts w:cs="Times New Roman"/>
          <w:lang w:val="fr-CA"/>
        </w:rPr>
        <w:t xml:space="preserve">pas véritablement </w:t>
      </w:r>
      <w:r>
        <w:rPr>
          <w:rFonts w:cs="Times New Roman"/>
          <w:lang w:val="fr-CA"/>
        </w:rPr>
        <w:t xml:space="preserve">les </w:t>
      </w:r>
      <w:r w:rsidRPr="0080058A">
        <w:rPr>
          <w:rFonts w:cs="Times New Roman"/>
          <w:lang w:val="fr-CA"/>
        </w:rPr>
        <w:t xml:space="preserve">risques pour la santé et la sécurité </w:t>
      </w:r>
      <w:r>
        <w:rPr>
          <w:rFonts w:cs="Times New Roman"/>
          <w:lang w:val="fr-CA"/>
        </w:rPr>
        <w:t xml:space="preserve">que couraient </w:t>
      </w:r>
      <w:r w:rsidRPr="0080058A">
        <w:rPr>
          <w:rFonts w:cs="Times New Roman"/>
          <w:lang w:val="fr-CA"/>
        </w:rPr>
        <w:t>M. Badesha et M</w:t>
      </w:r>
      <w:r w:rsidRPr="0080058A">
        <w:rPr>
          <w:rFonts w:cs="Times New Roman"/>
          <w:vertAlign w:val="superscript"/>
          <w:lang w:val="fr-CA"/>
        </w:rPr>
        <w:t>me</w:t>
      </w:r>
      <w:r w:rsidRPr="0080058A">
        <w:rPr>
          <w:rFonts w:cs="Times New Roman"/>
          <w:lang w:val="fr-CA"/>
        </w:rPr>
        <w:t xml:space="preserve"> Sidhu. </w:t>
      </w:r>
      <w:r>
        <w:rPr>
          <w:rFonts w:cs="Times New Roman"/>
          <w:lang w:val="fr-CA"/>
        </w:rPr>
        <w:t>Le m</w:t>
      </w:r>
      <w:r w:rsidRPr="0080058A">
        <w:rPr>
          <w:rFonts w:cs="Times New Roman"/>
          <w:lang w:val="fr-CA"/>
        </w:rPr>
        <w:t xml:space="preserve">inistre </w:t>
      </w:r>
      <w:r>
        <w:rPr>
          <w:rFonts w:cs="Times New Roman"/>
          <w:lang w:val="fr-CA"/>
        </w:rPr>
        <w:t xml:space="preserve">a pris connaissance des </w:t>
      </w:r>
      <w:r w:rsidRPr="0080058A">
        <w:rPr>
          <w:rFonts w:cs="Times New Roman"/>
          <w:lang w:val="fr-CA"/>
        </w:rPr>
        <w:t>rensei</w:t>
      </w:r>
      <w:r>
        <w:rPr>
          <w:rFonts w:cs="Times New Roman"/>
          <w:lang w:val="fr-CA"/>
        </w:rPr>
        <w:t>gnements fournis par le MAE</w:t>
      </w:r>
      <w:r w:rsidRPr="0080058A">
        <w:rPr>
          <w:rFonts w:cs="Times New Roman"/>
          <w:lang w:val="fr-CA"/>
        </w:rPr>
        <w:t xml:space="preserve"> de l</w:t>
      </w:r>
      <w:r>
        <w:rPr>
          <w:rFonts w:cs="Times New Roman"/>
          <w:lang w:val="fr-CA"/>
        </w:rPr>
        <w:t>’</w:t>
      </w:r>
      <w:r w:rsidRPr="0080058A">
        <w:rPr>
          <w:rFonts w:cs="Times New Roman"/>
          <w:lang w:val="fr-CA"/>
        </w:rPr>
        <w:t>Inde et le minist</w:t>
      </w:r>
      <w:r>
        <w:rPr>
          <w:rFonts w:cs="Times New Roman"/>
          <w:lang w:val="fr-CA"/>
        </w:rPr>
        <w:t>è</w:t>
      </w:r>
      <w:r w:rsidRPr="0080058A">
        <w:rPr>
          <w:rFonts w:cs="Times New Roman"/>
          <w:lang w:val="fr-CA"/>
        </w:rPr>
        <w:t>re canadien des Affaires étrangères</w:t>
      </w:r>
      <w:r>
        <w:rPr>
          <w:rFonts w:cs="Times New Roman"/>
          <w:lang w:val="fr-CA"/>
        </w:rPr>
        <w:t>,</w:t>
      </w:r>
      <w:r w:rsidRPr="0080058A">
        <w:rPr>
          <w:rFonts w:cs="Times New Roman"/>
          <w:lang w:val="fr-CA"/>
        </w:rPr>
        <w:t xml:space="preserve"> </w:t>
      </w:r>
      <w:r>
        <w:rPr>
          <w:rFonts w:cs="Times New Roman"/>
          <w:lang w:val="fr-CA"/>
        </w:rPr>
        <w:t xml:space="preserve">dans lesquels étaient expliqués </w:t>
      </w:r>
      <w:r w:rsidRPr="0080058A">
        <w:rPr>
          <w:rFonts w:cs="Times New Roman"/>
          <w:lang w:val="fr-CA"/>
        </w:rPr>
        <w:t xml:space="preserve">en détail les </w:t>
      </w:r>
      <w:r>
        <w:rPr>
          <w:rFonts w:cs="Times New Roman"/>
          <w:lang w:val="fr-CA"/>
        </w:rPr>
        <w:t xml:space="preserve">services </w:t>
      </w:r>
      <w:r w:rsidRPr="0080058A">
        <w:rPr>
          <w:rFonts w:cs="Times New Roman"/>
          <w:lang w:val="fr-CA"/>
        </w:rPr>
        <w:t xml:space="preserve">médicaux offerts dans les établissements </w:t>
      </w:r>
      <w:r>
        <w:rPr>
          <w:rFonts w:cs="Times New Roman"/>
          <w:lang w:val="fr-CA"/>
        </w:rPr>
        <w:t>carcéraux</w:t>
      </w:r>
      <w:r w:rsidRPr="0080058A">
        <w:rPr>
          <w:rFonts w:cs="Times New Roman"/>
          <w:lang w:val="fr-CA"/>
        </w:rPr>
        <w:t xml:space="preserve"> de l</w:t>
      </w:r>
      <w:r>
        <w:rPr>
          <w:rFonts w:cs="Times New Roman"/>
          <w:lang w:val="fr-CA"/>
        </w:rPr>
        <w:t>’</w:t>
      </w:r>
      <w:r w:rsidRPr="0080058A">
        <w:rPr>
          <w:rFonts w:cs="Times New Roman"/>
          <w:lang w:val="fr-CA"/>
        </w:rPr>
        <w:t xml:space="preserve">Inde. Dans les motifs </w:t>
      </w:r>
      <w:r>
        <w:rPr>
          <w:rFonts w:cs="Times New Roman"/>
          <w:lang w:val="fr-CA"/>
        </w:rPr>
        <w:t>de son arrêté d’</w:t>
      </w:r>
      <w:r w:rsidRPr="0080058A">
        <w:rPr>
          <w:rFonts w:cs="Times New Roman"/>
          <w:lang w:val="fr-CA"/>
        </w:rPr>
        <w:t xml:space="preserve">extradition </w:t>
      </w:r>
      <w:r>
        <w:rPr>
          <w:rFonts w:cs="Times New Roman"/>
          <w:lang w:val="fr-CA"/>
        </w:rPr>
        <w:t xml:space="preserve">visant </w:t>
      </w:r>
      <w:r w:rsidRPr="0080058A">
        <w:rPr>
          <w:rFonts w:cs="Times New Roman"/>
          <w:lang w:val="fr-CA"/>
        </w:rPr>
        <w:t>M</w:t>
      </w:r>
      <w:r w:rsidRPr="0080058A">
        <w:rPr>
          <w:rFonts w:cs="Times New Roman"/>
          <w:vertAlign w:val="superscript"/>
          <w:lang w:val="fr-CA"/>
        </w:rPr>
        <w:t>me</w:t>
      </w:r>
      <w:r w:rsidRPr="0080058A">
        <w:rPr>
          <w:rFonts w:cs="Times New Roman"/>
          <w:lang w:val="fr-CA"/>
        </w:rPr>
        <w:t xml:space="preserve"> Sidhu, le </w:t>
      </w:r>
      <w:r>
        <w:rPr>
          <w:rFonts w:cs="Times New Roman"/>
          <w:lang w:val="fr-CA"/>
        </w:rPr>
        <w:t>m</w:t>
      </w:r>
      <w:r w:rsidRPr="0080058A">
        <w:rPr>
          <w:rFonts w:cs="Times New Roman"/>
          <w:lang w:val="fr-CA"/>
        </w:rPr>
        <w:t xml:space="preserve">inistre </w:t>
      </w:r>
      <w:r>
        <w:rPr>
          <w:rFonts w:cs="Times New Roman"/>
          <w:lang w:val="fr-CA"/>
        </w:rPr>
        <w:t>concluait</w:t>
      </w:r>
      <w:r w:rsidRPr="0080058A">
        <w:rPr>
          <w:rFonts w:cs="Times New Roman"/>
          <w:lang w:val="fr-CA"/>
        </w:rPr>
        <w:t>,</w:t>
      </w:r>
      <w:r>
        <w:rPr>
          <w:rFonts w:cs="Times New Roman"/>
          <w:lang w:val="fr-CA"/>
        </w:rPr>
        <w:t xml:space="preserve"> sur la foi </w:t>
      </w:r>
      <w:r w:rsidRPr="0080058A">
        <w:rPr>
          <w:rFonts w:cs="Times New Roman"/>
          <w:lang w:val="fr-CA"/>
        </w:rPr>
        <w:t>de</w:t>
      </w:r>
      <w:r>
        <w:rPr>
          <w:rFonts w:cs="Times New Roman"/>
          <w:lang w:val="fr-CA"/>
        </w:rPr>
        <w:t xml:space="preserve"> cette information</w:t>
      </w:r>
      <w:r w:rsidRPr="0080058A">
        <w:rPr>
          <w:rFonts w:cs="Times New Roman"/>
          <w:lang w:val="fr-CA"/>
        </w:rPr>
        <w:t xml:space="preserve">, </w:t>
      </w:r>
      <w:r>
        <w:rPr>
          <w:rFonts w:cs="Times New Roman"/>
          <w:lang w:val="fr-CA"/>
        </w:rPr>
        <w:t xml:space="preserve">que </w:t>
      </w:r>
      <w:r w:rsidRPr="0080058A">
        <w:rPr>
          <w:rFonts w:cs="Times New Roman"/>
          <w:lang w:val="fr-CA"/>
        </w:rPr>
        <w:t>l</w:t>
      </w:r>
      <w:r>
        <w:rPr>
          <w:rFonts w:cs="Times New Roman"/>
          <w:lang w:val="fr-CA"/>
        </w:rPr>
        <w:t>’</w:t>
      </w:r>
      <w:r w:rsidRPr="0080058A">
        <w:rPr>
          <w:rFonts w:cs="Times New Roman"/>
          <w:lang w:val="fr-CA"/>
        </w:rPr>
        <w:t xml:space="preserve">Inde avait la capacité de respecter </w:t>
      </w:r>
      <w:r>
        <w:rPr>
          <w:rFonts w:cs="Times New Roman"/>
          <w:lang w:val="fr-CA"/>
        </w:rPr>
        <w:t>s</w:t>
      </w:r>
      <w:r w:rsidRPr="0080058A">
        <w:rPr>
          <w:rFonts w:cs="Times New Roman"/>
          <w:lang w:val="fr-CA"/>
        </w:rPr>
        <w:t xml:space="preserve">es assurances. Le </w:t>
      </w:r>
      <w:r>
        <w:rPr>
          <w:rFonts w:cs="Times New Roman"/>
          <w:lang w:val="fr-CA"/>
        </w:rPr>
        <w:t>m</w:t>
      </w:r>
      <w:r w:rsidRPr="0080058A">
        <w:rPr>
          <w:rFonts w:cs="Times New Roman"/>
          <w:lang w:val="fr-CA"/>
        </w:rPr>
        <w:t>inistre était convaincu que l</w:t>
      </w:r>
      <w:r>
        <w:rPr>
          <w:rFonts w:cs="Times New Roman"/>
          <w:lang w:val="fr-CA"/>
        </w:rPr>
        <w:t>’</w:t>
      </w:r>
      <w:r w:rsidRPr="0080058A">
        <w:rPr>
          <w:rFonts w:cs="Times New Roman"/>
          <w:lang w:val="fr-CA"/>
        </w:rPr>
        <w:t>Inde était déterminée à s</w:t>
      </w:r>
      <w:r>
        <w:rPr>
          <w:rFonts w:cs="Times New Roman"/>
          <w:lang w:val="fr-CA"/>
        </w:rPr>
        <w:t>’</w:t>
      </w:r>
      <w:r w:rsidRPr="0080058A">
        <w:rPr>
          <w:rFonts w:cs="Times New Roman"/>
          <w:lang w:val="fr-CA"/>
        </w:rPr>
        <w:t xml:space="preserve">attaquer au problème de la violence et de la torture dans les prisons indiennes. Il avait également tenu compte </w:t>
      </w:r>
      <w:r>
        <w:rPr>
          <w:rFonts w:cs="Times New Roman"/>
          <w:lang w:val="fr-CA"/>
        </w:rPr>
        <w:t xml:space="preserve">du fait que l’Inde avait intérêt, </w:t>
      </w:r>
      <w:r w:rsidRPr="0080058A">
        <w:rPr>
          <w:rFonts w:cs="Times New Roman"/>
          <w:lang w:val="fr-CA"/>
        </w:rPr>
        <w:t xml:space="preserve">sur le plan diplomatique, </w:t>
      </w:r>
      <w:r>
        <w:rPr>
          <w:rFonts w:cs="Times New Roman"/>
          <w:lang w:val="fr-CA"/>
        </w:rPr>
        <w:t xml:space="preserve">à respecter les assurances données et de la valeur accordée par </w:t>
      </w:r>
      <w:r w:rsidRPr="0080058A">
        <w:rPr>
          <w:rFonts w:cs="Times New Roman"/>
          <w:lang w:val="fr-CA"/>
        </w:rPr>
        <w:t xml:space="preserve">le Canada </w:t>
      </w:r>
      <w:r>
        <w:rPr>
          <w:rFonts w:cs="Times New Roman"/>
          <w:lang w:val="fr-CA"/>
        </w:rPr>
        <w:lastRenderedPageBreak/>
        <w:t xml:space="preserve">et l’Inde à leur relation </w:t>
      </w:r>
      <w:r w:rsidRPr="0080058A">
        <w:rPr>
          <w:rFonts w:cs="Times New Roman"/>
          <w:lang w:val="fr-CA"/>
        </w:rPr>
        <w:t xml:space="preserve">en tant que partenaires. </w:t>
      </w:r>
      <w:r>
        <w:rPr>
          <w:rFonts w:cs="Times New Roman"/>
          <w:lang w:val="fr-CA"/>
        </w:rPr>
        <w:t xml:space="preserve">Étant donné </w:t>
      </w:r>
      <w:r w:rsidRPr="0080058A">
        <w:rPr>
          <w:rFonts w:cs="Times New Roman"/>
          <w:lang w:val="fr-CA"/>
        </w:rPr>
        <w:t xml:space="preserve">ces considérations, on ne pouvait affirmer que le </w:t>
      </w:r>
      <w:r>
        <w:rPr>
          <w:rFonts w:cs="Times New Roman"/>
          <w:lang w:val="fr-CA"/>
        </w:rPr>
        <w:t>m</w:t>
      </w:r>
      <w:r w:rsidRPr="0080058A">
        <w:rPr>
          <w:rFonts w:cs="Times New Roman"/>
          <w:lang w:val="fr-CA"/>
        </w:rPr>
        <w:t>inistre n</w:t>
      </w:r>
      <w:r>
        <w:rPr>
          <w:rFonts w:cs="Times New Roman"/>
          <w:lang w:val="fr-CA"/>
        </w:rPr>
        <w:t>’</w:t>
      </w:r>
      <w:r w:rsidRPr="0080058A">
        <w:rPr>
          <w:rFonts w:cs="Times New Roman"/>
          <w:lang w:val="fr-CA"/>
        </w:rPr>
        <w:t>avait pas tenu compte de la capacité de l</w:t>
      </w:r>
      <w:r>
        <w:rPr>
          <w:rFonts w:cs="Times New Roman"/>
          <w:lang w:val="fr-CA"/>
        </w:rPr>
        <w:t>’</w:t>
      </w:r>
      <w:r w:rsidRPr="0080058A">
        <w:rPr>
          <w:rFonts w:cs="Times New Roman"/>
          <w:lang w:val="fr-CA"/>
        </w:rPr>
        <w:t>Inde de respecter ses assurances en ce qui concerne la santé et la sécurité de M. Badesha et de M</w:t>
      </w:r>
      <w:r w:rsidRPr="0080058A">
        <w:rPr>
          <w:rFonts w:cs="Times New Roman"/>
          <w:vertAlign w:val="superscript"/>
          <w:lang w:val="fr-CA"/>
        </w:rPr>
        <w:t>me</w:t>
      </w:r>
      <w:r w:rsidRPr="0080058A">
        <w:rPr>
          <w:rFonts w:cs="Times New Roman"/>
          <w:lang w:val="fr-CA"/>
        </w:rPr>
        <w:t xml:space="preserve"> Sidhu. </w:t>
      </w:r>
    </w:p>
    <w:p w:rsidR="00361B98" w:rsidRPr="0080058A" w:rsidRDefault="00361B98" w:rsidP="002B69A7">
      <w:pPr>
        <w:pStyle w:val="Title1LevelTitre1Niveau-AltL"/>
        <w:widowControl w:val="0"/>
        <w:rPr>
          <w:rFonts w:cs="Times New Roman"/>
          <w:lang w:val="fr-CA"/>
        </w:rPr>
      </w:pPr>
      <w:r w:rsidRPr="0080058A">
        <w:rPr>
          <w:rFonts w:cs="Times New Roman"/>
          <w:lang w:val="fr-CA"/>
        </w:rPr>
        <w:t>Analyse</w:t>
      </w:r>
    </w:p>
    <w:p w:rsidR="00361B98" w:rsidRPr="0080058A" w:rsidRDefault="00361B98" w:rsidP="002B69A7">
      <w:pPr>
        <w:pStyle w:val="Title2LevelTitre2Niveau"/>
        <w:widowControl w:val="0"/>
        <w:rPr>
          <w:rFonts w:cs="Times New Roman"/>
          <w:lang w:val="fr-CA"/>
        </w:rPr>
      </w:pPr>
      <w:r w:rsidRPr="0080058A">
        <w:rPr>
          <w:rFonts w:cs="Times New Roman"/>
          <w:lang w:val="fr-CA"/>
        </w:rPr>
        <w:t>Principes généraux du droit de l</w:t>
      </w:r>
      <w:r>
        <w:rPr>
          <w:rFonts w:cs="Times New Roman"/>
          <w:lang w:val="fr-CA"/>
        </w:rPr>
        <w:t>’</w:t>
      </w:r>
      <w:r w:rsidRPr="0080058A">
        <w:rPr>
          <w:rFonts w:cs="Times New Roman"/>
          <w:lang w:val="fr-CA"/>
        </w:rPr>
        <w:t xml:space="preserve">extradition </w:t>
      </w:r>
    </w:p>
    <w:p w:rsidR="00361B98" w:rsidRPr="0080058A" w:rsidRDefault="00361B98" w:rsidP="002B69A7">
      <w:pPr>
        <w:pStyle w:val="ParaNoNdepar-AltN"/>
        <w:widowControl w:val="0"/>
        <w:rPr>
          <w:rFonts w:cs="Times New Roman"/>
          <w:lang w:val="fr-CA"/>
        </w:rPr>
      </w:pPr>
      <w:r>
        <w:rPr>
          <w:lang w:val="fr-CA"/>
        </w:rPr>
        <w:t>Tout régime d’e</w:t>
      </w:r>
      <w:r w:rsidRPr="0080058A">
        <w:rPr>
          <w:lang w:val="fr-CA"/>
        </w:rPr>
        <w:t xml:space="preserve">xtradition repose sur le principe élémentaire selon lequel une personne </w:t>
      </w:r>
      <w:r>
        <w:rPr>
          <w:lang w:val="fr-CA"/>
        </w:rPr>
        <w:t xml:space="preserve">à qui on reproche d’avoir commis un crime dans un autre pays </w:t>
      </w:r>
      <w:r w:rsidRPr="0080058A">
        <w:rPr>
          <w:lang w:val="fr-CA"/>
        </w:rPr>
        <w:t>doit s</w:t>
      </w:r>
      <w:r>
        <w:rPr>
          <w:lang w:val="fr-CA"/>
        </w:rPr>
        <w:t>’</w:t>
      </w:r>
      <w:r w:rsidRPr="0080058A">
        <w:rPr>
          <w:lang w:val="fr-CA"/>
        </w:rPr>
        <w:t>a</w:t>
      </w:r>
      <w:r>
        <w:rPr>
          <w:lang w:val="fr-CA"/>
        </w:rPr>
        <w:t xml:space="preserve">ttendre à devoir répondre de sa conduite </w:t>
      </w:r>
      <w:r w:rsidRPr="0080058A">
        <w:rPr>
          <w:lang w:val="fr-CA"/>
        </w:rPr>
        <w:t>devant la justice de ce pays (</w:t>
      </w:r>
      <w:r w:rsidRPr="0080058A">
        <w:rPr>
          <w:i/>
          <w:iCs/>
          <w:lang w:val="fr-CA"/>
        </w:rPr>
        <w:t>États</w:t>
      </w:r>
      <w:r>
        <w:rPr>
          <w:i/>
          <w:iCs/>
          <w:lang w:val="fr-CA"/>
        </w:rPr>
        <w:noBreakHyphen/>
      </w:r>
      <w:r w:rsidRPr="0080058A">
        <w:rPr>
          <w:i/>
          <w:iCs/>
          <w:lang w:val="fr-CA"/>
        </w:rPr>
        <w:t>Unis c. Burns</w:t>
      </w:r>
      <w:r w:rsidRPr="0080058A">
        <w:rPr>
          <w:lang w:val="fr-CA"/>
        </w:rPr>
        <w:t xml:space="preserve">, 2001 CSC 7, </w:t>
      </w:r>
      <w:r w:rsidRPr="0080058A">
        <w:rPr>
          <w:rStyle w:val="reflex3-alt"/>
          <w:lang w:val="fr-CA"/>
        </w:rPr>
        <w:t>[2001] 1 R.C.S. 283</w:t>
      </w:r>
      <w:r w:rsidRPr="0080058A">
        <w:rPr>
          <w:lang w:val="fr-CA"/>
        </w:rPr>
        <w:t xml:space="preserve">, </w:t>
      </w:r>
      <w:r>
        <w:rPr>
          <w:lang w:val="fr-CA"/>
        </w:rPr>
        <w:t>par. </w:t>
      </w:r>
      <w:r w:rsidRPr="0080058A">
        <w:rPr>
          <w:lang w:val="fr-CA"/>
        </w:rPr>
        <w:t>72). Ainsi que le juge Cromwell l</w:t>
      </w:r>
      <w:r>
        <w:rPr>
          <w:lang w:val="fr-CA"/>
        </w:rPr>
        <w:t>’</w:t>
      </w:r>
      <w:r w:rsidRPr="0080058A">
        <w:rPr>
          <w:lang w:val="fr-CA"/>
        </w:rPr>
        <w:t>a expliqué dans l</w:t>
      </w:r>
      <w:r>
        <w:rPr>
          <w:lang w:val="fr-CA"/>
        </w:rPr>
        <w:t>’</w:t>
      </w:r>
      <w:r w:rsidRPr="0080058A">
        <w:rPr>
          <w:lang w:val="fr-CA"/>
        </w:rPr>
        <w:t xml:space="preserve">arrêt </w:t>
      </w:r>
      <w:r w:rsidRPr="0080058A">
        <w:rPr>
          <w:i/>
          <w:lang w:val="fr-CA"/>
        </w:rPr>
        <w:t>M.M. c. États</w:t>
      </w:r>
      <w:r>
        <w:rPr>
          <w:i/>
          <w:lang w:val="fr-CA"/>
        </w:rPr>
        <w:noBreakHyphen/>
      </w:r>
      <w:r w:rsidRPr="0080058A">
        <w:rPr>
          <w:i/>
          <w:lang w:val="fr-CA"/>
        </w:rPr>
        <w:t>Unis d</w:t>
      </w:r>
      <w:r>
        <w:rPr>
          <w:i/>
          <w:lang w:val="fr-CA"/>
        </w:rPr>
        <w:t>’</w:t>
      </w:r>
      <w:r w:rsidRPr="0080058A">
        <w:rPr>
          <w:i/>
          <w:lang w:val="fr-CA"/>
        </w:rPr>
        <w:t>Amérique</w:t>
      </w:r>
      <w:r w:rsidRPr="008B7EA2">
        <w:rPr>
          <w:lang w:val="fr-CA"/>
        </w:rPr>
        <w:t>,</w:t>
      </w:r>
      <w:r w:rsidRPr="0080058A">
        <w:rPr>
          <w:lang w:val="fr-CA"/>
        </w:rPr>
        <w:t xml:space="preserve"> 2015</w:t>
      </w:r>
      <w:r>
        <w:rPr>
          <w:lang w:val="fr-CA"/>
        </w:rPr>
        <w:t xml:space="preserve"> CSC </w:t>
      </w:r>
      <w:r w:rsidRPr="0080058A">
        <w:rPr>
          <w:lang w:val="fr-CA"/>
        </w:rPr>
        <w:t>62,</w:t>
      </w:r>
      <w:r>
        <w:rPr>
          <w:lang w:val="fr-CA"/>
        </w:rPr>
        <w:t xml:space="preserve"> [2015] 3 R.C.S. 973,</w:t>
      </w:r>
      <w:r w:rsidRPr="0080058A">
        <w:rPr>
          <w:lang w:val="fr-CA"/>
        </w:rPr>
        <w:t xml:space="preserve"> l</w:t>
      </w:r>
      <w:r>
        <w:rPr>
          <w:lang w:val="fr-CA"/>
        </w:rPr>
        <w:t>’</w:t>
      </w:r>
      <w:r w:rsidRPr="0080058A">
        <w:rPr>
          <w:lang w:val="fr-CA"/>
        </w:rPr>
        <w:t>extradition est</w:t>
      </w:r>
      <w:r>
        <w:rPr>
          <w:lang w:val="fr-CA"/>
        </w:rPr>
        <w:t xml:space="preserve"> «</w:t>
      </w:r>
      <w:r w:rsidRPr="0080058A">
        <w:rPr>
          <w:lang w:val="fr-CA"/>
        </w:rPr>
        <w:t xml:space="preserve"> la mesure par laquelle un État collabore avec un autre dans l</w:t>
      </w:r>
      <w:r>
        <w:rPr>
          <w:lang w:val="fr-CA"/>
        </w:rPr>
        <w:t>’</w:t>
      </w:r>
      <w:r w:rsidRPr="0080058A">
        <w:rPr>
          <w:lang w:val="fr-CA"/>
        </w:rPr>
        <w:t>application de ce principe »</w:t>
      </w:r>
      <w:r w:rsidRPr="0080058A">
        <w:rPr>
          <w:rFonts w:cs="Times New Roman"/>
          <w:lang w:val="fr-CA"/>
        </w:rPr>
        <w:t xml:space="preserve"> (</w:t>
      </w:r>
      <w:r>
        <w:rPr>
          <w:rFonts w:cs="Times New Roman"/>
          <w:lang w:val="fr-CA"/>
        </w:rPr>
        <w:t>par. </w:t>
      </w:r>
      <w:r w:rsidRPr="0080058A">
        <w:rPr>
          <w:rFonts w:cs="Times New Roman"/>
          <w:lang w:val="fr-CA"/>
        </w:rPr>
        <w:t xml:space="preserve">14). La </w:t>
      </w:r>
      <w:r w:rsidRPr="00E217D6">
        <w:rPr>
          <w:rFonts w:cs="Times New Roman"/>
          <w:lang w:val="fr-CA"/>
        </w:rPr>
        <w:t>Loi</w:t>
      </w:r>
      <w:r w:rsidRPr="0080058A">
        <w:rPr>
          <w:rFonts w:cs="Times New Roman"/>
          <w:lang w:val="fr-CA"/>
        </w:rPr>
        <w:t xml:space="preserve"> met </w:t>
      </w:r>
      <w:r w:rsidRPr="0080058A">
        <w:rPr>
          <w:lang w:val="fr-CA"/>
        </w:rPr>
        <w:t xml:space="preserve">en œuvre les obligations internationales </w:t>
      </w:r>
      <w:r>
        <w:rPr>
          <w:lang w:val="fr-CA"/>
        </w:rPr>
        <w:t xml:space="preserve">auxquelles </w:t>
      </w:r>
      <w:r w:rsidRPr="0080058A">
        <w:rPr>
          <w:lang w:val="fr-CA"/>
        </w:rPr>
        <w:t xml:space="preserve">le Canada </w:t>
      </w:r>
      <w:r>
        <w:rPr>
          <w:lang w:val="fr-CA"/>
        </w:rPr>
        <w:t xml:space="preserve">s’est engagé </w:t>
      </w:r>
      <w:r w:rsidRPr="0080058A">
        <w:rPr>
          <w:lang w:val="fr-CA"/>
        </w:rPr>
        <w:t>aux termes de traités d</w:t>
      </w:r>
      <w:r>
        <w:rPr>
          <w:lang w:val="fr-CA"/>
        </w:rPr>
        <w:t>’</w:t>
      </w:r>
      <w:r w:rsidRPr="0080058A">
        <w:rPr>
          <w:lang w:val="fr-CA"/>
        </w:rPr>
        <w:t xml:space="preserve">extradition </w:t>
      </w:r>
      <w:r>
        <w:rPr>
          <w:lang w:val="fr-CA"/>
        </w:rPr>
        <w:t xml:space="preserve">et </w:t>
      </w:r>
      <w:r w:rsidRPr="0080058A">
        <w:rPr>
          <w:lang w:val="fr-CA"/>
        </w:rPr>
        <w:t>qui consistent à extrader une personne afin qu</w:t>
      </w:r>
      <w:r>
        <w:rPr>
          <w:lang w:val="fr-CA"/>
        </w:rPr>
        <w:t>’</w:t>
      </w:r>
      <w:r w:rsidRPr="0080058A">
        <w:rPr>
          <w:lang w:val="fr-CA"/>
        </w:rPr>
        <w:t>elle soit poursuivie par la justice d</w:t>
      </w:r>
      <w:r>
        <w:rPr>
          <w:lang w:val="fr-CA"/>
        </w:rPr>
        <w:t>’</w:t>
      </w:r>
      <w:r w:rsidRPr="0080058A">
        <w:rPr>
          <w:lang w:val="fr-CA"/>
        </w:rPr>
        <w:t>un autre pays</w:t>
      </w:r>
      <w:r>
        <w:rPr>
          <w:lang w:val="fr-CA"/>
        </w:rPr>
        <w:t xml:space="preserve"> ou qu’elle y purge la peine à laquelle elle y est condamnée</w:t>
      </w:r>
      <w:r w:rsidRPr="0080058A">
        <w:rPr>
          <w:lang w:val="fr-CA"/>
        </w:rPr>
        <w:t xml:space="preserve"> </w:t>
      </w:r>
      <w:r w:rsidRPr="0080058A">
        <w:rPr>
          <w:rFonts w:cs="Times New Roman"/>
          <w:lang w:val="fr-CA"/>
        </w:rPr>
        <w:t>(</w:t>
      </w:r>
      <w:r w:rsidRPr="0080058A">
        <w:rPr>
          <w:rFonts w:cs="Times New Roman"/>
          <w:i/>
          <w:lang w:val="fr-CA"/>
        </w:rPr>
        <w:t>M.M.</w:t>
      </w:r>
      <w:r w:rsidRPr="0080058A">
        <w:rPr>
          <w:rFonts w:cs="Times New Roman"/>
          <w:lang w:val="fr-CA"/>
        </w:rPr>
        <w:t xml:space="preserve">, </w:t>
      </w:r>
      <w:r>
        <w:rPr>
          <w:rFonts w:cs="Times New Roman"/>
          <w:lang w:val="fr-CA"/>
        </w:rPr>
        <w:t>par. </w:t>
      </w:r>
      <w:r w:rsidRPr="0080058A">
        <w:rPr>
          <w:rFonts w:cs="Times New Roman"/>
          <w:lang w:val="fr-CA"/>
        </w:rPr>
        <w:t>14). L</w:t>
      </w:r>
      <w:r>
        <w:rPr>
          <w:rFonts w:cs="Times New Roman"/>
          <w:lang w:val="fr-CA"/>
        </w:rPr>
        <w:t xml:space="preserve">a procédure </w:t>
      </w:r>
      <w:r w:rsidRPr="0080058A">
        <w:rPr>
          <w:rFonts w:cs="Times New Roman"/>
          <w:lang w:val="fr-CA"/>
        </w:rPr>
        <w:t>d</w:t>
      </w:r>
      <w:r>
        <w:rPr>
          <w:rFonts w:cs="Times New Roman"/>
          <w:lang w:val="fr-CA"/>
        </w:rPr>
        <w:t>’</w:t>
      </w:r>
      <w:r w:rsidRPr="0080058A">
        <w:rPr>
          <w:rFonts w:cs="Times New Roman"/>
          <w:lang w:val="fr-CA"/>
        </w:rPr>
        <w:t xml:space="preserve">extradition </w:t>
      </w:r>
      <w:r>
        <w:rPr>
          <w:rFonts w:cs="Times New Roman"/>
          <w:lang w:val="fr-CA"/>
        </w:rPr>
        <w:t>repose sur l</w:t>
      </w:r>
      <w:r w:rsidRPr="0080058A">
        <w:rPr>
          <w:lang w:val="fr-CA"/>
        </w:rPr>
        <w:t>es principes de « réciprocité, de courtoisie et de respect des différences dans d</w:t>
      </w:r>
      <w:r>
        <w:rPr>
          <w:lang w:val="fr-CA"/>
        </w:rPr>
        <w:t>’</w:t>
      </w:r>
      <w:r w:rsidRPr="0080058A">
        <w:rPr>
          <w:lang w:val="fr-CA"/>
        </w:rPr>
        <w:t xml:space="preserve">autres ressorts » </w:t>
      </w:r>
      <w:r w:rsidRPr="0080058A">
        <w:rPr>
          <w:rFonts w:cs="Times New Roman"/>
          <w:lang w:val="fr-CA"/>
        </w:rPr>
        <w:t>(</w:t>
      </w:r>
      <w:r w:rsidRPr="0080058A">
        <w:rPr>
          <w:rFonts w:cs="Times New Roman"/>
          <w:i/>
          <w:lang w:val="fr-CA"/>
        </w:rPr>
        <w:t>Canada (Justice) c. Fischbacher</w:t>
      </w:r>
      <w:r w:rsidRPr="0080058A">
        <w:rPr>
          <w:rFonts w:cs="Times New Roman"/>
          <w:lang w:val="fr-CA"/>
        </w:rPr>
        <w:t>, 2009 CSC 46</w:t>
      </w:r>
      <w:r>
        <w:rPr>
          <w:rFonts w:cs="Times New Roman"/>
          <w:lang w:val="fr-CA"/>
        </w:rPr>
        <w:t xml:space="preserve">, </w:t>
      </w:r>
      <w:r w:rsidRPr="003D62C2">
        <w:rPr>
          <w:rFonts w:cs="Times New Roman"/>
          <w:lang w:val="fr-CA"/>
        </w:rPr>
        <w:t>[2009] 3 R.</w:t>
      </w:r>
      <w:r>
        <w:rPr>
          <w:rFonts w:cs="Times New Roman"/>
          <w:lang w:val="fr-CA"/>
        </w:rPr>
        <w:t>C.S. 170</w:t>
      </w:r>
      <w:r w:rsidRPr="0080058A">
        <w:rPr>
          <w:rFonts w:cs="Times New Roman"/>
          <w:lang w:val="fr-CA"/>
        </w:rPr>
        <w:t xml:space="preserve">, </w:t>
      </w:r>
      <w:r>
        <w:rPr>
          <w:rFonts w:cs="Times New Roman"/>
          <w:lang w:val="fr-CA"/>
        </w:rPr>
        <w:t xml:space="preserve">par. 51, citant </w:t>
      </w:r>
      <w:r w:rsidRPr="00A43544">
        <w:rPr>
          <w:rFonts w:cs="Times New Roman"/>
          <w:i/>
          <w:lang w:val="fr-CA"/>
        </w:rPr>
        <w:t>Kindler c. Canada</w:t>
      </w:r>
      <w:r>
        <w:rPr>
          <w:rFonts w:cs="Times New Roman"/>
          <w:lang w:val="fr-CA"/>
        </w:rPr>
        <w:t xml:space="preserve"> </w:t>
      </w:r>
      <w:r w:rsidRPr="00A43544">
        <w:rPr>
          <w:rFonts w:cs="Times New Roman"/>
          <w:i/>
          <w:lang w:val="fr-CA"/>
        </w:rPr>
        <w:t>(Ministre de la Justice)</w:t>
      </w:r>
      <w:r>
        <w:rPr>
          <w:rFonts w:cs="Times New Roman"/>
          <w:lang w:val="fr-CA"/>
        </w:rPr>
        <w:t>, [1991] 2 R.C.S. 779, p. 844</w:t>
      </w:r>
      <w:r w:rsidR="00E217D6">
        <w:rPr>
          <w:rFonts w:cs="Times New Roman"/>
          <w:lang w:val="fr-CA"/>
        </w:rPr>
        <w:t>)</w:t>
      </w:r>
      <w:r>
        <w:rPr>
          <w:rFonts w:cs="Times New Roman"/>
          <w:lang w:val="fr-CA"/>
        </w:rPr>
        <w:t>.</w:t>
      </w:r>
    </w:p>
    <w:p w:rsidR="00361B98" w:rsidRPr="0080058A" w:rsidRDefault="00361B98" w:rsidP="002B69A7">
      <w:pPr>
        <w:pStyle w:val="ParaNoNdepar-AltN"/>
        <w:widowControl w:val="0"/>
        <w:rPr>
          <w:rFonts w:cs="Times New Roman"/>
          <w:lang w:val="fr-CA"/>
        </w:rPr>
      </w:pPr>
      <w:r w:rsidRPr="0080058A">
        <w:rPr>
          <w:rFonts w:cs="Times New Roman"/>
          <w:lang w:val="fr-CA"/>
        </w:rPr>
        <w:lastRenderedPageBreak/>
        <w:t xml:space="preserve">La </w:t>
      </w:r>
      <w:r w:rsidRPr="00E217D6">
        <w:rPr>
          <w:rFonts w:cs="Times New Roman"/>
          <w:lang w:val="fr-CA"/>
        </w:rPr>
        <w:t>Loi</w:t>
      </w:r>
      <w:r w:rsidRPr="0080058A">
        <w:rPr>
          <w:rFonts w:cs="Times New Roman"/>
          <w:lang w:val="fr-CA"/>
        </w:rPr>
        <w:t xml:space="preserve"> n</w:t>
      </w:r>
      <w:r>
        <w:rPr>
          <w:rFonts w:cs="Times New Roman"/>
          <w:lang w:val="fr-CA"/>
        </w:rPr>
        <w:t>’</w:t>
      </w:r>
      <w:r w:rsidRPr="0080058A">
        <w:rPr>
          <w:rFonts w:cs="Times New Roman"/>
          <w:lang w:val="fr-CA"/>
        </w:rPr>
        <w:t xml:space="preserve">a pas seulement pour objet de remplir les obligations internationales du Canada. Elle </w:t>
      </w:r>
      <w:r>
        <w:rPr>
          <w:rFonts w:cs="Times New Roman"/>
          <w:lang w:val="fr-CA"/>
        </w:rPr>
        <w:t xml:space="preserve">répond </w:t>
      </w:r>
      <w:r w:rsidRPr="0080058A">
        <w:rPr>
          <w:lang w:val="fr-CA"/>
        </w:rPr>
        <w:t xml:space="preserve">aussi à des objectifs </w:t>
      </w:r>
      <w:r>
        <w:rPr>
          <w:lang w:val="fr-CA"/>
        </w:rPr>
        <w:t>internes</w:t>
      </w:r>
      <w:r w:rsidRPr="0080058A">
        <w:rPr>
          <w:lang w:val="fr-CA"/>
        </w:rPr>
        <w:t xml:space="preserve"> urgents et réels. Elle protège le public contre le crime par la tenue d</w:t>
      </w:r>
      <w:r>
        <w:rPr>
          <w:lang w:val="fr-CA"/>
        </w:rPr>
        <w:t xml:space="preserve">’enquêtes, </w:t>
      </w:r>
      <w:r w:rsidRPr="0080058A">
        <w:rPr>
          <w:lang w:val="fr-CA"/>
        </w:rPr>
        <w:t xml:space="preserve">elle permet de traduire en justice </w:t>
      </w:r>
      <w:r>
        <w:rPr>
          <w:lang w:val="fr-CA"/>
        </w:rPr>
        <w:t xml:space="preserve">les </w:t>
      </w:r>
      <w:r w:rsidRPr="0080058A">
        <w:rPr>
          <w:lang w:val="fr-CA"/>
        </w:rPr>
        <w:t>fugitif</w:t>
      </w:r>
      <w:r>
        <w:rPr>
          <w:lang w:val="fr-CA"/>
        </w:rPr>
        <w:t xml:space="preserve">s pour statuer régulièrement sur leur </w:t>
      </w:r>
      <w:r w:rsidRPr="0080058A">
        <w:rPr>
          <w:lang w:val="fr-CA"/>
        </w:rPr>
        <w:t xml:space="preserve">responsabilité criminelle et, grâce à la collaboration internationale, elle </w:t>
      </w:r>
      <w:r>
        <w:rPr>
          <w:lang w:val="fr-CA"/>
        </w:rPr>
        <w:t>« </w:t>
      </w:r>
      <w:r w:rsidRPr="0080058A">
        <w:rPr>
          <w:lang w:val="fr-CA"/>
        </w:rPr>
        <w:t>empêch</w:t>
      </w:r>
      <w:r w:rsidRPr="00E16C01">
        <w:rPr>
          <w:lang w:val="fr-CA"/>
        </w:rPr>
        <w:t>[</w:t>
      </w:r>
      <w:r w:rsidRPr="0080058A">
        <w:rPr>
          <w:lang w:val="fr-CA"/>
        </w:rPr>
        <w:t>e</w:t>
      </w:r>
      <w:r>
        <w:rPr>
          <w:lang w:val="fr-CA"/>
        </w:rPr>
        <w:t>]</w:t>
      </w:r>
      <w:r w:rsidRPr="0080058A">
        <w:rPr>
          <w:lang w:val="fr-CA"/>
        </w:rPr>
        <w:t xml:space="preserve"> que le franchissement des frontières nationales permette à </w:t>
      </w:r>
      <w:r>
        <w:rPr>
          <w:lang w:val="fr-CA"/>
        </w:rPr>
        <w:t xml:space="preserve">une personne </w:t>
      </w:r>
      <w:r w:rsidRPr="0080058A">
        <w:rPr>
          <w:lang w:val="fr-CA"/>
        </w:rPr>
        <w:t>de se soustraire à la justice</w:t>
      </w:r>
      <w:r>
        <w:rPr>
          <w:lang w:val="fr-CA"/>
        </w:rPr>
        <w:t xml:space="preserve"> » </w:t>
      </w:r>
      <w:r w:rsidRPr="0080058A">
        <w:rPr>
          <w:lang w:val="fr-CA"/>
        </w:rPr>
        <w:t>(</w:t>
      </w:r>
      <w:r w:rsidRPr="0080058A">
        <w:rPr>
          <w:rFonts w:cs="Times New Roman"/>
          <w:i/>
          <w:lang w:val="fr-CA"/>
        </w:rPr>
        <w:t>M.M.</w:t>
      </w:r>
      <w:r>
        <w:rPr>
          <w:rFonts w:cs="Times New Roman"/>
          <w:lang w:val="fr-CA"/>
        </w:rPr>
        <w:t>, par. </w:t>
      </w:r>
      <w:r w:rsidRPr="0080058A">
        <w:rPr>
          <w:rFonts w:cs="Times New Roman"/>
          <w:lang w:val="fr-CA"/>
        </w:rPr>
        <w:t>1</w:t>
      </w:r>
      <w:r>
        <w:rPr>
          <w:rFonts w:cs="Times New Roman"/>
          <w:lang w:val="fr-CA"/>
        </w:rPr>
        <w:t>5</w:t>
      </w:r>
      <w:r w:rsidRPr="0080058A">
        <w:rPr>
          <w:rFonts w:cs="Times New Roman"/>
          <w:lang w:val="fr-CA"/>
        </w:rPr>
        <w:t>, citant l</w:t>
      </w:r>
      <w:r>
        <w:rPr>
          <w:rFonts w:cs="Times New Roman"/>
          <w:lang w:val="fr-CA"/>
        </w:rPr>
        <w:t>’</w:t>
      </w:r>
      <w:r w:rsidRPr="0080058A">
        <w:rPr>
          <w:rFonts w:cs="Times New Roman"/>
          <w:lang w:val="fr-CA"/>
        </w:rPr>
        <w:t xml:space="preserve">arrêt </w:t>
      </w:r>
      <w:r w:rsidRPr="0080058A">
        <w:rPr>
          <w:i/>
          <w:iCs/>
          <w:lang w:val="fr-CA"/>
        </w:rPr>
        <w:t>Sriskandarajah c. États</w:t>
      </w:r>
      <w:r>
        <w:rPr>
          <w:i/>
          <w:iCs/>
          <w:lang w:val="fr-CA"/>
        </w:rPr>
        <w:noBreakHyphen/>
      </w:r>
      <w:r w:rsidRPr="0080058A">
        <w:rPr>
          <w:i/>
          <w:iCs/>
          <w:lang w:val="fr-CA"/>
        </w:rPr>
        <w:t>Unis d</w:t>
      </w:r>
      <w:r>
        <w:rPr>
          <w:i/>
          <w:iCs/>
          <w:lang w:val="fr-CA"/>
        </w:rPr>
        <w:t>’</w:t>
      </w:r>
      <w:r w:rsidRPr="0080058A">
        <w:rPr>
          <w:i/>
          <w:iCs/>
          <w:lang w:val="fr-CA"/>
        </w:rPr>
        <w:t>Amérique</w:t>
      </w:r>
      <w:r w:rsidRPr="0080058A">
        <w:rPr>
          <w:rFonts w:cs="Times New Roman"/>
          <w:lang w:val="fr-CA"/>
        </w:rPr>
        <w:t xml:space="preserve">, 2012 CSC 70, </w:t>
      </w:r>
      <w:r w:rsidRPr="00A33B16">
        <w:rPr>
          <w:rFonts w:cs="Times New Roman"/>
          <w:lang w:val="fr-CA"/>
        </w:rPr>
        <w:t xml:space="preserve">[2012] 3 R.C.S. 609, </w:t>
      </w:r>
      <w:r>
        <w:rPr>
          <w:rFonts w:cs="Times New Roman"/>
          <w:lang w:val="fr-CA"/>
        </w:rPr>
        <w:t>par. </w:t>
      </w:r>
      <w:r w:rsidRPr="0080058A">
        <w:rPr>
          <w:rFonts w:cs="Times New Roman"/>
          <w:lang w:val="fr-CA"/>
        </w:rPr>
        <w:t>10).</w:t>
      </w:r>
    </w:p>
    <w:p w:rsidR="00361B98" w:rsidRDefault="00361B98" w:rsidP="002B69A7">
      <w:pPr>
        <w:pStyle w:val="ParaNoNdepar-AltN"/>
        <w:widowControl w:val="0"/>
        <w:rPr>
          <w:rFonts w:cs="Times New Roman"/>
          <w:lang w:val="fr-CA"/>
        </w:rPr>
      </w:pPr>
      <w:r w:rsidRPr="0080058A">
        <w:rPr>
          <w:lang w:val="fr-CA"/>
        </w:rPr>
        <w:t xml:space="preserve">Cela </w:t>
      </w:r>
      <w:r>
        <w:rPr>
          <w:lang w:val="fr-CA"/>
        </w:rPr>
        <w:t>dit</w:t>
      </w:r>
      <w:r w:rsidRPr="0080058A">
        <w:rPr>
          <w:lang w:val="fr-CA"/>
        </w:rPr>
        <w:t>, la procédure d</w:t>
      </w:r>
      <w:r>
        <w:rPr>
          <w:lang w:val="fr-CA"/>
        </w:rPr>
        <w:t>’</w:t>
      </w:r>
      <w:r w:rsidRPr="0080058A">
        <w:rPr>
          <w:lang w:val="fr-CA"/>
        </w:rPr>
        <w:t>extradition protège également les droits de l</w:t>
      </w:r>
      <w:r>
        <w:rPr>
          <w:lang w:val="fr-CA"/>
        </w:rPr>
        <w:t>’</w:t>
      </w:r>
      <w:r w:rsidRPr="0080058A">
        <w:rPr>
          <w:lang w:val="fr-CA"/>
        </w:rPr>
        <w:t xml:space="preserve">intéressé. À chaque étape de la procédure, y compris celle à laquelle le </w:t>
      </w:r>
      <w:r>
        <w:rPr>
          <w:lang w:val="fr-CA"/>
        </w:rPr>
        <w:t>m</w:t>
      </w:r>
      <w:r w:rsidRPr="0080058A">
        <w:rPr>
          <w:lang w:val="fr-CA"/>
        </w:rPr>
        <w:t>inistre décide d</w:t>
      </w:r>
      <w:r>
        <w:rPr>
          <w:lang w:val="fr-CA"/>
        </w:rPr>
        <w:t xml:space="preserve">e livrer </w:t>
      </w:r>
      <w:r w:rsidRPr="0080058A">
        <w:rPr>
          <w:lang w:val="fr-CA"/>
        </w:rPr>
        <w:t xml:space="preserve">une personne </w:t>
      </w:r>
      <w:r>
        <w:rPr>
          <w:lang w:val="fr-CA"/>
        </w:rPr>
        <w:t>à</w:t>
      </w:r>
      <w:r w:rsidRPr="0080058A">
        <w:rPr>
          <w:lang w:val="fr-CA"/>
        </w:rPr>
        <w:t xml:space="preserve"> </w:t>
      </w:r>
      <w:r>
        <w:rPr>
          <w:lang w:val="fr-CA"/>
        </w:rPr>
        <w:t>son partenaire</w:t>
      </w:r>
      <w:r w:rsidRPr="0080058A">
        <w:rPr>
          <w:lang w:val="fr-CA"/>
        </w:rPr>
        <w:t xml:space="preserve">, on </w:t>
      </w:r>
      <w:r>
        <w:rPr>
          <w:lang w:val="fr-CA"/>
        </w:rPr>
        <w:t xml:space="preserve">doit atteindre </w:t>
      </w:r>
      <w:r w:rsidRPr="0080058A">
        <w:rPr>
          <w:lang w:val="fr-CA"/>
        </w:rPr>
        <w:t xml:space="preserve">un juste équilibre entre les objectifs généraux de la </w:t>
      </w:r>
      <w:r w:rsidRPr="00E217D6">
        <w:rPr>
          <w:lang w:val="fr-CA"/>
        </w:rPr>
        <w:t xml:space="preserve">Loi </w:t>
      </w:r>
      <w:r w:rsidRPr="0080058A">
        <w:rPr>
          <w:lang w:val="fr-CA"/>
        </w:rPr>
        <w:t>et les droits et les intérêts de l</w:t>
      </w:r>
      <w:r>
        <w:rPr>
          <w:lang w:val="fr-CA"/>
        </w:rPr>
        <w:t>’</w:t>
      </w:r>
      <w:r w:rsidRPr="0080058A">
        <w:rPr>
          <w:lang w:val="fr-CA"/>
        </w:rPr>
        <w:t xml:space="preserve">intéressé </w:t>
      </w:r>
      <w:r w:rsidRPr="0080058A">
        <w:rPr>
          <w:rFonts w:cs="Times New Roman"/>
          <w:lang w:val="fr-CA"/>
        </w:rPr>
        <w:t>(</w:t>
      </w:r>
      <w:r w:rsidRPr="0080058A">
        <w:rPr>
          <w:rFonts w:cs="Times New Roman"/>
          <w:i/>
          <w:lang w:val="fr-CA"/>
        </w:rPr>
        <w:t>M.M.</w:t>
      </w:r>
      <w:r w:rsidRPr="0080058A">
        <w:rPr>
          <w:rFonts w:cs="Times New Roman"/>
          <w:lang w:val="fr-CA"/>
        </w:rPr>
        <w:t xml:space="preserve">, </w:t>
      </w:r>
      <w:r>
        <w:rPr>
          <w:rFonts w:cs="Times New Roman"/>
          <w:lang w:val="fr-CA"/>
        </w:rPr>
        <w:t>par. </w:t>
      </w:r>
      <w:r w:rsidRPr="0080058A">
        <w:rPr>
          <w:rFonts w:cs="Times New Roman"/>
          <w:lang w:val="fr-CA"/>
        </w:rPr>
        <w:t>16).</w:t>
      </w:r>
    </w:p>
    <w:p w:rsidR="00361B98" w:rsidRPr="00D5220F" w:rsidRDefault="00361B98" w:rsidP="002B69A7">
      <w:pPr>
        <w:pStyle w:val="ParaNoNdepar-AltN"/>
        <w:widowControl w:val="0"/>
        <w:rPr>
          <w:lang w:val="fr-CA"/>
        </w:rPr>
      </w:pPr>
      <w:r w:rsidRPr="00D5220F">
        <w:rPr>
          <w:lang w:val="fr-CA"/>
        </w:rPr>
        <w:t>Lorsque l</w:t>
      </w:r>
      <w:r>
        <w:rPr>
          <w:lang w:val="fr-CA"/>
        </w:rPr>
        <w:t>’</w:t>
      </w:r>
      <w:r w:rsidRPr="00D5220F">
        <w:rPr>
          <w:lang w:val="fr-CA"/>
        </w:rPr>
        <w:t>extradition d</w:t>
      </w:r>
      <w:r>
        <w:rPr>
          <w:lang w:val="fr-CA"/>
        </w:rPr>
        <w:t>’</w:t>
      </w:r>
      <w:r w:rsidRPr="00D5220F">
        <w:rPr>
          <w:lang w:val="fr-CA"/>
        </w:rPr>
        <w:t>une personne enfreint les principes de justice fondamentale consacrés à l</w:t>
      </w:r>
      <w:r>
        <w:rPr>
          <w:lang w:val="fr-CA"/>
        </w:rPr>
        <w:t>’art. </w:t>
      </w:r>
      <w:r w:rsidRPr="00D5220F">
        <w:rPr>
          <w:lang w:val="fr-CA"/>
        </w:rPr>
        <w:t xml:space="preserve">7 de la </w:t>
      </w:r>
      <w:r w:rsidRPr="00D5220F">
        <w:rPr>
          <w:i/>
          <w:lang w:val="fr-CA"/>
        </w:rPr>
        <w:t>Charte</w:t>
      </w:r>
      <w:r w:rsidRPr="00D5220F">
        <w:rPr>
          <w:lang w:val="fr-CA"/>
        </w:rPr>
        <w:t xml:space="preserve">, le </w:t>
      </w:r>
      <w:r>
        <w:rPr>
          <w:lang w:val="fr-CA"/>
        </w:rPr>
        <w:t>m</w:t>
      </w:r>
      <w:r w:rsidRPr="00D5220F">
        <w:rPr>
          <w:lang w:val="fr-CA"/>
        </w:rPr>
        <w:t>inistre doit la refuser. Dans les cas d</w:t>
      </w:r>
      <w:r>
        <w:rPr>
          <w:lang w:val="fr-CA"/>
        </w:rPr>
        <w:t>’</w:t>
      </w:r>
      <w:r w:rsidRPr="00D5220F">
        <w:rPr>
          <w:lang w:val="fr-CA"/>
        </w:rPr>
        <w:t>extradition, il faut présumer que l</w:t>
      </w:r>
      <w:r>
        <w:rPr>
          <w:lang w:val="fr-CA"/>
        </w:rPr>
        <w:t>’art. </w:t>
      </w:r>
      <w:r w:rsidRPr="00D5220F">
        <w:rPr>
          <w:lang w:val="fr-CA"/>
        </w:rPr>
        <w:t xml:space="preserve">7 de la </w:t>
      </w:r>
      <w:r w:rsidRPr="00D5220F">
        <w:rPr>
          <w:i/>
          <w:lang w:val="fr-CA"/>
        </w:rPr>
        <w:t xml:space="preserve">Charte </w:t>
      </w:r>
      <w:r w:rsidRPr="00D5220F">
        <w:rPr>
          <w:lang w:val="fr-CA"/>
        </w:rPr>
        <w:t>accorde une protection au moins aussi grande que les engagements internationaux pris par le Canada à l</w:t>
      </w:r>
      <w:r>
        <w:rPr>
          <w:lang w:val="fr-CA"/>
        </w:rPr>
        <w:t>’</w:t>
      </w:r>
      <w:r w:rsidRPr="00D5220F">
        <w:rPr>
          <w:lang w:val="fr-CA"/>
        </w:rPr>
        <w:t>égard du non</w:t>
      </w:r>
      <w:r>
        <w:rPr>
          <w:lang w:val="fr-CA"/>
        </w:rPr>
        <w:noBreakHyphen/>
      </w:r>
      <w:r w:rsidRPr="00D5220F">
        <w:rPr>
          <w:lang w:val="fr-CA"/>
        </w:rPr>
        <w:t>refoulement impliquant un risque de torture ou d</w:t>
      </w:r>
      <w:r>
        <w:rPr>
          <w:lang w:val="fr-CA"/>
        </w:rPr>
        <w:t>’</w:t>
      </w:r>
      <w:r w:rsidRPr="00D5220F">
        <w:rPr>
          <w:lang w:val="fr-CA"/>
        </w:rPr>
        <w:t xml:space="preserve">autres violations flagrantes des droits de la personne (voir </w:t>
      </w:r>
      <w:r w:rsidRPr="00D5220F">
        <w:rPr>
          <w:i/>
          <w:lang w:val="fr-CA"/>
        </w:rPr>
        <w:t>Divito c. Canada</w:t>
      </w:r>
      <w:r w:rsidRPr="00E217D6">
        <w:rPr>
          <w:i/>
          <w:lang w:val="fr-CA"/>
        </w:rPr>
        <w:t xml:space="preserve"> (</w:t>
      </w:r>
      <w:r w:rsidRPr="00D5220F">
        <w:rPr>
          <w:i/>
          <w:lang w:val="fr-CA"/>
        </w:rPr>
        <w:t>Sécurité publique</w:t>
      </w:r>
      <w:r w:rsidRPr="00D5220F">
        <w:rPr>
          <w:lang w:val="fr-CA"/>
        </w:rPr>
        <w:t xml:space="preserve"> </w:t>
      </w:r>
      <w:r w:rsidRPr="00D5220F">
        <w:rPr>
          <w:i/>
          <w:lang w:val="fr-CA"/>
        </w:rPr>
        <w:t>et</w:t>
      </w:r>
      <w:r w:rsidRPr="00D5220F">
        <w:rPr>
          <w:lang w:val="fr-CA"/>
        </w:rPr>
        <w:t xml:space="preserve"> </w:t>
      </w:r>
      <w:r w:rsidRPr="00D5220F">
        <w:rPr>
          <w:i/>
          <w:lang w:val="fr-CA"/>
        </w:rPr>
        <w:t>Protection civile</w:t>
      </w:r>
      <w:r w:rsidRPr="00E217D6">
        <w:rPr>
          <w:i/>
          <w:lang w:val="fr-CA"/>
        </w:rPr>
        <w:t>)</w:t>
      </w:r>
      <w:r w:rsidRPr="00D5220F">
        <w:rPr>
          <w:lang w:val="fr-CA"/>
        </w:rPr>
        <w:t xml:space="preserve">, 2013 CSC 47, [2013] 3 R.C.S. 157, </w:t>
      </w:r>
      <w:r>
        <w:rPr>
          <w:lang w:val="fr-CA"/>
        </w:rPr>
        <w:t>par. </w:t>
      </w:r>
      <w:r w:rsidRPr="00D5220F">
        <w:rPr>
          <w:lang w:val="fr-CA"/>
        </w:rPr>
        <w:t xml:space="preserve">23). Le </w:t>
      </w:r>
      <w:r w:rsidR="00E217D6">
        <w:rPr>
          <w:lang w:val="fr-CA"/>
        </w:rPr>
        <w:t>paragraphe</w:t>
      </w:r>
      <w:r>
        <w:rPr>
          <w:lang w:val="fr-CA"/>
        </w:rPr>
        <w:t xml:space="preserve"> 3(1) </w:t>
      </w:r>
      <w:r w:rsidRPr="00D5220F">
        <w:rPr>
          <w:lang w:val="fr-CA"/>
        </w:rPr>
        <w:t xml:space="preserve">de la </w:t>
      </w:r>
      <w:r w:rsidRPr="00D5220F">
        <w:rPr>
          <w:i/>
          <w:iCs/>
          <w:lang w:val="fr-CA"/>
        </w:rPr>
        <w:t>Convention contre la torture et autres peines ou traitements cruels, inhumains ou dégradants</w:t>
      </w:r>
      <w:r w:rsidRPr="00D5220F">
        <w:rPr>
          <w:lang w:val="fr-CA"/>
        </w:rPr>
        <w:t>, R.T. Can. 1987 n</w:t>
      </w:r>
      <w:r w:rsidRPr="00D5220F">
        <w:rPr>
          <w:vertAlign w:val="superscript"/>
          <w:lang w:val="fr-CA"/>
        </w:rPr>
        <w:t>o</w:t>
      </w:r>
      <w:r>
        <w:rPr>
          <w:lang w:val="fr-CA"/>
        </w:rPr>
        <w:t> </w:t>
      </w:r>
      <w:r w:rsidRPr="00D5220F">
        <w:rPr>
          <w:lang w:val="fr-CA"/>
        </w:rPr>
        <w:t>36</w:t>
      </w:r>
      <w:r>
        <w:rPr>
          <w:lang w:val="fr-CA"/>
        </w:rPr>
        <w:t xml:space="preserve"> (« </w:t>
      </w:r>
      <w:r w:rsidRPr="007E6AE0">
        <w:rPr>
          <w:i/>
          <w:lang w:val="fr-CA"/>
        </w:rPr>
        <w:t>CCT</w:t>
      </w:r>
      <w:r>
        <w:rPr>
          <w:lang w:val="fr-CA"/>
        </w:rPr>
        <w:t> »)</w:t>
      </w:r>
      <w:r w:rsidRPr="00D5220F">
        <w:rPr>
          <w:lang w:val="fr-CA"/>
        </w:rPr>
        <w:t>, interdit d</w:t>
      </w:r>
      <w:r>
        <w:rPr>
          <w:lang w:val="fr-CA"/>
        </w:rPr>
        <w:t>’</w:t>
      </w:r>
      <w:r w:rsidRPr="00D5220F">
        <w:rPr>
          <w:lang w:val="fr-CA"/>
        </w:rPr>
        <w:t>extrader une personne vers un autre État o</w:t>
      </w:r>
      <w:r w:rsidRPr="00D5220F">
        <w:rPr>
          <w:rFonts w:cs="Times New Roman"/>
          <w:lang w:val="fr-CA"/>
        </w:rPr>
        <w:t>ù</w:t>
      </w:r>
      <w:r w:rsidRPr="00D5220F">
        <w:rPr>
          <w:lang w:val="fr-CA"/>
        </w:rPr>
        <w:t xml:space="preserve"> il y </w:t>
      </w:r>
      <w:r w:rsidRPr="00D5220F">
        <w:rPr>
          <w:lang w:val="fr-CA"/>
        </w:rPr>
        <w:lastRenderedPageBreak/>
        <w:t>a des motifs sérieux de croire qu</w:t>
      </w:r>
      <w:r>
        <w:rPr>
          <w:lang w:val="fr-CA"/>
        </w:rPr>
        <w:t>’</w:t>
      </w:r>
      <w:r w:rsidRPr="00D5220F">
        <w:rPr>
          <w:lang w:val="fr-CA"/>
        </w:rPr>
        <w:t>elle risque d</w:t>
      </w:r>
      <w:r>
        <w:rPr>
          <w:lang w:val="fr-CA"/>
        </w:rPr>
        <w:t>’</w:t>
      </w:r>
      <w:r w:rsidRPr="00D5220F">
        <w:rPr>
          <w:lang w:val="fr-CA"/>
        </w:rPr>
        <w:t>être soumise à la torture. Il s</w:t>
      </w:r>
      <w:r>
        <w:rPr>
          <w:lang w:val="fr-CA"/>
        </w:rPr>
        <w:t>’</w:t>
      </w:r>
      <w:r w:rsidRPr="00D5220F">
        <w:rPr>
          <w:lang w:val="fr-CA"/>
        </w:rPr>
        <w:t>ensuit que, dans le contexte de l</w:t>
      </w:r>
      <w:r>
        <w:rPr>
          <w:lang w:val="fr-CA"/>
        </w:rPr>
        <w:t>’</w:t>
      </w:r>
      <w:r w:rsidRPr="00D5220F">
        <w:rPr>
          <w:lang w:val="fr-CA"/>
        </w:rPr>
        <w:t>extradition, extrader une personne qui court un risque sérieux de torture ou de mauvais traitements dans l</w:t>
      </w:r>
      <w:r>
        <w:rPr>
          <w:lang w:val="fr-CA"/>
        </w:rPr>
        <w:t>’</w:t>
      </w:r>
      <w:r w:rsidRPr="00D5220F">
        <w:rPr>
          <w:lang w:val="fr-CA"/>
        </w:rPr>
        <w:t>État requérant viole les principes de justice fondamentale.</w:t>
      </w:r>
    </w:p>
    <w:p w:rsidR="00361B98" w:rsidRPr="0080058A" w:rsidRDefault="00361B98" w:rsidP="002B69A7">
      <w:pPr>
        <w:pStyle w:val="Title2LevelTitre2Niveau"/>
        <w:widowControl w:val="0"/>
        <w:rPr>
          <w:rFonts w:cs="Times New Roman"/>
          <w:lang w:val="fr-CA"/>
        </w:rPr>
      </w:pPr>
      <w:r>
        <w:rPr>
          <w:rFonts w:cs="Times New Roman"/>
          <w:lang w:val="fr-CA"/>
        </w:rPr>
        <w:t>N</w:t>
      </w:r>
      <w:r w:rsidRPr="0080058A">
        <w:rPr>
          <w:rFonts w:cs="Times New Roman"/>
          <w:lang w:val="fr-CA"/>
        </w:rPr>
        <w:t>orme de contrôle</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La décision du </w:t>
      </w:r>
      <w:r>
        <w:rPr>
          <w:rFonts w:cs="Times New Roman"/>
          <w:lang w:val="fr-CA"/>
        </w:rPr>
        <w:t>m</w:t>
      </w:r>
      <w:r w:rsidRPr="0080058A">
        <w:rPr>
          <w:rFonts w:cs="Times New Roman"/>
          <w:lang w:val="fr-CA"/>
        </w:rPr>
        <w:t xml:space="preserve">inistre </w:t>
      </w:r>
      <w:r>
        <w:rPr>
          <w:rFonts w:cs="Times New Roman"/>
          <w:lang w:val="fr-CA"/>
        </w:rPr>
        <w:t>d’ordonner l’extradition d’</w:t>
      </w:r>
      <w:r w:rsidRPr="0080058A">
        <w:rPr>
          <w:rFonts w:cs="Times New Roman"/>
          <w:lang w:val="fr-CA"/>
        </w:rPr>
        <w:t>une personne</w:t>
      </w:r>
      <w:r w:rsidRPr="0080058A">
        <w:rPr>
          <w:lang w:val="fr-CA"/>
        </w:rPr>
        <w:t xml:space="preserve"> se situe </w:t>
      </w:r>
      <w:r>
        <w:rPr>
          <w:lang w:val="fr-CA"/>
        </w:rPr>
        <w:t>« </w:t>
      </w:r>
      <w:r w:rsidRPr="0080058A">
        <w:rPr>
          <w:lang w:val="fr-CA"/>
        </w:rPr>
        <w:t>à</w:t>
      </w:r>
      <w:r>
        <w:rPr>
          <w:lang w:val="fr-CA"/>
        </w:rPr>
        <w:t xml:space="preserve"> </w:t>
      </w:r>
      <w:r w:rsidRPr="0080058A">
        <w:rPr>
          <w:lang w:val="fr-CA"/>
        </w:rPr>
        <w:t>l</w:t>
      </w:r>
      <w:r>
        <w:rPr>
          <w:lang w:val="fr-CA"/>
        </w:rPr>
        <w:t>’</w:t>
      </w:r>
      <w:r w:rsidRPr="0080058A">
        <w:rPr>
          <w:lang w:val="fr-CA"/>
        </w:rPr>
        <w:t xml:space="preserve">extrême limite législative du processus décisionnel administratif » et revêt </w:t>
      </w:r>
      <w:r>
        <w:rPr>
          <w:lang w:val="fr-CA"/>
        </w:rPr>
        <w:t>« </w:t>
      </w:r>
      <w:r w:rsidRPr="0080058A">
        <w:rPr>
          <w:lang w:val="fr-CA"/>
        </w:rPr>
        <w:t>essentiellement un caractère politique »</w:t>
      </w:r>
      <w:r w:rsidRPr="0080058A">
        <w:rPr>
          <w:rFonts w:cs="Times New Roman"/>
          <w:lang w:val="fr-CA"/>
        </w:rPr>
        <w:t xml:space="preserve"> (</w:t>
      </w:r>
      <w:r w:rsidRPr="0080058A">
        <w:rPr>
          <w:rFonts w:cs="Times New Roman"/>
          <w:i/>
          <w:lang w:val="fr-CA"/>
        </w:rPr>
        <w:t>Lake</w:t>
      </w:r>
      <w:r w:rsidRPr="0080058A">
        <w:rPr>
          <w:rFonts w:cs="Times New Roman"/>
          <w:lang w:val="fr-CA"/>
        </w:rPr>
        <w:t xml:space="preserve">, </w:t>
      </w:r>
      <w:r>
        <w:rPr>
          <w:rFonts w:cs="Times New Roman"/>
          <w:lang w:val="fr-CA"/>
        </w:rPr>
        <w:t>par. </w:t>
      </w:r>
      <w:r w:rsidRPr="0080058A">
        <w:rPr>
          <w:rFonts w:cs="Times New Roman"/>
          <w:lang w:val="fr-CA"/>
        </w:rPr>
        <w:t>22</w:t>
      </w:r>
      <w:r>
        <w:rPr>
          <w:rFonts w:cs="Times New Roman"/>
          <w:lang w:val="fr-CA"/>
        </w:rPr>
        <w:t xml:space="preserve">, citant </w:t>
      </w:r>
      <w:r w:rsidRPr="007E6AE0">
        <w:rPr>
          <w:rFonts w:cs="Times New Roman"/>
          <w:i/>
          <w:lang w:val="fr-CA"/>
        </w:rPr>
        <w:t>Idziak c. Canada</w:t>
      </w:r>
      <w:r>
        <w:rPr>
          <w:rFonts w:cs="Times New Roman"/>
          <w:i/>
          <w:lang w:val="fr-CA"/>
        </w:rPr>
        <w:t xml:space="preserve"> (Ministre de la Justice)</w:t>
      </w:r>
      <w:r>
        <w:rPr>
          <w:rFonts w:cs="Times New Roman"/>
          <w:lang w:val="fr-CA"/>
        </w:rPr>
        <w:t>, [1992] 3 R.C.S. 631, p. 659</w:t>
      </w:r>
      <w:r w:rsidRPr="0080058A">
        <w:rPr>
          <w:rFonts w:cs="Times New Roman"/>
          <w:lang w:val="fr-CA"/>
        </w:rPr>
        <w:t xml:space="preserve">; </w:t>
      </w:r>
      <w:r w:rsidRPr="0080058A">
        <w:rPr>
          <w:rFonts w:cs="Times New Roman"/>
          <w:i/>
          <w:lang w:val="fr-CA"/>
        </w:rPr>
        <w:t>Sriskandarajah</w:t>
      </w:r>
      <w:r w:rsidRPr="0080058A">
        <w:rPr>
          <w:rFonts w:cs="Times New Roman"/>
          <w:lang w:val="fr-CA"/>
        </w:rPr>
        <w:t xml:space="preserve">, </w:t>
      </w:r>
      <w:r>
        <w:rPr>
          <w:rFonts w:cs="Times New Roman"/>
          <w:lang w:val="fr-CA"/>
        </w:rPr>
        <w:t>par. </w:t>
      </w:r>
      <w:r w:rsidRPr="0080058A">
        <w:rPr>
          <w:rFonts w:cs="Times New Roman"/>
          <w:lang w:val="fr-CA"/>
        </w:rPr>
        <w:t xml:space="preserve">11). </w:t>
      </w:r>
      <w:r>
        <w:rPr>
          <w:rFonts w:cs="Times New Roman"/>
          <w:lang w:val="fr-CA"/>
        </w:rPr>
        <w:t>Vu l</w:t>
      </w:r>
      <w:r>
        <w:rPr>
          <w:lang w:val="fr-CA"/>
        </w:rPr>
        <w:t>’</w:t>
      </w:r>
      <w:r w:rsidRPr="0080058A">
        <w:rPr>
          <w:lang w:val="fr-CA"/>
        </w:rPr>
        <w:t xml:space="preserve">expertise </w:t>
      </w:r>
      <w:r>
        <w:rPr>
          <w:lang w:val="fr-CA"/>
        </w:rPr>
        <w:t xml:space="preserve">supérieure </w:t>
      </w:r>
      <w:r w:rsidRPr="0080058A">
        <w:rPr>
          <w:lang w:val="fr-CA"/>
        </w:rPr>
        <w:t xml:space="preserve">du </w:t>
      </w:r>
      <w:r>
        <w:rPr>
          <w:lang w:val="fr-CA"/>
        </w:rPr>
        <w:t>m</w:t>
      </w:r>
      <w:r w:rsidRPr="0080058A">
        <w:rPr>
          <w:lang w:val="fr-CA"/>
        </w:rPr>
        <w:t>inistre</w:t>
      </w:r>
      <w:r>
        <w:rPr>
          <w:lang w:val="fr-CA"/>
        </w:rPr>
        <w:t xml:space="preserve"> dans les relations internationales et les affaires étrangères du Canada, il est le mieux placé pour </w:t>
      </w:r>
      <w:r w:rsidRPr="0080058A">
        <w:rPr>
          <w:lang w:val="fr-CA"/>
        </w:rPr>
        <w:t>dé</w:t>
      </w:r>
      <w:r>
        <w:rPr>
          <w:lang w:val="fr-CA"/>
        </w:rPr>
        <w:t>cider</w:t>
      </w:r>
      <w:r w:rsidRPr="0080058A">
        <w:rPr>
          <w:lang w:val="fr-CA"/>
        </w:rPr>
        <w:t xml:space="preserve"> si les facteurs militent ou non en faveur de l</w:t>
      </w:r>
      <w:r>
        <w:rPr>
          <w:lang w:val="fr-CA"/>
        </w:rPr>
        <w:t>’</w:t>
      </w:r>
      <w:r w:rsidRPr="0080058A">
        <w:rPr>
          <w:lang w:val="fr-CA"/>
        </w:rPr>
        <w:t xml:space="preserve">extradition </w:t>
      </w:r>
      <w:r w:rsidRPr="0080058A">
        <w:rPr>
          <w:rFonts w:cs="Times New Roman"/>
          <w:lang w:val="fr-CA"/>
        </w:rPr>
        <w:t>(</w:t>
      </w:r>
      <w:r w:rsidRPr="0080058A">
        <w:rPr>
          <w:rFonts w:cs="Times New Roman"/>
          <w:i/>
          <w:lang w:val="fr-CA"/>
        </w:rPr>
        <w:t>Lake</w:t>
      </w:r>
      <w:r w:rsidRPr="0080058A">
        <w:rPr>
          <w:rFonts w:cs="Times New Roman"/>
          <w:lang w:val="fr-CA"/>
        </w:rPr>
        <w:t xml:space="preserve">, </w:t>
      </w:r>
      <w:r>
        <w:rPr>
          <w:rFonts w:cs="Times New Roman"/>
          <w:lang w:val="fr-CA"/>
        </w:rPr>
        <w:t>par. </w:t>
      </w:r>
      <w:r w:rsidRPr="0080058A">
        <w:rPr>
          <w:rFonts w:cs="Times New Roman"/>
          <w:lang w:val="fr-CA"/>
        </w:rPr>
        <w:t xml:space="preserve">41). La décision du </w:t>
      </w:r>
      <w:r>
        <w:rPr>
          <w:rFonts w:cs="Times New Roman"/>
          <w:lang w:val="fr-CA"/>
        </w:rPr>
        <w:t>m</w:t>
      </w:r>
      <w:r w:rsidRPr="0080058A">
        <w:rPr>
          <w:rFonts w:cs="Times New Roman"/>
          <w:lang w:val="fr-CA"/>
        </w:rPr>
        <w:t>inistre d</w:t>
      </w:r>
      <w:r>
        <w:rPr>
          <w:rFonts w:cs="Times New Roman"/>
          <w:lang w:val="fr-CA"/>
        </w:rPr>
        <w:t>’</w:t>
      </w:r>
      <w:r w:rsidRPr="0080058A">
        <w:rPr>
          <w:rFonts w:cs="Times New Roman"/>
          <w:lang w:val="fr-CA"/>
        </w:rPr>
        <w:t>ordonner l</w:t>
      </w:r>
      <w:r>
        <w:rPr>
          <w:rFonts w:cs="Times New Roman"/>
          <w:lang w:val="fr-CA"/>
        </w:rPr>
        <w:t>’</w:t>
      </w:r>
      <w:r w:rsidRPr="0080058A">
        <w:rPr>
          <w:rFonts w:cs="Times New Roman"/>
          <w:lang w:val="fr-CA"/>
        </w:rPr>
        <w:t>extradition d</w:t>
      </w:r>
      <w:r>
        <w:rPr>
          <w:rFonts w:cs="Times New Roman"/>
          <w:lang w:val="fr-CA"/>
        </w:rPr>
        <w:t>e la</w:t>
      </w:r>
      <w:r w:rsidRPr="0080058A">
        <w:rPr>
          <w:rFonts w:cs="Times New Roman"/>
          <w:lang w:val="fr-CA"/>
        </w:rPr>
        <w:t xml:space="preserve"> personne est par conséquent </w:t>
      </w:r>
      <w:r>
        <w:rPr>
          <w:rFonts w:cs="Times New Roman"/>
          <w:lang w:val="fr-CA"/>
        </w:rPr>
        <w:t xml:space="preserve">susceptible de contrôle suivant </w:t>
      </w:r>
      <w:r w:rsidRPr="0080058A">
        <w:rPr>
          <w:rFonts w:cs="Times New Roman"/>
          <w:lang w:val="fr-CA"/>
        </w:rPr>
        <w:t>la norme de la décision raisonnable. Comme notre Cour l</w:t>
      </w:r>
      <w:r>
        <w:rPr>
          <w:rFonts w:cs="Times New Roman"/>
          <w:lang w:val="fr-CA"/>
        </w:rPr>
        <w:t>’</w:t>
      </w:r>
      <w:r w:rsidRPr="0080058A">
        <w:rPr>
          <w:rFonts w:cs="Times New Roman"/>
          <w:lang w:val="fr-CA"/>
        </w:rPr>
        <w:t>a fait observer dans l</w:t>
      </w:r>
      <w:r>
        <w:rPr>
          <w:rFonts w:cs="Times New Roman"/>
          <w:lang w:val="fr-CA"/>
        </w:rPr>
        <w:t>’</w:t>
      </w:r>
      <w:r w:rsidRPr="0080058A">
        <w:rPr>
          <w:rFonts w:cs="Times New Roman"/>
          <w:lang w:val="fr-CA"/>
        </w:rPr>
        <w:t xml:space="preserve">arrêt </w:t>
      </w:r>
      <w:r w:rsidRPr="0080058A">
        <w:rPr>
          <w:rFonts w:cs="Times New Roman"/>
          <w:i/>
          <w:lang w:val="fr-CA"/>
        </w:rPr>
        <w:t>Lake</w:t>
      </w:r>
      <w:r>
        <w:rPr>
          <w:rFonts w:cs="Times New Roman"/>
          <w:i/>
          <w:lang w:val="fr-CA"/>
        </w:rPr>
        <w:t> </w:t>
      </w:r>
      <w:r w:rsidRPr="008B7EA2">
        <w:rPr>
          <w:rFonts w:cs="Times New Roman"/>
          <w:lang w:val="fr-CA"/>
        </w:rPr>
        <w:t>:</w:t>
      </w:r>
    </w:p>
    <w:p w:rsidR="00361B98" w:rsidRPr="0080058A" w:rsidRDefault="00361B98" w:rsidP="002B69A7">
      <w:pPr>
        <w:pStyle w:val="Citation-AltC"/>
        <w:widowControl w:val="0"/>
        <w:ind w:hanging="1166"/>
        <w:contextualSpacing w:val="0"/>
        <w:rPr>
          <w:lang w:val="fr-CA"/>
        </w:rPr>
      </w:pPr>
      <w:r>
        <w:rPr>
          <w:lang w:val="fr-CA"/>
        </w:rPr>
        <w:tab/>
      </w:r>
      <w:r w:rsidRPr="0080058A">
        <w:rPr>
          <w:lang w:val="fr-CA"/>
        </w:rPr>
        <w:t>Il n</w:t>
      </w:r>
      <w:r>
        <w:rPr>
          <w:lang w:val="fr-CA"/>
        </w:rPr>
        <w:t>’</w:t>
      </w:r>
      <w:r w:rsidRPr="0080058A">
        <w:rPr>
          <w:lang w:val="fr-CA"/>
        </w:rPr>
        <w:t>appartient pas à la cour de révision de substituer sa propre appréciation des considérations pertinentes. Cette cour doit plutôt déterminer si la décision du ministre se situe dans le cadre des solutions raisonnables possibles.</w:t>
      </w:r>
      <w:r>
        <w:rPr>
          <w:lang w:val="fr-CA"/>
        </w:rPr>
        <w:t xml:space="preserve"> </w:t>
      </w:r>
      <w:r w:rsidRPr="0080058A">
        <w:rPr>
          <w:lang w:val="fr-CA"/>
        </w:rPr>
        <w:t>La cour qui applique cette norme dans le contexte d</w:t>
      </w:r>
      <w:r>
        <w:rPr>
          <w:lang w:val="fr-CA"/>
        </w:rPr>
        <w:t>’</w:t>
      </w:r>
      <w:r w:rsidRPr="0080058A">
        <w:rPr>
          <w:lang w:val="fr-CA"/>
        </w:rPr>
        <w:t>une demande d</w:t>
      </w:r>
      <w:r>
        <w:rPr>
          <w:lang w:val="fr-CA"/>
        </w:rPr>
        <w:t>’</w:t>
      </w:r>
      <w:r w:rsidRPr="0080058A">
        <w:rPr>
          <w:lang w:val="fr-CA"/>
        </w:rPr>
        <w:t xml:space="preserve">extradition doit alors déterminer si le ministre a tenu compte des faits pertinents et tiré une conclusion susceptible de se justifier au regard de ces faits. </w:t>
      </w:r>
      <w:r>
        <w:rPr>
          <w:lang w:val="fr-CA"/>
        </w:rPr>
        <w:t>[par. </w:t>
      </w:r>
      <w:r w:rsidRPr="0080058A">
        <w:rPr>
          <w:lang w:val="fr-CA"/>
        </w:rPr>
        <w:t>41</w:t>
      </w:r>
      <w:r>
        <w:rPr>
          <w:lang w:val="fr-CA"/>
        </w:rPr>
        <w:t>]</w:t>
      </w:r>
    </w:p>
    <w:p w:rsidR="00361B98" w:rsidRPr="0080058A" w:rsidRDefault="00361B98" w:rsidP="002B69A7">
      <w:pPr>
        <w:pStyle w:val="Title2LevelTitre2Niveau"/>
        <w:widowControl w:val="0"/>
        <w:rPr>
          <w:rFonts w:cs="Times New Roman"/>
          <w:lang w:val="fr-CA"/>
        </w:rPr>
      </w:pPr>
      <w:r w:rsidRPr="0080058A">
        <w:rPr>
          <w:rFonts w:cs="Times New Roman"/>
          <w:lang w:val="fr-CA"/>
        </w:rPr>
        <w:t>Alinéa 44(1)a) de la Loi</w:t>
      </w:r>
    </w:p>
    <w:p w:rsidR="00361B98" w:rsidRPr="0080058A" w:rsidRDefault="00361B98" w:rsidP="002B69A7">
      <w:pPr>
        <w:pStyle w:val="ParaNoNdepar-AltN"/>
        <w:widowControl w:val="0"/>
        <w:rPr>
          <w:rFonts w:cs="Times New Roman"/>
          <w:lang w:val="fr-CA"/>
        </w:rPr>
      </w:pPr>
      <w:r w:rsidRPr="0080058A">
        <w:rPr>
          <w:rFonts w:cs="Times New Roman"/>
          <w:lang w:val="fr-CA"/>
        </w:rPr>
        <w:lastRenderedPageBreak/>
        <w:t xml:space="preserve">Le pouvoir discrétionnaire du </w:t>
      </w:r>
      <w:r>
        <w:rPr>
          <w:rFonts w:cs="Times New Roman"/>
          <w:lang w:val="fr-CA"/>
        </w:rPr>
        <w:t>m</w:t>
      </w:r>
      <w:r w:rsidRPr="0080058A">
        <w:rPr>
          <w:rFonts w:cs="Times New Roman"/>
          <w:lang w:val="fr-CA"/>
        </w:rPr>
        <w:t>inistre d</w:t>
      </w:r>
      <w:r>
        <w:rPr>
          <w:rFonts w:cs="Times New Roman"/>
          <w:lang w:val="fr-CA"/>
        </w:rPr>
        <w:t>’</w:t>
      </w:r>
      <w:r w:rsidRPr="0080058A">
        <w:rPr>
          <w:rFonts w:cs="Times New Roman"/>
          <w:lang w:val="fr-CA"/>
        </w:rPr>
        <w:t xml:space="preserve">extrader une personne est </w:t>
      </w:r>
      <w:r>
        <w:rPr>
          <w:rFonts w:cs="Times New Roman"/>
          <w:lang w:val="fr-CA"/>
        </w:rPr>
        <w:t xml:space="preserve">assujetti à des restrictions qui sont </w:t>
      </w:r>
      <w:r w:rsidRPr="0080058A">
        <w:rPr>
          <w:rFonts w:cs="Times New Roman"/>
          <w:lang w:val="fr-CA"/>
        </w:rPr>
        <w:t xml:space="preserve">énoncées dans la </w:t>
      </w:r>
      <w:r w:rsidRPr="0035329B">
        <w:rPr>
          <w:rFonts w:cs="Times New Roman"/>
          <w:lang w:val="fr-CA"/>
        </w:rPr>
        <w:t>Loi</w:t>
      </w:r>
      <w:r w:rsidRPr="0080058A">
        <w:rPr>
          <w:rFonts w:cs="Times New Roman"/>
          <w:lang w:val="fr-CA"/>
        </w:rPr>
        <w:t>. L</w:t>
      </w:r>
      <w:r>
        <w:rPr>
          <w:rFonts w:cs="Times New Roman"/>
          <w:lang w:val="fr-CA"/>
        </w:rPr>
        <w:t>’</w:t>
      </w:r>
      <w:r w:rsidRPr="0080058A">
        <w:rPr>
          <w:rFonts w:cs="Times New Roman"/>
          <w:lang w:val="fr-CA"/>
        </w:rPr>
        <w:t>alinéa 44(1)a) dispose</w:t>
      </w:r>
      <w:r>
        <w:rPr>
          <w:rFonts w:cs="Times New Roman"/>
          <w:lang w:val="fr-CA"/>
        </w:rPr>
        <w:t> :</w:t>
      </w:r>
    </w:p>
    <w:p w:rsidR="00361B98" w:rsidRPr="0080058A" w:rsidRDefault="00361B98" w:rsidP="002B69A7">
      <w:pPr>
        <w:pStyle w:val="Citation-AltC"/>
        <w:widowControl w:val="0"/>
        <w:spacing w:after="240"/>
        <w:ind w:hanging="1166"/>
        <w:contextualSpacing w:val="0"/>
        <w:rPr>
          <w:lang w:val="fr-CA"/>
        </w:rPr>
      </w:pPr>
      <w:r>
        <w:rPr>
          <w:lang w:val="fr-CA"/>
        </w:rPr>
        <w:tab/>
      </w:r>
      <w:r w:rsidRPr="0080058A">
        <w:rPr>
          <w:lang w:val="fr-CA"/>
        </w:rPr>
        <w:t>Le ministre refuse l</w:t>
      </w:r>
      <w:r>
        <w:rPr>
          <w:lang w:val="fr-CA"/>
        </w:rPr>
        <w:t>’</w:t>
      </w:r>
      <w:r w:rsidRPr="0080058A">
        <w:rPr>
          <w:lang w:val="fr-CA"/>
        </w:rPr>
        <w:t>extradition s</w:t>
      </w:r>
      <w:r>
        <w:rPr>
          <w:lang w:val="fr-CA"/>
        </w:rPr>
        <w:t>’</w:t>
      </w:r>
      <w:r w:rsidRPr="0080058A">
        <w:rPr>
          <w:lang w:val="fr-CA"/>
        </w:rPr>
        <w:t>il est convaincu que</w:t>
      </w:r>
      <w:r>
        <w:rPr>
          <w:lang w:val="fr-CA"/>
        </w:rPr>
        <w:t> :</w:t>
      </w:r>
      <w:r w:rsidRPr="0080058A">
        <w:rPr>
          <w:lang w:val="fr-CA"/>
        </w:rPr>
        <w:t xml:space="preserve"> </w:t>
      </w:r>
    </w:p>
    <w:p w:rsidR="00361B98" w:rsidRPr="0035329B" w:rsidRDefault="00361B98" w:rsidP="002B69A7">
      <w:pPr>
        <w:pStyle w:val="Citation-AltC"/>
        <w:widowControl w:val="0"/>
        <w:tabs>
          <w:tab w:val="left" w:pos="1710"/>
        </w:tabs>
        <w:ind w:left="1440" w:hanging="1166"/>
        <w:contextualSpacing w:val="0"/>
        <w:rPr>
          <w:b/>
          <w:lang w:val="fr-CA"/>
        </w:rPr>
      </w:pPr>
      <w:r>
        <w:rPr>
          <w:rStyle w:val="lawlabel2"/>
          <w:lang w:val="fr-CA"/>
        </w:rPr>
        <w:tab/>
      </w:r>
      <w:r w:rsidRPr="00325099">
        <w:rPr>
          <w:rStyle w:val="lawlabel2"/>
          <w:lang w:val="fr-CA"/>
        </w:rPr>
        <w:t>a)</w:t>
      </w:r>
      <w:r w:rsidRPr="0080058A">
        <w:rPr>
          <w:lang w:val="fr-CA"/>
        </w:rPr>
        <w:t> soit l</w:t>
      </w:r>
      <w:r>
        <w:rPr>
          <w:lang w:val="fr-CA"/>
        </w:rPr>
        <w:t>’</w:t>
      </w:r>
      <w:r w:rsidRPr="0080058A">
        <w:rPr>
          <w:lang w:val="fr-CA"/>
        </w:rPr>
        <w:t>extradition serait injuste ou tyrannique compte tenu de toutes les circonstances;</w:t>
      </w:r>
      <w:r w:rsidRPr="0035329B">
        <w:rPr>
          <w:rStyle w:val="lawlabel2"/>
          <w:b w:val="0"/>
          <w:lang w:val="fr-CA"/>
        </w:rPr>
        <w:t xml:space="preserve"> </w:t>
      </w:r>
    </w:p>
    <w:p w:rsidR="00361B98" w:rsidRPr="0080058A" w:rsidRDefault="00361B98" w:rsidP="002B69A7">
      <w:pPr>
        <w:pStyle w:val="ParaNoNdepar-AltN"/>
        <w:widowControl w:val="0"/>
        <w:rPr>
          <w:rFonts w:cs="Times New Roman"/>
          <w:lang w:val="fr-CA"/>
        </w:rPr>
      </w:pPr>
      <w:r w:rsidRPr="0080058A">
        <w:rPr>
          <w:lang w:val="fr-CA"/>
        </w:rPr>
        <w:t xml:space="preserve">Vu le caractère </w:t>
      </w:r>
      <w:r>
        <w:rPr>
          <w:lang w:val="fr-CA"/>
        </w:rPr>
        <w:t xml:space="preserve">impératif </w:t>
      </w:r>
      <w:r w:rsidRPr="0080058A">
        <w:rPr>
          <w:lang w:val="fr-CA"/>
        </w:rPr>
        <w:t>de l</w:t>
      </w:r>
      <w:r>
        <w:rPr>
          <w:lang w:val="fr-CA"/>
        </w:rPr>
        <w:t>’al. </w:t>
      </w:r>
      <w:r w:rsidRPr="0080058A">
        <w:rPr>
          <w:lang w:val="fr-CA"/>
        </w:rPr>
        <w:t>44(1)</w:t>
      </w:r>
      <w:r w:rsidRPr="0035329B">
        <w:rPr>
          <w:iCs/>
          <w:lang w:val="fr-CA"/>
        </w:rPr>
        <w:t>a</w:t>
      </w:r>
      <w:r w:rsidRPr="0080058A">
        <w:rPr>
          <w:lang w:val="fr-CA"/>
        </w:rPr>
        <w:t>), le</w:t>
      </w:r>
      <w:r>
        <w:rPr>
          <w:lang w:val="fr-CA"/>
        </w:rPr>
        <w:t xml:space="preserve"> m</w:t>
      </w:r>
      <w:r w:rsidRPr="0080058A">
        <w:rPr>
          <w:lang w:val="fr-CA"/>
        </w:rPr>
        <w:t xml:space="preserve">inistre </w:t>
      </w:r>
      <w:r>
        <w:rPr>
          <w:lang w:val="fr-CA"/>
        </w:rPr>
        <w:t xml:space="preserve">est tenu de mettre en balance </w:t>
      </w:r>
      <w:r w:rsidRPr="0080058A">
        <w:rPr>
          <w:lang w:val="fr-CA"/>
        </w:rPr>
        <w:t>toutes les circonstances</w:t>
      </w:r>
      <w:r>
        <w:rPr>
          <w:lang w:val="fr-CA"/>
        </w:rPr>
        <w:t xml:space="preserve"> pertinentes </w:t>
      </w:r>
      <w:r w:rsidRPr="0080058A">
        <w:rPr>
          <w:lang w:val="fr-CA"/>
        </w:rPr>
        <w:t>pour dé</w:t>
      </w:r>
      <w:r>
        <w:rPr>
          <w:lang w:val="fr-CA"/>
        </w:rPr>
        <w:t>cider</w:t>
      </w:r>
      <w:r w:rsidRPr="0080058A">
        <w:rPr>
          <w:lang w:val="fr-CA"/>
        </w:rPr>
        <w:t xml:space="preserve"> si l</w:t>
      </w:r>
      <w:r>
        <w:rPr>
          <w:lang w:val="fr-CA"/>
        </w:rPr>
        <w:t>’</w:t>
      </w:r>
      <w:r w:rsidRPr="0080058A">
        <w:rPr>
          <w:lang w:val="fr-CA"/>
        </w:rPr>
        <w:t xml:space="preserve">extradition serait injuste ou tyrannique </w:t>
      </w:r>
      <w:r w:rsidRPr="0080058A">
        <w:rPr>
          <w:rFonts w:cs="Times New Roman"/>
          <w:lang w:val="fr-CA"/>
        </w:rPr>
        <w:t>(</w:t>
      </w:r>
      <w:r w:rsidRPr="0080058A">
        <w:rPr>
          <w:rFonts w:cs="Times New Roman"/>
          <w:i/>
          <w:lang w:val="fr-CA"/>
        </w:rPr>
        <w:t>Fischbacher</w:t>
      </w:r>
      <w:r w:rsidRPr="0080058A">
        <w:rPr>
          <w:rFonts w:cs="Times New Roman"/>
          <w:lang w:val="fr-CA"/>
        </w:rPr>
        <w:t xml:space="preserve">, </w:t>
      </w:r>
      <w:r>
        <w:rPr>
          <w:rFonts w:cs="Times New Roman"/>
          <w:lang w:val="fr-CA"/>
        </w:rPr>
        <w:t>par. </w:t>
      </w:r>
      <w:r w:rsidRPr="0080058A">
        <w:rPr>
          <w:rFonts w:cs="Times New Roman"/>
          <w:lang w:val="fr-CA"/>
        </w:rPr>
        <w:t xml:space="preserve">37). </w:t>
      </w:r>
      <w:r w:rsidRPr="0080058A">
        <w:rPr>
          <w:lang w:val="fr-CA"/>
        </w:rPr>
        <w:t xml:space="preserve">Les circonstances pertinentes varient </w:t>
      </w:r>
      <w:r>
        <w:rPr>
          <w:lang w:val="fr-CA"/>
        </w:rPr>
        <w:t xml:space="preserve">selon les </w:t>
      </w:r>
      <w:r w:rsidRPr="0080058A">
        <w:rPr>
          <w:lang w:val="fr-CA"/>
        </w:rPr>
        <w:t xml:space="preserve">faits et </w:t>
      </w:r>
      <w:r>
        <w:rPr>
          <w:lang w:val="fr-CA"/>
        </w:rPr>
        <w:t>le</w:t>
      </w:r>
      <w:r w:rsidRPr="0080058A">
        <w:rPr>
          <w:lang w:val="fr-CA"/>
        </w:rPr>
        <w:t xml:space="preserve"> contexte de chaque affaire </w:t>
      </w:r>
      <w:r w:rsidRPr="0080058A">
        <w:rPr>
          <w:rFonts w:cs="Times New Roman"/>
          <w:lang w:val="fr-CA"/>
        </w:rPr>
        <w:t>(</w:t>
      </w:r>
      <w:r>
        <w:rPr>
          <w:rFonts w:cs="Times New Roman"/>
          <w:lang w:val="fr-CA"/>
        </w:rPr>
        <w:t>par. </w:t>
      </w:r>
      <w:r w:rsidRPr="0080058A">
        <w:rPr>
          <w:rFonts w:cs="Times New Roman"/>
          <w:lang w:val="fr-CA"/>
        </w:rPr>
        <w:t xml:space="preserve">38). Bien que ce soit le </w:t>
      </w:r>
      <w:r>
        <w:rPr>
          <w:rFonts w:cs="Times New Roman"/>
          <w:lang w:val="fr-CA"/>
        </w:rPr>
        <w:t>m</w:t>
      </w:r>
      <w:r w:rsidRPr="0080058A">
        <w:rPr>
          <w:rFonts w:cs="Times New Roman"/>
          <w:lang w:val="fr-CA"/>
        </w:rPr>
        <w:t xml:space="preserve">inistre </w:t>
      </w:r>
      <w:r w:rsidRPr="0080058A">
        <w:rPr>
          <w:lang w:val="fr-CA"/>
        </w:rPr>
        <w:t xml:space="preserve">qui </w:t>
      </w:r>
      <w:r>
        <w:rPr>
          <w:lang w:val="fr-CA"/>
        </w:rPr>
        <w:t>prend en considération et soupèse</w:t>
      </w:r>
      <w:r w:rsidRPr="0080058A">
        <w:rPr>
          <w:lang w:val="fr-CA"/>
        </w:rPr>
        <w:t xml:space="preserve"> toutes les circonstances pour </w:t>
      </w:r>
      <w:r>
        <w:rPr>
          <w:lang w:val="fr-CA"/>
        </w:rPr>
        <w:t xml:space="preserve">juger </w:t>
      </w:r>
      <w:r w:rsidRPr="0080058A">
        <w:rPr>
          <w:lang w:val="fr-CA"/>
        </w:rPr>
        <w:t>si l</w:t>
      </w:r>
      <w:r>
        <w:rPr>
          <w:lang w:val="fr-CA"/>
        </w:rPr>
        <w:t>’</w:t>
      </w:r>
      <w:r w:rsidRPr="0080058A">
        <w:rPr>
          <w:lang w:val="fr-CA"/>
        </w:rPr>
        <w:t>extradition serait « injuste ou tyrannique », c</w:t>
      </w:r>
      <w:r>
        <w:rPr>
          <w:lang w:val="fr-CA"/>
        </w:rPr>
        <w:t>’</w:t>
      </w:r>
      <w:r w:rsidRPr="0080058A">
        <w:rPr>
          <w:lang w:val="fr-CA"/>
        </w:rPr>
        <w:t xml:space="preserve">est à </w:t>
      </w:r>
      <w:r>
        <w:rPr>
          <w:lang w:val="fr-CA"/>
        </w:rPr>
        <w:t xml:space="preserve">l’intéressé </w:t>
      </w:r>
      <w:r w:rsidRPr="0080058A">
        <w:rPr>
          <w:lang w:val="fr-CA"/>
        </w:rPr>
        <w:t>qu</w:t>
      </w:r>
      <w:r>
        <w:rPr>
          <w:lang w:val="fr-CA"/>
        </w:rPr>
        <w:t xml:space="preserve">’il incombe de démontrer </w:t>
      </w:r>
      <w:r w:rsidRPr="0080058A">
        <w:rPr>
          <w:lang w:val="fr-CA"/>
        </w:rPr>
        <w:t>l</w:t>
      </w:r>
      <w:r>
        <w:rPr>
          <w:lang w:val="fr-CA"/>
        </w:rPr>
        <w:t>’</w:t>
      </w:r>
      <w:r w:rsidRPr="0080058A">
        <w:rPr>
          <w:lang w:val="fr-CA"/>
        </w:rPr>
        <w:t xml:space="preserve">existence de telles circonstances </w:t>
      </w:r>
      <w:r w:rsidRPr="0080058A">
        <w:rPr>
          <w:rFonts w:cs="Times New Roman"/>
          <w:lang w:val="fr-CA"/>
        </w:rPr>
        <w:t>(</w:t>
      </w:r>
      <w:r w:rsidRPr="0080058A">
        <w:rPr>
          <w:rFonts w:cs="Times New Roman"/>
          <w:i/>
          <w:lang w:val="fr-CA"/>
        </w:rPr>
        <w:t>Németh c. Canada (Justice)</w:t>
      </w:r>
      <w:r w:rsidRPr="0080058A">
        <w:rPr>
          <w:rFonts w:cs="Times New Roman"/>
          <w:lang w:val="fr-CA"/>
        </w:rPr>
        <w:t>, 2010</w:t>
      </w:r>
      <w:r>
        <w:rPr>
          <w:rFonts w:cs="Times New Roman"/>
          <w:lang w:val="fr-CA"/>
        </w:rPr>
        <w:t xml:space="preserve"> </w:t>
      </w:r>
      <w:r w:rsidRPr="0080058A">
        <w:rPr>
          <w:rFonts w:cs="Times New Roman"/>
          <w:lang w:val="fr-CA"/>
        </w:rPr>
        <w:t>CSC</w:t>
      </w:r>
      <w:r>
        <w:rPr>
          <w:rFonts w:cs="Times New Roman"/>
          <w:lang w:val="fr-CA"/>
        </w:rPr>
        <w:t xml:space="preserve"> </w:t>
      </w:r>
      <w:r w:rsidRPr="0080058A">
        <w:rPr>
          <w:rFonts w:cs="Times New Roman"/>
          <w:lang w:val="fr-CA"/>
        </w:rPr>
        <w:t xml:space="preserve">56, </w:t>
      </w:r>
      <w:r w:rsidRPr="00894030">
        <w:rPr>
          <w:rFonts w:cs="Times New Roman"/>
          <w:lang w:val="fr-CA"/>
        </w:rPr>
        <w:t xml:space="preserve">[2010] 3 R.C.S. 281, </w:t>
      </w:r>
      <w:r>
        <w:rPr>
          <w:rFonts w:cs="Times New Roman"/>
          <w:lang w:val="fr-CA"/>
        </w:rPr>
        <w:t>par. </w:t>
      </w:r>
      <w:r w:rsidRPr="0080058A">
        <w:rPr>
          <w:rFonts w:cs="Times New Roman"/>
          <w:lang w:val="fr-CA"/>
        </w:rPr>
        <w:t>72).</w:t>
      </w:r>
      <w:r>
        <w:rPr>
          <w:rFonts w:cs="Times New Roman"/>
          <w:lang w:val="fr-CA"/>
        </w:rPr>
        <w:t xml:space="preserve"> </w:t>
      </w:r>
      <w:r w:rsidRPr="000B7B08">
        <w:rPr>
          <w:rFonts w:cs="Times New Roman"/>
          <w:lang w:val="fr-CA"/>
        </w:rPr>
        <w:t xml:space="preserve">Si le </w:t>
      </w:r>
      <w:r>
        <w:rPr>
          <w:rFonts w:cs="Times New Roman"/>
          <w:lang w:val="fr-CA"/>
        </w:rPr>
        <w:t>m</w:t>
      </w:r>
      <w:r w:rsidRPr="000B7B08">
        <w:rPr>
          <w:rFonts w:cs="Times New Roman"/>
          <w:lang w:val="fr-CA"/>
        </w:rPr>
        <w:t>inistre est convaincu que l</w:t>
      </w:r>
      <w:r>
        <w:rPr>
          <w:rFonts w:cs="Times New Roman"/>
          <w:lang w:val="fr-CA"/>
        </w:rPr>
        <w:t>’</w:t>
      </w:r>
      <w:r w:rsidRPr="000B7B08">
        <w:rPr>
          <w:rFonts w:cs="Times New Roman"/>
          <w:lang w:val="fr-CA"/>
        </w:rPr>
        <w:t>extradition d</w:t>
      </w:r>
      <w:r>
        <w:rPr>
          <w:rFonts w:cs="Times New Roman"/>
          <w:lang w:val="fr-CA"/>
        </w:rPr>
        <w:t>’</w:t>
      </w:r>
      <w:r w:rsidRPr="000B7B08">
        <w:rPr>
          <w:rFonts w:cs="Times New Roman"/>
          <w:lang w:val="fr-CA"/>
        </w:rPr>
        <w:t xml:space="preserve">une personne serait injuste ou tyrannique, il doit la refuser et il </w:t>
      </w:r>
      <w:r>
        <w:rPr>
          <w:rFonts w:cs="Times New Roman"/>
          <w:lang w:val="fr-CA"/>
        </w:rPr>
        <w:t>n’a « </w:t>
      </w:r>
      <w:r w:rsidRPr="000B7B08">
        <w:rPr>
          <w:rFonts w:cs="Times New Roman"/>
          <w:lang w:val="fr-CA"/>
        </w:rPr>
        <w:t>aucun pouvoir discrétionnaire</w:t>
      </w:r>
      <w:r>
        <w:rPr>
          <w:rFonts w:cs="Times New Roman"/>
          <w:lang w:val="fr-CA"/>
        </w:rPr>
        <w:t> </w:t>
      </w:r>
      <w:r w:rsidRPr="000B7B08">
        <w:rPr>
          <w:rFonts w:cs="Times New Roman"/>
          <w:lang w:val="fr-CA"/>
        </w:rPr>
        <w:t>» de donner effet à l</w:t>
      </w:r>
      <w:r>
        <w:rPr>
          <w:rFonts w:cs="Times New Roman"/>
          <w:lang w:val="fr-CA"/>
        </w:rPr>
        <w:t>’</w:t>
      </w:r>
      <w:r w:rsidRPr="000B7B08">
        <w:rPr>
          <w:rFonts w:cs="Times New Roman"/>
          <w:lang w:val="fr-CA"/>
        </w:rPr>
        <w:t>obligation découlant d</w:t>
      </w:r>
      <w:r>
        <w:rPr>
          <w:rFonts w:cs="Times New Roman"/>
          <w:lang w:val="fr-CA"/>
        </w:rPr>
        <w:t>’</w:t>
      </w:r>
      <w:r w:rsidRPr="000B7B08">
        <w:rPr>
          <w:rFonts w:cs="Times New Roman"/>
          <w:lang w:val="fr-CA"/>
        </w:rPr>
        <w:t>un traité d</w:t>
      </w:r>
      <w:r>
        <w:rPr>
          <w:rFonts w:cs="Times New Roman"/>
          <w:lang w:val="fr-CA"/>
        </w:rPr>
        <w:t>’</w:t>
      </w:r>
      <w:r w:rsidRPr="000B7B08">
        <w:rPr>
          <w:rFonts w:cs="Times New Roman"/>
          <w:lang w:val="fr-CA"/>
        </w:rPr>
        <w:t>extrader la personne (</w:t>
      </w:r>
      <w:r>
        <w:rPr>
          <w:bCs/>
          <w:szCs w:val="24"/>
          <w:lang w:val="fr-CA"/>
        </w:rPr>
        <w:t>par. </w:t>
      </w:r>
      <w:r w:rsidRPr="000B7B08">
        <w:rPr>
          <w:bCs/>
          <w:szCs w:val="24"/>
          <w:lang w:val="fr-CA"/>
        </w:rPr>
        <w:t>69).</w:t>
      </w:r>
      <w:r w:rsidRPr="000B7B08">
        <w:rPr>
          <w:rFonts w:cs="Times New Roman"/>
          <w:lang w:val="fr-CA"/>
        </w:rPr>
        <w:t xml:space="preserve"> </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Lorsque </w:t>
      </w:r>
      <w:r>
        <w:rPr>
          <w:rFonts w:cs="Times New Roman"/>
          <w:lang w:val="fr-CA"/>
        </w:rPr>
        <w:t xml:space="preserve">l’intéressé court </w:t>
      </w:r>
      <w:r w:rsidRPr="0080058A">
        <w:rPr>
          <w:rFonts w:cs="Times New Roman"/>
          <w:lang w:val="fr-CA"/>
        </w:rPr>
        <w:t xml:space="preserve">un risque </w:t>
      </w:r>
      <w:r>
        <w:rPr>
          <w:rFonts w:cs="Times New Roman"/>
          <w:lang w:val="fr-CA"/>
        </w:rPr>
        <w:t xml:space="preserve">sérieux </w:t>
      </w:r>
      <w:r w:rsidRPr="0080058A">
        <w:rPr>
          <w:rFonts w:cs="Times New Roman"/>
          <w:lang w:val="fr-CA"/>
        </w:rPr>
        <w:t>d</w:t>
      </w:r>
      <w:r>
        <w:rPr>
          <w:rFonts w:cs="Times New Roman"/>
          <w:lang w:val="fr-CA"/>
        </w:rPr>
        <w:t>’être torturé ou maltraité</w:t>
      </w:r>
      <w:r w:rsidRPr="0080058A">
        <w:rPr>
          <w:rFonts w:cs="Times New Roman"/>
          <w:lang w:val="fr-CA"/>
        </w:rPr>
        <w:t xml:space="preserve"> dans l</w:t>
      </w:r>
      <w:r>
        <w:rPr>
          <w:rFonts w:cs="Times New Roman"/>
          <w:lang w:val="fr-CA"/>
        </w:rPr>
        <w:t>’État d’accueil</w:t>
      </w:r>
      <w:r w:rsidRPr="0080058A">
        <w:rPr>
          <w:rFonts w:cs="Times New Roman"/>
          <w:lang w:val="fr-CA"/>
        </w:rPr>
        <w:t xml:space="preserve">, son extradition viole les principes de justice fondamentale et le </w:t>
      </w:r>
      <w:r>
        <w:rPr>
          <w:rFonts w:cs="Times New Roman"/>
          <w:lang w:val="fr-CA"/>
        </w:rPr>
        <w:t>m</w:t>
      </w:r>
      <w:r w:rsidRPr="0080058A">
        <w:rPr>
          <w:rFonts w:cs="Times New Roman"/>
          <w:lang w:val="fr-CA"/>
        </w:rPr>
        <w:t xml:space="preserve">inistre </w:t>
      </w:r>
      <w:r>
        <w:rPr>
          <w:rFonts w:cs="Times New Roman"/>
          <w:lang w:val="fr-CA"/>
        </w:rPr>
        <w:t xml:space="preserve">doit refuser son </w:t>
      </w:r>
      <w:r w:rsidRPr="0080058A">
        <w:rPr>
          <w:rFonts w:cs="Times New Roman"/>
          <w:lang w:val="fr-CA"/>
        </w:rPr>
        <w:t>extradition en vertu de l</w:t>
      </w:r>
      <w:r>
        <w:rPr>
          <w:rFonts w:cs="Times New Roman"/>
          <w:lang w:val="fr-CA"/>
        </w:rPr>
        <w:t>’al. </w:t>
      </w:r>
      <w:r w:rsidRPr="0080058A">
        <w:rPr>
          <w:rFonts w:cs="Times New Roman"/>
          <w:lang w:val="fr-CA"/>
        </w:rPr>
        <w:t>44(1)a). Mais lorsqu</w:t>
      </w:r>
      <w:r>
        <w:rPr>
          <w:rFonts w:cs="Times New Roman"/>
          <w:lang w:val="fr-CA"/>
        </w:rPr>
        <w:t>’</w:t>
      </w:r>
      <w:r w:rsidRPr="0080058A">
        <w:rPr>
          <w:rFonts w:cs="Times New Roman"/>
          <w:lang w:val="fr-CA"/>
        </w:rPr>
        <w:t>il n</w:t>
      </w:r>
      <w:r>
        <w:rPr>
          <w:rFonts w:cs="Times New Roman"/>
          <w:lang w:val="fr-CA"/>
        </w:rPr>
        <w:t>’</w:t>
      </w:r>
      <w:r w:rsidRPr="0080058A">
        <w:rPr>
          <w:rFonts w:cs="Times New Roman"/>
          <w:lang w:val="fr-CA"/>
        </w:rPr>
        <w:t>y a pas de risque sérieux de torture ou de mauvais traitements et que l</w:t>
      </w:r>
      <w:r>
        <w:rPr>
          <w:rFonts w:cs="Times New Roman"/>
          <w:lang w:val="fr-CA"/>
        </w:rPr>
        <w:t>’</w:t>
      </w:r>
      <w:r w:rsidRPr="0080058A">
        <w:rPr>
          <w:rFonts w:cs="Times New Roman"/>
          <w:lang w:val="fr-CA"/>
        </w:rPr>
        <w:t>extradition respecte l</w:t>
      </w:r>
      <w:r w:rsidRPr="00325099">
        <w:rPr>
          <w:rFonts w:cs="Times New Roman"/>
          <w:lang w:val="fr-CA"/>
        </w:rPr>
        <w:t xml:space="preserve">a </w:t>
      </w:r>
      <w:r w:rsidRPr="00325099">
        <w:rPr>
          <w:rFonts w:cs="Times New Roman"/>
          <w:i/>
          <w:lang w:val="fr-CA"/>
        </w:rPr>
        <w:t>Charte</w:t>
      </w:r>
      <w:r w:rsidRPr="0080058A">
        <w:rPr>
          <w:rFonts w:cs="Times New Roman"/>
          <w:lang w:val="fr-CA"/>
        </w:rPr>
        <w:t xml:space="preserve">, le </w:t>
      </w:r>
      <w:r>
        <w:rPr>
          <w:rFonts w:cs="Times New Roman"/>
          <w:lang w:val="fr-CA"/>
        </w:rPr>
        <w:t>m</w:t>
      </w:r>
      <w:r w:rsidRPr="0080058A">
        <w:rPr>
          <w:rFonts w:cs="Times New Roman"/>
          <w:lang w:val="fr-CA"/>
        </w:rPr>
        <w:t xml:space="preserve">inistre </w:t>
      </w:r>
      <w:r>
        <w:rPr>
          <w:rFonts w:cs="Times New Roman"/>
          <w:lang w:val="fr-CA"/>
        </w:rPr>
        <w:t>doit néanmoins refuser l’extradition s’il est convaincu que</w:t>
      </w:r>
      <w:r w:rsidRPr="0080058A">
        <w:rPr>
          <w:rFonts w:cs="Times New Roman"/>
          <w:lang w:val="fr-CA"/>
        </w:rPr>
        <w:t>, compte tenu de</w:t>
      </w:r>
      <w:r>
        <w:rPr>
          <w:rFonts w:cs="Times New Roman"/>
          <w:lang w:val="fr-CA"/>
        </w:rPr>
        <w:t xml:space="preserve">s </w:t>
      </w:r>
      <w:r w:rsidRPr="0080058A">
        <w:rPr>
          <w:rFonts w:cs="Times New Roman"/>
          <w:lang w:val="fr-CA"/>
        </w:rPr>
        <w:t>circonstances</w:t>
      </w:r>
      <w:r>
        <w:rPr>
          <w:rFonts w:cs="Times New Roman"/>
          <w:lang w:val="fr-CA"/>
        </w:rPr>
        <w:t xml:space="preserve"> dans leur ensemble</w:t>
      </w:r>
      <w:r w:rsidRPr="0080058A">
        <w:rPr>
          <w:rFonts w:cs="Times New Roman"/>
          <w:lang w:val="fr-CA"/>
        </w:rPr>
        <w:t>, l</w:t>
      </w:r>
      <w:r>
        <w:rPr>
          <w:rFonts w:cs="Times New Roman"/>
          <w:lang w:val="fr-CA"/>
        </w:rPr>
        <w:t>’</w:t>
      </w:r>
      <w:r w:rsidRPr="0080058A">
        <w:rPr>
          <w:rFonts w:cs="Times New Roman"/>
          <w:lang w:val="fr-CA"/>
        </w:rPr>
        <w:t xml:space="preserve">extradition serait </w:t>
      </w:r>
      <w:r>
        <w:rPr>
          <w:rFonts w:cs="Times New Roman"/>
          <w:lang w:val="fr-CA"/>
        </w:rPr>
        <w:t xml:space="preserve">par ailleurs </w:t>
      </w:r>
      <w:r w:rsidRPr="0080058A">
        <w:rPr>
          <w:rFonts w:cs="Times New Roman"/>
          <w:lang w:val="fr-CA"/>
        </w:rPr>
        <w:t xml:space="preserve">injuste ou </w:t>
      </w:r>
      <w:r w:rsidRPr="0080058A">
        <w:rPr>
          <w:rFonts w:cs="Times New Roman"/>
          <w:lang w:val="fr-CA"/>
        </w:rPr>
        <w:lastRenderedPageBreak/>
        <w:t>tyrannique.</w:t>
      </w:r>
    </w:p>
    <w:p w:rsidR="00361B98" w:rsidRPr="0080058A" w:rsidRDefault="00361B98" w:rsidP="002B69A7">
      <w:pPr>
        <w:pStyle w:val="Title3LevelTitre3Niveau"/>
        <w:widowControl w:val="0"/>
        <w:rPr>
          <w:rFonts w:cs="Times New Roman"/>
          <w:lang w:val="fr-CA"/>
        </w:rPr>
      </w:pPr>
      <w:r>
        <w:rPr>
          <w:rFonts w:cs="Times New Roman"/>
          <w:lang w:val="fr-CA"/>
        </w:rPr>
        <w:t>A</w:t>
      </w:r>
      <w:r w:rsidRPr="0080058A">
        <w:rPr>
          <w:rFonts w:cs="Times New Roman"/>
          <w:lang w:val="fr-CA"/>
        </w:rPr>
        <w:t>linéa</w:t>
      </w:r>
      <w:r>
        <w:rPr>
          <w:rFonts w:cs="Times New Roman"/>
          <w:lang w:val="fr-CA"/>
        </w:rPr>
        <w:t> </w:t>
      </w:r>
      <w:r w:rsidRPr="0080058A">
        <w:rPr>
          <w:rFonts w:cs="Times New Roman"/>
          <w:lang w:val="fr-CA"/>
        </w:rPr>
        <w:t>44(1)a)</w:t>
      </w:r>
      <w:r>
        <w:rPr>
          <w:rFonts w:cs="Times New Roman"/>
          <w:lang w:val="fr-CA"/>
        </w:rPr>
        <w:t xml:space="preserve"> de la </w:t>
      </w:r>
      <w:r w:rsidRPr="0035329B">
        <w:rPr>
          <w:rFonts w:cs="Times New Roman"/>
          <w:lang w:val="fr-CA"/>
        </w:rPr>
        <w:t>Loi</w:t>
      </w:r>
      <w:r w:rsidRPr="0080058A">
        <w:rPr>
          <w:rFonts w:cs="Times New Roman"/>
          <w:lang w:val="fr-CA"/>
        </w:rPr>
        <w:t xml:space="preserve"> et art</w:t>
      </w:r>
      <w:r w:rsidR="0035329B">
        <w:rPr>
          <w:rFonts w:cs="Times New Roman"/>
          <w:lang w:val="fr-CA"/>
        </w:rPr>
        <w:t>.</w:t>
      </w:r>
      <w:r w:rsidRPr="0080058A">
        <w:rPr>
          <w:rFonts w:cs="Times New Roman"/>
          <w:lang w:val="fr-CA"/>
        </w:rPr>
        <w:t> 7</w:t>
      </w:r>
      <w:r>
        <w:rPr>
          <w:rFonts w:cs="Times New Roman"/>
          <w:lang w:val="fr-CA"/>
        </w:rPr>
        <w:t xml:space="preserve"> </w:t>
      </w:r>
      <w:r w:rsidRPr="0080058A">
        <w:rPr>
          <w:rFonts w:cs="Times New Roman"/>
          <w:lang w:val="fr-CA"/>
        </w:rPr>
        <w:t xml:space="preserve">de la </w:t>
      </w:r>
      <w:r w:rsidRPr="0080058A">
        <w:rPr>
          <w:rFonts w:cs="Times New Roman"/>
          <w:i/>
          <w:lang w:val="fr-CA"/>
        </w:rPr>
        <w:t>Charte</w:t>
      </w:r>
    </w:p>
    <w:p w:rsidR="00361B98" w:rsidRPr="00325099" w:rsidRDefault="00361B98" w:rsidP="002B69A7">
      <w:pPr>
        <w:pStyle w:val="ParaNoNdepar-AltN"/>
        <w:widowControl w:val="0"/>
        <w:rPr>
          <w:rFonts w:cs="Times New Roman"/>
          <w:lang w:val="fr-CA"/>
        </w:rPr>
      </w:pPr>
      <w:r w:rsidRPr="0080058A">
        <w:rPr>
          <w:rFonts w:cs="Times New Roman"/>
          <w:lang w:val="fr-CA"/>
        </w:rPr>
        <w:t>L</w:t>
      </w:r>
      <w:r>
        <w:rPr>
          <w:rFonts w:cs="Times New Roman"/>
          <w:lang w:val="fr-CA"/>
        </w:rPr>
        <w:t xml:space="preserve">’examen auquel le ministre procède en application de </w:t>
      </w:r>
      <w:r w:rsidRPr="0080058A">
        <w:rPr>
          <w:rFonts w:cs="Times New Roman"/>
          <w:lang w:val="fr-CA"/>
        </w:rPr>
        <w:t>l</w:t>
      </w:r>
      <w:r>
        <w:rPr>
          <w:rFonts w:cs="Times New Roman"/>
          <w:lang w:val="fr-CA"/>
        </w:rPr>
        <w:t>’al. </w:t>
      </w:r>
      <w:r w:rsidRPr="0080058A">
        <w:rPr>
          <w:rFonts w:cs="Times New Roman"/>
          <w:lang w:val="fr-CA"/>
        </w:rPr>
        <w:t xml:space="preserve">44(1)a) peut </w:t>
      </w:r>
      <w:r>
        <w:rPr>
          <w:rFonts w:cs="Times New Roman"/>
          <w:lang w:val="fr-CA"/>
        </w:rPr>
        <w:t xml:space="preserve">l’obliger </w:t>
      </w:r>
      <w:r w:rsidRPr="0080058A">
        <w:rPr>
          <w:rFonts w:cs="Times New Roman"/>
          <w:lang w:val="fr-CA"/>
        </w:rPr>
        <w:t>à vérifier si l</w:t>
      </w:r>
      <w:r>
        <w:rPr>
          <w:rFonts w:cs="Times New Roman"/>
          <w:lang w:val="fr-CA"/>
        </w:rPr>
        <w:t>’</w:t>
      </w:r>
      <w:r w:rsidRPr="0080058A">
        <w:rPr>
          <w:rFonts w:cs="Times New Roman"/>
          <w:lang w:val="fr-CA"/>
        </w:rPr>
        <w:t>extradition violerait l</w:t>
      </w:r>
      <w:r>
        <w:rPr>
          <w:rFonts w:cs="Times New Roman"/>
          <w:lang w:val="fr-CA"/>
        </w:rPr>
        <w:t>’art. </w:t>
      </w:r>
      <w:r w:rsidRPr="0080058A">
        <w:rPr>
          <w:rFonts w:cs="Times New Roman"/>
          <w:lang w:val="fr-CA"/>
        </w:rPr>
        <w:t xml:space="preserve">7 de la </w:t>
      </w:r>
      <w:r w:rsidRPr="0080058A">
        <w:rPr>
          <w:rFonts w:cs="Times New Roman"/>
          <w:i/>
          <w:lang w:val="fr-CA"/>
        </w:rPr>
        <w:t>Charte</w:t>
      </w:r>
      <w:r w:rsidRPr="0080058A">
        <w:rPr>
          <w:rFonts w:cs="Times New Roman"/>
          <w:lang w:val="fr-CA"/>
        </w:rPr>
        <w:t xml:space="preserve">. </w:t>
      </w:r>
      <w:r>
        <w:rPr>
          <w:rFonts w:cs="Times New Roman"/>
          <w:lang w:val="fr-CA"/>
        </w:rPr>
        <w:t xml:space="preserve">Selon </w:t>
      </w:r>
      <w:r w:rsidRPr="0080058A">
        <w:rPr>
          <w:rFonts w:cs="Times New Roman"/>
          <w:lang w:val="fr-CA"/>
        </w:rPr>
        <w:t>l</w:t>
      </w:r>
      <w:r>
        <w:rPr>
          <w:rFonts w:cs="Times New Roman"/>
          <w:lang w:val="fr-CA"/>
        </w:rPr>
        <w:t>’art. </w:t>
      </w:r>
      <w:r w:rsidRPr="0080058A">
        <w:rPr>
          <w:rFonts w:cs="Times New Roman"/>
          <w:lang w:val="fr-CA"/>
        </w:rPr>
        <w:t>7, « </w:t>
      </w:r>
      <w:r w:rsidRPr="0080058A">
        <w:rPr>
          <w:lang w:val="fr-CA"/>
        </w:rPr>
        <w:t>[c]hacun a droit à la vie, à la liberté et à la sécurité de sa personne; il ne peut être porté atteinte à ce droit qu</w:t>
      </w:r>
      <w:r>
        <w:rPr>
          <w:lang w:val="fr-CA"/>
        </w:rPr>
        <w:t>’</w:t>
      </w:r>
      <w:r w:rsidRPr="0080058A">
        <w:rPr>
          <w:lang w:val="fr-CA"/>
        </w:rPr>
        <w:t>en conformité avec les principes de justice fondamentale »</w:t>
      </w:r>
      <w:r w:rsidRPr="0080058A">
        <w:rPr>
          <w:rFonts w:cs="Times New Roman"/>
          <w:lang w:val="fr-CA"/>
        </w:rPr>
        <w:t xml:space="preserve">. </w:t>
      </w:r>
      <w:r>
        <w:rPr>
          <w:rFonts w:cs="Times New Roman"/>
          <w:lang w:val="fr-CA"/>
        </w:rPr>
        <w:t xml:space="preserve">Dès lors que le ministre conclut qu’elle est </w:t>
      </w:r>
      <w:r w:rsidRPr="00325099">
        <w:rPr>
          <w:rFonts w:cs="Times New Roman"/>
          <w:lang w:val="fr-CA"/>
        </w:rPr>
        <w:t>contraire aux principes de justice fondamentale protégés par l</w:t>
      </w:r>
      <w:r>
        <w:rPr>
          <w:rFonts w:cs="Times New Roman"/>
          <w:lang w:val="fr-CA"/>
        </w:rPr>
        <w:t>’art. </w:t>
      </w:r>
      <w:r w:rsidRPr="00325099">
        <w:rPr>
          <w:rFonts w:cs="Times New Roman"/>
          <w:lang w:val="fr-CA"/>
        </w:rPr>
        <w:t>7, l</w:t>
      </w:r>
      <w:r>
        <w:rPr>
          <w:rFonts w:cs="Times New Roman"/>
          <w:lang w:val="fr-CA"/>
        </w:rPr>
        <w:t>’</w:t>
      </w:r>
      <w:r w:rsidRPr="00325099">
        <w:rPr>
          <w:rFonts w:cs="Times New Roman"/>
          <w:lang w:val="fr-CA"/>
        </w:rPr>
        <w:t>extradition est forcément injuste ou tyrannique au sens de l</w:t>
      </w:r>
      <w:r>
        <w:rPr>
          <w:rFonts w:cs="Times New Roman"/>
          <w:lang w:val="fr-CA"/>
        </w:rPr>
        <w:t>’al. </w:t>
      </w:r>
      <w:r w:rsidRPr="00325099">
        <w:rPr>
          <w:rFonts w:cs="Times New Roman"/>
          <w:lang w:val="fr-CA"/>
        </w:rPr>
        <w:t xml:space="preserve">44(1)a) et le </w:t>
      </w:r>
      <w:r>
        <w:rPr>
          <w:rFonts w:cs="Times New Roman"/>
          <w:lang w:val="fr-CA"/>
        </w:rPr>
        <w:t>m</w:t>
      </w:r>
      <w:r w:rsidRPr="00325099">
        <w:rPr>
          <w:rFonts w:cs="Times New Roman"/>
          <w:lang w:val="fr-CA"/>
        </w:rPr>
        <w:t>inistre doit refuser de</w:t>
      </w:r>
      <w:r>
        <w:rPr>
          <w:rFonts w:cs="Times New Roman"/>
          <w:lang w:val="fr-CA"/>
        </w:rPr>
        <w:t xml:space="preserve"> prendre un arrêté d’extradition</w:t>
      </w:r>
      <w:r w:rsidRPr="00325099">
        <w:rPr>
          <w:rFonts w:cs="Times New Roman"/>
          <w:lang w:val="fr-CA"/>
        </w:rPr>
        <w:t xml:space="preserve"> (</w:t>
      </w:r>
      <w:r w:rsidRPr="00325099">
        <w:rPr>
          <w:rFonts w:cs="Times New Roman"/>
          <w:i/>
          <w:lang w:val="fr-CA"/>
        </w:rPr>
        <w:t>Lake</w:t>
      </w:r>
      <w:r w:rsidRPr="00325099">
        <w:rPr>
          <w:rFonts w:cs="Times New Roman"/>
          <w:lang w:val="fr-CA"/>
        </w:rPr>
        <w:t xml:space="preserve">, </w:t>
      </w:r>
      <w:r>
        <w:rPr>
          <w:rFonts w:cs="Times New Roman"/>
          <w:lang w:val="fr-CA"/>
        </w:rPr>
        <w:t>par. </w:t>
      </w:r>
      <w:r w:rsidRPr="00325099">
        <w:rPr>
          <w:rFonts w:cs="Times New Roman"/>
          <w:lang w:val="fr-CA"/>
        </w:rPr>
        <w:t xml:space="preserve">24; </w:t>
      </w:r>
      <w:r w:rsidRPr="00325099">
        <w:rPr>
          <w:rFonts w:cs="Times New Roman"/>
          <w:i/>
          <w:lang w:val="fr-CA"/>
        </w:rPr>
        <w:t>M.M.</w:t>
      </w:r>
      <w:r w:rsidRPr="00325099">
        <w:rPr>
          <w:rFonts w:cs="Times New Roman"/>
          <w:lang w:val="fr-CA"/>
        </w:rPr>
        <w:t xml:space="preserve">, </w:t>
      </w:r>
      <w:r>
        <w:rPr>
          <w:rFonts w:cs="Times New Roman"/>
          <w:lang w:val="fr-CA"/>
        </w:rPr>
        <w:t>par. 115</w:t>
      </w:r>
      <w:r w:rsidRPr="00325099">
        <w:rPr>
          <w:rFonts w:cs="Times New Roman"/>
          <w:lang w:val="fr-CA"/>
        </w:rPr>
        <w:t>). La question au cœur du présent pourvoi est de savoir si M. Badesha et M</w:t>
      </w:r>
      <w:r w:rsidRPr="00325099">
        <w:rPr>
          <w:rFonts w:cs="Times New Roman"/>
          <w:vertAlign w:val="superscript"/>
          <w:lang w:val="fr-CA"/>
        </w:rPr>
        <w:t>me</w:t>
      </w:r>
      <w:r w:rsidRPr="00325099">
        <w:rPr>
          <w:rFonts w:cs="Times New Roman"/>
          <w:lang w:val="fr-CA"/>
        </w:rPr>
        <w:t xml:space="preserve"> Sidhu </w:t>
      </w:r>
      <w:r>
        <w:rPr>
          <w:rFonts w:cs="Times New Roman"/>
          <w:lang w:val="fr-CA"/>
        </w:rPr>
        <w:t xml:space="preserve">courent </w:t>
      </w:r>
      <w:r w:rsidRPr="00325099">
        <w:rPr>
          <w:rFonts w:cs="Times New Roman"/>
          <w:lang w:val="fr-CA"/>
        </w:rPr>
        <w:t>un risque sérieux d</w:t>
      </w:r>
      <w:r>
        <w:rPr>
          <w:rFonts w:cs="Times New Roman"/>
          <w:lang w:val="fr-CA"/>
        </w:rPr>
        <w:t>’</w:t>
      </w:r>
      <w:r w:rsidRPr="00325099">
        <w:rPr>
          <w:rFonts w:cs="Times New Roman"/>
          <w:lang w:val="fr-CA"/>
        </w:rPr>
        <w:t>être torturé</w:t>
      </w:r>
      <w:r>
        <w:rPr>
          <w:rFonts w:cs="Times New Roman"/>
          <w:lang w:val="fr-CA"/>
        </w:rPr>
        <w:t>s</w:t>
      </w:r>
      <w:r w:rsidRPr="00325099">
        <w:rPr>
          <w:rFonts w:cs="Times New Roman"/>
          <w:lang w:val="fr-CA"/>
        </w:rPr>
        <w:t xml:space="preserve"> ou de </w:t>
      </w:r>
      <w:r>
        <w:rPr>
          <w:rFonts w:cs="Times New Roman"/>
          <w:lang w:val="fr-CA"/>
        </w:rPr>
        <w:t xml:space="preserve">subir </w:t>
      </w:r>
      <w:r w:rsidRPr="00325099">
        <w:rPr>
          <w:rFonts w:cs="Times New Roman"/>
          <w:lang w:val="fr-CA"/>
        </w:rPr>
        <w:t>de mauvais traitements en Inde</w:t>
      </w:r>
      <w:r>
        <w:rPr>
          <w:rFonts w:cs="Times New Roman"/>
          <w:lang w:val="fr-CA"/>
        </w:rPr>
        <w:t>, ce</w:t>
      </w:r>
      <w:r w:rsidRPr="00325099">
        <w:rPr>
          <w:rFonts w:cs="Times New Roman"/>
          <w:lang w:val="fr-CA"/>
        </w:rPr>
        <w:t xml:space="preserve"> qui rendrait leur extradition injuste ou tyrannique au sens de l</w:t>
      </w:r>
      <w:r>
        <w:rPr>
          <w:rFonts w:cs="Times New Roman"/>
          <w:lang w:val="fr-CA"/>
        </w:rPr>
        <w:t>’al. </w:t>
      </w:r>
      <w:r w:rsidRPr="00325099">
        <w:rPr>
          <w:rFonts w:cs="Times New Roman"/>
          <w:lang w:val="fr-CA"/>
        </w:rPr>
        <w:t>44(1)a). La question à laquelle notre Cour doit répondre est de savoir s</w:t>
      </w:r>
      <w:r>
        <w:rPr>
          <w:rFonts w:cs="Times New Roman"/>
          <w:lang w:val="fr-CA"/>
        </w:rPr>
        <w:t xml:space="preserve">i, dans les circonstances, </w:t>
      </w:r>
      <w:r w:rsidRPr="00325099">
        <w:rPr>
          <w:rFonts w:cs="Times New Roman"/>
          <w:lang w:val="fr-CA"/>
        </w:rPr>
        <w:t xml:space="preserve">il était raisonnable de la part du </w:t>
      </w:r>
      <w:r>
        <w:rPr>
          <w:rFonts w:cs="Times New Roman"/>
          <w:lang w:val="fr-CA"/>
        </w:rPr>
        <w:t>m</w:t>
      </w:r>
      <w:r w:rsidRPr="00325099">
        <w:rPr>
          <w:rFonts w:cs="Times New Roman"/>
          <w:lang w:val="fr-CA"/>
        </w:rPr>
        <w:t>inistre</w:t>
      </w:r>
      <w:r>
        <w:rPr>
          <w:rFonts w:cs="Times New Roman"/>
          <w:lang w:val="fr-CA"/>
        </w:rPr>
        <w:t xml:space="preserve"> </w:t>
      </w:r>
      <w:r w:rsidRPr="00325099">
        <w:rPr>
          <w:rFonts w:cs="Times New Roman"/>
          <w:lang w:val="fr-CA"/>
        </w:rPr>
        <w:t>de conclure</w:t>
      </w:r>
      <w:r>
        <w:rPr>
          <w:rFonts w:cs="Times New Roman"/>
          <w:lang w:val="fr-CA"/>
        </w:rPr>
        <w:t xml:space="preserve">, sur la foi des </w:t>
      </w:r>
      <w:r w:rsidRPr="00325099">
        <w:rPr>
          <w:rFonts w:cs="Times New Roman"/>
          <w:lang w:val="fr-CA"/>
        </w:rPr>
        <w:t>assurances qu</w:t>
      </w:r>
      <w:r>
        <w:rPr>
          <w:rFonts w:cs="Times New Roman"/>
          <w:lang w:val="fr-CA"/>
        </w:rPr>
        <w:t>’</w:t>
      </w:r>
      <w:r w:rsidRPr="00325099">
        <w:rPr>
          <w:rFonts w:cs="Times New Roman"/>
          <w:lang w:val="fr-CA"/>
        </w:rPr>
        <w:t>il avait reçues des autorités indiennes</w:t>
      </w:r>
      <w:r>
        <w:rPr>
          <w:rFonts w:cs="Times New Roman"/>
          <w:lang w:val="fr-CA"/>
        </w:rPr>
        <w:t xml:space="preserve">, qu’il n’y avait pas de </w:t>
      </w:r>
      <w:r w:rsidRPr="00325099">
        <w:rPr>
          <w:rFonts w:cs="Times New Roman"/>
          <w:lang w:val="fr-CA"/>
        </w:rPr>
        <w:t xml:space="preserve">risque sérieux </w:t>
      </w:r>
      <w:r>
        <w:rPr>
          <w:rFonts w:cs="Times New Roman"/>
          <w:lang w:val="fr-CA"/>
        </w:rPr>
        <w:t xml:space="preserve">de torture </w:t>
      </w:r>
      <w:r w:rsidRPr="00325099">
        <w:rPr>
          <w:rFonts w:cs="Times New Roman"/>
          <w:lang w:val="fr-CA"/>
        </w:rPr>
        <w:t xml:space="preserve">ou de mauvais traitements </w:t>
      </w:r>
      <w:r>
        <w:rPr>
          <w:rFonts w:cs="Times New Roman"/>
          <w:lang w:val="fr-CA"/>
        </w:rPr>
        <w:t xml:space="preserve">qui contreviendrait </w:t>
      </w:r>
      <w:r w:rsidRPr="00325099">
        <w:rPr>
          <w:rFonts w:cs="Times New Roman"/>
          <w:lang w:val="fr-CA"/>
        </w:rPr>
        <w:t>aux pr</w:t>
      </w:r>
      <w:r>
        <w:rPr>
          <w:rFonts w:cs="Times New Roman"/>
          <w:lang w:val="fr-CA"/>
        </w:rPr>
        <w:t>incipes de justice fondamentale.</w:t>
      </w:r>
    </w:p>
    <w:p w:rsidR="00361B98" w:rsidRPr="003642E3" w:rsidRDefault="00361B98" w:rsidP="002B69A7">
      <w:pPr>
        <w:pStyle w:val="ParaNoNdepar-AltN"/>
        <w:widowControl w:val="0"/>
        <w:rPr>
          <w:rFonts w:cs="Times New Roman"/>
          <w:lang w:val="fr-CA"/>
        </w:rPr>
      </w:pPr>
      <w:r w:rsidRPr="0080058A">
        <w:rPr>
          <w:rFonts w:cs="Times New Roman"/>
          <w:lang w:val="fr-CA"/>
        </w:rPr>
        <w:t xml:space="preserve">Dans </w:t>
      </w:r>
      <w:r w:rsidRPr="0080058A">
        <w:rPr>
          <w:rFonts w:cs="Times New Roman"/>
          <w:i/>
          <w:lang w:val="fr-CA"/>
        </w:rPr>
        <w:t>Suresh</w:t>
      </w:r>
      <w:r>
        <w:rPr>
          <w:rFonts w:cs="Times New Roman"/>
          <w:i/>
          <w:lang w:val="fr-CA"/>
        </w:rPr>
        <w:t xml:space="preserve"> c. Canada (Ministre de la Citoyenneté et de l’Immigration)</w:t>
      </w:r>
      <w:r>
        <w:rPr>
          <w:rFonts w:cs="Times New Roman"/>
          <w:lang w:val="fr-CA"/>
        </w:rPr>
        <w:t>, 2002 CSC 1, [2002] 1 R.C.S. 3, la Cour a déclaré que l’appréciation par le m</w:t>
      </w:r>
      <w:r w:rsidRPr="0080058A">
        <w:rPr>
          <w:rFonts w:cs="Times New Roman"/>
          <w:lang w:val="fr-CA"/>
        </w:rPr>
        <w:t xml:space="preserve">inistre </w:t>
      </w:r>
      <w:r>
        <w:rPr>
          <w:rFonts w:cs="Times New Roman"/>
          <w:lang w:val="fr-CA"/>
        </w:rPr>
        <w:t xml:space="preserve">de </w:t>
      </w:r>
      <w:r>
        <w:rPr>
          <w:lang w:val="fr-CA"/>
        </w:rPr>
        <w:t>la question de savoir si la personne susceptible d’être expulsée</w:t>
      </w:r>
      <w:r w:rsidRPr="0080058A">
        <w:rPr>
          <w:lang w:val="fr-CA"/>
        </w:rPr>
        <w:t xml:space="preserve"> court un risque sérieux de torture « dépend en grande partie des faits » et qu</w:t>
      </w:r>
      <w:r>
        <w:rPr>
          <w:lang w:val="fr-CA"/>
        </w:rPr>
        <w:t>’</w:t>
      </w:r>
      <w:r w:rsidRPr="0080058A">
        <w:rPr>
          <w:lang w:val="fr-CA"/>
        </w:rPr>
        <w:t xml:space="preserve">elle exige </w:t>
      </w:r>
      <w:r>
        <w:rPr>
          <w:lang w:val="fr-CA"/>
        </w:rPr>
        <w:t xml:space="preserve">que l’on tienne compte </w:t>
      </w:r>
      <w:r>
        <w:rPr>
          <w:lang w:val="fr-CA"/>
        </w:rPr>
        <w:lastRenderedPageBreak/>
        <w:t xml:space="preserve">notamment des antécédents de l’État </w:t>
      </w:r>
      <w:r w:rsidRPr="0080058A">
        <w:rPr>
          <w:lang w:val="fr-CA"/>
        </w:rPr>
        <w:t>d</w:t>
      </w:r>
      <w:r>
        <w:rPr>
          <w:lang w:val="fr-CA"/>
        </w:rPr>
        <w:t>’accueil</w:t>
      </w:r>
      <w:r w:rsidRPr="0080058A">
        <w:rPr>
          <w:lang w:val="fr-CA"/>
        </w:rPr>
        <w:t xml:space="preserve"> en matière de respect des droits de la personne </w:t>
      </w:r>
      <w:r w:rsidRPr="0080058A">
        <w:rPr>
          <w:rFonts w:cs="Times New Roman"/>
          <w:lang w:val="fr-CA"/>
        </w:rPr>
        <w:t>(</w:t>
      </w:r>
      <w:r>
        <w:rPr>
          <w:rFonts w:cs="Times New Roman"/>
          <w:lang w:val="fr-CA"/>
        </w:rPr>
        <w:t>par. </w:t>
      </w:r>
      <w:r w:rsidRPr="0080058A">
        <w:rPr>
          <w:rFonts w:cs="Times New Roman"/>
          <w:lang w:val="fr-CA"/>
        </w:rPr>
        <w:t>39). Dans le contexte de l</w:t>
      </w:r>
      <w:r>
        <w:rPr>
          <w:rFonts w:cs="Times New Roman"/>
          <w:lang w:val="fr-CA"/>
        </w:rPr>
        <w:t>’</w:t>
      </w:r>
      <w:r w:rsidRPr="0080058A">
        <w:rPr>
          <w:rFonts w:cs="Times New Roman"/>
          <w:lang w:val="fr-CA"/>
        </w:rPr>
        <w:t>extradition, lorsqu</w:t>
      </w:r>
      <w:r>
        <w:rPr>
          <w:rFonts w:cs="Times New Roman"/>
          <w:lang w:val="fr-CA"/>
        </w:rPr>
        <w:t xml:space="preserve">’on décide </w:t>
      </w:r>
      <w:r w:rsidRPr="0080058A">
        <w:rPr>
          <w:rFonts w:cs="Times New Roman"/>
          <w:lang w:val="fr-CA"/>
        </w:rPr>
        <w:t>s</w:t>
      </w:r>
      <w:r>
        <w:rPr>
          <w:rFonts w:cs="Times New Roman"/>
          <w:lang w:val="fr-CA"/>
        </w:rPr>
        <w:t>’</w:t>
      </w:r>
      <w:r w:rsidRPr="0080058A">
        <w:rPr>
          <w:rFonts w:cs="Times New Roman"/>
          <w:lang w:val="fr-CA"/>
        </w:rPr>
        <w:t xml:space="preserve">il existe un risque sérieux de torture ou de mauvais traitements dans </w:t>
      </w:r>
      <w:r>
        <w:rPr>
          <w:rFonts w:cs="Times New Roman"/>
          <w:lang w:val="fr-CA"/>
        </w:rPr>
        <w:t>l’État requérant</w:t>
      </w:r>
      <w:r w:rsidRPr="0080058A">
        <w:rPr>
          <w:rFonts w:cs="Times New Roman"/>
          <w:lang w:val="fr-CA"/>
        </w:rPr>
        <w:t>, il s</w:t>
      </w:r>
      <w:r>
        <w:rPr>
          <w:rFonts w:cs="Times New Roman"/>
          <w:lang w:val="fr-CA"/>
        </w:rPr>
        <w:t>’</w:t>
      </w:r>
      <w:r w:rsidRPr="0080058A">
        <w:rPr>
          <w:rFonts w:cs="Times New Roman"/>
          <w:lang w:val="fr-CA"/>
        </w:rPr>
        <w:t xml:space="preserve">ensuit logiquement que le </w:t>
      </w:r>
      <w:r>
        <w:rPr>
          <w:rFonts w:cs="Times New Roman"/>
          <w:lang w:val="fr-CA"/>
        </w:rPr>
        <w:t>m</w:t>
      </w:r>
      <w:r w:rsidRPr="0080058A">
        <w:rPr>
          <w:rFonts w:cs="Times New Roman"/>
          <w:lang w:val="fr-CA"/>
        </w:rPr>
        <w:t>inistre peut tenir compte d</w:t>
      </w:r>
      <w:r>
        <w:rPr>
          <w:rFonts w:cs="Times New Roman"/>
          <w:lang w:val="fr-CA"/>
        </w:rPr>
        <w:t>’</w:t>
      </w:r>
      <w:r w:rsidRPr="0080058A">
        <w:rPr>
          <w:rFonts w:cs="Times New Roman"/>
          <w:lang w:val="fr-CA"/>
        </w:rPr>
        <w:t xml:space="preserve">éléments de preuve portant sur la situation générale </w:t>
      </w:r>
      <w:r>
        <w:rPr>
          <w:rFonts w:cs="Times New Roman"/>
          <w:lang w:val="fr-CA"/>
        </w:rPr>
        <w:t xml:space="preserve">de ce pays </w:t>
      </w:r>
      <w:r w:rsidRPr="0080058A">
        <w:rPr>
          <w:rFonts w:cs="Times New Roman"/>
          <w:lang w:val="fr-CA"/>
        </w:rPr>
        <w:t xml:space="preserve">en matière de respect des droits de </w:t>
      </w:r>
      <w:r>
        <w:rPr>
          <w:rFonts w:cs="Times New Roman"/>
          <w:lang w:val="fr-CA"/>
        </w:rPr>
        <w:t>la personne, et notamment des</w:t>
      </w:r>
      <w:r w:rsidRPr="0080058A">
        <w:rPr>
          <w:rFonts w:cs="Times New Roman"/>
          <w:lang w:val="fr-CA"/>
        </w:rPr>
        <w:t xml:space="preserve"> rapports établis par des </w:t>
      </w:r>
      <w:r>
        <w:rPr>
          <w:rFonts w:cs="Times New Roman"/>
          <w:lang w:val="fr-CA"/>
        </w:rPr>
        <w:t>organismes gouvernementaux</w:t>
      </w:r>
      <w:r w:rsidRPr="0080058A">
        <w:rPr>
          <w:rFonts w:cs="Times New Roman"/>
          <w:lang w:val="fr-CA"/>
        </w:rPr>
        <w:t xml:space="preserve"> et</w:t>
      </w:r>
      <w:r>
        <w:rPr>
          <w:rFonts w:cs="Times New Roman"/>
          <w:lang w:val="fr-CA"/>
        </w:rPr>
        <w:t xml:space="preserve"> des </w:t>
      </w:r>
      <w:r w:rsidRPr="0080058A">
        <w:rPr>
          <w:rFonts w:cs="Times New Roman"/>
          <w:lang w:val="fr-CA"/>
        </w:rPr>
        <w:t xml:space="preserve">organisations non gouvernementales dignes de confiance (voir, </w:t>
      </w:r>
      <w:r>
        <w:rPr>
          <w:rFonts w:cs="Times New Roman"/>
          <w:lang w:val="fr-CA"/>
        </w:rPr>
        <w:t>p. ex.</w:t>
      </w:r>
      <w:r w:rsidRPr="0080058A">
        <w:rPr>
          <w:rFonts w:cs="Times New Roman"/>
          <w:lang w:val="fr-CA"/>
        </w:rPr>
        <w:t xml:space="preserve">, </w:t>
      </w:r>
      <w:r w:rsidRPr="0080058A">
        <w:rPr>
          <w:rFonts w:cs="Times New Roman"/>
          <w:i/>
          <w:lang w:val="fr-CA"/>
        </w:rPr>
        <w:t xml:space="preserve">Chahal c. </w:t>
      </w:r>
      <w:r>
        <w:rPr>
          <w:rFonts w:cs="Times New Roman"/>
          <w:i/>
          <w:lang w:val="fr-CA"/>
        </w:rPr>
        <w:t>Royaume</w:t>
      </w:r>
      <w:r>
        <w:rPr>
          <w:rFonts w:cs="Times New Roman"/>
          <w:i/>
          <w:lang w:val="fr-CA"/>
        </w:rPr>
        <w:noBreakHyphen/>
        <w:t>Uni</w:t>
      </w:r>
      <w:r w:rsidRPr="0080058A">
        <w:rPr>
          <w:rFonts w:cs="Times New Roman"/>
          <w:lang w:val="fr-CA"/>
        </w:rPr>
        <w:t xml:space="preserve">, </w:t>
      </w:r>
      <w:r w:rsidR="00241C36">
        <w:rPr>
          <w:rFonts w:cs="Times New Roman"/>
          <w:lang w:val="fr-CA"/>
        </w:rPr>
        <w:t>n</w:t>
      </w:r>
      <w:r w:rsidR="00241C36" w:rsidRPr="00241C36">
        <w:rPr>
          <w:rFonts w:cs="Times New Roman"/>
          <w:vertAlign w:val="superscript"/>
          <w:lang w:val="fr-CA"/>
        </w:rPr>
        <w:t>o</w:t>
      </w:r>
      <w:r w:rsidR="00241C36">
        <w:rPr>
          <w:rFonts w:cs="Times New Roman"/>
          <w:lang w:val="fr-CA"/>
        </w:rPr>
        <w:t xml:space="preserve"> 22414/93, 15 novembre 1996 (HUDOC), </w:t>
      </w:r>
      <w:r>
        <w:rPr>
          <w:rFonts w:cs="Times New Roman"/>
          <w:lang w:val="fr-CA"/>
        </w:rPr>
        <w:t>par. </w:t>
      </w:r>
      <w:r w:rsidRPr="0080058A">
        <w:rPr>
          <w:rFonts w:cs="Times New Roman"/>
          <w:lang w:val="fr-CA"/>
        </w:rPr>
        <w:t>99</w:t>
      </w:r>
      <w:r w:rsidR="00354B1A">
        <w:rPr>
          <w:rFonts w:cs="Times New Roman"/>
          <w:lang w:val="fr-CA"/>
        </w:rPr>
        <w:t>-</w:t>
      </w:r>
      <w:r w:rsidRPr="0080058A">
        <w:rPr>
          <w:rFonts w:cs="Times New Roman"/>
          <w:lang w:val="fr-CA"/>
        </w:rPr>
        <w:t xml:space="preserve">100; </w:t>
      </w:r>
      <w:r w:rsidR="00241C36">
        <w:rPr>
          <w:rFonts w:cs="Times New Roman"/>
          <w:i/>
          <w:lang w:val="fr-CA"/>
        </w:rPr>
        <w:t>Sai</w:t>
      </w:r>
      <w:r w:rsidRPr="0080058A">
        <w:rPr>
          <w:rFonts w:cs="Times New Roman"/>
          <w:i/>
          <w:lang w:val="fr-CA"/>
        </w:rPr>
        <w:t>d c. Pays</w:t>
      </w:r>
      <w:r>
        <w:rPr>
          <w:rFonts w:cs="Times New Roman"/>
          <w:i/>
          <w:lang w:val="fr-CA"/>
        </w:rPr>
        <w:noBreakHyphen/>
      </w:r>
      <w:r w:rsidRPr="0080058A">
        <w:rPr>
          <w:rFonts w:cs="Times New Roman"/>
          <w:i/>
          <w:lang w:val="fr-CA"/>
        </w:rPr>
        <w:t>Bas</w:t>
      </w:r>
      <w:r>
        <w:rPr>
          <w:rFonts w:cs="Times New Roman"/>
          <w:lang w:val="fr-CA"/>
        </w:rPr>
        <w:t xml:space="preserve">, 5 juillet 2005, </w:t>
      </w:r>
      <w:r w:rsidRPr="00010243">
        <w:rPr>
          <w:rFonts w:cs="Times New Roman"/>
          <w:i/>
          <w:lang w:val="fr-CA"/>
        </w:rPr>
        <w:t>Recueil</w:t>
      </w:r>
      <w:r>
        <w:rPr>
          <w:rFonts w:cs="Times New Roman"/>
          <w:lang w:val="fr-CA"/>
        </w:rPr>
        <w:t xml:space="preserve"> 2005</w:t>
      </w:r>
      <w:r>
        <w:rPr>
          <w:rFonts w:cs="Times New Roman"/>
          <w:lang w:val="fr-CA"/>
        </w:rPr>
        <w:noBreakHyphen/>
        <w:t>VI</w:t>
      </w:r>
      <w:r w:rsidRPr="0080058A">
        <w:rPr>
          <w:rFonts w:cs="Times New Roman"/>
          <w:lang w:val="fr-CA"/>
        </w:rPr>
        <w:t xml:space="preserve">, </w:t>
      </w:r>
      <w:r>
        <w:rPr>
          <w:rFonts w:cs="Times New Roman"/>
          <w:lang w:val="fr-CA"/>
        </w:rPr>
        <w:t>par. </w:t>
      </w:r>
      <w:r w:rsidRPr="0080058A">
        <w:rPr>
          <w:rFonts w:cs="Times New Roman"/>
          <w:lang w:val="fr-CA"/>
        </w:rPr>
        <w:t xml:space="preserve">54). </w:t>
      </w:r>
      <w:r w:rsidRPr="003642E3">
        <w:rPr>
          <w:rFonts w:cs="Times New Roman"/>
          <w:lang w:val="fr-CA"/>
        </w:rPr>
        <w:t>Par conséquent, je ne puis accepter l</w:t>
      </w:r>
      <w:r>
        <w:rPr>
          <w:rFonts w:cs="Times New Roman"/>
          <w:lang w:val="fr-CA"/>
        </w:rPr>
        <w:t>’</w:t>
      </w:r>
      <w:r w:rsidRPr="003642E3">
        <w:rPr>
          <w:rFonts w:cs="Times New Roman"/>
          <w:lang w:val="fr-CA"/>
        </w:rPr>
        <w:t>affirmation faite par le juge Goepel dans ses motifs dissidents selon laquelle la preuve de violations systématiques des droits de la personne dans un État d</w:t>
      </w:r>
      <w:r>
        <w:rPr>
          <w:rFonts w:cs="Times New Roman"/>
          <w:lang w:val="fr-CA"/>
        </w:rPr>
        <w:t>’</w:t>
      </w:r>
      <w:r w:rsidRPr="003642E3">
        <w:rPr>
          <w:rFonts w:cs="Times New Roman"/>
          <w:lang w:val="fr-CA"/>
        </w:rPr>
        <w:t>accueil revient à critiquer généralement le système de justice de cet État et, par conséquent, [</w:t>
      </w:r>
      <w:r w:rsidRPr="003642E3">
        <w:rPr>
          <w:rFonts w:cs="Times New Roman"/>
          <w:smallCaps/>
          <w:lang w:val="fr-CA"/>
        </w:rPr>
        <w:t>traduction]</w:t>
      </w:r>
      <w:r>
        <w:rPr>
          <w:rFonts w:cs="Times New Roman"/>
          <w:lang w:val="fr-CA"/>
        </w:rPr>
        <w:t xml:space="preserve"> « </w:t>
      </w:r>
      <w:r w:rsidRPr="003642E3">
        <w:rPr>
          <w:rFonts w:cs="Times New Roman"/>
          <w:lang w:val="fr-CA"/>
        </w:rPr>
        <w:t>sous</w:t>
      </w:r>
      <w:r>
        <w:rPr>
          <w:rFonts w:cs="Times New Roman"/>
          <w:lang w:val="fr-CA"/>
        </w:rPr>
        <w:noBreakHyphen/>
      </w:r>
      <w:r w:rsidRPr="003642E3">
        <w:rPr>
          <w:rFonts w:cs="Times New Roman"/>
          <w:lang w:val="fr-CA"/>
        </w:rPr>
        <w:t>tend de façon insatisfaisante la conclusion qu</w:t>
      </w:r>
      <w:r>
        <w:rPr>
          <w:rFonts w:cs="Times New Roman"/>
          <w:lang w:val="fr-CA"/>
        </w:rPr>
        <w:t>’</w:t>
      </w:r>
      <w:r w:rsidRPr="003642E3">
        <w:rPr>
          <w:rFonts w:cs="Times New Roman"/>
          <w:lang w:val="fr-CA"/>
        </w:rPr>
        <w:t>il y aura violation des droits garantis à une personne par l</w:t>
      </w:r>
      <w:r>
        <w:rPr>
          <w:rFonts w:cs="Times New Roman"/>
          <w:lang w:val="fr-CA"/>
        </w:rPr>
        <w:t>’art. </w:t>
      </w:r>
      <w:r w:rsidRPr="003642E3">
        <w:rPr>
          <w:rFonts w:cs="Times New Roman"/>
          <w:lang w:val="fr-CA"/>
        </w:rPr>
        <w:t xml:space="preserve">7 de la </w:t>
      </w:r>
      <w:r w:rsidRPr="003642E3">
        <w:rPr>
          <w:rFonts w:cs="Times New Roman"/>
          <w:i/>
          <w:lang w:val="fr-CA"/>
        </w:rPr>
        <w:t xml:space="preserve">Charte </w:t>
      </w:r>
      <w:r>
        <w:rPr>
          <w:rFonts w:cs="Times New Roman"/>
          <w:lang w:val="fr-CA"/>
        </w:rPr>
        <w:t>si elle est extradée </w:t>
      </w:r>
      <w:r w:rsidRPr="003642E3">
        <w:rPr>
          <w:rFonts w:cs="Times New Roman"/>
          <w:lang w:val="fr-CA"/>
        </w:rPr>
        <w:t>»</w:t>
      </w:r>
      <w:r>
        <w:rPr>
          <w:rFonts w:cs="Times New Roman"/>
          <w:lang w:val="fr-CA"/>
        </w:rPr>
        <w:t xml:space="preserve"> (motifs de la C.A., par. 125)</w:t>
      </w:r>
      <w:r w:rsidRPr="003642E3">
        <w:rPr>
          <w:rFonts w:cs="Times New Roman"/>
          <w:lang w:val="fr-CA"/>
        </w:rPr>
        <w:t>. Avec égards, cette affirmation me paraît trop tranchée.</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Le procureur général du Canada </w:t>
      </w:r>
      <w:r>
        <w:rPr>
          <w:rFonts w:cs="Times New Roman"/>
          <w:lang w:val="fr-CA"/>
        </w:rPr>
        <w:t>prétend</w:t>
      </w:r>
      <w:r w:rsidRPr="0080058A">
        <w:rPr>
          <w:rFonts w:cs="Times New Roman"/>
          <w:lang w:val="fr-CA"/>
        </w:rPr>
        <w:t xml:space="preserve"> que [</w:t>
      </w:r>
      <w:r w:rsidRPr="0080058A">
        <w:rPr>
          <w:rFonts w:cs="Times New Roman"/>
          <w:smallCaps/>
          <w:lang w:val="fr-CA"/>
        </w:rPr>
        <w:t>traduction</w:t>
      </w:r>
      <w:r>
        <w:rPr>
          <w:rFonts w:cs="Times New Roman"/>
          <w:lang w:val="fr-CA"/>
        </w:rPr>
        <w:t xml:space="preserve">] « des </w:t>
      </w:r>
      <w:r w:rsidRPr="0080058A">
        <w:rPr>
          <w:rFonts w:cs="Times New Roman"/>
          <w:lang w:val="fr-CA"/>
        </w:rPr>
        <w:t xml:space="preserve">éléments de preuve généraux » </w:t>
      </w:r>
      <w:r>
        <w:rPr>
          <w:rFonts w:cs="Times New Roman"/>
          <w:lang w:val="fr-CA"/>
        </w:rPr>
        <w:t xml:space="preserve">portant sur </w:t>
      </w:r>
      <w:r w:rsidRPr="0080058A">
        <w:rPr>
          <w:rFonts w:cs="Times New Roman"/>
          <w:lang w:val="fr-CA"/>
        </w:rPr>
        <w:t xml:space="preserve">la situation des droits de la personne dans </w:t>
      </w:r>
      <w:r>
        <w:rPr>
          <w:rFonts w:cs="Times New Roman"/>
          <w:lang w:val="fr-CA"/>
        </w:rPr>
        <w:t xml:space="preserve">l’État d’accueil </w:t>
      </w:r>
      <w:r w:rsidRPr="0080058A">
        <w:rPr>
          <w:rFonts w:cs="Times New Roman"/>
          <w:lang w:val="fr-CA"/>
        </w:rPr>
        <w:t>ne peuvent établir, à eux seuls, que l</w:t>
      </w:r>
      <w:r>
        <w:rPr>
          <w:rFonts w:cs="Times New Roman"/>
          <w:lang w:val="fr-CA"/>
        </w:rPr>
        <w:t>’</w:t>
      </w:r>
      <w:r w:rsidRPr="0080058A">
        <w:rPr>
          <w:rFonts w:cs="Times New Roman"/>
          <w:lang w:val="fr-CA"/>
        </w:rPr>
        <w:t xml:space="preserve">intéressé </w:t>
      </w:r>
      <w:r>
        <w:rPr>
          <w:rFonts w:cs="Times New Roman"/>
          <w:lang w:val="fr-CA"/>
        </w:rPr>
        <w:t xml:space="preserve">court </w:t>
      </w:r>
      <w:r w:rsidRPr="0080058A">
        <w:rPr>
          <w:rFonts w:cs="Times New Roman"/>
          <w:lang w:val="fr-CA"/>
        </w:rPr>
        <w:t>un risque sérieux d</w:t>
      </w:r>
      <w:r>
        <w:rPr>
          <w:rFonts w:cs="Times New Roman"/>
          <w:lang w:val="fr-CA"/>
        </w:rPr>
        <w:t xml:space="preserve">e </w:t>
      </w:r>
      <w:r w:rsidRPr="0080058A">
        <w:rPr>
          <w:rFonts w:cs="Times New Roman"/>
          <w:lang w:val="fr-CA"/>
        </w:rPr>
        <w:t>tortur</w:t>
      </w:r>
      <w:r>
        <w:rPr>
          <w:rFonts w:cs="Times New Roman"/>
          <w:lang w:val="fr-CA"/>
        </w:rPr>
        <w:t>e</w:t>
      </w:r>
      <w:r w:rsidRPr="0080058A">
        <w:rPr>
          <w:rFonts w:cs="Times New Roman"/>
          <w:lang w:val="fr-CA"/>
        </w:rPr>
        <w:t xml:space="preserve"> ou</w:t>
      </w:r>
      <w:r>
        <w:rPr>
          <w:rFonts w:cs="Times New Roman"/>
          <w:lang w:val="fr-CA"/>
        </w:rPr>
        <w:t xml:space="preserve"> de mauvais traitements</w:t>
      </w:r>
      <w:r w:rsidRPr="0080058A">
        <w:rPr>
          <w:rFonts w:cs="Times New Roman"/>
          <w:lang w:val="fr-CA"/>
        </w:rPr>
        <w:t xml:space="preserve">. </w:t>
      </w:r>
      <w:r>
        <w:rPr>
          <w:rFonts w:cs="Times New Roman"/>
          <w:lang w:val="fr-CA"/>
        </w:rPr>
        <w:t>Soit dit en tout respect</w:t>
      </w:r>
      <w:r w:rsidRPr="0080058A">
        <w:rPr>
          <w:rFonts w:cs="Times New Roman"/>
          <w:lang w:val="fr-CA"/>
        </w:rPr>
        <w:t>, je ne suis pas de cet avis. L</w:t>
      </w:r>
      <w:r>
        <w:rPr>
          <w:rFonts w:cs="Times New Roman"/>
          <w:lang w:val="fr-CA"/>
        </w:rPr>
        <w:t xml:space="preserve">’évaluation du </w:t>
      </w:r>
      <w:r w:rsidRPr="0080058A">
        <w:rPr>
          <w:rFonts w:cs="Times New Roman"/>
          <w:lang w:val="fr-CA"/>
        </w:rPr>
        <w:t xml:space="preserve">risque sérieux </w:t>
      </w:r>
      <w:r>
        <w:rPr>
          <w:rFonts w:cs="Times New Roman"/>
          <w:lang w:val="fr-CA"/>
        </w:rPr>
        <w:t xml:space="preserve">d’être torturé </w:t>
      </w:r>
      <w:r w:rsidRPr="0080058A">
        <w:rPr>
          <w:rFonts w:cs="Times New Roman"/>
          <w:lang w:val="fr-CA"/>
        </w:rPr>
        <w:t xml:space="preserve">exige </w:t>
      </w:r>
      <w:r>
        <w:rPr>
          <w:rFonts w:cs="Times New Roman"/>
          <w:lang w:val="fr-CA"/>
        </w:rPr>
        <w:t>incontestablement que le ministre tienne compte des « risques personnels </w:t>
      </w:r>
      <w:r w:rsidRPr="0080058A">
        <w:rPr>
          <w:rFonts w:cs="Times New Roman"/>
          <w:lang w:val="fr-CA"/>
        </w:rPr>
        <w:t>» que court l</w:t>
      </w:r>
      <w:r>
        <w:rPr>
          <w:rFonts w:cs="Times New Roman"/>
          <w:lang w:val="fr-CA"/>
        </w:rPr>
        <w:t>’</w:t>
      </w:r>
      <w:r w:rsidRPr="0080058A">
        <w:rPr>
          <w:rFonts w:cs="Times New Roman"/>
          <w:lang w:val="fr-CA"/>
        </w:rPr>
        <w:t>individu concerné (</w:t>
      </w:r>
      <w:r w:rsidRPr="00763BA1">
        <w:rPr>
          <w:rFonts w:cs="Times New Roman"/>
          <w:i/>
          <w:lang w:val="fr-CA"/>
        </w:rPr>
        <w:t>Suresh</w:t>
      </w:r>
      <w:r>
        <w:rPr>
          <w:rFonts w:cs="Times New Roman"/>
          <w:lang w:val="fr-CA"/>
        </w:rPr>
        <w:t>, par. </w:t>
      </w:r>
      <w:r w:rsidRPr="0080058A">
        <w:rPr>
          <w:rFonts w:cs="Times New Roman"/>
          <w:lang w:val="fr-CA"/>
        </w:rPr>
        <w:t>39). Mais je n</w:t>
      </w:r>
      <w:r>
        <w:rPr>
          <w:rFonts w:cs="Times New Roman"/>
          <w:lang w:val="fr-CA"/>
        </w:rPr>
        <w:t>’</w:t>
      </w:r>
      <w:r w:rsidRPr="0080058A">
        <w:rPr>
          <w:rFonts w:cs="Times New Roman"/>
          <w:lang w:val="fr-CA"/>
        </w:rPr>
        <w:t>écarterai</w:t>
      </w:r>
      <w:r>
        <w:rPr>
          <w:rFonts w:cs="Times New Roman"/>
          <w:lang w:val="fr-CA"/>
        </w:rPr>
        <w:t>s</w:t>
      </w:r>
      <w:r w:rsidRPr="0080058A">
        <w:rPr>
          <w:rFonts w:cs="Times New Roman"/>
          <w:lang w:val="fr-CA"/>
        </w:rPr>
        <w:t xml:space="preserve"> pas la possibilité qu</w:t>
      </w:r>
      <w:r>
        <w:rPr>
          <w:rFonts w:cs="Times New Roman"/>
          <w:lang w:val="fr-CA"/>
        </w:rPr>
        <w:t xml:space="preserve">’il </w:t>
      </w:r>
      <w:r w:rsidRPr="0080058A">
        <w:rPr>
          <w:rFonts w:cs="Times New Roman"/>
          <w:lang w:val="fr-CA"/>
        </w:rPr>
        <w:t xml:space="preserve">existe des </w:t>
      </w:r>
      <w:r>
        <w:rPr>
          <w:rFonts w:cs="Times New Roman"/>
          <w:lang w:val="fr-CA"/>
        </w:rPr>
        <w:t xml:space="preserve">situations dans lesquelles </w:t>
      </w:r>
      <w:r>
        <w:rPr>
          <w:rFonts w:cs="Times New Roman"/>
          <w:lang w:val="fr-CA"/>
        </w:rPr>
        <w:lastRenderedPageBreak/>
        <w:t xml:space="preserve">une </w:t>
      </w:r>
      <w:r w:rsidRPr="0080058A">
        <w:rPr>
          <w:rFonts w:cs="Times New Roman"/>
          <w:lang w:val="fr-CA"/>
        </w:rPr>
        <w:t>preuve généra</w:t>
      </w:r>
      <w:r>
        <w:rPr>
          <w:rFonts w:cs="Times New Roman"/>
          <w:lang w:val="fr-CA"/>
        </w:rPr>
        <w:t xml:space="preserve">le </w:t>
      </w:r>
      <w:r w:rsidRPr="0080058A">
        <w:rPr>
          <w:rFonts w:cs="Times New Roman"/>
          <w:lang w:val="fr-CA"/>
        </w:rPr>
        <w:t>de violation</w:t>
      </w:r>
      <w:r>
        <w:rPr>
          <w:rFonts w:cs="Times New Roman"/>
          <w:lang w:val="fr-CA"/>
        </w:rPr>
        <w:t>s</w:t>
      </w:r>
      <w:r w:rsidRPr="0080058A">
        <w:rPr>
          <w:rFonts w:cs="Times New Roman"/>
          <w:lang w:val="fr-CA"/>
        </w:rPr>
        <w:t xml:space="preserve"> systématique</w:t>
      </w:r>
      <w:r>
        <w:rPr>
          <w:rFonts w:cs="Times New Roman"/>
          <w:lang w:val="fr-CA"/>
        </w:rPr>
        <w:t>s</w:t>
      </w:r>
      <w:r w:rsidRPr="0080058A">
        <w:rPr>
          <w:rFonts w:cs="Times New Roman"/>
          <w:lang w:val="fr-CA"/>
        </w:rPr>
        <w:t xml:space="preserve"> et généralisée</w:t>
      </w:r>
      <w:r>
        <w:rPr>
          <w:rFonts w:cs="Times New Roman"/>
          <w:lang w:val="fr-CA"/>
        </w:rPr>
        <w:t>s</w:t>
      </w:r>
      <w:r w:rsidRPr="0080058A">
        <w:rPr>
          <w:rFonts w:cs="Times New Roman"/>
          <w:lang w:val="fr-CA"/>
        </w:rPr>
        <w:t xml:space="preserve"> des droits de la personne dans </w:t>
      </w:r>
      <w:r>
        <w:rPr>
          <w:rFonts w:cs="Times New Roman"/>
          <w:lang w:val="fr-CA"/>
        </w:rPr>
        <w:t xml:space="preserve">l’État d’accueil </w:t>
      </w:r>
      <w:r w:rsidRPr="0080058A">
        <w:rPr>
          <w:rFonts w:cs="Times New Roman"/>
          <w:lang w:val="fr-CA"/>
        </w:rPr>
        <w:t>permet</w:t>
      </w:r>
      <w:r>
        <w:rPr>
          <w:rFonts w:cs="Times New Roman"/>
          <w:lang w:val="fr-CA"/>
        </w:rPr>
        <w:t xml:space="preserve"> </w:t>
      </w:r>
      <w:r w:rsidRPr="0080058A">
        <w:rPr>
          <w:rFonts w:cs="Times New Roman"/>
          <w:lang w:val="fr-CA"/>
        </w:rPr>
        <w:t>de conclure que l</w:t>
      </w:r>
      <w:r>
        <w:rPr>
          <w:rFonts w:cs="Times New Roman"/>
          <w:lang w:val="fr-CA"/>
        </w:rPr>
        <w:t>’</w:t>
      </w:r>
      <w:r w:rsidRPr="0080058A">
        <w:rPr>
          <w:rFonts w:cs="Times New Roman"/>
          <w:lang w:val="fr-CA"/>
        </w:rPr>
        <w:t>in</w:t>
      </w:r>
      <w:r>
        <w:rPr>
          <w:rFonts w:cs="Times New Roman"/>
          <w:lang w:val="fr-CA"/>
        </w:rPr>
        <w:t xml:space="preserve">téressé court </w:t>
      </w:r>
      <w:r w:rsidRPr="0080058A">
        <w:rPr>
          <w:rFonts w:cs="Times New Roman"/>
          <w:lang w:val="fr-CA"/>
        </w:rPr>
        <w:t xml:space="preserve">un risque sérieux </w:t>
      </w:r>
      <w:r>
        <w:rPr>
          <w:rFonts w:cs="Times New Roman"/>
          <w:lang w:val="fr-CA"/>
        </w:rPr>
        <w:t xml:space="preserve">de torture </w:t>
      </w:r>
      <w:r w:rsidRPr="0080058A">
        <w:rPr>
          <w:rFonts w:cs="Times New Roman"/>
          <w:lang w:val="fr-CA"/>
        </w:rPr>
        <w:t xml:space="preserve">ou </w:t>
      </w:r>
      <w:r>
        <w:rPr>
          <w:rFonts w:cs="Times New Roman"/>
          <w:lang w:val="fr-CA"/>
        </w:rPr>
        <w:t>de mauvais traitements.</w:t>
      </w:r>
    </w:p>
    <w:p w:rsidR="00361B98" w:rsidRPr="0080058A" w:rsidRDefault="00361B98" w:rsidP="002B69A7">
      <w:pPr>
        <w:pStyle w:val="Title3LevelTitre3Niveau"/>
        <w:widowControl w:val="0"/>
        <w:rPr>
          <w:rFonts w:cs="Times New Roman"/>
          <w:lang w:val="fr-CA"/>
        </w:rPr>
      </w:pPr>
      <w:r w:rsidRPr="0080058A">
        <w:rPr>
          <w:rFonts w:cs="Times New Roman"/>
          <w:lang w:val="fr-CA"/>
        </w:rPr>
        <w:t>Les assurances diplomatiques</w:t>
      </w:r>
    </w:p>
    <w:p w:rsidR="00361B98" w:rsidRPr="0080058A" w:rsidRDefault="00361B98" w:rsidP="002B69A7">
      <w:pPr>
        <w:pStyle w:val="ParaNoNdepar-AltN"/>
        <w:widowControl w:val="0"/>
        <w:rPr>
          <w:rFonts w:cs="Times New Roman"/>
          <w:lang w:val="fr-CA"/>
        </w:rPr>
      </w:pPr>
      <w:r w:rsidRPr="0080058A">
        <w:rPr>
          <w:rFonts w:cs="Times New Roman"/>
          <w:lang w:val="fr-CA"/>
        </w:rPr>
        <w:t>Pour dé</w:t>
      </w:r>
      <w:r>
        <w:rPr>
          <w:rFonts w:cs="Times New Roman"/>
          <w:lang w:val="fr-CA"/>
        </w:rPr>
        <w:t xml:space="preserve">cider </w:t>
      </w:r>
      <w:r w:rsidRPr="0080058A">
        <w:rPr>
          <w:rFonts w:cs="Times New Roman"/>
          <w:lang w:val="fr-CA"/>
        </w:rPr>
        <w:t>s</w:t>
      </w:r>
      <w:r>
        <w:rPr>
          <w:rFonts w:cs="Times New Roman"/>
          <w:lang w:val="fr-CA"/>
        </w:rPr>
        <w:t>’</w:t>
      </w:r>
      <w:r w:rsidRPr="0080058A">
        <w:rPr>
          <w:rFonts w:cs="Times New Roman"/>
          <w:lang w:val="fr-CA"/>
        </w:rPr>
        <w:t xml:space="preserve">il existe un risque </w:t>
      </w:r>
      <w:r>
        <w:rPr>
          <w:rFonts w:cs="Times New Roman"/>
          <w:lang w:val="fr-CA"/>
        </w:rPr>
        <w:t xml:space="preserve">sérieux </w:t>
      </w:r>
      <w:r w:rsidRPr="0080058A">
        <w:rPr>
          <w:rFonts w:cs="Times New Roman"/>
          <w:lang w:val="fr-CA"/>
        </w:rPr>
        <w:t xml:space="preserve">de torture ou de mauvais traitements, le </w:t>
      </w:r>
      <w:r>
        <w:rPr>
          <w:rFonts w:cs="Times New Roman"/>
          <w:lang w:val="fr-CA"/>
        </w:rPr>
        <w:t>m</w:t>
      </w:r>
      <w:r w:rsidRPr="0080058A">
        <w:rPr>
          <w:rFonts w:cs="Times New Roman"/>
          <w:lang w:val="fr-CA"/>
        </w:rPr>
        <w:t>inistre peut tenir compte des assurances diplomatiques données au sujet du traitement de l</w:t>
      </w:r>
      <w:r>
        <w:rPr>
          <w:rFonts w:cs="Times New Roman"/>
          <w:lang w:val="fr-CA"/>
        </w:rPr>
        <w:t>’</w:t>
      </w:r>
      <w:r w:rsidRPr="0080058A">
        <w:rPr>
          <w:rFonts w:cs="Times New Roman"/>
          <w:lang w:val="fr-CA"/>
        </w:rPr>
        <w:t>in</w:t>
      </w:r>
      <w:r>
        <w:rPr>
          <w:rFonts w:cs="Times New Roman"/>
          <w:lang w:val="fr-CA"/>
        </w:rPr>
        <w:t>téressé</w:t>
      </w:r>
      <w:r w:rsidRPr="0080058A">
        <w:rPr>
          <w:rFonts w:cs="Times New Roman"/>
          <w:lang w:val="fr-CA"/>
        </w:rPr>
        <w:t xml:space="preserve"> (</w:t>
      </w:r>
      <w:r w:rsidRPr="0080058A">
        <w:rPr>
          <w:rFonts w:cs="Times New Roman"/>
          <w:i/>
          <w:lang w:val="fr-CA"/>
        </w:rPr>
        <w:t>Suresh</w:t>
      </w:r>
      <w:r w:rsidRPr="0080058A">
        <w:rPr>
          <w:rFonts w:cs="Times New Roman"/>
          <w:lang w:val="fr-CA"/>
        </w:rPr>
        <w:t xml:space="preserve">, </w:t>
      </w:r>
      <w:r>
        <w:rPr>
          <w:rFonts w:cs="Times New Roman"/>
          <w:lang w:val="fr-CA"/>
        </w:rPr>
        <w:t>par. </w:t>
      </w:r>
      <w:r w:rsidRPr="0080058A">
        <w:rPr>
          <w:rFonts w:cs="Times New Roman"/>
          <w:lang w:val="fr-CA"/>
        </w:rPr>
        <w:t xml:space="preserve">39). Dans certains cas, le </w:t>
      </w:r>
      <w:r>
        <w:rPr>
          <w:rFonts w:cs="Times New Roman"/>
          <w:lang w:val="fr-CA"/>
        </w:rPr>
        <w:t>m</w:t>
      </w:r>
      <w:r w:rsidRPr="0080058A">
        <w:rPr>
          <w:rFonts w:cs="Times New Roman"/>
          <w:lang w:val="fr-CA"/>
        </w:rPr>
        <w:t>inistre peut être convaincu qu</w:t>
      </w:r>
      <w:r>
        <w:rPr>
          <w:rFonts w:cs="Times New Roman"/>
          <w:lang w:val="fr-CA"/>
        </w:rPr>
        <w:t>’</w:t>
      </w:r>
      <w:r w:rsidRPr="0080058A">
        <w:rPr>
          <w:rFonts w:cs="Times New Roman"/>
          <w:lang w:val="fr-CA"/>
        </w:rPr>
        <w:t>il est nécessaire d</w:t>
      </w:r>
      <w:r>
        <w:rPr>
          <w:rFonts w:cs="Times New Roman"/>
          <w:lang w:val="fr-CA"/>
        </w:rPr>
        <w:t>’</w:t>
      </w:r>
      <w:r w:rsidRPr="0080058A">
        <w:rPr>
          <w:rFonts w:cs="Times New Roman"/>
          <w:lang w:val="fr-CA"/>
        </w:rPr>
        <w:t>obtenir</w:t>
      </w:r>
      <w:r>
        <w:rPr>
          <w:rFonts w:cs="Times New Roman"/>
          <w:lang w:val="fr-CA"/>
        </w:rPr>
        <w:t xml:space="preserve"> des assurances pour éviter que l’intéressé coure un risque</w:t>
      </w:r>
      <w:r w:rsidRPr="0080058A">
        <w:rPr>
          <w:rFonts w:cs="Times New Roman"/>
          <w:lang w:val="fr-CA"/>
        </w:rPr>
        <w:t xml:space="preserve"> </w:t>
      </w:r>
      <w:r>
        <w:rPr>
          <w:rFonts w:cs="Times New Roman"/>
          <w:lang w:val="fr-CA"/>
        </w:rPr>
        <w:t xml:space="preserve">sérieux </w:t>
      </w:r>
      <w:r w:rsidRPr="0080058A">
        <w:rPr>
          <w:rFonts w:cs="Times New Roman"/>
          <w:lang w:val="fr-CA"/>
        </w:rPr>
        <w:t xml:space="preserve">de torture ou de mauvais traitements </w:t>
      </w:r>
      <w:r>
        <w:rPr>
          <w:rFonts w:cs="Times New Roman"/>
          <w:lang w:val="fr-CA"/>
        </w:rPr>
        <w:t xml:space="preserve">qui contreviendrait aux principes de justice fondamentale. </w:t>
      </w:r>
      <w:r w:rsidRPr="0080058A">
        <w:rPr>
          <w:rFonts w:cs="Times New Roman"/>
          <w:lang w:val="fr-CA"/>
        </w:rPr>
        <w:t xml:space="preserve">Lorsque le </w:t>
      </w:r>
      <w:r>
        <w:rPr>
          <w:rFonts w:cs="Times New Roman"/>
          <w:lang w:val="fr-CA"/>
        </w:rPr>
        <w:t>m</w:t>
      </w:r>
      <w:r w:rsidRPr="0080058A">
        <w:rPr>
          <w:rFonts w:cs="Times New Roman"/>
          <w:lang w:val="fr-CA"/>
        </w:rPr>
        <w:t>inistre estime qu</w:t>
      </w:r>
      <w:r>
        <w:rPr>
          <w:rFonts w:cs="Times New Roman"/>
          <w:lang w:val="fr-CA"/>
        </w:rPr>
        <w:t xml:space="preserve">’un tel </w:t>
      </w:r>
      <w:r w:rsidRPr="0080058A">
        <w:rPr>
          <w:rFonts w:cs="Times New Roman"/>
          <w:lang w:val="fr-CA"/>
        </w:rPr>
        <w:t xml:space="preserve">risque </w:t>
      </w:r>
      <w:r>
        <w:rPr>
          <w:rFonts w:cs="Times New Roman"/>
          <w:lang w:val="fr-CA"/>
        </w:rPr>
        <w:t xml:space="preserve">sérieux </w:t>
      </w:r>
      <w:r w:rsidRPr="0080058A">
        <w:rPr>
          <w:rFonts w:cs="Times New Roman"/>
          <w:lang w:val="fr-CA"/>
        </w:rPr>
        <w:t xml:space="preserve">de torture ou de mauvais traitements </w:t>
      </w:r>
      <w:r>
        <w:rPr>
          <w:rFonts w:cs="Times New Roman"/>
          <w:lang w:val="fr-CA"/>
        </w:rPr>
        <w:t xml:space="preserve">existe et qu’il est donc nécessaire que </w:t>
      </w:r>
      <w:r w:rsidRPr="0080058A">
        <w:rPr>
          <w:rFonts w:cs="Times New Roman"/>
          <w:lang w:val="fr-CA"/>
        </w:rPr>
        <w:t>des assurances diplomatiques soient fournies, l</w:t>
      </w:r>
      <w:r>
        <w:rPr>
          <w:rFonts w:cs="Times New Roman"/>
          <w:lang w:val="fr-CA"/>
        </w:rPr>
        <w:t xml:space="preserve">e tribunal de révision </w:t>
      </w:r>
      <w:r w:rsidRPr="0080058A">
        <w:rPr>
          <w:rFonts w:cs="Times New Roman"/>
          <w:lang w:val="fr-CA"/>
        </w:rPr>
        <w:t xml:space="preserve">doit </w:t>
      </w:r>
      <w:r>
        <w:rPr>
          <w:rFonts w:cs="Times New Roman"/>
          <w:lang w:val="fr-CA"/>
        </w:rPr>
        <w:t xml:space="preserve">décider si c’est à raison que le ministre a conclu, sur la foi des </w:t>
      </w:r>
      <w:r w:rsidRPr="0080058A">
        <w:rPr>
          <w:rFonts w:cs="Times New Roman"/>
          <w:lang w:val="fr-CA"/>
        </w:rPr>
        <w:t>assurances fournies</w:t>
      </w:r>
      <w:r>
        <w:rPr>
          <w:rFonts w:cs="Times New Roman"/>
          <w:lang w:val="fr-CA"/>
        </w:rPr>
        <w:t>, qu’il n’y a pas de risque sérieux de torture ou de mauvais traitements</w:t>
      </w:r>
      <w:r w:rsidRPr="0080058A">
        <w:rPr>
          <w:rFonts w:cs="Times New Roman"/>
          <w:lang w:val="fr-CA"/>
        </w:rPr>
        <w:t>. À cet égard, je tiens à s</w:t>
      </w:r>
      <w:r>
        <w:rPr>
          <w:rFonts w:cs="Times New Roman"/>
          <w:lang w:val="fr-CA"/>
        </w:rPr>
        <w:t xml:space="preserve">ouligner </w:t>
      </w:r>
      <w:r w:rsidRPr="0080058A">
        <w:rPr>
          <w:rFonts w:cs="Times New Roman"/>
          <w:lang w:val="fr-CA"/>
        </w:rPr>
        <w:t>qu</w:t>
      </w:r>
      <w:r>
        <w:rPr>
          <w:rFonts w:cs="Times New Roman"/>
          <w:lang w:val="fr-CA"/>
        </w:rPr>
        <w:t>’</w:t>
      </w:r>
      <w:r w:rsidRPr="0080058A">
        <w:rPr>
          <w:rFonts w:cs="Times New Roman"/>
          <w:lang w:val="fr-CA"/>
        </w:rPr>
        <w:t>il n</w:t>
      </w:r>
      <w:r>
        <w:rPr>
          <w:rFonts w:cs="Times New Roman"/>
          <w:lang w:val="fr-CA"/>
        </w:rPr>
        <w:t>’</w:t>
      </w:r>
      <w:r w:rsidRPr="0080058A">
        <w:rPr>
          <w:rFonts w:cs="Times New Roman"/>
          <w:lang w:val="fr-CA"/>
        </w:rPr>
        <w:t>est pas nécessaire que les assurances diplomatiques</w:t>
      </w:r>
      <w:r>
        <w:rPr>
          <w:rFonts w:cs="Times New Roman"/>
          <w:lang w:val="fr-CA"/>
        </w:rPr>
        <w:t xml:space="preserve"> </w:t>
      </w:r>
      <w:r w:rsidRPr="003642E3">
        <w:rPr>
          <w:rFonts w:cs="Times New Roman"/>
          <w:lang w:val="fr-CA"/>
        </w:rPr>
        <w:t>écartent toute possibilité de torture ou de mauvais traitements; elles doivent simpl</w:t>
      </w:r>
      <w:r>
        <w:rPr>
          <w:rFonts w:cs="Times New Roman"/>
          <w:lang w:val="fr-CA"/>
        </w:rPr>
        <w:t xml:space="preserve">ement donner au ministre un motif raisonnable </w:t>
      </w:r>
      <w:r w:rsidRPr="0080058A">
        <w:rPr>
          <w:rFonts w:cs="Times New Roman"/>
          <w:lang w:val="fr-CA"/>
        </w:rPr>
        <w:t xml:space="preserve">de conclure </w:t>
      </w:r>
      <w:r>
        <w:rPr>
          <w:rFonts w:cs="Times New Roman"/>
          <w:lang w:val="fr-CA"/>
        </w:rPr>
        <w:t xml:space="preserve">qu’il n’y a aucun risque sérieux </w:t>
      </w:r>
      <w:r w:rsidRPr="0080058A">
        <w:rPr>
          <w:rFonts w:cs="Times New Roman"/>
          <w:lang w:val="fr-CA"/>
        </w:rPr>
        <w:t xml:space="preserve">de torture ou de mauvais traitements. </w:t>
      </w:r>
    </w:p>
    <w:p w:rsidR="00361B98" w:rsidRPr="0080058A" w:rsidRDefault="00361B98" w:rsidP="002B69A7">
      <w:pPr>
        <w:pStyle w:val="ParaNoNdepar-AltN"/>
        <w:widowControl w:val="0"/>
        <w:rPr>
          <w:rFonts w:cs="Times New Roman"/>
          <w:szCs w:val="24"/>
          <w:lang w:val="fr-CA"/>
        </w:rPr>
      </w:pPr>
      <w:r w:rsidRPr="0080058A">
        <w:rPr>
          <w:rFonts w:cs="Times New Roman"/>
          <w:lang w:val="fr-CA"/>
        </w:rPr>
        <w:t>Dans l</w:t>
      </w:r>
      <w:r>
        <w:rPr>
          <w:rFonts w:cs="Times New Roman"/>
          <w:lang w:val="fr-CA"/>
        </w:rPr>
        <w:t>’</w:t>
      </w:r>
      <w:r w:rsidRPr="0080058A">
        <w:rPr>
          <w:rFonts w:cs="Times New Roman"/>
          <w:lang w:val="fr-CA"/>
        </w:rPr>
        <w:t>a</w:t>
      </w:r>
      <w:r>
        <w:rPr>
          <w:rFonts w:cs="Times New Roman"/>
          <w:lang w:val="fr-CA"/>
        </w:rPr>
        <w:t xml:space="preserve">ffaire </w:t>
      </w:r>
      <w:r w:rsidRPr="0080058A">
        <w:rPr>
          <w:rFonts w:cs="Times New Roman"/>
          <w:i/>
          <w:lang w:val="fr-CA"/>
        </w:rPr>
        <w:t>Othman (Abu Qatada) c. Royaume</w:t>
      </w:r>
      <w:r>
        <w:rPr>
          <w:rFonts w:cs="Times New Roman"/>
          <w:i/>
          <w:lang w:val="fr-CA"/>
        </w:rPr>
        <w:noBreakHyphen/>
      </w:r>
      <w:r w:rsidRPr="0080058A">
        <w:rPr>
          <w:rFonts w:cs="Times New Roman"/>
          <w:i/>
          <w:lang w:val="fr-CA"/>
        </w:rPr>
        <w:t>Uni</w:t>
      </w:r>
      <w:r w:rsidRPr="0080058A">
        <w:rPr>
          <w:rFonts w:cs="Times New Roman"/>
          <w:lang w:val="fr-CA"/>
        </w:rPr>
        <w:t>, n</w:t>
      </w:r>
      <w:r w:rsidRPr="0080058A">
        <w:rPr>
          <w:rFonts w:cs="Times New Roman"/>
          <w:vertAlign w:val="superscript"/>
          <w:lang w:val="fr-CA"/>
        </w:rPr>
        <w:t>o</w:t>
      </w:r>
      <w:r>
        <w:rPr>
          <w:rFonts w:cs="Times New Roman"/>
          <w:lang w:val="fr-CA"/>
        </w:rPr>
        <w:t> </w:t>
      </w:r>
      <w:r w:rsidRPr="0080058A">
        <w:rPr>
          <w:rFonts w:cs="Times New Roman"/>
          <w:lang w:val="fr-CA"/>
        </w:rPr>
        <w:t>8139/09,</w:t>
      </w:r>
      <w:r>
        <w:rPr>
          <w:rFonts w:cs="Times New Roman"/>
          <w:lang w:val="fr-CA"/>
        </w:rPr>
        <w:t xml:space="preserve"> CEDH 2012</w:t>
      </w:r>
      <w:r>
        <w:rPr>
          <w:rFonts w:cs="Times New Roman"/>
          <w:lang w:val="fr-CA"/>
        </w:rPr>
        <w:noBreakHyphen/>
        <w:t>I,</w:t>
      </w:r>
      <w:r w:rsidRPr="0080058A">
        <w:rPr>
          <w:rFonts w:cs="Times New Roman"/>
          <w:lang w:val="fr-CA"/>
        </w:rPr>
        <w:t xml:space="preserve"> la Cour européenne des droits de l</w:t>
      </w:r>
      <w:r>
        <w:rPr>
          <w:rFonts w:cs="Times New Roman"/>
          <w:lang w:val="fr-CA"/>
        </w:rPr>
        <w:t>’</w:t>
      </w:r>
      <w:r w:rsidRPr="0080058A">
        <w:rPr>
          <w:rFonts w:cs="Times New Roman"/>
          <w:lang w:val="fr-CA"/>
        </w:rPr>
        <w:t>homme</w:t>
      </w:r>
      <w:r>
        <w:rPr>
          <w:rFonts w:cs="Times New Roman"/>
          <w:lang w:val="fr-CA"/>
        </w:rPr>
        <w:t xml:space="preserve"> </w:t>
      </w:r>
      <w:r w:rsidRPr="0080058A">
        <w:rPr>
          <w:rFonts w:cs="Times New Roman"/>
          <w:lang w:val="fr-CA"/>
        </w:rPr>
        <w:t>(</w:t>
      </w:r>
      <w:r>
        <w:rPr>
          <w:rFonts w:cs="Times New Roman"/>
          <w:lang w:val="fr-CA"/>
        </w:rPr>
        <w:t>« </w:t>
      </w:r>
      <w:r w:rsidRPr="0080058A">
        <w:rPr>
          <w:rFonts w:cs="Times New Roman"/>
          <w:lang w:val="fr-CA"/>
        </w:rPr>
        <w:t>CEDH</w:t>
      </w:r>
      <w:r>
        <w:rPr>
          <w:rFonts w:cs="Times New Roman"/>
          <w:lang w:val="fr-CA"/>
        </w:rPr>
        <w:t> »</w:t>
      </w:r>
      <w:r w:rsidRPr="0080058A">
        <w:rPr>
          <w:rFonts w:cs="Times New Roman"/>
          <w:lang w:val="fr-CA"/>
        </w:rPr>
        <w:t xml:space="preserve">) </w:t>
      </w:r>
      <w:r>
        <w:rPr>
          <w:rFonts w:cs="Times New Roman"/>
          <w:lang w:val="fr-CA"/>
        </w:rPr>
        <w:t xml:space="preserve">s’est demandé </w:t>
      </w:r>
      <w:r w:rsidRPr="0080058A">
        <w:rPr>
          <w:rFonts w:cs="Times New Roman"/>
          <w:lang w:val="fr-CA"/>
        </w:rPr>
        <w:t>si l</w:t>
      </w:r>
      <w:r>
        <w:rPr>
          <w:rFonts w:cs="Times New Roman"/>
          <w:lang w:val="fr-CA"/>
        </w:rPr>
        <w:t>’</w:t>
      </w:r>
      <w:r w:rsidRPr="0080058A">
        <w:rPr>
          <w:rFonts w:cs="Times New Roman"/>
          <w:lang w:val="fr-CA"/>
        </w:rPr>
        <w:t xml:space="preserve">expulsion de M. Qatada, </w:t>
      </w:r>
      <w:r>
        <w:rPr>
          <w:rFonts w:cs="Times New Roman"/>
          <w:lang w:val="fr-CA"/>
        </w:rPr>
        <w:t>laquelle a</w:t>
      </w:r>
      <w:r w:rsidRPr="006B3D9E">
        <w:rPr>
          <w:rFonts w:cs="Times New Roman"/>
          <w:szCs w:val="24"/>
          <w:lang w:val="fr-CA"/>
        </w:rPr>
        <w:t>vait été</w:t>
      </w:r>
      <w:r>
        <w:rPr>
          <w:rFonts w:cs="Times New Roman"/>
          <w:szCs w:val="24"/>
          <w:lang w:val="fr-CA"/>
        </w:rPr>
        <w:t xml:space="preserve"> subordonnée à l’obtention </w:t>
      </w:r>
      <w:r w:rsidRPr="006B3D9E">
        <w:rPr>
          <w:rFonts w:cs="Times New Roman"/>
          <w:szCs w:val="24"/>
          <w:lang w:val="fr-CA"/>
        </w:rPr>
        <w:t>d</w:t>
      </w:r>
      <w:r>
        <w:rPr>
          <w:rFonts w:cs="Times New Roman"/>
          <w:szCs w:val="24"/>
          <w:lang w:val="fr-CA"/>
        </w:rPr>
        <w:t>’</w:t>
      </w:r>
      <w:r w:rsidRPr="006B3D9E">
        <w:rPr>
          <w:rFonts w:cs="Times New Roman"/>
          <w:szCs w:val="24"/>
          <w:lang w:val="fr-CA"/>
        </w:rPr>
        <w:t xml:space="preserve">assurances </w:t>
      </w:r>
      <w:r w:rsidRPr="006B3D9E">
        <w:rPr>
          <w:rFonts w:cs="Times New Roman"/>
          <w:szCs w:val="24"/>
          <w:lang w:val="fr-CA"/>
        </w:rPr>
        <w:lastRenderedPageBreak/>
        <w:t>diplomatiques, respectait l</w:t>
      </w:r>
      <w:r>
        <w:rPr>
          <w:rFonts w:cs="Times New Roman"/>
          <w:szCs w:val="24"/>
          <w:lang w:val="fr-CA"/>
        </w:rPr>
        <w:t xml:space="preserve">e par. 3(1) </w:t>
      </w:r>
      <w:r w:rsidRPr="006B3D9E">
        <w:rPr>
          <w:rFonts w:cs="Times New Roman"/>
          <w:szCs w:val="24"/>
          <w:lang w:val="fr-CA"/>
        </w:rPr>
        <w:t xml:space="preserve">de la </w:t>
      </w:r>
      <w:r w:rsidRPr="00D91532">
        <w:rPr>
          <w:rFonts w:cs="Times New Roman"/>
          <w:i/>
          <w:szCs w:val="24"/>
          <w:lang w:val="fr-CA"/>
        </w:rPr>
        <w:t>CCT</w:t>
      </w:r>
      <w:r w:rsidRPr="006B3D9E">
        <w:rPr>
          <w:rFonts w:cs="Times New Roman"/>
          <w:szCs w:val="24"/>
          <w:lang w:val="fr-CA"/>
        </w:rPr>
        <w:t>, qui interdit l</w:t>
      </w:r>
      <w:r>
        <w:rPr>
          <w:rFonts w:cs="Times New Roman"/>
          <w:szCs w:val="24"/>
          <w:lang w:val="fr-CA"/>
        </w:rPr>
        <w:t>’</w:t>
      </w:r>
      <w:r w:rsidRPr="006B3D9E">
        <w:rPr>
          <w:rFonts w:cs="Times New Roman"/>
          <w:szCs w:val="24"/>
          <w:lang w:val="fr-CA"/>
        </w:rPr>
        <w:t xml:space="preserve">expulsion </w:t>
      </w:r>
      <w:r>
        <w:rPr>
          <w:rFonts w:cs="Times New Roman"/>
          <w:szCs w:val="24"/>
          <w:lang w:val="fr-CA"/>
        </w:rPr>
        <w:t xml:space="preserve">lorsqu’il </w:t>
      </w:r>
      <w:r w:rsidRPr="006B3D9E">
        <w:rPr>
          <w:szCs w:val="24"/>
          <w:lang w:val="fr-CA"/>
        </w:rPr>
        <w:t xml:space="preserve">y a des motifs sérieux </w:t>
      </w:r>
      <w:r>
        <w:rPr>
          <w:szCs w:val="24"/>
          <w:lang w:val="fr-CA"/>
        </w:rPr>
        <w:t xml:space="preserve">et avérés </w:t>
      </w:r>
      <w:r w:rsidRPr="006B3D9E">
        <w:rPr>
          <w:szCs w:val="24"/>
          <w:lang w:val="fr-CA"/>
        </w:rPr>
        <w:t>de croire que l</w:t>
      </w:r>
      <w:r>
        <w:rPr>
          <w:szCs w:val="24"/>
          <w:lang w:val="fr-CA"/>
        </w:rPr>
        <w:t>’</w:t>
      </w:r>
      <w:r w:rsidRPr="006B3D9E">
        <w:rPr>
          <w:szCs w:val="24"/>
          <w:lang w:val="fr-CA"/>
        </w:rPr>
        <w:t>intéressé, si on l</w:t>
      </w:r>
      <w:r>
        <w:rPr>
          <w:szCs w:val="24"/>
          <w:lang w:val="fr-CA"/>
        </w:rPr>
        <w:t>’</w:t>
      </w:r>
      <w:r w:rsidRPr="006B3D9E">
        <w:rPr>
          <w:szCs w:val="24"/>
          <w:lang w:val="fr-CA"/>
        </w:rPr>
        <w:t xml:space="preserve">expulse vers le pays de destination, y courra un </w:t>
      </w:r>
      <w:r>
        <w:rPr>
          <w:szCs w:val="24"/>
          <w:lang w:val="fr-CA"/>
        </w:rPr>
        <w:t>« </w:t>
      </w:r>
      <w:r w:rsidRPr="006B3D9E">
        <w:rPr>
          <w:szCs w:val="24"/>
          <w:lang w:val="fr-CA"/>
        </w:rPr>
        <w:t>risque réel » d</w:t>
      </w:r>
      <w:r>
        <w:rPr>
          <w:szCs w:val="24"/>
          <w:lang w:val="fr-CA"/>
        </w:rPr>
        <w:t>’</w:t>
      </w:r>
      <w:r w:rsidRPr="006B3D9E">
        <w:rPr>
          <w:szCs w:val="24"/>
          <w:lang w:val="fr-CA"/>
        </w:rPr>
        <w:t xml:space="preserve">être soumis à de mauvais traitements </w:t>
      </w:r>
      <w:r w:rsidRPr="006B3D9E">
        <w:rPr>
          <w:rFonts w:cs="Times New Roman"/>
          <w:szCs w:val="24"/>
          <w:lang w:val="fr-CA"/>
        </w:rPr>
        <w:t>(</w:t>
      </w:r>
      <w:r>
        <w:rPr>
          <w:rFonts w:cs="Times New Roman"/>
          <w:szCs w:val="24"/>
          <w:lang w:val="fr-CA"/>
        </w:rPr>
        <w:t>par. </w:t>
      </w:r>
      <w:r w:rsidRPr="006B3D9E">
        <w:rPr>
          <w:rFonts w:cs="Times New Roman"/>
          <w:szCs w:val="24"/>
          <w:lang w:val="fr-CA"/>
        </w:rPr>
        <w:t>185). La C</w:t>
      </w:r>
      <w:r>
        <w:rPr>
          <w:rFonts w:cs="Times New Roman"/>
          <w:szCs w:val="24"/>
          <w:lang w:val="fr-CA"/>
        </w:rPr>
        <w:t xml:space="preserve">EDH </w:t>
      </w:r>
      <w:r w:rsidRPr="0080058A">
        <w:rPr>
          <w:rFonts w:cs="Times New Roman"/>
          <w:lang w:val="fr-CA"/>
        </w:rPr>
        <w:t>a conclu que la question qu</w:t>
      </w:r>
      <w:r>
        <w:rPr>
          <w:rFonts w:cs="Times New Roman"/>
          <w:lang w:val="fr-CA"/>
        </w:rPr>
        <w:t>’</w:t>
      </w:r>
      <w:r w:rsidRPr="0080058A">
        <w:rPr>
          <w:rFonts w:cs="Times New Roman"/>
          <w:lang w:val="fr-CA"/>
        </w:rPr>
        <w:t xml:space="preserve">il convenait de se poser pour </w:t>
      </w:r>
      <w:r>
        <w:rPr>
          <w:rFonts w:cs="Times New Roman"/>
          <w:lang w:val="fr-CA"/>
        </w:rPr>
        <w:t xml:space="preserve">juger </w:t>
      </w:r>
      <w:r w:rsidRPr="0080058A">
        <w:rPr>
          <w:rFonts w:cs="Times New Roman"/>
          <w:lang w:val="fr-CA"/>
        </w:rPr>
        <w:t>si l</w:t>
      </w:r>
      <w:r>
        <w:rPr>
          <w:rFonts w:cs="Times New Roman"/>
          <w:lang w:val="fr-CA"/>
        </w:rPr>
        <w:t>’</w:t>
      </w:r>
      <w:r w:rsidRPr="0080058A">
        <w:rPr>
          <w:rFonts w:cs="Times New Roman"/>
          <w:lang w:val="fr-CA"/>
        </w:rPr>
        <w:t>expulsion respectait</w:t>
      </w:r>
      <w:r>
        <w:rPr>
          <w:rFonts w:cs="Times New Roman"/>
          <w:lang w:val="fr-CA"/>
        </w:rPr>
        <w:t xml:space="preserve"> le par. 3(1) était de savoir </w:t>
      </w:r>
      <w:r w:rsidRPr="0080058A">
        <w:rPr>
          <w:rFonts w:cs="Times New Roman"/>
          <w:szCs w:val="24"/>
          <w:lang w:val="fr-CA"/>
        </w:rPr>
        <w:t>« </w:t>
      </w:r>
      <w:r w:rsidRPr="0080058A">
        <w:rPr>
          <w:szCs w:val="24"/>
          <w:lang w:val="fr-CA"/>
        </w:rPr>
        <w:t>si les assurances obtenues dans un c</w:t>
      </w:r>
      <w:r>
        <w:rPr>
          <w:szCs w:val="24"/>
          <w:lang w:val="fr-CA"/>
        </w:rPr>
        <w:t xml:space="preserve">as donné sont suffisantes pour </w:t>
      </w:r>
      <w:r w:rsidR="00241C36">
        <w:rPr>
          <w:szCs w:val="24"/>
          <w:lang w:val="fr-CA"/>
        </w:rPr>
        <w:t>lever</w:t>
      </w:r>
      <w:r w:rsidRPr="0080058A">
        <w:rPr>
          <w:szCs w:val="24"/>
          <w:lang w:val="fr-CA"/>
        </w:rPr>
        <w:t xml:space="preserve"> tout risque réel de mauvais traitements »</w:t>
      </w:r>
      <w:r w:rsidRPr="0080058A">
        <w:rPr>
          <w:rFonts w:cs="Times New Roman"/>
          <w:szCs w:val="24"/>
          <w:lang w:val="fr-CA"/>
        </w:rPr>
        <w:t xml:space="preserve"> (</w:t>
      </w:r>
      <w:r>
        <w:rPr>
          <w:rFonts w:cs="Times New Roman"/>
          <w:szCs w:val="24"/>
          <w:lang w:val="fr-CA"/>
        </w:rPr>
        <w:t>par. </w:t>
      </w:r>
      <w:r w:rsidRPr="0080058A">
        <w:rPr>
          <w:rFonts w:cs="Times New Roman"/>
          <w:szCs w:val="24"/>
          <w:lang w:val="fr-CA"/>
        </w:rPr>
        <w:t xml:space="preserve">186). </w:t>
      </w:r>
    </w:p>
    <w:p w:rsidR="00361B98" w:rsidRPr="0080058A" w:rsidRDefault="00361B98" w:rsidP="002B69A7">
      <w:pPr>
        <w:pStyle w:val="ParaNoNdepar-AltN"/>
        <w:widowControl w:val="0"/>
        <w:rPr>
          <w:rFonts w:cs="Times New Roman"/>
          <w:lang w:val="fr-CA"/>
        </w:rPr>
      </w:pPr>
      <w:r w:rsidRPr="0080058A">
        <w:rPr>
          <w:rFonts w:cs="Times New Roman"/>
          <w:lang w:val="fr-CA"/>
        </w:rPr>
        <w:t>La fiabilité des assurances diplomatiques dépend essentiellement des circonstances de l</w:t>
      </w:r>
      <w:r>
        <w:rPr>
          <w:rFonts w:cs="Times New Roman"/>
          <w:lang w:val="fr-CA"/>
        </w:rPr>
        <w:t>’</w:t>
      </w:r>
      <w:r w:rsidRPr="0080058A">
        <w:rPr>
          <w:rFonts w:cs="Times New Roman"/>
          <w:lang w:val="fr-CA"/>
        </w:rPr>
        <w:t>espèce. Dans l</w:t>
      </w:r>
      <w:r>
        <w:rPr>
          <w:rFonts w:cs="Times New Roman"/>
          <w:lang w:val="fr-CA"/>
        </w:rPr>
        <w:t>’</w:t>
      </w:r>
      <w:r w:rsidRPr="0080058A">
        <w:rPr>
          <w:rFonts w:cs="Times New Roman"/>
          <w:lang w:val="fr-CA"/>
        </w:rPr>
        <w:t xml:space="preserve">arrêt </w:t>
      </w:r>
      <w:r w:rsidRPr="0080058A">
        <w:rPr>
          <w:rFonts w:cs="Times New Roman"/>
          <w:i/>
          <w:lang w:val="fr-CA"/>
        </w:rPr>
        <w:t>Suresh</w:t>
      </w:r>
      <w:r w:rsidRPr="0080058A">
        <w:rPr>
          <w:rFonts w:cs="Times New Roman"/>
          <w:lang w:val="fr-CA"/>
        </w:rPr>
        <w:t>, notre Cour a souligné qu</w:t>
      </w:r>
      <w:r>
        <w:rPr>
          <w:rFonts w:cs="Times New Roman"/>
          <w:lang w:val="fr-CA"/>
        </w:rPr>
        <w:t>’</w:t>
      </w:r>
      <w:r w:rsidRPr="0080058A">
        <w:rPr>
          <w:rFonts w:cs="Times New Roman"/>
          <w:lang w:val="fr-CA"/>
        </w:rPr>
        <w:t>il convenait d</w:t>
      </w:r>
      <w:r>
        <w:rPr>
          <w:rFonts w:cs="Times New Roman"/>
          <w:lang w:val="fr-CA"/>
        </w:rPr>
        <w:t>’</w:t>
      </w:r>
      <w:r w:rsidRPr="0080058A">
        <w:rPr>
          <w:rFonts w:cs="Times New Roman"/>
          <w:lang w:val="fr-CA"/>
        </w:rPr>
        <w:t xml:space="preserve">adopter une approche contextuelle pour déterminer la fiabilité des assurances diplomatiques. La Cour a signalé que les assurances portant sur la peine de mort étaient plus faciles à </w:t>
      </w:r>
      <w:r>
        <w:rPr>
          <w:rFonts w:cs="Times New Roman"/>
          <w:lang w:val="fr-CA"/>
        </w:rPr>
        <w:t>vérifier</w:t>
      </w:r>
      <w:r w:rsidRPr="0080058A">
        <w:rPr>
          <w:rFonts w:cs="Times New Roman"/>
          <w:lang w:val="fr-CA"/>
        </w:rPr>
        <w:t xml:space="preserve"> et plus dignes de foi que celles portant sur la torture</w:t>
      </w:r>
      <w:r>
        <w:rPr>
          <w:rFonts w:cs="Times New Roman"/>
          <w:lang w:val="fr-CA"/>
        </w:rPr>
        <w:t> :</w:t>
      </w:r>
      <w:r w:rsidRPr="0080058A">
        <w:rPr>
          <w:rFonts w:cs="Times New Roman"/>
          <w:lang w:val="fr-CA"/>
        </w:rPr>
        <w:t xml:space="preserve"> « </w:t>
      </w:r>
      <w:r w:rsidRPr="0080058A">
        <w:rPr>
          <w:lang w:val="fr-CA"/>
        </w:rPr>
        <w:t>Nous tenons à souligner le problème que crée le fait d</w:t>
      </w:r>
      <w:r>
        <w:rPr>
          <w:lang w:val="fr-CA"/>
        </w:rPr>
        <w:t>’</w:t>
      </w:r>
      <w:r w:rsidRPr="0080058A">
        <w:rPr>
          <w:lang w:val="fr-CA"/>
        </w:rPr>
        <w:t>accorder trop de poids à l</w:t>
      </w:r>
      <w:r>
        <w:rPr>
          <w:lang w:val="fr-CA"/>
        </w:rPr>
        <w:t>’</w:t>
      </w:r>
      <w:r w:rsidRPr="0080058A">
        <w:rPr>
          <w:lang w:val="fr-CA"/>
        </w:rPr>
        <w:t>assurance donnée par un État qu</w:t>
      </w:r>
      <w:r>
        <w:rPr>
          <w:lang w:val="fr-CA"/>
        </w:rPr>
        <w:t>’</w:t>
      </w:r>
      <w:r w:rsidRPr="0080058A">
        <w:rPr>
          <w:lang w:val="fr-CA"/>
        </w:rPr>
        <w:t>il n</w:t>
      </w:r>
      <w:r>
        <w:rPr>
          <w:lang w:val="fr-CA"/>
        </w:rPr>
        <w:t>’</w:t>
      </w:r>
      <w:r w:rsidRPr="0080058A">
        <w:rPr>
          <w:lang w:val="fr-CA"/>
        </w:rPr>
        <w:t>aura pas recours à la torture à l</w:t>
      </w:r>
      <w:r>
        <w:rPr>
          <w:lang w:val="fr-CA"/>
        </w:rPr>
        <w:t>’</w:t>
      </w:r>
      <w:r w:rsidRPr="0080058A">
        <w:rPr>
          <w:lang w:val="fr-CA"/>
        </w:rPr>
        <w:t>avenir, alors que par le passé il s</w:t>
      </w:r>
      <w:r>
        <w:rPr>
          <w:lang w:val="fr-CA"/>
        </w:rPr>
        <w:t>’</w:t>
      </w:r>
      <w:r w:rsidRPr="0080058A">
        <w:rPr>
          <w:lang w:val="fr-CA"/>
        </w:rPr>
        <w:t>y est livré illégalement ou a permis que d</w:t>
      </w:r>
      <w:r>
        <w:rPr>
          <w:lang w:val="fr-CA"/>
        </w:rPr>
        <w:t>’</w:t>
      </w:r>
      <w:r w:rsidRPr="0080058A">
        <w:rPr>
          <w:lang w:val="fr-CA"/>
        </w:rPr>
        <w:t>autres s</w:t>
      </w:r>
      <w:r>
        <w:rPr>
          <w:lang w:val="fr-CA"/>
        </w:rPr>
        <w:t>’</w:t>
      </w:r>
      <w:r w:rsidRPr="0080058A">
        <w:rPr>
          <w:lang w:val="fr-CA"/>
        </w:rPr>
        <w:t>y livrent sur son territoire »</w:t>
      </w:r>
      <w:r w:rsidRPr="0080058A">
        <w:rPr>
          <w:rFonts w:cs="Times New Roman"/>
          <w:lang w:val="fr-CA"/>
        </w:rPr>
        <w:t xml:space="preserve"> (</w:t>
      </w:r>
      <w:r>
        <w:rPr>
          <w:rFonts w:cs="Times New Roman"/>
          <w:lang w:val="fr-CA"/>
        </w:rPr>
        <w:t>par. </w:t>
      </w:r>
      <w:r w:rsidRPr="0080058A">
        <w:rPr>
          <w:rFonts w:cs="Times New Roman"/>
          <w:lang w:val="fr-CA"/>
        </w:rPr>
        <w:t xml:space="preserve">124). En dernière analyse, toutefois, la valeur à accorder aux assurances fournies fait intervenir une foule de facteurs. Ainsi, pour évaluer la fiabilité des assurances données, le </w:t>
      </w:r>
      <w:r>
        <w:rPr>
          <w:rFonts w:cs="Times New Roman"/>
          <w:lang w:val="fr-CA"/>
        </w:rPr>
        <w:t>m</w:t>
      </w:r>
      <w:r w:rsidRPr="0080058A">
        <w:rPr>
          <w:rFonts w:cs="Times New Roman"/>
          <w:lang w:val="fr-CA"/>
        </w:rPr>
        <w:t>inistre peut tenir compte</w:t>
      </w:r>
      <w:r w:rsidR="00241C36">
        <w:rPr>
          <w:rFonts w:cs="Times New Roman"/>
          <w:lang w:val="fr-CA"/>
        </w:rPr>
        <w:t> </w:t>
      </w:r>
      <w:r w:rsidRPr="0080058A">
        <w:rPr>
          <w:rFonts w:cs="Times New Roman"/>
          <w:lang w:val="fr-CA"/>
        </w:rPr>
        <w:t xml:space="preserve"> </w:t>
      </w:r>
    </w:p>
    <w:p w:rsidR="00361B98" w:rsidRPr="0080058A" w:rsidRDefault="00361B98" w:rsidP="002B69A7">
      <w:pPr>
        <w:pStyle w:val="Citation-AltC"/>
        <w:widowControl w:val="0"/>
        <w:ind w:hanging="1166"/>
        <w:contextualSpacing w:val="0"/>
        <w:rPr>
          <w:lang w:val="fr-CA"/>
        </w:rPr>
      </w:pPr>
      <w:r>
        <w:rPr>
          <w:lang w:val="fr-CA"/>
        </w:rPr>
        <w:tab/>
      </w:r>
      <w:r w:rsidRPr="0080058A">
        <w:rPr>
          <w:lang w:val="fr-CA"/>
        </w:rPr>
        <w:t>des antécédents de ce gouvernement en matière de respect des droits de la personne, de la mesure dans laquelle il s</w:t>
      </w:r>
      <w:r>
        <w:rPr>
          <w:lang w:val="fr-CA"/>
        </w:rPr>
        <w:t>’</w:t>
      </w:r>
      <w:r w:rsidRPr="0080058A">
        <w:rPr>
          <w:lang w:val="fr-CA"/>
        </w:rPr>
        <w:t>est conformé dans le passé à de telles assurances et de sa capacité de le faire, plus particulièrement lorsqu</w:t>
      </w:r>
      <w:r>
        <w:rPr>
          <w:lang w:val="fr-CA"/>
        </w:rPr>
        <w:t>’</w:t>
      </w:r>
      <w:r w:rsidRPr="0080058A">
        <w:rPr>
          <w:lang w:val="fr-CA"/>
        </w:rPr>
        <w:t>il n</w:t>
      </w:r>
      <w:r>
        <w:rPr>
          <w:lang w:val="fr-CA"/>
        </w:rPr>
        <w:t>’</w:t>
      </w:r>
      <w:r w:rsidRPr="0080058A">
        <w:rPr>
          <w:lang w:val="fr-CA"/>
        </w:rPr>
        <w:t>est pas certain qu</w:t>
      </w:r>
      <w:r>
        <w:rPr>
          <w:lang w:val="fr-CA"/>
        </w:rPr>
        <w:t>’</w:t>
      </w:r>
      <w:r w:rsidRPr="0080058A">
        <w:rPr>
          <w:lang w:val="fr-CA"/>
        </w:rPr>
        <w:t>il soit en mesure de contrôler ses forces de sécurité</w:t>
      </w:r>
      <w:r>
        <w:rPr>
          <w:lang w:val="fr-CA"/>
        </w:rPr>
        <w:t>.</w:t>
      </w:r>
      <w:r w:rsidRPr="0080058A">
        <w:rPr>
          <w:lang w:val="fr-CA"/>
        </w:rPr>
        <w:t xml:space="preserve"> </w:t>
      </w:r>
      <w:r>
        <w:rPr>
          <w:lang w:val="fr-CA"/>
        </w:rPr>
        <w:t>[</w:t>
      </w:r>
      <w:r w:rsidRPr="0080058A">
        <w:rPr>
          <w:i/>
          <w:lang w:val="fr-CA"/>
        </w:rPr>
        <w:t>Suresh</w:t>
      </w:r>
      <w:r>
        <w:rPr>
          <w:lang w:val="fr-CA"/>
        </w:rPr>
        <w:t>, par. 125]</w:t>
      </w:r>
      <w:r w:rsidRPr="0080058A">
        <w:rPr>
          <w:lang w:val="fr-CA"/>
        </w:rPr>
        <w:t xml:space="preserve"> </w:t>
      </w:r>
    </w:p>
    <w:p w:rsidR="00361B98" w:rsidRPr="0080058A" w:rsidRDefault="00361B98" w:rsidP="002B69A7">
      <w:pPr>
        <w:pStyle w:val="ParaNoNdepar-AltN"/>
        <w:widowControl w:val="0"/>
        <w:spacing w:before="360" w:after="360"/>
        <w:rPr>
          <w:rFonts w:cs="Times New Roman"/>
          <w:lang w:val="fr-CA"/>
        </w:rPr>
      </w:pPr>
      <w:r w:rsidRPr="0080058A">
        <w:rPr>
          <w:rFonts w:cs="Times New Roman"/>
          <w:lang w:val="fr-CA"/>
        </w:rPr>
        <w:lastRenderedPageBreak/>
        <w:t>Dans l</w:t>
      </w:r>
      <w:r>
        <w:rPr>
          <w:rFonts w:cs="Times New Roman"/>
          <w:lang w:val="fr-CA"/>
        </w:rPr>
        <w:t>’</w:t>
      </w:r>
      <w:r w:rsidRPr="0080058A">
        <w:rPr>
          <w:rFonts w:cs="Times New Roman"/>
          <w:lang w:val="fr-CA"/>
        </w:rPr>
        <w:t xml:space="preserve">arrêt </w:t>
      </w:r>
      <w:r w:rsidRPr="0080058A">
        <w:rPr>
          <w:rFonts w:cs="Times New Roman"/>
          <w:i/>
          <w:lang w:val="fr-CA"/>
        </w:rPr>
        <w:t>Othman</w:t>
      </w:r>
      <w:r w:rsidRPr="0080058A">
        <w:rPr>
          <w:rFonts w:cs="Times New Roman"/>
          <w:lang w:val="fr-CA"/>
        </w:rPr>
        <w:t>, la CEDH a adopté une approche contextuelle s</w:t>
      </w:r>
      <w:r>
        <w:rPr>
          <w:rFonts w:cs="Times New Roman"/>
          <w:lang w:val="fr-CA"/>
        </w:rPr>
        <w:t xml:space="preserve">emblable </w:t>
      </w:r>
      <w:r w:rsidRPr="0080058A">
        <w:rPr>
          <w:rFonts w:cs="Times New Roman"/>
          <w:lang w:val="fr-CA"/>
        </w:rPr>
        <w:t>pour se prononcer sur la fiabilité des assurances</w:t>
      </w:r>
      <w:r>
        <w:rPr>
          <w:rFonts w:cs="Times New Roman"/>
          <w:lang w:val="fr-CA"/>
        </w:rPr>
        <w:t> :</w:t>
      </w:r>
    </w:p>
    <w:p w:rsidR="00361B98" w:rsidRDefault="00241C36" w:rsidP="002B69A7">
      <w:pPr>
        <w:pStyle w:val="Citation-AltC"/>
        <w:widowControl w:val="0"/>
        <w:rPr>
          <w:lang w:val="fr-CA"/>
        </w:rPr>
      </w:pPr>
      <w:r>
        <w:rPr>
          <w:rStyle w:val="sb8d990e2"/>
          <w:lang w:val="fr-CA"/>
        </w:rPr>
        <w:t xml:space="preserve">. . . </w:t>
      </w:r>
      <w:r w:rsidR="00361B98" w:rsidRPr="0080058A">
        <w:rPr>
          <w:rStyle w:val="sb8d990e2"/>
          <w:lang w:val="fr-CA"/>
        </w:rPr>
        <w:t xml:space="preserve">les </w:t>
      </w:r>
      <w:r w:rsidR="00361B98" w:rsidRPr="007779EB">
        <w:rPr>
          <w:lang w:val="fr-CA"/>
        </w:rPr>
        <w:t>assurances</w:t>
      </w:r>
      <w:r w:rsidR="00361B98" w:rsidRPr="0080058A">
        <w:rPr>
          <w:rStyle w:val="sb8d990e2"/>
          <w:lang w:val="fr-CA"/>
        </w:rPr>
        <w:t xml:space="preserve"> ne sont pas en elles</w:t>
      </w:r>
      <w:r w:rsidR="00361B98">
        <w:rPr>
          <w:rStyle w:val="sb8d990e2"/>
          <w:lang w:val="fr-CA"/>
        </w:rPr>
        <w:noBreakHyphen/>
      </w:r>
      <w:r w:rsidR="00361B98" w:rsidRPr="0080058A">
        <w:rPr>
          <w:rStyle w:val="sb8d990e2"/>
          <w:lang w:val="fr-CA"/>
        </w:rPr>
        <w:t xml:space="preserve">mêmes suffisantes pour garantir une protection </w:t>
      </w:r>
      <w:r w:rsidR="00361B98" w:rsidRPr="007779EB">
        <w:rPr>
          <w:rStyle w:val="sb8d990e2"/>
          <w:lang w:val="fr-CA"/>
        </w:rPr>
        <w:t>satisfaisante</w:t>
      </w:r>
      <w:r w:rsidR="00361B98" w:rsidRPr="0080058A">
        <w:rPr>
          <w:rStyle w:val="sb8d990e2"/>
          <w:lang w:val="fr-CA"/>
        </w:rPr>
        <w:t xml:space="preserve"> contre le risque de mauvais traitements</w:t>
      </w:r>
      <w:r w:rsidR="00361B98">
        <w:rPr>
          <w:rStyle w:val="sb8d990e2"/>
          <w:lang w:val="fr-CA"/>
        </w:rPr>
        <w:t> :</w:t>
      </w:r>
      <w:r w:rsidR="00361B98" w:rsidRPr="0080058A">
        <w:rPr>
          <w:rStyle w:val="sb8d990e2"/>
          <w:lang w:val="fr-CA"/>
        </w:rPr>
        <w:t xml:space="preserve"> il faut absolument vérifier qu</w:t>
      </w:r>
      <w:r w:rsidR="00361B98">
        <w:rPr>
          <w:rStyle w:val="sb8d990e2"/>
          <w:lang w:val="fr-CA"/>
        </w:rPr>
        <w:t>’</w:t>
      </w:r>
      <w:r w:rsidR="00361B98" w:rsidRPr="0080058A">
        <w:rPr>
          <w:rStyle w:val="sb8d990e2"/>
          <w:lang w:val="fr-CA"/>
        </w:rPr>
        <w:t xml:space="preserve">elles prévoient, dans leur application pratique, une garantie suffisante que le requérant sera protégé contre le risque de mauvais traitements. </w:t>
      </w:r>
      <w:r w:rsidR="00361B98" w:rsidRPr="0080058A">
        <w:rPr>
          <w:rStyle w:val="sb8d990e2"/>
          <w:u w:val="single"/>
          <w:lang w:val="fr-CA"/>
        </w:rPr>
        <w:t>En outre, le poids à leur accorder dépend, dans chaque cas, des circonstances prévalant à l</w:t>
      </w:r>
      <w:r w:rsidR="00361B98">
        <w:rPr>
          <w:rStyle w:val="sb8d990e2"/>
          <w:u w:val="single"/>
          <w:lang w:val="fr-CA"/>
        </w:rPr>
        <w:t>’</w:t>
      </w:r>
      <w:r w:rsidR="00361B98" w:rsidRPr="0080058A">
        <w:rPr>
          <w:rStyle w:val="sb8d990e2"/>
          <w:u w:val="single"/>
          <w:lang w:val="fr-CA"/>
        </w:rPr>
        <w:t>époque considérée</w:t>
      </w:r>
      <w:r w:rsidRPr="00241C36">
        <w:rPr>
          <w:rStyle w:val="sb8d990e2"/>
          <w:lang w:val="fr-CA"/>
        </w:rPr>
        <w:t xml:space="preserve"> </w:t>
      </w:r>
      <w:r w:rsidR="00361B98" w:rsidRPr="00241C36">
        <w:rPr>
          <w:rStyle w:val="sb8d990e2"/>
          <w:lang w:val="fr-CA"/>
        </w:rPr>
        <w:t>.</w:t>
      </w:r>
      <w:r w:rsidR="00361B98" w:rsidRPr="0080058A">
        <w:rPr>
          <w:rStyle w:val="sb8d990e2"/>
          <w:lang w:val="fr-CA"/>
        </w:rPr>
        <w:t xml:space="preserve"> </w:t>
      </w:r>
      <w:r>
        <w:rPr>
          <w:rStyle w:val="sb8d990e2"/>
          <w:lang w:val="fr-CA"/>
        </w:rPr>
        <w:t xml:space="preserve">. . </w:t>
      </w:r>
      <w:r w:rsidR="00361B98">
        <w:rPr>
          <w:rStyle w:val="sb8d990e2"/>
          <w:lang w:val="fr-CA"/>
        </w:rPr>
        <w:t xml:space="preserve">[Je souligne; </w:t>
      </w:r>
      <w:r w:rsidR="00361B98">
        <w:rPr>
          <w:lang w:val="fr-CA"/>
        </w:rPr>
        <w:t>par. </w:t>
      </w:r>
      <w:r w:rsidR="00361B98" w:rsidRPr="0080058A">
        <w:rPr>
          <w:lang w:val="fr-CA"/>
        </w:rPr>
        <w:t>187</w:t>
      </w:r>
      <w:r>
        <w:rPr>
          <w:lang w:val="fr-CA"/>
        </w:rPr>
        <w:t>.</w:t>
      </w:r>
      <w:r w:rsidR="00361B98">
        <w:rPr>
          <w:lang w:val="fr-CA"/>
        </w:rPr>
        <w:t>]</w:t>
      </w:r>
    </w:p>
    <w:p w:rsidR="00361B98" w:rsidRPr="0080058A" w:rsidRDefault="00361B98" w:rsidP="002B69A7">
      <w:pPr>
        <w:pStyle w:val="ParaNoNdepar-AltN"/>
        <w:widowControl w:val="0"/>
        <w:spacing w:before="360" w:after="360"/>
        <w:rPr>
          <w:rFonts w:cs="Times New Roman"/>
          <w:lang w:val="fr-CA"/>
        </w:rPr>
      </w:pPr>
      <w:r w:rsidRPr="0080058A">
        <w:rPr>
          <w:rFonts w:cs="Times New Roman"/>
          <w:lang w:val="fr-CA"/>
        </w:rPr>
        <w:t xml:space="preserve">La CEDH a fait observer, dans </w:t>
      </w:r>
      <w:r w:rsidRPr="0080058A">
        <w:rPr>
          <w:rFonts w:cs="Times New Roman"/>
          <w:i/>
          <w:lang w:val="fr-CA"/>
        </w:rPr>
        <w:t>Othman</w:t>
      </w:r>
      <w:r w:rsidRPr="0080058A">
        <w:rPr>
          <w:rFonts w:cs="Times New Roman"/>
          <w:lang w:val="fr-CA"/>
        </w:rPr>
        <w:t xml:space="preserve">, que la première question </w:t>
      </w:r>
      <w:r>
        <w:rPr>
          <w:rFonts w:cs="Times New Roman"/>
          <w:lang w:val="fr-CA"/>
        </w:rPr>
        <w:t xml:space="preserve">qui se </w:t>
      </w:r>
      <w:r w:rsidRPr="0080058A">
        <w:rPr>
          <w:rFonts w:cs="Times New Roman"/>
          <w:lang w:val="fr-CA"/>
        </w:rPr>
        <w:t>pose</w:t>
      </w:r>
      <w:r>
        <w:rPr>
          <w:rFonts w:cs="Times New Roman"/>
          <w:lang w:val="fr-CA"/>
        </w:rPr>
        <w:t xml:space="preserve"> </w:t>
      </w:r>
      <w:r w:rsidRPr="0080058A">
        <w:rPr>
          <w:rFonts w:cs="Times New Roman"/>
          <w:lang w:val="fr-CA"/>
        </w:rPr>
        <w:t>au moment de déterminer le poids à accorder aux assurances est</w:t>
      </w:r>
    </w:p>
    <w:p w:rsidR="00361B98" w:rsidRPr="0080058A" w:rsidRDefault="00361B98" w:rsidP="002B69A7">
      <w:pPr>
        <w:pStyle w:val="Citation-AltC"/>
        <w:widowControl w:val="0"/>
        <w:spacing w:after="240"/>
        <w:ind w:hanging="1166"/>
        <w:contextualSpacing w:val="0"/>
        <w:rPr>
          <w:lang w:val="fr-CA"/>
        </w:rPr>
      </w:pPr>
      <w:r>
        <w:rPr>
          <w:rStyle w:val="sb8d990e2"/>
          <w:lang w:val="fr-CA"/>
        </w:rPr>
        <w:tab/>
      </w:r>
      <w:r w:rsidRPr="0080058A">
        <w:rPr>
          <w:rStyle w:val="sb8d990e2"/>
          <w:lang w:val="fr-CA"/>
        </w:rPr>
        <w:t xml:space="preserve">celle de </w:t>
      </w:r>
      <w:r w:rsidRPr="00DD257F">
        <w:rPr>
          <w:rStyle w:val="sb8d990e2"/>
          <w:lang w:val="fr-CA"/>
        </w:rPr>
        <w:t>savoir</w:t>
      </w:r>
      <w:r w:rsidRPr="0080058A">
        <w:rPr>
          <w:rStyle w:val="sb8d990e2"/>
          <w:lang w:val="fr-CA"/>
        </w:rPr>
        <w:t xml:space="preserve"> si la situation générale en matière de droits de l</w:t>
      </w:r>
      <w:r>
        <w:rPr>
          <w:rStyle w:val="sb8d990e2"/>
          <w:lang w:val="fr-CA"/>
        </w:rPr>
        <w:t>’</w:t>
      </w:r>
      <w:r w:rsidRPr="0080058A">
        <w:rPr>
          <w:rStyle w:val="sb8d990e2"/>
          <w:lang w:val="fr-CA"/>
        </w:rPr>
        <w:t>homme dans l</w:t>
      </w:r>
      <w:r>
        <w:rPr>
          <w:rStyle w:val="sb8d990e2"/>
          <w:lang w:val="fr-CA"/>
        </w:rPr>
        <w:t>’</w:t>
      </w:r>
      <w:r w:rsidRPr="0080058A">
        <w:rPr>
          <w:rStyle w:val="sb8d990e2"/>
          <w:lang w:val="fr-CA"/>
        </w:rPr>
        <w:t>État d</w:t>
      </w:r>
      <w:r>
        <w:rPr>
          <w:rStyle w:val="sb8d990e2"/>
          <w:lang w:val="fr-CA"/>
        </w:rPr>
        <w:t>’</w:t>
      </w:r>
      <w:r w:rsidRPr="0080058A">
        <w:rPr>
          <w:rStyle w:val="sb8d990e2"/>
          <w:lang w:val="fr-CA"/>
        </w:rPr>
        <w:t>accueil n</w:t>
      </w:r>
      <w:r>
        <w:rPr>
          <w:rStyle w:val="sb8d990e2"/>
          <w:lang w:val="fr-CA"/>
        </w:rPr>
        <w:t>’</w:t>
      </w:r>
      <w:r w:rsidRPr="0080058A">
        <w:rPr>
          <w:rStyle w:val="sb8d990e2"/>
          <w:lang w:val="fr-CA"/>
        </w:rPr>
        <w:t xml:space="preserve">est </w:t>
      </w:r>
      <w:r w:rsidRPr="00DD257F">
        <w:rPr>
          <w:rStyle w:val="sb8d990e2"/>
          <w:lang w:val="fr-CA"/>
        </w:rPr>
        <w:t>pas</w:t>
      </w:r>
      <w:r w:rsidRPr="0080058A">
        <w:rPr>
          <w:rStyle w:val="sb8d990e2"/>
          <w:lang w:val="fr-CA"/>
        </w:rPr>
        <w:t xml:space="preserve"> telle qu</w:t>
      </w:r>
      <w:r>
        <w:rPr>
          <w:rStyle w:val="sb8d990e2"/>
          <w:lang w:val="fr-CA"/>
        </w:rPr>
        <w:t>’</w:t>
      </w:r>
      <w:r w:rsidRPr="0080058A">
        <w:rPr>
          <w:rStyle w:val="sb8d990e2"/>
          <w:lang w:val="fr-CA"/>
        </w:rPr>
        <w:t>il doit être exclu d</w:t>
      </w:r>
      <w:r>
        <w:rPr>
          <w:rStyle w:val="sb8d990e2"/>
          <w:lang w:val="fr-CA"/>
        </w:rPr>
        <w:t>’</w:t>
      </w:r>
      <w:r w:rsidRPr="0080058A">
        <w:rPr>
          <w:rStyle w:val="sb8d990e2"/>
          <w:lang w:val="fr-CA"/>
        </w:rPr>
        <w:t>accepter quelque assurance que ce soit de sa p</w:t>
      </w:r>
      <w:r>
        <w:rPr>
          <w:rStyle w:val="sb8d990e2"/>
          <w:lang w:val="fr-CA"/>
        </w:rPr>
        <w:t>art. </w:t>
      </w:r>
      <w:r w:rsidRPr="0080058A">
        <w:rPr>
          <w:rStyle w:val="sb8d990e2"/>
          <w:lang w:val="fr-CA"/>
        </w:rPr>
        <w:t>Ce n</w:t>
      </w:r>
      <w:r>
        <w:rPr>
          <w:rStyle w:val="sb8d990e2"/>
          <w:lang w:val="fr-CA"/>
        </w:rPr>
        <w:t>’</w:t>
      </w:r>
      <w:r w:rsidRPr="0080058A">
        <w:rPr>
          <w:rStyle w:val="sb8d990e2"/>
          <w:lang w:val="fr-CA"/>
        </w:rPr>
        <w:t>est cependant que dans de rares cas que la situation générale dans un pays donné implique que l</w:t>
      </w:r>
      <w:r>
        <w:rPr>
          <w:rStyle w:val="sb8d990e2"/>
          <w:lang w:val="fr-CA"/>
        </w:rPr>
        <w:t>’</w:t>
      </w:r>
      <w:r w:rsidRPr="0080058A">
        <w:rPr>
          <w:rStyle w:val="sb8d990e2"/>
          <w:lang w:val="fr-CA"/>
        </w:rPr>
        <w:t>on ne puisse accorder absolument aucun poids aux assurances qu</w:t>
      </w:r>
      <w:r>
        <w:rPr>
          <w:rStyle w:val="sb8d990e2"/>
          <w:lang w:val="fr-CA"/>
        </w:rPr>
        <w:t>’</w:t>
      </w:r>
      <w:r w:rsidRPr="0080058A">
        <w:rPr>
          <w:rStyle w:val="sb8d990e2"/>
          <w:lang w:val="fr-CA"/>
        </w:rPr>
        <w:t>il fournit</w:t>
      </w:r>
      <w:r w:rsidR="00241C36">
        <w:rPr>
          <w:rStyle w:val="sb8d990e2"/>
          <w:lang w:val="fr-CA"/>
        </w:rPr>
        <w:t xml:space="preserve"> </w:t>
      </w:r>
      <w:r>
        <w:rPr>
          <w:lang w:val="fr-CA"/>
        </w:rPr>
        <w:t>. . .</w:t>
      </w:r>
    </w:p>
    <w:p w:rsidR="00361B98" w:rsidRDefault="00361B98" w:rsidP="002B69A7">
      <w:pPr>
        <w:pStyle w:val="Citation-AltC"/>
        <w:widowControl w:val="0"/>
        <w:ind w:hanging="1166"/>
        <w:contextualSpacing w:val="0"/>
        <w:rPr>
          <w:lang w:val="fr-CA"/>
        </w:rPr>
      </w:pPr>
      <w:r>
        <w:rPr>
          <w:rStyle w:val="sb8d990e2"/>
          <w:lang w:val="fr-CA"/>
        </w:rPr>
        <w:tab/>
      </w:r>
      <w:r>
        <w:rPr>
          <w:rStyle w:val="sb8d990e2"/>
          <w:lang w:val="fr-CA"/>
        </w:rPr>
        <w:tab/>
      </w:r>
      <w:r w:rsidRPr="0080058A">
        <w:rPr>
          <w:rStyle w:val="sb8d990e2"/>
          <w:lang w:val="fr-CA"/>
        </w:rPr>
        <w:t>Le plus souvent, la Cour apprécie d</w:t>
      </w:r>
      <w:r>
        <w:rPr>
          <w:rStyle w:val="sb8d990e2"/>
          <w:lang w:val="fr-CA"/>
        </w:rPr>
        <w:t>’</w:t>
      </w:r>
      <w:r w:rsidRPr="0080058A">
        <w:rPr>
          <w:rStyle w:val="sb8d990e2"/>
          <w:lang w:val="fr-CA"/>
        </w:rPr>
        <w:t>abord la qualité des assurances données puis, à la lumière des pratiques de l</w:t>
      </w:r>
      <w:r>
        <w:rPr>
          <w:rStyle w:val="sb8d990e2"/>
          <w:lang w:val="fr-CA"/>
        </w:rPr>
        <w:t>’</w:t>
      </w:r>
      <w:r w:rsidRPr="0080058A">
        <w:rPr>
          <w:rStyle w:val="sb8d990e2"/>
          <w:lang w:val="fr-CA"/>
        </w:rPr>
        <w:t>État d</w:t>
      </w:r>
      <w:r>
        <w:rPr>
          <w:rStyle w:val="sb8d990e2"/>
          <w:lang w:val="fr-CA"/>
        </w:rPr>
        <w:t>’</w:t>
      </w:r>
      <w:r w:rsidRPr="0080058A">
        <w:rPr>
          <w:rStyle w:val="sb8d990e2"/>
          <w:lang w:val="fr-CA"/>
        </w:rPr>
        <w:t>accueil, elle évalue leur fiabilité.</w:t>
      </w:r>
      <w:r w:rsidRPr="0080058A">
        <w:rPr>
          <w:lang w:val="fr-CA"/>
        </w:rPr>
        <w:t xml:space="preserve"> </w:t>
      </w:r>
      <w:r>
        <w:rPr>
          <w:lang w:val="fr-CA"/>
        </w:rPr>
        <w:t>[par. </w:t>
      </w:r>
      <w:r w:rsidR="00354B1A">
        <w:rPr>
          <w:lang w:val="fr-CA"/>
        </w:rPr>
        <w:t>188-</w:t>
      </w:r>
      <w:r w:rsidRPr="0080058A">
        <w:rPr>
          <w:lang w:val="fr-CA"/>
        </w:rPr>
        <w:t>189</w:t>
      </w:r>
      <w:r>
        <w:rPr>
          <w:lang w:val="fr-CA"/>
        </w:rPr>
        <w:t>]</w:t>
      </w:r>
    </w:p>
    <w:p w:rsidR="00361B98" w:rsidRPr="0080058A" w:rsidRDefault="00361B98" w:rsidP="002B69A7">
      <w:pPr>
        <w:pStyle w:val="ParaNoNdepar-AltN"/>
        <w:widowControl w:val="0"/>
        <w:spacing w:before="360" w:after="360"/>
        <w:rPr>
          <w:rFonts w:cs="Times New Roman"/>
          <w:lang w:val="fr-CA"/>
        </w:rPr>
      </w:pPr>
      <w:r w:rsidRPr="0080058A">
        <w:rPr>
          <w:rFonts w:cs="Times New Roman"/>
          <w:lang w:val="fr-CA"/>
        </w:rPr>
        <w:t xml:space="preserve">La CEDH </w:t>
      </w:r>
      <w:r>
        <w:rPr>
          <w:rFonts w:cs="Times New Roman"/>
          <w:lang w:val="fr-CA"/>
        </w:rPr>
        <w:t xml:space="preserve">a dressé </w:t>
      </w:r>
      <w:r w:rsidRPr="0080058A">
        <w:rPr>
          <w:rFonts w:cs="Times New Roman"/>
          <w:lang w:val="fr-CA"/>
        </w:rPr>
        <w:t xml:space="preserve">une liste détaillée de facteurs contextuels </w:t>
      </w:r>
      <w:r>
        <w:rPr>
          <w:rFonts w:cs="Times New Roman"/>
          <w:lang w:val="fr-CA"/>
        </w:rPr>
        <w:t xml:space="preserve">qu’il faut examiner pour </w:t>
      </w:r>
      <w:r w:rsidRPr="0080058A">
        <w:rPr>
          <w:rFonts w:cs="Times New Roman"/>
          <w:lang w:val="fr-CA"/>
        </w:rPr>
        <w:t xml:space="preserve">apprécier la fiabilité des assurances diplomatiques. </w:t>
      </w:r>
      <w:r>
        <w:rPr>
          <w:rFonts w:cs="Times New Roman"/>
          <w:lang w:val="fr-CA"/>
        </w:rPr>
        <w:t xml:space="preserve">Les tribunaux canadiens peuvent prendre en considération un grand nombre d’entre eux. </w:t>
      </w:r>
      <w:r w:rsidRPr="0080058A">
        <w:rPr>
          <w:rFonts w:cs="Times New Roman"/>
          <w:lang w:val="fr-CA"/>
        </w:rPr>
        <w:t>Il importe de préciser que ces facteurs ne sont pas exhaustifs et que leur pertinence dépend, dan</w:t>
      </w:r>
      <w:r>
        <w:rPr>
          <w:rFonts w:cs="Times New Roman"/>
          <w:lang w:val="fr-CA"/>
        </w:rPr>
        <w:t>s chaque cas, des circonstances. Les voici :</w:t>
      </w:r>
    </w:p>
    <w:p w:rsidR="00361B98" w:rsidRDefault="00361B98" w:rsidP="002B69A7">
      <w:pPr>
        <w:pStyle w:val="Citation-AltC"/>
        <w:widowControl w:val="0"/>
        <w:numPr>
          <w:ilvl w:val="6"/>
          <w:numId w:val="1"/>
        </w:numPr>
        <w:spacing w:after="480" w:line="480" w:lineRule="auto"/>
        <w:ind w:left="720" w:hanging="720"/>
        <w:contextualSpacing w:val="0"/>
        <w:rPr>
          <w:rStyle w:val="sb8d990e2"/>
          <w:rFonts w:eastAsiaTheme="majorEastAsia"/>
          <w:lang w:val="fr-CA"/>
        </w:rPr>
      </w:pPr>
      <w:r w:rsidRPr="00DD257F">
        <w:rPr>
          <w:rStyle w:val="sb8d990e2"/>
          <w:rFonts w:eastAsiaTheme="majorEastAsia"/>
          <w:lang w:val="fr-CA"/>
        </w:rPr>
        <w:t>le caractère soit précis soit général et vague des assurances;</w:t>
      </w:r>
    </w:p>
    <w:p w:rsidR="00361B98" w:rsidRPr="00925C2D" w:rsidRDefault="00361B98" w:rsidP="002B69A7">
      <w:pPr>
        <w:pStyle w:val="Citation-AltC"/>
        <w:widowControl w:val="0"/>
        <w:numPr>
          <w:ilvl w:val="6"/>
          <w:numId w:val="1"/>
        </w:numPr>
        <w:spacing w:after="480" w:line="480" w:lineRule="auto"/>
        <w:ind w:left="720" w:hanging="720"/>
        <w:contextualSpacing w:val="0"/>
        <w:rPr>
          <w:rStyle w:val="sb8d990e2"/>
          <w:lang w:val="fr-CA"/>
        </w:rPr>
      </w:pPr>
      <w:r w:rsidRPr="00DD257F">
        <w:rPr>
          <w:rStyle w:val="sb8d990e2"/>
          <w:rFonts w:eastAsiaTheme="majorEastAsia"/>
          <w:lang w:val="fr-CA"/>
        </w:rPr>
        <w:lastRenderedPageBreak/>
        <w:t>l</w:t>
      </w:r>
      <w:r>
        <w:rPr>
          <w:rStyle w:val="sb8d990e2"/>
          <w:rFonts w:eastAsiaTheme="majorEastAsia"/>
          <w:lang w:val="fr-CA"/>
        </w:rPr>
        <w:t>’</w:t>
      </w:r>
      <w:r w:rsidRPr="00DD257F">
        <w:rPr>
          <w:rStyle w:val="sb8d990e2"/>
          <w:rFonts w:eastAsiaTheme="majorEastAsia"/>
          <w:lang w:val="fr-CA"/>
        </w:rPr>
        <w:t>auteur des assurances et sa capacité ou non à engager l</w:t>
      </w:r>
      <w:r>
        <w:rPr>
          <w:rStyle w:val="sb8d990e2"/>
          <w:rFonts w:eastAsiaTheme="majorEastAsia"/>
          <w:lang w:val="fr-CA"/>
        </w:rPr>
        <w:t>’</w:t>
      </w:r>
      <w:r w:rsidRPr="00DD257F">
        <w:rPr>
          <w:rStyle w:val="sb8d990e2"/>
          <w:rFonts w:eastAsiaTheme="majorEastAsia"/>
          <w:lang w:val="fr-CA"/>
        </w:rPr>
        <w:t>État d</w:t>
      </w:r>
      <w:r>
        <w:rPr>
          <w:rStyle w:val="sb8d990e2"/>
          <w:rFonts w:eastAsiaTheme="majorEastAsia"/>
          <w:lang w:val="fr-CA"/>
        </w:rPr>
        <w:t>’</w:t>
      </w:r>
      <w:r w:rsidRPr="00DD257F">
        <w:rPr>
          <w:rStyle w:val="sb8d990e2"/>
          <w:rFonts w:eastAsiaTheme="majorEastAsia"/>
          <w:lang w:val="fr-CA"/>
        </w:rPr>
        <w:t>accueil;</w:t>
      </w:r>
    </w:p>
    <w:p w:rsidR="00361B98" w:rsidRPr="00925C2D" w:rsidRDefault="00361B98" w:rsidP="002B69A7">
      <w:pPr>
        <w:pStyle w:val="Citation-AltC"/>
        <w:widowControl w:val="0"/>
        <w:numPr>
          <w:ilvl w:val="6"/>
          <w:numId w:val="1"/>
        </w:numPr>
        <w:spacing w:after="480" w:line="480" w:lineRule="auto"/>
        <w:ind w:left="720" w:hanging="720"/>
        <w:contextualSpacing w:val="0"/>
        <w:rPr>
          <w:rStyle w:val="sb8d990e2"/>
          <w:lang w:val="fr-CA"/>
        </w:rPr>
      </w:pPr>
      <w:r w:rsidRPr="00DD257F">
        <w:rPr>
          <w:rStyle w:val="sb8d990e2"/>
          <w:rFonts w:eastAsiaTheme="majorEastAsia"/>
          <w:lang w:val="fr-CA"/>
        </w:rPr>
        <w:t>dans les cas où les assurances ont été données par le gouvernement central de l</w:t>
      </w:r>
      <w:r>
        <w:rPr>
          <w:rStyle w:val="sb8d990e2"/>
          <w:rFonts w:eastAsiaTheme="majorEastAsia"/>
          <w:lang w:val="fr-CA"/>
        </w:rPr>
        <w:t>’</w:t>
      </w:r>
      <w:r w:rsidRPr="00DD257F">
        <w:rPr>
          <w:rStyle w:val="sb8d990e2"/>
          <w:rFonts w:eastAsiaTheme="majorEastAsia"/>
          <w:lang w:val="fr-CA"/>
        </w:rPr>
        <w:t>État d</w:t>
      </w:r>
      <w:r>
        <w:rPr>
          <w:rStyle w:val="sb8d990e2"/>
          <w:rFonts w:eastAsiaTheme="majorEastAsia"/>
          <w:lang w:val="fr-CA"/>
        </w:rPr>
        <w:t>’</w:t>
      </w:r>
      <w:r w:rsidRPr="00DD257F">
        <w:rPr>
          <w:rStyle w:val="sb8d990e2"/>
          <w:rFonts w:eastAsiaTheme="majorEastAsia"/>
          <w:lang w:val="fr-CA"/>
        </w:rPr>
        <w:t>accueil, la probabilité que les autorités locales les respectent;</w:t>
      </w:r>
    </w:p>
    <w:p w:rsidR="00361B98" w:rsidRPr="00925C2D" w:rsidRDefault="00361B98" w:rsidP="002B69A7">
      <w:pPr>
        <w:pStyle w:val="Citation-AltC"/>
        <w:widowControl w:val="0"/>
        <w:numPr>
          <w:ilvl w:val="6"/>
          <w:numId w:val="1"/>
        </w:numPr>
        <w:spacing w:after="480" w:line="480" w:lineRule="auto"/>
        <w:ind w:left="720" w:hanging="720"/>
        <w:contextualSpacing w:val="0"/>
        <w:rPr>
          <w:rStyle w:val="sb8d990e2"/>
          <w:lang w:val="fr-CA"/>
        </w:rPr>
      </w:pPr>
      <w:r w:rsidRPr="00DD257F">
        <w:rPr>
          <w:rStyle w:val="sb8d990e2"/>
          <w:rFonts w:eastAsiaTheme="majorEastAsia"/>
          <w:lang w:val="fr-CA"/>
        </w:rPr>
        <w:t>le caractère légal ou illégal dans l</w:t>
      </w:r>
      <w:r>
        <w:rPr>
          <w:rStyle w:val="sb8d990e2"/>
          <w:rFonts w:eastAsiaTheme="majorEastAsia"/>
          <w:lang w:val="fr-CA"/>
        </w:rPr>
        <w:t>’</w:t>
      </w:r>
      <w:r w:rsidRPr="00DD257F">
        <w:rPr>
          <w:rStyle w:val="sb8d990e2"/>
          <w:rFonts w:eastAsiaTheme="majorEastAsia"/>
          <w:lang w:val="fr-CA"/>
        </w:rPr>
        <w:t>État d</w:t>
      </w:r>
      <w:r>
        <w:rPr>
          <w:rStyle w:val="sb8d990e2"/>
          <w:rFonts w:eastAsiaTheme="majorEastAsia"/>
          <w:lang w:val="fr-CA"/>
        </w:rPr>
        <w:t>’</w:t>
      </w:r>
      <w:r w:rsidRPr="00DD257F">
        <w:rPr>
          <w:rStyle w:val="sb8d990e2"/>
          <w:rFonts w:eastAsiaTheme="majorEastAsia"/>
          <w:lang w:val="fr-CA"/>
        </w:rPr>
        <w:t>accueil des traitements au sujet desquels les assurances ont été données;</w:t>
      </w:r>
    </w:p>
    <w:p w:rsidR="00361B98" w:rsidRPr="00925C2D" w:rsidRDefault="00361B98" w:rsidP="002B69A7">
      <w:pPr>
        <w:pStyle w:val="Citation-AltC"/>
        <w:widowControl w:val="0"/>
        <w:numPr>
          <w:ilvl w:val="6"/>
          <w:numId w:val="1"/>
        </w:numPr>
        <w:spacing w:after="480" w:line="480" w:lineRule="auto"/>
        <w:ind w:left="720" w:hanging="720"/>
        <w:contextualSpacing w:val="0"/>
        <w:rPr>
          <w:rStyle w:val="sb8d990e2"/>
          <w:lang w:val="fr-CA"/>
        </w:rPr>
      </w:pPr>
      <w:r w:rsidRPr="00DD257F">
        <w:rPr>
          <w:rStyle w:val="sb8d990e2"/>
          <w:rFonts w:eastAsiaTheme="majorEastAsia"/>
          <w:lang w:val="fr-CA"/>
        </w:rPr>
        <w:t>la durée et la force des relations bilatérales entre l</w:t>
      </w:r>
      <w:r>
        <w:rPr>
          <w:rStyle w:val="sb8d990e2"/>
          <w:rFonts w:eastAsiaTheme="majorEastAsia"/>
          <w:lang w:val="fr-CA"/>
        </w:rPr>
        <w:t>’</w:t>
      </w:r>
      <w:r w:rsidRPr="00DD257F">
        <w:rPr>
          <w:rStyle w:val="sb8d990e2"/>
          <w:rFonts w:eastAsiaTheme="majorEastAsia"/>
          <w:lang w:val="fr-CA"/>
        </w:rPr>
        <w:t>État d</w:t>
      </w:r>
      <w:r>
        <w:rPr>
          <w:rStyle w:val="sb8d990e2"/>
          <w:rFonts w:eastAsiaTheme="majorEastAsia"/>
          <w:lang w:val="fr-CA"/>
        </w:rPr>
        <w:t>’</w:t>
      </w:r>
      <w:r w:rsidRPr="00DD257F">
        <w:rPr>
          <w:rStyle w:val="sb8d990e2"/>
          <w:rFonts w:eastAsiaTheme="majorEastAsia"/>
          <w:lang w:val="fr-CA"/>
        </w:rPr>
        <w:t>envoi et l</w:t>
      </w:r>
      <w:r>
        <w:rPr>
          <w:rStyle w:val="sb8d990e2"/>
          <w:rFonts w:eastAsiaTheme="majorEastAsia"/>
          <w:lang w:val="fr-CA"/>
        </w:rPr>
        <w:t>’</w:t>
      </w:r>
      <w:r w:rsidRPr="00DD257F">
        <w:rPr>
          <w:rStyle w:val="sb8d990e2"/>
          <w:rFonts w:eastAsiaTheme="majorEastAsia"/>
          <w:lang w:val="fr-CA"/>
        </w:rPr>
        <w:t>État d</w:t>
      </w:r>
      <w:r>
        <w:rPr>
          <w:rStyle w:val="sb8d990e2"/>
          <w:rFonts w:eastAsiaTheme="majorEastAsia"/>
          <w:lang w:val="fr-CA"/>
        </w:rPr>
        <w:t>’</w:t>
      </w:r>
      <w:r w:rsidRPr="00DD257F">
        <w:rPr>
          <w:rStyle w:val="sb8d990e2"/>
          <w:rFonts w:eastAsiaTheme="majorEastAsia"/>
          <w:lang w:val="fr-CA"/>
        </w:rPr>
        <w:t>accueil, y compris l</w:t>
      </w:r>
      <w:r>
        <w:rPr>
          <w:rStyle w:val="sb8d990e2"/>
          <w:rFonts w:eastAsiaTheme="majorEastAsia"/>
          <w:lang w:val="fr-CA"/>
        </w:rPr>
        <w:t>’</w:t>
      </w:r>
      <w:r w:rsidRPr="00DD257F">
        <w:rPr>
          <w:rStyle w:val="sb8d990e2"/>
          <w:rFonts w:eastAsiaTheme="majorEastAsia"/>
          <w:lang w:val="fr-CA"/>
        </w:rPr>
        <w:t>attitude passée de l</w:t>
      </w:r>
      <w:r>
        <w:rPr>
          <w:rStyle w:val="sb8d990e2"/>
          <w:rFonts w:eastAsiaTheme="majorEastAsia"/>
          <w:lang w:val="fr-CA"/>
        </w:rPr>
        <w:t>’</w:t>
      </w:r>
      <w:r w:rsidRPr="00DD257F">
        <w:rPr>
          <w:rStyle w:val="sb8d990e2"/>
          <w:rFonts w:eastAsiaTheme="majorEastAsia"/>
          <w:lang w:val="fr-CA"/>
        </w:rPr>
        <w:t>État d</w:t>
      </w:r>
      <w:r>
        <w:rPr>
          <w:rStyle w:val="sb8d990e2"/>
          <w:rFonts w:eastAsiaTheme="majorEastAsia"/>
          <w:lang w:val="fr-CA"/>
        </w:rPr>
        <w:t>’</w:t>
      </w:r>
      <w:r w:rsidRPr="00DD257F">
        <w:rPr>
          <w:rStyle w:val="sb8d990e2"/>
          <w:rFonts w:eastAsiaTheme="majorEastAsia"/>
          <w:lang w:val="fr-CA"/>
        </w:rPr>
        <w:t>accueil face à des assurances analogues;</w:t>
      </w:r>
    </w:p>
    <w:p w:rsidR="00925C2D" w:rsidRDefault="00361B98" w:rsidP="002B69A7">
      <w:pPr>
        <w:pStyle w:val="Citation-AltC"/>
        <w:widowControl w:val="0"/>
        <w:numPr>
          <w:ilvl w:val="6"/>
          <w:numId w:val="1"/>
        </w:numPr>
        <w:spacing w:after="480" w:line="480" w:lineRule="auto"/>
        <w:ind w:left="720" w:hanging="720"/>
        <w:contextualSpacing w:val="0"/>
        <w:rPr>
          <w:rStyle w:val="sb8d990e2"/>
          <w:lang w:val="fr-CA"/>
        </w:rPr>
      </w:pPr>
      <w:r w:rsidRPr="00DD257F">
        <w:rPr>
          <w:rStyle w:val="sb8d990e2"/>
          <w:rFonts w:eastAsiaTheme="majorEastAsia"/>
          <w:lang w:val="fr-CA"/>
        </w:rPr>
        <w:t>la possibilité ou non de vérifier objectivement le respect des assurances données par des mécanismes diplomatiques ou par d</w:t>
      </w:r>
      <w:r>
        <w:rPr>
          <w:rStyle w:val="sb8d990e2"/>
          <w:rFonts w:eastAsiaTheme="majorEastAsia"/>
          <w:lang w:val="fr-CA"/>
        </w:rPr>
        <w:t>’</w:t>
      </w:r>
      <w:r w:rsidRPr="00DD257F">
        <w:rPr>
          <w:rStyle w:val="sb8d990e2"/>
          <w:rFonts w:eastAsiaTheme="majorEastAsia"/>
          <w:lang w:val="fr-CA"/>
        </w:rPr>
        <w:t>autres mécanismes de contrôle, y compris la possibilité illimitée de rencontrer les avocats d</w:t>
      </w:r>
      <w:r>
        <w:rPr>
          <w:rStyle w:val="sb8d990e2"/>
          <w:rFonts w:eastAsiaTheme="majorEastAsia"/>
          <w:lang w:val="fr-CA"/>
        </w:rPr>
        <w:t>e l’intéressé</w:t>
      </w:r>
      <w:r w:rsidRPr="00DD257F">
        <w:rPr>
          <w:rStyle w:val="sb8d990e2"/>
          <w:rFonts w:eastAsiaTheme="majorEastAsia"/>
          <w:lang w:val="fr-CA"/>
        </w:rPr>
        <w:t>;</w:t>
      </w:r>
    </w:p>
    <w:p w:rsidR="00361B98" w:rsidRPr="00925C2D" w:rsidRDefault="00361B98" w:rsidP="002B69A7">
      <w:pPr>
        <w:pStyle w:val="Citation-AltC"/>
        <w:widowControl w:val="0"/>
        <w:numPr>
          <w:ilvl w:val="6"/>
          <w:numId w:val="1"/>
        </w:numPr>
        <w:spacing w:after="480" w:line="480" w:lineRule="auto"/>
        <w:ind w:left="720" w:hanging="720"/>
        <w:contextualSpacing w:val="0"/>
        <w:rPr>
          <w:rStyle w:val="sb8d990e2"/>
          <w:lang w:val="fr-CA"/>
        </w:rPr>
      </w:pPr>
      <w:r w:rsidRPr="00DD257F">
        <w:rPr>
          <w:rStyle w:val="sb8d990e2"/>
          <w:rFonts w:eastAsiaTheme="majorEastAsia"/>
          <w:lang w:val="fr-CA"/>
        </w:rPr>
        <w:t>l</w:t>
      </w:r>
      <w:r>
        <w:rPr>
          <w:rStyle w:val="sb8d990e2"/>
          <w:rFonts w:eastAsiaTheme="majorEastAsia"/>
          <w:lang w:val="fr-CA"/>
        </w:rPr>
        <w:t>’</w:t>
      </w:r>
      <w:r w:rsidRPr="00DD257F">
        <w:rPr>
          <w:rStyle w:val="sb8d990e2"/>
          <w:rFonts w:eastAsiaTheme="majorEastAsia"/>
          <w:lang w:val="fr-CA"/>
        </w:rPr>
        <w:t>existence ou non d</w:t>
      </w:r>
      <w:r>
        <w:rPr>
          <w:rStyle w:val="sb8d990e2"/>
          <w:rFonts w:eastAsiaTheme="majorEastAsia"/>
          <w:lang w:val="fr-CA"/>
        </w:rPr>
        <w:t>’</w:t>
      </w:r>
      <w:r w:rsidRPr="00DD257F">
        <w:rPr>
          <w:rStyle w:val="sb8d990e2"/>
          <w:rFonts w:eastAsiaTheme="majorEastAsia"/>
          <w:lang w:val="fr-CA"/>
        </w:rPr>
        <w:t>un vrai système de protection contre la torture dans l</w:t>
      </w:r>
      <w:r>
        <w:rPr>
          <w:rStyle w:val="sb8d990e2"/>
          <w:rFonts w:eastAsiaTheme="majorEastAsia"/>
          <w:lang w:val="fr-CA"/>
        </w:rPr>
        <w:t>’</w:t>
      </w:r>
      <w:r w:rsidRPr="00DD257F">
        <w:rPr>
          <w:rStyle w:val="sb8d990e2"/>
          <w:rFonts w:eastAsiaTheme="majorEastAsia"/>
          <w:lang w:val="fr-CA"/>
        </w:rPr>
        <w:t>État d</w:t>
      </w:r>
      <w:r>
        <w:rPr>
          <w:rStyle w:val="sb8d990e2"/>
          <w:rFonts w:eastAsiaTheme="majorEastAsia"/>
          <w:lang w:val="fr-CA"/>
        </w:rPr>
        <w:t>’</w:t>
      </w:r>
      <w:r w:rsidRPr="00DD257F">
        <w:rPr>
          <w:rStyle w:val="sb8d990e2"/>
          <w:rFonts w:eastAsiaTheme="majorEastAsia"/>
          <w:lang w:val="fr-CA"/>
        </w:rPr>
        <w:t>accueil et la volonté de cet État de coopérer avec les mécanismes internationaux de contrôle (dont les ONG de défense des droits de l</w:t>
      </w:r>
      <w:r>
        <w:rPr>
          <w:rStyle w:val="sb8d990e2"/>
          <w:rFonts w:eastAsiaTheme="majorEastAsia"/>
          <w:lang w:val="fr-CA"/>
        </w:rPr>
        <w:t>’</w:t>
      </w:r>
      <w:r w:rsidRPr="00DD257F">
        <w:rPr>
          <w:rStyle w:val="sb8d990e2"/>
          <w:rFonts w:eastAsiaTheme="majorEastAsia"/>
          <w:lang w:val="fr-CA"/>
        </w:rPr>
        <w:t>homme), d</w:t>
      </w:r>
      <w:r>
        <w:rPr>
          <w:rStyle w:val="sb8d990e2"/>
          <w:rFonts w:eastAsiaTheme="majorEastAsia"/>
          <w:lang w:val="fr-CA"/>
        </w:rPr>
        <w:t>’</w:t>
      </w:r>
      <w:r w:rsidRPr="00DD257F">
        <w:rPr>
          <w:rStyle w:val="sb8d990e2"/>
          <w:rFonts w:eastAsiaTheme="majorEastAsia"/>
          <w:lang w:val="fr-CA"/>
        </w:rPr>
        <w:t>enquêter sur les allégations de torture et de sanctionner les auteurs de tels actes;</w:t>
      </w:r>
    </w:p>
    <w:p w:rsidR="00361B98" w:rsidRDefault="00361B98" w:rsidP="002B69A7">
      <w:pPr>
        <w:pStyle w:val="Citation-AltC"/>
        <w:widowControl w:val="0"/>
        <w:numPr>
          <w:ilvl w:val="6"/>
          <w:numId w:val="1"/>
        </w:numPr>
        <w:spacing w:after="480" w:line="480" w:lineRule="auto"/>
        <w:ind w:left="720" w:hanging="720"/>
        <w:contextualSpacing w:val="0"/>
        <w:rPr>
          <w:rStyle w:val="sb8d990e2"/>
          <w:rFonts w:eastAsiaTheme="majorEastAsia"/>
          <w:lang w:val="fr-CA"/>
        </w:rPr>
      </w:pPr>
      <w:r w:rsidRPr="00DD257F">
        <w:rPr>
          <w:rStyle w:val="sb8d990e2"/>
          <w:rFonts w:eastAsiaTheme="majorEastAsia"/>
          <w:lang w:val="fr-CA"/>
        </w:rPr>
        <w:t>le fait que l</w:t>
      </w:r>
      <w:r>
        <w:rPr>
          <w:rStyle w:val="sb8d990e2"/>
          <w:rFonts w:eastAsiaTheme="majorEastAsia"/>
          <w:lang w:val="fr-CA"/>
        </w:rPr>
        <w:t>’intéressé</w:t>
      </w:r>
      <w:r w:rsidRPr="00DD257F">
        <w:rPr>
          <w:rStyle w:val="sb8d990e2"/>
          <w:rFonts w:eastAsiaTheme="majorEastAsia"/>
          <w:lang w:val="fr-CA"/>
        </w:rPr>
        <w:t xml:space="preserve"> ait ou non déjà été maltraité dans l</w:t>
      </w:r>
      <w:r>
        <w:rPr>
          <w:rStyle w:val="sb8d990e2"/>
          <w:rFonts w:eastAsiaTheme="majorEastAsia"/>
          <w:lang w:val="fr-CA"/>
        </w:rPr>
        <w:t>’</w:t>
      </w:r>
      <w:r w:rsidRPr="00DD257F">
        <w:rPr>
          <w:rStyle w:val="sb8d990e2"/>
          <w:rFonts w:eastAsiaTheme="majorEastAsia"/>
          <w:lang w:val="fr-CA"/>
        </w:rPr>
        <w:t>État d</w:t>
      </w:r>
      <w:r>
        <w:rPr>
          <w:rStyle w:val="sb8d990e2"/>
          <w:rFonts w:eastAsiaTheme="majorEastAsia"/>
          <w:lang w:val="fr-CA"/>
        </w:rPr>
        <w:t>’</w:t>
      </w:r>
      <w:r w:rsidRPr="00DD257F">
        <w:rPr>
          <w:rStyle w:val="sb8d990e2"/>
          <w:rFonts w:eastAsiaTheme="majorEastAsia"/>
          <w:lang w:val="fr-CA"/>
        </w:rPr>
        <w:t>accueil</w:t>
      </w:r>
      <w:r>
        <w:rPr>
          <w:rStyle w:val="sb8d990e2"/>
          <w:rFonts w:eastAsiaTheme="majorEastAsia"/>
          <w:lang w:val="fr-CA"/>
        </w:rPr>
        <w:t>.</w:t>
      </w:r>
      <w:r w:rsidRPr="00DD257F">
        <w:rPr>
          <w:rStyle w:val="sb8d990e2"/>
          <w:rFonts w:eastAsiaTheme="majorEastAsia"/>
          <w:lang w:val="fr-CA"/>
        </w:rPr>
        <w:t xml:space="preserve"> </w:t>
      </w:r>
    </w:p>
    <w:p w:rsidR="00361B98" w:rsidRPr="00957F59" w:rsidRDefault="00361B98" w:rsidP="002B69A7">
      <w:pPr>
        <w:pStyle w:val="Citation-AltC"/>
        <w:widowControl w:val="0"/>
        <w:ind w:left="0"/>
        <w:contextualSpacing w:val="0"/>
      </w:pPr>
      <w:r w:rsidRPr="00501559">
        <w:lastRenderedPageBreak/>
        <w:t>(</w:t>
      </w:r>
      <w:r>
        <w:t xml:space="preserve">Voir </w:t>
      </w:r>
      <w:r w:rsidRPr="00080ACD">
        <w:rPr>
          <w:i/>
        </w:rPr>
        <w:t>Othman</w:t>
      </w:r>
      <w:r w:rsidRPr="00501559">
        <w:t xml:space="preserve">, </w:t>
      </w:r>
      <w:r>
        <w:rPr>
          <w:rStyle w:val="sb8d990e2"/>
          <w:rFonts w:eastAsiaTheme="majorEastAsia"/>
        </w:rPr>
        <w:t>par. </w:t>
      </w:r>
      <w:r w:rsidR="00925C2D">
        <w:rPr>
          <w:rStyle w:val="sb8d990e2"/>
          <w:rFonts w:eastAsiaTheme="majorEastAsia"/>
        </w:rPr>
        <w:t>189.)</w:t>
      </w:r>
    </w:p>
    <w:p w:rsidR="00361B98" w:rsidRPr="0080058A" w:rsidRDefault="00361B98" w:rsidP="002B69A7">
      <w:pPr>
        <w:pStyle w:val="ParaNoNdepar-AltN"/>
        <w:widowControl w:val="0"/>
        <w:rPr>
          <w:rFonts w:cs="Times New Roman"/>
          <w:lang w:val="fr-CA"/>
        </w:rPr>
      </w:pPr>
      <w:r w:rsidRPr="0080058A">
        <w:rPr>
          <w:rFonts w:cs="Times New Roman"/>
          <w:lang w:val="fr-CA"/>
        </w:rPr>
        <w:t>J</w:t>
      </w:r>
      <w:r>
        <w:rPr>
          <w:rFonts w:cs="Times New Roman"/>
          <w:lang w:val="fr-CA"/>
        </w:rPr>
        <w:t xml:space="preserve">’ouvre ici une parenthèse pour signaler </w:t>
      </w:r>
      <w:r w:rsidRPr="0080058A">
        <w:rPr>
          <w:rFonts w:cs="Times New Roman"/>
          <w:lang w:val="fr-CA"/>
        </w:rPr>
        <w:t xml:space="preserve">que les assurances peuvent </w:t>
      </w:r>
      <w:r>
        <w:rPr>
          <w:rFonts w:cs="Times New Roman"/>
          <w:lang w:val="fr-CA"/>
        </w:rPr>
        <w:t xml:space="preserve">être utiles à </w:t>
      </w:r>
      <w:r w:rsidRPr="0080058A">
        <w:rPr>
          <w:rFonts w:cs="Times New Roman"/>
          <w:lang w:val="fr-CA"/>
        </w:rPr>
        <w:t xml:space="preserve">plusieurs </w:t>
      </w:r>
      <w:r>
        <w:rPr>
          <w:rFonts w:cs="Times New Roman"/>
          <w:lang w:val="fr-CA"/>
        </w:rPr>
        <w:t xml:space="preserve">titres dans le cas de </w:t>
      </w:r>
      <w:r w:rsidRPr="0080058A">
        <w:rPr>
          <w:rFonts w:cs="Times New Roman"/>
          <w:lang w:val="fr-CA"/>
        </w:rPr>
        <w:t>l</w:t>
      </w:r>
      <w:r>
        <w:rPr>
          <w:rFonts w:cs="Times New Roman"/>
          <w:lang w:val="fr-CA"/>
        </w:rPr>
        <w:t>’</w:t>
      </w:r>
      <w:r w:rsidRPr="0080058A">
        <w:rPr>
          <w:rFonts w:cs="Times New Roman"/>
          <w:lang w:val="fr-CA"/>
        </w:rPr>
        <w:t>extradition d</w:t>
      </w:r>
      <w:r>
        <w:rPr>
          <w:rFonts w:cs="Times New Roman"/>
          <w:lang w:val="fr-CA"/>
        </w:rPr>
        <w:t>’</w:t>
      </w:r>
      <w:r w:rsidRPr="0080058A">
        <w:rPr>
          <w:rFonts w:cs="Times New Roman"/>
          <w:lang w:val="fr-CA"/>
        </w:rPr>
        <w:t xml:space="preserve">une personne. </w:t>
      </w:r>
      <w:r>
        <w:rPr>
          <w:rFonts w:cs="Times New Roman"/>
          <w:lang w:val="fr-CA"/>
        </w:rPr>
        <w:t xml:space="preserve">Le ministre ne les demande </w:t>
      </w:r>
      <w:r w:rsidRPr="0080058A">
        <w:rPr>
          <w:rFonts w:cs="Times New Roman"/>
          <w:lang w:val="fr-CA"/>
        </w:rPr>
        <w:t xml:space="preserve">pas toujours </w:t>
      </w:r>
      <w:r>
        <w:rPr>
          <w:rFonts w:cs="Times New Roman"/>
          <w:lang w:val="fr-CA"/>
        </w:rPr>
        <w:t xml:space="preserve">lorsqu’il a </w:t>
      </w:r>
      <w:r w:rsidRPr="0080058A">
        <w:rPr>
          <w:rFonts w:cs="Times New Roman"/>
          <w:lang w:val="fr-CA"/>
        </w:rPr>
        <w:t>dé</w:t>
      </w:r>
      <w:r>
        <w:rPr>
          <w:rFonts w:cs="Times New Roman"/>
          <w:lang w:val="fr-CA"/>
        </w:rPr>
        <w:t xml:space="preserve">cidé </w:t>
      </w:r>
      <w:r w:rsidRPr="0080058A">
        <w:rPr>
          <w:rFonts w:cs="Times New Roman"/>
          <w:lang w:val="fr-CA"/>
        </w:rPr>
        <w:t>qu</w:t>
      </w:r>
      <w:r>
        <w:rPr>
          <w:rFonts w:cs="Times New Roman"/>
          <w:lang w:val="fr-CA"/>
        </w:rPr>
        <w:t xml:space="preserve">’il existe un risque sérieux — ou même un risque </w:t>
      </w:r>
      <w:r w:rsidRPr="00684DE9">
        <w:rPr>
          <w:rFonts w:cs="Times New Roman"/>
          <w:i/>
          <w:lang w:val="fr-CA"/>
        </w:rPr>
        <w:t>quelconque</w:t>
      </w:r>
      <w:r>
        <w:rPr>
          <w:rFonts w:cs="Times New Roman"/>
          <w:lang w:val="fr-CA"/>
        </w:rPr>
        <w:t xml:space="preserve"> — </w:t>
      </w:r>
      <w:r w:rsidRPr="0080058A">
        <w:rPr>
          <w:rFonts w:cs="Times New Roman"/>
          <w:lang w:val="fr-CA"/>
        </w:rPr>
        <w:t xml:space="preserve">de torture ou de mauvais traitements </w:t>
      </w:r>
      <w:r>
        <w:rPr>
          <w:rFonts w:cs="Times New Roman"/>
          <w:lang w:val="fr-CA"/>
        </w:rPr>
        <w:t>dans l’État requérant</w:t>
      </w:r>
      <w:r w:rsidRPr="0080058A">
        <w:rPr>
          <w:rFonts w:cs="Times New Roman"/>
          <w:lang w:val="fr-CA"/>
        </w:rPr>
        <w:t xml:space="preserve">. </w:t>
      </w:r>
      <w:r>
        <w:rPr>
          <w:rFonts w:cs="Times New Roman"/>
          <w:lang w:val="fr-CA"/>
        </w:rPr>
        <w:t xml:space="preserve">Les </w:t>
      </w:r>
      <w:r w:rsidRPr="0080058A">
        <w:rPr>
          <w:rFonts w:cs="Times New Roman"/>
          <w:lang w:val="fr-CA"/>
        </w:rPr>
        <w:t xml:space="preserve">assurances ne peuvent </w:t>
      </w:r>
      <w:r>
        <w:rPr>
          <w:rFonts w:cs="Times New Roman"/>
          <w:lang w:val="fr-CA"/>
        </w:rPr>
        <w:t xml:space="preserve">donc </w:t>
      </w:r>
      <w:r w:rsidRPr="0080058A">
        <w:rPr>
          <w:rFonts w:cs="Times New Roman"/>
          <w:lang w:val="fr-CA"/>
        </w:rPr>
        <w:t>être considérées comme une preuve de l</w:t>
      </w:r>
      <w:r>
        <w:rPr>
          <w:rFonts w:cs="Times New Roman"/>
          <w:lang w:val="fr-CA"/>
        </w:rPr>
        <w:t>’</w:t>
      </w:r>
      <w:r w:rsidRPr="0080058A">
        <w:rPr>
          <w:rFonts w:cs="Times New Roman"/>
          <w:lang w:val="fr-CA"/>
        </w:rPr>
        <w:t>existence d</w:t>
      </w:r>
      <w:r>
        <w:rPr>
          <w:rFonts w:cs="Times New Roman"/>
          <w:lang w:val="fr-CA"/>
        </w:rPr>
        <w:t>’</w:t>
      </w:r>
      <w:r w:rsidRPr="0080058A">
        <w:rPr>
          <w:rFonts w:cs="Times New Roman"/>
          <w:lang w:val="fr-CA"/>
        </w:rPr>
        <w:t xml:space="preserve">un tel risque. </w:t>
      </w:r>
      <w:r>
        <w:rPr>
          <w:rFonts w:cs="Times New Roman"/>
          <w:lang w:val="fr-CA"/>
        </w:rPr>
        <w:t>Par exemple, le m</w:t>
      </w:r>
      <w:r w:rsidRPr="0080058A">
        <w:rPr>
          <w:rFonts w:cs="Times New Roman"/>
          <w:lang w:val="fr-CA"/>
        </w:rPr>
        <w:t xml:space="preserve">inistre peut </w:t>
      </w:r>
      <w:r>
        <w:rPr>
          <w:rFonts w:cs="Times New Roman"/>
          <w:lang w:val="fr-CA"/>
        </w:rPr>
        <w:t xml:space="preserve">demander des assurances </w:t>
      </w:r>
      <w:r w:rsidRPr="0080058A">
        <w:rPr>
          <w:rFonts w:cs="Times New Roman"/>
          <w:lang w:val="fr-CA"/>
        </w:rPr>
        <w:t xml:space="preserve">par </w:t>
      </w:r>
      <w:r>
        <w:rPr>
          <w:rFonts w:cs="Times New Roman"/>
          <w:lang w:val="fr-CA"/>
        </w:rPr>
        <w:t xml:space="preserve">simple </w:t>
      </w:r>
      <w:r w:rsidRPr="0080058A">
        <w:rPr>
          <w:rFonts w:cs="Times New Roman"/>
          <w:lang w:val="fr-CA"/>
        </w:rPr>
        <w:t>mesure de précaution (voir, p</w:t>
      </w:r>
      <w:r w:rsidR="00925C2D">
        <w:rPr>
          <w:rFonts w:cs="Times New Roman"/>
          <w:lang w:val="fr-CA"/>
        </w:rPr>
        <w:t>.</w:t>
      </w:r>
      <w:r w:rsidRPr="0080058A">
        <w:rPr>
          <w:rFonts w:cs="Times New Roman"/>
          <w:lang w:val="fr-CA"/>
        </w:rPr>
        <w:t> ex., l</w:t>
      </w:r>
      <w:r>
        <w:rPr>
          <w:rFonts w:cs="Times New Roman"/>
          <w:lang w:val="fr-CA"/>
        </w:rPr>
        <w:t>’</w:t>
      </w:r>
      <w:r w:rsidRPr="0080058A">
        <w:rPr>
          <w:rFonts w:cs="Times New Roman"/>
          <w:lang w:val="fr-CA"/>
        </w:rPr>
        <w:t xml:space="preserve">arrêt </w:t>
      </w:r>
      <w:r w:rsidRPr="0080058A">
        <w:rPr>
          <w:rFonts w:cs="Times New Roman"/>
          <w:i/>
          <w:lang w:val="fr-CA"/>
        </w:rPr>
        <w:t>Thailand</w:t>
      </w:r>
      <w:r>
        <w:rPr>
          <w:rFonts w:cs="Times New Roman"/>
          <w:i/>
          <w:lang w:val="fr-CA"/>
        </w:rPr>
        <w:t xml:space="preserve"> (Kingdom)</w:t>
      </w:r>
      <w:r w:rsidRPr="0080058A">
        <w:rPr>
          <w:rFonts w:cs="Times New Roman"/>
          <w:i/>
          <w:lang w:val="fr-CA"/>
        </w:rPr>
        <w:t xml:space="preserve"> c. Saxena</w:t>
      </w:r>
      <w:r w:rsidRPr="0080058A">
        <w:rPr>
          <w:rFonts w:cs="Times New Roman"/>
          <w:lang w:val="fr-CA"/>
        </w:rPr>
        <w:t xml:space="preserve">, 2006 BCCA 98, </w:t>
      </w:r>
      <w:r>
        <w:rPr>
          <w:rFonts w:cs="Times New Roman"/>
          <w:lang w:val="fr-CA"/>
        </w:rPr>
        <w:t>265 D.L.R. (4th) 55, par. </w:t>
      </w:r>
      <w:r w:rsidRPr="0080058A">
        <w:rPr>
          <w:rFonts w:cs="Times New Roman"/>
          <w:lang w:val="fr-CA"/>
        </w:rPr>
        <w:t>56).</w:t>
      </w:r>
    </w:p>
    <w:p w:rsidR="00361B98" w:rsidRPr="00515644" w:rsidRDefault="00361B98" w:rsidP="002B69A7">
      <w:pPr>
        <w:pStyle w:val="Title3LevelTitre3Niveau"/>
        <w:widowControl w:val="0"/>
        <w:rPr>
          <w:lang w:val="fr-CA"/>
        </w:rPr>
      </w:pPr>
      <w:r w:rsidRPr="00515644">
        <w:rPr>
          <w:lang w:val="fr-CA"/>
        </w:rPr>
        <w:t xml:space="preserve">Lorsque le </w:t>
      </w:r>
      <w:r>
        <w:rPr>
          <w:lang w:val="fr-CA"/>
        </w:rPr>
        <w:t>m</w:t>
      </w:r>
      <w:r w:rsidRPr="00515644">
        <w:rPr>
          <w:lang w:val="fr-CA"/>
        </w:rPr>
        <w:t>inistre estime que l</w:t>
      </w:r>
      <w:r>
        <w:rPr>
          <w:lang w:val="fr-CA"/>
        </w:rPr>
        <w:t>’</w:t>
      </w:r>
      <w:r w:rsidRPr="00515644">
        <w:rPr>
          <w:lang w:val="fr-CA"/>
        </w:rPr>
        <w:t xml:space="preserve">extradition respecte la </w:t>
      </w:r>
      <w:r w:rsidRPr="00515644">
        <w:rPr>
          <w:i/>
          <w:lang w:val="fr-CA"/>
        </w:rPr>
        <w:t>Charte</w:t>
      </w:r>
      <w:r w:rsidRPr="00515644">
        <w:rPr>
          <w:lang w:val="fr-CA"/>
        </w:rPr>
        <w:t>, il doit néanmoins la refuser s</w:t>
      </w:r>
      <w:r>
        <w:rPr>
          <w:lang w:val="fr-CA"/>
        </w:rPr>
        <w:t>’</w:t>
      </w:r>
      <w:r w:rsidRPr="00515644">
        <w:rPr>
          <w:lang w:val="fr-CA"/>
        </w:rPr>
        <w:t>il est convaincu qu</w:t>
      </w:r>
      <w:r>
        <w:rPr>
          <w:lang w:val="fr-CA"/>
        </w:rPr>
        <w:t>’</w:t>
      </w:r>
      <w:r w:rsidRPr="00515644">
        <w:rPr>
          <w:lang w:val="fr-CA"/>
        </w:rPr>
        <w:t>elle serait par ailleurs injuste ou tyrannique</w:t>
      </w:r>
    </w:p>
    <w:p w:rsidR="00361B98" w:rsidRPr="0080058A" w:rsidRDefault="00361B98" w:rsidP="002B69A7">
      <w:pPr>
        <w:pStyle w:val="ParaNoNdepar-AltN"/>
        <w:widowControl w:val="0"/>
        <w:rPr>
          <w:rFonts w:cs="Times New Roman"/>
          <w:lang w:val="fr-CA"/>
        </w:rPr>
      </w:pPr>
      <w:r>
        <w:rPr>
          <w:rFonts w:cs="Times New Roman"/>
          <w:lang w:val="fr-CA"/>
        </w:rPr>
        <w:t xml:space="preserve">Lorsqu’il </w:t>
      </w:r>
      <w:r w:rsidRPr="0080058A">
        <w:rPr>
          <w:rFonts w:cs="Times New Roman"/>
          <w:lang w:val="fr-CA"/>
        </w:rPr>
        <w:t>est convaincu que l</w:t>
      </w:r>
      <w:r>
        <w:rPr>
          <w:rFonts w:cs="Times New Roman"/>
          <w:lang w:val="fr-CA"/>
        </w:rPr>
        <w:t xml:space="preserve">’intéressé ne court </w:t>
      </w:r>
      <w:r w:rsidRPr="0080058A">
        <w:rPr>
          <w:rFonts w:cs="Times New Roman"/>
          <w:lang w:val="fr-CA"/>
        </w:rPr>
        <w:t xml:space="preserve">pas un risque </w:t>
      </w:r>
      <w:r>
        <w:rPr>
          <w:rFonts w:cs="Times New Roman"/>
          <w:lang w:val="fr-CA"/>
        </w:rPr>
        <w:t xml:space="preserve">sérieux </w:t>
      </w:r>
      <w:r w:rsidRPr="0080058A">
        <w:rPr>
          <w:rFonts w:cs="Times New Roman"/>
          <w:lang w:val="fr-CA"/>
        </w:rPr>
        <w:t>de torture ou de mauvais traitement</w:t>
      </w:r>
      <w:r>
        <w:rPr>
          <w:rFonts w:cs="Times New Roman"/>
          <w:lang w:val="fr-CA"/>
        </w:rPr>
        <w:t>s</w:t>
      </w:r>
      <w:r w:rsidRPr="0080058A">
        <w:rPr>
          <w:rFonts w:cs="Times New Roman"/>
          <w:lang w:val="fr-CA"/>
        </w:rPr>
        <w:t xml:space="preserve"> et que son extradition respecte la </w:t>
      </w:r>
      <w:r w:rsidRPr="0080058A">
        <w:rPr>
          <w:rFonts w:cs="Times New Roman"/>
          <w:i/>
          <w:lang w:val="fr-CA"/>
        </w:rPr>
        <w:t>Charte</w:t>
      </w:r>
      <w:r w:rsidRPr="0080058A">
        <w:rPr>
          <w:rFonts w:cs="Times New Roman"/>
          <w:lang w:val="fr-CA"/>
        </w:rPr>
        <w:t xml:space="preserve">, le </w:t>
      </w:r>
      <w:r>
        <w:rPr>
          <w:rFonts w:cs="Times New Roman"/>
          <w:lang w:val="fr-CA"/>
        </w:rPr>
        <w:t>m</w:t>
      </w:r>
      <w:r w:rsidRPr="0080058A">
        <w:rPr>
          <w:rFonts w:cs="Times New Roman"/>
          <w:lang w:val="fr-CA"/>
        </w:rPr>
        <w:t xml:space="preserve">inistre </w:t>
      </w:r>
      <w:r w:rsidRPr="00515644">
        <w:rPr>
          <w:rFonts w:cs="Times New Roman"/>
          <w:lang w:val="fr-CA"/>
        </w:rPr>
        <w:t>doit néanmoins refuser de l</w:t>
      </w:r>
      <w:r>
        <w:rPr>
          <w:rFonts w:cs="Times New Roman"/>
          <w:lang w:val="fr-CA"/>
        </w:rPr>
        <w:t>’</w:t>
      </w:r>
      <w:r w:rsidRPr="00515644">
        <w:rPr>
          <w:rFonts w:cs="Times New Roman"/>
          <w:lang w:val="fr-CA"/>
        </w:rPr>
        <w:t>extrader s</w:t>
      </w:r>
      <w:r>
        <w:rPr>
          <w:rFonts w:cs="Times New Roman"/>
          <w:lang w:val="fr-CA"/>
        </w:rPr>
        <w:t>’</w:t>
      </w:r>
      <w:r w:rsidRPr="00515644">
        <w:rPr>
          <w:rFonts w:cs="Times New Roman"/>
          <w:lang w:val="fr-CA"/>
        </w:rPr>
        <w:t xml:space="preserve">il est convaincu que cette mesure serait par ailleurs injuste ou tyrannique (voir </w:t>
      </w:r>
      <w:r w:rsidRPr="00515644">
        <w:rPr>
          <w:rFonts w:cs="Times New Roman"/>
          <w:i/>
          <w:lang w:val="fr-CA"/>
        </w:rPr>
        <w:t>Németh</w:t>
      </w:r>
      <w:r w:rsidRPr="00515644">
        <w:rPr>
          <w:rFonts w:cs="Times New Roman"/>
          <w:lang w:val="fr-CA"/>
        </w:rPr>
        <w:t xml:space="preserve">, </w:t>
      </w:r>
      <w:r>
        <w:rPr>
          <w:rFonts w:cs="Times New Roman"/>
          <w:lang w:val="fr-CA"/>
        </w:rPr>
        <w:t>par. </w:t>
      </w:r>
      <w:r w:rsidRPr="00515644">
        <w:rPr>
          <w:rFonts w:cs="Times New Roman"/>
          <w:lang w:val="fr-CA"/>
        </w:rPr>
        <w:t xml:space="preserve">56). </w:t>
      </w:r>
      <w:r w:rsidRPr="0080058A">
        <w:rPr>
          <w:rFonts w:cs="Times New Roman"/>
          <w:lang w:val="fr-CA"/>
        </w:rPr>
        <w:t>Comme</w:t>
      </w:r>
      <w:r>
        <w:rPr>
          <w:rFonts w:cs="Times New Roman"/>
          <w:lang w:val="fr-CA"/>
        </w:rPr>
        <w:t xml:space="preserve"> </w:t>
      </w:r>
      <w:r w:rsidRPr="0080058A">
        <w:rPr>
          <w:rFonts w:cs="Times New Roman"/>
          <w:lang w:val="fr-CA"/>
        </w:rPr>
        <w:t>notre Cour l</w:t>
      </w:r>
      <w:r>
        <w:rPr>
          <w:rFonts w:cs="Times New Roman"/>
          <w:lang w:val="fr-CA"/>
        </w:rPr>
        <w:t>’</w:t>
      </w:r>
      <w:r w:rsidRPr="0080058A">
        <w:rPr>
          <w:rFonts w:cs="Times New Roman"/>
          <w:lang w:val="fr-CA"/>
        </w:rPr>
        <w:t>a fait observer dans l</w:t>
      </w:r>
      <w:r>
        <w:rPr>
          <w:rFonts w:cs="Times New Roman"/>
          <w:lang w:val="fr-CA"/>
        </w:rPr>
        <w:t>’</w:t>
      </w:r>
      <w:r w:rsidRPr="0080058A">
        <w:rPr>
          <w:rFonts w:cs="Times New Roman"/>
          <w:lang w:val="fr-CA"/>
        </w:rPr>
        <w:t xml:space="preserve">arrêt </w:t>
      </w:r>
      <w:r w:rsidRPr="0080058A">
        <w:rPr>
          <w:rFonts w:cs="Times New Roman"/>
          <w:i/>
          <w:lang w:val="fr-CA"/>
        </w:rPr>
        <w:t>Fischbacher</w:t>
      </w:r>
      <w:r w:rsidRPr="0080058A">
        <w:rPr>
          <w:rFonts w:cs="Times New Roman"/>
          <w:lang w:val="fr-CA"/>
        </w:rPr>
        <w:t>, lorsque l</w:t>
      </w:r>
      <w:r>
        <w:rPr>
          <w:rFonts w:cs="Times New Roman"/>
          <w:lang w:val="fr-CA"/>
        </w:rPr>
        <w:t>’</w:t>
      </w:r>
      <w:r w:rsidRPr="0080058A">
        <w:rPr>
          <w:rFonts w:cs="Times New Roman"/>
          <w:lang w:val="fr-CA"/>
        </w:rPr>
        <w:t xml:space="preserve">extradition est constitutionnelle, le </w:t>
      </w:r>
      <w:r>
        <w:rPr>
          <w:rFonts w:cs="Times New Roman"/>
          <w:lang w:val="fr-CA"/>
        </w:rPr>
        <w:t>m</w:t>
      </w:r>
      <w:r w:rsidRPr="0080058A">
        <w:rPr>
          <w:rFonts w:cs="Times New Roman"/>
          <w:lang w:val="fr-CA"/>
        </w:rPr>
        <w:t xml:space="preserve">inistre </w:t>
      </w:r>
      <w:r>
        <w:rPr>
          <w:rFonts w:cs="Times New Roman"/>
          <w:lang w:val="fr-CA"/>
        </w:rPr>
        <w:t>conserve</w:t>
      </w:r>
      <w:r w:rsidRPr="0080058A">
        <w:rPr>
          <w:rFonts w:cs="Times New Roman"/>
          <w:lang w:val="fr-CA"/>
        </w:rPr>
        <w:t xml:space="preserve"> son </w:t>
      </w:r>
      <w:r w:rsidR="00D91532">
        <w:rPr>
          <w:rFonts w:cs="Times New Roman"/>
          <w:lang w:val="fr-CA"/>
        </w:rPr>
        <w:t>[</w:t>
      </w:r>
      <w:r w:rsidR="00D91532" w:rsidRPr="00D91532">
        <w:rPr>
          <w:rFonts w:cs="Times New Roman"/>
          <w:smallCaps/>
          <w:lang w:val="fr-CA"/>
        </w:rPr>
        <w:t>traduction</w:t>
      </w:r>
      <w:r w:rsidR="00D91532">
        <w:rPr>
          <w:rFonts w:cs="Times New Roman"/>
          <w:lang w:val="fr-CA"/>
        </w:rPr>
        <w:t xml:space="preserve">] </w:t>
      </w:r>
      <w:r w:rsidRPr="0080058A">
        <w:rPr>
          <w:lang w:val="fr-CA"/>
        </w:rPr>
        <w:t>« pouvoir discrétionnaire résiduel de refuser l</w:t>
      </w:r>
      <w:r>
        <w:rPr>
          <w:lang w:val="fr-CA"/>
        </w:rPr>
        <w:t>’</w:t>
      </w:r>
      <w:r w:rsidRPr="0080058A">
        <w:rPr>
          <w:lang w:val="fr-CA"/>
        </w:rPr>
        <w:t>extradition parce qu</w:t>
      </w:r>
      <w:r>
        <w:rPr>
          <w:lang w:val="fr-CA"/>
        </w:rPr>
        <w:t>’</w:t>
      </w:r>
      <w:r w:rsidRPr="0080058A">
        <w:rPr>
          <w:lang w:val="fr-CA"/>
        </w:rPr>
        <w:t xml:space="preserve">elle serait injuste ou tyrannique </w:t>
      </w:r>
      <w:r>
        <w:rPr>
          <w:lang w:val="fr-CA"/>
        </w:rPr>
        <w:t xml:space="preserve">vu </w:t>
      </w:r>
      <w:r w:rsidRPr="0080058A">
        <w:rPr>
          <w:lang w:val="fr-CA"/>
        </w:rPr>
        <w:t>l</w:t>
      </w:r>
      <w:r>
        <w:rPr>
          <w:lang w:val="fr-CA"/>
        </w:rPr>
        <w:t>’</w:t>
      </w:r>
      <w:r w:rsidRPr="0080058A">
        <w:rPr>
          <w:lang w:val="fr-CA"/>
        </w:rPr>
        <w:t>ensemble des circonstances pertinentes</w:t>
      </w:r>
      <w:r>
        <w:rPr>
          <w:lang w:val="fr-CA"/>
        </w:rPr>
        <w:t xml:space="preserve">, </w:t>
      </w:r>
      <w:r w:rsidRPr="0080058A">
        <w:rPr>
          <w:lang w:val="fr-CA"/>
        </w:rPr>
        <w:t xml:space="preserve">notamment, mais non exclusivement, </w:t>
      </w:r>
      <w:r w:rsidR="00925C2D">
        <w:rPr>
          <w:lang w:val="fr-CA"/>
        </w:rPr>
        <w:t xml:space="preserve">de </w:t>
      </w:r>
      <w:r w:rsidRPr="0080058A">
        <w:rPr>
          <w:lang w:val="fr-CA"/>
        </w:rPr>
        <w:t xml:space="preserve">celles qui la rendraient incompatible avec les principes de la </w:t>
      </w:r>
      <w:r w:rsidRPr="0080058A">
        <w:rPr>
          <w:rFonts w:cs="Times New Roman"/>
          <w:i/>
          <w:lang w:val="fr-CA"/>
        </w:rPr>
        <w:t>Charte</w:t>
      </w:r>
      <w:r w:rsidRPr="0080058A">
        <w:rPr>
          <w:rFonts w:cs="Times New Roman"/>
          <w:lang w:val="fr-CA"/>
        </w:rPr>
        <w:t> » (</w:t>
      </w:r>
      <w:r>
        <w:rPr>
          <w:rFonts w:cs="Times New Roman"/>
          <w:lang w:val="fr-CA"/>
        </w:rPr>
        <w:t>par. </w:t>
      </w:r>
      <w:r w:rsidRPr="0080058A">
        <w:rPr>
          <w:rFonts w:cs="Times New Roman"/>
          <w:lang w:val="fr-CA"/>
        </w:rPr>
        <w:t xml:space="preserve">39, citant </w:t>
      </w:r>
      <w:r w:rsidRPr="0080058A">
        <w:rPr>
          <w:rFonts w:cs="Times New Roman"/>
          <w:i/>
          <w:lang w:val="fr-CA"/>
        </w:rPr>
        <w:t>Bonamie,</w:t>
      </w:r>
      <w:r>
        <w:rPr>
          <w:rFonts w:cs="Times New Roman"/>
          <w:i/>
          <w:lang w:val="fr-CA"/>
        </w:rPr>
        <w:t xml:space="preserve"> Re</w:t>
      </w:r>
      <w:r>
        <w:rPr>
          <w:rFonts w:cs="Times New Roman"/>
          <w:lang w:val="fr-CA"/>
        </w:rPr>
        <w:t>,</w:t>
      </w:r>
      <w:r w:rsidRPr="0080058A">
        <w:rPr>
          <w:rFonts w:cs="Times New Roman"/>
          <w:i/>
          <w:lang w:val="fr-CA"/>
        </w:rPr>
        <w:t xml:space="preserve"> </w:t>
      </w:r>
      <w:r w:rsidRPr="0080058A">
        <w:rPr>
          <w:rFonts w:cs="Times New Roman"/>
          <w:lang w:val="fr-CA"/>
        </w:rPr>
        <w:t>2001</w:t>
      </w:r>
      <w:r>
        <w:rPr>
          <w:rFonts w:cs="Times New Roman"/>
          <w:lang w:val="fr-CA"/>
        </w:rPr>
        <w:t xml:space="preserve"> </w:t>
      </w:r>
      <w:r w:rsidRPr="0080058A">
        <w:rPr>
          <w:rFonts w:cs="Times New Roman"/>
          <w:lang w:val="fr-CA"/>
        </w:rPr>
        <w:t>ABCA</w:t>
      </w:r>
      <w:r>
        <w:rPr>
          <w:rFonts w:cs="Times New Roman"/>
          <w:lang w:val="fr-CA"/>
        </w:rPr>
        <w:t xml:space="preserve"> </w:t>
      </w:r>
      <w:r w:rsidRPr="0080058A">
        <w:rPr>
          <w:rFonts w:cs="Times New Roman"/>
          <w:lang w:val="fr-CA"/>
        </w:rPr>
        <w:t>267,</w:t>
      </w:r>
      <w:r>
        <w:rPr>
          <w:rFonts w:cs="Times New Roman"/>
          <w:lang w:val="fr-CA"/>
        </w:rPr>
        <w:t xml:space="preserve"> 293 A.R. 201,</w:t>
      </w:r>
      <w:r w:rsidRPr="0080058A">
        <w:rPr>
          <w:rFonts w:cs="Times New Roman"/>
          <w:lang w:val="fr-CA"/>
        </w:rPr>
        <w:t xml:space="preserve"> </w:t>
      </w:r>
      <w:r>
        <w:rPr>
          <w:rFonts w:cs="Times New Roman"/>
          <w:lang w:val="fr-CA"/>
        </w:rPr>
        <w:t>par. </w:t>
      </w:r>
      <w:r w:rsidRPr="0080058A">
        <w:rPr>
          <w:rFonts w:cs="Times New Roman"/>
          <w:lang w:val="fr-CA"/>
        </w:rPr>
        <w:t xml:space="preserve">47). À cet égard, le </w:t>
      </w:r>
      <w:r>
        <w:rPr>
          <w:rFonts w:cs="Times New Roman"/>
          <w:lang w:val="fr-CA"/>
        </w:rPr>
        <w:t>m</w:t>
      </w:r>
      <w:r w:rsidRPr="0080058A">
        <w:rPr>
          <w:rFonts w:cs="Times New Roman"/>
          <w:lang w:val="fr-CA"/>
        </w:rPr>
        <w:t xml:space="preserve">inistre peut tenir compte des </w:t>
      </w:r>
      <w:r w:rsidRPr="0080058A">
        <w:rPr>
          <w:rFonts w:cs="Times New Roman"/>
          <w:lang w:val="fr-CA"/>
        </w:rPr>
        <w:lastRenderedPageBreak/>
        <w:t>circonstances qu</w:t>
      </w:r>
      <w:r>
        <w:rPr>
          <w:rFonts w:cs="Times New Roman"/>
          <w:lang w:val="fr-CA"/>
        </w:rPr>
        <w:t>’</w:t>
      </w:r>
      <w:r w:rsidRPr="0080058A">
        <w:rPr>
          <w:rFonts w:cs="Times New Roman"/>
          <w:lang w:val="fr-CA"/>
        </w:rPr>
        <w:t>il a</w:t>
      </w:r>
      <w:r>
        <w:rPr>
          <w:rFonts w:cs="Times New Roman"/>
          <w:lang w:val="fr-CA"/>
        </w:rPr>
        <w:t xml:space="preserve"> prises en considération au moment de décider </w:t>
      </w:r>
      <w:r w:rsidRPr="0080058A">
        <w:rPr>
          <w:rFonts w:cs="Times New Roman"/>
          <w:lang w:val="fr-CA"/>
        </w:rPr>
        <w:t>s</w:t>
      </w:r>
      <w:r>
        <w:rPr>
          <w:rFonts w:cs="Times New Roman"/>
          <w:lang w:val="fr-CA"/>
        </w:rPr>
        <w:t>’</w:t>
      </w:r>
      <w:r w:rsidRPr="0080058A">
        <w:rPr>
          <w:rFonts w:cs="Times New Roman"/>
          <w:lang w:val="fr-CA"/>
        </w:rPr>
        <w:t>il y avait atteinte à l</w:t>
      </w:r>
      <w:r>
        <w:rPr>
          <w:rFonts w:cs="Times New Roman"/>
          <w:lang w:val="fr-CA"/>
        </w:rPr>
        <w:t>’art. </w:t>
      </w:r>
      <w:r w:rsidRPr="0080058A">
        <w:rPr>
          <w:rFonts w:cs="Times New Roman"/>
          <w:lang w:val="fr-CA"/>
        </w:rPr>
        <w:t>7 ou à d</w:t>
      </w:r>
      <w:r>
        <w:rPr>
          <w:rFonts w:cs="Times New Roman"/>
          <w:lang w:val="fr-CA"/>
        </w:rPr>
        <w:t>’</w:t>
      </w:r>
      <w:r w:rsidRPr="0080058A">
        <w:rPr>
          <w:rFonts w:cs="Times New Roman"/>
          <w:lang w:val="fr-CA"/>
        </w:rPr>
        <w:t xml:space="preserve">autres </w:t>
      </w:r>
      <w:r>
        <w:rPr>
          <w:rFonts w:cs="Times New Roman"/>
          <w:lang w:val="fr-CA"/>
        </w:rPr>
        <w:t xml:space="preserve">dispositions </w:t>
      </w:r>
      <w:r w:rsidRPr="0080058A">
        <w:rPr>
          <w:rFonts w:cs="Times New Roman"/>
          <w:lang w:val="fr-CA"/>
        </w:rPr>
        <w:t xml:space="preserve">de la </w:t>
      </w:r>
      <w:r w:rsidRPr="0080058A">
        <w:rPr>
          <w:rFonts w:cs="Times New Roman"/>
          <w:i/>
          <w:lang w:val="fr-CA"/>
        </w:rPr>
        <w:t>Charte</w:t>
      </w:r>
      <w:r w:rsidRPr="0080058A">
        <w:rPr>
          <w:rFonts w:cs="Times New Roman"/>
          <w:lang w:val="fr-CA"/>
        </w:rPr>
        <w:t xml:space="preserve">, </w:t>
      </w:r>
      <w:r>
        <w:rPr>
          <w:rFonts w:cs="Times New Roman"/>
          <w:lang w:val="fr-CA"/>
        </w:rPr>
        <w:t>n</w:t>
      </w:r>
      <w:r w:rsidRPr="0080058A">
        <w:rPr>
          <w:rFonts w:cs="Times New Roman"/>
          <w:lang w:val="fr-CA"/>
        </w:rPr>
        <w:t xml:space="preserve">otamment </w:t>
      </w:r>
      <w:r>
        <w:rPr>
          <w:rFonts w:cs="Times New Roman"/>
          <w:lang w:val="fr-CA"/>
        </w:rPr>
        <w:t xml:space="preserve">de </w:t>
      </w:r>
      <w:r w:rsidRPr="0080058A">
        <w:rPr>
          <w:rFonts w:cs="Times New Roman"/>
          <w:lang w:val="fr-CA"/>
        </w:rPr>
        <w:t>la situation de l</w:t>
      </w:r>
      <w:r>
        <w:rPr>
          <w:rFonts w:cs="Times New Roman"/>
          <w:lang w:val="fr-CA"/>
        </w:rPr>
        <w:t>’intéressé et d</w:t>
      </w:r>
      <w:r w:rsidRPr="0080058A">
        <w:rPr>
          <w:rFonts w:cs="Times New Roman"/>
          <w:lang w:val="fr-CA"/>
        </w:rPr>
        <w:t xml:space="preserve">es conséquences de son extradition. Le </w:t>
      </w:r>
      <w:r>
        <w:rPr>
          <w:rFonts w:cs="Times New Roman"/>
          <w:lang w:val="fr-CA"/>
        </w:rPr>
        <w:t>m</w:t>
      </w:r>
      <w:r w:rsidRPr="0080058A">
        <w:rPr>
          <w:rFonts w:cs="Times New Roman"/>
          <w:lang w:val="fr-CA"/>
        </w:rPr>
        <w:t xml:space="preserve">inistre peut </w:t>
      </w:r>
      <w:r>
        <w:rPr>
          <w:rFonts w:cs="Times New Roman"/>
          <w:lang w:val="fr-CA"/>
        </w:rPr>
        <w:t xml:space="preserve">aussi tenir compte de </w:t>
      </w:r>
      <w:r w:rsidRPr="0080058A">
        <w:rPr>
          <w:rFonts w:cs="Times New Roman"/>
          <w:lang w:val="fr-CA"/>
        </w:rPr>
        <w:t>la gravité de l</w:t>
      </w:r>
      <w:r>
        <w:rPr>
          <w:rFonts w:cs="Times New Roman"/>
          <w:lang w:val="fr-CA"/>
        </w:rPr>
        <w:t>’</w:t>
      </w:r>
      <w:r w:rsidRPr="0080058A">
        <w:rPr>
          <w:rFonts w:cs="Times New Roman"/>
          <w:lang w:val="fr-CA"/>
        </w:rPr>
        <w:t>infraction reprochée et l</w:t>
      </w:r>
      <w:r>
        <w:rPr>
          <w:rFonts w:cs="Times New Roman"/>
          <w:lang w:val="fr-CA"/>
        </w:rPr>
        <w:t>’</w:t>
      </w:r>
      <w:r w:rsidRPr="0080058A">
        <w:rPr>
          <w:rFonts w:cs="Times New Roman"/>
          <w:lang w:val="fr-CA"/>
        </w:rPr>
        <w:t xml:space="preserve">importance que le Canada respecte ses obligations internationales et ne devienne pas un refuge </w:t>
      </w:r>
      <w:r>
        <w:rPr>
          <w:rFonts w:cs="Times New Roman"/>
          <w:lang w:val="fr-CA"/>
        </w:rPr>
        <w:t xml:space="preserve">sûr </w:t>
      </w:r>
      <w:r w:rsidRPr="0080058A">
        <w:rPr>
          <w:rFonts w:cs="Times New Roman"/>
          <w:lang w:val="fr-CA"/>
        </w:rPr>
        <w:t xml:space="preserve">pour les </w:t>
      </w:r>
      <w:r>
        <w:rPr>
          <w:rFonts w:cs="Times New Roman"/>
          <w:lang w:val="fr-CA"/>
        </w:rPr>
        <w:t xml:space="preserve">fugitifs </w:t>
      </w:r>
      <w:r w:rsidRPr="0080058A">
        <w:rPr>
          <w:rFonts w:cs="Times New Roman"/>
          <w:lang w:val="fr-CA"/>
        </w:rPr>
        <w:t>recherchés par la justice.</w:t>
      </w:r>
    </w:p>
    <w:p w:rsidR="00361B98" w:rsidRPr="0080058A" w:rsidRDefault="00361B98" w:rsidP="002B69A7">
      <w:pPr>
        <w:pStyle w:val="Title2LevelTitre2Niveau"/>
        <w:widowControl w:val="0"/>
        <w:rPr>
          <w:rFonts w:cs="Times New Roman"/>
          <w:lang w:val="fr-CA"/>
        </w:rPr>
      </w:pPr>
      <w:r w:rsidRPr="0080058A">
        <w:rPr>
          <w:rFonts w:cs="Times New Roman"/>
          <w:lang w:val="fr-CA"/>
        </w:rPr>
        <w:t xml:space="preserve">Le caractère raisonnable de la décision du </w:t>
      </w:r>
      <w:r>
        <w:rPr>
          <w:rFonts w:cs="Times New Roman"/>
          <w:lang w:val="fr-CA"/>
        </w:rPr>
        <w:t>m</w:t>
      </w:r>
      <w:r w:rsidRPr="0080058A">
        <w:rPr>
          <w:rFonts w:cs="Times New Roman"/>
          <w:lang w:val="fr-CA"/>
        </w:rPr>
        <w:t>inistre d</w:t>
      </w:r>
      <w:r>
        <w:rPr>
          <w:rFonts w:cs="Times New Roman"/>
          <w:lang w:val="fr-CA"/>
        </w:rPr>
        <w:t>’ordonner l’</w:t>
      </w:r>
      <w:r w:rsidRPr="0080058A">
        <w:rPr>
          <w:rFonts w:cs="Times New Roman"/>
          <w:lang w:val="fr-CA"/>
        </w:rPr>
        <w:t>extrad</w:t>
      </w:r>
      <w:r>
        <w:rPr>
          <w:rFonts w:cs="Times New Roman"/>
          <w:lang w:val="fr-CA"/>
        </w:rPr>
        <w:t>ition de</w:t>
      </w:r>
      <w:r w:rsidRPr="0080058A">
        <w:rPr>
          <w:rFonts w:cs="Times New Roman"/>
          <w:lang w:val="fr-CA"/>
        </w:rPr>
        <w:t xml:space="preserve"> M. Badesha et </w:t>
      </w:r>
      <w:r>
        <w:rPr>
          <w:rFonts w:cs="Times New Roman"/>
          <w:lang w:val="fr-CA"/>
        </w:rPr>
        <w:t xml:space="preserve">de </w:t>
      </w:r>
      <w:r w:rsidRPr="0080058A">
        <w:rPr>
          <w:rFonts w:cs="Times New Roman"/>
          <w:lang w:val="fr-CA"/>
        </w:rPr>
        <w:t>M</w:t>
      </w:r>
      <w:r w:rsidRPr="0080058A">
        <w:rPr>
          <w:rFonts w:cs="Times New Roman"/>
          <w:vertAlign w:val="superscript"/>
          <w:lang w:val="fr-CA"/>
        </w:rPr>
        <w:t>me</w:t>
      </w:r>
      <w:r w:rsidRPr="0080058A">
        <w:rPr>
          <w:rFonts w:cs="Times New Roman"/>
          <w:lang w:val="fr-CA"/>
        </w:rPr>
        <w:t> Sidhu</w:t>
      </w:r>
    </w:p>
    <w:p w:rsidR="00361B98" w:rsidRPr="0080058A" w:rsidRDefault="00361B98" w:rsidP="002B69A7">
      <w:pPr>
        <w:pStyle w:val="ParaNoNdepar-AltN"/>
        <w:widowControl w:val="0"/>
        <w:rPr>
          <w:rFonts w:cs="Times New Roman"/>
          <w:lang w:val="fr-CA"/>
        </w:rPr>
      </w:pPr>
      <w:r w:rsidRPr="0080058A">
        <w:rPr>
          <w:rFonts w:cs="Times New Roman"/>
          <w:lang w:val="fr-CA"/>
        </w:rPr>
        <w:t>Dans les motifs de sa décision d</w:t>
      </w:r>
      <w:r>
        <w:rPr>
          <w:rFonts w:cs="Times New Roman"/>
          <w:lang w:val="fr-CA"/>
        </w:rPr>
        <w:t xml:space="preserve">e faire </w:t>
      </w:r>
      <w:r w:rsidRPr="0080058A">
        <w:rPr>
          <w:rFonts w:cs="Times New Roman"/>
          <w:lang w:val="fr-CA"/>
        </w:rPr>
        <w:t>extrader M. Badesha</w:t>
      </w:r>
      <w:r>
        <w:rPr>
          <w:rFonts w:cs="Times New Roman"/>
          <w:lang w:val="fr-CA"/>
        </w:rPr>
        <w:t xml:space="preserve">, le ministre cite le </w:t>
      </w:r>
      <w:r w:rsidRPr="00080ACD">
        <w:rPr>
          <w:rFonts w:cs="Times New Roman"/>
          <w:i/>
          <w:lang w:val="fr-CA"/>
        </w:rPr>
        <w:t>India 2013</w:t>
      </w:r>
      <w:r>
        <w:rPr>
          <w:rFonts w:cs="Times New Roman"/>
          <w:lang w:val="fr-CA"/>
        </w:rPr>
        <w:t xml:space="preserve"> </w:t>
      </w:r>
      <w:r>
        <w:rPr>
          <w:rFonts w:cs="Times New Roman"/>
          <w:i/>
          <w:lang w:val="fr-CA"/>
        </w:rPr>
        <w:t xml:space="preserve">Human Rights Report </w:t>
      </w:r>
      <w:r>
        <w:rPr>
          <w:rFonts w:cs="Times New Roman"/>
          <w:lang w:val="fr-CA"/>
        </w:rPr>
        <w:t>(</w:t>
      </w:r>
      <w:r w:rsidRPr="0080058A">
        <w:rPr>
          <w:rFonts w:cs="Times New Roman"/>
          <w:lang w:val="fr-CA"/>
        </w:rPr>
        <w:t>rapport</w:t>
      </w:r>
      <w:r>
        <w:rPr>
          <w:rFonts w:cs="Times New Roman"/>
          <w:lang w:val="fr-CA"/>
        </w:rPr>
        <w:t xml:space="preserve"> </w:t>
      </w:r>
      <w:r w:rsidRPr="0080058A">
        <w:rPr>
          <w:rFonts w:cs="Times New Roman"/>
          <w:lang w:val="fr-CA"/>
        </w:rPr>
        <w:t>de 2013</w:t>
      </w:r>
      <w:r>
        <w:rPr>
          <w:rFonts w:cs="Times New Roman"/>
          <w:lang w:val="fr-CA"/>
        </w:rPr>
        <w:t xml:space="preserve"> sur les droits de la personne en Inde)</w:t>
      </w:r>
      <w:r w:rsidRPr="0080058A">
        <w:rPr>
          <w:rFonts w:cs="Times New Roman"/>
          <w:lang w:val="fr-CA"/>
        </w:rPr>
        <w:t xml:space="preserve"> du Département </w:t>
      </w:r>
      <w:r>
        <w:rPr>
          <w:rFonts w:cs="Times New Roman"/>
          <w:lang w:val="fr-CA"/>
        </w:rPr>
        <w:t xml:space="preserve">d’État </w:t>
      </w:r>
      <w:r w:rsidRPr="0080058A">
        <w:rPr>
          <w:rFonts w:cs="Times New Roman"/>
          <w:lang w:val="fr-CA"/>
        </w:rPr>
        <w:t>des États</w:t>
      </w:r>
      <w:r>
        <w:rPr>
          <w:rFonts w:cs="Times New Roman"/>
          <w:lang w:val="fr-CA"/>
        </w:rPr>
        <w:noBreakHyphen/>
      </w:r>
      <w:r w:rsidRPr="0080058A">
        <w:rPr>
          <w:rFonts w:cs="Times New Roman"/>
          <w:lang w:val="fr-CA"/>
        </w:rPr>
        <w:t>Unis qui</w:t>
      </w:r>
      <w:r>
        <w:rPr>
          <w:rFonts w:cs="Times New Roman"/>
          <w:lang w:val="fr-CA"/>
        </w:rPr>
        <w:t xml:space="preserve"> parle de la </w:t>
      </w:r>
      <w:r w:rsidRPr="0080058A">
        <w:rPr>
          <w:rFonts w:cs="Times New Roman"/>
          <w:lang w:val="fr-CA"/>
        </w:rPr>
        <w:t>[</w:t>
      </w:r>
      <w:r w:rsidRPr="0080058A">
        <w:rPr>
          <w:rFonts w:cs="Times New Roman"/>
          <w:smallCaps/>
          <w:lang w:val="fr-CA"/>
        </w:rPr>
        <w:t>traduction</w:t>
      </w:r>
      <w:r w:rsidRPr="0080058A">
        <w:rPr>
          <w:rFonts w:cs="Times New Roman"/>
          <w:lang w:val="fr-CA"/>
        </w:rPr>
        <w:t xml:space="preserve">] « grave surpopulation » </w:t>
      </w:r>
      <w:r>
        <w:rPr>
          <w:rFonts w:cs="Times New Roman"/>
          <w:lang w:val="fr-CA"/>
        </w:rPr>
        <w:t xml:space="preserve">des </w:t>
      </w:r>
      <w:r w:rsidRPr="0080058A">
        <w:rPr>
          <w:rFonts w:cs="Times New Roman"/>
          <w:lang w:val="fr-CA"/>
        </w:rPr>
        <w:t xml:space="preserve">prisons indiennes, du fait que les soins médicaux </w:t>
      </w:r>
      <w:r>
        <w:rPr>
          <w:rFonts w:cs="Times New Roman"/>
          <w:lang w:val="fr-CA"/>
        </w:rPr>
        <w:t xml:space="preserve">y sont </w:t>
      </w:r>
      <w:r w:rsidRPr="0080058A">
        <w:rPr>
          <w:rFonts w:cs="Times New Roman"/>
          <w:lang w:val="fr-CA"/>
        </w:rPr>
        <w:t>souven</w:t>
      </w:r>
      <w:r>
        <w:rPr>
          <w:rFonts w:cs="Times New Roman"/>
          <w:lang w:val="fr-CA"/>
        </w:rPr>
        <w:t xml:space="preserve">t inadéquats et que les détenus sont « maltraités physiquement » (voir d.a., vol. IV, p. 25). Vu les </w:t>
      </w:r>
      <w:r w:rsidRPr="0080058A">
        <w:rPr>
          <w:rFonts w:cs="Times New Roman"/>
          <w:lang w:val="fr-CA"/>
        </w:rPr>
        <w:t>con</w:t>
      </w:r>
      <w:r>
        <w:rPr>
          <w:rFonts w:cs="Times New Roman"/>
          <w:lang w:val="fr-CA"/>
        </w:rPr>
        <w:t xml:space="preserve">statations </w:t>
      </w:r>
      <w:r w:rsidRPr="0080058A">
        <w:rPr>
          <w:rFonts w:cs="Times New Roman"/>
          <w:lang w:val="fr-CA"/>
        </w:rPr>
        <w:t xml:space="preserve">de ce rapport, le </w:t>
      </w:r>
      <w:r>
        <w:rPr>
          <w:rFonts w:cs="Times New Roman"/>
          <w:lang w:val="fr-CA"/>
        </w:rPr>
        <w:t>m</w:t>
      </w:r>
      <w:r w:rsidRPr="0080058A">
        <w:rPr>
          <w:rFonts w:cs="Times New Roman"/>
          <w:lang w:val="fr-CA"/>
        </w:rPr>
        <w:t>inistre a conclu que l</w:t>
      </w:r>
      <w:r>
        <w:rPr>
          <w:rFonts w:cs="Times New Roman"/>
          <w:lang w:val="fr-CA"/>
        </w:rPr>
        <w:t>’</w:t>
      </w:r>
      <w:r w:rsidRPr="0080058A">
        <w:rPr>
          <w:rFonts w:cs="Times New Roman"/>
          <w:lang w:val="fr-CA"/>
        </w:rPr>
        <w:t>extradition de M. Badesha devait être ass</w:t>
      </w:r>
      <w:r>
        <w:rPr>
          <w:rFonts w:cs="Times New Roman"/>
          <w:lang w:val="fr-CA"/>
        </w:rPr>
        <w:t xml:space="preserve">ortie de </w:t>
      </w:r>
      <w:r w:rsidRPr="0080058A">
        <w:rPr>
          <w:rFonts w:cs="Times New Roman"/>
          <w:lang w:val="fr-CA"/>
        </w:rPr>
        <w:t>la condition que l</w:t>
      </w:r>
      <w:r>
        <w:rPr>
          <w:rFonts w:cs="Times New Roman"/>
          <w:lang w:val="fr-CA"/>
        </w:rPr>
        <w:t>’</w:t>
      </w:r>
      <w:r w:rsidRPr="0080058A">
        <w:rPr>
          <w:rFonts w:cs="Times New Roman"/>
          <w:lang w:val="fr-CA"/>
        </w:rPr>
        <w:t>Inde donne des assurances que</w:t>
      </w:r>
      <w:r>
        <w:rPr>
          <w:rFonts w:cs="Times New Roman"/>
          <w:lang w:val="fr-CA"/>
        </w:rPr>
        <w:t> :</w:t>
      </w:r>
      <w:r w:rsidRPr="0080058A">
        <w:rPr>
          <w:rFonts w:cs="Times New Roman"/>
          <w:lang w:val="fr-CA"/>
        </w:rPr>
        <w:t xml:space="preserve"> (1) M. Badesha reçoive les soins médicaux et les médicaments dont il aur</w:t>
      </w:r>
      <w:r>
        <w:rPr>
          <w:rFonts w:cs="Times New Roman"/>
          <w:lang w:val="fr-CA"/>
        </w:rPr>
        <w:t>ait besoin pendant sa détention</w:t>
      </w:r>
      <w:r w:rsidRPr="0080058A">
        <w:rPr>
          <w:rFonts w:cs="Times New Roman"/>
          <w:lang w:val="fr-CA"/>
        </w:rPr>
        <w:t xml:space="preserve"> </w:t>
      </w:r>
      <w:r>
        <w:rPr>
          <w:rFonts w:cs="Times New Roman"/>
          <w:lang w:val="fr-CA"/>
        </w:rPr>
        <w:t xml:space="preserve">et que </w:t>
      </w:r>
      <w:r w:rsidRPr="0080058A">
        <w:rPr>
          <w:rFonts w:cs="Times New Roman"/>
          <w:lang w:val="fr-CA"/>
        </w:rPr>
        <w:t>(2) l</w:t>
      </w:r>
      <w:r>
        <w:rPr>
          <w:rFonts w:cs="Times New Roman"/>
          <w:lang w:val="fr-CA"/>
        </w:rPr>
        <w:t>’</w:t>
      </w:r>
      <w:r w:rsidRPr="0080058A">
        <w:rPr>
          <w:rFonts w:cs="Times New Roman"/>
          <w:lang w:val="fr-CA"/>
        </w:rPr>
        <w:t>Inde [</w:t>
      </w:r>
      <w:r w:rsidRPr="0080058A">
        <w:rPr>
          <w:rFonts w:cs="Times New Roman"/>
          <w:smallCaps/>
          <w:lang w:val="fr-CA"/>
        </w:rPr>
        <w:t>traduction</w:t>
      </w:r>
      <w:r w:rsidRPr="0080058A">
        <w:rPr>
          <w:rFonts w:cs="Times New Roman"/>
          <w:lang w:val="fr-CA"/>
        </w:rPr>
        <w:t xml:space="preserve">] « prenne toutes les mesures raisonnables pour assurer sa sécurité pendant sa détention en République </w:t>
      </w:r>
      <w:r>
        <w:rPr>
          <w:rFonts w:cs="Times New Roman"/>
          <w:lang w:val="fr-CA"/>
        </w:rPr>
        <w:t>de l’Inde</w:t>
      </w:r>
      <w:r w:rsidRPr="0080058A">
        <w:rPr>
          <w:rFonts w:cs="Times New Roman"/>
          <w:lang w:val="fr-CA"/>
        </w:rPr>
        <w:t xml:space="preserve"> ». Le </w:t>
      </w:r>
      <w:r>
        <w:rPr>
          <w:rFonts w:cs="Times New Roman"/>
          <w:lang w:val="fr-CA"/>
        </w:rPr>
        <w:t>m</w:t>
      </w:r>
      <w:r w:rsidRPr="0080058A">
        <w:rPr>
          <w:rFonts w:cs="Times New Roman"/>
          <w:lang w:val="fr-CA"/>
        </w:rPr>
        <w:t>inistre a également assujetti l</w:t>
      </w:r>
      <w:r>
        <w:rPr>
          <w:rFonts w:cs="Times New Roman"/>
          <w:lang w:val="fr-CA"/>
        </w:rPr>
        <w:t>’</w:t>
      </w:r>
      <w:r w:rsidRPr="0080058A">
        <w:rPr>
          <w:rFonts w:cs="Times New Roman"/>
          <w:lang w:val="fr-CA"/>
        </w:rPr>
        <w:t>extradition de M. Badesha à la condition que l</w:t>
      </w:r>
      <w:r>
        <w:rPr>
          <w:rFonts w:cs="Times New Roman"/>
          <w:lang w:val="fr-CA"/>
        </w:rPr>
        <w:t>’</w:t>
      </w:r>
      <w:r w:rsidRPr="0080058A">
        <w:rPr>
          <w:rFonts w:cs="Times New Roman"/>
          <w:lang w:val="fr-CA"/>
        </w:rPr>
        <w:t>Inde</w:t>
      </w:r>
      <w:r>
        <w:rPr>
          <w:rFonts w:cs="Times New Roman"/>
          <w:lang w:val="fr-CA"/>
        </w:rPr>
        <w:t xml:space="preserve"> donne l’assurance d’</w:t>
      </w:r>
      <w:r w:rsidRPr="0080058A">
        <w:rPr>
          <w:rFonts w:cs="Times New Roman"/>
          <w:lang w:val="fr-CA"/>
        </w:rPr>
        <w:t>accorde</w:t>
      </w:r>
      <w:r>
        <w:rPr>
          <w:rFonts w:cs="Times New Roman"/>
          <w:lang w:val="fr-CA"/>
        </w:rPr>
        <w:t>r</w:t>
      </w:r>
      <w:r w:rsidRPr="0080058A">
        <w:rPr>
          <w:rFonts w:cs="Times New Roman"/>
          <w:lang w:val="fr-CA"/>
        </w:rPr>
        <w:t xml:space="preserve"> sur demande à M. Badesha un accès immédiat et sans </w:t>
      </w:r>
      <w:r>
        <w:rPr>
          <w:rFonts w:cs="Times New Roman"/>
          <w:lang w:val="fr-CA"/>
        </w:rPr>
        <w:t xml:space="preserve">réserve à des représentants </w:t>
      </w:r>
      <w:r w:rsidRPr="0080058A">
        <w:rPr>
          <w:rFonts w:cs="Times New Roman"/>
          <w:lang w:val="fr-CA"/>
        </w:rPr>
        <w:t>consulaire</w:t>
      </w:r>
      <w:r>
        <w:rPr>
          <w:rFonts w:cs="Times New Roman"/>
          <w:lang w:val="fr-CA"/>
        </w:rPr>
        <w:t>s</w:t>
      </w:r>
      <w:r w:rsidRPr="0080058A">
        <w:rPr>
          <w:rFonts w:cs="Times New Roman"/>
          <w:lang w:val="fr-CA"/>
        </w:rPr>
        <w:t>.</w:t>
      </w:r>
    </w:p>
    <w:p w:rsidR="00361B98" w:rsidRPr="0080058A" w:rsidRDefault="00361B98" w:rsidP="002B69A7">
      <w:pPr>
        <w:pStyle w:val="ParaNoNdepar-AltN"/>
        <w:widowControl w:val="0"/>
        <w:rPr>
          <w:rFonts w:cs="Times New Roman"/>
          <w:lang w:val="fr-CA"/>
        </w:rPr>
      </w:pPr>
      <w:r w:rsidRPr="0080058A">
        <w:rPr>
          <w:rFonts w:cs="Times New Roman"/>
          <w:lang w:val="fr-CA"/>
        </w:rPr>
        <w:lastRenderedPageBreak/>
        <w:t>En ce qui concerne l</w:t>
      </w:r>
      <w:r>
        <w:rPr>
          <w:rFonts w:cs="Times New Roman"/>
          <w:lang w:val="fr-CA"/>
        </w:rPr>
        <w:t>’</w:t>
      </w:r>
      <w:r w:rsidRPr="0080058A">
        <w:rPr>
          <w:rFonts w:cs="Times New Roman"/>
          <w:lang w:val="fr-CA"/>
        </w:rPr>
        <w:t>extradition de M</w:t>
      </w:r>
      <w:r w:rsidRPr="0080058A">
        <w:rPr>
          <w:rFonts w:cs="Times New Roman"/>
          <w:vertAlign w:val="superscript"/>
          <w:lang w:val="fr-CA"/>
        </w:rPr>
        <w:t>me</w:t>
      </w:r>
      <w:r w:rsidRPr="0080058A">
        <w:rPr>
          <w:rFonts w:cs="Times New Roman"/>
          <w:lang w:val="fr-CA"/>
        </w:rPr>
        <w:t xml:space="preserve"> Sidhu, le </w:t>
      </w:r>
      <w:r>
        <w:rPr>
          <w:rFonts w:cs="Times New Roman"/>
          <w:lang w:val="fr-CA"/>
        </w:rPr>
        <w:t>m</w:t>
      </w:r>
      <w:r w:rsidRPr="0080058A">
        <w:rPr>
          <w:rFonts w:cs="Times New Roman"/>
          <w:lang w:val="fr-CA"/>
        </w:rPr>
        <w:t xml:space="preserve">inistre a déclaré que les </w:t>
      </w:r>
      <w:r>
        <w:rPr>
          <w:rFonts w:cs="Times New Roman"/>
          <w:lang w:val="fr-CA"/>
        </w:rPr>
        <w:t xml:space="preserve">rapports dont il disposait soulevaient </w:t>
      </w:r>
      <w:r w:rsidRPr="0080058A">
        <w:rPr>
          <w:rFonts w:cs="Times New Roman"/>
          <w:lang w:val="fr-CA"/>
        </w:rPr>
        <w:t>[</w:t>
      </w:r>
      <w:r w:rsidRPr="0080058A">
        <w:rPr>
          <w:rFonts w:cs="Times New Roman"/>
          <w:smallCaps/>
          <w:lang w:val="fr-CA"/>
        </w:rPr>
        <w:t>traduction</w:t>
      </w:r>
      <w:r w:rsidRPr="0080058A">
        <w:rPr>
          <w:rFonts w:cs="Times New Roman"/>
          <w:lang w:val="fr-CA"/>
        </w:rPr>
        <w:t xml:space="preserve">] « de graves </w:t>
      </w:r>
      <w:r>
        <w:rPr>
          <w:rFonts w:cs="Times New Roman"/>
          <w:lang w:val="fr-CA"/>
        </w:rPr>
        <w:t xml:space="preserve">préoccupations quant à </w:t>
      </w:r>
      <w:r w:rsidRPr="0080058A">
        <w:rPr>
          <w:rFonts w:cs="Times New Roman"/>
          <w:lang w:val="fr-CA"/>
        </w:rPr>
        <w:t>la sécurité des détenus dans les prisons indiennes</w:t>
      </w:r>
      <w:r>
        <w:rPr>
          <w:rFonts w:cs="Times New Roman"/>
          <w:lang w:val="fr-CA"/>
        </w:rPr>
        <w:t>,</w:t>
      </w:r>
      <w:r w:rsidRPr="0080058A">
        <w:rPr>
          <w:rFonts w:cs="Times New Roman"/>
          <w:lang w:val="fr-CA"/>
        </w:rPr>
        <w:t xml:space="preserve"> en particulier </w:t>
      </w:r>
      <w:r>
        <w:rPr>
          <w:rFonts w:cs="Times New Roman"/>
          <w:lang w:val="fr-CA"/>
        </w:rPr>
        <w:t xml:space="preserve">celle des </w:t>
      </w:r>
      <w:r w:rsidRPr="0080058A">
        <w:rPr>
          <w:rFonts w:cs="Times New Roman"/>
          <w:lang w:val="fr-CA"/>
        </w:rPr>
        <w:t>détenues</w:t>
      </w:r>
      <w:r>
        <w:rPr>
          <w:rFonts w:cs="Times New Roman"/>
          <w:lang w:val="fr-CA"/>
        </w:rPr>
        <w:t> </w:t>
      </w:r>
      <w:r w:rsidRPr="0080058A">
        <w:rPr>
          <w:rFonts w:cs="Times New Roman"/>
          <w:lang w:val="fr-CA"/>
        </w:rPr>
        <w:t>». Il a également signalé les problèmes de santé de M</w:t>
      </w:r>
      <w:r w:rsidRPr="0080058A">
        <w:rPr>
          <w:rFonts w:cs="Times New Roman"/>
          <w:vertAlign w:val="superscript"/>
          <w:lang w:val="fr-CA"/>
        </w:rPr>
        <w:t>me</w:t>
      </w:r>
      <w:r w:rsidRPr="0080058A">
        <w:rPr>
          <w:rFonts w:cs="Times New Roman"/>
          <w:lang w:val="fr-CA"/>
        </w:rPr>
        <w:t> Sidhu</w:t>
      </w:r>
      <w:r>
        <w:rPr>
          <w:rFonts w:cs="Times New Roman"/>
          <w:lang w:val="fr-CA"/>
        </w:rPr>
        <w:t xml:space="preserve">, </w:t>
      </w:r>
      <w:r w:rsidRPr="0080058A">
        <w:rPr>
          <w:rFonts w:cs="Times New Roman"/>
          <w:lang w:val="fr-CA"/>
        </w:rPr>
        <w:t xml:space="preserve">notamment </w:t>
      </w:r>
      <w:r>
        <w:rPr>
          <w:rFonts w:cs="Times New Roman"/>
          <w:lang w:val="fr-CA"/>
        </w:rPr>
        <w:t xml:space="preserve">son trouble </w:t>
      </w:r>
      <w:r w:rsidRPr="0080058A">
        <w:rPr>
          <w:rFonts w:cs="Times New Roman"/>
          <w:lang w:val="fr-CA"/>
        </w:rPr>
        <w:t xml:space="preserve">cardiaque. Par conséquent, il a </w:t>
      </w:r>
      <w:r>
        <w:rPr>
          <w:rFonts w:cs="Times New Roman"/>
          <w:lang w:val="fr-CA"/>
        </w:rPr>
        <w:t xml:space="preserve">subordonné </w:t>
      </w:r>
      <w:r w:rsidRPr="0080058A">
        <w:rPr>
          <w:rFonts w:cs="Times New Roman"/>
          <w:lang w:val="fr-CA"/>
        </w:rPr>
        <w:t>l</w:t>
      </w:r>
      <w:r>
        <w:rPr>
          <w:rFonts w:cs="Times New Roman"/>
          <w:lang w:val="fr-CA"/>
        </w:rPr>
        <w:t>’</w:t>
      </w:r>
      <w:r w:rsidRPr="0080058A">
        <w:rPr>
          <w:rFonts w:cs="Times New Roman"/>
          <w:lang w:val="fr-CA"/>
        </w:rPr>
        <w:t>extradition de M</w:t>
      </w:r>
      <w:r w:rsidRPr="0080058A">
        <w:rPr>
          <w:rFonts w:cs="Times New Roman"/>
          <w:vertAlign w:val="superscript"/>
          <w:lang w:val="fr-CA"/>
        </w:rPr>
        <w:t>me</w:t>
      </w:r>
      <w:r w:rsidRPr="0080058A">
        <w:rPr>
          <w:rFonts w:cs="Times New Roman"/>
          <w:lang w:val="fr-CA"/>
        </w:rPr>
        <w:t xml:space="preserve"> Sidhu à la condition </w:t>
      </w:r>
      <w:r>
        <w:rPr>
          <w:rFonts w:cs="Times New Roman"/>
          <w:lang w:val="fr-CA"/>
        </w:rPr>
        <w:t xml:space="preserve">que l’Inde lui fournisse </w:t>
      </w:r>
      <w:r w:rsidRPr="0080058A">
        <w:rPr>
          <w:rFonts w:cs="Times New Roman"/>
          <w:lang w:val="fr-CA"/>
        </w:rPr>
        <w:t>les mêmes assurances que celles qu</w:t>
      </w:r>
      <w:r>
        <w:rPr>
          <w:rFonts w:cs="Times New Roman"/>
          <w:lang w:val="fr-CA"/>
        </w:rPr>
        <w:t>’</w:t>
      </w:r>
      <w:r w:rsidRPr="0080058A">
        <w:rPr>
          <w:rFonts w:cs="Times New Roman"/>
          <w:lang w:val="fr-CA"/>
        </w:rPr>
        <w:t xml:space="preserve">il avait </w:t>
      </w:r>
      <w:r>
        <w:rPr>
          <w:rFonts w:cs="Times New Roman"/>
          <w:lang w:val="fr-CA"/>
        </w:rPr>
        <w:t xml:space="preserve">demandées pour </w:t>
      </w:r>
      <w:r w:rsidRPr="0080058A">
        <w:rPr>
          <w:rFonts w:cs="Times New Roman"/>
          <w:lang w:val="fr-CA"/>
        </w:rPr>
        <w:t xml:space="preserve">M. Badesha. </w:t>
      </w:r>
    </w:p>
    <w:p w:rsidR="00361B98" w:rsidRPr="0080058A" w:rsidRDefault="00361B98" w:rsidP="002B69A7">
      <w:pPr>
        <w:pStyle w:val="ParaNoNdepar-AltN"/>
        <w:widowControl w:val="0"/>
        <w:rPr>
          <w:lang w:val="fr-CA"/>
        </w:rPr>
      </w:pPr>
      <w:r w:rsidRPr="0080058A">
        <w:rPr>
          <w:lang w:val="fr-CA"/>
        </w:rPr>
        <w:t xml:space="preserve">Le </w:t>
      </w:r>
      <w:r>
        <w:rPr>
          <w:lang w:val="fr-CA"/>
        </w:rPr>
        <w:t>m</w:t>
      </w:r>
      <w:r w:rsidRPr="0080058A">
        <w:rPr>
          <w:lang w:val="fr-CA"/>
        </w:rPr>
        <w:t>inistre s</w:t>
      </w:r>
      <w:r>
        <w:rPr>
          <w:lang w:val="fr-CA"/>
        </w:rPr>
        <w:t>’</w:t>
      </w:r>
      <w:r w:rsidRPr="0080058A">
        <w:rPr>
          <w:lang w:val="fr-CA"/>
        </w:rPr>
        <w:t xml:space="preserve">est dit </w:t>
      </w:r>
      <w:r>
        <w:rPr>
          <w:lang w:val="fr-CA"/>
        </w:rPr>
        <w:t xml:space="preserve">convaincu, sur la foi des </w:t>
      </w:r>
      <w:r w:rsidRPr="0080058A">
        <w:rPr>
          <w:lang w:val="fr-CA"/>
        </w:rPr>
        <w:t>assurances qu</w:t>
      </w:r>
      <w:r>
        <w:rPr>
          <w:lang w:val="fr-CA"/>
        </w:rPr>
        <w:t>’</w:t>
      </w:r>
      <w:r w:rsidRPr="0080058A">
        <w:rPr>
          <w:lang w:val="fr-CA"/>
        </w:rPr>
        <w:t>il avait reçues de l</w:t>
      </w:r>
      <w:r>
        <w:rPr>
          <w:lang w:val="fr-CA"/>
        </w:rPr>
        <w:t xml:space="preserve">’Inde, que </w:t>
      </w:r>
      <w:r w:rsidRPr="0080058A">
        <w:rPr>
          <w:rFonts w:cs="Times New Roman"/>
          <w:lang w:val="fr-CA"/>
        </w:rPr>
        <w:t>M. </w:t>
      </w:r>
      <w:r w:rsidRPr="0080058A">
        <w:rPr>
          <w:lang w:val="fr-CA"/>
        </w:rPr>
        <w:t xml:space="preserve">Badesha </w:t>
      </w:r>
      <w:r>
        <w:rPr>
          <w:lang w:val="fr-CA"/>
        </w:rPr>
        <w:t xml:space="preserve">et </w:t>
      </w:r>
      <w:r w:rsidRPr="0080058A">
        <w:rPr>
          <w:lang w:val="fr-CA"/>
        </w:rPr>
        <w:t>M</w:t>
      </w:r>
      <w:r w:rsidRPr="0080058A">
        <w:rPr>
          <w:vertAlign w:val="superscript"/>
          <w:lang w:val="fr-CA"/>
        </w:rPr>
        <w:t>me</w:t>
      </w:r>
      <w:r w:rsidRPr="0080058A">
        <w:rPr>
          <w:lang w:val="fr-CA"/>
        </w:rPr>
        <w:t xml:space="preserve"> Sidhu </w:t>
      </w:r>
      <w:r>
        <w:rPr>
          <w:lang w:val="fr-CA"/>
        </w:rPr>
        <w:t xml:space="preserve">ne seraient pas exposés à un </w:t>
      </w:r>
      <w:r>
        <w:rPr>
          <w:rFonts w:cs="Times New Roman"/>
          <w:lang w:val="fr-CA"/>
        </w:rPr>
        <w:t xml:space="preserve">risque sérieux </w:t>
      </w:r>
      <w:r w:rsidRPr="0080058A">
        <w:rPr>
          <w:lang w:val="fr-CA"/>
        </w:rPr>
        <w:t xml:space="preserve">de </w:t>
      </w:r>
      <w:r>
        <w:rPr>
          <w:lang w:val="fr-CA"/>
        </w:rPr>
        <w:t xml:space="preserve">torture ou de </w:t>
      </w:r>
      <w:r w:rsidRPr="0080058A">
        <w:rPr>
          <w:lang w:val="fr-CA"/>
        </w:rPr>
        <w:t>mauvais traitements</w:t>
      </w:r>
      <w:r>
        <w:rPr>
          <w:lang w:val="fr-CA"/>
        </w:rPr>
        <w:t xml:space="preserve">. </w:t>
      </w:r>
      <w:r w:rsidRPr="0080058A">
        <w:rPr>
          <w:lang w:val="fr-CA"/>
        </w:rPr>
        <w:t>L</w:t>
      </w:r>
      <w:r>
        <w:rPr>
          <w:lang w:val="fr-CA"/>
        </w:rPr>
        <w:t>’</w:t>
      </w:r>
      <w:r w:rsidRPr="0080058A">
        <w:rPr>
          <w:lang w:val="fr-CA"/>
        </w:rPr>
        <w:t xml:space="preserve">Inde a donné des assurances prévoyant que </w:t>
      </w:r>
      <w:r w:rsidRPr="0080058A">
        <w:rPr>
          <w:rFonts w:cs="Times New Roman"/>
          <w:lang w:val="fr-CA"/>
        </w:rPr>
        <w:t>[</w:t>
      </w:r>
      <w:r w:rsidRPr="0080058A">
        <w:rPr>
          <w:rFonts w:cs="Times New Roman"/>
          <w:smallCaps/>
          <w:lang w:val="fr-CA"/>
        </w:rPr>
        <w:t>traduction</w:t>
      </w:r>
      <w:r w:rsidRPr="0080058A">
        <w:rPr>
          <w:rFonts w:cs="Times New Roman"/>
          <w:lang w:val="fr-CA"/>
        </w:rPr>
        <w:t>] « tous les efforts raisonnables seront déployés pour répondre aux besoins médicaux et pour assurer la sécurité » de M. </w:t>
      </w:r>
      <w:r w:rsidRPr="0080058A">
        <w:rPr>
          <w:lang w:val="fr-CA"/>
        </w:rPr>
        <w:t>Badesha et de M</w:t>
      </w:r>
      <w:r w:rsidRPr="0080058A">
        <w:rPr>
          <w:vertAlign w:val="superscript"/>
          <w:lang w:val="fr-CA"/>
        </w:rPr>
        <w:t>me</w:t>
      </w:r>
      <w:r w:rsidRPr="0080058A">
        <w:rPr>
          <w:lang w:val="fr-CA"/>
        </w:rPr>
        <w:t> Sidhu</w:t>
      </w:r>
      <w:r>
        <w:rPr>
          <w:lang w:val="fr-CA"/>
        </w:rPr>
        <w:t xml:space="preserve">, comme l’exige le </w:t>
      </w:r>
      <w:r w:rsidR="00C11162" w:rsidRPr="00C11162">
        <w:rPr>
          <w:i/>
          <w:lang w:val="fr-CA"/>
        </w:rPr>
        <w:t>Code of</w:t>
      </w:r>
      <w:r w:rsidR="00C11162">
        <w:rPr>
          <w:lang w:val="fr-CA"/>
        </w:rPr>
        <w:t xml:space="preserve"> </w:t>
      </w:r>
      <w:r>
        <w:rPr>
          <w:i/>
          <w:lang w:val="fr-CA"/>
        </w:rPr>
        <w:t xml:space="preserve">Criminal Procedure </w:t>
      </w:r>
      <w:r w:rsidRPr="0080058A">
        <w:rPr>
          <w:lang w:val="fr-CA"/>
        </w:rPr>
        <w:t>de l</w:t>
      </w:r>
      <w:r>
        <w:rPr>
          <w:lang w:val="fr-CA"/>
        </w:rPr>
        <w:t>’</w:t>
      </w:r>
      <w:r w:rsidRPr="0080058A">
        <w:rPr>
          <w:lang w:val="fr-CA"/>
        </w:rPr>
        <w:t>Inde. L</w:t>
      </w:r>
      <w:r>
        <w:rPr>
          <w:lang w:val="fr-CA"/>
        </w:rPr>
        <w:t>’</w:t>
      </w:r>
      <w:r w:rsidRPr="0080058A">
        <w:rPr>
          <w:lang w:val="fr-CA"/>
        </w:rPr>
        <w:t>Inde a également</w:t>
      </w:r>
      <w:r>
        <w:rPr>
          <w:lang w:val="fr-CA"/>
        </w:rPr>
        <w:t xml:space="preserve"> donné au ministre l’assurance </w:t>
      </w:r>
      <w:r w:rsidRPr="0080058A">
        <w:rPr>
          <w:lang w:val="fr-CA"/>
        </w:rPr>
        <w:t xml:space="preserve">que </w:t>
      </w:r>
      <w:r>
        <w:rPr>
          <w:lang w:val="fr-CA"/>
        </w:rPr>
        <w:t xml:space="preserve">l’accès à des services consulaires serait fourni </w:t>
      </w:r>
      <w:r w:rsidRPr="0080058A">
        <w:rPr>
          <w:lang w:val="fr-CA"/>
        </w:rPr>
        <w:t xml:space="preserve">conformément aux obligations </w:t>
      </w:r>
      <w:r>
        <w:rPr>
          <w:lang w:val="fr-CA"/>
        </w:rPr>
        <w:t xml:space="preserve">imposées à </w:t>
      </w:r>
      <w:r w:rsidRPr="0080058A">
        <w:rPr>
          <w:lang w:val="fr-CA"/>
        </w:rPr>
        <w:t>l</w:t>
      </w:r>
      <w:r>
        <w:rPr>
          <w:lang w:val="fr-CA"/>
        </w:rPr>
        <w:t>’</w:t>
      </w:r>
      <w:r w:rsidRPr="0080058A">
        <w:rPr>
          <w:lang w:val="fr-CA"/>
        </w:rPr>
        <w:t xml:space="preserve">Inde </w:t>
      </w:r>
      <w:r>
        <w:rPr>
          <w:lang w:val="fr-CA"/>
        </w:rPr>
        <w:t xml:space="preserve">par </w:t>
      </w:r>
      <w:r w:rsidRPr="0080058A">
        <w:rPr>
          <w:lang w:val="fr-CA"/>
        </w:rPr>
        <w:t xml:space="preserve">la </w:t>
      </w:r>
      <w:r w:rsidRPr="0080058A">
        <w:rPr>
          <w:i/>
          <w:lang w:val="fr-CA"/>
        </w:rPr>
        <w:t xml:space="preserve">Convention de Vienne </w:t>
      </w:r>
      <w:r w:rsidRPr="004566A6">
        <w:rPr>
          <w:i/>
          <w:lang w:val="fr-CA"/>
        </w:rPr>
        <w:t>sur les relations consulaires</w:t>
      </w:r>
      <w:r w:rsidRPr="0080058A">
        <w:rPr>
          <w:lang w:val="fr-CA"/>
        </w:rPr>
        <w:t xml:space="preserve">. Même si cette assurance ne </w:t>
      </w:r>
      <w:r>
        <w:rPr>
          <w:lang w:val="fr-CA"/>
        </w:rPr>
        <w:t>prévoyait pas expressément l’</w:t>
      </w:r>
      <w:r w:rsidRPr="0080058A">
        <w:rPr>
          <w:rFonts w:cs="Times New Roman"/>
          <w:lang w:val="fr-CA"/>
        </w:rPr>
        <w:t>[</w:t>
      </w:r>
      <w:r w:rsidRPr="0080058A">
        <w:rPr>
          <w:rFonts w:cs="Times New Roman"/>
          <w:smallCaps/>
          <w:lang w:val="fr-CA"/>
        </w:rPr>
        <w:t>traduction</w:t>
      </w:r>
      <w:r>
        <w:rPr>
          <w:rFonts w:cs="Times New Roman"/>
          <w:lang w:val="fr-CA"/>
        </w:rPr>
        <w:t>] « </w:t>
      </w:r>
      <w:r w:rsidRPr="0080058A">
        <w:rPr>
          <w:rFonts w:cs="Times New Roman"/>
          <w:lang w:val="fr-CA"/>
        </w:rPr>
        <w:t xml:space="preserve">accès immédiat et sans </w:t>
      </w:r>
      <w:r>
        <w:rPr>
          <w:rFonts w:cs="Times New Roman"/>
          <w:lang w:val="fr-CA"/>
        </w:rPr>
        <w:t xml:space="preserve">réserve </w:t>
      </w:r>
      <w:r w:rsidRPr="0080058A">
        <w:rPr>
          <w:rFonts w:cs="Times New Roman"/>
          <w:lang w:val="fr-CA"/>
        </w:rPr>
        <w:t>à d</w:t>
      </w:r>
      <w:r>
        <w:rPr>
          <w:rFonts w:cs="Times New Roman"/>
          <w:lang w:val="fr-CA"/>
        </w:rPr>
        <w:t>es représentants consulaires » que réclamait le m</w:t>
      </w:r>
      <w:r w:rsidRPr="0080058A">
        <w:rPr>
          <w:rFonts w:cs="Times New Roman"/>
          <w:lang w:val="fr-CA"/>
        </w:rPr>
        <w:t>inistre, ce dernier s</w:t>
      </w:r>
      <w:r>
        <w:rPr>
          <w:rFonts w:cs="Times New Roman"/>
          <w:lang w:val="fr-CA"/>
        </w:rPr>
        <w:t>’</w:t>
      </w:r>
      <w:r w:rsidRPr="0080058A">
        <w:rPr>
          <w:rFonts w:cs="Times New Roman"/>
          <w:lang w:val="fr-CA"/>
        </w:rPr>
        <w:t xml:space="preserve">est dit convaincu que </w:t>
      </w:r>
      <w:r>
        <w:rPr>
          <w:rFonts w:cs="Times New Roman"/>
          <w:lang w:val="fr-CA"/>
        </w:rPr>
        <w:t xml:space="preserve">l’assurance fournie était suffisante </w:t>
      </w:r>
      <w:r w:rsidRPr="0080058A">
        <w:rPr>
          <w:rFonts w:cs="Times New Roman"/>
          <w:lang w:val="fr-CA"/>
        </w:rPr>
        <w:t>pour remplir cette condition.</w:t>
      </w:r>
    </w:p>
    <w:p w:rsidR="00361B98" w:rsidRPr="0080058A" w:rsidRDefault="00361B98" w:rsidP="002B69A7">
      <w:pPr>
        <w:pStyle w:val="ParaNoNdepar-AltN"/>
        <w:widowControl w:val="0"/>
        <w:spacing w:before="240"/>
        <w:rPr>
          <w:rFonts w:cs="Times New Roman"/>
          <w:lang w:val="fr-CA"/>
        </w:rPr>
      </w:pPr>
      <w:r>
        <w:rPr>
          <w:rFonts w:cs="Times New Roman"/>
          <w:lang w:val="fr-CA"/>
        </w:rPr>
        <w:t xml:space="preserve">Comme je </w:t>
      </w:r>
      <w:r w:rsidRPr="0080058A">
        <w:rPr>
          <w:rFonts w:cs="Times New Roman"/>
          <w:lang w:val="fr-CA"/>
        </w:rPr>
        <w:t>l</w:t>
      </w:r>
      <w:r>
        <w:rPr>
          <w:rFonts w:cs="Times New Roman"/>
          <w:lang w:val="fr-CA"/>
        </w:rPr>
        <w:t>’</w:t>
      </w:r>
      <w:r w:rsidRPr="0080058A">
        <w:rPr>
          <w:rFonts w:cs="Times New Roman"/>
          <w:lang w:val="fr-CA"/>
        </w:rPr>
        <w:t>a</w:t>
      </w:r>
      <w:r>
        <w:rPr>
          <w:rFonts w:cs="Times New Roman"/>
          <w:lang w:val="fr-CA"/>
        </w:rPr>
        <w:t xml:space="preserve">i </w:t>
      </w:r>
      <w:r w:rsidRPr="0080058A">
        <w:rPr>
          <w:rFonts w:cs="Times New Roman"/>
          <w:lang w:val="fr-CA"/>
        </w:rPr>
        <w:t xml:space="preserve">expliqué, la question </w:t>
      </w:r>
      <w:r>
        <w:rPr>
          <w:rFonts w:cs="Times New Roman"/>
          <w:lang w:val="fr-CA"/>
        </w:rPr>
        <w:t xml:space="preserve">au cœur du </w:t>
      </w:r>
      <w:r w:rsidRPr="0080058A">
        <w:rPr>
          <w:rFonts w:cs="Times New Roman"/>
          <w:lang w:val="fr-CA"/>
        </w:rPr>
        <w:t>présent pourvoi est celle de savoir s</w:t>
      </w:r>
      <w:r>
        <w:rPr>
          <w:rFonts w:cs="Times New Roman"/>
          <w:lang w:val="fr-CA"/>
        </w:rPr>
        <w:t>’</w:t>
      </w:r>
      <w:r w:rsidRPr="0080058A">
        <w:rPr>
          <w:rFonts w:cs="Times New Roman"/>
          <w:lang w:val="fr-CA"/>
        </w:rPr>
        <w:t xml:space="preserve">il était raisonnable de la part du </w:t>
      </w:r>
      <w:r>
        <w:rPr>
          <w:rFonts w:cs="Times New Roman"/>
          <w:lang w:val="fr-CA"/>
        </w:rPr>
        <w:t>m</w:t>
      </w:r>
      <w:r w:rsidRPr="0080058A">
        <w:rPr>
          <w:rFonts w:cs="Times New Roman"/>
          <w:lang w:val="fr-CA"/>
        </w:rPr>
        <w:t>inistre de conclure</w:t>
      </w:r>
      <w:r>
        <w:rPr>
          <w:rFonts w:cs="Times New Roman"/>
          <w:lang w:val="fr-CA"/>
        </w:rPr>
        <w:t>,</w:t>
      </w:r>
      <w:r w:rsidRPr="0080058A">
        <w:rPr>
          <w:rFonts w:cs="Times New Roman"/>
          <w:lang w:val="fr-CA"/>
        </w:rPr>
        <w:t xml:space="preserve"> </w:t>
      </w:r>
      <w:r>
        <w:rPr>
          <w:lang w:val="fr-CA"/>
        </w:rPr>
        <w:t xml:space="preserve">sur la foi des </w:t>
      </w:r>
      <w:r w:rsidRPr="0080058A">
        <w:rPr>
          <w:lang w:val="fr-CA"/>
        </w:rPr>
        <w:lastRenderedPageBreak/>
        <w:t xml:space="preserve">assurances </w:t>
      </w:r>
      <w:r>
        <w:rPr>
          <w:lang w:val="fr-CA"/>
        </w:rPr>
        <w:t xml:space="preserve">fournies par </w:t>
      </w:r>
      <w:r w:rsidRPr="0080058A">
        <w:rPr>
          <w:lang w:val="fr-CA"/>
        </w:rPr>
        <w:t>l</w:t>
      </w:r>
      <w:r>
        <w:rPr>
          <w:lang w:val="fr-CA"/>
        </w:rPr>
        <w:t xml:space="preserve">’Inde, que </w:t>
      </w:r>
      <w:r w:rsidRPr="00515644">
        <w:rPr>
          <w:lang w:val="fr-CA"/>
        </w:rPr>
        <w:t>l</w:t>
      </w:r>
      <w:r>
        <w:rPr>
          <w:lang w:val="fr-CA"/>
        </w:rPr>
        <w:t>’</w:t>
      </w:r>
      <w:r w:rsidRPr="00515644">
        <w:rPr>
          <w:lang w:val="fr-CA"/>
        </w:rPr>
        <w:t xml:space="preserve">extradition de </w:t>
      </w:r>
      <w:r w:rsidRPr="00515644">
        <w:rPr>
          <w:rFonts w:cs="Times New Roman"/>
          <w:lang w:val="fr-CA"/>
        </w:rPr>
        <w:t>M. </w:t>
      </w:r>
      <w:r w:rsidRPr="00515644">
        <w:rPr>
          <w:lang w:val="fr-CA"/>
        </w:rPr>
        <w:t>Badesha et de M</w:t>
      </w:r>
      <w:r w:rsidRPr="00515644">
        <w:rPr>
          <w:vertAlign w:val="superscript"/>
          <w:lang w:val="fr-CA"/>
        </w:rPr>
        <w:t>me</w:t>
      </w:r>
      <w:r w:rsidRPr="00515644">
        <w:rPr>
          <w:lang w:val="fr-CA"/>
        </w:rPr>
        <w:t> Sidhu ne violerait pas l</w:t>
      </w:r>
      <w:r>
        <w:rPr>
          <w:lang w:val="fr-CA"/>
        </w:rPr>
        <w:t>’art. </w:t>
      </w:r>
      <w:r w:rsidRPr="00515644">
        <w:rPr>
          <w:lang w:val="fr-CA"/>
        </w:rPr>
        <w:t xml:space="preserve">7 de la </w:t>
      </w:r>
      <w:r w:rsidRPr="00515644">
        <w:rPr>
          <w:i/>
          <w:lang w:val="fr-CA"/>
        </w:rPr>
        <w:t>Charte</w:t>
      </w:r>
      <w:r w:rsidRPr="00515644">
        <w:rPr>
          <w:lang w:val="fr-CA"/>
        </w:rPr>
        <w:t xml:space="preserve"> ni ne serait par ailleurs injuste ou tyrannique</w:t>
      </w:r>
      <w:r w:rsidRPr="00515644">
        <w:rPr>
          <w:rFonts w:cs="Times New Roman"/>
          <w:lang w:val="fr-CA"/>
        </w:rPr>
        <w:t xml:space="preserve">. Il </w:t>
      </w:r>
      <w:r w:rsidRPr="0080058A">
        <w:rPr>
          <w:rFonts w:cs="Times New Roman"/>
          <w:lang w:val="fr-CA"/>
        </w:rPr>
        <w:t>n</w:t>
      </w:r>
      <w:r>
        <w:rPr>
          <w:rFonts w:cs="Times New Roman"/>
          <w:lang w:val="fr-CA"/>
        </w:rPr>
        <w:t>’</w:t>
      </w:r>
      <w:r w:rsidRPr="0080058A">
        <w:rPr>
          <w:rFonts w:cs="Times New Roman"/>
          <w:lang w:val="fr-CA"/>
        </w:rPr>
        <w:t xml:space="preserve">appartient pas </w:t>
      </w:r>
      <w:r>
        <w:rPr>
          <w:rFonts w:cs="Times New Roman"/>
          <w:lang w:val="fr-CA"/>
        </w:rPr>
        <w:t xml:space="preserve">au tribunal </w:t>
      </w:r>
      <w:r w:rsidRPr="0080058A">
        <w:rPr>
          <w:rFonts w:cs="Times New Roman"/>
          <w:lang w:val="fr-CA"/>
        </w:rPr>
        <w:t>de révision</w:t>
      </w:r>
      <w:r>
        <w:rPr>
          <w:rFonts w:cs="Times New Roman"/>
          <w:lang w:val="fr-CA"/>
        </w:rPr>
        <w:t>, en pareil cas,</w:t>
      </w:r>
      <w:r w:rsidRPr="0080058A">
        <w:rPr>
          <w:rFonts w:cs="Times New Roman"/>
          <w:lang w:val="fr-CA"/>
        </w:rPr>
        <w:t xml:space="preserve"> de substituer sa propre appréciation des </w:t>
      </w:r>
      <w:r>
        <w:rPr>
          <w:rFonts w:cs="Times New Roman"/>
          <w:lang w:val="fr-CA"/>
        </w:rPr>
        <w:t xml:space="preserve">facteurs pertinents </w:t>
      </w:r>
      <w:r w:rsidRPr="0080058A">
        <w:rPr>
          <w:rFonts w:cs="Times New Roman"/>
          <w:lang w:val="fr-CA"/>
        </w:rPr>
        <w:t xml:space="preserve">à celle du </w:t>
      </w:r>
      <w:r>
        <w:rPr>
          <w:rFonts w:cs="Times New Roman"/>
          <w:lang w:val="fr-CA"/>
        </w:rPr>
        <w:t>m</w:t>
      </w:r>
      <w:r w:rsidRPr="0080058A">
        <w:rPr>
          <w:rFonts w:cs="Times New Roman"/>
          <w:lang w:val="fr-CA"/>
        </w:rPr>
        <w:t xml:space="preserve">inistre </w:t>
      </w:r>
      <w:r>
        <w:rPr>
          <w:rFonts w:cs="Times New Roman"/>
          <w:lang w:val="fr-CA"/>
        </w:rPr>
        <w:t xml:space="preserve">ou de remplacer l’opinion de ce dernier par la sienne </w:t>
      </w:r>
      <w:r w:rsidRPr="0080058A">
        <w:rPr>
          <w:rFonts w:cs="Times New Roman"/>
          <w:lang w:val="fr-CA"/>
        </w:rPr>
        <w:t>(</w:t>
      </w:r>
      <w:r w:rsidRPr="0080058A">
        <w:rPr>
          <w:rFonts w:cs="Times New Roman"/>
          <w:i/>
          <w:lang w:val="fr-CA"/>
        </w:rPr>
        <w:t>Lake</w:t>
      </w:r>
      <w:r w:rsidRPr="0080058A">
        <w:rPr>
          <w:rFonts w:cs="Times New Roman"/>
          <w:lang w:val="fr-CA"/>
        </w:rPr>
        <w:t xml:space="preserve">, </w:t>
      </w:r>
      <w:r>
        <w:rPr>
          <w:rFonts w:cs="Times New Roman"/>
          <w:lang w:val="fr-CA"/>
        </w:rPr>
        <w:t>par. </w:t>
      </w:r>
      <w:r w:rsidRPr="0080058A">
        <w:rPr>
          <w:rFonts w:cs="Times New Roman"/>
          <w:lang w:val="fr-CA"/>
        </w:rPr>
        <w:t xml:space="preserve">41). </w:t>
      </w:r>
      <w:r>
        <w:rPr>
          <w:rFonts w:cs="Times New Roman"/>
          <w:lang w:val="fr-CA"/>
        </w:rPr>
        <w:t xml:space="preserve">Le tribunal est plutôt appelé à juger </w:t>
      </w:r>
      <w:r w:rsidRPr="0080058A">
        <w:rPr>
          <w:rFonts w:cs="Times New Roman"/>
          <w:lang w:val="fr-CA"/>
        </w:rPr>
        <w:t xml:space="preserve">si la décision </w:t>
      </w:r>
      <w:r>
        <w:rPr>
          <w:rFonts w:cs="Times New Roman"/>
          <w:lang w:val="fr-CA"/>
        </w:rPr>
        <w:t>se situe dans le cadre des solutions raisonnables possibles</w:t>
      </w:r>
      <w:r w:rsidRPr="0080058A">
        <w:rPr>
          <w:rFonts w:cs="Times New Roman"/>
          <w:lang w:val="fr-CA"/>
        </w:rPr>
        <w:t>. La question à se poser est la suivante</w:t>
      </w:r>
      <w:r>
        <w:rPr>
          <w:rFonts w:cs="Times New Roman"/>
          <w:lang w:val="fr-CA"/>
        </w:rPr>
        <w:t> :</w:t>
      </w:r>
      <w:r w:rsidRPr="0080058A">
        <w:rPr>
          <w:rFonts w:cs="Times New Roman"/>
          <w:lang w:val="fr-CA"/>
        </w:rPr>
        <w:t xml:space="preserve"> le </w:t>
      </w:r>
      <w:r>
        <w:rPr>
          <w:rFonts w:cs="Times New Roman"/>
          <w:lang w:val="fr-CA"/>
        </w:rPr>
        <w:t>m</w:t>
      </w:r>
      <w:r w:rsidRPr="0080058A">
        <w:rPr>
          <w:rFonts w:cs="Times New Roman"/>
          <w:lang w:val="fr-CA"/>
        </w:rPr>
        <w:t>inistre a</w:t>
      </w:r>
      <w:r>
        <w:rPr>
          <w:rFonts w:cs="Times New Roman"/>
          <w:lang w:val="fr-CA"/>
        </w:rPr>
        <w:noBreakHyphen/>
      </w:r>
      <w:r w:rsidRPr="0080058A">
        <w:rPr>
          <w:rFonts w:cs="Times New Roman"/>
          <w:lang w:val="fr-CA"/>
        </w:rPr>
        <w:t>t</w:t>
      </w:r>
      <w:r>
        <w:rPr>
          <w:rFonts w:cs="Times New Roman"/>
          <w:lang w:val="fr-CA"/>
        </w:rPr>
        <w:noBreakHyphen/>
      </w:r>
      <w:r w:rsidRPr="0080058A">
        <w:rPr>
          <w:rFonts w:cs="Times New Roman"/>
          <w:lang w:val="fr-CA"/>
        </w:rPr>
        <w:t>il tenu compte des faits pertinents et tiré une conclusion susceptible de se justifier au regard de ces faits (</w:t>
      </w:r>
      <w:r w:rsidRPr="0080058A">
        <w:rPr>
          <w:rFonts w:cs="Times New Roman"/>
          <w:i/>
          <w:lang w:val="fr-CA"/>
        </w:rPr>
        <w:t>Lake</w:t>
      </w:r>
      <w:r w:rsidRPr="0080058A">
        <w:rPr>
          <w:rFonts w:cs="Times New Roman"/>
          <w:lang w:val="fr-CA"/>
        </w:rPr>
        <w:t xml:space="preserve">, </w:t>
      </w:r>
      <w:r>
        <w:rPr>
          <w:rFonts w:cs="Times New Roman"/>
          <w:lang w:val="fr-CA"/>
        </w:rPr>
        <w:t>par. </w:t>
      </w:r>
      <w:r w:rsidRPr="0080058A">
        <w:rPr>
          <w:rFonts w:cs="Times New Roman"/>
          <w:lang w:val="fr-CA"/>
        </w:rPr>
        <w:t>41)</w:t>
      </w:r>
      <w:r>
        <w:rPr>
          <w:rFonts w:cs="Times New Roman"/>
          <w:lang w:val="fr-CA"/>
        </w:rPr>
        <w:t>?</w:t>
      </w:r>
      <w:r w:rsidRPr="0080058A">
        <w:rPr>
          <w:rFonts w:cs="Times New Roman"/>
          <w:lang w:val="fr-CA"/>
        </w:rPr>
        <w:t xml:space="preserve"> À mon humble avis, la réponse, dans le cas qui nous occupe, est affirmative. </w:t>
      </w:r>
    </w:p>
    <w:p w:rsidR="00361B98" w:rsidRPr="0080058A" w:rsidRDefault="00361B98" w:rsidP="002B69A7">
      <w:pPr>
        <w:pStyle w:val="Title3LevelTitre3Niveau"/>
        <w:widowControl w:val="0"/>
        <w:numPr>
          <w:ilvl w:val="2"/>
          <w:numId w:val="23"/>
        </w:numPr>
        <w:rPr>
          <w:rFonts w:cs="Times New Roman"/>
          <w:lang w:val="fr-CA"/>
        </w:rPr>
      </w:pPr>
      <w:r w:rsidRPr="0080058A">
        <w:rPr>
          <w:rFonts w:cs="Times New Roman"/>
          <w:lang w:val="fr-CA"/>
        </w:rPr>
        <w:t xml:space="preserve">Le poids accordé par le </w:t>
      </w:r>
      <w:r>
        <w:rPr>
          <w:rFonts w:cs="Times New Roman"/>
          <w:lang w:val="fr-CA"/>
        </w:rPr>
        <w:t>m</w:t>
      </w:r>
      <w:r w:rsidRPr="0080058A">
        <w:rPr>
          <w:rFonts w:cs="Times New Roman"/>
          <w:lang w:val="fr-CA"/>
        </w:rPr>
        <w:t xml:space="preserve">inistre aux assurances données </w:t>
      </w:r>
      <w:r>
        <w:rPr>
          <w:rFonts w:cs="Times New Roman"/>
          <w:lang w:val="fr-CA"/>
        </w:rPr>
        <w:t xml:space="preserve">quant </w:t>
      </w:r>
      <w:r w:rsidRPr="0080058A">
        <w:rPr>
          <w:rFonts w:cs="Times New Roman"/>
          <w:lang w:val="fr-CA"/>
        </w:rPr>
        <w:t>à la santé et à la sécurité</w:t>
      </w:r>
    </w:p>
    <w:p w:rsidR="00361B98" w:rsidRPr="00A91F4E" w:rsidRDefault="00361B98" w:rsidP="002B69A7">
      <w:pPr>
        <w:pStyle w:val="ParaNoNdepar-AltN"/>
        <w:widowControl w:val="0"/>
        <w:rPr>
          <w:rFonts w:cs="Times New Roman"/>
          <w:lang w:val="fr-CA"/>
        </w:rPr>
      </w:pPr>
      <w:r>
        <w:rPr>
          <w:rFonts w:cs="Times New Roman"/>
          <w:lang w:val="fr-CA"/>
        </w:rPr>
        <w:t xml:space="preserve">Selon les juges majoritaires de </w:t>
      </w:r>
      <w:r w:rsidRPr="0080058A">
        <w:rPr>
          <w:rFonts w:cs="Times New Roman"/>
          <w:lang w:val="fr-CA"/>
        </w:rPr>
        <w:t>la Cour d</w:t>
      </w:r>
      <w:r>
        <w:rPr>
          <w:rFonts w:cs="Times New Roman"/>
          <w:lang w:val="fr-CA"/>
        </w:rPr>
        <w:t>’</w:t>
      </w:r>
      <w:r w:rsidRPr="0080058A">
        <w:rPr>
          <w:rFonts w:cs="Times New Roman"/>
          <w:lang w:val="fr-CA"/>
        </w:rPr>
        <w:t>appel</w:t>
      </w:r>
      <w:r>
        <w:rPr>
          <w:rFonts w:cs="Times New Roman"/>
          <w:lang w:val="fr-CA"/>
        </w:rPr>
        <w:t xml:space="preserve">, </w:t>
      </w:r>
      <w:r w:rsidRPr="0080058A">
        <w:rPr>
          <w:rFonts w:cs="Times New Roman"/>
          <w:lang w:val="fr-CA"/>
        </w:rPr>
        <w:t xml:space="preserve">le </w:t>
      </w:r>
      <w:r>
        <w:rPr>
          <w:rFonts w:cs="Times New Roman"/>
          <w:lang w:val="fr-CA"/>
        </w:rPr>
        <w:t>m</w:t>
      </w:r>
      <w:r w:rsidRPr="0080058A">
        <w:rPr>
          <w:rFonts w:cs="Times New Roman"/>
          <w:lang w:val="fr-CA"/>
        </w:rPr>
        <w:t>inistre n</w:t>
      </w:r>
      <w:r>
        <w:rPr>
          <w:rFonts w:cs="Times New Roman"/>
          <w:lang w:val="fr-CA"/>
        </w:rPr>
        <w:t xml:space="preserve">e s’est pas demandé </w:t>
      </w:r>
      <w:r w:rsidRPr="0080058A">
        <w:rPr>
          <w:rFonts w:cs="Times New Roman"/>
          <w:lang w:val="fr-CA"/>
        </w:rPr>
        <w:t xml:space="preserve">si les assurances </w:t>
      </w:r>
      <w:r>
        <w:rPr>
          <w:rFonts w:cs="Times New Roman"/>
          <w:lang w:val="fr-CA"/>
        </w:rPr>
        <w:t xml:space="preserve">fournies au sujet de </w:t>
      </w:r>
      <w:r w:rsidRPr="0080058A">
        <w:rPr>
          <w:rFonts w:cs="Times New Roman"/>
          <w:lang w:val="fr-CA"/>
        </w:rPr>
        <w:t xml:space="preserve">la santé et </w:t>
      </w:r>
      <w:r>
        <w:rPr>
          <w:rFonts w:cs="Times New Roman"/>
          <w:lang w:val="fr-CA"/>
        </w:rPr>
        <w:t xml:space="preserve">de </w:t>
      </w:r>
      <w:r w:rsidRPr="0080058A">
        <w:rPr>
          <w:rFonts w:cs="Times New Roman"/>
          <w:lang w:val="fr-CA"/>
        </w:rPr>
        <w:t xml:space="preserve">la sécurité répondaient véritablement aux préoccupations </w:t>
      </w:r>
      <w:r>
        <w:rPr>
          <w:rFonts w:cs="Times New Roman"/>
          <w:lang w:val="fr-CA"/>
        </w:rPr>
        <w:t xml:space="preserve">sur lesquelles </w:t>
      </w:r>
      <w:r w:rsidRPr="0080058A">
        <w:rPr>
          <w:rFonts w:cs="Times New Roman"/>
          <w:lang w:val="fr-CA"/>
        </w:rPr>
        <w:t xml:space="preserve">elles étaient censées </w:t>
      </w:r>
      <w:r>
        <w:rPr>
          <w:rFonts w:cs="Times New Roman"/>
          <w:lang w:val="fr-CA"/>
        </w:rPr>
        <w:t>porter. À leur avis, c</w:t>
      </w:r>
      <w:r w:rsidRPr="0080058A">
        <w:rPr>
          <w:rFonts w:cs="Times New Roman"/>
          <w:lang w:val="fr-CA"/>
        </w:rPr>
        <w:t xml:space="preserve">es assurances équivalaient à </w:t>
      </w:r>
      <w:r>
        <w:rPr>
          <w:rFonts w:cs="Times New Roman"/>
          <w:lang w:val="fr-CA"/>
        </w:rPr>
        <w:t>d</w:t>
      </w:r>
      <w:r w:rsidRPr="0080058A">
        <w:rPr>
          <w:rFonts w:cs="Times New Roman"/>
          <w:lang w:val="fr-CA"/>
        </w:rPr>
        <w:t>e</w:t>
      </w:r>
      <w:r>
        <w:rPr>
          <w:rFonts w:cs="Times New Roman"/>
          <w:lang w:val="fr-CA"/>
        </w:rPr>
        <w:t>s</w:t>
      </w:r>
      <w:r w:rsidRPr="0080058A">
        <w:rPr>
          <w:rFonts w:cs="Times New Roman"/>
          <w:lang w:val="fr-CA"/>
        </w:rPr>
        <w:t xml:space="preserve"> promesse</w:t>
      </w:r>
      <w:r>
        <w:rPr>
          <w:rFonts w:cs="Times New Roman"/>
          <w:lang w:val="fr-CA"/>
        </w:rPr>
        <w:t>s</w:t>
      </w:r>
      <w:r w:rsidRPr="0080058A">
        <w:rPr>
          <w:rFonts w:cs="Times New Roman"/>
          <w:lang w:val="fr-CA"/>
        </w:rPr>
        <w:t xml:space="preserve"> que les lois protégeant les prisonniers en Inde </w:t>
      </w:r>
      <w:r>
        <w:rPr>
          <w:rFonts w:cs="Times New Roman"/>
          <w:lang w:val="fr-CA"/>
        </w:rPr>
        <w:t xml:space="preserve">mettraient </w:t>
      </w:r>
      <w:r w:rsidRPr="0080058A">
        <w:rPr>
          <w:rFonts w:cs="Times New Roman"/>
          <w:lang w:val="fr-CA"/>
        </w:rPr>
        <w:t>M. Badesha et M</w:t>
      </w:r>
      <w:r w:rsidRPr="0080058A">
        <w:rPr>
          <w:rFonts w:cs="Times New Roman"/>
          <w:vertAlign w:val="superscript"/>
          <w:lang w:val="fr-CA"/>
        </w:rPr>
        <w:t>me</w:t>
      </w:r>
      <w:r w:rsidRPr="0080058A">
        <w:rPr>
          <w:rFonts w:cs="Times New Roman"/>
          <w:lang w:val="fr-CA"/>
        </w:rPr>
        <w:t xml:space="preserve"> Sidhu </w:t>
      </w:r>
      <w:r>
        <w:rPr>
          <w:rFonts w:cs="Times New Roman"/>
          <w:lang w:val="fr-CA"/>
        </w:rPr>
        <w:t>à l’abri de tous mauvais traitements</w:t>
      </w:r>
      <w:r w:rsidRPr="0080058A">
        <w:rPr>
          <w:rFonts w:cs="Times New Roman"/>
          <w:lang w:val="fr-CA"/>
        </w:rPr>
        <w:t>. Toutefois, les</w:t>
      </w:r>
      <w:r>
        <w:rPr>
          <w:rFonts w:cs="Times New Roman"/>
          <w:lang w:val="fr-CA"/>
        </w:rPr>
        <w:t xml:space="preserve"> rapports soumis </w:t>
      </w:r>
      <w:r w:rsidRPr="0080058A">
        <w:rPr>
          <w:rFonts w:cs="Times New Roman"/>
          <w:lang w:val="fr-CA"/>
        </w:rPr>
        <w:t>par M. Badesha et M</w:t>
      </w:r>
      <w:r w:rsidRPr="0080058A">
        <w:rPr>
          <w:rFonts w:cs="Times New Roman"/>
          <w:vertAlign w:val="superscript"/>
          <w:lang w:val="fr-CA"/>
        </w:rPr>
        <w:t>me</w:t>
      </w:r>
      <w:r w:rsidRPr="0080058A">
        <w:rPr>
          <w:rFonts w:cs="Times New Roman"/>
          <w:lang w:val="fr-CA"/>
        </w:rPr>
        <w:t> Sidhu attestaient que des violations des droits de la personne avaient été commises malgré l</w:t>
      </w:r>
      <w:r>
        <w:rPr>
          <w:rFonts w:cs="Times New Roman"/>
          <w:lang w:val="fr-CA"/>
        </w:rPr>
        <w:t>’</w:t>
      </w:r>
      <w:r w:rsidRPr="0080058A">
        <w:rPr>
          <w:rFonts w:cs="Times New Roman"/>
          <w:lang w:val="fr-CA"/>
        </w:rPr>
        <w:t>existence de ces mêmes lois. La seule [</w:t>
      </w:r>
      <w:r w:rsidRPr="0080058A">
        <w:rPr>
          <w:rFonts w:cs="Times New Roman"/>
          <w:smallCaps/>
          <w:lang w:val="fr-CA"/>
        </w:rPr>
        <w:t>traduction</w:t>
      </w:r>
      <w:r w:rsidRPr="0080058A">
        <w:rPr>
          <w:rFonts w:cs="Times New Roman"/>
          <w:lang w:val="fr-CA"/>
        </w:rPr>
        <w:t>] « protection réaliste » que les assurances donnaient contre le risque de torture ou</w:t>
      </w:r>
      <w:r>
        <w:rPr>
          <w:rFonts w:cs="Times New Roman"/>
          <w:lang w:val="fr-CA"/>
        </w:rPr>
        <w:t xml:space="preserve"> de mauvais traitements était les</w:t>
      </w:r>
      <w:r w:rsidRPr="0080058A">
        <w:rPr>
          <w:rFonts w:cs="Times New Roman"/>
          <w:lang w:val="fr-CA"/>
        </w:rPr>
        <w:t xml:space="preserve"> visite</w:t>
      </w:r>
      <w:r>
        <w:rPr>
          <w:rFonts w:cs="Times New Roman"/>
          <w:lang w:val="fr-CA"/>
        </w:rPr>
        <w:t>s</w:t>
      </w:r>
      <w:r w:rsidRPr="0080058A">
        <w:rPr>
          <w:rFonts w:cs="Times New Roman"/>
          <w:lang w:val="fr-CA"/>
        </w:rPr>
        <w:t xml:space="preserve"> de contrôle consulaire qui, selon les juges majoritaires, </w:t>
      </w:r>
      <w:r>
        <w:rPr>
          <w:rFonts w:cs="Times New Roman"/>
          <w:lang w:val="fr-CA"/>
        </w:rPr>
        <w:t xml:space="preserve">constituaient </w:t>
      </w:r>
      <w:r w:rsidRPr="0080058A">
        <w:rPr>
          <w:rFonts w:cs="Times New Roman"/>
          <w:lang w:val="fr-CA"/>
        </w:rPr>
        <w:t xml:space="preserve">une </w:t>
      </w:r>
      <w:r>
        <w:rPr>
          <w:rFonts w:cs="Times New Roman"/>
          <w:lang w:val="fr-CA"/>
        </w:rPr>
        <w:t>garantie</w:t>
      </w:r>
      <w:r w:rsidRPr="0080058A">
        <w:rPr>
          <w:rFonts w:cs="Times New Roman"/>
          <w:lang w:val="fr-CA"/>
        </w:rPr>
        <w:t xml:space="preserve"> insuffisante pour </w:t>
      </w:r>
      <w:r>
        <w:rPr>
          <w:rFonts w:cs="Times New Roman"/>
          <w:lang w:val="fr-CA"/>
        </w:rPr>
        <w:t xml:space="preserve">contrer </w:t>
      </w:r>
      <w:r w:rsidRPr="0080058A">
        <w:rPr>
          <w:rFonts w:cs="Times New Roman"/>
          <w:lang w:val="fr-CA"/>
        </w:rPr>
        <w:t xml:space="preserve">ce risque. La décision du </w:t>
      </w:r>
      <w:r>
        <w:rPr>
          <w:rFonts w:cs="Times New Roman"/>
          <w:lang w:val="fr-CA"/>
        </w:rPr>
        <w:t>m</w:t>
      </w:r>
      <w:r w:rsidRPr="0080058A">
        <w:rPr>
          <w:rFonts w:cs="Times New Roman"/>
          <w:lang w:val="fr-CA"/>
        </w:rPr>
        <w:t>inistre d</w:t>
      </w:r>
      <w:r>
        <w:rPr>
          <w:rFonts w:cs="Times New Roman"/>
          <w:lang w:val="fr-CA"/>
        </w:rPr>
        <w:t>’</w:t>
      </w:r>
      <w:r w:rsidRPr="0080058A">
        <w:rPr>
          <w:rFonts w:cs="Times New Roman"/>
          <w:lang w:val="fr-CA"/>
        </w:rPr>
        <w:t>ordonner l</w:t>
      </w:r>
      <w:r>
        <w:rPr>
          <w:rFonts w:cs="Times New Roman"/>
          <w:lang w:val="fr-CA"/>
        </w:rPr>
        <w:t>’</w:t>
      </w:r>
      <w:r w:rsidRPr="0080058A">
        <w:rPr>
          <w:rFonts w:cs="Times New Roman"/>
          <w:lang w:val="fr-CA"/>
        </w:rPr>
        <w:t xml:space="preserve">extradition de </w:t>
      </w:r>
      <w:r w:rsidRPr="0080058A">
        <w:rPr>
          <w:rFonts w:cs="Times New Roman"/>
          <w:lang w:val="fr-CA"/>
        </w:rPr>
        <w:lastRenderedPageBreak/>
        <w:t>M. Badesha et de M</w:t>
      </w:r>
      <w:r w:rsidRPr="0080058A">
        <w:rPr>
          <w:rFonts w:cs="Times New Roman"/>
          <w:vertAlign w:val="superscript"/>
          <w:lang w:val="fr-CA"/>
        </w:rPr>
        <w:t>me</w:t>
      </w:r>
      <w:r w:rsidRPr="0080058A">
        <w:rPr>
          <w:rFonts w:cs="Times New Roman"/>
          <w:lang w:val="fr-CA"/>
        </w:rPr>
        <w:t> Sidhu éta</w:t>
      </w:r>
      <w:r>
        <w:rPr>
          <w:rFonts w:cs="Times New Roman"/>
          <w:lang w:val="fr-CA"/>
        </w:rPr>
        <w:t>it par conséquent déraisonnable</w:t>
      </w:r>
      <w:r w:rsidRPr="0080058A">
        <w:rPr>
          <w:rFonts w:cs="Times New Roman"/>
          <w:lang w:val="fr-CA"/>
        </w:rPr>
        <w:t>.</w:t>
      </w:r>
    </w:p>
    <w:p w:rsidR="00361B98" w:rsidRPr="0080058A" w:rsidRDefault="00361B98" w:rsidP="002B69A7">
      <w:pPr>
        <w:pStyle w:val="ParaNoNdepar-AltN"/>
        <w:widowControl w:val="0"/>
        <w:rPr>
          <w:rFonts w:cs="Times New Roman"/>
          <w:u w:val="single"/>
          <w:lang w:val="fr-CA"/>
        </w:rPr>
      </w:pPr>
      <w:r>
        <w:rPr>
          <w:rFonts w:cs="Times New Roman"/>
          <w:lang w:val="fr-CA"/>
        </w:rPr>
        <w:t xml:space="preserve">Soit dit en tout respect, j’estime </w:t>
      </w:r>
      <w:r w:rsidRPr="0080058A">
        <w:rPr>
          <w:rFonts w:cs="Times New Roman"/>
          <w:lang w:val="fr-CA"/>
        </w:rPr>
        <w:t>qu</w:t>
      </w:r>
      <w:r>
        <w:rPr>
          <w:rFonts w:cs="Times New Roman"/>
          <w:lang w:val="fr-CA"/>
        </w:rPr>
        <w:t>’</w:t>
      </w:r>
      <w:r w:rsidRPr="0080058A">
        <w:rPr>
          <w:rFonts w:cs="Times New Roman"/>
          <w:lang w:val="fr-CA"/>
        </w:rPr>
        <w:t>en tirant cette conclusion, les juges majoritaires n</w:t>
      </w:r>
      <w:r>
        <w:rPr>
          <w:rFonts w:cs="Times New Roman"/>
          <w:lang w:val="fr-CA"/>
        </w:rPr>
        <w:t xml:space="preserve">’ont pas tenu compte de bon nombre </w:t>
      </w:r>
      <w:r w:rsidRPr="0080058A">
        <w:rPr>
          <w:rFonts w:cs="Times New Roman"/>
          <w:lang w:val="fr-CA"/>
        </w:rPr>
        <w:t xml:space="preserve">des facteurs pertinents que le </w:t>
      </w:r>
      <w:r>
        <w:rPr>
          <w:rFonts w:cs="Times New Roman"/>
          <w:lang w:val="fr-CA"/>
        </w:rPr>
        <w:t>m</w:t>
      </w:r>
      <w:r w:rsidRPr="0080058A">
        <w:rPr>
          <w:rFonts w:cs="Times New Roman"/>
          <w:lang w:val="fr-CA"/>
        </w:rPr>
        <w:t>inistre a</w:t>
      </w:r>
      <w:r>
        <w:rPr>
          <w:rFonts w:cs="Times New Roman"/>
          <w:lang w:val="fr-CA"/>
        </w:rPr>
        <w:t xml:space="preserve">vait pris en considération </w:t>
      </w:r>
      <w:r w:rsidRPr="0080058A">
        <w:rPr>
          <w:rFonts w:cs="Times New Roman"/>
          <w:lang w:val="fr-CA"/>
        </w:rPr>
        <w:t xml:space="preserve">pour déterminer la fiabilité des assurances données. Ces facteurs permettaient </w:t>
      </w:r>
      <w:r>
        <w:rPr>
          <w:rFonts w:cs="Times New Roman"/>
          <w:lang w:val="fr-CA"/>
        </w:rPr>
        <w:t xml:space="preserve">raisonnablement </w:t>
      </w:r>
      <w:r w:rsidRPr="0080058A">
        <w:rPr>
          <w:rFonts w:cs="Times New Roman"/>
          <w:lang w:val="fr-CA"/>
        </w:rPr>
        <w:t xml:space="preserve">au </w:t>
      </w:r>
      <w:r>
        <w:rPr>
          <w:rFonts w:cs="Times New Roman"/>
          <w:lang w:val="fr-CA"/>
        </w:rPr>
        <w:t>m</w:t>
      </w:r>
      <w:r w:rsidRPr="0080058A">
        <w:rPr>
          <w:rFonts w:cs="Times New Roman"/>
          <w:lang w:val="fr-CA"/>
        </w:rPr>
        <w:t>inistre de conclure que l</w:t>
      </w:r>
      <w:r>
        <w:rPr>
          <w:rFonts w:cs="Times New Roman"/>
          <w:lang w:val="fr-CA"/>
        </w:rPr>
        <w:t>’</w:t>
      </w:r>
      <w:r w:rsidRPr="0080058A">
        <w:rPr>
          <w:rFonts w:cs="Times New Roman"/>
          <w:lang w:val="fr-CA"/>
        </w:rPr>
        <w:t>extradition de M. Badesha et de M</w:t>
      </w:r>
      <w:r w:rsidRPr="0080058A">
        <w:rPr>
          <w:rFonts w:cs="Times New Roman"/>
          <w:vertAlign w:val="superscript"/>
          <w:lang w:val="fr-CA"/>
        </w:rPr>
        <w:t>me</w:t>
      </w:r>
      <w:r w:rsidRPr="0080058A">
        <w:rPr>
          <w:rFonts w:cs="Times New Roman"/>
          <w:lang w:val="fr-CA"/>
        </w:rPr>
        <w:t xml:space="preserve"> Sidhu ne violerait pas les principes de justice fondamentale. </w:t>
      </w:r>
    </w:p>
    <w:p w:rsidR="00361B98" w:rsidRPr="0080058A" w:rsidRDefault="00361B98" w:rsidP="002B69A7">
      <w:pPr>
        <w:pStyle w:val="ParaNoNdepar-AltN"/>
        <w:widowControl w:val="0"/>
        <w:rPr>
          <w:rFonts w:cs="Times New Roman"/>
          <w:u w:val="single"/>
          <w:lang w:val="fr-CA"/>
        </w:rPr>
      </w:pPr>
      <w:r w:rsidRPr="0080058A">
        <w:rPr>
          <w:rFonts w:cs="Times New Roman"/>
          <w:lang w:val="fr-CA"/>
        </w:rPr>
        <w:t>Comme nous l</w:t>
      </w:r>
      <w:r>
        <w:rPr>
          <w:rFonts w:cs="Times New Roman"/>
          <w:lang w:val="fr-CA"/>
        </w:rPr>
        <w:t>’</w:t>
      </w:r>
      <w:r w:rsidRPr="0080058A">
        <w:rPr>
          <w:rFonts w:cs="Times New Roman"/>
          <w:lang w:val="fr-CA"/>
        </w:rPr>
        <w:t xml:space="preserve">avons </w:t>
      </w:r>
      <w:r>
        <w:rPr>
          <w:rFonts w:cs="Times New Roman"/>
          <w:lang w:val="fr-CA"/>
        </w:rPr>
        <w:t>vu</w:t>
      </w:r>
      <w:r w:rsidRPr="0080058A">
        <w:rPr>
          <w:rFonts w:cs="Times New Roman"/>
          <w:lang w:val="fr-CA"/>
        </w:rPr>
        <w:t xml:space="preserve">, la fiabilité des assurances diplomatiques dépend </w:t>
      </w:r>
      <w:r>
        <w:rPr>
          <w:rFonts w:cs="Times New Roman"/>
          <w:lang w:val="fr-CA"/>
        </w:rPr>
        <w:t>essentiellement</w:t>
      </w:r>
      <w:r w:rsidRPr="0080058A">
        <w:rPr>
          <w:rFonts w:cs="Times New Roman"/>
          <w:lang w:val="fr-CA"/>
        </w:rPr>
        <w:t xml:space="preserve"> du contexte de l</w:t>
      </w:r>
      <w:r>
        <w:rPr>
          <w:rFonts w:cs="Times New Roman"/>
          <w:lang w:val="fr-CA"/>
        </w:rPr>
        <w:t>’</w:t>
      </w:r>
      <w:r w:rsidRPr="0080058A">
        <w:rPr>
          <w:rFonts w:cs="Times New Roman"/>
          <w:lang w:val="fr-CA"/>
        </w:rPr>
        <w:t>espèce. Outre le</w:t>
      </w:r>
      <w:r>
        <w:rPr>
          <w:rFonts w:cs="Times New Roman"/>
          <w:lang w:val="fr-CA"/>
        </w:rPr>
        <w:t xml:space="preserve"> </w:t>
      </w:r>
      <w:r w:rsidRPr="0080058A">
        <w:rPr>
          <w:rFonts w:cs="Times New Roman"/>
          <w:lang w:val="fr-CA"/>
        </w:rPr>
        <w:t xml:space="preserve">contrôle consulaire, le </w:t>
      </w:r>
      <w:r>
        <w:rPr>
          <w:rFonts w:cs="Times New Roman"/>
          <w:lang w:val="fr-CA"/>
        </w:rPr>
        <w:t>m</w:t>
      </w:r>
      <w:r w:rsidRPr="0080058A">
        <w:rPr>
          <w:rFonts w:cs="Times New Roman"/>
          <w:lang w:val="fr-CA"/>
        </w:rPr>
        <w:t xml:space="preserve">inistre a tenu compte des facteurs suivants pour évaluer le risque de torture ou de mauvais traitements </w:t>
      </w:r>
      <w:r>
        <w:rPr>
          <w:rFonts w:cs="Times New Roman"/>
          <w:lang w:val="fr-CA"/>
        </w:rPr>
        <w:t xml:space="preserve">que courent </w:t>
      </w:r>
      <w:r w:rsidRPr="0080058A">
        <w:rPr>
          <w:rFonts w:cs="Times New Roman"/>
          <w:lang w:val="fr-CA"/>
        </w:rPr>
        <w:t>M. Badesha et M</w:t>
      </w:r>
      <w:r w:rsidRPr="0080058A">
        <w:rPr>
          <w:rFonts w:cs="Times New Roman"/>
          <w:vertAlign w:val="superscript"/>
          <w:lang w:val="fr-CA"/>
        </w:rPr>
        <w:t>me</w:t>
      </w:r>
      <w:r w:rsidRPr="0080058A">
        <w:rPr>
          <w:rFonts w:cs="Times New Roman"/>
          <w:lang w:val="fr-CA"/>
        </w:rPr>
        <w:t> Sidhu en l</w:t>
      </w:r>
      <w:r>
        <w:rPr>
          <w:rFonts w:cs="Times New Roman"/>
          <w:lang w:val="fr-CA"/>
        </w:rPr>
        <w:t>’</w:t>
      </w:r>
      <w:r w:rsidRPr="0080058A">
        <w:rPr>
          <w:rFonts w:cs="Times New Roman"/>
          <w:lang w:val="fr-CA"/>
        </w:rPr>
        <w:t>espèce</w:t>
      </w:r>
      <w:r>
        <w:rPr>
          <w:rFonts w:cs="Times New Roman"/>
          <w:lang w:val="fr-CA"/>
        </w:rPr>
        <w:t> :</w:t>
      </w:r>
    </w:p>
    <w:p w:rsidR="00361B98" w:rsidRPr="0080058A" w:rsidRDefault="007019CB" w:rsidP="002B69A7">
      <w:pPr>
        <w:pStyle w:val="Citation-AltC"/>
        <w:widowControl w:val="0"/>
        <w:numPr>
          <w:ilvl w:val="0"/>
          <w:numId w:val="21"/>
        </w:numPr>
        <w:spacing w:after="480" w:line="480" w:lineRule="auto"/>
        <w:ind w:left="720" w:hanging="720"/>
        <w:contextualSpacing w:val="0"/>
        <w:rPr>
          <w:lang w:val="fr-CA"/>
        </w:rPr>
      </w:pPr>
      <w:r>
        <w:rPr>
          <w:lang w:val="fr-CA"/>
        </w:rPr>
        <w:t>L</w:t>
      </w:r>
      <w:r w:rsidR="00361B98" w:rsidRPr="0080058A">
        <w:rPr>
          <w:lang w:val="fr-CA"/>
        </w:rPr>
        <w:t xml:space="preserve">e </w:t>
      </w:r>
      <w:r w:rsidR="00361B98">
        <w:rPr>
          <w:lang w:val="fr-CA"/>
        </w:rPr>
        <w:t>MAE</w:t>
      </w:r>
      <w:r w:rsidR="00361B98" w:rsidRPr="0080058A">
        <w:rPr>
          <w:lang w:val="fr-CA"/>
        </w:rPr>
        <w:t xml:space="preserve"> de l</w:t>
      </w:r>
      <w:r w:rsidR="00361B98">
        <w:rPr>
          <w:lang w:val="fr-CA"/>
        </w:rPr>
        <w:t>’Inde a fourni</w:t>
      </w:r>
      <w:r w:rsidR="00361B98" w:rsidRPr="0080058A">
        <w:rPr>
          <w:lang w:val="fr-CA"/>
        </w:rPr>
        <w:t xml:space="preserve"> des renseignements confirmant que les détenus des prisons de l</w:t>
      </w:r>
      <w:r w:rsidR="00361B98">
        <w:rPr>
          <w:lang w:val="fr-CA"/>
        </w:rPr>
        <w:t>’État</w:t>
      </w:r>
      <w:r w:rsidR="00361B98" w:rsidRPr="0080058A">
        <w:rPr>
          <w:lang w:val="fr-CA"/>
        </w:rPr>
        <w:t xml:space="preserve"> du Pendjab avaient accès à des professionnels de la sa</w:t>
      </w:r>
      <w:r>
        <w:rPr>
          <w:lang w:val="fr-CA"/>
        </w:rPr>
        <w:t>nté et à des services médicaux.</w:t>
      </w:r>
    </w:p>
    <w:p w:rsidR="00361B98" w:rsidRPr="0080058A" w:rsidRDefault="007019CB" w:rsidP="002B69A7">
      <w:pPr>
        <w:pStyle w:val="Citation-AltC"/>
        <w:widowControl w:val="0"/>
        <w:numPr>
          <w:ilvl w:val="0"/>
          <w:numId w:val="21"/>
        </w:numPr>
        <w:spacing w:after="480" w:line="480" w:lineRule="auto"/>
        <w:ind w:left="720" w:hanging="720"/>
        <w:contextualSpacing w:val="0"/>
        <w:rPr>
          <w:lang w:val="fr-CA"/>
        </w:rPr>
      </w:pPr>
      <w:r>
        <w:rPr>
          <w:lang w:val="fr-CA"/>
        </w:rPr>
        <w:t>L</w:t>
      </w:r>
      <w:r w:rsidR="00361B98" w:rsidRPr="0080058A">
        <w:rPr>
          <w:lang w:val="fr-CA"/>
        </w:rPr>
        <w:t>e ministère canadien des Affaires étrangères a obt</w:t>
      </w:r>
      <w:r w:rsidR="00361B98">
        <w:rPr>
          <w:lang w:val="fr-CA"/>
        </w:rPr>
        <w:t>enu des renseignements du Haut</w:t>
      </w:r>
      <w:r w:rsidR="00361B98">
        <w:rPr>
          <w:lang w:val="fr-CA"/>
        </w:rPr>
        <w:noBreakHyphen/>
        <w:t>c</w:t>
      </w:r>
      <w:r w:rsidR="00361B98" w:rsidRPr="0080058A">
        <w:rPr>
          <w:lang w:val="fr-CA"/>
        </w:rPr>
        <w:t xml:space="preserve">ommissariat </w:t>
      </w:r>
      <w:r w:rsidR="00361B98">
        <w:rPr>
          <w:lang w:val="fr-CA"/>
        </w:rPr>
        <w:t xml:space="preserve">du Canada en </w:t>
      </w:r>
      <w:r w:rsidR="00361B98" w:rsidRPr="0080058A">
        <w:rPr>
          <w:lang w:val="fr-CA"/>
        </w:rPr>
        <w:t>Inde suivant lesquels les prisons de l</w:t>
      </w:r>
      <w:r w:rsidR="00361B98">
        <w:rPr>
          <w:lang w:val="fr-CA"/>
        </w:rPr>
        <w:t>’État</w:t>
      </w:r>
      <w:r w:rsidR="00361B98" w:rsidRPr="0080058A">
        <w:rPr>
          <w:lang w:val="fr-CA"/>
        </w:rPr>
        <w:t xml:space="preserve"> du Pendjab </w:t>
      </w:r>
      <w:r w:rsidR="00361B98">
        <w:rPr>
          <w:lang w:val="fr-CA"/>
        </w:rPr>
        <w:t xml:space="preserve">sont équipées pour offrir </w:t>
      </w:r>
      <w:r w:rsidR="00361B98" w:rsidRPr="0080058A">
        <w:rPr>
          <w:lang w:val="fr-CA"/>
        </w:rPr>
        <w:t>de</w:t>
      </w:r>
      <w:r w:rsidR="00361B98">
        <w:rPr>
          <w:lang w:val="fr-CA"/>
        </w:rPr>
        <w:t xml:space="preserve">s </w:t>
      </w:r>
      <w:r w:rsidR="00361B98" w:rsidRPr="0080058A">
        <w:rPr>
          <w:lang w:val="fr-CA"/>
        </w:rPr>
        <w:t xml:space="preserve">services médicaux </w:t>
      </w:r>
      <w:r w:rsidR="00361B98">
        <w:rPr>
          <w:lang w:val="fr-CA"/>
        </w:rPr>
        <w:t xml:space="preserve">de base </w:t>
      </w:r>
      <w:r w:rsidR="00361B98" w:rsidRPr="0080058A">
        <w:rPr>
          <w:lang w:val="fr-CA"/>
        </w:rPr>
        <w:t xml:space="preserve">aux détenus et les détenus qui nécessitent des soins plus </w:t>
      </w:r>
      <w:r w:rsidR="00361B98">
        <w:rPr>
          <w:lang w:val="fr-CA"/>
        </w:rPr>
        <w:t xml:space="preserve">spécialisés </w:t>
      </w:r>
      <w:r w:rsidR="00361B98" w:rsidRPr="0080058A">
        <w:rPr>
          <w:lang w:val="fr-CA"/>
        </w:rPr>
        <w:t>sont envoyés dans des hôpitaux</w:t>
      </w:r>
      <w:r>
        <w:rPr>
          <w:lang w:val="fr-CA"/>
        </w:rPr>
        <w:t>.</w:t>
      </w:r>
    </w:p>
    <w:p w:rsidR="00361B98" w:rsidRPr="0080058A" w:rsidRDefault="007019CB" w:rsidP="002B69A7">
      <w:pPr>
        <w:pStyle w:val="Citation-AltC"/>
        <w:widowControl w:val="0"/>
        <w:numPr>
          <w:ilvl w:val="0"/>
          <w:numId w:val="21"/>
        </w:numPr>
        <w:spacing w:after="480" w:line="480" w:lineRule="auto"/>
        <w:ind w:left="720" w:hanging="720"/>
        <w:contextualSpacing w:val="0"/>
        <w:rPr>
          <w:lang w:val="fr-CA"/>
        </w:rPr>
      </w:pPr>
      <w:r>
        <w:rPr>
          <w:lang w:val="fr-CA"/>
        </w:rPr>
        <w:t>L</w:t>
      </w:r>
      <w:r w:rsidR="00361B98" w:rsidRPr="0080058A">
        <w:rPr>
          <w:lang w:val="fr-CA"/>
        </w:rPr>
        <w:t>es mesures prises par l</w:t>
      </w:r>
      <w:r w:rsidR="00361B98">
        <w:rPr>
          <w:lang w:val="fr-CA"/>
        </w:rPr>
        <w:t>’</w:t>
      </w:r>
      <w:r w:rsidR="00361B98" w:rsidRPr="0080058A">
        <w:rPr>
          <w:lang w:val="fr-CA"/>
        </w:rPr>
        <w:t xml:space="preserve">Inde pour adopter des lois internes qui lui permettraient </w:t>
      </w:r>
      <w:r w:rsidR="00361B98" w:rsidRPr="0080058A">
        <w:rPr>
          <w:lang w:val="fr-CA"/>
        </w:rPr>
        <w:lastRenderedPageBreak/>
        <w:t xml:space="preserve">de ratifier la </w:t>
      </w:r>
      <w:r w:rsidR="00361B98">
        <w:rPr>
          <w:i/>
          <w:lang w:val="fr-CA"/>
        </w:rPr>
        <w:t>CC</w:t>
      </w:r>
      <w:r w:rsidR="00361B98" w:rsidRPr="0080058A">
        <w:rPr>
          <w:i/>
          <w:lang w:val="fr-CA"/>
        </w:rPr>
        <w:t>T</w:t>
      </w:r>
      <w:r w:rsidR="00361B98" w:rsidRPr="0080058A">
        <w:rPr>
          <w:lang w:val="fr-CA"/>
        </w:rPr>
        <w:t>, le fait qu</w:t>
      </w:r>
      <w:r w:rsidR="00361B98">
        <w:rPr>
          <w:lang w:val="fr-CA"/>
        </w:rPr>
        <w:t>’</w:t>
      </w:r>
      <w:r w:rsidR="00361B98" w:rsidRPr="0080058A">
        <w:rPr>
          <w:lang w:val="fr-CA"/>
        </w:rPr>
        <w:t xml:space="preserve">elle était partie au </w:t>
      </w:r>
      <w:r w:rsidR="00361B98" w:rsidRPr="0080058A">
        <w:rPr>
          <w:i/>
          <w:lang w:val="fr-CA"/>
        </w:rPr>
        <w:t>P</w:t>
      </w:r>
      <w:r w:rsidR="00361B98">
        <w:rPr>
          <w:i/>
          <w:lang w:val="fr-CA"/>
        </w:rPr>
        <w:t>acte international relatif aux droits civils et politiques</w:t>
      </w:r>
      <w:r w:rsidR="00361B98" w:rsidRPr="0080058A">
        <w:rPr>
          <w:lang w:val="fr-CA"/>
        </w:rPr>
        <w:t>,</w:t>
      </w:r>
      <w:r w:rsidR="00361B98">
        <w:rPr>
          <w:lang w:val="fr-CA"/>
        </w:rPr>
        <w:t xml:space="preserve"> R.T. Can. 1976 n</w:t>
      </w:r>
      <w:r w:rsidR="00361B98" w:rsidRPr="00C02CF1">
        <w:rPr>
          <w:vertAlign w:val="superscript"/>
          <w:lang w:val="fr-CA"/>
        </w:rPr>
        <w:t>o</w:t>
      </w:r>
      <w:r w:rsidR="00361B98">
        <w:rPr>
          <w:lang w:val="fr-CA"/>
        </w:rPr>
        <w:t> 47,</w:t>
      </w:r>
      <w:r w:rsidR="00361B98" w:rsidRPr="0080058A">
        <w:rPr>
          <w:lang w:val="fr-CA"/>
        </w:rPr>
        <w:t xml:space="preserve"> et les efforts déployés par la magistrature indienne pour s</w:t>
      </w:r>
      <w:r w:rsidR="00361B98">
        <w:rPr>
          <w:lang w:val="fr-CA"/>
        </w:rPr>
        <w:t>’</w:t>
      </w:r>
      <w:r w:rsidR="00361B98" w:rsidRPr="0080058A">
        <w:rPr>
          <w:lang w:val="fr-CA"/>
        </w:rPr>
        <w:t xml:space="preserve">attaquer aux incidents de violence </w:t>
      </w:r>
      <w:r w:rsidR="00361B98">
        <w:rPr>
          <w:lang w:val="fr-CA"/>
        </w:rPr>
        <w:t xml:space="preserve">en détention </w:t>
      </w:r>
      <w:r w:rsidR="00361B98" w:rsidRPr="0080058A">
        <w:rPr>
          <w:lang w:val="fr-CA"/>
        </w:rPr>
        <w:t>démontraient que l</w:t>
      </w:r>
      <w:r w:rsidR="00361B98">
        <w:rPr>
          <w:lang w:val="fr-CA"/>
        </w:rPr>
        <w:t>’</w:t>
      </w:r>
      <w:r w:rsidR="00361B98" w:rsidRPr="0080058A">
        <w:rPr>
          <w:lang w:val="fr-CA"/>
        </w:rPr>
        <w:t xml:space="preserve">Inde était </w:t>
      </w:r>
      <w:r w:rsidR="00361B98">
        <w:rPr>
          <w:lang w:val="fr-CA"/>
        </w:rPr>
        <w:t xml:space="preserve">résolue </w:t>
      </w:r>
      <w:r w:rsidR="00361B98" w:rsidRPr="0080058A">
        <w:rPr>
          <w:lang w:val="fr-CA"/>
        </w:rPr>
        <w:t>à s</w:t>
      </w:r>
      <w:r w:rsidR="00361B98">
        <w:rPr>
          <w:lang w:val="fr-CA"/>
        </w:rPr>
        <w:t>’</w:t>
      </w:r>
      <w:r w:rsidR="00361B98" w:rsidRPr="0080058A">
        <w:rPr>
          <w:lang w:val="fr-CA"/>
        </w:rPr>
        <w:t>attaquer au problème de la violence et de la tor</w:t>
      </w:r>
      <w:r>
        <w:rPr>
          <w:lang w:val="fr-CA"/>
        </w:rPr>
        <w:t>ture dans les prisons indiennes.</w:t>
      </w:r>
      <w:r w:rsidR="00361B98" w:rsidRPr="0080058A">
        <w:rPr>
          <w:lang w:val="fr-CA"/>
        </w:rPr>
        <w:t xml:space="preserve"> </w:t>
      </w:r>
    </w:p>
    <w:p w:rsidR="00361B98" w:rsidRDefault="007019CB" w:rsidP="002B69A7">
      <w:pPr>
        <w:pStyle w:val="Citation-AltC"/>
        <w:widowControl w:val="0"/>
        <w:numPr>
          <w:ilvl w:val="0"/>
          <w:numId w:val="21"/>
        </w:numPr>
        <w:spacing w:after="480" w:line="480" w:lineRule="auto"/>
        <w:ind w:left="720" w:hanging="720"/>
        <w:contextualSpacing w:val="0"/>
        <w:rPr>
          <w:lang w:val="fr-CA"/>
        </w:rPr>
      </w:pPr>
      <w:r>
        <w:rPr>
          <w:lang w:val="fr-CA"/>
        </w:rPr>
        <w:t>L</w:t>
      </w:r>
      <w:r w:rsidR="00361B98">
        <w:rPr>
          <w:lang w:val="fr-CA"/>
        </w:rPr>
        <w:t>’Inde</w:t>
      </w:r>
      <w:r w:rsidR="00361B98" w:rsidRPr="0080058A">
        <w:rPr>
          <w:lang w:val="fr-CA"/>
        </w:rPr>
        <w:t xml:space="preserve"> souhaiterait maintenir ses relation</w:t>
      </w:r>
      <w:r w:rsidR="00361B98">
        <w:rPr>
          <w:lang w:val="fr-CA"/>
        </w:rPr>
        <w:t>s</w:t>
      </w:r>
      <w:r w:rsidR="00361B98" w:rsidRPr="0080058A">
        <w:rPr>
          <w:lang w:val="fr-CA"/>
        </w:rPr>
        <w:t xml:space="preserve"> politiques positives avec le Canada et l</w:t>
      </w:r>
      <w:r w:rsidR="00361B98">
        <w:rPr>
          <w:lang w:val="fr-CA"/>
        </w:rPr>
        <w:t>’</w:t>
      </w:r>
      <w:r w:rsidR="00361B98" w:rsidRPr="0080058A">
        <w:rPr>
          <w:lang w:val="fr-CA"/>
        </w:rPr>
        <w:t>intégralité de son traité d</w:t>
      </w:r>
      <w:r w:rsidR="00361B98">
        <w:rPr>
          <w:lang w:val="fr-CA"/>
        </w:rPr>
        <w:t>’</w:t>
      </w:r>
      <w:r w:rsidR="00361B98" w:rsidRPr="0080058A">
        <w:rPr>
          <w:lang w:val="fr-CA"/>
        </w:rPr>
        <w:t>extradition avec l</w:t>
      </w:r>
      <w:r w:rsidR="00361B98">
        <w:rPr>
          <w:lang w:val="fr-CA"/>
        </w:rPr>
        <w:t>ui</w:t>
      </w:r>
      <w:r>
        <w:rPr>
          <w:lang w:val="fr-CA"/>
        </w:rPr>
        <w:t>.</w:t>
      </w:r>
      <w:r w:rsidR="00361B98" w:rsidRPr="0080058A">
        <w:rPr>
          <w:lang w:val="fr-CA"/>
        </w:rPr>
        <w:t xml:space="preserve"> </w:t>
      </w:r>
    </w:p>
    <w:p w:rsidR="00361B98" w:rsidRDefault="007019CB" w:rsidP="002B69A7">
      <w:pPr>
        <w:pStyle w:val="Citation-AltC"/>
        <w:widowControl w:val="0"/>
        <w:numPr>
          <w:ilvl w:val="0"/>
          <w:numId w:val="21"/>
        </w:numPr>
        <w:spacing w:after="480" w:line="480" w:lineRule="auto"/>
        <w:ind w:left="720" w:hanging="720"/>
        <w:contextualSpacing w:val="0"/>
        <w:rPr>
          <w:lang w:val="fr-CA"/>
        </w:rPr>
      </w:pPr>
      <w:r>
        <w:rPr>
          <w:lang w:val="fr-CA"/>
        </w:rPr>
        <w:t>I</w:t>
      </w:r>
      <w:r w:rsidR="00361B98" w:rsidRPr="00CB2CEA">
        <w:rPr>
          <w:lang w:val="fr-CA"/>
        </w:rPr>
        <w:t xml:space="preserve">l existe des moyens </w:t>
      </w:r>
      <w:r w:rsidR="00361B98">
        <w:rPr>
          <w:lang w:val="fr-CA"/>
        </w:rPr>
        <w:t xml:space="preserve">de </w:t>
      </w:r>
      <w:r w:rsidR="00361B98" w:rsidRPr="00CB2CEA">
        <w:rPr>
          <w:lang w:val="fr-CA"/>
        </w:rPr>
        <w:t>faire respecter les assurances. S</w:t>
      </w:r>
      <w:r w:rsidR="00361B98">
        <w:rPr>
          <w:lang w:val="fr-CA"/>
        </w:rPr>
        <w:t xml:space="preserve">elon </w:t>
      </w:r>
      <w:r w:rsidR="00361B98" w:rsidRPr="00CB2CEA">
        <w:rPr>
          <w:lang w:val="fr-CA"/>
        </w:rPr>
        <w:t>le ministère des Affaires étrangères, si un des signataires du traité d</w:t>
      </w:r>
      <w:r w:rsidR="00361B98">
        <w:rPr>
          <w:lang w:val="fr-CA"/>
        </w:rPr>
        <w:t>’</w:t>
      </w:r>
      <w:r w:rsidR="00361B98" w:rsidRPr="00CB2CEA">
        <w:rPr>
          <w:lang w:val="fr-CA"/>
        </w:rPr>
        <w:t>extradition devait agir contrairement aux assurances diplomatiques données au Canada, celui</w:t>
      </w:r>
      <w:r w:rsidR="00361B98">
        <w:rPr>
          <w:lang w:val="fr-CA"/>
        </w:rPr>
        <w:noBreakHyphen/>
      </w:r>
      <w:r w:rsidR="00361B98" w:rsidRPr="00CB2CEA">
        <w:rPr>
          <w:lang w:val="fr-CA"/>
        </w:rPr>
        <w:t>ci peut protester et prendre des mesures, nota</w:t>
      </w:r>
      <w:r w:rsidR="00361B98">
        <w:rPr>
          <w:lang w:val="fr-CA"/>
        </w:rPr>
        <w:t xml:space="preserve">mment au niveau politique, pour </w:t>
      </w:r>
      <w:r w:rsidR="00361B98" w:rsidRPr="00CB2CEA">
        <w:rPr>
          <w:lang w:val="fr-CA"/>
        </w:rPr>
        <w:t>assurer</w:t>
      </w:r>
      <w:r w:rsidR="00361B98">
        <w:rPr>
          <w:lang w:val="fr-CA"/>
        </w:rPr>
        <w:t xml:space="preserve"> le respect d</w:t>
      </w:r>
      <w:r w:rsidR="00361B98" w:rsidRPr="00CB2CEA">
        <w:rPr>
          <w:lang w:val="fr-CA"/>
        </w:rPr>
        <w:t>es assurances données. Il existe également d</w:t>
      </w:r>
      <w:r w:rsidR="00361B98">
        <w:rPr>
          <w:lang w:val="fr-CA"/>
        </w:rPr>
        <w:t>’</w:t>
      </w:r>
      <w:r w:rsidR="00361B98" w:rsidRPr="00CB2CEA">
        <w:rPr>
          <w:lang w:val="fr-CA"/>
        </w:rPr>
        <w:t>autres mesures, dont la possibilité pour le Canada de dénoncer</w:t>
      </w:r>
      <w:r w:rsidR="00361B98">
        <w:rPr>
          <w:lang w:val="fr-CA"/>
        </w:rPr>
        <w:t xml:space="preserve"> sur</w:t>
      </w:r>
      <w:r w:rsidR="00361B98">
        <w:rPr>
          <w:lang w:val="fr-CA"/>
        </w:rPr>
        <w:noBreakHyphen/>
        <w:t>le</w:t>
      </w:r>
      <w:r w:rsidR="00361B98">
        <w:rPr>
          <w:lang w:val="fr-CA"/>
        </w:rPr>
        <w:noBreakHyphen/>
        <w:t>champ</w:t>
      </w:r>
      <w:r w:rsidR="00361B98" w:rsidRPr="00CB2CEA">
        <w:rPr>
          <w:lang w:val="fr-CA"/>
        </w:rPr>
        <w:t xml:space="preserve"> l</w:t>
      </w:r>
      <w:r w:rsidR="00361B98">
        <w:rPr>
          <w:lang w:val="fr-CA"/>
        </w:rPr>
        <w:t xml:space="preserve">’accord </w:t>
      </w:r>
      <w:r w:rsidR="00361B98" w:rsidRPr="00CB2CEA">
        <w:rPr>
          <w:lang w:val="fr-CA"/>
        </w:rPr>
        <w:t>qui n</w:t>
      </w:r>
      <w:r w:rsidR="00361B98">
        <w:rPr>
          <w:lang w:val="fr-CA"/>
        </w:rPr>
        <w:t>’</w:t>
      </w:r>
      <w:r>
        <w:rPr>
          <w:lang w:val="fr-CA"/>
        </w:rPr>
        <w:t>a pas été respecté.</w:t>
      </w:r>
    </w:p>
    <w:p w:rsidR="00361B98" w:rsidRPr="00CB2CEA" w:rsidRDefault="007019CB" w:rsidP="002B69A7">
      <w:pPr>
        <w:pStyle w:val="Citation-AltC"/>
        <w:widowControl w:val="0"/>
        <w:numPr>
          <w:ilvl w:val="0"/>
          <w:numId w:val="21"/>
        </w:numPr>
        <w:spacing w:after="480" w:line="480" w:lineRule="auto"/>
        <w:ind w:left="720" w:hanging="720"/>
        <w:contextualSpacing w:val="0"/>
        <w:rPr>
          <w:lang w:val="fr-CA"/>
        </w:rPr>
      </w:pPr>
      <w:r>
        <w:rPr>
          <w:lang w:val="fr-CA"/>
        </w:rPr>
        <w:t>L</w:t>
      </w:r>
      <w:r w:rsidR="00361B98" w:rsidRPr="00CB2CEA">
        <w:rPr>
          <w:lang w:val="fr-CA"/>
        </w:rPr>
        <w:t xml:space="preserve">e ministère des Affaires étrangères a informé le </w:t>
      </w:r>
      <w:r w:rsidR="00361B98">
        <w:rPr>
          <w:lang w:val="fr-CA"/>
        </w:rPr>
        <w:t>m</w:t>
      </w:r>
      <w:r w:rsidR="00361B98" w:rsidRPr="00CB2CEA">
        <w:rPr>
          <w:lang w:val="fr-CA"/>
        </w:rPr>
        <w:t>inistre que, comme les traités et les accords sont l</w:t>
      </w:r>
      <w:r w:rsidR="00361B98">
        <w:rPr>
          <w:lang w:val="fr-CA"/>
        </w:rPr>
        <w:t>’</w:t>
      </w:r>
      <w:r w:rsidR="00361B98" w:rsidRPr="00CB2CEA">
        <w:rPr>
          <w:lang w:val="fr-CA"/>
        </w:rPr>
        <w:t>expression de la confiance que les pays ont l</w:t>
      </w:r>
      <w:r w:rsidR="00361B98">
        <w:rPr>
          <w:lang w:val="fr-CA"/>
        </w:rPr>
        <w:t>’</w:t>
      </w:r>
      <w:r w:rsidR="00361B98" w:rsidRPr="00CB2CEA">
        <w:rPr>
          <w:lang w:val="fr-CA"/>
        </w:rPr>
        <w:t>un pour l</w:t>
      </w:r>
      <w:r w:rsidR="00361B98">
        <w:rPr>
          <w:lang w:val="fr-CA"/>
        </w:rPr>
        <w:t>’</w:t>
      </w:r>
      <w:r w:rsidR="00361B98" w:rsidRPr="00CB2CEA">
        <w:rPr>
          <w:lang w:val="fr-CA"/>
        </w:rPr>
        <w:t>autre, le non</w:t>
      </w:r>
      <w:r w:rsidR="00361B98">
        <w:rPr>
          <w:lang w:val="fr-CA"/>
        </w:rPr>
        <w:noBreakHyphen/>
      </w:r>
      <w:r w:rsidR="00361B98" w:rsidRPr="00CB2CEA">
        <w:rPr>
          <w:lang w:val="fr-CA"/>
        </w:rPr>
        <w:t>respect des assurances diplomatiques pourrait avoir des répercussions négatives sur les relations de l</w:t>
      </w:r>
      <w:r w:rsidR="00361B98">
        <w:rPr>
          <w:lang w:val="fr-CA"/>
        </w:rPr>
        <w:t>’</w:t>
      </w:r>
      <w:r w:rsidR="00361B98" w:rsidRPr="00CB2CEA">
        <w:rPr>
          <w:lang w:val="fr-CA"/>
        </w:rPr>
        <w:t>Inde avec d</w:t>
      </w:r>
      <w:r w:rsidR="00361B98">
        <w:rPr>
          <w:lang w:val="fr-CA"/>
        </w:rPr>
        <w:t>’</w:t>
      </w:r>
      <w:r w:rsidR="00361B98" w:rsidRPr="00CB2CEA">
        <w:rPr>
          <w:lang w:val="fr-CA"/>
        </w:rPr>
        <w:t>autres signataires du traité.</w:t>
      </w:r>
    </w:p>
    <w:p w:rsidR="00361B98" w:rsidRPr="0080058A" w:rsidRDefault="00361B98" w:rsidP="002B69A7">
      <w:pPr>
        <w:pStyle w:val="ContinueParaSuitedupar-AltP"/>
        <w:widowControl w:val="0"/>
        <w:rPr>
          <w:lang w:val="fr-CA"/>
        </w:rPr>
      </w:pPr>
      <w:r w:rsidRPr="0080058A">
        <w:rPr>
          <w:lang w:val="fr-CA"/>
        </w:rPr>
        <w:t xml:space="preserve">Plusieurs des facteurs susmentionnés ont été adoptés dans les arrêts </w:t>
      </w:r>
      <w:r w:rsidRPr="0080058A">
        <w:rPr>
          <w:i/>
          <w:lang w:val="fr-CA"/>
        </w:rPr>
        <w:t xml:space="preserve">Suresh </w:t>
      </w:r>
      <w:r w:rsidRPr="0080058A">
        <w:rPr>
          <w:lang w:val="fr-CA"/>
        </w:rPr>
        <w:t>et</w:t>
      </w:r>
      <w:r w:rsidRPr="0080058A">
        <w:rPr>
          <w:i/>
          <w:lang w:val="fr-CA"/>
        </w:rPr>
        <w:t xml:space="preserve"> Othman </w:t>
      </w:r>
      <w:r w:rsidRPr="0080058A">
        <w:rPr>
          <w:lang w:val="fr-CA"/>
        </w:rPr>
        <w:lastRenderedPageBreak/>
        <w:t>comme</w:t>
      </w:r>
      <w:r w:rsidRPr="0080058A">
        <w:rPr>
          <w:i/>
          <w:lang w:val="fr-CA"/>
        </w:rPr>
        <w:t xml:space="preserve"> </w:t>
      </w:r>
      <w:r w:rsidRPr="0080058A">
        <w:rPr>
          <w:lang w:val="fr-CA"/>
        </w:rPr>
        <w:t>indices du poids à accorder aux assurances diplomatiques.</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Par ailleurs, le </w:t>
      </w:r>
      <w:r>
        <w:rPr>
          <w:rFonts w:cs="Times New Roman"/>
          <w:lang w:val="fr-CA"/>
        </w:rPr>
        <w:t>m</w:t>
      </w:r>
      <w:r w:rsidRPr="0080058A">
        <w:rPr>
          <w:rFonts w:cs="Times New Roman"/>
          <w:lang w:val="fr-CA"/>
        </w:rPr>
        <w:t>inistre a signalé que l</w:t>
      </w:r>
      <w:r>
        <w:rPr>
          <w:rFonts w:cs="Times New Roman"/>
          <w:lang w:val="fr-CA"/>
        </w:rPr>
        <w:t>’</w:t>
      </w:r>
      <w:r w:rsidRPr="0080058A">
        <w:rPr>
          <w:rFonts w:cs="Times New Roman"/>
          <w:lang w:val="fr-CA"/>
        </w:rPr>
        <w:t xml:space="preserve">Inde </w:t>
      </w:r>
      <w:r>
        <w:rPr>
          <w:rFonts w:cs="Times New Roman"/>
          <w:lang w:val="fr-CA"/>
        </w:rPr>
        <w:t>n’avait aucun antécédent de non</w:t>
      </w:r>
      <w:r>
        <w:rPr>
          <w:rFonts w:cs="Times New Roman"/>
          <w:lang w:val="fr-CA"/>
        </w:rPr>
        <w:noBreakHyphen/>
        <w:t>respect d</w:t>
      </w:r>
      <w:r w:rsidRPr="0080058A">
        <w:rPr>
          <w:rFonts w:cs="Times New Roman"/>
          <w:lang w:val="fr-CA"/>
        </w:rPr>
        <w:t>es assurances qu</w:t>
      </w:r>
      <w:r>
        <w:rPr>
          <w:rFonts w:cs="Times New Roman"/>
          <w:lang w:val="fr-CA"/>
        </w:rPr>
        <w:t>’</w:t>
      </w:r>
      <w:r w:rsidRPr="0080058A">
        <w:rPr>
          <w:rFonts w:cs="Times New Roman"/>
          <w:lang w:val="fr-CA"/>
        </w:rPr>
        <w:t xml:space="preserve">elle avait données à ses partenaires. Il a </w:t>
      </w:r>
      <w:r>
        <w:rPr>
          <w:rFonts w:cs="Times New Roman"/>
          <w:lang w:val="fr-CA"/>
        </w:rPr>
        <w:t xml:space="preserve">ajouté </w:t>
      </w:r>
      <w:r w:rsidRPr="0080058A">
        <w:rPr>
          <w:rFonts w:cs="Times New Roman"/>
          <w:lang w:val="fr-CA"/>
        </w:rPr>
        <w:t>que rien ne</w:t>
      </w:r>
      <w:r>
        <w:rPr>
          <w:rFonts w:cs="Times New Roman"/>
          <w:lang w:val="fr-CA"/>
        </w:rPr>
        <w:t xml:space="preserve"> prouvait </w:t>
      </w:r>
      <w:r w:rsidRPr="0080058A">
        <w:rPr>
          <w:rFonts w:cs="Times New Roman"/>
          <w:lang w:val="fr-CA"/>
        </w:rPr>
        <w:t>que l</w:t>
      </w:r>
      <w:r>
        <w:rPr>
          <w:rFonts w:cs="Times New Roman"/>
          <w:lang w:val="fr-CA"/>
        </w:rPr>
        <w:t>’</w:t>
      </w:r>
      <w:r w:rsidRPr="0080058A">
        <w:rPr>
          <w:rFonts w:cs="Times New Roman"/>
          <w:lang w:val="fr-CA"/>
        </w:rPr>
        <w:t>enquête menée par l</w:t>
      </w:r>
      <w:r>
        <w:rPr>
          <w:rFonts w:cs="Times New Roman"/>
          <w:lang w:val="fr-CA"/>
        </w:rPr>
        <w:t>’</w:t>
      </w:r>
      <w:r w:rsidRPr="0080058A">
        <w:rPr>
          <w:rFonts w:cs="Times New Roman"/>
          <w:lang w:val="fr-CA"/>
        </w:rPr>
        <w:t xml:space="preserve">Inde </w:t>
      </w:r>
      <w:r>
        <w:rPr>
          <w:rFonts w:cs="Times New Roman"/>
          <w:lang w:val="fr-CA"/>
        </w:rPr>
        <w:t xml:space="preserve">à l’endroit </w:t>
      </w:r>
      <w:r w:rsidRPr="0080058A">
        <w:rPr>
          <w:rFonts w:cs="Times New Roman"/>
          <w:lang w:val="fr-CA"/>
        </w:rPr>
        <w:t>de M. Badesha, de M</w:t>
      </w:r>
      <w:r w:rsidRPr="0080058A">
        <w:rPr>
          <w:rFonts w:cs="Times New Roman"/>
          <w:vertAlign w:val="superscript"/>
          <w:lang w:val="fr-CA"/>
        </w:rPr>
        <w:t>me</w:t>
      </w:r>
      <w:r w:rsidRPr="0080058A">
        <w:rPr>
          <w:rFonts w:cs="Times New Roman"/>
          <w:lang w:val="fr-CA"/>
        </w:rPr>
        <w:t xml:space="preserve"> Sidhu ou </w:t>
      </w:r>
      <w:r>
        <w:rPr>
          <w:rFonts w:cs="Times New Roman"/>
          <w:lang w:val="fr-CA"/>
        </w:rPr>
        <w:t xml:space="preserve">de l’un </w:t>
      </w:r>
      <w:r w:rsidRPr="0080058A">
        <w:rPr>
          <w:rFonts w:cs="Times New Roman"/>
          <w:lang w:val="fr-CA"/>
        </w:rPr>
        <w:t xml:space="preserve">des </w:t>
      </w:r>
      <w:r>
        <w:rPr>
          <w:rFonts w:cs="Times New Roman"/>
          <w:lang w:val="fr-CA"/>
        </w:rPr>
        <w:t xml:space="preserve">onze </w:t>
      </w:r>
      <w:r w:rsidRPr="0080058A">
        <w:rPr>
          <w:rFonts w:cs="Times New Roman"/>
          <w:lang w:val="fr-CA"/>
        </w:rPr>
        <w:t xml:space="preserve">coaccusés dans </w:t>
      </w:r>
      <w:r>
        <w:rPr>
          <w:rFonts w:cs="Times New Roman"/>
          <w:lang w:val="fr-CA"/>
        </w:rPr>
        <w:t>la présente</w:t>
      </w:r>
      <w:r w:rsidRPr="0080058A">
        <w:rPr>
          <w:rFonts w:cs="Times New Roman"/>
          <w:lang w:val="fr-CA"/>
        </w:rPr>
        <w:t xml:space="preserve"> affaire était entachée de corruption d</w:t>
      </w:r>
      <w:r>
        <w:rPr>
          <w:rFonts w:cs="Times New Roman"/>
          <w:lang w:val="fr-CA"/>
        </w:rPr>
        <w:t>’</w:t>
      </w:r>
      <w:r w:rsidRPr="0080058A">
        <w:rPr>
          <w:rFonts w:cs="Times New Roman"/>
          <w:lang w:val="fr-CA"/>
        </w:rPr>
        <w:t>intimidation ou de torture. Rien ne p</w:t>
      </w:r>
      <w:r>
        <w:rPr>
          <w:rFonts w:cs="Times New Roman"/>
          <w:lang w:val="fr-CA"/>
        </w:rPr>
        <w:t xml:space="preserve">rouvait </w:t>
      </w:r>
      <w:r w:rsidRPr="0080058A">
        <w:rPr>
          <w:rFonts w:cs="Times New Roman"/>
          <w:lang w:val="fr-CA"/>
        </w:rPr>
        <w:t xml:space="preserve">non plus que les sept coaccusés reconnus coupables </w:t>
      </w:r>
      <w:r>
        <w:rPr>
          <w:rFonts w:cs="Times New Roman"/>
          <w:lang w:val="fr-CA"/>
        </w:rPr>
        <w:t xml:space="preserve">à l’issue de leur </w:t>
      </w:r>
      <w:r w:rsidRPr="0080058A">
        <w:rPr>
          <w:rFonts w:cs="Times New Roman"/>
          <w:lang w:val="fr-CA"/>
        </w:rPr>
        <w:t xml:space="preserve">procès avaient subi de mauvais traitements </w:t>
      </w:r>
      <w:r>
        <w:rPr>
          <w:rFonts w:cs="Times New Roman"/>
          <w:lang w:val="fr-CA"/>
        </w:rPr>
        <w:t xml:space="preserve">pendant leur incarcération </w:t>
      </w:r>
      <w:r w:rsidRPr="0080058A">
        <w:rPr>
          <w:rFonts w:cs="Times New Roman"/>
          <w:lang w:val="fr-CA"/>
        </w:rPr>
        <w:t>en Inde. Il n</w:t>
      </w:r>
      <w:r>
        <w:rPr>
          <w:rFonts w:cs="Times New Roman"/>
          <w:lang w:val="fr-CA"/>
        </w:rPr>
        <w:t>’</w:t>
      </w:r>
      <w:r w:rsidRPr="0080058A">
        <w:rPr>
          <w:rFonts w:cs="Times New Roman"/>
          <w:lang w:val="fr-CA"/>
        </w:rPr>
        <w:t>y avait par ailleurs aucun</w:t>
      </w:r>
      <w:r>
        <w:rPr>
          <w:rFonts w:cs="Times New Roman"/>
          <w:lang w:val="fr-CA"/>
        </w:rPr>
        <w:t xml:space="preserve">e </w:t>
      </w:r>
      <w:r w:rsidRPr="0080058A">
        <w:rPr>
          <w:rFonts w:cs="Times New Roman"/>
          <w:lang w:val="fr-CA"/>
        </w:rPr>
        <w:t>preuve</w:t>
      </w:r>
      <w:r>
        <w:rPr>
          <w:rFonts w:cs="Times New Roman"/>
          <w:lang w:val="fr-CA"/>
        </w:rPr>
        <w:t xml:space="preserve"> établissant </w:t>
      </w:r>
      <w:r w:rsidRPr="0080058A">
        <w:rPr>
          <w:rFonts w:cs="Times New Roman"/>
          <w:lang w:val="fr-CA"/>
        </w:rPr>
        <w:t>que M</w:t>
      </w:r>
      <w:r w:rsidRPr="0080058A">
        <w:rPr>
          <w:rFonts w:cs="Times New Roman"/>
          <w:vertAlign w:val="superscript"/>
          <w:lang w:val="fr-CA"/>
        </w:rPr>
        <w:t>me</w:t>
      </w:r>
      <w:r w:rsidRPr="0080058A">
        <w:rPr>
          <w:rFonts w:cs="Times New Roman"/>
          <w:lang w:val="fr-CA"/>
        </w:rPr>
        <w:t xml:space="preserve"> Sidhu et M. Badesha présentaient des caractéristiques personnelles qui les situaient dans une catégorie de personnes qui </w:t>
      </w:r>
      <w:r>
        <w:rPr>
          <w:rFonts w:cs="Times New Roman"/>
          <w:lang w:val="fr-CA"/>
        </w:rPr>
        <w:t xml:space="preserve">seraient des </w:t>
      </w:r>
      <w:r w:rsidRPr="0080058A">
        <w:rPr>
          <w:rFonts w:cs="Times New Roman"/>
          <w:lang w:val="fr-CA"/>
        </w:rPr>
        <w:t xml:space="preserve">cibles </w:t>
      </w:r>
      <w:r>
        <w:rPr>
          <w:rFonts w:cs="Times New Roman"/>
          <w:lang w:val="fr-CA"/>
        </w:rPr>
        <w:t xml:space="preserve">privilégiées </w:t>
      </w:r>
      <w:r w:rsidRPr="0080058A">
        <w:rPr>
          <w:rFonts w:cs="Times New Roman"/>
          <w:lang w:val="fr-CA"/>
        </w:rPr>
        <w:t>de mauvais traitements en Inde en raison de leur</w:t>
      </w:r>
      <w:r>
        <w:rPr>
          <w:rFonts w:cs="Times New Roman"/>
          <w:lang w:val="fr-CA"/>
        </w:rPr>
        <w:t xml:space="preserve">s allégeances </w:t>
      </w:r>
      <w:r w:rsidRPr="0080058A">
        <w:rPr>
          <w:rFonts w:cs="Times New Roman"/>
          <w:lang w:val="fr-CA"/>
        </w:rPr>
        <w:t>politique</w:t>
      </w:r>
      <w:r>
        <w:rPr>
          <w:rFonts w:cs="Times New Roman"/>
          <w:lang w:val="fr-CA"/>
        </w:rPr>
        <w:t>s</w:t>
      </w:r>
      <w:r w:rsidRPr="0080058A">
        <w:rPr>
          <w:rFonts w:cs="Times New Roman"/>
          <w:lang w:val="fr-CA"/>
        </w:rPr>
        <w:t xml:space="preserve"> ou </w:t>
      </w:r>
      <w:r>
        <w:rPr>
          <w:rFonts w:cs="Times New Roman"/>
          <w:lang w:val="fr-CA"/>
        </w:rPr>
        <w:t xml:space="preserve">de leur appartenance </w:t>
      </w:r>
      <w:r w:rsidRPr="0080058A">
        <w:rPr>
          <w:rFonts w:cs="Times New Roman"/>
          <w:lang w:val="fr-CA"/>
        </w:rPr>
        <w:t xml:space="preserve">religieuse. </w:t>
      </w:r>
      <w:r>
        <w:rPr>
          <w:rFonts w:cs="Times New Roman"/>
          <w:lang w:val="fr-CA"/>
        </w:rPr>
        <w:t xml:space="preserve">Ces éléments de preuve précis quant aux risques que courent personnellement </w:t>
      </w:r>
      <w:r w:rsidRPr="0080058A">
        <w:rPr>
          <w:rFonts w:cs="Times New Roman"/>
          <w:lang w:val="fr-CA"/>
        </w:rPr>
        <w:t>M</w:t>
      </w:r>
      <w:r w:rsidRPr="0080058A">
        <w:rPr>
          <w:rFonts w:cs="Times New Roman"/>
          <w:vertAlign w:val="superscript"/>
          <w:lang w:val="fr-CA"/>
        </w:rPr>
        <w:t>me</w:t>
      </w:r>
      <w:r w:rsidRPr="0080058A">
        <w:rPr>
          <w:rFonts w:cs="Times New Roman"/>
          <w:lang w:val="fr-CA"/>
        </w:rPr>
        <w:t xml:space="preserve"> Sidhu et M. Badesha </w:t>
      </w:r>
      <w:r>
        <w:rPr>
          <w:rFonts w:cs="Times New Roman"/>
          <w:lang w:val="fr-CA"/>
        </w:rPr>
        <w:t xml:space="preserve">n’étaient pas </w:t>
      </w:r>
      <w:r w:rsidRPr="00CA705B">
        <w:rPr>
          <w:rFonts w:cs="Times New Roman"/>
          <w:i/>
          <w:lang w:val="fr-CA"/>
        </w:rPr>
        <w:t>nécessaires</w:t>
      </w:r>
      <w:r>
        <w:rPr>
          <w:rFonts w:cs="Times New Roman"/>
          <w:lang w:val="fr-CA"/>
        </w:rPr>
        <w:t xml:space="preserve"> pour permettre au ministre de conclure à l’existence d’un risque sérieux de torture. Toutefois, si de tels éléments de preuve avaient été présentés, ils auraient milité en faveur d’une conclusion de risque sérieux. En l’espèce, aucune preuve en ce sens n’a été produite. </w:t>
      </w:r>
      <w:r w:rsidRPr="0080058A">
        <w:rPr>
          <w:rFonts w:cs="Times New Roman"/>
          <w:lang w:val="fr-CA"/>
        </w:rPr>
        <w:t xml:space="preserve">La présente situation doit être mise en contraste avec celle qui </w:t>
      </w:r>
      <w:r>
        <w:rPr>
          <w:rFonts w:cs="Times New Roman"/>
          <w:lang w:val="fr-CA"/>
        </w:rPr>
        <w:t xml:space="preserve">prévalait </w:t>
      </w:r>
      <w:r w:rsidRPr="0080058A">
        <w:rPr>
          <w:rFonts w:cs="Times New Roman"/>
          <w:lang w:val="fr-CA"/>
        </w:rPr>
        <w:t xml:space="preserve">dans </w:t>
      </w:r>
      <w:r>
        <w:rPr>
          <w:rFonts w:cs="Times New Roman"/>
          <w:i/>
          <w:lang w:val="fr-CA"/>
        </w:rPr>
        <w:t>Othman</w:t>
      </w:r>
      <w:r>
        <w:rPr>
          <w:rFonts w:cs="Times New Roman"/>
          <w:lang w:val="fr-CA"/>
        </w:rPr>
        <w:t xml:space="preserve">, où </w:t>
      </w:r>
      <w:r w:rsidRPr="0080058A">
        <w:rPr>
          <w:rFonts w:cs="Times New Roman"/>
          <w:lang w:val="fr-CA"/>
        </w:rPr>
        <w:t>la CEDH a jugé pertinent le fait que M. Qatada</w:t>
      </w:r>
      <w:r>
        <w:rPr>
          <w:rFonts w:cs="Times New Roman"/>
          <w:lang w:val="fr-CA"/>
        </w:rPr>
        <w:t xml:space="preserve">, </w:t>
      </w:r>
      <w:r w:rsidRPr="0080058A">
        <w:rPr>
          <w:rFonts w:cs="Times New Roman"/>
          <w:lang w:val="fr-CA"/>
        </w:rPr>
        <w:t>« </w:t>
      </w:r>
      <w:r w:rsidRPr="0080058A">
        <w:rPr>
          <w:rStyle w:val="sb8d990e2"/>
          <w:lang w:val="fr-CA"/>
        </w:rPr>
        <w:t>connu pour être un islamiste », faisait partie d</w:t>
      </w:r>
      <w:r>
        <w:rPr>
          <w:rStyle w:val="sb8d990e2"/>
          <w:lang w:val="fr-CA"/>
        </w:rPr>
        <w:t>’</w:t>
      </w:r>
      <w:r w:rsidRPr="0080058A">
        <w:rPr>
          <w:rStyle w:val="sb8d990e2"/>
          <w:lang w:val="fr-CA"/>
        </w:rPr>
        <w:t>une catégorie d</w:t>
      </w:r>
      <w:r>
        <w:rPr>
          <w:rStyle w:val="sb8d990e2"/>
          <w:lang w:val="fr-CA"/>
        </w:rPr>
        <w:t>’</w:t>
      </w:r>
      <w:r w:rsidRPr="0080058A">
        <w:rPr>
          <w:rStyle w:val="sb8d990e2"/>
          <w:lang w:val="fr-CA"/>
        </w:rPr>
        <w:t>individus souvent maltraités lorsqu</w:t>
      </w:r>
      <w:r>
        <w:rPr>
          <w:rStyle w:val="sb8d990e2"/>
          <w:lang w:val="fr-CA"/>
        </w:rPr>
        <w:t>’</w:t>
      </w:r>
      <w:r w:rsidRPr="0080058A">
        <w:rPr>
          <w:rStyle w:val="sb8d990e2"/>
          <w:lang w:val="fr-CA"/>
        </w:rPr>
        <w:t xml:space="preserve">ils sont détenus en Jordanie et affirmait y avoir déjà été torturé </w:t>
      </w:r>
      <w:r w:rsidRPr="0080058A">
        <w:rPr>
          <w:rFonts w:cs="Times New Roman"/>
          <w:lang w:val="fr-CA"/>
        </w:rPr>
        <w:t>(</w:t>
      </w:r>
      <w:r>
        <w:rPr>
          <w:rFonts w:cs="Times New Roman"/>
          <w:lang w:val="fr-CA"/>
        </w:rPr>
        <w:t>par. </w:t>
      </w:r>
      <w:r w:rsidRPr="0080058A">
        <w:rPr>
          <w:rFonts w:cs="Times New Roman"/>
          <w:lang w:val="fr-CA"/>
        </w:rPr>
        <w:t>192). D</w:t>
      </w:r>
      <w:r>
        <w:rPr>
          <w:rFonts w:cs="Times New Roman"/>
          <w:lang w:val="fr-CA"/>
        </w:rPr>
        <w:t xml:space="preserve">e </w:t>
      </w:r>
      <w:r w:rsidRPr="0080058A">
        <w:rPr>
          <w:rFonts w:cs="Times New Roman"/>
          <w:lang w:val="fr-CA"/>
        </w:rPr>
        <w:t>même, dans l</w:t>
      </w:r>
      <w:r>
        <w:rPr>
          <w:rFonts w:cs="Times New Roman"/>
          <w:lang w:val="fr-CA"/>
        </w:rPr>
        <w:t>’</w:t>
      </w:r>
      <w:r w:rsidRPr="0080058A">
        <w:rPr>
          <w:rFonts w:cs="Times New Roman"/>
          <w:lang w:val="fr-CA"/>
        </w:rPr>
        <w:t xml:space="preserve">arrêt </w:t>
      </w:r>
      <w:r w:rsidRPr="0080058A">
        <w:rPr>
          <w:rFonts w:cs="Times New Roman"/>
          <w:i/>
          <w:lang w:val="fr-CA"/>
        </w:rPr>
        <w:t>Chalal</w:t>
      </w:r>
      <w:r w:rsidRPr="0080058A">
        <w:rPr>
          <w:rFonts w:cs="Times New Roman"/>
          <w:lang w:val="fr-CA"/>
        </w:rPr>
        <w:t>, la CEDH a fait observer que M. Chalal, « </w:t>
      </w:r>
      <w:r w:rsidRPr="0080058A">
        <w:rPr>
          <w:rStyle w:val="sb8d990e2"/>
          <w:lang w:val="fr-CA"/>
        </w:rPr>
        <w:t xml:space="preserve">connu en Inde pour son soutien à la cause du séparatisme </w:t>
      </w:r>
      <w:r w:rsidRPr="0080058A">
        <w:rPr>
          <w:rStyle w:val="wordhighlighted"/>
          <w:lang w:val="fr-CA"/>
        </w:rPr>
        <w:t>sikh »</w:t>
      </w:r>
      <w:r>
        <w:rPr>
          <w:rStyle w:val="wordhighlighted"/>
          <w:lang w:val="fr-CA"/>
        </w:rPr>
        <w:t>,</w:t>
      </w:r>
      <w:r w:rsidRPr="0080058A">
        <w:rPr>
          <w:rStyle w:val="sb8d990e2"/>
          <w:lang w:val="fr-CA"/>
        </w:rPr>
        <w:t xml:space="preserve"> serait « la cible privilégiée des </w:t>
      </w:r>
      <w:r w:rsidRPr="0080058A">
        <w:rPr>
          <w:rStyle w:val="wordhighlighted"/>
          <w:lang w:val="fr-CA"/>
        </w:rPr>
        <w:t>éléments</w:t>
      </w:r>
      <w:r w:rsidRPr="0080058A">
        <w:rPr>
          <w:rStyle w:val="sb8d990e2"/>
          <w:lang w:val="fr-CA"/>
        </w:rPr>
        <w:t xml:space="preserve"> durs des </w:t>
      </w:r>
      <w:r w:rsidRPr="0080058A">
        <w:rPr>
          <w:rStyle w:val="wordhighlighted"/>
          <w:lang w:val="fr-CA"/>
        </w:rPr>
        <w:t>forces</w:t>
      </w:r>
      <w:r w:rsidRPr="0080058A">
        <w:rPr>
          <w:rStyle w:val="sb8d990e2"/>
          <w:lang w:val="fr-CA"/>
        </w:rPr>
        <w:t xml:space="preserve"> de sécurité qui ont pourchassé sans </w:t>
      </w:r>
      <w:r w:rsidRPr="0080058A">
        <w:rPr>
          <w:rStyle w:val="sb8d990e2"/>
          <w:lang w:val="fr-CA"/>
        </w:rPr>
        <w:lastRenderedPageBreak/>
        <w:t xml:space="preserve">merci les </w:t>
      </w:r>
      <w:r w:rsidRPr="0080058A">
        <w:rPr>
          <w:rStyle w:val="wordhighlighted"/>
          <w:lang w:val="fr-CA"/>
        </w:rPr>
        <w:t>militants</w:t>
      </w:r>
      <w:r w:rsidRPr="0080058A">
        <w:rPr>
          <w:rStyle w:val="sb8d990e2"/>
          <w:lang w:val="fr-CA"/>
        </w:rPr>
        <w:t xml:space="preserve"> </w:t>
      </w:r>
      <w:r w:rsidRPr="0080058A">
        <w:rPr>
          <w:rStyle w:val="wordhighlighted"/>
          <w:lang w:val="fr-CA"/>
        </w:rPr>
        <w:t>sikh</w:t>
      </w:r>
      <w:r w:rsidRPr="0080058A">
        <w:rPr>
          <w:rStyle w:val="sb8d990e2"/>
          <w:lang w:val="fr-CA"/>
        </w:rPr>
        <w:t xml:space="preserve">s par le passé » en Inde </w:t>
      </w:r>
      <w:r w:rsidRPr="0080058A">
        <w:rPr>
          <w:rFonts w:cs="Times New Roman"/>
          <w:lang w:val="fr-CA"/>
        </w:rPr>
        <w:t>(</w:t>
      </w:r>
      <w:r>
        <w:rPr>
          <w:rFonts w:cs="Times New Roman"/>
          <w:lang w:val="fr-CA"/>
        </w:rPr>
        <w:t>par. </w:t>
      </w:r>
      <w:r w:rsidRPr="0080058A">
        <w:rPr>
          <w:rFonts w:cs="Times New Roman"/>
          <w:lang w:val="fr-CA"/>
        </w:rPr>
        <w:t xml:space="preserve">106). </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Pris </w:t>
      </w:r>
      <w:r>
        <w:rPr>
          <w:rFonts w:cs="Times New Roman"/>
          <w:lang w:val="fr-CA"/>
        </w:rPr>
        <w:t>dans leur ensemble</w:t>
      </w:r>
      <w:r w:rsidRPr="0080058A">
        <w:rPr>
          <w:rFonts w:cs="Times New Roman"/>
          <w:lang w:val="fr-CA"/>
        </w:rPr>
        <w:t xml:space="preserve">, les facteurs sur lesquels le </w:t>
      </w:r>
      <w:r>
        <w:rPr>
          <w:rFonts w:cs="Times New Roman"/>
          <w:lang w:val="fr-CA"/>
        </w:rPr>
        <w:t>m</w:t>
      </w:r>
      <w:r w:rsidRPr="0080058A">
        <w:rPr>
          <w:rFonts w:cs="Times New Roman"/>
          <w:lang w:val="fr-CA"/>
        </w:rPr>
        <w:t>inistre s</w:t>
      </w:r>
      <w:r>
        <w:rPr>
          <w:rFonts w:cs="Times New Roman"/>
          <w:lang w:val="fr-CA"/>
        </w:rPr>
        <w:t>’</w:t>
      </w:r>
      <w:r w:rsidRPr="0080058A">
        <w:rPr>
          <w:rFonts w:cs="Times New Roman"/>
          <w:lang w:val="fr-CA"/>
        </w:rPr>
        <w:t xml:space="preserve">est fondé </w:t>
      </w:r>
      <w:r>
        <w:rPr>
          <w:rFonts w:cs="Times New Roman"/>
          <w:lang w:val="fr-CA"/>
        </w:rPr>
        <w:t>lui permettaient raisonnablement d</w:t>
      </w:r>
      <w:r w:rsidRPr="0080058A">
        <w:rPr>
          <w:rFonts w:cs="Times New Roman"/>
          <w:lang w:val="fr-CA"/>
        </w:rPr>
        <w:t>e conclure que les assurances fournies au sujet de la santé et de la sécurité répond</w:t>
      </w:r>
      <w:r>
        <w:rPr>
          <w:rFonts w:cs="Times New Roman"/>
          <w:lang w:val="fr-CA"/>
        </w:rPr>
        <w:t>r</w:t>
      </w:r>
      <w:r w:rsidRPr="0080058A">
        <w:rPr>
          <w:rFonts w:cs="Times New Roman"/>
          <w:lang w:val="fr-CA"/>
        </w:rPr>
        <w:t xml:space="preserve">aient véritablement aux préoccupations </w:t>
      </w:r>
      <w:r>
        <w:rPr>
          <w:rFonts w:cs="Times New Roman"/>
          <w:lang w:val="fr-CA"/>
        </w:rPr>
        <w:t>sur les</w:t>
      </w:r>
      <w:r w:rsidRPr="0080058A">
        <w:rPr>
          <w:rFonts w:cs="Times New Roman"/>
          <w:lang w:val="fr-CA"/>
        </w:rPr>
        <w:t xml:space="preserve">quelles elles étaient censées </w:t>
      </w:r>
      <w:r>
        <w:rPr>
          <w:rFonts w:cs="Times New Roman"/>
          <w:lang w:val="fr-CA"/>
        </w:rPr>
        <w:t xml:space="preserve">porter, </w:t>
      </w:r>
      <w:r w:rsidRPr="0080058A">
        <w:rPr>
          <w:rFonts w:cs="Times New Roman"/>
          <w:lang w:val="fr-CA"/>
        </w:rPr>
        <w:t>de sorte que l</w:t>
      </w:r>
      <w:r>
        <w:rPr>
          <w:rFonts w:cs="Times New Roman"/>
          <w:lang w:val="fr-CA"/>
        </w:rPr>
        <w:t>’</w:t>
      </w:r>
      <w:r w:rsidRPr="0080058A">
        <w:rPr>
          <w:rFonts w:cs="Times New Roman"/>
          <w:lang w:val="fr-CA"/>
        </w:rPr>
        <w:t>extradition de M. Badesha et de M</w:t>
      </w:r>
      <w:r w:rsidRPr="0080058A">
        <w:rPr>
          <w:rFonts w:cs="Times New Roman"/>
          <w:vertAlign w:val="superscript"/>
          <w:lang w:val="fr-CA"/>
        </w:rPr>
        <w:t>me</w:t>
      </w:r>
      <w:r w:rsidRPr="0080058A">
        <w:rPr>
          <w:rFonts w:cs="Times New Roman"/>
          <w:lang w:val="fr-CA"/>
        </w:rPr>
        <w:t xml:space="preserve"> Sidhu </w:t>
      </w:r>
      <w:r>
        <w:rPr>
          <w:rFonts w:cs="Times New Roman"/>
          <w:lang w:val="fr-CA"/>
        </w:rPr>
        <w:t>ne violerait pas d</w:t>
      </w:r>
      <w:r w:rsidRPr="0080058A">
        <w:rPr>
          <w:rFonts w:cs="Times New Roman"/>
          <w:lang w:val="fr-CA"/>
        </w:rPr>
        <w:t>es principes de justice fondamentale</w:t>
      </w:r>
      <w:r>
        <w:rPr>
          <w:rFonts w:cs="Times New Roman"/>
          <w:lang w:val="fr-CA"/>
        </w:rPr>
        <w:t xml:space="preserve"> </w:t>
      </w:r>
      <w:r w:rsidRPr="00C21024">
        <w:rPr>
          <w:rFonts w:cs="Times New Roman"/>
          <w:lang w:val="fr-CA"/>
        </w:rPr>
        <w:t>et ne serait pas par ailleurs injuste ou tyrannique</w:t>
      </w:r>
      <w:r w:rsidRPr="0080058A">
        <w:rPr>
          <w:rFonts w:cs="Times New Roman"/>
          <w:lang w:val="fr-CA"/>
        </w:rPr>
        <w:t>. La question que l</w:t>
      </w:r>
      <w:r>
        <w:rPr>
          <w:rFonts w:cs="Times New Roman"/>
          <w:lang w:val="fr-CA"/>
        </w:rPr>
        <w:t xml:space="preserve">e tribunal de révision </w:t>
      </w:r>
      <w:r w:rsidRPr="0080058A">
        <w:rPr>
          <w:rFonts w:cs="Times New Roman"/>
          <w:lang w:val="fr-CA"/>
        </w:rPr>
        <w:t>est appelé à se poser n</w:t>
      </w:r>
      <w:r>
        <w:rPr>
          <w:rFonts w:cs="Times New Roman"/>
          <w:lang w:val="fr-CA"/>
        </w:rPr>
        <w:t>’</w:t>
      </w:r>
      <w:r w:rsidRPr="0080058A">
        <w:rPr>
          <w:rFonts w:cs="Times New Roman"/>
          <w:lang w:val="fr-CA"/>
        </w:rPr>
        <w:t>est pas de savoir s</w:t>
      </w:r>
      <w:r>
        <w:rPr>
          <w:rFonts w:cs="Times New Roman"/>
          <w:lang w:val="fr-CA"/>
        </w:rPr>
        <w:t>’</w:t>
      </w:r>
      <w:r w:rsidRPr="0080058A">
        <w:rPr>
          <w:rFonts w:cs="Times New Roman"/>
          <w:lang w:val="fr-CA"/>
        </w:rPr>
        <w:t>il n</w:t>
      </w:r>
      <w:r>
        <w:rPr>
          <w:rFonts w:cs="Times New Roman"/>
          <w:lang w:val="fr-CA"/>
        </w:rPr>
        <w:t>’</w:t>
      </w:r>
      <w:r w:rsidRPr="0080058A">
        <w:rPr>
          <w:rFonts w:cs="Times New Roman"/>
          <w:lang w:val="fr-CA"/>
        </w:rPr>
        <w:t>y a aucune possibilité de torture ou de mauvais traitements</w:t>
      </w:r>
      <w:r>
        <w:rPr>
          <w:rFonts w:cs="Times New Roman"/>
          <w:lang w:val="fr-CA"/>
        </w:rPr>
        <w:t xml:space="preserve">, mais bien s’il était raisonnable pour le ministre de conclure qu’il n’y avait aucun </w:t>
      </w:r>
      <w:r w:rsidRPr="0080058A">
        <w:rPr>
          <w:rFonts w:cs="Times New Roman"/>
          <w:lang w:val="fr-CA"/>
        </w:rPr>
        <w:t xml:space="preserve">risque </w:t>
      </w:r>
      <w:r>
        <w:rPr>
          <w:rFonts w:cs="Times New Roman"/>
          <w:lang w:val="fr-CA"/>
        </w:rPr>
        <w:t xml:space="preserve">sérieux </w:t>
      </w:r>
      <w:r w:rsidRPr="0080058A">
        <w:rPr>
          <w:rFonts w:cs="Times New Roman"/>
          <w:lang w:val="fr-CA"/>
        </w:rPr>
        <w:t xml:space="preserve">de torture ou de mauvais traitements. </w:t>
      </w:r>
    </w:p>
    <w:p w:rsidR="00361B98" w:rsidRPr="0080058A" w:rsidRDefault="00361B98" w:rsidP="002B69A7">
      <w:pPr>
        <w:pStyle w:val="ParaNoNdepar-AltN"/>
        <w:widowControl w:val="0"/>
        <w:rPr>
          <w:rFonts w:cs="Times New Roman"/>
          <w:lang w:val="fr-CA"/>
        </w:rPr>
      </w:pPr>
      <w:r w:rsidRPr="0080058A">
        <w:rPr>
          <w:rFonts w:cs="Times New Roman"/>
          <w:lang w:val="fr-CA"/>
        </w:rPr>
        <w:t>À mon humble avis, la majorité de la Cour d</w:t>
      </w:r>
      <w:r>
        <w:rPr>
          <w:rFonts w:cs="Times New Roman"/>
          <w:lang w:val="fr-CA"/>
        </w:rPr>
        <w:t>’</w:t>
      </w:r>
      <w:r w:rsidRPr="0080058A">
        <w:rPr>
          <w:rFonts w:cs="Times New Roman"/>
          <w:lang w:val="fr-CA"/>
        </w:rPr>
        <w:t>appel n</w:t>
      </w:r>
      <w:r>
        <w:rPr>
          <w:rFonts w:cs="Times New Roman"/>
          <w:lang w:val="fr-CA"/>
        </w:rPr>
        <w:t>’</w:t>
      </w:r>
      <w:r w:rsidRPr="0080058A">
        <w:rPr>
          <w:rFonts w:cs="Times New Roman"/>
          <w:lang w:val="fr-CA"/>
        </w:rPr>
        <w:t>a pas</w:t>
      </w:r>
      <w:r>
        <w:rPr>
          <w:rFonts w:cs="Times New Roman"/>
          <w:lang w:val="fr-CA"/>
        </w:rPr>
        <w:t xml:space="preserve"> pris en compte les </w:t>
      </w:r>
      <w:r w:rsidRPr="0080058A">
        <w:rPr>
          <w:rFonts w:cs="Times New Roman"/>
          <w:lang w:val="fr-CA"/>
        </w:rPr>
        <w:t xml:space="preserve">nombreux facteurs qui, </w:t>
      </w:r>
      <w:r>
        <w:rPr>
          <w:rFonts w:cs="Times New Roman"/>
          <w:lang w:val="fr-CA"/>
        </w:rPr>
        <w:t>pris globalement</w:t>
      </w:r>
      <w:r w:rsidRPr="0080058A">
        <w:rPr>
          <w:rFonts w:cs="Times New Roman"/>
          <w:lang w:val="fr-CA"/>
        </w:rPr>
        <w:t xml:space="preserve">, permettaient raisonnablement au </w:t>
      </w:r>
      <w:r>
        <w:rPr>
          <w:rFonts w:cs="Times New Roman"/>
          <w:lang w:val="fr-CA"/>
        </w:rPr>
        <w:t>m</w:t>
      </w:r>
      <w:r w:rsidRPr="0080058A">
        <w:rPr>
          <w:rFonts w:cs="Times New Roman"/>
          <w:lang w:val="fr-CA"/>
        </w:rPr>
        <w:t>inistre de conclure que M. Badesha et M</w:t>
      </w:r>
      <w:r w:rsidRPr="0080058A">
        <w:rPr>
          <w:rFonts w:cs="Times New Roman"/>
          <w:vertAlign w:val="superscript"/>
          <w:lang w:val="fr-CA"/>
        </w:rPr>
        <w:t>me</w:t>
      </w:r>
      <w:r w:rsidRPr="0080058A">
        <w:rPr>
          <w:rFonts w:cs="Times New Roman"/>
          <w:lang w:val="fr-CA"/>
        </w:rPr>
        <w:t xml:space="preserve"> Sidhu ne </w:t>
      </w:r>
      <w:r>
        <w:rPr>
          <w:rFonts w:cs="Times New Roman"/>
          <w:lang w:val="fr-CA"/>
        </w:rPr>
        <w:t xml:space="preserve">courraient pas </w:t>
      </w:r>
      <w:r w:rsidRPr="0080058A">
        <w:rPr>
          <w:rFonts w:cs="Times New Roman"/>
          <w:lang w:val="fr-CA"/>
        </w:rPr>
        <w:t>un risque sérieux d</w:t>
      </w:r>
      <w:r>
        <w:rPr>
          <w:rFonts w:cs="Times New Roman"/>
          <w:lang w:val="fr-CA"/>
        </w:rPr>
        <w:t>’</w:t>
      </w:r>
      <w:r w:rsidRPr="0080058A">
        <w:rPr>
          <w:rFonts w:cs="Times New Roman"/>
          <w:lang w:val="fr-CA"/>
        </w:rPr>
        <w:t>être torturés ou de subir de mauvais traitements en Inde, compte tenu des assurances fournies par l</w:t>
      </w:r>
      <w:r>
        <w:rPr>
          <w:rFonts w:cs="Times New Roman"/>
          <w:lang w:val="fr-CA"/>
        </w:rPr>
        <w:t>’</w:t>
      </w:r>
      <w:r w:rsidRPr="0080058A">
        <w:rPr>
          <w:rFonts w:cs="Times New Roman"/>
          <w:lang w:val="fr-CA"/>
        </w:rPr>
        <w:t xml:space="preserve">Inde. En tirant une autre conclusion, les juges majoritaires ont effectivement substitué leur opinion à celle du </w:t>
      </w:r>
      <w:r>
        <w:rPr>
          <w:rFonts w:cs="Times New Roman"/>
          <w:lang w:val="fr-CA"/>
        </w:rPr>
        <w:t>m</w:t>
      </w:r>
      <w:r w:rsidRPr="0080058A">
        <w:rPr>
          <w:rFonts w:cs="Times New Roman"/>
          <w:lang w:val="fr-CA"/>
        </w:rPr>
        <w:t>inistre.</w:t>
      </w:r>
    </w:p>
    <w:p w:rsidR="00361B98" w:rsidRPr="0080058A" w:rsidRDefault="00361B98" w:rsidP="002B69A7">
      <w:pPr>
        <w:pStyle w:val="Title3LevelTitre3Niveau"/>
        <w:widowControl w:val="0"/>
        <w:numPr>
          <w:ilvl w:val="2"/>
          <w:numId w:val="24"/>
        </w:numPr>
        <w:rPr>
          <w:rFonts w:cs="Times New Roman"/>
          <w:lang w:val="fr-CA"/>
        </w:rPr>
      </w:pPr>
      <w:r w:rsidRPr="0080058A">
        <w:rPr>
          <w:rFonts w:cs="Times New Roman"/>
          <w:lang w:val="fr-CA"/>
        </w:rPr>
        <w:t xml:space="preserve">Le poids accordé par le </w:t>
      </w:r>
      <w:r>
        <w:rPr>
          <w:rFonts w:cs="Times New Roman"/>
          <w:lang w:val="fr-CA"/>
        </w:rPr>
        <w:t>m</w:t>
      </w:r>
      <w:r w:rsidRPr="0080058A">
        <w:rPr>
          <w:rFonts w:cs="Times New Roman"/>
          <w:lang w:val="fr-CA"/>
        </w:rPr>
        <w:t>inistre au</w:t>
      </w:r>
      <w:r>
        <w:rPr>
          <w:rFonts w:cs="Times New Roman"/>
          <w:lang w:val="fr-CA"/>
        </w:rPr>
        <w:t>x visites de</w:t>
      </w:r>
      <w:r w:rsidRPr="0080058A">
        <w:rPr>
          <w:rFonts w:cs="Times New Roman"/>
          <w:lang w:val="fr-CA"/>
        </w:rPr>
        <w:t xml:space="preserve"> contrôle consulaire</w:t>
      </w:r>
    </w:p>
    <w:p w:rsidR="00361B98" w:rsidRPr="0080058A" w:rsidRDefault="00361B98" w:rsidP="002B69A7">
      <w:pPr>
        <w:pStyle w:val="ParaNoNdepar-AltN"/>
        <w:widowControl w:val="0"/>
        <w:rPr>
          <w:rFonts w:cs="Times New Roman"/>
          <w:lang w:val="fr-CA"/>
        </w:rPr>
      </w:pPr>
      <w:r>
        <w:rPr>
          <w:rFonts w:cs="Times New Roman"/>
          <w:lang w:val="fr-CA"/>
        </w:rPr>
        <w:t xml:space="preserve">Soit dit en tout respect, </w:t>
      </w:r>
      <w:r w:rsidRPr="0080058A">
        <w:rPr>
          <w:rFonts w:cs="Times New Roman"/>
          <w:lang w:val="fr-CA"/>
        </w:rPr>
        <w:t>la majorité de la Cour d</w:t>
      </w:r>
      <w:r>
        <w:rPr>
          <w:rFonts w:cs="Times New Roman"/>
          <w:lang w:val="fr-CA"/>
        </w:rPr>
        <w:t>’</w:t>
      </w:r>
      <w:r w:rsidRPr="0080058A">
        <w:rPr>
          <w:rFonts w:cs="Times New Roman"/>
          <w:lang w:val="fr-CA"/>
        </w:rPr>
        <w:t xml:space="preserve">appel </w:t>
      </w:r>
      <w:r>
        <w:rPr>
          <w:rFonts w:cs="Times New Roman"/>
          <w:lang w:val="fr-CA"/>
        </w:rPr>
        <w:t xml:space="preserve">ne s’est pas non plus demandé </w:t>
      </w:r>
      <w:r w:rsidRPr="0080058A">
        <w:rPr>
          <w:rFonts w:cs="Times New Roman"/>
          <w:lang w:val="fr-CA"/>
        </w:rPr>
        <w:t xml:space="preserve">si, </w:t>
      </w:r>
      <w:r>
        <w:rPr>
          <w:rFonts w:cs="Times New Roman"/>
          <w:lang w:val="fr-CA"/>
        </w:rPr>
        <w:t xml:space="preserve">dans les </w:t>
      </w:r>
      <w:r w:rsidRPr="0080058A">
        <w:rPr>
          <w:rFonts w:cs="Times New Roman"/>
          <w:lang w:val="fr-CA"/>
        </w:rPr>
        <w:t>circonstances particulières de l</w:t>
      </w:r>
      <w:r>
        <w:rPr>
          <w:rFonts w:cs="Times New Roman"/>
          <w:lang w:val="fr-CA"/>
        </w:rPr>
        <w:t>’</w:t>
      </w:r>
      <w:r w:rsidRPr="0080058A">
        <w:rPr>
          <w:rFonts w:cs="Times New Roman"/>
          <w:lang w:val="fr-CA"/>
        </w:rPr>
        <w:t xml:space="preserve">espèce, </w:t>
      </w:r>
      <w:r>
        <w:rPr>
          <w:rFonts w:cs="Times New Roman"/>
          <w:lang w:val="fr-CA"/>
        </w:rPr>
        <w:t xml:space="preserve">il était raisonnable de la part du ministre de tenir compte du </w:t>
      </w:r>
      <w:r w:rsidRPr="0080058A">
        <w:rPr>
          <w:rFonts w:cs="Times New Roman"/>
          <w:lang w:val="fr-CA"/>
        </w:rPr>
        <w:t xml:space="preserve">contrôle consulaire </w:t>
      </w:r>
      <w:r>
        <w:rPr>
          <w:rFonts w:cs="Times New Roman"/>
          <w:lang w:val="fr-CA"/>
        </w:rPr>
        <w:t xml:space="preserve">pour conclure qu’il n’y avait </w:t>
      </w:r>
      <w:r>
        <w:rPr>
          <w:rFonts w:cs="Times New Roman"/>
          <w:lang w:val="fr-CA"/>
        </w:rPr>
        <w:lastRenderedPageBreak/>
        <w:t xml:space="preserve">pas de risque sérieux </w:t>
      </w:r>
      <w:r w:rsidRPr="0080058A">
        <w:rPr>
          <w:rFonts w:cs="Times New Roman"/>
          <w:lang w:val="fr-CA"/>
        </w:rPr>
        <w:t xml:space="preserve">de torture ou de mauvais traitements. Les juges majoritaires ont déclaré que </w:t>
      </w:r>
      <w:r>
        <w:rPr>
          <w:rFonts w:cs="Times New Roman"/>
          <w:lang w:val="fr-CA"/>
        </w:rPr>
        <w:t xml:space="preserve">le </w:t>
      </w:r>
      <w:r w:rsidRPr="0080058A">
        <w:rPr>
          <w:rFonts w:cs="Times New Roman"/>
          <w:lang w:val="fr-CA"/>
        </w:rPr>
        <w:t>contrôle consulaire [</w:t>
      </w:r>
      <w:r w:rsidRPr="0080058A">
        <w:rPr>
          <w:rFonts w:cs="Times New Roman"/>
          <w:smallCaps/>
          <w:lang w:val="fr-CA"/>
        </w:rPr>
        <w:t>traduction</w:t>
      </w:r>
      <w:r w:rsidRPr="0080058A">
        <w:rPr>
          <w:rFonts w:cs="Times New Roman"/>
          <w:lang w:val="fr-CA"/>
        </w:rPr>
        <w:t>] « </w:t>
      </w:r>
      <w:r>
        <w:rPr>
          <w:rFonts w:cs="Times New Roman"/>
          <w:lang w:val="fr-CA"/>
        </w:rPr>
        <w:t xml:space="preserve">atténue de façon limitée les </w:t>
      </w:r>
      <w:r w:rsidRPr="0080058A">
        <w:rPr>
          <w:rFonts w:cs="Times New Roman"/>
          <w:lang w:val="fr-CA"/>
        </w:rPr>
        <w:t>risques » de torture ou de mauvais traitements, parce que ceux</w:t>
      </w:r>
      <w:r>
        <w:rPr>
          <w:rFonts w:cs="Times New Roman"/>
          <w:lang w:val="fr-CA"/>
        </w:rPr>
        <w:noBreakHyphen/>
      </w:r>
      <w:r w:rsidRPr="0080058A">
        <w:rPr>
          <w:rFonts w:cs="Times New Roman"/>
          <w:lang w:val="fr-CA"/>
        </w:rPr>
        <w:t xml:space="preserve">ci </w:t>
      </w:r>
      <w:r>
        <w:rPr>
          <w:rFonts w:cs="Times New Roman"/>
          <w:lang w:val="fr-CA"/>
        </w:rPr>
        <w:t xml:space="preserve">sont souvent infligés en secret </w:t>
      </w:r>
      <w:r w:rsidRPr="0080058A">
        <w:rPr>
          <w:rFonts w:cs="Times New Roman"/>
          <w:lang w:val="fr-CA"/>
        </w:rPr>
        <w:t xml:space="preserve">et que </w:t>
      </w:r>
      <w:r>
        <w:rPr>
          <w:rFonts w:cs="Times New Roman"/>
          <w:lang w:val="fr-CA"/>
        </w:rPr>
        <w:t xml:space="preserve">leurs auteurs </w:t>
      </w:r>
      <w:r w:rsidRPr="0080058A">
        <w:rPr>
          <w:rFonts w:cs="Times New Roman"/>
          <w:lang w:val="fr-CA"/>
        </w:rPr>
        <w:t>sont passés maître</w:t>
      </w:r>
      <w:r>
        <w:rPr>
          <w:rFonts w:cs="Times New Roman"/>
          <w:lang w:val="fr-CA"/>
        </w:rPr>
        <w:t>s</w:t>
      </w:r>
      <w:r w:rsidRPr="0080058A">
        <w:rPr>
          <w:rFonts w:cs="Times New Roman"/>
          <w:lang w:val="fr-CA"/>
        </w:rPr>
        <w:t xml:space="preserve"> dans l</w:t>
      </w:r>
      <w:r>
        <w:rPr>
          <w:rFonts w:cs="Times New Roman"/>
          <w:lang w:val="fr-CA"/>
        </w:rPr>
        <w:t>’</w:t>
      </w:r>
      <w:r w:rsidRPr="0080058A">
        <w:rPr>
          <w:rFonts w:cs="Times New Roman"/>
          <w:lang w:val="fr-CA"/>
        </w:rPr>
        <w:t>art d</w:t>
      </w:r>
      <w:r>
        <w:rPr>
          <w:rFonts w:cs="Times New Roman"/>
          <w:lang w:val="fr-CA"/>
        </w:rPr>
        <w:t>’</w:t>
      </w:r>
      <w:r w:rsidRPr="0080058A">
        <w:rPr>
          <w:rFonts w:cs="Times New Roman"/>
          <w:lang w:val="fr-CA"/>
        </w:rPr>
        <w:t>e</w:t>
      </w:r>
      <w:r>
        <w:rPr>
          <w:rFonts w:cs="Times New Roman"/>
          <w:lang w:val="fr-CA"/>
        </w:rPr>
        <w:t>n</w:t>
      </w:r>
      <w:r w:rsidRPr="0080058A">
        <w:rPr>
          <w:rFonts w:cs="Times New Roman"/>
          <w:lang w:val="fr-CA"/>
        </w:rPr>
        <w:t xml:space="preserve"> dissimuler les signes visibles </w:t>
      </w:r>
      <w:r w:rsidR="007019CB">
        <w:rPr>
          <w:rFonts w:cs="Times New Roman"/>
          <w:lang w:val="fr-CA"/>
        </w:rPr>
        <w:t>d’éviter</w:t>
      </w:r>
      <w:r>
        <w:rPr>
          <w:rFonts w:cs="Times New Roman"/>
          <w:lang w:val="fr-CA"/>
        </w:rPr>
        <w:t xml:space="preserve"> </w:t>
      </w:r>
      <w:r w:rsidRPr="0080058A">
        <w:rPr>
          <w:rFonts w:cs="Times New Roman"/>
          <w:lang w:val="fr-CA"/>
        </w:rPr>
        <w:t>que les autorités so</w:t>
      </w:r>
      <w:r>
        <w:rPr>
          <w:rFonts w:cs="Times New Roman"/>
          <w:lang w:val="fr-CA"/>
        </w:rPr>
        <w:t>ie</w:t>
      </w:r>
      <w:r w:rsidRPr="0080058A">
        <w:rPr>
          <w:rFonts w:cs="Times New Roman"/>
          <w:lang w:val="fr-CA"/>
        </w:rPr>
        <w:t xml:space="preserve">nt alertées. </w:t>
      </w:r>
    </w:p>
    <w:p w:rsidR="00361B98" w:rsidRPr="0080058A" w:rsidRDefault="00361B98" w:rsidP="002B69A7">
      <w:pPr>
        <w:pStyle w:val="ParaNoNdepar-AltN"/>
        <w:widowControl w:val="0"/>
        <w:rPr>
          <w:rFonts w:cs="Times New Roman"/>
          <w:lang w:val="fr-CA"/>
        </w:rPr>
      </w:pPr>
      <w:r w:rsidRPr="0080058A">
        <w:rPr>
          <w:rFonts w:cs="Times New Roman"/>
          <w:lang w:val="fr-CA"/>
        </w:rPr>
        <w:t>Je ne conteste pas cette observation. Toutefois, la véritable question n</w:t>
      </w:r>
      <w:r>
        <w:rPr>
          <w:rFonts w:cs="Times New Roman"/>
          <w:lang w:val="fr-CA"/>
        </w:rPr>
        <w:t>’</w:t>
      </w:r>
      <w:r w:rsidRPr="0080058A">
        <w:rPr>
          <w:rFonts w:cs="Times New Roman"/>
          <w:lang w:val="fr-CA"/>
        </w:rPr>
        <w:t xml:space="preserve">est pas de savoir si le contrôle consulaire pourrait </w:t>
      </w:r>
      <w:r>
        <w:rPr>
          <w:rFonts w:cs="Times New Roman"/>
          <w:lang w:val="fr-CA"/>
        </w:rPr>
        <w:t xml:space="preserve">exclure toute possibilité de </w:t>
      </w:r>
      <w:r w:rsidRPr="0080058A">
        <w:rPr>
          <w:rFonts w:cs="Times New Roman"/>
          <w:lang w:val="fr-CA"/>
        </w:rPr>
        <w:t>torture ou de mauvais traitements, mais bien de savoir si l</w:t>
      </w:r>
      <w:r>
        <w:rPr>
          <w:rFonts w:cs="Times New Roman"/>
          <w:lang w:val="fr-CA"/>
        </w:rPr>
        <w:t>es visites d</w:t>
      </w:r>
      <w:r w:rsidRPr="0080058A">
        <w:rPr>
          <w:rFonts w:cs="Times New Roman"/>
          <w:lang w:val="fr-CA"/>
        </w:rPr>
        <w:t>e contrôle consulaire pourrai</w:t>
      </w:r>
      <w:r>
        <w:rPr>
          <w:rFonts w:cs="Times New Roman"/>
          <w:lang w:val="fr-CA"/>
        </w:rPr>
        <w:t>en</w:t>
      </w:r>
      <w:r w:rsidRPr="0080058A">
        <w:rPr>
          <w:rFonts w:cs="Times New Roman"/>
          <w:lang w:val="fr-CA"/>
        </w:rPr>
        <w:t xml:space="preserve">t </w:t>
      </w:r>
      <w:r>
        <w:rPr>
          <w:rFonts w:cs="Times New Roman"/>
          <w:lang w:val="fr-CA"/>
        </w:rPr>
        <w:t>jouer dans la conclusion du ministre selon laquelle M. </w:t>
      </w:r>
      <w:r w:rsidRPr="0080058A">
        <w:rPr>
          <w:rFonts w:cs="Times New Roman"/>
          <w:lang w:val="fr-CA"/>
        </w:rPr>
        <w:t>Badesha et M</w:t>
      </w:r>
      <w:r w:rsidRPr="0080058A">
        <w:rPr>
          <w:rFonts w:cs="Times New Roman"/>
          <w:vertAlign w:val="superscript"/>
          <w:lang w:val="fr-CA"/>
        </w:rPr>
        <w:t>me</w:t>
      </w:r>
      <w:r w:rsidRPr="0080058A">
        <w:rPr>
          <w:rFonts w:cs="Times New Roman"/>
          <w:lang w:val="fr-CA"/>
        </w:rPr>
        <w:t> Sidhu ne seraient pas exposés à un risque sérieux</w:t>
      </w:r>
      <w:r>
        <w:rPr>
          <w:rFonts w:cs="Times New Roman"/>
          <w:lang w:val="fr-CA"/>
        </w:rPr>
        <w:t xml:space="preserve"> de torture ou de </w:t>
      </w:r>
      <w:r w:rsidRPr="0080058A">
        <w:rPr>
          <w:rFonts w:cs="Times New Roman"/>
          <w:lang w:val="fr-CA"/>
        </w:rPr>
        <w:t>mauvais traitements</w:t>
      </w:r>
      <w:r>
        <w:rPr>
          <w:rFonts w:cs="Times New Roman"/>
          <w:lang w:val="fr-CA"/>
        </w:rPr>
        <w:t>.</w:t>
      </w:r>
      <w:r w:rsidRPr="0080058A">
        <w:rPr>
          <w:rFonts w:cs="Times New Roman"/>
          <w:lang w:val="fr-CA"/>
        </w:rPr>
        <w:t xml:space="preserve"> Dans certains cas, pour être efficace, il peut être nécessaire que le contrôle soit </w:t>
      </w:r>
      <w:r>
        <w:rPr>
          <w:rFonts w:cs="Times New Roman"/>
          <w:lang w:val="fr-CA"/>
        </w:rPr>
        <w:t xml:space="preserve">assuré par </w:t>
      </w:r>
      <w:r w:rsidRPr="0080058A">
        <w:rPr>
          <w:rFonts w:cs="Times New Roman"/>
          <w:lang w:val="fr-CA"/>
        </w:rPr>
        <w:t xml:space="preserve">un organisme tiers ou </w:t>
      </w:r>
      <w:r>
        <w:rPr>
          <w:rFonts w:cs="Times New Roman"/>
          <w:lang w:val="fr-CA"/>
        </w:rPr>
        <w:t xml:space="preserve">qu’il soit assorti </w:t>
      </w:r>
      <w:r w:rsidRPr="0080058A">
        <w:rPr>
          <w:rFonts w:cs="Times New Roman"/>
          <w:lang w:val="fr-CA"/>
        </w:rPr>
        <w:t>d</w:t>
      </w:r>
      <w:r>
        <w:rPr>
          <w:rFonts w:cs="Times New Roman"/>
          <w:lang w:val="fr-CA"/>
        </w:rPr>
        <w:t>’</w:t>
      </w:r>
      <w:r w:rsidRPr="0080058A">
        <w:rPr>
          <w:rFonts w:cs="Times New Roman"/>
          <w:lang w:val="fr-CA"/>
        </w:rPr>
        <w:t>autres mécanismes de protection tels que des visites de contrôle aux détenus en privé et sans</w:t>
      </w:r>
      <w:r>
        <w:rPr>
          <w:rFonts w:cs="Times New Roman"/>
          <w:lang w:val="fr-CA"/>
        </w:rPr>
        <w:t xml:space="preserve"> préavis </w:t>
      </w:r>
      <w:r w:rsidRPr="0080058A">
        <w:rPr>
          <w:rFonts w:cs="Times New Roman"/>
          <w:lang w:val="fr-CA"/>
        </w:rPr>
        <w:t>faites par des experts formés à la détection des signes physiques et psychologiques de torture et de mauvais traitements (voir, p</w:t>
      </w:r>
      <w:r w:rsidR="0043196E">
        <w:rPr>
          <w:rFonts w:cs="Times New Roman"/>
          <w:lang w:val="fr-CA"/>
        </w:rPr>
        <w:t>.</w:t>
      </w:r>
      <w:r w:rsidRPr="0080058A">
        <w:rPr>
          <w:rFonts w:cs="Times New Roman"/>
          <w:lang w:val="fr-CA"/>
        </w:rPr>
        <w:t> ex., le contrôle convenu par la Jordanie et le Royaume</w:t>
      </w:r>
      <w:r>
        <w:rPr>
          <w:rFonts w:cs="Times New Roman"/>
          <w:lang w:val="fr-CA"/>
        </w:rPr>
        <w:noBreakHyphen/>
      </w:r>
      <w:r w:rsidRPr="0080058A">
        <w:rPr>
          <w:rFonts w:cs="Times New Roman"/>
          <w:lang w:val="fr-CA"/>
        </w:rPr>
        <w:t>Uni dans l</w:t>
      </w:r>
      <w:r>
        <w:rPr>
          <w:rFonts w:cs="Times New Roman"/>
          <w:lang w:val="fr-CA"/>
        </w:rPr>
        <w:t>’</w:t>
      </w:r>
      <w:r w:rsidRPr="0080058A">
        <w:rPr>
          <w:rFonts w:cs="Times New Roman"/>
          <w:lang w:val="fr-CA"/>
        </w:rPr>
        <w:t xml:space="preserve">affaire </w:t>
      </w:r>
      <w:r w:rsidRPr="0080058A">
        <w:rPr>
          <w:rFonts w:cs="Times New Roman"/>
          <w:i/>
          <w:lang w:val="fr-CA"/>
        </w:rPr>
        <w:t>Othman</w:t>
      </w:r>
      <w:r w:rsidRPr="0080058A">
        <w:rPr>
          <w:rFonts w:cs="Times New Roman"/>
          <w:lang w:val="fr-CA"/>
        </w:rPr>
        <w:t xml:space="preserve">, </w:t>
      </w:r>
      <w:r>
        <w:rPr>
          <w:rFonts w:cs="Times New Roman"/>
          <w:lang w:val="fr-CA"/>
        </w:rPr>
        <w:t>par. </w:t>
      </w:r>
      <w:r w:rsidRPr="0080058A">
        <w:rPr>
          <w:rFonts w:cs="Times New Roman"/>
          <w:lang w:val="fr-CA"/>
        </w:rPr>
        <w:t xml:space="preserve">77 et 81). Mais </w:t>
      </w:r>
      <w:r>
        <w:rPr>
          <w:rFonts w:cs="Times New Roman"/>
          <w:lang w:val="fr-CA"/>
        </w:rPr>
        <w:t>vu l</w:t>
      </w:r>
      <w:r w:rsidRPr="0080058A">
        <w:rPr>
          <w:rFonts w:cs="Times New Roman"/>
          <w:lang w:val="fr-CA"/>
        </w:rPr>
        <w:t>es circonstances de la présente affaire, notamment la volonté de l</w:t>
      </w:r>
      <w:r>
        <w:rPr>
          <w:rFonts w:cs="Times New Roman"/>
          <w:lang w:val="fr-CA"/>
        </w:rPr>
        <w:t>’</w:t>
      </w:r>
      <w:r w:rsidRPr="0080058A">
        <w:rPr>
          <w:rFonts w:cs="Times New Roman"/>
          <w:lang w:val="fr-CA"/>
        </w:rPr>
        <w:t xml:space="preserve">Inde de </w:t>
      </w:r>
      <w:r>
        <w:rPr>
          <w:rFonts w:cs="Times New Roman"/>
          <w:lang w:val="fr-CA"/>
        </w:rPr>
        <w:t xml:space="preserve">maintenir ses rapports </w:t>
      </w:r>
      <w:r w:rsidRPr="0080058A">
        <w:rPr>
          <w:rFonts w:cs="Times New Roman"/>
          <w:lang w:val="fr-CA"/>
        </w:rPr>
        <w:t>avec le Canada</w:t>
      </w:r>
      <w:r>
        <w:rPr>
          <w:rFonts w:cs="Times New Roman"/>
          <w:lang w:val="fr-CA"/>
        </w:rPr>
        <w:t xml:space="preserve"> dans le domaine de l’extradition</w:t>
      </w:r>
      <w:r w:rsidRPr="0080058A">
        <w:rPr>
          <w:rFonts w:cs="Times New Roman"/>
          <w:lang w:val="fr-CA"/>
        </w:rPr>
        <w:t xml:space="preserve"> et ses relations avec les autres signataires du traité, </w:t>
      </w:r>
      <w:r>
        <w:rPr>
          <w:rFonts w:cs="Times New Roman"/>
          <w:lang w:val="fr-CA"/>
        </w:rPr>
        <w:t xml:space="preserve">l’absence de preuve démontrant </w:t>
      </w:r>
      <w:r w:rsidRPr="0080058A">
        <w:rPr>
          <w:rFonts w:cs="Times New Roman"/>
          <w:lang w:val="fr-CA"/>
        </w:rPr>
        <w:t>que l</w:t>
      </w:r>
      <w:r>
        <w:rPr>
          <w:rFonts w:cs="Times New Roman"/>
          <w:lang w:val="fr-CA"/>
        </w:rPr>
        <w:t xml:space="preserve">’Inde </w:t>
      </w:r>
      <w:r w:rsidRPr="0080058A">
        <w:rPr>
          <w:rFonts w:cs="Times New Roman"/>
          <w:lang w:val="fr-CA"/>
        </w:rPr>
        <w:t xml:space="preserve">a </w:t>
      </w:r>
      <w:r>
        <w:rPr>
          <w:rFonts w:cs="Times New Roman"/>
          <w:lang w:val="fr-CA"/>
        </w:rPr>
        <w:t xml:space="preserve">déjà </w:t>
      </w:r>
      <w:r w:rsidRPr="0080058A">
        <w:rPr>
          <w:rFonts w:cs="Times New Roman"/>
          <w:lang w:val="fr-CA"/>
        </w:rPr>
        <w:t xml:space="preserve">fait défaut de respecter les assurances données à </w:t>
      </w:r>
      <w:r>
        <w:rPr>
          <w:rFonts w:cs="Times New Roman"/>
          <w:lang w:val="fr-CA"/>
        </w:rPr>
        <w:t xml:space="preserve">ses </w:t>
      </w:r>
      <w:r w:rsidRPr="0080058A">
        <w:rPr>
          <w:rFonts w:cs="Times New Roman"/>
          <w:lang w:val="fr-CA"/>
        </w:rPr>
        <w:t xml:space="preserve">partenaires, et </w:t>
      </w:r>
      <w:r>
        <w:rPr>
          <w:rFonts w:cs="Times New Roman"/>
          <w:lang w:val="fr-CA"/>
        </w:rPr>
        <w:t xml:space="preserve">l’absence </w:t>
      </w:r>
      <w:r w:rsidRPr="0080058A">
        <w:rPr>
          <w:rFonts w:cs="Times New Roman"/>
          <w:lang w:val="fr-CA"/>
        </w:rPr>
        <w:t>de preuve que M. Badesha et M</w:t>
      </w:r>
      <w:r w:rsidRPr="0080058A">
        <w:rPr>
          <w:rFonts w:cs="Times New Roman"/>
          <w:vertAlign w:val="superscript"/>
          <w:lang w:val="fr-CA"/>
        </w:rPr>
        <w:t>me</w:t>
      </w:r>
      <w:r w:rsidRPr="0080058A">
        <w:rPr>
          <w:rFonts w:cs="Times New Roman"/>
          <w:lang w:val="fr-CA"/>
        </w:rPr>
        <w:t xml:space="preserve"> Sidhu avaient des </w:t>
      </w:r>
      <w:r>
        <w:rPr>
          <w:rFonts w:cs="Times New Roman"/>
          <w:lang w:val="fr-CA"/>
        </w:rPr>
        <w:t xml:space="preserve">allégeances politiques ou une appartenance </w:t>
      </w:r>
      <w:r w:rsidRPr="0080058A">
        <w:rPr>
          <w:rFonts w:cs="Times New Roman"/>
          <w:lang w:val="fr-CA"/>
        </w:rPr>
        <w:t xml:space="preserve">religieuse qui les rendraient particulièrement vulnérables à la torture ou à de mauvais traitements, il était </w:t>
      </w:r>
      <w:r w:rsidRPr="0080058A">
        <w:rPr>
          <w:rFonts w:cs="Times New Roman"/>
          <w:lang w:val="fr-CA"/>
        </w:rPr>
        <w:lastRenderedPageBreak/>
        <w:t xml:space="preserve">raisonnable de la part du </w:t>
      </w:r>
      <w:r>
        <w:rPr>
          <w:rFonts w:cs="Times New Roman"/>
          <w:lang w:val="fr-CA"/>
        </w:rPr>
        <w:t>m</w:t>
      </w:r>
      <w:r w:rsidRPr="0080058A">
        <w:rPr>
          <w:rFonts w:cs="Times New Roman"/>
          <w:lang w:val="fr-CA"/>
        </w:rPr>
        <w:t xml:space="preserve">inistre de </w:t>
      </w:r>
      <w:r>
        <w:rPr>
          <w:rFonts w:cs="Times New Roman"/>
          <w:lang w:val="fr-CA"/>
        </w:rPr>
        <w:t xml:space="preserve">tenir compte des visites de </w:t>
      </w:r>
      <w:r w:rsidRPr="0080058A">
        <w:rPr>
          <w:rFonts w:cs="Times New Roman"/>
          <w:lang w:val="fr-CA"/>
        </w:rPr>
        <w:t xml:space="preserve">contrôle consulaire </w:t>
      </w:r>
      <w:r>
        <w:rPr>
          <w:rFonts w:cs="Times New Roman"/>
          <w:lang w:val="fr-CA"/>
        </w:rPr>
        <w:t xml:space="preserve">pour conclure qu’il n’y avait pas de </w:t>
      </w:r>
      <w:r w:rsidRPr="0080058A">
        <w:rPr>
          <w:rFonts w:cs="Times New Roman"/>
          <w:lang w:val="fr-CA"/>
        </w:rPr>
        <w:t xml:space="preserve">risque </w:t>
      </w:r>
      <w:r>
        <w:rPr>
          <w:rFonts w:cs="Times New Roman"/>
          <w:lang w:val="fr-CA"/>
        </w:rPr>
        <w:t xml:space="preserve">sérieux </w:t>
      </w:r>
      <w:r w:rsidRPr="0080058A">
        <w:rPr>
          <w:rFonts w:cs="Times New Roman"/>
          <w:lang w:val="fr-CA"/>
        </w:rPr>
        <w:t xml:space="preserve">de torture ou de mauvais traitements. </w:t>
      </w:r>
    </w:p>
    <w:p w:rsidR="00361B98" w:rsidRPr="0080058A" w:rsidRDefault="00361B98" w:rsidP="002B69A7">
      <w:pPr>
        <w:pStyle w:val="Title1LevelTitre1Niveau-AltL"/>
        <w:widowControl w:val="0"/>
        <w:rPr>
          <w:rFonts w:cs="Times New Roman"/>
          <w:lang w:val="fr-CA"/>
        </w:rPr>
      </w:pPr>
      <w:r w:rsidRPr="0080058A">
        <w:rPr>
          <w:rFonts w:cs="Times New Roman"/>
          <w:lang w:val="fr-CA"/>
        </w:rPr>
        <w:t>Conclusion</w:t>
      </w:r>
    </w:p>
    <w:p w:rsidR="00361B98" w:rsidRPr="0080058A" w:rsidRDefault="00361B98" w:rsidP="002B69A7">
      <w:pPr>
        <w:pStyle w:val="ParaNoNdepar-AltN"/>
        <w:widowControl w:val="0"/>
        <w:rPr>
          <w:rFonts w:cs="Times New Roman"/>
          <w:lang w:val="fr-CA"/>
        </w:rPr>
      </w:pPr>
      <w:r>
        <w:rPr>
          <w:rFonts w:cs="Times New Roman"/>
          <w:lang w:val="fr-CA"/>
        </w:rPr>
        <w:t xml:space="preserve">Eu égard aux </w:t>
      </w:r>
      <w:r w:rsidRPr="0080058A">
        <w:rPr>
          <w:rFonts w:cs="Times New Roman"/>
          <w:lang w:val="fr-CA"/>
        </w:rPr>
        <w:t>facteurs</w:t>
      </w:r>
      <w:r>
        <w:rPr>
          <w:rFonts w:cs="Times New Roman"/>
          <w:lang w:val="fr-CA"/>
        </w:rPr>
        <w:t xml:space="preserve"> dont le m</w:t>
      </w:r>
      <w:r w:rsidRPr="0080058A">
        <w:rPr>
          <w:rFonts w:cs="Times New Roman"/>
          <w:lang w:val="fr-CA"/>
        </w:rPr>
        <w:t>inistre a</w:t>
      </w:r>
      <w:r>
        <w:rPr>
          <w:rFonts w:cs="Times New Roman"/>
          <w:lang w:val="fr-CA"/>
        </w:rPr>
        <w:t xml:space="preserve"> tenu compte </w:t>
      </w:r>
      <w:r w:rsidRPr="0080058A">
        <w:rPr>
          <w:rFonts w:cs="Times New Roman"/>
          <w:lang w:val="fr-CA"/>
        </w:rPr>
        <w:t xml:space="preserve">et des circonstances de la présente affaire, </w:t>
      </w:r>
      <w:r>
        <w:rPr>
          <w:rFonts w:cs="Times New Roman"/>
          <w:lang w:val="fr-CA"/>
        </w:rPr>
        <w:t>s</w:t>
      </w:r>
      <w:r w:rsidRPr="0080058A">
        <w:rPr>
          <w:rFonts w:cs="Times New Roman"/>
          <w:lang w:val="fr-CA"/>
        </w:rPr>
        <w:t xml:space="preserve">a conclusion </w:t>
      </w:r>
      <w:r>
        <w:rPr>
          <w:rFonts w:cs="Times New Roman"/>
          <w:lang w:val="fr-CA"/>
        </w:rPr>
        <w:t xml:space="preserve">selon </w:t>
      </w:r>
      <w:r w:rsidRPr="0080058A">
        <w:rPr>
          <w:rFonts w:cs="Times New Roman"/>
          <w:lang w:val="fr-CA"/>
        </w:rPr>
        <w:t>laquelle M. Badesha et M</w:t>
      </w:r>
      <w:r w:rsidRPr="0080058A">
        <w:rPr>
          <w:rFonts w:cs="Times New Roman"/>
          <w:vertAlign w:val="superscript"/>
          <w:lang w:val="fr-CA"/>
        </w:rPr>
        <w:t>me</w:t>
      </w:r>
      <w:r w:rsidRPr="0080058A">
        <w:rPr>
          <w:rFonts w:cs="Times New Roman"/>
          <w:lang w:val="fr-CA"/>
        </w:rPr>
        <w:t xml:space="preserve"> Sidhu ne </w:t>
      </w:r>
      <w:r>
        <w:rPr>
          <w:rFonts w:cs="Times New Roman"/>
          <w:lang w:val="fr-CA"/>
        </w:rPr>
        <w:t>courraient</w:t>
      </w:r>
      <w:r w:rsidRPr="0080058A">
        <w:rPr>
          <w:rFonts w:cs="Times New Roman"/>
          <w:lang w:val="fr-CA"/>
        </w:rPr>
        <w:t xml:space="preserve"> pas un risque sérieux de torture ou de mauvais traitements pendant leur incarcération en Inde était raisonnable. L</w:t>
      </w:r>
      <w:r>
        <w:rPr>
          <w:rFonts w:cs="Times New Roman"/>
          <w:lang w:val="fr-CA"/>
        </w:rPr>
        <w:t>’</w:t>
      </w:r>
      <w:r w:rsidRPr="0080058A">
        <w:rPr>
          <w:rFonts w:cs="Times New Roman"/>
          <w:lang w:val="fr-CA"/>
        </w:rPr>
        <w:t xml:space="preserve">autre conclusion que le </w:t>
      </w:r>
      <w:r>
        <w:rPr>
          <w:rFonts w:cs="Times New Roman"/>
          <w:lang w:val="fr-CA"/>
        </w:rPr>
        <w:t>m</w:t>
      </w:r>
      <w:r w:rsidRPr="0080058A">
        <w:rPr>
          <w:rFonts w:cs="Times New Roman"/>
          <w:lang w:val="fr-CA"/>
        </w:rPr>
        <w:t>inistre a tirée en se fondant sur l</w:t>
      </w:r>
      <w:r>
        <w:rPr>
          <w:rFonts w:cs="Times New Roman"/>
          <w:lang w:val="fr-CA"/>
        </w:rPr>
        <w:t>’</w:t>
      </w:r>
      <w:r w:rsidRPr="0080058A">
        <w:rPr>
          <w:rFonts w:cs="Times New Roman"/>
          <w:lang w:val="fr-CA"/>
        </w:rPr>
        <w:t>ensemble des faits</w:t>
      </w:r>
      <w:r>
        <w:rPr>
          <w:rFonts w:cs="Times New Roman"/>
          <w:lang w:val="fr-CA"/>
        </w:rPr>
        <w:t xml:space="preserve">, en l’occurrence celle suivant laquelle </w:t>
      </w:r>
      <w:r w:rsidRPr="0080058A">
        <w:rPr>
          <w:rFonts w:cs="Times New Roman"/>
          <w:lang w:val="fr-CA"/>
        </w:rPr>
        <w:t>l</w:t>
      </w:r>
      <w:r>
        <w:rPr>
          <w:rFonts w:cs="Times New Roman"/>
          <w:lang w:val="fr-CA"/>
        </w:rPr>
        <w:t>’</w:t>
      </w:r>
      <w:r w:rsidRPr="0080058A">
        <w:rPr>
          <w:rFonts w:cs="Times New Roman"/>
          <w:lang w:val="fr-CA"/>
        </w:rPr>
        <w:t>extradition ne serait par ail</w:t>
      </w:r>
      <w:r>
        <w:rPr>
          <w:rFonts w:cs="Times New Roman"/>
          <w:lang w:val="fr-CA"/>
        </w:rPr>
        <w:t xml:space="preserve">leurs pas injuste ou tyrannique, </w:t>
      </w:r>
      <w:r w:rsidRPr="0080058A">
        <w:rPr>
          <w:rFonts w:cs="Times New Roman"/>
          <w:lang w:val="fr-CA"/>
        </w:rPr>
        <w:t xml:space="preserve">était également raisonnable. </w:t>
      </w:r>
      <w:r>
        <w:rPr>
          <w:rFonts w:cs="Times New Roman"/>
          <w:lang w:val="fr-CA"/>
        </w:rPr>
        <w:t>De l’avis du m</w:t>
      </w:r>
      <w:r w:rsidRPr="0080058A">
        <w:rPr>
          <w:rFonts w:cs="Times New Roman"/>
          <w:lang w:val="fr-CA"/>
        </w:rPr>
        <w:t>inistre,</w:t>
      </w:r>
      <w:r w:rsidRPr="00972066">
        <w:rPr>
          <w:rFonts w:cs="Times New Roman"/>
          <w:lang w:val="fr-CA"/>
        </w:rPr>
        <w:t xml:space="preserve"> </w:t>
      </w:r>
      <w:r w:rsidRPr="0080058A">
        <w:rPr>
          <w:rFonts w:cs="Times New Roman"/>
          <w:lang w:val="fr-CA"/>
        </w:rPr>
        <w:t xml:space="preserve">rien ne justifiait le Canada </w:t>
      </w:r>
      <w:r>
        <w:rPr>
          <w:rFonts w:cs="Times New Roman"/>
          <w:lang w:val="fr-CA"/>
        </w:rPr>
        <w:t>de refuser d’extrader</w:t>
      </w:r>
      <w:r w:rsidRPr="009E5953">
        <w:rPr>
          <w:rFonts w:cs="Times New Roman"/>
          <w:lang w:val="fr-CA"/>
        </w:rPr>
        <w:t xml:space="preserve"> </w:t>
      </w:r>
      <w:r w:rsidRPr="0080058A">
        <w:rPr>
          <w:rFonts w:cs="Times New Roman"/>
          <w:lang w:val="fr-CA"/>
        </w:rPr>
        <w:t>M. Badesha et M</w:t>
      </w:r>
      <w:r w:rsidRPr="0080058A">
        <w:rPr>
          <w:rFonts w:cs="Times New Roman"/>
          <w:vertAlign w:val="superscript"/>
          <w:lang w:val="fr-CA"/>
        </w:rPr>
        <w:t>me</w:t>
      </w:r>
      <w:r w:rsidRPr="0080058A">
        <w:rPr>
          <w:rFonts w:cs="Times New Roman"/>
          <w:lang w:val="fr-CA"/>
        </w:rPr>
        <w:t> Sidhu</w:t>
      </w:r>
      <w:r>
        <w:rPr>
          <w:rFonts w:cs="Times New Roman"/>
          <w:lang w:val="fr-CA"/>
        </w:rPr>
        <w:t xml:space="preserve"> conformément au </w:t>
      </w:r>
      <w:r w:rsidRPr="0080058A">
        <w:rPr>
          <w:rFonts w:cs="Times New Roman"/>
          <w:lang w:val="fr-CA"/>
        </w:rPr>
        <w:t>traité d</w:t>
      </w:r>
      <w:r>
        <w:rPr>
          <w:rFonts w:cs="Times New Roman"/>
          <w:lang w:val="fr-CA"/>
        </w:rPr>
        <w:t>’</w:t>
      </w:r>
      <w:r w:rsidRPr="0080058A">
        <w:rPr>
          <w:rFonts w:cs="Times New Roman"/>
          <w:lang w:val="fr-CA"/>
        </w:rPr>
        <w:t>extradition qu</w:t>
      </w:r>
      <w:r>
        <w:rPr>
          <w:rFonts w:cs="Times New Roman"/>
          <w:lang w:val="fr-CA"/>
        </w:rPr>
        <w:t>’</w:t>
      </w:r>
      <w:r w:rsidRPr="0080058A">
        <w:rPr>
          <w:rFonts w:cs="Times New Roman"/>
          <w:lang w:val="fr-CA"/>
        </w:rPr>
        <w:t>il a</w:t>
      </w:r>
      <w:r>
        <w:rPr>
          <w:rFonts w:cs="Times New Roman"/>
          <w:lang w:val="fr-CA"/>
        </w:rPr>
        <w:t>vait</w:t>
      </w:r>
      <w:r w:rsidRPr="0080058A">
        <w:rPr>
          <w:rFonts w:cs="Times New Roman"/>
          <w:lang w:val="fr-CA"/>
        </w:rPr>
        <w:t xml:space="preserve"> conclu avec l</w:t>
      </w:r>
      <w:r>
        <w:rPr>
          <w:rFonts w:cs="Times New Roman"/>
          <w:lang w:val="fr-CA"/>
        </w:rPr>
        <w:t>’</w:t>
      </w:r>
      <w:r w:rsidRPr="0080058A">
        <w:rPr>
          <w:rFonts w:cs="Times New Roman"/>
          <w:lang w:val="fr-CA"/>
        </w:rPr>
        <w:t>Inde. La gravité de l</w:t>
      </w:r>
      <w:r>
        <w:rPr>
          <w:rFonts w:cs="Times New Roman"/>
          <w:lang w:val="fr-CA"/>
        </w:rPr>
        <w:t>’</w:t>
      </w:r>
      <w:r w:rsidRPr="0080058A">
        <w:rPr>
          <w:rFonts w:cs="Times New Roman"/>
          <w:lang w:val="fr-CA"/>
        </w:rPr>
        <w:t>infraction reprochée en l</w:t>
      </w:r>
      <w:r>
        <w:rPr>
          <w:rFonts w:cs="Times New Roman"/>
          <w:lang w:val="fr-CA"/>
        </w:rPr>
        <w:t>’</w:t>
      </w:r>
      <w:r w:rsidRPr="0080058A">
        <w:rPr>
          <w:rFonts w:cs="Times New Roman"/>
          <w:lang w:val="fr-CA"/>
        </w:rPr>
        <w:t xml:space="preserve">espèce était particulièrement pertinente aux yeux du </w:t>
      </w:r>
      <w:r>
        <w:rPr>
          <w:rFonts w:cs="Times New Roman"/>
          <w:lang w:val="fr-CA"/>
        </w:rPr>
        <w:t>m</w:t>
      </w:r>
      <w:r w:rsidRPr="0080058A">
        <w:rPr>
          <w:rFonts w:cs="Times New Roman"/>
          <w:lang w:val="fr-CA"/>
        </w:rPr>
        <w:t>inistre. M. Badesha et M</w:t>
      </w:r>
      <w:r w:rsidRPr="0080058A">
        <w:rPr>
          <w:rFonts w:cs="Times New Roman"/>
          <w:vertAlign w:val="superscript"/>
          <w:lang w:val="fr-CA"/>
        </w:rPr>
        <w:t>me</w:t>
      </w:r>
      <w:r w:rsidRPr="0080058A">
        <w:rPr>
          <w:rFonts w:cs="Times New Roman"/>
          <w:lang w:val="fr-CA"/>
        </w:rPr>
        <w:t> Sidhu sont recherchés en Inde pour un des actes criminels les plus horribles</w:t>
      </w:r>
      <w:r>
        <w:rPr>
          <w:rFonts w:cs="Times New Roman"/>
          <w:lang w:val="fr-CA"/>
        </w:rPr>
        <w:t xml:space="preserve"> qui soient</w:t>
      </w:r>
      <w:r w:rsidRPr="0080058A">
        <w:rPr>
          <w:rFonts w:cs="Times New Roman"/>
          <w:lang w:val="fr-CA"/>
        </w:rPr>
        <w:t xml:space="preserve">, celui </w:t>
      </w:r>
      <w:r>
        <w:rPr>
          <w:rFonts w:cs="Times New Roman"/>
          <w:lang w:val="fr-CA"/>
        </w:rPr>
        <w:t xml:space="preserve">de participation </w:t>
      </w:r>
      <w:r w:rsidRPr="0080058A">
        <w:rPr>
          <w:rFonts w:cs="Times New Roman"/>
          <w:lang w:val="fr-CA"/>
        </w:rPr>
        <w:t>à un complot visant à commettre un crime d</w:t>
      </w:r>
      <w:r>
        <w:rPr>
          <w:rFonts w:cs="Times New Roman"/>
          <w:lang w:val="fr-CA"/>
        </w:rPr>
        <w:t>’</w:t>
      </w:r>
      <w:r w:rsidRPr="0080058A">
        <w:rPr>
          <w:rFonts w:cs="Times New Roman"/>
          <w:lang w:val="fr-CA"/>
        </w:rPr>
        <w:t xml:space="preserve">honneur, </w:t>
      </w:r>
      <w:r>
        <w:rPr>
          <w:rFonts w:cs="Times New Roman"/>
          <w:lang w:val="fr-CA"/>
        </w:rPr>
        <w:t xml:space="preserve">l’assassinat d’un membre de leur </w:t>
      </w:r>
      <w:r w:rsidRPr="0080058A">
        <w:rPr>
          <w:rFonts w:cs="Times New Roman"/>
          <w:lang w:val="fr-CA"/>
        </w:rPr>
        <w:t xml:space="preserve">famille. Le </w:t>
      </w:r>
      <w:r>
        <w:rPr>
          <w:rFonts w:cs="Times New Roman"/>
          <w:lang w:val="fr-CA"/>
        </w:rPr>
        <w:t>m</w:t>
      </w:r>
      <w:r w:rsidRPr="0080058A">
        <w:rPr>
          <w:rFonts w:cs="Times New Roman"/>
          <w:lang w:val="fr-CA"/>
        </w:rPr>
        <w:t xml:space="preserve">inistre </w:t>
      </w:r>
      <w:r>
        <w:rPr>
          <w:rFonts w:cs="Times New Roman"/>
          <w:lang w:val="fr-CA"/>
        </w:rPr>
        <w:t xml:space="preserve">a signalé </w:t>
      </w:r>
      <w:r w:rsidRPr="0080058A">
        <w:rPr>
          <w:rFonts w:cs="Times New Roman"/>
          <w:lang w:val="fr-CA"/>
        </w:rPr>
        <w:t>que l</w:t>
      </w:r>
      <w:r>
        <w:rPr>
          <w:rFonts w:cs="Times New Roman"/>
          <w:lang w:val="fr-CA"/>
        </w:rPr>
        <w:t>’</w:t>
      </w:r>
      <w:r w:rsidRPr="0080058A">
        <w:rPr>
          <w:rFonts w:cs="Times New Roman"/>
          <w:lang w:val="fr-CA"/>
        </w:rPr>
        <w:t>infraction reprochée [</w:t>
      </w:r>
      <w:r w:rsidRPr="0080058A">
        <w:rPr>
          <w:rFonts w:cs="Times New Roman"/>
          <w:smallCaps/>
          <w:lang w:val="fr-CA"/>
        </w:rPr>
        <w:t>traduction</w:t>
      </w:r>
      <w:r>
        <w:rPr>
          <w:rFonts w:cs="Times New Roman"/>
          <w:lang w:val="fr-CA"/>
        </w:rPr>
        <w:t xml:space="preserve">] « fait intervenir </w:t>
      </w:r>
      <w:r w:rsidRPr="0080058A">
        <w:rPr>
          <w:rFonts w:cs="Times New Roman"/>
          <w:lang w:val="fr-CA"/>
        </w:rPr>
        <w:t>d</w:t>
      </w:r>
      <w:r>
        <w:rPr>
          <w:rFonts w:cs="Times New Roman"/>
          <w:lang w:val="fr-CA"/>
        </w:rPr>
        <w:t>’</w:t>
      </w:r>
      <w:r w:rsidRPr="0080058A">
        <w:rPr>
          <w:rFonts w:cs="Times New Roman"/>
          <w:lang w:val="fr-CA"/>
        </w:rPr>
        <w:t>abord et avant tout l</w:t>
      </w:r>
      <w:r>
        <w:rPr>
          <w:rFonts w:cs="Times New Roman"/>
          <w:lang w:val="fr-CA"/>
        </w:rPr>
        <w:t>’</w:t>
      </w:r>
      <w:r w:rsidRPr="0080058A">
        <w:rPr>
          <w:rFonts w:cs="Times New Roman"/>
          <w:lang w:val="fr-CA"/>
        </w:rPr>
        <w:t>intérêt qu</w:t>
      </w:r>
      <w:r>
        <w:rPr>
          <w:rFonts w:cs="Times New Roman"/>
          <w:lang w:val="fr-CA"/>
        </w:rPr>
        <w:t>’</w:t>
      </w:r>
      <w:r w:rsidRPr="0080058A">
        <w:rPr>
          <w:rFonts w:cs="Times New Roman"/>
          <w:lang w:val="fr-CA"/>
        </w:rPr>
        <w:t>a la République indienne à poursuivre » M. Badesha et M</w:t>
      </w:r>
      <w:r w:rsidRPr="0080058A">
        <w:rPr>
          <w:rFonts w:cs="Times New Roman"/>
          <w:vertAlign w:val="superscript"/>
          <w:lang w:val="fr-CA"/>
        </w:rPr>
        <w:t>me</w:t>
      </w:r>
      <w:r w:rsidRPr="0080058A">
        <w:rPr>
          <w:rFonts w:cs="Times New Roman"/>
          <w:lang w:val="fr-CA"/>
        </w:rPr>
        <w:t> Sidhu et il a souligné</w:t>
      </w:r>
      <w:r>
        <w:rPr>
          <w:rFonts w:cs="Times New Roman"/>
          <w:lang w:val="fr-CA"/>
        </w:rPr>
        <w:t xml:space="preserve"> </w:t>
      </w:r>
      <w:r w:rsidRPr="0080058A">
        <w:rPr>
          <w:rFonts w:cs="Times New Roman"/>
          <w:lang w:val="fr-CA"/>
        </w:rPr>
        <w:t>« </w:t>
      </w:r>
      <w:r>
        <w:rPr>
          <w:rFonts w:cs="Times New Roman"/>
          <w:lang w:val="fr-CA"/>
        </w:rPr>
        <w:t xml:space="preserve">l’importance que </w:t>
      </w:r>
      <w:r w:rsidRPr="0080058A">
        <w:rPr>
          <w:rFonts w:cs="Times New Roman"/>
          <w:lang w:val="fr-CA"/>
        </w:rPr>
        <w:t xml:space="preserve">justice soit rendue sur </w:t>
      </w:r>
      <w:r>
        <w:rPr>
          <w:rFonts w:cs="Times New Roman"/>
          <w:lang w:val="fr-CA"/>
        </w:rPr>
        <w:t>le territoire indien </w:t>
      </w:r>
      <w:r w:rsidRPr="0080058A">
        <w:rPr>
          <w:rFonts w:cs="Times New Roman"/>
          <w:lang w:val="fr-CA"/>
        </w:rPr>
        <w:t>».</w:t>
      </w:r>
    </w:p>
    <w:p w:rsidR="00361B98" w:rsidRPr="0080058A" w:rsidRDefault="00361B98" w:rsidP="002B69A7">
      <w:pPr>
        <w:pStyle w:val="ParaNoNdepar-AltN"/>
        <w:widowControl w:val="0"/>
        <w:rPr>
          <w:rFonts w:cs="Times New Roman"/>
          <w:lang w:val="fr-CA"/>
        </w:rPr>
      </w:pPr>
      <w:r w:rsidRPr="0080058A">
        <w:rPr>
          <w:rFonts w:cs="Times New Roman"/>
          <w:lang w:val="fr-CA"/>
        </w:rPr>
        <w:t xml:space="preserve">À mon avis, le </w:t>
      </w:r>
      <w:r>
        <w:rPr>
          <w:rFonts w:cs="Times New Roman"/>
          <w:lang w:val="fr-CA"/>
        </w:rPr>
        <w:t>m</w:t>
      </w:r>
      <w:r w:rsidRPr="0080058A">
        <w:rPr>
          <w:rFonts w:cs="Times New Roman"/>
          <w:lang w:val="fr-CA"/>
        </w:rPr>
        <w:t>inistre a tenu compte des faits pertinents et a tiré une conclusion susceptible de se justifier au regard de ces faits (</w:t>
      </w:r>
      <w:r w:rsidRPr="0080058A">
        <w:rPr>
          <w:rFonts w:cs="Times New Roman"/>
          <w:i/>
          <w:lang w:val="fr-CA"/>
        </w:rPr>
        <w:t>Lake</w:t>
      </w:r>
      <w:r w:rsidRPr="0080058A">
        <w:rPr>
          <w:rFonts w:cs="Times New Roman"/>
          <w:lang w:val="fr-CA"/>
        </w:rPr>
        <w:t xml:space="preserve">, </w:t>
      </w:r>
      <w:r>
        <w:rPr>
          <w:rFonts w:cs="Times New Roman"/>
          <w:lang w:val="fr-CA"/>
        </w:rPr>
        <w:t>par. </w:t>
      </w:r>
      <w:r w:rsidRPr="0080058A">
        <w:rPr>
          <w:rFonts w:cs="Times New Roman"/>
          <w:lang w:val="fr-CA"/>
        </w:rPr>
        <w:t>41). La décision du ministre d</w:t>
      </w:r>
      <w:r>
        <w:rPr>
          <w:rFonts w:cs="Times New Roman"/>
          <w:lang w:val="fr-CA"/>
        </w:rPr>
        <w:t>’</w:t>
      </w:r>
      <w:r w:rsidRPr="0080058A">
        <w:rPr>
          <w:rFonts w:cs="Times New Roman"/>
          <w:lang w:val="fr-CA"/>
        </w:rPr>
        <w:t>ordonner l</w:t>
      </w:r>
      <w:r>
        <w:rPr>
          <w:rFonts w:cs="Times New Roman"/>
          <w:lang w:val="fr-CA"/>
        </w:rPr>
        <w:t>’</w:t>
      </w:r>
      <w:r w:rsidRPr="0080058A">
        <w:rPr>
          <w:rFonts w:cs="Times New Roman"/>
          <w:lang w:val="fr-CA"/>
        </w:rPr>
        <w:t>extradition de M. Badesha et de M</w:t>
      </w:r>
      <w:r w:rsidRPr="0080058A">
        <w:rPr>
          <w:rFonts w:cs="Times New Roman"/>
          <w:vertAlign w:val="superscript"/>
          <w:lang w:val="fr-CA"/>
        </w:rPr>
        <w:t>me</w:t>
      </w:r>
      <w:r w:rsidRPr="0080058A">
        <w:rPr>
          <w:rFonts w:cs="Times New Roman"/>
          <w:lang w:val="fr-CA"/>
        </w:rPr>
        <w:t xml:space="preserve"> Sidhu </w:t>
      </w:r>
      <w:r>
        <w:rPr>
          <w:rFonts w:cs="Times New Roman"/>
          <w:lang w:val="fr-CA"/>
        </w:rPr>
        <w:t xml:space="preserve">se situait </w:t>
      </w:r>
      <w:r w:rsidRPr="0080058A">
        <w:rPr>
          <w:rFonts w:cs="Times New Roman"/>
          <w:lang w:val="fr-CA"/>
        </w:rPr>
        <w:t>donc</w:t>
      </w:r>
      <w:r>
        <w:rPr>
          <w:rFonts w:cs="Times New Roman"/>
          <w:lang w:val="fr-CA"/>
        </w:rPr>
        <w:t xml:space="preserve"> </w:t>
      </w:r>
      <w:r>
        <w:rPr>
          <w:rFonts w:cs="Times New Roman"/>
          <w:lang w:val="fr-CA"/>
        </w:rPr>
        <w:lastRenderedPageBreak/>
        <w:t xml:space="preserve">dans le cadre des </w:t>
      </w:r>
      <w:r w:rsidRPr="0080058A">
        <w:rPr>
          <w:rFonts w:cs="Times New Roman"/>
          <w:lang w:val="fr-CA"/>
        </w:rPr>
        <w:t>solutions raisonnables possibles (</w:t>
      </w:r>
      <w:r>
        <w:rPr>
          <w:rFonts w:cs="Times New Roman"/>
          <w:lang w:val="fr-CA"/>
        </w:rPr>
        <w:t>par. </w:t>
      </w:r>
      <w:r w:rsidRPr="0080058A">
        <w:rPr>
          <w:rFonts w:cs="Times New Roman"/>
          <w:lang w:val="fr-CA"/>
        </w:rPr>
        <w:t>41). Par conséquent, je suis d</w:t>
      </w:r>
      <w:r>
        <w:rPr>
          <w:rFonts w:cs="Times New Roman"/>
          <w:lang w:val="fr-CA"/>
        </w:rPr>
        <w:t>’</w:t>
      </w:r>
      <w:r w:rsidRPr="0080058A">
        <w:rPr>
          <w:rFonts w:cs="Times New Roman"/>
          <w:lang w:val="fr-CA"/>
        </w:rPr>
        <w:t>avis d</w:t>
      </w:r>
      <w:r>
        <w:rPr>
          <w:rFonts w:cs="Times New Roman"/>
          <w:lang w:val="fr-CA"/>
        </w:rPr>
        <w:t>’</w:t>
      </w:r>
      <w:r w:rsidRPr="0080058A">
        <w:rPr>
          <w:rFonts w:cs="Times New Roman"/>
          <w:lang w:val="fr-CA"/>
        </w:rPr>
        <w:t>accueillir le pourvoi et de rétablir les arrêtés d</w:t>
      </w:r>
      <w:r>
        <w:rPr>
          <w:rFonts w:cs="Times New Roman"/>
          <w:lang w:val="fr-CA"/>
        </w:rPr>
        <w:t>’</w:t>
      </w:r>
      <w:r w:rsidRPr="0080058A">
        <w:rPr>
          <w:rFonts w:cs="Times New Roman"/>
          <w:lang w:val="fr-CA"/>
        </w:rPr>
        <w:t xml:space="preserve">extradition </w:t>
      </w:r>
      <w:r>
        <w:rPr>
          <w:rFonts w:cs="Times New Roman"/>
          <w:lang w:val="fr-CA"/>
        </w:rPr>
        <w:t xml:space="preserve">du ministre visant </w:t>
      </w:r>
      <w:r w:rsidRPr="0080058A">
        <w:rPr>
          <w:rFonts w:cs="Times New Roman"/>
          <w:lang w:val="fr-CA"/>
        </w:rPr>
        <w:t>M. Badesha et M</w:t>
      </w:r>
      <w:r w:rsidRPr="0080058A">
        <w:rPr>
          <w:rFonts w:cs="Times New Roman"/>
          <w:vertAlign w:val="superscript"/>
          <w:lang w:val="fr-CA"/>
        </w:rPr>
        <w:t>me</w:t>
      </w:r>
      <w:r w:rsidRPr="0080058A">
        <w:rPr>
          <w:rFonts w:cs="Times New Roman"/>
          <w:lang w:val="fr-CA"/>
        </w:rPr>
        <w:t> Sidhu.</w:t>
      </w:r>
    </w:p>
    <w:p w:rsidR="004D7D95" w:rsidRPr="001B2930" w:rsidRDefault="004D7D95" w:rsidP="002B69A7">
      <w:pPr>
        <w:pStyle w:val="SCCNormalDoubleSpacing"/>
        <w:widowControl w:val="0"/>
        <w:spacing w:before="480" w:after="480"/>
        <w:rPr>
          <w:lang w:val="fr-CA"/>
        </w:rPr>
      </w:pPr>
      <w:r w:rsidRPr="00175C63">
        <w:rPr>
          <w:lang w:val="fr-CA"/>
        </w:rPr>
        <w:tab/>
      </w:r>
      <w:r w:rsidR="00142C42" w:rsidRPr="001B2930">
        <w:rPr>
          <w:i/>
          <w:lang w:val="fr-CA"/>
        </w:rPr>
        <w:t xml:space="preserve">Pourvoi </w:t>
      </w:r>
      <w:r w:rsidR="001107E1">
        <w:rPr>
          <w:i/>
          <w:lang w:val="fr-CA"/>
        </w:rPr>
        <w:t>accueilli</w:t>
      </w:r>
      <w:r w:rsidR="00142C42" w:rsidRPr="001B2930">
        <w:rPr>
          <w:i/>
          <w:lang w:val="fr-CA"/>
        </w:rPr>
        <w:t>.</w:t>
      </w:r>
    </w:p>
    <w:p w:rsidR="00142C42" w:rsidRPr="001F2E43" w:rsidRDefault="00142C42" w:rsidP="002B69A7">
      <w:pPr>
        <w:pStyle w:val="SCCLawFirm"/>
        <w:widowControl w:val="0"/>
        <w:spacing w:before="480" w:after="480"/>
        <w:rPr>
          <w:lang w:val="fr-CA"/>
        </w:rPr>
      </w:pPr>
      <w:r w:rsidRPr="001B2930">
        <w:rPr>
          <w:lang w:val="fr-CA"/>
        </w:rPr>
        <w:tab/>
      </w:r>
      <w:r w:rsidRPr="001F2E43">
        <w:rPr>
          <w:lang w:val="fr-CA"/>
        </w:rPr>
        <w:t>Procureur de l’appelant</w:t>
      </w:r>
      <w:r w:rsidR="005531D8">
        <w:rPr>
          <w:lang w:val="fr-CA"/>
        </w:rPr>
        <w:t> :</w:t>
      </w:r>
      <w:r w:rsidR="00BC4E44">
        <w:rPr>
          <w:lang w:val="fr-CA"/>
        </w:rPr>
        <w:t> </w:t>
      </w:r>
      <w:r w:rsidRPr="001F2E43">
        <w:rPr>
          <w:lang w:val="fr-CA"/>
        </w:rPr>
        <w:t>Procureur général du Canada, Ottawa.</w:t>
      </w:r>
    </w:p>
    <w:p w:rsidR="00142C42" w:rsidRPr="00175C63" w:rsidRDefault="00142C42" w:rsidP="002B69A7">
      <w:pPr>
        <w:pStyle w:val="SCCLawFirm"/>
        <w:widowControl w:val="0"/>
        <w:spacing w:before="480" w:after="480"/>
        <w:rPr>
          <w:lang w:val="fr-CA"/>
        </w:rPr>
      </w:pPr>
      <w:r w:rsidRPr="001F2E43">
        <w:rPr>
          <w:lang w:val="fr-CA"/>
        </w:rPr>
        <w:tab/>
      </w:r>
      <w:r>
        <w:rPr>
          <w:lang w:val="fr-CA"/>
        </w:rPr>
        <w:t>Procureur</w:t>
      </w:r>
      <w:r w:rsidRPr="00175C63">
        <w:rPr>
          <w:lang w:val="fr-CA"/>
        </w:rPr>
        <w:t>s de l</w:t>
      </w:r>
      <w:r>
        <w:rPr>
          <w:lang w:val="fr-CA"/>
        </w:rPr>
        <w:t xml:space="preserve">’intimé </w:t>
      </w:r>
      <w:r w:rsidRPr="001F2E43">
        <w:rPr>
          <w:lang w:val="fr-CA"/>
        </w:rPr>
        <w:t>Surjit Singh Badesha</w:t>
      </w:r>
      <w:r w:rsidR="005531D8">
        <w:rPr>
          <w:lang w:val="fr-CA"/>
        </w:rPr>
        <w:t> :</w:t>
      </w:r>
      <w:r w:rsidR="00BC4E44">
        <w:rPr>
          <w:lang w:val="fr-CA"/>
        </w:rPr>
        <w:t> </w:t>
      </w:r>
      <w:r w:rsidRPr="00175C63">
        <w:rPr>
          <w:lang w:val="fr-CA"/>
        </w:rPr>
        <w:t>Michael Klein Law Corporation, Vancouver</w:t>
      </w:r>
      <w:r>
        <w:rPr>
          <w:lang w:val="fr-CA"/>
        </w:rPr>
        <w:t>; Michael Sobkin, Ottawa</w:t>
      </w:r>
      <w:r w:rsidRPr="00175C63">
        <w:rPr>
          <w:lang w:val="fr-CA"/>
        </w:rPr>
        <w:t>.</w:t>
      </w:r>
    </w:p>
    <w:p w:rsidR="00142C42" w:rsidRPr="00175C63" w:rsidRDefault="00142C42" w:rsidP="002B69A7">
      <w:pPr>
        <w:pStyle w:val="SCCLawFirm"/>
        <w:widowControl w:val="0"/>
        <w:spacing w:before="480" w:after="480"/>
        <w:rPr>
          <w:lang w:val="fr-CA"/>
        </w:rPr>
      </w:pPr>
      <w:r>
        <w:rPr>
          <w:lang w:val="fr-CA"/>
        </w:rPr>
        <w:tab/>
        <w:t>Procureurs</w:t>
      </w:r>
      <w:r w:rsidRPr="00175C63">
        <w:rPr>
          <w:lang w:val="fr-CA"/>
        </w:rPr>
        <w:t xml:space="preserve"> de l</w:t>
      </w:r>
      <w:r>
        <w:rPr>
          <w:lang w:val="fr-CA"/>
        </w:rPr>
        <w:t xml:space="preserve">’intimée </w:t>
      </w:r>
      <w:r w:rsidRPr="001F2E43">
        <w:rPr>
          <w:lang w:val="fr-CA"/>
        </w:rPr>
        <w:t>Malkit Kaur Sidhu</w:t>
      </w:r>
      <w:r w:rsidR="005531D8">
        <w:rPr>
          <w:lang w:val="fr-CA"/>
        </w:rPr>
        <w:t> :</w:t>
      </w:r>
      <w:r w:rsidR="00BC4E44">
        <w:rPr>
          <w:lang w:val="fr-CA"/>
        </w:rPr>
        <w:t> </w:t>
      </w:r>
      <w:r w:rsidRPr="00175C63">
        <w:rPr>
          <w:lang w:val="fr-CA"/>
        </w:rPr>
        <w:t>Sugden, McFee &amp; Roos, Vancouver.</w:t>
      </w:r>
    </w:p>
    <w:p w:rsidR="00142C42" w:rsidRPr="00764808" w:rsidRDefault="00142C42" w:rsidP="002B69A7">
      <w:pPr>
        <w:pStyle w:val="SCCLawFirm"/>
        <w:widowControl w:val="0"/>
        <w:spacing w:before="480" w:after="480"/>
        <w:rPr>
          <w:lang w:val="fr-CA"/>
        </w:rPr>
      </w:pPr>
      <w:r w:rsidRPr="00175C63">
        <w:rPr>
          <w:lang w:val="fr-CA"/>
        </w:rPr>
        <w:tab/>
      </w:r>
      <w:r w:rsidRPr="00764808">
        <w:rPr>
          <w:lang w:val="fr-CA"/>
        </w:rPr>
        <w:t>Procureurs de l’intervenant David Asper Centre for Constitutional Rights</w:t>
      </w:r>
      <w:r w:rsidR="005531D8">
        <w:rPr>
          <w:lang w:val="fr-CA"/>
        </w:rPr>
        <w:t> :</w:t>
      </w:r>
      <w:r w:rsidR="00BC4E44" w:rsidRPr="00764808">
        <w:rPr>
          <w:lang w:val="fr-CA"/>
        </w:rPr>
        <w:t> </w:t>
      </w:r>
      <w:r w:rsidRPr="00764808">
        <w:rPr>
          <w:lang w:val="fr-CA"/>
        </w:rPr>
        <w:t xml:space="preserve">Simcoe Chambers, Toronto; </w:t>
      </w:r>
      <w:r w:rsidR="00E8282D" w:rsidRPr="00764808">
        <w:rPr>
          <w:lang w:val="fr-CA"/>
        </w:rPr>
        <w:t>David Asper Centre for Constitutional Rights</w:t>
      </w:r>
      <w:r w:rsidRPr="00764808">
        <w:rPr>
          <w:lang w:val="fr-CA"/>
        </w:rPr>
        <w:t>, Toronto.</w:t>
      </w:r>
    </w:p>
    <w:p w:rsidR="00142C42" w:rsidRPr="001F2E43" w:rsidRDefault="00142C42" w:rsidP="002B69A7">
      <w:pPr>
        <w:pStyle w:val="SCCLawFirm"/>
        <w:widowControl w:val="0"/>
        <w:spacing w:before="480" w:after="480"/>
        <w:rPr>
          <w:lang w:val="fr-CA"/>
        </w:rPr>
      </w:pPr>
      <w:r w:rsidRPr="00764808">
        <w:rPr>
          <w:lang w:val="fr-CA"/>
        </w:rPr>
        <w:tab/>
      </w:r>
      <w:r w:rsidRPr="001F2E43">
        <w:rPr>
          <w:lang w:val="fr-CA"/>
        </w:rPr>
        <w:t>Procureurs de l’intervenante South Asian Legal Clinic of Ontario</w:t>
      </w:r>
      <w:r w:rsidR="005531D8">
        <w:rPr>
          <w:lang w:val="fr-CA"/>
        </w:rPr>
        <w:t> :</w:t>
      </w:r>
      <w:r w:rsidR="00BC4E44">
        <w:rPr>
          <w:lang w:val="fr-CA"/>
        </w:rPr>
        <w:t> </w:t>
      </w:r>
      <w:r w:rsidRPr="001F2E43">
        <w:rPr>
          <w:lang w:val="fr-CA"/>
        </w:rPr>
        <w:t>Bennett Jones, Toronto.</w:t>
      </w:r>
    </w:p>
    <w:p w:rsidR="009B57B3" w:rsidRPr="00142C42" w:rsidRDefault="00142C42" w:rsidP="002B69A7">
      <w:pPr>
        <w:pStyle w:val="SCCLawFirm"/>
        <w:widowControl w:val="0"/>
        <w:spacing w:before="480" w:after="480"/>
        <w:rPr>
          <w:lang w:val="fr-CA"/>
        </w:rPr>
      </w:pPr>
      <w:r w:rsidRPr="001F2E43">
        <w:rPr>
          <w:lang w:val="fr-CA"/>
        </w:rPr>
        <w:tab/>
      </w:r>
      <w:r>
        <w:rPr>
          <w:lang w:val="fr-CA"/>
        </w:rPr>
        <w:t>Procureurs</w:t>
      </w:r>
      <w:r w:rsidRPr="00175C63">
        <w:rPr>
          <w:lang w:val="fr-CA"/>
        </w:rPr>
        <w:t xml:space="preserve"> de</w:t>
      </w:r>
      <w:r>
        <w:rPr>
          <w:lang w:val="fr-CA"/>
        </w:rPr>
        <w:t>s intervenants Juristes canadiens pour le droit international de la p</w:t>
      </w:r>
      <w:r w:rsidRPr="00175C63">
        <w:rPr>
          <w:lang w:val="fr-CA"/>
        </w:rPr>
        <w:t>ersonne, Canadia</w:t>
      </w:r>
      <w:r>
        <w:rPr>
          <w:lang w:val="fr-CA"/>
        </w:rPr>
        <w:t>n Centre for Victims of Torture et le Conseil canadien pour les r</w:t>
      </w:r>
      <w:r w:rsidRPr="00175C63">
        <w:rPr>
          <w:lang w:val="fr-CA"/>
        </w:rPr>
        <w:t>éfugiés</w:t>
      </w:r>
      <w:r w:rsidR="005531D8">
        <w:rPr>
          <w:lang w:val="fr-CA"/>
        </w:rPr>
        <w:t> :</w:t>
      </w:r>
      <w:r w:rsidR="00BC4E44">
        <w:rPr>
          <w:lang w:val="fr-CA"/>
        </w:rPr>
        <w:t> </w:t>
      </w:r>
      <w:r w:rsidRPr="00175C63">
        <w:rPr>
          <w:lang w:val="fr-CA"/>
        </w:rPr>
        <w:t>Goldblatt Partners, Toronto.</w:t>
      </w:r>
      <w:r w:rsidR="00623D00">
        <w:rPr>
          <w:lang w:val="fr-CA"/>
        </w:rPr>
        <w:t xml:space="preserve"> </w:t>
      </w:r>
    </w:p>
    <w:sectPr w:rsidR="009B57B3" w:rsidRPr="00142C4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42" w:rsidRDefault="00A54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42" w:rsidRDefault="00A54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42" w:rsidRDefault="00A54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361B98" w:rsidRPr="001D1A6C" w:rsidRDefault="00361B98" w:rsidP="00361B98">
      <w:pPr>
        <w:pStyle w:val="FootnoteText"/>
        <w:rPr>
          <w:lang w:val="fr-CA"/>
        </w:rPr>
      </w:pPr>
      <w:r w:rsidRPr="001D1A6C">
        <w:rPr>
          <w:rStyle w:val="FootnoteReference"/>
          <w:lang w:val="fr-CA"/>
        </w:rPr>
        <w:footnoteRef/>
      </w:r>
      <w:r>
        <w:rPr>
          <w:lang w:val="fr-CA"/>
        </w:rPr>
        <w:tab/>
      </w:r>
      <w:r w:rsidRPr="001D1A6C">
        <w:rPr>
          <w:lang w:val="fr-CA"/>
        </w:rPr>
        <w:t>Par « mauvais traitements », j</w:t>
      </w:r>
      <w:r>
        <w:rPr>
          <w:lang w:val="fr-CA"/>
        </w:rPr>
        <w:t>’</w:t>
      </w:r>
      <w:r w:rsidRPr="001D1A6C">
        <w:rPr>
          <w:lang w:val="fr-CA"/>
        </w:rPr>
        <w:t>entends tous</w:t>
      </w:r>
      <w:r>
        <w:rPr>
          <w:lang w:val="fr-CA"/>
        </w:rPr>
        <w:t xml:space="preserve"> mauvais traitements ou</w:t>
      </w:r>
      <w:r w:rsidRPr="001D1A6C">
        <w:rPr>
          <w:lang w:val="fr-CA"/>
        </w:rPr>
        <w:t xml:space="preserve"> sévices </w:t>
      </w:r>
      <w:r>
        <w:rPr>
          <w:lang w:val="fr-CA"/>
        </w:rPr>
        <w:t xml:space="preserve">contrevenant </w:t>
      </w:r>
      <w:r w:rsidRPr="001D1A6C">
        <w:rPr>
          <w:lang w:val="fr-CA"/>
        </w:rPr>
        <w:t xml:space="preserve">aux principes de justice fondamentale </w:t>
      </w:r>
      <w:r>
        <w:rPr>
          <w:lang w:val="fr-CA"/>
        </w:rPr>
        <w:t xml:space="preserve">au sens de </w:t>
      </w:r>
      <w:r w:rsidRPr="001D1A6C">
        <w:rPr>
          <w:lang w:val="fr-CA"/>
        </w:rPr>
        <w:t>l</w:t>
      </w:r>
      <w:r>
        <w:rPr>
          <w:lang w:val="fr-CA"/>
        </w:rPr>
        <w:t>’</w:t>
      </w:r>
      <w:r w:rsidRPr="001D1A6C">
        <w:rPr>
          <w:lang w:val="fr-CA"/>
        </w:rPr>
        <w:t xml:space="preserve">art. 7 de la </w:t>
      </w:r>
      <w:r w:rsidRPr="001D1A6C">
        <w:rPr>
          <w:i/>
          <w:lang w:val="fr-CA"/>
        </w:rPr>
        <w:t>Charte.</w:t>
      </w:r>
      <w:r w:rsidRPr="001D1A6C">
        <w:rPr>
          <w:lang w:val="fr-CA"/>
        </w:rPr>
        <w:t xml:space="preserve"> </w:t>
      </w:r>
    </w:p>
  </w:footnote>
  <w:footnote w:id="2">
    <w:p w:rsidR="00361B98" w:rsidRPr="001D1A6C" w:rsidRDefault="00361B98" w:rsidP="00361B98">
      <w:pPr>
        <w:pStyle w:val="FootnoteText"/>
        <w:rPr>
          <w:lang w:val="fr-CA"/>
        </w:rPr>
      </w:pPr>
      <w:r w:rsidRPr="001D1A6C">
        <w:rPr>
          <w:rStyle w:val="FootnoteReference"/>
          <w:lang w:val="fr-CA"/>
        </w:rPr>
        <w:footnoteRef/>
      </w:r>
      <w:r w:rsidRPr="001D1A6C">
        <w:rPr>
          <w:lang w:val="fr-CA"/>
        </w:rPr>
        <w:t xml:space="preserve"> </w:t>
      </w:r>
      <w:r w:rsidR="00B91C20">
        <w:rPr>
          <w:lang w:val="fr-CA"/>
        </w:rPr>
        <w:tab/>
      </w:r>
      <w:r>
        <w:rPr>
          <w:lang w:val="fr-CA"/>
        </w:rPr>
        <w:t xml:space="preserve">Dans </w:t>
      </w:r>
      <w:r w:rsidRPr="001D1A6C">
        <w:rPr>
          <w:lang w:val="fr-CA"/>
        </w:rPr>
        <w:t>un arrêté introductif d</w:t>
      </w:r>
      <w:r>
        <w:rPr>
          <w:lang w:val="fr-CA"/>
        </w:rPr>
        <w:t>’</w:t>
      </w:r>
      <w:r w:rsidRPr="001D1A6C">
        <w:rPr>
          <w:lang w:val="fr-CA"/>
        </w:rPr>
        <w:t>instance, le ministre de la Justice précise les infractions canad</w:t>
      </w:r>
      <w:r>
        <w:rPr>
          <w:lang w:val="fr-CA"/>
        </w:rPr>
        <w:t>iennes qui répriment l</w:t>
      </w:r>
      <w:r w:rsidRPr="001D1A6C">
        <w:rPr>
          <w:lang w:val="fr-CA"/>
        </w:rPr>
        <w:t xml:space="preserve">es actes </w:t>
      </w:r>
      <w:r>
        <w:rPr>
          <w:lang w:val="fr-CA"/>
        </w:rPr>
        <w:t xml:space="preserve">constituant </w:t>
      </w:r>
      <w:r w:rsidRPr="001D1A6C">
        <w:rPr>
          <w:lang w:val="fr-CA"/>
        </w:rPr>
        <w:t>un</w:t>
      </w:r>
      <w:r>
        <w:rPr>
          <w:lang w:val="fr-CA"/>
        </w:rPr>
        <w:t xml:space="preserve"> crime au Canada</w:t>
      </w:r>
      <w:r w:rsidRPr="001D1A6C">
        <w:rPr>
          <w:lang w:val="fr-CA"/>
        </w:rPr>
        <w:t>. L</w:t>
      </w:r>
      <w:r>
        <w:rPr>
          <w:lang w:val="fr-CA"/>
        </w:rPr>
        <w:t>’</w:t>
      </w:r>
      <w:r w:rsidRPr="001D1A6C">
        <w:rPr>
          <w:lang w:val="fr-CA"/>
        </w:rPr>
        <w:t>extradition est permise lorsque les actes constituant une infraction à l</w:t>
      </w:r>
      <w:r>
        <w:rPr>
          <w:lang w:val="fr-CA"/>
        </w:rPr>
        <w:t>’</w:t>
      </w:r>
      <w:r w:rsidRPr="001D1A6C">
        <w:rPr>
          <w:lang w:val="fr-CA"/>
        </w:rPr>
        <w:t>étranger, s</w:t>
      </w:r>
      <w:r>
        <w:rPr>
          <w:lang w:val="fr-CA"/>
        </w:rPr>
        <w:t>’</w:t>
      </w:r>
      <w:r w:rsidRPr="001D1A6C">
        <w:rPr>
          <w:lang w:val="fr-CA"/>
        </w:rPr>
        <w:t xml:space="preserve">ils étaient commis au Canada, constitueraient une infraction en droit canadien, peu importe sa désignation ou sa classification (par. 3(2) de la </w:t>
      </w:r>
      <w:r w:rsidRPr="00B91C20">
        <w:rPr>
          <w:lang w:val="fr-CA"/>
        </w:rPr>
        <w:t>Loi</w:t>
      </w:r>
      <w:r w:rsidRPr="001D1A6C">
        <w:rPr>
          <w:lang w:val="fr-CA"/>
        </w:rPr>
        <w:t>; voir également l</w:t>
      </w:r>
      <w:r>
        <w:rPr>
          <w:lang w:val="fr-CA"/>
        </w:rPr>
        <w:t>’</w:t>
      </w:r>
      <w:r w:rsidRPr="001D1A6C">
        <w:rPr>
          <w:lang w:val="fr-CA"/>
        </w:rPr>
        <w:t>arrêt</w:t>
      </w:r>
      <w:r>
        <w:rPr>
          <w:lang w:val="fr-CA"/>
        </w:rPr>
        <w:t xml:space="preserve"> </w:t>
      </w:r>
      <w:r w:rsidRPr="00D57B75">
        <w:rPr>
          <w:i/>
          <w:lang w:val="fr-CA"/>
        </w:rPr>
        <w:t>Canada (</w:t>
      </w:r>
      <w:r w:rsidR="00372B57">
        <w:rPr>
          <w:i/>
          <w:lang w:val="fr-CA"/>
        </w:rPr>
        <w:t>J</w:t>
      </w:r>
      <w:r w:rsidRPr="00D57B75">
        <w:rPr>
          <w:i/>
          <w:lang w:val="fr-CA"/>
        </w:rPr>
        <w:t>ustice) c.</w:t>
      </w:r>
      <w:r>
        <w:rPr>
          <w:lang w:val="fr-CA"/>
        </w:rPr>
        <w:t xml:space="preserve"> </w:t>
      </w:r>
      <w:r w:rsidRPr="001D1A6C">
        <w:rPr>
          <w:i/>
          <w:lang w:val="fr-CA"/>
        </w:rPr>
        <w:t>Fischbacher</w:t>
      </w:r>
      <w:r w:rsidRPr="001D1A6C">
        <w:rPr>
          <w:lang w:val="fr-CA"/>
        </w:rPr>
        <w:t xml:space="preserve">, </w:t>
      </w:r>
      <w:r w:rsidRPr="00055569">
        <w:rPr>
          <w:lang w:val="fr-CA"/>
        </w:rPr>
        <w:t xml:space="preserve">2009 CSC 46, [2009] 3 </w:t>
      </w:r>
      <w:r>
        <w:rPr>
          <w:lang w:val="fr-CA"/>
        </w:rPr>
        <w:t>R</w:t>
      </w:r>
      <w:r w:rsidRPr="00055569">
        <w:rPr>
          <w:lang w:val="fr-CA"/>
        </w:rPr>
        <w:t>.C.</w:t>
      </w:r>
      <w:r>
        <w:rPr>
          <w:lang w:val="fr-CA"/>
        </w:rPr>
        <w:t>S</w:t>
      </w:r>
      <w:r w:rsidRPr="00055569">
        <w:rPr>
          <w:lang w:val="fr-CA"/>
        </w:rPr>
        <w:t>. 170</w:t>
      </w:r>
      <w:r>
        <w:rPr>
          <w:lang w:val="fr-CA"/>
        </w:rPr>
        <w:t xml:space="preserve">, </w:t>
      </w:r>
      <w:r w:rsidRPr="001D1A6C">
        <w:rPr>
          <w:lang w:val="fr-CA"/>
        </w:rPr>
        <w:t>par.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42" w:rsidRDefault="00A54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42" w:rsidRDefault="00A54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8F01A52"/>
    <w:multiLevelType w:val="hybridMultilevel"/>
    <w:tmpl w:val="C9FAF91E"/>
    <w:lvl w:ilvl="0" w:tplc="969C8C0A">
      <w:start w:val="3"/>
      <w:numFmt w:val="decimal"/>
      <w:lvlText w:val="%1)"/>
      <w:lvlJc w:val="left"/>
      <w:pPr>
        <w:ind w:left="1080" w:hanging="360"/>
      </w:pPr>
      <w:rPr>
        <w:rFonts w:eastAsiaTheme="minorEastAsia"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D77428"/>
    <w:multiLevelType w:val="hybridMultilevel"/>
    <w:tmpl w:val="037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360E"/>
    <w:multiLevelType w:val="hybridMultilevel"/>
    <w:tmpl w:val="D5C4616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F92542"/>
    <w:multiLevelType w:val="hybridMultilevel"/>
    <w:tmpl w:val="E7CAF53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E050EE"/>
    <w:multiLevelType w:val="hybridMultilevel"/>
    <w:tmpl w:val="046E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146E2"/>
    <w:multiLevelType w:val="hybridMultilevel"/>
    <w:tmpl w:val="2A1855E0"/>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9E1EB7"/>
    <w:multiLevelType w:val="hybridMultilevel"/>
    <w:tmpl w:val="070E1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8C4D00"/>
    <w:multiLevelType w:val="multilevel"/>
    <w:tmpl w:val="82BE2870"/>
    <w:lvl w:ilvl="0">
      <w:start w:val="1"/>
      <w:numFmt w:val="decimal"/>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1F39C5"/>
    <w:multiLevelType w:val="hybridMultilevel"/>
    <w:tmpl w:val="F4305E58"/>
    <w:lvl w:ilvl="0" w:tplc="40C89930">
      <w:start w:val="4"/>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C6D7C"/>
    <w:multiLevelType w:val="multilevel"/>
    <w:tmpl w:val="EA0EB5F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F01AB"/>
    <w:multiLevelType w:val="hybridMultilevel"/>
    <w:tmpl w:val="422C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3130A"/>
    <w:multiLevelType w:val="multilevel"/>
    <w:tmpl w:val="1ED658C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8577BEB"/>
    <w:multiLevelType w:val="hybridMultilevel"/>
    <w:tmpl w:val="94B2F49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7C2804"/>
    <w:multiLevelType w:val="hybridMultilevel"/>
    <w:tmpl w:val="AA169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E44EB"/>
    <w:multiLevelType w:val="hybridMultilevel"/>
    <w:tmpl w:val="6FF8DB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54283EE8"/>
    <w:multiLevelType w:val="multilevel"/>
    <w:tmpl w:val="4F68AC28"/>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7135C1"/>
    <w:multiLevelType w:val="hybridMultilevel"/>
    <w:tmpl w:val="D9705E4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C001406"/>
    <w:multiLevelType w:val="multilevel"/>
    <w:tmpl w:val="E2FEE1B4"/>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0D55C49"/>
    <w:multiLevelType w:val="hybridMultilevel"/>
    <w:tmpl w:val="519A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7"/>
  </w:num>
  <w:num w:numId="4">
    <w:abstractNumId w:val="1"/>
  </w:num>
  <w:num w:numId="5">
    <w:abstractNumId w:val="15"/>
  </w:num>
  <w:num w:numId="6">
    <w:abstractNumId w:val="16"/>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23"/>
  </w:num>
  <w:num w:numId="11">
    <w:abstractNumId w:val="12"/>
  </w:num>
  <w:num w:numId="12">
    <w:abstractNumId w:val="18"/>
  </w:num>
  <w:num w:numId="13">
    <w:abstractNumId w:val="8"/>
  </w:num>
  <w:num w:numId="14">
    <w:abstractNumId w:val="4"/>
  </w:num>
  <w:num w:numId="15">
    <w:abstractNumId w:val="17"/>
  </w:num>
  <w:num w:numId="16">
    <w:abstractNumId w:val="22"/>
  </w:num>
  <w:num w:numId="17">
    <w:abstractNumId w:val="6"/>
  </w:num>
  <w:num w:numId="18">
    <w:abstractNumId w:val="3"/>
  </w:num>
  <w:num w:numId="19">
    <w:abstractNumId w:val="10"/>
  </w:num>
  <w:num w:numId="20">
    <w:abstractNumId w:val="2"/>
  </w:num>
  <w:num w:numId="21">
    <w:abstractNumId w:val="1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9"/>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FDC"/>
    <w:rsid w:val="00023FC7"/>
    <w:rsid w:val="00025198"/>
    <w:rsid w:val="0004641D"/>
    <w:rsid w:val="00055CC8"/>
    <w:rsid w:val="00056C7A"/>
    <w:rsid w:val="000578A3"/>
    <w:rsid w:val="000648CC"/>
    <w:rsid w:val="00097C1C"/>
    <w:rsid w:val="000B0ABF"/>
    <w:rsid w:val="000C4EFB"/>
    <w:rsid w:val="000C59B8"/>
    <w:rsid w:val="000C6AF0"/>
    <w:rsid w:val="000D0A77"/>
    <w:rsid w:val="000E57CB"/>
    <w:rsid w:val="000F33FB"/>
    <w:rsid w:val="000F7993"/>
    <w:rsid w:val="00104F33"/>
    <w:rsid w:val="001107E1"/>
    <w:rsid w:val="00111DE2"/>
    <w:rsid w:val="00116B38"/>
    <w:rsid w:val="00116CA6"/>
    <w:rsid w:val="00135406"/>
    <w:rsid w:val="00135972"/>
    <w:rsid w:val="001426A9"/>
    <w:rsid w:val="00142C42"/>
    <w:rsid w:val="00142DEA"/>
    <w:rsid w:val="00154D7C"/>
    <w:rsid w:val="001570B0"/>
    <w:rsid w:val="0015752C"/>
    <w:rsid w:val="00157737"/>
    <w:rsid w:val="00165277"/>
    <w:rsid w:val="001663A6"/>
    <w:rsid w:val="00170592"/>
    <w:rsid w:val="001720F7"/>
    <w:rsid w:val="00175C63"/>
    <w:rsid w:val="001853BA"/>
    <w:rsid w:val="00187D36"/>
    <w:rsid w:val="00195D83"/>
    <w:rsid w:val="001A00C1"/>
    <w:rsid w:val="001B2930"/>
    <w:rsid w:val="001B33E0"/>
    <w:rsid w:val="001B4573"/>
    <w:rsid w:val="001B4771"/>
    <w:rsid w:val="001C0C8D"/>
    <w:rsid w:val="001C779F"/>
    <w:rsid w:val="001D2AC1"/>
    <w:rsid w:val="001D4E88"/>
    <w:rsid w:val="001D5829"/>
    <w:rsid w:val="001F2E43"/>
    <w:rsid w:val="00201725"/>
    <w:rsid w:val="00220FC2"/>
    <w:rsid w:val="002222F4"/>
    <w:rsid w:val="00224FC0"/>
    <w:rsid w:val="00225EA4"/>
    <w:rsid w:val="00226EAF"/>
    <w:rsid w:val="00230908"/>
    <w:rsid w:val="00231F3A"/>
    <w:rsid w:val="00232240"/>
    <w:rsid w:val="002406EE"/>
    <w:rsid w:val="00241C36"/>
    <w:rsid w:val="00243EC8"/>
    <w:rsid w:val="00270D93"/>
    <w:rsid w:val="002745CC"/>
    <w:rsid w:val="002812FF"/>
    <w:rsid w:val="002B69A7"/>
    <w:rsid w:val="002B6FBE"/>
    <w:rsid w:val="002B7924"/>
    <w:rsid w:val="002C10A6"/>
    <w:rsid w:val="002C3A10"/>
    <w:rsid w:val="002C5575"/>
    <w:rsid w:val="002D28C3"/>
    <w:rsid w:val="002D39A4"/>
    <w:rsid w:val="002E1E96"/>
    <w:rsid w:val="002E5E29"/>
    <w:rsid w:val="002E6705"/>
    <w:rsid w:val="002F1373"/>
    <w:rsid w:val="002F317C"/>
    <w:rsid w:val="0030329A"/>
    <w:rsid w:val="003075F9"/>
    <w:rsid w:val="0031086F"/>
    <w:rsid w:val="00313169"/>
    <w:rsid w:val="0031414C"/>
    <w:rsid w:val="00314E01"/>
    <w:rsid w:val="0032089D"/>
    <w:rsid w:val="003310DE"/>
    <w:rsid w:val="003323B0"/>
    <w:rsid w:val="00340A49"/>
    <w:rsid w:val="0035169A"/>
    <w:rsid w:val="0035259D"/>
    <w:rsid w:val="0035329B"/>
    <w:rsid w:val="00354B1A"/>
    <w:rsid w:val="00361B98"/>
    <w:rsid w:val="00364B18"/>
    <w:rsid w:val="003706C2"/>
    <w:rsid w:val="00372B57"/>
    <w:rsid w:val="00395AA9"/>
    <w:rsid w:val="003A125D"/>
    <w:rsid w:val="003A4C70"/>
    <w:rsid w:val="003B215F"/>
    <w:rsid w:val="003C799C"/>
    <w:rsid w:val="003D0399"/>
    <w:rsid w:val="003E1C71"/>
    <w:rsid w:val="003F327B"/>
    <w:rsid w:val="003F3637"/>
    <w:rsid w:val="00406166"/>
    <w:rsid w:val="0040704B"/>
    <w:rsid w:val="00410A55"/>
    <w:rsid w:val="00411300"/>
    <w:rsid w:val="00413F17"/>
    <w:rsid w:val="00415417"/>
    <w:rsid w:val="00426659"/>
    <w:rsid w:val="0043196E"/>
    <w:rsid w:val="00436D31"/>
    <w:rsid w:val="004469A0"/>
    <w:rsid w:val="00450352"/>
    <w:rsid w:val="00452E8E"/>
    <w:rsid w:val="00454BDB"/>
    <w:rsid w:val="00457BF2"/>
    <w:rsid w:val="00465132"/>
    <w:rsid w:val="00480C90"/>
    <w:rsid w:val="0048396F"/>
    <w:rsid w:val="0049049D"/>
    <w:rsid w:val="00492E59"/>
    <w:rsid w:val="00493C18"/>
    <w:rsid w:val="004A3981"/>
    <w:rsid w:val="004A600C"/>
    <w:rsid w:val="004A6118"/>
    <w:rsid w:val="004C478D"/>
    <w:rsid w:val="004D7D95"/>
    <w:rsid w:val="004E2C26"/>
    <w:rsid w:val="005125A8"/>
    <w:rsid w:val="00517549"/>
    <w:rsid w:val="00520ABC"/>
    <w:rsid w:val="00521AE8"/>
    <w:rsid w:val="00527180"/>
    <w:rsid w:val="005531D8"/>
    <w:rsid w:val="00555291"/>
    <w:rsid w:val="00566AD1"/>
    <w:rsid w:val="00583EDE"/>
    <w:rsid w:val="00584A16"/>
    <w:rsid w:val="005A6079"/>
    <w:rsid w:val="005C3854"/>
    <w:rsid w:val="005E4698"/>
    <w:rsid w:val="00603924"/>
    <w:rsid w:val="00607E06"/>
    <w:rsid w:val="00610539"/>
    <w:rsid w:val="00613969"/>
    <w:rsid w:val="00623D00"/>
    <w:rsid w:val="00625C35"/>
    <w:rsid w:val="006274E9"/>
    <w:rsid w:val="00633D9A"/>
    <w:rsid w:val="00641304"/>
    <w:rsid w:val="00647E49"/>
    <w:rsid w:val="00656313"/>
    <w:rsid w:val="006565F4"/>
    <w:rsid w:val="00670BF7"/>
    <w:rsid w:val="00684EEA"/>
    <w:rsid w:val="0069689B"/>
    <w:rsid w:val="006B3960"/>
    <w:rsid w:val="006B5FF5"/>
    <w:rsid w:val="006C3903"/>
    <w:rsid w:val="006F30AF"/>
    <w:rsid w:val="00701759"/>
    <w:rsid w:val="007019CB"/>
    <w:rsid w:val="00705C15"/>
    <w:rsid w:val="007110F6"/>
    <w:rsid w:val="007208D1"/>
    <w:rsid w:val="00722074"/>
    <w:rsid w:val="00744518"/>
    <w:rsid w:val="00747288"/>
    <w:rsid w:val="00747DD3"/>
    <w:rsid w:val="007549C8"/>
    <w:rsid w:val="00764808"/>
    <w:rsid w:val="00766D14"/>
    <w:rsid w:val="00767A0F"/>
    <w:rsid w:val="00791272"/>
    <w:rsid w:val="007A05F6"/>
    <w:rsid w:val="007B6F4A"/>
    <w:rsid w:val="007D006F"/>
    <w:rsid w:val="007D0E80"/>
    <w:rsid w:val="007E1C47"/>
    <w:rsid w:val="007E337A"/>
    <w:rsid w:val="007E5C70"/>
    <w:rsid w:val="007F2FF5"/>
    <w:rsid w:val="007F3F08"/>
    <w:rsid w:val="00804CC6"/>
    <w:rsid w:val="00814FC8"/>
    <w:rsid w:val="00817190"/>
    <w:rsid w:val="008260E2"/>
    <w:rsid w:val="008322BD"/>
    <w:rsid w:val="00834F73"/>
    <w:rsid w:val="0085725E"/>
    <w:rsid w:val="00864C8A"/>
    <w:rsid w:val="00864CF8"/>
    <w:rsid w:val="00874391"/>
    <w:rsid w:val="00874914"/>
    <w:rsid w:val="00877D9C"/>
    <w:rsid w:val="00891422"/>
    <w:rsid w:val="00892E1A"/>
    <w:rsid w:val="008958F2"/>
    <w:rsid w:val="008B00DB"/>
    <w:rsid w:val="008B660A"/>
    <w:rsid w:val="008C01DA"/>
    <w:rsid w:val="008D415D"/>
    <w:rsid w:val="008F2674"/>
    <w:rsid w:val="008F78E9"/>
    <w:rsid w:val="009117F8"/>
    <w:rsid w:val="009179F9"/>
    <w:rsid w:val="00917C7A"/>
    <w:rsid w:val="00925C2D"/>
    <w:rsid w:val="00933E5E"/>
    <w:rsid w:val="00935218"/>
    <w:rsid w:val="00937C52"/>
    <w:rsid w:val="009403F3"/>
    <w:rsid w:val="009555B7"/>
    <w:rsid w:val="009567AA"/>
    <w:rsid w:val="00956C01"/>
    <w:rsid w:val="009602C9"/>
    <w:rsid w:val="00967374"/>
    <w:rsid w:val="0097534A"/>
    <w:rsid w:val="00997149"/>
    <w:rsid w:val="009A343A"/>
    <w:rsid w:val="009A79A5"/>
    <w:rsid w:val="009B2F23"/>
    <w:rsid w:val="009B57B3"/>
    <w:rsid w:val="009C3A9E"/>
    <w:rsid w:val="009D2920"/>
    <w:rsid w:val="009D5AEB"/>
    <w:rsid w:val="009F0E33"/>
    <w:rsid w:val="00A149DF"/>
    <w:rsid w:val="00A1755C"/>
    <w:rsid w:val="00A21B90"/>
    <w:rsid w:val="00A22580"/>
    <w:rsid w:val="00A22AAC"/>
    <w:rsid w:val="00A41805"/>
    <w:rsid w:val="00A51882"/>
    <w:rsid w:val="00A52AFB"/>
    <w:rsid w:val="00A54342"/>
    <w:rsid w:val="00A548CB"/>
    <w:rsid w:val="00A5521C"/>
    <w:rsid w:val="00A643E7"/>
    <w:rsid w:val="00A73C38"/>
    <w:rsid w:val="00A82E69"/>
    <w:rsid w:val="00A921A7"/>
    <w:rsid w:val="00A961EF"/>
    <w:rsid w:val="00AB670D"/>
    <w:rsid w:val="00AF03C5"/>
    <w:rsid w:val="00B000D8"/>
    <w:rsid w:val="00B00F75"/>
    <w:rsid w:val="00B145B6"/>
    <w:rsid w:val="00B17D30"/>
    <w:rsid w:val="00B279EB"/>
    <w:rsid w:val="00B365D4"/>
    <w:rsid w:val="00B50C81"/>
    <w:rsid w:val="00B557F8"/>
    <w:rsid w:val="00B73E8F"/>
    <w:rsid w:val="00B815FC"/>
    <w:rsid w:val="00B91C20"/>
    <w:rsid w:val="00B93FBC"/>
    <w:rsid w:val="00BA7DA0"/>
    <w:rsid w:val="00BB2EE4"/>
    <w:rsid w:val="00BB4C92"/>
    <w:rsid w:val="00BC2108"/>
    <w:rsid w:val="00BC3F19"/>
    <w:rsid w:val="00BC4E44"/>
    <w:rsid w:val="00BD0E9E"/>
    <w:rsid w:val="00BD1BEC"/>
    <w:rsid w:val="00BD32FF"/>
    <w:rsid w:val="00BF6FE9"/>
    <w:rsid w:val="00C02092"/>
    <w:rsid w:val="00C07CE1"/>
    <w:rsid w:val="00C11162"/>
    <w:rsid w:val="00C24D91"/>
    <w:rsid w:val="00C26DB2"/>
    <w:rsid w:val="00C53F14"/>
    <w:rsid w:val="00C600CF"/>
    <w:rsid w:val="00C6084F"/>
    <w:rsid w:val="00C62A66"/>
    <w:rsid w:val="00C66359"/>
    <w:rsid w:val="00C663AF"/>
    <w:rsid w:val="00C71458"/>
    <w:rsid w:val="00C77613"/>
    <w:rsid w:val="00C828E7"/>
    <w:rsid w:val="00C86719"/>
    <w:rsid w:val="00C921DD"/>
    <w:rsid w:val="00CA6391"/>
    <w:rsid w:val="00CE036E"/>
    <w:rsid w:val="00CE3171"/>
    <w:rsid w:val="00CF1601"/>
    <w:rsid w:val="00D0172F"/>
    <w:rsid w:val="00D01E33"/>
    <w:rsid w:val="00D068A7"/>
    <w:rsid w:val="00D1075B"/>
    <w:rsid w:val="00D17476"/>
    <w:rsid w:val="00D17B0E"/>
    <w:rsid w:val="00D21FCB"/>
    <w:rsid w:val="00D32086"/>
    <w:rsid w:val="00D37A3F"/>
    <w:rsid w:val="00D4431D"/>
    <w:rsid w:val="00D4667A"/>
    <w:rsid w:val="00D46B35"/>
    <w:rsid w:val="00D569FA"/>
    <w:rsid w:val="00D63A1C"/>
    <w:rsid w:val="00D67A06"/>
    <w:rsid w:val="00D726AE"/>
    <w:rsid w:val="00D7516F"/>
    <w:rsid w:val="00D91532"/>
    <w:rsid w:val="00D95F8E"/>
    <w:rsid w:val="00DA0590"/>
    <w:rsid w:val="00DA090D"/>
    <w:rsid w:val="00DC1739"/>
    <w:rsid w:val="00DC1788"/>
    <w:rsid w:val="00DD278A"/>
    <w:rsid w:val="00DE319C"/>
    <w:rsid w:val="00DF0CA8"/>
    <w:rsid w:val="00DF2B48"/>
    <w:rsid w:val="00DF49A7"/>
    <w:rsid w:val="00E02C59"/>
    <w:rsid w:val="00E07EE2"/>
    <w:rsid w:val="00E07FD1"/>
    <w:rsid w:val="00E21432"/>
    <w:rsid w:val="00E217D6"/>
    <w:rsid w:val="00E24573"/>
    <w:rsid w:val="00E25E1E"/>
    <w:rsid w:val="00E27EE7"/>
    <w:rsid w:val="00E35404"/>
    <w:rsid w:val="00E41E49"/>
    <w:rsid w:val="00E45109"/>
    <w:rsid w:val="00E47B7A"/>
    <w:rsid w:val="00E56A44"/>
    <w:rsid w:val="00E60269"/>
    <w:rsid w:val="00E70054"/>
    <w:rsid w:val="00E8282D"/>
    <w:rsid w:val="00E94995"/>
    <w:rsid w:val="00E97830"/>
    <w:rsid w:val="00EC1349"/>
    <w:rsid w:val="00EE0830"/>
    <w:rsid w:val="00EE6CB8"/>
    <w:rsid w:val="00EF0683"/>
    <w:rsid w:val="00F0070C"/>
    <w:rsid w:val="00F00EB7"/>
    <w:rsid w:val="00F36AB6"/>
    <w:rsid w:val="00F37A09"/>
    <w:rsid w:val="00F409CE"/>
    <w:rsid w:val="00F4379D"/>
    <w:rsid w:val="00F50D2D"/>
    <w:rsid w:val="00F56C8B"/>
    <w:rsid w:val="00F57EC7"/>
    <w:rsid w:val="00F62639"/>
    <w:rsid w:val="00F66810"/>
    <w:rsid w:val="00F84DF4"/>
    <w:rsid w:val="00F85C97"/>
    <w:rsid w:val="00F963E1"/>
    <w:rsid w:val="00FB37D2"/>
    <w:rsid w:val="00FC4EFB"/>
    <w:rsid w:val="00FD068D"/>
    <w:rsid w:val="00FD4F28"/>
    <w:rsid w:val="00FE1FBE"/>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3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956C01"/>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361B98"/>
    <w:pPr>
      <w:spacing w:after="480"/>
    </w:pPr>
    <w:rPr>
      <w:rFonts w:eastAsiaTheme="minorHAnsi" w:cstheme="minorBidi"/>
      <w:szCs w:val="22"/>
      <w:lang w:eastAsia="en-US"/>
    </w:rPr>
  </w:style>
  <w:style w:type="paragraph" w:customStyle="1" w:styleId="SCCCoram">
    <w:name w:val="SCC.Coram"/>
    <w:basedOn w:val="Normal"/>
    <w:next w:val="Normal"/>
    <w:link w:val="SCCCoramChar"/>
    <w:rsid w:val="00361B9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61B9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61B98"/>
    <w:rPr>
      <w:rFonts w:eastAsiaTheme="minorHAnsi" w:cstheme="minorBidi"/>
      <w:sz w:val="24"/>
      <w:szCs w:val="22"/>
      <w:lang w:eastAsia="en-US"/>
    </w:rPr>
  </w:style>
  <w:style w:type="character" w:customStyle="1" w:styleId="SCCBanSummaryChar">
    <w:name w:val="SCC.BanSummary Char"/>
    <w:basedOn w:val="DefaultParagraphFont"/>
    <w:link w:val="SCCBanSummary"/>
    <w:rsid w:val="00361B98"/>
    <w:rPr>
      <w:b/>
      <w:sz w:val="24"/>
    </w:rPr>
  </w:style>
  <w:style w:type="table" w:styleId="TableGrid">
    <w:name w:val="Table Grid"/>
    <w:basedOn w:val="TableNormal"/>
    <w:uiPriority w:val="59"/>
    <w:rsid w:val="00361B9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61B9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61B98"/>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61B9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61B9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61B9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61B98"/>
    <w:pPr>
      <w:numPr>
        <w:ilvl w:val="2"/>
      </w:numPr>
      <w:outlineLvl w:val="2"/>
    </w:pPr>
  </w:style>
  <w:style w:type="paragraph" w:customStyle="1" w:styleId="Title4LevelTitre4Niveau">
    <w:name w:val="Title 4 Level / Titre 4 Niveau"/>
    <w:basedOn w:val="Title3LevelTitre3Niveau"/>
    <w:next w:val="ParaNoNdepar-AltN"/>
    <w:uiPriority w:val="4"/>
    <w:qFormat/>
    <w:rsid w:val="00361B9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61B98"/>
    <w:pPr>
      <w:numPr>
        <w:ilvl w:val="4"/>
      </w:numPr>
      <w:outlineLvl w:val="4"/>
    </w:pPr>
  </w:style>
  <w:style w:type="paragraph" w:styleId="TOC1">
    <w:name w:val="toc 1"/>
    <w:basedOn w:val="Normal"/>
    <w:next w:val="Normal"/>
    <w:autoRedefine/>
    <w:uiPriority w:val="39"/>
    <w:unhideWhenUsed/>
    <w:rsid w:val="00361B9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61B9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61B9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61B9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61B9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61B98"/>
    <w:pPr>
      <w:tabs>
        <w:tab w:val="left" w:pos="2160"/>
        <w:tab w:val="right" w:leader="dot" w:pos="8270"/>
      </w:tabs>
      <w:spacing w:after="100"/>
      <w:ind w:left="1800"/>
    </w:pPr>
    <w:rPr>
      <w:noProof/>
    </w:rPr>
  </w:style>
  <w:style w:type="table" w:customStyle="1" w:styleId="TableGrid1">
    <w:name w:val="Table Grid1"/>
    <w:basedOn w:val="TableNormal"/>
    <w:uiPriority w:val="59"/>
    <w:rsid w:val="00361B9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61B9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61B98"/>
    <w:pPr>
      <w:numPr>
        <w:ilvl w:val="5"/>
      </w:numPr>
      <w:outlineLvl w:val="5"/>
    </w:pPr>
    <w:rPr>
      <w:i/>
      <w:u w:val="none"/>
    </w:rPr>
  </w:style>
  <w:style w:type="paragraph" w:styleId="FootnoteText">
    <w:name w:val="footnote text"/>
    <w:basedOn w:val="Normal"/>
    <w:link w:val="FootnoteTextChar"/>
    <w:uiPriority w:val="99"/>
    <w:unhideWhenUsed/>
    <w:rsid w:val="00361B9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61B98"/>
  </w:style>
  <w:style w:type="character" w:styleId="FootnoteReference">
    <w:name w:val="footnote reference"/>
    <w:basedOn w:val="DefaultParagraphFont"/>
    <w:uiPriority w:val="99"/>
    <w:semiHidden/>
    <w:unhideWhenUsed/>
    <w:rsid w:val="00361B98"/>
    <w:rPr>
      <w:vertAlign w:val="superscript"/>
    </w:rPr>
  </w:style>
  <w:style w:type="paragraph" w:styleId="ListParagraph">
    <w:name w:val="List Paragraph"/>
    <w:basedOn w:val="Normal"/>
    <w:uiPriority w:val="34"/>
    <w:rsid w:val="00361B98"/>
    <w:pPr>
      <w:ind w:left="720"/>
      <w:contextualSpacing/>
    </w:pPr>
    <w:rPr>
      <w:szCs w:val="24"/>
    </w:rPr>
  </w:style>
  <w:style w:type="paragraph" w:customStyle="1" w:styleId="subsection">
    <w:name w:val="subsection"/>
    <w:basedOn w:val="Normal"/>
    <w:rsid w:val="00361B98"/>
    <w:pPr>
      <w:spacing w:before="168" w:after="120"/>
    </w:pPr>
    <w:rPr>
      <w:szCs w:val="24"/>
      <w:lang w:val="en-US" w:eastAsia="en-US"/>
    </w:rPr>
  </w:style>
  <w:style w:type="paragraph" w:customStyle="1" w:styleId="paragraph">
    <w:name w:val="paragraph"/>
    <w:basedOn w:val="Normal"/>
    <w:rsid w:val="00361B98"/>
    <w:pPr>
      <w:spacing w:before="168" w:after="120"/>
      <w:ind w:left="360"/>
    </w:pPr>
    <w:rPr>
      <w:szCs w:val="24"/>
      <w:lang w:val="en-US" w:eastAsia="en-US"/>
    </w:rPr>
  </w:style>
  <w:style w:type="character" w:customStyle="1" w:styleId="lawlabel2">
    <w:name w:val="lawlabel2"/>
    <w:basedOn w:val="DefaultParagraphFont"/>
    <w:rsid w:val="00361B98"/>
    <w:rPr>
      <w:b/>
      <w:bCs/>
      <w:color w:val="000000"/>
    </w:rPr>
  </w:style>
  <w:style w:type="character" w:customStyle="1" w:styleId="sb8d990e2">
    <w:name w:val="sb8d990e2"/>
    <w:basedOn w:val="DefaultParagraphFont"/>
    <w:rsid w:val="00361B98"/>
  </w:style>
  <w:style w:type="paragraph" w:customStyle="1" w:styleId="s30eec3f8">
    <w:name w:val="s30eec3f8"/>
    <w:basedOn w:val="Normal"/>
    <w:rsid w:val="00361B98"/>
    <w:pPr>
      <w:spacing w:before="100" w:beforeAutospacing="1" w:after="100" w:afterAutospacing="1"/>
    </w:pPr>
    <w:rPr>
      <w:szCs w:val="24"/>
      <w:lang w:val="fr-CA" w:eastAsia="fr-CA"/>
    </w:rPr>
  </w:style>
  <w:style w:type="character" w:customStyle="1" w:styleId="s6b621b36">
    <w:name w:val="s6b621b36"/>
    <w:basedOn w:val="DefaultParagraphFont"/>
    <w:rsid w:val="00361B98"/>
  </w:style>
  <w:style w:type="character" w:customStyle="1" w:styleId="sea881cdf">
    <w:name w:val="sea881cdf"/>
    <w:basedOn w:val="DefaultParagraphFont"/>
    <w:rsid w:val="00361B98"/>
  </w:style>
  <w:style w:type="character" w:styleId="Hyperlink">
    <w:name w:val="Hyperlink"/>
    <w:basedOn w:val="DefaultParagraphFont"/>
    <w:uiPriority w:val="99"/>
    <w:unhideWhenUsed/>
    <w:rsid w:val="00361B98"/>
    <w:rPr>
      <w:color w:val="0000FF"/>
      <w:u w:val="single"/>
    </w:rPr>
  </w:style>
  <w:style w:type="character" w:customStyle="1" w:styleId="wordhighlighted">
    <w:name w:val="wordhighlighted"/>
    <w:basedOn w:val="DefaultParagraphFont"/>
    <w:rsid w:val="00361B98"/>
  </w:style>
  <w:style w:type="character" w:customStyle="1" w:styleId="reflex3-block">
    <w:name w:val="reflex3-block"/>
    <w:basedOn w:val="DefaultParagraphFont"/>
    <w:rsid w:val="00361B98"/>
  </w:style>
  <w:style w:type="character" w:customStyle="1" w:styleId="reflex3-alt">
    <w:name w:val="reflex3-alt"/>
    <w:basedOn w:val="DefaultParagraphFont"/>
    <w:rsid w:val="00361B98"/>
  </w:style>
  <w:style w:type="character" w:styleId="FollowedHyperlink">
    <w:name w:val="FollowedHyperlink"/>
    <w:basedOn w:val="DefaultParagraphFont"/>
    <w:uiPriority w:val="99"/>
    <w:semiHidden/>
    <w:unhideWhenUsed/>
    <w:rsid w:val="00361B98"/>
    <w:rPr>
      <w:color w:val="800080" w:themeColor="followedHyperlink"/>
      <w:u w:val="single"/>
    </w:rPr>
  </w:style>
  <w:style w:type="table" w:customStyle="1" w:styleId="TableGrid2">
    <w:name w:val="Table Grid2"/>
    <w:basedOn w:val="TableNormal"/>
    <w:next w:val="TableGrid"/>
    <w:uiPriority w:val="59"/>
    <w:rsid w:val="00361B9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1C0C8D"/>
    <w:rPr>
      <w:lang w:val="fr-CA"/>
    </w:rPr>
  </w:style>
  <w:style w:type="paragraph" w:customStyle="1" w:styleId="SCCLsocPrefix">
    <w:name w:val="SCC.Lsoc.Prefix"/>
    <w:basedOn w:val="Normal"/>
    <w:next w:val="Normal"/>
    <w:link w:val="SCCLsocPrefixChar"/>
    <w:rsid w:val="001C0C8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C0C8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832E-63CC-497F-BE96-62C6E5AE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10274</Words>
  <Characters>53305</Characters>
  <Application>Microsoft Office Word</Application>
  <DocSecurity>0</DocSecurity>
  <Lines>444</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2017-09-08T15:33:00Z</dcterms:created>
  <dcterms:modified xsi:type="dcterms:W3CDTF">2018-02-13T19:48:00Z</dcterms:modified>
</cp:coreProperties>
</file>