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16" w:rsidRDefault="00D54416" w:rsidP="00D5441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580110957" r:id="rId9"/>
        </w:object>
      </w:r>
      <w:r>
        <w:t xml:space="preserve"> </w:t>
      </w:r>
      <w:r>
        <w:ptab w:relativeTo="margin" w:alignment="right" w:leader="none"/>
      </w:r>
    </w:p>
    <w:p w:rsidR="00D54416" w:rsidRDefault="00D54416" w:rsidP="00D54416">
      <w:pPr>
        <w:pStyle w:val="Header"/>
      </w:pPr>
    </w:p>
    <w:p w:rsidR="00D54416" w:rsidRPr="001E12E2" w:rsidRDefault="00D54416" w:rsidP="00D54416">
      <w:pPr>
        <w:jc w:val="center"/>
        <w:rPr>
          <w:b/>
        </w:rPr>
      </w:pPr>
      <w:r w:rsidRPr="001E12E2">
        <w:rPr>
          <w:b/>
        </w:rPr>
        <w:t>COUR SUPRÊME DU CANADA</w:t>
      </w:r>
    </w:p>
    <w:p w:rsidR="00D54416" w:rsidRDefault="00D54416" w:rsidP="00D5441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D54416" w:rsidRPr="001E12E2" w:rsidTr="00FA0535">
        <w:trPr>
          <w:cantSplit/>
        </w:trPr>
        <w:tc>
          <w:tcPr>
            <w:tcW w:w="5310" w:type="dxa"/>
          </w:tcPr>
          <w:p w:rsidR="00D54416" w:rsidRPr="00D54416" w:rsidRDefault="00D54416" w:rsidP="00FA0535">
            <w:pPr>
              <w:rPr>
                <w:lang w:val="fr-CA"/>
              </w:rPr>
            </w:pPr>
            <w:r w:rsidRPr="00D54416">
              <w:rPr>
                <w:b/>
                <w:smallCaps/>
                <w:lang w:val="fr-CA"/>
              </w:rPr>
              <w:t>Référence :</w:t>
            </w:r>
            <w:r w:rsidRPr="00D54416">
              <w:rPr>
                <w:lang w:val="fr-CA"/>
              </w:rPr>
              <w:t xml:space="preserve"> R. </w:t>
            </w:r>
            <w:r w:rsidRPr="00D54416">
              <w:rPr>
                <w:i/>
                <w:lang w:val="fr-CA"/>
              </w:rPr>
              <w:t>c.</w:t>
            </w:r>
            <w:r w:rsidRPr="00D54416">
              <w:rPr>
                <w:lang w:val="fr-CA"/>
              </w:rPr>
              <w:t xml:space="preserve"> </w:t>
            </w:r>
            <w:proofErr w:type="spellStart"/>
            <w:r w:rsidRPr="00D54416">
              <w:rPr>
                <w:lang w:val="fr-CA"/>
              </w:rPr>
              <w:t>Millington</w:t>
            </w:r>
            <w:proofErr w:type="spellEnd"/>
            <w:r w:rsidRPr="006A4755">
              <w:rPr>
                <w:rStyle w:val="SCCAppellantForRunningHeadChar"/>
                <w:lang w:val="fr-CA"/>
              </w:rPr>
              <w:t xml:space="preserve">, </w:t>
            </w:r>
            <w:r w:rsidRPr="00D54416">
              <w:rPr>
                <w:lang w:val="fr-CA"/>
              </w:rPr>
              <w:t>2017 CSC 53, [2017] 2 R.C.S. 384</w:t>
            </w:r>
            <w:bookmarkStart w:id="0" w:name="_GoBack"/>
            <w:bookmarkEnd w:id="0"/>
          </w:p>
        </w:tc>
        <w:tc>
          <w:tcPr>
            <w:tcW w:w="4266" w:type="dxa"/>
          </w:tcPr>
          <w:p w:rsidR="00D54416" w:rsidRPr="00D54416" w:rsidRDefault="00D54416" w:rsidP="00FA0535">
            <w:pPr>
              <w:rPr>
                <w:lang w:val="fr-CA"/>
              </w:rPr>
            </w:pPr>
            <w:r w:rsidRPr="00D54416">
              <w:rPr>
                <w:b/>
                <w:smallCaps/>
                <w:lang w:val="fr-CA"/>
              </w:rPr>
              <w:t>Appel entendu:</w:t>
            </w:r>
            <w:r w:rsidRPr="00D54416">
              <w:rPr>
                <w:lang w:val="fr-CA"/>
              </w:rPr>
              <w:t xml:space="preserve"> 30 octobre 2017</w:t>
            </w:r>
          </w:p>
          <w:p w:rsidR="00D54416" w:rsidRPr="00D54416" w:rsidRDefault="00D54416" w:rsidP="00FA0535">
            <w:pPr>
              <w:rPr>
                <w:b/>
                <w:smallCaps/>
                <w:lang w:val="fr-CA"/>
              </w:rPr>
            </w:pPr>
            <w:r w:rsidRPr="00D54416">
              <w:rPr>
                <w:b/>
                <w:smallCaps/>
                <w:lang w:val="fr-CA"/>
              </w:rPr>
              <w:t>Jugement rendu :</w:t>
            </w:r>
            <w:r w:rsidRPr="00D54416">
              <w:rPr>
                <w:lang w:val="fr-CA"/>
              </w:rPr>
              <w:t xml:space="preserve"> 30 octobre 2017</w:t>
            </w:r>
          </w:p>
          <w:p w:rsidR="00D54416" w:rsidRPr="001E12E2" w:rsidRDefault="00D54416" w:rsidP="00FA0535">
            <w:r w:rsidRPr="001E12E2">
              <w:rPr>
                <w:b/>
                <w:smallCaps/>
              </w:rPr>
              <w:t>Do</w:t>
            </w:r>
            <w:r>
              <w:rPr>
                <w:b/>
                <w:smallCaps/>
              </w:rPr>
              <w:t>ssiers :</w:t>
            </w:r>
            <w:r w:rsidRPr="001E12E2">
              <w:t xml:space="preserve"> </w:t>
            </w:r>
            <w:r w:rsidRPr="000866C9">
              <w:t>37235</w:t>
            </w:r>
          </w:p>
        </w:tc>
      </w:tr>
    </w:tbl>
    <w:p w:rsidR="00D54416" w:rsidRDefault="00D54416" w:rsidP="00D54416">
      <w:pPr>
        <w:pStyle w:val="SCCLsocPrefix"/>
      </w:pPr>
    </w:p>
    <w:p w:rsidR="00D54416" w:rsidRDefault="00D54416" w:rsidP="00D54416">
      <w:pPr>
        <w:pStyle w:val="SCCLsocPrefix"/>
        <w:jc w:val="both"/>
      </w:pPr>
    </w:p>
    <w:p w:rsidR="00D54416" w:rsidRDefault="00D54416" w:rsidP="00D54416">
      <w:pPr>
        <w:pStyle w:val="SCCLsocPrefix"/>
        <w:jc w:val="both"/>
      </w:pPr>
      <w:r>
        <w:t>Entre :</w:t>
      </w:r>
    </w:p>
    <w:p w:rsidR="00D54416" w:rsidRPr="00D54416" w:rsidRDefault="00D54416" w:rsidP="00D54416">
      <w:pPr>
        <w:pStyle w:val="SCCLsocParty"/>
        <w:jc w:val="center"/>
        <w:rPr>
          <w:lang w:val="fr-CA"/>
        </w:rPr>
      </w:pPr>
      <w:proofErr w:type="spellStart"/>
      <w:r w:rsidRPr="00D54416">
        <w:rPr>
          <w:lang w:val="fr-CA"/>
        </w:rPr>
        <w:t>Kwesi</w:t>
      </w:r>
      <w:proofErr w:type="spellEnd"/>
      <w:r w:rsidRPr="00D54416">
        <w:rPr>
          <w:lang w:val="fr-CA"/>
        </w:rPr>
        <w:t xml:space="preserve"> </w:t>
      </w:r>
      <w:proofErr w:type="spellStart"/>
      <w:r w:rsidRPr="00D54416">
        <w:rPr>
          <w:lang w:val="fr-CA"/>
        </w:rPr>
        <w:t>Millington</w:t>
      </w:r>
      <w:proofErr w:type="spellEnd"/>
    </w:p>
    <w:p w:rsidR="00D54416" w:rsidRPr="00D54416" w:rsidRDefault="00D54416" w:rsidP="00D54416">
      <w:pPr>
        <w:jc w:val="center"/>
        <w:rPr>
          <w:lang w:val="fr-CA"/>
        </w:rPr>
      </w:pPr>
      <w:r w:rsidRPr="00D54416">
        <w:rPr>
          <w:lang w:val="fr-CA"/>
        </w:rPr>
        <w:t>Appelant</w:t>
      </w:r>
    </w:p>
    <w:p w:rsidR="00D54416" w:rsidRPr="00D54416" w:rsidRDefault="00D54416" w:rsidP="00D54416">
      <w:pPr>
        <w:jc w:val="center"/>
        <w:rPr>
          <w:lang w:val="fr-CA"/>
        </w:rPr>
      </w:pPr>
    </w:p>
    <w:p w:rsidR="00D54416" w:rsidRPr="00D54416" w:rsidRDefault="00D54416" w:rsidP="00D54416">
      <w:pPr>
        <w:pStyle w:val="SCCLsocVersus"/>
        <w:spacing w:after="0"/>
        <w:jc w:val="center"/>
        <w:rPr>
          <w:i w:val="0"/>
          <w:lang w:val="fr-CA"/>
        </w:rPr>
      </w:pPr>
      <w:proofErr w:type="gramStart"/>
      <w:r w:rsidRPr="00D54416">
        <w:rPr>
          <w:i w:val="0"/>
          <w:lang w:val="fr-CA"/>
        </w:rPr>
        <w:t>et</w:t>
      </w:r>
      <w:proofErr w:type="gramEnd"/>
    </w:p>
    <w:p w:rsidR="00D54416" w:rsidRPr="00D54416" w:rsidRDefault="00D54416" w:rsidP="00D54416">
      <w:pPr>
        <w:jc w:val="center"/>
        <w:rPr>
          <w:lang w:val="fr-CA"/>
        </w:rPr>
      </w:pPr>
    </w:p>
    <w:p w:rsidR="00D54416" w:rsidRPr="00D54416" w:rsidRDefault="00D54416" w:rsidP="00D54416">
      <w:pPr>
        <w:pStyle w:val="SCCLsocParty"/>
        <w:jc w:val="center"/>
        <w:rPr>
          <w:lang w:val="fr-CA"/>
        </w:rPr>
      </w:pPr>
      <w:r w:rsidRPr="00D54416">
        <w:rPr>
          <w:lang w:val="fr-CA"/>
        </w:rPr>
        <w:t>Sa Majesté la Reine</w:t>
      </w:r>
    </w:p>
    <w:p w:rsidR="00D54416" w:rsidRPr="00D54416" w:rsidRDefault="00D54416" w:rsidP="00D54416">
      <w:pPr>
        <w:jc w:val="center"/>
        <w:rPr>
          <w:lang w:val="fr-CA"/>
        </w:rPr>
      </w:pPr>
      <w:r w:rsidRPr="00D54416">
        <w:rPr>
          <w:lang w:val="fr-CA"/>
        </w:rPr>
        <w:t>Intimée</w:t>
      </w:r>
    </w:p>
    <w:p w:rsidR="00D54416" w:rsidRPr="00D54416" w:rsidRDefault="00D54416" w:rsidP="00D54416">
      <w:pPr>
        <w:jc w:val="center"/>
        <w:rPr>
          <w:lang w:val="fr-CA"/>
        </w:rPr>
      </w:pPr>
    </w:p>
    <w:p w:rsidR="00D54416" w:rsidRPr="00D54416" w:rsidRDefault="00D54416" w:rsidP="00D54416">
      <w:pPr>
        <w:rPr>
          <w:lang w:val="fr-CA"/>
        </w:rPr>
      </w:pPr>
    </w:p>
    <w:p w:rsidR="00D54416" w:rsidRPr="00D54416" w:rsidRDefault="00D54416" w:rsidP="00D54416">
      <w:pPr>
        <w:rPr>
          <w:lang w:val="fr-CA"/>
        </w:rPr>
      </w:pPr>
    </w:p>
    <w:p w:rsidR="00D54416" w:rsidRPr="00D54416" w:rsidRDefault="00D54416" w:rsidP="00D54416">
      <w:pPr>
        <w:jc w:val="center"/>
        <w:rPr>
          <w:b/>
          <w:smallCaps/>
          <w:lang w:val="fr-CA"/>
        </w:rPr>
      </w:pPr>
      <w:r w:rsidRPr="00D54416">
        <w:rPr>
          <w:b/>
          <w:smallCaps/>
          <w:lang w:val="fr-CA"/>
        </w:rPr>
        <w:t>Traduction française officielle</w:t>
      </w:r>
    </w:p>
    <w:p w:rsidR="00D54416" w:rsidRPr="00D54416" w:rsidRDefault="00D54416" w:rsidP="00D54416">
      <w:pPr>
        <w:rPr>
          <w:lang w:val="fr-CA"/>
        </w:rPr>
      </w:pPr>
    </w:p>
    <w:p w:rsidR="00D54416" w:rsidRPr="00D54416" w:rsidRDefault="00D54416" w:rsidP="00D54416">
      <w:pPr>
        <w:rPr>
          <w:lang w:val="fr-CA"/>
        </w:rPr>
      </w:pPr>
      <w:r w:rsidRPr="00D54416">
        <w:rPr>
          <w:b/>
          <w:smallCaps/>
          <w:lang w:val="fr-CA"/>
        </w:rPr>
        <w:t>Coram :</w:t>
      </w:r>
      <w:r w:rsidRPr="00D54416">
        <w:rPr>
          <w:lang w:val="fr-CA"/>
        </w:rPr>
        <w:t xml:space="preserve"> Les juges Abella, </w:t>
      </w:r>
      <w:proofErr w:type="spellStart"/>
      <w:r w:rsidRPr="00D54416">
        <w:rPr>
          <w:lang w:val="fr-CA"/>
        </w:rPr>
        <w:t>Moldaver</w:t>
      </w:r>
      <w:proofErr w:type="spellEnd"/>
      <w:r w:rsidRPr="00D54416">
        <w:rPr>
          <w:lang w:val="fr-CA"/>
        </w:rPr>
        <w:t xml:space="preserve">, </w:t>
      </w:r>
      <w:proofErr w:type="spellStart"/>
      <w:r w:rsidRPr="00D54416">
        <w:rPr>
          <w:lang w:val="fr-CA"/>
        </w:rPr>
        <w:t>Karakatsanis</w:t>
      </w:r>
      <w:proofErr w:type="spellEnd"/>
      <w:r w:rsidRPr="00D54416">
        <w:rPr>
          <w:lang w:val="fr-CA"/>
        </w:rPr>
        <w:t>, Wagner, Gascon, Côté et Rowe</w:t>
      </w:r>
    </w:p>
    <w:p w:rsidR="00D54416" w:rsidRPr="00D54416" w:rsidRDefault="00D54416" w:rsidP="00D5441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54416" w:rsidRPr="00D54416" w:rsidTr="00FA0535">
        <w:trPr>
          <w:cantSplit/>
        </w:trPr>
        <w:tc>
          <w:tcPr>
            <w:tcW w:w="3618" w:type="dxa"/>
          </w:tcPr>
          <w:p w:rsidR="00D54416" w:rsidRDefault="00D54416" w:rsidP="00FA0535">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D54416" w:rsidRPr="0097746B" w:rsidRDefault="00D54416" w:rsidP="00FA0535">
            <w:r w:rsidRPr="0097746B">
              <w:t>(par. 1)</w:t>
            </w:r>
          </w:p>
        </w:tc>
        <w:tc>
          <w:tcPr>
            <w:tcW w:w="5958" w:type="dxa"/>
          </w:tcPr>
          <w:p w:rsidR="00D54416" w:rsidRPr="00D54416" w:rsidRDefault="00D54416" w:rsidP="00FA0535">
            <w:pPr>
              <w:rPr>
                <w:lang w:val="fr-CA"/>
              </w:rPr>
            </w:pPr>
            <w:r w:rsidRPr="00D54416">
              <w:rPr>
                <w:lang w:val="fr-CA"/>
              </w:rPr>
              <w:t xml:space="preserve">La juge Abella (avec l’accord des juges </w:t>
            </w:r>
            <w:proofErr w:type="spellStart"/>
            <w:r w:rsidRPr="00D54416">
              <w:rPr>
                <w:lang w:val="fr-CA"/>
              </w:rPr>
              <w:t>Moldaver</w:t>
            </w:r>
            <w:proofErr w:type="spellEnd"/>
            <w:r w:rsidRPr="00D54416">
              <w:rPr>
                <w:lang w:val="fr-CA"/>
              </w:rPr>
              <w:t xml:space="preserve">, </w:t>
            </w:r>
            <w:proofErr w:type="spellStart"/>
            <w:r w:rsidRPr="00D54416">
              <w:rPr>
                <w:lang w:val="fr-CA"/>
              </w:rPr>
              <w:t>Karakatsanis</w:t>
            </w:r>
            <w:proofErr w:type="spellEnd"/>
            <w:r w:rsidRPr="00D54416">
              <w:rPr>
                <w:lang w:val="fr-CA"/>
              </w:rPr>
              <w:t>, Wagner, Gascon, Côté et Rowe)</w:t>
            </w:r>
          </w:p>
        </w:tc>
      </w:tr>
    </w:tbl>
    <w:p w:rsidR="00D54416" w:rsidRPr="00D54416" w:rsidRDefault="00D54416" w:rsidP="00D54416">
      <w:pPr>
        <w:rPr>
          <w:lang w:val="fr-CA"/>
        </w:rPr>
      </w:pPr>
    </w:p>
    <w:p w:rsidR="00D54416" w:rsidRPr="00D54416" w:rsidRDefault="00D54416" w:rsidP="00D54416">
      <w:pPr>
        <w:rPr>
          <w:lang w:val="fr-CA"/>
        </w:rPr>
      </w:pPr>
      <w:r>
        <w:rPr>
          <w:noProof/>
          <w:lang w:val="en-US"/>
        </w:rPr>
        <mc:AlternateContent>
          <mc:Choice Requires="wps">
            <w:drawing>
              <wp:anchor distT="0" distB="0" distL="114300" distR="114300" simplePos="0" relativeHeight="251659264" behindDoc="0" locked="0" layoutInCell="1" allowOverlap="1" wp14:anchorId="6EB7CD23" wp14:editId="1C45AB2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63DA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54416" w:rsidRPr="00D54416" w:rsidRDefault="00D54416" w:rsidP="00D54416">
      <w:pPr>
        <w:rPr>
          <w:lang w:val="fr-CA"/>
        </w:rPr>
      </w:pPr>
    </w:p>
    <w:p w:rsidR="00D54416" w:rsidRPr="00D54416" w:rsidRDefault="00D54416" w:rsidP="00D54416">
      <w:pPr>
        <w:rPr>
          <w:lang w:val="fr-CA"/>
        </w:rPr>
      </w:pPr>
    </w:p>
    <w:p w:rsidR="00D54416" w:rsidRDefault="00D54416" w:rsidP="008934A0">
      <w:pPr>
        <w:widowControl w:val="0"/>
        <w:spacing w:line="480" w:lineRule="auto"/>
        <w:jc w:val="both"/>
        <w:rPr>
          <w:lang w:val="fr-CA"/>
        </w:rPr>
      </w:pPr>
    </w:p>
    <w:p w:rsidR="004D7D95" w:rsidRPr="00D54416" w:rsidRDefault="001C7635" w:rsidP="008934A0">
      <w:pPr>
        <w:widowControl w:val="0"/>
        <w:spacing w:line="480" w:lineRule="auto"/>
        <w:jc w:val="both"/>
        <w:rPr>
          <w:lang w:val="en-US"/>
        </w:rPr>
      </w:pPr>
      <w:r w:rsidRPr="00D54416">
        <w:rPr>
          <w:lang w:val="en-US"/>
        </w:rPr>
        <w:t>R</w:t>
      </w:r>
      <w:r w:rsidR="00DD0A51" w:rsidRPr="00D54416">
        <w:rPr>
          <w:lang w:val="en-US"/>
        </w:rPr>
        <w:t xml:space="preserve">. </w:t>
      </w:r>
      <w:r w:rsidR="00DD0A51" w:rsidRPr="00D54416">
        <w:rPr>
          <w:i/>
          <w:lang w:val="en-US"/>
        </w:rPr>
        <w:t xml:space="preserve">c. </w:t>
      </w:r>
      <w:r w:rsidRPr="00D54416">
        <w:rPr>
          <w:lang w:val="en-US"/>
        </w:rPr>
        <w:t>M</w:t>
      </w:r>
      <w:r w:rsidR="00DD0A51" w:rsidRPr="00D54416">
        <w:rPr>
          <w:lang w:val="en-US"/>
        </w:rPr>
        <w:t>illington</w:t>
      </w:r>
      <w:r w:rsidRPr="00D54416">
        <w:rPr>
          <w:lang w:val="en-US"/>
        </w:rPr>
        <w:t xml:space="preserve">, 2017 CSC 53, [2017] 2 R.C.S. 384 </w:t>
      </w:r>
    </w:p>
    <w:p w:rsidR="004D7D95" w:rsidRPr="00D54416" w:rsidRDefault="004D7D95" w:rsidP="008934A0">
      <w:pPr>
        <w:widowControl w:val="0"/>
        <w:jc w:val="both"/>
        <w:rPr>
          <w:lang w:val="en-US"/>
        </w:rPr>
      </w:pPr>
    </w:p>
    <w:p w:rsidR="004D7D95" w:rsidRPr="00D54416" w:rsidRDefault="004D7D95" w:rsidP="008934A0">
      <w:pPr>
        <w:widowControl w:val="0"/>
        <w:jc w:val="both"/>
        <w:rPr>
          <w:lang w:val="en-US"/>
        </w:rPr>
      </w:pPr>
    </w:p>
    <w:p w:rsidR="004D7D95" w:rsidRPr="00D54416" w:rsidRDefault="004D7D95" w:rsidP="008934A0">
      <w:pPr>
        <w:widowControl w:val="0"/>
        <w:jc w:val="both"/>
        <w:rPr>
          <w:lang w:val="en-US"/>
        </w:rPr>
      </w:pPr>
    </w:p>
    <w:p w:rsidR="00914770" w:rsidRPr="000866C9" w:rsidRDefault="005309C8" w:rsidP="008934A0">
      <w:pPr>
        <w:pStyle w:val="SCCLsocLastPartyInRole"/>
        <w:widowControl w:val="0"/>
        <w:rPr>
          <w:lang w:val="fr-CA"/>
        </w:rPr>
      </w:pPr>
      <w:proofErr w:type="spellStart"/>
      <w:r w:rsidRPr="000866C9">
        <w:rPr>
          <w:lang w:val="fr-CA"/>
        </w:rPr>
        <w:t>Kwesi</w:t>
      </w:r>
      <w:proofErr w:type="spellEnd"/>
      <w:r w:rsidRPr="000866C9">
        <w:rPr>
          <w:lang w:val="fr-CA"/>
        </w:rPr>
        <w:t xml:space="preserve"> </w:t>
      </w:r>
      <w:proofErr w:type="spellStart"/>
      <w:r w:rsidRPr="000866C9">
        <w:rPr>
          <w:lang w:val="fr-CA"/>
        </w:rPr>
        <w:t>Millington</w:t>
      </w:r>
      <w:proofErr w:type="spellEnd"/>
      <w:r w:rsidRPr="000866C9">
        <w:rPr>
          <w:rStyle w:val="SCCLsocPartyRole"/>
          <w:lang w:val="fr-CA"/>
        </w:rPr>
        <w:tab/>
        <w:t>Appelant</w:t>
      </w:r>
    </w:p>
    <w:p w:rsidR="00914770" w:rsidRPr="000866C9" w:rsidRDefault="005309C8" w:rsidP="008934A0">
      <w:pPr>
        <w:pStyle w:val="SCCLsocVersus"/>
        <w:widowControl w:val="0"/>
        <w:rPr>
          <w:lang w:val="fr-CA"/>
        </w:rPr>
      </w:pPr>
      <w:r w:rsidRPr="000866C9">
        <w:rPr>
          <w:lang w:val="fr-CA"/>
        </w:rPr>
        <w:t>c.</w:t>
      </w:r>
    </w:p>
    <w:p w:rsidR="00914770" w:rsidRPr="000866C9" w:rsidRDefault="005309C8" w:rsidP="008934A0">
      <w:pPr>
        <w:pStyle w:val="SCCLsocLastPartyInRole"/>
        <w:widowControl w:val="0"/>
        <w:rPr>
          <w:lang w:val="fr-CA"/>
        </w:rPr>
      </w:pPr>
      <w:r w:rsidRPr="000866C9">
        <w:rPr>
          <w:lang w:val="fr-CA"/>
        </w:rPr>
        <w:lastRenderedPageBreak/>
        <w:t>Sa Majesté la Reine</w:t>
      </w:r>
      <w:r w:rsidRPr="000866C9">
        <w:rPr>
          <w:rStyle w:val="SCCLsocPartyRole"/>
          <w:lang w:val="fr-CA"/>
        </w:rPr>
        <w:tab/>
        <w:t>Intimé</w:t>
      </w:r>
      <w:r w:rsidR="008E4A97">
        <w:rPr>
          <w:rStyle w:val="SCCLsocPartyRole"/>
          <w:lang w:val="fr-CA"/>
        </w:rPr>
        <w:t>e</w:t>
      </w:r>
    </w:p>
    <w:p w:rsidR="004D7D95" w:rsidRDefault="004D7D95" w:rsidP="008934A0">
      <w:pPr>
        <w:widowControl w:val="0"/>
        <w:jc w:val="both"/>
        <w:rPr>
          <w:lang w:val="fr-CA"/>
        </w:rPr>
      </w:pPr>
    </w:p>
    <w:p w:rsidR="008E4A97" w:rsidRDefault="008E4A97" w:rsidP="008934A0">
      <w:pPr>
        <w:widowControl w:val="0"/>
        <w:jc w:val="both"/>
        <w:rPr>
          <w:lang w:val="fr-CA"/>
        </w:rPr>
      </w:pPr>
    </w:p>
    <w:p w:rsidR="008E4A97" w:rsidRPr="000866C9" w:rsidRDefault="008E4A97" w:rsidP="008934A0">
      <w:pPr>
        <w:widowControl w:val="0"/>
        <w:jc w:val="both"/>
        <w:rPr>
          <w:lang w:val="fr-CA"/>
        </w:rPr>
      </w:pPr>
    </w:p>
    <w:p w:rsidR="004D7D95" w:rsidRPr="000866C9" w:rsidRDefault="004D7D95" w:rsidP="008934A0">
      <w:pPr>
        <w:widowControl w:val="0"/>
        <w:jc w:val="both"/>
        <w:rPr>
          <w:b/>
          <w:lang w:val="fr-CA"/>
        </w:rPr>
      </w:pPr>
      <w:r w:rsidRPr="00BB4C92">
        <w:rPr>
          <w:b/>
          <w:lang w:val="fr-CA"/>
        </w:rPr>
        <w:t>Répertorié : </w:t>
      </w:r>
      <w:r w:rsidR="00CA5476">
        <w:rPr>
          <w:b/>
          <w:lang w:val="fr-CA"/>
        </w:rPr>
        <w:t xml:space="preserve">R. </w:t>
      </w:r>
      <w:r w:rsidR="00CA5476" w:rsidRPr="00CA5476">
        <w:rPr>
          <w:b/>
          <w:i/>
          <w:lang w:val="fr-CA"/>
        </w:rPr>
        <w:t>c.</w:t>
      </w:r>
      <w:r w:rsidR="00CA5476">
        <w:rPr>
          <w:b/>
          <w:lang w:val="fr-CA"/>
        </w:rPr>
        <w:t xml:space="preserve"> Millington</w:t>
      </w: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D17B0E" w:rsidP="008934A0">
      <w:pPr>
        <w:pStyle w:val="SCCSystemYear"/>
        <w:widowControl w:val="0"/>
        <w:jc w:val="both"/>
        <w:rPr>
          <w:lang w:val="fr-CA"/>
        </w:rPr>
      </w:pPr>
      <w:r w:rsidRPr="000866C9">
        <w:rPr>
          <w:lang w:val="fr-CA"/>
        </w:rPr>
        <w:t>2017</w:t>
      </w:r>
      <w:r w:rsidR="004D7D95" w:rsidRPr="000866C9">
        <w:rPr>
          <w:lang w:val="fr-CA"/>
        </w:rPr>
        <w:t xml:space="preserve"> CSC </w:t>
      </w:r>
      <w:r w:rsidR="008E4A97">
        <w:rPr>
          <w:lang w:val="fr-CA"/>
        </w:rPr>
        <w:t>53</w:t>
      </w: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r w:rsidRPr="000866C9">
        <w:rPr>
          <w:lang w:val="fr-CA"/>
        </w:rPr>
        <w:t>N</w:t>
      </w:r>
      <w:r w:rsidRPr="000866C9">
        <w:rPr>
          <w:vertAlign w:val="superscript"/>
          <w:lang w:val="fr-CA"/>
        </w:rPr>
        <w:t>o</w:t>
      </w:r>
      <w:r w:rsidRPr="000866C9">
        <w:rPr>
          <w:lang w:val="fr-CA"/>
        </w:rPr>
        <w:t xml:space="preserve"> du greffe : 37235.</w:t>
      </w: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D17B0E" w:rsidP="008934A0">
      <w:pPr>
        <w:widowControl w:val="0"/>
        <w:jc w:val="both"/>
        <w:rPr>
          <w:lang w:val="fr-CA"/>
        </w:rPr>
      </w:pPr>
      <w:r w:rsidRPr="000866C9">
        <w:rPr>
          <w:lang w:val="fr-CA"/>
        </w:rPr>
        <w:t>2017 : 30 octobre</w:t>
      </w:r>
      <w:r w:rsidR="004D7D95" w:rsidRPr="000866C9">
        <w:rPr>
          <w:lang w:val="fr-CA"/>
        </w:rPr>
        <w:t>.</w:t>
      </w: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p>
    <w:p w:rsidR="004D7D95" w:rsidRPr="000866C9" w:rsidRDefault="004D7D95" w:rsidP="008934A0">
      <w:pPr>
        <w:widowControl w:val="0"/>
        <w:jc w:val="both"/>
        <w:rPr>
          <w:lang w:val="fr-CA"/>
        </w:rPr>
      </w:pPr>
      <w:r w:rsidRPr="000866C9">
        <w:rPr>
          <w:lang w:val="fr-CA"/>
        </w:rPr>
        <w:t>Présents : Les juges Abella, Moldaver, Karakatsanis, Wagner, Gascon, Côté et Rowe.</w:t>
      </w:r>
    </w:p>
    <w:p w:rsidR="004D7D95" w:rsidRPr="000866C9" w:rsidRDefault="004D7D95" w:rsidP="008934A0">
      <w:pPr>
        <w:widowControl w:val="0"/>
        <w:jc w:val="both"/>
        <w:rPr>
          <w:lang w:val="fr-CA"/>
        </w:rPr>
      </w:pPr>
    </w:p>
    <w:p w:rsidR="00EE0830" w:rsidRPr="000866C9" w:rsidRDefault="00EE0830" w:rsidP="008934A0">
      <w:pPr>
        <w:widowControl w:val="0"/>
        <w:jc w:val="both"/>
        <w:rPr>
          <w:lang w:val="fr-CA"/>
        </w:rPr>
      </w:pPr>
    </w:p>
    <w:p w:rsidR="002B6FBE" w:rsidRPr="000866C9" w:rsidRDefault="002B6FBE" w:rsidP="008934A0">
      <w:pPr>
        <w:widowControl w:val="0"/>
        <w:jc w:val="both"/>
        <w:rPr>
          <w:lang w:val="fr-CA"/>
        </w:rPr>
      </w:pPr>
    </w:p>
    <w:p w:rsidR="00CA5476" w:rsidRPr="00BB4C92" w:rsidRDefault="00CA5476" w:rsidP="008934A0">
      <w:pPr>
        <w:widowControl w:val="0"/>
        <w:jc w:val="both"/>
        <w:rPr>
          <w:lang w:val="fr-CA"/>
        </w:rPr>
      </w:pPr>
      <w:r w:rsidRPr="0010631B">
        <w:rPr>
          <w:smallCaps/>
          <w:lang w:val="fr-CA"/>
        </w:rPr>
        <w:t>en appel de la cour d’appel de la colombie-britannique</w:t>
      </w:r>
      <w:r w:rsidRPr="00A42348">
        <w:rPr>
          <w:lang w:val="fr-CA"/>
        </w:rPr>
        <w:t xml:space="preserve"> </w:t>
      </w:r>
    </w:p>
    <w:p w:rsidR="00BF6FE9" w:rsidRPr="000866C9" w:rsidRDefault="00BF6FE9" w:rsidP="008934A0">
      <w:pPr>
        <w:widowControl w:val="0"/>
        <w:jc w:val="both"/>
        <w:rPr>
          <w:lang w:val="fr-CA"/>
        </w:rPr>
      </w:pPr>
    </w:p>
    <w:p w:rsidR="00BF6FE9" w:rsidRPr="000866C9" w:rsidRDefault="00BF6FE9" w:rsidP="008934A0">
      <w:pPr>
        <w:widowControl w:val="0"/>
        <w:jc w:val="both"/>
        <w:rPr>
          <w:lang w:val="fr-CA"/>
        </w:rPr>
      </w:pPr>
    </w:p>
    <w:p w:rsidR="00914770" w:rsidRPr="000866C9" w:rsidRDefault="00914770" w:rsidP="008934A0">
      <w:pPr>
        <w:widowControl w:val="0"/>
        <w:rPr>
          <w:lang w:val="fr-CA"/>
        </w:rPr>
      </w:pPr>
    </w:p>
    <w:p w:rsidR="004D7D95" w:rsidRPr="008769E7" w:rsidRDefault="004D7D95" w:rsidP="008934A0">
      <w:pPr>
        <w:pStyle w:val="SCCNormalDoubleSpacing"/>
        <w:widowControl w:val="0"/>
        <w:rPr>
          <w:i/>
          <w:lang w:val="fr-CA"/>
        </w:rPr>
      </w:pPr>
      <w:r w:rsidRPr="00BB4C92">
        <w:rPr>
          <w:lang w:val="fr-CA"/>
        </w:rPr>
        <w:tab/>
      </w:r>
      <w:r w:rsidR="00A80B8E" w:rsidRPr="008769E7">
        <w:rPr>
          <w:i/>
          <w:lang w:val="fr-CA"/>
        </w:rPr>
        <w:t xml:space="preserve">Droit criminel </w:t>
      </w:r>
      <w:r w:rsidR="001652A8">
        <w:rPr>
          <w:i/>
          <w:lang w:val="fr-CA"/>
        </w:rPr>
        <w:t>— Appels — Verdict déraisonnable —</w:t>
      </w:r>
      <w:r w:rsidR="00A80B8E" w:rsidRPr="008769E7">
        <w:rPr>
          <w:i/>
          <w:lang w:val="fr-CA"/>
        </w:rPr>
        <w:t xml:space="preserve"> M</w:t>
      </w:r>
      <w:r w:rsidR="00F30A21" w:rsidRPr="008769E7">
        <w:rPr>
          <w:i/>
          <w:lang w:val="fr-CA"/>
        </w:rPr>
        <w:t>auvaise appréciation de la preuve</w:t>
      </w:r>
      <w:r w:rsidR="00A80B8E" w:rsidRPr="008769E7">
        <w:rPr>
          <w:i/>
          <w:lang w:val="fr-CA"/>
        </w:rPr>
        <w:t xml:space="preserve"> </w:t>
      </w:r>
      <w:r w:rsidR="001652A8">
        <w:rPr>
          <w:i/>
          <w:lang w:val="fr-CA"/>
        </w:rPr>
        <w:t>—</w:t>
      </w:r>
      <w:r w:rsidR="00A80B8E" w:rsidRPr="008769E7">
        <w:rPr>
          <w:i/>
          <w:lang w:val="fr-CA"/>
        </w:rPr>
        <w:t xml:space="preserve"> </w:t>
      </w:r>
      <w:r w:rsidR="00F30A21" w:rsidRPr="008769E7">
        <w:rPr>
          <w:i/>
          <w:lang w:val="fr-CA"/>
        </w:rPr>
        <w:t>Préclusion découlant d’une question déjà tranchée</w:t>
      </w:r>
      <w:r w:rsidR="00A80B8E" w:rsidRPr="008769E7">
        <w:rPr>
          <w:i/>
          <w:lang w:val="fr-CA"/>
        </w:rPr>
        <w:t xml:space="preserve"> </w:t>
      </w:r>
      <w:r w:rsidR="001652A8">
        <w:rPr>
          <w:i/>
          <w:lang w:val="fr-CA"/>
        </w:rPr>
        <w:t>—</w:t>
      </w:r>
      <w:r w:rsidR="00A80B8E" w:rsidRPr="008769E7">
        <w:rPr>
          <w:i/>
          <w:lang w:val="fr-CA"/>
        </w:rPr>
        <w:t xml:space="preserve"> Abus</w:t>
      </w:r>
      <w:r w:rsidR="00F30A21" w:rsidRPr="008769E7">
        <w:rPr>
          <w:i/>
          <w:lang w:val="fr-CA"/>
        </w:rPr>
        <w:t xml:space="preserve"> de procédure</w:t>
      </w:r>
      <w:r w:rsidR="001652A8">
        <w:rPr>
          <w:i/>
          <w:lang w:val="fr-CA"/>
        </w:rPr>
        <w:t xml:space="preserve"> —</w:t>
      </w:r>
      <w:r w:rsidR="00A80B8E" w:rsidRPr="008769E7">
        <w:rPr>
          <w:i/>
          <w:lang w:val="fr-CA"/>
        </w:rPr>
        <w:t xml:space="preserve"> Accus</w:t>
      </w:r>
      <w:r w:rsidR="008769E7">
        <w:rPr>
          <w:i/>
          <w:lang w:val="fr-CA"/>
        </w:rPr>
        <w:t xml:space="preserve">ations de parjure déposées contre l’accusé </w:t>
      </w:r>
      <w:r w:rsidR="00F30A21" w:rsidRPr="008769E7">
        <w:rPr>
          <w:i/>
          <w:lang w:val="fr-CA"/>
        </w:rPr>
        <w:t xml:space="preserve">et trois autres agents de la GRC </w:t>
      </w:r>
      <w:r w:rsidR="008769E7">
        <w:rPr>
          <w:i/>
          <w:lang w:val="fr-CA"/>
        </w:rPr>
        <w:t xml:space="preserve">pour </w:t>
      </w:r>
      <w:r w:rsidR="008769E7" w:rsidRPr="008769E7">
        <w:rPr>
          <w:i/>
          <w:lang w:val="fr-CA"/>
        </w:rPr>
        <w:t xml:space="preserve">témoignages inexacts </w:t>
      </w:r>
      <w:r w:rsidR="008769E7">
        <w:rPr>
          <w:i/>
          <w:lang w:val="fr-CA"/>
        </w:rPr>
        <w:t xml:space="preserve">fournis </w:t>
      </w:r>
      <w:r w:rsidR="008769E7" w:rsidRPr="008769E7">
        <w:rPr>
          <w:i/>
          <w:lang w:val="fr-CA"/>
        </w:rPr>
        <w:t>lors d’une enquête concernant l</w:t>
      </w:r>
      <w:r w:rsidR="00A80B8E" w:rsidRPr="008769E7">
        <w:rPr>
          <w:i/>
          <w:lang w:val="fr-CA"/>
        </w:rPr>
        <w:t>e</w:t>
      </w:r>
      <w:r w:rsidR="008769E7" w:rsidRPr="008769E7">
        <w:rPr>
          <w:i/>
          <w:lang w:val="fr-CA"/>
        </w:rPr>
        <w:t xml:space="preserve"> décès d’un visiteur dans un aéroport par suite de l’utilisation contre </w:t>
      </w:r>
      <w:r w:rsidR="00F02A45">
        <w:rPr>
          <w:i/>
          <w:lang w:val="fr-CA"/>
        </w:rPr>
        <w:t>ce</w:t>
      </w:r>
      <w:r w:rsidR="008769E7" w:rsidRPr="008769E7">
        <w:rPr>
          <w:i/>
          <w:lang w:val="fr-CA"/>
        </w:rPr>
        <w:t>lui</w:t>
      </w:r>
      <w:r w:rsidR="00F02A45">
        <w:rPr>
          <w:i/>
          <w:lang w:val="fr-CA"/>
        </w:rPr>
        <w:t>-ci</w:t>
      </w:r>
      <w:r w:rsidR="008769E7" w:rsidRPr="008769E7">
        <w:rPr>
          <w:i/>
          <w:lang w:val="fr-CA"/>
        </w:rPr>
        <w:t xml:space="preserve"> d’un pistolet paralysant </w:t>
      </w:r>
      <w:r w:rsidR="008769E7">
        <w:rPr>
          <w:i/>
          <w:lang w:val="fr-CA"/>
        </w:rPr>
        <w:t>par l’accusé</w:t>
      </w:r>
      <w:r w:rsidR="00A80B8E" w:rsidRPr="008769E7">
        <w:rPr>
          <w:i/>
          <w:lang w:val="fr-CA"/>
        </w:rPr>
        <w:t xml:space="preserve"> </w:t>
      </w:r>
      <w:r w:rsidR="001652A8">
        <w:rPr>
          <w:i/>
          <w:lang w:val="fr-CA"/>
        </w:rPr>
        <w:t>—</w:t>
      </w:r>
      <w:r w:rsidR="00A80B8E" w:rsidRPr="008769E7">
        <w:rPr>
          <w:i/>
          <w:lang w:val="fr-CA"/>
        </w:rPr>
        <w:t xml:space="preserve"> </w:t>
      </w:r>
      <w:r w:rsidR="00576E7A">
        <w:rPr>
          <w:i/>
          <w:lang w:val="fr-CA"/>
        </w:rPr>
        <w:t>Tenue de procès distincts</w:t>
      </w:r>
      <w:r w:rsidR="001652A8">
        <w:rPr>
          <w:i/>
          <w:lang w:val="fr-CA"/>
        </w:rPr>
        <w:t xml:space="preserve"> —</w:t>
      </w:r>
      <w:r w:rsidR="00A80B8E" w:rsidRPr="008769E7">
        <w:rPr>
          <w:i/>
          <w:lang w:val="fr-CA"/>
        </w:rPr>
        <w:t xml:space="preserve"> </w:t>
      </w:r>
      <w:r w:rsidR="00576E7A">
        <w:rPr>
          <w:i/>
          <w:lang w:val="fr-CA"/>
        </w:rPr>
        <w:t>Déclaration de culpabilité inscrite contre l’accusé et un autre agent mais acquittement prononcé en faveur des deux autres agents</w:t>
      </w:r>
      <w:r w:rsidR="001652A8">
        <w:rPr>
          <w:i/>
          <w:lang w:val="fr-CA"/>
        </w:rPr>
        <w:t xml:space="preserve"> —</w:t>
      </w:r>
      <w:r w:rsidR="00A80B8E" w:rsidRPr="008769E7">
        <w:rPr>
          <w:i/>
          <w:lang w:val="fr-CA"/>
        </w:rPr>
        <w:t xml:space="preserve"> </w:t>
      </w:r>
      <w:r w:rsidR="00576E7A">
        <w:rPr>
          <w:i/>
          <w:lang w:val="fr-CA"/>
        </w:rPr>
        <w:t xml:space="preserve">Décision de la Cour d’appel portant que les </w:t>
      </w:r>
      <w:r w:rsidR="00576E7A">
        <w:rPr>
          <w:i/>
          <w:lang w:val="fr-CA"/>
        </w:rPr>
        <w:lastRenderedPageBreak/>
        <w:t>conclusions de fait du juge du procès n</w:t>
      </w:r>
      <w:r w:rsidR="00F02A45">
        <w:rPr>
          <w:i/>
          <w:lang w:val="fr-CA"/>
        </w:rPr>
        <w:t xml:space="preserve">’étaient </w:t>
      </w:r>
      <w:r w:rsidR="00576E7A">
        <w:rPr>
          <w:i/>
          <w:lang w:val="fr-CA"/>
        </w:rPr>
        <w:t>entachées d’aucune erreur révisable, que ce dernier n’a</w:t>
      </w:r>
      <w:r w:rsidR="00F02A45">
        <w:rPr>
          <w:i/>
          <w:lang w:val="fr-CA"/>
        </w:rPr>
        <w:t>vait</w:t>
      </w:r>
      <w:r w:rsidR="00576E7A">
        <w:rPr>
          <w:i/>
          <w:lang w:val="fr-CA"/>
        </w:rPr>
        <w:t xml:space="preserve"> pas mal apprécié la preuve </w:t>
      </w:r>
      <w:r w:rsidR="00F02A45">
        <w:rPr>
          <w:i/>
          <w:lang w:val="fr-CA"/>
        </w:rPr>
        <w:t xml:space="preserve">et qu’il n’avait pas commis d’erreur en permettant à la Couronne de </w:t>
      </w:r>
      <w:r w:rsidR="00000139">
        <w:rPr>
          <w:i/>
          <w:lang w:val="fr-CA"/>
        </w:rPr>
        <w:t>soulever la question</w:t>
      </w:r>
      <w:r w:rsidR="002E4E0A">
        <w:rPr>
          <w:i/>
          <w:lang w:val="fr-CA"/>
        </w:rPr>
        <w:t xml:space="preserve"> de </w:t>
      </w:r>
      <w:r w:rsidR="00000139">
        <w:rPr>
          <w:i/>
          <w:lang w:val="fr-CA"/>
        </w:rPr>
        <w:t xml:space="preserve">la </w:t>
      </w:r>
      <w:r w:rsidR="002E4E0A">
        <w:rPr>
          <w:i/>
          <w:lang w:val="fr-CA"/>
        </w:rPr>
        <w:t>collusion</w:t>
      </w:r>
      <w:r w:rsidR="00F02A45">
        <w:rPr>
          <w:i/>
          <w:lang w:val="fr-CA"/>
        </w:rPr>
        <w:t xml:space="preserve"> au procès de l’accusé</w:t>
      </w:r>
      <w:r w:rsidR="001652A8">
        <w:rPr>
          <w:i/>
          <w:lang w:val="fr-CA"/>
        </w:rPr>
        <w:t xml:space="preserve"> —</w:t>
      </w:r>
      <w:r w:rsidR="00A80B8E" w:rsidRPr="008769E7">
        <w:rPr>
          <w:i/>
          <w:lang w:val="fr-CA"/>
        </w:rPr>
        <w:t xml:space="preserve"> </w:t>
      </w:r>
      <w:r w:rsidR="00F02A45">
        <w:rPr>
          <w:i/>
          <w:lang w:val="fr-CA"/>
        </w:rPr>
        <w:t>Déclaration de culpabilité confirmée</w:t>
      </w:r>
      <w:r w:rsidR="00A80B8E" w:rsidRPr="008769E7">
        <w:rPr>
          <w:i/>
          <w:lang w:val="fr-CA"/>
        </w:rPr>
        <w:t xml:space="preserve">. </w:t>
      </w:r>
    </w:p>
    <w:p w:rsidR="00766B0C" w:rsidRDefault="00766B0C" w:rsidP="008934A0">
      <w:pPr>
        <w:pStyle w:val="SCCNormalDoubleSpacing"/>
        <w:widowControl w:val="0"/>
        <w:rPr>
          <w:lang w:val="fr-CA"/>
        </w:rPr>
      </w:pPr>
    </w:p>
    <w:p w:rsidR="004D7D95" w:rsidRPr="00CA5476" w:rsidRDefault="00766B0C" w:rsidP="008934A0">
      <w:pPr>
        <w:pStyle w:val="SCCNormalDoubleSpacing"/>
        <w:widowControl w:val="0"/>
        <w:rPr>
          <w:lang w:val="fr-CA"/>
        </w:rPr>
      </w:pPr>
      <w:r>
        <w:rPr>
          <w:lang w:val="fr-CA"/>
        </w:rPr>
        <w:tab/>
      </w:r>
      <w:r w:rsidR="00CA5476" w:rsidRPr="004D7D95">
        <w:rPr>
          <w:lang w:val="fr-CA"/>
        </w:rPr>
        <w:t xml:space="preserve">POURVOI contre un arrêt de la </w:t>
      </w:r>
      <w:r w:rsidR="00CA5476" w:rsidRPr="00A42348">
        <w:rPr>
          <w:lang w:val="fr-CA"/>
        </w:rPr>
        <w:t xml:space="preserve">Cour d’appel de la Colombie-Britannique </w:t>
      </w:r>
      <w:r w:rsidR="00CA5476">
        <w:rPr>
          <w:lang w:val="fr-CA"/>
        </w:rPr>
        <w:t xml:space="preserve">(les juges Lowry, Harris et Dickson), </w:t>
      </w:r>
      <w:r w:rsidR="00CA5476" w:rsidRPr="00CA5476">
        <w:rPr>
          <w:lang w:val="fr-CA"/>
        </w:rPr>
        <w:t>2016 BCCA 293, [2016] B.C.J. No. 1491 (QL), 2016 CarswellBC 1942 (WL Can.),</w:t>
      </w:r>
      <w:r w:rsidR="00CA5476">
        <w:rPr>
          <w:lang w:val="fr-CA"/>
        </w:rPr>
        <w:t xml:space="preserve"> </w:t>
      </w:r>
      <w:r w:rsidR="00CA5476" w:rsidRPr="00DA4EE7">
        <w:rPr>
          <w:lang w:val="fr-CA"/>
        </w:rPr>
        <w:t xml:space="preserve">qui a confirmé la déclaration de culpabilité </w:t>
      </w:r>
      <w:r w:rsidR="00DA4EE7">
        <w:rPr>
          <w:lang w:val="fr-CA"/>
        </w:rPr>
        <w:t xml:space="preserve">inscrite par le juge Ehrcke, </w:t>
      </w:r>
      <w:r w:rsidR="00FC430D">
        <w:rPr>
          <w:lang w:val="fr-CA"/>
        </w:rPr>
        <w:t xml:space="preserve">2015 BCSC 515, </w:t>
      </w:r>
      <w:r w:rsidR="00DA4EE7">
        <w:rPr>
          <w:lang w:val="fr-CA"/>
        </w:rPr>
        <w:t>[2015] B.C.J. No. 627</w:t>
      </w:r>
      <w:r w:rsidR="001652A8">
        <w:rPr>
          <w:lang w:val="fr-CA"/>
        </w:rPr>
        <w:t xml:space="preserve"> (QL)</w:t>
      </w:r>
      <w:r w:rsidR="00DA4EE7">
        <w:rPr>
          <w:lang w:val="fr-CA"/>
        </w:rPr>
        <w:t>, 2015 CarswellBC 867</w:t>
      </w:r>
      <w:r w:rsidR="001652A8">
        <w:rPr>
          <w:lang w:val="fr-CA"/>
        </w:rPr>
        <w:t xml:space="preserve"> (WL Can.)</w:t>
      </w:r>
      <w:r w:rsidR="00CA5476" w:rsidRPr="00DA4EE7">
        <w:rPr>
          <w:lang w:val="fr-CA"/>
        </w:rPr>
        <w:t>.</w:t>
      </w:r>
      <w:r w:rsidR="00CA5476">
        <w:rPr>
          <w:lang w:val="fr-CA"/>
        </w:rPr>
        <w:t xml:space="preserve">  Pourvoi</w:t>
      </w:r>
      <w:r w:rsidR="005309C8">
        <w:rPr>
          <w:lang w:val="fr-CA"/>
        </w:rPr>
        <w:t xml:space="preserve"> rejeté, la juge Côté est dissidente.</w:t>
      </w:r>
    </w:p>
    <w:p w:rsidR="004D7D95" w:rsidRPr="004D7D95" w:rsidRDefault="004D7D95" w:rsidP="008934A0">
      <w:pPr>
        <w:pStyle w:val="SCCNormalDoubleSpacing"/>
        <w:widowControl w:val="0"/>
        <w:rPr>
          <w:lang w:val="fr-CA"/>
        </w:rPr>
      </w:pPr>
    </w:p>
    <w:p w:rsidR="00914770" w:rsidRPr="000866C9" w:rsidRDefault="005309C8" w:rsidP="008934A0">
      <w:pPr>
        <w:pStyle w:val="SCCNormalDoubleSpacing"/>
        <w:widowControl w:val="0"/>
        <w:rPr>
          <w:lang w:val="fr-CA"/>
        </w:rPr>
      </w:pPr>
      <w:r w:rsidRPr="000866C9">
        <w:rPr>
          <w:rStyle w:val="SCCCounselNameChar"/>
          <w:lang w:val="fr-CA"/>
        </w:rPr>
        <w:tab/>
        <w:t>Glen Orris</w:t>
      </w:r>
      <w:r w:rsidRPr="00827358">
        <w:rPr>
          <w:rStyle w:val="SCCCounselNameChar"/>
          <w:i w:val="0"/>
          <w:lang w:val="fr-CA"/>
        </w:rPr>
        <w:t>,</w:t>
      </w:r>
      <w:r w:rsidRPr="000866C9">
        <w:rPr>
          <w:rStyle w:val="SCCCounselNameChar"/>
          <w:lang w:val="fr-CA"/>
        </w:rPr>
        <w:t xml:space="preserve"> </w:t>
      </w:r>
      <w:proofErr w:type="gramStart"/>
      <w:r>
        <w:rPr>
          <w:rStyle w:val="SCCCounselNameChar"/>
          <w:lang w:val="fr-CA"/>
        </w:rPr>
        <w:t>c.r.</w:t>
      </w:r>
      <w:r w:rsidRPr="000866C9">
        <w:rPr>
          <w:rStyle w:val="SCCCounselPartyRoleChar"/>
          <w:lang w:val="fr-CA"/>
        </w:rPr>
        <w:t>,</w:t>
      </w:r>
      <w:proofErr w:type="gramEnd"/>
      <w:r w:rsidRPr="000866C9">
        <w:rPr>
          <w:rStyle w:val="SCCCounselPartyRoleChar"/>
          <w:lang w:val="fr-CA"/>
        </w:rPr>
        <w:t xml:space="preserve"> pour </w:t>
      </w:r>
      <w:r w:rsidR="00401F79">
        <w:rPr>
          <w:rStyle w:val="SCCCounselPartyRoleChar"/>
          <w:lang w:val="fr-CA"/>
        </w:rPr>
        <w:t>l’</w:t>
      </w:r>
      <w:r w:rsidRPr="000866C9">
        <w:rPr>
          <w:rStyle w:val="SCCCounselPartyRoleChar"/>
          <w:lang w:val="fr-CA"/>
        </w:rPr>
        <w:t>appelant</w:t>
      </w:r>
      <w:r w:rsidR="00401F79">
        <w:rPr>
          <w:rStyle w:val="SCCCounselPartyRoleChar"/>
          <w:lang w:val="fr-CA"/>
        </w:rPr>
        <w:t>.</w:t>
      </w:r>
    </w:p>
    <w:p w:rsidR="00914770" w:rsidRPr="000866C9" w:rsidRDefault="00914770" w:rsidP="008934A0">
      <w:pPr>
        <w:pStyle w:val="SCCNormalDoubleSpacing"/>
        <w:widowControl w:val="0"/>
        <w:rPr>
          <w:lang w:val="fr-CA"/>
        </w:rPr>
      </w:pPr>
    </w:p>
    <w:p w:rsidR="00914770" w:rsidRPr="000866C9" w:rsidRDefault="005309C8" w:rsidP="008934A0">
      <w:pPr>
        <w:pStyle w:val="SCCNormalDoubleSpacing"/>
        <w:widowControl w:val="0"/>
        <w:rPr>
          <w:lang w:val="fr-CA"/>
        </w:rPr>
      </w:pPr>
      <w:r w:rsidRPr="000866C9">
        <w:rPr>
          <w:rStyle w:val="SCCCounselNameChar"/>
          <w:lang w:val="fr-CA"/>
        </w:rPr>
        <w:tab/>
        <w:t>Richard C.</w:t>
      </w:r>
      <w:r w:rsidR="00401F79">
        <w:rPr>
          <w:rStyle w:val="SCCCounselNameChar"/>
          <w:lang w:val="fr-CA"/>
        </w:rPr>
        <w:t xml:space="preserve"> </w:t>
      </w:r>
      <w:r w:rsidRPr="000866C9">
        <w:rPr>
          <w:rStyle w:val="SCCCounselNameChar"/>
          <w:lang w:val="fr-CA"/>
        </w:rPr>
        <w:t>C. Peck</w:t>
      </w:r>
      <w:r w:rsidRPr="001652A8">
        <w:rPr>
          <w:rStyle w:val="SCCCounselNameChar"/>
          <w:i w:val="0"/>
          <w:lang w:val="fr-CA"/>
        </w:rPr>
        <w:t>,</w:t>
      </w:r>
      <w:r w:rsidRPr="000866C9">
        <w:rPr>
          <w:rStyle w:val="SCCCounselNameChar"/>
          <w:lang w:val="fr-CA"/>
        </w:rPr>
        <w:t xml:space="preserve"> </w:t>
      </w:r>
      <w:proofErr w:type="gramStart"/>
      <w:r w:rsidR="00401F79">
        <w:rPr>
          <w:rStyle w:val="SCCCounselNameChar"/>
          <w:lang w:val="fr-CA"/>
        </w:rPr>
        <w:t>c.r.</w:t>
      </w:r>
      <w:r w:rsidRPr="000866C9">
        <w:rPr>
          <w:rStyle w:val="SCCCounselSeparatorChar"/>
          <w:lang w:val="fr-CA"/>
        </w:rPr>
        <w:t>,</w:t>
      </w:r>
      <w:proofErr w:type="gramEnd"/>
      <w:r w:rsidRPr="000866C9">
        <w:rPr>
          <w:rStyle w:val="SCCCounselSeparatorChar"/>
          <w:lang w:val="fr-CA"/>
        </w:rPr>
        <w:t xml:space="preserve"> </w:t>
      </w:r>
      <w:r w:rsidRPr="000866C9">
        <w:rPr>
          <w:rStyle w:val="SCCCounselNameChar"/>
          <w:lang w:val="fr-CA"/>
        </w:rPr>
        <w:t>Eric V. Gottardi</w:t>
      </w:r>
      <w:r w:rsidRPr="000866C9">
        <w:rPr>
          <w:rStyle w:val="SCCCounselSeparatorChar"/>
          <w:lang w:val="fr-CA"/>
        </w:rPr>
        <w:t xml:space="preserve"> et </w:t>
      </w:r>
      <w:r w:rsidRPr="000866C9">
        <w:rPr>
          <w:rStyle w:val="SCCCounselNameChar"/>
          <w:lang w:val="fr-CA"/>
        </w:rPr>
        <w:t>Tony C. Paisana</w:t>
      </w:r>
      <w:r w:rsidR="00401F79">
        <w:rPr>
          <w:rStyle w:val="SCCCounselPartyRoleChar"/>
          <w:lang w:val="fr-CA"/>
        </w:rPr>
        <w:t>, pour l’</w:t>
      </w:r>
      <w:r w:rsidRPr="000866C9">
        <w:rPr>
          <w:rStyle w:val="SCCCounselPartyRoleChar"/>
          <w:lang w:val="fr-CA"/>
        </w:rPr>
        <w:t>intimé</w:t>
      </w:r>
      <w:r w:rsidR="00401F79">
        <w:rPr>
          <w:rStyle w:val="SCCCounselPartyRoleChar"/>
          <w:lang w:val="fr-CA"/>
        </w:rPr>
        <w:t>e.</w:t>
      </w:r>
    </w:p>
    <w:p w:rsidR="00914770" w:rsidRDefault="00914770" w:rsidP="008934A0">
      <w:pPr>
        <w:pStyle w:val="SCCNormalDoubleSpacing"/>
        <w:widowControl w:val="0"/>
        <w:rPr>
          <w:lang w:val="fr-CA"/>
        </w:rPr>
      </w:pPr>
    </w:p>
    <w:p w:rsidR="00127E3B" w:rsidRDefault="00127E3B" w:rsidP="008934A0">
      <w:pPr>
        <w:pStyle w:val="SCCNormalDoubleSpacing"/>
        <w:widowControl w:val="0"/>
        <w:rPr>
          <w:smallCaps/>
          <w:lang w:val="fr-CA"/>
        </w:rPr>
      </w:pPr>
      <w:r>
        <w:rPr>
          <w:lang w:val="fr-CA"/>
        </w:rPr>
        <w:tab/>
      </w:r>
      <w:r w:rsidRPr="004C15DA">
        <w:rPr>
          <w:lang w:val="fr-CA"/>
        </w:rPr>
        <w:t>Ver</w:t>
      </w:r>
      <w:r>
        <w:rPr>
          <w:lang w:val="fr-CA"/>
        </w:rPr>
        <w:t>sion française du jugement de la Cour rendu oralement par</w:t>
      </w:r>
    </w:p>
    <w:p w:rsidR="00AB2836" w:rsidRDefault="00F91E8B" w:rsidP="008934A0">
      <w:pPr>
        <w:pStyle w:val="ParaNoNdepar-AltN"/>
        <w:widowControl w:val="0"/>
        <w:numPr>
          <w:ilvl w:val="0"/>
          <w:numId w:val="1"/>
        </w:numPr>
        <w:tabs>
          <w:tab w:val="num" w:pos="1152"/>
        </w:tabs>
        <w:ind w:left="0" w:firstLine="0"/>
        <w:rPr>
          <w:lang w:val="fr-CA"/>
        </w:rPr>
      </w:pPr>
      <w:r w:rsidRPr="007D2568">
        <w:rPr>
          <w:rFonts w:cs="Times New Roman"/>
          <w:smallCaps/>
          <w:lang w:val="fr-CA"/>
        </w:rPr>
        <w:t>La juge Abella</w:t>
      </w:r>
      <w:r w:rsidRPr="007D2568">
        <w:rPr>
          <w:rFonts w:cs="Times New Roman"/>
          <w:lang w:val="fr-CA"/>
        </w:rPr>
        <w:t xml:space="preserve"> — Nous sommes d’avis, à la majorité, de rejeter l’appel, essentiellement pour les motifs exposés par la Cour d’appel. La juge Côté, dissidente, aurait pour sa part ordonné la tenue d’un nouveau procès, pour le motif que la conclusion selon laquelle il y a eu collusion était déraisonnable et a vicié les autres conclusions du juge du procès.</w:t>
      </w:r>
    </w:p>
    <w:p w:rsidR="004D7D95" w:rsidRPr="00F91E8B" w:rsidRDefault="004D7D95" w:rsidP="008934A0">
      <w:pPr>
        <w:pStyle w:val="SCCNormalDoubleSpacing"/>
        <w:widowControl w:val="0"/>
        <w:rPr>
          <w:i/>
          <w:lang w:val="fr-CA"/>
        </w:rPr>
      </w:pPr>
      <w:r w:rsidRPr="00F91E8B">
        <w:rPr>
          <w:i/>
          <w:lang w:val="fr-CA"/>
        </w:rPr>
        <w:lastRenderedPageBreak/>
        <w:tab/>
      </w:r>
      <w:r w:rsidR="00F91E8B" w:rsidRPr="00F91E8B">
        <w:rPr>
          <w:i/>
          <w:lang w:val="fr-CA"/>
        </w:rPr>
        <w:t>Jugement en conséquence.</w:t>
      </w:r>
    </w:p>
    <w:p w:rsidR="004D7D95" w:rsidRPr="000866C9" w:rsidRDefault="004D7D95" w:rsidP="008934A0">
      <w:pPr>
        <w:pStyle w:val="SCCNormalDoubleSpacing"/>
        <w:widowControl w:val="0"/>
        <w:rPr>
          <w:lang w:val="fr-CA"/>
        </w:rPr>
      </w:pPr>
    </w:p>
    <w:p w:rsidR="00914770" w:rsidRPr="000866C9" w:rsidRDefault="005309C8" w:rsidP="008934A0">
      <w:pPr>
        <w:pStyle w:val="SCCLawFirm"/>
        <w:widowControl w:val="0"/>
        <w:rPr>
          <w:lang w:val="fr-CA"/>
        </w:rPr>
      </w:pPr>
      <w:r w:rsidRPr="000866C9">
        <w:rPr>
          <w:lang w:val="fr-CA"/>
        </w:rPr>
        <w:tab/>
        <w:t>Procureur</w:t>
      </w:r>
      <w:r>
        <w:rPr>
          <w:lang w:val="fr-CA"/>
        </w:rPr>
        <w:t xml:space="preserve"> de l’appelant</w:t>
      </w:r>
      <w:r w:rsidRPr="000866C9">
        <w:rPr>
          <w:lang w:val="fr-CA"/>
        </w:rPr>
        <w:t> : Glen Orris,</w:t>
      </w:r>
      <w:r w:rsidR="00DA4EE7">
        <w:rPr>
          <w:lang w:val="fr-CA"/>
        </w:rPr>
        <w:t xml:space="preserve"> Q.C. Law Corp.,</w:t>
      </w:r>
      <w:r w:rsidRPr="000866C9">
        <w:rPr>
          <w:lang w:val="fr-CA"/>
        </w:rPr>
        <w:t xml:space="preserve"> Vancouver.</w:t>
      </w:r>
    </w:p>
    <w:p w:rsidR="00914770" w:rsidRPr="000866C9" w:rsidRDefault="00914770" w:rsidP="008934A0">
      <w:pPr>
        <w:pStyle w:val="SCCLawFirm"/>
        <w:widowControl w:val="0"/>
        <w:rPr>
          <w:lang w:val="fr-CA"/>
        </w:rPr>
      </w:pPr>
    </w:p>
    <w:p w:rsidR="009B57B3" w:rsidRPr="005309C8" w:rsidRDefault="005309C8" w:rsidP="008934A0">
      <w:pPr>
        <w:pStyle w:val="SCCLawFirm"/>
        <w:widowControl w:val="0"/>
        <w:rPr>
          <w:lang w:val="fr-CA"/>
        </w:rPr>
      </w:pPr>
      <w:r w:rsidRPr="000866C9">
        <w:rPr>
          <w:lang w:val="fr-CA"/>
        </w:rPr>
        <w:tab/>
        <w:t>Procureur</w:t>
      </w:r>
      <w:r>
        <w:rPr>
          <w:lang w:val="fr-CA"/>
        </w:rPr>
        <w:t>s de l’</w:t>
      </w:r>
      <w:r w:rsidRPr="000866C9">
        <w:rPr>
          <w:lang w:val="fr-CA"/>
        </w:rPr>
        <w:t>intimé</w:t>
      </w:r>
      <w:r>
        <w:rPr>
          <w:lang w:val="fr-CA"/>
        </w:rPr>
        <w:t>e</w:t>
      </w:r>
      <w:r w:rsidRPr="005309C8">
        <w:rPr>
          <w:lang w:val="fr-CA"/>
        </w:rPr>
        <w:t xml:space="preserve"> </w:t>
      </w:r>
      <w:r w:rsidRPr="000866C9">
        <w:rPr>
          <w:lang w:val="fr-CA"/>
        </w:rPr>
        <w:t>: Peck and Company, Vancouver.</w:t>
      </w:r>
      <w:r w:rsidRPr="005309C8">
        <w:rPr>
          <w:lang w:val="fr-CA"/>
        </w:rPr>
        <w:t xml:space="preserve"> </w:t>
      </w:r>
      <w:r w:rsidR="00B106F0">
        <w:rPr>
          <w:lang w:val="fr-CA"/>
        </w:rPr>
        <w:t xml:space="preserve"> </w:t>
      </w:r>
    </w:p>
    <w:sectPr w:rsidR="009B57B3" w:rsidRPr="005309C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75C43"/>
    <w:multiLevelType w:val="hybridMultilevel"/>
    <w:tmpl w:val="5EC07A00"/>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139"/>
    <w:rsid w:val="00000ED4"/>
    <w:rsid w:val="00023FC7"/>
    <w:rsid w:val="00025198"/>
    <w:rsid w:val="000578A3"/>
    <w:rsid w:val="000648CC"/>
    <w:rsid w:val="000866C9"/>
    <w:rsid w:val="000C59B8"/>
    <w:rsid w:val="000C6AF0"/>
    <w:rsid w:val="000D0A77"/>
    <w:rsid w:val="000F7993"/>
    <w:rsid w:val="00104F33"/>
    <w:rsid w:val="00111DE2"/>
    <w:rsid w:val="00116B38"/>
    <w:rsid w:val="00127E3B"/>
    <w:rsid w:val="00135406"/>
    <w:rsid w:val="00135972"/>
    <w:rsid w:val="001426A9"/>
    <w:rsid w:val="00154D7C"/>
    <w:rsid w:val="001570B0"/>
    <w:rsid w:val="0015752C"/>
    <w:rsid w:val="00157737"/>
    <w:rsid w:val="00165277"/>
    <w:rsid w:val="001652A8"/>
    <w:rsid w:val="00170592"/>
    <w:rsid w:val="001720F7"/>
    <w:rsid w:val="00195D83"/>
    <w:rsid w:val="001A00C1"/>
    <w:rsid w:val="001B33E0"/>
    <w:rsid w:val="001B4573"/>
    <w:rsid w:val="001C7635"/>
    <w:rsid w:val="001C779F"/>
    <w:rsid w:val="001D2AC1"/>
    <w:rsid w:val="001D4E88"/>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4E0A"/>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1F79"/>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903"/>
    <w:rsid w:val="00520ABC"/>
    <w:rsid w:val="00521AE8"/>
    <w:rsid w:val="00527180"/>
    <w:rsid w:val="005309C8"/>
    <w:rsid w:val="00555291"/>
    <w:rsid w:val="00566AD1"/>
    <w:rsid w:val="00576E7A"/>
    <w:rsid w:val="00583EDE"/>
    <w:rsid w:val="005A6079"/>
    <w:rsid w:val="005E4698"/>
    <w:rsid w:val="00603924"/>
    <w:rsid w:val="00610539"/>
    <w:rsid w:val="00613969"/>
    <w:rsid w:val="00625C35"/>
    <w:rsid w:val="00641B1E"/>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66B0C"/>
    <w:rsid w:val="00766D14"/>
    <w:rsid w:val="00767A0F"/>
    <w:rsid w:val="00791272"/>
    <w:rsid w:val="007A05F6"/>
    <w:rsid w:val="007B6F4A"/>
    <w:rsid w:val="007E1C47"/>
    <w:rsid w:val="007E337A"/>
    <w:rsid w:val="007E5C70"/>
    <w:rsid w:val="007F2FF5"/>
    <w:rsid w:val="007F3F08"/>
    <w:rsid w:val="00804CC6"/>
    <w:rsid w:val="00817190"/>
    <w:rsid w:val="008260E2"/>
    <w:rsid w:val="00827358"/>
    <w:rsid w:val="008322BD"/>
    <w:rsid w:val="00834F73"/>
    <w:rsid w:val="00864C8A"/>
    <w:rsid w:val="00864CF8"/>
    <w:rsid w:val="00874914"/>
    <w:rsid w:val="008769E7"/>
    <w:rsid w:val="00891422"/>
    <w:rsid w:val="00892E1A"/>
    <w:rsid w:val="008934A0"/>
    <w:rsid w:val="008B660A"/>
    <w:rsid w:val="008C01DA"/>
    <w:rsid w:val="008E4A97"/>
    <w:rsid w:val="008F2674"/>
    <w:rsid w:val="008F78E9"/>
    <w:rsid w:val="00914770"/>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80B8E"/>
    <w:rsid w:val="00A921A7"/>
    <w:rsid w:val="00AA6DD5"/>
    <w:rsid w:val="00AB2836"/>
    <w:rsid w:val="00AB670D"/>
    <w:rsid w:val="00AF03C5"/>
    <w:rsid w:val="00B000D8"/>
    <w:rsid w:val="00B00F75"/>
    <w:rsid w:val="00B106F0"/>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5476"/>
    <w:rsid w:val="00CA6391"/>
    <w:rsid w:val="00CE036E"/>
    <w:rsid w:val="00CE3171"/>
    <w:rsid w:val="00CF1601"/>
    <w:rsid w:val="00D0172F"/>
    <w:rsid w:val="00D01E33"/>
    <w:rsid w:val="00D068A7"/>
    <w:rsid w:val="00D17476"/>
    <w:rsid w:val="00D17B0E"/>
    <w:rsid w:val="00D32086"/>
    <w:rsid w:val="00D37A3F"/>
    <w:rsid w:val="00D4431D"/>
    <w:rsid w:val="00D4667A"/>
    <w:rsid w:val="00D54416"/>
    <w:rsid w:val="00D63A1C"/>
    <w:rsid w:val="00D7516F"/>
    <w:rsid w:val="00D95F8E"/>
    <w:rsid w:val="00DA0590"/>
    <w:rsid w:val="00DA4EE7"/>
    <w:rsid w:val="00DC1739"/>
    <w:rsid w:val="00DC1788"/>
    <w:rsid w:val="00DD0A51"/>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02A45"/>
    <w:rsid w:val="00F30A21"/>
    <w:rsid w:val="00F36AB6"/>
    <w:rsid w:val="00F37A09"/>
    <w:rsid w:val="00F409CE"/>
    <w:rsid w:val="00F4379D"/>
    <w:rsid w:val="00F50D2D"/>
    <w:rsid w:val="00F56C8B"/>
    <w:rsid w:val="00F62639"/>
    <w:rsid w:val="00F66810"/>
    <w:rsid w:val="00F84DF4"/>
    <w:rsid w:val="00F85C97"/>
    <w:rsid w:val="00F91E8B"/>
    <w:rsid w:val="00FB37D2"/>
    <w:rsid w:val="00FC430D"/>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127E3B"/>
    <w:pPr>
      <w:tabs>
        <w:tab w:val="num" w:pos="1242"/>
      </w:tabs>
      <w:spacing w:before="480" w:after="480" w:line="480" w:lineRule="auto"/>
      <w:ind w:left="90"/>
      <w:jc w:val="both"/>
    </w:pPr>
    <w:rPr>
      <w:rFonts w:eastAsiaTheme="minorEastAsia" w:cstheme="minorBidi"/>
      <w:sz w:val="24"/>
      <w:szCs w:val="22"/>
      <w:lang w:eastAsia="en-US"/>
    </w:rPr>
  </w:style>
  <w:style w:type="table" w:styleId="TableGrid">
    <w:name w:val="Table Grid"/>
    <w:basedOn w:val="TableNormal"/>
    <w:uiPriority w:val="59"/>
    <w:rsid w:val="00D5441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54416"/>
    <w:rPr>
      <w:szCs w:val="24"/>
      <w:lang w:val="fr-CA"/>
    </w:rPr>
  </w:style>
  <w:style w:type="paragraph" w:customStyle="1" w:styleId="SCCLsocPrefix">
    <w:name w:val="SCC.Lsoc.Prefix"/>
    <w:basedOn w:val="Normal"/>
    <w:next w:val="Normal"/>
    <w:link w:val="SCCLsocPrefixChar"/>
    <w:rsid w:val="00D5441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5441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147D-2CC0-4B6B-BB98-46206A03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2017-11-01T18:03:00Z</dcterms:created>
  <dcterms:modified xsi:type="dcterms:W3CDTF">2018-02-14T15:56:00Z</dcterms:modified>
</cp:coreProperties>
</file>