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08" w:rsidRDefault="00466F08" w:rsidP="00466F0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8" o:title=""/>
          </v:shape>
          <o:OLEObject Type="Embed" ProgID="Presentations.Drawing.13" ShapeID="_x0000_i1025" DrawAspect="Content" ObjectID="_1581159943" r:id="rId9"/>
        </w:object>
      </w:r>
      <w:r>
        <w:t xml:space="preserve"> </w:t>
      </w:r>
      <w:r>
        <w:ptab w:relativeTo="margin" w:alignment="right" w:leader="none"/>
      </w:r>
    </w:p>
    <w:p w:rsidR="00466F08" w:rsidRDefault="00466F08" w:rsidP="00466F08">
      <w:pPr>
        <w:pStyle w:val="Header"/>
      </w:pPr>
    </w:p>
    <w:p w:rsidR="00466F08" w:rsidRPr="001E12E2" w:rsidRDefault="00466F08" w:rsidP="00466F08">
      <w:pPr>
        <w:jc w:val="center"/>
        <w:rPr>
          <w:b/>
        </w:rPr>
      </w:pPr>
      <w:r w:rsidRPr="001E12E2">
        <w:rPr>
          <w:b/>
        </w:rPr>
        <w:t>COUR SUPRÊME DU CANADA</w:t>
      </w:r>
    </w:p>
    <w:p w:rsidR="00466F08" w:rsidRDefault="00466F08" w:rsidP="00466F08"/>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4500"/>
      </w:tblGrid>
      <w:tr w:rsidR="00466F08" w:rsidRPr="001E12E2" w:rsidTr="002E7F7D">
        <w:trPr>
          <w:cantSplit/>
        </w:trPr>
        <w:tc>
          <w:tcPr>
            <w:tcW w:w="5580" w:type="dxa"/>
          </w:tcPr>
          <w:p w:rsidR="00466F08" w:rsidRPr="00466F08" w:rsidRDefault="00466F08" w:rsidP="002E7F7D">
            <w:pPr>
              <w:rPr>
                <w:lang w:val="fr-CA"/>
              </w:rPr>
            </w:pPr>
            <w:r w:rsidRPr="00466F08">
              <w:rPr>
                <w:b/>
                <w:smallCaps/>
                <w:lang w:val="fr-CA"/>
              </w:rPr>
              <w:t>Référence :</w:t>
            </w:r>
            <w:r w:rsidRPr="00466F08">
              <w:rPr>
                <w:lang w:val="fr-CA"/>
              </w:rPr>
              <w:t xml:space="preserve"> R. </w:t>
            </w:r>
            <w:r w:rsidRPr="00466F08">
              <w:rPr>
                <w:i/>
                <w:lang w:val="fr-CA"/>
              </w:rPr>
              <w:t>c.</w:t>
            </w:r>
            <w:r w:rsidRPr="00466F08">
              <w:rPr>
                <w:lang w:val="fr-CA"/>
              </w:rPr>
              <w:t xml:space="preserve"> Sciascia, 2017 CSC 57</w:t>
            </w:r>
            <w:r>
              <w:rPr>
                <w:lang w:val="fr-CA"/>
              </w:rPr>
              <w:t xml:space="preserve">, </w:t>
            </w:r>
            <w:r>
              <w:rPr>
                <w:lang w:val="fr-CA"/>
              </w:rPr>
              <w:t>[2017] 2 R.C.S. 539</w:t>
            </w:r>
          </w:p>
        </w:tc>
        <w:tc>
          <w:tcPr>
            <w:tcW w:w="4500" w:type="dxa"/>
          </w:tcPr>
          <w:p w:rsidR="00466F08" w:rsidRPr="00466F08" w:rsidRDefault="00466F08" w:rsidP="002E7F7D">
            <w:pPr>
              <w:rPr>
                <w:lang w:val="fr-CA"/>
              </w:rPr>
            </w:pPr>
            <w:r w:rsidRPr="00466F08">
              <w:rPr>
                <w:b/>
                <w:smallCaps/>
                <w:lang w:val="fr-CA"/>
              </w:rPr>
              <w:t>Appel entendu :</w:t>
            </w:r>
            <w:r w:rsidRPr="00466F08">
              <w:rPr>
                <w:lang w:val="fr-CA"/>
              </w:rPr>
              <w:t xml:space="preserve"> 24 avril 2017</w:t>
            </w:r>
          </w:p>
          <w:p w:rsidR="00466F08" w:rsidRPr="00466F08" w:rsidRDefault="00466F08" w:rsidP="002E7F7D">
            <w:pPr>
              <w:rPr>
                <w:b/>
                <w:smallCaps/>
                <w:lang w:val="fr-CA"/>
              </w:rPr>
            </w:pPr>
            <w:r w:rsidRPr="00466F08">
              <w:rPr>
                <w:b/>
                <w:smallCaps/>
                <w:lang w:val="fr-CA"/>
              </w:rPr>
              <w:t xml:space="preserve">Jugement rendu : </w:t>
            </w:r>
            <w:r w:rsidRPr="00466F08">
              <w:rPr>
                <w:lang w:val="fr-CA"/>
              </w:rPr>
              <w:t>23 novembre 2017</w:t>
            </w:r>
          </w:p>
          <w:p w:rsidR="00466F08" w:rsidRPr="001E12E2" w:rsidRDefault="00466F08" w:rsidP="002E7F7D">
            <w:r w:rsidRPr="001E12E2">
              <w:rPr>
                <w:b/>
                <w:smallCaps/>
              </w:rPr>
              <w:t>Do</w:t>
            </w:r>
            <w:r>
              <w:rPr>
                <w:b/>
                <w:smallCaps/>
              </w:rPr>
              <w:t>ssier :</w:t>
            </w:r>
            <w:r w:rsidRPr="001E12E2">
              <w:t xml:space="preserve"> </w:t>
            </w:r>
            <w:r>
              <w:t>37155</w:t>
            </w:r>
          </w:p>
        </w:tc>
      </w:tr>
    </w:tbl>
    <w:p w:rsidR="00466F08" w:rsidRPr="001E12E2" w:rsidRDefault="00466F08" w:rsidP="00466F08">
      <w:bookmarkStart w:id="0" w:name="_GoBack"/>
      <w:bookmarkEnd w:id="0"/>
    </w:p>
    <w:p w:rsidR="00466F08" w:rsidRDefault="00466F08" w:rsidP="00466F08">
      <w:pPr>
        <w:pStyle w:val="SCCLsocPrefix"/>
      </w:pPr>
      <w:r>
        <w:t>Entre :</w:t>
      </w:r>
    </w:p>
    <w:p w:rsidR="00466F08" w:rsidRDefault="00466F08" w:rsidP="00466F08">
      <w:pPr>
        <w:pStyle w:val="SCCLsocParty"/>
        <w:jc w:val="center"/>
      </w:pPr>
      <w:r>
        <w:t>Joseph Sciascia</w:t>
      </w:r>
    </w:p>
    <w:p w:rsidR="00466F08" w:rsidRDefault="00466F08" w:rsidP="00466F08">
      <w:pPr>
        <w:jc w:val="center"/>
      </w:pPr>
      <w:r>
        <w:t>Appelant</w:t>
      </w:r>
    </w:p>
    <w:p w:rsidR="00466F08" w:rsidRPr="00735DFD" w:rsidRDefault="00466F08" w:rsidP="00466F08">
      <w:pPr>
        <w:jc w:val="center"/>
      </w:pPr>
    </w:p>
    <w:p w:rsidR="00466F08" w:rsidRPr="00466F08" w:rsidRDefault="00466F08" w:rsidP="00466F08">
      <w:pPr>
        <w:pStyle w:val="SCCLsocVersus"/>
        <w:spacing w:after="0"/>
        <w:jc w:val="center"/>
        <w:rPr>
          <w:i w:val="0"/>
        </w:rPr>
      </w:pPr>
      <w:r w:rsidRPr="00466F08">
        <w:rPr>
          <w:i w:val="0"/>
        </w:rPr>
        <w:t>et</w:t>
      </w:r>
    </w:p>
    <w:p w:rsidR="00466F08" w:rsidRPr="00735DFD" w:rsidRDefault="00466F08" w:rsidP="00466F08">
      <w:pPr>
        <w:jc w:val="center"/>
      </w:pPr>
    </w:p>
    <w:p w:rsidR="00466F08" w:rsidRDefault="00466F08" w:rsidP="00466F08">
      <w:pPr>
        <w:pStyle w:val="SCCLsocParty"/>
        <w:jc w:val="center"/>
      </w:pPr>
      <w:r>
        <w:t>Sa Majesté la Reine</w:t>
      </w:r>
    </w:p>
    <w:p w:rsidR="00466F08" w:rsidRDefault="00466F08" w:rsidP="00466F08">
      <w:pPr>
        <w:jc w:val="center"/>
      </w:pPr>
      <w:r>
        <w:t>Intimée</w:t>
      </w:r>
    </w:p>
    <w:p w:rsidR="00466F08" w:rsidRDefault="00466F08" w:rsidP="00466F08">
      <w:pPr>
        <w:pStyle w:val="SCCLsocOtherPartySeparator"/>
        <w:spacing w:after="0"/>
        <w:jc w:val="center"/>
      </w:pPr>
    </w:p>
    <w:p w:rsidR="00466F08" w:rsidRDefault="00466F08" w:rsidP="00466F08">
      <w:pPr>
        <w:pStyle w:val="SCCLsocOtherPartySeparator"/>
        <w:spacing w:after="0"/>
        <w:jc w:val="center"/>
      </w:pPr>
      <w:r>
        <w:t>- et -</w:t>
      </w:r>
    </w:p>
    <w:p w:rsidR="00466F08" w:rsidRPr="00735DFD" w:rsidRDefault="00466F08" w:rsidP="00466F08">
      <w:pPr>
        <w:jc w:val="center"/>
      </w:pPr>
    </w:p>
    <w:p w:rsidR="00466F08" w:rsidRPr="00466F08" w:rsidRDefault="00466F08" w:rsidP="00466F08">
      <w:pPr>
        <w:pStyle w:val="SCCLsocParty"/>
        <w:jc w:val="center"/>
        <w:rPr>
          <w:lang w:val="fr-CA"/>
        </w:rPr>
      </w:pPr>
      <w:r w:rsidRPr="00466F08">
        <w:rPr>
          <w:lang w:val="fr-CA"/>
        </w:rPr>
        <w:t>Procureur général de la Colombie-Britannique</w:t>
      </w:r>
    </w:p>
    <w:p w:rsidR="00466F08" w:rsidRPr="00466F08" w:rsidRDefault="00466F08" w:rsidP="00466F08">
      <w:pPr>
        <w:jc w:val="center"/>
        <w:rPr>
          <w:lang w:val="fr-CA"/>
        </w:rPr>
      </w:pPr>
      <w:r w:rsidRPr="00466F08">
        <w:rPr>
          <w:lang w:val="fr-CA"/>
        </w:rPr>
        <w:t>Intervenant</w:t>
      </w:r>
    </w:p>
    <w:p w:rsidR="00466F08" w:rsidRPr="00466F08" w:rsidRDefault="00466F08" w:rsidP="00466F08">
      <w:pPr>
        <w:jc w:val="center"/>
        <w:rPr>
          <w:lang w:val="fr-CA"/>
        </w:rPr>
      </w:pPr>
    </w:p>
    <w:p w:rsidR="00466F08" w:rsidRPr="00466F08" w:rsidRDefault="00466F08" w:rsidP="00466F08">
      <w:pPr>
        <w:rPr>
          <w:lang w:val="fr-CA"/>
        </w:rPr>
      </w:pPr>
    </w:p>
    <w:p w:rsidR="00466F08" w:rsidRPr="00466F08" w:rsidRDefault="00466F08" w:rsidP="00466F08">
      <w:pPr>
        <w:jc w:val="center"/>
        <w:rPr>
          <w:b/>
          <w:smallCaps/>
          <w:lang w:val="fr-CA"/>
        </w:rPr>
      </w:pPr>
      <w:r w:rsidRPr="00466F08">
        <w:rPr>
          <w:b/>
          <w:smallCaps/>
          <w:lang w:val="fr-CA"/>
        </w:rPr>
        <w:t>Traduction française officielle</w:t>
      </w:r>
    </w:p>
    <w:p w:rsidR="00466F08" w:rsidRPr="00466F08" w:rsidRDefault="00466F08" w:rsidP="00466F08">
      <w:pPr>
        <w:rPr>
          <w:lang w:val="fr-CA"/>
        </w:rPr>
      </w:pPr>
    </w:p>
    <w:p w:rsidR="00466F08" w:rsidRPr="00466F08" w:rsidRDefault="00466F08" w:rsidP="00466F08">
      <w:pPr>
        <w:rPr>
          <w:lang w:val="fr-CA"/>
        </w:rPr>
      </w:pPr>
      <w:r w:rsidRPr="00466F08">
        <w:rPr>
          <w:b/>
          <w:smallCaps/>
          <w:lang w:val="fr-CA"/>
        </w:rPr>
        <w:t>Coram :</w:t>
      </w:r>
      <w:r w:rsidRPr="00466F08">
        <w:rPr>
          <w:lang w:val="fr-CA"/>
        </w:rPr>
        <w:t xml:space="preserve"> Les juges Abella, Moldaver, Karakatsanis, Wagner, Gascon, Côté et Rowe</w:t>
      </w:r>
    </w:p>
    <w:p w:rsidR="00466F08" w:rsidRPr="00466F08" w:rsidRDefault="00466F08" w:rsidP="00466F0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6F08" w:rsidRPr="00466F08" w:rsidTr="002E7F7D">
        <w:trPr>
          <w:cantSplit/>
        </w:trPr>
        <w:tc>
          <w:tcPr>
            <w:tcW w:w="3618" w:type="dxa"/>
          </w:tcPr>
          <w:p w:rsidR="00466F08" w:rsidRPr="00466F08" w:rsidRDefault="00466F08" w:rsidP="002E7F7D">
            <w:pPr>
              <w:rPr>
                <w:b/>
                <w:smallCaps/>
                <w:lang w:val="fr-CA"/>
              </w:rPr>
            </w:pPr>
            <w:r w:rsidRPr="00466F08">
              <w:rPr>
                <w:b/>
                <w:smallCaps/>
                <w:lang w:val="fr-CA"/>
              </w:rPr>
              <w:t>Motifs de jugement :</w:t>
            </w:r>
          </w:p>
          <w:p w:rsidR="00466F08" w:rsidRPr="00466F08" w:rsidRDefault="00466F08" w:rsidP="002E7F7D">
            <w:pPr>
              <w:rPr>
                <w:lang w:val="fr-CA"/>
              </w:rPr>
            </w:pPr>
            <w:r w:rsidRPr="00466F08">
              <w:rPr>
                <w:lang w:val="fr-CA"/>
              </w:rPr>
              <w:t>(par. 1 à 45)</w:t>
            </w:r>
          </w:p>
        </w:tc>
        <w:tc>
          <w:tcPr>
            <w:tcW w:w="5958" w:type="dxa"/>
          </w:tcPr>
          <w:p w:rsidR="00466F08" w:rsidRPr="00466F08" w:rsidRDefault="00466F08" w:rsidP="002E7F7D">
            <w:pPr>
              <w:rPr>
                <w:lang w:val="fr-CA"/>
              </w:rPr>
            </w:pPr>
            <w:r w:rsidRPr="00466F08">
              <w:rPr>
                <w:lang w:val="fr-CA"/>
              </w:rPr>
              <w:t>Le juge Moldaver (avec l’accord des juges Abella, Karakatsanis, Wagner, Gascon et Rowe)</w:t>
            </w:r>
          </w:p>
        </w:tc>
      </w:tr>
    </w:tbl>
    <w:p w:rsidR="00466F08" w:rsidRPr="00466F08" w:rsidRDefault="00466F08" w:rsidP="00466F0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6F08" w:rsidRPr="001E12E2" w:rsidTr="002E7F7D">
        <w:trPr>
          <w:cantSplit/>
        </w:trPr>
        <w:tc>
          <w:tcPr>
            <w:tcW w:w="3618" w:type="dxa"/>
          </w:tcPr>
          <w:p w:rsidR="00466F08" w:rsidRPr="00F768AC" w:rsidRDefault="00466F08" w:rsidP="002E7F7D">
            <w:pPr>
              <w:rPr>
                <w:b/>
                <w:smallCaps/>
              </w:rPr>
            </w:pPr>
            <w:r w:rsidRPr="00F768AC">
              <w:rPr>
                <w:b/>
                <w:smallCaps/>
              </w:rPr>
              <w:t>Motifs dissidents :</w:t>
            </w:r>
          </w:p>
          <w:p w:rsidR="00466F08" w:rsidRPr="00F768AC" w:rsidRDefault="00466F08" w:rsidP="002E7F7D">
            <w:r w:rsidRPr="00F768AC">
              <w:t>(par. 46 à 76)</w:t>
            </w:r>
          </w:p>
        </w:tc>
        <w:tc>
          <w:tcPr>
            <w:tcW w:w="5958" w:type="dxa"/>
          </w:tcPr>
          <w:p w:rsidR="00466F08" w:rsidRPr="001E12E2" w:rsidRDefault="00466F08" w:rsidP="002E7F7D">
            <w:r w:rsidRPr="00F768AC">
              <w:t>La juge Côté</w:t>
            </w:r>
          </w:p>
        </w:tc>
      </w:tr>
    </w:tbl>
    <w:p w:rsidR="00466F08" w:rsidRDefault="00466F08" w:rsidP="00466F08"/>
    <w:p w:rsidR="00466F08" w:rsidRPr="00466F08" w:rsidRDefault="00466F08" w:rsidP="00466F08">
      <w:pPr>
        <w:rPr>
          <w:lang w:val="fr-CA"/>
        </w:rPr>
      </w:pPr>
      <w:r>
        <w:rPr>
          <w:noProof/>
          <w:lang w:val="en-US"/>
        </w:rPr>
        <mc:AlternateContent>
          <mc:Choice Requires="wps">
            <w:drawing>
              <wp:anchor distT="0" distB="0" distL="114300" distR="114300" simplePos="0" relativeHeight="251659264" behindDoc="0" locked="0" layoutInCell="1" allowOverlap="1" wp14:anchorId="50A91C1F" wp14:editId="02A8B7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F9B5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66F08" w:rsidRDefault="00466F08" w:rsidP="00073901">
      <w:pPr>
        <w:widowControl w:val="0"/>
        <w:spacing w:after="720"/>
        <w:jc w:val="both"/>
        <w:rPr>
          <w:lang w:val="fr-CA"/>
        </w:rPr>
      </w:pPr>
    </w:p>
    <w:p w:rsidR="004D7D95" w:rsidRPr="00701BB2" w:rsidRDefault="00701BB2" w:rsidP="00073901">
      <w:pPr>
        <w:widowControl w:val="0"/>
        <w:spacing w:after="720"/>
        <w:jc w:val="both"/>
        <w:rPr>
          <w:lang w:val="fr-CA"/>
        </w:rPr>
      </w:pPr>
      <w:r>
        <w:rPr>
          <w:lang w:val="fr-CA"/>
        </w:rPr>
        <w:t>R</w:t>
      </w:r>
      <w:r w:rsidR="00572AC0" w:rsidRPr="00701BB2">
        <w:rPr>
          <w:lang w:val="fr-CA"/>
        </w:rPr>
        <w:t xml:space="preserve">. </w:t>
      </w:r>
      <w:r w:rsidR="0015309C" w:rsidRPr="00701BB2">
        <w:rPr>
          <w:i/>
          <w:lang w:val="fr-CA"/>
        </w:rPr>
        <w:t>c</w:t>
      </w:r>
      <w:r w:rsidR="0015309C" w:rsidRPr="00701BB2">
        <w:rPr>
          <w:lang w:val="fr-CA"/>
        </w:rPr>
        <w:t xml:space="preserve">. </w:t>
      </w:r>
      <w:r>
        <w:rPr>
          <w:rStyle w:val="SCCAppellantForRunningHeadChar"/>
          <w:smallCaps w:val="0"/>
          <w:lang w:val="fr-CA"/>
        </w:rPr>
        <w:t>S</w:t>
      </w:r>
      <w:r w:rsidR="004D7D95" w:rsidRPr="00701BB2">
        <w:rPr>
          <w:rStyle w:val="SCCAppellantForRunningHeadChar"/>
          <w:smallCaps w:val="0"/>
          <w:lang w:val="fr-CA"/>
        </w:rPr>
        <w:t>ciascia</w:t>
      </w:r>
      <w:r>
        <w:rPr>
          <w:lang w:val="fr-CA"/>
        </w:rPr>
        <w:t xml:space="preserve">, </w:t>
      </w:r>
      <w:r w:rsidRPr="00DE12B0">
        <w:rPr>
          <w:lang w:val="fr-CA"/>
        </w:rPr>
        <w:t>2017 CSC 57</w:t>
      </w:r>
      <w:r>
        <w:rPr>
          <w:lang w:val="fr-CA"/>
        </w:rPr>
        <w:t>, [2017] 2 R.C.S. 539</w:t>
      </w:r>
    </w:p>
    <w:p w:rsidR="00BF0732" w:rsidRPr="00DE12B0" w:rsidRDefault="009604C9" w:rsidP="00073901">
      <w:pPr>
        <w:pStyle w:val="SCCLsocLastPartyInRole"/>
        <w:widowControl w:val="0"/>
        <w:rPr>
          <w:lang w:val="fr-CA"/>
        </w:rPr>
      </w:pPr>
      <w:r w:rsidRPr="00DE12B0">
        <w:rPr>
          <w:lang w:val="fr-CA"/>
        </w:rPr>
        <w:lastRenderedPageBreak/>
        <w:t>Joseph Sciascia</w:t>
      </w:r>
      <w:r w:rsidR="00572AC0" w:rsidRPr="00DE12B0">
        <w:rPr>
          <w:rStyle w:val="SCCLsocPartyRole"/>
          <w:lang w:val="fr-CA"/>
        </w:rPr>
        <w:tab/>
        <w:t>Appelant</w:t>
      </w:r>
    </w:p>
    <w:p w:rsidR="00BF0732" w:rsidRPr="00DE12B0" w:rsidRDefault="009604C9" w:rsidP="00073901">
      <w:pPr>
        <w:pStyle w:val="SCCLsocVersus"/>
        <w:widowControl w:val="0"/>
        <w:rPr>
          <w:lang w:val="fr-CA"/>
        </w:rPr>
      </w:pPr>
      <w:r w:rsidRPr="00DE12B0">
        <w:rPr>
          <w:lang w:val="fr-CA"/>
        </w:rPr>
        <w:t>c.</w:t>
      </w:r>
    </w:p>
    <w:p w:rsidR="00BF0732" w:rsidRPr="00DE12B0" w:rsidRDefault="009604C9" w:rsidP="00073901">
      <w:pPr>
        <w:pStyle w:val="SCCLsocLastPartyInRole"/>
        <w:widowControl w:val="0"/>
        <w:rPr>
          <w:lang w:val="fr-CA"/>
        </w:rPr>
      </w:pPr>
      <w:r w:rsidRPr="00DE12B0">
        <w:rPr>
          <w:lang w:val="fr-CA"/>
        </w:rPr>
        <w:t>Sa Majesté la Reine</w:t>
      </w:r>
      <w:r w:rsidR="00572AC0" w:rsidRPr="00DE12B0">
        <w:rPr>
          <w:rStyle w:val="SCCLsocPartyRole"/>
          <w:lang w:val="fr-CA"/>
        </w:rPr>
        <w:tab/>
        <w:t>Intimée</w:t>
      </w:r>
    </w:p>
    <w:p w:rsidR="00BF0732" w:rsidRPr="00DE12B0" w:rsidRDefault="009604C9" w:rsidP="00073901">
      <w:pPr>
        <w:pStyle w:val="SCCLsocOtherPartySeparator"/>
        <w:widowControl w:val="0"/>
        <w:rPr>
          <w:lang w:val="fr-CA"/>
        </w:rPr>
      </w:pPr>
      <w:r w:rsidRPr="00DE12B0">
        <w:rPr>
          <w:lang w:val="fr-CA"/>
        </w:rPr>
        <w:t>et</w:t>
      </w:r>
    </w:p>
    <w:p w:rsidR="004D7D95" w:rsidRPr="00DE12B0" w:rsidRDefault="009604C9" w:rsidP="00073901">
      <w:pPr>
        <w:pStyle w:val="SCCLsocLastPartyInRole"/>
        <w:widowControl w:val="0"/>
        <w:rPr>
          <w:lang w:val="fr-CA"/>
        </w:rPr>
      </w:pPr>
      <w:r w:rsidRPr="00DE12B0">
        <w:rPr>
          <w:lang w:val="fr-CA"/>
        </w:rPr>
        <w:t>Procureur général de la Colombie</w:t>
      </w:r>
      <w:r w:rsidR="00140575">
        <w:rPr>
          <w:lang w:val="fr-CA"/>
        </w:rPr>
        <w:t>-</w:t>
      </w:r>
      <w:r w:rsidRPr="00DE12B0">
        <w:rPr>
          <w:lang w:val="fr-CA"/>
        </w:rPr>
        <w:t>Britannique</w:t>
      </w:r>
      <w:r w:rsidR="00572AC0" w:rsidRPr="00DE12B0">
        <w:rPr>
          <w:rStyle w:val="SCCLsocPartyRole"/>
          <w:lang w:val="fr-CA"/>
        </w:rPr>
        <w:tab/>
        <w:t>Intervenant</w:t>
      </w:r>
    </w:p>
    <w:p w:rsidR="004D7D95" w:rsidRPr="00DE12B0" w:rsidRDefault="004D7D95" w:rsidP="00073901">
      <w:pPr>
        <w:widowControl w:val="0"/>
        <w:spacing w:after="720"/>
        <w:jc w:val="both"/>
        <w:rPr>
          <w:b/>
          <w:lang w:val="fr-CA"/>
        </w:rPr>
      </w:pPr>
      <w:r w:rsidRPr="00DE12B0">
        <w:rPr>
          <w:b/>
          <w:lang w:val="fr-CA"/>
        </w:rPr>
        <w:t>Répertorié</w:t>
      </w:r>
      <w:r w:rsidR="00DE12B0">
        <w:rPr>
          <w:b/>
          <w:lang w:val="fr-CA"/>
        </w:rPr>
        <w:t> :</w:t>
      </w:r>
      <w:r w:rsidRPr="00DE12B0">
        <w:rPr>
          <w:b/>
          <w:lang w:val="fr-CA"/>
        </w:rPr>
        <w:t> </w:t>
      </w:r>
      <w:r w:rsidR="00572AC0" w:rsidRPr="00DE12B0">
        <w:rPr>
          <w:b/>
          <w:lang w:val="fr-CA"/>
        </w:rPr>
        <w:t xml:space="preserve">R. </w:t>
      </w:r>
      <w:r w:rsidR="00572AC0" w:rsidRPr="00DE12B0">
        <w:rPr>
          <w:b/>
          <w:i/>
          <w:lang w:val="fr-CA"/>
        </w:rPr>
        <w:t>c.</w:t>
      </w:r>
      <w:r w:rsidR="00572AC0" w:rsidRPr="00DE12B0">
        <w:rPr>
          <w:b/>
          <w:lang w:val="fr-CA"/>
        </w:rPr>
        <w:t xml:space="preserve"> Sciascia</w:t>
      </w:r>
    </w:p>
    <w:p w:rsidR="004D7D95" w:rsidRPr="00DE12B0" w:rsidRDefault="00D17B0E" w:rsidP="00073901">
      <w:pPr>
        <w:pStyle w:val="SCCSystemYear"/>
        <w:widowControl w:val="0"/>
        <w:spacing w:after="720"/>
        <w:jc w:val="both"/>
        <w:rPr>
          <w:lang w:val="fr-CA"/>
        </w:rPr>
      </w:pPr>
      <w:r w:rsidRPr="00DE12B0">
        <w:rPr>
          <w:lang w:val="fr-CA"/>
        </w:rPr>
        <w:t>2017</w:t>
      </w:r>
      <w:r w:rsidR="004D7D95" w:rsidRPr="00DE12B0">
        <w:rPr>
          <w:lang w:val="fr-CA"/>
        </w:rPr>
        <w:t xml:space="preserve"> CSC </w:t>
      </w:r>
      <w:r w:rsidR="004F3E43" w:rsidRPr="00DE12B0">
        <w:rPr>
          <w:lang w:val="fr-CA"/>
        </w:rPr>
        <w:t>57</w:t>
      </w:r>
    </w:p>
    <w:p w:rsidR="004D7D95" w:rsidRPr="00DE12B0" w:rsidRDefault="004D7D95" w:rsidP="00073901">
      <w:pPr>
        <w:widowControl w:val="0"/>
        <w:spacing w:after="720"/>
        <w:jc w:val="both"/>
        <w:rPr>
          <w:lang w:val="fr-CA"/>
        </w:rPr>
      </w:pPr>
      <w:r w:rsidRPr="00DE12B0">
        <w:rPr>
          <w:lang w:val="fr-CA"/>
        </w:rPr>
        <w:t>N</w:t>
      </w:r>
      <w:r w:rsidRPr="00DE12B0">
        <w:rPr>
          <w:vertAlign w:val="superscript"/>
          <w:lang w:val="fr-CA"/>
        </w:rPr>
        <w:t>o</w:t>
      </w:r>
      <w:r w:rsidRPr="00DE12B0">
        <w:rPr>
          <w:lang w:val="fr-CA"/>
        </w:rPr>
        <w:t xml:space="preserve"> du greffe</w:t>
      </w:r>
      <w:r w:rsidR="00DE12B0">
        <w:rPr>
          <w:lang w:val="fr-CA"/>
        </w:rPr>
        <w:t> :</w:t>
      </w:r>
      <w:r w:rsidRPr="00DE12B0">
        <w:rPr>
          <w:lang w:val="fr-CA"/>
        </w:rPr>
        <w:t> 37155.</w:t>
      </w:r>
    </w:p>
    <w:p w:rsidR="004D7D95" w:rsidRPr="00DE12B0" w:rsidRDefault="00D17B0E" w:rsidP="00073901">
      <w:pPr>
        <w:widowControl w:val="0"/>
        <w:spacing w:after="720"/>
        <w:jc w:val="both"/>
        <w:rPr>
          <w:lang w:val="fr-CA"/>
        </w:rPr>
      </w:pPr>
      <w:r w:rsidRPr="00DE12B0">
        <w:rPr>
          <w:lang w:val="fr-CA"/>
        </w:rPr>
        <w:t>2017</w:t>
      </w:r>
      <w:r w:rsidR="00DE12B0">
        <w:rPr>
          <w:lang w:val="fr-CA"/>
        </w:rPr>
        <w:t> :</w:t>
      </w:r>
      <w:r w:rsidR="00EE5513">
        <w:rPr>
          <w:lang w:val="fr-CA"/>
        </w:rPr>
        <w:t xml:space="preserve"> 24 </w:t>
      </w:r>
      <w:r w:rsidRPr="00DE12B0">
        <w:rPr>
          <w:lang w:val="fr-CA"/>
        </w:rPr>
        <w:t>avril</w:t>
      </w:r>
      <w:r w:rsidR="004D7D95" w:rsidRPr="00DE12B0">
        <w:rPr>
          <w:lang w:val="fr-CA"/>
        </w:rPr>
        <w:t xml:space="preserve">; </w:t>
      </w:r>
      <w:r w:rsidR="004F3E43" w:rsidRPr="00DE12B0">
        <w:rPr>
          <w:lang w:val="fr-CA"/>
        </w:rPr>
        <w:t>2017</w:t>
      </w:r>
      <w:r w:rsidR="00DE12B0">
        <w:rPr>
          <w:lang w:val="fr-CA"/>
        </w:rPr>
        <w:t> :</w:t>
      </w:r>
      <w:r w:rsidR="00EE5513">
        <w:rPr>
          <w:lang w:val="fr-CA"/>
        </w:rPr>
        <w:t xml:space="preserve"> 23 </w:t>
      </w:r>
      <w:r w:rsidR="004F3E43" w:rsidRPr="00DE12B0">
        <w:rPr>
          <w:lang w:val="fr-CA"/>
        </w:rPr>
        <w:t>novembre</w:t>
      </w:r>
      <w:r w:rsidR="004D7D95" w:rsidRPr="00DE12B0">
        <w:rPr>
          <w:lang w:val="fr-CA"/>
        </w:rPr>
        <w:t>.</w:t>
      </w:r>
    </w:p>
    <w:p w:rsidR="004D7D95" w:rsidRPr="00DE12B0" w:rsidRDefault="004D7D95" w:rsidP="00073901">
      <w:pPr>
        <w:widowControl w:val="0"/>
        <w:spacing w:after="720"/>
        <w:jc w:val="both"/>
        <w:rPr>
          <w:lang w:val="fr-CA"/>
        </w:rPr>
      </w:pPr>
      <w:r w:rsidRPr="00DE12B0">
        <w:rPr>
          <w:lang w:val="fr-CA"/>
        </w:rPr>
        <w:t>Présents</w:t>
      </w:r>
      <w:r w:rsidR="00DE12B0">
        <w:rPr>
          <w:lang w:val="fr-CA"/>
        </w:rPr>
        <w:t> :</w:t>
      </w:r>
      <w:r w:rsidRPr="00DE12B0">
        <w:rPr>
          <w:lang w:val="fr-CA"/>
        </w:rPr>
        <w:t> Les juges Abella, Moldaver, Karakatsanis, Wagner, Gascon, Côté et Rowe.</w:t>
      </w:r>
    </w:p>
    <w:p w:rsidR="004D7D95" w:rsidRPr="00DE12B0" w:rsidRDefault="004D7D95" w:rsidP="00073901">
      <w:pPr>
        <w:widowControl w:val="0"/>
        <w:spacing w:after="720"/>
        <w:jc w:val="both"/>
        <w:rPr>
          <w:lang w:val="fr-CA"/>
        </w:rPr>
      </w:pPr>
      <w:r w:rsidRPr="00DE12B0">
        <w:rPr>
          <w:smallCaps/>
          <w:lang w:val="fr-CA"/>
        </w:rPr>
        <w:t>en appel de la cour d</w:t>
      </w:r>
      <w:r w:rsidR="00DE12B0">
        <w:rPr>
          <w:smallCaps/>
          <w:lang w:val="fr-CA"/>
        </w:rPr>
        <w:t>’</w:t>
      </w:r>
      <w:r w:rsidRPr="00DE12B0">
        <w:rPr>
          <w:smallCaps/>
          <w:lang w:val="fr-CA"/>
        </w:rPr>
        <w:t>appel de l</w:t>
      </w:r>
      <w:r w:rsidR="00DE12B0">
        <w:rPr>
          <w:smallCaps/>
          <w:lang w:val="fr-CA"/>
        </w:rPr>
        <w:t>’</w:t>
      </w:r>
      <w:r w:rsidRPr="00DE12B0">
        <w:rPr>
          <w:smallCaps/>
          <w:lang w:val="fr-CA"/>
        </w:rPr>
        <w:t>ontario</w:t>
      </w:r>
    </w:p>
    <w:p w:rsidR="002829EE" w:rsidRPr="00DE12B0" w:rsidRDefault="004D7D95" w:rsidP="00073901">
      <w:pPr>
        <w:pStyle w:val="SCCNormalDoubleSpacing"/>
        <w:widowControl w:val="0"/>
        <w:spacing w:before="480" w:after="480"/>
        <w:rPr>
          <w:i/>
          <w:lang w:val="fr-CA"/>
        </w:rPr>
      </w:pPr>
      <w:r w:rsidRPr="00DE12B0">
        <w:rPr>
          <w:lang w:val="fr-CA"/>
        </w:rPr>
        <w:tab/>
      </w:r>
      <w:r w:rsidR="004827DF" w:rsidRPr="00DE12B0">
        <w:rPr>
          <w:i/>
          <w:lang w:val="fr-CA"/>
        </w:rPr>
        <w:t>Tribunaux</w:t>
      </w:r>
      <w:r w:rsidR="003029D1" w:rsidRPr="00DE12B0">
        <w:rPr>
          <w:i/>
          <w:lang w:val="fr-CA"/>
        </w:rPr>
        <w:t xml:space="preserve"> —</w:t>
      </w:r>
      <w:r w:rsidR="00CF6E33" w:rsidRPr="00DE12B0">
        <w:rPr>
          <w:i/>
          <w:lang w:val="fr-CA"/>
        </w:rPr>
        <w:t xml:space="preserve"> </w:t>
      </w:r>
      <w:r w:rsidR="004827DF" w:rsidRPr="00DE12B0">
        <w:rPr>
          <w:i/>
          <w:lang w:val="fr-CA"/>
        </w:rPr>
        <w:t>Compétence</w:t>
      </w:r>
      <w:r w:rsidR="00CF6E33" w:rsidRPr="00DE12B0">
        <w:rPr>
          <w:i/>
          <w:lang w:val="fr-CA"/>
        </w:rPr>
        <w:t xml:space="preserve"> —</w:t>
      </w:r>
      <w:r w:rsidR="002829EE" w:rsidRPr="00DE12B0">
        <w:rPr>
          <w:i/>
          <w:lang w:val="fr-CA"/>
        </w:rPr>
        <w:t xml:space="preserve"> </w:t>
      </w:r>
      <w:r w:rsidR="004827DF" w:rsidRPr="00DE12B0">
        <w:rPr>
          <w:i/>
          <w:lang w:val="fr-CA"/>
        </w:rPr>
        <w:t>Procès</w:t>
      </w:r>
      <w:r w:rsidR="002829EE" w:rsidRPr="00DE12B0">
        <w:rPr>
          <w:i/>
          <w:lang w:val="fr-CA"/>
        </w:rPr>
        <w:t xml:space="preserve"> </w:t>
      </w:r>
      <w:r w:rsidR="00CF6E33" w:rsidRPr="00DE12B0">
        <w:rPr>
          <w:i/>
          <w:lang w:val="fr-CA"/>
        </w:rPr>
        <w:t>— Proc</w:t>
      </w:r>
      <w:r w:rsidR="004827DF" w:rsidRPr="00DE12B0">
        <w:rPr>
          <w:i/>
          <w:lang w:val="fr-CA"/>
        </w:rPr>
        <w:t>é</w:t>
      </w:r>
      <w:r w:rsidR="00CF6E33" w:rsidRPr="00DE12B0">
        <w:rPr>
          <w:i/>
          <w:lang w:val="fr-CA"/>
        </w:rPr>
        <w:t>dure —</w:t>
      </w:r>
      <w:r w:rsidR="002829EE" w:rsidRPr="00DE12B0">
        <w:rPr>
          <w:i/>
          <w:lang w:val="fr-CA"/>
        </w:rPr>
        <w:t xml:space="preserve"> </w:t>
      </w:r>
      <w:r w:rsidR="003F2BED" w:rsidRPr="00DE12B0">
        <w:rPr>
          <w:i/>
          <w:lang w:val="fr-CA"/>
        </w:rPr>
        <w:t>Réunion d</w:t>
      </w:r>
      <w:r w:rsidR="00DE12B0">
        <w:rPr>
          <w:i/>
          <w:lang w:val="fr-CA"/>
        </w:rPr>
        <w:t>’</w:t>
      </w:r>
      <w:r w:rsidR="003F2BED" w:rsidRPr="00DE12B0">
        <w:rPr>
          <w:i/>
          <w:lang w:val="fr-CA"/>
        </w:rPr>
        <w:t>accusations</w:t>
      </w:r>
      <w:r w:rsidR="002829EE" w:rsidRPr="00DE12B0">
        <w:rPr>
          <w:i/>
          <w:lang w:val="fr-CA"/>
        </w:rPr>
        <w:t xml:space="preserve"> </w:t>
      </w:r>
      <w:r w:rsidR="00CF6E33" w:rsidRPr="00DE12B0">
        <w:rPr>
          <w:i/>
          <w:lang w:val="fr-CA"/>
        </w:rPr>
        <w:t>—</w:t>
      </w:r>
      <w:r w:rsidR="002829EE" w:rsidRPr="00DE12B0">
        <w:rPr>
          <w:i/>
          <w:lang w:val="fr-CA"/>
        </w:rPr>
        <w:t xml:space="preserve"> </w:t>
      </w:r>
      <w:r w:rsidR="009A130A">
        <w:rPr>
          <w:i/>
          <w:lang w:val="fr-CA"/>
        </w:rPr>
        <w:t>Accusé jugé lors d’un p</w:t>
      </w:r>
      <w:r w:rsidR="00B46894" w:rsidRPr="00DE12B0">
        <w:rPr>
          <w:i/>
          <w:lang w:val="fr-CA"/>
        </w:rPr>
        <w:t xml:space="preserve">rocès unique pour des infractions provinciales et des infractions criminelles punissables sur </w:t>
      </w:r>
      <w:r w:rsidR="00300D5B" w:rsidRPr="00DE12B0">
        <w:rPr>
          <w:i/>
          <w:lang w:val="fr-CA"/>
        </w:rPr>
        <w:t>déclaration</w:t>
      </w:r>
      <w:r w:rsidR="00B46894" w:rsidRPr="00DE12B0">
        <w:rPr>
          <w:i/>
          <w:lang w:val="fr-CA"/>
        </w:rPr>
        <w:t xml:space="preserve"> de culpabilité par </w:t>
      </w:r>
      <w:r w:rsidR="00300D5B" w:rsidRPr="00DE12B0">
        <w:rPr>
          <w:i/>
          <w:lang w:val="fr-CA"/>
        </w:rPr>
        <w:t>procédure</w:t>
      </w:r>
      <w:r w:rsidR="00B46894" w:rsidRPr="00DE12B0">
        <w:rPr>
          <w:i/>
          <w:lang w:val="fr-CA"/>
        </w:rPr>
        <w:t xml:space="preserve"> </w:t>
      </w:r>
      <w:r w:rsidR="00B46894" w:rsidRPr="00DE12B0">
        <w:rPr>
          <w:i/>
          <w:lang w:val="fr-CA"/>
        </w:rPr>
        <w:lastRenderedPageBreak/>
        <w:t>sommaire découlant d</w:t>
      </w:r>
      <w:r w:rsidR="003F2BED" w:rsidRPr="00DE12B0">
        <w:rPr>
          <w:i/>
          <w:lang w:val="fr-CA"/>
        </w:rPr>
        <w:t>e</w:t>
      </w:r>
      <w:r w:rsidR="00B46894" w:rsidRPr="00DE12B0">
        <w:rPr>
          <w:i/>
          <w:lang w:val="fr-CA"/>
        </w:rPr>
        <w:t xml:space="preserve"> même</w:t>
      </w:r>
      <w:r w:rsidR="003F2BED" w:rsidRPr="00DE12B0">
        <w:rPr>
          <w:i/>
          <w:lang w:val="fr-CA"/>
        </w:rPr>
        <w:t>s</w:t>
      </w:r>
      <w:r w:rsidR="00FF1AEC">
        <w:rPr>
          <w:i/>
          <w:lang w:val="fr-CA"/>
        </w:rPr>
        <w:t xml:space="preserve"> évé</w:t>
      </w:r>
      <w:r w:rsidR="00B46894" w:rsidRPr="00DE12B0">
        <w:rPr>
          <w:i/>
          <w:lang w:val="fr-CA"/>
        </w:rPr>
        <w:t>nement</w:t>
      </w:r>
      <w:r w:rsidR="003F2BED" w:rsidRPr="00DE12B0">
        <w:rPr>
          <w:i/>
          <w:lang w:val="fr-CA"/>
        </w:rPr>
        <w:t>s</w:t>
      </w:r>
      <w:r w:rsidR="00B46894" w:rsidRPr="00DE12B0">
        <w:rPr>
          <w:i/>
          <w:lang w:val="fr-CA"/>
        </w:rPr>
        <w:t xml:space="preserve"> </w:t>
      </w:r>
      <w:r w:rsidR="00CF6E33" w:rsidRPr="00DE12B0">
        <w:rPr>
          <w:i/>
          <w:lang w:val="fr-CA"/>
        </w:rPr>
        <w:t>—</w:t>
      </w:r>
      <w:r w:rsidR="002829EE" w:rsidRPr="00DE12B0">
        <w:rPr>
          <w:i/>
          <w:lang w:val="fr-CA"/>
        </w:rPr>
        <w:t xml:space="preserve"> </w:t>
      </w:r>
      <w:r w:rsidR="003F2BED" w:rsidRPr="00DE12B0">
        <w:rPr>
          <w:i/>
          <w:lang w:val="fr-CA"/>
        </w:rPr>
        <w:t>Le</w:t>
      </w:r>
      <w:r w:rsidR="00B46894" w:rsidRPr="00DE12B0">
        <w:rPr>
          <w:i/>
          <w:lang w:val="fr-CA"/>
        </w:rPr>
        <w:t xml:space="preserve"> juge </w:t>
      </w:r>
      <w:r w:rsidR="00967CD8">
        <w:rPr>
          <w:i/>
          <w:lang w:val="fr-CA"/>
        </w:rPr>
        <w:t xml:space="preserve">de la </w:t>
      </w:r>
      <w:r w:rsidR="00B46894" w:rsidRPr="00DE12B0">
        <w:rPr>
          <w:i/>
          <w:lang w:val="fr-CA"/>
        </w:rPr>
        <w:t xml:space="preserve">cour provinciale </w:t>
      </w:r>
      <w:r w:rsidR="00967CD8">
        <w:rPr>
          <w:i/>
          <w:lang w:val="fr-CA"/>
        </w:rPr>
        <w:t xml:space="preserve">de l’Ontario </w:t>
      </w:r>
      <w:r w:rsidR="00B46894" w:rsidRPr="00DE12B0">
        <w:rPr>
          <w:i/>
          <w:lang w:val="fr-CA"/>
        </w:rPr>
        <w:t>a</w:t>
      </w:r>
      <w:r w:rsidR="00967CD8">
        <w:rPr>
          <w:i/>
          <w:lang w:val="fr-CA"/>
        </w:rPr>
        <w:t>vait</w:t>
      </w:r>
      <w:r w:rsidR="00140575">
        <w:rPr>
          <w:i/>
          <w:lang w:val="fr-CA"/>
        </w:rPr>
        <w:t>-</w:t>
      </w:r>
      <w:r w:rsidR="00B46894" w:rsidRPr="00DE12B0">
        <w:rPr>
          <w:i/>
          <w:lang w:val="fr-CA"/>
        </w:rPr>
        <w:t>il compétence pour instruire un procès conjoint et, sinon, peut</w:t>
      </w:r>
      <w:r w:rsidR="00140575">
        <w:rPr>
          <w:i/>
          <w:lang w:val="fr-CA"/>
        </w:rPr>
        <w:t>-</w:t>
      </w:r>
      <w:r w:rsidR="00B46894" w:rsidRPr="00DE12B0">
        <w:rPr>
          <w:i/>
          <w:lang w:val="fr-CA"/>
        </w:rPr>
        <w:t>il être reméd</w:t>
      </w:r>
      <w:r w:rsidR="00967CD8">
        <w:rPr>
          <w:i/>
          <w:lang w:val="fr-CA"/>
        </w:rPr>
        <w:t>ié</w:t>
      </w:r>
      <w:r w:rsidR="00B46894" w:rsidRPr="00DE12B0">
        <w:rPr>
          <w:i/>
          <w:lang w:val="fr-CA"/>
        </w:rPr>
        <w:t xml:space="preserve"> à cette erreur par l</w:t>
      </w:r>
      <w:r w:rsidR="00DE12B0">
        <w:rPr>
          <w:i/>
          <w:lang w:val="fr-CA"/>
        </w:rPr>
        <w:t>’</w:t>
      </w:r>
      <w:r w:rsidR="00B46894" w:rsidRPr="00DE12B0">
        <w:rPr>
          <w:i/>
          <w:lang w:val="fr-CA"/>
        </w:rPr>
        <w:t>applicati</w:t>
      </w:r>
      <w:r w:rsidR="00FF1AEC">
        <w:rPr>
          <w:i/>
          <w:lang w:val="fr-CA"/>
        </w:rPr>
        <w:t>on de dispositions réparatrices</w:t>
      </w:r>
      <w:r w:rsidR="00B46894" w:rsidRPr="00DE12B0">
        <w:rPr>
          <w:i/>
          <w:lang w:val="fr-CA"/>
        </w:rPr>
        <w:t>?</w:t>
      </w:r>
    </w:p>
    <w:p w:rsidR="00300D5B" w:rsidRPr="00DE12B0" w:rsidRDefault="002829EE" w:rsidP="00073901">
      <w:pPr>
        <w:pStyle w:val="SCCNormalDoubleSpacing"/>
        <w:widowControl w:val="0"/>
        <w:spacing w:before="480" w:after="480"/>
        <w:rPr>
          <w:lang w:val="fr-CA"/>
        </w:rPr>
      </w:pPr>
      <w:r w:rsidRPr="00DE12B0">
        <w:rPr>
          <w:lang w:val="fr-CA"/>
        </w:rPr>
        <w:tab/>
      </w:r>
      <w:r w:rsidR="004168C2" w:rsidRPr="00DE12B0">
        <w:rPr>
          <w:lang w:val="fr-CA"/>
        </w:rPr>
        <w:t>À la suite d</w:t>
      </w:r>
      <w:r w:rsidR="00DE12B0">
        <w:rPr>
          <w:lang w:val="fr-CA"/>
        </w:rPr>
        <w:t>’</w:t>
      </w:r>
      <w:r w:rsidR="004168C2" w:rsidRPr="00DE12B0">
        <w:rPr>
          <w:lang w:val="fr-CA"/>
        </w:rPr>
        <w:t>un épisode de conduite erratique</w:t>
      </w:r>
      <w:r w:rsidRPr="00DE12B0">
        <w:rPr>
          <w:lang w:val="fr-CA"/>
        </w:rPr>
        <w:t xml:space="preserve">, </w:t>
      </w:r>
      <w:r w:rsidR="003E2E49" w:rsidRPr="00DE12B0">
        <w:rPr>
          <w:lang w:val="fr-CA"/>
        </w:rPr>
        <w:t>S a été accusé d</w:t>
      </w:r>
      <w:r w:rsidR="00DE12B0">
        <w:rPr>
          <w:lang w:val="fr-CA"/>
        </w:rPr>
        <w:t>’</w:t>
      </w:r>
      <w:r w:rsidR="003E2E49" w:rsidRPr="00DE12B0">
        <w:rPr>
          <w:lang w:val="fr-CA"/>
        </w:rPr>
        <w:t xml:space="preserve">infractions prévues au </w:t>
      </w:r>
      <w:r w:rsidR="003E2E49" w:rsidRPr="00DE12B0">
        <w:rPr>
          <w:i/>
          <w:lang w:val="fr-CA"/>
        </w:rPr>
        <w:t>Code criminel</w:t>
      </w:r>
      <w:r w:rsidR="003E2E49" w:rsidRPr="00DE12B0">
        <w:rPr>
          <w:lang w:val="fr-CA"/>
        </w:rPr>
        <w:t xml:space="preserve"> dans une dénonciation et d</w:t>
      </w:r>
      <w:r w:rsidR="00DE12B0">
        <w:rPr>
          <w:lang w:val="fr-CA"/>
        </w:rPr>
        <w:t>’</w:t>
      </w:r>
      <w:r w:rsidR="003E2E49" w:rsidRPr="00DE12B0">
        <w:rPr>
          <w:lang w:val="fr-CA"/>
        </w:rPr>
        <w:t xml:space="preserve">infractions au </w:t>
      </w:r>
      <w:r w:rsidR="003E2E49" w:rsidRPr="00DE12B0">
        <w:rPr>
          <w:i/>
          <w:lang w:val="fr-CA"/>
        </w:rPr>
        <w:t>Code de la route</w:t>
      </w:r>
      <w:r w:rsidR="003E2E49" w:rsidRPr="00DE12B0">
        <w:rPr>
          <w:lang w:val="fr-CA"/>
        </w:rPr>
        <w:t xml:space="preserve"> de l</w:t>
      </w:r>
      <w:r w:rsidR="00DE12B0">
        <w:rPr>
          <w:lang w:val="fr-CA"/>
        </w:rPr>
        <w:t>’</w:t>
      </w:r>
      <w:r w:rsidR="003E2E49" w:rsidRPr="00DE12B0">
        <w:rPr>
          <w:lang w:val="fr-CA"/>
        </w:rPr>
        <w:t>Ontario dans une autre dénonciation. Le ministère public a choisi de procéder par procédure sommaire relativement aux infractions criminelles. Avec son consentement, S a subi devant la Cour de justice de l</w:t>
      </w:r>
      <w:r w:rsidR="00DE12B0">
        <w:rPr>
          <w:lang w:val="fr-CA"/>
        </w:rPr>
        <w:t>’</w:t>
      </w:r>
      <w:r w:rsidR="003E2E49" w:rsidRPr="00DE12B0">
        <w:rPr>
          <w:lang w:val="fr-CA"/>
        </w:rPr>
        <w:t>Ontario un seul procès pour l</w:t>
      </w:r>
      <w:r w:rsidR="00DE12B0">
        <w:rPr>
          <w:lang w:val="fr-CA"/>
        </w:rPr>
        <w:t>’</w:t>
      </w:r>
      <w:r w:rsidR="003E2E49" w:rsidRPr="00DE12B0">
        <w:rPr>
          <w:lang w:val="fr-CA"/>
        </w:rPr>
        <w:t>ensemble des accusations, et a été déclaré coupable d</w:t>
      </w:r>
      <w:r w:rsidR="00DE12B0">
        <w:rPr>
          <w:lang w:val="fr-CA"/>
        </w:rPr>
        <w:t>’</w:t>
      </w:r>
      <w:r w:rsidR="003E2E49" w:rsidRPr="00DE12B0">
        <w:rPr>
          <w:lang w:val="fr-CA"/>
        </w:rPr>
        <w:t>une infraction criminelle et d</w:t>
      </w:r>
      <w:r w:rsidR="00DE12B0">
        <w:rPr>
          <w:lang w:val="fr-CA"/>
        </w:rPr>
        <w:t>’</w:t>
      </w:r>
      <w:r w:rsidR="003E2E49" w:rsidRPr="00DE12B0">
        <w:rPr>
          <w:lang w:val="fr-CA"/>
        </w:rPr>
        <w:t>une infraction provinciale. Il a interjeté appel des déclarations de culpabilité, faisant valoir que l</w:t>
      </w:r>
      <w:r w:rsidR="00300D5B" w:rsidRPr="00DE12B0">
        <w:rPr>
          <w:lang w:val="fr-CA"/>
        </w:rPr>
        <w:t>e</w:t>
      </w:r>
      <w:r w:rsidR="003E2E49" w:rsidRPr="00DE12B0">
        <w:rPr>
          <w:lang w:val="fr-CA"/>
        </w:rPr>
        <w:t xml:space="preserve"> juge du procès n</w:t>
      </w:r>
      <w:r w:rsidR="00DE12B0">
        <w:rPr>
          <w:lang w:val="fr-CA"/>
        </w:rPr>
        <w:t>’</w:t>
      </w:r>
      <w:r w:rsidR="003E2E49" w:rsidRPr="00DE12B0">
        <w:rPr>
          <w:lang w:val="fr-CA"/>
        </w:rPr>
        <w:t>avait pas compétence pour juger à la fois les infractions criminelles et les infractions provinciales dans le cadre d</w:t>
      </w:r>
      <w:r w:rsidR="00DE12B0">
        <w:rPr>
          <w:lang w:val="fr-CA"/>
        </w:rPr>
        <w:t>’</w:t>
      </w:r>
      <w:r w:rsidR="003E2E49" w:rsidRPr="00DE12B0">
        <w:rPr>
          <w:lang w:val="fr-CA"/>
        </w:rPr>
        <w:t xml:space="preserve">un procès conjoint et que, en conséquence, son procès était frappé de nullité. </w:t>
      </w:r>
      <w:r w:rsidR="00300D5B" w:rsidRPr="00DE12B0">
        <w:rPr>
          <w:lang w:val="fr-CA"/>
        </w:rPr>
        <w:t>La juge d</w:t>
      </w:r>
      <w:r w:rsidR="00DE12B0">
        <w:rPr>
          <w:lang w:val="fr-CA"/>
        </w:rPr>
        <w:t>’</w:t>
      </w:r>
      <w:r w:rsidR="00300D5B" w:rsidRPr="00DE12B0">
        <w:rPr>
          <w:lang w:val="fr-CA"/>
        </w:rPr>
        <w:t>appel en matière de poursuites sommaires a rejeté</w:t>
      </w:r>
      <w:r w:rsidR="003E2E49" w:rsidRPr="00DE12B0">
        <w:rPr>
          <w:lang w:val="fr-CA"/>
        </w:rPr>
        <w:t xml:space="preserve"> </w:t>
      </w:r>
      <w:r w:rsidR="00300D5B" w:rsidRPr="00DE12B0">
        <w:rPr>
          <w:lang w:val="fr-CA"/>
        </w:rPr>
        <w:t>les appels. La Cour d</w:t>
      </w:r>
      <w:r w:rsidR="00DE12B0">
        <w:rPr>
          <w:lang w:val="fr-CA"/>
        </w:rPr>
        <w:t>’</w:t>
      </w:r>
      <w:r w:rsidR="00300D5B" w:rsidRPr="00DE12B0">
        <w:rPr>
          <w:lang w:val="fr-CA"/>
        </w:rPr>
        <w:t xml:space="preserve">appel a conclu que le juge </w:t>
      </w:r>
      <w:r w:rsidR="003F2BED" w:rsidRPr="00DE12B0">
        <w:rPr>
          <w:lang w:val="fr-CA"/>
        </w:rPr>
        <w:t>du procès</w:t>
      </w:r>
      <w:r w:rsidR="00300D5B" w:rsidRPr="00DE12B0">
        <w:rPr>
          <w:lang w:val="fr-CA"/>
        </w:rPr>
        <w:t xml:space="preserve"> n</w:t>
      </w:r>
      <w:r w:rsidR="00DE12B0">
        <w:rPr>
          <w:lang w:val="fr-CA"/>
        </w:rPr>
        <w:t>’</w:t>
      </w:r>
      <w:r w:rsidR="00300D5B" w:rsidRPr="00DE12B0">
        <w:rPr>
          <w:lang w:val="fr-CA"/>
        </w:rPr>
        <w:t>avait pas compétence pour tenir un procès conjoint, mais elle a rejeté les appels, estimant que l</w:t>
      </w:r>
      <w:r w:rsidR="00DE12B0">
        <w:rPr>
          <w:lang w:val="fr-CA"/>
        </w:rPr>
        <w:t>’</w:t>
      </w:r>
      <w:r w:rsidR="00300D5B" w:rsidRPr="00DE12B0">
        <w:rPr>
          <w:lang w:val="fr-CA"/>
        </w:rPr>
        <w:t xml:space="preserve">erreur pouvait </w:t>
      </w:r>
      <w:r w:rsidR="0035562C" w:rsidRPr="007B5EFE">
        <w:rPr>
          <w:lang w:val="fr-CA"/>
        </w:rPr>
        <w:t xml:space="preserve">être </w:t>
      </w:r>
      <w:r w:rsidR="0035562C">
        <w:rPr>
          <w:lang w:val="fr-CA"/>
        </w:rPr>
        <w:t>remédi</w:t>
      </w:r>
      <w:r w:rsidR="0035562C" w:rsidRPr="007B5EFE">
        <w:rPr>
          <w:lang w:val="fr-CA"/>
        </w:rPr>
        <w:t>ée en appliquant l</w:t>
      </w:r>
      <w:r w:rsidR="0035562C">
        <w:rPr>
          <w:lang w:val="fr-CA"/>
        </w:rPr>
        <w:t>’</w:t>
      </w:r>
      <w:r w:rsidR="0035562C" w:rsidRPr="007B5EFE">
        <w:rPr>
          <w:lang w:val="fr-CA"/>
        </w:rPr>
        <w:t>exception d</w:t>
      </w:r>
      <w:r w:rsidR="0035562C">
        <w:rPr>
          <w:lang w:val="fr-CA"/>
        </w:rPr>
        <w:t>’</w:t>
      </w:r>
      <w:r w:rsidR="0035562C" w:rsidRPr="007B5EFE">
        <w:rPr>
          <w:lang w:val="fr-CA"/>
        </w:rPr>
        <w:t>ordre procédural prévue au sous</w:t>
      </w:r>
      <w:r w:rsidR="00140575">
        <w:rPr>
          <w:lang w:val="fr-CA"/>
        </w:rPr>
        <w:t>-</w:t>
      </w:r>
      <w:r w:rsidR="0035562C">
        <w:rPr>
          <w:lang w:val="fr-CA"/>
        </w:rPr>
        <w:t>al. </w:t>
      </w:r>
      <w:r w:rsidR="0035562C" w:rsidRPr="007B5EFE">
        <w:rPr>
          <w:lang w:val="fr-CA"/>
        </w:rPr>
        <w:t xml:space="preserve">686(1)b)(iv) du </w:t>
      </w:r>
      <w:r w:rsidR="0035562C">
        <w:rPr>
          <w:i/>
          <w:lang w:val="fr-CA"/>
        </w:rPr>
        <w:t>Code criminel</w:t>
      </w:r>
      <w:r w:rsidR="0035562C" w:rsidRPr="007B5EFE">
        <w:rPr>
          <w:lang w:val="fr-CA"/>
        </w:rPr>
        <w:t xml:space="preserve"> ainsi que l</w:t>
      </w:r>
      <w:r w:rsidR="0035562C">
        <w:rPr>
          <w:lang w:val="fr-CA"/>
        </w:rPr>
        <w:t>’</w:t>
      </w:r>
      <w:r w:rsidR="0035562C" w:rsidRPr="007B5EFE">
        <w:rPr>
          <w:lang w:val="fr-CA"/>
        </w:rPr>
        <w:t>exception prévue au sous</w:t>
      </w:r>
      <w:r w:rsidR="00140575">
        <w:rPr>
          <w:lang w:val="fr-CA"/>
        </w:rPr>
        <w:t>-</w:t>
      </w:r>
      <w:r w:rsidR="0035562C">
        <w:rPr>
          <w:lang w:val="fr-CA"/>
        </w:rPr>
        <w:t>al. </w:t>
      </w:r>
      <w:r w:rsidR="0035562C" w:rsidRPr="007B5EFE">
        <w:rPr>
          <w:lang w:val="fr-CA"/>
        </w:rPr>
        <w:t xml:space="preserve">120(1)b)(iii) de </w:t>
      </w:r>
      <w:r w:rsidR="00300D5B" w:rsidRPr="00DE12B0">
        <w:rPr>
          <w:lang w:val="fr-CA"/>
        </w:rPr>
        <w:t xml:space="preserve">la </w:t>
      </w:r>
      <w:r w:rsidR="00300D5B" w:rsidRPr="00DE12B0">
        <w:rPr>
          <w:i/>
          <w:lang w:val="fr-CA"/>
        </w:rPr>
        <w:t xml:space="preserve">Loi sur les infractions provinciales </w:t>
      </w:r>
      <w:r w:rsidR="00300D5B" w:rsidRPr="00DE12B0">
        <w:rPr>
          <w:lang w:val="fr-CA"/>
        </w:rPr>
        <w:t>(« </w:t>
      </w:r>
      <w:r w:rsidR="00300D5B" w:rsidRPr="00DE12B0">
        <w:rPr>
          <w:i/>
          <w:lang w:val="fr-CA"/>
        </w:rPr>
        <w:t>LIP</w:t>
      </w:r>
      <w:r w:rsidR="00300D5B" w:rsidRPr="00DE12B0">
        <w:rPr>
          <w:lang w:val="fr-CA"/>
        </w:rPr>
        <w:t> »).</w:t>
      </w:r>
    </w:p>
    <w:p w:rsidR="002829EE" w:rsidRPr="00DE12B0" w:rsidRDefault="002829EE" w:rsidP="00073901">
      <w:pPr>
        <w:pStyle w:val="SCCNormalDoubleSpacing"/>
        <w:widowControl w:val="0"/>
        <w:spacing w:before="480" w:after="720" w:line="240" w:lineRule="auto"/>
        <w:rPr>
          <w:lang w:val="fr-CA"/>
        </w:rPr>
      </w:pPr>
      <w:r w:rsidRPr="00DE12B0">
        <w:rPr>
          <w:lang w:val="fr-CA"/>
        </w:rPr>
        <w:tab/>
      </w:r>
      <w:r w:rsidR="00B46894" w:rsidRPr="00DE12B0">
        <w:rPr>
          <w:i/>
          <w:lang w:val="fr-CA"/>
        </w:rPr>
        <w:t>Arrêt</w:t>
      </w:r>
      <w:r w:rsidRPr="00DE12B0">
        <w:rPr>
          <w:rStyle w:val="QuoteChar"/>
          <w:color w:val="auto"/>
          <w:lang w:val="fr-CA"/>
        </w:rPr>
        <w:t xml:space="preserve"> </w:t>
      </w:r>
      <w:r w:rsidRPr="00DE12B0">
        <w:rPr>
          <w:rStyle w:val="QuoteChar"/>
          <w:i w:val="0"/>
          <w:color w:val="auto"/>
          <w:lang w:val="fr-CA"/>
        </w:rPr>
        <w:t>(</w:t>
      </w:r>
      <w:r w:rsidR="00277518" w:rsidRPr="00DE12B0">
        <w:rPr>
          <w:rStyle w:val="QuoteChar"/>
          <w:i w:val="0"/>
          <w:color w:val="auto"/>
          <w:lang w:val="fr-CA"/>
        </w:rPr>
        <w:t>la juge</w:t>
      </w:r>
      <w:r w:rsidR="00B46894" w:rsidRPr="00DE12B0">
        <w:rPr>
          <w:rStyle w:val="QuoteChar"/>
          <w:i w:val="0"/>
          <w:color w:val="auto"/>
          <w:lang w:val="fr-CA"/>
        </w:rPr>
        <w:t xml:space="preserve"> </w:t>
      </w:r>
      <w:r w:rsidRPr="00DE12B0">
        <w:rPr>
          <w:rStyle w:val="QuoteChar"/>
          <w:i w:val="0"/>
          <w:color w:val="auto"/>
          <w:lang w:val="fr-CA"/>
        </w:rPr>
        <w:t>Côté</w:t>
      </w:r>
      <w:r w:rsidR="00277518" w:rsidRPr="00DE12B0">
        <w:rPr>
          <w:rStyle w:val="QuoteChar"/>
          <w:i w:val="0"/>
          <w:color w:val="auto"/>
          <w:lang w:val="fr-CA"/>
        </w:rPr>
        <w:t xml:space="preserve"> est</w:t>
      </w:r>
      <w:r w:rsidRPr="00DE12B0">
        <w:rPr>
          <w:rStyle w:val="QuoteChar"/>
          <w:i w:val="0"/>
          <w:color w:val="auto"/>
          <w:lang w:val="fr-CA"/>
        </w:rPr>
        <w:t xml:space="preserve"> </w:t>
      </w:r>
      <w:r w:rsidR="00B46894" w:rsidRPr="00DE12B0">
        <w:rPr>
          <w:rStyle w:val="QuoteChar"/>
          <w:i w:val="0"/>
          <w:color w:val="auto"/>
          <w:lang w:val="fr-CA"/>
        </w:rPr>
        <w:t>dissidente</w:t>
      </w:r>
      <w:r w:rsidRPr="00DE12B0">
        <w:rPr>
          <w:rStyle w:val="QuoteChar"/>
          <w:i w:val="0"/>
          <w:color w:val="auto"/>
          <w:lang w:val="fr-CA"/>
        </w:rPr>
        <w:t>)</w:t>
      </w:r>
      <w:r w:rsidR="00DE12B0">
        <w:rPr>
          <w:rStyle w:val="QuoteChar"/>
          <w:i w:val="0"/>
          <w:color w:val="auto"/>
          <w:lang w:val="fr-CA"/>
        </w:rPr>
        <w:t> :</w:t>
      </w:r>
      <w:r w:rsidRPr="00DE12B0">
        <w:rPr>
          <w:lang w:val="fr-CA"/>
        </w:rPr>
        <w:t xml:space="preserve"> </w:t>
      </w:r>
      <w:r w:rsidR="00277518" w:rsidRPr="00DE12B0">
        <w:rPr>
          <w:lang w:val="fr-CA"/>
        </w:rPr>
        <w:t>L</w:t>
      </w:r>
      <w:r w:rsidR="00DE12B0">
        <w:rPr>
          <w:lang w:val="fr-CA"/>
        </w:rPr>
        <w:t>’</w:t>
      </w:r>
      <w:r w:rsidR="00B46894" w:rsidRPr="00DE12B0">
        <w:rPr>
          <w:lang w:val="fr-CA"/>
        </w:rPr>
        <w:t xml:space="preserve">appel est rejeté. </w:t>
      </w:r>
    </w:p>
    <w:p w:rsidR="00300D5B" w:rsidRPr="00DE12B0" w:rsidRDefault="002829EE" w:rsidP="00073901">
      <w:pPr>
        <w:pStyle w:val="SCCNormalDoubleSpacing"/>
        <w:widowControl w:val="0"/>
        <w:spacing w:before="480" w:after="480"/>
        <w:rPr>
          <w:lang w:val="fr-CA"/>
        </w:rPr>
      </w:pPr>
      <w:r w:rsidRPr="00DE12B0">
        <w:rPr>
          <w:lang w:val="fr-CA"/>
        </w:rPr>
        <w:tab/>
      </w:r>
      <w:r w:rsidR="00B46894" w:rsidRPr="00DE12B0">
        <w:rPr>
          <w:i/>
          <w:lang w:val="fr-CA"/>
        </w:rPr>
        <w:t xml:space="preserve">Les </w:t>
      </w:r>
      <w:r w:rsidR="00B46894" w:rsidRPr="001C18D6">
        <w:rPr>
          <w:lang w:val="fr-CA"/>
        </w:rPr>
        <w:t>juges</w:t>
      </w:r>
      <w:r w:rsidRPr="001C18D6">
        <w:rPr>
          <w:lang w:val="fr-CA"/>
        </w:rPr>
        <w:t xml:space="preserve"> </w:t>
      </w:r>
      <w:r w:rsidRPr="00DE12B0">
        <w:rPr>
          <w:lang w:val="fr-CA"/>
        </w:rPr>
        <w:t xml:space="preserve">Abella, </w:t>
      </w:r>
      <w:r w:rsidRPr="001C18D6">
        <w:rPr>
          <w:lang w:val="fr-CA"/>
        </w:rPr>
        <w:t>Moldaver</w:t>
      </w:r>
      <w:r w:rsidRPr="00DE12B0">
        <w:rPr>
          <w:lang w:val="fr-CA"/>
        </w:rPr>
        <w:t xml:space="preserve">, Karakatsanis, Wagner, Gascon </w:t>
      </w:r>
      <w:r w:rsidR="00B46894" w:rsidRPr="00DE12B0">
        <w:rPr>
          <w:lang w:val="fr-CA"/>
        </w:rPr>
        <w:t>et</w:t>
      </w:r>
      <w:r w:rsidRPr="00DE12B0">
        <w:rPr>
          <w:lang w:val="fr-CA"/>
        </w:rPr>
        <w:t xml:space="preserve"> Rowe</w:t>
      </w:r>
      <w:r w:rsidR="00DE12B0">
        <w:rPr>
          <w:lang w:val="fr-CA"/>
        </w:rPr>
        <w:t> :</w:t>
      </w:r>
      <w:r w:rsidRPr="00DE12B0">
        <w:rPr>
          <w:lang w:val="fr-CA"/>
        </w:rPr>
        <w:t xml:space="preserve"> </w:t>
      </w:r>
      <w:r w:rsidR="00300D5B" w:rsidRPr="00DE12B0">
        <w:rPr>
          <w:lang w:val="fr-CA"/>
        </w:rPr>
        <w:t xml:space="preserve">Le juge du procès avait compétence pour mener un procès conjoint relativement à des </w:t>
      </w:r>
      <w:r w:rsidR="00300D5B" w:rsidRPr="00DE12B0">
        <w:rPr>
          <w:lang w:val="fr-CA"/>
        </w:rPr>
        <w:lastRenderedPageBreak/>
        <w:t xml:space="preserve">accusations provinciales et </w:t>
      </w:r>
      <w:r w:rsidR="003F2BED" w:rsidRPr="00DE12B0">
        <w:rPr>
          <w:lang w:val="fr-CA"/>
        </w:rPr>
        <w:t xml:space="preserve">à des accusations </w:t>
      </w:r>
      <w:r w:rsidR="00300D5B" w:rsidRPr="00DE12B0">
        <w:rPr>
          <w:lang w:val="fr-CA"/>
        </w:rPr>
        <w:t xml:space="preserve">criminelles </w:t>
      </w:r>
      <w:r w:rsidR="003F2BED" w:rsidRPr="00DE12B0">
        <w:rPr>
          <w:lang w:val="fr-CA"/>
        </w:rPr>
        <w:t xml:space="preserve">relatives à des infractions </w:t>
      </w:r>
      <w:r w:rsidR="00300D5B" w:rsidRPr="00DE12B0">
        <w:rPr>
          <w:lang w:val="fr-CA"/>
        </w:rPr>
        <w:t>punissables sur déclaration de culpabilité par procédure sommaire, et il n</w:t>
      </w:r>
      <w:r w:rsidR="00DE12B0">
        <w:rPr>
          <w:lang w:val="fr-CA"/>
        </w:rPr>
        <w:t>’</w:t>
      </w:r>
      <w:r w:rsidR="00300D5B" w:rsidRPr="00DE12B0">
        <w:rPr>
          <w:lang w:val="fr-CA"/>
        </w:rPr>
        <w:t>a pas commis d</w:t>
      </w:r>
      <w:r w:rsidR="00DE12B0">
        <w:rPr>
          <w:lang w:val="fr-CA"/>
        </w:rPr>
        <w:t>’</w:t>
      </w:r>
      <w:r w:rsidR="00300D5B" w:rsidRPr="00DE12B0">
        <w:rPr>
          <w:lang w:val="fr-CA"/>
        </w:rPr>
        <w:t>erreur en exerçant son pouvoir discrétionnaire d</w:t>
      </w:r>
      <w:r w:rsidR="00DE12B0">
        <w:rPr>
          <w:lang w:val="fr-CA"/>
        </w:rPr>
        <w:t>’</w:t>
      </w:r>
      <w:r w:rsidR="00300D5B" w:rsidRPr="00DE12B0">
        <w:rPr>
          <w:lang w:val="fr-CA"/>
        </w:rPr>
        <w:t>en tenir un dans les circonstances.</w:t>
      </w:r>
    </w:p>
    <w:p w:rsidR="002829EE" w:rsidRPr="00DE12B0" w:rsidRDefault="00300D5B" w:rsidP="00073901">
      <w:pPr>
        <w:pStyle w:val="SCCNormalDoubleSpacing"/>
        <w:widowControl w:val="0"/>
        <w:spacing w:before="480" w:after="480"/>
        <w:rPr>
          <w:lang w:val="fr-CA"/>
        </w:rPr>
      </w:pPr>
      <w:r w:rsidRPr="00DE12B0">
        <w:rPr>
          <w:lang w:val="fr-CA"/>
        </w:rPr>
        <w:tab/>
        <w:t xml:space="preserve">La loi confère compétence aux juges de la </w:t>
      </w:r>
      <w:r w:rsidR="00EB0FCB" w:rsidRPr="00DE12B0">
        <w:rPr>
          <w:lang w:val="fr-CA"/>
        </w:rPr>
        <w:t>Cour de justice de l</w:t>
      </w:r>
      <w:r w:rsidR="00EB0FCB">
        <w:rPr>
          <w:lang w:val="fr-CA"/>
        </w:rPr>
        <w:t>’</w:t>
      </w:r>
      <w:r w:rsidR="00EB0FCB" w:rsidRPr="00DE12B0">
        <w:rPr>
          <w:lang w:val="fr-CA"/>
        </w:rPr>
        <w:t>Ontario</w:t>
      </w:r>
      <w:r w:rsidRPr="00DE12B0">
        <w:rPr>
          <w:lang w:val="fr-CA"/>
        </w:rPr>
        <w:t xml:space="preserve"> pour instruire tant les accusations relatives à des infractions provinciales que celles, criminelles, punissables sur déclaration de culpabilité par procédure sommaire</w:t>
      </w:r>
      <w:r w:rsidR="00BC2032" w:rsidRPr="00DE12B0">
        <w:rPr>
          <w:lang w:val="fr-CA"/>
        </w:rPr>
        <w:t>. En outre,</w:t>
      </w:r>
      <w:r w:rsidRPr="00DE12B0">
        <w:rPr>
          <w:lang w:val="fr-CA"/>
        </w:rPr>
        <w:t xml:space="preserve"> aucune disposition du </w:t>
      </w:r>
      <w:r w:rsidR="00EB0FCB" w:rsidRPr="00DE12B0">
        <w:rPr>
          <w:i/>
          <w:lang w:val="fr-CA"/>
        </w:rPr>
        <w:t>Code criminel</w:t>
      </w:r>
      <w:r w:rsidR="00EB0FCB" w:rsidRPr="00DE12B0">
        <w:rPr>
          <w:lang w:val="fr-CA"/>
        </w:rPr>
        <w:t xml:space="preserve"> </w:t>
      </w:r>
      <w:r w:rsidRPr="00DE12B0">
        <w:rPr>
          <w:lang w:val="fr-CA"/>
        </w:rPr>
        <w:t xml:space="preserve">ou de la </w:t>
      </w:r>
      <w:r w:rsidRPr="00DE12B0">
        <w:rPr>
          <w:i/>
          <w:lang w:val="fr-CA"/>
        </w:rPr>
        <w:t>LIP</w:t>
      </w:r>
      <w:r w:rsidRPr="00DE12B0">
        <w:rPr>
          <w:lang w:val="fr-CA"/>
        </w:rPr>
        <w:t xml:space="preserve"> n</w:t>
      </w:r>
      <w:r w:rsidR="00DE12B0">
        <w:rPr>
          <w:lang w:val="fr-CA"/>
        </w:rPr>
        <w:t>’</w:t>
      </w:r>
      <w:r w:rsidRPr="00DE12B0">
        <w:rPr>
          <w:lang w:val="fr-CA"/>
        </w:rPr>
        <w:t>interdit expressément la tenue d</w:t>
      </w:r>
      <w:r w:rsidR="00DE12B0">
        <w:rPr>
          <w:lang w:val="fr-CA"/>
        </w:rPr>
        <w:t>’</w:t>
      </w:r>
      <w:r w:rsidRPr="00DE12B0">
        <w:rPr>
          <w:lang w:val="fr-CA"/>
        </w:rPr>
        <w:t>un procès conjoint pour juger de telles accusations</w:t>
      </w:r>
      <w:r w:rsidR="002829EE" w:rsidRPr="00DE12B0">
        <w:rPr>
          <w:lang w:val="fr-CA"/>
        </w:rPr>
        <w:t xml:space="preserve">. </w:t>
      </w:r>
      <w:r w:rsidR="00D70042" w:rsidRPr="00DE12B0">
        <w:rPr>
          <w:lang w:val="fr-CA"/>
        </w:rPr>
        <w:t>En l</w:t>
      </w:r>
      <w:r w:rsidR="00DE12B0">
        <w:rPr>
          <w:lang w:val="fr-CA"/>
        </w:rPr>
        <w:t>’</w:t>
      </w:r>
      <w:r w:rsidR="00D70042" w:rsidRPr="00DE12B0">
        <w:rPr>
          <w:lang w:val="fr-CA"/>
        </w:rPr>
        <w:t>absence d</w:t>
      </w:r>
      <w:r w:rsidR="00DE12B0">
        <w:rPr>
          <w:lang w:val="fr-CA"/>
        </w:rPr>
        <w:t>’</w:t>
      </w:r>
      <w:r w:rsidR="00D70042" w:rsidRPr="00DE12B0">
        <w:rPr>
          <w:lang w:val="fr-CA"/>
        </w:rPr>
        <w:t>une telle disposition, la compétence d</w:t>
      </w:r>
      <w:r w:rsidR="00DE12B0">
        <w:rPr>
          <w:lang w:val="fr-CA"/>
        </w:rPr>
        <w:t>’</w:t>
      </w:r>
      <w:r w:rsidR="00D70042" w:rsidRPr="00DE12B0">
        <w:rPr>
          <w:lang w:val="fr-CA"/>
        </w:rPr>
        <w:t>un juge de la Cour de justice de l</w:t>
      </w:r>
      <w:r w:rsidR="00DE12B0">
        <w:rPr>
          <w:lang w:val="fr-CA"/>
        </w:rPr>
        <w:t>’</w:t>
      </w:r>
      <w:r w:rsidR="00D70042" w:rsidRPr="00DE12B0">
        <w:rPr>
          <w:lang w:val="fr-CA"/>
        </w:rPr>
        <w:t xml:space="preserve">Ontario </w:t>
      </w:r>
      <w:r w:rsidR="003F2BED" w:rsidRPr="00DE12B0">
        <w:rPr>
          <w:lang w:val="fr-CA"/>
        </w:rPr>
        <w:t>d</w:t>
      </w:r>
      <w:r w:rsidR="00DE12B0">
        <w:rPr>
          <w:lang w:val="fr-CA"/>
        </w:rPr>
        <w:t>’</w:t>
      </w:r>
      <w:r w:rsidR="003F2BED" w:rsidRPr="00DE12B0">
        <w:rPr>
          <w:lang w:val="fr-CA"/>
        </w:rPr>
        <w:t>instruire conjointement ces deux types d</w:t>
      </w:r>
      <w:r w:rsidR="00DE12B0">
        <w:rPr>
          <w:lang w:val="fr-CA"/>
        </w:rPr>
        <w:t>’</w:t>
      </w:r>
      <w:r w:rsidR="003F2BED" w:rsidRPr="00DE12B0">
        <w:rPr>
          <w:lang w:val="fr-CA"/>
        </w:rPr>
        <w:t xml:space="preserve">accusations </w:t>
      </w:r>
      <w:r w:rsidR="00D70042" w:rsidRPr="00DE12B0">
        <w:rPr>
          <w:lang w:val="fr-CA"/>
        </w:rPr>
        <w:t xml:space="preserve">procède </w:t>
      </w:r>
      <w:r w:rsidR="003F2BED" w:rsidRPr="00DE12B0">
        <w:rPr>
          <w:lang w:val="fr-CA"/>
        </w:rPr>
        <w:t xml:space="preserve">du respect </w:t>
      </w:r>
      <w:r w:rsidR="00D70042" w:rsidRPr="00DE12B0">
        <w:rPr>
          <w:lang w:val="fr-CA"/>
        </w:rPr>
        <w:t>de l</w:t>
      </w:r>
      <w:r w:rsidR="00DE12B0">
        <w:rPr>
          <w:lang w:val="fr-CA"/>
        </w:rPr>
        <w:t>’</w:t>
      </w:r>
      <w:r w:rsidR="00D70042" w:rsidRPr="00DE12B0">
        <w:rPr>
          <w:lang w:val="fr-CA"/>
        </w:rPr>
        <w:t>intention du législateur et des principes de common law applicables.</w:t>
      </w:r>
    </w:p>
    <w:p w:rsidR="002829EE" w:rsidRPr="00DE12B0" w:rsidRDefault="002829EE" w:rsidP="00073901">
      <w:pPr>
        <w:pStyle w:val="SCCNormalDoubleSpacing"/>
        <w:widowControl w:val="0"/>
        <w:spacing w:before="480" w:after="480"/>
        <w:rPr>
          <w:lang w:val="fr-CA"/>
        </w:rPr>
      </w:pPr>
      <w:r w:rsidRPr="00DE12B0">
        <w:rPr>
          <w:lang w:val="fr-CA"/>
        </w:rPr>
        <w:tab/>
      </w:r>
      <w:r w:rsidR="00D70042" w:rsidRPr="00DE12B0">
        <w:rPr>
          <w:lang w:val="fr-CA"/>
        </w:rPr>
        <w:t>L</w:t>
      </w:r>
      <w:r w:rsidR="00DE12B0">
        <w:rPr>
          <w:lang w:val="fr-CA"/>
        </w:rPr>
        <w:t>’</w:t>
      </w:r>
      <w:r w:rsidR="00D70042" w:rsidRPr="00DE12B0">
        <w:rPr>
          <w:lang w:val="fr-CA"/>
        </w:rPr>
        <w:t>instruction conjointe d</w:t>
      </w:r>
      <w:r w:rsidR="00DE12B0">
        <w:rPr>
          <w:lang w:val="fr-CA"/>
        </w:rPr>
        <w:t>’</w:t>
      </w:r>
      <w:r w:rsidR="00D70042" w:rsidRPr="00DE12B0">
        <w:rPr>
          <w:lang w:val="fr-CA"/>
        </w:rPr>
        <w:t>accusations relatives à des infractions provinciales et à des infractions criminelles punissables sur déclaration de culpabilité par procédure sommaire est conforme à l</w:t>
      </w:r>
      <w:r w:rsidR="00DE12B0">
        <w:rPr>
          <w:lang w:val="fr-CA"/>
        </w:rPr>
        <w:t>’</w:t>
      </w:r>
      <w:r w:rsidR="00D70042" w:rsidRPr="00DE12B0">
        <w:rPr>
          <w:lang w:val="fr-CA"/>
        </w:rPr>
        <w:t xml:space="preserve">esprit tant </w:t>
      </w:r>
      <w:r w:rsidR="00BC2032" w:rsidRPr="00DE12B0">
        <w:rPr>
          <w:lang w:val="fr-CA"/>
        </w:rPr>
        <w:t xml:space="preserve">du </w:t>
      </w:r>
      <w:r w:rsidR="00EB0FCB" w:rsidRPr="00DE12B0">
        <w:rPr>
          <w:i/>
          <w:lang w:val="fr-CA"/>
        </w:rPr>
        <w:t>Code criminel</w:t>
      </w:r>
      <w:r w:rsidR="00EB0FCB" w:rsidRPr="00DE12B0">
        <w:rPr>
          <w:lang w:val="fr-CA"/>
        </w:rPr>
        <w:t xml:space="preserve"> </w:t>
      </w:r>
      <w:r w:rsidR="00BC2032" w:rsidRPr="00DE12B0">
        <w:rPr>
          <w:lang w:val="fr-CA"/>
        </w:rPr>
        <w:t xml:space="preserve">que </w:t>
      </w:r>
      <w:r w:rsidR="00D70042" w:rsidRPr="00DE12B0">
        <w:rPr>
          <w:lang w:val="fr-CA"/>
        </w:rPr>
        <w:t xml:space="preserve">de la </w:t>
      </w:r>
      <w:r w:rsidR="00D70042" w:rsidRPr="00DE12B0">
        <w:rPr>
          <w:i/>
          <w:lang w:val="fr-CA"/>
        </w:rPr>
        <w:t>LI</w:t>
      </w:r>
      <w:r w:rsidR="00EB0FCB">
        <w:rPr>
          <w:i/>
          <w:lang w:val="fr-CA"/>
        </w:rPr>
        <w:t xml:space="preserve">P. </w:t>
      </w:r>
      <w:r w:rsidR="00BC2032" w:rsidRPr="00DE12B0">
        <w:rPr>
          <w:lang w:val="fr-CA"/>
        </w:rPr>
        <w:t>Cette dernière</w:t>
      </w:r>
      <w:r w:rsidR="00D70042" w:rsidRPr="00DE12B0">
        <w:rPr>
          <w:lang w:val="fr-CA"/>
        </w:rPr>
        <w:t xml:space="preserve"> a été conçue pour favoriser la mise en œuvre de procédures plus efficaces visant à donner suite au grand nombre d</w:t>
      </w:r>
      <w:r w:rsidR="00DE12B0">
        <w:rPr>
          <w:lang w:val="fr-CA"/>
        </w:rPr>
        <w:t>’</w:t>
      </w:r>
      <w:r w:rsidR="00D70042" w:rsidRPr="00DE12B0">
        <w:rPr>
          <w:lang w:val="fr-CA"/>
        </w:rPr>
        <w:t xml:space="preserve">accusations relatives à des infractions provinciales qui </w:t>
      </w:r>
      <w:r w:rsidR="00EB0FCB" w:rsidRPr="00DE12B0">
        <w:rPr>
          <w:lang w:val="fr-CA"/>
        </w:rPr>
        <w:t>engorge</w:t>
      </w:r>
      <w:r w:rsidR="00EB0FCB">
        <w:rPr>
          <w:lang w:val="fr-CA"/>
        </w:rPr>
        <w:t>ai</w:t>
      </w:r>
      <w:r w:rsidR="00EB0FCB" w:rsidRPr="00DE12B0">
        <w:rPr>
          <w:lang w:val="fr-CA"/>
        </w:rPr>
        <w:t>ent</w:t>
      </w:r>
      <w:r w:rsidR="00D70042" w:rsidRPr="00DE12B0">
        <w:rPr>
          <w:lang w:val="fr-CA"/>
        </w:rPr>
        <w:t xml:space="preserve"> les tribunaux ontariens. Bien que la séparation des poursuites fondées sur la </w:t>
      </w:r>
      <w:r w:rsidR="003F2BED" w:rsidRPr="00DE12B0">
        <w:rPr>
          <w:i/>
          <w:lang w:val="fr-CA"/>
        </w:rPr>
        <w:t>LIP</w:t>
      </w:r>
      <w:r w:rsidR="00D70042" w:rsidRPr="00DE12B0">
        <w:rPr>
          <w:lang w:val="fr-CA"/>
        </w:rPr>
        <w:t xml:space="preserve"> du processus d</w:t>
      </w:r>
      <w:r w:rsidR="00DE12B0">
        <w:rPr>
          <w:lang w:val="fr-CA"/>
        </w:rPr>
        <w:t>’</w:t>
      </w:r>
      <w:r w:rsidR="00D70042" w:rsidRPr="00DE12B0">
        <w:rPr>
          <w:lang w:val="fr-CA"/>
        </w:rPr>
        <w:t>instruction en matière criminelle — qui est plus rigoureux et qui comporte de plus longs délais — a</w:t>
      </w:r>
      <w:r w:rsidR="003F2BED" w:rsidRPr="00DE12B0">
        <w:rPr>
          <w:lang w:val="fr-CA"/>
        </w:rPr>
        <w:t>it</w:t>
      </w:r>
      <w:r w:rsidR="00D70042" w:rsidRPr="00DE12B0">
        <w:rPr>
          <w:lang w:val="fr-CA"/>
        </w:rPr>
        <w:t xml:space="preserve"> été conçue principalement pour accroître l</w:t>
      </w:r>
      <w:r w:rsidR="00DE12B0">
        <w:rPr>
          <w:lang w:val="fr-CA"/>
        </w:rPr>
        <w:t>’</w:t>
      </w:r>
      <w:r w:rsidR="00D70042" w:rsidRPr="00DE12B0">
        <w:rPr>
          <w:lang w:val="fr-CA"/>
        </w:rPr>
        <w:t>efficacité du système judiciaire et en réduire les retards, lorsque la tenue d</w:t>
      </w:r>
      <w:r w:rsidR="00DE12B0">
        <w:rPr>
          <w:lang w:val="fr-CA"/>
        </w:rPr>
        <w:t>’</w:t>
      </w:r>
      <w:r w:rsidR="00D70042" w:rsidRPr="00DE12B0">
        <w:rPr>
          <w:lang w:val="fr-CA"/>
        </w:rPr>
        <w:t>un procès conjoint permet de mieux réaliser l</w:t>
      </w:r>
      <w:r w:rsidR="00DE12B0">
        <w:rPr>
          <w:lang w:val="fr-CA"/>
        </w:rPr>
        <w:t>’</w:t>
      </w:r>
      <w:r w:rsidR="00D70042" w:rsidRPr="00DE12B0">
        <w:rPr>
          <w:lang w:val="fr-CA"/>
        </w:rPr>
        <w:t>objectif d</w:t>
      </w:r>
      <w:r w:rsidR="00DE12B0">
        <w:rPr>
          <w:lang w:val="fr-CA"/>
        </w:rPr>
        <w:t>’</w:t>
      </w:r>
      <w:r w:rsidR="00D70042" w:rsidRPr="00DE12B0">
        <w:rPr>
          <w:lang w:val="fr-CA"/>
        </w:rPr>
        <w:t xml:space="preserve">efficacité que la tenue </w:t>
      </w:r>
      <w:r w:rsidR="00D70042" w:rsidRPr="00DE12B0">
        <w:rPr>
          <w:lang w:val="fr-CA"/>
        </w:rPr>
        <w:lastRenderedPageBreak/>
        <w:t>de procès distincts, l</w:t>
      </w:r>
      <w:r w:rsidR="00DE12B0">
        <w:rPr>
          <w:lang w:val="fr-CA"/>
        </w:rPr>
        <w:t>’</w:t>
      </w:r>
      <w:r w:rsidR="00D70042" w:rsidRPr="00DE12B0">
        <w:rPr>
          <w:lang w:val="fr-CA"/>
        </w:rPr>
        <w:t xml:space="preserve">application servile de la règle de la séparation des procès dénuerait la </w:t>
      </w:r>
      <w:r w:rsidR="00D70042" w:rsidRPr="00DE12B0">
        <w:rPr>
          <w:i/>
          <w:lang w:val="fr-CA"/>
        </w:rPr>
        <w:t>LIP</w:t>
      </w:r>
      <w:r w:rsidR="00D70042" w:rsidRPr="00DE12B0">
        <w:rPr>
          <w:lang w:val="fr-CA"/>
        </w:rPr>
        <w:t xml:space="preserve"> de son esprit véritable et la</w:t>
      </w:r>
      <w:r w:rsidR="006B5E2B">
        <w:rPr>
          <w:lang w:val="fr-CA"/>
        </w:rPr>
        <w:t xml:space="preserve"> détournerait de ses objectifs.</w:t>
      </w:r>
    </w:p>
    <w:p w:rsidR="00BC2032" w:rsidRPr="00DE12B0" w:rsidRDefault="002829EE" w:rsidP="00073901">
      <w:pPr>
        <w:pStyle w:val="SCCNormalDoubleSpacing"/>
        <w:widowControl w:val="0"/>
        <w:spacing w:before="480" w:after="480"/>
        <w:rPr>
          <w:i/>
          <w:lang w:val="fr-CA"/>
        </w:rPr>
      </w:pPr>
      <w:r w:rsidRPr="00DE12B0">
        <w:rPr>
          <w:lang w:val="fr-CA"/>
        </w:rPr>
        <w:tab/>
      </w:r>
      <w:r w:rsidR="00D70042" w:rsidRPr="00DE12B0">
        <w:rPr>
          <w:lang w:val="fr-CA"/>
        </w:rPr>
        <w:t>Le test de common law à deux volets relatif à la réunion d</w:t>
      </w:r>
      <w:r w:rsidR="00DE12B0">
        <w:rPr>
          <w:lang w:val="fr-CA"/>
        </w:rPr>
        <w:t>’</w:t>
      </w:r>
      <w:r w:rsidR="00D70042" w:rsidRPr="00DE12B0">
        <w:rPr>
          <w:lang w:val="fr-CA"/>
        </w:rPr>
        <w:t xml:space="preserve">accusations énoncé dans </w:t>
      </w:r>
      <w:r w:rsidR="00D70042" w:rsidRPr="00DE12B0">
        <w:rPr>
          <w:i/>
          <w:lang w:val="fr-CA"/>
        </w:rPr>
        <w:t>R. c.</w:t>
      </w:r>
      <w:r w:rsidR="00D70042" w:rsidRPr="00DE12B0">
        <w:rPr>
          <w:lang w:val="fr-CA"/>
        </w:rPr>
        <w:t xml:space="preserve"> </w:t>
      </w:r>
      <w:r w:rsidR="00D70042" w:rsidRPr="00DE12B0">
        <w:rPr>
          <w:i/>
          <w:lang w:val="fr-CA"/>
        </w:rPr>
        <w:t>Clunas</w:t>
      </w:r>
      <w:r w:rsidR="00D70042" w:rsidRPr="00DE12B0">
        <w:rPr>
          <w:lang w:val="fr-CA"/>
        </w:rPr>
        <w:t>, [1992] 1 R.C.S. 595</w:t>
      </w:r>
      <w:r w:rsidR="00277518" w:rsidRPr="00DE12B0">
        <w:rPr>
          <w:lang w:val="fr-CA"/>
        </w:rPr>
        <w:t>,</w:t>
      </w:r>
      <w:r w:rsidR="00D70042" w:rsidRPr="00DE12B0">
        <w:rPr>
          <w:lang w:val="fr-CA"/>
        </w:rPr>
        <w:t xml:space="preserve"> </w:t>
      </w:r>
      <w:r w:rsidR="00FA4902" w:rsidRPr="00DE12B0">
        <w:rPr>
          <w:lang w:val="fr-CA"/>
        </w:rPr>
        <w:t>s</w:t>
      </w:r>
      <w:r w:rsidR="00DE12B0">
        <w:rPr>
          <w:lang w:val="fr-CA"/>
        </w:rPr>
        <w:t>’</w:t>
      </w:r>
      <w:r w:rsidR="00FA4902" w:rsidRPr="00DE12B0">
        <w:rPr>
          <w:lang w:val="fr-CA"/>
        </w:rPr>
        <w:t>applique à la réunion d</w:t>
      </w:r>
      <w:r w:rsidR="00DE12B0">
        <w:rPr>
          <w:lang w:val="fr-CA"/>
        </w:rPr>
        <w:t>’</w:t>
      </w:r>
      <w:r w:rsidR="00FA4902" w:rsidRPr="00DE12B0">
        <w:rPr>
          <w:lang w:val="fr-CA"/>
        </w:rPr>
        <w:t>accusation</w:t>
      </w:r>
      <w:r w:rsidR="00BC2032" w:rsidRPr="00DE12B0">
        <w:rPr>
          <w:lang w:val="fr-CA"/>
        </w:rPr>
        <w:t>s</w:t>
      </w:r>
      <w:r w:rsidR="00FA4902" w:rsidRPr="00DE12B0">
        <w:rPr>
          <w:lang w:val="fr-CA"/>
        </w:rPr>
        <w:t xml:space="preserve"> relative</w:t>
      </w:r>
      <w:r w:rsidR="00BC2032" w:rsidRPr="00DE12B0">
        <w:rPr>
          <w:lang w:val="fr-CA"/>
        </w:rPr>
        <w:t>s</w:t>
      </w:r>
      <w:r w:rsidR="00FA4902" w:rsidRPr="00DE12B0">
        <w:rPr>
          <w:lang w:val="fr-CA"/>
        </w:rPr>
        <w:t xml:space="preserve"> à </w:t>
      </w:r>
      <w:r w:rsidR="003F2BED" w:rsidRPr="00DE12B0">
        <w:rPr>
          <w:lang w:val="fr-CA"/>
        </w:rPr>
        <w:t>une</w:t>
      </w:r>
      <w:r w:rsidR="00FA4902" w:rsidRPr="00DE12B0">
        <w:rPr>
          <w:lang w:val="fr-CA"/>
        </w:rPr>
        <w:t xml:space="preserve"> infraction provinciale et à </w:t>
      </w:r>
      <w:r w:rsidR="003F2BED" w:rsidRPr="00DE12B0">
        <w:rPr>
          <w:lang w:val="fr-CA"/>
        </w:rPr>
        <w:t xml:space="preserve">une </w:t>
      </w:r>
      <w:r w:rsidR="00FA4902" w:rsidRPr="00DE12B0">
        <w:rPr>
          <w:lang w:val="fr-CA"/>
        </w:rPr>
        <w:t>infraction criminelle</w:t>
      </w:r>
      <w:r w:rsidRPr="00DE12B0">
        <w:rPr>
          <w:lang w:val="fr-CA"/>
        </w:rPr>
        <w:t xml:space="preserve">. </w:t>
      </w:r>
      <w:r w:rsidR="00FA4902" w:rsidRPr="00DE12B0">
        <w:rPr>
          <w:lang w:val="fr-CA"/>
        </w:rPr>
        <w:t>Il peut être satisfait au premier volet — soit la question de savoir si les accusations auraient pu être portées conjointement à l</w:t>
      </w:r>
      <w:r w:rsidR="00DE12B0">
        <w:rPr>
          <w:lang w:val="fr-CA"/>
        </w:rPr>
        <w:t>’</w:t>
      </w:r>
      <w:r w:rsidR="00FA4902" w:rsidRPr="00DE12B0">
        <w:rPr>
          <w:lang w:val="fr-CA"/>
        </w:rPr>
        <w:t xml:space="preserve">origine — même si une infraction provinciale et une infraction criminelle ne peuvent pas être </w:t>
      </w:r>
      <w:r w:rsidR="00EB0FCB">
        <w:rPr>
          <w:lang w:val="fr-CA"/>
        </w:rPr>
        <w:t>réuni</w:t>
      </w:r>
      <w:r w:rsidR="00FA4902" w:rsidRPr="00DE12B0">
        <w:rPr>
          <w:lang w:val="fr-CA"/>
        </w:rPr>
        <w:t>es dans un même document, comme c</w:t>
      </w:r>
      <w:r w:rsidR="00DE12B0">
        <w:rPr>
          <w:lang w:val="fr-CA"/>
        </w:rPr>
        <w:t>’</w:t>
      </w:r>
      <w:r w:rsidR="00FA4902" w:rsidRPr="00DE12B0">
        <w:rPr>
          <w:lang w:val="fr-CA"/>
        </w:rPr>
        <w:t>est le cas en Ontario. Suivant l</w:t>
      </w:r>
      <w:r w:rsidR="00DE12B0">
        <w:rPr>
          <w:lang w:val="fr-CA"/>
        </w:rPr>
        <w:t>’</w:t>
      </w:r>
      <w:r w:rsidR="00FA4902" w:rsidRPr="00DE12B0">
        <w:rPr>
          <w:lang w:val="fr-CA"/>
        </w:rPr>
        <w:t>approche fonctionnelle de ce volet, il ne s</w:t>
      </w:r>
      <w:r w:rsidR="00DE12B0">
        <w:rPr>
          <w:lang w:val="fr-CA"/>
        </w:rPr>
        <w:t>’</w:t>
      </w:r>
      <w:r w:rsidR="00FA4902" w:rsidRPr="00DE12B0">
        <w:rPr>
          <w:lang w:val="fr-CA"/>
        </w:rPr>
        <w:t>agit pas de savoir si l</w:t>
      </w:r>
      <w:r w:rsidR="00DE12B0">
        <w:rPr>
          <w:lang w:val="fr-CA"/>
        </w:rPr>
        <w:t>’</w:t>
      </w:r>
      <w:r w:rsidR="00FA4902" w:rsidRPr="00DE12B0">
        <w:rPr>
          <w:lang w:val="fr-CA"/>
        </w:rPr>
        <w:t>utilisation d</w:t>
      </w:r>
      <w:r w:rsidR="00DE12B0">
        <w:rPr>
          <w:lang w:val="fr-CA"/>
        </w:rPr>
        <w:t>’</w:t>
      </w:r>
      <w:r w:rsidR="00FA4902" w:rsidRPr="00DE12B0">
        <w:rPr>
          <w:lang w:val="fr-CA"/>
        </w:rPr>
        <w:t>une même formule prescrite est possible sur le plan technique, mais plutôt de savoir s</w:t>
      </w:r>
      <w:r w:rsidR="00DE12B0">
        <w:rPr>
          <w:lang w:val="fr-CA"/>
        </w:rPr>
        <w:t>’</w:t>
      </w:r>
      <w:r w:rsidR="00FA4902" w:rsidRPr="00DE12B0">
        <w:rPr>
          <w:lang w:val="fr-CA"/>
        </w:rPr>
        <w:t>il existe un lien factuel suffisant entre les accusations relatives à des infractions provinciales et celles relatives à des infractions criminelles. Selon le second volet du test,</w:t>
      </w:r>
      <w:r w:rsidR="00FA4902" w:rsidRPr="00DE12B0">
        <w:rPr>
          <w:i/>
          <w:lang w:val="fr-CA"/>
        </w:rPr>
        <w:t xml:space="preserve"> </w:t>
      </w:r>
      <w:r w:rsidR="00FA4902" w:rsidRPr="00DE12B0">
        <w:rPr>
          <w:lang w:val="fr-CA"/>
        </w:rPr>
        <w:t>le procès conjoint doit servir les intérêts de la justice. Pour analyser ce</w:t>
      </w:r>
      <w:r w:rsidR="003F2BED" w:rsidRPr="00DE12B0">
        <w:rPr>
          <w:lang w:val="fr-CA"/>
        </w:rPr>
        <w:t>tte</w:t>
      </w:r>
      <w:r w:rsidR="00FA4902" w:rsidRPr="00DE12B0">
        <w:rPr>
          <w:lang w:val="fr-CA"/>
        </w:rPr>
        <w:t xml:space="preserve"> question, les tribunaux doivent mettre en balance les avantages et les inconvénients d</w:t>
      </w:r>
      <w:r w:rsidR="00DE12B0">
        <w:rPr>
          <w:lang w:val="fr-CA"/>
        </w:rPr>
        <w:t>’</w:t>
      </w:r>
      <w:r w:rsidR="00FA4902" w:rsidRPr="00DE12B0">
        <w:rPr>
          <w:lang w:val="fr-CA"/>
        </w:rPr>
        <w:t>un procès conjoint. Le consentement de l</w:t>
      </w:r>
      <w:r w:rsidR="00DE12B0">
        <w:rPr>
          <w:lang w:val="fr-CA"/>
        </w:rPr>
        <w:t>’</w:t>
      </w:r>
      <w:r w:rsidR="00FA4902" w:rsidRPr="00DE12B0">
        <w:rPr>
          <w:lang w:val="fr-CA"/>
        </w:rPr>
        <w:t>accusé est un facteur pertinent, mais la décision de tenir ou non un tel procès appartient au tribunal</w:t>
      </w:r>
      <w:r w:rsidR="00BC2032" w:rsidRPr="00DE12B0">
        <w:rPr>
          <w:i/>
          <w:lang w:val="fr-CA"/>
        </w:rPr>
        <w:t>.</w:t>
      </w:r>
    </w:p>
    <w:p w:rsidR="002829EE" w:rsidRPr="00DE12B0" w:rsidRDefault="002829EE" w:rsidP="00073901">
      <w:pPr>
        <w:pStyle w:val="SCCNormalDoubleSpacing"/>
        <w:widowControl w:val="0"/>
        <w:spacing w:before="480" w:after="480"/>
        <w:rPr>
          <w:lang w:val="fr-CA"/>
        </w:rPr>
      </w:pPr>
      <w:r w:rsidRPr="00DE12B0">
        <w:rPr>
          <w:lang w:val="fr-CA"/>
        </w:rPr>
        <w:tab/>
      </w:r>
      <w:r w:rsidR="00FA4902" w:rsidRPr="00DE12B0">
        <w:rPr>
          <w:lang w:val="fr-CA"/>
        </w:rPr>
        <w:t>En l</w:t>
      </w:r>
      <w:r w:rsidR="00DE12B0">
        <w:rPr>
          <w:lang w:val="fr-CA"/>
        </w:rPr>
        <w:t>’</w:t>
      </w:r>
      <w:r w:rsidR="00FA4902" w:rsidRPr="00DE12B0">
        <w:rPr>
          <w:lang w:val="fr-CA"/>
        </w:rPr>
        <w:t xml:space="preserve">espèce, il </w:t>
      </w:r>
      <w:r w:rsidR="00F12D31" w:rsidRPr="00DE12B0">
        <w:rPr>
          <w:lang w:val="fr-CA"/>
        </w:rPr>
        <w:t>est</w:t>
      </w:r>
      <w:r w:rsidR="00FA4902" w:rsidRPr="00DE12B0">
        <w:rPr>
          <w:lang w:val="fr-CA"/>
        </w:rPr>
        <w:t xml:space="preserve"> permis et souhaitable de tenir un procès conjoint, qui sert les intérêts de la justice</w:t>
      </w:r>
      <w:r w:rsidR="00DE12B0">
        <w:rPr>
          <w:lang w:val="fr-CA"/>
        </w:rPr>
        <w:t> :</w:t>
      </w:r>
      <w:r w:rsidR="00FA4902" w:rsidRPr="00DE12B0">
        <w:rPr>
          <w:lang w:val="fr-CA"/>
        </w:rPr>
        <w:t xml:space="preserve"> </w:t>
      </w:r>
      <w:r w:rsidR="00F12D31" w:rsidRPr="00DE12B0">
        <w:rPr>
          <w:lang w:val="fr-CA"/>
        </w:rPr>
        <w:t>aucune disposition des lois applicables n</w:t>
      </w:r>
      <w:r w:rsidR="00DE12B0">
        <w:rPr>
          <w:lang w:val="fr-CA"/>
        </w:rPr>
        <w:t>’</w:t>
      </w:r>
      <w:r w:rsidR="00F12D31" w:rsidRPr="00DE12B0">
        <w:rPr>
          <w:lang w:val="fr-CA"/>
        </w:rPr>
        <w:t>interdit au juge du procès de tenir un procès conjoint; permettre la tenue d</w:t>
      </w:r>
      <w:r w:rsidR="00DE12B0">
        <w:rPr>
          <w:lang w:val="fr-CA"/>
        </w:rPr>
        <w:t>’</w:t>
      </w:r>
      <w:r w:rsidR="00F12D31" w:rsidRPr="00DE12B0">
        <w:rPr>
          <w:lang w:val="fr-CA"/>
        </w:rPr>
        <w:t xml:space="preserve">un </w:t>
      </w:r>
      <w:r w:rsidR="00BC2032" w:rsidRPr="00DE12B0">
        <w:rPr>
          <w:lang w:val="fr-CA"/>
        </w:rPr>
        <w:t xml:space="preserve">tel </w:t>
      </w:r>
      <w:r w:rsidR="00F12D31" w:rsidRPr="00DE12B0">
        <w:rPr>
          <w:lang w:val="fr-CA"/>
        </w:rPr>
        <w:t>procès est compatible avec l</w:t>
      </w:r>
      <w:r w:rsidR="00DE12B0">
        <w:rPr>
          <w:lang w:val="fr-CA"/>
        </w:rPr>
        <w:t>’</w:t>
      </w:r>
      <w:r w:rsidR="00F12D31" w:rsidRPr="00DE12B0">
        <w:rPr>
          <w:lang w:val="fr-CA"/>
        </w:rPr>
        <w:t>objectif d</w:t>
      </w:r>
      <w:r w:rsidR="00DE12B0">
        <w:rPr>
          <w:lang w:val="fr-CA"/>
        </w:rPr>
        <w:t>’</w:t>
      </w:r>
      <w:r w:rsidR="00F12D31" w:rsidRPr="00DE12B0">
        <w:rPr>
          <w:lang w:val="fr-CA"/>
        </w:rPr>
        <w:t>accroissement de l</w:t>
      </w:r>
      <w:r w:rsidR="00DE12B0">
        <w:rPr>
          <w:lang w:val="fr-CA"/>
        </w:rPr>
        <w:t>’</w:t>
      </w:r>
      <w:r w:rsidR="00F12D31" w:rsidRPr="00DE12B0">
        <w:rPr>
          <w:lang w:val="fr-CA"/>
        </w:rPr>
        <w:t>efficacité; les accusations reposent sur les mêmes év</w:t>
      </w:r>
      <w:r w:rsidR="006B5E2B">
        <w:rPr>
          <w:lang w:val="fr-CA"/>
        </w:rPr>
        <w:t>é</w:t>
      </w:r>
      <w:r w:rsidR="00F12D31" w:rsidRPr="00DE12B0">
        <w:rPr>
          <w:lang w:val="fr-CA"/>
        </w:rPr>
        <w:t>nements, ce qui établit l</w:t>
      </w:r>
      <w:r w:rsidR="00DE12B0">
        <w:rPr>
          <w:lang w:val="fr-CA"/>
        </w:rPr>
        <w:t>’</w:t>
      </w:r>
      <w:r w:rsidR="00F12D31" w:rsidRPr="00DE12B0">
        <w:rPr>
          <w:lang w:val="fr-CA"/>
        </w:rPr>
        <w:t>existence d</w:t>
      </w:r>
      <w:r w:rsidR="00DE12B0">
        <w:rPr>
          <w:lang w:val="fr-CA"/>
        </w:rPr>
        <w:t>’</w:t>
      </w:r>
      <w:r w:rsidR="00F12D31" w:rsidRPr="00DE12B0">
        <w:rPr>
          <w:lang w:val="fr-CA"/>
        </w:rPr>
        <w:t>un lien factuel évident; et l</w:t>
      </w:r>
      <w:r w:rsidR="00DE12B0">
        <w:rPr>
          <w:lang w:val="fr-CA"/>
        </w:rPr>
        <w:t>’</w:t>
      </w:r>
      <w:r w:rsidR="00F12D31" w:rsidRPr="00DE12B0">
        <w:rPr>
          <w:lang w:val="fr-CA"/>
        </w:rPr>
        <w:t>accusé n</w:t>
      </w:r>
      <w:r w:rsidR="00DE12B0">
        <w:rPr>
          <w:lang w:val="fr-CA"/>
        </w:rPr>
        <w:t>’</w:t>
      </w:r>
      <w:r w:rsidR="00F12D31" w:rsidRPr="00DE12B0">
        <w:rPr>
          <w:lang w:val="fr-CA"/>
        </w:rPr>
        <w:t xml:space="preserve">a subi </w:t>
      </w:r>
      <w:r w:rsidR="00F12D31" w:rsidRPr="00DE12B0">
        <w:rPr>
          <w:lang w:val="fr-CA"/>
        </w:rPr>
        <w:lastRenderedPageBreak/>
        <w:t>aucun préjudice.</w:t>
      </w:r>
    </w:p>
    <w:p w:rsidR="000C3FCD" w:rsidRPr="00DE12B0" w:rsidRDefault="002829EE" w:rsidP="00073901">
      <w:pPr>
        <w:pStyle w:val="SCCNormalDoubleSpacing"/>
        <w:widowControl w:val="0"/>
        <w:spacing w:before="480" w:after="480"/>
        <w:rPr>
          <w:lang w:val="fr-CA"/>
        </w:rPr>
      </w:pPr>
      <w:r w:rsidRPr="00DE12B0">
        <w:rPr>
          <w:lang w:val="fr-CA"/>
        </w:rPr>
        <w:tab/>
      </w:r>
      <w:r w:rsidR="00B46894" w:rsidRPr="00DE12B0">
        <w:rPr>
          <w:i/>
          <w:lang w:val="fr-CA"/>
        </w:rPr>
        <w:t xml:space="preserve">La </w:t>
      </w:r>
      <w:r w:rsidR="00B46894" w:rsidRPr="001C18D6">
        <w:rPr>
          <w:lang w:val="fr-CA"/>
        </w:rPr>
        <w:t>juge</w:t>
      </w:r>
      <w:r w:rsidRPr="001C18D6">
        <w:rPr>
          <w:lang w:val="fr-CA"/>
        </w:rPr>
        <w:t xml:space="preserve"> Côté </w:t>
      </w:r>
      <w:r w:rsidRPr="00DE12B0">
        <w:rPr>
          <w:lang w:val="fr-CA"/>
        </w:rPr>
        <w:t>(diss</w:t>
      </w:r>
      <w:r w:rsidR="00B46894" w:rsidRPr="00DE12B0">
        <w:rPr>
          <w:lang w:val="fr-CA"/>
        </w:rPr>
        <w:t>idente</w:t>
      </w:r>
      <w:r w:rsidRPr="00DE12B0">
        <w:rPr>
          <w:lang w:val="fr-CA"/>
        </w:rPr>
        <w:t>)</w:t>
      </w:r>
      <w:r w:rsidR="00DE12B0">
        <w:rPr>
          <w:lang w:val="fr-CA"/>
        </w:rPr>
        <w:t> :</w:t>
      </w:r>
      <w:r w:rsidRPr="00DE12B0">
        <w:rPr>
          <w:lang w:val="fr-CA"/>
        </w:rPr>
        <w:t xml:space="preserve"> </w:t>
      </w:r>
      <w:r w:rsidR="000C3FCD" w:rsidRPr="00DE12B0">
        <w:rPr>
          <w:lang w:val="fr-CA"/>
        </w:rPr>
        <w:t>Un juge de la Cour de justice de l</w:t>
      </w:r>
      <w:r w:rsidR="00DE12B0">
        <w:rPr>
          <w:lang w:val="fr-CA"/>
        </w:rPr>
        <w:t>’</w:t>
      </w:r>
      <w:r w:rsidR="000C3FCD" w:rsidRPr="00DE12B0">
        <w:rPr>
          <w:lang w:val="fr-CA"/>
        </w:rPr>
        <w:t>Ontario n</w:t>
      </w:r>
      <w:r w:rsidR="00DE12B0">
        <w:rPr>
          <w:lang w:val="fr-CA"/>
        </w:rPr>
        <w:t>’</w:t>
      </w:r>
      <w:r w:rsidR="000C3FCD" w:rsidRPr="00DE12B0">
        <w:rPr>
          <w:lang w:val="fr-CA"/>
        </w:rPr>
        <w:t>a pas la compétence nécessaire pour procéder à l</w:t>
      </w:r>
      <w:r w:rsidR="00DE12B0">
        <w:rPr>
          <w:lang w:val="fr-CA"/>
        </w:rPr>
        <w:t>’</w:t>
      </w:r>
      <w:r w:rsidR="000C3FCD" w:rsidRPr="00DE12B0">
        <w:rPr>
          <w:lang w:val="fr-CA"/>
        </w:rPr>
        <w:t>instruction conjointe d</w:t>
      </w:r>
      <w:r w:rsidR="00DE12B0">
        <w:rPr>
          <w:lang w:val="fr-CA"/>
        </w:rPr>
        <w:t>’</w:t>
      </w:r>
      <w:r w:rsidR="000C3FCD" w:rsidRPr="00DE12B0">
        <w:rPr>
          <w:lang w:val="fr-CA"/>
        </w:rPr>
        <w:t>infractions provinciales et d</w:t>
      </w:r>
      <w:r w:rsidR="00DE12B0">
        <w:rPr>
          <w:lang w:val="fr-CA"/>
        </w:rPr>
        <w:t>’</w:t>
      </w:r>
      <w:r w:rsidR="000C3FCD" w:rsidRPr="00DE12B0">
        <w:rPr>
          <w:lang w:val="fr-CA"/>
        </w:rPr>
        <w:t>infractions criminelles punissables</w:t>
      </w:r>
      <w:r w:rsidR="001C18D6">
        <w:rPr>
          <w:lang w:val="fr-CA"/>
        </w:rPr>
        <w:t xml:space="preserve"> sur déclaration de culpabilité par procédure sommaire</w:t>
      </w:r>
      <w:r w:rsidR="000C3FCD" w:rsidRPr="00DE12B0">
        <w:rPr>
          <w:lang w:val="fr-CA"/>
        </w:rPr>
        <w:t>. Lorsqu</w:t>
      </w:r>
      <w:r w:rsidR="00DE12B0">
        <w:rPr>
          <w:lang w:val="fr-CA"/>
        </w:rPr>
        <w:t>’</w:t>
      </w:r>
      <w:r w:rsidR="000C3FCD" w:rsidRPr="00DE12B0">
        <w:rPr>
          <w:lang w:val="fr-CA"/>
        </w:rPr>
        <w:t xml:space="preserve">une province a établi un régime procédural applicable aux infractions provinciales et conçu pour fonctionner de manière indépendante et distincte du système de justice pénale canadien, comme le régime décrit dans </w:t>
      </w:r>
      <w:r w:rsidR="00EB0FCB">
        <w:rPr>
          <w:lang w:val="fr-CA"/>
        </w:rPr>
        <w:t>la</w:t>
      </w:r>
      <w:r w:rsidR="000C3FCD" w:rsidRPr="00DE12B0">
        <w:rPr>
          <w:lang w:val="fr-CA"/>
        </w:rPr>
        <w:t xml:space="preserve"> </w:t>
      </w:r>
      <w:r w:rsidR="000C3FCD" w:rsidRPr="00DE12B0">
        <w:rPr>
          <w:i/>
          <w:lang w:val="fr-CA"/>
        </w:rPr>
        <w:t>LIP</w:t>
      </w:r>
      <w:r w:rsidR="000C3FCD" w:rsidRPr="00DE12B0">
        <w:rPr>
          <w:lang w:val="fr-CA"/>
        </w:rPr>
        <w:t>, les tribunaux doivent respecter le choix du législateur. La tenue d</w:t>
      </w:r>
      <w:r w:rsidR="00DE12B0">
        <w:rPr>
          <w:lang w:val="fr-CA"/>
        </w:rPr>
        <w:t>’</w:t>
      </w:r>
      <w:r w:rsidR="000C3FCD" w:rsidRPr="00DE12B0">
        <w:rPr>
          <w:lang w:val="fr-CA"/>
        </w:rPr>
        <w:t xml:space="preserve">un procès conjoint relativement à une infraction punissable sur déclaration de culpabilité par procédure sommaire prévue au </w:t>
      </w:r>
      <w:r w:rsidR="000C3FCD" w:rsidRPr="00DE12B0">
        <w:rPr>
          <w:i/>
          <w:lang w:val="fr-CA"/>
        </w:rPr>
        <w:t xml:space="preserve">Code criminel </w:t>
      </w:r>
      <w:r w:rsidR="000C3FCD" w:rsidRPr="00DE12B0">
        <w:rPr>
          <w:lang w:val="fr-CA"/>
        </w:rPr>
        <w:t xml:space="preserve">et à une infraction provinciale serait </w:t>
      </w:r>
      <w:r w:rsidR="003F2BED" w:rsidRPr="00DE12B0">
        <w:rPr>
          <w:lang w:val="fr-CA"/>
        </w:rPr>
        <w:t xml:space="preserve">donc </w:t>
      </w:r>
      <w:r w:rsidR="000C3FCD" w:rsidRPr="00DE12B0">
        <w:rPr>
          <w:lang w:val="fr-CA"/>
        </w:rPr>
        <w:t>incompatible avec l</w:t>
      </w:r>
      <w:r w:rsidR="00DE12B0">
        <w:rPr>
          <w:lang w:val="fr-CA"/>
        </w:rPr>
        <w:t>’</w:t>
      </w:r>
      <w:r w:rsidR="000C3FCD" w:rsidRPr="00DE12B0">
        <w:rPr>
          <w:lang w:val="fr-CA"/>
        </w:rPr>
        <w:t>intention du législateur sous</w:t>
      </w:r>
      <w:r w:rsidR="00140575">
        <w:rPr>
          <w:lang w:val="fr-CA"/>
        </w:rPr>
        <w:t>-</w:t>
      </w:r>
      <w:r w:rsidR="000C3FCD" w:rsidRPr="00DE12B0">
        <w:rPr>
          <w:lang w:val="fr-CA"/>
        </w:rPr>
        <w:t xml:space="preserve">tendant la </w:t>
      </w:r>
      <w:r w:rsidR="000C3FCD" w:rsidRPr="00DE12B0">
        <w:rPr>
          <w:i/>
          <w:lang w:val="fr-CA"/>
        </w:rPr>
        <w:t>LIP</w:t>
      </w:r>
      <w:r w:rsidR="000C3FCD" w:rsidRPr="00DE12B0">
        <w:rPr>
          <w:lang w:val="fr-CA"/>
        </w:rPr>
        <w:t>.</w:t>
      </w:r>
    </w:p>
    <w:p w:rsidR="002829EE" w:rsidRPr="00DE12B0" w:rsidRDefault="000C3FCD" w:rsidP="00073901">
      <w:pPr>
        <w:pStyle w:val="SCCNormalDoubleSpacing"/>
        <w:widowControl w:val="0"/>
        <w:spacing w:before="480" w:after="480"/>
        <w:rPr>
          <w:lang w:val="fr-CA"/>
        </w:rPr>
      </w:pPr>
      <w:r w:rsidRPr="00DE12B0">
        <w:rPr>
          <w:lang w:val="fr-CA"/>
        </w:rPr>
        <w:tab/>
        <w:t>Tant le libellé que le contexte de cette loi signalent l</w:t>
      </w:r>
      <w:r w:rsidR="00DE12B0">
        <w:rPr>
          <w:lang w:val="fr-CA"/>
        </w:rPr>
        <w:t>’</w:t>
      </w:r>
      <w:r w:rsidRPr="00DE12B0">
        <w:rPr>
          <w:lang w:val="fr-CA"/>
        </w:rPr>
        <w:t>intention qu</w:t>
      </w:r>
      <w:r w:rsidR="00DE12B0">
        <w:rPr>
          <w:lang w:val="fr-CA"/>
        </w:rPr>
        <w:t>’</w:t>
      </w:r>
      <w:r w:rsidRPr="00DE12B0">
        <w:rPr>
          <w:lang w:val="fr-CA"/>
        </w:rPr>
        <w:t>avait la législature en l</w:t>
      </w:r>
      <w:r w:rsidR="00DE12B0">
        <w:rPr>
          <w:lang w:val="fr-CA"/>
        </w:rPr>
        <w:t>’</w:t>
      </w:r>
      <w:r w:rsidRPr="00DE12B0">
        <w:rPr>
          <w:lang w:val="fr-CA"/>
        </w:rPr>
        <w:t>adoptant</w:t>
      </w:r>
      <w:r w:rsidR="00DE12B0">
        <w:rPr>
          <w:lang w:val="fr-CA"/>
        </w:rPr>
        <w:t> :</w:t>
      </w:r>
      <w:r w:rsidRPr="00DE12B0">
        <w:rPr>
          <w:lang w:val="fr-CA"/>
        </w:rPr>
        <w:t xml:space="preserve"> mettre en place un régime procédural s</w:t>
      </w:r>
      <w:r w:rsidR="00DE12B0">
        <w:rPr>
          <w:lang w:val="fr-CA"/>
        </w:rPr>
        <w:t>’</w:t>
      </w:r>
      <w:r w:rsidRPr="00DE12B0">
        <w:rPr>
          <w:lang w:val="fr-CA"/>
        </w:rPr>
        <w:t>appliquant exclusivement aux infractions provinciales. La tenue de procès conjoints serait incompatible avec une telle intention, faisant ainsi fi de la distinction importante entre les infractions provinciales et les crimes réels —</w:t>
      </w:r>
      <w:r w:rsidR="00EE5513">
        <w:rPr>
          <w:lang w:val="fr-CA"/>
        </w:rPr>
        <w:t xml:space="preserve"> </w:t>
      </w:r>
      <w:r w:rsidRPr="00DE12B0">
        <w:rPr>
          <w:lang w:val="fr-CA"/>
        </w:rPr>
        <w:t xml:space="preserve">une distinction qui est au cœur de la </w:t>
      </w:r>
      <w:r w:rsidRPr="00DE12B0">
        <w:rPr>
          <w:i/>
          <w:lang w:val="fr-CA"/>
        </w:rPr>
        <w:t>LIP</w:t>
      </w:r>
      <w:r w:rsidR="00EE5513">
        <w:rPr>
          <w:lang w:val="fr-CA"/>
        </w:rPr>
        <w:t xml:space="preserve"> </w:t>
      </w:r>
      <w:r w:rsidRPr="00DE12B0">
        <w:rPr>
          <w:lang w:val="fr-CA"/>
        </w:rPr>
        <w:t>— et entre la procédure distincte qui s</w:t>
      </w:r>
      <w:r w:rsidR="00DE12B0">
        <w:rPr>
          <w:lang w:val="fr-CA"/>
        </w:rPr>
        <w:t>’</w:t>
      </w:r>
      <w:r w:rsidRPr="00DE12B0">
        <w:rPr>
          <w:lang w:val="fr-CA"/>
        </w:rPr>
        <w:t>applique aux unes et aux autres. Ni le consentement de l</w:t>
      </w:r>
      <w:r w:rsidR="00DE12B0">
        <w:rPr>
          <w:lang w:val="fr-CA"/>
        </w:rPr>
        <w:t>’</w:t>
      </w:r>
      <w:r w:rsidRPr="00DE12B0">
        <w:rPr>
          <w:lang w:val="fr-CA"/>
        </w:rPr>
        <w:t>accusé ni l</w:t>
      </w:r>
      <w:r w:rsidR="00DE12B0">
        <w:rPr>
          <w:lang w:val="fr-CA"/>
        </w:rPr>
        <w:t>’</w:t>
      </w:r>
      <w:r w:rsidRPr="00DE12B0">
        <w:rPr>
          <w:lang w:val="fr-CA"/>
        </w:rPr>
        <w:t>absence de préjudice subi n</w:t>
      </w:r>
      <w:r w:rsidR="00DE12B0">
        <w:rPr>
          <w:lang w:val="fr-CA"/>
        </w:rPr>
        <w:t>’</w:t>
      </w:r>
      <w:r w:rsidRPr="00DE12B0">
        <w:rPr>
          <w:lang w:val="fr-CA"/>
        </w:rPr>
        <w:t>a d</w:t>
      </w:r>
      <w:r w:rsidR="00DE12B0">
        <w:rPr>
          <w:lang w:val="fr-CA"/>
        </w:rPr>
        <w:t>’</w:t>
      </w:r>
      <w:r w:rsidRPr="00DE12B0">
        <w:rPr>
          <w:lang w:val="fr-CA"/>
        </w:rPr>
        <w:t>importance, puisque ces faits ne peuvent suffire à conférer une compétence qui n</w:t>
      </w:r>
      <w:r w:rsidR="00DE12B0">
        <w:rPr>
          <w:lang w:val="fr-CA"/>
        </w:rPr>
        <w:t>’</w:t>
      </w:r>
      <w:r w:rsidRPr="00DE12B0">
        <w:rPr>
          <w:lang w:val="fr-CA"/>
        </w:rPr>
        <w:t>existait pas dès le départ.</w:t>
      </w:r>
    </w:p>
    <w:p w:rsidR="002829EE" w:rsidRPr="00DE12B0" w:rsidRDefault="002829EE" w:rsidP="00073901">
      <w:pPr>
        <w:pStyle w:val="SCCNormalDoubleSpacing"/>
        <w:widowControl w:val="0"/>
        <w:spacing w:before="480" w:after="480"/>
        <w:rPr>
          <w:lang w:val="fr-CA"/>
        </w:rPr>
      </w:pPr>
      <w:r w:rsidRPr="00DE12B0">
        <w:rPr>
          <w:lang w:val="fr-CA"/>
        </w:rPr>
        <w:tab/>
      </w:r>
      <w:r w:rsidR="000C3FCD" w:rsidRPr="00DE12B0">
        <w:rPr>
          <w:lang w:val="fr-CA"/>
        </w:rPr>
        <w:t>Les règles de common law applicables à la réunion d</w:t>
      </w:r>
      <w:r w:rsidR="00DE12B0">
        <w:rPr>
          <w:lang w:val="fr-CA"/>
        </w:rPr>
        <w:t>’</w:t>
      </w:r>
      <w:r w:rsidR="000C3FCD" w:rsidRPr="00DE12B0">
        <w:rPr>
          <w:lang w:val="fr-CA"/>
        </w:rPr>
        <w:t xml:space="preserve">accusations énoncées dans </w:t>
      </w:r>
      <w:r w:rsidR="000C3FCD" w:rsidRPr="00DE12B0">
        <w:rPr>
          <w:i/>
          <w:lang w:val="fr-CA"/>
        </w:rPr>
        <w:t>Clunas</w:t>
      </w:r>
      <w:r w:rsidR="000C3FCD" w:rsidRPr="00DE12B0">
        <w:rPr>
          <w:lang w:val="fr-CA"/>
        </w:rPr>
        <w:t xml:space="preserve"> ne s</w:t>
      </w:r>
      <w:r w:rsidR="00DE12B0">
        <w:rPr>
          <w:lang w:val="fr-CA"/>
        </w:rPr>
        <w:t>’</w:t>
      </w:r>
      <w:r w:rsidR="000C3FCD" w:rsidRPr="00DE12B0">
        <w:rPr>
          <w:lang w:val="fr-CA"/>
        </w:rPr>
        <w:t>appliquent pas</w:t>
      </w:r>
      <w:r w:rsidR="003F2BED" w:rsidRPr="00DE12B0">
        <w:rPr>
          <w:lang w:val="fr-CA"/>
        </w:rPr>
        <w:t xml:space="preserve"> </w:t>
      </w:r>
      <w:r w:rsidR="000C3FCD" w:rsidRPr="00DE12B0">
        <w:rPr>
          <w:lang w:val="fr-CA"/>
        </w:rPr>
        <w:t>à la réunion d</w:t>
      </w:r>
      <w:r w:rsidR="00BC2032" w:rsidRPr="00DE12B0">
        <w:rPr>
          <w:lang w:val="fr-CA"/>
        </w:rPr>
        <w:t xml:space="preserve">es </w:t>
      </w:r>
      <w:r w:rsidR="000C3FCD" w:rsidRPr="00DE12B0">
        <w:rPr>
          <w:lang w:val="fr-CA"/>
        </w:rPr>
        <w:t xml:space="preserve">accusations criminelles et provinciales </w:t>
      </w:r>
      <w:r w:rsidR="000C3FCD" w:rsidRPr="00DE12B0">
        <w:rPr>
          <w:lang w:val="fr-CA"/>
        </w:rPr>
        <w:lastRenderedPageBreak/>
        <w:t>en l</w:t>
      </w:r>
      <w:r w:rsidR="00DE12B0">
        <w:rPr>
          <w:lang w:val="fr-CA"/>
        </w:rPr>
        <w:t>’</w:t>
      </w:r>
      <w:r w:rsidR="000C3FCD" w:rsidRPr="00DE12B0">
        <w:rPr>
          <w:lang w:val="fr-CA"/>
        </w:rPr>
        <w:t xml:space="preserve">espèce. </w:t>
      </w:r>
      <w:r w:rsidR="007670EF" w:rsidRPr="00DE12B0">
        <w:rPr>
          <w:lang w:val="fr-CA"/>
        </w:rPr>
        <w:t xml:space="preserve">Premièrement, le fait de réunir </w:t>
      </w:r>
      <w:r w:rsidR="003F2BED" w:rsidRPr="00DE12B0">
        <w:rPr>
          <w:lang w:val="fr-CA"/>
        </w:rPr>
        <w:t>c</w:t>
      </w:r>
      <w:r w:rsidR="007670EF" w:rsidRPr="00DE12B0">
        <w:rPr>
          <w:lang w:val="fr-CA"/>
        </w:rPr>
        <w:t>es accusations pour les instruire dans le cadre d</w:t>
      </w:r>
      <w:r w:rsidR="00DE12B0">
        <w:rPr>
          <w:lang w:val="fr-CA"/>
        </w:rPr>
        <w:t>’</w:t>
      </w:r>
      <w:r w:rsidR="007670EF" w:rsidRPr="00DE12B0">
        <w:rPr>
          <w:lang w:val="fr-CA"/>
        </w:rPr>
        <w:t xml:space="preserve">un même procès est incompatible avec le régime législatif créé par la </w:t>
      </w:r>
      <w:r w:rsidR="007670EF" w:rsidRPr="00DE12B0">
        <w:rPr>
          <w:i/>
          <w:lang w:val="fr-CA"/>
        </w:rPr>
        <w:t>LI</w:t>
      </w:r>
      <w:r w:rsidR="00DE12B0">
        <w:rPr>
          <w:i/>
          <w:lang w:val="fr-CA"/>
        </w:rPr>
        <w:t>P.</w:t>
      </w:r>
      <w:r w:rsidR="00EE5513">
        <w:rPr>
          <w:i/>
          <w:lang w:val="fr-CA"/>
        </w:rPr>
        <w:t xml:space="preserve"> </w:t>
      </w:r>
      <w:r w:rsidR="007670EF" w:rsidRPr="00DE12B0">
        <w:rPr>
          <w:lang w:val="fr-CA"/>
        </w:rPr>
        <w:t>L</w:t>
      </w:r>
      <w:r w:rsidR="00DE12B0">
        <w:rPr>
          <w:lang w:val="fr-CA"/>
        </w:rPr>
        <w:t>’</w:t>
      </w:r>
      <w:r w:rsidR="007670EF" w:rsidRPr="00DE12B0">
        <w:rPr>
          <w:lang w:val="fr-CA"/>
        </w:rPr>
        <w:t>intention du législateur relativement à la question de compétence l</w:t>
      </w:r>
      <w:r w:rsidR="00DE12B0">
        <w:rPr>
          <w:lang w:val="fr-CA"/>
        </w:rPr>
        <w:t>’</w:t>
      </w:r>
      <w:r w:rsidR="007670EF" w:rsidRPr="00DE12B0">
        <w:rPr>
          <w:lang w:val="fr-CA"/>
        </w:rPr>
        <w:t>emporte sur les règles de common law, puisque cette dernière ne saurait permettre la tenue d</w:t>
      </w:r>
      <w:r w:rsidR="00DE12B0">
        <w:rPr>
          <w:lang w:val="fr-CA"/>
        </w:rPr>
        <w:t>’</w:t>
      </w:r>
      <w:r w:rsidR="007670EF" w:rsidRPr="00DE12B0">
        <w:rPr>
          <w:lang w:val="fr-CA"/>
        </w:rPr>
        <w:t>un procès conjoint là où l</w:t>
      </w:r>
      <w:r w:rsidR="00DE12B0">
        <w:rPr>
          <w:lang w:val="fr-CA"/>
        </w:rPr>
        <w:t>’</w:t>
      </w:r>
      <w:r w:rsidR="007670EF" w:rsidRPr="00DE12B0">
        <w:rPr>
          <w:lang w:val="fr-CA"/>
        </w:rPr>
        <w:t xml:space="preserve">intention du législateur était de maintenir deux systèmes de justice distincts. Deuxièmement, </w:t>
      </w:r>
      <w:r w:rsidR="007670EF" w:rsidRPr="00DE12B0">
        <w:rPr>
          <w:i/>
          <w:lang w:val="fr-CA"/>
        </w:rPr>
        <w:t>Clunas</w:t>
      </w:r>
      <w:r w:rsidR="007670EF" w:rsidRPr="00DE12B0">
        <w:rPr>
          <w:lang w:val="fr-CA"/>
        </w:rPr>
        <w:t xml:space="preserve"> a été rendu uniquement dans le contexte du </w:t>
      </w:r>
      <w:r w:rsidR="00EB0FCB" w:rsidRPr="00DE12B0">
        <w:rPr>
          <w:i/>
          <w:lang w:val="fr-CA"/>
        </w:rPr>
        <w:t>Code criminel</w:t>
      </w:r>
      <w:r w:rsidR="007670EF" w:rsidRPr="00DE12B0">
        <w:rPr>
          <w:lang w:val="fr-CA"/>
        </w:rPr>
        <w:t>, et avait trait à des accusations portées en vertu des dispositions de la même loi, prescrites par le même palier de gouvernement, et donc assujetties aux mêmes règles en matière de preuve et de procédure. En l</w:t>
      </w:r>
      <w:r w:rsidR="00DE12B0">
        <w:rPr>
          <w:lang w:val="fr-CA"/>
        </w:rPr>
        <w:t>’</w:t>
      </w:r>
      <w:r w:rsidR="007670EF" w:rsidRPr="00DE12B0">
        <w:rPr>
          <w:lang w:val="fr-CA"/>
        </w:rPr>
        <w:t>espèce, il est plutôt question de dispositions législatives édictées par deux paliers de gouvernement différents, qui se sont tous les deux dotés de leurs propres procédures et de règles de preuve distinctes.</w:t>
      </w:r>
    </w:p>
    <w:p w:rsidR="007670EF" w:rsidRPr="00DE12B0" w:rsidRDefault="002829EE" w:rsidP="00073901">
      <w:pPr>
        <w:pStyle w:val="SCCNormalDoubleSpacing"/>
        <w:widowControl w:val="0"/>
        <w:spacing w:before="480" w:after="480"/>
        <w:rPr>
          <w:lang w:val="fr-CA"/>
        </w:rPr>
      </w:pPr>
      <w:r w:rsidRPr="00DE12B0">
        <w:rPr>
          <w:lang w:val="fr-CA"/>
        </w:rPr>
        <w:tab/>
      </w:r>
      <w:r w:rsidR="007670EF" w:rsidRPr="00DE12B0">
        <w:rPr>
          <w:lang w:val="fr-CA"/>
        </w:rPr>
        <w:t>Il ne peut être remédié à l</w:t>
      </w:r>
      <w:r w:rsidR="00DE12B0">
        <w:rPr>
          <w:lang w:val="fr-CA"/>
        </w:rPr>
        <w:t>’</w:t>
      </w:r>
      <w:r w:rsidR="007670EF" w:rsidRPr="00DE12B0">
        <w:rPr>
          <w:lang w:val="fr-CA"/>
        </w:rPr>
        <w:t xml:space="preserve">erreur commise par le juge de la cour provinciale de tenir un procès conjoint par les dispositions réparatrices du </w:t>
      </w:r>
      <w:r w:rsidR="00EB0FCB" w:rsidRPr="00DE12B0">
        <w:rPr>
          <w:i/>
          <w:lang w:val="fr-CA"/>
        </w:rPr>
        <w:t>Code criminel</w:t>
      </w:r>
      <w:r w:rsidR="00EB0FCB" w:rsidRPr="00DE12B0">
        <w:rPr>
          <w:lang w:val="fr-CA"/>
        </w:rPr>
        <w:t xml:space="preserve"> </w:t>
      </w:r>
      <w:r w:rsidR="007670EF" w:rsidRPr="00DE12B0">
        <w:rPr>
          <w:lang w:val="fr-CA"/>
        </w:rPr>
        <w:t xml:space="preserve">ou de la </w:t>
      </w:r>
      <w:r w:rsidR="007670EF" w:rsidRPr="00DE12B0">
        <w:rPr>
          <w:i/>
          <w:lang w:val="fr-CA"/>
        </w:rPr>
        <w:t>LI</w:t>
      </w:r>
      <w:r w:rsidR="00DE12B0">
        <w:rPr>
          <w:i/>
          <w:lang w:val="fr-CA"/>
        </w:rPr>
        <w:t>P.</w:t>
      </w:r>
      <w:r w:rsidR="00EE5513">
        <w:rPr>
          <w:i/>
          <w:lang w:val="fr-CA"/>
        </w:rPr>
        <w:t xml:space="preserve"> </w:t>
      </w:r>
      <w:r w:rsidR="007670EF" w:rsidRPr="00DE12B0">
        <w:rPr>
          <w:lang w:val="fr-CA"/>
        </w:rPr>
        <w:t>Bien que la perte de compétence résultant d</w:t>
      </w:r>
      <w:r w:rsidR="00DE12B0">
        <w:rPr>
          <w:lang w:val="fr-CA"/>
        </w:rPr>
        <w:t>’</w:t>
      </w:r>
      <w:r w:rsidR="007670EF" w:rsidRPr="00DE12B0">
        <w:rPr>
          <w:lang w:val="fr-CA"/>
        </w:rPr>
        <w:t>une irrégularité de procédure puisse être réparée au moyen du sous</w:t>
      </w:r>
      <w:r w:rsidR="00140575">
        <w:rPr>
          <w:lang w:val="fr-CA"/>
        </w:rPr>
        <w:t>-</w:t>
      </w:r>
      <w:r w:rsidR="00DE12B0">
        <w:rPr>
          <w:lang w:val="fr-CA"/>
        </w:rPr>
        <w:t>al. </w:t>
      </w:r>
      <w:r w:rsidR="007670EF" w:rsidRPr="00DE12B0">
        <w:rPr>
          <w:lang w:val="fr-CA"/>
        </w:rPr>
        <w:t xml:space="preserve">686(1)b)(iv) du </w:t>
      </w:r>
      <w:r w:rsidR="00EB0FCB" w:rsidRPr="00DE12B0">
        <w:rPr>
          <w:i/>
          <w:lang w:val="fr-CA"/>
        </w:rPr>
        <w:t>Code criminel</w:t>
      </w:r>
      <w:r w:rsidR="007670EF" w:rsidRPr="00DE12B0">
        <w:rPr>
          <w:lang w:val="fr-CA"/>
        </w:rPr>
        <w:t>, cette disposition ne saurait permettre de pallier l</w:t>
      </w:r>
      <w:r w:rsidR="00DE12B0">
        <w:rPr>
          <w:lang w:val="fr-CA"/>
        </w:rPr>
        <w:t>’</w:t>
      </w:r>
      <w:r w:rsidR="007670EF" w:rsidRPr="00DE12B0">
        <w:rPr>
          <w:lang w:val="fr-CA"/>
        </w:rPr>
        <w:t>absence de compétence dès le dép</w:t>
      </w:r>
      <w:r w:rsidR="00DE12B0">
        <w:rPr>
          <w:lang w:val="fr-CA"/>
        </w:rPr>
        <w:t>art.</w:t>
      </w:r>
      <w:r w:rsidR="00EE5513">
        <w:rPr>
          <w:lang w:val="fr-CA"/>
        </w:rPr>
        <w:t xml:space="preserve"> </w:t>
      </w:r>
      <w:r w:rsidR="003F2BED" w:rsidRPr="00DE12B0">
        <w:rPr>
          <w:lang w:val="fr-CA"/>
        </w:rPr>
        <w:t>En l</w:t>
      </w:r>
      <w:r w:rsidR="00DE12B0">
        <w:rPr>
          <w:lang w:val="fr-CA"/>
        </w:rPr>
        <w:t>’</w:t>
      </w:r>
      <w:r w:rsidR="003F2BED" w:rsidRPr="00DE12B0">
        <w:rPr>
          <w:lang w:val="fr-CA"/>
        </w:rPr>
        <w:t>espèce, l</w:t>
      </w:r>
      <w:r w:rsidR="00DE12B0">
        <w:rPr>
          <w:lang w:val="fr-CA"/>
        </w:rPr>
        <w:t>’</w:t>
      </w:r>
      <w:r w:rsidR="007670EF" w:rsidRPr="00DE12B0">
        <w:rPr>
          <w:lang w:val="fr-CA"/>
        </w:rPr>
        <w:t>erreur n</w:t>
      </w:r>
      <w:r w:rsidR="00DE12B0">
        <w:rPr>
          <w:lang w:val="fr-CA"/>
        </w:rPr>
        <w:t>’</w:t>
      </w:r>
      <w:r w:rsidR="00224AEC">
        <w:rPr>
          <w:lang w:val="fr-CA"/>
        </w:rPr>
        <w:t xml:space="preserve">était </w:t>
      </w:r>
      <w:r w:rsidR="007670EF" w:rsidRPr="00DE12B0">
        <w:rPr>
          <w:lang w:val="fr-CA"/>
        </w:rPr>
        <w:t xml:space="preserve">pas une irrégularité de procédure, mais constituait un vice de procédure fondamental — il y avait absence totale de compétence pour tenir le procès conjoint. En outre, </w:t>
      </w:r>
      <w:r w:rsidR="003F2BED" w:rsidRPr="00DE12B0">
        <w:rPr>
          <w:lang w:val="fr-CA"/>
        </w:rPr>
        <w:t>cette</w:t>
      </w:r>
      <w:r w:rsidR="007670EF" w:rsidRPr="00DE12B0">
        <w:rPr>
          <w:lang w:val="fr-CA"/>
        </w:rPr>
        <w:t xml:space="preserve"> disposition réparatrice ne devrait pas servir de remède à la mise en échec systématique de l</w:t>
      </w:r>
      <w:r w:rsidR="00DE12B0">
        <w:rPr>
          <w:lang w:val="fr-CA"/>
        </w:rPr>
        <w:t>’</w:t>
      </w:r>
      <w:r w:rsidR="007670EF" w:rsidRPr="00DE12B0">
        <w:rPr>
          <w:lang w:val="fr-CA"/>
        </w:rPr>
        <w:t>intention de la législature. Le sous</w:t>
      </w:r>
      <w:r w:rsidR="00140575">
        <w:rPr>
          <w:lang w:val="fr-CA"/>
        </w:rPr>
        <w:t>-</w:t>
      </w:r>
      <w:r w:rsidR="00584C17">
        <w:rPr>
          <w:lang w:val="fr-CA"/>
        </w:rPr>
        <w:t>alinéa</w:t>
      </w:r>
      <w:r w:rsidR="00DE12B0">
        <w:rPr>
          <w:lang w:val="fr-CA"/>
        </w:rPr>
        <w:t> </w:t>
      </w:r>
      <w:r w:rsidR="007670EF" w:rsidRPr="00DE12B0">
        <w:rPr>
          <w:lang w:val="fr-CA"/>
        </w:rPr>
        <w:t xml:space="preserve">120(1)b)(iii) de la </w:t>
      </w:r>
      <w:r w:rsidR="007670EF" w:rsidRPr="00DE12B0">
        <w:rPr>
          <w:i/>
          <w:lang w:val="fr-CA"/>
        </w:rPr>
        <w:t>LIP</w:t>
      </w:r>
      <w:r w:rsidR="007670EF" w:rsidRPr="00DE12B0">
        <w:rPr>
          <w:lang w:val="fr-CA"/>
        </w:rPr>
        <w:t xml:space="preserve"> ne trouve pas application en l</w:t>
      </w:r>
      <w:r w:rsidR="00DE12B0">
        <w:rPr>
          <w:lang w:val="fr-CA"/>
        </w:rPr>
        <w:t>’</w:t>
      </w:r>
      <w:r w:rsidR="007670EF" w:rsidRPr="00DE12B0">
        <w:rPr>
          <w:lang w:val="fr-CA"/>
        </w:rPr>
        <w:t>espèce</w:t>
      </w:r>
      <w:r w:rsidR="003F2BED" w:rsidRPr="00DE12B0">
        <w:rPr>
          <w:lang w:val="fr-CA"/>
        </w:rPr>
        <w:t xml:space="preserve"> puisqu</w:t>
      </w:r>
      <w:r w:rsidR="00DE12B0">
        <w:rPr>
          <w:lang w:val="fr-CA"/>
        </w:rPr>
        <w:t>’</w:t>
      </w:r>
      <w:r w:rsidR="007670EF" w:rsidRPr="00DE12B0">
        <w:rPr>
          <w:lang w:val="fr-CA"/>
        </w:rPr>
        <w:t>aucune erreur de droit n</w:t>
      </w:r>
      <w:r w:rsidR="00DE12B0">
        <w:rPr>
          <w:lang w:val="fr-CA"/>
        </w:rPr>
        <w:t>’</w:t>
      </w:r>
      <w:r w:rsidR="007670EF" w:rsidRPr="00DE12B0">
        <w:rPr>
          <w:lang w:val="fr-CA"/>
        </w:rPr>
        <w:t xml:space="preserve">a été commise </w:t>
      </w:r>
      <w:r w:rsidR="003F2BED" w:rsidRPr="00DE12B0">
        <w:rPr>
          <w:lang w:val="fr-CA"/>
        </w:rPr>
        <w:t>et qu</w:t>
      </w:r>
      <w:r w:rsidR="00DE12B0">
        <w:rPr>
          <w:lang w:val="fr-CA"/>
        </w:rPr>
        <w:t>’</w:t>
      </w:r>
      <w:r w:rsidR="007670EF" w:rsidRPr="00DE12B0">
        <w:rPr>
          <w:lang w:val="fr-CA"/>
        </w:rPr>
        <w:t>il y avait plutôt absence totale de compétence pour tenir un procès conjoint</w:t>
      </w:r>
      <w:r w:rsidR="00DE12B0">
        <w:rPr>
          <w:lang w:val="fr-CA"/>
        </w:rPr>
        <w:t xml:space="preserve">. </w:t>
      </w:r>
    </w:p>
    <w:p w:rsidR="004D7D95" w:rsidRPr="00DE12B0" w:rsidRDefault="004D7D95" w:rsidP="00073901">
      <w:pPr>
        <w:pStyle w:val="SCCNormalDoubleSpacing"/>
        <w:widowControl w:val="0"/>
        <w:spacing w:after="720" w:line="240" w:lineRule="auto"/>
        <w:rPr>
          <w:b/>
          <w:lang w:val="fr-CA"/>
        </w:rPr>
      </w:pPr>
      <w:r w:rsidRPr="00DE12B0">
        <w:rPr>
          <w:b/>
          <w:lang w:val="fr-CA"/>
        </w:rPr>
        <w:lastRenderedPageBreak/>
        <w:t>Jurisprudence</w:t>
      </w:r>
    </w:p>
    <w:p w:rsidR="00C9151B" w:rsidRPr="00DE12B0" w:rsidRDefault="00C9151B" w:rsidP="00073901">
      <w:pPr>
        <w:pStyle w:val="SCCNormalDoubleSpacing"/>
        <w:widowControl w:val="0"/>
        <w:spacing w:after="720" w:line="240" w:lineRule="auto"/>
        <w:rPr>
          <w:lang w:val="fr-CA"/>
        </w:rPr>
      </w:pPr>
      <w:r w:rsidRPr="00DE12B0">
        <w:rPr>
          <w:lang w:val="fr-CA"/>
        </w:rPr>
        <w:t>Citée par le juge Moldaver</w:t>
      </w:r>
    </w:p>
    <w:p w:rsidR="00082920" w:rsidRPr="00DE12B0" w:rsidRDefault="004D7D95" w:rsidP="00073901">
      <w:pPr>
        <w:pStyle w:val="SCCNormalDoubleSpacing"/>
        <w:widowControl w:val="0"/>
        <w:spacing w:after="720"/>
        <w:rPr>
          <w:lang w:val="fr-CA"/>
        </w:rPr>
      </w:pPr>
      <w:r w:rsidRPr="00DE12B0">
        <w:rPr>
          <w:lang w:val="fr-CA"/>
        </w:rPr>
        <w:tab/>
      </w:r>
      <w:r w:rsidR="00086880" w:rsidRPr="00DE12B0">
        <w:rPr>
          <w:b/>
          <w:lang w:val="fr-CA"/>
        </w:rPr>
        <w:t>Arrêt appliqué</w:t>
      </w:r>
      <w:r w:rsidR="00DE12B0">
        <w:rPr>
          <w:b/>
          <w:lang w:val="fr-CA"/>
        </w:rPr>
        <w:t> :</w:t>
      </w:r>
      <w:r w:rsidR="00086880" w:rsidRPr="00DE12B0">
        <w:rPr>
          <w:lang w:val="fr-CA"/>
        </w:rPr>
        <w:t xml:space="preserve"> </w:t>
      </w:r>
      <w:r w:rsidR="00086880" w:rsidRPr="00DE12B0">
        <w:rPr>
          <w:i/>
          <w:lang w:val="fr-CA"/>
        </w:rPr>
        <w:t>R. c. Clunas</w:t>
      </w:r>
      <w:r w:rsidR="00086880" w:rsidRPr="00DE12B0">
        <w:rPr>
          <w:lang w:val="fr-CA"/>
        </w:rPr>
        <w:t xml:space="preserve">, [1992] 1 R.C.S. 595; </w:t>
      </w:r>
      <w:r w:rsidR="00086880" w:rsidRPr="00DE12B0">
        <w:rPr>
          <w:b/>
          <w:lang w:val="fr-CA"/>
        </w:rPr>
        <w:t>arrêt examiné</w:t>
      </w:r>
      <w:r w:rsidR="00DE12B0">
        <w:rPr>
          <w:b/>
          <w:lang w:val="fr-CA"/>
        </w:rPr>
        <w:t> :</w:t>
      </w:r>
      <w:r w:rsidR="00086880" w:rsidRPr="00DE12B0">
        <w:rPr>
          <w:lang w:val="fr-CA"/>
        </w:rPr>
        <w:t xml:space="preserve"> </w:t>
      </w:r>
      <w:r w:rsidR="00086880" w:rsidRPr="00DE12B0">
        <w:rPr>
          <w:i/>
          <w:lang w:val="fr-CA"/>
        </w:rPr>
        <w:t>R. c. S.J.L.</w:t>
      </w:r>
      <w:r w:rsidR="00086880" w:rsidRPr="00DE12B0">
        <w:rPr>
          <w:lang w:val="fr-CA"/>
        </w:rPr>
        <w:t xml:space="preserve">, 2009 CSC 14, [2009] 1 R.C.S. 426; </w:t>
      </w:r>
      <w:r w:rsidR="00086880" w:rsidRPr="00DE12B0">
        <w:rPr>
          <w:b/>
          <w:lang w:val="fr-CA"/>
        </w:rPr>
        <w:t xml:space="preserve">arrêts </w:t>
      </w:r>
      <w:r w:rsidRPr="00DE12B0">
        <w:rPr>
          <w:b/>
          <w:lang w:val="fr-CA"/>
        </w:rPr>
        <w:t>mentionnés</w:t>
      </w:r>
      <w:r w:rsidR="00DE12B0">
        <w:rPr>
          <w:b/>
          <w:lang w:val="fr-CA"/>
        </w:rPr>
        <w:t> :</w:t>
      </w:r>
      <w:r w:rsidRPr="00DE12B0">
        <w:rPr>
          <w:lang w:val="fr-CA"/>
        </w:rPr>
        <w:t xml:space="preserve"> </w:t>
      </w:r>
      <w:r w:rsidR="00082920" w:rsidRPr="00DE12B0">
        <w:rPr>
          <w:i/>
          <w:iCs/>
          <w:lang w:val="fr-CA"/>
        </w:rPr>
        <w:t>Heritage Capital Cor</w:t>
      </w:r>
      <w:r w:rsidR="00DE12B0">
        <w:rPr>
          <w:i/>
          <w:iCs/>
          <w:lang w:val="fr-CA"/>
        </w:rPr>
        <w:t>p. </w:t>
      </w:r>
      <w:r w:rsidR="00C03595">
        <w:rPr>
          <w:i/>
          <w:iCs/>
          <w:lang w:val="fr-CA"/>
        </w:rPr>
        <w:t>c. Équitable, Cie de fiducie</w:t>
      </w:r>
      <w:r w:rsidR="00C03595" w:rsidRPr="00C03595">
        <w:rPr>
          <w:iCs/>
          <w:lang w:val="fr-CA"/>
        </w:rPr>
        <w:t>,</w:t>
      </w:r>
      <w:r w:rsidR="00C03595">
        <w:rPr>
          <w:i/>
          <w:iCs/>
          <w:lang w:val="fr-CA"/>
        </w:rPr>
        <w:t xml:space="preserve"> </w:t>
      </w:r>
      <w:r w:rsidR="00082920" w:rsidRPr="00DE12B0">
        <w:rPr>
          <w:lang w:val="fr-CA"/>
        </w:rPr>
        <w:t xml:space="preserve">2016 CSC 19, [2016] 1 R.C.S. 306; </w:t>
      </w:r>
      <w:r w:rsidR="00082920" w:rsidRPr="00DE12B0">
        <w:rPr>
          <w:i/>
          <w:lang w:val="fr-CA"/>
        </w:rPr>
        <w:t>In re Clayton</w:t>
      </w:r>
      <w:r w:rsidR="00082920" w:rsidRPr="00DE12B0">
        <w:rPr>
          <w:lang w:val="fr-CA"/>
        </w:rPr>
        <w:t>, [1983] 2 W.L.R. 5</w:t>
      </w:r>
      <w:r w:rsidR="002C7B34" w:rsidRPr="00DE12B0">
        <w:rPr>
          <w:lang w:val="fr-CA"/>
        </w:rPr>
        <w:t>5</w:t>
      </w:r>
      <w:r w:rsidR="00082920" w:rsidRPr="00DE12B0">
        <w:rPr>
          <w:lang w:val="fr-CA"/>
        </w:rPr>
        <w:t xml:space="preserve">5; </w:t>
      </w:r>
      <w:r w:rsidR="00082920" w:rsidRPr="00DE12B0">
        <w:rPr>
          <w:i/>
          <w:lang w:val="fr-CA"/>
        </w:rPr>
        <w:t>R. c. Massick</w:t>
      </w:r>
      <w:r w:rsidR="00082920" w:rsidRPr="00DE12B0">
        <w:rPr>
          <w:lang w:val="fr-CA"/>
        </w:rPr>
        <w:t xml:space="preserve"> (1985), 21 C.C.C. (3d) 128; </w:t>
      </w:r>
      <w:r w:rsidR="00082920" w:rsidRPr="00DE12B0">
        <w:rPr>
          <w:i/>
          <w:lang w:val="fr-CA"/>
        </w:rPr>
        <w:t>R. c. Jamieson</w:t>
      </w:r>
      <w:r w:rsidR="00082920" w:rsidRPr="00DE12B0">
        <w:rPr>
          <w:lang w:val="fr-CA"/>
        </w:rPr>
        <w:t xml:space="preserve"> (1981), 64 C.C.C. (2d) 550, </w:t>
      </w:r>
      <w:r w:rsidR="00852AF9" w:rsidRPr="00DE12B0">
        <w:rPr>
          <w:lang w:val="fr-CA"/>
        </w:rPr>
        <w:t>conf. par</w:t>
      </w:r>
      <w:r w:rsidR="00082920" w:rsidRPr="00DE12B0">
        <w:rPr>
          <w:lang w:val="fr-CA"/>
        </w:rPr>
        <w:t xml:space="preserve"> (1982), 66 C.C.C. (2d) 576; </w:t>
      </w:r>
      <w:r w:rsidR="00082920" w:rsidRPr="00DE12B0">
        <w:rPr>
          <w:i/>
          <w:lang w:val="fr-CA"/>
        </w:rPr>
        <w:t>London (City) c. Young</w:t>
      </w:r>
      <w:r w:rsidR="00082920" w:rsidRPr="00DE12B0">
        <w:rPr>
          <w:lang w:val="fr-CA"/>
        </w:rPr>
        <w:t xml:space="preserve">, 2008 ONCA 429, 91 O.R. (3d) 215; </w:t>
      </w:r>
      <w:r w:rsidR="00082920" w:rsidRPr="00DE12B0">
        <w:rPr>
          <w:i/>
          <w:lang w:val="fr-CA"/>
        </w:rPr>
        <w:t>Green c. Société du Barreau du Manitoba</w:t>
      </w:r>
      <w:r w:rsidR="00082920" w:rsidRPr="00DE12B0">
        <w:rPr>
          <w:lang w:val="fr-CA"/>
        </w:rPr>
        <w:t xml:space="preserve">, 2017 CSC 20, [2017] 1 R.C.S. 360; </w:t>
      </w:r>
      <w:r w:rsidR="00082920" w:rsidRPr="00DE12B0">
        <w:rPr>
          <w:i/>
          <w:lang w:val="fr-CA"/>
        </w:rPr>
        <w:t>R. c. Rodgerson</w:t>
      </w:r>
      <w:r w:rsidR="00082920" w:rsidRPr="00DE12B0">
        <w:rPr>
          <w:lang w:val="fr-CA"/>
        </w:rPr>
        <w:t xml:space="preserve">, 2015 CSC 38, [2015] 2 R.C.S. 760; </w:t>
      </w:r>
      <w:r w:rsidR="00082920" w:rsidRPr="00DE12B0">
        <w:rPr>
          <w:i/>
          <w:lang w:val="fr-CA"/>
        </w:rPr>
        <w:t>R. c. Jordan</w:t>
      </w:r>
      <w:r w:rsidR="00082920" w:rsidRPr="00DE12B0">
        <w:rPr>
          <w:lang w:val="fr-CA"/>
        </w:rPr>
        <w:t xml:space="preserve">, 2016 CSC 27, [2016] 1 R.C.S. 631; </w:t>
      </w:r>
      <w:r w:rsidR="00082920" w:rsidRPr="00DE12B0">
        <w:rPr>
          <w:i/>
          <w:lang w:val="fr-CA"/>
        </w:rPr>
        <w:t>R. c. Crawford</w:t>
      </w:r>
      <w:r w:rsidR="00082920" w:rsidRPr="00DE12B0">
        <w:rPr>
          <w:lang w:val="fr-CA"/>
        </w:rPr>
        <w:t xml:space="preserve">, [1995] 1 R.C.S. 858; </w:t>
      </w:r>
      <w:r w:rsidR="00082920" w:rsidRPr="00DE12B0">
        <w:rPr>
          <w:i/>
          <w:lang w:val="fr-CA"/>
        </w:rPr>
        <w:t>R. c. Chow</w:t>
      </w:r>
      <w:r w:rsidR="00082920" w:rsidRPr="00DE12B0">
        <w:rPr>
          <w:lang w:val="fr-CA"/>
        </w:rPr>
        <w:t xml:space="preserve">, 2005 CSC 24, [2005] 1 R.C.S. 384; </w:t>
      </w:r>
      <w:r w:rsidR="00082920" w:rsidRPr="00DE12B0">
        <w:rPr>
          <w:i/>
          <w:lang w:val="fr-CA"/>
        </w:rPr>
        <w:t>R. c. Last</w:t>
      </w:r>
      <w:r w:rsidR="00082920" w:rsidRPr="00DE12B0">
        <w:rPr>
          <w:lang w:val="fr-CA"/>
        </w:rPr>
        <w:t>, 2009 CSC 45, [2009] 3 R.C.S</w:t>
      </w:r>
      <w:r w:rsidR="000B1672" w:rsidRPr="00DE12B0">
        <w:rPr>
          <w:lang w:val="fr-CA"/>
        </w:rPr>
        <w:t>. 146.</w:t>
      </w:r>
    </w:p>
    <w:p w:rsidR="00C9151B" w:rsidRPr="00DE12B0" w:rsidRDefault="00C9151B" w:rsidP="00073901">
      <w:pPr>
        <w:pStyle w:val="SCCNormalDoubleSpacing"/>
        <w:widowControl w:val="0"/>
        <w:spacing w:after="720" w:line="240" w:lineRule="auto"/>
        <w:rPr>
          <w:lang w:val="fr-CA"/>
        </w:rPr>
      </w:pPr>
      <w:r w:rsidRPr="00DE12B0">
        <w:rPr>
          <w:lang w:val="fr-CA"/>
        </w:rPr>
        <w:t>Citée par la juge Côté</w:t>
      </w:r>
      <w:r w:rsidR="00FA6E1B" w:rsidRPr="00DE12B0">
        <w:rPr>
          <w:lang w:val="fr-CA"/>
        </w:rPr>
        <w:t xml:space="preserve"> (dissidente)</w:t>
      </w:r>
    </w:p>
    <w:p w:rsidR="00C9151B" w:rsidRPr="00DE12B0" w:rsidRDefault="00C9151B" w:rsidP="00073901">
      <w:pPr>
        <w:pStyle w:val="SCCNormalDoubleSpacing"/>
        <w:widowControl w:val="0"/>
        <w:spacing w:after="480"/>
        <w:rPr>
          <w:szCs w:val="24"/>
          <w:lang w:val="fr-CA"/>
        </w:rPr>
      </w:pPr>
      <w:r w:rsidRPr="00DE12B0">
        <w:rPr>
          <w:lang w:val="fr-CA"/>
        </w:rPr>
        <w:tab/>
      </w:r>
      <w:r w:rsidR="009904EF" w:rsidRPr="00DE12B0">
        <w:rPr>
          <w:i/>
          <w:lang w:val="fr-CA"/>
        </w:rPr>
        <w:t>R. c.</w:t>
      </w:r>
      <w:r w:rsidR="009904EF" w:rsidRPr="00DE12B0">
        <w:rPr>
          <w:lang w:val="fr-CA"/>
        </w:rPr>
        <w:t xml:space="preserve"> </w:t>
      </w:r>
      <w:r w:rsidR="009904EF" w:rsidRPr="00DE12B0">
        <w:rPr>
          <w:i/>
          <w:lang w:val="fr-CA"/>
        </w:rPr>
        <w:t>S.J.L.</w:t>
      </w:r>
      <w:r w:rsidR="009904EF" w:rsidRPr="00DE12B0">
        <w:rPr>
          <w:lang w:val="fr-CA"/>
        </w:rPr>
        <w:t>, 2009 CSC 14, [2009] 1 R.C.S. 426</w:t>
      </w:r>
      <w:r w:rsidR="00EB6A68" w:rsidRPr="00DE12B0">
        <w:rPr>
          <w:lang w:val="fr-CA"/>
        </w:rPr>
        <w:t xml:space="preserve">; </w:t>
      </w:r>
      <w:r w:rsidR="00852AF9" w:rsidRPr="00DE12B0">
        <w:rPr>
          <w:i/>
          <w:lang w:val="fr-CA"/>
        </w:rPr>
        <w:t>Renvoi relatif</w:t>
      </w:r>
      <w:r w:rsidR="00EB6A68" w:rsidRPr="00DE12B0">
        <w:rPr>
          <w:i/>
          <w:lang w:val="fr-CA"/>
        </w:rPr>
        <w:t xml:space="preserve"> à la Loi sur les armes à feu (Can.)</w:t>
      </w:r>
      <w:r w:rsidR="00EB6A68" w:rsidRPr="00DE12B0">
        <w:rPr>
          <w:lang w:val="fr-CA"/>
        </w:rPr>
        <w:t>, 2000 CSC 31, [2000] 1 R.C.S. 783</w:t>
      </w:r>
      <w:r w:rsidR="00180F59" w:rsidRPr="00DE12B0">
        <w:rPr>
          <w:lang w:val="fr-CA"/>
        </w:rPr>
        <w:t>;</w:t>
      </w:r>
      <w:r w:rsidR="00AE42AA" w:rsidRPr="00DE12B0">
        <w:rPr>
          <w:lang w:val="fr-CA"/>
        </w:rPr>
        <w:t xml:space="preserve"> </w:t>
      </w:r>
      <w:r w:rsidR="00AE42AA" w:rsidRPr="00DE12B0">
        <w:rPr>
          <w:i/>
          <w:szCs w:val="24"/>
          <w:lang w:val="fr-CA"/>
        </w:rPr>
        <w:t>R. c. Rodgerson</w:t>
      </w:r>
      <w:r w:rsidR="00AE42AA" w:rsidRPr="00DE12B0">
        <w:rPr>
          <w:szCs w:val="24"/>
          <w:lang w:val="fr-CA"/>
        </w:rPr>
        <w:t>, 2015 CSC 38, [2015] 2 R.C.S. 760;</w:t>
      </w:r>
      <w:r w:rsidR="00180F59" w:rsidRPr="00DE12B0">
        <w:rPr>
          <w:lang w:val="fr-CA"/>
        </w:rPr>
        <w:t xml:space="preserve"> </w:t>
      </w:r>
      <w:r w:rsidR="00180F59" w:rsidRPr="00DE12B0">
        <w:rPr>
          <w:i/>
          <w:lang w:val="fr-CA"/>
        </w:rPr>
        <w:t>R. c. Clunas</w:t>
      </w:r>
      <w:r w:rsidR="00180F59" w:rsidRPr="00DE12B0">
        <w:rPr>
          <w:lang w:val="fr-CA"/>
        </w:rPr>
        <w:t>, [1992] 1 R.C.S. 595</w:t>
      </w:r>
      <w:r w:rsidR="00695E65" w:rsidRPr="00DE12B0">
        <w:rPr>
          <w:lang w:val="fr-CA"/>
        </w:rPr>
        <w:t xml:space="preserve">; </w:t>
      </w:r>
      <w:r w:rsidR="00695E65" w:rsidRPr="00DE12B0">
        <w:rPr>
          <w:i/>
          <w:iCs/>
          <w:lang w:val="fr-CA"/>
        </w:rPr>
        <w:t>Attorney General of Nova Scotia c. Attorney General of Canada</w:t>
      </w:r>
      <w:r w:rsidR="00695E65" w:rsidRPr="00DE12B0">
        <w:rPr>
          <w:lang w:val="fr-CA"/>
        </w:rPr>
        <w:t>, [1951] R.C.S. 31</w:t>
      </w:r>
      <w:r w:rsidR="00513953" w:rsidRPr="00DE12B0">
        <w:rPr>
          <w:lang w:val="fr-CA"/>
        </w:rPr>
        <w:t xml:space="preserve">; </w:t>
      </w:r>
      <w:r w:rsidR="00513953" w:rsidRPr="00DE12B0">
        <w:rPr>
          <w:i/>
          <w:iCs/>
          <w:lang w:val="fr-CA"/>
        </w:rPr>
        <w:t>R. c. Dudley</w:t>
      </w:r>
      <w:r w:rsidR="00513953" w:rsidRPr="00DE12B0">
        <w:rPr>
          <w:lang w:val="fr-CA"/>
        </w:rPr>
        <w:t>, 2009 CSC 58, [2009] 3 R.C.S. 570</w:t>
      </w:r>
      <w:r w:rsidR="006D2574" w:rsidRPr="00DE12B0">
        <w:rPr>
          <w:lang w:val="fr-CA"/>
        </w:rPr>
        <w:t xml:space="preserve">; </w:t>
      </w:r>
      <w:r w:rsidR="006D2574" w:rsidRPr="00DE12B0">
        <w:rPr>
          <w:i/>
          <w:lang w:val="fr-CA"/>
        </w:rPr>
        <w:t>R. c. Khan</w:t>
      </w:r>
      <w:r w:rsidR="006D2574" w:rsidRPr="00DE12B0">
        <w:rPr>
          <w:lang w:val="fr-CA"/>
        </w:rPr>
        <w:t>, 2001 CSC 86, [2001] 3 R.C.S. 823</w:t>
      </w:r>
      <w:r w:rsidR="00B0255A" w:rsidRPr="00DE12B0">
        <w:rPr>
          <w:lang w:val="fr-CA"/>
        </w:rPr>
        <w:t xml:space="preserve">; </w:t>
      </w:r>
      <w:r w:rsidR="00B0255A" w:rsidRPr="00DE12B0">
        <w:rPr>
          <w:i/>
          <w:lang w:val="fr-CA"/>
        </w:rPr>
        <w:t>R. c. Cloutier</w:t>
      </w:r>
      <w:r w:rsidR="004A0E89" w:rsidRPr="00DE12B0">
        <w:rPr>
          <w:lang w:val="fr-CA"/>
        </w:rPr>
        <w:t xml:space="preserve"> (1988), 43 C.C.C. (3d) 35</w:t>
      </w:r>
      <w:r w:rsidR="00B0255A" w:rsidRPr="00DE12B0">
        <w:rPr>
          <w:rStyle w:val="nowrap"/>
          <w:lang w:val="fr-CA"/>
        </w:rPr>
        <w:t>.</w:t>
      </w:r>
    </w:p>
    <w:p w:rsidR="004D7D95" w:rsidRPr="00DE12B0" w:rsidRDefault="004D7D95" w:rsidP="00073901">
      <w:pPr>
        <w:pStyle w:val="SCCNormalDoubleSpacing"/>
        <w:widowControl w:val="0"/>
        <w:spacing w:after="720" w:line="240" w:lineRule="auto"/>
        <w:rPr>
          <w:b/>
          <w:lang w:val="fr-CA"/>
        </w:rPr>
      </w:pPr>
      <w:r w:rsidRPr="00DE12B0">
        <w:rPr>
          <w:b/>
          <w:lang w:val="fr-CA"/>
        </w:rPr>
        <w:lastRenderedPageBreak/>
        <w:t>Lois et règlements cités</w:t>
      </w:r>
    </w:p>
    <w:p w:rsidR="004D7D95" w:rsidRPr="00DE12B0" w:rsidRDefault="00F91636" w:rsidP="00073901">
      <w:pPr>
        <w:pStyle w:val="SCCNormalDoubleSpacing"/>
        <w:widowControl w:val="0"/>
        <w:spacing w:after="240" w:line="240" w:lineRule="auto"/>
        <w:ind w:left="540" w:hanging="540"/>
        <w:rPr>
          <w:lang w:val="fr-CA"/>
        </w:rPr>
      </w:pPr>
      <w:r w:rsidRPr="00DE12B0">
        <w:rPr>
          <w:i/>
          <w:lang w:val="fr-CA"/>
        </w:rPr>
        <w:t>Code criminel</w:t>
      </w:r>
      <w:r w:rsidRPr="00DE12B0">
        <w:rPr>
          <w:lang w:val="fr-CA"/>
        </w:rPr>
        <w:t>, L.R</w:t>
      </w:r>
      <w:r w:rsidR="00EE5513">
        <w:rPr>
          <w:lang w:val="fr-CA"/>
        </w:rPr>
        <w:t>.C. 1985, c. </w:t>
      </w:r>
      <w:r w:rsidRPr="00DE12B0">
        <w:rPr>
          <w:lang w:val="fr-CA"/>
        </w:rPr>
        <w:t>C</w:t>
      </w:r>
      <w:r w:rsidR="00140575">
        <w:rPr>
          <w:lang w:val="fr-CA"/>
        </w:rPr>
        <w:t>-</w:t>
      </w:r>
      <w:r w:rsidRPr="00DE12B0">
        <w:rPr>
          <w:lang w:val="fr-CA"/>
        </w:rPr>
        <w:t xml:space="preserve">46, </w:t>
      </w:r>
      <w:r w:rsidR="00DE12B0">
        <w:rPr>
          <w:lang w:val="fr-CA"/>
        </w:rPr>
        <w:t>art. </w:t>
      </w:r>
      <w:r w:rsidR="006F5381" w:rsidRPr="00DE12B0">
        <w:rPr>
          <w:lang w:val="fr-CA"/>
        </w:rPr>
        <w:t>249, 270.01, 486.3, 5</w:t>
      </w:r>
      <w:r w:rsidR="00FE5695" w:rsidRPr="00DE12B0">
        <w:rPr>
          <w:lang w:val="fr-CA"/>
        </w:rPr>
        <w:t>91(3), 599(1), 669.2(1), 686(1)</w:t>
      </w:r>
      <w:r w:rsidR="006F5381" w:rsidRPr="00DE12B0">
        <w:rPr>
          <w:lang w:val="fr-CA"/>
        </w:rPr>
        <w:t>b)(iv), 785 « procédures », 788(1).</w:t>
      </w:r>
    </w:p>
    <w:p w:rsidR="00A735D6" w:rsidRPr="00DE12B0" w:rsidRDefault="00A735D6" w:rsidP="00073901">
      <w:pPr>
        <w:pStyle w:val="SCCNormalDoubleSpacing"/>
        <w:widowControl w:val="0"/>
        <w:spacing w:after="240" w:line="240" w:lineRule="auto"/>
        <w:ind w:left="540" w:hanging="540"/>
        <w:rPr>
          <w:lang w:val="fr-CA"/>
        </w:rPr>
      </w:pPr>
      <w:r w:rsidRPr="00DE12B0">
        <w:rPr>
          <w:i/>
          <w:lang w:val="fr-CA"/>
        </w:rPr>
        <w:t>Code de la route</w:t>
      </w:r>
      <w:r w:rsidRPr="00DE12B0">
        <w:rPr>
          <w:lang w:val="fr-CA"/>
        </w:rPr>
        <w:t>, L.R.O. 1990, c.</w:t>
      </w:r>
      <w:r w:rsidR="00EE5513">
        <w:rPr>
          <w:lang w:val="fr-CA"/>
        </w:rPr>
        <w:t> </w:t>
      </w:r>
      <w:r w:rsidRPr="00DE12B0">
        <w:rPr>
          <w:lang w:val="fr-CA"/>
        </w:rPr>
        <w:t xml:space="preserve">H.8, </w:t>
      </w:r>
      <w:r w:rsidR="00DE12B0">
        <w:rPr>
          <w:lang w:val="fr-CA"/>
        </w:rPr>
        <w:t>art. </w:t>
      </w:r>
      <w:r w:rsidR="006F5381" w:rsidRPr="00DE12B0">
        <w:rPr>
          <w:lang w:val="fr-CA"/>
        </w:rPr>
        <w:t>201, 216.</w:t>
      </w:r>
    </w:p>
    <w:p w:rsidR="00FB4086" w:rsidRPr="00DE12B0" w:rsidRDefault="00FB4086" w:rsidP="00073901">
      <w:pPr>
        <w:pStyle w:val="shorttitle"/>
        <w:widowControl w:val="0"/>
        <w:spacing w:after="240"/>
        <w:rPr>
          <w:rFonts w:ascii="Times New Roman" w:hAnsi="Times New Roman"/>
          <w:lang w:val="fr-FR"/>
        </w:rPr>
      </w:pPr>
      <w:r w:rsidRPr="00DE12B0">
        <w:rPr>
          <w:rFonts w:ascii="Times New Roman" w:hAnsi="Times New Roman"/>
          <w:i/>
          <w:lang w:val="fr-FR"/>
        </w:rPr>
        <w:t>Loi sur la preuve</w:t>
      </w:r>
      <w:r w:rsidR="00EE5513">
        <w:rPr>
          <w:rFonts w:ascii="Times New Roman" w:hAnsi="Times New Roman"/>
          <w:lang w:val="fr-FR"/>
        </w:rPr>
        <w:t>, L.R.O. 1990, c. </w:t>
      </w:r>
      <w:r w:rsidRPr="00DE12B0">
        <w:rPr>
          <w:rFonts w:ascii="Times New Roman" w:hAnsi="Times New Roman"/>
          <w:lang w:val="fr-FR"/>
        </w:rPr>
        <w:t>E.23</w:t>
      </w:r>
      <w:r w:rsidR="00386C7F" w:rsidRPr="00DE12B0">
        <w:rPr>
          <w:rFonts w:ascii="Times New Roman" w:hAnsi="Times New Roman"/>
          <w:lang w:val="fr-FR"/>
        </w:rPr>
        <w:t xml:space="preserve">, </w:t>
      </w:r>
      <w:r w:rsidR="00DE12B0">
        <w:rPr>
          <w:rFonts w:ascii="Times New Roman" w:hAnsi="Times New Roman"/>
          <w:lang w:val="fr-FR"/>
        </w:rPr>
        <w:t>art. </w:t>
      </w:r>
      <w:r w:rsidR="00386C7F" w:rsidRPr="00DE12B0">
        <w:rPr>
          <w:rFonts w:ascii="Times New Roman" w:hAnsi="Times New Roman"/>
          <w:lang w:val="fr-FR"/>
        </w:rPr>
        <w:t xml:space="preserve">12, </w:t>
      </w:r>
      <w:r w:rsidR="00AE42AA" w:rsidRPr="00DE12B0">
        <w:rPr>
          <w:rFonts w:ascii="Times New Roman" w:hAnsi="Times New Roman"/>
          <w:lang w:val="fr-FR"/>
        </w:rPr>
        <w:t xml:space="preserve">18.1, </w:t>
      </w:r>
      <w:r w:rsidR="00386C7F" w:rsidRPr="00DE12B0">
        <w:rPr>
          <w:rFonts w:ascii="Times New Roman" w:hAnsi="Times New Roman"/>
          <w:lang w:val="fr-FR"/>
        </w:rPr>
        <w:t>18.6, 23</w:t>
      </w:r>
      <w:r w:rsidR="00AE42AA" w:rsidRPr="00DE12B0">
        <w:rPr>
          <w:rFonts w:ascii="Times New Roman" w:hAnsi="Times New Roman"/>
          <w:lang w:val="fr-FR"/>
        </w:rPr>
        <w:t>, 33, 35(1)</w:t>
      </w:r>
      <w:r w:rsidR="00E51832" w:rsidRPr="00DE12B0">
        <w:rPr>
          <w:rFonts w:ascii="Times New Roman" w:hAnsi="Times New Roman"/>
          <w:lang w:val="fr-FR"/>
        </w:rPr>
        <w:t>.</w:t>
      </w:r>
    </w:p>
    <w:p w:rsidR="00326002" w:rsidRPr="00DE12B0" w:rsidRDefault="00326002" w:rsidP="00073901">
      <w:pPr>
        <w:pStyle w:val="SCCNormalDoubleSpacing"/>
        <w:widowControl w:val="0"/>
        <w:spacing w:after="240" w:line="240" w:lineRule="auto"/>
        <w:ind w:left="540" w:hanging="540"/>
        <w:rPr>
          <w:lang w:val="fr-CA"/>
        </w:rPr>
      </w:pPr>
      <w:r w:rsidRPr="00DE12B0">
        <w:rPr>
          <w:i/>
          <w:lang w:val="fr-CA"/>
        </w:rPr>
        <w:t>Loi sur la preuve au Canada</w:t>
      </w:r>
      <w:r w:rsidR="00EE5513">
        <w:rPr>
          <w:lang w:val="fr-CA"/>
        </w:rPr>
        <w:t>, L.R.C. 1985, c. </w:t>
      </w:r>
      <w:r w:rsidRPr="00DE12B0">
        <w:rPr>
          <w:lang w:val="fr-CA"/>
        </w:rPr>
        <w:t>C</w:t>
      </w:r>
      <w:r w:rsidR="00140575">
        <w:rPr>
          <w:lang w:val="fr-CA"/>
        </w:rPr>
        <w:t>-</w:t>
      </w:r>
      <w:r w:rsidRPr="00DE12B0">
        <w:rPr>
          <w:lang w:val="fr-CA"/>
        </w:rPr>
        <w:t>5</w:t>
      </w:r>
      <w:r w:rsidR="00386C7F" w:rsidRPr="00DE12B0">
        <w:rPr>
          <w:lang w:val="fr-CA"/>
        </w:rPr>
        <w:t xml:space="preserve">, </w:t>
      </w:r>
      <w:r w:rsidR="00DE12B0">
        <w:rPr>
          <w:lang w:val="fr-CA"/>
        </w:rPr>
        <w:t>art. </w:t>
      </w:r>
      <w:r w:rsidR="00386C7F" w:rsidRPr="00DE12B0">
        <w:rPr>
          <w:lang w:val="fr-CA"/>
        </w:rPr>
        <w:t>7, 9(2),</w:t>
      </w:r>
      <w:r w:rsidR="00FE5695" w:rsidRPr="00DE12B0">
        <w:rPr>
          <w:lang w:val="fr-CA"/>
        </w:rPr>
        <w:t xml:space="preserve"> 16.1, 29, </w:t>
      </w:r>
      <w:r w:rsidR="00AE42AA" w:rsidRPr="00DE12B0">
        <w:rPr>
          <w:lang w:val="fr-CA"/>
        </w:rPr>
        <w:t>30</w:t>
      </w:r>
      <w:r w:rsidR="00E51832" w:rsidRPr="00DE12B0">
        <w:rPr>
          <w:lang w:val="fr-CA"/>
        </w:rPr>
        <w:t>.</w:t>
      </w:r>
    </w:p>
    <w:p w:rsidR="00E03440" w:rsidRPr="00DE12B0" w:rsidRDefault="00E03440" w:rsidP="00073901">
      <w:pPr>
        <w:pStyle w:val="SCCNormalDoubleSpacing"/>
        <w:widowControl w:val="0"/>
        <w:spacing w:after="240" w:line="240" w:lineRule="auto"/>
        <w:ind w:left="540" w:hanging="540"/>
        <w:rPr>
          <w:lang w:val="fr-CA"/>
        </w:rPr>
      </w:pPr>
      <w:r w:rsidRPr="00DE12B0">
        <w:rPr>
          <w:i/>
          <w:lang w:val="fr-CA"/>
        </w:rPr>
        <w:t>Loi sur les infractions provinciales</w:t>
      </w:r>
      <w:r w:rsidR="00EE5513">
        <w:rPr>
          <w:lang w:val="fr-CA"/>
        </w:rPr>
        <w:t>, L.R.O. 1990, c. </w:t>
      </w:r>
      <w:r w:rsidRPr="00DE12B0">
        <w:rPr>
          <w:lang w:val="fr-CA"/>
        </w:rPr>
        <w:t xml:space="preserve">P.33, </w:t>
      </w:r>
      <w:r w:rsidR="00DE12B0">
        <w:rPr>
          <w:lang w:val="fr-CA"/>
        </w:rPr>
        <w:t>art. </w:t>
      </w:r>
      <w:r w:rsidR="00863BBA" w:rsidRPr="00DE12B0">
        <w:rPr>
          <w:lang w:val="fr-CA"/>
        </w:rPr>
        <w:t xml:space="preserve">1(1) « infraction », </w:t>
      </w:r>
      <w:r w:rsidRPr="00DE12B0">
        <w:rPr>
          <w:lang w:val="fr-CA"/>
        </w:rPr>
        <w:t xml:space="preserve">2(1), </w:t>
      </w:r>
      <w:r w:rsidR="009E41B8" w:rsidRPr="00DE12B0">
        <w:rPr>
          <w:lang w:val="fr-CA"/>
        </w:rPr>
        <w:t xml:space="preserve">23, </w:t>
      </w:r>
      <w:r w:rsidR="00AE42AA" w:rsidRPr="00DE12B0">
        <w:rPr>
          <w:lang w:val="fr-CA"/>
        </w:rPr>
        <w:t>29(4), 30(</w:t>
      </w:r>
      <w:r w:rsidR="009E41B8" w:rsidRPr="00DE12B0">
        <w:rPr>
          <w:lang w:val="fr-CA"/>
        </w:rPr>
        <w:t>2</w:t>
      </w:r>
      <w:r w:rsidR="00AE42AA" w:rsidRPr="00DE12B0">
        <w:rPr>
          <w:lang w:val="fr-CA"/>
        </w:rPr>
        <w:t xml:space="preserve">), </w:t>
      </w:r>
      <w:r w:rsidR="009E41B8" w:rsidRPr="00DE12B0">
        <w:rPr>
          <w:lang w:val="fr-CA"/>
        </w:rPr>
        <w:t xml:space="preserve">(3), </w:t>
      </w:r>
      <w:r w:rsidR="00863BBA" w:rsidRPr="00DE12B0">
        <w:rPr>
          <w:lang w:val="fr-CA"/>
        </w:rPr>
        <w:t xml:space="preserve">47(1), </w:t>
      </w:r>
      <w:r w:rsidR="004B4AC3" w:rsidRPr="00DE12B0">
        <w:rPr>
          <w:lang w:val="fr-CA"/>
        </w:rPr>
        <w:t>120(1)</w:t>
      </w:r>
      <w:r w:rsidRPr="00DE12B0">
        <w:rPr>
          <w:lang w:val="fr-CA"/>
        </w:rPr>
        <w:t>b)(iii).</w:t>
      </w:r>
    </w:p>
    <w:p w:rsidR="00FB4086" w:rsidRPr="00DE12B0" w:rsidRDefault="00FB4086" w:rsidP="00073901">
      <w:pPr>
        <w:pStyle w:val="shorttitle"/>
        <w:widowControl w:val="0"/>
        <w:spacing w:after="240"/>
        <w:rPr>
          <w:rFonts w:ascii="Times New Roman" w:hAnsi="Times New Roman"/>
          <w:lang w:val="fr-FR"/>
        </w:rPr>
      </w:pPr>
      <w:r w:rsidRPr="00DE12B0">
        <w:rPr>
          <w:rFonts w:ascii="Times New Roman" w:hAnsi="Times New Roman"/>
          <w:i/>
          <w:lang w:val="fr-FR"/>
        </w:rPr>
        <w:t>Loi sur les tribunaux judiciaires</w:t>
      </w:r>
      <w:r w:rsidR="00EE5513">
        <w:rPr>
          <w:rFonts w:ascii="Times New Roman" w:hAnsi="Times New Roman"/>
          <w:lang w:val="fr-FR"/>
        </w:rPr>
        <w:t>, L.R.O. 1990, c. </w:t>
      </w:r>
      <w:r w:rsidRPr="00DE12B0">
        <w:rPr>
          <w:rFonts w:ascii="Times New Roman" w:hAnsi="Times New Roman"/>
          <w:lang w:val="fr-FR"/>
        </w:rPr>
        <w:t>C.43.</w:t>
      </w:r>
    </w:p>
    <w:p w:rsidR="00FB4086" w:rsidRPr="00DE12B0" w:rsidRDefault="00FB4086" w:rsidP="00073901">
      <w:pPr>
        <w:pStyle w:val="SCCNormalDoubleSpacing"/>
        <w:widowControl w:val="0"/>
        <w:spacing w:after="240" w:line="240" w:lineRule="auto"/>
        <w:ind w:left="540" w:hanging="540"/>
      </w:pPr>
      <w:r w:rsidRPr="00DE12B0">
        <w:rPr>
          <w:i/>
        </w:rPr>
        <w:t>Rules of the Ontario Court (Provincial Division) in Provincial Offences Proceedings</w:t>
      </w:r>
      <w:r w:rsidR="00EE5513">
        <w:t>, R.R.O. 1990, Reg. 200, r. </w:t>
      </w:r>
      <w:r w:rsidRPr="00DE12B0">
        <w:t xml:space="preserve">32(5). </w:t>
      </w:r>
    </w:p>
    <w:p w:rsidR="00E1495A" w:rsidRPr="00DE12B0" w:rsidRDefault="00E1495A" w:rsidP="00073901">
      <w:pPr>
        <w:pStyle w:val="SCCNormalDoubleSpacing"/>
        <w:widowControl w:val="0"/>
        <w:spacing w:after="720" w:line="240" w:lineRule="auto"/>
        <w:ind w:left="539" w:hanging="539"/>
        <w:rPr>
          <w:lang w:val="en-US"/>
        </w:rPr>
      </w:pPr>
      <w:r w:rsidRPr="00DE12B0">
        <w:rPr>
          <w:i/>
        </w:rPr>
        <w:t>Summary Convictions Act</w:t>
      </w:r>
      <w:r w:rsidRPr="00DE12B0">
        <w:t>, R.S.O. 1970</w:t>
      </w:r>
      <w:r w:rsidR="00EE5513">
        <w:t>, c. </w:t>
      </w:r>
      <w:r w:rsidRPr="00DE12B0">
        <w:t xml:space="preserve">450, </w:t>
      </w:r>
      <w:r w:rsidR="00DE12B0">
        <w:t>art. </w:t>
      </w:r>
      <w:r w:rsidRPr="00DE12B0">
        <w:t>3.</w:t>
      </w:r>
    </w:p>
    <w:p w:rsidR="004D7D95" w:rsidRPr="00DE12B0" w:rsidRDefault="004D7D95" w:rsidP="00073901">
      <w:pPr>
        <w:pStyle w:val="SCCNormalDoubleSpacing"/>
        <w:widowControl w:val="0"/>
        <w:spacing w:after="720" w:line="240" w:lineRule="auto"/>
        <w:rPr>
          <w:b/>
          <w:lang w:val="en-US"/>
        </w:rPr>
      </w:pPr>
      <w:r w:rsidRPr="00DE12B0">
        <w:rPr>
          <w:b/>
          <w:lang w:val="en-US"/>
        </w:rPr>
        <w:t>Doctrine et autres documents cités</w:t>
      </w:r>
    </w:p>
    <w:p w:rsidR="003D5782" w:rsidRPr="00DE12B0" w:rsidRDefault="00EE5513" w:rsidP="00073901">
      <w:pPr>
        <w:pStyle w:val="SCCNormalDoubleSpacing"/>
        <w:widowControl w:val="0"/>
        <w:spacing w:after="240" w:line="240" w:lineRule="auto"/>
        <w:ind w:left="539" w:hanging="539"/>
      </w:pPr>
      <w:r>
        <w:t>Doherty, David </w:t>
      </w:r>
      <w:r w:rsidR="003D5782" w:rsidRPr="00DE12B0">
        <w:t>H. « Phillips</w:t>
      </w:r>
      <w:r w:rsidR="00DE12B0">
        <w:t> :</w:t>
      </w:r>
      <w:r w:rsidR="003D5782" w:rsidRPr="00DE12B0">
        <w:t xml:space="preserve"> An Unwarranted Return to the </w:t>
      </w:r>
      <w:r w:rsidR="00C03595">
        <w:rPr>
          <w:lang w:val="en-US"/>
        </w:rPr>
        <w:t>“</w:t>
      </w:r>
      <w:r w:rsidR="003D5782" w:rsidRPr="00DE12B0">
        <w:rPr>
          <w:lang w:val="en-US"/>
        </w:rPr>
        <w:t>Punctilio of an Earlier Age</w:t>
      </w:r>
      <w:r w:rsidR="00C03595">
        <w:rPr>
          <w:lang w:val="en-US"/>
        </w:rPr>
        <w:t>”</w:t>
      </w:r>
      <w:r w:rsidR="003D5782" w:rsidRPr="00DE12B0">
        <w:rPr>
          <w:lang w:val="en-US"/>
        </w:rPr>
        <w:t> »</w:t>
      </w:r>
      <w:r w:rsidR="003D5782" w:rsidRPr="00DE12B0">
        <w:t xml:space="preserve"> (1983), 35 C.R. (3d) 203.</w:t>
      </w:r>
    </w:p>
    <w:p w:rsidR="004D7D95" w:rsidRPr="00DE12B0" w:rsidRDefault="008259D3" w:rsidP="00073901">
      <w:pPr>
        <w:pStyle w:val="SCCNormalDoubleSpacing"/>
        <w:widowControl w:val="0"/>
        <w:spacing w:after="720" w:line="240" w:lineRule="auto"/>
        <w:ind w:left="539" w:hanging="539"/>
        <w:rPr>
          <w:lang w:val="en-US"/>
        </w:rPr>
      </w:pPr>
      <w:r w:rsidRPr="009A130A">
        <w:rPr>
          <w:lang w:val="fr-CA"/>
        </w:rPr>
        <w:t xml:space="preserve">Ontario. </w:t>
      </w:r>
      <w:r w:rsidR="00A17FAA" w:rsidRPr="009A130A">
        <w:rPr>
          <w:lang w:val="fr-CA"/>
        </w:rPr>
        <w:t xml:space="preserve">Ministère du </w:t>
      </w:r>
      <w:r w:rsidR="00852AF9" w:rsidRPr="009A130A">
        <w:rPr>
          <w:lang w:val="fr-CA"/>
        </w:rPr>
        <w:t>P</w:t>
      </w:r>
      <w:r w:rsidR="00A17FAA" w:rsidRPr="009A130A">
        <w:rPr>
          <w:lang w:val="fr-CA"/>
        </w:rPr>
        <w:t>rocureur génér</w:t>
      </w:r>
      <w:r w:rsidR="00DE12B0" w:rsidRPr="009A130A">
        <w:rPr>
          <w:lang w:val="fr-CA"/>
        </w:rPr>
        <w:t>al.</w:t>
      </w:r>
      <w:r w:rsidR="00EE5513" w:rsidRPr="009A130A">
        <w:rPr>
          <w:lang w:val="fr-CA"/>
        </w:rPr>
        <w:t xml:space="preserve"> </w:t>
      </w:r>
      <w:r w:rsidRPr="00DE12B0">
        <w:rPr>
          <w:i/>
        </w:rPr>
        <w:t>Provincial Offences Procedure</w:t>
      </w:r>
      <w:r w:rsidR="00DE12B0">
        <w:rPr>
          <w:i/>
        </w:rPr>
        <w:t> :</w:t>
      </w:r>
      <w:r w:rsidRPr="00DE12B0">
        <w:rPr>
          <w:i/>
        </w:rPr>
        <w:t xml:space="preserve"> An Analysis and Explanation of Legislative Proposal</w:t>
      </w:r>
      <w:r w:rsidR="006B22CD" w:rsidRPr="00DE12B0">
        <w:rPr>
          <w:i/>
        </w:rPr>
        <w:t>s</w:t>
      </w:r>
      <w:r w:rsidRPr="00DE12B0">
        <w:rPr>
          <w:i/>
        </w:rPr>
        <w:t xml:space="preserve"> — The Provincial Offences Act, 1978 and The Provincial Courts Amendment Act, 1978</w:t>
      </w:r>
      <w:r w:rsidRPr="00DE12B0">
        <w:t>, Toronto, 1978.</w:t>
      </w:r>
    </w:p>
    <w:p w:rsidR="00CD3920" w:rsidRPr="00DE12B0" w:rsidRDefault="00A1217C" w:rsidP="00073901">
      <w:pPr>
        <w:pStyle w:val="SCCNormalDoubleSpacing"/>
        <w:widowControl w:val="0"/>
        <w:spacing w:after="480"/>
        <w:rPr>
          <w:lang w:val="fr-CA"/>
        </w:rPr>
      </w:pPr>
      <w:r w:rsidRPr="00DE12B0">
        <w:rPr>
          <w:lang w:val="en-US"/>
        </w:rPr>
        <w:tab/>
      </w:r>
      <w:r w:rsidR="004D7D95" w:rsidRPr="00DE12B0">
        <w:rPr>
          <w:lang w:val="fr-CA"/>
        </w:rPr>
        <w:t>POURVOI contre un arrêt de la Cour d</w:t>
      </w:r>
      <w:r w:rsidR="00DE12B0">
        <w:rPr>
          <w:lang w:val="fr-CA"/>
        </w:rPr>
        <w:t>’</w:t>
      </w:r>
      <w:r w:rsidR="004D7D95" w:rsidRPr="00DE12B0">
        <w:rPr>
          <w:lang w:val="fr-CA"/>
        </w:rPr>
        <w:t>appel de l</w:t>
      </w:r>
      <w:r w:rsidR="00DE12B0">
        <w:rPr>
          <w:lang w:val="fr-CA"/>
        </w:rPr>
        <w:t>’</w:t>
      </w:r>
      <w:r w:rsidR="004D7D95" w:rsidRPr="00DE12B0">
        <w:rPr>
          <w:lang w:val="fr-CA"/>
        </w:rPr>
        <w:t>Ontario</w:t>
      </w:r>
      <w:r w:rsidRPr="00DE12B0">
        <w:rPr>
          <w:lang w:val="fr-CA"/>
        </w:rPr>
        <w:t xml:space="preserve"> (les juges MacPherson, Watt et Mille</w:t>
      </w:r>
      <w:r w:rsidR="00444DC4" w:rsidRPr="00DE12B0">
        <w:rPr>
          <w:lang w:val="fr-CA"/>
        </w:rPr>
        <w:t>r)</w:t>
      </w:r>
      <w:r w:rsidR="00292408" w:rsidRPr="00DE12B0">
        <w:rPr>
          <w:lang w:val="fr-CA"/>
        </w:rPr>
        <w:t xml:space="preserve">, 2016 ONCA 411, 131 O.R. (3d) 375, 336 C.C.C. (3d) 419, 350 O.A.C. 86, </w:t>
      </w:r>
      <w:r w:rsidR="00CD3920" w:rsidRPr="00DE12B0">
        <w:rPr>
          <w:lang w:val="fr-CA"/>
        </w:rPr>
        <w:t xml:space="preserve">[2016] O.J. </w:t>
      </w:r>
      <w:r w:rsidR="00DE12B0">
        <w:rPr>
          <w:lang w:val="fr-CA"/>
        </w:rPr>
        <w:t>No. </w:t>
      </w:r>
      <w:r w:rsidR="00CD3920" w:rsidRPr="00DE12B0">
        <w:rPr>
          <w:lang w:val="fr-CA"/>
        </w:rPr>
        <w:t>2789 (QL), 2016 Carswell</w:t>
      </w:r>
      <w:r w:rsidR="00685329" w:rsidRPr="00DE12B0">
        <w:rPr>
          <w:lang w:val="fr-CA"/>
        </w:rPr>
        <w:t>Ont</w:t>
      </w:r>
      <w:r w:rsidR="00CD3920" w:rsidRPr="00DE12B0">
        <w:rPr>
          <w:lang w:val="fr-CA"/>
        </w:rPr>
        <w:t xml:space="preserve"> 8328 (WL Can.),</w:t>
      </w:r>
      <w:r w:rsidR="00D7427F" w:rsidRPr="00DE12B0">
        <w:rPr>
          <w:lang w:val="fr-CA"/>
        </w:rPr>
        <w:t xml:space="preserve"> qui a </w:t>
      </w:r>
      <w:r w:rsidR="00444DC4" w:rsidRPr="00DE12B0">
        <w:rPr>
          <w:lang w:val="fr-CA"/>
        </w:rPr>
        <w:t xml:space="preserve">confirmé une </w:t>
      </w:r>
      <w:r w:rsidR="00E75B97" w:rsidRPr="00DE12B0">
        <w:rPr>
          <w:lang w:val="fr-CA"/>
        </w:rPr>
        <w:t>décision de la</w:t>
      </w:r>
      <w:r w:rsidR="00444DC4" w:rsidRPr="00DE12B0">
        <w:rPr>
          <w:lang w:val="fr-CA"/>
        </w:rPr>
        <w:t xml:space="preserve"> juge Morissette, 2015 ONSC 1885, [2015] O.J. </w:t>
      </w:r>
      <w:r w:rsidR="00DE12B0">
        <w:rPr>
          <w:lang w:val="fr-CA"/>
        </w:rPr>
        <w:t>No. </w:t>
      </w:r>
      <w:r w:rsidR="00444DC4" w:rsidRPr="00DE12B0">
        <w:rPr>
          <w:lang w:val="fr-CA"/>
        </w:rPr>
        <w:t>1427 (QL), 2015 CarswellOnt 3948 (WL Can.), qui avait confirmé les</w:t>
      </w:r>
      <w:r w:rsidR="006C31A6" w:rsidRPr="00DE12B0">
        <w:rPr>
          <w:lang w:val="fr-CA"/>
        </w:rPr>
        <w:t xml:space="preserve"> déclarations </w:t>
      </w:r>
      <w:r w:rsidR="006C31A6" w:rsidRPr="00DE12B0">
        <w:rPr>
          <w:lang w:val="fr-CA"/>
        </w:rPr>
        <w:lastRenderedPageBreak/>
        <w:t xml:space="preserve">de </w:t>
      </w:r>
      <w:r w:rsidR="001D0DEA" w:rsidRPr="00DE12B0">
        <w:rPr>
          <w:lang w:val="fr-CA"/>
        </w:rPr>
        <w:t>culpabilité</w:t>
      </w:r>
      <w:r w:rsidR="00444DC4" w:rsidRPr="00DE12B0">
        <w:rPr>
          <w:lang w:val="fr-CA"/>
        </w:rPr>
        <w:t xml:space="preserve"> de</w:t>
      </w:r>
      <w:r w:rsidR="00086880" w:rsidRPr="00DE12B0">
        <w:rPr>
          <w:lang w:val="fr-CA"/>
        </w:rPr>
        <w:t xml:space="preserve"> l</w:t>
      </w:r>
      <w:r w:rsidR="00DE12B0">
        <w:rPr>
          <w:lang w:val="fr-CA"/>
        </w:rPr>
        <w:t>’</w:t>
      </w:r>
      <w:r w:rsidR="00086880" w:rsidRPr="00DE12B0">
        <w:rPr>
          <w:lang w:val="fr-CA"/>
        </w:rPr>
        <w:t>accusé pour</w:t>
      </w:r>
      <w:r w:rsidR="00444DC4" w:rsidRPr="00DE12B0">
        <w:rPr>
          <w:lang w:val="fr-CA"/>
        </w:rPr>
        <w:t xml:space="preserve"> conduite dangereuse d</w:t>
      </w:r>
      <w:r w:rsidR="00DE12B0">
        <w:rPr>
          <w:lang w:val="fr-CA"/>
        </w:rPr>
        <w:t>’</w:t>
      </w:r>
      <w:r w:rsidR="00444DC4" w:rsidRPr="00DE12B0">
        <w:rPr>
          <w:lang w:val="fr-CA"/>
        </w:rPr>
        <w:t xml:space="preserve">un véhicule à moteur et </w:t>
      </w:r>
      <w:r w:rsidR="00086880" w:rsidRPr="00DE12B0">
        <w:rPr>
          <w:lang w:val="fr-CA"/>
        </w:rPr>
        <w:t>pour</w:t>
      </w:r>
      <w:r w:rsidR="00444DC4" w:rsidRPr="00DE12B0">
        <w:rPr>
          <w:lang w:val="fr-CA"/>
        </w:rPr>
        <w:t xml:space="preserve"> défaut de s</w:t>
      </w:r>
      <w:r w:rsidR="00DE12B0">
        <w:rPr>
          <w:lang w:val="fr-CA"/>
        </w:rPr>
        <w:t>’</w:t>
      </w:r>
      <w:r w:rsidR="00444DC4" w:rsidRPr="00DE12B0">
        <w:rPr>
          <w:lang w:val="fr-CA"/>
        </w:rPr>
        <w:t>arrêter à la demande d</w:t>
      </w:r>
      <w:r w:rsidR="00DE12B0">
        <w:rPr>
          <w:lang w:val="fr-CA"/>
        </w:rPr>
        <w:t>’</w:t>
      </w:r>
      <w:r w:rsidR="00086880" w:rsidRPr="00DE12B0">
        <w:rPr>
          <w:lang w:val="fr-CA"/>
        </w:rPr>
        <w:t>un agent de police</w:t>
      </w:r>
      <w:r w:rsidR="00444DC4" w:rsidRPr="00DE12B0">
        <w:rPr>
          <w:lang w:val="fr-CA"/>
        </w:rPr>
        <w:t>.</w:t>
      </w:r>
      <w:r w:rsidR="0076620F" w:rsidRPr="00DE12B0">
        <w:rPr>
          <w:lang w:val="fr-CA"/>
        </w:rPr>
        <w:t xml:space="preserve"> Pourvoi </w:t>
      </w:r>
      <w:r w:rsidR="003029D1" w:rsidRPr="00DE12B0">
        <w:rPr>
          <w:lang w:val="fr-CA"/>
        </w:rPr>
        <w:t>rejeté, la juge Côté est dissidente</w:t>
      </w:r>
      <w:r w:rsidR="0076620F" w:rsidRPr="00DE12B0">
        <w:rPr>
          <w:lang w:val="fr-CA"/>
        </w:rPr>
        <w:t>.</w:t>
      </w:r>
    </w:p>
    <w:p w:rsidR="00BF0732" w:rsidRPr="00DE12B0" w:rsidRDefault="009604C9" w:rsidP="00073901">
      <w:pPr>
        <w:pStyle w:val="SCCNormalDoubleSpacing"/>
        <w:widowControl w:val="0"/>
        <w:spacing w:after="480"/>
        <w:rPr>
          <w:lang w:val="fr-CA"/>
        </w:rPr>
      </w:pPr>
      <w:r w:rsidRPr="00DE12B0">
        <w:rPr>
          <w:rStyle w:val="SCCCounselNameChar"/>
          <w:lang w:val="fr-CA"/>
        </w:rPr>
        <w:tab/>
      </w:r>
      <w:r w:rsidR="008A7FE7" w:rsidRPr="00DE12B0">
        <w:rPr>
          <w:rStyle w:val="SCCCounselNameChar"/>
          <w:lang w:val="fr-CA"/>
        </w:rPr>
        <w:t>Owen Wigderson</w:t>
      </w:r>
      <w:r w:rsidR="008A7FE7" w:rsidRPr="00DE12B0">
        <w:rPr>
          <w:rStyle w:val="SCCCounselNameChar"/>
          <w:i w:val="0"/>
          <w:lang w:val="fr-CA"/>
        </w:rPr>
        <w:t xml:space="preserve">, </w:t>
      </w:r>
      <w:r w:rsidR="008A7FE7" w:rsidRPr="00DE12B0">
        <w:rPr>
          <w:rStyle w:val="SCCCounselNameChar"/>
          <w:lang w:val="fr-CA"/>
        </w:rPr>
        <w:t>Owen M. Rees</w:t>
      </w:r>
      <w:r w:rsidR="00FD4B27" w:rsidRPr="00DE12B0">
        <w:rPr>
          <w:rStyle w:val="SCCCounselSeparatorChar"/>
          <w:lang w:val="fr-CA"/>
        </w:rPr>
        <w:t xml:space="preserve"> </w:t>
      </w:r>
      <w:r w:rsidR="008A7FE7" w:rsidRPr="00DE12B0">
        <w:rPr>
          <w:rStyle w:val="SCCCounselSeparatorChar"/>
          <w:lang w:val="fr-CA"/>
        </w:rPr>
        <w:t xml:space="preserve">et </w:t>
      </w:r>
      <w:r w:rsidR="008A7FE7" w:rsidRPr="00DE12B0">
        <w:rPr>
          <w:rStyle w:val="SCCCounselNameChar"/>
          <w:lang w:val="fr-CA"/>
        </w:rPr>
        <w:t>Benjamin Grant</w:t>
      </w:r>
      <w:r w:rsidR="008A7FE7" w:rsidRPr="00DE12B0">
        <w:rPr>
          <w:rStyle w:val="SCCCounselSeparatorChar"/>
          <w:lang w:val="fr-CA"/>
        </w:rPr>
        <w:t>,</w:t>
      </w:r>
      <w:r w:rsidR="008A7FE7" w:rsidRPr="00DE12B0">
        <w:rPr>
          <w:rStyle w:val="SCCCounselPartyRoleChar"/>
          <w:lang w:val="fr-CA"/>
        </w:rPr>
        <w:t xml:space="preserve"> </w:t>
      </w:r>
      <w:r w:rsidRPr="00DE12B0">
        <w:rPr>
          <w:rStyle w:val="SCCCounselPartyRoleChar"/>
          <w:lang w:val="fr-CA"/>
        </w:rPr>
        <w:t>pour l</w:t>
      </w:r>
      <w:r w:rsidR="00DE12B0">
        <w:rPr>
          <w:rStyle w:val="SCCCounselPartyRoleChar"/>
          <w:lang w:val="fr-CA"/>
        </w:rPr>
        <w:t>’</w:t>
      </w:r>
      <w:r w:rsidRPr="00DE12B0">
        <w:rPr>
          <w:rStyle w:val="SCCCounselPartyRoleChar"/>
          <w:lang w:val="fr-CA"/>
        </w:rPr>
        <w:t>appelant.</w:t>
      </w:r>
    </w:p>
    <w:p w:rsidR="00BF0732" w:rsidRPr="00DE12B0" w:rsidRDefault="009604C9" w:rsidP="00073901">
      <w:pPr>
        <w:pStyle w:val="SCCNormalDoubleSpacing"/>
        <w:widowControl w:val="0"/>
        <w:spacing w:after="480"/>
        <w:rPr>
          <w:lang w:val="fr-CA"/>
        </w:rPr>
      </w:pPr>
      <w:r w:rsidRPr="00DE12B0">
        <w:rPr>
          <w:rStyle w:val="SCCCounselNameChar"/>
          <w:lang w:val="fr-CA"/>
        </w:rPr>
        <w:tab/>
        <w:t>Lorna Bolton</w:t>
      </w:r>
      <w:r w:rsidR="008A7FE7" w:rsidRPr="00DE12B0">
        <w:rPr>
          <w:rStyle w:val="SCCCounselPartyRoleChar"/>
          <w:lang w:val="fr-CA"/>
        </w:rPr>
        <w:t>, pour l</w:t>
      </w:r>
      <w:r w:rsidR="00DE12B0">
        <w:rPr>
          <w:rStyle w:val="SCCCounselPartyRoleChar"/>
          <w:lang w:val="fr-CA"/>
        </w:rPr>
        <w:t>’</w:t>
      </w:r>
      <w:r w:rsidR="008A7FE7" w:rsidRPr="00DE12B0">
        <w:rPr>
          <w:rStyle w:val="SCCCounselPartyRoleChar"/>
          <w:lang w:val="fr-CA"/>
        </w:rPr>
        <w:t>intimée</w:t>
      </w:r>
      <w:r w:rsidRPr="00DE12B0">
        <w:rPr>
          <w:rStyle w:val="SCCCounselPartyRoleChar"/>
          <w:lang w:val="fr-CA"/>
        </w:rPr>
        <w:t>.</w:t>
      </w:r>
    </w:p>
    <w:p w:rsidR="00BF0732" w:rsidRDefault="009604C9" w:rsidP="00073901">
      <w:pPr>
        <w:pStyle w:val="SCCNormalDoubleSpacing"/>
        <w:widowControl w:val="0"/>
        <w:rPr>
          <w:rStyle w:val="SCCCounselPartyRoleChar"/>
          <w:lang w:val="fr-CA"/>
        </w:rPr>
      </w:pPr>
      <w:r w:rsidRPr="00DE12B0">
        <w:rPr>
          <w:rStyle w:val="SCCCounselNameChar"/>
          <w:lang w:val="fr-CA"/>
        </w:rPr>
        <w:tab/>
        <w:t>John R.</w:t>
      </w:r>
      <w:r w:rsidR="00BB40AB" w:rsidRPr="00DE12B0">
        <w:rPr>
          <w:rStyle w:val="SCCCounselNameChar"/>
          <w:lang w:val="fr-CA"/>
        </w:rPr>
        <w:t xml:space="preserve"> </w:t>
      </w:r>
      <w:r w:rsidRPr="00DE12B0">
        <w:rPr>
          <w:rStyle w:val="SCCCounselNameChar"/>
          <w:lang w:val="fr-CA"/>
        </w:rPr>
        <w:t>W. Caldwell</w:t>
      </w:r>
      <w:r w:rsidR="008A7FE7" w:rsidRPr="00DE12B0">
        <w:rPr>
          <w:rStyle w:val="SCCCounselPartyRoleChar"/>
          <w:lang w:val="fr-CA"/>
        </w:rPr>
        <w:t>, pour l</w:t>
      </w:r>
      <w:r w:rsidR="00DE12B0">
        <w:rPr>
          <w:rStyle w:val="SCCCounselPartyRoleChar"/>
          <w:lang w:val="fr-CA"/>
        </w:rPr>
        <w:t>’</w:t>
      </w:r>
      <w:r w:rsidR="008A7FE7" w:rsidRPr="00DE12B0">
        <w:rPr>
          <w:rStyle w:val="SCCCounselPartyRoleChar"/>
          <w:lang w:val="fr-CA"/>
        </w:rPr>
        <w:t>intervenant</w:t>
      </w:r>
      <w:r w:rsidRPr="00DE12B0">
        <w:rPr>
          <w:rStyle w:val="SCCCounselPartyRoleChar"/>
          <w:lang w:val="fr-CA"/>
        </w:rPr>
        <w:t>.</w:t>
      </w:r>
    </w:p>
    <w:p w:rsidR="00C03595" w:rsidRPr="00DE12B0" w:rsidRDefault="00C03595" w:rsidP="00073901">
      <w:pPr>
        <w:pStyle w:val="SCCNormalDoubleSpacing"/>
        <w:widowControl w:val="0"/>
        <w:rPr>
          <w:lang w:val="fr-CA"/>
        </w:rPr>
      </w:pPr>
    </w:p>
    <w:p w:rsidR="00132FB1" w:rsidRDefault="00C03595" w:rsidP="00073901">
      <w:pPr>
        <w:pStyle w:val="SCCNormalDoubleSpacing"/>
        <w:widowControl w:val="0"/>
        <w:rPr>
          <w:lang w:val="fr-CA"/>
        </w:rPr>
      </w:pPr>
      <w:r>
        <w:rPr>
          <w:lang w:val="fr-CA"/>
        </w:rPr>
        <w:tab/>
      </w:r>
      <w:r w:rsidR="00132FB1" w:rsidRPr="005C1756">
        <w:rPr>
          <w:lang w:val="fr-CA"/>
        </w:rPr>
        <w:t xml:space="preserve">Version </w:t>
      </w:r>
      <w:r w:rsidR="00132FB1" w:rsidRPr="00C03595">
        <w:rPr>
          <w:rStyle w:val="SCCCounselPartyRoleChar"/>
          <w:lang w:val="fr-CA"/>
        </w:rPr>
        <w:t>française</w:t>
      </w:r>
      <w:r w:rsidR="00132FB1" w:rsidRPr="005C1756">
        <w:rPr>
          <w:lang w:val="fr-CA"/>
        </w:rPr>
        <w:t xml:space="preserve"> du jugement des juges Abella, </w:t>
      </w:r>
      <w:r w:rsidR="00132FB1">
        <w:rPr>
          <w:lang w:val="fr-CA"/>
        </w:rPr>
        <w:t xml:space="preserve">Moldaver, </w:t>
      </w:r>
      <w:r w:rsidR="00132FB1" w:rsidRPr="005C1756">
        <w:rPr>
          <w:lang w:val="fr-CA"/>
        </w:rPr>
        <w:t>Karakatsanis, Wagner, Gascon et Rowe rendu</w:t>
      </w:r>
      <w:r w:rsidR="00132FB1">
        <w:rPr>
          <w:lang w:val="fr-CA"/>
        </w:rPr>
        <w:t xml:space="preserve"> par</w:t>
      </w:r>
    </w:p>
    <w:p w:rsidR="00132FB1" w:rsidRPr="007B5EFE" w:rsidRDefault="009A49DE" w:rsidP="00073901">
      <w:pPr>
        <w:pStyle w:val="JudgeJuge"/>
        <w:widowControl w:val="0"/>
        <w:spacing w:before="480"/>
      </w:pPr>
      <w:r>
        <w:rPr>
          <w:lang w:val="fr-CA"/>
        </w:rPr>
        <w:tab/>
        <w:t>L</w:t>
      </w:r>
      <w:r w:rsidR="00132FB1" w:rsidRPr="007B5EFE">
        <w:rPr>
          <w:lang w:val="fr-CA"/>
        </w:rPr>
        <w:t>e juge </w:t>
      </w:r>
      <w:r w:rsidR="00132FB1" w:rsidRPr="007B5EFE">
        <w:t xml:space="preserve">Moldaver — </w:t>
      </w:r>
    </w:p>
    <w:p w:rsidR="00132FB1" w:rsidRPr="007B5EFE" w:rsidRDefault="00132FB1" w:rsidP="00073901">
      <w:pPr>
        <w:pStyle w:val="Title1LevelTitre1Niveau-AltL"/>
        <w:widowControl w:val="0"/>
        <w:rPr>
          <w:rFonts w:cs="Times New Roman"/>
        </w:rPr>
      </w:pPr>
      <w:r w:rsidRPr="007B5EFE">
        <w:rPr>
          <w:rFonts w:cs="Times New Roman"/>
        </w:rPr>
        <w:t>Aperçu</w:t>
      </w:r>
    </w:p>
    <w:p w:rsidR="00132FB1" w:rsidRPr="007B5EFE" w:rsidRDefault="00132FB1" w:rsidP="00073901">
      <w:pPr>
        <w:pStyle w:val="ParaNoNdepar-AltN"/>
        <w:widowControl w:val="0"/>
        <w:rPr>
          <w:rFonts w:cs="Times New Roman"/>
          <w:lang w:val="fr-CA"/>
        </w:rPr>
      </w:pPr>
      <w:r w:rsidRPr="007B5EFE">
        <w:rPr>
          <w:rFonts w:cs="Times New Roman"/>
          <w:lang w:val="fr-CA"/>
        </w:rPr>
        <w:t>Le présent pourvoi porte sur la compétence d</w:t>
      </w:r>
      <w:r>
        <w:rPr>
          <w:rFonts w:cs="Times New Roman"/>
          <w:lang w:val="fr-CA"/>
        </w:rPr>
        <w:t>’</w:t>
      </w:r>
      <w:r w:rsidRPr="007B5EFE">
        <w:rPr>
          <w:rFonts w:cs="Times New Roman"/>
          <w:lang w:val="fr-CA"/>
        </w:rPr>
        <w:t>un juge de la Cour de justice de l</w:t>
      </w:r>
      <w:r>
        <w:rPr>
          <w:rFonts w:cs="Times New Roman"/>
          <w:lang w:val="fr-CA"/>
        </w:rPr>
        <w:t>’</w:t>
      </w:r>
      <w:r w:rsidRPr="007B5EFE">
        <w:rPr>
          <w:rFonts w:cs="Times New Roman"/>
          <w:lang w:val="fr-CA"/>
        </w:rPr>
        <w:t>Ontario (« juge de la CJO ») pour juger dans une même instance des accusations relatives à la fois à des infractions provinciales et à des infractions criminelles punissables sur déclaration de culpabilité par procédure sommaire</w:t>
      </w:r>
      <w:r w:rsidRPr="0070577F">
        <w:rPr>
          <w:rStyle w:val="Hyperlink"/>
          <w:u w:val="none"/>
          <w:vertAlign w:val="superscript"/>
        </w:rPr>
        <w:footnoteReference w:id="1"/>
      </w:r>
      <w:r w:rsidRPr="007B5EFE">
        <w:rPr>
          <w:rFonts w:cs="Times New Roman"/>
          <w:lang w:val="fr-CA"/>
        </w:rPr>
        <w:t>. Ainsi que je l</w:t>
      </w:r>
      <w:r>
        <w:rPr>
          <w:rFonts w:cs="Times New Roman"/>
          <w:lang w:val="fr-CA"/>
        </w:rPr>
        <w:t>’</w:t>
      </w:r>
      <w:r w:rsidRPr="007B5EFE">
        <w:rPr>
          <w:rFonts w:cs="Times New Roman"/>
          <w:lang w:val="fr-CA"/>
        </w:rPr>
        <w:t>expliquerai plus loin, j</w:t>
      </w:r>
      <w:r>
        <w:rPr>
          <w:rFonts w:cs="Times New Roman"/>
          <w:lang w:val="fr-CA"/>
        </w:rPr>
        <w:t>’</w:t>
      </w:r>
      <w:r w:rsidRPr="007B5EFE">
        <w:rPr>
          <w:rFonts w:cs="Times New Roman"/>
          <w:lang w:val="fr-CA"/>
        </w:rPr>
        <w:t>estime qu</w:t>
      </w:r>
      <w:r>
        <w:rPr>
          <w:rFonts w:cs="Times New Roman"/>
          <w:lang w:val="fr-CA"/>
        </w:rPr>
        <w:t>’</w:t>
      </w:r>
      <w:r w:rsidRPr="007B5EFE">
        <w:rPr>
          <w:rFonts w:cs="Times New Roman"/>
          <w:lang w:val="fr-CA"/>
        </w:rPr>
        <w:t xml:space="preserve">il est à la fois permis et souhaitable de tenir un </w:t>
      </w:r>
      <w:r w:rsidRPr="007B5EFE">
        <w:rPr>
          <w:rFonts w:cs="Times New Roman"/>
          <w:lang w:val="fr-CA"/>
        </w:rPr>
        <w:lastRenderedPageBreak/>
        <w:t>procès conjoint lorsqu</w:t>
      </w:r>
      <w:r>
        <w:rPr>
          <w:rFonts w:cs="Times New Roman"/>
          <w:lang w:val="fr-CA"/>
        </w:rPr>
        <w:t>’</w:t>
      </w:r>
      <w:r w:rsidRPr="007B5EFE">
        <w:rPr>
          <w:rFonts w:cs="Times New Roman"/>
          <w:lang w:val="fr-CA"/>
        </w:rPr>
        <w:t>il existe un lien factuel suffisant entre les accusations relatives à des infractions provinciales et celles relatives à des infractions criminelles punissables sur déclaration de culpabilité par procédure sommaire et que les juger ensemble sert les intérêts de la justice.</w:t>
      </w:r>
    </w:p>
    <w:p w:rsidR="00132FB1" w:rsidRPr="007B5EFE" w:rsidRDefault="00132FB1" w:rsidP="00073901">
      <w:pPr>
        <w:pStyle w:val="ParaNoNdepar-AltN"/>
        <w:widowControl w:val="0"/>
        <w:rPr>
          <w:rFonts w:cs="Times New Roman"/>
        </w:rPr>
      </w:pPr>
      <w:r w:rsidRPr="007B5EFE">
        <w:rPr>
          <w:rFonts w:cs="Times New Roman"/>
          <w:lang w:val="fr-CA"/>
        </w:rPr>
        <w:t>L</w:t>
      </w:r>
      <w:r>
        <w:rPr>
          <w:rFonts w:cs="Times New Roman"/>
          <w:lang w:val="fr-CA"/>
        </w:rPr>
        <w:t>’</w:t>
      </w:r>
      <w:r w:rsidRPr="007B5EFE">
        <w:rPr>
          <w:rFonts w:cs="Times New Roman"/>
          <w:lang w:val="fr-CA"/>
        </w:rPr>
        <w:t>appelant, Joseph Sciascia, a été jugé par un juge de la CJO dans le cadre d</w:t>
      </w:r>
      <w:r>
        <w:rPr>
          <w:rFonts w:cs="Times New Roman"/>
          <w:lang w:val="fr-CA"/>
        </w:rPr>
        <w:t>’</w:t>
      </w:r>
      <w:r w:rsidRPr="007B5EFE">
        <w:rPr>
          <w:rFonts w:cs="Times New Roman"/>
          <w:lang w:val="fr-CA"/>
        </w:rPr>
        <w:t>une instance unique relativement aux quatre infractions suivantes</w:t>
      </w:r>
      <w:r>
        <w:rPr>
          <w:rFonts w:cs="Times New Roman"/>
          <w:lang w:val="fr-CA"/>
        </w:rPr>
        <w:t> : (1) </w:t>
      </w:r>
      <w:r w:rsidRPr="007B5EFE">
        <w:rPr>
          <w:rFonts w:cs="Times New Roman"/>
          <w:lang w:val="fr-CA"/>
        </w:rPr>
        <w:t>conduite dangereuse d</w:t>
      </w:r>
      <w:r>
        <w:rPr>
          <w:rFonts w:cs="Times New Roman"/>
          <w:lang w:val="fr-CA"/>
        </w:rPr>
        <w:t>’</w:t>
      </w:r>
      <w:r w:rsidRPr="007B5EFE">
        <w:rPr>
          <w:rFonts w:cs="Times New Roman"/>
          <w:lang w:val="fr-CA"/>
        </w:rPr>
        <w:t>un véhicule à moteur</w:t>
      </w:r>
      <w:r w:rsidR="00C03595">
        <w:rPr>
          <w:rFonts w:cs="Times New Roman"/>
          <w:lang w:val="fr-CA"/>
        </w:rPr>
        <w:t xml:space="preserve"> (</w:t>
      </w:r>
      <w:r w:rsidRPr="007B5EFE">
        <w:rPr>
          <w:rFonts w:cs="Times New Roman"/>
          <w:lang w:val="fr-CA"/>
        </w:rPr>
        <w:t>une infraction criminelle suivant l</w:t>
      </w:r>
      <w:r>
        <w:rPr>
          <w:rFonts w:cs="Times New Roman"/>
          <w:lang w:val="fr-CA"/>
        </w:rPr>
        <w:t>’art. </w:t>
      </w:r>
      <w:r w:rsidRPr="007B5EFE">
        <w:rPr>
          <w:rFonts w:cs="Times New Roman"/>
          <w:lang w:val="fr-CA"/>
        </w:rPr>
        <w:t xml:space="preserve">249 du </w:t>
      </w:r>
      <w:r w:rsidRPr="007B5EFE">
        <w:rPr>
          <w:rFonts w:cs="Times New Roman"/>
          <w:i/>
          <w:lang w:val="fr-CA"/>
        </w:rPr>
        <w:t>Code criminel</w:t>
      </w:r>
      <w:r w:rsidRPr="007B5EFE">
        <w:rPr>
          <w:rFonts w:cs="Times New Roman"/>
          <w:lang w:val="fr-CA"/>
        </w:rPr>
        <w:t>, L.R.C. 1985, c. C</w:t>
      </w:r>
      <w:r w:rsidR="00140575">
        <w:rPr>
          <w:rFonts w:cs="Times New Roman"/>
          <w:lang w:val="fr-CA"/>
        </w:rPr>
        <w:t>-</w:t>
      </w:r>
      <w:r w:rsidRPr="007B5EFE">
        <w:rPr>
          <w:rFonts w:cs="Times New Roman"/>
          <w:lang w:val="fr-CA"/>
        </w:rPr>
        <w:t xml:space="preserve">46); </w:t>
      </w:r>
      <w:r>
        <w:rPr>
          <w:rFonts w:cs="Times New Roman"/>
          <w:lang w:val="fr-CA"/>
        </w:rPr>
        <w:t>(2) </w:t>
      </w:r>
      <w:r w:rsidRPr="007B5EFE">
        <w:rPr>
          <w:rFonts w:cs="Times New Roman"/>
          <w:lang w:val="fr-CA"/>
        </w:rPr>
        <w:t>voies de fait armées contre un agent de la paix</w:t>
      </w:r>
      <w:r w:rsidR="00C03595">
        <w:rPr>
          <w:rFonts w:cs="Times New Roman"/>
          <w:lang w:val="fr-CA"/>
        </w:rPr>
        <w:t> (</w:t>
      </w:r>
      <w:r w:rsidRPr="007B5EFE">
        <w:rPr>
          <w:rFonts w:cs="Times New Roman"/>
          <w:lang w:val="fr-CA"/>
        </w:rPr>
        <w:t>une infraction criminelle visée à l</w:t>
      </w:r>
      <w:r>
        <w:rPr>
          <w:rFonts w:cs="Times New Roman"/>
          <w:lang w:val="fr-CA"/>
        </w:rPr>
        <w:t>’art. </w:t>
      </w:r>
      <w:r w:rsidRPr="007B5EFE">
        <w:rPr>
          <w:rFonts w:cs="Times New Roman"/>
          <w:lang w:val="fr-CA"/>
        </w:rPr>
        <w:t>270.01</w:t>
      </w:r>
      <w:r w:rsidR="00C03595">
        <w:rPr>
          <w:rFonts w:cs="Times New Roman"/>
          <w:lang w:val="fr-CA"/>
        </w:rPr>
        <w:t xml:space="preserve"> du </w:t>
      </w:r>
      <w:r w:rsidR="00C03595" w:rsidRPr="00C03595">
        <w:rPr>
          <w:rFonts w:cs="Times New Roman"/>
          <w:i/>
          <w:lang w:val="fr-CA"/>
        </w:rPr>
        <w:t>Code criminel</w:t>
      </w:r>
      <w:r w:rsidR="0070577F" w:rsidRPr="0070577F">
        <w:rPr>
          <w:rFonts w:cs="Times New Roman"/>
          <w:lang w:val="fr-CA"/>
        </w:rPr>
        <w:t>)</w:t>
      </w:r>
      <w:r w:rsidRPr="007B5EFE">
        <w:rPr>
          <w:rFonts w:cs="Times New Roman"/>
          <w:lang w:val="fr-CA"/>
        </w:rPr>
        <w:t>; (3)</w:t>
      </w:r>
      <w:r>
        <w:rPr>
          <w:rFonts w:cs="Times New Roman"/>
          <w:lang w:val="fr-CA"/>
        </w:rPr>
        <w:t> </w:t>
      </w:r>
      <w:r w:rsidRPr="007B5EFE">
        <w:rPr>
          <w:rFonts w:cs="Times New Roman"/>
          <w:lang w:val="fr-CA"/>
        </w:rPr>
        <w:t>omission d</w:t>
      </w:r>
      <w:r>
        <w:rPr>
          <w:rFonts w:cs="Times New Roman"/>
          <w:lang w:val="fr-CA"/>
        </w:rPr>
        <w:t>’</w:t>
      </w:r>
      <w:r w:rsidRPr="007B5EFE">
        <w:rPr>
          <w:rFonts w:cs="Times New Roman"/>
          <w:lang w:val="fr-CA"/>
        </w:rPr>
        <w:t>arrêter à la demande d</w:t>
      </w:r>
      <w:r>
        <w:rPr>
          <w:rFonts w:cs="Times New Roman"/>
          <w:lang w:val="fr-CA"/>
        </w:rPr>
        <w:t>’</w:t>
      </w:r>
      <w:r w:rsidRPr="007B5EFE">
        <w:rPr>
          <w:rFonts w:cs="Times New Roman"/>
          <w:lang w:val="fr-CA"/>
        </w:rPr>
        <w:t>un agent de police</w:t>
      </w:r>
      <w:r w:rsidR="00C03595">
        <w:rPr>
          <w:rFonts w:cs="Times New Roman"/>
          <w:lang w:val="fr-CA"/>
        </w:rPr>
        <w:t xml:space="preserve"> (</w:t>
      </w:r>
      <w:r w:rsidRPr="007B5EFE">
        <w:rPr>
          <w:rFonts w:cs="Times New Roman"/>
          <w:lang w:val="fr-CA"/>
        </w:rPr>
        <w:t>une infraction à la réglementation provinciale prévue à l</w:t>
      </w:r>
      <w:r>
        <w:rPr>
          <w:rFonts w:cs="Times New Roman"/>
          <w:lang w:val="fr-CA"/>
        </w:rPr>
        <w:t>’art. </w:t>
      </w:r>
      <w:r w:rsidRPr="007B5EFE">
        <w:rPr>
          <w:rFonts w:cs="Times New Roman"/>
          <w:lang w:val="fr-CA"/>
        </w:rPr>
        <w:t xml:space="preserve">216 du </w:t>
      </w:r>
      <w:r w:rsidRPr="007B5EFE">
        <w:rPr>
          <w:rFonts w:cs="Times New Roman"/>
          <w:i/>
          <w:lang w:val="fr-CA"/>
        </w:rPr>
        <w:t>Code de la route</w:t>
      </w:r>
      <w:r w:rsidRPr="007B5EFE">
        <w:rPr>
          <w:rFonts w:cs="Times New Roman"/>
          <w:lang w:val="fr-CA"/>
        </w:rPr>
        <w:t>, L.R.O. 1990, c. H.8</w:t>
      </w:r>
      <w:r w:rsidR="00C03595">
        <w:rPr>
          <w:rFonts w:cs="Times New Roman"/>
          <w:lang w:val="fr-CA"/>
        </w:rPr>
        <w:t>)</w:t>
      </w:r>
      <w:r w:rsidRPr="007B5EFE">
        <w:rPr>
          <w:rFonts w:cs="Times New Roman"/>
          <w:lang w:val="fr-CA"/>
        </w:rPr>
        <w:t>; et (4)</w:t>
      </w:r>
      <w:r>
        <w:rPr>
          <w:rFonts w:cs="Times New Roman"/>
          <w:lang w:val="fr-CA"/>
        </w:rPr>
        <w:t> </w:t>
      </w:r>
      <w:r w:rsidRPr="007B5EFE">
        <w:rPr>
          <w:rFonts w:cs="Times New Roman"/>
          <w:lang w:val="fr-CA"/>
        </w:rPr>
        <w:t>omission d</w:t>
      </w:r>
      <w:r>
        <w:rPr>
          <w:rFonts w:cs="Times New Roman"/>
          <w:lang w:val="fr-CA"/>
        </w:rPr>
        <w:t>’</w:t>
      </w:r>
      <w:r w:rsidRPr="007B5EFE">
        <w:rPr>
          <w:rFonts w:cs="Times New Roman"/>
          <w:lang w:val="fr-CA"/>
        </w:rPr>
        <w:t>avoir rapporté un dommage qu</w:t>
      </w:r>
      <w:r>
        <w:rPr>
          <w:rFonts w:cs="Times New Roman"/>
          <w:lang w:val="fr-CA"/>
        </w:rPr>
        <w:t>’</w:t>
      </w:r>
      <w:r w:rsidRPr="007B5EFE">
        <w:rPr>
          <w:rFonts w:cs="Times New Roman"/>
          <w:lang w:val="fr-CA"/>
        </w:rPr>
        <w:t xml:space="preserve">il a causé en conduisant un véhicule automobile </w:t>
      </w:r>
      <w:r w:rsidR="00C03595">
        <w:rPr>
          <w:rFonts w:cs="Times New Roman"/>
          <w:lang w:val="fr-CA"/>
        </w:rPr>
        <w:t>(</w:t>
      </w:r>
      <w:r w:rsidRPr="007B5EFE">
        <w:rPr>
          <w:rFonts w:cs="Times New Roman"/>
          <w:lang w:val="fr-CA"/>
        </w:rPr>
        <w:t>ce qui contrevient à l</w:t>
      </w:r>
      <w:r>
        <w:rPr>
          <w:rFonts w:cs="Times New Roman"/>
          <w:lang w:val="fr-CA"/>
        </w:rPr>
        <w:t>’art. </w:t>
      </w:r>
      <w:r w:rsidRPr="007B5EFE">
        <w:rPr>
          <w:rFonts w:cs="Times New Roman"/>
          <w:lang w:val="fr-CA"/>
        </w:rPr>
        <w:t xml:space="preserve">201 du </w:t>
      </w:r>
      <w:r w:rsidRPr="007B5EFE">
        <w:rPr>
          <w:rFonts w:cs="Times New Roman"/>
          <w:i/>
          <w:lang w:val="fr-CA"/>
        </w:rPr>
        <w:t>Code de la route</w:t>
      </w:r>
      <w:r w:rsidRPr="00C03595">
        <w:rPr>
          <w:rStyle w:val="Hyperlink"/>
          <w:u w:val="none"/>
          <w:vertAlign w:val="superscript"/>
        </w:rPr>
        <w:footnoteReference w:id="2"/>
      </w:r>
      <w:r w:rsidR="00C03595" w:rsidRPr="00C03595">
        <w:rPr>
          <w:rFonts w:cs="Times New Roman"/>
          <w:lang w:val="fr-CA"/>
        </w:rPr>
        <w:t>)</w:t>
      </w:r>
      <w:r w:rsidR="00C03595">
        <w:rPr>
          <w:rFonts w:cs="Times New Roman"/>
          <w:i/>
          <w:lang w:val="fr-CA"/>
        </w:rPr>
        <w:t>.</w:t>
      </w:r>
      <w:r w:rsidRPr="007B5EFE">
        <w:rPr>
          <w:rFonts w:cs="Times New Roman"/>
          <w:lang w:val="fr-CA"/>
        </w:rPr>
        <w:t xml:space="preserve"> Les accusations ont été portées à la suite d</w:t>
      </w:r>
      <w:r>
        <w:rPr>
          <w:rFonts w:cs="Times New Roman"/>
          <w:lang w:val="fr-CA"/>
        </w:rPr>
        <w:t>’</w:t>
      </w:r>
      <w:r w:rsidRPr="007B5EFE">
        <w:rPr>
          <w:rFonts w:cs="Times New Roman"/>
          <w:lang w:val="fr-CA"/>
        </w:rPr>
        <w:t>un épisode de conduite erratique survenu très tôt le matin du 17 mars 2012 et impliquant M. Sciascia. Au moment où les policiers tentaient de mettre un terme à plusieurs fêtes de la Saint</w:t>
      </w:r>
      <w:r w:rsidR="00140575">
        <w:rPr>
          <w:rFonts w:cs="Times New Roman"/>
          <w:lang w:val="fr-CA"/>
        </w:rPr>
        <w:t>-</w:t>
      </w:r>
      <w:r w:rsidRPr="007B5EFE">
        <w:rPr>
          <w:rFonts w:cs="Times New Roman"/>
          <w:lang w:val="fr-CA"/>
        </w:rPr>
        <w:t>Patrick dans une rue résidentielle de London, en Ontario, M. Sciascia y a conduit son véhicule. Un policier lui a fait signe de s</w:t>
      </w:r>
      <w:r>
        <w:rPr>
          <w:rFonts w:cs="Times New Roman"/>
          <w:lang w:val="fr-CA"/>
        </w:rPr>
        <w:t>’</w:t>
      </w:r>
      <w:r w:rsidRPr="007B5EFE">
        <w:rPr>
          <w:rFonts w:cs="Times New Roman"/>
          <w:lang w:val="fr-CA"/>
        </w:rPr>
        <w:t>arrêter en bordure de la route. Monsieur Sciascia a commencé à s</w:t>
      </w:r>
      <w:r>
        <w:rPr>
          <w:rFonts w:cs="Times New Roman"/>
          <w:lang w:val="fr-CA"/>
        </w:rPr>
        <w:t>’</w:t>
      </w:r>
      <w:r w:rsidRPr="007B5EFE">
        <w:rPr>
          <w:rFonts w:cs="Times New Roman"/>
          <w:lang w:val="fr-CA"/>
        </w:rPr>
        <w:t>exécuter, mais il a soudainement accéléré et, filant à toute vitesse dans la rue, il a failli frapper le policier. Quelques instants plus tard, M. Sciascia s</w:t>
      </w:r>
      <w:r>
        <w:rPr>
          <w:rFonts w:cs="Times New Roman"/>
          <w:lang w:val="fr-CA"/>
        </w:rPr>
        <w:t>’</w:t>
      </w:r>
      <w:r w:rsidRPr="007B5EFE">
        <w:rPr>
          <w:rFonts w:cs="Times New Roman"/>
          <w:lang w:val="fr-CA"/>
        </w:rPr>
        <w:t xml:space="preserve">est enfui à pied après avoir fait éclater un pneu du véhicule qui avait </w:t>
      </w:r>
      <w:r w:rsidRPr="007B5EFE">
        <w:rPr>
          <w:rFonts w:cs="Times New Roman"/>
          <w:lang w:val="fr-CA"/>
        </w:rPr>
        <w:lastRenderedPageBreak/>
        <w:t>heurté le trottoir. Deux passagers qui prenaient place dans le véhicule ont indiqué aux policiers que M. Sciascia était le conducteur du véhicule. Celui</w:t>
      </w:r>
      <w:r w:rsidR="00140575">
        <w:rPr>
          <w:rFonts w:cs="Times New Roman"/>
          <w:lang w:val="fr-CA"/>
        </w:rPr>
        <w:t>-</w:t>
      </w:r>
      <w:r w:rsidRPr="007B5EFE">
        <w:rPr>
          <w:rFonts w:cs="Times New Roman"/>
          <w:lang w:val="fr-CA"/>
        </w:rPr>
        <w:t>ci a été arrêté chez lui le lendemain</w:t>
      </w:r>
      <w:r w:rsidRPr="007B5EFE">
        <w:rPr>
          <w:rFonts w:cs="Times New Roman"/>
        </w:rPr>
        <w:t>.</w:t>
      </w:r>
    </w:p>
    <w:p w:rsidR="00132FB1" w:rsidRPr="007B5EFE" w:rsidRDefault="00132FB1" w:rsidP="00073901">
      <w:pPr>
        <w:pStyle w:val="ParaNoNdepar-AltN"/>
        <w:widowControl w:val="0"/>
        <w:rPr>
          <w:rFonts w:cs="Times New Roman"/>
          <w:lang w:val="fr-CA"/>
        </w:rPr>
      </w:pPr>
      <w:r w:rsidRPr="007B5EFE">
        <w:rPr>
          <w:rFonts w:cs="Times New Roman"/>
          <w:lang w:val="fr-CA"/>
        </w:rPr>
        <w:t>Le procès de M. Sciascia s</w:t>
      </w:r>
      <w:r>
        <w:rPr>
          <w:rFonts w:cs="Times New Roman"/>
          <w:lang w:val="fr-CA"/>
        </w:rPr>
        <w:t>’</w:t>
      </w:r>
      <w:r w:rsidRPr="007B5EFE">
        <w:rPr>
          <w:rFonts w:cs="Times New Roman"/>
          <w:lang w:val="fr-CA"/>
        </w:rPr>
        <w:t>est déroulé sur une</w:t>
      </w:r>
      <w:r w:rsidR="00C03595">
        <w:rPr>
          <w:rFonts w:cs="Times New Roman"/>
          <w:lang w:val="fr-CA"/>
        </w:rPr>
        <w:t xml:space="preserve"> période de deux jours, soit le</w:t>
      </w:r>
      <w:r w:rsidRPr="007B5EFE">
        <w:rPr>
          <w:rFonts w:cs="Times New Roman"/>
          <w:lang w:val="fr-CA"/>
        </w:rPr>
        <w:t xml:space="preserve"> 2 novembre 2012 et </w:t>
      </w:r>
      <w:r w:rsidR="00C03595">
        <w:rPr>
          <w:rFonts w:cs="Times New Roman"/>
          <w:lang w:val="fr-CA"/>
        </w:rPr>
        <w:t xml:space="preserve">le </w:t>
      </w:r>
      <w:r w:rsidRPr="007B5EFE">
        <w:rPr>
          <w:rFonts w:cs="Times New Roman"/>
          <w:lang w:val="fr-CA"/>
        </w:rPr>
        <w:t xml:space="preserve">5 avril 2013. Le ministère public a choisi de procéder par procédure sommaire relativement aux deux infractions criminelles. Au tout début, après avoir signalé au tribunal que M. Sciascia était visé par deux dénonciations ― la première concernant des infractions prévues au </w:t>
      </w:r>
      <w:r w:rsidR="00C03595">
        <w:rPr>
          <w:rFonts w:cs="Times New Roman"/>
          <w:i/>
          <w:lang w:val="fr-CA"/>
        </w:rPr>
        <w:t>Code criminel</w:t>
      </w:r>
      <w:r w:rsidRPr="007B5EFE">
        <w:rPr>
          <w:rFonts w:cs="Times New Roman"/>
          <w:lang w:val="fr-CA"/>
        </w:rPr>
        <w:t xml:space="preserve"> et l</w:t>
      </w:r>
      <w:r>
        <w:rPr>
          <w:rFonts w:cs="Times New Roman"/>
          <w:lang w:val="fr-CA"/>
        </w:rPr>
        <w:t>’</w:t>
      </w:r>
      <w:r w:rsidRPr="007B5EFE">
        <w:rPr>
          <w:rFonts w:cs="Times New Roman"/>
          <w:lang w:val="fr-CA"/>
        </w:rPr>
        <w:t xml:space="preserve">autre concernant des infractions visées par la partie III de la </w:t>
      </w:r>
      <w:r w:rsidRPr="007B5EFE">
        <w:rPr>
          <w:rFonts w:cs="Times New Roman"/>
          <w:i/>
          <w:lang w:val="fr-CA"/>
        </w:rPr>
        <w:t>Loi sur les infractions provinciales</w:t>
      </w:r>
      <w:r w:rsidRPr="007B5EFE">
        <w:rPr>
          <w:rFonts w:cs="Times New Roman"/>
          <w:lang w:val="fr-CA"/>
        </w:rPr>
        <w:t>, L.R.O. 1990, c. P.33</w:t>
      </w:r>
      <w:r w:rsidRPr="007B5EFE">
        <w:rPr>
          <w:rFonts w:cs="Times New Roman"/>
          <w:i/>
          <w:lang w:val="fr-CA"/>
        </w:rPr>
        <w:t xml:space="preserve"> </w:t>
      </w:r>
      <w:r w:rsidRPr="007B5EFE">
        <w:rPr>
          <w:rFonts w:cs="Times New Roman"/>
          <w:lang w:val="fr-CA"/>
        </w:rPr>
        <w:t>(« </w:t>
      </w:r>
      <w:r w:rsidRPr="007B5EFE">
        <w:rPr>
          <w:rFonts w:cs="Times New Roman"/>
          <w:i/>
          <w:lang w:val="fr-CA"/>
        </w:rPr>
        <w:t>LIP </w:t>
      </w:r>
      <w:r w:rsidRPr="007B5EFE">
        <w:rPr>
          <w:rFonts w:cs="Times New Roman"/>
          <w:lang w:val="fr-CA"/>
        </w:rPr>
        <w:t>») ―, dont les instructions avaient été fixées devant le même juge et au même moment, le ministère public a proposé que M. Sciascia inscrive des plaidoyers relativement aux deux dénonciations. Ce dernier a consenti à cette procédure et plaidé non coupable. Il n</w:t>
      </w:r>
      <w:r>
        <w:rPr>
          <w:rFonts w:cs="Times New Roman"/>
          <w:lang w:val="fr-CA"/>
        </w:rPr>
        <w:t>’</w:t>
      </w:r>
      <w:r w:rsidRPr="007B5EFE">
        <w:rPr>
          <w:rFonts w:cs="Times New Roman"/>
          <w:lang w:val="fr-CA"/>
        </w:rPr>
        <w:t>a pas mis en doute la compétence du juge de la CJO présidant l</w:t>
      </w:r>
      <w:r>
        <w:rPr>
          <w:rFonts w:cs="Times New Roman"/>
          <w:lang w:val="fr-CA"/>
        </w:rPr>
        <w:t>’</w:t>
      </w:r>
      <w:r w:rsidRPr="007B5EFE">
        <w:rPr>
          <w:rFonts w:cs="Times New Roman"/>
          <w:lang w:val="fr-CA"/>
        </w:rPr>
        <w:t xml:space="preserve">audience pour juger ensemble les infractions criminelles et provinciales, dans une même instance. Le </w:t>
      </w:r>
      <w:r>
        <w:rPr>
          <w:rFonts w:cs="Times New Roman"/>
          <w:lang w:val="fr-CA"/>
        </w:rPr>
        <w:t>7 </w:t>
      </w:r>
      <w:r w:rsidRPr="007B5EFE">
        <w:rPr>
          <w:rFonts w:cs="Times New Roman"/>
          <w:lang w:val="fr-CA"/>
        </w:rPr>
        <w:t>juin 2013, le juge du procès a déclaré M. Sciascia coupable des infractions de conduite dangereuse d</w:t>
      </w:r>
      <w:r>
        <w:rPr>
          <w:rFonts w:cs="Times New Roman"/>
          <w:lang w:val="fr-CA"/>
        </w:rPr>
        <w:t>’</w:t>
      </w:r>
      <w:r w:rsidRPr="007B5EFE">
        <w:rPr>
          <w:rFonts w:cs="Times New Roman"/>
          <w:lang w:val="fr-CA"/>
        </w:rPr>
        <w:t>un véhicule à moteur et d</w:t>
      </w:r>
      <w:r>
        <w:rPr>
          <w:rFonts w:cs="Times New Roman"/>
          <w:lang w:val="fr-CA"/>
        </w:rPr>
        <w:t>’</w:t>
      </w:r>
      <w:r w:rsidRPr="007B5EFE">
        <w:rPr>
          <w:rFonts w:cs="Times New Roman"/>
          <w:lang w:val="fr-CA"/>
        </w:rPr>
        <w:t>omission d</w:t>
      </w:r>
      <w:r>
        <w:rPr>
          <w:rFonts w:cs="Times New Roman"/>
          <w:lang w:val="fr-CA"/>
        </w:rPr>
        <w:t>’</w:t>
      </w:r>
      <w:r w:rsidRPr="007B5EFE">
        <w:rPr>
          <w:rFonts w:cs="Times New Roman"/>
          <w:lang w:val="fr-CA"/>
        </w:rPr>
        <w:t>arrêter à la demande d</w:t>
      </w:r>
      <w:r>
        <w:rPr>
          <w:rFonts w:cs="Times New Roman"/>
          <w:lang w:val="fr-CA"/>
        </w:rPr>
        <w:t>’</w:t>
      </w:r>
      <w:r w:rsidRPr="007B5EFE">
        <w:rPr>
          <w:rFonts w:cs="Times New Roman"/>
          <w:lang w:val="fr-CA"/>
        </w:rPr>
        <w:t>un policier</w:t>
      </w:r>
      <w:r>
        <w:rPr>
          <w:rFonts w:cs="Times New Roman"/>
          <w:lang w:val="fr-CA"/>
        </w:rPr>
        <w:t> :</w:t>
      </w:r>
      <w:r w:rsidRPr="007B5EFE">
        <w:rPr>
          <w:rFonts w:cs="Times New Roman"/>
          <w:lang w:val="fr-CA"/>
        </w:rPr>
        <w:t xml:space="preserve"> motifs de première instance, reproduits dans le d.a., </w:t>
      </w:r>
      <w:r>
        <w:rPr>
          <w:rFonts w:cs="Times New Roman"/>
          <w:lang w:val="fr-CA"/>
        </w:rPr>
        <w:t>p. </w:t>
      </w:r>
      <w:r w:rsidRPr="007B5EFE">
        <w:rPr>
          <w:rFonts w:cs="Times New Roman"/>
          <w:lang w:val="fr-CA"/>
        </w:rPr>
        <w:t>14</w:t>
      </w:r>
      <w:r w:rsidR="00140575">
        <w:rPr>
          <w:rFonts w:cs="Times New Roman"/>
          <w:lang w:val="fr-CA"/>
        </w:rPr>
        <w:t>-</w:t>
      </w:r>
      <w:r w:rsidRPr="007B5EFE">
        <w:rPr>
          <w:rFonts w:cs="Times New Roman"/>
          <w:lang w:val="fr-CA"/>
        </w:rPr>
        <w:t>22.</w:t>
      </w:r>
    </w:p>
    <w:p w:rsidR="00132FB1" w:rsidRPr="007B5EFE" w:rsidRDefault="00132FB1" w:rsidP="00073901">
      <w:pPr>
        <w:pStyle w:val="ParaNoNdepar-AltN"/>
        <w:widowControl w:val="0"/>
        <w:rPr>
          <w:rFonts w:cs="Times New Roman"/>
          <w:lang w:val="fr-CA"/>
        </w:rPr>
      </w:pPr>
      <w:r w:rsidRPr="007B5EFE">
        <w:rPr>
          <w:rFonts w:cs="Times New Roman"/>
          <w:lang w:val="fr-CA"/>
        </w:rPr>
        <w:t>Monsieur Sciascia a changé d</w:t>
      </w:r>
      <w:r>
        <w:rPr>
          <w:rFonts w:cs="Times New Roman"/>
          <w:lang w:val="fr-CA"/>
        </w:rPr>
        <w:t>’</w:t>
      </w:r>
      <w:r w:rsidRPr="007B5EFE">
        <w:rPr>
          <w:rFonts w:cs="Times New Roman"/>
          <w:lang w:val="fr-CA"/>
        </w:rPr>
        <w:t>avocat et a interjeté appel des déclarations de culpabilité. En appel, il a soutenu pour la première fois que le juge de la CJO n</w:t>
      </w:r>
      <w:r>
        <w:rPr>
          <w:rFonts w:cs="Times New Roman"/>
          <w:lang w:val="fr-CA"/>
        </w:rPr>
        <w:t>’</w:t>
      </w:r>
      <w:r w:rsidRPr="007B5EFE">
        <w:rPr>
          <w:rFonts w:cs="Times New Roman"/>
          <w:lang w:val="fr-CA"/>
        </w:rPr>
        <w:t xml:space="preserve">avait pas compétence pour juger à la fois les infractions criminelles et les infractions </w:t>
      </w:r>
      <w:r w:rsidRPr="007B5EFE">
        <w:rPr>
          <w:rFonts w:cs="Times New Roman"/>
          <w:lang w:val="fr-CA"/>
        </w:rPr>
        <w:lastRenderedPageBreak/>
        <w:t>provinciales dans le cadre d</w:t>
      </w:r>
      <w:r>
        <w:rPr>
          <w:rFonts w:cs="Times New Roman"/>
          <w:lang w:val="fr-CA"/>
        </w:rPr>
        <w:t>’</w:t>
      </w:r>
      <w:r w:rsidRPr="007B5EFE">
        <w:rPr>
          <w:rFonts w:cs="Times New Roman"/>
          <w:lang w:val="fr-CA"/>
        </w:rPr>
        <w:t>un procès conjoint et que, en conséquence, son procès était frappé de nullité. Appliquant le test de common law à deux volets relatif à la réunion d</w:t>
      </w:r>
      <w:r>
        <w:rPr>
          <w:rFonts w:cs="Times New Roman"/>
          <w:lang w:val="fr-CA"/>
        </w:rPr>
        <w:t>’</w:t>
      </w:r>
      <w:r w:rsidRPr="007B5EFE">
        <w:rPr>
          <w:rFonts w:cs="Times New Roman"/>
          <w:lang w:val="fr-CA"/>
        </w:rPr>
        <w:t>accusations énoncé par la Cour dans l</w:t>
      </w:r>
      <w:r>
        <w:rPr>
          <w:rFonts w:cs="Times New Roman"/>
          <w:lang w:val="fr-CA"/>
        </w:rPr>
        <w:t>’</w:t>
      </w:r>
      <w:r w:rsidRPr="007B5EFE">
        <w:rPr>
          <w:rFonts w:cs="Times New Roman"/>
          <w:lang w:val="fr-CA"/>
        </w:rPr>
        <w:t xml:space="preserve">arrêt </w:t>
      </w:r>
      <w:r w:rsidRPr="007B5EFE">
        <w:rPr>
          <w:rFonts w:cs="Times New Roman"/>
          <w:i/>
          <w:lang w:val="fr-CA"/>
        </w:rPr>
        <w:t>R. c.</w:t>
      </w:r>
      <w:r w:rsidRPr="007B5EFE">
        <w:rPr>
          <w:rFonts w:cs="Times New Roman"/>
          <w:lang w:val="fr-CA"/>
        </w:rPr>
        <w:t xml:space="preserve"> </w:t>
      </w:r>
      <w:r w:rsidRPr="007B5EFE">
        <w:rPr>
          <w:rFonts w:cs="Times New Roman"/>
          <w:i/>
          <w:lang w:val="fr-CA"/>
        </w:rPr>
        <w:t>Clunas</w:t>
      </w:r>
      <w:r w:rsidRPr="007B5EFE">
        <w:rPr>
          <w:rFonts w:cs="Times New Roman"/>
          <w:lang w:val="fr-CA"/>
        </w:rPr>
        <w:t xml:space="preserve">, [1992] 1 R.C.S. 595, </w:t>
      </w:r>
      <w:r>
        <w:rPr>
          <w:rFonts w:cs="Times New Roman"/>
          <w:lang w:val="fr-CA"/>
        </w:rPr>
        <w:t>p. </w:t>
      </w:r>
      <w:r w:rsidRPr="007B5EFE">
        <w:rPr>
          <w:rFonts w:cs="Times New Roman"/>
          <w:lang w:val="fr-CA"/>
        </w:rPr>
        <w:t>610, la juge d</w:t>
      </w:r>
      <w:r>
        <w:rPr>
          <w:rFonts w:cs="Times New Roman"/>
          <w:lang w:val="fr-CA"/>
        </w:rPr>
        <w:t>’</w:t>
      </w:r>
      <w:r w:rsidRPr="007B5EFE">
        <w:rPr>
          <w:rFonts w:cs="Times New Roman"/>
          <w:lang w:val="fr-CA"/>
        </w:rPr>
        <w:t>appel en matière de poursuites sommaires a rejeté l</w:t>
      </w:r>
      <w:r>
        <w:rPr>
          <w:rFonts w:cs="Times New Roman"/>
          <w:lang w:val="fr-CA"/>
        </w:rPr>
        <w:t>’</w:t>
      </w:r>
      <w:r w:rsidRPr="007B5EFE">
        <w:rPr>
          <w:rFonts w:cs="Times New Roman"/>
          <w:lang w:val="fr-CA"/>
        </w:rPr>
        <w:t>argument de M. Sciascia</w:t>
      </w:r>
      <w:r>
        <w:rPr>
          <w:rFonts w:cs="Times New Roman"/>
          <w:lang w:val="fr-CA"/>
        </w:rPr>
        <w:t> :</w:t>
      </w:r>
      <w:r w:rsidRPr="007B5EFE">
        <w:rPr>
          <w:rFonts w:cs="Times New Roman"/>
          <w:lang w:val="fr-CA"/>
        </w:rPr>
        <w:t xml:space="preserve"> 2015 ONSC 1885. Après avoir conclu à l</w:t>
      </w:r>
      <w:r>
        <w:rPr>
          <w:rFonts w:cs="Times New Roman"/>
          <w:lang w:val="fr-CA"/>
        </w:rPr>
        <w:t>’</w:t>
      </w:r>
      <w:r w:rsidRPr="007B5EFE">
        <w:rPr>
          <w:rFonts w:cs="Times New Roman"/>
          <w:lang w:val="fr-CA"/>
        </w:rPr>
        <w:t>existence d</w:t>
      </w:r>
      <w:r>
        <w:rPr>
          <w:rFonts w:cs="Times New Roman"/>
          <w:lang w:val="fr-CA"/>
        </w:rPr>
        <w:t>’</w:t>
      </w:r>
      <w:r w:rsidRPr="007B5EFE">
        <w:rPr>
          <w:rFonts w:cs="Times New Roman"/>
          <w:lang w:val="fr-CA"/>
        </w:rPr>
        <w:t>un lien factuel suffisant entre les infractions, elle a jugé, vu le consentement de M. Sciascia à la tenue d</w:t>
      </w:r>
      <w:r>
        <w:rPr>
          <w:rFonts w:cs="Times New Roman"/>
          <w:lang w:val="fr-CA"/>
        </w:rPr>
        <w:t>’</w:t>
      </w:r>
      <w:r w:rsidRPr="007B5EFE">
        <w:rPr>
          <w:rFonts w:cs="Times New Roman"/>
          <w:lang w:val="fr-CA"/>
        </w:rPr>
        <w:t>un procès conjoint et l</w:t>
      </w:r>
      <w:r>
        <w:rPr>
          <w:rFonts w:cs="Times New Roman"/>
          <w:lang w:val="fr-CA"/>
        </w:rPr>
        <w:t>’</w:t>
      </w:r>
      <w:r w:rsidRPr="007B5EFE">
        <w:rPr>
          <w:rFonts w:cs="Times New Roman"/>
          <w:lang w:val="fr-CA"/>
        </w:rPr>
        <w:t>absence de préjudice, que juger les infractions ensemble dans une même instance servait les intérêts de la justice</w:t>
      </w:r>
      <w:r>
        <w:rPr>
          <w:rFonts w:cs="Times New Roman"/>
          <w:lang w:val="fr-CA"/>
        </w:rPr>
        <w:t xml:space="preserve">. </w:t>
      </w:r>
    </w:p>
    <w:p w:rsidR="00132FB1" w:rsidRPr="007B5EFE" w:rsidRDefault="00132FB1" w:rsidP="00073901">
      <w:pPr>
        <w:pStyle w:val="ParaNoNdepar-AltN"/>
        <w:widowControl w:val="0"/>
        <w:rPr>
          <w:rFonts w:cs="Times New Roman"/>
          <w:lang w:val="fr-CA"/>
        </w:rPr>
      </w:pPr>
      <w:r w:rsidRPr="007B5EFE">
        <w:rPr>
          <w:rFonts w:cs="Times New Roman"/>
          <w:lang w:val="fr-CA"/>
        </w:rPr>
        <w:t>Monsieur Sciascia a obtenu l</w:t>
      </w:r>
      <w:r>
        <w:rPr>
          <w:rFonts w:cs="Times New Roman"/>
          <w:lang w:val="fr-CA"/>
        </w:rPr>
        <w:t>’</w:t>
      </w:r>
      <w:r w:rsidRPr="007B5EFE">
        <w:rPr>
          <w:rFonts w:cs="Times New Roman"/>
          <w:lang w:val="fr-CA"/>
        </w:rPr>
        <w:t>autorisation d</w:t>
      </w:r>
      <w:r>
        <w:rPr>
          <w:rFonts w:cs="Times New Roman"/>
          <w:lang w:val="fr-CA"/>
        </w:rPr>
        <w:t>’</w:t>
      </w:r>
      <w:r w:rsidRPr="007B5EFE">
        <w:rPr>
          <w:rFonts w:cs="Times New Roman"/>
          <w:lang w:val="fr-CA"/>
        </w:rPr>
        <w:t>interjeter appel des déclarations de culpabilité devant la Cour d</w:t>
      </w:r>
      <w:r>
        <w:rPr>
          <w:rFonts w:cs="Times New Roman"/>
          <w:lang w:val="fr-CA"/>
        </w:rPr>
        <w:t>’</w:t>
      </w:r>
      <w:r w:rsidRPr="007B5EFE">
        <w:rPr>
          <w:rFonts w:cs="Times New Roman"/>
          <w:lang w:val="fr-CA"/>
        </w:rPr>
        <w:t>appel de l</w:t>
      </w:r>
      <w:r>
        <w:rPr>
          <w:rFonts w:cs="Times New Roman"/>
          <w:lang w:val="fr-CA"/>
        </w:rPr>
        <w:t>’</w:t>
      </w:r>
      <w:r w:rsidRPr="007B5EFE">
        <w:rPr>
          <w:rFonts w:cs="Times New Roman"/>
          <w:lang w:val="fr-CA"/>
        </w:rPr>
        <w:t>Ontario en invoquant l</w:t>
      </w:r>
      <w:r>
        <w:rPr>
          <w:rFonts w:cs="Times New Roman"/>
          <w:lang w:val="fr-CA"/>
        </w:rPr>
        <w:t>’</w:t>
      </w:r>
      <w:r w:rsidRPr="007B5EFE">
        <w:rPr>
          <w:rFonts w:cs="Times New Roman"/>
          <w:lang w:val="fr-CA"/>
        </w:rPr>
        <w:t>absence de compétence du juge de la CJO pour statuer sur les accusations de natures criminelle et provinciale dans le cadre d</w:t>
      </w:r>
      <w:r>
        <w:rPr>
          <w:rFonts w:cs="Times New Roman"/>
          <w:lang w:val="fr-CA"/>
        </w:rPr>
        <w:t>’</w:t>
      </w:r>
      <w:r w:rsidRPr="007B5EFE">
        <w:rPr>
          <w:rFonts w:cs="Times New Roman"/>
          <w:lang w:val="fr-CA"/>
        </w:rPr>
        <w:t>un procès conjoint. S</w:t>
      </w:r>
      <w:r>
        <w:rPr>
          <w:rFonts w:cs="Times New Roman"/>
          <w:lang w:val="fr-CA"/>
        </w:rPr>
        <w:t>’</w:t>
      </w:r>
      <w:r w:rsidRPr="007B5EFE">
        <w:rPr>
          <w:rFonts w:cs="Times New Roman"/>
          <w:lang w:val="fr-CA"/>
        </w:rPr>
        <w:t xml:space="preserve">exprimant au nom de la cour unanime, le juge Watt a rejeté </w:t>
      </w:r>
      <w:r w:rsidR="00D03767">
        <w:rPr>
          <w:rFonts w:cs="Times New Roman"/>
          <w:lang w:val="fr-CA"/>
        </w:rPr>
        <w:t xml:space="preserve">les </w:t>
      </w:r>
      <w:r w:rsidRPr="007B5EFE">
        <w:rPr>
          <w:rFonts w:cs="Times New Roman"/>
          <w:lang w:val="fr-CA"/>
        </w:rPr>
        <w:t>appel</w:t>
      </w:r>
      <w:r w:rsidR="00D03767">
        <w:rPr>
          <w:rFonts w:cs="Times New Roman"/>
          <w:lang w:val="fr-CA"/>
        </w:rPr>
        <w:t>s</w:t>
      </w:r>
      <w:r>
        <w:rPr>
          <w:rFonts w:cs="Times New Roman"/>
          <w:lang w:val="fr-CA"/>
        </w:rPr>
        <w:t> :</w:t>
      </w:r>
      <w:r w:rsidRPr="007B5EFE">
        <w:rPr>
          <w:rFonts w:cs="Times New Roman"/>
          <w:lang w:val="fr-CA"/>
        </w:rPr>
        <w:t xml:space="preserve"> 2016 ONCA 411, 131 O.R. (3d) 375. Il ne s</w:t>
      </w:r>
      <w:r>
        <w:rPr>
          <w:rFonts w:cs="Times New Roman"/>
          <w:lang w:val="fr-CA"/>
        </w:rPr>
        <w:t>’</w:t>
      </w:r>
      <w:r w:rsidRPr="007B5EFE">
        <w:rPr>
          <w:rFonts w:cs="Times New Roman"/>
          <w:lang w:val="fr-CA"/>
        </w:rPr>
        <w:t>est cependant pas rallié à l</w:t>
      </w:r>
      <w:r>
        <w:rPr>
          <w:rFonts w:cs="Times New Roman"/>
          <w:lang w:val="fr-CA"/>
        </w:rPr>
        <w:t>’</w:t>
      </w:r>
      <w:r w:rsidRPr="007B5EFE">
        <w:rPr>
          <w:rFonts w:cs="Times New Roman"/>
          <w:lang w:val="fr-CA"/>
        </w:rPr>
        <w:t>opinion de la juge d</w:t>
      </w:r>
      <w:r>
        <w:rPr>
          <w:rFonts w:cs="Times New Roman"/>
          <w:lang w:val="fr-CA"/>
        </w:rPr>
        <w:t>’</w:t>
      </w:r>
      <w:r w:rsidRPr="007B5EFE">
        <w:rPr>
          <w:rFonts w:cs="Times New Roman"/>
          <w:lang w:val="fr-CA"/>
        </w:rPr>
        <w:t>appel en matière de poursuites sommaires et a conclu que le juge de la CJO n</w:t>
      </w:r>
      <w:r>
        <w:rPr>
          <w:rFonts w:cs="Times New Roman"/>
          <w:lang w:val="fr-CA"/>
        </w:rPr>
        <w:t>’</w:t>
      </w:r>
      <w:r w:rsidRPr="007B5EFE">
        <w:rPr>
          <w:rFonts w:cs="Times New Roman"/>
          <w:lang w:val="fr-CA"/>
        </w:rPr>
        <w:t>avait pas compétence pour tenir un procès conjoint dans le présent contexte. Plus particulièrement, il a conclu qu</w:t>
      </w:r>
      <w:r>
        <w:rPr>
          <w:rFonts w:cs="Times New Roman"/>
          <w:lang w:val="fr-CA"/>
        </w:rPr>
        <w:t>’</w:t>
      </w:r>
      <w:r w:rsidRPr="007B5EFE">
        <w:rPr>
          <w:rFonts w:cs="Times New Roman"/>
          <w:lang w:val="fr-CA"/>
        </w:rPr>
        <w:t>il n</w:t>
      </w:r>
      <w:r>
        <w:rPr>
          <w:rFonts w:cs="Times New Roman"/>
          <w:lang w:val="fr-CA"/>
        </w:rPr>
        <w:t>’</w:t>
      </w:r>
      <w:r w:rsidRPr="007B5EFE">
        <w:rPr>
          <w:rFonts w:cs="Times New Roman"/>
          <w:lang w:val="fr-CA"/>
        </w:rPr>
        <w:t xml:space="preserve">avait pas été satisfait au test énoncé dans </w:t>
      </w:r>
      <w:r w:rsidRPr="007B5EFE">
        <w:rPr>
          <w:rFonts w:cs="Times New Roman"/>
          <w:i/>
          <w:lang w:val="fr-CA"/>
        </w:rPr>
        <w:t xml:space="preserve">Clunas </w:t>
      </w:r>
      <w:r w:rsidR="001F6D93">
        <w:rPr>
          <w:rFonts w:cs="Times New Roman"/>
          <w:lang w:val="fr-CA"/>
        </w:rPr>
        <w:t>parce que les infractions</w:t>
      </w:r>
      <w:r w:rsidRPr="007B5EFE">
        <w:rPr>
          <w:rFonts w:cs="Times New Roman"/>
          <w:lang w:val="fr-CA"/>
        </w:rPr>
        <w:t xml:space="preserve"> criminelles et provinciales n</w:t>
      </w:r>
      <w:r>
        <w:rPr>
          <w:rFonts w:cs="Times New Roman"/>
          <w:lang w:val="fr-CA"/>
        </w:rPr>
        <w:t>’</w:t>
      </w:r>
      <w:r w:rsidRPr="007B5EFE">
        <w:rPr>
          <w:rFonts w:cs="Times New Roman"/>
          <w:lang w:val="fr-CA"/>
        </w:rPr>
        <w:t>auraient pas pu être réunies dans le même document d</w:t>
      </w:r>
      <w:r>
        <w:rPr>
          <w:rFonts w:cs="Times New Roman"/>
          <w:lang w:val="fr-CA"/>
        </w:rPr>
        <w:t>’</w:t>
      </w:r>
      <w:r w:rsidRPr="007B5EFE">
        <w:rPr>
          <w:rFonts w:cs="Times New Roman"/>
          <w:lang w:val="fr-CA"/>
        </w:rPr>
        <w:t>inculpation. Citant l</w:t>
      </w:r>
      <w:r>
        <w:rPr>
          <w:rFonts w:cs="Times New Roman"/>
          <w:lang w:val="fr-CA"/>
        </w:rPr>
        <w:t>’</w:t>
      </w:r>
      <w:r w:rsidRPr="007B5EFE">
        <w:rPr>
          <w:rFonts w:cs="Times New Roman"/>
          <w:lang w:val="fr-CA"/>
        </w:rPr>
        <w:t xml:space="preserve">arrêt </w:t>
      </w:r>
      <w:r w:rsidRPr="007B5EFE">
        <w:rPr>
          <w:rFonts w:cs="Times New Roman"/>
          <w:i/>
          <w:lang w:val="fr-CA"/>
        </w:rPr>
        <w:t>R. c. S.J.L.</w:t>
      </w:r>
      <w:r w:rsidRPr="007B5EFE">
        <w:rPr>
          <w:rFonts w:cs="Times New Roman"/>
          <w:lang w:val="fr-CA"/>
        </w:rPr>
        <w:t>, 2009 CSC 14, [2009] 1 R.C.S. 426, il a ajouté que permettre la tenue d</w:t>
      </w:r>
      <w:r>
        <w:rPr>
          <w:rFonts w:cs="Times New Roman"/>
          <w:lang w:val="fr-CA"/>
        </w:rPr>
        <w:t>’</w:t>
      </w:r>
      <w:r w:rsidRPr="007B5EFE">
        <w:rPr>
          <w:rFonts w:cs="Times New Roman"/>
          <w:lang w:val="fr-CA"/>
        </w:rPr>
        <w:t>un procès conjoint serait contraire à la volonté de l</w:t>
      </w:r>
      <w:r w:rsidR="00E749E2">
        <w:rPr>
          <w:rFonts w:cs="Times New Roman"/>
          <w:lang w:val="fr-CA"/>
        </w:rPr>
        <w:t xml:space="preserve">a législature </w:t>
      </w:r>
      <w:r w:rsidRPr="007B5EFE">
        <w:rPr>
          <w:rFonts w:cs="Times New Roman"/>
          <w:lang w:val="fr-CA"/>
        </w:rPr>
        <w:t>de l</w:t>
      </w:r>
      <w:r>
        <w:rPr>
          <w:rFonts w:cs="Times New Roman"/>
          <w:lang w:val="fr-CA"/>
        </w:rPr>
        <w:t>’</w:t>
      </w:r>
      <w:r w:rsidRPr="007B5EFE">
        <w:rPr>
          <w:rFonts w:cs="Times New Roman"/>
          <w:lang w:val="fr-CA"/>
        </w:rPr>
        <w:t>Ontario (« Législature ») d</w:t>
      </w:r>
      <w:r>
        <w:rPr>
          <w:rFonts w:cs="Times New Roman"/>
          <w:lang w:val="fr-CA"/>
        </w:rPr>
        <w:t>’</w:t>
      </w:r>
      <w:r w:rsidRPr="007B5EFE">
        <w:rPr>
          <w:rFonts w:cs="Times New Roman"/>
          <w:lang w:val="fr-CA"/>
        </w:rPr>
        <w:t xml:space="preserve">instaurer, sous le régime de la </w:t>
      </w:r>
      <w:r w:rsidRPr="007B5EFE">
        <w:rPr>
          <w:rFonts w:cs="Times New Roman"/>
          <w:i/>
          <w:lang w:val="fr-CA"/>
        </w:rPr>
        <w:t>LIP</w:t>
      </w:r>
      <w:r w:rsidRPr="007B5EFE">
        <w:rPr>
          <w:rFonts w:cs="Times New Roman"/>
          <w:lang w:val="fr-CA"/>
        </w:rPr>
        <w:t>, un système de justice distinct. Il a néanmoins rejeté les appels, retenant l</w:t>
      </w:r>
      <w:r>
        <w:rPr>
          <w:rFonts w:cs="Times New Roman"/>
          <w:lang w:val="fr-CA"/>
        </w:rPr>
        <w:t>’</w:t>
      </w:r>
      <w:r w:rsidRPr="007B5EFE">
        <w:rPr>
          <w:rFonts w:cs="Times New Roman"/>
          <w:lang w:val="fr-CA"/>
        </w:rPr>
        <w:t xml:space="preserve">argument subsidiaire du ministère public selon </w:t>
      </w:r>
      <w:r w:rsidRPr="007B5EFE">
        <w:rPr>
          <w:rFonts w:cs="Times New Roman"/>
          <w:lang w:val="fr-CA"/>
        </w:rPr>
        <w:lastRenderedPageBreak/>
        <w:t xml:space="preserve">lequel une telle erreur peut être </w:t>
      </w:r>
      <w:r>
        <w:rPr>
          <w:rFonts w:cs="Times New Roman"/>
          <w:lang w:val="fr-CA"/>
        </w:rPr>
        <w:t>remédi</w:t>
      </w:r>
      <w:r w:rsidRPr="007B5EFE">
        <w:rPr>
          <w:rFonts w:cs="Times New Roman"/>
          <w:lang w:val="fr-CA"/>
        </w:rPr>
        <w:t>ée en appliquant l</w:t>
      </w:r>
      <w:r>
        <w:rPr>
          <w:rFonts w:cs="Times New Roman"/>
          <w:lang w:val="fr-CA"/>
        </w:rPr>
        <w:t>’</w:t>
      </w:r>
      <w:r w:rsidRPr="007B5EFE">
        <w:rPr>
          <w:rFonts w:cs="Times New Roman"/>
          <w:lang w:val="fr-CA"/>
        </w:rPr>
        <w:t>exception d</w:t>
      </w:r>
      <w:r>
        <w:rPr>
          <w:rFonts w:cs="Times New Roman"/>
          <w:lang w:val="fr-CA"/>
        </w:rPr>
        <w:t>’</w:t>
      </w:r>
      <w:r w:rsidRPr="007B5EFE">
        <w:rPr>
          <w:rFonts w:cs="Times New Roman"/>
          <w:lang w:val="fr-CA"/>
        </w:rPr>
        <w:t>ordre procédural prévue au sous</w:t>
      </w:r>
      <w:r w:rsidR="00140575">
        <w:rPr>
          <w:rFonts w:cs="Times New Roman"/>
          <w:lang w:val="fr-CA"/>
        </w:rPr>
        <w:t>-</w:t>
      </w:r>
      <w:r>
        <w:rPr>
          <w:rFonts w:cs="Times New Roman"/>
          <w:lang w:val="fr-CA"/>
        </w:rPr>
        <w:t>al. </w:t>
      </w:r>
      <w:r w:rsidRPr="007B5EFE">
        <w:rPr>
          <w:rFonts w:cs="Times New Roman"/>
          <w:lang w:val="fr-CA"/>
        </w:rPr>
        <w:t xml:space="preserve">686(1)b)(iv) du </w:t>
      </w:r>
      <w:r w:rsidR="001F6D93">
        <w:rPr>
          <w:rFonts w:cs="Times New Roman"/>
          <w:i/>
          <w:lang w:val="fr-CA"/>
        </w:rPr>
        <w:t>Code criminel</w:t>
      </w:r>
      <w:r w:rsidRPr="007B5EFE">
        <w:rPr>
          <w:rFonts w:cs="Times New Roman"/>
          <w:lang w:val="fr-CA"/>
        </w:rPr>
        <w:t xml:space="preserve"> ainsi que l</w:t>
      </w:r>
      <w:r>
        <w:rPr>
          <w:rFonts w:cs="Times New Roman"/>
          <w:lang w:val="fr-CA"/>
        </w:rPr>
        <w:t>’</w:t>
      </w:r>
      <w:r w:rsidRPr="007B5EFE">
        <w:rPr>
          <w:rFonts w:cs="Times New Roman"/>
          <w:lang w:val="fr-CA"/>
        </w:rPr>
        <w:t>exception prévue au sous</w:t>
      </w:r>
      <w:r w:rsidR="00140575">
        <w:rPr>
          <w:rFonts w:cs="Times New Roman"/>
          <w:lang w:val="fr-CA"/>
        </w:rPr>
        <w:t>-</w:t>
      </w:r>
      <w:r>
        <w:rPr>
          <w:rFonts w:cs="Times New Roman"/>
          <w:lang w:val="fr-CA"/>
        </w:rPr>
        <w:t>al. </w:t>
      </w:r>
      <w:r w:rsidRPr="007B5EFE">
        <w:rPr>
          <w:rFonts w:cs="Times New Roman"/>
          <w:lang w:val="fr-CA"/>
        </w:rPr>
        <w:t xml:space="preserve">120(1)b)(iii) de la </w:t>
      </w:r>
      <w:r w:rsidRPr="007B5EFE">
        <w:rPr>
          <w:rFonts w:cs="Times New Roman"/>
          <w:i/>
          <w:lang w:val="fr-CA"/>
        </w:rPr>
        <w:t>LIP</w:t>
      </w:r>
      <w:r w:rsidRPr="007B5EFE">
        <w:rPr>
          <w:rFonts w:cs="Times New Roman"/>
          <w:lang w:val="fr-CA"/>
        </w:rPr>
        <w:t>.</w:t>
      </w:r>
    </w:p>
    <w:p w:rsidR="00132FB1" w:rsidRPr="007B5EFE" w:rsidRDefault="00132FB1" w:rsidP="00073901">
      <w:pPr>
        <w:pStyle w:val="ParaNoNdepar-AltN"/>
        <w:widowControl w:val="0"/>
        <w:rPr>
          <w:rFonts w:cs="Times New Roman"/>
          <w:lang w:val="fr-CA"/>
        </w:rPr>
      </w:pPr>
      <w:r w:rsidRPr="007B5EFE">
        <w:rPr>
          <w:rFonts w:cs="Times New Roman"/>
          <w:lang w:val="fr-CA"/>
        </w:rPr>
        <w:t>M</w:t>
      </w:r>
      <w:r>
        <w:rPr>
          <w:rFonts w:cs="Times New Roman"/>
          <w:lang w:val="fr-CA"/>
        </w:rPr>
        <w:t xml:space="preserve">onsieur </w:t>
      </w:r>
      <w:r w:rsidRPr="007B5EFE">
        <w:rPr>
          <w:rFonts w:cs="Times New Roman"/>
          <w:lang w:val="fr-CA"/>
        </w:rPr>
        <w:t>Sciascia se pourvoit maintenant devant la Cour. Il affirme que ces dispositions réparatrices ne peuvent servir à remédier à une absence de compétence. Le ministère public conteste ce point de vue et soutient que la Cour d</w:t>
      </w:r>
      <w:r>
        <w:rPr>
          <w:rFonts w:cs="Times New Roman"/>
          <w:lang w:val="fr-CA"/>
        </w:rPr>
        <w:t>’</w:t>
      </w:r>
      <w:r w:rsidRPr="007B5EFE">
        <w:rPr>
          <w:rFonts w:cs="Times New Roman"/>
          <w:lang w:val="fr-CA"/>
        </w:rPr>
        <w:t>appel a eu tort de conclure à l</w:t>
      </w:r>
      <w:r>
        <w:rPr>
          <w:rFonts w:cs="Times New Roman"/>
          <w:lang w:val="fr-CA"/>
        </w:rPr>
        <w:t>’</w:t>
      </w:r>
      <w:r w:rsidRPr="007B5EFE">
        <w:rPr>
          <w:rFonts w:cs="Times New Roman"/>
          <w:lang w:val="fr-CA"/>
        </w:rPr>
        <w:t xml:space="preserve">absence de compétence du juge de la CJO pour tenir un procès conjoint. </w:t>
      </w:r>
    </w:p>
    <w:p w:rsidR="00132FB1" w:rsidRPr="007B5EFE" w:rsidRDefault="00132FB1" w:rsidP="00073901">
      <w:pPr>
        <w:pStyle w:val="ParaNoNdepar-AltN"/>
        <w:widowControl w:val="0"/>
        <w:rPr>
          <w:rFonts w:cs="Times New Roman"/>
          <w:lang w:val="fr-CA"/>
        </w:rPr>
      </w:pPr>
      <w:r w:rsidRPr="007B5EFE">
        <w:rPr>
          <w:rFonts w:cs="Times New Roman"/>
          <w:lang w:val="fr-CA"/>
        </w:rPr>
        <w:t>Pour les motifs exposés ci</w:t>
      </w:r>
      <w:r w:rsidR="00140575">
        <w:rPr>
          <w:rFonts w:cs="Times New Roman"/>
          <w:lang w:val="fr-CA"/>
        </w:rPr>
        <w:t>-</w:t>
      </w:r>
      <w:r w:rsidRPr="007B5EFE">
        <w:rPr>
          <w:rFonts w:cs="Times New Roman"/>
          <w:lang w:val="fr-CA"/>
        </w:rPr>
        <w:t>après, je rejetterais le pourvoi. Contrairement à la Cour d</w:t>
      </w:r>
      <w:r>
        <w:rPr>
          <w:rFonts w:cs="Times New Roman"/>
          <w:lang w:val="fr-CA"/>
        </w:rPr>
        <w:t>’</w:t>
      </w:r>
      <w:r w:rsidRPr="007B5EFE">
        <w:rPr>
          <w:rFonts w:cs="Times New Roman"/>
          <w:lang w:val="fr-CA"/>
        </w:rPr>
        <w:t>appel cependant, j</w:t>
      </w:r>
      <w:r>
        <w:rPr>
          <w:rFonts w:cs="Times New Roman"/>
          <w:lang w:val="fr-CA"/>
        </w:rPr>
        <w:t>’</w:t>
      </w:r>
      <w:r w:rsidRPr="007B5EFE">
        <w:rPr>
          <w:rFonts w:cs="Times New Roman"/>
          <w:lang w:val="fr-CA"/>
        </w:rPr>
        <w:t>estime, soit dit en tout respect, que le juge de la CJO avait compétence pour mener un procès conjoint et qu</w:t>
      </w:r>
      <w:r>
        <w:rPr>
          <w:rFonts w:cs="Times New Roman"/>
          <w:lang w:val="fr-CA"/>
        </w:rPr>
        <w:t>’</w:t>
      </w:r>
      <w:r w:rsidRPr="007B5EFE">
        <w:rPr>
          <w:rFonts w:cs="Times New Roman"/>
          <w:lang w:val="fr-CA"/>
        </w:rPr>
        <w:t>il n</w:t>
      </w:r>
      <w:r>
        <w:rPr>
          <w:rFonts w:cs="Times New Roman"/>
          <w:lang w:val="fr-CA"/>
        </w:rPr>
        <w:t>’</w:t>
      </w:r>
      <w:r w:rsidRPr="007B5EFE">
        <w:rPr>
          <w:rFonts w:cs="Times New Roman"/>
          <w:lang w:val="fr-CA"/>
        </w:rPr>
        <w:t>a pas commis d</w:t>
      </w:r>
      <w:r>
        <w:rPr>
          <w:rFonts w:cs="Times New Roman"/>
          <w:lang w:val="fr-CA"/>
        </w:rPr>
        <w:t>’</w:t>
      </w:r>
      <w:r w:rsidRPr="007B5EFE">
        <w:rPr>
          <w:rFonts w:cs="Times New Roman"/>
          <w:lang w:val="fr-CA"/>
        </w:rPr>
        <w:t>erreur en exerçant son pouvoir discrétionnaire d</w:t>
      </w:r>
      <w:r>
        <w:rPr>
          <w:rFonts w:cs="Times New Roman"/>
          <w:lang w:val="fr-CA"/>
        </w:rPr>
        <w:t>’</w:t>
      </w:r>
      <w:r w:rsidRPr="007B5EFE">
        <w:rPr>
          <w:rFonts w:cs="Times New Roman"/>
          <w:lang w:val="fr-CA"/>
        </w:rPr>
        <w:t>en tenir un dans les circonstances. Par conséquent, je considère qu</w:t>
      </w:r>
      <w:r>
        <w:rPr>
          <w:rFonts w:cs="Times New Roman"/>
          <w:lang w:val="fr-CA"/>
        </w:rPr>
        <w:t>’</w:t>
      </w:r>
      <w:r w:rsidRPr="007B5EFE">
        <w:rPr>
          <w:rFonts w:cs="Times New Roman"/>
          <w:lang w:val="fr-CA"/>
        </w:rPr>
        <w:t xml:space="preserve">il est inutile de répondre à la question concernant les dispositions réparatrices. </w:t>
      </w:r>
    </w:p>
    <w:p w:rsidR="00132FB1" w:rsidRPr="007B5EFE" w:rsidRDefault="00132FB1" w:rsidP="00073901">
      <w:pPr>
        <w:pStyle w:val="Title1LevelTitre1Niveau-AltL"/>
        <w:widowControl w:val="0"/>
        <w:rPr>
          <w:rFonts w:cs="Times New Roman"/>
        </w:rPr>
      </w:pPr>
      <w:r w:rsidRPr="007B5EFE">
        <w:rPr>
          <w:rFonts w:cs="Times New Roman"/>
        </w:rPr>
        <w:t>Analyse</w:t>
      </w:r>
    </w:p>
    <w:p w:rsidR="00132FB1" w:rsidRPr="007B5EFE" w:rsidRDefault="00132FB1" w:rsidP="00073901">
      <w:pPr>
        <w:pStyle w:val="ParaNoNdepar-AltN"/>
        <w:widowControl w:val="0"/>
        <w:rPr>
          <w:rFonts w:cs="Times New Roman"/>
          <w:lang w:val="fr-CA"/>
        </w:rPr>
      </w:pPr>
      <w:r w:rsidRPr="007B5EFE">
        <w:rPr>
          <w:rFonts w:cs="Times New Roman"/>
          <w:lang w:val="fr-CA"/>
        </w:rPr>
        <w:t>Le présent pourvoi soulève une question de droit précise</w:t>
      </w:r>
      <w:r>
        <w:rPr>
          <w:rFonts w:cs="Times New Roman"/>
          <w:lang w:val="fr-CA"/>
        </w:rPr>
        <w:t> :</w:t>
      </w:r>
      <w:r w:rsidRPr="007B5EFE">
        <w:rPr>
          <w:rFonts w:cs="Times New Roman"/>
          <w:lang w:val="fr-CA"/>
        </w:rPr>
        <w:t xml:space="preserve"> un juge de la CJO a</w:t>
      </w:r>
      <w:r w:rsidR="00140575">
        <w:rPr>
          <w:rFonts w:cs="Times New Roman"/>
          <w:lang w:val="fr-CA"/>
        </w:rPr>
        <w:t>-</w:t>
      </w:r>
      <w:r w:rsidRPr="007B5EFE">
        <w:rPr>
          <w:rFonts w:cs="Times New Roman"/>
          <w:lang w:val="fr-CA"/>
        </w:rPr>
        <w:t>t</w:t>
      </w:r>
      <w:r w:rsidR="00140575">
        <w:rPr>
          <w:rFonts w:cs="Times New Roman"/>
          <w:lang w:val="fr-CA"/>
        </w:rPr>
        <w:t>-</w:t>
      </w:r>
      <w:r w:rsidRPr="007B5EFE">
        <w:rPr>
          <w:rFonts w:cs="Times New Roman"/>
          <w:lang w:val="fr-CA"/>
        </w:rPr>
        <w:t>il compétence pour juger ensemble des accusations relatives d</w:t>
      </w:r>
      <w:r>
        <w:rPr>
          <w:rFonts w:cs="Times New Roman"/>
          <w:lang w:val="fr-CA"/>
        </w:rPr>
        <w:t>’</w:t>
      </w:r>
      <w:r w:rsidRPr="007B5EFE">
        <w:rPr>
          <w:rFonts w:cs="Times New Roman"/>
          <w:lang w:val="fr-CA"/>
        </w:rPr>
        <w:t>une part à des infractions provinciales et d</w:t>
      </w:r>
      <w:r>
        <w:rPr>
          <w:rFonts w:cs="Times New Roman"/>
          <w:lang w:val="fr-CA"/>
        </w:rPr>
        <w:t>’</w:t>
      </w:r>
      <w:r w:rsidRPr="007B5EFE">
        <w:rPr>
          <w:rFonts w:cs="Times New Roman"/>
          <w:lang w:val="fr-CA"/>
        </w:rPr>
        <w:t>autre part à des infractions criminelles punissables sur déclaration de culpabilité par procédure sommaire? À mon a</w:t>
      </w:r>
      <w:r w:rsidR="00880602">
        <w:rPr>
          <w:rFonts w:cs="Times New Roman"/>
          <w:lang w:val="fr-CA"/>
        </w:rPr>
        <w:t xml:space="preserve">vis, la réponse est </w:t>
      </w:r>
      <w:r w:rsidR="00880602">
        <w:rPr>
          <w:rFonts w:cs="Times New Roman"/>
          <w:lang w:val="fr-CA"/>
        </w:rPr>
        <w:lastRenderedPageBreak/>
        <w:t>affirmative</w:t>
      </w:r>
      <w:r w:rsidRPr="00880602">
        <w:rPr>
          <w:rStyle w:val="Hyperlink"/>
          <w:u w:val="none"/>
          <w:vertAlign w:val="superscript"/>
        </w:rPr>
        <w:footnoteReference w:id="3"/>
      </w:r>
      <w:r w:rsidR="00880602">
        <w:rPr>
          <w:rFonts w:cs="Times New Roman"/>
          <w:lang w:val="fr-CA"/>
        </w:rPr>
        <w:t>.</w:t>
      </w:r>
      <w:r w:rsidR="00C467B8">
        <w:rPr>
          <w:rFonts w:cs="Times New Roman"/>
          <w:lang w:val="fr-CA"/>
        </w:rPr>
        <w:t xml:space="preserve"> </w:t>
      </w:r>
      <w:r w:rsidRPr="007B5EFE">
        <w:rPr>
          <w:rFonts w:cs="Times New Roman"/>
          <w:lang w:val="fr-CA"/>
        </w:rPr>
        <w:t>En common law, les tribunaux jouissent du vaste pouvoir discrétionnaire de tenir un procès conjoint lorsque cela sert les intérêts de la justice</w:t>
      </w:r>
      <w:r>
        <w:rPr>
          <w:rFonts w:cs="Times New Roman"/>
          <w:lang w:val="fr-CA"/>
        </w:rPr>
        <w:t> :</w:t>
      </w:r>
      <w:r w:rsidRPr="007B5EFE">
        <w:rPr>
          <w:rFonts w:cs="Times New Roman"/>
          <w:lang w:val="fr-CA"/>
        </w:rPr>
        <w:t xml:space="preserve"> </w:t>
      </w:r>
      <w:r w:rsidRPr="007B5EFE">
        <w:rPr>
          <w:rFonts w:cs="Times New Roman"/>
          <w:i/>
          <w:lang w:val="fr-CA"/>
        </w:rPr>
        <w:t>Clunas</w:t>
      </w:r>
      <w:r w:rsidRPr="007B5EFE">
        <w:rPr>
          <w:rFonts w:cs="Times New Roman"/>
          <w:lang w:val="fr-CA"/>
        </w:rPr>
        <w:t xml:space="preserve">, </w:t>
      </w:r>
      <w:r>
        <w:rPr>
          <w:rFonts w:cs="Times New Roman"/>
          <w:lang w:val="fr-CA"/>
        </w:rPr>
        <w:t>p. </w:t>
      </w:r>
      <w:r w:rsidRPr="007B5EFE">
        <w:rPr>
          <w:rFonts w:cs="Times New Roman"/>
          <w:lang w:val="fr-CA"/>
        </w:rPr>
        <w:t xml:space="preserve">610; </w:t>
      </w:r>
      <w:r w:rsidRPr="007B5EFE">
        <w:rPr>
          <w:rFonts w:cs="Times New Roman"/>
          <w:i/>
          <w:lang w:val="fr-CA"/>
        </w:rPr>
        <w:t>S.J.L.</w:t>
      </w:r>
      <w:r w:rsidRPr="007B5EFE">
        <w:rPr>
          <w:rFonts w:cs="Times New Roman"/>
          <w:lang w:val="fr-CA"/>
        </w:rPr>
        <w:t xml:space="preserve">, </w:t>
      </w:r>
      <w:r>
        <w:rPr>
          <w:rFonts w:cs="Times New Roman"/>
          <w:lang w:val="fr-CA"/>
        </w:rPr>
        <w:t>par. </w:t>
      </w:r>
      <w:r w:rsidRPr="007B5EFE">
        <w:rPr>
          <w:rFonts w:cs="Times New Roman"/>
          <w:lang w:val="fr-CA"/>
        </w:rPr>
        <w:t>60. Des raisons de principe militent en faveur de cette approche pragmatique. En l</w:t>
      </w:r>
      <w:r>
        <w:rPr>
          <w:rFonts w:cs="Times New Roman"/>
          <w:lang w:val="fr-CA"/>
        </w:rPr>
        <w:t>’</w:t>
      </w:r>
      <w:r w:rsidRPr="007B5EFE">
        <w:rPr>
          <w:rFonts w:cs="Times New Roman"/>
          <w:lang w:val="fr-CA"/>
        </w:rPr>
        <w:t>absence d</w:t>
      </w:r>
      <w:r>
        <w:rPr>
          <w:rFonts w:cs="Times New Roman"/>
          <w:lang w:val="fr-CA"/>
        </w:rPr>
        <w:t>’</w:t>
      </w:r>
      <w:r w:rsidRPr="007B5EFE">
        <w:rPr>
          <w:rFonts w:cs="Times New Roman"/>
          <w:lang w:val="fr-CA"/>
        </w:rPr>
        <w:t>une interdiction expressément prévue par la loi, ou d</w:t>
      </w:r>
      <w:r>
        <w:rPr>
          <w:rFonts w:cs="Times New Roman"/>
          <w:lang w:val="fr-CA"/>
        </w:rPr>
        <w:t>’</w:t>
      </w:r>
      <w:r w:rsidRPr="007B5EFE">
        <w:rPr>
          <w:rFonts w:cs="Times New Roman"/>
          <w:lang w:val="fr-CA"/>
        </w:rPr>
        <w:t>une intention clairement exprimée par le législateur à l</w:t>
      </w:r>
      <w:r>
        <w:rPr>
          <w:rFonts w:cs="Times New Roman"/>
          <w:lang w:val="fr-CA"/>
        </w:rPr>
        <w:t>’</w:t>
      </w:r>
      <w:r w:rsidRPr="007B5EFE">
        <w:rPr>
          <w:rFonts w:cs="Times New Roman"/>
          <w:lang w:val="fr-CA"/>
        </w:rPr>
        <w:t>effet contraire, rien ne justifie d</w:t>
      </w:r>
      <w:r>
        <w:rPr>
          <w:rFonts w:cs="Times New Roman"/>
          <w:lang w:val="fr-CA"/>
        </w:rPr>
        <w:t>’</w:t>
      </w:r>
      <w:r w:rsidRPr="007B5EFE">
        <w:rPr>
          <w:rFonts w:cs="Times New Roman"/>
          <w:lang w:val="fr-CA"/>
        </w:rPr>
        <w:t>écarter ce pouvoir discrétionnaire</w:t>
      </w:r>
      <w:r>
        <w:rPr>
          <w:rFonts w:cs="Times New Roman"/>
          <w:lang w:val="fr-CA"/>
        </w:rPr>
        <w:t> :</w:t>
      </w:r>
      <w:r w:rsidRPr="007B5EFE">
        <w:rPr>
          <w:rFonts w:cs="Times New Roman"/>
          <w:lang w:val="fr-CA"/>
        </w:rPr>
        <w:t xml:space="preserve"> voir, </w:t>
      </w:r>
      <w:r>
        <w:rPr>
          <w:rFonts w:cs="Times New Roman"/>
          <w:lang w:val="fr-CA"/>
        </w:rPr>
        <w:t>p. </w:t>
      </w:r>
      <w:r w:rsidRPr="007B5EFE">
        <w:rPr>
          <w:rFonts w:cs="Times New Roman"/>
          <w:lang w:val="fr-CA"/>
        </w:rPr>
        <w:t xml:space="preserve">ex., </w:t>
      </w:r>
      <w:r w:rsidRPr="007B5EFE">
        <w:rPr>
          <w:rFonts w:cs="Times New Roman"/>
          <w:i/>
          <w:iCs/>
          <w:lang w:val="fr-CA"/>
        </w:rPr>
        <w:t>Heritage Capital Cor</w:t>
      </w:r>
      <w:r>
        <w:rPr>
          <w:rFonts w:cs="Times New Roman"/>
          <w:i/>
          <w:iCs/>
          <w:lang w:val="fr-CA"/>
        </w:rPr>
        <w:t>p. </w:t>
      </w:r>
      <w:r w:rsidRPr="007B5EFE">
        <w:rPr>
          <w:rFonts w:cs="Times New Roman"/>
          <w:i/>
          <w:iCs/>
          <w:lang w:val="fr-CA"/>
        </w:rPr>
        <w:t>c. Équitable, Cie de fiducie</w:t>
      </w:r>
      <w:r w:rsidRPr="007B5EFE">
        <w:rPr>
          <w:rFonts w:cs="Times New Roman"/>
          <w:lang w:val="fr-CA"/>
        </w:rPr>
        <w:t xml:space="preserve">, 2016 CSC 19, [2016] 1 R.C.S. 306, </w:t>
      </w:r>
      <w:r>
        <w:rPr>
          <w:rFonts w:cs="Times New Roman"/>
          <w:lang w:val="fr-CA"/>
        </w:rPr>
        <w:t>par. </w:t>
      </w:r>
      <w:r w:rsidRPr="007B5EFE">
        <w:rPr>
          <w:rFonts w:cs="Times New Roman"/>
          <w:lang w:val="fr-CA"/>
        </w:rPr>
        <w:t>29</w:t>
      </w:r>
      <w:r w:rsidR="00140575">
        <w:rPr>
          <w:rFonts w:cs="Times New Roman"/>
          <w:lang w:val="fr-CA"/>
        </w:rPr>
        <w:t>-</w:t>
      </w:r>
      <w:r w:rsidRPr="007B5EFE">
        <w:rPr>
          <w:rFonts w:cs="Times New Roman"/>
          <w:lang w:val="fr-CA"/>
        </w:rPr>
        <w:t xml:space="preserve">30. </w:t>
      </w:r>
    </w:p>
    <w:p w:rsidR="00132FB1" w:rsidRPr="007B5EFE" w:rsidRDefault="00132FB1" w:rsidP="00073901">
      <w:pPr>
        <w:pStyle w:val="ParaNoNdepar-AltN"/>
        <w:widowControl w:val="0"/>
        <w:rPr>
          <w:rFonts w:cs="Times New Roman"/>
          <w:lang w:val="fr-CA"/>
        </w:rPr>
      </w:pPr>
      <w:r w:rsidRPr="007B5EFE">
        <w:rPr>
          <w:rFonts w:cs="Times New Roman"/>
          <w:lang w:val="fr-CA"/>
        </w:rPr>
        <w:t>En l</w:t>
      </w:r>
      <w:r>
        <w:rPr>
          <w:rFonts w:cs="Times New Roman"/>
          <w:lang w:val="fr-CA"/>
        </w:rPr>
        <w:t>’</w:t>
      </w:r>
      <w:r w:rsidRPr="007B5EFE">
        <w:rPr>
          <w:rFonts w:cs="Times New Roman"/>
          <w:lang w:val="fr-CA"/>
        </w:rPr>
        <w:t>espèce, quatre facteurs m</w:t>
      </w:r>
      <w:r>
        <w:rPr>
          <w:rFonts w:cs="Times New Roman"/>
          <w:lang w:val="fr-CA"/>
        </w:rPr>
        <w:t>’</w:t>
      </w:r>
      <w:r w:rsidRPr="007B5EFE">
        <w:rPr>
          <w:rFonts w:cs="Times New Roman"/>
          <w:lang w:val="fr-CA"/>
        </w:rPr>
        <w:t>amènent à conclure qu</w:t>
      </w:r>
      <w:r>
        <w:rPr>
          <w:rFonts w:cs="Times New Roman"/>
          <w:lang w:val="fr-CA"/>
        </w:rPr>
        <w:t>’</w:t>
      </w:r>
      <w:r w:rsidRPr="007B5EFE">
        <w:rPr>
          <w:rFonts w:cs="Times New Roman"/>
          <w:lang w:val="fr-CA"/>
        </w:rPr>
        <w:t>il était permis de tenir un procès conjoint. Premièrement, aucune disposition des lois applicables n</w:t>
      </w:r>
      <w:r>
        <w:rPr>
          <w:rFonts w:cs="Times New Roman"/>
          <w:lang w:val="fr-CA"/>
        </w:rPr>
        <w:t>’</w:t>
      </w:r>
      <w:r w:rsidRPr="007B5EFE">
        <w:rPr>
          <w:rFonts w:cs="Times New Roman"/>
          <w:lang w:val="fr-CA"/>
        </w:rPr>
        <w:t>interdit à un juge de la CJO de tenir un procès conjoint pour juger des accusations relatives à des infractions criminelles et provinciales. Deuxièmement, permettre la tenue d</w:t>
      </w:r>
      <w:r>
        <w:rPr>
          <w:rFonts w:cs="Times New Roman"/>
          <w:lang w:val="fr-CA"/>
        </w:rPr>
        <w:t>’</w:t>
      </w:r>
      <w:r w:rsidRPr="007B5EFE">
        <w:rPr>
          <w:rFonts w:cs="Times New Roman"/>
          <w:lang w:val="fr-CA"/>
        </w:rPr>
        <w:t>un procès conjoint est compatible avec l</w:t>
      </w:r>
      <w:r>
        <w:rPr>
          <w:rFonts w:cs="Times New Roman"/>
          <w:lang w:val="fr-CA"/>
        </w:rPr>
        <w:t>’</w:t>
      </w:r>
      <w:r w:rsidRPr="007B5EFE">
        <w:rPr>
          <w:rFonts w:cs="Times New Roman"/>
          <w:lang w:val="fr-CA"/>
        </w:rPr>
        <w:t>objectif d</w:t>
      </w:r>
      <w:r>
        <w:rPr>
          <w:rFonts w:cs="Times New Roman"/>
          <w:lang w:val="fr-CA"/>
        </w:rPr>
        <w:t>’</w:t>
      </w:r>
      <w:r w:rsidRPr="007B5EFE">
        <w:rPr>
          <w:rFonts w:cs="Times New Roman"/>
          <w:lang w:val="fr-CA"/>
        </w:rPr>
        <w:t>accroissement de l</w:t>
      </w:r>
      <w:r>
        <w:rPr>
          <w:rFonts w:cs="Times New Roman"/>
          <w:lang w:val="fr-CA"/>
        </w:rPr>
        <w:t>’</w:t>
      </w:r>
      <w:r w:rsidRPr="007B5EFE">
        <w:rPr>
          <w:rFonts w:cs="Times New Roman"/>
          <w:lang w:val="fr-CA"/>
        </w:rPr>
        <w:t>efficacité, soit le principal objectif sous</w:t>
      </w:r>
      <w:r w:rsidR="00140575">
        <w:rPr>
          <w:rFonts w:cs="Times New Roman"/>
          <w:lang w:val="fr-CA"/>
        </w:rPr>
        <w:t>-</w:t>
      </w:r>
      <w:r w:rsidRPr="007B5EFE">
        <w:rPr>
          <w:rFonts w:cs="Times New Roman"/>
          <w:lang w:val="fr-CA"/>
        </w:rPr>
        <w:t>jacent à l</w:t>
      </w:r>
      <w:r>
        <w:rPr>
          <w:rFonts w:cs="Times New Roman"/>
          <w:lang w:val="fr-CA"/>
        </w:rPr>
        <w:t>’</w:t>
      </w:r>
      <w:r w:rsidRPr="007B5EFE">
        <w:rPr>
          <w:rFonts w:cs="Times New Roman"/>
          <w:lang w:val="fr-CA"/>
        </w:rPr>
        <w:t xml:space="preserve">adoption de la </w:t>
      </w:r>
      <w:r w:rsidRPr="007B5EFE">
        <w:rPr>
          <w:rFonts w:cs="Times New Roman"/>
          <w:i/>
          <w:lang w:val="fr-CA"/>
        </w:rPr>
        <w:t>LI</w:t>
      </w:r>
      <w:r>
        <w:rPr>
          <w:rFonts w:cs="Times New Roman"/>
          <w:i/>
          <w:lang w:val="fr-CA"/>
        </w:rPr>
        <w:t xml:space="preserve">P. </w:t>
      </w:r>
      <w:r w:rsidRPr="007B5EFE">
        <w:rPr>
          <w:rFonts w:cs="Times New Roman"/>
          <w:lang w:val="fr-CA"/>
        </w:rPr>
        <w:t>Troisièmement, en l</w:t>
      </w:r>
      <w:r>
        <w:rPr>
          <w:rFonts w:cs="Times New Roman"/>
          <w:lang w:val="fr-CA"/>
        </w:rPr>
        <w:t>’</w:t>
      </w:r>
      <w:r w:rsidRPr="007B5EFE">
        <w:rPr>
          <w:rFonts w:cs="Times New Roman"/>
          <w:lang w:val="fr-CA"/>
        </w:rPr>
        <w:t>espèce, les accusations en cause reposent sur les mêmes événements, ce qui établit l</w:t>
      </w:r>
      <w:r>
        <w:rPr>
          <w:rFonts w:cs="Times New Roman"/>
          <w:lang w:val="fr-CA"/>
        </w:rPr>
        <w:t>’</w:t>
      </w:r>
      <w:r w:rsidRPr="007B5EFE">
        <w:rPr>
          <w:rFonts w:cs="Times New Roman"/>
          <w:lang w:val="fr-CA"/>
        </w:rPr>
        <w:t>existence d</w:t>
      </w:r>
      <w:r>
        <w:rPr>
          <w:rFonts w:cs="Times New Roman"/>
          <w:lang w:val="fr-CA"/>
        </w:rPr>
        <w:t>’</w:t>
      </w:r>
      <w:r w:rsidRPr="007B5EFE">
        <w:rPr>
          <w:rFonts w:cs="Times New Roman"/>
          <w:lang w:val="fr-CA"/>
        </w:rPr>
        <w:t>un lien factuel évident. Enfin, l</w:t>
      </w:r>
      <w:r>
        <w:rPr>
          <w:rFonts w:cs="Times New Roman"/>
          <w:lang w:val="fr-CA"/>
        </w:rPr>
        <w:t>’</w:t>
      </w:r>
      <w:r w:rsidRPr="007B5EFE">
        <w:rPr>
          <w:rFonts w:cs="Times New Roman"/>
          <w:lang w:val="fr-CA"/>
        </w:rPr>
        <w:t>accusé n</w:t>
      </w:r>
      <w:r>
        <w:rPr>
          <w:rFonts w:cs="Times New Roman"/>
          <w:lang w:val="fr-CA"/>
        </w:rPr>
        <w:t>’</w:t>
      </w:r>
      <w:r w:rsidRPr="007B5EFE">
        <w:rPr>
          <w:rFonts w:cs="Times New Roman"/>
          <w:lang w:val="fr-CA"/>
        </w:rPr>
        <w:t>a subi aucun préjudice — il a d</w:t>
      </w:r>
      <w:r>
        <w:rPr>
          <w:rFonts w:cs="Times New Roman"/>
          <w:lang w:val="fr-CA"/>
        </w:rPr>
        <w:t>’</w:t>
      </w:r>
      <w:r w:rsidRPr="007B5EFE">
        <w:rPr>
          <w:rFonts w:cs="Times New Roman"/>
          <w:lang w:val="fr-CA"/>
        </w:rPr>
        <w:t>ailleurs expressément consenti à la tenue d</w:t>
      </w:r>
      <w:r>
        <w:rPr>
          <w:rFonts w:cs="Times New Roman"/>
          <w:lang w:val="fr-CA"/>
        </w:rPr>
        <w:t>’</w:t>
      </w:r>
      <w:r w:rsidRPr="007B5EFE">
        <w:rPr>
          <w:rFonts w:cs="Times New Roman"/>
          <w:lang w:val="fr-CA"/>
        </w:rPr>
        <w:t>un procès conjoint. Dans de telles circonstances, il était permis et souhaitable de tenir un procès conjoint, qui servait les intérêts de la justice.</w:t>
      </w:r>
    </w:p>
    <w:p w:rsidR="00132FB1" w:rsidRPr="007B5EFE" w:rsidRDefault="00132FB1" w:rsidP="00073901">
      <w:pPr>
        <w:pStyle w:val="Title2LevelTitre2Niveau"/>
        <w:widowControl w:val="0"/>
        <w:rPr>
          <w:rFonts w:cs="Times New Roman"/>
          <w:lang w:val="fr-CA"/>
        </w:rPr>
      </w:pPr>
      <w:r w:rsidRPr="007B5EFE">
        <w:rPr>
          <w:rFonts w:cs="Times New Roman"/>
          <w:lang w:val="fr-CA"/>
        </w:rPr>
        <w:lastRenderedPageBreak/>
        <w:t>Compétence d</w:t>
      </w:r>
      <w:r>
        <w:rPr>
          <w:rFonts w:cs="Times New Roman"/>
          <w:lang w:val="fr-CA"/>
        </w:rPr>
        <w:t>’</w:t>
      </w:r>
      <w:r w:rsidRPr="007B5EFE">
        <w:rPr>
          <w:rFonts w:cs="Times New Roman"/>
          <w:lang w:val="fr-CA"/>
        </w:rPr>
        <w:t>origine législative</w:t>
      </w:r>
    </w:p>
    <w:p w:rsidR="00132FB1" w:rsidRPr="007B5EFE" w:rsidRDefault="00132FB1" w:rsidP="00073901">
      <w:pPr>
        <w:pStyle w:val="ParaNoNdepar-AltN"/>
        <w:widowControl w:val="0"/>
        <w:rPr>
          <w:rFonts w:cs="Times New Roman"/>
          <w:lang w:val="fr-CA"/>
        </w:rPr>
      </w:pPr>
      <w:r w:rsidRPr="007B5EFE">
        <w:rPr>
          <w:rFonts w:cs="Times New Roman"/>
          <w:lang w:val="fr-CA"/>
        </w:rPr>
        <w:t>Les parties reconnaissent que la loi confère compétence aux juges de la CJO pour instruire tant les accusations relatives à des infractions provinciales que celles, criminelles, punissables sur déclaration de culpabilité par procédure sommaire. De même, il est reconnu qu</w:t>
      </w:r>
      <w:r>
        <w:rPr>
          <w:rFonts w:cs="Times New Roman"/>
          <w:lang w:val="fr-CA"/>
        </w:rPr>
        <w:t>’</w:t>
      </w:r>
      <w:r w:rsidRPr="007B5EFE">
        <w:rPr>
          <w:rFonts w:cs="Times New Roman"/>
          <w:lang w:val="fr-CA"/>
        </w:rPr>
        <w:t>aucune disposition des lois applicables n</w:t>
      </w:r>
      <w:r>
        <w:rPr>
          <w:rFonts w:cs="Times New Roman"/>
          <w:lang w:val="fr-CA"/>
        </w:rPr>
        <w:t>’</w:t>
      </w:r>
      <w:r w:rsidRPr="007B5EFE">
        <w:rPr>
          <w:rFonts w:cs="Times New Roman"/>
          <w:lang w:val="fr-CA"/>
        </w:rPr>
        <w:t>interdit expressément la tenue d</w:t>
      </w:r>
      <w:r>
        <w:rPr>
          <w:rFonts w:cs="Times New Roman"/>
          <w:lang w:val="fr-CA"/>
        </w:rPr>
        <w:t>’</w:t>
      </w:r>
      <w:r w:rsidRPr="007B5EFE">
        <w:rPr>
          <w:rFonts w:cs="Times New Roman"/>
          <w:lang w:val="fr-CA"/>
        </w:rPr>
        <w:t xml:space="preserve">un procès conjoint pour juger de telles accusations. Par conséquent, la question en litige est celle de savoir si </w:t>
      </w:r>
      <w:r w:rsidR="00C467B8">
        <w:rPr>
          <w:rFonts w:cs="Times New Roman"/>
          <w:lang w:val="fr-CA"/>
        </w:rPr>
        <w:t>un</w:t>
      </w:r>
      <w:r w:rsidRPr="007B5EFE">
        <w:rPr>
          <w:rFonts w:cs="Times New Roman"/>
          <w:lang w:val="fr-CA"/>
        </w:rPr>
        <w:t xml:space="preserve"> juge de la CJO peut exercer simultanément des compétences que lui confèrent deux sources législatives indépendantes dans le contexte d</w:t>
      </w:r>
      <w:r>
        <w:rPr>
          <w:rFonts w:cs="Times New Roman"/>
          <w:lang w:val="fr-CA"/>
        </w:rPr>
        <w:t>’</w:t>
      </w:r>
      <w:r w:rsidRPr="007B5EFE">
        <w:rPr>
          <w:rFonts w:cs="Times New Roman"/>
          <w:lang w:val="fr-CA"/>
        </w:rPr>
        <w:t>un procès conjoint — en d</w:t>
      </w:r>
      <w:r>
        <w:rPr>
          <w:rFonts w:cs="Times New Roman"/>
          <w:lang w:val="fr-CA"/>
        </w:rPr>
        <w:t>’</w:t>
      </w:r>
      <w:r w:rsidRPr="007B5EFE">
        <w:rPr>
          <w:rFonts w:cs="Times New Roman"/>
          <w:lang w:val="fr-CA"/>
        </w:rPr>
        <w:t xml:space="preserve">autres termes, </w:t>
      </w:r>
      <w:r w:rsidR="00C467B8">
        <w:rPr>
          <w:rFonts w:cs="Times New Roman"/>
          <w:lang w:val="fr-CA"/>
        </w:rPr>
        <w:t>un</w:t>
      </w:r>
      <w:r w:rsidRPr="007B5EFE">
        <w:rPr>
          <w:rFonts w:cs="Times New Roman"/>
          <w:lang w:val="fr-CA"/>
        </w:rPr>
        <w:t xml:space="preserve"> juge de la CJO peut</w:t>
      </w:r>
      <w:r w:rsidR="00140575">
        <w:rPr>
          <w:rFonts w:cs="Times New Roman"/>
          <w:lang w:val="fr-CA"/>
        </w:rPr>
        <w:t>-</w:t>
      </w:r>
      <w:r w:rsidRPr="007B5EFE">
        <w:rPr>
          <w:rFonts w:cs="Times New Roman"/>
          <w:lang w:val="fr-CA"/>
        </w:rPr>
        <w:t>il porter ces « deux chapeaux » à la fois?</w:t>
      </w:r>
    </w:p>
    <w:p w:rsidR="00132FB1" w:rsidRPr="007B5EFE" w:rsidRDefault="00132FB1" w:rsidP="00073901">
      <w:pPr>
        <w:pStyle w:val="ParaNoNdepar-AltN"/>
        <w:widowControl w:val="0"/>
        <w:rPr>
          <w:rFonts w:cs="Times New Roman"/>
          <w:lang w:val="fr-CA"/>
        </w:rPr>
      </w:pPr>
      <w:r w:rsidRPr="007B5EFE">
        <w:rPr>
          <w:rFonts w:cs="Times New Roman"/>
          <w:lang w:val="fr-CA"/>
        </w:rPr>
        <w:t>Selon M. Sciascia, l</w:t>
      </w:r>
      <w:r>
        <w:rPr>
          <w:rFonts w:cs="Times New Roman"/>
          <w:lang w:val="fr-CA"/>
        </w:rPr>
        <w:t>’</w:t>
      </w:r>
      <w:r w:rsidRPr="007B5EFE">
        <w:rPr>
          <w:rFonts w:cs="Times New Roman"/>
          <w:lang w:val="fr-CA"/>
        </w:rPr>
        <w:t>absence d</w:t>
      </w:r>
      <w:r>
        <w:rPr>
          <w:rFonts w:cs="Times New Roman"/>
          <w:lang w:val="fr-CA"/>
        </w:rPr>
        <w:t>’</w:t>
      </w:r>
      <w:r w:rsidRPr="007B5EFE">
        <w:rPr>
          <w:rFonts w:cs="Times New Roman"/>
          <w:lang w:val="fr-CA"/>
        </w:rPr>
        <w:t>une disposition législative autorisant expressément la tenue d</w:t>
      </w:r>
      <w:r>
        <w:rPr>
          <w:rFonts w:cs="Times New Roman"/>
          <w:lang w:val="fr-CA"/>
        </w:rPr>
        <w:t>’</w:t>
      </w:r>
      <w:r w:rsidRPr="007B5EFE">
        <w:rPr>
          <w:rFonts w:cs="Times New Roman"/>
          <w:lang w:val="fr-CA"/>
        </w:rPr>
        <w:t>un procès conjoint est déterminante en l</w:t>
      </w:r>
      <w:r>
        <w:rPr>
          <w:rFonts w:cs="Times New Roman"/>
          <w:lang w:val="fr-CA"/>
        </w:rPr>
        <w:t>’</w:t>
      </w:r>
      <w:r w:rsidRPr="007B5EFE">
        <w:rPr>
          <w:rFonts w:cs="Times New Roman"/>
          <w:lang w:val="fr-CA"/>
        </w:rPr>
        <w:t>espèce. Bien qu</w:t>
      </w:r>
      <w:r>
        <w:rPr>
          <w:rFonts w:cs="Times New Roman"/>
          <w:lang w:val="fr-CA"/>
        </w:rPr>
        <w:t>’</w:t>
      </w:r>
      <w:r w:rsidRPr="007B5EFE">
        <w:rPr>
          <w:rFonts w:cs="Times New Roman"/>
          <w:lang w:val="fr-CA"/>
        </w:rPr>
        <w:t>il ne soulève pas de question de nature constitutionnelle, M. Sciascia affirme en effet que l</w:t>
      </w:r>
      <w:r>
        <w:rPr>
          <w:rFonts w:cs="Times New Roman"/>
          <w:lang w:val="fr-CA"/>
        </w:rPr>
        <w:t>’</w:t>
      </w:r>
      <w:r w:rsidRPr="007B5EFE">
        <w:rPr>
          <w:rFonts w:cs="Times New Roman"/>
          <w:lang w:val="fr-CA"/>
        </w:rPr>
        <w:t>exercice simultané de ces deux compétences de sources distinctes constitue une forme unique de compétence « mixte » qui requiert une autorisation expresse de nature législative de la part des gouvernements provincial et fédéral.</w:t>
      </w:r>
    </w:p>
    <w:p w:rsidR="00132FB1" w:rsidRPr="007B5EFE" w:rsidRDefault="00132FB1" w:rsidP="00073901">
      <w:pPr>
        <w:pStyle w:val="ParaNoNdepar-AltN"/>
        <w:widowControl w:val="0"/>
        <w:rPr>
          <w:rFonts w:cs="Times New Roman"/>
          <w:lang w:val="fr-CA"/>
        </w:rPr>
      </w:pPr>
      <w:r w:rsidRPr="007B5EFE">
        <w:rPr>
          <w:rFonts w:cs="Times New Roman"/>
          <w:lang w:val="fr-CA"/>
        </w:rPr>
        <w:t>Soit dit en tout respect, j</w:t>
      </w:r>
      <w:r>
        <w:rPr>
          <w:rFonts w:cs="Times New Roman"/>
          <w:lang w:val="fr-CA"/>
        </w:rPr>
        <w:t>’</w:t>
      </w:r>
      <w:r w:rsidRPr="007B5EFE">
        <w:rPr>
          <w:rFonts w:cs="Times New Roman"/>
          <w:lang w:val="fr-CA"/>
        </w:rPr>
        <w:t>estime qu</w:t>
      </w:r>
      <w:r>
        <w:rPr>
          <w:rFonts w:cs="Times New Roman"/>
          <w:lang w:val="fr-CA"/>
        </w:rPr>
        <w:t>’</w:t>
      </w:r>
      <w:r w:rsidRPr="007B5EFE">
        <w:rPr>
          <w:rFonts w:cs="Times New Roman"/>
          <w:lang w:val="fr-CA"/>
        </w:rPr>
        <w:t>une telle approche est trop formaliste. Une autre, moins restrictive et plus souple quant à la procédure, concorde avec celle qu</w:t>
      </w:r>
      <w:r>
        <w:rPr>
          <w:rFonts w:cs="Times New Roman"/>
          <w:lang w:val="fr-CA"/>
        </w:rPr>
        <w:t>’</w:t>
      </w:r>
      <w:r w:rsidRPr="007B5EFE">
        <w:rPr>
          <w:rFonts w:cs="Times New Roman"/>
          <w:lang w:val="fr-CA"/>
        </w:rPr>
        <w:t>a adoptée la Cour dans l</w:t>
      </w:r>
      <w:r>
        <w:rPr>
          <w:rFonts w:cs="Times New Roman"/>
          <w:lang w:val="fr-CA"/>
        </w:rPr>
        <w:t>’</w:t>
      </w:r>
      <w:r w:rsidRPr="007B5EFE">
        <w:rPr>
          <w:rFonts w:cs="Times New Roman"/>
          <w:lang w:val="fr-CA"/>
        </w:rPr>
        <w:t xml:space="preserve">arrêt </w:t>
      </w:r>
      <w:r w:rsidRPr="007B5EFE">
        <w:rPr>
          <w:rFonts w:cs="Times New Roman"/>
          <w:i/>
          <w:lang w:val="fr-CA"/>
        </w:rPr>
        <w:t>Clunas</w:t>
      </w:r>
      <w:r>
        <w:rPr>
          <w:rFonts w:cs="Times New Roman"/>
          <w:lang w:val="fr-CA"/>
        </w:rPr>
        <w:t xml:space="preserve">, où le juge en chef </w:t>
      </w:r>
      <w:r w:rsidRPr="007B5EFE">
        <w:rPr>
          <w:rFonts w:cs="Times New Roman"/>
          <w:lang w:val="fr-CA"/>
        </w:rPr>
        <w:t xml:space="preserve">Lamer a fait sienne, à la </w:t>
      </w:r>
      <w:r>
        <w:rPr>
          <w:rFonts w:cs="Times New Roman"/>
          <w:lang w:val="fr-CA"/>
        </w:rPr>
        <w:t>p. </w:t>
      </w:r>
      <w:r w:rsidRPr="007B5EFE">
        <w:rPr>
          <w:rFonts w:cs="Times New Roman"/>
          <w:lang w:val="fr-CA"/>
        </w:rPr>
        <w:t>599, l</w:t>
      </w:r>
      <w:r>
        <w:rPr>
          <w:rFonts w:cs="Times New Roman"/>
          <w:lang w:val="fr-CA"/>
        </w:rPr>
        <w:t>’</w:t>
      </w:r>
      <w:r w:rsidRPr="007B5EFE">
        <w:rPr>
          <w:rFonts w:cs="Times New Roman"/>
          <w:lang w:val="fr-CA"/>
        </w:rPr>
        <w:t>observation suivante formulée par le lord Roskill dans l</w:t>
      </w:r>
      <w:r>
        <w:rPr>
          <w:rFonts w:cs="Times New Roman"/>
          <w:lang w:val="fr-CA"/>
        </w:rPr>
        <w:t>’</w:t>
      </w:r>
      <w:r w:rsidRPr="007B5EFE">
        <w:rPr>
          <w:rFonts w:cs="Times New Roman"/>
          <w:lang w:val="fr-CA"/>
        </w:rPr>
        <w:t xml:space="preserve">affaire </w:t>
      </w:r>
      <w:r w:rsidRPr="007B5EFE">
        <w:rPr>
          <w:rFonts w:cs="Times New Roman"/>
          <w:i/>
          <w:lang w:val="fr-CA"/>
        </w:rPr>
        <w:t>In re Clayton</w:t>
      </w:r>
      <w:r w:rsidRPr="007B5EFE">
        <w:rPr>
          <w:rFonts w:cs="Times New Roman"/>
          <w:lang w:val="fr-CA"/>
        </w:rPr>
        <w:t xml:space="preserve">, [1983] 2 W.L.R. 555 (H.L.), </w:t>
      </w:r>
      <w:r>
        <w:rPr>
          <w:rFonts w:cs="Times New Roman"/>
          <w:lang w:val="fr-CA"/>
        </w:rPr>
        <w:t>p. </w:t>
      </w:r>
      <w:r w:rsidRPr="007B5EFE">
        <w:rPr>
          <w:rFonts w:cs="Times New Roman"/>
          <w:lang w:val="fr-CA"/>
        </w:rPr>
        <w:t>562</w:t>
      </w:r>
      <w:r w:rsidR="00140575">
        <w:rPr>
          <w:rFonts w:cs="Times New Roman"/>
          <w:lang w:val="fr-CA"/>
        </w:rPr>
        <w:t>-</w:t>
      </w:r>
      <w:r w:rsidRPr="007B5EFE">
        <w:rPr>
          <w:rFonts w:cs="Times New Roman"/>
          <w:lang w:val="fr-CA"/>
        </w:rPr>
        <w:t>563</w:t>
      </w:r>
      <w:r>
        <w:rPr>
          <w:rFonts w:cs="Times New Roman"/>
          <w:lang w:val="fr-CA"/>
        </w:rPr>
        <w:t> :</w:t>
      </w:r>
    </w:p>
    <w:p w:rsidR="00132FB1" w:rsidRPr="007B5EFE" w:rsidRDefault="00132FB1" w:rsidP="00073901">
      <w:pPr>
        <w:pStyle w:val="Citation-AltC"/>
        <w:widowControl w:val="0"/>
        <w:ind w:hanging="1166"/>
        <w:rPr>
          <w:lang w:val="fr-CA"/>
        </w:rPr>
      </w:pPr>
      <w:r w:rsidRPr="007B5EFE">
        <w:rPr>
          <w:lang w:val="fr-CA"/>
        </w:rPr>
        <w:lastRenderedPageBreak/>
        <w:tab/>
        <w:t>[</w:t>
      </w:r>
      <w:r w:rsidRPr="007B5EFE">
        <w:rPr>
          <w:smallCaps/>
          <w:lang w:val="fr-CA"/>
        </w:rPr>
        <w:t>traduction</w:t>
      </w:r>
      <w:r w:rsidRPr="007B5EFE">
        <w:rPr>
          <w:lang w:val="fr-CA"/>
        </w:rPr>
        <w:t>] De nos jours, les cours de magistrat entendent la forte majorité des causes pénales dans ce pays et un bon nombre d</w:t>
      </w:r>
      <w:r>
        <w:rPr>
          <w:lang w:val="fr-CA"/>
        </w:rPr>
        <w:t>’</w:t>
      </w:r>
      <w:r w:rsidRPr="007B5EFE">
        <w:rPr>
          <w:lang w:val="fr-CA"/>
        </w:rPr>
        <w:t xml:space="preserve">affaires civiles. </w:t>
      </w:r>
      <w:r w:rsidRPr="007B5EFE">
        <w:rPr>
          <w:u w:val="single"/>
          <w:lang w:val="fr-CA"/>
        </w:rPr>
        <w:t>Toute règle de pratique ou de procédure qui leur rend la tâche plus difficile ou qui les assujettit aux exigences du formalisme est donc à éviter</w:t>
      </w:r>
      <w:r w:rsidRPr="007B5EFE">
        <w:rPr>
          <w:lang w:val="fr-CA"/>
        </w:rPr>
        <w:t xml:space="preserve"> et Vos Seigneuries estimeront peut</w:t>
      </w:r>
      <w:r w:rsidR="00140575">
        <w:rPr>
          <w:lang w:val="fr-CA"/>
        </w:rPr>
        <w:t>-</w:t>
      </w:r>
      <w:r w:rsidRPr="007B5EFE">
        <w:rPr>
          <w:lang w:val="fr-CA"/>
        </w:rPr>
        <w:t>être que notre Chambre devrait maintenant encourager l</w:t>
      </w:r>
      <w:r>
        <w:rPr>
          <w:lang w:val="fr-CA"/>
        </w:rPr>
        <w:t>’</w:t>
      </w:r>
      <w:r w:rsidRPr="007B5EFE">
        <w:rPr>
          <w:lang w:val="fr-CA"/>
        </w:rPr>
        <w:t>adoption de règles de procédure et de pratique qui favorisent mieux l</w:t>
      </w:r>
      <w:r>
        <w:rPr>
          <w:lang w:val="fr-CA"/>
        </w:rPr>
        <w:t>’</w:t>
      </w:r>
      <w:r w:rsidRPr="007B5EFE">
        <w:rPr>
          <w:lang w:val="fr-CA"/>
        </w:rPr>
        <w:t>atteinte de la justice, notamment en ce qui concerne les intérêts tant de la poursuite que des défendeurs, pourvu que soient maintenues les mesures protectrices nécessaires pour parer à tout risque d</w:t>
      </w:r>
      <w:r>
        <w:rPr>
          <w:lang w:val="fr-CA"/>
        </w:rPr>
        <w:t>’</w:t>
      </w:r>
      <w:r w:rsidRPr="007B5EFE">
        <w:rPr>
          <w:lang w:val="fr-CA"/>
        </w:rPr>
        <w:t>injustice pour ces derniers. [Je souligne.]</w:t>
      </w:r>
    </w:p>
    <w:p w:rsidR="00132FB1" w:rsidRPr="007B5EFE" w:rsidRDefault="00132FB1" w:rsidP="00073901">
      <w:pPr>
        <w:pStyle w:val="ParaNoNdepar-AltN"/>
        <w:widowControl w:val="0"/>
        <w:rPr>
          <w:rFonts w:cs="Times New Roman"/>
          <w:lang w:val="fr-CA"/>
        </w:rPr>
      </w:pPr>
      <w:r w:rsidRPr="007B5EFE">
        <w:rPr>
          <w:rFonts w:cs="Times New Roman"/>
          <w:lang w:val="fr-CA"/>
        </w:rPr>
        <w:t>Cette observation va dans le même sens que le point de vue exprimé par la Cour d</w:t>
      </w:r>
      <w:r>
        <w:rPr>
          <w:rFonts w:cs="Times New Roman"/>
          <w:lang w:val="fr-CA"/>
        </w:rPr>
        <w:t>’</w:t>
      </w:r>
      <w:r w:rsidRPr="007B5EFE">
        <w:rPr>
          <w:rFonts w:cs="Times New Roman"/>
          <w:lang w:val="fr-CA"/>
        </w:rPr>
        <w:t>appel de la Colombie</w:t>
      </w:r>
      <w:r w:rsidR="00140575">
        <w:rPr>
          <w:rFonts w:cs="Times New Roman"/>
          <w:lang w:val="fr-CA"/>
        </w:rPr>
        <w:t>-</w:t>
      </w:r>
      <w:r w:rsidRPr="007B5EFE">
        <w:rPr>
          <w:rFonts w:cs="Times New Roman"/>
          <w:lang w:val="fr-CA"/>
        </w:rPr>
        <w:t>Britannique dans l</w:t>
      </w:r>
      <w:r>
        <w:rPr>
          <w:rFonts w:cs="Times New Roman"/>
          <w:lang w:val="fr-CA"/>
        </w:rPr>
        <w:t>’</w:t>
      </w:r>
      <w:r w:rsidRPr="007B5EFE">
        <w:rPr>
          <w:rFonts w:cs="Times New Roman"/>
          <w:lang w:val="fr-CA"/>
        </w:rPr>
        <w:t xml:space="preserve">arrêt </w:t>
      </w:r>
      <w:r w:rsidRPr="007B5EFE">
        <w:rPr>
          <w:rFonts w:cs="Times New Roman"/>
          <w:i/>
          <w:lang w:val="fr-CA"/>
        </w:rPr>
        <w:t xml:space="preserve">R. c. Massick </w:t>
      </w:r>
      <w:r w:rsidRPr="007B5EFE">
        <w:rPr>
          <w:rFonts w:cs="Times New Roman"/>
          <w:lang w:val="fr-CA"/>
        </w:rPr>
        <w:t xml:space="preserve">(1985), 21 C.C.C. (3d) 128, </w:t>
      </w:r>
      <w:r>
        <w:rPr>
          <w:rFonts w:cs="Times New Roman"/>
          <w:lang w:val="fr-CA"/>
        </w:rPr>
        <w:t>p. </w:t>
      </w:r>
      <w:r w:rsidRPr="007B5EFE">
        <w:rPr>
          <w:rFonts w:cs="Times New Roman"/>
          <w:lang w:val="fr-CA"/>
        </w:rPr>
        <w:t>134</w:t>
      </w:r>
      <w:r>
        <w:rPr>
          <w:rFonts w:cs="Times New Roman"/>
          <w:lang w:val="fr-CA"/>
        </w:rPr>
        <w:t> :</w:t>
      </w:r>
    </w:p>
    <w:p w:rsidR="00132FB1" w:rsidRPr="007B5EFE" w:rsidRDefault="00132FB1" w:rsidP="00073901">
      <w:pPr>
        <w:pStyle w:val="Citation-AltC"/>
        <w:widowControl w:val="0"/>
        <w:ind w:hanging="1166"/>
        <w:rPr>
          <w:lang w:val="fr-CA"/>
        </w:rPr>
      </w:pPr>
      <w:r w:rsidRPr="007B5EFE">
        <w:rPr>
          <w:lang w:val="fr-CA"/>
        </w:rPr>
        <w:tab/>
        <w:t>[</w:t>
      </w:r>
      <w:r w:rsidRPr="007B5EFE">
        <w:rPr>
          <w:smallCaps/>
          <w:lang w:val="fr-CA"/>
        </w:rPr>
        <w:t>traduction</w:t>
      </w:r>
      <w:r w:rsidR="00880602">
        <w:rPr>
          <w:lang w:val="fr-CA"/>
        </w:rPr>
        <w:t>] . . . l</w:t>
      </w:r>
      <w:r w:rsidRPr="007B5EFE">
        <w:rPr>
          <w:lang w:val="fr-CA"/>
        </w:rPr>
        <w:t xml:space="preserve">a </w:t>
      </w:r>
      <w:r w:rsidR="000E29CD">
        <w:rPr>
          <w:lang w:val="fr-CA"/>
        </w:rPr>
        <w:t>c</w:t>
      </w:r>
      <w:r w:rsidRPr="007B5EFE">
        <w:rPr>
          <w:lang w:val="fr-CA"/>
        </w:rPr>
        <w:t>our peut, sous réserve des limites qu</w:t>
      </w:r>
      <w:r>
        <w:rPr>
          <w:lang w:val="fr-CA"/>
        </w:rPr>
        <w:t>’</w:t>
      </w:r>
      <w:r w:rsidRPr="007B5EFE">
        <w:rPr>
          <w:lang w:val="fr-CA"/>
        </w:rPr>
        <w:t>impose la common law ou d</w:t>
      </w:r>
      <w:r>
        <w:rPr>
          <w:lang w:val="fr-CA"/>
        </w:rPr>
        <w:t>’</w:t>
      </w:r>
      <w:r w:rsidRPr="007B5EFE">
        <w:rPr>
          <w:lang w:val="fr-CA"/>
        </w:rPr>
        <w:t>un précédent qui la lie, autoriser une pratique ou une procédure qui favorise l</w:t>
      </w:r>
      <w:r>
        <w:rPr>
          <w:lang w:val="fr-CA"/>
        </w:rPr>
        <w:t>’</w:t>
      </w:r>
      <w:r w:rsidRPr="007B5EFE">
        <w:rPr>
          <w:lang w:val="fr-CA"/>
        </w:rPr>
        <w:t>administration de la justice, de manière juste et expéditive. Comme je l</w:t>
      </w:r>
      <w:r>
        <w:rPr>
          <w:lang w:val="fr-CA"/>
        </w:rPr>
        <w:t>’</w:t>
      </w:r>
      <w:r w:rsidRPr="007B5EFE">
        <w:rPr>
          <w:lang w:val="fr-CA"/>
        </w:rPr>
        <w:t>ai fait remarquer, la common law n</w:t>
      </w:r>
      <w:r>
        <w:rPr>
          <w:lang w:val="fr-CA"/>
        </w:rPr>
        <w:t>’</w:t>
      </w:r>
      <w:r w:rsidRPr="007B5EFE">
        <w:rPr>
          <w:lang w:val="fr-CA"/>
        </w:rPr>
        <w:t>interdit pas qu</w:t>
      </w:r>
      <w:r>
        <w:rPr>
          <w:lang w:val="fr-CA"/>
        </w:rPr>
        <w:t>’</w:t>
      </w:r>
      <w:r w:rsidRPr="007B5EFE">
        <w:rPr>
          <w:lang w:val="fr-CA"/>
        </w:rPr>
        <w:t>une même dénonciation énonce plus d</w:t>
      </w:r>
      <w:r>
        <w:rPr>
          <w:lang w:val="fr-CA"/>
        </w:rPr>
        <w:t>’</w:t>
      </w:r>
      <w:r w:rsidRPr="007B5EFE">
        <w:rPr>
          <w:lang w:val="fr-CA"/>
        </w:rPr>
        <w:t xml:space="preserve">une infraction punissable sur déclaration de culpabilité par procédure sommaire. </w:t>
      </w:r>
      <w:r w:rsidRPr="007B5EFE">
        <w:rPr>
          <w:u w:val="single"/>
          <w:lang w:val="fr-CA"/>
        </w:rPr>
        <w:t xml:space="preserve">La </w:t>
      </w:r>
      <w:r w:rsidR="000E29CD">
        <w:rPr>
          <w:u w:val="single"/>
          <w:lang w:val="fr-CA"/>
        </w:rPr>
        <w:t>c</w:t>
      </w:r>
      <w:r w:rsidRPr="007B5EFE">
        <w:rPr>
          <w:u w:val="single"/>
          <w:lang w:val="fr-CA"/>
        </w:rPr>
        <w:t>our n</w:t>
      </w:r>
      <w:r>
        <w:rPr>
          <w:u w:val="single"/>
          <w:lang w:val="fr-CA"/>
        </w:rPr>
        <w:t>’</w:t>
      </w:r>
      <w:r w:rsidRPr="007B5EFE">
        <w:rPr>
          <w:u w:val="single"/>
          <w:lang w:val="fr-CA"/>
        </w:rPr>
        <w:t>est liée par aucune décision qui l</w:t>
      </w:r>
      <w:r>
        <w:rPr>
          <w:u w:val="single"/>
          <w:lang w:val="fr-CA"/>
        </w:rPr>
        <w:t>’</w:t>
      </w:r>
      <w:r w:rsidRPr="007B5EFE">
        <w:rPr>
          <w:u w:val="single"/>
          <w:lang w:val="fr-CA"/>
        </w:rPr>
        <w:t>oblige à conclure qu</w:t>
      </w:r>
      <w:r>
        <w:rPr>
          <w:u w:val="single"/>
          <w:lang w:val="fr-CA"/>
        </w:rPr>
        <w:t>’</w:t>
      </w:r>
      <w:r w:rsidRPr="007B5EFE">
        <w:rPr>
          <w:u w:val="single"/>
          <w:lang w:val="fr-CA"/>
        </w:rPr>
        <w:t xml:space="preserve">une dénonciation ne peut énoncer des infractions punissables sur déclaration de culpabilité par procédure sommaire prévues à la fois dans le </w:t>
      </w:r>
      <w:r w:rsidRPr="007B5EFE">
        <w:rPr>
          <w:i/>
          <w:u w:val="single"/>
          <w:lang w:val="fr-CA"/>
        </w:rPr>
        <w:t>C</w:t>
      </w:r>
      <w:r w:rsidR="00880602">
        <w:rPr>
          <w:i/>
          <w:u w:val="single"/>
          <w:lang w:val="fr-CA"/>
        </w:rPr>
        <w:t xml:space="preserve">ode criminel </w:t>
      </w:r>
      <w:r w:rsidRPr="007B5EFE">
        <w:rPr>
          <w:u w:val="single"/>
          <w:lang w:val="fr-CA"/>
        </w:rPr>
        <w:t>et dans une loi provinciale. Qui plus est, lorsque les accusations découlent d</w:t>
      </w:r>
      <w:r>
        <w:rPr>
          <w:u w:val="single"/>
          <w:lang w:val="fr-CA"/>
        </w:rPr>
        <w:t>’</w:t>
      </w:r>
      <w:r w:rsidRPr="007B5EFE">
        <w:rPr>
          <w:u w:val="single"/>
          <w:lang w:val="fr-CA"/>
        </w:rPr>
        <w:t>un même ensemble de circonstances, une telle approche semble raisonnable et logique.</w:t>
      </w:r>
      <w:r w:rsidRPr="007B5EFE">
        <w:rPr>
          <w:lang w:val="fr-CA"/>
        </w:rPr>
        <w:t xml:space="preserve"> [Je souligne.]</w:t>
      </w:r>
    </w:p>
    <w:p w:rsidR="00132FB1" w:rsidRPr="007B5EFE" w:rsidRDefault="00132FB1" w:rsidP="00073901">
      <w:pPr>
        <w:pStyle w:val="ParaNoNdepar-AltN"/>
        <w:widowControl w:val="0"/>
        <w:rPr>
          <w:rFonts w:cs="Times New Roman"/>
          <w:lang w:val="fr-CA"/>
        </w:rPr>
      </w:pPr>
      <w:r w:rsidRPr="007B5EFE">
        <w:rPr>
          <w:rFonts w:cs="Times New Roman"/>
          <w:lang w:val="fr-CA"/>
        </w:rPr>
        <w:t>Hormis son formalisme, l</w:t>
      </w:r>
      <w:r>
        <w:rPr>
          <w:rFonts w:cs="Times New Roman"/>
          <w:lang w:val="fr-CA"/>
        </w:rPr>
        <w:t>’</w:t>
      </w:r>
      <w:r w:rsidRPr="007B5EFE">
        <w:rPr>
          <w:rFonts w:cs="Times New Roman"/>
          <w:lang w:val="fr-CA"/>
        </w:rPr>
        <w:t>argument de M. Sciascia — selon qui la tenue d</w:t>
      </w:r>
      <w:r>
        <w:rPr>
          <w:rFonts w:cs="Times New Roman"/>
          <w:lang w:val="fr-CA"/>
        </w:rPr>
        <w:t>’</w:t>
      </w:r>
      <w:r w:rsidRPr="007B5EFE">
        <w:rPr>
          <w:rFonts w:cs="Times New Roman"/>
          <w:lang w:val="fr-CA"/>
        </w:rPr>
        <w:t>un procès conjoint devrait être expressément autorisée par la loi — n</w:t>
      </w:r>
      <w:r>
        <w:rPr>
          <w:rFonts w:cs="Times New Roman"/>
          <w:lang w:val="fr-CA"/>
        </w:rPr>
        <w:t>’</w:t>
      </w:r>
      <w:r w:rsidRPr="007B5EFE">
        <w:rPr>
          <w:rFonts w:cs="Times New Roman"/>
          <w:lang w:val="fr-CA"/>
        </w:rPr>
        <w:t>est pas étayé par la jurisprudence de la Cour. Dans l</w:t>
      </w:r>
      <w:r>
        <w:rPr>
          <w:rFonts w:cs="Times New Roman"/>
          <w:lang w:val="fr-CA"/>
        </w:rPr>
        <w:t>’</w:t>
      </w:r>
      <w:r w:rsidRPr="007B5EFE">
        <w:rPr>
          <w:rFonts w:cs="Times New Roman"/>
          <w:lang w:val="fr-CA"/>
        </w:rPr>
        <w:t xml:space="preserve">arrêt </w:t>
      </w:r>
      <w:r w:rsidRPr="007B5EFE">
        <w:rPr>
          <w:rFonts w:cs="Times New Roman"/>
          <w:i/>
          <w:lang w:val="fr-CA"/>
        </w:rPr>
        <w:t>S.J.L.</w:t>
      </w:r>
      <w:r w:rsidRPr="007B5EFE">
        <w:rPr>
          <w:rFonts w:cs="Times New Roman"/>
          <w:lang w:val="fr-CA"/>
        </w:rPr>
        <w:t xml:space="preserve">, </w:t>
      </w:r>
      <w:r>
        <w:rPr>
          <w:rFonts w:cs="Times New Roman"/>
          <w:lang w:val="fr-CA"/>
        </w:rPr>
        <w:t xml:space="preserve">la juge </w:t>
      </w:r>
      <w:r w:rsidRPr="007B5EFE">
        <w:rPr>
          <w:rFonts w:cs="Times New Roman"/>
          <w:lang w:val="fr-CA"/>
        </w:rPr>
        <w:t>Deschamps, s</w:t>
      </w:r>
      <w:r>
        <w:rPr>
          <w:rFonts w:cs="Times New Roman"/>
          <w:lang w:val="fr-CA"/>
        </w:rPr>
        <w:t>’</w:t>
      </w:r>
      <w:r w:rsidRPr="007B5EFE">
        <w:rPr>
          <w:rFonts w:cs="Times New Roman"/>
          <w:lang w:val="fr-CA"/>
        </w:rPr>
        <w:t>exprimant au nom des juges majoritaires, précise que le fait pour un juge d</w:t>
      </w:r>
      <w:r>
        <w:rPr>
          <w:rFonts w:cs="Times New Roman"/>
          <w:lang w:val="fr-CA"/>
        </w:rPr>
        <w:t>’</w:t>
      </w:r>
      <w:r w:rsidRPr="007B5EFE">
        <w:rPr>
          <w:rFonts w:cs="Times New Roman"/>
          <w:lang w:val="fr-CA"/>
        </w:rPr>
        <w:t>exercer simultanément des compétences provenant de sources indépendantes sans y être expressément autorisé par une loi ne pose pas en soi un problème (</w:t>
      </w:r>
      <w:r>
        <w:rPr>
          <w:rFonts w:cs="Times New Roman"/>
          <w:lang w:val="fr-CA"/>
        </w:rPr>
        <w:t>par. </w:t>
      </w:r>
      <w:r w:rsidRPr="007B5EFE">
        <w:rPr>
          <w:rFonts w:cs="Times New Roman"/>
          <w:lang w:val="fr-CA"/>
        </w:rPr>
        <w:t>59</w:t>
      </w:r>
      <w:r w:rsidR="00140575">
        <w:rPr>
          <w:rFonts w:cs="Times New Roman"/>
          <w:lang w:val="fr-CA"/>
        </w:rPr>
        <w:t>-</w:t>
      </w:r>
      <w:r w:rsidRPr="007B5EFE">
        <w:rPr>
          <w:rFonts w:cs="Times New Roman"/>
          <w:lang w:val="fr-CA"/>
        </w:rPr>
        <w:t>60)</w:t>
      </w:r>
      <w:r>
        <w:rPr>
          <w:rFonts w:cs="Times New Roman"/>
          <w:lang w:val="fr-CA"/>
        </w:rPr>
        <w:t> :</w:t>
      </w:r>
    </w:p>
    <w:p w:rsidR="00132FB1" w:rsidRPr="007B5EFE" w:rsidRDefault="00132FB1" w:rsidP="00073901">
      <w:pPr>
        <w:pStyle w:val="Citation-AltC"/>
        <w:widowControl w:val="0"/>
        <w:spacing w:after="240"/>
        <w:ind w:left="1168" w:hanging="1168"/>
        <w:contextualSpacing w:val="0"/>
        <w:rPr>
          <w:lang w:val="fr-CA"/>
        </w:rPr>
      </w:pPr>
      <w:r w:rsidRPr="007B5EFE">
        <w:rPr>
          <w:lang w:val="fr-CA"/>
        </w:rPr>
        <w:lastRenderedPageBreak/>
        <w:tab/>
      </w:r>
      <w:r w:rsidRPr="005F34B0">
        <w:rPr>
          <w:lang w:val="fr-CA"/>
        </w:rPr>
        <w:t>. . .</w:t>
      </w:r>
      <w:r w:rsidRPr="000E29CD">
        <w:rPr>
          <w:lang w:val="fr-CA"/>
        </w:rPr>
        <w:t xml:space="preserve"> </w:t>
      </w:r>
      <w:r w:rsidRPr="007B5EFE">
        <w:rPr>
          <w:u w:val="single"/>
          <w:lang w:val="fr-CA"/>
        </w:rPr>
        <w:t>il n</w:t>
      </w:r>
      <w:r>
        <w:rPr>
          <w:u w:val="single"/>
          <w:lang w:val="fr-CA"/>
        </w:rPr>
        <w:t>’</w:t>
      </w:r>
      <w:r w:rsidRPr="007B5EFE">
        <w:rPr>
          <w:u w:val="single"/>
          <w:lang w:val="fr-CA"/>
        </w:rPr>
        <w:t>est pas impossible qu</w:t>
      </w:r>
      <w:r>
        <w:rPr>
          <w:u w:val="single"/>
          <w:lang w:val="fr-CA"/>
        </w:rPr>
        <w:t>’</w:t>
      </w:r>
      <w:r w:rsidRPr="007B5EFE">
        <w:rPr>
          <w:u w:val="single"/>
          <w:lang w:val="fr-CA"/>
        </w:rPr>
        <w:t>un juge et un tribunal portent deux chapeaux à la fois</w:t>
      </w:r>
      <w:r w:rsidRPr="005F34B0">
        <w:rPr>
          <w:lang w:val="fr-CA"/>
        </w:rPr>
        <w:t>.</w:t>
      </w:r>
      <w:r w:rsidRPr="007B5EFE">
        <w:rPr>
          <w:lang w:val="fr-CA"/>
        </w:rPr>
        <w:t xml:space="preserve"> En effet, il existe plusieurs situations où la compétence d</w:t>
      </w:r>
      <w:r>
        <w:rPr>
          <w:lang w:val="fr-CA"/>
        </w:rPr>
        <w:t>’</w:t>
      </w:r>
      <w:r w:rsidRPr="007B5EFE">
        <w:rPr>
          <w:lang w:val="fr-CA"/>
        </w:rPr>
        <w:t>un juge s</w:t>
      </w:r>
      <w:r>
        <w:rPr>
          <w:lang w:val="fr-CA"/>
        </w:rPr>
        <w:t>’</w:t>
      </w:r>
      <w:r w:rsidRPr="007B5EFE">
        <w:rPr>
          <w:lang w:val="fr-CA"/>
        </w:rPr>
        <w:t>étend à plus d</w:t>
      </w:r>
      <w:r>
        <w:rPr>
          <w:lang w:val="fr-CA"/>
        </w:rPr>
        <w:t>’</w:t>
      </w:r>
      <w:r w:rsidRPr="007B5EFE">
        <w:rPr>
          <w:lang w:val="fr-CA"/>
        </w:rPr>
        <w:t>une matière. On peut penser, par exemple, aux juges municipaux et aux juges de la Cour du Québec et de la Cour supérieure qui, en plus de leur compétence respective, sont aussi juges de paix</w:t>
      </w:r>
      <w:r w:rsidR="000E29CD">
        <w:rPr>
          <w:lang w:val="fr-CA"/>
        </w:rPr>
        <w:t> </w:t>
      </w:r>
      <w:r w:rsidRPr="007B5EFE">
        <w:rPr>
          <w:lang w:val="fr-CA"/>
        </w:rPr>
        <w:t>. . .</w:t>
      </w:r>
    </w:p>
    <w:p w:rsidR="00132FB1" w:rsidRPr="007B5EFE" w:rsidRDefault="00132FB1" w:rsidP="00073901">
      <w:pPr>
        <w:pStyle w:val="Citation-AltC"/>
        <w:widowControl w:val="0"/>
        <w:ind w:hanging="1166"/>
      </w:pPr>
      <w:r w:rsidRPr="007B5EFE">
        <w:rPr>
          <w:lang w:val="fr-CA"/>
        </w:rPr>
        <w:tab/>
      </w:r>
      <w:r w:rsidRPr="007B5EFE">
        <w:rPr>
          <w:lang w:val="fr-CA"/>
        </w:rPr>
        <w:tab/>
        <w:t>L</w:t>
      </w:r>
      <w:r>
        <w:rPr>
          <w:lang w:val="fr-CA"/>
        </w:rPr>
        <w:t>’</w:t>
      </w:r>
      <w:r w:rsidRPr="007B5EFE">
        <w:rPr>
          <w:lang w:val="fr-CA"/>
        </w:rPr>
        <w:t>exercice simultané de plusieurs compétences n</w:t>
      </w:r>
      <w:r>
        <w:rPr>
          <w:lang w:val="fr-CA"/>
        </w:rPr>
        <w:t>’</w:t>
      </w:r>
      <w:r w:rsidRPr="007B5EFE">
        <w:rPr>
          <w:lang w:val="fr-CA"/>
        </w:rPr>
        <w:t xml:space="preserve">est donc pas une situation inédite et a même été examiné par les tribunaux dans le passé. [. . .] Par conséquent, </w:t>
      </w:r>
      <w:r w:rsidRPr="007B5EFE">
        <w:rPr>
          <w:u w:val="single"/>
          <w:lang w:val="fr-CA"/>
        </w:rPr>
        <w:t>lorsqu</w:t>
      </w:r>
      <w:r>
        <w:rPr>
          <w:u w:val="single"/>
          <w:lang w:val="fr-CA"/>
        </w:rPr>
        <w:t>’</w:t>
      </w:r>
      <w:r w:rsidRPr="007B5EFE">
        <w:rPr>
          <w:u w:val="single"/>
          <w:lang w:val="fr-CA"/>
        </w:rPr>
        <w:t>un juge est habilité à exercer deux compétences différentes, rien ne s</w:t>
      </w:r>
      <w:r>
        <w:rPr>
          <w:u w:val="single"/>
          <w:lang w:val="fr-CA"/>
        </w:rPr>
        <w:t>’</w:t>
      </w:r>
      <w:r w:rsidRPr="007B5EFE">
        <w:rPr>
          <w:u w:val="single"/>
          <w:lang w:val="fr-CA"/>
        </w:rPr>
        <w:t>oppose de façon générale à ce qu</w:t>
      </w:r>
      <w:r>
        <w:rPr>
          <w:u w:val="single"/>
          <w:lang w:val="fr-CA"/>
        </w:rPr>
        <w:t>’</w:t>
      </w:r>
      <w:r w:rsidRPr="007B5EFE">
        <w:rPr>
          <w:u w:val="single"/>
          <w:lang w:val="fr-CA"/>
        </w:rPr>
        <w:t>il les exerce simultanément</w:t>
      </w:r>
      <w:r w:rsidRPr="007B5EFE">
        <w:rPr>
          <w:lang w:val="fr-CA"/>
        </w:rPr>
        <w:t xml:space="preserve">. </w:t>
      </w:r>
      <w:r w:rsidRPr="007B5EFE">
        <w:t>[Je souligne.]</w:t>
      </w:r>
    </w:p>
    <w:p w:rsidR="00132FB1" w:rsidRPr="007B5EFE" w:rsidRDefault="00132FB1" w:rsidP="00073901">
      <w:pPr>
        <w:pStyle w:val="ParaNoNdepar-AltN"/>
        <w:widowControl w:val="0"/>
        <w:rPr>
          <w:rFonts w:cs="Times New Roman"/>
          <w:lang w:val="fr-CA"/>
        </w:rPr>
      </w:pPr>
      <w:r w:rsidRPr="007B5EFE">
        <w:rPr>
          <w:rFonts w:cs="Times New Roman"/>
          <w:lang w:val="fr-CA"/>
        </w:rPr>
        <w:t>L</w:t>
      </w:r>
      <w:r>
        <w:rPr>
          <w:rFonts w:cs="Times New Roman"/>
          <w:lang w:val="fr-CA"/>
        </w:rPr>
        <w:t>’</w:t>
      </w:r>
      <w:r w:rsidRPr="007B5EFE">
        <w:rPr>
          <w:rFonts w:cs="Times New Roman"/>
          <w:lang w:val="fr-CA"/>
        </w:rPr>
        <w:t>intervenant, le procureur général de la Colombie</w:t>
      </w:r>
      <w:r w:rsidR="00140575">
        <w:rPr>
          <w:rFonts w:cs="Times New Roman"/>
          <w:lang w:val="fr-CA"/>
        </w:rPr>
        <w:t>-</w:t>
      </w:r>
      <w:r w:rsidRPr="007B5EFE">
        <w:rPr>
          <w:rFonts w:cs="Times New Roman"/>
          <w:lang w:val="fr-CA"/>
        </w:rPr>
        <w:t>Britannique, fait valoir que le silence de la loi — qui n</w:t>
      </w:r>
      <w:r>
        <w:rPr>
          <w:rFonts w:cs="Times New Roman"/>
          <w:lang w:val="fr-CA"/>
        </w:rPr>
        <w:t>’</w:t>
      </w:r>
      <w:r w:rsidRPr="007B5EFE">
        <w:rPr>
          <w:rFonts w:cs="Times New Roman"/>
          <w:lang w:val="fr-CA"/>
        </w:rPr>
        <w:t>autorise ni n</w:t>
      </w:r>
      <w:r>
        <w:rPr>
          <w:rFonts w:cs="Times New Roman"/>
          <w:lang w:val="fr-CA"/>
        </w:rPr>
        <w:t>’</w:t>
      </w:r>
      <w:r w:rsidRPr="007B5EFE">
        <w:rPr>
          <w:rFonts w:cs="Times New Roman"/>
          <w:lang w:val="fr-CA"/>
        </w:rPr>
        <w:t>interdit la tenue d</w:t>
      </w:r>
      <w:r>
        <w:rPr>
          <w:rFonts w:cs="Times New Roman"/>
          <w:lang w:val="fr-CA"/>
        </w:rPr>
        <w:t>’</w:t>
      </w:r>
      <w:r w:rsidRPr="007B5EFE">
        <w:rPr>
          <w:rFonts w:cs="Times New Roman"/>
          <w:lang w:val="fr-CA"/>
        </w:rPr>
        <w:t>un procès conjoint — devrait, dans les circonstances de l</w:t>
      </w:r>
      <w:r>
        <w:rPr>
          <w:rFonts w:cs="Times New Roman"/>
          <w:lang w:val="fr-CA"/>
        </w:rPr>
        <w:t>’</w:t>
      </w:r>
      <w:r w:rsidRPr="007B5EFE">
        <w:rPr>
          <w:rFonts w:cs="Times New Roman"/>
          <w:lang w:val="fr-CA"/>
        </w:rPr>
        <w:t>espèce, être considéré une valeur neutre dans l</w:t>
      </w:r>
      <w:r>
        <w:rPr>
          <w:rFonts w:cs="Times New Roman"/>
          <w:lang w:val="fr-CA"/>
        </w:rPr>
        <w:t>’</w:t>
      </w:r>
      <w:r w:rsidRPr="007B5EFE">
        <w:rPr>
          <w:rFonts w:cs="Times New Roman"/>
          <w:lang w:val="fr-CA"/>
        </w:rPr>
        <w:t>analyse. Je suis d</w:t>
      </w:r>
      <w:r>
        <w:rPr>
          <w:rFonts w:cs="Times New Roman"/>
          <w:lang w:val="fr-CA"/>
        </w:rPr>
        <w:t>’</w:t>
      </w:r>
      <w:r w:rsidRPr="007B5EFE">
        <w:rPr>
          <w:rFonts w:cs="Times New Roman"/>
          <w:lang w:val="fr-CA"/>
        </w:rPr>
        <w:t>accord. En l</w:t>
      </w:r>
      <w:r>
        <w:rPr>
          <w:rFonts w:cs="Times New Roman"/>
          <w:lang w:val="fr-CA"/>
        </w:rPr>
        <w:t>’</w:t>
      </w:r>
      <w:r w:rsidRPr="007B5EFE">
        <w:rPr>
          <w:rFonts w:cs="Times New Roman"/>
          <w:lang w:val="fr-CA"/>
        </w:rPr>
        <w:t>absence d</w:t>
      </w:r>
      <w:r>
        <w:rPr>
          <w:rFonts w:cs="Times New Roman"/>
          <w:lang w:val="fr-CA"/>
        </w:rPr>
        <w:t>’</w:t>
      </w:r>
      <w:r w:rsidRPr="007B5EFE">
        <w:rPr>
          <w:rFonts w:cs="Times New Roman"/>
          <w:lang w:val="fr-CA"/>
        </w:rPr>
        <w:t>une disposition qui autorise expressément l</w:t>
      </w:r>
      <w:r>
        <w:rPr>
          <w:rFonts w:cs="Times New Roman"/>
          <w:lang w:val="fr-CA"/>
        </w:rPr>
        <w:t>’</w:t>
      </w:r>
      <w:r w:rsidRPr="007B5EFE">
        <w:rPr>
          <w:rFonts w:cs="Times New Roman"/>
          <w:lang w:val="fr-CA"/>
        </w:rPr>
        <w:t>instruction conjointe d</w:t>
      </w:r>
      <w:r>
        <w:rPr>
          <w:rFonts w:cs="Times New Roman"/>
          <w:lang w:val="fr-CA"/>
        </w:rPr>
        <w:t>’</w:t>
      </w:r>
      <w:r w:rsidRPr="007B5EFE">
        <w:rPr>
          <w:rFonts w:cs="Times New Roman"/>
          <w:lang w:val="fr-CA"/>
        </w:rPr>
        <w:t>accusations relatives à des infractions provinciales et d</w:t>
      </w:r>
      <w:r>
        <w:rPr>
          <w:rFonts w:cs="Times New Roman"/>
          <w:lang w:val="fr-CA"/>
        </w:rPr>
        <w:t>’</w:t>
      </w:r>
      <w:r w:rsidR="000E29CD">
        <w:rPr>
          <w:rFonts w:cs="Times New Roman"/>
          <w:lang w:val="fr-CA"/>
        </w:rPr>
        <w:t>autres</w:t>
      </w:r>
      <w:r w:rsidRPr="007B5EFE">
        <w:rPr>
          <w:rFonts w:cs="Times New Roman"/>
          <w:lang w:val="fr-CA"/>
        </w:rPr>
        <w:t xml:space="preserve"> relatives à des infractions criminelles punissables sur déclaration de culpabilité par procédure sommaire, la compétence d</w:t>
      </w:r>
      <w:r>
        <w:rPr>
          <w:rFonts w:cs="Times New Roman"/>
          <w:lang w:val="fr-CA"/>
        </w:rPr>
        <w:t>’</w:t>
      </w:r>
      <w:r w:rsidRPr="007B5EFE">
        <w:rPr>
          <w:rFonts w:cs="Times New Roman"/>
          <w:lang w:val="fr-CA"/>
        </w:rPr>
        <w:t>un juge de la CJO procède de l</w:t>
      </w:r>
      <w:r>
        <w:rPr>
          <w:rFonts w:cs="Times New Roman"/>
          <w:lang w:val="fr-CA"/>
        </w:rPr>
        <w:t>’</w:t>
      </w:r>
      <w:r w:rsidRPr="007B5EFE">
        <w:rPr>
          <w:rFonts w:cs="Times New Roman"/>
          <w:lang w:val="fr-CA"/>
        </w:rPr>
        <w:t>intention du législateur et des prin</w:t>
      </w:r>
      <w:r w:rsidR="000E29CD">
        <w:rPr>
          <w:rFonts w:cs="Times New Roman"/>
          <w:lang w:val="fr-CA"/>
        </w:rPr>
        <w:t>cipes de common law applicables,</w:t>
      </w:r>
      <w:r w:rsidRPr="007B5EFE">
        <w:rPr>
          <w:rFonts w:cs="Times New Roman"/>
          <w:lang w:val="fr-CA"/>
        </w:rPr>
        <w:t xml:space="preserve"> que j</w:t>
      </w:r>
      <w:r>
        <w:rPr>
          <w:rFonts w:cs="Times New Roman"/>
          <w:lang w:val="fr-CA"/>
        </w:rPr>
        <w:t>’</w:t>
      </w:r>
      <w:r w:rsidRPr="007B5EFE">
        <w:rPr>
          <w:rFonts w:cs="Times New Roman"/>
          <w:lang w:val="fr-CA"/>
        </w:rPr>
        <w:t>examinerai maintenant.</w:t>
      </w:r>
    </w:p>
    <w:p w:rsidR="00132FB1" w:rsidRPr="007B5EFE" w:rsidRDefault="00132FB1" w:rsidP="00073901">
      <w:pPr>
        <w:pStyle w:val="Title2LevelTitre2Niveau"/>
        <w:widowControl w:val="0"/>
        <w:rPr>
          <w:rFonts w:cs="Times New Roman"/>
          <w:lang w:val="fr-CA"/>
        </w:rPr>
      </w:pPr>
      <w:r w:rsidRPr="007B5EFE">
        <w:rPr>
          <w:rFonts w:cs="Times New Roman"/>
          <w:lang w:val="fr-CA"/>
        </w:rPr>
        <w:t>Respect de l</w:t>
      </w:r>
      <w:r>
        <w:rPr>
          <w:rFonts w:cs="Times New Roman"/>
          <w:lang w:val="fr-CA"/>
        </w:rPr>
        <w:t>’</w:t>
      </w:r>
      <w:r w:rsidRPr="007B5EFE">
        <w:rPr>
          <w:rFonts w:cs="Times New Roman"/>
          <w:lang w:val="fr-CA"/>
        </w:rPr>
        <w:t>intention du législateur</w:t>
      </w:r>
    </w:p>
    <w:p w:rsidR="00132FB1" w:rsidRPr="007B5EFE" w:rsidRDefault="00132FB1" w:rsidP="00073901">
      <w:pPr>
        <w:pStyle w:val="ParaNoNdepar-AltN"/>
        <w:widowControl w:val="0"/>
        <w:rPr>
          <w:rFonts w:cs="Times New Roman"/>
          <w:lang w:val="fr-CA"/>
        </w:rPr>
      </w:pPr>
      <w:r w:rsidRPr="007B5EFE">
        <w:rPr>
          <w:rFonts w:cs="Times New Roman"/>
          <w:lang w:val="fr-CA"/>
        </w:rPr>
        <w:t>Dans le présent contexte, l</w:t>
      </w:r>
      <w:r>
        <w:rPr>
          <w:rFonts w:cs="Times New Roman"/>
          <w:lang w:val="fr-CA"/>
        </w:rPr>
        <w:t>’</w:t>
      </w:r>
      <w:r w:rsidRPr="007B5EFE">
        <w:rPr>
          <w:rFonts w:cs="Times New Roman"/>
          <w:lang w:val="fr-CA"/>
        </w:rPr>
        <w:t>instruction conjointe d</w:t>
      </w:r>
      <w:r>
        <w:rPr>
          <w:rFonts w:cs="Times New Roman"/>
          <w:lang w:val="fr-CA"/>
        </w:rPr>
        <w:t>’</w:t>
      </w:r>
      <w:r w:rsidRPr="007B5EFE">
        <w:rPr>
          <w:rFonts w:cs="Times New Roman"/>
          <w:lang w:val="fr-CA"/>
        </w:rPr>
        <w:t>accusations relatives à des infractions provinciales et d</w:t>
      </w:r>
      <w:r>
        <w:rPr>
          <w:rFonts w:cs="Times New Roman"/>
          <w:lang w:val="fr-CA"/>
        </w:rPr>
        <w:t>’</w:t>
      </w:r>
      <w:r w:rsidRPr="007B5EFE">
        <w:rPr>
          <w:rFonts w:cs="Times New Roman"/>
          <w:lang w:val="fr-CA"/>
        </w:rPr>
        <w:t>accusations relatives à des infractions criminelles punissables sur déclaration de culpabilité par procédure sommaire est conforme à l</w:t>
      </w:r>
      <w:r>
        <w:rPr>
          <w:rFonts w:cs="Times New Roman"/>
          <w:lang w:val="fr-CA"/>
        </w:rPr>
        <w:t>’</w:t>
      </w:r>
      <w:r w:rsidRPr="007B5EFE">
        <w:rPr>
          <w:rFonts w:cs="Times New Roman"/>
          <w:lang w:val="fr-CA"/>
        </w:rPr>
        <w:t xml:space="preserve">esprit tant de la </w:t>
      </w:r>
      <w:r w:rsidRPr="007B5EFE">
        <w:rPr>
          <w:rFonts w:cs="Times New Roman"/>
          <w:i/>
          <w:lang w:val="fr-CA"/>
        </w:rPr>
        <w:t>LIP</w:t>
      </w:r>
      <w:r w:rsidR="00880602">
        <w:rPr>
          <w:rFonts w:cs="Times New Roman"/>
          <w:lang w:val="fr-CA"/>
        </w:rPr>
        <w:t xml:space="preserve"> que du </w:t>
      </w:r>
      <w:r w:rsidR="00880602" w:rsidRPr="00880602">
        <w:rPr>
          <w:rFonts w:cs="Times New Roman"/>
          <w:i/>
          <w:lang w:val="fr-CA"/>
        </w:rPr>
        <w:t>Code criminel</w:t>
      </w:r>
      <w:r w:rsidRPr="007B5EFE">
        <w:rPr>
          <w:rFonts w:cs="Times New Roman"/>
          <w:i/>
          <w:lang w:val="fr-CA"/>
        </w:rPr>
        <w:t>.</w:t>
      </w:r>
      <w:r w:rsidRPr="007B5EFE">
        <w:rPr>
          <w:rFonts w:cs="Times New Roman"/>
          <w:lang w:val="fr-CA"/>
        </w:rPr>
        <w:t xml:space="preserve"> Lorsqu</w:t>
      </w:r>
      <w:r>
        <w:rPr>
          <w:rFonts w:cs="Times New Roman"/>
          <w:lang w:val="fr-CA"/>
        </w:rPr>
        <w:t>’</w:t>
      </w:r>
      <w:r w:rsidRPr="007B5EFE">
        <w:rPr>
          <w:rFonts w:cs="Times New Roman"/>
          <w:lang w:val="fr-CA"/>
        </w:rPr>
        <w:t>un incident ou des faits précis donnent lieu à la fois à des accusations de ces deux types, la souplesse qui permet de les juger ensemble ne peut que contribuer à l</w:t>
      </w:r>
      <w:r>
        <w:rPr>
          <w:rFonts w:cs="Times New Roman"/>
          <w:lang w:val="fr-CA"/>
        </w:rPr>
        <w:t>’</w:t>
      </w:r>
      <w:r w:rsidRPr="007B5EFE">
        <w:rPr>
          <w:rFonts w:cs="Times New Roman"/>
          <w:lang w:val="fr-CA"/>
        </w:rPr>
        <w:t xml:space="preserve">atteinte des objectifs des lois fédérales et </w:t>
      </w:r>
      <w:r w:rsidRPr="007B5EFE">
        <w:rPr>
          <w:rFonts w:cs="Times New Roman"/>
          <w:lang w:val="fr-CA"/>
        </w:rPr>
        <w:lastRenderedPageBreak/>
        <w:t xml:space="preserve">provinciales pertinentes. </w:t>
      </w:r>
    </w:p>
    <w:p w:rsidR="00132FB1" w:rsidRPr="007B5EFE" w:rsidRDefault="00132FB1" w:rsidP="00073901">
      <w:pPr>
        <w:pStyle w:val="Title3LevelTitre3Niveau"/>
        <w:widowControl w:val="0"/>
        <w:rPr>
          <w:rFonts w:cs="Times New Roman"/>
          <w:lang w:val="fr-CA"/>
        </w:rPr>
      </w:pPr>
      <w:r w:rsidRPr="007B5EFE">
        <w:rPr>
          <w:rFonts w:cs="Times New Roman"/>
          <w:lang w:val="fr-CA"/>
        </w:rPr>
        <w:t xml:space="preserve">Le paragraphe 2(1) de la </w:t>
      </w:r>
      <w:r w:rsidRPr="007B5EFE">
        <w:rPr>
          <w:rFonts w:cs="Times New Roman"/>
          <w:i/>
          <w:lang w:val="fr-CA"/>
        </w:rPr>
        <w:t>LIP</w:t>
      </w:r>
    </w:p>
    <w:p w:rsidR="00132FB1" w:rsidRPr="007B5EFE" w:rsidRDefault="00132FB1" w:rsidP="00073901">
      <w:pPr>
        <w:pStyle w:val="ParaNoNdepar-AltN"/>
        <w:widowControl w:val="0"/>
        <w:rPr>
          <w:rFonts w:cs="Times New Roman"/>
          <w:lang w:val="fr-CA"/>
        </w:rPr>
      </w:pPr>
      <w:r w:rsidRPr="007B5EFE">
        <w:rPr>
          <w:rFonts w:cs="Times New Roman"/>
          <w:lang w:val="fr-CA"/>
        </w:rPr>
        <w:t>Monsieur Sciascia ne conteste pas le fait que le pouvoir discrétionnaire de juger ensemble des accusations relatives à des infractions provinciales et d</w:t>
      </w:r>
      <w:r>
        <w:rPr>
          <w:rFonts w:cs="Times New Roman"/>
          <w:lang w:val="fr-CA"/>
        </w:rPr>
        <w:t>’</w:t>
      </w:r>
      <w:r w:rsidRPr="007B5EFE">
        <w:rPr>
          <w:rFonts w:cs="Times New Roman"/>
          <w:lang w:val="fr-CA"/>
        </w:rPr>
        <w:t>autres relatives à des infractions criminelles punissables sur déclaration de culpabilité par procédure sommaire respecte l</w:t>
      </w:r>
      <w:r>
        <w:rPr>
          <w:rFonts w:cs="Times New Roman"/>
          <w:lang w:val="fr-CA"/>
        </w:rPr>
        <w:t>’</w:t>
      </w:r>
      <w:r w:rsidRPr="007B5EFE">
        <w:rPr>
          <w:rFonts w:cs="Times New Roman"/>
          <w:lang w:val="fr-CA"/>
        </w:rPr>
        <w:t xml:space="preserve">esprit du </w:t>
      </w:r>
      <w:r w:rsidRPr="007B5EFE">
        <w:rPr>
          <w:rFonts w:cs="Times New Roman"/>
          <w:i/>
          <w:lang w:val="fr-CA"/>
        </w:rPr>
        <w:t>C</w:t>
      </w:r>
      <w:r w:rsidR="00880602">
        <w:rPr>
          <w:rFonts w:cs="Times New Roman"/>
          <w:i/>
          <w:lang w:val="fr-CA"/>
        </w:rPr>
        <w:t>ode criminel</w:t>
      </w:r>
      <w:r w:rsidRPr="007B5EFE">
        <w:rPr>
          <w:rFonts w:cs="Times New Roman"/>
          <w:lang w:val="fr-CA"/>
        </w:rPr>
        <w:t xml:space="preserve"> voulu par le législateur fédér</w:t>
      </w:r>
      <w:r>
        <w:rPr>
          <w:rFonts w:cs="Times New Roman"/>
          <w:lang w:val="fr-CA"/>
        </w:rPr>
        <w:t>al. </w:t>
      </w:r>
      <w:r w:rsidRPr="007B5EFE">
        <w:rPr>
          <w:rFonts w:cs="Times New Roman"/>
          <w:lang w:val="fr-CA"/>
        </w:rPr>
        <w:t>Il fait toutefois valoir que, lorsqu</w:t>
      </w:r>
      <w:r>
        <w:rPr>
          <w:rFonts w:cs="Times New Roman"/>
          <w:lang w:val="fr-CA"/>
        </w:rPr>
        <w:t>’</w:t>
      </w:r>
      <w:r w:rsidRPr="007B5EFE">
        <w:rPr>
          <w:rFonts w:cs="Times New Roman"/>
          <w:lang w:val="fr-CA"/>
        </w:rPr>
        <w:t xml:space="preserve">elle a édicté la </w:t>
      </w:r>
      <w:r w:rsidRPr="007B5EFE">
        <w:rPr>
          <w:rFonts w:cs="Times New Roman"/>
          <w:i/>
          <w:lang w:val="fr-CA"/>
        </w:rPr>
        <w:t>LIP</w:t>
      </w:r>
      <w:r w:rsidRPr="007B5EFE">
        <w:rPr>
          <w:rFonts w:cs="Times New Roman"/>
          <w:lang w:val="fr-CA"/>
        </w:rPr>
        <w:t>, la Législature entendait créer un système judiciaire distinct. Il s</w:t>
      </w:r>
      <w:r>
        <w:rPr>
          <w:rFonts w:cs="Times New Roman"/>
          <w:lang w:val="fr-CA"/>
        </w:rPr>
        <w:t>’</w:t>
      </w:r>
      <w:r w:rsidRPr="007B5EFE">
        <w:rPr>
          <w:rFonts w:cs="Times New Roman"/>
          <w:lang w:val="fr-CA"/>
        </w:rPr>
        <w:t xml:space="preserve">appuie sur le </w:t>
      </w:r>
      <w:r>
        <w:rPr>
          <w:rFonts w:cs="Times New Roman"/>
          <w:lang w:val="fr-CA"/>
        </w:rPr>
        <w:t>par. </w:t>
      </w:r>
      <w:r w:rsidRPr="007B5EFE">
        <w:rPr>
          <w:rFonts w:cs="Times New Roman"/>
          <w:lang w:val="fr-CA"/>
        </w:rPr>
        <w:t xml:space="preserve">2(1) de la </w:t>
      </w:r>
      <w:r w:rsidRPr="007B5EFE">
        <w:rPr>
          <w:rFonts w:cs="Times New Roman"/>
          <w:i/>
          <w:lang w:val="fr-CA"/>
        </w:rPr>
        <w:t>LIP</w:t>
      </w:r>
      <w:r w:rsidRPr="007B5EFE">
        <w:rPr>
          <w:rFonts w:cs="Times New Roman"/>
          <w:lang w:val="fr-CA"/>
        </w:rPr>
        <w:t>,</w:t>
      </w:r>
      <w:r w:rsidRPr="007B5EFE">
        <w:rPr>
          <w:rFonts w:cs="Times New Roman"/>
          <w:i/>
          <w:lang w:val="fr-CA"/>
        </w:rPr>
        <w:t xml:space="preserve"> </w:t>
      </w:r>
      <w:r w:rsidRPr="007B5EFE">
        <w:rPr>
          <w:rFonts w:cs="Times New Roman"/>
          <w:lang w:val="fr-CA"/>
        </w:rPr>
        <w:t>lequel dispose</w:t>
      </w:r>
      <w:r>
        <w:rPr>
          <w:rFonts w:cs="Times New Roman"/>
          <w:lang w:val="fr-CA"/>
        </w:rPr>
        <w:t> :</w:t>
      </w:r>
    </w:p>
    <w:p w:rsidR="00132FB1" w:rsidRPr="007B5EFE" w:rsidRDefault="00132FB1" w:rsidP="00073901">
      <w:pPr>
        <w:pStyle w:val="Citation-AltC"/>
        <w:widowControl w:val="0"/>
        <w:ind w:hanging="1166"/>
        <w:rPr>
          <w:lang w:val="fr-CA"/>
        </w:rPr>
      </w:pPr>
      <w:r w:rsidRPr="007B5EFE">
        <w:rPr>
          <w:b/>
          <w:lang w:val="fr-CA"/>
        </w:rPr>
        <w:tab/>
        <w:t>2 </w:t>
      </w:r>
      <w:r w:rsidRPr="007B5EFE">
        <w:rPr>
          <w:lang w:val="fr-CA"/>
        </w:rPr>
        <w:t>(1) La présente loi a pour objet de remplacer la procédure de déclaration de culpabilité par procédure sommaire dans les poursuites à l</w:t>
      </w:r>
      <w:r>
        <w:rPr>
          <w:lang w:val="fr-CA"/>
        </w:rPr>
        <w:t>’</w:t>
      </w:r>
      <w:r w:rsidRPr="007B5EFE">
        <w:rPr>
          <w:lang w:val="fr-CA"/>
        </w:rPr>
        <w:t>égard d</w:t>
      </w:r>
      <w:r>
        <w:rPr>
          <w:lang w:val="fr-CA"/>
        </w:rPr>
        <w:t>’</w:t>
      </w:r>
      <w:r w:rsidRPr="007B5EFE">
        <w:rPr>
          <w:lang w:val="fr-CA"/>
        </w:rPr>
        <w:t xml:space="preserve">infractions provinciales, y compris les dispositions adoptées par renvoi au </w:t>
      </w:r>
      <w:r>
        <w:rPr>
          <w:i/>
          <w:lang w:val="fr-CA"/>
        </w:rPr>
        <w:t xml:space="preserve">Code criminel </w:t>
      </w:r>
      <w:r w:rsidRPr="007B5EFE">
        <w:rPr>
          <w:lang w:val="fr-CA"/>
        </w:rPr>
        <w:t xml:space="preserve">(Canada), par une procédure qui reflète la distinction existant entre les infractions provinciales et les infractions criminelles. </w:t>
      </w:r>
    </w:p>
    <w:p w:rsidR="00132FB1" w:rsidRPr="007B5EFE" w:rsidRDefault="00132FB1" w:rsidP="00073901">
      <w:pPr>
        <w:pStyle w:val="ContinueParaSuitedupar-AltP"/>
        <w:widowControl w:val="0"/>
        <w:rPr>
          <w:rFonts w:cs="Times New Roman"/>
          <w:lang w:val="fr-CA"/>
        </w:rPr>
      </w:pPr>
      <w:r w:rsidRPr="007B5EFE">
        <w:rPr>
          <w:rFonts w:cs="Times New Roman"/>
          <w:lang w:val="fr-CA"/>
        </w:rPr>
        <w:t>Selon M. Sciascia, permettre l</w:t>
      </w:r>
      <w:r>
        <w:rPr>
          <w:rFonts w:cs="Times New Roman"/>
          <w:lang w:val="fr-CA"/>
        </w:rPr>
        <w:t>’</w:t>
      </w:r>
      <w:r w:rsidRPr="007B5EFE">
        <w:rPr>
          <w:rFonts w:cs="Times New Roman"/>
          <w:lang w:val="fr-CA"/>
        </w:rPr>
        <w:t>instruction conjointe d</w:t>
      </w:r>
      <w:r>
        <w:rPr>
          <w:rFonts w:cs="Times New Roman"/>
          <w:lang w:val="fr-CA"/>
        </w:rPr>
        <w:t>’</w:t>
      </w:r>
      <w:r w:rsidRPr="007B5EFE">
        <w:rPr>
          <w:rFonts w:cs="Times New Roman"/>
          <w:lang w:val="fr-CA"/>
        </w:rPr>
        <w:t>accusations relatives à des infractions provinciales et d</w:t>
      </w:r>
      <w:r>
        <w:rPr>
          <w:rFonts w:cs="Times New Roman"/>
          <w:lang w:val="fr-CA"/>
        </w:rPr>
        <w:t>’</w:t>
      </w:r>
      <w:r w:rsidRPr="007B5EFE">
        <w:rPr>
          <w:rFonts w:cs="Times New Roman"/>
          <w:lang w:val="fr-CA"/>
        </w:rPr>
        <w:t>accusations relatives à des infractions criminelles punissables sur déclaration de culpabilité par procédure sommaire compromettrait la réalisation de l</w:t>
      </w:r>
      <w:r>
        <w:rPr>
          <w:rFonts w:cs="Times New Roman"/>
          <w:lang w:val="fr-CA"/>
        </w:rPr>
        <w:t>’</w:t>
      </w:r>
      <w:r w:rsidRPr="007B5EFE">
        <w:rPr>
          <w:rFonts w:cs="Times New Roman"/>
          <w:lang w:val="fr-CA"/>
        </w:rPr>
        <w:t xml:space="preserve">objectif du </w:t>
      </w:r>
      <w:r>
        <w:rPr>
          <w:rFonts w:cs="Times New Roman"/>
          <w:lang w:val="fr-CA"/>
        </w:rPr>
        <w:t>par. </w:t>
      </w:r>
      <w:r w:rsidRPr="007B5EFE">
        <w:rPr>
          <w:rFonts w:cs="Times New Roman"/>
          <w:lang w:val="fr-CA"/>
        </w:rPr>
        <w:t>2(1) et ferait fi de la volonté expressément énoncée par la Législature. Sur ce point, il s</w:t>
      </w:r>
      <w:r>
        <w:rPr>
          <w:rFonts w:cs="Times New Roman"/>
          <w:lang w:val="fr-CA"/>
        </w:rPr>
        <w:t>’</w:t>
      </w:r>
      <w:r w:rsidRPr="007B5EFE">
        <w:rPr>
          <w:rFonts w:cs="Times New Roman"/>
          <w:lang w:val="fr-CA"/>
        </w:rPr>
        <w:t>appuie sur l</w:t>
      </w:r>
      <w:r>
        <w:rPr>
          <w:rFonts w:cs="Times New Roman"/>
          <w:lang w:val="fr-CA"/>
        </w:rPr>
        <w:t>’</w:t>
      </w:r>
      <w:r w:rsidRPr="007B5EFE">
        <w:rPr>
          <w:rFonts w:cs="Times New Roman"/>
          <w:lang w:val="fr-CA"/>
        </w:rPr>
        <w:t xml:space="preserve">arrêt </w:t>
      </w:r>
      <w:r w:rsidRPr="007B5EFE">
        <w:rPr>
          <w:rFonts w:cs="Times New Roman"/>
          <w:i/>
          <w:lang w:val="fr-CA"/>
        </w:rPr>
        <w:t>S.J.L.</w:t>
      </w:r>
      <w:r w:rsidRPr="007B5EFE">
        <w:rPr>
          <w:rFonts w:cs="Times New Roman"/>
          <w:lang w:val="fr-CA"/>
        </w:rPr>
        <w:t>, dans lequel la Cour a jugé qu</w:t>
      </w:r>
      <w:r>
        <w:rPr>
          <w:rFonts w:cs="Times New Roman"/>
          <w:lang w:val="fr-CA"/>
        </w:rPr>
        <w:t>’</w:t>
      </w:r>
      <w:r w:rsidRPr="007B5EFE">
        <w:rPr>
          <w:rFonts w:cs="Times New Roman"/>
          <w:lang w:val="fr-CA"/>
        </w:rPr>
        <w:t xml:space="preserve">un procès réunissant un adolescent et un adulte serait contraire à la </w:t>
      </w:r>
      <w:r w:rsidRPr="007B5EFE">
        <w:rPr>
          <w:rFonts w:cs="Times New Roman"/>
          <w:i/>
          <w:lang w:val="fr-CA"/>
        </w:rPr>
        <w:t>Loi sur le système de justice pénale pour les adolescents</w:t>
      </w:r>
      <w:r w:rsidRPr="007B5EFE">
        <w:rPr>
          <w:rFonts w:cs="Times New Roman"/>
          <w:lang w:val="fr-CA"/>
        </w:rPr>
        <w:t>, L.C. 2002, c. 1,</w:t>
      </w:r>
      <w:r w:rsidRPr="007B5EFE">
        <w:rPr>
          <w:rFonts w:cs="Times New Roman"/>
          <w:i/>
          <w:lang w:val="fr-CA"/>
        </w:rPr>
        <w:t xml:space="preserve"> </w:t>
      </w:r>
      <w:r w:rsidRPr="007B5EFE">
        <w:rPr>
          <w:rFonts w:cs="Times New Roman"/>
          <w:lang w:val="fr-CA"/>
        </w:rPr>
        <w:t>laquelle vise essentiellement la création d</w:t>
      </w:r>
      <w:r>
        <w:rPr>
          <w:rFonts w:cs="Times New Roman"/>
          <w:lang w:val="fr-CA"/>
        </w:rPr>
        <w:t>’</w:t>
      </w:r>
      <w:r w:rsidRPr="007B5EFE">
        <w:rPr>
          <w:rFonts w:cs="Times New Roman"/>
          <w:lang w:val="fr-CA"/>
        </w:rPr>
        <w:t xml:space="preserve">un système de justice distinct pour juger les crimes dont </w:t>
      </w:r>
      <w:r w:rsidRPr="007B5EFE">
        <w:rPr>
          <w:rFonts w:cs="Times New Roman"/>
          <w:lang w:val="fr-CA"/>
        </w:rPr>
        <w:lastRenderedPageBreak/>
        <w:t>sont accusés les adolescents.</w:t>
      </w:r>
    </w:p>
    <w:p w:rsidR="00132FB1" w:rsidRPr="007B5EFE" w:rsidRDefault="00132FB1" w:rsidP="00073901">
      <w:pPr>
        <w:pStyle w:val="ParaNoNdepar-AltN"/>
        <w:widowControl w:val="0"/>
        <w:rPr>
          <w:rFonts w:cs="Times New Roman"/>
          <w:lang w:val="fr-CA"/>
        </w:rPr>
      </w:pPr>
      <w:r w:rsidRPr="007B5EFE">
        <w:rPr>
          <w:rFonts w:cs="Times New Roman"/>
          <w:lang w:val="fr-CA"/>
        </w:rPr>
        <w:t xml:space="preserve">Soit dit en tout respect, je ne puis souscrire à ce raisonnement. Le paragraphe 2(1) de la </w:t>
      </w:r>
      <w:r w:rsidRPr="007B5EFE">
        <w:rPr>
          <w:rFonts w:cs="Times New Roman"/>
          <w:i/>
          <w:lang w:val="fr-CA"/>
        </w:rPr>
        <w:t>LIP</w:t>
      </w:r>
      <w:r w:rsidRPr="007B5EFE">
        <w:rPr>
          <w:rFonts w:cs="Times New Roman"/>
          <w:lang w:val="fr-CA"/>
        </w:rPr>
        <w:t xml:space="preserve"> ne fait pas de la séparation du système de justice provinciale et du système de justice pénale une fin en soi. Il préconise plutôt une telle séparation dans le but sous</w:t>
      </w:r>
      <w:r w:rsidR="00140575">
        <w:rPr>
          <w:rFonts w:cs="Times New Roman"/>
          <w:lang w:val="fr-CA"/>
        </w:rPr>
        <w:t>-</w:t>
      </w:r>
      <w:r w:rsidRPr="007B5EFE">
        <w:rPr>
          <w:rFonts w:cs="Times New Roman"/>
          <w:lang w:val="fr-CA"/>
        </w:rPr>
        <w:t>jacent de gagner en efficacité. Comme l</w:t>
      </w:r>
      <w:r>
        <w:rPr>
          <w:rFonts w:cs="Times New Roman"/>
          <w:lang w:val="fr-CA"/>
        </w:rPr>
        <w:t>’</w:t>
      </w:r>
      <w:r w:rsidRPr="007B5EFE">
        <w:rPr>
          <w:rFonts w:cs="Times New Roman"/>
          <w:lang w:val="fr-CA"/>
        </w:rPr>
        <w:t>a fait observer le juge</w:t>
      </w:r>
      <w:r>
        <w:rPr>
          <w:rFonts w:cs="Times New Roman"/>
          <w:lang w:val="fr-CA"/>
        </w:rPr>
        <w:t xml:space="preserve"> en chef adjoint </w:t>
      </w:r>
      <w:r w:rsidRPr="007B5EFE">
        <w:rPr>
          <w:rFonts w:cs="Times New Roman"/>
          <w:lang w:val="fr-CA"/>
        </w:rPr>
        <w:t>MacKinnon dans l</w:t>
      </w:r>
      <w:r>
        <w:rPr>
          <w:rFonts w:cs="Times New Roman"/>
          <w:lang w:val="fr-CA"/>
        </w:rPr>
        <w:t>’</w:t>
      </w:r>
      <w:r w:rsidRPr="007B5EFE">
        <w:rPr>
          <w:rFonts w:cs="Times New Roman"/>
          <w:lang w:val="fr-CA"/>
        </w:rPr>
        <w:t xml:space="preserve">arrêt </w:t>
      </w:r>
      <w:r w:rsidRPr="007B5EFE">
        <w:rPr>
          <w:rFonts w:cs="Times New Roman"/>
          <w:i/>
          <w:lang w:val="fr-CA"/>
        </w:rPr>
        <w:t>R. c. Jamieson</w:t>
      </w:r>
      <w:r w:rsidRPr="007B5EFE">
        <w:rPr>
          <w:rFonts w:cs="Times New Roman"/>
          <w:lang w:val="fr-CA"/>
        </w:rPr>
        <w:t xml:space="preserve"> (1981), 64 C.C.C. (2d) 550 (C.A. Ont.), </w:t>
      </w:r>
      <w:r>
        <w:rPr>
          <w:rFonts w:cs="Times New Roman"/>
          <w:lang w:val="fr-CA"/>
        </w:rPr>
        <w:t>p. </w:t>
      </w:r>
      <w:r w:rsidRPr="007B5EFE">
        <w:rPr>
          <w:rFonts w:cs="Times New Roman"/>
          <w:lang w:val="fr-CA"/>
        </w:rPr>
        <w:t>551</w:t>
      </w:r>
      <w:r w:rsidR="002310FC">
        <w:rPr>
          <w:rFonts w:cs="Times New Roman"/>
          <w:lang w:val="fr-CA"/>
        </w:rPr>
        <w:t>-552</w:t>
      </w:r>
      <w:r w:rsidRPr="007B5EFE">
        <w:rPr>
          <w:rFonts w:cs="Times New Roman"/>
          <w:lang w:val="fr-CA"/>
        </w:rPr>
        <w:t>, conf. par (1982), 66 C.C.C. (2d) 576 (C.A. Ont.)</w:t>
      </w:r>
      <w:r>
        <w:rPr>
          <w:rFonts w:cs="Times New Roman"/>
          <w:lang w:val="fr-CA"/>
        </w:rPr>
        <w:t> :</w:t>
      </w:r>
    </w:p>
    <w:p w:rsidR="00132FB1" w:rsidRPr="007B5EFE" w:rsidRDefault="00132FB1" w:rsidP="00073901">
      <w:pPr>
        <w:pStyle w:val="Citation-AltC"/>
        <w:widowControl w:val="0"/>
        <w:spacing w:after="240"/>
        <w:ind w:left="1168" w:hanging="1168"/>
        <w:contextualSpacing w:val="0"/>
        <w:rPr>
          <w:lang w:val="fr-CA"/>
        </w:rPr>
      </w:pPr>
      <w:r w:rsidRPr="007B5EFE">
        <w:rPr>
          <w:lang w:val="fr-CA"/>
        </w:rPr>
        <w:tab/>
      </w:r>
      <w:r w:rsidRPr="007B5EFE">
        <w:rPr>
          <w:lang w:val="fr-CA"/>
        </w:rPr>
        <w:tab/>
        <w:t>[</w:t>
      </w:r>
      <w:r w:rsidRPr="007B5EFE">
        <w:rPr>
          <w:smallCaps/>
          <w:lang w:val="fr-CA"/>
        </w:rPr>
        <w:t>traduction</w:t>
      </w:r>
      <w:r w:rsidRPr="007B5EFE">
        <w:rPr>
          <w:lang w:val="fr-CA"/>
        </w:rPr>
        <w:t xml:space="preserve">] La </w:t>
      </w:r>
      <w:r w:rsidRPr="007B5EFE">
        <w:rPr>
          <w:i/>
          <w:lang w:val="fr-CA"/>
        </w:rPr>
        <w:t>Loi sur les infractions provinciales</w:t>
      </w:r>
      <w:r w:rsidRPr="007B5EFE">
        <w:rPr>
          <w:lang w:val="fr-CA"/>
        </w:rPr>
        <w:t xml:space="preserve"> vise à établir un moyen rapide, efficace et pratique de donner suite aux infractions visées par les lois provinciales et les règlements pris en vertu de ces lois. Les tribunaux qui instruisent ces affaires jouissent d</w:t>
      </w:r>
      <w:r>
        <w:rPr>
          <w:lang w:val="fr-CA"/>
        </w:rPr>
        <w:t>’</w:t>
      </w:r>
      <w:r w:rsidRPr="007B5EFE">
        <w:rPr>
          <w:lang w:val="fr-CA"/>
        </w:rPr>
        <w:t>un vaste pouvoir discrétionnaire quant au déroulement de l</w:t>
      </w:r>
      <w:r>
        <w:rPr>
          <w:lang w:val="fr-CA"/>
        </w:rPr>
        <w:t>’</w:t>
      </w:r>
      <w:r w:rsidRPr="007B5EFE">
        <w:rPr>
          <w:lang w:val="fr-CA"/>
        </w:rPr>
        <w:t>instruction.</w:t>
      </w:r>
    </w:p>
    <w:p w:rsidR="00132FB1" w:rsidRPr="007B5EFE" w:rsidRDefault="00132FB1" w:rsidP="00073901">
      <w:pPr>
        <w:pStyle w:val="Citation-AltC"/>
        <w:widowControl w:val="0"/>
        <w:ind w:left="0"/>
        <w:rPr>
          <w:lang w:val="fr-CA"/>
        </w:rPr>
      </w:pPr>
      <w:r w:rsidRPr="007B5EFE">
        <w:rPr>
          <w:lang w:val="fr-CA"/>
        </w:rPr>
        <w:t>(Voir également </w:t>
      </w:r>
      <w:r w:rsidRPr="007B5EFE">
        <w:rPr>
          <w:i/>
          <w:lang w:val="fr-CA"/>
        </w:rPr>
        <w:t>London (City) c. Young</w:t>
      </w:r>
      <w:r w:rsidRPr="007B5EFE">
        <w:rPr>
          <w:lang w:val="fr-CA"/>
        </w:rPr>
        <w:t xml:space="preserve">, 2008 ONCA 429, 91 O.R. (3d) 215, </w:t>
      </w:r>
      <w:r>
        <w:rPr>
          <w:lang w:val="fr-CA"/>
        </w:rPr>
        <w:t>par. </w:t>
      </w:r>
      <w:r w:rsidRPr="007B5EFE">
        <w:rPr>
          <w:lang w:val="fr-CA"/>
        </w:rPr>
        <w:t>34.)</w:t>
      </w:r>
    </w:p>
    <w:p w:rsidR="00132FB1" w:rsidRPr="007B5EFE" w:rsidRDefault="00132FB1" w:rsidP="00073901">
      <w:pPr>
        <w:pStyle w:val="ParaNoNdepar-AltN"/>
        <w:widowControl w:val="0"/>
        <w:rPr>
          <w:rFonts w:cs="Times New Roman"/>
          <w:lang w:val="fr-CA"/>
        </w:rPr>
      </w:pPr>
      <w:r w:rsidRPr="007B5EFE">
        <w:rPr>
          <w:rFonts w:cs="Times New Roman"/>
          <w:lang w:val="fr-CA"/>
        </w:rPr>
        <w:t>À mon avis, l</w:t>
      </w:r>
      <w:r>
        <w:rPr>
          <w:rFonts w:cs="Times New Roman"/>
          <w:lang w:val="fr-CA"/>
        </w:rPr>
        <w:t>’</w:t>
      </w:r>
      <w:r w:rsidRPr="007B5EFE">
        <w:rPr>
          <w:rFonts w:cs="Times New Roman"/>
          <w:lang w:val="fr-CA"/>
        </w:rPr>
        <w:t>analyse devrait reposer sur cet objectif principal, et non sur [</w:t>
      </w:r>
      <w:r w:rsidRPr="007B5EFE">
        <w:rPr>
          <w:rFonts w:cs="Times New Roman"/>
          <w:smallCaps/>
          <w:lang w:val="fr-CA"/>
        </w:rPr>
        <w:t>traduction</w:t>
      </w:r>
      <w:r w:rsidRPr="007B5EFE">
        <w:rPr>
          <w:rFonts w:cs="Times New Roman"/>
          <w:lang w:val="fr-CA"/>
        </w:rPr>
        <w:t>] « l</w:t>
      </w:r>
      <w:r>
        <w:rPr>
          <w:rFonts w:cs="Times New Roman"/>
          <w:lang w:val="fr-CA"/>
        </w:rPr>
        <w:t>’</w:t>
      </w:r>
      <w:r w:rsidRPr="007B5EFE">
        <w:rPr>
          <w:rFonts w:cs="Times New Roman"/>
          <w:lang w:val="fr-CA"/>
        </w:rPr>
        <w:t>obligation d</w:t>
      </w:r>
      <w:r>
        <w:rPr>
          <w:rFonts w:cs="Times New Roman"/>
          <w:lang w:val="fr-CA"/>
        </w:rPr>
        <w:t>’</w:t>
      </w:r>
      <w:r w:rsidRPr="007B5EFE">
        <w:rPr>
          <w:rFonts w:cs="Times New Roman"/>
          <w:lang w:val="fr-CA"/>
        </w:rPr>
        <w:t>appliquer une règle simplement parce qu</w:t>
      </w:r>
      <w:r>
        <w:rPr>
          <w:rFonts w:cs="Times New Roman"/>
          <w:lang w:val="fr-CA"/>
        </w:rPr>
        <w:t>’</w:t>
      </w:r>
      <w:r w:rsidRPr="007B5EFE">
        <w:rPr>
          <w:rFonts w:cs="Times New Roman"/>
          <w:lang w:val="fr-CA"/>
        </w:rPr>
        <w:t>elle existe »</w:t>
      </w:r>
      <w:r>
        <w:rPr>
          <w:rFonts w:cs="Times New Roman"/>
          <w:lang w:val="fr-CA"/>
        </w:rPr>
        <w:t> :</w:t>
      </w:r>
      <w:r w:rsidRPr="007B5EFE">
        <w:rPr>
          <w:rFonts w:cs="Times New Roman"/>
          <w:lang w:val="fr-CA"/>
        </w:rPr>
        <w:t xml:space="preserve"> D. H. Doherty, « Phillips</w:t>
      </w:r>
      <w:r w:rsidR="002310FC">
        <w:rPr>
          <w:rFonts w:cs="Times New Roman"/>
          <w:lang w:val="fr-CA"/>
        </w:rPr>
        <w:t xml:space="preserve"> </w:t>
      </w:r>
      <w:r w:rsidRPr="007B5EFE">
        <w:rPr>
          <w:rFonts w:cs="Times New Roman"/>
          <w:lang w:val="fr-CA"/>
        </w:rPr>
        <w:t xml:space="preserve">: An Unwarranted Return to the “Punctilio of an Earlier Age” » (1983), 35 C.R. (3d) 203, </w:t>
      </w:r>
      <w:r>
        <w:rPr>
          <w:rFonts w:cs="Times New Roman"/>
          <w:lang w:val="fr-CA"/>
        </w:rPr>
        <w:t>p. </w:t>
      </w:r>
      <w:r w:rsidRPr="007B5EFE">
        <w:rPr>
          <w:rFonts w:cs="Times New Roman"/>
          <w:lang w:val="fr-CA"/>
        </w:rPr>
        <w:t xml:space="preserve">205. La </w:t>
      </w:r>
      <w:r w:rsidRPr="007B5EFE">
        <w:rPr>
          <w:rFonts w:cs="Times New Roman"/>
          <w:i/>
          <w:lang w:val="fr-CA"/>
        </w:rPr>
        <w:t>LIP</w:t>
      </w:r>
      <w:r w:rsidRPr="007B5EFE">
        <w:rPr>
          <w:rFonts w:cs="Times New Roman"/>
          <w:lang w:val="fr-CA"/>
        </w:rPr>
        <w:t xml:space="preserve"> a été conçue pour favoriser la mise en œuvre de procédures plus efficaces visant à donner suite au grand nombre d</w:t>
      </w:r>
      <w:r>
        <w:rPr>
          <w:rFonts w:cs="Times New Roman"/>
          <w:lang w:val="fr-CA"/>
        </w:rPr>
        <w:t>’</w:t>
      </w:r>
      <w:r w:rsidRPr="007B5EFE">
        <w:rPr>
          <w:rFonts w:cs="Times New Roman"/>
          <w:lang w:val="fr-CA"/>
        </w:rPr>
        <w:t>accusations relatives à des infractions provinciales qui engorge</w:t>
      </w:r>
      <w:r>
        <w:rPr>
          <w:rFonts w:cs="Times New Roman"/>
          <w:lang w:val="fr-CA"/>
        </w:rPr>
        <w:t>aie</w:t>
      </w:r>
      <w:r w:rsidRPr="007B5EFE">
        <w:rPr>
          <w:rFonts w:cs="Times New Roman"/>
          <w:lang w:val="fr-CA"/>
        </w:rPr>
        <w:t>nt les tribunaux ontariens</w:t>
      </w:r>
      <w:r>
        <w:rPr>
          <w:rFonts w:cs="Times New Roman"/>
          <w:lang w:val="fr-CA"/>
        </w:rPr>
        <w:t> :</w:t>
      </w:r>
      <w:r w:rsidRPr="007B5EFE">
        <w:rPr>
          <w:rFonts w:cs="Times New Roman"/>
          <w:lang w:val="fr-CA"/>
        </w:rPr>
        <w:t xml:space="preserve"> voir </w:t>
      </w:r>
      <w:r w:rsidR="002310FC">
        <w:rPr>
          <w:rFonts w:cs="Times New Roman"/>
          <w:lang w:val="fr-CA"/>
        </w:rPr>
        <w:t xml:space="preserve">Ontario, </w:t>
      </w:r>
      <w:r w:rsidRPr="007B5EFE">
        <w:rPr>
          <w:rFonts w:cs="Times New Roman"/>
          <w:lang w:val="fr-CA"/>
        </w:rPr>
        <w:t xml:space="preserve">ministère du Procureur général, </w:t>
      </w:r>
      <w:r w:rsidRPr="007B5EFE">
        <w:rPr>
          <w:rFonts w:cs="Times New Roman"/>
          <w:i/>
          <w:lang w:val="fr-CA"/>
        </w:rPr>
        <w:t>Provincial Offences Procedure</w:t>
      </w:r>
      <w:r w:rsidR="002310FC">
        <w:rPr>
          <w:rFonts w:cs="Times New Roman"/>
          <w:i/>
          <w:lang w:val="fr-CA"/>
        </w:rPr>
        <w:t xml:space="preserve"> </w:t>
      </w:r>
      <w:r w:rsidRPr="007B5EFE">
        <w:rPr>
          <w:rFonts w:cs="Times New Roman"/>
          <w:i/>
          <w:lang w:val="fr-CA"/>
        </w:rPr>
        <w:t xml:space="preserve">: An Analysis and Explanation of Legislative Proposals — The Provincial Offences Act, 1978 and The Provincial Courts Amendment Act, 1978 </w:t>
      </w:r>
      <w:r w:rsidRPr="007B5EFE">
        <w:rPr>
          <w:rFonts w:cs="Times New Roman"/>
          <w:lang w:val="fr-CA"/>
        </w:rPr>
        <w:t xml:space="preserve">(1978), </w:t>
      </w:r>
      <w:r>
        <w:rPr>
          <w:rFonts w:cs="Times New Roman"/>
          <w:lang w:val="fr-CA"/>
        </w:rPr>
        <w:t>p. </w:t>
      </w:r>
      <w:r w:rsidRPr="007B5EFE">
        <w:rPr>
          <w:rFonts w:cs="Times New Roman"/>
          <w:lang w:val="fr-CA"/>
        </w:rPr>
        <w:t>1</w:t>
      </w:r>
      <w:r w:rsidR="00140575">
        <w:rPr>
          <w:rFonts w:cs="Times New Roman"/>
          <w:lang w:val="fr-CA"/>
        </w:rPr>
        <w:t>-</w:t>
      </w:r>
      <w:r w:rsidRPr="007B5EFE">
        <w:rPr>
          <w:rFonts w:cs="Times New Roman"/>
          <w:lang w:val="fr-CA"/>
        </w:rPr>
        <w:t xml:space="preserve">5. Afin de réduire les retards, la </w:t>
      </w:r>
      <w:r w:rsidRPr="007B5EFE">
        <w:rPr>
          <w:rFonts w:cs="Times New Roman"/>
          <w:i/>
          <w:lang w:val="fr-CA"/>
        </w:rPr>
        <w:t>LIP</w:t>
      </w:r>
      <w:r w:rsidRPr="007B5EFE">
        <w:rPr>
          <w:rFonts w:cs="Times New Roman"/>
          <w:lang w:val="fr-CA"/>
        </w:rPr>
        <w:t xml:space="preserve"> a mis en place des régimes procéduraux qui ont </w:t>
      </w:r>
      <w:r w:rsidRPr="007B5EFE">
        <w:rPr>
          <w:rFonts w:cs="Times New Roman"/>
          <w:lang w:val="fr-CA"/>
        </w:rPr>
        <w:lastRenderedPageBreak/>
        <w:t xml:space="preserve">permis que les poursuites relatives aux infractions provinciales soient moins complexes et plus efficaces. </w:t>
      </w:r>
    </w:p>
    <w:p w:rsidR="00132FB1" w:rsidRPr="007B5EFE" w:rsidRDefault="00132FB1" w:rsidP="00073901">
      <w:pPr>
        <w:pStyle w:val="ParaNoNdepar-AltN"/>
        <w:widowControl w:val="0"/>
        <w:rPr>
          <w:rFonts w:cs="Times New Roman"/>
          <w:lang w:val="fr-CA"/>
        </w:rPr>
      </w:pPr>
      <w:r w:rsidRPr="007B5EFE">
        <w:rPr>
          <w:rFonts w:cs="Times New Roman"/>
          <w:lang w:val="fr-CA"/>
        </w:rPr>
        <w:t>Ma collègue la juge Côté exprime l</w:t>
      </w:r>
      <w:r>
        <w:rPr>
          <w:rFonts w:cs="Times New Roman"/>
          <w:lang w:val="fr-CA"/>
        </w:rPr>
        <w:t>’</w:t>
      </w:r>
      <w:r w:rsidRPr="007B5EFE">
        <w:rPr>
          <w:rFonts w:cs="Times New Roman"/>
          <w:lang w:val="fr-CA"/>
        </w:rPr>
        <w:t>opinion qu</w:t>
      </w:r>
      <w:r>
        <w:rPr>
          <w:rFonts w:cs="Times New Roman"/>
          <w:lang w:val="fr-CA"/>
        </w:rPr>
        <w:t>’</w:t>
      </w:r>
      <w:r w:rsidRPr="007B5EFE">
        <w:rPr>
          <w:rFonts w:cs="Times New Roman"/>
          <w:lang w:val="fr-CA"/>
        </w:rPr>
        <w:t>il n</w:t>
      </w:r>
      <w:r>
        <w:rPr>
          <w:rFonts w:cs="Times New Roman"/>
          <w:lang w:val="fr-CA"/>
        </w:rPr>
        <w:t>’</w:t>
      </w:r>
      <w:r w:rsidRPr="007B5EFE">
        <w:rPr>
          <w:rFonts w:cs="Times New Roman"/>
          <w:lang w:val="fr-CA"/>
        </w:rPr>
        <w:t>est pas permis de tenir des procès conjoints parce que le législateur a souhaité que les poursuites intentées en vertu de lois provinciales « n</w:t>
      </w:r>
      <w:r>
        <w:rPr>
          <w:rFonts w:cs="Times New Roman"/>
          <w:lang w:val="fr-CA"/>
        </w:rPr>
        <w:t>’</w:t>
      </w:r>
      <w:r w:rsidRPr="007B5EFE">
        <w:rPr>
          <w:rFonts w:cs="Times New Roman"/>
          <w:lang w:val="fr-CA"/>
        </w:rPr>
        <w:t>exige[nt] pas</w:t>
      </w:r>
      <w:r w:rsidR="00464E92">
        <w:rPr>
          <w:rFonts w:cs="Times New Roman"/>
          <w:lang w:val="fr-CA"/>
        </w:rPr>
        <w:t xml:space="preserve"> — et ne devrai[en</w:t>
      </w:r>
      <w:r w:rsidRPr="007B5EFE">
        <w:rPr>
          <w:rFonts w:cs="Times New Roman"/>
          <w:lang w:val="fr-CA"/>
        </w:rPr>
        <w:t>t</w:t>
      </w:r>
      <w:r w:rsidR="00464E92">
        <w:rPr>
          <w:rFonts w:cs="Times New Roman"/>
          <w:lang w:val="fr-CA"/>
        </w:rPr>
        <w:t>]</w:t>
      </w:r>
      <w:r w:rsidRPr="007B5EFE">
        <w:rPr>
          <w:rFonts w:cs="Times New Roman"/>
          <w:lang w:val="fr-CA"/>
        </w:rPr>
        <w:t xml:space="preserve"> pas comporter — le même degré de complexité » que les procès en matière criminelle</w:t>
      </w:r>
      <w:r>
        <w:rPr>
          <w:rFonts w:cs="Times New Roman"/>
          <w:lang w:val="fr-CA"/>
        </w:rPr>
        <w:t> :</w:t>
      </w:r>
      <w:r w:rsidRPr="007B5EFE">
        <w:rPr>
          <w:rFonts w:cs="Times New Roman"/>
          <w:lang w:val="fr-CA"/>
        </w:rPr>
        <w:t xml:space="preserve"> </w:t>
      </w:r>
      <w:r>
        <w:rPr>
          <w:rFonts w:cs="Times New Roman"/>
          <w:lang w:val="fr-CA"/>
        </w:rPr>
        <w:t>par. </w:t>
      </w:r>
      <w:r w:rsidRPr="007B5EFE">
        <w:rPr>
          <w:rFonts w:cs="Times New Roman"/>
          <w:lang w:val="fr-CA"/>
        </w:rPr>
        <w:t>56. Or, le présent litige examine le pouvoir d</w:t>
      </w:r>
      <w:r>
        <w:rPr>
          <w:rFonts w:cs="Times New Roman"/>
          <w:lang w:val="fr-CA"/>
        </w:rPr>
        <w:t>’</w:t>
      </w:r>
      <w:r w:rsidRPr="007B5EFE">
        <w:rPr>
          <w:rFonts w:cs="Times New Roman"/>
          <w:lang w:val="fr-CA"/>
        </w:rPr>
        <w:t xml:space="preserve">un juge de la CJO de réunir des accusations relatives à des infractions provinciales fondées sur la partie III de la </w:t>
      </w:r>
      <w:r w:rsidRPr="007B5EFE">
        <w:rPr>
          <w:rFonts w:cs="Times New Roman"/>
          <w:i/>
          <w:lang w:val="fr-CA"/>
        </w:rPr>
        <w:t>LIP</w:t>
      </w:r>
      <w:r w:rsidRPr="007B5EFE">
        <w:rPr>
          <w:rFonts w:cs="Times New Roman"/>
          <w:lang w:val="fr-CA"/>
        </w:rPr>
        <w:t xml:space="preserve"> et des accusations relatives à des infractions criminelles punissables sur déclaration de culpabilité par procédure sommaire. La partie III de la </w:t>
      </w:r>
      <w:r w:rsidRPr="007B5EFE">
        <w:rPr>
          <w:rFonts w:cs="Times New Roman"/>
          <w:i/>
          <w:lang w:val="fr-CA"/>
        </w:rPr>
        <w:t xml:space="preserve">LIP </w:t>
      </w:r>
      <w:r w:rsidRPr="007B5EFE">
        <w:rPr>
          <w:rFonts w:cs="Times New Roman"/>
          <w:lang w:val="fr-CA"/>
        </w:rPr>
        <w:t>est normalement réservée aux infractions plus graves, comme celles auxquelles M. Sciascia doit répondre en l</w:t>
      </w:r>
      <w:r>
        <w:rPr>
          <w:rFonts w:cs="Times New Roman"/>
          <w:lang w:val="fr-CA"/>
        </w:rPr>
        <w:t>’</w:t>
      </w:r>
      <w:r w:rsidRPr="007B5EFE">
        <w:rPr>
          <w:rFonts w:cs="Times New Roman"/>
          <w:lang w:val="fr-CA"/>
        </w:rPr>
        <w:t>espèce. Contrairement aux parties I et II,</w:t>
      </w:r>
      <w:r w:rsidRPr="007B5EFE">
        <w:rPr>
          <w:rFonts w:cs="Times New Roman"/>
          <w:i/>
          <w:lang w:val="fr-CA"/>
        </w:rPr>
        <w:t xml:space="preserve"> </w:t>
      </w:r>
      <w:r w:rsidRPr="007B5EFE">
        <w:rPr>
          <w:rFonts w:cs="Times New Roman"/>
          <w:lang w:val="fr-CA"/>
        </w:rPr>
        <w:t>qui simplifient sensiblement la procédure applicable aux accusations provinciales mineures, la partie III prévoit des protections supplémentaires qui s</w:t>
      </w:r>
      <w:r>
        <w:rPr>
          <w:rFonts w:cs="Times New Roman"/>
          <w:lang w:val="fr-CA"/>
        </w:rPr>
        <w:t>’</w:t>
      </w:r>
      <w:r w:rsidRPr="007B5EFE">
        <w:rPr>
          <w:rFonts w:cs="Times New Roman"/>
          <w:lang w:val="fr-CA"/>
        </w:rPr>
        <w:t xml:space="preserve">apparentent davantage à celles que prévoit le </w:t>
      </w:r>
      <w:r w:rsidRPr="007B5EFE">
        <w:rPr>
          <w:rFonts w:cs="Times New Roman"/>
          <w:i/>
          <w:lang w:val="fr-CA"/>
        </w:rPr>
        <w:t>C</w:t>
      </w:r>
      <w:r w:rsidR="002310FC">
        <w:rPr>
          <w:rFonts w:cs="Times New Roman"/>
          <w:i/>
          <w:lang w:val="fr-CA"/>
        </w:rPr>
        <w:t>ode criminel</w:t>
      </w:r>
      <w:r w:rsidRPr="007B5EFE">
        <w:rPr>
          <w:rFonts w:cs="Times New Roman"/>
          <w:i/>
          <w:lang w:val="fr-CA"/>
        </w:rPr>
        <w:t>.</w:t>
      </w:r>
      <w:r w:rsidRPr="007B5EFE">
        <w:rPr>
          <w:rFonts w:cs="Times New Roman"/>
          <w:lang w:val="fr-CA"/>
        </w:rPr>
        <w:t xml:space="preserve"> Soit dit en tout respect, ma collègue ne fait état d</w:t>
      </w:r>
      <w:r>
        <w:rPr>
          <w:rFonts w:cs="Times New Roman"/>
          <w:lang w:val="fr-CA"/>
        </w:rPr>
        <w:t>’</w:t>
      </w:r>
      <w:r w:rsidRPr="007B5EFE">
        <w:rPr>
          <w:rFonts w:cs="Times New Roman"/>
          <w:lang w:val="fr-CA"/>
        </w:rPr>
        <w:t>aucune procédure applicable aux infractions punissables sur déclaration de culpabilité par procédure sommaire qui rendrait une poursuite provinciale fondée sur la partie III plus complexe. Cela dit, même en supposant qu</w:t>
      </w:r>
      <w:r>
        <w:rPr>
          <w:rFonts w:cs="Times New Roman"/>
          <w:lang w:val="fr-CA"/>
        </w:rPr>
        <w:t>’</w:t>
      </w:r>
      <w:r w:rsidRPr="007B5EFE">
        <w:rPr>
          <w:rFonts w:cs="Times New Roman"/>
          <w:lang w:val="fr-CA"/>
        </w:rPr>
        <w:t>un tel degré de complexité puisse exister dans une affaire donnée, le juge présidant l</w:t>
      </w:r>
      <w:r>
        <w:rPr>
          <w:rFonts w:cs="Times New Roman"/>
          <w:lang w:val="fr-CA"/>
        </w:rPr>
        <w:t>’</w:t>
      </w:r>
      <w:r w:rsidRPr="007B5EFE">
        <w:rPr>
          <w:rFonts w:cs="Times New Roman"/>
          <w:lang w:val="fr-CA"/>
        </w:rPr>
        <w:t xml:space="preserve">audience peut certainement choisir de tenir des procès distincts. </w:t>
      </w:r>
    </w:p>
    <w:p w:rsidR="00132FB1" w:rsidRPr="007B5EFE" w:rsidRDefault="00132FB1" w:rsidP="00073901">
      <w:pPr>
        <w:pStyle w:val="ParaNoNdepar-AltN"/>
        <w:widowControl w:val="0"/>
        <w:rPr>
          <w:rFonts w:cs="Times New Roman"/>
          <w:lang w:val="fr-CA"/>
        </w:rPr>
      </w:pPr>
      <w:r w:rsidRPr="007B5EFE">
        <w:rPr>
          <w:rFonts w:cs="Times New Roman"/>
          <w:lang w:val="fr-CA"/>
        </w:rPr>
        <w:t xml:space="preserve">La séparation des poursuites fondées sur la </w:t>
      </w:r>
      <w:r w:rsidRPr="007B5EFE">
        <w:rPr>
          <w:rFonts w:cs="Times New Roman"/>
          <w:i/>
          <w:lang w:val="fr-CA"/>
        </w:rPr>
        <w:t xml:space="preserve">LIP </w:t>
      </w:r>
      <w:r w:rsidRPr="007B5EFE">
        <w:rPr>
          <w:rFonts w:cs="Times New Roman"/>
          <w:lang w:val="fr-CA"/>
        </w:rPr>
        <w:t xml:space="preserve">et du processus </w:t>
      </w:r>
      <w:r w:rsidRPr="007B5EFE">
        <w:rPr>
          <w:rFonts w:cs="Times New Roman"/>
          <w:lang w:val="fr-CA"/>
        </w:rPr>
        <w:lastRenderedPageBreak/>
        <w:t>d</w:t>
      </w:r>
      <w:r>
        <w:rPr>
          <w:rFonts w:cs="Times New Roman"/>
          <w:lang w:val="fr-CA"/>
        </w:rPr>
        <w:t>’</w:t>
      </w:r>
      <w:r w:rsidRPr="007B5EFE">
        <w:rPr>
          <w:rFonts w:cs="Times New Roman"/>
          <w:lang w:val="fr-CA"/>
        </w:rPr>
        <w:t>instruction en matière criminelle — qui est plus rigoureux et qui comporte de plus longs délais — a été conçue principalement pour accroître l</w:t>
      </w:r>
      <w:r>
        <w:rPr>
          <w:rFonts w:cs="Times New Roman"/>
          <w:lang w:val="fr-CA"/>
        </w:rPr>
        <w:t>’</w:t>
      </w:r>
      <w:r w:rsidRPr="007B5EFE">
        <w:rPr>
          <w:rFonts w:cs="Times New Roman"/>
          <w:lang w:val="fr-CA"/>
        </w:rPr>
        <w:t>efficacité du système judiciaire et en réduire les retards. À mon avis, lorsque la tenue d</w:t>
      </w:r>
      <w:r>
        <w:rPr>
          <w:rFonts w:cs="Times New Roman"/>
          <w:lang w:val="fr-CA"/>
        </w:rPr>
        <w:t>’</w:t>
      </w:r>
      <w:r w:rsidRPr="007B5EFE">
        <w:rPr>
          <w:rFonts w:cs="Times New Roman"/>
          <w:lang w:val="fr-CA"/>
        </w:rPr>
        <w:t>un procès conjoint permet de mieux réaliser l</w:t>
      </w:r>
      <w:r>
        <w:rPr>
          <w:rFonts w:cs="Times New Roman"/>
          <w:lang w:val="fr-CA"/>
        </w:rPr>
        <w:t>’</w:t>
      </w:r>
      <w:r w:rsidRPr="007B5EFE">
        <w:rPr>
          <w:rFonts w:cs="Times New Roman"/>
          <w:lang w:val="fr-CA"/>
        </w:rPr>
        <w:t>objectif d</w:t>
      </w:r>
      <w:r>
        <w:rPr>
          <w:rFonts w:cs="Times New Roman"/>
          <w:lang w:val="fr-CA"/>
        </w:rPr>
        <w:t>’</w:t>
      </w:r>
      <w:r w:rsidRPr="007B5EFE">
        <w:rPr>
          <w:rFonts w:cs="Times New Roman"/>
          <w:lang w:val="fr-CA"/>
        </w:rPr>
        <w:t>efficacité que la tenue de procès distincts, l</w:t>
      </w:r>
      <w:r>
        <w:rPr>
          <w:rFonts w:cs="Times New Roman"/>
          <w:lang w:val="fr-CA"/>
        </w:rPr>
        <w:t>’</w:t>
      </w:r>
      <w:r w:rsidRPr="007B5EFE">
        <w:rPr>
          <w:rFonts w:cs="Times New Roman"/>
          <w:lang w:val="fr-CA"/>
        </w:rPr>
        <w:t xml:space="preserve">application servile de la règle de la séparation des procès dénuerait la </w:t>
      </w:r>
      <w:r w:rsidRPr="007B5EFE">
        <w:rPr>
          <w:rFonts w:cs="Times New Roman"/>
          <w:i/>
          <w:lang w:val="fr-CA"/>
        </w:rPr>
        <w:t>LIP</w:t>
      </w:r>
      <w:r w:rsidRPr="007B5EFE">
        <w:rPr>
          <w:rFonts w:cs="Times New Roman"/>
          <w:lang w:val="fr-CA"/>
        </w:rPr>
        <w:t xml:space="preserve"> de son esprit véritable et la détournerait de ses objectifs. C</w:t>
      </w:r>
      <w:r>
        <w:rPr>
          <w:rFonts w:cs="Times New Roman"/>
          <w:lang w:val="fr-CA"/>
        </w:rPr>
        <w:t>’</w:t>
      </w:r>
      <w:r w:rsidRPr="007B5EFE">
        <w:rPr>
          <w:rFonts w:cs="Times New Roman"/>
          <w:lang w:val="fr-CA"/>
        </w:rPr>
        <w:t>est en ce sens que l</w:t>
      </w:r>
      <w:r>
        <w:rPr>
          <w:rFonts w:cs="Times New Roman"/>
          <w:lang w:val="fr-CA"/>
        </w:rPr>
        <w:t>’</w:t>
      </w:r>
      <w:r w:rsidRPr="007B5EFE">
        <w:rPr>
          <w:rFonts w:cs="Times New Roman"/>
          <w:lang w:val="fr-CA"/>
        </w:rPr>
        <w:t xml:space="preserve">arrêt </w:t>
      </w:r>
      <w:r w:rsidRPr="007B5EFE">
        <w:rPr>
          <w:rFonts w:cs="Times New Roman"/>
          <w:i/>
          <w:lang w:val="fr-CA"/>
        </w:rPr>
        <w:t>S.J.L.</w:t>
      </w:r>
      <w:r w:rsidRPr="007B5EFE">
        <w:rPr>
          <w:rFonts w:cs="Times New Roman"/>
          <w:lang w:val="fr-CA"/>
        </w:rPr>
        <w:t xml:space="preserve"> se distingue de l</w:t>
      </w:r>
      <w:r>
        <w:rPr>
          <w:rFonts w:cs="Times New Roman"/>
          <w:lang w:val="fr-CA"/>
        </w:rPr>
        <w:t>’</w:t>
      </w:r>
      <w:r w:rsidRPr="007B5EFE">
        <w:rPr>
          <w:rFonts w:cs="Times New Roman"/>
          <w:lang w:val="fr-CA"/>
        </w:rPr>
        <w:t>espèce.</w:t>
      </w:r>
    </w:p>
    <w:p w:rsidR="00132FB1" w:rsidRPr="007B5EFE" w:rsidRDefault="00132FB1" w:rsidP="00073901">
      <w:pPr>
        <w:pStyle w:val="ParaNoNdepar-AltN"/>
        <w:widowControl w:val="0"/>
        <w:rPr>
          <w:rFonts w:cs="Times New Roman"/>
          <w:lang w:val="fr-CA"/>
        </w:rPr>
      </w:pPr>
      <w:r w:rsidRPr="007B5EFE">
        <w:rPr>
          <w:rFonts w:cs="Times New Roman"/>
          <w:lang w:val="fr-CA"/>
        </w:rPr>
        <w:t>En effet, dans cet arrêt, la Cour a bien rappelé que le législateur souhaitait séparer le système de justice pour adolescent de celui pour adultes pour des raisons de principe impérieuses, notamment la « culpabilité morale moindre des adolescents », leur « plus grande vulnérabilité face au système judiciaire », ainsi que les différents objectifs du processus d</w:t>
      </w:r>
      <w:r>
        <w:rPr>
          <w:rFonts w:cs="Times New Roman"/>
          <w:lang w:val="fr-CA"/>
        </w:rPr>
        <w:t>’</w:t>
      </w:r>
      <w:r w:rsidRPr="007B5EFE">
        <w:rPr>
          <w:rFonts w:cs="Times New Roman"/>
          <w:lang w:val="fr-CA"/>
        </w:rPr>
        <w:t>instruction</w:t>
      </w:r>
      <w:r>
        <w:rPr>
          <w:rFonts w:cs="Times New Roman"/>
          <w:lang w:val="fr-CA"/>
        </w:rPr>
        <w:t> :</w:t>
      </w:r>
      <w:r w:rsidRPr="007B5EFE">
        <w:rPr>
          <w:rFonts w:cs="Times New Roman"/>
          <w:lang w:val="fr-CA"/>
        </w:rPr>
        <w:t xml:space="preserve"> </w:t>
      </w:r>
      <w:r>
        <w:rPr>
          <w:rFonts w:cs="Times New Roman"/>
          <w:lang w:val="fr-CA"/>
        </w:rPr>
        <w:t>par. </w:t>
      </w:r>
      <w:r w:rsidR="002310FC">
        <w:rPr>
          <w:rFonts w:cs="Times New Roman"/>
          <w:lang w:val="fr-CA"/>
        </w:rPr>
        <w:t>64, voir aussi</w:t>
      </w:r>
      <w:r w:rsidRPr="007B5EFE">
        <w:rPr>
          <w:rFonts w:cs="Times New Roman"/>
          <w:lang w:val="fr-CA"/>
        </w:rPr>
        <w:t xml:space="preserve"> </w:t>
      </w:r>
      <w:r>
        <w:rPr>
          <w:rFonts w:cs="Times New Roman"/>
          <w:lang w:val="fr-CA"/>
        </w:rPr>
        <w:t>par. </w:t>
      </w:r>
      <w:r w:rsidRPr="007B5EFE">
        <w:rPr>
          <w:rFonts w:cs="Times New Roman"/>
          <w:lang w:val="fr-CA"/>
        </w:rPr>
        <w:t xml:space="preserve">72 et 75. La stricte séparation des systèmes préconisée dans ce contexte visait en réalité à protéger les adolescents des adultes inculpés dans le régime pour adultes, et du tort qui peut en découler. Bien que les infractions provinciales </w:t>
      </w:r>
      <w:r w:rsidR="00464E92">
        <w:rPr>
          <w:rFonts w:cs="Times New Roman"/>
          <w:lang w:val="fr-CA"/>
        </w:rPr>
        <w:t>puissent</w:t>
      </w:r>
      <w:r w:rsidRPr="007B5EFE">
        <w:rPr>
          <w:rFonts w:cs="Times New Roman"/>
          <w:lang w:val="fr-CA"/>
        </w:rPr>
        <w:t xml:space="preserve"> également </w:t>
      </w:r>
      <w:r w:rsidR="00464E92">
        <w:rPr>
          <w:rFonts w:cs="Times New Roman"/>
          <w:lang w:val="fr-CA"/>
        </w:rPr>
        <w:t xml:space="preserve">supposer </w:t>
      </w:r>
      <w:r w:rsidRPr="007B5EFE">
        <w:rPr>
          <w:rFonts w:cs="Times New Roman"/>
          <w:lang w:val="fr-CA"/>
        </w:rPr>
        <w:t>une culpabilité morale moins élevée, le fait que des adultes inculpés d</w:t>
      </w:r>
      <w:r>
        <w:rPr>
          <w:rFonts w:cs="Times New Roman"/>
          <w:lang w:val="fr-CA"/>
        </w:rPr>
        <w:t>’</w:t>
      </w:r>
      <w:r w:rsidRPr="007B5EFE">
        <w:rPr>
          <w:rFonts w:cs="Times New Roman"/>
          <w:lang w:val="fr-CA"/>
        </w:rPr>
        <w:t>une infraction provinciale visée par la partie III soient assujettis à la procédure sommaire prévue pour les infractions criminelles ne donne pas lieu à des préoccupations semblables. En ce sens, j</w:t>
      </w:r>
      <w:r>
        <w:rPr>
          <w:rFonts w:cs="Times New Roman"/>
          <w:lang w:val="fr-CA"/>
        </w:rPr>
        <w:t>’</w:t>
      </w:r>
      <w:r w:rsidRPr="007B5EFE">
        <w:rPr>
          <w:rFonts w:cs="Times New Roman"/>
          <w:lang w:val="fr-CA"/>
        </w:rPr>
        <w:t>estime que l</w:t>
      </w:r>
      <w:r>
        <w:rPr>
          <w:rFonts w:cs="Times New Roman"/>
          <w:lang w:val="fr-CA"/>
        </w:rPr>
        <w:t>’</w:t>
      </w:r>
      <w:r w:rsidRPr="007B5EFE">
        <w:rPr>
          <w:rFonts w:cs="Times New Roman"/>
          <w:lang w:val="fr-CA"/>
        </w:rPr>
        <w:t xml:space="preserve">arrêt </w:t>
      </w:r>
      <w:r w:rsidRPr="007B5EFE">
        <w:rPr>
          <w:rFonts w:cs="Times New Roman"/>
          <w:i/>
          <w:lang w:val="fr-CA"/>
        </w:rPr>
        <w:t>S.J.L.</w:t>
      </w:r>
      <w:r w:rsidRPr="007B5EFE">
        <w:rPr>
          <w:rFonts w:cs="Times New Roman"/>
          <w:lang w:val="fr-CA"/>
        </w:rPr>
        <w:t xml:space="preserve"> ne constitue pas un obstacle à l</w:t>
      </w:r>
      <w:r>
        <w:rPr>
          <w:rFonts w:cs="Times New Roman"/>
          <w:lang w:val="fr-CA"/>
        </w:rPr>
        <w:t>’</w:t>
      </w:r>
      <w:r w:rsidRPr="007B5EFE">
        <w:rPr>
          <w:rFonts w:cs="Times New Roman"/>
          <w:lang w:val="fr-CA"/>
        </w:rPr>
        <w:t>instruction conjointe d</w:t>
      </w:r>
      <w:r>
        <w:rPr>
          <w:rFonts w:cs="Times New Roman"/>
          <w:lang w:val="fr-CA"/>
        </w:rPr>
        <w:t>’</w:t>
      </w:r>
      <w:r w:rsidRPr="007B5EFE">
        <w:rPr>
          <w:rFonts w:cs="Times New Roman"/>
          <w:lang w:val="fr-CA"/>
        </w:rPr>
        <w:t>accusations relatives à des infractions provinciales et d</w:t>
      </w:r>
      <w:r>
        <w:rPr>
          <w:rFonts w:cs="Times New Roman"/>
          <w:lang w:val="fr-CA"/>
        </w:rPr>
        <w:t>’</w:t>
      </w:r>
      <w:r w:rsidRPr="007B5EFE">
        <w:rPr>
          <w:rFonts w:cs="Times New Roman"/>
          <w:lang w:val="fr-CA"/>
        </w:rPr>
        <w:t>accusations relatives à des infractions criminelles punissables sur déclaration de culpabilité par procédure sommaire</w:t>
      </w:r>
      <w:r w:rsidR="00E64ABD">
        <w:rPr>
          <w:rFonts w:cs="Times New Roman"/>
          <w:lang w:val="fr-CA"/>
        </w:rPr>
        <w:t xml:space="preserve"> dans ce contexte</w:t>
      </w:r>
      <w:r w:rsidRPr="007B5EFE">
        <w:rPr>
          <w:rFonts w:cs="Times New Roman"/>
          <w:lang w:val="fr-CA"/>
        </w:rPr>
        <w:t>.</w:t>
      </w:r>
    </w:p>
    <w:p w:rsidR="00132FB1" w:rsidRPr="007B5EFE" w:rsidRDefault="00132FB1" w:rsidP="00073901">
      <w:pPr>
        <w:pStyle w:val="Title3LevelTitre3Niveau"/>
        <w:widowControl w:val="0"/>
        <w:rPr>
          <w:rFonts w:cs="Times New Roman"/>
          <w:lang w:val="fr-CA"/>
        </w:rPr>
      </w:pPr>
      <w:r w:rsidRPr="007B5EFE">
        <w:rPr>
          <w:rFonts w:cs="Times New Roman"/>
          <w:lang w:val="fr-CA"/>
        </w:rPr>
        <w:lastRenderedPageBreak/>
        <w:t xml:space="preserve">Le paragraphe 47(1) de la </w:t>
      </w:r>
      <w:r w:rsidRPr="007B5EFE">
        <w:rPr>
          <w:rFonts w:cs="Times New Roman"/>
          <w:i/>
          <w:lang w:val="fr-CA"/>
        </w:rPr>
        <w:t>LIP</w:t>
      </w:r>
    </w:p>
    <w:p w:rsidR="00132FB1" w:rsidRPr="007B5EFE" w:rsidRDefault="00132FB1" w:rsidP="00073901">
      <w:pPr>
        <w:pStyle w:val="ParaNoNdepar-AltN"/>
        <w:widowControl w:val="0"/>
        <w:rPr>
          <w:rFonts w:cs="Times New Roman"/>
          <w:lang w:val="fr-CA"/>
        </w:rPr>
      </w:pPr>
      <w:r w:rsidRPr="007B5EFE">
        <w:rPr>
          <w:rFonts w:cs="Times New Roman"/>
          <w:lang w:val="fr-CA"/>
        </w:rPr>
        <w:t xml:space="preserve">Monsieur Sciascia se fonde également sur le </w:t>
      </w:r>
      <w:r>
        <w:rPr>
          <w:rFonts w:cs="Times New Roman"/>
          <w:lang w:val="fr-CA"/>
        </w:rPr>
        <w:t>par. </w:t>
      </w:r>
      <w:r w:rsidRPr="007B5EFE">
        <w:rPr>
          <w:rFonts w:cs="Times New Roman"/>
          <w:lang w:val="fr-CA"/>
        </w:rPr>
        <w:t xml:space="preserve">47(1) de la </w:t>
      </w:r>
      <w:r w:rsidRPr="007B5EFE">
        <w:rPr>
          <w:rFonts w:cs="Times New Roman"/>
          <w:i/>
          <w:lang w:val="fr-CA"/>
        </w:rPr>
        <w:t xml:space="preserve">LIP </w:t>
      </w:r>
      <w:r w:rsidRPr="007B5EFE">
        <w:rPr>
          <w:rFonts w:cs="Times New Roman"/>
          <w:lang w:val="fr-CA"/>
        </w:rPr>
        <w:t>pour démontrer la volonté du législateur</w:t>
      </w:r>
      <w:r>
        <w:rPr>
          <w:rFonts w:cs="Times New Roman"/>
          <w:lang w:val="fr-CA"/>
        </w:rPr>
        <w:t> :</w:t>
      </w:r>
    </w:p>
    <w:p w:rsidR="00132FB1" w:rsidRPr="007B5EFE" w:rsidRDefault="00132FB1" w:rsidP="00073901">
      <w:pPr>
        <w:pStyle w:val="Citation-AltC"/>
        <w:widowControl w:val="0"/>
        <w:ind w:hanging="1166"/>
        <w:rPr>
          <w:lang w:val="fr-CA"/>
        </w:rPr>
      </w:pPr>
      <w:r w:rsidRPr="007B5EFE">
        <w:rPr>
          <w:b/>
          <w:lang w:val="fr-CA"/>
        </w:rPr>
        <w:tab/>
        <w:t>47</w:t>
      </w:r>
      <w:r w:rsidRPr="007B5EFE">
        <w:rPr>
          <w:lang w:val="fr-CA"/>
        </w:rPr>
        <w:t> (1) Avec le consentement des parties, le tribunal peut recevoir et étudier les témoignages recueillis devant le même juge à l</w:t>
      </w:r>
      <w:r>
        <w:rPr>
          <w:lang w:val="fr-CA"/>
        </w:rPr>
        <w:t>’</w:t>
      </w:r>
      <w:r w:rsidRPr="007B5EFE">
        <w:rPr>
          <w:lang w:val="fr-CA"/>
        </w:rPr>
        <w:t>égard d</w:t>
      </w:r>
      <w:r>
        <w:rPr>
          <w:lang w:val="fr-CA"/>
        </w:rPr>
        <w:t>’</w:t>
      </w:r>
      <w:r w:rsidRPr="007B5EFE">
        <w:rPr>
          <w:lang w:val="fr-CA"/>
        </w:rPr>
        <w:t>une accusation différente portée contre le même défendeur.</w:t>
      </w:r>
    </w:p>
    <w:p w:rsidR="00132FB1" w:rsidRPr="007B5EFE" w:rsidRDefault="00132FB1" w:rsidP="00073901">
      <w:pPr>
        <w:pStyle w:val="ContinueParaSuitedupar-AltP"/>
        <w:widowControl w:val="0"/>
        <w:rPr>
          <w:rFonts w:cs="Times New Roman"/>
          <w:lang w:val="fr-CA"/>
        </w:rPr>
      </w:pPr>
      <w:r w:rsidRPr="007B5EFE">
        <w:rPr>
          <w:rFonts w:cs="Times New Roman"/>
          <w:lang w:val="fr-CA"/>
        </w:rPr>
        <w:t>Selon lui, cette disposition démontre que le législateur a expressément choisi de tenir compte de la présence d</w:t>
      </w:r>
      <w:r>
        <w:rPr>
          <w:rFonts w:cs="Times New Roman"/>
          <w:lang w:val="fr-CA"/>
        </w:rPr>
        <w:t>’</w:t>
      </w:r>
      <w:r w:rsidRPr="007B5EFE">
        <w:rPr>
          <w:rFonts w:cs="Times New Roman"/>
          <w:lang w:val="fr-CA"/>
        </w:rPr>
        <w:t>un certain recoupement dans les faits à l</w:t>
      </w:r>
      <w:r>
        <w:rPr>
          <w:rFonts w:cs="Times New Roman"/>
          <w:lang w:val="fr-CA"/>
        </w:rPr>
        <w:t>’</w:t>
      </w:r>
      <w:r w:rsidRPr="007B5EFE">
        <w:rPr>
          <w:rFonts w:cs="Times New Roman"/>
          <w:lang w:val="fr-CA"/>
        </w:rPr>
        <w:t>origine des accusations provinciales et criminelles en permettant que des éléments de preuve versés dans un procès soient admis dans un autre. Ce choix exprès, affirme</w:t>
      </w:r>
      <w:r w:rsidR="00140575">
        <w:rPr>
          <w:rFonts w:cs="Times New Roman"/>
          <w:lang w:val="fr-CA"/>
        </w:rPr>
        <w:t>-</w:t>
      </w:r>
      <w:r w:rsidRPr="007B5EFE">
        <w:rPr>
          <w:rFonts w:cs="Times New Roman"/>
          <w:lang w:val="fr-CA"/>
        </w:rPr>
        <w:t>t</w:t>
      </w:r>
      <w:r w:rsidR="00140575">
        <w:rPr>
          <w:rFonts w:cs="Times New Roman"/>
          <w:lang w:val="fr-CA"/>
        </w:rPr>
        <w:t>-</w:t>
      </w:r>
      <w:r w:rsidRPr="007B5EFE">
        <w:rPr>
          <w:rFonts w:cs="Times New Roman"/>
          <w:lang w:val="fr-CA"/>
        </w:rPr>
        <w:t>il, exclut le recours à d</w:t>
      </w:r>
      <w:r>
        <w:rPr>
          <w:rFonts w:cs="Times New Roman"/>
          <w:lang w:val="fr-CA"/>
        </w:rPr>
        <w:t>’</w:t>
      </w:r>
      <w:r w:rsidRPr="007B5EFE">
        <w:rPr>
          <w:rFonts w:cs="Times New Roman"/>
          <w:lang w:val="fr-CA"/>
        </w:rPr>
        <w:t>autres moyens d</w:t>
      </w:r>
      <w:r>
        <w:rPr>
          <w:rFonts w:cs="Times New Roman"/>
          <w:lang w:val="fr-CA"/>
        </w:rPr>
        <w:t>’</w:t>
      </w:r>
      <w:r w:rsidRPr="007B5EFE">
        <w:rPr>
          <w:rFonts w:cs="Times New Roman"/>
          <w:lang w:val="fr-CA"/>
        </w:rPr>
        <w:t>atteindre le même objectif d</w:t>
      </w:r>
      <w:r>
        <w:rPr>
          <w:rFonts w:cs="Times New Roman"/>
          <w:lang w:val="fr-CA"/>
        </w:rPr>
        <w:t>’</w:t>
      </w:r>
      <w:r w:rsidRPr="007B5EFE">
        <w:rPr>
          <w:rFonts w:cs="Times New Roman"/>
          <w:lang w:val="fr-CA"/>
        </w:rPr>
        <w:t>économie des ressources judiciaires. Ma collègue retient l</w:t>
      </w:r>
      <w:r>
        <w:rPr>
          <w:rFonts w:cs="Times New Roman"/>
          <w:lang w:val="fr-CA"/>
        </w:rPr>
        <w:t>’</w:t>
      </w:r>
      <w:r w:rsidRPr="007B5EFE">
        <w:rPr>
          <w:rFonts w:cs="Times New Roman"/>
          <w:lang w:val="fr-CA"/>
        </w:rPr>
        <w:t xml:space="preserve">interprétation du </w:t>
      </w:r>
      <w:r>
        <w:rPr>
          <w:rFonts w:cs="Times New Roman"/>
          <w:lang w:val="fr-CA"/>
        </w:rPr>
        <w:t>par. </w:t>
      </w:r>
      <w:r w:rsidRPr="007B5EFE">
        <w:rPr>
          <w:rFonts w:cs="Times New Roman"/>
          <w:lang w:val="fr-CA"/>
        </w:rPr>
        <w:t xml:space="preserve">47(1) proposée par M. Sciascia. </w:t>
      </w:r>
    </w:p>
    <w:p w:rsidR="00132FB1" w:rsidRPr="007B5EFE" w:rsidRDefault="00132FB1" w:rsidP="00073901">
      <w:pPr>
        <w:pStyle w:val="ParaNoNdepar-AltN"/>
        <w:widowControl w:val="0"/>
        <w:rPr>
          <w:rFonts w:cs="Times New Roman"/>
          <w:lang w:val="fr-CA"/>
        </w:rPr>
      </w:pPr>
      <w:r w:rsidRPr="007B5EFE">
        <w:rPr>
          <w:rFonts w:cs="Times New Roman"/>
          <w:lang w:val="fr-CA"/>
        </w:rPr>
        <w:t>Soit dit en tout respect, je ne puis admettre cette interprétation. D</w:t>
      </w:r>
      <w:r>
        <w:rPr>
          <w:rFonts w:cs="Times New Roman"/>
          <w:lang w:val="fr-CA"/>
        </w:rPr>
        <w:t>’</w:t>
      </w:r>
      <w:r w:rsidRPr="007B5EFE">
        <w:rPr>
          <w:rFonts w:cs="Times New Roman"/>
          <w:lang w:val="fr-CA"/>
        </w:rPr>
        <w:t xml:space="preserve">après moi, le </w:t>
      </w:r>
      <w:r>
        <w:rPr>
          <w:rFonts w:cs="Times New Roman"/>
          <w:lang w:val="fr-CA"/>
        </w:rPr>
        <w:t>par. </w:t>
      </w:r>
      <w:r w:rsidRPr="007B5EFE">
        <w:rPr>
          <w:rFonts w:cs="Times New Roman"/>
          <w:lang w:val="fr-CA"/>
        </w:rPr>
        <w:t>47(1) démontre que le législateur voulait favoriser la prise de mesures procédurales aptes à accroître l</w:t>
      </w:r>
      <w:r>
        <w:rPr>
          <w:rFonts w:cs="Times New Roman"/>
          <w:lang w:val="fr-CA"/>
        </w:rPr>
        <w:t>’</w:t>
      </w:r>
      <w:r w:rsidRPr="007B5EFE">
        <w:rPr>
          <w:rFonts w:cs="Times New Roman"/>
          <w:lang w:val="fr-CA"/>
        </w:rPr>
        <w:t>efficacité, en harmonie avec l</w:t>
      </w:r>
      <w:r>
        <w:rPr>
          <w:rFonts w:cs="Times New Roman"/>
          <w:lang w:val="fr-CA"/>
        </w:rPr>
        <w:t>’</w:t>
      </w:r>
      <w:r w:rsidRPr="007B5EFE">
        <w:rPr>
          <w:rFonts w:cs="Times New Roman"/>
          <w:lang w:val="fr-CA"/>
        </w:rPr>
        <w:t xml:space="preserve">esprit de la réforme de la </w:t>
      </w:r>
      <w:r w:rsidRPr="007B5EFE">
        <w:rPr>
          <w:rFonts w:cs="Times New Roman"/>
          <w:i/>
          <w:lang w:val="fr-CA"/>
        </w:rPr>
        <w:t>LI</w:t>
      </w:r>
      <w:r>
        <w:rPr>
          <w:rFonts w:cs="Times New Roman"/>
          <w:i/>
          <w:lang w:val="fr-CA"/>
        </w:rPr>
        <w:t>P. </w:t>
      </w:r>
      <w:r w:rsidRPr="007B5EFE">
        <w:rPr>
          <w:rFonts w:cs="Times New Roman"/>
          <w:lang w:val="fr-CA"/>
        </w:rPr>
        <w:t xml:space="preserve">Certes, le </w:t>
      </w:r>
      <w:r>
        <w:rPr>
          <w:rFonts w:cs="Times New Roman"/>
          <w:lang w:val="fr-CA"/>
        </w:rPr>
        <w:t>par. </w:t>
      </w:r>
      <w:r w:rsidRPr="007B5EFE">
        <w:rPr>
          <w:rFonts w:cs="Times New Roman"/>
          <w:lang w:val="fr-CA"/>
        </w:rPr>
        <w:t>47(1) traite d</w:t>
      </w:r>
      <w:r>
        <w:rPr>
          <w:rFonts w:cs="Times New Roman"/>
          <w:lang w:val="fr-CA"/>
        </w:rPr>
        <w:t>’</w:t>
      </w:r>
      <w:r w:rsidRPr="007B5EFE">
        <w:rPr>
          <w:rFonts w:cs="Times New Roman"/>
          <w:lang w:val="fr-CA"/>
        </w:rPr>
        <w:t>une façon de tenir compte des recoupements qui peuvent survenir dans le cadre de l</w:t>
      </w:r>
      <w:r>
        <w:rPr>
          <w:rFonts w:cs="Times New Roman"/>
          <w:lang w:val="fr-CA"/>
        </w:rPr>
        <w:t>’</w:t>
      </w:r>
      <w:r w:rsidRPr="007B5EFE">
        <w:rPr>
          <w:rFonts w:cs="Times New Roman"/>
          <w:lang w:val="fr-CA"/>
        </w:rPr>
        <w:t>instruction de procès relatifs à des infractions provinciales d</w:t>
      </w:r>
      <w:r>
        <w:rPr>
          <w:rFonts w:cs="Times New Roman"/>
          <w:lang w:val="fr-CA"/>
        </w:rPr>
        <w:t>’</w:t>
      </w:r>
      <w:r w:rsidRPr="007B5EFE">
        <w:rPr>
          <w:rFonts w:cs="Times New Roman"/>
          <w:lang w:val="fr-CA"/>
        </w:rPr>
        <w:t>une part et à des infractions criminelles punissables par déclaration de culpabilité par procédure sommaire d</w:t>
      </w:r>
      <w:r>
        <w:rPr>
          <w:rFonts w:cs="Times New Roman"/>
          <w:lang w:val="fr-CA"/>
        </w:rPr>
        <w:t>’</w:t>
      </w:r>
      <w:r w:rsidRPr="007B5EFE">
        <w:rPr>
          <w:rFonts w:cs="Times New Roman"/>
          <w:lang w:val="fr-CA"/>
        </w:rPr>
        <w:t>autre part, mais cet énoncé n</w:t>
      </w:r>
      <w:r>
        <w:rPr>
          <w:rFonts w:cs="Times New Roman"/>
          <w:lang w:val="fr-CA"/>
        </w:rPr>
        <w:t>’</w:t>
      </w:r>
      <w:r w:rsidRPr="007B5EFE">
        <w:rPr>
          <w:rFonts w:cs="Times New Roman"/>
          <w:lang w:val="fr-CA"/>
        </w:rPr>
        <w:t>exclut pas le recours à d</w:t>
      </w:r>
      <w:r>
        <w:rPr>
          <w:rFonts w:cs="Times New Roman"/>
          <w:lang w:val="fr-CA"/>
        </w:rPr>
        <w:t>’</w:t>
      </w:r>
      <w:r w:rsidRPr="007B5EFE">
        <w:rPr>
          <w:rFonts w:cs="Times New Roman"/>
          <w:lang w:val="fr-CA"/>
        </w:rPr>
        <w:t xml:space="preserve">autres outils procéduraux. Rien dans la </w:t>
      </w:r>
      <w:r w:rsidRPr="007B5EFE">
        <w:rPr>
          <w:rFonts w:cs="Times New Roman"/>
          <w:i/>
          <w:lang w:val="fr-CA"/>
        </w:rPr>
        <w:t>LIP</w:t>
      </w:r>
      <w:r w:rsidRPr="007B5EFE">
        <w:rPr>
          <w:rFonts w:cs="Times New Roman"/>
          <w:lang w:val="fr-CA"/>
        </w:rPr>
        <w:t xml:space="preserve"> n</w:t>
      </w:r>
      <w:r>
        <w:rPr>
          <w:rFonts w:cs="Times New Roman"/>
          <w:lang w:val="fr-CA"/>
        </w:rPr>
        <w:t>’</w:t>
      </w:r>
      <w:r w:rsidRPr="007B5EFE">
        <w:rPr>
          <w:rFonts w:cs="Times New Roman"/>
          <w:lang w:val="fr-CA"/>
        </w:rPr>
        <w:t>interdit expressément la tenue d</w:t>
      </w:r>
      <w:r>
        <w:rPr>
          <w:rFonts w:cs="Times New Roman"/>
          <w:lang w:val="fr-CA"/>
        </w:rPr>
        <w:t>’</w:t>
      </w:r>
      <w:r w:rsidRPr="007B5EFE">
        <w:rPr>
          <w:rFonts w:cs="Times New Roman"/>
          <w:lang w:val="fr-CA"/>
        </w:rPr>
        <w:t>un procès conjoint relativement à des accusations de ces deux types. J</w:t>
      </w:r>
      <w:r>
        <w:rPr>
          <w:rFonts w:cs="Times New Roman"/>
          <w:lang w:val="fr-CA"/>
        </w:rPr>
        <w:t>’</w:t>
      </w:r>
      <w:r w:rsidRPr="007B5EFE">
        <w:rPr>
          <w:rFonts w:cs="Times New Roman"/>
          <w:lang w:val="fr-CA"/>
        </w:rPr>
        <w:t xml:space="preserve">estime que cette </w:t>
      </w:r>
      <w:r w:rsidRPr="007B5EFE">
        <w:rPr>
          <w:rFonts w:cs="Times New Roman"/>
          <w:lang w:val="fr-CA"/>
        </w:rPr>
        <w:lastRenderedPageBreak/>
        <w:t>disposition ne l</w:t>
      </w:r>
      <w:r>
        <w:rPr>
          <w:rFonts w:cs="Times New Roman"/>
          <w:lang w:val="fr-CA"/>
        </w:rPr>
        <w:t>’</w:t>
      </w:r>
      <w:r w:rsidRPr="007B5EFE">
        <w:rPr>
          <w:rFonts w:cs="Times New Roman"/>
          <w:lang w:val="fr-CA"/>
        </w:rPr>
        <w:t>interdit pas implicitement non plus, puisqu</w:t>
      </w:r>
      <w:r>
        <w:rPr>
          <w:rFonts w:cs="Times New Roman"/>
          <w:lang w:val="fr-CA"/>
        </w:rPr>
        <w:t>’</w:t>
      </w:r>
      <w:r w:rsidRPr="007B5EFE">
        <w:rPr>
          <w:rFonts w:cs="Times New Roman"/>
          <w:lang w:val="fr-CA"/>
        </w:rPr>
        <w:t>une exclusion implicite contrarierait l</w:t>
      </w:r>
      <w:r>
        <w:rPr>
          <w:rFonts w:cs="Times New Roman"/>
          <w:lang w:val="fr-CA"/>
        </w:rPr>
        <w:t>’</w:t>
      </w:r>
      <w:r w:rsidRPr="007B5EFE">
        <w:rPr>
          <w:rFonts w:cs="Times New Roman"/>
          <w:lang w:val="fr-CA"/>
        </w:rPr>
        <w:t>esprit sous</w:t>
      </w:r>
      <w:r w:rsidR="00140575">
        <w:rPr>
          <w:rFonts w:cs="Times New Roman"/>
          <w:lang w:val="fr-CA"/>
        </w:rPr>
        <w:t>-</w:t>
      </w:r>
      <w:r w:rsidRPr="007B5EFE">
        <w:rPr>
          <w:rFonts w:cs="Times New Roman"/>
          <w:lang w:val="fr-CA"/>
        </w:rPr>
        <w:t xml:space="preserve">jacent de la </w:t>
      </w:r>
      <w:r w:rsidRPr="007B5EFE">
        <w:rPr>
          <w:rFonts w:cs="Times New Roman"/>
          <w:i/>
          <w:lang w:val="fr-CA"/>
        </w:rPr>
        <w:t>LIP</w:t>
      </w:r>
      <w:r w:rsidRPr="007B5EFE">
        <w:rPr>
          <w:rFonts w:cs="Times New Roman"/>
          <w:lang w:val="fr-CA"/>
        </w:rPr>
        <w:t xml:space="preserve"> qui vise à accroître l</w:t>
      </w:r>
      <w:r>
        <w:rPr>
          <w:rFonts w:cs="Times New Roman"/>
          <w:lang w:val="fr-CA"/>
        </w:rPr>
        <w:t>’</w:t>
      </w:r>
      <w:r w:rsidRPr="007B5EFE">
        <w:rPr>
          <w:rFonts w:cs="Times New Roman"/>
          <w:lang w:val="fr-CA"/>
        </w:rPr>
        <w:t>efficacité</w:t>
      </w:r>
      <w:r>
        <w:rPr>
          <w:rFonts w:cs="Times New Roman"/>
          <w:lang w:val="fr-CA"/>
        </w:rPr>
        <w:t> :</w:t>
      </w:r>
      <w:r w:rsidRPr="007B5EFE">
        <w:rPr>
          <w:rFonts w:cs="Times New Roman"/>
          <w:lang w:val="fr-CA"/>
        </w:rPr>
        <w:t xml:space="preserve"> voir </w:t>
      </w:r>
      <w:r w:rsidRPr="007B5EFE">
        <w:rPr>
          <w:rFonts w:cs="Times New Roman"/>
          <w:i/>
          <w:lang w:val="fr-CA"/>
        </w:rPr>
        <w:t>Green c. Société du Barreau du Manitoba</w:t>
      </w:r>
      <w:r w:rsidRPr="007B5EFE">
        <w:rPr>
          <w:rFonts w:cs="Times New Roman"/>
          <w:lang w:val="fr-CA"/>
        </w:rPr>
        <w:t xml:space="preserve">, 2017 CSC 20, [2017] 1 R.C.S. 360, </w:t>
      </w:r>
      <w:r>
        <w:rPr>
          <w:rFonts w:cs="Times New Roman"/>
          <w:lang w:val="fr-CA"/>
        </w:rPr>
        <w:t>par. </w:t>
      </w:r>
      <w:r w:rsidRPr="007B5EFE">
        <w:rPr>
          <w:rFonts w:cs="Times New Roman"/>
          <w:lang w:val="fr-CA"/>
        </w:rPr>
        <w:t>37.</w:t>
      </w:r>
    </w:p>
    <w:p w:rsidR="00132FB1" w:rsidRPr="007B5EFE" w:rsidRDefault="00132FB1" w:rsidP="00073901">
      <w:pPr>
        <w:pStyle w:val="ParaNoNdepar-AltN"/>
        <w:widowControl w:val="0"/>
        <w:rPr>
          <w:rFonts w:cs="Times New Roman"/>
          <w:lang w:val="fr-CA"/>
        </w:rPr>
      </w:pPr>
      <w:r w:rsidRPr="007B5EFE">
        <w:rPr>
          <w:rFonts w:cs="Times New Roman"/>
          <w:lang w:val="fr-CA"/>
        </w:rPr>
        <w:t xml:space="preserve">Selon mon interprétation, le </w:t>
      </w:r>
      <w:r>
        <w:rPr>
          <w:rFonts w:cs="Times New Roman"/>
          <w:lang w:val="fr-CA"/>
        </w:rPr>
        <w:t>par. </w:t>
      </w:r>
      <w:r w:rsidRPr="007B5EFE">
        <w:rPr>
          <w:rFonts w:cs="Times New Roman"/>
          <w:lang w:val="fr-CA"/>
        </w:rPr>
        <w:t xml:space="preserve">47(1) et le pouvoir discrétionnaire des juges de la CJO </w:t>
      </w:r>
      <w:r w:rsidR="002310FC">
        <w:rPr>
          <w:rFonts w:cs="Times New Roman"/>
          <w:lang w:val="fr-CA"/>
        </w:rPr>
        <w:t xml:space="preserve">de tenir un procès conjoint </w:t>
      </w:r>
      <w:r w:rsidRPr="007B5EFE">
        <w:rPr>
          <w:rFonts w:cs="Times New Roman"/>
          <w:lang w:val="fr-CA"/>
        </w:rPr>
        <w:t>ne s</w:t>
      </w:r>
      <w:r>
        <w:rPr>
          <w:rFonts w:cs="Times New Roman"/>
          <w:lang w:val="fr-CA"/>
        </w:rPr>
        <w:t>’</w:t>
      </w:r>
      <w:r w:rsidRPr="007B5EFE">
        <w:rPr>
          <w:rFonts w:cs="Times New Roman"/>
          <w:lang w:val="fr-CA"/>
        </w:rPr>
        <w:t>excluent pas mutuellement. L</w:t>
      </w:r>
      <w:r>
        <w:rPr>
          <w:rFonts w:cs="Times New Roman"/>
          <w:lang w:val="fr-CA"/>
        </w:rPr>
        <w:t>’</w:t>
      </w:r>
      <w:r w:rsidRPr="007B5EFE">
        <w:rPr>
          <w:rFonts w:cs="Times New Roman"/>
          <w:lang w:val="fr-CA"/>
        </w:rPr>
        <w:t xml:space="preserve">application du </w:t>
      </w:r>
      <w:r>
        <w:rPr>
          <w:rFonts w:cs="Times New Roman"/>
          <w:lang w:val="fr-CA"/>
        </w:rPr>
        <w:t>par. </w:t>
      </w:r>
      <w:r w:rsidRPr="007B5EFE">
        <w:rPr>
          <w:rFonts w:cs="Times New Roman"/>
          <w:lang w:val="fr-CA"/>
        </w:rPr>
        <w:t>47(1) est assujettie au consentement des parties, ce qui en restreint l</w:t>
      </w:r>
      <w:r>
        <w:rPr>
          <w:rFonts w:cs="Times New Roman"/>
          <w:lang w:val="fr-CA"/>
        </w:rPr>
        <w:t>’</w:t>
      </w:r>
      <w:r w:rsidRPr="007B5EFE">
        <w:rPr>
          <w:rFonts w:cs="Times New Roman"/>
          <w:lang w:val="fr-CA"/>
        </w:rPr>
        <w:t>efficacité. L</w:t>
      </w:r>
      <w:r>
        <w:rPr>
          <w:rFonts w:cs="Times New Roman"/>
          <w:lang w:val="fr-CA"/>
        </w:rPr>
        <w:t>’</w:t>
      </w:r>
      <w:r w:rsidRPr="007B5EFE">
        <w:rPr>
          <w:rFonts w:cs="Times New Roman"/>
          <w:lang w:val="fr-CA"/>
        </w:rPr>
        <w:t>exigence du consentement prévue par cette disposition donne en réalité tant au ministère public qu</w:t>
      </w:r>
      <w:r>
        <w:rPr>
          <w:rFonts w:cs="Times New Roman"/>
          <w:lang w:val="fr-CA"/>
        </w:rPr>
        <w:t>’</w:t>
      </w:r>
      <w:r w:rsidRPr="007B5EFE">
        <w:rPr>
          <w:rFonts w:cs="Times New Roman"/>
          <w:lang w:val="fr-CA"/>
        </w:rPr>
        <w:t>à la défense un pouvoir de refus, laissant ainsi le tribunal dépourvu des moyens de défendre les intérêts de la justice dans les cas où l</w:t>
      </w:r>
      <w:r>
        <w:rPr>
          <w:rFonts w:cs="Times New Roman"/>
          <w:lang w:val="fr-CA"/>
        </w:rPr>
        <w:t>’</w:t>
      </w:r>
      <w:r w:rsidRPr="007B5EFE">
        <w:rPr>
          <w:rFonts w:cs="Times New Roman"/>
          <w:lang w:val="fr-CA"/>
        </w:rPr>
        <w:t>affaire s</w:t>
      </w:r>
      <w:r>
        <w:rPr>
          <w:rFonts w:cs="Times New Roman"/>
          <w:lang w:val="fr-CA"/>
        </w:rPr>
        <w:t>’</w:t>
      </w:r>
      <w:r w:rsidRPr="007B5EFE">
        <w:rPr>
          <w:rFonts w:cs="Times New Roman"/>
          <w:lang w:val="fr-CA"/>
        </w:rPr>
        <w:t>y prête, et ce, malgré les avantages évidents que présente la tenue d</w:t>
      </w:r>
      <w:r>
        <w:rPr>
          <w:rFonts w:cs="Times New Roman"/>
          <w:lang w:val="fr-CA"/>
        </w:rPr>
        <w:t>’</w:t>
      </w:r>
      <w:r w:rsidRPr="007B5EFE">
        <w:rPr>
          <w:rFonts w:cs="Times New Roman"/>
          <w:lang w:val="fr-CA"/>
        </w:rPr>
        <w:t>un procès conjoint.</w:t>
      </w:r>
    </w:p>
    <w:p w:rsidR="00132FB1" w:rsidRPr="007B5EFE" w:rsidRDefault="00132FB1" w:rsidP="00073901">
      <w:pPr>
        <w:pStyle w:val="ParaNoNdepar-AltN"/>
        <w:widowControl w:val="0"/>
        <w:rPr>
          <w:rFonts w:cs="Times New Roman"/>
          <w:lang w:val="fr-CA"/>
        </w:rPr>
      </w:pPr>
      <w:r w:rsidRPr="007B5EFE">
        <w:rPr>
          <w:rFonts w:cs="Times New Roman"/>
          <w:lang w:val="fr-CA"/>
        </w:rPr>
        <w:t>Parallèlement, il peut être indiqué de refuser la tenue d</w:t>
      </w:r>
      <w:r>
        <w:rPr>
          <w:rFonts w:cs="Times New Roman"/>
          <w:lang w:val="fr-CA"/>
        </w:rPr>
        <w:t>’</w:t>
      </w:r>
      <w:r w:rsidRPr="007B5EFE">
        <w:rPr>
          <w:rFonts w:cs="Times New Roman"/>
          <w:lang w:val="fr-CA"/>
        </w:rPr>
        <w:t>un procès conjoint lorsque celui</w:t>
      </w:r>
      <w:r w:rsidR="00140575">
        <w:rPr>
          <w:rFonts w:cs="Times New Roman"/>
          <w:lang w:val="fr-CA"/>
        </w:rPr>
        <w:t>-</w:t>
      </w:r>
      <w:r w:rsidRPr="007B5EFE">
        <w:rPr>
          <w:rFonts w:cs="Times New Roman"/>
          <w:lang w:val="fr-CA"/>
        </w:rPr>
        <w:t>ci causerait un préjudice grave et, en conséquence, nuirait aux intérêts de la justice. Dans un tel cas, il serait néanmoins possible d</w:t>
      </w:r>
      <w:r>
        <w:rPr>
          <w:rFonts w:cs="Times New Roman"/>
          <w:lang w:val="fr-CA"/>
        </w:rPr>
        <w:t>’</w:t>
      </w:r>
      <w:r w:rsidRPr="007B5EFE">
        <w:rPr>
          <w:rFonts w:cs="Times New Roman"/>
          <w:lang w:val="fr-CA"/>
        </w:rPr>
        <w:t xml:space="preserve">invoquer le </w:t>
      </w:r>
      <w:r>
        <w:rPr>
          <w:rFonts w:cs="Times New Roman"/>
          <w:lang w:val="fr-CA"/>
        </w:rPr>
        <w:t>par. </w:t>
      </w:r>
      <w:r w:rsidRPr="007B5EFE">
        <w:rPr>
          <w:rFonts w:cs="Times New Roman"/>
          <w:lang w:val="fr-CA"/>
        </w:rPr>
        <w:t xml:space="preserve">47(1) de la </w:t>
      </w:r>
      <w:r w:rsidRPr="007B5EFE">
        <w:rPr>
          <w:rFonts w:cs="Times New Roman"/>
          <w:i/>
          <w:lang w:val="fr-CA"/>
        </w:rPr>
        <w:t>LIP</w:t>
      </w:r>
      <w:r w:rsidRPr="007B5EFE">
        <w:rPr>
          <w:rFonts w:cs="Times New Roman"/>
          <w:lang w:val="fr-CA"/>
        </w:rPr>
        <w:t xml:space="preserve"> afin d</w:t>
      </w:r>
      <w:r>
        <w:rPr>
          <w:rFonts w:cs="Times New Roman"/>
          <w:lang w:val="fr-CA"/>
        </w:rPr>
        <w:t>’</w:t>
      </w:r>
      <w:r w:rsidRPr="007B5EFE">
        <w:rPr>
          <w:rFonts w:cs="Times New Roman"/>
          <w:lang w:val="fr-CA"/>
        </w:rPr>
        <w:t>autoriser que certains témoignages recueillis devant le même juge à l</w:t>
      </w:r>
      <w:r>
        <w:rPr>
          <w:rFonts w:cs="Times New Roman"/>
          <w:lang w:val="fr-CA"/>
        </w:rPr>
        <w:t>’</w:t>
      </w:r>
      <w:r w:rsidRPr="007B5EFE">
        <w:rPr>
          <w:rFonts w:cs="Times New Roman"/>
          <w:lang w:val="fr-CA"/>
        </w:rPr>
        <w:t>occasion du premier procès soient admis au dossier de l</w:t>
      </w:r>
      <w:r>
        <w:rPr>
          <w:rFonts w:cs="Times New Roman"/>
          <w:lang w:val="fr-CA"/>
        </w:rPr>
        <w:t>’</w:t>
      </w:r>
      <w:r w:rsidRPr="007B5EFE">
        <w:rPr>
          <w:rFonts w:cs="Times New Roman"/>
          <w:lang w:val="fr-CA"/>
        </w:rPr>
        <w:t xml:space="preserve">autre affaire, pourvu que les parties y consentent. </w:t>
      </w:r>
    </w:p>
    <w:p w:rsidR="00132FB1" w:rsidRPr="007B5EFE" w:rsidRDefault="00132FB1" w:rsidP="00073901">
      <w:pPr>
        <w:pStyle w:val="ParaNoNdepar-AltN"/>
        <w:widowControl w:val="0"/>
        <w:rPr>
          <w:rFonts w:cs="Times New Roman"/>
          <w:lang w:val="fr-CA"/>
        </w:rPr>
      </w:pPr>
      <w:r w:rsidRPr="007B5EFE">
        <w:rPr>
          <w:rFonts w:cs="Times New Roman"/>
          <w:lang w:val="fr-CA"/>
        </w:rPr>
        <w:t xml:space="preserve">Bref, le </w:t>
      </w:r>
      <w:r>
        <w:rPr>
          <w:rFonts w:cs="Times New Roman"/>
          <w:lang w:val="fr-CA"/>
        </w:rPr>
        <w:t>par. </w:t>
      </w:r>
      <w:r w:rsidRPr="007B5EFE">
        <w:rPr>
          <w:rFonts w:cs="Times New Roman"/>
          <w:lang w:val="fr-CA"/>
        </w:rPr>
        <w:t>47(1) n</w:t>
      </w:r>
      <w:r>
        <w:rPr>
          <w:rFonts w:cs="Times New Roman"/>
          <w:lang w:val="fr-CA"/>
        </w:rPr>
        <w:t>’</w:t>
      </w:r>
      <w:r w:rsidRPr="007B5EFE">
        <w:rPr>
          <w:rFonts w:cs="Times New Roman"/>
          <w:lang w:val="fr-CA"/>
        </w:rPr>
        <w:t>est pas un obstacle à l</w:t>
      </w:r>
      <w:r>
        <w:rPr>
          <w:rFonts w:cs="Times New Roman"/>
          <w:lang w:val="fr-CA"/>
        </w:rPr>
        <w:t>’</w:t>
      </w:r>
      <w:r w:rsidRPr="007B5EFE">
        <w:rPr>
          <w:rFonts w:cs="Times New Roman"/>
          <w:lang w:val="fr-CA"/>
        </w:rPr>
        <w:t>exercice du pouvoir discrétionnaire d</w:t>
      </w:r>
      <w:r>
        <w:rPr>
          <w:rFonts w:cs="Times New Roman"/>
          <w:lang w:val="fr-CA"/>
        </w:rPr>
        <w:t>’</w:t>
      </w:r>
      <w:r w:rsidRPr="007B5EFE">
        <w:rPr>
          <w:rFonts w:cs="Times New Roman"/>
          <w:lang w:val="fr-CA"/>
        </w:rPr>
        <w:t xml:space="preserve">un juge de la CJO de tenir un procès conjoint. Au contraire, ces outils procéduraux peuvent être harmonisés afin de réaliser les objectifs de la </w:t>
      </w:r>
      <w:r w:rsidRPr="007B5EFE">
        <w:rPr>
          <w:rFonts w:cs="Times New Roman"/>
          <w:i/>
          <w:lang w:val="fr-CA"/>
        </w:rPr>
        <w:t>LIP</w:t>
      </w:r>
      <w:r w:rsidRPr="007B5EFE">
        <w:rPr>
          <w:rFonts w:cs="Times New Roman"/>
          <w:lang w:val="fr-CA"/>
        </w:rPr>
        <w:t>.</w:t>
      </w:r>
    </w:p>
    <w:p w:rsidR="00132FB1" w:rsidRPr="007B5EFE" w:rsidRDefault="00132FB1" w:rsidP="00073901">
      <w:pPr>
        <w:pStyle w:val="Title3LevelTitre3Niveau"/>
        <w:widowControl w:val="0"/>
        <w:rPr>
          <w:rFonts w:cs="Times New Roman"/>
          <w:lang w:val="fr-CA"/>
        </w:rPr>
      </w:pPr>
      <w:r w:rsidRPr="007B5EFE">
        <w:rPr>
          <w:rFonts w:cs="Times New Roman"/>
          <w:lang w:val="fr-CA"/>
        </w:rPr>
        <w:t>L</w:t>
      </w:r>
      <w:r>
        <w:rPr>
          <w:rFonts w:cs="Times New Roman"/>
          <w:lang w:val="fr-CA"/>
        </w:rPr>
        <w:t>’</w:t>
      </w:r>
      <w:r w:rsidRPr="007B5EFE">
        <w:rPr>
          <w:rFonts w:cs="Times New Roman"/>
          <w:lang w:val="fr-CA"/>
        </w:rPr>
        <w:t>utilité concrète des procès conjoints</w:t>
      </w:r>
    </w:p>
    <w:p w:rsidR="00132FB1" w:rsidRPr="007B5EFE" w:rsidRDefault="00132FB1" w:rsidP="00073901">
      <w:pPr>
        <w:pStyle w:val="ParaNoNdepar-AltN"/>
        <w:widowControl w:val="0"/>
        <w:rPr>
          <w:rFonts w:cs="Times New Roman"/>
          <w:lang w:val="fr-CA"/>
        </w:rPr>
      </w:pPr>
      <w:r w:rsidRPr="007B5EFE">
        <w:rPr>
          <w:rFonts w:cs="Times New Roman"/>
          <w:lang w:val="fr-CA"/>
        </w:rPr>
        <w:lastRenderedPageBreak/>
        <w:t xml:space="preserve">Enfin, M. Sciascia fait valoir que même si la </w:t>
      </w:r>
      <w:r w:rsidRPr="007B5EFE">
        <w:rPr>
          <w:rFonts w:cs="Times New Roman"/>
          <w:i/>
          <w:lang w:val="fr-CA"/>
        </w:rPr>
        <w:t xml:space="preserve">LIP </w:t>
      </w:r>
      <w:r w:rsidRPr="007B5EFE">
        <w:rPr>
          <w:rFonts w:cs="Times New Roman"/>
          <w:lang w:val="fr-CA"/>
        </w:rPr>
        <w:t>est censée mettre en place des procédures permettant d</w:t>
      </w:r>
      <w:r>
        <w:rPr>
          <w:rFonts w:cs="Times New Roman"/>
          <w:lang w:val="fr-CA"/>
        </w:rPr>
        <w:t>’</w:t>
      </w:r>
      <w:r w:rsidRPr="007B5EFE">
        <w:rPr>
          <w:rFonts w:cs="Times New Roman"/>
          <w:lang w:val="fr-CA"/>
        </w:rPr>
        <w:t>accroître l</w:t>
      </w:r>
      <w:r>
        <w:rPr>
          <w:rFonts w:cs="Times New Roman"/>
          <w:lang w:val="fr-CA"/>
        </w:rPr>
        <w:t>’</w:t>
      </w:r>
      <w:r w:rsidRPr="007B5EFE">
        <w:rPr>
          <w:rFonts w:cs="Times New Roman"/>
          <w:lang w:val="fr-CA"/>
        </w:rPr>
        <w:t>efficacité, le recours à des procès conjoints ne contribue pas à la réalisation de cet objectif. Il doute que les accusés qui agissent pour leur propre compte puissent savoir quoi faire, dans le cadre d</w:t>
      </w:r>
      <w:r>
        <w:rPr>
          <w:rFonts w:cs="Times New Roman"/>
          <w:lang w:val="fr-CA"/>
        </w:rPr>
        <w:t>’</w:t>
      </w:r>
      <w:r w:rsidRPr="007B5EFE">
        <w:rPr>
          <w:rFonts w:cs="Times New Roman"/>
          <w:lang w:val="fr-CA"/>
        </w:rPr>
        <w:t>un procès conjoint, en cas de divergences entre les procédures prévues par les lois fédérales ― en l</w:t>
      </w:r>
      <w:r>
        <w:rPr>
          <w:rFonts w:cs="Times New Roman"/>
          <w:lang w:val="fr-CA"/>
        </w:rPr>
        <w:t>’</w:t>
      </w:r>
      <w:r w:rsidRPr="007B5EFE">
        <w:rPr>
          <w:rFonts w:cs="Times New Roman"/>
          <w:lang w:val="fr-CA"/>
        </w:rPr>
        <w:t xml:space="preserve">occurrence, le </w:t>
      </w:r>
      <w:r w:rsidRPr="007B5EFE">
        <w:rPr>
          <w:rFonts w:cs="Times New Roman"/>
          <w:i/>
          <w:lang w:val="fr-CA"/>
        </w:rPr>
        <w:t>C</w:t>
      </w:r>
      <w:r w:rsidR="0017716B">
        <w:rPr>
          <w:rFonts w:cs="Times New Roman"/>
          <w:i/>
          <w:lang w:val="fr-CA"/>
        </w:rPr>
        <w:t>ode criminel</w:t>
      </w:r>
      <w:r w:rsidRPr="007B5EFE">
        <w:rPr>
          <w:rFonts w:cs="Times New Roman"/>
          <w:i/>
          <w:lang w:val="fr-CA"/>
        </w:rPr>
        <w:t xml:space="preserve"> </w:t>
      </w:r>
      <w:r w:rsidRPr="007B5EFE">
        <w:rPr>
          <w:rFonts w:cs="Times New Roman"/>
          <w:lang w:val="fr-CA"/>
        </w:rPr>
        <w:t xml:space="preserve">et la </w:t>
      </w:r>
      <w:r w:rsidRPr="007B5EFE">
        <w:rPr>
          <w:rFonts w:cs="Times New Roman"/>
          <w:i/>
          <w:lang w:val="fr-CA"/>
        </w:rPr>
        <w:t>Loi sur la preuve au Canada</w:t>
      </w:r>
      <w:r w:rsidRPr="007B5EFE">
        <w:rPr>
          <w:rFonts w:cs="Times New Roman"/>
          <w:lang w:val="fr-CA"/>
        </w:rPr>
        <w:t>, L.R.C. 1985, c. C</w:t>
      </w:r>
      <w:r w:rsidR="00140575">
        <w:rPr>
          <w:rFonts w:cs="Times New Roman"/>
          <w:lang w:val="fr-CA"/>
        </w:rPr>
        <w:t>-</w:t>
      </w:r>
      <w:r w:rsidRPr="007B5EFE">
        <w:rPr>
          <w:rFonts w:cs="Times New Roman"/>
          <w:lang w:val="fr-CA"/>
        </w:rPr>
        <w:t>5 (« </w:t>
      </w:r>
      <w:r w:rsidRPr="007B5EFE">
        <w:rPr>
          <w:rFonts w:cs="Times New Roman"/>
          <w:i/>
          <w:lang w:val="fr-CA"/>
        </w:rPr>
        <w:t>LPC </w:t>
      </w:r>
      <w:r w:rsidRPr="007B5EFE">
        <w:rPr>
          <w:rFonts w:cs="Times New Roman"/>
          <w:lang w:val="fr-CA"/>
        </w:rPr>
        <w:t>») ― et les lois provinciales ― en l</w:t>
      </w:r>
      <w:r>
        <w:rPr>
          <w:rFonts w:cs="Times New Roman"/>
          <w:lang w:val="fr-CA"/>
        </w:rPr>
        <w:t>’</w:t>
      </w:r>
      <w:r w:rsidRPr="007B5EFE">
        <w:rPr>
          <w:rFonts w:cs="Times New Roman"/>
          <w:lang w:val="fr-CA"/>
        </w:rPr>
        <w:t xml:space="preserve">occurrence, la </w:t>
      </w:r>
      <w:r w:rsidRPr="007B5EFE">
        <w:rPr>
          <w:rFonts w:cs="Times New Roman"/>
          <w:i/>
          <w:lang w:val="fr-CA"/>
        </w:rPr>
        <w:t>LIP</w:t>
      </w:r>
      <w:r w:rsidRPr="007B5EFE">
        <w:rPr>
          <w:rFonts w:cs="Times New Roman"/>
          <w:lang w:val="fr-CA"/>
        </w:rPr>
        <w:t xml:space="preserve"> et la </w:t>
      </w:r>
      <w:r w:rsidRPr="007B5EFE">
        <w:rPr>
          <w:rFonts w:cs="Times New Roman"/>
          <w:i/>
          <w:lang w:val="fr-CA"/>
        </w:rPr>
        <w:t>Loi sur la preuve</w:t>
      </w:r>
      <w:r w:rsidRPr="007B5EFE">
        <w:rPr>
          <w:rFonts w:cs="Times New Roman"/>
          <w:lang w:val="fr-CA"/>
        </w:rPr>
        <w:t>, L.R.O. 1990, c. E.23. Ma collègue fait preuve d</w:t>
      </w:r>
      <w:r>
        <w:rPr>
          <w:rFonts w:cs="Times New Roman"/>
          <w:lang w:val="fr-CA"/>
        </w:rPr>
        <w:t>’</w:t>
      </w:r>
      <w:r w:rsidRPr="007B5EFE">
        <w:rPr>
          <w:rFonts w:cs="Times New Roman"/>
          <w:lang w:val="fr-CA"/>
        </w:rPr>
        <w:t>autant de scepticisme, expliquant que la réunion de procès pour des raisons de commodité de nature procédurale risque « d</w:t>
      </w:r>
      <w:r>
        <w:rPr>
          <w:rFonts w:cs="Times New Roman"/>
          <w:lang w:val="fr-CA"/>
        </w:rPr>
        <w:t>’</w:t>
      </w:r>
      <w:r w:rsidRPr="007B5EFE">
        <w:rPr>
          <w:rFonts w:cs="Times New Roman"/>
          <w:lang w:val="fr-CA"/>
        </w:rPr>
        <w:t>encourager la multiplicité des accusations »</w:t>
      </w:r>
      <w:r>
        <w:rPr>
          <w:rStyle w:val="SCCCoramChar"/>
          <w:rFonts w:cs="Times New Roman"/>
          <w:lang w:val="fr-CA"/>
        </w:rPr>
        <w:t> :</w:t>
      </w:r>
      <w:r w:rsidRPr="007B5EFE">
        <w:rPr>
          <w:rStyle w:val="SCCCoramChar"/>
          <w:rFonts w:cs="Times New Roman"/>
          <w:lang w:val="fr-CA"/>
        </w:rPr>
        <w:t xml:space="preserve"> </w:t>
      </w:r>
      <w:r>
        <w:rPr>
          <w:rStyle w:val="SCCCoramChar"/>
          <w:rFonts w:cs="Times New Roman"/>
          <w:lang w:val="fr-CA"/>
        </w:rPr>
        <w:t>par. </w:t>
      </w:r>
      <w:r w:rsidRPr="007B5EFE">
        <w:rPr>
          <w:rStyle w:val="SCCCoramChar"/>
          <w:rFonts w:cs="Times New Roman"/>
          <w:lang w:val="fr-CA"/>
        </w:rPr>
        <w:t>62.</w:t>
      </w:r>
    </w:p>
    <w:p w:rsidR="00132FB1" w:rsidRPr="007B5EFE" w:rsidRDefault="00132FB1" w:rsidP="00073901">
      <w:pPr>
        <w:pStyle w:val="ParaNoNdepar-AltN"/>
        <w:widowControl w:val="0"/>
        <w:rPr>
          <w:rFonts w:cs="Times New Roman"/>
          <w:lang w:val="fr-CA"/>
        </w:rPr>
      </w:pPr>
      <w:r w:rsidRPr="007B5EFE">
        <w:rPr>
          <w:rFonts w:cs="Times New Roman"/>
          <w:lang w:val="fr-CA"/>
        </w:rPr>
        <w:t>J</w:t>
      </w:r>
      <w:r>
        <w:rPr>
          <w:rFonts w:cs="Times New Roman"/>
          <w:lang w:val="fr-CA"/>
        </w:rPr>
        <w:t>’</w:t>
      </w:r>
      <w:r w:rsidRPr="007B5EFE">
        <w:rPr>
          <w:rFonts w:cs="Times New Roman"/>
          <w:lang w:val="fr-CA"/>
        </w:rPr>
        <w:t>estime que ces préoccupations ne sont pas convaincantes. Monsieur Sciascia relève neuf différences</w:t>
      </w:r>
      <w:r w:rsidR="00290A2F">
        <w:rPr>
          <w:rFonts w:cs="Times New Roman"/>
          <w:lang w:val="fr-CA"/>
        </w:rPr>
        <w:t xml:space="preserve"> procédurales</w:t>
      </w:r>
      <w:r w:rsidRPr="007B5EFE">
        <w:rPr>
          <w:rFonts w:cs="Times New Roman"/>
          <w:lang w:val="fr-CA"/>
        </w:rPr>
        <w:t>, dont la plupart sont de nature relativement mineure</w:t>
      </w:r>
      <w:r w:rsidR="005F34B0">
        <w:rPr>
          <w:rFonts w:cs="Times New Roman"/>
          <w:lang w:val="fr-CA"/>
        </w:rPr>
        <w:t>, par ex</w:t>
      </w:r>
      <w:r w:rsidR="0017716B">
        <w:rPr>
          <w:rFonts w:cs="Times New Roman"/>
          <w:lang w:val="fr-CA"/>
        </w:rPr>
        <w:t>emple</w:t>
      </w:r>
      <w:r>
        <w:rPr>
          <w:rFonts w:cs="Times New Roman"/>
          <w:lang w:val="fr-CA"/>
        </w:rPr>
        <w:t> :</w:t>
      </w:r>
      <w:r w:rsidRPr="007B5EFE">
        <w:rPr>
          <w:rFonts w:cs="Times New Roman"/>
          <w:lang w:val="fr-CA"/>
        </w:rPr>
        <w:t xml:space="preserve"> la procédure applicable au contre</w:t>
      </w:r>
      <w:r w:rsidR="00140575">
        <w:rPr>
          <w:rFonts w:cs="Times New Roman"/>
          <w:lang w:val="fr-CA"/>
        </w:rPr>
        <w:t>-</w:t>
      </w:r>
      <w:r w:rsidRPr="007B5EFE">
        <w:rPr>
          <w:rFonts w:cs="Times New Roman"/>
          <w:lang w:val="fr-CA"/>
        </w:rPr>
        <w:t>interrogatoire d</w:t>
      </w:r>
      <w:r>
        <w:rPr>
          <w:rFonts w:cs="Times New Roman"/>
          <w:lang w:val="fr-CA"/>
        </w:rPr>
        <w:t>’</w:t>
      </w:r>
      <w:r w:rsidRPr="007B5EFE">
        <w:rPr>
          <w:rFonts w:cs="Times New Roman"/>
          <w:lang w:val="fr-CA"/>
        </w:rPr>
        <w:t xml:space="preserve">un témoin par la partie qui le présente </w:t>
      </w:r>
      <w:r w:rsidR="00240595">
        <w:rPr>
          <w:rFonts w:cs="Times New Roman"/>
          <w:lang w:val="fr-CA"/>
        </w:rPr>
        <w:t>(</w:t>
      </w:r>
      <w:r w:rsidRPr="007B5EFE">
        <w:rPr>
          <w:rFonts w:cs="Times New Roman"/>
          <w:i/>
          <w:lang w:val="fr-CA"/>
        </w:rPr>
        <w:t>LPC</w:t>
      </w:r>
      <w:r w:rsidRPr="007B5EFE">
        <w:rPr>
          <w:rFonts w:cs="Times New Roman"/>
          <w:lang w:val="fr-CA"/>
        </w:rPr>
        <w:t xml:space="preserve">, </w:t>
      </w:r>
      <w:r>
        <w:rPr>
          <w:rFonts w:cs="Times New Roman"/>
          <w:lang w:val="fr-CA"/>
        </w:rPr>
        <w:t>par. </w:t>
      </w:r>
      <w:r w:rsidRPr="007B5EFE">
        <w:rPr>
          <w:rFonts w:cs="Times New Roman"/>
          <w:lang w:val="fr-CA"/>
        </w:rPr>
        <w:t xml:space="preserve">9(2); </w:t>
      </w:r>
      <w:r w:rsidRPr="007B5EFE">
        <w:rPr>
          <w:rFonts w:cs="Times New Roman"/>
          <w:i/>
          <w:lang w:val="fr-CA"/>
        </w:rPr>
        <w:t>Loi sur la preuve</w:t>
      </w:r>
      <w:r w:rsidRPr="007B5EFE">
        <w:rPr>
          <w:rFonts w:cs="Times New Roman"/>
          <w:lang w:val="fr-CA"/>
        </w:rPr>
        <w:t xml:space="preserve">, </w:t>
      </w:r>
      <w:r>
        <w:rPr>
          <w:rFonts w:cs="Times New Roman"/>
          <w:lang w:val="fr-CA"/>
        </w:rPr>
        <w:t>art. </w:t>
      </w:r>
      <w:r w:rsidRPr="007B5EFE">
        <w:rPr>
          <w:rFonts w:cs="Times New Roman"/>
          <w:lang w:val="fr-CA"/>
        </w:rPr>
        <w:t>23</w:t>
      </w:r>
      <w:r w:rsidR="0017716B">
        <w:rPr>
          <w:rFonts w:cs="Times New Roman"/>
          <w:lang w:val="fr-CA"/>
        </w:rPr>
        <w:t>)</w:t>
      </w:r>
      <w:r w:rsidRPr="007B5EFE">
        <w:rPr>
          <w:rFonts w:cs="Times New Roman"/>
          <w:lang w:val="fr-CA"/>
        </w:rPr>
        <w:t>; la possibilité ou non de contre</w:t>
      </w:r>
      <w:r w:rsidR="00140575">
        <w:rPr>
          <w:rFonts w:cs="Times New Roman"/>
          <w:lang w:val="fr-CA"/>
        </w:rPr>
        <w:t>-</w:t>
      </w:r>
      <w:r w:rsidRPr="007B5EFE">
        <w:rPr>
          <w:rFonts w:cs="Times New Roman"/>
          <w:lang w:val="fr-CA"/>
        </w:rPr>
        <w:t xml:space="preserve">interroger personnellement un témoin âgé de moins de </w:t>
      </w:r>
      <w:r w:rsidR="00240595">
        <w:rPr>
          <w:rFonts w:cs="Times New Roman"/>
          <w:lang w:val="fr-CA"/>
        </w:rPr>
        <w:t xml:space="preserve">18 </w:t>
      </w:r>
      <w:r w:rsidRPr="007B5EFE">
        <w:rPr>
          <w:rFonts w:cs="Times New Roman"/>
          <w:lang w:val="fr-CA"/>
        </w:rPr>
        <w:t>ans</w:t>
      </w:r>
      <w:r w:rsidR="0017716B">
        <w:rPr>
          <w:rFonts w:cs="Times New Roman"/>
          <w:lang w:val="fr-CA"/>
        </w:rPr>
        <w:t> (</w:t>
      </w:r>
      <w:r w:rsidRPr="007B5EFE">
        <w:rPr>
          <w:rFonts w:cs="Times New Roman"/>
          <w:i/>
          <w:lang w:val="fr-CA"/>
        </w:rPr>
        <w:t>C</w:t>
      </w:r>
      <w:r w:rsidR="0017716B">
        <w:rPr>
          <w:rFonts w:cs="Times New Roman"/>
          <w:i/>
          <w:lang w:val="fr-CA"/>
        </w:rPr>
        <w:t>ode criminel</w:t>
      </w:r>
      <w:r w:rsidR="0017716B" w:rsidRPr="0017716B">
        <w:rPr>
          <w:rFonts w:cs="Times New Roman"/>
          <w:lang w:val="fr-CA"/>
        </w:rPr>
        <w:t>,</w:t>
      </w:r>
      <w:r w:rsidRPr="007B5EFE">
        <w:rPr>
          <w:rFonts w:cs="Times New Roman"/>
          <w:lang w:val="fr-CA"/>
        </w:rPr>
        <w:t xml:space="preserve"> </w:t>
      </w:r>
      <w:r>
        <w:rPr>
          <w:rFonts w:cs="Times New Roman"/>
          <w:lang w:val="fr-CA"/>
        </w:rPr>
        <w:t>art. </w:t>
      </w:r>
      <w:r w:rsidRPr="007B5EFE">
        <w:rPr>
          <w:rFonts w:cs="Times New Roman"/>
          <w:lang w:val="fr-CA"/>
        </w:rPr>
        <w:t xml:space="preserve">486.3; </w:t>
      </w:r>
      <w:r w:rsidRPr="007B5EFE">
        <w:rPr>
          <w:rFonts w:cs="Times New Roman"/>
          <w:i/>
          <w:lang w:val="fr-CA"/>
        </w:rPr>
        <w:t>Loi sur la preuve</w:t>
      </w:r>
      <w:r w:rsidRPr="007B5EFE">
        <w:rPr>
          <w:rFonts w:cs="Times New Roman"/>
          <w:lang w:val="fr-CA"/>
        </w:rPr>
        <w:t xml:space="preserve">, </w:t>
      </w:r>
      <w:r>
        <w:rPr>
          <w:rFonts w:cs="Times New Roman"/>
          <w:lang w:val="fr-CA"/>
        </w:rPr>
        <w:t>art. </w:t>
      </w:r>
      <w:r w:rsidRPr="007B5EFE">
        <w:rPr>
          <w:rFonts w:cs="Times New Roman"/>
          <w:lang w:val="fr-CA"/>
        </w:rPr>
        <w:t>18.6</w:t>
      </w:r>
      <w:r w:rsidR="0017716B">
        <w:rPr>
          <w:rFonts w:cs="Times New Roman"/>
          <w:lang w:val="fr-CA"/>
        </w:rPr>
        <w:t>)</w:t>
      </w:r>
      <w:r w:rsidRPr="007B5EFE">
        <w:rPr>
          <w:rFonts w:cs="Times New Roman"/>
          <w:lang w:val="fr-CA"/>
        </w:rPr>
        <w:t>; et le nombre de témoins experts qui peuvent être appelés à témoigner sans la permission du tribunal</w:t>
      </w:r>
      <w:r w:rsidR="0017716B">
        <w:rPr>
          <w:rFonts w:cs="Times New Roman"/>
          <w:lang w:val="fr-CA"/>
        </w:rPr>
        <w:t> </w:t>
      </w:r>
      <w:r w:rsidRPr="007B5EFE">
        <w:rPr>
          <w:rFonts w:cs="Times New Roman"/>
          <w:lang w:val="fr-CA"/>
        </w:rPr>
        <w:t xml:space="preserve"> </w:t>
      </w:r>
      <w:r w:rsidR="0017716B">
        <w:rPr>
          <w:rFonts w:cs="Times New Roman"/>
          <w:lang w:val="fr-CA"/>
        </w:rPr>
        <w:t>(</w:t>
      </w:r>
      <w:r w:rsidRPr="007B5EFE">
        <w:rPr>
          <w:rFonts w:cs="Times New Roman"/>
          <w:i/>
          <w:lang w:val="fr-CA"/>
        </w:rPr>
        <w:t>LPC</w:t>
      </w:r>
      <w:r w:rsidRPr="007B5EFE">
        <w:rPr>
          <w:rFonts w:cs="Times New Roman"/>
          <w:lang w:val="fr-CA"/>
        </w:rPr>
        <w:t xml:space="preserve">, </w:t>
      </w:r>
      <w:r>
        <w:rPr>
          <w:rFonts w:cs="Times New Roman"/>
          <w:lang w:val="fr-CA"/>
        </w:rPr>
        <w:t>art. </w:t>
      </w:r>
      <w:r w:rsidRPr="007B5EFE">
        <w:rPr>
          <w:rFonts w:cs="Times New Roman"/>
          <w:lang w:val="fr-CA"/>
        </w:rPr>
        <w:t xml:space="preserve">7; </w:t>
      </w:r>
      <w:r w:rsidRPr="007B5EFE">
        <w:rPr>
          <w:rFonts w:cs="Times New Roman"/>
          <w:i/>
          <w:lang w:val="fr-CA"/>
        </w:rPr>
        <w:t>Loi sur la preuve</w:t>
      </w:r>
      <w:r w:rsidRPr="007B5EFE">
        <w:rPr>
          <w:rFonts w:cs="Times New Roman"/>
          <w:lang w:val="fr-CA"/>
        </w:rPr>
        <w:t xml:space="preserve">, </w:t>
      </w:r>
      <w:r>
        <w:rPr>
          <w:rFonts w:cs="Times New Roman"/>
          <w:lang w:val="fr-CA"/>
        </w:rPr>
        <w:t>art. </w:t>
      </w:r>
      <w:r w:rsidRPr="007B5EFE">
        <w:rPr>
          <w:rFonts w:cs="Times New Roman"/>
          <w:lang w:val="fr-CA"/>
        </w:rPr>
        <w:t>12</w:t>
      </w:r>
      <w:r w:rsidR="0017716B">
        <w:rPr>
          <w:rFonts w:cs="Times New Roman"/>
          <w:lang w:val="fr-CA"/>
        </w:rPr>
        <w:t>)</w:t>
      </w:r>
      <w:r w:rsidRPr="007B5EFE">
        <w:rPr>
          <w:rFonts w:cs="Times New Roman"/>
          <w:lang w:val="fr-CA"/>
        </w:rPr>
        <w:t>. De nombreuses autres différences ne seront que rarement soulevées</w:t>
      </w:r>
      <w:r w:rsidR="0017716B">
        <w:rPr>
          <w:rFonts w:cs="Times New Roman"/>
          <w:lang w:val="fr-CA"/>
        </w:rPr>
        <w:t>, par exemple</w:t>
      </w:r>
      <w:r>
        <w:rPr>
          <w:rFonts w:cs="Times New Roman"/>
          <w:lang w:val="fr-CA"/>
        </w:rPr>
        <w:t> :</w:t>
      </w:r>
      <w:r w:rsidRPr="007B5EFE">
        <w:rPr>
          <w:rFonts w:cs="Times New Roman"/>
          <w:lang w:val="fr-CA"/>
        </w:rPr>
        <w:t xml:space="preserve"> l</w:t>
      </w:r>
      <w:r>
        <w:rPr>
          <w:rFonts w:cs="Times New Roman"/>
          <w:lang w:val="fr-CA"/>
        </w:rPr>
        <w:t>’</w:t>
      </w:r>
      <w:r w:rsidRPr="007B5EFE">
        <w:rPr>
          <w:rFonts w:cs="Times New Roman"/>
          <w:lang w:val="fr-CA"/>
        </w:rPr>
        <w:t>admissibilité en preuve de registres des banques ou des documents d</w:t>
      </w:r>
      <w:r>
        <w:rPr>
          <w:rFonts w:cs="Times New Roman"/>
          <w:lang w:val="fr-CA"/>
        </w:rPr>
        <w:t>’</w:t>
      </w:r>
      <w:r w:rsidRPr="007B5EFE">
        <w:rPr>
          <w:rFonts w:cs="Times New Roman"/>
          <w:lang w:val="fr-CA"/>
        </w:rPr>
        <w:t>une entreprise</w:t>
      </w:r>
      <w:r w:rsidR="0017716B">
        <w:rPr>
          <w:rFonts w:cs="Times New Roman"/>
          <w:lang w:val="fr-CA"/>
        </w:rPr>
        <w:t> </w:t>
      </w:r>
      <w:r w:rsidRPr="007B5EFE">
        <w:rPr>
          <w:rFonts w:cs="Times New Roman"/>
          <w:lang w:val="fr-CA"/>
        </w:rPr>
        <w:t xml:space="preserve"> </w:t>
      </w:r>
      <w:r w:rsidR="0017716B">
        <w:rPr>
          <w:rFonts w:cs="Times New Roman"/>
          <w:lang w:val="fr-CA"/>
        </w:rPr>
        <w:t>(</w:t>
      </w:r>
      <w:r w:rsidRPr="007B5EFE">
        <w:rPr>
          <w:rFonts w:cs="Times New Roman"/>
          <w:i/>
          <w:lang w:val="fr-CA"/>
        </w:rPr>
        <w:t>LPC</w:t>
      </w:r>
      <w:r w:rsidRPr="007B5EFE">
        <w:rPr>
          <w:rFonts w:cs="Times New Roman"/>
          <w:lang w:val="fr-CA"/>
        </w:rPr>
        <w:t xml:space="preserve">, </w:t>
      </w:r>
      <w:r>
        <w:rPr>
          <w:rFonts w:cs="Times New Roman"/>
          <w:lang w:val="fr-CA"/>
        </w:rPr>
        <w:t>art. </w:t>
      </w:r>
      <w:r w:rsidRPr="007B5EFE">
        <w:rPr>
          <w:rFonts w:cs="Times New Roman"/>
          <w:lang w:val="fr-CA"/>
        </w:rPr>
        <w:t>29</w:t>
      </w:r>
      <w:r w:rsidR="005F34B0">
        <w:rPr>
          <w:rFonts w:cs="Times New Roman"/>
          <w:lang w:val="fr-CA"/>
        </w:rPr>
        <w:t xml:space="preserve"> et </w:t>
      </w:r>
      <w:r w:rsidRPr="007B5EFE">
        <w:rPr>
          <w:rFonts w:cs="Times New Roman"/>
          <w:lang w:val="fr-CA"/>
        </w:rPr>
        <w:t xml:space="preserve">30; </w:t>
      </w:r>
      <w:r w:rsidRPr="007B5EFE">
        <w:rPr>
          <w:rFonts w:cs="Times New Roman"/>
          <w:i/>
          <w:lang w:val="fr-CA"/>
        </w:rPr>
        <w:t>Loi sur la preuve</w:t>
      </w:r>
      <w:r w:rsidRPr="007B5EFE">
        <w:rPr>
          <w:rFonts w:cs="Times New Roman"/>
          <w:lang w:val="fr-CA"/>
        </w:rPr>
        <w:t xml:space="preserve">, </w:t>
      </w:r>
      <w:r>
        <w:rPr>
          <w:rFonts w:cs="Times New Roman"/>
          <w:lang w:val="fr-CA"/>
        </w:rPr>
        <w:t>art. </w:t>
      </w:r>
      <w:r w:rsidRPr="007B5EFE">
        <w:rPr>
          <w:rFonts w:cs="Times New Roman"/>
          <w:lang w:val="fr-CA"/>
        </w:rPr>
        <w:t xml:space="preserve">33 et </w:t>
      </w:r>
      <w:r>
        <w:rPr>
          <w:rFonts w:cs="Times New Roman"/>
          <w:lang w:val="fr-CA"/>
        </w:rPr>
        <w:t>par. </w:t>
      </w:r>
      <w:r w:rsidRPr="007B5EFE">
        <w:rPr>
          <w:rFonts w:cs="Times New Roman"/>
          <w:lang w:val="fr-CA"/>
        </w:rPr>
        <w:t>35(1)</w:t>
      </w:r>
      <w:r w:rsidR="0017716B">
        <w:rPr>
          <w:rFonts w:cs="Times New Roman"/>
          <w:lang w:val="fr-CA"/>
        </w:rPr>
        <w:t>)</w:t>
      </w:r>
      <w:r w:rsidRPr="007B5EFE">
        <w:rPr>
          <w:rFonts w:cs="Times New Roman"/>
          <w:lang w:val="fr-CA"/>
        </w:rPr>
        <w:t>; l</w:t>
      </w:r>
      <w:r>
        <w:rPr>
          <w:rFonts w:cs="Times New Roman"/>
          <w:lang w:val="fr-CA"/>
        </w:rPr>
        <w:t>’</w:t>
      </w:r>
      <w:r w:rsidRPr="007B5EFE">
        <w:rPr>
          <w:rFonts w:cs="Times New Roman"/>
          <w:lang w:val="fr-CA"/>
        </w:rPr>
        <w:t>habilité à témoigner d</w:t>
      </w:r>
      <w:r>
        <w:rPr>
          <w:rFonts w:cs="Times New Roman"/>
          <w:lang w:val="fr-CA"/>
        </w:rPr>
        <w:t>’</w:t>
      </w:r>
      <w:r w:rsidRPr="007B5EFE">
        <w:rPr>
          <w:rFonts w:cs="Times New Roman"/>
          <w:lang w:val="fr-CA"/>
        </w:rPr>
        <w:t>un enfant</w:t>
      </w:r>
      <w:r w:rsidR="0017716B">
        <w:rPr>
          <w:rFonts w:cs="Times New Roman"/>
          <w:lang w:val="fr-CA"/>
        </w:rPr>
        <w:t>  (</w:t>
      </w:r>
      <w:r w:rsidRPr="007B5EFE">
        <w:rPr>
          <w:rFonts w:cs="Times New Roman"/>
          <w:i/>
          <w:lang w:val="fr-CA"/>
        </w:rPr>
        <w:t>LPC</w:t>
      </w:r>
      <w:r w:rsidRPr="007B5EFE">
        <w:rPr>
          <w:rFonts w:cs="Times New Roman"/>
          <w:lang w:val="fr-CA"/>
        </w:rPr>
        <w:t xml:space="preserve">, </w:t>
      </w:r>
      <w:r>
        <w:rPr>
          <w:rFonts w:cs="Times New Roman"/>
          <w:lang w:val="fr-CA"/>
        </w:rPr>
        <w:t>art. </w:t>
      </w:r>
      <w:r w:rsidRPr="007B5EFE">
        <w:rPr>
          <w:rFonts w:cs="Times New Roman"/>
          <w:lang w:val="fr-CA"/>
        </w:rPr>
        <w:t xml:space="preserve">16.1; </w:t>
      </w:r>
      <w:r w:rsidRPr="007B5EFE">
        <w:rPr>
          <w:rFonts w:cs="Times New Roman"/>
          <w:i/>
          <w:lang w:val="fr-CA"/>
        </w:rPr>
        <w:t>Loi sur la preuve</w:t>
      </w:r>
      <w:r w:rsidRPr="007B5EFE">
        <w:rPr>
          <w:rFonts w:cs="Times New Roman"/>
          <w:lang w:val="fr-CA"/>
        </w:rPr>
        <w:t xml:space="preserve">, </w:t>
      </w:r>
      <w:r>
        <w:rPr>
          <w:rFonts w:cs="Times New Roman"/>
          <w:lang w:val="fr-CA"/>
        </w:rPr>
        <w:t>art. </w:t>
      </w:r>
      <w:r w:rsidRPr="007B5EFE">
        <w:rPr>
          <w:rFonts w:cs="Times New Roman"/>
          <w:lang w:val="fr-CA"/>
        </w:rPr>
        <w:t>18.1</w:t>
      </w:r>
      <w:r w:rsidR="0017716B">
        <w:rPr>
          <w:rFonts w:cs="Times New Roman"/>
          <w:lang w:val="fr-CA"/>
        </w:rPr>
        <w:t>)</w:t>
      </w:r>
      <w:r w:rsidRPr="007B5EFE">
        <w:rPr>
          <w:rFonts w:cs="Times New Roman"/>
          <w:lang w:val="fr-CA"/>
        </w:rPr>
        <w:t>; les demandes de changement de lieu</w:t>
      </w:r>
      <w:r w:rsidR="0017716B">
        <w:rPr>
          <w:rFonts w:cs="Times New Roman"/>
          <w:lang w:val="fr-CA"/>
        </w:rPr>
        <w:t> </w:t>
      </w:r>
      <w:r w:rsidRPr="007B5EFE">
        <w:rPr>
          <w:rFonts w:cs="Times New Roman"/>
          <w:lang w:val="fr-CA"/>
        </w:rPr>
        <w:t xml:space="preserve"> </w:t>
      </w:r>
      <w:r w:rsidR="0017716B">
        <w:rPr>
          <w:rFonts w:cs="Times New Roman"/>
          <w:lang w:val="fr-CA"/>
        </w:rPr>
        <w:t>(</w:t>
      </w:r>
      <w:r w:rsidRPr="007B5EFE">
        <w:rPr>
          <w:rFonts w:cs="Times New Roman"/>
          <w:i/>
          <w:lang w:val="fr-CA"/>
        </w:rPr>
        <w:t>C</w:t>
      </w:r>
      <w:r w:rsidR="0017716B">
        <w:rPr>
          <w:rFonts w:cs="Times New Roman"/>
          <w:i/>
          <w:lang w:val="fr-CA"/>
        </w:rPr>
        <w:t>ode criminel</w:t>
      </w:r>
      <w:r w:rsidR="0017716B" w:rsidRPr="0017716B">
        <w:rPr>
          <w:rFonts w:cs="Times New Roman"/>
          <w:lang w:val="fr-CA"/>
        </w:rPr>
        <w:t>,</w:t>
      </w:r>
      <w:r w:rsidRPr="007B5EFE">
        <w:rPr>
          <w:rFonts w:cs="Times New Roman"/>
          <w:lang w:val="fr-CA"/>
        </w:rPr>
        <w:t xml:space="preserve"> </w:t>
      </w:r>
      <w:r>
        <w:rPr>
          <w:rFonts w:cs="Times New Roman"/>
          <w:lang w:val="fr-CA"/>
        </w:rPr>
        <w:t>par. </w:t>
      </w:r>
      <w:r w:rsidRPr="007B5EFE">
        <w:rPr>
          <w:rFonts w:cs="Times New Roman"/>
          <w:lang w:val="fr-CA"/>
        </w:rPr>
        <w:t xml:space="preserve">599(1); </w:t>
      </w:r>
      <w:r w:rsidRPr="007B5EFE">
        <w:rPr>
          <w:rFonts w:cs="Times New Roman"/>
          <w:i/>
          <w:lang w:val="fr-CA"/>
        </w:rPr>
        <w:t>LIP</w:t>
      </w:r>
      <w:r w:rsidRPr="007B5EFE">
        <w:rPr>
          <w:rFonts w:cs="Times New Roman"/>
          <w:lang w:val="fr-CA"/>
        </w:rPr>
        <w:t xml:space="preserve">, </w:t>
      </w:r>
      <w:r>
        <w:rPr>
          <w:rFonts w:cs="Times New Roman"/>
          <w:lang w:val="fr-CA"/>
        </w:rPr>
        <w:lastRenderedPageBreak/>
        <w:t>par. </w:t>
      </w:r>
      <w:r w:rsidRPr="007B5EFE">
        <w:rPr>
          <w:rFonts w:cs="Times New Roman"/>
          <w:lang w:val="fr-CA"/>
        </w:rPr>
        <w:t>29(4)</w:t>
      </w:r>
      <w:r w:rsidR="0017716B">
        <w:rPr>
          <w:rFonts w:cs="Times New Roman"/>
          <w:lang w:val="fr-CA"/>
        </w:rPr>
        <w:t>)</w:t>
      </w:r>
      <w:r w:rsidRPr="007B5EFE">
        <w:rPr>
          <w:rFonts w:cs="Times New Roman"/>
          <w:lang w:val="fr-CA"/>
        </w:rPr>
        <w:t>; et les règles applicables en cas de décès du juge du procès</w:t>
      </w:r>
      <w:r>
        <w:rPr>
          <w:rFonts w:cs="Times New Roman"/>
          <w:lang w:val="fr-CA"/>
        </w:rPr>
        <w:t> </w:t>
      </w:r>
      <w:r w:rsidR="0017716B">
        <w:rPr>
          <w:rFonts w:cs="Times New Roman"/>
          <w:lang w:val="fr-CA"/>
        </w:rPr>
        <w:t>(</w:t>
      </w:r>
      <w:r w:rsidRPr="007B5EFE">
        <w:rPr>
          <w:rFonts w:cs="Times New Roman"/>
          <w:i/>
          <w:lang w:val="fr-CA"/>
        </w:rPr>
        <w:t>C</w:t>
      </w:r>
      <w:r w:rsidR="0017716B">
        <w:rPr>
          <w:rFonts w:cs="Times New Roman"/>
          <w:i/>
          <w:lang w:val="fr-CA"/>
        </w:rPr>
        <w:t>ode criminel</w:t>
      </w:r>
      <w:r w:rsidRPr="007B5EFE">
        <w:rPr>
          <w:rFonts w:cs="Times New Roman"/>
          <w:lang w:val="fr-CA"/>
        </w:rPr>
        <w:t xml:space="preserve">, </w:t>
      </w:r>
      <w:r>
        <w:rPr>
          <w:rFonts w:cs="Times New Roman"/>
          <w:lang w:val="fr-CA"/>
        </w:rPr>
        <w:t>par. </w:t>
      </w:r>
      <w:r w:rsidRPr="007B5EFE">
        <w:rPr>
          <w:rFonts w:cs="Times New Roman"/>
          <w:lang w:val="fr-CA"/>
        </w:rPr>
        <w:t xml:space="preserve">669.2(1); </w:t>
      </w:r>
      <w:r w:rsidRPr="007B5EFE">
        <w:rPr>
          <w:rFonts w:cs="Times New Roman"/>
          <w:i/>
          <w:lang w:val="fr-CA"/>
        </w:rPr>
        <w:t>LIP</w:t>
      </w:r>
      <w:r w:rsidRPr="007B5EFE">
        <w:rPr>
          <w:rFonts w:cs="Times New Roman"/>
          <w:lang w:val="fr-CA"/>
        </w:rPr>
        <w:t xml:space="preserve">, </w:t>
      </w:r>
      <w:r>
        <w:rPr>
          <w:rFonts w:cs="Times New Roman"/>
          <w:lang w:val="fr-CA"/>
        </w:rPr>
        <w:t>par. </w:t>
      </w:r>
      <w:r w:rsidRPr="007B5EFE">
        <w:rPr>
          <w:rFonts w:cs="Times New Roman"/>
          <w:lang w:val="fr-CA"/>
        </w:rPr>
        <w:t>30(2) et (3)</w:t>
      </w:r>
      <w:r w:rsidR="0017716B">
        <w:rPr>
          <w:rFonts w:cs="Times New Roman"/>
          <w:lang w:val="fr-CA"/>
        </w:rPr>
        <w:t>)</w:t>
      </w:r>
      <w:r w:rsidRPr="007B5EFE">
        <w:rPr>
          <w:rFonts w:cs="Times New Roman"/>
          <w:lang w:val="fr-CA"/>
        </w:rPr>
        <w:t>.</w:t>
      </w:r>
    </w:p>
    <w:p w:rsidR="00132FB1" w:rsidRPr="007B5EFE" w:rsidRDefault="00132FB1" w:rsidP="00073901">
      <w:pPr>
        <w:pStyle w:val="ParaNoNdepar-AltN"/>
        <w:widowControl w:val="0"/>
        <w:rPr>
          <w:rFonts w:cs="Times New Roman"/>
          <w:lang w:val="fr-CA"/>
        </w:rPr>
      </w:pPr>
      <w:r w:rsidRPr="007B5EFE">
        <w:rPr>
          <w:rFonts w:cs="Times New Roman"/>
          <w:lang w:val="fr-CA"/>
        </w:rPr>
        <w:t>Ces éventuels obstacles sont loin d</w:t>
      </w:r>
      <w:r>
        <w:rPr>
          <w:rFonts w:cs="Times New Roman"/>
          <w:lang w:val="fr-CA"/>
        </w:rPr>
        <w:t>’</w:t>
      </w:r>
      <w:r w:rsidRPr="007B5EFE">
        <w:rPr>
          <w:rFonts w:cs="Times New Roman"/>
          <w:lang w:val="fr-CA"/>
        </w:rPr>
        <w:t>être insurmontables et ne sauraient justifier l</w:t>
      </w:r>
      <w:r>
        <w:rPr>
          <w:rFonts w:cs="Times New Roman"/>
          <w:lang w:val="fr-CA"/>
        </w:rPr>
        <w:t>’</w:t>
      </w:r>
      <w:r w:rsidRPr="007B5EFE">
        <w:rPr>
          <w:rFonts w:cs="Times New Roman"/>
          <w:lang w:val="fr-CA"/>
        </w:rPr>
        <w:t>interdiction absolue de tenir un procès conjoint que préconise M. Sciascia. Il n</w:t>
      </w:r>
      <w:r>
        <w:rPr>
          <w:rFonts w:cs="Times New Roman"/>
          <w:lang w:val="fr-CA"/>
        </w:rPr>
        <w:t>’</w:t>
      </w:r>
      <w:r w:rsidRPr="007B5EFE">
        <w:rPr>
          <w:rFonts w:cs="Times New Roman"/>
          <w:lang w:val="fr-CA"/>
        </w:rPr>
        <w:t>est pas nécessaire en l</w:t>
      </w:r>
      <w:r>
        <w:rPr>
          <w:rFonts w:cs="Times New Roman"/>
          <w:lang w:val="fr-CA"/>
        </w:rPr>
        <w:t>’</w:t>
      </w:r>
      <w:r w:rsidRPr="007B5EFE">
        <w:rPr>
          <w:rFonts w:cs="Times New Roman"/>
          <w:lang w:val="fr-CA"/>
        </w:rPr>
        <w:t>espèce de décider de la manière exacte de concilier des divergences précises de nature procédurale. Les tribunaux de première instance devraient bénéficier d</w:t>
      </w:r>
      <w:r>
        <w:rPr>
          <w:rFonts w:cs="Times New Roman"/>
          <w:lang w:val="fr-CA"/>
        </w:rPr>
        <w:t>’</w:t>
      </w:r>
      <w:r w:rsidRPr="007B5EFE">
        <w:rPr>
          <w:rFonts w:cs="Times New Roman"/>
          <w:lang w:val="fr-CA"/>
        </w:rPr>
        <w:t>une grande latitude pour résoudre ces difficultés lorsqu</w:t>
      </w:r>
      <w:r>
        <w:rPr>
          <w:rFonts w:cs="Times New Roman"/>
          <w:lang w:val="fr-CA"/>
        </w:rPr>
        <w:t>’</w:t>
      </w:r>
      <w:r w:rsidRPr="007B5EFE">
        <w:rPr>
          <w:rFonts w:cs="Times New Roman"/>
          <w:lang w:val="fr-CA"/>
        </w:rPr>
        <w:t>elles surviennent. L</w:t>
      </w:r>
      <w:r>
        <w:rPr>
          <w:rFonts w:cs="Times New Roman"/>
          <w:lang w:val="fr-CA"/>
        </w:rPr>
        <w:t>’</w:t>
      </w:r>
      <w:r w:rsidRPr="007B5EFE">
        <w:rPr>
          <w:rFonts w:cs="Times New Roman"/>
          <w:lang w:val="fr-CA"/>
        </w:rPr>
        <w:t>application de la procédure sommaire prévue pour les infractions criminelles, habituellement plus favorable aux accusés, pourrait constituer une solution en cas de conflit. Cette approche s</w:t>
      </w:r>
      <w:r>
        <w:rPr>
          <w:rFonts w:cs="Times New Roman"/>
          <w:lang w:val="fr-CA"/>
        </w:rPr>
        <w:t>’</w:t>
      </w:r>
      <w:r w:rsidRPr="007B5EFE">
        <w:rPr>
          <w:rFonts w:cs="Times New Roman"/>
          <w:lang w:val="fr-CA"/>
        </w:rPr>
        <w:t>accorderait avec la directive que la Cour a donnée 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 xml:space="preserve"> portant que, en cas de conflit entre la procédure sommaire et la procédure de mise en accusation directe, cette dernière est celle qui devrait être appliquée</w:t>
      </w:r>
      <w:r>
        <w:rPr>
          <w:rFonts w:cs="Times New Roman"/>
          <w:lang w:val="fr-CA"/>
        </w:rPr>
        <w:t> :</w:t>
      </w:r>
      <w:r w:rsidRPr="007B5EFE">
        <w:rPr>
          <w:rFonts w:cs="Times New Roman"/>
          <w:lang w:val="fr-CA"/>
        </w:rPr>
        <w:t xml:space="preserve"> </w:t>
      </w:r>
      <w:r w:rsidR="002A1C73">
        <w:rPr>
          <w:rFonts w:cs="Times New Roman"/>
          <w:lang w:val="fr-CA"/>
        </w:rPr>
        <w:t xml:space="preserve">voir </w:t>
      </w:r>
      <w:r>
        <w:rPr>
          <w:rFonts w:cs="Times New Roman"/>
          <w:lang w:val="fr-CA"/>
        </w:rPr>
        <w:t>p. </w:t>
      </w:r>
      <w:r w:rsidRPr="007B5EFE">
        <w:rPr>
          <w:rFonts w:cs="Times New Roman"/>
          <w:lang w:val="fr-CA"/>
        </w:rPr>
        <w:t>612</w:t>
      </w:r>
      <w:r w:rsidR="00140575">
        <w:rPr>
          <w:rFonts w:cs="Times New Roman"/>
          <w:lang w:val="fr-CA"/>
        </w:rPr>
        <w:t>-</w:t>
      </w:r>
      <w:r w:rsidRPr="007B5EFE">
        <w:rPr>
          <w:rFonts w:cs="Times New Roman"/>
          <w:lang w:val="fr-CA"/>
        </w:rPr>
        <w:t>613. En outre, le tribunal peut toujours refuser de tenir un procès conjoint lorsqu</w:t>
      </w:r>
      <w:r>
        <w:rPr>
          <w:rFonts w:cs="Times New Roman"/>
          <w:lang w:val="fr-CA"/>
        </w:rPr>
        <w:t>’</w:t>
      </w:r>
      <w:r w:rsidRPr="007B5EFE">
        <w:rPr>
          <w:rFonts w:cs="Times New Roman"/>
          <w:lang w:val="fr-CA"/>
        </w:rPr>
        <w:t xml:space="preserve">il est impossible de résoudre les conflits de procédure et lorsque le procès conjoint ne servirait pas les intérêts de la justice. </w:t>
      </w:r>
    </w:p>
    <w:p w:rsidR="00132FB1" w:rsidRPr="007B5EFE" w:rsidRDefault="00132FB1" w:rsidP="00073901">
      <w:pPr>
        <w:pStyle w:val="ParaNoNdepar-AltN"/>
        <w:widowControl w:val="0"/>
        <w:rPr>
          <w:rFonts w:cs="Times New Roman"/>
          <w:lang w:val="fr-CA"/>
        </w:rPr>
      </w:pPr>
      <w:r w:rsidRPr="007B5EFE">
        <w:rPr>
          <w:rFonts w:cs="Times New Roman"/>
          <w:lang w:val="fr-CA"/>
        </w:rPr>
        <w:t>Je ne crois pas non plus que le risque de multiplicité des accusations de la part du ministère public devrait empêcher les tribunaux d</w:t>
      </w:r>
      <w:r>
        <w:rPr>
          <w:rFonts w:cs="Times New Roman"/>
          <w:lang w:val="fr-CA"/>
        </w:rPr>
        <w:t>’</w:t>
      </w:r>
      <w:r w:rsidRPr="007B5EFE">
        <w:rPr>
          <w:rFonts w:cs="Times New Roman"/>
          <w:lang w:val="fr-CA"/>
        </w:rPr>
        <w:t>ordonner la tenue de procès conjoints lorsque les intérêts de la justice le commandent. Le ministère public peut porter des accusations pour lesquelles il existe une perspective raisonnable de condamnation et qui sont dans l</w:t>
      </w:r>
      <w:r>
        <w:rPr>
          <w:rFonts w:cs="Times New Roman"/>
          <w:lang w:val="fr-CA"/>
        </w:rPr>
        <w:t>’</w:t>
      </w:r>
      <w:r w:rsidRPr="007B5EFE">
        <w:rPr>
          <w:rFonts w:cs="Times New Roman"/>
          <w:lang w:val="fr-CA"/>
        </w:rPr>
        <w:t>intérêt public. Il doit néanmoins prendre soin de ne pas exercer son pouvoir discrétionnaire de manière excessive. La Cour a d</w:t>
      </w:r>
      <w:r>
        <w:rPr>
          <w:rFonts w:cs="Times New Roman"/>
          <w:lang w:val="fr-CA"/>
        </w:rPr>
        <w:t>’</w:t>
      </w:r>
      <w:r w:rsidRPr="007B5EFE">
        <w:rPr>
          <w:rFonts w:cs="Times New Roman"/>
          <w:lang w:val="fr-CA"/>
        </w:rPr>
        <w:t xml:space="preserve">ailleurs fait la </w:t>
      </w:r>
      <w:r w:rsidRPr="007B5EFE">
        <w:rPr>
          <w:rFonts w:cs="Times New Roman"/>
          <w:lang w:val="fr-CA"/>
        </w:rPr>
        <w:lastRenderedPageBreak/>
        <w:t>mise en garde suivante dans l</w:t>
      </w:r>
      <w:r>
        <w:rPr>
          <w:rFonts w:cs="Times New Roman"/>
          <w:lang w:val="fr-CA"/>
        </w:rPr>
        <w:t>’</w:t>
      </w:r>
      <w:r w:rsidRPr="007B5EFE">
        <w:rPr>
          <w:rFonts w:cs="Times New Roman"/>
          <w:lang w:val="fr-CA"/>
        </w:rPr>
        <w:t>arrêt </w:t>
      </w:r>
      <w:r w:rsidRPr="007B5EFE">
        <w:rPr>
          <w:rFonts w:cs="Times New Roman"/>
          <w:i/>
          <w:lang w:val="fr-CA"/>
        </w:rPr>
        <w:t>R. c. Rodgerson</w:t>
      </w:r>
      <w:r w:rsidRPr="007B5EFE">
        <w:rPr>
          <w:rFonts w:cs="Times New Roman"/>
          <w:lang w:val="fr-CA"/>
        </w:rPr>
        <w:t xml:space="preserve">, 2015 CSC 38, [2015] 2 R.C.S. 760, </w:t>
      </w:r>
      <w:r>
        <w:rPr>
          <w:rFonts w:cs="Times New Roman"/>
          <w:lang w:val="fr-CA"/>
        </w:rPr>
        <w:t>par. </w:t>
      </w:r>
      <w:r w:rsidRPr="007B5EFE">
        <w:rPr>
          <w:rFonts w:cs="Times New Roman"/>
          <w:lang w:val="fr-CA"/>
        </w:rPr>
        <w:t>45</w:t>
      </w:r>
      <w:r>
        <w:rPr>
          <w:rFonts w:cs="Times New Roman"/>
          <w:lang w:val="fr-CA"/>
        </w:rPr>
        <w:t> :</w:t>
      </w:r>
    </w:p>
    <w:p w:rsidR="00132FB1" w:rsidRPr="007B5EFE" w:rsidRDefault="00132FB1" w:rsidP="00073901">
      <w:pPr>
        <w:pStyle w:val="Citation-AltC"/>
        <w:widowControl w:val="0"/>
        <w:ind w:hanging="1166"/>
        <w:rPr>
          <w:lang w:val="fr-CA"/>
        </w:rPr>
      </w:pPr>
      <w:r w:rsidRPr="007B5EFE">
        <w:rPr>
          <w:lang w:val="fr-CA"/>
        </w:rPr>
        <w:tab/>
        <w:t>Lorsque les autres accusations ou les accusations plus sévères sont d</w:t>
      </w:r>
      <w:r>
        <w:rPr>
          <w:lang w:val="fr-CA"/>
        </w:rPr>
        <w:t>’</w:t>
      </w:r>
      <w:r w:rsidRPr="007B5EFE">
        <w:rPr>
          <w:lang w:val="fr-CA"/>
        </w:rPr>
        <w:t>importance secondaire et que la poursuite relative à ces accusations nécessiterait un procès et des directives au jury beaucoup plus complexes, le ministère public devrait sérieusement se demander si l</w:t>
      </w:r>
      <w:r>
        <w:rPr>
          <w:lang w:val="fr-CA"/>
        </w:rPr>
        <w:t>’</w:t>
      </w:r>
      <w:r w:rsidRPr="007B5EFE">
        <w:rPr>
          <w:lang w:val="fr-CA"/>
        </w:rPr>
        <w:t>intérêt public serait mieux servi en décidant dès le départ de ne pas intenter de poursuites relativement aux accusations d</w:t>
      </w:r>
      <w:r>
        <w:rPr>
          <w:lang w:val="fr-CA"/>
        </w:rPr>
        <w:t>’</w:t>
      </w:r>
      <w:r w:rsidRPr="007B5EFE">
        <w:rPr>
          <w:lang w:val="fr-CA"/>
        </w:rPr>
        <w:t>importance secondaire, ou en décidant de ne pas y donner suite lorsque la preuve au procès est complète.</w:t>
      </w:r>
    </w:p>
    <w:p w:rsidR="00132FB1" w:rsidRPr="007B5EFE" w:rsidRDefault="00132FB1" w:rsidP="00073901">
      <w:pPr>
        <w:pStyle w:val="ParaNoNdepar-AltN"/>
        <w:widowControl w:val="0"/>
        <w:rPr>
          <w:rFonts w:cs="Times New Roman"/>
          <w:lang w:val="fr-CA"/>
        </w:rPr>
      </w:pPr>
      <w:r w:rsidRPr="007B5EFE">
        <w:rPr>
          <w:rFonts w:cs="Times New Roman"/>
          <w:lang w:val="fr-CA"/>
        </w:rPr>
        <w:t>Le filtrage des accusations d</w:t>
      </w:r>
      <w:r>
        <w:rPr>
          <w:rFonts w:cs="Times New Roman"/>
          <w:lang w:val="fr-CA"/>
        </w:rPr>
        <w:t>’</w:t>
      </w:r>
      <w:r w:rsidRPr="007B5EFE">
        <w:rPr>
          <w:rFonts w:cs="Times New Roman"/>
          <w:lang w:val="fr-CA"/>
        </w:rPr>
        <w:t>importance secondaire qui ajoutent à la complexité de l</w:t>
      </w:r>
      <w:r>
        <w:rPr>
          <w:rFonts w:cs="Times New Roman"/>
          <w:lang w:val="fr-CA"/>
        </w:rPr>
        <w:t>’</w:t>
      </w:r>
      <w:r w:rsidRPr="007B5EFE">
        <w:rPr>
          <w:rFonts w:cs="Times New Roman"/>
          <w:lang w:val="fr-CA"/>
        </w:rPr>
        <w:t>instance est une tâche particulièrement importante compte tenu des pressions que subit notre système de justice criminelle surchargé</w:t>
      </w:r>
      <w:r>
        <w:rPr>
          <w:rFonts w:cs="Times New Roman"/>
          <w:lang w:val="fr-CA"/>
        </w:rPr>
        <w:t> :</w:t>
      </w:r>
      <w:r w:rsidRPr="007B5EFE">
        <w:rPr>
          <w:rFonts w:cs="Times New Roman"/>
          <w:lang w:val="fr-CA"/>
        </w:rPr>
        <w:t xml:space="preserve"> </w:t>
      </w:r>
      <w:r w:rsidRPr="007B5EFE">
        <w:rPr>
          <w:rFonts w:cs="Times New Roman"/>
          <w:i/>
          <w:lang w:val="fr-CA"/>
        </w:rPr>
        <w:t>R. c. Jordan</w:t>
      </w:r>
      <w:r w:rsidRPr="007B5EFE">
        <w:rPr>
          <w:rFonts w:cs="Times New Roman"/>
          <w:lang w:val="fr-CA"/>
        </w:rPr>
        <w:t xml:space="preserve">, 2016 CSC 27, [2016] 1 R.C.S. 631, </w:t>
      </w:r>
      <w:r>
        <w:rPr>
          <w:rFonts w:cs="Times New Roman"/>
          <w:lang w:val="fr-CA"/>
        </w:rPr>
        <w:t>par. </w:t>
      </w:r>
      <w:r w:rsidRPr="007B5EFE">
        <w:rPr>
          <w:rFonts w:cs="Times New Roman"/>
          <w:lang w:val="fr-CA"/>
        </w:rPr>
        <w:t>79. Ainsi, rien dans les présents motifs ne devrait être interprété de manière à encourager le ministère public à porter des accusations inutiles.</w:t>
      </w:r>
    </w:p>
    <w:p w:rsidR="00132FB1" w:rsidRPr="007B5EFE" w:rsidRDefault="00132FB1" w:rsidP="00073901">
      <w:pPr>
        <w:pStyle w:val="ParaNoNdepar-AltN"/>
        <w:widowControl w:val="0"/>
        <w:rPr>
          <w:rFonts w:cs="Times New Roman"/>
          <w:lang w:val="fr-CA"/>
        </w:rPr>
      </w:pPr>
      <w:r w:rsidRPr="007B5EFE">
        <w:rPr>
          <w:rFonts w:cs="Times New Roman"/>
          <w:lang w:val="fr-CA"/>
        </w:rPr>
        <w:t>De plus, le scepticisme de M. Sciascia concernant l</w:t>
      </w:r>
      <w:r>
        <w:rPr>
          <w:rFonts w:cs="Times New Roman"/>
          <w:lang w:val="fr-CA"/>
        </w:rPr>
        <w:t>’</w:t>
      </w:r>
      <w:r w:rsidRPr="007B5EFE">
        <w:rPr>
          <w:rFonts w:cs="Times New Roman"/>
          <w:lang w:val="fr-CA"/>
        </w:rPr>
        <w:t>utilité des procès conjoints détonne avec la jurisprudence abondante qui en relève les avantages. Des « </w:t>
      </w:r>
      <w:r w:rsidR="007F702C">
        <w:rPr>
          <w:rFonts w:cs="Times New Roman"/>
          <w:lang w:val="fr-CA"/>
        </w:rPr>
        <w:t xml:space="preserve">solides </w:t>
      </w:r>
      <w:r w:rsidRPr="007B5EFE">
        <w:rPr>
          <w:rFonts w:cs="Times New Roman"/>
          <w:lang w:val="fr-CA"/>
        </w:rPr>
        <w:t>raisons de principe</w:t>
      </w:r>
      <w:r w:rsidR="007F702C">
        <w:rPr>
          <w:rFonts w:cs="Times New Roman"/>
          <w:lang w:val="fr-CA"/>
        </w:rPr>
        <w:t> </w:t>
      </w:r>
      <w:r w:rsidRPr="007B5EFE">
        <w:rPr>
          <w:rFonts w:cs="Times New Roman"/>
          <w:lang w:val="fr-CA"/>
        </w:rPr>
        <w:t>» justifient le « fort courant jurisprudentiel au pays, qui favorise la tenue des procès conjoints »</w:t>
      </w:r>
      <w:r>
        <w:rPr>
          <w:rFonts w:cs="Times New Roman"/>
          <w:lang w:val="fr-CA"/>
        </w:rPr>
        <w:t> :</w:t>
      </w:r>
      <w:r w:rsidRPr="007B5EFE">
        <w:rPr>
          <w:rFonts w:cs="Times New Roman"/>
          <w:lang w:val="fr-CA"/>
        </w:rPr>
        <w:t xml:space="preserve"> </w:t>
      </w:r>
      <w:r w:rsidRPr="007B5EFE">
        <w:rPr>
          <w:rFonts w:cs="Times New Roman"/>
          <w:i/>
          <w:lang w:val="fr-CA"/>
        </w:rPr>
        <w:t>R. c. Crawford</w:t>
      </w:r>
      <w:r w:rsidRPr="007B5EFE">
        <w:rPr>
          <w:rFonts w:cs="Times New Roman"/>
          <w:lang w:val="fr-CA"/>
        </w:rPr>
        <w:t xml:space="preserve">, [1995] 1 R.C.S. 858, </w:t>
      </w:r>
      <w:r>
        <w:rPr>
          <w:rFonts w:cs="Times New Roman"/>
          <w:lang w:val="fr-CA"/>
        </w:rPr>
        <w:t>par. </w:t>
      </w:r>
      <w:r w:rsidRPr="007B5EFE">
        <w:rPr>
          <w:rFonts w:cs="Times New Roman"/>
          <w:lang w:val="fr-CA"/>
        </w:rPr>
        <w:t xml:space="preserve">19 et 30; voir également </w:t>
      </w:r>
      <w:r w:rsidRPr="007B5EFE">
        <w:rPr>
          <w:rFonts w:cs="Times New Roman"/>
          <w:i/>
          <w:lang w:val="fr-CA"/>
        </w:rPr>
        <w:t>R. c. Chow</w:t>
      </w:r>
      <w:r w:rsidRPr="007B5EFE">
        <w:rPr>
          <w:rFonts w:cs="Times New Roman"/>
          <w:lang w:val="fr-CA"/>
        </w:rPr>
        <w:t xml:space="preserve">, 2005 CSC 24, [2005] 1 R.C.S. 384, </w:t>
      </w:r>
      <w:r>
        <w:rPr>
          <w:rFonts w:cs="Times New Roman"/>
          <w:lang w:val="fr-CA"/>
        </w:rPr>
        <w:t>par. </w:t>
      </w:r>
      <w:r w:rsidRPr="007B5EFE">
        <w:rPr>
          <w:rFonts w:cs="Times New Roman"/>
          <w:lang w:val="fr-CA"/>
        </w:rPr>
        <w:t>47. Parmi les avantages, signalons la saine économie des ressources judiciaires qu</w:t>
      </w:r>
      <w:r>
        <w:rPr>
          <w:rFonts w:cs="Times New Roman"/>
          <w:lang w:val="fr-CA"/>
        </w:rPr>
        <w:t>’</w:t>
      </w:r>
      <w:r w:rsidRPr="007B5EFE">
        <w:rPr>
          <w:rFonts w:cs="Times New Roman"/>
          <w:lang w:val="fr-CA"/>
        </w:rPr>
        <w:t>entraîne l</w:t>
      </w:r>
      <w:r>
        <w:rPr>
          <w:rFonts w:cs="Times New Roman"/>
          <w:lang w:val="fr-CA"/>
        </w:rPr>
        <w:t>’</w:t>
      </w:r>
      <w:r w:rsidRPr="007B5EFE">
        <w:rPr>
          <w:rFonts w:cs="Times New Roman"/>
          <w:lang w:val="fr-CA"/>
        </w:rPr>
        <w:t>élimination des redondances, le soutien apporté à la fonction de recherche de la vérité du procès, la réduction des inconvénients auxquels sont exposés les témoins, la simplification des discussions en vue d</w:t>
      </w:r>
      <w:r>
        <w:rPr>
          <w:rFonts w:cs="Times New Roman"/>
          <w:lang w:val="fr-CA"/>
        </w:rPr>
        <w:t>’</w:t>
      </w:r>
      <w:r w:rsidRPr="007B5EFE">
        <w:rPr>
          <w:rFonts w:cs="Times New Roman"/>
          <w:lang w:val="fr-CA"/>
        </w:rPr>
        <w:t xml:space="preserve">un règlement et le renforcement de la confiance </w:t>
      </w:r>
      <w:r w:rsidRPr="007B5EFE">
        <w:rPr>
          <w:rFonts w:cs="Times New Roman"/>
          <w:lang w:val="fr-CA"/>
        </w:rPr>
        <w:lastRenderedPageBreak/>
        <w:t>du public du fait d</w:t>
      </w:r>
      <w:r>
        <w:rPr>
          <w:rFonts w:cs="Times New Roman"/>
          <w:lang w:val="fr-CA"/>
        </w:rPr>
        <w:t>’</w:t>
      </w:r>
      <w:r w:rsidRPr="007B5EFE">
        <w:rPr>
          <w:rFonts w:cs="Times New Roman"/>
          <w:lang w:val="fr-CA"/>
        </w:rPr>
        <w:t>éloigner le spectre des conclusions contradictoires découlant de mêmes faits. Ces avantages démontrent clairement que, en l</w:t>
      </w:r>
      <w:r>
        <w:rPr>
          <w:rFonts w:cs="Times New Roman"/>
          <w:lang w:val="fr-CA"/>
        </w:rPr>
        <w:t>’</w:t>
      </w:r>
      <w:r w:rsidRPr="007B5EFE">
        <w:rPr>
          <w:rFonts w:cs="Times New Roman"/>
          <w:lang w:val="fr-CA"/>
        </w:rPr>
        <w:t>absence d</w:t>
      </w:r>
      <w:r>
        <w:rPr>
          <w:rFonts w:cs="Times New Roman"/>
          <w:lang w:val="fr-CA"/>
        </w:rPr>
        <w:t>’</w:t>
      </w:r>
      <w:r w:rsidRPr="007B5EFE">
        <w:rPr>
          <w:rFonts w:cs="Times New Roman"/>
          <w:lang w:val="fr-CA"/>
        </w:rPr>
        <w:t>un préjudice, la tenue d</w:t>
      </w:r>
      <w:r>
        <w:rPr>
          <w:rFonts w:cs="Times New Roman"/>
          <w:lang w:val="fr-CA"/>
        </w:rPr>
        <w:t>’</w:t>
      </w:r>
      <w:r w:rsidRPr="007B5EFE">
        <w:rPr>
          <w:rFonts w:cs="Times New Roman"/>
          <w:lang w:val="fr-CA"/>
        </w:rPr>
        <w:t>un procès conjoint en présence d</w:t>
      </w:r>
      <w:r>
        <w:rPr>
          <w:rFonts w:cs="Times New Roman"/>
          <w:lang w:val="fr-CA"/>
        </w:rPr>
        <w:t>’</w:t>
      </w:r>
      <w:r w:rsidRPr="007B5EFE">
        <w:rPr>
          <w:rFonts w:cs="Times New Roman"/>
          <w:lang w:val="fr-CA"/>
        </w:rPr>
        <w:t>un lien factuel suffisant servira les intérêts de la justice</w:t>
      </w:r>
      <w:r>
        <w:rPr>
          <w:rFonts w:cs="Times New Roman"/>
          <w:lang w:val="fr-CA"/>
        </w:rPr>
        <w:t> :</w:t>
      </w:r>
      <w:r w:rsidRPr="007B5EFE">
        <w:rPr>
          <w:rFonts w:cs="Times New Roman"/>
          <w:lang w:val="fr-CA"/>
        </w:rPr>
        <w:t xml:space="preserve"> voir </w:t>
      </w:r>
      <w:r w:rsidRPr="007B5EFE">
        <w:rPr>
          <w:rFonts w:cs="Times New Roman"/>
          <w:i/>
          <w:lang w:val="fr-CA"/>
        </w:rPr>
        <w:t>R. c. Last</w:t>
      </w:r>
      <w:r w:rsidRPr="007B5EFE">
        <w:rPr>
          <w:rFonts w:cs="Times New Roman"/>
          <w:lang w:val="fr-CA"/>
        </w:rPr>
        <w:t xml:space="preserve">, 2009 CSC 45, [2009] 3 R.C.S. 146, </w:t>
      </w:r>
      <w:r>
        <w:rPr>
          <w:rFonts w:cs="Times New Roman"/>
          <w:lang w:val="fr-CA"/>
        </w:rPr>
        <w:t>par. </w:t>
      </w:r>
      <w:r w:rsidRPr="007B5EFE">
        <w:rPr>
          <w:rFonts w:cs="Times New Roman"/>
          <w:lang w:val="fr-CA"/>
        </w:rPr>
        <w:t xml:space="preserve">17; </w:t>
      </w:r>
      <w:r w:rsidRPr="007B5EFE">
        <w:rPr>
          <w:rFonts w:cs="Times New Roman"/>
          <w:i/>
          <w:lang w:val="fr-CA"/>
        </w:rPr>
        <w:t>Massick</w:t>
      </w:r>
      <w:r w:rsidRPr="007B5EFE">
        <w:rPr>
          <w:rFonts w:cs="Times New Roman"/>
          <w:lang w:val="fr-CA"/>
        </w:rPr>
        <w:t xml:space="preserve">, </w:t>
      </w:r>
      <w:r>
        <w:rPr>
          <w:rFonts w:cs="Times New Roman"/>
          <w:lang w:val="fr-CA"/>
        </w:rPr>
        <w:t>p. </w:t>
      </w:r>
      <w:r w:rsidRPr="007B5EFE">
        <w:rPr>
          <w:rFonts w:cs="Times New Roman"/>
          <w:lang w:val="fr-CA"/>
        </w:rPr>
        <w:t>135. Dans ces cas, tous ceux qui participent au processus, y compris les accusés, profitent de l</w:t>
      </w:r>
      <w:r>
        <w:rPr>
          <w:rFonts w:cs="Times New Roman"/>
          <w:lang w:val="fr-CA"/>
        </w:rPr>
        <w:t>’</w:t>
      </w:r>
      <w:r w:rsidRPr="007B5EFE">
        <w:rPr>
          <w:rFonts w:cs="Times New Roman"/>
          <w:lang w:val="fr-CA"/>
        </w:rPr>
        <w:t>économie de temps et d</w:t>
      </w:r>
      <w:r>
        <w:rPr>
          <w:rFonts w:cs="Times New Roman"/>
          <w:lang w:val="fr-CA"/>
        </w:rPr>
        <w:t>’</w:t>
      </w:r>
      <w:r w:rsidRPr="007B5EFE">
        <w:rPr>
          <w:rFonts w:cs="Times New Roman"/>
          <w:lang w:val="fr-CA"/>
        </w:rPr>
        <w:t>argent ainsi que de la réduction des inconvénients réalisées grâce à la tenue de procès conjoints. Le fait pour les accusés d</w:t>
      </w:r>
      <w:r>
        <w:rPr>
          <w:rFonts w:cs="Times New Roman"/>
          <w:lang w:val="fr-CA"/>
        </w:rPr>
        <w:t>’</w:t>
      </w:r>
      <w:r w:rsidRPr="007B5EFE">
        <w:rPr>
          <w:rFonts w:cs="Times New Roman"/>
          <w:lang w:val="fr-CA"/>
        </w:rPr>
        <w:t>y consentir, comme l</w:t>
      </w:r>
      <w:r>
        <w:rPr>
          <w:rFonts w:cs="Times New Roman"/>
          <w:lang w:val="fr-CA"/>
        </w:rPr>
        <w:t>’</w:t>
      </w:r>
      <w:r w:rsidRPr="007B5EFE">
        <w:rPr>
          <w:rFonts w:cs="Times New Roman"/>
          <w:lang w:val="fr-CA"/>
        </w:rPr>
        <w:t>a fait M. Sciascia en l</w:t>
      </w:r>
      <w:r>
        <w:rPr>
          <w:rFonts w:cs="Times New Roman"/>
          <w:lang w:val="fr-CA"/>
        </w:rPr>
        <w:t>’</w:t>
      </w:r>
      <w:r w:rsidRPr="007B5EFE">
        <w:rPr>
          <w:rFonts w:cs="Times New Roman"/>
          <w:lang w:val="fr-CA"/>
        </w:rPr>
        <w:t>espèce, démontre la réciprocité de ces avantages. Soit dit en tout respect, les hypothèses émises sur les éventuelles difficultés que les accusés qui agissent pour leur propre compte risquent de connaître sont loin d</w:t>
      </w:r>
      <w:r>
        <w:rPr>
          <w:rFonts w:cs="Times New Roman"/>
          <w:lang w:val="fr-CA"/>
        </w:rPr>
        <w:t>’</w:t>
      </w:r>
      <w:r w:rsidRPr="007B5EFE">
        <w:rPr>
          <w:rFonts w:cs="Times New Roman"/>
          <w:lang w:val="fr-CA"/>
        </w:rPr>
        <w:t>être suffisantes pour déloger la perspective que présentent ces avantages</w:t>
      </w:r>
      <w:r w:rsidR="00BE49F4">
        <w:rPr>
          <w:rFonts w:cs="Times New Roman"/>
          <w:lang w:val="fr-CA"/>
        </w:rPr>
        <w:t xml:space="preserve"> bien établis</w:t>
      </w:r>
      <w:r w:rsidRPr="007B5EFE">
        <w:rPr>
          <w:rFonts w:cs="Times New Roman"/>
          <w:lang w:val="fr-CA"/>
        </w:rPr>
        <w:t>.</w:t>
      </w:r>
    </w:p>
    <w:p w:rsidR="00132FB1" w:rsidRPr="007B5EFE" w:rsidRDefault="00132FB1" w:rsidP="00073901">
      <w:pPr>
        <w:pStyle w:val="ParaNoNdepar-AltN"/>
        <w:widowControl w:val="0"/>
        <w:rPr>
          <w:rFonts w:cs="Times New Roman"/>
          <w:lang w:val="fr-CA"/>
        </w:rPr>
      </w:pPr>
      <w:r w:rsidRPr="007B5EFE">
        <w:rPr>
          <w:rFonts w:cs="Times New Roman"/>
          <w:lang w:val="fr-CA"/>
        </w:rPr>
        <w:t>Par conséquent, je conclus que la tenue de procès conjoints est conforme à l</w:t>
      </w:r>
      <w:r>
        <w:rPr>
          <w:rFonts w:cs="Times New Roman"/>
          <w:lang w:val="fr-CA"/>
        </w:rPr>
        <w:t>’</w:t>
      </w:r>
      <w:r w:rsidRPr="007B5EFE">
        <w:rPr>
          <w:rFonts w:cs="Times New Roman"/>
          <w:lang w:val="fr-CA"/>
        </w:rPr>
        <w:t>esprit et à l</w:t>
      </w:r>
      <w:r>
        <w:rPr>
          <w:rFonts w:cs="Times New Roman"/>
          <w:lang w:val="fr-CA"/>
        </w:rPr>
        <w:t>’</w:t>
      </w:r>
      <w:r w:rsidRPr="007B5EFE">
        <w:rPr>
          <w:rFonts w:cs="Times New Roman"/>
          <w:lang w:val="fr-CA"/>
        </w:rPr>
        <w:t xml:space="preserve">objet de la </w:t>
      </w:r>
      <w:r w:rsidRPr="007B5EFE">
        <w:rPr>
          <w:rFonts w:cs="Times New Roman"/>
          <w:i/>
          <w:lang w:val="fr-CA"/>
        </w:rPr>
        <w:t>LI</w:t>
      </w:r>
      <w:r>
        <w:rPr>
          <w:rFonts w:cs="Times New Roman"/>
          <w:i/>
          <w:lang w:val="fr-CA"/>
        </w:rPr>
        <w:t>P. </w:t>
      </w:r>
      <w:r w:rsidRPr="007B5EFE">
        <w:rPr>
          <w:rFonts w:cs="Times New Roman"/>
          <w:lang w:val="fr-CA"/>
        </w:rPr>
        <w:t>Il reste donc à décider si, dans les circonstances de l</w:t>
      </w:r>
      <w:r>
        <w:rPr>
          <w:rFonts w:cs="Times New Roman"/>
          <w:lang w:val="fr-CA"/>
        </w:rPr>
        <w:t>’</w:t>
      </w:r>
      <w:r w:rsidRPr="007B5EFE">
        <w:rPr>
          <w:rFonts w:cs="Times New Roman"/>
          <w:lang w:val="fr-CA"/>
        </w:rPr>
        <w:t>espèce, la tenue d</w:t>
      </w:r>
      <w:r>
        <w:rPr>
          <w:rFonts w:cs="Times New Roman"/>
          <w:lang w:val="fr-CA"/>
        </w:rPr>
        <w:t>’</w:t>
      </w:r>
      <w:r w:rsidRPr="007B5EFE">
        <w:rPr>
          <w:rFonts w:cs="Times New Roman"/>
          <w:lang w:val="fr-CA"/>
        </w:rPr>
        <w:t xml:space="preserve">un procès conjoint était conforme aux principes applicables de common law. </w:t>
      </w:r>
    </w:p>
    <w:p w:rsidR="00132FB1" w:rsidRPr="007B5EFE" w:rsidRDefault="00132FB1" w:rsidP="00073901">
      <w:pPr>
        <w:pStyle w:val="Title2LevelTitre2Niveau"/>
        <w:widowControl w:val="0"/>
        <w:rPr>
          <w:rFonts w:cs="Times New Roman"/>
          <w:lang w:val="fr-CA"/>
        </w:rPr>
      </w:pPr>
      <w:r w:rsidRPr="007B5EFE">
        <w:rPr>
          <w:rFonts w:cs="Times New Roman"/>
          <w:lang w:val="fr-CA"/>
        </w:rPr>
        <w:t>Règle issue de la common law</w:t>
      </w:r>
    </w:p>
    <w:p w:rsidR="00132FB1" w:rsidRPr="007B5EFE" w:rsidRDefault="00132FB1" w:rsidP="00073901">
      <w:pPr>
        <w:pStyle w:val="ParaNoNdepar-AltN"/>
        <w:widowControl w:val="0"/>
        <w:rPr>
          <w:rFonts w:cs="Times New Roman"/>
          <w:lang w:val="fr-CA"/>
        </w:rPr>
      </w:pPr>
      <w:r w:rsidRPr="007B5EFE">
        <w:rPr>
          <w:rFonts w:cs="Times New Roman"/>
          <w:lang w:val="fr-CA"/>
        </w:rPr>
        <w:t>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 la Cour a énoncé un test à deux volets reconnu en common law et applicable à la réunion d</w:t>
      </w:r>
      <w:r>
        <w:rPr>
          <w:rFonts w:cs="Times New Roman"/>
          <w:lang w:val="fr-CA"/>
        </w:rPr>
        <w:t>’</w:t>
      </w:r>
      <w:r w:rsidRPr="007B5EFE">
        <w:rPr>
          <w:rFonts w:cs="Times New Roman"/>
          <w:lang w:val="fr-CA"/>
        </w:rPr>
        <w:t>infractions qui exige</w:t>
      </w:r>
      <w:r>
        <w:rPr>
          <w:rFonts w:cs="Times New Roman"/>
          <w:lang w:val="fr-CA"/>
        </w:rPr>
        <w:t xml:space="preserve"> (1) </w:t>
      </w:r>
      <w:r w:rsidRPr="007B5EFE">
        <w:rPr>
          <w:rFonts w:cs="Times New Roman"/>
          <w:lang w:val="fr-CA"/>
        </w:rPr>
        <w:t>que « les accusations [aient] pu être portées [. . .] conjointement à l</w:t>
      </w:r>
      <w:r>
        <w:rPr>
          <w:rFonts w:cs="Times New Roman"/>
          <w:lang w:val="fr-CA"/>
        </w:rPr>
        <w:t>’origine », et (2) </w:t>
      </w:r>
      <w:r w:rsidRPr="007B5EFE">
        <w:rPr>
          <w:rFonts w:cs="Times New Roman"/>
          <w:lang w:val="fr-CA"/>
        </w:rPr>
        <w:t>que « cela ser[ve] les intérêts de la justice »</w:t>
      </w:r>
      <w:r>
        <w:rPr>
          <w:rFonts w:cs="Times New Roman"/>
          <w:lang w:val="fr-CA"/>
        </w:rPr>
        <w:t> :</w:t>
      </w:r>
      <w:r w:rsidRPr="007B5EFE">
        <w:rPr>
          <w:rFonts w:cs="Times New Roman"/>
          <w:lang w:val="fr-CA"/>
        </w:rPr>
        <w:t xml:space="preserve"> </w:t>
      </w:r>
      <w:r>
        <w:rPr>
          <w:rFonts w:cs="Times New Roman"/>
          <w:lang w:val="fr-CA"/>
        </w:rPr>
        <w:t>p. </w:t>
      </w:r>
      <w:r w:rsidRPr="007B5EFE">
        <w:rPr>
          <w:rFonts w:cs="Times New Roman"/>
          <w:lang w:val="fr-CA"/>
        </w:rPr>
        <w:t xml:space="preserve">610. La Cour a confirmé de nouveau ce test dans </w:t>
      </w:r>
      <w:r w:rsidRPr="007B5EFE">
        <w:rPr>
          <w:rFonts w:cs="Times New Roman"/>
          <w:lang w:val="fr-CA"/>
        </w:rPr>
        <w:lastRenderedPageBreak/>
        <w:t>l</w:t>
      </w:r>
      <w:r>
        <w:rPr>
          <w:rFonts w:cs="Times New Roman"/>
          <w:lang w:val="fr-CA"/>
        </w:rPr>
        <w:t>’</w:t>
      </w:r>
      <w:r w:rsidRPr="007B5EFE">
        <w:rPr>
          <w:rFonts w:cs="Times New Roman"/>
          <w:lang w:val="fr-CA"/>
        </w:rPr>
        <w:t>arrêt </w:t>
      </w:r>
      <w:r w:rsidRPr="007B5EFE">
        <w:rPr>
          <w:rFonts w:cs="Times New Roman"/>
          <w:i/>
          <w:lang w:val="fr-CA"/>
        </w:rPr>
        <w:t>S.J.L.</w:t>
      </w:r>
      <w:r w:rsidR="007F702C">
        <w:rPr>
          <w:rFonts w:cs="Times New Roman"/>
          <w:lang w:val="fr-CA"/>
        </w:rPr>
        <w:t xml:space="preserve">, </w:t>
      </w:r>
      <w:r>
        <w:rPr>
          <w:rFonts w:cs="Times New Roman"/>
          <w:lang w:val="fr-CA"/>
        </w:rPr>
        <w:t>par. </w:t>
      </w:r>
      <w:r w:rsidRPr="007B5EFE">
        <w:rPr>
          <w:rFonts w:cs="Times New Roman"/>
          <w:lang w:val="fr-CA"/>
        </w:rPr>
        <w:t>60</w:t>
      </w:r>
      <w:r w:rsidRPr="007F702C">
        <w:rPr>
          <w:rStyle w:val="Hyperlink"/>
          <w:u w:val="none"/>
          <w:vertAlign w:val="superscript"/>
        </w:rPr>
        <w:footnoteReference w:id="4"/>
      </w:r>
      <w:r w:rsidR="007F702C">
        <w:rPr>
          <w:rFonts w:cs="Times New Roman"/>
          <w:lang w:val="fr-CA"/>
        </w:rPr>
        <w:t>.</w:t>
      </w:r>
    </w:p>
    <w:p w:rsidR="00132FB1" w:rsidRPr="007B5EFE" w:rsidRDefault="00132FB1" w:rsidP="00073901">
      <w:pPr>
        <w:pStyle w:val="ParaNoNdepar-AltN"/>
        <w:widowControl w:val="0"/>
        <w:rPr>
          <w:rFonts w:cs="Times New Roman"/>
          <w:lang w:val="fr-CA"/>
        </w:rPr>
      </w:pPr>
      <w:r w:rsidRPr="007B5EFE">
        <w:rPr>
          <w:rFonts w:cs="Times New Roman"/>
          <w:lang w:val="fr-CA"/>
        </w:rPr>
        <w:t>Ma collègue conclut que le test énoncé 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 xml:space="preserve"> ne s</w:t>
      </w:r>
      <w:r>
        <w:rPr>
          <w:rFonts w:cs="Times New Roman"/>
          <w:lang w:val="fr-CA"/>
        </w:rPr>
        <w:t>’</w:t>
      </w:r>
      <w:r w:rsidRPr="007B5EFE">
        <w:rPr>
          <w:rFonts w:cs="Times New Roman"/>
          <w:lang w:val="fr-CA"/>
        </w:rPr>
        <w:t>applique qu</w:t>
      </w:r>
      <w:r>
        <w:rPr>
          <w:rFonts w:cs="Times New Roman"/>
          <w:lang w:val="fr-CA"/>
        </w:rPr>
        <w:t>’</w:t>
      </w:r>
      <w:r w:rsidRPr="007B5EFE">
        <w:rPr>
          <w:rFonts w:cs="Times New Roman"/>
          <w:lang w:val="fr-CA"/>
        </w:rPr>
        <w:t>à la réunion d</w:t>
      </w:r>
      <w:r>
        <w:rPr>
          <w:rFonts w:cs="Times New Roman"/>
          <w:lang w:val="fr-CA"/>
        </w:rPr>
        <w:t>’</w:t>
      </w:r>
      <w:r w:rsidRPr="007B5EFE">
        <w:rPr>
          <w:rFonts w:cs="Times New Roman"/>
          <w:lang w:val="fr-CA"/>
        </w:rPr>
        <w:t>accusations criminelles, qui sont assujetties « aux mêmes règles en matière de preuve et de procédure »</w:t>
      </w:r>
      <w:r>
        <w:rPr>
          <w:rFonts w:cs="Times New Roman"/>
          <w:lang w:val="fr-CA"/>
        </w:rPr>
        <w:t> :</w:t>
      </w:r>
      <w:r w:rsidRPr="007B5EFE">
        <w:rPr>
          <w:rFonts w:cs="Times New Roman"/>
          <w:lang w:val="fr-CA"/>
        </w:rPr>
        <w:t xml:space="preserve"> </w:t>
      </w:r>
      <w:r>
        <w:rPr>
          <w:rFonts w:cs="Times New Roman"/>
          <w:lang w:val="fr-CA"/>
        </w:rPr>
        <w:t>par. </w:t>
      </w:r>
      <w:r w:rsidRPr="007B5EFE">
        <w:rPr>
          <w:rFonts w:cs="Times New Roman"/>
          <w:lang w:val="fr-CA"/>
        </w:rPr>
        <w:t>67. Soit dit en tout respect pour l</w:t>
      </w:r>
      <w:r>
        <w:rPr>
          <w:rFonts w:cs="Times New Roman"/>
          <w:lang w:val="fr-CA"/>
        </w:rPr>
        <w:t>’</w:t>
      </w:r>
      <w:r w:rsidRPr="007B5EFE">
        <w:rPr>
          <w:rFonts w:cs="Times New Roman"/>
          <w:lang w:val="fr-CA"/>
        </w:rPr>
        <w:t>opinion contraire, j</w:t>
      </w:r>
      <w:r>
        <w:rPr>
          <w:rFonts w:cs="Times New Roman"/>
          <w:lang w:val="fr-CA"/>
        </w:rPr>
        <w:t>’</w:t>
      </w:r>
      <w:r w:rsidRPr="007B5EFE">
        <w:rPr>
          <w:rFonts w:cs="Times New Roman"/>
          <w:lang w:val="fr-CA"/>
        </w:rPr>
        <w:t xml:space="preserve">arrive à une conclusion différente. Certes, les arrêts </w:t>
      </w:r>
      <w:r w:rsidRPr="007B5EFE">
        <w:rPr>
          <w:rFonts w:cs="Times New Roman"/>
          <w:i/>
          <w:lang w:val="fr-CA"/>
        </w:rPr>
        <w:t>Clunas</w:t>
      </w:r>
      <w:r w:rsidRPr="007B5EFE">
        <w:rPr>
          <w:rFonts w:cs="Times New Roman"/>
          <w:lang w:val="fr-CA"/>
        </w:rPr>
        <w:t xml:space="preserve"> et </w:t>
      </w:r>
      <w:r w:rsidRPr="007B5EFE">
        <w:rPr>
          <w:rFonts w:cs="Times New Roman"/>
          <w:i/>
          <w:lang w:val="fr-CA"/>
        </w:rPr>
        <w:t>S.J.L.</w:t>
      </w:r>
      <w:r w:rsidRPr="007B5EFE">
        <w:rPr>
          <w:rFonts w:cs="Times New Roman"/>
          <w:lang w:val="fr-CA"/>
        </w:rPr>
        <w:t xml:space="preserve"> examinent tous deux la réunion de multiples accusations relatives à des infractions criminelles, mais rien ne nous permet de penser que le même test ne devrait pas s</w:t>
      </w:r>
      <w:r>
        <w:rPr>
          <w:rFonts w:cs="Times New Roman"/>
          <w:lang w:val="fr-CA"/>
        </w:rPr>
        <w:t>’</w:t>
      </w:r>
      <w:r w:rsidRPr="007B5EFE">
        <w:rPr>
          <w:rFonts w:cs="Times New Roman"/>
          <w:lang w:val="fr-CA"/>
        </w:rPr>
        <w:t>appliquer à la réunion d</w:t>
      </w:r>
      <w:r>
        <w:rPr>
          <w:rFonts w:cs="Times New Roman"/>
          <w:lang w:val="fr-CA"/>
        </w:rPr>
        <w:t>’</w:t>
      </w:r>
      <w:r w:rsidRPr="007B5EFE">
        <w:rPr>
          <w:rFonts w:cs="Times New Roman"/>
          <w:lang w:val="fr-CA"/>
        </w:rPr>
        <w:t>accusations relatives d</w:t>
      </w:r>
      <w:r>
        <w:rPr>
          <w:rFonts w:cs="Times New Roman"/>
          <w:lang w:val="fr-CA"/>
        </w:rPr>
        <w:t>’</w:t>
      </w:r>
      <w:r w:rsidRPr="007B5EFE">
        <w:rPr>
          <w:rFonts w:cs="Times New Roman"/>
          <w:lang w:val="fr-CA"/>
        </w:rPr>
        <w:t>une part à des infractions provinciales et d</w:t>
      </w:r>
      <w:r>
        <w:rPr>
          <w:rFonts w:cs="Times New Roman"/>
          <w:lang w:val="fr-CA"/>
        </w:rPr>
        <w:t>’</w:t>
      </w:r>
      <w:r w:rsidRPr="007B5EFE">
        <w:rPr>
          <w:rFonts w:cs="Times New Roman"/>
          <w:lang w:val="fr-CA"/>
        </w:rPr>
        <w:t>autre part à des infractions criminelles. Comme je l</w:t>
      </w:r>
      <w:r>
        <w:rPr>
          <w:rFonts w:cs="Times New Roman"/>
          <w:lang w:val="fr-CA"/>
        </w:rPr>
        <w:t>’</w:t>
      </w:r>
      <w:r w:rsidRPr="007B5EFE">
        <w:rPr>
          <w:rFonts w:cs="Times New Roman"/>
          <w:lang w:val="fr-CA"/>
        </w:rPr>
        <w:t>ai mentionné plus tôt, il se peut que les intérêts de la justice exigent des procès distincts en présence de divergences inconciliables dans les règles de preuve et de procédure. Cela dit, le fait que la procédure puisse être différente n</w:t>
      </w:r>
      <w:r>
        <w:rPr>
          <w:rFonts w:cs="Times New Roman"/>
          <w:lang w:val="fr-CA"/>
        </w:rPr>
        <w:t>’</w:t>
      </w:r>
      <w:r w:rsidRPr="007B5EFE">
        <w:rPr>
          <w:rFonts w:cs="Times New Roman"/>
          <w:lang w:val="fr-CA"/>
        </w:rPr>
        <w:t>empêche pas l</w:t>
      </w:r>
      <w:r>
        <w:rPr>
          <w:rFonts w:cs="Times New Roman"/>
          <w:lang w:val="fr-CA"/>
        </w:rPr>
        <w:t>’</w:t>
      </w:r>
      <w:r w:rsidRPr="007B5EFE">
        <w:rPr>
          <w:rFonts w:cs="Times New Roman"/>
          <w:lang w:val="fr-CA"/>
        </w:rPr>
        <w:t>application de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 Cette possibilité permet plutôt de constater que l</w:t>
      </w:r>
      <w:r>
        <w:rPr>
          <w:rFonts w:cs="Times New Roman"/>
          <w:lang w:val="fr-CA"/>
        </w:rPr>
        <w:t>’</w:t>
      </w:r>
      <w:r w:rsidRPr="007B5EFE">
        <w:rPr>
          <w:rFonts w:cs="Times New Roman"/>
          <w:lang w:val="fr-CA"/>
        </w:rPr>
        <w:t>application du test devrait tenir compte des différents facteurs qui peuvent faire pencher la balance en faveur de la réunion ou non, selon le cas. Or, c</w:t>
      </w:r>
      <w:r>
        <w:rPr>
          <w:rFonts w:cs="Times New Roman"/>
          <w:lang w:val="fr-CA"/>
        </w:rPr>
        <w:t>’</w:t>
      </w:r>
      <w:r w:rsidRPr="007B5EFE">
        <w:rPr>
          <w:rFonts w:cs="Times New Roman"/>
          <w:lang w:val="fr-CA"/>
        </w:rPr>
        <w:t>est précisément ce que fait le test énoncé 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 J</w:t>
      </w:r>
      <w:r>
        <w:rPr>
          <w:rFonts w:cs="Times New Roman"/>
          <w:lang w:val="fr-CA"/>
        </w:rPr>
        <w:t>’</w:t>
      </w:r>
      <w:r w:rsidRPr="007B5EFE">
        <w:rPr>
          <w:rFonts w:cs="Times New Roman"/>
          <w:lang w:val="fr-CA"/>
        </w:rPr>
        <w:t>examinerai ci</w:t>
      </w:r>
      <w:r w:rsidR="00140575">
        <w:rPr>
          <w:rFonts w:cs="Times New Roman"/>
          <w:lang w:val="fr-CA"/>
        </w:rPr>
        <w:t>-</w:t>
      </w:r>
      <w:r w:rsidRPr="007B5EFE">
        <w:rPr>
          <w:rFonts w:cs="Times New Roman"/>
          <w:lang w:val="fr-CA"/>
        </w:rPr>
        <w:t>après ses deux volets à tour de rôle.</w:t>
      </w:r>
    </w:p>
    <w:p w:rsidR="00132FB1" w:rsidRPr="007B5EFE" w:rsidRDefault="00132FB1" w:rsidP="00073901">
      <w:pPr>
        <w:pStyle w:val="Title3LevelTitre3Niveau"/>
        <w:widowControl w:val="0"/>
        <w:rPr>
          <w:rFonts w:cs="Times New Roman"/>
        </w:rPr>
      </w:pPr>
      <w:r w:rsidRPr="007B5EFE">
        <w:rPr>
          <w:rFonts w:cs="Times New Roman"/>
        </w:rPr>
        <w:t>Lien factuel</w:t>
      </w:r>
    </w:p>
    <w:p w:rsidR="00132FB1" w:rsidRPr="007B5EFE" w:rsidRDefault="00132FB1" w:rsidP="00073901">
      <w:pPr>
        <w:pStyle w:val="ParaNoNdepar-AltN"/>
        <w:widowControl w:val="0"/>
        <w:rPr>
          <w:rFonts w:cs="Times New Roman"/>
          <w:lang w:val="fr-CA"/>
        </w:rPr>
      </w:pPr>
      <w:r w:rsidRPr="007B5EFE">
        <w:rPr>
          <w:rFonts w:cs="Times New Roman"/>
          <w:lang w:val="fr-CA"/>
        </w:rPr>
        <w:t>La Cour d</w:t>
      </w:r>
      <w:r>
        <w:rPr>
          <w:rFonts w:cs="Times New Roman"/>
          <w:lang w:val="fr-CA"/>
        </w:rPr>
        <w:t>’</w:t>
      </w:r>
      <w:r w:rsidRPr="007B5EFE">
        <w:rPr>
          <w:rFonts w:cs="Times New Roman"/>
          <w:lang w:val="fr-CA"/>
        </w:rPr>
        <w:t xml:space="preserve">appel a déterminé que le premier volet — soit la question de </w:t>
      </w:r>
      <w:r w:rsidRPr="007B5EFE">
        <w:rPr>
          <w:rFonts w:cs="Times New Roman"/>
          <w:lang w:val="fr-CA"/>
        </w:rPr>
        <w:lastRenderedPageBreak/>
        <w:t>savoir si les accusations auraient pu être portées conjointement à l</w:t>
      </w:r>
      <w:r>
        <w:rPr>
          <w:rFonts w:cs="Times New Roman"/>
          <w:lang w:val="fr-CA"/>
        </w:rPr>
        <w:t>’</w:t>
      </w:r>
      <w:r w:rsidRPr="007B5EFE">
        <w:rPr>
          <w:rFonts w:cs="Times New Roman"/>
          <w:lang w:val="fr-CA"/>
        </w:rPr>
        <w:t>origine — constituait [</w:t>
      </w:r>
      <w:r w:rsidRPr="007B5EFE">
        <w:rPr>
          <w:rFonts w:cs="Times New Roman"/>
          <w:smallCaps/>
          <w:lang w:val="fr-CA"/>
        </w:rPr>
        <w:t>traduction</w:t>
      </w:r>
      <w:r w:rsidRPr="007B5EFE">
        <w:rPr>
          <w:rFonts w:cs="Times New Roman"/>
          <w:lang w:val="fr-CA"/>
        </w:rPr>
        <w:t>] « le point sensible » qui empêche la réunion d</w:t>
      </w:r>
      <w:r>
        <w:rPr>
          <w:rFonts w:cs="Times New Roman"/>
          <w:lang w:val="fr-CA"/>
        </w:rPr>
        <w:t>’</w:t>
      </w:r>
      <w:r w:rsidRPr="007B5EFE">
        <w:rPr>
          <w:rFonts w:cs="Times New Roman"/>
          <w:lang w:val="fr-CA"/>
        </w:rPr>
        <w:t>accusations relative d</w:t>
      </w:r>
      <w:r>
        <w:rPr>
          <w:rFonts w:cs="Times New Roman"/>
          <w:lang w:val="fr-CA"/>
        </w:rPr>
        <w:t>’</w:t>
      </w:r>
      <w:r w:rsidRPr="007B5EFE">
        <w:rPr>
          <w:rFonts w:cs="Times New Roman"/>
          <w:lang w:val="fr-CA"/>
        </w:rPr>
        <w:t>une part à des infractions criminelles et d</w:t>
      </w:r>
      <w:r>
        <w:rPr>
          <w:rFonts w:cs="Times New Roman"/>
          <w:lang w:val="fr-CA"/>
        </w:rPr>
        <w:t>’</w:t>
      </w:r>
      <w:r w:rsidRPr="007B5EFE">
        <w:rPr>
          <w:rFonts w:cs="Times New Roman"/>
          <w:lang w:val="fr-CA"/>
        </w:rPr>
        <w:t>autre part à des infractions provinciales</w:t>
      </w:r>
      <w:r>
        <w:rPr>
          <w:rFonts w:cs="Times New Roman"/>
          <w:lang w:val="fr-CA"/>
        </w:rPr>
        <w:t xml:space="preserve"> pour un procès :</w:t>
      </w:r>
      <w:r w:rsidRPr="007B5EFE">
        <w:rPr>
          <w:rFonts w:cs="Times New Roman"/>
          <w:lang w:val="fr-CA"/>
        </w:rPr>
        <w:t xml:space="preserve"> </w:t>
      </w:r>
      <w:r>
        <w:rPr>
          <w:rFonts w:cs="Times New Roman"/>
          <w:lang w:val="fr-CA"/>
        </w:rPr>
        <w:t>par. </w:t>
      </w:r>
      <w:r w:rsidRPr="007B5EFE">
        <w:rPr>
          <w:rFonts w:cs="Times New Roman"/>
          <w:lang w:val="fr-CA"/>
        </w:rPr>
        <w:t>54. Parce que ces accusations ne peuvent pas, en Ontario, être portées dans un même document, la Cour d</w:t>
      </w:r>
      <w:r>
        <w:rPr>
          <w:rFonts w:cs="Times New Roman"/>
          <w:lang w:val="fr-CA"/>
        </w:rPr>
        <w:t>’</w:t>
      </w:r>
      <w:r w:rsidRPr="007B5EFE">
        <w:rPr>
          <w:rFonts w:cs="Times New Roman"/>
          <w:lang w:val="fr-CA"/>
        </w:rPr>
        <w:t>appel a conclu qu</w:t>
      </w:r>
      <w:r>
        <w:rPr>
          <w:rFonts w:cs="Times New Roman"/>
          <w:lang w:val="fr-CA"/>
        </w:rPr>
        <w:t>’</w:t>
      </w:r>
      <w:r w:rsidRPr="007B5EFE">
        <w:rPr>
          <w:rFonts w:cs="Times New Roman"/>
          <w:lang w:val="fr-CA"/>
        </w:rPr>
        <w:t xml:space="preserve">il ne serait </w:t>
      </w:r>
      <w:r w:rsidRPr="007B5EFE">
        <w:rPr>
          <w:rFonts w:cs="Times New Roman"/>
          <w:i/>
          <w:lang w:val="fr-CA"/>
        </w:rPr>
        <w:t>jamais</w:t>
      </w:r>
      <w:r w:rsidRPr="007B5EFE">
        <w:rPr>
          <w:rFonts w:cs="Times New Roman"/>
          <w:lang w:val="fr-CA"/>
        </w:rPr>
        <w:t xml:space="preserve"> possible de satisfaire à ce volet en Ontario. En effet, pour elle, bien que, en substance, elles soient sensiblement les mêmes</w:t>
      </w:r>
      <w:r>
        <w:rPr>
          <w:rFonts w:cs="Times New Roman"/>
          <w:lang w:val="fr-CA"/>
        </w:rPr>
        <w:t xml:space="preserve">, la formule </w:t>
      </w:r>
      <w:r w:rsidRPr="007B5EFE">
        <w:rPr>
          <w:rFonts w:cs="Times New Roman"/>
          <w:lang w:val="fr-CA"/>
        </w:rPr>
        <w:t>105 prescrite par la partie III dans le cas d</w:t>
      </w:r>
      <w:r>
        <w:rPr>
          <w:rFonts w:cs="Times New Roman"/>
          <w:lang w:val="fr-CA"/>
        </w:rPr>
        <w:t>’</w:t>
      </w:r>
      <w:r w:rsidRPr="007B5EFE">
        <w:rPr>
          <w:rFonts w:cs="Times New Roman"/>
          <w:lang w:val="fr-CA"/>
        </w:rPr>
        <w:t>une dénonciation déposée relativement à une infraction provinciale conformément à l</w:t>
      </w:r>
      <w:r>
        <w:rPr>
          <w:rFonts w:cs="Times New Roman"/>
          <w:lang w:val="fr-CA"/>
        </w:rPr>
        <w:t>’art. </w:t>
      </w:r>
      <w:r w:rsidRPr="007B5EFE">
        <w:rPr>
          <w:rFonts w:cs="Times New Roman"/>
          <w:lang w:val="fr-CA"/>
        </w:rPr>
        <w:t xml:space="preserve">23 de la </w:t>
      </w:r>
      <w:r w:rsidRPr="007B5EFE">
        <w:rPr>
          <w:rFonts w:cs="Times New Roman"/>
          <w:i/>
          <w:lang w:val="fr-CA"/>
        </w:rPr>
        <w:t>LIP</w:t>
      </w:r>
      <w:r w:rsidRPr="00E10F78">
        <w:rPr>
          <w:rStyle w:val="Hyperlink"/>
          <w:vertAlign w:val="superscript"/>
        </w:rPr>
        <w:footnoteReference w:id="5"/>
      </w:r>
      <w:r w:rsidRPr="007B5EFE">
        <w:rPr>
          <w:rFonts w:cs="Times New Roman"/>
          <w:lang w:val="fr-CA"/>
        </w:rPr>
        <w:t xml:space="preserve"> se distingue de la formule</w:t>
      </w:r>
      <w:r>
        <w:rPr>
          <w:rFonts w:cs="Times New Roman"/>
          <w:lang w:val="fr-CA"/>
        </w:rPr>
        <w:t xml:space="preserve"> </w:t>
      </w:r>
      <w:r w:rsidRPr="007B5EFE">
        <w:rPr>
          <w:rFonts w:cs="Times New Roman"/>
          <w:lang w:val="fr-CA"/>
        </w:rPr>
        <w:t>2 prescrite dans le cas d</w:t>
      </w:r>
      <w:r>
        <w:rPr>
          <w:rFonts w:cs="Times New Roman"/>
          <w:lang w:val="fr-CA"/>
        </w:rPr>
        <w:t>’</w:t>
      </w:r>
      <w:r w:rsidRPr="007B5EFE">
        <w:rPr>
          <w:rFonts w:cs="Times New Roman"/>
          <w:lang w:val="fr-CA"/>
        </w:rPr>
        <w:t xml:space="preserve">une dénonciation déposée relativement à une infraction criminelle conformément au </w:t>
      </w:r>
      <w:r>
        <w:rPr>
          <w:rFonts w:cs="Times New Roman"/>
          <w:lang w:val="fr-CA"/>
        </w:rPr>
        <w:t>par. </w:t>
      </w:r>
      <w:r w:rsidRPr="007B5EFE">
        <w:rPr>
          <w:rFonts w:cs="Times New Roman"/>
          <w:lang w:val="fr-CA"/>
        </w:rPr>
        <w:t xml:space="preserve">788(1) du </w:t>
      </w:r>
      <w:r w:rsidRPr="007B5EFE">
        <w:rPr>
          <w:rFonts w:cs="Times New Roman"/>
          <w:i/>
          <w:lang w:val="fr-CA"/>
        </w:rPr>
        <w:t>C</w:t>
      </w:r>
      <w:r w:rsidR="007F702C">
        <w:rPr>
          <w:rFonts w:cs="Times New Roman"/>
          <w:i/>
          <w:lang w:val="fr-CA"/>
        </w:rPr>
        <w:t>ode criminel</w:t>
      </w:r>
      <w:r w:rsidRPr="007B5EFE">
        <w:rPr>
          <w:rFonts w:cs="Times New Roman"/>
          <w:i/>
          <w:lang w:val="fr-CA"/>
        </w:rPr>
        <w:t>.</w:t>
      </w:r>
    </w:p>
    <w:p w:rsidR="00132FB1" w:rsidRPr="007B5EFE" w:rsidRDefault="00132FB1" w:rsidP="00073901">
      <w:pPr>
        <w:pStyle w:val="ParaNoNdepar-AltN"/>
        <w:widowControl w:val="0"/>
        <w:rPr>
          <w:rFonts w:cs="Times New Roman"/>
          <w:lang w:val="fr-CA"/>
        </w:rPr>
      </w:pPr>
      <w:r w:rsidRPr="007B5EFE">
        <w:rPr>
          <w:rFonts w:cs="Times New Roman"/>
          <w:lang w:val="fr-CA"/>
        </w:rPr>
        <w:t xml:space="preserve">Je ne souscris pas à cette approche. Tenir cette différence de forme pour déterminante autorise la </w:t>
      </w:r>
      <w:r w:rsidRPr="007B5EFE">
        <w:rPr>
          <w:rFonts w:cs="Times New Roman"/>
          <w:i/>
          <w:lang w:val="fr-CA"/>
        </w:rPr>
        <w:t>forme</w:t>
      </w:r>
      <w:r w:rsidRPr="007B5EFE">
        <w:rPr>
          <w:rFonts w:cs="Times New Roman"/>
          <w:lang w:val="fr-CA"/>
        </w:rPr>
        <w:t xml:space="preserve"> à l</w:t>
      </w:r>
      <w:r>
        <w:rPr>
          <w:rFonts w:cs="Times New Roman"/>
          <w:lang w:val="fr-CA"/>
        </w:rPr>
        <w:t>’</w:t>
      </w:r>
      <w:r w:rsidRPr="007B5EFE">
        <w:rPr>
          <w:rFonts w:cs="Times New Roman"/>
          <w:lang w:val="fr-CA"/>
        </w:rPr>
        <w:t>emporter sur le fond, et privilégie une conception restrictive de la procédure que les tribunaux n</w:t>
      </w:r>
      <w:r>
        <w:rPr>
          <w:rFonts w:cs="Times New Roman"/>
          <w:lang w:val="fr-CA"/>
        </w:rPr>
        <w:t>’</w:t>
      </w:r>
      <w:r w:rsidRPr="007B5EFE">
        <w:rPr>
          <w:rFonts w:cs="Times New Roman"/>
          <w:lang w:val="fr-CA"/>
        </w:rPr>
        <w:t>ont pas voulu adopter</w:t>
      </w:r>
      <w:r>
        <w:rPr>
          <w:rFonts w:cs="Times New Roman"/>
          <w:lang w:val="fr-CA"/>
        </w:rPr>
        <w:t> :</w:t>
      </w:r>
      <w:r w:rsidRPr="007B5EFE">
        <w:rPr>
          <w:rFonts w:cs="Times New Roman"/>
          <w:lang w:val="fr-CA"/>
        </w:rPr>
        <w:t xml:space="preserve"> voir </w:t>
      </w:r>
      <w:r w:rsidRPr="007B5EFE">
        <w:rPr>
          <w:rFonts w:cs="Times New Roman"/>
          <w:i/>
          <w:lang w:val="fr-CA"/>
        </w:rPr>
        <w:t>Clayton</w:t>
      </w:r>
      <w:r w:rsidRPr="007B5EFE">
        <w:rPr>
          <w:rFonts w:cs="Times New Roman"/>
          <w:lang w:val="fr-CA"/>
        </w:rPr>
        <w:t xml:space="preserve">, </w:t>
      </w:r>
      <w:r>
        <w:rPr>
          <w:rFonts w:cs="Times New Roman"/>
          <w:lang w:val="fr-CA"/>
        </w:rPr>
        <w:t>p. 5</w:t>
      </w:r>
      <w:r w:rsidRPr="007B5EFE">
        <w:rPr>
          <w:rFonts w:cs="Times New Roman"/>
          <w:lang w:val="fr-CA"/>
        </w:rPr>
        <w:t>62</w:t>
      </w:r>
      <w:r w:rsidR="00140575">
        <w:rPr>
          <w:rFonts w:cs="Times New Roman"/>
          <w:lang w:val="fr-CA"/>
        </w:rPr>
        <w:t>-</w:t>
      </w:r>
      <w:r w:rsidR="007F702C">
        <w:rPr>
          <w:rFonts w:cs="Times New Roman"/>
          <w:lang w:val="fr-CA"/>
        </w:rPr>
        <w:t>5</w:t>
      </w:r>
      <w:r w:rsidRPr="007B5EFE">
        <w:rPr>
          <w:rFonts w:cs="Times New Roman"/>
          <w:lang w:val="fr-CA"/>
        </w:rPr>
        <w:t xml:space="preserve">63; </w:t>
      </w:r>
      <w:r w:rsidRPr="007B5EFE">
        <w:rPr>
          <w:rFonts w:cs="Times New Roman"/>
          <w:i/>
          <w:lang w:val="fr-CA"/>
        </w:rPr>
        <w:t>Clunas</w:t>
      </w:r>
      <w:r w:rsidRPr="007B5EFE">
        <w:rPr>
          <w:rFonts w:cs="Times New Roman"/>
          <w:lang w:val="fr-CA"/>
        </w:rPr>
        <w:t xml:space="preserve">, </w:t>
      </w:r>
      <w:r>
        <w:rPr>
          <w:rFonts w:cs="Times New Roman"/>
          <w:lang w:val="fr-CA"/>
        </w:rPr>
        <w:t>p. </w:t>
      </w:r>
      <w:r w:rsidRPr="007B5EFE">
        <w:rPr>
          <w:rFonts w:cs="Times New Roman"/>
          <w:lang w:val="fr-CA"/>
        </w:rPr>
        <w:t>598</w:t>
      </w:r>
      <w:r w:rsidR="00140575">
        <w:rPr>
          <w:rFonts w:cs="Times New Roman"/>
          <w:lang w:val="fr-CA"/>
        </w:rPr>
        <w:t>-</w:t>
      </w:r>
      <w:r w:rsidR="007F702C">
        <w:rPr>
          <w:rFonts w:cs="Times New Roman"/>
          <w:lang w:val="fr-CA"/>
        </w:rPr>
        <w:t>5</w:t>
      </w:r>
      <w:r w:rsidRPr="007B5EFE">
        <w:rPr>
          <w:rFonts w:cs="Times New Roman"/>
          <w:lang w:val="fr-CA"/>
        </w:rPr>
        <w:t xml:space="preserve">99; </w:t>
      </w:r>
      <w:r w:rsidRPr="007B5EFE">
        <w:rPr>
          <w:rFonts w:cs="Times New Roman"/>
          <w:i/>
          <w:lang w:val="fr-CA"/>
        </w:rPr>
        <w:t>Massick</w:t>
      </w:r>
      <w:r w:rsidRPr="007B5EFE">
        <w:rPr>
          <w:rFonts w:cs="Times New Roman"/>
          <w:lang w:val="fr-CA"/>
        </w:rPr>
        <w:t xml:space="preserve">, </w:t>
      </w:r>
      <w:r>
        <w:rPr>
          <w:rFonts w:cs="Times New Roman"/>
          <w:lang w:val="fr-CA"/>
        </w:rPr>
        <w:t>p. </w:t>
      </w:r>
      <w:r w:rsidRPr="007B5EFE">
        <w:rPr>
          <w:rFonts w:cs="Times New Roman"/>
          <w:lang w:val="fr-CA"/>
        </w:rPr>
        <w:t>134. Fait plus important encore, ce point de vue ne tient pas compte de la difficulté que la Cour cherch</w:t>
      </w:r>
      <w:r w:rsidR="00411628">
        <w:rPr>
          <w:rFonts w:cs="Times New Roman"/>
          <w:lang w:val="fr-CA"/>
        </w:rPr>
        <w:t>ait</w:t>
      </w:r>
      <w:r w:rsidRPr="007B5EFE">
        <w:rPr>
          <w:rFonts w:cs="Times New Roman"/>
          <w:lang w:val="fr-CA"/>
        </w:rPr>
        <w:t xml:space="preserve"> à résoudre en formulant le premier volet du test énoncé 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w:t>
      </w:r>
    </w:p>
    <w:p w:rsidR="00132FB1" w:rsidRPr="007B5EFE" w:rsidRDefault="00132FB1" w:rsidP="00073901">
      <w:pPr>
        <w:pStyle w:val="ParaNoNdepar-AltN"/>
        <w:widowControl w:val="0"/>
        <w:rPr>
          <w:rFonts w:cs="Times New Roman"/>
          <w:lang w:val="fr-CA"/>
        </w:rPr>
      </w:pPr>
      <w:r w:rsidRPr="007B5EFE">
        <w:rPr>
          <w:rFonts w:cs="Times New Roman"/>
          <w:lang w:val="fr-CA"/>
        </w:rPr>
        <w:t>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 la Cour ne s</w:t>
      </w:r>
      <w:r>
        <w:rPr>
          <w:rFonts w:cs="Times New Roman"/>
          <w:lang w:val="fr-CA"/>
        </w:rPr>
        <w:t>’</w:t>
      </w:r>
      <w:r w:rsidRPr="007B5EFE">
        <w:rPr>
          <w:rFonts w:cs="Times New Roman"/>
          <w:lang w:val="fr-CA"/>
        </w:rPr>
        <w:t>intéresse pas au spectre des différentes formules prescrites. L</w:t>
      </w:r>
      <w:r>
        <w:rPr>
          <w:rFonts w:cs="Times New Roman"/>
          <w:lang w:val="fr-CA"/>
        </w:rPr>
        <w:t>’</w:t>
      </w:r>
      <w:r w:rsidRPr="007B5EFE">
        <w:rPr>
          <w:rFonts w:cs="Times New Roman"/>
          <w:lang w:val="fr-CA"/>
        </w:rPr>
        <w:t>objet véritable du premier volet est plutôt de veiller à l</w:t>
      </w:r>
      <w:r>
        <w:rPr>
          <w:rFonts w:cs="Times New Roman"/>
          <w:lang w:val="fr-CA"/>
        </w:rPr>
        <w:t>’</w:t>
      </w:r>
      <w:r w:rsidRPr="007B5EFE">
        <w:rPr>
          <w:rFonts w:cs="Times New Roman"/>
          <w:lang w:val="fr-CA"/>
        </w:rPr>
        <w:t xml:space="preserve">existence </w:t>
      </w:r>
      <w:r w:rsidRPr="007B5EFE">
        <w:rPr>
          <w:rFonts w:cs="Times New Roman"/>
          <w:lang w:val="fr-CA"/>
        </w:rPr>
        <w:lastRenderedPageBreak/>
        <w:t>d</w:t>
      </w:r>
      <w:r>
        <w:rPr>
          <w:rFonts w:cs="Times New Roman"/>
          <w:lang w:val="fr-CA"/>
        </w:rPr>
        <w:t>’</w:t>
      </w:r>
      <w:r w:rsidRPr="007B5EFE">
        <w:rPr>
          <w:rFonts w:cs="Times New Roman"/>
          <w:lang w:val="fr-CA"/>
        </w:rPr>
        <w:t xml:space="preserve">un lien factuel </w:t>
      </w:r>
      <w:r w:rsidR="007F702C">
        <w:rPr>
          <w:rFonts w:cs="Times New Roman"/>
          <w:lang w:val="fr-CA"/>
        </w:rPr>
        <w:t>suffisant entre les accusations</w:t>
      </w:r>
      <w:r w:rsidRPr="007F702C">
        <w:rPr>
          <w:rStyle w:val="Hyperlink"/>
          <w:u w:val="none"/>
          <w:vertAlign w:val="superscript"/>
        </w:rPr>
        <w:footnoteReference w:id="6"/>
      </w:r>
      <w:r w:rsidR="007F702C">
        <w:rPr>
          <w:rFonts w:cs="Times New Roman"/>
          <w:lang w:val="fr-CA"/>
        </w:rPr>
        <w:t xml:space="preserve">. </w:t>
      </w:r>
      <w:r w:rsidRPr="007B5EFE">
        <w:rPr>
          <w:rFonts w:cs="Times New Roman"/>
          <w:lang w:val="fr-CA"/>
        </w:rPr>
        <w:t>C</w:t>
      </w:r>
      <w:r>
        <w:rPr>
          <w:rFonts w:cs="Times New Roman"/>
          <w:lang w:val="fr-CA"/>
        </w:rPr>
        <w:t>’</w:t>
      </w:r>
      <w:r w:rsidRPr="007B5EFE">
        <w:rPr>
          <w:rFonts w:cs="Times New Roman"/>
          <w:lang w:val="fr-CA"/>
        </w:rPr>
        <w:t>est ce qui se dégage clairement du fait que la Cour s</w:t>
      </w:r>
      <w:r>
        <w:rPr>
          <w:rFonts w:cs="Times New Roman"/>
          <w:lang w:val="fr-CA"/>
        </w:rPr>
        <w:t>’</w:t>
      </w:r>
      <w:r w:rsidRPr="007B5EFE">
        <w:rPr>
          <w:rFonts w:cs="Times New Roman"/>
          <w:lang w:val="fr-CA"/>
        </w:rPr>
        <w:t>appuie sur l</w:t>
      </w:r>
      <w:r>
        <w:rPr>
          <w:rFonts w:cs="Times New Roman"/>
          <w:lang w:val="fr-CA"/>
        </w:rPr>
        <w:t>’</w:t>
      </w:r>
      <w:r w:rsidRPr="007B5EFE">
        <w:rPr>
          <w:rFonts w:cs="Times New Roman"/>
          <w:lang w:val="fr-CA"/>
        </w:rPr>
        <w:t xml:space="preserve">arrêt </w:t>
      </w:r>
      <w:r w:rsidRPr="007B5EFE">
        <w:rPr>
          <w:rFonts w:cs="Times New Roman"/>
          <w:i/>
          <w:lang w:val="fr-CA"/>
        </w:rPr>
        <w:t>Clayton</w:t>
      </w:r>
      <w:r w:rsidRPr="007B5EFE">
        <w:rPr>
          <w:rFonts w:cs="Times New Roman"/>
          <w:lang w:val="fr-CA"/>
        </w:rPr>
        <w:t>, dans lequel l</w:t>
      </w:r>
      <w:r>
        <w:rPr>
          <w:rFonts w:cs="Times New Roman"/>
          <w:lang w:val="fr-CA"/>
        </w:rPr>
        <w:t>’</w:t>
      </w:r>
      <w:r w:rsidRPr="007B5EFE">
        <w:rPr>
          <w:rFonts w:cs="Times New Roman"/>
          <w:lang w:val="fr-CA"/>
        </w:rPr>
        <w:t>énoncé du test applicable à la réunion d</w:t>
      </w:r>
      <w:r>
        <w:rPr>
          <w:rFonts w:cs="Times New Roman"/>
          <w:lang w:val="fr-CA"/>
        </w:rPr>
        <w:t>’</w:t>
      </w:r>
      <w:r w:rsidRPr="007B5EFE">
        <w:rPr>
          <w:rFonts w:cs="Times New Roman"/>
          <w:lang w:val="fr-CA"/>
        </w:rPr>
        <w:t>accusations exigeait [</w:t>
      </w:r>
      <w:r w:rsidRPr="007B5EFE">
        <w:rPr>
          <w:rFonts w:cs="Times New Roman"/>
          <w:smallCaps/>
          <w:lang w:val="fr-CA"/>
        </w:rPr>
        <w:t>traduction</w:t>
      </w:r>
      <w:r w:rsidRPr="007B5EFE">
        <w:rPr>
          <w:rFonts w:cs="Times New Roman"/>
          <w:lang w:val="fr-CA"/>
        </w:rPr>
        <w:t>] « l</w:t>
      </w:r>
      <w:r>
        <w:rPr>
          <w:rFonts w:cs="Times New Roman"/>
          <w:lang w:val="fr-CA"/>
        </w:rPr>
        <w:t>’</w:t>
      </w:r>
      <w:r w:rsidRPr="007B5EFE">
        <w:rPr>
          <w:rFonts w:cs="Times New Roman"/>
          <w:lang w:val="fr-CA"/>
        </w:rPr>
        <w:t>existence d</w:t>
      </w:r>
      <w:r>
        <w:rPr>
          <w:rFonts w:cs="Times New Roman"/>
          <w:lang w:val="fr-CA"/>
        </w:rPr>
        <w:t>’</w:t>
      </w:r>
      <w:r w:rsidRPr="007B5EFE">
        <w:rPr>
          <w:rFonts w:cs="Times New Roman"/>
          <w:lang w:val="fr-CA"/>
        </w:rPr>
        <w:t>un lien factuel suffisamment étroit pour justifier cette application et l</w:t>
      </w:r>
      <w:r>
        <w:rPr>
          <w:rFonts w:cs="Times New Roman"/>
          <w:lang w:val="fr-CA"/>
        </w:rPr>
        <w:t>’</w:t>
      </w:r>
      <w:r w:rsidRPr="007B5EFE">
        <w:rPr>
          <w:rFonts w:cs="Times New Roman"/>
          <w:lang w:val="fr-CA"/>
        </w:rPr>
        <w:t>absence du risque que les défendeurs soient victimes d</w:t>
      </w:r>
      <w:r>
        <w:rPr>
          <w:rFonts w:cs="Times New Roman"/>
          <w:lang w:val="fr-CA"/>
        </w:rPr>
        <w:t>’</w:t>
      </w:r>
      <w:r w:rsidRPr="007B5EFE">
        <w:rPr>
          <w:rFonts w:cs="Times New Roman"/>
          <w:lang w:val="fr-CA"/>
        </w:rPr>
        <w:t>une injustice »</w:t>
      </w:r>
      <w:r>
        <w:rPr>
          <w:rFonts w:cs="Times New Roman"/>
          <w:lang w:val="fr-CA"/>
        </w:rPr>
        <w:t> :</w:t>
      </w:r>
      <w:r w:rsidRPr="007B5EFE">
        <w:rPr>
          <w:rFonts w:cs="Times New Roman"/>
          <w:lang w:val="fr-CA"/>
        </w:rPr>
        <w:t xml:space="preserve"> </w:t>
      </w:r>
      <w:r>
        <w:rPr>
          <w:rFonts w:cs="Times New Roman"/>
          <w:lang w:val="fr-CA"/>
        </w:rPr>
        <w:t>p. </w:t>
      </w:r>
      <w:r w:rsidRPr="007B5EFE">
        <w:rPr>
          <w:rFonts w:cs="Times New Roman"/>
          <w:lang w:val="fr-CA"/>
        </w:rPr>
        <w:t>565. C</w:t>
      </w:r>
      <w:r>
        <w:rPr>
          <w:rFonts w:cs="Times New Roman"/>
          <w:lang w:val="fr-CA"/>
        </w:rPr>
        <w:t>’</w:t>
      </w:r>
      <w:r w:rsidRPr="007B5EFE">
        <w:rPr>
          <w:rFonts w:cs="Times New Roman"/>
          <w:lang w:val="fr-CA"/>
        </w:rPr>
        <w:t xml:space="preserve">est également ce que reflète le test applicable à la séparation des accusations prévue au </w:t>
      </w:r>
      <w:r>
        <w:rPr>
          <w:rFonts w:cs="Times New Roman"/>
          <w:lang w:val="fr-CA"/>
        </w:rPr>
        <w:t>par. </w:t>
      </w:r>
      <w:r w:rsidRPr="007B5EFE">
        <w:rPr>
          <w:rFonts w:cs="Times New Roman"/>
          <w:lang w:val="fr-CA"/>
        </w:rPr>
        <w:t xml:space="preserve">591(3) du </w:t>
      </w:r>
      <w:r w:rsidRPr="007B5EFE">
        <w:rPr>
          <w:rFonts w:cs="Times New Roman"/>
          <w:i/>
          <w:lang w:val="fr-CA"/>
        </w:rPr>
        <w:t>C</w:t>
      </w:r>
      <w:r w:rsidR="007F702C">
        <w:rPr>
          <w:rFonts w:cs="Times New Roman"/>
          <w:i/>
          <w:lang w:val="fr-CA"/>
        </w:rPr>
        <w:t>ode criminel</w:t>
      </w:r>
      <w:r>
        <w:rPr>
          <w:rFonts w:cs="Times New Roman"/>
          <w:i/>
          <w:lang w:val="fr-CA"/>
        </w:rPr>
        <w:t> </w:t>
      </w:r>
      <w:r w:rsidRPr="007F702C">
        <w:rPr>
          <w:rFonts w:cs="Times New Roman"/>
          <w:lang w:val="fr-CA"/>
        </w:rPr>
        <w:t xml:space="preserve">: </w:t>
      </w:r>
      <w:r w:rsidRPr="007B5EFE">
        <w:rPr>
          <w:rFonts w:cs="Times New Roman"/>
          <w:lang w:val="fr-CA"/>
        </w:rPr>
        <w:t xml:space="preserve">voir </w:t>
      </w:r>
      <w:r w:rsidRPr="007B5EFE">
        <w:rPr>
          <w:rFonts w:cs="Times New Roman"/>
          <w:i/>
          <w:lang w:val="fr-CA"/>
        </w:rPr>
        <w:t>Last</w:t>
      </w:r>
      <w:r w:rsidRPr="007B5EFE">
        <w:rPr>
          <w:rFonts w:cs="Times New Roman"/>
          <w:lang w:val="fr-CA"/>
        </w:rPr>
        <w:t xml:space="preserve">, </w:t>
      </w:r>
      <w:r>
        <w:rPr>
          <w:rFonts w:cs="Times New Roman"/>
          <w:lang w:val="fr-CA"/>
        </w:rPr>
        <w:t>par. </w:t>
      </w:r>
      <w:r w:rsidRPr="007B5EFE">
        <w:rPr>
          <w:rFonts w:cs="Times New Roman"/>
          <w:lang w:val="fr-CA"/>
        </w:rPr>
        <w:t>18.</w:t>
      </w:r>
    </w:p>
    <w:p w:rsidR="00132FB1" w:rsidRPr="007B5EFE" w:rsidRDefault="00132FB1" w:rsidP="00073901">
      <w:pPr>
        <w:pStyle w:val="ParaNoNdepar-AltN"/>
        <w:widowControl w:val="0"/>
        <w:rPr>
          <w:rFonts w:cs="Times New Roman"/>
          <w:lang w:val="fr-CA"/>
        </w:rPr>
      </w:pPr>
      <w:r w:rsidRPr="007B5EFE">
        <w:rPr>
          <w:rFonts w:cs="Times New Roman"/>
          <w:lang w:val="fr-CA"/>
        </w:rPr>
        <w:t>En fin de compte, suivant l</w:t>
      </w:r>
      <w:r>
        <w:rPr>
          <w:rFonts w:cs="Times New Roman"/>
          <w:lang w:val="fr-CA"/>
        </w:rPr>
        <w:t>’</w:t>
      </w:r>
      <w:r w:rsidRPr="007B5EFE">
        <w:rPr>
          <w:rFonts w:cs="Times New Roman"/>
          <w:lang w:val="fr-CA"/>
        </w:rPr>
        <w:t>approche fonctionnelle de ce volet, il ne s</w:t>
      </w:r>
      <w:r>
        <w:rPr>
          <w:rFonts w:cs="Times New Roman"/>
          <w:lang w:val="fr-CA"/>
        </w:rPr>
        <w:t>’</w:t>
      </w:r>
      <w:r w:rsidRPr="007B5EFE">
        <w:rPr>
          <w:rFonts w:cs="Times New Roman"/>
          <w:lang w:val="fr-CA"/>
        </w:rPr>
        <w:t>agit pas de savoir si l</w:t>
      </w:r>
      <w:r>
        <w:rPr>
          <w:rFonts w:cs="Times New Roman"/>
          <w:lang w:val="fr-CA"/>
        </w:rPr>
        <w:t>’</w:t>
      </w:r>
      <w:r w:rsidRPr="007B5EFE">
        <w:rPr>
          <w:rFonts w:cs="Times New Roman"/>
          <w:lang w:val="fr-CA"/>
        </w:rPr>
        <w:t>utilisation d</w:t>
      </w:r>
      <w:r>
        <w:rPr>
          <w:rFonts w:cs="Times New Roman"/>
          <w:lang w:val="fr-CA"/>
        </w:rPr>
        <w:t>’</w:t>
      </w:r>
      <w:r w:rsidRPr="007B5EFE">
        <w:rPr>
          <w:rFonts w:cs="Times New Roman"/>
          <w:lang w:val="fr-CA"/>
        </w:rPr>
        <w:t>une même formule prescrite est possible sur le plan technique, mais plutôt de savoir s</w:t>
      </w:r>
      <w:r>
        <w:rPr>
          <w:rFonts w:cs="Times New Roman"/>
          <w:lang w:val="fr-CA"/>
        </w:rPr>
        <w:t>’</w:t>
      </w:r>
      <w:r w:rsidRPr="007B5EFE">
        <w:rPr>
          <w:rFonts w:cs="Times New Roman"/>
          <w:lang w:val="fr-CA"/>
        </w:rPr>
        <w:t>il existe un lien factuel suffisant entre les accusations relatives à des infractions provinciales et celles relatives à des infractions criminelles punissables sur déclaration de culpabilité par procédure sommaire. Conclure autrement reviendrait à assujettir la possibilité de tenir des procès conjoints à la formule qu</w:t>
      </w:r>
      <w:r>
        <w:rPr>
          <w:rFonts w:cs="Times New Roman"/>
          <w:lang w:val="fr-CA"/>
        </w:rPr>
        <w:t>’</w:t>
      </w:r>
      <w:r w:rsidRPr="007B5EFE">
        <w:rPr>
          <w:rFonts w:cs="Times New Roman"/>
          <w:lang w:val="fr-CA"/>
        </w:rPr>
        <w:t>une province donnée choisit d</w:t>
      </w:r>
      <w:r>
        <w:rPr>
          <w:rFonts w:cs="Times New Roman"/>
          <w:lang w:val="fr-CA"/>
        </w:rPr>
        <w:t>’</w:t>
      </w:r>
      <w:r w:rsidRPr="007B5EFE">
        <w:rPr>
          <w:rFonts w:cs="Times New Roman"/>
          <w:lang w:val="fr-CA"/>
        </w:rPr>
        <w:t>appliquer aux infractions provinciales, entraînant ainsi un résultat arbitraire où la forme l</w:t>
      </w:r>
      <w:r>
        <w:rPr>
          <w:rFonts w:cs="Times New Roman"/>
          <w:lang w:val="fr-CA"/>
        </w:rPr>
        <w:t>’</w:t>
      </w:r>
      <w:r w:rsidRPr="007B5EFE">
        <w:rPr>
          <w:rFonts w:cs="Times New Roman"/>
          <w:lang w:val="fr-CA"/>
        </w:rPr>
        <w:t>emporte manifestement sur le fond.</w:t>
      </w:r>
    </w:p>
    <w:p w:rsidR="00132FB1" w:rsidRPr="007B5EFE" w:rsidRDefault="00132FB1" w:rsidP="00073901">
      <w:pPr>
        <w:pStyle w:val="Title3LevelTitre3Niveau"/>
        <w:widowControl w:val="0"/>
        <w:rPr>
          <w:rFonts w:cs="Times New Roman"/>
          <w:lang w:val="fr-CA"/>
        </w:rPr>
      </w:pPr>
      <w:r w:rsidRPr="007B5EFE">
        <w:rPr>
          <w:rFonts w:cs="Times New Roman"/>
          <w:lang w:val="fr-CA"/>
        </w:rPr>
        <w:t>Les intérêts de la justice</w:t>
      </w:r>
    </w:p>
    <w:p w:rsidR="00132FB1" w:rsidRPr="007B5EFE" w:rsidRDefault="00132FB1" w:rsidP="00073901">
      <w:pPr>
        <w:pStyle w:val="ParaNoNdepar-AltN"/>
        <w:widowControl w:val="0"/>
        <w:rPr>
          <w:rFonts w:cs="Times New Roman"/>
          <w:lang w:val="fr-CA"/>
        </w:rPr>
      </w:pPr>
      <w:r w:rsidRPr="007B5EFE">
        <w:rPr>
          <w:rFonts w:cs="Times New Roman"/>
          <w:lang w:val="fr-CA"/>
        </w:rPr>
        <w:t>Selon le second volet du test énoncé dans l</w:t>
      </w:r>
      <w:r>
        <w:rPr>
          <w:rFonts w:cs="Times New Roman"/>
          <w:lang w:val="fr-CA"/>
        </w:rPr>
        <w:t>’</w:t>
      </w:r>
      <w:r w:rsidRPr="007B5EFE">
        <w:rPr>
          <w:rFonts w:cs="Times New Roman"/>
          <w:lang w:val="fr-CA"/>
        </w:rPr>
        <w:t xml:space="preserve">arrêt </w:t>
      </w:r>
      <w:r w:rsidRPr="007B5EFE">
        <w:rPr>
          <w:rFonts w:cs="Times New Roman"/>
          <w:i/>
          <w:lang w:val="fr-CA"/>
        </w:rPr>
        <w:t>Clunas</w:t>
      </w:r>
      <w:r w:rsidRPr="007B5EFE">
        <w:rPr>
          <w:rFonts w:cs="Times New Roman"/>
          <w:lang w:val="fr-CA"/>
        </w:rPr>
        <w:t>,</w:t>
      </w:r>
      <w:r w:rsidRPr="007B5EFE">
        <w:rPr>
          <w:rFonts w:cs="Times New Roman"/>
          <w:i/>
          <w:lang w:val="fr-CA"/>
        </w:rPr>
        <w:t xml:space="preserve"> </w:t>
      </w:r>
      <w:r w:rsidRPr="007B5EFE">
        <w:rPr>
          <w:rFonts w:cs="Times New Roman"/>
          <w:lang w:val="fr-CA"/>
        </w:rPr>
        <w:t xml:space="preserve">le procès conjoint </w:t>
      </w:r>
      <w:r w:rsidRPr="007B5EFE">
        <w:rPr>
          <w:rFonts w:cs="Times New Roman"/>
          <w:lang w:val="fr-CA"/>
        </w:rPr>
        <w:lastRenderedPageBreak/>
        <w:t>doit servir « les intérêts de la justice »</w:t>
      </w:r>
      <w:r>
        <w:rPr>
          <w:rFonts w:cs="Times New Roman"/>
          <w:lang w:val="fr-CA"/>
        </w:rPr>
        <w:t> :</w:t>
      </w:r>
      <w:r w:rsidRPr="007B5EFE">
        <w:rPr>
          <w:rFonts w:cs="Times New Roman"/>
          <w:lang w:val="fr-CA"/>
        </w:rPr>
        <w:t xml:space="preserve"> </w:t>
      </w:r>
      <w:r>
        <w:rPr>
          <w:rFonts w:cs="Times New Roman"/>
          <w:lang w:val="fr-CA"/>
        </w:rPr>
        <w:t>p. </w:t>
      </w:r>
      <w:r w:rsidRPr="007B5EFE">
        <w:rPr>
          <w:rFonts w:cs="Times New Roman"/>
          <w:lang w:val="fr-CA"/>
        </w:rPr>
        <w:t xml:space="preserve">610. Cette exigence reprend le libellé du </w:t>
      </w:r>
      <w:r>
        <w:rPr>
          <w:rFonts w:cs="Times New Roman"/>
          <w:lang w:val="fr-CA"/>
        </w:rPr>
        <w:t>par. </w:t>
      </w:r>
      <w:r w:rsidRPr="007B5EFE">
        <w:rPr>
          <w:rFonts w:cs="Times New Roman"/>
          <w:lang w:val="fr-CA"/>
        </w:rPr>
        <w:t xml:space="preserve">591(3) du </w:t>
      </w:r>
      <w:r w:rsidRPr="007B5EFE">
        <w:rPr>
          <w:rFonts w:cs="Times New Roman"/>
          <w:i/>
          <w:lang w:val="fr-CA"/>
        </w:rPr>
        <w:t>C</w:t>
      </w:r>
      <w:r w:rsidR="007F702C">
        <w:rPr>
          <w:rFonts w:cs="Times New Roman"/>
          <w:i/>
          <w:lang w:val="fr-CA"/>
        </w:rPr>
        <w:t>ode criminel</w:t>
      </w:r>
      <w:r w:rsidRPr="007B5EFE">
        <w:rPr>
          <w:rFonts w:cs="Times New Roman"/>
          <w:lang w:val="fr-CA"/>
        </w:rPr>
        <w:t>, lequel régit la séparation des accusations</w:t>
      </w:r>
      <w:r>
        <w:rPr>
          <w:rFonts w:cs="Times New Roman"/>
          <w:lang w:val="fr-CA"/>
        </w:rPr>
        <w:t> :</w:t>
      </w:r>
    </w:p>
    <w:p w:rsidR="00132FB1" w:rsidRPr="007B5EFE" w:rsidRDefault="00132FB1" w:rsidP="00073901">
      <w:pPr>
        <w:pStyle w:val="Citation-AltC"/>
        <w:widowControl w:val="0"/>
        <w:spacing w:after="240"/>
        <w:ind w:hanging="1166"/>
        <w:contextualSpacing w:val="0"/>
        <w:rPr>
          <w:lang w:val="fr-CA"/>
        </w:rPr>
      </w:pPr>
      <w:r>
        <w:rPr>
          <w:b/>
          <w:lang w:val="fr-CA"/>
        </w:rPr>
        <w:tab/>
      </w:r>
      <w:r w:rsidRPr="007B5EFE">
        <w:rPr>
          <w:b/>
          <w:lang w:val="fr-CA"/>
        </w:rPr>
        <w:t>(3)</w:t>
      </w:r>
      <w:r w:rsidRPr="007B5EFE">
        <w:rPr>
          <w:lang w:val="fr-CA"/>
        </w:rPr>
        <w:t> Lorsqu</w:t>
      </w:r>
      <w:r>
        <w:rPr>
          <w:lang w:val="fr-CA"/>
        </w:rPr>
        <w:t>’</w:t>
      </w:r>
      <w:r w:rsidRPr="007B5EFE">
        <w:rPr>
          <w:lang w:val="fr-CA"/>
        </w:rPr>
        <w:t>il est convaincu que les intérêts de la justice l</w:t>
      </w:r>
      <w:r>
        <w:rPr>
          <w:lang w:val="fr-CA"/>
        </w:rPr>
        <w:t>’</w:t>
      </w:r>
      <w:r w:rsidRPr="007B5EFE">
        <w:rPr>
          <w:lang w:val="fr-CA"/>
        </w:rPr>
        <w:t>exigent, le tribunal peut ordonner</w:t>
      </w:r>
      <w:r>
        <w:rPr>
          <w:lang w:val="fr-CA"/>
        </w:rPr>
        <w:t> :</w:t>
      </w:r>
    </w:p>
    <w:p w:rsidR="00132FB1" w:rsidRPr="007B5EFE" w:rsidRDefault="00132FB1" w:rsidP="00073901">
      <w:pPr>
        <w:pStyle w:val="Citation-AltC"/>
        <w:widowControl w:val="0"/>
        <w:spacing w:after="240"/>
        <w:ind w:left="1440" w:hanging="1440"/>
        <w:contextualSpacing w:val="0"/>
        <w:rPr>
          <w:lang w:val="fr-CA"/>
        </w:rPr>
      </w:pPr>
      <w:r>
        <w:rPr>
          <w:b/>
          <w:iCs/>
          <w:lang w:val="fr-CA"/>
        </w:rPr>
        <w:tab/>
      </w:r>
      <w:r w:rsidRPr="007B5EFE">
        <w:rPr>
          <w:b/>
          <w:iCs/>
          <w:lang w:val="fr-CA"/>
        </w:rPr>
        <w:t>a</w:t>
      </w:r>
      <w:r w:rsidRPr="007B5EFE">
        <w:rPr>
          <w:lang w:val="fr-CA"/>
        </w:rPr>
        <w:t>) que l</w:t>
      </w:r>
      <w:r>
        <w:rPr>
          <w:lang w:val="fr-CA"/>
        </w:rPr>
        <w:t>’</w:t>
      </w:r>
      <w:r w:rsidRPr="007B5EFE">
        <w:rPr>
          <w:lang w:val="fr-CA"/>
        </w:rPr>
        <w:t>accusé ou le défendeur subisse son procès séparément sur un ou plusieurs chefs d</w:t>
      </w:r>
      <w:r>
        <w:rPr>
          <w:lang w:val="fr-CA"/>
        </w:rPr>
        <w:t>’</w:t>
      </w:r>
      <w:r w:rsidRPr="007B5EFE">
        <w:rPr>
          <w:lang w:val="fr-CA"/>
        </w:rPr>
        <w:t xml:space="preserve">accusation; </w:t>
      </w:r>
    </w:p>
    <w:p w:rsidR="00132FB1" w:rsidRPr="007B5EFE" w:rsidRDefault="00132FB1" w:rsidP="00073901">
      <w:pPr>
        <w:pStyle w:val="Citation-AltC"/>
        <w:widowControl w:val="0"/>
        <w:ind w:left="1440" w:hanging="1440"/>
        <w:rPr>
          <w:lang w:val="fr-CA"/>
        </w:rPr>
      </w:pPr>
      <w:r>
        <w:rPr>
          <w:b/>
          <w:iCs/>
          <w:lang w:val="fr-CA"/>
        </w:rPr>
        <w:tab/>
      </w:r>
      <w:r w:rsidRPr="007B5EFE">
        <w:rPr>
          <w:b/>
          <w:iCs/>
          <w:lang w:val="fr-CA"/>
        </w:rPr>
        <w:t>b</w:t>
      </w:r>
      <w:r w:rsidRPr="007B5EFE">
        <w:rPr>
          <w:lang w:val="fr-CA"/>
        </w:rPr>
        <w:t>) s</w:t>
      </w:r>
      <w:r>
        <w:rPr>
          <w:lang w:val="fr-CA"/>
        </w:rPr>
        <w:t>’</w:t>
      </w:r>
      <w:r w:rsidRPr="007B5EFE">
        <w:rPr>
          <w:lang w:val="fr-CA"/>
        </w:rPr>
        <w:t>il y a plusieurs accusés ou défendeurs, qu</w:t>
      </w:r>
      <w:r>
        <w:rPr>
          <w:lang w:val="fr-CA"/>
        </w:rPr>
        <w:t>’</w:t>
      </w:r>
      <w:r w:rsidRPr="007B5EFE">
        <w:rPr>
          <w:lang w:val="fr-CA"/>
        </w:rPr>
        <w:t>ils subissent leur procès séparément sur un ou plusieurs chefs d</w:t>
      </w:r>
      <w:r>
        <w:rPr>
          <w:lang w:val="fr-CA"/>
        </w:rPr>
        <w:t>’</w:t>
      </w:r>
      <w:r w:rsidRPr="007B5EFE">
        <w:rPr>
          <w:lang w:val="fr-CA"/>
        </w:rPr>
        <w:t>accusation.</w:t>
      </w:r>
    </w:p>
    <w:p w:rsidR="00132FB1" w:rsidRPr="007B5EFE" w:rsidRDefault="00132FB1" w:rsidP="00073901">
      <w:pPr>
        <w:pStyle w:val="ParaNoNdepar-AltN"/>
        <w:widowControl w:val="0"/>
        <w:rPr>
          <w:rFonts w:cs="Times New Roman"/>
          <w:lang w:val="fr-CA"/>
        </w:rPr>
      </w:pPr>
      <w:r w:rsidRPr="007B5EFE">
        <w:rPr>
          <w:rFonts w:cs="Times New Roman"/>
          <w:lang w:val="fr-CA"/>
        </w:rPr>
        <w:t>Lorsqu</w:t>
      </w:r>
      <w:r>
        <w:rPr>
          <w:rFonts w:cs="Times New Roman"/>
          <w:lang w:val="fr-CA"/>
        </w:rPr>
        <w:t>’</w:t>
      </w:r>
      <w:r w:rsidRPr="007B5EFE">
        <w:rPr>
          <w:rFonts w:cs="Times New Roman"/>
          <w:lang w:val="fr-CA"/>
        </w:rPr>
        <w:t>ils se penchent sur l</w:t>
      </w:r>
      <w:r>
        <w:rPr>
          <w:rFonts w:cs="Times New Roman"/>
          <w:lang w:val="fr-CA"/>
        </w:rPr>
        <w:t>’</w:t>
      </w:r>
      <w:r w:rsidRPr="007B5EFE">
        <w:rPr>
          <w:rFonts w:cs="Times New Roman"/>
          <w:lang w:val="fr-CA"/>
        </w:rPr>
        <w:t>opportunité de réunir ou de séparer des accusations, les tribunaux doivent mettre en balance les avantages et les inconvénients d</w:t>
      </w:r>
      <w:r>
        <w:rPr>
          <w:rFonts w:cs="Times New Roman"/>
          <w:lang w:val="fr-CA"/>
        </w:rPr>
        <w:t>’</w:t>
      </w:r>
      <w:r w:rsidRPr="007B5EFE">
        <w:rPr>
          <w:rFonts w:cs="Times New Roman"/>
          <w:lang w:val="fr-CA"/>
        </w:rPr>
        <w:t>un procès conjoint. À mon avis, les éléments pris en compte relativement à la séparation s</w:t>
      </w:r>
      <w:r>
        <w:rPr>
          <w:rFonts w:cs="Times New Roman"/>
          <w:lang w:val="fr-CA"/>
        </w:rPr>
        <w:t>’</w:t>
      </w:r>
      <w:r w:rsidRPr="007B5EFE">
        <w:rPr>
          <w:rFonts w:cs="Times New Roman"/>
          <w:lang w:val="fr-CA"/>
        </w:rPr>
        <w:t>appliquent tout autant à la réunion. Ainsi que l</w:t>
      </w:r>
      <w:r>
        <w:rPr>
          <w:rFonts w:cs="Times New Roman"/>
          <w:lang w:val="fr-CA"/>
        </w:rPr>
        <w:t>’</w:t>
      </w:r>
      <w:r w:rsidRPr="007B5EFE">
        <w:rPr>
          <w:rFonts w:cs="Times New Roman"/>
          <w:lang w:val="fr-CA"/>
        </w:rPr>
        <w:t>a expliqué la Cour dans l</w:t>
      </w:r>
      <w:r>
        <w:rPr>
          <w:rFonts w:cs="Times New Roman"/>
          <w:lang w:val="fr-CA"/>
        </w:rPr>
        <w:t>’</w:t>
      </w:r>
      <w:r w:rsidRPr="007B5EFE">
        <w:rPr>
          <w:rFonts w:cs="Times New Roman"/>
          <w:lang w:val="fr-CA"/>
        </w:rPr>
        <w:t xml:space="preserve">arrêt </w:t>
      </w:r>
      <w:r w:rsidRPr="007B5EFE">
        <w:rPr>
          <w:rFonts w:cs="Times New Roman"/>
          <w:i/>
          <w:lang w:val="fr-CA"/>
        </w:rPr>
        <w:t>Last</w:t>
      </w:r>
      <w:r w:rsidRPr="007B5EFE">
        <w:rPr>
          <w:rFonts w:cs="Times New Roman"/>
          <w:lang w:val="fr-CA"/>
        </w:rPr>
        <w:t xml:space="preserve">, </w:t>
      </w:r>
      <w:r>
        <w:rPr>
          <w:rFonts w:cs="Times New Roman"/>
          <w:lang w:val="fr-CA"/>
        </w:rPr>
        <w:t>par. </w:t>
      </w:r>
      <w:r w:rsidRPr="007B5EFE">
        <w:rPr>
          <w:rFonts w:cs="Times New Roman"/>
          <w:lang w:val="fr-CA"/>
        </w:rPr>
        <w:t>18, ces éléments peuvent comprendre les facteurs qui figurent dans la liste non exhaustive que voici</w:t>
      </w:r>
      <w:r>
        <w:rPr>
          <w:rFonts w:cs="Times New Roman"/>
          <w:lang w:val="fr-CA"/>
        </w:rPr>
        <w:t> :</w:t>
      </w:r>
      <w:r w:rsidRPr="007B5EFE">
        <w:rPr>
          <w:rFonts w:cs="Times New Roman"/>
          <w:lang w:val="fr-CA"/>
        </w:rPr>
        <w:t xml:space="preserve"> </w:t>
      </w:r>
    </w:p>
    <w:p w:rsidR="00132FB1" w:rsidRPr="007B5EFE" w:rsidRDefault="00132FB1" w:rsidP="00073901">
      <w:pPr>
        <w:pStyle w:val="Citation-AltC"/>
        <w:widowControl w:val="0"/>
        <w:ind w:hanging="1166"/>
        <w:rPr>
          <w:lang w:val="fr-CA"/>
        </w:rPr>
      </w:pPr>
      <w:r w:rsidRPr="007B5EFE">
        <w:rPr>
          <w:lang w:val="fr-CA"/>
        </w:rPr>
        <w:tab/>
        <w:t>. . . la complexité de la preuve, la question de savoir si l</w:t>
      </w:r>
      <w:r>
        <w:rPr>
          <w:lang w:val="fr-CA"/>
        </w:rPr>
        <w:t>’</w:t>
      </w:r>
      <w:r w:rsidRPr="007B5EFE">
        <w:rPr>
          <w:lang w:val="fr-CA"/>
        </w:rPr>
        <w:t>accusé entend témoigner à l</w:t>
      </w:r>
      <w:r>
        <w:rPr>
          <w:lang w:val="fr-CA"/>
        </w:rPr>
        <w:t>’</w:t>
      </w:r>
      <w:r w:rsidRPr="007B5EFE">
        <w:rPr>
          <w:lang w:val="fr-CA"/>
        </w:rPr>
        <w:t>égard d</w:t>
      </w:r>
      <w:r>
        <w:rPr>
          <w:lang w:val="fr-CA"/>
        </w:rPr>
        <w:t>’</w:t>
      </w:r>
      <w:r w:rsidRPr="007B5EFE">
        <w:rPr>
          <w:lang w:val="fr-CA"/>
        </w:rPr>
        <w:t>un chef d</w:t>
      </w:r>
      <w:r>
        <w:rPr>
          <w:lang w:val="fr-CA"/>
        </w:rPr>
        <w:t>’</w:t>
      </w:r>
      <w:r w:rsidRPr="007B5EFE">
        <w:rPr>
          <w:lang w:val="fr-CA"/>
        </w:rPr>
        <w:t>accusation, mais pas à l</w:t>
      </w:r>
      <w:r>
        <w:rPr>
          <w:lang w:val="fr-CA"/>
        </w:rPr>
        <w:t>’</w:t>
      </w:r>
      <w:r w:rsidRPr="007B5EFE">
        <w:rPr>
          <w:lang w:val="fr-CA"/>
        </w:rPr>
        <w:t>égard d</w:t>
      </w:r>
      <w:r>
        <w:rPr>
          <w:lang w:val="fr-CA"/>
        </w:rPr>
        <w:t>’</w:t>
      </w:r>
      <w:r w:rsidRPr="007B5EFE">
        <w:rPr>
          <w:lang w:val="fr-CA"/>
        </w:rPr>
        <w:t>un autre, la possibilité de verdicts incompatibles, le désir d</w:t>
      </w:r>
      <w:r>
        <w:rPr>
          <w:lang w:val="fr-CA"/>
        </w:rPr>
        <w:t>’</w:t>
      </w:r>
      <w:r w:rsidRPr="007B5EFE">
        <w:rPr>
          <w:lang w:val="fr-CA"/>
        </w:rPr>
        <w:t>éviter [la] multiplicité des instances, l</w:t>
      </w:r>
      <w:r>
        <w:rPr>
          <w:lang w:val="fr-CA"/>
        </w:rPr>
        <w:t>’</w:t>
      </w:r>
      <w:r w:rsidRPr="007B5EFE">
        <w:rPr>
          <w:lang w:val="fr-CA"/>
        </w:rPr>
        <w:t>utilisation de la preuve de faits similaires au procès, la durée du procès compte tenu de la preuve à produi</w:t>
      </w:r>
      <w:r>
        <w:rPr>
          <w:lang w:val="fr-CA"/>
        </w:rPr>
        <w:t>r</w:t>
      </w:r>
      <w:r w:rsidRPr="007B5EFE">
        <w:rPr>
          <w:lang w:val="fr-CA"/>
        </w:rPr>
        <w:t>e, le préjudice que l</w:t>
      </w:r>
      <w:r>
        <w:rPr>
          <w:lang w:val="fr-CA"/>
        </w:rPr>
        <w:t>’</w:t>
      </w:r>
      <w:r w:rsidRPr="007B5EFE">
        <w:rPr>
          <w:lang w:val="fr-CA"/>
        </w:rPr>
        <w:t>accusé risque de subir quant au droit d</w:t>
      </w:r>
      <w:r>
        <w:rPr>
          <w:lang w:val="fr-CA"/>
        </w:rPr>
        <w:t>’</w:t>
      </w:r>
      <w:r w:rsidRPr="007B5EFE">
        <w:rPr>
          <w:lang w:val="fr-CA"/>
        </w:rPr>
        <w:t>être jugé dans un délai raisonnable et l</w:t>
      </w:r>
      <w:r>
        <w:rPr>
          <w:lang w:val="fr-CA"/>
        </w:rPr>
        <w:t>’</w:t>
      </w:r>
      <w:r w:rsidRPr="007B5EFE">
        <w:rPr>
          <w:lang w:val="fr-CA"/>
        </w:rPr>
        <w:t>existence de moyens de défense diamétralement opposés entre coaccusés</w:t>
      </w:r>
      <w:r w:rsidR="00D21376">
        <w:rPr>
          <w:lang w:val="fr-CA"/>
        </w:rPr>
        <w:t> </w:t>
      </w:r>
      <w:r w:rsidRPr="007B5EFE">
        <w:rPr>
          <w:lang w:val="fr-CA"/>
        </w:rPr>
        <w:t xml:space="preserve">. . . </w:t>
      </w:r>
    </w:p>
    <w:p w:rsidR="00132FB1" w:rsidRPr="007B5EFE" w:rsidRDefault="00132FB1" w:rsidP="00073901">
      <w:pPr>
        <w:pStyle w:val="ParaNoNdepar-AltN"/>
        <w:widowControl w:val="0"/>
        <w:rPr>
          <w:rFonts w:cs="Times New Roman"/>
          <w:lang w:val="fr-CA"/>
        </w:rPr>
      </w:pPr>
      <w:r w:rsidRPr="007B5EFE">
        <w:rPr>
          <w:rFonts w:cs="Times New Roman"/>
          <w:lang w:val="fr-CA"/>
        </w:rPr>
        <w:t>Le consentement de l</w:t>
      </w:r>
      <w:r>
        <w:rPr>
          <w:rFonts w:cs="Times New Roman"/>
          <w:lang w:val="fr-CA"/>
        </w:rPr>
        <w:t>’</w:t>
      </w:r>
      <w:r w:rsidRPr="007B5EFE">
        <w:rPr>
          <w:rFonts w:cs="Times New Roman"/>
          <w:lang w:val="fr-CA"/>
        </w:rPr>
        <w:t>accusé est aussi un facteur pertinent dans l</w:t>
      </w:r>
      <w:r>
        <w:rPr>
          <w:rFonts w:cs="Times New Roman"/>
          <w:lang w:val="fr-CA"/>
        </w:rPr>
        <w:t>’</w:t>
      </w:r>
      <w:r w:rsidRPr="007B5EFE">
        <w:rPr>
          <w:rFonts w:cs="Times New Roman"/>
          <w:lang w:val="fr-CA"/>
        </w:rPr>
        <w:t>évaluation des avantages et des inconvénients d</w:t>
      </w:r>
      <w:r>
        <w:rPr>
          <w:rFonts w:cs="Times New Roman"/>
          <w:lang w:val="fr-CA"/>
        </w:rPr>
        <w:t>’</w:t>
      </w:r>
      <w:r w:rsidRPr="007B5EFE">
        <w:rPr>
          <w:rFonts w:cs="Times New Roman"/>
          <w:lang w:val="fr-CA"/>
        </w:rPr>
        <w:t>un procès conjoint, mais je tiens à préciser que la décision de tenir ou non un tel procès appartient au tribun</w:t>
      </w:r>
      <w:r>
        <w:rPr>
          <w:rFonts w:cs="Times New Roman"/>
          <w:lang w:val="fr-CA"/>
        </w:rPr>
        <w:t>al. </w:t>
      </w:r>
      <w:r w:rsidRPr="007B5EFE">
        <w:rPr>
          <w:rFonts w:cs="Times New Roman"/>
          <w:lang w:val="fr-CA"/>
        </w:rPr>
        <w:t xml:space="preserve">Le consentement de </w:t>
      </w:r>
      <w:r w:rsidRPr="007B5EFE">
        <w:rPr>
          <w:rFonts w:cs="Times New Roman"/>
          <w:lang w:val="fr-CA"/>
        </w:rPr>
        <w:lastRenderedPageBreak/>
        <w:t>l</w:t>
      </w:r>
      <w:r>
        <w:rPr>
          <w:rFonts w:cs="Times New Roman"/>
          <w:lang w:val="fr-CA"/>
        </w:rPr>
        <w:t>’</w:t>
      </w:r>
      <w:r w:rsidRPr="007B5EFE">
        <w:rPr>
          <w:rFonts w:cs="Times New Roman"/>
          <w:lang w:val="fr-CA"/>
        </w:rPr>
        <w:t>accusé est certes un facteur dont le tribunal doit tenir compte pour arrêter sa décision, mais il n</w:t>
      </w:r>
      <w:r>
        <w:rPr>
          <w:rFonts w:cs="Times New Roman"/>
          <w:lang w:val="fr-CA"/>
        </w:rPr>
        <w:t>’</w:t>
      </w:r>
      <w:r w:rsidRPr="007B5EFE">
        <w:rPr>
          <w:rFonts w:cs="Times New Roman"/>
          <w:lang w:val="fr-CA"/>
        </w:rPr>
        <w:t>est pas en soi déterminant. En dernière analyse, si le tribunal estime que le préjudice résultant de la tenue d</w:t>
      </w:r>
      <w:r>
        <w:rPr>
          <w:rFonts w:cs="Times New Roman"/>
          <w:lang w:val="fr-CA"/>
        </w:rPr>
        <w:t>’</w:t>
      </w:r>
      <w:r w:rsidRPr="007B5EFE">
        <w:rPr>
          <w:rFonts w:cs="Times New Roman"/>
          <w:lang w:val="fr-CA"/>
        </w:rPr>
        <w:t>un procès conjoint l</w:t>
      </w:r>
      <w:r>
        <w:rPr>
          <w:rFonts w:cs="Times New Roman"/>
          <w:lang w:val="fr-CA"/>
        </w:rPr>
        <w:t>’</w:t>
      </w:r>
      <w:r w:rsidRPr="007B5EFE">
        <w:rPr>
          <w:rFonts w:cs="Times New Roman"/>
          <w:lang w:val="fr-CA"/>
        </w:rPr>
        <w:t>emporte sur les avantages, il doit refuser d</w:t>
      </w:r>
      <w:r>
        <w:rPr>
          <w:rFonts w:cs="Times New Roman"/>
          <w:lang w:val="fr-CA"/>
        </w:rPr>
        <w:t>’</w:t>
      </w:r>
      <w:r w:rsidRPr="007B5EFE">
        <w:rPr>
          <w:rFonts w:cs="Times New Roman"/>
          <w:lang w:val="fr-CA"/>
        </w:rPr>
        <w:t xml:space="preserve">en ordonner la tenue. </w:t>
      </w:r>
    </w:p>
    <w:p w:rsidR="00132FB1" w:rsidRPr="007B5EFE" w:rsidRDefault="00132FB1" w:rsidP="00073901">
      <w:pPr>
        <w:pStyle w:val="Title3LevelTitre3Niveau"/>
        <w:widowControl w:val="0"/>
        <w:rPr>
          <w:rFonts w:cs="Times New Roman"/>
        </w:rPr>
      </w:pPr>
      <w:r w:rsidRPr="007B5EFE">
        <w:rPr>
          <w:rFonts w:cs="Times New Roman"/>
        </w:rPr>
        <w:t>Application</w:t>
      </w:r>
    </w:p>
    <w:p w:rsidR="00132FB1" w:rsidRPr="007B5EFE" w:rsidRDefault="00132FB1" w:rsidP="00073901">
      <w:pPr>
        <w:pStyle w:val="ParaNoNdepar-AltN"/>
        <w:widowControl w:val="0"/>
        <w:rPr>
          <w:rFonts w:cs="Times New Roman"/>
          <w:lang w:val="fr-CA"/>
        </w:rPr>
      </w:pPr>
      <w:r w:rsidRPr="007B5EFE">
        <w:rPr>
          <w:rFonts w:cs="Times New Roman"/>
          <w:lang w:val="fr-CA"/>
        </w:rPr>
        <w:t>À partir du moment où il est admis que le juge de la CJO avait compétence pour juger ensemble les accusations en l</w:t>
      </w:r>
      <w:r>
        <w:rPr>
          <w:rFonts w:cs="Times New Roman"/>
          <w:lang w:val="fr-CA"/>
        </w:rPr>
        <w:t>’</w:t>
      </w:r>
      <w:r w:rsidRPr="007B5EFE">
        <w:rPr>
          <w:rFonts w:cs="Times New Roman"/>
          <w:lang w:val="fr-CA"/>
        </w:rPr>
        <w:t>espèce, la question du bien</w:t>
      </w:r>
      <w:r w:rsidR="00140575">
        <w:rPr>
          <w:rFonts w:cs="Times New Roman"/>
          <w:lang w:val="fr-CA"/>
        </w:rPr>
        <w:t>-</w:t>
      </w:r>
      <w:r w:rsidRPr="007B5EFE">
        <w:rPr>
          <w:rFonts w:cs="Times New Roman"/>
          <w:lang w:val="fr-CA"/>
        </w:rPr>
        <w:t>fondé de sa décision de le faire n</w:t>
      </w:r>
      <w:r>
        <w:rPr>
          <w:rFonts w:cs="Times New Roman"/>
          <w:lang w:val="fr-CA"/>
        </w:rPr>
        <w:t>’</w:t>
      </w:r>
      <w:r w:rsidRPr="007B5EFE">
        <w:rPr>
          <w:rFonts w:cs="Times New Roman"/>
          <w:lang w:val="fr-CA"/>
        </w:rPr>
        <w:t>a pas à être débattue dans les circonstances. Puisqu</w:t>
      </w:r>
      <w:r>
        <w:rPr>
          <w:rFonts w:cs="Times New Roman"/>
          <w:lang w:val="fr-CA"/>
        </w:rPr>
        <w:t>’</w:t>
      </w:r>
      <w:r w:rsidRPr="007B5EFE">
        <w:rPr>
          <w:rFonts w:cs="Times New Roman"/>
          <w:lang w:val="fr-CA"/>
        </w:rPr>
        <w:t>elles découlent des mêmes faits, il existe clairement en l</w:t>
      </w:r>
      <w:r>
        <w:rPr>
          <w:rFonts w:cs="Times New Roman"/>
          <w:lang w:val="fr-CA"/>
        </w:rPr>
        <w:t>’</w:t>
      </w:r>
      <w:r w:rsidRPr="007B5EFE">
        <w:rPr>
          <w:rFonts w:cs="Times New Roman"/>
          <w:lang w:val="fr-CA"/>
        </w:rPr>
        <w:t>espèce un lien factuel entre les accusations relatives à des infractions provinciales et celles relatives à des infractions criminelles punissables sur déclaration de culpabilité par procédure sommaire. Par ailleurs, en l</w:t>
      </w:r>
      <w:r>
        <w:rPr>
          <w:rFonts w:cs="Times New Roman"/>
          <w:lang w:val="fr-CA"/>
        </w:rPr>
        <w:t>’</w:t>
      </w:r>
      <w:r w:rsidRPr="007B5EFE">
        <w:rPr>
          <w:rFonts w:cs="Times New Roman"/>
          <w:lang w:val="fr-CA"/>
        </w:rPr>
        <w:t>absence d</w:t>
      </w:r>
      <w:r>
        <w:rPr>
          <w:rFonts w:cs="Times New Roman"/>
          <w:lang w:val="fr-CA"/>
        </w:rPr>
        <w:t>’</w:t>
      </w:r>
      <w:r w:rsidRPr="007B5EFE">
        <w:rPr>
          <w:rFonts w:cs="Times New Roman"/>
          <w:lang w:val="fr-CA"/>
        </w:rPr>
        <w:t>un préjudice et compte tenu du consentement exprès de M. Sciascia, le juge de la CJO pouvait manifestement conclure que la tenue d</w:t>
      </w:r>
      <w:r>
        <w:rPr>
          <w:rFonts w:cs="Times New Roman"/>
          <w:lang w:val="fr-CA"/>
        </w:rPr>
        <w:t>’</w:t>
      </w:r>
      <w:r w:rsidRPr="007B5EFE">
        <w:rPr>
          <w:rFonts w:cs="Times New Roman"/>
          <w:lang w:val="fr-CA"/>
        </w:rPr>
        <w:t xml:space="preserve">un procès conjoint servait les intérêts de la justice. </w:t>
      </w:r>
    </w:p>
    <w:p w:rsidR="00132FB1" w:rsidRPr="007B5EFE" w:rsidRDefault="00132FB1" w:rsidP="00073901">
      <w:pPr>
        <w:pStyle w:val="Title1LevelTitre1Niveau-AltL"/>
        <w:widowControl w:val="0"/>
        <w:rPr>
          <w:rFonts w:cs="Times New Roman"/>
        </w:rPr>
      </w:pPr>
      <w:r w:rsidRPr="007B5EFE">
        <w:rPr>
          <w:rFonts w:cs="Times New Roman"/>
        </w:rPr>
        <w:t>Conclusion</w:t>
      </w:r>
    </w:p>
    <w:p w:rsidR="00132FB1" w:rsidRPr="007B5EFE" w:rsidRDefault="00132FB1" w:rsidP="00073901">
      <w:pPr>
        <w:pStyle w:val="ParaNoNdepar-AltN"/>
        <w:widowControl w:val="0"/>
        <w:rPr>
          <w:rFonts w:cs="Times New Roman"/>
          <w:lang w:val="fr-CA"/>
        </w:rPr>
      </w:pPr>
      <w:r w:rsidRPr="007B5EFE">
        <w:rPr>
          <w:rFonts w:cs="Times New Roman"/>
          <w:lang w:val="fr-CA"/>
        </w:rPr>
        <w:t>À la lumière de l</w:t>
      </w:r>
      <w:r>
        <w:rPr>
          <w:rFonts w:cs="Times New Roman"/>
          <w:lang w:val="fr-CA"/>
        </w:rPr>
        <w:t>’</w:t>
      </w:r>
      <w:r w:rsidRPr="007B5EFE">
        <w:rPr>
          <w:rFonts w:cs="Times New Roman"/>
          <w:lang w:val="fr-CA"/>
        </w:rPr>
        <w:t>analyse qui précède, je conclus que le juge de la CJO n</w:t>
      </w:r>
      <w:r>
        <w:rPr>
          <w:rFonts w:cs="Times New Roman"/>
          <w:lang w:val="fr-CA"/>
        </w:rPr>
        <w:t>’</w:t>
      </w:r>
      <w:r w:rsidRPr="007B5EFE">
        <w:rPr>
          <w:rFonts w:cs="Times New Roman"/>
          <w:lang w:val="fr-CA"/>
        </w:rPr>
        <w:t>a pas eu tort de juger conjointement les accusations relatives à des infractions provinciales et celles relatives à des infractions criminelles punissables sur déclaration de culpabilité par procédure sommaire portées contre M. Sciascia. Par conséquent, je rejetterais le pourvoi et confirmerais les déclarations de culpabilité.</w:t>
      </w:r>
    </w:p>
    <w:p w:rsidR="00132FB1" w:rsidRDefault="00D3518B" w:rsidP="00073901">
      <w:pPr>
        <w:pStyle w:val="ParaNoNdepar-AltN"/>
        <w:widowControl w:val="0"/>
        <w:numPr>
          <w:ilvl w:val="0"/>
          <w:numId w:val="0"/>
        </w:numPr>
        <w:tabs>
          <w:tab w:val="left" w:pos="1166"/>
        </w:tabs>
        <w:rPr>
          <w:lang w:val="fr-CA"/>
        </w:rPr>
      </w:pPr>
      <w:r>
        <w:rPr>
          <w:lang w:val="fr-CA"/>
        </w:rPr>
        <w:lastRenderedPageBreak/>
        <w:tab/>
      </w:r>
      <w:r w:rsidR="00132FB1" w:rsidRPr="005C1756">
        <w:rPr>
          <w:lang w:val="fr-CA"/>
        </w:rPr>
        <w:t>Version française des motifs rendus par</w:t>
      </w:r>
    </w:p>
    <w:p w:rsidR="00132FB1" w:rsidRPr="00A22D0D" w:rsidRDefault="00D3518B" w:rsidP="00073901">
      <w:pPr>
        <w:pStyle w:val="ParaNoNdepar-AltN"/>
        <w:widowControl w:val="0"/>
        <w:rPr>
          <w:lang w:val="fr-CA"/>
        </w:rPr>
      </w:pPr>
      <w:r w:rsidRPr="00D3518B">
        <w:rPr>
          <w:rFonts w:cs="Times New Roman"/>
          <w:smallCaps/>
          <w:lang w:val="fr-CA"/>
        </w:rPr>
        <w:t>La juge Côté</w:t>
      </w:r>
      <w:r w:rsidRPr="00D3518B">
        <w:rPr>
          <w:rFonts w:cs="Times New Roman"/>
          <w:lang w:val="fr-CA"/>
        </w:rPr>
        <w:t xml:space="preserve"> </w:t>
      </w:r>
      <w:r w:rsidR="007F702C">
        <w:rPr>
          <w:rFonts w:cs="Times New Roman"/>
          <w:lang w:val="fr-CA"/>
        </w:rPr>
        <w:t>(dissidente)</w:t>
      </w:r>
      <w:r w:rsidRPr="00D3518B">
        <w:rPr>
          <w:rFonts w:cs="Times New Roman"/>
          <w:lang w:val="fr-CA"/>
        </w:rPr>
        <w:t xml:space="preserve"> —</w:t>
      </w:r>
      <w:r>
        <w:rPr>
          <w:rFonts w:cs="Times New Roman"/>
          <w:lang w:val="fr-CA"/>
        </w:rPr>
        <w:t xml:space="preserve"> </w:t>
      </w:r>
      <w:r w:rsidR="00132FB1" w:rsidRPr="00BC48DD">
        <w:rPr>
          <w:rFonts w:cs="Times New Roman"/>
          <w:lang w:val="fr-CA"/>
        </w:rPr>
        <w:t>Lorsqu’une</w:t>
      </w:r>
      <w:r w:rsidR="00132FB1" w:rsidRPr="00A22D0D">
        <w:rPr>
          <w:lang w:val="fr-CA"/>
        </w:rPr>
        <w:t xml:space="preserve"> province a établi un régime procédural applicable aux infractions provinciales et conçu pour fonctionner de manière indépendante et distincte du système de justice pénale canadien, les tribunaux doivent respecter le choix du législateur. Le présent pourvoi soulève la question de savoir si, en l</w:t>
      </w:r>
      <w:r w:rsidR="00132FB1">
        <w:rPr>
          <w:lang w:val="fr-CA"/>
        </w:rPr>
        <w:t>’</w:t>
      </w:r>
      <w:r w:rsidR="00132FB1" w:rsidRPr="00A22D0D">
        <w:rPr>
          <w:lang w:val="fr-CA"/>
        </w:rPr>
        <w:t>absence d</w:t>
      </w:r>
      <w:r w:rsidR="00132FB1">
        <w:rPr>
          <w:lang w:val="fr-CA"/>
        </w:rPr>
        <w:t>’</w:t>
      </w:r>
      <w:r w:rsidR="00132FB1" w:rsidRPr="00A22D0D">
        <w:rPr>
          <w:lang w:val="fr-CA"/>
        </w:rPr>
        <w:t>une habilitation législative claire à cet effet, un juge de la cour provinciale de l</w:t>
      </w:r>
      <w:r w:rsidR="00132FB1">
        <w:rPr>
          <w:lang w:val="fr-CA"/>
        </w:rPr>
        <w:t>’</w:t>
      </w:r>
      <w:r w:rsidR="00132FB1" w:rsidRPr="00A22D0D">
        <w:rPr>
          <w:lang w:val="fr-CA"/>
        </w:rPr>
        <w:t>Ontario a compétence pour procéder à l</w:t>
      </w:r>
      <w:r w:rsidR="00132FB1">
        <w:rPr>
          <w:lang w:val="fr-CA"/>
        </w:rPr>
        <w:t>’</w:t>
      </w:r>
      <w:r w:rsidR="00132FB1" w:rsidRPr="00A22D0D">
        <w:rPr>
          <w:lang w:val="fr-CA"/>
        </w:rPr>
        <w:t>instruction conjointe d</w:t>
      </w:r>
      <w:r w:rsidR="00132FB1">
        <w:rPr>
          <w:lang w:val="fr-CA"/>
        </w:rPr>
        <w:t>’</w:t>
      </w:r>
      <w:r w:rsidR="00132FB1" w:rsidRPr="00A22D0D">
        <w:rPr>
          <w:spacing w:val="-3"/>
          <w:lang w:val="fr-CA"/>
        </w:rPr>
        <w:t xml:space="preserve">infractions </w:t>
      </w:r>
      <w:r w:rsidR="00132FB1" w:rsidRPr="00A3632F">
        <w:rPr>
          <w:rFonts w:cs="Times New Roman"/>
          <w:lang w:val="fr-CA"/>
        </w:rPr>
        <w:t>provinciales</w:t>
      </w:r>
      <w:r w:rsidR="00132FB1" w:rsidRPr="00A22D0D">
        <w:rPr>
          <w:spacing w:val="-3"/>
          <w:lang w:val="fr-CA"/>
        </w:rPr>
        <w:t xml:space="preserve"> d</w:t>
      </w:r>
      <w:r w:rsidR="00132FB1">
        <w:rPr>
          <w:spacing w:val="-3"/>
          <w:lang w:val="fr-CA"/>
        </w:rPr>
        <w:t>’</w:t>
      </w:r>
      <w:r w:rsidR="00132FB1" w:rsidRPr="00A22D0D">
        <w:rPr>
          <w:spacing w:val="-3"/>
          <w:lang w:val="fr-CA"/>
        </w:rPr>
        <w:t>une part et d</w:t>
      </w:r>
      <w:r w:rsidR="00132FB1">
        <w:rPr>
          <w:spacing w:val="-3"/>
          <w:lang w:val="fr-CA"/>
        </w:rPr>
        <w:t>’</w:t>
      </w:r>
      <w:r w:rsidR="00132FB1" w:rsidRPr="00A22D0D">
        <w:rPr>
          <w:spacing w:val="-3"/>
          <w:lang w:val="fr-CA"/>
        </w:rPr>
        <w:t>infractions criminelles punissables</w:t>
      </w:r>
      <w:r w:rsidR="00132FB1" w:rsidRPr="00A22D0D">
        <w:rPr>
          <w:lang w:val="fr-CA"/>
        </w:rPr>
        <w:t xml:space="preserve"> sur déclaration de </w:t>
      </w:r>
      <w:r w:rsidR="00132FB1" w:rsidRPr="003668FE">
        <w:rPr>
          <w:rFonts w:cs="Times New Roman"/>
          <w:lang w:val="fr-CA"/>
        </w:rPr>
        <w:t>culpabilité</w:t>
      </w:r>
      <w:r w:rsidR="00132FB1" w:rsidRPr="00A22D0D">
        <w:rPr>
          <w:lang w:val="fr-CA"/>
        </w:rPr>
        <w:t xml:space="preserve"> par procédure sommaire d</w:t>
      </w:r>
      <w:r w:rsidR="00132FB1">
        <w:rPr>
          <w:lang w:val="fr-CA"/>
        </w:rPr>
        <w:t>’</w:t>
      </w:r>
      <w:r w:rsidR="00132FB1" w:rsidRPr="00A22D0D">
        <w:rPr>
          <w:lang w:val="fr-CA"/>
        </w:rPr>
        <w:t>autre part.</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Je suis d</w:t>
      </w:r>
      <w:r>
        <w:rPr>
          <w:rFonts w:cs="Times New Roman"/>
          <w:lang w:val="fr-CA"/>
        </w:rPr>
        <w:t>’</w:t>
      </w:r>
      <w:r w:rsidRPr="00A22D0D">
        <w:rPr>
          <w:rFonts w:cs="Times New Roman"/>
          <w:lang w:val="fr-CA"/>
        </w:rPr>
        <w:t>avis d</w:t>
      </w:r>
      <w:r>
        <w:rPr>
          <w:rFonts w:cs="Times New Roman"/>
          <w:lang w:val="fr-CA"/>
        </w:rPr>
        <w:t>’</w:t>
      </w:r>
      <w:r w:rsidRPr="00A22D0D">
        <w:rPr>
          <w:rFonts w:cs="Times New Roman"/>
          <w:lang w:val="fr-CA"/>
        </w:rPr>
        <w:t>accueillir le pourvoi de M. Sciascia. La tenue d</w:t>
      </w:r>
      <w:r>
        <w:rPr>
          <w:rFonts w:cs="Times New Roman"/>
          <w:lang w:val="fr-CA"/>
        </w:rPr>
        <w:t>’</w:t>
      </w:r>
      <w:r w:rsidRPr="00A22D0D">
        <w:rPr>
          <w:rFonts w:cs="Times New Roman"/>
          <w:lang w:val="fr-CA"/>
        </w:rPr>
        <w:t xml:space="preserve">un procès conjoint relativement à une infraction punissable sur déclaration de culpabilité par procédure sommaire prévue au </w:t>
      </w:r>
      <w:r w:rsidRPr="00A22D0D">
        <w:rPr>
          <w:rFonts w:cs="Times New Roman"/>
          <w:i/>
          <w:lang w:val="fr-CA"/>
        </w:rPr>
        <w:t>Code criminel</w:t>
      </w:r>
      <w:r w:rsidRPr="00A22D0D">
        <w:rPr>
          <w:rFonts w:cs="Times New Roman"/>
          <w:lang w:val="fr-CA"/>
        </w:rPr>
        <w:t>, L.R.C. 1985, c. C</w:t>
      </w:r>
      <w:r w:rsidR="00140575">
        <w:rPr>
          <w:rFonts w:cs="Times New Roman"/>
          <w:lang w:val="fr-CA"/>
        </w:rPr>
        <w:t>-</w:t>
      </w:r>
      <w:r w:rsidRPr="00A22D0D">
        <w:rPr>
          <w:rFonts w:cs="Times New Roman"/>
          <w:lang w:val="fr-CA"/>
        </w:rPr>
        <w:t>46, et à une infraction provinciale serait incompatible avec l</w:t>
      </w:r>
      <w:r>
        <w:rPr>
          <w:rFonts w:cs="Times New Roman"/>
          <w:lang w:val="fr-CA"/>
        </w:rPr>
        <w:t>’</w:t>
      </w:r>
      <w:r w:rsidRPr="00A22D0D">
        <w:rPr>
          <w:rFonts w:cs="Times New Roman"/>
          <w:lang w:val="fr-CA"/>
        </w:rPr>
        <w:t>intention du législateur sous</w:t>
      </w:r>
      <w:r w:rsidR="00140575">
        <w:rPr>
          <w:rFonts w:cs="Times New Roman"/>
          <w:lang w:val="fr-CA"/>
        </w:rPr>
        <w:t>-</w:t>
      </w:r>
      <w:r w:rsidRPr="00A22D0D">
        <w:rPr>
          <w:rFonts w:cs="Times New Roman"/>
          <w:lang w:val="fr-CA"/>
        </w:rPr>
        <w:t xml:space="preserve">tendant la </w:t>
      </w:r>
      <w:r w:rsidRPr="00A22D0D">
        <w:rPr>
          <w:rFonts w:cs="Times New Roman"/>
          <w:i/>
          <w:lang w:val="fr-CA"/>
        </w:rPr>
        <w:t>Loi sur les infractions provinciales</w:t>
      </w:r>
      <w:r w:rsidRPr="00A22D0D">
        <w:rPr>
          <w:rFonts w:cs="Times New Roman"/>
          <w:lang w:val="fr-CA"/>
        </w:rPr>
        <w:t>, L.R.O. 1990, c. P.33 (« </w:t>
      </w:r>
      <w:r w:rsidRPr="00A22D0D">
        <w:rPr>
          <w:rFonts w:cs="Times New Roman"/>
          <w:i/>
          <w:lang w:val="fr-CA"/>
        </w:rPr>
        <w:t>LIP</w:t>
      </w:r>
      <w:r w:rsidRPr="00A22D0D">
        <w:rPr>
          <w:rFonts w:cs="Times New Roman"/>
          <w:lang w:val="fr-CA"/>
        </w:rPr>
        <w:t> »), laquelle, à mon sens, visait à créer un ensemble de procédures distinct applicables uniquement aux poursuites relatives aux infractions provinciales. Les complexités inhérentes à la procédure en matière criminelle ne devaient jouer aucun rôle dans ce nouveau cadre procédural. L</w:t>
      </w:r>
      <w:r>
        <w:rPr>
          <w:rFonts w:cs="Times New Roman"/>
          <w:lang w:val="fr-CA"/>
        </w:rPr>
        <w:t>’</w:t>
      </w:r>
      <w:r w:rsidRPr="00A22D0D">
        <w:rPr>
          <w:rFonts w:cs="Times New Roman"/>
          <w:lang w:val="fr-CA"/>
        </w:rPr>
        <w:t>instruction conjointe d</w:t>
      </w:r>
      <w:r>
        <w:rPr>
          <w:rFonts w:cs="Times New Roman"/>
          <w:lang w:val="fr-CA"/>
        </w:rPr>
        <w:t>’</w:t>
      </w:r>
      <w:r w:rsidRPr="00A22D0D">
        <w:rPr>
          <w:rFonts w:cs="Times New Roman"/>
          <w:lang w:val="fr-CA"/>
        </w:rPr>
        <w:t>infractions provinciales et d</w:t>
      </w:r>
      <w:r>
        <w:rPr>
          <w:rFonts w:cs="Times New Roman"/>
          <w:lang w:val="fr-CA"/>
        </w:rPr>
        <w:t>’</w:t>
      </w:r>
      <w:r w:rsidRPr="00A22D0D">
        <w:rPr>
          <w:rFonts w:cs="Times New Roman"/>
          <w:lang w:val="fr-CA"/>
        </w:rPr>
        <w:t xml:space="preserve">infractions criminelles punissables </w:t>
      </w:r>
      <w:r w:rsidR="00451E65">
        <w:rPr>
          <w:rFonts w:cs="Times New Roman"/>
          <w:lang w:val="fr-CA"/>
        </w:rPr>
        <w:t>sur déclaration de culpabilité par procédure sommaire</w:t>
      </w:r>
      <w:r w:rsidRPr="00A22D0D">
        <w:rPr>
          <w:rFonts w:cs="Times New Roman"/>
          <w:lang w:val="fr-CA"/>
        </w:rPr>
        <w:t xml:space="preserve"> aurait donc pour effet de porter atteinte à cette intention du législateur. C</w:t>
      </w:r>
      <w:r>
        <w:rPr>
          <w:rFonts w:cs="Times New Roman"/>
          <w:lang w:val="fr-CA"/>
        </w:rPr>
        <w:t>’</w:t>
      </w:r>
      <w:r w:rsidRPr="00A22D0D">
        <w:rPr>
          <w:rFonts w:cs="Times New Roman"/>
          <w:lang w:val="fr-CA"/>
        </w:rPr>
        <w:t>est pourquoi j</w:t>
      </w:r>
      <w:r>
        <w:rPr>
          <w:rFonts w:cs="Times New Roman"/>
          <w:lang w:val="fr-CA"/>
        </w:rPr>
        <w:t>’</w:t>
      </w:r>
      <w:r w:rsidRPr="00A22D0D">
        <w:rPr>
          <w:rFonts w:cs="Times New Roman"/>
          <w:lang w:val="fr-CA"/>
        </w:rPr>
        <w:t>estime, avec égards, qu</w:t>
      </w:r>
      <w:r>
        <w:rPr>
          <w:rFonts w:cs="Times New Roman"/>
          <w:lang w:val="fr-CA"/>
        </w:rPr>
        <w:t>’</w:t>
      </w:r>
      <w:r w:rsidRPr="00A22D0D">
        <w:rPr>
          <w:rFonts w:cs="Times New Roman"/>
          <w:lang w:val="fr-CA"/>
        </w:rPr>
        <w:t>un juge de la Cour de justice de l</w:t>
      </w:r>
      <w:r>
        <w:rPr>
          <w:rFonts w:cs="Times New Roman"/>
          <w:lang w:val="fr-CA"/>
        </w:rPr>
        <w:t>’</w:t>
      </w:r>
      <w:r w:rsidRPr="00A22D0D">
        <w:rPr>
          <w:rFonts w:cs="Times New Roman"/>
          <w:lang w:val="fr-CA"/>
        </w:rPr>
        <w:t>Ontario n</w:t>
      </w:r>
      <w:r>
        <w:rPr>
          <w:rFonts w:cs="Times New Roman"/>
          <w:lang w:val="fr-CA"/>
        </w:rPr>
        <w:t>’</w:t>
      </w:r>
      <w:r w:rsidRPr="00A22D0D">
        <w:rPr>
          <w:rFonts w:cs="Times New Roman"/>
          <w:lang w:val="fr-CA"/>
        </w:rPr>
        <w:t xml:space="preserve">a pas la </w:t>
      </w:r>
      <w:r w:rsidRPr="00A22D0D">
        <w:rPr>
          <w:rFonts w:cs="Times New Roman"/>
          <w:lang w:val="fr-CA"/>
        </w:rPr>
        <w:lastRenderedPageBreak/>
        <w:t xml:space="preserve">compétence nécessaire pour procéder à une telle instruction.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L</w:t>
      </w:r>
      <w:r>
        <w:rPr>
          <w:rFonts w:cs="Times New Roman"/>
          <w:lang w:val="fr-CA"/>
        </w:rPr>
        <w:t>’</w:t>
      </w:r>
      <w:r w:rsidRPr="00A22D0D">
        <w:rPr>
          <w:rFonts w:cs="Times New Roman"/>
          <w:lang w:val="fr-CA"/>
        </w:rPr>
        <w:t>erreur en cause ne tient pas seulement d</w:t>
      </w:r>
      <w:r>
        <w:rPr>
          <w:rFonts w:cs="Times New Roman"/>
          <w:lang w:val="fr-CA"/>
        </w:rPr>
        <w:t>’</w:t>
      </w:r>
      <w:r w:rsidRPr="00A22D0D">
        <w:rPr>
          <w:rFonts w:cs="Times New Roman"/>
          <w:lang w:val="fr-CA"/>
        </w:rPr>
        <w:t>une irrégularité de procédure; elle touche l</w:t>
      </w:r>
      <w:r>
        <w:rPr>
          <w:rFonts w:cs="Times New Roman"/>
          <w:lang w:val="fr-CA"/>
        </w:rPr>
        <w:t>’</w:t>
      </w:r>
      <w:r w:rsidRPr="00A22D0D">
        <w:rPr>
          <w:rFonts w:cs="Times New Roman"/>
          <w:lang w:val="fr-CA"/>
        </w:rPr>
        <w:t>essence même de la compétence de la cour de tenir un procès conjoint. En conséquence, elle ne saurait être sauvegardée par les dispositions réparatrices prévues aux sous</w:t>
      </w:r>
      <w:r w:rsidR="00140575">
        <w:rPr>
          <w:rFonts w:cs="Times New Roman"/>
          <w:lang w:val="fr-CA"/>
        </w:rPr>
        <w:t>-</w:t>
      </w:r>
      <w:r w:rsidRPr="00A22D0D">
        <w:rPr>
          <w:rFonts w:cs="Times New Roman"/>
          <w:lang w:val="fr-CA"/>
        </w:rPr>
        <w:t>al. 686(1)b)(iv) du</w:t>
      </w:r>
      <w:r w:rsidRPr="00A22D0D">
        <w:rPr>
          <w:rFonts w:cs="Times New Roman"/>
          <w:i/>
          <w:lang w:val="fr-CA"/>
        </w:rPr>
        <w:t xml:space="preserve"> C</w:t>
      </w:r>
      <w:r w:rsidR="006C48CD">
        <w:rPr>
          <w:rFonts w:cs="Times New Roman"/>
          <w:i/>
          <w:lang w:val="fr-CA"/>
        </w:rPr>
        <w:t>ode criminel</w:t>
      </w:r>
      <w:r w:rsidRPr="00A22D0D">
        <w:rPr>
          <w:rFonts w:cs="Times New Roman"/>
          <w:i/>
          <w:lang w:val="fr-CA"/>
        </w:rPr>
        <w:t xml:space="preserve"> </w:t>
      </w:r>
      <w:r w:rsidRPr="00A22D0D">
        <w:rPr>
          <w:rFonts w:cs="Times New Roman"/>
          <w:lang w:val="fr-CA"/>
        </w:rPr>
        <w:t xml:space="preserve">et 120(1)b)(iii) de la </w:t>
      </w:r>
      <w:r w:rsidRPr="00A22D0D">
        <w:rPr>
          <w:rFonts w:cs="Times New Roman"/>
          <w:i/>
          <w:lang w:val="fr-CA"/>
        </w:rPr>
        <w:t>LIP</w:t>
      </w:r>
      <w:r w:rsidRPr="00A22D0D">
        <w:rPr>
          <w:rFonts w:cs="Times New Roman"/>
          <w:lang w:val="fr-CA"/>
        </w:rPr>
        <w:t>.</w:t>
      </w:r>
    </w:p>
    <w:p w:rsidR="00132FB1" w:rsidRPr="00E10F78" w:rsidRDefault="00132FB1" w:rsidP="00073901">
      <w:pPr>
        <w:pStyle w:val="Title1LevelTitre1Niveau-AltL"/>
        <w:widowControl w:val="0"/>
        <w:numPr>
          <w:ilvl w:val="0"/>
          <w:numId w:val="11"/>
        </w:numPr>
        <w:rPr>
          <w:rFonts w:cs="Times New Roman"/>
          <w:lang w:val="fr-CA"/>
        </w:rPr>
      </w:pPr>
      <w:r w:rsidRPr="00E10F78">
        <w:rPr>
          <w:rFonts w:cs="Times New Roman"/>
          <w:lang w:val="fr-CA"/>
        </w:rPr>
        <w:t>Analyse</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 xml:space="preserve">La première question qui se pose dans le présent pourvoi est celle de savoir si </w:t>
      </w:r>
      <w:r>
        <w:rPr>
          <w:rFonts w:cs="Times New Roman"/>
          <w:lang w:val="fr-CA"/>
        </w:rPr>
        <w:t xml:space="preserve">un </w:t>
      </w:r>
      <w:r w:rsidRPr="00A22D0D">
        <w:rPr>
          <w:rFonts w:cs="Times New Roman"/>
          <w:lang w:val="fr-CA"/>
        </w:rPr>
        <w:t>juge d</w:t>
      </w:r>
      <w:r>
        <w:rPr>
          <w:rFonts w:cs="Times New Roman"/>
          <w:lang w:val="fr-CA"/>
        </w:rPr>
        <w:t xml:space="preserve">e la </w:t>
      </w:r>
      <w:r w:rsidRPr="00A22D0D">
        <w:rPr>
          <w:rFonts w:cs="Times New Roman"/>
          <w:lang w:val="fr-CA"/>
        </w:rPr>
        <w:t>cour provinciale de l</w:t>
      </w:r>
      <w:r>
        <w:rPr>
          <w:rFonts w:cs="Times New Roman"/>
          <w:lang w:val="fr-CA"/>
        </w:rPr>
        <w:t>’</w:t>
      </w:r>
      <w:r w:rsidRPr="00A22D0D">
        <w:rPr>
          <w:rFonts w:cs="Times New Roman"/>
          <w:lang w:val="fr-CA"/>
        </w:rPr>
        <w:t xml:space="preserve">Ontario a la compétence pour juger conjointement une infraction punissable sur déclaration de culpabilité par procédure sommaire visée au </w:t>
      </w:r>
      <w:r w:rsidRPr="00A22D0D">
        <w:rPr>
          <w:rFonts w:cs="Times New Roman"/>
          <w:i/>
          <w:lang w:val="fr-CA"/>
        </w:rPr>
        <w:t>C</w:t>
      </w:r>
      <w:r w:rsidR="00E23B07">
        <w:rPr>
          <w:rFonts w:cs="Times New Roman"/>
          <w:i/>
          <w:lang w:val="fr-CA"/>
        </w:rPr>
        <w:t>ode criminel</w:t>
      </w:r>
      <w:r w:rsidRPr="00A22D0D">
        <w:rPr>
          <w:rFonts w:cs="Times New Roman"/>
          <w:lang w:val="fr-CA"/>
        </w:rPr>
        <w:t xml:space="preserve"> et une infraction provinciale. En l</w:t>
      </w:r>
      <w:r>
        <w:rPr>
          <w:rFonts w:cs="Times New Roman"/>
          <w:lang w:val="fr-CA"/>
        </w:rPr>
        <w:t>’</w:t>
      </w:r>
      <w:r w:rsidRPr="00A22D0D">
        <w:rPr>
          <w:rFonts w:cs="Times New Roman"/>
          <w:lang w:val="fr-CA"/>
        </w:rPr>
        <w:t>absence d</w:t>
      </w:r>
      <w:r>
        <w:rPr>
          <w:rFonts w:cs="Times New Roman"/>
          <w:lang w:val="fr-CA"/>
        </w:rPr>
        <w:t>’</w:t>
      </w:r>
      <w:r w:rsidRPr="00A22D0D">
        <w:rPr>
          <w:rFonts w:cs="Times New Roman"/>
          <w:lang w:val="fr-CA"/>
        </w:rPr>
        <w:t>une telle compétence, l</w:t>
      </w:r>
      <w:r>
        <w:rPr>
          <w:rFonts w:cs="Times New Roman"/>
          <w:lang w:val="fr-CA"/>
        </w:rPr>
        <w:t>’</w:t>
      </w:r>
      <w:r w:rsidRPr="00A22D0D">
        <w:rPr>
          <w:rFonts w:cs="Times New Roman"/>
          <w:lang w:val="fr-CA"/>
        </w:rPr>
        <w:t xml:space="preserve">application des dispositions réparatrices contenues dans le </w:t>
      </w:r>
      <w:r w:rsidRPr="00A22D0D">
        <w:rPr>
          <w:rFonts w:cs="Times New Roman"/>
          <w:i/>
          <w:lang w:val="fr-CA"/>
        </w:rPr>
        <w:t>C</w:t>
      </w:r>
      <w:r w:rsidR="00E23B07">
        <w:rPr>
          <w:rFonts w:cs="Times New Roman"/>
          <w:i/>
          <w:lang w:val="fr-CA"/>
        </w:rPr>
        <w:t>ode criminel</w:t>
      </w:r>
      <w:r w:rsidRPr="00A22D0D">
        <w:rPr>
          <w:rFonts w:cs="Times New Roman"/>
          <w:i/>
          <w:lang w:val="fr-CA"/>
        </w:rPr>
        <w:t xml:space="preserve"> </w:t>
      </w:r>
      <w:r w:rsidRPr="00A22D0D">
        <w:rPr>
          <w:rFonts w:cs="Times New Roman"/>
          <w:lang w:val="fr-CA"/>
        </w:rPr>
        <w:t>et la</w:t>
      </w:r>
      <w:r w:rsidRPr="00A22D0D">
        <w:rPr>
          <w:rFonts w:cs="Times New Roman"/>
          <w:i/>
          <w:lang w:val="fr-CA"/>
        </w:rPr>
        <w:t xml:space="preserve"> LIP</w:t>
      </w:r>
      <w:r w:rsidRPr="00A22D0D">
        <w:rPr>
          <w:rFonts w:cs="Times New Roman"/>
          <w:lang w:val="fr-CA"/>
        </w:rPr>
        <w:t xml:space="preserve"> doit alors être considérée. </w:t>
      </w:r>
    </w:p>
    <w:p w:rsidR="00132FB1" w:rsidRPr="00A22D0D" w:rsidRDefault="00694063" w:rsidP="00073901">
      <w:pPr>
        <w:pStyle w:val="Title2LevelTitre2Niveau"/>
        <w:widowControl w:val="0"/>
        <w:rPr>
          <w:rFonts w:cs="Times New Roman"/>
          <w:lang w:val="fr-CA"/>
        </w:rPr>
      </w:pPr>
      <w:r>
        <w:rPr>
          <w:rFonts w:cs="Times New Roman"/>
          <w:lang w:val="fr-CA"/>
        </w:rPr>
        <w:t>La compétence de la c</w:t>
      </w:r>
      <w:r w:rsidR="00132FB1" w:rsidRPr="00A22D0D">
        <w:rPr>
          <w:rFonts w:cs="Times New Roman"/>
          <w:lang w:val="fr-CA"/>
        </w:rPr>
        <w:t>our relativement à la tenue d</w:t>
      </w:r>
      <w:r w:rsidR="00132FB1">
        <w:rPr>
          <w:rFonts w:cs="Times New Roman"/>
          <w:lang w:val="fr-CA"/>
        </w:rPr>
        <w:t>’</w:t>
      </w:r>
      <w:r w:rsidR="00132FB1" w:rsidRPr="00A22D0D">
        <w:rPr>
          <w:rFonts w:cs="Times New Roman"/>
          <w:lang w:val="fr-CA"/>
        </w:rPr>
        <w:t>un procès conjoint</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Le Parlement fédéral et la législature de l</w:t>
      </w:r>
      <w:r>
        <w:rPr>
          <w:rFonts w:cs="Times New Roman"/>
          <w:lang w:val="fr-CA"/>
        </w:rPr>
        <w:t>’</w:t>
      </w:r>
      <w:r w:rsidRPr="00A22D0D">
        <w:rPr>
          <w:rFonts w:cs="Times New Roman"/>
          <w:lang w:val="fr-CA"/>
        </w:rPr>
        <w:t>Ontario (« Législature »), dans l</w:t>
      </w:r>
      <w:r>
        <w:rPr>
          <w:rFonts w:cs="Times New Roman"/>
          <w:lang w:val="fr-CA"/>
        </w:rPr>
        <w:t>’</w:t>
      </w:r>
      <w:r w:rsidRPr="00A22D0D">
        <w:rPr>
          <w:rFonts w:cs="Times New Roman"/>
          <w:lang w:val="fr-CA"/>
        </w:rPr>
        <w:t xml:space="preserve">exercice de leurs pouvoirs législatifs distincts, ont adopté des régimes procéduraux différents pour la tenue de procès en application du </w:t>
      </w:r>
      <w:r w:rsidRPr="00A22D0D">
        <w:rPr>
          <w:rFonts w:cs="Times New Roman"/>
          <w:i/>
          <w:lang w:val="fr-CA"/>
        </w:rPr>
        <w:t>C</w:t>
      </w:r>
      <w:r w:rsidR="00E23B07">
        <w:rPr>
          <w:rFonts w:cs="Times New Roman"/>
          <w:i/>
          <w:lang w:val="fr-CA"/>
        </w:rPr>
        <w:t>ode criminel</w:t>
      </w:r>
      <w:r w:rsidRPr="00A22D0D">
        <w:rPr>
          <w:rFonts w:cs="Times New Roman"/>
          <w:lang w:val="fr-CA"/>
        </w:rPr>
        <w:t xml:space="preserve"> d</w:t>
      </w:r>
      <w:r>
        <w:rPr>
          <w:rFonts w:cs="Times New Roman"/>
          <w:lang w:val="fr-CA"/>
        </w:rPr>
        <w:t>’</w:t>
      </w:r>
      <w:r w:rsidRPr="00A22D0D">
        <w:rPr>
          <w:rFonts w:cs="Times New Roman"/>
          <w:lang w:val="fr-CA"/>
        </w:rPr>
        <w:t xml:space="preserve">une part, et pour la tenue de procès en application de la </w:t>
      </w:r>
      <w:r w:rsidRPr="00A22D0D">
        <w:rPr>
          <w:rFonts w:cs="Times New Roman"/>
          <w:i/>
          <w:lang w:val="fr-CA"/>
        </w:rPr>
        <w:t>LIP</w:t>
      </w:r>
      <w:r w:rsidRPr="00A22D0D">
        <w:rPr>
          <w:rFonts w:cs="Times New Roman"/>
          <w:lang w:val="fr-CA"/>
        </w:rPr>
        <w:t xml:space="preserve"> d</w:t>
      </w:r>
      <w:r>
        <w:rPr>
          <w:rFonts w:cs="Times New Roman"/>
          <w:lang w:val="fr-CA"/>
        </w:rPr>
        <w:t>’</w:t>
      </w:r>
      <w:r w:rsidRPr="00A22D0D">
        <w:rPr>
          <w:rFonts w:cs="Times New Roman"/>
          <w:lang w:val="fr-CA"/>
        </w:rPr>
        <w:t>autre part. Si aucun de ces deux textes de loi n</w:t>
      </w:r>
      <w:r>
        <w:rPr>
          <w:rFonts w:cs="Times New Roman"/>
          <w:lang w:val="fr-CA"/>
        </w:rPr>
        <w:t>’</w:t>
      </w:r>
      <w:r w:rsidRPr="00A22D0D">
        <w:rPr>
          <w:rFonts w:cs="Times New Roman"/>
          <w:lang w:val="fr-CA"/>
        </w:rPr>
        <w:t xml:space="preserve">autorise expressément un juge de la cour provinciale à juger simultanément des infractions provinciales et des infractions criminelles punissables sur déclaration de </w:t>
      </w:r>
      <w:r w:rsidRPr="00A22D0D">
        <w:rPr>
          <w:rFonts w:cs="Times New Roman"/>
          <w:lang w:val="fr-CA"/>
        </w:rPr>
        <w:lastRenderedPageBreak/>
        <w:t>culpabilité par procédure sommaire, ils n</w:t>
      </w:r>
      <w:r>
        <w:rPr>
          <w:rFonts w:cs="Times New Roman"/>
          <w:lang w:val="fr-CA"/>
        </w:rPr>
        <w:t>’</w:t>
      </w:r>
      <w:r w:rsidRPr="00A22D0D">
        <w:rPr>
          <w:rFonts w:cs="Times New Roman"/>
          <w:lang w:val="fr-CA"/>
        </w:rPr>
        <w:t>interdisent pas non plus cette pratique. Certes, dans certaines circonstances, la common law peut autoriser la tenue d</w:t>
      </w:r>
      <w:r>
        <w:rPr>
          <w:rFonts w:cs="Times New Roman"/>
          <w:lang w:val="fr-CA"/>
        </w:rPr>
        <w:t>’</w:t>
      </w:r>
      <w:r w:rsidRPr="00A22D0D">
        <w:rPr>
          <w:rFonts w:cs="Times New Roman"/>
          <w:lang w:val="fr-CA"/>
        </w:rPr>
        <w:t>une instruction conjointe. Les règles de common law régissant la réunion des chefs d</w:t>
      </w:r>
      <w:r>
        <w:rPr>
          <w:rFonts w:cs="Times New Roman"/>
          <w:lang w:val="fr-CA"/>
        </w:rPr>
        <w:t>’</w:t>
      </w:r>
      <w:r w:rsidRPr="00A22D0D">
        <w:rPr>
          <w:rFonts w:cs="Times New Roman"/>
          <w:lang w:val="fr-CA"/>
        </w:rPr>
        <w:t>accusation ne trouvent toutefois pas application si le fait de réunir les accusations pour les instruire dans le cadre d</w:t>
      </w:r>
      <w:r>
        <w:rPr>
          <w:rFonts w:cs="Times New Roman"/>
          <w:lang w:val="fr-CA"/>
        </w:rPr>
        <w:t>’</w:t>
      </w:r>
      <w:r w:rsidRPr="00A22D0D">
        <w:rPr>
          <w:rFonts w:cs="Times New Roman"/>
          <w:lang w:val="fr-CA"/>
        </w:rPr>
        <w:t xml:space="preserve">un même procès est incompatible avec le régime législatif applicable : </w:t>
      </w:r>
      <w:r w:rsidRPr="00A22D0D">
        <w:rPr>
          <w:rFonts w:cs="Times New Roman"/>
          <w:i/>
          <w:lang w:val="fr-CA"/>
        </w:rPr>
        <w:t>R. c.</w:t>
      </w:r>
      <w:r w:rsidRPr="00A22D0D">
        <w:rPr>
          <w:rFonts w:cs="Times New Roman"/>
          <w:lang w:val="fr-CA"/>
        </w:rPr>
        <w:t xml:space="preserve"> </w:t>
      </w:r>
      <w:r w:rsidRPr="00A22D0D">
        <w:rPr>
          <w:rFonts w:cs="Times New Roman"/>
          <w:i/>
          <w:lang w:val="fr-CA"/>
        </w:rPr>
        <w:t>S.J.L.</w:t>
      </w:r>
      <w:r w:rsidRPr="00A22D0D">
        <w:rPr>
          <w:rFonts w:cs="Times New Roman"/>
          <w:lang w:val="fr-CA"/>
        </w:rPr>
        <w:t>, 2009 CSC 14, [2009] 1 R.C.S. 426, par. 52. Par conséquent, la question que la Cour est appelée à trancher est celle de savoir si, malgré l</w:t>
      </w:r>
      <w:r>
        <w:rPr>
          <w:rFonts w:cs="Times New Roman"/>
          <w:lang w:val="fr-CA"/>
        </w:rPr>
        <w:t>’</w:t>
      </w:r>
      <w:r w:rsidRPr="00A22D0D">
        <w:rPr>
          <w:rFonts w:cs="Times New Roman"/>
          <w:lang w:val="fr-CA"/>
        </w:rPr>
        <w:t>absence de directives législatives claires à cet égard, le Parlement fédéral et la Législature entendaient permettre le recours à une instruction conjointe dans le cas d</w:t>
      </w:r>
      <w:r>
        <w:rPr>
          <w:rFonts w:cs="Times New Roman"/>
          <w:lang w:val="fr-CA"/>
        </w:rPr>
        <w:t>’</w:t>
      </w:r>
      <w:r w:rsidRPr="00A22D0D">
        <w:rPr>
          <w:rFonts w:cs="Times New Roman"/>
          <w:lang w:val="fr-CA"/>
        </w:rPr>
        <w:t>une personne accusée d</w:t>
      </w:r>
      <w:r>
        <w:rPr>
          <w:rFonts w:cs="Times New Roman"/>
          <w:lang w:val="fr-CA"/>
        </w:rPr>
        <w:t>’</w:t>
      </w:r>
      <w:r w:rsidRPr="00A22D0D">
        <w:rPr>
          <w:rFonts w:cs="Times New Roman"/>
          <w:lang w:val="fr-CA"/>
        </w:rPr>
        <w:t>avoir commis à la fois des infractions criminelles punissables sur déclaration de culpabilité par procédure sommaire et des infractions provinciales.</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Dans l</w:t>
      </w:r>
      <w:r>
        <w:rPr>
          <w:rFonts w:cs="Times New Roman"/>
          <w:lang w:val="fr-CA"/>
        </w:rPr>
        <w:t xml:space="preserve">’arrêt </w:t>
      </w:r>
      <w:r w:rsidRPr="00A22D0D">
        <w:rPr>
          <w:rFonts w:cs="Times New Roman"/>
          <w:i/>
          <w:lang w:val="fr-CA"/>
        </w:rPr>
        <w:t>S.J.L.</w:t>
      </w:r>
      <w:r w:rsidRPr="00A22D0D">
        <w:rPr>
          <w:rFonts w:cs="Times New Roman"/>
          <w:lang w:val="fr-CA"/>
        </w:rPr>
        <w:t>, la Cour s</w:t>
      </w:r>
      <w:r>
        <w:rPr>
          <w:rFonts w:cs="Times New Roman"/>
          <w:lang w:val="fr-CA"/>
        </w:rPr>
        <w:t>’</w:t>
      </w:r>
      <w:r w:rsidRPr="00A22D0D">
        <w:rPr>
          <w:rFonts w:cs="Times New Roman"/>
          <w:lang w:val="fr-CA"/>
        </w:rPr>
        <w:t>est penchée sur une question connexe. Dans cette affaire, il s</w:t>
      </w:r>
      <w:r>
        <w:rPr>
          <w:rFonts w:cs="Times New Roman"/>
          <w:lang w:val="fr-CA"/>
        </w:rPr>
        <w:t>’</w:t>
      </w:r>
      <w:r w:rsidRPr="00A22D0D">
        <w:rPr>
          <w:rFonts w:cs="Times New Roman"/>
          <w:lang w:val="fr-CA"/>
        </w:rPr>
        <w:t xml:space="preserve">agissait de savoir si </w:t>
      </w:r>
      <w:r w:rsidR="00694063">
        <w:rPr>
          <w:rFonts w:cs="Times New Roman"/>
          <w:lang w:val="fr-CA"/>
        </w:rPr>
        <w:t>une</w:t>
      </w:r>
      <w:r w:rsidRPr="00A22D0D">
        <w:rPr>
          <w:rFonts w:cs="Times New Roman"/>
          <w:lang w:val="fr-CA"/>
        </w:rPr>
        <w:t xml:space="preserve"> cour provinciale avait compétence pour juger conjointement des adolescents accusés sous le régime de la </w:t>
      </w:r>
      <w:r w:rsidRPr="00A22D0D">
        <w:rPr>
          <w:rFonts w:cs="Times New Roman"/>
          <w:i/>
          <w:lang w:val="fr-CA"/>
        </w:rPr>
        <w:t>Loi sur le système de justice pénale pour les adolescents</w:t>
      </w:r>
      <w:r w:rsidRPr="00A22D0D">
        <w:rPr>
          <w:rFonts w:cs="Times New Roman"/>
          <w:lang w:val="fr-CA"/>
        </w:rPr>
        <w:t xml:space="preserve">, L.C. 2002, c. 1, et des adultes accusés en application du </w:t>
      </w:r>
      <w:r w:rsidRPr="00A22D0D">
        <w:rPr>
          <w:rFonts w:cs="Times New Roman"/>
          <w:i/>
          <w:lang w:val="fr-CA"/>
        </w:rPr>
        <w:t>C</w:t>
      </w:r>
      <w:r w:rsidR="00322A33">
        <w:rPr>
          <w:rFonts w:cs="Times New Roman"/>
          <w:i/>
          <w:lang w:val="fr-CA"/>
        </w:rPr>
        <w:t>ode criminel</w:t>
      </w:r>
      <w:r w:rsidRPr="00A22D0D">
        <w:rPr>
          <w:rFonts w:cs="Times New Roman"/>
          <w:i/>
          <w:lang w:val="fr-CA"/>
        </w:rPr>
        <w:t>.</w:t>
      </w:r>
      <w:r w:rsidRPr="00A22D0D">
        <w:rPr>
          <w:rFonts w:cs="Times New Roman"/>
          <w:lang w:val="fr-CA"/>
        </w:rPr>
        <w:t xml:space="preserve"> Ni la common law ni le</w:t>
      </w:r>
      <w:r w:rsidRPr="00A22D0D">
        <w:rPr>
          <w:rFonts w:cs="Times New Roman"/>
          <w:i/>
          <w:lang w:val="fr-CA"/>
        </w:rPr>
        <w:t xml:space="preserve"> C</w:t>
      </w:r>
      <w:r w:rsidR="00322A33">
        <w:rPr>
          <w:rFonts w:cs="Times New Roman"/>
          <w:i/>
          <w:lang w:val="fr-CA"/>
        </w:rPr>
        <w:t>ode criminel</w:t>
      </w:r>
      <w:r w:rsidRPr="00A22D0D">
        <w:rPr>
          <w:rFonts w:cs="Times New Roman"/>
          <w:i/>
          <w:lang w:val="fr-CA"/>
        </w:rPr>
        <w:t xml:space="preserve"> </w:t>
      </w:r>
      <w:r w:rsidRPr="00A22D0D">
        <w:rPr>
          <w:rFonts w:cs="Times New Roman"/>
          <w:lang w:val="fr-CA"/>
        </w:rPr>
        <w:t>n</w:t>
      </w:r>
      <w:r>
        <w:rPr>
          <w:rFonts w:cs="Times New Roman"/>
          <w:lang w:val="fr-CA"/>
        </w:rPr>
        <w:t>’</w:t>
      </w:r>
      <w:r w:rsidRPr="00A22D0D">
        <w:rPr>
          <w:rFonts w:cs="Times New Roman"/>
          <w:lang w:val="fr-CA"/>
        </w:rPr>
        <w:t>interdisaient explicitement la tenue d</w:t>
      </w:r>
      <w:r>
        <w:rPr>
          <w:rFonts w:cs="Times New Roman"/>
          <w:lang w:val="fr-CA"/>
        </w:rPr>
        <w:t>’</w:t>
      </w:r>
      <w:r w:rsidRPr="00A22D0D">
        <w:rPr>
          <w:rFonts w:cs="Times New Roman"/>
          <w:lang w:val="fr-CA"/>
        </w:rPr>
        <w:t>un procès conjoint en pareilles circonstances. La Cour devait donc déterminer si « la création d</w:t>
      </w:r>
      <w:r>
        <w:rPr>
          <w:rFonts w:cs="Times New Roman"/>
          <w:lang w:val="fr-CA"/>
        </w:rPr>
        <w:t>’</w:t>
      </w:r>
      <w:r w:rsidRPr="00A22D0D">
        <w:rPr>
          <w:rFonts w:cs="Times New Roman"/>
          <w:lang w:val="fr-CA"/>
        </w:rPr>
        <w:t>un système de justice pénale distinct pour les adolescents » avait pour effet d</w:t>
      </w:r>
      <w:r>
        <w:rPr>
          <w:rFonts w:cs="Times New Roman"/>
          <w:lang w:val="fr-CA"/>
        </w:rPr>
        <w:t>’</w:t>
      </w:r>
      <w:r w:rsidRPr="00A22D0D">
        <w:rPr>
          <w:rFonts w:cs="Times New Roman"/>
          <w:lang w:val="fr-CA"/>
        </w:rPr>
        <w:t>écarter l</w:t>
      </w:r>
      <w:r>
        <w:rPr>
          <w:rFonts w:cs="Times New Roman"/>
          <w:lang w:val="fr-CA"/>
        </w:rPr>
        <w:t>’</w:t>
      </w:r>
      <w:r w:rsidRPr="00A22D0D">
        <w:rPr>
          <w:rFonts w:cs="Times New Roman"/>
          <w:lang w:val="fr-CA"/>
        </w:rPr>
        <w:t xml:space="preserve">application de la règle de common law, dans la mesure où un procès réunissant des jeunes contrevenants et des contrevenants adultes était incompatible avec les procédures propres au système de justice pénale pour les adolescents : par. 52. Tout en reconnaissant que, sur le plan pratique, cela ne donnerait pas lieu à des </w:t>
      </w:r>
      <w:r w:rsidRPr="00A22D0D">
        <w:rPr>
          <w:rFonts w:cs="Times New Roman"/>
          <w:lang w:val="fr-CA"/>
        </w:rPr>
        <w:lastRenderedPageBreak/>
        <w:t>difficultés insurmontables, la Cour a conclu que la tenue d</w:t>
      </w:r>
      <w:r>
        <w:rPr>
          <w:rFonts w:cs="Times New Roman"/>
          <w:lang w:val="fr-CA"/>
        </w:rPr>
        <w:t>’</w:t>
      </w:r>
      <w:r w:rsidRPr="00A22D0D">
        <w:rPr>
          <w:rFonts w:cs="Times New Roman"/>
          <w:lang w:val="fr-CA"/>
        </w:rPr>
        <w:t xml:space="preserve">un tel procès conjoint serait incompatible avec le principe directeur de la </w:t>
      </w:r>
      <w:r w:rsidRPr="00A22D0D">
        <w:rPr>
          <w:rFonts w:cs="Times New Roman"/>
          <w:i/>
          <w:lang w:val="fr-CA"/>
        </w:rPr>
        <w:t>Loi sur le système de justice pénale pour les adolescents</w:t>
      </w:r>
      <w:r w:rsidRPr="00A22D0D">
        <w:rPr>
          <w:rFonts w:cs="Times New Roman"/>
          <w:lang w:val="fr-CA"/>
        </w:rPr>
        <w:t xml:space="preserve">, à savoir maintenir, « pour les adolescents, un </w:t>
      </w:r>
      <w:r w:rsidRPr="00A22D0D">
        <w:rPr>
          <w:rFonts w:cs="Times New Roman"/>
          <w:iCs/>
          <w:lang w:val="fr-CA"/>
        </w:rPr>
        <w:t>système</w:t>
      </w:r>
      <w:r w:rsidRPr="00A22D0D">
        <w:rPr>
          <w:rFonts w:cs="Times New Roman"/>
          <w:lang w:val="fr-CA"/>
        </w:rPr>
        <w:t xml:space="preserve"> de justice distinct de celui des adultes » : par. 56 (</w:t>
      </w:r>
      <w:r w:rsidR="00322A33">
        <w:rPr>
          <w:rFonts w:cs="Times New Roman"/>
          <w:lang w:val="fr-CA"/>
        </w:rPr>
        <w:t>italique</w:t>
      </w:r>
      <w:r w:rsidRPr="00A22D0D">
        <w:rPr>
          <w:rFonts w:cs="Times New Roman"/>
          <w:lang w:val="fr-CA"/>
        </w:rPr>
        <w:t xml:space="preserve"> omis).</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À la lumière de l</w:t>
      </w:r>
      <w:r>
        <w:rPr>
          <w:rFonts w:cs="Times New Roman"/>
          <w:lang w:val="fr-CA"/>
        </w:rPr>
        <w:t>’</w:t>
      </w:r>
      <w:r w:rsidRPr="00A22D0D">
        <w:rPr>
          <w:rFonts w:cs="Times New Roman"/>
          <w:lang w:val="fr-CA"/>
        </w:rPr>
        <w:t>objet et de l</w:t>
      </w:r>
      <w:r>
        <w:rPr>
          <w:rFonts w:cs="Times New Roman"/>
          <w:lang w:val="fr-CA"/>
        </w:rPr>
        <w:t>’</w:t>
      </w:r>
      <w:r w:rsidRPr="00A22D0D">
        <w:rPr>
          <w:rFonts w:cs="Times New Roman"/>
          <w:lang w:val="fr-CA"/>
        </w:rPr>
        <w:t xml:space="preserve">esprit de la </w:t>
      </w:r>
      <w:r w:rsidRPr="00A22D0D">
        <w:rPr>
          <w:rFonts w:cs="Times New Roman"/>
          <w:i/>
          <w:lang w:val="fr-CA"/>
        </w:rPr>
        <w:t>LIP</w:t>
      </w:r>
      <w:r w:rsidRPr="00A22D0D">
        <w:rPr>
          <w:rFonts w:cs="Times New Roman"/>
          <w:lang w:val="fr-CA"/>
        </w:rPr>
        <w:t>, j</w:t>
      </w:r>
      <w:r>
        <w:rPr>
          <w:rFonts w:cs="Times New Roman"/>
          <w:lang w:val="fr-CA"/>
        </w:rPr>
        <w:t>’</w:t>
      </w:r>
      <w:r w:rsidRPr="00A22D0D">
        <w:rPr>
          <w:rFonts w:cs="Times New Roman"/>
          <w:lang w:val="fr-CA"/>
        </w:rPr>
        <w:t>en arrive à une conclusion similaire. L</w:t>
      </w:r>
      <w:r>
        <w:rPr>
          <w:rFonts w:cs="Times New Roman"/>
          <w:lang w:val="fr-CA"/>
        </w:rPr>
        <w:t>’</w:t>
      </w:r>
      <w:r w:rsidRPr="00A22D0D">
        <w:rPr>
          <w:rFonts w:cs="Times New Roman"/>
          <w:lang w:val="fr-CA"/>
        </w:rPr>
        <w:t>instruction conjointe d</w:t>
      </w:r>
      <w:r>
        <w:rPr>
          <w:rFonts w:cs="Times New Roman"/>
          <w:lang w:val="fr-CA"/>
        </w:rPr>
        <w:t>’</w:t>
      </w:r>
      <w:r w:rsidRPr="00A22D0D">
        <w:rPr>
          <w:rFonts w:cs="Times New Roman"/>
          <w:lang w:val="fr-CA"/>
        </w:rPr>
        <w:t>accusations relatives à une infraction criminelle punissable sur déclaration de culpabilité par procédure sommaire et à une infraction provinciale irait à l</w:t>
      </w:r>
      <w:r>
        <w:rPr>
          <w:rFonts w:cs="Times New Roman"/>
          <w:lang w:val="fr-CA"/>
        </w:rPr>
        <w:t>’</w:t>
      </w:r>
      <w:r w:rsidRPr="00A22D0D">
        <w:rPr>
          <w:rFonts w:cs="Times New Roman"/>
          <w:lang w:val="fr-CA"/>
        </w:rPr>
        <w:t>encontre de l</w:t>
      </w:r>
      <w:r>
        <w:rPr>
          <w:rFonts w:cs="Times New Roman"/>
          <w:lang w:val="fr-CA"/>
        </w:rPr>
        <w:t>’</w:t>
      </w:r>
      <w:r w:rsidRPr="00A22D0D">
        <w:rPr>
          <w:rFonts w:cs="Times New Roman"/>
          <w:lang w:val="fr-CA"/>
        </w:rPr>
        <w:t>intention du législateur à l</w:t>
      </w:r>
      <w:r>
        <w:rPr>
          <w:rFonts w:cs="Times New Roman"/>
          <w:lang w:val="fr-CA"/>
        </w:rPr>
        <w:t>’</w:t>
      </w:r>
      <w:r w:rsidRPr="00A22D0D">
        <w:rPr>
          <w:rFonts w:cs="Times New Roman"/>
          <w:lang w:val="fr-CA"/>
        </w:rPr>
        <w:t xml:space="preserve">origine de la </w:t>
      </w:r>
      <w:r w:rsidRPr="00A22D0D">
        <w:rPr>
          <w:rFonts w:cs="Times New Roman"/>
          <w:i/>
          <w:lang w:val="fr-CA"/>
        </w:rPr>
        <w:t xml:space="preserve">LIP. </w:t>
      </w:r>
    </w:p>
    <w:p w:rsidR="00132FB1" w:rsidRPr="00A22D0D" w:rsidRDefault="00132FB1" w:rsidP="00073901">
      <w:pPr>
        <w:pStyle w:val="Title3LevelTitre3Niveau"/>
        <w:widowControl w:val="0"/>
        <w:rPr>
          <w:rFonts w:cs="Times New Roman"/>
          <w:lang w:val="fr-CA"/>
        </w:rPr>
      </w:pPr>
      <w:r w:rsidRPr="00A22D0D">
        <w:rPr>
          <w:rFonts w:cs="Times New Roman"/>
          <w:lang w:val="fr-CA"/>
        </w:rPr>
        <w:t>L</w:t>
      </w:r>
      <w:r>
        <w:rPr>
          <w:rFonts w:cs="Times New Roman"/>
          <w:lang w:val="fr-CA"/>
        </w:rPr>
        <w:t>’</w:t>
      </w:r>
      <w:r w:rsidRPr="00A22D0D">
        <w:rPr>
          <w:rFonts w:cs="Times New Roman"/>
          <w:lang w:val="fr-CA"/>
        </w:rPr>
        <w:t>intention du législateur</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 xml:space="preserve">Avant 1979, les poursuites intentées relativement à des infractions provinciales étaient menées en grande partie conformément aux procédures prévues par le </w:t>
      </w:r>
      <w:r w:rsidRPr="00A22D0D">
        <w:rPr>
          <w:rFonts w:cs="Times New Roman"/>
          <w:i/>
          <w:lang w:val="fr-CA"/>
        </w:rPr>
        <w:t>C</w:t>
      </w:r>
      <w:r w:rsidR="00385B9C">
        <w:rPr>
          <w:rFonts w:cs="Times New Roman"/>
          <w:i/>
          <w:lang w:val="fr-CA"/>
        </w:rPr>
        <w:t>ode criminel</w:t>
      </w:r>
      <w:r w:rsidRPr="00A22D0D">
        <w:rPr>
          <w:rFonts w:cs="Times New Roman"/>
          <w:i/>
          <w:lang w:val="fr-CA"/>
        </w:rPr>
        <w:t> </w:t>
      </w:r>
      <w:r w:rsidRPr="00A22D0D">
        <w:rPr>
          <w:rFonts w:cs="Times New Roman"/>
          <w:lang w:val="fr-CA"/>
        </w:rPr>
        <w:t xml:space="preserve">: voir </w:t>
      </w:r>
      <w:r w:rsidRPr="00A22D0D">
        <w:rPr>
          <w:rFonts w:cs="Times New Roman"/>
          <w:i/>
          <w:lang w:val="fr-CA"/>
        </w:rPr>
        <w:t>The Summary Convictions Act</w:t>
      </w:r>
      <w:r w:rsidRPr="00A22D0D">
        <w:rPr>
          <w:rFonts w:cs="Times New Roman"/>
          <w:lang w:val="fr-CA"/>
        </w:rPr>
        <w:t xml:space="preserve">, </w:t>
      </w:r>
      <w:r w:rsidR="00A70C2D">
        <w:rPr>
          <w:rFonts w:cs="Times New Roman"/>
          <w:lang w:val="fr-CA"/>
        </w:rPr>
        <w:t>R.S.</w:t>
      </w:r>
      <w:r w:rsidRPr="00A22D0D">
        <w:rPr>
          <w:rFonts w:cs="Times New Roman"/>
          <w:lang w:val="fr-CA"/>
        </w:rPr>
        <w:t>O. 1970, c. 450, art. 3. En 1979, la Législature a choisi d</w:t>
      </w:r>
      <w:r>
        <w:rPr>
          <w:rFonts w:cs="Times New Roman"/>
          <w:lang w:val="fr-CA"/>
        </w:rPr>
        <w:t>’</w:t>
      </w:r>
      <w:r w:rsidRPr="00A22D0D">
        <w:rPr>
          <w:rFonts w:cs="Times New Roman"/>
          <w:lang w:val="fr-CA"/>
        </w:rPr>
        <w:t>écarter l</w:t>
      </w:r>
      <w:r>
        <w:rPr>
          <w:rFonts w:cs="Times New Roman"/>
          <w:lang w:val="fr-CA"/>
        </w:rPr>
        <w:t>’</w:t>
      </w:r>
      <w:r w:rsidRPr="00A22D0D">
        <w:rPr>
          <w:rFonts w:cs="Times New Roman"/>
          <w:lang w:val="fr-CA"/>
        </w:rPr>
        <w:t xml:space="preserve">application des procédures prévues par le </w:t>
      </w:r>
      <w:r w:rsidRPr="00A22D0D">
        <w:rPr>
          <w:rFonts w:cs="Times New Roman"/>
          <w:i/>
          <w:lang w:val="fr-CA"/>
        </w:rPr>
        <w:t>C</w:t>
      </w:r>
      <w:r w:rsidR="00385B9C">
        <w:rPr>
          <w:rFonts w:cs="Times New Roman"/>
          <w:i/>
          <w:lang w:val="fr-CA"/>
        </w:rPr>
        <w:t>ode criminel</w:t>
      </w:r>
      <w:r w:rsidRPr="00A22D0D">
        <w:rPr>
          <w:rFonts w:cs="Times New Roman"/>
          <w:lang w:val="fr-CA"/>
        </w:rPr>
        <w:t xml:space="preserve"> en ce qui a trait aux infractions non criminelles, afin de remédier aux coûts disproportionnés et à la complexité de ces procédures, et afin d</w:t>
      </w:r>
      <w:r>
        <w:rPr>
          <w:rFonts w:cs="Times New Roman"/>
          <w:lang w:val="fr-CA"/>
        </w:rPr>
        <w:t>’</w:t>
      </w:r>
      <w:r w:rsidRPr="00A22D0D">
        <w:rPr>
          <w:rFonts w:cs="Times New Roman"/>
          <w:lang w:val="fr-CA"/>
        </w:rPr>
        <w:t>accroître l</w:t>
      </w:r>
      <w:r>
        <w:rPr>
          <w:rFonts w:cs="Times New Roman"/>
          <w:lang w:val="fr-CA"/>
        </w:rPr>
        <w:t>’</w:t>
      </w:r>
      <w:r w:rsidRPr="00A22D0D">
        <w:rPr>
          <w:rFonts w:cs="Times New Roman"/>
          <w:lang w:val="fr-CA"/>
        </w:rPr>
        <w:t>efficacité du système judiciaire ontarien et de réduire les fardeaux administratifs pesant sur lui. Les efforts en ce sens ont résulté en l</w:t>
      </w:r>
      <w:r>
        <w:rPr>
          <w:rFonts w:cs="Times New Roman"/>
          <w:lang w:val="fr-CA"/>
        </w:rPr>
        <w:t>’</w:t>
      </w:r>
      <w:r w:rsidRPr="00A22D0D">
        <w:rPr>
          <w:rFonts w:cs="Times New Roman"/>
          <w:lang w:val="fr-CA"/>
        </w:rPr>
        <w:t xml:space="preserve">adoption de la </w:t>
      </w:r>
      <w:r w:rsidRPr="00A22D0D">
        <w:rPr>
          <w:rFonts w:cs="Times New Roman"/>
          <w:i/>
          <w:lang w:val="fr-CA"/>
        </w:rPr>
        <w:t>LIP</w:t>
      </w:r>
      <w:r w:rsidRPr="00A22D0D">
        <w:rPr>
          <w:rFonts w:cs="Times New Roman"/>
          <w:lang w:val="fr-CA"/>
        </w:rPr>
        <w:t>.</w:t>
      </w:r>
      <w:r w:rsidRPr="00A22D0D">
        <w:rPr>
          <w:rFonts w:cs="Times New Roman"/>
          <w:i/>
          <w:lang w:val="fr-CA"/>
        </w:rPr>
        <w:t xml:space="preserve"> </w:t>
      </w:r>
      <w:r w:rsidRPr="00A22D0D">
        <w:rPr>
          <w:rFonts w:cs="Times New Roman"/>
          <w:lang w:val="fr-CA"/>
        </w:rPr>
        <w:t>Reconnaissant la différence fondamentale entre les infractions provinciales et les infractions criminelles (tant du point de vue des aspects de la vie sociale qu</w:t>
      </w:r>
      <w:r>
        <w:rPr>
          <w:rFonts w:cs="Times New Roman"/>
          <w:lang w:val="fr-CA"/>
        </w:rPr>
        <w:t>’</w:t>
      </w:r>
      <w:r w:rsidRPr="00A22D0D">
        <w:rPr>
          <w:rFonts w:cs="Times New Roman"/>
          <w:lang w:val="fr-CA"/>
        </w:rPr>
        <w:t>elles régissent que des conséquences pour l</w:t>
      </w:r>
      <w:r>
        <w:rPr>
          <w:rFonts w:cs="Times New Roman"/>
          <w:lang w:val="fr-CA"/>
        </w:rPr>
        <w:t>’</w:t>
      </w:r>
      <w:r w:rsidRPr="00A22D0D">
        <w:rPr>
          <w:rFonts w:cs="Times New Roman"/>
          <w:lang w:val="fr-CA"/>
        </w:rPr>
        <w:t>accusé et pour la société en général), cette loi a instauré un nouvel ensemble simplifié de procédures destinées à s</w:t>
      </w:r>
      <w:r>
        <w:rPr>
          <w:rFonts w:cs="Times New Roman"/>
          <w:lang w:val="fr-CA"/>
        </w:rPr>
        <w:t>’</w:t>
      </w:r>
      <w:r w:rsidRPr="00A22D0D">
        <w:rPr>
          <w:rFonts w:cs="Times New Roman"/>
          <w:lang w:val="fr-CA"/>
        </w:rPr>
        <w:t xml:space="preserve">appliquer </w:t>
      </w:r>
      <w:r w:rsidRPr="00A22D0D">
        <w:rPr>
          <w:rFonts w:cs="Times New Roman"/>
          <w:i/>
          <w:lang w:val="fr-CA"/>
        </w:rPr>
        <w:t>exclusivement</w:t>
      </w:r>
      <w:r w:rsidRPr="00A22D0D">
        <w:rPr>
          <w:rFonts w:cs="Times New Roman"/>
          <w:lang w:val="fr-CA"/>
        </w:rPr>
        <w:t xml:space="preserve"> aux poursuites </w:t>
      </w:r>
      <w:r w:rsidRPr="00A22D0D">
        <w:rPr>
          <w:rFonts w:cs="Times New Roman"/>
          <w:lang w:val="fr-CA"/>
        </w:rPr>
        <w:lastRenderedPageBreak/>
        <w:t xml:space="preserve">relatives à des infractions provinciales. Ainsi, les nouvelles procédures informelles et accessibles reflètent le fait que les formalités et règles techniques prévues au </w:t>
      </w:r>
      <w:r w:rsidRPr="00A22D0D">
        <w:rPr>
          <w:rFonts w:cs="Times New Roman"/>
          <w:i/>
          <w:lang w:val="fr-CA"/>
        </w:rPr>
        <w:t>C</w:t>
      </w:r>
      <w:r w:rsidR="00385B9C">
        <w:rPr>
          <w:rFonts w:cs="Times New Roman"/>
          <w:i/>
          <w:lang w:val="fr-CA"/>
        </w:rPr>
        <w:t>ode criminel</w:t>
      </w:r>
      <w:r w:rsidRPr="00A22D0D">
        <w:rPr>
          <w:rFonts w:cs="Times New Roman"/>
          <w:lang w:val="fr-CA"/>
        </w:rPr>
        <w:t xml:space="preserve"> ne convenaient pas aux poursuites intentées relativement à la plupart des infractions provinciales : </w:t>
      </w:r>
      <w:r w:rsidR="00385B9C">
        <w:rPr>
          <w:rFonts w:cs="Times New Roman"/>
          <w:lang w:val="fr-CA"/>
        </w:rPr>
        <w:t xml:space="preserve">Ontario, </w:t>
      </w:r>
      <w:r w:rsidRPr="00A22D0D">
        <w:rPr>
          <w:rFonts w:cs="Times New Roman"/>
          <w:lang w:val="fr-CA"/>
        </w:rPr>
        <w:t xml:space="preserve">ministère du Procureur général, </w:t>
      </w:r>
      <w:r w:rsidRPr="00A22D0D">
        <w:rPr>
          <w:rFonts w:cs="Times New Roman"/>
          <w:i/>
          <w:lang w:val="fr-CA"/>
        </w:rPr>
        <w:t>Provincial Offences Procedure</w:t>
      </w:r>
      <w:r w:rsidR="00A70C2D">
        <w:rPr>
          <w:rFonts w:cs="Times New Roman"/>
          <w:i/>
          <w:lang w:val="fr-CA"/>
        </w:rPr>
        <w:t xml:space="preserve"> </w:t>
      </w:r>
      <w:r w:rsidRPr="00A22D0D">
        <w:rPr>
          <w:rFonts w:cs="Times New Roman"/>
          <w:i/>
          <w:lang w:val="fr-CA"/>
        </w:rPr>
        <w:t>: An Analysis and Explanation of Legislative Proposals</w:t>
      </w:r>
      <w:r w:rsidRPr="00A22D0D">
        <w:rPr>
          <w:rFonts w:cs="Times New Roman"/>
          <w:lang w:val="fr-CA"/>
        </w:rPr>
        <w:t xml:space="preserve">  — </w:t>
      </w:r>
      <w:r w:rsidRPr="00A22D0D">
        <w:rPr>
          <w:rFonts w:cs="Times New Roman"/>
          <w:i/>
          <w:lang w:val="fr-CA"/>
        </w:rPr>
        <w:t>The Provincial Offences Act, 1978 and The Provincial Courts Amendment Act, 1978</w:t>
      </w:r>
      <w:r w:rsidRPr="00A22D0D">
        <w:rPr>
          <w:rFonts w:cs="Times New Roman"/>
          <w:lang w:val="fr-CA"/>
        </w:rPr>
        <w:t xml:space="preserve"> (1978) (« </w:t>
      </w:r>
      <w:r w:rsidRPr="00A22D0D">
        <w:rPr>
          <w:rFonts w:cs="Times New Roman"/>
          <w:i/>
          <w:lang w:val="fr-CA"/>
        </w:rPr>
        <w:t>Analysis and Explanation</w:t>
      </w:r>
      <w:r w:rsidRPr="00A22D0D">
        <w:rPr>
          <w:rFonts w:cs="Times New Roman"/>
          <w:lang w:val="fr-CA"/>
        </w:rPr>
        <w:t xml:space="preserve"> »), p. 1.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La Législature a ainsi énoncé l</w:t>
      </w:r>
      <w:r>
        <w:rPr>
          <w:rFonts w:cs="Times New Roman"/>
          <w:lang w:val="fr-CA"/>
        </w:rPr>
        <w:t>’</w:t>
      </w:r>
      <w:r w:rsidRPr="00A22D0D">
        <w:rPr>
          <w:rFonts w:cs="Times New Roman"/>
          <w:lang w:val="fr-CA"/>
        </w:rPr>
        <w:t xml:space="preserve">objet de la </w:t>
      </w:r>
      <w:r w:rsidRPr="00A22D0D">
        <w:rPr>
          <w:rFonts w:cs="Times New Roman"/>
          <w:i/>
          <w:lang w:val="fr-CA"/>
        </w:rPr>
        <w:t>LIP</w:t>
      </w:r>
      <w:r w:rsidRPr="00A22D0D">
        <w:rPr>
          <w:rFonts w:cs="Times New Roman"/>
          <w:lang w:val="fr-CA"/>
        </w:rPr>
        <w:t xml:space="preserve"> à son par. 2(1) : </w:t>
      </w:r>
    </w:p>
    <w:p w:rsidR="00132FB1" w:rsidRPr="00A22D0D" w:rsidRDefault="00132FB1" w:rsidP="00073901">
      <w:pPr>
        <w:pStyle w:val="Citation-AltC"/>
        <w:widowControl w:val="0"/>
        <w:ind w:hanging="1166"/>
        <w:rPr>
          <w:lang w:val="fr-CA"/>
        </w:rPr>
      </w:pPr>
      <w:r w:rsidRPr="00A22D0D">
        <w:rPr>
          <w:b/>
          <w:lang w:val="fr-CA"/>
        </w:rPr>
        <w:tab/>
        <w:t>2 </w:t>
      </w:r>
      <w:r w:rsidRPr="00A22D0D">
        <w:rPr>
          <w:lang w:val="fr-CA"/>
        </w:rPr>
        <w:t>(1) La présente loi a pour objet de remplacer la procédure de déclaration de culpabilité par procédure sommaire dans les poursuites à l</w:t>
      </w:r>
      <w:r>
        <w:rPr>
          <w:lang w:val="fr-CA"/>
        </w:rPr>
        <w:t>’</w:t>
      </w:r>
      <w:r w:rsidRPr="00A22D0D">
        <w:rPr>
          <w:lang w:val="fr-CA"/>
        </w:rPr>
        <w:t>égard d</w:t>
      </w:r>
      <w:r>
        <w:rPr>
          <w:lang w:val="fr-CA"/>
        </w:rPr>
        <w:t>’</w:t>
      </w:r>
      <w:r w:rsidRPr="00A22D0D">
        <w:rPr>
          <w:lang w:val="fr-CA"/>
        </w:rPr>
        <w:t xml:space="preserve">infractions provinciales, y compris les dispositions adoptées par renvoi au </w:t>
      </w:r>
      <w:r>
        <w:rPr>
          <w:i/>
          <w:iCs/>
          <w:lang w:val="fr-CA"/>
        </w:rPr>
        <w:t>Code criminel</w:t>
      </w:r>
      <w:r w:rsidRPr="00A22D0D">
        <w:rPr>
          <w:lang w:val="fr-CA"/>
        </w:rPr>
        <w:t xml:space="preserve"> (Canada), par une procédure qui reflète la distinction existant entre les infractions provinciales et les infractions criminelles.</w:t>
      </w:r>
    </w:p>
    <w:p w:rsidR="00132FB1" w:rsidRPr="00A22D0D" w:rsidRDefault="00132FB1" w:rsidP="00073901">
      <w:pPr>
        <w:pStyle w:val="ContinueParaSuitedupar-AltP"/>
        <w:widowControl w:val="0"/>
        <w:rPr>
          <w:rFonts w:cs="Times New Roman"/>
          <w:lang w:val="fr-CA"/>
        </w:rPr>
      </w:pPr>
      <w:r w:rsidRPr="00A22D0D">
        <w:rPr>
          <w:rFonts w:cs="Times New Roman"/>
          <w:lang w:val="fr-CA"/>
        </w:rPr>
        <w:t>Au moment de l</w:t>
      </w:r>
      <w:r>
        <w:rPr>
          <w:rFonts w:cs="Times New Roman"/>
          <w:lang w:val="fr-CA"/>
        </w:rPr>
        <w:t>’</w:t>
      </w:r>
      <w:r w:rsidRPr="00A22D0D">
        <w:rPr>
          <w:rFonts w:cs="Times New Roman"/>
          <w:lang w:val="fr-CA"/>
        </w:rPr>
        <w:t>adoption de la loi, le ministère du Procureur général de l</w:t>
      </w:r>
      <w:r>
        <w:rPr>
          <w:rFonts w:cs="Times New Roman"/>
          <w:lang w:val="fr-CA"/>
        </w:rPr>
        <w:t>’</w:t>
      </w:r>
      <w:r w:rsidRPr="00A22D0D">
        <w:rPr>
          <w:rFonts w:cs="Times New Roman"/>
          <w:lang w:val="fr-CA"/>
        </w:rPr>
        <w:t xml:space="preserve">Ontario a fait la déclaration suivante au sujet des effets recherchés par cette disposition : </w:t>
      </w:r>
    </w:p>
    <w:p w:rsidR="00132FB1" w:rsidRPr="00A22D0D" w:rsidRDefault="00132FB1" w:rsidP="00073901">
      <w:pPr>
        <w:pStyle w:val="Citation-AltC"/>
        <w:widowControl w:val="0"/>
        <w:spacing w:after="240"/>
        <w:ind w:left="1168" w:hanging="1166"/>
        <w:contextualSpacing w:val="0"/>
        <w:rPr>
          <w:lang w:val="fr-CA"/>
        </w:rPr>
      </w:pPr>
      <w:r w:rsidRPr="00A22D0D">
        <w:rPr>
          <w:lang w:val="fr-CA"/>
        </w:rPr>
        <w:tab/>
      </w:r>
      <w:r w:rsidR="00F46947">
        <w:rPr>
          <w:lang w:val="fr-CA"/>
        </w:rPr>
        <w:tab/>
      </w:r>
      <w:r w:rsidRPr="00A22D0D">
        <w:rPr>
          <w:lang w:val="fr-CA"/>
        </w:rPr>
        <w:t>[</w:t>
      </w:r>
      <w:r w:rsidRPr="00A22D0D">
        <w:rPr>
          <w:smallCaps/>
          <w:lang w:val="fr-CA"/>
        </w:rPr>
        <w:t>traduction</w:t>
      </w:r>
      <w:r w:rsidRPr="00A22D0D">
        <w:rPr>
          <w:lang w:val="fr-CA"/>
        </w:rPr>
        <w:t xml:space="preserve">] [L]e paragraphe [2(1)] vise à aider les tribunaux à interpréter la Loi en attirant leur attention sur le </w:t>
      </w:r>
      <w:r w:rsidRPr="00A22D0D">
        <w:rPr>
          <w:u w:val="single"/>
          <w:lang w:val="fr-CA"/>
        </w:rPr>
        <w:t>principe fondamental de cette loi, à savoir qu</w:t>
      </w:r>
      <w:r>
        <w:rPr>
          <w:u w:val="single"/>
          <w:lang w:val="fr-CA"/>
        </w:rPr>
        <w:t>’</w:t>
      </w:r>
      <w:r w:rsidRPr="00A22D0D">
        <w:rPr>
          <w:u w:val="single"/>
          <w:lang w:val="fr-CA"/>
        </w:rPr>
        <w:t>elle est censée remplacer entièrement la procédure existante en matière criminelle, plutôt que de simplement la modifier</w:t>
      </w:r>
      <w:r w:rsidRPr="00A22D0D">
        <w:rPr>
          <w:lang w:val="fr-CA"/>
        </w:rPr>
        <w:t>. Les procédures prescrites par la Loi traduisent une philosophie entièrement nouvelle, c</w:t>
      </w:r>
      <w:r>
        <w:rPr>
          <w:lang w:val="fr-CA"/>
        </w:rPr>
        <w:t>’</w:t>
      </w:r>
      <w:r w:rsidRPr="00A22D0D">
        <w:rPr>
          <w:lang w:val="fr-CA"/>
        </w:rPr>
        <w:t xml:space="preserve">est-à-dire que </w:t>
      </w:r>
      <w:r w:rsidRPr="00A22D0D">
        <w:rPr>
          <w:u w:val="single"/>
          <w:lang w:val="fr-CA"/>
        </w:rPr>
        <w:t>les infractions provinciales doivent être traitées différemment des infractions criminelles, et ce, à chaque étape des procédures</w:t>
      </w:r>
      <w:r w:rsidRPr="00A22D0D">
        <w:rPr>
          <w:lang w:val="fr-CA"/>
        </w:rPr>
        <w:t xml:space="preserve">, cette différence de traitement tenant compte du fait que le formalisme rigide propre à la procédure pénale ne convient pas aux infractions provinciales. </w:t>
      </w:r>
    </w:p>
    <w:p w:rsidR="00132FB1" w:rsidRPr="00A22D0D" w:rsidRDefault="00F46947" w:rsidP="00073901">
      <w:pPr>
        <w:pStyle w:val="Citation-AltC"/>
        <w:widowControl w:val="0"/>
        <w:spacing w:after="240"/>
        <w:ind w:left="1168" w:hanging="1168"/>
        <w:contextualSpacing w:val="0"/>
        <w:jc w:val="center"/>
        <w:rPr>
          <w:lang w:val="fr-CA"/>
        </w:rPr>
      </w:pPr>
      <w:r>
        <w:rPr>
          <w:lang w:val="fr-CA"/>
        </w:rPr>
        <w:t>. . .</w:t>
      </w:r>
    </w:p>
    <w:p w:rsidR="00132FB1" w:rsidRPr="00A22D0D" w:rsidRDefault="00132FB1" w:rsidP="00073901">
      <w:pPr>
        <w:pStyle w:val="Citation-AltC"/>
        <w:widowControl w:val="0"/>
        <w:spacing w:after="240"/>
        <w:ind w:left="1168" w:hanging="1168"/>
        <w:contextualSpacing w:val="0"/>
        <w:rPr>
          <w:lang w:val="fr-CA"/>
        </w:rPr>
      </w:pPr>
      <w:r w:rsidRPr="00A22D0D">
        <w:rPr>
          <w:lang w:val="fr-CA"/>
        </w:rPr>
        <w:lastRenderedPageBreak/>
        <w:tab/>
      </w:r>
      <w:r w:rsidRPr="00A22D0D">
        <w:rPr>
          <w:lang w:val="fr-CA"/>
        </w:rPr>
        <w:tab/>
        <w:t>La distinction qui sera établie entre les procès portant sur des infractions provinciales et ceux relatifs à des infractions criminelles devrait permettre de favoriser un environnement où les premières seront traitées de manière bien moins rigide et formelle que dans le cas d</w:t>
      </w:r>
      <w:r>
        <w:rPr>
          <w:lang w:val="fr-CA"/>
        </w:rPr>
        <w:t>’</w:t>
      </w:r>
      <w:r w:rsidRPr="00A22D0D">
        <w:rPr>
          <w:lang w:val="fr-CA"/>
        </w:rPr>
        <w:t>instances ayant trait à des infractions criminelles. Il est à souhaiter que, au fil du temps, toutes les personnes prenant part à des poursuites pour des infractions à une loi provinciale [. . .] seront imprégnées de cette distinction, et que cela se reflétera dans leur façon d</w:t>
      </w:r>
      <w:r>
        <w:rPr>
          <w:lang w:val="fr-CA"/>
        </w:rPr>
        <w:t>’</w:t>
      </w:r>
      <w:r w:rsidRPr="00A22D0D">
        <w:rPr>
          <w:lang w:val="fr-CA"/>
        </w:rPr>
        <w:t>aborder ce type d</w:t>
      </w:r>
      <w:r>
        <w:rPr>
          <w:lang w:val="fr-CA"/>
        </w:rPr>
        <w:t>’</w:t>
      </w:r>
      <w:r w:rsidRPr="00A22D0D">
        <w:rPr>
          <w:lang w:val="fr-CA"/>
        </w:rPr>
        <w:t>infraction. [Je souligne.]</w:t>
      </w:r>
    </w:p>
    <w:p w:rsidR="00132FB1" w:rsidRPr="00A22D0D" w:rsidRDefault="00132FB1" w:rsidP="00073901">
      <w:pPr>
        <w:pStyle w:val="Citation-AltC"/>
        <w:widowControl w:val="0"/>
        <w:ind w:hanging="1166"/>
        <w:rPr>
          <w:lang w:val="fr-CA"/>
        </w:rPr>
      </w:pPr>
      <w:r w:rsidRPr="00A22D0D">
        <w:rPr>
          <w:lang w:val="fr-CA"/>
        </w:rPr>
        <w:t>(</w:t>
      </w:r>
      <w:r w:rsidRPr="00A22D0D">
        <w:rPr>
          <w:i/>
          <w:lang w:val="fr-CA"/>
        </w:rPr>
        <w:t>Analysis and Explanation</w:t>
      </w:r>
      <w:r w:rsidRPr="00A22D0D">
        <w:rPr>
          <w:lang w:val="fr-CA"/>
        </w:rPr>
        <w:t>, p. 25 et 92)</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 xml:space="preserve">En adoptant la </w:t>
      </w:r>
      <w:r w:rsidRPr="00A22D0D">
        <w:rPr>
          <w:rFonts w:cs="Times New Roman"/>
          <w:i/>
          <w:lang w:val="fr-CA"/>
        </w:rPr>
        <w:t>LIP</w:t>
      </w:r>
      <w:r w:rsidRPr="00A22D0D">
        <w:rPr>
          <w:rFonts w:cs="Times New Roman"/>
          <w:lang w:val="fr-CA"/>
        </w:rPr>
        <w:t>, la Législature a agi à l</w:t>
      </w:r>
      <w:r>
        <w:rPr>
          <w:rFonts w:cs="Times New Roman"/>
          <w:lang w:val="fr-CA"/>
        </w:rPr>
        <w:t>’</w:t>
      </w:r>
      <w:r w:rsidRPr="00A22D0D">
        <w:rPr>
          <w:rFonts w:cs="Times New Roman"/>
          <w:lang w:val="fr-CA"/>
        </w:rPr>
        <w:t>intérieur de son champ de compétence législative afin d</w:t>
      </w:r>
      <w:r>
        <w:rPr>
          <w:rFonts w:cs="Times New Roman"/>
          <w:lang w:val="fr-CA"/>
        </w:rPr>
        <w:t>’</w:t>
      </w:r>
      <w:r w:rsidRPr="00A22D0D">
        <w:rPr>
          <w:rFonts w:cs="Times New Roman"/>
          <w:lang w:val="fr-CA"/>
        </w:rPr>
        <w:t>instaurer une nouvelle procédure simplifiée en vue d</w:t>
      </w:r>
      <w:r>
        <w:rPr>
          <w:rFonts w:cs="Times New Roman"/>
          <w:lang w:val="fr-CA"/>
        </w:rPr>
        <w:t>’</w:t>
      </w:r>
      <w:r w:rsidRPr="00A22D0D">
        <w:rPr>
          <w:rFonts w:cs="Times New Roman"/>
          <w:lang w:val="fr-CA"/>
        </w:rPr>
        <w:t>assurer l</w:t>
      </w:r>
      <w:r>
        <w:rPr>
          <w:rFonts w:cs="Times New Roman"/>
          <w:lang w:val="fr-CA"/>
        </w:rPr>
        <w:t>’</w:t>
      </w:r>
      <w:r w:rsidRPr="00A22D0D">
        <w:rPr>
          <w:rFonts w:cs="Times New Roman"/>
          <w:lang w:val="fr-CA"/>
        </w:rPr>
        <w:t xml:space="preserve">efficacité des poursuites visant des infractions provinciales. Par conséquent, les procédures prévues par la </w:t>
      </w:r>
      <w:r w:rsidRPr="00A22D0D">
        <w:rPr>
          <w:rFonts w:cs="Times New Roman"/>
          <w:i/>
          <w:lang w:val="fr-CA"/>
        </w:rPr>
        <w:t>LIP</w:t>
      </w:r>
      <w:r w:rsidRPr="00A22D0D">
        <w:rPr>
          <w:rFonts w:cs="Times New Roman"/>
          <w:lang w:val="fr-CA"/>
        </w:rPr>
        <w:t xml:space="preserve"> ne s</w:t>
      </w:r>
      <w:r>
        <w:rPr>
          <w:rFonts w:cs="Times New Roman"/>
          <w:lang w:val="fr-CA"/>
        </w:rPr>
        <w:t>’</w:t>
      </w:r>
      <w:r w:rsidRPr="00A22D0D">
        <w:rPr>
          <w:rFonts w:cs="Times New Roman"/>
          <w:lang w:val="fr-CA"/>
        </w:rPr>
        <w:t>appliquent qu</w:t>
      </w:r>
      <w:r>
        <w:rPr>
          <w:rFonts w:cs="Times New Roman"/>
          <w:lang w:val="fr-CA"/>
        </w:rPr>
        <w:t>’</w:t>
      </w:r>
      <w:r w:rsidRPr="00A22D0D">
        <w:rPr>
          <w:rFonts w:cs="Times New Roman"/>
          <w:lang w:val="fr-CA"/>
        </w:rPr>
        <w:t>aux infractions créées par « une loi de la Législature ou [par] un règlement ou un règlement administratif pris en application d</w:t>
      </w:r>
      <w:r>
        <w:rPr>
          <w:rFonts w:cs="Times New Roman"/>
          <w:lang w:val="fr-CA"/>
        </w:rPr>
        <w:t>’</w:t>
      </w:r>
      <w:r w:rsidRPr="00A22D0D">
        <w:rPr>
          <w:rFonts w:cs="Times New Roman"/>
          <w:lang w:val="fr-CA"/>
        </w:rPr>
        <w:t xml:space="preserve">une telle loi » : art. 1(1) « infraction ». De même, le </w:t>
      </w:r>
      <w:r w:rsidRPr="00A22D0D">
        <w:rPr>
          <w:rFonts w:cs="Times New Roman"/>
          <w:i/>
          <w:lang w:val="fr-CA"/>
        </w:rPr>
        <w:t>C</w:t>
      </w:r>
      <w:r w:rsidR="002A3188">
        <w:rPr>
          <w:rFonts w:cs="Times New Roman"/>
          <w:i/>
          <w:lang w:val="fr-CA"/>
        </w:rPr>
        <w:t>ode criminel</w:t>
      </w:r>
      <w:r w:rsidRPr="00A22D0D">
        <w:rPr>
          <w:rFonts w:cs="Times New Roman"/>
          <w:i/>
          <w:lang w:val="fr-CA"/>
        </w:rPr>
        <w:t xml:space="preserve"> </w:t>
      </w:r>
      <w:r w:rsidRPr="00A22D0D">
        <w:rPr>
          <w:rFonts w:cs="Times New Roman"/>
          <w:lang w:val="fr-CA"/>
        </w:rPr>
        <w:t>dispose</w:t>
      </w:r>
      <w:r w:rsidRPr="00A22D0D">
        <w:rPr>
          <w:rFonts w:cs="Times New Roman"/>
          <w:i/>
          <w:lang w:val="fr-CA"/>
        </w:rPr>
        <w:t xml:space="preserve"> </w:t>
      </w:r>
      <w:r w:rsidRPr="00A22D0D">
        <w:rPr>
          <w:rFonts w:cs="Times New Roman"/>
          <w:lang w:val="fr-CA"/>
        </w:rPr>
        <w:t>que l</w:t>
      </w:r>
      <w:r>
        <w:rPr>
          <w:rFonts w:cs="Times New Roman"/>
          <w:lang w:val="fr-CA"/>
        </w:rPr>
        <w:t>’</w:t>
      </w:r>
      <w:r w:rsidRPr="00A22D0D">
        <w:rPr>
          <w:rFonts w:cs="Times New Roman"/>
          <w:lang w:val="fr-CA"/>
        </w:rPr>
        <w:t>on ne peut recourir aux procédures relatives à des infractions punissables sur déclaration de culpabilité par procédure sommaire qu</w:t>
      </w:r>
      <w:r>
        <w:rPr>
          <w:rFonts w:cs="Times New Roman"/>
          <w:lang w:val="fr-CA"/>
        </w:rPr>
        <w:t>’</w:t>
      </w:r>
      <w:r w:rsidRPr="00A22D0D">
        <w:rPr>
          <w:rFonts w:cs="Times New Roman"/>
          <w:lang w:val="fr-CA"/>
        </w:rPr>
        <w:t>à l</w:t>
      </w:r>
      <w:r>
        <w:rPr>
          <w:rFonts w:cs="Times New Roman"/>
          <w:lang w:val="fr-CA"/>
        </w:rPr>
        <w:t>’</w:t>
      </w:r>
      <w:r w:rsidRPr="00A22D0D">
        <w:rPr>
          <w:rFonts w:cs="Times New Roman"/>
          <w:lang w:val="fr-CA"/>
        </w:rPr>
        <w:t>égard d</w:t>
      </w:r>
      <w:r>
        <w:rPr>
          <w:rFonts w:cs="Times New Roman"/>
          <w:lang w:val="fr-CA"/>
        </w:rPr>
        <w:t>’</w:t>
      </w:r>
      <w:r w:rsidRPr="00A22D0D">
        <w:rPr>
          <w:rFonts w:cs="Times New Roman"/>
          <w:lang w:val="fr-CA"/>
        </w:rPr>
        <w:t>« infractions qu</w:t>
      </w:r>
      <w:r>
        <w:rPr>
          <w:rFonts w:cs="Times New Roman"/>
          <w:lang w:val="fr-CA"/>
        </w:rPr>
        <w:t>’</w:t>
      </w:r>
      <w:r w:rsidRPr="00A22D0D">
        <w:rPr>
          <w:rFonts w:cs="Times New Roman"/>
          <w:lang w:val="fr-CA"/>
        </w:rPr>
        <w:t>une loi fédérale, ou toute disposition établie sous son régime, déclare punissables sur déclaration de culpabilité par procédure sommaire » : art. 785 « procédures ». En somme, les deux textes de loi établissent leur propre code de procédure autonome qui doit s</w:t>
      </w:r>
      <w:r>
        <w:rPr>
          <w:rFonts w:cs="Times New Roman"/>
          <w:lang w:val="fr-CA"/>
        </w:rPr>
        <w:t>’</w:t>
      </w:r>
      <w:r w:rsidRPr="00A22D0D">
        <w:rPr>
          <w:rFonts w:cs="Times New Roman"/>
          <w:lang w:val="fr-CA"/>
        </w:rPr>
        <w:t xml:space="preserve">appliquer uniquement aux poursuites relatives à des infractions prévues dans la loi par leur ordre de gouvernement respectif.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La mention d</w:t>
      </w:r>
      <w:r>
        <w:rPr>
          <w:rFonts w:cs="Times New Roman"/>
          <w:lang w:val="fr-CA"/>
        </w:rPr>
        <w:t>’</w:t>
      </w:r>
      <w:r w:rsidRPr="00A22D0D">
        <w:rPr>
          <w:rFonts w:cs="Times New Roman"/>
          <w:lang w:val="fr-CA"/>
        </w:rPr>
        <w:t xml:space="preserve">une « distinction existant entre les infractions provinciales et les infractions criminelles » faite au par. 2(1) de la </w:t>
      </w:r>
      <w:r w:rsidRPr="00A22D0D">
        <w:rPr>
          <w:rFonts w:cs="Times New Roman"/>
          <w:i/>
          <w:lang w:val="fr-CA"/>
        </w:rPr>
        <w:t>LIP</w:t>
      </w:r>
      <w:r w:rsidRPr="00A22D0D">
        <w:rPr>
          <w:rFonts w:cs="Times New Roman"/>
          <w:lang w:val="fr-CA"/>
        </w:rPr>
        <w:t xml:space="preserve"> est également un élément important en l</w:t>
      </w:r>
      <w:r>
        <w:rPr>
          <w:rFonts w:cs="Times New Roman"/>
          <w:lang w:val="fr-CA"/>
        </w:rPr>
        <w:t>’</w:t>
      </w:r>
      <w:r w:rsidRPr="00A22D0D">
        <w:rPr>
          <w:rFonts w:cs="Times New Roman"/>
          <w:lang w:val="fr-CA"/>
        </w:rPr>
        <w:t xml:space="preserve">espèce. Les infractions provinciales ne sont pas des crimes véritables, </w:t>
      </w:r>
      <w:r w:rsidRPr="00A22D0D">
        <w:rPr>
          <w:rFonts w:cs="Times New Roman"/>
          <w:lang w:val="fr-CA"/>
        </w:rPr>
        <w:lastRenderedPageBreak/>
        <w:t>étant dépourvues de l</w:t>
      </w:r>
      <w:r>
        <w:rPr>
          <w:rFonts w:cs="Times New Roman"/>
          <w:lang w:val="fr-CA"/>
        </w:rPr>
        <w:t>’</w:t>
      </w:r>
      <w:r w:rsidRPr="00A22D0D">
        <w:rPr>
          <w:rFonts w:cs="Times New Roman"/>
          <w:lang w:val="fr-CA"/>
        </w:rPr>
        <w:t xml:space="preserve">« objet valide de droit criminel » inhérent aux infractions créées par le </w:t>
      </w:r>
      <w:r w:rsidR="00C671CF">
        <w:rPr>
          <w:rFonts w:cs="Times New Roman"/>
          <w:i/>
          <w:lang w:val="fr-CA"/>
        </w:rPr>
        <w:t>Code criminel</w:t>
      </w:r>
      <w:r w:rsidRPr="00A22D0D">
        <w:rPr>
          <w:rFonts w:cs="Times New Roman"/>
          <w:lang w:val="fr-CA"/>
        </w:rPr>
        <w:t xml:space="preserve"> : </w:t>
      </w:r>
      <w:r w:rsidRPr="00A22D0D">
        <w:rPr>
          <w:rFonts w:cs="Times New Roman"/>
          <w:i/>
          <w:lang w:val="fr-CA"/>
        </w:rPr>
        <w:t>Renvoi relatif à la Loi sur les armes à feu (Can.)</w:t>
      </w:r>
      <w:r w:rsidRPr="00A22D0D">
        <w:rPr>
          <w:rFonts w:cs="Times New Roman"/>
          <w:lang w:val="fr-CA"/>
        </w:rPr>
        <w:t>, 2000 CSC 31, [2000] 1 R.C.S. 783, par. 27. Les infractions provinciales sont plutôt de nature réglementaire et, ainsi que l</w:t>
      </w:r>
      <w:r>
        <w:rPr>
          <w:rFonts w:cs="Times New Roman"/>
          <w:lang w:val="fr-CA"/>
        </w:rPr>
        <w:t>’</w:t>
      </w:r>
      <w:r w:rsidRPr="00A22D0D">
        <w:rPr>
          <w:rFonts w:cs="Times New Roman"/>
          <w:lang w:val="fr-CA"/>
        </w:rPr>
        <w:t>a fait remarquer mon collègue le juge Moldaver au par. 22 de ses motifs, elles supposent habituellement « une culpabilité morale moins élevée » que les crimes proprement dits. Témoignant de cette différence importante, le libellé du par. 2(1) signale que l</w:t>
      </w:r>
      <w:r>
        <w:rPr>
          <w:rFonts w:cs="Times New Roman"/>
          <w:lang w:val="fr-CA"/>
        </w:rPr>
        <w:t>’</w:t>
      </w:r>
      <w:r w:rsidRPr="00A22D0D">
        <w:rPr>
          <w:rFonts w:cs="Times New Roman"/>
          <w:lang w:val="fr-CA"/>
        </w:rPr>
        <w:t>instruction des infractions provinciales n</w:t>
      </w:r>
      <w:r>
        <w:rPr>
          <w:rFonts w:cs="Times New Roman"/>
          <w:lang w:val="fr-CA"/>
        </w:rPr>
        <w:t>’</w:t>
      </w:r>
      <w:r w:rsidRPr="00A22D0D">
        <w:rPr>
          <w:rFonts w:cs="Times New Roman"/>
          <w:lang w:val="fr-CA"/>
        </w:rPr>
        <w:t>exige pas — et ne devrait pas comporter — le même degré de complexité et de formalité que celle des infractions criminelles. Cette interprétation est étayée par les remarques suivantes du ministère du Procureur général de l</w:t>
      </w:r>
      <w:r>
        <w:rPr>
          <w:rFonts w:cs="Times New Roman"/>
          <w:lang w:val="fr-CA"/>
        </w:rPr>
        <w:t>’</w:t>
      </w:r>
      <w:r w:rsidRPr="00A22D0D">
        <w:rPr>
          <w:rFonts w:cs="Times New Roman"/>
          <w:lang w:val="fr-CA"/>
        </w:rPr>
        <w:t xml:space="preserve">Ontario tirées du document </w:t>
      </w:r>
      <w:r w:rsidRPr="00A22D0D">
        <w:rPr>
          <w:rFonts w:cs="Times New Roman"/>
          <w:i/>
          <w:lang w:val="fr-CA"/>
        </w:rPr>
        <w:t>Analysis and Explanation </w:t>
      </w:r>
      <w:r w:rsidRPr="00A22D0D">
        <w:rPr>
          <w:rFonts w:cs="Times New Roman"/>
          <w:lang w:val="fr-CA"/>
        </w:rPr>
        <w:t>:</w:t>
      </w:r>
      <w:r w:rsidRPr="00A22D0D">
        <w:rPr>
          <w:rFonts w:cs="Times New Roman"/>
          <w:i/>
          <w:lang w:val="fr-CA"/>
        </w:rPr>
        <w:t xml:space="preserve"> </w:t>
      </w:r>
    </w:p>
    <w:p w:rsidR="00132FB1" w:rsidRPr="00A22D0D" w:rsidRDefault="00132FB1" w:rsidP="00073901">
      <w:pPr>
        <w:pStyle w:val="Citation-AltC"/>
        <w:widowControl w:val="0"/>
        <w:ind w:hanging="1166"/>
        <w:rPr>
          <w:lang w:val="fr-CA"/>
        </w:rPr>
      </w:pPr>
      <w:r w:rsidRPr="00A22D0D">
        <w:rPr>
          <w:lang w:val="fr-CA"/>
        </w:rPr>
        <w:tab/>
        <w:t>[</w:t>
      </w:r>
      <w:r w:rsidRPr="00A22D0D">
        <w:rPr>
          <w:smallCaps/>
          <w:lang w:val="fr-CA"/>
        </w:rPr>
        <w:t>traduction</w:t>
      </w:r>
      <w:r w:rsidRPr="00A22D0D">
        <w:rPr>
          <w:lang w:val="fr-CA"/>
        </w:rPr>
        <w:t>] . . . puisqu</w:t>
      </w:r>
      <w:r>
        <w:rPr>
          <w:lang w:val="fr-CA"/>
        </w:rPr>
        <w:t>’</w:t>
      </w:r>
      <w:r w:rsidRPr="00A22D0D">
        <w:rPr>
          <w:lang w:val="fr-CA"/>
        </w:rPr>
        <w:t xml:space="preserve">il existe </w:t>
      </w:r>
      <w:r w:rsidRPr="00A22D0D">
        <w:rPr>
          <w:u w:val="single"/>
          <w:lang w:val="fr-CA"/>
        </w:rPr>
        <w:t>des infractions provinciales très graves</w:t>
      </w:r>
      <w:r w:rsidRPr="002207F4">
        <w:rPr>
          <w:lang w:val="fr-CA"/>
        </w:rPr>
        <w:t xml:space="preserve"> </w:t>
      </w:r>
      <w:r w:rsidRPr="00A22D0D">
        <w:rPr>
          <w:lang w:val="fr-CA"/>
        </w:rPr>
        <w:t>passibles de lourdes amendes et de peines d</w:t>
      </w:r>
      <w:r>
        <w:rPr>
          <w:lang w:val="fr-CA"/>
        </w:rPr>
        <w:t>’</w:t>
      </w:r>
      <w:r w:rsidRPr="00A22D0D">
        <w:rPr>
          <w:lang w:val="fr-CA"/>
        </w:rPr>
        <w:t xml:space="preserve">emprisonnement prolongées, la Loi établit, pour ces infractions, </w:t>
      </w:r>
      <w:r w:rsidRPr="00A22D0D">
        <w:rPr>
          <w:u w:val="single"/>
          <w:lang w:val="fr-CA"/>
        </w:rPr>
        <w:t>un ensemble de procédures distinct, qui présente des ressemblances avec les règles de procédure</w:t>
      </w:r>
      <w:r w:rsidRPr="00A22D0D">
        <w:rPr>
          <w:lang w:val="fr-CA"/>
        </w:rPr>
        <w:t xml:space="preserve"> prévues au </w:t>
      </w:r>
      <w:r w:rsidRPr="00A22D0D">
        <w:rPr>
          <w:i/>
          <w:lang w:val="fr-CA"/>
        </w:rPr>
        <w:t>Code criminel</w:t>
      </w:r>
      <w:r w:rsidRPr="00A22D0D">
        <w:rPr>
          <w:lang w:val="fr-CA"/>
        </w:rPr>
        <w:t xml:space="preserve">, </w:t>
      </w:r>
      <w:r w:rsidRPr="00A22D0D">
        <w:rPr>
          <w:u w:val="single"/>
          <w:lang w:val="fr-CA"/>
        </w:rPr>
        <w:t>mais qui est néanmoins considérablement moins rigide que ces dernières</w:t>
      </w:r>
      <w:r w:rsidRPr="00A22D0D">
        <w:rPr>
          <w:lang w:val="fr-CA"/>
        </w:rPr>
        <w:t>. [Je souligne; p. 1.]</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Ces objectifs législatifs sont assurément atteints lorsque les infractions provinciales et les infractions criminelles punissables sur déclaration de culpabilité par procédure sommaire sont instruites séparément. Dans de tels cas, toutefois, il n</w:t>
      </w:r>
      <w:r>
        <w:rPr>
          <w:rFonts w:cs="Times New Roman"/>
          <w:lang w:val="fr-CA"/>
        </w:rPr>
        <w:t>’</w:t>
      </w:r>
      <w:r w:rsidRPr="00A22D0D">
        <w:rPr>
          <w:rFonts w:cs="Times New Roman"/>
          <w:lang w:val="fr-CA"/>
        </w:rPr>
        <w:t xml:space="preserve">est pas nécessaire de tenir deux procès </w:t>
      </w:r>
      <w:r w:rsidRPr="00A22D0D">
        <w:rPr>
          <w:rFonts w:cs="Times New Roman"/>
          <w:i/>
          <w:lang w:val="fr-CA"/>
        </w:rPr>
        <w:t>complets</w:t>
      </w:r>
      <w:r w:rsidRPr="00A22D0D">
        <w:rPr>
          <w:rFonts w:cs="Times New Roman"/>
          <w:lang w:val="fr-CA"/>
        </w:rPr>
        <w:t>, durant lesquels le ministère public aurait à présenter sa preuve à deux reprises. D</w:t>
      </w:r>
      <w:r>
        <w:rPr>
          <w:rFonts w:cs="Times New Roman"/>
          <w:lang w:val="fr-CA"/>
        </w:rPr>
        <w:t>’</w:t>
      </w:r>
      <w:r w:rsidRPr="00A22D0D">
        <w:rPr>
          <w:rFonts w:cs="Times New Roman"/>
          <w:lang w:val="fr-CA"/>
        </w:rPr>
        <w:t xml:space="preserve">ailleurs, le par. 47(1) de la </w:t>
      </w:r>
      <w:r w:rsidRPr="00A22D0D">
        <w:rPr>
          <w:rFonts w:cs="Times New Roman"/>
          <w:i/>
          <w:lang w:val="fr-CA"/>
        </w:rPr>
        <w:t>LIP</w:t>
      </w:r>
      <w:r w:rsidRPr="00A22D0D">
        <w:rPr>
          <w:rFonts w:cs="Times New Roman"/>
          <w:lang w:val="fr-CA"/>
        </w:rPr>
        <w:t xml:space="preserve"> prévoit ce qui suit :</w:t>
      </w:r>
      <w:r w:rsidRPr="00A22D0D">
        <w:rPr>
          <w:rFonts w:cs="Times New Roman"/>
          <w:i/>
          <w:lang w:val="fr-CA"/>
        </w:rPr>
        <w:t xml:space="preserve"> </w:t>
      </w:r>
    </w:p>
    <w:p w:rsidR="00132FB1" w:rsidRPr="00A22D0D" w:rsidRDefault="00132FB1" w:rsidP="00073901">
      <w:pPr>
        <w:pStyle w:val="Citation-AltC"/>
        <w:widowControl w:val="0"/>
        <w:ind w:hanging="1166"/>
        <w:rPr>
          <w:lang w:val="fr-CA"/>
        </w:rPr>
      </w:pPr>
      <w:r w:rsidRPr="00A22D0D">
        <w:rPr>
          <w:b/>
          <w:lang w:val="fr-CA"/>
        </w:rPr>
        <w:lastRenderedPageBreak/>
        <w:tab/>
        <w:t>47</w:t>
      </w:r>
      <w:r w:rsidRPr="00A22D0D">
        <w:rPr>
          <w:lang w:val="fr-CA"/>
        </w:rPr>
        <w:t> (1) Avec le consentement des parties, le tribunal peut recevoir et étudier les témoignages recueillis devant le même juge à l</w:t>
      </w:r>
      <w:r>
        <w:rPr>
          <w:lang w:val="fr-CA"/>
        </w:rPr>
        <w:t>’</w:t>
      </w:r>
      <w:r w:rsidRPr="00A22D0D">
        <w:rPr>
          <w:lang w:val="fr-CA"/>
        </w:rPr>
        <w:t>égard d</w:t>
      </w:r>
      <w:r>
        <w:rPr>
          <w:lang w:val="fr-CA"/>
        </w:rPr>
        <w:t>’</w:t>
      </w:r>
      <w:r w:rsidRPr="00A22D0D">
        <w:rPr>
          <w:lang w:val="fr-CA"/>
        </w:rPr>
        <w:t>une accusation différente portée contre le même défendeur.</w:t>
      </w:r>
    </w:p>
    <w:p w:rsidR="00132FB1" w:rsidRPr="00A22D0D" w:rsidRDefault="00132FB1" w:rsidP="00073901">
      <w:pPr>
        <w:pStyle w:val="ContinueParaSuitedupar-AltP"/>
        <w:widowControl w:val="0"/>
        <w:rPr>
          <w:rFonts w:cs="Times New Roman"/>
          <w:lang w:val="fr-CA"/>
        </w:rPr>
      </w:pPr>
      <w:r w:rsidRPr="00A22D0D">
        <w:rPr>
          <w:rFonts w:cs="Times New Roman"/>
          <w:lang w:val="fr-CA"/>
        </w:rPr>
        <w:t>Ainsi, conformément à l</w:t>
      </w:r>
      <w:r>
        <w:rPr>
          <w:rFonts w:cs="Times New Roman"/>
          <w:lang w:val="fr-CA"/>
        </w:rPr>
        <w:t>’</w:t>
      </w:r>
      <w:r w:rsidRPr="00A22D0D">
        <w:rPr>
          <w:rFonts w:cs="Times New Roman"/>
          <w:lang w:val="fr-CA"/>
        </w:rPr>
        <w:t>objectif de créer un système de poursuite efficace pour les infractions provinciales, le par. 47(1) permet au tribunal, après avoir obtenu le consentement des parties, de recevoir la preuve recueillie dans le cadre d</w:t>
      </w:r>
      <w:r>
        <w:rPr>
          <w:rFonts w:cs="Times New Roman"/>
          <w:lang w:val="fr-CA"/>
        </w:rPr>
        <w:t>’</w:t>
      </w:r>
      <w:r w:rsidRPr="00A22D0D">
        <w:rPr>
          <w:rFonts w:cs="Times New Roman"/>
          <w:lang w:val="fr-CA"/>
        </w:rPr>
        <w:t>une autre instance — y compris une instance criminelle — devant le même juge et de prendre en compte cette preuve afin de juger l</w:t>
      </w:r>
      <w:r>
        <w:rPr>
          <w:rFonts w:cs="Times New Roman"/>
          <w:lang w:val="fr-CA"/>
        </w:rPr>
        <w:t>’</w:t>
      </w:r>
      <w:r w:rsidRPr="00A22D0D">
        <w:rPr>
          <w:rFonts w:cs="Times New Roman"/>
          <w:lang w:val="fr-CA"/>
        </w:rPr>
        <w:t>accusation relative à l</w:t>
      </w:r>
      <w:r>
        <w:rPr>
          <w:rFonts w:cs="Times New Roman"/>
          <w:lang w:val="fr-CA"/>
        </w:rPr>
        <w:t>’</w:t>
      </w:r>
      <w:r w:rsidRPr="00A22D0D">
        <w:rPr>
          <w:rFonts w:cs="Times New Roman"/>
          <w:lang w:val="fr-CA"/>
        </w:rPr>
        <w:t>infraction provinciale. En pratique, cette disposition libère les parties de l</w:t>
      </w:r>
      <w:r>
        <w:rPr>
          <w:rFonts w:cs="Times New Roman"/>
          <w:lang w:val="fr-CA"/>
        </w:rPr>
        <w:t>’</w:t>
      </w:r>
      <w:r w:rsidRPr="00A22D0D">
        <w:rPr>
          <w:rFonts w:cs="Times New Roman"/>
          <w:lang w:val="fr-CA"/>
        </w:rPr>
        <w:t xml:space="preserve">obligation de produire deux fois les mêmes éléments de preuve, en plus de minimiser les inconvénients pour les témoins, qui, autrement, auraient à livrer les mêmes témoignages dans le cadre de deux auditions différentes.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Comme l</w:t>
      </w:r>
      <w:r>
        <w:rPr>
          <w:rFonts w:cs="Times New Roman"/>
          <w:lang w:val="fr-CA"/>
        </w:rPr>
        <w:t>’</w:t>
      </w:r>
      <w:r w:rsidRPr="00A22D0D">
        <w:rPr>
          <w:rFonts w:cs="Times New Roman"/>
          <w:lang w:val="fr-CA"/>
        </w:rPr>
        <w:t>a déclaré le ministère du Procureur général de l</w:t>
      </w:r>
      <w:r>
        <w:rPr>
          <w:rFonts w:cs="Times New Roman"/>
          <w:lang w:val="fr-CA"/>
        </w:rPr>
        <w:t>’</w:t>
      </w:r>
      <w:r w:rsidRPr="00A22D0D">
        <w:rPr>
          <w:rFonts w:cs="Times New Roman"/>
          <w:lang w:val="fr-CA"/>
        </w:rPr>
        <w:t>Ontario, cette disposition vise à [</w:t>
      </w:r>
      <w:r w:rsidRPr="00A22D0D">
        <w:rPr>
          <w:rFonts w:cs="Times New Roman"/>
          <w:smallCaps/>
          <w:lang w:val="fr-CA"/>
        </w:rPr>
        <w:t>traduction</w:t>
      </w:r>
      <w:r w:rsidRPr="00A22D0D">
        <w:rPr>
          <w:rFonts w:cs="Times New Roman"/>
          <w:lang w:val="fr-CA"/>
        </w:rPr>
        <w:t xml:space="preserve">] « empêcher que des règles techniques ne fassent obstacle à une instruction rapide lorsque les deux parties sont prêtes à consentir à une procédure expéditive » : </w:t>
      </w:r>
      <w:r w:rsidRPr="00A22D0D">
        <w:rPr>
          <w:rFonts w:cs="Times New Roman"/>
          <w:i/>
          <w:lang w:val="fr-CA"/>
        </w:rPr>
        <w:t>Analysis and Explanation</w:t>
      </w:r>
      <w:r w:rsidRPr="00A22D0D">
        <w:rPr>
          <w:rFonts w:cs="Times New Roman"/>
          <w:lang w:val="fr-CA"/>
        </w:rPr>
        <w:t>, p. 51. Cette déclaration renvoie directement au tiraillement qui existe entre le choix de créer un régime procédural distinct applicable aux infractions provinciales et les impératifs d</w:t>
      </w:r>
      <w:r>
        <w:rPr>
          <w:rFonts w:cs="Times New Roman"/>
          <w:lang w:val="fr-CA"/>
        </w:rPr>
        <w:t>’</w:t>
      </w:r>
      <w:r w:rsidRPr="00A22D0D">
        <w:rPr>
          <w:rFonts w:cs="Times New Roman"/>
          <w:lang w:val="fr-CA"/>
        </w:rPr>
        <w:t>économie et d</w:t>
      </w:r>
      <w:r>
        <w:rPr>
          <w:rFonts w:cs="Times New Roman"/>
          <w:lang w:val="fr-CA"/>
        </w:rPr>
        <w:t>’</w:t>
      </w:r>
      <w:r w:rsidRPr="00A22D0D">
        <w:rPr>
          <w:rFonts w:cs="Times New Roman"/>
          <w:lang w:val="fr-CA"/>
        </w:rPr>
        <w:t>efficacité des ressources judiciaires lorsque le ministère public choisit d</w:t>
      </w:r>
      <w:r>
        <w:rPr>
          <w:rFonts w:cs="Times New Roman"/>
          <w:lang w:val="fr-CA"/>
        </w:rPr>
        <w:t>’</w:t>
      </w:r>
      <w:r w:rsidRPr="00A22D0D">
        <w:rPr>
          <w:rFonts w:cs="Times New Roman"/>
          <w:lang w:val="fr-CA"/>
        </w:rPr>
        <w:t>instruire à la fois des infractions visées au</w:t>
      </w:r>
      <w:r w:rsidRPr="00A22D0D">
        <w:rPr>
          <w:rFonts w:cs="Times New Roman"/>
          <w:i/>
          <w:lang w:val="fr-CA"/>
        </w:rPr>
        <w:t xml:space="preserve"> C</w:t>
      </w:r>
      <w:r w:rsidR="00525AB5">
        <w:rPr>
          <w:rFonts w:cs="Times New Roman"/>
          <w:i/>
          <w:lang w:val="fr-CA"/>
        </w:rPr>
        <w:t>ode criminel</w:t>
      </w:r>
      <w:r w:rsidRPr="00A22D0D">
        <w:rPr>
          <w:rFonts w:cs="Times New Roman"/>
          <w:lang w:val="fr-CA"/>
        </w:rPr>
        <w:t xml:space="preserve"> et des infractions provinciales. Conscient</w:t>
      </w:r>
      <w:r w:rsidR="00525AB5">
        <w:rPr>
          <w:rFonts w:cs="Times New Roman"/>
          <w:lang w:val="fr-CA"/>
        </w:rPr>
        <w:t>e</w:t>
      </w:r>
      <w:r w:rsidRPr="00A22D0D">
        <w:rPr>
          <w:rFonts w:cs="Times New Roman"/>
          <w:lang w:val="fr-CA"/>
        </w:rPr>
        <w:t xml:space="preserve"> de cette difficulté, la Législature a tenté de parvenir à un point d</w:t>
      </w:r>
      <w:r>
        <w:rPr>
          <w:rFonts w:cs="Times New Roman"/>
          <w:lang w:val="fr-CA"/>
        </w:rPr>
        <w:t>’</w:t>
      </w:r>
      <w:r w:rsidRPr="00A22D0D">
        <w:rPr>
          <w:rFonts w:cs="Times New Roman"/>
          <w:lang w:val="fr-CA"/>
        </w:rPr>
        <w:t xml:space="preserve">équilibre, non pas en autorisant les procès conjoints, mais en donnant effet au par. 47(1) de la </w:t>
      </w:r>
      <w:r w:rsidRPr="00A22D0D">
        <w:rPr>
          <w:rFonts w:cs="Times New Roman"/>
          <w:i/>
          <w:lang w:val="fr-CA"/>
        </w:rPr>
        <w:lastRenderedPageBreak/>
        <w:t>LIP</w:t>
      </w:r>
      <w:r w:rsidRPr="00A22D0D">
        <w:rPr>
          <w:rFonts w:cs="Times New Roman"/>
          <w:lang w:val="fr-CA"/>
        </w:rPr>
        <w:t>.</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Au paragraphe 25 de ses motifs, mon collègue souligne que l</w:t>
      </w:r>
      <w:r>
        <w:rPr>
          <w:rFonts w:cs="Times New Roman"/>
          <w:lang w:val="fr-CA"/>
        </w:rPr>
        <w:t>’</w:t>
      </w:r>
      <w:r w:rsidRPr="00A22D0D">
        <w:rPr>
          <w:rFonts w:cs="Times New Roman"/>
          <w:lang w:val="fr-CA"/>
        </w:rPr>
        <w:t xml:space="preserve">exigence du consentement prévue au par. 47(1) de la </w:t>
      </w:r>
      <w:r w:rsidRPr="00A22D0D">
        <w:rPr>
          <w:rFonts w:cs="Times New Roman"/>
          <w:i/>
          <w:lang w:val="fr-CA"/>
        </w:rPr>
        <w:t>LIP</w:t>
      </w:r>
      <w:r w:rsidRPr="00A22D0D">
        <w:rPr>
          <w:rFonts w:cs="Times New Roman"/>
          <w:lang w:val="fr-CA"/>
        </w:rPr>
        <w:t xml:space="preserve"> donne dans les faits tant au ministère public qu</w:t>
      </w:r>
      <w:r>
        <w:rPr>
          <w:rFonts w:cs="Times New Roman"/>
          <w:lang w:val="fr-CA"/>
        </w:rPr>
        <w:t>’</w:t>
      </w:r>
      <w:r w:rsidRPr="00A22D0D">
        <w:rPr>
          <w:rFonts w:cs="Times New Roman"/>
          <w:lang w:val="fr-CA"/>
        </w:rPr>
        <w:t>à la défense un « pouvoir de refus » quant à l</w:t>
      </w:r>
      <w:r>
        <w:rPr>
          <w:rFonts w:cs="Times New Roman"/>
          <w:lang w:val="fr-CA"/>
        </w:rPr>
        <w:t>’</w:t>
      </w:r>
      <w:r w:rsidRPr="00A22D0D">
        <w:rPr>
          <w:rFonts w:cs="Times New Roman"/>
          <w:lang w:val="fr-CA"/>
        </w:rPr>
        <w:t>application de cette disposition. Certes. J</w:t>
      </w:r>
      <w:r>
        <w:rPr>
          <w:rFonts w:cs="Times New Roman"/>
          <w:lang w:val="fr-CA"/>
        </w:rPr>
        <w:t>’</w:t>
      </w:r>
      <w:r w:rsidRPr="00A22D0D">
        <w:rPr>
          <w:rFonts w:cs="Times New Roman"/>
          <w:lang w:val="fr-CA"/>
        </w:rPr>
        <w:t>estime cependant qu</w:t>
      </w:r>
      <w:r>
        <w:rPr>
          <w:rFonts w:cs="Times New Roman"/>
          <w:lang w:val="fr-CA"/>
        </w:rPr>
        <w:t>’</w:t>
      </w:r>
      <w:r w:rsidRPr="00A22D0D">
        <w:rPr>
          <w:rFonts w:cs="Times New Roman"/>
          <w:lang w:val="fr-CA"/>
        </w:rPr>
        <w:t>il s</w:t>
      </w:r>
      <w:r>
        <w:rPr>
          <w:rFonts w:cs="Times New Roman"/>
          <w:lang w:val="fr-CA"/>
        </w:rPr>
        <w:t>’</w:t>
      </w:r>
      <w:r w:rsidRPr="00A22D0D">
        <w:rPr>
          <w:rFonts w:cs="Times New Roman"/>
          <w:lang w:val="fr-CA"/>
        </w:rPr>
        <w:t>agit d</w:t>
      </w:r>
      <w:r>
        <w:rPr>
          <w:rFonts w:cs="Times New Roman"/>
          <w:lang w:val="fr-CA"/>
        </w:rPr>
        <w:t>’</w:t>
      </w:r>
      <w:r w:rsidRPr="00A22D0D">
        <w:rPr>
          <w:rFonts w:cs="Times New Roman"/>
          <w:lang w:val="fr-CA"/>
        </w:rPr>
        <w:t>un choix de la Législature qui reflète la nécessité d</w:t>
      </w:r>
      <w:r>
        <w:rPr>
          <w:rFonts w:cs="Times New Roman"/>
          <w:lang w:val="fr-CA"/>
        </w:rPr>
        <w:t>’</w:t>
      </w:r>
      <w:r w:rsidRPr="00A22D0D">
        <w:rPr>
          <w:rFonts w:cs="Times New Roman"/>
          <w:lang w:val="fr-CA"/>
        </w:rPr>
        <w:t>établir un équilibre adéquat entre la célérité et l</w:t>
      </w:r>
      <w:r>
        <w:rPr>
          <w:rFonts w:cs="Times New Roman"/>
          <w:lang w:val="fr-CA"/>
        </w:rPr>
        <w:t>’</w:t>
      </w:r>
      <w:r w:rsidRPr="00A22D0D">
        <w:rPr>
          <w:rFonts w:cs="Times New Roman"/>
          <w:lang w:val="fr-CA"/>
        </w:rPr>
        <w:t>efficacité d</w:t>
      </w:r>
      <w:r>
        <w:rPr>
          <w:rFonts w:cs="Times New Roman"/>
          <w:lang w:val="fr-CA"/>
        </w:rPr>
        <w:t>’</w:t>
      </w:r>
      <w:r w:rsidRPr="00A22D0D">
        <w:rPr>
          <w:rFonts w:cs="Times New Roman"/>
          <w:lang w:val="fr-CA"/>
        </w:rPr>
        <w:t>une part, et l</w:t>
      </w:r>
      <w:r>
        <w:rPr>
          <w:rFonts w:cs="Times New Roman"/>
          <w:lang w:val="fr-CA"/>
        </w:rPr>
        <w:t>’</w:t>
      </w:r>
      <w:r w:rsidRPr="00A22D0D">
        <w:rPr>
          <w:rFonts w:cs="Times New Roman"/>
          <w:lang w:val="fr-CA"/>
        </w:rPr>
        <w:t>importance de mener un procès complet et équitable d</w:t>
      </w:r>
      <w:r>
        <w:rPr>
          <w:rFonts w:cs="Times New Roman"/>
          <w:lang w:val="fr-CA"/>
        </w:rPr>
        <w:t>’</w:t>
      </w:r>
      <w:r w:rsidRPr="00A22D0D">
        <w:rPr>
          <w:rFonts w:cs="Times New Roman"/>
          <w:lang w:val="fr-CA"/>
        </w:rPr>
        <w:t>autre part. Dans les cas où l</w:t>
      </w:r>
      <w:r>
        <w:rPr>
          <w:rFonts w:cs="Times New Roman"/>
          <w:lang w:val="fr-CA"/>
        </w:rPr>
        <w:t>’</w:t>
      </w:r>
      <w:r w:rsidRPr="00A22D0D">
        <w:rPr>
          <w:rFonts w:cs="Times New Roman"/>
          <w:lang w:val="fr-CA"/>
        </w:rPr>
        <w:t>une ou l</w:t>
      </w:r>
      <w:r>
        <w:rPr>
          <w:rFonts w:cs="Times New Roman"/>
          <w:lang w:val="fr-CA"/>
        </w:rPr>
        <w:t>’</w:t>
      </w:r>
      <w:r w:rsidRPr="00A22D0D">
        <w:rPr>
          <w:rFonts w:cs="Times New Roman"/>
          <w:lang w:val="fr-CA"/>
        </w:rPr>
        <w:t>autre des parties considère qu</w:t>
      </w:r>
      <w:r>
        <w:rPr>
          <w:rFonts w:cs="Times New Roman"/>
          <w:lang w:val="fr-CA"/>
        </w:rPr>
        <w:t>’</w:t>
      </w:r>
      <w:r w:rsidRPr="00A22D0D">
        <w:rPr>
          <w:rFonts w:cs="Times New Roman"/>
          <w:lang w:val="fr-CA"/>
        </w:rPr>
        <w:t>il est avantageux sur le plan pratique de tenir deux procès complets, durant lesquels la preuve est présentée à deux reprises, le par. 47(1) offre la possibilité de faire de la sorte. Par exemple, si les éléments des infractions criminelle et provinciale dont l</w:t>
      </w:r>
      <w:r>
        <w:rPr>
          <w:rFonts w:cs="Times New Roman"/>
          <w:lang w:val="fr-CA"/>
        </w:rPr>
        <w:t>’</w:t>
      </w:r>
      <w:r w:rsidRPr="00A22D0D">
        <w:rPr>
          <w:rFonts w:cs="Times New Roman"/>
          <w:lang w:val="fr-CA"/>
        </w:rPr>
        <w:t>inculpé a été accusé sont différents, l</w:t>
      </w:r>
      <w:r>
        <w:rPr>
          <w:rFonts w:cs="Times New Roman"/>
          <w:lang w:val="fr-CA"/>
        </w:rPr>
        <w:t>’</w:t>
      </w:r>
      <w:r w:rsidRPr="00A22D0D">
        <w:rPr>
          <w:rFonts w:cs="Times New Roman"/>
          <w:lang w:val="fr-CA"/>
        </w:rPr>
        <w:t>une ou l</w:t>
      </w:r>
      <w:r>
        <w:rPr>
          <w:rFonts w:cs="Times New Roman"/>
          <w:lang w:val="fr-CA"/>
        </w:rPr>
        <w:t>’</w:t>
      </w:r>
      <w:r w:rsidRPr="00A22D0D">
        <w:rPr>
          <w:rFonts w:cs="Times New Roman"/>
          <w:lang w:val="fr-CA"/>
        </w:rPr>
        <w:t>autre des parties peut juger qu</w:t>
      </w:r>
      <w:r>
        <w:rPr>
          <w:rFonts w:cs="Times New Roman"/>
          <w:lang w:val="fr-CA"/>
        </w:rPr>
        <w:t>’</w:t>
      </w:r>
      <w:r w:rsidRPr="00A22D0D">
        <w:rPr>
          <w:rFonts w:cs="Times New Roman"/>
          <w:lang w:val="fr-CA"/>
        </w:rPr>
        <w:t xml:space="preserve">il est utile que le juge du procès réentende et réexamine la preuve. Suivant le mécanisme prévu au par. 47(1), la mise en application de cette disposition relève des parties plutôt que du juge. Les tribunaux doivent respecter ce choix du législateur.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En somme, tant le libellé que le contexte entourant l</w:t>
      </w:r>
      <w:r>
        <w:rPr>
          <w:rFonts w:cs="Times New Roman"/>
          <w:lang w:val="fr-CA"/>
        </w:rPr>
        <w:t>’</w:t>
      </w:r>
      <w:r w:rsidRPr="00A22D0D">
        <w:rPr>
          <w:rFonts w:cs="Times New Roman"/>
          <w:lang w:val="fr-CA"/>
        </w:rPr>
        <w:t xml:space="preserve">application de la </w:t>
      </w:r>
      <w:r w:rsidRPr="00A22D0D">
        <w:rPr>
          <w:rFonts w:cs="Times New Roman"/>
          <w:i/>
          <w:lang w:val="fr-CA"/>
        </w:rPr>
        <w:t>LIP</w:t>
      </w:r>
      <w:r w:rsidRPr="00A22D0D">
        <w:rPr>
          <w:rFonts w:cs="Times New Roman"/>
          <w:lang w:val="fr-CA"/>
        </w:rPr>
        <w:t xml:space="preserve"> signalent l</w:t>
      </w:r>
      <w:r>
        <w:rPr>
          <w:rFonts w:cs="Times New Roman"/>
          <w:lang w:val="fr-CA"/>
        </w:rPr>
        <w:t>’</w:t>
      </w:r>
      <w:r w:rsidRPr="00A22D0D">
        <w:rPr>
          <w:rFonts w:cs="Times New Roman"/>
          <w:lang w:val="fr-CA"/>
        </w:rPr>
        <w:t>intention qu</w:t>
      </w:r>
      <w:r>
        <w:rPr>
          <w:rFonts w:cs="Times New Roman"/>
          <w:lang w:val="fr-CA"/>
        </w:rPr>
        <w:t>’</w:t>
      </w:r>
      <w:r w:rsidRPr="00A22D0D">
        <w:rPr>
          <w:rFonts w:cs="Times New Roman"/>
          <w:lang w:val="fr-CA"/>
        </w:rPr>
        <w:t>avait la Législature en l</w:t>
      </w:r>
      <w:r>
        <w:rPr>
          <w:rFonts w:cs="Times New Roman"/>
          <w:lang w:val="fr-CA"/>
        </w:rPr>
        <w:t>’</w:t>
      </w:r>
      <w:r w:rsidRPr="00A22D0D">
        <w:rPr>
          <w:rFonts w:cs="Times New Roman"/>
          <w:lang w:val="fr-CA"/>
        </w:rPr>
        <w:t>adoptant : mettre en place un régime procédural s</w:t>
      </w:r>
      <w:r>
        <w:rPr>
          <w:rFonts w:cs="Times New Roman"/>
          <w:lang w:val="fr-CA"/>
        </w:rPr>
        <w:t>’</w:t>
      </w:r>
      <w:r w:rsidRPr="00A22D0D">
        <w:rPr>
          <w:rFonts w:cs="Times New Roman"/>
          <w:lang w:val="fr-CA"/>
        </w:rPr>
        <w:t>appliquant exclusivement aux infractions provinciales. La tenue de procès conjoints dans de telles circonstances serait incompatible avec une telle intention, faisant ainsi fi de la distinction importante entre les infractions provinciales et les crimes réels et entre la procédure distincte qui s</w:t>
      </w:r>
      <w:r>
        <w:rPr>
          <w:rFonts w:cs="Times New Roman"/>
          <w:lang w:val="fr-CA"/>
        </w:rPr>
        <w:t>’</w:t>
      </w:r>
      <w:r w:rsidRPr="00A22D0D">
        <w:rPr>
          <w:rFonts w:cs="Times New Roman"/>
          <w:lang w:val="fr-CA"/>
        </w:rPr>
        <w:t xml:space="preserve">applique aux unes et aux autres. Cette </w:t>
      </w:r>
      <w:r w:rsidRPr="00A22D0D">
        <w:rPr>
          <w:rFonts w:cs="Times New Roman"/>
          <w:lang w:val="fr-CA"/>
        </w:rPr>
        <w:lastRenderedPageBreak/>
        <w:t xml:space="preserve">distinction est au cœur de la </w:t>
      </w:r>
      <w:r w:rsidRPr="00A22D0D">
        <w:rPr>
          <w:rFonts w:cs="Times New Roman"/>
          <w:i/>
          <w:lang w:val="fr-CA"/>
        </w:rPr>
        <w:t>LIP</w:t>
      </w:r>
      <w:r w:rsidRPr="00A22D0D">
        <w:rPr>
          <w:rFonts w:cs="Times New Roman"/>
          <w:lang w:val="fr-CA"/>
        </w:rPr>
        <w:t>, comme l</w:t>
      </w:r>
      <w:r>
        <w:rPr>
          <w:rFonts w:cs="Times New Roman"/>
          <w:lang w:val="fr-CA"/>
        </w:rPr>
        <w:t>’</w:t>
      </w:r>
      <w:r w:rsidRPr="00A22D0D">
        <w:rPr>
          <w:rFonts w:cs="Times New Roman"/>
          <w:lang w:val="fr-CA"/>
        </w:rPr>
        <w:t>indique le libellé du par. 2(1)</w:t>
      </w:r>
      <w:r>
        <w:rPr>
          <w:rFonts w:cs="Times New Roman"/>
          <w:lang w:val="fr-CA"/>
        </w:rPr>
        <w:t xml:space="preserve">. </w:t>
      </w:r>
    </w:p>
    <w:p w:rsidR="00132FB1" w:rsidRPr="00A22D0D" w:rsidRDefault="00132FB1" w:rsidP="00073901">
      <w:pPr>
        <w:pStyle w:val="Title3LevelTitre3Niveau"/>
        <w:widowControl w:val="0"/>
        <w:rPr>
          <w:rFonts w:cs="Times New Roman"/>
          <w:lang w:val="fr-CA"/>
        </w:rPr>
      </w:pPr>
      <w:r w:rsidRPr="00A22D0D">
        <w:rPr>
          <w:rFonts w:cs="Times New Roman"/>
          <w:lang w:val="fr-CA"/>
        </w:rPr>
        <w:t xml:space="preserve">Les aspects pratiques des procès conjoints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Dans ses motifs, mon collègue rejette l</w:t>
      </w:r>
      <w:r>
        <w:rPr>
          <w:rFonts w:cs="Times New Roman"/>
          <w:lang w:val="fr-CA"/>
        </w:rPr>
        <w:t>’</w:t>
      </w:r>
      <w:r w:rsidRPr="00A22D0D">
        <w:rPr>
          <w:rFonts w:cs="Times New Roman"/>
          <w:lang w:val="fr-CA"/>
        </w:rPr>
        <w:t>argument voulant que le recours à des procès conjoints ne contribue pas à la réalisation de l</w:t>
      </w:r>
      <w:r>
        <w:rPr>
          <w:rFonts w:cs="Times New Roman"/>
          <w:lang w:val="fr-CA"/>
        </w:rPr>
        <w:t>’</w:t>
      </w:r>
      <w:r w:rsidRPr="00A22D0D">
        <w:rPr>
          <w:rFonts w:cs="Times New Roman"/>
          <w:lang w:val="fr-CA"/>
        </w:rPr>
        <w:t>objectif d</w:t>
      </w:r>
      <w:r>
        <w:rPr>
          <w:rFonts w:cs="Times New Roman"/>
          <w:lang w:val="fr-CA"/>
        </w:rPr>
        <w:t>’</w:t>
      </w:r>
      <w:r w:rsidRPr="00A22D0D">
        <w:rPr>
          <w:rFonts w:cs="Times New Roman"/>
          <w:lang w:val="fr-CA"/>
        </w:rPr>
        <w:t>accroître l</w:t>
      </w:r>
      <w:r>
        <w:rPr>
          <w:rFonts w:cs="Times New Roman"/>
          <w:lang w:val="fr-CA"/>
        </w:rPr>
        <w:t>’</w:t>
      </w:r>
      <w:r w:rsidRPr="00A22D0D">
        <w:rPr>
          <w:rFonts w:cs="Times New Roman"/>
          <w:lang w:val="fr-CA"/>
        </w:rPr>
        <w:t xml:space="preserve">efficacité du système judiciaire. Il souligne que la plupart des différences entre les procédures établies par le </w:t>
      </w:r>
      <w:r w:rsidRPr="00A22D0D">
        <w:rPr>
          <w:rFonts w:cs="Times New Roman"/>
          <w:i/>
          <w:lang w:val="fr-CA"/>
        </w:rPr>
        <w:t>C</w:t>
      </w:r>
      <w:r w:rsidR="00525AB5">
        <w:rPr>
          <w:rFonts w:cs="Times New Roman"/>
          <w:i/>
          <w:lang w:val="fr-CA"/>
        </w:rPr>
        <w:t>ode criminel</w:t>
      </w:r>
      <w:r w:rsidRPr="00A22D0D">
        <w:rPr>
          <w:rFonts w:cs="Times New Roman"/>
          <w:i/>
          <w:lang w:val="fr-CA"/>
        </w:rPr>
        <w:t xml:space="preserve"> </w:t>
      </w:r>
      <w:r w:rsidRPr="00A22D0D">
        <w:rPr>
          <w:rFonts w:cs="Times New Roman"/>
          <w:lang w:val="fr-CA"/>
        </w:rPr>
        <w:t xml:space="preserve">et celles établies par la </w:t>
      </w:r>
      <w:r w:rsidRPr="00A22D0D">
        <w:rPr>
          <w:rFonts w:cs="Times New Roman"/>
          <w:i/>
          <w:lang w:val="fr-CA"/>
        </w:rPr>
        <w:t xml:space="preserve">LIP </w:t>
      </w:r>
      <w:r>
        <w:rPr>
          <w:rFonts w:cs="Times New Roman"/>
          <w:lang w:val="fr-CA"/>
        </w:rPr>
        <w:t xml:space="preserve">pour la tenue de procès </w:t>
      </w:r>
      <w:r w:rsidRPr="00A22D0D">
        <w:rPr>
          <w:rFonts w:cs="Times New Roman"/>
          <w:lang w:val="fr-CA"/>
        </w:rPr>
        <w:t>« sont de nature relativement mineure » ou « ne seront que rarement soulevées » : par. 29. Tel est peut-être le cas, mais cela n</w:t>
      </w:r>
      <w:r>
        <w:rPr>
          <w:rFonts w:cs="Times New Roman"/>
          <w:lang w:val="fr-CA"/>
        </w:rPr>
        <w:t>’</w:t>
      </w:r>
      <w:r w:rsidRPr="00A22D0D">
        <w:rPr>
          <w:rFonts w:cs="Times New Roman"/>
          <w:lang w:val="fr-CA"/>
        </w:rPr>
        <w:t>a guère d</w:t>
      </w:r>
      <w:r>
        <w:rPr>
          <w:rFonts w:cs="Times New Roman"/>
          <w:lang w:val="fr-CA"/>
        </w:rPr>
        <w:t>’</w:t>
      </w:r>
      <w:r w:rsidRPr="00A22D0D">
        <w:rPr>
          <w:rFonts w:cs="Times New Roman"/>
          <w:lang w:val="fr-CA"/>
        </w:rPr>
        <w:t>importance. Le procureur général de l</w:t>
      </w:r>
      <w:r>
        <w:rPr>
          <w:rFonts w:cs="Times New Roman"/>
          <w:lang w:val="fr-CA"/>
        </w:rPr>
        <w:t>’</w:t>
      </w:r>
      <w:r w:rsidRPr="00A22D0D">
        <w:rPr>
          <w:rFonts w:cs="Times New Roman"/>
          <w:lang w:val="fr-CA"/>
        </w:rPr>
        <w:t xml:space="preserve">Ontario admet volontiers que la tenue de procès conjoints nécessiterait que les procédures et dispositions prévues au </w:t>
      </w:r>
      <w:r w:rsidRPr="00A22D0D">
        <w:rPr>
          <w:rFonts w:cs="Times New Roman"/>
          <w:i/>
          <w:lang w:val="fr-CA"/>
        </w:rPr>
        <w:t>C</w:t>
      </w:r>
      <w:r w:rsidR="00525AB5">
        <w:rPr>
          <w:rFonts w:cs="Times New Roman"/>
          <w:i/>
          <w:lang w:val="fr-CA"/>
        </w:rPr>
        <w:t>ode criminel</w:t>
      </w:r>
      <w:r w:rsidRPr="00A22D0D">
        <w:rPr>
          <w:rFonts w:cs="Times New Roman"/>
          <w:i/>
          <w:lang w:val="fr-CA"/>
        </w:rPr>
        <w:t xml:space="preserve"> </w:t>
      </w:r>
      <w:r w:rsidRPr="00A22D0D">
        <w:rPr>
          <w:rFonts w:cs="Times New Roman"/>
          <w:lang w:val="fr-CA"/>
        </w:rPr>
        <w:t xml:space="preserve">et par la </w:t>
      </w:r>
      <w:r w:rsidRPr="00A22D0D">
        <w:rPr>
          <w:rFonts w:cs="Times New Roman"/>
          <w:i/>
          <w:lang w:val="fr-CA"/>
        </w:rPr>
        <w:t>Loi sur la preuve au Canada</w:t>
      </w:r>
      <w:r w:rsidRPr="00A22D0D">
        <w:rPr>
          <w:rFonts w:cs="Times New Roman"/>
          <w:lang w:val="fr-CA"/>
        </w:rPr>
        <w:t>, L.R.C. 1985, c. C</w:t>
      </w:r>
      <w:r w:rsidR="00140575">
        <w:rPr>
          <w:rFonts w:cs="Times New Roman"/>
          <w:lang w:val="fr-CA"/>
        </w:rPr>
        <w:t>-</w:t>
      </w:r>
      <w:r w:rsidRPr="00A22D0D">
        <w:rPr>
          <w:rFonts w:cs="Times New Roman"/>
          <w:lang w:val="fr-CA"/>
        </w:rPr>
        <w:t>5</w:t>
      </w:r>
      <w:r>
        <w:rPr>
          <w:rFonts w:cs="Times New Roman"/>
          <w:lang w:val="fr-CA"/>
        </w:rPr>
        <w:t>,</w:t>
      </w:r>
      <w:r w:rsidRPr="00A22D0D">
        <w:rPr>
          <w:rFonts w:cs="Times New Roman"/>
          <w:lang w:val="fr-CA"/>
        </w:rPr>
        <w:t xml:space="preserve"> s</w:t>
      </w:r>
      <w:r>
        <w:rPr>
          <w:rFonts w:cs="Times New Roman"/>
          <w:lang w:val="fr-CA"/>
        </w:rPr>
        <w:t>’</w:t>
      </w:r>
      <w:r w:rsidRPr="00A22D0D">
        <w:rPr>
          <w:rFonts w:cs="Times New Roman"/>
          <w:lang w:val="fr-CA"/>
        </w:rPr>
        <w:t>appliquent advenant leur incompatibilité avec les procédures et dispositions provinciales. Compte tenu de l</w:t>
      </w:r>
      <w:r>
        <w:rPr>
          <w:rFonts w:cs="Times New Roman"/>
          <w:lang w:val="fr-CA"/>
        </w:rPr>
        <w:t>’</w:t>
      </w:r>
      <w:r w:rsidRPr="00A22D0D">
        <w:rPr>
          <w:rFonts w:cs="Times New Roman"/>
          <w:lang w:val="fr-CA"/>
        </w:rPr>
        <w:t>intention claire qu</w:t>
      </w:r>
      <w:r>
        <w:rPr>
          <w:rFonts w:cs="Times New Roman"/>
          <w:lang w:val="fr-CA"/>
        </w:rPr>
        <w:t>’</w:t>
      </w:r>
      <w:r w:rsidRPr="00A22D0D">
        <w:rPr>
          <w:rFonts w:cs="Times New Roman"/>
          <w:lang w:val="fr-CA"/>
        </w:rPr>
        <w:t>avait la Législature de créer des régimes procéduraux distincts, une telle chose serait inacceptable. Par ailleurs, ainsi que la Cour l</w:t>
      </w:r>
      <w:r>
        <w:rPr>
          <w:rFonts w:cs="Times New Roman"/>
          <w:lang w:val="fr-CA"/>
        </w:rPr>
        <w:t>’</w:t>
      </w:r>
      <w:r w:rsidRPr="00A22D0D">
        <w:rPr>
          <w:rFonts w:cs="Times New Roman"/>
          <w:lang w:val="fr-CA"/>
        </w:rPr>
        <w:t>a observé au par. 56 de l</w:t>
      </w:r>
      <w:r>
        <w:rPr>
          <w:rFonts w:cs="Times New Roman"/>
          <w:lang w:val="fr-CA"/>
        </w:rPr>
        <w:t>’</w:t>
      </w:r>
      <w:r w:rsidRPr="00A22D0D">
        <w:rPr>
          <w:rFonts w:cs="Times New Roman"/>
          <w:lang w:val="fr-CA"/>
        </w:rPr>
        <w:t>arrêt </w:t>
      </w:r>
      <w:r w:rsidRPr="00A22D0D">
        <w:rPr>
          <w:rFonts w:cs="Times New Roman"/>
          <w:i/>
          <w:lang w:val="fr-CA"/>
        </w:rPr>
        <w:t>S.J.L.</w:t>
      </w:r>
      <w:r w:rsidRPr="00A22D0D">
        <w:rPr>
          <w:rFonts w:cs="Times New Roman"/>
          <w:lang w:val="fr-CA"/>
        </w:rPr>
        <w:t>, le fait qu</w:t>
      </w:r>
      <w:r>
        <w:rPr>
          <w:rFonts w:cs="Times New Roman"/>
          <w:lang w:val="fr-CA"/>
        </w:rPr>
        <w:t>’</w:t>
      </w:r>
      <w:r w:rsidRPr="00A22D0D">
        <w:rPr>
          <w:rFonts w:cs="Times New Roman"/>
          <w:lang w:val="fr-CA"/>
        </w:rPr>
        <w:t xml:space="preserve">un procès conjoint puisse ne comporter aucune difficulté pratique insurmontable </w:t>
      </w:r>
      <w:r w:rsidRPr="00A22D0D">
        <w:rPr>
          <w:rFonts w:cs="Times New Roman"/>
          <w:lang w:val="fr-FR"/>
        </w:rPr>
        <w:t>n</w:t>
      </w:r>
      <w:r>
        <w:rPr>
          <w:rFonts w:cs="Times New Roman"/>
          <w:lang w:val="fr-FR"/>
        </w:rPr>
        <w:t>’</w:t>
      </w:r>
      <w:r w:rsidRPr="00A22D0D">
        <w:rPr>
          <w:rFonts w:cs="Times New Roman"/>
          <w:lang w:val="fr-FR"/>
        </w:rPr>
        <w:t>est pas déterminant</w:t>
      </w:r>
      <w:r w:rsidRPr="00A22D0D">
        <w:rPr>
          <w:rFonts w:cs="Times New Roman"/>
          <w:lang w:val="fr-CA"/>
        </w:rPr>
        <w:t>. L</w:t>
      </w:r>
      <w:r>
        <w:rPr>
          <w:rFonts w:cs="Times New Roman"/>
          <w:lang w:val="fr-CA"/>
        </w:rPr>
        <w:t>’</w:t>
      </w:r>
      <w:r w:rsidRPr="00A22D0D">
        <w:rPr>
          <w:rFonts w:cs="Times New Roman"/>
          <w:lang w:val="fr-CA"/>
        </w:rPr>
        <w:t>intention de la Législature a préséance, et il y a lieu de s</w:t>
      </w:r>
      <w:r>
        <w:rPr>
          <w:rFonts w:cs="Times New Roman"/>
          <w:lang w:val="fr-CA"/>
        </w:rPr>
        <w:t>’</w:t>
      </w:r>
      <w:r w:rsidRPr="00A22D0D">
        <w:rPr>
          <w:rFonts w:cs="Times New Roman"/>
          <w:lang w:val="fr-CA"/>
        </w:rPr>
        <w:t xml:space="preserve">y plier.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Respecter le choix de la Législature de créer un régime distinct pour les infractions provinciales est d</w:t>
      </w:r>
      <w:r>
        <w:rPr>
          <w:rFonts w:cs="Times New Roman"/>
          <w:lang w:val="fr-CA"/>
        </w:rPr>
        <w:t>’</w:t>
      </w:r>
      <w:r w:rsidRPr="00A22D0D">
        <w:rPr>
          <w:rFonts w:cs="Times New Roman"/>
          <w:lang w:val="fr-CA"/>
        </w:rPr>
        <w:t>autant plus important compte tenu des défis auxquels est présentement confronté notre système de justice pénale. S</w:t>
      </w:r>
      <w:r>
        <w:rPr>
          <w:rFonts w:cs="Times New Roman"/>
          <w:lang w:val="fr-CA"/>
        </w:rPr>
        <w:t>’</w:t>
      </w:r>
      <w:r w:rsidRPr="00A22D0D">
        <w:rPr>
          <w:rFonts w:cs="Times New Roman"/>
          <w:lang w:val="fr-CA"/>
        </w:rPr>
        <w:t>il est vrai que les procès conjoints peuvent présenter de nombreux avantages d</w:t>
      </w:r>
      <w:r>
        <w:rPr>
          <w:rFonts w:cs="Times New Roman"/>
          <w:lang w:val="fr-CA"/>
        </w:rPr>
        <w:t>’</w:t>
      </w:r>
      <w:r w:rsidRPr="00A22D0D">
        <w:rPr>
          <w:rFonts w:cs="Times New Roman"/>
          <w:lang w:val="fr-CA"/>
        </w:rPr>
        <w:t xml:space="preserve">ordre pratique — dont ceux </w:t>
      </w:r>
      <w:r w:rsidRPr="00A22D0D">
        <w:rPr>
          <w:rFonts w:cs="Times New Roman"/>
          <w:lang w:val="fr-CA"/>
        </w:rPr>
        <w:lastRenderedPageBreak/>
        <w:t>mentionnés par mon collègue au par. 33 de ses motifs —, ces avantages ne sont pas l</w:t>
      </w:r>
      <w:r>
        <w:rPr>
          <w:rFonts w:cs="Times New Roman"/>
          <w:lang w:val="fr-CA"/>
        </w:rPr>
        <w:t>’</w:t>
      </w:r>
      <w:r w:rsidRPr="00A22D0D">
        <w:rPr>
          <w:rFonts w:cs="Times New Roman"/>
          <w:lang w:val="fr-CA"/>
        </w:rPr>
        <w:t>apanage de ce type de procès. L</w:t>
      </w:r>
      <w:r>
        <w:rPr>
          <w:rFonts w:cs="Times New Roman"/>
          <w:lang w:val="fr-CA"/>
        </w:rPr>
        <w:t>’</w:t>
      </w:r>
      <w:r w:rsidRPr="00A22D0D">
        <w:rPr>
          <w:rFonts w:cs="Times New Roman"/>
          <w:lang w:val="fr-CA"/>
        </w:rPr>
        <w:t xml:space="preserve">application du par. 47(1) de la </w:t>
      </w:r>
      <w:r w:rsidRPr="00A22D0D">
        <w:rPr>
          <w:rFonts w:cs="Times New Roman"/>
          <w:i/>
          <w:lang w:val="fr-CA"/>
        </w:rPr>
        <w:t>LIP</w:t>
      </w:r>
      <w:r w:rsidRPr="00A22D0D">
        <w:rPr>
          <w:rFonts w:cs="Times New Roman"/>
          <w:lang w:val="fr-CA"/>
        </w:rPr>
        <w:t>, par exemple, est également susceptible d</w:t>
      </w:r>
      <w:r>
        <w:rPr>
          <w:rFonts w:cs="Times New Roman"/>
          <w:lang w:val="fr-CA"/>
        </w:rPr>
        <w:t>’</w:t>
      </w:r>
      <w:r w:rsidRPr="00A22D0D">
        <w:rPr>
          <w:rFonts w:cs="Times New Roman"/>
          <w:lang w:val="fr-CA"/>
        </w:rPr>
        <w:t>améliorer l</w:t>
      </w:r>
      <w:r>
        <w:rPr>
          <w:rFonts w:cs="Times New Roman"/>
          <w:lang w:val="fr-CA"/>
        </w:rPr>
        <w:t>’</w:t>
      </w:r>
      <w:r w:rsidRPr="00A22D0D">
        <w:rPr>
          <w:rFonts w:cs="Times New Roman"/>
          <w:lang w:val="fr-CA"/>
        </w:rPr>
        <w:t>efficacité judiciaire en réduisant l</w:t>
      </w:r>
      <w:r>
        <w:rPr>
          <w:rFonts w:cs="Times New Roman"/>
          <w:lang w:val="fr-CA"/>
        </w:rPr>
        <w:t>’</w:t>
      </w:r>
      <w:r w:rsidRPr="00A22D0D">
        <w:rPr>
          <w:rFonts w:cs="Times New Roman"/>
          <w:lang w:val="fr-CA"/>
        </w:rPr>
        <w:t>engorgement des tribunaux et en minimisant les inconvénients subis par les témoins. Qui plus est, les procès conjoints peuvent, dans certains cas, avoir pour effet indésirable de compliquer inutilement les procédures relatives à une infraction provinciale et d</w:t>
      </w:r>
      <w:r>
        <w:rPr>
          <w:rFonts w:cs="Times New Roman"/>
          <w:lang w:val="fr-CA"/>
        </w:rPr>
        <w:t>’</w:t>
      </w:r>
      <w:r w:rsidRPr="00A22D0D">
        <w:rPr>
          <w:rFonts w:cs="Times New Roman"/>
          <w:lang w:val="fr-CA"/>
        </w:rPr>
        <w:t>encourager la multiplicité des accusations. Par exemple, la possibilité de recourir à des procès conjoints pourrait inciter le ministère public à engager des poursuites fondées à la fois sur des infractions provinciales et sur des infractions criminelles, alors que, en réalité, il serait nécessaire ou approprié de porter des accusations seulement quant à l</w:t>
      </w:r>
      <w:r>
        <w:rPr>
          <w:rFonts w:cs="Times New Roman"/>
          <w:lang w:val="fr-CA"/>
        </w:rPr>
        <w:t>’</w:t>
      </w:r>
      <w:r w:rsidRPr="00A22D0D">
        <w:rPr>
          <w:rFonts w:cs="Times New Roman"/>
          <w:lang w:val="fr-CA"/>
        </w:rPr>
        <w:t xml:space="preserve">une de ces infractions.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Je reconnais que la Cour a mis récemment le ministère public en garde contre la poursuite d</w:t>
      </w:r>
      <w:r>
        <w:rPr>
          <w:rFonts w:cs="Times New Roman"/>
          <w:lang w:val="fr-CA"/>
        </w:rPr>
        <w:t>’</w:t>
      </w:r>
      <w:r w:rsidRPr="00A22D0D">
        <w:rPr>
          <w:rFonts w:cs="Times New Roman"/>
          <w:lang w:val="fr-CA"/>
        </w:rPr>
        <w:t>« accusations d</w:t>
      </w:r>
      <w:r>
        <w:rPr>
          <w:rFonts w:cs="Times New Roman"/>
          <w:lang w:val="fr-CA"/>
        </w:rPr>
        <w:t>’</w:t>
      </w:r>
      <w:r w:rsidRPr="00A22D0D">
        <w:rPr>
          <w:rFonts w:cs="Times New Roman"/>
          <w:lang w:val="fr-CA"/>
        </w:rPr>
        <w:t>importance secondaire » qui ne font qu</w:t>
      </w:r>
      <w:r>
        <w:rPr>
          <w:rFonts w:cs="Times New Roman"/>
          <w:lang w:val="fr-CA"/>
        </w:rPr>
        <w:t>’</w:t>
      </w:r>
      <w:r w:rsidRPr="00A22D0D">
        <w:rPr>
          <w:rFonts w:cs="Times New Roman"/>
          <w:lang w:val="fr-CA"/>
        </w:rPr>
        <w:t xml:space="preserve">ajouter à la complexité des procès criminels : </w:t>
      </w:r>
      <w:r w:rsidRPr="00A22D0D">
        <w:rPr>
          <w:rFonts w:cs="Times New Roman"/>
          <w:i/>
          <w:lang w:val="fr-CA"/>
        </w:rPr>
        <w:t>R. c. Rodgerson</w:t>
      </w:r>
      <w:r w:rsidRPr="00A22D0D">
        <w:rPr>
          <w:rFonts w:cs="Times New Roman"/>
          <w:lang w:val="fr-CA"/>
        </w:rPr>
        <w:t>, 2015 CSC 38, [2015] 2 R.C.S. 760, par. 45. À mon avis, interdire la tenue de procès conjoints relatifs à des infractions provinciales d</w:t>
      </w:r>
      <w:r>
        <w:rPr>
          <w:rFonts w:cs="Times New Roman"/>
          <w:lang w:val="fr-CA"/>
        </w:rPr>
        <w:t>’</w:t>
      </w:r>
      <w:r w:rsidRPr="00A22D0D">
        <w:rPr>
          <w:rFonts w:cs="Times New Roman"/>
          <w:lang w:val="fr-CA"/>
        </w:rPr>
        <w:t>une part, et à des infractions criminelles punissables sur déclaration de culpabilité par procédure sommaire d</w:t>
      </w:r>
      <w:r>
        <w:rPr>
          <w:rFonts w:cs="Times New Roman"/>
          <w:lang w:val="fr-CA"/>
        </w:rPr>
        <w:t>’</w:t>
      </w:r>
      <w:r w:rsidRPr="00A22D0D">
        <w:rPr>
          <w:rFonts w:cs="Times New Roman"/>
          <w:lang w:val="fr-CA"/>
        </w:rPr>
        <w:t xml:space="preserve">autre part, aide à assurer que le pouvoir discrétionnaire de poursuivre </w:t>
      </w:r>
      <w:r w:rsidR="002207F4">
        <w:rPr>
          <w:rFonts w:cs="Times New Roman"/>
          <w:lang w:val="fr-CA"/>
        </w:rPr>
        <w:t>est</w:t>
      </w:r>
      <w:r w:rsidRPr="00A22D0D">
        <w:rPr>
          <w:rFonts w:cs="Times New Roman"/>
          <w:lang w:val="fr-CA"/>
        </w:rPr>
        <w:t xml:space="preserve"> exercé correctement, dans l</w:t>
      </w:r>
      <w:r>
        <w:rPr>
          <w:rFonts w:cs="Times New Roman"/>
          <w:lang w:val="fr-CA"/>
        </w:rPr>
        <w:t>’</w:t>
      </w:r>
      <w:r w:rsidRPr="00A22D0D">
        <w:rPr>
          <w:rFonts w:cs="Times New Roman"/>
          <w:lang w:val="fr-CA"/>
        </w:rPr>
        <w:t>intérêt public.</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Comme je l</w:t>
      </w:r>
      <w:r>
        <w:rPr>
          <w:rFonts w:cs="Times New Roman"/>
          <w:lang w:val="fr-CA"/>
        </w:rPr>
        <w:t>’</w:t>
      </w:r>
      <w:r w:rsidRPr="00A22D0D">
        <w:rPr>
          <w:rFonts w:cs="Times New Roman"/>
          <w:lang w:val="fr-CA"/>
        </w:rPr>
        <w:t xml:space="preserve">ai déjà mentionné, la Législature a reconnu la différence fondamentale qui existe entre les infractions provinciales et les infractions criminelles, et elle en a tenu compte en créant les procédures prévues par la </w:t>
      </w:r>
      <w:r w:rsidRPr="00A22D0D">
        <w:rPr>
          <w:rFonts w:cs="Times New Roman"/>
          <w:i/>
          <w:lang w:val="fr-CA"/>
        </w:rPr>
        <w:t xml:space="preserve">LIP. </w:t>
      </w:r>
      <w:r w:rsidRPr="00A22D0D">
        <w:rPr>
          <w:rFonts w:cs="Times New Roman"/>
          <w:lang w:val="fr-CA"/>
        </w:rPr>
        <w:t xml:space="preserve">Or, le procureur </w:t>
      </w:r>
      <w:r w:rsidRPr="00A22D0D">
        <w:rPr>
          <w:rFonts w:cs="Times New Roman"/>
          <w:lang w:val="fr-CA"/>
        </w:rPr>
        <w:lastRenderedPageBreak/>
        <w:t>général de l</w:t>
      </w:r>
      <w:r>
        <w:rPr>
          <w:rFonts w:cs="Times New Roman"/>
          <w:lang w:val="fr-CA"/>
        </w:rPr>
        <w:t>’</w:t>
      </w:r>
      <w:r w:rsidRPr="00A22D0D">
        <w:rPr>
          <w:rFonts w:cs="Times New Roman"/>
          <w:lang w:val="fr-CA"/>
        </w:rPr>
        <w:t xml:space="preserve">Ontario souhaite faire abstraction de cette différence, car il a réuni les infractions à la réglementation provinciale et les infractions criminelles dans un même procès, comme si cela allait de soi. </w:t>
      </w:r>
      <w:r w:rsidR="001E76E7">
        <w:rPr>
          <w:rFonts w:cs="Times New Roman"/>
          <w:lang w:val="fr-CA"/>
        </w:rPr>
        <w:t>Qu’à cela ne tienne</w:t>
      </w:r>
      <w:r w:rsidRPr="00A22D0D">
        <w:rPr>
          <w:rFonts w:cs="Times New Roman"/>
          <w:lang w:val="fr-CA"/>
        </w:rPr>
        <w:t>, lorsqu</w:t>
      </w:r>
      <w:r>
        <w:rPr>
          <w:rFonts w:cs="Times New Roman"/>
          <w:lang w:val="fr-CA"/>
        </w:rPr>
        <w:t>’</w:t>
      </w:r>
      <w:r w:rsidRPr="00A22D0D">
        <w:rPr>
          <w:rFonts w:cs="Times New Roman"/>
          <w:lang w:val="fr-CA"/>
        </w:rPr>
        <w:t>une législature s</w:t>
      </w:r>
      <w:r>
        <w:rPr>
          <w:rFonts w:cs="Times New Roman"/>
          <w:lang w:val="fr-CA"/>
        </w:rPr>
        <w:t>’</w:t>
      </w:r>
      <w:r w:rsidRPr="00A22D0D">
        <w:rPr>
          <w:rFonts w:cs="Times New Roman"/>
          <w:lang w:val="fr-CA"/>
        </w:rPr>
        <w:t xml:space="preserve">est attachée à éliminer les complexités en créant des procédures simplifiées applicables aux infractions provinciales — allégeant ainsi le fardeau qui pèse sur le système de justice pénale dans les cas appropriés —, on doit donner pleinement effet à ces mesures. </w:t>
      </w:r>
    </w:p>
    <w:p w:rsidR="00132FB1" w:rsidRPr="00A22D0D" w:rsidRDefault="00132FB1" w:rsidP="00073901">
      <w:pPr>
        <w:pStyle w:val="Title3LevelTitre3Niveau"/>
        <w:widowControl w:val="0"/>
        <w:rPr>
          <w:rFonts w:cs="Times New Roman"/>
          <w:lang w:val="fr-CA"/>
        </w:rPr>
      </w:pPr>
      <w:r w:rsidRPr="00A22D0D">
        <w:rPr>
          <w:rFonts w:cs="Times New Roman"/>
          <w:lang w:val="fr-CA"/>
        </w:rPr>
        <w:t>L</w:t>
      </w:r>
      <w:r>
        <w:rPr>
          <w:rFonts w:cs="Times New Roman"/>
          <w:lang w:val="fr-CA"/>
        </w:rPr>
        <w:t>’</w:t>
      </w:r>
      <w:r w:rsidRPr="00A22D0D">
        <w:rPr>
          <w:rFonts w:cs="Times New Roman"/>
          <w:lang w:val="fr-CA"/>
        </w:rPr>
        <w:t xml:space="preserve">intention du législateur a préséance sur les règles de common law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Dans ses motifs, mon collègue conclut que la tenue d</w:t>
      </w:r>
      <w:r>
        <w:rPr>
          <w:rFonts w:cs="Times New Roman"/>
          <w:lang w:val="fr-CA"/>
        </w:rPr>
        <w:t>’</w:t>
      </w:r>
      <w:r w:rsidRPr="00A22D0D">
        <w:rPr>
          <w:rFonts w:cs="Times New Roman"/>
          <w:lang w:val="fr-CA"/>
        </w:rPr>
        <w:t>un procès conjoint dans les circonstances de l</w:t>
      </w:r>
      <w:r>
        <w:rPr>
          <w:rFonts w:cs="Times New Roman"/>
          <w:lang w:val="fr-CA"/>
        </w:rPr>
        <w:t>’</w:t>
      </w:r>
      <w:r w:rsidRPr="00A22D0D">
        <w:rPr>
          <w:rFonts w:cs="Times New Roman"/>
          <w:lang w:val="fr-CA"/>
        </w:rPr>
        <w:t>espèce est autorisée par des règles de common law applicables à la réunion d</w:t>
      </w:r>
      <w:r>
        <w:rPr>
          <w:rFonts w:cs="Times New Roman"/>
          <w:lang w:val="fr-CA"/>
        </w:rPr>
        <w:t>’</w:t>
      </w:r>
      <w:r w:rsidRPr="00A22D0D">
        <w:rPr>
          <w:rFonts w:cs="Times New Roman"/>
          <w:lang w:val="fr-CA"/>
        </w:rPr>
        <w:t>accusations en vue d</w:t>
      </w:r>
      <w:r>
        <w:rPr>
          <w:rFonts w:cs="Times New Roman"/>
          <w:lang w:val="fr-CA"/>
        </w:rPr>
        <w:t>’</w:t>
      </w:r>
      <w:r w:rsidRPr="00A22D0D">
        <w:rPr>
          <w:rFonts w:cs="Times New Roman"/>
          <w:lang w:val="fr-CA"/>
        </w:rPr>
        <w:t xml:space="preserve">un procès. Ces règles ont été énoncées dans </w:t>
      </w:r>
      <w:r w:rsidRPr="00A22D0D">
        <w:rPr>
          <w:rFonts w:cs="Times New Roman"/>
          <w:i/>
          <w:lang w:val="fr-CA"/>
        </w:rPr>
        <w:t>R. c. Clunas</w:t>
      </w:r>
      <w:r w:rsidRPr="00A22D0D">
        <w:rPr>
          <w:rFonts w:cs="Times New Roman"/>
          <w:lang w:val="fr-CA"/>
        </w:rPr>
        <w:t>, [1992] 1 R.C.S. 595, où la Cour a statué que les dénonciations ou les actes d</w:t>
      </w:r>
      <w:r>
        <w:rPr>
          <w:rFonts w:cs="Times New Roman"/>
          <w:lang w:val="fr-CA"/>
        </w:rPr>
        <w:t>’</w:t>
      </w:r>
      <w:r w:rsidRPr="00A22D0D">
        <w:rPr>
          <w:rFonts w:cs="Times New Roman"/>
          <w:lang w:val="fr-CA"/>
        </w:rPr>
        <w:t xml:space="preserve">accusation multiples fondés sur le </w:t>
      </w:r>
      <w:r w:rsidRPr="00A22D0D">
        <w:rPr>
          <w:rFonts w:cs="Times New Roman"/>
          <w:i/>
          <w:lang w:val="fr-CA"/>
        </w:rPr>
        <w:t>C</w:t>
      </w:r>
      <w:r w:rsidR="00D76D5E">
        <w:rPr>
          <w:rFonts w:cs="Times New Roman"/>
          <w:i/>
          <w:lang w:val="fr-CA"/>
        </w:rPr>
        <w:t>ode criminel</w:t>
      </w:r>
      <w:r w:rsidRPr="00A22D0D">
        <w:rPr>
          <w:rFonts w:cs="Times New Roman"/>
          <w:i/>
          <w:lang w:val="fr-CA"/>
        </w:rPr>
        <w:t xml:space="preserve"> </w:t>
      </w:r>
      <w:r w:rsidRPr="00A22D0D">
        <w:rPr>
          <w:rFonts w:cs="Times New Roman"/>
          <w:lang w:val="fr-CA"/>
        </w:rPr>
        <w:t>pouvaient être réunis en vue de la tenue d</w:t>
      </w:r>
      <w:r>
        <w:rPr>
          <w:rFonts w:cs="Times New Roman"/>
          <w:lang w:val="fr-CA"/>
        </w:rPr>
        <w:t>’</w:t>
      </w:r>
      <w:r w:rsidRPr="00A22D0D">
        <w:rPr>
          <w:rFonts w:cs="Times New Roman"/>
          <w:lang w:val="fr-CA"/>
        </w:rPr>
        <w:t>un seul procès, lorsque l</w:t>
      </w:r>
      <w:r>
        <w:rPr>
          <w:rFonts w:cs="Times New Roman"/>
          <w:lang w:val="fr-CA"/>
        </w:rPr>
        <w:t>’</w:t>
      </w:r>
      <w:r w:rsidRPr="00A22D0D">
        <w:rPr>
          <w:rFonts w:cs="Times New Roman"/>
          <w:lang w:val="fr-CA"/>
        </w:rPr>
        <w:t>accusé y consent ou, en l</w:t>
      </w:r>
      <w:r>
        <w:rPr>
          <w:rFonts w:cs="Times New Roman"/>
          <w:lang w:val="fr-CA"/>
        </w:rPr>
        <w:t>’</w:t>
      </w:r>
      <w:r w:rsidRPr="00A22D0D">
        <w:rPr>
          <w:rFonts w:cs="Times New Roman"/>
          <w:lang w:val="fr-CA"/>
        </w:rPr>
        <w:t>absence d</w:t>
      </w:r>
      <w:r>
        <w:rPr>
          <w:rFonts w:cs="Times New Roman"/>
          <w:lang w:val="fr-CA"/>
        </w:rPr>
        <w:t>’</w:t>
      </w:r>
      <w:r w:rsidRPr="00A22D0D">
        <w:rPr>
          <w:rFonts w:cs="Times New Roman"/>
          <w:lang w:val="fr-CA"/>
        </w:rPr>
        <w:t>un tel consentement, lorsque la tenue d</w:t>
      </w:r>
      <w:r>
        <w:rPr>
          <w:rFonts w:cs="Times New Roman"/>
          <w:lang w:val="fr-CA"/>
        </w:rPr>
        <w:t>’</w:t>
      </w:r>
      <w:r w:rsidRPr="00A22D0D">
        <w:rPr>
          <w:rFonts w:cs="Times New Roman"/>
          <w:lang w:val="fr-CA"/>
        </w:rPr>
        <w:t>un procès conjoint « </w:t>
      </w:r>
      <w:r w:rsidRPr="00A22D0D">
        <w:rPr>
          <w:rFonts w:cs="Times New Roman"/>
          <w:spacing w:val="-3"/>
          <w:lang w:val="fr-CA"/>
        </w:rPr>
        <w:t>sert les intérêts de la justice et lorsque les accusations auraient pu être portées, ou les accusés inculpés, conjointement à l</w:t>
      </w:r>
      <w:r>
        <w:rPr>
          <w:rFonts w:cs="Times New Roman"/>
          <w:spacing w:val="-3"/>
          <w:lang w:val="fr-CA"/>
        </w:rPr>
        <w:t>’</w:t>
      </w:r>
      <w:r w:rsidRPr="00A22D0D">
        <w:rPr>
          <w:rFonts w:cs="Times New Roman"/>
          <w:spacing w:val="-3"/>
          <w:lang w:val="fr-CA"/>
        </w:rPr>
        <w:t>origine </w:t>
      </w:r>
      <w:r w:rsidRPr="00A22D0D">
        <w:rPr>
          <w:rFonts w:cs="Times New Roman"/>
          <w:lang w:val="fr-CA"/>
        </w:rPr>
        <w:t>» : p. 610</w:t>
      </w:r>
      <w:r>
        <w:rPr>
          <w:rFonts w:cs="Times New Roman"/>
          <w:lang w:val="fr-CA"/>
        </w:rPr>
        <w:t xml:space="preserve">.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À mon avis, et avec respect pour l</w:t>
      </w:r>
      <w:r>
        <w:rPr>
          <w:rFonts w:cs="Times New Roman"/>
          <w:lang w:val="fr-CA"/>
        </w:rPr>
        <w:t>’</w:t>
      </w:r>
      <w:r w:rsidRPr="00A22D0D">
        <w:rPr>
          <w:rFonts w:cs="Times New Roman"/>
          <w:lang w:val="fr-CA"/>
        </w:rPr>
        <w:t>opinion de mon collègue, ce précédent ne s</w:t>
      </w:r>
      <w:r>
        <w:rPr>
          <w:rFonts w:cs="Times New Roman"/>
          <w:lang w:val="fr-CA"/>
        </w:rPr>
        <w:t>’</w:t>
      </w:r>
      <w:r w:rsidRPr="00A22D0D">
        <w:rPr>
          <w:rFonts w:cs="Times New Roman"/>
          <w:lang w:val="fr-CA"/>
        </w:rPr>
        <w:t>applique pas à l</w:t>
      </w:r>
      <w:r>
        <w:rPr>
          <w:rFonts w:cs="Times New Roman"/>
          <w:lang w:val="fr-CA"/>
        </w:rPr>
        <w:t>’</w:t>
      </w:r>
      <w:r w:rsidRPr="00A22D0D">
        <w:rPr>
          <w:rFonts w:cs="Times New Roman"/>
          <w:lang w:val="fr-CA"/>
        </w:rPr>
        <w:t>espèce, et ce, pour deux raisons. En premier lieu, l</w:t>
      </w:r>
      <w:r>
        <w:rPr>
          <w:rFonts w:cs="Times New Roman"/>
          <w:lang w:val="fr-CA"/>
        </w:rPr>
        <w:t>’</w:t>
      </w:r>
      <w:r w:rsidRPr="00A22D0D">
        <w:rPr>
          <w:rFonts w:cs="Times New Roman"/>
          <w:lang w:val="fr-CA"/>
        </w:rPr>
        <w:t>intention du législateur relativement à la question de compétence l</w:t>
      </w:r>
      <w:r>
        <w:rPr>
          <w:rFonts w:cs="Times New Roman"/>
          <w:lang w:val="fr-CA"/>
        </w:rPr>
        <w:t>’</w:t>
      </w:r>
      <w:r w:rsidRPr="00A22D0D">
        <w:rPr>
          <w:rFonts w:cs="Times New Roman"/>
          <w:lang w:val="fr-CA"/>
        </w:rPr>
        <w:t xml:space="preserve">emporte sur les règles énoncées dans </w:t>
      </w:r>
      <w:r w:rsidRPr="00A22D0D">
        <w:rPr>
          <w:rFonts w:cs="Times New Roman"/>
          <w:i/>
          <w:lang w:val="fr-CA"/>
        </w:rPr>
        <w:t>Clunas</w:t>
      </w:r>
      <w:r w:rsidRPr="00A22D0D">
        <w:rPr>
          <w:rFonts w:cs="Times New Roman"/>
          <w:lang w:val="fr-CA"/>
        </w:rPr>
        <w:t xml:space="preserve"> en matière de réunion des accusations. Autrement dit, la common law ne saurait permettre la tenue d</w:t>
      </w:r>
      <w:r>
        <w:rPr>
          <w:rFonts w:cs="Times New Roman"/>
          <w:lang w:val="fr-CA"/>
        </w:rPr>
        <w:t>’</w:t>
      </w:r>
      <w:r w:rsidRPr="00A22D0D">
        <w:rPr>
          <w:rFonts w:cs="Times New Roman"/>
          <w:lang w:val="fr-CA"/>
        </w:rPr>
        <w:t>un procès conjoint là où l</w:t>
      </w:r>
      <w:r>
        <w:rPr>
          <w:rFonts w:cs="Times New Roman"/>
          <w:lang w:val="fr-CA"/>
        </w:rPr>
        <w:t>’</w:t>
      </w:r>
      <w:r w:rsidRPr="00A22D0D">
        <w:rPr>
          <w:rFonts w:cs="Times New Roman"/>
          <w:lang w:val="fr-CA"/>
        </w:rPr>
        <w:t xml:space="preserve">intention du législateur était de </w:t>
      </w:r>
      <w:r w:rsidRPr="00A22D0D">
        <w:rPr>
          <w:rFonts w:cs="Times New Roman"/>
          <w:lang w:val="fr-CA"/>
        </w:rPr>
        <w:lastRenderedPageBreak/>
        <w:t>maintenir deux systèmes de justice distincts. La juge Deschamps a énoncé ce point de vue de la manière suivante dans l</w:t>
      </w:r>
      <w:r>
        <w:rPr>
          <w:rFonts w:cs="Times New Roman"/>
          <w:lang w:val="fr-CA"/>
        </w:rPr>
        <w:t>’</w:t>
      </w:r>
      <w:r w:rsidRPr="00A22D0D">
        <w:rPr>
          <w:rFonts w:cs="Times New Roman"/>
          <w:lang w:val="fr-CA"/>
        </w:rPr>
        <w:t xml:space="preserve">arrêt </w:t>
      </w:r>
      <w:r w:rsidRPr="00A22D0D">
        <w:rPr>
          <w:rFonts w:cs="Times New Roman"/>
          <w:i/>
          <w:lang w:val="fr-CA"/>
        </w:rPr>
        <w:t>S.J.L. </w:t>
      </w:r>
      <w:r w:rsidRPr="00A22D0D">
        <w:rPr>
          <w:rFonts w:cs="Times New Roman"/>
          <w:lang w:val="fr-CA"/>
        </w:rPr>
        <w:t xml:space="preserve">: </w:t>
      </w:r>
    </w:p>
    <w:p w:rsidR="00132FB1" w:rsidRPr="00A22D0D" w:rsidRDefault="00132FB1" w:rsidP="00073901">
      <w:pPr>
        <w:pStyle w:val="Citation-AltC"/>
        <w:widowControl w:val="0"/>
        <w:spacing w:after="240"/>
        <w:ind w:left="1168" w:hanging="1166"/>
        <w:contextualSpacing w:val="0"/>
        <w:rPr>
          <w:lang w:val="fr-CA"/>
        </w:rPr>
      </w:pPr>
      <w:r w:rsidRPr="00A22D0D">
        <w:rPr>
          <w:szCs w:val="14"/>
          <w:lang w:val="fr-CA"/>
        </w:rPr>
        <w:tab/>
      </w:r>
      <w:r w:rsidR="00592A72">
        <w:rPr>
          <w:szCs w:val="14"/>
          <w:lang w:val="fr-CA"/>
        </w:rPr>
        <w:tab/>
      </w:r>
      <w:r w:rsidRPr="00A22D0D">
        <w:rPr>
          <w:szCs w:val="14"/>
          <w:lang w:val="fr-CA"/>
        </w:rPr>
        <w:t xml:space="preserve">Il est donc important de noter que rien dans la common law ni dans le </w:t>
      </w:r>
      <w:r w:rsidRPr="00A22D0D">
        <w:rPr>
          <w:i/>
          <w:szCs w:val="14"/>
          <w:lang w:val="fr-CA"/>
        </w:rPr>
        <w:t>Code criminel</w:t>
      </w:r>
      <w:r w:rsidRPr="00A22D0D">
        <w:rPr>
          <w:lang w:val="fr-CA"/>
        </w:rPr>
        <w:t xml:space="preserve"> n</w:t>
      </w:r>
      <w:r>
        <w:rPr>
          <w:lang w:val="fr-CA"/>
        </w:rPr>
        <w:t>’</w:t>
      </w:r>
      <w:r w:rsidRPr="00A22D0D">
        <w:rPr>
          <w:lang w:val="fr-CA"/>
        </w:rPr>
        <w:t>interdit de réunir, dans un même acte d</w:t>
      </w:r>
      <w:r>
        <w:rPr>
          <w:lang w:val="fr-CA"/>
        </w:rPr>
        <w:t>’</w:t>
      </w:r>
      <w:r w:rsidRPr="00A22D0D">
        <w:rPr>
          <w:lang w:val="fr-CA"/>
        </w:rPr>
        <w:t>accusation, des adolescents et des adultes ou encore de demander la tenue d</w:t>
      </w:r>
      <w:r>
        <w:rPr>
          <w:lang w:val="fr-CA"/>
        </w:rPr>
        <w:t>’</w:t>
      </w:r>
      <w:r w:rsidRPr="00A22D0D">
        <w:rPr>
          <w:lang w:val="fr-CA"/>
        </w:rPr>
        <w:t xml:space="preserve">un procès conjoint. </w:t>
      </w:r>
      <w:r w:rsidRPr="00A22D0D">
        <w:rPr>
          <w:u w:val="single"/>
          <w:lang w:val="fr-CA"/>
        </w:rPr>
        <w:t>La question est donc de savoir si la création d</w:t>
      </w:r>
      <w:r>
        <w:rPr>
          <w:u w:val="single"/>
          <w:lang w:val="fr-CA"/>
        </w:rPr>
        <w:t>’</w:t>
      </w:r>
      <w:r w:rsidRPr="00A22D0D">
        <w:rPr>
          <w:u w:val="single"/>
          <w:lang w:val="fr-CA"/>
        </w:rPr>
        <w:t>un système de justice pénale distinct pour les adolescents a eu pour effet d</w:t>
      </w:r>
      <w:r>
        <w:rPr>
          <w:u w:val="single"/>
          <w:lang w:val="fr-CA"/>
        </w:rPr>
        <w:t>’</w:t>
      </w:r>
      <w:r w:rsidRPr="00A22D0D">
        <w:rPr>
          <w:u w:val="single"/>
          <w:lang w:val="fr-CA"/>
        </w:rPr>
        <w:t>écarter l</w:t>
      </w:r>
      <w:r>
        <w:rPr>
          <w:u w:val="single"/>
          <w:lang w:val="fr-CA"/>
        </w:rPr>
        <w:t>’</w:t>
      </w:r>
      <w:r w:rsidRPr="00A22D0D">
        <w:rPr>
          <w:u w:val="single"/>
          <w:lang w:val="fr-CA"/>
        </w:rPr>
        <w:t>application de la règle de common law et de rendre cette pratique incompatible avec le traitement procédural qui doit être réservé aux adolescents.</w:t>
      </w:r>
    </w:p>
    <w:p w:rsidR="00132FB1" w:rsidRPr="00A22D0D" w:rsidRDefault="00132FB1" w:rsidP="00073901">
      <w:pPr>
        <w:pStyle w:val="Citation-AltC"/>
        <w:widowControl w:val="0"/>
        <w:spacing w:after="240"/>
        <w:ind w:left="1168" w:hanging="1168"/>
        <w:contextualSpacing w:val="0"/>
        <w:jc w:val="center"/>
        <w:rPr>
          <w:lang w:val="fr-CA"/>
        </w:rPr>
      </w:pPr>
      <w:r w:rsidRPr="00A22D0D">
        <w:rPr>
          <w:lang w:val="fr-CA"/>
        </w:rPr>
        <w:tab/>
        <w:t>. . .</w:t>
      </w:r>
    </w:p>
    <w:p w:rsidR="00132FB1" w:rsidRPr="00A22D0D" w:rsidRDefault="00132FB1" w:rsidP="00073901">
      <w:pPr>
        <w:pStyle w:val="Citation-AltC"/>
        <w:widowControl w:val="0"/>
        <w:ind w:hanging="1166"/>
        <w:rPr>
          <w:lang w:val="fr-CA"/>
        </w:rPr>
      </w:pPr>
      <w:r w:rsidRPr="00A22D0D">
        <w:rPr>
          <w:lang w:val="fr-CA"/>
        </w:rPr>
        <w:tab/>
      </w:r>
      <w:r w:rsidRPr="00A22D0D">
        <w:rPr>
          <w:lang w:val="fr-CA"/>
        </w:rPr>
        <w:tab/>
        <w:t>La proposition [du ministère public quant à la tenue d</w:t>
      </w:r>
      <w:r>
        <w:rPr>
          <w:lang w:val="fr-CA"/>
        </w:rPr>
        <w:t>’</w:t>
      </w:r>
      <w:r w:rsidRPr="00A22D0D">
        <w:rPr>
          <w:lang w:val="fr-CA"/>
        </w:rPr>
        <w:t>un procès réunissant des adultes et des adolescents] va à l</w:t>
      </w:r>
      <w:r>
        <w:rPr>
          <w:lang w:val="fr-CA"/>
        </w:rPr>
        <w:t>’</w:t>
      </w:r>
      <w:r w:rsidRPr="00A22D0D">
        <w:rPr>
          <w:lang w:val="fr-CA"/>
        </w:rPr>
        <w:t>encontre de l</w:t>
      </w:r>
      <w:r>
        <w:rPr>
          <w:lang w:val="fr-CA"/>
        </w:rPr>
        <w:t>’</w:t>
      </w:r>
      <w:r w:rsidRPr="00A22D0D">
        <w:rPr>
          <w:lang w:val="fr-CA"/>
        </w:rPr>
        <w:t>esprit et des objectifs poursuivis par la [</w:t>
      </w:r>
      <w:r w:rsidRPr="00A22D0D">
        <w:rPr>
          <w:i/>
          <w:lang w:val="fr-CA"/>
        </w:rPr>
        <w:t>Loi sur le système de justice pénale pour les adolescents</w:t>
      </w:r>
      <w:r w:rsidRPr="00A22D0D">
        <w:rPr>
          <w:lang w:val="fr-CA"/>
        </w:rPr>
        <w:t>], en particulier depuis l</w:t>
      </w:r>
      <w:r>
        <w:rPr>
          <w:lang w:val="fr-CA"/>
        </w:rPr>
        <w:t>’</w:t>
      </w:r>
      <w:r w:rsidRPr="00A22D0D">
        <w:rPr>
          <w:lang w:val="fr-CA"/>
        </w:rPr>
        <w:t xml:space="preserve">abolition de la procédure de renvoi. </w:t>
      </w:r>
      <w:r w:rsidRPr="00A22D0D">
        <w:rPr>
          <w:u w:val="single"/>
          <w:lang w:val="fr-CA"/>
        </w:rPr>
        <w:t>L</w:t>
      </w:r>
      <w:r>
        <w:rPr>
          <w:u w:val="single"/>
          <w:lang w:val="fr-CA"/>
        </w:rPr>
        <w:t>’</w:t>
      </w:r>
      <w:r w:rsidRPr="00A22D0D">
        <w:rPr>
          <w:u w:val="single"/>
          <w:lang w:val="fr-CA"/>
        </w:rPr>
        <w:t>intention d</w:t>
      </w:r>
      <w:r>
        <w:rPr>
          <w:u w:val="single"/>
          <w:lang w:val="fr-CA"/>
        </w:rPr>
        <w:t>’</w:t>
      </w:r>
      <w:r w:rsidRPr="00A22D0D">
        <w:rPr>
          <w:u w:val="single"/>
          <w:lang w:val="fr-CA"/>
        </w:rPr>
        <w:t>écarter l</w:t>
      </w:r>
      <w:r>
        <w:rPr>
          <w:u w:val="single"/>
          <w:lang w:val="fr-CA"/>
        </w:rPr>
        <w:t>’</w:t>
      </w:r>
      <w:r w:rsidRPr="00A22D0D">
        <w:rPr>
          <w:u w:val="single"/>
          <w:lang w:val="fr-CA"/>
        </w:rPr>
        <w:t>application de la règle de common law régissant la tenue de procès conjoints</w:t>
      </w:r>
      <w:r w:rsidRPr="00A22D0D">
        <w:rPr>
          <w:lang w:val="fr-CA"/>
        </w:rPr>
        <w:t xml:space="preserve"> ressort également de l</w:t>
      </w:r>
      <w:r>
        <w:rPr>
          <w:lang w:val="fr-CA"/>
        </w:rPr>
        <w:t>’</w:t>
      </w:r>
      <w:r w:rsidRPr="00A22D0D">
        <w:rPr>
          <w:lang w:val="fr-CA"/>
        </w:rPr>
        <w:t>absence d</w:t>
      </w:r>
      <w:r>
        <w:rPr>
          <w:lang w:val="fr-CA"/>
        </w:rPr>
        <w:t>’</w:t>
      </w:r>
      <w:r w:rsidRPr="00A22D0D">
        <w:rPr>
          <w:lang w:val="fr-CA"/>
        </w:rPr>
        <w:t>une procédure permettant de joindre un procès visant des adultes et un autre visant des adolescents. [Je souligne; par. 52 et 63.]</w:t>
      </w:r>
    </w:p>
    <w:p w:rsidR="00132FB1" w:rsidRPr="00A22D0D" w:rsidRDefault="00132FB1" w:rsidP="00073901">
      <w:pPr>
        <w:pStyle w:val="ContinueParaSuitedupar-AltP"/>
        <w:widowControl w:val="0"/>
        <w:rPr>
          <w:rFonts w:cs="Times New Roman"/>
          <w:lang w:val="fr-CA"/>
        </w:rPr>
      </w:pPr>
      <w:r w:rsidRPr="00A22D0D">
        <w:rPr>
          <w:rFonts w:cs="Times New Roman"/>
          <w:lang w:val="fr-CA"/>
        </w:rPr>
        <w:t>Il convient également de souligner que le raisonnement suivi dans l</w:t>
      </w:r>
      <w:r>
        <w:rPr>
          <w:rFonts w:cs="Times New Roman"/>
          <w:lang w:val="fr-CA"/>
        </w:rPr>
        <w:t>’</w:t>
      </w:r>
      <w:r w:rsidRPr="00A22D0D">
        <w:rPr>
          <w:rFonts w:cs="Times New Roman"/>
          <w:lang w:val="fr-CA"/>
        </w:rPr>
        <w:t>arrêt </w:t>
      </w:r>
      <w:r w:rsidRPr="00A22D0D">
        <w:rPr>
          <w:rFonts w:cs="Times New Roman"/>
          <w:i/>
          <w:lang w:val="fr-CA"/>
        </w:rPr>
        <w:t>S.J.L.</w:t>
      </w:r>
      <w:r w:rsidRPr="00A22D0D">
        <w:rPr>
          <w:rFonts w:cs="Times New Roman"/>
          <w:lang w:val="fr-CA"/>
        </w:rPr>
        <w:t xml:space="preserve"> s</w:t>
      </w:r>
      <w:r>
        <w:rPr>
          <w:rFonts w:cs="Times New Roman"/>
          <w:lang w:val="fr-CA"/>
        </w:rPr>
        <w:t>’</w:t>
      </w:r>
      <w:r w:rsidRPr="00A22D0D">
        <w:rPr>
          <w:rFonts w:cs="Times New Roman"/>
          <w:lang w:val="fr-CA"/>
        </w:rPr>
        <w:t>appuie uniquement sur « </w:t>
      </w:r>
      <w:r w:rsidRPr="00A22D0D">
        <w:rPr>
          <w:rFonts w:cs="Times New Roman"/>
          <w:lang w:val="fr-FR"/>
        </w:rPr>
        <w:t>l</w:t>
      </w:r>
      <w:r>
        <w:rPr>
          <w:rFonts w:cs="Times New Roman"/>
          <w:lang w:val="fr-FR"/>
        </w:rPr>
        <w:t>’</w:t>
      </w:r>
      <w:r w:rsidRPr="00A22D0D">
        <w:rPr>
          <w:rFonts w:cs="Times New Roman"/>
          <w:lang w:val="fr-FR"/>
        </w:rPr>
        <w:t>esprit et [l]es objectifs »</w:t>
      </w:r>
      <w:r w:rsidRPr="00A22D0D">
        <w:rPr>
          <w:rFonts w:cs="Times New Roman"/>
          <w:lang w:val="fr-CA"/>
        </w:rPr>
        <w:t xml:space="preserve"> poursuivis par la </w:t>
      </w:r>
      <w:r w:rsidRPr="00A22D0D">
        <w:rPr>
          <w:rFonts w:cs="Times New Roman"/>
          <w:i/>
          <w:lang w:val="fr-CA"/>
        </w:rPr>
        <w:t xml:space="preserve">Loi sur le système de justice pénale pour les adolescents </w:t>
      </w:r>
      <w:r w:rsidRPr="00A22D0D">
        <w:rPr>
          <w:rFonts w:cs="Times New Roman"/>
          <w:lang w:val="fr-CA"/>
        </w:rPr>
        <w:t>— et non sur le cadre juridique de common law — pour trancher la question faisant l</w:t>
      </w:r>
      <w:r>
        <w:rPr>
          <w:rFonts w:cs="Times New Roman"/>
          <w:lang w:val="fr-CA"/>
        </w:rPr>
        <w:t>’</w:t>
      </w:r>
      <w:r w:rsidRPr="00A22D0D">
        <w:rPr>
          <w:rFonts w:cs="Times New Roman"/>
          <w:lang w:val="fr-CA"/>
        </w:rPr>
        <w:t>objet de l</w:t>
      </w:r>
      <w:r>
        <w:rPr>
          <w:rFonts w:cs="Times New Roman"/>
          <w:lang w:val="fr-CA"/>
        </w:rPr>
        <w:t>’</w:t>
      </w:r>
      <w:r w:rsidRPr="00A22D0D">
        <w:rPr>
          <w:rFonts w:cs="Times New Roman"/>
          <w:lang w:val="fr-CA"/>
        </w:rPr>
        <w:t>appel. En suivant la même logique, l</w:t>
      </w:r>
      <w:r>
        <w:rPr>
          <w:rFonts w:cs="Times New Roman"/>
          <w:lang w:val="fr-CA"/>
        </w:rPr>
        <w:t>’</w:t>
      </w:r>
      <w:r w:rsidRPr="00A22D0D">
        <w:rPr>
          <w:rFonts w:cs="Times New Roman"/>
          <w:lang w:val="fr-CA"/>
        </w:rPr>
        <w:t xml:space="preserve">intention poursuivie par la Législature en adoptant la </w:t>
      </w:r>
      <w:r w:rsidRPr="00A22D0D">
        <w:rPr>
          <w:rFonts w:cs="Times New Roman"/>
          <w:i/>
          <w:lang w:val="fr-CA"/>
        </w:rPr>
        <w:t>LIP</w:t>
      </w:r>
      <w:r w:rsidRPr="00A22D0D">
        <w:rPr>
          <w:rFonts w:cs="Times New Roman"/>
          <w:lang w:val="fr-CA"/>
        </w:rPr>
        <w:t xml:space="preserve"> doit primer sur les règles de common law applicables à la réunion d</w:t>
      </w:r>
      <w:r>
        <w:rPr>
          <w:rFonts w:cs="Times New Roman"/>
          <w:lang w:val="fr-CA"/>
        </w:rPr>
        <w:t>’</w:t>
      </w:r>
      <w:r w:rsidRPr="00A22D0D">
        <w:rPr>
          <w:rFonts w:cs="Times New Roman"/>
          <w:lang w:val="fr-CA"/>
        </w:rPr>
        <w:t>accusations.</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En deuxième lieu, l</w:t>
      </w:r>
      <w:r>
        <w:rPr>
          <w:rFonts w:cs="Times New Roman"/>
          <w:lang w:val="fr-CA"/>
        </w:rPr>
        <w:t>’</w:t>
      </w:r>
      <w:r w:rsidRPr="00A22D0D">
        <w:rPr>
          <w:rFonts w:cs="Times New Roman"/>
          <w:lang w:val="fr-CA"/>
        </w:rPr>
        <w:t xml:space="preserve">arrêt </w:t>
      </w:r>
      <w:r w:rsidRPr="00A22D0D">
        <w:rPr>
          <w:rFonts w:cs="Times New Roman"/>
          <w:i/>
          <w:lang w:val="fr-CA"/>
        </w:rPr>
        <w:t>Clunas</w:t>
      </w:r>
      <w:r w:rsidRPr="00A22D0D">
        <w:rPr>
          <w:rFonts w:cs="Times New Roman"/>
          <w:lang w:val="fr-CA"/>
        </w:rPr>
        <w:t xml:space="preserve"> a été rendu dans un cadre législatif complètement différent de celui en cause en l</w:t>
      </w:r>
      <w:r>
        <w:rPr>
          <w:rFonts w:cs="Times New Roman"/>
          <w:lang w:val="fr-CA"/>
        </w:rPr>
        <w:t>’</w:t>
      </w:r>
      <w:r w:rsidRPr="00A22D0D">
        <w:rPr>
          <w:rFonts w:cs="Times New Roman"/>
          <w:lang w:val="fr-CA"/>
        </w:rPr>
        <w:t>espèce. En effet, cette affaire s</w:t>
      </w:r>
      <w:r>
        <w:rPr>
          <w:rFonts w:cs="Times New Roman"/>
          <w:lang w:val="fr-CA"/>
        </w:rPr>
        <w:t>’</w:t>
      </w:r>
      <w:r w:rsidRPr="00A22D0D">
        <w:rPr>
          <w:rFonts w:cs="Times New Roman"/>
          <w:lang w:val="fr-CA"/>
        </w:rPr>
        <w:t xml:space="preserve">inscrivait uniquement dans le contexte du </w:t>
      </w:r>
      <w:r w:rsidRPr="00A22D0D">
        <w:rPr>
          <w:rFonts w:cs="Times New Roman"/>
          <w:i/>
          <w:lang w:val="fr-CA"/>
        </w:rPr>
        <w:t>C</w:t>
      </w:r>
      <w:r w:rsidR="00592A72">
        <w:rPr>
          <w:rFonts w:cs="Times New Roman"/>
          <w:i/>
          <w:lang w:val="fr-CA"/>
        </w:rPr>
        <w:t>ode criminel</w:t>
      </w:r>
      <w:r w:rsidRPr="00A22D0D">
        <w:rPr>
          <w:rFonts w:cs="Times New Roman"/>
          <w:lang w:val="fr-CA"/>
        </w:rPr>
        <w:t xml:space="preserve">, et avait trait à des accusations portées </w:t>
      </w:r>
      <w:r w:rsidRPr="00A22D0D">
        <w:rPr>
          <w:rFonts w:cs="Times New Roman"/>
          <w:lang w:val="fr-CA"/>
        </w:rPr>
        <w:lastRenderedPageBreak/>
        <w:t>en vertu des dispositions de la même loi, prescrites par le même palier de gouvernement, et donc assujetties aux mêmes règles en matière de preuve et de procédure. En l</w:t>
      </w:r>
      <w:r>
        <w:rPr>
          <w:rFonts w:cs="Times New Roman"/>
          <w:lang w:val="fr-CA"/>
        </w:rPr>
        <w:t>’</w:t>
      </w:r>
      <w:r w:rsidRPr="00A22D0D">
        <w:rPr>
          <w:rFonts w:cs="Times New Roman"/>
          <w:lang w:val="fr-CA"/>
        </w:rPr>
        <w:t xml:space="preserve">espèce, il est plutôt question de dispositions législatives édictées par deux paliers de gouvernement différents, qui se sont tous les deux dotés de leurs propres procédures et de règles de preuve distinctes. Fait plus important, la </w:t>
      </w:r>
      <w:r w:rsidRPr="00A22D0D">
        <w:rPr>
          <w:rFonts w:cs="Times New Roman"/>
          <w:i/>
          <w:lang w:val="fr-CA"/>
        </w:rPr>
        <w:t>LIP</w:t>
      </w:r>
      <w:r w:rsidRPr="00A22D0D">
        <w:rPr>
          <w:rFonts w:cs="Times New Roman"/>
          <w:lang w:val="fr-CA"/>
        </w:rPr>
        <w:t xml:space="preserve"> a été adoptée pour que les crimes véritables et les infractions provinciales restent distincts à chaque étape des procédures. Ainsi, et en gardant à l</w:t>
      </w:r>
      <w:r>
        <w:rPr>
          <w:rFonts w:cs="Times New Roman"/>
          <w:lang w:val="fr-CA"/>
        </w:rPr>
        <w:t>’</w:t>
      </w:r>
      <w:r w:rsidRPr="00A22D0D">
        <w:rPr>
          <w:rFonts w:cs="Times New Roman"/>
          <w:lang w:val="fr-CA"/>
        </w:rPr>
        <w:t xml:space="preserve">esprit la façon dont la Cour a traité du cadre applicable en common law dans </w:t>
      </w:r>
      <w:r w:rsidRPr="00A22D0D">
        <w:rPr>
          <w:rFonts w:cs="Times New Roman"/>
          <w:i/>
          <w:lang w:val="fr-CA"/>
        </w:rPr>
        <w:t>S.J.L.</w:t>
      </w:r>
      <w:r w:rsidRPr="00A22D0D">
        <w:rPr>
          <w:rFonts w:cs="Times New Roman"/>
          <w:lang w:val="fr-CA"/>
        </w:rPr>
        <w:t>, j</w:t>
      </w:r>
      <w:r>
        <w:rPr>
          <w:rFonts w:cs="Times New Roman"/>
          <w:lang w:val="fr-CA"/>
        </w:rPr>
        <w:t>’</w:t>
      </w:r>
      <w:r w:rsidRPr="00A22D0D">
        <w:rPr>
          <w:rFonts w:cs="Times New Roman"/>
          <w:lang w:val="fr-CA"/>
        </w:rPr>
        <w:t>estime que le critère en deux volets énoncé dans l</w:t>
      </w:r>
      <w:r>
        <w:rPr>
          <w:rFonts w:cs="Times New Roman"/>
          <w:lang w:val="fr-CA"/>
        </w:rPr>
        <w:t>’</w:t>
      </w:r>
      <w:r w:rsidRPr="00A22D0D">
        <w:rPr>
          <w:rFonts w:cs="Times New Roman"/>
          <w:lang w:val="fr-CA"/>
        </w:rPr>
        <w:t>arrêt </w:t>
      </w:r>
      <w:r w:rsidRPr="00A22D0D">
        <w:rPr>
          <w:rFonts w:cs="Times New Roman"/>
          <w:i/>
          <w:lang w:val="fr-CA"/>
        </w:rPr>
        <w:t xml:space="preserve">Clunas </w:t>
      </w:r>
      <w:r w:rsidRPr="00A22D0D">
        <w:rPr>
          <w:rFonts w:cs="Times New Roman"/>
          <w:lang w:val="fr-CA"/>
        </w:rPr>
        <w:t>n</w:t>
      </w:r>
      <w:r>
        <w:rPr>
          <w:rFonts w:cs="Times New Roman"/>
          <w:lang w:val="fr-CA"/>
        </w:rPr>
        <w:t>’</w:t>
      </w:r>
      <w:r w:rsidRPr="00A22D0D">
        <w:rPr>
          <w:rFonts w:cs="Times New Roman"/>
          <w:lang w:val="fr-CA"/>
        </w:rPr>
        <w:t>est pas d</w:t>
      </w:r>
      <w:r>
        <w:rPr>
          <w:rFonts w:cs="Times New Roman"/>
          <w:lang w:val="fr-CA"/>
        </w:rPr>
        <w:t>’</w:t>
      </w:r>
      <w:r w:rsidRPr="00A22D0D">
        <w:rPr>
          <w:rFonts w:cs="Times New Roman"/>
          <w:lang w:val="fr-CA"/>
        </w:rPr>
        <w:t xml:space="preserve">un grand secours pour décider du présent pourvoi. </w:t>
      </w:r>
    </w:p>
    <w:p w:rsidR="00132FB1" w:rsidRPr="00A22D0D" w:rsidRDefault="00132FB1" w:rsidP="00073901">
      <w:pPr>
        <w:pStyle w:val="Title3LevelTitre3Niveau"/>
        <w:widowControl w:val="0"/>
        <w:rPr>
          <w:rFonts w:cs="Times New Roman"/>
          <w:lang w:val="fr-CA"/>
        </w:rPr>
      </w:pPr>
      <w:r w:rsidRPr="00A22D0D">
        <w:rPr>
          <w:rFonts w:cs="Times New Roman"/>
          <w:lang w:val="fr-CA"/>
        </w:rPr>
        <w:t>Conclusion relative à la compétence pour tenir un procès conjoint</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Avant de conclure, j</w:t>
      </w:r>
      <w:r>
        <w:rPr>
          <w:rFonts w:cs="Times New Roman"/>
          <w:lang w:val="fr-CA"/>
        </w:rPr>
        <w:t>’</w:t>
      </w:r>
      <w:r w:rsidRPr="00A22D0D">
        <w:rPr>
          <w:rFonts w:cs="Times New Roman"/>
          <w:lang w:val="fr-CA"/>
        </w:rPr>
        <w:t xml:space="preserve">aimerais apporter une dernière précision </w:t>
      </w:r>
      <w:r w:rsidR="00165B70">
        <w:rPr>
          <w:rFonts w:cs="Times New Roman"/>
          <w:lang w:val="fr-CA"/>
        </w:rPr>
        <w:t>à cet égard</w:t>
      </w:r>
      <w:r w:rsidRPr="00A22D0D">
        <w:rPr>
          <w:rFonts w:cs="Times New Roman"/>
          <w:lang w:val="fr-CA"/>
        </w:rPr>
        <w:t> : ni le consentement de l</w:t>
      </w:r>
      <w:r>
        <w:rPr>
          <w:rFonts w:cs="Times New Roman"/>
          <w:lang w:val="fr-CA"/>
        </w:rPr>
        <w:t>’</w:t>
      </w:r>
      <w:r w:rsidRPr="00A22D0D">
        <w:rPr>
          <w:rFonts w:cs="Times New Roman"/>
          <w:lang w:val="fr-CA"/>
        </w:rPr>
        <w:t>accusé ni l</w:t>
      </w:r>
      <w:r>
        <w:rPr>
          <w:rFonts w:cs="Times New Roman"/>
          <w:lang w:val="fr-CA"/>
        </w:rPr>
        <w:t>’</w:t>
      </w:r>
      <w:r w:rsidRPr="00A22D0D">
        <w:rPr>
          <w:rFonts w:cs="Times New Roman"/>
          <w:lang w:val="fr-CA"/>
        </w:rPr>
        <w:t>absence de préjudice subi n</w:t>
      </w:r>
      <w:r>
        <w:rPr>
          <w:rFonts w:cs="Times New Roman"/>
          <w:lang w:val="fr-CA"/>
        </w:rPr>
        <w:t>’</w:t>
      </w:r>
      <w:r w:rsidRPr="00A22D0D">
        <w:rPr>
          <w:rFonts w:cs="Times New Roman"/>
          <w:lang w:val="fr-CA"/>
        </w:rPr>
        <w:t>a d</w:t>
      </w:r>
      <w:r>
        <w:rPr>
          <w:rFonts w:cs="Times New Roman"/>
          <w:lang w:val="fr-CA"/>
        </w:rPr>
        <w:t>’</w:t>
      </w:r>
      <w:r w:rsidRPr="00A22D0D">
        <w:rPr>
          <w:rFonts w:cs="Times New Roman"/>
          <w:lang w:val="fr-CA"/>
        </w:rPr>
        <w:t>importance relativement à la question de la compétence. S</w:t>
      </w:r>
      <w:r>
        <w:rPr>
          <w:rFonts w:cs="Times New Roman"/>
          <w:lang w:val="fr-CA"/>
        </w:rPr>
        <w:t>’</w:t>
      </w:r>
      <w:r w:rsidRPr="00A22D0D">
        <w:rPr>
          <w:rFonts w:cs="Times New Roman"/>
          <w:lang w:val="fr-CA"/>
        </w:rPr>
        <w:t>il est vrai que, en l</w:t>
      </w:r>
      <w:r>
        <w:rPr>
          <w:rFonts w:cs="Times New Roman"/>
          <w:lang w:val="fr-CA"/>
        </w:rPr>
        <w:t>’</w:t>
      </w:r>
      <w:r w:rsidRPr="00A22D0D">
        <w:rPr>
          <w:rFonts w:cs="Times New Roman"/>
          <w:lang w:val="fr-CA"/>
        </w:rPr>
        <w:t>espèce, l</w:t>
      </w:r>
      <w:r>
        <w:rPr>
          <w:rFonts w:cs="Times New Roman"/>
          <w:lang w:val="fr-CA"/>
        </w:rPr>
        <w:t>’</w:t>
      </w:r>
      <w:r w:rsidRPr="00A22D0D">
        <w:rPr>
          <w:rFonts w:cs="Times New Roman"/>
          <w:lang w:val="fr-CA"/>
        </w:rPr>
        <w:t xml:space="preserve">accusé a consenti à la tenue du procès conjoint et </w:t>
      </w:r>
      <w:r w:rsidR="00165B70">
        <w:rPr>
          <w:rFonts w:cs="Times New Roman"/>
          <w:lang w:val="fr-CA"/>
        </w:rPr>
        <w:t>que cela ne lui a possiblement causé aucun préjudice</w:t>
      </w:r>
      <w:r w:rsidRPr="00A22D0D">
        <w:rPr>
          <w:rFonts w:cs="Times New Roman"/>
          <w:lang w:val="fr-CA"/>
        </w:rPr>
        <w:t>, ces faits ne peuvent suffire à conférer une compétence qui n</w:t>
      </w:r>
      <w:r>
        <w:rPr>
          <w:rFonts w:cs="Times New Roman"/>
          <w:lang w:val="fr-CA"/>
        </w:rPr>
        <w:t>’</w:t>
      </w:r>
      <w:r w:rsidRPr="00A22D0D">
        <w:rPr>
          <w:rFonts w:cs="Times New Roman"/>
          <w:lang w:val="fr-CA"/>
        </w:rPr>
        <w:t xml:space="preserve">existait pas dès le départ : </w:t>
      </w:r>
      <w:r w:rsidRPr="00A22D0D">
        <w:rPr>
          <w:rFonts w:cs="Times New Roman"/>
          <w:i/>
          <w:iCs/>
          <w:lang w:val="fr-CA"/>
        </w:rPr>
        <w:t>Attorney General of Nova Scotia c. Attorney General of Canada</w:t>
      </w:r>
      <w:r w:rsidRPr="00A22D0D">
        <w:rPr>
          <w:rFonts w:cs="Times New Roman"/>
          <w:lang w:val="fr-CA"/>
        </w:rPr>
        <w:t xml:space="preserve">, [1951] R.C.S. 31, p. 40; </w:t>
      </w:r>
      <w:r w:rsidRPr="00A22D0D">
        <w:rPr>
          <w:rFonts w:cs="Times New Roman"/>
          <w:i/>
          <w:iCs/>
          <w:lang w:val="fr-CA"/>
        </w:rPr>
        <w:t>R. c. Dudley</w:t>
      </w:r>
      <w:r w:rsidRPr="00A22D0D">
        <w:rPr>
          <w:rFonts w:cs="Times New Roman"/>
          <w:lang w:val="fr-CA"/>
        </w:rPr>
        <w:t xml:space="preserve">, 2009 CSC 58, [2009] 3 R.C.S. 570, par. 34.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Compte tenu de ma conclusion selon laquelle un juge de la cour provinciale de l</w:t>
      </w:r>
      <w:r>
        <w:rPr>
          <w:rFonts w:cs="Times New Roman"/>
          <w:lang w:val="fr-CA"/>
        </w:rPr>
        <w:t>’</w:t>
      </w:r>
      <w:r w:rsidRPr="00A22D0D">
        <w:rPr>
          <w:rFonts w:cs="Times New Roman"/>
          <w:lang w:val="fr-CA"/>
        </w:rPr>
        <w:t>Ontario n</w:t>
      </w:r>
      <w:r>
        <w:rPr>
          <w:rFonts w:cs="Times New Roman"/>
          <w:lang w:val="fr-CA"/>
        </w:rPr>
        <w:t>’</w:t>
      </w:r>
      <w:r w:rsidRPr="00A22D0D">
        <w:rPr>
          <w:rFonts w:cs="Times New Roman"/>
          <w:lang w:val="fr-CA"/>
        </w:rPr>
        <w:t xml:space="preserve">a pas compétence pour instruire conjointement des infractions prévues au </w:t>
      </w:r>
      <w:r w:rsidRPr="00A22D0D">
        <w:rPr>
          <w:rFonts w:cs="Times New Roman"/>
          <w:i/>
          <w:lang w:val="fr-CA"/>
        </w:rPr>
        <w:t>C</w:t>
      </w:r>
      <w:r w:rsidR="00A465EF">
        <w:rPr>
          <w:rFonts w:cs="Times New Roman"/>
          <w:i/>
          <w:lang w:val="fr-CA"/>
        </w:rPr>
        <w:t xml:space="preserve">ode criminel </w:t>
      </w:r>
      <w:r w:rsidRPr="00A22D0D">
        <w:rPr>
          <w:rFonts w:cs="Times New Roman"/>
          <w:lang w:val="fr-CA"/>
        </w:rPr>
        <w:t>et des infractions provinciales — puisqu</w:t>
      </w:r>
      <w:r>
        <w:rPr>
          <w:rFonts w:cs="Times New Roman"/>
          <w:lang w:val="fr-CA"/>
        </w:rPr>
        <w:t>’</w:t>
      </w:r>
      <w:r w:rsidRPr="00A22D0D">
        <w:rPr>
          <w:rFonts w:cs="Times New Roman"/>
          <w:lang w:val="fr-CA"/>
        </w:rPr>
        <w:t xml:space="preserve">une telle compétence irait à </w:t>
      </w:r>
      <w:r w:rsidRPr="00A22D0D">
        <w:rPr>
          <w:rFonts w:cs="Times New Roman"/>
          <w:lang w:val="fr-CA"/>
        </w:rPr>
        <w:lastRenderedPageBreak/>
        <w:t>l</w:t>
      </w:r>
      <w:r>
        <w:rPr>
          <w:rFonts w:cs="Times New Roman"/>
          <w:lang w:val="fr-CA"/>
        </w:rPr>
        <w:t>’</w:t>
      </w:r>
      <w:r w:rsidRPr="00A22D0D">
        <w:rPr>
          <w:rFonts w:cs="Times New Roman"/>
          <w:lang w:val="fr-CA"/>
        </w:rPr>
        <w:t>encontre de l</w:t>
      </w:r>
      <w:r>
        <w:rPr>
          <w:rFonts w:cs="Times New Roman"/>
          <w:lang w:val="fr-CA"/>
        </w:rPr>
        <w:t>’</w:t>
      </w:r>
      <w:r w:rsidRPr="00A22D0D">
        <w:rPr>
          <w:rFonts w:cs="Times New Roman"/>
          <w:lang w:val="fr-CA"/>
        </w:rPr>
        <w:t xml:space="preserve">objet de la </w:t>
      </w:r>
      <w:r w:rsidRPr="00A22D0D">
        <w:rPr>
          <w:rFonts w:cs="Times New Roman"/>
          <w:i/>
          <w:lang w:val="fr-CA"/>
        </w:rPr>
        <w:t>LIP</w:t>
      </w:r>
      <w:r w:rsidRPr="00A22D0D">
        <w:rPr>
          <w:rFonts w:cs="Times New Roman"/>
          <w:lang w:val="fr-CA"/>
        </w:rPr>
        <w:t xml:space="preserve"> —, il est nécessaire d</w:t>
      </w:r>
      <w:r>
        <w:rPr>
          <w:rFonts w:cs="Times New Roman"/>
          <w:lang w:val="fr-CA"/>
        </w:rPr>
        <w:t>’</w:t>
      </w:r>
      <w:r w:rsidRPr="00A22D0D">
        <w:rPr>
          <w:rFonts w:cs="Times New Roman"/>
          <w:lang w:val="fr-CA"/>
        </w:rPr>
        <w:t>examiner s</w:t>
      </w:r>
      <w:r>
        <w:rPr>
          <w:rFonts w:cs="Times New Roman"/>
          <w:lang w:val="fr-CA"/>
        </w:rPr>
        <w:t>’</w:t>
      </w:r>
      <w:r w:rsidRPr="00A22D0D">
        <w:rPr>
          <w:rFonts w:cs="Times New Roman"/>
          <w:lang w:val="fr-CA"/>
        </w:rPr>
        <w:t>il y a tout de même lieu de rejeter le présent pourvoi compte tenu des dispositions réparatrices contenues dans les textes de loi fédéral et provincial. </w:t>
      </w:r>
    </w:p>
    <w:p w:rsidR="00132FB1" w:rsidRPr="00A22D0D" w:rsidRDefault="00132FB1" w:rsidP="00073901">
      <w:pPr>
        <w:pStyle w:val="Title2LevelTitre2Niveau"/>
        <w:widowControl w:val="0"/>
        <w:rPr>
          <w:rFonts w:cs="Times New Roman"/>
          <w:lang w:val="fr-CA"/>
        </w:rPr>
      </w:pPr>
      <w:r w:rsidRPr="00A22D0D">
        <w:rPr>
          <w:rFonts w:cs="Times New Roman"/>
          <w:lang w:val="fr-CA"/>
        </w:rPr>
        <w:t>Les dispositions réparatrices</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Bien que la Cour d</w:t>
      </w:r>
      <w:r>
        <w:rPr>
          <w:rFonts w:cs="Times New Roman"/>
          <w:lang w:val="fr-CA"/>
        </w:rPr>
        <w:t>’</w:t>
      </w:r>
      <w:r w:rsidRPr="00A22D0D">
        <w:rPr>
          <w:rFonts w:cs="Times New Roman"/>
          <w:lang w:val="fr-CA"/>
        </w:rPr>
        <w:t>appel ait affirmé qu</w:t>
      </w:r>
      <w:r>
        <w:rPr>
          <w:rFonts w:cs="Times New Roman"/>
          <w:lang w:val="fr-CA"/>
        </w:rPr>
        <w:t>’</w:t>
      </w:r>
      <w:r w:rsidRPr="00A22D0D">
        <w:rPr>
          <w:rFonts w:cs="Times New Roman"/>
          <w:lang w:val="fr-CA"/>
        </w:rPr>
        <w:t>une instruction conjointe n</w:t>
      </w:r>
      <w:r>
        <w:rPr>
          <w:rFonts w:cs="Times New Roman"/>
          <w:lang w:val="fr-CA"/>
        </w:rPr>
        <w:t>’</w:t>
      </w:r>
      <w:r w:rsidRPr="00A22D0D">
        <w:rPr>
          <w:rFonts w:cs="Times New Roman"/>
          <w:lang w:val="fr-CA"/>
        </w:rPr>
        <w:t>était pas permise, elle a conclu qu</w:t>
      </w:r>
      <w:r>
        <w:rPr>
          <w:rFonts w:cs="Times New Roman"/>
          <w:lang w:val="fr-CA"/>
        </w:rPr>
        <w:t>’</w:t>
      </w:r>
      <w:r w:rsidRPr="00A22D0D">
        <w:rPr>
          <w:rFonts w:cs="Times New Roman"/>
          <w:lang w:val="fr-CA"/>
        </w:rPr>
        <w:t>il s</w:t>
      </w:r>
      <w:r>
        <w:rPr>
          <w:rFonts w:cs="Times New Roman"/>
          <w:lang w:val="fr-CA"/>
        </w:rPr>
        <w:t>’</w:t>
      </w:r>
      <w:r w:rsidRPr="00A22D0D">
        <w:rPr>
          <w:rFonts w:cs="Times New Roman"/>
          <w:lang w:val="fr-CA"/>
        </w:rPr>
        <w:t>agissait d</w:t>
      </w:r>
      <w:r>
        <w:rPr>
          <w:rFonts w:cs="Times New Roman"/>
          <w:lang w:val="fr-CA"/>
        </w:rPr>
        <w:t>’</w:t>
      </w:r>
      <w:r w:rsidRPr="00A22D0D">
        <w:rPr>
          <w:rFonts w:cs="Times New Roman"/>
          <w:lang w:val="fr-CA"/>
        </w:rPr>
        <w:t>une simple [</w:t>
      </w:r>
      <w:r w:rsidRPr="00A22D0D">
        <w:rPr>
          <w:rFonts w:cs="Times New Roman"/>
          <w:smallCaps/>
          <w:lang w:val="fr-CA"/>
        </w:rPr>
        <w:t>traduction</w:t>
      </w:r>
      <w:r w:rsidRPr="00A22D0D">
        <w:rPr>
          <w:rFonts w:cs="Times New Roman"/>
          <w:lang w:val="fr-CA"/>
        </w:rPr>
        <w:t>] « irrégularité de procédure » à laquelle il pouvait être remédié en application des sous</w:t>
      </w:r>
      <w:r w:rsidR="00140575">
        <w:rPr>
          <w:rFonts w:cs="Times New Roman"/>
          <w:lang w:val="fr-CA"/>
        </w:rPr>
        <w:t>-</w:t>
      </w:r>
      <w:r w:rsidRPr="00A22D0D">
        <w:rPr>
          <w:rFonts w:cs="Times New Roman"/>
          <w:lang w:val="fr-CA"/>
        </w:rPr>
        <w:t xml:space="preserve">al. 686(1)b)(iv) du </w:t>
      </w:r>
      <w:r w:rsidRPr="00A22D0D">
        <w:rPr>
          <w:rFonts w:cs="Times New Roman"/>
          <w:i/>
          <w:lang w:val="fr-CA"/>
        </w:rPr>
        <w:t>C</w:t>
      </w:r>
      <w:r w:rsidR="00A465EF">
        <w:rPr>
          <w:rFonts w:cs="Times New Roman"/>
          <w:i/>
          <w:lang w:val="fr-CA"/>
        </w:rPr>
        <w:t>ode criminel</w:t>
      </w:r>
      <w:r w:rsidRPr="00A22D0D">
        <w:rPr>
          <w:rFonts w:cs="Times New Roman"/>
          <w:i/>
          <w:lang w:val="fr-CA"/>
        </w:rPr>
        <w:t xml:space="preserve"> </w:t>
      </w:r>
      <w:r w:rsidRPr="00A22D0D">
        <w:rPr>
          <w:rFonts w:cs="Times New Roman"/>
          <w:lang w:val="fr-CA"/>
        </w:rPr>
        <w:t xml:space="preserve">et 120(1)b)(iii) de la </w:t>
      </w:r>
      <w:r w:rsidRPr="00A22D0D">
        <w:rPr>
          <w:rFonts w:cs="Times New Roman"/>
          <w:i/>
          <w:lang w:val="fr-CA"/>
        </w:rPr>
        <w:t>LIP</w:t>
      </w:r>
      <w:r w:rsidRPr="00A22D0D">
        <w:rPr>
          <w:rFonts w:cs="Times New Roman"/>
          <w:lang w:val="fr-CA"/>
        </w:rPr>
        <w:t> : 2016 ONCA 411, 131 O.R. (3d) 375, par. 88. Je ne suis pas de cet avis. Bien que la perte de compétence résultant d</w:t>
      </w:r>
      <w:r>
        <w:rPr>
          <w:rFonts w:cs="Times New Roman"/>
          <w:lang w:val="fr-CA"/>
        </w:rPr>
        <w:t>’</w:t>
      </w:r>
      <w:r w:rsidRPr="00A22D0D">
        <w:rPr>
          <w:rFonts w:cs="Times New Roman"/>
          <w:lang w:val="fr-CA"/>
        </w:rPr>
        <w:t>une irrégularité de procédure puisse être réparée au moyen du sous</w:t>
      </w:r>
      <w:r w:rsidR="00140575">
        <w:rPr>
          <w:rFonts w:cs="Times New Roman"/>
          <w:lang w:val="fr-CA"/>
        </w:rPr>
        <w:t>-</w:t>
      </w:r>
      <w:r w:rsidRPr="00A22D0D">
        <w:rPr>
          <w:rFonts w:cs="Times New Roman"/>
          <w:lang w:val="fr-CA"/>
        </w:rPr>
        <w:t xml:space="preserve">al. 686(1)b)(iv) du </w:t>
      </w:r>
      <w:r w:rsidR="00B406E8">
        <w:rPr>
          <w:rFonts w:cs="Times New Roman"/>
          <w:i/>
          <w:lang w:val="fr-CA"/>
        </w:rPr>
        <w:t>Code criminel</w:t>
      </w:r>
      <w:r w:rsidRPr="00A22D0D">
        <w:rPr>
          <w:rFonts w:cs="Times New Roman"/>
          <w:lang w:val="fr-CA"/>
        </w:rPr>
        <w:t>, cette disposition ne saurait permettre de pallier l</w:t>
      </w:r>
      <w:r>
        <w:rPr>
          <w:rFonts w:cs="Times New Roman"/>
          <w:lang w:val="fr-CA"/>
        </w:rPr>
        <w:t>’</w:t>
      </w:r>
      <w:r w:rsidRPr="00A22D0D">
        <w:rPr>
          <w:rFonts w:cs="Times New Roman"/>
          <w:lang w:val="fr-CA"/>
        </w:rPr>
        <w:t>absence de compétence dès le départ. Le sous</w:t>
      </w:r>
      <w:r w:rsidR="00140575">
        <w:rPr>
          <w:rFonts w:cs="Times New Roman"/>
          <w:lang w:val="fr-CA"/>
        </w:rPr>
        <w:t>-</w:t>
      </w:r>
      <w:r w:rsidRPr="00A22D0D">
        <w:rPr>
          <w:rFonts w:cs="Times New Roman"/>
          <w:lang w:val="fr-CA"/>
        </w:rPr>
        <w:t>al. 686(1)b)(iv) est ainsi libellé :</w:t>
      </w:r>
    </w:p>
    <w:p w:rsidR="00132FB1" w:rsidRPr="00A22D0D" w:rsidRDefault="00165B70" w:rsidP="00073901">
      <w:pPr>
        <w:pStyle w:val="Citation-AltC"/>
        <w:widowControl w:val="0"/>
        <w:spacing w:after="240"/>
        <w:ind w:left="1168" w:hanging="1168"/>
        <w:contextualSpacing w:val="0"/>
        <w:rPr>
          <w:lang w:val="fr-CA"/>
        </w:rPr>
      </w:pPr>
      <w:r>
        <w:rPr>
          <w:b/>
          <w:lang w:val="fr-CA"/>
        </w:rPr>
        <w:tab/>
        <w:t>686</w:t>
      </w:r>
      <w:r w:rsidR="00132FB1" w:rsidRPr="00A22D0D">
        <w:rPr>
          <w:b/>
          <w:lang w:val="fr-CA"/>
        </w:rPr>
        <w:t> (1)</w:t>
      </w:r>
      <w:r w:rsidR="00132FB1" w:rsidRPr="00A22D0D">
        <w:rPr>
          <w:lang w:val="fr-CA"/>
        </w:rPr>
        <w:t> Lors de l</w:t>
      </w:r>
      <w:r w:rsidR="00132FB1">
        <w:rPr>
          <w:lang w:val="fr-CA"/>
        </w:rPr>
        <w:t>’</w:t>
      </w:r>
      <w:r w:rsidR="00132FB1" w:rsidRPr="00A22D0D">
        <w:rPr>
          <w:lang w:val="fr-CA"/>
        </w:rPr>
        <w:t>audition d</w:t>
      </w:r>
      <w:r w:rsidR="00132FB1">
        <w:rPr>
          <w:lang w:val="fr-CA"/>
        </w:rPr>
        <w:t>’</w:t>
      </w:r>
      <w:r w:rsidR="00132FB1" w:rsidRPr="00A22D0D">
        <w:rPr>
          <w:lang w:val="fr-CA"/>
        </w:rPr>
        <w:t>un appel d</w:t>
      </w:r>
      <w:r w:rsidR="00132FB1">
        <w:rPr>
          <w:lang w:val="fr-CA"/>
        </w:rPr>
        <w:t>’</w:t>
      </w:r>
      <w:r w:rsidR="00132FB1" w:rsidRPr="00A22D0D">
        <w:rPr>
          <w:lang w:val="fr-CA"/>
        </w:rPr>
        <w:t>une déclaration de culpabilité ou d</w:t>
      </w:r>
      <w:r w:rsidR="00132FB1">
        <w:rPr>
          <w:lang w:val="fr-CA"/>
        </w:rPr>
        <w:t>’</w:t>
      </w:r>
      <w:r w:rsidR="00132FB1" w:rsidRPr="00A22D0D">
        <w:rPr>
          <w:lang w:val="fr-CA"/>
        </w:rPr>
        <w:t>un verdict d</w:t>
      </w:r>
      <w:r w:rsidR="00132FB1">
        <w:rPr>
          <w:lang w:val="fr-CA"/>
        </w:rPr>
        <w:t>’</w:t>
      </w:r>
      <w:r w:rsidR="00132FB1" w:rsidRPr="00A22D0D">
        <w:rPr>
          <w:lang w:val="fr-CA"/>
        </w:rPr>
        <w:t>inaptitude à subir son procès ou de non-responsabilité criminelle pour cause de troubles mentaux, la cour d</w:t>
      </w:r>
      <w:r w:rsidR="00132FB1">
        <w:rPr>
          <w:lang w:val="fr-CA"/>
        </w:rPr>
        <w:t>’</w:t>
      </w:r>
      <w:r w:rsidR="00132FB1" w:rsidRPr="00A22D0D">
        <w:rPr>
          <w:lang w:val="fr-CA"/>
        </w:rPr>
        <w:t xml:space="preserve">appel : </w:t>
      </w:r>
    </w:p>
    <w:p w:rsidR="00132FB1" w:rsidRPr="00A22D0D" w:rsidRDefault="00132FB1" w:rsidP="00073901">
      <w:pPr>
        <w:pStyle w:val="Citation-AltC"/>
        <w:widowControl w:val="0"/>
        <w:spacing w:after="240"/>
        <w:ind w:left="1168" w:hanging="1168"/>
        <w:contextualSpacing w:val="0"/>
        <w:jc w:val="center"/>
        <w:rPr>
          <w:lang w:val="fr-CA"/>
        </w:rPr>
      </w:pPr>
      <w:r w:rsidRPr="00A22D0D">
        <w:rPr>
          <w:lang w:val="fr-CA"/>
        </w:rPr>
        <w:tab/>
        <w:t>. . .</w:t>
      </w:r>
    </w:p>
    <w:p w:rsidR="00132FB1" w:rsidRPr="00A22D0D" w:rsidRDefault="00132FB1" w:rsidP="00073901">
      <w:pPr>
        <w:pStyle w:val="Citation-AltC"/>
        <w:widowControl w:val="0"/>
        <w:spacing w:after="240"/>
        <w:ind w:left="1168" w:hanging="1168"/>
        <w:contextualSpacing w:val="0"/>
        <w:rPr>
          <w:lang w:val="fr-CA"/>
        </w:rPr>
      </w:pPr>
      <w:r w:rsidRPr="00A22D0D">
        <w:rPr>
          <w:b/>
          <w:lang w:val="fr-CA"/>
        </w:rPr>
        <w:tab/>
      </w:r>
      <w:r w:rsidRPr="00A22D0D">
        <w:rPr>
          <w:b/>
          <w:lang w:val="fr-CA"/>
        </w:rPr>
        <w:tab/>
        <w:t>b)</w:t>
      </w:r>
      <w:r w:rsidRPr="00A22D0D">
        <w:rPr>
          <w:lang w:val="fr-CA"/>
        </w:rPr>
        <w:t> peut rejeter l</w:t>
      </w:r>
      <w:r>
        <w:rPr>
          <w:lang w:val="fr-CA"/>
        </w:rPr>
        <w:t>’</w:t>
      </w:r>
      <w:r w:rsidRPr="00A22D0D">
        <w:rPr>
          <w:lang w:val="fr-CA"/>
        </w:rPr>
        <w:t>appel, dans l</w:t>
      </w:r>
      <w:r>
        <w:rPr>
          <w:lang w:val="fr-CA"/>
        </w:rPr>
        <w:t>’</w:t>
      </w:r>
      <w:r w:rsidRPr="00A22D0D">
        <w:rPr>
          <w:lang w:val="fr-CA"/>
        </w:rPr>
        <w:t>un ou l</w:t>
      </w:r>
      <w:r>
        <w:rPr>
          <w:lang w:val="fr-CA"/>
        </w:rPr>
        <w:t>’</w:t>
      </w:r>
      <w:r w:rsidRPr="00A22D0D">
        <w:rPr>
          <w:lang w:val="fr-CA"/>
        </w:rPr>
        <w:t>autre des cas suivants :</w:t>
      </w:r>
    </w:p>
    <w:p w:rsidR="00132FB1" w:rsidRPr="00A22D0D" w:rsidRDefault="00132FB1" w:rsidP="00073901">
      <w:pPr>
        <w:pStyle w:val="Citation-AltC"/>
        <w:widowControl w:val="0"/>
        <w:spacing w:after="240"/>
        <w:ind w:left="1168" w:hanging="1168"/>
        <w:contextualSpacing w:val="0"/>
        <w:jc w:val="center"/>
        <w:rPr>
          <w:lang w:val="fr-CA"/>
        </w:rPr>
      </w:pPr>
      <w:r w:rsidRPr="00A22D0D">
        <w:rPr>
          <w:lang w:val="fr-CA"/>
        </w:rPr>
        <w:tab/>
        <w:t>. . .</w:t>
      </w:r>
    </w:p>
    <w:p w:rsidR="00132FB1" w:rsidRPr="00A22D0D" w:rsidRDefault="00132FB1" w:rsidP="00073901">
      <w:pPr>
        <w:pStyle w:val="Citation-AltC"/>
        <w:widowControl w:val="0"/>
        <w:ind w:left="1440" w:hanging="1440"/>
        <w:rPr>
          <w:lang w:val="fr-CA"/>
        </w:rPr>
      </w:pPr>
      <w:r w:rsidRPr="00A22D0D">
        <w:rPr>
          <w:b/>
          <w:lang w:val="fr-CA"/>
        </w:rPr>
        <w:tab/>
        <w:t>(iv)</w:t>
      </w:r>
      <w:r w:rsidRPr="00A22D0D">
        <w:rPr>
          <w:lang w:val="fr-CA"/>
        </w:rPr>
        <w:t> nonobstant une irrégularité de procédure au procès, le tribunal de première instance était compétent à l</w:t>
      </w:r>
      <w:r>
        <w:rPr>
          <w:lang w:val="fr-CA"/>
        </w:rPr>
        <w:t>’</w:t>
      </w:r>
      <w:r w:rsidRPr="00A22D0D">
        <w:rPr>
          <w:lang w:val="fr-CA"/>
        </w:rPr>
        <w:t>égard de la catégorie d</w:t>
      </w:r>
      <w:r>
        <w:rPr>
          <w:lang w:val="fr-CA"/>
        </w:rPr>
        <w:t>’</w:t>
      </w:r>
      <w:r w:rsidRPr="00A22D0D">
        <w:rPr>
          <w:lang w:val="fr-CA"/>
        </w:rPr>
        <w:t>infractions dont fait partie celle dont l</w:t>
      </w:r>
      <w:r>
        <w:rPr>
          <w:lang w:val="fr-CA"/>
        </w:rPr>
        <w:t>’</w:t>
      </w:r>
      <w:r w:rsidRPr="00A22D0D">
        <w:rPr>
          <w:lang w:val="fr-CA"/>
        </w:rPr>
        <w:t>appelant a été déclaré coupable et elle est d</w:t>
      </w:r>
      <w:r>
        <w:rPr>
          <w:lang w:val="fr-CA"/>
        </w:rPr>
        <w:t>’</w:t>
      </w:r>
      <w:r w:rsidRPr="00A22D0D">
        <w:rPr>
          <w:lang w:val="fr-CA"/>
        </w:rPr>
        <w:t>avis qu</w:t>
      </w:r>
      <w:r>
        <w:rPr>
          <w:lang w:val="fr-CA"/>
        </w:rPr>
        <w:t>’</w:t>
      </w:r>
      <w:r w:rsidRPr="00A22D0D">
        <w:rPr>
          <w:lang w:val="fr-CA"/>
        </w:rPr>
        <w:t>aucun préjudice n</w:t>
      </w:r>
      <w:r>
        <w:rPr>
          <w:lang w:val="fr-CA"/>
        </w:rPr>
        <w:t>’</w:t>
      </w:r>
      <w:r w:rsidRPr="00A22D0D">
        <w:rPr>
          <w:lang w:val="fr-CA"/>
        </w:rPr>
        <w:t xml:space="preserve">a été causé à celui-ci par cette irrégularité;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 xml:space="preserve">Le sous-alinéa 686(1)b)(iv), qui a été adopté en 1985, a « [mis] un terme à </w:t>
      </w:r>
      <w:r w:rsidRPr="00A22D0D">
        <w:rPr>
          <w:rFonts w:cs="Times New Roman"/>
          <w:lang w:val="fr-CA"/>
        </w:rPr>
        <w:lastRenderedPageBreak/>
        <w:t>la jurisprudence voulant qu</w:t>
      </w:r>
      <w:r>
        <w:rPr>
          <w:rFonts w:cs="Times New Roman"/>
          <w:lang w:val="fr-CA"/>
        </w:rPr>
        <w:t>’</w:t>
      </w:r>
      <w:r w:rsidRPr="00A22D0D">
        <w:rPr>
          <w:rFonts w:cs="Times New Roman"/>
          <w:lang w:val="fr-CA"/>
        </w:rPr>
        <w:t xml:space="preserve">on ne puisse remédier, même en appel, aux erreurs de procédure ayant causé la perte de compétence des tribunaux de première instance » : </w:t>
      </w:r>
      <w:r w:rsidRPr="00A22D0D">
        <w:rPr>
          <w:rFonts w:cs="Times New Roman"/>
          <w:i/>
          <w:lang w:val="fr-CA"/>
        </w:rPr>
        <w:t>R. c. Khan</w:t>
      </w:r>
      <w:r w:rsidRPr="00A22D0D">
        <w:rPr>
          <w:rFonts w:cs="Times New Roman"/>
          <w:lang w:val="fr-CA"/>
        </w:rPr>
        <w:t>, 2001 CSC 86, [2001] 3 R.C.S. 823, par. 12. À titre d</w:t>
      </w:r>
      <w:r>
        <w:rPr>
          <w:rFonts w:cs="Times New Roman"/>
          <w:lang w:val="fr-CA"/>
        </w:rPr>
        <w:t>’</w:t>
      </w:r>
      <w:r w:rsidRPr="00A22D0D">
        <w:rPr>
          <w:rFonts w:cs="Times New Roman"/>
          <w:lang w:val="fr-CA"/>
        </w:rPr>
        <w:t>exemple, avant l</w:t>
      </w:r>
      <w:r>
        <w:rPr>
          <w:rFonts w:cs="Times New Roman"/>
          <w:lang w:val="fr-CA"/>
        </w:rPr>
        <w:t>’</w:t>
      </w:r>
      <w:r w:rsidRPr="00A22D0D">
        <w:rPr>
          <w:rFonts w:cs="Times New Roman"/>
          <w:lang w:val="fr-CA"/>
        </w:rPr>
        <w:t>adoption de cette disposition, l</w:t>
      </w:r>
      <w:r>
        <w:rPr>
          <w:rFonts w:cs="Times New Roman"/>
          <w:lang w:val="fr-CA"/>
        </w:rPr>
        <w:t>’</w:t>
      </w:r>
      <w:r w:rsidRPr="00A22D0D">
        <w:rPr>
          <w:rFonts w:cs="Times New Roman"/>
          <w:lang w:val="fr-CA"/>
        </w:rPr>
        <w:t>absence de l</w:t>
      </w:r>
      <w:r>
        <w:rPr>
          <w:rFonts w:cs="Times New Roman"/>
          <w:lang w:val="fr-CA"/>
        </w:rPr>
        <w:t>’</w:t>
      </w:r>
      <w:r w:rsidRPr="00A22D0D">
        <w:rPr>
          <w:rFonts w:cs="Times New Roman"/>
          <w:lang w:val="fr-CA"/>
        </w:rPr>
        <w:t xml:space="preserve">accusé à son procès — même par inadvertance, et sans que cela porte à conséquence — se traduisait par une perte irrémédiable de compétence, peu importe la rapidité avec laquelle on remédiait à cette irrégularité : voir </w:t>
      </w:r>
      <w:r w:rsidRPr="00A22D0D">
        <w:rPr>
          <w:rFonts w:cs="Times New Roman"/>
          <w:i/>
          <w:lang w:val="fr-CA"/>
        </w:rPr>
        <w:t>Khan</w:t>
      </w:r>
      <w:r w:rsidRPr="00A22D0D">
        <w:rPr>
          <w:rFonts w:cs="Times New Roman"/>
          <w:lang w:val="fr-CA"/>
        </w:rPr>
        <w:t xml:space="preserve">, par. 12; </w:t>
      </w:r>
      <w:r w:rsidRPr="00A22D0D">
        <w:rPr>
          <w:rFonts w:cs="Times New Roman"/>
          <w:i/>
          <w:lang w:val="fr-CA"/>
        </w:rPr>
        <w:t>R. c. Cloutier</w:t>
      </w:r>
      <w:r w:rsidRPr="00A22D0D">
        <w:rPr>
          <w:rFonts w:cs="Times New Roman"/>
          <w:lang w:val="fr-CA"/>
        </w:rPr>
        <w:t xml:space="preserve"> (1988), 43 C.C.C. (3d) 35 (C.A. Ont.).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Cela dit, le sous</w:t>
      </w:r>
      <w:r w:rsidR="00140575">
        <w:rPr>
          <w:rFonts w:cs="Times New Roman"/>
          <w:lang w:val="fr-CA"/>
        </w:rPr>
        <w:t>-</w:t>
      </w:r>
      <w:r w:rsidRPr="00A22D0D">
        <w:rPr>
          <w:rFonts w:cs="Times New Roman"/>
          <w:lang w:val="fr-CA"/>
        </w:rPr>
        <w:t>al. 686(1)b)(iv) ne peut remédier qu</w:t>
      </w:r>
      <w:r>
        <w:rPr>
          <w:rFonts w:cs="Times New Roman"/>
          <w:lang w:val="fr-CA"/>
        </w:rPr>
        <w:t>’</w:t>
      </w:r>
      <w:r w:rsidRPr="00A22D0D">
        <w:rPr>
          <w:rFonts w:cs="Times New Roman"/>
          <w:lang w:val="fr-CA"/>
        </w:rPr>
        <w:t xml:space="preserve">à la </w:t>
      </w:r>
      <w:r w:rsidRPr="00A22D0D">
        <w:rPr>
          <w:rFonts w:cs="Times New Roman"/>
          <w:i/>
          <w:lang w:val="fr-CA"/>
        </w:rPr>
        <w:t>perte</w:t>
      </w:r>
      <w:r w:rsidRPr="00A22D0D">
        <w:rPr>
          <w:rFonts w:cs="Times New Roman"/>
          <w:lang w:val="fr-CA"/>
        </w:rPr>
        <w:t xml:space="preserve"> de compétence, et non à l</w:t>
      </w:r>
      <w:r>
        <w:rPr>
          <w:rFonts w:cs="Times New Roman"/>
          <w:lang w:val="fr-CA"/>
        </w:rPr>
        <w:t>’</w:t>
      </w:r>
      <w:r w:rsidRPr="00A22D0D">
        <w:rPr>
          <w:rFonts w:cs="Times New Roman"/>
          <w:i/>
          <w:lang w:val="fr-CA"/>
        </w:rPr>
        <w:t>absence</w:t>
      </w:r>
      <w:r w:rsidRPr="00A22D0D">
        <w:rPr>
          <w:rFonts w:cs="Times New Roman"/>
          <w:lang w:val="fr-CA"/>
        </w:rPr>
        <w:t xml:space="preserve"> de compétence. Comme l</w:t>
      </w:r>
      <w:r>
        <w:rPr>
          <w:rFonts w:cs="Times New Roman"/>
          <w:lang w:val="fr-CA"/>
        </w:rPr>
        <w:t>’</w:t>
      </w:r>
      <w:r w:rsidRPr="00A22D0D">
        <w:rPr>
          <w:rFonts w:cs="Times New Roman"/>
          <w:lang w:val="fr-CA"/>
        </w:rPr>
        <w:t>a déclaré le juge Goodman de la Cour d</w:t>
      </w:r>
      <w:r>
        <w:rPr>
          <w:rFonts w:cs="Times New Roman"/>
          <w:lang w:val="fr-CA"/>
        </w:rPr>
        <w:t>’</w:t>
      </w:r>
      <w:r w:rsidRPr="00A22D0D">
        <w:rPr>
          <w:rFonts w:cs="Times New Roman"/>
          <w:lang w:val="fr-CA"/>
        </w:rPr>
        <w:t>appel dans l</w:t>
      </w:r>
      <w:r>
        <w:rPr>
          <w:rFonts w:cs="Times New Roman"/>
          <w:lang w:val="fr-CA"/>
        </w:rPr>
        <w:t>’</w:t>
      </w:r>
      <w:r w:rsidRPr="00A22D0D">
        <w:rPr>
          <w:rFonts w:cs="Times New Roman"/>
          <w:lang w:val="fr-CA"/>
        </w:rPr>
        <w:t xml:space="preserve">arrêt </w:t>
      </w:r>
      <w:r w:rsidRPr="00A22D0D">
        <w:rPr>
          <w:rFonts w:cs="Times New Roman"/>
          <w:i/>
          <w:lang w:val="fr-CA"/>
        </w:rPr>
        <w:t>Cloutier</w:t>
      </w:r>
      <w:r w:rsidRPr="00A22D0D">
        <w:rPr>
          <w:rFonts w:cs="Times New Roman"/>
          <w:lang w:val="fr-CA"/>
        </w:rPr>
        <w:t>, et ainsi que la Cour l</w:t>
      </w:r>
      <w:r>
        <w:rPr>
          <w:rFonts w:cs="Times New Roman"/>
          <w:lang w:val="fr-CA"/>
        </w:rPr>
        <w:t>’</w:t>
      </w:r>
      <w:r w:rsidRPr="00A22D0D">
        <w:rPr>
          <w:rFonts w:cs="Times New Roman"/>
          <w:lang w:val="fr-CA"/>
        </w:rPr>
        <w:t xml:space="preserve">a confirmé dans </w:t>
      </w:r>
      <w:r w:rsidRPr="00A22D0D">
        <w:rPr>
          <w:rFonts w:cs="Times New Roman"/>
          <w:i/>
          <w:lang w:val="fr-CA"/>
        </w:rPr>
        <w:t>Khan</w:t>
      </w:r>
      <w:r w:rsidRPr="00A22D0D">
        <w:rPr>
          <w:rFonts w:cs="Times New Roman"/>
          <w:lang w:val="fr-CA"/>
        </w:rPr>
        <w:t>, cette disposition [</w:t>
      </w:r>
      <w:r w:rsidRPr="00A22D0D">
        <w:rPr>
          <w:rFonts w:cs="Times New Roman"/>
          <w:smallCaps/>
          <w:lang w:val="fr-CA"/>
        </w:rPr>
        <w:t>traduction</w:t>
      </w:r>
      <w:r w:rsidRPr="00A22D0D">
        <w:rPr>
          <w:rFonts w:cs="Times New Roman"/>
          <w:lang w:val="fr-CA"/>
        </w:rPr>
        <w:t>] « habilit[e] la Cour d</w:t>
      </w:r>
      <w:r>
        <w:rPr>
          <w:rFonts w:cs="Times New Roman"/>
          <w:lang w:val="fr-CA"/>
        </w:rPr>
        <w:t>’</w:t>
      </w:r>
      <w:r w:rsidRPr="00A22D0D">
        <w:rPr>
          <w:rFonts w:cs="Times New Roman"/>
          <w:lang w:val="fr-CA"/>
        </w:rPr>
        <w:t>appel à rejeter l</w:t>
      </w:r>
      <w:r>
        <w:rPr>
          <w:rFonts w:cs="Times New Roman"/>
          <w:lang w:val="fr-CA"/>
        </w:rPr>
        <w:t>’</w:t>
      </w:r>
      <w:r w:rsidRPr="00A22D0D">
        <w:rPr>
          <w:rFonts w:cs="Times New Roman"/>
          <w:lang w:val="fr-CA"/>
        </w:rPr>
        <w:t xml:space="preserve">appel </w:t>
      </w:r>
      <w:r w:rsidRPr="00A22D0D">
        <w:rPr>
          <w:rFonts w:cs="Times New Roman"/>
          <w:u w:val="single"/>
          <w:lang w:val="fr-CA"/>
        </w:rPr>
        <w:t>si un tribunal de première instance était compétent</w:t>
      </w:r>
      <w:r w:rsidRPr="00A22D0D">
        <w:rPr>
          <w:rFonts w:cs="Times New Roman"/>
          <w:lang w:val="fr-CA"/>
        </w:rPr>
        <w:t>, mais avait perdu sa compétence par suite d</w:t>
      </w:r>
      <w:r>
        <w:rPr>
          <w:rFonts w:cs="Times New Roman"/>
          <w:lang w:val="fr-CA"/>
        </w:rPr>
        <w:t>’</w:t>
      </w:r>
      <w:r w:rsidRPr="00A22D0D">
        <w:rPr>
          <w:rFonts w:cs="Times New Roman"/>
          <w:lang w:val="fr-CA"/>
        </w:rPr>
        <w:t>une irrégularité de procédure » : p. 46 (je souligne).</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En l</w:t>
      </w:r>
      <w:r>
        <w:rPr>
          <w:rFonts w:cs="Times New Roman"/>
          <w:lang w:val="fr-CA"/>
        </w:rPr>
        <w:t>’</w:t>
      </w:r>
      <w:r w:rsidRPr="00A22D0D">
        <w:rPr>
          <w:rFonts w:cs="Times New Roman"/>
          <w:lang w:val="fr-CA"/>
        </w:rPr>
        <w:t>espèce, la cour provinciale n</w:t>
      </w:r>
      <w:r>
        <w:rPr>
          <w:rFonts w:cs="Times New Roman"/>
          <w:lang w:val="fr-CA"/>
        </w:rPr>
        <w:t>’</w:t>
      </w:r>
      <w:r w:rsidRPr="00A22D0D">
        <w:rPr>
          <w:rFonts w:cs="Times New Roman"/>
          <w:lang w:val="fr-CA"/>
        </w:rPr>
        <w:t>avait pas compétence pour juger simultanément les infractions criminelles punissables sur déclaration de culpabilité par procédure sommaire et les infractions provinciales. L</w:t>
      </w:r>
      <w:r>
        <w:rPr>
          <w:rFonts w:cs="Times New Roman"/>
          <w:lang w:val="fr-CA"/>
        </w:rPr>
        <w:t>’</w:t>
      </w:r>
      <w:r w:rsidRPr="00A22D0D">
        <w:rPr>
          <w:rFonts w:cs="Times New Roman"/>
          <w:lang w:val="fr-CA"/>
        </w:rPr>
        <w:t>erreur n</w:t>
      </w:r>
      <w:r>
        <w:rPr>
          <w:rFonts w:cs="Times New Roman"/>
          <w:lang w:val="fr-CA"/>
        </w:rPr>
        <w:t>’</w:t>
      </w:r>
      <w:r w:rsidR="00165B70">
        <w:rPr>
          <w:rFonts w:cs="Times New Roman"/>
          <w:lang w:val="fr-CA"/>
        </w:rPr>
        <w:t>était</w:t>
      </w:r>
      <w:r w:rsidRPr="00A22D0D">
        <w:rPr>
          <w:rFonts w:cs="Times New Roman"/>
          <w:lang w:val="fr-CA"/>
        </w:rPr>
        <w:t xml:space="preserve"> donc pas une irrégularité de procédure, mais constituait un vice de procédure fondamental.</w:t>
      </w:r>
      <w:r>
        <w:rPr>
          <w:rFonts w:cs="Times New Roman"/>
          <w:lang w:val="fr-CA"/>
        </w:rPr>
        <w:t xml:space="preserve"> </w:t>
      </w:r>
      <w:r w:rsidRPr="00A22D0D">
        <w:rPr>
          <w:rFonts w:cs="Times New Roman"/>
          <w:lang w:val="fr-CA"/>
        </w:rPr>
        <w:t>Il n</w:t>
      </w:r>
      <w:r>
        <w:rPr>
          <w:rFonts w:cs="Times New Roman"/>
          <w:lang w:val="fr-CA"/>
        </w:rPr>
        <w:t>’</w:t>
      </w:r>
      <w:r w:rsidRPr="00A22D0D">
        <w:rPr>
          <w:rFonts w:cs="Times New Roman"/>
          <w:lang w:val="fr-CA"/>
        </w:rPr>
        <w:t>y a pas eu perte de compétence, mais il y avait absence totale de compétence pour tenir le procès conjoint. Le sous</w:t>
      </w:r>
      <w:r w:rsidR="00140575">
        <w:rPr>
          <w:rFonts w:cs="Times New Roman"/>
          <w:lang w:val="fr-CA"/>
        </w:rPr>
        <w:t>-</w:t>
      </w:r>
      <w:r w:rsidRPr="00A22D0D">
        <w:rPr>
          <w:rFonts w:cs="Times New Roman"/>
          <w:lang w:val="fr-CA"/>
        </w:rPr>
        <w:t>al</w:t>
      </w:r>
      <w:r w:rsidR="0076284B">
        <w:rPr>
          <w:rFonts w:cs="Times New Roman"/>
          <w:lang w:val="fr-CA"/>
        </w:rPr>
        <w:t>inéa</w:t>
      </w:r>
      <w:r w:rsidRPr="00A22D0D">
        <w:rPr>
          <w:rFonts w:cs="Times New Roman"/>
          <w:lang w:val="fr-CA"/>
        </w:rPr>
        <w:t> 686(1)b)(iv) ne peut remédier à ce vice fondamental.</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De surcroît, la disposition réparatrice ne devrait pas servir de remède à la mise en échec systématique de l</w:t>
      </w:r>
      <w:r>
        <w:rPr>
          <w:rFonts w:cs="Times New Roman"/>
          <w:lang w:val="fr-CA"/>
        </w:rPr>
        <w:t>’</w:t>
      </w:r>
      <w:r w:rsidRPr="00A22D0D">
        <w:rPr>
          <w:rFonts w:cs="Times New Roman"/>
          <w:lang w:val="fr-CA"/>
        </w:rPr>
        <w:t xml:space="preserve">intention de la Législature. Faire abstraction de cette </w:t>
      </w:r>
      <w:r w:rsidRPr="00A22D0D">
        <w:rPr>
          <w:rFonts w:cs="Times New Roman"/>
          <w:lang w:val="fr-CA"/>
        </w:rPr>
        <w:lastRenderedPageBreak/>
        <w:t>intention ne constitue pas à une simple irrégularité de procédure; elle constitue un défaut de respecter le domaine de compétence de la Législature, compétence qu</w:t>
      </w:r>
      <w:r>
        <w:rPr>
          <w:rFonts w:cs="Times New Roman"/>
          <w:lang w:val="fr-CA"/>
        </w:rPr>
        <w:t>’</w:t>
      </w:r>
      <w:r w:rsidRPr="00A22D0D">
        <w:rPr>
          <w:rFonts w:cs="Times New Roman"/>
          <w:lang w:val="fr-CA"/>
        </w:rPr>
        <w:t xml:space="preserve">elle a exercée en adoptant le régime applicable aux infractions provinciales.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 xml:space="preserve">La </w:t>
      </w:r>
      <w:r w:rsidRPr="00A22D0D">
        <w:rPr>
          <w:rFonts w:cs="Times New Roman"/>
          <w:i/>
          <w:lang w:val="fr-CA"/>
        </w:rPr>
        <w:t>LIP</w:t>
      </w:r>
      <w:r w:rsidRPr="00A22D0D">
        <w:rPr>
          <w:rFonts w:cs="Times New Roman"/>
          <w:lang w:val="fr-CA"/>
        </w:rPr>
        <w:t xml:space="preserve"> ne renferme pas de disposition réparatrice comparable à celle énoncée au sous</w:t>
      </w:r>
      <w:r w:rsidR="00140575">
        <w:rPr>
          <w:rFonts w:cs="Times New Roman"/>
          <w:lang w:val="fr-CA"/>
        </w:rPr>
        <w:t>-</w:t>
      </w:r>
      <w:r w:rsidRPr="00A22D0D">
        <w:rPr>
          <w:rFonts w:cs="Times New Roman"/>
          <w:lang w:val="fr-CA"/>
        </w:rPr>
        <w:t xml:space="preserve">al. 686(1)b)(iv) du </w:t>
      </w:r>
      <w:r w:rsidRPr="00A22D0D">
        <w:rPr>
          <w:rFonts w:cs="Times New Roman"/>
          <w:i/>
          <w:lang w:val="fr-CA"/>
        </w:rPr>
        <w:t>C</w:t>
      </w:r>
      <w:r w:rsidR="00C23150">
        <w:rPr>
          <w:rFonts w:cs="Times New Roman"/>
          <w:i/>
          <w:lang w:val="fr-CA"/>
        </w:rPr>
        <w:t>ode criminel</w:t>
      </w:r>
      <w:r w:rsidRPr="00A22D0D">
        <w:rPr>
          <w:rFonts w:cs="Times New Roman"/>
          <w:i/>
          <w:lang w:val="fr-CA"/>
        </w:rPr>
        <w:t>.</w:t>
      </w:r>
      <w:r w:rsidRPr="00A22D0D">
        <w:rPr>
          <w:rFonts w:cs="Times New Roman"/>
          <w:lang w:val="fr-CA"/>
        </w:rPr>
        <w:t xml:space="preserve"> De fait, le sous</w:t>
      </w:r>
      <w:r w:rsidR="00140575">
        <w:rPr>
          <w:rFonts w:cs="Times New Roman"/>
          <w:lang w:val="fr-CA"/>
        </w:rPr>
        <w:t>-</w:t>
      </w:r>
      <w:r w:rsidRPr="00A22D0D">
        <w:rPr>
          <w:rFonts w:cs="Times New Roman"/>
          <w:lang w:val="fr-CA"/>
        </w:rPr>
        <w:t xml:space="preserve">al. 120(1)b)(iii) de la </w:t>
      </w:r>
      <w:r w:rsidRPr="00A22D0D">
        <w:rPr>
          <w:rFonts w:cs="Times New Roman"/>
          <w:i/>
          <w:lang w:val="fr-CA"/>
        </w:rPr>
        <w:t>LIP</w:t>
      </w:r>
      <w:r w:rsidRPr="00A22D0D">
        <w:rPr>
          <w:rFonts w:cs="Times New Roman"/>
          <w:lang w:val="fr-CA"/>
        </w:rPr>
        <w:t xml:space="preserve"> permet au tribunal de rejeter un appel seulement dans le cas où, même si la décision est entachée d</w:t>
      </w:r>
      <w:r>
        <w:rPr>
          <w:rFonts w:cs="Times New Roman"/>
          <w:lang w:val="fr-CA"/>
        </w:rPr>
        <w:t>’</w:t>
      </w:r>
      <w:r w:rsidRPr="00A22D0D">
        <w:rPr>
          <w:rFonts w:cs="Times New Roman"/>
          <w:lang w:val="fr-CA"/>
        </w:rPr>
        <w:t>une erreur de droit, « aucun préjudice grave ou aucune erreur judiciaire fondamentale ne s</w:t>
      </w:r>
      <w:r>
        <w:rPr>
          <w:rFonts w:cs="Times New Roman"/>
          <w:lang w:val="fr-CA"/>
        </w:rPr>
        <w:t>’</w:t>
      </w:r>
      <w:r w:rsidRPr="00A22D0D">
        <w:rPr>
          <w:rFonts w:cs="Times New Roman"/>
          <w:lang w:val="fr-CA"/>
        </w:rPr>
        <w:t>est produit ». En l</w:t>
      </w:r>
      <w:r>
        <w:rPr>
          <w:rFonts w:cs="Times New Roman"/>
          <w:lang w:val="fr-CA"/>
        </w:rPr>
        <w:t>’</w:t>
      </w:r>
      <w:r w:rsidRPr="00A22D0D">
        <w:rPr>
          <w:rFonts w:cs="Times New Roman"/>
          <w:lang w:val="fr-CA"/>
        </w:rPr>
        <w:t>espèce, aucune erreur de droit n</w:t>
      </w:r>
      <w:r>
        <w:rPr>
          <w:rFonts w:cs="Times New Roman"/>
          <w:lang w:val="fr-CA"/>
        </w:rPr>
        <w:t>’</w:t>
      </w:r>
      <w:r w:rsidRPr="00A22D0D">
        <w:rPr>
          <w:rFonts w:cs="Times New Roman"/>
          <w:lang w:val="fr-CA"/>
        </w:rPr>
        <w:t>a été commise; il y avait plutôt absence totale de compétence pour tenir un procès conjoint. Conséquemment, le sous</w:t>
      </w:r>
      <w:r w:rsidR="00140575">
        <w:rPr>
          <w:rFonts w:cs="Times New Roman"/>
          <w:lang w:val="fr-CA"/>
        </w:rPr>
        <w:t>-</w:t>
      </w:r>
      <w:r w:rsidRPr="00A22D0D">
        <w:rPr>
          <w:rFonts w:cs="Times New Roman"/>
          <w:lang w:val="fr-CA"/>
        </w:rPr>
        <w:t>al. 120(1)b)(iii) ne trouve pas application en l</w:t>
      </w:r>
      <w:r>
        <w:rPr>
          <w:rFonts w:cs="Times New Roman"/>
          <w:lang w:val="fr-CA"/>
        </w:rPr>
        <w:t>’</w:t>
      </w:r>
      <w:r w:rsidRPr="00A22D0D">
        <w:rPr>
          <w:rFonts w:cs="Times New Roman"/>
          <w:lang w:val="fr-CA"/>
        </w:rPr>
        <w:t xml:space="preserve">espèce. </w:t>
      </w:r>
    </w:p>
    <w:p w:rsidR="00132FB1" w:rsidRPr="00A22D0D" w:rsidRDefault="00132FB1" w:rsidP="00073901">
      <w:pPr>
        <w:pStyle w:val="Title1LevelTitre1Niveau-AltL"/>
        <w:widowControl w:val="0"/>
        <w:rPr>
          <w:rFonts w:cs="Times New Roman"/>
          <w:lang w:val="fr-CA"/>
        </w:rPr>
      </w:pPr>
      <w:r w:rsidRPr="00A22D0D">
        <w:rPr>
          <w:rFonts w:cs="Times New Roman"/>
          <w:lang w:val="fr-CA"/>
        </w:rPr>
        <w:t xml:space="preserve">Dispositif </w:t>
      </w:r>
    </w:p>
    <w:p w:rsidR="00132FB1" w:rsidRPr="00A22D0D" w:rsidRDefault="00132FB1" w:rsidP="00073901">
      <w:pPr>
        <w:pStyle w:val="ParaNoNdepar-AltN"/>
        <w:widowControl w:val="0"/>
        <w:tabs>
          <w:tab w:val="clear" w:pos="1152"/>
          <w:tab w:val="num" w:pos="1134"/>
        </w:tabs>
        <w:rPr>
          <w:rFonts w:cs="Times New Roman"/>
          <w:lang w:val="fr-CA"/>
        </w:rPr>
      </w:pPr>
      <w:r w:rsidRPr="00A22D0D">
        <w:rPr>
          <w:rFonts w:cs="Times New Roman"/>
          <w:lang w:val="fr-CA"/>
        </w:rPr>
        <w:t>J</w:t>
      </w:r>
      <w:r>
        <w:rPr>
          <w:rFonts w:cs="Times New Roman"/>
          <w:lang w:val="fr-CA"/>
        </w:rPr>
        <w:t>’</w:t>
      </w:r>
      <w:r w:rsidRPr="00A22D0D">
        <w:rPr>
          <w:rFonts w:cs="Times New Roman"/>
          <w:lang w:val="fr-CA"/>
        </w:rPr>
        <w:t>accueillerais le pourvoi. J</w:t>
      </w:r>
      <w:r>
        <w:rPr>
          <w:rFonts w:cs="Times New Roman"/>
          <w:lang w:val="fr-CA"/>
        </w:rPr>
        <w:t>’</w:t>
      </w:r>
      <w:r w:rsidRPr="00A22D0D">
        <w:rPr>
          <w:rFonts w:cs="Times New Roman"/>
          <w:lang w:val="fr-CA"/>
        </w:rPr>
        <w:t>annulerais les déclarations de culpabilité prononcées contre M. Sciascia en application de l</w:t>
      </w:r>
      <w:r>
        <w:rPr>
          <w:rFonts w:cs="Times New Roman"/>
          <w:lang w:val="fr-CA"/>
        </w:rPr>
        <w:t>’</w:t>
      </w:r>
      <w:r w:rsidRPr="00A22D0D">
        <w:rPr>
          <w:rFonts w:cs="Times New Roman"/>
          <w:lang w:val="fr-CA"/>
        </w:rPr>
        <w:t xml:space="preserve">art. 249 du </w:t>
      </w:r>
      <w:r w:rsidRPr="00A22D0D">
        <w:rPr>
          <w:rFonts w:cs="Times New Roman"/>
          <w:i/>
          <w:lang w:val="fr-CA"/>
        </w:rPr>
        <w:t>C</w:t>
      </w:r>
      <w:r w:rsidR="001A3AFC">
        <w:rPr>
          <w:rFonts w:cs="Times New Roman"/>
          <w:i/>
          <w:lang w:val="fr-CA"/>
        </w:rPr>
        <w:t>ode criminel</w:t>
      </w:r>
      <w:r w:rsidRPr="00A22D0D">
        <w:rPr>
          <w:rFonts w:cs="Times New Roman"/>
          <w:i/>
          <w:lang w:val="fr-CA"/>
        </w:rPr>
        <w:t xml:space="preserve"> </w:t>
      </w:r>
      <w:r w:rsidRPr="00A22D0D">
        <w:rPr>
          <w:rFonts w:cs="Times New Roman"/>
          <w:lang w:val="fr-CA"/>
        </w:rPr>
        <w:t>et de l</w:t>
      </w:r>
      <w:r>
        <w:rPr>
          <w:rFonts w:cs="Times New Roman"/>
          <w:lang w:val="fr-CA"/>
        </w:rPr>
        <w:t>’</w:t>
      </w:r>
      <w:r w:rsidRPr="00A22D0D">
        <w:rPr>
          <w:rFonts w:cs="Times New Roman"/>
          <w:lang w:val="fr-CA"/>
        </w:rPr>
        <w:t xml:space="preserve">art. 216 du </w:t>
      </w:r>
      <w:r w:rsidRPr="00A22D0D">
        <w:rPr>
          <w:rFonts w:cs="Times New Roman"/>
          <w:i/>
          <w:lang w:val="fr-CA"/>
        </w:rPr>
        <w:t>Code de la route</w:t>
      </w:r>
      <w:r w:rsidRPr="00A22D0D">
        <w:rPr>
          <w:rFonts w:cs="Times New Roman"/>
          <w:lang w:val="fr-CA"/>
        </w:rPr>
        <w:t>, L.R.O. 1990, c. H.8</w:t>
      </w:r>
      <w:r>
        <w:rPr>
          <w:rFonts w:cs="Times New Roman"/>
          <w:lang w:val="fr-CA"/>
        </w:rPr>
        <w:t>,</w:t>
      </w:r>
      <w:r w:rsidRPr="00A22D0D">
        <w:rPr>
          <w:rFonts w:cs="Times New Roman"/>
          <w:lang w:val="fr-CA"/>
        </w:rPr>
        <w:t xml:space="preserve"> et j</w:t>
      </w:r>
      <w:r>
        <w:rPr>
          <w:rFonts w:cs="Times New Roman"/>
          <w:lang w:val="fr-CA"/>
        </w:rPr>
        <w:t>’</w:t>
      </w:r>
      <w:r w:rsidRPr="00A22D0D">
        <w:rPr>
          <w:rFonts w:cs="Times New Roman"/>
          <w:lang w:val="fr-CA"/>
        </w:rPr>
        <w:t>ordonnerais la tenue de nouveaux procès relativement aux accusations en cause.</w:t>
      </w:r>
    </w:p>
    <w:p w:rsidR="004D7D95" w:rsidRPr="00DE12B0" w:rsidRDefault="008A7FE7" w:rsidP="00073901">
      <w:pPr>
        <w:pStyle w:val="SCCNormalDoubleSpacing"/>
        <w:widowControl w:val="0"/>
        <w:spacing w:after="480"/>
        <w:rPr>
          <w:i/>
          <w:lang w:val="fr-CA"/>
        </w:rPr>
      </w:pPr>
      <w:r w:rsidRPr="00DE12B0">
        <w:rPr>
          <w:lang w:val="fr-CA"/>
        </w:rPr>
        <w:tab/>
      </w:r>
      <w:r w:rsidR="003029D1" w:rsidRPr="00DE12B0">
        <w:rPr>
          <w:i/>
          <w:lang w:val="fr-CA"/>
        </w:rPr>
        <w:t xml:space="preserve">Pourvoi rejeté, la juge </w:t>
      </w:r>
      <w:r w:rsidR="003029D1" w:rsidRPr="00DE12B0">
        <w:rPr>
          <w:smallCaps/>
          <w:lang w:val="fr-CA"/>
        </w:rPr>
        <w:t>Côté</w:t>
      </w:r>
      <w:r w:rsidR="003029D1" w:rsidRPr="00DE12B0">
        <w:rPr>
          <w:i/>
          <w:lang w:val="fr-CA"/>
        </w:rPr>
        <w:t xml:space="preserve"> est dissidente.</w:t>
      </w:r>
    </w:p>
    <w:p w:rsidR="00BF0732" w:rsidRPr="00DE12B0" w:rsidRDefault="009604C9" w:rsidP="00073901">
      <w:pPr>
        <w:pStyle w:val="SCCLawFirm"/>
        <w:widowControl w:val="0"/>
        <w:spacing w:after="480"/>
        <w:rPr>
          <w:lang w:val="fr-CA"/>
        </w:rPr>
      </w:pPr>
      <w:r w:rsidRPr="00DE12B0">
        <w:rPr>
          <w:lang w:val="fr-CA"/>
        </w:rPr>
        <w:tab/>
        <w:t>Procureurs de l</w:t>
      </w:r>
      <w:r w:rsidR="00DE12B0">
        <w:rPr>
          <w:lang w:val="fr-CA"/>
        </w:rPr>
        <w:t>’</w:t>
      </w:r>
      <w:r w:rsidRPr="00DE12B0">
        <w:rPr>
          <w:lang w:val="fr-CA"/>
        </w:rPr>
        <w:t>appelant</w:t>
      </w:r>
      <w:r w:rsidR="00DE12B0">
        <w:rPr>
          <w:lang w:val="fr-CA"/>
        </w:rPr>
        <w:t> :</w:t>
      </w:r>
      <w:r w:rsidR="008A7FE7" w:rsidRPr="00DE12B0">
        <w:rPr>
          <w:lang w:val="fr-CA"/>
        </w:rPr>
        <w:t xml:space="preserve"> </w:t>
      </w:r>
      <w:r w:rsidR="00457720" w:rsidRPr="00DE12B0">
        <w:rPr>
          <w:lang w:val="fr-CA"/>
        </w:rPr>
        <w:t xml:space="preserve">O. Wigderson, Barrister, Toronto; </w:t>
      </w:r>
      <w:r w:rsidR="008A7FE7" w:rsidRPr="00DE12B0">
        <w:rPr>
          <w:lang w:val="fr-CA"/>
        </w:rPr>
        <w:t>Conway Baxter Wilson</w:t>
      </w:r>
      <w:r w:rsidRPr="00DE12B0">
        <w:rPr>
          <w:lang w:val="fr-CA"/>
        </w:rPr>
        <w:t>, Ottawa.</w:t>
      </w:r>
    </w:p>
    <w:p w:rsidR="00BF0732" w:rsidRPr="00DE12B0" w:rsidRDefault="009604C9" w:rsidP="00073901">
      <w:pPr>
        <w:pStyle w:val="SCCLawFirm"/>
        <w:widowControl w:val="0"/>
        <w:spacing w:after="480"/>
        <w:rPr>
          <w:lang w:val="fr-CA"/>
        </w:rPr>
      </w:pPr>
      <w:r w:rsidRPr="00DE12B0">
        <w:rPr>
          <w:lang w:val="fr-CA"/>
        </w:rPr>
        <w:lastRenderedPageBreak/>
        <w:tab/>
      </w:r>
      <w:r w:rsidR="00457720" w:rsidRPr="00DE12B0">
        <w:rPr>
          <w:lang w:val="fr-CA"/>
        </w:rPr>
        <w:t>Procureur</w:t>
      </w:r>
      <w:r w:rsidRPr="00DE12B0">
        <w:rPr>
          <w:lang w:val="fr-CA"/>
        </w:rPr>
        <w:t xml:space="preserve"> de l</w:t>
      </w:r>
      <w:r w:rsidR="00DE12B0">
        <w:rPr>
          <w:lang w:val="fr-CA"/>
        </w:rPr>
        <w:t>’</w:t>
      </w:r>
      <w:r w:rsidRPr="00DE12B0">
        <w:rPr>
          <w:lang w:val="fr-CA"/>
        </w:rPr>
        <w:t>intimée</w:t>
      </w:r>
      <w:r w:rsidR="00DE12B0">
        <w:rPr>
          <w:lang w:val="fr-CA"/>
        </w:rPr>
        <w:t> :</w:t>
      </w:r>
      <w:r w:rsidRPr="00DE12B0">
        <w:rPr>
          <w:lang w:val="fr-CA"/>
        </w:rPr>
        <w:t xml:space="preserve"> </w:t>
      </w:r>
      <w:r w:rsidR="00457720" w:rsidRPr="00DE12B0">
        <w:rPr>
          <w:lang w:val="fr-CA"/>
        </w:rPr>
        <w:t>Procureur général de l</w:t>
      </w:r>
      <w:r w:rsidR="00DE12B0">
        <w:rPr>
          <w:lang w:val="fr-CA"/>
        </w:rPr>
        <w:t>’</w:t>
      </w:r>
      <w:r w:rsidR="00457720" w:rsidRPr="00DE12B0">
        <w:rPr>
          <w:lang w:val="fr-CA"/>
        </w:rPr>
        <w:t>Ontario</w:t>
      </w:r>
      <w:r w:rsidRPr="00DE12B0">
        <w:rPr>
          <w:lang w:val="fr-CA"/>
        </w:rPr>
        <w:t>, Toronto.</w:t>
      </w:r>
    </w:p>
    <w:p w:rsidR="009B57B3" w:rsidRPr="00DE12B0" w:rsidRDefault="009604C9" w:rsidP="00073901">
      <w:pPr>
        <w:pStyle w:val="SCCLawFirm"/>
        <w:widowControl w:val="0"/>
        <w:rPr>
          <w:lang w:val="fr-CA"/>
        </w:rPr>
      </w:pPr>
      <w:r w:rsidRPr="00DE12B0">
        <w:rPr>
          <w:lang w:val="fr-CA"/>
        </w:rPr>
        <w:tab/>
      </w:r>
      <w:r w:rsidR="00457720" w:rsidRPr="00DE12B0">
        <w:rPr>
          <w:lang w:val="fr-CA"/>
        </w:rPr>
        <w:t>Procureur</w:t>
      </w:r>
      <w:r w:rsidRPr="00DE12B0">
        <w:rPr>
          <w:lang w:val="fr-CA"/>
        </w:rPr>
        <w:t xml:space="preserve"> de l</w:t>
      </w:r>
      <w:r w:rsidR="00DE12B0">
        <w:rPr>
          <w:lang w:val="fr-CA"/>
        </w:rPr>
        <w:t>’</w:t>
      </w:r>
      <w:r w:rsidRPr="00DE12B0">
        <w:rPr>
          <w:lang w:val="fr-CA"/>
        </w:rPr>
        <w:t>intervenant</w:t>
      </w:r>
      <w:r w:rsidR="00DE12B0">
        <w:rPr>
          <w:lang w:val="fr-CA"/>
        </w:rPr>
        <w:t> :</w:t>
      </w:r>
      <w:r w:rsidRPr="00DE12B0">
        <w:rPr>
          <w:lang w:val="fr-CA"/>
        </w:rPr>
        <w:t xml:space="preserve"> </w:t>
      </w:r>
      <w:r w:rsidR="00457720" w:rsidRPr="00DE12B0">
        <w:rPr>
          <w:lang w:val="fr-CA"/>
        </w:rPr>
        <w:t>Procureur général de la Colombie</w:t>
      </w:r>
      <w:r w:rsidR="00140575">
        <w:rPr>
          <w:lang w:val="fr-CA"/>
        </w:rPr>
        <w:t>-</w:t>
      </w:r>
      <w:r w:rsidR="00457720" w:rsidRPr="00DE12B0">
        <w:rPr>
          <w:lang w:val="fr-CA"/>
        </w:rPr>
        <w:t>Britannique</w:t>
      </w:r>
      <w:r w:rsidRPr="00DE12B0">
        <w:rPr>
          <w:lang w:val="fr-CA"/>
        </w:rPr>
        <w:t>, Vancouver.</w:t>
      </w:r>
    </w:p>
    <w:sectPr w:rsidR="009B57B3" w:rsidRPr="00DE12B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8B" w:rsidRDefault="00D3518B">
      <w:r>
        <w:separator/>
      </w:r>
    </w:p>
  </w:endnote>
  <w:endnote w:type="continuationSeparator" w:id="0">
    <w:p w:rsidR="00D3518B" w:rsidRDefault="00D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8B" w:rsidRDefault="00D35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8B" w:rsidRDefault="00D35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8B" w:rsidRDefault="00D3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8B" w:rsidRDefault="00D3518B">
      <w:r>
        <w:separator/>
      </w:r>
    </w:p>
  </w:footnote>
  <w:footnote w:type="continuationSeparator" w:id="0">
    <w:p w:rsidR="00D3518B" w:rsidRDefault="00D3518B">
      <w:r>
        <w:continuationSeparator/>
      </w:r>
    </w:p>
  </w:footnote>
  <w:footnote w:id="1">
    <w:p w:rsidR="00D3518B" w:rsidRPr="00AE49E9" w:rsidRDefault="00D3518B" w:rsidP="00132FB1">
      <w:pPr>
        <w:pStyle w:val="FootnoteText"/>
        <w:rPr>
          <w:lang w:val="fr-CA"/>
        </w:rPr>
      </w:pPr>
      <w:r w:rsidRPr="00900C23">
        <w:rPr>
          <w:rStyle w:val="FootnoteReference"/>
        </w:rPr>
        <w:footnoteRef/>
      </w:r>
      <w:r w:rsidRPr="00AE49E9">
        <w:rPr>
          <w:lang w:val="fr-CA"/>
        </w:rPr>
        <w:t xml:space="preserve">  Dans les présents motifs, « procédure sommaire » renvoie tant à une simple infraction punissable sur déclaration de culpabilité par procédure sommaire qu</w:t>
      </w:r>
      <w:r>
        <w:rPr>
          <w:lang w:val="fr-CA"/>
        </w:rPr>
        <w:t>’</w:t>
      </w:r>
      <w:r w:rsidRPr="00AE49E9">
        <w:rPr>
          <w:lang w:val="fr-CA"/>
        </w:rPr>
        <w:t>à une infra</w:t>
      </w:r>
      <w:r>
        <w:rPr>
          <w:lang w:val="fr-CA"/>
        </w:rPr>
        <w:t>c</w:t>
      </w:r>
      <w:r w:rsidRPr="00AE49E9">
        <w:rPr>
          <w:lang w:val="fr-CA"/>
        </w:rPr>
        <w:t>tio</w:t>
      </w:r>
      <w:r>
        <w:rPr>
          <w:lang w:val="fr-CA"/>
        </w:rPr>
        <w:t xml:space="preserve">n </w:t>
      </w:r>
      <w:r w:rsidRPr="00AE49E9">
        <w:rPr>
          <w:lang w:val="fr-CA"/>
        </w:rPr>
        <w:t>mixte à l</w:t>
      </w:r>
      <w:r>
        <w:rPr>
          <w:lang w:val="fr-CA"/>
        </w:rPr>
        <w:t>’</w:t>
      </w:r>
      <w:r w:rsidRPr="00AE49E9">
        <w:rPr>
          <w:lang w:val="fr-CA"/>
        </w:rPr>
        <w:t>égard de laquelle le minist</w:t>
      </w:r>
      <w:r>
        <w:rPr>
          <w:lang w:val="fr-CA"/>
        </w:rPr>
        <w:t>ère public choisit la procédure sommaire</w:t>
      </w:r>
      <w:r w:rsidRPr="00AE49E9">
        <w:rPr>
          <w:lang w:val="fr-CA"/>
        </w:rPr>
        <w:t>.</w:t>
      </w:r>
    </w:p>
  </w:footnote>
  <w:footnote w:id="2">
    <w:p w:rsidR="00D3518B" w:rsidRPr="00933411" w:rsidRDefault="00D3518B" w:rsidP="00132FB1">
      <w:pPr>
        <w:pStyle w:val="FootnoteText"/>
        <w:rPr>
          <w:lang w:val="fr-CA"/>
        </w:rPr>
      </w:pPr>
      <w:r w:rsidRPr="00900C23">
        <w:rPr>
          <w:rStyle w:val="FootnoteReference"/>
        </w:rPr>
        <w:footnoteRef/>
      </w:r>
      <w:r w:rsidRPr="00933411">
        <w:rPr>
          <w:lang w:val="fr-CA"/>
        </w:rPr>
        <w:t xml:space="preserve">  B</w:t>
      </w:r>
      <w:r>
        <w:rPr>
          <w:lang w:val="fr-CA"/>
        </w:rPr>
        <w:t>ien qu’il s’agisse d’</w:t>
      </w:r>
      <w:r w:rsidRPr="00933411">
        <w:rPr>
          <w:lang w:val="fr-CA"/>
        </w:rPr>
        <w:t>infraction</w:t>
      </w:r>
      <w:r>
        <w:rPr>
          <w:lang w:val="fr-CA"/>
        </w:rPr>
        <w:t>s</w:t>
      </w:r>
      <w:r w:rsidRPr="00933411">
        <w:rPr>
          <w:lang w:val="fr-CA"/>
        </w:rPr>
        <w:t xml:space="preserve"> </w:t>
      </w:r>
      <w:r>
        <w:rPr>
          <w:lang w:val="fr-CA"/>
        </w:rPr>
        <w:t>prévues</w:t>
      </w:r>
      <w:r w:rsidRPr="00933411">
        <w:rPr>
          <w:lang w:val="fr-CA"/>
        </w:rPr>
        <w:t xml:space="preserve"> </w:t>
      </w:r>
      <w:r>
        <w:rPr>
          <w:lang w:val="fr-CA"/>
        </w:rPr>
        <w:t>au</w:t>
      </w:r>
      <w:r w:rsidRPr="00933411">
        <w:rPr>
          <w:lang w:val="fr-CA"/>
        </w:rPr>
        <w:t xml:space="preserve"> </w:t>
      </w:r>
      <w:r w:rsidRPr="00B4216E">
        <w:rPr>
          <w:i/>
          <w:lang w:val="fr-CA"/>
        </w:rPr>
        <w:t>Code de la route</w:t>
      </w:r>
      <w:r>
        <w:rPr>
          <w:lang w:val="fr-CA"/>
        </w:rPr>
        <w:t xml:space="preserve">, les procédures applicables sont régies par la </w:t>
      </w:r>
      <w:r w:rsidRPr="00933411">
        <w:rPr>
          <w:i/>
          <w:lang w:val="fr-CA"/>
        </w:rPr>
        <w:t>Loi sur les infractions provinciales</w:t>
      </w:r>
      <w:r w:rsidRPr="00933411">
        <w:rPr>
          <w:lang w:val="fr-CA"/>
        </w:rPr>
        <w:t xml:space="preserve">, </w:t>
      </w:r>
      <w:r>
        <w:rPr>
          <w:lang w:val="fr-CA"/>
        </w:rPr>
        <w:t>L.</w:t>
      </w:r>
      <w:r w:rsidRPr="00933411">
        <w:rPr>
          <w:lang w:val="fr-CA"/>
        </w:rPr>
        <w:t>R.O. 1990, c. P.33.</w:t>
      </w:r>
    </w:p>
  </w:footnote>
  <w:footnote w:id="3">
    <w:p w:rsidR="00D3518B" w:rsidRPr="00E63FC2" w:rsidRDefault="00D3518B" w:rsidP="00132FB1">
      <w:pPr>
        <w:pStyle w:val="FootnoteText"/>
        <w:rPr>
          <w:lang w:val="fr-CA"/>
        </w:rPr>
      </w:pPr>
      <w:r w:rsidRPr="00927EFA">
        <w:rPr>
          <w:rStyle w:val="FootnoteReference"/>
        </w:rPr>
        <w:footnoteRef/>
      </w:r>
      <w:r w:rsidRPr="00E63FC2">
        <w:rPr>
          <w:lang w:val="fr-CA"/>
        </w:rPr>
        <w:t xml:space="preserve">  Je tiens à préciser que les présents motifs ne s</w:t>
      </w:r>
      <w:r>
        <w:rPr>
          <w:lang w:val="fr-CA"/>
        </w:rPr>
        <w:t>’</w:t>
      </w:r>
      <w:r w:rsidRPr="00E63FC2">
        <w:rPr>
          <w:lang w:val="fr-CA"/>
        </w:rPr>
        <w:t>en tiennent qu</w:t>
      </w:r>
      <w:r>
        <w:rPr>
          <w:lang w:val="fr-CA"/>
        </w:rPr>
        <w:t>’</w:t>
      </w:r>
      <w:r w:rsidRPr="00E63FC2">
        <w:rPr>
          <w:lang w:val="fr-CA"/>
        </w:rPr>
        <w:t>au proc</w:t>
      </w:r>
      <w:r>
        <w:rPr>
          <w:lang w:val="fr-CA"/>
        </w:rPr>
        <w:t xml:space="preserve">ès conjoint tenu relativement à </w:t>
      </w:r>
      <w:r w:rsidRPr="00E63FC2">
        <w:rPr>
          <w:lang w:val="fr-CA"/>
        </w:rPr>
        <w:t>une accusation provincial</w:t>
      </w:r>
      <w:r>
        <w:rPr>
          <w:lang w:val="fr-CA"/>
        </w:rPr>
        <w:t>e régie par la partie </w:t>
      </w:r>
      <w:r w:rsidRPr="00E63FC2">
        <w:rPr>
          <w:lang w:val="fr-CA"/>
        </w:rPr>
        <w:t xml:space="preserve">III </w:t>
      </w:r>
      <w:r>
        <w:rPr>
          <w:lang w:val="fr-CA"/>
        </w:rPr>
        <w:t xml:space="preserve">de la </w:t>
      </w:r>
      <w:r>
        <w:rPr>
          <w:i/>
          <w:lang w:val="fr-CA"/>
        </w:rPr>
        <w:t>LIP</w:t>
      </w:r>
      <w:r w:rsidRPr="00E63FC2">
        <w:rPr>
          <w:i/>
          <w:lang w:val="fr-CA"/>
        </w:rPr>
        <w:t xml:space="preserve"> </w:t>
      </w:r>
      <w:r>
        <w:rPr>
          <w:lang w:val="fr-CA"/>
        </w:rPr>
        <w:t>et à une accusation criminelle punissable sur déclaration de culpabilité par procédure sommaire</w:t>
      </w:r>
      <w:r w:rsidRPr="00E63FC2">
        <w:rPr>
          <w:lang w:val="fr-CA"/>
        </w:rPr>
        <w:t>.</w:t>
      </w:r>
    </w:p>
  </w:footnote>
  <w:footnote w:id="4">
    <w:p w:rsidR="00D3518B" w:rsidRPr="000E2E79" w:rsidRDefault="00D3518B" w:rsidP="00132FB1">
      <w:pPr>
        <w:pStyle w:val="FootnoteText"/>
        <w:rPr>
          <w:lang w:val="fr-CA"/>
        </w:rPr>
      </w:pPr>
      <w:r>
        <w:rPr>
          <w:rStyle w:val="FootnoteReference"/>
        </w:rPr>
        <w:footnoteRef/>
      </w:r>
      <w:r w:rsidRPr="000E2E79">
        <w:rPr>
          <w:lang w:val="fr-CA"/>
        </w:rPr>
        <w:t xml:space="preserve"> </w:t>
      </w:r>
      <w:r w:rsidR="007F702C">
        <w:rPr>
          <w:lang w:val="fr-CA"/>
        </w:rPr>
        <w:tab/>
      </w:r>
      <w:r>
        <w:rPr>
          <w:lang w:val="fr-CA"/>
        </w:rPr>
        <w:t xml:space="preserve">Je suis conscient que, dans </w:t>
      </w:r>
      <w:r w:rsidRPr="005F5CD3">
        <w:rPr>
          <w:i/>
          <w:lang w:val="fr-CA"/>
        </w:rPr>
        <w:t>Clunas</w:t>
      </w:r>
      <w:r>
        <w:rPr>
          <w:lang w:val="fr-CA"/>
        </w:rPr>
        <w:t>, la Cour a énoncé le test à deux volets dans l’ordre inverse. J’estime toutefois qu’il peut être plus commode, et le sera souvent, pour un juge de première instance d’examiner la question du lien factuel entre les infractions avant de passer à l’analyse de l’opportunité de tenir un procès conjoint dans l’intérêt de la justice.</w:t>
      </w:r>
    </w:p>
  </w:footnote>
  <w:footnote w:id="5">
    <w:p w:rsidR="00D3518B" w:rsidRPr="000D0020" w:rsidRDefault="00D3518B" w:rsidP="00132FB1">
      <w:pPr>
        <w:pStyle w:val="FootnoteText"/>
        <w:rPr>
          <w:lang w:val="fr-CA"/>
        </w:rPr>
      </w:pPr>
      <w:r w:rsidRPr="00900C23">
        <w:rPr>
          <w:rStyle w:val="FootnoteReference"/>
        </w:rPr>
        <w:footnoteRef/>
      </w:r>
      <w:r w:rsidRPr="000D0020">
        <w:rPr>
          <w:lang w:val="fr-CA"/>
        </w:rPr>
        <w:t xml:space="preserve">  Voir les </w:t>
      </w:r>
      <w:r w:rsidRPr="000D0020">
        <w:rPr>
          <w:i/>
          <w:lang w:val="fr-CA"/>
        </w:rPr>
        <w:t>Rules of the Ontario Court (Provincial Division) in Provincial Offences Proceedings</w:t>
      </w:r>
      <w:r w:rsidRPr="000D0020">
        <w:rPr>
          <w:lang w:val="fr-CA"/>
        </w:rPr>
        <w:t xml:space="preserve">, </w:t>
      </w:r>
      <w:r>
        <w:rPr>
          <w:lang w:val="fr-CA"/>
        </w:rPr>
        <w:t xml:space="preserve">R.R.O. 1990, Reg. 200, r. 32(5), </w:t>
      </w:r>
      <w:r w:rsidRPr="000D0020">
        <w:rPr>
          <w:lang w:val="fr-CA"/>
        </w:rPr>
        <w:t xml:space="preserve">prises sous le </w:t>
      </w:r>
      <w:r>
        <w:rPr>
          <w:lang w:val="fr-CA"/>
        </w:rPr>
        <w:t>ré</w:t>
      </w:r>
      <w:r w:rsidRPr="000D0020">
        <w:rPr>
          <w:lang w:val="fr-CA"/>
        </w:rPr>
        <w:t xml:space="preserve">gime de la </w:t>
      </w:r>
      <w:r>
        <w:rPr>
          <w:i/>
          <w:lang w:val="fr-CA"/>
        </w:rPr>
        <w:t>Loi sur les tribunaux judiciaires</w:t>
      </w:r>
      <w:r w:rsidRPr="000D0020">
        <w:rPr>
          <w:lang w:val="fr-CA"/>
        </w:rPr>
        <w:t xml:space="preserve">, </w:t>
      </w:r>
      <w:r>
        <w:rPr>
          <w:lang w:val="fr-CA"/>
        </w:rPr>
        <w:t>L.</w:t>
      </w:r>
      <w:r w:rsidRPr="000D0020">
        <w:rPr>
          <w:lang w:val="fr-CA"/>
        </w:rPr>
        <w:t>R.</w:t>
      </w:r>
      <w:r>
        <w:rPr>
          <w:lang w:val="fr-CA"/>
        </w:rPr>
        <w:t>O. 1990, c. C.43</w:t>
      </w:r>
      <w:r w:rsidRPr="000D0020">
        <w:rPr>
          <w:lang w:val="fr-CA"/>
        </w:rPr>
        <w:t>.</w:t>
      </w:r>
    </w:p>
  </w:footnote>
  <w:footnote w:id="6">
    <w:p w:rsidR="00D3518B" w:rsidRPr="00DC25B2" w:rsidRDefault="00D3518B" w:rsidP="00132FB1">
      <w:pPr>
        <w:pStyle w:val="FootnoteText"/>
        <w:rPr>
          <w:lang w:val="fr-CA"/>
        </w:rPr>
      </w:pPr>
      <w:r w:rsidRPr="00900C23">
        <w:rPr>
          <w:rStyle w:val="FootnoteReference"/>
        </w:rPr>
        <w:footnoteRef/>
      </w:r>
      <w:r w:rsidRPr="000D0020">
        <w:rPr>
          <w:lang w:val="fr-CA"/>
        </w:rPr>
        <w:t xml:space="preserve">  Devant la Cour, le ministère public a fait valoir que ce volet exigeait l</w:t>
      </w:r>
      <w:r>
        <w:rPr>
          <w:lang w:val="fr-CA"/>
        </w:rPr>
        <w:t>’</w:t>
      </w:r>
      <w:r w:rsidRPr="000D0020">
        <w:rPr>
          <w:lang w:val="fr-CA"/>
        </w:rPr>
        <w:t>existence d</w:t>
      </w:r>
      <w:r>
        <w:rPr>
          <w:lang w:val="fr-CA"/>
        </w:rPr>
        <w:t>’</w:t>
      </w:r>
      <w:r w:rsidRPr="000D0020">
        <w:rPr>
          <w:lang w:val="fr-CA"/>
        </w:rPr>
        <w:t>un</w:t>
      </w:r>
      <w:r w:rsidR="007F702C">
        <w:rPr>
          <w:lang w:val="fr-CA"/>
        </w:rPr>
        <w:t xml:space="preserve"> [</w:t>
      </w:r>
      <w:r w:rsidR="007F702C" w:rsidRPr="007F702C">
        <w:rPr>
          <w:smallCaps/>
          <w:lang w:val="fr-CA"/>
        </w:rPr>
        <w:t>traduction</w:t>
      </w:r>
      <w:r w:rsidR="007F702C">
        <w:rPr>
          <w:lang w:val="fr-CA"/>
        </w:rPr>
        <w:t>]</w:t>
      </w:r>
      <w:r w:rsidRPr="000D0020">
        <w:rPr>
          <w:lang w:val="fr-CA"/>
        </w:rPr>
        <w:t xml:space="preserve"> « lien </w:t>
      </w:r>
      <w:r>
        <w:rPr>
          <w:lang w:val="fr-CA"/>
        </w:rPr>
        <w:t>factue</w:t>
      </w:r>
      <w:r w:rsidRPr="000D0020">
        <w:rPr>
          <w:lang w:val="fr-CA"/>
        </w:rPr>
        <w:t xml:space="preserve">l </w:t>
      </w:r>
      <w:r w:rsidRPr="007F702C">
        <w:rPr>
          <w:u w:val="single"/>
          <w:lang w:val="fr-CA"/>
        </w:rPr>
        <w:t>ou juridique</w:t>
      </w:r>
      <w:r>
        <w:rPr>
          <w:lang w:val="fr-CA"/>
        </w:rPr>
        <w:t xml:space="preserve"> » </w:t>
      </w:r>
      <w:r w:rsidRPr="000D0020">
        <w:rPr>
          <w:lang w:val="fr-CA"/>
        </w:rPr>
        <w:t>(</w:t>
      </w:r>
      <w:r>
        <w:rPr>
          <w:lang w:val="fr-CA"/>
        </w:rPr>
        <w:t>m.i., par. 5 (</w:t>
      </w:r>
      <w:r w:rsidR="00411628">
        <w:rPr>
          <w:lang w:val="fr-CA"/>
        </w:rPr>
        <w:t>je souligne</w:t>
      </w:r>
      <w:r w:rsidRPr="000D0020">
        <w:rPr>
          <w:lang w:val="fr-CA"/>
        </w:rPr>
        <w:t>)</w:t>
      </w:r>
      <w:r>
        <w:rPr>
          <w:lang w:val="fr-CA"/>
        </w:rPr>
        <w:t>)</w:t>
      </w:r>
      <w:r w:rsidRPr="000D0020">
        <w:rPr>
          <w:lang w:val="fr-CA"/>
        </w:rPr>
        <w:t xml:space="preserve">. </w:t>
      </w:r>
      <w:r w:rsidRPr="00DC25B2">
        <w:rPr>
          <w:lang w:val="fr-CA"/>
        </w:rPr>
        <w:t>Bien que je puisse difficilement imaginer de quelle manière, en l</w:t>
      </w:r>
      <w:r>
        <w:rPr>
          <w:lang w:val="fr-CA"/>
        </w:rPr>
        <w:t>’</w:t>
      </w:r>
      <w:r w:rsidRPr="00DC25B2">
        <w:rPr>
          <w:lang w:val="fr-CA"/>
        </w:rPr>
        <w:t>absence d</w:t>
      </w:r>
      <w:r>
        <w:rPr>
          <w:lang w:val="fr-CA"/>
        </w:rPr>
        <w:t>’</w:t>
      </w:r>
      <w:r w:rsidRPr="00DC25B2">
        <w:rPr>
          <w:lang w:val="fr-CA"/>
        </w:rPr>
        <w:t xml:space="preserve">un lien factuel, un lien juridique pourrait justifier </w:t>
      </w:r>
      <w:r>
        <w:rPr>
          <w:lang w:val="fr-CA"/>
        </w:rPr>
        <w:t>l’instruction conjointe d’accusations relatives à des infractions provinciales et d’accusations relatives à des infractions criminelles punissables sur déclaration de culpabilité par procédure sommaire</w:t>
      </w:r>
      <w:r w:rsidRPr="00DC25B2">
        <w:rPr>
          <w:lang w:val="fr-CA"/>
        </w:rPr>
        <w:t xml:space="preserve">, </w:t>
      </w:r>
      <w:r>
        <w:rPr>
          <w:lang w:val="fr-CA"/>
        </w:rPr>
        <w:t xml:space="preserve">je laisse le soin à un autre tribunal de trancher cette question à une autre occasion, lorsqu’elle se posera.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8B" w:rsidRDefault="00D35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8B" w:rsidRPr="00450352" w:rsidRDefault="00D3518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8B" w:rsidRDefault="00D3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9"/>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DA"/>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E06E7314"/>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73901"/>
    <w:rsid w:val="00082920"/>
    <w:rsid w:val="00082D0A"/>
    <w:rsid w:val="00086880"/>
    <w:rsid w:val="000B1672"/>
    <w:rsid w:val="000C3FCD"/>
    <w:rsid w:val="000C59B8"/>
    <w:rsid w:val="000C6AF0"/>
    <w:rsid w:val="000D0A77"/>
    <w:rsid w:val="000E29CD"/>
    <w:rsid w:val="000F1FBC"/>
    <w:rsid w:val="000F7993"/>
    <w:rsid w:val="00104F33"/>
    <w:rsid w:val="00107FD2"/>
    <w:rsid w:val="00111DE2"/>
    <w:rsid w:val="00116B38"/>
    <w:rsid w:val="00124DF8"/>
    <w:rsid w:val="00132FB1"/>
    <w:rsid w:val="00135406"/>
    <w:rsid w:val="00135972"/>
    <w:rsid w:val="00140575"/>
    <w:rsid w:val="001426A9"/>
    <w:rsid w:val="0015309C"/>
    <w:rsid w:val="00154D7C"/>
    <w:rsid w:val="001570B0"/>
    <w:rsid w:val="0015752C"/>
    <w:rsid w:val="00157737"/>
    <w:rsid w:val="00165277"/>
    <w:rsid w:val="00165B70"/>
    <w:rsid w:val="00170592"/>
    <w:rsid w:val="001720F7"/>
    <w:rsid w:val="0017716B"/>
    <w:rsid w:val="00180F59"/>
    <w:rsid w:val="00195D83"/>
    <w:rsid w:val="001A00C1"/>
    <w:rsid w:val="001A3AFC"/>
    <w:rsid w:val="001B33E0"/>
    <w:rsid w:val="001B4573"/>
    <w:rsid w:val="001C18D6"/>
    <w:rsid w:val="001C779F"/>
    <w:rsid w:val="001D0DEA"/>
    <w:rsid w:val="001D2AC1"/>
    <w:rsid w:val="001D4E88"/>
    <w:rsid w:val="001E76E7"/>
    <w:rsid w:val="001F6D93"/>
    <w:rsid w:val="002207F4"/>
    <w:rsid w:val="00220FC2"/>
    <w:rsid w:val="002222F4"/>
    <w:rsid w:val="00224AEC"/>
    <w:rsid w:val="00224FC0"/>
    <w:rsid w:val="00225EA4"/>
    <w:rsid w:val="00226EAF"/>
    <w:rsid w:val="002310FC"/>
    <w:rsid w:val="00231F3A"/>
    <w:rsid w:val="00240595"/>
    <w:rsid w:val="002406EE"/>
    <w:rsid w:val="00243EC8"/>
    <w:rsid w:val="00270D93"/>
    <w:rsid w:val="002745CC"/>
    <w:rsid w:val="00277518"/>
    <w:rsid w:val="002829EE"/>
    <w:rsid w:val="00290A2F"/>
    <w:rsid w:val="00292408"/>
    <w:rsid w:val="002A1C73"/>
    <w:rsid w:val="002A3188"/>
    <w:rsid w:val="002B6FBE"/>
    <w:rsid w:val="002B7924"/>
    <w:rsid w:val="002C10A6"/>
    <w:rsid w:val="002C7B34"/>
    <w:rsid w:val="002D28C3"/>
    <w:rsid w:val="002D39A4"/>
    <w:rsid w:val="002E6705"/>
    <w:rsid w:val="00300D5B"/>
    <w:rsid w:val="003029D1"/>
    <w:rsid w:val="0030329A"/>
    <w:rsid w:val="0031086F"/>
    <w:rsid w:val="0031414C"/>
    <w:rsid w:val="00314E01"/>
    <w:rsid w:val="0032089D"/>
    <w:rsid w:val="00322A33"/>
    <w:rsid w:val="00326002"/>
    <w:rsid w:val="003310DE"/>
    <w:rsid w:val="003323B0"/>
    <w:rsid w:val="00340A49"/>
    <w:rsid w:val="00343CC2"/>
    <w:rsid w:val="0035169A"/>
    <w:rsid w:val="0035259D"/>
    <w:rsid w:val="00353AB5"/>
    <w:rsid w:val="0035562C"/>
    <w:rsid w:val="00364B18"/>
    <w:rsid w:val="00374A4A"/>
    <w:rsid w:val="00385B9C"/>
    <w:rsid w:val="00386627"/>
    <w:rsid w:val="00386C7F"/>
    <w:rsid w:val="003A125D"/>
    <w:rsid w:val="003A4C70"/>
    <w:rsid w:val="003B215F"/>
    <w:rsid w:val="003C799C"/>
    <w:rsid w:val="003D0399"/>
    <w:rsid w:val="003D5782"/>
    <w:rsid w:val="003E1C71"/>
    <w:rsid w:val="003E2E49"/>
    <w:rsid w:val="003F2BED"/>
    <w:rsid w:val="003F327B"/>
    <w:rsid w:val="00400F3F"/>
    <w:rsid w:val="00406166"/>
    <w:rsid w:val="0040704B"/>
    <w:rsid w:val="00410A55"/>
    <w:rsid w:val="00411300"/>
    <w:rsid w:val="00411628"/>
    <w:rsid w:val="00413F17"/>
    <w:rsid w:val="00415417"/>
    <w:rsid w:val="004168C2"/>
    <w:rsid w:val="00426659"/>
    <w:rsid w:val="00434CAA"/>
    <w:rsid w:val="00437117"/>
    <w:rsid w:val="00444DC4"/>
    <w:rsid w:val="00450352"/>
    <w:rsid w:val="00451E65"/>
    <w:rsid w:val="00454BDB"/>
    <w:rsid w:val="00457720"/>
    <w:rsid w:val="00464E92"/>
    <w:rsid w:val="00465132"/>
    <w:rsid w:val="00466F08"/>
    <w:rsid w:val="00480C90"/>
    <w:rsid w:val="004827DF"/>
    <w:rsid w:val="0048396F"/>
    <w:rsid w:val="00493C18"/>
    <w:rsid w:val="004A0E89"/>
    <w:rsid w:val="004A4CF5"/>
    <w:rsid w:val="004A600C"/>
    <w:rsid w:val="004A6118"/>
    <w:rsid w:val="004B4AC3"/>
    <w:rsid w:val="004C478D"/>
    <w:rsid w:val="004D7D95"/>
    <w:rsid w:val="004E2C26"/>
    <w:rsid w:val="004F3E43"/>
    <w:rsid w:val="005125A8"/>
    <w:rsid w:val="00513953"/>
    <w:rsid w:val="00517549"/>
    <w:rsid w:val="00520ABC"/>
    <w:rsid w:val="00521AE8"/>
    <w:rsid w:val="00525AB5"/>
    <w:rsid w:val="00527180"/>
    <w:rsid w:val="00555291"/>
    <w:rsid w:val="00566AD1"/>
    <w:rsid w:val="00572AC0"/>
    <w:rsid w:val="00583EDE"/>
    <w:rsid w:val="00584C17"/>
    <w:rsid w:val="00592074"/>
    <w:rsid w:val="00592A72"/>
    <w:rsid w:val="005A6079"/>
    <w:rsid w:val="005E4698"/>
    <w:rsid w:val="005F34B0"/>
    <w:rsid w:val="00603924"/>
    <w:rsid w:val="00610539"/>
    <w:rsid w:val="00613969"/>
    <w:rsid w:val="00625C35"/>
    <w:rsid w:val="00631DCA"/>
    <w:rsid w:val="00647E49"/>
    <w:rsid w:val="00656313"/>
    <w:rsid w:val="006565F4"/>
    <w:rsid w:val="00684EEA"/>
    <w:rsid w:val="00685329"/>
    <w:rsid w:val="00694063"/>
    <w:rsid w:val="00695E65"/>
    <w:rsid w:val="0069689B"/>
    <w:rsid w:val="006B22CD"/>
    <w:rsid w:val="006B5E2B"/>
    <w:rsid w:val="006B5FF5"/>
    <w:rsid w:val="006C31A6"/>
    <w:rsid w:val="006C48CD"/>
    <w:rsid w:val="006D2574"/>
    <w:rsid w:val="006D5EF3"/>
    <w:rsid w:val="006E0E3E"/>
    <w:rsid w:val="006F30AF"/>
    <w:rsid w:val="006F5381"/>
    <w:rsid w:val="00701759"/>
    <w:rsid w:val="00701BB2"/>
    <w:rsid w:val="0070577F"/>
    <w:rsid w:val="00705C15"/>
    <w:rsid w:val="007110F6"/>
    <w:rsid w:val="00720195"/>
    <w:rsid w:val="007208D1"/>
    <w:rsid w:val="00744518"/>
    <w:rsid w:val="00747288"/>
    <w:rsid w:val="00747DD3"/>
    <w:rsid w:val="007549C8"/>
    <w:rsid w:val="0076284B"/>
    <w:rsid w:val="0076620F"/>
    <w:rsid w:val="00766D14"/>
    <w:rsid w:val="007670EF"/>
    <w:rsid w:val="00767A0F"/>
    <w:rsid w:val="00791272"/>
    <w:rsid w:val="007A05F6"/>
    <w:rsid w:val="007A7BC6"/>
    <w:rsid w:val="007B6F4A"/>
    <w:rsid w:val="007C3A99"/>
    <w:rsid w:val="007E1C47"/>
    <w:rsid w:val="007E337A"/>
    <w:rsid w:val="007E5C70"/>
    <w:rsid w:val="007F2FF5"/>
    <w:rsid w:val="007F3F08"/>
    <w:rsid w:val="007F702C"/>
    <w:rsid w:val="00804CC6"/>
    <w:rsid w:val="00817190"/>
    <w:rsid w:val="008259D3"/>
    <w:rsid w:val="008260E2"/>
    <w:rsid w:val="008322BD"/>
    <w:rsid w:val="00834F73"/>
    <w:rsid w:val="00835F7E"/>
    <w:rsid w:val="00852AF9"/>
    <w:rsid w:val="00863BBA"/>
    <w:rsid w:val="00864C8A"/>
    <w:rsid w:val="00864CF8"/>
    <w:rsid w:val="00874914"/>
    <w:rsid w:val="00880602"/>
    <w:rsid w:val="00891422"/>
    <w:rsid w:val="00892E1A"/>
    <w:rsid w:val="008A7FE7"/>
    <w:rsid w:val="008B660A"/>
    <w:rsid w:val="008C01DA"/>
    <w:rsid w:val="008F2674"/>
    <w:rsid w:val="008F779E"/>
    <w:rsid w:val="008F78E9"/>
    <w:rsid w:val="00902CE0"/>
    <w:rsid w:val="009179F9"/>
    <w:rsid w:val="00917C7A"/>
    <w:rsid w:val="009246E6"/>
    <w:rsid w:val="00933E5E"/>
    <w:rsid w:val="00935218"/>
    <w:rsid w:val="00937C52"/>
    <w:rsid w:val="009403F3"/>
    <w:rsid w:val="009555B7"/>
    <w:rsid w:val="009567AA"/>
    <w:rsid w:val="009602C9"/>
    <w:rsid w:val="009604C9"/>
    <w:rsid w:val="00967374"/>
    <w:rsid w:val="00967CD8"/>
    <w:rsid w:val="009904EF"/>
    <w:rsid w:val="009A130A"/>
    <w:rsid w:val="009A343A"/>
    <w:rsid w:val="009A49DE"/>
    <w:rsid w:val="009A7EF8"/>
    <w:rsid w:val="009B2F23"/>
    <w:rsid w:val="009B57B3"/>
    <w:rsid w:val="009D2920"/>
    <w:rsid w:val="009D5AEB"/>
    <w:rsid w:val="009E41B8"/>
    <w:rsid w:val="009F0E33"/>
    <w:rsid w:val="00A1217C"/>
    <w:rsid w:val="00A149DF"/>
    <w:rsid w:val="00A1755C"/>
    <w:rsid w:val="00A17FAA"/>
    <w:rsid w:val="00A21B90"/>
    <w:rsid w:val="00A22AAC"/>
    <w:rsid w:val="00A3744F"/>
    <w:rsid w:val="00A41805"/>
    <w:rsid w:val="00A465EF"/>
    <w:rsid w:val="00A51882"/>
    <w:rsid w:val="00A52708"/>
    <w:rsid w:val="00A52AFB"/>
    <w:rsid w:val="00A548CB"/>
    <w:rsid w:val="00A5521C"/>
    <w:rsid w:val="00A643E7"/>
    <w:rsid w:val="00A70C2D"/>
    <w:rsid w:val="00A735D6"/>
    <w:rsid w:val="00A73C38"/>
    <w:rsid w:val="00A80C53"/>
    <w:rsid w:val="00A921A7"/>
    <w:rsid w:val="00AB670D"/>
    <w:rsid w:val="00AD7D7A"/>
    <w:rsid w:val="00AE42AA"/>
    <w:rsid w:val="00AF03C5"/>
    <w:rsid w:val="00B000D8"/>
    <w:rsid w:val="00B00F75"/>
    <w:rsid w:val="00B0255A"/>
    <w:rsid w:val="00B145B6"/>
    <w:rsid w:val="00B279EB"/>
    <w:rsid w:val="00B406E8"/>
    <w:rsid w:val="00B46894"/>
    <w:rsid w:val="00B50C81"/>
    <w:rsid w:val="00B557F8"/>
    <w:rsid w:val="00B716C1"/>
    <w:rsid w:val="00B815FC"/>
    <w:rsid w:val="00B93FBC"/>
    <w:rsid w:val="00BA7DA0"/>
    <w:rsid w:val="00BB2EE4"/>
    <w:rsid w:val="00BB40AB"/>
    <w:rsid w:val="00BB4C92"/>
    <w:rsid w:val="00BC2032"/>
    <w:rsid w:val="00BC2108"/>
    <w:rsid w:val="00BD0E9E"/>
    <w:rsid w:val="00BD1BEC"/>
    <w:rsid w:val="00BD32FF"/>
    <w:rsid w:val="00BE44F4"/>
    <w:rsid w:val="00BE49F4"/>
    <w:rsid w:val="00BE6839"/>
    <w:rsid w:val="00BF0732"/>
    <w:rsid w:val="00BF6FE9"/>
    <w:rsid w:val="00C02092"/>
    <w:rsid w:val="00C03595"/>
    <w:rsid w:val="00C13236"/>
    <w:rsid w:val="00C23150"/>
    <w:rsid w:val="00C24D91"/>
    <w:rsid w:val="00C26DB2"/>
    <w:rsid w:val="00C4344F"/>
    <w:rsid w:val="00C467B8"/>
    <w:rsid w:val="00C52B07"/>
    <w:rsid w:val="00C53F14"/>
    <w:rsid w:val="00C600CF"/>
    <w:rsid w:val="00C6084F"/>
    <w:rsid w:val="00C62A66"/>
    <w:rsid w:val="00C66359"/>
    <w:rsid w:val="00C671CF"/>
    <w:rsid w:val="00C71458"/>
    <w:rsid w:val="00C77613"/>
    <w:rsid w:val="00C828E7"/>
    <w:rsid w:val="00C86719"/>
    <w:rsid w:val="00C9151B"/>
    <w:rsid w:val="00C921DD"/>
    <w:rsid w:val="00C927BF"/>
    <w:rsid w:val="00CA6391"/>
    <w:rsid w:val="00CD3920"/>
    <w:rsid w:val="00CE036E"/>
    <w:rsid w:val="00CE3171"/>
    <w:rsid w:val="00CE36AD"/>
    <w:rsid w:val="00CF1601"/>
    <w:rsid w:val="00CF6E33"/>
    <w:rsid w:val="00D0172F"/>
    <w:rsid w:val="00D01E33"/>
    <w:rsid w:val="00D03767"/>
    <w:rsid w:val="00D068A7"/>
    <w:rsid w:val="00D17476"/>
    <w:rsid w:val="00D17B0E"/>
    <w:rsid w:val="00D21376"/>
    <w:rsid w:val="00D32086"/>
    <w:rsid w:val="00D3518B"/>
    <w:rsid w:val="00D37A3F"/>
    <w:rsid w:val="00D4431D"/>
    <w:rsid w:val="00D4667A"/>
    <w:rsid w:val="00D63A1C"/>
    <w:rsid w:val="00D70042"/>
    <w:rsid w:val="00D7427F"/>
    <w:rsid w:val="00D7516F"/>
    <w:rsid w:val="00D76D5E"/>
    <w:rsid w:val="00D95F8E"/>
    <w:rsid w:val="00D9674F"/>
    <w:rsid w:val="00DA0590"/>
    <w:rsid w:val="00DC1739"/>
    <w:rsid w:val="00DC1788"/>
    <w:rsid w:val="00DE12B0"/>
    <w:rsid w:val="00DE319C"/>
    <w:rsid w:val="00DF0CA8"/>
    <w:rsid w:val="00DF2B48"/>
    <w:rsid w:val="00DF49A7"/>
    <w:rsid w:val="00E03440"/>
    <w:rsid w:val="00E07EE2"/>
    <w:rsid w:val="00E07FD1"/>
    <w:rsid w:val="00E10F78"/>
    <w:rsid w:val="00E13ADD"/>
    <w:rsid w:val="00E1495A"/>
    <w:rsid w:val="00E23B07"/>
    <w:rsid w:val="00E24573"/>
    <w:rsid w:val="00E25E1E"/>
    <w:rsid w:val="00E27EE7"/>
    <w:rsid w:val="00E35404"/>
    <w:rsid w:val="00E45109"/>
    <w:rsid w:val="00E47B7A"/>
    <w:rsid w:val="00E51832"/>
    <w:rsid w:val="00E56A44"/>
    <w:rsid w:val="00E60269"/>
    <w:rsid w:val="00E64ABD"/>
    <w:rsid w:val="00E749E2"/>
    <w:rsid w:val="00E75B97"/>
    <w:rsid w:val="00E91DA8"/>
    <w:rsid w:val="00E97830"/>
    <w:rsid w:val="00EB0FCB"/>
    <w:rsid w:val="00EB6A68"/>
    <w:rsid w:val="00EC23BC"/>
    <w:rsid w:val="00EE0830"/>
    <w:rsid w:val="00EE5513"/>
    <w:rsid w:val="00EE6CB8"/>
    <w:rsid w:val="00EF0683"/>
    <w:rsid w:val="00F0070C"/>
    <w:rsid w:val="00F00EB7"/>
    <w:rsid w:val="00F0485B"/>
    <w:rsid w:val="00F12D31"/>
    <w:rsid w:val="00F36AB6"/>
    <w:rsid w:val="00F37A09"/>
    <w:rsid w:val="00F409CE"/>
    <w:rsid w:val="00F41E78"/>
    <w:rsid w:val="00F4379D"/>
    <w:rsid w:val="00F46947"/>
    <w:rsid w:val="00F50D2D"/>
    <w:rsid w:val="00F56C8B"/>
    <w:rsid w:val="00F62639"/>
    <w:rsid w:val="00F66810"/>
    <w:rsid w:val="00F84DF4"/>
    <w:rsid w:val="00F85C97"/>
    <w:rsid w:val="00F91636"/>
    <w:rsid w:val="00FA4902"/>
    <w:rsid w:val="00FA6E1B"/>
    <w:rsid w:val="00FB37D2"/>
    <w:rsid w:val="00FB4086"/>
    <w:rsid w:val="00FC4EFB"/>
    <w:rsid w:val="00FD068D"/>
    <w:rsid w:val="00FD4B27"/>
    <w:rsid w:val="00FD4F28"/>
    <w:rsid w:val="00FE5695"/>
    <w:rsid w:val="00FE6784"/>
    <w:rsid w:val="00FE7A8B"/>
    <w:rsid w:val="00FF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7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nowrap">
    <w:name w:val="nowrap"/>
    <w:basedOn w:val="DefaultParagraphFont"/>
    <w:rsid w:val="00B0255A"/>
  </w:style>
  <w:style w:type="paragraph" w:customStyle="1" w:styleId="shorttitle">
    <w:name w:val="shorttitle"/>
    <w:basedOn w:val="Normal"/>
    <w:rsid w:val="00FB4086"/>
    <w:rPr>
      <w:rFonts w:ascii="inherit" w:hAnsi="inherit"/>
      <w:szCs w:val="24"/>
      <w:lang w:val="en-US" w:eastAsia="en-US"/>
    </w:rPr>
  </w:style>
  <w:style w:type="paragraph" w:customStyle="1" w:styleId="SCCLsocOtherPartyRoleSeparator">
    <w:name w:val="SCC.Lsoc.OtherPartyRoleSeparator"/>
    <w:basedOn w:val="Normal"/>
    <w:next w:val="Normal"/>
    <w:link w:val="SCCLsocOtherPartyRoleSeparatorChar"/>
    <w:rsid w:val="00132FB1"/>
    <w:pPr>
      <w:spacing w:after="480"/>
    </w:pPr>
    <w:rPr>
      <w:rFonts w:eastAsiaTheme="minorHAnsi" w:cstheme="minorBidi"/>
      <w:szCs w:val="22"/>
      <w:lang w:eastAsia="en-US"/>
    </w:rPr>
  </w:style>
  <w:style w:type="paragraph" w:customStyle="1" w:styleId="SCCCoram">
    <w:name w:val="SCC.Coram"/>
    <w:basedOn w:val="Normal"/>
    <w:next w:val="Normal"/>
    <w:link w:val="SCCCoramChar"/>
    <w:rsid w:val="00132FB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32FB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32FB1"/>
    <w:rPr>
      <w:rFonts w:eastAsiaTheme="minorHAnsi" w:cstheme="minorBidi"/>
      <w:sz w:val="24"/>
      <w:szCs w:val="22"/>
      <w:lang w:eastAsia="en-US"/>
    </w:rPr>
  </w:style>
  <w:style w:type="character" w:customStyle="1" w:styleId="SCCBanSummaryChar">
    <w:name w:val="SCC.BanSummary Char"/>
    <w:basedOn w:val="DefaultParagraphFont"/>
    <w:link w:val="SCCBanSummary"/>
    <w:rsid w:val="00132FB1"/>
    <w:rPr>
      <w:b/>
      <w:sz w:val="24"/>
    </w:rPr>
  </w:style>
  <w:style w:type="table" w:styleId="TableGrid">
    <w:name w:val="Table Grid"/>
    <w:basedOn w:val="TableNormal"/>
    <w:uiPriority w:val="59"/>
    <w:rsid w:val="00132FB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32FB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32FB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32FB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132FB1"/>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32FB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32FB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32FB1"/>
    <w:pPr>
      <w:numPr>
        <w:ilvl w:val="2"/>
      </w:numPr>
      <w:outlineLvl w:val="2"/>
    </w:pPr>
  </w:style>
  <w:style w:type="paragraph" w:customStyle="1" w:styleId="Title4LevelTitre4Niveau">
    <w:name w:val="Title 4 Level / Titre 4 Niveau"/>
    <w:basedOn w:val="Title3LevelTitre3Niveau"/>
    <w:next w:val="ParaNoNdepar-AltN"/>
    <w:uiPriority w:val="4"/>
    <w:qFormat/>
    <w:rsid w:val="00132FB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32FB1"/>
    <w:pPr>
      <w:numPr>
        <w:ilvl w:val="4"/>
      </w:numPr>
      <w:outlineLvl w:val="4"/>
    </w:pPr>
  </w:style>
  <w:style w:type="paragraph" w:styleId="TOC1">
    <w:name w:val="toc 1"/>
    <w:basedOn w:val="Normal"/>
    <w:next w:val="Normal"/>
    <w:autoRedefine/>
    <w:uiPriority w:val="39"/>
    <w:unhideWhenUsed/>
    <w:rsid w:val="00132FB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32FB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32FB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32FB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32FB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32FB1"/>
    <w:pPr>
      <w:tabs>
        <w:tab w:val="left" w:pos="2160"/>
        <w:tab w:val="right" w:leader="dot" w:pos="8270"/>
      </w:tabs>
      <w:spacing w:after="100"/>
      <w:ind w:left="1800"/>
    </w:pPr>
    <w:rPr>
      <w:noProof/>
    </w:rPr>
  </w:style>
  <w:style w:type="table" w:customStyle="1" w:styleId="TableGrid1">
    <w:name w:val="Table Grid1"/>
    <w:basedOn w:val="TableNormal"/>
    <w:uiPriority w:val="59"/>
    <w:rsid w:val="00132FB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32FB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32FB1"/>
    <w:pPr>
      <w:numPr>
        <w:ilvl w:val="5"/>
      </w:numPr>
      <w:outlineLvl w:val="5"/>
    </w:pPr>
    <w:rPr>
      <w:i/>
      <w:u w:val="none"/>
    </w:rPr>
  </w:style>
  <w:style w:type="paragraph" w:styleId="FootnoteText">
    <w:name w:val="footnote text"/>
    <w:basedOn w:val="Normal"/>
    <w:link w:val="FootnoteTextChar"/>
    <w:uiPriority w:val="99"/>
    <w:unhideWhenUsed/>
    <w:rsid w:val="00132FB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32FB1"/>
  </w:style>
  <w:style w:type="character" w:styleId="FootnoteReference">
    <w:name w:val="footnote reference"/>
    <w:basedOn w:val="DefaultParagraphFont"/>
    <w:uiPriority w:val="99"/>
    <w:semiHidden/>
    <w:unhideWhenUsed/>
    <w:rsid w:val="00132FB1"/>
    <w:rPr>
      <w:vertAlign w:val="superscript"/>
    </w:rPr>
  </w:style>
  <w:style w:type="character" w:customStyle="1" w:styleId="ParaNoNdepar-AltNChar">
    <w:name w:val="Para. No. / Nº de par. - Alt N Char"/>
    <w:basedOn w:val="DefaultParagraphFont"/>
    <w:link w:val="ParaNoNdepar-AltN"/>
    <w:locked/>
    <w:rsid w:val="00132FB1"/>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132FB1"/>
    <w:rPr>
      <w:sz w:val="16"/>
      <w:szCs w:val="16"/>
    </w:rPr>
  </w:style>
  <w:style w:type="paragraph" w:styleId="CommentText">
    <w:name w:val="annotation text"/>
    <w:basedOn w:val="Normal"/>
    <w:link w:val="CommentTextChar"/>
    <w:uiPriority w:val="99"/>
    <w:semiHidden/>
    <w:unhideWhenUsed/>
    <w:rsid w:val="00132FB1"/>
    <w:rPr>
      <w:sz w:val="20"/>
    </w:rPr>
  </w:style>
  <w:style w:type="character" w:customStyle="1" w:styleId="CommentTextChar">
    <w:name w:val="Comment Text Char"/>
    <w:basedOn w:val="DefaultParagraphFont"/>
    <w:link w:val="CommentText"/>
    <w:uiPriority w:val="99"/>
    <w:semiHidden/>
    <w:rsid w:val="00132FB1"/>
  </w:style>
  <w:style w:type="paragraph" w:styleId="CommentSubject">
    <w:name w:val="annotation subject"/>
    <w:basedOn w:val="CommentText"/>
    <w:next w:val="CommentText"/>
    <w:link w:val="CommentSubjectChar"/>
    <w:uiPriority w:val="99"/>
    <w:semiHidden/>
    <w:unhideWhenUsed/>
    <w:rsid w:val="00132FB1"/>
    <w:rPr>
      <w:b/>
      <w:bCs/>
    </w:rPr>
  </w:style>
  <w:style w:type="character" w:customStyle="1" w:styleId="CommentSubjectChar">
    <w:name w:val="Comment Subject Char"/>
    <w:basedOn w:val="CommentTextChar"/>
    <w:link w:val="CommentSubject"/>
    <w:uiPriority w:val="99"/>
    <w:semiHidden/>
    <w:rsid w:val="00132FB1"/>
    <w:rPr>
      <w:b/>
      <w:bCs/>
    </w:rPr>
  </w:style>
  <w:style w:type="table" w:customStyle="1" w:styleId="TableGrid2">
    <w:name w:val="Table Grid2"/>
    <w:basedOn w:val="TableNormal"/>
    <w:next w:val="TableGrid"/>
    <w:uiPriority w:val="59"/>
    <w:rsid w:val="00132FB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10F78"/>
    <w:rPr>
      <w:color w:val="0000FF" w:themeColor="hyperlink"/>
      <w:u w:val="single"/>
    </w:rPr>
  </w:style>
  <w:style w:type="character" w:customStyle="1" w:styleId="SCCLsocPartyRoleChar">
    <w:name w:val="SCC.Lsoc.PartyRole Char"/>
    <w:basedOn w:val="DefaultParagraphFont"/>
    <w:rsid w:val="00466F08"/>
    <w:rPr>
      <w:lang w:val="fr-CA"/>
    </w:rPr>
  </w:style>
  <w:style w:type="paragraph" w:customStyle="1" w:styleId="SCCLsocPrefix">
    <w:name w:val="SCC.Lsoc.Prefix"/>
    <w:basedOn w:val="Normal"/>
    <w:next w:val="Normal"/>
    <w:link w:val="SCCLsocPrefixChar"/>
    <w:rsid w:val="00466F0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66F0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E0BF-A821-4B73-8569-D92074FD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12692</Words>
  <Characters>67540</Characters>
  <Application>Microsoft Office Word</Application>
  <DocSecurity>0</DocSecurity>
  <Lines>562</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2017-11-24T16:12:00Z</dcterms:created>
  <dcterms:modified xsi:type="dcterms:W3CDTF">2018-02-26T19:19:00Z</dcterms:modified>
</cp:coreProperties>
</file>