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6C" w:rsidRDefault="0092196C" w:rsidP="0092196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9pt" o:ole="">
            <v:imagedata r:id="rId7" o:title=""/>
          </v:shape>
          <o:OLEObject Type="Embed" ProgID="Presentations.Drawing.13" ShapeID="_x0000_i1025" DrawAspect="Content" ObjectID="_1581231283" r:id="rId8"/>
        </w:object>
      </w:r>
      <w:r>
        <w:t xml:space="preserve"> </w:t>
      </w:r>
      <w:r>
        <w:ptab w:relativeTo="margin" w:alignment="right" w:leader="none"/>
      </w:r>
    </w:p>
    <w:p w:rsidR="0092196C" w:rsidRDefault="0092196C" w:rsidP="0092196C">
      <w:pPr>
        <w:pStyle w:val="Header"/>
      </w:pPr>
    </w:p>
    <w:p w:rsidR="0092196C" w:rsidRPr="001E12E2" w:rsidRDefault="0092196C" w:rsidP="0092196C">
      <w:pPr>
        <w:jc w:val="center"/>
        <w:rPr>
          <w:b/>
        </w:rPr>
      </w:pPr>
      <w:r w:rsidRPr="001E12E2">
        <w:rPr>
          <w:b/>
        </w:rPr>
        <w:t>COUR SUPRÊME DU CANADA</w:t>
      </w:r>
    </w:p>
    <w:p w:rsidR="0092196C" w:rsidRDefault="0092196C" w:rsidP="0092196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92196C" w:rsidRPr="001E12E2" w:rsidTr="004360F4">
        <w:trPr>
          <w:cantSplit/>
        </w:trPr>
        <w:tc>
          <w:tcPr>
            <w:tcW w:w="5220" w:type="dxa"/>
          </w:tcPr>
          <w:p w:rsidR="0092196C" w:rsidRPr="0092196C" w:rsidRDefault="0092196C" w:rsidP="0092196C">
            <w:pPr>
              <w:rPr>
                <w:lang w:val="fr-CA"/>
              </w:rPr>
            </w:pPr>
            <w:r w:rsidRPr="0092196C">
              <w:rPr>
                <w:b/>
                <w:smallCaps/>
                <w:lang w:val="fr-CA"/>
              </w:rPr>
              <w:t>Référence :</w:t>
            </w:r>
            <w:r w:rsidRPr="0092196C">
              <w:rPr>
                <w:lang w:val="fr-CA"/>
              </w:rPr>
              <w:t xml:space="preserve"> Deloitte &amp; Touche </w:t>
            </w:r>
            <w:r w:rsidRPr="0092196C">
              <w:rPr>
                <w:i/>
                <w:lang w:val="fr-CA"/>
              </w:rPr>
              <w:t>c.</w:t>
            </w:r>
            <w:r w:rsidRPr="0092196C">
              <w:rPr>
                <w:lang w:val="fr-CA"/>
              </w:rPr>
              <w:t xml:space="preserve"> Livent Inc. (Séquestre de), 2017 CSC 63</w:t>
            </w:r>
            <w:r w:rsidRPr="0092196C">
              <w:rPr>
                <w:lang w:val="fr-CA"/>
              </w:rPr>
              <w:t xml:space="preserve">, </w:t>
            </w:r>
            <w:r>
              <w:rPr>
                <w:lang w:val="fr-CA"/>
              </w:rPr>
              <w:t>[2017] 2 R.C.S. 855</w:t>
            </w:r>
          </w:p>
        </w:tc>
        <w:tc>
          <w:tcPr>
            <w:tcW w:w="4356" w:type="dxa"/>
          </w:tcPr>
          <w:p w:rsidR="0092196C" w:rsidRPr="0092196C" w:rsidRDefault="0092196C" w:rsidP="004360F4">
            <w:pPr>
              <w:rPr>
                <w:lang w:val="fr-CA"/>
              </w:rPr>
            </w:pPr>
            <w:r w:rsidRPr="0092196C">
              <w:rPr>
                <w:b/>
                <w:smallCaps/>
                <w:lang w:val="fr-CA"/>
              </w:rPr>
              <w:t>Appel entendu :</w:t>
            </w:r>
            <w:r w:rsidRPr="0092196C">
              <w:rPr>
                <w:lang w:val="fr-CA"/>
              </w:rPr>
              <w:t xml:space="preserve"> 15 février 2017</w:t>
            </w:r>
          </w:p>
          <w:p w:rsidR="0092196C" w:rsidRPr="0092196C" w:rsidRDefault="0092196C" w:rsidP="004360F4">
            <w:pPr>
              <w:rPr>
                <w:lang w:val="fr-CA"/>
              </w:rPr>
            </w:pPr>
            <w:r w:rsidRPr="0092196C">
              <w:rPr>
                <w:b/>
                <w:smallCaps/>
                <w:lang w:val="fr-CA"/>
              </w:rPr>
              <w:t>Jugement rendu :</w:t>
            </w:r>
            <w:r w:rsidRPr="0092196C">
              <w:rPr>
                <w:lang w:val="fr-CA"/>
              </w:rPr>
              <w:t xml:space="preserve"> 20 décembre 2017</w:t>
            </w:r>
          </w:p>
          <w:p w:rsidR="0092196C" w:rsidRPr="001E12E2" w:rsidRDefault="0092196C" w:rsidP="004360F4">
            <w:r w:rsidRPr="001E12E2">
              <w:rPr>
                <w:b/>
                <w:smallCaps/>
              </w:rPr>
              <w:t>Do</w:t>
            </w:r>
            <w:r>
              <w:rPr>
                <w:b/>
                <w:smallCaps/>
              </w:rPr>
              <w:t>ssier :</w:t>
            </w:r>
            <w:r w:rsidRPr="001E12E2">
              <w:t xml:space="preserve"> </w:t>
            </w:r>
            <w:r>
              <w:t>36875</w:t>
            </w:r>
          </w:p>
        </w:tc>
      </w:tr>
    </w:tbl>
    <w:p w:rsidR="0092196C" w:rsidRPr="001E12E2" w:rsidRDefault="0092196C" w:rsidP="0092196C"/>
    <w:p w:rsidR="0092196C" w:rsidRDefault="0092196C" w:rsidP="0092196C">
      <w:pPr>
        <w:pStyle w:val="SCCLsocPrefix"/>
      </w:pPr>
      <w:r>
        <w:t>Entre :</w:t>
      </w:r>
    </w:p>
    <w:p w:rsidR="0092196C" w:rsidRPr="00F27D64" w:rsidRDefault="0092196C" w:rsidP="0092196C"/>
    <w:p w:rsidR="0092196C" w:rsidRPr="0092196C" w:rsidRDefault="0092196C" w:rsidP="0092196C">
      <w:pPr>
        <w:pStyle w:val="SCCLsocParty"/>
        <w:jc w:val="center"/>
        <w:rPr>
          <w:lang w:val="fr-CA"/>
        </w:rPr>
      </w:pPr>
      <w:r w:rsidRPr="0092196C">
        <w:rPr>
          <w:lang w:val="fr-CA"/>
        </w:rPr>
        <w:t>Deloitte &amp; Touche (prorogée depuis sous le nom de Deloitte S.E.N.C.R.L./s.r.l.)</w:t>
      </w:r>
    </w:p>
    <w:p w:rsidR="0092196C" w:rsidRPr="0092196C" w:rsidRDefault="0092196C" w:rsidP="0092196C">
      <w:pPr>
        <w:jc w:val="center"/>
        <w:rPr>
          <w:lang w:val="fr-CA"/>
        </w:rPr>
      </w:pPr>
      <w:r w:rsidRPr="0092196C">
        <w:rPr>
          <w:lang w:val="fr-CA"/>
        </w:rPr>
        <w:t>Appelante</w:t>
      </w:r>
    </w:p>
    <w:p w:rsidR="0092196C" w:rsidRPr="0092196C" w:rsidRDefault="0092196C" w:rsidP="0092196C">
      <w:pPr>
        <w:jc w:val="center"/>
        <w:rPr>
          <w:lang w:val="fr-CA"/>
        </w:rPr>
      </w:pPr>
    </w:p>
    <w:p w:rsidR="0092196C" w:rsidRPr="0092196C" w:rsidRDefault="0092196C" w:rsidP="0092196C">
      <w:pPr>
        <w:pStyle w:val="SCCLsocVersus"/>
        <w:spacing w:after="0"/>
        <w:jc w:val="center"/>
        <w:rPr>
          <w:i w:val="0"/>
          <w:lang w:val="fr-CA"/>
        </w:rPr>
      </w:pPr>
      <w:r w:rsidRPr="0092196C">
        <w:rPr>
          <w:i w:val="0"/>
          <w:lang w:val="fr-CA"/>
        </w:rPr>
        <w:t>et</w:t>
      </w:r>
    </w:p>
    <w:p w:rsidR="0092196C" w:rsidRPr="0092196C" w:rsidRDefault="0092196C" w:rsidP="0092196C">
      <w:pPr>
        <w:jc w:val="center"/>
        <w:rPr>
          <w:lang w:val="fr-CA"/>
        </w:rPr>
      </w:pPr>
    </w:p>
    <w:p w:rsidR="0092196C" w:rsidRPr="0092196C" w:rsidRDefault="0092196C" w:rsidP="0092196C">
      <w:pPr>
        <w:pStyle w:val="SCCLsocParty"/>
        <w:jc w:val="center"/>
        <w:rPr>
          <w:lang w:val="fr-CA"/>
        </w:rPr>
      </w:pPr>
      <w:r w:rsidRPr="0092196C">
        <w:rPr>
          <w:lang w:val="fr-CA"/>
        </w:rPr>
        <w:t>Livent Inc., par son séquestre et administrateur spécial Roman Doroniuk</w:t>
      </w:r>
    </w:p>
    <w:p w:rsidR="0092196C" w:rsidRPr="0092196C" w:rsidRDefault="0092196C" w:rsidP="0092196C">
      <w:pPr>
        <w:jc w:val="center"/>
        <w:rPr>
          <w:lang w:val="fr-CA"/>
        </w:rPr>
      </w:pPr>
      <w:bookmarkStart w:id="0" w:name="_GoBack"/>
      <w:bookmarkEnd w:id="0"/>
      <w:r w:rsidRPr="0092196C">
        <w:rPr>
          <w:lang w:val="fr-CA"/>
        </w:rPr>
        <w:t>Intimée</w:t>
      </w:r>
    </w:p>
    <w:p w:rsidR="0092196C" w:rsidRPr="0092196C" w:rsidRDefault="0092196C" w:rsidP="0092196C">
      <w:pPr>
        <w:jc w:val="center"/>
        <w:rPr>
          <w:lang w:val="fr-CA"/>
        </w:rPr>
      </w:pPr>
    </w:p>
    <w:p w:rsidR="0092196C" w:rsidRPr="0092196C" w:rsidRDefault="0092196C" w:rsidP="0092196C">
      <w:pPr>
        <w:pStyle w:val="SCCLsocOtherPartySeparator"/>
        <w:spacing w:after="0"/>
        <w:jc w:val="center"/>
        <w:rPr>
          <w:lang w:val="fr-CA"/>
        </w:rPr>
      </w:pPr>
      <w:r w:rsidRPr="0092196C">
        <w:rPr>
          <w:lang w:val="fr-CA"/>
        </w:rPr>
        <w:t>- et -</w:t>
      </w:r>
    </w:p>
    <w:p w:rsidR="0092196C" w:rsidRPr="0092196C" w:rsidRDefault="0092196C" w:rsidP="0092196C">
      <w:pPr>
        <w:jc w:val="center"/>
        <w:rPr>
          <w:lang w:val="fr-CA"/>
        </w:rPr>
      </w:pPr>
    </w:p>
    <w:p w:rsidR="0092196C" w:rsidRPr="0092196C" w:rsidRDefault="0092196C" w:rsidP="0092196C">
      <w:pPr>
        <w:pStyle w:val="SCCLsocParty"/>
        <w:jc w:val="center"/>
        <w:rPr>
          <w:lang w:val="fr-CA"/>
        </w:rPr>
      </w:pPr>
      <w:r w:rsidRPr="0092196C">
        <w:rPr>
          <w:lang w:val="fr-CA"/>
        </w:rPr>
        <w:t>Coalition canadienne pour une bonne gouvernance et Comptables professionnels agréés du Canada</w:t>
      </w:r>
    </w:p>
    <w:p w:rsidR="0092196C" w:rsidRDefault="0092196C" w:rsidP="0092196C">
      <w:pPr>
        <w:jc w:val="center"/>
      </w:pPr>
      <w:r>
        <w:t>Intervenantes</w:t>
      </w:r>
    </w:p>
    <w:p w:rsidR="0092196C" w:rsidRDefault="0092196C" w:rsidP="0092196C"/>
    <w:p w:rsidR="0092196C" w:rsidRPr="001E12E2" w:rsidRDefault="0092196C" w:rsidP="0092196C"/>
    <w:p w:rsidR="0092196C" w:rsidRPr="001E12E2" w:rsidRDefault="0092196C" w:rsidP="0092196C">
      <w:pPr>
        <w:jc w:val="center"/>
        <w:rPr>
          <w:b/>
          <w:smallCaps/>
        </w:rPr>
      </w:pPr>
      <w:r>
        <w:rPr>
          <w:b/>
          <w:smallCaps/>
        </w:rPr>
        <w:t>Traduction française o</w:t>
      </w:r>
      <w:r w:rsidRPr="001E12E2">
        <w:rPr>
          <w:b/>
          <w:smallCaps/>
        </w:rPr>
        <w:t>ffici</w:t>
      </w:r>
      <w:r>
        <w:rPr>
          <w:b/>
          <w:smallCaps/>
        </w:rPr>
        <w:t>elle</w:t>
      </w:r>
    </w:p>
    <w:p w:rsidR="0092196C" w:rsidRPr="001E12E2" w:rsidRDefault="0092196C" w:rsidP="0092196C"/>
    <w:p w:rsidR="0092196C" w:rsidRPr="0092196C" w:rsidRDefault="0092196C" w:rsidP="0092196C">
      <w:pPr>
        <w:rPr>
          <w:lang w:val="fr-CA"/>
        </w:rPr>
      </w:pPr>
      <w:r w:rsidRPr="0092196C">
        <w:rPr>
          <w:b/>
          <w:smallCaps/>
          <w:lang w:val="fr-CA"/>
        </w:rPr>
        <w:t>Coram :</w:t>
      </w:r>
      <w:r w:rsidRPr="0092196C">
        <w:rPr>
          <w:lang w:val="fr-CA"/>
        </w:rPr>
        <w:t xml:space="preserve"> La juge en chef McLachlin et les juges Karakatsanis, Wagner, Gascon, Côté, Brown et Rowe</w:t>
      </w:r>
    </w:p>
    <w:p w:rsidR="0092196C" w:rsidRPr="0092196C" w:rsidRDefault="0092196C" w:rsidP="0092196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2196C" w:rsidRPr="0092196C" w:rsidTr="004360F4">
        <w:trPr>
          <w:cantSplit/>
        </w:trPr>
        <w:tc>
          <w:tcPr>
            <w:tcW w:w="3618" w:type="dxa"/>
          </w:tcPr>
          <w:p w:rsidR="0092196C" w:rsidRPr="0092196C" w:rsidRDefault="0092196C" w:rsidP="004360F4">
            <w:pPr>
              <w:rPr>
                <w:b/>
                <w:smallCaps/>
                <w:lang w:val="fr-CA"/>
              </w:rPr>
            </w:pPr>
            <w:r w:rsidRPr="0092196C">
              <w:rPr>
                <w:b/>
                <w:smallCaps/>
                <w:lang w:val="fr-CA"/>
              </w:rPr>
              <w:t>Motifs de jugement conjoints :</w:t>
            </w:r>
          </w:p>
          <w:p w:rsidR="0092196C" w:rsidRPr="0092196C" w:rsidRDefault="0092196C" w:rsidP="004360F4">
            <w:pPr>
              <w:rPr>
                <w:lang w:val="fr-CA"/>
              </w:rPr>
            </w:pPr>
            <w:r w:rsidRPr="0092196C">
              <w:rPr>
                <w:lang w:val="fr-CA"/>
              </w:rPr>
              <w:t>(par. 1 à 115)</w:t>
            </w:r>
          </w:p>
        </w:tc>
        <w:tc>
          <w:tcPr>
            <w:tcW w:w="5958" w:type="dxa"/>
          </w:tcPr>
          <w:p w:rsidR="0092196C" w:rsidRPr="0092196C" w:rsidRDefault="0092196C" w:rsidP="004360F4">
            <w:pPr>
              <w:rPr>
                <w:lang w:val="fr-CA"/>
              </w:rPr>
            </w:pPr>
            <w:r w:rsidRPr="0092196C">
              <w:rPr>
                <w:lang w:val="fr-CA"/>
              </w:rPr>
              <w:t>Les juges Gascon et Brown (avec l’accord des juges Karakatsanis et Rowe)</w:t>
            </w:r>
          </w:p>
        </w:tc>
      </w:tr>
    </w:tbl>
    <w:p w:rsidR="0092196C" w:rsidRPr="0092196C" w:rsidRDefault="0092196C" w:rsidP="0092196C">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2196C" w:rsidRPr="0092196C" w:rsidTr="004360F4">
        <w:trPr>
          <w:cantSplit/>
        </w:trPr>
        <w:tc>
          <w:tcPr>
            <w:tcW w:w="3618" w:type="dxa"/>
          </w:tcPr>
          <w:p w:rsidR="0092196C" w:rsidRPr="0092196C" w:rsidRDefault="0092196C" w:rsidP="004360F4">
            <w:pPr>
              <w:rPr>
                <w:b/>
                <w:smallCaps/>
                <w:lang w:val="fr-CA"/>
              </w:rPr>
            </w:pPr>
            <w:r w:rsidRPr="0092196C">
              <w:rPr>
                <w:b/>
                <w:smallCaps/>
                <w:lang w:val="fr-CA"/>
              </w:rPr>
              <w:t>Motifs dissidents en partie :</w:t>
            </w:r>
          </w:p>
          <w:p w:rsidR="0092196C" w:rsidRPr="0092196C" w:rsidRDefault="0092196C" w:rsidP="004360F4">
            <w:pPr>
              <w:rPr>
                <w:lang w:val="fr-CA"/>
              </w:rPr>
            </w:pPr>
            <w:r w:rsidRPr="0092196C">
              <w:rPr>
                <w:lang w:val="fr-CA"/>
              </w:rPr>
              <w:t>(par. 116 à 178)</w:t>
            </w:r>
          </w:p>
        </w:tc>
        <w:tc>
          <w:tcPr>
            <w:tcW w:w="5958" w:type="dxa"/>
          </w:tcPr>
          <w:p w:rsidR="0092196C" w:rsidRPr="0092196C" w:rsidRDefault="0092196C" w:rsidP="004360F4">
            <w:pPr>
              <w:rPr>
                <w:lang w:val="fr-CA"/>
              </w:rPr>
            </w:pPr>
            <w:r w:rsidRPr="0092196C">
              <w:rPr>
                <w:lang w:val="fr-CA"/>
              </w:rPr>
              <w:t>La juge en chef McLachlin (avec l’accord des juges Wagner et Côté)</w:t>
            </w:r>
          </w:p>
        </w:tc>
      </w:tr>
    </w:tbl>
    <w:p w:rsidR="0092196C" w:rsidRPr="0092196C" w:rsidRDefault="0092196C" w:rsidP="0092196C">
      <w:pPr>
        <w:rPr>
          <w:lang w:val="fr-CA"/>
        </w:rPr>
      </w:pPr>
    </w:p>
    <w:p w:rsidR="0092196C" w:rsidRDefault="0092196C" w:rsidP="0092196C">
      <w:pPr>
        <w:rPr>
          <w:lang w:val="fr-CA"/>
        </w:rPr>
      </w:pPr>
    </w:p>
    <w:p w:rsidR="0092196C" w:rsidRPr="0092196C" w:rsidRDefault="0092196C" w:rsidP="0092196C">
      <w:pPr>
        <w:rPr>
          <w:lang w:val="fr-CA"/>
        </w:rPr>
      </w:pPr>
      <w:r>
        <w:rPr>
          <w:noProof/>
          <w:lang w:val="en-US"/>
        </w:rPr>
        <mc:AlternateContent>
          <mc:Choice Requires="wps">
            <w:drawing>
              <wp:anchor distT="0" distB="0" distL="114300" distR="114300" simplePos="0" relativeHeight="251659264" behindDoc="0" locked="0" layoutInCell="1" allowOverlap="1" wp14:anchorId="2DA9B9E9" wp14:editId="634DF15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6DD2D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2196C" w:rsidRDefault="0092196C" w:rsidP="002A5C50">
      <w:pPr>
        <w:spacing w:after="720"/>
        <w:jc w:val="both"/>
        <w:rPr>
          <w:rStyle w:val="SCCAppellantForRunningHeadChar"/>
          <w:smallCaps w:val="0"/>
          <w:lang w:val="fr-CA"/>
        </w:rPr>
      </w:pPr>
    </w:p>
    <w:p w:rsidR="004D7D95" w:rsidRPr="00605A9C" w:rsidRDefault="008E300A" w:rsidP="002A5C50">
      <w:pPr>
        <w:spacing w:after="720"/>
        <w:jc w:val="both"/>
        <w:rPr>
          <w:lang w:val="fr-CA"/>
        </w:rPr>
      </w:pPr>
      <w:r>
        <w:rPr>
          <w:rStyle w:val="SCCAppellantForRunningHeadChar"/>
          <w:smallCaps w:val="0"/>
          <w:lang w:val="fr-CA"/>
        </w:rPr>
        <w:t>Deloitte &amp; T</w:t>
      </w:r>
      <w:r w:rsidR="004D7D95" w:rsidRPr="008E300A">
        <w:rPr>
          <w:rStyle w:val="SCCAppellantForRunningHeadChar"/>
          <w:smallCaps w:val="0"/>
          <w:lang w:val="fr-CA"/>
        </w:rPr>
        <w:t>ouche</w:t>
      </w:r>
      <w:r w:rsidR="004D7D95" w:rsidRPr="00605A9C">
        <w:rPr>
          <w:lang w:val="fr-CA"/>
        </w:rPr>
        <w:t xml:space="preserve"> </w:t>
      </w:r>
      <w:r w:rsidR="004D7D95" w:rsidRPr="00605A9C">
        <w:rPr>
          <w:i/>
          <w:lang w:val="fr-CA"/>
        </w:rPr>
        <w:t>c.</w:t>
      </w:r>
      <w:r w:rsidR="004D7D95" w:rsidRPr="00605A9C">
        <w:rPr>
          <w:lang w:val="fr-CA"/>
        </w:rPr>
        <w:t xml:space="preserve"> </w:t>
      </w:r>
      <w:r>
        <w:rPr>
          <w:rStyle w:val="SCCRespondentForRunningHeadChar"/>
          <w:smallCaps w:val="0"/>
          <w:lang w:val="fr-CA"/>
        </w:rPr>
        <w:t>L</w:t>
      </w:r>
      <w:r w:rsidR="004D7D95" w:rsidRPr="008E300A">
        <w:rPr>
          <w:rStyle w:val="SCCRespondentForRunningHeadChar"/>
          <w:smallCaps w:val="0"/>
          <w:lang w:val="fr-CA"/>
        </w:rPr>
        <w:t xml:space="preserve">ivent </w:t>
      </w:r>
      <w:r>
        <w:rPr>
          <w:rStyle w:val="SCCRespondentForRunningHeadChar"/>
          <w:smallCaps w:val="0"/>
          <w:lang w:val="fr-CA"/>
        </w:rPr>
        <w:t>I</w:t>
      </w:r>
      <w:r w:rsidR="004D7D95" w:rsidRPr="008E300A">
        <w:rPr>
          <w:rStyle w:val="SCCRespondentForRunningHeadChar"/>
          <w:smallCaps w:val="0"/>
          <w:lang w:val="fr-CA"/>
        </w:rPr>
        <w:t>nc.</w:t>
      </w:r>
      <w:r>
        <w:rPr>
          <w:rStyle w:val="SCCRespondentForRunningHeadChar"/>
          <w:smallCaps w:val="0"/>
          <w:lang w:val="fr-CA"/>
        </w:rPr>
        <w:t xml:space="preserve">, </w:t>
      </w:r>
      <w:r w:rsidRPr="00605A9C">
        <w:rPr>
          <w:lang w:val="fr-CA"/>
        </w:rPr>
        <w:t>2017 CSC 63</w:t>
      </w:r>
      <w:r>
        <w:rPr>
          <w:lang w:val="fr-CA"/>
        </w:rPr>
        <w:t>, [2017] 2 R.C.S. 855</w:t>
      </w:r>
    </w:p>
    <w:p w:rsidR="004D7F7C" w:rsidRPr="00605A9C" w:rsidRDefault="00777439" w:rsidP="004D7F7C">
      <w:pPr>
        <w:pStyle w:val="SCCLsocParty"/>
        <w:rPr>
          <w:lang w:val="fr-CA"/>
        </w:rPr>
      </w:pPr>
      <w:r w:rsidRPr="00605A9C">
        <w:rPr>
          <w:lang w:val="fr-CA"/>
        </w:rPr>
        <w:lastRenderedPageBreak/>
        <w:t>Deloitte &amp; Touche</w:t>
      </w:r>
      <w:r w:rsidR="00C66E26" w:rsidRPr="00605A9C">
        <w:rPr>
          <w:lang w:val="fr-CA"/>
        </w:rPr>
        <w:t xml:space="preserve"> (prorogée depuis sous </w:t>
      </w:r>
    </w:p>
    <w:p w:rsidR="00E709E1" w:rsidRPr="00605A9C" w:rsidRDefault="00C66E26" w:rsidP="004D7F7C">
      <w:pPr>
        <w:pStyle w:val="SCCLsocLastPartyInRole"/>
        <w:rPr>
          <w:lang w:val="fr-CA"/>
        </w:rPr>
      </w:pPr>
      <w:r w:rsidRPr="00605A9C">
        <w:rPr>
          <w:lang w:val="fr-CA"/>
        </w:rPr>
        <w:t>le nom de Deloitte S.E.N.C.R.L./s.r.l.)</w:t>
      </w:r>
      <w:r w:rsidR="00777439" w:rsidRPr="00605A9C">
        <w:rPr>
          <w:rStyle w:val="SCCLsocPartyRole"/>
          <w:lang w:val="fr-CA"/>
        </w:rPr>
        <w:tab/>
        <w:t>Appelante</w:t>
      </w:r>
    </w:p>
    <w:p w:rsidR="00E709E1" w:rsidRPr="00605A9C" w:rsidRDefault="00777439">
      <w:pPr>
        <w:pStyle w:val="SCCLsocVersus"/>
        <w:rPr>
          <w:lang w:val="fr-CA"/>
        </w:rPr>
      </w:pPr>
      <w:r w:rsidRPr="00605A9C">
        <w:rPr>
          <w:lang w:val="fr-CA"/>
        </w:rPr>
        <w:t>c.</w:t>
      </w:r>
    </w:p>
    <w:p w:rsidR="00777439" w:rsidRPr="00605A9C" w:rsidRDefault="00777439" w:rsidP="00777439">
      <w:pPr>
        <w:pStyle w:val="SCCLsocParty"/>
        <w:rPr>
          <w:lang w:val="fr-CA"/>
        </w:rPr>
      </w:pPr>
      <w:r w:rsidRPr="00605A9C">
        <w:rPr>
          <w:lang w:val="fr-CA"/>
        </w:rPr>
        <w:t xml:space="preserve">Livent Inc., par son séquestre et </w:t>
      </w:r>
    </w:p>
    <w:p w:rsidR="00E709E1" w:rsidRPr="00605A9C" w:rsidRDefault="007411C1">
      <w:pPr>
        <w:pStyle w:val="SCCLsocLastPartyInRole"/>
        <w:rPr>
          <w:lang w:val="fr-CA"/>
        </w:rPr>
      </w:pPr>
      <w:r w:rsidRPr="00605A9C">
        <w:rPr>
          <w:lang w:val="fr-CA"/>
        </w:rPr>
        <w:t>administrateur spécial</w:t>
      </w:r>
      <w:r w:rsidR="00777439" w:rsidRPr="00605A9C">
        <w:rPr>
          <w:lang w:val="fr-CA"/>
        </w:rPr>
        <w:t xml:space="preserve"> Roman Doroniuk</w:t>
      </w:r>
      <w:r w:rsidR="00777439" w:rsidRPr="00605A9C">
        <w:rPr>
          <w:rStyle w:val="SCCLsocPartyRole"/>
          <w:lang w:val="fr-CA"/>
        </w:rPr>
        <w:tab/>
        <w:t>Intimée</w:t>
      </w:r>
    </w:p>
    <w:p w:rsidR="00E709E1" w:rsidRPr="00605A9C" w:rsidRDefault="00777439">
      <w:pPr>
        <w:pStyle w:val="SCCLsocOtherPartySeparator"/>
        <w:rPr>
          <w:lang w:val="fr-CA"/>
        </w:rPr>
      </w:pPr>
      <w:r w:rsidRPr="00605A9C">
        <w:rPr>
          <w:lang w:val="fr-CA"/>
        </w:rPr>
        <w:t>et</w:t>
      </w:r>
    </w:p>
    <w:p w:rsidR="00E709E1" w:rsidRPr="00605A9C" w:rsidRDefault="003E5EF0">
      <w:pPr>
        <w:pStyle w:val="SCCLsocParty"/>
        <w:rPr>
          <w:lang w:val="fr-CA"/>
        </w:rPr>
      </w:pPr>
      <w:r w:rsidRPr="00605A9C">
        <w:rPr>
          <w:lang w:val="fr-CA"/>
        </w:rPr>
        <w:t>Coalition c</w:t>
      </w:r>
      <w:r w:rsidR="00777439" w:rsidRPr="00605A9C">
        <w:rPr>
          <w:lang w:val="fr-CA"/>
        </w:rPr>
        <w:t xml:space="preserve">anadienne </w:t>
      </w:r>
      <w:r w:rsidRPr="00605A9C">
        <w:rPr>
          <w:lang w:val="fr-CA"/>
        </w:rPr>
        <w:t>pour une bonne gouvernance et</w:t>
      </w:r>
    </w:p>
    <w:p w:rsidR="00E709E1" w:rsidRPr="00605A9C" w:rsidRDefault="00777439">
      <w:pPr>
        <w:pStyle w:val="SCCLsocLastPartyInRole"/>
        <w:rPr>
          <w:lang w:val="fr-CA"/>
        </w:rPr>
      </w:pPr>
      <w:r w:rsidRPr="00605A9C">
        <w:rPr>
          <w:lang w:val="fr-CA"/>
        </w:rPr>
        <w:t>Comptables professionnels agréés du Canada</w:t>
      </w:r>
      <w:r w:rsidR="003E5EF0" w:rsidRPr="00605A9C">
        <w:rPr>
          <w:rStyle w:val="SCCLsocPartyRole"/>
          <w:lang w:val="fr-CA"/>
        </w:rPr>
        <w:tab/>
        <w:t>Intervenante</w:t>
      </w:r>
      <w:r w:rsidRPr="00605A9C">
        <w:rPr>
          <w:rStyle w:val="SCCLsocPartyRole"/>
          <w:lang w:val="fr-CA"/>
        </w:rPr>
        <w:t>s</w:t>
      </w:r>
    </w:p>
    <w:p w:rsidR="004D7D95" w:rsidRPr="00605A9C" w:rsidRDefault="006B5ADF" w:rsidP="002A5C50">
      <w:pPr>
        <w:spacing w:after="720"/>
        <w:jc w:val="both"/>
        <w:rPr>
          <w:b/>
          <w:lang w:val="fr-CA"/>
        </w:rPr>
      </w:pPr>
      <w:r w:rsidRPr="00605A9C">
        <w:rPr>
          <w:b/>
          <w:lang w:val="fr-CA"/>
        </w:rPr>
        <w:t>Répertorié</w:t>
      </w:r>
      <w:r w:rsidR="006945A3">
        <w:rPr>
          <w:b/>
          <w:lang w:val="fr-CA"/>
        </w:rPr>
        <w:t> :</w:t>
      </w:r>
      <w:r w:rsidRPr="00605A9C">
        <w:rPr>
          <w:b/>
          <w:lang w:val="fr-CA"/>
        </w:rPr>
        <w:t> </w:t>
      </w:r>
      <w:r w:rsidR="004D7D95" w:rsidRPr="00605A9C">
        <w:rPr>
          <w:rStyle w:val="SCCAppellantForIndexChar"/>
          <w:lang w:val="fr-CA"/>
        </w:rPr>
        <w:t>Deloitte &amp; Touche</w:t>
      </w:r>
      <w:r w:rsidR="004D7D95" w:rsidRPr="00605A9C">
        <w:rPr>
          <w:b/>
          <w:lang w:val="fr-CA"/>
        </w:rPr>
        <w:t xml:space="preserve"> </w:t>
      </w:r>
      <w:r w:rsidR="004D7D95" w:rsidRPr="00605A9C">
        <w:rPr>
          <w:b/>
          <w:i/>
          <w:lang w:val="fr-CA"/>
        </w:rPr>
        <w:t>c.</w:t>
      </w:r>
      <w:r w:rsidR="004D7D95" w:rsidRPr="00605A9C">
        <w:rPr>
          <w:b/>
          <w:lang w:val="fr-CA"/>
        </w:rPr>
        <w:t xml:space="preserve"> </w:t>
      </w:r>
      <w:r w:rsidRPr="00605A9C">
        <w:rPr>
          <w:rStyle w:val="SCCRespondentForIndexChar"/>
          <w:lang w:val="fr-CA"/>
        </w:rPr>
        <w:t xml:space="preserve">Livent Inc. </w:t>
      </w:r>
      <w:r w:rsidR="00690D04" w:rsidRPr="00605A9C">
        <w:rPr>
          <w:rStyle w:val="SCCRespondentForIndexChar"/>
          <w:lang w:val="fr-CA"/>
        </w:rPr>
        <w:t>(Séquestre de)</w:t>
      </w:r>
    </w:p>
    <w:p w:rsidR="004D7D95" w:rsidRPr="00605A9C" w:rsidRDefault="00D17B0E" w:rsidP="002A5C50">
      <w:pPr>
        <w:pStyle w:val="SCCSystemYear"/>
        <w:spacing w:after="720"/>
        <w:jc w:val="both"/>
        <w:rPr>
          <w:lang w:val="fr-CA"/>
        </w:rPr>
      </w:pPr>
      <w:r w:rsidRPr="00605A9C">
        <w:rPr>
          <w:lang w:val="fr-CA"/>
        </w:rPr>
        <w:t>2017</w:t>
      </w:r>
      <w:r w:rsidR="004D7D95" w:rsidRPr="00605A9C">
        <w:rPr>
          <w:lang w:val="fr-CA"/>
        </w:rPr>
        <w:t xml:space="preserve"> CSC </w:t>
      </w:r>
      <w:r w:rsidR="006536E7" w:rsidRPr="00605A9C">
        <w:rPr>
          <w:lang w:val="fr-CA"/>
        </w:rPr>
        <w:t>63</w:t>
      </w:r>
    </w:p>
    <w:p w:rsidR="004D7D95" w:rsidRPr="00605A9C" w:rsidRDefault="004D7D95" w:rsidP="002A5C50">
      <w:pPr>
        <w:spacing w:after="720"/>
        <w:jc w:val="both"/>
        <w:rPr>
          <w:lang w:val="fr-CA"/>
        </w:rPr>
      </w:pPr>
      <w:r w:rsidRPr="00605A9C">
        <w:rPr>
          <w:lang w:val="fr-CA"/>
        </w:rPr>
        <w:t>N</w:t>
      </w:r>
      <w:r w:rsidRPr="00605A9C">
        <w:rPr>
          <w:vertAlign w:val="superscript"/>
          <w:lang w:val="fr-CA"/>
        </w:rPr>
        <w:t>o</w:t>
      </w:r>
      <w:r w:rsidRPr="00605A9C">
        <w:rPr>
          <w:lang w:val="fr-CA"/>
        </w:rPr>
        <w:t xml:space="preserve"> du greffe</w:t>
      </w:r>
      <w:r w:rsidR="006945A3">
        <w:rPr>
          <w:lang w:val="fr-CA"/>
        </w:rPr>
        <w:t> :</w:t>
      </w:r>
      <w:r w:rsidRPr="00605A9C">
        <w:rPr>
          <w:lang w:val="fr-CA"/>
        </w:rPr>
        <w:t> 36875.</w:t>
      </w:r>
    </w:p>
    <w:p w:rsidR="004D7D95" w:rsidRPr="00605A9C" w:rsidRDefault="006B5ADF" w:rsidP="002A5C50">
      <w:pPr>
        <w:spacing w:after="720"/>
        <w:jc w:val="both"/>
        <w:rPr>
          <w:lang w:val="fr-CA"/>
        </w:rPr>
      </w:pPr>
      <w:r w:rsidRPr="00605A9C">
        <w:rPr>
          <w:lang w:val="fr-CA"/>
        </w:rPr>
        <w:t>2017</w:t>
      </w:r>
      <w:r w:rsidR="006945A3">
        <w:rPr>
          <w:lang w:val="fr-CA"/>
        </w:rPr>
        <w:t> :</w:t>
      </w:r>
      <w:r w:rsidR="00FE43F8" w:rsidRPr="00605A9C">
        <w:rPr>
          <w:lang w:val="fr-CA"/>
        </w:rPr>
        <w:t> </w:t>
      </w:r>
      <w:r w:rsidR="00D17B0E" w:rsidRPr="00605A9C">
        <w:rPr>
          <w:lang w:val="fr-CA"/>
        </w:rPr>
        <w:t>15</w:t>
      </w:r>
      <w:r w:rsidR="00FE43F8" w:rsidRPr="00605A9C">
        <w:rPr>
          <w:lang w:val="fr-CA"/>
        </w:rPr>
        <w:t> </w:t>
      </w:r>
      <w:r w:rsidR="00D17B0E" w:rsidRPr="00605A9C">
        <w:rPr>
          <w:lang w:val="fr-CA"/>
        </w:rPr>
        <w:t>février</w:t>
      </w:r>
      <w:r w:rsidR="004D7D95" w:rsidRPr="00605A9C">
        <w:rPr>
          <w:lang w:val="fr-CA"/>
        </w:rPr>
        <w:t xml:space="preserve">; </w:t>
      </w:r>
      <w:r w:rsidR="00FE43F8" w:rsidRPr="00605A9C">
        <w:rPr>
          <w:lang w:val="fr-CA"/>
        </w:rPr>
        <w:t>2017</w:t>
      </w:r>
      <w:r w:rsidR="006945A3">
        <w:rPr>
          <w:lang w:val="fr-CA"/>
        </w:rPr>
        <w:t> :</w:t>
      </w:r>
      <w:r w:rsidR="00FE43F8" w:rsidRPr="00605A9C">
        <w:rPr>
          <w:lang w:val="fr-CA"/>
        </w:rPr>
        <w:t> </w:t>
      </w:r>
      <w:r w:rsidR="00FB6E2C" w:rsidRPr="00605A9C">
        <w:rPr>
          <w:lang w:val="fr-CA"/>
        </w:rPr>
        <w:t>20</w:t>
      </w:r>
      <w:r w:rsidR="00FE43F8" w:rsidRPr="00605A9C">
        <w:rPr>
          <w:lang w:val="fr-CA"/>
        </w:rPr>
        <w:t> </w:t>
      </w:r>
      <w:r w:rsidR="00182CA2" w:rsidRPr="00605A9C">
        <w:rPr>
          <w:lang w:val="fr-CA"/>
        </w:rPr>
        <w:t>décembre</w:t>
      </w:r>
      <w:r w:rsidR="004D7D95" w:rsidRPr="00605A9C">
        <w:rPr>
          <w:lang w:val="fr-CA"/>
        </w:rPr>
        <w:t>.</w:t>
      </w:r>
    </w:p>
    <w:p w:rsidR="004D7D95" w:rsidRPr="00605A9C" w:rsidRDefault="004D7D95" w:rsidP="002A5C50">
      <w:pPr>
        <w:spacing w:after="720"/>
        <w:jc w:val="both"/>
        <w:rPr>
          <w:lang w:val="fr-CA"/>
        </w:rPr>
      </w:pPr>
      <w:r w:rsidRPr="00605A9C">
        <w:rPr>
          <w:lang w:val="fr-CA"/>
        </w:rPr>
        <w:t>Présents</w:t>
      </w:r>
      <w:r w:rsidR="006945A3">
        <w:rPr>
          <w:lang w:val="fr-CA"/>
        </w:rPr>
        <w:t> :</w:t>
      </w:r>
      <w:r w:rsidRPr="00605A9C">
        <w:rPr>
          <w:lang w:val="fr-CA"/>
        </w:rPr>
        <w:t> La juge en chef McLachlin et les juges Karakatsanis, Wagner, Gascon, Côté, Brown et Rowe.</w:t>
      </w:r>
    </w:p>
    <w:p w:rsidR="004D7D95" w:rsidRPr="00605A9C" w:rsidRDefault="004D7D95" w:rsidP="002A5C50">
      <w:pPr>
        <w:spacing w:after="720"/>
        <w:jc w:val="both"/>
        <w:rPr>
          <w:smallCaps/>
          <w:lang w:val="fr-CA"/>
        </w:rPr>
      </w:pPr>
      <w:r w:rsidRPr="00605A9C">
        <w:rPr>
          <w:smallCaps/>
          <w:lang w:val="fr-CA"/>
        </w:rPr>
        <w:t>en appel de la cour d</w:t>
      </w:r>
      <w:r w:rsidR="00EA59D7" w:rsidRPr="00605A9C">
        <w:rPr>
          <w:smallCaps/>
          <w:lang w:val="fr-CA"/>
        </w:rPr>
        <w:t>’</w:t>
      </w:r>
      <w:r w:rsidRPr="00605A9C">
        <w:rPr>
          <w:smallCaps/>
          <w:lang w:val="fr-CA"/>
        </w:rPr>
        <w:t>appel de l</w:t>
      </w:r>
      <w:r w:rsidR="00EA59D7" w:rsidRPr="00605A9C">
        <w:rPr>
          <w:smallCaps/>
          <w:lang w:val="fr-CA"/>
        </w:rPr>
        <w:t>’</w:t>
      </w:r>
      <w:r w:rsidRPr="00605A9C">
        <w:rPr>
          <w:smallCaps/>
          <w:lang w:val="fr-CA"/>
        </w:rPr>
        <w:t>ontario</w:t>
      </w:r>
    </w:p>
    <w:p w:rsidR="004D7D95" w:rsidRPr="00605A9C" w:rsidRDefault="009D45C1" w:rsidP="002A5C50">
      <w:pPr>
        <w:pStyle w:val="SCCNormalDoubleSpacing"/>
        <w:spacing w:before="480" w:after="480"/>
        <w:rPr>
          <w:i/>
          <w:lang w:val="fr-CA"/>
        </w:rPr>
      </w:pPr>
      <w:r w:rsidRPr="00605A9C">
        <w:rPr>
          <w:lang w:val="fr-CA"/>
        </w:rPr>
        <w:tab/>
      </w:r>
      <w:r w:rsidRPr="00605A9C">
        <w:rPr>
          <w:i/>
          <w:lang w:val="fr-CA"/>
        </w:rPr>
        <w:t xml:space="preserve">Responsabilité délictuelle </w:t>
      </w:r>
      <w:r w:rsidR="00102B58" w:rsidRPr="00605A9C">
        <w:rPr>
          <w:i/>
          <w:lang w:val="fr-CA"/>
        </w:rPr>
        <w:t>—</w:t>
      </w:r>
      <w:r w:rsidRPr="00605A9C">
        <w:rPr>
          <w:i/>
          <w:lang w:val="fr-CA"/>
        </w:rPr>
        <w:t xml:space="preserve"> Obligation de diligence </w:t>
      </w:r>
      <w:r w:rsidR="00102B58" w:rsidRPr="00605A9C">
        <w:rPr>
          <w:i/>
          <w:lang w:val="fr-CA"/>
        </w:rPr>
        <w:t>—</w:t>
      </w:r>
      <w:r w:rsidRPr="00605A9C">
        <w:rPr>
          <w:i/>
          <w:lang w:val="fr-CA"/>
        </w:rPr>
        <w:t xml:space="preserve"> </w:t>
      </w:r>
      <w:r w:rsidR="00346E60" w:rsidRPr="00605A9C">
        <w:rPr>
          <w:i/>
          <w:lang w:val="fr-CA"/>
        </w:rPr>
        <w:t xml:space="preserve">Négligence </w:t>
      </w:r>
      <w:r w:rsidR="00346E60" w:rsidRPr="00605A9C">
        <w:rPr>
          <w:i/>
          <w:noProof/>
          <w:lang w:val="fr-CA"/>
        </w:rPr>
        <w:t xml:space="preserve">— </w:t>
      </w:r>
      <w:r w:rsidRPr="00605A9C">
        <w:rPr>
          <w:i/>
          <w:noProof/>
          <w:lang w:val="fr-CA"/>
        </w:rPr>
        <w:t xml:space="preserve">Déclaration inexacte faite par négligence </w:t>
      </w:r>
      <w:r w:rsidR="00102B58" w:rsidRPr="00605A9C">
        <w:rPr>
          <w:i/>
          <w:noProof/>
          <w:lang w:val="fr-CA"/>
        </w:rPr>
        <w:t>—</w:t>
      </w:r>
      <w:r w:rsidRPr="00605A9C">
        <w:rPr>
          <w:i/>
          <w:noProof/>
          <w:lang w:val="fr-CA"/>
        </w:rPr>
        <w:t xml:space="preserve"> Défaut du vérificateur de découvrir la fraude des administrateurs d</w:t>
      </w:r>
      <w:r w:rsidR="00EA59D7" w:rsidRPr="00605A9C">
        <w:rPr>
          <w:i/>
          <w:noProof/>
          <w:lang w:val="fr-CA"/>
        </w:rPr>
        <w:t>’</w:t>
      </w:r>
      <w:r w:rsidRPr="00605A9C">
        <w:rPr>
          <w:i/>
          <w:noProof/>
          <w:lang w:val="fr-CA"/>
        </w:rPr>
        <w:t xml:space="preserve">une société et pertes subies par la société </w:t>
      </w:r>
      <w:r w:rsidR="00102B58" w:rsidRPr="00605A9C">
        <w:rPr>
          <w:i/>
          <w:noProof/>
          <w:lang w:val="fr-CA"/>
        </w:rPr>
        <w:t>—</w:t>
      </w:r>
      <w:r w:rsidRPr="00605A9C">
        <w:rPr>
          <w:i/>
          <w:noProof/>
          <w:lang w:val="fr-CA"/>
        </w:rPr>
        <w:t xml:space="preserve"> Application </w:t>
      </w:r>
      <w:r w:rsidRPr="00605A9C">
        <w:rPr>
          <w:i/>
          <w:noProof/>
          <w:lang w:val="fr-CA"/>
        </w:rPr>
        <w:lastRenderedPageBreak/>
        <w:t>correcte du cadre d</w:t>
      </w:r>
      <w:r w:rsidR="00EA59D7" w:rsidRPr="00605A9C">
        <w:rPr>
          <w:i/>
          <w:noProof/>
          <w:lang w:val="fr-CA"/>
        </w:rPr>
        <w:t>’</w:t>
      </w:r>
      <w:r w:rsidRPr="00605A9C">
        <w:rPr>
          <w:i/>
          <w:noProof/>
          <w:lang w:val="fr-CA"/>
        </w:rPr>
        <w:t>analyse permettant d</w:t>
      </w:r>
      <w:r w:rsidR="00EA59D7" w:rsidRPr="00605A9C">
        <w:rPr>
          <w:i/>
          <w:noProof/>
          <w:lang w:val="fr-CA"/>
        </w:rPr>
        <w:t>’</w:t>
      </w:r>
      <w:r w:rsidRPr="00605A9C">
        <w:rPr>
          <w:i/>
          <w:noProof/>
          <w:lang w:val="fr-CA"/>
        </w:rPr>
        <w:t>établir la responsabilité délictuelle dans les cas de déclaration inexacte faite par négligence ou de prestation négligente d</w:t>
      </w:r>
      <w:r w:rsidR="00EA59D7" w:rsidRPr="00605A9C">
        <w:rPr>
          <w:i/>
          <w:noProof/>
          <w:lang w:val="fr-CA"/>
        </w:rPr>
        <w:t>’</w:t>
      </w:r>
      <w:r w:rsidRPr="00605A9C">
        <w:rPr>
          <w:i/>
          <w:noProof/>
          <w:lang w:val="fr-CA"/>
        </w:rPr>
        <w:t>un service par un vérificateur</w:t>
      </w:r>
      <w:r w:rsidR="00EA59C3" w:rsidRPr="00605A9C">
        <w:rPr>
          <w:i/>
          <w:noProof/>
          <w:lang w:val="fr-CA"/>
        </w:rPr>
        <w:t xml:space="preserve"> </w:t>
      </w:r>
      <w:r w:rsidR="00102B58" w:rsidRPr="00605A9C">
        <w:rPr>
          <w:i/>
          <w:noProof/>
          <w:lang w:val="fr-CA"/>
        </w:rPr>
        <w:t>—</w:t>
      </w:r>
      <w:r w:rsidR="00EA59C3" w:rsidRPr="00605A9C">
        <w:rPr>
          <w:i/>
          <w:noProof/>
          <w:lang w:val="fr-CA"/>
        </w:rPr>
        <w:t xml:space="preserve"> Le vérificateur a</w:t>
      </w:r>
      <w:r w:rsidR="006945A3">
        <w:rPr>
          <w:i/>
          <w:noProof/>
          <w:lang w:val="fr-CA"/>
        </w:rPr>
        <w:noBreakHyphen/>
      </w:r>
      <w:r w:rsidR="00EA59C3" w:rsidRPr="00605A9C">
        <w:rPr>
          <w:i/>
          <w:noProof/>
          <w:lang w:val="fr-CA"/>
        </w:rPr>
        <w:t>t</w:t>
      </w:r>
      <w:r w:rsidR="006945A3">
        <w:rPr>
          <w:i/>
          <w:noProof/>
          <w:lang w:val="fr-CA"/>
        </w:rPr>
        <w:noBreakHyphen/>
      </w:r>
      <w:r w:rsidR="00EA59C3" w:rsidRPr="00605A9C">
        <w:rPr>
          <w:i/>
          <w:noProof/>
          <w:lang w:val="fr-CA"/>
        </w:rPr>
        <w:t>il manqué à l</w:t>
      </w:r>
      <w:r w:rsidR="00EA59D7" w:rsidRPr="00605A9C">
        <w:rPr>
          <w:i/>
          <w:noProof/>
          <w:lang w:val="fr-CA"/>
        </w:rPr>
        <w:t>’</w:t>
      </w:r>
      <w:r w:rsidR="00EA59C3" w:rsidRPr="00605A9C">
        <w:rPr>
          <w:i/>
          <w:noProof/>
          <w:lang w:val="fr-CA"/>
        </w:rPr>
        <w:t>obligation de diligence et est</w:t>
      </w:r>
      <w:r w:rsidR="006945A3">
        <w:rPr>
          <w:i/>
          <w:noProof/>
          <w:lang w:val="fr-CA"/>
        </w:rPr>
        <w:noBreakHyphen/>
      </w:r>
      <w:r w:rsidR="00EA59C3" w:rsidRPr="00605A9C">
        <w:rPr>
          <w:i/>
          <w:noProof/>
          <w:lang w:val="fr-CA"/>
        </w:rPr>
        <w:t xml:space="preserve">il en conséquence responsable des pertes de la société? </w:t>
      </w:r>
      <w:r w:rsidR="00102B58" w:rsidRPr="00605A9C">
        <w:rPr>
          <w:i/>
          <w:noProof/>
          <w:lang w:val="fr-CA"/>
        </w:rPr>
        <w:t>—</w:t>
      </w:r>
      <w:r w:rsidR="00EA59C3" w:rsidRPr="00605A9C">
        <w:rPr>
          <w:i/>
          <w:noProof/>
          <w:lang w:val="fr-CA"/>
        </w:rPr>
        <w:t xml:space="preserve"> Date à compter de laquelle il convient de calculer le montant des dommages</w:t>
      </w:r>
      <w:r w:rsidR="006945A3">
        <w:rPr>
          <w:i/>
          <w:noProof/>
          <w:lang w:val="fr-CA"/>
        </w:rPr>
        <w:noBreakHyphen/>
      </w:r>
      <w:r w:rsidR="00EA59C3" w:rsidRPr="00605A9C">
        <w:rPr>
          <w:i/>
          <w:noProof/>
          <w:lang w:val="fr-CA"/>
        </w:rPr>
        <w:t>intérêts.</w:t>
      </w:r>
    </w:p>
    <w:p w:rsidR="004D7D95" w:rsidRPr="00605A9C" w:rsidRDefault="00732113" w:rsidP="002A5C50">
      <w:pPr>
        <w:pStyle w:val="SCCNormalDoubleSpacing"/>
        <w:spacing w:before="480" w:after="480"/>
        <w:rPr>
          <w:noProof/>
          <w:lang w:val="fr-CA"/>
        </w:rPr>
      </w:pPr>
      <w:r w:rsidRPr="00605A9C">
        <w:rPr>
          <w:lang w:val="fr-CA"/>
        </w:rPr>
        <w:tab/>
        <w:t>Livent a produit et présenté des spectacles dans les théâtres qu</w:t>
      </w:r>
      <w:r w:rsidR="00EA59D7" w:rsidRPr="00605A9C">
        <w:rPr>
          <w:lang w:val="fr-CA"/>
        </w:rPr>
        <w:t>’</w:t>
      </w:r>
      <w:r w:rsidRPr="00605A9C">
        <w:rPr>
          <w:lang w:val="fr-CA"/>
        </w:rPr>
        <w:t>elle possédait au Canada et aux États</w:t>
      </w:r>
      <w:r w:rsidR="006945A3">
        <w:rPr>
          <w:lang w:val="fr-CA"/>
        </w:rPr>
        <w:noBreakHyphen/>
      </w:r>
      <w:r w:rsidRPr="00605A9C">
        <w:rPr>
          <w:lang w:val="fr-CA"/>
        </w:rPr>
        <w:t>Unis, et ses actions étaient cotées à la bourse dans ces deux pays. Afin d</w:t>
      </w:r>
      <w:r w:rsidR="00EA59D7" w:rsidRPr="00605A9C">
        <w:rPr>
          <w:lang w:val="fr-CA"/>
        </w:rPr>
        <w:t>’</w:t>
      </w:r>
      <w:r w:rsidRPr="00605A9C">
        <w:rPr>
          <w:lang w:val="fr-CA"/>
        </w:rPr>
        <w:t xml:space="preserve">accroître le succès de Livent, ses administrateurs ont </w:t>
      </w:r>
      <w:r w:rsidRPr="00605A9C">
        <w:rPr>
          <w:noProof/>
          <w:lang w:val="fr-CA"/>
        </w:rPr>
        <w:t>manipulé les documents financiers de l</w:t>
      </w:r>
      <w:r w:rsidR="00EA59D7" w:rsidRPr="00605A9C">
        <w:rPr>
          <w:noProof/>
          <w:lang w:val="fr-CA"/>
        </w:rPr>
        <w:t>’</w:t>
      </w:r>
      <w:r w:rsidRPr="00605A9C">
        <w:rPr>
          <w:noProof/>
          <w:lang w:val="fr-CA"/>
        </w:rPr>
        <w:t>entreprise. Deloitte était le vérificateur de Livent; elle n</w:t>
      </w:r>
      <w:r w:rsidR="00EA59D7" w:rsidRPr="00605A9C">
        <w:rPr>
          <w:noProof/>
          <w:lang w:val="fr-CA"/>
        </w:rPr>
        <w:t>’</w:t>
      </w:r>
      <w:r w:rsidRPr="00605A9C">
        <w:rPr>
          <w:noProof/>
          <w:lang w:val="fr-CA"/>
        </w:rPr>
        <w:t xml:space="preserve">a jamais découvert la fraude. En août 1997 cependant, </w:t>
      </w:r>
      <w:r w:rsidR="00FC485B" w:rsidRPr="00605A9C">
        <w:rPr>
          <w:noProof/>
          <w:lang w:val="fr-CA"/>
        </w:rPr>
        <w:t>Deloitte a découvert des irrégularités dans la comptabilisation des profits de la vente d</w:t>
      </w:r>
      <w:r w:rsidR="00EA59D7" w:rsidRPr="00605A9C">
        <w:rPr>
          <w:noProof/>
          <w:lang w:val="fr-CA"/>
        </w:rPr>
        <w:t>’</w:t>
      </w:r>
      <w:r w:rsidR="00FC485B" w:rsidRPr="00605A9C">
        <w:rPr>
          <w:noProof/>
          <w:lang w:val="fr-CA"/>
        </w:rPr>
        <w:t>un actif. Deloitte n</w:t>
      </w:r>
      <w:r w:rsidR="00EA59D7" w:rsidRPr="00605A9C">
        <w:rPr>
          <w:noProof/>
          <w:lang w:val="fr-CA"/>
        </w:rPr>
        <w:t>’</w:t>
      </w:r>
      <w:r w:rsidR="00FC485B" w:rsidRPr="00605A9C">
        <w:rPr>
          <w:noProof/>
          <w:lang w:val="fr-CA"/>
        </w:rPr>
        <w:t>a pas démissionné. Afin d</w:t>
      </w:r>
      <w:r w:rsidR="00EA59D7" w:rsidRPr="00605A9C">
        <w:rPr>
          <w:noProof/>
          <w:lang w:val="fr-CA"/>
        </w:rPr>
        <w:t>’</w:t>
      </w:r>
      <w:r w:rsidR="00FC485B" w:rsidRPr="00605A9C">
        <w:rPr>
          <w:noProof/>
          <w:lang w:val="fr-CA"/>
        </w:rPr>
        <w:t xml:space="preserve">aider Livent à solliciter des investissements, Deloitte </w:t>
      </w:r>
      <w:r w:rsidR="00346E60" w:rsidRPr="00605A9C">
        <w:rPr>
          <w:noProof/>
          <w:lang w:val="fr-CA"/>
        </w:rPr>
        <w:t>l</w:t>
      </w:r>
      <w:r w:rsidR="00EA59D7" w:rsidRPr="00605A9C">
        <w:rPr>
          <w:noProof/>
          <w:lang w:val="fr-CA"/>
        </w:rPr>
        <w:t>’</w:t>
      </w:r>
      <w:r w:rsidR="00FC485B" w:rsidRPr="00605A9C">
        <w:rPr>
          <w:noProof/>
          <w:lang w:val="fr-CA"/>
        </w:rPr>
        <w:t>a plutôt aidé</w:t>
      </w:r>
      <w:r w:rsidR="00346E60" w:rsidRPr="00605A9C">
        <w:rPr>
          <w:noProof/>
          <w:lang w:val="fr-CA"/>
        </w:rPr>
        <w:t>e</w:t>
      </w:r>
      <w:r w:rsidR="00FC485B" w:rsidRPr="00605A9C">
        <w:rPr>
          <w:noProof/>
          <w:lang w:val="fr-CA"/>
        </w:rPr>
        <w:t xml:space="preserve"> à préparer, et elle a approuvé, un communiqué de presse publié en septembre 1997 qui présentait de façon inexacte la comptabilisation des profits. En octobre 1997, Deloitte </w:t>
      </w:r>
      <w:r w:rsidR="00914C32" w:rsidRPr="00605A9C">
        <w:rPr>
          <w:noProof/>
          <w:lang w:val="fr-CA"/>
        </w:rPr>
        <w:t>a fourni une lettre de confort pour un appel public à l</w:t>
      </w:r>
      <w:r w:rsidR="00EA59D7" w:rsidRPr="00605A9C">
        <w:rPr>
          <w:noProof/>
          <w:lang w:val="fr-CA"/>
        </w:rPr>
        <w:t>’</w:t>
      </w:r>
      <w:r w:rsidR="00914C32" w:rsidRPr="00605A9C">
        <w:rPr>
          <w:noProof/>
          <w:lang w:val="fr-CA"/>
        </w:rPr>
        <w:t>épargne. Elle a également préparé le rapport du vérificateur pour l</w:t>
      </w:r>
      <w:r w:rsidR="00EA59D7" w:rsidRPr="00605A9C">
        <w:rPr>
          <w:noProof/>
          <w:lang w:val="fr-CA"/>
        </w:rPr>
        <w:t>’</w:t>
      </w:r>
      <w:r w:rsidR="00914C32" w:rsidRPr="00605A9C">
        <w:rPr>
          <w:noProof/>
          <w:lang w:val="fr-CA"/>
        </w:rPr>
        <w:t>exercice 1997 de Livent, rapport qu</w:t>
      </w:r>
      <w:r w:rsidR="00EA59D7" w:rsidRPr="00605A9C">
        <w:rPr>
          <w:noProof/>
          <w:lang w:val="fr-CA"/>
        </w:rPr>
        <w:t>’</w:t>
      </w:r>
      <w:r w:rsidR="00914C32" w:rsidRPr="00605A9C">
        <w:rPr>
          <w:noProof/>
          <w:lang w:val="fr-CA"/>
        </w:rPr>
        <w:t>elle a finalisé en avril 1998. De nouveaux investisseurs ont plus tard découvert la fraude. Une enquête et une nouvelle vérification ultérieures ont donné lieu à des états financiers modifiés.</w:t>
      </w:r>
      <w:r w:rsidR="003D23A2" w:rsidRPr="00605A9C">
        <w:rPr>
          <w:noProof/>
          <w:lang w:val="fr-CA"/>
        </w:rPr>
        <w:t xml:space="preserve"> En novembre 1998, Livent a demandé la protection contre l</w:t>
      </w:r>
      <w:r w:rsidR="00EA59D7" w:rsidRPr="00605A9C">
        <w:rPr>
          <w:noProof/>
          <w:lang w:val="fr-CA"/>
        </w:rPr>
        <w:t>’</w:t>
      </w:r>
      <w:r w:rsidR="003D23A2" w:rsidRPr="00605A9C">
        <w:rPr>
          <w:noProof/>
          <w:lang w:val="fr-CA"/>
        </w:rPr>
        <w:t>insolvabilité. Elle a vendu ses éléments d</w:t>
      </w:r>
      <w:r w:rsidR="00EA59D7" w:rsidRPr="00605A9C">
        <w:rPr>
          <w:noProof/>
          <w:lang w:val="fr-CA"/>
        </w:rPr>
        <w:t>’</w:t>
      </w:r>
      <w:r w:rsidR="003D23A2" w:rsidRPr="00605A9C">
        <w:rPr>
          <w:noProof/>
          <w:lang w:val="fr-CA"/>
        </w:rPr>
        <w:t xml:space="preserve">actif et a été mise sous séquestre en 1999. Livent a plus tard poursuivi Deloitte en responsabilité délictuelle et en responsabilité contractuelle. </w:t>
      </w:r>
    </w:p>
    <w:p w:rsidR="003D23A2" w:rsidRPr="00605A9C" w:rsidRDefault="003D23A2" w:rsidP="002A5C50">
      <w:pPr>
        <w:pStyle w:val="SCCNormalDoubleSpacing"/>
        <w:spacing w:before="480" w:after="480"/>
        <w:rPr>
          <w:lang w:val="fr-CA"/>
        </w:rPr>
      </w:pPr>
      <w:r w:rsidRPr="00605A9C">
        <w:rPr>
          <w:noProof/>
          <w:lang w:val="fr-CA"/>
        </w:rPr>
        <w:tab/>
        <w:t xml:space="preserve">Le juge de première instance a conclu que Deloitte avait une obligation de diligence </w:t>
      </w:r>
      <w:r w:rsidRPr="00605A9C">
        <w:rPr>
          <w:bCs/>
          <w:noProof/>
          <w:lang w:val="fr-CA"/>
        </w:rPr>
        <w:t xml:space="preserve">pour fournir des renseignements exacts aux actionnaires de Livent. </w:t>
      </w:r>
      <w:r w:rsidRPr="00605A9C">
        <w:rPr>
          <w:noProof/>
          <w:lang w:val="fr-CA"/>
        </w:rPr>
        <w:t xml:space="preserve">Il </w:t>
      </w:r>
      <w:r w:rsidRPr="00605A9C">
        <w:rPr>
          <w:bCs/>
          <w:noProof/>
          <w:lang w:val="fr-CA"/>
        </w:rPr>
        <w:t xml:space="preserve">a conclu </w:t>
      </w:r>
      <w:r w:rsidRPr="00605A9C">
        <w:rPr>
          <w:bCs/>
          <w:noProof/>
          <w:lang w:val="fr-CA"/>
        </w:rPr>
        <w:lastRenderedPageBreak/>
        <w:t>que Deloitte n</w:t>
      </w:r>
      <w:r w:rsidR="00EA59D7" w:rsidRPr="00605A9C">
        <w:rPr>
          <w:bCs/>
          <w:noProof/>
          <w:lang w:val="fr-CA"/>
        </w:rPr>
        <w:t>’</w:t>
      </w:r>
      <w:r w:rsidRPr="00605A9C">
        <w:rPr>
          <w:bCs/>
          <w:noProof/>
          <w:lang w:val="fr-CA"/>
        </w:rPr>
        <w:t>avait pas respecté la norme de diligence</w:t>
      </w:r>
      <w:r w:rsidR="000E2E36" w:rsidRPr="00605A9C">
        <w:rPr>
          <w:bCs/>
          <w:noProof/>
          <w:lang w:val="fr-CA"/>
        </w:rPr>
        <w:t xml:space="preserve"> applicable en vertu de cette obligation, soit en août 1997, lorsqu</w:t>
      </w:r>
      <w:r w:rsidR="00EA59D7" w:rsidRPr="00605A9C">
        <w:rPr>
          <w:bCs/>
          <w:noProof/>
          <w:lang w:val="fr-CA"/>
        </w:rPr>
        <w:t>’</w:t>
      </w:r>
      <w:r w:rsidR="000E2E36" w:rsidRPr="00605A9C">
        <w:rPr>
          <w:bCs/>
          <w:noProof/>
          <w:lang w:val="fr-CA"/>
        </w:rPr>
        <w:t>elle n</w:t>
      </w:r>
      <w:r w:rsidR="00EA59D7" w:rsidRPr="00605A9C">
        <w:rPr>
          <w:bCs/>
          <w:noProof/>
          <w:lang w:val="fr-CA"/>
        </w:rPr>
        <w:t>’</w:t>
      </w:r>
      <w:r w:rsidR="000E2E36" w:rsidRPr="00605A9C">
        <w:rPr>
          <w:bCs/>
          <w:noProof/>
          <w:lang w:val="fr-CA"/>
        </w:rPr>
        <w:t>a pas découvert la fraude et n</w:t>
      </w:r>
      <w:r w:rsidR="00EA59D7" w:rsidRPr="00605A9C">
        <w:rPr>
          <w:bCs/>
          <w:noProof/>
          <w:lang w:val="fr-CA"/>
        </w:rPr>
        <w:t>’</w:t>
      </w:r>
      <w:r w:rsidR="000E2E36" w:rsidRPr="00605A9C">
        <w:rPr>
          <w:bCs/>
          <w:noProof/>
          <w:lang w:val="fr-CA"/>
        </w:rPr>
        <w:t>a pas pris les mesures que cette découverte rendait nécessaires, ou en avril 1998, lorsqu</w:t>
      </w:r>
      <w:r w:rsidR="00EA59D7" w:rsidRPr="00605A9C">
        <w:rPr>
          <w:bCs/>
          <w:noProof/>
          <w:lang w:val="fr-CA"/>
        </w:rPr>
        <w:t>’</w:t>
      </w:r>
      <w:r w:rsidR="000E2E36" w:rsidRPr="00605A9C">
        <w:rPr>
          <w:bCs/>
          <w:noProof/>
          <w:lang w:val="fr-CA"/>
        </w:rPr>
        <w:t>elle a approuvé les états financiers de 1997 de Livent. Le juge de première instance a conclu que le montant des dommages</w:t>
      </w:r>
      <w:r w:rsidR="006945A3">
        <w:rPr>
          <w:bCs/>
          <w:noProof/>
          <w:lang w:val="fr-CA"/>
        </w:rPr>
        <w:noBreakHyphen/>
      </w:r>
      <w:r w:rsidR="000E2E36" w:rsidRPr="00605A9C">
        <w:rPr>
          <w:bCs/>
          <w:noProof/>
          <w:lang w:val="fr-CA"/>
        </w:rPr>
        <w:t>intérêts équivalait à l</w:t>
      </w:r>
      <w:r w:rsidR="00EA59D7" w:rsidRPr="00605A9C">
        <w:rPr>
          <w:bCs/>
          <w:noProof/>
          <w:lang w:val="fr-CA"/>
        </w:rPr>
        <w:t>’</w:t>
      </w:r>
      <w:r w:rsidR="000E2E36" w:rsidRPr="00605A9C">
        <w:rPr>
          <w:bCs/>
          <w:noProof/>
          <w:lang w:val="fr-CA"/>
        </w:rPr>
        <w:t xml:space="preserve">écart entre la valeur de Livent </w:t>
      </w:r>
      <w:r w:rsidR="00736BD7" w:rsidRPr="00605A9C">
        <w:rPr>
          <w:bCs/>
          <w:noProof/>
          <w:lang w:val="fr-CA"/>
        </w:rPr>
        <w:t>à la date à laquelle Deloitte aurait dû démissionner et la valeur de Livent au moment de la faillite. Il a retranché 25</w:t>
      </w:r>
      <w:r w:rsidR="00FE43F8" w:rsidRPr="00605A9C">
        <w:rPr>
          <w:bCs/>
          <w:noProof/>
          <w:lang w:val="fr-CA"/>
        </w:rPr>
        <w:t> </w:t>
      </w:r>
      <w:r w:rsidR="00736BD7" w:rsidRPr="00605A9C">
        <w:rPr>
          <w:bCs/>
          <w:noProof/>
          <w:lang w:val="fr-CA"/>
        </w:rPr>
        <w:t>pour</w:t>
      </w:r>
      <w:r w:rsidR="00FE43F8" w:rsidRPr="00605A9C">
        <w:rPr>
          <w:bCs/>
          <w:noProof/>
          <w:lang w:val="fr-CA"/>
        </w:rPr>
        <w:t> </w:t>
      </w:r>
      <w:r w:rsidR="00BF0ED3">
        <w:rPr>
          <w:bCs/>
          <w:noProof/>
          <w:lang w:val="fr-CA"/>
        </w:rPr>
        <w:t>100</w:t>
      </w:r>
      <w:r w:rsidR="00736BD7" w:rsidRPr="00605A9C">
        <w:rPr>
          <w:bCs/>
          <w:noProof/>
          <w:lang w:val="fr-CA"/>
        </w:rPr>
        <w:t xml:space="preserve"> de ce montant pour tenir compte des imprévus ou des </w:t>
      </w:r>
      <w:r w:rsidR="00736BD7" w:rsidRPr="00605A9C">
        <w:rPr>
          <w:lang w:val="fr-CA"/>
        </w:rPr>
        <w:t xml:space="preserve">pertes commerciales </w:t>
      </w:r>
      <w:r w:rsidR="00736BD7" w:rsidRPr="00605A9C">
        <w:rPr>
          <w:bCs/>
          <w:noProof/>
          <w:lang w:val="fr-CA"/>
        </w:rPr>
        <w:t>qui, selon lui, étaient trop éloignées pour que Deloitte puisse en être tenue responsable. En conséquence, le juge de première instance a accordé à Livent des dommages</w:t>
      </w:r>
      <w:r w:rsidR="006945A3">
        <w:rPr>
          <w:bCs/>
          <w:noProof/>
          <w:lang w:val="fr-CA"/>
        </w:rPr>
        <w:noBreakHyphen/>
      </w:r>
      <w:r w:rsidR="00736BD7" w:rsidRPr="00605A9C">
        <w:rPr>
          <w:bCs/>
          <w:noProof/>
          <w:lang w:val="fr-CA"/>
        </w:rPr>
        <w:t>intérêts s</w:t>
      </w:r>
      <w:r w:rsidR="00EA59D7" w:rsidRPr="00605A9C">
        <w:rPr>
          <w:bCs/>
          <w:noProof/>
          <w:lang w:val="fr-CA"/>
        </w:rPr>
        <w:t>’</w:t>
      </w:r>
      <w:r w:rsidR="00736BD7" w:rsidRPr="00605A9C">
        <w:rPr>
          <w:bCs/>
          <w:noProof/>
          <w:lang w:val="fr-CA"/>
        </w:rPr>
        <w:t>élevant à 84 750 000 dollars pour manquement à son obligation de diligence ou, autrement, pour violation de contrat.</w:t>
      </w:r>
      <w:r w:rsidR="00274674" w:rsidRPr="00605A9C">
        <w:rPr>
          <w:bCs/>
          <w:noProof/>
          <w:lang w:val="fr-CA"/>
        </w:rPr>
        <w:t xml:space="preserve"> </w:t>
      </w:r>
      <w:r w:rsidR="00274674" w:rsidRPr="00605A9C">
        <w:rPr>
          <w:noProof/>
          <w:lang w:val="fr-CA"/>
        </w:rPr>
        <w:t>La Cour d</w:t>
      </w:r>
      <w:r w:rsidR="00EA59D7" w:rsidRPr="00605A9C">
        <w:rPr>
          <w:noProof/>
          <w:lang w:val="fr-CA"/>
        </w:rPr>
        <w:t>’</w:t>
      </w:r>
      <w:r w:rsidR="00274674" w:rsidRPr="00605A9C">
        <w:rPr>
          <w:noProof/>
          <w:lang w:val="fr-CA"/>
        </w:rPr>
        <w:t>appel a confirmé la décision du juge de première instance et a rejeté l</w:t>
      </w:r>
      <w:r w:rsidR="00EA59D7" w:rsidRPr="00605A9C">
        <w:rPr>
          <w:noProof/>
          <w:lang w:val="fr-CA"/>
        </w:rPr>
        <w:t>’</w:t>
      </w:r>
      <w:r w:rsidR="00274674" w:rsidRPr="00605A9C">
        <w:rPr>
          <w:noProof/>
          <w:lang w:val="fr-CA"/>
        </w:rPr>
        <w:t>appel de Deloitte et l</w:t>
      </w:r>
      <w:r w:rsidR="00EA59D7" w:rsidRPr="00605A9C">
        <w:rPr>
          <w:noProof/>
          <w:lang w:val="fr-CA"/>
        </w:rPr>
        <w:t>’</w:t>
      </w:r>
      <w:r w:rsidR="00274674" w:rsidRPr="00605A9C">
        <w:rPr>
          <w:noProof/>
          <w:lang w:val="fr-CA"/>
        </w:rPr>
        <w:t>appel incident de Livent.</w:t>
      </w:r>
    </w:p>
    <w:p w:rsidR="004D7D95" w:rsidRPr="00605A9C" w:rsidRDefault="004D7F7C" w:rsidP="002A5C50">
      <w:pPr>
        <w:pStyle w:val="SCCNormalDoubleSpacing"/>
        <w:spacing w:before="480" w:after="480"/>
        <w:rPr>
          <w:lang w:val="fr-CA"/>
        </w:rPr>
      </w:pPr>
      <w:r w:rsidRPr="00605A9C">
        <w:rPr>
          <w:lang w:val="fr-CA"/>
        </w:rPr>
        <w:tab/>
      </w:r>
      <w:r w:rsidR="006B5ADF" w:rsidRPr="00605A9C">
        <w:rPr>
          <w:i/>
          <w:lang w:val="fr-CA"/>
        </w:rPr>
        <w:t>Arrêt</w:t>
      </w:r>
      <w:r w:rsidR="00EA0874" w:rsidRPr="00605A9C">
        <w:rPr>
          <w:lang w:val="fr-CA"/>
        </w:rPr>
        <w:t xml:space="preserve"> </w:t>
      </w:r>
      <w:r w:rsidR="003A133B" w:rsidRPr="00605A9C">
        <w:rPr>
          <w:lang w:val="fr-CA"/>
        </w:rPr>
        <w:t>(</w:t>
      </w:r>
      <w:r w:rsidR="006536E7" w:rsidRPr="00605A9C">
        <w:rPr>
          <w:lang w:val="fr-CA"/>
        </w:rPr>
        <w:t>la juge en chef McLachlin et les</w:t>
      </w:r>
      <w:r w:rsidR="003A133B" w:rsidRPr="00605A9C">
        <w:rPr>
          <w:lang w:val="fr-CA"/>
        </w:rPr>
        <w:t xml:space="preserve"> juge</w:t>
      </w:r>
      <w:r w:rsidR="006536E7" w:rsidRPr="00605A9C">
        <w:rPr>
          <w:lang w:val="fr-CA"/>
        </w:rPr>
        <w:t>s Wagner et</w:t>
      </w:r>
      <w:r w:rsidR="003A133B" w:rsidRPr="00605A9C">
        <w:rPr>
          <w:lang w:val="fr-CA"/>
        </w:rPr>
        <w:t xml:space="preserve"> Côté sont </w:t>
      </w:r>
      <w:r w:rsidR="006536E7" w:rsidRPr="00605A9C">
        <w:rPr>
          <w:lang w:val="fr-CA"/>
        </w:rPr>
        <w:t>dissident</w:t>
      </w:r>
      <w:r w:rsidR="003A133B" w:rsidRPr="00605A9C">
        <w:rPr>
          <w:lang w:val="fr-CA"/>
        </w:rPr>
        <w:t>s</w:t>
      </w:r>
      <w:r w:rsidR="00E66762" w:rsidRPr="00605A9C">
        <w:rPr>
          <w:lang w:val="fr-CA"/>
        </w:rPr>
        <w:t xml:space="preserve"> en partie</w:t>
      </w:r>
      <w:r w:rsidR="00EA0874" w:rsidRPr="00605A9C">
        <w:rPr>
          <w:lang w:val="fr-CA"/>
        </w:rPr>
        <w:t>)</w:t>
      </w:r>
      <w:r w:rsidR="006945A3">
        <w:rPr>
          <w:lang w:val="fr-CA"/>
        </w:rPr>
        <w:t> :</w:t>
      </w:r>
      <w:r w:rsidR="004D7D95" w:rsidRPr="00605A9C">
        <w:rPr>
          <w:lang w:val="fr-CA"/>
        </w:rPr>
        <w:t xml:space="preserve"> Le pourvoi est</w:t>
      </w:r>
      <w:r w:rsidR="00274674" w:rsidRPr="00605A9C">
        <w:rPr>
          <w:lang w:val="fr-CA"/>
        </w:rPr>
        <w:t xml:space="preserve"> accueilli en partie.</w:t>
      </w:r>
    </w:p>
    <w:p w:rsidR="004D7D95" w:rsidRPr="00605A9C" w:rsidRDefault="00274674" w:rsidP="002A5C50">
      <w:pPr>
        <w:pStyle w:val="SCCNormalDoubleSpacing"/>
        <w:spacing w:before="480" w:after="480"/>
        <w:rPr>
          <w:noProof/>
          <w:lang w:val="fr-CA"/>
        </w:rPr>
      </w:pPr>
      <w:r w:rsidRPr="00605A9C">
        <w:rPr>
          <w:lang w:val="fr-CA"/>
        </w:rPr>
        <w:tab/>
      </w:r>
      <w:r w:rsidRPr="00605A9C">
        <w:rPr>
          <w:i/>
          <w:lang w:val="fr-CA"/>
        </w:rPr>
        <w:t>Les</w:t>
      </w:r>
      <w:r w:rsidRPr="00605A9C">
        <w:rPr>
          <w:lang w:val="fr-CA"/>
        </w:rPr>
        <w:t xml:space="preserve"> juges Karakatsanis, </w:t>
      </w:r>
      <w:r w:rsidRPr="00D5275F">
        <w:rPr>
          <w:lang w:val="fr-CA"/>
        </w:rPr>
        <w:t>Gascon</w:t>
      </w:r>
      <w:r w:rsidRPr="00605A9C">
        <w:rPr>
          <w:lang w:val="fr-CA"/>
        </w:rPr>
        <w:t xml:space="preserve">, </w:t>
      </w:r>
      <w:r w:rsidRPr="00D5275F">
        <w:rPr>
          <w:lang w:val="fr-CA"/>
        </w:rPr>
        <w:t>Brown</w:t>
      </w:r>
      <w:r w:rsidRPr="00605A9C">
        <w:rPr>
          <w:lang w:val="fr-CA"/>
        </w:rPr>
        <w:t xml:space="preserve"> et Rowe</w:t>
      </w:r>
      <w:r w:rsidR="006945A3">
        <w:rPr>
          <w:lang w:val="fr-CA"/>
        </w:rPr>
        <w:t> :</w:t>
      </w:r>
      <w:r w:rsidRPr="00605A9C">
        <w:rPr>
          <w:lang w:val="fr-CA"/>
        </w:rPr>
        <w:t xml:space="preserve"> </w:t>
      </w:r>
      <w:r w:rsidRPr="00605A9C">
        <w:rPr>
          <w:noProof/>
          <w:lang w:val="fr-CA"/>
        </w:rPr>
        <w:t>Le cadre général d</w:t>
      </w:r>
      <w:r w:rsidR="00EA59D7" w:rsidRPr="00605A9C">
        <w:rPr>
          <w:noProof/>
          <w:lang w:val="fr-CA"/>
        </w:rPr>
        <w:t>’</w:t>
      </w:r>
      <w:r w:rsidRPr="00605A9C">
        <w:rPr>
          <w:noProof/>
          <w:lang w:val="fr-CA"/>
        </w:rPr>
        <w:t>analyse établi dans l</w:t>
      </w:r>
      <w:r w:rsidR="00EA59D7" w:rsidRPr="00605A9C">
        <w:rPr>
          <w:noProof/>
          <w:lang w:val="fr-CA"/>
        </w:rPr>
        <w:t>’</w:t>
      </w:r>
      <w:r w:rsidRPr="00605A9C">
        <w:rPr>
          <w:noProof/>
          <w:lang w:val="fr-CA"/>
        </w:rPr>
        <w:t xml:space="preserve">arrêt </w:t>
      </w:r>
      <w:r w:rsidRPr="00605A9C">
        <w:rPr>
          <w:i/>
          <w:lang w:val="fr-CA"/>
        </w:rPr>
        <w:t>Anns c. London Borough of Merton</w:t>
      </w:r>
      <w:r w:rsidRPr="00605A9C">
        <w:rPr>
          <w:lang w:val="fr-CA"/>
        </w:rPr>
        <w:t>, [19</w:t>
      </w:r>
      <w:r w:rsidR="00D5275F">
        <w:rPr>
          <w:lang w:val="fr-CA"/>
        </w:rPr>
        <w:t>7</w:t>
      </w:r>
      <w:r w:rsidRPr="00605A9C">
        <w:rPr>
          <w:lang w:val="fr-CA"/>
        </w:rPr>
        <w:t>7] 2 All E.R. 492</w:t>
      </w:r>
      <w:r w:rsidRPr="00605A9C">
        <w:rPr>
          <w:noProof/>
          <w:lang w:val="fr-CA"/>
        </w:rPr>
        <w:t xml:space="preserve"> </w:t>
      </w:r>
      <w:r w:rsidR="00D5275F">
        <w:rPr>
          <w:noProof/>
          <w:lang w:val="fr-CA"/>
        </w:rPr>
        <w:t xml:space="preserve">(H.L.), </w:t>
      </w:r>
      <w:r w:rsidRPr="00605A9C">
        <w:rPr>
          <w:noProof/>
          <w:lang w:val="fr-CA"/>
        </w:rPr>
        <w:t xml:space="preserve">et précisé plus tard dans </w:t>
      </w:r>
      <w:r w:rsidRPr="00605A9C">
        <w:rPr>
          <w:i/>
          <w:noProof/>
          <w:lang w:val="fr-CA"/>
        </w:rPr>
        <w:t>Cooper c. Hobart</w:t>
      </w:r>
      <w:r w:rsidRPr="00605A9C">
        <w:rPr>
          <w:noProof/>
          <w:lang w:val="fr-CA"/>
        </w:rPr>
        <w:t>, 2001 CSC 79, [2001] 3 R.C.S. 537</w:t>
      </w:r>
      <w:r w:rsidR="003E40C4" w:rsidRPr="00605A9C">
        <w:rPr>
          <w:noProof/>
          <w:lang w:val="fr-CA"/>
        </w:rPr>
        <w:t>, s</w:t>
      </w:r>
      <w:r w:rsidR="00EA59D7" w:rsidRPr="00605A9C">
        <w:rPr>
          <w:noProof/>
          <w:lang w:val="fr-CA"/>
        </w:rPr>
        <w:t>’</w:t>
      </w:r>
      <w:r w:rsidR="003E40C4" w:rsidRPr="00605A9C">
        <w:rPr>
          <w:noProof/>
          <w:lang w:val="fr-CA"/>
        </w:rPr>
        <w:t>applique dans le cas d</w:t>
      </w:r>
      <w:r w:rsidR="00EA59D7" w:rsidRPr="00605A9C">
        <w:rPr>
          <w:noProof/>
          <w:lang w:val="fr-CA"/>
        </w:rPr>
        <w:t>’</w:t>
      </w:r>
      <w:r w:rsidR="003E40C4" w:rsidRPr="00605A9C">
        <w:rPr>
          <w:noProof/>
          <w:lang w:val="fr-CA"/>
        </w:rPr>
        <w:t>une perte purement économique découlant d</w:t>
      </w:r>
      <w:r w:rsidR="00EA59D7" w:rsidRPr="00605A9C">
        <w:rPr>
          <w:noProof/>
          <w:lang w:val="fr-CA"/>
        </w:rPr>
        <w:t>’</w:t>
      </w:r>
      <w:r w:rsidR="003E40C4" w:rsidRPr="00605A9C">
        <w:rPr>
          <w:noProof/>
          <w:lang w:val="fr-CA"/>
        </w:rPr>
        <w:t>une déclaration inexacte faite par négligence ou de la prestation négligente d</w:t>
      </w:r>
      <w:r w:rsidR="00EA59D7" w:rsidRPr="00605A9C">
        <w:rPr>
          <w:noProof/>
          <w:lang w:val="fr-CA"/>
        </w:rPr>
        <w:t>’</w:t>
      </w:r>
      <w:r w:rsidR="003E40C4" w:rsidRPr="00605A9C">
        <w:rPr>
          <w:noProof/>
          <w:lang w:val="fr-CA"/>
        </w:rPr>
        <w:t>un service par un vérificateur.</w:t>
      </w:r>
      <w:r w:rsidR="009331A5" w:rsidRPr="00605A9C">
        <w:rPr>
          <w:noProof/>
          <w:lang w:val="fr-CA"/>
        </w:rPr>
        <w:t xml:space="preserve"> Le cadre d</w:t>
      </w:r>
      <w:r w:rsidR="00EA59D7" w:rsidRPr="00605A9C">
        <w:rPr>
          <w:noProof/>
          <w:lang w:val="fr-CA"/>
        </w:rPr>
        <w:t>’</w:t>
      </w:r>
      <w:r w:rsidR="009331A5" w:rsidRPr="00605A9C">
        <w:rPr>
          <w:noProof/>
          <w:lang w:val="fr-CA"/>
        </w:rPr>
        <w:t xml:space="preserve">analyse à deux volets des arrêts </w:t>
      </w:r>
      <w:r w:rsidR="009331A5" w:rsidRPr="00605A9C">
        <w:rPr>
          <w:i/>
          <w:noProof/>
          <w:lang w:val="fr-CA"/>
        </w:rPr>
        <w:t>Anns</w:t>
      </w:r>
      <w:r w:rsidR="009331A5" w:rsidRPr="00605A9C">
        <w:rPr>
          <w:noProof/>
          <w:lang w:val="fr-CA"/>
        </w:rPr>
        <w:t xml:space="preserve"> et </w:t>
      </w:r>
      <w:r w:rsidR="009331A5" w:rsidRPr="00605A9C">
        <w:rPr>
          <w:i/>
          <w:noProof/>
          <w:lang w:val="fr-CA"/>
        </w:rPr>
        <w:t>Cooper</w:t>
      </w:r>
      <w:r w:rsidR="009331A5" w:rsidRPr="00605A9C">
        <w:rPr>
          <w:noProof/>
          <w:lang w:val="fr-CA"/>
        </w:rPr>
        <w:t xml:space="preserve"> pos</w:t>
      </w:r>
      <w:r w:rsidR="001C7B29" w:rsidRPr="00605A9C">
        <w:rPr>
          <w:noProof/>
          <w:lang w:val="fr-CA"/>
        </w:rPr>
        <w:t>e</w:t>
      </w:r>
      <w:r w:rsidR="009331A5" w:rsidRPr="00605A9C">
        <w:rPr>
          <w:noProof/>
          <w:lang w:val="fr-CA"/>
        </w:rPr>
        <w:t xml:space="preserve"> les questions de savoir s</w:t>
      </w:r>
      <w:r w:rsidR="00EA59D7" w:rsidRPr="00605A9C">
        <w:rPr>
          <w:noProof/>
          <w:lang w:val="fr-CA"/>
        </w:rPr>
        <w:t>’</w:t>
      </w:r>
      <w:r w:rsidR="009331A5" w:rsidRPr="00605A9C">
        <w:rPr>
          <w:noProof/>
          <w:lang w:val="fr-CA"/>
        </w:rPr>
        <w:t xml:space="preserve">il existe une obligation de diligence </w:t>
      </w:r>
      <w:r w:rsidR="009331A5" w:rsidRPr="00605A9C">
        <w:rPr>
          <w:i/>
          <w:noProof/>
          <w:lang w:val="fr-CA"/>
        </w:rPr>
        <w:t xml:space="preserve">prima facie </w:t>
      </w:r>
      <w:r w:rsidR="009331A5" w:rsidRPr="00605A9C">
        <w:rPr>
          <w:noProof/>
          <w:lang w:val="fr-CA"/>
        </w:rPr>
        <w:t>entre les</w:t>
      </w:r>
      <w:r w:rsidR="001C7B29" w:rsidRPr="00605A9C">
        <w:rPr>
          <w:noProof/>
          <w:lang w:val="fr-CA"/>
        </w:rPr>
        <w:t xml:space="preserve"> parties,</w:t>
      </w:r>
      <w:r w:rsidR="009331A5" w:rsidRPr="00605A9C">
        <w:rPr>
          <w:noProof/>
          <w:lang w:val="fr-CA"/>
        </w:rPr>
        <w:t xml:space="preserve"> et si, dans l</w:t>
      </w:r>
      <w:r w:rsidR="00EA59D7" w:rsidRPr="00605A9C">
        <w:rPr>
          <w:noProof/>
          <w:lang w:val="fr-CA"/>
        </w:rPr>
        <w:t>’</w:t>
      </w:r>
      <w:r w:rsidR="009331A5" w:rsidRPr="00605A9C">
        <w:rPr>
          <w:noProof/>
          <w:lang w:val="fr-CA"/>
        </w:rPr>
        <w:t>affirmative, des considérations de politique résiduelles</w:t>
      </w:r>
      <w:r w:rsidR="001C7B29" w:rsidRPr="00605A9C">
        <w:rPr>
          <w:noProof/>
          <w:lang w:val="fr-CA"/>
        </w:rPr>
        <w:t xml:space="preserve"> </w:t>
      </w:r>
      <w:r w:rsidR="00346E60" w:rsidRPr="00605A9C">
        <w:rPr>
          <w:noProof/>
          <w:lang w:val="fr-CA"/>
        </w:rPr>
        <w:t xml:space="preserve">sont </w:t>
      </w:r>
      <w:r w:rsidR="001C7B29" w:rsidRPr="00605A9C">
        <w:rPr>
          <w:noProof/>
          <w:lang w:val="fr-CA"/>
        </w:rPr>
        <w:t xml:space="preserve">susceptibles </w:t>
      </w:r>
      <w:r w:rsidR="001C7B29" w:rsidRPr="00605A9C">
        <w:rPr>
          <w:noProof/>
          <w:lang w:val="fr-CA"/>
        </w:rPr>
        <w:lastRenderedPageBreak/>
        <w:t>d</w:t>
      </w:r>
      <w:r w:rsidR="00EA59D7" w:rsidRPr="00605A9C">
        <w:rPr>
          <w:noProof/>
          <w:lang w:val="fr-CA"/>
        </w:rPr>
        <w:t>’</w:t>
      </w:r>
      <w:r w:rsidR="001C7B29" w:rsidRPr="00605A9C">
        <w:rPr>
          <w:noProof/>
          <w:lang w:val="fr-CA"/>
        </w:rPr>
        <w:t>écarter l</w:t>
      </w:r>
      <w:r w:rsidR="00EA59D7" w:rsidRPr="00605A9C">
        <w:rPr>
          <w:noProof/>
          <w:lang w:val="fr-CA"/>
        </w:rPr>
        <w:t>’</w:t>
      </w:r>
      <w:r w:rsidR="001C7B29" w:rsidRPr="00605A9C">
        <w:rPr>
          <w:noProof/>
          <w:lang w:val="fr-CA"/>
        </w:rPr>
        <w:t>imposition d</w:t>
      </w:r>
      <w:r w:rsidR="00EA59D7" w:rsidRPr="00605A9C">
        <w:rPr>
          <w:noProof/>
          <w:lang w:val="fr-CA"/>
        </w:rPr>
        <w:t>’</w:t>
      </w:r>
      <w:r w:rsidR="001C7B29" w:rsidRPr="00605A9C">
        <w:rPr>
          <w:noProof/>
          <w:lang w:val="fr-CA"/>
        </w:rPr>
        <w:t xml:space="preserve">une obligation de diligence. </w:t>
      </w:r>
      <w:r w:rsidR="00825EA5">
        <w:rPr>
          <w:noProof/>
          <w:lang w:val="fr-CA"/>
        </w:rPr>
        <w:t xml:space="preserve">Au premier volet </w:t>
      </w:r>
      <w:r w:rsidR="001C7B29" w:rsidRPr="00605A9C">
        <w:rPr>
          <w:noProof/>
          <w:lang w:val="fr-CA"/>
        </w:rPr>
        <w:t>de l</w:t>
      </w:r>
      <w:r w:rsidR="00EA59D7" w:rsidRPr="00605A9C">
        <w:rPr>
          <w:noProof/>
          <w:lang w:val="fr-CA"/>
        </w:rPr>
        <w:t>’</w:t>
      </w:r>
      <w:r w:rsidR="001C7B29" w:rsidRPr="00605A9C">
        <w:rPr>
          <w:noProof/>
          <w:lang w:val="fr-CA"/>
        </w:rPr>
        <w:t xml:space="preserve">analyse, il existe une obligation de diligence </w:t>
      </w:r>
      <w:r w:rsidR="001C7B29" w:rsidRPr="00605A9C">
        <w:rPr>
          <w:i/>
          <w:noProof/>
          <w:lang w:val="fr-CA"/>
        </w:rPr>
        <w:t>prima facie</w:t>
      </w:r>
      <w:r w:rsidR="001C7B29" w:rsidRPr="00605A9C">
        <w:rPr>
          <w:noProof/>
          <w:lang w:val="fr-CA"/>
        </w:rPr>
        <w:t xml:space="preserve"> lorsque le lien de proximité et la prévi</w:t>
      </w:r>
      <w:r w:rsidR="00825EA5">
        <w:rPr>
          <w:noProof/>
          <w:lang w:val="fr-CA"/>
        </w:rPr>
        <w:t>si</w:t>
      </w:r>
      <w:r w:rsidR="001C7B29" w:rsidRPr="00605A9C">
        <w:rPr>
          <w:noProof/>
          <w:lang w:val="fr-CA"/>
        </w:rPr>
        <w:t>bilité raisonnable d</w:t>
      </w:r>
      <w:r w:rsidR="00EA59D7" w:rsidRPr="00605A9C">
        <w:rPr>
          <w:noProof/>
          <w:lang w:val="fr-CA"/>
        </w:rPr>
        <w:t>’</w:t>
      </w:r>
      <w:r w:rsidR="001C7B29" w:rsidRPr="00605A9C">
        <w:rPr>
          <w:noProof/>
          <w:lang w:val="fr-CA"/>
        </w:rPr>
        <w:t xml:space="preserve">un préjudice sont établis. </w:t>
      </w:r>
      <w:r w:rsidR="00816542" w:rsidRPr="00605A9C">
        <w:rPr>
          <w:noProof/>
          <w:lang w:val="fr-CA"/>
        </w:rPr>
        <w:t>Au moment de l</w:t>
      </w:r>
      <w:r w:rsidR="00EA59D7" w:rsidRPr="00605A9C">
        <w:rPr>
          <w:noProof/>
          <w:lang w:val="fr-CA"/>
        </w:rPr>
        <w:t>’</w:t>
      </w:r>
      <w:r w:rsidR="00816542" w:rsidRPr="00605A9C">
        <w:rPr>
          <w:noProof/>
          <w:lang w:val="fr-CA"/>
        </w:rPr>
        <w:t>examen du lien de proximité, si un rapport relève d</w:t>
      </w:r>
      <w:r w:rsidR="00EA59D7" w:rsidRPr="00605A9C">
        <w:rPr>
          <w:noProof/>
          <w:lang w:val="fr-CA"/>
        </w:rPr>
        <w:t>’</w:t>
      </w:r>
      <w:r w:rsidR="00816542" w:rsidRPr="00605A9C">
        <w:rPr>
          <w:noProof/>
          <w:lang w:val="fr-CA"/>
        </w:rPr>
        <w:t>une catégorie déjà établie, ou s</w:t>
      </w:r>
      <w:r w:rsidR="00EA59D7" w:rsidRPr="00605A9C">
        <w:rPr>
          <w:noProof/>
          <w:lang w:val="fr-CA"/>
        </w:rPr>
        <w:t>’</w:t>
      </w:r>
      <w:r w:rsidR="00816542" w:rsidRPr="00605A9C">
        <w:rPr>
          <w:noProof/>
          <w:lang w:val="fr-CA"/>
        </w:rPr>
        <w:t>il s</w:t>
      </w:r>
      <w:r w:rsidR="00EA59D7" w:rsidRPr="00605A9C">
        <w:rPr>
          <w:noProof/>
          <w:lang w:val="fr-CA"/>
        </w:rPr>
        <w:t>’</w:t>
      </w:r>
      <w:r w:rsidR="00816542" w:rsidRPr="00605A9C">
        <w:rPr>
          <w:noProof/>
          <w:lang w:val="fr-CA"/>
        </w:rPr>
        <w:t>agit d</w:t>
      </w:r>
      <w:r w:rsidR="00EA59D7" w:rsidRPr="00605A9C">
        <w:rPr>
          <w:noProof/>
          <w:lang w:val="fr-CA"/>
        </w:rPr>
        <w:t>’</w:t>
      </w:r>
      <w:r w:rsidR="00816542" w:rsidRPr="00605A9C">
        <w:rPr>
          <w:noProof/>
          <w:lang w:val="fr-CA"/>
        </w:rPr>
        <w:t>un rapport analogue, l</w:t>
      </w:r>
      <w:r w:rsidR="00EA59D7" w:rsidRPr="00605A9C">
        <w:rPr>
          <w:noProof/>
          <w:lang w:val="fr-CA"/>
        </w:rPr>
        <w:t>’</w:t>
      </w:r>
      <w:r w:rsidR="00816542" w:rsidRPr="00605A9C">
        <w:rPr>
          <w:noProof/>
          <w:lang w:val="fr-CA"/>
        </w:rPr>
        <w:t>existence du lien étroit et direct requis est établie. S</w:t>
      </w:r>
      <w:r w:rsidR="00252881">
        <w:rPr>
          <w:noProof/>
          <w:lang w:val="fr-CA"/>
        </w:rPr>
        <w:t>’</w:t>
      </w:r>
      <w:r w:rsidR="00816542" w:rsidRPr="00605A9C">
        <w:rPr>
          <w:noProof/>
          <w:lang w:val="fr-CA"/>
        </w:rPr>
        <w:t>il est également possible d</w:t>
      </w:r>
      <w:r w:rsidR="00EA59D7" w:rsidRPr="00605A9C">
        <w:rPr>
          <w:noProof/>
          <w:lang w:val="fr-CA"/>
        </w:rPr>
        <w:t>’</w:t>
      </w:r>
      <w:r w:rsidR="00816542" w:rsidRPr="00605A9C">
        <w:rPr>
          <w:noProof/>
          <w:lang w:val="fr-CA"/>
        </w:rPr>
        <w:t>établir l</w:t>
      </w:r>
      <w:r w:rsidR="00EA59D7" w:rsidRPr="00605A9C">
        <w:rPr>
          <w:noProof/>
          <w:lang w:val="fr-CA"/>
        </w:rPr>
        <w:t>’</w:t>
      </w:r>
      <w:r w:rsidR="00816542" w:rsidRPr="00605A9C">
        <w:rPr>
          <w:noProof/>
          <w:lang w:val="fr-CA"/>
        </w:rPr>
        <w:t>existence d</w:t>
      </w:r>
      <w:r w:rsidR="00EA59D7" w:rsidRPr="00605A9C">
        <w:rPr>
          <w:noProof/>
          <w:lang w:val="fr-CA"/>
        </w:rPr>
        <w:t>’</w:t>
      </w:r>
      <w:r w:rsidR="00816542" w:rsidRPr="00605A9C">
        <w:rPr>
          <w:noProof/>
          <w:lang w:val="fr-CA"/>
        </w:rPr>
        <w:t>un risque de préjudice raisonnablement prévisible, il est satisfait au premier volet du cadre d</w:t>
      </w:r>
      <w:r w:rsidR="00EA59D7" w:rsidRPr="00605A9C">
        <w:rPr>
          <w:noProof/>
          <w:lang w:val="fr-CA"/>
        </w:rPr>
        <w:t>’</w:t>
      </w:r>
      <w:r w:rsidR="00816542" w:rsidRPr="00605A9C">
        <w:rPr>
          <w:noProof/>
          <w:lang w:val="fr-CA"/>
        </w:rPr>
        <w:t xml:space="preserve">analyse des arrêts </w:t>
      </w:r>
      <w:r w:rsidR="00816542" w:rsidRPr="00605A9C">
        <w:rPr>
          <w:i/>
          <w:noProof/>
          <w:lang w:val="fr-CA"/>
        </w:rPr>
        <w:t xml:space="preserve">Anns </w:t>
      </w:r>
      <w:r w:rsidR="00816542" w:rsidRPr="00605A9C">
        <w:rPr>
          <w:noProof/>
          <w:lang w:val="fr-CA"/>
        </w:rPr>
        <w:t>et</w:t>
      </w:r>
      <w:r w:rsidR="00816542" w:rsidRPr="00605A9C">
        <w:rPr>
          <w:i/>
          <w:noProof/>
          <w:lang w:val="fr-CA"/>
        </w:rPr>
        <w:t xml:space="preserve"> Cooper</w:t>
      </w:r>
      <w:r w:rsidR="00816542" w:rsidRPr="00605A9C">
        <w:rPr>
          <w:noProof/>
          <w:lang w:val="fr-CA"/>
        </w:rPr>
        <w:t xml:space="preserve"> et il est possible d</w:t>
      </w:r>
      <w:r w:rsidR="00EA59D7" w:rsidRPr="00605A9C">
        <w:rPr>
          <w:noProof/>
          <w:lang w:val="fr-CA"/>
        </w:rPr>
        <w:t>’</w:t>
      </w:r>
      <w:r w:rsidR="00816542" w:rsidRPr="00605A9C">
        <w:rPr>
          <w:noProof/>
          <w:lang w:val="fr-CA"/>
        </w:rPr>
        <w:t>affirmer l</w:t>
      </w:r>
      <w:r w:rsidR="00EA59D7" w:rsidRPr="00605A9C">
        <w:rPr>
          <w:noProof/>
          <w:lang w:val="fr-CA"/>
        </w:rPr>
        <w:t>’</w:t>
      </w:r>
      <w:r w:rsidR="00816542" w:rsidRPr="00605A9C">
        <w:rPr>
          <w:noProof/>
          <w:lang w:val="fr-CA"/>
        </w:rPr>
        <w:t>existence d</w:t>
      </w:r>
      <w:r w:rsidR="00EA59D7" w:rsidRPr="00605A9C">
        <w:rPr>
          <w:noProof/>
          <w:lang w:val="fr-CA"/>
        </w:rPr>
        <w:t>’</w:t>
      </w:r>
      <w:r w:rsidR="00816542" w:rsidRPr="00605A9C">
        <w:rPr>
          <w:noProof/>
          <w:lang w:val="fr-CA"/>
        </w:rPr>
        <w:t>une obligation de diligence. Dans de telles circonstances, le deuxième volet du cadre d</w:t>
      </w:r>
      <w:r w:rsidR="00EA59D7" w:rsidRPr="00605A9C">
        <w:rPr>
          <w:noProof/>
          <w:lang w:val="fr-CA"/>
        </w:rPr>
        <w:t>’</w:t>
      </w:r>
      <w:r w:rsidR="00816542" w:rsidRPr="00605A9C">
        <w:rPr>
          <w:noProof/>
          <w:lang w:val="fr-CA"/>
        </w:rPr>
        <w:t>analyse entrera rarement en jeu parce que les considérations de politique résiduelles auront déjà été prises en compte lorsque l</w:t>
      </w:r>
      <w:r w:rsidR="00EA59D7" w:rsidRPr="00605A9C">
        <w:rPr>
          <w:noProof/>
          <w:lang w:val="fr-CA"/>
        </w:rPr>
        <w:t>’</w:t>
      </w:r>
      <w:r w:rsidR="00816542" w:rsidRPr="00605A9C">
        <w:rPr>
          <w:noProof/>
          <w:lang w:val="fr-CA"/>
        </w:rPr>
        <w:t>existence du lien de proximité a été reconnue.</w:t>
      </w:r>
    </w:p>
    <w:p w:rsidR="00816542" w:rsidRPr="00605A9C" w:rsidRDefault="00816542" w:rsidP="002A5C50">
      <w:pPr>
        <w:pStyle w:val="SCCNormalDoubleSpacing"/>
        <w:spacing w:before="480" w:after="480"/>
        <w:rPr>
          <w:noProof/>
          <w:lang w:val="fr-CA"/>
        </w:rPr>
      </w:pPr>
      <w:r w:rsidRPr="00605A9C">
        <w:rPr>
          <w:noProof/>
          <w:lang w:val="fr-CA"/>
        </w:rPr>
        <w:tab/>
        <w:t>Lorsqu</w:t>
      </w:r>
      <w:r w:rsidR="00EA59D7" w:rsidRPr="00605A9C">
        <w:rPr>
          <w:noProof/>
          <w:lang w:val="fr-CA"/>
        </w:rPr>
        <w:t>’</w:t>
      </w:r>
      <w:r w:rsidRPr="00605A9C">
        <w:rPr>
          <w:noProof/>
          <w:lang w:val="fr-CA"/>
        </w:rPr>
        <w:t>ils ne peuvent conclure à l</w:t>
      </w:r>
      <w:r w:rsidR="00EA59D7" w:rsidRPr="00605A9C">
        <w:rPr>
          <w:noProof/>
          <w:lang w:val="fr-CA"/>
        </w:rPr>
        <w:t>’</w:t>
      </w:r>
      <w:r w:rsidRPr="00605A9C">
        <w:rPr>
          <w:noProof/>
          <w:lang w:val="fr-CA"/>
        </w:rPr>
        <w:t>existence d</w:t>
      </w:r>
      <w:r w:rsidR="00EA59D7" w:rsidRPr="00605A9C">
        <w:rPr>
          <w:noProof/>
          <w:lang w:val="fr-CA"/>
        </w:rPr>
        <w:t>’</w:t>
      </w:r>
      <w:r w:rsidRPr="00605A9C">
        <w:rPr>
          <w:noProof/>
          <w:lang w:val="fr-CA"/>
        </w:rPr>
        <w:t>un lien de proximité établi, les tribunaux doivent procéder à une analyse exhaustive à cet égard. Pour déterminer si le lien étroit et direct existe, les tribunaux doivent examiner tous les facteurs pertinents</w:t>
      </w:r>
      <w:r w:rsidR="00895E44" w:rsidRPr="00605A9C">
        <w:rPr>
          <w:noProof/>
          <w:lang w:val="fr-CA"/>
        </w:rPr>
        <w:t xml:space="preserve"> </w:t>
      </w:r>
      <w:r w:rsidRPr="00605A9C">
        <w:rPr>
          <w:noProof/>
          <w:lang w:val="fr-CA"/>
        </w:rPr>
        <w:t>découlant du lien existant entre le demandeu</w:t>
      </w:r>
      <w:r w:rsidR="00895E44" w:rsidRPr="00605A9C">
        <w:rPr>
          <w:noProof/>
          <w:lang w:val="fr-CA"/>
        </w:rPr>
        <w:t>r et le défendeur. Dans le cas d</w:t>
      </w:r>
      <w:r w:rsidR="00EA59D7" w:rsidRPr="00605A9C">
        <w:rPr>
          <w:noProof/>
          <w:lang w:val="fr-CA"/>
        </w:rPr>
        <w:t>’</w:t>
      </w:r>
      <w:r w:rsidR="00895E44" w:rsidRPr="00605A9C">
        <w:rPr>
          <w:noProof/>
          <w:lang w:val="fr-CA"/>
        </w:rPr>
        <w:t>une perte purement économique attribuable à une déclaration inexacte faite par négligence ou à la prestation négligente d</w:t>
      </w:r>
      <w:r w:rsidR="00EA59D7" w:rsidRPr="00605A9C">
        <w:rPr>
          <w:noProof/>
          <w:lang w:val="fr-CA"/>
        </w:rPr>
        <w:t>’</w:t>
      </w:r>
      <w:r w:rsidR="00895E44" w:rsidRPr="00605A9C">
        <w:rPr>
          <w:noProof/>
          <w:lang w:val="fr-CA"/>
        </w:rPr>
        <w:t>un service, deux facteurs jouent un rôle déterminant dans l</w:t>
      </w:r>
      <w:r w:rsidR="00EA59D7" w:rsidRPr="00605A9C">
        <w:rPr>
          <w:noProof/>
          <w:lang w:val="fr-CA"/>
        </w:rPr>
        <w:t>’</w:t>
      </w:r>
      <w:r w:rsidR="00895E44" w:rsidRPr="00605A9C">
        <w:rPr>
          <w:noProof/>
          <w:lang w:val="fr-CA"/>
        </w:rPr>
        <w:t>analyse du lien de proximité</w:t>
      </w:r>
      <w:r w:rsidR="006945A3">
        <w:rPr>
          <w:noProof/>
          <w:lang w:val="fr-CA"/>
        </w:rPr>
        <w:t> :</w:t>
      </w:r>
      <w:r w:rsidR="00895E44" w:rsidRPr="00605A9C">
        <w:rPr>
          <w:noProof/>
          <w:lang w:val="fr-CA"/>
        </w:rPr>
        <w:t xml:space="preserve"> l</w:t>
      </w:r>
      <w:r w:rsidR="00EA59D7" w:rsidRPr="00605A9C">
        <w:rPr>
          <w:noProof/>
          <w:lang w:val="fr-CA"/>
        </w:rPr>
        <w:t>’</w:t>
      </w:r>
      <w:r w:rsidR="00895E44" w:rsidRPr="00605A9C">
        <w:rPr>
          <w:noProof/>
          <w:lang w:val="fr-CA"/>
        </w:rPr>
        <w:t>engagement pris par le défendeur et le fait pour le demandeur de s</w:t>
      </w:r>
      <w:r w:rsidR="00EA59D7" w:rsidRPr="00605A9C">
        <w:rPr>
          <w:noProof/>
          <w:lang w:val="fr-CA"/>
        </w:rPr>
        <w:t>’</w:t>
      </w:r>
      <w:r w:rsidR="00895E44" w:rsidRPr="00605A9C">
        <w:rPr>
          <w:noProof/>
          <w:lang w:val="fr-CA"/>
        </w:rPr>
        <w:t>y fier. Lorsqu</w:t>
      </w:r>
      <w:r w:rsidR="00EA59D7" w:rsidRPr="00605A9C">
        <w:rPr>
          <w:noProof/>
          <w:lang w:val="fr-CA"/>
        </w:rPr>
        <w:t>’</w:t>
      </w:r>
      <w:r w:rsidR="00895E44" w:rsidRPr="00605A9C">
        <w:rPr>
          <w:noProof/>
          <w:lang w:val="fr-CA"/>
        </w:rPr>
        <w:t>il s</w:t>
      </w:r>
      <w:r w:rsidR="00EA59D7" w:rsidRPr="00605A9C">
        <w:rPr>
          <w:noProof/>
          <w:lang w:val="fr-CA"/>
        </w:rPr>
        <w:t>’</w:t>
      </w:r>
      <w:r w:rsidR="00895E44" w:rsidRPr="00605A9C">
        <w:rPr>
          <w:noProof/>
          <w:lang w:val="fr-CA"/>
        </w:rPr>
        <w:t>engage à fournir une déclaration ou un service dans des circonstances qui invitent à la confiance raisonnable du demandeur, le défendeur est tenu d</w:t>
      </w:r>
      <w:r w:rsidR="00EA59D7" w:rsidRPr="00605A9C">
        <w:rPr>
          <w:noProof/>
          <w:lang w:val="fr-CA"/>
        </w:rPr>
        <w:t>’</w:t>
      </w:r>
      <w:r w:rsidR="00895E44" w:rsidRPr="00605A9C">
        <w:rPr>
          <w:noProof/>
          <w:lang w:val="fr-CA"/>
        </w:rPr>
        <w:t>agir avec diligence raisonnable, et le demandeur a le droit de se fier à l</w:t>
      </w:r>
      <w:r w:rsidR="00EA59D7" w:rsidRPr="00605A9C">
        <w:rPr>
          <w:noProof/>
          <w:lang w:val="fr-CA"/>
        </w:rPr>
        <w:t>’</w:t>
      </w:r>
      <w:r w:rsidR="00895E44" w:rsidRPr="00605A9C">
        <w:rPr>
          <w:noProof/>
          <w:lang w:val="fr-CA"/>
        </w:rPr>
        <w:t>engagement pris par le défendeur. Ce sont ces droits et ces obligations corollaires qui créent un lien de proximité. Toute décision de la part du demandeur de se fier à l</w:t>
      </w:r>
      <w:r w:rsidR="00EA59D7" w:rsidRPr="00605A9C">
        <w:rPr>
          <w:noProof/>
          <w:lang w:val="fr-CA"/>
        </w:rPr>
        <w:t>’</w:t>
      </w:r>
      <w:r w:rsidR="00895E44" w:rsidRPr="00605A9C">
        <w:rPr>
          <w:noProof/>
          <w:lang w:val="fr-CA"/>
        </w:rPr>
        <w:t xml:space="preserve">engagement qui excède la portée de la responsabilité assumée par le défendeur excède </w:t>
      </w:r>
      <w:r w:rsidR="00895E44" w:rsidRPr="00605A9C">
        <w:rPr>
          <w:noProof/>
          <w:lang w:val="fr-CA"/>
        </w:rPr>
        <w:lastRenderedPageBreak/>
        <w:t>nécessairement le cadre du lien de proximité et, par conséquent, celui de l</w:t>
      </w:r>
      <w:r w:rsidR="00EA59D7" w:rsidRPr="00605A9C">
        <w:rPr>
          <w:noProof/>
          <w:lang w:val="fr-CA"/>
        </w:rPr>
        <w:t>’</w:t>
      </w:r>
      <w:r w:rsidR="00895E44" w:rsidRPr="00605A9C">
        <w:rPr>
          <w:noProof/>
          <w:lang w:val="fr-CA"/>
        </w:rPr>
        <w:t>obligation de diligence qui incombe au défendeur. Ce principe a pour effet de restreindre à juste titre la responsabilité au motif que le défendeur ne saurait être tenu responsable d</w:t>
      </w:r>
      <w:r w:rsidR="00EA59D7" w:rsidRPr="00605A9C">
        <w:rPr>
          <w:noProof/>
          <w:lang w:val="fr-CA"/>
        </w:rPr>
        <w:t>’</w:t>
      </w:r>
      <w:r w:rsidR="00895E44" w:rsidRPr="00605A9C">
        <w:rPr>
          <w:noProof/>
          <w:lang w:val="fr-CA"/>
        </w:rPr>
        <w:t>un risque de préjudice contre lequel il ne s</w:t>
      </w:r>
      <w:r w:rsidR="00EA59D7" w:rsidRPr="00605A9C">
        <w:rPr>
          <w:noProof/>
          <w:lang w:val="fr-CA"/>
        </w:rPr>
        <w:t>’</w:t>
      </w:r>
      <w:r w:rsidR="00895E44" w:rsidRPr="00605A9C">
        <w:rPr>
          <w:noProof/>
          <w:lang w:val="fr-CA"/>
        </w:rPr>
        <w:t>est pas engagé à protéger le demandeur</w:t>
      </w:r>
      <w:r w:rsidR="00C2431C" w:rsidRPr="00605A9C">
        <w:rPr>
          <w:noProof/>
          <w:lang w:val="fr-CA"/>
        </w:rPr>
        <w:t>.</w:t>
      </w:r>
    </w:p>
    <w:p w:rsidR="00C2431C" w:rsidRPr="00605A9C" w:rsidRDefault="00C2431C" w:rsidP="002A5C50">
      <w:pPr>
        <w:pStyle w:val="SCCNormalDoubleSpacing"/>
        <w:spacing w:before="480" w:after="480"/>
        <w:rPr>
          <w:noProof/>
          <w:lang w:val="fr-CA"/>
        </w:rPr>
      </w:pPr>
      <w:r w:rsidRPr="00605A9C">
        <w:rPr>
          <w:noProof/>
          <w:lang w:val="fr-CA"/>
        </w:rPr>
        <w:tab/>
        <w:t>L</w:t>
      </w:r>
      <w:r w:rsidR="00EA59D7" w:rsidRPr="00605A9C">
        <w:rPr>
          <w:noProof/>
          <w:lang w:val="fr-CA"/>
        </w:rPr>
        <w:t>’</w:t>
      </w:r>
      <w:r w:rsidRPr="00605A9C">
        <w:rPr>
          <w:noProof/>
          <w:lang w:val="fr-CA"/>
        </w:rPr>
        <w:t>examen de la prévisibilité raisonnable dans le cadre de l</w:t>
      </w:r>
      <w:r w:rsidR="00EA59D7" w:rsidRPr="00605A9C">
        <w:rPr>
          <w:noProof/>
          <w:lang w:val="fr-CA"/>
        </w:rPr>
        <w:t>’</w:t>
      </w:r>
      <w:r w:rsidRPr="00605A9C">
        <w:rPr>
          <w:noProof/>
          <w:lang w:val="fr-CA"/>
        </w:rPr>
        <w:t xml:space="preserve">analyse relative à </w:t>
      </w:r>
      <w:r w:rsidR="003C48AC">
        <w:rPr>
          <w:noProof/>
          <w:lang w:val="fr-CA"/>
        </w:rPr>
        <w:t>l’</w:t>
      </w:r>
      <w:r w:rsidRPr="00605A9C">
        <w:rPr>
          <w:noProof/>
          <w:lang w:val="fr-CA"/>
        </w:rPr>
        <w:t xml:space="preserve">obligation de diligence </w:t>
      </w:r>
      <w:r w:rsidRPr="00605A9C">
        <w:rPr>
          <w:i/>
          <w:noProof/>
          <w:lang w:val="fr-CA"/>
        </w:rPr>
        <w:t xml:space="preserve">prima facie </w:t>
      </w:r>
      <w:r w:rsidRPr="00605A9C">
        <w:rPr>
          <w:noProof/>
          <w:lang w:val="fr-CA"/>
        </w:rPr>
        <w:t xml:space="preserve">consiste à se demander si le préjudice subi par le demandeur constituait une conséquence raisonnablement prévisible de la négligence du défendeur. </w:t>
      </w:r>
      <w:r w:rsidR="007C37A6" w:rsidRPr="00605A9C">
        <w:rPr>
          <w:noProof/>
          <w:lang w:val="fr-CA"/>
        </w:rPr>
        <w:t>La prévisibilité raisonnable s</w:t>
      </w:r>
      <w:r w:rsidR="00EA59D7" w:rsidRPr="00605A9C">
        <w:rPr>
          <w:noProof/>
          <w:lang w:val="fr-CA"/>
        </w:rPr>
        <w:t>’</w:t>
      </w:r>
      <w:r w:rsidR="007C37A6" w:rsidRPr="00605A9C">
        <w:rPr>
          <w:noProof/>
          <w:lang w:val="fr-CA"/>
        </w:rPr>
        <w:t>attache à la probabilité de préjudice découlant de la négligence du défendeur. Dans les cas de déclaration inexacte faite par négligence ou de prestation négligente d</w:t>
      </w:r>
      <w:r w:rsidR="00EA59D7" w:rsidRPr="00605A9C">
        <w:rPr>
          <w:noProof/>
          <w:lang w:val="fr-CA"/>
        </w:rPr>
        <w:t>’</w:t>
      </w:r>
      <w:r w:rsidR="007C37A6" w:rsidRPr="00605A9C">
        <w:rPr>
          <w:noProof/>
          <w:lang w:val="fr-CA"/>
        </w:rPr>
        <w:t>un service, le lien de proximité sert à guider l</w:t>
      </w:r>
      <w:r w:rsidR="00EA59D7" w:rsidRPr="00605A9C">
        <w:rPr>
          <w:noProof/>
          <w:lang w:val="fr-CA"/>
        </w:rPr>
        <w:t>’</w:t>
      </w:r>
      <w:r w:rsidR="007C37A6" w:rsidRPr="00605A9C">
        <w:rPr>
          <w:noProof/>
          <w:lang w:val="fr-CA"/>
        </w:rPr>
        <w:t>analyse de la prévisibilité. L</w:t>
      </w:r>
      <w:r w:rsidR="00EA59D7" w:rsidRPr="00605A9C">
        <w:rPr>
          <w:noProof/>
          <w:lang w:val="fr-CA"/>
        </w:rPr>
        <w:t>’</w:t>
      </w:r>
      <w:r w:rsidR="007C37A6" w:rsidRPr="00605A9C">
        <w:rPr>
          <w:noProof/>
          <w:lang w:val="fr-CA"/>
        </w:rPr>
        <w:t>objet qui sous</w:t>
      </w:r>
      <w:r w:rsidR="006945A3">
        <w:rPr>
          <w:noProof/>
          <w:lang w:val="fr-CA"/>
        </w:rPr>
        <w:noBreakHyphen/>
      </w:r>
      <w:r w:rsidR="007C37A6" w:rsidRPr="00605A9C">
        <w:rPr>
          <w:noProof/>
          <w:lang w:val="fr-CA"/>
        </w:rPr>
        <w:t>tend l</w:t>
      </w:r>
      <w:r w:rsidR="00EA59D7" w:rsidRPr="00605A9C">
        <w:rPr>
          <w:noProof/>
          <w:lang w:val="fr-CA"/>
        </w:rPr>
        <w:t>’</w:t>
      </w:r>
      <w:r w:rsidR="007C37A6" w:rsidRPr="00605A9C">
        <w:rPr>
          <w:noProof/>
          <w:lang w:val="fr-CA"/>
        </w:rPr>
        <w:t xml:space="preserve">engagement et le fait de se fier à cet engagement restreint </w:t>
      </w:r>
      <w:r w:rsidR="007C37A6" w:rsidRPr="00605A9C">
        <w:rPr>
          <w:lang w:val="fr-CA"/>
        </w:rPr>
        <w:t>le type de</w:t>
      </w:r>
      <w:r w:rsidR="007C37A6" w:rsidRPr="00605A9C">
        <w:rPr>
          <w:noProof/>
          <w:lang w:val="fr-CA"/>
        </w:rPr>
        <w:t xml:space="preserve"> préjudice dont on pourrait raisonnablement prévoir qu</w:t>
      </w:r>
      <w:r w:rsidR="00EA59D7" w:rsidRPr="00605A9C">
        <w:rPr>
          <w:noProof/>
          <w:lang w:val="fr-CA"/>
        </w:rPr>
        <w:t>’</w:t>
      </w:r>
      <w:r w:rsidR="007C37A6" w:rsidRPr="00605A9C">
        <w:rPr>
          <w:noProof/>
          <w:lang w:val="fr-CA"/>
        </w:rPr>
        <w:t>il découlera de la négligence du défendeur. Le préjudice du demandeur sera raisonnablement prévisible si le défendeur aurait dû raisonnablement prévoir que le demand</w:t>
      </w:r>
      <w:r w:rsidR="00346E60" w:rsidRPr="00605A9C">
        <w:rPr>
          <w:noProof/>
          <w:lang w:val="fr-CA"/>
        </w:rPr>
        <w:t>eur se fierait à sa déclaration,</w:t>
      </w:r>
      <w:r w:rsidR="007C37A6" w:rsidRPr="00605A9C">
        <w:rPr>
          <w:noProof/>
          <w:lang w:val="fr-CA"/>
        </w:rPr>
        <w:t xml:space="preserve"> et si cette confiance serait raisonnable dans les circonstances particulières de l</w:t>
      </w:r>
      <w:r w:rsidR="00EA59D7" w:rsidRPr="00605A9C">
        <w:rPr>
          <w:noProof/>
          <w:lang w:val="fr-CA"/>
        </w:rPr>
        <w:t>’</w:t>
      </w:r>
      <w:r w:rsidR="007C37A6" w:rsidRPr="00605A9C">
        <w:rPr>
          <w:noProof/>
          <w:lang w:val="fr-CA"/>
        </w:rPr>
        <w:t>affaire.</w:t>
      </w:r>
      <w:r w:rsidR="00D475BC" w:rsidRPr="00605A9C">
        <w:rPr>
          <w:noProof/>
          <w:lang w:val="fr-CA"/>
        </w:rPr>
        <w:t xml:space="preserve"> Tant le caractère raisonnable que la prévisibilité raisonnable de cette confiance du demandeur seront déterminés en fonction du lien de proximité entre les parties.</w:t>
      </w:r>
    </w:p>
    <w:p w:rsidR="00D475BC" w:rsidRPr="00605A9C" w:rsidRDefault="00D475BC" w:rsidP="002A5C50">
      <w:pPr>
        <w:pStyle w:val="SCCNormalDoubleSpacing"/>
        <w:spacing w:before="480" w:after="480"/>
        <w:rPr>
          <w:noProof/>
          <w:lang w:val="fr-CA"/>
        </w:rPr>
      </w:pPr>
      <w:r w:rsidRPr="00605A9C">
        <w:rPr>
          <w:noProof/>
          <w:lang w:val="fr-CA"/>
        </w:rPr>
        <w:tab/>
        <w:t xml:space="preserve">Au deuxième volet du cadre </w:t>
      </w:r>
      <w:r w:rsidR="00346E60" w:rsidRPr="00605A9C">
        <w:rPr>
          <w:noProof/>
          <w:lang w:val="fr-CA"/>
        </w:rPr>
        <w:t>d</w:t>
      </w:r>
      <w:r w:rsidR="00EA59D7" w:rsidRPr="00605A9C">
        <w:rPr>
          <w:noProof/>
          <w:lang w:val="fr-CA"/>
        </w:rPr>
        <w:t>’</w:t>
      </w:r>
      <w:r w:rsidR="00346E60" w:rsidRPr="00605A9C">
        <w:rPr>
          <w:noProof/>
          <w:lang w:val="fr-CA"/>
        </w:rPr>
        <w:t xml:space="preserve">analyse </w:t>
      </w:r>
      <w:r w:rsidRPr="00605A9C">
        <w:rPr>
          <w:noProof/>
          <w:lang w:val="fr-CA"/>
        </w:rPr>
        <w:t xml:space="preserve">établi dans les arrêts </w:t>
      </w:r>
      <w:r w:rsidRPr="00605A9C">
        <w:rPr>
          <w:i/>
          <w:noProof/>
          <w:lang w:val="fr-CA"/>
        </w:rPr>
        <w:t xml:space="preserve">Anns </w:t>
      </w:r>
      <w:r w:rsidRPr="00605A9C">
        <w:rPr>
          <w:noProof/>
          <w:lang w:val="fr-CA"/>
        </w:rPr>
        <w:t xml:space="preserve">et </w:t>
      </w:r>
      <w:r w:rsidRPr="00605A9C">
        <w:rPr>
          <w:i/>
          <w:noProof/>
          <w:lang w:val="fr-CA"/>
        </w:rPr>
        <w:t>Cooper</w:t>
      </w:r>
      <w:r w:rsidRPr="00605A9C">
        <w:rPr>
          <w:noProof/>
          <w:lang w:val="fr-CA"/>
        </w:rPr>
        <w:t>, il s</w:t>
      </w:r>
      <w:r w:rsidR="00EA59D7" w:rsidRPr="00605A9C">
        <w:rPr>
          <w:noProof/>
          <w:lang w:val="fr-CA"/>
        </w:rPr>
        <w:t>’</w:t>
      </w:r>
      <w:r w:rsidRPr="00605A9C">
        <w:rPr>
          <w:noProof/>
          <w:lang w:val="fr-CA"/>
        </w:rPr>
        <w:t>agit de déterminer si des considérations de politique résiduelles étrangères au lien existant entre les parties sont susceptibles d</w:t>
      </w:r>
      <w:r w:rsidR="00EA59D7" w:rsidRPr="00605A9C">
        <w:rPr>
          <w:noProof/>
          <w:lang w:val="fr-CA"/>
        </w:rPr>
        <w:t>’</w:t>
      </w:r>
      <w:r w:rsidRPr="00605A9C">
        <w:rPr>
          <w:noProof/>
          <w:lang w:val="fr-CA"/>
        </w:rPr>
        <w:t>écarter l</w:t>
      </w:r>
      <w:r w:rsidR="00EA59D7" w:rsidRPr="00605A9C">
        <w:rPr>
          <w:noProof/>
          <w:lang w:val="fr-CA"/>
        </w:rPr>
        <w:t>’</w:t>
      </w:r>
      <w:r w:rsidRPr="00605A9C">
        <w:rPr>
          <w:noProof/>
          <w:lang w:val="fr-CA"/>
        </w:rPr>
        <w:t>imposition d</w:t>
      </w:r>
      <w:r w:rsidR="00EA59D7" w:rsidRPr="00605A9C">
        <w:rPr>
          <w:noProof/>
          <w:lang w:val="fr-CA"/>
        </w:rPr>
        <w:t>’</w:t>
      </w:r>
      <w:r w:rsidRPr="00605A9C">
        <w:rPr>
          <w:noProof/>
          <w:lang w:val="fr-CA"/>
        </w:rPr>
        <w:t>une obligation de diligence. À cette étape, l</w:t>
      </w:r>
      <w:r w:rsidR="00EA59D7" w:rsidRPr="00605A9C">
        <w:rPr>
          <w:noProof/>
          <w:lang w:val="fr-CA"/>
        </w:rPr>
        <w:t>’</w:t>
      </w:r>
      <w:r w:rsidRPr="00605A9C">
        <w:rPr>
          <w:noProof/>
          <w:lang w:val="fr-CA"/>
        </w:rPr>
        <w:t>analyse ne porte pas sur le lien existant entre les parties mais sur l</w:t>
      </w:r>
      <w:r w:rsidR="00EA59D7" w:rsidRPr="00605A9C">
        <w:rPr>
          <w:noProof/>
          <w:lang w:val="fr-CA"/>
        </w:rPr>
        <w:t>’</w:t>
      </w:r>
      <w:r w:rsidRPr="00605A9C">
        <w:rPr>
          <w:noProof/>
          <w:lang w:val="fr-CA"/>
        </w:rPr>
        <w:t>effet que la reconnaissance d</w:t>
      </w:r>
      <w:r w:rsidR="00EA59D7" w:rsidRPr="00605A9C">
        <w:rPr>
          <w:noProof/>
          <w:lang w:val="fr-CA"/>
        </w:rPr>
        <w:t>’</w:t>
      </w:r>
      <w:r w:rsidRPr="00605A9C">
        <w:rPr>
          <w:noProof/>
          <w:lang w:val="fr-CA"/>
        </w:rPr>
        <w:t xml:space="preserve">une obligation de diligence aurait </w:t>
      </w:r>
      <w:r w:rsidRPr="00605A9C">
        <w:rPr>
          <w:noProof/>
          <w:lang w:val="fr-CA"/>
        </w:rPr>
        <w:lastRenderedPageBreak/>
        <w:t>sur les autres obligations légales, sur le système juridique et sur la société en génér</w:t>
      </w:r>
      <w:r w:rsidR="006945A3">
        <w:rPr>
          <w:noProof/>
          <w:lang w:val="fr-CA"/>
        </w:rPr>
        <w:t>al. </w:t>
      </w:r>
      <w:r w:rsidR="0065217C" w:rsidRPr="00605A9C">
        <w:rPr>
          <w:noProof/>
          <w:lang w:val="fr-CA"/>
        </w:rPr>
        <w:t>Les facteurs à prendre en compte incluent les questions de savoir si la loi prévoit déjà une réparation, s</w:t>
      </w:r>
      <w:r w:rsidR="00EA59D7" w:rsidRPr="00605A9C">
        <w:rPr>
          <w:noProof/>
          <w:lang w:val="fr-CA"/>
        </w:rPr>
        <w:t>’</w:t>
      </w:r>
      <w:r w:rsidR="0065217C" w:rsidRPr="00605A9C">
        <w:rPr>
          <w:noProof/>
          <w:lang w:val="fr-CA"/>
        </w:rPr>
        <w:t>il faut craindre le risque de créer une responsabilité illimitée pour un nombre illimité de personnes et</w:t>
      </w:r>
      <w:r w:rsidR="00FE43F8" w:rsidRPr="00605A9C">
        <w:rPr>
          <w:noProof/>
          <w:lang w:val="fr-CA"/>
        </w:rPr>
        <w:t xml:space="preserve"> </w:t>
      </w:r>
      <w:r w:rsidR="0065217C" w:rsidRPr="00605A9C">
        <w:rPr>
          <w:noProof/>
          <w:lang w:val="fr-CA"/>
        </w:rPr>
        <w:t>si d</w:t>
      </w:r>
      <w:r w:rsidR="00EA59D7" w:rsidRPr="00605A9C">
        <w:rPr>
          <w:noProof/>
          <w:lang w:val="fr-CA"/>
        </w:rPr>
        <w:t>’</w:t>
      </w:r>
      <w:r w:rsidR="0065217C" w:rsidRPr="00605A9C">
        <w:rPr>
          <w:noProof/>
          <w:lang w:val="fr-CA"/>
        </w:rPr>
        <w:t>autres raisons de politique générale indiquent que l</w:t>
      </w:r>
      <w:r w:rsidR="00EA59D7" w:rsidRPr="00605A9C">
        <w:rPr>
          <w:noProof/>
          <w:lang w:val="fr-CA"/>
        </w:rPr>
        <w:t>’</w:t>
      </w:r>
      <w:r w:rsidR="0065217C" w:rsidRPr="00605A9C">
        <w:rPr>
          <w:noProof/>
          <w:lang w:val="fr-CA"/>
        </w:rPr>
        <w:t xml:space="preserve">obligation de diligence ne devrait pas être reconnue. </w:t>
      </w:r>
      <w:r w:rsidR="00A06351" w:rsidRPr="00605A9C">
        <w:rPr>
          <w:noProof/>
          <w:lang w:val="fr-CA"/>
        </w:rPr>
        <w:t>La place qu</w:t>
      </w:r>
      <w:r w:rsidR="00EA59D7" w:rsidRPr="00605A9C">
        <w:rPr>
          <w:noProof/>
          <w:lang w:val="fr-CA"/>
        </w:rPr>
        <w:t>’</w:t>
      </w:r>
      <w:r w:rsidR="00A06351" w:rsidRPr="00605A9C">
        <w:rPr>
          <w:noProof/>
          <w:lang w:val="fr-CA"/>
        </w:rPr>
        <w:t>occupe l</w:t>
      </w:r>
      <w:r w:rsidR="00EA59D7" w:rsidRPr="00605A9C">
        <w:rPr>
          <w:noProof/>
          <w:lang w:val="fr-CA"/>
        </w:rPr>
        <w:t>’</w:t>
      </w:r>
      <w:r w:rsidR="00A06351" w:rsidRPr="00605A9C">
        <w:rPr>
          <w:noProof/>
          <w:lang w:val="fr-CA"/>
        </w:rPr>
        <w:t>examen des considérations de politique dans le cadre d</w:t>
      </w:r>
      <w:r w:rsidR="00EA59D7" w:rsidRPr="00605A9C">
        <w:rPr>
          <w:noProof/>
          <w:lang w:val="fr-CA"/>
        </w:rPr>
        <w:t>’</w:t>
      </w:r>
      <w:r w:rsidR="00A06351" w:rsidRPr="00605A9C">
        <w:rPr>
          <w:noProof/>
          <w:lang w:val="fr-CA"/>
        </w:rPr>
        <w:t xml:space="preserve">analyse établi dans les arrêts </w:t>
      </w:r>
      <w:r w:rsidR="00A06351" w:rsidRPr="00605A9C">
        <w:rPr>
          <w:i/>
          <w:noProof/>
          <w:lang w:val="fr-CA"/>
        </w:rPr>
        <w:t xml:space="preserve">Anns </w:t>
      </w:r>
      <w:r w:rsidR="00A06351" w:rsidRPr="00605A9C">
        <w:rPr>
          <w:noProof/>
          <w:lang w:val="fr-CA"/>
        </w:rPr>
        <w:t xml:space="preserve">et </w:t>
      </w:r>
      <w:r w:rsidR="00A06351" w:rsidRPr="00605A9C">
        <w:rPr>
          <w:i/>
          <w:noProof/>
          <w:lang w:val="fr-CA"/>
        </w:rPr>
        <w:t>Cooper</w:t>
      </w:r>
      <w:r w:rsidR="00A06351" w:rsidRPr="00605A9C">
        <w:rPr>
          <w:noProof/>
          <w:lang w:val="fr-CA"/>
        </w:rPr>
        <w:t xml:space="preserve"> est importante. Cet examen fait suite à ceux du lien de proximité et de la prévisibilité, et il vise à déterminer si, malgré le lien de proximité qui unit les parties et le caractère raisonnablement prévisible du préjudice subi par le demandeur, le défendeur devrait tout de même être exonéré de responsabilité. La possibilité de limiter la responsabilité en dépit de la reconnaissance du lien de proximité et de la prévisibilité raisonnable démontre clairement à quel point il convient d</w:t>
      </w:r>
      <w:r w:rsidR="00EA59D7" w:rsidRPr="00605A9C">
        <w:rPr>
          <w:noProof/>
          <w:lang w:val="fr-CA"/>
        </w:rPr>
        <w:t>’</w:t>
      </w:r>
      <w:r w:rsidR="00A06351" w:rsidRPr="00605A9C">
        <w:rPr>
          <w:noProof/>
          <w:lang w:val="fr-CA"/>
        </w:rPr>
        <w:t xml:space="preserve">y recourir avec circonspection. </w:t>
      </w:r>
    </w:p>
    <w:p w:rsidR="00A06351" w:rsidRPr="00605A9C" w:rsidRDefault="00A06351" w:rsidP="002A5C50">
      <w:pPr>
        <w:pStyle w:val="SCCNormalDoubleSpacing"/>
        <w:spacing w:before="480" w:after="480"/>
        <w:rPr>
          <w:lang w:val="fr-CA"/>
        </w:rPr>
      </w:pPr>
      <w:r w:rsidRPr="00605A9C">
        <w:rPr>
          <w:noProof/>
          <w:lang w:val="fr-CA"/>
        </w:rPr>
        <w:tab/>
        <w:t>Aucun lien de proximité n</w:t>
      </w:r>
      <w:r w:rsidR="00EA59D7" w:rsidRPr="00605A9C">
        <w:rPr>
          <w:noProof/>
          <w:lang w:val="fr-CA"/>
        </w:rPr>
        <w:t>’</w:t>
      </w:r>
      <w:r w:rsidRPr="00605A9C">
        <w:rPr>
          <w:noProof/>
          <w:lang w:val="fr-CA"/>
        </w:rPr>
        <w:t>a déjà été établi entre un vérificateur et son client à des fins de sollicitation de fonds d</w:t>
      </w:r>
      <w:r w:rsidR="00EA59D7" w:rsidRPr="00605A9C">
        <w:rPr>
          <w:noProof/>
          <w:lang w:val="fr-CA"/>
        </w:rPr>
        <w:t>’</w:t>
      </w:r>
      <w:r w:rsidRPr="00605A9C">
        <w:rPr>
          <w:noProof/>
          <w:lang w:val="fr-CA"/>
        </w:rPr>
        <w:t xml:space="preserve">investissement. </w:t>
      </w:r>
      <w:r w:rsidR="000E0D2E" w:rsidRPr="00605A9C">
        <w:rPr>
          <w:noProof/>
          <w:lang w:val="fr-CA"/>
        </w:rPr>
        <w:t>Il faut donc en l</w:t>
      </w:r>
      <w:r w:rsidR="00EA59D7" w:rsidRPr="00605A9C">
        <w:rPr>
          <w:noProof/>
          <w:lang w:val="fr-CA"/>
        </w:rPr>
        <w:t>’</w:t>
      </w:r>
      <w:r w:rsidR="000E0D2E" w:rsidRPr="00605A9C">
        <w:rPr>
          <w:noProof/>
          <w:lang w:val="fr-CA"/>
        </w:rPr>
        <w:t>espèce procéder à une analyse exhaustive du lien de proximité. D</w:t>
      </w:r>
      <w:r w:rsidR="00EA59D7" w:rsidRPr="00605A9C">
        <w:rPr>
          <w:noProof/>
          <w:lang w:val="fr-CA"/>
        </w:rPr>
        <w:t>’</w:t>
      </w:r>
      <w:r w:rsidR="000E0D2E" w:rsidRPr="00605A9C">
        <w:rPr>
          <w:noProof/>
          <w:lang w:val="fr-CA"/>
        </w:rPr>
        <w:t>août à octobre 1997, les services que Deloitte a fournis à Livent — notamment une assistance constante concernant le communiqué de presse et la fourniture de la lettre de confort — avaient pour objet d</w:t>
      </w:r>
      <w:r w:rsidR="00EA59D7" w:rsidRPr="00605A9C">
        <w:rPr>
          <w:noProof/>
          <w:lang w:val="fr-CA"/>
        </w:rPr>
        <w:t>’</w:t>
      </w:r>
      <w:r w:rsidR="000E0D2E" w:rsidRPr="00605A9C">
        <w:rPr>
          <w:noProof/>
          <w:lang w:val="fr-CA"/>
        </w:rPr>
        <w:t>aider Livent à solliciter des investissements. Compte tenu de cet engagement, il était permis à Livent de s</w:t>
      </w:r>
      <w:r w:rsidR="00EA59D7" w:rsidRPr="00605A9C">
        <w:rPr>
          <w:noProof/>
          <w:lang w:val="fr-CA"/>
        </w:rPr>
        <w:t>’</w:t>
      </w:r>
      <w:r w:rsidR="000E0D2E" w:rsidRPr="00605A9C">
        <w:rPr>
          <w:noProof/>
          <w:lang w:val="fr-CA"/>
        </w:rPr>
        <w:t>attendre à ce que Deloitte agisse avec diligence raisonnable dans la prestation de ces services. Partant, il exist</w:t>
      </w:r>
      <w:r w:rsidR="0085269A" w:rsidRPr="00605A9C">
        <w:rPr>
          <w:noProof/>
          <w:lang w:val="fr-CA"/>
        </w:rPr>
        <w:t>ait</w:t>
      </w:r>
      <w:r w:rsidR="000E0D2E" w:rsidRPr="00605A9C">
        <w:rPr>
          <w:noProof/>
          <w:lang w:val="fr-CA"/>
        </w:rPr>
        <w:t xml:space="preserve"> un lien de proximité, mais seulement quant au contenu de l</w:t>
      </w:r>
      <w:r w:rsidR="00EA59D7" w:rsidRPr="00605A9C">
        <w:rPr>
          <w:noProof/>
          <w:lang w:val="fr-CA"/>
        </w:rPr>
        <w:t>’</w:t>
      </w:r>
      <w:r w:rsidR="000E0D2E" w:rsidRPr="00605A9C">
        <w:rPr>
          <w:noProof/>
          <w:lang w:val="fr-CA"/>
        </w:rPr>
        <w:t>engagement pris par Deloitte.</w:t>
      </w:r>
      <w:r w:rsidR="00EC3082" w:rsidRPr="00605A9C">
        <w:rPr>
          <w:noProof/>
          <w:lang w:val="fr-CA"/>
        </w:rPr>
        <w:t xml:space="preserve"> Les pertes qui échappent à la portée de cet engagement ne sont pas susceptibles d</w:t>
      </w:r>
      <w:r w:rsidR="00EA59D7" w:rsidRPr="00605A9C">
        <w:rPr>
          <w:noProof/>
          <w:lang w:val="fr-CA"/>
        </w:rPr>
        <w:t>’</w:t>
      </w:r>
      <w:r w:rsidR="00EC3082" w:rsidRPr="00605A9C">
        <w:rPr>
          <w:noProof/>
          <w:lang w:val="fr-CA"/>
        </w:rPr>
        <w:t xml:space="preserve">indemnisation par Deloitte. Relativement au communiqué de presse et à la lettre de </w:t>
      </w:r>
      <w:r w:rsidR="00EC3082" w:rsidRPr="00605A9C">
        <w:rPr>
          <w:noProof/>
          <w:lang w:val="fr-CA"/>
        </w:rPr>
        <w:lastRenderedPageBreak/>
        <w:t>confort, Deloitte ne s</w:t>
      </w:r>
      <w:r w:rsidR="00EA59D7" w:rsidRPr="00605A9C">
        <w:rPr>
          <w:noProof/>
          <w:lang w:val="fr-CA"/>
        </w:rPr>
        <w:t>’</w:t>
      </w:r>
      <w:r w:rsidR="00EC3082" w:rsidRPr="00605A9C">
        <w:rPr>
          <w:noProof/>
          <w:lang w:val="fr-CA"/>
        </w:rPr>
        <w:t xml:space="preserve">est jamais engagée à aider les actionnaires de Livent à surveiller </w:t>
      </w:r>
      <w:r w:rsidR="00EC3082" w:rsidRPr="00605A9C">
        <w:rPr>
          <w:lang w:val="fr-CA"/>
        </w:rPr>
        <w:t>la gestion.</w:t>
      </w:r>
      <w:r w:rsidR="00EC3082" w:rsidRPr="00605A9C">
        <w:rPr>
          <w:noProof/>
          <w:lang w:val="fr-CA"/>
        </w:rPr>
        <w:t xml:space="preserve"> </w:t>
      </w:r>
      <w:r w:rsidR="00750890" w:rsidRPr="00605A9C">
        <w:rPr>
          <w:noProof/>
          <w:lang w:val="fr-CA"/>
        </w:rPr>
        <w:t>Elle</w:t>
      </w:r>
      <w:r w:rsidR="00EC3082" w:rsidRPr="00605A9C">
        <w:rPr>
          <w:noProof/>
          <w:lang w:val="fr-CA"/>
        </w:rPr>
        <w:t xml:space="preserve"> ne saurait donc être tenue responsable pour avoir omis de faire preuve de diligence raisonnable afin de faciliter cette surveillance. </w:t>
      </w:r>
      <w:r w:rsidR="00750890" w:rsidRPr="00605A9C">
        <w:rPr>
          <w:noProof/>
          <w:lang w:val="fr-CA"/>
        </w:rPr>
        <w:t>P</w:t>
      </w:r>
      <w:r w:rsidR="00EC3082" w:rsidRPr="00605A9C">
        <w:rPr>
          <w:noProof/>
          <w:lang w:val="fr-CA"/>
        </w:rPr>
        <w:t>uisque Livent n</w:t>
      </w:r>
      <w:r w:rsidR="00EA59D7" w:rsidRPr="00605A9C">
        <w:rPr>
          <w:noProof/>
          <w:lang w:val="fr-CA"/>
        </w:rPr>
        <w:t>’</w:t>
      </w:r>
      <w:r w:rsidR="00EC3082" w:rsidRPr="00605A9C">
        <w:rPr>
          <w:noProof/>
          <w:lang w:val="fr-CA"/>
        </w:rPr>
        <w:t>avait aucun droit de se fier aux déclarations de Deloitte à une fin autre que celle visée par l</w:t>
      </w:r>
      <w:r w:rsidR="00EA59D7" w:rsidRPr="00605A9C">
        <w:rPr>
          <w:noProof/>
          <w:lang w:val="fr-CA"/>
        </w:rPr>
        <w:t>’</w:t>
      </w:r>
      <w:r w:rsidR="00EC3082" w:rsidRPr="00605A9C">
        <w:rPr>
          <w:noProof/>
          <w:lang w:val="fr-CA"/>
        </w:rPr>
        <w:t>engagement de cette dernière, la confiance de Livent n</w:t>
      </w:r>
      <w:r w:rsidR="00EA59D7" w:rsidRPr="00605A9C">
        <w:rPr>
          <w:noProof/>
          <w:lang w:val="fr-CA"/>
        </w:rPr>
        <w:t>’</w:t>
      </w:r>
      <w:r w:rsidR="00EC3082" w:rsidRPr="00605A9C">
        <w:rPr>
          <w:noProof/>
          <w:lang w:val="fr-CA"/>
        </w:rPr>
        <w:t>était ni raisonnable ni raisonnablement prévisible. En conséquence, l</w:t>
      </w:r>
      <w:r w:rsidR="00EA59D7" w:rsidRPr="00605A9C">
        <w:rPr>
          <w:noProof/>
          <w:lang w:val="fr-CA"/>
        </w:rPr>
        <w:t>’</w:t>
      </w:r>
      <w:r w:rsidR="00EC3082" w:rsidRPr="00605A9C">
        <w:rPr>
          <w:noProof/>
          <w:lang w:val="fr-CA"/>
        </w:rPr>
        <w:t xml:space="preserve">augmentation </w:t>
      </w:r>
      <w:r w:rsidR="00750890" w:rsidRPr="00605A9C">
        <w:rPr>
          <w:noProof/>
          <w:lang w:val="fr-CA"/>
        </w:rPr>
        <w:t xml:space="preserve">de la perte ou </w:t>
      </w:r>
      <w:r w:rsidR="00EC3082" w:rsidRPr="00605A9C">
        <w:rPr>
          <w:noProof/>
          <w:lang w:val="fr-CA"/>
        </w:rPr>
        <w:t>du déficit de liquidation de Livent découlant d</w:t>
      </w:r>
      <w:r w:rsidR="00750890" w:rsidRPr="00605A9C">
        <w:rPr>
          <w:noProof/>
          <w:lang w:val="fr-CA"/>
        </w:rPr>
        <w:t xml:space="preserve">e cette confiance </w:t>
      </w:r>
      <w:r w:rsidR="00EC3082" w:rsidRPr="00605A9C">
        <w:rPr>
          <w:noProof/>
          <w:lang w:val="fr-CA"/>
        </w:rPr>
        <w:t>ne constituait pas un préjudice raisonnablement prévisible.</w:t>
      </w:r>
      <w:r w:rsidR="00750890" w:rsidRPr="00605A9C">
        <w:rPr>
          <w:noProof/>
          <w:lang w:val="fr-CA"/>
        </w:rPr>
        <w:t xml:space="preserve"> En </w:t>
      </w:r>
      <w:r w:rsidR="00750890" w:rsidRPr="00605A9C">
        <w:rPr>
          <w:lang w:val="fr-CA"/>
        </w:rPr>
        <w:t>l</w:t>
      </w:r>
      <w:r w:rsidR="00EA59D7" w:rsidRPr="00605A9C">
        <w:rPr>
          <w:lang w:val="fr-CA"/>
        </w:rPr>
        <w:t>’</w:t>
      </w:r>
      <w:r w:rsidR="00750890" w:rsidRPr="00605A9C">
        <w:rPr>
          <w:lang w:val="fr-CA"/>
        </w:rPr>
        <w:t>absence d</w:t>
      </w:r>
      <w:r w:rsidR="00EA59D7" w:rsidRPr="00605A9C">
        <w:rPr>
          <w:lang w:val="fr-CA"/>
        </w:rPr>
        <w:t>’</w:t>
      </w:r>
      <w:r w:rsidR="00750890" w:rsidRPr="00605A9C">
        <w:rPr>
          <w:lang w:val="fr-CA"/>
        </w:rPr>
        <w:t xml:space="preserve">une obligation de diligence </w:t>
      </w:r>
      <w:r w:rsidR="00750890" w:rsidRPr="00605A9C">
        <w:rPr>
          <w:i/>
          <w:lang w:val="fr-CA"/>
        </w:rPr>
        <w:t>prima facie</w:t>
      </w:r>
      <w:r w:rsidR="00750890" w:rsidRPr="00605A9C">
        <w:rPr>
          <w:lang w:val="fr-CA"/>
        </w:rPr>
        <w:t>, point n</w:t>
      </w:r>
      <w:r w:rsidR="00EA59D7" w:rsidRPr="00605A9C">
        <w:rPr>
          <w:lang w:val="fr-CA"/>
        </w:rPr>
        <w:t>’</w:t>
      </w:r>
      <w:r w:rsidR="00750890" w:rsidRPr="00605A9C">
        <w:rPr>
          <w:lang w:val="fr-CA"/>
        </w:rPr>
        <w:t>est besoin d</w:t>
      </w:r>
      <w:r w:rsidR="00EA59D7" w:rsidRPr="00605A9C">
        <w:rPr>
          <w:lang w:val="fr-CA"/>
        </w:rPr>
        <w:t>’</w:t>
      </w:r>
      <w:r w:rsidR="00750890" w:rsidRPr="00605A9C">
        <w:rPr>
          <w:lang w:val="fr-CA"/>
        </w:rPr>
        <w:t>examiner les considérations de politique résiduelles.</w:t>
      </w:r>
    </w:p>
    <w:p w:rsidR="00750890" w:rsidRPr="00605A9C" w:rsidRDefault="00750890" w:rsidP="002A5C50">
      <w:pPr>
        <w:pStyle w:val="SCCNormalDoubleSpacing"/>
        <w:spacing w:before="480" w:after="480"/>
        <w:rPr>
          <w:lang w:val="fr-CA"/>
        </w:rPr>
      </w:pPr>
      <w:r w:rsidRPr="00605A9C">
        <w:rPr>
          <w:lang w:val="fr-CA"/>
        </w:rPr>
        <w:tab/>
      </w:r>
      <w:r w:rsidR="00BA465C" w:rsidRPr="00605A9C">
        <w:rPr>
          <w:lang w:val="fr-CA"/>
        </w:rPr>
        <w:t xml:space="preserve">Cependant, la </w:t>
      </w:r>
      <w:r w:rsidR="00BA465C" w:rsidRPr="00605A9C">
        <w:rPr>
          <w:rFonts w:eastAsiaTheme="minorHAnsi"/>
          <w:noProof/>
          <w:lang w:val="fr-CA"/>
        </w:rPr>
        <w:t>Cour a déjà reconnu qu</w:t>
      </w:r>
      <w:r w:rsidR="00EA59D7" w:rsidRPr="00605A9C">
        <w:rPr>
          <w:rFonts w:eastAsiaTheme="minorHAnsi"/>
          <w:noProof/>
          <w:lang w:val="fr-CA"/>
        </w:rPr>
        <w:t>’</w:t>
      </w:r>
      <w:r w:rsidR="00BA465C" w:rsidRPr="00605A9C">
        <w:rPr>
          <w:rFonts w:eastAsiaTheme="minorHAnsi"/>
          <w:noProof/>
          <w:lang w:val="fr-CA"/>
        </w:rPr>
        <w:t>un vérificateur qui procède à une vérification exigée par la loi est tenu à une obligation, et qu</w:t>
      </w:r>
      <w:r w:rsidR="00EA59D7" w:rsidRPr="00605A9C">
        <w:rPr>
          <w:rFonts w:eastAsiaTheme="minorHAnsi"/>
          <w:noProof/>
          <w:lang w:val="fr-CA"/>
        </w:rPr>
        <w:t>’</w:t>
      </w:r>
      <w:r w:rsidR="00BA465C" w:rsidRPr="00605A9C">
        <w:rPr>
          <w:rFonts w:eastAsiaTheme="minorHAnsi"/>
          <w:noProof/>
          <w:lang w:val="fr-CA"/>
        </w:rPr>
        <w:t>une action intentée par une société relativement à des pertes</w:t>
      </w:r>
      <w:r w:rsidR="00BA465C" w:rsidRPr="00605A9C">
        <w:rPr>
          <w:rFonts w:eastAsiaTheme="minorHAnsi"/>
          <w:i/>
          <w:noProof/>
          <w:lang w:val="fr-CA"/>
        </w:rPr>
        <w:t xml:space="preserve"> </w:t>
      </w:r>
      <w:r w:rsidR="00BA465C" w:rsidRPr="00605A9C">
        <w:rPr>
          <w:rFonts w:eastAsiaTheme="minorHAnsi"/>
          <w:noProof/>
          <w:lang w:val="fr-CA"/>
        </w:rPr>
        <w:t>découlant d</w:t>
      </w:r>
      <w:r w:rsidR="00EA59D7" w:rsidRPr="00605A9C">
        <w:rPr>
          <w:rFonts w:eastAsiaTheme="minorHAnsi"/>
          <w:noProof/>
          <w:lang w:val="fr-CA"/>
        </w:rPr>
        <w:t>’</w:t>
      </w:r>
      <w:r w:rsidR="00BA465C" w:rsidRPr="00605A9C">
        <w:rPr>
          <w:rFonts w:eastAsiaTheme="minorHAnsi"/>
          <w:noProof/>
          <w:lang w:val="fr-CA"/>
        </w:rPr>
        <w:t xml:space="preserve">une vérification exigée par la loi entachée de négligence pourrait être accueillie. Une vérification exigée par la loi a pour objet de permettre aux actionnaires </w:t>
      </w:r>
      <w:r w:rsidR="00BA465C" w:rsidRPr="00605A9C">
        <w:rPr>
          <w:noProof/>
          <w:lang w:val="fr-CA"/>
        </w:rPr>
        <w:t>collectivement de superviser la gestion et de prendre des décisions relativement à l</w:t>
      </w:r>
      <w:r w:rsidR="00EA59D7" w:rsidRPr="00605A9C">
        <w:rPr>
          <w:noProof/>
          <w:lang w:val="fr-CA"/>
        </w:rPr>
        <w:t>’</w:t>
      </w:r>
      <w:r w:rsidR="00BA465C" w:rsidRPr="00605A9C">
        <w:rPr>
          <w:noProof/>
          <w:lang w:val="fr-CA"/>
        </w:rPr>
        <w:t>administration globale de la société. Il s</w:t>
      </w:r>
      <w:r w:rsidR="00EA59D7" w:rsidRPr="00605A9C">
        <w:rPr>
          <w:noProof/>
          <w:lang w:val="fr-CA"/>
        </w:rPr>
        <w:t>’</w:t>
      </w:r>
      <w:r w:rsidR="00BA465C" w:rsidRPr="00605A9C">
        <w:rPr>
          <w:noProof/>
          <w:lang w:val="fr-CA"/>
        </w:rPr>
        <w:t>agit exactement là de la tâche dont les actionnaires de Livent n</w:t>
      </w:r>
      <w:r w:rsidR="00EA59D7" w:rsidRPr="00605A9C">
        <w:rPr>
          <w:noProof/>
          <w:lang w:val="fr-CA"/>
        </w:rPr>
        <w:t>’</w:t>
      </w:r>
      <w:r w:rsidR="00BA465C" w:rsidRPr="00605A9C">
        <w:rPr>
          <w:noProof/>
          <w:lang w:val="fr-CA"/>
        </w:rPr>
        <w:t>ont pas été en mesure de s</w:t>
      </w:r>
      <w:r w:rsidR="00EA59D7" w:rsidRPr="00605A9C">
        <w:rPr>
          <w:noProof/>
          <w:lang w:val="fr-CA"/>
        </w:rPr>
        <w:t>’</w:t>
      </w:r>
      <w:r w:rsidR="00BA465C" w:rsidRPr="00605A9C">
        <w:rPr>
          <w:noProof/>
          <w:lang w:val="fr-CA"/>
        </w:rPr>
        <w:t xml:space="preserve">acquitter à cause de la </w:t>
      </w:r>
      <w:r w:rsidR="00DB01C6" w:rsidRPr="00605A9C">
        <w:rPr>
          <w:noProof/>
          <w:lang w:val="fr-CA"/>
        </w:rPr>
        <w:t xml:space="preserve">préparation </w:t>
      </w:r>
      <w:r w:rsidR="00BA465C" w:rsidRPr="00605A9C">
        <w:rPr>
          <w:noProof/>
          <w:lang w:val="fr-CA"/>
        </w:rPr>
        <w:t>négligen</w:t>
      </w:r>
      <w:r w:rsidR="00DB01C6" w:rsidRPr="00605A9C">
        <w:rPr>
          <w:noProof/>
          <w:lang w:val="fr-CA"/>
        </w:rPr>
        <w:t>t</w:t>
      </w:r>
      <w:r w:rsidR="00BA465C" w:rsidRPr="00605A9C">
        <w:rPr>
          <w:noProof/>
          <w:lang w:val="fr-CA"/>
        </w:rPr>
        <w:t>e</w:t>
      </w:r>
      <w:r w:rsidR="00DB01C6" w:rsidRPr="00605A9C">
        <w:rPr>
          <w:noProof/>
          <w:lang w:val="fr-CA"/>
        </w:rPr>
        <w:t>,</w:t>
      </w:r>
      <w:r w:rsidR="00BA465C" w:rsidRPr="00605A9C">
        <w:rPr>
          <w:noProof/>
          <w:lang w:val="fr-CA"/>
        </w:rPr>
        <w:t xml:space="preserve"> </w:t>
      </w:r>
      <w:r w:rsidR="00DB01C6" w:rsidRPr="00605A9C">
        <w:rPr>
          <w:noProof/>
          <w:lang w:val="fr-CA"/>
        </w:rPr>
        <w:t>par</w:t>
      </w:r>
      <w:r w:rsidR="00BA465C" w:rsidRPr="00605A9C">
        <w:rPr>
          <w:noProof/>
          <w:lang w:val="fr-CA"/>
        </w:rPr>
        <w:t xml:space="preserve"> Deloitte</w:t>
      </w:r>
      <w:r w:rsidR="00DB01C6" w:rsidRPr="00605A9C">
        <w:rPr>
          <w:noProof/>
          <w:lang w:val="fr-CA"/>
        </w:rPr>
        <w:t xml:space="preserve">, de son rapport </w:t>
      </w:r>
      <w:r w:rsidR="00203103">
        <w:rPr>
          <w:noProof/>
          <w:lang w:val="fr-CA"/>
        </w:rPr>
        <w:t xml:space="preserve">du vérificateur </w:t>
      </w:r>
      <w:r w:rsidR="00DB01C6" w:rsidRPr="00605A9C">
        <w:rPr>
          <w:noProof/>
          <w:lang w:val="fr-CA"/>
        </w:rPr>
        <w:t>pour l</w:t>
      </w:r>
      <w:r w:rsidR="00EA59D7" w:rsidRPr="00605A9C">
        <w:rPr>
          <w:noProof/>
          <w:lang w:val="fr-CA"/>
        </w:rPr>
        <w:t>’</w:t>
      </w:r>
      <w:r w:rsidR="00DB01C6" w:rsidRPr="00605A9C">
        <w:rPr>
          <w:noProof/>
          <w:lang w:val="fr-CA"/>
        </w:rPr>
        <w:t xml:space="preserve">exercice 1997. </w:t>
      </w:r>
      <w:r w:rsidR="00DB01C6" w:rsidRPr="00605A9C">
        <w:rPr>
          <w:lang w:val="fr-CA"/>
        </w:rPr>
        <w:t>Deloitte n</w:t>
      </w:r>
      <w:r w:rsidR="00EA59D7" w:rsidRPr="00605A9C">
        <w:rPr>
          <w:lang w:val="fr-CA"/>
        </w:rPr>
        <w:t>’</w:t>
      </w:r>
      <w:r w:rsidR="00DB01C6" w:rsidRPr="00605A9C">
        <w:rPr>
          <w:lang w:val="fr-CA"/>
        </w:rPr>
        <w:t>a pas modifié le but dans lequel elle s</w:t>
      </w:r>
      <w:r w:rsidR="00EA59D7" w:rsidRPr="00605A9C">
        <w:rPr>
          <w:lang w:val="fr-CA"/>
        </w:rPr>
        <w:t>’</w:t>
      </w:r>
      <w:r w:rsidR="00DB01C6" w:rsidRPr="00605A9C">
        <w:rPr>
          <w:lang w:val="fr-CA"/>
        </w:rPr>
        <w:t>est engagée à produire le rapport de 1997</w:t>
      </w:r>
      <w:r w:rsidR="009C54C1" w:rsidRPr="00605A9C">
        <w:rPr>
          <w:lang w:val="fr-CA"/>
        </w:rPr>
        <w:t>,</w:t>
      </w:r>
      <w:r w:rsidR="00DB01C6" w:rsidRPr="00605A9C">
        <w:rPr>
          <w:lang w:val="fr-CA"/>
        </w:rPr>
        <w:t xml:space="preserve"> ni ne s</w:t>
      </w:r>
      <w:r w:rsidR="00EA59D7" w:rsidRPr="00605A9C">
        <w:rPr>
          <w:lang w:val="fr-CA"/>
        </w:rPr>
        <w:t>’</w:t>
      </w:r>
      <w:r w:rsidR="00DB01C6" w:rsidRPr="00605A9C">
        <w:rPr>
          <w:lang w:val="fr-CA"/>
        </w:rPr>
        <w:t>est dégagée de toute responsabilité à l</w:t>
      </w:r>
      <w:r w:rsidR="00EA59D7" w:rsidRPr="00605A9C">
        <w:rPr>
          <w:lang w:val="fr-CA"/>
        </w:rPr>
        <w:t>’</w:t>
      </w:r>
      <w:r w:rsidR="00DB01C6" w:rsidRPr="00605A9C">
        <w:rPr>
          <w:lang w:val="fr-CA"/>
        </w:rPr>
        <w:t>égard de ce but. En conséquence, l</w:t>
      </w:r>
      <w:r w:rsidR="00EA59D7" w:rsidRPr="00605A9C">
        <w:rPr>
          <w:lang w:val="fr-CA"/>
        </w:rPr>
        <w:t>’</w:t>
      </w:r>
      <w:r w:rsidR="00DB01C6" w:rsidRPr="00605A9C">
        <w:rPr>
          <w:lang w:val="fr-CA"/>
        </w:rPr>
        <w:t>existence d</w:t>
      </w:r>
      <w:r w:rsidR="00EA59D7" w:rsidRPr="00605A9C">
        <w:rPr>
          <w:lang w:val="fr-CA"/>
        </w:rPr>
        <w:t>’</w:t>
      </w:r>
      <w:r w:rsidR="00DB01C6" w:rsidRPr="00605A9C">
        <w:rPr>
          <w:lang w:val="fr-CA"/>
        </w:rPr>
        <w:t>un lien de proximité est établie quant à la vérification exigée par la loi, compte tenu du rapport de proximité déjà reconnu. De plus, le type de préjudice subi par Livent était une conséquence raisonnablement prévisible de la négligence de Deloitte. Par le rapport de 1997, Deloitte s</w:t>
      </w:r>
      <w:r w:rsidR="00EA59D7" w:rsidRPr="00605A9C">
        <w:rPr>
          <w:lang w:val="fr-CA"/>
        </w:rPr>
        <w:t>’</w:t>
      </w:r>
      <w:r w:rsidR="00DB01C6" w:rsidRPr="00605A9C">
        <w:rPr>
          <w:lang w:val="fr-CA"/>
        </w:rPr>
        <w:t xml:space="preserve">est engagée à aider les actionnaires de Livent à examiner en détail la conduite de la gestion. En effectuant cette vérification </w:t>
      </w:r>
      <w:r w:rsidR="00DB01C6" w:rsidRPr="00605A9C">
        <w:rPr>
          <w:lang w:val="fr-CA"/>
        </w:rPr>
        <w:lastRenderedPageBreak/>
        <w:t>avec négligence, et en restreignant la capacité des actionnaires de Livent à surveiller la gestion, Deloitte a exposé Livent à des risques raisonnablement prévisibles, notamment à des pertes qu</w:t>
      </w:r>
      <w:r w:rsidR="00EA59D7" w:rsidRPr="00605A9C">
        <w:rPr>
          <w:lang w:val="fr-CA"/>
        </w:rPr>
        <w:t>’</w:t>
      </w:r>
      <w:r w:rsidR="00DB01C6" w:rsidRPr="00605A9C">
        <w:rPr>
          <w:lang w:val="fr-CA"/>
        </w:rPr>
        <w:t>une vérification adéquate aurait permis d</w:t>
      </w:r>
      <w:r w:rsidR="00EA59D7" w:rsidRPr="00605A9C">
        <w:rPr>
          <w:lang w:val="fr-CA"/>
        </w:rPr>
        <w:t>’</w:t>
      </w:r>
      <w:r w:rsidR="00DB01C6" w:rsidRPr="00605A9C">
        <w:rPr>
          <w:lang w:val="fr-CA"/>
        </w:rPr>
        <w:t>éviter.</w:t>
      </w:r>
      <w:r w:rsidR="006317F8" w:rsidRPr="00605A9C">
        <w:rPr>
          <w:lang w:val="fr-CA"/>
        </w:rPr>
        <w:t xml:space="preserve"> Puisque le lien de proximité relève d</w:t>
      </w:r>
      <w:r w:rsidR="00EA59D7" w:rsidRPr="00605A9C">
        <w:rPr>
          <w:lang w:val="fr-CA"/>
        </w:rPr>
        <w:t>’</w:t>
      </w:r>
      <w:r w:rsidR="006317F8" w:rsidRPr="00605A9C">
        <w:rPr>
          <w:lang w:val="fr-CA"/>
        </w:rPr>
        <w:t>une catégorie déjà reconnue, point n</w:t>
      </w:r>
      <w:r w:rsidR="00EA59D7" w:rsidRPr="00605A9C">
        <w:rPr>
          <w:lang w:val="fr-CA"/>
        </w:rPr>
        <w:t>’</w:t>
      </w:r>
      <w:r w:rsidR="006317F8" w:rsidRPr="00605A9C">
        <w:rPr>
          <w:lang w:val="fr-CA"/>
        </w:rPr>
        <w:t>est besoin d</w:t>
      </w:r>
      <w:r w:rsidR="00EA59D7" w:rsidRPr="00605A9C">
        <w:rPr>
          <w:lang w:val="fr-CA"/>
        </w:rPr>
        <w:t>’</w:t>
      </w:r>
      <w:r w:rsidR="006317F8" w:rsidRPr="00605A9C">
        <w:rPr>
          <w:lang w:val="fr-CA"/>
        </w:rPr>
        <w:t>examiner les considérations de politique résiduelles. Deloitte avait une obligation de diligence envers Livent et elle a manqué à cette obligation.</w:t>
      </w:r>
      <w:r w:rsidR="002B2EDA" w:rsidRPr="00605A9C">
        <w:rPr>
          <w:lang w:val="fr-CA"/>
        </w:rPr>
        <w:t xml:space="preserve"> Deloitte ne peut se fonder sur aucun des moyens de défense que sont l</w:t>
      </w:r>
      <w:r w:rsidR="00EA59D7" w:rsidRPr="00605A9C">
        <w:rPr>
          <w:lang w:val="fr-CA"/>
        </w:rPr>
        <w:t>’</w:t>
      </w:r>
      <w:r w:rsidR="002B2EDA" w:rsidRPr="00605A9C">
        <w:rPr>
          <w:lang w:val="fr-CA"/>
        </w:rPr>
        <w:t>illégalité et la faute contributoire parce que les actes frauduleux des administrateurs de Livent ne peuvent être attribués à l</w:t>
      </w:r>
      <w:r w:rsidR="00EA59D7" w:rsidRPr="00605A9C">
        <w:rPr>
          <w:lang w:val="fr-CA"/>
        </w:rPr>
        <w:t>’</w:t>
      </w:r>
      <w:r w:rsidR="002B2EDA" w:rsidRPr="00605A9C">
        <w:rPr>
          <w:lang w:val="fr-CA"/>
        </w:rPr>
        <w:t>entreprise.</w:t>
      </w:r>
    </w:p>
    <w:p w:rsidR="002B2EDA" w:rsidRPr="00605A9C" w:rsidRDefault="002B2EDA" w:rsidP="002A5C50">
      <w:pPr>
        <w:pStyle w:val="SCCNormalDoubleSpacing"/>
        <w:spacing w:before="480" w:after="480"/>
        <w:rPr>
          <w:lang w:val="fr-CA"/>
        </w:rPr>
      </w:pPr>
      <w:r w:rsidRPr="00605A9C">
        <w:rPr>
          <w:lang w:val="fr-CA"/>
        </w:rPr>
        <w:tab/>
        <w:t>L</w:t>
      </w:r>
      <w:r w:rsidR="00EA59D7" w:rsidRPr="00605A9C">
        <w:rPr>
          <w:lang w:val="fr-CA"/>
        </w:rPr>
        <w:t>’</w:t>
      </w:r>
      <w:r w:rsidRPr="00605A9C">
        <w:rPr>
          <w:lang w:val="fr-CA"/>
        </w:rPr>
        <w:t>éloignement n</w:t>
      </w:r>
      <w:r w:rsidR="00EA59D7" w:rsidRPr="00605A9C">
        <w:rPr>
          <w:lang w:val="fr-CA"/>
        </w:rPr>
        <w:t>’</w:t>
      </w:r>
      <w:r w:rsidRPr="00605A9C">
        <w:rPr>
          <w:lang w:val="fr-CA"/>
        </w:rPr>
        <w:t>est pas un obstacle à l</w:t>
      </w:r>
      <w:r w:rsidR="00EA59D7" w:rsidRPr="00605A9C">
        <w:rPr>
          <w:lang w:val="fr-CA"/>
        </w:rPr>
        <w:t>’</w:t>
      </w:r>
      <w:r w:rsidRPr="00605A9C">
        <w:rPr>
          <w:lang w:val="fr-CA"/>
        </w:rPr>
        <w:t>indemnisation de Livent. L</w:t>
      </w:r>
      <w:r w:rsidR="00EA59D7" w:rsidRPr="00605A9C">
        <w:rPr>
          <w:lang w:val="fr-CA"/>
        </w:rPr>
        <w:t>’</w:t>
      </w:r>
      <w:r w:rsidRPr="00605A9C">
        <w:rPr>
          <w:lang w:val="fr-CA"/>
        </w:rPr>
        <w:t xml:space="preserve">éloignement </w:t>
      </w:r>
      <w:r w:rsidRPr="00605A9C">
        <w:rPr>
          <w:bCs/>
          <w:lang w:val="fr-CA"/>
        </w:rPr>
        <w:t>appelle à se demander si</w:t>
      </w:r>
      <w:r w:rsidRPr="00605A9C">
        <w:rPr>
          <w:lang w:val="fr-CA"/>
        </w:rPr>
        <w:t xml:space="preserve"> le préjudice a trop peu de lien avec l</w:t>
      </w:r>
      <w:r w:rsidR="00EA59D7" w:rsidRPr="00605A9C">
        <w:rPr>
          <w:lang w:val="fr-CA"/>
        </w:rPr>
        <w:t>’</w:t>
      </w:r>
      <w:r w:rsidRPr="00605A9C">
        <w:rPr>
          <w:lang w:val="fr-CA"/>
        </w:rPr>
        <w:t xml:space="preserve">acte fautif pour que le défendeur puisse raisonnablement être tenu responsable. </w:t>
      </w:r>
      <w:r w:rsidR="0072332E" w:rsidRPr="00605A9C">
        <w:rPr>
          <w:lang w:val="fr-CA"/>
        </w:rPr>
        <w:t>Il recoupe en théorie l</w:t>
      </w:r>
      <w:r w:rsidR="00EA59D7" w:rsidRPr="00605A9C">
        <w:rPr>
          <w:lang w:val="fr-CA"/>
        </w:rPr>
        <w:t>’</w:t>
      </w:r>
      <w:r w:rsidR="0072332E" w:rsidRPr="00605A9C">
        <w:rPr>
          <w:lang w:val="fr-CA"/>
        </w:rPr>
        <w:t>analyse de la prévisibilité raisonnable, mais l</w:t>
      </w:r>
      <w:r w:rsidR="00EA59D7" w:rsidRPr="00605A9C">
        <w:rPr>
          <w:lang w:val="fr-CA"/>
        </w:rPr>
        <w:t>’</w:t>
      </w:r>
      <w:r w:rsidR="0072332E" w:rsidRPr="00605A9C">
        <w:rPr>
          <w:lang w:val="fr-CA"/>
        </w:rPr>
        <w:t>analyse relative à l</w:t>
      </w:r>
      <w:r w:rsidR="00EA59D7" w:rsidRPr="00605A9C">
        <w:rPr>
          <w:lang w:val="fr-CA"/>
        </w:rPr>
        <w:t>’</w:t>
      </w:r>
      <w:r w:rsidR="0072332E" w:rsidRPr="00605A9C">
        <w:rPr>
          <w:lang w:val="fr-CA"/>
        </w:rPr>
        <w:t>obligation de diligence s</w:t>
      </w:r>
      <w:r w:rsidR="00EA59D7" w:rsidRPr="00605A9C">
        <w:rPr>
          <w:lang w:val="fr-CA"/>
        </w:rPr>
        <w:t>’</w:t>
      </w:r>
      <w:r w:rsidR="0072332E" w:rsidRPr="00605A9C">
        <w:rPr>
          <w:lang w:val="fr-CA"/>
        </w:rPr>
        <w:t>intéresse au type de préjudice qu</w:t>
      </w:r>
      <w:r w:rsidR="00EA59D7" w:rsidRPr="00605A9C">
        <w:rPr>
          <w:lang w:val="fr-CA"/>
        </w:rPr>
        <w:t>’</w:t>
      </w:r>
      <w:r w:rsidR="0072332E" w:rsidRPr="00605A9C">
        <w:rPr>
          <w:lang w:val="fr-CA"/>
        </w:rPr>
        <w:t>il est raisonnable de prévoir qu</w:t>
      </w:r>
      <w:r w:rsidR="00EA59D7" w:rsidRPr="00605A9C">
        <w:rPr>
          <w:lang w:val="fr-CA"/>
        </w:rPr>
        <w:t>’</w:t>
      </w:r>
      <w:r w:rsidR="0072332E" w:rsidRPr="00605A9C">
        <w:rPr>
          <w:lang w:val="fr-CA"/>
        </w:rPr>
        <w:t>il découlera de la conduite du défendeur, alors que l</w:t>
      </w:r>
      <w:r w:rsidR="00EA59D7" w:rsidRPr="00605A9C">
        <w:rPr>
          <w:lang w:val="fr-CA"/>
        </w:rPr>
        <w:t>’</w:t>
      </w:r>
      <w:r w:rsidR="0072332E" w:rsidRPr="00605A9C">
        <w:rPr>
          <w:lang w:val="fr-CA"/>
        </w:rPr>
        <w:t>analyse relative à l</w:t>
      </w:r>
      <w:r w:rsidR="00EA59D7" w:rsidRPr="00605A9C">
        <w:rPr>
          <w:lang w:val="fr-CA"/>
        </w:rPr>
        <w:t>’</w:t>
      </w:r>
      <w:r w:rsidR="0072332E" w:rsidRPr="00605A9C">
        <w:rPr>
          <w:lang w:val="fr-CA"/>
        </w:rPr>
        <w:t>éloignement s</w:t>
      </w:r>
      <w:r w:rsidR="00EA59D7" w:rsidRPr="00605A9C">
        <w:rPr>
          <w:lang w:val="fr-CA"/>
        </w:rPr>
        <w:t>’</w:t>
      </w:r>
      <w:r w:rsidR="0072332E" w:rsidRPr="00605A9C">
        <w:rPr>
          <w:lang w:val="fr-CA"/>
        </w:rPr>
        <w:t xml:space="preserve">attache </w:t>
      </w:r>
      <w:r w:rsidR="003E3F2D" w:rsidRPr="00605A9C">
        <w:rPr>
          <w:lang w:val="fr-CA"/>
        </w:rPr>
        <w:t>a</w:t>
      </w:r>
      <w:r w:rsidR="0072332E" w:rsidRPr="00605A9C">
        <w:rPr>
          <w:lang w:val="fr-CA"/>
        </w:rPr>
        <w:t>u préjudice réel subi par le demandeur. Toutefois, la perte en l</w:t>
      </w:r>
      <w:r w:rsidR="00EA59D7" w:rsidRPr="00605A9C">
        <w:rPr>
          <w:lang w:val="fr-CA"/>
        </w:rPr>
        <w:t>’</w:t>
      </w:r>
      <w:r w:rsidR="0072332E" w:rsidRPr="00605A9C">
        <w:rPr>
          <w:lang w:val="fr-CA"/>
        </w:rPr>
        <w:t>espèce — qui découle du défaut de Deloitte de respecter l</w:t>
      </w:r>
      <w:r w:rsidR="00EA59D7" w:rsidRPr="00605A9C">
        <w:rPr>
          <w:lang w:val="fr-CA"/>
        </w:rPr>
        <w:t>’</w:t>
      </w:r>
      <w:r w:rsidR="0072332E" w:rsidRPr="00605A9C">
        <w:rPr>
          <w:lang w:val="fr-CA"/>
        </w:rPr>
        <w:t>engagement précis qu</w:t>
      </w:r>
      <w:r w:rsidR="00EA59D7" w:rsidRPr="00605A9C">
        <w:rPr>
          <w:lang w:val="fr-CA"/>
        </w:rPr>
        <w:t>’</w:t>
      </w:r>
      <w:r w:rsidR="0072332E" w:rsidRPr="00605A9C">
        <w:rPr>
          <w:lang w:val="fr-CA"/>
        </w:rPr>
        <w:t>elle avait pris envers Livent</w:t>
      </w:r>
      <w:r w:rsidR="003E3F2D" w:rsidRPr="00605A9C">
        <w:rPr>
          <w:lang w:val="fr-CA"/>
        </w:rPr>
        <w:t xml:space="preserve"> relativement au rapport de 1997</w:t>
      </w:r>
      <w:r w:rsidR="0072332E" w:rsidRPr="00605A9C">
        <w:rPr>
          <w:lang w:val="fr-CA"/>
        </w:rPr>
        <w:t xml:space="preserve"> — était raisonnablement prévisible.</w:t>
      </w:r>
    </w:p>
    <w:p w:rsidR="0072332E" w:rsidRPr="00605A9C" w:rsidRDefault="0072332E" w:rsidP="002A5C50">
      <w:pPr>
        <w:pStyle w:val="SCCNormalDoubleSpacing"/>
        <w:spacing w:before="480" w:after="480"/>
        <w:rPr>
          <w:noProof/>
          <w:lang w:val="fr-CA"/>
        </w:rPr>
      </w:pPr>
      <w:r w:rsidRPr="00605A9C">
        <w:rPr>
          <w:lang w:val="fr-CA"/>
        </w:rPr>
        <w:tab/>
        <w:t xml:space="preserve">Le juge de première instance a évalué </w:t>
      </w:r>
      <w:r w:rsidR="003E3F2D" w:rsidRPr="00605A9C">
        <w:rPr>
          <w:lang w:val="fr-CA"/>
        </w:rPr>
        <w:t xml:space="preserve">à 53,9 millions de dollars </w:t>
      </w:r>
      <w:r w:rsidRPr="00605A9C">
        <w:rPr>
          <w:lang w:val="fr-CA"/>
        </w:rPr>
        <w:t>les dommages subis par Livent après le rapport de 1997. Si l</w:t>
      </w:r>
      <w:r w:rsidR="00EA59D7" w:rsidRPr="00605A9C">
        <w:rPr>
          <w:lang w:val="fr-CA"/>
        </w:rPr>
        <w:t>’</w:t>
      </w:r>
      <w:r w:rsidRPr="00605A9C">
        <w:rPr>
          <w:lang w:val="fr-CA"/>
        </w:rPr>
        <w:t>on applique à cette somme la réduction pour éventualités de 25 </w:t>
      </w:r>
      <w:r w:rsidR="00FE43F8" w:rsidRPr="00605A9C">
        <w:rPr>
          <w:lang w:val="fr-CA"/>
        </w:rPr>
        <w:t>pour </w:t>
      </w:r>
      <w:r w:rsidR="00252881">
        <w:rPr>
          <w:lang w:val="fr-CA"/>
        </w:rPr>
        <w:t>100</w:t>
      </w:r>
      <w:r w:rsidRPr="00605A9C">
        <w:rPr>
          <w:lang w:val="fr-CA"/>
        </w:rPr>
        <w:t xml:space="preserve"> ordonnée par le juge de première instance, on obtient la somme de 40 425</w:t>
      </w:r>
      <w:r w:rsidR="00FE43F8" w:rsidRPr="00605A9C">
        <w:rPr>
          <w:lang w:val="fr-CA"/>
        </w:rPr>
        <w:t> </w:t>
      </w:r>
      <w:r w:rsidRPr="00605A9C">
        <w:rPr>
          <w:lang w:val="fr-CA"/>
        </w:rPr>
        <w:t>000</w:t>
      </w:r>
      <w:r w:rsidR="00FE43F8" w:rsidRPr="00605A9C">
        <w:rPr>
          <w:lang w:val="fr-CA"/>
        </w:rPr>
        <w:t> </w:t>
      </w:r>
      <w:r w:rsidRPr="00605A9C">
        <w:rPr>
          <w:lang w:val="fr-CA"/>
        </w:rPr>
        <w:t>dollars. C</w:t>
      </w:r>
      <w:r w:rsidR="00EA59D7" w:rsidRPr="00605A9C">
        <w:rPr>
          <w:lang w:val="fr-CA"/>
        </w:rPr>
        <w:t>’</w:t>
      </w:r>
      <w:r w:rsidRPr="00605A9C">
        <w:rPr>
          <w:lang w:val="fr-CA"/>
        </w:rPr>
        <w:t xml:space="preserve">est là la somme dont Deloitte est responsable. Au procès, Livent a reconnu que ses pertes attribuables à la </w:t>
      </w:r>
      <w:r w:rsidRPr="00605A9C">
        <w:rPr>
          <w:noProof/>
          <w:lang w:val="fr-CA"/>
        </w:rPr>
        <w:t>prestation négligente d</w:t>
      </w:r>
      <w:r w:rsidR="00EA59D7" w:rsidRPr="00605A9C">
        <w:rPr>
          <w:noProof/>
          <w:lang w:val="fr-CA"/>
        </w:rPr>
        <w:t>’</w:t>
      </w:r>
      <w:r w:rsidRPr="00605A9C">
        <w:rPr>
          <w:noProof/>
          <w:lang w:val="fr-CA"/>
        </w:rPr>
        <w:t>un service</w:t>
      </w:r>
      <w:r w:rsidRPr="00605A9C">
        <w:rPr>
          <w:lang w:val="fr-CA"/>
        </w:rPr>
        <w:t xml:space="preserve"> ou à la violation de contrat seraient identiques. </w:t>
      </w:r>
      <w:r w:rsidR="00FF09B8" w:rsidRPr="00605A9C">
        <w:rPr>
          <w:lang w:val="fr-CA"/>
        </w:rPr>
        <w:t>Une</w:t>
      </w:r>
      <w:r w:rsidR="00FF09B8" w:rsidRPr="00605A9C">
        <w:rPr>
          <w:noProof/>
          <w:lang w:val="fr-CA"/>
        </w:rPr>
        <w:t xml:space="preserve"> </w:t>
      </w:r>
      <w:r w:rsidR="00FF09B8" w:rsidRPr="00605A9C">
        <w:rPr>
          <w:noProof/>
          <w:lang w:val="fr-CA"/>
        </w:rPr>
        <w:lastRenderedPageBreak/>
        <w:t>responsabilité dans la même mesure est donc appliquée à Deloitte pour la demande concurrente fondée sur la violation de contrat.</w:t>
      </w:r>
    </w:p>
    <w:p w:rsidR="00FF09B8" w:rsidRPr="00605A9C" w:rsidRDefault="00FF09B8" w:rsidP="002A5C50">
      <w:pPr>
        <w:pStyle w:val="SCCNormalDoubleSpacing"/>
        <w:spacing w:before="480" w:after="480"/>
        <w:rPr>
          <w:lang w:val="fr-CA"/>
        </w:rPr>
      </w:pPr>
      <w:r w:rsidRPr="00605A9C">
        <w:rPr>
          <w:noProof/>
          <w:lang w:val="fr-CA"/>
        </w:rPr>
        <w:tab/>
      </w:r>
      <w:r w:rsidRPr="00605A9C">
        <w:rPr>
          <w:i/>
          <w:noProof/>
          <w:lang w:val="fr-CA"/>
        </w:rPr>
        <w:t>La</w:t>
      </w:r>
      <w:r w:rsidRPr="00605A9C">
        <w:rPr>
          <w:noProof/>
          <w:lang w:val="fr-CA"/>
        </w:rPr>
        <w:t xml:space="preserve"> juge en chef </w:t>
      </w:r>
      <w:r w:rsidRPr="00D5275F">
        <w:rPr>
          <w:noProof/>
          <w:lang w:val="fr-CA"/>
        </w:rPr>
        <w:t>McLachlin</w:t>
      </w:r>
      <w:r w:rsidRPr="00605A9C">
        <w:rPr>
          <w:noProof/>
          <w:lang w:val="fr-CA"/>
        </w:rPr>
        <w:t xml:space="preserve"> et l</w:t>
      </w:r>
      <w:r w:rsidR="006536E7" w:rsidRPr="00605A9C">
        <w:rPr>
          <w:noProof/>
          <w:lang w:val="fr-CA"/>
        </w:rPr>
        <w:t>es juges Wagner et</w:t>
      </w:r>
      <w:r w:rsidRPr="00605A9C">
        <w:rPr>
          <w:noProof/>
          <w:lang w:val="fr-CA"/>
        </w:rPr>
        <w:t xml:space="preserve"> Côté (</w:t>
      </w:r>
      <w:r w:rsidR="006536E7" w:rsidRPr="00605A9C">
        <w:rPr>
          <w:noProof/>
          <w:lang w:val="fr-CA"/>
        </w:rPr>
        <w:t>dissident</w:t>
      </w:r>
      <w:r w:rsidRPr="00605A9C">
        <w:rPr>
          <w:noProof/>
          <w:lang w:val="fr-CA"/>
        </w:rPr>
        <w:t>s en partie)</w:t>
      </w:r>
      <w:r w:rsidR="006945A3">
        <w:rPr>
          <w:noProof/>
          <w:lang w:val="fr-CA"/>
        </w:rPr>
        <w:t> :</w:t>
      </w:r>
      <w:r w:rsidRPr="00605A9C">
        <w:rPr>
          <w:noProof/>
          <w:lang w:val="fr-CA"/>
        </w:rPr>
        <w:t xml:space="preserve"> Deloitte avait une obligation de diligence envers Livent, obligation à laquelle elle a manqué lorsqu</w:t>
      </w:r>
      <w:r w:rsidR="00EA59D7" w:rsidRPr="00605A9C">
        <w:rPr>
          <w:noProof/>
          <w:lang w:val="fr-CA"/>
        </w:rPr>
        <w:t>’</w:t>
      </w:r>
      <w:r w:rsidRPr="00605A9C">
        <w:rPr>
          <w:noProof/>
          <w:lang w:val="fr-CA"/>
        </w:rPr>
        <w:t>elle n</w:t>
      </w:r>
      <w:r w:rsidR="00EA59D7" w:rsidRPr="00605A9C">
        <w:rPr>
          <w:noProof/>
          <w:lang w:val="fr-CA"/>
        </w:rPr>
        <w:t>’</w:t>
      </w:r>
      <w:r w:rsidRPr="00605A9C">
        <w:rPr>
          <w:noProof/>
          <w:lang w:val="fr-CA"/>
        </w:rPr>
        <w:t>a pas détecté et dénoncé la fraude commise par Livent dans les états financiers vérifiés. Cependant, Deloitte n</w:t>
      </w:r>
      <w:r w:rsidR="00EA59D7" w:rsidRPr="00605A9C">
        <w:rPr>
          <w:noProof/>
          <w:lang w:val="fr-CA"/>
        </w:rPr>
        <w:t>’</w:t>
      </w:r>
      <w:r w:rsidRPr="00605A9C">
        <w:rPr>
          <w:noProof/>
          <w:lang w:val="fr-CA"/>
        </w:rPr>
        <w:t>est pas responsable des pertes qu</w:t>
      </w:r>
      <w:r w:rsidR="00EA59D7" w:rsidRPr="00605A9C">
        <w:rPr>
          <w:noProof/>
          <w:lang w:val="fr-CA"/>
        </w:rPr>
        <w:t>’</w:t>
      </w:r>
      <w:r w:rsidRPr="00605A9C">
        <w:rPr>
          <w:noProof/>
          <w:lang w:val="fr-CA"/>
        </w:rPr>
        <w:t xml:space="preserve">a subies Livent. </w:t>
      </w:r>
      <w:r w:rsidRPr="00605A9C">
        <w:rPr>
          <w:lang w:val="fr-CA"/>
        </w:rPr>
        <w:t>L</w:t>
      </w:r>
      <w:r w:rsidR="00EA59D7" w:rsidRPr="00605A9C">
        <w:rPr>
          <w:lang w:val="fr-CA"/>
        </w:rPr>
        <w:t>’</w:t>
      </w:r>
      <w:r w:rsidRPr="00605A9C">
        <w:rPr>
          <w:lang w:val="fr-CA"/>
        </w:rPr>
        <w:t>action en responsabilité délictuelle doit être rejetée. L</w:t>
      </w:r>
      <w:r w:rsidR="00EA59D7" w:rsidRPr="00605A9C">
        <w:rPr>
          <w:lang w:val="fr-CA"/>
        </w:rPr>
        <w:t>’</w:t>
      </w:r>
      <w:r w:rsidRPr="00605A9C">
        <w:rPr>
          <w:lang w:val="fr-CA"/>
        </w:rPr>
        <w:t xml:space="preserve">action en responsabilité contractuelle de Livent aboutit au même résultat. </w:t>
      </w:r>
    </w:p>
    <w:p w:rsidR="005D3BB5" w:rsidRPr="00605A9C" w:rsidRDefault="00FF09B8" w:rsidP="005D3BB5">
      <w:pPr>
        <w:pStyle w:val="SCCNormalDoubleSpacing"/>
        <w:spacing w:before="480" w:after="480"/>
        <w:rPr>
          <w:rFonts w:eastAsiaTheme="minorHAnsi"/>
          <w:noProof/>
          <w:lang w:val="fr-CA"/>
        </w:rPr>
      </w:pPr>
      <w:r w:rsidRPr="00605A9C">
        <w:rPr>
          <w:lang w:val="fr-CA"/>
        </w:rPr>
        <w:tab/>
      </w:r>
      <w:r w:rsidR="002F7F5C" w:rsidRPr="00605A9C">
        <w:rPr>
          <w:rFonts w:eastAsiaTheme="minorHAnsi"/>
          <w:noProof/>
          <w:lang w:val="fr-CA"/>
        </w:rPr>
        <w:t>Les tribunaux ont fourni deux approches théoriques pour limiter les pertes purement économiques indemnisables à la suite d</w:t>
      </w:r>
      <w:r w:rsidR="00EA59D7" w:rsidRPr="00605A9C">
        <w:rPr>
          <w:rFonts w:eastAsiaTheme="minorHAnsi"/>
          <w:noProof/>
          <w:lang w:val="fr-CA"/>
        </w:rPr>
        <w:t>’</w:t>
      </w:r>
      <w:r w:rsidR="002F7F5C" w:rsidRPr="00605A9C">
        <w:rPr>
          <w:rFonts w:eastAsiaTheme="minorHAnsi"/>
          <w:noProof/>
          <w:lang w:val="fr-CA"/>
        </w:rPr>
        <w:t>une déclaration inexacte faite par négligence. Selon la première, l</w:t>
      </w:r>
      <w:r w:rsidR="00EA59D7" w:rsidRPr="00605A9C">
        <w:rPr>
          <w:rFonts w:eastAsiaTheme="minorHAnsi"/>
          <w:noProof/>
          <w:lang w:val="fr-CA"/>
        </w:rPr>
        <w:t>’</w:t>
      </w:r>
      <w:r w:rsidR="002F7F5C" w:rsidRPr="00605A9C">
        <w:rPr>
          <w:rFonts w:eastAsiaTheme="minorHAnsi"/>
          <w:noProof/>
          <w:lang w:val="fr-CA"/>
        </w:rPr>
        <w:t>étendue de l</w:t>
      </w:r>
      <w:r w:rsidR="00EA59D7" w:rsidRPr="00605A9C">
        <w:rPr>
          <w:rFonts w:eastAsiaTheme="minorHAnsi"/>
          <w:noProof/>
          <w:lang w:val="fr-CA"/>
        </w:rPr>
        <w:t>’</w:t>
      </w:r>
      <w:r w:rsidR="002F7F5C" w:rsidRPr="00605A9C">
        <w:rPr>
          <w:rFonts w:eastAsiaTheme="minorHAnsi"/>
          <w:noProof/>
          <w:lang w:val="fr-CA"/>
        </w:rPr>
        <w:t>obligation de diligence de la personne qui donne le conseil ne couvre pas la perte alléguée. Selon la deuxième, la perte est trop éloignée de l</w:t>
      </w:r>
      <w:r w:rsidR="00EA59D7" w:rsidRPr="00605A9C">
        <w:rPr>
          <w:rFonts w:eastAsiaTheme="minorHAnsi"/>
          <w:noProof/>
          <w:lang w:val="fr-CA"/>
        </w:rPr>
        <w:t>’</w:t>
      </w:r>
      <w:r w:rsidR="002F7F5C" w:rsidRPr="00605A9C">
        <w:rPr>
          <w:rFonts w:eastAsiaTheme="minorHAnsi"/>
          <w:noProof/>
          <w:lang w:val="fr-CA"/>
        </w:rPr>
        <w:t>acte négligent et n</w:t>
      </w:r>
      <w:r w:rsidR="00EA59D7" w:rsidRPr="00605A9C">
        <w:rPr>
          <w:rFonts w:eastAsiaTheme="minorHAnsi"/>
          <w:noProof/>
          <w:lang w:val="fr-CA"/>
        </w:rPr>
        <w:t>’</w:t>
      </w:r>
      <w:r w:rsidR="002F7F5C" w:rsidRPr="00605A9C">
        <w:rPr>
          <w:rFonts w:eastAsiaTheme="minorHAnsi"/>
          <w:noProof/>
          <w:lang w:val="fr-CA"/>
        </w:rPr>
        <w:t>a donc pas été causée, en droit, par cet acte.</w:t>
      </w:r>
      <w:r w:rsidR="005D3BB5" w:rsidRPr="00605A9C">
        <w:rPr>
          <w:rFonts w:eastAsiaTheme="minorHAnsi"/>
          <w:noProof/>
          <w:lang w:val="fr-CA"/>
        </w:rPr>
        <w:t xml:space="preserve"> Dans les deux cas, l</w:t>
      </w:r>
      <w:r w:rsidR="00EA59D7" w:rsidRPr="00605A9C">
        <w:rPr>
          <w:rFonts w:eastAsiaTheme="minorHAnsi"/>
          <w:noProof/>
          <w:lang w:val="fr-CA"/>
        </w:rPr>
        <w:t>’</w:t>
      </w:r>
      <w:r w:rsidR="005D3BB5" w:rsidRPr="00605A9C">
        <w:rPr>
          <w:rFonts w:eastAsiaTheme="minorHAnsi"/>
          <w:noProof/>
          <w:lang w:val="fr-CA"/>
        </w:rPr>
        <w:t xml:space="preserve">analyse suscite des considérations semblables et </w:t>
      </w:r>
      <w:r w:rsidR="005D3BB5" w:rsidRPr="00605A9C">
        <w:rPr>
          <w:noProof/>
          <w:lang w:val="fr-CA"/>
        </w:rPr>
        <w:t xml:space="preserve">arrive au même point. </w:t>
      </w:r>
      <w:r w:rsidR="005D3BB5" w:rsidRPr="00605A9C">
        <w:rPr>
          <w:rFonts w:eastAsiaTheme="minorHAnsi"/>
          <w:noProof/>
          <w:lang w:val="fr-CA"/>
        </w:rPr>
        <w:t>L</w:t>
      </w:r>
      <w:r w:rsidR="00EA59D7" w:rsidRPr="00605A9C">
        <w:rPr>
          <w:rFonts w:eastAsiaTheme="minorHAnsi"/>
          <w:noProof/>
          <w:lang w:val="fr-CA"/>
        </w:rPr>
        <w:t>’</w:t>
      </w:r>
      <w:r w:rsidR="005D3BB5" w:rsidRPr="00605A9C">
        <w:rPr>
          <w:rFonts w:eastAsiaTheme="minorHAnsi"/>
          <w:noProof/>
          <w:lang w:val="fr-CA"/>
        </w:rPr>
        <w:t>analyse relative au caractère éloigné porte sur l</w:t>
      </w:r>
      <w:r w:rsidR="00EA59D7" w:rsidRPr="00605A9C">
        <w:rPr>
          <w:rFonts w:eastAsiaTheme="minorHAnsi"/>
          <w:noProof/>
          <w:lang w:val="fr-CA"/>
        </w:rPr>
        <w:t>’</w:t>
      </w:r>
      <w:r w:rsidR="005D3BB5" w:rsidRPr="00605A9C">
        <w:rPr>
          <w:rFonts w:eastAsiaTheme="minorHAnsi"/>
          <w:noProof/>
          <w:lang w:val="fr-CA"/>
        </w:rPr>
        <w:t>acte fautif et sa proximité à la perte alléguée. La liste des facteurs devant être pris en considération n</w:t>
      </w:r>
      <w:r w:rsidR="00EA59D7" w:rsidRPr="00605A9C">
        <w:rPr>
          <w:rFonts w:eastAsiaTheme="minorHAnsi"/>
          <w:noProof/>
          <w:lang w:val="fr-CA"/>
        </w:rPr>
        <w:t>’</w:t>
      </w:r>
      <w:r w:rsidR="005D3BB5" w:rsidRPr="00605A9C">
        <w:rPr>
          <w:rFonts w:eastAsiaTheme="minorHAnsi"/>
          <w:noProof/>
          <w:lang w:val="fr-CA"/>
        </w:rPr>
        <w:t>est pas exhaustive. La connaissance de la situation du demandeur par la personne donnant le conseil, les attentes raisonnables découlant de la relation et la présence de facteurs intermédiaires ayant mené à la perte sont des facteurs qui peuvent être pris en compte dans l</w:t>
      </w:r>
      <w:r w:rsidR="00EA59D7" w:rsidRPr="00605A9C">
        <w:rPr>
          <w:rFonts w:eastAsiaTheme="minorHAnsi"/>
          <w:noProof/>
          <w:lang w:val="fr-CA"/>
        </w:rPr>
        <w:t>’</w:t>
      </w:r>
      <w:r w:rsidR="005D3BB5" w:rsidRPr="00605A9C">
        <w:rPr>
          <w:rFonts w:eastAsiaTheme="minorHAnsi"/>
          <w:noProof/>
          <w:lang w:val="fr-CA"/>
        </w:rPr>
        <w:t>analyse. L</w:t>
      </w:r>
      <w:r w:rsidR="00EA59D7" w:rsidRPr="00605A9C">
        <w:rPr>
          <w:rFonts w:eastAsiaTheme="minorHAnsi"/>
          <w:noProof/>
          <w:lang w:val="fr-CA"/>
        </w:rPr>
        <w:t>’</w:t>
      </w:r>
      <w:r w:rsidR="005D3BB5" w:rsidRPr="00605A9C">
        <w:rPr>
          <w:rFonts w:eastAsiaTheme="minorHAnsi"/>
          <w:noProof/>
          <w:lang w:val="fr-CA"/>
        </w:rPr>
        <w:t>analyse relative à l</w:t>
      </w:r>
      <w:r w:rsidR="00EA59D7" w:rsidRPr="00605A9C">
        <w:rPr>
          <w:rFonts w:eastAsiaTheme="minorHAnsi"/>
          <w:noProof/>
          <w:lang w:val="fr-CA"/>
        </w:rPr>
        <w:t>’</w:t>
      </w:r>
      <w:r w:rsidR="005D3BB5" w:rsidRPr="00605A9C">
        <w:rPr>
          <w:rFonts w:eastAsiaTheme="minorHAnsi"/>
          <w:noProof/>
          <w:lang w:val="fr-CA"/>
        </w:rPr>
        <w:t>étendue de l</w:t>
      </w:r>
      <w:r w:rsidR="00EA59D7" w:rsidRPr="00605A9C">
        <w:rPr>
          <w:rFonts w:eastAsiaTheme="minorHAnsi"/>
          <w:noProof/>
          <w:lang w:val="fr-CA"/>
        </w:rPr>
        <w:t>’</w:t>
      </w:r>
      <w:r w:rsidR="005D3BB5" w:rsidRPr="00605A9C">
        <w:rPr>
          <w:rFonts w:eastAsiaTheme="minorHAnsi"/>
          <w:noProof/>
          <w:lang w:val="fr-CA"/>
        </w:rPr>
        <w:t xml:space="preserve">obligation de diligence porte sur la corrélation entre le conseil du défendeur et la perte du demandeur. Il faut se demander si cette corrélation était immédiate. Dans les cas de perte économique, </w:t>
      </w:r>
      <w:r w:rsidR="00506842" w:rsidRPr="00605A9C">
        <w:rPr>
          <w:rFonts w:eastAsiaTheme="minorHAnsi"/>
          <w:noProof/>
          <w:lang w:val="fr-CA"/>
        </w:rPr>
        <w:t>elle</w:t>
      </w:r>
      <w:r w:rsidR="005D3BB5" w:rsidRPr="00605A9C">
        <w:rPr>
          <w:rFonts w:eastAsiaTheme="minorHAnsi"/>
          <w:noProof/>
          <w:lang w:val="fr-CA"/>
        </w:rPr>
        <w:t xml:space="preserve"> vise la fin pour laquelle le conseil a été donné, et il faut se demander si une personne raisonnable aurait pu prévoir </w:t>
      </w:r>
      <w:r w:rsidR="005D3BB5" w:rsidRPr="00605A9C">
        <w:rPr>
          <w:rFonts w:eastAsiaTheme="minorHAnsi"/>
          <w:noProof/>
          <w:lang w:val="fr-CA"/>
        </w:rPr>
        <w:lastRenderedPageBreak/>
        <w:t>que le conseil donné par négligence aurait causé la perte en question en raison du fait que le demandeur s</w:t>
      </w:r>
      <w:r w:rsidR="00EA59D7" w:rsidRPr="00605A9C">
        <w:rPr>
          <w:rFonts w:eastAsiaTheme="minorHAnsi"/>
          <w:noProof/>
          <w:lang w:val="fr-CA"/>
        </w:rPr>
        <w:t>’</w:t>
      </w:r>
      <w:r w:rsidR="005D3BB5" w:rsidRPr="00605A9C">
        <w:rPr>
          <w:rFonts w:eastAsiaTheme="minorHAnsi"/>
          <w:noProof/>
          <w:lang w:val="fr-CA"/>
        </w:rPr>
        <w:t xml:space="preserve">y soit fié. </w:t>
      </w:r>
    </w:p>
    <w:p w:rsidR="005D3BB5" w:rsidRPr="00605A9C" w:rsidRDefault="005D3BB5" w:rsidP="005D3BB5">
      <w:pPr>
        <w:pStyle w:val="SCCNormalDoubleSpacing"/>
        <w:spacing w:before="480" w:after="480"/>
        <w:rPr>
          <w:noProof/>
          <w:lang w:val="fr-CA"/>
        </w:rPr>
      </w:pPr>
      <w:r w:rsidRPr="00605A9C">
        <w:rPr>
          <w:lang w:val="fr-CA"/>
        </w:rPr>
        <w:tab/>
      </w:r>
      <w:r w:rsidRPr="00605A9C">
        <w:rPr>
          <w:rFonts w:eastAsiaTheme="minorHAnsi"/>
          <w:noProof/>
          <w:lang w:val="fr-CA"/>
        </w:rPr>
        <w:t>L</w:t>
      </w:r>
      <w:r w:rsidR="00EA59D7" w:rsidRPr="00605A9C">
        <w:rPr>
          <w:rFonts w:eastAsiaTheme="minorHAnsi"/>
          <w:noProof/>
          <w:lang w:val="fr-CA"/>
        </w:rPr>
        <w:t>’</w:t>
      </w:r>
      <w:r w:rsidRPr="00605A9C">
        <w:rPr>
          <w:lang w:val="fr-CA"/>
        </w:rPr>
        <w:t>analyse de l</w:t>
      </w:r>
      <w:r w:rsidR="00EA59D7" w:rsidRPr="00605A9C">
        <w:rPr>
          <w:lang w:val="fr-CA"/>
        </w:rPr>
        <w:t>’</w:t>
      </w:r>
      <w:r w:rsidRPr="00605A9C">
        <w:rPr>
          <w:lang w:val="fr-CA"/>
        </w:rPr>
        <w:t>obligation de diligence mène au critère en deux étapes énoncé dans l</w:t>
      </w:r>
      <w:r w:rsidR="00EA59D7" w:rsidRPr="00605A9C">
        <w:rPr>
          <w:lang w:val="fr-CA"/>
        </w:rPr>
        <w:t>’</w:t>
      </w:r>
      <w:r w:rsidRPr="00605A9C">
        <w:rPr>
          <w:lang w:val="fr-CA"/>
        </w:rPr>
        <w:t xml:space="preserve">arrêt </w:t>
      </w:r>
      <w:r w:rsidRPr="00605A9C">
        <w:rPr>
          <w:i/>
          <w:iCs/>
          <w:noProof/>
          <w:szCs w:val="24"/>
          <w:lang w:val="fr-CA"/>
        </w:rPr>
        <w:t>Anns c. London Borough of Merton</w:t>
      </w:r>
      <w:r w:rsidRPr="00605A9C">
        <w:rPr>
          <w:noProof/>
          <w:szCs w:val="24"/>
          <w:lang w:val="fr-CA"/>
        </w:rPr>
        <w:t xml:space="preserve">, [1977] 2 All E.R. 492 (H.L.). </w:t>
      </w:r>
      <w:r w:rsidRPr="00605A9C">
        <w:rPr>
          <w:lang w:val="fr-CA"/>
        </w:rPr>
        <w:t>La première étape du critère consiste à déterminer s</w:t>
      </w:r>
      <w:r w:rsidR="00EA59D7" w:rsidRPr="00605A9C">
        <w:rPr>
          <w:lang w:val="fr-CA"/>
        </w:rPr>
        <w:t>’</w:t>
      </w:r>
      <w:r w:rsidRPr="00605A9C">
        <w:rPr>
          <w:lang w:val="fr-CA"/>
        </w:rPr>
        <w:t>il y a proximité, ou une relation suffisamment étroite, entre les parties. Elle est axée sur le lien entre l</w:t>
      </w:r>
      <w:r w:rsidR="00EA59D7" w:rsidRPr="00605A9C">
        <w:rPr>
          <w:lang w:val="fr-CA"/>
        </w:rPr>
        <w:t>’</w:t>
      </w:r>
      <w:r w:rsidRPr="00605A9C">
        <w:rPr>
          <w:lang w:val="fr-CA"/>
        </w:rPr>
        <w:t>engagement ou la déclaration du défendeur et la perte alléguée. La fin pour laquelle la déclaration a été faite joue un rôle capital, et c</w:t>
      </w:r>
      <w:r w:rsidR="00EA59D7" w:rsidRPr="00605A9C">
        <w:rPr>
          <w:lang w:val="fr-CA"/>
        </w:rPr>
        <w:t>’</w:t>
      </w:r>
      <w:r w:rsidRPr="00605A9C">
        <w:rPr>
          <w:noProof/>
          <w:lang w:val="fr-CA"/>
        </w:rPr>
        <w:t xml:space="preserve">est une question de faits </w:t>
      </w:r>
      <w:r w:rsidR="00194881">
        <w:rPr>
          <w:noProof/>
          <w:lang w:val="fr-CA"/>
        </w:rPr>
        <w:t xml:space="preserve">qu’il faut trancher en fonction de </w:t>
      </w:r>
      <w:r w:rsidRPr="00605A9C">
        <w:rPr>
          <w:noProof/>
          <w:lang w:val="fr-CA"/>
        </w:rPr>
        <w:t>la preuve présentée au procès.</w:t>
      </w:r>
    </w:p>
    <w:p w:rsidR="005D3BB5" w:rsidRPr="00605A9C" w:rsidRDefault="005D3BB5" w:rsidP="005D3BB5">
      <w:pPr>
        <w:pStyle w:val="SCCNormalDoubleSpacing"/>
        <w:spacing w:before="480" w:after="480"/>
        <w:rPr>
          <w:lang w:val="fr-CA"/>
        </w:rPr>
      </w:pPr>
      <w:r w:rsidRPr="00605A9C">
        <w:rPr>
          <w:noProof/>
          <w:lang w:val="fr-CA"/>
        </w:rPr>
        <w:tab/>
      </w:r>
      <w:r w:rsidRPr="00605A9C">
        <w:rPr>
          <w:lang w:val="fr-CA"/>
        </w:rPr>
        <w:t>En l</w:t>
      </w:r>
      <w:r w:rsidR="00EA59D7" w:rsidRPr="00605A9C">
        <w:rPr>
          <w:lang w:val="fr-CA"/>
        </w:rPr>
        <w:t>’</w:t>
      </w:r>
      <w:r w:rsidRPr="00605A9C">
        <w:rPr>
          <w:lang w:val="fr-CA"/>
        </w:rPr>
        <w:t>espèce, on peut discerner trois fins auxquelles devaient servir les états financiers vérifiés par Livent</w:t>
      </w:r>
      <w:r w:rsidR="006945A3">
        <w:rPr>
          <w:lang w:val="fr-CA"/>
        </w:rPr>
        <w:t> :</w:t>
      </w:r>
      <w:r w:rsidRPr="00605A9C">
        <w:rPr>
          <w:lang w:val="fr-CA"/>
        </w:rPr>
        <w:t xml:space="preserve"> </w:t>
      </w:r>
      <w:r w:rsidR="00252881">
        <w:rPr>
          <w:lang w:val="fr-CA"/>
        </w:rPr>
        <w:t>(</w:t>
      </w:r>
      <w:r w:rsidRPr="00605A9C">
        <w:rPr>
          <w:lang w:val="fr-CA"/>
        </w:rPr>
        <w:t>1) présenter un état exact de la situation financière de Livent et lui fournir des opinions du vérificateur qu</w:t>
      </w:r>
      <w:r w:rsidR="00EA59D7" w:rsidRPr="00605A9C">
        <w:rPr>
          <w:lang w:val="fr-CA"/>
        </w:rPr>
        <w:t>’</w:t>
      </w:r>
      <w:r w:rsidRPr="00605A9C">
        <w:rPr>
          <w:lang w:val="fr-CA"/>
        </w:rPr>
        <w:t xml:space="preserve">elle pourra utiliser pour attirer des investissements; </w:t>
      </w:r>
      <w:r w:rsidR="00252881">
        <w:rPr>
          <w:lang w:val="fr-CA"/>
        </w:rPr>
        <w:t>(</w:t>
      </w:r>
      <w:r w:rsidRPr="00605A9C">
        <w:rPr>
          <w:lang w:val="fr-CA"/>
        </w:rPr>
        <w:t>2) découvrir des erreurs ou des actes fautifs afin de permettre à Livent de corriger elle</w:t>
      </w:r>
      <w:r w:rsidR="006945A3">
        <w:rPr>
          <w:lang w:val="fr-CA"/>
        </w:rPr>
        <w:noBreakHyphen/>
      </w:r>
      <w:r w:rsidRPr="00605A9C">
        <w:rPr>
          <w:lang w:val="fr-CA"/>
        </w:rPr>
        <w:t xml:space="preserve">même cette faute ou de prendre des mesures à cet égard; et </w:t>
      </w:r>
      <w:r w:rsidR="00252881">
        <w:rPr>
          <w:lang w:val="fr-CA"/>
        </w:rPr>
        <w:t>(</w:t>
      </w:r>
      <w:r w:rsidRPr="00605A9C">
        <w:rPr>
          <w:lang w:val="fr-CA"/>
        </w:rPr>
        <w:t>3)</w:t>
      </w:r>
      <w:r w:rsidR="00FE43F8" w:rsidRPr="00605A9C">
        <w:rPr>
          <w:lang w:val="fr-CA"/>
        </w:rPr>
        <w:t> </w:t>
      </w:r>
      <w:r w:rsidRPr="00605A9C">
        <w:rPr>
          <w:lang w:val="fr-CA"/>
        </w:rPr>
        <w:t>fournir des rapports de vérification qui serviraient à la surveillance de la gestion de Livent par les actionnaires. Ces fins seulement définissent l</w:t>
      </w:r>
      <w:r w:rsidR="00EA59D7" w:rsidRPr="00605A9C">
        <w:rPr>
          <w:lang w:val="fr-CA"/>
        </w:rPr>
        <w:t>’</w:t>
      </w:r>
      <w:r w:rsidRPr="00605A9C">
        <w:rPr>
          <w:lang w:val="fr-CA"/>
        </w:rPr>
        <w:t>étendue de l</w:t>
      </w:r>
      <w:r w:rsidR="00EA59D7" w:rsidRPr="00605A9C">
        <w:rPr>
          <w:lang w:val="fr-CA"/>
        </w:rPr>
        <w:t>’</w:t>
      </w:r>
      <w:r w:rsidRPr="00605A9C">
        <w:rPr>
          <w:lang w:val="fr-CA"/>
        </w:rPr>
        <w:t>obligation de diligence de Deloitte.</w:t>
      </w:r>
    </w:p>
    <w:p w:rsidR="005D3BB5" w:rsidRPr="00605A9C" w:rsidRDefault="005D3BB5" w:rsidP="005D3BB5">
      <w:pPr>
        <w:pStyle w:val="SCCNormalDoubleSpacing"/>
        <w:spacing w:before="480" w:after="480"/>
        <w:rPr>
          <w:lang w:val="fr-CA"/>
        </w:rPr>
      </w:pPr>
      <w:r w:rsidRPr="00605A9C">
        <w:rPr>
          <w:lang w:val="fr-CA"/>
        </w:rPr>
        <w:tab/>
        <w:t>L</w:t>
      </w:r>
      <w:r w:rsidR="00EA59D7" w:rsidRPr="00605A9C">
        <w:rPr>
          <w:lang w:val="fr-CA"/>
        </w:rPr>
        <w:t>’</w:t>
      </w:r>
      <w:r w:rsidRPr="00605A9C">
        <w:rPr>
          <w:lang w:val="fr-CA"/>
        </w:rPr>
        <w:t>acte fautif de Deloitte n</w:t>
      </w:r>
      <w:r w:rsidR="00EA59D7" w:rsidRPr="00605A9C">
        <w:rPr>
          <w:lang w:val="fr-CA"/>
        </w:rPr>
        <w:t>’</w:t>
      </w:r>
      <w:r w:rsidRPr="00605A9C">
        <w:rPr>
          <w:lang w:val="fr-CA"/>
        </w:rPr>
        <w:t>a pas empêché Livent d</w:t>
      </w:r>
      <w:r w:rsidR="00EA59D7" w:rsidRPr="00605A9C">
        <w:rPr>
          <w:lang w:val="fr-CA"/>
        </w:rPr>
        <w:t>’</w:t>
      </w:r>
      <w:r w:rsidRPr="00605A9C">
        <w:rPr>
          <w:lang w:val="fr-CA"/>
        </w:rPr>
        <w:t>attirer des capitaux d</w:t>
      </w:r>
      <w:r w:rsidR="00EA59D7" w:rsidRPr="00605A9C">
        <w:rPr>
          <w:lang w:val="fr-CA"/>
        </w:rPr>
        <w:t>’</w:t>
      </w:r>
      <w:r w:rsidRPr="00605A9C">
        <w:rPr>
          <w:lang w:val="fr-CA"/>
        </w:rPr>
        <w:t>investissement. En fait, Livent a attiré beaucoup de capitaux grâce aux déclarations de Deloitte. De même, l</w:t>
      </w:r>
      <w:r w:rsidR="00EA59D7" w:rsidRPr="00605A9C">
        <w:rPr>
          <w:lang w:val="fr-CA"/>
        </w:rPr>
        <w:t>’</w:t>
      </w:r>
      <w:r w:rsidRPr="00605A9C">
        <w:rPr>
          <w:lang w:val="fr-CA"/>
        </w:rPr>
        <w:t xml:space="preserve">acte fautif de Deloitte </w:t>
      </w:r>
      <w:r w:rsidR="00DA6119" w:rsidRPr="00605A9C">
        <w:rPr>
          <w:lang w:val="fr-CA"/>
        </w:rPr>
        <w:t>n</w:t>
      </w:r>
      <w:r w:rsidR="00EA59D7" w:rsidRPr="00605A9C">
        <w:rPr>
          <w:lang w:val="fr-CA"/>
        </w:rPr>
        <w:t>’</w:t>
      </w:r>
      <w:r w:rsidRPr="00605A9C">
        <w:rPr>
          <w:lang w:val="fr-CA"/>
        </w:rPr>
        <w:t>a</w:t>
      </w:r>
      <w:r w:rsidR="00DA6119" w:rsidRPr="00605A9C">
        <w:rPr>
          <w:lang w:val="fr-CA"/>
        </w:rPr>
        <w:t xml:space="preserve"> pas</w:t>
      </w:r>
      <w:r w:rsidRPr="00605A9C">
        <w:rPr>
          <w:lang w:val="fr-CA"/>
        </w:rPr>
        <w:t xml:space="preserve"> empêché Livent de déceler dans la gestion de l</w:t>
      </w:r>
      <w:r w:rsidR="00EA59D7" w:rsidRPr="00605A9C">
        <w:rPr>
          <w:lang w:val="fr-CA"/>
        </w:rPr>
        <w:t>’</w:t>
      </w:r>
      <w:r w:rsidRPr="00605A9C">
        <w:rPr>
          <w:lang w:val="fr-CA"/>
        </w:rPr>
        <w:t>entreprise la faute que Livent aurait corrigée si elle en avait été informée. Enfin, Livent n</w:t>
      </w:r>
      <w:r w:rsidR="00EA59D7" w:rsidRPr="00605A9C">
        <w:rPr>
          <w:lang w:val="fr-CA"/>
        </w:rPr>
        <w:t>’</w:t>
      </w:r>
      <w:r w:rsidRPr="00605A9C">
        <w:rPr>
          <w:lang w:val="fr-CA"/>
        </w:rPr>
        <w:t>a pas prouvé que l</w:t>
      </w:r>
      <w:r w:rsidR="00EA59D7" w:rsidRPr="00605A9C">
        <w:rPr>
          <w:lang w:val="fr-CA"/>
        </w:rPr>
        <w:t>’</w:t>
      </w:r>
      <w:r w:rsidRPr="00605A9C">
        <w:rPr>
          <w:lang w:val="fr-CA"/>
        </w:rPr>
        <w:t xml:space="preserve">acte fautif de Deloitte a empêché ses actionnaires </w:t>
      </w:r>
      <w:r w:rsidRPr="00605A9C">
        <w:rPr>
          <w:lang w:val="fr-CA"/>
        </w:rPr>
        <w:lastRenderedPageBreak/>
        <w:t>d</w:t>
      </w:r>
      <w:r w:rsidR="00EA59D7" w:rsidRPr="00605A9C">
        <w:rPr>
          <w:lang w:val="fr-CA"/>
        </w:rPr>
        <w:t>’</w:t>
      </w:r>
      <w:r w:rsidRPr="00605A9C">
        <w:rPr>
          <w:lang w:val="fr-CA"/>
        </w:rPr>
        <w:t>exercer leur surveillance d</w:t>
      </w:r>
      <w:r w:rsidR="00EA59D7" w:rsidRPr="00605A9C">
        <w:rPr>
          <w:lang w:val="fr-CA"/>
        </w:rPr>
        <w:t>’</w:t>
      </w:r>
      <w:r w:rsidRPr="00605A9C">
        <w:rPr>
          <w:lang w:val="fr-CA"/>
        </w:rPr>
        <w:t>une façon qui aurait mis fin plus tôt aux activités causant des pertes à l</w:t>
      </w:r>
      <w:r w:rsidR="00EA59D7" w:rsidRPr="00605A9C">
        <w:rPr>
          <w:lang w:val="fr-CA"/>
        </w:rPr>
        <w:t>’</w:t>
      </w:r>
      <w:r w:rsidRPr="00605A9C">
        <w:rPr>
          <w:lang w:val="fr-CA"/>
        </w:rPr>
        <w:t>entreprise. Le juge de première instance n</w:t>
      </w:r>
      <w:r w:rsidR="00EA59D7" w:rsidRPr="00605A9C">
        <w:rPr>
          <w:lang w:val="fr-CA"/>
        </w:rPr>
        <w:t>’</w:t>
      </w:r>
      <w:r w:rsidRPr="00605A9C">
        <w:rPr>
          <w:lang w:val="fr-CA"/>
        </w:rPr>
        <w:t>a pas conclu que les actionnaires de Livent se sont fiés aux états financiers vérifiés de façon négligente par Deloitte, ou que</w:t>
      </w:r>
      <w:r w:rsidR="00DA6119" w:rsidRPr="00605A9C">
        <w:rPr>
          <w:lang w:val="fr-CA"/>
        </w:rPr>
        <w:t>,</w:t>
      </w:r>
      <w:r w:rsidRPr="00605A9C">
        <w:rPr>
          <w:lang w:val="fr-CA"/>
        </w:rPr>
        <w:t xml:space="preserve"> s</w:t>
      </w:r>
      <w:r w:rsidR="00EA59D7" w:rsidRPr="00605A9C">
        <w:rPr>
          <w:lang w:val="fr-CA"/>
        </w:rPr>
        <w:t>’</w:t>
      </w:r>
      <w:r w:rsidRPr="00605A9C">
        <w:rPr>
          <w:lang w:val="fr-CA"/>
        </w:rPr>
        <w:t>ils avaient reçu des états financiers exacts et s</w:t>
      </w:r>
      <w:r w:rsidR="00EA59D7" w:rsidRPr="00605A9C">
        <w:rPr>
          <w:lang w:val="fr-CA"/>
        </w:rPr>
        <w:t>’</w:t>
      </w:r>
      <w:r w:rsidRPr="00605A9C">
        <w:rPr>
          <w:lang w:val="fr-CA"/>
        </w:rPr>
        <w:t>y étaient fiés, ils auraient agi d</w:t>
      </w:r>
      <w:r w:rsidR="00EA59D7" w:rsidRPr="00605A9C">
        <w:rPr>
          <w:lang w:val="fr-CA"/>
        </w:rPr>
        <w:t>’</w:t>
      </w:r>
      <w:r w:rsidRPr="00605A9C">
        <w:rPr>
          <w:lang w:val="fr-CA"/>
        </w:rPr>
        <w:t>une façon qui aurait empêché Livent de poursuivre ses activités et de diminuer ses actifs au cours de la période entre la production des états financiers en cause et l</w:t>
      </w:r>
      <w:r w:rsidR="00EA59D7" w:rsidRPr="00605A9C">
        <w:rPr>
          <w:lang w:val="fr-CA"/>
        </w:rPr>
        <w:t>’</w:t>
      </w:r>
      <w:r w:rsidRPr="00605A9C">
        <w:rPr>
          <w:lang w:val="fr-CA"/>
        </w:rPr>
        <w:t>insolvabilité de Livent. Essentiellement, le juge de première instance ne s</w:t>
      </w:r>
      <w:r w:rsidR="00EA59D7" w:rsidRPr="00605A9C">
        <w:rPr>
          <w:lang w:val="fr-CA"/>
        </w:rPr>
        <w:t>’</w:t>
      </w:r>
      <w:r w:rsidRPr="00605A9C">
        <w:rPr>
          <w:lang w:val="fr-CA"/>
        </w:rPr>
        <w:t>est pas demandé si les actionnaires s</w:t>
      </w:r>
      <w:r w:rsidR="00EA59D7" w:rsidRPr="00605A9C">
        <w:rPr>
          <w:lang w:val="fr-CA"/>
        </w:rPr>
        <w:t>’</w:t>
      </w:r>
      <w:r w:rsidRPr="00605A9C">
        <w:rPr>
          <w:lang w:val="fr-CA"/>
        </w:rPr>
        <w:t>étaient effectivement fiés aux états financiers vérifiés, et il ne s</w:t>
      </w:r>
      <w:r w:rsidR="00EA59D7" w:rsidRPr="00605A9C">
        <w:rPr>
          <w:lang w:val="fr-CA"/>
        </w:rPr>
        <w:t>’</w:t>
      </w:r>
      <w:r w:rsidRPr="00605A9C">
        <w:rPr>
          <w:lang w:val="fr-CA"/>
        </w:rPr>
        <w:t>est pas demandé si, dans le cas où les actionnaires s</w:t>
      </w:r>
      <w:r w:rsidR="00EA59D7" w:rsidRPr="00605A9C">
        <w:rPr>
          <w:lang w:val="fr-CA"/>
        </w:rPr>
        <w:t>’</w:t>
      </w:r>
      <w:r w:rsidRPr="00605A9C">
        <w:rPr>
          <w:lang w:val="fr-CA"/>
        </w:rPr>
        <w:t>étaient fiés à ces états financiers, cette confiance les avait empêchés de prendre des mesures pour changer les choses. Finalement, il ne s</w:t>
      </w:r>
      <w:r w:rsidR="00EA59D7" w:rsidRPr="00605A9C">
        <w:rPr>
          <w:lang w:val="fr-CA"/>
        </w:rPr>
        <w:t>’</w:t>
      </w:r>
      <w:r w:rsidRPr="00605A9C">
        <w:rPr>
          <w:lang w:val="fr-CA"/>
        </w:rPr>
        <w:t>est pas demandé si ces mesures, si elles avaient été prises, auraient empêché les pertes que Livent a accumulées pendant la période de sept mois en question. Si le juge de première instance avait posé ces questions, il aurait été tenu d</w:t>
      </w:r>
      <w:r w:rsidR="00EA59D7" w:rsidRPr="00605A9C">
        <w:rPr>
          <w:lang w:val="fr-CA"/>
        </w:rPr>
        <w:t>’</w:t>
      </w:r>
      <w:r w:rsidRPr="00605A9C">
        <w:rPr>
          <w:lang w:val="fr-CA"/>
        </w:rPr>
        <w:t>y répondre par la négative, puisque Livent n</w:t>
      </w:r>
      <w:r w:rsidR="00EA59D7" w:rsidRPr="00605A9C">
        <w:rPr>
          <w:lang w:val="fr-CA"/>
        </w:rPr>
        <w:t>’</w:t>
      </w:r>
      <w:r w:rsidRPr="00605A9C">
        <w:rPr>
          <w:lang w:val="fr-CA"/>
        </w:rPr>
        <w:t>a présenté aucune preuve à l</w:t>
      </w:r>
      <w:r w:rsidR="00EA59D7" w:rsidRPr="00605A9C">
        <w:rPr>
          <w:lang w:val="fr-CA"/>
        </w:rPr>
        <w:t>’</w:t>
      </w:r>
      <w:r w:rsidRPr="00605A9C">
        <w:rPr>
          <w:lang w:val="fr-CA"/>
        </w:rPr>
        <w:t>appui de réponses affirmatives. En conséquence, aucun fondement factuel n</w:t>
      </w:r>
      <w:r w:rsidR="00EA59D7" w:rsidRPr="00605A9C">
        <w:rPr>
          <w:lang w:val="fr-CA"/>
        </w:rPr>
        <w:t>’</w:t>
      </w:r>
      <w:r w:rsidRPr="00605A9C">
        <w:rPr>
          <w:lang w:val="fr-CA"/>
        </w:rPr>
        <w:t>établissait une perte attribuable au manque de surveillance des actionnaires.</w:t>
      </w:r>
    </w:p>
    <w:p w:rsidR="005D3BB5" w:rsidRPr="00605A9C" w:rsidRDefault="005D3BB5" w:rsidP="005D3BB5">
      <w:pPr>
        <w:pStyle w:val="SCCNormalDoubleSpacing"/>
        <w:spacing w:before="480" w:after="480"/>
        <w:rPr>
          <w:lang w:val="fr-CA"/>
        </w:rPr>
      </w:pPr>
      <w:r w:rsidRPr="00605A9C">
        <w:rPr>
          <w:lang w:val="fr-CA"/>
        </w:rPr>
        <w:tab/>
        <w:t>Selon les juges majoritaires, si Deloitte avait présenté des rapports de vérification justes, les actionnaires et les dirigeants de Livent auraient pu prendre des décisions qui auraient limité les pertes de l</w:t>
      </w:r>
      <w:r w:rsidR="00EA59D7" w:rsidRPr="00605A9C">
        <w:rPr>
          <w:lang w:val="fr-CA"/>
        </w:rPr>
        <w:t>’</w:t>
      </w:r>
      <w:r w:rsidRPr="00605A9C">
        <w:rPr>
          <w:lang w:val="fr-CA"/>
        </w:rPr>
        <w:t>entreprise. C</w:t>
      </w:r>
      <w:r w:rsidR="00EA59D7" w:rsidRPr="00605A9C">
        <w:rPr>
          <w:lang w:val="fr-CA"/>
        </w:rPr>
        <w:t>’</w:t>
      </w:r>
      <w:r w:rsidRPr="00605A9C">
        <w:rPr>
          <w:lang w:val="fr-CA"/>
        </w:rPr>
        <w:t>est peut</w:t>
      </w:r>
      <w:r w:rsidR="006945A3">
        <w:rPr>
          <w:lang w:val="fr-CA"/>
        </w:rPr>
        <w:noBreakHyphen/>
      </w:r>
      <w:r w:rsidRPr="00605A9C">
        <w:rPr>
          <w:lang w:val="fr-CA"/>
        </w:rPr>
        <w:t>être le cas, mais il ne suffit pas que l</w:t>
      </w:r>
      <w:r w:rsidR="00EA59D7" w:rsidRPr="00605A9C">
        <w:rPr>
          <w:lang w:val="fr-CA"/>
        </w:rPr>
        <w:t>’</w:t>
      </w:r>
      <w:r w:rsidRPr="00605A9C">
        <w:rPr>
          <w:lang w:val="fr-CA"/>
        </w:rPr>
        <w:t>on se fie à des affirmations non prouvées pour définir l</w:t>
      </w:r>
      <w:r w:rsidR="00EA59D7" w:rsidRPr="00605A9C">
        <w:rPr>
          <w:lang w:val="fr-CA"/>
        </w:rPr>
        <w:t>’</w:t>
      </w:r>
      <w:r w:rsidRPr="00605A9C">
        <w:rPr>
          <w:lang w:val="fr-CA"/>
        </w:rPr>
        <w:t>étendue de l</w:t>
      </w:r>
      <w:r w:rsidR="00EA59D7" w:rsidRPr="00605A9C">
        <w:rPr>
          <w:lang w:val="fr-CA"/>
        </w:rPr>
        <w:t>’</w:t>
      </w:r>
      <w:r w:rsidRPr="00605A9C">
        <w:rPr>
          <w:lang w:val="fr-CA"/>
        </w:rPr>
        <w:t>obligation de diligence et démontrer par la suite la causalité. L</w:t>
      </w:r>
      <w:r w:rsidR="00EA59D7" w:rsidRPr="00605A9C">
        <w:rPr>
          <w:lang w:val="fr-CA"/>
        </w:rPr>
        <w:t>’</w:t>
      </w:r>
      <w:r w:rsidRPr="00605A9C">
        <w:rPr>
          <w:lang w:val="fr-CA"/>
        </w:rPr>
        <w:t>approche des juges majoritaires laisse croire qu</w:t>
      </w:r>
      <w:r w:rsidR="00EA59D7" w:rsidRPr="00605A9C">
        <w:rPr>
          <w:lang w:val="fr-CA"/>
        </w:rPr>
        <w:t>’</w:t>
      </w:r>
      <w:r w:rsidRPr="00605A9C">
        <w:rPr>
          <w:lang w:val="fr-CA"/>
        </w:rPr>
        <w:t>à la suite d</w:t>
      </w:r>
      <w:r w:rsidR="00EA59D7" w:rsidRPr="00605A9C">
        <w:rPr>
          <w:lang w:val="fr-CA"/>
        </w:rPr>
        <w:t>’</w:t>
      </w:r>
      <w:r w:rsidRPr="00605A9C">
        <w:rPr>
          <w:lang w:val="fr-CA"/>
        </w:rPr>
        <w:t xml:space="preserve">un rapport entaché de négligence, un vérificateur deviendra généralement garant de toutes les pertes subies par un client. Et cela malgré les décisions subséquentes </w:t>
      </w:r>
      <w:r w:rsidR="00FE43F8" w:rsidRPr="00605A9C">
        <w:rPr>
          <w:lang w:val="fr-CA"/>
        </w:rPr>
        <w:t>—</w:t>
      </w:r>
      <w:r w:rsidRPr="00605A9C">
        <w:rPr>
          <w:lang w:val="fr-CA"/>
        </w:rPr>
        <w:t xml:space="preserve"> conséquentes ou fantaisistes </w:t>
      </w:r>
      <w:r w:rsidR="00FE43F8" w:rsidRPr="00605A9C">
        <w:rPr>
          <w:lang w:val="fr-CA"/>
        </w:rPr>
        <w:t>—</w:t>
      </w:r>
      <w:r w:rsidRPr="00605A9C">
        <w:rPr>
          <w:lang w:val="fr-CA"/>
        </w:rPr>
        <w:t xml:space="preserve"> prises par </w:t>
      </w:r>
      <w:r w:rsidRPr="00605A9C">
        <w:rPr>
          <w:lang w:val="fr-CA"/>
        </w:rPr>
        <w:lastRenderedPageBreak/>
        <w:t>les actionnaires du client. Toutefois, ce caractère conséquent ne peut être présumé</w:t>
      </w:r>
      <w:r w:rsidR="00DA6119" w:rsidRPr="00605A9C">
        <w:rPr>
          <w:lang w:val="fr-CA"/>
        </w:rPr>
        <w:t xml:space="preserve">; </w:t>
      </w:r>
      <w:r w:rsidRPr="00605A9C">
        <w:rPr>
          <w:lang w:val="fr-CA"/>
        </w:rPr>
        <w:t>i</w:t>
      </w:r>
      <w:r w:rsidR="00DA6119" w:rsidRPr="00605A9C">
        <w:rPr>
          <w:lang w:val="fr-CA"/>
        </w:rPr>
        <w:t>l</w:t>
      </w:r>
      <w:r w:rsidRPr="00605A9C">
        <w:rPr>
          <w:lang w:val="fr-CA"/>
        </w:rPr>
        <w:t xml:space="preserve"> doit être prouvé.</w:t>
      </w:r>
    </w:p>
    <w:p w:rsidR="005D3BB5" w:rsidRPr="00605A9C" w:rsidRDefault="005D3BB5" w:rsidP="005D3BB5">
      <w:pPr>
        <w:pStyle w:val="SCCNormalDoubleSpacing"/>
        <w:spacing w:before="480" w:after="480"/>
        <w:rPr>
          <w:lang w:val="fr-CA"/>
        </w:rPr>
      </w:pPr>
      <w:r w:rsidRPr="00605A9C">
        <w:rPr>
          <w:lang w:val="fr-CA"/>
        </w:rPr>
        <w:tab/>
        <w:t>Puisqu</w:t>
      </w:r>
      <w:r w:rsidR="00EA59D7" w:rsidRPr="00605A9C">
        <w:rPr>
          <w:lang w:val="fr-CA"/>
        </w:rPr>
        <w:t>’</w:t>
      </w:r>
      <w:r w:rsidRPr="00605A9C">
        <w:rPr>
          <w:lang w:val="fr-CA"/>
        </w:rPr>
        <w:t>il n</w:t>
      </w:r>
      <w:r w:rsidR="00EA59D7" w:rsidRPr="00605A9C">
        <w:rPr>
          <w:lang w:val="fr-CA"/>
        </w:rPr>
        <w:t>’</w:t>
      </w:r>
      <w:r w:rsidRPr="00605A9C">
        <w:rPr>
          <w:lang w:val="fr-CA"/>
        </w:rPr>
        <w:t>a pas été démontré que les pertes en question sont visées par l</w:t>
      </w:r>
      <w:r w:rsidR="00EA59D7" w:rsidRPr="00605A9C">
        <w:rPr>
          <w:lang w:val="fr-CA"/>
        </w:rPr>
        <w:t>’</w:t>
      </w:r>
      <w:r w:rsidRPr="00605A9C">
        <w:rPr>
          <w:lang w:val="fr-CA"/>
        </w:rPr>
        <w:t xml:space="preserve">obligation de diligence de Deloitte, la première étape du critère énoncé dans </w:t>
      </w:r>
      <w:r w:rsidRPr="00605A9C">
        <w:rPr>
          <w:i/>
          <w:lang w:val="fr-CA"/>
        </w:rPr>
        <w:t>Anns</w:t>
      </w:r>
      <w:r w:rsidRPr="00605A9C">
        <w:rPr>
          <w:lang w:val="fr-CA"/>
        </w:rPr>
        <w:t xml:space="preserve"> n</w:t>
      </w:r>
      <w:r w:rsidR="00EA59D7" w:rsidRPr="00605A9C">
        <w:rPr>
          <w:lang w:val="fr-CA"/>
        </w:rPr>
        <w:t>’</w:t>
      </w:r>
      <w:r w:rsidRPr="00605A9C">
        <w:rPr>
          <w:lang w:val="fr-CA"/>
        </w:rPr>
        <w:t>a pas été franchie. Il n</w:t>
      </w:r>
      <w:r w:rsidR="00EA59D7" w:rsidRPr="00605A9C">
        <w:rPr>
          <w:lang w:val="fr-CA"/>
        </w:rPr>
        <w:t>’</w:t>
      </w:r>
      <w:r w:rsidRPr="00605A9C">
        <w:rPr>
          <w:lang w:val="fr-CA"/>
        </w:rPr>
        <w:t xml:space="preserve">est </w:t>
      </w:r>
      <w:r w:rsidR="00DA6119" w:rsidRPr="00605A9C">
        <w:rPr>
          <w:lang w:val="fr-CA"/>
        </w:rPr>
        <w:t xml:space="preserve">donc </w:t>
      </w:r>
      <w:r w:rsidRPr="00605A9C">
        <w:rPr>
          <w:lang w:val="fr-CA"/>
        </w:rPr>
        <w:t xml:space="preserve">pas nécessaire de se demander si des considérations de politique générale non liées à la relation entre les parties annihilent la responsabilité </w:t>
      </w:r>
      <w:r w:rsidRPr="00605A9C">
        <w:rPr>
          <w:i/>
          <w:lang w:val="fr-CA"/>
        </w:rPr>
        <w:t>prima facie</w:t>
      </w:r>
      <w:r w:rsidRPr="00605A9C">
        <w:rPr>
          <w:lang w:val="fr-CA"/>
        </w:rPr>
        <w:t>. Cependant, s</w:t>
      </w:r>
      <w:r w:rsidR="00EA59D7" w:rsidRPr="00605A9C">
        <w:rPr>
          <w:lang w:val="fr-CA"/>
        </w:rPr>
        <w:t>’</w:t>
      </w:r>
      <w:r w:rsidRPr="00605A9C">
        <w:rPr>
          <w:lang w:val="fr-CA"/>
        </w:rPr>
        <w:t>il était nécessaire de le faire, les considérations de politique générale que sont l</w:t>
      </w:r>
      <w:r w:rsidR="00EA59D7" w:rsidRPr="00605A9C">
        <w:rPr>
          <w:lang w:val="fr-CA"/>
        </w:rPr>
        <w:t>’</w:t>
      </w:r>
      <w:r w:rsidRPr="00605A9C">
        <w:rPr>
          <w:lang w:val="fr-CA"/>
        </w:rPr>
        <w:t>attribution inéquitable de la perte et l</w:t>
      </w:r>
      <w:r w:rsidR="00EA59D7" w:rsidRPr="00605A9C">
        <w:rPr>
          <w:lang w:val="fr-CA"/>
        </w:rPr>
        <w:t>’</w:t>
      </w:r>
      <w:r w:rsidRPr="00605A9C">
        <w:rPr>
          <w:lang w:val="fr-CA"/>
        </w:rPr>
        <w:t>indétermination empêcheraient que Deloitte soit tenue responsable.</w:t>
      </w:r>
    </w:p>
    <w:p w:rsidR="004D7D95" w:rsidRPr="00605A9C" w:rsidRDefault="004D7D95" w:rsidP="002A5C50">
      <w:pPr>
        <w:pStyle w:val="SCCNormalDoubleSpacing"/>
        <w:spacing w:after="720" w:line="240" w:lineRule="auto"/>
        <w:rPr>
          <w:b/>
          <w:lang w:val="fr-CA"/>
        </w:rPr>
      </w:pPr>
      <w:r w:rsidRPr="00605A9C">
        <w:rPr>
          <w:b/>
          <w:lang w:val="fr-CA"/>
        </w:rPr>
        <w:t>Jurisprudence</w:t>
      </w:r>
    </w:p>
    <w:p w:rsidR="00FB6E2C" w:rsidRPr="00605A9C" w:rsidRDefault="00FB6E2C" w:rsidP="00FB6E2C">
      <w:pPr>
        <w:pStyle w:val="SCCNormalDoubleSpacing"/>
        <w:spacing w:after="720" w:line="240" w:lineRule="auto"/>
        <w:rPr>
          <w:lang w:val="fr-CA"/>
        </w:rPr>
      </w:pPr>
      <w:r w:rsidRPr="00605A9C">
        <w:rPr>
          <w:lang w:val="fr-CA"/>
        </w:rPr>
        <w:t>Citée par les juges Gascon et Brown</w:t>
      </w:r>
    </w:p>
    <w:p w:rsidR="00FB6E2C" w:rsidRPr="00605A9C" w:rsidRDefault="00FB6E2C" w:rsidP="00FB6E2C">
      <w:pPr>
        <w:pStyle w:val="SCCNormalDoubleSpacing"/>
        <w:spacing w:before="480" w:after="480"/>
        <w:rPr>
          <w:lang w:val="fr-CA"/>
        </w:rPr>
      </w:pPr>
      <w:r w:rsidRPr="00605A9C">
        <w:rPr>
          <w:i/>
          <w:lang w:val="fr-CA"/>
        </w:rPr>
        <w:tab/>
      </w:r>
      <w:r w:rsidR="00123238" w:rsidRPr="00123238">
        <w:rPr>
          <w:b/>
          <w:lang w:val="fr-CA"/>
        </w:rPr>
        <w:t>A</w:t>
      </w:r>
      <w:r w:rsidR="00123238" w:rsidRPr="00605A9C">
        <w:rPr>
          <w:b/>
          <w:lang w:val="fr-CA"/>
        </w:rPr>
        <w:t>rrêt appliqué</w:t>
      </w:r>
      <w:r w:rsidR="00123238">
        <w:rPr>
          <w:b/>
          <w:lang w:val="fr-CA"/>
        </w:rPr>
        <w:t> :</w:t>
      </w:r>
      <w:r w:rsidR="00123238" w:rsidRPr="00605A9C">
        <w:rPr>
          <w:lang w:val="fr-CA"/>
        </w:rPr>
        <w:t xml:space="preserve"> </w:t>
      </w:r>
      <w:r w:rsidR="00123238" w:rsidRPr="00605A9C">
        <w:rPr>
          <w:i/>
          <w:lang w:val="fr-CA"/>
        </w:rPr>
        <w:t>Hercules Managements Ltd. c. Ernst &amp; Young</w:t>
      </w:r>
      <w:r w:rsidR="00123238" w:rsidRPr="00605A9C">
        <w:rPr>
          <w:lang w:val="fr-CA"/>
        </w:rPr>
        <w:t xml:space="preserve">, [1997] 2 R.C.S. 165; </w:t>
      </w:r>
      <w:r w:rsidR="00123238" w:rsidRPr="00123238">
        <w:rPr>
          <w:b/>
          <w:lang w:val="fr-CA"/>
        </w:rPr>
        <w:t>d</w:t>
      </w:r>
      <w:r w:rsidR="00123238" w:rsidRPr="00605A9C">
        <w:rPr>
          <w:b/>
          <w:lang w:val="fr-CA"/>
        </w:rPr>
        <w:t>istinction d’avec l</w:t>
      </w:r>
      <w:r w:rsidR="00123238">
        <w:rPr>
          <w:b/>
          <w:lang w:val="fr-CA"/>
        </w:rPr>
        <w:t xml:space="preserve">es </w:t>
      </w:r>
      <w:r w:rsidR="00123238" w:rsidRPr="00605A9C">
        <w:rPr>
          <w:b/>
          <w:lang w:val="fr-CA"/>
        </w:rPr>
        <w:t>arrêt</w:t>
      </w:r>
      <w:r w:rsidR="00123238">
        <w:rPr>
          <w:b/>
          <w:lang w:val="fr-CA"/>
        </w:rPr>
        <w:t>s :</w:t>
      </w:r>
      <w:r w:rsidR="00123238" w:rsidRPr="00605A9C">
        <w:rPr>
          <w:lang w:val="fr-CA"/>
        </w:rPr>
        <w:t xml:space="preserve"> </w:t>
      </w:r>
      <w:r w:rsidR="00123238" w:rsidRPr="00605A9C">
        <w:rPr>
          <w:i/>
          <w:lang w:val="fr-CA"/>
        </w:rPr>
        <w:t>South Australia Asset Management Cor</w:t>
      </w:r>
      <w:r w:rsidR="00123238">
        <w:rPr>
          <w:i/>
          <w:lang w:val="fr-CA"/>
        </w:rPr>
        <w:t>p. </w:t>
      </w:r>
      <w:r w:rsidR="00123238" w:rsidRPr="00605A9C">
        <w:rPr>
          <w:i/>
          <w:lang w:val="fr-CA"/>
        </w:rPr>
        <w:t>c. York Montague Ltd.</w:t>
      </w:r>
      <w:r w:rsidR="00123238" w:rsidRPr="00605A9C">
        <w:rPr>
          <w:lang w:val="fr-CA"/>
        </w:rPr>
        <w:t xml:space="preserve">, [1997] A.C. 191; </w:t>
      </w:r>
      <w:r w:rsidR="00123238" w:rsidRPr="00605A9C">
        <w:rPr>
          <w:i/>
          <w:lang w:val="fr-CA"/>
        </w:rPr>
        <w:t>Canadian Dredge &amp; Dock Co. c. La Reine</w:t>
      </w:r>
      <w:r w:rsidR="00123238" w:rsidRPr="00605A9C">
        <w:rPr>
          <w:lang w:val="fr-CA"/>
        </w:rPr>
        <w:t xml:space="preserve">, [1985] 1 R.C.S. 662; </w:t>
      </w:r>
      <w:r w:rsidR="00123238" w:rsidRPr="00605A9C">
        <w:rPr>
          <w:i/>
          <w:lang w:val="fr-CA"/>
        </w:rPr>
        <w:t>Hart Building Supplies Ltd. c. Deloitte &amp; Touche</w:t>
      </w:r>
      <w:r w:rsidR="00123238" w:rsidRPr="00605A9C">
        <w:rPr>
          <w:lang w:val="fr-CA"/>
        </w:rPr>
        <w:t>, 2004 BCSC 55, 41 C.C.L.T. (3d) 240;</w:t>
      </w:r>
      <w:r w:rsidR="00123238">
        <w:rPr>
          <w:lang w:val="fr-CA"/>
        </w:rPr>
        <w:t xml:space="preserve"> </w:t>
      </w:r>
      <w:r w:rsidR="00123238" w:rsidRPr="00123238">
        <w:rPr>
          <w:b/>
          <w:lang w:val="fr-CA"/>
        </w:rPr>
        <w:t>a</w:t>
      </w:r>
      <w:r w:rsidRPr="00605A9C">
        <w:rPr>
          <w:b/>
          <w:lang w:val="fr-CA"/>
        </w:rPr>
        <w:t>rrêts expliqués</w:t>
      </w:r>
      <w:r w:rsidR="006945A3">
        <w:rPr>
          <w:b/>
          <w:lang w:val="fr-CA"/>
        </w:rPr>
        <w:t> :</w:t>
      </w:r>
      <w:r w:rsidRPr="00605A9C">
        <w:rPr>
          <w:lang w:val="fr-CA"/>
        </w:rPr>
        <w:t xml:space="preserve"> </w:t>
      </w:r>
      <w:r w:rsidRPr="00605A9C">
        <w:rPr>
          <w:i/>
          <w:lang w:val="fr-CA"/>
        </w:rPr>
        <w:t>Anns c. London Borough of Merton</w:t>
      </w:r>
      <w:r w:rsidRPr="00605A9C">
        <w:rPr>
          <w:lang w:val="fr-CA"/>
        </w:rPr>
        <w:t xml:space="preserve">, [1977] 2 All E.R. 492; </w:t>
      </w:r>
      <w:r w:rsidRPr="00605A9C">
        <w:rPr>
          <w:i/>
          <w:lang w:val="fr-CA"/>
        </w:rPr>
        <w:t>Cooper c. Hobart</w:t>
      </w:r>
      <w:r w:rsidRPr="00605A9C">
        <w:rPr>
          <w:lang w:val="fr-CA"/>
        </w:rPr>
        <w:t xml:space="preserve">, 2001 CSC 79, [2001] 3 R.C.S. 537; </w:t>
      </w:r>
      <w:r w:rsidRPr="00605A9C">
        <w:rPr>
          <w:b/>
          <w:lang w:val="fr-CA"/>
        </w:rPr>
        <w:t>arrêts mentionnés</w:t>
      </w:r>
      <w:r w:rsidR="006945A3">
        <w:rPr>
          <w:b/>
          <w:lang w:val="fr-CA"/>
        </w:rPr>
        <w:t> :</w:t>
      </w:r>
      <w:r w:rsidRPr="00605A9C">
        <w:rPr>
          <w:lang w:val="fr-CA"/>
        </w:rPr>
        <w:t xml:space="preserve"> </w:t>
      </w:r>
      <w:r w:rsidRPr="00605A9C">
        <w:rPr>
          <w:i/>
          <w:lang w:val="fr-CA"/>
        </w:rPr>
        <w:t>Bow Valley Husky (Bermuda) Ltd. c. Saint John Shipbuilding Ltd.</w:t>
      </w:r>
      <w:r w:rsidRPr="00605A9C">
        <w:rPr>
          <w:lang w:val="fr-CA"/>
        </w:rPr>
        <w:t xml:space="preserve">, [1997] 3 R.C.S. 1210; </w:t>
      </w:r>
      <w:r w:rsidRPr="00605A9C">
        <w:rPr>
          <w:i/>
          <w:lang w:val="fr-CA"/>
        </w:rPr>
        <w:t>Cie des chemins de fer nationaux du Canada c. Norsk Pacific Steamship Co.</w:t>
      </w:r>
      <w:r w:rsidRPr="00605A9C">
        <w:rPr>
          <w:lang w:val="fr-CA"/>
        </w:rPr>
        <w:t xml:space="preserve">, [1992] 1 R.C.S. 1021; </w:t>
      </w:r>
      <w:r w:rsidRPr="00605A9C">
        <w:rPr>
          <w:i/>
          <w:lang w:val="fr-CA"/>
        </w:rPr>
        <w:t>Kamloops (Ville) c. Nielsen</w:t>
      </w:r>
      <w:r w:rsidRPr="00605A9C">
        <w:rPr>
          <w:lang w:val="fr-CA"/>
        </w:rPr>
        <w:t xml:space="preserve">, [1984] 2 R.C.S. 2; </w:t>
      </w:r>
      <w:r w:rsidRPr="00605A9C">
        <w:rPr>
          <w:i/>
          <w:lang w:val="fr-CA"/>
        </w:rPr>
        <w:t>Haig c. Bamford</w:t>
      </w:r>
      <w:r w:rsidRPr="00605A9C">
        <w:rPr>
          <w:lang w:val="fr-CA"/>
        </w:rPr>
        <w:t xml:space="preserve">, [1977] 1 R.C.S. 466; </w:t>
      </w:r>
      <w:r w:rsidRPr="00605A9C">
        <w:rPr>
          <w:i/>
          <w:lang w:val="fr-CA"/>
        </w:rPr>
        <w:t>Edwards c. Barreau du Haut</w:t>
      </w:r>
      <w:r w:rsidR="006945A3">
        <w:rPr>
          <w:i/>
          <w:lang w:val="fr-CA"/>
        </w:rPr>
        <w:noBreakHyphen/>
      </w:r>
      <w:r w:rsidRPr="00605A9C">
        <w:rPr>
          <w:i/>
          <w:lang w:val="fr-CA"/>
        </w:rPr>
        <w:t>Canada</w:t>
      </w:r>
      <w:r w:rsidRPr="00605A9C">
        <w:rPr>
          <w:lang w:val="fr-CA"/>
        </w:rPr>
        <w:t xml:space="preserve">, 2001 CSC 80, [2001] 3 R.C.S. 562; </w:t>
      </w:r>
      <w:r w:rsidRPr="00605A9C">
        <w:rPr>
          <w:i/>
          <w:lang w:val="fr-CA"/>
        </w:rPr>
        <w:t>Succession Odhavji c. Woodhouse</w:t>
      </w:r>
      <w:r w:rsidRPr="00605A9C">
        <w:rPr>
          <w:lang w:val="fr-CA"/>
        </w:rPr>
        <w:t xml:space="preserve">, 2003 CSC 69, [2003] </w:t>
      </w:r>
      <w:r w:rsidRPr="00605A9C">
        <w:rPr>
          <w:lang w:val="fr-CA"/>
        </w:rPr>
        <w:lastRenderedPageBreak/>
        <w:t xml:space="preserve">3 R.C.S. 263; </w:t>
      </w:r>
      <w:r w:rsidRPr="00605A9C">
        <w:rPr>
          <w:i/>
          <w:lang w:val="fr-CA"/>
        </w:rPr>
        <w:t>Childs c. Desormeaux</w:t>
      </w:r>
      <w:r w:rsidRPr="00605A9C">
        <w:rPr>
          <w:lang w:val="fr-CA"/>
        </w:rPr>
        <w:t xml:space="preserve">, 2006 CSC 18, [2006] 1 R.C.S. 643; </w:t>
      </w:r>
      <w:r w:rsidRPr="00605A9C">
        <w:rPr>
          <w:i/>
          <w:lang w:val="fr-CA"/>
        </w:rPr>
        <w:t>Hill c.</w:t>
      </w:r>
      <w:r w:rsidRPr="00605A9C">
        <w:rPr>
          <w:lang w:val="fr-CA"/>
        </w:rPr>
        <w:t xml:space="preserve"> </w:t>
      </w:r>
      <w:r w:rsidRPr="00605A9C">
        <w:rPr>
          <w:i/>
          <w:lang w:val="fr-CA"/>
        </w:rPr>
        <w:t>Commission des services policiers de la municipalité régionale de Hamilton</w:t>
      </w:r>
      <w:r w:rsidR="006945A3">
        <w:rPr>
          <w:i/>
          <w:lang w:val="fr-CA"/>
        </w:rPr>
        <w:noBreakHyphen/>
      </w:r>
      <w:r w:rsidRPr="00605A9C">
        <w:rPr>
          <w:i/>
          <w:lang w:val="fr-CA"/>
        </w:rPr>
        <w:t>Wentworth</w:t>
      </w:r>
      <w:r w:rsidRPr="00605A9C">
        <w:rPr>
          <w:lang w:val="fr-CA"/>
        </w:rPr>
        <w:t xml:space="preserve">, 2007 CSC 41, [2007] 3 R.C.S. 129; </w:t>
      </w:r>
      <w:r w:rsidRPr="00605A9C">
        <w:rPr>
          <w:i/>
          <w:lang w:val="fr-CA"/>
        </w:rPr>
        <w:t>Fullowka c. Pinkerton</w:t>
      </w:r>
      <w:r w:rsidR="00EA59D7" w:rsidRPr="00605A9C">
        <w:rPr>
          <w:i/>
          <w:lang w:val="fr-CA"/>
        </w:rPr>
        <w:t>’</w:t>
      </w:r>
      <w:r w:rsidRPr="00605A9C">
        <w:rPr>
          <w:i/>
          <w:lang w:val="fr-CA"/>
        </w:rPr>
        <w:t>s of Canada Ltd.</w:t>
      </w:r>
      <w:r w:rsidRPr="00605A9C">
        <w:rPr>
          <w:lang w:val="fr-CA"/>
        </w:rPr>
        <w:t xml:space="preserve">, 2010 CSC 5, [2010] 1 R.C.S. 132; </w:t>
      </w:r>
      <w:r w:rsidRPr="00605A9C">
        <w:rPr>
          <w:i/>
          <w:lang w:val="fr-CA"/>
        </w:rPr>
        <w:t>Saadati c. Moorhead</w:t>
      </w:r>
      <w:r w:rsidRPr="00605A9C">
        <w:rPr>
          <w:lang w:val="fr-CA"/>
        </w:rPr>
        <w:t xml:space="preserve">, 2017 CSC 28, [2017] 1 R.C.S. 543; </w:t>
      </w:r>
      <w:r w:rsidRPr="00605A9C">
        <w:rPr>
          <w:i/>
          <w:lang w:val="fr-CA"/>
        </w:rPr>
        <w:t>Donoghue c. Stevenson</w:t>
      </w:r>
      <w:r w:rsidRPr="00605A9C">
        <w:rPr>
          <w:lang w:val="fr-CA"/>
        </w:rPr>
        <w:t xml:space="preserve">, [1932] A.C. 562; </w:t>
      </w:r>
      <w:r w:rsidRPr="00605A9C">
        <w:rPr>
          <w:i/>
          <w:lang w:val="fr-CA"/>
        </w:rPr>
        <w:t>Caparo Industries plc. c. Dickman</w:t>
      </w:r>
      <w:r w:rsidRPr="00605A9C">
        <w:rPr>
          <w:lang w:val="fr-CA"/>
        </w:rPr>
        <w:t xml:space="preserve">, [1990] 1 All E.R. 568; </w:t>
      </w:r>
      <w:r w:rsidRPr="00605A9C">
        <w:rPr>
          <w:i/>
          <w:lang w:val="fr-CA"/>
        </w:rPr>
        <w:t>Glanzer c. Shepard</w:t>
      </w:r>
      <w:r w:rsidRPr="00605A9C">
        <w:rPr>
          <w:lang w:val="fr-CA"/>
        </w:rPr>
        <w:t xml:space="preserve">, 135 N.E. 275 (1922); </w:t>
      </w:r>
      <w:r w:rsidRPr="00605A9C">
        <w:rPr>
          <w:i/>
          <w:lang w:val="fr-CA"/>
        </w:rPr>
        <w:t>Ultramares Cor</w:t>
      </w:r>
      <w:r w:rsidR="006945A3">
        <w:rPr>
          <w:i/>
          <w:lang w:val="fr-CA"/>
        </w:rPr>
        <w:t>p. </w:t>
      </w:r>
      <w:r w:rsidRPr="00605A9C">
        <w:rPr>
          <w:i/>
          <w:lang w:val="fr-CA"/>
        </w:rPr>
        <w:t>c. Touche</w:t>
      </w:r>
      <w:r w:rsidRPr="00605A9C">
        <w:rPr>
          <w:lang w:val="fr-CA"/>
        </w:rPr>
        <w:t xml:space="preserve">, 174 N.E. 441 (1931); </w:t>
      </w:r>
      <w:r w:rsidRPr="00605A9C">
        <w:rPr>
          <w:i/>
          <w:lang w:val="fr-CA"/>
        </w:rPr>
        <w:t>Yuen Kun Yeu c. Attorney</w:t>
      </w:r>
      <w:r w:rsidR="006945A3">
        <w:rPr>
          <w:i/>
          <w:lang w:val="fr-CA"/>
        </w:rPr>
        <w:noBreakHyphen/>
      </w:r>
      <w:r w:rsidRPr="00605A9C">
        <w:rPr>
          <w:i/>
          <w:lang w:val="fr-CA"/>
        </w:rPr>
        <w:t>General of Hong Kong</w:t>
      </w:r>
      <w:r w:rsidRPr="00605A9C">
        <w:rPr>
          <w:lang w:val="fr-CA"/>
        </w:rPr>
        <w:t xml:space="preserve">, [1988] 1 A.C. 175; </w:t>
      </w:r>
      <w:r w:rsidRPr="00605A9C">
        <w:rPr>
          <w:i/>
          <w:lang w:val="fr-CA"/>
        </w:rPr>
        <w:t>Edgeworth Construction Ltd. c. N. D. Lea &amp; Associates Ltd.</w:t>
      </w:r>
      <w:r w:rsidRPr="00605A9C">
        <w:rPr>
          <w:lang w:val="fr-CA"/>
        </w:rPr>
        <w:t xml:space="preserve">, [1993] 3 R.C.S. 206; </w:t>
      </w:r>
      <w:r w:rsidRPr="00605A9C">
        <w:rPr>
          <w:i/>
          <w:lang w:val="fr-CA"/>
        </w:rPr>
        <w:t>Gross c. Great</w:t>
      </w:r>
      <w:r w:rsidR="006945A3">
        <w:rPr>
          <w:i/>
          <w:lang w:val="fr-CA"/>
        </w:rPr>
        <w:noBreakHyphen/>
      </w:r>
      <w:r w:rsidRPr="00605A9C">
        <w:rPr>
          <w:i/>
          <w:lang w:val="fr-CA"/>
        </w:rPr>
        <w:t>West Life Assurance Co.</w:t>
      </w:r>
      <w:r w:rsidRPr="00605A9C">
        <w:rPr>
          <w:lang w:val="fr-CA"/>
        </w:rPr>
        <w:t xml:space="preserve">, 2002 ABCA 37, 299 A.R. 142; </w:t>
      </w:r>
      <w:r w:rsidRPr="00605A9C">
        <w:rPr>
          <w:i/>
          <w:lang w:val="fr-CA"/>
        </w:rPr>
        <w:t>Mustapha c. Culligan du Canada Ltée</w:t>
      </w:r>
      <w:r w:rsidRPr="00605A9C">
        <w:rPr>
          <w:lang w:val="fr-CA"/>
        </w:rPr>
        <w:t xml:space="preserve">, 2008 CSC 27, [2008] 2 R.C.S. 114; </w:t>
      </w:r>
      <w:r w:rsidRPr="00605A9C">
        <w:rPr>
          <w:i/>
          <w:lang w:val="fr-CA"/>
        </w:rPr>
        <w:t>Overseas Tankship (U.K.) Ltd. c. Morts Dock &amp; Engineering Co.</w:t>
      </w:r>
      <w:r w:rsidRPr="00605A9C">
        <w:rPr>
          <w:lang w:val="fr-CA"/>
        </w:rPr>
        <w:t xml:space="preserve">, [1961] A.C. 388; </w:t>
      </w:r>
      <w:r w:rsidRPr="00605A9C">
        <w:rPr>
          <w:i/>
          <w:lang w:val="fr-CA"/>
        </w:rPr>
        <w:t>Hughes</w:t>
      </w:r>
      <w:r w:rsidR="006945A3">
        <w:rPr>
          <w:i/>
          <w:lang w:val="fr-CA"/>
        </w:rPr>
        <w:noBreakHyphen/>
      </w:r>
      <w:r w:rsidRPr="00605A9C">
        <w:rPr>
          <w:i/>
          <w:lang w:val="fr-CA"/>
        </w:rPr>
        <w:t>Holland c. BPE Solicitors</w:t>
      </w:r>
      <w:r w:rsidRPr="00605A9C">
        <w:rPr>
          <w:lang w:val="fr-CA"/>
        </w:rPr>
        <w:t xml:space="preserve">, [2017] UKSC 21, [2017] 2 W.L.R. 1029; </w:t>
      </w:r>
      <w:r w:rsidRPr="00605A9C">
        <w:rPr>
          <w:i/>
          <w:lang w:val="fr-CA"/>
        </w:rPr>
        <w:t>Nykredit Mortgage Bank plc. c. Edward Erdman Group Ltd. (</w:t>
      </w:r>
      <w:r w:rsidR="006945A3">
        <w:rPr>
          <w:i/>
          <w:lang w:val="fr-CA"/>
        </w:rPr>
        <w:t>No. </w:t>
      </w:r>
      <w:r w:rsidRPr="00605A9C">
        <w:rPr>
          <w:i/>
          <w:lang w:val="fr-CA"/>
        </w:rPr>
        <w:t>2)</w:t>
      </w:r>
      <w:r w:rsidRPr="00605A9C">
        <w:rPr>
          <w:lang w:val="fr-CA"/>
        </w:rPr>
        <w:t xml:space="preserve">, [1997] 1 W.L.R. 1627; </w:t>
      </w:r>
      <w:r w:rsidRPr="00605A9C">
        <w:rPr>
          <w:i/>
          <w:lang w:val="fr-CA"/>
        </w:rPr>
        <w:t>Platform Home Loans Ltd. c. Oyston Shipways Ltd.</w:t>
      </w:r>
      <w:r w:rsidRPr="00605A9C">
        <w:rPr>
          <w:lang w:val="fr-CA"/>
        </w:rPr>
        <w:t xml:space="preserve">, [2000] 2 A.C. 190; </w:t>
      </w:r>
      <w:r w:rsidRPr="00605A9C">
        <w:rPr>
          <w:i/>
          <w:lang w:val="fr-CA"/>
        </w:rPr>
        <w:t>Clements c. Clements</w:t>
      </w:r>
      <w:r w:rsidRPr="00605A9C">
        <w:rPr>
          <w:lang w:val="fr-CA"/>
        </w:rPr>
        <w:t xml:space="preserve">, 2012 CSC 32, [2012] 2 R.C.S. 181; </w:t>
      </w:r>
      <w:r w:rsidRPr="00605A9C">
        <w:rPr>
          <w:i/>
          <w:lang w:val="fr-CA"/>
        </w:rPr>
        <w:t>Rainbow Industrial Caterers Ltd. c. Compagnie des chemins de fer nationaux du Canada</w:t>
      </w:r>
      <w:r w:rsidRPr="00605A9C">
        <w:rPr>
          <w:lang w:val="fr-CA"/>
        </w:rPr>
        <w:t xml:space="preserve">, [1991] 3 R.C.S. 3; </w:t>
      </w:r>
      <w:r w:rsidRPr="00605A9C">
        <w:rPr>
          <w:i/>
          <w:lang w:val="fr-CA"/>
        </w:rPr>
        <w:t>Hall c. Hebert</w:t>
      </w:r>
      <w:r w:rsidRPr="00605A9C">
        <w:rPr>
          <w:lang w:val="fr-CA"/>
        </w:rPr>
        <w:t xml:space="preserve">, [1993] 2 R.C.S. 159; </w:t>
      </w:r>
      <w:r w:rsidRPr="00605A9C">
        <w:rPr>
          <w:i/>
          <w:lang w:val="fr-CA"/>
        </w:rPr>
        <w:t>Colombie</w:t>
      </w:r>
      <w:r w:rsidR="006945A3">
        <w:rPr>
          <w:i/>
          <w:lang w:val="fr-CA"/>
        </w:rPr>
        <w:noBreakHyphen/>
      </w:r>
      <w:r w:rsidRPr="00605A9C">
        <w:rPr>
          <w:i/>
          <w:lang w:val="fr-CA"/>
        </w:rPr>
        <w:t>Britannique c. Zastowny</w:t>
      </w:r>
      <w:r w:rsidRPr="00605A9C">
        <w:rPr>
          <w:lang w:val="fr-CA"/>
        </w:rPr>
        <w:t xml:space="preserve">, 2008 CSC 4, [2008] 1 R.C.S. 27; </w:t>
      </w:r>
      <w:r w:rsidR="00EA30DB" w:rsidRPr="00605A9C">
        <w:rPr>
          <w:i/>
          <w:lang w:val="fr-CA"/>
        </w:rPr>
        <w:t xml:space="preserve">Stone &amp; Rolls Ltd. </w:t>
      </w:r>
      <w:r w:rsidR="00EA30DB" w:rsidRPr="00605A9C">
        <w:rPr>
          <w:i/>
        </w:rPr>
        <w:t>(in liquidation) c. Moore Stephens</w:t>
      </w:r>
      <w:r w:rsidR="00EA30DB" w:rsidRPr="00605A9C">
        <w:t xml:space="preserve">, [2009] UKHL 39, [2009] 1 A.C. 1391; </w:t>
      </w:r>
      <w:r w:rsidRPr="00605A9C">
        <w:rPr>
          <w:i/>
          <w:lang w:val="en-US"/>
        </w:rPr>
        <w:t xml:space="preserve">373409 Alberta Ltd. </w:t>
      </w:r>
      <w:r w:rsidRPr="00605A9C">
        <w:rPr>
          <w:i/>
          <w:lang w:val="fr-CA"/>
        </w:rPr>
        <w:t>(Séquestre de) c. Banque de Montréal</w:t>
      </w:r>
      <w:r w:rsidRPr="00605A9C">
        <w:rPr>
          <w:lang w:val="fr-CA"/>
        </w:rPr>
        <w:t xml:space="preserve">, 2002 CSC 81, [2002] 4 R.C.S. 312; </w:t>
      </w:r>
      <w:r w:rsidRPr="00605A9C">
        <w:rPr>
          <w:i/>
          <w:lang w:val="fr-CA"/>
        </w:rPr>
        <w:t>Bilta (U.K.) Ltd. (in liquidation) c. Nazir (</w:t>
      </w:r>
      <w:r w:rsidR="006945A3">
        <w:rPr>
          <w:i/>
          <w:lang w:val="fr-CA"/>
        </w:rPr>
        <w:t>No. </w:t>
      </w:r>
      <w:r w:rsidRPr="00605A9C">
        <w:rPr>
          <w:i/>
          <w:lang w:val="fr-CA"/>
        </w:rPr>
        <w:t>2)</w:t>
      </w:r>
      <w:r w:rsidRPr="00605A9C">
        <w:rPr>
          <w:lang w:val="fr-CA"/>
        </w:rPr>
        <w:t>, [2015] UKSC 23, [2016] A.C. 1.</w:t>
      </w:r>
    </w:p>
    <w:p w:rsidR="00873944" w:rsidRPr="00605A9C" w:rsidRDefault="00873944" w:rsidP="002A5C50">
      <w:pPr>
        <w:pStyle w:val="SCCNormalDoubleSpacing"/>
        <w:spacing w:after="720" w:line="240" w:lineRule="auto"/>
        <w:rPr>
          <w:lang w:val="fr-CA"/>
        </w:rPr>
      </w:pPr>
      <w:r w:rsidRPr="00605A9C">
        <w:rPr>
          <w:lang w:val="fr-CA"/>
        </w:rPr>
        <w:t>Citée par la juge en chef McLachlin</w:t>
      </w:r>
      <w:r w:rsidR="006536E7" w:rsidRPr="00605A9C">
        <w:rPr>
          <w:lang w:val="fr-CA"/>
        </w:rPr>
        <w:t xml:space="preserve"> (dissidente</w:t>
      </w:r>
      <w:r w:rsidR="00FB6E2C" w:rsidRPr="00605A9C">
        <w:rPr>
          <w:lang w:val="fr-CA"/>
        </w:rPr>
        <w:t xml:space="preserve"> en partie)</w:t>
      </w:r>
    </w:p>
    <w:p w:rsidR="00EA0874" w:rsidRPr="00605A9C" w:rsidRDefault="004D7D95" w:rsidP="002A5C50">
      <w:pPr>
        <w:pStyle w:val="SCCNormalDoubleSpacing"/>
        <w:spacing w:before="480" w:after="480"/>
        <w:rPr>
          <w:b/>
        </w:rPr>
      </w:pPr>
      <w:r w:rsidRPr="00605A9C">
        <w:rPr>
          <w:lang w:val="fr-CA"/>
        </w:rPr>
        <w:lastRenderedPageBreak/>
        <w:tab/>
      </w:r>
      <w:r w:rsidR="00DD2B35" w:rsidRPr="00605A9C">
        <w:rPr>
          <w:i/>
        </w:rPr>
        <w:t>Caparo Industries plc. c. Dickman</w:t>
      </w:r>
      <w:r w:rsidR="00DD2B35" w:rsidRPr="00605A9C">
        <w:t xml:space="preserve">, [1990] 1 All E.R. 568; </w:t>
      </w:r>
      <w:r w:rsidR="00157AF4" w:rsidRPr="00605A9C">
        <w:rPr>
          <w:i/>
        </w:rPr>
        <w:t>D</w:t>
      </w:r>
      <w:r w:rsidR="00EA59D7" w:rsidRPr="00605A9C">
        <w:rPr>
          <w:i/>
        </w:rPr>
        <w:t>’</w:t>
      </w:r>
      <w:r w:rsidR="00157AF4" w:rsidRPr="00605A9C">
        <w:rPr>
          <w:i/>
        </w:rPr>
        <w:t>Amato c. Badger</w:t>
      </w:r>
      <w:r w:rsidR="00157AF4" w:rsidRPr="00605A9C">
        <w:t xml:space="preserve">, [1996] 2 R.C.S. 1071; </w:t>
      </w:r>
      <w:r w:rsidR="00873944" w:rsidRPr="00605A9C">
        <w:rPr>
          <w:i/>
        </w:rPr>
        <w:t>Hercules Managements Ltd. c. Ernst &amp; Young</w:t>
      </w:r>
      <w:r w:rsidR="00873944" w:rsidRPr="00605A9C">
        <w:t>, [1997] 2 R.C.S. 165;</w:t>
      </w:r>
      <w:r w:rsidR="002941FF" w:rsidRPr="00605A9C">
        <w:t xml:space="preserve"> </w:t>
      </w:r>
      <w:r w:rsidR="001C26FE" w:rsidRPr="00605A9C">
        <w:rPr>
          <w:i/>
        </w:rPr>
        <w:t>Cie des chemins de fer nationaux du Canada c. Norsk Pacific Steamship Co.</w:t>
      </w:r>
      <w:r w:rsidR="001C26FE" w:rsidRPr="00605A9C">
        <w:t xml:space="preserve">, [1992] 1 R.C.S. 1021; </w:t>
      </w:r>
      <w:r w:rsidR="00CB4E77" w:rsidRPr="00605A9C">
        <w:rPr>
          <w:i/>
        </w:rPr>
        <w:t xml:space="preserve">R. c. Imperial Tobacco Canada </w:t>
      </w:r>
      <w:r w:rsidR="00D5275F">
        <w:rPr>
          <w:i/>
        </w:rPr>
        <w:t>Ltée</w:t>
      </w:r>
      <w:r w:rsidR="00CB4E77" w:rsidRPr="00605A9C">
        <w:t xml:space="preserve">, 2011 CSC 42, [2011] 3 R.C.S. 45; </w:t>
      </w:r>
      <w:r w:rsidR="00CB4E77" w:rsidRPr="00605A9C">
        <w:rPr>
          <w:i/>
        </w:rPr>
        <w:t>Cooper c. Hobart</w:t>
      </w:r>
      <w:r w:rsidR="00CB4E77" w:rsidRPr="00605A9C">
        <w:t xml:space="preserve">, 2001 CSC 79, [2001] 3 R.C.S. 537; </w:t>
      </w:r>
      <w:r w:rsidR="00C22EF5" w:rsidRPr="00605A9C">
        <w:rPr>
          <w:i/>
        </w:rPr>
        <w:t>BG Checo International Ltd. c. British Columbia Hydro and Power Authority</w:t>
      </w:r>
      <w:r w:rsidR="00C22EF5" w:rsidRPr="00605A9C">
        <w:t xml:space="preserve">, [1993] 1 R.C.S. 12; </w:t>
      </w:r>
      <w:r w:rsidR="00ED1BB1" w:rsidRPr="00605A9C">
        <w:rPr>
          <w:i/>
        </w:rPr>
        <w:t>South Australia Asset Management Cor</w:t>
      </w:r>
      <w:r w:rsidR="006945A3">
        <w:rPr>
          <w:i/>
        </w:rPr>
        <w:t>p. </w:t>
      </w:r>
      <w:r w:rsidR="00ED1BB1" w:rsidRPr="00605A9C">
        <w:rPr>
          <w:i/>
        </w:rPr>
        <w:t>c. York Montague Ltd.</w:t>
      </w:r>
      <w:r w:rsidR="003D784A" w:rsidRPr="00605A9C">
        <w:t>, [1996] 3 All E.R. 365</w:t>
      </w:r>
      <w:r w:rsidR="00ED1BB1" w:rsidRPr="00605A9C">
        <w:t xml:space="preserve">; </w:t>
      </w:r>
      <w:r w:rsidR="00ED1BB1" w:rsidRPr="00605A9C">
        <w:rPr>
          <w:i/>
        </w:rPr>
        <w:t>Hughes</w:t>
      </w:r>
      <w:r w:rsidR="006945A3">
        <w:rPr>
          <w:i/>
        </w:rPr>
        <w:noBreakHyphen/>
      </w:r>
      <w:r w:rsidR="00ED1BB1" w:rsidRPr="00605A9C">
        <w:rPr>
          <w:i/>
        </w:rPr>
        <w:t>Holland c. BPE Solicitors</w:t>
      </w:r>
      <w:r w:rsidR="00ED1BB1" w:rsidRPr="00605A9C">
        <w:t xml:space="preserve">, [2017] UKSC 21, [2017] 2 W.L.R. 1029; </w:t>
      </w:r>
      <w:r w:rsidR="00D31437" w:rsidRPr="00605A9C">
        <w:rPr>
          <w:i/>
        </w:rPr>
        <w:t>Hogarth c. Rocky Mountain Slate Inc.</w:t>
      </w:r>
      <w:r w:rsidR="00D31437" w:rsidRPr="00605A9C">
        <w:t xml:space="preserve">, 2013 ABCA 57, 542 A.R. 289; </w:t>
      </w:r>
      <w:r w:rsidR="0078214E" w:rsidRPr="00605A9C">
        <w:rPr>
          <w:i/>
        </w:rPr>
        <w:t>Wightman c. Widdrington (Succession)</w:t>
      </w:r>
      <w:r w:rsidR="0078214E" w:rsidRPr="00605A9C">
        <w:t xml:space="preserve">, 2013 QCCA 1187, [2013] R.J.Q. 1054; </w:t>
      </w:r>
      <w:r w:rsidR="00A214DE" w:rsidRPr="00605A9C">
        <w:rPr>
          <w:i/>
          <w:lang w:val="en-US"/>
        </w:rPr>
        <w:t>Platform Home Loans Ltd. c. Oyston Shipways Ltd.</w:t>
      </w:r>
      <w:r w:rsidR="00A214DE" w:rsidRPr="00605A9C">
        <w:rPr>
          <w:lang w:val="en-US"/>
        </w:rPr>
        <w:t xml:space="preserve">, [1999] 1 All E.R. 833; </w:t>
      </w:r>
      <w:r w:rsidR="009560F0" w:rsidRPr="00605A9C">
        <w:rPr>
          <w:i/>
        </w:rPr>
        <w:t>Mustapha c. Culligan du Canada Ltée</w:t>
      </w:r>
      <w:r w:rsidR="009560F0" w:rsidRPr="00605A9C">
        <w:t xml:space="preserve">, 2008 CSC 27, [2008] 2 R.C.S. 114; </w:t>
      </w:r>
      <w:r w:rsidR="009757C4" w:rsidRPr="00605A9C">
        <w:rPr>
          <w:i/>
          <w:lang w:val="en-US"/>
        </w:rPr>
        <w:t>Citadelle, Cie d</w:t>
      </w:r>
      <w:r w:rsidR="00EA59D7" w:rsidRPr="00605A9C">
        <w:rPr>
          <w:i/>
          <w:lang w:val="en-US"/>
        </w:rPr>
        <w:t>’</w:t>
      </w:r>
      <w:r w:rsidR="009757C4" w:rsidRPr="00605A9C">
        <w:rPr>
          <w:i/>
          <w:lang w:val="en-US"/>
        </w:rPr>
        <w:t>assurances générales c. Vytlingam</w:t>
      </w:r>
      <w:r w:rsidR="009757C4" w:rsidRPr="00605A9C">
        <w:t xml:space="preserve">, 2007 CSC 46, [2007] 3 R.C.S. 373; </w:t>
      </w:r>
      <w:r w:rsidR="00E7790D" w:rsidRPr="00605A9C">
        <w:rPr>
          <w:i/>
        </w:rPr>
        <w:t>Westmount (Ville) c. Rossy</w:t>
      </w:r>
      <w:r w:rsidR="00E7790D" w:rsidRPr="00605A9C">
        <w:t xml:space="preserve">, 2012 CSC 30, [2012] 2 R.C.S. 136; </w:t>
      </w:r>
      <w:r w:rsidR="004F1A43" w:rsidRPr="00605A9C">
        <w:rPr>
          <w:i/>
        </w:rPr>
        <w:t>Anns c. London Borough of Merton</w:t>
      </w:r>
      <w:r w:rsidR="004F1A43" w:rsidRPr="00605A9C">
        <w:t xml:space="preserve">, [1977] 2 All E.R. 492; </w:t>
      </w:r>
      <w:r w:rsidR="004F1A43" w:rsidRPr="00605A9C">
        <w:rPr>
          <w:i/>
        </w:rPr>
        <w:t>Sutherland Shire Council c. Heyman</w:t>
      </w:r>
      <w:r w:rsidR="004F1A43" w:rsidRPr="00605A9C">
        <w:t xml:space="preserve"> (1985), 60 A.L.R. 1; </w:t>
      </w:r>
      <w:r w:rsidR="00E40D5B" w:rsidRPr="00605A9C">
        <w:rPr>
          <w:i/>
        </w:rPr>
        <w:t>Overseas Tankship (U.K.) Ltd. c. Morts Dock &amp; Engineering Co.</w:t>
      </w:r>
      <w:r w:rsidR="00E40D5B" w:rsidRPr="00605A9C">
        <w:t xml:space="preserve">, [1961] A.C. 388; </w:t>
      </w:r>
      <w:r w:rsidR="00C93A52" w:rsidRPr="00605A9C">
        <w:rPr>
          <w:i/>
        </w:rPr>
        <w:t>Candler c. Crane Christmas &amp; Co.</w:t>
      </w:r>
      <w:r w:rsidR="00C93A52" w:rsidRPr="00605A9C">
        <w:t xml:space="preserve">, [1951] 1 All E.R. 426; </w:t>
      </w:r>
      <w:r w:rsidR="00C93A52" w:rsidRPr="00605A9C">
        <w:rPr>
          <w:i/>
        </w:rPr>
        <w:t>Burns c. Homer Street Development Limited Partnership</w:t>
      </w:r>
      <w:r w:rsidR="00C93A52" w:rsidRPr="00605A9C">
        <w:t xml:space="preserve">, 2016 BCCA 371, 91 B.C.L.R. (5th) 383; </w:t>
      </w:r>
      <w:r w:rsidR="00B24822" w:rsidRPr="00605A9C">
        <w:rPr>
          <w:i/>
        </w:rPr>
        <w:t xml:space="preserve">Aneco Reinsurance Underwriting Ltd. </w:t>
      </w:r>
      <w:r w:rsidR="0024227D" w:rsidRPr="00605A9C">
        <w:rPr>
          <w:i/>
        </w:rPr>
        <w:t xml:space="preserve">(in liquidation) </w:t>
      </w:r>
      <w:r w:rsidR="00B24822" w:rsidRPr="00605A9C">
        <w:rPr>
          <w:i/>
        </w:rPr>
        <w:t>c. Johnson &amp; Higgins Ltd.</w:t>
      </w:r>
      <w:r w:rsidR="00B24822" w:rsidRPr="00605A9C">
        <w:t xml:space="preserve">, [2001] UKHL 51, [2001] 2 All E.R. (Comm.) 929; </w:t>
      </w:r>
      <w:r w:rsidR="00B24822" w:rsidRPr="00605A9C">
        <w:rPr>
          <w:i/>
        </w:rPr>
        <w:t>Canadian Imperial Bank of Commerce c. Deloitte &amp; Touche</w:t>
      </w:r>
      <w:r w:rsidR="00B24822" w:rsidRPr="00605A9C">
        <w:t xml:space="preserve">, 2016 ONCA 922, 133 O.R. (3d) 561; </w:t>
      </w:r>
      <w:r w:rsidR="00B24822" w:rsidRPr="00605A9C">
        <w:rPr>
          <w:i/>
        </w:rPr>
        <w:t>Temseel Holdings Ltd. c. Beaumonts Chartered Accountants</w:t>
      </w:r>
      <w:r w:rsidR="00B24822" w:rsidRPr="00605A9C">
        <w:t xml:space="preserve">, [2002] EWHC 2642 (Comm.), [2003] P.N.L.R. 27; </w:t>
      </w:r>
      <w:r w:rsidR="00387C47" w:rsidRPr="00605A9C">
        <w:rPr>
          <w:i/>
        </w:rPr>
        <w:t>B.D.C. Ltd. c. Hofstrand Farms Ltd.</w:t>
      </w:r>
      <w:r w:rsidR="00387C47" w:rsidRPr="00605A9C">
        <w:t xml:space="preserve">, [1986] </w:t>
      </w:r>
      <w:r w:rsidR="00D5275F">
        <w:t xml:space="preserve">1 </w:t>
      </w:r>
      <w:r w:rsidR="00387C47" w:rsidRPr="00605A9C">
        <w:t xml:space="preserve">R.C.S. 228; </w:t>
      </w:r>
      <w:r w:rsidR="003029DD" w:rsidRPr="00605A9C">
        <w:rPr>
          <w:i/>
        </w:rPr>
        <w:t>Asamera Oil Cor</w:t>
      </w:r>
      <w:r w:rsidR="006945A3">
        <w:rPr>
          <w:i/>
        </w:rPr>
        <w:t>p. </w:t>
      </w:r>
      <w:r w:rsidR="003029DD" w:rsidRPr="00605A9C">
        <w:rPr>
          <w:i/>
        </w:rPr>
        <w:t>c. Sea Oil &amp; General Corp.</w:t>
      </w:r>
      <w:r w:rsidR="003029DD" w:rsidRPr="00605A9C">
        <w:t>, [1979] 1 R.C.S. 633</w:t>
      </w:r>
      <w:r w:rsidR="00190E4D" w:rsidRPr="00605A9C">
        <w:t xml:space="preserve">. </w:t>
      </w:r>
    </w:p>
    <w:p w:rsidR="004D7D95" w:rsidRPr="00605A9C" w:rsidRDefault="004D7D95" w:rsidP="002A5C50">
      <w:pPr>
        <w:pStyle w:val="SCCNormalDoubleSpacing"/>
        <w:spacing w:after="720" w:line="240" w:lineRule="auto"/>
        <w:rPr>
          <w:b/>
          <w:lang w:val="fr-CA"/>
        </w:rPr>
      </w:pPr>
      <w:r w:rsidRPr="00605A9C">
        <w:rPr>
          <w:b/>
          <w:lang w:val="fr-CA"/>
        </w:rPr>
        <w:lastRenderedPageBreak/>
        <w:t>Lois et règlements cités</w:t>
      </w:r>
    </w:p>
    <w:p w:rsidR="00CB31B3" w:rsidRPr="00605A9C" w:rsidRDefault="00CB31B3" w:rsidP="002A5C50">
      <w:pPr>
        <w:pStyle w:val="SCCNormalDoubleSpacing"/>
        <w:spacing w:after="240" w:line="240" w:lineRule="auto"/>
        <w:ind w:left="547" w:hanging="547"/>
        <w:rPr>
          <w:lang w:val="fr-CA"/>
        </w:rPr>
      </w:pPr>
      <w:r w:rsidRPr="00605A9C">
        <w:rPr>
          <w:i/>
          <w:lang w:val="fr-CA"/>
        </w:rPr>
        <w:t>Loi sur le partage de la responsabilité</w:t>
      </w:r>
      <w:r w:rsidR="002A5C50" w:rsidRPr="00605A9C">
        <w:rPr>
          <w:lang w:val="fr-CA"/>
        </w:rPr>
        <w:t>, L.R.O. 1990, c. </w:t>
      </w:r>
      <w:r w:rsidRPr="00605A9C">
        <w:rPr>
          <w:lang w:val="fr-CA"/>
        </w:rPr>
        <w:t xml:space="preserve">N.1, </w:t>
      </w:r>
      <w:r w:rsidR="006945A3">
        <w:rPr>
          <w:lang w:val="fr-CA"/>
        </w:rPr>
        <w:t>art. </w:t>
      </w:r>
      <w:r w:rsidRPr="00605A9C">
        <w:rPr>
          <w:lang w:val="fr-CA"/>
        </w:rPr>
        <w:t xml:space="preserve">3. </w:t>
      </w:r>
    </w:p>
    <w:p w:rsidR="00BD3C76" w:rsidRPr="00605A9C" w:rsidRDefault="00BD3C76" w:rsidP="002A5C50">
      <w:pPr>
        <w:pStyle w:val="SCCNormalDoubleSpacing"/>
        <w:spacing w:after="240" w:line="240" w:lineRule="auto"/>
        <w:ind w:left="547" w:hanging="547"/>
        <w:rPr>
          <w:lang w:val="fr-CA"/>
        </w:rPr>
      </w:pPr>
      <w:r w:rsidRPr="00605A9C">
        <w:rPr>
          <w:i/>
          <w:lang w:val="fr-CA"/>
        </w:rPr>
        <w:t>Loi sur les arrangements avec les créanciers des compagnies</w:t>
      </w:r>
      <w:r w:rsidR="00FE43F8" w:rsidRPr="00605A9C">
        <w:rPr>
          <w:lang w:val="fr-CA"/>
        </w:rPr>
        <w:t>, L.R.C. 1985, c. </w:t>
      </w:r>
      <w:r w:rsidRPr="00605A9C">
        <w:rPr>
          <w:lang w:val="fr-CA"/>
        </w:rPr>
        <w:t>C</w:t>
      </w:r>
      <w:r w:rsidR="006945A3">
        <w:rPr>
          <w:lang w:val="fr-CA"/>
        </w:rPr>
        <w:noBreakHyphen/>
      </w:r>
      <w:r w:rsidRPr="00605A9C">
        <w:rPr>
          <w:lang w:val="fr-CA"/>
        </w:rPr>
        <w:t>36.</w:t>
      </w:r>
    </w:p>
    <w:p w:rsidR="002D32A0" w:rsidRPr="00605A9C" w:rsidRDefault="002D32A0" w:rsidP="002A5C50">
      <w:pPr>
        <w:pStyle w:val="SCCNormalDoubleSpacing"/>
        <w:spacing w:after="240" w:line="240" w:lineRule="auto"/>
        <w:ind w:left="547" w:hanging="547"/>
        <w:rPr>
          <w:lang w:val="fr-CA"/>
        </w:rPr>
      </w:pPr>
      <w:r w:rsidRPr="00605A9C">
        <w:rPr>
          <w:i/>
          <w:lang w:val="fr-CA"/>
        </w:rPr>
        <w:t>Loi sur les corporations</w:t>
      </w:r>
      <w:r w:rsidRPr="00605A9C">
        <w:rPr>
          <w:lang w:val="fr-CA"/>
        </w:rPr>
        <w:t xml:space="preserve">, </w:t>
      </w:r>
      <w:r w:rsidR="00BD3C76" w:rsidRPr="00605A9C">
        <w:rPr>
          <w:lang w:val="fr-CA"/>
        </w:rPr>
        <w:t>L.R.M. 1987</w:t>
      </w:r>
      <w:r w:rsidR="002A5C50" w:rsidRPr="00605A9C">
        <w:rPr>
          <w:lang w:val="fr-CA"/>
        </w:rPr>
        <w:t>, c. </w:t>
      </w:r>
      <w:r w:rsidRPr="00605A9C">
        <w:rPr>
          <w:lang w:val="fr-CA"/>
        </w:rPr>
        <w:t>C225.</w:t>
      </w:r>
    </w:p>
    <w:p w:rsidR="00E25490" w:rsidRPr="00605A9C" w:rsidRDefault="00CB31B3" w:rsidP="002A5C50">
      <w:pPr>
        <w:pStyle w:val="SCCNormalDoubleSpacing"/>
        <w:spacing w:after="720" w:line="240" w:lineRule="auto"/>
        <w:ind w:left="547" w:hanging="547"/>
        <w:rPr>
          <w:lang w:val="fr-CA"/>
        </w:rPr>
      </w:pPr>
      <w:r w:rsidRPr="00605A9C">
        <w:rPr>
          <w:i/>
          <w:lang w:val="fr-CA"/>
        </w:rPr>
        <w:t>Loi sur les sociétés par actions</w:t>
      </w:r>
      <w:r w:rsidR="00E25490" w:rsidRPr="00605A9C">
        <w:rPr>
          <w:lang w:val="fr-CA"/>
        </w:rPr>
        <w:t xml:space="preserve">, </w:t>
      </w:r>
      <w:r w:rsidR="002A5C50" w:rsidRPr="00605A9C">
        <w:rPr>
          <w:lang w:val="fr-CA"/>
        </w:rPr>
        <w:t>L.R.O. 1990, c. </w:t>
      </w:r>
      <w:r w:rsidRPr="00605A9C">
        <w:rPr>
          <w:lang w:val="fr-CA"/>
        </w:rPr>
        <w:t>B.</w:t>
      </w:r>
      <w:r w:rsidR="00E25490" w:rsidRPr="00605A9C">
        <w:rPr>
          <w:lang w:val="fr-CA"/>
        </w:rPr>
        <w:t>16</w:t>
      </w:r>
      <w:r w:rsidRPr="00605A9C">
        <w:rPr>
          <w:lang w:val="fr-CA"/>
        </w:rPr>
        <w:t xml:space="preserve">, </w:t>
      </w:r>
      <w:r w:rsidR="00314438" w:rsidRPr="00605A9C">
        <w:rPr>
          <w:lang w:val="fr-CA"/>
        </w:rPr>
        <w:t>partie</w:t>
      </w:r>
      <w:r w:rsidR="00FE43F8" w:rsidRPr="00605A9C">
        <w:rPr>
          <w:lang w:val="fr-CA"/>
        </w:rPr>
        <w:t> </w:t>
      </w:r>
      <w:r w:rsidR="00314438" w:rsidRPr="00605A9C">
        <w:rPr>
          <w:lang w:val="fr-CA"/>
        </w:rPr>
        <w:t xml:space="preserve">XII, </w:t>
      </w:r>
      <w:r w:rsidR="006945A3">
        <w:rPr>
          <w:lang w:val="fr-CA"/>
        </w:rPr>
        <w:t>art. </w:t>
      </w:r>
      <w:r w:rsidRPr="00605A9C">
        <w:rPr>
          <w:lang w:val="fr-CA"/>
        </w:rPr>
        <w:t>153, 154.</w:t>
      </w:r>
    </w:p>
    <w:p w:rsidR="004D7D95" w:rsidRPr="00605A9C" w:rsidRDefault="004D7D95" w:rsidP="002A5C50">
      <w:pPr>
        <w:pStyle w:val="SCCNormalDoubleSpacing"/>
        <w:spacing w:after="720" w:line="240" w:lineRule="auto"/>
        <w:rPr>
          <w:b/>
          <w:lang w:val="fr-CA"/>
        </w:rPr>
      </w:pPr>
      <w:r w:rsidRPr="00605A9C">
        <w:rPr>
          <w:b/>
          <w:lang w:val="fr-CA"/>
        </w:rPr>
        <w:t>Doctrine et autres documents cités</w:t>
      </w:r>
    </w:p>
    <w:p w:rsidR="00B03412" w:rsidRPr="00605A9C" w:rsidRDefault="00B03412" w:rsidP="002A5C50">
      <w:pPr>
        <w:pStyle w:val="SCCNormalDoubleSpacing"/>
        <w:spacing w:after="240" w:line="240" w:lineRule="auto"/>
        <w:ind w:left="547" w:hanging="547"/>
      </w:pPr>
      <w:r w:rsidRPr="00605A9C">
        <w:rPr>
          <w:lang w:val="fr-CA"/>
        </w:rPr>
        <w:t xml:space="preserve">Beever, Allan. </w:t>
      </w:r>
      <w:r w:rsidRPr="00605A9C">
        <w:rPr>
          <w:i/>
        </w:rPr>
        <w:t>Rediscovering the Law of Negligence</w:t>
      </w:r>
      <w:r w:rsidRPr="00605A9C">
        <w:t>, Oxford, Hart, 2007.</w:t>
      </w:r>
    </w:p>
    <w:p w:rsidR="00B03412" w:rsidRPr="00605A9C" w:rsidRDefault="00B03412" w:rsidP="002A5C50">
      <w:pPr>
        <w:pStyle w:val="SCCNormalDoubleSpacing"/>
        <w:spacing w:after="240" w:line="240" w:lineRule="auto"/>
        <w:ind w:left="547" w:hanging="547"/>
      </w:pPr>
      <w:r w:rsidRPr="00605A9C">
        <w:rPr>
          <w:i/>
        </w:rPr>
        <w:t>Black</w:t>
      </w:r>
      <w:r w:rsidR="00EA59D7" w:rsidRPr="00605A9C">
        <w:rPr>
          <w:i/>
        </w:rPr>
        <w:t>’</w:t>
      </w:r>
      <w:r w:rsidRPr="00605A9C">
        <w:rPr>
          <w:i/>
        </w:rPr>
        <w:t>s Law Dictionary</w:t>
      </w:r>
      <w:r w:rsidR="002A5C50" w:rsidRPr="00605A9C">
        <w:t>, 10th ed. by Bryan </w:t>
      </w:r>
      <w:r w:rsidRPr="00605A9C">
        <w:t>A. Garner, ed., St.</w:t>
      </w:r>
      <w:r w:rsidR="00FE43F8" w:rsidRPr="00605A9C">
        <w:t> </w:t>
      </w:r>
      <w:r w:rsidRPr="00605A9C">
        <w:t>Paul (Minn.), Thomson Reuters, 2014, « </w:t>
      </w:r>
      <w:r w:rsidRPr="00605A9C">
        <w:rPr>
          <w:i/>
        </w:rPr>
        <w:t>indeterminate</w:t>
      </w:r>
      <w:r w:rsidRPr="00605A9C">
        <w:t> ».</w:t>
      </w:r>
    </w:p>
    <w:p w:rsidR="00B03412" w:rsidRPr="00605A9C" w:rsidRDefault="00B03412" w:rsidP="002A5C50">
      <w:pPr>
        <w:pStyle w:val="SCCNormalDoubleSpacing"/>
        <w:spacing w:after="240" w:line="240" w:lineRule="auto"/>
        <w:ind w:left="547" w:hanging="547"/>
        <w:rPr>
          <w:lang w:val="en-US"/>
        </w:rPr>
      </w:pPr>
      <w:r w:rsidRPr="00605A9C">
        <w:t xml:space="preserve">Blom, Joost. « Do We Really Need the </w:t>
      </w:r>
      <w:r w:rsidRPr="00605A9C">
        <w:rPr>
          <w:i/>
        </w:rPr>
        <w:t>Anns</w:t>
      </w:r>
      <w:r w:rsidRPr="00605A9C">
        <w:t xml:space="preserve"> Test for Duty of Care in Negligence? » </w:t>
      </w:r>
      <w:r w:rsidRPr="00605A9C">
        <w:rPr>
          <w:lang w:val="en-US"/>
        </w:rPr>
        <w:t xml:space="preserve">(2016), 53 </w:t>
      </w:r>
      <w:r w:rsidRPr="00605A9C">
        <w:rPr>
          <w:i/>
          <w:lang w:val="en-US"/>
        </w:rPr>
        <w:t>Alta. L. Rev.</w:t>
      </w:r>
      <w:r w:rsidRPr="00605A9C">
        <w:rPr>
          <w:lang w:val="en-US"/>
        </w:rPr>
        <w:t xml:space="preserve"> 895. </w:t>
      </w:r>
    </w:p>
    <w:p w:rsidR="00B03412" w:rsidRPr="00605A9C" w:rsidRDefault="00B03412" w:rsidP="002A5C50">
      <w:pPr>
        <w:pStyle w:val="SCCNormalDoubleSpacing"/>
        <w:spacing w:after="240" w:line="240" w:lineRule="auto"/>
        <w:ind w:left="547" w:hanging="547"/>
      </w:pPr>
      <w:r w:rsidRPr="00605A9C">
        <w:t xml:space="preserve">Hohfeld, Wesley Newcomb. « Some Fundamental Legal Conceptions as Applied in Judicial Reasoning » (1913), 23 </w:t>
      </w:r>
      <w:r w:rsidRPr="00605A9C">
        <w:rPr>
          <w:i/>
        </w:rPr>
        <w:t>Yale L.J.</w:t>
      </w:r>
      <w:r w:rsidRPr="00605A9C">
        <w:t xml:space="preserve"> 16.</w:t>
      </w:r>
    </w:p>
    <w:p w:rsidR="00B03412" w:rsidRPr="00605A9C" w:rsidRDefault="00B03412" w:rsidP="002A5C50">
      <w:pPr>
        <w:pStyle w:val="SCCNormalDoubleSpacing"/>
        <w:spacing w:after="240" w:line="240" w:lineRule="auto"/>
        <w:ind w:left="547" w:hanging="547"/>
      </w:pPr>
      <w:r w:rsidRPr="00605A9C">
        <w:t>Jutras, Daniel. « Civil Law and Pure Economic Loss</w:t>
      </w:r>
      <w:r w:rsidR="006945A3">
        <w:t> :</w:t>
      </w:r>
      <w:r w:rsidRPr="00605A9C">
        <w:t xml:space="preserve"> What Are We Missing? » (1987), 12 </w:t>
      </w:r>
      <w:r w:rsidRPr="00605A9C">
        <w:rPr>
          <w:i/>
        </w:rPr>
        <w:t>Rev. can. dr. comm.</w:t>
      </w:r>
      <w:r w:rsidRPr="00605A9C">
        <w:t xml:space="preserve"> 295.</w:t>
      </w:r>
    </w:p>
    <w:p w:rsidR="00B03412" w:rsidRPr="00605A9C" w:rsidRDefault="00B03412" w:rsidP="002A5C50">
      <w:pPr>
        <w:pStyle w:val="SCCNormalDoubleSpacing"/>
        <w:spacing w:after="240" w:line="240" w:lineRule="auto"/>
        <w:ind w:left="547" w:hanging="547"/>
      </w:pPr>
      <w:r w:rsidRPr="00605A9C">
        <w:t xml:space="preserve">Klar, Lewis N., and Cameron S. G. Jefferies. </w:t>
      </w:r>
      <w:r w:rsidRPr="00605A9C">
        <w:rPr>
          <w:i/>
        </w:rPr>
        <w:t>Tort Law</w:t>
      </w:r>
      <w:r w:rsidRPr="00605A9C">
        <w:t>, 6th ed., Toronto, Thomson Reuters, 2017.</w:t>
      </w:r>
    </w:p>
    <w:p w:rsidR="00B03412" w:rsidRPr="00605A9C" w:rsidRDefault="00B03412" w:rsidP="002A5C50">
      <w:pPr>
        <w:pStyle w:val="SCCNormalDoubleSpacing"/>
        <w:spacing w:after="240" w:line="240" w:lineRule="auto"/>
        <w:ind w:left="547" w:hanging="547"/>
      </w:pPr>
      <w:r w:rsidRPr="00605A9C">
        <w:t>Linden, Allen</w:t>
      </w:r>
      <w:r w:rsidR="002A5C50" w:rsidRPr="00605A9C">
        <w:t> </w:t>
      </w:r>
      <w:r w:rsidRPr="00605A9C">
        <w:t xml:space="preserve">M., and Bruce Feldthusen. </w:t>
      </w:r>
      <w:r w:rsidRPr="00605A9C">
        <w:rPr>
          <w:i/>
        </w:rPr>
        <w:t>Canadian Tort Law</w:t>
      </w:r>
      <w:r w:rsidRPr="00605A9C">
        <w:t>, 8th ed., Markham (Ont.), LexisNexis, 2006.</w:t>
      </w:r>
    </w:p>
    <w:p w:rsidR="00B03412" w:rsidRPr="00605A9C" w:rsidRDefault="002A5C50" w:rsidP="002A5C50">
      <w:pPr>
        <w:pStyle w:val="SCCNormalDoubleSpacing"/>
        <w:spacing w:after="240" w:line="240" w:lineRule="auto"/>
        <w:ind w:left="547" w:hanging="547"/>
        <w:rPr>
          <w:lang w:val="en-US"/>
        </w:rPr>
      </w:pPr>
      <w:r w:rsidRPr="00605A9C">
        <w:t>MacPherson, Darcy </w:t>
      </w:r>
      <w:r w:rsidR="00B03412" w:rsidRPr="00605A9C">
        <w:t xml:space="preserve">L. « Emaciating the Statutory Audit — A Comment on </w:t>
      </w:r>
      <w:r w:rsidR="00B03412" w:rsidRPr="00605A9C">
        <w:rPr>
          <w:i/>
        </w:rPr>
        <w:t>Hart Building Supplies Ltd. v. Deloitte &amp; Touche</w:t>
      </w:r>
      <w:r w:rsidR="00B03412" w:rsidRPr="00605A9C">
        <w:t xml:space="preserve"> » (2005), 41 </w:t>
      </w:r>
      <w:r w:rsidR="00B03412" w:rsidRPr="00605A9C">
        <w:rPr>
          <w:i/>
        </w:rPr>
        <w:t>Rev. can. dr. comm.</w:t>
      </w:r>
      <w:r w:rsidR="00B03412" w:rsidRPr="00605A9C">
        <w:t xml:space="preserve"> </w:t>
      </w:r>
      <w:r w:rsidR="00B03412" w:rsidRPr="00605A9C">
        <w:rPr>
          <w:lang w:val="en-US"/>
        </w:rPr>
        <w:t>471.</w:t>
      </w:r>
    </w:p>
    <w:p w:rsidR="00B03412" w:rsidRPr="00605A9C" w:rsidRDefault="002A5C50" w:rsidP="002A5C50">
      <w:pPr>
        <w:pStyle w:val="SCCNormalDoubleSpacing"/>
        <w:spacing w:after="240" w:line="240" w:lineRule="auto"/>
        <w:ind w:left="547" w:hanging="547"/>
      </w:pPr>
      <w:r w:rsidRPr="00605A9C">
        <w:t>Tushnet, Mark </w:t>
      </w:r>
      <w:r w:rsidR="00B03412" w:rsidRPr="00605A9C">
        <w:t xml:space="preserve">V. « Defending the Indeterminacy Thesis », in Brian Bix, ed., </w:t>
      </w:r>
      <w:r w:rsidR="00B03412" w:rsidRPr="00605A9C">
        <w:rPr>
          <w:i/>
        </w:rPr>
        <w:t>Analyzing Law</w:t>
      </w:r>
      <w:r w:rsidR="006945A3">
        <w:rPr>
          <w:i/>
        </w:rPr>
        <w:t> :</w:t>
      </w:r>
      <w:r w:rsidR="00B03412" w:rsidRPr="00605A9C">
        <w:rPr>
          <w:i/>
        </w:rPr>
        <w:t xml:space="preserve"> New Essays in Legal Theory</w:t>
      </w:r>
      <w:r w:rsidR="00B03412" w:rsidRPr="00605A9C">
        <w:t>, Oxford, Clarendon Press, 1998, 223.</w:t>
      </w:r>
    </w:p>
    <w:p w:rsidR="00B03412" w:rsidRPr="00605A9C" w:rsidRDefault="000759E0" w:rsidP="002A5C50">
      <w:pPr>
        <w:pStyle w:val="SCCNormalDoubleSpacing"/>
        <w:spacing w:after="240" w:line="240" w:lineRule="auto"/>
        <w:ind w:left="547" w:hanging="547"/>
      </w:pPr>
      <w:r w:rsidRPr="00605A9C">
        <w:t>Waddams, S.</w:t>
      </w:r>
      <w:r w:rsidR="002A5C50" w:rsidRPr="00605A9C">
        <w:t> </w:t>
      </w:r>
      <w:r w:rsidR="00B03412" w:rsidRPr="00605A9C">
        <w:t xml:space="preserve">M. </w:t>
      </w:r>
      <w:r w:rsidR="00B03412" w:rsidRPr="00605A9C">
        <w:rPr>
          <w:i/>
        </w:rPr>
        <w:t>The Law of Damages</w:t>
      </w:r>
      <w:r w:rsidR="00B03412" w:rsidRPr="00605A9C">
        <w:t>, 5th ed., Toronto, Canada Law Book, 2012.</w:t>
      </w:r>
    </w:p>
    <w:p w:rsidR="00B03412" w:rsidRPr="00605A9C" w:rsidRDefault="002A5C50" w:rsidP="002A5C50">
      <w:pPr>
        <w:pStyle w:val="SCCNormalDoubleSpacing"/>
        <w:spacing w:after="720" w:line="240" w:lineRule="auto"/>
        <w:ind w:left="547" w:hanging="547"/>
      </w:pPr>
      <w:r w:rsidRPr="00605A9C">
        <w:t>Weinrib, Ernest </w:t>
      </w:r>
      <w:r w:rsidR="00B03412" w:rsidRPr="00605A9C">
        <w:t xml:space="preserve">J. « The Disintegration of Duty » (2006), 31 </w:t>
      </w:r>
      <w:r w:rsidR="00B03412" w:rsidRPr="00605A9C">
        <w:rPr>
          <w:i/>
        </w:rPr>
        <w:t>Adv. Q.</w:t>
      </w:r>
      <w:r w:rsidR="00B03412" w:rsidRPr="00605A9C">
        <w:t xml:space="preserve"> 212.</w:t>
      </w:r>
    </w:p>
    <w:p w:rsidR="004D7D95" w:rsidRPr="00605A9C" w:rsidRDefault="006B5ADF" w:rsidP="002A5C50">
      <w:pPr>
        <w:pStyle w:val="SCCNormalDoubleSpacing"/>
        <w:spacing w:before="480" w:after="480"/>
        <w:rPr>
          <w:lang w:val="fr-CA"/>
        </w:rPr>
      </w:pPr>
      <w:r w:rsidRPr="00605A9C">
        <w:lastRenderedPageBreak/>
        <w:tab/>
      </w:r>
      <w:r w:rsidR="004D7D95" w:rsidRPr="00605A9C">
        <w:t>POURVOI contre un arrêt de la Cour d</w:t>
      </w:r>
      <w:r w:rsidR="00EA59D7" w:rsidRPr="00605A9C">
        <w:t>’</w:t>
      </w:r>
      <w:r w:rsidR="004D7D95" w:rsidRPr="00605A9C">
        <w:t>appel de l</w:t>
      </w:r>
      <w:r w:rsidR="00EA59D7" w:rsidRPr="00605A9C">
        <w:t>’</w:t>
      </w:r>
      <w:r w:rsidR="004D7D95" w:rsidRPr="00605A9C">
        <w:t>Ontario</w:t>
      </w:r>
      <w:r w:rsidRPr="00605A9C">
        <w:t xml:space="preserve"> (</w:t>
      </w:r>
      <w:r w:rsidR="00555836" w:rsidRPr="00605A9C">
        <w:t>le juge en chef Strathy et les juges Blair et Lauwers</w:t>
      </w:r>
      <w:r w:rsidRPr="00605A9C">
        <w:t>)</w:t>
      </w:r>
      <w:r w:rsidR="00555836" w:rsidRPr="00605A9C">
        <w:t xml:space="preserve">, </w:t>
      </w:r>
      <w:r w:rsidR="008C5C21" w:rsidRPr="00605A9C">
        <w:t xml:space="preserve">2016 ONCA 11, 128 O.R. (3d) 225, 393 D.L.R. (4th) 1, 342 O.A.C. 201, 52 B.L.R. (5th) 225, 31 C.B.R. (6th) 205, 24 C.C.L.T. (4th) 177, [2016] O.J. </w:t>
      </w:r>
      <w:r w:rsidR="006945A3">
        <w:t>No. </w:t>
      </w:r>
      <w:r w:rsidR="008C5C21" w:rsidRPr="00605A9C">
        <w:t>51 (QL), 2016 CarswellOnt 122 (WL Can.),</w:t>
      </w:r>
      <w:r w:rsidR="00317550" w:rsidRPr="00605A9C">
        <w:t xml:space="preserve"> qui a confirmé une décision du juge Gans, 2014 ONSC 2176, </w:t>
      </w:r>
      <w:r w:rsidR="00DD2B35" w:rsidRPr="00605A9C">
        <w:t xml:space="preserve">11 C.B.R. (6th) 12, </w:t>
      </w:r>
      <w:r w:rsidR="00317550" w:rsidRPr="00605A9C">
        <w:t xml:space="preserve">10 C.C.L.T. (4th) 182, 26 B.L.R. (5th) 15, [2014] O.J. </w:t>
      </w:r>
      <w:r w:rsidR="006945A3">
        <w:t>No. </w:t>
      </w:r>
      <w:r w:rsidR="00317550" w:rsidRPr="00605A9C">
        <w:t>1635 (QL), 2014 CarswellOnt 4365 (WL Can.).</w:t>
      </w:r>
      <w:r w:rsidR="002876B5" w:rsidRPr="00605A9C">
        <w:t xml:space="preserve"> </w:t>
      </w:r>
      <w:r w:rsidR="002876B5" w:rsidRPr="00605A9C">
        <w:rPr>
          <w:lang w:val="fr-CA"/>
        </w:rPr>
        <w:t xml:space="preserve">Pourvoi </w:t>
      </w:r>
      <w:r w:rsidR="00BD3C76" w:rsidRPr="00605A9C">
        <w:rPr>
          <w:lang w:val="fr-CA"/>
        </w:rPr>
        <w:t>accueilli en partie</w:t>
      </w:r>
      <w:r w:rsidR="00EA0874" w:rsidRPr="00605A9C">
        <w:rPr>
          <w:lang w:val="fr-CA"/>
        </w:rPr>
        <w:t xml:space="preserve">, </w:t>
      </w:r>
      <w:r w:rsidR="006536E7" w:rsidRPr="00605A9C">
        <w:rPr>
          <w:lang w:val="fr-CA"/>
        </w:rPr>
        <w:t>la juge en chef McLachlin et les juges Wagner et</w:t>
      </w:r>
      <w:r w:rsidR="00BD3C76" w:rsidRPr="00605A9C">
        <w:rPr>
          <w:lang w:val="fr-CA"/>
        </w:rPr>
        <w:t xml:space="preserve"> Côté</w:t>
      </w:r>
      <w:r w:rsidR="00EA0874" w:rsidRPr="00605A9C">
        <w:rPr>
          <w:lang w:val="fr-CA"/>
        </w:rPr>
        <w:t xml:space="preserve"> sont dissident</w:t>
      </w:r>
      <w:r w:rsidR="00E66762" w:rsidRPr="00605A9C">
        <w:rPr>
          <w:lang w:val="fr-CA"/>
        </w:rPr>
        <w:t>s en partie</w:t>
      </w:r>
      <w:r w:rsidR="002876B5" w:rsidRPr="00605A9C">
        <w:rPr>
          <w:lang w:val="fr-CA"/>
        </w:rPr>
        <w:t>.</w:t>
      </w:r>
    </w:p>
    <w:p w:rsidR="00E709E1" w:rsidRPr="00605A9C" w:rsidRDefault="00777439" w:rsidP="002A5C50">
      <w:pPr>
        <w:pStyle w:val="SCCNormalDoubleSpacing"/>
        <w:spacing w:before="480" w:after="480"/>
        <w:rPr>
          <w:lang w:val="fr-CA"/>
        </w:rPr>
      </w:pPr>
      <w:r w:rsidRPr="00605A9C">
        <w:rPr>
          <w:rStyle w:val="SCCCounselNameChar"/>
          <w:lang w:val="fr-CA"/>
        </w:rPr>
        <w:tab/>
        <w:t>Peter</w:t>
      </w:r>
      <w:r w:rsidR="002A5C50" w:rsidRPr="00605A9C">
        <w:rPr>
          <w:rStyle w:val="SCCCounselNameChar"/>
          <w:lang w:val="fr-CA"/>
        </w:rPr>
        <w:t> </w:t>
      </w:r>
      <w:r w:rsidRPr="00605A9C">
        <w:rPr>
          <w:rStyle w:val="SCCCounselNameChar"/>
          <w:lang w:val="fr-CA"/>
        </w:rPr>
        <w:t>H. Griffin</w:t>
      </w:r>
      <w:r w:rsidRPr="00605A9C">
        <w:rPr>
          <w:rStyle w:val="SCCCounselSeparatorChar"/>
          <w:lang w:val="fr-CA"/>
        </w:rPr>
        <w:t xml:space="preserve">, </w:t>
      </w:r>
      <w:r w:rsidRPr="00605A9C">
        <w:rPr>
          <w:rStyle w:val="SCCCounselNameChar"/>
          <w:lang w:val="fr-CA"/>
        </w:rPr>
        <w:t>Matthew Fleming</w:t>
      </w:r>
      <w:r w:rsidRPr="00605A9C">
        <w:rPr>
          <w:rStyle w:val="SCCCounselNameChar"/>
          <w:i w:val="0"/>
          <w:lang w:val="fr-CA"/>
        </w:rPr>
        <w:t>,</w:t>
      </w:r>
      <w:r w:rsidRPr="00605A9C">
        <w:rPr>
          <w:rStyle w:val="SCCCounselNameChar"/>
          <w:lang w:val="fr-CA"/>
        </w:rPr>
        <w:t xml:space="preserve"> Scott Rollwagen</w:t>
      </w:r>
      <w:r w:rsidRPr="00605A9C">
        <w:rPr>
          <w:rStyle w:val="SCCCounselSeparatorChar"/>
          <w:lang w:val="fr-CA"/>
        </w:rPr>
        <w:t xml:space="preserve"> et </w:t>
      </w:r>
      <w:r w:rsidRPr="00605A9C">
        <w:rPr>
          <w:rStyle w:val="SCCCounselNameChar"/>
          <w:lang w:val="fr-CA"/>
        </w:rPr>
        <w:t>Nina Bombier</w:t>
      </w:r>
      <w:r w:rsidRPr="00605A9C">
        <w:rPr>
          <w:rStyle w:val="SCCCounselPartyRoleChar"/>
          <w:lang w:val="fr-CA"/>
        </w:rPr>
        <w:t>, pour l</w:t>
      </w:r>
      <w:r w:rsidR="00EA59D7" w:rsidRPr="00605A9C">
        <w:rPr>
          <w:rStyle w:val="SCCCounselPartyRoleChar"/>
          <w:lang w:val="fr-CA"/>
        </w:rPr>
        <w:t>’</w:t>
      </w:r>
      <w:r w:rsidR="00317550" w:rsidRPr="00605A9C">
        <w:rPr>
          <w:rStyle w:val="SCCCounselPartyRoleChar"/>
          <w:lang w:val="fr-CA"/>
        </w:rPr>
        <w:t>appelante</w:t>
      </w:r>
      <w:r w:rsidRPr="00605A9C">
        <w:rPr>
          <w:rStyle w:val="SCCCounselPartyRoleChar"/>
          <w:lang w:val="fr-CA"/>
        </w:rPr>
        <w:t>.</w:t>
      </w:r>
    </w:p>
    <w:p w:rsidR="00E709E1" w:rsidRPr="00605A9C" w:rsidRDefault="00777439" w:rsidP="002A5C50">
      <w:pPr>
        <w:pStyle w:val="SCCNormalDoubleSpacing"/>
        <w:spacing w:before="480" w:after="480"/>
        <w:rPr>
          <w:lang w:val="fr-CA"/>
        </w:rPr>
      </w:pPr>
      <w:r w:rsidRPr="00605A9C">
        <w:rPr>
          <w:rStyle w:val="SCCCounselNameChar"/>
          <w:lang w:val="fr-CA"/>
        </w:rPr>
        <w:tab/>
      </w:r>
      <w:r w:rsidR="00317550" w:rsidRPr="00605A9C">
        <w:rPr>
          <w:rStyle w:val="SCCCounselNameChar"/>
          <w:lang w:val="fr-CA"/>
        </w:rPr>
        <w:t>Peter</w:t>
      </w:r>
      <w:r w:rsidR="00FE43F8" w:rsidRPr="00605A9C">
        <w:rPr>
          <w:rStyle w:val="SCCCounselNameChar"/>
          <w:lang w:val="fr-CA"/>
        </w:rPr>
        <w:t> </w:t>
      </w:r>
      <w:r w:rsidR="00317550" w:rsidRPr="00605A9C">
        <w:rPr>
          <w:rStyle w:val="SCCCounselNameChar"/>
          <w:lang w:val="fr-CA"/>
        </w:rPr>
        <w:t>F. C. Howard</w:t>
      </w:r>
      <w:r w:rsidR="00317550" w:rsidRPr="00605A9C">
        <w:rPr>
          <w:rStyle w:val="SCCCounselSeparatorChar"/>
          <w:lang w:val="fr-CA"/>
        </w:rPr>
        <w:t xml:space="preserve">, </w:t>
      </w:r>
      <w:r w:rsidR="00317550" w:rsidRPr="00605A9C">
        <w:rPr>
          <w:rStyle w:val="SCCCounselNameChar"/>
          <w:lang w:val="fr-CA"/>
        </w:rPr>
        <w:t>Patrick O</w:t>
      </w:r>
      <w:r w:rsidR="00EA59D7" w:rsidRPr="00605A9C">
        <w:rPr>
          <w:rStyle w:val="SCCCounselNameChar"/>
          <w:lang w:val="fr-CA"/>
        </w:rPr>
        <w:t>’</w:t>
      </w:r>
      <w:r w:rsidR="00317550" w:rsidRPr="00605A9C">
        <w:rPr>
          <w:rStyle w:val="SCCCounselNameChar"/>
          <w:lang w:val="fr-CA"/>
        </w:rPr>
        <w:t>Kelly</w:t>
      </w:r>
      <w:r w:rsidR="00317550" w:rsidRPr="00605A9C">
        <w:rPr>
          <w:rStyle w:val="SCCCounselNameChar"/>
          <w:i w:val="0"/>
          <w:lang w:val="fr-CA"/>
        </w:rPr>
        <w:t>,</w:t>
      </w:r>
      <w:r w:rsidR="00317550" w:rsidRPr="00605A9C">
        <w:rPr>
          <w:rStyle w:val="SCCCounselNameChar"/>
          <w:lang w:val="fr-CA"/>
        </w:rPr>
        <w:t xml:space="preserve"> Nicholas McHaffie </w:t>
      </w:r>
      <w:r w:rsidR="00317550" w:rsidRPr="00605A9C">
        <w:rPr>
          <w:rStyle w:val="SCCCounselSeparatorChar"/>
          <w:lang w:val="fr-CA"/>
        </w:rPr>
        <w:t>et</w:t>
      </w:r>
      <w:r w:rsidR="00317550" w:rsidRPr="00605A9C">
        <w:rPr>
          <w:rStyle w:val="SCCCounselNameChar"/>
          <w:lang w:val="fr-CA"/>
        </w:rPr>
        <w:t xml:space="preserve"> Aaron Kreaden</w:t>
      </w:r>
      <w:r w:rsidRPr="00605A9C">
        <w:rPr>
          <w:rStyle w:val="SCCCounselPartyRoleChar"/>
          <w:lang w:val="fr-CA"/>
        </w:rPr>
        <w:t>, pour l</w:t>
      </w:r>
      <w:r w:rsidR="00EA59D7" w:rsidRPr="00605A9C">
        <w:rPr>
          <w:rStyle w:val="SCCCounselPartyRoleChar"/>
          <w:lang w:val="fr-CA"/>
        </w:rPr>
        <w:t>’</w:t>
      </w:r>
      <w:r w:rsidR="00317550" w:rsidRPr="00605A9C">
        <w:rPr>
          <w:rStyle w:val="SCCCounselPartyRoleChar"/>
          <w:lang w:val="fr-CA"/>
        </w:rPr>
        <w:t>intimée</w:t>
      </w:r>
      <w:r w:rsidRPr="00605A9C">
        <w:rPr>
          <w:rStyle w:val="SCCCounselPartyRoleChar"/>
          <w:lang w:val="fr-CA"/>
        </w:rPr>
        <w:t>.</w:t>
      </w:r>
    </w:p>
    <w:p w:rsidR="00E709E1" w:rsidRPr="00605A9C" w:rsidRDefault="00777439" w:rsidP="002A5C50">
      <w:pPr>
        <w:pStyle w:val="SCCNormalDoubleSpacing"/>
        <w:spacing w:before="480" w:after="480"/>
        <w:rPr>
          <w:lang w:val="fr-CA"/>
        </w:rPr>
      </w:pPr>
      <w:r w:rsidRPr="00605A9C">
        <w:rPr>
          <w:rStyle w:val="SCCCounselNameChar"/>
          <w:lang w:val="fr-CA"/>
        </w:rPr>
        <w:tab/>
        <w:t>Markus Koehnen</w:t>
      </w:r>
      <w:r w:rsidRPr="00605A9C">
        <w:rPr>
          <w:rStyle w:val="SCCCounselSeparatorChar"/>
          <w:lang w:val="fr-CA"/>
        </w:rPr>
        <w:t xml:space="preserve">, </w:t>
      </w:r>
      <w:r w:rsidR="00317550" w:rsidRPr="00605A9C">
        <w:rPr>
          <w:rStyle w:val="SCCCounselNameChar"/>
          <w:lang w:val="fr-CA"/>
        </w:rPr>
        <w:t xml:space="preserve">David </w:t>
      </w:r>
      <w:r w:rsidRPr="00605A9C">
        <w:rPr>
          <w:rStyle w:val="SCCCounselNameChar"/>
          <w:lang w:val="fr-CA"/>
        </w:rPr>
        <w:t>Kent</w:t>
      </w:r>
      <w:r w:rsidRPr="00605A9C">
        <w:rPr>
          <w:rStyle w:val="SCCCounselSeparatorChar"/>
          <w:lang w:val="fr-CA"/>
        </w:rPr>
        <w:t xml:space="preserve"> et </w:t>
      </w:r>
      <w:r w:rsidRPr="00605A9C">
        <w:rPr>
          <w:rStyle w:val="SCCCounselNameChar"/>
          <w:lang w:val="fr-CA"/>
        </w:rPr>
        <w:t>Jeffrey Levine</w:t>
      </w:r>
      <w:r w:rsidRPr="00605A9C">
        <w:rPr>
          <w:rStyle w:val="SCCCounselPartyRoleChar"/>
          <w:lang w:val="fr-CA"/>
        </w:rPr>
        <w:t>, pour l</w:t>
      </w:r>
      <w:r w:rsidR="00EA59D7" w:rsidRPr="00605A9C">
        <w:rPr>
          <w:rStyle w:val="SCCCounselPartyRoleChar"/>
          <w:lang w:val="fr-CA"/>
        </w:rPr>
        <w:t>’</w:t>
      </w:r>
      <w:r w:rsidR="00317550" w:rsidRPr="00605A9C">
        <w:rPr>
          <w:rStyle w:val="SCCCounselPartyRoleChar"/>
          <w:lang w:val="fr-CA"/>
        </w:rPr>
        <w:t>intervenante la Coalition canadienne pour une bonne g</w:t>
      </w:r>
      <w:r w:rsidRPr="00605A9C">
        <w:rPr>
          <w:rStyle w:val="SCCCounselPartyRoleChar"/>
          <w:lang w:val="fr-CA"/>
        </w:rPr>
        <w:t>ouvernance.</w:t>
      </w:r>
    </w:p>
    <w:p w:rsidR="00E709E1" w:rsidRPr="00605A9C" w:rsidRDefault="00777439" w:rsidP="002A5C50">
      <w:pPr>
        <w:pStyle w:val="SCCNormalDoubleSpacing"/>
        <w:spacing w:before="480" w:after="480"/>
        <w:rPr>
          <w:lang w:val="fr-CA"/>
        </w:rPr>
      </w:pPr>
      <w:r w:rsidRPr="00605A9C">
        <w:rPr>
          <w:rStyle w:val="SCCCounselNameChar"/>
          <w:lang w:val="fr-CA"/>
        </w:rPr>
        <w:tab/>
        <w:t>Guy</w:t>
      </w:r>
      <w:r w:rsidR="002A5C50" w:rsidRPr="00605A9C">
        <w:rPr>
          <w:rStyle w:val="SCCCounselNameChar"/>
          <w:lang w:val="fr-CA"/>
        </w:rPr>
        <w:t> </w:t>
      </w:r>
      <w:r w:rsidRPr="00605A9C">
        <w:rPr>
          <w:rStyle w:val="SCCCounselNameChar"/>
          <w:lang w:val="fr-CA"/>
        </w:rPr>
        <w:t>J. Pratte</w:t>
      </w:r>
      <w:r w:rsidR="00317550" w:rsidRPr="00605A9C">
        <w:rPr>
          <w:rStyle w:val="SCCCounselNameChar"/>
          <w:i w:val="0"/>
          <w:lang w:val="fr-CA"/>
        </w:rPr>
        <w:t>,</w:t>
      </w:r>
      <w:r w:rsidR="00317550" w:rsidRPr="00605A9C">
        <w:rPr>
          <w:rStyle w:val="SCCCounselNameChar"/>
          <w:lang w:val="fr-CA"/>
        </w:rPr>
        <w:t xml:space="preserve"> Nadia Effendi</w:t>
      </w:r>
      <w:r w:rsidRPr="00605A9C">
        <w:rPr>
          <w:rStyle w:val="SCCCounselSeparatorChar"/>
          <w:lang w:val="fr-CA"/>
        </w:rPr>
        <w:t xml:space="preserve"> et </w:t>
      </w:r>
      <w:r w:rsidR="00EA30DB" w:rsidRPr="00605A9C">
        <w:rPr>
          <w:rStyle w:val="SCCCounselNameChar"/>
          <w:lang w:val="fr-CA"/>
        </w:rPr>
        <w:t>Duncan A. W. </w:t>
      </w:r>
      <w:r w:rsidRPr="00605A9C">
        <w:rPr>
          <w:rStyle w:val="SCCCounselNameChar"/>
          <w:lang w:val="fr-CA"/>
        </w:rPr>
        <w:t>Ault</w:t>
      </w:r>
      <w:r w:rsidRPr="00605A9C">
        <w:rPr>
          <w:rStyle w:val="SCCCounselPartyRoleChar"/>
          <w:lang w:val="fr-CA"/>
        </w:rPr>
        <w:t>, pour l</w:t>
      </w:r>
      <w:r w:rsidR="00EA59D7" w:rsidRPr="00605A9C">
        <w:rPr>
          <w:rStyle w:val="SCCCounselPartyRoleChar"/>
          <w:lang w:val="fr-CA"/>
        </w:rPr>
        <w:t>’</w:t>
      </w:r>
      <w:r w:rsidR="00317550" w:rsidRPr="00605A9C">
        <w:rPr>
          <w:rStyle w:val="SCCCounselPartyRoleChar"/>
          <w:lang w:val="fr-CA"/>
        </w:rPr>
        <w:t>intervenante</w:t>
      </w:r>
      <w:r w:rsidRPr="00605A9C">
        <w:rPr>
          <w:rStyle w:val="SCCCounselPartyRoleChar"/>
          <w:lang w:val="fr-CA"/>
        </w:rPr>
        <w:t xml:space="preserve"> Comptables professionnels agréés du Canada.</w:t>
      </w:r>
    </w:p>
    <w:p w:rsidR="003A506E" w:rsidRDefault="000E54AA" w:rsidP="000E54AA">
      <w:pPr>
        <w:pStyle w:val="SCCNormalDoubleSpacing"/>
        <w:spacing w:before="480" w:after="480"/>
        <w:rPr>
          <w:lang w:val="fr-CA"/>
        </w:rPr>
      </w:pPr>
      <w:r w:rsidRPr="00D5275F">
        <w:rPr>
          <w:rStyle w:val="SCCCounselPartyRoleChar"/>
          <w:lang w:val="fr-CA"/>
        </w:rPr>
        <w:tab/>
      </w:r>
      <w:r w:rsidR="003A506E" w:rsidRPr="000E54AA">
        <w:rPr>
          <w:rStyle w:val="SCCCounselPartyRoleChar"/>
          <w:lang w:val="fr-CA"/>
        </w:rPr>
        <w:t>Version</w:t>
      </w:r>
      <w:r w:rsidR="003A506E" w:rsidRPr="00E040AD">
        <w:rPr>
          <w:lang w:val="fr-CA"/>
        </w:rPr>
        <w:t xml:space="preserve"> française </w:t>
      </w:r>
      <w:r w:rsidR="003A506E">
        <w:rPr>
          <w:lang w:val="fr-CA"/>
        </w:rPr>
        <w:t xml:space="preserve">du jugement des juges </w:t>
      </w:r>
      <w:r w:rsidR="003A506E" w:rsidRPr="003A506E">
        <w:rPr>
          <w:lang w:val="fr-CA"/>
        </w:rPr>
        <w:t xml:space="preserve">Karakatsanis, Gascon, Brown et Rowe </w:t>
      </w:r>
      <w:r w:rsidR="003A506E" w:rsidRPr="00EA53E1">
        <w:rPr>
          <w:lang w:val="fr-CA"/>
        </w:rPr>
        <w:t xml:space="preserve">rendu par </w:t>
      </w:r>
    </w:p>
    <w:p w:rsidR="003A506E" w:rsidRPr="000E14A8" w:rsidRDefault="003A506E" w:rsidP="003A506E">
      <w:pPr>
        <w:pStyle w:val="JudgeJuge"/>
        <w:spacing w:before="480"/>
        <w:rPr>
          <w:noProof/>
          <w:lang w:val="fr-CA"/>
        </w:rPr>
      </w:pPr>
      <w:r w:rsidRPr="000E14A8">
        <w:rPr>
          <w:noProof/>
          <w:lang w:val="fr-CA"/>
        </w:rPr>
        <w:tab/>
        <w:t xml:space="preserve">Les juges Gascon et Brown — </w:t>
      </w:r>
    </w:p>
    <w:p w:rsidR="003A506E" w:rsidRPr="000E14A8" w:rsidRDefault="003A506E" w:rsidP="003A506E">
      <w:pPr>
        <w:pStyle w:val="Title1LevelTitre1Niveau-AltL"/>
        <w:rPr>
          <w:rFonts w:cs="Times New Roman"/>
          <w:noProof/>
          <w:lang w:val="fr-CA"/>
        </w:rPr>
      </w:pPr>
      <w:r w:rsidRPr="000E14A8">
        <w:rPr>
          <w:rFonts w:cs="Times New Roman"/>
          <w:noProof/>
          <w:lang w:val="fr-CA"/>
        </w:rPr>
        <w:lastRenderedPageBreak/>
        <w:t>Introduction</w:t>
      </w:r>
    </w:p>
    <w:p w:rsidR="003A506E" w:rsidRPr="000E14A8" w:rsidRDefault="003A506E" w:rsidP="003A506E">
      <w:pPr>
        <w:pStyle w:val="ParaNoNdepar-AltN"/>
        <w:rPr>
          <w:rFonts w:cs="Times New Roman"/>
          <w:noProof/>
          <w:lang w:val="fr-CA"/>
        </w:rPr>
      </w:pPr>
      <w:r w:rsidRPr="000E14A8">
        <w:rPr>
          <w:rFonts w:cs="Times New Roman"/>
          <w:noProof/>
          <w:lang w:val="fr-CA"/>
        </w:rPr>
        <w:t>Le présent pourvoi donne à la Cour l</w:t>
      </w:r>
      <w:r>
        <w:rPr>
          <w:rFonts w:cs="Times New Roman"/>
          <w:noProof/>
          <w:lang w:val="fr-CA"/>
        </w:rPr>
        <w:t>’</w:t>
      </w:r>
      <w:r w:rsidRPr="000E14A8">
        <w:rPr>
          <w:rFonts w:cs="Times New Roman"/>
          <w:noProof/>
          <w:lang w:val="fr-CA"/>
        </w:rPr>
        <w:t>occasion de confirmer le cadre analytique qui permet d</w:t>
      </w:r>
      <w:r>
        <w:rPr>
          <w:rFonts w:cs="Times New Roman"/>
          <w:noProof/>
          <w:lang w:val="fr-CA"/>
        </w:rPr>
        <w:t>’</w:t>
      </w:r>
      <w:r w:rsidRPr="000E14A8">
        <w:rPr>
          <w:rFonts w:cs="Times New Roman"/>
          <w:noProof/>
          <w:lang w:val="fr-CA"/>
        </w:rPr>
        <w:t>imposer une responsabilité en cas de déclaration inexacte faite par négligence ou de prestation négligente d</w:t>
      </w:r>
      <w:r>
        <w:rPr>
          <w:rFonts w:cs="Times New Roman"/>
          <w:noProof/>
          <w:lang w:val="fr-CA"/>
        </w:rPr>
        <w:t>’</w:t>
      </w:r>
      <w:r w:rsidRPr="000E14A8">
        <w:rPr>
          <w:rFonts w:cs="Times New Roman"/>
          <w:noProof/>
          <w:lang w:val="fr-CA"/>
        </w:rPr>
        <w:t>un service par un vérificateur</w:t>
      </w:r>
      <w:r w:rsidRPr="000E14A8">
        <w:rPr>
          <w:rFonts w:cs="Times New Roman"/>
          <w:lang w:val="fr-CA"/>
        </w:rPr>
        <w:t>.</w:t>
      </w:r>
    </w:p>
    <w:p w:rsidR="003A506E" w:rsidRPr="000E14A8" w:rsidRDefault="003A506E" w:rsidP="003A506E">
      <w:pPr>
        <w:pStyle w:val="ParaNoNdepar-AltN"/>
        <w:rPr>
          <w:rFonts w:cs="Times New Roman"/>
          <w:noProof/>
          <w:lang w:val="fr-CA"/>
        </w:rPr>
      </w:pPr>
      <w:r w:rsidRPr="000E14A8">
        <w:rPr>
          <w:rFonts w:cs="Times New Roman"/>
          <w:lang w:val="fr-CA"/>
        </w:rPr>
        <w:t>Nous sommes d</w:t>
      </w:r>
      <w:r>
        <w:rPr>
          <w:rFonts w:cs="Times New Roman"/>
          <w:lang w:val="fr-CA"/>
        </w:rPr>
        <w:t>’</w:t>
      </w:r>
      <w:r w:rsidRPr="000E14A8">
        <w:rPr>
          <w:rFonts w:cs="Times New Roman"/>
          <w:lang w:val="fr-CA"/>
        </w:rPr>
        <w:t>accord pour l</w:t>
      </w:r>
      <w:r>
        <w:rPr>
          <w:rFonts w:cs="Times New Roman"/>
          <w:lang w:val="fr-CA"/>
        </w:rPr>
        <w:t>’</w:t>
      </w:r>
      <w:r w:rsidRPr="000E14A8">
        <w:rPr>
          <w:rFonts w:cs="Times New Roman"/>
          <w:lang w:val="fr-CA"/>
        </w:rPr>
        <w:t>essentiel avec la Juge en chef. Nous souscrivons au cadre d</w:t>
      </w:r>
      <w:r>
        <w:rPr>
          <w:rFonts w:cs="Times New Roman"/>
          <w:lang w:val="fr-CA"/>
        </w:rPr>
        <w:t>’</w:t>
      </w:r>
      <w:r w:rsidRPr="000E14A8">
        <w:rPr>
          <w:rFonts w:cs="Times New Roman"/>
          <w:lang w:val="fr-CA"/>
        </w:rPr>
        <w:t>analyse général qui régit les demandes relatives à des déclarations inexactes faites par négligence (motifs de la Juge en chef, par. 146</w:t>
      </w:r>
      <w:r w:rsidRPr="000E14A8">
        <w:rPr>
          <w:rFonts w:cs="Times New Roman"/>
          <w:lang w:val="fr-CA"/>
        </w:rPr>
        <w:noBreakHyphen/>
        <w:t>147). Et nous sommes d</w:t>
      </w:r>
      <w:r>
        <w:rPr>
          <w:rFonts w:cs="Times New Roman"/>
          <w:lang w:val="fr-CA"/>
        </w:rPr>
        <w:t>’</w:t>
      </w:r>
      <w:r w:rsidRPr="000E14A8">
        <w:rPr>
          <w:rFonts w:cs="Times New Roman"/>
          <w:lang w:val="fr-CA"/>
        </w:rPr>
        <w:t>accord pour dire que</w:t>
      </w:r>
      <w:r w:rsidRPr="000E14A8">
        <w:rPr>
          <w:rFonts w:cs="Times New Roman"/>
          <w:noProof/>
          <w:lang w:val="fr-CA"/>
        </w:rPr>
        <w:t xml:space="preserve"> Deloitte &amp; Touche (maintenant Deloitte S.E.N.C.R.L./s.r.l.) ne devrait pas être tenue responsable de l</w:t>
      </w:r>
      <w:r>
        <w:rPr>
          <w:rFonts w:cs="Times New Roman"/>
          <w:noProof/>
          <w:lang w:val="fr-CA"/>
        </w:rPr>
        <w:t>’</w:t>
      </w:r>
      <w:r w:rsidRPr="000E14A8">
        <w:rPr>
          <w:rFonts w:cs="Times New Roman"/>
          <w:noProof/>
          <w:lang w:val="fr-CA"/>
        </w:rPr>
        <w:t>augmentation du déficit de liquidation de sa société cliente, Livent Inc., qui a suivi la prestation négligente, par Deloitte, de services relatifs à la sollicitation de fonds d</w:t>
      </w:r>
      <w:r>
        <w:rPr>
          <w:rFonts w:cs="Times New Roman"/>
          <w:noProof/>
          <w:lang w:val="fr-CA"/>
        </w:rPr>
        <w:t>’</w:t>
      </w:r>
      <w:r w:rsidRPr="000E14A8">
        <w:rPr>
          <w:rFonts w:cs="Times New Roman"/>
          <w:noProof/>
          <w:lang w:val="fr-CA"/>
        </w:rPr>
        <w:t xml:space="preserve">investissement. </w:t>
      </w:r>
    </w:p>
    <w:p w:rsidR="003A506E" w:rsidRPr="000E14A8" w:rsidRDefault="003A506E" w:rsidP="003A506E">
      <w:pPr>
        <w:pStyle w:val="ParaNoNdepar-AltN"/>
        <w:rPr>
          <w:rFonts w:cs="Times New Roman"/>
          <w:noProof/>
          <w:lang w:val="fr-CA"/>
        </w:rPr>
      </w:pPr>
      <w:r w:rsidRPr="000E14A8">
        <w:rPr>
          <w:rFonts w:cs="Times New Roman"/>
          <w:lang w:val="fr-CA"/>
        </w:rPr>
        <w:t>Cependant, nous concluons que</w:t>
      </w:r>
      <w:r w:rsidRPr="000E14A8">
        <w:rPr>
          <w:rFonts w:cs="Times New Roman"/>
          <w:noProof/>
          <w:lang w:val="fr-CA"/>
        </w:rPr>
        <w:t xml:space="preserve"> Deloitte devrait être tenue responsable de l</w:t>
      </w:r>
      <w:r>
        <w:rPr>
          <w:rFonts w:cs="Times New Roman"/>
          <w:noProof/>
          <w:lang w:val="fr-CA"/>
        </w:rPr>
        <w:t>’</w:t>
      </w:r>
      <w:r w:rsidRPr="000E14A8">
        <w:rPr>
          <w:rFonts w:cs="Times New Roman"/>
          <w:noProof/>
          <w:lang w:val="fr-CA"/>
        </w:rPr>
        <w:t>augmentation du déficit de liquidation de Livent qui a suivi la vérification exigée par la loi. Dans l</w:t>
      </w:r>
      <w:r>
        <w:rPr>
          <w:rFonts w:cs="Times New Roman"/>
          <w:noProof/>
          <w:lang w:val="fr-CA"/>
        </w:rPr>
        <w:t>’</w:t>
      </w:r>
      <w:r w:rsidRPr="000E14A8">
        <w:rPr>
          <w:rFonts w:cs="Times New Roman"/>
          <w:noProof/>
          <w:lang w:val="fr-CA"/>
        </w:rPr>
        <w:t xml:space="preserve">arrêt </w:t>
      </w:r>
      <w:r w:rsidRPr="000E14A8">
        <w:rPr>
          <w:rFonts w:cs="Times New Roman"/>
          <w:i/>
          <w:noProof/>
          <w:lang w:val="fr-CA"/>
        </w:rPr>
        <w:t>H</w:t>
      </w:r>
      <w:r w:rsidRPr="000E14A8">
        <w:rPr>
          <w:rFonts w:eastAsiaTheme="minorHAnsi" w:cs="Times New Roman"/>
          <w:i/>
          <w:noProof/>
          <w:lang w:val="fr-CA"/>
        </w:rPr>
        <w:t>ercules Managements Ltd. c. Ernst &amp; Young</w:t>
      </w:r>
      <w:r w:rsidRPr="000E14A8">
        <w:rPr>
          <w:rFonts w:eastAsiaTheme="minorHAnsi" w:cs="Times New Roman"/>
          <w:noProof/>
          <w:lang w:val="fr-CA"/>
        </w:rPr>
        <w:t>, [1997] 2 R.C.S. 165, notre Cour a reconnu qu</w:t>
      </w:r>
      <w:r>
        <w:rPr>
          <w:rFonts w:eastAsiaTheme="minorHAnsi" w:cs="Times New Roman"/>
          <w:noProof/>
          <w:lang w:val="fr-CA"/>
        </w:rPr>
        <w:t>’</w:t>
      </w:r>
      <w:r w:rsidRPr="000E14A8">
        <w:rPr>
          <w:rFonts w:eastAsiaTheme="minorHAnsi" w:cs="Times New Roman"/>
          <w:noProof/>
          <w:lang w:val="fr-CA"/>
        </w:rPr>
        <w:t xml:space="preserve">une vérification exigée par la loi a pour objet de permettre aux actionnaires </w:t>
      </w:r>
      <w:r w:rsidRPr="000E14A8">
        <w:rPr>
          <w:rFonts w:cs="Times New Roman"/>
          <w:noProof/>
          <w:lang w:val="fr-CA"/>
        </w:rPr>
        <w:t>collectivement « de superviser la gestion et de prendre des décisions relativement à la bonne administration globale [de la société] » ce qui permet « aux actionnaires, en tant que groupe, de protéger les intérêts [de la société] » (par. 56 (soulignement omis)). Il s</w:t>
      </w:r>
      <w:r>
        <w:rPr>
          <w:rFonts w:cs="Times New Roman"/>
          <w:noProof/>
          <w:lang w:val="fr-CA"/>
        </w:rPr>
        <w:t>’</w:t>
      </w:r>
      <w:r w:rsidRPr="000E14A8">
        <w:rPr>
          <w:rFonts w:cs="Times New Roman"/>
          <w:noProof/>
          <w:lang w:val="fr-CA"/>
        </w:rPr>
        <w:t>agit exactement là de la tâche dont les actionnaires de Livent n</w:t>
      </w:r>
      <w:r>
        <w:rPr>
          <w:rFonts w:cs="Times New Roman"/>
          <w:noProof/>
          <w:lang w:val="fr-CA"/>
        </w:rPr>
        <w:t>’</w:t>
      </w:r>
      <w:r w:rsidRPr="000E14A8">
        <w:rPr>
          <w:rFonts w:cs="Times New Roman"/>
          <w:noProof/>
          <w:lang w:val="fr-CA"/>
        </w:rPr>
        <w:t>ont pas été en mesure de s</w:t>
      </w:r>
      <w:r>
        <w:rPr>
          <w:rFonts w:cs="Times New Roman"/>
          <w:noProof/>
          <w:lang w:val="fr-CA"/>
        </w:rPr>
        <w:t>’</w:t>
      </w:r>
      <w:r w:rsidRPr="000E14A8">
        <w:rPr>
          <w:rFonts w:cs="Times New Roman"/>
          <w:noProof/>
          <w:lang w:val="fr-CA"/>
        </w:rPr>
        <w:t>acquitter à cause de la négligence de Deloitte. En conséquence, l</w:t>
      </w:r>
      <w:r>
        <w:rPr>
          <w:rFonts w:cs="Times New Roman"/>
          <w:noProof/>
          <w:lang w:val="fr-CA"/>
        </w:rPr>
        <w:t>’</w:t>
      </w:r>
      <w:r w:rsidRPr="000E14A8">
        <w:rPr>
          <w:rFonts w:cs="Times New Roman"/>
          <w:noProof/>
          <w:lang w:val="fr-CA"/>
        </w:rPr>
        <w:t>existence de Livent en tant qu</w:t>
      </w:r>
      <w:r>
        <w:rPr>
          <w:rFonts w:cs="Times New Roman"/>
          <w:noProof/>
          <w:lang w:val="fr-CA"/>
        </w:rPr>
        <w:t>’</w:t>
      </w:r>
      <w:r w:rsidRPr="000E14A8">
        <w:rPr>
          <w:rFonts w:cs="Times New Roman"/>
          <w:noProof/>
          <w:lang w:val="fr-CA"/>
        </w:rPr>
        <w:t>entreprise a été artificiellement prolongée, de sorte que sa situation financière s</w:t>
      </w:r>
      <w:r>
        <w:rPr>
          <w:rFonts w:cs="Times New Roman"/>
          <w:noProof/>
          <w:lang w:val="fr-CA"/>
        </w:rPr>
        <w:t>’</w:t>
      </w:r>
      <w:r w:rsidRPr="000E14A8">
        <w:rPr>
          <w:rFonts w:cs="Times New Roman"/>
          <w:noProof/>
          <w:lang w:val="fr-CA"/>
        </w:rPr>
        <w:t>est entre</w:t>
      </w:r>
      <w:r w:rsidRPr="000E14A8">
        <w:rPr>
          <w:rFonts w:cs="Times New Roman"/>
          <w:noProof/>
          <w:lang w:val="fr-CA"/>
        </w:rPr>
        <w:noBreakHyphen/>
        <w:t xml:space="preserve">temps détériorée. </w:t>
      </w:r>
      <w:r w:rsidRPr="000E14A8">
        <w:rPr>
          <w:rFonts w:cs="Times New Roman"/>
          <w:lang w:val="fr-CA"/>
        </w:rPr>
        <w:t xml:space="preserve">Des éléments de preuve suffisants permettaient de conclure à la responsabilité de Deloitte </w:t>
      </w:r>
      <w:r w:rsidRPr="000E14A8">
        <w:rPr>
          <w:rFonts w:cs="Times New Roman"/>
          <w:lang w:val="fr-CA"/>
        </w:rPr>
        <w:lastRenderedPageBreak/>
        <w:t xml:space="preserve">du fait que la surveillance par les actionnaires était compromise. </w:t>
      </w:r>
      <w:r w:rsidRPr="000E14A8">
        <w:rPr>
          <w:rFonts w:cs="Times New Roman"/>
          <w:noProof/>
          <w:lang w:val="fr-CA"/>
        </w:rPr>
        <w:t>L</w:t>
      </w:r>
      <w:r>
        <w:rPr>
          <w:rFonts w:cs="Times New Roman"/>
          <w:noProof/>
          <w:lang w:val="fr-CA"/>
        </w:rPr>
        <w:t>’</w:t>
      </w:r>
      <w:r w:rsidRPr="000E14A8">
        <w:rPr>
          <w:rFonts w:cs="Times New Roman"/>
          <w:noProof/>
          <w:lang w:val="fr-CA"/>
        </w:rPr>
        <w:t>application du cadre d</w:t>
      </w:r>
      <w:r>
        <w:rPr>
          <w:rFonts w:cs="Times New Roman"/>
          <w:noProof/>
          <w:lang w:val="fr-CA"/>
        </w:rPr>
        <w:t>’</w:t>
      </w:r>
      <w:r w:rsidRPr="000E14A8">
        <w:rPr>
          <w:rFonts w:cs="Times New Roman"/>
          <w:noProof/>
          <w:lang w:val="fr-CA"/>
        </w:rPr>
        <w:t xml:space="preserve">analyse établi dans les arrêts </w:t>
      </w:r>
      <w:r w:rsidRPr="000E14A8">
        <w:rPr>
          <w:rFonts w:cs="Times New Roman"/>
          <w:i/>
          <w:noProof/>
          <w:lang w:val="fr-CA"/>
        </w:rPr>
        <w:t xml:space="preserve">Anns </w:t>
      </w:r>
      <w:r w:rsidRPr="000E14A8">
        <w:rPr>
          <w:rFonts w:cs="Times New Roman"/>
          <w:noProof/>
          <w:lang w:val="fr-CA"/>
        </w:rPr>
        <w:t xml:space="preserve">et </w:t>
      </w:r>
      <w:r w:rsidRPr="000E14A8">
        <w:rPr>
          <w:rFonts w:cs="Times New Roman"/>
          <w:i/>
          <w:noProof/>
          <w:lang w:val="fr-CA"/>
        </w:rPr>
        <w:t>Cooper</w:t>
      </w:r>
      <w:r w:rsidRPr="000E14A8">
        <w:rPr>
          <w:rFonts w:cs="Times New Roman"/>
          <w:noProof/>
          <w:lang w:val="fr-CA"/>
        </w:rPr>
        <w:t>, conjuguée au fondement de la responsabilité du vérificateur que notre Cour a expressément reconnu</w:t>
      </w:r>
      <w:r w:rsidRPr="000E14A8">
        <w:rPr>
          <w:rFonts w:cs="Times New Roman"/>
          <w:i/>
          <w:noProof/>
          <w:lang w:val="fr-CA"/>
        </w:rPr>
        <w:t xml:space="preserve"> </w:t>
      </w:r>
      <w:r w:rsidRPr="000E14A8">
        <w:rPr>
          <w:rFonts w:cs="Times New Roman"/>
          <w:noProof/>
          <w:lang w:val="fr-CA"/>
        </w:rPr>
        <w:t xml:space="preserve">dans </w:t>
      </w:r>
      <w:r w:rsidRPr="000E14A8">
        <w:rPr>
          <w:rFonts w:cs="Times New Roman"/>
          <w:i/>
          <w:noProof/>
          <w:lang w:val="fr-CA"/>
        </w:rPr>
        <w:t>Hercules</w:t>
      </w:r>
      <w:r w:rsidRPr="000E14A8">
        <w:rPr>
          <w:rFonts w:cs="Times New Roman"/>
          <w:noProof/>
          <w:lang w:val="fr-CA"/>
        </w:rPr>
        <w:t xml:space="preserve">, nous amène à confirmer la conclusion de responsabilité tirée par le juge de première instance du fait de la préparation négligente du rapport du vérificateur exigé par la loi. </w:t>
      </w:r>
    </w:p>
    <w:p w:rsidR="003A506E" w:rsidRPr="000E14A8" w:rsidRDefault="003A506E" w:rsidP="003A506E">
      <w:pPr>
        <w:pStyle w:val="ParaNoNdepar-AltN"/>
        <w:rPr>
          <w:rFonts w:cs="Times New Roman"/>
          <w:noProof/>
          <w:lang w:val="fr-CA"/>
        </w:rPr>
      </w:pPr>
      <w:r w:rsidRPr="000E14A8">
        <w:rPr>
          <w:rFonts w:cs="Times New Roman"/>
          <w:noProof/>
          <w:lang w:val="fr-CA"/>
        </w:rPr>
        <w:t>En conséquence, nous sommes d</w:t>
      </w:r>
      <w:r>
        <w:rPr>
          <w:rFonts w:cs="Times New Roman"/>
          <w:noProof/>
          <w:lang w:val="fr-CA"/>
        </w:rPr>
        <w:t>’</w:t>
      </w:r>
      <w:r w:rsidRPr="000E14A8">
        <w:rPr>
          <w:rFonts w:cs="Times New Roman"/>
          <w:noProof/>
          <w:lang w:val="fr-CA"/>
        </w:rPr>
        <w:t>avis d</w:t>
      </w:r>
      <w:r>
        <w:rPr>
          <w:rFonts w:cs="Times New Roman"/>
          <w:noProof/>
          <w:lang w:val="fr-CA"/>
        </w:rPr>
        <w:t>’</w:t>
      </w:r>
      <w:r w:rsidRPr="000E14A8">
        <w:rPr>
          <w:rFonts w:cs="Times New Roman"/>
          <w:noProof/>
          <w:lang w:val="fr-CA"/>
        </w:rPr>
        <w:t>accueillir le pourvoi à l</w:t>
      </w:r>
      <w:r>
        <w:rPr>
          <w:rFonts w:cs="Times New Roman"/>
          <w:noProof/>
          <w:lang w:val="fr-CA"/>
        </w:rPr>
        <w:t>’</w:t>
      </w:r>
      <w:r w:rsidRPr="000E14A8">
        <w:rPr>
          <w:rFonts w:cs="Times New Roman"/>
          <w:noProof/>
          <w:lang w:val="fr-CA"/>
        </w:rPr>
        <w:t>encontre de la décision de la Cour d</w:t>
      </w:r>
      <w:r>
        <w:rPr>
          <w:rFonts w:cs="Times New Roman"/>
          <w:noProof/>
          <w:lang w:val="fr-CA"/>
        </w:rPr>
        <w:t>’</w:t>
      </w:r>
      <w:r w:rsidRPr="000E14A8">
        <w:rPr>
          <w:rFonts w:cs="Times New Roman"/>
          <w:noProof/>
          <w:lang w:val="fr-CA"/>
        </w:rPr>
        <w:t>appel de l</w:t>
      </w:r>
      <w:r>
        <w:rPr>
          <w:rFonts w:cs="Times New Roman"/>
          <w:noProof/>
          <w:lang w:val="fr-CA"/>
        </w:rPr>
        <w:t>’</w:t>
      </w:r>
      <w:r w:rsidRPr="000E14A8">
        <w:rPr>
          <w:rFonts w:cs="Times New Roman"/>
          <w:noProof/>
          <w:lang w:val="fr-CA"/>
        </w:rPr>
        <w:t>Ontario, 2016 ONCA 11, 128 O.R. (3d) 225, mais en partie seulement.</w:t>
      </w:r>
    </w:p>
    <w:p w:rsidR="003A506E" w:rsidRPr="000E14A8" w:rsidRDefault="003A506E" w:rsidP="003A506E">
      <w:pPr>
        <w:pStyle w:val="Title1LevelTitre1Niveau-AltL"/>
        <w:rPr>
          <w:rFonts w:cs="Times New Roman"/>
          <w:noProof/>
          <w:lang w:val="fr-CA"/>
        </w:rPr>
      </w:pPr>
      <w:r w:rsidRPr="000E14A8">
        <w:rPr>
          <w:rFonts w:cs="Times New Roman"/>
          <w:noProof/>
          <w:lang w:val="fr-CA"/>
        </w:rPr>
        <w:t>Faits et historique judiciaire</w:t>
      </w:r>
    </w:p>
    <w:p w:rsidR="003A506E" w:rsidRPr="000E14A8" w:rsidRDefault="003A506E" w:rsidP="003A506E">
      <w:pPr>
        <w:pStyle w:val="ParaNoNdepar-AltN"/>
        <w:rPr>
          <w:rFonts w:cs="Times New Roman"/>
          <w:noProof/>
          <w:lang w:val="fr-CA"/>
        </w:rPr>
      </w:pPr>
      <w:r w:rsidRPr="000E14A8">
        <w:rPr>
          <w:rFonts w:cs="Times New Roman"/>
          <w:noProof/>
          <w:lang w:val="fr-CA"/>
        </w:rPr>
        <w:t>Nous souscrivons de manière générale aux faits et à l</w:t>
      </w:r>
      <w:r>
        <w:rPr>
          <w:rFonts w:cs="Times New Roman"/>
          <w:noProof/>
          <w:lang w:val="fr-CA"/>
        </w:rPr>
        <w:t>’</w:t>
      </w:r>
      <w:r w:rsidRPr="000E14A8">
        <w:rPr>
          <w:rFonts w:cs="Times New Roman"/>
          <w:noProof/>
          <w:lang w:val="fr-CA"/>
        </w:rPr>
        <w:t>historique des procédures judiciaires exposés par la Juge en chef dans ses motifs. En particulier, elle dégage bien la conclusion principale tirée par le juge de première instance, selon qui Deloitte n</w:t>
      </w:r>
      <w:r>
        <w:rPr>
          <w:rFonts w:cs="Times New Roman"/>
          <w:noProof/>
          <w:lang w:val="fr-CA"/>
        </w:rPr>
        <w:t>’</w:t>
      </w:r>
      <w:r w:rsidRPr="000E14A8">
        <w:rPr>
          <w:rFonts w:cs="Times New Roman"/>
          <w:noProof/>
          <w:lang w:val="fr-CA"/>
        </w:rPr>
        <w:t>a pas respecté la norme de diligence requise, et ce, à deux occasions : [</w:t>
      </w:r>
      <w:r w:rsidRPr="000E14A8">
        <w:rPr>
          <w:rFonts w:cs="Times New Roman"/>
          <w:smallCaps/>
          <w:noProof/>
          <w:lang w:val="fr-CA"/>
        </w:rPr>
        <w:t>traduction</w:t>
      </w:r>
      <w:r w:rsidRPr="000E14A8">
        <w:rPr>
          <w:rFonts w:cs="Times New Roman"/>
          <w:noProof/>
          <w:lang w:val="fr-CA"/>
        </w:rPr>
        <w:t xml:space="preserve">] « . . . </w:t>
      </w:r>
      <w:r w:rsidRPr="000E14A8">
        <w:rPr>
          <w:rFonts w:cs="Times New Roman"/>
          <w:bCs/>
          <w:noProof/>
          <w:lang w:val="fr-CA"/>
        </w:rPr>
        <w:t>soit en août 1997, lorsqu</w:t>
      </w:r>
      <w:r>
        <w:rPr>
          <w:rFonts w:cs="Times New Roman"/>
          <w:bCs/>
          <w:noProof/>
          <w:lang w:val="fr-CA"/>
        </w:rPr>
        <w:t>’</w:t>
      </w:r>
      <w:r w:rsidRPr="000E14A8">
        <w:rPr>
          <w:rFonts w:cs="Times New Roman"/>
          <w:bCs/>
          <w:noProof/>
          <w:lang w:val="fr-CA"/>
        </w:rPr>
        <w:t>elle n</w:t>
      </w:r>
      <w:r>
        <w:rPr>
          <w:rFonts w:cs="Times New Roman"/>
          <w:bCs/>
          <w:noProof/>
          <w:lang w:val="fr-CA"/>
        </w:rPr>
        <w:t>’</w:t>
      </w:r>
      <w:r w:rsidRPr="000E14A8">
        <w:rPr>
          <w:rFonts w:cs="Times New Roman"/>
          <w:bCs/>
          <w:noProof/>
          <w:lang w:val="fr-CA"/>
        </w:rPr>
        <w:t>a pas découvert la fraude et n</w:t>
      </w:r>
      <w:r>
        <w:rPr>
          <w:rFonts w:cs="Times New Roman"/>
          <w:bCs/>
          <w:noProof/>
          <w:lang w:val="fr-CA"/>
        </w:rPr>
        <w:t>’</w:t>
      </w:r>
      <w:r w:rsidRPr="000E14A8">
        <w:rPr>
          <w:rFonts w:cs="Times New Roman"/>
          <w:bCs/>
          <w:noProof/>
          <w:lang w:val="fr-CA"/>
        </w:rPr>
        <w:t>a pas pris les mesures que cette découverte rendait nécessaires, ou en avril 1998, lorsqu</w:t>
      </w:r>
      <w:r>
        <w:rPr>
          <w:rFonts w:cs="Times New Roman"/>
          <w:bCs/>
          <w:noProof/>
          <w:lang w:val="fr-CA"/>
        </w:rPr>
        <w:t>’</w:t>
      </w:r>
      <w:r w:rsidRPr="000E14A8">
        <w:rPr>
          <w:rFonts w:cs="Times New Roman"/>
          <w:bCs/>
          <w:noProof/>
          <w:lang w:val="fr-CA"/>
        </w:rPr>
        <w:t>elle a approuvé les éta</w:t>
      </w:r>
      <w:r w:rsidR="00D5275F">
        <w:rPr>
          <w:rFonts w:cs="Times New Roman"/>
          <w:bCs/>
          <w:noProof/>
          <w:lang w:val="fr-CA"/>
        </w:rPr>
        <w:t>ts financiers de 1997 de Livent</w:t>
      </w:r>
      <w:r w:rsidR="00D5275F" w:rsidRPr="000E14A8">
        <w:rPr>
          <w:rFonts w:cs="Times New Roman"/>
          <w:noProof/>
          <w:lang w:val="fr-CA"/>
        </w:rPr>
        <w:t> »</w:t>
      </w:r>
      <w:r w:rsidRPr="000E14A8">
        <w:rPr>
          <w:rFonts w:cs="Times New Roman"/>
          <w:noProof/>
          <w:lang w:val="fr-CA"/>
        </w:rPr>
        <w:t xml:space="preserve"> (motifs de la Juge en chef, par. 127; motifs de première instance, 2014 ONSC 2176, 10 C.C.L.T. (4th) 182, par. 241</w:t>
      </w:r>
      <w:r w:rsidRPr="000E14A8">
        <w:rPr>
          <w:rFonts w:cs="Times New Roman"/>
          <w:noProof/>
          <w:lang w:val="fr-CA"/>
        </w:rPr>
        <w:noBreakHyphen/>
        <w:t>242). Tout comme la Juge en chef, nous ne contestons pas ces conclusions. Nous estimons toutefois utile de donner quelques précisions à cet égard.</w:t>
      </w:r>
    </w:p>
    <w:p w:rsidR="003A506E" w:rsidRPr="000E14A8" w:rsidRDefault="003A506E" w:rsidP="003A506E">
      <w:pPr>
        <w:pStyle w:val="ParaNoNdepar-AltN"/>
        <w:rPr>
          <w:rFonts w:cs="Times New Roman"/>
          <w:noProof/>
          <w:lang w:val="fr-CA"/>
        </w:rPr>
      </w:pPr>
      <w:r w:rsidRPr="000E14A8">
        <w:rPr>
          <w:rFonts w:cs="Times New Roman"/>
          <w:noProof/>
          <w:lang w:val="fr-CA"/>
        </w:rPr>
        <w:t>Les conclusions de négligence formulées par le juge de première instance peuvent être classées en fonction de deux événements distincts : (1) l</w:t>
      </w:r>
      <w:r>
        <w:rPr>
          <w:rFonts w:cs="Times New Roman"/>
          <w:noProof/>
          <w:lang w:val="fr-CA"/>
        </w:rPr>
        <w:t>’</w:t>
      </w:r>
      <w:r w:rsidRPr="000E14A8">
        <w:rPr>
          <w:rFonts w:cs="Times New Roman"/>
          <w:noProof/>
          <w:lang w:val="fr-CA"/>
        </w:rPr>
        <w:t>approbation par Deloitte d</w:t>
      </w:r>
      <w:r>
        <w:rPr>
          <w:rFonts w:cs="Times New Roman"/>
          <w:noProof/>
          <w:lang w:val="fr-CA"/>
        </w:rPr>
        <w:t>’</w:t>
      </w:r>
      <w:r w:rsidRPr="000E14A8">
        <w:rPr>
          <w:rFonts w:cs="Times New Roman"/>
          <w:noProof/>
          <w:lang w:val="fr-CA"/>
        </w:rPr>
        <w:t xml:space="preserve">un communiqué de presse en 1997 (« communiqué de presse ») et la </w:t>
      </w:r>
      <w:r w:rsidRPr="000E14A8">
        <w:rPr>
          <w:rFonts w:cs="Times New Roman"/>
          <w:noProof/>
          <w:lang w:val="fr-CA"/>
        </w:rPr>
        <w:lastRenderedPageBreak/>
        <w:t>fourniture d</w:t>
      </w:r>
      <w:r>
        <w:rPr>
          <w:rFonts w:cs="Times New Roman"/>
          <w:noProof/>
          <w:lang w:val="fr-CA"/>
        </w:rPr>
        <w:t>’</w:t>
      </w:r>
      <w:r w:rsidRPr="000E14A8">
        <w:rPr>
          <w:rFonts w:cs="Times New Roman"/>
          <w:noProof/>
          <w:lang w:val="fr-CA"/>
        </w:rPr>
        <w:t>une lettre de confort (« lettre de confort »); et (2) la préparation et l</w:t>
      </w:r>
      <w:r>
        <w:rPr>
          <w:rFonts w:cs="Times New Roman"/>
          <w:noProof/>
          <w:lang w:val="fr-CA"/>
        </w:rPr>
        <w:t>’</w:t>
      </w:r>
      <w:r w:rsidRPr="000E14A8">
        <w:rPr>
          <w:rFonts w:cs="Times New Roman"/>
          <w:noProof/>
          <w:lang w:val="fr-CA"/>
        </w:rPr>
        <w:t>approbation par Deloitte de l</w:t>
      </w:r>
      <w:r>
        <w:rPr>
          <w:rFonts w:cs="Times New Roman"/>
          <w:noProof/>
          <w:lang w:val="fr-CA"/>
        </w:rPr>
        <w:t>’</w:t>
      </w:r>
      <w:r w:rsidRPr="000E14A8">
        <w:rPr>
          <w:rFonts w:cs="Times New Roman"/>
          <w:noProof/>
          <w:lang w:val="fr-CA"/>
        </w:rPr>
        <w:t>opinion sans réserve du vérificateur pour l</w:t>
      </w:r>
      <w:r>
        <w:rPr>
          <w:rFonts w:cs="Times New Roman"/>
          <w:noProof/>
          <w:lang w:val="fr-CA"/>
        </w:rPr>
        <w:t>’</w:t>
      </w:r>
      <w:r w:rsidRPr="000E14A8">
        <w:rPr>
          <w:rFonts w:cs="Times New Roman"/>
          <w:noProof/>
          <w:lang w:val="fr-CA"/>
        </w:rPr>
        <w:t xml:space="preserve">exercice 1997 (« rapport de 1997 »). </w:t>
      </w:r>
      <w:r w:rsidRPr="000E14A8">
        <w:rPr>
          <w:rFonts w:cs="Times New Roman"/>
          <w:lang w:val="fr-CA"/>
        </w:rPr>
        <w:t>Nous ne qualifierions pas tous ces documents d</w:t>
      </w:r>
      <w:r>
        <w:rPr>
          <w:rFonts w:cs="Times New Roman"/>
          <w:lang w:val="fr-CA"/>
        </w:rPr>
        <w:t>’</w:t>
      </w:r>
      <w:r w:rsidRPr="000E14A8">
        <w:rPr>
          <w:rFonts w:cs="Times New Roman"/>
          <w:lang w:val="fr-CA"/>
        </w:rPr>
        <w:t>« états financiers vérifiés ». D</w:t>
      </w:r>
      <w:r>
        <w:rPr>
          <w:rFonts w:cs="Times New Roman"/>
          <w:lang w:val="fr-CA"/>
        </w:rPr>
        <w:t>’</w:t>
      </w:r>
      <w:r w:rsidRPr="000E14A8">
        <w:rPr>
          <w:rFonts w:cs="Times New Roman"/>
          <w:lang w:val="fr-CA"/>
        </w:rPr>
        <w:t>ailleurs, le fait de ne pas tenir compte des distinctions entre ces documents empêche une analyse adéquate de l</w:t>
      </w:r>
      <w:r>
        <w:rPr>
          <w:rFonts w:cs="Times New Roman"/>
          <w:lang w:val="fr-CA"/>
        </w:rPr>
        <w:t>’</w:t>
      </w:r>
      <w:r w:rsidRPr="000E14A8">
        <w:rPr>
          <w:rFonts w:cs="Times New Roman"/>
          <w:lang w:val="fr-CA"/>
        </w:rPr>
        <w:t>obligation de diligence.</w:t>
      </w:r>
    </w:p>
    <w:p w:rsidR="003A506E" w:rsidRPr="000E14A8" w:rsidRDefault="003A506E" w:rsidP="003A506E">
      <w:pPr>
        <w:pStyle w:val="ParaNoNdepar-AltN"/>
        <w:rPr>
          <w:rFonts w:cs="Times New Roman"/>
          <w:noProof/>
          <w:lang w:val="fr-CA"/>
        </w:rPr>
      </w:pPr>
      <w:r w:rsidRPr="000E14A8">
        <w:rPr>
          <w:rFonts w:cs="Times New Roman"/>
          <w:noProof/>
          <w:lang w:val="fr-CA"/>
        </w:rPr>
        <w:t>Livent fait valoir qu</w:t>
      </w:r>
      <w:r>
        <w:rPr>
          <w:rFonts w:cs="Times New Roman"/>
          <w:noProof/>
          <w:lang w:val="fr-CA"/>
        </w:rPr>
        <w:t>’</w:t>
      </w:r>
      <w:r w:rsidRPr="000E14A8">
        <w:rPr>
          <w:rFonts w:cs="Times New Roman"/>
          <w:noProof/>
          <w:lang w:val="fr-CA"/>
        </w:rPr>
        <w:t>elle s</w:t>
      </w:r>
      <w:r>
        <w:rPr>
          <w:rFonts w:cs="Times New Roman"/>
          <w:noProof/>
          <w:lang w:val="fr-CA"/>
        </w:rPr>
        <w:t>’</w:t>
      </w:r>
      <w:r w:rsidRPr="000E14A8">
        <w:rPr>
          <w:rFonts w:cs="Times New Roman"/>
          <w:noProof/>
          <w:lang w:val="fr-CA"/>
        </w:rPr>
        <w:t>est fiée à son détriment à Deloitte à chacune de ces occasions, ce qui a compromis sa capacité de surveiller ses activités. Plus précisément, Livent affirme que si Deloitte avait fait preuve de prudence dans ces déclarations, son existence n</w:t>
      </w:r>
      <w:r>
        <w:rPr>
          <w:rFonts w:cs="Times New Roman"/>
          <w:noProof/>
          <w:lang w:val="fr-CA"/>
        </w:rPr>
        <w:t>’</w:t>
      </w:r>
      <w:r w:rsidRPr="000E14A8">
        <w:rPr>
          <w:rFonts w:cs="Times New Roman"/>
          <w:noProof/>
          <w:lang w:val="fr-CA"/>
        </w:rPr>
        <w:t>aurait pas été artificiellement prolongée et elle aurait ainsi subi une perte moindre (établie par l</w:t>
      </w:r>
      <w:r>
        <w:rPr>
          <w:rFonts w:cs="Times New Roman"/>
          <w:noProof/>
          <w:lang w:val="fr-CA"/>
        </w:rPr>
        <w:t>’</w:t>
      </w:r>
      <w:r w:rsidRPr="000E14A8">
        <w:rPr>
          <w:rFonts w:cs="Times New Roman"/>
          <w:noProof/>
          <w:lang w:val="fr-CA"/>
        </w:rPr>
        <w:t>augmentation du déficit entre son actif et son passif au moment de sa liquidation) : motifs de première instance, par. 23</w:t>
      </w:r>
      <w:r w:rsidRPr="000E14A8">
        <w:rPr>
          <w:rFonts w:cs="Times New Roman"/>
          <w:noProof/>
          <w:lang w:val="fr-CA"/>
        </w:rPr>
        <w:noBreakHyphen/>
        <w:t>25, citant la déclaration modifiée de Livent, par. 210 et 212. Un compte rendu détaillé des événements ayant mené à ces deux déclarations s</w:t>
      </w:r>
      <w:r>
        <w:rPr>
          <w:rFonts w:cs="Times New Roman"/>
          <w:noProof/>
          <w:lang w:val="fr-CA"/>
        </w:rPr>
        <w:t>’</w:t>
      </w:r>
      <w:r w:rsidRPr="000E14A8">
        <w:rPr>
          <w:rFonts w:cs="Times New Roman"/>
          <w:noProof/>
          <w:lang w:val="fr-CA"/>
        </w:rPr>
        <w:t>avère donc essentiel en l</w:t>
      </w:r>
      <w:r>
        <w:rPr>
          <w:rFonts w:cs="Times New Roman"/>
          <w:noProof/>
          <w:lang w:val="fr-CA"/>
        </w:rPr>
        <w:t>’</w:t>
      </w:r>
      <w:r w:rsidRPr="000E14A8">
        <w:rPr>
          <w:rFonts w:cs="Times New Roman"/>
          <w:noProof/>
          <w:lang w:val="fr-CA"/>
        </w:rPr>
        <w:t>espèce pour l</w:t>
      </w:r>
      <w:r>
        <w:rPr>
          <w:rFonts w:cs="Times New Roman"/>
          <w:noProof/>
          <w:lang w:val="fr-CA"/>
        </w:rPr>
        <w:t>’</w:t>
      </w:r>
      <w:r w:rsidRPr="000E14A8">
        <w:rPr>
          <w:rFonts w:cs="Times New Roman"/>
          <w:noProof/>
          <w:lang w:val="fr-CA"/>
        </w:rPr>
        <w:t>analyse en matière de négligence.</w:t>
      </w:r>
    </w:p>
    <w:p w:rsidR="003A506E" w:rsidRPr="000E14A8" w:rsidRDefault="003A506E" w:rsidP="003A506E">
      <w:pPr>
        <w:pStyle w:val="Title2LevelTitre2Niveau"/>
        <w:numPr>
          <w:ilvl w:val="1"/>
          <w:numId w:val="12"/>
        </w:numPr>
        <w:rPr>
          <w:rFonts w:cs="Times New Roman"/>
          <w:noProof/>
          <w:lang w:val="fr-CA"/>
        </w:rPr>
      </w:pPr>
      <w:r w:rsidRPr="000E14A8">
        <w:rPr>
          <w:rFonts w:cs="Times New Roman"/>
          <w:noProof/>
          <w:lang w:val="fr-CA"/>
        </w:rPr>
        <w:t>Conclusion principale de négligence : le communiqué de presse et la lettre de confort (août à octobre 1997)</w:t>
      </w:r>
    </w:p>
    <w:p w:rsidR="003A506E" w:rsidRPr="000E14A8" w:rsidRDefault="003A506E" w:rsidP="003A506E">
      <w:pPr>
        <w:pStyle w:val="ParaNoNdepar-AltN"/>
        <w:rPr>
          <w:rFonts w:cs="Times New Roman"/>
          <w:noProof/>
          <w:lang w:val="fr-CA"/>
        </w:rPr>
      </w:pPr>
      <w:r w:rsidRPr="000E14A8">
        <w:rPr>
          <w:rFonts w:cs="Times New Roman"/>
          <w:noProof/>
          <w:lang w:val="fr-CA"/>
        </w:rPr>
        <w:t>Sur le plan chronologique, le communiqué de presse et la lettre de confort sont les premières déclarations qui, selon le juge de première instance, étaient entachées de négligence causant un préjudice indemnisable.</w:t>
      </w:r>
    </w:p>
    <w:p w:rsidR="003A506E" w:rsidRPr="000E14A8" w:rsidRDefault="003A506E" w:rsidP="003A506E">
      <w:pPr>
        <w:pStyle w:val="ParaNoNdepar-AltN"/>
        <w:rPr>
          <w:rFonts w:cs="Times New Roman"/>
          <w:noProof/>
          <w:lang w:val="fr-CA"/>
        </w:rPr>
      </w:pPr>
      <w:r w:rsidRPr="000E14A8">
        <w:rPr>
          <w:rFonts w:cs="Times New Roman"/>
          <w:noProof/>
          <w:lang w:val="fr-CA"/>
        </w:rPr>
        <w:t>La lettre de confort se rapporte à un accord visant l</w:t>
      </w:r>
      <w:r>
        <w:rPr>
          <w:rFonts w:cs="Times New Roman"/>
          <w:noProof/>
          <w:lang w:val="fr-CA"/>
        </w:rPr>
        <w:t>’</w:t>
      </w:r>
      <w:r w:rsidRPr="000E14A8">
        <w:rPr>
          <w:rFonts w:cs="Times New Roman"/>
          <w:noProof/>
          <w:lang w:val="fr-CA"/>
        </w:rPr>
        <w:t>acquisition, par Dundee Realty Corp., des droits relatifs à la propriété de l</w:t>
      </w:r>
      <w:r>
        <w:rPr>
          <w:rFonts w:cs="Times New Roman"/>
          <w:noProof/>
          <w:lang w:val="fr-CA"/>
        </w:rPr>
        <w:t>’</w:t>
      </w:r>
      <w:r w:rsidRPr="000E14A8">
        <w:rPr>
          <w:rFonts w:cs="Times New Roman"/>
          <w:noProof/>
          <w:lang w:val="fr-CA"/>
        </w:rPr>
        <w:t>espace se trouvant au</w:t>
      </w:r>
      <w:r w:rsidRPr="000E14A8">
        <w:rPr>
          <w:rFonts w:cs="Times New Roman"/>
          <w:noProof/>
          <w:lang w:val="fr-CA"/>
        </w:rPr>
        <w:noBreakHyphen/>
        <w:t xml:space="preserve">dessus du Pantages Theatre et des terrains adjacents appartenant à Livent (« accord sur les droits </w:t>
      </w:r>
      <w:r w:rsidRPr="000E14A8">
        <w:rPr>
          <w:rFonts w:cs="Times New Roman"/>
          <w:noProof/>
          <w:lang w:val="fr-CA"/>
        </w:rPr>
        <w:lastRenderedPageBreak/>
        <w:t>relatifs à la propriété du dessus »). Deloitte a vérifié les documents comptables et les rapports relatifs à cette acquisition et y a découvert des irrégularités dans la comptabilisation des profits déclarés. Ultimement, Livent et Deloitte ne se sont pas entendues au sujet de ces irrégularités, de sorte que Deloitte a dû choisir entre donner sa démission (et signaler ces irrégularités aux autorités de réglementation et au vérificateur suivant), ou rester en poste (et accepter ainsi l</w:t>
      </w:r>
      <w:r>
        <w:rPr>
          <w:rFonts w:cs="Times New Roman"/>
          <w:noProof/>
          <w:lang w:val="fr-CA"/>
        </w:rPr>
        <w:t>’</w:t>
      </w:r>
      <w:r w:rsidRPr="000E14A8">
        <w:rPr>
          <w:rFonts w:cs="Times New Roman"/>
          <w:noProof/>
          <w:lang w:val="fr-CA"/>
        </w:rPr>
        <w:t>avis de Livent sur la manière de signaler les irrégularités en question). Deloitte a, par négligence, choisi la deuxième avenue. Elle n</w:t>
      </w:r>
      <w:r>
        <w:rPr>
          <w:rFonts w:cs="Times New Roman"/>
          <w:noProof/>
          <w:lang w:val="fr-CA"/>
        </w:rPr>
        <w:t>’</w:t>
      </w:r>
      <w:r w:rsidRPr="000E14A8">
        <w:rPr>
          <w:rFonts w:cs="Times New Roman"/>
          <w:noProof/>
          <w:lang w:val="fr-CA"/>
        </w:rPr>
        <w:t>a pas donné sa démission ni informé qui que ce soit des irrégularités qu</w:t>
      </w:r>
      <w:r>
        <w:rPr>
          <w:rFonts w:cs="Times New Roman"/>
          <w:noProof/>
          <w:lang w:val="fr-CA"/>
        </w:rPr>
        <w:t>’</w:t>
      </w:r>
      <w:r w:rsidRPr="000E14A8">
        <w:rPr>
          <w:rFonts w:cs="Times New Roman"/>
          <w:noProof/>
          <w:lang w:val="fr-CA"/>
        </w:rPr>
        <w:t>elle avait découvertes. Elle a plutôt aidé à préparer, et elle a approuvé, le communiqué de presse du 2 septembre 1997 qui présentait de façon inexacte la comptabilisation des profits découlant de l</w:t>
      </w:r>
      <w:r>
        <w:rPr>
          <w:rFonts w:cs="Times New Roman"/>
          <w:noProof/>
          <w:lang w:val="fr-CA"/>
        </w:rPr>
        <w:t>’</w:t>
      </w:r>
      <w:r w:rsidRPr="000E14A8">
        <w:rPr>
          <w:rFonts w:cs="Times New Roman"/>
          <w:noProof/>
          <w:lang w:val="fr-CA"/>
        </w:rPr>
        <w:t>accord sur les droits relatifs à la propriété du dessus.</w:t>
      </w:r>
    </w:p>
    <w:p w:rsidR="003A506E" w:rsidRPr="000E14A8" w:rsidRDefault="003A506E" w:rsidP="003A506E">
      <w:pPr>
        <w:pStyle w:val="ParaNoNdepar-AltN"/>
        <w:rPr>
          <w:rFonts w:cs="Times New Roman"/>
          <w:noProof/>
          <w:lang w:val="fr-CA"/>
        </w:rPr>
      </w:pPr>
      <w:r w:rsidRPr="000E14A8">
        <w:rPr>
          <w:rFonts w:cs="Times New Roman"/>
          <w:noProof/>
          <w:lang w:val="fr-CA"/>
        </w:rPr>
        <w:t xml:space="preserve">En outre, le communiqué de presse a été publié </w:t>
      </w:r>
      <w:r w:rsidRPr="000E14A8">
        <w:rPr>
          <w:rFonts w:cs="Times New Roman"/>
          <w:smallCaps/>
          <w:noProof/>
          <w:lang w:val="fr-CA"/>
        </w:rPr>
        <w:t>[traduction]</w:t>
      </w:r>
      <w:r w:rsidRPr="000E14A8">
        <w:rPr>
          <w:rFonts w:cs="Times New Roman"/>
          <w:noProof/>
          <w:lang w:val="fr-CA"/>
        </w:rPr>
        <w:t xml:space="preserve"> « la veille d</w:t>
      </w:r>
      <w:r>
        <w:rPr>
          <w:rFonts w:cs="Times New Roman"/>
          <w:noProof/>
          <w:lang w:val="fr-CA"/>
        </w:rPr>
        <w:t>’</w:t>
      </w:r>
      <w:r w:rsidRPr="000E14A8">
        <w:rPr>
          <w:rFonts w:cs="Times New Roman"/>
          <w:noProof/>
          <w:lang w:val="fr-CA"/>
        </w:rPr>
        <w:t>un appel public à l</w:t>
      </w:r>
      <w:r>
        <w:rPr>
          <w:rFonts w:cs="Times New Roman"/>
          <w:noProof/>
          <w:lang w:val="fr-CA"/>
        </w:rPr>
        <w:t>’</w:t>
      </w:r>
      <w:r w:rsidRPr="000E14A8">
        <w:rPr>
          <w:rFonts w:cs="Times New Roman"/>
          <w:noProof/>
          <w:lang w:val="fr-CA"/>
        </w:rPr>
        <w:t>épargne pour lequel [Deloitte] aurait à fournir une lettre de confort » (motifs de première instance, par. 193). En conséquence, Deloitte — encore par négligence — a fourni la lettre de confort le 10 octobre 1997 à l</w:t>
      </w:r>
      <w:r>
        <w:rPr>
          <w:rFonts w:cs="Times New Roman"/>
          <w:noProof/>
          <w:lang w:val="fr-CA"/>
        </w:rPr>
        <w:t>’</w:t>
      </w:r>
      <w:r w:rsidRPr="000E14A8">
        <w:rPr>
          <w:rFonts w:cs="Times New Roman"/>
          <w:noProof/>
          <w:lang w:val="fr-CA"/>
        </w:rPr>
        <w:t>appui d</w:t>
      </w:r>
      <w:r>
        <w:rPr>
          <w:rFonts w:cs="Times New Roman"/>
          <w:noProof/>
          <w:lang w:val="fr-CA"/>
        </w:rPr>
        <w:t>’</w:t>
      </w:r>
      <w:r w:rsidRPr="000E14A8">
        <w:rPr>
          <w:rFonts w:cs="Times New Roman"/>
          <w:noProof/>
          <w:lang w:val="fr-CA"/>
        </w:rPr>
        <w:t>une souscription de débentures s</w:t>
      </w:r>
      <w:r>
        <w:rPr>
          <w:rFonts w:cs="Times New Roman"/>
          <w:noProof/>
          <w:lang w:val="fr-CA"/>
        </w:rPr>
        <w:t>’</w:t>
      </w:r>
      <w:r w:rsidRPr="000E14A8">
        <w:rPr>
          <w:rFonts w:cs="Times New Roman"/>
          <w:noProof/>
          <w:lang w:val="fr-CA"/>
        </w:rPr>
        <w:t>élevant à 125 millions de dollars U.S. L</w:t>
      </w:r>
      <w:r>
        <w:rPr>
          <w:rFonts w:cs="Times New Roman"/>
          <w:noProof/>
          <w:lang w:val="fr-CA"/>
        </w:rPr>
        <w:t>’</w:t>
      </w:r>
      <w:r w:rsidRPr="000E14A8">
        <w:rPr>
          <w:rFonts w:cs="Times New Roman"/>
          <w:noProof/>
          <w:lang w:val="fr-CA"/>
        </w:rPr>
        <w:t>objet du communiqué de presse et de la lettre de confort est crucial. Il ne s</w:t>
      </w:r>
      <w:r>
        <w:rPr>
          <w:rFonts w:cs="Times New Roman"/>
          <w:noProof/>
          <w:lang w:val="fr-CA"/>
        </w:rPr>
        <w:t>’</w:t>
      </w:r>
      <w:r w:rsidRPr="000E14A8">
        <w:rPr>
          <w:rFonts w:cs="Times New Roman"/>
          <w:noProof/>
          <w:lang w:val="fr-CA"/>
        </w:rPr>
        <w:t>agissait pas d</w:t>
      </w:r>
      <w:r>
        <w:rPr>
          <w:rFonts w:cs="Times New Roman"/>
          <w:noProof/>
          <w:lang w:val="fr-CA"/>
        </w:rPr>
        <w:t>’</w:t>
      </w:r>
      <w:r w:rsidRPr="000E14A8">
        <w:rPr>
          <w:rFonts w:cs="Times New Roman"/>
          <w:noProof/>
          <w:lang w:val="fr-CA"/>
        </w:rPr>
        <w:t xml:space="preserve">informer </w:t>
      </w:r>
      <w:r w:rsidRPr="000E14A8">
        <w:rPr>
          <w:rFonts w:cs="Times New Roman"/>
          <w:i/>
          <w:noProof/>
          <w:lang w:val="fr-CA"/>
        </w:rPr>
        <w:t xml:space="preserve">Livent </w:t>
      </w:r>
      <w:r w:rsidRPr="000E14A8">
        <w:rPr>
          <w:rFonts w:cs="Times New Roman"/>
          <w:noProof/>
          <w:lang w:val="fr-CA"/>
        </w:rPr>
        <w:t>de sa propre situation financière, mais plutôt d</w:t>
      </w:r>
      <w:r>
        <w:rPr>
          <w:rFonts w:cs="Times New Roman"/>
          <w:noProof/>
          <w:lang w:val="fr-CA"/>
        </w:rPr>
        <w:t>’</w:t>
      </w:r>
      <w:r w:rsidRPr="000E14A8">
        <w:rPr>
          <w:rFonts w:cs="Times New Roman"/>
          <w:noProof/>
          <w:lang w:val="fr-CA"/>
        </w:rPr>
        <w:t xml:space="preserve">informer les </w:t>
      </w:r>
      <w:r w:rsidRPr="000E14A8">
        <w:rPr>
          <w:rFonts w:cs="Times New Roman"/>
          <w:i/>
          <w:noProof/>
          <w:lang w:val="fr-CA"/>
        </w:rPr>
        <w:t xml:space="preserve">investisseurs </w:t>
      </w:r>
      <w:r w:rsidRPr="000E14A8">
        <w:rPr>
          <w:rFonts w:cs="Times New Roman"/>
          <w:noProof/>
          <w:lang w:val="fr-CA"/>
        </w:rPr>
        <w:t>de la situation financière de Livent, en les « rassurant » au sujet de leur investissement (même si l</w:t>
      </w:r>
      <w:r>
        <w:rPr>
          <w:rFonts w:cs="Times New Roman"/>
          <w:noProof/>
          <w:lang w:val="fr-CA"/>
        </w:rPr>
        <w:t>’</w:t>
      </w:r>
      <w:r w:rsidRPr="000E14A8">
        <w:rPr>
          <w:rFonts w:cs="Times New Roman"/>
          <w:noProof/>
          <w:lang w:val="fr-CA"/>
        </w:rPr>
        <w:t>un des associés principaux de Deloitte a reconnu expressément que Deloitte n</w:t>
      </w:r>
      <w:r>
        <w:rPr>
          <w:rFonts w:cs="Times New Roman"/>
          <w:noProof/>
          <w:lang w:val="fr-CA"/>
        </w:rPr>
        <w:t>’</w:t>
      </w:r>
      <w:r w:rsidRPr="000E14A8">
        <w:rPr>
          <w:rFonts w:cs="Times New Roman"/>
          <w:noProof/>
          <w:lang w:val="fr-CA"/>
        </w:rPr>
        <w:t xml:space="preserve">était « pas en mesure de </w:t>
      </w:r>
      <w:r w:rsidRPr="000E14A8">
        <w:rPr>
          <w:rFonts w:cs="Times New Roman"/>
          <w:noProof/>
          <w:u w:val="single"/>
          <w:lang w:val="fr-CA"/>
        </w:rPr>
        <w:t>rassurer</w:t>
      </w:r>
      <w:r w:rsidR="002A3915" w:rsidRPr="002A3915">
        <w:rPr>
          <w:rFonts w:cs="Times New Roman"/>
          <w:noProof/>
          <w:lang w:val="fr-CA"/>
        </w:rPr>
        <w:t xml:space="preserve"> </w:t>
      </w:r>
      <w:r w:rsidRPr="000E14A8">
        <w:rPr>
          <w:rFonts w:cs="Times New Roman"/>
          <w:noProof/>
          <w:lang w:val="fr-CA"/>
        </w:rPr>
        <w:t>les autorités de réglementation, les investisseurs ou les membres du comité de vérification</w:t>
      </w:r>
      <w:r w:rsidRPr="000E14A8">
        <w:rPr>
          <w:rFonts w:cs="Times New Roman"/>
          <w:i/>
          <w:noProof/>
          <w:lang w:val="fr-CA"/>
        </w:rPr>
        <w:t xml:space="preserve"> </w:t>
      </w:r>
      <w:r w:rsidRPr="000E14A8">
        <w:rPr>
          <w:rFonts w:cs="Times New Roman"/>
          <w:noProof/>
          <w:lang w:val="fr-CA"/>
        </w:rPr>
        <w:t xml:space="preserve">quant à la conformité des états financiers intermédiaires aux principes comptables généralement </w:t>
      </w:r>
      <w:r w:rsidRPr="000E14A8">
        <w:rPr>
          <w:rFonts w:cs="Times New Roman"/>
          <w:noProof/>
          <w:lang w:val="fr-CA"/>
        </w:rPr>
        <w:lastRenderedPageBreak/>
        <w:t>reconnus ») (motifs de première instance, par. 178 (</w:t>
      </w:r>
      <w:r w:rsidR="002A3915">
        <w:rPr>
          <w:rFonts w:cs="Times New Roman"/>
          <w:noProof/>
          <w:lang w:val="fr-CA"/>
        </w:rPr>
        <w:t>nous soulignons</w:t>
      </w:r>
      <w:r w:rsidRPr="000E14A8">
        <w:rPr>
          <w:rFonts w:cs="Times New Roman"/>
          <w:noProof/>
          <w:lang w:val="fr-CA"/>
        </w:rPr>
        <w:t>; soulignement dans l</w:t>
      </w:r>
      <w:r>
        <w:rPr>
          <w:rFonts w:cs="Times New Roman"/>
          <w:noProof/>
          <w:lang w:val="fr-CA"/>
        </w:rPr>
        <w:t>’</w:t>
      </w:r>
      <w:r w:rsidRPr="000E14A8">
        <w:rPr>
          <w:rFonts w:cs="Times New Roman"/>
          <w:noProof/>
          <w:lang w:val="fr-CA"/>
        </w:rPr>
        <w:t>original omis</w:t>
      </w:r>
      <w:r>
        <w:rPr>
          <w:rFonts w:cs="Times New Roman"/>
          <w:noProof/>
          <w:lang w:val="fr-CA"/>
        </w:rPr>
        <w:t>)</w:t>
      </w:r>
      <w:r w:rsidRPr="000E14A8">
        <w:rPr>
          <w:rFonts w:cs="Times New Roman"/>
          <w:noProof/>
          <w:lang w:val="fr-CA"/>
        </w:rPr>
        <w:t>). Abandonnant son « scepticisme professionnel, voire les normes de vérification généralement reconnues » (par. 209), Deloitte a donné son approbation au communiqué de presse et à la lettre de confort — et ce, apparemment dans le but de conserver sa relation fructueuse avec Livent.</w:t>
      </w:r>
    </w:p>
    <w:p w:rsidR="003A506E" w:rsidRPr="000E14A8" w:rsidRDefault="003A506E" w:rsidP="003A506E">
      <w:pPr>
        <w:pStyle w:val="ParaNoNdepar-AltN"/>
        <w:rPr>
          <w:rFonts w:cs="Times New Roman"/>
          <w:noProof/>
          <w:lang w:val="fr-CA"/>
        </w:rPr>
      </w:pPr>
      <w:r w:rsidRPr="000E14A8">
        <w:rPr>
          <w:rFonts w:cs="Times New Roman"/>
          <w:noProof/>
          <w:lang w:val="fr-CA"/>
        </w:rPr>
        <w:t>Compte tenu de ce qui précède, le juge de première instance a évalué le préjudice subi par Livent à compter du 31 août 1997, soit la « date d</w:t>
      </w:r>
      <w:r>
        <w:rPr>
          <w:rFonts w:cs="Times New Roman"/>
          <w:noProof/>
          <w:lang w:val="fr-CA"/>
        </w:rPr>
        <w:t>’</w:t>
      </w:r>
      <w:r w:rsidRPr="000E14A8">
        <w:rPr>
          <w:rFonts w:cs="Times New Roman"/>
          <w:noProof/>
          <w:lang w:val="fr-CA"/>
        </w:rPr>
        <w:t>évaluation » ou la date à laquelle Deloitte aurait démissionné si elle avait agi de façon raisonnable. Toutefois, le juge de première instance a aussi réduit de 25 pour </w:t>
      </w:r>
      <w:r w:rsidR="002A3915">
        <w:rPr>
          <w:rFonts w:cs="Times New Roman"/>
          <w:noProof/>
          <w:lang w:val="fr-CA"/>
        </w:rPr>
        <w:t>100</w:t>
      </w:r>
      <w:r w:rsidRPr="000E14A8">
        <w:rPr>
          <w:rFonts w:cs="Times New Roman"/>
          <w:noProof/>
          <w:lang w:val="fr-CA"/>
        </w:rPr>
        <w:t xml:space="preserve"> les dommages subis par Livent, pour les « éventualités » censées représenter la somme que Livent aurait perdue même sans la négligence de Deloitte.</w:t>
      </w:r>
    </w:p>
    <w:p w:rsidR="003A506E" w:rsidRPr="000E14A8" w:rsidRDefault="003A506E" w:rsidP="003A506E">
      <w:pPr>
        <w:pStyle w:val="ParaNoNdepar-AltN"/>
        <w:rPr>
          <w:rFonts w:cs="Times New Roman"/>
          <w:noProof/>
          <w:lang w:val="fr-CA"/>
        </w:rPr>
      </w:pPr>
      <w:r w:rsidRPr="000E14A8">
        <w:rPr>
          <w:rFonts w:cs="Times New Roman"/>
          <w:noProof/>
          <w:lang w:val="fr-CA"/>
        </w:rPr>
        <w:t>Deloitte se pourvoit à l</w:t>
      </w:r>
      <w:r>
        <w:rPr>
          <w:rFonts w:cs="Times New Roman"/>
          <w:noProof/>
          <w:lang w:val="fr-CA"/>
        </w:rPr>
        <w:t>’</w:t>
      </w:r>
      <w:r w:rsidRPr="000E14A8">
        <w:rPr>
          <w:rFonts w:cs="Times New Roman"/>
          <w:noProof/>
          <w:lang w:val="fr-CA"/>
        </w:rPr>
        <w:t>encontre de l</w:t>
      </w:r>
      <w:r>
        <w:rPr>
          <w:rFonts w:cs="Times New Roman"/>
          <w:noProof/>
          <w:lang w:val="fr-CA"/>
        </w:rPr>
        <w:t>’</w:t>
      </w:r>
      <w:r w:rsidRPr="000E14A8">
        <w:rPr>
          <w:rFonts w:cs="Times New Roman"/>
          <w:noProof/>
          <w:lang w:val="fr-CA"/>
        </w:rPr>
        <w:t>indemnité accordée par le juge de première instance, laquelle correspond au préjudice évalué (75 pour </w:t>
      </w:r>
      <w:r w:rsidR="002A3915">
        <w:rPr>
          <w:rFonts w:cs="Times New Roman"/>
          <w:noProof/>
          <w:lang w:val="fr-CA"/>
        </w:rPr>
        <w:t>100</w:t>
      </w:r>
      <w:r w:rsidRPr="000E14A8">
        <w:rPr>
          <w:rFonts w:cs="Times New Roman"/>
          <w:noProof/>
          <w:lang w:val="fr-CA"/>
        </w:rPr>
        <w:t xml:space="preserve"> du préjudice total) qui, selon le juge, serait survenu après la date à laquelle Deloitte aurait dû démissionner.</w:t>
      </w:r>
    </w:p>
    <w:p w:rsidR="003A506E" w:rsidRPr="000E14A8" w:rsidRDefault="003A506E" w:rsidP="003A506E">
      <w:pPr>
        <w:pStyle w:val="Title2LevelTitre2Niveau"/>
        <w:numPr>
          <w:ilvl w:val="1"/>
          <w:numId w:val="12"/>
        </w:numPr>
        <w:rPr>
          <w:rFonts w:cs="Times New Roman"/>
          <w:noProof/>
          <w:lang w:val="fr-CA"/>
        </w:rPr>
      </w:pPr>
      <w:r w:rsidRPr="000E14A8">
        <w:rPr>
          <w:rFonts w:cs="Times New Roman"/>
          <w:noProof/>
          <w:lang w:val="fr-CA"/>
        </w:rPr>
        <w:t>Conclusion subsidiaire de négligence : le rapport de 1997 (avril 1998)</w:t>
      </w:r>
    </w:p>
    <w:p w:rsidR="003A506E" w:rsidRPr="000E14A8" w:rsidRDefault="003A506E" w:rsidP="003A506E">
      <w:pPr>
        <w:pStyle w:val="ParaNoNdepar-AltN"/>
        <w:rPr>
          <w:rFonts w:cs="Times New Roman"/>
          <w:noProof/>
          <w:lang w:val="fr-CA"/>
        </w:rPr>
      </w:pPr>
      <w:r w:rsidRPr="000E14A8">
        <w:rPr>
          <w:rFonts w:cs="Times New Roman"/>
          <w:noProof/>
          <w:lang w:val="fr-CA"/>
        </w:rPr>
        <w:t>Le juge de première instance a estimé à titre subsidiaire que, si Deloitte s</w:t>
      </w:r>
      <w:r>
        <w:rPr>
          <w:rFonts w:cs="Times New Roman"/>
          <w:noProof/>
          <w:lang w:val="fr-CA"/>
        </w:rPr>
        <w:t>’</w:t>
      </w:r>
      <w:r w:rsidRPr="000E14A8">
        <w:rPr>
          <w:rFonts w:cs="Times New Roman"/>
          <w:noProof/>
          <w:lang w:val="fr-CA"/>
        </w:rPr>
        <w:t>est raisonnablement abstenue de démissionner en août ou en septembre 1997, elle a fait preuve de négligence en préparant le rapport de 1997, qu</w:t>
      </w:r>
      <w:r>
        <w:rPr>
          <w:rFonts w:cs="Times New Roman"/>
          <w:noProof/>
          <w:lang w:val="fr-CA"/>
        </w:rPr>
        <w:t>’</w:t>
      </w:r>
      <w:r w:rsidRPr="000E14A8">
        <w:rPr>
          <w:rFonts w:cs="Times New Roman"/>
          <w:noProof/>
          <w:lang w:val="fr-CA"/>
        </w:rPr>
        <w:t xml:space="preserve">elle a finalisé en avril 1998. Cette vérification, qui manquait </w:t>
      </w:r>
      <w:r w:rsidRPr="000E14A8">
        <w:rPr>
          <w:rFonts w:cs="Times New Roman"/>
          <w:smallCaps/>
          <w:noProof/>
          <w:lang w:val="fr-CA"/>
        </w:rPr>
        <w:t>[traduction]</w:t>
      </w:r>
      <w:r w:rsidRPr="000E14A8">
        <w:rPr>
          <w:rFonts w:cs="Times New Roman"/>
          <w:noProof/>
          <w:lang w:val="fr-CA"/>
        </w:rPr>
        <w:t xml:space="preserve"> d</w:t>
      </w:r>
      <w:r>
        <w:rPr>
          <w:rFonts w:cs="Times New Roman"/>
          <w:noProof/>
          <w:lang w:val="fr-CA"/>
        </w:rPr>
        <w:t>’</w:t>
      </w:r>
      <w:r w:rsidRPr="000E14A8">
        <w:rPr>
          <w:rFonts w:cs="Times New Roman"/>
          <w:noProof/>
          <w:lang w:val="fr-CA"/>
        </w:rPr>
        <w:t>« indépendance d</w:t>
      </w:r>
      <w:r>
        <w:rPr>
          <w:rFonts w:cs="Times New Roman"/>
          <w:noProof/>
          <w:lang w:val="fr-CA"/>
        </w:rPr>
        <w:t>’</w:t>
      </w:r>
      <w:r w:rsidRPr="000E14A8">
        <w:rPr>
          <w:rFonts w:cs="Times New Roman"/>
          <w:noProof/>
          <w:lang w:val="fr-CA"/>
        </w:rPr>
        <w:t>esprit », reprenait pour l</w:t>
      </w:r>
      <w:r>
        <w:rPr>
          <w:rFonts w:cs="Times New Roman"/>
          <w:noProof/>
          <w:lang w:val="fr-CA"/>
        </w:rPr>
        <w:t>’</w:t>
      </w:r>
      <w:r w:rsidRPr="000E14A8">
        <w:rPr>
          <w:rFonts w:cs="Times New Roman"/>
          <w:noProof/>
          <w:lang w:val="fr-CA"/>
        </w:rPr>
        <w:t>essentiel le rapport exigé par la loi pour l</w:t>
      </w:r>
      <w:r>
        <w:rPr>
          <w:rFonts w:cs="Times New Roman"/>
          <w:noProof/>
          <w:lang w:val="fr-CA"/>
        </w:rPr>
        <w:t>’</w:t>
      </w:r>
      <w:r w:rsidRPr="000E14A8">
        <w:rPr>
          <w:rFonts w:cs="Times New Roman"/>
          <w:noProof/>
          <w:lang w:val="fr-CA"/>
        </w:rPr>
        <w:t xml:space="preserve">exercice 1996 (« rapport de 1996 »), malgré le fait que (1) Livent présentait déjà un risque excessif, étant donné ses </w:t>
      </w:r>
      <w:r w:rsidRPr="000E14A8">
        <w:rPr>
          <w:rFonts w:cs="Times New Roman"/>
          <w:smallCaps/>
          <w:noProof/>
          <w:lang w:val="fr-CA"/>
        </w:rPr>
        <w:lastRenderedPageBreak/>
        <w:t>[traduction]</w:t>
      </w:r>
      <w:r w:rsidRPr="000E14A8">
        <w:rPr>
          <w:rFonts w:cs="Times New Roman"/>
          <w:noProof/>
          <w:lang w:val="fr-CA"/>
        </w:rPr>
        <w:t xml:space="preserve"> « antécédents plus que modestes en matière de pratiques comptables agressives, voire douteuses » (motifs de première instance, par. 211); et que (2) Deloitte avait découvert, avant que la vérification ne soit terminée, que Livent l</w:t>
      </w:r>
      <w:r>
        <w:rPr>
          <w:rFonts w:cs="Times New Roman"/>
          <w:noProof/>
          <w:lang w:val="fr-CA"/>
        </w:rPr>
        <w:t>’</w:t>
      </w:r>
      <w:r w:rsidRPr="000E14A8">
        <w:rPr>
          <w:rFonts w:cs="Times New Roman"/>
          <w:noProof/>
          <w:lang w:val="fr-CA"/>
        </w:rPr>
        <w:t>avait délibérément induite en erreur quant à la nature des ententes contractuelles sur lesquelles reposait l</w:t>
      </w:r>
      <w:r>
        <w:rPr>
          <w:rFonts w:cs="Times New Roman"/>
          <w:noProof/>
          <w:lang w:val="fr-CA"/>
        </w:rPr>
        <w:t>’</w:t>
      </w:r>
      <w:r w:rsidRPr="000E14A8">
        <w:rPr>
          <w:rFonts w:cs="Times New Roman"/>
          <w:noProof/>
          <w:lang w:val="fr-CA"/>
        </w:rPr>
        <w:t>accord sur les droits relatifs à la propriété du dessus. D</w:t>
      </w:r>
      <w:r>
        <w:rPr>
          <w:rFonts w:cs="Times New Roman"/>
          <w:noProof/>
          <w:lang w:val="fr-CA"/>
        </w:rPr>
        <w:t>’</w:t>
      </w:r>
      <w:r w:rsidRPr="000E14A8">
        <w:rPr>
          <w:rFonts w:cs="Times New Roman"/>
          <w:noProof/>
          <w:lang w:val="fr-CA"/>
        </w:rPr>
        <w:t>une certaine façon, cette dernière découverte d</w:t>
      </w:r>
      <w:r>
        <w:rPr>
          <w:rFonts w:cs="Times New Roman"/>
          <w:noProof/>
          <w:lang w:val="fr-CA"/>
        </w:rPr>
        <w:t>’</w:t>
      </w:r>
      <w:r w:rsidRPr="000E14A8">
        <w:rPr>
          <w:rFonts w:cs="Times New Roman"/>
          <w:noProof/>
          <w:lang w:val="fr-CA"/>
        </w:rPr>
        <w:t>une tromperie délibérée — qui a précédé une « pagaille monstre » (par. 213) — n</w:t>
      </w:r>
      <w:r>
        <w:rPr>
          <w:rFonts w:cs="Times New Roman"/>
          <w:noProof/>
          <w:lang w:val="fr-CA"/>
        </w:rPr>
        <w:t>’</w:t>
      </w:r>
      <w:r w:rsidRPr="000E14A8">
        <w:rPr>
          <w:rFonts w:cs="Times New Roman"/>
          <w:noProof/>
          <w:lang w:val="fr-CA"/>
        </w:rPr>
        <w:t>a pas suffi à convaincre Deloitte de mettre fin à son association avec Livent, même si tous ses associés principaux appelés à témoigner ont admis que « leur scepticisme professionnel collectif aurait dû être des plus élevés » à ce moment (par. 214), et même si l</w:t>
      </w:r>
      <w:r>
        <w:rPr>
          <w:rFonts w:cs="Times New Roman"/>
          <w:noProof/>
          <w:lang w:val="fr-CA"/>
        </w:rPr>
        <w:t>’</w:t>
      </w:r>
      <w:r w:rsidRPr="000E14A8">
        <w:rPr>
          <w:rFonts w:cs="Times New Roman"/>
          <w:noProof/>
          <w:lang w:val="fr-CA"/>
        </w:rPr>
        <w:t>explication que Livent a donnée par la suite au sujet de cette tromperie « n</w:t>
      </w:r>
      <w:r>
        <w:rPr>
          <w:rFonts w:cs="Times New Roman"/>
          <w:noProof/>
          <w:lang w:val="fr-CA"/>
        </w:rPr>
        <w:t>’</w:t>
      </w:r>
      <w:r w:rsidRPr="000E14A8">
        <w:rPr>
          <w:rFonts w:cs="Times New Roman"/>
          <w:noProof/>
          <w:lang w:val="fr-CA"/>
        </w:rPr>
        <w:t>avait absolument aucun sens » (par. 234(5)). Que Deloitte se soit pliée de bon gré aux demandes manifestement frauduleuses de Livent a non seulement laissé le juge de première instance « bouche bée » (par. 238), mais défiait « toute compréhension » (par. 239).</w:t>
      </w:r>
    </w:p>
    <w:p w:rsidR="003A506E" w:rsidRPr="000E14A8" w:rsidRDefault="003A506E" w:rsidP="003A506E">
      <w:pPr>
        <w:pStyle w:val="ParaNoNdepar-AltN"/>
        <w:rPr>
          <w:rFonts w:cs="Times New Roman"/>
          <w:noProof/>
          <w:lang w:val="fr-CA"/>
        </w:rPr>
      </w:pPr>
      <w:r w:rsidRPr="000E14A8">
        <w:rPr>
          <w:rFonts w:cs="Times New Roman"/>
          <w:noProof/>
          <w:lang w:val="fr-CA"/>
        </w:rPr>
        <w:t>Compte tenu de ce qui précède, le juge de première instance a également évalué le préjudice subi par Livent à une date d</w:t>
      </w:r>
      <w:r>
        <w:rPr>
          <w:rFonts w:cs="Times New Roman"/>
          <w:noProof/>
          <w:lang w:val="fr-CA"/>
        </w:rPr>
        <w:t>’</w:t>
      </w:r>
      <w:r w:rsidRPr="000E14A8">
        <w:rPr>
          <w:rFonts w:cs="Times New Roman"/>
          <w:noProof/>
          <w:lang w:val="fr-CA"/>
        </w:rPr>
        <w:t xml:space="preserve">évaluation </w:t>
      </w:r>
      <w:r w:rsidRPr="000E14A8">
        <w:rPr>
          <w:rFonts w:cs="Times New Roman"/>
          <w:smallCaps/>
          <w:noProof/>
          <w:lang w:val="fr-CA"/>
        </w:rPr>
        <w:t>[traduction] « </w:t>
      </w:r>
      <w:r w:rsidRPr="000E14A8">
        <w:rPr>
          <w:rFonts w:cs="Times New Roman"/>
          <w:noProof/>
          <w:lang w:val="fr-CA"/>
        </w:rPr>
        <w:t xml:space="preserve">subsidiaire », à savoir le 31 mars 1998, soit la date à laquelle Deloitte aurait présenté une </w:t>
      </w:r>
      <w:r w:rsidRPr="000E14A8">
        <w:rPr>
          <w:rFonts w:cs="Times New Roman"/>
          <w:lang w:val="fr-CA"/>
        </w:rPr>
        <w:t xml:space="preserve">opinion </w:t>
      </w:r>
      <w:r w:rsidRPr="000E14A8">
        <w:rPr>
          <w:rFonts w:cs="Times New Roman"/>
          <w:noProof/>
          <w:lang w:val="fr-CA"/>
        </w:rPr>
        <w:t>prudente si elle avait agi de façon raisonnable (motifs de première instance, par. 306, note 188, et par. 369, note 228).</w:t>
      </w:r>
    </w:p>
    <w:p w:rsidR="003A506E" w:rsidRPr="000E14A8" w:rsidRDefault="003A506E" w:rsidP="003A506E">
      <w:pPr>
        <w:pStyle w:val="ParaNoNdepar-AltN"/>
        <w:rPr>
          <w:rFonts w:cs="Times New Roman"/>
          <w:noProof/>
          <w:lang w:val="fr-CA"/>
        </w:rPr>
      </w:pPr>
      <w:r w:rsidRPr="000E14A8">
        <w:rPr>
          <w:rFonts w:cs="Times New Roman"/>
          <w:noProof/>
          <w:lang w:val="fr-CA"/>
        </w:rPr>
        <w:t xml:space="preserve">Nous répétons que la </w:t>
      </w:r>
      <w:r w:rsidRPr="000E14A8">
        <w:rPr>
          <w:rFonts w:cs="Times New Roman"/>
          <w:i/>
          <w:noProof/>
          <w:lang w:val="fr-CA"/>
        </w:rPr>
        <w:t>fin</w:t>
      </w:r>
      <w:r w:rsidRPr="000E14A8">
        <w:rPr>
          <w:rFonts w:cs="Times New Roman"/>
          <w:noProof/>
          <w:lang w:val="fr-CA"/>
        </w:rPr>
        <w:t xml:space="preserve"> que visait la déclaration est d</w:t>
      </w:r>
      <w:r>
        <w:rPr>
          <w:rFonts w:cs="Times New Roman"/>
          <w:noProof/>
          <w:lang w:val="fr-CA"/>
        </w:rPr>
        <w:t>’</w:t>
      </w:r>
      <w:r w:rsidRPr="000E14A8">
        <w:rPr>
          <w:rFonts w:cs="Times New Roman"/>
          <w:noProof/>
          <w:lang w:val="fr-CA"/>
        </w:rPr>
        <w:t xml:space="preserve">une importance cruciale. Contrairement au communiqué de presse et à la lettre de confort (qui visaient à informer les </w:t>
      </w:r>
      <w:r w:rsidRPr="000E14A8">
        <w:rPr>
          <w:rFonts w:cs="Times New Roman"/>
          <w:i/>
          <w:noProof/>
          <w:lang w:val="fr-CA"/>
        </w:rPr>
        <w:t>investisseurs</w:t>
      </w:r>
      <w:r w:rsidRPr="000E14A8">
        <w:rPr>
          <w:rFonts w:cs="Times New Roman"/>
          <w:noProof/>
          <w:lang w:val="fr-CA"/>
        </w:rPr>
        <w:t xml:space="preserve"> de la situation financière de Livent), le rapport de 1997 </w:t>
      </w:r>
      <w:r w:rsidRPr="000E14A8">
        <w:rPr>
          <w:rFonts w:cs="Times New Roman"/>
          <w:noProof/>
          <w:lang w:val="fr-CA"/>
        </w:rPr>
        <w:lastRenderedPageBreak/>
        <w:t xml:space="preserve">visait à informer </w:t>
      </w:r>
      <w:r w:rsidRPr="000E14A8">
        <w:rPr>
          <w:rFonts w:cs="Times New Roman"/>
          <w:i/>
          <w:noProof/>
          <w:lang w:val="fr-CA"/>
        </w:rPr>
        <w:t>Livent</w:t>
      </w:r>
      <w:r w:rsidRPr="000E14A8">
        <w:rPr>
          <w:rFonts w:cs="Times New Roman"/>
          <w:noProof/>
          <w:lang w:val="fr-CA"/>
        </w:rPr>
        <w:t xml:space="preserve"> de sa propre situation financière, et ce, à diverses fins, la plus importante étant la surveillance </w:t>
      </w:r>
      <w:r w:rsidRPr="000E14A8">
        <w:rPr>
          <w:rFonts w:cs="Times New Roman"/>
          <w:lang w:val="fr-CA"/>
        </w:rPr>
        <w:t>de sa gestion par les</w:t>
      </w:r>
      <w:r w:rsidRPr="000E14A8">
        <w:rPr>
          <w:rFonts w:cs="Times New Roman"/>
          <w:noProof/>
          <w:lang w:val="fr-CA"/>
        </w:rPr>
        <w:t xml:space="preserve"> actionnaires.</w:t>
      </w:r>
    </w:p>
    <w:p w:rsidR="003A506E" w:rsidRPr="000E14A8" w:rsidRDefault="003A506E" w:rsidP="003A506E">
      <w:pPr>
        <w:pStyle w:val="Title1LevelTitre1Niveau-AltL"/>
        <w:rPr>
          <w:rFonts w:cs="Times New Roman"/>
          <w:noProof/>
          <w:lang w:val="fr-CA"/>
        </w:rPr>
      </w:pPr>
      <w:r w:rsidRPr="000E14A8">
        <w:rPr>
          <w:rFonts w:cs="Times New Roman"/>
          <w:noProof/>
          <w:lang w:val="fr-CA"/>
        </w:rPr>
        <w:t>Analyse</w:t>
      </w:r>
    </w:p>
    <w:p w:rsidR="003A506E" w:rsidRPr="000E14A8" w:rsidRDefault="003A506E" w:rsidP="003A506E">
      <w:pPr>
        <w:pStyle w:val="Title2LevelTitre2Niveau"/>
        <w:rPr>
          <w:rFonts w:cs="Times New Roman"/>
          <w:noProof/>
          <w:lang w:val="fr-CA"/>
        </w:rPr>
      </w:pPr>
      <w:r w:rsidRPr="000E14A8">
        <w:rPr>
          <w:rFonts w:cs="Times New Roman"/>
          <w:noProof/>
          <w:lang w:val="fr-CA"/>
        </w:rPr>
        <w:t>Obligation de diligence</w:t>
      </w:r>
    </w:p>
    <w:p w:rsidR="003A506E" w:rsidRPr="000E14A8" w:rsidRDefault="003A506E" w:rsidP="003A506E">
      <w:pPr>
        <w:pStyle w:val="ParaNoNdepar-AltN"/>
        <w:rPr>
          <w:rFonts w:cs="Times New Roman"/>
          <w:noProof/>
          <w:lang w:val="fr-CA"/>
        </w:rPr>
      </w:pPr>
      <w:r w:rsidRPr="000E14A8">
        <w:rPr>
          <w:rFonts w:cs="Times New Roman"/>
          <w:lang w:val="fr-CA"/>
        </w:rPr>
        <w:t>Traditionnellement</w:t>
      </w:r>
      <w:r w:rsidRPr="000E14A8">
        <w:rPr>
          <w:rFonts w:eastAsia="Times New Roman" w:cs="Times New Roman"/>
          <w:noProof/>
          <w:szCs w:val="24"/>
          <w:lang w:val="fr-CA"/>
        </w:rPr>
        <w:t>,</w:t>
      </w:r>
      <w:r w:rsidRPr="000E14A8">
        <w:rPr>
          <w:rFonts w:cs="Times New Roman"/>
          <w:noProof/>
          <w:lang w:val="fr-CA"/>
        </w:rPr>
        <w:t xml:space="preserve"> le critère de l</w:t>
      </w:r>
      <w:r>
        <w:rPr>
          <w:rFonts w:cs="Times New Roman"/>
          <w:noProof/>
          <w:lang w:val="fr-CA"/>
        </w:rPr>
        <w:t>’</w:t>
      </w:r>
      <w:r w:rsidRPr="000E14A8">
        <w:rPr>
          <w:rFonts w:cs="Times New Roman"/>
          <w:noProof/>
          <w:lang w:val="fr-CA"/>
        </w:rPr>
        <w:t xml:space="preserve">arrêt </w:t>
      </w:r>
      <w:r w:rsidRPr="000E14A8">
        <w:rPr>
          <w:rFonts w:cs="Times New Roman"/>
          <w:i/>
          <w:lang w:val="fr-CA"/>
        </w:rPr>
        <w:t>Anns c. London Borough of Merton</w:t>
      </w:r>
      <w:r w:rsidRPr="000E14A8">
        <w:rPr>
          <w:rFonts w:cs="Times New Roman"/>
          <w:lang w:val="fr-CA"/>
        </w:rPr>
        <w:t>, [19</w:t>
      </w:r>
      <w:r w:rsidR="00D5275F">
        <w:rPr>
          <w:rFonts w:cs="Times New Roman"/>
          <w:lang w:val="fr-CA"/>
        </w:rPr>
        <w:t>7</w:t>
      </w:r>
      <w:r w:rsidRPr="000E14A8">
        <w:rPr>
          <w:rFonts w:cs="Times New Roman"/>
          <w:lang w:val="fr-CA"/>
        </w:rPr>
        <w:t>7] 2 All E.R. 492</w:t>
      </w:r>
      <w:r w:rsidRPr="000E14A8">
        <w:rPr>
          <w:rFonts w:cs="Times New Roman"/>
          <w:noProof/>
          <w:lang w:val="fr-CA"/>
        </w:rPr>
        <w:t xml:space="preserve"> (H.L.)</w:t>
      </w:r>
      <w:r w:rsidR="00D5275F">
        <w:rPr>
          <w:rFonts w:cs="Times New Roman"/>
          <w:noProof/>
          <w:lang w:val="fr-CA"/>
        </w:rPr>
        <w:t>,</w:t>
      </w:r>
      <w:r w:rsidRPr="000E14A8">
        <w:rPr>
          <w:rFonts w:cs="Times New Roman"/>
          <w:noProof/>
          <w:lang w:val="fr-CA"/>
        </w:rPr>
        <w:t xml:space="preserve"> a régi l</w:t>
      </w:r>
      <w:r>
        <w:rPr>
          <w:rFonts w:cs="Times New Roman"/>
          <w:noProof/>
          <w:lang w:val="fr-CA"/>
        </w:rPr>
        <w:t>’</w:t>
      </w:r>
      <w:r w:rsidRPr="000E14A8">
        <w:rPr>
          <w:rFonts w:cs="Times New Roman"/>
          <w:noProof/>
          <w:lang w:val="fr-CA"/>
        </w:rPr>
        <w:t>analyse de l</w:t>
      </w:r>
      <w:r>
        <w:rPr>
          <w:rFonts w:cs="Times New Roman"/>
          <w:noProof/>
          <w:lang w:val="fr-CA"/>
        </w:rPr>
        <w:t>’</w:t>
      </w:r>
      <w:r w:rsidRPr="000E14A8">
        <w:rPr>
          <w:rFonts w:cs="Times New Roman"/>
          <w:noProof/>
          <w:lang w:val="fr-CA"/>
        </w:rPr>
        <w:t>obligation de diligence dans les décisions de notre Cour qui traitent des actions pour une perte purement économique (</w:t>
      </w:r>
      <w:r w:rsidRPr="000E14A8">
        <w:rPr>
          <w:rFonts w:eastAsiaTheme="minorHAnsi" w:cs="Times New Roman"/>
          <w:i/>
          <w:noProof/>
          <w:lang w:val="fr-CA"/>
        </w:rPr>
        <w:t>Hercules</w:t>
      </w:r>
      <w:r w:rsidRPr="000E14A8">
        <w:rPr>
          <w:rFonts w:eastAsiaTheme="minorHAnsi" w:cs="Times New Roman"/>
          <w:noProof/>
          <w:lang w:val="fr-CA"/>
        </w:rPr>
        <w:t xml:space="preserve">; </w:t>
      </w:r>
      <w:r w:rsidRPr="000E14A8">
        <w:rPr>
          <w:rFonts w:cs="Times New Roman"/>
          <w:i/>
          <w:noProof/>
          <w:lang w:val="fr-CA"/>
        </w:rPr>
        <w:t>Bow Valley Husky (Bermuda) Ltd. c. Saint John Shipbuilding Ltd.</w:t>
      </w:r>
      <w:r w:rsidRPr="000E14A8">
        <w:rPr>
          <w:rFonts w:cs="Times New Roman"/>
          <w:noProof/>
          <w:lang w:val="fr-CA"/>
        </w:rPr>
        <w:t xml:space="preserve">, [1997] 3 R.C.S. 1210; </w:t>
      </w:r>
      <w:r w:rsidRPr="000E14A8">
        <w:rPr>
          <w:rFonts w:cs="Times New Roman"/>
          <w:bCs/>
          <w:i/>
          <w:noProof/>
          <w:lang w:val="fr-CA"/>
        </w:rPr>
        <w:t xml:space="preserve">Cie des chemins de fer nationaux du Canada c. </w:t>
      </w:r>
      <w:r w:rsidRPr="000E14A8">
        <w:rPr>
          <w:rFonts w:cs="Times New Roman"/>
          <w:i/>
          <w:noProof/>
          <w:lang w:val="fr-CA"/>
        </w:rPr>
        <w:t>Norsk Pacific Steamship Co.</w:t>
      </w:r>
      <w:r w:rsidRPr="000E14A8">
        <w:rPr>
          <w:rFonts w:cs="Times New Roman"/>
          <w:noProof/>
          <w:lang w:val="fr-CA"/>
        </w:rPr>
        <w:t xml:space="preserve">, [1992] 1 R.C.S. 1021). Fait important cependant, le critère </w:t>
      </w:r>
      <w:r w:rsidRPr="000E14A8">
        <w:rPr>
          <w:rFonts w:cs="Times New Roman"/>
          <w:lang w:val="fr-CA"/>
        </w:rPr>
        <w:t xml:space="preserve">établi dans </w:t>
      </w:r>
      <w:r w:rsidRPr="000E14A8">
        <w:rPr>
          <w:rFonts w:cs="Times New Roman"/>
          <w:i/>
          <w:lang w:val="fr-CA"/>
        </w:rPr>
        <w:t>Anns</w:t>
      </w:r>
      <w:r w:rsidRPr="000E14A8">
        <w:rPr>
          <w:rFonts w:cs="Times New Roman"/>
          <w:lang w:val="fr-CA"/>
        </w:rPr>
        <w:t xml:space="preserve"> </w:t>
      </w:r>
      <w:r w:rsidRPr="000E14A8">
        <w:rPr>
          <w:rFonts w:cs="Times New Roman"/>
          <w:noProof/>
          <w:lang w:val="fr-CA"/>
        </w:rPr>
        <w:t>qui permet, au Canada, d</w:t>
      </w:r>
      <w:r>
        <w:rPr>
          <w:rFonts w:cs="Times New Roman"/>
          <w:noProof/>
          <w:lang w:val="fr-CA"/>
        </w:rPr>
        <w:t>’</w:t>
      </w:r>
      <w:r w:rsidRPr="000E14A8">
        <w:rPr>
          <w:rFonts w:cs="Times New Roman"/>
          <w:noProof/>
          <w:lang w:val="fr-CA"/>
        </w:rPr>
        <w:t xml:space="preserve">imputer une responsabilité délictuelle a été depuis précisé. Dans </w:t>
      </w:r>
      <w:r w:rsidRPr="000E14A8">
        <w:rPr>
          <w:rFonts w:cs="Times New Roman"/>
          <w:i/>
          <w:noProof/>
          <w:lang w:val="fr-CA"/>
        </w:rPr>
        <w:t>Cooper c. Hobart</w:t>
      </w:r>
      <w:r w:rsidRPr="000E14A8">
        <w:rPr>
          <w:rFonts w:cs="Times New Roman"/>
          <w:noProof/>
          <w:lang w:val="fr-CA"/>
        </w:rPr>
        <w:t>, 2001 CSC 79, [2001] 3 R.C.S. 537, notre Cour a assuré une plus grande certitude du droit de la responsabilité délictuelle en clarifiant les facteurs qu</w:t>
      </w:r>
      <w:r>
        <w:rPr>
          <w:rFonts w:cs="Times New Roman"/>
          <w:noProof/>
          <w:lang w:val="fr-CA"/>
        </w:rPr>
        <w:t>’</w:t>
      </w:r>
      <w:r w:rsidRPr="000E14A8">
        <w:rPr>
          <w:rFonts w:cs="Times New Roman"/>
          <w:noProof/>
          <w:lang w:val="fr-CA"/>
        </w:rPr>
        <w:t>il convient d</w:t>
      </w:r>
      <w:r>
        <w:rPr>
          <w:rFonts w:cs="Times New Roman"/>
          <w:noProof/>
          <w:lang w:val="fr-CA"/>
        </w:rPr>
        <w:t>’</w:t>
      </w:r>
      <w:r w:rsidRPr="000E14A8">
        <w:rPr>
          <w:rFonts w:cs="Times New Roman"/>
          <w:noProof/>
          <w:lang w:val="fr-CA"/>
        </w:rPr>
        <w:t>examiner pour chacun des volets du critère de l</w:t>
      </w:r>
      <w:r>
        <w:rPr>
          <w:rFonts w:cs="Times New Roman"/>
          <w:noProof/>
          <w:lang w:val="fr-CA"/>
        </w:rPr>
        <w:t>’</w:t>
      </w:r>
      <w:r w:rsidRPr="000E14A8">
        <w:rPr>
          <w:rFonts w:cs="Times New Roman"/>
          <w:noProof/>
          <w:lang w:val="fr-CA"/>
        </w:rPr>
        <w:t xml:space="preserve">arrêt </w:t>
      </w:r>
      <w:r w:rsidRPr="000E14A8">
        <w:rPr>
          <w:rFonts w:cs="Times New Roman"/>
          <w:i/>
          <w:noProof/>
          <w:lang w:val="fr-CA"/>
        </w:rPr>
        <w:t>Anns</w:t>
      </w:r>
      <w:r w:rsidRPr="000E14A8">
        <w:rPr>
          <w:rFonts w:cs="Times New Roman"/>
          <w:noProof/>
          <w:lang w:val="fr-CA"/>
        </w:rPr>
        <w:t>. Bien que notre Cour n</w:t>
      </w:r>
      <w:r>
        <w:rPr>
          <w:rFonts w:cs="Times New Roman"/>
          <w:noProof/>
          <w:lang w:val="fr-CA"/>
        </w:rPr>
        <w:t>’</w:t>
      </w:r>
      <w:r w:rsidRPr="000E14A8">
        <w:rPr>
          <w:rFonts w:cs="Times New Roman"/>
          <w:noProof/>
          <w:lang w:val="fr-CA"/>
        </w:rPr>
        <w:t>ait pas encore appliqué le cadre d</w:t>
      </w:r>
      <w:r>
        <w:rPr>
          <w:rFonts w:cs="Times New Roman"/>
          <w:noProof/>
          <w:lang w:val="fr-CA"/>
        </w:rPr>
        <w:t>’</w:t>
      </w:r>
      <w:r w:rsidRPr="000E14A8">
        <w:rPr>
          <w:rFonts w:cs="Times New Roman"/>
          <w:noProof/>
          <w:lang w:val="fr-CA"/>
        </w:rPr>
        <w:t xml:space="preserve">analyse issu des arrêts </w:t>
      </w:r>
      <w:r w:rsidRPr="000E14A8">
        <w:rPr>
          <w:rFonts w:cs="Times New Roman"/>
          <w:i/>
          <w:noProof/>
          <w:lang w:val="fr-CA"/>
        </w:rPr>
        <w:t xml:space="preserve">Anns </w:t>
      </w:r>
      <w:r w:rsidRPr="000E14A8">
        <w:rPr>
          <w:rFonts w:cs="Times New Roman"/>
          <w:noProof/>
          <w:lang w:val="fr-CA"/>
        </w:rPr>
        <w:t xml:space="preserve">et </w:t>
      </w:r>
      <w:r w:rsidRPr="000E14A8">
        <w:rPr>
          <w:rFonts w:cs="Times New Roman"/>
          <w:i/>
          <w:noProof/>
          <w:lang w:val="fr-CA"/>
        </w:rPr>
        <w:t xml:space="preserve">Cooper </w:t>
      </w:r>
      <w:r w:rsidRPr="000E14A8">
        <w:rPr>
          <w:rFonts w:cs="Times New Roman"/>
          <w:noProof/>
          <w:lang w:val="fr-CA"/>
        </w:rPr>
        <w:t>à une affaire de négligence d</w:t>
      </w:r>
      <w:r>
        <w:rPr>
          <w:rFonts w:cs="Times New Roman"/>
          <w:noProof/>
          <w:lang w:val="fr-CA"/>
        </w:rPr>
        <w:t>’</w:t>
      </w:r>
      <w:r w:rsidRPr="000E14A8">
        <w:rPr>
          <w:rFonts w:cs="Times New Roman"/>
          <w:noProof/>
          <w:lang w:val="fr-CA"/>
        </w:rPr>
        <w:t xml:space="preserve">un vérificateur, nous faisons nôtres ces propos formulés par le juge La Forest au nom de la Cour dans </w:t>
      </w:r>
      <w:r w:rsidRPr="000E14A8">
        <w:rPr>
          <w:rFonts w:cs="Times New Roman"/>
          <w:i/>
          <w:noProof/>
          <w:lang w:val="fr-CA"/>
        </w:rPr>
        <w:t>Hercules </w:t>
      </w:r>
      <w:r w:rsidRPr="00AF5371">
        <w:rPr>
          <w:rFonts w:cs="Times New Roman"/>
          <w:noProof/>
          <w:lang w:val="fr-CA"/>
        </w:rPr>
        <w:t>:</w:t>
      </w:r>
      <w:r w:rsidRPr="000E14A8">
        <w:rPr>
          <w:rFonts w:cs="Times New Roman"/>
          <w:noProof/>
          <w:lang w:val="fr-CA"/>
        </w:rPr>
        <w:t xml:space="preserve"> « . . . j</w:t>
      </w:r>
      <w:r>
        <w:rPr>
          <w:rFonts w:cs="Times New Roman"/>
          <w:noProof/>
          <w:lang w:val="fr-CA"/>
        </w:rPr>
        <w:t>’</w:t>
      </w:r>
      <w:r w:rsidRPr="000E14A8">
        <w:rPr>
          <w:rFonts w:cs="Times New Roman"/>
          <w:noProof/>
          <w:lang w:val="fr-CA"/>
        </w:rPr>
        <w:t>estime qu</w:t>
      </w:r>
      <w:r>
        <w:rPr>
          <w:rFonts w:cs="Times New Roman"/>
          <w:noProof/>
          <w:lang w:val="fr-CA"/>
        </w:rPr>
        <w:t>’</w:t>
      </w:r>
      <w:r w:rsidRPr="000E14A8">
        <w:rPr>
          <w:rFonts w:cs="Times New Roman"/>
          <w:noProof/>
          <w:lang w:val="fr-CA"/>
        </w:rPr>
        <w:t xml:space="preserve">il serait incorrect de créer une </w:t>
      </w:r>
      <w:r w:rsidRPr="000E14A8">
        <w:rPr>
          <w:rFonts w:cs="Times New Roman"/>
          <w:smallCaps/>
          <w:noProof/>
          <w:lang w:val="fr-CA"/>
        </w:rPr>
        <w:t xml:space="preserve">[traduction] </w:t>
      </w:r>
      <w:r w:rsidRPr="000E14A8">
        <w:rPr>
          <w:rFonts w:cs="Times New Roman"/>
          <w:lang w:val="fr-CA"/>
        </w:rPr>
        <w:t>“</w:t>
      </w:r>
      <w:r w:rsidRPr="000E14A8">
        <w:rPr>
          <w:rFonts w:cs="Times New Roman"/>
          <w:noProof/>
          <w:lang w:val="fr-CA"/>
        </w:rPr>
        <w:t>poche</w:t>
      </w:r>
      <w:r w:rsidRPr="000E14A8">
        <w:rPr>
          <w:rFonts w:cs="Times New Roman"/>
          <w:lang w:val="fr-CA"/>
        </w:rPr>
        <w:t>”</w:t>
      </w:r>
      <w:r w:rsidRPr="000E14A8">
        <w:rPr>
          <w:rFonts w:cs="Times New Roman"/>
          <w:noProof/>
          <w:lang w:val="fr-CA"/>
        </w:rPr>
        <w:t xml:space="preserve"> de cas de déclaration inexacte faite par négligence [. . .] où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une obligation de diligence serait déterminée différemment des autres cas de négligence</w:t>
      </w:r>
      <w:r w:rsidR="00D5275F">
        <w:rPr>
          <w:rFonts w:cs="Times New Roman"/>
          <w:noProof/>
          <w:lang w:val="fr-CA"/>
        </w:rPr>
        <w:t xml:space="preserve"> . . .</w:t>
      </w:r>
      <w:r w:rsidRPr="000E14A8">
        <w:rPr>
          <w:rFonts w:cs="Times New Roman"/>
          <w:noProof/>
          <w:lang w:val="fr-CA"/>
        </w:rPr>
        <w:t> » (par. 21).</w:t>
      </w:r>
    </w:p>
    <w:p w:rsidR="003A506E" w:rsidRPr="000E14A8" w:rsidRDefault="003A506E" w:rsidP="003A506E">
      <w:pPr>
        <w:pStyle w:val="ParaNoNdepar-AltN"/>
        <w:rPr>
          <w:rFonts w:cs="Times New Roman"/>
          <w:noProof/>
          <w:lang w:val="fr-CA"/>
        </w:rPr>
      </w:pPr>
      <w:r w:rsidRPr="000E14A8">
        <w:rPr>
          <w:rFonts w:cs="Times New Roman"/>
          <w:noProof/>
          <w:lang w:val="fr-CA"/>
        </w:rPr>
        <w:t>Nous passons donc à l</w:t>
      </w:r>
      <w:r>
        <w:rPr>
          <w:rFonts w:cs="Times New Roman"/>
          <w:noProof/>
          <w:lang w:val="fr-CA"/>
        </w:rPr>
        <w:t>’</w:t>
      </w:r>
      <w:r w:rsidRPr="000E14A8">
        <w:rPr>
          <w:rFonts w:cs="Times New Roman"/>
          <w:noProof/>
          <w:lang w:val="fr-CA"/>
        </w:rPr>
        <w:t>examen du critère en matière de responsabilité délictuelle, en commençant par l</w:t>
      </w:r>
      <w:r>
        <w:rPr>
          <w:rFonts w:cs="Times New Roman"/>
          <w:noProof/>
          <w:lang w:val="fr-CA"/>
        </w:rPr>
        <w:t>’</w:t>
      </w:r>
      <w:r w:rsidRPr="000E14A8">
        <w:rPr>
          <w:rFonts w:cs="Times New Roman"/>
          <w:noProof/>
          <w:lang w:val="fr-CA"/>
        </w:rPr>
        <w:t xml:space="preserve">arrêt </w:t>
      </w:r>
      <w:r w:rsidRPr="000E14A8">
        <w:rPr>
          <w:rFonts w:cs="Times New Roman"/>
          <w:i/>
          <w:noProof/>
          <w:lang w:val="fr-CA"/>
        </w:rPr>
        <w:t xml:space="preserve">Hercules </w:t>
      </w:r>
      <w:r w:rsidRPr="000E14A8">
        <w:rPr>
          <w:rFonts w:cs="Times New Roman"/>
          <w:noProof/>
          <w:lang w:val="fr-CA"/>
        </w:rPr>
        <w:t>de notre Cour, et à l</w:t>
      </w:r>
      <w:r>
        <w:rPr>
          <w:rFonts w:cs="Times New Roman"/>
          <w:noProof/>
          <w:lang w:val="fr-CA"/>
        </w:rPr>
        <w:t>’</w:t>
      </w:r>
      <w:r w:rsidRPr="000E14A8">
        <w:rPr>
          <w:rFonts w:cs="Times New Roman"/>
          <w:noProof/>
          <w:lang w:val="fr-CA"/>
        </w:rPr>
        <w:t xml:space="preserve">application </w:t>
      </w:r>
      <w:r w:rsidRPr="000E14A8">
        <w:rPr>
          <w:rFonts w:cs="Times New Roman"/>
          <w:noProof/>
          <w:lang w:val="fr-CA"/>
        </w:rPr>
        <w:lastRenderedPageBreak/>
        <w:t>correcte du cadre général d</w:t>
      </w:r>
      <w:r>
        <w:rPr>
          <w:rFonts w:cs="Times New Roman"/>
          <w:noProof/>
          <w:lang w:val="fr-CA"/>
        </w:rPr>
        <w:t>’</w:t>
      </w:r>
      <w:r w:rsidRPr="000E14A8">
        <w:rPr>
          <w:rFonts w:cs="Times New Roman"/>
          <w:noProof/>
          <w:lang w:val="fr-CA"/>
        </w:rPr>
        <w:t>analyse établi dans les arrêts</w:t>
      </w:r>
      <w:r w:rsidRPr="000E14A8">
        <w:rPr>
          <w:rFonts w:cs="Times New Roman"/>
          <w:i/>
          <w:noProof/>
          <w:lang w:val="fr-CA"/>
        </w:rPr>
        <w:t xml:space="preserve"> Anns </w:t>
      </w:r>
      <w:r w:rsidRPr="000E14A8">
        <w:rPr>
          <w:rFonts w:cs="Times New Roman"/>
          <w:noProof/>
          <w:lang w:val="fr-CA"/>
        </w:rPr>
        <w:t>et</w:t>
      </w:r>
      <w:r w:rsidRPr="000E14A8">
        <w:rPr>
          <w:rFonts w:cs="Times New Roman"/>
          <w:i/>
          <w:noProof/>
          <w:lang w:val="fr-CA"/>
        </w:rPr>
        <w:t xml:space="preserve"> Cooper</w:t>
      </w:r>
      <w:r w:rsidRPr="000E14A8">
        <w:rPr>
          <w:rFonts w:cs="Times New Roman"/>
          <w:noProof/>
          <w:lang w:val="fr-CA"/>
        </w:rPr>
        <w:t xml:space="preserve"> aux cas de responsabilité des vérificateurs.</w:t>
      </w:r>
    </w:p>
    <w:p w:rsidR="003A506E" w:rsidRPr="000E14A8" w:rsidRDefault="003A506E" w:rsidP="003A506E">
      <w:pPr>
        <w:pStyle w:val="Title3LevelTitre3Niveau"/>
        <w:rPr>
          <w:rFonts w:cs="Times New Roman"/>
          <w:noProof/>
          <w:lang w:val="fr-CA"/>
        </w:rPr>
      </w:pPr>
      <w:r w:rsidRPr="000E14A8">
        <w:rPr>
          <w:rFonts w:cs="Times New Roman"/>
          <w:noProof/>
          <w:lang w:val="fr-CA"/>
        </w:rPr>
        <w:t>L</w:t>
      </w:r>
      <w:r>
        <w:rPr>
          <w:rFonts w:cs="Times New Roman"/>
          <w:noProof/>
          <w:lang w:val="fr-CA"/>
        </w:rPr>
        <w:t>’</w:t>
      </w:r>
      <w:r w:rsidRPr="000E14A8">
        <w:rPr>
          <w:rFonts w:cs="Times New Roman"/>
          <w:noProof/>
          <w:lang w:val="fr-CA"/>
        </w:rPr>
        <w:t xml:space="preserve">arrêt </w:t>
      </w:r>
      <w:r w:rsidRPr="000E14A8">
        <w:rPr>
          <w:rFonts w:cs="Times New Roman"/>
          <w:i/>
          <w:noProof/>
          <w:lang w:val="fr-CA"/>
        </w:rPr>
        <w:t>Hercules</w:t>
      </w:r>
      <w:r w:rsidRPr="000E14A8">
        <w:rPr>
          <w:rFonts w:cs="Times New Roman"/>
          <w:noProof/>
          <w:lang w:val="fr-CA"/>
        </w:rPr>
        <w:t> :</w:t>
      </w:r>
      <w:r w:rsidRPr="000E14A8">
        <w:rPr>
          <w:rFonts w:cs="Times New Roman"/>
          <w:i/>
          <w:noProof/>
          <w:lang w:val="fr-CA"/>
        </w:rPr>
        <w:t xml:space="preserve"> </w:t>
      </w:r>
      <w:r w:rsidRPr="000E14A8">
        <w:rPr>
          <w:rFonts w:cs="Times New Roman"/>
          <w:noProof/>
          <w:lang w:val="fr-CA"/>
        </w:rPr>
        <w:t>le critère de l</w:t>
      </w:r>
      <w:r>
        <w:rPr>
          <w:rFonts w:cs="Times New Roman"/>
          <w:noProof/>
          <w:lang w:val="fr-CA"/>
        </w:rPr>
        <w:t>’</w:t>
      </w:r>
      <w:r w:rsidRPr="000E14A8">
        <w:rPr>
          <w:rFonts w:cs="Times New Roman"/>
          <w:noProof/>
          <w:lang w:val="fr-CA"/>
        </w:rPr>
        <w:t xml:space="preserve">arrêt </w:t>
      </w:r>
      <w:r w:rsidRPr="000E14A8">
        <w:rPr>
          <w:rFonts w:cs="Times New Roman"/>
          <w:i/>
          <w:noProof/>
          <w:lang w:val="fr-CA"/>
        </w:rPr>
        <w:t>Anns</w:t>
      </w:r>
    </w:p>
    <w:p w:rsidR="003A506E" w:rsidRPr="000E14A8" w:rsidRDefault="003A506E" w:rsidP="003A506E">
      <w:pPr>
        <w:pStyle w:val="ParaNoNdepar-AltN"/>
        <w:tabs>
          <w:tab w:val="clear" w:pos="1152"/>
          <w:tab w:val="left" w:pos="1166"/>
        </w:tabs>
        <w:rPr>
          <w:rFonts w:cs="Times New Roman"/>
          <w:noProof/>
          <w:lang w:val="fr-CA"/>
        </w:rPr>
      </w:pPr>
      <w:r w:rsidRPr="000E14A8">
        <w:rPr>
          <w:rFonts w:eastAsiaTheme="minorHAnsi" w:cs="Times New Roman"/>
          <w:noProof/>
          <w:lang w:val="fr-CA"/>
        </w:rPr>
        <w:t>Dans l</w:t>
      </w:r>
      <w:r>
        <w:rPr>
          <w:rFonts w:eastAsiaTheme="minorHAnsi" w:cs="Times New Roman"/>
          <w:noProof/>
          <w:lang w:val="fr-CA"/>
        </w:rPr>
        <w:t>’</w:t>
      </w:r>
      <w:r w:rsidRPr="000E14A8">
        <w:rPr>
          <w:rFonts w:eastAsiaTheme="minorHAnsi" w:cs="Times New Roman"/>
          <w:noProof/>
          <w:lang w:val="fr-CA"/>
        </w:rPr>
        <w:t xml:space="preserve">arrêt </w:t>
      </w:r>
      <w:r w:rsidRPr="000E14A8">
        <w:rPr>
          <w:rFonts w:eastAsiaTheme="minorHAnsi" w:cs="Times New Roman"/>
          <w:i/>
          <w:noProof/>
          <w:lang w:val="fr-CA"/>
        </w:rPr>
        <w:t>Hercules</w:t>
      </w:r>
      <w:r w:rsidRPr="000E14A8">
        <w:rPr>
          <w:rFonts w:eastAsiaTheme="minorHAnsi" w:cs="Times New Roman"/>
          <w:noProof/>
          <w:lang w:val="fr-CA"/>
        </w:rPr>
        <w:t>, notre Cour a reconnu que le vérificateur qui procède à une vérification exigée par la loi à l</w:t>
      </w:r>
      <w:r>
        <w:rPr>
          <w:rFonts w:eastAsiaTheme="minorHAnsi" w:cs="Times New Roman"/>
          <w:noProof/>
          <w:lang w:val="fr-CA"/>
        </w:rPr>
        <w:t>’</w:t>
      </w:r>
      <w:r w:rsidRPr="000E14A8">
        <w:rPr>
          <w:rFonts w:eastAsiaTheme="minorHAnsi" w:cs="Times New Roman"/>
          <w:noProof/>
          <w:lang w:val="fr-CA"/>
        </w:rPr>
        <w:t>égard de son entreprise cliente est tenu à une obligation. Bien que la Cour ait rejeté l</w:t>
      </w:r>
      <w:r>
        <w:rPr>
          <w:rFonts w:eastAsiaTheme="minorHAnsi" w:cs="Times New Roman"/>
          <w:noProof/>
          <w:lang w:val="fr-CA"/>
        </w:rPr>
        <w:t>’</w:t>
      </w:r>
      <w:r w:rsidRPr="000E14A8">
        <w:rPr>
          <w:rFonts w:eastAsiaTheme="minorHAnsi" w:cs="Times New Roman"/>
          <w:noProof/>
          <w:lang w:val="fr-CA"/>
        </w:rPr>
        <w:t>action intentée par les actionnaires pour perte de leurs placements</w:t>
      </w:r>
      <w:r w:rsidRPr="000E14A8">
        <w:rPr>
          <w:rFonts w:eastAsiaTheme="minorHAnsi" w:cs="Times New Roman"/>
          <w:i/>
          <w:noProof/>
          <w:lang w:val="fr-CA"/>
        </w:rPr>
        <w:t xml:space="preserve"> </w:t>
      </w:r>
      <w:r w:rsidRPr="000E14A8">
        <w:rPr>
          <w:rFonts w:eastAsiaTheme="minorHAnsi" w:cs="Times New Roman"/>
          <w:noProof/>
          <w:lang w:val="fr-CA"/>
        </w:rPr>
        <w:t>personnels, elle a maintes fois affirmé qu</w:t>
      </w:r>
      <w:r>
        <w:rPr>
          <w:rFonts w:eastAsiaTheme="minorHAnsi" w:cs="Times New Roman"/>
          <w:noProof/>
          <w:lang w:val="fr-CA"/>
        </w:rPr>
        <w:t>’</w:t>
      </w:r>
      <w:r w:rsidRPr="000E14A8">
        <w:rPr>
          <w:rFonts w:eastAsiaTheme="minorHAnsi" w:cs="Times New Roman"/>
          <w:noProof/>
          <w:lang w:val="fr-CA"/>
        </w:rPr>
        <w:t>une action intentée par la société elle</w:t>
      </w:r>
      <w:r w:rsidRPr="000E14A8">
        <w:rPr>
          <w:rFonts w:eastAsiaTheme="minorHAnsi" w:cs="Times New Roman"/>
          <w:noProof/>
          <w:lang w:val="fr-CA"/>
        </w:rPr>
        <w:noBreakHyphen/>
        <w:t>même relativement à ses propres pertes</w:t>
      </w:r>
      <w:r w:rsidRPr="000E14A8">
        <w:rPr>
          <w:rFonts w:eastAsiaTheme="minorHAnsi" w:cs="Times New Roman"/>
          <w:i/>
          <w:noProof/>
          <w:lang w:val="fr-CA"/>
        </w:rPr>
        <w:t xml:space="preserve"> </w:t>
      </w:r>
      <w:r w:rsidRPr="000E14A8">
        <w:rPr>
          <w:rFonts w:eastAsiaTheme="minorHAnsi" w:cs="Times New Roman"/>
          <w:noProof/>
          <w:lang w:val="fr-CA"/>
        </w:rPr>
        <w:t>découlant d</w:t>
      </w:r>
      <w:r>
        <w:rPr>
          <w:rFonts w:eastAsiaTheme="minorHAnsi" w:cs="Times New Roman"/>
          <w:noProof/>
          <w:lang w:val="fr-CA"/>
        </w:rPr>
        <w:t>’</w:t>
      </w:r>
      <w:r w:rsidRPr="000E14A8">
        <w:rPr>
          <w:rFonts w:eastAsiaTheme="minorHAnsi" w:cs="Times New Roman"/>
          <w:noProof/>
          <w:lang w:val="fr-CA"/>
        </w:rPr>
        <w:t>une vérification exigée par la loi entachée de négligence aurait pu être accueillie (par. 58</w:t>
      </w:r>
      <w:r w:rsidRPr="000E14A8">
        <w:rPr>
          <w:rFonts w:eastAsiaTheme="minorHAnsi" w:cs="Times New Roman"/>
          <w:noProof/>
          <w:lang w:val="fr-CA"/>
        </w:rPr>
        <w:noBreakHyphen/>
        <w:t>59; voir aussi par. 1 et 60</w:t>
      </w:r>
      <w:r w:rsidRPr="000E14A8">
        <w:rPr>
          <w:rFonts w:eastAsiaTheme="minorHAnsi" w:cs="Times New Roman"/>
          <w:noProof/>
          <w:lang w:val="fr-CA"/>
        </w:rPr>
        <w:noBreakHyphen/>
        <w:t>64) :</w:t>
      </w:r>
    </w:p>
    <w:p w:rsidR="003A506E" w:rsidRPr="000E14A8" w:rsidRDefault="003A506E" w:rsidP="003A506E">
      <w:pPr>
        <w:pStyle w:val="Citation-AltC"/>
        <w:spacing w:after="240"/>
        <w:ind w:hanging="1166"/>
        <w:contextualSpacing w:val="0"/>
        <w:rPr>
          <w:noProof/>
          <w:lang w:val="fr-CA"/>
        </w:rPr>
      </w:pPr>
      <w:r w:rsidRPr="000E14A8">
        <w:rPr>
          <w:noProof/>
          <w:lang w:val="fr-CA"/>
        </w:rPr>
        <w:tab/>
      </w:r>
      <w:r w:rsidRPr="000E14A8">
        <w:rPr>
          <w:noProof/>
          <w:lang w:val="fr-CA"/>
        </w:rPr>
        <w:tab/>
        <w:t>Tous les participants au présent pourvoi [. . .] ont soulevé la question de savoir si les actions des appelants pour les pertes qu</w:t>
      </w:r>
      <w:r>
        <w:rPr>
          <w:noProof/>
          <w:lang w:val="fr-CA"/>
        </w:rPr>
        <w:t>’</w:t>
      </w:r>
      <w:r w:rsidRPr="000E14A8">
        <w:rPr>
          <w:noProof/>
          <w:lang w:val="fr-CA"/>
        </w:rPr>
        <w:t>ils ont subies sur le plan de leurs participations existantes, en raison de l</w:t>
      </w:r>
      <w:r>
        <w:rPr>
          <w:noProof/>
          <w:lang w:val="fr-CA"/>
        </w:rPr>
        <w:t>’</w:t>
      </w:r>
      <w:r w:rsidRPr="000E14A8">
        <w:rPr>
          <w:noProof/>
          <w:lang w:val="fr-CA"/>
        </w:rPr>
        <w:t>incapacité dans laquelle ils auraient été de surveiller la gestion des sociétés, auraient dû être intentées sous forme d</w:t>
      </w:r>
      <w:r>
        <w:rPr>
          <w:noProof/>
          <w:lang w:val="fr-CA"/>
        </w:rPr>
        <w:t>’</w:t>
      </w:r>
      <w:r w:rsidR="00D5275F">
        <w:rPr>
          <w:noProof/>
          <w:lang w:val="fr-CA"/>
        </w:rPr>
        <w:t xml:space="preserve">action oblique . . . </w:t>
      </w:r>
    </w:p>
    <w:p w:rsidR="003A506E" w:rsidRPr="000E14A8" w:rsidRDefault="003A506E" w:rsidP="003A506E">
      <w:pPr>
        <w:pStyle w:val="Citation-AltC"/>
        <w:ind w:hanging="1166"/>
        <w:contextualSpacing w:val="0"/>
        <w:rPr>
          <w:noProof/>
          <w:lang w:val="fr-CA"/>
        </w:rPr>
      </w:pPr>
      <w:r w:rsidRPr="000E14A8">
        <w:rPr>
          <w:noProof/>
          <w:lang w:val="fr-CA"/>
        </w:rPr>
        <w:tab/>
      </w:r>
      <w:r w:rsidR="00D5275F">
        <w:rPr>
          <w:noProof/>
          <w:lang w:val="fr-CA"/>
        </w:rPr>
        <w:tab/>
      </w:r>
      <w:r w:rsidRPr="000E14A8">
        <w:rPr>
          <w:noProof/>
          <w:lang w:val="fr-CA"/>
        </w:rPr>
        <w:t>. . . si une action doit être intentée pour les pertes subies en raison de ces préjudices, elle doit l</w:t>
      </w:r>
      <w:r>
        <w:rPr>
          <w:noProof/>
          <w:lang w:val="fr-CA"/>
        </w:rPr>
        <w:t>’</w:t>
      </w:r>
      <w:r w:rsidRPr="000E14A8">
        <w:rPr>
          <w:noProof/>
          <w:lang w:val="fr-CA"/>
        </w:rPr>
        <w:t>être soit par la société même (par l</w:t>
      </w:r>
      <w:r>
        <w:rPr>
          <w:noProof/>
          <w:lang w:val="fr-CA"/>
        </w:rPr>
        <w:t>’</w:t>
      </w:r>
      <w:r w:rsidRPr="000E14A8">
        <w:rPr>
          <w:noProof/>
          <w:lang w:val="fr-CA"/>
        </w:rPr>
        <w:t>entremise de la direction), soit par voie d</w:t>
      </w:r>
      <w:r>
        <w:rPr>
          <w:noProof/>
          <w:lang w:val="fr-CA"/>
        </w:rPr>
        <w:t>’</w:t>
      </w:r>
      <w:r w:rsidRPr="000E14A8">
        <w:rPr>
          <w:noProof/>
          <w:lang w:val="fr-CA"/>
        </w:rPr>
        <w:t>action oblique.</w:t>
      </w:r>
    </w:p>
    <w:p w:rsidR="003A506E" w:rsidRPr="000E14A8" w:rsidRDefault="003A506E" w:rsidP="003A506E">
      <w:pPr>
        <w:pStyle w:val="ParaNoNdepar-AltN"/>
        <w:tabs>
          <w:tab w:val="clear" w:pos="1152"/>
          <w:tab w:val="left" w:pos="1166"/>
        </w:tabs>
        <w:rPr>
          <w:rFonts w:cs="Times New Roman"/>
          <w:noProof/>
          <w:lang w:val="fr-CA"/>
        </w:rPr>
      </w:pPr>
      <w:r w:rsidRPr="000E14A8">
        <w:rPr>
          <w:rFonts w:cs="Times New Roman"/>
          <w:noProof/>
          <w:lang w:val="fr-CA"/>
        </w:rPr>
        <w:t xml:space="preserve">Dans </w:t>
      </w:r>
      <w:r w:rsidRPr="000E14A8">
        <w:rPr>
          <w:rFonts w:cs="Times New Roman"/>
          <w:i/>
          <w:noProof/>
          <w:lang w:val="fr-CA"/>
        </w:rPr>
        <w:t>Hercules</w:t>
      </w:r>
      <w:r w:rsidRPr="000E14A8">
        <w:rPr>
          <w:rFonts w:cs="Times New Roman"/>
          <w:noProof/>
          <w:lang w:val="fr-CA"/>
        </w:rPr>
        <w:t>, l</w:t>
      </w:r>
      <w:r>
        <w:rPr>
          <w:rFonts w:cs="Times New Roman"/>
          <w:noProof/>
          <w:lang w:val="fr-CA"/>
        </w:rPr>
        <w:t>’</w:t>
      </w:r>
      <w:r w:rsidRPr="000E14A8">
        <w:rPr>
          <w:rFonts w:cs="Times New Roman"/>
          <w:noProof/>
          <w:lang w:val="fr-CA"/>
        </w:rPr>
        <w:t>analyse de l</w:t>
      </w:r>
      <w:r>
        <w:rPr>
          <w:rFonts w:cs="Times New Roman"/>
          <w:noProof/>
          <w:lang w:val="fr-CA"/>
        </w:rPr>
        <w:t>’</w:t>
      </w:r>
      <w:r w:rsidRPr="000E14A8">
        <w:rPr>
          <w:rFonts w:cs="Times New Roman"/>
          <w:noProof/>
          <w:lang w:val="fr-CA"/>
        </w:rPr>
        <w:t>obligation de diligence supposait l</w:t>
      </w:r>
      <w:r>
        <w:rPr>
          <w:rFonts w:cs="Times New Roman"/>
          <w:noProof/>
          <w:lang w:val="fr-CA"/>
        </w:rPr>
        <w:t>’</w:t>
      </w:r>
      <w:r w:rsidRPr="000E14A8">
        <w:rPr>
          <w:rFonts w:cs="Times New Roman"/>
          <w:noProof/>
          <w:lang w:val="fr-CA"/>
        </w:rPr>
        <w:t>application du critère utilisé à l</w:t>
      </w:r>
      <w:r>
        <w:rPr>
          <w:rFonts w:cs="Times New Roman"/>
          <w:noProof/>
          <w:lang w:val="fr-CA"/>
        </w:rPr>
        <w:t>’</w:t>
      </w:r>
      <w:r w:rsidRPr="000E14A8">
        <w:rPr>
          <w:rFonts w:cs="Times New Roman"/>
          <w:noProof/>
          <w:lang w:val="fr-CA"/>
        </w:rPr>
        <w:t>époque en droit canadien en matière de négligence pour établir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une obligation de diligence, à savoir le critère de l</w:t>
      </w:r>
      <w:r>
        <w:rPr>
          <w:rFonts w:cs="Times New Roman"/>
          <w:noProof/>
          <w:lang w:val="fr-CA"/>
        </w:rPr>
        <w:t>’</w:t>
      </w:r>
      <w:r w:rsidRPr="000E14A8">
        <w:rPr>
          <w:rFonts w:cs="Times New Roman"/>
          <w:noProof/>
          <w:lang w:val="fr-CA"/>
        </w:rPr>
        <w:t xml:space="preserve">arrêt </w:t>
      </w:r>
      <w:r w:rsidRPr="000E14A8">
        <w:rPr>
          <w:rFonts w:cs="Times New Roman"/>
          <w:i/>
          <w:noProof/>
          <w:lang w:val="fr-CA"/>
        </w:rPr>
        <w:t>Anns</w:t>
      </w:r>
      <w:r w:rsidRPr="000E14A8">
        <w:rPr>
          <w:rFonts w:cs="Times New Roman"/>
          <w:noProof/>
          <w:lang w:val="fr-CA"/>
        </w:rPr>
        <w:t>. Ce critère à deux volets posait les questions de savoir (1) s</w:t>
      </w:r>
      <w:r>
        <w:rPr>
          <w:rFonts w:cs="Times New Roman"/>
          <w:noProof/>
          <w:lang w:val="fr-CA"/>
        </w:rPr>
        <w:t>’</w:t>
      </w:r>
      <w:r w:rsidRPr="000E14A8">
        <w:rPr>
          <w:rFonts w:cs="Times New Roman"/>
          <w:noProof/>
          <w:lang w:val="fr-CA"/>
        </w:rPr>
        <w:t xml:space="preserve">il existe une obligation de diligence </w:t>
      </w:r>
      <w:r w:rsidRPr="000E14A8">
        <w:rPr>
          <w:rFonts w:cs="Times New Roman"/>
          <w:i/>
          <w:noProof/>
          <w:lang w:val="fr-CA"/>
        </w:rPr>
        <w:t xml:space="preserve">prima facie </w:t>
      </w:r>
      <w:r w:rsidRPr="000E14A8">
        <w:rPr>
          <w:rFonts w:cs="Times New Roman"/>
          <w:noProof/>
          <w:lang w:val="fr-CA"/>
        </w:rPr>
        <w:t>entre les parties; et (2) si, dans l</w:t>
      </w:r>
      <w:r>
        <w:rPr>
          <w:rFonts w:cs="Times New Roman"/>
          <w:noProof/>
          <w:lang w:val="fr-CA"/>
        </w:rPr>
        <w:t>’</w:t>
      </w:r>
      <w:r w:rsidRPr="000E14A8">
        <w:rPr>
          <w:rFonts w:cs="Times New Roman"/>
          <w:noProof/>
          <w:lang w:val="fr-CA"/>
        </w:rPr>
        <w:t>affirmative, des considérations de politique résiduelles justifient de restreindre ou de rejeter la portée de l</w:t>
      </w:r>
      <w:r>
        <w:rPr>
          <w:rFonts w:cs="Times New Roman"/>
          <w:noProof/>
          <w:lang w:val="fr-CA"/>
        </w:rPr>
        <w:t>’</w:t>
      </w:r>
      <w:r w:rsidRPr="000E14A8">
        <w:rPr>
          <w:rFonts w:cs="Times New Roman"/>
          <w:noProof/>
          <w:lang w:val="fr-CA"/>
        </w:rPr>
        <w:t xml:space="preserve">obligation, la catégorie de personnes qui en bénéficient, ou les dommages auxquels un </w:t>
      </w:r>
      <w:r w:rsidRPr="000E14A8">
        <w:rPr>
          <w:rFonts w:cs="Times New Roman"/>
          <w:noProof/>
          <w:lang w:val="fr-CA"/>
        </w:rPr>
        <w:lastRenderedPageBreak/>
        <w:t>manquement à l</w:t>
      </w:r>
      <w:r>
        <w:rPr>
          <w:rFonts w:cs="Times New Roman"/>
          <w:noProof/>
          <w:lang w:val="fr-CA"/>
        </w:rPr>
        <w:t>’</w:t>
      </w:r>
      <w:r w:rsidRPr="000E14A8">
        <w:rPr>
          <w:rFonts w:cs="Times New Roman"/>
          <w:noProof/>
          <w:lang w:val="fr-CA"/>
        </w:rPr>
        <w:t>obligation peut donner lieu (</w:t>
      </w:r>
      <w:r w:rsidRPr="000E14A8">
        <w:rPr>
          <w:rFonts w:cs="Times New Roman"/>
          <w:i/>
          <w:noProof/>
          <w:lang w:val="fr-CA"/>
        </w:rPr>
        <w:t>Hercules</w:t>
      </w:r>
      <w:r w:rsidRPr="000E14A8">
        <w:rPr>
          <w:rFonts w:cs="Times New Roman"/>
          <w:noProof/>
          <w:lang w:val="fr-CA"/>
        </w:rPr>
        <w:t xml:space="preserve">, par. 20; </w:t>
      </w:r>
      <w:r w:rsidRPr="000E14A8">
        <w:rPr>
          <w:rFonts w:cs="Times New Roman"/>
          <w:i/>
          <w:noProof/>
          <w:lang w:val="fr-CA"/>
        </w:rPr>
        <w:t>Kamloops (Ville) c. Nielsen</w:t>
      </w:r>
      <w:r w:rsidRPr="000E14A8">
        <w:rPr>
          <w:rFonts w:cs="Times New Roman"/>
          <w:noProof/>
          <w:lang w:val="fr-CA"/>
        </w:rPr>
        <w:t>, [1984] 2 R.C.S. 2, p. 10</w:t>
      </w:r>
      <w:r w:rsidRPr="000E14A8">
        <w:rPr>
          <w:rFonts w:cs="Times New Roman"/>
          <w:noProof/>
          <w:lang w:val="fr-CA"/>
        </w:rPr>
        <w:noBreakHyphen/>
        <w:t xml:space="preserve">11; </w:t>
      </w:r>
      <w:r w:rsidRPr="000E14A8">
        <w:rPr>
          <w:rFonts w:cs="Times New Roman"/>
          <w:i/>
          <w:noProof/>
          <w:lang w:val="fr-CA"/>
        </w:rPr>
        <w:t>Norsk</w:t>
      </w:r>
      <w:r w:rsidRPr="000E14A8">
        <w:rPr>
          <w:rFonts w:cs="Times New Roman"/>
          <w:noProof/>
          <w:lang w:val="fr-CA"/>
        </w:rPr>
        <w:t xml:space="preserve">, p. 1155; </w:t>
      </w:r>
      <w:r w:rsidRPr="000E14A8">
        <w:rPr>
          <w:rFonts w:cs="Times New Roman"/>
          <w:i/>
          <w:noProof/>
          <w:lang w:val="fr-CA"/>
        </w:rPr>
        <w:t>Bow Valley</w:t>
      </w:r>
      <w:r w:rsidRPr="000E14A8">
        <w:rPr>
          <w:rFonts w:cs="Times New Roman"/>
          <w:noProof/>
          <w:lang w:val="fr-CA"/>
        </w:rPr>
        <w:t>, par. 47).</w:t>
      </w:r>
    </w:p>
    <w:p w:rsidR="003A506E" w:rsidRPr="000E14A8" w:rsidRDefault="003A506E" w:rsidP="003A506E">
      <w:pPr>
        <w:pStyle w:val="ParaNoNdepar-AltN"/>
        <w:rPr>
          <w:rFonts w:cs="Times New Roman"/>
          <w:noProof/>
          <w:lang w:val="fr-CA"/>
        </w:rPr>
      </w:pPr>
      <w:r w:rsidRPr="000E14A8">
        <w:rPr>
          <w:rFonts w:cs="Times New Roman"/>
          <w:noProof/>
          <w:lang w:val="fr-CA"/>
        </w:rPr>
        <w:t>Selon le critère de l</w:t>
      </w:r>
      <w:r>
        <w:rPr>
          <w:rFonts w:cs="Times New Roman"/>
          <w:noProof/>
          <w:lang w:val="fr-CA"/>
        </w:rPr>
        <w:t>’</w:t>
      </w:r>
      <w:r w:rsidRPr="000E14A8">
        <w:rPr>
          <w:rFonts w:cs="Times New Roman"/>
          <w:noProof/>
          <w:lang w:val="fr-CA"/>
        </w:rPr>
        <w:t xml:space="preserve">arrêt </w:t>
      </w:r>
      <w:r w:rsidRPr="000E14A8">
        <w:rPr>
          <w:rFonts w:cs="Times New Roman"/>
          <w:i/>
          <w:noProof/>
          <w:lang w:val="fr-CA"/>
        </w:rPr>
        <w:t>Anns</w:t>
      </w:r>
      <w:r w:rsidRPr="000E14A8">
        <w:rPr>
          <w:rFonts w:cs="Times New Roman"/>
          <w:noProof/>
          <w:lang w:val="fr-CA"/>
        </w:rPr>
        <w:t xml:space="preserve">, une obligation de diligence </w:t>
      </w:r>
      <w:r w:rsidRPr="000E14A8">
        <w:rPr>
          <w:rFonts w:cs="Times New Roman"/>
          <w:i/>
          <w:noProof/>
          <w:lang w:val="fr-CA"/>
        </w:rPr>
        <w:t>prima facie</w:t>
      </w:r>
      <w:r w:rsidRPr="000E14A8">
        <w:rPr>
          <w:rFonts w:cs="Times New Roman"/>
          <w:noProof/>
          <w:lang w:val="fr-CA"/>
        </w:rPr>
        <w:t xml:space="preserve"> existe s</w:t>
      </w:r>
      <w:r>
        <w:rPr>
          <w:rFonts w:cs="Times New Roman"/>
          <w:noProof/>
          <w:lang w:val="fr-CA"/>
        </w:rPr>
        <w:t>’</w:t>
      </w:r>
      <w:r w:rsidRPr="000E14A8">
        <w:rPr>
          <w:rFonts w:cs="Times New Roman"/>
          <w:noProof/>
          <w:lang w:val="fr-CA"/>
        </w:rPr>
        <w:t>il y a « entre le demandeur et le défendeur, un lien suffisamment étroit » pour que « le manque de diligence de la part [du défendeur] puisse être raisonnablement perçu par celui</w:t>
      </w:r>
      <w:r w:rsidRPr="000E14A8">
        <w:rPr>
          <w:rFonts w:cs="Times New Roman"/>
          <w:noProof/>
          <w:lang w:val="fr-CA"/>
        </w:rPr>
        <w:noBreakHyphen/>
        <w:t>ci comme étant susceptible de causer un préjudice au demandeur » (</w:t>
      </w:r>
      <w:r w:rsidRPr="000E14A8">
        <w:rPr>
          <w:rFonts w:cs="Times New Roman"/>
          <w:i/>
          <w:noProof/>
          <w:lang w:val="fr-CA"/>
        </w:rPr>
        <w:t>Hercules</w:t>
      </w:r>
      <w:r w:rsidRPr="000E14A8">
        <w:rPr>
          <w:rFonts w:cs="Times New Roman"/>
          <w:noProof/>
          <w:lang w:val="fr-CA"/>
        </w:rPr>
        <w:t>,</w:t>
      </w:r>
      <w:r w:rsidRPr="000E14A8">
        <w:rPr>
          <w:rFonts w:cs="Times New Roman"/>
          <w:i/>
          <w:noProof/>
          <w:lang w:val="fr-CA"/>
        </w:rPr>
        <w:t xml:space="preserve"> </w:t>
      </w:r>
      <w:r w:rsidRPr="000E14A8">
        <w:rPr>
          <w:rFonts w:cs="Times New Roman"/>
          <w:noProof/>
          <w:lang w:val="fr-CA"/>
        </w:rPr>
        <w:t xml:space="preserve">par. 22; </w:t>
      </w:r>
      <w:r w:rsidRPr="000E14A8">
        <w:rPr>
          <w:rFonts w:cs="Times New Roman"/>
          <w:i/>
          <w:noProof/>
          <w:lang w:val="fr-CA"/>
        </w:rPr>
        <w:t>Kamloops</w:t>
      </w:r>
      <w:r w:rsidRPr="000E14A8">
        <w:rPr>
          <w:rFonts w:cs="Times New Roman"/>
          <w:noProof/>
          <w:lang w:val="fr-CA"/>
        </w:rPr>
        <w:t xml:space="preserve">, p. 10). Autrement dit, lorsque le préjudice subi par le demandeur est une conséquence raisonnablement prévisible de la négligence du défendeur, il existe une obligation de diligence </w:t>
      </w:r>
      <w:r w:rsidRPr="000E14A8">
        <w:rPr>
          <w:rFonts w:cs="Times New Roman"/>
          <w:i/>
          <w:noProof/>
          <w:lang w:val="fr-CA"/>
        </w:rPr>
        <w:t>prima facie</w:t>
      </w:r>
      <w:r w:rsidRPr="000E14A8">
        <w:rPr>
          <w:rFonts w:cs="Times New Roman"/>
          <w:noProof/>
          <w:lang w:val="fr-CA"/>
        </w:rPr>
        <w:t>. Ce rapport, le cas échéant, a été qualifié de « lien étroit » (</w:t>
      </w:r>
      <w:r w:rsidRPr="000E14A8">
        <w:rPr>
          <w:rFonts w:cs="Times New Roman"/>
          <w:i/>
          <w:noProof/>
          <w:lang w:val="fr-CA"/>
        </w:rPr>
        <w:t>ibid.</w:t>
      </w:r>
      <w:r w:rsidRPr="000E14A8">
        <w:rPr>
          <w:rFonts w:cs="Times New Roman"/>
          <w:noProof/>
          <w:lang w:val="fr-CA"/>
        </w:rPr>
        <w:t xml:space="preserve">). Dans </w:t>
      </w:r>
      <w:r w:rsidRPr="000E14A8">
        <w:rPr>
          <w:rFonts w:cs="Times New Roman"/>
          <w:i/>
          <w:noProof/>
          <w:lang w:val="fr-CA"/>
        </w:rPr>
        <w:t>Hercules</w:t>
      </w:r>
      <w:r w:rsidRPr="000E14A8">
        <w:rPr>
          <w:rFonts w:cs="Times New Roman"/>
          <w:noProof/>
          <w:lang w:val="fr-CA"/>
        </w:rPr>
        <w:t>, la Cour a précisé davantage le critère de la prévisibilité raisonnable qui permettait d</w:t>
      </w:r>
      <w:r>
        <w:rPr>
          <w:rFonts w:cs="Times New Roman"/>
          <w:noProof/>
          <w:lang w:val="fr-CA"/>
        </w:rPr>
        <w:t>’</w:t>
      </w:r>
      <w:r w:rsidRPr="000E14A8">
        <w:rPr>
          <w:rFonts w:cs="Times New Roman"/>
          <w:noProof/>
          <w:lang w:val="fr-CA"/>
        </w:rPr>
        <w:t>établir l</w:t>
      </w:r>
      <w:r>
        <w:rPr>
          <w:rFonts w:cs="Times New Roman"/>
          <w:noProof/>
          <w:lang w:val="fr-CA"/>
        </w:rPr>
        <w:t>’</w:t>
      </w:r>
      <w:r w:rsidRPr="000E14A8">
        <w:rPr>
          <w:rFonts w:cs="Times New Roman"/>
          <w:noProof/>
          <w:lang w:val="fr-CA"/>
        </w:rPr>
        <w:t>existence du lien étroit requis par le critère de l</w:t>
      </w:r>
      <w:r>
        <w:rPr>
          <w:rFonts w:cs="Times New Roman"/>
          <w:noProof/>
          <w:lang w:val="fr-CA"/>
        </w:rPr>
        <w:t>’</w:t>
      </w:r>
      <w:r w:rsidRPr="000E14A8">
        <w:rPr>
          <w:rFonts w:cs="Times New Roman"/>
          <w:noProof/>
          <w:lang w:val="fr-CA"/>
        </w:rPr>
        <w:t>arrêt </w:t>
      </w:r>
      <w:r w:rsidRPr="000E14A8">
        <w:rPr>
          <w:rFonts w:cs="Times New Roman"/>
          <w:i/>
          <w:noProof/>
          <w:lang w:val="fr-CA"/>
        </w:rPr>
        <w:t>Anns</w:t>
      </w:r>
      <w:r w:rsidRPr="000E14A8">
        <w:rPr>
          <w:rFonts w:cs="Times New Roman"/>
          <w:noProof/>
          <w:lang w:val="fr-CA"/>
        </w:rPr>
        <w:t xml:space="preserve"> dans le contexte d</w:t>
      </w:r>
      <w:r>
        <w:rPr>
          <w:rFonts w:cs="Times New Roman"/>
          <w:noProof/>
          <w:lang w:val="fr-CA"/>
        </w:rPr>
        <w:t>’</w:t>
      </w:r>
      <w:r w:rsidRPr="000E14A8">
        <w:rPr>
          <w:rFonts w:cs="Times New Roman"/>
          <w:noProof/>
          <w:lang w:val="fr-CA"/>
        </w:rPr>
        <w:t>une action pour perte purement économique attribuable à une déclaration inexacte faite par négligence ou à la prestation négligente d</w:t>
      </w:r>
      <w:r>
        <w:rPr>
          <w:rFonts w:cs="Times New Roman"/>
          <w:noProof/>
          <w:lang w:val="fr-CA"/>
        </w:rPr>
        <w:t>’</w:t>
      </w:r>
      <w:r w:rsidRPr="000E14A8">
        <w:rPr>
          <w:rFonts w:cs="Times New Roman"/>
          <w:noProof/>
          <w:lang w:val="fr-CA"/>
        </w:rPr>
        <w:t>un service. Plus précisément, la Cour a affirmé que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 xml:space="preserve">un lien étroit était assujettie au respect de deux conditions : (1) le défendeur </w:t>
      </w:r>
      <w:r w:rsidRPr="000E14A8">
        <w:rPr>
          <w:rFonts w:cs="Times New Roman"/>
          <w:lang w:val="fr-CA"/>
        </w:rPr>
        <w:t xml:space="preserve">devrait prévoir raisonnablement que le demandeur se fiera à sa déclaration; et (2) la confiance accordée par le demandeur devrait, dans les circonstances, être raisonnable. </w:t>
      </w:r>
      <w:r w:rsidRPr="000E14A8">
        <w:rPr>
          <w:rFonts w:cs="Times New Roman"/>
          <w:noProof/>
          <w:lang w:val="fr-CA"/>
        </w:rPr>
        <w:t xml:space="preserve">La Cour a expliqué que la prise en compte de la </w:t>
      </w:r>
      <w:r w:rsidRPr="000E14A8">
        <w:rPr>
          <w:rFonts w:cs="Times New Roman"/>
          <w:i/>
          <w:noProof/>
          <w:lang w:val="fr-CA"/>
        </w:rPr>
        <w:t>confiance</w:t>
      </w:r>
      <w:r w:rsidRPr="000E14A8">
        <w:rPr>
          <w:rFonts w:cs="Times New Roman"/>
          <w:noProof/>
          <w:lang w:val="fr-CA"/>
        </w:rPr>
        <w:t xml:space="preserve"> dont a fait preuve le demandeur</w:t>
      </w:r>
      <w:r w:rsidRPr="000E14A8">
        <w:rPr>
          <w:rFonts w:cs="Times New Roman"/>
          <w:i/>
          <w:noProof/>
          <w:lang w:val="fr-CA"/>
        </w:rPr>
        <w:t xml:space="preserve"> </w:t>
      </w:r>
      <w:r w:rsidRPr="000E14A8">
        <w:rPr>
          <w:rFonts w:cs="Times New Roman"/>
          <w:noProof/>
          <w:lang w:val="fr-CA"/>
        </w:rPr>
        <w:t>dans le cadre du critère de la prévisibilité raisonnable du préjudice ne revenait pas à « abandonner les préceptes fondamentaux [. . .] du critère [de l</w:t>
      </w:r>
      <w:r>
        <w:rPr>
          <w:rFonts w:cs="Times New Roman"/>
          <w:noProof/>
          <w:lang w:val="fr-CA"/>
        </w:rPr>
        <w:t>’</w:t>
      </w:r>
      <w:r w:rsidRPr="000E14A8">
        <w:rPr>
          <w:rFonts w:cs="Times New Roman"/>
          <w:noProof/>
          <w:lang w:val="fr-CA"/>
        </w:rPr>
        <w:t xml:space="preserve">arrêt] </w:t>
      </w:r>
      <w:r w:rsidRPr="000E14A8">
        <w:rPr>
          <w:rFonts w:cs="Times New Roman"/>
          <w:i/>
          <w:noProof/>
          <w:lang w:val="fr-CA"/>
        </w:rPr>
        <w:t>Anns</w:t>
      </w:r>
      <w:r w:rsidRPr="000E14A8">
        <w:rPr>
          <w:rFonts w:cs="Times New Roman"/>
          <w:noProof/>
          <w:lang w:val="fr-CA"/>
        </w:rPr>
        <w:t> » (par. 25). Au contraire, puisque, dans les affaires de perte purement économique attribuable à une déclaration inexacte faite par négligence ou à la prestation négligente d</w:t>
      </w:r>
      <w:r>
        <w:rPr>
          <w:rFonts w:cs="Times New Roman"/>
          <w:noProof/>
          <w:lang w:val="fr-CA"/>
        </w:rPr>
        <w:t>’</w:t>
      </w:r>
      <w:r w:rsidRPr="000E14A8">
        <w:rPr>
          <w:rFonts w:cs="Times New Roman"/>
          <w:noProof/>
          <w:lang w:val="fr-CA"/>
        </w:rPr>
        <w:t xml:space="preserve">un service, le préjudice subi par le demandeur découle de la confiance dont il a fait preuve à son détriment, le caractère raisonnable de cette confiance permet de déterminer si le </w:t>
      </w:r>
      <w:r w:rsidRPr="000E14A8">
        <w:rPr>
          <w:rFonts w:cs="Times New Roman"/>
          <w:noProof/>
          <w:lang w:val="fr-CA"/>
        </w:rPr>
        <w:lastRenderedPageBreak/>
        <w:t>préjudice causé est raisonnablement prévisible (par. 25</w:t>
      </w:r>
      <w:r w:rsidRPr="000E14A8">
        <w:rPr>
          <w:rFonts w:cs="Times New Roman"/>
          <w:noProof/>
          <w:lang w:val="fr-CA"/>
        </w:rPr>
        <w:noBreakHyphen/>
        <w:t>26). En conséquence, lorsque le critère de l</w:t>
      </w:r>
      <w:r>
        <w:rPr>
          <w:rFonts w:cs="Times New Roman"/>
          <w:noProof/>
          <w:lang w:val="fr-CA"/>
        </w:rPr>
        <w:t>’</w:t>
      </w:r>
      <w:r w:rsidRPr="000E14A8">
        <w:rPr>
          <w:rFonts w:cs="Times New Roman"/>
          <w:noProof/>
          <w:lang w:val="fr-CA"/>
        </w:rPr>
        <w:t xml:space="preserve">arrêt </w:t>
      </w:r>
      <w:r w:rsidRPr="000E14A8">
        <w:rPr>
          <w:rFonts w:cs="Times New Roman"/>
          <w:i/>
          <w:noProof/>
          <w:lang w:val="fr-CA"/>
        </w:rPr>
        <w:t xml:space="preserve">Anns </w:t>
      </w:r>
      <w:r w:rsidRPr="000E14A8">
        <w:rPr>
          <w:rFonts w:cs="Times New Roman"/>
          <w:noProof/>
          <w:lang w:val="fr-CA"/>
        </w:rPr>
        <w:t>a été appliqué dans des affaires de déclaration inexacte faite par négligence, la prévisibilité raisonnable du préjudice découlant de la confiance raisonnable accordée à la déclaration a suffi à elle seule à établir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un lien étroit qui appuie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 xml:space="preserve">une obligation de diligence </w:t>
      </w:r>
      <w:r w:rsidRPr="000E14A8">
        <w:rPr>
          <w:rFonts w:cs="Times New Roman"/>
          <w:i/>
          <w:noProof/>
          <w:lang w:val="fr-CA"/>
        </w:rPr>
        <w:t>prima facie</w:t>
      </w:r>
      <w:r w:rsidRPr="000E14A8">
        <w:rPr>
          <w:rFonts w:cs="Times New Roman"/>
          <w:noProof/>
          <w:lang w:val="fr-CA"/>
        </w:rPr>
        <w:t xml:space="preserve"> (</w:t>
      </w:r>
      <w:r w:rsidRPr="000E14A8">
        <w:rPr>
          <w:rFonts w:cs="Times New Roman"/>
          <w:i/>
          <w:noProof/>
          <w:lang w:val="fr-CA"/>
        </w:rPr>
        <w:t>Hercules</w:t>
      </w:r>
      <w:r w:rsidRPr="000E14A8">
        <w:rPr>
          <w:rFonts w:cs="Times New Roman"/>
          <w:noProof/>
          <w:lang w:val="fr-CA"/>
        </w:rPr>
        <w:t xml:space="preserve">, par. 25 et 27; </w:t>
      </w:r>
      <w:r w:rsidRPr="000E14A8">
        <w:rPr>
          <w:rFonts w:cs="Times New Roman"/>
          <w:i/>
          <w:noProof/>
          <w:lang w:val="fr-CA"/>
        </w:rPr>
        <w:t>Norsk</w:t>
      </w:r>
      <w:r w:rsidRPr="000E14A8">
        <w:rPr>
          <w:rFonts w:cs="Times New Roman"/>
          <w:noProof/>
          <w:lang w:val="fr-CA"/>
        </w:rPr>
        <w:t xml:space="preserve">, p. 1154; </w:t>
      </w:r>
      <w:r w:rsidRPr="000E14A8">
        <w:rPr>
          <w:rFonts w:cs="Times New Roman"/>
          <w:i/>
          <w:noProof/>
          <w:lang w:val="fr-CA"/>
        </w:rPr>
        <w:t>Bow Valley</w:t>
      </w:r>
      <w:r w:rsidRPr="000E14A8">
        <w:rPr>
          <w:rFonts w:cs="Times New Roman"/>
          <w:noProof/>
          <w:lang w:val="fr-CA"/>
        </w:rPr>
        <w:t>, par. 61).</w:t>
      </w:r>
    </w:p>
    <w:p w:rsidR="003A506E" w:rsidRPr="000E14A8" w:rsidRDefault="003A506E" w:rsidP="003A506E">
      <w:pPr>
        <w:pStyle w:val="ParaNoNdepar-AltN"/>
        <w:rPr>
          <w:rFonts w:cs="Times New Roman"/>
          <w:noProof/>
          <w:lang w:val="fr-CA"/>
        </w:rPr>
      </w:pPr>
      <w:r w:rsidRPr="000E14A8">
        <w:rPr>
          <w:rFonts w:cs="Times New Roman"/>
          <w:noProof/>
          <w:lang w:val="fr-CA"/>
        </w:rPr>
        <w:t>Le premier volet du critère de l</w:t>
      </w:r>
      <w:r>
        <w:rPr>
          <w:rFonts w:cs="Times New Roman"/>
          <w:noProof/>
          <w:lang w:val="fr-CA"/>
        </w:rPr>
        <w:t>’</w:t>
      </w:r>
      <w:r w:rsidRPr="000E14A8">
        <w:rPr>
          <w:rFonts w:cs="Times New Roman"/>
          <w:noProof/>
          <w:lang w:val="fr-CA"/>
        </w:rPr>
        <w:t>arrêt </w:t>
      </w:r>
      <w:r w:rsidRPr="000E14A8">
        <w:rPr>
          <w:rFonts w:cs="Times New Roman"/>
          <w:i/>
          <w:noProof/>
          <w:lang w:val="fr-CA"/>
        </w:rPr>
        <w:t>Anns</w:t>
      </w:r>
      <w:r w:rsidRPr="000E14A8">
        <w:rPr>
          <w:rFonts w:cs="Times New Roman"/>
          <w:noProof/>
          <w:lang w:val="fr-CA"/>
        </w:rPr>
        <w:t xml:space="preserve"> est donc peu exigeant, en ce qu</w:t>
      </w:r>
      <w:r>
        <w:rPr>
          <w:rFonts w:cs="Times New Roman"/>
          <w:noProof/>
          <w:lang w:val="fr-CA"/>
        </w:rPr>
        <w:t>’</w:t>
      </w:r>
      <w:r w:rsidRPr="000E14A8">
        <w:rPr>
          <w:rFonts w:cs="Times New Roman"/>
          <w:noProof/>
          <w:lang w:val="fr-CA"/>
        </w:rPr>
        <w:t>il impose des obligations envers une catégorie presque illimitée de personnes susceptibles de se fier aux déclarations, et ce, à des fins presque illimitées. En effet, comme la Cour l</w:t>
      </w:r>
      <w:r>
        <w:rPr>
          <w:rFonts w:cs="Times New Roman"/>
          <w:noProof/>
          <w:lang w:val="fr-CA"/>
        </w:rPr>
        <w:t>’</w:t>
      </w:r>
      <w:r w:rsidRPr="000E14A8">
        <w:rPr>
          <w:rFonts w:cs="Times New Roman"/>
          <w:noProof/>
          <w:lang w:val="fr-CA"/>
        </w:rPr>
        <w:t xml:space="preserve">a affirmé dans </w:t>
      </w:r>
      <w:r w:rsidRPr="000E14A8">
        <w:rPr>
          <w:rFonts w:cs="Times New Roman"/>
          <w:i/>
          <w:noProof/>
          <w:lang w:val="fr-CA"/>
        </w:rPr>
        <w:t>Hercules</w:t>
      </w:r>
      <w:r w:rsidRPr="000E14A8">
        <w:rPr>
          <w:rFonts w:cs="Times New Roman"/>
          <w:noProof/>
          <w:lang w:val="fr-CA"/>
        </w:rPr>
        <w:t>, « [d]ans le monde commercial contemporain, les vérificateurs eux</w:t>
      </w:r>
      <w:r w:rsidRPr="000E14A8">
        <w:rPr>
          <w:rFonts w:cs="Times New Roman"/>
          <w:noProof/>
          <w:lang w:val="fr-CA"/>
        </w:rPr>
        <w:noBreakHyphen/>
        <w:t>mêmes peuvent presque toujours raisonnablement prévoir que différentes personnes (par exemple, des actionnaires, des créanciers, les auteurs éventuels d</w:t>
      </w:r>
      <w:r>
        <w:rPr>
          <w:rFonts w:cs="Times New Roman"/>
          <w:noProof/>
          <w:lang w:val="fr-CA"/>
        </w:rPr>
        <w:t>’</w:t>
      </w:r>
      <w:r w:rsidRPr="000E14A8">
        <w:rPr>
          <w:rFonts w:cs="Times New Roman"/>
          <w:noProof/>
          <w:lang w:val="fr-CA"/>
        </w:rPr>
        <w:t>une offre de prise de contrôle, des investisseurs, etc.) se fieront, pour toute une gamme de raisons, à leurs rapports de vérification » (par. 32). C</w:t>
      </w:r>
      <w:r>
        <w:rPr>
          <w:rFonts w:cs="Times New Roman"/>
          <w:noProof/>
          <w:lang w:val="fr-CA"/>
        </w:rPr>
        <w:t>’</w:t>
      </w:r>
      <w:r w:rsidRPr="000E14A8">
        <w:rPr>
          <w:rFonts w:cs="Times New Roman"/>
          <w:noProof/>
          <w:lang w:val="fr-CA"/>
        </w:rPr>
        <w:t>est pourquoi — à cause du critère peu exigeant de la « prévisibilité » permettant d</w:t>
      </w:r>
      <w:r>
        <w:rPr>
          <w:rFonts w:cs="Times New Roman"/>
          <w:noProof/>
          <w:lang w:val="fr-CA"/>
        </w:rPr>
        <w:t>’</w:t>
      </w:r>
      <w:r w:rsidRPr="000E14A8">
        <w:rPr>
          <w:rFonts w:cs="Times New Roman"/>
          <w:noProof/>
          <w:lang w:val="fr-CA"/>
        </w:rPr>
        <w:t>établir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 xml:space="preserve">une obligation de diligence </w:t>
      </w:r>
      <w:r w:rsidRPr="000E14A8">
        <w:rPr>
          <w:rFonts w:cs="Times New Roman"/>
          <w:i/>
          <w:noProof/>
          <w:lang w:val="fr-CA"/>
        </w:rPr>
        <w:t>prima facie</w:t>
      </w:r>
      <w:r w:rsidRPr="000E14A8">
        <w:rPr>
          <w:rFonts w:cs="Times New Roman"/>
          <w:noProof/>
          <w:lang w:val="fr-CA"/>
        </w:rPr>
        <w:t xml:space="preserve"> au premier volet du critère de l</w:t>
      </w:r>
      <w:r>
        <w:rPr>
          <w:rFonts w:cs="Times New Roman"/>
          <w:noProof/>
          <w:lang w:val="fr-CA"/>
        </w:rPr>
        <w:t>’</w:t>
      </w:r>
      <w:r w:rsidRPr="000E14A8">
        <w:rPr>
          <w:rFonts w:cs="Times New Roman"/>
          <w:noProof/>
          <w:lang w:val="fr-CA"/>
        </w:rPr>
        <w:t xml:space="preserve">arrêt </w:t>
      </w:r>
      <w:r w:rsidRPr="000E14A8">
        <w:rPr>
          <w:rFonts w:cs="Times New Roman"/>
          <w:i/>
          <w:noProof/>
          <w:lang w:val="fr-CA"/>
        </w:rPr>
        <w:t>Anns</w:t>
      </w:r>
      <w:r w:rsidRPr="000E14A8">
        <w:rPr>
          <w:rFonts w:cs="Times New Roman"/>
          <w:noProof/>
          <w:lang w:val="fr-CA"/>
        </w:rPr>
        <w:t xml:space="preserve"> — la Cour s</w:t>
      </w:r>
      <w:r>
        <w:rPr>
          <w:rFonts w:cs="Times New Roman"/>
          <w:noProof/>
          <w:lang w:val="fr-CA"/>
        </w:rPr>
        <w:t>’</w:t>
      </w:r>
      <w:r w:rsidRPr="000E14A8">
        <w:rPr>
          <w:rFonts w:cs="Times New Roman"/>
          <w:noProof/>
          <w:lang w:val="fr-CA"/>
        </w:rPr>
        <w:t>est tournée vers le deuxième volet de ce critère pour écarter ou limiter l</w:t>
      </w:r>
      <w:r>
        <w:rPr>
          <w:rFonts w:cs="Times New Roman"/>
          <w:noProof/>
          <w:lang w:val="fr-CA"/>
        </w:rPr>
        <w:t>’</w:t>
      </w:r>
      <w:r w:rsidRPr="000E14A8">
        <w:rPr>
          <w:rFonts w:cs="Times New Roman"/>
          <w:noProof/>
          <w:lang w:val="fr-CA"/>
        </w:rPr>
        <w:t>obligation de diligence en se fondant sur la « considération de principe » de l</w:t>
      </w:r>
      <w:r>
        <w:rPr>
          <w:rFonts w:cs="Times New Roman"/>
          <w:noProof/>
          <w:lang w:val="fr-CA"/>
        </w:rPr>
        <w:t>’</w:t>
      </w:r>
      <w:r w:rsidRPr="000E14A8">
        <w:rPr>
          <w:rFonts w:cs="Times New Roman"/>
          <w:noProof/>
          <w:lang w:val="fr-CA"/>
        </w:rPr>
        <w:t>indétermination. C</w:t>
      </w:r>
      <w:r>
        <w:rPr>
          <w:rFonts w:cs="Times New Roman"/>
          <w:noProof/>
          <w:lang w:val="fr-CA"/>
        </w:rPr>
        <w:t>’</w:t>
      </w:r>
      <w:r w:rsidRPr="000E14A8">
        <w:rPr>
          <w:rFonts w:cs="Times New Roman"/>
          <w:noProof/>
          <w:lang w:val="fr-CA"/>
        </w:rPr>
        <w:t>est à cette étape que la Cour a examiné l</w:t>
      </w:r>
      <w:r>
        <w:rPr>
          <w:rFonts w:cs="Times New Roman"/>
          <w:noProof/>
          <w:lang w:val="fr-CA"/>
        </w:rPr>
        <w:t>’</w:t>
      </w:r>
      <w:r w:rsidRPr="000E14A8">
        <w:rPr>
          <w:rFonts w:cs="Times New Roman"/>
          <w:noProof/>
          <w:lang w:val="fr-CA"/>
        </w:rPr>
        <w:t>identité des demandeurs et l</w:t>
      </w:r>
      <w:r>
        <w:rPr>
          <w:rFonts w:cs="Times New Roman"/>
          <w:noProof/>
          <w:lang w:val="fr-CA"/>
        </w:rPr>
        <w:t>’</w:t>
      </w:r>
      <w:r w:rsidRPr="000E14A8">
        <w:rPr>
          <w:rFonts w:cs="Times New Roman"/>
          <w:noProof/>
          <w:lang w:val="fr-CA"/>
        </w:rPr>
        <w:t>objet de l</w:t>
      </w:r>
      <w:r>
        <w:rPr>
          <w:rFonts w:cs="Times New Roman"/>
          <w:noProof/>
          <w:lang w:val="fr-CA"/>
        </w:rPr>
        <w:t>’</w:t>
      </w:r>
      <w:r w:rsidRPr="000E14A8">
        <w:rPr>
          <w:rFonts w:cs="Times New Roman"/>
          <w:noProof/>
          <w:lang w:val="fr-CA"/>
        </w:rPr>
        <w:t>opinion du vérificateur pour écarter la responsabilité à l</w:t>
      </w:r>
      <w:r>
        <w:rPr>
          <w:rFonts w:cs="Times New Roman"/>
          <w:noProof/>
          <w:lang w:val="fr-CA"/>
        </w:rPr>
        <w:t>’</w:t>
      </w:r>
      <w:r w:rsidRPr="000E14A8">
        <w:rPr>
          <w:rFonts w:cs="Times New Roman"/>
          <w:noProof/>
          <w:lang w:val="fr-CA"/>
        </w:rPr>
        <w:t>égard des pertes relatives aux placements et à la dévaluation subies par les actionnaires pris individuellement (par. 27</w:t>
      </w:r>
      <w:r w:rsidRPr="000E14A8">
        <w:rPr>
          <w:rFonts w:cs="Times New Roman"/>
          <w:noProof/>
          <w:lang w:val="fr-CA"/>
        </w:rPr>
        <w:noBreakHyphen/>
        <w:t xml:space="preserve">28; voir aussi </w:t>
      </w:r>
      <w:r w:rsidRPr="000E14A8">
        <w:rPr>
          <w:rFonts w:cs="Times New Roman"/>
          <w:i/>
          <w:noProof/>
          <w:lang w:val="fr-CA"/>
        </w:rPr>
        <w:t>Haig c. Bamford</w:t>
      </w:r>
      <w:r w:rsidRPr="000E14A8">
        <w:rPr>
          <w:rFonts w:cs="Times New Roman"/>
          <w:noProof/>
          <w:lang w:val="fr-CA"/>
        </w:rPr>
        <w:t>, [1977] 1 R.C.S. 466). Plus précisément, la Cour a conclu que l</w:t>
      </w:r>
      <w:r>
        <w:rPr>
          <w:rFonts w:cs="Times New Roman"/>
          <w:noProof/>
          <w:lang w:val="fr-CA"/>
        </w:rPr>
        <w:t>’</w:t>
      </w:r>
      <w:r w:rsidRPr="000E14A8">
        <w:rPr>
          <w:rFonts w:cs="Times New Roman"/>
          <w:noProof/>
          <w:lang w:val="fr-CA"/>
        </w:rPr>
        <w:t>un des objets d</w:t>
      </w:r>
      <w:r>
        <w:rPr>
          <w:rFonts w:cs="Times New Roman"/>
          <w:noProof/>
          <w:lang w:val="fr-CA"/>
        </w:rPr>
        <w:t>’</w:t>
      </w:r>
      <w:r w:rsidRPr="000E14A8">
        <w:rPr>
          <w:rFonts w:cs="Times New Roman"/>
          <w:noProof/>
          <w:lang w:val="fr-CA"/>
        </w:rPr>
        <w:t xml:space="preserve">une vérification exigée par la loi — </w:t>
      </w:r>
      <w:r w:rsidRPr="000E14A8">
        <w:rPr>
          <w:rFonts w:eastAsiaTheme="minorHAnsi" w:cs="Times New Roman"/>
          <w:noProof/>
          <w:lang w:val="fr-CA"/>
        </w:rPr>
        <w:t xml:space="preserve">à savoir, « permettre aux actionnaires, </w:t>
      </w:r>
      <w:r w:rsidRPr="000E14A8">
        <w:rPr>
          <w:rFonts w:eastAsiaTheme="minorHAnsi" w:cs="Times New Roman"/>
          <w:i/>
          <w:noProof/>
          <w:lang w:val="fr-CA"/>
        </w:rPr>
        <w:t>en tant que groupe</w:t>
      </w:r>
      <w:r w:rsidRPr="000E14A8">
        <w:rPr>
          <w:rFonts w:eastAsiaTheme="minorHAnsi" w:cs="Times New Roman"/>
          <w:noProof/>
          <w:lang w:val="fr-CA"/>
        </w:rPr>
        <w:t xml:space="preserve">, de </w:t>
      </w:r>
      <w:r w:rsidRPr="000E14A8">
        <w:rPr>
          <w:rFonts w:eastAsiaTheme="minorHAnsi" w:cs="Times New Roman"/>
          <w:noProof/>
          <w:lang w:val="fr-CA"/>
        </w:rPr>
        <w:lastRenderedPageBreak/>
        <w:t>superviser la gestion et de prendre des décisions relativement à la bonne</w:t>
      </w:r>
      <w:r w:rsidRPr="000E14A8">
        <w:rPr>
          <w:rFonts w:eastAsiaTheme="minorHAnsi" w:cs="Times New Roman"/>
          <w:i/>
          <w:noProof/>
          <w:lang w:val="fr-CA"/>
        </w:rPr>
        <w:t xml:space="preserve"> </w:t>
      </w:r>
      <w:r w:rsidRPr="000E14A8">
        <w:rPr>
          <w:rFonts w:eastAsiaTheme="minorHAnsi" w:cs="Times New Roman"/>
          <w:noProof/>
          <w:lang w:val="fr-CA"/>
        </w:rPr>
        <w:t>administration globale</w:t>
      </w:r>
      <w:r w:rsidRPr="000E14A8">
        <w:rPr>
          <w:rFonts w:eastAsiaTheme="minorHAnsi" w:cs="Times New Roman"/>
          <w:i/>
          <w:noProof/>
          <w:lang w:val="fr-CA"/>
        </w:rPr>
        <w:t xml:space="preserve"> </w:t>
      </w:r>
      <w:r w:rsidR="00D5275F" w:rsidRPr="000E14A8">
        <w:rPr>
          <w:rFonts w:cs="Times New Roman"/>
          <w:noProof/>
          <w:lang w:val="fr-CA"/>
        </w:rPr>
        <w:t>[</w:t>
      </w:r>
      <w:r w:rsidR="00D5275F">
        <w:rPr>
          <w:rFonts w:eastAsiaTheme="minorHAnsi" w:cs="Times New Roman"/>
          <w:i/>
          <w:noProof/>
          <w:lang w:val="fr-CA"/>
        </w:rPr>
        <w:t>de la société</w:t>
      </w:r>
      <w:r w:rsidR="00D5275F" w:rsidRPr="000E14A8">
        <w:rPr>
          <w:rFonts w:cs="Times New Roman"/>
          <w:noProof/>
          <w:lang w:val="fr-CA"/>
        </w:rPr>
        <w:t>]</w:t>
      </w:r>
      <w:r w:rsidRPr="000E14A8">
        <w:rPr>
          <w:rFonts w:eastAsiaTheme="minorHAnsi" w:cs="Times New Roman"/>
          <w:noProof/>
          <w:lang w:val="fr-CA"/>
        </w:rPr>
        <w:t> » (par. 56 (souligné dans l</w:t>
      </w:r>
      <w:r>
        <w:rPr>
          <w:rFonts w:eastAsiaTheme="minorHAnsi" w:cs="Times New Roman"/>
          <w:noProof/>
          <w:lang w:val="fr-CA"/>
        </w:rPr>
        <w:t>’</w:t>
      </w:r>
      <w:r w:rsidRPr="000E14A8">
        <w:rPr>
          <w:rFonts w:eastAsiaTheme="minorHAnsi" w:cs="Times New Roman"/>
          <w:noProof/>
          <w:lang w:val="fr-CA"/>
        </w:rPr>
        <w:t>original)) — aurait permis à la société cliente d</w:t>
      </w:r>
      <w:r>
        <w:rPr>
          <w:rFonts w:eastAsiaTheme="minorHAnsi" w:cs="Times New Roman"/>
          <w:noProof/>
          <w:lang w:val="fr-CA"/>
        </w:rPr>
        <w:t>’</w:t>
      </w:r>
      <w:r w:rsidRPr="000E14A8">
        <w:rPr>
          <w:rFonts w:eastAsiaTheme="minorHAnsi" w:cs="Times New Roman"/>
          <w:noProof/>
          <w:lang w:val="fr-CA"/>
        </w:rPr>
        <w:t>être indemnisée pour ses propres pertes au moment de la mise sous séquestre si l</w:t>
      </w:r>
      <w:r>
        <w:rPr>
          <w:rFonts w:eastAsiaTheme="minorHAnsi" w:cs="Times New Roman"/>
          <w:noProof/>
          <w:lang w:val="fr-CA"/>
        </w:rPr>
        <w:t>’</w:t>
      </w:r>
      <w:r w:rsidRPr="000E14A8">
        <w:rPr>
          <w:rFonts w:eastAsiaTheme="minorHAnsi" w:cs="Times New Roman"/>
          <w:noProof/>
          <w:lang w:val="fr-CA"/>
        </w:rPr>
        <w:t>action avait été intentée au nom de la société. Comme nous le verrons, le préjudice subi par Livent par suite du rapport de 1997 est précisément le type de préjudice qualifié d</w:t>
      </w:r>
      <w:r>
        <w:rPr>
          <w:rFonts w:eastAsiaTheme="minorHAnsi" w:cs="Times New Roman"/>
          <w:noProof/>
          <w:lang w:val="fr-CA"/>
        </w:rPr>
        <w:t>’</w:t>
      </w:r>
      <w:r w:rsidRPr="000E14A8">
        <w:rPr>
          <w:rFonts w:eastAsiaTheme="minorHAnsi" w:cs="Times New Roman"/>
          <w:noProof/>
          <w:lang w:val="fr-CA"/>
        </w:rPr>
        <w:t>indemnisable dans l</w:t>
      </w:r>
      <w:r>
        <w:rPr>
          <w:rFonts w:eastAsiaTheme="minorHAnsi" w:cs="Times New Roman"/>
          <w:noProof/>
          <w:lang w:val="fr-CA"/>
        </w:rPr>
        <w:t>’</w:t>
      </w:r>
      <w:r w:rsidRPr="000E14A8">
        <w:rPr>
          <w:rFonts w:eastAsiaTheme="minorHAnsi" w:cs="Times New Roman"/>
          <w:noProof/>
          <w:lang w:val="fr-CA"/>
        </w:rPr>
        <w:t xml:space="preserve">arrêt </w:t>
      </w:r>
      <w:r w:rsidRPr="000E14A8">
        <w:rPr>
          <w:rFonts w:eastAsiaTheme="minorHAnsi" w:cs="Times New Roman"/>
          <w:i/>
          <w:noProof/>
          <w:lang w:val="fr-CA"/>
        </w:rPr>
        <w:t>Hercules</w:t>
      </w:r>
      <w:r w:rsidRPr="000E14A8">
        <w:rPr>
          <w:rFonts w:eastAsiaTheme="minorHAnsi" w:cs="Times New Roman"/>
          <w:noProof/>
          <w:lang w:val="fr-CA"/>
        </w:rPr>
        <w:t>.</w:t>
      </w:r>
    </w:p>
    <w:p w:rsidR="003A506E" w:rsidRPr="000E14A8" w:rsidRDefault="003A506E" w:rsidP="003A506E">
      <w:pPr>
        <w:pStyle w:val="Title3LevelTitre3Niveau"/>
        <w:rPr>
          <w:rFonts w:cs="Times New Roman"/>
          <w:noProof/>
          <w:lang w:val="fr-CA"/>
        </w:rPr>
      </w:pPr>
      <w:r w:rsidRPr="000E14A8">
        <w:rPr>
          <w:rFonts w:cs="Times New Roman"/>
          <w:noProof/>
          <w:lang w:val="fr-CA"/>
        </w:rPr>
        <w:t>L</w:t>
      </w:r>
      <w:r>
        <w:rPr>
          <w:rFonts w:cs="Times New Roman"/>
          <w:noProof/>
          <w:lang w:val="fr-CA"/>
        </w:rPr>
        <w:t>’</w:t>
      </w:r>
      <w:r w:rsidRPr="000E14A8">
        <w:rPr>
          <w:rFonts w:cs="Times New Roman"/>
          <w:noProof/>
          <w:lang w:val="fr-CA"/>
        </w:rPr>
        <w:t xml:space="preserve">arrêt </w:t>
      </w:r>
      <w:r w:rsidRPr="000E14A8">
        <w:rPr>
          <w:rFonts w:cs="Times New Roman"/>
          <w:i/>
          <w:noProof/>
          <w:lang w:val="fr-CA"/>
        </w:rPr>
        <w:t>Cooper</w:t>
      </w:r>
      <w:r w:rsidRPr="000E14A8">
        <w:rPr>
          <w:rFonts w:cs="Times New Roman"/>
          <w:noProof/>
          <w:lang w:val="fr-CA"/>
        </w:rPr>
        <w:t xml:space="preserve"> a précisé le critère de l</w:t>
      </w:r>
      <w:r>
        <w:rPr>
          <w:rFonts w:cs="Times New Roman"/>
          <w:noProof/>
          <w:lang w:val="fr-CA"/>
        </w:rPr>
        <w:t>’</w:t>
      </w:r>
      <w:r w:rsidRPr="000E14A8">
        <w:rPr>
          <w:rFonts w:cs="Times New Roman"/>
          <w:noProof/>
          <w:lang w:val="fr-CA"/>
        </w:rPr>
        <w:t xml:space="preserve">arrêt </w:t>
      </w:r>
      <w:r w:rsidRPr="000E14A8">
        <w:rPr>
          <w:rFonts w:cs="Times New Roman"/>
          <w:i/>
          <w:noProof/>
          <w:lang w:val="fr-CA"/>
        </w:rPr>
        <w:t>Anns</w:t>
      </w:r>
    </w:p>
    <w:p w:rsidR="003A506E" w:rsidRPr="000E14A8" w:rsidRDefault="003A506E" w:rsidP="003A506E">
      <w:pPr>
        <w:pStyle w:val="ParaNoNdepar-AltN"/>
        <w:tabs>
          <w:tab w:val="clear" w:pos="1152"/>
          <w:tab w:val="left" w:pos="1166"/>
        </w:tabs>
        <w:rPr>
          <w:rFonts w:cs="Times New Roman"/>
          <w:noProof/>
          <w:lang w:val="fr-CA"/>
        </w:rPr>
      </w:pPr>
      <w:r w:rsidRPr="000E14A8">
        <w:rPr>
          <w:rFonts w:eastAsiaTheme="minorHAnsi" w:cs="Times New Roman"/>
          <w:noProof/>
          <w:lang w:val="fr-CA"/>
        </w:rPr>
        <w:t>Alors que la décision de la Cour dans</w:t>
      </w:r>
      <w:r w:rsidRPr="000E14A8">
        <w:rPr>
          <w:rFonts w:eastAsiaTheme="minorHAnsi" w:cs="Times New Roman"/>
          <w:i/>
          <w:noProof/>
          <w:lang w:val="fr-CA"/>
        </w:rPr>
        <w:t xml:space="preserve"> Hercules</w:t>
      </w:r>
      <w:r w:rsidRPr="000E14A8">
        <w:rPr>
          <w:rFonts w:eastAsiaTheme="minorHAnsi" w:cs="Times New Roman"/>
          <w:noProof/>
          <w:lang w:val="fr-CA"/>
        </w:rPr>
        <w:t xml:space="preserve"> fait autorité quant à l</w:t>
      </w:r>
      <w:r>
        <w:rPr>
          <w:rFonts w:eastAsiaTheme="minorHAnsi" w:cs="Times New Roman"/>
          <w:noProof/>
          <w:lang w:val="fr-CA"/>
        </w:rPr>
        <w:t>’</w:t>
      </w:r>
      <w:r w:rsidRPr="000E14A8">
        <w:rPr>
          <w:rFonts w:eastAsiaTheme="minorHAnsi" w:cs="Times New Roman"/>
          <w:noProof/>
          <w:lang w:val="fr-CA"/>
        </w:rPr>
        <w:t>obligation de diligence à laquelle un vérificateur est tenu dans le cadre d</w:t>
      </w:r>
      <w:r>
        <w:rPr>
          <w:rFonts w:eastAsiaTheme="minorHAnsi" w:cs="Times New Roman"/>
          <w:noProof/>
          <w:lang w:val="fr-CA"/>
        </w:rPr>
        <w:t>’</w:t>
      </w:r>
      <w:r w:rsidRPr="000E14A8">
        <w:rPr>
          <w:rFonts w:eastAsiaTheme="minorHAnsi" w:cs="Times New Roman"/>
          <w:noProof/>
          <w:lang w:val="fr-CA"/>
        </w:rPr>
        <w:t>une vérification exigée par la loi, le cadre d</w:t>
      </w:r>
      <w:r>
        <w:rPr>
          <w:rFonts w:eastAsiaTheme="minorHAnsi" w:cs="Times New Roman"/>
          <w:noProof/>
          <w:lang w:val="fr-CA"/>
        </w:rPr>
        <w:t>’</w:t>
      </w:r>
      <w:r w:rsidRPr="000E14A8">
        <w:rPr>
          <w:rFonts w:eastAsiaTheme="minorHAnsi" w:cs="Times New Roman"/>
          <w:noProof/>
          <w:lang w:val="fr-CA"/>
        </w:rPr>
        <w:t>analyse permettant de déterminer si cette obligation est retenue a depuis fait l</w:t>
      </w:r>
      <w:r>
        <w:rPr>
          <w:rFonts w:eastAsiaTheme="minorHAnsi" w:cs="Times New Roman"/>
          <w:noProof/>
          <w:lang w:val="fr-CA"/>
        </w:rPr>
        <w:t>’</w:t>
      </w:r>
      <w:r w:rsidRPr="000E14A8">
        <w:rPr>
          <w:rFonts w:eastAsiaTheme="minorHAnsi" w:cs="Times New Roman"/>
          <w:noProof/>
          <w:lang w:val="fr-CA"/>
        </w:rPr>
        <w:t xml:space="preserve">objet de précisions. Dans les affaires connexes </w:t>
      </w:r>
      <w:r w:rsidRPr="000E14A8">
        <w:rPr>
          <w:rFonts w:eastAsiaTheme="minorHAnsi" w:cs="Times New Roman"/>
          <w:i/>
          <w:noProof/>
          <w:lang w:val="fr-CA"/>
        </w:rPr>
        <w:t>Cooper</w:t>
      </w:r>
      <w:r w:rsidRPr="000E14A8">
        <w:rPr>
          <w:rFonts w:eastAsiaTheme="minorHAnsi" w:cs="Times New Roman"/>
          <w:noProof/>
          <w:lang w:val="fr-CA"/>
        </w:rPr>
        <w:t xml:space="preserve"> et</w:t>
      </w:r>
      <w:r w:rsidRPr="000E14A8">
        <w:rPr>
          <w:rFonts w:eastAsiaTheme="minorHAnsi" w:cs="Times New Roman"/>
          <w:i/>
          <w:noProof/>
          <w:lang w:val="fr-CA"/>
        </w:rPr>
        <w:t xml:space="preserve"> Edwards c. Barreau du Haut</w:t>
      </w:r>
      <w:r w:rsidRPr="000E14A8">
        <w:rPr>
          <w:rFonts w:eastAsiaTheme="minorHAnsi" w:cs="Times New Roman"/>
          <w:i/>
          <w:noProof/>
          <w:lang w:val="fr-CA"/>
        </w:rPr>
        <w:noBreakHyphen/>
        <w:t>Canada</w:t>
      </w:r>
      <w:r w:rsidRPr="000E14A8">
        <w:rPr>
          <w:rFonts w:eastAsiaTheme="minorHAnsi" w:cs="Times New Roman"/>
          <w:noProof/>
          <w:lang w:val="fr-CA"/>
        </w:rPr>
        <w:t>, 2001 CSC 80, [2001] 3 R.C.S. 562, notre Cour a révisé le critère de l</w:t>
      </w:r>
      <w:r>
        <w:rPr>
          <w:rFonts w:eastAsiaTheme="minorHAnsi" w:cs="Times New Roman"/>
          <w:noProof/>
          <w:lang w:val="fr-CA"/>
        </w:rPr>
        <w:t>’</w:t>
      </w:r>
      <w:r w:rsidRPr="000E14A8">
        <w:rPr>
          <w:rFonts w:eastAsiaTheme="minorHAnsi" w:cs="Times New Roman"/>
          <w:noProof/>
          <w:lang w:val="fr-CA"/>
        </w:rPr>
        <w:t xml:space="preserve">arrêt </w:t>
      </w:r>
      <w:r w:rsidRPr="000E14A8">
        <w:rPr>
          <w:rFonts w:eastAsiaTheme="minorHAnsi" w:cs="Times New Roman"/>
          <w:i/>
          <w:noProof/>
          <w:lang w:val="fr-CA"/>
        </w:rPr>
        <w:t xml:space="preserve">Anns </w:t>
      </w:r>
      <w:r w:rsidRPr="000E14A8">
        <w:rPr>
          <w:rFonts w:eastAsiaTheme="minorHAnsi" w:cs="Times New Roman"/>
          <w:noProof/>
          <w:lang w:val="fr-CA"/>
        </w:rPr>
        <w:t>en établissant plus clairement la distinction entre la prévisibilité et la proximité, et en mettant l</w:t>
      </w:r>
      <w:r>
        <w:rPr>
          <w:rFonts w:eastAsiaTheme="minorHAnsi" w:cs="Times New Roman"/>
          <w:noProof/>
          <w:lang w:val="fr-CA"/>
        </w:rPr>
        <w:t>’</w:t>
      </w:r>
      <w:r w:rsidRPr="000E14A8">
        <w:rPr>
          <w:rFonts w:eastAsiaTheme="minorHAnsi" w:cs="Times New Roman"/>
          <w:noProof/>
          <w:lang w:val="fr-CA"/>
        </w:rPr>
        <w:t>accent sur une application plus stricte du premier volet de l</w:t>
      </w:r>
      <w:r>
        <w:rPr>
          <w:rFonts w:eastAsiaTheme="minorHAnsi" w:cs="Times New Roman"/>
          <w:noProof/>
          <w:lang w:val="fr-CA"/>
        </w:rPr>
        <w:t>’</w:t>
      </w:r>
      <w:r w:rsidRPr="000E14A8">
        <w:rPr>
          <w:rFonts w:eastAsiaTheme="minorHAnsi" w:cs="Times New Roman"/>
          <w:noProof/>
          <w:lang w:val="fr-CA"/>
        </w:rPr>
        <w:t>analyse (</w:t>
      </w:r>
      <w:r w:rsidRPr="000E14A8">
        <w:rPr>
          <w:rFonts w:eastAsiaTheme="minorHAnsi" w:cs="Times New Roman"/>
          <w:i/>
          <w:noProof/>
          <w:lang w:val="fr-CA"/>
        </w:rPr>
        <w:t>Cooper</w:t>
      </w:r>
      <w:r w:rsidRPr="000E14A8">
        <w:rPr>
          <w:rFonts w:eastAsiaTheme="minorHAnsi" w:cs="Times New Roman"/>
          <w:noProof/>
          <w:lang w:val="fr-CA"/>
        </w:rPr>
        <w:t>, par. 30). Donc, alors que nous nous appuyons sur l</w:t>
      </w:r>
      <w:r>
        <w:rPr>
          <w:rFonts w:eastAsiaTheme="minorHAnsi" w:cs="Times New Roman"/>
          <w:noProof/>
          <w:lang w:val="fr-CA"/>
        </w:rPr>
        <w:t>’</w:t>
      </w:r>
      <w:r w:rsidRPr="000E14A8">
        <w:rPr>
          <w:rFonts w:eastAsiaTheme="minorHAnsi" w:cs="Times New Roman"/>
          <w:noProof/>
          <w:lang w:val="fr-CA"/>
        </w:rPr>
        <w:t xml:space="preserve">arrêt </w:t>
      </w:r>
      <w:r w:rsidRPr="000E14A8">
        <w:rPr>
          <w:rFonts w:eastAsiaTheme="minorHAnsi" w:cs="Times New Roman"/>
          <w:i/>
          <w:noProof/>
          <w:lang w:val="fr-CA"/>
        </w:rPr>
        <w:t>Hercules</w:t>
      </w:r>
      <w:r w:rsidRPr="000E14A8">
        <w:rPr>
          <w:rFonts w:eastAsiaTheme="minorHAnsi" w:cs="Times New Roman"/>
          <w:noProof/>
          <w:lang w:val="fr-CA"/>
        </w:rPr>
        <w:t xml:space="preserve"> pour affirmer que le vérificateur peut avoir envers son client une obligation de diligence relativement à un engagement particulier, c</w:t>
      </w:r>
      <w:r>
        <w:rPr>
          <w:rFonts w:eastAsiaTheme="minorHAnsi" w:cs="Times New Roman"/>
          <w:noProof/>
          <w:lang w:val="fr-CA"/>
        </w:rPr>
        <w:t>’</w:t>
      </w:r>
      <w:r w:rsidRPr="000E14A8">
        <w:rPr>
          <w:rFonts w:eastAsiaTheme="minorHAnsi" w:cs="Times New Roman"/>
          <w:noProof/>
          <w:lang w:val="fr-CA"/>
        </w:rPr>
        <w:t>est au cadre d</w:t>
      </w:r>
      <w:r>
        <w:rPr>
          <w:rFonts w:eastAsiaTheme="minorHAnsi" w:cs="Times New Roman"/>
          <w:noProof/>
          <w:lang w:val="fr-CA"/>
        </w:rPr>
        <w:t>’</w:t>
      </w:r>
      <w:r w:rsidRPr="000E14A8">
        <w:rPr>
          <w:rFonts w:eastAsiaTheme="minorHAnsi" w:cs="Times New Roman"/>
          <w:noProof/>
          <w:lang w:val="fr-CA"/>
        </w:rPr>
        <w:t xml:space="preserve">analyse des arrêts </w:t>
      </w:r>
      <w:r w:rsidRPr="000E14A8">
        <w:rPr>
          <w:rFonts w:eastAsiaTheme="minorHAnsi" w:cs="Times New Roman"/>
          <w:i/>
          <w:noProof/>
          <w:lang w:val="fr-CA"/>
        </w:rPr>
        <w:t xml:space="preserve">Anns </w:t>
      </w:r>
      <w:r w:rsidRPr="000E14A8">
        <w:rPr>
          <w:rFonts w:eastAsiaTheme="minorHAnsi" w:cs="Times New Roman"/>
          <w:noProof/>
          <w:lang w:val="fr-CA"/>
        </w:rPr>
        <w:t xml:space="preserve">et </w:t>
      </w:r>
      <w:r w:rsidRPr="000E14A8">
        <w:rPr>
          <w:rFonts w:eastAsiaTheme="minorHAnsi" w:cs="Times New Roman"/>
          <w:i/>
          <w:noProof/>
          <w:lang w:val="fr-CA"/>
        </w:rPr>
        <w:t>Cooper</w:t>
      </w:r>
      <w:r w:rsidRPr="000E14A8">
        <w:rPr>
          <w:rFonts w:eastAsiaTheme="minorHAnsi" w:cs="Times New Roman"/>
          <w:noProof/>
          <w:lang w:val="fr-CA"/>
        </w:rPr>
        <w:t xml:space="preserve"> que nous devons nous reporter pour déterminer si une raison de principe justifie d</w:t>
      </w:r>
      <w:r>
        <w:rPr>
          <w:rFonts w:eastAsiaTheme="minorHAnsi" w:cs="Times New Roman"/>
          <w:noProof/>
          <w:lang w:val="fr-CA"/>
        </w:rPr>
        <w:t>’</w:t>
      </w:r>
      <w:r w:rsidRPr="000E14A8">
        <w:rPr>
          <w:rFonts w:eastAsiaTheme="minorHAnsi" w:cs="Times New Roman"/>
          <w:noProof/>
          <w:lang w:val="fr-CA"/>
        </w:rPr>
        <w:t>imputer une responsabilité. Et s</w:t>
      </w:r>
      <w:r>
        <w:rPr>
          <w:rFonts w:eastAsiaTheme="minorHAnsi" w:cs="Times New Roman"/>
          <w:noProof/>
          <w:lang w:val="fr-CA"/>
        </w:rPr>
        <w:t>’</w:t>
      </w:r>
      <w:r w:rsidRPr="000E14A8">
        <w:rPr>
          <w:rFonts w:eastAsiaTheme="minorHAnsi" w:cs="Times New Roman"/>
          <w:noProof/>
          <w:lang w:val="fr-CA"/>
        </w:rPr>
        <w:t>il est appliqué correctement, ce cadre d</w:t>
      </w:r>
      <w:r>
        <w:rPr>
          <w:rFonts w:eastAsiaTheme="minorHAnsi" w:cs="Times New Roman"/>
          <w:noProof/>
          <w:lang w:val="fr-CA"/>
        </w:rPr>
        <w:t>’</w:t>
      </w:r>
      <w:r w:rsidRPr="000E14A8">
        <w:rPr>
          <w:rFonts w:eastAsiaTheme="minorHAnsi" w:cs="Times New Roman"/>
          <w:noProof/>
          <w:lang w:val="fr-CA"/>
        </w:rPr>
        <w:t>analyse ne permettra que rarement, voire jamais, de conclure à l</w:t>
      </w:r>
      <w:r>
        <w:rPr>
          <w:rFonts w:eastAsiaTheme="minorHAnsi" w:cs="Times New Roman"/>
          <w:noProof/>
          <w:lang w:val="fr-CA"/>
        </w:rPr>
        <w:t>’</w:t>
      </w:r>
      <w:r w:rsidRPr="000E14A8">
        <w:rPr>
          <w:rFonts w:eastAsiaTheme="minorHAnsi" w:cs="Times New Roman"/>
          <w:noProof/>
          <w:lang w:val="fr-CA"/>
        </w:rPr>
        <w:t>existence d</w:t>
      </w:r>
      <w:r>
        <w:rPr>
          <w:rFonts w:eastAsiaTheme="minorHAnsi" w:cs="Times New Roman"/>
          <w:noProof/>
          <w:lang w:val="fr-CA"/>
        </w:rPr>
        <w:t>’</w:t>
      </w:r>
      <w:r w:rsidRPr="000E14A8">
        <w:rPr>
          <w:rFonts w:eastAsiaTheme="minorHAnsi" w:cs="Times New Roman"/>
          <w:noProof/>
          <w:lang w:val="fr-CA"/>
        </w:rPr>
        <w:t xml:space="preserve">une obligation de diligence </w:t>
      </w:r>
      <w:r w:rsidRPr="000E14A8">
        <w:rPr>
          <w:rFonts w:eastAsiaTheme="minorHAnsi" w:cs="Times New Roman"/>
          <w:i/>
          <w:noProof/>
          <w:lang w:val="fr-CA"/>
        </w:rPr>
        <w:t xml:space="preserve">prima facie </w:t>
      </w:r>
      <w:r w:rsidRPr="000E14A8">
        <w:rPr>
          <w:rFonts w:eastAsiaTheme="minorHAnsi" w:cs="Times New Roman"/>
          <w:noProof/>
          <w:lang w:val="fr-CA"/>
        </w:rPr>
        <w:t xml:space="preserve">susceptible de donner lieu à une responsabilité indéterminée. En conséquence, et en tout respect pour les </w:t>
      </w:r>
      <w:r w:rsidRPr="000E14A8">
        <w:rPr>
          <w:rFonts w:eastAsiaTheme="minorHAnsi" w:cs="Times New Roman"/>
          <w:noProof/>
          <w:lang w:val="fr-CA"/>
        </w:rPr>
        <w:lastRenderedPageBreak/>
        <w:t>opinions contraires, il n</w:t>
      </w:r>
      <w:r>
        <w:rPr>
          <w:rFonts w:eastAsiaTheme="minorHAnsi" w:cs="Times New Roman"/>
          <w:noProof/>
          <w:lang w:val="fr-CA"/>
        </w:rPr>
        <w:t>’</w:t>
      </w:r>
      <w:r w:rsidRPr="000E14A8">
        <w:rPr>
          <w:rFonts w:eastAsiaTheme="minorHAnsi" w:cs="Times New Roman"/>
          <w:noProof/>
          <w:lang w:val="fr-CA"/>
        </w:rPr>
        <w:t>y a pas de raison de recourir au deuxième volet du critère pour rejeter toute responsabilité en l</w:t>
      </w:r>
      <w:r>
        <w:rPr>
          <w:rFonts w:eastAsiaTheme="minorHAnsi" w:cs="Times New Roman"/>
          <w:noProof/>
          <w:lang w:val="fr-CA"/>
        </w:rPr>
        <w:t>’</w:t>
      </w:r>
      <w:r w:rsidRPr="000E14A8">
        <w:rPr>
          <w:rFonts w:eastAsiaTheme="minorHAnsi" w:cs="Times New Roman"/>
          <w:noProof/>
          <w:lang w:val="fr-CA"/>
        </w:rPr>
        <w:t>espèce.</w:t>
      </w:r>
      <w:r w:rsidRPr="000E14A8" w:rsidDel="002A0445">
        <w:rPr>
          <w:rFonts w:eastAsiaTheme="minorHAnsi" w:cs="Times New Roman"/>
          <w:noProof/>
          <w:lang w:val="fr-CA"/>
        </w:rPr>
        <w:t xml:space="preserve"> </w:t>
      </w:r>
    </w:p>
    <w:p w:rsidR="003A506E" w:rsidRPr="000E14A8" w:rsidRDefault="003A506E" w:rsidP="003A506E">
      <w:pPr>
        <w:pStyle w:val="Title4LevelTitre4Niveau"/>
        <w:rPr>
          <w:rFonts w:cs="Times New Roman"/>
          <w:noProof/>
          <w:lang w:val="fr-CA"/>
        </w:rPr>
      </w:pPr>
      <w:r w:rsidRPr="000E14A8">
        <w:rPr>
          <w:rFonts w:cs="Times New Roman"/>
          <w:noProof/>
          <w:lang w:val="fr-CA"/>
        </w:rPr>
        <w:t xml:space="preserve">Premier volet : obligation de diligence prima facie </w:t>
      </w:r>
    </w:p>
    <w:p w:rsidR="003A506E" w:rsidRPr="000E14A8" w:rsidRDefault="003A506E" w:rsidP="003A506E">
      <w:pPr>
        <w:pStyle w:val="ParaNoNdepar-AltN"/>
        <w:rPr>
          <w:rFonts w:cs="Times New Roman"/>
          <w:noProof/>
          <w:lang w:val="fr-CA"/>
        </w:rPr>
      </w:pPr>
      <w:r w:rsidRPr="000E14A8">
        <w:rPr>
          <w:rFonts w:cs="Times New Roman"/>
          <w:noProof/>
          <w:lang w:val="fr-CA"/>
        </w:rPr>
        <w:t>Dans l</w:t>
      </w:r>
      <w:r>
        <w:rPr>
          <w:rFonts w:cs="Times New Roman"/>
          <w:noProof/>
          <w:lang w:val="fr-CA"/>
        </w:rPr>
        <w:t>’</w:t>
      </w:r>
      <w:r w:rsidRPr="000E14A8">
        <w:rPr>
          <w:rFonts w:cs="Times New Roman"/>
          <w:noProof/>
          <w:lang w:val="fr-CA"/>
        </w:rPr>
        <w:t xml:space="preserve">arrêt </w:t>
      </w:r>
      <w:r w:rsidRPr="000E14A8">
        <w:rPr>
          <w:rFonts w:cs="Times New Roman"/>
          <w:i/>
          <w:noProof/>
          <w:lang w:val="fr-CA"/>
        </w:rPr>
        <w:t>Cooper</w:t>
      </w:r>
      <w:r w:rsidRPr="000E14A8">
        <w:rPr>
          <w:rFonts w:cs="Times New Roman"/>
          <w:noProof/>
          <w:lang w:val="fr-CA"/>
        </w:rPr>
        <w:t>, notre Cour a reconnu que la « prévisibilité ne suffit pas à elle seule » pour établir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 xml:space="preserve">une obligation de diligence </w:t>
      </w:r>
      <w:r w:rsidRPr="000E14A8">
        <w:rPr>
          <w:rFonts w:cs="Times New Roman"/>
          <w:i/>
          <w:noProof/>
          <w:lang w:val="fr-CA"/>
        </w:rPr>
        <w:t xml:space="preserve">prima facie </w:t>
      </w:r>
      <w:r w:rsidRPr="000E14A8">
        <w:rPr>
          <w:rFonts w:cs="Times New Roman"/>
          <w:noProof/>
          <w:lang w:val="fr-CA"/>
        </w:rPr>
        <w:t xml:space="preserve">(par. 22; voir aussi </w:t>
      </w:r>
      <w:r w:rsidRPr="000E14A8">
        <w:rPr>
          <w:rFonts w:cs="Times New Roman"/>
          <w:i/>
          <w:noProof/>
          <w:lang w:val="fr-CA"/>
        </w:rPr>
        <w:t>Edwards</w:t>
      </w:r>
      <w:r w:rsidRPr="000E14A8">
        <w:rPr>
          <w:rFonts w:cs="Times New Roman"/>
          <w:noProof/>
          <w:lang w:val="fr-CA"/>
        </w:rPr>
        <w:t>, par. 9). La Cour s</w:t>
      </w:r>
      <w:r>
        <w:rPr>
          <w:rFonts w:cs="Times New Roman"/>
          <w:noProof/>
          <w:lang w:val="fr-CA"/>
        </w:rPr>
        <w:t>’</w:t>
      </w:r>
      <w:r w:rsidRPr="000E14A8">
        <w:rPr>
          <w:rFonts w:cs="Times New Roman"/>
          <w:noProof/>
          <w:lang w:val="fr-CA"/>
        </w:rPr>
        <w:t>est ainsi éloignée du critère de l</w:t>
      </w:r>
      <w:r>
        <w:rPr>
          <w:rFonts w:cs="Times New Roman"/>
          <w:noProof/>
          <w:lang w:val="fr-CA"/>
        </w:rPr>
        <w:t>’</w:t>
      </w:r>
      <w:r w:rsidRPr="000E14A8">
        <w:rPr>
          <w:rFonts w:cs="Times New Roman"/>
          <w:noProof/>
          <w:lang w:val="fr-CA"/>
        </w:rPr>
        <w:t>arrêt </w:t>
      </w:r>
      <w:r w:rsidRPr="000E14A8">
        <w:rPr>
          <w:rFonts w:cs="Times New Roman"/>
          <w:i/>
          <w:noProof/>
          <w:lang w:val="fr-CA"/>
        </w:rPr>
        <w:t>Anns</w:t>
      </w:r>
      <w:r w:rsidRPr="000E14A8">
        <w:rPr>
          <w:rFonts w:cs="Times New Roman"/>
          <w:noProof/>
          <w:lang w:val="fr-CA"/>
        </w:rPr>
        <w:t>, qui avait fondé la reconnaissance d</w:t>
      </w:r>
      <w:r>
        <w:rPr>
          <w:rFonts w:cs="Times New Roman"/>
          <w:noProof/>
          <w:lang w:val="fr-CA"/>
        </w:rPr>
        <w:t>’</w:t>
      </w:r>
      <w:r w:rsidRPr="000E14A8">
        <w:rPr>
          <w:rFonts w:cs="Times New Roman"/>
          <w:noProof/>
          <w:lang w:val="fr-CA"/>
        </w:rPr>
        <w:t xml:space="preserve">une obligation </w:t>
      </w:r>
      <w:r w:rsidRPr="000E14A8">
        <w:rPr>
          <w:rFonts w:cs="Times New Roman"/>
          <w:i/>
          <w:noProof/>
          <w:lang w:val="fr-CA"/>
        </w:rPr>
        <w:t>prima facie</w:t>
      </w:r>
      <w:r w:rsidRPr="000E14A8">
        <w:rPr>
          <w:rFonts w:cs="Times New Roman"/>
          <w:noProof/>
          <w:lang w:val="fr-CA"/>
        </w:rPr>
        <w:t xml:space="preserve"> sur la simple prévisibilité du préjudice (</w:t>
      </w:r>
      <w:r w:rsidRPr="000E14A8">
        <w:rPr>
          <w:rFonts w:cs="Times New Roman"/>
          <w:i/>
          <w:noProof/>
          <w:lang w:val="fr-CA"/>
        </w:rPr>
        <w:t>Hercules</w:t>
      </w:r>
      <w:r w:rsidRPr="000E14A8">
        <w:rPr>
          <w:rFonts w:cs="Times New Roman"/>
          <w:noProof/>
          <w:lang w:val="fr-CA"/>
        </w:rPr>
        <w:t xml:space="preserve">, par. 25 et 27; </w:t>
      </w:r>
      <w:r w:rsidRPr="000E14A8">
        <w:rPr>
          <w:rFonts w:cs="Times New Roman"/>
          <w:i/>
          <w:noProof/>
          <w:lang w:val="fr-CA"/>
        </w:rPr>
        <w:t>Norsk</w:t>
      </w:r>
      <w:r w:rsidRPr="000E14A8">
        <w:rPr>
          <w:rFonts w:cs="Times New Roman"/>
          <w:noProof/>
          <w:lang w:val="fr-CA"/>
        </w:rPr>
        <w:t xml:space="preserve">, p. 1154; </w:t>
      </w:r>
      <w:r w:rsidRPr="000E14A8">
        <w:rPr>
          <w:rFonts w:cs="Times New Roman"/>
          <w:i/>
          <w:noProof/>
          <w:lang w:val="fr-CA"/>
        </w:rPr>
        <w:t>Bow Valley</w:t>
      </w:r>
      <w:r w:rsidRPr="000E14A8">
        <w:rPr>
          <w:rFonts w:cs="Times New Roman"/>
          <w:noProof/>
          <w:lang w:val="fr-CA"/>
        </w:rPr>
        <w:t>, par. 61). Depuis l</w:t>
      </w:r>
      <w:r>
        <w:rPr>
          <w:rFonts w:cs="Times New Roman"/>
          <w:noProof/>
          <w:lang w:val="fr-CA"/>
        </w:rPr>
        <w:t>’</w:t>
      </w:r>
      <w:r w:rsidRPr="000E14A8">
        <w:rPr>
          <w:rFonts w:cs="Times New Roman"/>
          <w:noProof/>
          <w:lang w:val="fr-CA"/>
        </w:rPr>
        <w:t xml:space="preserve">arrêt </w:t>
      </w:r>
      <w:r w:rsidRPr="000E14A8">
        <w:rPr>
          <w:rFonts w:cs="Times New Roman"/>
          <w:i/>
          <w:noProof/>
          <w:lang w:val="fr-CA"/>
        </w:rPr>
        <w:t>Cooper</w:t>
      </w:r>
      <w:r w:rsidRPr="000E14A8">
        <w:rPr>
          <w:rFonts w:cs="Times New Roman"/>
          <w:noProof/>
          <w:lang w:val="fr-CA"/>
        </w:rPr>
        <w:t>, le premier volet du cadre d</w:t>
      </w:r>
      <w:r>
        <w:rPr>
          <w:rFonts w:cs="Times New Roman"/>
          <w:noProof/>
          <w:lang w:val="fr-CA"/>
        </w:rPr>
        <w:t>’</w:t>
      </w:r>
      <w:r w:rsidRPr="000E14A8">
        <w:rPr>
          <w:rFonts w:cs="Times New Roman"/>
          <w:noProof/>
          <w:lang w:val="fr-CA"/>
        </w:rPr>
        <w:t xml:space="preserve">analyse des arrêts </w:t>
      </w:r>
      <w:r w:rsidRPr="000E14A8">
        <w:rPr>
          <w:rFonts w:cs="Times New Roman"/>
          <w:i/>
          <w:noProof/>
          <w:lang w:val="fr-CA"/>
        </w:rPr>
        <w:t xml:space="preserve">Anns </w:t>
      </w:r>
      <w:r w:rsidRPr="000E14A8">
        <w:rPr>
          <w:rFonts w:cs="Times New Roman"/>
          <w:noProof/>
          <w:lang w:val="fr-CA"/>
        </w:rPr>
        <w:t>et</w:t>
      </w:r>
      <w:r w:rsidRPr="000E14A8">
        <w:rPr>
          <w:rFonts w:cs="Times New Roman"/>
          <w:i/>
          <w:noProof/>
          <w:lang w:val="fr-CA"/>
        </w:rPr>
        <w:t xml:space="preserve"> Cooper</w:t>
      </w:r>
      <w:r w:rsidRPr="000E14A8">
        <w:rPr>
          <w:rFonts w:cs="Times New Roman"/>
          <w:noProof/>
          <w:lang w:val="fr-CA"/>
        </w:rPr>
        <w:t xml:space="preserve"> exige « autre chose » (</w:t>
      </w:r>
      <w:r w:rsidRPr="000E14A8">
        <w:rPr>
          <w:rFonts w:cs="Times New Roman"/>
          <w:i/>
          <w:noProof/>
          <w:lang w:val="fr-CA"/>
        </w:rPr>
        <w:t>Cooper</w:t>
      </w:r>
      <w:r w:rsidRPr="000E14A8">
        <w:rPr>
          <w:rFonts w:cs="Times New Roman"/>
          <w:noProof/>
          <w:lang w:val="fr-CA"/>
        </w:rPr>
        <w:t>,</w:t>
      </w:r>
      <w:r w:rsidRPr="000E14A8">
        <w:rPr>
          <w:rFonts w:cs="Times New Roman"/>
          <w:i/>
          <w:noProof/>
          <w:lang w:val="fr-CA"/>
        </w:rPr>
        <w:t xml:space="preserve"> </w:t>
      </w:r>
      <w:r w:rsidRPr="000E14A8">
        <w:rPr>
          <w:rFonts w:cs="Times New Roman"/>
          <w:noProof/>
          <w:lang w:val="fr-CA"/>
        </w:rPr>
        <w:t xml:space="preserve">par. 29). Cette « autre chose » correspond au </w:t>
      </w:r>
      <w:r w:rsidRPr="000E14A8">
        <w:rPr>
          <w:rFonts w:cs="Times New Roman"/>
          <w:i/>
          <w:noProof/>
          <w:lang w:val="fr-CA"/>
        </w:rPr>
        <w:t xml:space="preserve">lien de proximitié </w:t>
      </w:r>
      <w:r w:rsidRPr="000E14A8">
        <w:rPr>
          <w:rFonts w:cs="Times New Roman"/>
          <w:noProof/>
          <w:lang w:val="fr-CA"/>
        </w:rPr>
        <w:t>(</w:t>
      </w:r>
      <w:r w:rsidRPr="000E14A8">
        <w:rPr>
          <w:rFonts w:cs="Times New Roman"/>
          <w:i/>
          <w:noProof/>
          <w:lang w:val="fr-CA"/>
        </w:rPr>
        <w:t>Succession Odhavji c. Woodhouse</w:t>
      </w:r>
      <w:r w:rsidRPr="000E14A8">
        <w:rPr>
          <w:rFonts w:cs="Times New Roman"/>
          <w:noProof/>
          <w:lang w:val="fr-CA"/>
        </w:rPr>
        <w:t>,</w:t>
      </w:r>
      <w:r w:rsidRPr="000E14A8">
        <w:rPr>
          <w:rFonts w:cs="Times New Roman"/>
          <w:i/>
          <w:noProof/>
          <w:lang w:val="fr-CA"/>
        </w:rPr>
        <w:t xml:space="preserve"> </w:t>
      </w:r>
      <w:r w:rsidRPr="000E14A8">
        <w:rPr>
          <w:rFonts w:cs="Times New Roman"/>
          <w:noProof/>
          <w:lang w:val="fr-CA"/>
        </w:rPr>
        <w:t>2003 CSC 69, [2003] 3 R.C.S. 263, par. 47</w:t>
      </w:r>
      <w:r w:rsidRPr="000E14A8">
        <w:rPr>
          <w:rFonts w:cs="Times New Roman"/>
          <w:noProof/>
          <w:lang w:val="fr-CA"/>
        </w:rPr>
        <w:noBreakHyphen/>
        <w:t xml:space="preserve">48; </w:t>
      </w:r>
      <w:r w:rsidRPr="000E14A8">
        <w:rPr>
          <w:rFonts w:cs="Times New Roman"/>
          <w:i/>
          <w:noProof/>
          <w:lang w:val="fr-CA"/>
        </w:rPr>
        <w:t>Childs c. Desormeaux</w:t>
      </w:r>
      <w:r w:rsidRPr="000E14A8">
        <w:rPr>
          <w:rFonts w:cs="Times New Roman"/>
          <w:noProof/>
          <w:lang w:val="fr-CA"/>
        </w:rPr>
        <w:t>,</w:t>
      </w:r>
      <w:r w:rsidRPr="000E14A8">
        <w:rPr>
          <w:rFonts w:cs="Times New Roman"/>
          <w:i/>
          <w:noProof/>
          <w:lang w:val="fr-CA"/>
        </w:rPr>
        <w:t xml:space="preserve"> </w:t>
      </w:r>
      <w:r w:rsidRPr="000E14A8">
        <w:rPr>
          <w:rFonts w:cs="Times New Roman"/>
          <w:noProof/>
          <w:lang w:val="fr-CA"/>
        </w:rPr>
        <w:t xml:space="preserve">2006 CSC 18, [2006] 1 R.C.S. 643, par. 12; </w:t>
      </w:r>
      <w:r w:rsidRPr="000E14A8">
        <w:rPr>
          <w:rFonts w:cs="Times New Roman"/>
          <w:i/>
          <w:noProof/>
          <w:lang w:val="fr-CA"/>
        </w:rPr>
        <w:t>Hill c. Commission des services policiers de la municipalité régionale de Hamilton</w:t>
      </w:r>
      <w:r w:rsidRPr="000E14A8">
        <w:rPr>
          <w:rFonts w:cs="Times New Roman"/>
          <w:i/>
          <w:noProof/>
          <w:lang w:val="fr-CA"/>
        </w:rPr>
        <w:noBreakHyphen/>
        <w:t>Wentworth</w:t>
      </w:r>
      <w:r w:rsidRPr="000E14A8">
        <w:rPr>
          <w:rFonts w:cs="Times New Roman"/>
          <w:noProof/>
          <w:lang w:val="fr-CA"/>
        </w:rPr>
        <w:t xml:space="preserve">, 2007 CSC 41, [2007] 3 R.C.S. 129, par. 23; et </w:t>
      </w:r>
      <w:r w:rsidRPr="000E14A8">
        <w:rPr>
          <w:rFonts w:cs="Times New Roman"/>
          <w:i/>
          <w:noProof/>
          <w:lang w:val="fr-CA"/>
        </w:rPr>
        <w:t>Fullowka c. Pinkerton</w:t>
      </w:r>
      <w:r>
        <w:rPr>
          <w:rFonts w:cs="Times New Roman"/>
          <w:i/>
          <w:noProof/>
          <w:lang w:val="fr-CA"/>
        </w:rPr>
        <w:t>’</w:t>
      </w:r>
      <w:r w:rsidRPr="000E14A8">
        <w:rPr>
          <w:rFonts w:cs="Times New Roman"/>
          <w:i/>
          <w:noProof/>
          <w:lang w:val="fr-CA"/>
        </w:rPr>
        <w:t>s of Canada Ltd.</w:t>
      </w:r>
      <w:r w:rsidRPr="000E14A8">
        <w:rPr>
          <w:rFonts w:cs="Times New Roman"/>
          <w:noProof/>
          <w:lang w:val="fr-CA"/>
        </w:rPr>
        <w:t xml:space="preserve">, 2010 CSC 5, [2010] 1 R.C.S. 132, par. 18). </w:t>
      </w:r>
    </w:p>
    <w:p w:rsidR="003A506E" w:rsidRPr="000E14A8" w:rsidRDefault="003A506E" w:rsidP="003A506E">
      <w:pPr>
        <w:pStyle w:val="ParaNoNdepar-AltN"/>
        <w:tabs>
          <w:tab w:val="clear" w:pos="1152"/>
          <w:tab w:val="left" w:pos="1166"/>
        </w:tabs>
        <w:rPr>
          <w:rFonts w:cs="Times New Roman"/>
          <w:noProof/>
          <w:lang w:val="fr-CA"/>
        </w:rPr>
      </w:pPr>
      <w:r w:rsidRPr="000E14A8">
        <w:rPr>
          <w:rFonts w:cs="Times New Roman"/>
          <w:noProof/>
          <w:lang w:val="fr-CA"/>
        </w:rPr>
        <w:t>Dans l</w:t>
      </w:r>
      <w:r>
        <w:rPr>
          <w:rFonts w:cs="Times New Roman"/>
          <w:noProof/>
          <w:lang w:val="fr-CA"/>
        </w:rPr>
        <w:t>’</w:t>
      </w:r>
      <w:r w:rsidRPr="000E14A8">
        <w:rPr>
          <w:rFonts w:cs="Times New Roman"/>
          <w:noProof/>
          <w:lang w:val="fr-CA"/>
        </w:rPr>
        <w:t xml:space="preserve">arrêt </w:t>
      </w:r>
      <w:r w:rsidRPr="000E14A8">
        <w:rPr>
          <w:rFonts w:cs="Times New Roman"/>
          <w:i/>
          <w:noProof/>
          <w:lang w:val="fr-CA"/>
        </w:rPr>
        <w:t>Cooper</w:t>
      </w:r>
      <w:r w:rsidRPr="000E14A8">
        <w:rPr>
          <w:rFonts w:cs="Times New Roman"/>
          <w:noProof/>
          <w:lang w:val="fr-CA"/>
        </w:rPr>
        <w:t>, la Cour n</w:t>
      </w:r>
      <w:r>
        <w:rPr>
          <w:rFonts w:cs="Times New Roman"/>
          <w:noProof/>
          <w:lang w:val="fr-CA"/>
        </w:rPr>
        <w:t>’</w:t>
      </w:r>
      <w:r w:rsidRPr="000E14A8">
        <w:rPr>
          <w:rFonts w:cs="Times New Roman"/>
          <w:noProof/>
          <w:lang w:val="fr-CA"/>
        </w:rPr>
        <w:t>a pas indiqué s</w:t>
      </w:r>
      <w:r>
        <w:rPr>
          <w:rFonts w:cs="Times New Roman"/>
          <w:noProof/>
          <w:lang w:val="fr-CA"/>
        </w:rPr>
        <w:t>’</w:t>
      </w:r>
      <w:r w:rsidRPr="000E14A8">
        <w:rPr>
          <w:rFonts w:cs="Times New Roman"/>
          <w:noProof/>
          <w:lang w:val="fr-CA"/>
        </w:rPr>
        <w:t>il convenait d</w:t>
      </w:r>
      <w:r>
        <w:rPr>
          <w:rFonts w:cs="Times New Roman"/>
          <w:noProof/>
          <w:lang w:val="fr-CA"/>
        </w:rPr>
        <w:t>’</w:t>
      </w:r>
      <w:r w:rsidRPr="000E14A8">
        <w:rPr>
          <w:rFonts w:cs="Times New Roman"/>
          <w:noProof/>
          <w:lang w:val="fr-CA"/>
        </w:rPr>
        <w:t>examiner d</w:t>
      </w:r>
      <w:r>
        <w:rPr>
          <w:rFonts w:cs="Times New Roman"/>
          <w:noProof/>
          <w:lang w:val="fr-CA"/>
        </w:rPr>
        <w:t>’</w:t>
      </w:r>
      <w:r w:rsidRPr="000E14A8">
        <w:rPr>
          <w:rFonts w:cs="Times New Roman"/>
          <w:noProof/>
          <w:lang w:val="fr-CA"/>
        </w:rPr>
        <w:t>abord le lien de proximité ou la prévisibilité raisonnable. Dans les cas de déclaration inexacte faite par négligence ou de prestation négligente d</w:t>
      </w:r>
      <w:r>
        <w:rPr>
          <w:rFonts w:cs="Times New Roman"/>
          <w:noProof/>
          <w:lang w:val="fr-CA"/>
        </w:rPr>
        <w:t>’</w:t>
      </w:r>
      <w:r w:rsidRPr="000E14A8">
        <w:rPr>
          <w:rFonts w:cs="Times New Roman"/>
          <w:noProof/>
          <w:lang w:val="fr-CA"/>
        </w:rPr>
        <w:t>un service, cependant, il sera plus utile d</w:t>
      </w:r>
      <w:r>
        <w:rPr>
          <w:rFonts w:cs="Times New Roman"/>
          <w:noProof/>
          <w:lang w:val="fr-CA"/>
        </w:rPr>
        <w:t>’</w:t>
      </w:r>
      <w:r w:rsidRPr="000E14A8">
        <w:rPr>
          <w:rFonts w:cs="Times New Roman"/>
          <w:noProof/>
          <w:lang w:val="fr-CA"/>
        </w:rPr>
        <w:t>examiner le lien de proximité avant la prévisibilité. Les conséquences auxquelles le défendeur peut raisonnablement s</w:t>
      </w:r>
      <w:r>
        <w:rPr>
          <w:rFonts w:cs="Times New Roman"/>
          <w:noProof/>
          <w:lang w:val="fr-CA"/>
        </w:rPr>
        <w:t>’</w:t>
      </w:r>
      <w:r w:rsidRPr="000E14A8">
        <w:rPr>
          <w:rFonts w:cs="Times New Roman"/>
          <w:noProof/>
          <w:lang w:val="fr-CA"/>
        </w:rPr>
        <w:t>attendre en raison de sa négligence dépendent des caractéristiques de ses liens avec le demandeur et, en particulier dans ces cas, de l</w:t>
      </w:r>
      <w:r>
        <w:rPr>
          <w:rFonts w:cs="Times New Roman"/>
          <w:noProof/>
          <w:lang w:val="fr-CA"/>
        </w:rPr>
        <w:t>’</w:t>
      </w:r>
      <w:r w:rsidRPr="000E14A8">
        <w:rPr>
          <w:rFonts w:cs="Times New Roman"/>
          <w:noProof/>
          <w:lang w:val="fr-CA"/>
        </w:rPr>
        <w:t>objet de l</w:t>
      </w:r>
      <w:r>
        <w:rPr>
          <w:rFonts w:cs="Times New Roman"/>
          <w:noProof/>
          <w:lang w:val="fr-CA"/>
        </w:rPr>
        <w:t>’</w:t>
      </w:r>
      <w:r w:rsidRPr="000E14A8">
        <w:rPr>
          <w:rFonts w:cs="Times New Roman"/>
          <w:noProof/>
          <w:lang w:val="fr-CA"/>
        </w:rPr>
        <w:t>engagement du défendeur. Cela dit, tant le lien de proximité que la prévisibilité du préjudice méritent un examen plus approfondi.</w:t>
      </w:r>
    </w:p>
    <w:p w:rsidR="003A506E" w:rsidRPr="000E14A8" w:rsidRDefault="003A506E" w:rsidP="003A506E">
      <w:pPr>
        <w:pStyle w:val="Title5LevelTitre5Niveau"/>
        <w:rPr>
          <w:rFonts w:cs="Times New Roman"/>
          <w:noProof/>
          <w:lang w:val="fr-CA"/>
        </w:rPr>
      </w:pPr>
      <w:r w:rsidRPr="000E14A8">
        <w:rPr>
          <w:rFonts w:cs="Times New Roman"/>
          <w:noProof/>
          <w:lang w:val="fr-CA"/>
        </w:rPr>
        <w:lastRenderedPageBreak/>
        <w:t>Le lien de proximité</w:t>
      </w:r>
    </w:p>
    <w:p w:rsidR="003A506E" w:rsidRPr="000E14A8" w:rsidRDefault="003A506E" w:rsidP="003A506E">
      <w:pPr>
        <w:pStyle w:val="ParaNoNdepar-AltN"/>
        <w:rPr>
          <w:rFonts w:cs="Times New Roman"/>
          <w:noProof/>
          <w:lang w:val="fr-CA"/>
        </w:rPr>
      </w:pPr>
      <w:r w:rsidRPr="000E14A8">
        <w:rPr>
          <w:rFonts w:cs="Times New Roman"/>
          <w:noProof/>
          <w:lang w:val="fr-CA"/>
        </w:rPr>
        <w:t>L</w:t>
      </w:r>
      <w:r>
        <w:rPr>
          <w:rFonts w:cs="Times New Roman"/>
          <w:noProof/>
          <w:lang w:val="fr-CA"/>
        </w:rPr>
        <w:t>’</w:t>
      </w:r>
      <w:r w:rsidRPr="000E14A8">
        <w:rPr>
          <w:rFonts w:cs="Times New Roman"/>
          <w:noProof/>
          <w:lang w:val="fr-CA"/>
        </w:rPr>
        <w:t>examen du lien de proximité dans l</w:t>
      </w:r>
      <w:r>
        <w:rPr>
          <w:rFonts w:cs="Times New Roman"/>
          <w:noProof/>
          <w:lang w:val="fr-CA"/>
        </w:rPr>
        <w:t>’</w:t>
      </w:r>
      <w:r w:rsidRPr="000E14A8">
        <w:rPr>
          <w:rFonts w:cs="Times New Roman"/>
          <w:noProof/>
          <w:lang w:val="fr-CA"/>
        </w:rPr>
        <w:t>analyse relative à l</w:t>
      </w:r>
      <w:r>
        <w:rPr>
          <w:rFonts w:cs="Times New Roman"/>
          <w:noProof/>
          <w:lang w:val="fr-CA"/>
        </w:rPr>
        <w:t>’</w:t>
      </w:r>
      <w:r w:rsidRPr="000E14A8">
        <w:rPr>
          <w:rFonts w:cs="Times New Roman"/>
          <w:noProof/>
          <w:lang w:val="fr-CA"/>
        </w:rPr>
        <w:t xml:space="preserve">obligation de diligence </w:t>
      </w:r>
      <w:r w:rsidRPr="000E14A8">
        <w:rPr>
          <w:rFonts w:cs="Times New Roman"/>
          <w:i/>
          <w:noProof/>
          <w:lang w:val="fr-CA"/>
        </w:rPr>
        <w:t xml:space="preserve">prima facie </w:t>
      </w:r>
      <w:r w:rsidRPr="000E14A8">
        <w:rPr>
          <w:rFonts w:cs="Times New Roman"/>
          <w:noProof/>
          <w:lang w:val="fr-CA"/>
        </w:rPr>
        <w:t>appelle à se demander si le lien entre les parties est à ce point « étroit et direct » qu</w:t>
      </w:r>
      <w:r>
        <w:rPr>
          <w:rFonts w:cs="Times New Roman"/>
          <w:noProof/>
          <w:lang w:val="fr-CA"/>
        </w:rPr>
        <w:t>’</w:t>
      </w:r>
      <w:r w:rsidRPr="000E14A8">
        <w:rPr>
          <w:rFonts w:cs="Times New Roman"/>
          <w:noProof/>
          <w:lang w:val="fr-CA"/>
        </w:rPr>
        <w:t>il serait, « vu ce lien, [. . .] juste et équitable en droit d</w:t>
      </w:r>
      <w:r>
        <w:rPr>
          <w:rFonts w:cs="Times New Roman"/>
          <w:noProof/>
          <w:lang w:val="fr-CA"/>
        </w:rPr>
        <w:t>’</w:t>
      </w:r>
      <w:r w:rsidRPr="000E14A8">
        <w:rPr>
          <w:rFonts w:cs="Times New Roman"/>
          <w:noProof/>
          <w:lang w:val="fr-CA"/>
        </w:rPr>
        <w:t>imposer une obligation de diligence au défendeur » (</w:t>
      </w:r>
      <w:r w:rsidRPr="000E14A8">
        <w:rPr>
          <w:rFonts w:cs="Times New Roman"/>
          <w:i/>
          <w:noProof/>
          <w:lang w:val="fr-CA"/>
        </w:rPr>
        <w:t>Cooper</w:t>
      </w:r>
      <w:r w:rsidRPr="000E14A8">
        <w:rPr>
          <w:rFonts w:cs="Times New Roman"/>
          <w:noProof/>
          <w:lang w:val="fr-CA"/>
        </w:rPr>
        <w:t xml:space="preserve">, par. 32 et 34). </w:t>
      </w:r>
    </w:p>
    <w:p w:rsidR="003A506E" w:rsidRPr="000E14A8" w:rsidRDefault="003A506E" w:rsidP="003A506E">
      <w:pPr>
        <w:pStyle w:val="ParaNoNdepar-AltN"/>
        <w:rPr>
          <w:rFonts w:cs="Times New Roman"/>
          <w:noProof/>
          <w:lang w:val="fr-CA"/>
        </w:rPr>
      </w:pPr>
      <w:r w:rsidRPr="000E14A8">
        <w:rPr>
          <w:rFonts w:cs="Times New Roman"/>
          <w:noProof/>
          <w:lang w:val="fr-CA"/>
        </w:rPr>
        <w:t>Selon le critère de l</w:t>
      </w:r>
      <w:r>
        <w:rPr>
          <w:rFonts w:cs="Times New Roman"/>
          <w:noProof/>
          <w:lang w:val="fr-CA"/>
        </w:rPr>
        <w:t>’</w:t>
      </w:r>
      <w:r w:rsidRPr="000E14A8">
        <w:rPr>
          <w:rFonts w:cs="Times New Roman"/>
          <w:noProof/>
          <w:lang w:val="fr-CA"/>
        </w:rPr>
        <w:t>arrêt </w:t>
      </w:r>
      <w:r w:rsidRPr="000E14A8">
        <w:rPr>
          <w:rFonts w:cs="Times New Roman"/>
          <w:i/>
          <w:noProof/>
          <w:lang w:val="fr-CA"/>
        </w:rPr>
        <w:t>Anns</w:t>
      </w:r>
      <w:r w:rsidRPr="000E14A8">
        <w:rPr>
          <w:rFonts w:cs="Times New Roman"/>
          <w:noProof/>
          <w:lang w:val="fr-CA"/>
        </w:rPr>
        <w:t>,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un lien de proximité « ne fournit pas en soi une justification, fondée sur des principes, qui permette de rendre une décision juridique » (</w:t>
      </w:r>
      <w:r w:rsidRPr="000E14A8">
        <w:rPr>
          <w:rFonts w:cs="Times New Roman"/>
          <w:i/>
          <w:noProof/>
          <w:lang w:val="fr-CA"/>
        </w:rPr>
        <w:t>Hercules</w:t>
      </w:r>
      <w:r w:rsidRPr="000E14A8">
        <w:rPr>
          <w:rFonts w:cs="Times New Roman"/>
          <w:noProof/>
          <w:lang w:val="fr-CA"/>
        </w:rPr>
        <w:t>, par. 23). En fait, l</w:t>
      </w:r>
      <w:r>
        <w:rPr>
          <w:rFonts w:cs="Times New Roman"/>
          <w:noProof/>
          <w:lang w:val="fr-CA"/>
        </w:rPr>
        <w:t>’</w:t>
      </w:r>
      <w:r w:rsidRPr="000E14A8">
        <w:rPr>
          <w:rFonts w:cs="Times New Roman"/>
          <w:noProof/>
          <w:lang w:val="fr-CA"/>
        </w:rPr>
        <w:t>expression « lien étroit » n</w:t>
      </w:r>
      <w:r>
        <w:rPr>
          <w:rFonts w:cs="Times New Roman"/>
          <w:noProof/>
          <w:lang w:val="fr-CA"/>
        </w:rPr>
        <w:t>’</w:t>
      </w:r>
      <w:r w:rsidRPr="000E14A8">
        <w:rPr>
          <w:rFonts w:cs="Times New Roman"/>
          <w:noProof/>
          <w:lang w:val="fr-CA"/>
        </w:rPr>
        <w:t>exprimait rien de plus « qu</w:t>
      </w:r>
      <w:r>
        <w:rPr>
          <w:rFonts w:cs="Times New Roman"/>
          <w:noProof/>
          <w:lang w:val="fr-CA"/>
        </w:rPr>
        <w:t>’</w:t>
      </w:r>
      <w:r w:rsidRPr="000E14A8">
        <w:rPr>
          <w:rFonts w:cs="Times New Roman"/>
          <w:noProof/>
          <w:lang w:val="fr-CA"/>
        </w:rPr>
        <w:t>un résultat, un jugement ou une conclusion » (</w:t>
      </w:r>
      <w:r w:rsidRPr="000E14A8">
        <w:rPr>
          <w:rFonts w:cs="Times New Roman"/>
          <w:i/>
          <w:noProof/>
          <w:lang w:val="fr-CA"/>
        </w:rPr>
        <w:t>ibid.</w:t>
      </w:r>
      <w:r w:rsidRPr="000E14A8">
        <w:rPr>
          <w:rFonts w:cs="Times New Roman"/>
          <w:noProof/>
          <w:lang w:val="fr-CA"/>
        </w:rPr>
        <w:t>), où la simple prévisibilité raisonnable d</w:t>
      </w:r>
      <w:r>
        <w:rPr>
          <w:rFonts w:cs="Times New Roman"/>
          <w:noProof/>
          <w:lang w:val="fr-CA"/>
        </w:rPr>
        <w:t>’</w:t>
      </w:r>
      <w:r w:rsidRPr="000E14A8">
        <w:rPr>
          <w:rFonts w:cs="Times New Roman"/>
          <w:noProof/>
          <w:lang w:val="fr-CA"/>
        </w:rPr>
        <w:t xml:space="preserve">un préjudice pouvait être établie. Bien que, selon le cadre des arrêts </w:t>
      </w:r>
      <w:r w:rsidRPr="000E14A8">
        <w:rPr>
          <w:rFonts w:cs="Times New Roman"/>
          <w:i/>
          <w:noProof/>
          <w:lang w:val="fr-CA"/>
        </w:rPr>
        <w:t xml:space="preserve">Anns </w:t>
      </w:r>
      <w:r w:rsidRPr="000E14A8">
        <w:rPr>
          <w:rFonts w:cs="Times New Roman"/>
          <w:noProof/>
          <w:lang w:val="fr-CA"/>
        </w:rPr>
        <w:t>et</w:t>
      </w:r>
      <w:r w:rsidRPr="000E14A8">
        <w:rPr>
          <w:rFonts w:cs="Times New Roman"/>
          <w:i/>
          <w:noProof/>
          <w:lang w:val="fr-CA"/>
        </w:rPr>
        <w:t xml:space="preserve"> Cooper</w:t>
      </w:r>
      <w:r w:rsidRPr="000E14A8">
        <w:rPr>
          <w:rFonts w:cs="Times New Roman"/>
          <w:noProof/>
          <w:lang w:val="fr-CA"/>
        </w:rPr>
        <w:t>, l</w:t>
      </w:r>
      <w:r>
        <w:rPr>
          <w:rFonts w:cs="Times New Roman"/>
          <w:noProof/>
          <w:lang w:val="fr-CA"/>
        </w:rPr>
        <w:t>’</w:t>
      </w:r>
      <w:r w:rsidRPr="000E14A8">
        <w:rPr>
          <w:rFonts w:cs="Times New Roman"/>
          <w:noProof/>
          <w:lang w:val="fr-CA"/>
        </w:rPr>
        <w:t>analyse du lien de proximité soit devenue plus stricte, ces termes descriptifs demeurent valables. Ce que nous voulons dire, c</w:t>
      </w:r>
      <w:r>
        <w:rPr>
          <w:rFonts w:cs="Times New Roman"/>
          <w:noProof/>
          <w:lang w:val="fr-CA"/>
        </w:rPr>
        <w:t>’</w:t>
      </w:r>
      <w:r w:rsidRPr="000E14A8">
        <w:rPr>
          <w:rFonts w:cs="Times New Roman"/>
          <w:noProof/>
          <w:lang w:val="fr-CA"/>
        </w:rPr>
        <w:t>est que les termes « lien de proximité » servent toujours, en partie, à décrire brièvement les catégories de rapports pour lesquelles on a déjà reconnu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un lien étroit (</w:t>
      </w:r>
      <w:r w:rsidRPr="000E14A8">
        <w:rPr>
          <w:rFonts w:cs="Times New Roman"/>
          <w:i/>
          <w:noProof/>
          <w:lang w:val="fr-CA"/>
        </w:rPr>
        <w:t>Cooper</w:t>
      </w:r>
      <w:r w:rsidRPr="000E14A8">
        <w:rPr>
          <w:rFonts w:cs="Times New Roman"/>
          <w:noProof/>
          <w:lang w:val="fr-CA"/>
        </w:rPr>
        <w:t>, par. 23). Si un rapport relève d</w:t>
      </w:r>
      <w:r>
        <w:rPr>
          <w:rFonts w:cs="Times New Roman"/>
          <w:noProof/>
          <w:lang w:val="fr-CA"/>
        </w:rPr>
        <w:t>’</w:t>
      </w:r>
      <w:r w:rsidRPr="000E14A8">
        <w:rPr>
          <w:rFonts w:cs="Times New Roman"/>
          <w:noProof/>
          <w:lang w:val="fr-CA"/>
        </w:rPr>
        <w:t>une catégorie déjà établie, ou s</w:t>
      </w:r>
      <w:r>
        <w:rPr>
          <w:rFonts w:cs="Times New Roman"/>
          <w:noProof/>
          <w:lang w:val="fr-CA"/>
        </w:rPr>
        <w:t>’</w:t>
      </w:r>
      <w:r w:rsidRPr="000E14A8">
        <w:rPr>
          <w:rFonts w:cs="Times New Roman"/>
          <w:noProof/>
          <w:lang w:val="fr-CA"/>
        </w:rPr>
        <w:t>il s</w:t>
      </w:r>
      <w:r>
        <w:rPr>
          <w:rFonts w:cs="Times New Roman"/>
          <w:noProof/>
          <w:lang w:val="fr-CA"/>
        </w:rPr>
        <w:t>’</w:t>
      </w:r>
      <w:r w:rsidRPr="000E14A8">
        <w:rPr>
          <w:rFonts w:cs="Times New Roman"/>
          <w:noProof/>
          <w:lang w:val="fr-CA"/>
        </w:rPr>
        <w:t>agit d</w:t>
      </w:r>
      <w:r>
        <w:rPr>
          <w:rFonts w:cs="Times New Roman"/>
          <w:noProof/>
          <w:lang w:val="fr-CA"/>
        </w:rPr>
        <w:t>’</w:t>
      </w:r>
      <w:r w:rsidRPr="000E14A8">
        <w:rPr>
          <w:rFonts w:cs="Times New Roman"/>
          <w:noProof/>
          <w:lang w:val="fr-CA"/>
        </w:rPr>
        <w:t>un rapport analogue, l</w:t>
      </w:r>
      <w:r>
        <w:rPr>
          <w:rFonts w:cs="Times New Roman"/>
          <w:noProof/>
          <w:lang w:val="fr-CA"/>
        </w:rPr>
        <w:t>’</w:t>
      </w:r>
      <w:r w:rsidRPr="000E14A8">
        <w:rPr>
          <w:rFonts w:cs="Times New Roman"/>
          <w:noProof/>
          <w:lang w:val="fr-CA"/>
        </w:rPr>
        <w:t>existence du lien étroit et direct requis est établie. Ainsi, dans la mesure où il est possible d</w:t>
      </w:r>
      <w:r>
        <w:rPr>
          <w:rFonts w:cs="Times New Roman"/>
          <w:noProof/>
          <w:lang w:val="fr-CA"/>
        </w:rPr>
        <w:t>’</w:t>
      </w:r>
      <w:r w:rsidRPr="000E14A8">
        <w:rPr>
          <w:rFonts w:cs="Times New Roman"/>
          <w:noProof/>
          <w:lang w:val="fr-CA"/>
        </w:rPr>
        <w:t>établir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 xml:space="preserve">un risque de préjudice raisonnablement prévisible </w:t>
      </w:r>
      <w:r w:rsidR="00AF5371">
        <w:rPr>
          <w:rFonts w:cs="Times New Roman"/>
          <w:noProof/>
          <w:lang w:val="fr-CA"/>
        </w:rPr>
        <w:t>—</w:t>
      </w:r>
      <w:r w:rsidRPr="000E14A8">
        <w:rPr>
          <w:rFonts w:cs="Times New Roman"/>
          <w:noProof/>
          <w:lang w:val="fr-CA"/>
        </w:rPr>
        <w:t xml:space="preserve"> ou cette existence a déjà été établie par un précédent analogue </w:t>
      </w:r>
      <w:r w:rsidR="00AF5371">
        <w:rPr>
          <w:rFonts w:cs="Times New Roman"/>
          <w:noProof/>
          <w:lang w:val="fr-CA"/>
        </w:rPr>
        <w:t>—</w:t>
      </w:r>
      <w:r w:rsidRPr="000E14A8">
        <w:rPr>
          <w:rFonts w:cs="Times New Roman"/>
          <w:noProof/>
          <w:lang w:val="fr-CA"/>
        </w:rPr>
        <w:t>, il est satisfait au premier volet du cadre d</w:t>
      </w:r>
      <w:r>
        <w:rPr>
          <w:rFonts w:cs="Times New Roman"/>
          <w:noProof/>
          <w:lang w:val="fr-CA"/>
        </w:rPr>
        <w:t>’</w:t>
      </w:r>
      <w:r w:rsidRPr="000E14A8">
        <w:rPr>
          <w:rFonts w:cs="Times New Roman"/>
          <w:noProof/>
          <w:lang w:val="fr-CA"/>
        </w:rPr>
        <w:t xml:space="preserve">analyse des arrêts </w:t>
      </w:r>
      <w:r w:rsidRPr="000E14A8">
        <w:rPr>
          <w:rFonts w:cs="Times New Roman"/>
          <w:i/>
          <w:noProof/>
          <w:lang w:val="fr-CA"/>
        </w:rPr>
        <w:t xml:space="preserve">Anns </w:t>
      </w:r>
      <w:r w:rsidRPr="000E14A8">
        <w:rPr>
          <w:rFonts w:cs="Times New Roman"/>
          <w:noProof/>
          <w:lang w:val="fr-CA"/>
        </w:rPr>
        <w:t>et</w:t>
      </w:r>
      <w:r w:rsidRPr="000E14A8">
        <w:rPr>
          <w:rFonts w:cs="Times New Roman"/>
          <w:i/>
          <w:noProof/>
          <w:lang w:val="fr-CA"/>
        </w:rPr>
        <w:t xml:space="preserve"> Cooper</w:t>
      </w:r>
      <w:r w:rsidRPr="000E14A8">
        <w:rPr>
          <w:rFonts w:cs="Times New Roman"/>
          <w:noProof/>
          <w:lang w:val="fr-CA"/>
        </w:rPr>
        <w:t xml:space="preserve"> et il est possible d</w:t>
      </w:r>
      <w:r>
        <w:rPr>
          <w:rFonts w:cs="Times New Roman"/>
          <w:noProof/>
          <w:lang w:val="fr-CA"/>
        </w:rPr>
        <w:t>’</w:t>
      </w:r>
      <w:r w:rsidRPr="000E14A8">
        <w:rPr>
          <w:rFonts w:cs="Times New Roman"/>
          <w:noProof/>
          <w:lang w:val="fr-CA"/>
        </w:rPr>
        <w:t>affirmer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une obligation de diligence (</w:t>
      </w:r>
      <w:r w:rsidRPr="000E14A8">
        <w:rPr>
          <w:rFonts w:cs="Times New Roman"/>
          <w:i/>
          <w:noProof/>
          <w:lang w:val="fr-CA"/>
        </w:rPr>
        <w:t>ibid.</w:t>
      </w:r>
      <w:r w:rsidRPr="000E14A8">
        <w:rPr>
          <w:rFonts w:cs="Times New Roman"/>
          <w:noProof/>
          <w:lang w:val="fr-CA"/>
        </w:rPr>
        <w:t>, par. 36). Dans de telles circonstances, le deuxième volet du cadre d</w:t>
      </w:r>
      <w:r>
        <w:rPr>
          <w:rFonts w:cs="Times New Roman"/>
          <w:noProof/>
          <w:lang w:val="fr-CA"/>
        </w:rPr>
        <w:t>’</w:t>
      </w:r>
      <w:r w:rsidRPr="000E14A8">
        <w:rPr>
          <w:rFonts w:cs="Times New Roman"/>
          <w:noProof/>
          <w:lang w:val="fr-CA"/>
        </w:rPr>
        <w:t xml:space="preserve">analyse des arrêts </w:t>
      </w:r>
      <w:r w:rsidRPr="000E14A8">
        <w:rPr>
          <w:rFonts w:cs="Times New Roman"/>
          <w:i/>
          <w:noProof/>
          <w:lang w:val="fr-CA"/>
        </w:rPr>
        <w:t xml:space="preserve">Anns </w:t>
      </w:r>
      <w:r w:rsidRPr="000E14A8">
        <w:rPr>
          <w:rFonts w:cs="Times New Roman"/>
          <w:noProof/>
          <w:lang w:val="fr-CA"/>
        </w:rPr>
        <w:t>et</w:t>
      </w:r>
      <w:r w:rsidRPr="000E14A8">
        <w:rPr>
          <w:rFonts w:cs="Times New Roman"/>
          <w:i/>
          <w:noProof/>
          <w:lang w:val="fr-CA"/>
        </w:rPr>
        <w:t xml:space="preserve"> Cooper</w:t>
      </w:r>
      <w:r w:rsidRPr="000E14A8">
        <w:rPr>
          <w:rFonts w:cs="Times New Roman"/>
          <w:noProof/>
          <w:lang w:val="fr-CA"/>
        </w:rPr>
        <w:t xml:space="preserve"> entrera rarement en jeu parce que les considérations de politique résiduelles auront déjà été prises en compte </w:t>
      </w:r>
      <w:r w:rsidRPr="000E14A8">
        <w:rPr>
          <w:rFonts w:cs="Times New Roman"/>
          <w:noProof/>
          <w:lang w:val="fr-CA"/>
        </w:rPr>
        <w:lastRenderedPageBreak/>
        <w:t>lorsque l</w:t>
      </w:r>
      <w:r>
        <w:rPr>
          <w:rFonts w:cs="Times New Roman"/>
          <w:noProof/>
          <w:lang w:val="fr-CA"/>
        </w:rPr>
        <w:t>’</w:t>
      </w:r>
      <w:r w:rsidRPr="000E14A8">
        <w:rPr>
          <w:rFonts w:cs="Times New Roman"/>
          <w:noProof/>
          <w:lang w:val="fr-CA"/>
        </w:rPr>
        <w:t>existence du lien de proximité a été reconnue (</w:t>
      </w:r>
      <w:r w:rsidRPr="000E14A8">
        <w:rPr>
          <w:rFonts w:cs="Times New Roman"/>
          <w:i/>
          <w:noProof/>
          <w:lang w:val="fr-CA"/>
        </w:rPr>
        <w:t>ibid.</w:t>
      </w:r>
      <w:r w:rsidRPr="000E14A8">
        <w:rPr>
          <w:rFonts w:cs="Times New Roman"/>
          <w:noProof/>
          <w:lang w:val="fr-CA"/>
        </w:rPr>
        <w:t xml:space="preserve">, par. 39; </w:t>
      </w:r>
      <w:r w:rsidRPr="000E14A8">
        <w:rPr>
          <w:rFonts w:cs="Times New Roman"/>
          <w:i/>
          <w:noProof/>
          <w:lang w:val="fr-CA"/>
        </w:rPr>
        <w:t>Edwards</w:t>
      </w:r>
      <w:r w:rsidRPr="000E14A8">
        <w:rPr>
          <w:rFonts w:cs="Times New Roman"/>
          <w:noProof/>
          <w:lang w:val="fr-CA"/>
        </w:rPr>
        <w:t>, par. 10).</w:t>
      </w:r>
    </w:p>
    <w:p w:rsidR="003A506E" w:rsidRPr="000E14A8" w:rsidRDefault="003A506E" w:rsidP="003A506E">
      <w:pPr>
        <w:pStyle w:val="ParaNoNdepar-AltN"/>
        <w:rPr>
          <w:rFonts w:cs="Times New Roman"/>
          <w:noProof/>
          <w:lang w:val="fr-CA"/>
        </w:rPr>
      </w:pPr>
      <w:r w:rsidRPr="000E14A8">
        <w:rPr>
          <w:rFonts w:cs="Times New Roman"/>
          <w:noProof/>
          <w:lang w:val="fr-CA"/>
        </w:rPr>
        <w:t>La Cour a parfois décrit de façon générale certaines catégories où le lien de proximité a déjà été établi. Dans l</w:t>
      </w:r>
      <w:r>
        <w:rPr>
          <w:rFonts w:cs="Times New Roman"/>
          <w:noProof/>
          <w:lang w:val="fr-CA"/>
        </w:rPr>
        <w:t>’</w:t>
      </w:r>
      <w:r w:rsidRPr="000E14A8">
        <w:rPr>
          <w:rFonts w:cs="Times New Roman"/>
          <w:noProof/>
          <w:lang w:val="fr-CA"/>
        </w:rPr>
        <w:t xml:space="preserve">arrêt </w:t>
      </w:r>
      <w:r w:rsidRPr="000E14A8">
        <w:rPr>
          <w:rFonts w:cs="Times New Roman"/>
          <w:i/>
          <w:noProof/>
          <w:lang w:val="fr-CA"/>
        </w:rPr>
        <w:t>Hill</w:t>
      </w:r>
      <w:r w:rsidRPr="000E14A8">
        <w:rPr>
          <w:rFonts w:cs="Times New Roman"/>
          <w:noProof/>
          <w:lang w:val="fr-CA"/>
        </w:rPr>
        <w:t>, par exemple, la Cour énumère les relations suivantes qui font naître une obligation de diligence : « </w:t>
      </w:r>
      <w:r w:rsidR="00AD5BBF">
        <w:rPr>
          <w:rFonts w:cs="Times New Roman"/>
          <w:noProof/>
          <w:lang w:val="fr-CA"/>
        </w:rPr>
        <w:t>L</w:t>
      </w:r>
      <w:r w:rsidRPr="000E14A8">
        <w:rPr>
          <w:rFonts w:cs="Times New Roman"/>
          <w:noProof/>
          <w:lang w:val="fr-CA"/>
        </w:rPr>
        <w:t>a relation entre l</w:t>
      </w:r>
      <w:r>
        <w:rPr>
          <w:rFonts w:cs="Times New Roman"/>
          <w:noProof/>
          <w:lang w:val="fr-CA"/>
        </w:rPr>
        <w:t>’</w:t>
      </w:r>
      <w:r w:rsidRPr="000E14A8">
        <w:rPr>
          <w:rFonts w:cs="Times New Roman"/>
          <w:noProof/>
          <w:lang w:val="fr-CA"/>
        </w:rPr>
        <w:t>automobiliste et les autres usagers de la route, celle du médecin et de son patient, et celle de l</w:t>
      </w:r>
      <w:r>
        <w:rPr>
          <w:rFonts w:cs="Times New Roman"/>
          <w:noProof/>
          <w:lang w:val="fr-CA"/>
        </w:rPr>
        <w:t>’</w:t>
      </w:r>
      <w:r w:rsidRPr="000E14A8">
        <w:rPr>
          <w:rFonts w:cs="Times New Roman"/>
          <w:noProof/>
          <w:lang w:val="fr-CA"/>
        </w:rPr>
        <w:t>avocat et de son client </w:t>
      </w:r>
      <w:r w:rsidR="00AD5BBF">
        <w:rPr>
          <w:rFonts w:cs="Times New Roman"/>
          <w:noProof/>
          <w:lang w:val="fr-CA"/>
        </w:rPr>
        <w:t xml:space="preserve">. . . </w:t>
      </w:r>
      <w:r w:rsidRPr="000E14A8">
        <w:rPr>
          <w:rFonts w:cs="Times New Roman"/>
          <w:noProof/>
          <w:lang w:val="fr-CA"/>
        </w:rPr>
        <w:t>» (par. 25). Or, les liens de proximité ne seront pas toujours décrits de façon si générale. Plus particulièrement, la question de savoir si un lien de proximité existe entre deux parties en général ou seulement à des fins particulières, ou relativement à des actes en particulier, dépendra de la nature de la relation particulière en cause (</w:t>
      </w:r>
      <w:r w:rsidRPr="000E14A8">
        <w:rPr>
          <w:rFonts w:cs="Times New Roman"/>
          <w:i/>
          <w:noProof/>
          <w:lang w:val="fr-CA"/>
        </w:rPr>
        <w:t>ibid.</w:t>
      </w:r>
      <w:r w:rsidRPr="000E14A8">
        <w:rPr>
          <w:rFonts w:cs="Times New Roman"/>
          <w:noProof/>
          <w:lang w:val="fr-CA"/>
        </w:rPr>
        <w:t xml:space="preserve">, par. 27; </w:t>
      </w:r>
      <w:r w:rsidRPr="000E14A8">
        <w:rPr>
          <w:rFonts w:cs="Times New Roman"/>
          <w:i/>
          <w:noProof/>
          <w:lang w:val="fr-CA"/>
        </w:rPr>
        <w:t>Haig</w:t>
      </w:r>
      <w:r w:rsidRPr="000E14A8">
        <w:rPr>
          <w:rFonts w:cs="Times New Roman"/>
          <w:noProof/>
          <w:lang w:val="fr-CA"/>
        </w:rPr>
        <w:t>, p. 479). En effet, comme nous l</w:t>
      </w:r>
      <w:r>
        <w:rPr>
          <w:rFonts w:cs="Times New Roman"/>
          <w:noProof/>
          <w:lang w:val="fr-CA"/>
        </w:rPr>
        <w:t>’</w:t>
      </w:r>
      <w:r w:rsidRPr="000E14A8">
        <w:rPr>
          <w:rFonts w:cs="Times New Roman"/>
          <w:noProof/>
          <w:lang w:val="fr-CA"/>
        </w:rPr>
        <w:t>expliquons plus loin, les facteurs permettant d</w:t>
      </w:r>
      <w:r>
        <w:rPr>
          <w:rFonts w:cs="Times New Roman"/>
          <w:noProof/>
          <w:lang w:val="fr-CA"/>
        </w:rPr>
        <w:t>’</w:t>
      </w:r>
      <w:r w:rsidRPr="000E14A8">
        <w:rPr>
          <w:rFonts w:cs="Times New Roman"/>
          <w:noProof/>
          <w:lang w:val="fr-CA"/>
        </w:rPr>
        <w:t>établir de « nouveaux cas » de liens de proximité dépendent des caractéristiques des rapports entre les parties et des circonstances de chaque affaire en particulier (</w:t>
      </w:r>
      <w:r w:rsidRPr="000E14A8">
        <w:rPr>
          <w:rFonts w:cs="Times New Roman"/>
          <w:i/>
          <w:noProof/>
          <w:lang w:val="fr-CA"/>
        </w:rPr>
        <w:t>Cooper</w:t>
      </w:r>
      <w:r w:rsidRPr="000E14A8">
        <w:rPr>
          <w:rFonts w:cs="Times New Roman"/>
          <w:noProof/>
          <w:lang w:val="fr-CA"/>
        </w:rPr>
        <w:t>, par. 34</w:t>
      </w:r>
      <w:r w:rsidR="00B65217">
        <w:rPr>
          <w:rFonts w:cs="Times New Roman"/>
          <w:noProof/>
          <w:lang w:val="fr-CA"/>
        </w:rPr>
        <w:t>-</w:t>
      </w:r>
      <w:r w:rsidRPr="000E14A8">
        <w:rPr>
          <w:rFonts w:cs="Times New Roman"/>
          <w:noProof/>
          <w:lang w:val="fr-CA"/>
        </w:rPr>
        <w:t xml:space="preserve">35). </w:t>
      </w:r>
    </w:p>
    <w:p w:rsidR="003A506E" w:rsidRPr="000E14A8" w:rsidRDefault="003A506E" w:rsidP="003A506E">
      <w:pPr>
        <w:pStyle w:val="ParaNoNdepar-AltN"/>
        <w:tabs>
          <w:tab w:val="clear" w:pos="1152"/>
          <w:tab w:val="left" w:pos="1166"/>
        </w:tabs>
        <w:rPr>
          <w:rFonts w:cs="Times New Roman"/>
          <w:noProof/>
          <w:lang w:val="fr-CA"/>
        </w:rPr>
      </w:pPr>
      <w:r w:rsidRPr="000E14A8">
        <w:rPr>
          <w:rFonts w:cs="Times New Roman"/>
          <w:noProof/>
          <w:lang w:val="fr-CA"/>
        </w:rPr>
        <w:t>Ainsi, lorsqu</w:t>
      </w:r>
      <w:r>
        <w:rPr>
          <w:rFonts w:cs="Times New Roman"/>
          <w:noProof/>
          <w:lang w:val="fr-CA"/>
        </w:rPr>
        <w:t>’</w:t>
      </w:r>
      <w:r w:rsidRPr="000E14A8">
        <w:rPr>
          <w:rFonts w:cs="Times New Roman"/>
          <w:noProof/>
          <w:lang w:val="fr-CA"/>
        </w:rPr>
        <w:t>une partie cherche à fonder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un lien de proximité sur une catégorie déjà établie ou analogue, le tribunal doit être attentif aux facteurs particuliers qui ont permis d</w:t>
      </w:r>
      <w:r>
        <w:rPr>
          <w:rFonts w:cs="Times New Roman"/>
          <w:noProof/>
          <w:lang w:val="fr-CA"/>
        </w:rPr>
        <w:t>’</w:t>
      </w:r>
      <w:r w:rsidRPr="000E14A8">
        <w:rPr>
          <w:rFonts w:cs="Times New Roman"/>
          <w:noProof/>
          <w:lang w:val="fr-CA"/>
        </w:rPr>
        <w:t>établir cette catégorie pour déterminer si la relation en cause est en fait vraiment la même que celle établie auparavant ou si elle est analogue. Et, en corollaire, les tribunaux doivent s</w:t>
      </w:r>
      <w:r>
        <w:rPr>
          <w:rFonts w:cs="Times New Roman"/>
          <w:noProof/>
          <w:lang w:val="fr-CA"/>
        </w:rPr>
        <w:t>’</w:t>
      </w:r>
      <w:r w:rsidRPr="000E14A8">
        <w:rPr>
          <w:rFonts w:cs="Times New Roman"/>
          <w:noProof/>
          <w:lang w:val="fr-CA"/>
        </w:rPr>
        <w:t>abstenir de conclure de manière trop générale à l</w:t>
      </w:r>
      <w:r>
        <w:rPr>
          <w:rFonts w:cs="Times New Roman"/>
          <w:noProof/>
          <w:lang w:val="fr-CA"/>
        </w:rPr>
        <w:t>’</w:t>
      </w:r>
      <w:r w:rsidRPr="000E14A8">
        <w:rPr>
          <w:rFonts w:cs="Times New Roman"/>
          <w:noProof/>
          <w:lang w:val="fr-CA"/>
        </w:rPr>
        <w:t>existence de catégories établies puisque, rappelons</w:t>
      </w:r>
      <w:r w:rsidRPr="000E14A8">
        <w:rPr>
          <w:rFonts w:cs="Times New Roman"/>
          <w:noProof/>
          <w:lang w:val="fr-CA"/>
        </w:rPr>
        <w:noBreakHyphen/>
        <w:t>le, les considérations de politique résiduelles ne sont pas examinées si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un lien de proximité est établie sur le fondement d</w:t>
      </w:r>
      <w:r>
        <w:rPr>
          <w:rFonts w:cs="Times New Roman"/>
          <w:noProof/>
          <w:lang w:val="fr-CA"/>
        </w:rPr>
        <w:t>’</w:t>
      </w:r>
      <w:r w:rsidRPr="000E14A8">
        <w:rPr>
          <w:rFonts w:cs="Times New Roman"/>
          <w:noProof/>
          <w:lang w:val="fr-CA"/>
        </w:rPr>
        <w:t>une catégorie reconnue (</w:t>
      </w:r>
      <w:r w:rsidRPr="000E14A8">
        <w:rPr>
          <w:rFonts w:cs="Times New Roman"/>
          <w:i/>
          <w:noProof/>
          <w:lang w:val="fr-CA"/>
        </w:rPr>
        <w:t>Cooper</w:t>
      </w:r>
      <w:r w:rsidRPr="000E14A8">
        <w:rPr>
          <w:rFonts w:cs="Times New Roman"/>
          <w:noProof/>
          <w:lang w:val="fr-CA"/>
        </w:rPr>
        <w:t>, par. 39). Cela est logique du point de vue analytique. Les tribunaux ne sauraient reconnaître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 xml:space="preserve">un lien </w:t>
      </w:r>
      <w:r w:rsidRPr="000E14A8">
        <w:rPr>
          <w:rFonts w:cs="Times New Roman"/>
          <w:noProof/>
          <w:lang w:val="fr-CA"/>
        </w:rPr>
        <w:lastRenderedPageBreak/>
        <w:t>de proximité sans avoir considéré les considérations de politique résiduelles examinées au deuxième volet du critère. Ainsi, lorsqu</w:t>
      </w:r>
      <w:r>
        <w:rPr>
          <w:rFonts w:cs="Times New Roman"/>
          <w:noProof/>
          <w:lang w:val="fr-CA"/>
        </w:rPr>
        <w:t>’</w:t>
      </w:r>
      <w:r w:rsidRPr="000E14A8">
        <w:rPr>
          <w:rFonts w:cs="Times New Roman"/>
          <w:noProof/>
          <w:lang w:val="fr-CA"/>
        </w:rPr>
        <w:t>un tribunal se fonde sur une catégorie établie de lien de proximité, « aucune considération de politique prioritaire [n</w:t>
      </w:r>
      <w:r>
        <w:rPr>
          <w:rFonts w:cs="Times New Roman"/>
          <w:noProof/>
          <w:lang w:val="fr-CA"/>
        </w:rPr>
        <w:t>’</w:t>
      </w:r>
      <w:r w:rsidRPr="000E14A8">
        <w:rPr>
          <w:rFonts w:cs="Times New Roman"/>
          <w:noProof/>
          <w:lang w:val="fr-CA"/>
        </w:rPr>
        <w:t>]écarte » l</w:t>
      </w:r>
      <w:r>
        <w:rPr>
          <w:rFonts w:cs="Times New Roman"/>
          <w:noProof/>
          <w:lang w:val="fr-CA"/>
        </w:rPr>
        <w:t>’</w:t>
      </w:r>
      <w:r w:rsidRPr="000E14A8">
        <w:rPr>
          <w:rFonts w:cs="Times New Roman"/>
          <w:noProof/>
          <w:lang w:val="fr-CA"/>
        </w:rPr>
        <w:t>obligation de diligence (</w:t>
      </w:r>
      <w:r w:rsidRPr="000E14A8">
        <w:rPr>
          <w:rFonts w:cs="Times New Roman"/>
          <w:i/>
          <w:noProof/>
          <w:lang w:val="fr-CA"/>
        </w:rPr>
        <w:t>ibid.</w:t>
      </w:r>
      <w:r w:rsidRPr="000E14A8">
        <w:rPr>
          <w:rFonts w:cs="Times New Roman"/>
          <w:noProof/>
          <w:lang w:val="fr-CA"/>
        </w:rPr>
        <w:t>). Or, l</w:t>
      </w:r>
      <w:r>
        <w:rPr>
          <w:rFonts w:cs="Times New Roman"/>
          <w:noProof/>
          <w:lang w:val="fr-CA"/>
        </w:rPr>
        <w:t>’</w:t>
      </w:r>
      <w:r w:rsidRPr="000E14A8">
        <w:rPr>
          <w:rFonts w:cs="Times New Roman"/>
          <w:noProof/>
          <w:lang w:val="fr-CA"/>
        </w:rPr>
        <w:t>une des conséquences de cette approche est que, pour conclure à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un lien de proximité sur le fondement d</w:t>
      </w:r>
      <w:r>
        <w:rPr>
          <w:rFonts w:cs="Times New Roman"/>
          <w:noProof/>
          <w:lang w:val="fr-CA"/>
        </w:rPr>
        <w:t>’</w:t>
      </w:r>
      <w:r w:rsidRPr="000E14A8">
        <w:rPr>
          <w:rFonts w:cs="Times New Roman"/>
          <w:noProof/>
          <w:lang w:val="fr-CA"/>
        </w:rPr>
        <w:t>une catégorie établie ou analogue, il faut tenir compte, dans chaque cas, non seulement de l</w:t>
      </w:r>
      <w:r>
        <w:rPr>
          <w:rFonts w:cs="Times New Roman"/>
          <w:noProof/>
          <w:lang w:val="fr-CA"/>
        </w:rPr>
        <w:t>’</w:t>
      </w:r>
      <w:r w:rsidRPr="000E14A8">
        <w:rPr>
          <w:rFonts w:cs="Times New Roman"/>
          <w:noProof/>
          <w:lang w:val="fr-CA"/>
        </w:rPr>
        <w:t>identité des parties, mais aussi du lien particulier en cause. Autrement, les tribunaux risquent de reconnaître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 xml:space="preserve">une obligation de diligence </w:t>
      </w:r>
      <w:r w:rsidRPr="000E14A8">
        <w:rPr>
          <w:rFonts w:cs="Times New Roman"/>
          <w:i/>
          <w:noProof/>
          <w:lang w:val="fr-CA"/>
        </w:rPr>
        <w:t xml:space="preserve">prima facie </w:t>
      </w:r>
      <w:r w:rsidRPr="000E14A8">
        <w:rPr>
          <w:rFonts w:cs="Times New Roman"/>
          <w:noProof/>
          <w:lang w:val="fr-CA"/>
        </w:rPr>
        <w:t>sans avoir procédé à l</w:t>
      </w:r>
      <w:r>
        <w:rPr>
          <w:rFonts w:cs="Times New Roman"/>
          <w:noProof/>
          <w:lang w:val="fr-CA"/>
        </w:rPr>
        <w:t>’</w:t>
      </w:r>
      <w:r w:rsidRPr="000E14A8">
        <w:rPr>
          <w:rFonts w:cs="Times New Roman"/>
          <w:noProof/>
          <w:lang w:val="fr-CA"/>
        </w:rPr>
        <w:t>examen requis au deuxième volet portant sur les considérations de politique résiduelles.</w:t>
      </w:r>
    </w:p>
    <w:p w:rsidR="003A506E" w:rsidRPr="000E14A8" w:rsidRDefault="003A506E" w:rsidP="003A506E">
      <w:pPr>
        <w:pStyle w:val="ParaNoNdepar-AltN"/>
        <w:rPr>
          <w:rFonts w:cs="Times New Roman"/>
          <w:noProof/>
          <w:lang w:val="fr-CA"/>
        </w:rPr>
      </w:pPr>
      <w:r w:rsidRPr="000E14A8">
        <w:rPr>
          <w:rFonts w:cs="Times New Roman"/>
          <w:noProof/>
          <w:lang w:val="fr-CA"/>
        </w:rPr>
        <w:t>Lorsqu</w:t>
      </w:r>
      <w:r>
        <w:rPr>
          <w:rFonts w:cs="Times New Roman"/>
          <w:noProof/>
          <w:lang w:val="fr-CA"/>
        </w:rPr>
        <w:t>’</w:t>
      </w:r>
      <w:r w:rsidRPr="000E14A8">
        <w:rPr>
          <w:rFonts w:cs="Times New Roman"/>
          <w:noProof/>
          <w:lang w:val="fr-CA"/>
        </w:rPr>
        <w:t>ils ne peuvent conclure à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 xml:space="preserve">un lien de proximité établi, les tribunaux doivent procéder à une analyse exhaustive à cet égard. Pour déterminer si le « lien </w:t>
      </w:r>
      <w:r w:rsidR="00D5275F" w:rsidRPr="00D5275F">
        <w:rPr>
          <w:szCs w:val="24"/>
          <w:lang w:val="fr-CA"/>
        </w:rPr>
        <w:t>“</w:t>
      </w:r>
      <w:r w:rsidRPr="000E14A8">
        <w:rPr>
          <w:rFonts w:cs="Times New Roman"/>
          <w:noProof/>
          <w:lang w:val="fr-CA"/>
        </w:rPr>
        <w:t>étroit et direct</w:t>
      </w:r>
      <w:r w:rsidR="00D5275F" w:rsidRPr="00D5275F">
        <w:rPr>
          <w:szCs w:val="24"/>
          <w:lang w:val="fr-CA"/>
        </w:rPr>
        <w:t>”</w:t>
      </w:r>
      <w:r w:rsidRPr="000E14A8">
        <w:rPr>
          <w:rFonts w:cs="Times New Roman"/>
          <w:noProof/>
          <w:lang w:val="fr-CA"/>
        </w:rPr>
        <w:t xml:space="preserve"> qui caractérise l</w:t>
      </w:r>
      <w:r>
        <w:rPr>
          <w:rFonts w:cs="Times New Roman"/>
          <w:noProof/>
          <w:lang w:val="fr-CA"/>
        </w:rPr>
        <w:t>’</w:t>
      </w:r>
      <w:r w:rsidRPr="000E14A8">
        <w:rPr>
          <w:rFonts w:cs="Times New Roman"/>
          <w:noProof/>
          <w:lang w:val="fr-CA"/>
        </w:rPr>
        <w:t>obligation de d</w:t>
      </w:r>
      <w:r w:rsidR="00D5275F">
        <w:rPr>
          <w:rFonts w:cs="Times New Roman"/>
          <w:noProof/>
          <w:lang w:val="fr-CA"/>
        </w:rPr>
        <w:t>iligence en common law » existe</w:t>
      </w:r>
      <w:r w:rsidRPr="000E14A8">
        <w:rPr>
          <w:rFonts w:cs="Times New Roman"/>
          <w:noProof/>
          <w:lang w:val="fr-CA"/>
        </w:rPr>
        <w:t xml:space="preserve"> (</w:t>
      </w:r>
      <w:r w:rsidRPr="000E14A8">
        <w:rPr>
          <w:rFonts w:cs="Times New Roman"/>
          <w:i/>
          <w:noProof/>
          <w:lang w:val="fr-CA"/>
        </w:rPr>
        <w:t>Saadati c. Moorhead</w:t>
      </w:r>
      <w:r w:rsidRPr="000E14A8">
        <w:rPr>
          <w:rFonts w:cs="Times New Roman"/>
          <w:noProof/>
          <w:lang w:val="fr-CA"/>
        </w:rPr>
        <w:t xml:space="preserve">, 2017 CSC 28, [2017] 1 R.C.S. 543, par. 24, citant </w:t>
      </w:r>
      <w:r w:rsidRPr="000E14A8">
        <w:rPr>
          <w:rFonts w:cs="Times New Roman"/>
          <w:i/>
          <w:noProof/>
          <w:lang w:val="fr-CA"/>
        </w:rPr>
        <w:t>Cooper</w:t>
      </w:r>
      <w:r w:rsidRPr="000E14A8">
        <w:rPr>
          <w:rFonts w:cs="Times New Roman"/>
          <w:noProof/>
          <w:lang w:val="fr-CA"/>
        </w:rPr>
        <w:t xml:space="preserve">, par. 32, et </w:t>
      </w:r>
      <w:r w:rsidRPr="000E14A8">
        <w:rPr>
          <w:rFonts w:cs="Times New Roman"/>
          <w:i/>
          <w:noProof/>
          <w:lang w:val="fr-CA"/>
        </w:rPr>
        <w:t>Donoghue c. Stevenson</w:t>
      </w:r>
      <w:r w:rsidRPr="000E14A8">
        <w:rPr>
          <w:rFonts w:cs="Times New Roman"/>
          <w:noProof/>
          <w:lang w:val="fr-CA"/>
        </w:rPr>
        <w:t>, [1932] A.C. 562 (H.L.), p. 580</w:t>
      </w:r>
      <w:r w:rsidRPr="000E14A8">
        <w:rPr>
          <w:rFonts w:cs="Times New Roman"/>
          <w:noProof/>
          <w:lang w:val="fr-CA"/>
        </w:rPr>
        <w:noBreakHyphen/>
        <w:t>581)</w:t>
      </w:r>
      <w:r w:rsidR="00D5275F">
        <w:rPr>
          <w:rFonts w:cs="Times New Roman"/>
          <w:noProof/>
          <w:lang w:val="fr-CA"/>
        </w:rPr>
        <w:t>,</w:t>
      </w:r>
      <w:r w:rsidRPr="000E14A8">
        <w:rPr>
          <w:rFonts w:cs="Times New Roman"/>
          <w:noProof/>
          <w:lang w:val="fr-CA"/>
        </w:rPr>
        <w:t xml:space="preserve"> les tribunaux doivent examiner tous les facteurs pertinents « découlant du </w:t>
      </w:r>
      <w:r w:rsidRPr="000E14A8">
        <w:rPr>
          <w:rFonts w:cs="Times New Roman"/>
          <w:i/>
          <w:noProof/>
          <w:lang w:val="fr-CA"/>
        </w:rPr>
        <w:t>lien</w:t>
      </w:r>
      <w:r w:rsidRPr="000E14A8">
        <w:rPr>
          <w:rFonts w:cs="Times New Roman"/>
          <w:noProof/>
          <w:lang w:val="fr-CA"/>
        </w:rPr>
        <w:t xml:space="preserve"> existant entre l[e] demande[ur] et le défendeur » (</w:t>
      </w:r>
      <w:r w:rsidRPr="000E14A8">
        <w:rPr>
          <w:rFonts w:cs="Times New Roman"/>
          <w:i/>
          <w:noProof/>
          <w:lang w:val="fr-CA"/>
        </w:rPr>
        <w:t>Cooper</w:t>
      </w:r>
      <w:r w:rsidRPr="000E14A8">
        <w:rPr>
          <w:rFonts w:cs="Times New Roman"/>
          <w:noProof/>
          <w:lang w:val="fr-CA"/>
        </w:rPr>
        <w:t>, par. 30 (souligné dans l</w:t>
      </w:r>
      <w:r>
        <w:rPr>
          <w:rFonts w:cs="Times New Roman"/>
          <w:noProof/>
          <w:lang w:val="fr-CA"/>
        </w:rPr>
        <w:t>’</w:t>
      </w:r>
      <w:r w:rsidRPr="000E14A8">
        <w:rPr>
          <w:rFonts w:cs="Times New Roman"/>
          <w:noProof/>
          <w:lang w:val="fr-CA"/>
        </w:rPr>
        <w:t xml:space="preserve">original); </w:t>
      </w:r>
      <w:r w:rsidRPr="000E14A8">
        <w:rPr>
          <w:rFonts w:cs="Times New Roman"/>
          <w:i/>
          <w:noProof/>
          <w:lang w:val="fr-CA"/>
        </w:rPr>
        <w:t>Edwards</w:t>
      </w:r>
      <w:r w:rsidRPr="000E14A8">
        <w:rPr>
          <w:rFonts w:cs="Times New Roman"/>
          <w:noProof/>
          <w:lang w:val="fr-CA"/>
        </w:rPr>
        <w:t xml:space="preserve">, par. 9; </w:t>
      </w:r>
      <w:r w:rsidRPr="000E14A8">
        <w:rPr>
          <w:rFonts w:cs="Times New Roman"/>
          <w:i/>
          <w:noProof/>
          <w:lang w:val="fr-CA"/>
        </w:rPr>
        <w:t>Childs</w:t>
      </w:r>
      <w:r w:rsidRPr="000E14A8">
        <w:rPr>
          <w:rFonts w:cs="Times New Roman"/>
          <w:noProof/>
          <w:lang w:val="fr-CA"/>
        </w:rPr>
        <w:t>,</w:t>
      </w:r>
      <w:r w:rsidRPr="000E14A8">
        <w:rPr>
          <w:rFonts w:cs="Times New Roman"/>
          <w:i/>
          <w:noProof/>
          <w:lang w:val="fr-CA"/>
        </w:rPr>
        <w:t xml:space="preserve"> </w:t>
      </w:r>
      <w:r w:rsidRPr="000E14A8">
        <w:rPr>
          <w:rFonts w:cs="Times New Roman"/>
          <w:noProof/>
          <w:lang w:val="fr-CA"/>
        </w:rPr>
        <w:t xml:space="preserve">par. 24; </w:t>
      </w:r>
      <w:r w:rsidRPr="000E14A8">
        <w:rPr>
          <w:rFonts w:cs="Times New Roman"/>
          <w:i/>
          <w:noProof/>
          <w:lang w:val="fr-CA"/>
        </w:rPr>
        <w:t>Odhavji</w:t>
      </w:r>
      <w:r w:rsidRPr="000E14A8">
        <w:rPr>
          <w:rFonts w:cs="Times New Roman"/>
          <w:noProof/>
          <w:lang w:val="fr-CA"/>
        </w:rPr>
        <w:t xml:space="preserve">, par. 50; </w:t>
      </w:r>
      <w:r w:rsidRPr="000E14A8">
        <w:rPr>
          <w:rFonts w:cs="Times New Roman"/>
          <w:i/>
          <w:noProof/>
          <w:lang w:val="fr-CA"/>
        </w:rPr>
        <w:t>Hill</w:t>
      </w:r>
      <w:r w:rsidRPr="000E14A8">
        <w:rPr>
          <w:rFonts w:cs="Times New Roman"/>
          <w:noProof/>
          <w:lang w:val="fr-CA"/>
        </w:rPr>
        <w:t>,</w:t>
      </w:r>
      <w:r w:rsidRPr="000E14A8">
        <w:rPr>
          <w:rFonts w:cs="Times New Roman"/>
          <w:i/>
          <w:noProof/>
          <w:lang w:val="fr-CA"/>
        </w:rPr>
        <w:t xml:space="preserve"> </w:t>
      </w:r>
      <w:r w:rsidRPr="000E14A8">
        <w:rPr>
          <w:rFonts w:cs="Times New Roman"/>
          <w:noProof/>
          <w:lang w:val="fr-CA"/>
        </w:rPr>
        <w:t xml:space="preserve">par. 24; </w:t>
      </w:r>
      <w:r w:rsidRPr="000E14A8">
        <w:rPr>
          <w:rFonts w:cs="Times New Roman"/>
          <w:i/>
          <w:noProof/>
          <w:lang w:val="fr-CA"/>
        </w:rPr>
        <w:t>Fullowka</w:t>
      </w:r>
      <w:r w:rsidRPr="000E14A8">
        <w:rPr>
          <w:rFonts w:cs="Times New Roman"/>
          <w:noProof/>
          <w:lang w:val="fr-CA"/>
        </w:rPr>
        <w:t>,</w:t>
      </w:r>
      <w:r w:rsidRPr="000E14A8">
        <w:rPr>
          <w:rFonts w:cs="Times New Roman"/>
          <w:i/>
          <w:noProof/>
          <w:lang w:val="fr-CA"/>
        </w:rPr>
        <w:t xml:space="preserve"> </w:t>
      </w:r>
      <w:r w:rsidRPr="000E14A8">
        <w:rPr>
          <w:rFonts w:cs="Times New Roman"/>
          <w:noProof/>
          <w:lang w:val="fr-CA"/>
        </w:rPr>
        <w:t>par. 26;</w:t>
      </w:r>
      <w:r w:rsidRPr="000E14A8">
        <w:rPr>
          <w:rFonts w:cs="Times New Roman"/>
          <w:i/>
          <w:noProof/>
          <w:lang w:val="fr-CA"/>
        </w:rPr>
        <w:t xml:space="preserve"> Saadati</w:t>
      </w:r>
      <w:r w:rsidRPr="000E14A8">
        <w:rPr>
          <w:rFonts w:cs="Times New Roman"/>
          <w:noProof/>
          <w:lang w:val="fr-CA"/>
        </w:rPr>
        <w:t>, par. 24). Bien que ces facteurs soient variés et qu</w:t>
      </w:r>
      <w:r>
        <w:rPr>
          <w:rFonts w:cs="Times New Roman"/>
          <w:noProof/>
          <w:lang w:val="fr-CA"/>
        </w:rPr>
        <w:t>’</w:t>
      </w:r>
      <w:r w:rsidRPr="000E14A8">
        <w:rPr>
          <w:rFonts w:cs="Times New Roman"/>
          <w:noProof/>
          <w:lang w:val="fr-CA"/>
        </w:rPr>
        <w:t>ils dépendent des circonstances de l</w:t>
      </w:r>
      <w:r>
        <w:rPr>
          <w:rFonts w:cs="Times New Roman"/>
          <w:noProof/>
          <w:lang w:val="fr-CA"/>
        </w:rPr>
        <w:t>’</w:t>
      </w:r>
      <w:r w:rsidRPr="000E14A8">
        <w:rPr>
          <w:rFonts w:cs="Times New Roman"/>
          <w:noProof/>
          <w:lang w:val="fr-CA"/>
        </w:rPr>
        <w:t>affaire (</w:t>
      </w:r>
      <w:r w:rsidRPr="000E14A8">
        <w:rPr>
          <w:rFonts w:cs="Times New Roman"/>
          <w:i/>
          <w:noProof/>
          <w:lang w:val="fr-CA"/>
        </w:rPr>
        <w:t>Cooper</w:t>
      </w:r>
      <w:r w:rsidRPr="000E14A8">
        <w:rPr>
          <w:rFonts w:cs="Times New Roman"/>
          <w:noProof/>
          <w:lang w:val="fr-CA"/>
        </w:rPr>
        <w:t>, par. 35), notre Cour a affirmé qu</w:t>
      </w:r>
      <w:r>
        <w:rPr>
          <w:rFonts w:cs="Times New Roman"/>
          <w:noProof/>
          <w:lang w:val="fr-CA"/>
        </w:rPr>
        <w:t>’</w:t>
      </w:r>
      <w:r w:rsidRPr="000E14A8">
        <w:rPr>
          <w:rFonts w:cs="Times New Roman"/>
          <w:noProof/>
          <w:lang w:val="fr-CA"/>
        </w:rPr>
        <w:t>ils étaient composés « des attentes, des déclarations, de la confiance, des biens en cause et d</w:t>
      </w:r>
      <w:r>
        <w:rPr>
          <w:rFonts w:cs="Times New Roman"/>
          <w:noProof/>
          <w:lang w:val="fr-CA"/>
        </w:rPr>
        <w:t>’</w:t>
      </w:r>
      <w:r w:rsidRPr="000E14A8">
        <w:rPr>
          <w:rFonts w:cs="Times New Roman"/>
          <w:noProof/>
          <w:lang w:val="fr-CA"/>
        </w:rPr>
        <w:t>autres intérêts en jeu » (</w:t>
      </w:r>
      <w:r w:rsidRPr="000E14A8">
        <w:rPr>
          <w:rFonts w:cs="Times New Roman"/>
          <w:i/>
          <w:noProof/>
          <w:lang w:val="fr-CA"/>
        </w:rPr>
        <w:t>ibid.</w:t>
      </w:r>
      <w:r w:rsidRPr="000E14A8">
        <w:rPr>
          <w:rFonts w:cs="Times New Roman"/>
          <w:noProof/>
          <w:lang w:val="fr-CA"/>
        </w:rPr>
        <w:t xml:space="preserve">, par. 34; </w:t>
      </w:r>
      <w:r w:rsidRPr="000E14A8">
        <w:rPr>
          <w:rFonts w:cs="Times New Roman"/>
          <w:i/>
          <w:noProof/>
          <w:lang w:val="fr-CA"/>
        </w:rPr>
        <w:t>Odhavji</w:t>
      </w:r>
      <w:r w:rsidRPr="000E14A8">
        <w:rPr>
          <w:rFonts w:cs="Times New Roman"/>
          <w:noProof/>
          <w:lang w:val="fr-CA"/>
        </w:rPr>
        <w:t xml:space="preserve">, par. 50; </w:t>
      </w:r>
      <w:r w:rsidRPr="000E14A8">
        <w:rPr>
          <w:rFonts w:cs="Times New Roman"/>
          <w:i/>
          <w:noProof/>
          <w:lang w:val="fr-CA"/>
        </w:rPr>
        <w:t>Fullowka</w:t>
      </w:r>
      <w:r w:rsidRPr="000E14A8">
        <w:rPr>
          <w:rFonts w:cs="Times New Roman"/>
          <w:noProof/>
          <w:lang w:val="fr-CA"/>
        </w:rPr>
        <w:t>, par. 26) ainsi que des obligations imposées par la loi (</w:t>
      </w:r>
      <w:r w:rsidRPr="000E14A8">
        <w:rPr>
          <w:rFonts w:cs="Times New Roman"/>
          <w:i/>
          <w:noProof/>
          <w:lang w:val="fr-CA"/>
        </w:rPr>
        <w:t>Cooper</w:t>
      </w:r>
      <w:r w:rsidRPr="000E14A8">
        <w:rPr>
          <w:rFonts w:cs="Times New Roman"/>
          <w:noProof/>
          <w:lang w:val="fr-CA"/>
        </w:rPr>
        <w:t xml:space="preserve">, par. 38; </w:t>
      </w:r>
      <w:r w:rsidRPr="000E14A8">
        <w:rPr>
          <w:rFonts w:cs="Times New Roman"/>
          <w:i/>
          <w:noProof/>
          <w:lang w:val="fr-CA"/>
        </w:rPr>
        <w:t>Edwards</w:t>
      </w:r>
      <w:r w:rsidRPr="000E14A8">
        <w:rPr>
          <w:rFonts w:cs="Times New Roman"/>
          <w:noProof/>
          <w:lang w:val="fr-CA"/>
        </w:rPr>
        <w:t xml:space="preserve">, par. 9 et 13; </w:t>
      </w:r>
      <w:r w:rsidRPr="000E14A8">
        <w:rPr>
          <w:rFonts w:cs="Times New Roman"/>
          <w:i/>
          <w:noProof/>
          <w:lang w:val="fr-CA"/>
        </w:rPr>
        <w:t>Odhavji</w:t>
      </w:r>
      <w:r w:rsidRPr="000E14A8">
        <w:rPr>
          <w:rFonts w:cs="Times New Roman"/>
          <w:noProof/>
          <w:lang w:val="fr-CA"/>
        </w:rPr>
        <w:t xml:space="preserve">, par. 56). </w:t>
      </w:r>
    </w:p>
    <w:p w:rsidR="003A506E" w:rsidRPr="000E14A8" w:rsidRDefault="003A506E" w:rsidP="003A506E">
      <w:pPr>
        <w:pStyle w:val="ParaNoNdepar-AltN"/>
        <w:tabs>
          <w:tab w:val="clear" w:pos="1152"/>
          <w:tab w:val="left" w:pos="1166"/>
        </w:tabs>
        <w:rPr>
          <w:rFonts w:cs="Times New Roman"/>
          <w:i/>
          <w:iCs/>
          <w:noProof/>
          <w:lang w:val="fr-CA"/>
        </w:rPr>
      </w:pPr>
      <w:r w:rsidRPr="000E14A8">
        <w:rPr>
          <w:rFonts w:cs="Times New Roman"/>
          <w:noProof/>
          <w:lang w:val="fr-CA"/>
        </w:rPr>
        <w:lastRenderedPageBreak/>
        <w:t>Dans le cas d</w:t>
      </w:r>
      <w:r>
        <w:rPr>
          <w:rFonts w:cs="Times New Roman"/>
          <w:noProof/>
          <w:lang w:val="fr-CA"/>
        </w:rPr>
        <w:t>’</w:t>
      </w:r>
      <w:r w:rsidRPr="000E14A8">
        <w:rPr>
          <w:rFonts w:cs="Times New Roman"/>
          <w:noProof/>
          <w:lang w:val="fr-CA"/>
        </w:rPr>
        <w:t>une perte purement économique attribuable à une déclaration inexacte faite par négligence ou à la prestation négligente d</w:t>
      </w:r>
      <w:r>
        <w:rPr>
          <w:rFonts w:cs="Times New Roman"/>
          <w:noProof/>
          <w:lang w:val="fr-CA"/>
        </w:rPr>
        <w:t>’</w:t>
      </w:r>
      <w:r w:rsidRPr="000E14A8">
        <w:rPr>
          <w:rFonts w:cs="Times New Roman"/>
          <w:noProof/>
          <w:lang w:val="fr-CA"/>
        </w:rPr>
        <w:t>un service, deux facteurs jouent un rôle déterminant dans l</w:t>
      </w:r>
      <w:r>
        <w:rPr>
          <w:rFonts w:cs="Times New Roman"/>
          <w:noProof/>
          <w:lang w:val="fr-CA"/>
        </w:rPr>
        <w:t>’</w:t>
      </w:r>
      <w:r w:rsidRPr="000E14A8">
        <w:rPr>
          <w:rFonts w:cs="Times New Roman"/>
          <w:noProof/>
          <w:lang w:val="fr-CA"/>
        </w:rPr>
        <w:t>analyse du lien de proximité : l</w:t>
      </w:r>
      <w:r>
        <w:rPr>
          <w:rFonts w:cs="Times New Roman"/>
          <w:noProof/>
          <w:lang w:val="fr-CA"/>
        </w:rPr>
        <w:t>’</w:t>
      </w:r>
      <w:r w:rsidRPr="000E14A8">
        <w:rPr>
          <w:rFonts w:cs="Times New Roman"/>
          <w:noProof/>
          <w:lang w:val="fr-CA"/>
        </w:rPr>
        <w:t>engagement pris par le défendeur et le fait pour le demandeur de s</w:t>
      </w:r>
      <w:r>
        <w:rPr>
          <w:rFonts w:cs="Times New Roman"/>
          <w:noProof/>
          <w:lang w:val="fr-CA"/>
        </w:rPr>
        <w:t>’</w:t>
      </w:r>
      <w:r w:rsidRPr="000E14A8">
        <w:rPr>
          <w:rFonts w:cs="Times New Roman"/>
          <w:noProof/>
          <w:lang w:val="fr-CA"/>
        </w:rPr>
        <w:t>y fier. Lorsqu</w:t>
      </w:r>
      <w:r>
        <w:rPr>
          <w:rFonts w:cs="Times New Roman"/>
          <w:noProof/>
          <w:lang w:val="fr-CA"/>
        </w:rPr>
        <w:t>’</w:t>
      </w:r>
      <w:r w:rsidRPr="000E14A8">
        <w:rPr>
          <w:rFonts w:cs="Times New Roman"/>
          <w:noProof/>
          <w:lang w:val="fr-CA"/>
        </w:rPr>
        <w:t>il s</w:t>
      </w:r>
      <w:r>
        <w:rPr>
          <w:rFonts w:cs="Times New Roman"/>
          <w:noProof/>
          <w:lang w:val="fr-CA"/>
        </w:rPr>
        <w:t>’</w:t>
      </w:r>
      <w:r w:rsidRPr="000E14A8">
        <w:rPr>
          <w:rFonts w:cs="Times New Roman"/>
          <w:noProof/>
          <w:lang w:val="fr-CA"/>
        </w:rPr>
        <w:t>engage à fournir une déclaration ou un service dans des circonstances qui invitent à la confiance raisonnable du demandeur, le défendeur est tenu d</w:t>
      </w:r>
      <w:r>
        <w:rPr>
          <w:rFonts w:cs="Times New Roman"/>
          <w:noProof/>
          <w:lang w:val="fr-CA"/>
        </w:rPr>
        <w:t>’</w:t>
      </w:r>
      <w:r w:rsidRPr="000E14A8">
        <w:rPr>
          <w:rFonts w:cs="Times New Roman"/>
          <w:noProof/>
          <w:lang w:val="fr-CA"/>
        </w:rPr>
        <w:t>agir avec diligence raisonnable, et le demandeur a le droit de se fier à l</w:t>
      </w:r>
      <w:r>
        <w:rPr>
          <w:rFonts w:cs="Times New Roman"/>
          <w:noProof/>
          <w:lang w:val="fr-CA"/>
        </w:rPr>
        <w:t>’</w:t>
      </w:r>
      <w:r w:rsidRPr="000E14A8">
        <w:rPr>
          <w:rFonts w:cs="Times New Roman"/>
          <w:noProof/>
          <w:lang w:val="fr-CA"/>
        </w:rPr>
        <w:t xml:space="preserve">engagement pris par le défendeur (W. N. Hohfeld, « Some Fundamental Legal Conceptions as Applied in Judicial Reasoning » (1913), 23 </w:t>
      </w:r>
      <w:r w:rsidRPr="000E14A8">
        <w:rPr>
          <w:rFonts w:cs="Times New Roman"/>
          <w:i/>
          <w:noProof/>
          <w:lang w:val="fr-CA"/>
        </w:rPr>
        <w:t>Yale L.J.</w:t>
      </w:r>
      <w:r w:rsidRPr="000E14A8">
        <w:rPr>
          <w:rFonts w:cs="Times New Roman"/>
          <w:noProof/>
          <w:lang w:val="fr-CA"/>
        </w:rPr>
        <w:t xml:space="preserve"> 16, p. 49</w:t>
      </w:r>
      <w:r w:rsidRPr="000E14A8">
        <w:rPr>
          <w:rFonts w:cs="Times New Roman"/>
          <w:noProof/>
          <w:lang w:val="fr-CA"/>
        </w:rPr>
        <w:noBreakHyphen/>
        <w:t>50). Ce sont ces droits et ces obligations corollaires qui créent un lien de proximité (</w:t>
      </w:r>
      <w:r w:rsidRPr="000E14A8">
        <w:rPr>
          <w:rFonts w:cs="Times New Roman"/>
          <w:i/>
          <w:noProof/>
          <w:lang w:val="fr-CA"/>
        </w:rPr>
        <w:t>Haig</w:t>
      </w:r>
      <w:r w:rsidRPr="000E14A8">
        <w:rPr>
          <w:rFonts w:cs="Times New Roman"/>
          <w:noProof/>
          <w:lang w:val="fr-CA"/>
        </w:rPr>
        <w:t>, p. 477;</w:t>
      </w:r>
      <w:r w:rsidRPr="000E14A8">
        <w:rPr>
          <w:rFonts w:cs="Times New Roman"/>
          <w:i/>
          <w:noProof/>
          <w:lang w:val="fr-CA"/>
        </w:rPr>
        <w:t xml:space="preserve"> </w:t>
      </w:r>
      <w:r w:rsidRPr="000E14A8">
        <w:rPr>
          <w:rFonts w:cs="Times New Roman"/>
          <w:i/>
          <w:iCs/>
          <w:noProof/>
          <w:lang w:val="fr-CA"/>
        </w:rPr>
        <w:t>Caparo Industries plc. c. Dickman</w:t>
      </w:r>
      <w:r w:rsidRPr="000E14A8">
        <w:rPr>
          <w:rFonts w:cs="Times New Roman"/>
          <w:iCs/>
          <w:noProof/>
          <w:lang w:val="fr-CA"/>
        </w:rPr>
        <w:t>,</w:t>
      </w:r>
      <w:r w:rsidRPr="000E14A8">
        <w:rPr>
          <w:rFonts w:cs="Times New Roman"/>
          <w:i/>
          <w:iCs/>
          <w:noProof/>
          <w:lang w:val="fr-CA"/>
        </w:rPr>
        <w:t xml:space="preserve"> </w:t>
      </w:r>
      <w:r w:rsidRPr="000E14A8">
        <w:rPr>
          <w:rFonts w:cs="Times New Roman"/>
          <w:noProof/>
          <w:lang w:val="fr-CA"/>
        </w:rPr>
        <w:t>[1990] 1 All E.R. 568 (H.L.), p. 637</w:t>
      </w:r>
      <w:r w:rsidRPr="000E14A8">
        <w:rPr>
          <w:rFonts w:cs="Times New Roman"/>
          <w:noProof/>
          <w:lang w:val="fr-CA"/>
        </w:rPr>
        <w:noBreakHyphen/>
        <w:t xml:space="preserve">638; </w:t>
      </w:r>
      <w:r w:rsidRPr="000E14A8">
        <w:rPr>
          <w:rFonts w:cs="Times New Roman"/>
          <w:i/>
          <w:noProof/>
          <w:lang w:val="fr-CA"/>
        </w:rPr>
        <w:t>Glanzer c. Shepard</w:t>
      </w:r>
      <w:r w:rsidRPr="000E14A8">
        <w:rPr>
          <w:rFonts w:cs="Times New Roman"/>
          <w:noProof/>
          <w:lang w:val="fr-CA"/>
        </w:rPr>
        <w:t>, 135 N.E. 275 (N.Y. 1922), p. 275</w:t>
      </w:r>
      <w:r w:rsidRPr="000E14A8">
        <w:rPr>
          <w:rFonts w:cs="Times New Roman"/>
          <w:noProof/>
          <w:lang w:val="fr-CA"/>
        </w:rPr>
        <w:noBreakHyphen/>
        <w:t xml:space="preserve">276; </w:t>
      </w:r>
      <w:r w:rsidRPr="000E14A8">
        <w:rPr>
          <w:rFonts w:cs="Times New Roman"/>
          <w:i/>
          <w:noProof/>
          <w:lang w:val="fr-CA"/>
        </w:rPr>
        <w:t>Ultramares</w:t>
      </w:r>
      <w:r w:rsidRPr="000E14A8">
        <w:rPr>
          <w:rFonts w:cs="Times New Roman"/>
          <w:noProof/>
          <w:lang w:val="fr-CA"/>
        </w:rPr>
        <w:t xml:space="preserve"> </w:t>
      </w:r>
      <w:r w:rsidRPr="000E14A8">
        <w:rPr>
          <w:rFonts w:cs="Times New Roman"/>
          <w:i/>
          <w:noProof/>
          <w:lang w:val="fr-CA"/>
        </w:rPr>
        <w:t>Corp.</w:t>
      </w:r>
      <w:r>
        <w:rPr>
          <w:rFonts w:cs="Times New Roman"/>
          <w:i/>
          <w:noProof/>
          <w:lang w:val="fr-CA"/>
        </w:rPr>
        <w:t xml:space="preserve"> </w:t>
      </w:r>
      <w:r w:rsidRPr="000E14A8">
        <w:rPr>
          <w:rFonts w:cs="Times New Roman"/>
          <w:i/>
          <w:noProof/>
          <w:lang w:val="fr-CA"/>
        </w:rPr>
        <w:t>c. Touche</w:t>
      </w:r>
      <w:r w:rsidRPr="000E14A8">
        <w:rPr>
          <w:rFonts w:cs="Times New Roman"/>
          <w:noProof/>
          <w:lang w:val="fr-CA"/>
        </w:rPr>
        <w:t>,</w:t>
      </w:r>
      <w:r w:rsidRPr="000E14A8">
        <w:rPr>
          <w:rFonts w:cs="Times New Roman"/>
          <w:i/>
          <w:noProof/>
          <w:lang w:val="fr-CA"/>
        </w:rPr>
        <w:t xml:space="preserve"> </w:t>
      </w:r>
      <w:r w:rsidRPr="000E14A8">
        <w:rPr>
          <w:rFonts w:cs="Times New Roman"/>
          <w:noProof/>
          <w:lang w:val="fr-CA"/>
        </w:rPr>
        <w:t>174 N.E. 441 (N.Y. 1931), p. 445</w:t>
      </w:r>
      <w:r w:rsidRPr="000E14A8">
        <w:rPr>
          <w:rFonts w:cs="Times New Roman"/>
          <w:noProof/>
          <w:lang w:val="fr-CA"/>
        </w:rPr>
        <w:noBreakHyphen/>
        <w:t>446; E. J. Weinrib, « The Disintegration of Duty » (2006),</w:t>
      </w:r>
      <w:r w:rsidRPr="000E14A8">
        <w:rPr>
          <w:rFonts w:cs="Times New Roman"/>
          <w:i/>
          <w:noProof/>
          <w:lang w:val="fr-CA"/>
        </w:rPr>
        <w:t xml:space="preserve"> </w:t>
      </w:r>
      <w:r w:rsidRPr="000E14A8">
        <w:rPr>
          <w:rFonts w:cs="Times New Roman"/>
          <w:noProof/>
          <w:lang w:val="fr-CA"/>
        </w:rPr>
        <w:t xml:space="preserve">31 </w:t>
      </w:r>
      <w:r w:rsidRPr="000E14A8">
        <w:rPr>
          <w:rFonts w:cs="Times New Roman"/>
          <w:i/>
          <w:noProof/>
          <w:lang w:val="fr-CA"/>
        </w:rPr>
        <w:t>Adv. Q.</w:t>
      </w:r>
      <w:r w:rsidRPr="000E14A8">
        <w:rPr>
          <w:rFonts w:cs="Times New Roman"/>
          <w:noProof/>
          <w:lang w:val="fr-CA"/>
        </w:rPr>
        <w:t xml:space="preserve"> 212, p. 230).</w:t>
      </w:r>
    </w:p>
    <w:p w:rsidR="003A506E" w:rsidRPr="000E14A8" w:rsidRDefault="003A506E" w:rsidP="003A506E">
      <w:pPr>
        <w:pStyle w:val="ParaNoNdepar-AltN"/>
        <w:rPr>
          <w:rFonts w:cs="Times New Roman"/>
          <w:noProof/>
          <w:lang w:val="fr-CA"/>
        </w:rPr>
      </w:pPr>
      <w:r w:rsidRPr="000E14A8">
        <w:rPr>
          <w:rFonts w:cs="Times New Roman"/>
          <w:noProof/>
          <w:lang w:val="fr-CA"/>
        </w:rPr>
        <w:t>Or, tout comme les obligations, les droits ne sont pas illimités. Toute décision de la part du demandeur de se fier à l</w:t>
      </w:r>
      <w:r>
        <w:rPr>
          <w:rFonts w:cs="Times New Roman"/>
          <w:noProof/>
          <w:lang w:val="fr-CA"/>
        </w:rPr>
        <w:t>’</w:t>
      </w:r>
      <w:r w:rsidRPr="000E14A8">
        <w:rPr>
          <w:rFonts w:cs="Times New Roman"/>
          <w:noProof/>
          <w:lang w:val="fr-CA"/>
        </w:rPr>
        <w:t>engagement qui excède la portée de la responsabilité assumée par le défendeur — à savoir, qui est étrangère à l</w:t>
      </w:r>
      <w:r>
        <w:rPr>
          <w:rFonts w:cs="Times New Roman"/>
          <w:noProof/>
          <w:lang w:val="fr-CA"/>
        </w:rPr>
        <w:t>’</w:t>
      </w:r>
      <w:r w:rsidRPr="000E14A8">
        <w:rPr>
          <w:rFonts w:cs="Times New Roman"/>
          <w:noProof/>
          <w:lang w:val="fr-CA"/>
        </w:rPr>
        <w:t>objet de la déclaration ou du service qu</w:t>
      </w:r>
      <w:r>
        <w:rPr>
          <w:rFonts w:cs="Times New Roman"/>
          <w:noProof/>
          <w:lang w:val="fr-CA"/>
        </w:rPr>
        <w:t>’</w:t>
      </w:r>
      <w:r w:rsidRPr="000E14A8">
        <w:rPr>
          <w:rFonts w:cs="Times New Roman"/>
          <w:noProof/>
          <w:lang w:val="fr-CA"/>
        </w:rPr>
        <w:t>il s</w:t>
      </w:r>
      <w:r>
        <w:rPr>
          <w:rFonts w:cs="Times New Roman"/>
          <w:noProof/>
          <w:lang w:val="fr-CA"/>
        </w:rPr>
        <w:t>’</w:t>
      </w:r>
      <w:r w:rsidRPr="000E14A8">
        <w:rPr>
          <w:rFonts w:cs="Times New Roman"/>
          <w:noProof/>
          <w:lang w:val="fr-CA"/>
        </w:rPr>
        <w:t>est engagé à fournir — excède nécessairement le cadre du lien de proximité et, par conséquent, celui de l</w:t>
      </w:r>
      <w:r>
        <w:rPr>
          <w:rFonts w:cs="Times New Roman"/>
          <w:noProof/>
          <w:lang w:val="fr-CA"/>
        </w:rPr>
        <w:t>’</w:t>
      </w:r>
      <w:r w:rsidRPr="000E14A8">
        <w:rPr>
          <w:rFonts w:cs="Times New Roman"/>
          <w:noProof/>
          <w:lang w:val="fr-CA"/>
        </w:rPr>
        <w:t xml:space="preserve">obligation de diligence qui incombe au défendeur (Weinrib; A. Beever, </w:t>
      </w:r>
      <w:r w:rsidRPr="000E14A8">
        <w:rPr>
          <w:rFonts w:cs="Times New Roman"/>
          <w:i/>
          <w:noProof/>
          <w:lang w:val="fr-CA"/>
        </w:rPr>
        <w:t>Rediscovering the Law of Negligence</w:t>
      </w:r>
      <w:r w:rsidRPr="000E14A8">
        <w:rPr>
          <w:rFonts w:cs="Times New Roman"/>
          <w:noProof/>
          <w:lang w:val="fr-CA"/>
        </w:rPr>
        <w:t xml:space="preserve"> (2007), p. 293</w:t>
      </w:r>
      <w:r w:rsidRPr="000E14A8">
        <w:rPr>
          <w:rFonts w:cs="Times New Roman"/>
          <w:noProof/>
          <w:lang w:val="fr-CA"/>
        </w:rPr>
        <w:noBreakHyphen/>
        <w:t>294). Ce principe, aussi appelé « règle de l</w:t>
      </w:r>
      <w:r>
        <w:rPr>
          <w:rFonts w:cs="Times New Roman"/>
          <w:noProof/>
          <w:lang w:val="fr-CA"/>
        </w:rPr>
        <w:t>’</w:t>
      </w:r>
      <w:r w:rsidRPr="000E14A8">
        <w:rPr>
          <w:rFonts w:cs="Times New Roman"/>
          <w:noProof/>
          <w:lang w:val="fr-CA"/>
        </w:rPr>
        <w:t>objet », a pour effet de restreindre à juste titre la responsabilité au motif que le défendeur ne saurait être tenu responsable d</w:t>
      </w:r>
      <w:r>
        <w:rPr>
          <w:rFonts w:cs="Times New Roman"/>
          <w:noProof/>
          <w:lang w:val="fr-CA"/>
        </w:rPr>
        <w:t>’</w:t>
      </w:r>
      <w:r w:rsidRPr="000E14A8">
        <w:rPr>
          <w:rFonts w:cs="Times New Roman"/>
          <w:noProof/>
          <w:lang w:val="fr-CA"/>
        </w:rPr>
        <w:t>un risque de préjudice contre lequel il ne s</w:t>
      </w:r>
      <w:r>
        <w:rPr>
          <w:rFonts w:cs="Times New Roman"/>
          <w:noProof/>
          <w:lang w:val="fr-CA"/>
        </w:rPr>
        <w:t>’</w:t>
      </w:r>
      <w:r w:rsidRPr="000E14A8">
        <w:rPr>
          <w:rFonts w:cs="Times New Roman"/>
          <w:noProof/>
          <w:lang w:val="fr-CA"/>
        </w:rPr>
        <w:t>est pas engagé à protéger le demandeur (</w:t>
      </w:r>
      <w:r w:rsidRPr="000E14A8">
        <w:rPr>
          <w:rFonts w:cs="Times New Roman"/>
          <w:i/>
          <w:noProof/>
          <w:lang w:val="fr-CA"/>
        </w:rPr>
        <w:t>Glanzer</w:t>
      </w:r>
      <w:r w:rsidRPr="000E14A8">
        <w:rPr>
          <w:rFonts w:cs="Times New Roman"/>
          <w:noProof/>
          <w:lang w:val="fr-CA"/>
        </w:rPr>
        <w:t>,</w:t>
      </w:r>
      <w:r w:rsidRPr="000E14A8">
        <w:rPr>
          <w:rFonts w:cs="Times New Roman"/>
          <w:i/>
          <w:noProof/>
          <w:lang w:val="fr-CA"/>
        </w:rPr>
        <w:t xml:space="preserve"> </w:t>
      </w:r>
      <w:r w:rsidRPr="000E14A8">
        <w:rPr>
          <w:rFonts w:cs="Times New Roman"/>
          <w:noProof/>
          <w:lang w:val="fr-CA"/>
        </w:rPr>
        <w:t xml:space="preserve">p. 275 et 277; </w:t>
      </w:r>
      <w:r w:rsidRPr="000E14A8">
        <w:rPr>
          <w:rFonts w:cs="Times New Roman"/>
          <w:i/>
          <w:noProof/>
          <w:lang w:val="fr-CA"/>
        </w:rPr>
        <w:t>Ultramares</w:t>
      </w:r>
      <w:r w:rsidRPr="000E14A8">
        <w:rPr>
          <w:rFonts w:cs="Times New Roman"/>
          <w:noProof/>
          <w:lang w:val="fr-CA"/>
        </w:rPr>
        <w:t>, p. 445</w:t>
      </w:r>
      <w:r w:rsidRPr="000E14A8">
        <w:rPr>
          <w:rFonts w:cs="Times New Roman"/>
          <w:noProof/>
          <w:lang w:val="fr-CA"/>
        </w:rPr>
        <w:noBreakHyphen/>
        <w:t xml:space="preserve">446; </w:t>
      </w:r>
      <w:r w:rsidRPr="000E14A8">
        <w:rPr>
          <w:rFonts w:cs="Times New Roman"/>
          <w:i/>
          <w:noProof/>
          <w:lang w:val="fr-CA"/>
        </w:rPr>
        <w:t>Haig</w:t>
      </w:r>
      <w:r w:rsidRPr="000E14A8">
        <w:rPr>
          <w:rFonts w:cs="Times New Roman"/>
          <w:noProof/>
          <w:lang w:val="fr-CA"/>
        </w:rPr>
        <w:t>, p. 482). En tenant compte de tous les facteurs pertinents découlant du lien existant entre les parties, l</w:t>
      </w:r>
      <w:r>
        <w:rPr>
          <w:rFonts w:cs="Times New Roman"/>
          <w:noProof/>
          <w:lang w:val="fr-CA"/>
        </w:rPr>
        <w:t>’</w:t>
      </w:r>
      <w:r w:rsidRPr="000E14A8">
        <w:rPr>
          <w:rFonts w:cs="Times New Roman"/>
          <w:noProof/>
          <w:lang w:val="fr-CA"/>
        </w:rPr>
        <w:t xml:space="preserve">analyse du lien </w:t>
      </w:r>
      <w:r w:rsidRPr="000E14A8">
        <w:rPr>
          <w:rFonts w:cs="Times New Roman"/>
          <w:noProof/>
          <w:lang w:val="fr-CA"/>
        </w:rPr>
        <w:lastRenderedPageBreak/>
        <w:t>de proximité permet non seulement de déterminer l</w:t>
      </w:r>
      <w:r>
        <w:rPr>
          <w:rFonts w:cs="Times New Roman"/>
          <w:noProof/>
          <w:lang w:val="fr-CA"/>
        </w:rPr>
        <w:t>’</w:t>
      </w:r>
      <w:r w:rsidRPr="000E14A8">
        <w:rPr>
          <w:rFonts w:cs="Times New Roman"/>
          <w:i/>
          <w:noProof/>
          <w:lang w:val="fr-CA"/>
        </w:rPr>
        <w:t>existence</w:t>
      </w:r>
      <w:r w:rsidRPr="000E14A8">
        <w:rPr>
          <w:rFonts w:cs="Times New Roman"/>
          <w:noProof/>
          <w:lang w:val="fr-CA"/>
        </w:rPr>
        <w:t xml:space="preserve"> d</w:t>
      </w:r>
      <w:r>
        <w:rPr>
          <w:rFonts w:cs="Times New Roman"/>
          <w:noProof/>
          <w:lang w:val="fr-CA"/>
        </w:rPr>
        <w:t>’</w:t>
      </w:r>
      <w:r w:rsidRPr="000E14A8">
        <w:rPr>
          <w:rFonts w:cs="Times New Roman"/>
          <w:noProof/>
          <w:lang w:val="fr-CA"/>
        </w:rPr>
        <w:t>une relation de proximité, mais aussi de délimiter la</w:t>
      </w:r>
      <w:r w:rsidRPr="000E14A8">
        <w:rPr>
          <w:rFonts w:cs="Times New Roman"/>
          <w:i/>
          <w:noProof/>
          <w:lang w:val="fr-CA"/>
        </w:rPr>
        <w:t xml:space="preserve"> portée </w:t>
      </w:r>
      <w:r w:rsidRPr="000E14A8">
        <w:rPr>
          <w:rFonts w:cs="Times New Roman"/>
          <w:noProof/>
          <w:lang w:val="fr-CA"/>
        </w:rPr>
        <w:t>des droits et des obligations découlant de cette relation. En somme, l</w:t>
      </w:r>
      <w:r>
        <w:rPr>
          <w:rFonts w:cs="Times New Roman"/>
          <w:noProof/>
          <w:lang w:val="fr-CA"/>
        </w:rPr>
        <w:t>’</w:t>
      </w:r>
      <w:r w:rsidRPr="000E14A8">
        <w:rPr>
          <w:rFonts w:cs="Times New Roman"/>
          <w:noProof/>
          <w:lang w:val="fr-CA"/>
        </w:rPr>
        <w:t>analyse établit non seulement « un fondement rationnel à la ligne de démarcation entre ceux qui bénéficient de l</w:t>
      </w:r>
      <w:r>
        <w:rPr>
          <w:rFonts w:cs="Times New Roman"/>
          <w:noProof/>
          <w:lang w:val="fr-CA"/>
        </w:rPr>
        <w:t>’</w:t>
      </w:r>
      <w:r w:rsidRPr="000E14A8">
        <w:rPr>
          <w:rFonts w:cs="Times New Roman"/>
          <w:noProof/>
          <w:lang w:val="fr-CA"/>
        </w:rPr>
        <w:t>obligation de diligence et les autres » (</w:t>
      </w:r>
      <w:r w:rsidRPr="000E14A8">
        <w:rPr>
          <w:rFonts w:cs="Times New Roman"/>
          <w:i/>
          <w:noProof/>
          <w:lang w:val="fr-CA"/>
        </w:rPr>
        <w:t>Fullowka</w:t>
      </w:r>
      <w:r w:rsidRPr="000E14A8">
        <w:rPr>
          <w:rFonts w:cs="Times New Roman"/>
          <w:noProof/>
          <w:lang w:val="fr-CA"/>
        </w:rPr>
        <w:t>, par. 70), elle fixe aussi à la portée de cette obligation une délimitation rationnelle fondée sur l</w:t>
      </w:r>
      <w:r>
        <w:rPr>
          <w:rFonts w:cs="Times New Roman"/>
          <w:noProof/>
          <w:lang w:val="fr-CA"/>
        </w:rPr>
        <w:t>’</w:t>
      </w:r>
      <w:r w:rsidRPr="000E14A8">
        <w:rPr>
          <w:rFonts w:cs="Times New Roman"/>
          <w:noProof/>
          <w:lang w:val="fr-CA"/>
        </w:rPr>
        <w:t>objet de la responsabilité assumée par le défendeur. Comme nous allons l</w:t>
      </w:r>
      <w:r>
        <w:rPr>
          <w:rFonts w:cs="Times New Roman"/>
          <w:noProof/>
          <w:lang w:val="fr-CA"/>
        </w:rPr>
        <w:t>’</w:t>
      </w:r>
      <w:r w:rsidRPr="000E14A8">
        <w:rPr>
          <w:rFonts w:cs="Times New Roman"/>
          <w:noProof/>
          <w:lang w:val="fr-CA"/>
        </w:rPr>
        <w:t>expliquer, cette délimitation rationnelle est essentielle pour déterminer le type de préjudice qui constituait une conséquence raisonnablement prévisible de la négligence du défendeur.</w:t>
      </w:r>
    </w:p>
    <w:p w:rsidR="003A506E" w:rsidRPr="000E14A8" w:rsidRDefault="003A506E" w:rsidP="003A506E">
      <w:pPr>
        <w:pStyle w:val="Title5LevelTitre5Niveau"/>
        <w:rPr>
          <w:rFonts w:cs="Times New Roman"/>
          <w:noProof/>
          <w:lang w:val="fr-CA"/>
        </w:rPr>
      </w:pPr>
      <w:r w:rsidRPr="000E14A8">
        <w:rPr>
          <w:rFonts w:cs="Times New Roman"/>
          <w:noProof/>
          <w:lang w:val="fr-CA"/>
        </w:rPr>
        <w:t>La prévisibilité raisonnable</w:t>
      </w:r>
    </w:p>
    <w:p w:rsidR="003A506E" w:rsidRPr="000E14A8" w:rsidRDefault="003A506E" w:rsidP="003A506E">
      <w:pPr>
        <w:pStyle w:val="ParaNoNdepar-AltN"/>
        <w:tabs>
          <w:tab w:val="clear" w:pos="1152"/>
          <w:tab w:val="left" w:pos="1166"/>
        </w:tabs>
        <w:rPr>
          <w:rFonts w:cs="Times New Roman"/>
          <w:noProof/>
          <w:lang w:val="fr-CA"/>
        </w:rPr>
      </w:pPr>
      <w:r w:rsidRPr="000E14A8">
        <w:rPr>
          <w:rFonts w:cs="Times New Roman"/>
          <w:noProof/>
          <w:lang w:val="fr-CA"/>
        </w:rPr>
        <w:t>L</w:t>
      </w:r>
      <w:r>
        <w:rPr>
          <w:rFonts w:cs="Times New Roman"/>
          <w:noProof/>
          <w:lang w:val="fr-CA"/>
        </w:rPr>
        <w:t>’</w:t>
      </w:r>
      <w:r w:rsidRPr="000E14A8">
        <w:rPr>
          <w:rFonts w:cs="Times New Roman"/>
          <w:noProof/>
          <w:lang w:val="fr-CA"/>
        </w:rPr>
        <w:t>examen de la prévisibilité raisonnable dans le cadre de l</w:t>
      </w:r>
      <w:r>
        <w:rPr>
          <w:rFonts w:cs="Times New Roman"/>
          <w:noProof/>
          <w:lang w:val="fr-CA"/>
        </w:rPr>
        <w:t>’</w:t>
      </w:r>
      <w:r w:rsidRPr="000E14A8">
        <w:rPr>
          <w:rFonts w:cs="Times New Roman"/>
          <w:noProof/>
          <w:lang w:val="fr-CA"/>
        </w:rPr>
        <w:t xml:space="preserve">analyse relative à obligation de diligence </w:t>
      </w:r>
      <w:r w:rsidRPr="000E14A8">
        <w:rPr>
          <w:rFonts w:cs="Times New Roman"/>
          <w:i/>
          <w:noProof/>
          <w:lang w:val="fr-CA"/>
        </w:rPr>
        <w:t xml:space="preserve">prima facie </w:t>
      </w:r>
      <w:r w:rsidRPr="000E14A8">
        <w:rPr>
          <w:rFonts w:cs="Times New Roman"/>
          <w:noProof/>
          <w:lang w:val="fr-CA"/>
        </w:rPr>
        <w:t>consiste à se demander si le préjudice subi par le demandeur constituait une conséquence raisonnablement prévisible de la négligence du défendeur (</w:t>
      </w:r>
      <w:r w:rsidRPr="000E14A8">
        <w:rPr>
          <w:rFonts w:cs="Times New Roman"/>
          <w:i/>
          <w:noProof/>
          <w:lang w:val="fr-CA"/>
        </w:rPr>
        <w:t>Cooper</w:t>
      </w:r>
      <w:r w:rsidRPr="000E14A8">
        <w:rPr>
          <w:rFonts w:cs="Times New Roman"/>
          <w:noProof/>
          <w:lang w:val="fr-CA"/>
        </w:rPr>
        <w:t>, par. 30).</w:t>
      </w:r>
    </w:p>
    <w:p w:rsidR="003A506E" w:rsidRPr="000E14A8" w:rsidRDefault="003A506E" w:rsidP="003A506E">
      <w:pPr>
        <w:pStyle w:val="ParaNoNdepar-AltN"/>
        <w:tabs>
          <w:tab w:val="clear" w:pos="1152"/>
          <w:tab w:val="left" w:pos="1166"/>
        </w:tabs>
        <w:rPr>
          <w:rFonts w:cs="Times New Roman"/>
          <w:noProof/>
          <w:lang w:val="fr-CA"/>
        </w:rPr>
      </w:pPr>
      <w:r w:rsidRPr="000E14A8">
        <w:rPr>
          <w:rFonts w:cs="Times New Roman"/>
          <w:noProof/>
          <w:lang w:val="fr-CA"/>
        </w:rPr>
        <w:t>De manière générale, la prévisibilité raisonnable s</w:t>
      </w:r>
      <w:r>
        <w:rPr>
          <w:rFonts w:cs="Times New Roman"/>
          <w:noProof/>
          <w:lang w:val="fr-CA"/>
        </w:rPr>
        <w:t>’</w:t>
      </w:r>
      <w:r w:rsidRPr="000E14A8">
        <w:rPr>
          <w:rFonts w:cs="Times New Roman"/>
          <w:noProof/>
          <w:lang w:val="fr-CA"/>
        </w:rPr>
        <w:t>attache à la probabilité de préjudice découlant de la négligence du défendeur (</w:t>
      </w:r>
      <w:r w:rsidRPr="000E14A8">
        <w:rPr>
          <w:rFonts w:cs="Times New Roman"/>
          <w:i/>
          <w:noProof/>
          <w:lang w:val="fr-CA"/>
        </w:rPr>
        <w:t>Donoghue</w:t>
      </w:r>
      <w:r w:rsidRPr="000E14A8">
        <w:rPr>
          <w:rFonts w:cs="Times New Roman"/>
          <w:noProof/>
          <w:lang w:val="fr-CA"/>
        </w:rPr>
        <w:t>, p. 580). Cet examen ne se prête pas à une précision actuarielle et n</w:t>
      </w:r>
      <w:r>
        <w:rPr>
          <w:rFonts w:cs="Times New Roman"/>
          <w:noProof/>
          <w:lang w:val="fr-CA"/>
        </w:rPr>
        <w:t>’</w:t>
      </w:r>
      <w:r w:rsidRPr="000E14A8">
        <w:rPr>
          <w:rFonts w:cs="Times New Roman"/>
          <w:noProof/>
          <w:lang w:val="fr-CA"/>
        </w:rPr>
        <w:t>exige pas une telle précision. La jurisprudence établit toutefois le contenu de l</w:t>
      </w:r>
      <w:r>
        <w:rPr>
          <w:rFonts w:cs="Times New Roman"/>
          <w:noProof/>
          <w:lang w:val="fr-CA"/>
        </w:rPr>
        <w:t>’</w:t>
      </w:r>
      <w:r w:rsidRPr="000E14A8">
        <w:rPr>
          <w:rFonts w:cs="Times New Roman"/>
          <w:noProof/>
          <w:lang w:val="fr-CA"/>
        </w:rPr>
        <w:t>analyse de la prévisibilité et donne à cet égard des précisions aux tribunaux. Dans l</w:t>
      </w:r>
      <w:r>
        <w:rPr>
          <w:rFonts w:cs="Times New Roman"/>
          <w:noProof/>
          <w:lang w:val="fr-CA"/>
        </w:rPr>
        <w:t>’</w:t>
      </w:r>
      <w:r w:rsidRPr="000E14A8">
        <w:rPr>
          <w:rFonts w:cs="Times New Roman"/>
          <w:noProof/>
          <w:lang w:val="fr-CA"/>
        </w:rPr>
        <w:t>abstrait, une déclaration inexacte faite par négligence ou la prestation négligente d</w:t>
      </w:r>
      <w:r>
        <w:rPr>
          <w:rFonts w:cs="Times New Roman"/>
          <w:noProof/>
          <w:lang w:val="fr-CA"/>
        </w:rPr>
        <w:t>’</w:t>
      </w:r>
      <w:r w:rsidRPr="000E14A8">
        <w:rPr>
          <w:rFonts w:cs="Times New Roman"/>
          <w:noProof/>
          <w:lang w:val="fr-CA"/>
        </w:rPr>
        <w:t>un service par un défendeur pourrait éventuellement donner lieu à d</w:t>
      </w:r>
      <w:r>
        <w:rPr>
          <w:rFonts w:cs="Times New Roman"/>
          <w:noProof/>
          <w:lang w:val="fr-CA"/>
        </w:rPr>
        <w:t>’</w:t>
      </w:r>
      <w:r w:rsidRPr="000E14A8">
        <w:rPr>
          <w:rFonts w:cs="Times New Roman"/>
          <w:noProof/>
          <w:lang w:val="fr-CA"/>
        </w:rPr>
        <w:t>innombrables préjudices découlant indirectement du service envisagé à l</w:t>
      </w:r>
      <w:r>
        <w:rPr>
          <w:rFonts w:cs="Times New Roman"/>
          <w:noProof/>
          <w:lang w:val="fr-CA"/>
        </w:rPr>
        <w:t>’</w:t>
      </w:r>
      <w:r w:rsidRPr="000E14A8">
        <w:rPr>
          <w:rFonts w:cs="Times New Roman"/>
          <w:noProof/>
          <w:lang w:val="fr-CA"/>
        </w:rPr>
        <w:t>origine. C</w:t>
      </w:r>
      <w:r>
        <w:rPr>
          <w:rFonts w:cs="Times New Roman"/>
          <w:noProof/>
          <w:lang w:val="fr-CA"/>
        </w:rPr>
        <w:t>’</w:t>
      </w:r>
      <w:r w:rsidRPr="000E14A8">
        <w:rPr>
          <w:rFonts w:cs="Times New Roman"/>
          <w:noProof/>
          <w:lang w:val="fr-CA"/>
        </w:rPr>
        <w:t>était le cas dans l</w:t>
      </w:r>
      <w:r>
        <w:rPr>
          <w:rFonts w:cs="Times New Roman"/>
          <w:noProof/>
          <w:lang w:val="fr-CA"/>
        </w:rPr>
        <w:t>’</w:t>
      </w:r>
      <w:r w:rsidRPr="000E14A8">
        <w:rPr>
          <w:rFonts w:cs="Times New Roman"/>
          <w:noProof/>
          <w:lang w:val="fr-CA"/>
        </w:rPr>
        <w:t xml:space="preserve">affaire </w:t>
      </w:r>
      <w:r w:rsidRPr="000E14A8">
        <w:rPr>
          <w:rFonts w:cs="Times New Roman"/>
          <w:i/>
          <w:noProof/>
          <w:lang w:val="fr-CA"/>
        </w:rPr>
        <w:t>Hercules</w:t>
      </w:r>
      <w:r w:rsidRPr="000E14A8">
        <w:rPr>
          <w:rFonts w:cs="Times New Roman"/>
          <w:noProof/>
          <w:lang w:val="fr-CA"/>
        </w:rPr>
        <w:t>, où la Cour a reconnu qu</w:t>
      </w:r>
      <w:r>
        <w:rPr>
          <w:rFonts w:cs="Times New Roman"/>
          <w:noProof/>
          <w:lang w:val="fr-CA"/>
        </w:rPr>
        <w:t>’</w:t>
      </w:r>
      <w:r w:rsidRPr="000E14A8">
        <w:rPr>
          <w:rFonts w:cs="Times New Roman"/>
          <w:noProof/>
          <w:lang w:val="fr-CA"/>
        </w:rPr>
        <w:t xml:space="preserve">un nombre potentiellement infini de personnes pourraient se fier au rapport du </w:t>
      </w:r>
      <w:r w:rsidRPr="000E14A8">
        <w:rPr>
          <w:rFonts w:cs="Times New Roman"/>
          <w:noProof/>
          <w:lang w:val="fr-CA"/>
        </w:rPr>
        <w:lastRenderedPageBreak/>
        <w:t>vérificateur (p. ex., les actionnaires ou des auteurs d</w:t>
      </w:r>
      <w:r>
        <w:rPr>
          <w:rFonts w:cs="Times New Roman"/>
          <w:noProof/>
          <w:lang w:val="fr-CA"/>
        </w:rPr>
        <w:t>’</w:t>
      </w:r>
      <w:r w:rsidRPr="000E14A8">
        <w:rPr>
          <w:rFonts w:cs="Times New Roman"/>
          <w:noProof/>
          <w:lang w:val="fr-CA"/>
        </w:rPr>
        <w:t>une offre de prise de contrôle), et ce, pour une gamme de raisons potentiellement infinie (p. ex., des investissements ou des offres de prise de contrôle), dont chacune pourrait entraîner divers préjudices prévisibles.</w:t>
      </w:r>
    </w:p>
    <w:p w:rsidR="003A506E" w:rsidRPr="000E14A8" w:rsidRDefault="003A506E" w:rsidP="003A506E">
      <w:pPr>
        <w:pStyle w:val="ParaNoNdepar-AltN"/>
        <w:tabs>
          <w:tab w:val="clear" w:pos="1152"/>
          <w:tab w:val="left" w:pos="1166"/>
        </w:tabs>
        <w:rPr>
          <w:rFonts w:cs="Times New Roman"/>
          <w:noProof/>
          <w:lang w:val="fr-CA"/>
        </w:rPr>
      </w:pPr>
      <w:r w:rsidRPr="000E14A8">
        <w:rPr>
          <w:rFonts w:cs="Times New Roman"/>
          <w:noProof/>
          <w:lang w:val="fr-CA"/>
        </w:rPr>
        <w:t>Or, comme nous l</w:t>
      </w:r>
      <w:r>
        <w:rPr>
          <w:rFonts w:cs="Times New Roman"/>
          <w:noProof/>
          <w:lang w:val="fr-CA"/>
        </w:rPr>
        <w:t>’</w:t>
      </w:r>
      <w:r w:rsidRPr="000E14A8">
        <w:rPr>
          <w:rFonts w:cs="Times New Roman"/>
          <w:noProof/>
          <w:lang w:val="fr-CA"/>
        </w:rPr>
        <w:t>avons fait observer, la prévisibilité raisonnable du préjudice n</w:t>
      </w:r>
      <w:r>
        <w:rPr>
          <w:rFonts w:cs="Times New Roman"/>
          <w:noProof/>
          <w:lang w:val="fr-CA"/>
        </w:rPr>
        <w:t>’</w:t>
      </w:r>
      <w:r w:rsidRPr="000E14A8">
        <w:rPr>
          <w:rFonts w:cs="Times New Roman"/>
          <w:noProof/>
          <w:lang w:val="fr-CA"/>
        </w:rPr>
        <w:t>est plus la seule considération prise en compte au premier volet du cadre d</w:t>
      </w:r>
      <w:r>
        <w:rPr>
          <w:rFonts w:cs="Times New Roman"/>
          <w:noProof/>
          <w:lang w:val="fr-CA"/>
        </w:rPr>
        <w:t>’</w:t>
      </w:r>
      <w:r w:rsidRPr="000E14A8">
        <w:rPr>
          <w:rFonts w:cs="Times New Roman"/>
          <w:noProof/>
          <w:lang w:val="fr-CA"/>
        </w:rPr>
        <w:t xml:space="preserve">analyse des arrêts </w:t>
      </w:r>
      <w:r w:rsidRPr="000E14A8">
        <w:rPr>
          <w:rFonts w:cs="Times New Roman"/>
          <w:i/>
          <w:noProof/>
          <w:lang w:val="fr-CA"/>
        </w:rPr>
        <w:t xml:space="preserve">Anns </w:t>
      </w:r>
      <w:r w:rsidRPr="000E14A8">
        <w:rPr>
          <w:rFonts w:cs="Times New Roman"/>
          <w:noProof/>
          <w:lang w:val="fr-CA"/>
        </w:rPr>
        <w:t xml:space="preserve">et </w:t>
      </w:r>
      <w:r w:rsidRPr="000E14A8">
        <w:rPr>
          <w:rFonts w:cs="Times New Roman"/>
          <w:i/>
          <w:noProof/>
          <w:lang w:val="fr-CA"/>
        </w:rPr>
        <w:t>Cooper</w:t>
      </w:r>
      <w:r w:rsidRPr="000E14A8">
        <w:rPr>
          <w:rFonts w:cs="Times New Roman"/>
          <w:noProof/>
          <w:lang w:val="fr-CA"/>
        </w:rPr>
        <w:t>. Depuis l</w:t>
      </w:r>
      <w:r>
        <w:rPr>
          <w:rFonts w:cs="Times New Roman"/>
          <w:noProof/>
          <w:lang w:val="fr-CA"/>
        </w:rPr>
        <w:t>’</w:t>
      </w:r>
      <w:r w:rsidRPr="000E14A8">
        <w:rPr>
          <w:rFonts w:cs="Times New Roman"/>
          <w:noProof/>
          <w:lang w:val="fr-CA"/>
        </w:rPr>
        <w:t xml:space="preserve">arrêt </w:t>
      </w:r>
      <w:r w:rsidRPr="000E14A8">
        <w:rPr>
          <w:rFonts w:cs="Times New Roman"/>
          <w:i/>
          <w:noProof/>
          <w:lang w:val="fr-CA"/>
        </w:rPr>
        <w:t>Cooper</w:t>
      </w:r>
      <w:r w:rsidRPr="000E14A8">
        <w:rPr>
          <w:rFonts w:cs="Times New Roman"/>
          <w:noProof/>
          <w:lang w:val="fr-CA"/>
        </w:rPr>
        <w:t xml:space="preserve">, il convient de prouver autant la prévisibilité raisonnable </w:t>
      </w:r>
      <w:r w:rsidRPr="000E14A8">
        <w:rPr>
          <w:rFonts w:cs="Times New Roman"/>
          <w:i/>
          <w:noProof/>
          <w:lang w:val="fr-CA"/>
        </w:rPr>
        <w:t xml:space="preserve">que le lien de proximité </w:t>
      </w:r>
      <w:r w:rsidRPr="000E14A8">
        <w:rPr>
          <w:rFonts w:cs="Times New Roman"/>
          <w:noProof/>
          <w:lang w:val="fr-CA"/>
        </w:rPr>
        <w:t>— défini dans l</w:t>
      </w:r>
      <w:r>
        <w:rPr>
          <w:rFonts w:cs="Times New Roman"/>
          <w:noProof/>
          <w:lang w:val="fr-CA"/>
        </w:rPr>
        <w:t>’</w:t>
      </w:r>
      <w:r w:rsidRPr="000E14A8">
        <w:rPr>
          <w:rFonts w:cs="Times New Roman"/>
          <w:noProof/>
          <w:lang w:val="fr-CA"/>
        </w:rPr>
        <w:t xml:space="preserve">arrêt </w:t>
      </w:r>
      <w:r w:rsidRPr="000E14A8">
        <w:rPr>
          <w:rFonts w:cs="Times New Roman"/>
          <w:i/>
          <w:noProof/>
          <w:lang w:val="fr-CA"/>
        </w:rPr>
        <w:t xml:space="preserve">Cooper </w:t>
      </w:r>
      <w:r w:rsidRPr="000E14A8">
        <w:rPr>
          <w:rFonts w:cs="Times New Roman"/>
          <w:noProof/>
          <w:lang w:val="fr-CA"/>
        </w:rPr>
        <w:t>comme un obstacle distinct et plus exigeant que la prévisibi</w:t>
      </w:r>
      <w:r w:rsidR="00CC7659">
        <w:rPr>
          <w:rFonts w:cs="Times New Roman"/>
          <w:noProof/>
          <w:lang w:val="fr-CA"/>
        </w:rPr>
        <w:t>lité raisonnable —</w:t>
      </w:r>
      <w:r w:rsidRPr="000E14A8">
        <w:rPr>
          <w:rFonts w:cs="Times New Roman"/>
          <w:noProof/>
          <w:lang w:val="fr-CA"/>
        </w:rPr>
        <w:t xml:space="preserve"> afin d</w:t>
      </w:r>
      <w:r>
        <w:rPr>
          <w:rFonts w:cs="Times New Roman"/>
          <w:noProof/>
          <w:lang w:val="fr-CA"/>
        </w:rPr>
        <w:t>’</w:t>
      </w:r>
      <w:r w:rsidRPr="000E14A8">
        <w:rPr>
          <w:rFonts w:cs="Times New Roman"/>
          <w:noProof/>
          <w:lang w:val="fr-CA"/>
        </w:rPr>
        <w:t xml:space="preserve">établir une obligation de diligence </w:t>
      </w:r>
      <w:r w:rsidRPr="000E14A8">
        <w:rPr>
          <w:rFonts w:cs="Times New Roman"/>
          <w:i/>
          <w:noProof/>
          <w:lang w:val="fr-CA"/>
        </w:rPr>
        <w:t>prima facie</w:t>
      </w:r>
      <w:r w:rsidRPr="000E14A8">
        <w:rPr>
          <w:rFonts w:cs="Times New Roman"/>
          <w:noProof/>
          <w:lang w:val="fr-CA"/>
        </w:rPr>
        <w:t>. Et dans les cas de déclaration inexacte faite par négligence ou de prestation négligente d</w:t>
      </w:r>
      <w:r>
        <w:rPr>
          <w:rFonts w:cs="Times New Roman"/>
          <w:noProof/>
          <w:lang w:val="fr-CA"/>
        </w:rPr>
        <w:t>’</w:t>
      </w:r>
      <w:r w:rsidRPr="000E14A8">
        <w:rPr>
          <w:rFonts w:cs="Times New Roman"/>
          <w:noProof/>
          <w:lang w:val="fr-CA"/>
        </w:rPr>
        <w:t>un service, le lien de proximité — fondé sur l</w:t>
      </w:r>
      <w:r>
        <w:rPr>
          <w:rFonts w:cs="Times New Roman"/>
          <w:noProof/>
          <w:lang w:val="fr-CA"/>
        </w:rPr>
        <w:t>’</w:t>
      </w:r>
      <w:r w:rsidRPr="000E14A8">
        <w:rPr>
          <w:rFonts w:cs="Times New Roman"/>
          <w:noProof/>
          <w:lang w:val="fr-CA"/>
        </w:rPr>
        <w:t>engagement du défendeur et le fait pour le demandeur de s</w:t>
      </w:r>
      <w:r>
        <w:rPr>
          <w:rFonts w:cs="Times New Roman"/>
          <w:noProof/>
          <w:lang w:val="fr-CA"/>
        </w:rPr>
        <w:t>’</w:t>
      </w:r>
      <w:r w:rsidRPr="000E14A8">
        <w:rPr>
          <w:rFonts w:cs="Times New Roman"/>
          <w:noProof/>
          <w:lang w:val="fr-CA"/>
        </w:rPr>
        <w:t>y fier — sert à guider l</w:t>
      </w:r>
      <w:r>
        <w:rPr>
          <w:rFonts w:cs="Times New Roman"/>
          <w:noProof/>
          <w:lang w:val="fr-CA"/>
        </w:rPr>
        <w:t>’</w:t>
      </w:r>
      <w:r w:rsidRPr="000E14A8">
        <w:rPr>
          <w:rFonts w:cs="Times New Roman"/>
          <w:noProof/>
          <w:lang w:val="fr-CA"/>
        </w:rPr>
        <w:t>analyse de la prévisibilité. C</w:t>
      </w:r>
      <w:r>
        <w:rPr>
          <w:rFonts w:cs="Times New Roman"/>
          <w:noProof/>
          <w:lang w:val="fr-CA"/>
        </w:rPr>
        <w:t>’</w:t>
      </w:r>
      <w:r w:rsidRPr="000E14A8">
        <w:rPr>
          <w:rFonts w:cs="Times New Roman"/>
          <w:noProof/>
          <w:lang w:val="fr-CA"/>
        </w:rPr>
        <w:t>est donc dire que l</w:t>
      </w:r>
      <w:r>
        <w:rPr>
          <w:rFonts w:cs="Times New Roman"/>
          <w:noProof/>
          <w:lang w:val="fr-CA"/>
        </w:rPr>
        <w:t>’</w:t>
      </w:r>
      <w:r w:rsidRPr="000E14A8">
        <w:rPr>
          <w:rFonts w:cs="Times New Roman"/>
          <w:noProof/>
          <w:lang w:val="fr-CA"/>
        </w:rPr>
        <w:t>objet qui sous</w:t>
      </w:r>
      <w:r w:rsidRPr="000E14A8">
        <w:rPr>
          <w:rFonts w:cs="Times New Roman"/>
          <w:noProof/>
          <w:lang w:val="fr-CA"/>
        </w:rPr>
        <w:noBreakHyphen/>
        <w:t>tend l</w:t>
      </w:r>
      <w:r>
        <w:rPr>
          <w:rFonts w:cs="Times New Roman"/>
          <w:noProof/>
          <w:lang w:val="fr-CA"/>
        </w:rPr>
        <w:t>’</w:t>
      </w:r>
      <w:r w:rsidRPr="000E14A8">
        <w:rPr>
          <w:rFonts w:cs="Times New Roman"/>
          <w:noProof/>
          <w:lang w:val="fr-CA"/>
        </w:rPr>
        <w:t xml:space="preserve">engagement et le fait de se fier à cet engagement restreint </w:t>
      </w:r>
      <w:r w:rsidRPr="000E14A8">
        <w:rPr>
          <w:rFonts w:cs="Times New Roman"/>
          <w:lang w:val="fr-CA"/>
        </w:rPr>
        <w:t>le type de</w:t>
      </w:r>
      <w:r w:rsidRPr="000E14A8">
        <w:rPr>
          <w:rFonts w:cs="Times New Roman"/>
          <w:noProof/>
          <w:lang w:val="fr-CA"/>
        </w:rPr>
        <w:t xml:space="preserve"> préjudice dont on pourrait raisonnablement prévoir qu</w:t>
      </w:r>
      <w:r>
        <w:rPr>
          <w:rFonts w:cs="Times New Roman"/>
          <w:noProof/>
          <w:lang w:val="fr-CA"/>
        </w:rPr>
        <w:t>’</w:t>
      </w:r>
      <w:r w:rsidRPr="000E14A8">
        <w:rPr>
          <w:rFonts w:cs="Times New Roman"/>
          <w:noProof/>
          <w:lang w:val="fr-CA"/>
        </w:rPr>
        <w:t>il découlera de la négligence du défendeur.</w:t>
      </w:r>
    </w:p>
    <w:p w:rsidR="003A506E" w:rsidRPr="000E14A8" w:rsidRDefault="003A506E" w:rsidP="003A506E">
      <w:pPr>
        <w:pStyle w:val="ParaNoNdepar-AltN"/>
        <w:tabs>
          <w:tab w:val="clear" w:pos="1152"/>
          <w:tab w:val="left" w:pos="1166"/>
        </w:tabs>
        <w:rPr>
          <w:rFonts w:cs="Times New Roman"/>
          <w:noProof/>
          <w:lang w:val="fr-CA"/>
        </w:rPr>
      </w:pPr>
      <w:r w:rsidRPr="000E14A8">
        <w:rPr>
          <w:rFonts w:cs="Times New Roman"/>
          <w:noProof/>
          <w:lang w:val="fr-CA"/>
        </w:rPr>
        <w:t>Quant aux principes fondamentaux, n</w:t>
      </w:r>
      <w:r>
        <w:rPr>
          <w:rFonts w:cs="Times New Roman"/>
          <w:noProof/>
          <w:lang w:val="fr-CA"/>
        </w:rPr>
        <w:t>’</w:t>
      </w:r>
      <w:r w:rsidRPr="000E14A8">
        <w:rPr>
          <w:rFonts w:cs="Times New Roman"/>
          <w:noProof/>
          <w:lang w:val="fr-CA"/>
        </w:rPr>
        <w:t>oublions pas que le préjudice subi par le demandeur dans une affaire de cette nature découle de ce que ce dernier s</w:t>
      </w:r>
      <w:r>
        <w:rPr>
          <w:rFonts w:cs="Times New Roman"/>
          <w:noProof/>
          <w:lang w:val="fr-CA"/>
        </w:rPr>
        <w:t>’</w:t>
      </w:r>
      <w:r w:rsidRPr="000E14A8">
        <w:rPr>
          <w:rFonts w:cs="Times New Roman"/>
          <w:noProof/>
          <w:lang w:val="fr-CA"/>
        </w:rPr>
        <w:t>est fié</w:t>
      </w:r>
      <w:r w:rsidRPr="000E14A8">
        <w:rPr>
          <w:rFonts w:cs="Times New Roman"/>
          <w:i/>
          <w:noProof/>
          <w:lang w:val="fr-CA"/>
        </w:rPr>
        <w:t xml:space="preserve"> </w:t>
      </w:r>
      <w:r w:rsidRPr="000E14A8">
        <w:rPr>
          <w:rFonts w:cs="Times New Roman"/>
          <w:noProof/>
          <w:lang w:val="fr-CA"/>
        </w:rPr>
        <w:t>à son détriment à l</w:t>
      </w:r>
      <w:r>
        <w:rPr>
          <w:rFonts w:cs="Times New Roman"/>
          <w:noProof/>
          <w:lang w:val="fr-CA"/>
        </w:rPr>
        <w:t>’</w:t>
      </w:r>
      <w:r w:rsidRPr="000E14A8">
        <w:rPr>
          <w:rFonts w:cs="Times New Roman"/>
          <w:noProof/>
          <w:lang w:val="fr-CA"/>
        </w:rPr>
        <w:t>engagement du défendeur, peu importe qu</w:t>
      </w:r>
      <w:r>
        <w:rPr>
          <w:rFonts w:cs="Times New Roman"/>
          <w:noProof/>
          <w:lang w:val="fr-CA"/>
        </w:rPr>
        <w:t>’</w:t>
      </w:r>
      <w:r w:rsidRPr="000E14A8">
        <w:rPr>
          <w:rFonts w:cs="Times New Roman"/>
          <w:noProof/>
          <w:lang w:val="fr-CA"/>
        </w:rPr>
        <w:t>il s</w:t>
      </w:r>
      <w:r>
        <w:rPr>
          <w:rFonts w:cs="Times New Roman"/>
          <w:noProof/>
          <w:lang w:val="fr-CA"/>
        </w:rPr>
        <w:t>’</w:t>
      </w:r>
      <w:r w:rsidRPr="000E14A8">
        <w:rPr>
          <w:rFonts w:cs="Times New Roman"/>
          <w:noProof/>
          <w:lang w:val="fr-CA"/>
        </w:rPr>
        <w:t>agisse d</w:t>
      </w:r>
      <w:r>
        <w:rPr>
          <w:rFonts w:cs="Times New Roman"/>
          <w:noProof/>
          <w:lang w:val="fr-CA"/>
        </w:rPr>
        <w:t>’</w:t>
      </w:r>
      <w:r w:rsidRPr="000E14A8">
        <w:rPr>
          <w:rFonts w:cs="Times New Roman"/>
          <w:noProof/>
          <w:lang w:val="fr-CA"/>
        </w:rPr>
        <w:t>une déclaration ou de la prestation d</w:t>
      </w:r>
      <w:r>
        <w:rPr>
          <w:rFonts w:cs="Times New Roman"/>
          <w:noProof/>
          <w:lang w:val="fr-CA"/>
        </w:rPr>
        <w:t>’</w:t>
      </w:r>
      <w:r w:rsidRPr="000E14A8">
        <w:rPr>
          <w:rFonts w:cs="Times New Roman"/>
          <w:noProof/>
          <w:lang w:val="fr-CA"/>
        </w:rPr>
        <w:t>un service. Il s</w:t>
      </w:r>
      <w:r>
        <w:rPr>
          <w:rFonts w:cs="Times New Roman"/>
          <w:noProof/>
          <w:lang w:val="fr-CA"/>
        </w:rPr>
        <w:t>’</w:t>
      </w:r>
      <w:r w:rsidRPr="000E14A8">
        <w:rPr>
          <w:rFonts w:cs="Times New Roman"/>
          <w:noProof/>
          <w:lang w:val="fr-CA"/>
        </w:rPr>
        <w:t>ensuit que le préjudice du demandeur sera raisonnablement prévisible si (1) le défendeur aurait dû raisonnablement prévoir que le demandeur se fierait à sa déclaration; et si (2) cette confiance serait raisonnable dans les circonstances particulières de l</w:t>
      </w:r>
      <w:r>
        <w:rPr>
          <w:rFonts w:cs="Times New Roman"/>
          <w:noProof/>
          <w:lang w:val="fr-CA"/>
        </w:rPr>
        <w:t>’</w:t>
      </w:r>
      <w:r w:rsidRPr="000E14A8">
        <w:rPr>
          <w:rFonts w:cs="Times New Roman"/>
          <w:noProof/>
          <w:lang w:val="fr-CA"/>
        </w:rPr>
        <w:t>affaire. (</w:t>
      </w:r>
      <w:r w:rsidRPr="000E14A8">
        <w:rPr>
          <w:rFonts w:cs="Times New Roman"/>
          <w:i/>
          <w:noProof/>
          <w:lang w:val="fr-CA"/>
        </w:rPr>
        <w:t>Hercules</w:t>
      </w:r>
      <w:r w:rsidRPr="000E14A8">
        <w:rPr>
          <w:rFonts w:cs="Times New Roman"/>
          <w:noProof/>
          <w:lang w:val="fr-CA"/>
        </w:rPr>
        <w:t xml:space="preserve">, par. 27). Tant le caractère raisonnable que la prévisibilité raisonnable de cette confiance du demandeur seront </w:t>
      </w:r>
      <w:r w:rsidRPr="000E14A8">
        <w:rPr>
          <w:rFonts w:cs="Times New Roman"/>
          <w:noProof/>
          <w:lang w:val="fr-CA"/>
        </w:rPr>
        <w:lastRenderedPageBreak/>
        <w:t>déterminés en fonction du lien de proximité entre les parties. Un demandeur a le droit de se fier au défendeur pour qu</w:t>
      </w:r>
      <w:r>
        <w:rPr>
          <w:rFonts w:cs="Times New Roman"/>
          <w:noProof/>
          <w:lang w:val="fr-CA"/>
        </w:rPr>
        <w:t>’</w:t>
      </w:r>
      <w:r w:rsidRPr="000E14A8">
        <w:rPr>
          <w:rFonts w:cs="Times New Roman"/>
          <w:noProof/>
          <w:lang w:val="fr-CA"/>
        </w:rPr>
        <w:t>il agisse avec une diligence raisonnable à l</w:t>
      </w:r>
      <w:r>
        <w:rPr>
          <w:rFonts w:cs="Times New Roman"/>
          <w:noProof/>
          <w:lang w:val="fr-CA"/>
        </w:rPr>
        <w:t>’</w:t>
      </w:r>
      <w:r w:rsidRPr="000E14A8">
        <w:rPr>
          <w:rFonts w:cs="Times New Roman"/>
          <w:noProof/>
          <w:lang w:val="fr-CA"/>
        </w:rPr>
        <w:t>égard de l</w:t>
      </w:r>
      <w:r>
        <w:rPr>
          <w:rFonts w:cs="Times New Roman"/>
          <w:noProof/>
          <w:lang w:val="fr-CA"/>
        </w:rPr>
        <w:t>’</w:t>
      </w:r>
      <w:r w:rsidRPr="000E14A8">
        <w:rPr>
          <w:rFonts w:cs="Times New Roman"/>
          <w:noProof/>
          <w:lang w:val="fr-CA"/>
        </w:rPr>
        <w:t>objet particulier de l</w:t>
      </w:r>
      <w:r>
        <w:rPr>
          <w:rFonts w:cs="Times New Roman"/>
          <w:noProof/>
          <w:lang w:val="fr-CA"/>
        </w:rPr>
        <w:t>’</w:t>
      </w:r>
      <w:r w:rsidRPr="000E14A8">
        <w:rPr>
          <w:rFonts w:cs="Times New Roman"/>
          <w:noProof/>
          <w:lang w:val="fr-CA"/>
        </w:rPr>
        <w:t>engagement qu</w:t>
      </w:r>
      <w:r>
        <w:rPr>
          <w:rFonts w:cs="Times New Roman"/>
          <w:noProof/>
          <w:lang w:val="fr-CA"/>
        </w:rPr>
        <w:t>’</w:t>
      </w:r>
      <w:r w:rsidRPr="000E14A8">
        <w:rPr>
          <w:rFonts w:cs="Times New Roman"/>
          <w:noProof/>
          <w:lang w:val="fr-CA"/>
        </w:rPr>
        <w:t>il prend, et la confiance que le demandeur accorde au défendeur à cette fin est donc à la fois raisonnable et raisonnablement prévisible. Mais le demandeur ne peut pas se fier au défendeur pour une autre</w:t>
      </w:r>
      <w:r w:rsidRPr="000E14A8">
        <w:rPr>
          <w:rFonts w:cs="Times New Roman"/>
          <w:i/>
          <w:noProof/>
          <w:lang w:val="fr-CA"/>
        </w:rPr>
        <w:t xml:space="preserve"> </w:t>
      </w:r>
      <w:r w:rsidRPr="000E14A8">
        <w:rPr>
          <w:rFonts w:cs="Times New Roman"/>
          <w:noProof/>
          <w:lang w:val="fr-CA"/>
        </w:rPr>
        <w:t>fin, car une telle confiance excèderait la portée de l</w:t>
      </w:r>
      <w:r>
        <w:rPr>
          <w:rFonts w:cs="Times New Roman"/>
          <w:noProof/>
          <w:lang w:val="fr-CA"/>
        </w:rPr>
        <w:t>’</w:t>
      </w:r>
      <w:r w:rsidRPr="000E14A8">
        <w:rPr>
          <w:rFonts w:cs="Times New Roman"/>
          <w:noProof/>
          <w:lang w:val="fr-CA"/>
        </w:rPr>
        <w:t>engagement du défendeur. Dans un tel cas, tout préjudice consécutif subi par le demandeur n</w:t>
      </w:r>
      <w:r>
        <w:rPr>
          <w:rFonts w:cs="Times New Roman"/>
          <w:noProof/>
          <w:lang w:val="fr-CA"/>
        </w:rPr>
        <w:t>’</w:t>
      </w:r>
      <w:r w:rsidRPr="000E14A8">
        <w:rPr>
          <w:rFonts w:cs="Times New Roman"/>
          <w:noProof/>
          <w:lang w:val="fr-CA"/>
        </w:rPr>
        <w:t>aurait pu être raisonnablement prévisible.</w:t>
      </w:r>
    </w:p>
    <w:p w:rsidR="003A506E" w:rsidRPr="000E14A8" w:rsidRDefault="003A506E" w:rsidP="003A506E">
      <w:pPr>
        <w:pStyle w:val="ParaNoNdepar-AltN"/>
        <w:tabs>
          <w:tab w:val="clear" w:pos="1152"/>
          <w:tab w:val="left" w:pos="1166"/>
        </w:tabs>
        <w:rPr>
          <w:rFonts w:cs="Times New Roman"/>
          <w:noProof/>
          <w:lang w:val="fr-CA"/>
        </w:rPr>
      </w:pPr>
      <w:r w:rsidRPr="000E14A8">
        <w:rPr>
          <w:rFonts w:cs="Times New Roman"/>
          <w:noProof/>
          <w:lang w:val="fr-CA"/>
        </w:rPr>
        <w:t>Nous ajoutons ce qui suit. La Cour a reconnu que, selon le critère de l</w:t>
      </w:r>
      <w:r>
        <w:rPr>
          <w:rFonts w:cs="Times New Roman"/>
          <w:noProof/>
          <w:lang w:val="fr-CA"/>
        </w:rPr>
        <w:t>’</w:t>
      </w:r>
      <w:r w:rsidRPr="000E14A8">
        <w:rPr>
          <w:rFonts w:cs="Times New Roman"/>
          <w:noProof/>
          <w:lang w:val="fr-CA"/>
        </w:rPr>
        <w:t xml:space="preserve">arrêt </w:t>
      </w:r>
      <w:r w:rsidRPr="000E14A8">
        <w:rPr>
          <w:rFonts w:cs="Times New Roman"/>
          <w:i/>
          <w:noProof/>
          <w:lang w:val="fr-CA"/>
        </w:rPr>
        <w:t>Anns</w:t>
      </w:r>
      <w:r w:rsidRPr="00B65217">
        <w:rPr>
          <w:rFonts w:cs="Times New Roman"/>
          <w:noProof/>
          <w:lang w:val="fr-CA"/>
        </w:rPr>
        <w:t xml:space="preserve">, </w:t>
      </w:r>
      <w:r w:rsidRPr="000E14A8">
        <w:rPr>
          <w:rFonts w:cs="Times New Roman"/>
          <w:noProof/>
          <w:lang w:val="fr-CA"/>
        </w:rPr>
        <w:t xml:space="preserve">un vérificateur peut avoir, sur le seul fondement de la prévisibilité raisonnable, une obligation de diligence </w:t>
      </w:r>
      <w:r w:rsidRPr="000E14A8">
        <w:rPr>
          <w:rFonts w:cs="Times New Roman"/>
          <w:i/>
          <w:noProof/>
          <w:lang w:val="fr-CA"/>
        </w:rPr>
        <w:t xml:space="preserve">prima facie </w:t>
      </w:r>
      <w:r w:rsidRPr="000E14A8">
        <w:rPr>
          <w:rFonts w:cs="Times New Roman"/>
          <w:noProof/>
          <w:lang w:val="fr-CA"/>
        </w:rPr>
        <w:t>à l</w:t>
      </w:r>
      <w:r>
        <w:rPr>
          <w:rFonts w:cs="Times New Roman"/>
          <w:noProof/>
          <w:lang w:val="fr-CA"/>
        </w:rPr>
        <w:t>’</w:t>
      </w:r>
      <w:r w:rsidRPr="000E14A8">
        <w:rPr>
          <w:rFonts w:cs="Times New Roman"/>
          <w:noProof/>
          <w:lang w:val="fr-CA"/>
        </w:rPr>
        <w:t>égard d</w:t>
      </w:r>
      <w:r>
        <w:rPr>
          <w:rFonts w:cs="Times New Roman"/>
          <w:noProof/>
          <w:lang w:val="fr-CA"/>
        </w:rPr>
        <w:t>’</w:t>
      </w:r>
      <w:r w:rsidRPr="000E14A8">
        <w:rPr>
          <w:rFonts w:cs="Times New Roman"/>
          <w:noProof/>
          <w:lang w:val="fr-CA"/>
        </w:rPr>
        <w:t>innombrables personnes (</w:t>
      </w:r>
      <w:r w:rsidRPr="000E14A8">
        <w:rPr>
          <w:rFonts w:cs="Times New Roman"/>
          <w:i/>
          <w:noProof/>
          <w:lang w:val="fr-CA"/>
        </w:rPr>
        <w:t>Hercules</w:t>
      </w:r>
      <w:r w:rsidRPr="000E14A8">
        <w:rPr>
          <w:rFonts w:cs="Times New Roman"/>
          <w:noProof/>
          <w:lang w:val="fr-CA"/>
        </w:rPr>
        <w:t>, par. 32). Nous reconnaissons qu</w:t>
      </w:r>
      <w:r>
        <w:rPr>
          <w:rFonts w:cs="Times New Roman"/>
          <w:noProof/>
          <w:lang w:val="fr-CA"/>
        </w:rPr>
        <w:t>’</w:t>
      </w:r>
      <w:r w:rsidRPr="000E14A8">
        <w:rPr>
          <w:rFonts w:cs="Times New Roman"/>
          <w:noProof/>
          <w:lang w:val="fr-CA"/>
        </w:rPr>
        <w:t>en l</w:t>
      </w:r>
      <w:r>
        <w:rPr>
          <w:rFonts w:cs="Times New Roman"/>
          <w:noProof/>
          <w:lang w:val="fr-CA"/>
        </w:rPr>
        <w:t>’</w:t>
      </w:r>
      <w:r w:rsidRPr="000E14A8">
        <w:rPr>
          <w:rFonts w:cs="Times New Roman"/>
          <w:noProof/>
          <w:lang w:val="fr-CA"/>
        </w:rPr>
        <w:t>appliquant aux affaires de déclaration inexacte faite par négligence, le cadre d</w:t>
      </w:r>
      <w:r>
        <w:rPr>
          <w:rFonts w:cs="Times New Roman"/>
          <w:noProof/>
          <w:lang w:val="fr-CA"/>
        </w:rPr>
        <w:t>’</w:t>
      </w:r>
      <w:r w:rsidRPr="000E14A8">
        <w:rPr>
          <w:rFonts w:cs="Times New Roman"/>
          <w:noProof/>
          <w:lang w:val="fr-CA"/>
        </w:rPr>
        <w:t>analyse des arrêts</w:t>
      </w:r>
      <w:r w:rsidRPr="000E14A8">
        <w:rPr>
          <w:rFonts w:cs="Times New Roman"/>
          <w:i/>
          <w:noProof/>
          <w:lang w:val="fr-CA"/>
        </w:rPr>
        <w:t xml:space="preserve"> Anns </w:t>
      </w:r>
      <w:r w:rsidRPr="000E14A8">
        <w:rPr>
          <w:rFonts w:cs="Times New Roman"/>
          <w:noProof/>
          <w:lang w:val="fr-CA"/>
        </w:rPr>
        <w:t xml:space="preserve">et </w:t>
      </w:r>
      <w:r w:rsidRPr="000E14A8">
        <w:rPr>
          <w:rFonts w:cs="Times New Roman"/>
          <w:i/>
          <w:noProof/>
          <w:lang w:val="fr-CA"/>
        </w:rPr>
        <w:t>Cooper</w:t>
      </w:r>
      <w:r w:rsidRPr="000E14A8">
        <w:rPr>
          <w:rFonts w:cs="Times New Roman"/>
          <w:noProof/>
          <w:lang w:val="fr-CA"/>
        </w:rPr>
        <w:t xml:space="preserve"> permettra de reconnaître une gamme beaucoup plus restreinte de préjudices raisonnablement prévisibles et, par conséquent, une gamme plus restreinte d</w:t>
      </w:r>
      <w:r>
        <w:rPr>
          <w:rFonts w:cs="Times New Roman"/>
          <w:noProof/>
          <w:lang w:val="fr-CA"/>
        </w:rPr>
        <w:t>’</w:t>
      </w:r>
      <w:r w:rsidRPr="000E14A8">
        <w:rPr>
          <w:rFonts w:cs="Times New Roman"/>
          <w:noProof/>
          <w:lang w:val="fr-CA"/>
        </w:rPr>
        <w:t xml:space="preserve">obligations de diligence </w:t>
      </w:r>
      <w:r w:rsidRPr="000E14A8">
        <w:rPr>
          <w:rFonts w:cs="Times New Roman"/>
          <w:i/>
          <w:noProof/>
          <w:lang w:val="fr-CA"/>
        </w:rPr>
        <w:t>prima facie</w:t>
      </w:r>
      <w:r w:rsidRPr="000E14A8">
        <w:rPr>
          <w:rFonts w:cs="Times New Roman"/>
          <w:noProof/>
          <w:lang w:val="fr-CA"/>
        </w:rPr>
        <w:t>. Il ne s</w:t>
      </w:r>
      <w:r>
        <w:rPr>
          <w:rFonts w:cs="Times New Roman"/>
          <w:noProof/>
          <w:lang w:val="fr-CA"/>
        </w:rPr>
        <w:t>’</w:t>
      </w:r>
      <w:r w:rsidRPr="000E14A8">
        <w:rPr>
          <w:rFonts w:cs="Times New Roman"/>
          <w:noProof/>
          <w:lang w:val="fr-CA"/>
        </w:rPr>
        <w:t>agit aucunement de critiquer le cadre d</w:t>
      </w:r>
      <w:r>
        <w:rPr>
          <w:rFonts w:cs="Times New Roman"/>
          <w:noProof/>
          <w:lang w:val="fr-CA"/>
        </w:rPr>
        <w:t>’</w:t>
      </w:r>
      <w:r w:rsidRPr="000E14A8">
        <w:rPr>
          <w:rFonts w:cs="Times New Roman"/>
          <w:noProof/>
          <w:lang w:val="fr-CA"/>
        </w:rPr>
        <w:t xml:space="preserve">analyse des arrêts </w:t>
      </w:r>
      <w:r w:rsidRPr="000E14A8">
        <w:rPr>
          <w:rFonts w:cs="Times New Roman"/>
          <w:i/>
          <w:noProof/>
          <w:lang w:val="fr-CA"/>
        </w:rPr>
        <w:t xml:space="preserve">Anns </w:t>
      </w:r>
      <w:r w:rsidRPr="000E14A8">
        <w:rPr>
          <w:rFonts w:cs="Times New Roman"/>
          <w:noProof/>
          <w:lang w:val="fr-CA"/>
        </w:rPr>
        <w:t>et</w:t>
      </w:r>
      <w:r w:rsidRPr="000E14A8">
        <w:rPr>
          <w:rFonts w:cs="Times New Roman"/>
          <w:i/>
          <w:noProof/>
          <w:lang w:val="fr-CA"/>
        </w:rPr>
        <w:t xml:space="preserve"> Cooper</w:t>
      </w:r>
      <w:r w:rsidRPr="00B65217">
        <w:rPr>
          <w:rFonts w:cs="Times New Roman"/>
          <w:noProof/>
          <w:lang w:val="fr-CA"/>
        </w:rPr>
        <w:t xml:space="preserve">, </w:t>
      </w:r>
      <w:r w:rsidRPr="000E14A8">
        <w:rPr>
          <w:rFonts w:cs="Times New Roman"/>
          <w:noProof/>
          <w:lang w:val="fr-CA"/>
        </w:rPr>
        <w:t>mais plutôt de reconnaître que c</w:t>
      </w:r>
      <w:r>
        <w:rPr>
          <w:rFonts w:cs="Times New Roman"/>
          <w:noProof/>
          <w:lang w:val="fr-CA"/>
        </w:rPr>
        <w:t>’</w:t>
      </w:r>
      <w:r w:rsidRPr="000E14A8">
        <w:rPr>
          <w:rFonts w:cs="Times New Roman"/>
          <w:noProof/>
          <w:lang w:val="fr-CA"/>
        </w:rPr>
        <w:t>était là l</w:t>
      </w:r>
      <w:r>
        <w:rPr>
          <w:rFonts w:cs="Times New Roman"/>
          <w:noProof/>
          <w:lang w:val="fr-CA"/>
        </w:rPr>
        <w:t>’</w:t>
      </w:r>
      <w:r w:rsidRPr="000E14A8">
        <w:rPr>
          <w:rFonts w:cs="Times New Roman"/>
          <w:noProof/>
          <w:lang w:val="fr-CA"/>
        </w:rPr>
        <w:t>objectif même de la directive formulée par la Cour dans l</w:t>
      </w:r>
      <w:r>
        <w:rPr>
          <w:rFonts w:cs="Times New Roman"/>
          <w:noProof/>
          <w:lang w:val="fr-CA"/>
        </w:rPr>
        <w:t>’</w:t>
      </w:r>
      <w:r w:rsidRPr="000E14A8">
        <w:rPr>
          <w:rFonts w:cs="Times New Roman"/>
          <w:noProof/>
          <w:lang w:val="fr-CA"/>
        </w:rPr>
        <w:t xml:space="preserve">arrêt </w:t>
      </w:r>
      <w:r w:rsidRPr="000E14A8">
        <w:rPr>
          <w:rFonts w:cs="Times New Roman"/>
          <w:i/>
          <w:noProof/>
          <w:lang w:val="fr-CA"/>
        </w:rPr>
        <w:t>Cooper —</w:t>
      </w:r>
      <w:r w:rsidRPr="000E14A8">
        <w:rPr>
          <w:rFonts w:cs="Times New Roman"/>
          <w:noProof/>
          <w:lang w:val="fr-CA"/>
        </w:rPr>
        <w:t xml:space="preserve"> soit que le premier volet du cadre d</w:t>
      </w:r>
      <w:r>
        <w:rPr>
          <w:rFonts w:cs="Times New Roman"/>
          <w:noProof/>
          <w:lang w:val="fr-CA"/>
        </w:rPr>
        <w:t>’</w:t>
      </w:r>
      <w:r w:rsidRPr="000E14A8">
        <w:rPr>
          <w:rFonts w:cs="Times New Roman"/>
          <w:noProof/>
          <w:lang w:val="fr-CA"/>
        </w:rPr>
        <w:t xml:space="preserve">analyse des arrêts </w:t>
      </w:r>
      <w:r w:rsidRPr="000E14A8">
        <w:rPr>
          <w:rFonts w:cs="Times New Roman"/>
          <w:i/>
          <w:noProof/>
          <w:lang w:val="fr-CA"/>
        </w:rPr>
        <w:t xml:space="preserve">Anns </w:t>
      </w:r>
      <w:r w:rsidRPr="000E14A8">
        <w:rPr>
          <w:rFonts w:cs="Times New Roman"/>
          <w:noProof/>
          <w:lang w:val="fr-CA"/>
        </w:rPr>
        <w:t>et</w:t>
      </w:r>
      <w:r w:rsidRPr="000E14A8">
        <w:rPr>
          <w:rFonts w:cs="Times New Roman"/>
          <w:i/>
          <w:noProof/>
          <w:lang w:val="fr-CA"/>
        </w:rPr>
        <w:t xml:space="preserve"> Cooper </w:t>
      </w:r>
      <w:r w:rsidRPr="000E14A8">
        <w:rPr>
          <w:rFonts w:cs="Times New Roman"/>
          <w:noProof/>
          <w:lang w:val="fr-CA"/>
        </w:rPr>
        <w:t>exigeait « </w:t>
      </w:r>
      <w:r w:rsidRPr="000E14A8">
        <w:rPr>
          <w:rFonts w:cs="Times New Roman"/>
          <w:i/>
          <w:noProof/>
          <w:lang w:val="fr-CA"/>
        </w:rPr>
        <w:t>autre</w:t>
      </w:r>
      <w:r w:rsidRPr="000E14A8">
        <w:rPr>
          <w:rFonts w:cs="Times New Roman"/>
          <w:noProof/>
          <w:lang w:val="fr-CA"/>
        </w:rPr>
        <w:t xml:space="preserve"> chose »</w:t>
      </w:r>
      <w:r w:rsidRPr="000E14A8">
        <w:rPr>
          <w:rFonts w:cs="Times New Roman"/>
          <w:i/>
          <w:noProof/>
          <w:lang w:val="fr-CA"/>
        </w:rPr>
        <w:t xml:space="preserve"> </w:t>
      </w:r>
      <w:r w:rsidRPr="000E14A8">
        <w:rPr>
          <w:rFonts w:cs="Times New Roman"/>
          <w:noProof/>
          <w:lang w:val="fr-CA"/>
        </w:rPr>
        <w:t>que la simple prévisibilité. En rendant nécessaire l</w:t>
      </w:r>
      <w:r>
        <w:rPr>
          <w:rFonts w:cs="Times New Roman"/>
          <w:noProof/>
          <w:lang w:val="fr-CA"/>
        </w:rPr>
        <w:t>’</w:t>
      </w:r>
      <w:r w:rsidRPr="000E14A8">
        <w:rPr>
          <w:rFonts w:cs="Times New Roman"/>
          <w:noProof/>
          <w:lang w:val="fr-CA"/>
        </w:rPr>
        <w:t>examen de la relation entre les parties, comme nous venons de le voir, l</w:t>
      </w:r>
      <w:r>
        <w:rPr>
          <w:rFonts w:cs="Times New Roman"/>
          <w:noProof/>
          <w:lang w:val="fr-CA"/>
        </w:rPr>
        <w:t>’</w:t>
      </w:r>
      <w:r w:rsidRPr="000E14A8">
        <w:rPr>
          <w:rFonts w:cs="Times New Roman"/>
          <w:noProof/>
          <w:lang w:val="fr-CA"/>
        </w:rPr>
        <w:t xml:space="preserve">arrêt </w:t>
      </w:r>
      <w:r w:rsidRPr="000E14A8">
        <w:rPr>
          <w:rFonts w:cs="Times New Roman"/>
          <w:i/>
          <w:noProof/>
          <w:lang w:val="fr-CA"/>
        </w:rPr>
        <w:t>Cooper</w:t>
      </w:r>
      <w:r w:rsidRPr="000E14A8">
        <w:rPr>
          <w:rFonts w:cs="Times New Roman"/>
          <w:noProof/>
          <w:lang w:val="fr-CA"/>
        </w:rPr>
        <w:t xml:space="preserve"> a mis à la disposition des tribunaux canadiens un complément d</w:t>
      </w:r>
      <w:r>
        <w:rPr>
          <w:rFonts w:cs="Times New Roman"/>
          <w:noProof/>
          <w:lang w:val="fr-CA"/>
        </w:rPr>
        <w:t>’</w:t>
      </w:r>
      <w:r w:rsidRPr="000E14A8">
        <w:rPr>
          <w:rFonts w:cs="Times New Roman"/>
          <w:noProof/>
          <w:lang w:val="fr-CA"/>
        </w:rPr>
        <w:t>outils juridiques servant à déterminer s</w:t>
      </w:r>
      <w:r>
        <w:rPr>
          <w:rFonts w:cs="Times New Roman"/>
          <w:noProof/>
          <w:lang w:val="fr-CA"/>
        </w:rPr>
        <w:t>’</w:t>
      </w:r>
      <w:r w:rsidRPr="000E14A8">
        <w:rPr>
          <w:rFonts w:cs="Times New Roman"/>
          <w:noProof/>
          <w:lang w:val="fr-CA"/>
        </w:rPr>
        <w:t>il est « juste et équitable » d</w:t>
      </w:r>
      <w:r>
        <w:rPr>
          <w:rFonts w:cs="Times New Roman"/>
          <w:noProof/>
          <w:lang w:val="fr-CA"/>
        </w:rPr>
        <w:t>’</w:t>
      </w:r>
      <w:r w:rsidRPr="000E14A8">
        <w:rPr>
          <w:rFonts w:cs="Times New Roman"/>
          <w:noProof/>
          <w:lang w:val="fr-CA"/>
        </w:rPr>
        <w:t xml:space="preserve">imposer une obligation de diligence </w:t>
      </w:r>
      <w:r w:rsidRPr="000E14A8">
        <w:rPr>
          <w:rFonts w:cs="Times New Roman"/>
          <w:i/>
          <w:noProof/>
          <w:lang w:val="fr-CA"/>
        </w:rPr>
        <w:t>prima facie</w:t>
      </w:r>
      <w:r w:rsidRPr="000E14A8">
        <w:rPr>
          <w:rFonts w:cs="Times New Roman"/>
          <w:noProof/>
          <w:lang w:val="fr-CA"/>
        </w:rPr>
        <w:t xml:space="preserve">. </w:t>
      </w:r>
    </w:p>
    <w:p w:rsidR="003A506E" w:rsidRPr="000E14A8" w:rsidRDefault="003A506E" w:rsidP="003A506E">
      <w:pPr>
        <w:pStyle w:val="Title4LevelTitre4Niveau"/>
        <w:rPr>
          <w:rFonts w:cs="Times New Roman"/>
          <w:noProof/>
          <w:lang w:val="fr-CA"/>
        </w:rPr>
      </w:pPr>
      <w:r w:rsidRPr="000E14A8">
        <w:rPr>
          <w:rFonts w:cs="Times New Roman"/>
          <w:noProof/>
          <w:lang w:val="fr-CA"/>
        </w:rPr>
        <w:lastRenderedPageBreak/>
        <w:t>Deuxième volet : les considérations de politique résiduelles</w:t>
      </w:r>
    </w:p>
    <w:p w:rsidR="003A506E" w:rsidRPr="000E14A8" w:rsidRDefault="003A506E" w:rsidP="003A506E">
      <w:pPr>
        <w:pStyle w:val="ParaNoNdepar-AltN"/>
        <w:tabs>
          <w:tab w:val="clear" w:pos="1152"/>
          <w:tab w:val="left" w:pos="1166"/>
        </w:tabs>
        <w:rPr>
          <w:rFonts w:cs="Times New Roman"/>
          <w:noProof/>
          <w:lang w:val="fr-CA"/>
        </w:rPr>
      </w:pPr>
      <w:r w:rsidRPr="000E14A8">
        <w:rPr>
          <w:rFonts w:cs="Times New Roman"/>
          <w:noProof/>
          <w:lang w:val="fr-CA"/>
        </w:rPr>
        <w:t>Lorsque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 xml:space="preserve">une obligation de diligence </w:t>
      </w:r>
      <w:r w:rsidRPr="000E14A8">
        <w:rPr>
          <w:rFonts w:cs="Times New Roman"/>
          <w:i/>
          <w:noProof/>
          <w:lang w:val="fr-CA"/>
        </w:rPr>
        <w:t>prima facie</w:t>
      </w:r>
      <w:r w:rsidRPr="000E14A8">
        <w:rPr>
          <w:rFonts w:cs="Times New Roman"/>
          <w:noProof/>
          <w:lang w:val="fr-CA"/>
        </w:rPr>
        <w:t xml:space="preserve"> est établie sur le fondement du lien de proximité et de la prévisibilité raisonnable, l</w:t>
      </w:r>
      <w:r>
        <w:rPr>
          <w:rFonts w:cs="Times New Roman"/>
          <w:noProof/>
          <w:lang w:val="fr-CA"/>
        </w:rPr>
        <w:t>’</w:t>
      </w:r>
      <w:r w:rsidRPr="000E14A8">
        <w:rPr>
          <w:rFonts w:cs="Times New Roman"/>
          <w:noProof/>
          <w:lang w:val="fr-CA"/>
        </w:rPr>
        <w:t xml:space="preserve">analyse passe au deuxième volet du cadre établi dans les arrêts </w:t>
      </w:r>
      <w:r w:rsidRPr="000E14A8">
        <w:rPr>
          <w:rFonts w:cs="Times New Roman"/>
          <w:i/>
          <w:noProof/>
          <w:lang w:val="fr-CA"/>
        </w:rPr>
        <w:t xml:space="preserve">Anns </w:t>
      </w:r>
      <w:r w:rsidRPr="000E14A8">
        <w:rPr>
          <w:rFonts w:cs="Times New Roman"/>
          <w:noProof/>
          <w:lang w:val="fr-CA"/>
        </w:rPr>
        <w:t xml:space="preserve">et </w:t>
      </w:r>
      <w:r w:rsidRPr="000E14A8">
        <w:rPr>
          <w:rFonts w:cs="Times New Roman"/>
          <w:i/>
          <w:noProof/>
          <w:lang w:val="fr-CA"/>
        </w:rPr>
        <w:t>Cooper</w:t>
      </w:r>
      <w:r w:rsidRPr="000E14A8">
        <w:rPr>
          <w:rFonts w:cs="Times New Roman"/>
          <w:noProof/>
          <w:lang w:val="fr-CA"/>
        </w:rPr>
        <w:t>. Il s</w:t>
      </w:r>
      <w:r>
        <w:rPr>
          <w:rFonts w:cs="Times New Roman"/>
          <w:noProof/>
          <w:lang w:val="fr-CA"/>
        </w:rPr>
        <w:t>’</w:t>
      </w:r>
      <w:r w:rsidRPr="000E14A8">
        <w:rPr>
          <w:rFonts w:cs="Times New Roman"/>
          <w:noProof/>
          <w:lang w:val="fr-CA"/>
        </w:rPr>
        <w:t>agit alors de déterminer si « des considérations de politique résiduelles » étrangères au lien existant entre les parties sont susceptibles d</w:t>
      </w:r>
      <w:r>
        <w:rPr>
          <w:rFonts w:cs="Times New Roman"/>
          <w:noProof/>
          <w:lang w:val="fr-CA"/>
        </w:rPr>
        <w:t>’</w:t>
      </w:r>
      <w:r w:rsidRPr="000E14A8">
        <w:rPr>
          <w:rFonts w:cs="Times New Roman"/>
          <w:noProof/>
          <w:lang w:val="fr-CA"/>
        </w:rPr>
        <w:t>écarter l</w:t>
      </w:r>
      <w:r>
        <w:rPr>
          <w:rFonts w:cs="Times New Roman"/>
          <w:noProof/>
          <w:lang w:val="fr-CA"/>
        </w:rPr>
        <w:t>’</w:t>
      </w:r>
      <w:r w:rsidRPr="000E14A8">
        <w:rPr>
          <w:rFonts w:cs="Times New Roman"/>
          <w:noProof/>
          <w:lang w:val="fr-CA"/>
        </w:rPr>
        <w:t>imposition d</w:t>
      </w:r>
      <w:r>
        <w:rPr>
          <w:rFonts w:cs="Times New Roman"/>
          <w:noProof/>
          <w:lang w:val="fr-CA"/>
        </w:rPr>
        <w:t>’</w:t>
      </w:r>
      <w:r w:rsidRPr="000E14A8">
        <w:rPr>
          <w:rFonts w:cs="Times New Roman"/>
          <w:noProof/>
          <w:lang w:val="fr-CA"/>
        </w:rPr>
        <w:t>une obligation de diligence (</w:t>
      </w:r>
      <w:r w:rsidRPr="000E14A8">
        <w:rPr>
          <w:rFonts w:cs="Times New Roman"/>
          <w:i/>
          <w:noProof/>
          <w:lang w:val="fr-CA"/>
        </w:rPr>
        <w:t>Cooper</w:t>
      </w:r>
      <w:r w:rsidRPr="000E14A8">
        <w:rPr>
          <w:rFonts w:cs="Times New Roman"/>
          <w:noProof/>
          <w:lang w:val="fr-CA"/>
        </w:rPr>
        <w:t xml:space="preserve">, par. 30; </w:t>
      </w:r>
      <w:r w:rsidRPr="000E14A8">
        <w:rPr>
          <w:rFonts w:cs="Times New Roman"/>
          <w:i/>
          <w:noProof/>
          <w:lang w:val="fr-CA"/>
        </w:rPr>
        <w:t>Edwards</w:t>
      </w:r>
      <w:r w:rsidRPr="000E14A8">
        <w:rPr>
          <w:rFonts w:cs="Times New Roman"/>
          <w:noProof/>
          <w:lang w:val="fr-CA"/>
        </w:rPr>
        <w:t xml:space="preserve">, par. 10; </w:t>
      </w:r>
      <w:r w:rsidRPr="000E14A8">
        <w:rPr>
          <w:rFonts w:cs="Times New Roman"/>
          <w:i/>
          <w:noProof/>
          <w:lang w:val="fr-CA"/>
        </w:rPr>
        <w:t>Odhavji</w:t>
      </w:r>
      <w:r w:rsidRPr="000E14A8">
        <w:rPr>
          <w:rFonts w:cs="Times New Roman"/>
          <w:noProof/>
          <w:lang w:val="fr-CA"/>
        </w:rPr>
        <w:t xml:space="preserve">, par. 51). </w:t>
      </w:r>
    </w:p>
    <w:p w:rsidR="003A506E" w:rsidRPr="000E14A8" w:rsidRDefault="003A506E" w:rsidP="003A506E">
      <w:pPr>
        <w:pStyle w:val="ParaNoNdepar-AltN"/>
        <w:rPr>
          <w:rFonts w:cs="Times New Roman"/>
          <w:noProof/>
          <w:lang w:val="fr-CA"/>
        </w:rPr>
      </w:pPr>
      <w:r w:rsidRPr="000E14A8">
        <w:rPr>
          <w:rFonts w:cs="Times New Roman"/>
          <w:noProof/>
          <w:lang w:val="fr-CA"/>
        </w:rPr>
        <w:t>Par « résiduelles », nous voulons dire que ces considérations « ne portent pas sur le lien existant entre les parties [qui a déjà été examiné au premier volet du critère], mais sur l</w:t>
      </w:r>
      <w:r>
        <w:rPr>
          <w:rFonts w:cs="Times New Roman"/>
          <w:noProof/>
          <w:lang w:val="fr-CA"/>
        </w:rPr>
        <w:t>’</w:t>
      </w:r>
      <w:r w:rsidRPr="000E14A8">
        <w:rPr>
          <w:rFonts w:cs="Times New Roman"/>
          <w:noProof/>
          <w:lang w:val="fr-CA"/>
        </w:rPr>
        <w:t>effet que la reconnaissance d</w:t>
      </w:r>
      <w:r>
        <w:rPr>
          <w:rFonts w:cs="Times New Roman"/>
          <w:noProof/>
          <w:lang w:val="fr-CA"/>
        </w:rPr>
        <w:t>’</w:t>
      </w:r>
      <w:r w:rsidRPr="000E14A8">
        <w:rPr>
          <w:rFonts w:cs="Times New Roman"/>
          <w:noProof/>
          <w:lang w:val="fr-CA"/>
        </w:rPr>
        <w:t>une obligation de diligence aurait sur les autres obligations légales, sur le système juridique et sur la société en général »</w:t>
      </w:r>
      <w:r w:rsidRPr="000E14A8">
        <w:rPr>
          <w:rFonts w:cs="Times New Roman"/>
          <w:i/>
          <w:noProof/>
          <w:lang w:val="fr-CA"/>
        </w:rPr>
        <w:t xml:space="preserve"> </w:t>
      </w:r>
      <w:r w:rsidRPr="000E14A8">
        <w:rPr>
          <w:rFonts w:cs="Times New Roman"/>
          <w:noProof/>
          <w:lang w:val="fr-CA"/>
        </w:rPr>
        <w:t>(</w:t>
      </w:r>
      <w:r w:rsidRPr="000E14A8">
        <w:rPr>
          <w:rFonts w:cs="Times New Roman"/>
          <w:i/>
          <w:noProof/>
          <w:lang w:val="fr-CA"/>
        </w:rPr>
        <w:t>Cooper</w:t>
      </w:r>
      <w:r w:rsidRPr="000E14A8">
        <w:rPr>
          <w:rFonts w:cs="Times New Roman"/>
          <w:noProof/>
          <w:lang w:val="fr-CA"/>
        </w:rPr>
        <w:t xml:space="preserve">, par. 37; voir aussi </w:t>
      </w:r>
      <w:r w:rsidRPr="000E14A8">
        <w:rPr>
          <w:rFonts w:cs="Times New Roman"/>
          <w:i/>
          <w:noProof/>
          <w:lang w:val="fr-CA"/>
        </w:rPr>
        <w:t>Edwards</w:t>
      </w:r>
      <w:r w:rsidRPr="000E14A8">
        <w:rPr>
          <w:rFonts w:cs="Times New Roman"/>
          <w:noProof/>
          <w:lang w:val="fr-CA"/>
        </w:rPr>
        <w:t>, par. 10). Donc, dans la mesure où le premier volet relatif à l</w:t>
      </w:r>
      <w:r>
        <w:rPr>
          <w:rFonts w:cs="Times New Roman"/>
          <w:noProof/>
          <w:lang w:val="fr-CA"/>
        </w:rPr>
        <w:t>’</w:t>
      </w:r>
      <w:r w:rsidRPr="000E14A8">
        <w:rPr>
          <w:rFonts w:cs="Times New Roman"/>
          <w:noProof/>
          <w:lang w:val="fr-CA"/>
        </w:rPr>
        <w:t xml:space="preserve">obligation de diligence </w:t>
      </w:r>
      <w:r w:rsidRPr="000E14A8">
        <w:rPr>
          <w:rFonts w:cs="Times New Roman"/>
          <w:i/>
          <w:noProof/>
          <w:lang w:val="fr-CA"/>
        </w:rPr>
        <w:t xml:space="preserve">prima facie </w:t>
      </w:r>
      <w:r w:rsidRPr="000E14A8">
        <w:rPr>
          <w:rFonts w:cs="Times New Roman"/>
          <w:noProof/>
          <w:lang w:val="fr-CA"/>
        </w:rPr>
        <w:t>fait apparemment intervenir des considérations « de politique » découlant du lien existant entre les parties — c.</w:t>
      </w:r>
      <w:r w:rsidRPr="000E14A8">
        <w:rPr>
          <w:rFonts w:cs="Times New Roman"/>
          <w:noProof/>
          <w:lang w:val="fr-CA"/>
        </w:rPr>
        <w:noBreakHyphen/>
        <w:t>à</w:t>
      </w:r>
      <w:r w:rsidRPr="000E14A8">
        <w:rPr>
          <w:rFonts w:cs="Times New Roman"/>
          <w:noProof/>
          <w:lang w:val="fr-CA"/>
        </w:rPr>
        <w:noBreakHyphen/>
        <w:t>d., où l</w:t>
      </w:r>
      <w:r>
        <w:rPr>
          <w:rFonts w:cs="Times New Roman"/>
          <w:noProof/>
          <w:lang w:val="fr-CA"/>
        </w:rPr>
        <w:t>’</w:t>
      </w:r>
      <w:r w:rsidRPr="000E14A8">
        <w:rPr>
          <w:rFonts w:cs="Times New Roman"/>
          <w:noProof/>
          <w:lang w:val="fr-CA"/>
        </w:rPr>
        <w:t>on reconnaît qu</w:t>
      </w:r>
      <w:r>
        <w:rPr>
          <w:rFonts w:cs="Times New Roman"/>
          <w:noProof/>
          <w:lang w:val="fr-CA"/>
        </w:rPr>
        <w:t>’</w:t>
      </w:r>
      <w:r w:rsidRPr="000E14A8">
        <w:rPr>
          <w:rFonts w:cs="Times New Roman"/>
          <w:noProof/>
          <w:lang w:val="fr-CA"/>
        </w:rPr>
        <w:t>il est judicieux de ne tenir un défendeur responsable de négligence que s</w:t>
      </w:r>
      <w:r>
        <w:rPr>
          <w:rFonts w:cs="Times New Roman"/>
          <w:noProof/>
          <w:lang w:val="fr-CA"/>
        </w:rPr>
        <w:t>’</w:t>
      </w:r>
      <w:r w:rsidRPr="000E14A8">
        <w:rPr>
          <w:rFonts w:cs="Times New Roman"/>
          <w:noProof/>
          <w:lang w:val="fr-CA"/>
        </w:rPr>
        <w:t xml:space="preserve">il a un lien de proximité avec le demandeur et que le préjudice subi était raisonnablement prévisible (voir </w:t>
      </w:r>
      <w:r w:rsidRPr="000E14A8">
        <w:rPr>
          <w:rFonts w:cs="Times New Roman"/>
          <w:i/>
          <w:noProof/>
          <w:lang w:val="fr-CA"/>
        </w:rPr>
        <w:t>Cooper</w:t>
      </w:r>
      <w:r w:rsidRPr="000E14A8">
        <w:rPr>
          <w:rFonts w:cs="Times New Roman"/>
          <w:noProof/>
          <w:lang w:val="fr-CA"/>
        </w:rPr>
        <w:t>, par. 25) — il n</w:t>
      </w:r>
      <w:r>
        <w:rPr>
          <w:rFonts w:cs="Times New Roman"/>
          <w:noProof/>
          <w:lang w:val="fr-CA"/>
        </w:rPr>
        <w:t>’</w:t>
      </w:r>
      <w:r w:rsidRPr="000E14A8">
        <w:rPr>
          <w:rFonts w:cs="Times New Roman"/>
          <w:noProof/>
          <w:lang w:val="fr-CA"/>
        </w:rPr>
        <w:t>y a pas lieu de réexaminer ces considérations « de politique » au deuxième volet (</w:t>
      </w:r>
      <w:r w:rsidRPr="000E14A8">
        <w:rPr>
          <w:rFonts w:cs="Times New Roman"/>
          <w:i/>
          <w:noProof/>
          <w:lang w:val="fr-CA"/>
        </w:rPr>
        <w:t>ibid.</w:t>
      </w:r>
      <w:r w:rsidRPr="000E14A8">
        <w:rPr>
          <w:rFonts w:cs="Times New Roman"/>
          <w:noProof/>
          <w:lang w:val="fr-CA"/>
        </w:rPr>
        <w:t xml:space="preserve">, par. 28). En effet, un tel </w:t>
      </w:r>
      <w:r w:rsidRPr="000E14A8">
        <w:rPr>
          <w:rFonts w:cs="Times New Roman"/>
          <w:i/>
          <w:noProof/>
          <w:lang w:val="fr-CA"/>
        </w:rPr>
        <w:t>ré</w:t>
      </w:r>
      <w:r w:rsidRPr="000E14A8">
        <w:rPr>
          <w:rFonts w:cs="Times New Roman"/>
          <w:noProof/>
          <w:lang w:val="fr-CA"/>
        </w:rPr>
        <w:t>examen serait redondant tout en prêtant à confusion sur le plan analytique (</w:t>
      </w:r>
      <w:r w:rsidRPr="000E14A8">
        <w:rPr>
          <w:rFonts w:cs="Times New Roman"/>
          <w:i/>
          <w:noProof/>
          <w:lang w:val="fr-CA"/>
        </w:rPr>
        <w:t>ibid.</w:t>
      </w:r>
      <w:r w:rsidRPr="000E14A8">
        <w:rPr>
          <w:rFonts w:cs="Times New Roman"/>
          <w:noProof/>
          <w:lang w:val="fr-CA"/>
        </w:rPr>
        <w:t xml:space="preserve">, par. 29). </w:t>
      </w:r>
    </w:p>
    <w:p w:rsidR="003A506E" w:rsidRPr="000E14A8" w:rsidRDefault="003A506E" w:rsidP="003A506E">
      <w:pPr>
        <w:pStyle w:val="ParaNoNdepar-AltN"/>
        <w:rPr>
          <w:rFonts w:cs="Times New Roman"/>
          <w:noProof/>
          <w:lang w:val="fr-CA"/>
        </w:rPr>
      </w:pPr>
      <w:r w:rsidRPr="000E14A8">
        <w:rPr>
          <w:rFonts w:cs="Times New Roman"/>
          <w:noProof/>
          <w:lang w:val="fr-CA"/>
        </w:rPr>
        <w:t>L</w:t>
      </w:r>
      <w:r>
        <w:rPr>
          <w:rFonts w:cs="Times New Roman"/>
          <w:noProof/>
          <w:lang w:val="fr-CA"/>
        </w:rPr>
        <w:t>’</w:t>
      </w:r>
      <w:r w:rsidRPr="000E14A8">
        <w:rPr>
          <w:rFonts w:cs="Times New Roman"/>
          <w:noProof/>
          <w:lang w:val="fr-CA"/>
        </w:rPr>
        <w:t xml:space="preserve">arrêt </w:t>
      </w:r>
      <w:r w:rsidRPr="000E14A8">
        <w:rPr>
          <w:rFonts w:cs="Times New Roman"/>
          <w:i/>
          <w:noProof/>
          <w:lang w:val="fr-CA"/>
        </w:rPr>
        <w:t>Cooper</w:t>
      </w:r>
      <w:r w:rsidRPr="000E14A8">
        <w:rPr>
          <w:rFonts w:cs="Times New Roman"/>
          <w:noProof/>
          <w:lang w:val="fr-CA"/>
        </w:rPr>
        <w:t>, et plus particulièrement la démarcation rigoureuse qu</w:t>
      </w:r>
      <w:r>
        <w:rPr>
          <w:rFonts w:cs="Times New Roman"/>
          <w:noProof/>
          <w:lang w:val="fr-CA"/>
        </w:rPr>
        <w:t>’</w:t>
      </w:r>
      <w:r w:rsidRPr="000E14A8">
        <w:rPr>
          <w:rFonts w:cs="Times New Roman"/>
          <w:noProof/>
          <w:lang w:val="fr-CA"/>
        </w:rPr>
        <w:t xml:space="preserve">il établit entre les facteurs « découlant du </w:t>
      </w:r>
      <w:r w:rsidRPr="000E14A8">
        <w:rPr>
          <w:rFonts w:cs="Times New Roman"/>
          <w:i/>
          <w:noProof/>
          <w:lang w:val="fr-CA"/>
        </w:rPr>
        <w:t>lien</w:t>
      </w:r>
      <w:r w:rsidRPr="000E14A8">
        <w:rPr>
          <w:rFonts w:cs="Times New Roman"/>
          <w:noProof/>
          <w:lang w:val="fr-CA"/>
        </w:rPr>
        <w:t xml:space="preserve"> existant entre </w:t>
      </w:r>
      <w:r w:rsidR="00D5275F" w:rsidRPr="000E14A8">
        <w:rPr>
          <w:rFonts w:cs="Times New Roman"/>
          <w:noProof/>
          <w:lang w:val="fr-CA"/>
        </w:rPr>
        <w:t>[</w:t>
      </w:r>
      <w:r w:rsidRPr="000E14A8">
        <w:rPr>
          <w:rFonts w:cs="Times New Roman"/>
          <w:noProof/>
          <w:lang w:val="fr-CA"/>
        </w:rPr>
        <w:t>les parties] » (par. 30 (souligné dans l</w:t>
      </w:r>
      <w:r>
        <w:rPr>
          <w:rFonts w:cs="Times New Roman"/>
          <w:noProof/>
          <w:lang w:val="fr-CA"/>
        </w:rPr>
        <w:t>’</w:t>
      </w:r>
      <w:r w:rsidRPr="000E14A8">
        <w:rPr>
          <w:rFonts w:cs="Times New Roman"/>
          <w:noProof/>
          <w:lang w:val="fr-CA"/>
        </w:rPr>
        <w:t xml:space="preserve">original)) et les facteurs qui « ne portent pas sur le lien existant entre </w:t>
      </w:r>
      <w:r w:rsidRPr="000E14A8">
        <w:rPr>
          <w:rFonts w:cs="Times New Roman"/>
          <w:noProof/>
          <w:lang w:val="fr-CA"/>
        </w:rPr>
        <w:lastRenderedPageBreak/>
        <w:t>les parties » (par. 37), a remis en cause l</w:t>
      </w:r>
      <w:r>
        <w:rPr>
          <w:rFonts w:cs="Times New Roman"/>
          <w:noProof/>
          <w:lang w:val="fr-CA"/>
        </w:rPr>
        <w:t>’</w:t>
      </w:r>
      <w:r w:rsidRPr="000E14A8">
        <w:rPr>
          <w:rFonts w:cs="Times New Roman"/>
          <w:noProof/>
          <w:lang w:val="fr-CA"/>
        </w:rPr>
        <w:t>étape à laquelle il faut tenir compte de certains facteurs selon le cadre d</w:t>
      </w:r>
      <w:r>
        <w:rPr>
          <w:rFonts w:cs="Times New Roman"/>
          <w:noProof/>
          <w:lang w:val="fr-CA"/>
        </w:rPr>
        <w:t>’</w:t>
      </w:r>
      <w:r w:rsidRPr="000E14A8">
        <w:rPr>
          <w:rFonts w:cs="Times New Roman"/>
          <w:noProof/>
          <w:lang w:val="fr-CA"/>
        </w:rPr>
        <w:t xml:space="preserve">analyse établi par les arrêts </w:t>
      </w:r>
      <w:r w:rsidRPr="000E14A8">
        <w:rPr>
          <w:rFonts w:cs="Times New Roman"/>
          <w:i/>
          <w:noProof/>
          <w:lang w:val="fr-CA"/>
        </w:rPr>
        <w:t xml:space="preserve">Anns </w:t>
      </w:r>
      <w:r w:rsidRPr="000E14A8">
        <w:rPr>
          <w:rFonts w:cs="Times New Roman"/>
          <w:noProof/>
          <w:lang w:val="fr-CA"/>
        </w:rPr>
        <w:t xml:space="preserve">et </w:t>
      </w:r>
      <w:r w:rsidRPr="000E14A8">
        <w:rPr>
          <w:rFonts w:cs="Times New Roman"/>
          <w:i/>
          <w:noProof/>
          <w:lang w:val="fr-CA"/>
        </w:rPr>
        <w:t>Cooper</w:t>
      </w:r>
      <w:r w:rsidRPr="000E14A8">
        <w:rPr>
          <w:rFonts w:cs="Times New Roman"/>
          <w:noProof/>
          <w:lang w:val="fr-CA"/>
        </w:rPr>
        <w:t>. Par exemple, les principes habituellement examinés au deuxième volet du critère de l</w:t>
      </w:r>
      <w:r>
        <w:rPr>
          <w:rFonts w:cs="Times New Roman"/>
          <w:noProof/>
          <w:lang w:val="fr-CA"/>
        </w:rPr>
        <w:t>’</w:t>
      </w:r>
      <w:r w:rsidRPr="000E14A8">
        <w:rPr>
          <w:rFonts w:cs="Times New Roman"/>
          <w:noProof/>
          <w:lang w:val="fr-CA"/>
        </w:rPr>
        <w:t xml:space="preserve">arrêt </w:t>
      </w:r>
      <w:r w:rsidRPr="000E14A8">
        <w:rPr>
          <w:rFonts w:cs="Times New Roman"/>
          <w:i/>
          <w:noProof/>
          <w:lang w:val="fr-CA"/>
        </w:rPr>
        <w:t>Anns</w:t>
      </w:r>
      <w:r w:rsidRPr="000E14A8">
        <w:rPr>
          <w:rFonts w:cs="Times New Roman"/>
          <w:noProof/>
          <w:lang w:val="fr-CA"/>
        </w:rPr>
        <w:t xml:space="preserve"> dans les cas de déclaration inexacte faite par négligence, à savoir (1) si le défendeur connaissait le demandeur ou la catégorie de demandeurs susceptibles de se fier à sa déclaration; et (2) si les pertes que le demandeur aurait subies en raison de la confiance qu</w:t>
      </w:r>
      <w:r>
        <w:rPr>
          <w:rFonts w:cs="Times New Roman"/>
          <w:noProof/>
          <w:lang w:val="fr-CA"/>
        </w:rPr>
        <w:t>’</w:t>
      </w:r>
      <w:r w:rsidRPr="000E14A8">
        <w:rPr>
          <w:rFonts w:cs="Times New Roman"/>
          <w:noProof/>
          <w:lang w:val="fr-CA"/>
        </w:rPr>
        <w:t>il a accordée au défendeur découlent de l</w:t>
      </w:r>
      <w:r>
        <w:rPr>
          <w:rFonts w:cs="Times New Roman"/>
          <w:noProof/>
          <w:lang w:val="fr-CA"/>
        </w:rPr>
        <w:t>’</w:t>
      </w:r>
      <w:r w:rsidRPr="000E14A8">
        <w:rPr>
          <w:rFonts w:cs="Times New Roman"/>
          <w:noProof/>
          <w:lang w:val="fr-CA"/>
        </w:rPr>
        <w:t>opération même visée par la déclaration en cause (</w:t>
      </w:r>
      <w:r w:rsidRPr="000E14A8">
        <w:rPr>
          <w:rFonts w:cs="Times New Roman"/>
          <w:i/>
          <w:noProof/>
          <w:lang w:val="fr-CA"/>
        </w:rPr>
        <w:t>Hercules</w:t>
      </w:r>
      <w:r w:rsidRPr="000E14A8">
        <w:rPr>
          <w:rFonts w:cs="Times New Roman"/>
          <w:noProof/>
          <w:lang w:val="fr-CA"/>
        </w:rPr>
        <w:t xml:space="preserve">, par. 27 et 40; </w:t>
      </w:r>
      <w:r w:rsidRPr="000E14A8">
        <w:rPr>
          <w:rFonts w:cs="Times New Roman"/>
          <w:i/>
          <w:noProof/>
          <w:lang w:val="fr-CA"/>
        </w:rPr>
        <w:t>Bow Valley</w:t>
      </w:r>
      <w:r w:rsidRPr="000E14A8">
        <w:rPr>
          <w:rFonts w:cs="Times New Roman"/>
          <w:noProof/>
          <w:lang w:val="fr-CA"/>
        </w:rPr>
        <w:t>, par. 55</w:t>
      </w:r>
      <w:r w:rsidRPr="000E14A8">
        <w:rPr>
          <w:rFonts w:cs="Times New Roman"/>
          <w:noProof/>
          <w:lang w:val="fr-CA"/>
        </w:rPr>
        <w:noBreakHyphen/>
        <w:t>56), ne sont plus examinées au second volet. En effet, comme nous l</w:t>
      </w:r>
      <w:r>
        <w:rPr>
          <w:rFonts w:cs="Times New Roman"/>
          <w:noProof/>
          <w:lang w:val="fr-CA"/>
        </w:rPr>
        <w:t>’</w:t>
      </w:r>
      <w:r w:rsidRPr="000E14A8">
        <w:rPr>
          <w:rFonts w:cs="Times New Roman"/>
          <w:noProof/>
          <w:lang w:val="fr-CA"/>
        </w:rPr>
        <w:t xml:space="preserve">avons expliqué, ces facteurs découlent du </w:t>
      </w:r>
      <w:r w:rsidRPr="000E14A8">
        <w:rPr>
          <w:rFonts w:cs="Times New Roman"/>
          <w:i/>
          <w:noProof/>
          <w:lang w:val="fr-CA"/>
        </w:rPr>
        <w:t>lien</w:t>
      </w:r>
      <w:r w:rsidRPr="000E14A8">
        <w:rPr>
          <w:rFonts w:cs="Times New Roman"/>
          <w:noProof/>
          <w:lang w:val="fr-CA"/>
        </w:rPr>
        <w:t xml:space="preserve"> existant entre les parties et il en est donc dûment tenu compte au premier volet de l</w:t>
      </w:r>
      <w:r>
        <w:rPr>
          <w:rFonts w:cs="Times New Roman"/>
          <w:noProof/>
          <w:lang w:val="fr-CA"/>
        </w:rPr>
        <w:t>’</w:t>
      </w:r>
      <w:r w:rsidRPr="000E14A8">
        <w:rPr>
          <w:rFonts w:cs="Times New Roman"/>
          <w:noProof/>
          <w:lang w:val="fr-CA"/>
        </w:rPr>
        <w:t>analyse relative au lien de proximité et à la prévisibilité raisonnable.</w:t>
      </w:r>
    </w:p>
    <w:p w:rsidR="003A506E" w:rsidRPr="000E14A8" w:rsidRDefault="003A506E" w:rsidP="003A506E">
      <w:pPr>
        <w:pStyle w:val="ParaNoNdepar-AltN"/>
        <w:rPr>
          <w:rFonts w:cs="Times New Roman"/>
          <w:noProof/>
          <w:lang w:val="fr-CA"/>
        </w:rPr>
      </w:pPr>
      <w:r w:rsidRPr="000E14A8">
        <w:rPr>
          <w:rFonts w:cs="Times New Roman"/>
          <w:noProof/>
          <w:lang w:val="fr-CA"/>
        </w:rPr>
        <w:t>Que reste</w:t>
      </w:r>
      <w:r w:rsidRPr="000E14A8">
        <w:rPr>
          <w:rFonts w:cs="Times New Roman"/>
          <w:noProof/>
          <w:lang w:val="fr-CA"/>
        </w:rPr>
        <w:noBreakHyphen/>
        <w:t>t</w:t>
      </w:r>
      <w:r w:rsidRPr="000E14A8">
        <w:rPr>
          <w:rFonts w:cs="Times New Roman"/>
          <w:noProof/>
          <w:lang w:val="fr-CA"/>
        </w:rPr>
        <w:noBreakHyphen/>
        <w:t xml:space="preserve">il donc à examiner au deuxième volet du cadre établi par les arrêts </w:t>
      </w:r>
      <w:r w:rsidRPr="000E14A8">
        <w:rPr>
          <w:rFonts w:cs="Times New Roman"/>
          <w:i/>
          <w:noProof/>
          <w:lang w:val="fr-CA"/>
        </w:rPr>
        <w:t xml:space="preserve">Anns </w:t>
      </w:r>
      <w:r w:rsidRPr="000E14A8">
        <w:rPr>
          <w:rFonts w:cs="Times New Roman"/>
          <w:noProof/>
          <w:lang w:val="fr-CA"/>
        </w:rPr>
        <w:t xml:space="preserve">et </w:t>
      </w:r>
      <w:r w:rsidRPr="000E14A8">
        <w:rPr>
          <w:rFonts w:cs="Times New Roman"/>
          <w:i/>
          <w:noProof/>
          <w:lang w:val="fr-CA"/>
        </w:rPr>
        <w:t>Cooper</w:t>
      </w:r>
      <w:r w:rsidRPr="000E14A8">
        <w:rPr>
          <w:rFonts w:cs="Times New Roman"/>
          <w:noProof/>
          <w:lang w:val="fr-CA"/>
        </w:rPr>
        <w:t xml:space="preserve">? Dans </w:t>
      </w:r>
      <w:r w:rsidRPr="000E14A8">
        <w:rPr>
          <w:rFonts w:cs="Times New Roman"/>
          <w:i/>
          <w:noProof/>
          <w:lang w:val="fr-CA"/>
        </w:rPr>
        <w:t>Cooper</w:t>
      </w:r>
      <w:r w:rsidRPr="000E14A8">
        <w:rPr>
          <w:rFonts w:cs="Times New Roman"/>
          <w:noProof/>
          <w:lang w:val="fr-CA"/>
        </w:rPr>
        <w:t>,</w:t>
      </w:r>
      <w:r w:rsidRPr="000E14A8">
        <w:rPr>
          <w:rFonts w:cs="Times New Roman"/>
          <w:i/>
          <w:noProof/>
          <w:lang w:val="fr-CA"/>
        </w:rPr>
        <w:t xml:space="preserve"> </w:t>
      </w:r>
      <w:r w:rsidRPr="000E14A8">
        <w:rPr>
          <w:rFonts w:cs="Times New Roman"/>
          <w:noProof/>
          <w:lang w:val="fr-CA"/>
        </w:rPr>
        <w:t>notre Cour a dégagé des facteurs qui sont étrangers au lien existant entre les parties, notamment (1) si la loi prévoit déjà une réparation; (2) s</w:t>
      </w:r>
      <w:r>
        <w:rPr>
          <w:rFonts w:cs="Times New Roman"/>
          <w:noProof/>
          <w:lang w:val="fr-CA"/>
        </w:rPr>
        <w:t>’</w:t>
      </w:r>
      <w:r w:rsidRPr="000E14A8">
        <w:rPr>
          <w:rFonts w:cs="Times New Roman"/>
          <w:noProof/>
          <w:lang w:val="fr-CA"/>
        </w:rPr>
        <w:t>il faut craindre le risque que la reconnaissance de l</w:t>
      </w:r>
      <w:r>
        <w:rPr>
          <w:rFonts w:cs="Times New Roman"/>
          <w:noProof/>
          <w:lang w:val="fr-CA"/>
        </w:rPr>
        <w:t>’</w:t>
      </w:r>
      <w:r w:rsidRPr="000E14A8">
        <w:rPr>
          <w:rFonts w:cs="Times New Roman"/>
          <w:noProof/>
          <w:lang w:val="fr-CA"/>
        </w:rPr>
        <w:t>obligation de diligence crée « une responsabilité illimitée pour un nombre illimité de personnes »; et (3) si « [d]</w:t>
      </w:r>
      <w:r>
        <w:rPr>
          <w:rFonts w:cs="Times New Roman"/>
          <w:noProof/>
          <w:lang w:val="fr-CA"/>
        </w:rPr>
        <w:t>’</w:t>
      </w:r>
      <w:r w:rsidRPr="000E14A8">
        <w:rPr>
          <w:rFonts w:cs="Times New Roman"/>
          <w:noProof/>
          <w:lang w:val="fr-CA"/>
        </w:rPr>
        <w:t>autres raisons de politique générale [indiquent] que l</w:t>
      </w:r>
      <w:r>
        <w:rPr>
          <w:rFonts w:cs="Times New Roman"/>
          <w:noProof/>
          <w:lang w:val="fr-CA"/>
        </w:rPr>
        <w:t>’</w:t>
      </w:r>
      <w:r w:rsidRPr="000E14A8">
        <w:rPr>
          <w:rFonts w:cs="Times New Roman"/>
          <w:noProof/>
          <w:lang w:val="fr-CA"/>
        </w:rPr>
        <w:t>obligation de diligence ne devrait pas être reconnue » (par. 37). En ce sens, l</w:t>
      </w:r>
      <w:r>
        <w:rPr>
          <w:rFonts w:cs="Times New Roman"/>
          <w:noProof/>
          <w:lang w:val="fr-CA"/>
        </w:rPr>
        <w:t>’</w:t>
      </w:r>
      <w:r w:rsidRPr="000E14A8">
        <w:rPr>
          <w:rFonts w:cs="Times New Roman"/>
          <w:noProof/>
          <w:lang w:val="fr-CA"/>
        </w:rPr>
        <w:t>analyse relative aux considérations de politique résiduelles est une analyse normative. Elle appelle à déterminer s</w:t>
      </w:r>
      <w:r>
        <w:rPr>
          <w:rFonts w:cs="Times New Roman"/>
          <w:noProof/>
          <w:lang w:val="fr-CA"/>
        </w:rPr>
        <w:t>’</w:t>
      </w:r>
      <w:r w:rsidRPr="000E14A8">
        <w:rPr>
          <w:rFonts w:cs="Times New Roman"/>
          <w:noProof/>
          <w:lang w:val="fr-CA"/>
        </w:rPr>
        <w:t>il serait préférable, pour des raisons d</w:t>
      </w:r>
      <w:r>
        <w:rPr>
          <w:rFonts w:cs="Times New Roman"/>
          <w:noProof/>
          <w:lang w:val="fr-CA"/>
        </w:rPr>
        <w:t>’</w:t>
      </w:r>
      <w:r w:rsidRPr="000E14A8">
        <w:rPr>
          <w:rFonts w:cs="Times New Roman"/>
          <w:noProof/>
          <w:lang w:val="fr-CA"/>
        </w:rPr>
        <w:t>ordre juridique ou théorique, ou pour des raisons tenant à d</w:t>
      </w:r>
      <w:r>
        <w:rPr>
          <w:rFonts w:cs="Times New Roman"/>
          <w:noProof/>
          <w:lang w:val="fr-CA"/>
        </w:rPr>
        <w:t>’</w:t>
      </w:r>
      <w:r w:rsidRPr="000E14A8">
        <w:rPr>
          <w:rFonts w:cs="Times New Roman"/>
          <w:noProof/>
          <w:lang w:val="fr-CA"/>
        </w:rPr>
        <w:t>autres préoccupations sociales, de ne pas reconnaître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 xml:space="preserve">une obligation de diligence dans un cas donné. </w:t>
      </w:r>
    </w:p>
    <w:p w:rsidR="003A506E" w:rsidRPr="000E14A8" w:rsidRDefault="003A506E" w:rsidP="003A506E">
      <w:pPr>
        <w:pStyle w:val="ParaNoNdepar-AltN"/>
        <w:rPr>
          <w:rFonts w:cs="Times New Roman"/>
          <w:noProof/>
          <w:lang w:val="fr-CA"/>
        </w:rPr>
      </w:pPr>
      <w:r w:rsidRPr="000E14A8">
        <w:rPr>
          <w:rFonts w:cs="Times New Roman"/>
          <w:noProof/>
          <w:lang w:val="fr-CA"/>
        </w:rPr>
        <w:lastRenderedPageBreak/>
        <w:t>La place qu</w:t>
      </w:r>
      <w:r>
        <w:rPr>
          <w:rFonts w:cs="Times New Roman"/>
          <w:noProof/>
          <w:lang w:val="fr-CA"/>
        </w:rPr>
        <w:t>’</w:t>
      </w:r>
      <w:r w:rsidRPr="000E14A8">
        <w:rPr>
          <w:rFonts w:cs="Times New Roman"/>
          <w:noProof/>
          <w:lang w:val="fr-CA"/>
        </w:rPr>
        <w:t>occupe l</w:t>
      </w:r>
      <w:r>
        <w:rPr>
          <w:rFonts w:cs="Times New Roman"/>
          <w:noProof/>
          <w:lang w:val="fr-CA"/>
        </w:rPr>
        <w:t>’</w:t>
      </w:r>
      <w:r w:rsidRPr="000E14A8">
        <w:rPr>
          <w:rFonts w:cs="Times New Roman"/>
          <w:noProof/>
          <w:lang w:val="fr-CA"/>
        </w:rPr>
        <w:t>examen des considérations de politique dans le cadre d</w:t>
      </w:r>
      <w:r>
        <w:rPr>
          <w:rFonts w:cs="Times New Roman"/>
          <w:noProof/>
          <w:lang w:val="fr-CA"/>
        </w:rPr>
        <w:t>’</w:t>
      </w:r>
      <w:r w:rsidRPr="000E14A8">
        <w:rPr>
          <w:rFonts w:cs="Times New Roman"/>
          <w:noProof/>
          <w:lang w:val="fr-CA"/>
        </w:rPr>
        <w:t xml:space="preserve">analyse établi dans les arrêts </w:t>
      </w:r>
      <w:r w:rsidRPr="000E14A8">
        <w:rPr>
          <w:rFonts w:cs="Times New Roman"/>
          <w:i/>
          <w:noProof/>
          <w:lang w:val="fr-CA"/>
        </w:rPr>
        <w:t xml:space="preserve">Anns </w:t>
      </w:r>
      <w:r w:rsidRPr="000E14A8">
        <w:rPr>
          <w:rFonts w:cs="Times New Roman"/>
          <w:noProof/>
          <w:lang w:val="fr-CA"/>
        </w:rPr>
        <w:t xml:space="preserve">et </w:t>
      </w:r>
      <w:r w:rsidRPr="000E14A8">
        <w:rPr>
          <w:rFonts w:cs="Times New Roman"/>
          <w:i/>
          <w:noProof/>
          <w:lang w:val="fr-CA"/>
        </w:rPr>
        <w:t>Cooper</w:t>
      </w:r>
      <w:r w:rsidRPr="000E14A8">
        <w:rPr>
          <w:rFonts w:cs="Times New Roman"/>
          <w:noProof/>
          <w:lang w:val="fr-CA"/>
        </w:rPr>
        <w:t xml:space="preserve"> est importante. Cet examen fait suite à ceux du lien de proximité et de la prévisibilité, et il vise à déterminer si, </w:t>
      </w:r>
      <w:r w:rsidRPr="000E14A8">
        <w:rPr>
          <w:rFonts w:cs="Times New Roman"/>
          <w:i/>
          <w:noProof/>
          <w:lang w:val="fr-CA"/>
        </w:rPr>
        <w:t>malgré</w:t>
      </w:r>
      <w:r w:rsidRPr="000E14A8">
        <w:rPr>
          <w:rFonts w:cs="Times New Roman"/>
          <w:noProof/>
          <w:lang w:val="fr-CA"/>
        </w:rPr>
        <w:t xml:space="preserve"> le lien de proximité qui unit les parties, et </w:t>
      </w:r>
      <w:r w:rsidRPr="000E14A8">
        <w:rPr>
          <w:rFonts w:cs="Times New Roman"/>
          <w:i/>
          <w:noProof/>
          <w:lang w:val="fr-CA"/>
        </w:rPr>
        <w:t>malgré</w:t>
      </w:r>
      <w:r w:rsidRPr="000E14A8">
        <w:rPr>
          <w:rFonts w:cs="Times New Roman"/>
          <w:noProof/>
          <w:lang w:val="fr-CA"/>
        </w:rPr>
        <w:t xml:space="preserve"> le caractère raisonnablement prévisible du préjudice subi par le demandeur, le défendeur devrait tout de même être exonéré de responsabilité (</w:t>
      </w:r>
      <w:r w:rsidRPr="000E14A8">
        <w:rPr>
          <w:rFonts w:cs="Times New Roman"/>
          <w:i/>
          <w:noProof/>
          <w:lang w:val="fr-CA"/>
        </w:rPr>
        <w:t>Cooper</w:t>
      </w:r>
      <w:r w:rsidRPr="000E14A8">
        <w:rPr>
          <w:rFonts w:cs="Times New Roman"/>
          <w:noProof/>
          <w:lang w:val="fr-CA"/>
        </w:rPr>
        <w:t xml:space="preserve">, par. 30; </w:t>
      </w:r>
      <w:r w:rsidRPr="000E14A8">
        <w:rPr>
          <w:rFonts w:cs="Times New Roman"/>
          <w:i/>
          <w:noProof/>
          <w:lang w:val="fr-CA"/>
        </w:rPr>
        <w:t>Odhavji</w:t>
      </w:r>
      <w:r w:rsidRPr="000E14A8">
        <w:rPr>
          <w:rFonts w:cs="Times New Roman"/>
          <w:noProof/>
          <w:lang w:val="fr-CA"/>
        </w:rPr>
        <w:t>, par. 51). La possibilité de limiter la responsabilité en dépit de la reconnaissance du lien de proximité et de la prévisibilité raisonnable démontre clairement à quel point il convient d</w:t>
      </w:r>
      <w:r>
        <w:rPr>
          <w:rFonts w:cs="Times New Roman"/>
          <w:noProof/>
          <w:lang w:val="fr-CA"/>
        </w:rPr>
        <w:t>’</w:t>
      </w:r>
      <w:r w:rsidRPr="000E14A8">
        <w:rPr>
          <w:rFonts w:cs="Times New Roman"/>
          <w:noProof/>
          <w:lang w:val="fr-CA"/>
        </w:rPr>
        <w:t>y recourir avec circonspection (</w:t>
      </w:r>
      <w:r w:rsidRPr="000E14A8">
        <w:rPr>
          <w:rFonts w:cs="Times New Roman"/>
          <w:i/>
          <w:noProof/>
          <w:lang w:val="fr-CA"/>
        </w:rPr>
        <w:t>Cooper</w:t>
      </w:r>
      <w:r w:rsidRPr="000E14A8">
        <w:rPr>
          <w:rFonts w:cs="Times New Roman"/>
          <w:noProof/>
          <w:lang w:val="fr-CA"/>
        </w:rPr>
        <w:t>,</w:t>
      </w:r>
      <w:r w:rsidRPr="000E14A8">
        <w:rPr>
          <w:rFonts w:cs="Times New Roman"/>
          <w:i/>
          <w:noProof/>
          <w:lang w:val="fr-CA"/>
        </w:rPr>
        <w:t xml:space="preserve"> </w:t>
      </w:r>
      <w:r w:rsidRPr="000E14A8">
        <w:rPr>
          <w:rFonts w:cs="Times New Roman"/>
          <w:noProof/>
          <w:lang w:val="fr-CA"/>
        </w:rPr>
        <w:t xml:space="preserve">par. 30, citant </w:t>
      </w:r>
      <w:r w:rsidRPr="000E14A8">
        <w:rPr>
          <w:rFonts w:cs="Times New Roman"/>
          <w:i/>
          <w:noProof/>
          <w:lang w:val="fr-CA"/>
        </w:rPr>
        <w:t>Yuen Kun Yeu c. Attorney</w:t>
      </w:r>
      <w:r w:rsidRPr="000E14A8">
        <w:rPr>
          <w:rFonts w:cs="Times New Roman"/>
          <w:i/>
          <w:noProof/>
          <w:lang w:val="fr-CA"/>
        </w:rPr>
        <w:noBreakHyphen/>
        <w:t>General of Hong Kong</w:t>
      </w:r>
      <w:r w:rsidRPr="000E14A8">
        <w:rPr>
          <w:rFonts w:cs="Times New Roman"/>
          <w:noProof/>
          <w:lang w:val="fr-CA"/>
        </w:rPr>
        <w:t>,</w:t>
      </w:r>
      <w:r w:rsidRPr="000E14A8">
        <w:rPr>
          <w:rFonts w:cs="Times New Roman"/>
          <w:i/>
          <w:noProof/>
          <w:lang w:val="fr-CA"/>
        </w:rPr>
        <w:t xml:space="preserve"> </w:t>
      </w:r>
      <w:r w:rsidRPr="000E14A8">
        <w:rPr>
          <w:rFonts w:cs="Times New Roman"/>
          <w:noProof/>
          <w:lang w:val="fr-CA"/>
        </w:rPr>
        <w:t xml:space="preserve">[1988] 1 A.C. 175 (C.P.); </w:t>
      </w:r>
      <w:r w:rsidRPr="000E14A8">
        <w:rPr>
          <w:rFonts w:cs="Times New Roman"/>
          <w:i/>
          <w:noProof/>
          <w:lang w:val="fr-CA"/>
        </w:rPr>
        <w:t>Edgeworth Construction Ltd. c. N.</w:t>
      </w:r>
      <w:r w:rsidR="00D5275F" w:rsidRPr="000E14A8">
        <w:rPr>
          <w:rFonts w:cs="Times New Roman"/>
          <w:i/>
          <w:noProof/>
          <w:lang w:val="fr-CA"/>
        </w:rPr>
        <w:t> </w:t>
      </w:r>
      <w:r w:rsidRPr="000E14A8">
        <w:rPr>
          <w:rFonts w:cs="Times New Roman"/>
          <w:i/>
          <w:noProof/>
          <w:lang w:val="fr-CA"/>
        </w:rPr>
        <w:t>D. Lea &amp; Associates Ltd.</w:t>
      </w:r>
      <w:r w:rsidRPr="000E14A8">
        <w:rPr>
          <w:rFonts w:cs="Times New Roman"/>
          <w:noProof/>
          <w:lang w:val="fr-CA"/>
        </w:rPr>
        <w:t>, [1993] 3 R.C.S. 206, p. 218). Ce n</w:t>
      </w:r>
      <w:r>
        <w:rPr>
          <w:rFonts w:cs="Times New Roman"/>
          <w:noProof/>
          <w:lang w:val="fr-CA"/>
        </w:rPr>
        <w:t>’</w:t>
      </w:r>
      <w:r w:rsidRPr="000E14A8">
        <w:rPr>
          <w:rFonts w:cs="Times New Roman"/>
          <w:noProof/>
          <w:lang w:val="fr-CA"/>
        </w:rPr>
        <w:t>est qu</w:t>
      </w:r>
      <w:r>
        <w:rPr>
          <w:rFonts w:cs="Times New Roman"/>
          <w:noProof/>
          <w:lang w:val="fr-CA"/>
        </w:rPr>
        <w:t>’</w:t>
      </w:r>
      <w:r w:rsidRPr="000E14A8">
        <w:rPr>
          <w:rFonts w:cs="Times New Roman"/>
          <w:noProof/>
          <w:lang w:val="fr-CA"/>
        </w:rPr>
        <w:t>en de rares cas — tels les cas concernant des décisions de politique gouvernementale (</w:t>
      </w:r>
      <w:r w:rsidRPr="000E14A8">
        <w:rPr>
          <w:rFonts w:cs="Times New Roman"/>
          <w:i/>
          <w:noProof/>
          <w:lang w:val="fr-CA"/>
        </w:rPr>
        <w:t>Cooper</w:t>
      </w:r>
      <w:r w:rsidRPr="000E14A8">
        <w:rPr>
          <w:rFonts w:cs="Times New Roman"/>
          <w:noProof/>
          <w:lang w:val="fr-CA"/>
        </w:rPr>
        <w:t>, par. 38 et 53) ou des décisions prises par des organismes quasi judiciaires (</w:t>
      </w:r>
      <w:r w:rsidRPr="000E14A8">
        <w:rPr>
          <w:rFonts w:cs="Times New Roman"/>
          <w:i/>
          <w:noProof/>
          <w:lang w:val="fr-CA"/>
        </w:rPr>
        <w:t>ibid.</w:t>
      </w:r>
      <w:r w:rsidRPr="000E14A8">
        <w:rPr>
          <w:rFonts w:cs="Times New Roman"/>
          <w:noProof/>
          <w:lang w:val="fr-CA"/>
        </w:rPr>
        <w:t xml:space="preserve">, par. 52; </w:t>
      </w:r>
      <w:r w:rsidRPr="000E14A8">
        <w:rPr>
          <w:rFonts w:cs="Times New Roman"/>
          <w:i/>
          <w:noProof/>
          <w:lang w:val="fr-CA"/>
        </w:rPr>
        <w:t>Edwards</w:t>
      </w:r>
      <w:r w:rsidRPr="000E14A8">
        <w:rPr>
          <w:rFonts w:cs="Times New Roman"/>
          <w:noProof/>
          <w:lang w:val="fr-CA"/>
        </w:rPr>
        <w:t>, par. 19) — que le défendeur sera exonéré de responsabilité alors que sa négligence a causé un préjudice raisonnablement prévisible au demandeur, avec qui il a un lien étroit et direct. Eu égard à ce qui précède, l</w:t>
      </w:r>
      <w:r>
        <w:rPr>
          <w:rFonts w:cs="Times New Roman"/>
          <w:noProof/>
          <w:lang w:val="fr-CA"/>
        </w:rPr>
        <w:t>’</w:t>
      </w:r>
      <w:r w:rsidRPr="000E14A8">
        <w:rPr>
          <w:rFonts w:cs="Times New Roman"/>
          <w:noProof/>
          <w:lang w:val="fr-CA"/>
        </w:rPr>
        <w:t>étape à laquelle certains facteurs sont pris en considération dans le cadre d</w:t>
      </w:r>
      <w:r>
        <w:rPr>
          <w:rFonts w:cs="Times New Roman"/>
          <w:noProof/>
          <w:lang w:val="fr-CA"/>
        </w:rPr>
        <w:t>’</w:t>
      </w:r>
      <w:r w:rsidRPr="000E14A8">
        <w:rPr>
          <w:rFonts w:cs="Times New Roman"/>
          <w:noProof/>
          <w:lang w:val="fr-CA"/>
        </w:rPr>
        <w:t xml:space="preserve">analyse des arrêts </w:t>
      </w:r>
      <w:r w:rsidRPr="000E14A8">
        <w:rPr>
          <w:rFonts w:cs="Times New Roman"/>
          <w:i/>
          <w:noProof/>
          <w:lang w:val="fr-CA"/>
        </w:rPr>
        <w:t xml:space="preserve">Anns </w:t>
      </w:r>
      <w:r w:rsidRPr="000E14A8">
        <w:rPr>
          <w:rFonts w:cs="Times New Roman"/>
          <w:noProof/>
          <w:lang w:val="fr-CA"/>
        </w:rPr>
        <w:t>et</w:t>
      </w:r>
      <w:r w:rsidRPr="000E14A8">
        <w:rPr>
          <w:rFonts w:cs="Times New Roman"/>
          <w:i/>
          <w:noProof/>
          <w:lang w:val="fr-CA"/>
        </w:rPr>
        <w:t xml:space="preserve"> Cooper</w:t>
      </w:r>
      <w:r w:rsidRPr="000E14A8">
        <w:rPr>
          <w:rFonts w:cs="Times New Roman"/>
          <w:noProof/>
          <w:lang w:val="fr-CA"/>
        </w:rPr>
        <w:t xml:space="preserve"> revêt une importance. </w:t>
      </w:r>
    </w:p>
    <w:p w:rsidR="003A506E" w:rsidRPr="000E14A8" w:rsidRDefault="003A506E" w:rsidP="003A506E">
      <w:pPr>
        <w:pStyle w:val="ParaNoNdepar-AltN"/>
        <w:tabs>
          <w:tab w:val="clear" w:pos="1152"/>
          <w:tab w:val="left" w:pos="1166"/>
        </w:tabs>
        <w:rPr>
          <w:rFonts w:cs="Times New Roman"/>
          <w:noProof/>
          <w:lang w:val="fr-CA"/>
        </w:rPr>
      </w:pPr>
      <w:r w:rsidRPr="000E14A8">
        <w:rPr>
          <w:rFonts w:cs="Times New Roman"/>
          <w:noProof/>
          <w:lang w:val="fr-CA"/>
        </w:rPr>
        <w:t>En l</w:t>
      </w:r>
      <w:r>
        <w:rPr>
          <w:rFonts w:cs="Times New Roman"/>
          <w:noProof/>
          <w:lang w:val="fr-CA"/>
        </w:rPr>
        <w:t>’</w:t>
      </w:r>
      <w:r w:rsidRPr="000E14A8">
        <w:rPr>
          <w:rFonts w:cs="Times New Roman"/>
          <w:noProof/>
          <w:lang w:val="fr-CA"/>
        </w:rPr>
        <w:t xml:space="preserve">espèce, la Juge en chef conclut </w:t>
      </w:r>
      <w:r w:rsidRPr="000E14A8">
        <w:rPr>
          <w:rFonts w:cs="Times New Roman"/>
          <w:lang w:val="fr-CA"/>
        </w:rPr>
        <w:t>que s</w:t>
      </w:r>
      <w:r>
        <w:rPr>
          <w:rFonts w:cs="Times New Roman"/>
          <w:lang w:val="fr-CA"/>
        </w:rPr>
        <w:t>’</w:t>
      </w:r>
      <w:r w:rsidRPr="000E14A8">
        <w:rPr>
          <w:rFonts w:cs="Times New Roman"/>
          <w:lang w:val="fr-CA"/>
        </w:rPr>
        <w:t>il était nécessaire de passer à la deuxième étape du cadre d</w:t>
      </w:r>
      <w:r>
        <w:rPr>
          <w:rFonts w:cs="Times New Roman"/>
          <w:lang w:val="fr-CA"/>
        </w:rPr>
        <w:t>’</w:t>
      </w:r>
      <w:r w:rsidRPr="000E14A8">
        <w:rPr>
          <w:rFonts w:cs="Times New Roman"/>
          <w:lang w:val="fr-CA"/>
        </w:rPr>
        <w:t xml:space="preserve">analyse énoncé dans les arrêts </w:t>
      </w:r>
      <w:r w:rsidRPr="000E14A8">
        <w:rPr>
          <w:rFonts w:cs="Times New Roman"/>
          <w:i/>
          <w:lang w:val="fr-CA"/>
        </w:rPr>
        <w:t>Anns</w:t>
      </w:r>
      <w:r w:rsidRPr="000E14A8">
        <w:rPr>
          <w:rFonts w:cs="Times New Roman"/>
          <w:lang w:val="fr-CA"/>
        </w:rPr>
        <w:t xml:space="preserve"> et </w:t>
      </w:r>
      <w:r w:rsidRPr="000E14A8">
        <w:rPr>
          <w:rFonts w:cs="Times New Roman"/>
          <w:i/>
          <w:lang w:val="fr-CA"/>
        </w:rPr>
        <w:t>Cooper</w:t>
      </w:r>
      <w:r w:rsidRPr="000E14A8">
        <w:rPr>
          <w:rFonts w:cs="Times New Roman"/>
          <w:lang w:val="fr-CA"/>
        </w:rPr>
        <w:t>, elle exonérerait Deloitte de responsabilité en raison de la considération de politique résiduelle liée à l</w:t>
      </w:r>
      <w:r>
        <w:rPr>
          <w:rFonts w:cs="Times New Roman"/>
          <w:lang w:val="fr-CA"/>
        </w:rPr>
        <w:t>’</w:t>
      </w:r>
      <w:r w:rsidRPr="000E14A8">
        <w:rPr>
          <w:rFonts w:cs="Times New Roman"/>
          <w:lang w:val="fr-CA"/>
        </w:rPr>
        <w:t>indétermination (par. 166</w:t>
      </w:r>
      <w:r w:rsidRPr="000E14A8">
        <w:rPr>
          <w:rFonts w:cs="Times New Roman"/>
          <w:noProof/>
          <w:lang w:val="fr-CA"/>
        </w:rPr>
        <w:t>). Nous admettons que la responsabilité indéterminée peut, dans certains cas, constituer une considération de politique résiduelle légitime (</w:t>
      </w:r>
      <w:r w:rsidRPr="000E14A8">
        <w:rPr>
          <w:rFonts w:cs="Times New Roman"/>
          <w:i/>
          <w:noProof/>
          <w:lang w:val="fr-CA"/>
        </w:rPr>
        <w:t>Cooper</w:t>
      </w:r>
      <w:r w:rsidRPr="000E14A8">
        <w:rPr>
          <w:rFonts w:cs="Times New Roman"/>
          <w:noProof/>
          <w:lang w:val="fr-CA"/>
        </w:rPr>
        <w:t xml:space="preserve">, par. 37 et 54; </w:t>
      </w:r>
      <w:r w:rsidRPr="000E14A8">
        <w:rPr>
          <w:rFonts w:cs="Times New Roman"/>
          <w:i/>
          <w:noProof/>
          <w:lang w:val="fr-CA"/>
        </w:rPr>
        <w:t>Hercules</w:t>
      </w:r>
      <w:r w:rsidRPr="000E14A8">
        <w:rPr>
          <w:rFonts w:cs="Times New Roman"/>
          <w:noProof/>
          <w:lang w:val="fr-CA"/>
        </w:rPr>
        <w:t>, par. 31). Nous estimons toutefois qu</w:t>
      </w:r>
      <w:r>
        <w:rPr>
          <w:rFonts w:cs="Times New Roman"/>
          <w:noProof/>
          <w:lang w:val="fr-CA"/>
        </w:rPr>
        <w:t>’</w:t>
      </w:r>
      <w:r w:rsidRPr="000E14A8">
        <w:rPr>
          <w:rFonts w:cs="Times New Roman"/>
          <w:noProof/>
          <w:lang w:val="fr-CA"/>
        </w:rPr>
        <w:t xml:space="preserve">une préoccupation liée à la responsabilité indéterminée ne devrait que rarement, </w:t>
      </w:r>
      <w:r w:rsidRPr="000E14A8">
        <w:rPr>
          <w:rFonts w:cs="Times New Roman"/>
          <w:noProof/>
          <w:lang w:val="fr-CA"/>
        </w:rPr>
        <w:lastRenderedPageBreak/>
        <w:t>voire jamais, subsister après une analyse correcte du lien de proximité et de la prévisibilité (</w:t>
      </w:r>
      <w:r w:rsidRPr="000E14A8">
        <w:rPr>
          <w:rFonts w:cs="Times New Roman"/>
          <w:i/>
          <w:noProof/>
          <w:lang w:val="fr-CA"/>
        </w:rPr>
        <w:t>Saadati</w:t>
      </w:r>
      <w:r w:rsidRPr="000E14A8">
        <w:rPr>
          <w:rFonts w:cs="Times New Roman"/>
          <w:noProof/>
          <w:lang w:val="fr-CA"/>
        </w:rPr>
        <w:t xml:space="preserve">, par. 34; </w:t>
      </w:r>
      <w:r w:rsidRPr="000E14A8">
        <w:rPr>
          <w:rFonts w:cs="Times New Roman"/>
          <w:i/>
          <w:noProof/>
          <w:lang w:val="fr-CA"/>
        </w:rPr>
        <w:t>Fullowka</w:t>
      </w:r>
      <w:r w:rsidRPr="000E14A8">
        <w:rPr>
          <w:rFonts w:cs="Times New Roman"/>
          <w:noProof/>
          <w:lang w:val="fr-CA"/>
        </w:rPr>
        <w:t>, par. 70). L</w:t>
      </w:r>
      <w:r>
        <w:rPr>
          <w:rFonts w:cs="Times New Roman"/>
          <w:noProof/>
          <w:lang w:val="fr-CA"/>
        </w:rPr>
        <w:t>’</w:t>
      </w:r>
      <w:r w:rsidRPr="000E14A8">
        <w:rPr>
          <w:rFonts w:cs="Times New Roman"/>
          <w:noProof/>
          <w:lang w:val="fr-CA"/>
        </w:rPr>
        <w:t>application rigoureuse du premier volet du cadre d</w:t>
      </w:r>
      <w:r>
        <w:rPr>
          <w:rFonts w:cs="Times New Roman"/>
          <w:noProof/>
          <w:lang w:val="fr-CA"/>
        </w:rPr>
        <w:t>’</w:t>
      </w:r>
      <w:r w:rsidRPr="000E14A8">
        <w:rPr>
          <w:rFonts w:cs="Times New Roman"/>
          <w:noProof/>
          <w:lang w:val="fr-CA"/>
        </w:rPr>
        <w:t xml:space="preserve">analyse des arrêts </w:t>
      </w:r>
      <w:r w:rsidRPr="000E14A8">
        <w:rPr>
          <w:rFonts w:cs="Times New Roman"/>
          <w:i/>
          <w:noProof/>
          <w:lang w:val="fr-CA"/>
        </w:rPr>
        <w:t xml:space="preserve">Anns </w:t>
      </w:r>
      <w:r w:rsidRPr="000E14A8">
        <w:rPr>
          <w:rFonts w:cs="Times New Roman"/>
          <w:noProof/>
          <w:lang w:val="fr-CA"/>
        </w:rPr>
        <w:t>et</w:t>
      </w:r>
      <w:r w:rsidRPr="000E14A8">
        <w:rPr>
          <w:rFonts w:cs="Times New Roman"/>
          <w:i/>
          <w:noProof/>
          <w:lang w:val="fr-CA"/>
        </w:rPr>
        <w:t xml:space="preserve"> Cooper</w:t>
      </w:r>
      <w:r w:rsidRPr="000E14A8">
        <w:rPr>
          <w:rFonts w:cs="Times New Roman"/>
          <w:noProof/>
          <w:lang w:val="fr-CA"/>
        </w:rPr>
        <w:t xml:space="preserve"> devrait dans presque tous les cas écarter les préoccupations liées à la responsabilité indéterminée. C</w:t>
      </w:r>
      <w:r>
        <w:rPr>
          <w:rFonts w:cs="Times New Roman"/>
          <w:noProof/>
          <w:lang w:val="fr-CA"/>
        </w:rPr>
        <w:t>’</w:t>
      </w:r>
      <w:r w:rsidRPr="000E14A8">
        <w:rPr>
          <w:rFonts w:cs="Times New Roman"/>
          <w:noProof/>
          <w:lang w:val="fr-CA"/>
        </w:rPr>
        <w:t>est ce qui ressort d</w:t>
      </w:r>
      <w:r>
        <w:rPr>
          <w:rFonts w:cs="Times New Roman"/>
          <w:noProof/>
          <w:lang w:val="fr-CA"/>
        </w:rPr>
        <w:t>’</w:t>
      </w:r>
      <w:r w:rsidRPr="000E14A8">
        <w:rPr>
          <w:rFonts w:cs="Times New Roman"/>
          <w:noProof/>
          <w:lang w:val="fr-CA"/>
        </w:rPr>
        <w:t>une appréciation de ce que signifie en réalité le concept de responsabilité indéterminée.</w:t>
      </w:r>
    </w:p>
    <w:p w:rsidR="003A506E" w:rsidRPr="000E14A8" w:rsidRDefault="003A506E" w:rsidP="003A506E">
      <w:pPr>
        <w:pStyle w:val="ParaNoNdepar-AltN"/>
        <w:rPr>
          <w:rFonts w:cs="Times New Roman"/>
          <w:noProof/>
          <w:lang w:val="fr-CA"/>
        </w:rPr>
      </w:pPr>
      <w:r w:rsidRPr="000E14A8">
        <w:rPr>
          <w:rFonts w:cs="Times New Roman"/>
          <w:noProof/>
          <w:lang w:val="fr-CA"/>
        </w:rPr>
        <w:t xml:space="preserve">La responsabilité indéterminée est une responsabilité de </w:t>
      </w:r>
      <w:r w:rsidRPr="000E14A8">
        <w:rPr>
          <w:rFonts w:cs="Times New Roman"/>
          <w:i/>
          <w:noProof/>
          <w:lang w:val="fr-CA"/>
        </w:rPr>
        <w:t>nature</w:t>
      </w:r>
      <w:r w:rsidRPr="000E14A8">
        <w:rPr>
          <w:rFonts w:cs="Times New Roman"/>
          <w:noProof/>
          <w:lang w:val="fr-CA"/>
        </w:rPr>
        <w:t xml:space="preserve"> particulière et non d</w:t>
      </w:r>
      <w:r>
        <w:rPr>
          <w:rFonts w:cs="Times New Roman"/>
          <w:noProof/>
          <w:lang w:val="fr-CA"/>
        </w:rPr>
        <w:t>’</w:t>
      </w:r>
      <w:r w:rsidRPr="000E14A8">
        <w:rPr>
          <w:rFonts w:cs="Times New Roman"/>
          <w:noProof/>
          <w:lang w:val="fr-CA"/>
        </w:rPr>
        <w:t xml:space="preserve">une </w:t>
      </w:r>
      <w:r w:rsidRPr="000E14A8">
        <w:rPr>
          <w:rFonts w:cs="Times New Roman"/>
          <w:i/>
          <w:noProof/>
          <w:lang w:val="fr-CA"/>
        </w:rPr>
        <w:t>importance</w:t>
      </w:r>
      <w:r w:rsidRPr="000E14A8">
        <w:rPr>
          <w:rFonts w:cs="Times New Roman"/>
          <w:noProof/>
          <w:lang w:val="fr-CA"/>
        </w:rPr>
        <w:t xml:space="preserve"> particulière. Plus précisément, il ne faut pas confondre responsabilité indéterminée et lourde responsabilité (</w:t>
      </w:r>
      <w:r w:rsidRPr="000E14A8">
        <w:rPr>
          <w:rFonts w:cs="Times New Roman"/>
          <w:i/>
          <w:noProof/>
          <w:lang w:val="fr-CA"/>
        </w:rPr>
        <w:t>Gross c. Great</w:t>
      </w:r>
      <w:r w:rsidRPr="000E14A8">
        <w:rPr>
          <w:rFonts w:cs="Times New Roman"/>
          <w:i/>
          <w:noProof/>
          <w:lang w:val="fr-CA"/>
        </w:rPr>
        <w:noBreakHyphen/>
        <w:t>West Life Assurance Co.</w:t>
      </w:r>
      <w:r w:rsidRPr="000E14A8">
        <w:rPr>
          <w:rFonts w:cs="Times New Roman"/>
          <w:noProof/>
          <w:lang w:val="fr-CA"/>
        </w:rPr>
        <w:t>, 2002 ABCA 37, 299 A.R. 142, par. 38). Certaines activités — comme le pilotage d</w:t>
      </w:r>
      <w:r>
        <w:rPr>
          <w:rFonts w:cs="Times New Roman"/>
          <w:noProof/>
          <w:lang w:val="fr-CA"/>
        </w:rPr>
        <w:t>’</w:t>
      </w:r>
      <w:r w:rsidRPr="000E14A8">
        <w:rPr>
          <w:rFonts w:cs="Times New Roman"/>
          <w:noProof/>
          <w:lang w:val="fr-CA"/>
        </w:rPr>
        <w:t>aéronefs commerciaux, la fabrication de médicaments pharmaceutiques ou la vérification de grandes sociétés — peuvent fort bien faire naître une lourde responsabilité. Or, une telle responsabilité tient à la nature des engagements pris par le défendeur et aux préjudices, graves mais raisonnablement prévisibles, qu</w:t>
      </w:r>
      <w:r>
        <w:rPr>
          <w:rFonts w:cs="Times New Roman"/>
          <w:noProof/>
          <w:lang w:val="fr-CA"/>
        </w:rPr>
        <w:t>’</w:t>
      </w:r>
      <w:r w:rsidRPr="000E14A8">
        <w:rPr>
          <w:rFonts w:cs="Times New Roman"/>
          <w:noProof/>
          <w:lang w:val="fr-CA"/>
        </w:rPr>
        <w:t>une exécution négligente risque de causer. C</w:t>
      </w:r>
      <w:r>
        <w:rPr>
          <w:rFonts w:cs="Times New Roman"/>
          <w:noProof/>
          <w:lang w:val="fr-CA"/>
        </w:rPr>
        <w:t>’</w:t>
      </w:r>
      <w:r w:rsidRPr="000E14A8">
        <w:rPr>
          <w:rFonts w:cs="Times New Roman"/>
          <w:noProof/>
          <w:lang w:val="fr-CA"/>
        </w:rPr>
        <w:t>est pour cette raison que ces engagements à risque élevé donnent habituellement lieu à des indemnités importantes. C</w:t>
      </w:r>
      <w:r>
        <w:rPr>
          <w:rFonts w:cs="Times New Roman"/>
          <w:noProof/>
          <w:lang w:val="fr-CA"/>
        </w:rPr>
        <w:t>’</w:t>
      </w:r>
      <w:r w:rsidRPr="000E14A8">
        <w:rPr>
          <w:rFonts w:cs="Times New Roman"/>
          <w:noProof/>
          <w:lang w:val="fr-CA"/>
        </w:rPr>
        <w:t>est aussi pour cette raison que les clauses contractuelles limitant la responsabilité peuvent souvent s</w:t>
      </w:r>
      <w:r>
        <w:rPr>
          <w:rFonts w:cs="Times New Roman"/>
          <w:noProof/>
          <w:lang w:val="fr-CA"/>
        </w:rPr>
        <w:t>’</w:t>
      </w:r>
      <w:r w:rsidRPr="000E14A8">
        <w:rPr>
          <w:rFonts w:cs="Times New Roman"/>
          <w:noProof/>
          <w:lang w:val="fr-CA"/>
        </w:rPr>
        <w:t>avérer nécessaires (</w:t>
      </w:r>
      <w:r w:rsidRPr="000E14A8">
        <w:rPr>
          <w:rFonts w:cs="Times New Roman"/>
          <w:i/>
          <w:noProof/>
          <w:lang w:val="fr-CA"/>
        </w:rPr>
        <w:t>Edgeworth</w:t>
      </w:r>
      <w:r w:rsidRPr="000E14A8">
        <w:rPr>
          <w:rFonts w:cs="Times New Roman"/>
          <w:noProof/>
          <w:lang w:val="fr-CA"/>
        </w:rPr>
        <w:t>, p. 220). Par contre, la responsabilité découlant de ces engagements « à risque élevé » ne peut être qualifiée d</w:t>
      </w:r>
      <w:r>
        <w:rPr>
          <w:rFonts w:cs="Times New Roman"/>
          <w:noProof/>
          <w:lang w:val="fr-CA"/>
        </w:rPr>
        <w:t>’</w:t>
      </w:r>
      <w:r w:rsidRPr="000E14A8">
        <w:rPr>
          <w:rFonts w:cs="Times New Roman"/>
          <w:noProof/>
          <w:lang w:val="fr-CA"/>
        </w:rPr>
        <w:t>« indéterminée » que s</w:t>
      </w:r>
      <w:r>
        <w:rPr>
          <w:rFonts w:cs="Times New Roman"/>
          <w:noProof/>
          <w:lang w:val="fr-CA"/>
        </w:rPr>
        <w:t>’</w:t>
      </w:r>
      <w:r w:rsidRPr="000E14A8">
        <w:rPr>
          <w:rFonts w:cs="Times New Roman"/>
          <w:noProof/>
          <w:lang w:val="fr-CA"/>
        </w:rPr>
        <w:t>il est impossible d</w:t>
      </w:r>
      <w:r>
        <w:rPr>
          <w:rFonts w:cs="Times New Roman"/>
          <w:noProof/>
          <w:lang w:val="fr-CA"/>
        </w:rPr>
        <w:t>’</w:t>
      </w:r>
      <w:r w:rsidRPr="000E14A8">
        <w:rPr>
          <w:rFonts w:cs="Times New Roman"/>
          <w:noProof/>
          <w:lang w:val="fr-CA"/>
        </w:rPr>
        <w:t>en établir la portée (</w:t>
      </w:r>
      <w:r w:rsidRPr="000E14A8">
        <w:rPr>
          <w:rFonts w:cs="Times New Roman"/>
          <w:i/>
          <w:noProof/>
          <w:lang w:val="fr-CA"/>
        </w:rPr>
        <w:t>Black</w:t>
      </w:r>
      <w:r>
        <w:rPr>
          <w:rFonts w:cs="Times New Roman"/>
          <w:i/>
          <w:noProof/>
          <w:lang w:val="fr-CA"/>
        </w:rPr>
        <w:t>’</w:t>
      </w:r>
      <w:r w:rsidRPr="000E14A8">
        <w:rPr>
          <w:rFonts w:cs="Times New Roman"/>
          <w:i/>
          <w:noProof/>
          <w:lang w:val="fr-CA"/>
        </w:rPr>
        <w:t>s Law Dictionary</w:t>
      </w:r>
      <w:r w:rsidRPr="000E14A8">
        <w:rPr>
          <w:rFonts w:cs="Times New Roman"/>
          <w:noProof/>
          <w:lang w:val="fr-CA"/>
        </w:rPr>
        <w:t xml:space="preserve"> (10</w:t>
      </w:r>
      <w:r w:rsidRPr="000E14A8">
        <w:rPr>
          <w:rFonts w:cs="Times New Roman"/>
          <w:noProof/>
          <w:vertAlign w:val="superscript"/>
          <w:lang w:val="fr-CA"/>
        </w:rPr>
        <w:t>e</w:t>
      </w:r>
      <w:r w:rsidRPr="000E14A8">
        <w:rPr>
          <w:rFonts w:cs="Times New Roman"/>
          <w:noProof/>
          <w:lang w:val="fr-CA"/>
        </w:rPr>
        <w:t> éd. 2014), le mot « </w:t>
      </w:r>
      <w:r w:rsidRPr="000E14A8">
        <w:rPr>
          <w:rFonts w:cs="Times New Roman"/>
          <w:i/>
          <w:noProof/>
          <w:lang w:val="fr-CA"/>
        </w:rPr>
        <w:t>indeterminate</w:t>
      </w:r>
      <w:r w:rsidRPr="000E14A8">
        <w:rPr>
          <w:rFonts w:cs="Times New Roman"/>
          <w:noProof/>
          <w:lang w:val="fr-CA"/>
        </w:rPr>
        <w:t xml:space="preserve"> »). Autrement dit, la responsabilité est réellement « indéterminée » si </w:t>
      </w:r>
      <w:r w:rsidRPr="000E14A8">
        <w:rPr>
          <w:rFonts w:cs="Times New Roman"/>
          <w:smallCaps/>
          <w:noProof/>
          <w:lang w:val="fr-CA"/>
        </w:rPr>
        <w:t>[traduction]</w:t>
      </w:r>
      <w:r w:rsidRPr="000E14A8">
        <w:rPr>
          <w:rFonts w:cs="Times New Roman"/>
          <w:noProof/>
          <w:lang w:val="fr-CA"/>
        </w:rPr>
        <w:t xml:space="preserve"> « les sources de droit reconnues et leurs méthodes d</w:t>
      </w:r>
      <w:r>
        <w:rPr>
          <w:rFonts w:cs="Times New Roman"/>
          <w:noProof/>
          <w:lang w:val="fr-CA"/>
        </w:rPr>
        <w:t>’</w:t>
      </w:r>
      <w:r w:rsidRPr="000E14A8">
        <w:rPr>
          <w:rFonts w:cs="Times New Roman"/>
          <w:noProof/>
          <w:lang w:val="fr-CA"/>
        </w:rPr>
        <w:t>application reconnues, telles la déduction et l</w:t>
      </w:r>
      <w:r>
        <w:rPr>
          <w:rFonts w:cs="Times New Roman"/>
          <w:noProof/>
          <w:lang w:val="fr-CA"/>
        </w:rPr>
        <w:t>’</w:t>
      </w:r>
      <w:r w:rsidR="00D5275F">
        <w:rPr>
          <w:rFonts w:cs="Times New Roman"/>
          <w:noProof/>
          <w:lang w:val="fr-CA"/>
        </w:rPr>
        <w:t xml:space="preserve">analogie </w:t>
      </w:r>
      <w:r w:rsidR="00D5275F" w:rsidRPr="000E14A8">
        <w:rPr>
          <w:rFonts w:cs="Times New Roman"/>
          <w:noProof/>
          <w:lang w:val="fr-CA"/>
        </w:rPr>
        <w:t>[. . .]</w:t>
      </w:r>
      <w:r w:rsidRPr="000E14A8">
        <w:rPr>
          <w:rFonts w:cs="Times New Roman"/>
          <w:noProof/>
          <w:lang w:val="fr-CA"/>
        </w:rPr>
        <w:t xml:space="preserve"> ne permettent pas de trancher la question » (M. V. Tushnet, « Defending the Indeterminacy Thesis », dans B. Bix, dir., </w:t>
      </w:r>
      <w:r w:rsidRPr="000E14A8">
        <w:rPr>
          <w:rFonts w:cs="Times New Roman"/>
          <w:i/>
          <w:noProof/>
          <w:lang w:val="fr-CA"/>
        </w:rPr>
        <w:lastRenderedPageBreak/>
        <w:t>Analyzing Law : New Essays in Legal Theory</w:t>
      </w:r>
      <w:r w:rsidRPr="000E14A8">
        <w:rPr>
          <w:rFonts w:cs="Times New Roman"/>
          <w:noProof/>
          <w:lang w:val="fr-CA"/>
        </w:rPr>
        <w:t xml:space="preserve"> (1998), 223, </w:t>
      </w:r>
      <w:r w:rsidR="00D5275F">
        <w:rPr>
          <w:rFonts w:cs="Times New Roman"/>
          <w:noProof/>
          <w:lang w:val="fr-CA"/>
        </w:rPr>
        <w:t xml:space="preserve">p. </w:t>
      </w:r>
      <w:r w:rsidRPr="000E14A8">
        <w:rPr>
          <w:rFonts w:cs="Times New Roman"/>
          <w:noProof/>
          <w:lang w:val="fr-CA"/>
        </w:rPr>
        <w:t>224</w:t>
      </w:r>
      <w:r w:rsidRPr="000E14A8">
        <w:rPr>
          <w:rFonts w:cs="Times New Roman"/>
          <w:noProof/>
          <w:lang w:val="fr-CA"/>
        </w:rPr>
        <w:noBreakHyphen/>
        <w:t>225). Plus précisément, il y a trois aspects pertinents à ce qu</w:t>
      </w:r>
      <w:r>
        <w:rPr>
          <w:rFonts w:cs="Times New Roman"/>
          <w:noProof/>
          <w:lang w:val="fr-CA"/>
        </w:rPr>
        <w:t>’</w:t>
      </w:r>
      <w:r w:rsidRPr="000E14A8">
        <w:rPr>
          <w:rFonts w:cs="Times New Roman"/>
          <w:noProof/>
          <w:lang w:val="fr-CA"/>
        </w:rPr>
        <w:t>on appelle l</w:t>
      </w:r>
      <w:r>
        <w:rPr>
          <w:rFonts w:cs="Times New Roman"/>
          <w:noProof/>
          <w:lang w:val="fr-CA"/>
        </w:rPr>
        <w:t>’</w:t>
      </w:r>
      <w:r w:rsidRPr="000E14A8">
        <w:rPr>
          <w:rFonts w:cs="Times New Roman"/>
          <w:noProof/>
          <w:lang w:val="fr-CA"/>
        </w:rPr>
        <w:t>« indétermination » dans ces cas : (1) l</w:t>
      </w:r>
      <w:r>
        <w:rPr>
          <w:rFonts w:cs="Times New Roman"/>
          <w:noProof/>
          <w:lang w:val="fr-CA"/>
        </w:rPr>
        <w:t>’</w:t>
      </w:r>
      <w:r w:rsidRPr="000E14A8">
        <w:rPr>
          <w:rFonts w:cs="Times New Roman"/>
          <w:noProof/>
          <w:lang w:val="fr-CA"/>
        </w:rPr>
        <w:t>indétermination quant à la valeur (« responsabilité pour un montant indéterminé »), (2) l</w:t>
      </w:r>
      <w:r>
        <w:rPr>
          <w:rFonts w:cs="Times New Roman"/>
          <w:noProof/>
          <w:lang w:val="fr-CA"/>
        </w:rPr>
        <w:t>’</w:t>
      </w:r>
      <w:r w:rsidRPr="000E14A8">
        <w:rPr>
          <w:rFonts w:cs="Times New Roman"/>
          <w:noProof/>
          <w:lang w:val="fr-CA"/>
        </w:rPr>
        <w:t>indétermination temporelle (« responsabilité [. . .] pour un temps indéterminé »), et (3) l</w:t>
      </w:r>
      <w:r>
        <w:rPr>
          <w:rFonts w:cs="Times New Roman"/>
          <w:noProof/>
          <w:lang w:val="fr-CA"/>
        </w:rPr>
        <w:t>’</w:t>
      </w:r>
      <w:r w:rsidRPr="000E14A8">
        <w:rPr>
          <w:rFonts w:cs="Times New Roman"/>
          <w:noProof/>
          <w:lang w:val="fr-CA"/>
        </w:rPr>
        <w:t>indétermination quant au demandeur (« responsabilité [. . .] à l</w:t>
      </w:r>
      <w:r>
        <w:rPr>
          <w:rFonts w:cs="Times New Roman"/>
          <w:noProof/>
          <w:lang w:val="fr-CA"/>
        </w:rPr>
        <w:t>’</w:t>
      </w:r>
      <w:r w:rsidRPr="000E14A8">
        <w:rPr>
          <w:rFonts w:cs="Times New Roman"/>
          <w:noProof/>
          <w:lang w:val="fr-CA"/>
        </w:rPr>
        <w:t>égard d</w:t>
      </w:r>
      <w:r>
        <w:rPr>
          <w:rFonts w:cs="Times New Roman"/>
          <w:noProof/>
          <w:lang w:val="fr-CA"/>
        </w:rPr>
        <w:t>’</w:t>
      </w:r>
      <w:r w:rsidRPr="000E14A8">
        <w:rPr>
          <w:rFonts w:cs="Times New Roman"/>
          <w:noProof/>
          <w:lang w:val="fr-CA"/>
        </w:rPr>
        <w:t xml:space="preserve">une catégorie indéterminée » de demandeurs): </w:t>
      </w:r>
      <w:r w:rsidRPr="000E14A8">
        <w:rPr>
          <w:rFonts w:cs="Times New Roman"/>
          <w:i/>
          <w:noProof/>
          <w:lang w:val="fr-CA"/>
        </w:rPr>
        <w:t>Hercules</w:t>
      </w:r>
      <w:r w:rsidRPr="000E14A8">
        <w:rPr>
          <w:rFonts w:cs="Times New Roman"/>
          <w:noProof/>
          <w:lang w:val="fr-CA"/>
        </w:rPr>
        <w:t xml:space="preserve">, par. 31, citant </w:t>
      </w:r>
      <w:r w:rsidRPr="000E14A8">
        <w:rPr>
          <w:rFonts w:cs="Times New Roman"/>
          <w:i/>
          <w:noProof/>
          <w:lang w:val="fr-CA"/>
        </w:rPr>
        <w:t>Ultramares</w:t>
      </w:r>
      <w:r w:rsidRPr="000E14A8">
        <w:rPr>
          <w:rFonts w:cs="Times New Roman"/>
          <w:noProof/>
          <w:lang w:val="fr-CA"/>
        </w:rPr>
        <w:t>, p. 444. Il va sans dire que, dans le cas d</w:t>
      </w:r>
      <w:r>
        <w:rPr>
          <w:rFonts w:cs="Times New Roman"/>
          <w:noProof/>
          <w:lang w:val="fr-CA"/>
        </w:rPr>
        <w:t>’</w:t>
      </w:r>
      <w:r w:rsidRPr="000E14A8">
        <w:rPr>
          <w:rFonts w:cs="Times New Roman"/>
          <w:noProof/>
          <w:lang w:val="fr-CA"/>
        </w:rPr>
        <w:t>une demande indéterminée quant à la valeur, au temps et aux demandeurs, les outils juridiques dont nous disposons ne permettent pas de déterminer le montant des dommages</w:t>
      </w:r>
      <w:r w:rsidRPr="000E14A8">
        <w:rPr>
          <w:rFonts w:cs="Times New Roman"/>
          <w:noProof/>
          <w:lang w:val="fr-CA"/>
        </w:rPr>
        <w:noBreakHyphen/>
        <w:t>intérêts à accorder pour les préjudices illimités qui découleront d</w:t>
      </w:r>
      <w:r>
        <w:rPr>
          <w:rFonts w:cs="Times New Roman"/>
          <w:noProof/>
          <w:lang w:val="fr-CA"/>
        </w:rPr>
        <w:t>’</w:t>
      </w:r>
      <w:r w:rsidRPr="000E14A8">
        <w:rPr>
          <w:rFonts w:cs="Times New Roman"/>
          <w:noProof/>
          <w:lang w:val="fr-CA"/>
        </w:rPr>
        <w:t>une telle demande.</w:t>
      </w:r>
    </w:p>
    <w:p w:rsidR="003A506E" w:rsidRPr="000E14A8" w:rsidRDefault="003A506E" w:rsidP="003A506E">
      <w:pPr>
        <w:pStyle w:val="ParaNoNdepar-AltN"/>
        <w:rPr>
          <w:rFonts w:cs="Times New Roman"/>
          <w:noProof/>
          <w:lang w:val="fr-CA"/>
        </w:rPr>
      </w:pPr>
      <w:r w:rsidRPr="000E14A8">
        <w:rPr>
          <w:rFonts w:cs="Times New Roman"/>
          <w:noProof/>
          <w:lang w:val="fr-CA"/>
        </w:rPr>
        <w:t>Cela dit, la responsabilité dite indéterminée saurait très difficilement résister à une analyse rigoureuse du lien de proximité et de la prévisibilité au premier volet du cadre d</w:t>
      </w:r>
      <w:r>
        <w:rPr>
          <w:rFonts w:cs="Times New Roman"/>
          <w:noProof/>
          <w:lang w:val="fr-CA"/>
        </w:rPr>
        <w:t>’</w:t>
      </w:r>
      <w:r w:rsidRPr="000E14A8">
        <w:rPr>
          <w:rFonts w:cs="Times New Roman"/>
          <w:noProof/>
          <w:lang w:val="fr-CA"/>
        </w:rPr>
        <w:t>analyse établi dans</w:t>
      </w:r>
      <w:r w:rsidRPr="000E14A8">
        <w:rPr>
          <w:rFonts w:cs="Times New Roman"/>
          <w:i/>
          <w:noProof/>
          <w:lang w:val="fr-CA"/>
        </w:rPr>
        <w:t xml:space="preserve"> </w:t>
      </w:r>
      <w:r w:rsidRPr="000E14A8">
        <w:rPr>
          <w:rFonts w:cs="Times New Roman"/>
          <w:noProof/>
          <w:lang w:val="fr-CA"/>
        </w:rPr>
        <w:t xml:space="preserve">les arrêts </w:t>
      </w:r>
      <w:r w:rsidRPr="000E14A8">
        <w:rPr>
          <w:rFonts w:cs="Times New Roman"/>
          <w:i/>
          <w:noProof/>
          <w:lang w:val="fr-CA"/>
        </w:rPr>
        <w:t xml:space="preserve">Anns </w:t>
      </w:r>
      <w:r w:rsidRPr="000E14A8">
        <w:rPr>
          <w:rFonts w:cs="Times New Roman"/>
          <w:noProof/>
          <w:lang w:val="fr-CA"/>
        </w:rPr>
        <w:t>et</w:t>
      </w:r>
      <w:r w:rsidRPr="000E14A8">
        <w:rPr>
          <w:rFonts w:cs="Times New Roman"/>
          <w:i/>
          <w:noProof/>
          <w:lang w:val="fr-CA"/>
        </w:rPr>
        <w:t xml:space="preserve"> Cooper</w:t>
      </w:r>
      <w:r w:rsidRPr="000E14A8">
        <w:rPr>
          <w:rFonts w:cs="Times New Roman"/>
          <w:noProof/>
          <w:lang w:val="fr-CA"/>
        </w:rPr>
        <w:t>. Dans le cas d</w:t>
      </w:r>
      <w:r>
        <w:rPr>
          <w:rFonts w:cs="Times New Roman"/>
          <w:noProof/>
          <w:lang w:val="fr-CA"/>
        </w:rPr>
        <w:t>’</w:t>
      </w:r>
      <w:r w:rsidRPr="000E14A8">
        <w:rPr>
          <w:rFonts w:cs="Times New Roman"/>
          <w:noProof/>
          <w:lang w:val="fr-CA"/>
        </w:rPr>
        <w:t>une déclaration inexacte faite par négligence ou de la prestation négligente d</w:t>
      </w:r>
      <w:r>
        <w:rPr>
          <w:rFonts w:cs="Times New Roman"/>
          <w:noProof/>
          <w:lang w:val="fr-CA"/>
        </w:rPr>
        <w:t>’</w:t>
      </w:r>
      <w:r w:rsidRPr="000E14A8">
        <w:rPr>
          <w:rFonts w:cs="Times New Roman"/>
          <w:noProof/>
          <w:lang w:val="fr-CA"/>
        </w:rPr>
        <w:t>un service, l</w:t>
      </w:r>
      <w:r>
        <w:rPr>
          <w:rFonts w:cs="Times New Roman"/>
          <w:noProof/>
          <w:lang w:val="fr-CA"/>
        </w:rPr>
        <w:t>’</w:t>
      </w:r>
      <w:r w:rsidRPr="000E14A8">
        <w:rPr>
          <w:rFonts w:cs="Times New Roman"/>
          <w:noProof/>
          <w:lang w:val="fr-CA"/>
        </w:rPr>
        <w:t>analyse requise du lien de proximité couvrira l</w:t>
      </w:r>
      <w:r>
        <w:rPr>
          <w:rFonts w:cs="Times New Roman"/>
          <w:noProof/>
          <w:lang w:val="fr-CA"/>
        </w:rPr>
        <w:t>’</w:t>
      </w:r>
      <w:r w:rsidRPr="000E14A8">
        <w:rPr>
          <w:rFonts w:cs="Times New Roman"/>
          <w:noProof/>
          <w:lang w:val="fr-CA"/>
        </w:rPr>
        <w:t xml:space="preserve">indétermination relative au demandeur parce que la catégorie de demandeurs est </w:t>
      </w:r>
      <w:r w:rsidRPr="000E14A8">
        <w:rPr>
          <w:rFonts w:cs="Times New Roman"/>
          <w:i/>
          <w:noProof/>
          <w:lang w:val="fr-CA"/>
        </w:rPr>
        <w:t>déterminée</w:t>
      </w:r>
      <w:r w:rsidRPr="000E14A8">
        <w:rPr>
          <w:rFonts w:cs="Times New Roman"/>
          <w:noProof/>
          <w:lang w:val="fr-CA"/>
        </w:rPr>
        <w:t>; seules sont visées les personnes envers qui le défendeur s</w:t>
      </w:r>
      <w:r>
        <w:rPr>
          <w:rFonts w:cs="Times New Roman"/>
          <w:noProof/>
          <w:lang w:val="fr-CA"/>
        </w:rPr>
        <w:t>’</w:t>
      </w:r>
      <w:r w:rsidRPr="000E14A8">
        <w:rPr>
          <w:rFonts w:cs="Times New Roman"/>
          <w:noProof/>
          <w:lang w:val="fr-CA"/>
        </w:rPr>
        <w:t>est engagé. De la même manière, la prévisibilité, qui est circonscrite par l</w:t>
      </w:r>
      <w:r>
        <w:rPr>
          <w:rFonts w:cs="Times New Roman"/>
          <w:noProof/>
          <w:lang w:val="fr-CA"/>
        </w:rPr>
        <w:t>’</w:t>
      </w:r>
      <w:r w:rsidRPr="000E14A8">
        <w:rPr>
          <w:rFonts w:cs="Times New Roman"/>
          <w:noProof/>
          <w:lang w:val="fr-CA"/>
        </w:rPr>
        <w:t>objet de l</w:t>
      </w:r>
      <w:r>
        <w:rPr>
          <w:rFonts w:cs="Times New Roman"/>
          <w:noProof/>
          <w:lang w:val="fr-CA"/>
        </w:rPr>
        <w:t>’</w:t>
      </w:r>
      <w:r w:rsidRPr="000E14A8">
        <w:rPr>
          <w:rFonts w:cs="Times New Roman"/>
          <w:noProof/>
          <w:lang w:val="fr-CA"/>
        </w:rPr>
        <w:t>engagement en question, devrait écarter les craintes relatives à l</w:t>
      </w:r>
      <w:r>
        <w:rPr>
          <w:rFonts w:cs="Times New Roman"/>
          <w:noProof/>
          <w:lang w:val="fr-CA"/>
        </w:rPr>
        <w:t>’</w:t>
      </w:r>
      <w:r w:rsidRPr="000E14A8">
        <w:rPr>
          <w:rFonts w:cs="Times New Roman"/>
          <w:noProof/>
          <w:lang w:val="fr-CA"/>
        </w:rPr>
        <w:t>indétermination quant à la valeur, parce que la valeur des dommages</w:t>
      </w:r>
      <w:r w:rsidRPr="000E14A8">
        <w:rPr>
          <w:rFonts w:cs="Times New Roman"/>
          <w:noProof/>
          <w:lang w:val="fr-CA"/>
        </w:rPr>
        <w:noBreakHyphen/>
        <w:t>intérêts est limitée — c.</w:t>
      </w:r>
      <w:r w:rsidRPr="000E14A8">
        <w:rPr>
          <w:rFonts w:cs="Times New Roman"/>
          <w:noProof/>
          <w:lang w:val="fr-CA"/>
        </w:rPr>
        <w:noBreakHyphen/>
        <w:t>à</w:t>
      </w:r>
      <w:r w:rsidRPr="000E14A8">
        <w:rPr>
          <w:rFonts w:cs="Times New Roman"/>
          <w:noProof/>
          <w:lang w:val="fr-CA"/>
        </w:rPr>
        <w:noBreakHyphen/>
        <w:t xml:space="preserve">d. </w:t>
      </w:r>
      <w:r w:rsidRPr="000E14A8">
        <w:rPr>
          <w:rFonts w:cs="Times New Roman"/>
          <w:i/>
          <w:noProof/>
          <w:lang w:val="fr-CA"/>
        </w:rPr>
        <w:t xml:space="preserve">déterminée </w:t>
      </w:r>
      <w:r w:rsidRPr="000E14A8">
        <w:rPr>
          <w:rFonts w:cs="Times New Roman"/>
          <w:noProof/>
          <w:lang w:val="fr-CA"/>
        </w:rPr>
        <w:t>— par le caractère raisonnablement prévisible du préjudice (</w:t>
      </w:r>
      <w:r w:rsidRPr="000E14A8">
        <w:rPr>
          <w:rFonts w:cs="Times New Roman"/>
          <w:i/>
          <w:noProof/>
          <w:lang w:val="fr-CA"/>
        </w:rPr>
        <w:t>Hercules</w:t>
      </w:r>
      <w:r w:rsidRPr="000E14A8">
        <w:rPr>
          <w:rFonts w:cs="Times New Roman"/>
          <w:noProof/>
          <w:lang w:val="fr-CA"/>
        </w:rPr>
        <w:t>, par. 32). Enfin, l</w:t>
      </w:r>
      <w:r>
        <w:rPr>
          <w:rFonts w:cs="Times New Roman"/>
          <w:noProof/>
          <w:lang w:val="fr-CA"/>
        </w:rPr>
        <w:t>’</w:t>
      </w:r>
      <w:r w:rsidRPr="000E14A8">
        <w:rPr>
          <w:rFonts w:cs="Times New Roman"/>
          <w:noProof/>
          <w:lang w:val="fr-CA"/>
        </w:rPr>
        <w:t>analyse du lien de proximité et de la prévisibilité devrait porter sur l</w:t>
      </w:r>
      <w:r>
        <w:rPr>
          <w:rFonts w:cs="Times New Roman"/>
          <w:noProof/>
          <w:lang w:val="fr-CA"/>
        </w:rPr>
        <w:t>’</w:t>
      </w:r>
      <w:r w:rsidRPr="000E14A8">
        <w:rPr>
          <w:rFonts w:cs="Times New Roman"/>
          <w:noProof/>
          <w:lang w:val="fr-CA"/>
        </w:rPr>
        <w:t>indétermination temporelle étant donné que, plus la période au cours de laquelle le préjudice aura été subi est longue, moins il est probable que ce préjudice soit visé par l</w:t>
      </w:r>
      <w:r>
        <w:rPr>
          <w:rFonts w:cs="Times New Roman"/>
          <w:noProof/>
          <w:lang w:val="fr-CA"/>
        </w:rPr>
        <w:t>’</w:t>
      </w:r>
      <w:r w:rsidRPr="000E14A8">
        <w:rPr>
          <w:rFonts w:cs="Times New Roman"/>
          <w:noProof/>
          <w:lang w:val="fr-CA"/>
        </w:rPr>
        <w:t>engagement du défendeur et qu</w:t>
      </w:r>
      <w:r>
        <w:rPr>
          <w:rFonts w:cs="Times New Roman"/>
          <w:noProof/>
          <w:lang w:val="fr-CA"/>
        </w:rPr>
        <w:t>’</w:t>
      </w:r>
      <w:r w:rsidRPr="000E14A8">
        <w:rPr>
          <w:rFonts w:cs="Times New Roman"/>
          <w:noProof/>
          <w:lang w:val="fr-CA"/>
        </w:rPr>
        <w:t xml:space="preserve">il </w:t>
      </w:r>
      <w:r w:rsidRPr="000E14A8">
        <w:rPr>
          <w:rFonts w:cs="Times New Roman"/>
          <w:noProof/>
          <w:lang w:val="fr-CA"/>
        </w:rPr>
        <w:lastRenderedPageBreak/>
        <w:t>soit prévisible, dans son ensemble. D</w:t>
      </w:r>
      <w:r>
        <w:rPr>
          <w:rFonts w:cs="Times New Roman"/>
          <w:noProof/>
          <w:lang w:val="fr-CA"/>
        </w:rPr>
        <w:t>’</w:t>
      </w:r>
      <w:r w:rsidRPr="000E14A8">
        <w:rPr>
          <w:rFonts w:cs="Times New Roman"/>
          <w:noProof/>
          <w:lang w:val="fr-CA"/>
        </w:rPr>
        <w:t>où la déclaration du juge en chef Cardozo dans l</w:t>
      </w:r>
      <w:r>
        <w:rPr>
          <w:rFonts w:cs="Times New Roman"/>
          <w:noProof/>
          <w:lang w:val="fr-CA"/>
        </w:rPr>
        <w:t>’</w:t>
      </w:r>
      <w:r w:rsidRPr="000E14A8">
        <w:rPr>
          <w:rFonts w:cs="Times New Roman"/>
          <w:noProof/>
          <w:lang w:val="fr-CA"/>
        </w:rPr>
        <w:t xml:space="preserve">arrêt </w:t>
      </w:r>
      <w:r w:rsidRPr="000E14A8">
        <w:rPr>
          <w:rFonts w:cs="Times New Roman"/>
          <w:i/>
          <w:noProof/>
          <w:lang w:val="fr-CA"/>
        </w:rPr>
        <w:t xml:space="preserve">Ultramares </w:t>
      </w:r>
      <w:r w:rsidRPr="000E14A8">
        <w:rPr>
          <w:rFonts w:cs="Times New Roman"/>
          <w:noProof/>
          <w:lang w:val="fr-CA"/>
        </w:rPr>
        <w:t>fréquemment cité, à savoir que l</w:t>
      </w:r>
      <w:r>
        <w:rPr>
          <w:rFonts w:cs="Times New Roman"/>
          <w:noProof/>
          <w:lang w:val="fr-CA"/>
        </w:rPr>
        <w:t>’</w:t>
      </w:r>
      <w:r w:rsidRPr="000E14A8">
        <w:rPr>
          <w:rFonts w:cs="Times New Roman"/>
          <w:noProof/>
          <w:lang w:val="fr-CA"/>
        </w:rPr>
        <w:t>obligation qui donne lieu à l</w:t>
      </w:r>
      <w:r>
        <w:rPr>
          <w:rFonts w:cs="Times New Roman"/>
          <w:noProof/>
          <w:lang w:val="fr-CA"/>
        </w:rPr>
        <w:t>’</w:t>
      </w:r>
      <w:r w:rsidRPr="000E14A8">
        <w:rPr>
          <w:rFonts w:cs="Times New Roman"/>
          <w:noProof/>
          <w:lang w:val="fr-CA"/>
        </w:rPr>
        <w:t xml:space="preserve">indétermination </w:t>
      </w:r>
      <w:r w:rsidRPr="000E14A8">
        <w:rPr>
          <w:rFonts w:cs="Times New Roman"/>
          <w:smallCaps/>
          <w:noProof/>
          <w:lang w:val="fr-CA"/>
        </w:rPr>
        <w:t>[traduction]</w:t>
      </w:r>
      <w:r w:rsidRPr="000E14A8">
        <w:rPr>
          <w:rFonts w:cs="Times New Roman"/>
          <w:noProof/>
          <w:lang w:val="fr-CA"/>
        </w:rPr>
        <w:t xml:space="preserve"> « fait naître un doute quant à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une erreur dans la reconnaissance d</w:t>
      </w:r>
      <w:r>
        <w:rPr>
          <w:rFonts w:cs="Times New Roman"/>
          <w:noProof/>
          <w:lang w:val="fr-CA"/>
        </w:rPr>
        <w:t>’</w:t>
      </w:r>
      <w:r w:rsidRPr="000E14A8">
        <w:rPr>
          <w:rFonts w:cs="Times New Roman"/>
          <w:noProof/>
          <w:lang w:val="fr-CA"/>
        </w:rPr>
        <w:t>une obligation qui expose à toutes ces conséquences » (p. 444; voir également Weinrib, p. 231; Beever, p. 275). En d</w:t>
      </w:r>
      <w:r>
        <w:rPr>
          <w:rFonts w:cs="Times New Roman"/>
          <w:noProof/>
          <w:lang w:val="fr-CA"/>
        </w:rPr>
        <w:t>’</w:t>
      </w:r>
      <w:r w:rsidRPr="000E14A8">
        <w:rPr>
          <w:rFonts w:cs="Times New Roman"/>
          <w:noProof/>
          <w:lang w:val="fr-CA"/>
        </w:rPr>
        <w:t>autres termes, une conclusion de responsabilité indéterminée tirée à l</w:t>
      </w:r>
      <w:r>
        <w:rPr>
          <w:rFonts w:cs="Times New Roman"/>
          <w:noProof/>
          <w:lang w:val="fr-CA"/>
        </w:rPr>
        <w:t>’</w:t>
      </w:r>
      <w:r w:rsidRPr="000E14A8">
        <w:rPr>
          <w:rFonts w:cs="Times New Roman"/>
          <w:noProof/>
          <w:lang w:val="fr-CA"/>
        </w:rPr>
        <w:t>étape de l</w:t>
      </w:r>
      <w:r>
        <w:rPr>
          <w:rFonts w:cs="Times New Roman"/>
          <w:noProof/>
          <w:lang w:val="fr-CA"/>
        </w:rPr>
        <w:t>’</w:t>
      </w:r>
      <w:r w:rsidRPr="000E14A8">
        <w:rPr>
          <w:rFonts w:cs="Times New Roman"/>
          <w:noProof/>
          <w:lang w:val="fr-CA"/>
        </w:rPr>
        <w:t>établissement d</w:t>
      </w:r>
      <w:r>
        <w:rPr>
          <w:rFonts w:cs="Times New Roman"/>
          <w:noProof/>
          <w:lang w:val="fr-CA"/>
        </w:rPr>
        <w:t>’</w:t>
      </w:r>
      <w:r w:rsidRPr="000E14A8">
        <w:rPr>
          <w:rFonts w:cs="Times New Roman"/>
          <w:noProof/>
          <w:lang w:val="fr-CA"/>
        </w:rPr>
        <w:t>un préjudice tend fortement à indiquer qu</w:t>
      </w:r>
      <w:r>
        <w:rPr>
          <w:rFonts w:cs="Times New Roman"/>
          <w:noProof/>
          <w:lang w:val="fr-CA"/>
        </w:rPr>
        <w:t>’</w:t>
      </w:r>
      <w:r w:rsidRPr="000E14A8">
        <w:rPr>
          <w:rFonts w:cs="Times New Roman"/>
          <w:noProof/>
          <w:lang w:val="fr-CA"/>
        </w:rPr>
        <w:t>une erreur de droit a été commise à l</w:t>
      </w:r>
      <w:r>
        <w:rPr>
          <w:rFonts w:cs="Times New Roman"/>
          <w:noProof/>
          <w:lang w:val="fr-CA"/>
        </w:rPr>
        <w:t>’</w:t>
      </w:r>
      <w:r w:rsidRPr="000E14A8">
        <w:rPr>
          <w:rFonts w:cs="Times New Roman"/>
          <w:noProof/>
          <w:lang w:val="fr-CA"/>
        </w:rPr>
        <w:t>étape de l</w:t>
      </w:r>
      <w:r>
        <w:rPr>
          <w:rFonts w:cs="Times New Roman"/>
          <w:noProof/>
          <w:lang w:val="fr-CA"/>
        </w:rPr>
        <w:t>’</w:t>
      </w:r>
      <w:r w:rsidRPr="000E14A8">
        <w:rPr>
          <w:rFonts w:cs="Times New Roman"/>
          <w:noProof/>
          <w:lang w:val="fr-CA"/>
        </w:rPr>
        <w:t>établissement d</w:t>
      </w:r>
      <w:r>
        <w:rPr>
          <w:rFonts w:cs="Times New Roman"/>
          <w:noProof/>
          <w:lang w:val="fr-CA"/>
        </w:rPr>
        <w:t>’</w:t>
      </w:r>
      <w:r w:rsidRPr="000E14A8">
        <w:rPr>
          <w:rFonts w:cs="Times New Roman"/>
          <w:noProof/>
          <w:lang w:val="fr-CA"/>
        </w:rPr>
        <w:t>une obligation, puisque la reconnaissance d</w:t>
      </w:r>
      <w:r>
        <w:rPr>
          <w:rFonts w:cs="Times New Roman"/>
          <w:noProof/>
          <w:lang w:val="fr-CA"/>
        </w:rPr>
        <w:t>’</w:t>
      </w:r>
      <w:r w:rsidRPr="000E14A8">
        <w:rPr>
          <w:rFonts w:cs="Times New Roman"/>
          <w:noProof/>
          <w:lang w:val="fr-CA"/>
        </w:rPr>
        <w:t xml:space="preserve">une obligation </w:t>
      </w:r>
      <w:r w:rsidRPr="000E14A8">
        <w:rPr>
          <w:rFonts w:cs="Times New Roman"/>
          <w:i/>
          <w:noProof/>
          <w:lang w:val="fr-CA"/>
        </w:rPr>
        <w:t>prima facie</w:t>
      </w:r>
      <w:r w:rsidRPr="000E14A8">
        <w:rPr>
          <w:rFonts w:cs="Times New Roman"/>
          <w:noProof/>
          <w:lang w:val="fr-CA"/>
        </w:rPr>
        <w:t xml:space="preserve"> de portée indéterminée sous</w:t>
      </w:r>
      <w:r w:rsidRPr="000E14A8">
        <w:rPr>
          <w:rFonts w:cs="Times New Roman"/>
          <w:noProof/>
          <w:lang w:val="fr-CA"/>
        </w:rPr>
        <w:noBreakHyphen/>
        <w:t>tend la conclusion de responsabilité indéterminée.</w:t>
      </w:r>
    </w:p>
    <w:p w:rsidR="003A506E" w:rsidRPr="000E14A8" w:rsidRDefault="003A506E" w:rsidP="003A506E">
      <w:pPr>
        <w:pStyle w:val="ParaNoNdepar-AltN"/>
        <w:rPr>
          <w:rFonts w:cs="Times New Roman"/>
          <w:noProof/>
          <w:lang w:val="fr-CA"/>
        </w:rPr>
      </w:pPr>
      <w:r w:rsidRPr="000E14A8">
        <w:rPr>
          <w:rFonts w:cs="Times New Roman"/>
          <w:noProof/>
          <w:lang w:val="fr-CA"/>
        </w:rPr>
        <w:t>Nous tenons à ajouter une dernière remarque. La responsabilité indéterminée n</w:t>
      </w:r>
      <w:r>
        <w:rPr>
          <w:rFonts w:cs="Times New Roman"/>
          <w:noProof/>
          <w:lang w:val="fr-CA"/>
        </w:rPr>
        <w:t>’</w:t>
      </w:r>
      <w:r w:rsidRPr="000E14A8">
        <w:rPr>
          <w:rFonts w:cs="Times New Roman"/>
          <w:noProof/>
          <w:lang w:val="fr-CA"/>
        </w:rPr>
        <w:t>est rien de plus qu</w:t>
      </w:r>
      <w:r>
        <w:rPr>
          <w:rFonts w:cs="Times New Roman"/>
          <w:noProof/>
          <w:lang w:val="fr-CA"/>
        </w:rPr>
        <w:t>’</w:t>
      </w:r>
      <w:r w:rsidRPr="000E14A8">
        <w:rPr>
          <w:rFonts w:cs="Times New Roman"/>
          <w:noProof/>
          <w:lang w:val="fr-CA"/>
        </w:rPr>
        <w:t>une considération de politique résiduelle. La reconnaissance de l</w:t>
      </w:r>
      <w:r>
        <w:rPr>
          <w:rFonts w:cs="Times New Roman"/>
          <w:noProof/>
          <w:lang w:val="fr-CA"/>
        </w:rPr>
        <w:t>’</w:t>
      </w:r>
      <w:r w:rsidRPr="000E14A8">
        <w:rPr>
          <w:rFonts w:cs="Times New Roman"/>
          <w:noProof/>
          <w:lang w:val="fr-CA"/>
        </w:rPr>
        <w:t>indétermination n</w:t>
      </w:r>
      <w:r>
        <w:rPr>
          <w:rFonts w:cs="Times New Roman"/>
          <w:noProof/>
          <w:lang w:val="fr-CA"/>
        </w:rPr>
        <w:t>’</w:t>
      </w:r>
      <w:r w:rsidRPr="000E14A8">
        <w:rPr>
          <w:rFonts w:cs="Times New Roman"/>
          <w:noProof/>
          <w:lang w:val="fr-CA"/>
        </w:rPr>
        <w:t>a pas à trancher la question de la responsabilité dans tous les cas. Aborder l</w:t>
      </w:r>
      <w:r>
        <w:rPr>
          <w:rFonts w:cs="Times New Roman"/>
          <w:noProof/>
          <w:lang w:val="fr-CA"/>
        </w:rPr>
        <w:t>’</w:t>
      </w:r>
      <w:r w:rsidRPr="000E14A8">
        <w:rPr>
          <w:rFonts w:cs="Times New Roman"/>
          <w:noProof/>
          <w:lang w:val="fr-CA"/>
        </w:rPr>
        <w:t xml:space="preserve">analyse autrement ferait de la responsabilité indéterminée — une </w:t>
      </w:r>
      <w:r w:rsidRPr="000E14A8">
        <w:rPr>
          <w:rFonts w:cs="Times New Roman"/>
          <w:i/>
          <w:noProof/>
          <w:lang w:val="fr-CA"/>
        </w:rPr>
        <w:t>considération</w:t>
      </w:r>
      <w:r w:rsidRPr="000E14A8">
        <w:rPr>
          <w:rFonts w:cs="Times New Roman"/>
          <w:noProof/>
          <w:lang w:val="fr-CA"/>
        </w:rPr>
        <w:t xml:space="preserve"> de politique générale — un </w:t>
      </w:r>
      <w:r w:rsidRPr="000E14A8">
        <w:rPr>
          <w:rFonts w:cs="Times New Roman"/>
          <w:i/>
          <w:noProof/>
          <w:lang w:val="fr-CA"/>
        </w:rPr>
        <w:t>veto</w:t>
      </w:r>
      <w:r w:rsidRPr="000E14A8">
        <w:rPr>
          <w:rFonts w:cs="Times New Roman"/>
          <w:noProof/>
          <w:lang w:val="fr-CA"/>
        </w:rPr>
        <w:t xml:space="preserve"> de politique générale. Bien que l</w:t>
      </w:r>
      <w:r>
        <w:rPr>
          <w:rFonts w:cs="Times New Roman"/>
          <w:noProof/>
          <w:lang w:val="fr-CA"/>
        </w:rPr>
        <w:t>’</w:t>
      </w:r>
      <w:r w:rsidRPr="000E14A8">
        <w:rPr>
          <w:rFonts w:cs="Times New Roman"/>
          <w:noProof/>
          <w:lang w:val="fr-CA"/>
        </w:rPr>
        <w:t>indétermination puisse jouer contre la responsabilité, d</w:t>
      </w:r>
      <w:r>
        <w:rPr>
          <w:rFonts w:cs="Times New Roman"/>
          <w:noProof/>
          <w:lang w:val="fr-CA"/>
        </w:rPr>
        <w:t>’</w:t>
      </w:r>
      <w:r w:rsidRPr="000E14A8">
        <w:rPr>
          <w:rFonts w:cs="Times New Roman"/>
          <w:noProof/>
          <w:lang w:val="fr-CA"/>
        </w:rPr>
        <w:t>autres considérations de politique générale — par exemple, les marges de profit énormes dont bénéficient souvent les acteurs « qui prennent un risque élevé », ou la mesure dans laquelle ces acteurs assument volontairement le risque d</w:t>
      </w:r>
      <w:r>
        <w:rPr>
          <w:rFonts w:cs="Times New Roman"/>
          <w:noProof/>
          <w:lang w:val="fr-CA"/>
        </w:rPr>
        <w:t>’</w:t>
      </w:r>
      <w:r w:rsidRPr="000E14A8">
        <w:rPr>
          <w:rFonts w:cs="Times New Roman"/>
          <w:noProof/>
          <w:lang w:val="fr-CA"/>
        </w:rPr>
        <w:t>une responsabilité indéterminée — peuvent ultimement justifier le maintien de cette responsabilité, malgré son caractère indéterminé (Beever, p. 293). En conséquence, même dans les rares cas où la responsabilité indéterminée résiste aux analyses du lien de proximité et de la prévisibilité, l</w:t>
      </w:r>
      <w:r>
        <w:rPr>
          <w:rFonts w:cs="Times New Roman"/>
          <w:noProof/>
          <w:lang w:val="fr-CA"/>
        </w:rPr>
        <w:t>’</w:t>
      </w:r>
      <w:r w:rsidRPr="000E14A8">
        <w:rPr>
          <w:rFonts w:cs="Times New Roman"/>
          <w:noProof/>
          <w:lang w:val="fr-CA"/>
        </w:rPr>
        <w:t>indétermination ne primera pas nécessairement d</w:t>
      </w:r>
      <w:r>
        <w:rPr>
          <w:rFonts w:cs="Times New Roman"/>
          <w:noProof/>
          <w:lang w:val="fr-CA"/>
        </w:rPr>
        <w:t>’</w:t>
      </w:r>
      <w:r w:rsidRPr="000E14A8">
        <w:rPr>
          <w:rFonts w:cs="Times New Roman"/>
          <w:noProof/>
          <w:lang w:val="fr-CA"/>
        </w:rPr>
        <w:t>emblée (</w:t>
      </w:r>
      <w:r w:rsidRPr="000E14A8">
        <w:rPr>
          <w:rFonts w:cs="Times New Roman"/>
          <w:i/>
          <w:noProof/>
          <w:lang w:val="fr-CA"/>
        </w:rPr>
        <w:t>Fullowka</w:t>
      </w:r>
      <w:r w:rsidRPr="000E14A8">
        <w:rPr>
          <w:rFonts w:cs="Times New Roman"/>
          <w:noProof/>
          <w:lang w:val="fr-CA"/>
        </w:rPr>
        <w:t>, par. 70). D</w:t>
      </w:r>
      <w:r>
        <w:rPr>
          <w:rFonts w:cs="Times New Roman"/>
          <w:noProof/>
          <w:lang w:val="fr-CA"/>
        </w:rPr>
        <w:t>’</w:t>
      </w:r>
      <w:r w:rsidRPr="000E14A8">
        <w:rPr>
          <w:rFonts w:cs="Times New Roman"/>
          <w:noProof/>
          <w:lang w:val="fr-CA"/>
        </w:rPr>
        <w:t>ailleurs, toute soi</w:t>
      </w:r>
      <w:r w:rsidRPr="000E14A8">
        <w:rPr>
          <w:rFonts w:cs="Times New Roman"/>
          <w:noProof/>
          <w:lang w:val="fr-CA"/>
        </w:rPr>
        <w:noBreakHyphen/>
        <w:t xml:space="preserve">disant « responsabilité </w:t>
      </w:r>
      <w:r w:rsidRPr="000E14A8">
        <w:rPr>
          <w:rFonts w:eastAsiaTheme="minorHAnsi" w:cs="Times New Roman"/>
          <w:noProof/>
          <w:lang w:val="fr-CA"/>
        </w:rPr>
        <w:t>indéterminée » qui résiste au premier volet du</w:t>
      </w:r>
      <w:r w:rsidRPr="000E14A8">
        <w:rPr>
          <w:rFonts w:eastAsiaTheme="minorHAnsi" w:cs="Times New Roman"/>
          <w:i/>
          <w:noProof/>
          <w:lang w:val="fr-CA"/>
        </w:rPr>
        <w:t xml:space="preserve"> </w:t>
      </w:r>
      <w:r w:rsidRPr="000E14A8">
        <w:rPr>
          <w:rFonts w:eastAsiaTheme="minorHAnsi" w:cs="Times New Roman"/>
          <w:noProof/>
          <w:lang w:val="fr-CA"/>
        </w:rPr>
        <w:t>cadre d</w:t>
      </w:r>
      <w:r>
        <w:rPr>
          <w:rFonts w:eastAsiaTheme="minorHAnsi" w:cs="Times New Roman"/>
          <w:noProof/>
          <w:lang w:val="fr-CA"/>
        </w:rPr>
        <w:t>’</w:t>
      </w:r>
      <w:r w:rsidRPr="000E14A8">
        <w:rPr>
          <w:rFonts w:eastAsiaTheme="minorHAnsi" w:cs="Times New Roman"/>
          <w:noProof/>
          <w:lang w:val="fr-CA"/>
        </w:rPr>
        <w:t xml:space="preserve">analyse des arrêts </w:t>
      </w:r>
      <w:r w:rsidRPr="000E14A8">
        <w:rPr>
          <w:rFonts w:eastAsiaTheme="minorHAnsi" w:cs="Times New Roman"/>
          <w:i/>
          <w:noProof/>
          <w:lang w:val="fr-CA"/>
        </w:rPr>
        <w:t xml:space="preserve">Anns </w:t>
      </w:r>
      <w:r w:rsidRPr="000E14A8">
        <w:rPr>
          <w:rFonts w:eastAsiaTheme="minorHAnsi" w:cs="Times New Roman"/>
          <w:noProof/>
          <w:lang w:val="fr-CA"/>
        </w:rPr>
        <w:t xml:space="preserve">et </w:t>
      </w:r>
      <w:r w:rsidRPr="000E14A8">
        <w:rPr>
          <w:rFonts w:eastAsiaTheme="minorHAnsi" w:cs="Times New Roman"/>
          <w:i/>
          <w:noProof/>
          <w:lang w:val="fr-CA"/>
        </w:rPr>
        <w:t>Cooper</w:t>
      </w:r>
      <w:r w:rsidRPr="000E14A8">
        <w:rPr>
          <w:rFonts w:eastAsiaTheme="minorHAnsi" w:cs="Times New Roman"/>
          <w:noProof/>
          <w:lang w:val="fr-CA"/>
        </w:rPr>
        <w:t xml:space="preserve"> découle probablement du </w:t>
      </w:r>
      <w:r w:rsidRPr="000E14A8">
        <w:rPr>
          <w:rFonts w:eastAsiaTheme="minorHAnsi" w:cs="Times New Roman"/>
          <w:noProof/>
          <w:lang w:val="fr-CA"/>
        </w:rPr>
        <w:lastRenderedPageBreak/>
        <w:t>risque contre lequel le défendeur s</w:t>
      </w:r>
      <w:r>
        <w:rPr>
          <w:rFonts w:eastAsiaTheme="minorHAnsi" w:cs="Times New Roman"/>
          <w:noProof/>
          <w:lang w:val="fr-CA"/>
        </w:rPr>
        <w:t>’</w:t>
      </w:r>
      <w:r w:rsidRPr="000E14A8">
        <w:rPr>
          <w:rFonts w:eastAsiaTheme="minorHAnsi" w:cs="Times New Roman"/>
          <w:noProof/>
          <w:lang w:val="fr-CA"/>
        </w:rPr>
        <w:t xml:space="preserve">est engagé volontairement à protéger le demandeur, et peut donc entraîner, de façon juste et équitable, une responsabilité. </w:t>
      </w:r>
    </w:p>
    <w:p w:rsidR="003A506E" w:rsidRPr="000E14A8" w:rsidRDefault="003A506E" w:rsidP="003A506E">
      <w:pPr>
        <w:pStyle w:val="Title2LevelTitre2Niveau"/>
        <w:rPr>
          <w:rFonts w:cs="Times New Roman"/>
          <w:noProof/>
          <w:lang w:val="fr-CA"/>
        </w:rPr>
      </w:pPr>
      <w:r w:rsidRPr="000E14A8">
        <w:rPr>
          <w:rFonts w:cs="Times New Roman"/>
          <w:noProof/>
          <w:lang w:val="fr-CA"/>
        </w:rPr>
        <w:t>Application</w:t>
      </w:r>
    </w:p>
    <w:p w:rsidR="003A506E" w:rsidRPr="000E14A8" w:rsidRDefault="003A506E" w:rsidP="003A506E">
      <w:pPr>
        <w:pStyle w:val="ParaNoNdepar-AltN"/>
        <w:tabs>
          <w:tab w:val="clear" w:pos="1152"/>
          <w:tab w:val="left" w:pos="1166"/>
        </w:tabs>
        <w:rPr>
          <w:rFonts w:cs="Times New Roman"/>
          <w:noProof/>
          <w:lang w:val="fr-CA"/>
        </w:rPr>
      </w:pPr>
      <w:r w:rsidRPr="000E14A8">
        <w:rPr>
          <w:rFonts w:cs="Times New Roman"/>
          <w:noProof/>
          <w:lang w:val="fr-CA"/>
        </w:rPr>
        <w:t>Maintenant que nous avons établi le cadre juridique permettant de déterminer la responsabilité dans le cas d</w:t>
      </w:r>
      <w:r>
        <w:rPr>
          <w:rFonts w:cs="Times New Roman"/>
          <w:noProof/>
          <w:lang w:val="fr-CA"/>
        </w:rPr>
        <w:t>’</w:t>
      </w:r>
      <w:r w:rsidRPr="000E14A8">
        <w:rPr>
          <w:rFonts w:cs="Times New Roman"/>
          <w:noProof/>
          <w:lang w:val="fr-CA"/>
        </w:rPr>
        <w:t>une perte purement économique découlant d</w:t>
      </w:r>
      <w:r>
        <w:rPr>
          <w:rFonts w:cs="Times New Roman"/>
          <w:noProof/>
          <w:lang w:val="fr-CA"/>
        </w:rPr>
        <w:t>’</w:t>
      </w:r>
      <w:r w:rsidRPr="000E14A8">
        <w:rPr>
          <w:rFonts w:cs="Times New Roman"/>
          <w:noProof/>
          <w:lang w:val="fr-CA"/>
        </w:rPr>
        <w:t>une déclaration inexacte faite par négligence ou de la prestation négligente d</w:t>
      </w:r>
      <w:r>
        <w:rPr>
          <w:rFonts w:cs="Times New Roman"/>
          <w:noProof/>
          <w:lang w:val="fr-CA"/>
        </w:rPr>
        <w:t>’</w:t>
      </w:r>
      <w:r w:rsidRPr="000E14A8">
        <w:rPr>
          <w:rFonts w:cs="Times New Roman"/>
          <w:noProof/>
          <w:lang w:val="fr-CA"/>
        </w:rPr>
        <w:t>un service, il nous faut maintenant l</w:t>
      </w:r>
      <w:r>
        <w:rPr>
          <w:rFonts w:cs="Times New Roman"/>
          <w:noProof/>
          <w:lang w:val="fr-CA"/>
        </w:rPr>
        <w:t>’</w:t>
      </w:r>
      <w:r w:rsidRPr="000E14A8">
        <w:rPr>
          <w:rFonts w:cs="Times New Roman"/>
          <w:noProof/>
          <w:lang w:val="fr-CA"/>
        </w:rPr>
        <w:t>appliquer aux deux conclusions de négligence formulées par le juge de première instance en l</w:t>
      </w:r>
      <w:r>
        <w:rPr>
          <w:rFonts w:cs="Times New Roman"/>
          <w:noProof/>
          <w:lang w:val="fr-CA"/>
        </w:rPr>
        <w:t>’</w:t>
      </w:r>
      <w:r w:rsidRPr="000E14A8">
        <w:rPr>
          <w:rFonts w:cs="Times New Roman"/>
          <w:noProof/>
          <w:lang w:val="fr-CA"/>
        </w:rPr>
        <w:t>espèce.</w:t>
      </w:r>
    </w:p>
    <w:p w:rsidR="003A506E" w:rsidRPr="000E14A8" w:rsidRDefault="003A506E" w:rsidP="003A506E">
      <w:pPr>
        <w:pStyle w:val="ParaNoNdepar-AltN"/>
        <w:rPr>
          <w:rFonts w:cs="Times New Roman"/>
          <w:lang w:val="fr-CA"/>
        </w:rPr>
      </w:pPr>
      <w:r w:rsidRPr="000E14A8">
        <w:rPr>
          <w:rFonts w:cs="Times New Roman"/>
          <w:lang w:val="fr-CA"/>
        </w:rPr>
        <w:t>En résumé, à la première étape du cadre d</w:t>
      </w:r>
      <w:r>
        <w:rPr>
          <w:rFonts w:cs="Times New Roman"/>
          <w:lang w:val="fr-CA"/>
        </w:rPr>
        <w:t>’</w:t>
      </w:r>
      <w:r w:rsidRPr="000E14A8">
        <w:rPr>
          <w:rFonts w:cs="Times New Roman"/>
          <w:lang w:val="fr-CA"/>
        </w:rPr>
        <w:t xml:space="preserve">analyse énoncé dans </w:t>
      </w:r>
      <w:r w:rsidRPr="000E14A8">
        <w:rPr>
          <w:rFonts w:cs="Times New Roman"/>
          <w:i/>
          <w:lang w:val="fr-CA"/>
        </w:rPr>
        <w:t>Anns</w:t>
      </w:r>
      <w:r w:rsidRPr="000E14A8">
        <w:rPr>
          <w:rFonts w:cs="Times New Roman"/>
          <w:lang w:val="fr-CA"/>
        </w:rPr>
        <w:t xml:space="preserve"> et </w:t>
      </w:r>
      <w:r w:rsidRPr="000E14A8">
        <w:rPr>
          <w:rFonts w:cs="Times New Roman"/>
          <w:i/>
          <w:lang w:val="fr-CA"/>
        </w:rPr>
        <w:t>Cooper</w:t>
      </w:r>
      <w:r w:rsidRPr="000E14A8">
        <w:rPr>
          <w:rFonts w:cs="Times New Roman"/>
          <w:lang w:val="fr-CA"/>
        </w:rPr>
        <w:t>, il y a obligation de diligence si la proximité et la prévisibilité raisonnable du préjudice sont établies. À notre avis, les engagements de Deloitte relativement à la sollicitation d</w:t>
      </w:r>
      <w:r>
        <w:rPr>
          <w:rFonts w:cs="Times New Roman"/>
          <w:lang w:val="fr-CA"/>
        </w:rPr>
        <w:t>’</w:t>
      </w:r>
      <w:r w:rsidRPr="000E14A8">
        <w:rPr>
          <w:rFonts w:cs="Times New Roman"/>
          <w:lang w:val="fr-CA"/>
        </w:rPr>
        <w:t>investissements, et le rapport de 1997, ont donné lieu à des liens de proximité. Les fins pour lesquelles ces engagements ont été pris déterminent quant à eux le type de préjudice qui était raisonnablement prévisible en raison du fait que Livent s</w:t>
      </w:r>
      <w:r>
        <w:rPr>
          <w:rFonts w:cs="Times New Roman"/>
          <w:lang w:val="fr-CA"/>
        </w:rPr>
        <w:t>’</w:t>
      </w:r>
      <w:r w:rsidRPr="000E14A8">
        <w:rPr>
          <w:rFonts w:cs="Times New Roman"/>
          <w:lang w:val="fr-CA"/>
        </w:rPr>
        <w:t>est fiée à ces engagements et ce rapport. Livent s</w:t>
      </w:r>
      <w:r>
        <w:rPr>
          <w:rFonts w:cs="Times New Roman"/>
          <w:lang w:val="fr-CA"/>
        </w:rPr>
        <w:t>’</w:t>
      </w:r>
      <w:r w:rsidRPr="000E14A8">
        <w:rPr>
          <w:rFonts w:cs="Times New Roman"/>
          <w:lang w:val="fr-CA"/>
        </w:rPr>
        <w:t>est fiée au rapport de 1997 aux fins pour lesquelles il a été préparé. Le préjudice qui en a résulté était donc raisonnablement prévisible. Toutefois, on ne peut dire la même chose pour l</w:t>
      </w:r>
      <w:r>
        <w:rPr>
          <w:rFonts w:cs="Times New Roman"/>
          <w:lang w:val="fr-CA"/>
        </w:rPr>
        <w:t>’</w:t>
      </w:r>
      <w:r w:rsidRPr="000E14A8">
        <w:rPr>
          <w:rFonts w:cs="Times New Roman"/>
          <w:lang w:val="fr-CA"/>
        </w:rPr>
        <w:t>aide entachée de négligence que Deloitte a fournie en ce qui a trait à la sollicitation d</w:t>
      </w:r>
      <w:r>
        <w:rPr>
          <w:rFonts w:cs="Times New Roman"/>
          <w:lang w:val="fr-CA"/>
        </w:rPr>
        <w:t>’</w:t>
      </w:r>
      <w:r w:rsidRPr="000E14A8">
        <w:rPr>
          <w:rFonts w:cs="Times New Roman"/>
          <w:lang w:val="fr-CA"/>
        </w:rPr>
        <w:t>investissements.</w:t>
      </w:r>
    </w:p>
    <w:p w:rsidR="003A506E" w:rsidRPr="000E14A8" w:rsidRDefault="003A506E" w:rsidP="003A506E">
      <w:pPr>
        <w:pStyle w:val="ParaNoNdepar-AltN"/>
        <w:rPr>
          <w:rFonts w:cs="Times New Roman"/>
          <w:lang w:val="fr-CA"/>
        </w:rPr>
      </w:pPr>
      <w:r w:rsidRPr="000E14A8">
        <w:rPr>
          <w:rFonts w:cs="Times New Roman"/>
          <w:lang w:val="fr-CA"/>
        </w:rPr>
        <w:t>À la deuxième étape du cadre d</w:t>
      </w:r>
      <w:r>
        <w:rPr>
          <w:rFonts w:cs="Times New Roman"/>
          <w:lang w:val="fr-CA"/>
        </w:rPr>
        <w:t>’</w:t>
      </w:r>
      <w:r w:rsidRPr="000E14A8">
        <w:rPr>
          <w:rFonts w:cs="Times New Roman"/>
          <w:lang w:val="fr-CA"/>
        </w:rPr>
        <w:t xml:space="preserve">analyse des arrêts </w:t>
      </w:r>
      <w:r w:rsidRPr="000E14A8">
        <w:rPr>
          <w:rFonts w:cs="Times New Roman"/>
          <w:i/>
          <w:lang w:val="fr-CA"/>
        </w:rPr>
        <w:t>Anns</w:t>
      </w:r>
      <w:r w:rsidRPr="000E14A8">
        <w:rPr>
          <w:rFonts w:cs="Times New Roman"/>
          <w:lang w:val="fr-CA"/>
        </w:rPr>
        <w:t xml:space="preserve"> et </w:t>
      </w:r>
      <w:r w:rsidRPr="000E14A8">
        <w:rPr>
          <w:rFonts w:cs="Times New Roman"/>
          <w:i/>
          <w:lang w:val="fr-CA"/>
        </w:rPr>
        <w:t>Cooper</w:t>
      </w:r>
      <w:r w:rsidRPr="000E14A8">
        <w:rPr>
          <w:rFonts w:cs="Times New Roman"/>
          <w:lang w:val="fr-CA"/>
        </w:rPr>
        <w:t>, des considérations de politique résiduelles peuvent écarter l</w:t>
      </w:r>
      <w:r>
        <w:rPr>
          <w:rFonts w:cs="Times New Roman"/>
          <w:lang w:val="fr-CA"/>
        </w:rPr>
        <w:t>’</w:t>
      </w:r>
      <w:r w:rsidRPr="000E14A8">
        <w:rPr>
          <w:rFonts w:cs="Times New Roman"/>
          <w:lang w:val="fr-CA"/>
        </w:rPr>
        <w:t xml:space="preserve">obligation de diligence de </w:t>
      </w:r>
      <w:r w:rsidRPr="000E14A8">
        <w:rPr>
          <w:rFonts w:cs="Times New Roman"/>
          <w:lang w:val="fr-CA"/>
        </w:rPr>
        <w:lastRenderedPageBreak/>
        <w:t>Deloitte. Cependant, aucune ne s</w:t>
      </w:r>
      <w:r>
        <w:rPr>
          <w:rFonts w:cs="Times New Roman"/>
          <w:lang w:val="fr-CA"/>
        </w:rPr>
        <w:t>’</w:t>
      </w:r>
      <w:r w:rsidRPr="000E14A8">
        <w:rPr>
          <w:rFonts w:cs="Times New Roman"/>
          <w:lang w:val="fr-CA"/>
        </w:rPr>
        <w:t xml:space="preserve">applique à la préparation entachée de négligence du rapport de 1997 par Deloitte. </w:t>
      </w:r>
    </w:p>
    <w:p w:rsidR="003A506E" w:rsidRPr="000E14A8" w:rsidRDefault="003A506E" w:rsidP="003A506E">
      <w:pPr>
        <w:pStyle w:val="Title3LevelTitre3Niveau"/>
        <w:rPr>
          <w:rFonts w:cs="Times New Roman"/>
          <w:noProof/>
          <w:lang w:val="fr-CA"/>
        </w:rPr>
      </w:pPr>
      <w:r w:rsidRPr="000E14A8">
        <w:rPr>
          <w:rFonts w:cs="Times New Roman"/>
          <w:lang w:val="fr-CA"/>
        </w:rPr>
        <w:t>Sollicitation d</w:t>
      </w:r>
      <w:r>
        <w:rPr>
          <w:rFonts w:cs="Times New Roman"/>
          <w:lang w:val="fr-CA"/>
        </w:rPr>
        <w:t>’</w:t>
      </w:r>
      <w:r w:rsidRPr="000E14A8">
        <w:rPr>
          <w:rFonts w:cs="Times New Roman"/>
          <w:lang w:val="fr-CA"/>
        </w:rPr>
        <w:t>investissements</w:t>
      </w:r>
      <w:r w:rsidRPr="000E14A8">
        <w:rPr>
          <w:rFonts w:cs="Times New Roman"/>
          <w:noProof/>
          <w:lang w:val="fr-CA"/>
        </w:rPr>
        <w:t xml:space="preserve"> (août à octobre 1997)</w:t>
      </w:r>
    </w:p>
    <w:p w:rsidR="003A506E" w:rsidRPr="000E14A8" w:rsidRDefault="003A506E" w:rsidP="003A506E">
      <w:pPr>
        <w:pStyle w:val="Title4LevelTitre4Niveau"/>
        <w:rPr>
          <w:rFonts w:cs="Times New Roman"/>
          <w:noProof/>
          <w:lang w:val="fr-CA"/>
        </w:rPr>
      </w:pPr>
      <w:r w:rsidRPr="000E14A8">
        <w:rPr>
          <w:rFonts w:cs="Times New Roman"/>
          <w:noProof/>
          <w:lang w:val="fr-CA"/>
        </w:rPr>
        <w:t>Obligation de diligence prima facie</w:t>
      </w:r>
    </w:p>
    <w:p w:rsidR="003A506E" w:rsidRPr="000E14A8" w:rsidRDefault="003A506E" w:rsidP="003A506E">
      <w:pPr>
        <w:pStyle w:val="Title5LevelTitre5Niveau"/>
        <w:rPr>
          <w:rFonts w:cs="Times New Roman"/>
          <w:noProof/>
          <w:lang w:val="fr-CA"/>
        </w:rPr>
      </w:pPr>
      <w:r w:rsidRPr="000E14A8">
        <w:rPr>
          <w:rFonts w:cs="Times New Roman"/>
          <w:noProof/>
          <w:lang w:val="fr-CA"/>
        </w:rPr>
        <w:t>Lien de proximité</w:t>
      </w:r>
    </w:p>
    <w:p w:rsidR="003A506E" w:rsidRPr="000E14A8" w:rsidRDefault="003A506E" w:rsidP="003A506E">
      <w:pPr>
        <w:pStyle w:val="ParaNoNdepar-AltN"/>
        <w:tabs>
          <w:tab w:val="clear" w:pos="1152"/>
          <w:tab w:val="left" w:pos="1166"/>
        </w:tabs>
        <w:rPr>
          <w:rFonts w:cs="Times New Roman"/>
          <w:noProof/>
          <w:lang w:val="fr-CA"/>
        </w:rPr>
      </w:pPr>
      <w:r w:rsidRPr="000E14A8">
        <w:rPr>
          <w:rFonts w:cs="Times New Roman"/>
          <w:noProof/>
          <w:lang w:val="fr-CA"/>
        </w:rPr>
        <w:t>L</w:t>
      </w:r>
      <w:r>
        <w:rPr>
          <w:rFonts w:cs="Times New Roman"/>
          <w:noProof/>
          <w:lang w:val="fr-CA"/>
        </w:rPr>
        <w:t>’</w:t>
      </w:r>
      <w:r w:rsidRPr="000E14A8">
        <w:rPr>
          <w:rFonts w:cs="Times New Roman"/>
          <w:noProof/>
          <w:lang w:val="fr-CA"/>
        </w:rPr>
        <w:t>analyse relative au lien de proximité consiste d</w:t>
      </w:r>
      <w:r>
        <w:rPr>
          <w:rFonts w:cs="Times New Roman"/>
          <w:noProof/>
          <w:lang w:val="fr-CA"/>
        </w:rPr>
        <w:t>’</w:t>
      </w:r>
      <w:r w:rsidRPr="000E14A8">
        <w:rPr>
          <w:rFonts w:cs="Times New Roman"/>
          <w:noProof/>
          <w:lang w:val="fr-CA"/>
        </w:rPr>
        <w:t>abord à se demander si le lien en question appartient, ou s</w:t>
      </w:r>
      <w:r>
        <w:rPr>
          <w:rFonts w:cs="Times New Roman"/>
          <w:noProof/>
          <w:lang w:val="fr-CA"/>
        </w:rPr>
        <w:t>’</w:t>
      </w:r>
      <w:r w:rsidRPr="000E14A8">
        <w:rPr>
          <w:rFonts w:cs="Times New Roman"/>
          <w:noProof/>
          <w:lang w:val="fr-CA"/>
        </w:rPr>
        <w:t>il est analogue, à l</w:t>
      </w:r>
      <w:r>
        <w:rPr>
          <w:rFonts w:cs="Times New Roman"/>
          <w:noProof/>
          <w:lang w:val="fr-CA"/>
        </w:rPr>
        <w:t>’</w:t>
      </w:r>
      <w:r w:rsidRPr="000E14A8">
        <w:rPr>
          <w:rFonts w:cs="Times New Roman"/>
          <w:noProof/>
          <w:lang w:val="fr-CA"/>
        </w:rPr>
        <w:t>une des catégories de liens qui ont déjà été reconnues (</w:t>
      </w:r>
      <w:r w:rsidRPr="000E14A8">
        <w:rPr>
          <w:rFonts w:cs="Times New Roman"/>
          <w:i/>
          <w:noProof/>
          <w:lang w:val="fr-CA"/>
        </w:rPr>
        <w:t>Cooper</w:t>
      </w:r>
      <w:r w:rsidRPr="000E14A8">
        <w:rPr>
          <w:rFonts w:cs="Times New Roman"/>
          <w:noProof/>
          <w:lang w:val="fr-CA"/>
        </w:rPr>
        <w:t xml:space="preserve">, par. 36; </w:t>
      </w:r>
      <w:r w:rsidRPr="000E14A8">
        <w:rPr>
          <w:rFonts w:cs="Times New Roman"/>
          <w:i/>
          <w:noProof/>
          <w:lang w:val="fr-CA"/>
        </w:rPr>
        <w:t>Edwards</w:t>
      </w:r>
      <w:r w:rsidRPr="000E14A8">
        <w:rPr>
          <w:rFonts w:cs="Times New Roman"/>
          <w:noProof/>
          <w:lang w:val="fr-CA"/>
        </w:rPr>
        <w:t>, par. 9).</w:t>
      </w:r>
    </w:p>
    <w:p w:rsidR="003A506E" w:rsidRPr="000E14A8" w:rsidRDefault="003A506E" w:rsidP="003A506E">
      <w:pPr>
        <w:pStyle w:val="ParaNoNdepar-AltN"/>
        <w:tabs>
          <w:tab w:val="clear" w:pos="1152"/>
          <w:tab w:val="left" w:pos="1166"/>
        </w:tabs>
        <w:rPr>
          <w:rFonts w:cs="Times New Roman"/>
          <w:noProof/>
          <w:lang w:val="fr-CA"/>
        </w:rPr>
      </w:pPr>
      <w:r w:rsidRPr="000E14A8">
        <w:rPr>
          <w:rFonts w:cs="Times New Roman"/>
          <w:noProof/>
          <w:lang w:val="fr-CA"/>
        </w:rPr>
        <w:t xml:space="preserve">Dans </w:t>
      </w:r>
      <w:r w:rsidRPr="000E14A8">
        <w:rPr>
          <w:rFonts w:cs="Times New Roman"/>
          <w:i/>
          <w:noProof/>
          <w:lang w:val="fr-CA"/>
        </w:rPr>
        <w:t>Hercules</w:t>
      </w:r>
      <w:r w:rsidRPr="000E14A8">
        <w:rPr>
          <w:rFonts w:cs="Times New Roman"/>
          <w:noProof/>
          <w:lang w:val="fr-CA"/>
        </w:rPr>
        <w:t>, notre Cour a conclu que le lien entre un vérificateur et son entreprise cliente pouvait être suffisamment étroit pour donner lieu à une obligation de diligence. Il ne s</w:t>
      </w:r>
      <w:r>
        <w:rPr>
          <w:rFonts w:cs="Times New Roman"/>
          <w:noProof/>
          <w:lang w:val="fr-CA"/>
        </w:rPr>
        <w:t>’</w:t>
      </w:r>
      <w:r w:rsidRPr="000E14A8">
        <w:rPr>
          <w:rFonts w:cs="Times New Roman"/>
          <w:noProof/>
          <w:lang w:val="fr-CA"/>
        </w:rPr>
        <w:t>agissait cependant pas d</w:t>
      </w:r>
      <w:r>
        <w:rPr>
          <w:rFonts w:cs="Times New Roman"/>
          <w:noProof/>
          <w:lang w:val="fr-CA"/>
        </w:rPr>
        <w:t>’</w:t>
      </w:r>
      <w:r w:rsidRPr="000E14A8">
        <w:rPr>
          <w:rFonts w:cs="Times New Roman"/>
          <w:noProof/>
          <w:lang w:val="fr-CA"/>
        </w:rPr>
        <w:t>un lien de proximité entre un vérificateur et son client en général. Le lien ainsi reconnu se limitait à la préparation d</w:t>
      </w:r>
      <w:r>
        <w:rPr>
          <w:rFonts w:cs="Times New Roman"/>
          <w:noProof/>
          <w:lang w:val="fr-CA"/>
        </w:rPr>
        <w:t>’</w:t>
      </w:r>
      <w:r w:rsidRPr="000E14A8">
        <w:rPr>
          <w:rFonts w:cs="Times New Roman"/>
          <w:noProof/>
          <w:lang w:val="fr-CA"/>
        </w:rPr>
        <w:t xml:space="preserve">une vérification exigée par la loi (par. 14). </w:t>
      </w:r>
    </w:p>
    <w:p w:rsidR="003A506E" w:rsidRPr="000E14A8" w:rsidRDefault="003A506E" w:rsidP="003A506E">
      <w:pPr>
        <w:pStyle w:val="ParaNoNdepar-AltN"/>
        <w:tabs>
          <w:tab w:val="clear" w:pos="1152"/>
          <w:tab w:val="left" w:pos="1166"/>
        </w:tabs>
        <w:rPr>
          <w:rFonts w:cs="Times New Roman"/>
          <w:noProof/>
          <w:lang w:val="fr-CA"/>
        </w:rPr>
      </w:pPr>
      <w:r w:rsidRPr="000E14A8">
        <w:rPr>
          <w:rFonts w:cs="Times New Roman"/>
          <w:noProof/>
          <w:lang w:val="fr-CA"/>
        </w:rPr>
        <w:t>Dans l</w:t>
      </w:r>
      <w:r>
        <w:rPr>
          <w:rFonts w:cs="Times New Roman"/>
          <w:noProof/>
          <w:lang w:val="fr-CA"/>
        </w:rPr>
        <w:t>’</w:t>
      </w:r>
      <w:r w:rsidRPr="000E14A8">
        <w:rPr>
          <w:rFonts w:cs="Times New Roman"/>
          <w:noProof/>
          <w:lang w:val="fr-CA"/>
        </w:rPr>
        <w:t>affaire qui nous occupe, le lien de proximité invoqué n</w:t>
      </w:r>
      <w:r>
        <w:rPr>
          <w:rFonts w:cs="Times New Roman"/>
          <w:noProof/>
          <w:lang w:val="fr-CA"/>
        </w:rPr>
        <w:t>’</w:t>
      </w:r>
      <w:r w:rsidRPr="000E14A8">
        <w:rPr>
          <w:rFonts w:cs="Times New Roman"/>
          <w:noProof/>
          <w:lang w:val="fr-CA"/>
        </w:rPr>
        <w:t>est pas de portée si limitée. Livent affirme que Deloitte avait envers elle une obligation de diligence relativement à (1) la préparation du rapport de 1997; et à (2) l</w:t>
      </w:r>
      <w:r>
        <w:rPr>
          <w:rFonts w:cs="Times New Roman"/>
          <w:noProof/>
          <w:lang w:val="fr-CA"/>
        </w:rPr>
        <w:t>’</w:t>
      </w:r>
      <w:r w:rsidRPr="000E14A8">
        <w:rPr>
          <w:rFonts w:cs="Times New Roman"/>
          <w:noProof/>
          <w:lang w:val="fr-CA"/>
        </w:rPr>
        <w:t>approbation du communiqué de presse et la rédaction de la lettre de confort. Nous estimons primordial pour l</w:t>
      </w:r>
      <w:r>
        <w:rPr>
          <w:rFonts w:cs="Times New Roman"/>
          <w:noProof/>
          <w:lang w:val="fr-CA"/>
        </w:rPr>
        <w:t>’</w:t>
      </w:r>
      <w:r w:rsidRPr="000E14A8">
        <w:rPr>
          <w:rFonts w:cs="Times New Roman"/>
          <w:noProof/>
          <w:lang w:val="fr-CA"/>
        </w:rPr>
        <w:t>issue du présent pourvoi de faire une distinction entre ces deux catégories de documents.</w:t>
      </w:r>
    </w:p>
    <w:p w:rsidR="003A506E" w:rsidRPr="000E14A8" w:rsidRDefault="003A506E" w:rsidP="003A506E">
      <w:pPr>
        <w:pStyle w:val="ParaNoNdepar-AltN"/>
        <w:rPr>
          <w:rFonts w:cs="Times New Roman"/>
          <w:noProof/>
          <w:lang w:val="fr-CA"/>
        </w:rPr>
      </w:pPr>
      <w:r w:rsidRPr="000E14A8">
        <w:rPr>
          <w:rFonts w:cs="Times New Roman"/>
          <w:noProof/>
          <w:lang w:val="fr-CA"/>
        </w:rPr>
        <w:lastRenderedPageBreak/>
        <w:t>Le simple fait que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 xml:space="preserve">un lien de proximité ait été reconnue entre un vérificateur et son client pour </w:t>
      </w:r>
      <w:r w:rsidRPr="000E14A8">
        <w:rPr>
          <w:rFonts w:cs="Times New Roman"/>
          <w:i/>
          <w:noProof/>
          <w:lang w:val="fr-CA"/>
        </w:rPr>
        <w:t xml:space="preserve">une </w:t>
      </w:r>
      <w:r w:rsidRPr="000E14A8">
        <w:rPr>
          <w:rFonts w:cs="Times New Roman"/>
          <w:noProof/>
          <w:lang w:val="fr-CA"/>
        </w:rPr>
        <w:t>fin donnée n</w:t>
      </w:r>
      <w:r>
        <w:rPr>
          <w:rFonts w:cs="Times New Roman"/>
          <w:noProof/>
          <w:lang w:val="fr-CA"/>
        </w:rPr>
        <w:t>’</w:t>
      </w:r>
      <w:r w:rsidRPr="000E14A8">
        <w:rPr>
          <w:rFonts w:cs="Times New Roman"/>
          <w:noProof/>
          <w:lang w:val="fr-CA"/>
        </w:rPr>
        <w:t>est pas suffisant pour conclure à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un lien de proximité entre les mêmes parties pour</w:t>
      </w:r>
      <w:r w:rsidRPr="000E14A8">
        <w:rPr>
          <w:rFonts w:cs="Times New Roman"/>
          <w:i/>
          <w:noProof/>
          <w:lang w:val="fr-CA"/>
        </w:rPr>
        <w:t xml:space="preserve"> toutes </w:t>
      </w:r>
      <w:r w:rsidRPr="000E14A8">
        <w:rPr>
          <w:rFonts w:cs="Times New Roman"/>
          <w:noProof/>
          <w:lang w:val="fr-CA"/>
        </w:rPr>
        <w:t>les fins. Rappelons qu</w:t>
      </w:r>
      <w:r>
        <w:rPr>
          <w:rFonts w:cs="Times New Roman"/>
          <w:noProof/>
          <w:lang w:val="fr-CA"/>
        </w:rPr>
        <w:t>’</w:t>
      </w:r>
      <w:r w:rsidRPr="000E14A8">
        <w:rPr>
          <w:rFonts w:cs="Times New Roman"/>
          <w:noProof/>
          <w:lang w:val="fr-CA"/>
        </w:rPr>
        <w:t>une interprétation trop large d</w:t>
      </w:r>
      <w:r>
        <w:rPr>
          <w:rFonts w:cs="Times New Roman"/>
          <w:noProof/>
          <w:lang w:val="fr-CA"/>
        </w:rPr>
        <w:t>’</w:t>
      </w:r>
      <w:r w:rsidRPr="000E14A8">
        <w:rPr>
          <w:rFonts w:cs="Times New Roman"/>
          <w:noProof/>
          <w:lang w:val="fr-CA"/>
        </w:rPr>
        <w:t>une catégorie établie de liens de proximité qui ne tient pas compte du champ d</w:t>
      </w:r>
      <w:r>
        <w:rPr>
          <w:rFonts w:cs="Times New Roman"/>
          <w:noProof/>
          <w:lang w:val="fr-CA"/>
        </w:rPr>
        <w:t>’</w:t>
      </w:r>
      <w:r w:rsidRPr="000E14A8">
        <w:rPr>
          <w:rFonts w:cs="Times New Roman"/>
          <w:noProof/>
          <w:lang w:val="fr-CA"/>
        </w:rPr>
        <w:t>activité à l</w:t>
      </w:r>
      <w:r>
        <w:rPr>
          <w:rFonts w:cs="Times New Roman"/>
          <w:noProof/>
          <w:lang w:val="fr-CA"/>
        </w:rPr>
        <w:t>’</w:t>
      </w:r>
      <w:r w:rsidRPr="000E14A8">
        <w:rPr>
          <w:rFonts w:cs="Times New Roman"/>
          <w:noProof/>
          <w:lang w:val="fr-CA"/>
        </w:rPr>
        <w:t>égard duquel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un lien a déjà été établie risque de donner lieu à l</w:t>
      </w:r>
      <w:r>
        <w:rPr>
          <w:rFonts w:cs="Times New Roman"/>
          <w:noProof/>
          <w:lang w:val="fr-CA"/>
        </w:rPr>
        <w:t>’</w:t>
      </w:r>
      <w:r w:rsidRPr="000E14A8">
        <w:rPr>
          <w:rFonts w:cs="Times New Roman"/>
          <w:noProof/>
          <w:lang w:val="fr-CA"/>
        </w:rPr>
        <w:t>imposition prématurée d</w:t>
      </w:r>
      <w:r>
        <w:rPr>
          <w:rFonts w:cs="Times New Roman"/>
          <w:noProof/>
          <w:lang w:val="fr-CA"/>
        </w:rPr>
        <w:t>’</w:t>
      </w:r>
      <w:r w:rsidRPr="000E14A8">
        <w:rPr>
          <w:rFonts w:cs="Times New Roman"/>
          <w:noProof/>
          <w:lang w:val="fr-CA"/>
        </w:rPr>
        <w:t xml:space="preserve">une obligation de diligence </w:t>
      </w:r>
      <w:r w:rsidRPr="000E14A8">
        <w:rPr>
          <w:rFonts w:cs="Times New Roman"/>
          <w:i/>
          <w:noProof/>
          <w:lang w:val="fr-CA"/>
        </w:rPr>
        <w:t>prima facie</w:t>
      </w:r>
      <w:r w:rsidRPr="000E14A8">
        <w:rPr>
          <w:rFonts w:cs="Times New Roman"/>
          <w:noProof/>
          <w:lang w:val="fr-CA"/>
        </w:rPr>
        <w:t>. En toute déférence, c</w:t>
      </w:r>
      <w:r>
        <w:rPr>
          <w:rFonts w:cs="Times New Roman"/>
          <w:noProof/>
          <w:lang w:val="fr-CA"/>
        </w:rPr>
        <w:t>’</w:t>
      </w:r>
      <w:r w:rsidRPr="000E14A8">
        <w:rPr>
          <w:rFonts w:cs="Times New Roman"/>
          <w:noProof/>
          <w:lang w:val="fr-CA"/>
        </w:rPr>
        <w:t>est cette erreur même qui vicie les motifs du juge de première instance et de la Cour d</w:t>
      </w:r>
      <w:r>
        <w:rPr>
          <w:rFonts w:cs="Times New Roman"/>
          <w:noProof/>
          <w:lang w:val="fr-CA"/>
        </w:rPr>
        <w:t>’</w:t>
      </w:r>
      <w:r w:rsidRPr="000E14A8">
        <w:rPr>
          <w:rFonts w:cs="Times New Roman"/>
          <w:noProof/>
          <w:lang w:val="fr-CA"/>
        </w:rPr>
        <w:t xml:space="preserve">appel. Cette </w:t>
      </w:r>
      <w:r w:rsidRPr="000E14A8">
        <w:rPr>
          <w:rFonts w:cs="Times New Roman"/>
          <w:lang w:val="fr-CA"/>
        </w:rPr>
        <w:t xml:space="preserve">approche </w:t>
      </w:r>
      <w:r w:rsidRPr="000E14A8">
        <w:rPr>
          <w:rFonts w:cs="Times New Roman"/>
          <w:noProof/>
          <w:lang w:val="fr-CA"/>
        </w:rPr>
        <w:t>est fondamentalement incompatible avec le cadre d</w:t>
      </w:r>
      <w:r>
        <w:rPr>
          <w:rFonts w:cs="Times New Roman"/>
          <w:noProof/>
          <w:lang w:val="fr-CA"/>
        </w:rPr>
        <w:t>’</w:t>
      </w:r>
      <w:r w:rsidRPr="000E14A8">
        <w:rPr>
          <w:rFonts w:cs="Times New Roman"/>
          <w:noProof/>
          <w:lang w:val="fr-CA"/>
        </w:rPr>
        <w:t>analyse établi par notre Cour dans l</w:t>
      </w:r>
      <w:r>
        <w:rPr>
          <w:rFonts w:cs="Times New Roman"/>
          <w:noProof/>
          <w:lang w:val="fr-CA"/>
        </w:rPr>
        <w:t>’</w:t>
      </w:r>
      <w:r w:rsidRPr="000E14A8">
        <w:rPr>
          <w:rFonts w:cs="Times New Roman"/>
          <w:noProof/>
          <w:lang w:val="fr-CA"/>
        </w:rPr>
        <w:t xml:space="preserve">arrêt </w:t>
      </w:r>
      <w:r w:rsidRPr="000E14A8">
        <w:rPr>
          <w:rFonts w:cs="Times New Roman"/>
          <w:i/>
          <w:noProof/>
          <w:lang w:val="fr-CA"/>
        </w:rPr>
        <w:t>Cooper</w:t>
      </w:r>
      <w:r w:rsidRPr="000E14A8">
        <w:rPr>
          <w:rFonts w:cs="Times New Roman"/>
          <w:noProof/>
          <w:lang w:val="fr-CA"/>
        </w:rPr>
        <w:t>. Pour ce motif, nous ne reconnaissons pas que la Cour a déjà établi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un lien de proximité entre un vérificateur et son client à des fins de sollicitation de fonds d</w:t>
      </w:r>
      <w:r>
        <w:rPr>
          <w:rFonts w:cs="Times New Roman"/>
          <w:noProof/>
          <w:lang w:val="fr-CA"/>
        </w:rPr>
        <w:t>’</w:t>
      </w:r>
      <w:r w:rsidRPr="000E14A8">
        <w:rPr>
          <w:rFonts w:cs="Times New Roman"/>
          <w:noProof/>
          <w:lang w:val="fr-CA"/>
        </w:rPr>
        <w:t xml:space="preserve">investissement. Dans ces circonstances, nous devons procéder à une analyse exhaustive du lien de proximité. </w:t>
      </w:r>
    </w:p>
    <w:p w:rsidR="003A506E" w:rsidRPr="000E14A8" w:rsidRDefault="003A506E" w:rsidP="003A506E">
      <w:pPr>
        <w:pStyle w:val="ParaNoNdepar-AltN"/>
        <w:rPr>
          <w:rFonts w:cs="Times New Roman"/>
          <w:noProof/>
          <w:lang w:val="fr-CA"/>
        </w:rPr>
      </w:pPr>
      <w:r w:rsidRPr="000E14A8">
        <w:rPr>
          <w:rFonts w:cs="Times New Roman"/>
          <w:noProof/>
          <w:lang w:val="fr-CA"/>
        </w:rPr>
        <w:t>Comme nous l</w:t>
      </w:r>
      <w:r>
        <w:rPr>
          <w:rFonts w:cs="Times New Roman"/>
          <w:noProof/>
          <w:lang w:val="fr-CA"/>
        </w:rPr>
        <w:t>’</w:t>
      </w:r>
      <w:r w:rsidRPr="000E14A8">
        <w:rPr>
          <w:rFonts w:cs="Times New Roman"/>
          <w:noProof/>
          <w:lang w:val="fr-CA"/>
        </w:rPr>
        <w:t>avons déjà indiqué, dans le cas d</w:t>
      </w:r>
      <w:r>
        <w:rPr>
          <w:rFonts w:cs="Times New Roman"/>
          <w:noProof/>
          <w:lang w:val="fr-CA"/>
        </w:rPr>
        <w:t>’</w:t>
      </w:r>
      <w:r w:rsidRPr="000E14A8">
        <w:rPr>
          <w:rFonts w:cs="Times New Roman"/>
          <w:noProof/>
          <w:lang w:val="fr-CA"/>
        </w:rPr>
        <w:t xml:space="preserve">une déclaration inexacte faite par négligence, une telle analyse </w:t>
      </w:r>
      <w:r w:rsidRPr="000E14A8">
        <w:rPr>
          <w:rFonts w:cs="Times New Roman"/>
          <w:lang w:val="fr-CA"/>
        </w:rPr>
        <w:t>est axée</w:t>
      </w:r>
      <w:r w:rsidRPr="000E14A8">
        <w:rPr>
          <w:rFonts w:cs="Times New Roman"/>
          <w:noProof/>
          <w:lang w:val="fr-CA"/>
        </w:rPr>
        <w:t xml:space="preserve"> sur l</w:t>
      </w:r>
      <w:r>
        <w:rPr>
          <w:rFonts w:cs="Times New Roman"/>
          <w:noProof/>
          <w:lang w:val="fr-CA"/>
        </w:rPr>
        <w:t>’</w:t>
      </w:r>
      <w:r w:rsidRPr="000E14A8">
        <w:rPr>
          <w:rFonts w:cs="Times New Roman"/>
          <w:noProof/>
          <w:lang w:val="fr-CA"/>
        </w:rPr>
        <w:t>objet de l</w:t>
      </w:r>
      <w:r>
        <w:rPr>
          <w:rFonts w:cs="Times New Roman"/>
          <w:noProof/>
          <w:lang w:val="fr-CA"/>
        </w:rPr>
        <w:t>’</w:t>
      </w:r>
      <w:r w:rsidRPr="000E14A8">
        <w:rPr>
          <w:rFonts w:cs="Times New Roman"/>
          <w:noProof/>
          <w:lang w:val="fr-CA"/>
        </w:rPr>
        <w:t>engagement du défendeur et le fait pour le demandeur de s</w:t>
      </w:r>
      <w:r>
        <w:rPr>
          <w:rFonts w:cs="Times New Roman"/>
          <w:noProof/>
          <w:lang w:val="fr-CA"/>
        </w:rPr>
        <w:t>’</w:t>
      </w:r>
      <w:r w:rsidRPr="000E14A8">
        <w:rPr>
          <w:rFonts w:cs="Times New Roman"/>
          <w:noProof/>
          <w:lang w:val="fr-CA"/>
        </w:rPr>
        <w:t>y fier. D</w:t>
      </w:r>
      <w:r>
        <w:rPr>
          <w:rFonts w:cs="Times New Roman"/>
          <w:noProof/>
          <w:lang w:val="fr-CA"/>
        </w:rPr>
        <w:t>’</w:t>
      </w:r>
      <w:r w:rsidRPr="000E14A8">
        <w:rPr>
          <w:rFonts w:cs="Times New Roman"/>
          <w:noProof/>
          <w:lang w:val="fr-CA"/>
        </w:rPr>
        <w:t>août à octobre 1997, les services que Deloitte a fournis à Livent — notamment une assistance constante concernant le communiqué de presse et la fourniture de la lettre de confort — avaient pour objet d</w:t>
      </w:r>
      <w:r>
        <w:rPr>
          <w:rFonts w:cs="Times New Roman"/>
          <w:noProof/>
          <w:lang w:val="fr-CA"/>
        </w:rPr>
        <w:t>’</w:t>
      </w:r>
      <w:r w:rsidRPr="000E14A8">
        <w:rPr>
          <w:rFonts w:cs="Times New Roman"/>
          <w:noProof/>
          <w:lang w:val="fr-CA"/>
        </w:rPr>
        <w:t>aider Livent à solliciter des investissements. Compte tenu de cet engagement, il était permis à Livent de s</w:t>
      </w:r>
      <w:r>
        <w:rPr>
          <w:rFonts w:cs="Times New Roman"/>
          <w:noProof/>
          <w:lang w:val="fr-CA"/>
        </w:rPr>
        <w:t>’</w:t>
      </w:r>
      <w:r w:rsidRPr="000E14A8">
        <w:rPr>
          <w:rFonts w:cs="Times New Roman"/>
          <w:noProof/>
          <w:lang w:val="fr-CA"/>
        </w:rPr>
        <w:t xml:space="preserve">attendre à ce que Deloitte agisse avec diligence raisonnable dans la prestation de ces services. Partant, il existe un lien de proximité </w:t>
      </w:r>
      <w:r w:rsidRPr="000E14A8">
        <w:rPr>
          <w:rFonts w:cs="Times New Roman"/>
          <w:i/>
          <w:noProof/>
          <w:lang w:val="fr-CA"/>
        </w:rPr>
        <w:t>quant au contenu de l</w:t>
      </w:r>
      <w:r>
        <w:rPr>
          <w:rFonts w:cs="Times New Roman"/>
          <w:i/>
          <w:noProof/>
          <w:lang w:val="fr-CA"/>
        </w:rPr>
        <w:t>’</w:t>
      </w:r>
      <w:r w:rsidRPr="000E14A8">
        <w:rPr>
          <w:rFonts w:cs="Times New Roman"/>
          <w:i/>
          <w:noProof/>
          <w:lang w:val="fr-CA"/>
        </w:rPr>
        <w:t>engagement pris par Deloitte</w:t>
      </w:r>
      <w:r w:rsidRPr="000E14A8">
        <w:rPr>
          <w:rFonts w:cs="Times New Roman"/>
          <w:noProof/>
          <w:lang w:val="fr-CA"/>
        </w:rPr>
        <w:t>. L</w:t>
      </w:r>
      <w:r>
        <w:rPr>
          <w:rFonts w:cs="Times New Roman"/>
          <w:noProof/>
          <w:lang w:val="fr-CA"/>
        </w:rPr>
        <w:t>’</w:t>
      </w:r>
      <w:r w:rsidRPr="000E14A8">
        <w:rPr>
          <w:rFonts w:cs="Times New Roman"/>
          <w:noProof/>
          <w:lang w:val="fr-CA"/>
        </w:rPr>
        <w:t xml:space="preserve">engagement de Deloitte </w:t>
      </w:r>
      <w:r w:rsidRPr="000E14A8">
        <w:rPr>
          <w:rFonts w:cs="Times New Roman"/>
          <w:i/>
          <w:noProof/>
          <w:lang w:val="fr-CA"/>
        </w:rPr>
        <w:t>ne</w:t>
      </w:r>
      <w:r w:rsidRPr="000E14A8">
        <w:rPr>
          <w:rFonts w:cs="Times New Roman"/>
          <w:noProof/>
          <w:lang w:val="fr-CA"/>
        </w:rPr>
        <w:t xml:space="preserve"> permettait </w:t>
      </w:r>
      <w:r w:rsidRPr="000E14A8">
        <w:rPr>
          <w:rFonts w:cs="Times New Roman"/>
          <w:i/>
          <w:noProof/>
          <w:lang w:val="fr-CA"/>
        </w:rPr>
        <w:t>pas</w:t>
      </w:r>
      <w:r w:rsidRPr="000E14A8">
        <w:rPr>
          <w:rFonts w:cs="Times New Roman"/>
          <w:noProof/>
          <w:lang w:val="fr-CA"/>
        </w:rPr>
        <w:t xml:space="preserve"> à Livent</w:t>
      </w:r>
      <w:r w:rsidRPr="000E14A8">
        <w:rPr>
          <w:rFonts w:cs="Times New Roman"/>
          <w:i/>
          <w:noProof/>
          <w:lang w:val="fr-CA"/>
        </w:rPr>
        <w:t xml:space="preserve"> </w:t>
      </w:r>
      <w:r w:rsidRPr="000E14A8">
        <w:rPr>
          <w:rFonts w:cs="Times New Roman"/>
          <w:noProof/>
          <w:lang w:val="fr-CA"/>
        </w:rPr>
        <w:t>de se fier</w:t>
      </w:r>
      <w:r w:rsidRPr="000E14A8">
        <w:rPr>
          <w:rFonts w:cs="Times New Roman"/>
          <w:i/>
          <w:noProof/>
          <w:lang w:val="fr-CA"/>
        </w:rPr>
        <w:t xml:space="preserve"> </w:t>
      </w:r>
      <w:r w:rsidRPr="000E14A8">
        <w:rPr>
          <w:rFonts w:cs="Times New Roman"/>
          <w:noProof/>
          <w:lang w:val="fr-CA"/>
        </w:rPr>
        <w:t>aux déclarations et aux services fournis par Deloitte à</w:t>
      </w:r>
      <w:r w:rsidRPr="000E14A8">
        <w:rPr>
          <w:rFonts w:cs="Times New Roman"/>
          <w:i/>
          <w:noProof/>
          <w:lang w:val="fr-CA"/>
        </w:rPr>
        <w:t xml:space="preserve"> toutes </w:t>
      </w:r>
      <w:r w:rsidRPr="000E14A8">
        <w:rPr>
          <w:rFonts w:cs="Times New Roman"/>
          <w:noProof/>
          <w:lang w:val="fr-CA"/>
        </w:rPr>
        <w:t xml:space="preserve">les fins possibles. En fait, le lien « étroit et direct » qui obligeait Deloitte à faire preuve de diligence raisonnable se </w:t>
      </w:r>
      <w:r w:rsidRPr="000E14A8">
        <w:rPr>
          <w:rFonts w:cs="Times New Roman"/>
          <w:noProof/>
          <w:lang w:val="fr-CA"/>
        </w:rPr>
        <w:lastRenderedPageBreak/>
        <w:t>limitait à l</w:t>
      </w:r>
      <w:r>
        <w:rPr>
          <w:rFonts w:cs="Times New Roman"/>
          <w:noProof/>
          <w:lang w:val="fr-CA"/>
        </w:rPr>
        <w:t>’</w:t>
      </w:r>
      <w:r w:rsidRPr="000E14A8">
        <w:rPr>
          <w:rFonts w:cs="Times New Roman"/>
          <w:noProof/>
          <w:lang w:val="fr-CA"/>
        </w:rPr>
        <w:t>objet de l</w:t>
      </w:r>
      <w:r>
        <w:rPr>
          <w:rFonts w:cs="Times New Roman"/>
          <w:noProof/>
          <w:lang w:val="fr-CA"/>
        </w:rPr>
        <w:t>’</w:t>
      </w:r>
      <w:r w:rsidRPr="000E14A8">
        <w:rPr>
          <w:rFonts w:cs="Times New Roman"/>
          <w:noProof/>
          <w:lang w:val="fr-CA"/>
        </w:rPr>
        <w:t>engagement pris par celle</w:t>
      </w:r>
      <w:r w:rsidRPr="000E14A8">
        <w:rPr>
          <w:rFonts w:cs="Times New Roman"/>
          <w:noProof/>
          <w:lang w:val="fr-CA"/>
        </w:rPr>
        <w:noBreakHyphen/>
        <w:t>ci. À cet égard, nous sommes d</w:t>
      </w:r>
      <w:r>
        <w:rPr>
          <w:rFonts w:cs="Times New Roman"/>
          <w:noProof/>
          <w:lang w:val="fr-CA"/>
        </w:rPr>
        <w:t>’</w:t>
      </w:r>
      <w:r w:rsidRPr="000E14A8">
        <w:rPr>
          <w:rFonts w:cs="Times New Roman"/>
          <w:noProof/>
          <w:lang w:val="fr-CA"/>
        </w:rPr>
        <w:t xml:space="preserve">accord avec la Juge en chef pour dire que </w:t>
      </w:r>
      <w:r w:rsidRPr="000E14A8">
        <w:rPr>
          <w:rFonts w:cs="Times New Roman"/>
          <w:lang w:val="fr-CA"/>
        </w:rPr>
        <w:t>« [l]es pertes découlant de l</w:t>
      </w:r>
      <w:r>
        <w:rPr>
          <w:rFonts w:cs="Times New Roman"/>
          <w:lang w:val="fr-CA"/>
        </w:rPr>
        <w:t>’</w:t>
      </w:r>
      <w:r w:rsidRPr="000E14A8">
        <w:rPr>
          <w:rFonts w:cs="Times New Roman"/>
          <w:lang w:val="fr-CA"/>
        </w:rPr>
        <w:t xml:space="preserve">incapacité [de Livent] à attirer des investissements [. . .] peuvent </w:t>
      </w:r>
      <w:r w:rsidR="00D5275F" w:rsidRPr="000E14A8">
        <w:rPr>
          <w:rFonts w:cs="Times New Roman"/>
          <w:noProof/>
          <w:lang w:val="fr-CA"/>
        </w:rPr>
        <w:t>[. . .]</w:t>
      </w:r>
      <w:r w:rsidR="00D5275F">
        <w:rPr>
          <w:rFonts w:cs="Times New Roman"/>
          <w:noProof/>
          <w:lang w:val="fr-CA"/>
        </w:rPr>
        <w:t xml:space="preserve"> </w:t>
      </w:r>
      <w:r w:rsidRPr="000E14A8">
        <w:rPr>
          <w:rFonts w:cs="Times New Roman"/>
          <w:lang w:val="fr-CA"/>
        </w:rPr>
        <w:t>être visées par l</w:t>
      </w:r>
      <w:r>
        <w:rPr>
          <w:rFonts w:cs="Times New Roman"/>
          <w:lang w:val="fr-CA"/>
        </w:rPr>
        <w:t>’</w:t>
      </w:r>
      <w:r w:rsidRPr="000E14A8">
        <w:rPr>
          <w:rFonts w:cs="Times New Roman"/>
          <w:lang w:val="fr-CA"/>
        </w:rPr>
        <w:t>obligation de diligence de Deloitte », mais seulement relativement a</w:t>
      </w:r>
      <w:r w:rsidRPr="000E14A8">
        <w:rPr>
          <w:rFonts w:cs="Times New Roman"/>
          <w:noProof/>
          <w:lang w:val="fr-CA"/>
        </w:rPr>
        <w:t xml:space="preserve">u communiqué de presse et à la lettre de confort </w:t>
      </w:r>
      <w:r w:rsidRPr="000E14A8">
        <w:rPr>
          <w:rFonts w:cs="Times New Roman"/>
          <w:lang w:val="fr-CA"/>
        </w:rPr>
        <w:t>(par. 153)</w:t>
      </w:r>
      <w:r w:rsidRPr="000E14A8">
        <w:rPr>
          <w:rFonts w:cs="Times New Roman"/>
          <w:noProof/>
          <w:lang w:val="fr-CA"/>
        </w:rPr>
        <w:t>.</w:t>
      </w:r>
    </w:p>
    <w:p w:rsidR="003A506E" w:rsidRPr="000E14A8" w:rsidRDefault="003A506E" w:rsidP="003A506E">
      <w:pPr>
        <w:pStyle w:val="Title5LevelTitre5Niveau"/>
        <w:rPr>
          <w:rFonts w:cs="Times New Roman"/>
          <w:noProof/>
          <w:lang w:val="fr-CA"/>
        </w:rPr>
      </w:pPr>
      <w:r w:rsidRPr="000E14A8">
        <w:rPr>
          <w:rFonts w:cs="Times New Roman"/>
          <w:noProof/>
          <w:lang w:val="fr-CA"/>
        </w:rPr>
        <w:t>Prévisibilité raisonnable</w:t>
      </w:r>
    </w:p>
    <w:p w:rsidR="003A506E" w:rsidRPr="000E14A8" w:rsidRDefault="003A506E" w:rsidP="003A506E">
      <w:pPr>
        <w:pStyle w:val="ParaNoNdepar-AltN"/>
        <w:tabs>
          <w:tab w:val="clear" w:pos="1152"/>
          <w:tab w:val="left" w:pos="1166"/>
        </w:tabs>
        <w:rPr>
          <w:rFonts w:cs="Times New Roman"/>
          <w:noProof/>
          <w:lang w:val="fr-CA"/>
        </w:rPr>
      </w:pPr>
      <w:r w:rsidRPr="000E14A8">
        <w:rPr>
          <w:rFonts w:cs="Times New Roman"/>
          <w:noProof/>
          <w:lang w:val="fr-CA"/>
        </w:rPr>
        <w:t>Livent a établi l</w:t>
      </w:r>
      <w:r>
        <w:rPr>
          <w:rFonts w:cs="Times New Roman"/>
          <w:noProof/>
          <w:lang w:val="fr-CA"/>
        </w:rPr>
        <w:t>’</w:t>
      </w:r>
      <w:r w:rsidRPr="000E14A8">
        <w:rPr>
          <w:rFonts w:cs="Times New Roman"/>
          <w:noProof/>
          <w:lang w:val="fr-CA"/>
        </w:rPr>
        <w:t>existence d</w:t>
      </w:r>
      <w:r>
        <w:rPr>
          <w:rFonts w:cs="Times New Roman"/>
          <w:noProof/>
          <w:lang w:val="fr-CA"/>
        </w:rPr>
        <w:t>’</w:t>
      </w:r>
      <w:r w:rsidRPr="000E14A8">
        <w:rPr>
          <w:rFonts w:cs="Times New Roman"/>
          <w:noProof/>
          <w:lang w:val="fr-CA"/>
        </w:rPr>
        <w:t>un lien de proximité ayant comme fin la sollicitation d</w:t>
      </w:r>
      <w:r>
        <w:rPr>
          <w:rFonts w:cs="Times New Roman"/>
          <w:noProof/>
          <w:lang w:val="fr-CA"/>
        </w:rPr>
        <w:t>’</w:t>
      </w:r>
      <w:r w:rsidRPr="000E14A8">
        <w:rPr>
          <w:rFonts w:cs="Times New Roman"/>
          <w:noProof/>
          <w:lang w:val="fr-CA"/>
        </w:rPr>
        <w:t>investissements, et elle affirme que l</w:t>
      </w:r>
      <w:r>
        <w:rPr>
          <w:rFonts w:cs="Times New Roman"/>
          <w:noProof/>
          <w:lang w:val="fr-CA"/>
        </w:rPr>
        <w:t>’</w:t>
      </w:r>
      <w:r w:rsidRPr="000E14A8">
        <w:rPr>
          <w:rFonts w:cs="Times New Roman"/>
          <w:noProof/>
          <w:lang w:val="fr-CA"/>
        </w:rPr>
        <w:t>augmentation de son déficit de liquidation à partir de l</w:t>
      </w:r>
      <w:r>
        <w:rPr>
          <w:rFonts w:cs="Times New Roman"/>
          <w:noProof/>
          <w:lang w:val="fr-CA"/>
        </w:rPr>
        <w:t>’</w:t>
      </w:r>
      <w:r w:rsidRPr="000E14A8">
        <w:rPr>
          <w:rFonts w:cs="Times New Roman"/>
          <w:noProof/>
          <w:lang w:val="fr-CA"/>
        </w:rPr>
        <w:t>automne 1997 était une conséquence raisonnablement prévisible de la négligence de Deloitte, parce qu</w:t>
      </w:r>
      <w:r>
        <w:rPr>
          <w:rFonts w:cs="Times New Roman"/>
          <w:noProof/>
          <w:lang w:val="fr-CA"/>
        </w:rPr>
        <w:t>’</w:t>
      </w:r>
      <w:r w:rsidRPr="000E14A8">
        <w:rPr>
          <w:rFonts w:cs="Times New Roman"/>
          <w:noProof/>
          <w:lang w:val="fr-CA"/>
        </w:rPr>
        <w:t>elle s</w:t>
      </w:r>
      <w:r>
        <w:rPr>
          <w:rFonts w:cs="Times New Roman"/>
          <w:noProof/>
          <w:lang w:val="fr-CA"/>
        </w:rPr>
        <w:t>’</w:t>
      </w:r>
      <w:r w:rsidRPr="000E14A8">
        <w:rPr>
          <w:rFonts w:cs="Times New Roman"/>
          <w:noProof/>
          <w:lang w:val="fr-CA"/>
        </w:rPr>
        <w:t xml:space="preserve">était fiée au </w:t>
      </w:r>
      <w:r w:rsidRPr="000E14A8">
        <w:rPr>
          <w:rFonts w:cs="Times New Roman"/>
          <w:smallCaps/>
          <w:noProof/>
          <w:lang w:val="fr-CA"/>
        </w:rPr>
        <w:t>[traduction]</w:t>
      </w:r>
      <w:r w:rsidRPr="000E14A8">
        <w:rPr>
          <w:rFonts w:cs="Times New Roman"/>
          <w:noProof/>
          <w:lang w:val="fr-CA"/>
        </w:rPr>
        <w:t xml:space="preserve"> « faux portrait financier que Deloitte n</w:t>
      </w:r>
      <w:r>
        <w:rPr>
          <w:rFonts w:cs="Times New Roman"/>
          <w:noProof/>
          <w:lang w:val="fr-CA"/>
        </w:rPr>
        <w:t>’</w:t>
      </w:r>
      <w:r w:rsidRPr="000E14A8">
        <w:rPr>
          <w:rFonts w:cs="Times New Roman"/>
          <w:noProof/>
          <w:lang w:val="fr-CA"/>
        </w:rPr>
        <w:t>aurait pas dû attester » pour prolonger artificiellement sa solvabilité (m.i., par. 108). En d</w:t>
      </w:r>
      <w:r>
        <w:rPr>
          <w:rFonts w:cs="Times New Roman"/>
          <w:noProof/>
          <w:lang w:val="fr-CA"/>
        </w:rPr>
        <w:t>’</w:t>
      </w:r>
      <w:r w:rsidRPr="000E14A8">
        <w:rPr>
          <w:rFonts w:cs="Times New Roman"/>
          <w:noProof/>
          <w:lang w:val="fr-CA"/>
        </w:rPr>
        <w:t>autres termes, si Deloitte avait démissionné plutôt que de continuer à aider Livent à solliciter des investissements, Livent aurait su quelle était sa situation financière réelle et aurait évité qu</w:t>
      </w:r>
      <w:r>
        <w:rPr>
          <w:rFonts w:cs="Times New Roman"/>
          <w:noProof/>
          <w:lang w:val="fr-CA"/>
        </w:rPr>
        <w:t>’</w:t>
      </w:r>
      <w:r w:rsidRPr="000E14A8">
        <w:rPr>
          <w:rFonts w:cs="Times New Roman"/>
          <w:noProof/>
          <w:lang w:val="fr-CA"/>
        </w:rPr>
        <w:t>elle se détériore entre</w:t>
      </w:r>
      <w:r w:rsidRPr="000E14A8">
        <w:rPr>
          <w:rFonts w:cs="Times New Roman"/>
          <w:noProof/>
          <w:lang w:val="fr-CA"/>
        </w:rPr>
        <w:noBreakHyphen/>
        <w:t xml:space="preserve">temps. Or, nous estimons que ce </w:t>
      </w:r>
      <w:r w:rsidRPr="000E14A8">
        <w:rPr>
          <w:rFonts w:cs="Times New Roman"/>
          <w:lang w:val="fr-CA"/>
        </w:rPr>
        <w:t>type de</w:t>
      </w:r>
      <w:r w:rsidRPr="000E14A8">
        <w:rPr>
          <w:rFonts w:cs="Times New Roman"/>
          <w:noProof/>
          <w:lang w:val="fr-CA"/>
        </w:rPr>
        <w:t xml:space="preserve"> préjudice ne constitue pas une conséquence raisonnablement prévisible de l</w:t>
      </w:r>
      <w:r>
        <w:rPr>
          <w:rFonts w:cs="Times New Roman"/>
          <w:noProof/>
          <w:lang w:val="fr-CA"/>
        </w:rPr>
        <w:t>’</w:t>
      </w:r>
      <w:r w:rsidRPr="000E14A8">
        <w:rPr>
          <w:rFonts w:cs="Times New Roman"/>
          <w:noProof/>
          <w:lang w:val="fr-CA"/>
        </w:rPr>
        <w:t>assistance fournie par Deloitte de manière négligente en vue de solliciter des investissements. C</w:t>
      </w:r>
      <w:r>
        <w:rPr>
          <w:rFonts w:cs="Times New Roman"/>
          <w:noProof/>
          <w:lang w:val="fr-CA"/>
        </w:rPr>
        <w:t>’</w:t>
      </w:r>
      <w:r w:rsidRPr="000E14A8">
        <w:rPr>
          <w:rFonts w:cs="Times New Roman"/>
          <w:noProof/>
          <w:lang w:val="fr-CA"/>
        </w:rPr>
        <w:t>est ce qui ressort de nos observations précédentes quant à la façon dont la portée du lien de proximité entre les parties a pour effet de circonscrire le type de préjudices raisonnablement prévisibles.</w:t>
      </w:r>
    </w:p>
    <w:p w:rsidR="003A506E" w:rsidRPr="000E14A8" w:rsidRDefault="003A506E" w:rsidP="003A506E">
      <w:pPr>
        <w:pStyle w:val="ParaNoNdepar-AltN"/>
        <w:rPr>
          <w:rFonts w:cs="Times New Roman"/>
          <w:noProof/>
          <w:lang w:val="fr-CA"/>
        </w:rPr>
      </w:pPr>
      <w:r w:rsidRPr="000E14A8">
        <w:rPr>
          <w:rFonts w:cs="Times New Roman"/>
          <w:noProof/>
          <w:lang w:val="fr-CA"/>
        </w:rPr>
        <w:t>Dans le cas d</w:t>
      </w:r>
      <w:r>
        <w:rPr>
          <w:rFonts w:cs="Times New Roman"/>
          <w:noProof/>
          <w:lang w:val="fr-CA"/>
        </w:rPr>
        <w:t>’</w:t>
      </w:r>
      <w:r w:rsidRPr="000E14A8">
        <w:rPr>
          <w:rFonts w:cs="Times New Roman"/>
          <w:noProof/>
          <w:lang w:val="fr-CA"/>
        </w:rPr>
        <w:t>une déclaration inexacte faite par négligence ou de la prestation négligente d</w:t>
      </w:r>
      <w:r>
        <w:rPr>
          <w:rFonts w:cs="Times New Roman"/>
          <w:noProof/>
          <w:lang w:val="fr-CA"/>
        </w:rPr>
        <w:t>’</w:t>
      </w:r>
      <w:r w:rsidRPr="000E14A8">
        <w:rPr>
          <w:rFonts w:cs="Times New Roman"/>
          <w:noProof/>
          <w:lang w:val="fr-CA"/>
        </w:rPr>
        <w:t xml:space="preserve">un service, le préjudice subi par le demandeur sera raisonnablement prévisible (1) lorsque le défendeur pourrait raisonnablement prévoir que le demandeur se fiera à sa déclaration; et (2) lorsque, dans les circonstances </w:t>
      </w:r>
      <w:r w:rsidRPr="000E14A8">
        <w:rPr>
          <w:rFonts w:cs="Times New Roman"/>
          <w:noProof/>
          <w:lang w:val="fr-CA"/>
        </w:rPr>
        <w:lastRenderedPageBreak/>
        <w:t>particulières de l</w:t>
      </w:r>
      <w:r>
        <w:rPr>
          <w:rFonts w:cs="Times New Roman"/>
          <w:noProof/>
          <w:lang w:val="fr-CA"/>
        </w:rPr>
        <w:t>’</w:t>
      </w:r>
      <w:r w:rsidRPr="000E14A8">
        <w:rPr>
          <w:rFonts w:cs="Times New Roman"/>
          <w:noProof/>
          <w:lang w:val="fr-CA"/>
        </w:rPr>
        <w:t>affaire, la confiance du demandeur serait raisonnable (</w:t>
      </w:r>
      <w:r w:rsidRPr="000E14A8">
        <w:rPr>
          <w:rFonts w:cs="Times New Roman"/>
          <w:i/>
          <w:noProof/>
          <w:lang w:val="fr-CA"/>
        </w:rPr>
        <w:t>Hercules</w:t>
      </w:r>
      <w:r w:rsidRPr="000E14A8">
        <w:rPr>
          <w:rFonts w:cs="Times New Roman"/>
          <w:noProof/>
          <w:lang w:val="fr-CA"/>
        </w:rPr>
        <w:t xml:space="preserve">, par. 27). Pour déterminer si la confiance du demandeur est raisonnable et raisonnablement prévisible, il faut se demander si le demandeur pouvait se fier au défendeur </w:t>
      </w:r>
      <w:r w:rsidRPr="000E14A8">
        <w:rPr>
          <w:rFonts w:cs="Times New Roman"/>
          <w:i/>
          <w:noProof/>
          <w:lang w:val="fr-CA"/>
        </w:rPr>
        <w:t>à cette fin précise</w:t>
      </w:r>
      <w:r w:rsidRPr="000E14A8">
        <w:rPr>
          <w:rFonts w:cs="Times New Roman"/>
          <w:noProof/>
          <w:lang w:val="fr-CA"/>
        </w:rPr>
        <w:t>. En l</w:t>
      </w:r>
      <w:r>
        <w:rPr>
          <w:rFonts w:cs="Times New Roman"/>
          <w:noProof/>
          <w:lang w:val="fr-CA"/>
        </w:rPr>
        <w:t>’</w:t>
      </w:r>
      <w:r w:rsidRPr="000E14A8">
        <w:rPr>
          <w:rFonts w:cs="Times New Roman"/>
          <w:noProof/>
          <w:lang w:val="fr-CA"/>
        </w:rPr>
        <w:t>espèce, Livent plaide qu</w:t>
      </w:r>
      <w:r>
        <w:rPr>
          <w:rFonts w:cs="Times New Roman"/>
          <w:noProof/>
          <w:lang w:val="fr-CA"/>
        </w:rPr>
        <w:t>’</w:t>
      </w:r>
      <w:r w:rsidRPr="000E14A8">
        <w:rPr>
          <w:rFonts w:cs="Times New Roman"/>
          <w:noProof/>
          <w:lang w:val="fr-CA"/>
        </w:rPr>
        <w:t>elle s</w:t>
      </w:r>
      <w:r>
        <w:rPr>
          <w:rFonts w:cs="Times New Roman"/>
          <w:noProof/>
          <w:lang w:val="fr-CA"/>
        </w:rPr>
        <w:t>’</w:t>
      </w:r>
      <w:r w:rsidRPr="000E14A8">
        <w:rPr>
          <w:rFonts w:cs="Times New Roman"/>
          <w:noProof/>
          <w:lang w:val="fr-CA"/>
        </w:rPr>
        <w:t>est fiée à son détriment aux déclarations et aux services fournis par Deloitte pour prolonger artificiellement l</w:t>
      </w:r>
      <w:r>
        <w:rPr>
          <w:rFonts w:cs="Times New Roman"/>
          <w:noProof/>
          <w:lang w:val="fr-CA"/>
        </w:rPr>
        <w:t>’</w:t>
      </w:r>
      <w:r w:rsidRPr="000E14A8">
        <w:rPr>
          <w:rFonts w:cs="Times New Roman"/>
          <w:noProof/>
          <w:lang w:val="fr-CA"/>
        </w:rPr>
        <w:t>existence de l</w:t>
      </w:r>
      <w:r>
        <w:rPr>
          <w:rFonts w:cs="Times New Roman"/>
          <w:noProof/>
          <w:lang w:val="fr-CA"/>
        </w:rPr>
        <w:t>’</w:t>
      </w:r>
      <w:r w:rsidRPr="000E14A8">
        <w:rPr>
          <w:rFonts w:cs="Times New Roman"/>
          <w:noProof/>
          <w:lang w:val="fr-CA"/>
        </w:rPr>
        <w:t>entreprise. Cette confiance n</w:t>
      </w:r>
      <w:r>
        <w:rPr>
          <w:rFonts w:cs="Times New Roman"/>
          <w:noProof/>
          <w:lang w:val="fr-CA"/>
        </w:rPr>
        <w:t>’</w:t>
      </w:r>
      <w:r w:rsidRPr="000E14A8">
        <w:rPr>
          <w:rFonts w:cs="Times New Roman"/>
          <w:noProof/>
          <w:lang w:val="fr-CA"/>
        </w:rPr>
        <w:t>est cependant pas liée à la sollicitation de fonds d</w:t>
      </w:r>
      <w:r>
        <w:rPr>
          <w:rFonts w:cs="Times New Roman"/>
          <w:noProof/>
          <w:lang w:val="fr-CA"/>
        </w:rPr>
        <w:t>’</w:t>
      </w:r>
      <w:r w:rsidRPr="000E14A8">
        <w:rPr>
          <w:rFonts w:cs="Times New Roman"/>
          <w:noProof/>
          <w:lang w:val="fr-CA"/>
        </w:rPr>
        <w:t xml:space="preserve">investissement, mais plutôt à la surveillance </w:t>
      </w:r>
      <w:r w:rsidRPr="000E14A8">
        <w:rPr>
          <w:rFonts w:cs="Times New Roman"/>
          <w:lang w:val="fr-CA"/>
        </w:rPr>
        <w:t>de la gestion.</w:t>
      </w:r>
      <w:r w:rsidRPr="000E14A8">
        <w:rPr>
          <w:rFonts w:cs="Times New Roman"/>
          <w:noProof/>
          <w:lang w:val="fr-CA"/>
        </w:rPr>
        <w:t xml:space="preserve"> Aux termes de l</w:t>
      </w:r>
      <w:r>
        <w:rPr>
          <w:rFonts w:cs="Times New Roman"/>
          <w:noProof/>
          <w:lang w:val="fr-CA"/>
        </w:rPr>
        <w:t>’</w:t>
      </w:r>
      <w:r w:rsidRPr="000E14A8">
        <w:rPr>
          <w:rFonts w:cs="Times New Roman"/>
          <w:noProof/>
          <w:lang w:val="fr-CA"/>
        </w:rPr>
        <w:t>engagement pris par Deloitte, au cours de l</w:t>
      </w:r>
      <w:r>
        <w:rPr>
          <w:rFonts w:cs="Times New Roman"/>
          <w:noProof/>
          <w:lang w:val="fr-CA"/>
        </w:rPr>
        <w:t>’</w:t>
      </w:r>
      <w:r w:rsidRPr="000E14A8">
        <w:rPr>
          <w:rFonts w:cs="Times New Roman"/>
          <w:noProof/>
          <w:lang w:val="fr-CA"/>
        </w:rPr>
        <w:t>automne 1997, celle</w:t>
      </w:r>
      <w:r w:rsidRPr="000E14A8">
        <w:rPr>
          <w:rFonts w:cs="Times New Roman"/>
          <w:noProof/>
          <w:lang w:val="fr-CA"/>
        </w:rPr>
        <w:noBreakHyphen/>
        <w:t>ci s</w:t>
      </w:r>
      <w:r>
        <w:rPr>
          <w:rFonts w:cs="Times New Roman"/>
          <w:noProof/>
          <w:lang w:val="fr-CA"/>
        </w:rPr>
        <w:t>’</w:t>
      </w:r>
      <w:r w:rsidRPr="000E14A8">
        <w:rPr>
          <w:rFonts w:cs="Times New Roman"/>
          <w:noProof/>
          <w:lang w:val="fr-CA"/>
        </w:rPr>
        <w:t>est engagée à aider Livent à solliciter des fonds d</w:t>
      </w:r>
      <w:r>
        <w:rPr>
          <w:rFonts w:cs="Times New Roman"/>
          <w:noProof/>
          <w:lang w:val="fr-CA"/>
        </w:rPr>
        <w:t>’</w:t>
      </w:r>
      <w:r w:rsidRPr="000E14A8">
        <w:rPr>
          <w:rFonts w:cs="Times New Roman"/>
          <w:noProof/>
          <w:lang w:val="fr-CA"/>
        </w:rPr>
        <w:t xml:space="preserve">investissement, non pas à surveiller </w:t>
      </w:r>
      <w:r w:rsidRPr="000E14A8">
        <w:rPr>
          <w:rFonts w:cs="Times New Roman"/>
          <w:lang w:val="fr-CA"/>
        </w:rPr>
        <w:t>la gestion.</w:t>
      </w:r>
      <w:r w:rsidRPr="000E14A8">
        <w:rPr>
          <w:rFonts w:cs="Times New Roman"/>
          <w:noProof/>
          <w:lang w:val="fr-CA"/>
        </w:rPr>
        <w:t xml:space="preserve"> Les pertes associées à cet engagement — par exemple, l</w:t>
      </w:r>
      <w:r>
        <w:rPr>
          <w:rFonts w:cs="Times New Roman"/>
          <w:noProof/>
          <w:lang w:val="fr-CA"/>
        </w:rPr>
        <w:t>’</w:t>
      </w:r>
      <w:r w:rsidRPr="000E14A8">
        <w:rPr>
          <w:rFonts w:cs="Times New Roman"/>
          <w:noProof/>
          <w:lang w:val="fr-CA"/>
        </w:rPr>
        <w:t>incapacité de solliciter des investissements en raison de la négligence de Deloitte — sont susceptibles d</w:t>
      </w:r>
      <w:r>
        <w:rPr>
          <w:rFonts w:cs="Times New Roman"/>
          <w:noProof/>
          <w:lang w:val="fr-CA"/>
        </w:rPr>
        <w:t>’</w:t>
      </w:r>
      <w:r w:rsidRPr="000E14A8">
        <w:rPr>
          <w:rFonts w:cs="Times New Roman"/>
          <w:noProof/>
          <w:lang w:val="fr-CA"/>
        </w:rPr>
        <w:t>indemnisation par Deloitte. Ce n</w:t>
      </w:r>
      <w:r>
        <w:rPr>
          <w:rFonts w:cs="Times New Roman"/>
          <w:noProof/>
          <w:lang w:val="fr-CA"/>
        </w:rPr>
        <w:t>’</w:t>
      </w:r>
      <w:r w:rsidRPr="000E14A8">
        <w:rPr>
          <w:rFonts w:cs="Times New Roman"/>
          <w:noProof/>
          <w:lang w:val="fr-CA"/>
        </w:rPr>
        <w:t>est cependant pas le cas des pertes qui échappent à la portée de cet engagement, notamment celles qui sont liées à l</w:t>
      </w:r>
      <w:r>
        <w:rPr>
          <w:rFonts w:cs="Times New Roman"/>
          <w:noProof/>
          <w:lang w:val="fr-CA"/>
        </w:rPr>
        <w:t>’</w:t>
      </w:r>
      <w:r w:rsidRPr="000E14A8">
        <w:rPr>
          <w:rFonts w:cs="Times New Roman"/>
          <w:noProof/>
          <w:lang w:val="fr-CA"/>
        </w:rPr>
        <w:t xml:space="preserve">absence de surveillance </w:t>
      </w:r>
      <w:r w:rsidRPr="000E14A8">
        <w:rPr>
          <w:rFonts w:cs="Times New Roman"/>
          <w:lang w:val="fr-CA"/>
        </w:rPr>
        <w:t>de la gestion</w:t>
      </w:r>
      <w:r w:rsidRPr="000E14A8">
        <w:rPr>
          <w:rFonts w:cs="Times New Roman"/>
          <w:noProof/>
          <w:lang w:val="fr-CA"/>
        </w:rPr>
        <w:t xml:space="preserve"> dont l</w:t>
      </w:r>
      <w:r>
        <w:rPr>
          <w:rFonts w:cs="Times New Roman"/>
          <w:noProof/>
          <w:lang w:val="fr-CA"/>
        </w:rPr>
        <w:t>’</w:t>
      </w:r>
      <w:r w:rsidRPr="000E14A8">
        <w:rPr>
          <w:rFonts w:cs="Times New Roman"/>
          <w:noProof/>
          <w:lang w:val="fr-CA"/>
        </w:rPr>
        <w:t>effet a été de prolonger la solvabilité de Livent. Autrement dit, en préparant la lettre de confort, Deloitte ne s</w:t>
      </w:r>
      <w:r>
        <w:rPr>
          <w:rFonts w:cs="Times New Roman"/>
          <w:noProof/>
          <w:lang w:val="fr-CA"/>
        </w:rPr>
        <w:t>’</w:t>
      </w:r>
      <w:r w:rsidRPr="000E14A8">
        <w:rPr>
          <w:rFonts w:cs="Times New Roman"/>
          <w:noProof/>
          <w:lang w:val="fr-CA"/>
        </w:rPr>
        <w:t xml:space="preserve">est jamais engagée à aider les actionnaires de Livent à surveiller </w:t>
      </w:r>
      <w:r w:rsidRPr="000E14A8">
        <w:rPr>
          <w:rFonts w:cs="Times New Roman"/>
          <w:lang w:val="fr-CA"/>
        </w:rPr>
        <w:t>la gestion.</w:t>
      </w:r>
      <w:r w:rsidRPr="000E14A8">
        <w:rPr>
          <w:rFonts w:cs="Times New Roman"/>
          <w:noProof/>
          <w:lang w:val="fr-CA"/>
        </w:rPr>
        <w:t xml:space="preserve"> Deloitte ne saurait donc être tenue responsable pour avoir omis de faire preuve de diligence raisonnable afin de faciliter cette surveillance. Et puisque Livent n</w:t>
      </w:r>
      <w:r>
        <w:rPr>
          <w:rFonts w:cs="Times New Roman"/>
          <w:noProof/>
          <w:lang w:val="fr-CA"/>
        </w:rPr>
        <w:t>’</w:t>
      </w:r>
      <w:r w:rsidRPr="000E14A8">
        <w:rPr>
          <w:rFonts w:cs="Times New Roman"/>
          <w:noProof/>
          <w:lang w:val="fr-CA"/>
        </w:rPr>
        <w:t>avait aucun droit de se fier aux déclarations de Deloitte à une fin autre que celle visée par l</w:t>
      </w:r>
      <w:r>
        <w:rPr>
          <w:rFonts w:cs="Times New Roman"/>
          <w:noProof/>
          <w:lang w:val="fr-CA"/>
        </w:rPr>
        <w:t>’</w:t>
      </w:r>
      <w:r w:rsidRPr="000E14A8">
        <w:rPr>
          <w:rFonts w:cs="Times New Roman"/>
          <w:noProof/>
          <w:lang w:val="fr-CA"/>
        </w:rPr>
        <w:t>engagement de cette dernière, la confiance de Livent n</w:t>
      </w:r>
      <w:r>
        <w:rPr>
          <w:rFonts w:cs="Times New Roman"/>
          <w:noProof/>
          <w:lang w:val="fr-CA"/>
        </w:rPr>
        <w:t>’</w:t>
      </w:r>
      <w:r w:rsidRPr="000E14A8">
        <w:rPr>
          <w:rFonts w:cs="Times New Roman"/>
          <w:noProof/>
          <w:lang w:val="fr-CA"/>
        </w:rPr>
        <w:t>était ni raisonnable ni raisonnablement prévisible. En conséquence, l</w:t>
      </w:r>
      <w:r>
        <w:rPr>
          <w:rFonts w:cs="Times New Roman"/>
          <w:noProof/>
          <w:lang w:val="fr-CA"/>
        </w:rPr>
        <w:t>’</w:t>
      </w:r>
      <w:r w:rsidRPr="000E14A8">
        <w:rPr>
          <w:rFonts w:cs="Times New Roman"/>
          <w:noProof/>
          <w:lang w:val="fr-CA"/>
        </w:rPr>
        <w:t>augmentation du déficit de liquidation de Livent découlant du fait que celle</w:t>
      </w:r>
      <w:r w:rsidRPr="000E14A8">
        <w:rPr>
          <w:rFonts w:cs="Times New Roman"/>
          <w:noProof/>
          <w:lang w:val="fr-CA"/>
        </w:rPr>
        <w:noBreakHyphen/>
        <w:t>ci s</w:t>
      </w:r>
      <w:r>
        <w:rPr>
          <w:rFonts w:cs="Times New Roman"/>
          <w:noProof/>
          <w:lang w:val="fr-CA"/>
        </w:rPr>
        <w:t>’</w:t>
      </w:r>
      <w:r w:rsidRPr="000E14A8">
        <w:rPr>
          <w:rFonts w:cs="Times New Roman"/>
          <w:noProof/>
          <w:lang w:val="fr-CA"/>
        </w:rPr>
        <w:t xml:space="preserve">est fiée au communiqué de presse et à la lettre de confort ne constituait pas un préjudice raisonnablement prévisible. </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noProof/>
          <w:lang w:val="fr-CA"/>
        </w:rPr>
        <w:lastRenderedPageBreak/>
        <w:t>Cela ne veut pas dire que Livent ne disposait d</w:t>
      </w:r>
      <w:r>
        <w:rPr>
          <w:rFonts w:cs="Times New Roman"/>
          <w:noProof/>
          <w:lang w:val="fr-CA"/>
        </w:rPr>
        <w:t>’</w:t>
      </w:r>
      <w:r w:rsidRPr="000E14A8">
        <w:rPr>
          <w:rFonts w:cs="Times New Roman"/>
          <w:noProof/>
          <w:lang w:val="fr-CA"/>
        </w:rPr>
        <w:t xml:space="preserve">aucun moyen de surveiller </w:t>
      </w:r>
      <w:r w:rsidRPr="000E14A8">
        <w:rPr>
          <w:rFonts w:cs="Times New Roman"/>
          <w:lang w:val="fr-CA"/>
        </w:rPr>
        <w:t>la gestion</w:t>
      </w:r>
      <w:r w:rsidRPr="000E14A8">
        <w:rPr>
          <w:rFonts w:cs="Times New Roman"/>
          <w:noProof/>
          <w:lang w:val="fr-CA"/>
        </w:rPr>
        <w:t xml:space="preserve"> à l</w:t>
      </w:r>
      <w:r>
        <w:rPr>
          <w:rFonts w:cs="Times New Roman"/>
          <w:noProof/>
          <w:lang w:val="fr-CA"/>
        </w:rPr>
        <w:t>’</w:t>
      </w:r>
      <w:r w:rsidRPr="000E14A8">
        <w:rPr>
          <w:rFonts w:cs="Times New Roman"/>
          <w:noProof/>
          <w:lang w:val="fr-CA"/>
        </w:rPr>
        <w:t>époque où Deloitte l</w:t>
      </w:r>
      <w:r>
        <w:rPr>
          <w:rFonts w:cs="Times New Roman"/>
          <w:noProof/>
          <w:lang w:val="fr-CA"/>
        </w:rPr>
        <w:t>’</w:t>
      </w:r>
      <w:r w:rsidRPr="000E14A8">
        <w:rPr>
          <w:rFonts w:cs="Times New Roman"/>
          <w:noProof/>
          <w:lang w:val="fr-CA"/>
        </w:rPr>
        <w:t>a aidée à solliciter des investissements. En effet, pour les besoins d</w:t>
      </w:r>
      <w:r>
        <w:rPr>
          <w:rFonts w:cs="Times New Roman"/>
          <w:noProof/>
          <w:lang w:val="fr-CA"/>
        </w:rPr>
        <w:t>’</w:t>
      </w:r>
      <w:r w:rsidRPr="000E14A8">
        <w:rPr>
          <w:rFonts w:cs="Times New Roman"/>
          <w:noProof/>
          <w:lang w:val="fr-CA"/>
        </w:rPr>
        <w:t>une surveillance interne, Livent pouvait raisonnablement se fier au rapport de 1996 préparé par Deloitte. Contrairement à la lettre de confort, le rapport de 1996 avait pour objet d</w:t>
      </w:r>
      <w:r>
        <w:rPr>
          <w:rFonts w:cs="Times New Roman"/>
          <w:noProof/>
          <w:lang w:val="fr-CA"/>
        </w:rPr>
        <w:t>’</w:t>
      </w:r>
      <w:r w:rsidRPr="000E14A8">
        <w:rPr>
          <w:rFonts w:cs="Times New Roman"/>
          <w:noProof/>
          <w:lang w:val="fr-CA"/>
        </w:rPr>
        <w:t xml:space="preserve">aider les actionnaires à surveiller </w:t>
      </w:r>
      <w:r w:rsidRPr="000E14A8">
        <w:rPr>
          <w:rFonts w:cs="Times New Roman"/>
          <w:lang w:val="fr-CA"/>
        </w:rPr>
        <w:t>la gestion</w:t>
      </w:r>
      <w:r w:rsidRPr="000E14A8">
        <w:rPr>
          <w:rFonts w:cs="Times New Roman"/>
          <w:noProof/>
          <w:lang w:val="fr-CA"/>
        </w:rPr>
        <w:t xml:space="preserve">. Par conséquent, sa préparation négligente pouvait causer un préjudice raisonnablement prévisible, les actionnaires étant incapables de surveiller la </w:t>
      </w:r>
      <w:r w:rsidRPr="000E14A8">
        <w:rPr>
          <w:rFonts w:cs="Times New Roman"/>
          <w:lang w:val="fr-CA"/>
        </w:rPr>
        <w:t>gestion.</w:t>
      </w:r>
      <w:r w:rsidRPr="000E14A8">
        <w:rPr>
          <w:rFonts w:cs="Times New Roman"/>
          <w:noProof/>
          <w:lang w:val="fr-CA"/>
        </w:rPr>
        <w:t xml:space="preserve"> Le juge de première instance a toutefois conclu en fait que la négligence dont Deloitte avait fait preuve dans la préparation du rapport de 1996 n</w:t>
      </w:r>
      <w:r>
        <w:rPr>
          <w:rFonts w:cs="Times New Roman"/>
          <w:noProof/>
          <w:lang w:val="fr-CA"/>
        </w:rPr>
        <w:t>’</w:t>
      </w:r>
      <w:r w:rsidRPr="000E14A8">
        <w:rPr>
          <w:rFonts w:cs="Times New Roman"/>
          <w:noProof/>
          <w:lang w:val="fr-CA"/>
        </w:rPr>
        <w:t>avait causé aucun préjudice à Livent. Puisque Livent n</w:t>
      </w:r>
      <w:r>
        <w:rPr>
          <w:rFonts w:cs="Times New Roman"/>
          <w:noProof/>
          <w:lang w:val="fr-CA"/>
        </w:rPr>
        <w:t>’</w:t>
      </w:r>
      <w:r w:rsidRPr="000E14A8">
        <w:rPr>
          <w:rFonts w:cs="Times New Roman"/>
          <w:noProof/>
          <w:lang w:val="fr-CA"/>
        </w:rPr>
        <w:t xml:space="preserve">a pas formé de pourvoi incident contre cette conclusion, nous nous abstenons de toute autre remarque à ce sujet. </w:t>
      </w:r>
    </w:p>
    <w:p w:rsidR="003A506E" w:rsidRPr="000E14A8" w:rsidRDefault="003A506E" w:rsidP="003A506E">
      <w:pPr>
        <w:pStyle w:val="Title4LevelTitre4Niveau"/>
        <w:rPr>
          <w:rFonts w:cs="Times New Roman"/>
          <w:lang w:val="fr-CA"/>
        </w:rPr>
      </w:pPr>
      <w:r w:rsidRPr="000E14A8">
        <w:rPr>
          <w:rFonts w:cs="Times New Roman"/>
          <w:lang w:val="fr-CA"/>
        </w:rPr>
        <w:t>Considérations de politique résiduelles</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Ayant conclu à l</w:t>
      </w:r>
      <w:r>
        <w:rPr>
          <w:rFonts w:cs="Times New Roman"/>
          <w:lang w:val="fr-CA"/>
        </w:rPr>
        <w:t>’</w:t>
      </w:r>
      <w:r w:rsidRPr="000E14A8">
        <w:rPr>
          <w:rFonts w:cs="Times New Roman"/>
          <w:lang w:val="fr-CA"/>
        </w:rPr>
        <w:t>absence d</w:t>
      </w:r>
      <w:r>
        <w:rPr>
          <w:rFonts w:cs="Times New Roman"/>
          <w:lang w:val="fr-CA"/>
        </w:rPr>
        <w:t>’</w:t>
      </w:r>
      <w:r w:rsidRPr="000E14A8">
        <w:rPr>
          <w:rFonts w:cs="Times New Roman"/>
          <w:lang w:val="fr-CA"/>
        </w:rPr>
        <w:t xml:space="preserve">une obligation de diligence </w:t>
      </w:r>
      <w:r w:rsidRPr="000E14A8">
        <w:rPr>
          <w:rFonts w:cs="Times New Roman"/>
          <w:i/>
          <w:lang w:val="fr-CA"/>
        </w:rPr>
        <w:t xml:space="preserve">prima facie </w:t>
      </w:r>
      <w:r w:rsidRPr="000E14A8">
        <w:rPr>
          <w:rFonts w:cs="Times New Roman"/>
          <w:lang w:val="fr-CA"/>
        </w:rPr>
        <w:t>pour ce qui est de la collaboration de Deloitte dans la sollicitation de fonds d</w:t>
      </w:r>
      <w:r>
        <w:rPr>
          <w:rFonts w:cs="Times New Roman"/>
          <w:lang w:val="fr-CA"/>
        </w:rPr>
        <w:t>’</w:t>
      </w:r>
      <w:r w:rsidRPr="000E14A8">
        <w:rPr>
          <w:rFonts w:cs="Times New Roman"/>
          <w:lang w:val="fr-CA"/>
        </w:rPr>
        <w:t>investissement et de l</w:t>
      </w:r>
      <w:r>
        <w:rPr>
          <w:rFonts w:cs="Times New Roman"/>
          <w:lang w:val="fr-CA"/>
        </w:rPr>
        <w:t>’</w:t>
      </w:r>
      <w:r w:rsidRPr="000E14A8">
        <w:rPr>
          <w:rFonts w:cs="Times New Roman"/>
          <w:lang w:val="fr-CA"/>
        </w:rPr>
        <w:t>augmentation consécutive du déficit de liquidation de Livent, point n</w:t>
      </w:r>
      <w:r>
        <w:rPr>
          <w:rFonts w:cs="Times New Roman"/>
          <w:lang w:val="fr-CA"/>
        </w:rPr>
        <w:t>’</w:t>
      </w:r>
      <w:r w:rsidRPr="000E14A8">
        <w:rPr>
          <w:rFonts w:cs="Times New Roman"/>
          <w:lang w:val="fr-CA"/>
        </w:rPr>
        <w:t>est besoin d</w:t>
      </w:r>
      <w:r>
        <w:rPr>
          <w:rFonts w:cs="Times New Roman"/>
          <w:lang w:val="fr-CA"/>
        </w:rPr>
        <w:t>’</w:t>
      </w:r>
      <w:r w:rsidRPr="000E14A8">
        <w:rPr>
          <w:rFonts w:cs="Times New Roman"/>
          <w:lang w:val="fr-CA"/>
        </w:rPr>
        <w:t>examiner les considérations de politique résiduelles.</w:t>
      </w:r>
    </w:p>
    <w:p w:rsidR="003A506E" w:rsidRPr="000E14A8" w:rsidRDefault="003A506E" w:rsidP="003A506E">
      <w:pPr>
        <w:pStyle w:val="Title3LevelTitre3Niveau"/>
        <w:rPr>
          <w:rFonts w:cs="Times New Roman"/>
          <w:lang w:val="fr-CA"/>
        </w:rPr>
      </w:pPr>
      <w:r w:rsidRPr="000E14A8">
        <w:rPr>
          <w:rFonts w:cs="Times New Roman"/>
          <w:lang w:val="fr-CA"/>
        </w:rPr>
        <w:t>Opinion sans réserve pour l</w:t>
      </w:r>
      <w:r>
        <w:rPr>
          <w:rFonts w:cs="Times New Roman"/>
          <w:lang w:val="fr-CA"/>
        </w:rPr>
        <w:t>’</w:t>
      </w:r>
      <w:r w:rsidRPr="000E14A8">
        <w:rPr>
          <w:rFonts w:cs="Times New Roman"/>
          <w:noProof/>
          <w:lang w:val="fr-CA"/>
        </w:rPr>
        <w:t>exercice</w:t>
      </w:r>
      <w:r w:rsidRPr="000E14A8">
        <w:rPr>
          <w:rFonts w:cs="Times New Roman"/>
          <w:lang w:val="fr-CA"/>
        </w:rPr>
        <w:t xml:space="preserve"> 1997 (avril 1998)</w:t>
      </w:r>
    </w:p>
    <w:p w:rsidR="003A506E" w:rsidRPr="000E14A8" w:rsidRDefault="003A506E" w:rsidP="003A506E">
      <w:pPr>
        <w:pStyle w:val="Title4LevelTitre4Niveau"/>
        <w:rPr>
          <w:rFonts w:cs="Times New Roman"/>
          <w:lang w:val="fr-CA"/>
        </w:rPr>
      </w:pPr>
      <w:r w:rsidRPr="000E14A8">
        <w:rPr>
          <w:rFonts w:cs="Times New Roman"/>
          <w:lang w:val="fr-CA"/>
        </w:rPr>
        <w:t>Obligation de diligence prima facie</w:t>
      </w:r>
    </w:p>
    <w:p w:rsidR="003A506E" w:rsidRPr="000E14A8" w:rsidRDefault="003A506E" w:rsidP="003A506E">
      <w:pPr>
        <w:pStyle w:val="Title5LevelTitre5Niveau"/>
        <w:rPr>
          <w:rFonts w:cs="Times New Roman"/>
          <w:lang w:val="fr-CA"/>
        </w:rPr>
      </w:pPr>
      <w:r w:rsidRPr="000E14A8">
        <w:rPr>
          <w:rFonts w:cs="Times New Roman"/>
          <w:lang w:val="fr-CA"/>
        </w:rPr>
        <w:t>Proximité</w:t>
      </w:r>
    </w:p>
    <w:p w:rsidR="003A506E" w:rsidRPr="000E14A8" w:rsidRDefault="003A506E" w:rsidP="003A506E">
      <w:pPr>
        <w:pStyle w:val="ParaNoNdepar-AltN"/>
        <w:rPr>
          <w:rFonts w:cs="Times New Roman"/>
          <w:lang w:val="fr-CA"/>
        </w:rPr>
      </w:pPr>
      <w:r w:rsidRPr="000E14A8">
        <w:rPr>
          <w:rFonts w:cs="Times New Roman"/>
          <w:lang w:val="fr-CA"/>
        </w:rPr>
        <w:lastRenderedPageBreak/>
        <w:t>Notre Cour a déjà établi que le vérificateur est tenu à l</w:t>
      </w:r>
      <w:r>
        <w:rPr>
          <w:rFonts w:cs="Times New Roman"/>
          <w:lang w:val="fr-CA"/>
        </w:rPr>
        <w:t>’</w:t>
      </w:r>
      <w:r w:rsidRPr="000E14A8">
        <w:rPr>
          <w:rFonts w:cs="Times New Roman"/>
          <w:lang w:val="fr-CA"/>
        </w:rPr>
        <w:t>égard d</w:t>
      </w:r>
      <w:r>
        <w:rPr>
          <w:rFonts w:cs="Times New Roman"/>
          <w:lang w:val="fr-CA"/>
        </w:rPr>
        <w:t>’</w:t>
      </w:r>
      <w:r w:rsidRPr="000E14A8">
        <w:rPr>
          <w:rFonts w:cs="Times New Roman"/>
          <w:lang w:val="fr-CA"/>
        </w:rPr>
        <w:t>une société cliente à une obligation de diligence dans la préparation d</w:t>
      </w:r>
      <w:r>
        <w:rPr>
          <w:rFonts w:cs="Times New Roman"/>
          <w:lang w:val="fr-CA"/>
        </w:rPr>
        <w:t>’</w:t>
      </w:r>
      <w:r w:rsidRPr="000E14A8">
        <w:rPr>
          <w:rFonts w:cs="Times New Roman"/>
          <w:lang w:val="fr-CA"/>
        </w:rPr>
        <w:t>une vérification exigée par la loi. Il s</w:t>
      </w:r>
      <w:r>
        <w:rPr>
          <w:rFonts w:cs="Times New Roman"/>
          <w:lang w:val="fr-CA"/>
        </w:rPr>
        <w:t>’</w:t>
      </w:r>
      <w:r w:rsidRPr="000E14A8">
        <w:rPr>
          <w:rFonts w:cs="Times New Roman"/>
          <w:lang w:val="fr-CA"/>
        </w:rPr>
        <w:t>ensuit que le lien de proximité reconnu dans l</w:t>
      </w:r>
      <w:r>
        <w:rPr>
          <w:rFonts w:cs="Times New Roman"/>
          <w:lang w:val="fr-CA"/>
        </w:rPr>
        <w:t>’</w:t>
      </w:r>
      <w:r w:rsidRPr="000E14A8">
        <w:rPr>
          <w:rFonts w:cs="Times New Roman"/>
          <w:lang w:val="fr-CA"/>
        </w:rPr>
        <w:t xml:space="preserve">arrêt </w:t>
      </w:r>
      <w:r w:rsidRPr="000E14A8">
        <w:rPr>
          <w:rFonts w:cs="Times New Roman"/>
          <w:i/>
          <w:lang w:val="fr-CA"/>
        </w:rPr>
        <w:t xml:space="preserve">Hercules </w:t>
      </w:r>
      <w:r w:rsidRPr="000E14A8">
        <w:rPr>
          <w:rFonts w:cs="Times New Roman"/>
          <w:lang w:val="fr-CA"/>
        </w:rPr>
        <w:t>sera déterminant pour ce qui est de l</w:t>
      </w:r>
      <w:r>
        <w:rPr>
          <w:rFonts w:cs="Times New Roman"/>
          <w:lang w:val="fr-CA"/>
        </w:rPr>
        <w:t>’</w:t>
      </w:r>
      <w:r w:rsidRPr="000E14A8">
        <w:rPr>
          <w:rFonts w:cs="Times New Roman"/>
          <w:lang w:val="fr-CA"/>
        </w:rPr>
        <w:t>existence d</w:t>
      </w:r>
      <w:r>
        <w:rPr>
          <w:rFonts w:cs="Times New Roman"/>
          <w:lang w:val="fr-CA"/>
        </w:rPr>
        <w:t>’</w:t>
      </w:r>
      <w:r w:rsidRPr="000E14A8">
        <w:rPr>
          <w:rFonts w:cs="Times New Roman"/>
          <w:lang w:val="fr-CA"/>
        </w:rPr>
        <w:t>une obligation de diligence en l</w:t>
      </w:r>
      <w:r>
        <w:rPr>
          <w:rFonts w:cs="Times New Roman"/>
          <w:lang w:val="fr-CA"/>
        </w:rPr>
        <w:t>’</w:t>
      </w:r>
      <w:r w:rsidRPr="000E14A8">
        <w:rPr>
          <w:rFonts w:cs="Times New Roman"/>
          <w:lang w:val="fr-CA"/>
        </w:rPr>
        <w:t>espèce, à moins que la fin à laquelle Deloitte s</w:t>
      </w:r>
      <w:r>
        <w:rPr>
          <w:rFonts w:cs="Times New Roman"/>
          <w:lang w:val="fr-CA"/>
        </w:rPr>
        <w:t>’</w:t>
      </w:r>
      <w:r w:rsidRPr="000E14A8">
        <w:rPr>
          <w:rFonts w:cs="Times New Roman"/>
          <w:lang w:val="fr-CA"/>
        </w:rPr>
        <w:t>est engagée à préparer cette vérification soit différente de celle en cause dans l</w:t>
      </w:r>
      <w:r>
        <w:rPr>
          <w:rFonts w:cs="Times New Roman"/>
          <w:lang w:val="fr-CA"/>
        </w:rPr>
        <w:t>’</w:t>
      </w:r>
      <w:r w:rsidRPr="000E14A8">
        <w:rPr>
          <w:rFonts w:cs="Times New Roman"/>
          <w:lang w:val="fr-CA"/>
        </w:rPr>
        <w:t xml:space="preserve">arrêt </w:t>
      </w:r>
      <w:r w:rsidRPr="000E14A8">
        <w:rPr>
          <w:rFonts w:cs="Times New Roman"/>
          <w:i/>
          <w:lang w:val="fr-CA"/>
        </w:rPr>
        <w:t>Hercules</w:t>
      </w:r>
      <w:r w:rsidRPr="000E14A8">
        <w:rPr>
          <w:rFonts w:cs="Times New Roman"/>
          <w:lang w:val="fr-CA"/>
        </w:rPr>
        <w:t>. Comme nous le verrons, elle ne l</w:t>
      </w:r>
      <w:r>
        <w:rPr>
          <w:rFonts w:cs="Times New Roman"/>
          <w:lang w:val="fr-CA"/>
        </w:rPr>
        <w:t>’</w:t>
      </w:r>
      <w:r w:rsidRPr="000E14A8">
        <w:rPr>
          <w:rFonts w:cs="Times New Roman"/>
          <w:lang w:val="fr-CA"/>
        </w:rPr>
        <w:t>est pas.</w:t>
      </w:r>
    </w:p>
    <w:p w:rsidR="003A506E" w:rsidRPr="000E14A8" w:rsidRDefault="003A506E" w:rsidP="003A506E">
      <w:pPr>
        <w:pStyle w:val="ParaNoNdepar-AltN"/>
        <w:rPr>
          <w:rFonts w:cs="Times New Roman"/>
          <w:lang w:val="fr-CA"/>
        </w:rPr>
      </w:pPr>
      <w:r w:rsidRPr="000E14A8">
        <w:rPr>
          <w:rFonts w:cs="Times New Roman"/>
          <w:lang w:val="fr-CA"/>
        </w:rPr>
        <w:t>Dans l</w:t>
      </w:r>
      <w:r>
        <w:rPr>
          <w:rFonts w:cs="Times New Roman"/>
          <w:lang w:val="fr-CA"/>
        </w:rPr>
        <w:t>’</w:t>
      </w:r>
      <w:r w:rsidRPr="000E14A8">
        <w:rPr>
          <w:rFonts w:cs="Times New Roman"/>
          <w:lang w:val="fr-CA"/>
        </w:rPr>
        <w:t xml:space="preserve">arrêt </w:t>
      </w:r>
      <w:r w:rsidRPr="000E14A8">
        <w:rPr>
          <w:rFonts w:cs="Times New Roman"/>
          <w:i/>
          <w:lang w:val="fr-CA"/>
        </w:rPr>
        <w:t>Hercules</w:t>
      </w:r>
      <w:r w:rsidRPr="000E14A8">
        <w:rPr>
          <w:rFonts w:cs="Times New Roman"/>
          <w:lang w:val="fr-CA"/>
        </w:rPr>
        <w:t>, par. 48, notre Cour a cité les propos formulés par lord Oliver dans l</w:t>
      </w:r>
      <w:r>
        <w:rPr>
          <w:rFonts w:cs="Times New Roman"/>
          <w:lang w:val="fr-CA"/>
        </w:rPr>
        <w:t>’</w:t>
      </w:r>
      <w:r w:rsidRPr="000E14A8">
        <w:rPr>
          <w:rFonts w:cs="Times New Roman"/>
          <w:lang w:val="fr-CA"/>
        </w:rPr>
        <w:t xml:space="preserve">arrêt </w:t>
      </w:r>
      <w:r w:rsidRPr="000E14A8">
        <w:rPr>
          <w:rFonts w:cs="Times New Roman"/>
          <w:i/>
          <w:lang w:val="fr-CA"/>
        </w:rPr>
        <w:t>Caparo</w:t>
      </w:r>
      <w:r w:rsidRPr="000E14A8">
        <w:rPr>
          <w:rFonts w:cs="Times New Roman"/>
          <w:lang w:val="fr-CA"/>
        </w:rPr>
        <w:t>, p. 583, au sujet des objectifs d</w:t>
      </w:r>
      <w:r>
        <w:rPr>
          <w:rFonts w:cs="Times New Roman"/>
          <w:lang w:val="fr-CA"/>
        </w:rPr>
        <w:t>’</w:t>
      </w:r>
      <w:r w:rsidRPr="000E14A8">
        <w:rPr>
          <w:rFonts w:cs="Times New Roman"/>
          <w:lang w:val="fr-CA"/>
        </w:rPr>
        <w:t xml:space="preserve">une vérification exigée par la loi : </w:t>
      </w:r>
    </w:p>
    <w:p w:rsidR="003A506E" w:rsidRPr="000E14A8" w:rsidRDefault="003A506E" w:rsidP="003A506E">
      <w:pPr>
        <w:pStyle w:val="Citation-AltC"/>
        <w:ind w:hanging="1166"/>
        <w:contextualSpacing w:val="0"/>
        <w:rPr>
          <w:lang w:val="fr-CA"/>
        </w:rPr>
      </w:pPr>
      <w:r w:rsidRPr="000E14A8">
        <w:rPr>
          <w:lang w:val="fr-CA"/>
        </w:rPr>
        <w:tab/>
        <w:t>[</w:t>
      </w:r>
      <w:r w:rsidRPr="000E14A8">
        <w:rPr>
          <w:smallCaps/>
          <w:lang w:val="fr-CA"/>
        </w:rPr>
        <w:t>traduction</w:t>
      </w:r>
      <w:r w:rsidRPr="000E14A8">
        <w:rPr>
          <w:lang w:val="fr-CA"/>
        </w:rPr>
        <w:t>] Il appartient aux vérificateurs de s</w:t>
      </w:r>
      <w:r>
        <w:rPr>
          <w:lang w:val="fr-CA"/>
        </w:rPr>
        <w:t>’</w:t>
      </w:r>
      <w:r w:rsidRPr="000E14A8">
        <w:rPr>
          <w:lang w:val="fr-CA"/>
        </w:rPr>
        <w:t>assurer, autant que possible, que l</w:t>
      </w:r>
      <w:r>
        <w:rPr>
          <w:lang w:val="fr-CA"/>
        </w:rPr>
        <w:t>’</w:t>
      </w:r>
      <w:r w:rsidRPr="000E14A8">
        <w:rPr>
          <w:lang w:val="fr-CA"/>
        </w:rPr>
        <w:t xml:space="preserve">information financière relative aux affaires de la société préparée par les administrateurs reflète exactement la situation de la société, afin, premièrement, </w:t>
      </w:r>
      <w:r w:rsidR="00D5275F">
        <w:rPr>
          <w:u w:val="single"/>
          <w:lang w:val="fr-CA"/>
        </w:rPr>
        <w:t>de protéger la société elle-</w:t>
      </w:r>
      <w:r w:rsidRPr="000E14A8">
        <w:rPr>
          <w:u w:val="single"/>
          <w:lang w:val="fr-CA"/>
        </w:rPr>
        <w:t>même contre les conséquences d</w:t>
      </w:r>
      <w:r>
        <w:rPr>
          <w:u w:val="single"/>
          <w:lang w:val="fr-CA"/>
        </w:rPr>
        <w:t>’</w:t>
      </w:r>
      <w:r w:rsidR="00D5275F">
        <w:rPr>
          <w:u w:val="single"/>
          <w:lang w:val="fr-CA"/>
        </w:rPr>
        <w:t>erreurs ou, peut-</w:t>
      </w:r>
      <w:r w:rsidRPr="000E14A8">
        <w:rPr>
          <w:u w:val="single"/>
          <w:lang w:val="fr-CA"/>
        </w:rPr>
        <w:t>être, de fautes non décelées [. . .] et, deuxièmement, de fournir aux actionnaires des renseignements fiables qui leur permettront d</w:t>
      </w:r>
      <w:r>
        <w:rPr>
          <w:u w:val="single"/>
          <w:lang w:val="fr-CA"/>
        </w:rPr>
        <w:t>’</w:t>
      </w:r>
      <w:r w:rsidRPr="000E14A8">
        <w:rPr>
          <w:u w:val="single"/>
          <w:lang w:val="fr-CA"/>
        </w:rPr>
        <w:t>examiner soigneusement la gestion des affaires de la société et d</w:t>
      </w:r>
      <w:r>
        <w:rPr>
          <w:u w:val="single"/>
          <w:lang w:val="fr-CA"/>
        </w:rPr>
        <w:t>’</w:t>
      </w:r>
      <w:r w:rsidRPr="000E14A8">
        <w:rPr>
          <w:u w:val="single"/>
          <w:lang w:val="fr-CA"/>
        </w:rPr>
        <w:t>exercer leurs pouvoirs collectifs de récompenser, de contrôler ou de destituer ceux à qui cette gestion a été confiée</w:t>
      </w:r>
      <w:r w:rsidRPr="00D5275F">
        <w:rPr>
          <w:lang w:val="fr-CA"/>
        </w:rPr>
        <w:t>.</w:t>
      </w:r>
      <w:r w:rsidRPr="000E14A8">
        <w:rPr>
          <w:lang w:val="fr-CA"/>
        </w:rPr>
        <w:t xml:space="preserve"> [Nous soulignons; soulignement dans l</w:t>
      </w:r>
      <w:r>
        <w:rPr>
          <w:lang w:val="fr-CA"/>
        </w:rPr>
        <w:t>’</w:t>
      </w:r>
      <w:r w:rsidRPr="000E14A8">
        <w:rPr>
          <w:lang w:val="fr-CA"/>
        </w:rPr>
        <w:t xml:space="preserve">original omis.] </w:t>
      </w:r>
    </w:p>
    <w:p w:rsidR="003A506E" w:rsidRPr="000E14A8" w:rsidRDefault="003A506E" w:rsidP="003A506E">
      <w:pPr>
        <w:pStyle w:val="ParaNoNdepar-AltN"/>
        <w:rPr>
          <w:rFonts w:cs="Times New Roman"/>
          <w:lang w:val="fr-CA"/>
        </w:rPr>
      </w:pPr>
      <w:r w:rsidRPr="000E14A8">
        <w:rPr>
          <w:rFonts w:cs="Times New Roman"/>
          <w:lang w:val="fr-CA"/>
        </w:rPr>
        <w:t xml:space="preserve">Selon le juge La Forest, ces buts ne différaient pas de ceux visés aux dispositions relatives à la vérification exigée par la </w:t>
      </w:r>
      <w:r w:rsidRPr="000E14A8">
        <w:rPr>
          <w:rFonts w:cs="Times New Roman"/>
          <w:i/>
          <w:lang w:val="fr-CA"/>
        </w:rPr>
        <w:t>Loi sur les corporations</w:t>
      </w:r>
      <w:r w:rsidRPr="000E14A8">
        <w:rPr>
          <w:rFonts w:cs="Times New Roman"/>
          <w:lang w:val="fr-CA"/>
        </w:rPr>
        <w:t xml:space="preserve">, </w:t>
      </w:r>
      <w:r w:rsidR="00D5275F">
        <w:rPr>
          <w:rFonts w:cs="Times New Roman"/>
          <w:lang w:val="fr-CA"/>
        </w:rPr>
        <w:t>L.R.M. 1987,</w:t>
      </w:r>
      <w:r w:rsidRPr="000E14A8">
        <w:rPr>
          <w:rFonts w:cs="Times New Roman"/>
          <w:lang w:val="fr-CA"/>
        </w:rPr>
        <w:t xml:space="preserve"> c. C225, du Manitoba, en cause dans </w:t>
      </w:r>
      <w:r w:rsidRPr="000E14A8">
        <w:rPr>
          <w:rFonts w:cs="Times New Roman"/>
          <w:i/>
          <w:lang w:val="fr-CA"/>
        </w:rPr>
        <w:t>Hercules</w:t>
      </w:r>
      <w:r w:rsidRPr="000E14A8">
        <w:rPr>
          <w:rFonts w:cs="Times New Roman"/>
          <w:lang w:val="fr-CA"/>
        </w:rPr>
        <w:t>. Au sujet du deuxième but, notre Cour a déclaré qu</w:t>
      </w:r>
      <w:r>
        <w:rPr>
          <w:rFonts w:cs="Times New Roman"/>
          <w:lang w:val="fr-CA"/>
        </w:rPr>
        <w:t>’</w:t>
      </w:r>
      <w:r w:rsidRPr="000E14A8">
        <w:rPr>
          <w:rFonts w:cs="Times New Roman"/>
          <w:lang w:val="fr-CA"/>
        </w:rPr>
        <w:t>une vérification exigée par la loi était nécessaire afin de « permettre [aux actionnaires], en tant qu</w:t>
      </w:r>
      <w:r>
        <w:rPr>
          <w:rFonts w:cs="Times New Roman"/>
          <w:lang w:val="fr-CA"/>
        </w:rPr>
        <w:t>’</w:t>
      </w:r>
      <w:r w:rsidRPr="000E14A8">
        <w:rPr>
          <w:rFonts w:cs="Times New Roman"/>
          <w:lang w:val="fr-CA"/>
        </w:rPr>
        <w:t>entité, de prendre des décisions quant à la façon dont ils veulent que la société soit gérée, d</w:t>
      </w:r>
      <w:r>
        <w:rPr>
          <w:rFonts w:cs="Times New Roman"/>
          <w:lang w:val="fr-CA"/>
        </w:rPr>
        <w:t>’</w:t>
      </w:r>
      <w:r w:rsidRPr="000E14A8">
        <w:rPr>
          <w:rFonts w:cs="Times New Roman"/>
          <w:lang w:val="fr-CA"/>
        </w:rPr>
        <w:t>évaluer le rendement des administrateurs et des dirigeants, et de décider s</w:t>
      </w:r>
      <w:r>
        <w:rPr>
          <w:rFonts w:cs="Times New Roman"/>
          <w:lang w:val="fr-CA"/>
        </w:rPr>
        <w:t>’</w:t>
      </w:r>
      <w:r w:rsidRPr="000E14A8">
        <w:rPr>
          <w:rFonts w:cs="Times New Roman"/>
          <w:lang w:val="fr-CA"/>
        </w:rPr>
        <w:t>ils veulent les garder en poste ou les remplacer » (</w:t>
      </w:r>
      <w:r w:rsidRPr="000E14A8">
        <w:rPr>
          <w:rFonts w:cs="Times New Roman"/>
          <w:i/>
          <w:lang w:val="fr-CA"/>
        </w:rPr>
        <w:t>Hercules</w:t>
      </w:r>
      <w:r w:rsidRPr="000E14A8">
        <w:rPr>
          <w:rFonts w:cs="Times New Roman"/>
          <w:lang w:val="fr-CA"/>
        </w:rPr>
        <w:t xml:space="preserve">, </w:t>
      </w:r>
      <w:r w:rsidRPr="000E14A8">
        <w:rPr>
          <w:rFonts w:cs="Times New Roman"/>
          <w:lang w:val="fr-CA"/>
        </w:rPr>
        <w:lastRenderedPageBreak/>
        <w:t>par. 49). Ainsi, le but des rapports de vérification « était précisément d</w:t>
      </w:r>
      <w:r>
        <w:rPr>
          <w:rFonts w:cs="Times New Roman"/>
          <w:lang w:val="fr-CA"/>
        </w:rPr>
        <w:t>’</w:t>
      </w:r>
      <w:r w:rsidRPr="000E14A8">
        <w:rPr>
          <w:rFonts w:cs="Times New Roman"/>
          <w:lang w:val="fr-CA"/>
        </w:rPr>
        <w:t>aider la collectivité des actionnaires des sociétés vérifiées à en surveiller la gestion » (</w:t>
      </w:r>
      <w:r w:rsidRPr="000E14A8">
        <w:rPr>
          <w:rFonts w:cs="Times New Roman"/>
          <w:i/>
          <w:lang w:val="fr-CA"/>
        </w:rPr>
        <w:t>ibid.</w:t>
      </w:r>
      <w:r w:rsidRPr="000E14A8">
        <w:rPr>
          <w:rFonts w:cs="Times New Roman"/>
          <w:lang w:val="fr-CA"/>
        </w:rPr>
        <w:t>).</w:t>
      </w:r>
    </w:p>
    <w:p w:rsidR="003A506E" w:rsidRPr="000E14A8" w:rsidRDefault="003A506E" w:rsidP="003A506E">
      <w:pPr>
        <w:pStyle w:val="ParaNoNdepar-AltN"/>
        <w:rPr>
          <w:rFonts w:cs="Times New Roman"/>
          <w:lang w:val="fr-CA"/>
        </w:rPr>
      </w:pPr>
      <w:r w:rsidRPr="000E14A8">
        <w:rPr>
          <w:rFonts w:cs="Times New Roman"/>
          <w:lang w:val="fr-CA"/>
        </w:rPr>
        <w:t>Aucune des parties devant nous n</w:t>
      </w:r>
      <w:r>
        <w:rPr>
          <w:rFonts w:cs="Times New Roman"/>
          <w:lang w:val="fr-CA"/>
        </w:rPr>
        <w:t>’</w:t>
      </w:r>
      <w:r w:rsidRPr="000E14A8">
        <w:rPr>
          <w:rFonts w:cs="Times New Roman"/>
          <w:lang w:val="fr-CA"/>
        </w:rPr>
        <w:t>a prétendu que les buts visés par la préparation de la vérification exigée par la loi, qui sont reconnus en droit canadien depuis une vingtaine d</w:t>
      </w:r>
      <w:r>
        <w:rPr>
          <w:rFonts w:cs="Times New Roman"/>
          <w:lang w:val="fr-CA"/>
        </w:rPr>
        <w:t>’</w:t>
      </w:r>
      <w:r w:rsidRPr="000E14A8">
        <w:rPr>
          <w:rFonts w:cs="Times New Roman"/>
          <w:lang w:val="fr-CA"/>
        </w:rPr>
        <w:t>années, ont changé. Ces buts sont compatibles avec la loi ontarienne applicable en l</w:t>
      </w:r>
      <w:r>
        <w:rPr>
          <w:rFonts w:cs="Times New Roman"/>
          <w:lang w:val="fr-CA"/>
        </w:rPr>
        <w:t>’</w:t>
      </w:r>
      <w:r w:rsidRPr="000E14A8">
        <w:rPr>
          <w:rFonts w:cs="Times New Roman"/>
          <w:lang w:val="fr-CA"/>
        </w:rPr>
        <w:t xml:space="preserve">espèce, la </w:t>
      </w:r>
      <w:r w:rsidRPr="000E14A8">
        <w:rPr>
          <w:rFonts w:cs="Times New Roman"/>
          <w:i/>
          <w:lang w:val="fr-CA"/>
        </w:rPr>
        <w:t>Loi sur les sociétés par actions</w:t>
      </w:r>
      <w:r w:rsidRPr="000E14A8">
        <w:rPr>
          <w:rFonts w:cs="Times New Roman"/>
          <w:lang w:val="fr-CA"/>
        </w:rPr>
        <w:t>, L.R.O. 1990, c. B.16 (« </w:t>
      </w:r>
      <w:r w:rsidRPr="000E14A8">
        <w:rPr>
          <w:rFonts w:cs="Times New Roman"/>
          <w:i/>
          <w:lang w:val="fr-CA"/>
        </w:rPr>
        <w:t>LSAO</w:t>
      </w:r>
      <w:r w:rsidRPr="000E14A8">
        <w:rPr>
          <w:rFonts w:cs="Times New Roman"/>
          <w:lang w:val="fr-CA"/>
        </w:rPr>
        <w:t xml:space="preserve"> »). Plus particulièrement, les art. 153 et 154 de la </w:t>
      </w:r>
      <w:r w:rsidRPr="000E14A8">
        <w:rPr>
          <w:rFonts w:cs="Times New Roman"/>
          <w:i/>
          <w:lang w:val="fr-CA"/>
        </w:rPr>
        <w:t>LSAO</w:t>
      </w:r>
      <w:r w:rsidRPr="000E14A8">
        <w:rPr>
          <w:rFonts w:cs="Times New Roman"/>
          <w:lang w:val="fr-CA"/>
        </w:rPr>
        <w:t xml:space="preserve"> exigent que Deloitte, en tant que vérificateur de Livent, procède à l</w:t>
      </w:r>
      <w:r>
        <w:rPr>
          <w:rFonts w:cs="Times New Roman"/>
          <w:lang w:val="fr-CA"/>
        </w:rPr>
        <w:t>’</w:t>
      </w:r>
      <w:r w:rsidRPr="000E14A8">
        <w:rPr>
          <w:rFonts w:cs="Times New Roman"/>
          <w:lang w:val="fr-CA"/>
        </w:rPr>
        <w:t>examen des états financiers de cette dernière afin que les administrateurs de Livent puissent s</w:t>
      </w:r>
      <w:r>
        <w:rPr>
          <w:rFonts w:cs="Times New Roman"/>
          <w:lang w:val="fr-CA"/>
        </w:rPr>
        <w:t>’</w:t>
      </w:r>
      <w:r w:rsidRPr="000E14A8">
        <w:rPr>
          <w:rFonts w:cs="Times New Roman"/>
          <w:lang w:val="fr-CA"/>
        </w:rPr>
        <w:t>acquitter de leur obligation de soumettre chaque année aux actionnaires, lors de l</w:t>
      </w:r>
      <w:r>
        <w:rPr>
          <w:rFonts w:cs="Times New Roman"/>
          <w:lang w:val="fr-CA"/>
        </w:rPr>
        <w:t>’</w:t>
      </w:r>
      <w:r w:rsidRPr="000E14A8">
        <w:rPr>
          <w:rFonts w:cs="Times New Roman"/>
          <w:lang w:val="fr-CA"/>
        </w:rPr>
        <w:t>assemblée générale annuelle, un rapport du vérificateur. Par ailleurs, bien qu</w:t>
      </w:r>
      <w:r>
        <w:rPr>
          <w:rFonts w:cs="Times New Roman"/>
          <w:lang w:val="fr-CA"/>
        </w:rPr>
        <w:t>’</w:t>
      </w:r>
      <w:r w:rsidRPr="000E14A8">
        <w:rPr>
          <w:rFonts w:cs="Times New Roman"/>
          <w:lang w:val="fr-CA"/>
        </w:rPr>
        <w:t>il fût précisé dans les lettres de mission entre Deloitte et Livent que la détection de la fraude n</w:t>
      </w:r>
      <w:r>
        <w:rPr>
          <w:rFonts w:cs="Times New Roman"/>
          <w:lang w:val="fr-CA"/>
        </w:rPr>
        <w:t>’</w:t>
      </w:r>
      <w:r w:rsidRPr="000E14A8">
        <w:rPr>
          <w:rFonts w:cs="Times New Roman"/>
          <w:lang w:val="fr-CA"/>
        </w:rPr>
        <w:t>était pas garantie même si Deloitte prenait toutes les précautions raisonnables, elles ne libéraient pas cette dernière de sa responsabilité en cas d</w:t>
      </w:r>
      <w:r>
        <w:rPr>
          <w:rFonts w:cs="Times New Roman"/>
          <w:lang w:val="fr-CA"/>
        </w:rPr>
        <w:t>’</w:t>
      </w:r>
      <w:r w:rsidRPr="000E14A8">
        <w:rPr>
          <w:rFonts w:cs="Times New Roman"/>
          <w:lang w:val="fr-CA"/>
        </w:rPr>
        <w:t>omission, par négligence, de détecter une fraude. Nous estimons donc que Deloitte n</w:t>
      </w:r>
      <w:r>
        <w:rPr>
          <w:rFonts w:cs="Times New Roman"/>
          <w:lang w:val="fr-CA"/>
        </w:rPr>
        <w:t>’</w:t>
      </w:r>
      <w:r w:rsidRPr="000E14A8">
        <w:rPr>
          <w:rFonts w:cs="Times New Roman"/>
          <w:lang w:val="fr-CA"/>
        </w:rPr>
        <w:t>a pas modifié le but dans lequel elle s</w:t>
      </w:r>
      <w:r>
        <w:rPr>
          <w:rFonts w:cs="Times New Roman"/>
          <w:lang w:val="fr-CA"/>
        </w:rPr>
        <w:t>’</w:t>
      </w:r>
      <w:r w:rsidRPr="000E14A8">
        <w:rPr>
          <w:rFonts w:cs="Times New Roman"/>
          <w:lang w:val="fr-CA"/>
        </w:rPr>
        <w:t>est engagée à produire le rapport de 1997 ni ne s</w:t>
      </w:r>
      <w:r>
        <w:rPr>
          <w:rFonts w:cs="Times New Roman"/>
          <w:lang w:val="fr-CA"/>
        </w:rPr>
        <w:t>’</w:t>
      </w:r>
      <w:r w:rsidRPr="000E14A8">
        <w:rPr>
          <w:rFonts w:cs="Times New Roman"/>
          <w:lang w:val="fr-CA"/>
        </w:rPr>
        <w:t>est dégagée de toute responsabilité à l</w:t>
      </w:r>
      <w:r>
        <w:rPr>
          <w:rFonts w:cs="Times New Roman"/>
          <w:lang w:val="fr-CA"/>
        </w:rPr>
        <w:t>’</w:t>
      </w:r>
      <w:r w:rsidRPr="000E14A8">
        <w:rPr>
          <w:rFonts w:cs="Times New Roman"/>
          <w:lang w:val="fr-CA"/>
        </w:rPr>
        <w:t xml:space="preserve">égard de ce but. </w:t>
      </w:r>
    </w:p>
    <w:p w:rsidR="003A506E" w:rsidRPr="000E14A8" w:rsidRDefault="003A506E" w:rsidP="003A506E">
      <w:pPr>
        <w:pStyle w:val="ParaNoNdepar-AltN"/>
        <w:rPr>
          <w:rFonts w:cs="Times New Roman"/>
          <w:lang w:val="fr-CA"/>
        </w:rPr>
      </w:pPr>
      <w:r w:rsidRPr="000E14A8">
        <w:rPr>
          <w:rFonts w:cs="Times New Roman"/>
          <w:lang w:val="fr-CA"/>
        </w:rPr>
        <w:t>Compte tenu de ce qui précède, aucune raison ne justifie d</w:t>
      </w:r>
      <w:r>
        <w:rPr>
          <w:rFonts w:cs="Times New Roman"/>
          <w:lang w:val="fr-CA"/>
        </w:rPr>
        <w:t>’</w:t>
      </w:r>
      <w:r w:rsidRPr="000E14A8">
        <w:rPr>
          <w:rFonts w:cs="Times New Roman"/>
          <w:lang w:val="fr-CA"/>
        </w:rPr>
        <w:t>établir une distinction entre le but de la vérification exigée par la loi en l</w:t>
      </w:r>
      <w:r>
        <w:rPr>
          <w:rFonts w:cs="Times New Roman"/>
          <w:lang w:val="fr-CA"/>
        </w:rPr>
        <w:t>’</w:t>
      </w:r>
      <w:r w:rsidRPr="000E14A8">
        <w:rPr>
          <w:rFonts w:cs="Times New Roman"/>
          <w:lang w:val="fr-CA"/>
        </w:rPr>
        <w:t>espèce et le but qui sous</w:t>
      </w:r>
      <w:r w:rsidRPr="000E14A8">
        <w:rPr>
          <w:rFonts w:cs="Times New Roman"/>
          <w:lang w:val="fr-CA"/>
        </w:rPr>
        <w:noBreakHyphen/>
        <w:t>tendait la vérification exigée par la loi en cause dans l</w:t>
      </w:r>
      <w:r>
        <w:rPr>
          <w:rFonts w:cs="Times New Roman"/>
          <w:lang w:val="fr-CA"/>
        </w:rPr>
        <w:t>’</w:t>
      </w:r>
      <w:r w:rsidRPr="000E14A8">
        <w:rPr>
          <w:rFonts w:cs="Times New Roman"/>
          <w:lang w:val="fr-CA"/>
        </w:rPr>
        <w:t xml:space="preserve">arrêt </w:t>
      </w:r>
      <w:r w:rsidRPr="000E14A8">
        <w:rPr>
          <w:rFonts w:cs="Times New Roman"/>
          <w:i/>
          <w:lang w:val="fr-CA"/>
        </w:rPr>
        <w:t>Hercules</w:t>
      </w:r>
      <w:r w:rsidRPr="000E14A8">
        <w:rPr>
          <w:rFonts w:cs="Times New Roman"/>
          <w:lang w:val="fr-CA"/>
        </w:rPr>
        <w:t>.</w:t>
      </w:r>
      <w:r w:rsidRPr="000E14A8">
        <w:rPr>
          <w:rFonts w:cs="Times New Roman"/>
          <w:i/>
          <w:lang w:val="fr-CA"/>
        </w:rPr>
        <w:t xml:space="preserve"> </w:t>
      </w:r>
      <w:r w:rsidRPr="000E14A8">
        <w:rPr>
          <w:rFonts w:cs="Times New Roman"/>
          <w:lang w:val="fr-CA"/>
        </w:rPr>
        <w:t>Il s</w:t>
      </w:r>
      <w:r>
        <w:rPr>
          <w:rFonts w:cs="Times New Roman"/>
          <w:lang w:val="fr-CA"/>
        </w:rPr>
        <w:t>’</w:t>
      </w:r>
      <w:r w:rsidRPr="000E14A8">
        <w:rPr>
          <w:rFonts w:cs="Times New Roman"/>
          <w:lang w:val="fr-CA"/>
        </w:rPr>
        <w:t>ensuit que l</w:t>
      </w:r>
      <w:r>
        <w:rPr>
          <w:rFonts w:cs="Times New Roman"/>
          <w:lang w:val="fr-CA"/>
        </w:rPr>
        <w:t>’</w:t>
      </w:r>
      <w:r w:rsidRPr="000E14A8">
        <w:rPr>
          <w:rFonts w:cs="Times New Roman"/>
          <w:lang w:val="fr-CA"/>
        </w:rPr>
        <w:t>existence d</w:t>
      </w:r>
      <w:r>
        <w:rPr>
          <w:rFonts w:cs="Times New Roman"/>
          <w:lang w:val="fr-CA"/>
        </w:rPr>
        <w:t>’</w:t>
      </w:r>
      <w:r w:rsidRPr="000E14A8">
        <w:rPr>
          <w:rFonts w:cs="Times New Roman"/>
          <w:lang w:val="fr-CA"/>
        </w:rPr>
        <w:t xml:space="preserve">un lien de proximité est établie entre Livent et Deloitte quant à la vérification exigée par la loi, compte tenu du rapport de proximité déjà reconnu par notre Cour. </w:t>
      </w:r>
    </w:p>
    <w:p w:rsidR="003A506E" w:rsidRPr="000E14A8" w:rsidRDefault="003A506E" w:rsidP="003A506E">
      <w:pPr>
        <w:pStyle w:val="Title5LevelTitre5Niveau"/>
        <w:rPr>
          <w:rFonts w:cs="Times New Roman"/>
          <w:lang w:val="fr-CA"/>
        </w:rPr>
      </w:pPr>
      <w:r w:rsidRPr="000E14A8">
        <w:rPr>
          <w:rFonts w:cs="Times New Roman"/>
          <w:lang w:val="fr-CA"/>
        </w:rPr>
        <w:lastRenderedPageBreak/>
        <w:t>Prévisibilité raisonnable</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Livent affirme que l</w:t>
      </w:r>
      <w:r>
        <w:rPr>
          <w:rFonts w:cs="Times New Roman"/>
          <w:lang w:val="fr-CA"/>
        </w:rPr>
        <w:t>’</w:t>
      </w:r>
      <w:r w:rsidRPr="000E14A8">
        <w:rPr>
          <w:rFonts w:cs="Times New Roman"/>
          <w:lang w:val="fr-CA"/>
        </w:rPr>
        <w:t>augmentation de son déficit de liquidation était une conséquence prévisible de la vérification négligente de Deloitte, parce que le rapport de vérification a préservé un faux portrait financier sur lequel Livent s</w:t>
      </w:r>
      <w:r>
        <w:rPr>
          <w:rFonts w:cs="Times New Roman"/>
          <w:lang w:val="fr-CA"/>
        </w:rPr>
        <w:t>’</w:t>
      </w:r>
      <w:r w:rsidRPr="000E14A8">
        <w:rPr>
          <w:rFonts w:cs="Times New Roman"/>
          <w:lang w:val="fr-CA"/>
        </w:rPr>
        <w:t>est appuyée pour prolonger de façon artificielle sa solvabilité et retarder sa mise en faillite. Autrement dit, si Deloitte avait pris des précautions raisonnables en procédant à la vérification des états financiers de Livent, cette dernière aurait découvert la fraude et évité la dévalorisation de son actif entre</w:t>
      </w:r>
      <w:r w:rsidRPr="000E14A8">
        <w:rPr>
          <w:rFonts w:cs="Times New Roman"/>
          <w:lang w:val="fr-CA"/>
        </w:rPr>
        <w:noBreakHyphen/>
        <w:t xml:space="preserve">temps. </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À notre avis, ce type de préjudice était une conséquence raisonnablement prévisible de la vérification négligente faite par Deloitte. Le but du rapport de 1997 était double, comme la Cour l</w:t>
      </w:r>
      <w:r>
        <w:rPr>
          <w:rFonts w:cs="Times New Roman"/>
          <w:lang w:val="fr-CA"/>
        </w:rPr>
        <w:t>’</w:t>
      </w:r>
      <w:r w:rsidRPr="000E14A8">
        <w:rPr>
          <w:rFonts w:cs="Times New Roman"/>
          <w:lang w:val="fr-CA"/>
        </w:rPr>
        <w:t xml:space="preserve">a indiqué dans </w:t>
      </w:r>
      <w:r w:rsidRPr="000E14A8">
        <w:rPr>
          <w:rFonts w:cs="Times New Roman"/>
          <w:i/>
          <w:lang w:val="fr-CA"/>
        </w:rPr>
        <w:t>Hercules</w:t>
      </w:r>
      <w:r w:rsidRPr="000E14A8">
        <w:rPr>
          <w:rFonts w:cs="Times New Roman"/>
          <w:lang w:val="fr-CA"/>
        </w:rPr>
        <w:t> : (1) protéger la société contre les conséquences d</w:t>
      </w:r>
      <w:r>
        <w:rPr>
          <w:rFonts w:cs="Times New Roman"/>
          <w:lang w:val="fr-CA"/>
        </w:rPr>
        <w:t>’</w:t>
      </w:r>
      <w:r w:rsidRPr="000E14A8">
        <w:rPr>
          <w:rFonts w:cs="Times New Roman"/>
          <w:lang w:val="fr-CA"/>
        </w:rPr>
        <w:t>erreurs et de fautes non décelées; et (2) fournir aux actionnaires des renseignements fiables qui leur permettront d</w:t>
      </w:r>
      <w:r>
        <w:rPr>
          <w:rFonts w:cs="Times New Roman"/>
          <w:lang w:val="fr-CA"/>
        </w:rPr>
        <w:t>’</w:t>
      </w:r>
      <w:r w:rsidRPr="000E14A8">
        <w:rPr>
          <w:rFonts w:cs="Times New Roman"/>
          <w:lang w:val="fr-CA"/>
        </w:rPr>
        <w:t>examiner la gestion de l</w:t>
      </w:r>
      <w:r>
        <w:rPr>
          <w:rFonts w:cs="Times New Roman"/>
          <w:lang w:val="fr-CA"/>
        </w:rPr>
        <w:t>’</w:t>
      </w:r>
      <w:r w:rsidRPr="000E14A8">
        <w:rPr>
          <w:rFonts w:cs="Times New Roman"/>
          <w:lang w:val="fr-CA"/>
        </w:rPr>
        <w:t xml:space="preserve">entreprise (par. 48, citant </w:t>
      </w:r>
      <w:r w:rsidRPr="000E14A8">
        <w:rPr>
          <w:rFonts w:cs="Times New Roman"/>
          <w:i/>
          <w:lang w:val="fr-CA"/>
        </w:rPr>
        <w:t>Caparo</w:t>
      </w:r>
      <w:r w:rsidRPr="000E14A8">
        <w:rPr>
          <w:rFonts w:cs="Times New Roman"/>
          <w:lang w:val="fr-CA"/>
        </w:rPr>
        <w:t>, p. 583). Ces buts, comme nous l</w:t>
      </w:r>
      <w:r>
        <w:rPr>
          <w:rFonts w:cs="Times New Roman"/>
          <w:lang w:val="fr-CA"/>
        </w:rPr>
        <w:t>’</w:t>
      </w:r>
      <w:r w:rsidRPr="000E14A8">
        <w:rPr>
          <w:rFonts w:cs="Times New Roman"/>
          <w:lang w:val="fr-CA"/>
        </w:rPr>
        <w:t>avons déjà expliqué de façon générale dans notre analyse de la proximité, précisent la portée du préjudice raisonnablement prévisible. Plus précisément, au moment où Deloitte s</w:t>
      </w:r>
      <w:r>
        <w:rPr>
          <w:rFonts w:cs="Times New Roman"/>
          <w:lang w:val="fr-CA"/>
        </w:rPr>
        <w:t>’</w:t>
      </w:r>
      <w:r w:rsidRPr="000E14A8">
        <w:rPr>
          <w:rFonts w:cs="Times New Roman"/>
          <w:lang w:val="fr-CA"/>
        </w:rPr>
        <w:t>est engagée à produire le rapport de 1997, Livent était en droit de s</w:t>
      </w:r>
      <w:r>
        <w:rPr>
          <w:rFonts w:cs="Times New Roman"/>
          <w:lang w:val="fr-CA"/>
        </w:rPr>
        <w:t>’</w:t>
      </w:r>
      <w:r w:rsidRPr="000E14A8">
        <w:rPr>
          <w:rFonts w:cs="Times New Roman"/>
          <w:lang w:val="fr-CA"/>
        </w:rPr>
        <w:t>attendre à ce que Deloitte prenne des précautions raisonnables pour le préparer dans le respect de ces buts reconnus. Que Livent s</w:t>
      </w:r>
      <w:r>
        <w:rPr>
          <w:rFonts w:cs="Times New Roman"/>
          <w:lang w:val="fr-CA"/>
        </w:rPr>
        <w:t>’</w:t>
      </w:r>
      <w:r w:rsidRPr="000E14A8">
        <w:rPr>
          <w:rFonts w:cs="Times New Roman"/>
          <w:lang w:val="fr-CA"/>
        </w:rPr>
        <w:t>en soit remise à Deloitte dans le but de surveiller la conduite de la gestion était donc aussi raisonnable que raisonnablement prévisible. Et, puisque le préjudice subi par Livent découle de la confiance qu</w:t>
      </w:r>
      <w:r>
        <w:rPr>
          <w:rFonts w:cs="Times New Roman"/>
          <w:lang w:val="fr-CA"/>
        </w:rPr>
        <w:t>’</w:t>
      </w:r>
      <w:r w:rsidRPr="000E14A8">
        <w:rPr>
          <w:rFonts w:cs="Times New Roman"/>
          <w:lang w:val="fr-CA"/>
        </w:rPr>
        <w:t>elle a eue à son détriment, le préjudice lié à cette confiance était lui</w:t>
      </w:r>
      <w:r w:rsidRPr="000E14A8">
        <w:rPr>
          <w:rFonts w:cs="Times New Roman"/>
          <w:lang w:val="fr-CA"/>
        </w:rPr>
        <w:noBreakHyphen/>
        <w:t>même raisonnablement prévisible.</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lastRenderedPageBreak/>
        <w:t>Il s</w:t>
      </w:r>
      <w:r>
        <w:rPr>
          <w:rFonts w:cs="Times New Roman"/>
          <w:lang w:val="fr-CA"/>
        </w:rPr>
        <w:t>’</w:t>
      </w:r>
      <w:r w:rsidRPr="000E14A8">
        <w:rPr>
          <w:rFonts w:cs="Times New Roman"/>
          <w:lang w:val="fr-CA"/>
        </w:rPr>
        <w:t>ensuit que le type de préjudice subi par Livent en l</w:t>
      </w:r>
      <w:r>
        <w:rPr>
          <w:rFonts w:cs="Times New Roman"/>
          <w:lang w:val="fr-CA"/>
        </w:rPr>
        <w:t>’</w:t>
      </w:r>
      <w:r w:rsidRPr="000E14A8">
        <w:rPr>
          <w:rFonts w:cs="Times New Roman"/>
          <w:lang w:val="fr-CA"/>
        </w:rPr>
        <w:t>espèce était une conséquence raisonnablement prévisible de la négligence de Deloitte. Par le rapport de 1997, Deloitte s</w:t>
      </w:r>
      <w:r>
        <w:rPr>
          <w:rFonts w:cs="Times New Roman"/>
          <w:lang w:val="fr-CA"/>
        </w:rPr>
        <w:t>’</w:t>
      </w:r>
      <w:r w:rsidRPr="000E14A8">
        <w:rPr>
          <w:rFonts w:cs="Times New Roman"/>
          <w:lang w:val="fr-CA"/>
        </w:rPr>
        <w:t>est engagée à aider les actionnaires de Livent à examiner en détail la conduite de la gestion. En effectuant cette vérification avec négligence, et en restreignant la capacité des actionnaires de Livent à surveiller la gestion, Deloitte a exposé Livent à des risques raisonnablement prévisibles, notamment à des « pertes d</w:t>
      </w:r>
      <w:r>
        <w:rPr>
          <w:rFonts w:cs="Times New Roman"/>
          <w:lang w:val="fr-CA"/>
        </w:rPr>
        <w:t>’</w:t>
      </w:r>
      <w:r w:rsidRPr="000E14A8">
        <w:rPr>
          <w:rFonts w:cs="Times New Roman"/>
          <w:lang w:val="fr-CA"/>
        </w:rPr>
        <w:t>entreprise » qu</w:t>
      </w:r>
      <w:r>
        <w:rPr>
          <w:rFonts w:cs="Times New Roman"/>
          <w:lang w:val="fr-CA"/>
        </w:rPr>
        <w:t>’</w:t>
      </w:r>
      <w:r w:rsidRPr="000E14A8">
        <w:rPr>
          <w:rFonts w:cs="Times New Roman"/>
          <w:lang w:val="fr-CA"/>
        </w:rPr>
        <w:t>une vérification adéquate aurait permis d</w:t>
      </w:r>
      <w:r>
        <w:rPr>
          <w:rFonts w:cs="Times New Roman"/>
          <w:lang w:val="fr-CA"/>
        </w:rPr>
        <w:t>’</w:t>
      </w:r>
      <w:r w:rsidRPr="000E14A8">
        <w:rPr>
          <w:rFonts w:cs="Times New Roman"/>
          <w:lang w:val="fr-CA"/>
        </w:rPr>
        <w:t>éviter. D</w:t>
      </w:r>
      <w:r>
        <w:rPr>
          <w:rFonts w:cs="Times New Roman"/>
          <w:lang w:val="fr-CA"/>
        </w:rPr>
        <w:t>’</w:t>
      </w:r>
      <w:r w:rsidRPr="000E14A8">
        <w:rPr>
          <w:rFonts w:cs="Times New Roman"/>
          <w:lang w:val="fr-CA"/>
        </w:rPr>
        <w:t>ailleurs, le risque de préjudice découlant d</w:t>
      </w:r>
      <w:r>
        <w:rPr>
          <w:rFonts w:cs="Times New Roman"/>
          <w:lang w:val="fr-CA"/>
        </w:rPr>
        <w:t>’</w:t>
      </w:r>
      <w:r w:rsidRPr="000E14A8">
        <w:rPr>
          <w:rFonts w:cs="Times New Roman"/>
          <w:lang w:val="fr-CA"/>
        </w:rPr>
        <w:t xml:space="preserve">une fraude non détectée est </w:t>
      </w:r>
      <w:r w:rsidRPr="000E14A8">
        <w:rPr>
          <w:rFonts w:cs="Times New Roman"/>
          <w:i/>
          <w:lang w:val="fr-CA"/>
        </w:rPr>
        <w:t>précisément</w:t>
      </w:r>
      <w:r w:rsidRPr="000E14A8">
        <w:rPr>
          <w:rFonts w:cs="Times New Roman"/>
          <w:lang w:val="fr-CA"/>
        </w:rPr>
        <w:t xml:space="preserve"> le type de préjudice qu</w:t>
      </w:r>
      <w:r>
        <w:rPr>
          <w:rFonts w:cs="Times New Roman"/>
          <w:lang w:val="fr-CA"/>
        </w:rPr>
        <w:t>’</w:t>
      </w:r>
      <w:r w:rsidRPr="000E14A8">
        <w:rPr>
          <w:rFonts w:cs="Times New Roman"/>
          <w:lang w:val="fr-CA"/>
        </w:rPr>
        <w:t xml:space="preserve">une vérification exigée par la loi vise à prévenir. </w:t>
      </w:r>
    </w:p>
    <w:p w:rsidR="003A506E" w:rsidRPr="000E14A8" w:rsidRDefault="003A506E" w:rsidP="003A506E">
      <w:pPr>
        <w:pStyle w:val="ParaNoNdepar-AltN"/>
        <w:rPr>
          <w:rFonts w:cs="Times New Roman"/>
          <w:lang w:val="fr-CA"/>
        </w:rPr>
      </w:pPr>
      <w:r w:rsidRPr="000E14A8">
        <w:rPr>
          <w:rFonts w:cs="Times New Roman"/>
          <w:lang w:val="fr-CA"/>
        </w:rPr>
        <w:t>Un dernier point à cet égard. Dans l</w:t>
      </w:r>
      <w:r>
        <w:rPr>
          <w:rFonts w:cs="Times New Roman"/>
          <w:lang w:val="fr-CA"/>
        </w:rPr>
        <w:t>’</w:t>
      </w:r>
      <w:r w:rsidRPr="000E14A8">
        <w:rPr>
          <w:rFonts w:cs="Times New Roman"/>
          <w:lang w:val="fr-CA"/>
        </w:rPr>
        <w:t xml:space="preserve">arrêt </w:t>
      </w:r>
      <w:r w:rsidRPr="000E14A8">
        <w:rPr>
          <w:rFonts w:cs="Times New Roman"/>
          <w:i/>
          <w:lang w:val="fr-CA"/>
        </w:rPr>
        <w:t xml:space="preserve">Hercules </w:t>
      </w:r>
      <w:r w:rsidRPr="000E14A8">
        <w:rPr>
          <w:rFonts w:cs="Times New Roman"/>
          <w:lang w:val="fr-CA"/>
        </w:rPr>
        <w:t>(par. 48), la Cour a cité l</w:t>
      </w:r>
      <w:r>
        <w:rPr>
          <w:rFonts w:cs="Times New Roman"/>
          <w:lang w:val="fr-CA"/>
        </w:rPr>
        <w:t>’</w:t>
      </w:r>
      <w:r w:rsidRPr="000E14A8">
        <w:rPr>
          <w:rFonts w:cs="Times New Roman"/>
          <w:lang w:val="fr-CA"/>
        </w:rPr>
        <w:t xml:space="preserve">arrêt </w:t>
      </w:r>
      <w:r w:rsidRPr="000E14A8">
        <w:rPr>
          <w:rFonts w:cs="Times New Roman"/>
          <w:i/>
          <w:lang w:val="fr-CA"/>
        </w:rPr>
        <w:t xml:space="preserve">Caparo </w:t>
      </w:r>
      <w:r w:rsidRPr="000E14A8">
        <w:rPr>
          <w:rFonts w:cs="Times New Roman"/>
          <w:lang w:val="fr-CA"/>
        </w:rPr>
        <w:t>à l</w:t>
      </w:r>
      <w:r>
        <w:rPr>
          <w:rFonts w:cs="Times New Roman"/>
          <w:lang w:val="fr-CA"/>
        </w:rPr>
        <w:t>’</w:t>
      </w:r>
      <w:r w:rsidRPr="000E14A8">
        <w:rPr>
          <w:rFonts w:cs="Times New Roman"/>
          <w:lang w:val="fr-CA"/>
        </w:rPr>
        <w:t>appui de la proposition selon laquelle les vérifications exigées par la loi visent notamment à « fournir aux actionnaires des renseignements fiables qui leur permettront d</w:t>
      </w:r>
      <w:r>
        <w:rPr>
          <w:rFonts w:cs="Times New Roman"/>
          <w:lang w:val="fr-CA"/>
        </w:rPr>
        <w:t>’</w:t>
      </w:r>
      <w:r w:rsidRPr="000E14A8">
        <w:rPr>
          <w:rFonts w:cs="Times New Roman"/>
          <w:lang w:val="fr-CA"/>
        </w:rPr>
        <w:t>examiner soigneusement la gestion des affaires de la société ». Si les décisions d</w:t>
      </w:r>
      <w:r>
        <w:rPr>
          <w:rFonts w:cs="Times New Roman"/>
          <w:lang w:val="fr-CA"/>
        </w:rPr>
        <w:t>’</w:t>
      </w:r>
      <w:r w:rsidRPr="000E14A8">
        <w:rPr>
          <w:rFonts w:cs="Times New Roman"/>
          <w:lang w:val="fr-CA"/>
        </w:rPr>
        <w:t>affaires prises par la suite — qui n</w:t>
      </w:r>
      <w:r>
        <w:rPr>
          <w:rFonts w:cs="Times New Roman"/>
          <w:lang w:val="fr-CA"/>
        </w:rPr>
        <w:t>’</w:t>
      </w:r>
      <w:r w:rsidRPr="000E14A8">
        <w:rPr>
          <w:rFonts w:cs="Times New Roman"/>
          <w:lang w:val="fr-CA"/>
        </w:rPr>
        <w:t>auraient pas résisté à un tel examen — ne relèvent pas de l</w:t>
      </w:r>
      <w:r>
        <w:rPr>
          <w:rFonts w:cs="Times New Roman"/>
          <w:lang w:val="fr-CA"/>
        </w:rPr>
        <w:t>’</w:t>
      </w:r>
      <w:r w:rsidRPr="000E14A8">
        <w:rPr>
          <w:rFonts w:cs="Times New Roman"/>
          <w:lang w:val="fr-CA"/>
        </w:rPr>
        <w:t>obligation de diligence du vérificateur, on peut se demander quel préjudice, s</w:t>
      </w:r>
      <w:r>
        <w:rPr>
          <w:rFonts w:cs="Times New Roman"/>
          <w:lang w:val="fr-CA"/>
        </w:rPr>
        <w:t>’</w:t>
      </w:r>
      <w:r w:rsidRPr="000E14A8">
        <w:rPr>
          <w:rFonts w:cs="Times New Roman"/>
          <w:lang w:val="fr-CA"/>
        </w:rPr>
        <w:t>il en est, pourrait donner lieu à une responsabilité pour vérification négligente quant à ce but reconnu de la vérification. La surveillance des affaires d</w:t>
      </w:r>
      <w:r>
        <w:rPr>
          <w:rFonts w:cs="Times New Roman"/>
          <w:lang w:val="fr-CA"/>
        </w:rPr>
        <w:t>’</w:t>
      </w:r>
      <w:r w:rsidRPr="000E14A8">
        <w:rPr>
          <w:rFonts w:cs="Times New Roman"/>
          <w:lang w:val="fr-CA"/>
        </w:rPr>
        <w:t>une entreprise suppose non seulement que l</w:t>
      </w:r>
      <w:r>
        <w:rPr>
          <w:rFonts w:cs="Times New Roman"/>
          <w:lang w:val="fr-CA"/>
        </w:rPr>
        <w:t>’</w:t>
      </w:r>
      <w:r w:rsidRPr="000E14A8">
        <w:rPr>
          <w:rFonts w:cs="Times New Roman"/>
          <w:lang w:val="fr-CA"/>
        </w:rPr>
        <w:t xml:space="preserve">on </w:t>
      </w:r>
      <w:r w:rsidR="00D5275F">
        <w:rPr>
          <w:rFonts w:cs="Times New Roman"/>
          <w:i/>
          <w:lang w:val="fr-CA"/>
        </w:rPr>
        <w:t>connaî</w:t>
      </w:r>
      <w:r w:rsidRPr="000E14A8">
        <w:rPr>
          <w:rFonts w:cs="Times New Roman"/>
          <w:i/>
          <w:lang w:val="fr-CA"/>
        </w:rPr>
        <w:t>t</w:t>
      </w:r>
      <w:r w:rsidRPr="000E14A8">
        <w:rPr>
          <w:rFonts w:cs="Times New Roman"/>
          <w:lang w:val="fr-CA"/>
        </w:rPr>
        <w:t xml:space="preserve"> les problèmes de celle</w:t>
      </w:r>
      <w:r w:rsidRPr="000E14A8">
        <w:rPr>
          <w:rFonts w:cs="Times New Roman"/>
          <w:lang w:val="fr-CA"/>
        </w:rPr>
        <w:noBreakHyphen/>
        <w:t>ci, mais aussi que l</w:t>
      </w:r>
      <w:r>
        <w:rPr>
          <w:rFonts w:cs="Times New Roman"/>
          <w:lang w:val="fr-CA"/>
        </w:rPr>
        <w:t>’</w:t>
      </w:r>
      <w:r w:rsidRPr="000E14A8">
        <w:rPr>
          <w:rFonts w:cs="Times New Roman"/>
          <w:lang w:val="fr-CA"/>
        </w:rPr>
        <w:t xml:space="preserve">on prend des </w:t>
      </w:r>
      <w:r w:rsidRPr="000E14A8">
        <w:rPr>
          <w:rFonts w:cs="Times New Roman"/>
          <w:i/>
          <w:lang w:val="fr-CA"/>
        </w:rPr>
        <w:t xml:space="preserve">décisions </w:t>
      </w:r>
      <w:r w:rsidRPr="000E14A8">
        <w:rPr>
          <w:rFonts w:cs="Times New Roman"/>
          <w:lang w:val="fr-CA"/>
        </w:rPr>
        <w:t>témoignant d</w:t>
      </w:r>
      <w:r>
        <w:rPr>
          <w:rFonts w:cs="Times New Roman"/>
          <w:lang w:val="fr-CA"/>
        </w:rPr>
        <w:t>’</w:t>
      </w:r>
      <w:r w:rsidRPr="000E14A8">
        <w:rPr>
          <w:rFonts w:cs="Times New Roman"/>
          <w:lang w:val="fr-CA"/>
        </w:rPr>
        <w:t>une compréhension de ces problèmes. En fait, ce n</w:t>
      </w:r>
      <w:r>
        <w:rPr>
          <w:rFonts w:cs="Times New Roman"/>
          <w:lang w:val="fr-CA"/>
        </w:rPr>
        <w:t>’</w:t>
      </w:r>
      <w:r w:rsidRPr="000E14A8">
        <w:rPr>
          <w:rFonts w:cs="Times New Roman"/>
          <w:lang w:val="fr-CA"/>
        </w:rPr>
        <w:t>est qu</w:t>
      </w:r>
      <w:r>
        <w:rPr>
          <w:rFonts w:cs="Times New Roman"/>
          <w:lang w:val="fr-CA"/>
        </w:rPr>
        <w:t>’</w:t>
      </w:r>
      <w:r w:rsidRPr="000E14A8">
        <w:rPr>
          <w:rFonts w:cs="Times New Roman"/>
          <w:lang w:val="fr-CA"/>
        </w:rPr>
        <w:t>en agissant en fonction des renseignements contenus dans un rapport de vérification préparé de façon raisonnablement diligente qu</w:t>
      </w:r>
      <w:r>
        <w:rPr>
          <w:rFonts w:cs="Times New Roman"/>
          <w:lang w:val="fr-CA"/>
        </w:rPr>
        <w:t>’</w:t>
      </w:r>
      <w:r w:rsidRPr="000E14A8">
        <w:rPr>
          <w:rFonts w:cs="Times New Roman"/>
          <w:lang w:val="fr-CA"/>
        </w:rPr>
        <w:t>une entreprise peut éviter des pertes auxquelles elle n</w:t>
      </w:r>
      <w:r>
        <w:rPr>
          <w:rFonts w:cs="Times New Roman"/>
          <w:lang w:val="fr-CA"/>
        </w:rPr>
        <w:t>’</w:t>
      </w:r>
      <w:r w:rsidRPr="000E14A8">
        <w:rPr>
          <w:rFonts w:cs="Times New Roman"/>
          <w:lang w:val="fr-CA"/>
        </w:rPr>
        <w:t>aurait pu échapper sans cette vérification.</w:t>
      </w:r>
    </w:p>
    <w:p w:rsidR="003A506E" w:rsidRPr="000E14A8" w:rsidRDefault="003A506E" w:rsidP="003A506E">
      <w:pPr>
        <w:pStyle w:val="Title4LevelTitre4Niveau"/>
        <w:rPr>
          <w:rFonts w:cs="Times New Roman"/>
          <w:lang w:val="fr-CA"/>
        </w:rPr>
      </w:pPr>
      <w:r w:rsidRPr="000E14A8">
        <w:rPr>
          <w:rFonts w:cs="Times New Roman"/>
          <w:lang w:val="fr-CA"/>
        </w:rPr>
        <w:t>Considérations de politique résiduelles</w:t>
      </w:r>
    </w:p>
    <w:p w:rsidR="003A506E" w:rsidRPr="000E14A8" w:rsidRDefault="003A506E" w:rsidP="003A506E">
      <w:pPr>
        <w:pStyle w:val="ParaNoNdepar-AltN"/>
        <w:rPr>
          <w:rFonts w:cs="Times New Roman"/>
          <w:lang w:val="fr-CA"/>
        </w:rPr>
      </w:pPr>
      <w:r w:rsidRPr="000E14A8">
        <w:rPr>
          <w:rFonts w:cs="Times New Roman"/>
          <w:lang w:val="fr-CA"/>
        </w:rPr>
        <w:lastRenderedPageBreak/>
        <w:t>Ayant conclu à l</w:t>
      </w:r>
      <w:r>
        <w:rPr>
          <w:rFonts w:cs="Times New Roman"/>
          <w:lang w:val="fr-CA"/>
        </w:rPr>
        <w:t>’</w:t>
      </w:r>
      <w:r w:rsidRPr="000E14A8">
        <w:rPr>
          <w:rFonts w:cs="Times New Roman"/>
          <w:lang w:val="fr-CA"/>
        </w:rPr>
        <w:t>existence d</w:t>
      </w:r>
      <w:r>
        <w:rPr>
          <w:rFonts w:cs="Times New Roman"/>
          <w:lang w:val="fr-CA"/>
        </w:rPr>
        <w:t>’</w:t>
      </w:r>
      <w:r w:rsidRPr="000E14A8">
        <w:rPr>
          <w:rFonts w:cs="Times New Roman"/>
          <w:lang w:val="fr-CA"/>
        </w:rPr>
        <w:t>un lien de proximité relevant d</w:t>
      </w:r>
      <w:r>
        <w:rPr>
          <w:rFonts w:cs="Times New Roman"/>
          <w:lang w:val="fr-CA"/>
        </w:rPr>
        <w:t>’</w:t>
      </w:r>
      <w:r w:rsidRPr="000E14A8">
        <w:rPr>
          <w:rFonts w:cs="Times New Roman"/>
          <w:lang w:val="fr-CA"/>
        </w:rPr>
        <w:t>une catégorie déjà reconnue, point n</w:t>
      </w:r>
      <w:r>
        <w:rPr>
          <w:rFonts w:cs="Times New Roman"/>
          <w:lang w:val="fr-CA"/>
        </w:rPr>
        <w:t>’</w:t>
      </w:r>
      <w:r w:rsidRPr="000E14A8">
        <w:rPr>
          <w:rFonts w:cs="Times New Roman"/>
          <w:lang w:val="fr-CA"/>
        </w:rPr>
        <w:t>est besoin d</w:t>
      </w:r>
      <w:r>
        <w:rPr>
          <w:rFonts w:cs="Times New Roman"/>
          <w:lang w:val="fr-CA"/>
        </w:rPr>
        <w:t>’</w:t>
      </w:r>
      <w:r w:rsidRPr="000E14A8">
        <w:rPr>
          <w:rFonts w:cs="Times New Roman"/>
          <w:lang w:val="fr-CA"/>
        </w:rPr>
        <w:t>examiner les considérations de politique résiduelles qui écarteraient l</w:t>
      </w:r>
      <w:r>
        <w:rPr>
          <w:rFonts w:cs="Times New Roman"/>
          <w:lang w:val="fr-CA"/>
        </w:rPr>
        <w:t>’</w:t>
      </w:r>
      <w:r w:rsidRPr="000E14A8">
        <w:rPr>
          <w:rFonts w:cs="Times New Roman"/>
          <w:lang w:val="fr-CA"/>
        </w:rPr>
        <w:t>obligation de diligence ou en restreindraient la portée (</w:t>
      </w:r>
      <w:r w:rsidRPr="000E14A8">
        <w:rPr>
          <w:rFonts w:cs="Times New Roman"/>
          <w:i/>
          <w:lang w:val="fr-CA"/>
        </w:rPr>
        <w:t>Cooper</w:t>
      </w:r>
      <w:r w:rsidRPr="000E14A8">
        <w:rPr>
          <w:rFonts w:cs="Times New Roman"/>
          <w:lang w:val="fr-CA"/>
        </w:rPr>
        <w:t>, par. 39). Néanmoins, comme la Juge en chef conclut, subsidiairement, que la considération de politique de la responsabilité indéterminée empêcherait toute indemnisation en l</w:t>
      </w:r>
      <w:r>
        <w:rPr>
          <w:rFonts w:cs="Times New Roman"/>
          <w:lang w:val="fr-CA"/>
        </w:rPr>
        <w:t>’</w:t>
      </w:r>
      <w:r w:rsidRPr="000E14A8">
        <w:rPr>
          <w:rFonts w:cs="Times New Roman"/>
          <w:lang w:val="fr-CA"/>
        </w:rPr>
        <w:t>espèce (par. 165</w:t>
      </w:r>
      <w:r w:rsidRPr="000E14A8">
        <w:rPr>
          <w:rFonts w:cs="Times New Roman"/>
          <w:lang w:val="fr-CA"/>
        </w:rPr>
        <w:noBreakHyphen/>
        <w:t>166), il est utile d</w:t>
      </w:r>
      <w:r>
        <w:rPr>
          <w:rFonts w:cs="Times New Roman"/>
          <w:lang w:val="fr-CA"/>
        </w:rPr>
        <w:t>’</w:t>
      </w:r>
      <w:r w:rsidRPr="000E14A8">
        <w:rPr>
          <w:rFonts w:cs="Times New Roman"/>
          <w:lang w:val="fr-CA"/>
        </w:rPr>
        <w:t>examiner comment le lien de proximité établi en l</w:t>
      </w:r>
      <w:r>
        <w:rPr>
          <w:rFonts w:cs="Times New Roman"/>
          <w:lang w:val="fr-CA"/>
        </w:rPr>
        <w:t>’</w:t>
      </w:r>
      <w:r w:rsidRPr="000E14A8">
        <w:rPr>
          <w:rFonts w:cs="Times New Roman"/>
          <w:lang w:val="fr-CA"/>
        </w:rPr>
        <w:t>espèce rend impossible la responsabilité indéterminée.</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Comme nous l</w:t>
      </w:r>
      <w:r>
        <w:rPr>
          <w:rFonts w:cs="Times New Roman"/>
          <w:lang w:val="fr-CA"/>
        </w:rPr>
        <w:t>’</w:t>
      </w:r>
      <w:r w:rsidRPr="000E14A8">
        <w:rPr>
          <w:rFonts w:cs="Times New Roman"/>
          <w:lang w:val="fr-CA"/>
        </w:rPr>
        <w:t>avons vu, l</w:t>
      </w:r>
      <w:r>
        <w:rPr>
          <w:rFonts w:cs="Times New Roman"/>
          <w:lang w:val="fr-CA"/>
        </w:rPr>
        <w:t>’</w:t>
      </w:r>
      <w:r w:rsidRPr="000E14A8">
        <w:rPr>
          <w:rFonts w:cs="Times New Roman"/>
          <w:lang w:val="fr-CA"/>
        </w:rPr>
        <w:t>indétermination dans de tels cas peut être considérée sous trois aspects pertinents : (1) un temps indéterminé, (2) un demandeur indéterminé et (3) un montant indéterminé (</w:t>
      </w:r>
      <w:r w:rsidRPr="000E14A8">
        <w:rPr>
          <w:rFonts w:cs="Times New Roman"/>
          <w:i/>
          <w:lang w:val="fr-CA"/>
        </w:rPr>
        <w:t>Hercules</w:t>
      </w:r>
      <w:r w:rsidRPr="000E14A8">
        <w:rPr>
          <w:rFonts w:cs="Times New Roman"/>
          <w:lang w:val="fr-CA"/>
        </w:rPr>
        <w:t xml:space="preserve">, par. 31, citant </w:t>
      </w:r>
      <w:r w:rsidRPr="000E14A8">
        <w:rPr>
          <w:rFonts w:cs="Times New Roman"/>
          <w:i/>
          <w:lang w:val="fr-CA"/>
        </w:rPr>
        <w:t>Ultramares</w:t>
      </w:r>
      <w:r w:rsidRPr="000E14A8">
        <w:rPr>
          <w:rFonts w:cs="Times New Roman"/>
          <w:lang w:val="fr-CA"/>
        </w:rPr>
        <w:t>, p. 444</w:t>
      </w:r>
      <w:r w:rsidR="00FD11C0">
        <w:rPr>
          <w:rFonts w:cs="Times New Roman"/>
          <w:lang w:val="fr-CA"/>
        </w:rPr>
        <w:t>)</w:t>
      </w:r>
      <w:r w:rsidRPr="000E14A8">
        <w:rPr>
          <w:rFonts w:cs="Times New Roman"/>
          <w:lang w:val="fr-CA"/>
        </w:rPr>
        <w:t>. Aucun de ces aspects n</w:t>
      </w:r>
      <w:r>
        <w:rPr>
          <w:rFonts w:cs="Times New Roman"/>
          <w:lang w:val="fr-CA"/>
        </w:rPr>
        <w:t>’</w:t>
      </w:r>
      <w:r w:rsidRPr="000E14A8">
        <w:rPr>
          <w:rFonts w:cs="Times New Roman"/>
          <w:lang w:val="fr-CA"/>
        </w:rPr>
        <w:t>est présent en l</w:t>
      </w:r>
      <w:r>
        <w:rPr>
          <w:rFonts w:cs="Times New Roman"/>
          <w:lang w:val="fr-CA"/>
        </w:rPr>
        <w:t>’</w:t>
      </w:r>
      <w:r w:rsidRPr="000E14A8">
        <w:rPr>
          <w:rFonts w:cs="Times New Roman"/>
          <w:lang w:val="fr-CA"/>
        </w:rPr>
        <w:t>espèce, ce qui est conforme à l</w:t>
      </w:r>
      <w:r>
        <w:rPr>
          <w:rFonts w:cs="Times New Roman"/>
          <w:lang w:val="fr-CA"/>
        </w:rPr>
        <w:t>’</w:t>
      </w:r>
      <w:r w:rsidRPr="000E14A8">
        <w:rPr>
          <w:rFonts w:cs="Times New Roman"/>
          <w:lang w:val="fr-CA"/>
        </w:rPr>
        <w:t>observation que nous avons formulée plus tôt, selon laquelle une application rigoureuse du cadre d</w:t>
      </w:r>
      <w:r>
        <w:rPr>
          <w:rFonts w:cs="Times New Roman"/>
          <w:lang w:val="fr-CA"/>
        </w:rPr>
        <w:t>’</w:t>
      </w:r>
      <w:r w:rsidRPr="000E14A8">
        <w:rPr>
          <w:rFonts w:cs="Times New Roman"/>
          <w:lang w:val="fr-CA"/>
        </w:rPr>
        <w:t xml:space="preserve">analyse retenu dans les arrêts </w:t>
      </w:r>
      <w:r w:rsidRPr="000E14A8">
        <w:rPr>
          <w:rFonts w:cs="Times New Roman"/>
          <w:i/>
          <w:lang w:val="fr-CA"/>
        </w:rPr>
        <w:t xml:space="preserve">Anns </w:t>
      </w:r>
      <w:r w:rsidRPr="000E14A8">
        <w:rPr>
          <w:rFonts w:cs="Times New Roman"/>
          <w:lang w:val="fr-CA"/>
        </w:rPr>
        <w:t>et</w:t>
      </w:r>
      <w:r w:rsidRPr="000E14A8">
        <w:rPr>
          <w:rFonts w:cs="Times New Roman"/>
          <w:i/>
          <w:lang w:val="fr-CA"/>
        </w:rPr>
        <w:t xml:space="preserve"> Cooper </w:t>
      </w:r>
      <w:r w:rsidRPr="000E14A8">
        <w:rPr>
          <w:rFonts w:cs="Times New Roman"/>
          <w:lang w:val="fr-CA"/>
        </w:rPr>
        <w:t>aura habituellement, sinon toujours, pour effet d</w:t>
      </w:r>
      <w:r>
        <w:rPr>
          <w:rFonts w:cs="Times New Roman"/>
          <w:lang w:val="fr-CA"/>
        </w:rPr>
        <w:t>’</w:t>
      </w:r>
      <w:r w:rsidRPr="000E14A8">
        <w:rPr>
          <w:rFonts w:cs="Times New Roman"/>
          <w:lang w:val="fr-CA"/>
        </w:rPr>
        <w:t>empêcher l</w:t>
      </w:r>
      <w:r>
        <w:rPr>
          <w:rFonts w:cs="Times New Roman"/>
          <w:lang w:val="fr-CA"/>
        </w:rPr>
        <w:t>’</w:t>
      </w:r>
      <w:r w:rsidRPr="000E14A8">
        <w:rPr>
          <w:rFonts w:cs="Times New Roman"/>
          <w:lang w:val="fr-CA"/>
        </w:rPr>
        <w:t>imposition d</w:t>
      </w:r>
      <w:r>
        <w:rPr>
          <w:rFonts w:cs="Times New Roman"/>
          <w:lang w:val="fr-CA"/>
        </w:rPr>
        <w:t>’</w:t>
      </w:r>
      <w:r w:rsidRPr="000E14A8">
        <w:rPr>
          <w:rFonts w:cs="Times New Roman"/>
          <w:lang w:val="fr-CA"/>
        </w:rPr>
        <w:t>une responsabilité qui soit de quelque façon indéterminée (</w:t>
      </w:r>
      <w:r w:rsidRPr="000E14A8">
        <w:rPr>
          <w:rFonts w:cs="Times New Roman"/>
          <w:i/>
          <w:lang w:val="fr-CA"/>
        </w:rPr>
        <w:t>Saadati</w:t>
      </w:r>
      <w:r w:rsidRPr="000E14A8">
        <w:rPr>
          <w:rFonts w:cs="Times New Roman"/>
          <w:lang w:val="fr-CA"/>
        </w:rPr>
        <w:t xml:space="preserve">, par. 34; </w:t>
      </w:r>
      <w:r w:rsidRPr="000E14A8">
        <w:rPr>
          <w:rFonts w:cs="Times New Roman"/>
          <w:i/>
          <w:lang w:val="fr-CA"/>
        </w:rPr>
        <w:t>Fullowka</w:t>
      </w:r>
      <w:r w:rsidRPr="000E14A8">
        <w:rPr>
          <w:rFonts w:cs="Times New Roman"/>
          <w:lang w:val="fr-CA"/>
        </w:rPr>
        <w:t>, par. 70).</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En l</w:t>
      </w:r>
      <w:r>
        <w:rPr>
          <w:rFonts w:cs="Times New Roman"/>
          <w:lang w:val="fr-CA"/>
        </w:rPr>
        <w:t>’</w:t>
      </w:r>
      <w:r w:rsidRPr="000E14A8">
        <w:rPr>
          <w:rFonts w:cs="Times New Roman"/>
          <w:lang w:val="fr-CA"/>
        </w:rPr>
        <w:t>espèce, au regard de l</w:t>
      </w:r>
      <w:r>
        <w:rPr>
          <w:rFonts w:cs="Times New Roman"/>
          <w:lang w:val="fr-CA"/>
        </w:rPr>
        <w:t>’</w:t>
      </w:r>
      <w:r w:rsidRPr="000E14A8">
        <w:rPr>
          <w:rFonts w:cs="Times New Roman"/>
          <w:lang w:val="fr-CA"/>
        </w:rPr>
        <w:t xml:space="preserve">indétermination temporelle, toute prétention voulant que Livent puisse être indemnisée pendant un temps indéterminé du fait de la préparation négligente du rapport de 1997 dénature fondamentalement la portée des vérifications </w:t>
      </w:r>
      <w:r w:rsidRPr="000E14A8">
        <w:rPr>
          <w:rFonts w:cs="Times New Roman"/>
          <w:i/>
          <w:lang w:val="fr-CA"/>
        </w:rPr>
        <w:t>annuelle</w:t>
      </w:r>
      <w:r w:rsidRPr="00FD11C0">
        <w:rPr>
          <w:rFonts w:cs="Times New Roman"/>
          <w:i/>
          <w:lang w:val="fr-CA"/>
        </w:rPr>
        <w:t>s</w:t>
      </w:r>
      <w:r w:rsidRPr="000E14A8">
        <w:rPr>
          <w:rFonts w:cs="Times New Roman"/>
          <w:lang w:val="fr-CA"/>
        </w:rPr>
        <w:t xml:space="preserve"> exigées par la loi. L</w:t>
      </w:r>
      <w:r>
        <w:rPr>
          <w:rFonts w:cs="Times New Roman"/>
          <w:lang w:val="fr-CA"/>
        </w:rPr>
        <w:t>’</w:t>
      </w:r>
      <w:r w:rsidRPr="000E14A8">
        <w:rPr>
          <w:rFonts w:cs="Times New Roman"/>
          <w:lang w:val="fr-CA"/>
        </w:rPr>
        <w:t xml:space="preserve">évaluation du préjudice découlant du rapport de 1997 ne saurait porter sur une période </w:t>
      </w:r>
      <w:r w:rsidRPr="000E14A8">
        <w:rPr>
          <w:rFonts w:cs="Times New Roman"/>
          <w:i/>
          <w:lang w:val="fr-CA"/>
        </w:rPr>
        <w:t>indéterminée</w:t>
      </w:r>
      <w:r w:rsidRPr="000E14A8">
        <w:rPr>
          <w:rFonts w:cs="Times New Roman"/>
          <w:lang w:val="fr-CA"/>
        </w:rPr>
        <w:t>. Au contraire, les vérifications exigées par la loi doivent se faire sur une base annuelle (</w:t>
      </w:r>
      <w:r w:rsidRPr="000E14A8">
        <w:rPr>
          <w:rFonts w:cs="Times New Roman"/>
          <w:i/>
          <w:lang w:val="fr-CA"/>
        </w:rPr>
        <w:t>LSAO</w:t>
      </w:r>
      <w:r w:rsidRPr="000E14A8">
        <w:rPr>
          <w:rFonts w:cs="Times New Roman"/>
          <w:lang w:val="fr-CA"/>
        </w:rPr>
        <w:t>, art. 154). Partant, la responsabilité qui pourrait s</w:t>
      </w:r>
      <w:r>
        <w:rPr>
          <w:rFonts w:cs="Times New Roman"/>
          <w:lang w:val="fr-CA"/>
        </w:rPr>
        <w:t>’</w:t>
      </w:r>
      <w:r w:rsidRPr="000E14A8">
        <w:rPr>
          <w:rFonts w:cs="Times New Roman"/>
          <w:lang w:val="fr-CA"/>
        </w:rPr>
        <w:t xml:space="preserve">attacher à la vérification négligente pour un </w:t>
      </w:r>
      <w:r w:rsidRPr="000E14A8">
        <w:rPr>
          <w:rFonts w:cs="Times New Roman"/>
          <w:noProof/>
          <w:lang w:val="fr-CA"/>
        </w:rPr>
        <w:t>exercice</w:t>
      </w:r>
      <w:r w:rsidRPr="000E14A8">
        <w:rPr>
          <w:rFonts w:cs="Times New Roman"/>
          <w:lang w:val="fr-CA"/>
        </w:rPr>
        <w:t xml:space="preserve"> en particulier ne saurait aller au</w:t>
      </w:r>
      <w:r w:rsidRPr="000E14A8">
        <w:rPr>
          <w:rFonts w:cs="Times New Roman"/>
          <w:lang w:val="fr-CA"/>
        </w:rPr>
        <w:noBreakHyphen/>
        <w:t>delà de la vérification pour l</w:t>
      </w:r>
      <w:r>
        <w:rPr>
          <w:rFonts w:cs="Times New Roman"/>
          <w:lang w:val="fr-CA"/>
        </w:rPr>
        <w:t>’</w:t>
      </w:r>
      <w:r w:rsidRPr="000E14A8">
        <w:rPr>
          <w:rFonts w:cs="Times New Roman"/>
          <w:lang w:val="fr-CA"/>
        </w:rPr>
        <w:t xml:space="preserve">exercice suivant, </w:t>
      </w:r>
      <w:r w:rsidRPr="000E14A8">
        <w:rPr>
          <w:rFonts w:cs="Times New Roman"/>
          <w:lang w:val="fr-CA"/>
        </w:rPr>
        <w:lastRenderedPageBreak/>
        <w:t>laquelle remplacerait en fait la vérification antérieure en tant que cause factuelle et juridique du préjudice allégué. En termes simples, le délai pendant lequel il est possible d</w:t>
      </w:r>
      <w:r>
        <w:rPr>
          <w:rFonts w:cs="Times New Roman"/>
          <w:lang w:val="fr-CA"/>
        </w:rPr>
        <w:t>’</w:t>
      </w:r>
      <w:r w:rsidRPr="000E14A8">
        <w:rPr>
          <w:rFonts w:cs="Times New Roman"/>
          <w:lang w:val="fr-CA"/>
        </w:rPr>
        <w:t>encourir une responsabilité en raison d</w:t>
      </w:r>
      <w:r>
        <w:rPr>
          <w:rFonts w:cs="Times New Roman"/>
          <w:lang w:val="fr-CA"/>
        </w:rPr>
        <w:t>’</w:t>
      </w:r>
      <w:r w:rsidRPr="000E14A8">
        <w:rPr>
          <w:rFonts w:cs="Times New Roman"/>
          <w:lang w:val="fr-CA"/>
        </w:rPr>
        <w:t>une seule vérification exigée par la loi entachée de négligence n</w:t>
      </w:r>
      <w:r>
        <w:rPr>
          <w:rFonts w:cs="Times New Roman"/>
          <w:lang w:val="fr-CA"/>
        </w:rPr>
        <w:t>’</w:t>
      </w:r>
      <w:r w:rsidRPr="000E14A8">
        <w:rPr>
          <w:rFonts w:cs="Times New Roman"/>
          <w:lang w:val="fr-CA"/>
        </w:rPr>
        <w:t>est pas indéterminé. Il est de un an.</w:t>
      </w:r>
    </w:p>
    <w:p w:rsidR="003A506E" w:rsidRPr="000E14A8" w:rsidRDefault="003A506E" w:rsidP="003A506E">
      <w:pPr>
        <w:pStyle w:val="ParaNoNdepar-AltN"/>
        <w:rPr>
          <w:rFonts w:cs="Times New Roman"/>
          <w:lang w:val="fr-CA"/>
        </w:rPr>
      </w:pPr>
      <w:r w:rsidRPr="000E14A8">
        <w:rPr>
          <w:rFonts w:cs="Times New Roman"/>
          <w:lang w:val="fr-CA"/>
        </w:rPr>
        <w:t>Pour ce qui est de l</w:t>
      </w:r>
      <w:r>
        <w:rPr>
          <w:rFonts w:cs="Times New Roman"/>
          <w:lang w:val="fr-CA"/>
        </w:rPr>
        <w:t>’</w:t>
      </w:r>
      <w:r w:rsidRPr="000E14A8">
        <w:rPr>
          <w:rFonts w:cs="Times New Roman"/>
          <w:lang w:val="fr-CA"/>
        </w:rPr>
        <w:t>indétermination quant au demandeur, la catégorie de demandeurs visée en l</w:t>
      </w:r>
      <w:r>
        <w:rPr>
          <w:rFonts w:cs="Times New Roman"/>
          <w:lang w:val="fr-CA"/>
        </w:rPr>
        <w:t>’</w:t>
      </w:r>
      <w:r w:rsidRPr="000E14A8">
        <w:rPr>
          <w:rFonts w:cs="Times New Roman"/>
          <w:lang w:val="fr-CA"/>
        </w:rPr>
        <w:t xml:space="preserve">espèce ne pourrait être moins </w:t>
      </w:r>
      <w:r w:rsidRPr="000E14A8">
        <w:rPr>
          <w:rFonts w:cs="Times New Roman"/>
          <w:i/>
          <w:lang w:val="fr-CA"/>
        </w:rPr>
        <w:t>indéterminée </w:t>
      </w:r>
      <w:r w:rsidRPr="00FD11C0">
        <w:rPr>
          <w:rFonts w:cs="Times New Roman"/>
          <w:lang w:val="fr-CA"/>
        </w:rPr>
        <w:t xml:space="preserve">: </w:t>
      </w:r>
      <w:r w:rsidRPr="000E14A8">
        <w:rPr>
          <w:rFonts w:cs="Times New Roman"/>
          <w:lang w:val="fr-CA"/>
        </w:rPr>
        <w:t>elle est constituée d</w:t>
      </w:r>
      <w:r>
        <w:rPr>
          <w:rFonts w:cs="Times New Roman"/>
          <w:lang w:val="fr-CA"/>
        </w:rPr>
        <w:t>’</w:t>
      </w:r>
      <w:r w:rsidRPr="000E14A8">
        <w:rPr>
          <w:rFonts w:cs="Times New Roman"/>
          <w:lang w:val="fr-CA"/>
        </w:rPr>
        <w:t>un seul demandeur — Livent. Dans l</w:t>
      </w:r>
      <w:r>
        <w:rPr>
          <w:rFonts w:cs="Times New Roman"/>
          <w:lang w:val="fr-CA"/>
        </w:rPr>
        <w:t>’</w:t>
      </w:r>
      <w:r w:rsidRPr="000E14A8">
        <w:rPr>
          <w:rFonts w:cs="Times New Roman"/>
          <w:lang w:val="fr-CA"/>
        </w:rPr>
        <w:t xml:space="preserve">arrêt </w:t>
      </w:r>
      <w:r w:rsidRPr="000E14A8">
        <w:rPr>
          <w:rFonts w:cs="Times New Roman"/>
          <w:i/>
          <w:lang w:val="fr-CA"/>
        </w:rPr>
        <w:t>Hercules</w:t>
      </w:r>
      <w:r w:rsidRPr="000E14A8">
        <w:rPr>
          <w:rFonts w:cs="Times New Roman"/>
          <w:lang w:val="fr-CA"/>
        </w:rPr>
        <w:t>, notre Cour a fait remarquer que « différentes personnes (par exemple, des actionnaires, des créanciers, les auteurs éventuels d</w:t>
      </w:r>
      <w:r>
        <w:rPr>
          <w:rFonts w:cs="Times New Roman"/>
          <w:lang w:val="fr-CA"/>
        </w:rPr>
        <w:t>’</w:t>
      </w:r>
      <w:r w:rsidRPr="000E14A8">
        <w:rPr>
          <w:rFonts w:cs="Times New Roman"/>
          <w:lang w:val="fr-CA"/>
        </w:rPr>
        <w:t>une offre de prise de contrôle, des investisseurs, etc.) se fieront [. . .] à leurs rapports de vérification » (par. 32). Ce recours a donné lieu à une responsabilité indéterminée parce que la catégorie de demandeurs (les « différentes personnes ») était indéterminée. Par exemple, un nombre indéterminé d</w:t>
      </w:r>
      <w:r>
        <w:rPr>
          <w:rFonts w:cs="Times New Roman"/>
          <w:lang w:val="fr-CA"/>
        </w:rPr>
        <w:t>’</w:t>
      </w:r>
      <w:r w:rsidRPr="000E14A8">
        <w:rPr>
          <w:rFonts w:cs="Times New Roman"/>
          <w:lang w:val="fr-CA"/>
        </w:rPr>
        <w:t>investisseurs pouvaient se fier au rapport de vérification pour éclairer leurs décisions en matière d</w:t>
      </w:r>
      <w:r>
        <w:rPr>
          <w:rFonts w:cs="Times New Roman"/>
          <w:lang w:val="fr-CA"/>
        </w:rPr>
        <w:t>’</w:t>
      </w:r>
      <w:r w:rsidRPr="000E14A8">
        <w:rPr>
          <w:rFonts w:cs="Times New Roman"/>
          <w:lang w:val="fr-CA"/>
        </w:rPr>
        <w:t>investissement. La présente affaire est, par contre, totalement différente. Le fait qu</w:t>
      </w:r>
      <w:r>
        <w:rPr>
          <w:rFonts w:cs="Times New Roman"/>
          <w:lang w:val="fr-CA"/>
        </w:rPr>
        <w:t>’</w:t>
      </w:r>
      <w:r w:rsidRPr="000E14A8">
        <w:rPr>
          <w:rFonts w:cs="Times New Roman"/>
          <w:lang w:val="fr-CA"/>
        </w:rPr>
        <w:t>il n</w:t>
      </w:r>
      <w:r>
        <w:rPr>
          <w:rFonts w:cs="Times New Roman"/>
          <w:lang w:val="fr-CA"/>
        </w:rPr>
        <w:t>’</w:t>
      </w:r>
      <w:r w:rsidRPr="000E14A8">
        <w:rPr>
          <w:rFonts w:cs="Times New Roman"/>
          <w:lang w:val="fr-CA"/>
        </w:rPr>
        <w:t>y a qu</w:t>
      </w:r>
      <w:r>
        <w:rPr>
          <w:rFonts w:cs="Times New Roman"/>
          <w:lang w:val="fr-CA"/>
        </w:rPr>
        <w:t>’</w:t>
      </w:r>
      <w:r w:rsidRPr="000E14A8">
        <w:rPr>
          <w:rFonts w:cs="Times New Roman"/>
          <w:lang w:val="fr-CA"/>
        </w:rPr>
        <w:t>un seul demandeur potentiel écarte toute possibilité d</w:t>
      </w:r>
      <w:r>
        <w:rPr>
          <w:rFonts w:cs="Times New Roman"/>
          <w:lang w:val="fr-CA"/>
        </w:rPr>
        <w:t>’</w:t>
      </w:r>
      <w:r w:rsidRPr="000E14A8">
        <w:rPr>
          <w:rFonts w:cs="Times New Roman"/>
          <w:lang w:val="fr-CA"/>
        </w:rPr>
        <w:t>indétermination.</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Soulignons en passant que Deloitte dit de l</w:t>
      </w:r>
      <w:r>
        <w:rPr>
          <w:rFonts w:cs="Times New Roman"/>
          <w:lang w:val="fr-CA"/>
        </w:rPr>
        <w:t>’</w:t>
      </w:r>
      <w:r w:rsidRPr="000E14A8">
        <w:rPr>
          <w:rFonts w:cs="Times New Roman"/>
          <w:lang w:val="fr-CA"/>
        </w:rPr>
        <w:t>action intentée par Livent qu</w:t>
      </w:r>
      <w:r>
        <w:rPr>
          <w:rFonts w:cs="Times New Roman"/>
          <w:lang w:val="fr-CA"/>
        </w:rPr>
        <w:t>’</w:t>
      </w:r>
      <w:r w:rsidRPr="000E14A8">
        <w:rPr>
          <w:rFonts w:cs="Times New Roman"/>
          <w:lang w:val="fr-CA"/>
        </w:rPr>
        <w:t>elle est intentée, en réalité (c</w:t>
      </w:r>
      <w:r>
        <w:rPr>
          <w:rFonts w:cs="Times New Roman"/>
          <w:lang w:val="fr-CA"/>
        </w:rPr>
        <w:t>’</w:t>
      </w:r>
      <w:r w:rsidRPr="000E14A8">
        <w:rPr>
          <w:rFonts w:cs="Times New Roman"/>
          <w:lang w:val="fr-CA"/>
        </w:rPr>
        <w:t>est</w:t>
      </w:r>
      <w:r w:rsidRPr="000E14A8">
        <w:rPr>
          <w:rFonts w:cs="Times New Roman"/>
          <w:lang w:val="fr-CA"/>
        </w:rPr>
        <w:noBreakHyphen/>
        <w:t>à</w:t>
      </w:r>
      <w:r w:rsidRPr="000E14A8">
        <w:rPr>
          <w:rFonts w:cs="Times New Roman"/>
          <w:lang w:val="fr-CA"/>
        </w:rPr>
        <w:noBreakHyphen/>
        <w:t>dire, à la lumière de son insolvabilité), par ses différentes parties intéressées. Or, cet argument confond la demanderesse, Livent, avec ses parties intéressées qui pourraient tirer profit du succès de l</w:t>
      </w:r>
      <w:r>
        <w:rPr>
          <w:rFonts w:cs="Times New Roman"/>
          <w:lang w:val="fr-CA"/>
        </w:rPr>
        <w:t>’</w:t>
      </w:r>
      <w:r w:rsidRPr="000E14A8">
        <w:rPr>
          <w:rFonts w:cs="Times New Roman"/>
          <w:lang w:val="fr-CA"/>
        </w:rPr>
        <w:t>action intentée par elle, et fait ainsi abstraction de la personnalité morale distincte de Livent. Plus important encore, cet argument va directement à l</w:t>
      </w:r>
      <w:r>
        <w:rPr>
          <w:rFonts w:cs="Times New Roman"/>
          <w:lang w:val="fr-CA"/>
        </w:rPr>
        <w:t>’</w:t>
      </w:r>
      <w:r w:rsidRPr="000E14A8">
        <w:rPr>
          <w:rFonts w:cs="Times New Roman"/>
          <w:lang w:val="fr-CA"/>
        </w:rPr>
        <w:t xml:space="preserve">encontre de la conclusion de notre Cour dans </w:t>
      </w:r>
      <w:r w:rsidRPr="000E14A8">
        <w:rPr>
          <w:rFonts w:cs="Times New Roman"/>
          <w:i/>
          <w:lang w:val="fr-CA"/>
        </w:rPr>
        <w:t xml:space="preserve">Hercules </w:t>
      </w:r>
      <w:r w:rsidRPr="000E14A8">
        <w:rPr>
          <w:rFonts w:cs="Times New Roman"/>
          <w:lang w:val="fr-CA"/>
        </w:rPr>
        <w:t xml:space="preserve">selon laquelle une action oblique — qui, elle aussi, pourrait profiter à divers </w:t>
      </w:r>
      <w:r w:rsidRPr="000E14A8">
        <w:rPr>
          <w:rFonts w:cs="Times New Roman"/>
          <w:lang w:val="fr-CA"/>
        </w:rPr>
        <w:lastRenderedPageBreak/>
        <w:t>intéressés — est le recours approprié en cas de vérification exigée par la loi entachée de négligence (par. 1 et 58</w:t>
      </w:r>
      <w:r w:rsidRPr="000E14A8">
        <w:rPr>
          <w:rFonts w:cs="Times New Roman"/>
          <w:lang w:val="fr-CA"/>
        </w:rPr>
        <w:noBreakHyphen/>
        <w:t xml:space="preserve">64). </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L</w:t>
      </w:r>
      <w:r>
        <w:rPr>
          <w:rFonts w:cs="Times New Roman"/>
          <w:lang w:val="fr-CA"/>
        </w:rPr>
        <w:t>’</w:t>
      </w:r>
      <w:r w:rsidRPr="000E14A8">
        <w:rPr>
          <w:rFonts w:cs="Times New Roman"/>
          <w:lang w:val="fr-CA"/>
        </w:rPr>
        <w:t>absence d</w:t>
      </w:r>
      <w:r>
        <w:rPr>
          <w:rFonts w:cs="Times New Roman"/>
          <w:lang w:val="fr-CA"/>
        </w:rPr>
        <w:t>’</w:t>
      </w:r>
      <w:r w:rsidRPr="000E14A8">
        <w:rPr>
          <w:rFonts w:cs="Times New Roman"/>
          <w:lang w:val="fr-CA"/>
        </w:rPr>
        <w:t>une indétermination quant au temps et au demandeur explique par ailleurs l</w:t>
      </w:r>
      <w:r>
        <w:rPr>
          <w:rFonts w:cs="Times New Roman"/>
          <w:lang w:val="fr-CA"/>
        </w:rPr>
        <w:t>’</w:t>
      </w:r>
      <w:r w:rsidRPr="000E14A8">
        <w:rPr>
          <w:rFonts w:cs="Times New Roman"/>
          <w:lang w:val="fr-CA"/>
        </w:rPr>
        <w:t>absence d</w:t>
      </w:r>
      <w:r>
        <w:rPr>
          <w:rFonts w:cs="Times New Roman"/>
          <w:lang w:val="fr-CA"/>
        </w:rPr>
        <w:t>’</w:t>
      </w:r>
      <w:r w:rsidRPr="000E14A8">
        <w:rPr>
          <w:rFonts w:cs="Times New Roman"/>
          <w:lang w:val="fr-CA"/>
        </w:rPr>
        <w:t>une indétermination quant à la valeur en l</w:t>
      </w:r>
      <w:r>
        <w:rPr>
          <w:rFonts w:cs="Times New Roman"/>
          <w:lang w:val="fr-CA"/>
        </w:rPr>
        <w:t>’</w:t>
      </w:r>
      <w:r w:rsidRPr="000E14A8">
        <w:rPr>
          <w:rFonts w:cs="Times New Roman"/>
          <w:lang w:val="fr-CA"/>
        </w:rPr>
        <w:t>espèce. Ici, l</w:t>
      </w:r>
      <w:r>
        <w:rPr>
          <w:rFonts w:cs="Times New Roman"/>
          <w:lang w:val="fr-CA"/>
        </w:rPr>
        <w:t>’</w:t>
      </w:r>
      <w:r w:rsidRPr="000E14A8">
        <w:rPr>
          <w:rFonts w:cs="Times New Roman"/>
          <w:lang w:val="fr-CA"/>
        </w:rPr>
        <w:t>utilisation malavisée des fonds d</w:t>
      </w:r>
      <w:r>
        <w:rPr>
          <w:rFonts w:cs="Times New Roman"/>
          <w:lang w:val="fr-CA"/>
        </w:rPr>
        <w:t>’</w:t>
      </w:r>
      <w:r w:rsidRPr="000E14A8">
        <w:rPr>
          <w:rFonts w:cs="Times New Roman"/>
          <w:lang w:val="fr-CA"/>
        </w:rPr>
        <w:t xml:space="preserve">investissement par Livent ne peut donner lieu à une responsabilité pour une valeur </w:t>
      </w:r>
      <w:r w:rsidRPr="000E14A8">
        <w:rPr>
          <w:rFonts w:cs="Times New Roman"/>
          <w:i/>
          <w:lang w:val="fr-CA"/>
        </w:rPr>
        <w:t>indéterminée</w:t>
      </w:r>
      <w:r w:rsidRPr="000E14A8">
        <w:rPr>
          <w:rFonts w:cs="Times New Roman"/>
          <w:lang w:val="fr-CA"/>
        </w:rPr>
        <w:t>. En fait, la responsabilité dont il est question en l</w:t>
      </w:r>
      <w:r>
        <w:rPr>
          <w:rFonts w:cs="Times New Roman"/>
          <w:lang w:val="fr-CA"/>
        </w:rPr>
        <w:t>’</w:t>
      </w:r>
      <w:r w:rsidRPr="000E14A8">
        <w:rPr>
          <w:rFonts w:cs="Times New Roman"/>
          <w:lang w:val="fr-CA"/>
        </w:rPr>
        <w:t>espèce ne saurait excéder les pertes d</w:t>
      </w:r>
      <w:r>
        <w:rPr>
          <w:rFonts w:cs="Times New Roman"/>
          <w:lang w:val="fr-CA"/>
        </w:rPr>
        <w:t>’</w:t>
      </w:r>
      <w:r w:rsidRPr="000E14A8">
        <w:rPr>
          <w:rFonts w:cs="Times New Roman"/>
          <w:lang w:val="fr-CA"/>
        </w:rPr>
        <w:t>une seule entreprise. Lorsqu</w:t>
      </w:r>
      <w:r>
        <w:rPr>
          <w:rFonts w:cs="Times New Roman"/>
          <w:lang w:val="fr-CA"/>
        </w:rPr>
        <w:t>’</w:t>
      </w:r>
      <w:r w:rsidRPr="000E14A8">
        <w:rPr>
          <w:rFonts w:cs="Times New Roman"/>
          <w:lang w:val="fr-CA"/>
        </w:rPr>
        <w:t>elle a accepté de procéder à la vérification de Livent, Deloitte devait savoir que Livent était une entreprise d</w:t>
      </w:r>
      <w:r>
        <w:rPr>
          <w:rFonts w:cs="Times New Roman"/>
          <w:lang w:val="fr-CA"/>
        </w:rPr>
        <w:t>’</w:t>
      </w:r>
      <w:r w:rsidRPr="000E14A8">
        <w:rPr>
          <w:rFonts w:cs="Times New Roman"/>
          <w:lang w:val="fr-CA"/>
        </w:rPr>
        <w:t>envergure, et qu</w:t>
      </w:r>
      <w:r>
        <w:rPr>
          <w:rFonts w:cs="Times New Roman"/>
          <w:lang w:val="fr-CA"/>
        </w:rPr>
        <w:t>’</w:t>
      </w:r>
      <w:r w:rsidRPr="000E14A8">
        <w:rPr>
          <w:rFonts w:cs="Times New Roman"/>
          <w:lang w:val="fr-CA"/>
        </w:rPr>
        <w:t>elle pouvait subir d</w:t>
      </w:r>
      <w:r>
        <w:rPr>
          <w:rFonts w:cs="Times New Roman"/>
          <w:lang w:val="fr-CA"/>
        </w:rPr>
        <w:t>’</w:t>
      </w:r>
      <w:r w:rsidRPr="000E14A8">
        <w:rPr>
          <w:rFonts w:cs="Times New Roman"/>
          <w:lang w:val="fr-CA"/>
        </w:rPr>
        <w:t xml:space="preserve">importantes pertes financières si elle était mal informée par son vérificateur. Mais une responsabilité </w:t>
      </w:r>
      <w:r w:rsidRPr="000E14A8">
        <w:rPr>
          <w:rFonts w:cs="Times New Roman"/>
          <w:i/>
          <w:lang w:val="fr-CA"/>
        </w:rPr>
        <w:t>importante</w:t>
      </w:r>
      <w:r w:rsidRPr="000E14A8">
        <w:rPr>
          <w:rFonts w:cs="Times New Roman"/>
          <w:lang w:val="fr-CA"/>
        </w:rPr>
        <w:t xml:space="preserve"> est distincte d</w:t>
      </w:r>
      <w:r>
        <w:rPr>
          <w:rFonts w:cs="Times New Roman"/>
          <w:lang w:val="fr-CA"/>
        </w:rPr>
        <w:t>’</w:t>
      </w:r>
      <w:r w:rsidRPr="000E14A8">
        <w:rPr>
          <w:rFonts w:cs="Times New Roman"/>
          <w:lang w:val="fr-CA"/>
        </w:rPr>
        <w:t xml:space="preserve">une responsabilité </w:t>
      </w:r>
      <w:r w:rsidRPr="000E14A8">
        <w:rPr>
          <w:rFonts w:cs="Times New Roman"/>
          <w:i/>
          <w:lang w:val="fr-CA"/>
        </w:rPr>
        <w:t>indéterminée</w:t>
      </w:r>
      <w:r w:rsidRPr="000E14A8">
        <w:rPr>
          <w:rFonts w:cs="Times New Roman"/>
          <w:lang w:val="fr-CA"/>
        </w:rPr>
        <w:t xml:space="preserve"> (</w:t>
      </w:r>
      <w:r w:rsidRPr="000E14A8">
        <w:rPr>
          <w:rFonts w:cs="Times New Roman"/>
          <w:i/>
          <w:lang w:val="fr-CA"/>
        </w:rPr>
        <w:t>Gross</w:t>
      </w:r>
      <w:r w:rsidRPr="000E14A8">
        <w:rPr>
          <w:rFonts w:cs="Times New Roman"/>
          <w:lang w:val="fr-CA"/>
        </w:rPr>
        <w:t>, par. 38). Autrement dit, Deloitte était, en réalité, « en mesure d</w:t>
      </w:r>
      <w:r>
        <w:rPr>
          <w:rFonts w:cs="Times New Roman"/>
          <w:lang w:val="fr-CA"/>
        </w:rPr>
        <w:t>’</w:t>
      </w:r>
      <w:r w:rsidRPr="000E14A8">
        <w:rPr>
          <w:rFonts w:cs="Times New Roman"/>
          <w:lang w:val="fr-CA"/>
        </w:rPr>
        <w:t>évaluer l</w:t>
      </w:r>
      <w:r>
        <w:rPr>
          <w:rFonts w:cs="Times New Roman"/>
          <w:lang w:val="fr-CA"/>
        </w:rPr>
        <w:t>’</w:t>
      </w:r>
      <w:r w:rsidRPr="000E14A8">
        <w:rPr>
          <w:rFonts w:cs="Times New Roman"/>
          <w:lang w:val="fr-CA"/>
        </w:rPr>
        <w:t>ampleur de sa responsabilité éventuelle » avant d</w:t>
      </w:r>
      <w:r>
        <w:rPr>
          <w:rFonts w:cs="Times New Roman"/>
          <w:lang w:val="fr-CA"/>
        </w:rPr>
        <w:t>’</w:t>
      </w:r>
      <w:r w:rsidRPr="000E14A8">
        <w:rPr>
          <w:rFonts w:cs="Times New Roman"/>
          <w:lang w:val="fr-CA"/>
        </w:rPr>
        <w:t>entreprendre son rapport de 1997 (motifs de la Juge en chef, par. 176). La situation est très différente du montant potentiellement illimité correspondant aux investissements perdus par un nombre incalculable de tiers ayant fondé leurs décisions d</w:t>
      </w:r>
      <w:r>
        <w:rPr>
          <w:rFonts w:cs="Times New Roman"/>
          <w:lang w:val="fr-CA"/>
        </w:rPr>
        <w:t>’</w:t>
      </w:r>
      <w:r w:rsidRPr="000E14A8">
        <w:rPr>
          <w:rFonts w:cs="Times New Roman"/>
          <w:lang w:val="fr-CA"/>
        </w:rPr>
        <w:t xml:space="preserve">affaires sur des états financiers vérifiés (voir </w:t>
      </w:r>
      <w:r w:rsidRPr="000E14A8">
        <w:rPr>
          <w:rFonts w:cs="Times New Roman"/>
          <w:i/>
          <w:lang w:val="fr-CA"/>
        </w:rPr>
        <w:t>Hercules</w:t>
      </w:r>
      <w:r w:rsidRPr="000E14A8">
        <w:rPr>
          <w:rFonts w:cs="Times New Roman"/>
          <w:lang w:val="fr-CA"/>
        </w:rPr>
        <w:t>, par. 32). La considération selon laquelle Deloitte ne connaissait pas « l</w:t>
      </w:r>
      <w:r>
        <w:rPr>
          <w:rFonts w:cs="Times New Roman"/>
          <w:lang w:val="fr-CA"/>
        </w:rPr>
        <w:t>’</w:t>
      </w:r>
      <w:r w:rsidRPr="000E14A8">
        <w:rPr>
          <w:rFonts w:cs="Times New Roman"/>
          <w:lang w:val="fr-CA"/>
        </w:rPr>
        <w:t xml:space="preserve">étendue de [sa] responsabilité au moment où [elle accepte] un engagement » de Livent (motifs de la Juge en chef, par. 176) confond la responsabilité </w:t>
      </w:r>
      <w:r w:rsidRPr="000E14A8">
        <w:rPr>
          <w:rFonts w:cs="Times New Roman"/>
          <w:i/>
          <w:lang w:val="fr-CA"/>
        </w:rPr>
        <w:t>indéterminée</w:t>
      </w:r>
      <w:r w:rsidRPr="000E14A8">
        <w:rPr>
          <w:rFonts w:cs="Times New Roman"/>
          <w:lang w:val="fr-CA"/>
        </w:rPr>
        <w:t xml:space="preserve"> et la responsabilité </w:t>
      </w:r>
      <w:r w:rsidRPr="000E14A8">
        <w:rPr>
          <w:rFonts w:cs="Times New Roman"/>
          <w:i/>
          <w:lang w:val="fr-CA"/>
        </w:rPr>
        <w:t>non déterminée</w:t>
      </w:r>
      <w:r w:rsidRPr="000E14A8">
        <w:rPr>
          <w:rFonts w:cs="Times New Roman"/>
          <w:lang w:val="fr-CA"/>
        </w:rPr>
        <w:t>.</w:t>
      </w:r>
    </w:p>
    <w:p w:rsidR="003A506E" w:rsidRPr="000E14A8" w:rsidRDefault="003A506E" w:rsidP="003A506E">
      <w:pPr>
        <w:pStyle w:val="ParaNoNdepar-AltN"/>
        <w:rPr>
          <w:rFonts w:cs="Times New Roman"/>
          <w:lang w:val="fr-CA"/>
        </w:rPr>
      </w:pPr>
      <w:r w:rsidRPr="000E14A8">
        <w:rPr>
          <w:rFonts w:cs="Times New Roman"/>
          <w:lang w:val="fr-CA"/>
        </w:rPr>
        <w:t>La Juge en chef qualifie la responsabilité que l</w:t>
      </w:r>
      <w:r>
        <w:rPr>
          <w:rFonts w:cs="Times New Roman"/>
          <w:lang w:val="fr-CA"/>
        </w:rPr>
        <w:t>’</w:t>
      </w:r>
      <w:r w:rsidRPr="000E14A8">
        <w:rPr>
          <w:rFonts w:cs="Times New Roman"/>
          <w:lang w:val="fr-CA"/>
        </w:rPr>
        <w:t>on cherche à imposer en l</w:t>
      </w:r>
      <w:r>
        <w:rPr>
          <w:rFonts w:cs="Times New Roman"/>
          <w:lang w:val="fr-CA"/>
        </w:rPr>
        <w:t>’</w:t>
      </w:r>
      <w:r w:rsidRPr="000E14A8">
        <w:rPr>
          <w:rFonts w:cs="Times New Roman"/>
          <w:lang w:val="fr-CA"/>
        </w:rPr>
        <w:t>espèce d</w:t>
      </w:r>
      <w:r>
        <w:rPr>
          <w:rFonts w:cs="Times New Roman"/>
          <w:lang w:val="fr-CA"/>
        </w:rPr>
        <w:t>’</w:t>
      </w:r>
      <w:r w:rsidRPr="000E14A8">
        <w:rPr>
          <w:rFonts w:cs="Times New Roman"/>
          <w:lang w:val="fr-CA"/>
        </w:rPr>
        <w:t>« indéterminé</w:t>
      </w:r>
      <w:r w:rsidR="00D5275F" w:rsidRPr="000E14A8">
        <w:rPr>
          <w:rFonts w:cs="Times New Roman"/>
          <w:lang w:val="fr-CA"/>
        </w:rPr>
        <w:t>[</w:t>
      </w:r>
      <w:r w:rsidRPr="000E14A8">
        <w:rPr>
          <w:rFonts w:cs="Times New Roman"/>
          <w:lang w:val="fr-CA"/>
        </w:rPr>
        <w:t>e</w:t>
      </w:r>
      <w:r w:rsidR="00D5275F" w:rsidRPr="000E14A8">
        <w:rPr>
          <w:rFonts w:cs="Times New Roman"/>
          <w:lang w:val="fr-CA"/>
        </w:rPr>
        <w:t>]</w:t>
      </w:r>
      <w:r w:rsidRPr="000E14A8">
        <w:rPr>
          <w:rFonts w:cs="Times New Roman"/>
          <w:lang w:val="fr-CA"/>
        </w:rPr>
        <w:t> » parce que la confiance de Livent échapperait à la portée de l</w:t>
      </w:r>
      <w:r>
        <w:rPr>
          <w:rFonts w:cs="Times New Roman"/>
          <w:lang w:val="fr-CA"/>
        </w:rPr>
        <w:t>’</w:t>
      </w:r>
      <w:r w:rsidRPr="000E14A8">
        <w:rPr>
          <w:rFonts w:cs="Times New Roman"/>
          <w:lang w:val="fr-CA"/>
        </w:rPr>
        <w:t>engagement de Deloitte (par. 170). Nous ne partageons pas cet avis. Au contraire, l</w:t>
      </w:r>
      <w:r>
        <w:rPr>
          <w:rFonts w:cs="Times New Roman"/>
          <w:lang w:val="fr-CA"/>
        </w:rPr>
        <w:t>’</w:t>
      </w:r>
      <w:r w:rsidRPr="000E14A8">
        <w:rPr>
          <w:rFonts w:cs="Times New Roman"/>
          <w:lang w:val="fr-CA"/>
        </w:rPr>
        <w:t xml:space="preserve">indétermination quant à la valeur est limitée par les fins auxquelles le rapport de </w:t>
      </w:r>
      <w:r w:rsidRPr="000E14A8">
        <w:rPr>
          <w:rFonts w:cs="Times New Roman"/>
          <w:lang w:val="fr-CA"/>
        </w:rPr>
        <w:lastRenderedPageBreak/>
        <w:t xml:space="preserve">vérification a été préparé, et </w:t>
      </w:r>
      <w:r w:rsidRPr="000E14A8">
        <w:rPr>
          <w:rFonts w:cs="Times New Roman"/>
          <w:noProof/>
          <w:lang w:val="fr-CA"/>
        </w:rPr>
        <w:t>le fait pour Livent de s</w:t>
      </w:r>
      <w:r>
        <w:rPr>
          <w:rFonts w:cs="Times New Roman"/>
          <w:noProof/>
          <w:lang w:val="fr-CA"/>
        </w:rPr>
        <w:t>’</w:t>
      </w:r>
      <w:r w:rsidRPr="000E14A8">
        <w:rPr>
          <w:rFonts w:cs="Times New Roman"/>
          <w:noProof/>
          <w:lang w:val="fr-CA"/>
        </w:rPr>
        <w:t>y fier</w:t>
      </w:r>
      <w:r w:rsidRPr="000E14A8">
        <w:rPr>
          <w:rFonts w:cs="Times New Roman"/>
          <w:lang w:val="fr-CA"/>
        </w:rPr>
        <w:t xml:space="preserve"> correspondait clairement à ces fins. Dans l</w:t>
      </w:r>
      <w:r>
        <w:rPr>
          <w:rFonts w:cs="Times New Roman"/>
          <w:lang w:val="fr-CA"/>
        </w:rPr>
        <w:t>’</w:t>
      </w:r>
      <w:r w:rsidRPr="000E14A8">
        <w:rPr>
          <w:rFonts w:cs="Times New Roman"/>
          <w:lang w:val="fr-CA"/>
        </w:rPr>
        <w:t xml:space="preserve">arrêt </w:t>
      </w:r>
      <w:r w:rsidRPr="000E14A8">
        <w:rPr>
          <w:rFonts w:cs="Times New Roman"/>
          <w:i/>
          <w:lang w:val="fr-CA"/>
        </w:rPr>
        <w:t>Hercules</w:t>
      </w:r>
      <w:r w:rsidRPr="000E14A8">
        <w:rPr>
          <w:rFonts w:cs="Times New Roman"/>
          <w:lang w:val="fr-CA"/>
        </w:rPr>
        <w:t>, notre Cour a rejeté une action intentée par des investisseurs au motif qu</w:t>
      </w:r>
      <w:r>
        <w:rPr>
          <w:rFonts w:cs="Times New Roman"/>
          <w:lang w:val="fr-CA"/>
        </w:rPr>
        <w:t>’</w:t>
      </w:r>
      <w:r w:rsidRPr="000E14A8">
        <w:rPr>
          <w:rFonts w:cs="Times New Roman"/>
          <w:lang w:val="fr-CA"/>
        </w:rPr>
        <w:t>ils pouvaient utiliser les rapports de vérification « pour quelque fin connexe ou non voulue » (par. 38), ce qui donnait lieu à une responsabilité indéterminée (puisque les diverses fins auxquelles peut servir un rapport de vérification sont potentiellement illimitées). Or, ce n</w:t>
      </w:r>
      <w:r>
        <w:rPr>
          <w:rFonts w:cs="Times New Roman"/>
          <w:lang w:val="fr-CA"/>
        </w:rPr>
        <w:t>’</w:t>
      </w:r>
      <w:r w:rsidRPr="000E14A8">
        <w:rPr>
          <w:rFonts w:cs="Times New Roman"/>
          <w:lang w:val="fr-CA"/>
        </w:rPr>
        <w:t>est pas le cas en l</w:t>
      </w:r>
      <w:r>
        <w:rPr>
          <w:rFonts w:cs="Times New Roman"/>
          <w:lang w:val="fr-CA"/>
        </w:rPr>
        <w:t>’</w:t>
      </w:r>
      <w:r w:rsidRPr="000E14A8">
        <w:rPr>
          <w:rFonts w:cs="Times New Roman"/>
          <w:lang w:val="fr-CA"/>
        </w:rPr>
        <w:t>espèce. Le rapport de 1997 a été préparé dans le but exprès de permettre aux actionnaires de Livent de surveiller la gestion, et la perte en question est le résultat de leur incapacité à assurer cette surveillance. Il s</w:t>
      </w:r>
      <w:r>
        <w:rPr>
          <w:rFonts w:cs="Times New Roman"/>
          <w:lang w:val="fr-CA"/>
        </w:rPr>
        <w:t>’</w:t>
      </w:r>
      <w:r w:rsidRPr="000E14A8">
        <w:rPr>
          <w:rFonts w:cs="Times New Roman"/>
          <w:lang w:val="fr-CA"/>
        </w:rPr>
        <w:t>ensuit que les buts qui sous</w:t>
      </w:r>
      <w:r w:rsidRPr="000E14A8">
        <w:rPr>
          <w:rFonts w:cs="Times New Roman"/>
          <w:lang w:val="fr-CA"/>
        </w:rPr>
        <w:noBreakHyphen/>
        <w:t>tendent le rapport de 1997 — deux seulement, comme nous l</w:t>
      </w:r>
      <w:r>
        <w:rPr>
          <w:rFonts w:cs="Times New Roman"/>
          <w:lang w:val="fr-CA"/>
        </w:rPr>
        <w:t>’</w:t>
      </w:r>
      <w:r w:rsidRPr="000E14A8">
        <w:rPr>
          <w:rFonts w:cs="Times New Roman"/>
          <w:lang w:val="fr-CA"/>
        </w:rPr>
        <w:t>avons expliqué — ne donnent pas lieu à une éventuelle indétermination, et s</w:t>
      </w:r>
      <w:r>
        <w:rPr>
          <w:rFonts w:cs="Times New Roman"/>
          <w:lang w:val="fr-CA"/>
        </w:rPr>
        <w:t>’</w:t>
      </w:r>
      <w:r w:rsidRPr="000E14A8">
        <w:rPr>
          <w:rFonts w:cs="Times New Roman"/>
          <w:lang w:val="fr-CA"/>
        </w:rPr>
        <w:t>attachent, corollairement, à des pertes éventuelles qui, elles non plus, ne sont pas indéterminées. Il ne s</w:t>
      </w:r>
      <w:r>
        <w:rPr>
          <w:rFonts w:cs="Times New Roman"/>
          <w:lang w:val="fr-CA"/>
        </w:rPr>
        <w:t>’</w:t>
      </w:r>
      <w:r w:rsidRPr="000E14A8">
        <w:rPr>
          <w:rFonts w:cs="Times New Roman"/>
          <w:lang w:val="fr-CA"/>
        </w:rPr>
        <w:t>agit pas d</w:t>
      </w:r>
      <w:r>
        <w:rPr>
          <w:rFonts w:cs="Times New Roman"/>
          <w:lang w:val="fr-CA"/>
        </w:rPr>
        <w:t>’</w:t>
      </w:r>
      <w:r w:rsidRPr="000E14A8">
        <w:rPr>
          <w:rFonts w:cs="Times New Roman"/>
          <w:lang w:val="fr-CA"/>
        </w:rPr>
        <w:t>un cas où, par exemple, une tierce partie inconnue se serait fiée à un rapport de vérification pour faire une offre publique d</w:t>
      </w:r>
      <w:r>
        <w:rPr>
          <w:rFonts w:cs="Times New Roman"/>
          <w:lang w:val="fr-CA"/>
        </w:rPr>
        <w:t>’</w:t>
      </w:r>
      <w:r w:rsidRPr="000E14A8">
        <w:rPr>
          <w:rFonts w:cs="Times New Roman"/>
          <w:lang w:val="fr-CA"/>
        </w:rPr>
        <w:t>achat — un but qui échappe à la portée de la vérification (</w:t>
      </w:r>
      <w:r w:rsidRPr="000E14A8">
        <w:rPr>
          <w:rFonts w:cs="Times New Roman"/>
          <w:i/>
          <w:lang w:val="fr-CA"/>
        </w:rPr>
        <w:t>Hercules</w:t>
      </w:r>
      <w:r w:rsidRPr="000E14A8">
        <w:rPr>
          <w:rFonts w:cs="Times New Roman"/>
          <w:lang w:val="fr-CA"/>
        </w:rPr>
        <w:t>, par. 32). Il s</w:t>
      </w:r>
      <w:r>
        <w:rPr>
          <w:rFonts w:cs="Times New Roman"/>
          <w:lang w:val="fr-CA"/>
        </w:rPr>
        <w:t>’</w:t>
      </w:r>
      <w:r w:rsidRPr="000E14A8">
        <w:rPr>
          <w:rFonts w:cs="Times New Roman"/>
          <w:lang w:val="fr-CA"/>
        </w:rPr>
        <w:t>agit plutôt d</w:t>
      </w:r>
      <w:r>
        <w:rPr>
          <w:rFonts w:cs="Times New Roman"/>
          <w:lang w:val="fr-CA"/>
        </w:rPr>
        <w:t>’</w:t>
      </w:r>
      <w:r w:rsidRPr="000E14A8">
        <w:rPr>
          <w:rFonts w:cs="Times New Roman"/>
          <w:lang w:val="fr-CA"/>
        </w:rPr>
        <w:t>un cas où l</w:t>
      </w:r>
      <w:r>
        <w:rPr>
          <w:rFonts w:cs="Times New Roman"/>
          <w:lang w:val="fr-CA"/>
        </w:rPr>
        <w:t>’</w:t>
      </w:r>
      <w:r w:rsidRPr="000E14A8">
        <w:rPr>
          <w:rFonts w:cs="Times New Roman"/>
          <w:lang w:val="fr-CA"/>
        </w:rPr>
        <w:t>un des objectifs établis de la vérification a été sapé, et où, comme il fallait s</w:t>
      </w:r>
      <w:r>
        <w:rPr>
          <w:rFonts w:cs="Times New Roman"/>
          <w:lang w:val="fr-CA"/>
        </w:rPr>
        <w:t>’</w:t>
      </w:r>
      <w:r w:rsidRPr="000E14A8">
        <w:rPr>
          <w:rFonts w:cs="Times New Roman"/>
          <w:lang w:val="fr-CA"/>
        </w:rPr>
        <w:t>y attendre, des pertes s</w:t>
      </w:r>
      <w:r>
        <w:rPr>
          <w:rFonts w:cs="Times New Roman"/>
          <w:lang w:val="fr-CA"/>
        </w:rPr>
        <w:t>’</w:t>
      </w:r>
      <w:r w:rsidRPr="000E14A8">
        <w:rPr>
          <w:rFonts w:cs="Times New Roman"/>
          <w:lang w:val="fr-CA"/>
        </w:rPr>
        <w:t>en sont suivies (</w:t>
      </w:r>
      <w:r w:rsidRPr="000E14A8">
        <w:rPr>
          <w:rFonts w:cs="Times New Roman"/>
          <w:i/>
          <w:lang w:val="fr-CA"/>
        </w:rPr>
        <w:t>Haig</w:t>
      </w:r>
      <w:r w:rsidRPr="000E14A8">
        <w:rPr>
          <w:rFonts w:cs="Times New Roman"/>
          <w:lang w:val="fr-CA"/>
        </w:rPr>
        <w:t>, p. 478</w:t>
      </w:r>
      <w:r w:rsidRPr="000E14A8">
        <w:rPr>
          <w:rFonts w:cs="Times New Roman"/>
          <w:lang w:val="fr-CA"/>
        </w:rPr>
        <w:noBreakHyphen/>
        <w:t xml:space="preserve">479). </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En l</w:t>
      </w:r>
      <w:r>
        <w:rPr>
          <w:rFonts w:cs="Times New Roman"/>
          <w:lang w:val="fr-CA"/>
        </w:rPr>
        <w:t>’</w:t>
      </w:r>
      <w:r w:rsidRPr="000E14A8">
        <w:rPr>
          <w:rFonts w:cs="Times New Roman"/>
          <w:lang w:val="fr-CA"/>
        </w:rPr>
        <w:t xml:space="preserve">espèce, </w:t>
      </w:r>
      <w:r w:rsidRPr="000E14A8">
        <w:rPr>
          <w:rFonts w:cs="Times New Roman"/>
          <w:i/>
          <w:lang w:val="fr-CA"/>
        </w:rPr>
        <w:t>une seule</w:t>
      </w:r>
      <w:r w:rsidRPr="000E14A8">
        <w:rPr>
          <w:rFonts w:cs="Times New Roman"/>
          <w:lang w:val="fr-CA"/>
        </w:rPr>
        <w:t xml:space="preserve"> demanderesse (Livent) poursuit Deloitte pour défaut de respecter l</w:t>
      </w:r>
      <w:r>
        <w:rPr>
          <w:rFonts w:cs="Times New Roman"/>
          <w:lang w:val="fr-CA"/>
        </w:rPr>
        <w:t>’</w:t>
      </w:r>
      <w:r w:rsidRPr="000E14A8">
        <w:rPr>
          <w:rFonts w:cs="Times New Roman"/>
          <w:lang w:val="fr-CA"/>
        </w:rPr>
        <w:t xml:space="preserve">une des </w:t>
      </w:r>
      <w:r w:rsidRPr="000E14A8">
        <w:rPr>
          <w:rFonts w:cs="Times New Roman"/>
          <w:i/>
          <w:lang w:val="fr-CA"/>
        </w:rPr>
        <w:t xml:space="preserve">deux </w:t>
      </w:r>
      <w:r w:rsidRPr="000E14A8">
        <w:rPr>
          <w:rFonts w:cs="Times New Roman"/>
          <w:lang w:val="fr-CA"/>
        </w:rPr>
        <w:t xml:space="preserve">fins visées par le rapport de vérification (la surveillance de la gestion), lequel rapport aurait été remplacé par une vérification effectuée </w:t>
      </w:r>
      <w:r w:rsidRPr="000E14A8">
        <w:rPr>
          <w:rFonts w:cs="Times New Roman"/>
          <w:i/>
          <w:lang w:val="fr-CA"/>
        </w:rPr>
        <w:t>une</w:t>
      </w:r>
      <w:r w:rsidRPr="000E14A8">
        <w:rPr>
          <w:rFonts w:cs="Times New Roman"/>
          <w:lang w:val="fr-CA"/>
        </w:rPr>
        <w:t xml:space="preserve"> année plus tard. Il n</w:t>
      </w:r>
      <w:r>
        <w:rPr>
          <w:rFonts w:cs="Times New Roman"/>
          <w:lang w:val="fr-CA"/>
        </w:rPr>
        <w:t>’</w:t>
      </w:r>
      <w:r w:rsidRPr="000E14A8">
        <w:rPr>
          <w:rFonts w:cs="Times New Roman"/>
          <w:lang w:val="fr-CA"/>
        </w:rPr>
        <w:t>y a aucune responsabilité indéterminée dans un tel contexte. À cet égard, les observations formulées au nom de la Cour par le juge La Forest dans l</w:t>
      </w:r>
      <w:r>
        <w:rPr>
          <w:rFonts w:cs="Times New Roman"/>
          <w:lang w:val="fr-CA"/>
        </w:rPr>
        <w:t>’</w:t>
      </w:r>
      <w:r w:rsidRPr="000E14A8">
        <w:rPr>
          <w:rFonts w:cs="Times New Roman"/>
          <w:lang w:val="fr-CA"/>
        </w:rPr>
        <w:t xml:space="preserve">arrêt </w:t>
      </w:r>
      <w:r w:rsidRPr="000E14A8">
        <w:rPr>
          <w:rFonts w:cs="Times New Roman"/>
          <w:i/>
          <w:lang w:val="fr-CA"/>
        </w:rPr>
        <w:t>Hercules</w:t>
      </w:r>
      <w:r w:rsidRPr="000E14A8">
        <w:rPr>
          <w:rFonts w:cs="Times New Roman"/>
          <w:lang w:val="fr-CA"/>
        </w:rPr>
        <w:t xml:space="preserve"> (par. 37) sont pertinentes :</w:t>
      </w:r>
    </w:p>
    <w:p w:rsidR="003A506E" w:rsidRPr="000E14A8" w:rsidRDefault="003A506E" w:rsidP="003A506E">
      <w:pPr>
        <w:pStyle w:val="Citation-AltC"/>
        <w:ind w:hanging="1166"/>
        <w:contextualSpacing w:val="0"/>
        <w:rPr>
          <w:lang w:val="fr-CA"/>
        </w:rPr>
      </w:pPr>
      <w:r w:rsidRPr="000E14A8">
        <w:rPr>
          <w:lang w:val="fr-CA"/>
        </w:rPr>
        <w:tab/>
        <w:t xml:space="preserve">. . . dans les cas où le défendeur connaît le demandeur (ou la catégorie de demandeurs) et où les déclarations du défendeur sont utilisées précisément </w:t>
      </w:r>
      <w:r w:rsidRPr="000E14A8">
        <w:rPr>
          <w:lang w:val="fr-CA"/>
        </w:rPr>
        <w:lastRenderedPageBreak/>
        <w:t>dans le but ou aux fins de l</w:t>
      </w:r>
      <w:r>
        <w:rPr>
          <w:lang w:val="fr-CA"/>
        </w:rPr>
        <w:t>’</w:t>
      </w:r>
      <w:r w:rsidRPr="000E14A8">
        <w:rPr>
          <w:lang w:val="fr-CA"/>
        </w:rPr>
        <w:t>opération pour lesquels elles ont été faites, les considérations de principe entourant la responsabilité indéterminée sont dénuées d</w:t>
      </w:r>
      <w:r>
        <w:rPr>
          <w:lang w:val="fr-CA"/>
        </w:rPr>
        <w:t>’</w:t>
      </w:r>
      <w:r w:rsidRPr="000E14A8">
        <w:rPr>
          <w:lang w:val="fr-CA"/>
        </w:rPr>
        <w:t>intérêt étant donné que l</w:t>
      </w:r>
      <w:r>
        <w:rPr>
          <w:lang w:val="fr-CA"/>
        </w:rPr>
        <w:t>’</w:t>
      </w:r>
      <w:r w:rsidRPr="000E14A8">
        <w:rPr>
          <w:lang w:val="fr-CA"/>
        </w:rPr>
        <w:t>étendue de la responsabilité peut facilement être circonscrite.</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L</w:t>
      </w:r>
      <w:r>
        <w:rPr>
          <w:rFonts w:cs="Times New Roman"/>
          <w:lang w:val="fr-CA"/>
        </w:rPr>
        <w:t>’</w:t>
      </w:r>
      <w:r w:rsidRPr="000E14A8">
        <w:rPr>
          <w:rFonts w:cs="Times New Roman"/>
          <w:lang w:val="fr-CA"/>
        </w:rPr>
        <w:t>absence d</w:t>
      </w:r>
      <w:r>
        <w:rPr>
          <w:rFonts w:cs="Times New Roman"/>
          <w:lang w:val="fr-CA"/>
        </w:rPr>
        <w:t>’</w:t>
      </w:r>
      <w:r w:rsidRPr="000E14A8">
        <w:rPr>
          <w:rFonts w:cs="Times New Roman"/>
          <w:lang w:val="fr-CA"/>
        </w:rPr>
        <w:t>indétermination en l</w:t>
      </w:r>
      <w:r>
        <w:rPr>
          <w:rFonts w:cs="Times New Roman"/>
          <w:lang w:val="fr-CA"/>
        </w:rPr>
        <w:t>’</w:t>
      </w:r>
      <w:r w:rsidRPr="000E14A8">
        <w:rPr>
          <w:rFonts w:cs="Times New Roman"/>
          <w:lang w:val="fr-CA"/>
        </w:rPr>
        <w:t>espèce entre Deloitte (un vérificateur) et Livent (l</w:t>
      </w:r>
      <w:r>
        <w:rPr>
          <w:rFonts w:cs="Times New Roman"/>
          <w:lang w:val="fr-CA"/>
        </w:rPr>
        <w:t>’</w:t>
      </w:r>
      <w:r w:rsidRPr="000E14A8">
        <w:rPr>
          <w:rFonts w:cs="Times New Roman"/>
          <w:lang w:val="fr-CA"/>
        </w:rPr>
        <w:t>entreprise qui est sa cliente) n</w:t>
      </w:r>
      <w:r>
        <w:rPr>
          <w:rFonts w:cs="Times New Roman"/>
          <w:lang w:val="fr-CA"/>
        </w:rPr>
        <w:t>’</w:t>
      </w:r>
      <w:r w:rsidRPr="000E14A8">
        <w:rPr>
          <w:rFonts w:cs="Times New Roman"/>
          <w:lang w:val="fr-CA"/>
        </w:rPr>
        <w:t>a rien de surprenant étant donné (1) que dans l</w:t>
      </w:r>
      <w:r>
        <w:rPr>
          <w:rFonts w:cs="Times New Roman"/>
          <w:lang w:val="fr-CA"/>
        </w:rPr>
        <w:t>’</w:t>
      </w:r>
      <w:r w:rsidRPr="000E14A8">
        <w:rPr>
          <w:rFonts w:cs="Times New Roman"/>
          <w:lang w:val="fr-CA"/>
        </w:rPr>
        <w:t xml:space="preserve">arrêt </w:t>
      </w:r>
      <w:r w:rsidRPr="000E14A8">
        <w:rPr>
          <w:rFonts w:cs="Times New Roman"/>
          <w:i/>
          <w:lang w:val="fr-CA"/>
        </w:rPr>
        <w:t>Hercules</w:t>
      </w:r>
      <w:r w:rsidRPr="000E14A8">
        <w:rPr>
          <w:rFonts w:cs="Times New Roman"/>
          <w:lang w:val="fr-CA"/>
        </w:rPr>
        <w:t>,</w:t>
      </w:r>
      <w:r w:rsidRPr="000E14A8">
        <w:rPr>
          <w:rFonts w:cs="Times New Roman"/>
          <w:i/>
          <w:lang w:val="fr-CA"/>
        </w:rPr>
        <w:t xml:space="preserve"> </w:t>
      </w:r>
      <w:r w:rsidRPr="000E14A8">
        <w:rPr>
          <w:rFonts w:cs="Times New Roman"/>
          <w:lang w:val="fr-CA"/>
        </w:rPr>
        <w:t>notre Cour a reconnu l</w:t>
      </w:r>
      <w:r>
        <w:rPr>
          <w:rFonts w:cs="Times New Roman"/>
          <w:lang w:val="fr-CA"/>
        </w:rPr>
        <w:t>’</w:t>
      </w:r>
      <w:r w:rsidRPr="000E14A8">
        <w:rPr>
          <w:rFonts w:cs="Times New Roman"/>
          <w:lang w:val="fr-CA"/>
        </w:rPr>
        <w:t>existence d</w:t>
      </w:r>
      <w:r>
        <w:rPr>
          <w:rFonts w:cs="Times New Roman"/>
          <w:lang w:val="fr-CA"/>
        </w:rPr>
        <w:t>’</w:t>
      </w:r>
      <w:r w:rsidRPr="000E14A8">
        <w:rPr>
          <w:rFonts w:cs="Times New Roman"/>
          <w:lang w:val="fr-CA"/>
        </w:rPr>
        <w:t>une obligation de diligence entre un vérificateur et l</w:t>
      </w:r>
      <w:r>
        <w:rPr>
          <w:rFonts w:cs="Times New Roman"/>
          <w:lang w:val="fr-CA"/>
        </w:rPr>
        <w:t>’</w:t>
      </w:r>
      <w:r w:rsidRPr="000E14A8">
        <w:rPr>
          <w:rFonts w:cs="Times New Roman"/>
          <w:lang w:val="fr-CA"/>
        </w:rPr>
        <w:t>entreprise qui est sa cliente relativement à une vérification exigée par la loi; et (2) que dans l</w:t>
      </w:r>
      <w:r>
        <w:rPr>
          <w:rFonts w:cs="Times New Roman"/>
          <w:lang w:val="fr-CA"/>
        </w:rPr>
        <w:t>’</w:t>
      </w:r>
      <w:r w:rsidRPr="000E14A8">
        <w:rPr>
          <w:rFonts w:cs="Times New Roman"/>
          <w:lang w:val="fr-CA"/>
        </w:rPr>
        <w:t xml:space="preserve">arrêt </w:t>
      </w:r>
      <w:r w:rsidRPr="000E14A8">
        <w:rPr>
          <w:rFonts w:cs="Times New Roman"/>
          <w:i/>
          <w:lang w:val="fr-CA"/>
        </w:rPr>
        <w:t>Cooper</w:t>
      </w:r>
      <w:r w:rsidRPr="000E14A8">
        <w:rPr>
          <w:rFonts w:cs="Times New Roman"/>
          <w:lang w:val="fr-CA"/>
        </w:rPr>
        <w:t>, notre Cour a indiqué qu</w:t>
      </w:r>
      <w:r>
        <w:rPr>
          <w:rFonts w:cs="Times New Roman"/>
          <w:lang w:val="fr-CA"/>
        </w:rPr>
        <w:t>’</w:t>
      </w:r>
      <w:r w:rsidRPr="000E14A8">
        <w:rPr>
          <w:rFonts w:cs="Times New Roman"/>
          <w:lang w:val="fr-CA"/>
        </w:rPr>
        <w:t>il n</w:t>
      </w:r>
      <w:r>
        <w:rPr>
          <w:rFonts w:cs="Times New Roman"/>
          <w:lang w:val="fr-CA"/>
        </w:rPr>
        <w:t>’</w:t>
      </w:r>
      <w:r w:rsidRPr="000E14A8">
        <w:rPr>
          <w:rFonts w:cs="Times New Roman"/>
          <w:lang w:val="fr-CA"/>
        </w:rPr>
        <w:t>était pas nécessaire d</w:t>
      </w:r>
      <w:r>
        <w:rPr>
          <w:rFonts w:cs="Times New Roman"/>
          <w:lang w:val="fr-CA"/>
        </w:rPr>
        <w:t>’</w:t>
      </w:r>
      <w:r w:rsidRPr="000E14A8">
        <w:rPr>
          <w:rFonts w:cs="Times New Roman"/>
          <w:lang w:val="fr-CA"/>
        </w:rPr>
        <w:t xml:space="preserve">examiner le deuxième volet du cadre établi dans les arrêts </w:t>
      </w:r>
      <w:r w:rsidRPr="000E14A8">
        <w:rPr>
          <w:rFonts w:cs="Times New Roman"/>
          <w:i/>
          <w:lang w:val="fr-CA"/>
        </w:rPr>
        <w:t xml:space="preserve">Anns </w:t>
      </w:r>
      <w:r w:rsidRPr="000E14A8">
        <w:rPr>
          <w:rFonts w:cs="Times New Roman"/>
          <w:lang w:val="fr-CA"/>
        </w:rPr>
        <w:t xml:space="preserve">et </w:t>
      </w:r>
      <w:r w:rsidRPr="000E14A8">
        <w:rPr>
          <w:rFonts w:cs="Times New Roman"/>
          <w:i/>
          <w:lang w:val="fr-CA"/>
        </w:rPr>
        <w:t xml:space="preserve">Cooper </w:t>
      </w:r>
      <w:r w:rsidRPr="000E14A8">
        <w:rPr>
          <w:rFonts w:cs="Times New Roman"/>
          <w:lang w:val="fr-CA"/>
        </w:rPr>
        <w:t>lorsqu</w:t>
      </w:r>
      <w:r>
        <w:rPr>
          <w:rFonts w:cs="Times New Roman"/>
          <w:lang w:val="fr-CA"/>
        </w:rPr>
        <w:t>’</w:t>
      </w:r>
      <w:r w:rsidRPr="000E14A8">
        <w:rPr>
          <w:rFonts w:cs="Times New Roman"/>
          <w:lang w:val="fr-CA"/>
        </w:rPr>
        <w:t xml:space="preserve">il existe un lien de proximité déjà reconnu. </w:t>
      </w:r>
    </w:p>
    <w:p w:rsidR="003A506E" w:rsidRPr="000E14A8" w:rsidRDefault="003A506E" w:rsidP="003A506E">
      <w:pPr>
        <w:pStyle w:val="Title4LevelTitre4Niveau"/>
        <w:rPr>
          <w:rFonts w:cs="Times New Roman"/>
          <w:lang w:val="fr-CA"/>
        </w:rPr>
      </w:pPr>
      <w:r w:rsidRPr="000E14A8">
        <w:rPr>
          <w:rFonts w:cs="Times New Roman"/>
          <w:lang w:val="fr-CA"/>
        </w:rPr>
        <w:t>Éloignement</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La Juge en chef affirme que l</w:t>
      </w:r>
      <w:r>
        <w:rPr>
          <w:rFonts w:cs="Times New Roman"/>
          <w:lang w:val="fr-CA"/>
        </w:rPr>
        <w:t>’</w:t>
      </w:r>
      <w:r w:rsidRPr="000E14A8">
        <w:rPr>
          <w:rFonts w:cs="Times New Roman"/>
          <w:lang w:val="fr-CA"/>
        </w:rPr>
        <w:t>exonération absolue de responsabilité serait tout autant accordée à Deloitte à l</w:t>
      </w:r>
      <w:r>
        <w:rPr>
          <w:rFonts w:cs="Times New Roman"/>
          <w:lang w:val="fr-CA"/>
        </w:rPr>
        <w:t>’</w:t>
      </w:r>
      <w:r w:rsidRPr="000E14A8">
        <w:rPr>
          <w:rFonts w:cs="Times New Roman"/>
          <w:lang w:val="fr-CA"/>
        </w:rPr>
        <w:t>issue d</w:t>
      </w:r>
      <w:r>
        <w:rPr>
          <w:rFonts w:cs="Times New Roman"/>
          <w:lang w:val="fr-CA"/>
        </w:rPr>
        <w:t>’</w:t>
      </w:r>
      <w:r w:rsidRPr="000E14A8">
        <w:rPr>
          <w:rFonts w:cs="Times New Roman"/>
          <w:lang w:val="fr-CA"/>
        </w:rPr>
        <w:t xml:space="preserve">une analyse fondée sur le caractère éloigné (par. 173). Nous ne sommes pas de cet avis. </w:t>
      </w:r>
    </w:p>
    <w:p w:rsidR="003A506E" w:rsidRPr="000E14A8" w:rsidRDefault="003A506E" w:rsidP="003A506E">
      <w:pPr>
        <w:pStyle w:val="ParaNoNdepar-AltN"/>
        <w:rPr>
          <w:rFonts w:cs="Times New Roman"/>
          <w:lang w:val="fr-CA"/>
        </w:rPr>
      </w:pPr>
      <w:r w:rsidRPr="000E14A8">
        <w:rPr>
          <w:rFonts w:cs="Times New Roman"/>
          <w:lang w:val="fr-CA"/>
        </w:rPr>
        <w:t>Pour avoir gain de cause dans une action fondée sur la négligence, le demandeur doit démontrer (</w:t>
      </w:r>
      <w:r>
        <w:rPr>
          <w:rFonts w:cs="Times New Roman"/>
          <w:lang w:val="fr-CA"/>
        </w:rPr>
        <w:t>1) </w:t>
      </w:r>
      <w:r w:rsidRPr="000E14A8">
        <w:rPr>
          <w:rFonts w:cs="Times New Roman"/>
          <w:lang w:val="fr-CA"/>
        </w:rPr>
        <w:t>que le défendeur avait envers lui une obligation de diligence; (2)</w:t>
      </w:r>
      <w:r>
        <w:rPr>
          <w:rFonts w:cs="Times New Roman"/>
          <w:lang w:val="fr-CA"/>
        </w:rPr>
        <w:t> </w:t>
      </w:r>
      <w:r w:rsidRPr="000E14A8">
        <w:rPr>
          <w:rFonts w:cs="Times New Roman"/>
          <w:lang w:val="fr-CA"/>
        </w:rPr>
        <w:t>que par ses agissements, le défendeur a manqué à la norme de diligence; (</w:t>
      </w:r>
      <w:r>
        <w:rPr>
          <w:rFonts w:cs="Times New Roman"/>
          <w:lang w:val="fr-CA"/>
        </w:rPr>
        <w:t>3) </w:t>
      </w:r>
      <w:r w:rsidRPr="000E14A8">
        <w:rPr>
          <w:rFonts w:cs="Times New Roman"/>
          <w:lang w:val="fr-CA"/>
        </w:rPr>
        <w:t>que le demandeur a subi des dommages; et (</w:t>
      </w:r>
      <w:r>
        <w:rPr>
          <w:rFonts w:cs="Times New Roman"/>
          <w:lang w:val="fr-CA"/>
        </w:rPr>
        <w:t>4) </w:t>
      </w:r>
      <w:r w:rsidRPr="000E14A8">
        <w:rPr>
          <w:rFonts w:cs="Times New Roman"/>
          <w:lang w:val="fr-CA"/>
        </w:rPr>
        <w:t>que ces dommages sont imputables, en fait et en droit, au manquement du défendeur (</w:t>
      </w:r>
      <w:r w:rsidRPr="000E14A8">
        <w:rPr>
          <w:rFonts w:cs="Times New Roman"/>
          <w:i/>
          <w:lang w:val="fr-CA"/>
        </w:rPr>
        <w:t>Mustapha c. Culligan du Canada Ltée</w:t>
      </w:r>
      <w:r w:rsidRPr="000E14A8">
        <w:rPr>
          <w:rFonts w:cs="Times New Roman"/>
          <w:lang w:val="fr-CA"/>
        </w:rPr>
        <w:t xml:space="preserve">, 2008 CSC 27, [2008] 2 R.C.S. 114, par. 3; </w:t>
      </w:r>
      <w:r w:rsidRPr="000E14A8">
        <w:rPr>
          <w:rFonts w:cs="Times New Roman"/>
          <w:i/>
          <w:lang w:val="fr-CA"/>
        </w:rPr>
        <w:t>Saadati</w:t>
      </w:r>
      <w:r w:rsidRPr="000E14A8">
        <w:rPr>
          <w:rFonts w:cs="Times New Roman"/>
          <w:lang w:val="fr-CA"/>
        </w:rPr>
        <w:t>, par. 13). Le principe de l</w:t>
      </w:r>
      <w:r>
        <w:rPr>
          <w:rFonts w:cs="Times New Roman"/>
          <w:lang w:val="fr-CA"/>
        </w:rPr>
        <w:t>’</w:t>
      </w:r>
      <w:r w:rsidRPr="000E14A8">
        <w:rPr>
          <w:rFonts w:cs="Times New Roman"/>
          <w:lang w:val="fr-CA"/>
        </w:rPr>
        <w:t>éloignement, ou de la causalité juridique,</w:t>
      </w:r>
      <w:r w:rsidRPr="000E14A8">
        <w:rPr>
          <w:rFonts w:cs="Times New Roman"/>
          <w:bCs/>
          <w:lang w:val="fr-CA"/>
        </w:rPr>
        <w:t xml:space="preserve"> appelle à se demander si [</w:t>
      </w:r>
      <w:r w:rsidRPr="000E14A8">
        <w:rPr>
          <w:rFonts w:cs="Times New Roman"/>
          <w:bCs/>
          <w:smallCaps/>
          <w:lang w:val="fr-CA"/>
        </w:rPr>
        <w:t>traduction</w:t>
      </w:r>
      <w:r w:rsidRPr="000E14A8">
        <w:rPr>
          <w:rFonts w:cs="Times New Roman"/>
          <w:lang w:val="fr-CA"/>
        </w:rPr>
        <w:t>] « le préjudice a trop peu de lien avec l</w:t>
      </w:r>
      <w:r>
        <w:rPr>
          <w:rFonts w:cs="Times New Roman"/>
          <w:lang w:val="fr-CA"/>
        </w:rPr>
        <w:t>’</w:t>
      </w:r>
      <w:r w:rsidRPr="000E14A8">
        <w:rPr>
          <w:rFonts w:cs="Times New Roman"/>
          <w:lang w:val="fr-CA"/>
        </w:rPr>
        <w:t xml:space="preserve">acte fautif pour que le défendeur puisse </w:t>
      </w:r>
      <w:r w:rsidRPr="000E14A8">
        <w:rPr>
          <w:rFonts w:cs="Times New Roman"/>
          <w:lang w:val="fr-CA"/>
        </w:rPr>
        <w:lastRenderedPageBreak/>
        <w:t>raisonnablement être tenu responsable » (</w:t>
      </w:r>
      <w:r w:rsidRPr="000E14A8">
        <w:rPr>
          <w:rFonts w:cs="Times New Roman"/>
          <w:i/>
          <w:iCs/>
          <w:lang w:val="fr-CA"/>
        </w:rPr>
        <w:t>Mustapha</w:t>
      </w:r>
      <w:r w:rsidRPr="000E14A8">
        <w:rPr>
          <w:rFonts w:cs="Times New Roman"/>
          <w:lang w:val="fr-CA"/>
        </w:rPr>
        <w:t xml:space="preserve">, par. 12, citant A. M. Linden et B. Feldthusen, </w:t>
      </w:r>
      <w:r w:rsidRPr="000E14A8">
        <w:rPr>
          <w:rFonts w:cs="Times New Roman"/>
          <w:i/>
          <w:lang w:val="fr-CA"/>
        </w:rPr>
        <w:t>Canadian Tort Law</w:t>
      </w:r>
      <w:r w:rsidRPr="000E14A8">
        <w:rPr>
          <w:rFonts w:cs="Times New Roman"/>
          <w:lang w:val="fr-CA"/>
        </w:rPr>
        <w:t xml:space="preserve"> (8</w:t>
      </w:r>
      <w:r w:rsidRPr="000E14A8">
        <w:rPr>
          <w:rFonts w:cs="Times New Roman"/>
          <w:vertAlign w:val="superscript"/>
          <w:lang w:val="fr-CA"/>
        </w:rPr>
        <w:t>e</w:t>
      </w:r>
      <w:r w:rsidRPr="000E14A8">
        <w:rPr>
          <w:rFonts w:cs="Times New Roman"/>
          <w:lang w:val="fr-CA"/>
        </w:rPr>
        <w:t xml:space="preserve"> éd. 2006), p. 360; voir aussi </w:t>
      </w:r>
      <w:r w:rsidRPr="000E14A8">
        <w:rPr>
          <w:rFonts w:cs="Times New Roman"/>
          <w:i/>
          <w:lang w:val="fr-CA"/>
        </w:rPr>
        <w:t>Saadati</w:t>
      </w:r>
      <w:r w:rsidRPr="000E14A8">
        <w:rPr>
          <w:rFonts w:cs="Times New Roman"/>
          <w:lang w:val="fr-CA"/>
        </w:rPr>
        <w:t>, par. 34). Il est bien établi en droit que [</w:t>
      </w:r>
      <w:r w:rsidRPr="000E14A8">
        <w:rPr>
          <w:rFonts w:cs="Times New Roman"/>
          <w:smallCaps/>
          <w:lang w:val="fr-CA"/>
        </w:rPr>
        <w:t>traduction</w:t>
      </w:r>
      <w:r w:rsidRPr="000E14A8">
        <w:rPr>
          <w:rFonts w:cs="Times New Roman"/>
          <w:lang w:val="fr-CA"/>
        </w:rPr>
        <w:t>] « le fait que le préjudice était prévisible par l</w:t>
      </w:r>
      <w:r>
        <w:rPr>
          <w:rFonts w:cs="Times New Roman"/>
          <w:lang w:val="fr-CA"/>
        </w:rPr>
        <w:t>’</w:t>
      </w:r>
      <w:r w:rsidRPr="000E14A8">
        <w:rPr>
          <w:rFonts w:cs="Times New Roman"/>
          <w:lang w:val="fr-CA"/>
        </w:rPr>
        <w:t xml:space="preserve">homme raisonnable est le seul critère de la responsabilité » </w:t>
      </w:r>
      <w:r w:rsidRPr="000E14A8">
        <w:rPr>
          <w:rFonts w:cs="Times New Roman"/>
          <w:i/>
          <w:lang w:val="fr-CA"/>
        </w:rPr>
        <w:t>Mustapha</w:t>
      </w:r>
      <w:r w:rsidRPr="000E14A8">
        <w:rPr>
          <w:rFonts w:cs="Times New Roman"/>
          <w:lang w:val="fr-CA"/>
        </w:rPr>
        <w:t xml:space="preserve">, par. 12, citant </w:t>
      </w:r>
      <w:r w:rsidRPr="000E14A8">
        <w:rPr>
          <w:rFonts w:cs="Times New Roman"/>
          <w:i/>
          <w:lang w:val="fr-CA"/>
        </w:rPr>
        <w:t>Overseas Tankship (U.K.) Ltd. c. Morts Dock &amp; Engineering Co</w:t>
      </w:r>
      <w:r w:rsidRPr="000E14A8">
        <w:rPr>
          <w:rFonts w:cs="Times New Roman"/>
          <w:lang w:val="fr-CA"/>
        </w:rPr>
        <w:t>.,</w:t>
      </w:r>
      <w:r w:rsidRPr="000E14A8">
        <w:rPr>
          <w:rFonts w:cs="Times New Roman"/>
          <w:i/>
          <w:lang w:val="fr-CA"/>
        </w:rPr>
        <w:t xml:space="preserve"> </w:t>
      </w:r>
      <w:r w:rsidRPr="000E14A8">
        <w:rPr>
          <w:rFonts w:cs="Times New Roman"/>
          <w:lang w:val="fr-CA"/>
        </w:rPr>
        <w:t>[1961] A.C. 388 (C.P.), p. 424). Ainsi, le préjudice aura un lien suffisant avec l</w:t>
      </w:r>
      <w:r>
        <w:rPr>
          <w:rFonts w:cs="Times New Roman"/>
          <w:lang w:val="fr-CA"/>
        </w:rPr>
        <w:t>’</w:t>
      </w:r>
      <w:r w:rsidRPr="000E14A8">
        <w:rPr>
          <w:rFonts w:cs="Times New Roman"/>
          <w:lang w:val="fr-CA"/>
        </w:rPr>
        <w:t>acte fautif s</w:t>
      </w:r>
      <w:r>
        <w:rPr>
          <w:rFonts w:cs="Times New Roman"/>
          <w:lang w:val="fr-CA"/>
        </w:rPr>
        <w:t>’</w:t>
      </w:r>
      <w:r w:rsidRPr="000E14A8">
        <w:rPr>
          <w:rFonts w:cs="Times New Roman"/>
          <w:lang w:val="fr-CA"/>
        </w:rPr>
        <w:t xml:space="preserve">il en est une conséquence raisonnablement prévisible. </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Nous reconnaissons qu</w:t>
      </w:r>
      <w:r>
        <w:rPr>
          <w:rFonts w:cs="Times New Roman"/>
          <w:lang w:val="fr-CA"/>
        </w:rPr>
        <w:t>’</w:t>
      </w:r>
      <w:r w:rsidRPr="000E14A8">
        <w:rPr>
          <w:rFonts w:cs="Times New Roman"/>
          <w:lang w:val="fr-CA"/>
        </w:rPr>
        <w:t>ainsi interprété, le principe de l</w:t>
      </w:r>
      <w:r>
        <w:rPr>
          <w:rFonts w:cs="Times New Roman"/>
          <w:lang w:val="fr-CA"/>
        </w:rPr>
        <w:t>’</w:t>
      </w:r>
      <w:r w:rsidRPr="000E14A8">
        <w:rPr>
          <w:rFonts w:cs="Times New Roman"/>
          <w:lang w:val="fr-CA"/>
        </w:rPr>
        <w:t>éloignement recoupe en théorie l</w:t>
      </w:r>
      <w:r>
        <w:rPr>
          <w:rFonts w:cs="Times New Roman"/>
          <w:lang w:val="fr-CA"/>
        </w:rPr>
        <w:t>’</w:t>
      </w:r>
      <w:r w:rsidRPr="000E14A8">
        <w:rPr>
          <w:rFonts w:cs="Times New Roman"/>
          <w:lang w:val="fr-CA"/>
        </w:rPr>
        <w:t>analyse de la prévisibilité raisonnable considérée dans le cadre de l</w:t>
      </w:r>
      <w:r>
        <w:rPr>
          <w:rFonts w:cs="Times New Roman"/>
          <w:lang w:val="fr-CA"/>
        </w:rPr>
        <w:t>’</w:t>
      </w:r>
      <w:r w:rsidRPr="000E14A8">
        <w:rPr>
          <w:rFonts w:cs="Times New Roman"/>
          <w:lang w:val="fr-CA"/>
        </w:rPr>
        <w:t>analyse de l</w:t>
      </w:r>
      <w:r>
        <w:rPr>
          <w:rFonts w:cs="Times New Roman"/>
          <w:lang w:val="fr-CA"/>
        </w:rPr>
        <w:t>’</w:t>
      </w:r>
      <w:r w:rsidRPr="000E14A8">
        <w:rPr>
          <w:rFonts w:cs="Times New Roman"/>
          <w:lang w:val="fr-CA"/>
        </w:rPr>
        <w:t xml:space="preserve">obligation de diligence </w:t>
      </w:r>
      <w:r w:rsidRPr="000E14A8">
        <w:rPr>
          <w:rFonts w:cs="Times New Roman"/>
          <w:i/>
          <w:lang w:val="fr-CA"/>
        </w:rPr>
        <w:t xml:space="preserve">prima facie </w:t>
      </w:r>
      <w:r w:rsidRPr="000E14A8">
        <w:rPr>
          <w:rFonts w:cs="Times New Roman"/>
          <w:lang w:val="fr-CA"/>
        </w:rPr>
        <w:t>(</w:t>
      </w:r>
      <w:r w:rsidRPr="000E14A8">
        <w:rPr>
          <w:rFonts w:cs="Times New Roman"/>
          <w:i/>
          <w:lang w:val="fr-CA"/>
        </w:rPr>
        <w:t>Mustapha</w:t>
      </w:r>
      <w:r w:rsidRPr="000E14A8">
        <w:rPr>
          <w:rFonts w:cs="Times New Roman"/>
          <w:lang w:val="fr-CA"/>
        </w:rPr>
        <w:t>,</w:t>
      </w:r>
      <w:r w:rsidRPr="000E14A8">
        <w:rPr>
          <w:rFonts w:cs="Times New Roman"/>
          <w:i/>
          <w:lang w:val="fr-CA"/>
        </w:rPr>
        <w:t xml:space="preserve"> </w:t>
      </w:r>
      <w:r w:rsidRPr="000E14A8">
        <w:rPr>
          <w:rFonts w:cs="Times New Roman"/>
          <w:lang w:val="fr-CA"/>
        </w:rPr>
        <w:t>par. 15). Mais les deux analyses sont distinctes : l</w:t>
      </w:r>
      <w:r>
        <w:rPr>
          <w:rFonts w:cs="Times New Roman"/>
          <w:lang w:val="fr-CA"/>
        </w:rPr>
        <w:t>’</w:t>
      </w:r>
      <w:r w:rsidRPr="000E14A8">
        <w:rPr>
          <w:rFonts w:cs="Times New Roman"/>
          <w:lang w:val="fr-CA"/>
        </w:rPr>
        <w:t>analyse relative à l</w:t>
      </w:r>
      <w:r>
        <w:rPr>
          <w:rFonts w:cs="Times New Roman"/>
          <w:lang w:val="fr-CA"/>
        </w:rPr>
        <w:t>’</w:t>
      </w:r>
      <w:r w:rsidRPr="000E14A8">
        <w:rPr>
          <w:rFonts w:cs="Times New Roman"/>
          <w:lang w:val="fr-CA"/>
        </w:rPr>
        <w:t>obligation de diligence s</w:t>
      </w:r>
      <w:r>
        <w:rPr>
          <w:rFonts w:cs="Times New Roman"/>
          <w:lang w:val="fr-CA"/>
        </w:rPr>
        <w:t>’</w:t>
      </w:r>
      <w:r w:rsidRPr="000E14A8">
        <w:rPr>
          <w:rFonts w:cs="Times New Roman"/>
          <w:lang w:val="fr-CA"/>
        </w:rPr>
        <w:t xml:space="preserve">intéresse </w:t>
      </w:r>
      <w:r w:rsidRPr="000E14A8">
        <w:rPr>
          <w:rFonts w:cs="Times New Roman"/>
          <w:i/>
          <w:lang w:val="fr-CA"/>
        </w:rPr>
        <w:t>au type de préjudice</w:t>
      </w:r>
      <w:r w:rsidRPr="000E14A8">
        <w:rPr>
          <w:rFonts w:cs="Times New Roman"/>
          <w:lang w:val="fr-CA"/>
        </w:rPr>
        <w:t xml:space="preserve"> qu</w:t>
      </w:r>
      <w:r>
        <w:rPr>
          <w:rFonts w:cs="Times New Roman"/>
          <w:lang w:val="fr-CA"/>
        </w:rPr>
        <w:t>’</w:t>
      </w:r>
      <w:r w:rsidRPr="000E14A8">
        <w:rPr>
          <w:rFonts w:cs="Times New Roman"/>
          <w:lang w:val="fr-CA"/>
        </w:rPr>
        <w:t>il est raisonnable de prévoir qu</w:t>
      </w:r>
      <w:r>
        <w:rPr>
          <w:rFonts w:cs="Times New Roman"/>
          <w:lang w:val="fr-CA"/>
        </w:rPr>
        <w:t>’</w:t>
      </w:r>
      <w:r w:rsidRPr="000E14A8">
        <w:rPr>
          <w:rFonts w:cs="Times New Roman"/>
          <w:lang w:val="fr-CA"/>
        </w:rPr>
        <w:t>il découlera de la conduite du défendeur, alors que l</w:t>
      </w:r>
      <w:r>
        <w:rPr>
          <w:rFonts w:cs="Times New Roman"/>
          <w:lang w:val="fr-CA"/>
        </w:rPr>
        <w:t>’</w:t>
      </w:r>
      <w:r w:rsidRPr="000E14A8">
        <w:rPr>
          <w:rFonts w:cs="Times New Roman"/>
          <w:lang w:val="fr-CA"/>
        </w:rPr>
        <w:t>analyse relative à l</w:t>
      </w:r>
      <w:r>
        <w:rPr>
          <w:rFonts w:cs="Times New Roman"/>
          <w:lang w:val="fr-CA"/>
        </w:rPr>
        <w:t>’</w:t>
      </w:r>
      <w:r w:rsidRPr="000E14A8">
        <w:rPr>
          <w:rFonts w:cs="Times New Roman"/>
          <w:lang w:val="fr-CA"/>
        </w:rPr>
        <w:t>éloignement s</w:t>
      </w:r>
      <w:r>
        <w:rPr>
          <w:rFonts w:cs="Times New Roman"/>
          <w:lang w:val="fr-CA"/>
        </w:rPr>
        <w:t>’</w:t>
      </w:r>
      <w:r w:rsidRPr="000E14A8">
        <w:rPr>
          <w:rFonts w:cs="Times New Roman"/>
          <w:lang w:val="fr-CA"/>
        </w:rPr>
        <w:t xml:space="preserve">attache à la prévisibilité raisonnable du </w:t>
      </w:r>
      <w:r w:rsidRPr="000E14A8">
        <w:rPr>
          <w:rFonts w:cs="Times New Roman"/>
          <w:i/>
          <w:lang w:val="fr-CA"/>
        </w:rPr>
        <w:t>préjudice réel</w:t>
      </w:r>
      <w:r w:rsidRPr="000E14A8">
        <w:rPr>
          <w:rFonts w:cs="Times New Roman"/>
          <w:lang w:val="fr-CA"/>
        </w:rPr>
        <w:t xml:space="preserve"> subi par le demandeur (L. N. Klar et C. S. G. Jefferies, </w:t>
      </w:r>
      <w:r w:rsidRPr="000E14A8">
        <w:rPr>
          <w:rFonts w:cs="Times New Roman"/>
          <w:i/>
          <w:lang w:val="fr-CA"/>
        </w:rPr>
        <w:t>Tort Law</w:t>
      </w:r>
      <w:r w:rsidRPr="000E14A8">
        <w:rPr>
          <w:rFonts w:cs="Times New Roman"/>
          <w:lang w:val="fr-CA"/>
        </w:rPr>
        <w:t xml:space="preserve"> (6</w:t>
      </w:r>
      <w:r w:rsidRPr="000E14A8">
        <w:rPr>
          <w:rFonts w:cs="Times New Roman"/>
          <w:vertAlign w:val="superscript"/>
          <w:lang w:val="fr-CA"/>
        </w:rPr>
        <w:t>e</w:t>
      </w:r>
      <w:r w:rsidRPr="000E14A8">
        <w:rPr>
          <w:rFonts w:cs="Times New Roman"/>
          <w:lang w:val="fr-CA"/>
        </w:rPr>
        <w:t> éd. 2017), p. 565 : [</w:t>
      </w:r>
      <w:r w:rsidRPr="000E14A8">
        <w:rPr>
          <w:rFonts w:cs="Times New Roman"/>
          <w:smallCaps/>
          <w:lang w:val="fr-CA"/>
        </w:rPr>
        <w:t>traduction</w:t>
      </w:r>
      <w:r w:rsidR="00D5275F">
        <w:rPr>
          <w:rFonts w:cs="Times New Roman"/>
          <w:lang w:val="fr-CA"/>
        </w:rPr>
        <w:t>] « L</w:t>
      </w:r>
      <w:r w:rsidRPr="000E14A8">
        <w:rPr>
          <w:rFonts w:cs="Times New Roman"/>
          <w:lang w:val="fr-CA"/>
        </w:rPr>
        <w:t>es questions relatives à l</w:t>
      </w:r>
      <w:r>
        <w:rPr>
          <w:rFonts w:cs="Times New Roman"/>
          <w:lang w:val="fr-CA"/>
        </w:rPr>
        <w:t>’</w:t>
      </w:r>
      <w:r w:rsidRPr="000E14A8">
        <w:rPr>
          <w:rFonts w:cs="Times New Roman"/>
          <w:lang w:val="fr-CA"/>
        </w:rPr>
        <w:t>éloignement visent à déterminer l</w:t>
      </w:r>
      <w:r>
        <w:rPr>
          <w:rFonts w:cs="Times New Roman"/>
          <w:lang w:val="fr-CA"/>
        </w:rPr>
        <w:t>’</w:t>
      </w:r>
      <w:r w:rsidRPr="000E14A8">
        <w:rPr>
          <w:rFonts w:cs="Times New Roman"/>
          <w:lang w:val="fr-CA"/>
        </w:rPr>
        <w:t xml:space="preserve">étendue de la responsabilité au regard du </w:t>
      </w:r>
      <w:r w:rsidRPr="000E14A8">
        <w:rPr>
          <w:rFonts w:cs="Times New Roman"/>
          <w:u w:val="single"/>
          <w:lang w:val="fr-CA"/>
        </w:rPr>
        <w:t>préjudice causé au demandeur</w:t>
      </w:r>
      <w:r w:rsidRPr="000E14A8">
        <w:rPr>
          <w:rFonts w:cs="Times New Roman"/>
          <w:lang w:val="fr-CA"/>
        </w:rPr>
        <w:t>, une fois établie l</w:t>
      </w:r>
      <w:r>
        <w:rPr>
          <w:rFonts w:cs="Times New Roman"/>
          <w:lang w:val="fr-CA"/>
        </w:rPr>
        <w:t>’</w:t>
      </w:r>
      <w:r w:rsidRPr="000E14A8">
        <w:rPr>
          <w:rFonts w:cs="Times New Roman"/>
          <w:lang w:val="fr-CA"/>
        </w:rPr>
        <w:t>existence d</w:t>
      </w:r>
      <w:r>
        <w:rPr>
          <w:rFonts w:cs="Times New Roman"/>
          <w:lang w:val="fr-CA"/>
        </w:rPr>
        <w:t>’</w:t>
      </w:r>
      <w:r w:rsidRPr="000E14A8">
        <w:rPr>
          <w:rFonts w:cs="Times New Roman"/>
          <w:lang w:val="fr-CA"/>
        </w:rPr>
        <w:t>une relation découlant d</w:t>
      </w:r>
      <w:r>
        <w:rPr>
          <w:rFonts w:cs="Times New Roman"/>
          <w:lang w:val="fr-CA"/>
        </w:rPr>
        <w:t>’</w:t>
      </w:r>
      <w:r w:rsidRPr="000E14A8">
        <w:rPr>
          <w:rFonts w:cs="Times New Roman"/>
          <w:lang w:val="fr-CA"/>
        </w:rPr>
        <w:t>une obligation » (nous soulignons)</w:t>
      </w:r>
      <w:r w:rsidR="00CF0EE1">
        <w:rPr>
          <w:rFonts w:cs="Times New Roman"/>
          <w:lang w:val="fr-CA"/>
        </w:rPr>
        <w:t>)</w:t>
      </w:r>
      <w:r w:rsidRPr="000E14A8">
        <w:rPr>
          <w:rFonts w:cs="Times New Roman"/>
          <w:lang w:val="fr-CA"/>
        </w:rPr>
        <w:t>.</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L</w:t>
      </w:r>
      <w:r>
        <w:rPr>
          <w:rFonts w:cs="Times New Roman"/>
          <w:lang w:val="fr-CA"/>
        </w:rPr>
        <w:t>’</w:t>
      </w:r>
      <w:r w:rsidRPr="000E14A8">
        <w:rPr>
          <w:rFonts w:cs="Times New Roman"/>
          <w:lang w:val="fr-CA"/>
        </w:rPr>
        <w:t>éloignement, pour l</w:t>
      </w:r>
      <w:r>
        <w:rPr>
          <w:rFonts w:cs="Times New Roman"/>
          <w:lang w:val="fr-CA"/>
        </w:rPr>
        <w:t>’</w:t>
      </w:r>
      <w:r w:rsidRPr="000E14A8">
        <w:rPr>
          <w:rFonts w:cs="Times New Roman"/>
          <w:lang w:val="fr-CA"/>
        </w:rPr>
        <w:t>essentiel, tient à la prévisibilité raisonnable du préjudice réel subi par le demandeur. Or, et comme nous l</w:t>
      </w:r>
      <w:r>
        <w:rPr>
          <w:rFonts w:cs="Times New Roman"/>
          <w:lang w:val="fr-CA"/>
        </w:rPr>
        <w:t>’</w:t>
      </w:r>
      <w:r w:rsidRPr="000E14A8">
        <w:rPr>
          <w:rFonts w:cs="Times New Roman"/>
          <w:lang w:val="fr-CA"/>
        </w:rPr>
        <w:t>avons expliqué, la perte en l</w:t>
      </w:r>
      <w:r>
        <w:rPr>
          <w:rFonts w:cs="Times New Roman"/>
          <w:lang w:val="fr-CA"/>
        </w:rPr>
        <w:t>’</w:t>
      </w:r>
      <w:r w:rsidRPr="000E14A8">
        <w:rPr>
          <w:rFonts w:cs="Times New Roman"/>
          <w:lang w:val="fr-CA"/>
        </w:rPr>
        <w:t>espèce — qui découle du défaut de Deloitte de respecter l</w:t>
      </w:r>
      <w:r>
        <w:rPr>
          <w:rFonts w:cs="Times New Roman"/>
          <w:lang w:val="fr-CA"/>
        </w:rPr>
        <w:t>’</w:t>
      </w:r>
      <w:r w:rsidRPr="000E14A8">
        <w:rPr>
          <w:rFonts w:cs="Times New Roman"/>
          <w:lang w:val="fr-CA"/>
        </w:rPr>
        <w:t>engagement précis qu</w:t>
      </w:r>
      <w:r>
        <w:rPr>
          <w:rFonts w:cs="Times New Roman"/>
          <w:lang w:val="fr-CA"/>
        </w:rPr>
        <w:t>’</w:t>
      </w:r>
      <w:r w:rsidRPr="000E14A8">
        <w:rPr>
          <w:rFonts w:cs="Times New Roman"/>
          <w:lang w:val="fr-CA"/>
        </w:rPr>
        <w:t xml:space="preserve">elle avait pris envers Livent — </w:t>
      </w:r>
      <w:r w:rsidRPr="000E14A8">
        <w:rPr>
          <w:rFonts w:cs="Times New Roman"/>
          <w:i/>
          <w:lang w:val="fr-CA"/>
        </w:rPr>
        <w:t>était</w:t>
      </w:r>
      <w:r w:rsidRPr="000E14A8">
        <w:rPr>
          <w:rFonts w:cs="Times New Roman"/>
          <w:lang w:val="fr-CA"/>
        </w:rPr>
        <w:t xml:space="preserve"> raisonnablement prévisible. Il s</w:t>
      </w:r>
      <w:r>
        <w:rPr>
          <w:rFonts w:cs="Times New Roman"/>
          <w:lang w:val="fr-CA"/>
        </w:rPr>
        <w:t>’</w:t>
      </w:r>
      <w:r w:rsidRPr="000E14A8">
        <w:rPr>
          <w:rFonts w:cs="Times New Roman"/>
          <w:lang w:val="fr-CA"/>
        </w:rPr>
        <w:t>ensuit que l</w:t>
      </w:r>
      <w:r>
        <w:rPr>
          <w:rFonts w:cs="Times New Roman"/>
          <w:lang w:val="fr-CA"/>
        </w:rPr>
        <w:t>’</w:t>
      </w:r>
      <w:r w:rsidRPr="000E14A8">
        <w:rPr>
          <w:rFonts w:cs="Times New Roman"/>
          <w:lang w:val="fr-CA"/>
        </w:rPr>
        <w:t>éloignement n</w:t>
      </w:r>
      <w:r>
        <w:rPr>
          <w:rFonts w:cs="Times New Roman"/>
          <w:lang w:val="fr-CA"/>
        </w:rPr>
        <w:t>’</w:t>
      </w:r>
      <w:r w:rsidRPr="000E14A8">
        <w:rPr>
          <w:rFonts w:cs="Times New Roman"/>
          <w:lang w:val="fr-CA"/>
        </w:rPr>
        <w:t>est pas un obstacle à l</w:t>
      </w:r>
      <w:r>
        <w:rPr>
          <w:rFonts w:cs="Times New Roman"/>
          <w:lang w:val="fr-CA"/>
        </w:rPr>
        <w:t>’</w:t>
      </w:r>
      <w:r w:rsidRPr="000E14A8">
        <w:rPr>
          <w:rFonts w:cs="Times New Roman"/>
          <w:lang w:val="fr-CA"/>
        </w:rPr>
        <w:t xml:space="preserve">indemnisation de Livent. </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lastRenderedPageBreak/>
        <w:t>Pourtant, la Juge en chef estime que la perte de Livent est trop éloignée parce qu</w:t>
      </w:r>
      <w:r>
        <w:rPr>
          <w:rFonts w:cs="Times New Roman"/>
          <w:lang w:val="fr-CA"/>
        </w:rPr>
        <w:t>’</w:t>
      </w:r>
      <w:r w:rsidRPr="000E14A8">
        <w:rPr>
          <w:rFonts w:cs="Times New Roman"/>
          <w:lang w:val="fr-CA"/>
        </w:rPr>
        <w:t>on ne saurait l</w:t>
      </w:r>
      <w:r>
        <w:rPr>
          <w:rFonts w:cs="Times New Roman"/>
          <w:lang w:val="fr-CA"/>
        </w:rPr>
        <w:t>’</w:t>
      </w:r>
      <w:r w:rsidRPr="000E14A8">
        <w:rPr>
          <w:rFonts w:cs="Times New Roman"/>
          <w:lang w:val="fr-CA"/>
        </w:rPr>
        <w:t>attribuer au fait que les actionnaires se sont fiés au rapport de 1997 pour surveiller la gestion de l</w:t>
      </w:r>
      <w:r>
        <w:rPr>
          <w:rFonts w:cs="Times New Roman"/>
          <w:lang w:val="fr-CA"/>
        </w:rPr>
        <w:t>’</w:t>
      </w:r>
      <w:r w:rsidRPr="000E14A8">
        <w:rPr>
          <w:rFonts w:cs="Times New Roman"/>
          <w:lang w:val="fr-CA"/>
        </w:rPr>
        <w:t>entreprise. En particulier, elle affirme que « Livent n</w:t>
      </w:r>
      <w:r>
        <w:rPr>
          <w:rFonts w:cs="Times New Roman"/>
          <w:lang w:val="fr-CA"/>
        </w:rPr>
        <w:t>’</w:t>
      </w:r>
      <w:r w:rsidRPr="000E14A8">
        <w:rPr>
          <w:rFonts w:cs="Times New Roman"/>
          <w:lang w:val="fr-CA"/>
        </w:rPr>
        <w:t>a pas prouvé, et le juge de première instance n</w:t>
      </w:r>
      <w:r>
        <w:rPr>
          <w:rFonts w:cs="Times New Roman"/>
          <w:lang w:val="fr-CA"/>
        </w:rPr>
        <w:t>’</w:t>
      </w:r>
      <w:r w:rsidRPr="000E14A8">
        <w:rPr>
          <w:rFonts w:cs="Times New Roman"/>
          <w:lang w:val="fr-CA"/>
        </w:rPr>
        <w:t>a pas conclu, que les actionnaires de Livent se sont fiés aux états financiers vérifiés de façon négligente par Deloitte, ou que s</w:t>
      </w:r>
      <w:r>
        <w:rPr>
          <w:rFonts w:cs="Times New Roman"/>
          <w:lang w:val="fr-CA"/>
        </w:rPr>
        <w:t>’</w:t>
      </w:r>
      <w:r w:rsidRPr="000E14A8">
        <w:rPr>
          <w:rFonts w:cs="Times New Roman"/>
          <w:lang w:val="fr-CA"/>
        </w:rPr>
        <w:t>ils avaient reçu des états financiers exacts et s</w:t>
      </w:r>
      <w:r>
        <w:rPr>
          <w:rFonts w:cs="Times New Roman"/>
          <w:lang w:val="fr-CA"/>
        </w:rPr>
        <w:t>’</w:t>
      </w:r>
      <w:r w:rsidRPr="000E14A8">
        <w:rPr>
          <w:rFonts w:cs="Times New Roman"/>
          <w:lang w:val="fr-CA"/>
        </w:rPr>
        <w:t>y étaient fiés, ils auraient agi d</w:t>
      </w:r>
      <w:r>
        <w:rPr>
          <w:rFonts w:cs="Times New Roman"/>
          <w:lang w:val="fr-CA"/>
        </w:rPr>
        <w:t>’</w:t>
      </w:r>
      <w:r w:rsidRPr="000E14A8">
        <w:rPr>
          <w:rFonts w:cs="Times New Roman"/>
          <w:lang w:val="fr-CA"/>
        </w:rPr>
        <w:t>une façon qui aurait empêché Livent de poursuivre ses activités et de diminuer ses actifs » (par. 159). Avec égards, nous envisageons la question différemment. Dans sa déclaration modifiée, Livent a fait valoir comme suit sa thèse de la confiance compromise des actionnaires (m.a., vol. III, p. 112)</w:t>
      </w:r>
      <w:r w:rsidR="00FD11C0">
        <w:rPr>
          <w:rFonts w:cs="Times New Roman"/>
          <w:lang w:val="fr-CA"/>
        </w:rPr>
        <w:t xml:space="preserve"> </w:t>
      </w:r>
      <w:r w:rsidRPr="000E14A8">
        <w:rPr>
          <w:rFonts w:cs="Times New Roman"/>
          <w:lang w:val="fr-CA"/>
        </w:rPr>
        <w:t>:</w:t>
      </w:r>
    </w:p>
    <w:p w:rsidR="003A506E" w:rsidRPr="000E14A8" w:rsidRDefault="003A506E" w:rsidP="003A506E">
      <w:pPr>
        <w:pStyle w:val="Citation-AltC"/>
        <w:ind w:hanging="1166"/>
        <w:contextualSpacing w:val="0"/>
        <w:rPr>
          <w:lang w:val="fr-CA"/>
        </w:rPr>
      </w:pPr>
      <w:r w:rsidRPr="000E14A8">
        <w:rPr>
          <w:lang w:val="fr-CA"/>
        </w:rPr>
        <w:tab/>
      </w:r>
      <w:r w:rsidRPr="000E14A8">
        <w:rPr>
          <w:lang w:val="fr-CA"/>
        </w:rPr>
        <w:tab/>
        <w:t>[</w:t>
      </w:r>
      <w:r w:rsidRPr="000E14A8">
        <w:rPr>
          <w:smallCaps/>
          <w:lang w:val="fr-CA"/>
        </w:rPr>
        <w:t>traduction</w:t>
      </w:r>
      <w:r w:rsidRPr="000E14A8">
        <w:rPr>
          <w:lang w:val="fr-CA"/>
        </w:rPr>
        <w:t xml:space="preserve">] En raison des manquements à leur obligation, les vérificateurs ont raté maintes occasions de découvrir et de révéler les irrégularités et erreurs comptables planifiées par Drabinsky et Gottlieb. En conséquence, </w:t>
      </w:r>
      <w:r w:rsidRPr="000E14A8">
        <w:rPr>
          <w:u w:val="single"/>
          <w:lang w:val="fr-CA"/>
        </w:rPr>
        <w:t>les parties intéressées de Livent ont été privées de l</w:t>
      </w:r>
      <w:r>
        <w:rPr>
          <w:u w:val="single"/>
          <w:lang w:val="fr-CA"/>
        </w:rPr>
        <w:t>’</w:t>
      </w:r>
      <w:r w:rsidRPr="000E14A8">
        <w:rPr>
          <w:u w:val="single"/>
          <w:lang w:val="fr-CA"/>
        </w:rPr>
        <w:t>occasion d</w:t>
      </w:r>
      <w:r>
        <w:rPr>
          <w:u w:val="single"/>
          <w:lang w:val="fr-CA"/>
        </w:rPr>
        <w:t>’</w:t>
      </w:r>
      <w:r w:rsidRPr="000E14A8">
        <w:rPr>
          <w:u w:val="single"/>
          <w:lang w:val="fr-CA"/>
        </w:rPr>
        <w:t>exercer leur volonté collective, notamment en limogeant Drabinsky et Gottlieb et en évitant du coup les pertes</w:t>
      </w:r>
      <w:r w:rsidRPr="000E14A8">
        <w:rPr>
          <w:lang w:val="fr-CA"/>
        </w:rPr>
        <w:t xml:space="preserve">, dommages et dettes </w:t>
      </w:r>
      <w:r w:rsidRPr="000E14A8">
        <w:rPr>
          <w:u w:val="single"/>
          <w:lang w:val="fr-CA"/>
        </w:rPr>
        <w:t>encore plus élevés</w:t>
      </w:r>
      <w:r w:rsidRPr="000E14A8">
        <w:rPr>
          <w:lang w:val="fr-CA"/>
        </w:rPr>
        <w:t xml:space="preserve"> qu</w:t>
      </w:r>
      <w:r>
        <w:rPr>
          <w:lang w:val="fr-CA"/>
        </w:rPr>
        <w:t>’</w:t>
      </w:r>
      <w:r w:rsidRPr="000E14A8">
        <w:rPr>
          <w:lang w:val="fr-CA"/>
        </w:rPr>
        <w:t>ont subi</w:t>
      </w:r>
      <w:r w:rsidR="00CF0EE1">
        <w:rPr>
          <w:lang w:val="fr-CA"/>
        </w:rPr>
        <w:t>s</w:t>
      </w:r>
      <w:r w:rsidRPr="000E14A8">
        <w:rPr>
          <w:lang w:val="fr-CA"/>
        </w:rPr>
        <w:t xml:space="preserve"> Livent et les parties intéressées de Livent. [Nous soulignons.]</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 xml:space="preserve">De même, en résumant la thèse défendue par Livent au procès, le juge de première instance a écrit ce qui suit (par. 23) : </w:t>
      </w:r>
    </w:p>
    <w:p w:rsidR="003A506E" w:rsidRPr="000E14A8" w:rsidRDefault="003A506E" w:rsidP="003A506E">
      <w:pPr>
        <w:pStyle w:val="Citation-AltC"/>
        <w:ind w:hanging="1166"/>
        <w:contextualSpacing w:val="0"/>
        <w:rPr>
          <w:lang w:val="fr-CA"/>
        </w:rPr>
      </w:pPr>
      <w:r w:rsidRPr="000E14A8">
        <w:rPr>
          <w:lang w:val="fr-CA"/>
        </w:rPr>
        <w:tab/>
        <w:t>[</w:t>
      </w:r>
      <w:r w:rsidRPr="000E14A8">
        <w:rPr>
          <w:smallCaps/>
          <w:lang w:val="fr-CA"/>
        </w:rPr>
        <w:t>traduction</w:t>
      </w:r>
      <w:r w:rsidRPr="000E14A8">
        <w:rPr>
          <w:lang w:val="fr-CA"/>
        </w:rPr>
        <w:t xml:space="preserve">] La négligence dont [Deloitte] aurait fait preuve en produisant des opinions sans réserve a, du même coup, </w:t>
      </w:r>
      <w:r w:rsidRPr="000E14A8">
        <w:rPr>
          <w:u w:val="single"/>
          <w:lang w:val="fr-CA"/>
        </w:rPr>
        <w:t>privé les administrateurs et les actionnaires honnêtes de la possibilité de mettre</w:t>
      </w:r>
      <w:r w:rsidRPr="00CF0EE1">
        <w:rPr>
          <w:lang w:val="fr-CA"/>
        </w:rPr>
        <w:t>,</w:t>
      </w:r>
      <w:r w:rsidRPr="00FD11C0">
        <w:rPr>
          <w:lang w:val="fr-CA"/>
        </w:rPr>
        <w:t xml:space="preserve"> </w:t>
      </w:r>
      <w:r w:rsidRPr="000E14A8">
        <w:rPr>
          <w:lang w:val="fr-CA"/>
        </w:rPr>
        <w:t>avant la date à laquelle ils l</w:t>
      </w:r>
      <w:r>
        <w:rPr>
          <w:lang w:val="fr-CA"/>
        </w:rPr>
        <w:t>’</w:t>
      </w:r>
      <w:r w:rsidRPr="000E14A8">
        <w:rPr>
          <w:lang w:val="fr-CA"/>
        </w:rPr>
        <w:t xml:space="preserve">ont fait, </w:t>
      </w:r>
      <w:r w:rsidRPr="000E14A8">
        <w:rPr>
          <w:u w:val="single"/>
          <w:lang w:val="fr-CA"/>
        </w:rPr>
        <w:t>un terme à la fraude</w:t>
      </w:r>
      <w:r w:rsidRPr="000E14A8">
        <w:rPr>
          <w:lang w:val="fr-CA"/>
        </w:rPr>
        <w:t>,</w:t>
      </w:r>
      <w:r w:rsidRPr="000E14A8">
        <w:rPr>
          <w:i/>
          <w:lang w:val="fr-CA"/>
        </w:rPr>
        <w:t xml:space="preserve"> </w:t>
      </w:r>
      <w:r w:rsidRPr="000E14A8">
        <w:rPr>
          <w:lang w:val="fr-CA"/>
        </w:rPr>
        <w:t>ainsi qu</w:t>
      </w:r>
      <w:r>
        <w:rPr>
          <w:lang w:val="fr-CA"/>
        </w:rPr>
        <w:t>’</w:t>
      </w:r>
      <w:r w:rsidRPr="000E14A8">
        <w:rPr>
          <w:lang w:val="fr-CA"/>
        </w:rPr>
        <w:t>aux pertes que la société a ultimement subies. [Nous soulignons.]</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Le juge de première instance a accepté cette thèse : [</w:t>
      </w:r>
      <w:r w:rsidRPr="000E14A8">
        <w:rPr>
          <w:rFonts w:cs="Times New Roman"/>
          <w:smallCaps/>
          <w:lang w:val="fr-CA"/>
        </w:rPr>
        <w:t>traduction</w:t>
      </w:r>
      <w:r w:rsidRPr="000E14A8">
        <w:rPr>
          <w:rFonts w:cs="Times New Roman"/>
          <w:lang w:val="fr-CA"/>
        </w:rPr>
        <w:t>] «</w:t>
      </w:r>
      <w:r w:rsidR="00CF0EE1" w:rsidRPr="000E14A8">
        <w:rPr>
          <w:rFonts w:cs="Times New Roman"/>
          <w:lang w:val="fr-CA"/>
        </w:rPr>
        <w:t> </w:t>
      </w:r>
      <w:r w:rsidR="00CF0EE1">
        <w:rPr>
          <w:rFonts w:cs="Times New Roman"/>
          <w:lang w:val="fr-CA"/>
        </w:rPr>
        <w:t>.</w:t>
      </w:r>
      <w:r w:rsidR="00CF0EE1" w:rsidRPr="000E14A8">
        <w:rPr>
          <w:rFonts w:cs="Times New Roman"/>
          <w:lang w:val="fr-CA"/>
        </w:rPr>
        <w:t> </w:t>
      </w:r>
      <w:r w:rsidR="00CF0EE1">
        <w:rPr>
          <w:rFonts w:cs="Times New Roman"/>
          <w:lang w:val="fr-CA"/>
        </w:rPr>
        <w:t>.</w:t>
      </w:r>
      <w:r w:rsidR="00CF0EE1" w:rsidRPr="000E14A8">
        <w:rPr>
          <w:rFonts w:cs="Times New Roman"/>
          <w:lang w:val="fr-CA"/>
        </w:rPr>
        <w:t> </w:t>
      </w:r>
      <w:r w:rsidR="00CF0EE1">
        <w:rPr>
          <w:rFonts w:cs="Times New Roman"/>
          <w:lang w:val="fr-CA"/>
        </w:rPr>
        <w:t>.</w:t>
      </w:r>
      <w:r w:rsidR="00CF0EE1" w:rsidRPr="000E14A8">
        <w:rPr>
          <w:rFonts w:cs="Times New Roman"/>
          <w:lang w:val="fr-CA"/>
        </w:rPr>
        <w:t> </w:t>
      </w:r>
      <w:r w:rsidRPr="000E14A8">
        <w:rPr>
          <w:rFonts w:cs="Times New Roman"/>
          <w:lang w:val="fr-CA"/>
        </w:rPr>
        <w:t>je crois que les administrateurs honnêtes et les actionnaires innocents en l</w:t>
      </w:r>
      <w:r>
        <w:rPr>
          <w:rFonts w:cs="Times New Roman"/>
          <w:lang w:val="fr-CA"/>
        </w:rPr>
        <w:t>’</w:t>
      </w:r>
      <w:r w:rsidRPr="000E14A8">
        <w:rPr>
          <w:rFonts w:cs="Times New Roman"/>
          <w:lang w:val="fr-CA"/>
        </w:rPr>
        <w:t xml:space="preserve">espèce devaient </w:t>
      </w:r>
      <w:r w:rsidRPr="000E14A8">
        <w:rPr>
          <w:rFonts w:cs="Times New Roman"/>
          <w:lang w:val="fr-CA"/>
        </w:rPr>
        <w:lastRenderedPageBreak/>
        <w:t>pouvoir se fier aux vérifications faites par Deloitte pour s</w:t>
      </w:r>
      <w:r>
        <w:rPr>
          <w:rFonts w:cs="Times New Roman"/>
          <w:lang w:val="fr-CA"/>
        </w:rPr>
        <w:t>’</w:t>
      </w:r>
      <w:r w:rsidRPr="000E14A8">
        <w:rPr>
          <w:rFonts w:cs="Times New Roman"/>
          <w:lang w:val="fr-CA"/>
        </w:rPr>
        <w:t>acquitter de leur tâche de surveillance</w:t>
      </w:r>
      <w:r w:rsidR="00ED07F3" w:rsidRPr="000E14A8">
        <w:rPr>
          <w:rFonts w:cs="Times New Roman"/>
          <w:lang w:val="fr-CA"/>
        </w:rPr>
        <w:t> </w:t>
      </w:r>
      <w:r w:rsidR="00ED07F3">
        <w:rPr>
          <w:rFonts w:cs="Times New Roman"/>
          <w:lang w:val="fr-CA"/>
        </w:rPr>
        <w:t>.</w:t>
      </w:r>
      <w:r w:rsidR="00ED07F3" w:rsidRPr="000E14A8">
        <w:rPr>
          <w:rFonts w:cs="Times New Roman"/>
          <w:lang w:val="fr-CA"/>
        </w:rPr>
        <w:t> </w:t>
      </w:r>
      <w:r w:rsidR="00ED07F3">
        <w:rPr>
          <w:rFonts w:cs="Times New Roman"/>
          <w:lang w:val="fr-CA"/>
        </w:rPr>
        <w:t>.</w:t>
      </w:r>
      <w:r w:rsidR="00ED07F3" w:rsidRPr="000E14A8">
        <w:rPr>
          <w:rFonts w:cs="Times New Roman"/>
          <w:lang w:val="fr-CA"/>
        </w:rPr>
        <w:t> </w:t>
      </w:r>
      <w:r w:rsidR="00ED07F3">
        <w:rPr>
          <w:rFonts w:cs="Times New Roman"/>
          <w:lang w:val="fr-CA"/>
        </w:rPr>
        <w:t>.</w:t>
      </w:r>
      <w:r w:rsidRPr="000E14A8">
        <w:rPr>
          <w:rFonts w:cs="Times New Roman"/>
          <w:lang w:val="fr-CA"/>
        </w:rPr>
        <w:t> » (par. 341). Néanmoins, la Juge en chef ne reconnaît pas la responsabilité de Deloitte parce que selon elle, « Livent n</w:t>
      </w:r>
      <w:r>
        <w:rPr>
          <w:rFonts w:cs="Times New Roman"/>
          <w:lang w:val="fr-CA"/>
        </w:rPr>
        <w:t>’</w:t>
      </w:r>
      <w:r w:rsidRPr="000E14A8">
        <w:rPr>
          <w:rFonts w:cs="Times New Roman"/>
          <w:lang w:val="fr-CA"/>
        </w:rPr>
        <w:t>a présenté aucune preuve à l</w:t>
      </w:r>
      <w:r>
        <w:rPr>
          <w:rFonts w:cs="Times New Roman"/>
          <w:lang w:val="fr-CA"/>
        </w:rPr>
        <w:t>’</w:t>
      </w:r>
      <w:r w:rsidRPr="000E14A8">
        <w:rPr>
          <w:rFonts w:cs="Times New Roman"/>
          <w:lang w:val="fr-CA"/>
        </w:rPr>
        <w:t>appui » de l</w:t>
      </w:r>
      <w:r>
        <w:rPr>
          <w:rFonts w:cs="Times New Roman"/>
          <w:lang w:val="fr-CA"/>
        </w:rPr>
        <w:t>’</w:t>
      </w:r>
      <w:r w:rsidRPr="000E14A8">
        <w:rPr>
          <w:rFonts w:cs="Times New Roman"/>
          <w:lang w:val="fr-CA"/>
        </w:rPr>
        <w:t>affirmation selon laquelle ses actionnaires auraient demandé à la direction de rendre des comptes s</w:t>
      </w:r>
      <w:r>
        <w:rPr>
          <w:rFonts w:cs="Times New Roman"/>
          <w:lang w:val="fr-CA"/>
        </w:rPr>
        <w:t>’</w:t>
      </w:r>
      <w:r w:rsidRPr="000E14A8">
        <w:rPr>
          <w:rFonts w:cs="Times New Roman"/>
          <w:lang w:val="fr-CA"/>
        </w:rPr>
        <w:t>ils avaient reçu un rapport non entaché de négligence en mars 1998 (par. 161). Or, c</w:t>
      </w:r>
      <w:r>
        <w:rPr>
          <w:rFonts w:cs="Times New Roman"/>
          <w:lang w:val="fr-CA"/>
        </w:rPr>
        <w:t>’</w:t>
      </w:r>
      <w:r w:rsidRPr="000E14A8">
        <w:rPr>
          <w:rFonts w:cs="Times New Roman"/>
          <w:lang w:val="fr-CA"/>
        </w:rPr>
        <w:t xml:space="preserve">est </w:t>
      </w:r>
      <w:r w:rsidRPr="000E14A8">
        <w:rPr>
          <w:rFonts w:cs="Times New Roman"/>
          <w:i/>
          <w:lang w:val="fr-CA"/>
        </w:rPr>
        <w:t>précisément</w:t>
      </w:r>
      <w:r w:rsidRPr="000E14A8">
        <w:rPr>
          <w:rFonts w:cs="Times New Roman"/>
          <w:lang w:val="fr-CA"/>
        </w:rPr>
        <w:t xml:space="preserve"> ce qui ressort du dossier. Le 18 novembre 1998, Livent a reçu un rapport de vérification — prudemment préparé — de ses états financiers modifiés pour l</w:t>
      </w:r>
      <w:r>
        <w:rPr>
          <w:rFonts w:cs="Times New Roman"/>
          <w:lang w:val="fr-CA"/>
        </w:rPr>
        <w:t>’</w:t>
      </w:r>
      <w:r w:rsidRPr="000E14A8">
        <w:rPr>
          <w:rFonts w:cs="Times New Roman"/>
          <w:noProof/>
          <w:lang w:val="fr-CA"/>
        </w:rPr>
        <w:t>exercice</w:t>
      </w:r>
      <w:r w:rsidRPr="000E14A8">
        <w:rPr>
          <w:rFonts w:cs="Times New Roman"/>
          <w:lang w:val="fr-CA"/>
        </w:rPr>
        <w:t xml:space="preserve"> 1997. Ce rapport de vérification prudent révélait un écart « important, voire colossal » dans le revenu déclaré (motifs de première instance, par. 15). Plus particulièrement, ce rapport laissait voir une perte additionnelle de plus de 50 millions de dollars pour l</w:t>
      </w:r>
      <w:r>
        <w:rPr>
          <w:rFonts w:cs="Times New Roman"/>
          <w:lang w:val="fr-CA"/>
        </w:rPr>
        <w:t>’</w:t>
      </w:r>
      <w:r w:rsidRPr="000E14A8">
        <w:rPr>
          <w:rFonts w:cs="Times New Roman"/>
          <w:lang w:val="fr-CA"/>
        </w:rPr>
        <w:t xml:space="preserve">exercice 1997. </w:t>
      </w:r>
    </w:p>
    <w:p w:rsidR="003A506E" w:rsidRPr="000E14A8" w:rsidRDefault="003A506E" w:rsidP="003A506E">
      <w:pPr>
        <w:pStyle w:val="ParaNoNdepar-AltN"/>
        <w:rPr>
          <w:rFonts w:cs="Times New Roman"/>
          <w:lang w:val="fr-CA"/>
        </w:rPr>
      </w:pPr>
      <w:r w:rsidRPr="000E14A8">
        <w:rPr>
          <w:rFonts w:cs="Times New Roman"/>
          <w:lang w:val="fr-CA"/>
        </w:rPr>
        <w:t>La réponse de Livent, lorsqu</w:t>
      </w:r>
      <w:r>
        <w:rPr>
          <w:rFonts w:cs="Times New Roman"/>
          <w:lang w:val="fr-CA"/>
        </w:rPr>
        <w:t>’</w:t>
      </w:r>
      <w:r w:rsidRPr="000E14A8">
        <w:rPr>
          <w:rFonts w:cs="Times New Roman"/>
          <w:lang w:val="fr-CA"/>
        </w:rPr>
        <w:t>elle a reçu ce rapport, est éloquente et, à notre avis, elle contredit toute prétention qu</w:t>
      </w:r>
      <w:r>
        <w:rPr>
          <w:rFonts w:cs="Times New Roman"/>
          <w:lang w:val="fr-CA"/>
        </w:rPr>
        <w:t>’</w:t>
      </w:r>
      <w:r w:rsidRPr="000E14A8">
        <w:rPr>
          <w:rFonts w:cs="Times New Roman"/>
          <w:lang w:val="fr-CA"/>
        </w:rPr>
        <w:t>un examen attentif par des actionnaires informés aurait permis à Livent d</w:t>
      </w:r>
      <w:r>
        <w:rPr>
          <w:rFonts w:cs="Times New Roman"/>
          <w:lang w:val="fr-CA"/>
        </w:rPr>
        <w:t>’</w:t>
      </w:r>
      <w:r w:rsidRPr="000E14A8">
        <w:rPr>
          <w:rFonts w:cs="Times New Roman"/>
          <w:lang w:val="fr-CA"/>
        </w:rPr>
        <w:t xml:space="preserve">agir autrement que de la manière attendue. </w:t>
      </w:r>
      <w:r w:rsidRPr="000E14A8">
        <w:rPr>
          <w:rFonts w:cs="Times New Roman"/>
          <w:i/>
          <w:lang w:val="fr-CA"/>
        </w:rPr>
        <w:t>Ce même jour</w:t>
      </w:r>
      <w:r w:rsidRPr="000E14A8">
        <w:rPr>
          <w:rFonts w:cs="Times New Roman"/>
          <w:lang w:val="fr-CA"/>
        </w:rPr>
        <w:t>,</w:t>
      </w:r>
      <w:r w:rsidRPr="000E14A8">
        <w:rPr>
          <w:rFonts w:cs="Times New Roman"/>
          <w:i/>
          <w:lang w:val="fr-CA"/>
        </w:rPr>
        <w:t xml:space="preserve"> </w:t>
      </w:r>
      <w:r w:rsidRPr="000E14A8">
        <w:rPr>
          <w:rFonts w:cs="Times New Roman"/>
          <w:lang w:val="fr-CA"/>
        </w:rPr>
        <w:t>[</w:t>
      </w:r>
      <w:r w:rsidRPr="000E14A8">
        <w:rPr>
          <w:rFonts w:cs="Times New Roman"/>
          <w:smallCaps/>
          <w:lang w:val="fr-CA"/>
        </w:rPr>
        <w:t>traduction</w:t>
      </w:r>
      <w:r w:rsidRPr="000E14A8">
        <w:rPr>
          <w:rFonts w:cs="Times New Roman"/>
          <w:lang w:val="fr-CA"/>
        </w:rPr>
        <w:t>] « Drabinsky et Gottlieb ont été congédiés pour un motif valable [.</w:t>
      </w:r>
      <w:r>
        <w:rPr>
          <w:rFonts w:cs="Times New Roman"/>
          <w:lang w:val="fr-CA"/>
        </w:rPr>
        <w:t> </w:t>
      </w:r>
      <w:r w:rsidRPr="000E14A8">
        <w:rPr>
          <w:rFonts w:cs="Times New Roman"/>
          <w:lang w:val="fr-CA"/>
        </w:rPr>
        <w:t>.</w:t>
      </w:r>
      <w:r>
        <w:rPr>
          <w:rFonts w:cs="Times New Roman"/>
          <w:lang w:val="fr-CA"/>
        </w:rPr>
        <w:t> </w:t>
      </w:r>
      <w:r w:rsidRPr="000E14A8">
        <w:rPr>
          <w:rFonts w:cs="Times New Roman"/>
          <w:lang w:val="fr-CA"/>
        </w:rPr>
        <w:t>.] et Livent a elle</w:t>
      </w:r>
      <w:r w:rsidRPr="000E14A8">
        <w:rPr>
          <w:rFonts w:cs="Times New Roman"/>
          <w:lang w:val="fr-CA"/>
        </w:rPr>
        <w:noBreakHyphen/>
        <w:t>même demandé la protection de la loi sur la faillite » aux États</w:t>
      </w:r>
      <w:r w:rsidRPr="000E14A8">
        <w:rPr>
          <w:rFonts w:cs="Times New Roman"/>
          <w:lang w:val="fr-CA"/>
        </w:rPr>
        <w:noBreakHyphen/>
        <w:t xml:space="preserve">Unis (motifs de première instance, par. 16). </w:t>
      </w:r>
      <w:r w:rsidRPr="000E14A8">
        <w:rPr>
          <w:rFonts w:cs="Times New Roman"/>
          <w:i/>
          <w:lang w:val="fr-CA"/>
        </w:rPr>
        <w:t>Le lendemain</w:t>
      </w:r>
      <w:r w:rsidRPr="000E14A8">
        <w:rPr>
          <w:rFonts w:cs="Times New Roman"/>
          <w:lang w:val="fr-CA"/>
        </w:rPr>
        <w:t>, « Livent s</w:t>
      </w:r>
      <w:r>
        <w:rPr>
          <w:rFonts w:cs="Times New Roman"/>
          <w:lang w:val="fr-CA"/>
        </w:rPr>
        <w:t>’</w:t>
      </w:r>
      <w:r w:rsidRPr="000E14A8">
        <w:rPr>
          <w:rFonts w:cs="Times New Roman"/>
          <w:lang w:val="fr-CA"/>
        </w:rPr>
        <w:t xml:space="preserve">est placée sous la protection de la </w:t>
      </w:r>
      <w:r w:rsidR="00ED07F3" w:rsidRPr="000E14A8">
        <w:rPr>
          <w:rFonts w:cs="Times New Roman"/>
          <w:lang w:val="fr-CA"/>
        </w:rPr>
        <w:t>[</w:t>
      </w:r>
      <w:r w:rsidRPr="000E14A8">
        <w:rPr>
          <w:rFonts w:cs="Times New Roman"/>
          <w:i/>
          <w:lang w:val="fr-CA"/>
        </w:rPr>
        <w:t>Loi sur les arrangements avec les créanciers des compagnies</w:t>
      </w:r>
      <w:r w:rsidRPr="000E14A8">
        <w:rPr>
          <w:rFonts w:cs="Times New Roman"/>
          <w:lang w:val="fr-CA"/>
        </w:rPr>
        <w:t>, L.R.C. 1985, c. C</w:t>
      </w:r>
      <w:r w:rsidRPr="000E14A8">
        <w:rPr>
          <w:rFonts w:cs="Times New Roman"/>
          <w:lang w:val="fr-CA"/>
        </w:rPr>
        <w:noBreakHyphen/>
        <w:t>36</w:t>
      </w:r>
      <w:r w:rsidR="00ED07F3" w:rsidRPr="000E14A8">
        <w:rPr>
          <w:rFonts w:cs="Times New Roman"/>
          <w:lang w:val="fr-CA"/>
        </w:rPr>
        <w:t>]</w:t>
      </w:r>
      <w:r w:rsidRPr="000E14A8">
        <w:rPr>
          <w:rFonts w:cs="Times New Roman"/>
          <w:lang w:val="fr-CA"/>
        </w:rPr>
        <w:t xml:space="preserve"> au Canada » (</w:t>
      </w:r>
      <w:r w:rsidRPr="000E14A8">
        <w:rPr>
          <w:rFonts w:cs="Times New Roman"/>
          <w:i/>
          <w:lang w:val="fr-CA"/>
        </w:rPr>
        <w:t>ibid.</w:t>
      </w:r>
      <w:r w:rsidRPr="000E14A8">
        <w:rPr>
          <w:rFonts w:cs="Times New Roman"/>
          <w:lang w:val="fr-CA"/>
        </w:rPr>
        <w:t>). Il est difficile de démontrer avec plus d</w:t>
      </w:r>
      <w:r>
        <w:rPr>
          <w:rFonts w:cs="Times New Roman"/>
          <w:lang w:val="fr-CA"/>
        </w:rPr>
        <w:t>’</w:t>
      </w:r>
      <w:r w:rsidRPr="000E14A8">
        <w:rPr>
          <w:rFonts w:cs="Times New Roman"/>
          <w:lang w:val="fr-CA"/>
        </w:rPr>
        <w:t>éloquence quand et comment les actionnaires de Livent auraient « empêché Livent de poursuivre ses activités et de diminuer ses actifs » si Deloitte s</w:t>
      </w:r>
      <w:r>
        <w:rPr>
          <w:rFonts w:cs="Times New Roman"/>
          <w:lang w:val="fr-CA"/>
        </w:rPr>
        <w:t>’</w:t>
      </w:r>
      <w:r w:rsidRPr="000E14A8">
        <w:rPr>
          <w:rFonts w:cs="Times New Roman"/>
          <w:lang w:val="fr-CA"/>
        </w:rPr>
        <w:t>était montrée prudente dans la préparation de son rapport de vérification en mars 1998 (motifs de la Juge en chef, par. 159).</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lastRenderedPageBreak/>
        <w:t>Au vu du dossier, toute hypothèse suivant laquelle les actionnaires de Livent auraient pu ne rien faire devant une fraude patente est tout simplement insoutenable. De fait, l</w:t>
      </w:r>
      <w:r>
        <w:rPr>
          <w:rFonts w:cs="Times New Roman"/>
          <w:lang w:val="fr-CA"/>
        </w:rPr>
        <w:t>’</w:t>
      </w:r>
      <w:r w:rsidRPr="000E14A8">
        <w:rPr>
          <w:rFonts w:cs="Times New Roman"/>
          <w:lang w:val="fr-CA"/>
        </w:rPr>
        <w:t>hypothèse semblable voulant que les actionnaires de Livent auraient pu ne rien faire s</w:t>
      </w:r>
      <w:r>
        <w:rPr>
          <w:rFonts w:cs="Times New Roman"/>
          <w:lang w:val="fr-CA"/>
        </w:rPr>
        <w:t>’</w:t>
      </w:r>
      <w:r w:rsidRPr="000E14A8">
        <w:rPr>
          <w:rFonts w:cs="Times New Roman"/>
          <w:lang w:val="fr-CA"/>
        </w:rPr>
        <w:t>ils avaient été placés devant l</w:t>
      </w:r>
      <w:r>
        <w:rPr>
          <w:rFonts w:cs="Times New Roman"/>
          <w:lang w:val="fr-CA"/>
        </w:rPr>
        <w:t>’</w:t>
      </w:r>
      <w:r w:rsidRPr="000E14A8">
        <w:rPr>
          <w:rFonts w:cs="Times New Roman"/>
          <w:lang w:val="fr-CA"/>
        </w:rPr>
        <w:t>éventualité d</w:t>
      </w:r>
      <w:r>
        <w:rPr>
          <w:rFonts w:cs="Times New Roman"/>
          <w:lang w:val="fr-CA"/>
        </w:rPr>
        <w:t>’</w:t>
      </w:r>
      <w:r w:rsidRPr="000E14A8">
        <w:rPr>
          <w:rFonts w:cs="Times New Roman"/>
          <w:lang w:val="fr-CA"/>
        </w:rPr>
        <w:t>un déficit de liquidation d</w:t>
      </w:r>
      <w:r>
        <w:rPr>
          <w:rFonts w:cs="Times New Roman"/>
          <w:lang w:val="fr-CA"/>
        </w:rPr>
        <w:t>’</w:t>
      </w:r>
      <w:r w:rsidRPr="000E14A8">
        <w:rPr>
          <w:rFonts w:cs="Times New Roman"/>
          <w:lang w:val="fr-CA"/>
        </w:rPr>
        <w:t>environ 365 millions de dollars au début d</w:t>
      </w:r>
      <w:r>
        <w:rPr>
          <w:rFonts w:cs="Times New Roman"/>
          <w:lang w:val="fr-CA"/>
        </w:rPr>
        <w:t>’</w:t>
      </w:r>
      <w:r w:rsidRPr="000E14A8">
        <w:rPr>
          <w:rFonts w:cs="Times New Roman"/>
          <w:lang w:val="fr-CA"/>
        </w:rPr>
        <w:t>avril 1998 (alors que nous savons qu</w:t>
      </w:r>
      <w:r>
        <w:rPr>
          <w:rFonts w:cs="Times New Roman"/>
          <w:lang w:val="fr-CA"/>
        </w:rPr>
        <w:t>’</w:t>
      </w:r>
      <w:r w:rsidRPr="000E14A8">
        <w:rPr>
          <w:rFonts w:cs="Times New Roman"/>
          <w:lang w:val="fr-CA"/>
        </w:rPr>
        <w:t>à la mi</w:t>
      </w:r>
      <w:r w:rsidRPr="000E14A8">
        <w:rPr>
          <w:rFonts w:cs="Times New Roman"/>
          <w:lang w:val="fr-CA"/>
        </w:rPr>
        <w:noBreakHyphen/>
        <w:t>novembre 1998, le déficit de liquidation réel de 413 830 000 dollars a immédiatement provoqué la requête en faillite de Livent) est — également au vu du dossier — tout aussi improbable.</w:t>
      </w:r>
    </w:p>
    <w:p w:rsidR="003A506E" w:rsidRPr="000E14A8" w:rsidRDefault="003A506E" w:rsidP="003A506E">
      <w:pPr>
        <w:pStyle w:val="ParaNoNdepar-AltN"/>
        <w:rPr>
          <w:rFonts w:cs="Times New Roman"/>
          <w:lang w:val="fr-CA"/>
        </w:rPr>
      </w:pPr>
      <w:r w:rsidRPr="000E14A8">
        <w:rPr>
          <w:rFonts w:cs="Times New Roman"/>
          <w:lang w:val="fr-CA"/>
        </w:rPr>
        <w:t>La Juge en chef, toutefois, propose un motif additionnel pour exonérer Deloitte de responsabilité : Deloitte aurait dû être responsable « seulement à l</w:t>
      </w:r>
      <w:r>
        <w:rPr>
          <w:rFonts w:cs="Times New Roman"/>
          <w:lang w:val="fr-CA"/>
        </w:rPr>
        <w:t>’</w:t>
      </w:r>
      <w:r w:rsidRPr="000E14A8">
        <w:rPr>
          <w:rFonts w:cs="Times New Roman"/>
          <w:lang w:val="fr-CA"/>
        </w:rPr>
        <w:t>égard des renseignements » qu</w:t>
      </w:r>
      <w:r>
        <w:rPr>
          <w:rFonts w:cs="Times New Roman"/>
          <w:lang w:val="fr-CA"/>
        </w:rPr>
        <w:t>’</w:t>
      </w:r>
      <w:r w:rsidRPr="000E14A8">
        <w:rPr>
          <w:rFonts w:cs="Times New Roman"/>
          <w:lang w:val="fr-CA"/>
        </w:rPr>
        <w:t>elle a fournis (l</w:t>
      </w:r>
      <w:r>
        <w:rPr>
          <w:rFonts w:cs="Times New Roman"/>
          <w:lang w:val="fr-CA"/>
        </w:rPr>
        <w:t>’</w:t>
      </w:r>
      <w:r w:rsidRPr="000E14A8">
        <w:rPr>
          <w:rFonts w:cs="Times New Roman"/>
          <w:lang w:val="fr-CA"/>
        </w:rPr>
        <w:t>opinion du vérificateur), et non « à l</w:t>
      </w:r>
      <w:r>
        <w:rPr>
          <w:rFonts w:cs="Times New Roman"/>
          <w:lang w:val="fr-CA"/>
        </w:rPr>
        <w:t>’</w:t>
      </w:r>
      <w:r w:rsidRPr="000E14A8">
        <w:rPr>
          <w:rFonts w:cs="Times New Roman"/>
          <w:lang w:val="fr-CA"/>
        </w:rPr>
        <w:t>égard de</w:t>
      </w:r>
      <w:r w:rsidR="00ED07F3" w:rsidRPr="000E14A8">
        <w:rPr>
          <w:rFonts w:cs="Times New Roman"/>
          <w:lang w:val="fr-CA"/>
        </w:rPr>
        <w:t>[</w:t>
      </w:r>
      <w:r w:rsidR="00ED07F3">
        <w:rPr>
          <w:rFonts w:cs="Times New Roman"/>
          <w:lang w:val="fr-CA"/>
        </w:rPr>
        <w:t>s</w:t>
      </w:r>
      <w:r w:rsidR="00ED07F3" w:rsidRPr="000E14A8">
        <w:rPr>
          <w:rFonts w:cs="Times New Roman"/>
          <w:lang w:val="fr-CA"/>
        </w:rPr>
        <w:t>]</w:t>
      </w:r>
      <w:r w:rsidRPr="000E14A8">
        <w:rPr>
          <w:rFonts w:cs="Times New Roman"/>
          <w:lang w:val="fr-CA"/>
        </w:rPr>
        <w:t xml:space="preserve"> décision</w:t>
      </w:r>
      <w:r w:rsidR="00ED07F3" w:rsidRPr="000E14A8">
        <w:rPr>
          <w:rFonts w:cs="Times New Roman"/>
          <w:lang w:val="fr-CA"/>
        </w:rPr>
        <w:t>[</w:t>
      </w:r>
      <w:r w:rsidR="00ED07F3">
        <w:rPr>
          <w:rFonts w:cs="Times New Roman"/>
          <w:lang w:val="fr-CA"/>
        </w:rPr>
        <w:t>s</w:t>
      </w:r>
      <w:r w:rsidR="00ED07F3" w:rsidRPr="000E14A8">
        <w:rPr>
          <w:rFonts w:cs="Times New Roman"/>
          <w:lang w:val="fr-CA"/>
        </w:rPr>
        <w:t>]</w:t>
      </w:r>
      <w:r w:rsidRPr="000E14A8">
        <w:rPr>
          <w:rFonts w:cs="Times New Roman"/>
          <w:lang w:val="fr-CA"/>
        </w:rPr>
        <w:t xml:space="preserve"> que ceux</w:t>
      </w:r>
      <w:r w:rsidRPr="000E14A8">
        <w:rPr>
          <w:rFonts w:cs="Times New Roman"/>
          <w:lang w:val="fr-CA"/>
        </w:rPr>
        <w:noBreakHyphen/>
        <w:t>ci devaient éclairer » (par. 171). Cette proposition n</w:t>
      </w:r>
      <w:r>
        <w:rPr>
          <w:rFonts w:cs="Times New Roman"/>
          <w:lang w:val="fr-CA"/>
        </w:rPr>
        <w:t>’</w:t>
      </w:r>
      <w:r w:rsidRPr="000E14A8">
        <w:rPr>
          <w:rFonts w:cs="Times New Roman"/>
          <w:lang w:val="fr-CA"/>
        </w:rPr>
        <w:t>écarte pas la responsabilité de Deloitte en l</w:t>
      </w:r>
      <w:r>
        <w:rPr>
          <w:rFonts w:cs="Times New Roman"/>
          <w:lang w:val="fr-CA"/>
        </w:rPr>
        <w:t>’</w:t>
      </w:r>
      <w:r w:rsidRPr="000E14A8">
        <w:rPr>
          <w:rFonts w:cs="Times New Roman"/>
          <w:lang w:val="fr-CA"/>
        </w:rPr>
        <w:t>espèce.</w:t>
      </w:r>
    </w:p>
    <w:p w:rsidR="003A506E" w:rsidRPr="000E14A8" w:rsidRDefault="003A506E" w:rsidP="003A506E">
      <w:pPr>
        <w:pStyle w:val="Title4LevelTitre4Niveau"/>
        <w:rPr>
          <w:rFonts w:cs="Times New Roman"/>
          <w:lang w:val="fr-CA"/>
        </w:rPr>
      </w:pPr>
      <w:r w:rsidRPr="000E14A8">
        <w:rPr>
          <w:rFonts w:cs="Times New Roman"/>
          <w:lang w:val="fr-CA"/>
        </w:rPr>
        <w:t>Moyens additionnels de limiter la responsabilité : renseignements, conseils et le « principe SAAMCO »</w:t>
      </w:r>
    </w:p>
    <w:p w:rsidR="003A506E" w:rsidRPr="000E14A8" w:rsidRDefault="003A506E" w:rsidP="003A506E">
      <w:pPr>
        <w:pStyle w:val="ParaNoNdepar-AltN"/>
        <w:rPr>
          <w:rFonts w:cs="Times New Roman"/>
          <w:lang w:val="fr-CA"/>
        </w:rPr>
      </w:pPr>
      <w:r w:rsidRPr="000E14A8">
        <w:rPr>
          <w:rFonts w:cs="Times New Roman"/>
          <w:lang w:val="fr-CA"/>
        </w:rPr>
        <w:t>La Juge en chef cherche à limiter la responsabilité de Deloitte parce que celle</w:t>
      </w:r>
      <w:r w:rsidRPr="000E14A8">
        <w:rPr>
          <w:rFonts w:cs="Times New Roman"/>
          <w:lang w:val="fr-CA"/>
        </w:rPr>
        <w:noBreakHyphen/>
        <w:t>ci a simplement fourni des « renseignements » à Livent, et non des « conseils », et qu</w:t>
      </w:r>
      <w:r>
        <w:rPr>
          <w:rFonts w:cs="Times New Roman"/>
          <w:lang w:val="fr-CA"/>
        </w:rPr>
        <w:t>’</w:t>
      </w:r>
      <w:r w:rsidRPr="000E14A8">
        <w:rPr>
          <w:rFonts w:cs="Times New Roman"/>
          <w:lang w:val="fr-CA"/>
        </w:rPr>
        <w:t>en conséquence, elle n</w:t>
      </w:r>
      <w:r>
        <w:rPr>
          <w:rFonts w:cs="Times New Roman"/>
          <w:lang w:val="fr-CA"/>
        </w:rPr>
        <w:t>’</w:t>
      </w:r>
      <w:r w:rsidRPr="000E14A8">
        <w:rPr>
          <w:rFonts w:cs="Times New Roman"/>
          <w:lang w:val="fr-CA"/>
        </w:rPr>
        <w:t xml:space="preserve">a pas « assum[é] [. . .] la responsabilité de ce que les actionnaires décident de faire avec ces renseignements » (par. 170). À cet égard, elle cite (au par. 149) le passage suivant tiré de </w:t>
      </w:r>
      <w:r w:rsidRPr="000E14A8">
        <w:rPr>
          <w:rFonts w:cs="Times New Roman"/>
          <w:i/>
          <w:lang w:val="fr-CA"/>
        </w:rPr>
        <w:t>Hughes</w:t>
      </w:r>
      <w:r w:rsidRPr="000E14A8">
        <w:rPr>
          <w:rFonts w:cs="Times New Roman"/>
          <w:i/>
          <w:lang w:val="fr-CA"/>
        </w:rPr>
        <w:noBreakHyphen/>
        <w:t>Holland c. BPE Solicitors</w:t>
      </w:r>
      <w:r w:rsidRPr="000E14A8">
        <w:rPr>
          <w:rFonts w:cs="Times New Roman"/>
          <w:lang w:val="fr-CA"/>
        </w:rPr>
        <w:t xml:space="preserve">, [2017] UKSC 21, [2017] 2 W.L.R. 1029, par. 44 : </w:t>
      </w:r>
    </w:p>
    <w:p w:rsidR="003A506E" w:rsidRPr="000E14A8" w:rsidRDefault="003A506E" w:rsidP="003A506E">
      <w:pPr>
        <w:pStyle w:val="Citation-AltC"/>
        <w:ind w:hanging="1166"/>
        <w:rPr>
          <w:lang w:val="fr-CA"/>
        </w:rPr>
      </w:pPr>
      <w:r w:rsidRPr="000E14A8">
        <w:rPr>
          <w:lang w:val="fr-CA"/>
        </w:rPr>
        <w:tab/>
        <w:t>[</w:t>
      </w:r>
      <w:r w:rsidRPr="000E14A8">
        <w:rPr>
          <w:smallCaps/>
          <w:lang w:val="fr-CA"/>
        </w:rPr>
        <w:t>traduction</w:t>
      </w:r>
      <w:r w:rsidRPr="000E14A8">
        <w:rPr>
          <w:lang w:val="fr-CA"/>
        </w:rPr>
        <w:t xml:space="preserve">] </w:t>
      </w:r>
      <w:r w:rsidRPr="000E14A8">
        <w:rPr>
          <w:noProof/>
          <w:lang w:val="fr-CA"/>
        </w:rPr>
        <w:t>L</w:t>
      </w:r>
      <w:r>
        <w:rPr>
          <w:noProof/>
          <w:lang w:val="fr-CA"/>
        </w:rPr>
        <w:t>’</w:t>
      </w:r>
      <w:r w:rsidRPr="000E14A8">
        <w:rPr>
          <w:noProof/>
          <w:lang w:val="fr-CA"/>
        </w:rPr>
        <w:t>évaluateur ou le rédacteur d</w:t>
      </w:r>
      <w:r>
        <w:rPr>
          <w:noProof/>
          <w:lang w:val="fr-CA"/>
        </w:rPr>
        <w:t>’</w:t>
      </w:r>
      <w:r w:rsidRPr="000E14A8">
        <w:rPr>
          <w:noProof/>
          <w:lang w:val="fr-CA"/>
        </w:rPr>
        <w:t>actes translatifs de propriété, par exemple, ne communiquera que rarement plus qu</w:t>
      </w:r>
      <w:r>
        <w:rPr>
          <w:noProof/>
          <w:lang w:val="fr-CA"/>
        </w:rPr>
        <w:t>’</w:t>
      </w:r>
      <w:r w:rsidRPr="000E14A8">
        <w:rPr>
          <w:noProof/>
          <w:lang w:val="fr-CA"/>
        </w:rPr>
        <w:t xml:space="preserve">une partie précise </w:t>
      </w:r>
      <w:r w:rsidRPr="000E14A8">
        <w:rPr>
          <w:noProof/>
          <w:lang w:val="fr-CA"/>
        </w:rPr>
        <w:lastRenderedPageBreak/>
        <w:t xml:space="preserve">des renseignements sur lesquels repose la décision de son client. De manière générale, il se limite à fournir ce que lord Hoffmann [dans </w:t>
      </w:r>
      <w:r w:rsidRPr="000E14A8">
        <w:rPr>
          <w:i/>
          <w:noProof/>
          <w:lang w:val="fr-CA"/>
        </w:rPr>
        <w:t>SAAMCO</w:t>
      </w:r>
      <w:r w:rsidRPr="000E14A8">
        <w:rPr>
          <w:noProof/>
          <w:lang w:val="fr-CA"/>
        </w:rPr>
        <w:t>]</w:t>
      </w:r>
      <w:r w:rsidRPr="000E14A8">
        <w:rPr>
          <w:i/>
          <w:noProof/>
          <w:lang w:val="fr-CA"/>
        </w:rPr>
        <w:t xml:space="preserve"> </w:t>
      </w:r>
      <w:r w:rsidRPr="000E14A8">
        <w:rPr>
          <w:noProof/>
          <w:lang w:val="fr-CA"/>
        </w:rPr>
        <w:t>appelait de l</w:t>
      </w:r>
      <w:r>
        <w:rPr>
          <w:noProof/>
          <w:lang w:val="fr-CA"/>
        </w:rPr>
        <w:t>’</w:t>
      </w:r>
      <w:r w:rsidRPr="000E14A8">
        <w:rPr>
          <w:noProof/>
          <w:lang w:val="fr-CA"/>
        </w:rPr>
        <w:t>« information ». À l</w:t>
      </w:r>
      <w:r>
        <w:rPr>
          <w:noProof/>
          <w:lang w:val="fr-CA"/>
        </w:rPr>
        <w:t>’</w:t>
      </w:r>
      <w:r w:rsidRPr="000E14A8">
        <w:rPr>
          <w:noProof/>
          <w:lang w:val="fr-CA"/>
        </w:rPr>
        <w:t>autre extrémité du spectre, un conseiller en placements qui conseille un client au sujet de l</w:t>
      </w:r>
      <w:r>
        <w:rPr>
          <w:noProof/>
          <w:lang w:val="fr-CA"/>
        </w:rPr>
        <w:t>’</w:t>
      </w:r>
      <w:r w:rsidRPr="000E14A8">
        <w:rPr>
          <w:noProof/>
          <w:lang w:val="fr-CA"/>
        </w:rPr>
        <w:t>achat de certaines actions en bourse, ou un conseiller financier qui se prononce sur l</w:t>
      </w:r>
      <w:r>
        <w:rPr>
          <w:noProof/>
          <w:lang w:val="fr-CA"/>
        </w:rPr>
        <w:t>’</w:t>
      </w:r>
      <w:r w:rsidRPr="000E14A8">
        <w:rPr>
          <w:noProof/>
          <w:lang w:val="fr-CA"/>
        </w:rPr>
        <w:t>opportunité d</w:t>
      </w:r>
      <w:r>
        <w:rPr>
          <w:noProof/>
          <w:lang w:val="fr-CA"/>
        </w:rPr>
        <w:t>’</w:t>
      </w:r>
      <w:r w:rsidRPr="000E14A8">
        <w:rPr>
          <w:noProof/>
          <w:lang w:val="fr-CA"/>
        </w:rPr>
        <w:t>investir dans une rente des sommes détenues dans un fonds de retraite autogéré sont susceptibles, selon le propos de lord Hoffmann, d</w:t>
      </w:r>
      <w:r>
        <w:rPr>
          <w:noProof/>
          <w:lang w:val="fr-CA"/>
        </w:rPr>
        <w:t>’</w:t>
      </w:r>
      <w:r w:rsidRPr="000E14A8">
        <w:rPr>
          <w:noProof/>
          <w:lang w:val="fr-CA"/>
        </w:rPr>
        <w:t>être considérés comme ayant fourni des « opinions ». Entre ces deux extrêmes, chaque cas dépendra probablement de la gamme de questions au sujet desquelles le défendeur a assumé une responsabilité, et on ne peut énoncer à cet égard une règle plus précise</w:t>
      </w:r>
      <w:r w:rsidRPr="000E14A8">
        <w:rPr>
          <w:lang w:val="fr-CA"/>
        </w:rPr>
        <w:t>.</w:t>
      </w:r>
    </w:p>
    <w:p w:rsidR="003A506E" w:rsidRPr="000E14A8" w:rsidRDefault="003A506E" w:rsidP="003A506E">
      <w:pPr>
        <w:pStyle w:val="ParaNoNdepar-AltN"/>
        <w:rPr>
          <w:rFonts w:cs="Times New Roman"/>
          <w:lang w:val="fr-CA"/>
        </w:rPr>
      </w:pPr>
      <w:r w:rsidRPr="000E14A8">
        <w:rPr>
          <w:rFonts w:cs="Times New Roman"/>
          <w:lang w:val="fr-CA"/>
        </w:rPr>
        <w:t>Il est vrai que Deloitte, en tant que vérificateur, n</w:t>
      </w:r>
      <w:r>
        <w:rPr>
          <w:rFonts w:cs="Times New Roman"/>
          <w:lang w:val="fr-CA"/>
        </w:rPr>
        <w:t>’</w:t>
      </w:r>
      <w:r w:rsidRPr="000E14A8">
        <w:rPr>
          <w:rFonts w:cs="Times New Roman"/>
          <w:lang w:val="fr-CA"/>
        </w:rPr>
        <w:t>a pas conseillé Livent concernant ses décisions d</w:t>
      </w:r>
      <w:r>
        <w:rPr>
          <w:rFonts w:cs="Times New Roman"/>
          <w:lang w:val="fr-CA"/>
        </w:rPr>
        <w:t>’</w:t>
      </w:r>
      <w:r w:rsidRPr="000E14A8">
        <w:rPr>
          <w:rFonts w:cs="Times New Roman"/>
          <w:lang w:val="fr-CA"/>
        </w:rPr>
        <w:t>affaires. Mais elle a tout de même « assumé la responsabilité » de fournir des renseignements exacts auxquels les actionnaires pourraient se fier pour examiner en détail la conduite de la direction. Deloitte n</w:t>
      </w:r>
      <w:r>
        <w:rPr>
          <w:rFonts w:cs="Times New Roman"/>
          <w:lang w:val="fr-CA"/>
        </w:rPr>
        <w:t>’</w:t>
      </w:r>
      <w:r w:rsidRPr="000E14A8">
        <w:rPr>
          <w:rFonts w:cs="Times New Roman"/>
          <w:lang w:val="fr-CA"/>
        </w:rPr>
        <w:t>échappe pas à sa responsabilité tout simplement parce qu</w:t>
      </w:r>
      <w:r>
        <w:rPr>
          <w:rFonts w:cs="Times New Roman"/>
          <w:lang w:val="fr-CA"/>
        </w:rPr>
        <w:t>’</w:t>
      </w:r>
      <w:r w:rsidRPr="000E14A8">
        <w:rPr>
          <w:rFonts w:cs="Times New Roman"/>
          <w:lang w:val="fr-CA"/>
        </w:rPr>
        <w:t>une vérification entachée de négligence ne peut en soi causer un préjudice financier. Un rapport du vérificateur ne cause jamais de lui</w:t>
      </w:r>
      <w:r w:rsidRPr="000E14A8">
        <w:rPr>
          <w:rFonts w:cs="Times New Roman"/>
          <w:lang w:val="fr-CA"/>
        </w:rPr>
        <w:noBreakHyphen/>
        <w:t>même un préjudice financier. Ce n</w:t>
      </w:r>
      <w:r>
        <w:rPr>
          <w:rFonts w:cs="Times New Roman"/>
          <w:lang w:val="fr-CA"/>
        </w:rPr>
        <w:t>’</w:t>
      </w:r>
      <w:r w:rsidRPr="000E14A8">
        <w:rPr>
          <w:rFonts w:cs="Times New Roman"/>
          <w:lang w:val="fr-CA"/>
        </w:rPr>
        <w:t>est que si quelqu</w:t>
      </w:r>
      <w:r>
        <w:rPr>
          <w:rFonts w:cs="Times New Roman"/>
          <w:lang w:val="fr-CA"/>
        </w:rPr>
        <w:t>’</w:t>
      </w:r>
      <w:r w:rsidRPr="000E14A8">
        <w:rPr>
          <w:rFonts w:cs="Times New Roman"/>
          <w:lang w:val="fr-CA"/>
        </w:rPr>
        <w:t>un s</w:t>
      </w:r>
      <w:r>
        <w:rPr>
          <w:rFonts w:cs="Times New Roman"/>
          <w:lang w:val="fr-CA"/>
        </w:rPr>
        <w:t>’</w:t>
      </w:r>
      <w:r w:rsidRPr="000E14A8">
        <w:rPr>
          <w:rFonts w:cs="Times New Roman"/>
          <w:lang w:val="fr-CA"/>
        </w:rPr>
        <w:t>y fie à son détriment qu</w:t>
      </w:r>
      <w:r>
        <w:rPr>
          <w:rFonts w:cs="Times New Roman"/>
          <w:lang w:val="fr-CA"/>
        </w:rPr>
        <w:t>’</w:t>
      </w:r>
      <w:r w:rsidRPr="000E14A8">
        <w:rPr>
          <w:rFonts w:cs="Times New Roman"/>
          <w:lang w:val="fr-CA"/>
        </w:rPr>
        <w:t xml:space="preserve">il entraîne des conséquences tangibles. </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Il ne faut pas sous</w:t>
      </w:r>
      <w:r w:rsidRPr="000E14A8">
        <w:rPr>
          <w:rFonts w:cs="Times New Roman"/>
          <w:lang w:val="fr-CA"/>
        </w:rPr>
        <w:noBreakHyphen/>
        <w:t>estimer les conséquences qu</w:t>
      </w:r>
      <w:r>
        <w:rPr>
          <w:rFonts w:cs="Times New Roman"/>
          <w:lang w:val="fr-CA"/>
        </w:rPr>
        <w:t>’</w:t>
      </w:r>
      <w:r w:rsidRPr="000E14A8">
        <w:rPr>
          <w:rFonts w:cs="Times New Roman"/>
          <w:lang w:val="fr-CA"/>
        </w:rPr>
        <w:t>entraînerait un tel raisonnement. En limitant effectivement la responsabilité du vérificateur aux seuls préjudices découlant de la vérification entachée de négligence, tout en excluant le préjudice constituant une conséquence raisonnablement prévisible (c.</w:t>
      </w:r>
      <w:r w:rsidRPr="000E14A8">
        <w:rPr>
          <w:rFonts w:cs="Times New Roman"/>
          <w:lang w:val="fr-CA"/>
        </w:rPr>
        <w:noBreakHyphen/>
        <w:t>à</w:t>
      </w:r>
      <w:r w:rsidRPr="000E14A8">
        <w:rPr>
          <w:rFonts w:cs="Times New Roman"/>
          <w:lang w:val="fr-CA"/>
        </w:rPr>
        <w:noBreakHyphen/>
        <w:t>d. l</w:t>
      </w:r>
      <w:r>
        <w:rPr>
          <w:rFonts w:cs="Times New Roman"/>
          <w:lang w:val="fr-CA"/>
        </w:rPr>
        <w:t>’</w:t>
      </w:r>
      <w:r w:rsidRPr="000E14A8">
        <w:rPr>
          <w:rFonts w:cs="Times New Roman"/>
          <w:lang w:val="fr-CA"/>
        </w:rPr>
        <w:t>incapacité de surveiller la gestion), un objectif principal de la vérification exigée par la loi est mis à mal, et les vérificateurs sont ainsi dégagés de responsabilité pour tout acte négligent compromettant la surveillance de l</w:t>
      </w:r>
      <w:r>
        <w:rPr>
          <w:rFonts w:cs="Times New Roman"/>
          <w:lang w:val="fr-CA"/>
        </w:rPr>
        <w:t>’</w:t>
      </w:r>
      <w:r w:rsidRPr="000E14A8">
        <w:rPr>
          <w:rFonts w:cs="Times New Roman"/>
          <w:lang w:val="fr-CA"/>
        </w:rPr>
        <w:t>entreprise. Cette constatation est incompatible avec la jurisprudence de notre Cour (qui prévoit l</w:t>
      </w:r>
      <w:r>
        <w:rPr>
          <w:rFonts w:cs="Times New Roman"/>
          <w:lang w:val="fr-CA"/>
        </w:rPr>
        <w:t>’</w:t>
      </w:r>
      <w:r w:rsidRPr="000E14A8">
        <w:rPr>
          <w:rFonts w:cs="Times New Roman"/>
          <w:lang w:val="fr-CA"/>
        </w:rPr>
        <w:t>indemnisation du préjudice raisonnablement prévisible, même si ce préjudice n</w:t>
      </w:r>
      <w:r>
        <w:rPr>
          <w:rFonts w:cs="Times New Roman"/>
          <w:lang w:val="fr-CA"/>
        </w:rPr>
        <w:t>’</w:t>
      </w:r>
      <w:r w:rsidRPr="000E14A8">
        <w:rPr>
          <w:rFonts w:cs="Times New Roman"/>
          <w:lang w:val="fr-CA"/>
        </w:rPr>
        <w:t xml:space="preserve">est pas strictement immédiat) en </w:t>
      </w:r>
      <w:r w:rsidRPr="000E14A8">
        <w:rPr>
          <w:rFonts w:cs="Times New Roman"/>
          <w:lang w:val="fr-CA"/>
        </w:rPr>
        <w:lastRenderedPageBreak/>
        <w:t>plus d</w:t>
      </w:r>
      <w:r>
        <w:rPr>
          <w:rFonts w:cs="Times New Roman"/>
          <w:lang w:val="fr-CA"/>
        </w:rPr>
        <w:t>’</w:t>
      </w:r>
      <w:r w:rsidRPr="000E14A8">
        <w:rPr>
          <w:rFonts w:cs="Times New Roman"/>
          <w:lang w:val="fr-CA"/>
        </w:rPr>
        <w:t>entrer en conflit avec l</w:t>
      </w:r>
      <w:r>
        <w:rPr>
          <w:rFonts w:cs="Times New Roman"/>
          <w:lang w:val="fr-CA"/>
        </w:rPr>
        <w:t>’</w:t>
      </w:r>
      <w:r w:rsidRPr="000E14A8">
        <w:rPr>
          <w:rFonts w:cs="Times New Roman"/>
          <w:lang w:val="fr-CA"/>
        </w:rPr>
        <w:t xml:space="preserve">arrêt </w:t>
      </w:r>
      <w:r w:rsidRPr="000E14A8">
        <w:rPr>
          <w:rFonts w:cs="Times New Roman"/>
          <w:i/>
          <w:lang w:val="fr-CA"/>
        </w:rPr>
        <w:t>Hercules</w:t>
      </w:r>
      <w:r w:rsidRPr="000E14A8">
        <w:rPr>
          <w:rFonts w:cs="Times New Roman"/>
          <w:lang w:val="fr-CA"/>
        </w:rPr>
        <w:t xml:space="preserve"> (qui visait à limiter, dans le cas d</w:t>
      </w:r>
      <w:r>
        <w:rPr>
          <w:rFonts w:cs="Times New Roman"/>
          <w:lang w:val="fr-CA"/>
        </w:rPr>
        <w:t>’</w:t>
      </w:r>
      <w:r w:rsidRPr="000E14A8">
        <w:rPr>
          <w:rFonts w:cs="Times New Roman"/>
          <w:lang w:val="fr-CA"/>
        </w:rPr>
        <w:t>une vérification exigée par la loi, la responsabilité des vérificateurs aux réclamations déterminées de l</w:t>
      </w:r>
      <w:r>
        <w:rPr>
          <w:rFonts w:cs="Times New Roman"/>
          <w:lang w:val="fr-CA"/>
        </w:rPr>
        <w:t>’</w:t>
      </w:r>
      <w:r w:rsidRPr="000E14A8">
        <w:rPr>
          <w:rFonts w:cs="Times New Roman"/>
          <w:lang w:val="fr-CA"/>
        </w:rPr>
        <w:t>entreprise plutôt qu</w:t>
      </w:r>
      <w:r>
        <w:rPr>
          <w:rFonts w:cs="Times New Roman"/>
          <w:lang w:val="fr-CA"/>
        </w:rPr>
        <w:t>’</w:t>
      </w:r>
      <w:r w:rsidRPr="000E14A8">
        <w:rPr>
          <w:rFonts w:cs="Times New Roman"/>
          <w:lang w:val="fr-CA"/>
        </w:rPr>
        <w:t>aux réclamations indéterminées des intéressés, et non à dégager les vérificateurs de pratiquement toute responsabilité).</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À notre avis, la Juge en chef commet une erreur lorsqu</w:t>
      </w:r>
      <w:r>
        <w:rPr>
          <w:rFonts w:cs="Times New Roman"/>
          <w:lang w:val="fr-CA"/>
        </w:rPr>
        <w:t>’</w:t>
      </w:r>
      <w:r w:rsidRPr="000E14A8">
        <w:rPr>
          <w:rFonts w:cs="Times New Roman"/>
          <w:lang w:val="fr-CA"/>
        </w:rPr>
        <w:t>elle invoque le principe qu</w:t>
      </w:r>
      <w:r>
        <w:rPr>
          <w:rFonts w:cs="Times New Roman"/>
          <w:lang w:val="fr-CA"/>
        </w:rPr>
        <w:t>’</w:t>
      </w:r>
      <w:r w:rsidRPr="000E14A8">
        <w:rPr>
          <w:rFonts w:cs="Times New Roman"/>
          <w:lang w:val="fr-CA"/>
        </w:rPr>
        <w:t xml:space="preserve">on peut appeler le « principe </w:t>
      </w:r>
      <w:r w:rsidRPr="000E14A8">
        <w:rPr>
          <w:rFonts w:cs="Times New Roman"/>
          <w:i/>
          <w:lang w:val="fr-CA"/>
        </w:rPr>
        <w:t>SAAMCO</w:t>
      </w:r>
      <w:r w:rsidRPr="000E14A8">
        <w:rPr>
          <w:rFonts w:cs="Times New Roman"/>
          <w:lang w:val="fr-CA"/>
        </w:rPr>
        <w:t> » — tiré de l</w:t>
      </w:r>
      <w:r>
        <w:rPr>
          <w:rFonts w:cs="Times New Roman"/>
          <w:lang w:val="fr-CA"/>
        </w:rPr>
        <w:t>’</w:t>
      </w:r>
      <w:r w:rsidRPr="000E14A8">
        <w:rPr>
          <w:rFonts w:cs="Times New Roman"/>
          <w:lang w:val="fr-CA"/>
        </w:rPr>
        <w:t xml:space="preserve">arrêt de la Chambre des lords </w:t>
      </w:r>
      <w:r w:rsidRPr="000E14A8">
        <w:rPr>
          <w:rFonts w:cs="Times New Roman"/>
          <w:i/>
          <w:lang w:val="fr-CA"/>
        </w:rPr>
        <w:t>South Australia Asset Management Corp.</w:t>
      </w:r>
      <w:r>
        <w:rPr>
          <w:rFonts w:cs="Times New Roman"/>
          <w:i/>
          <w:lang w:val="fr-CA"/>
        </w:rPr>
        <w:t xml:space="preserve"> </w:t>
      </w:r>
      <w:r w:rsidRPr="000E14A8">
        <w:rPr>
          <w:rFonts w:cs="Times New Roman"/>
          <w:i/>
          <w:lang w:val="fr-CA"/>
        </w:rPr>
        <w:t>c. York Montague Ltd.</w:t>
      </w:r>
      <w:r w:rsidRPr="000E14A8">
        <w:rPr>
          <w:rFonts w:cs="Times New Roman"/>
          <w:lang w:val="fr-CA"/>
        </w:rPr>
        <w:t>, [1997] A.C. 191 (« </w:t>
      </w:r>
      <w:r w:rsidRPr="000E14A8">
        <w:rPr>
          <w:rFonts w:cs="Times New Roman"/>
          <w:i/>
          <w:lang w:val="fr-CA"/>
        </w:rPr>
        <w:t>SAAMCO</w:t>
      </w:r>
      <w:r w:rsidRPr="000E14A8">
        <w:rPr>
          <w:rFonts w:cs="Times New Roman"/>
          <w:lang w:val="fr-CA"/>
        </w:rPr>
        <w:t xml:space="preserve"> »); voir aussi </w:t>
      </w:r>
      <w:r w:rsidRPr="000E14A8">
        <w:rPr>
          <w:rFonts w:cs="Times New Roman"/>
          <w:i/>
          <w:lang w:val="fr-CA"/>
        </w:rPr>
        <w:t>Nykredit Mortgage Bank plc. c. Edward Erdman Group Ltd. (No. 2)</w:t>
      </w:r>
      <w:r w:rsidRPr="000E14A8">
        <w:rPr>
          <w:rFonts w:cs="Times New Roman"/>
          <w:lang w:val="fr-CA"/>
        </w:rPr>
        <w:t xml:space="preserve">, [1997] 1 W.L.R. 1627 (H.L.); </w:t>
      </w:r>
      <w:r w:rsidRPr="000E14A8">
        <w:rPr>
          <w:rFonts w:cs="Times New Roman"/>
          <w:i/>
          <w:lang w:val="fr-CA"/>
        </w:rPr>
        <w:t>Platform Home Loans Ltd. c. Oyston Shipways Ltd.</w:t>
      </w:r>
      <w:r w:rsidRPr="000E14A8">
        <w:rPr>
          <w:rFonts w:cs="Times New Roman"/>
          <w:lang w:val="fr-CA"/>
        </w:rPr>
        <w:t xml:space="preserve">, [2000] 2 A.C. 190 (H.L.); et </w:t>
      </w:r>
      <w:r w:rsidRPr="000E14A8">
        <w:rPr>
          <w:rFonts w:cs="Times New Roman"/>
          <w:i/>
          <w:lang w:val="fr-CA"/>
        </w:rPr>
        <w:t>BPE Solicitors</w:t>
      </w:r>
      <w:r w:rsidRPr="000E14A8">
        <w:rPr>
          <w:rFonts w:cs="Times New Roman"/>
          <w:lang w:val="fr-CA"/>
        </w:rPr>
        <w:t xml:space="preserve"> — pour la même raison qu</w:t>
      </w:r>
      <w:r>
        <w:rPr>
          <w:rFonts w:cs="Times New Roman"/>
          <w:lang w:val="fr-CA"/>
        </w:rPr>
        <w:t>’</w:t>
      </w:r>
      <w:r w:rsidRPr="000E14A8">
        <w:rPr>
          <w:rFonts w:cs="Times New Roman"/>
          <w:lang w:val="fr-CA"/>
        </w:rPr>
        <w:t>elle commet une erreur lorsqu</w:t>
      </w:r>
      <w:r>
        <w:rPr>
          <w:rFonts w:cs="Times New Roman"/>
          <w:lang w:val="fr-CA"/>
        </w:rPr>
        <w:t>’</w:t>
      </w:r>
      <w:r w:rsidRPr="000E14A8">
        <w:rPr>
          <w:rFonts w:cs="Times New Roman"/>
          <w:lang w:val="fr-CA"/>
        </w:rPr>
        <w:t xml:space="preserve">elle invoque la dichotomie entre les renseignements et les conseils décrite dans </w:t>
      </w:r>
      <w:r w:rsidRPr="000E14A8">
        <w:rPr>
          <w:rFonts w:cs="Times New Roman"/>
          <w:i/>
          <w:lang w:val="fr-CA"/>
        </w:rPr>
        <w:t>BPE Solicitors</w:t>
      </w:r>
      <w:r w:rsidRPr="000E14A8">
        <w:rPr>
          <w:rFonts w:cs="Times New Roman"/>
          <w:lang w:val="fr-CA"/>
        </w:rPr>
        <w:t>. Son application de ces deux décisions du Royaume</w:t>
      </w:r>
      <w:r w:rsidRPr="000E14A8">
        <w:rPr>
          <w:rFonts w:cs="Times New Roman"/>
          <w:lang w:val="fr-CA"/>
        </w:rPr>
        <w:noBreakHyphen/>
        <w:t>Uni prend appui sur le fait que Deloitte n</w:t>
      </w:r>
      <w:r>
        <w:rPr>
          <w:rFonts w:cs="Times New Roman"/>
          <w:lang w:val="fr-CA"/>
        </w:rPr>
        <w:t>’</w:t>
      </w:r>
      <w:r w:rsidRPr="000E14A8">
        <w:rPr>
          <w:rFonts w:cs="Times New Roman"/>
          <w:lang w:val="fr-CA"/>
        </w:rPr>
        <w:t>a jamais assumé la responsabilité des préjudices découlant des activités de Livent — soit parce que ces préjudices n</w:t>
      </w:r>
      <w:r>
        <w:rPr>
          <w:rFonts w:cs="Times New Roman"/>
          <w:lang w:val="fr-CA"/>
        </w:rPr>
        <w:t>’</w:t>
      </w:r>
      <w:r w:rsidRPr="000E14A8">
        <w:rPr>
          <w:rFonts w:cs="Times New Roman"/>
          <w:lang w:val="fr-CA"/>
        </w:rPr>
        <w:t>étaient pas causés seulement par les renseignements figurant dans le rapport de 1997 (</w:t>
      </w:r>
      <w:r w:rsidRPr="000E14A8">
        <w:rPr>
          <w:rFonts w:cs="Times New Roman"/>
          <w:i/>
          <w:lang w:val="fr-CA"/>
        </w:rPr>
        <w:t>BPE Solicitors</w:t>
      </w:r>
      <w:r w:rsidRPr="000E14A8">
        <w:rPr>
          <w:rFonts w:cs="Times New Roman"/>
          <w:lang w:val="fr-CA"/>
        </w:rPr>
        <w:t>), ou parce que ces préjudices ne découlaient pas des renseignements erronés dans le rapport de 1997 (</w:t>
      </w:r>
      <w:r w:rsidRPr="000E14A8">
        <w:rPr>
          <w:rFonts w:cs="Times New Roman"/>
          <w:i/>
          <w:lang w:val="fr-CA"/>
        </w:rPr>
        <w:t>SAAMCO</w:t>
      </w:r>
      <w:r w:rsidRPr="000E14A8">
        <w:rPr>
          <w:rFonts w:cs="Times New Roman"/>
          <w:lang w:val="fr-CA"/>
        </w:rPr>
        <w:t>). Cependant, lorsqu</w:t>
      </w:r>
      <w:r>
        <w:rPr>
          <w:rFonts w:cs="Times New Roman"/>
          <w:lang w:val="fr-CA"/>
        </w:rPr>
        <w:t>’</w:t>
      </w:r>
      <w:r w:rsidRPr="000E14A8">
        <w:rPr>
          <w:rFonts w:cs="Times New Roman"/>
          <w:lang w:val="fr-CA"/>
        </w:rPr>
        <w:t>elle a assumé la responsabilité d</w:t>
      </w:r>
      <w:r>
        <w:rPr>
          <w:rFonts w:cs="Times New Roman"/>
          <w:lang w:val="fr-CA"/>
        </w:rPr>
        <w:t>’</w:t>
      </w:r>
      <w:r w:rsidRPr="000E14A8">
        <w:rPr>
          <w:rFonts w:cs="Times New Roman"/>
          <w:lang w:val="fr-CA"/>
        </w:rPr>
        <w:t>aider les actionnaires à surveiller la gestion, Deloit</w:t>
      </w:r>
      <w:r w:rsidR="00ED07F3">
        <w:rPr>
          <w:rFonts w:cs="Times New Roman"/>
          <w:lang w:val="fr-CA"/>
        </w:rPr>
        <w:t>t</w:t>
      </w:r>
      <w:r w:rsidRPr="000E14A8">
        <w:rPr>
          <w:rFonts w:cs="Times New Roman"/>
          <w:lang w:val="fr-CA"/>
        </w:rPr>
        <w:t xml:space="preserve">e a </w:t>
      </w:r>
      <w:r w:rsidRPr="000E14A8">
        <w:rPr>
          <w:rFonts w:cs="Times New Roman"/>
          <w:i/>
          <w:lang w:val="fr-CA"/>
        </w:rPr>
        <w:t>effectivement</w:t>
      </w:r>
      <w:r w:rsidRPr="000E14A8">
        <w:rPr>
          <w:rFonts w:cs="Times New Roman"/>
          <w:lang w:val="fr-CA"/>
        </w:rPr>
        <w:t xml:space="preserve"> assumé la responsabilité des préjudices découlant de cette surveillance compromise.</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 xml:space="preserve">En termes simples, le principe </w:t>
      </w:r>
      <w:r w:rsidRPr="000E14A8">
        <w:rPr>
          <w:rFonts w:cs="Times New Roman"/>
          <w:i/>
          <w:lang w:val="fr-CA"/>
        </w:rPr>
        <w:t xml:space="preserve">SAAMCO </w:t>
      </w:r>
      <w:r w:rsidRPr="000E14A8">
        <w:rPr>
          <w:rFonts w:cs="Times New Roman"/>
          <w:lang w:val="fr-CA"/>
        </w:rPr>
        <w:t>rejette l</w:t>
      </w:r>
      <w:r>
        <w:rPr>
          <w:rFonts w:cs="Times New Roman"/>
          <w:lang w:val="fr-CA"/>
        </w:rPr>
        <w:t>’</w:t>
      </w:r>
      <w:r w:rsidRPr="000E14A8">
        <w:rPr>
          <w:rFonts w:cs="Times New Roman"/>
          <w:lang w:val="fr-CA"/>
        </w:rPr>
        <w:t>idée d</w:t>
      </w:r>
      <w:r>
        <w:rPr>
          <w:rFonts w:cs="Times New Roman"/>
          <w:lang w:val="fr-CA"/>
        </w:rPr>
        <w:t>’</w:t>
      </w:r>
      <w:r w:rsidRPr="000E14A8">
        <w:rPr>
          <w:rFonts w:cs="Times New Roman"/>
          <w:lang w:val="fr-CA"/>
        </w:rPr>
        <w:t>une indemnisation des pertes purement économiques lorsque le demandeur aurait subi un préjudice même si la déclaration inexacte faite de façon négligente par le défendeur s</w:t>
      </w:r>
      <w:r>
        <w:rPr>
          <w:rFonts w:cs="Times New Roman"/>
          <w:lang w:val="fr-CA"/>
        </w:rPr>
        <w:t>’</w:t>
      </w:r>
      <w:r w:rsidRPr="000E14A8">
        <w:rPr>
          <w:rFonts w:cs="Times New Roman"/>
          <w:lang w:val="fr-CA"/>
        </w:rPr>
        <w:t xml:space="preserve">avérait dans les faits exacte. Reformulé sous forme de critère, le principe rejette toute responsabilité </w:t>
      </w:r>
      <w:r w:rsidRPr="000E14A8">
        <w:rPr>
          <w:rFonts w:cs="Times New Roman"/>
          <w:lang w:val="fr-CA"/>
        </w:rPr>
        <w:lastRenderedPageBreak/>
        <w:t>lorsqu</w:t>
      </w:r>
      <w:r>
        <w:rPr>
          <w:rFonts w:cs="Times New Roman"/>
          <w:lang w:val="fr-CA"/>
        </w:rPr>
        <w:t>’</w:t>
      </w:r>
      <w:r w:rsidRPr="000E14A8">
        <w:rPr>
          <w:rFonts w:cs="Times New Roman"/>
          <w:lang w:val="fr-CA"/>
        </w:rPr>
        <w:t xml:space="preserve">une cause </w:t>
      </w:r>
      <w:r w:rsidRPr="000E14A8">
        <w:rPr>
          <w:rFonts w:cs="Times New Roman"/>
          <w:i/>
          <w:lang w:val="fr-CA"/>
        </w:rPr>
        <w:t xml:space="preserve">subsidiaire étrangère </w:t>
      </w:r>
      <w:r w:rsidRPr="000E14A8">
        <w:rPr>
          <w:rFonts w:cs="Times New Roman"/>
          <w:lang w:val="fr-CA"/>
        </w:rPr>
        <w:t>à la négligence du défendeur est la source véritable du préjudice subi par le demandeur. Cette cause subsidiaire et étrangère explique pourquoi la véracité de la déclaration erronée entachée de négligence n</w:t>
      </w:r>
      <w:r>
        <w:rPr>
          <w:rFonts w:cs="Times New Roman"/>
          <w:lang w:val="fr-CA"/>
        </w:rPr>
        <w:t>’</w:t>
      </w:r>
      <w:r w:rsidRPr="000E14A8">
        <w:rPr>
          <w:rFonts w:cs="Times New Roman"/>
          <w:lang w:val="fr-CA"/>
        </w:rPr>
        <w:t>a aucune incidence sur le préjudice subi en fin de compte par le demandeur (c.</w:t>
      </w:r>
      <w:r w:rsidRPr="000E14A8">
        <w:rPr>
          <w:rFonts w:cs="Times New Roman"/>
          <w:lang w:val="fr-CA"/>
        </w:rPr>
        <w:noBreakHyphen/>
        <w:t>à</w:t>
      </w:r>
      <w:r w:rsidRPr="000E14A8">
        <w:rPr>
          <w:rFonts w:cs="Times New Roman"/>
          <w:lang w:val="fr-CA"/>
        </w:rPr>
        <w:noBreakHyphen/>
        <w:t>d. pourquoi, malgré la véracité de cette déclaration, la cause subsidiaire aurait entraîné le préjudice). Ou pourquoi, du point de vue de l</w:t>
      </w:r>
      <w:r>
        <w:rPr>
          <w:rFonts w:cs="Times New Roman"/>
          <w:lang w:val="fr-CA"/>
        </w:rPr>
        <w:t>’</w:t>
      </w:r>
      <w:r w:rsidRPr="000E14A8">
        <w:rPr>
          <w:rFonts w:cs="Times New Roman"/>
          <w:lang w:val="fr-CA"/>
        </w:rPr>
        <w:t>obligation de diligence, le défendeur n</w:t>
      </w:r>
      <w:r>
        <w:rPr>
          <w:rFonts w:cs="Times New Roman"/>
          <w:lang w:val="fr-CA"/>
        </w:rPr>
        <w:t>’</w:t>
      </w:r>
      <w:r w:rsidRPr="000E14A8">
        <w:rPr>
          <w:rFonts w:cs="Times New Roman"/>
          <w:lang w:val="fr-CA"/>
        </w:rPr>
        <w:t>aurait pas pu s</w:t>
      </w:r>
      <w:r>
        <w:rPr>
          <w:rFonts w:cs="Times New Roman"/>
          <w:lang w:val="fr-CA"/>
        </w:rPr>
        <w:t>’</w:t>
      </w:r>
      <w:r w:rsidRPr="000E14A8">
        <w:rPr>
          <w:rFonts w:cs="Times New Roman"/>
          <w:lang w:val="fr-CA"/>
        </w:rPr>
        <w:t>engager à protéger le demandeur contre les préjudices qu</w:t>
      </w:r>
      <w:r>
        <w:rPr>
          <w:rFonts w:cs="Times New Roman"/>
          <w:lang w:val="fr-CA"/>
        </w:rPr>
        <w:t>’</w:t>
      </w:r>
      <w:r w:rsidRPr="000E14A8">
        <w:rPr>
          <w:rFonts w:cs="Times New Roman"/>
          <w:lang w:val="fr-CA"/>
        </w:rPr>
        <w:t>auraient entraînés les sources subsidiaires et étrangères. Dans l</w:t>
      </w:r>
      <w:r>
        <w:rPr>
          <w:rFonts w:cs="Times New Roman"/>
          <w:lang w:val="fr-CA"/>
        </w:rPr>
        <w:t>’</w:t>
      </w:r>
      <w:r w:rsidRPr="000E14A8">
        <w:rPr>
          <w:rFonts w:cs="Times New Roman"/>
          <w:lang w:val="fr-CA"/>
        </w:rPr>
        <w:t xml:space="preserve">arrêt </w:t>
      </w:r>
      <w:r w:rsidRPr="000E14A8">
        <w:rPr>
          <w:rFonts w:cs="Times New Roman"/>
          <w:i/>
          <w:lang w:val="fr-CA"/>
        </w:rPr>
        <w:t>SAAMCO</w:t>
      </w:r>
      <w:r w:rsidRPr="000E14A8">
        <w:rPr>
          <w:rFonts w:cs="Times New Roman"/>
          <w:lang w:val="fr-CA"/>
        </w:rPr>
        <w:t>, la Chambre des lords a expliqué le principe par l</w:t>
      </w:r>
      <w:r>
        <w:rPr>
          <w:rFonts w:cs="Times New Roman"/>
          <w:lang w:val="fr-CA"/>
        </w:rPr>
        <w:t>’</w:t>
      </w:r>
      <w:r w:rsidRPr="000E14A8">
        <w:rPr>
          <w:rFonts w:cs="Times New Roman"/>
          <w:lang w:val="fr-CA"/>
        </w:rPr>
        <w:t>excellent exemple albertain de l</w:t>
      </w:r>
      <w:r>
        <w:rPr>
          <w:rFonts w:cs="Times New Roman"/>
          <w:lang w:val="fr-CA"/>
        </w:rPr>
        <w:t>’</w:t>
      </w:r>
      <w:r w:rsidRPr="000E14A8">
        <w:rPr>
          <w:rFonts w:cs="Times New Roman"/>
          <w:lang w:val="fr-CA"/>
        </w:rPr>
        <w:t>alpiniste :</w:t>
      </w:r>
    </w:p>
    <w:p w:rsidR="003A506E" w:rsidRPr="000E14A8" w:rsidRDefault="003A506E" w:rsidP="003A506E">
      <w:pPr>
        <w:pStyle w:val="Citation-AltC"/>
        <w:ind w:hanging="1166"/>
        <w:contextualSpacing w:val="0"/>
        <w:rPr>
          <w:lang w:val="fr-CA"/>
        </w:rPr>
      </w:pPr>
      <w:r w:rsidRPr="000E14A8">
        <w:rPr>
          <w:lang w:val="fr-CA"/>
        </w:rPr>
        <w:tab/>
        <w:t>[</w:t>
      </w:r>
      <w:r w:rsidRPr="000E14A8">
        <w:rPr>
          <w:smallCaps/>
          <w:lang w:val="fr-CA"/>
        </w:rPr>
        <w:t>traduction</w:t>
      </w:r>
      <w:r w:rsidRPr="000E14A8">
        <w:rPr>
          <w:lang w:val="fr-CA"/>
        </w:rPr>
        <w:t>] Un alpiniste sur le point d</w:t>
      </w:r>
      <w:r>
        <w:rPr>
          <w:lang w:val="fr-CA"/>
        </w:rPr>
        <w:t>’</w:t>
      </w:r>
      <w:r w:rsidRPr="000E14A8">
        <w:rPr>
          <w:lang w:val="fr-CA"/>
        </w:rPr>
        <w:t>entreprendre une escalade difficile s</w:t>
      </w:r>
      <w:r>
        <w:rPr>
          <w:lang w:val="fr-CA"/>
        </w:rPr>
        <w:t>’</w:t>
      </w:r>
      <w:r w:rsidRPr="000E14A8">
        <w:rPr>
          <w:lang w:val="fr-CA"/>
        </w:rPr>
        <w:t>inquiète de l</w:t>
      </w:r>
      <w:r>
        <w:rPr>
          <w:lang w:val="fr-CA"/>
        </w:rPr>
        <w:t>’</w:t>
      </w:r>
      <w:r w:rsidRPr="000E14A8">
        <w:rPr>
          <w:lang w:val="fr-CA"/>
        </w:rPr>
        <w:t>état de son genou. Il consulte un médecin qui lui fait négligemment un examen superficiel et conclut que le genou est en bon état. L</w:t>
      </w:r>
      <w:r>
        <w:rPr>
          <w:lang w:val="fr-CA"/>
        </w:rPr>
        <w:t>’</w:t>
      </w:r>
      <w:r w:rsidRPr="000E14A8">
        <w:rPr>
          <w:lang w:val="fr-CA"/>
        </w:rPr>
        <w:t>alpiniste se joint à l</w:t>
      </w:r>
      <w:r>
        <w:rPr>
          <w:lang w:val="fr-CA"/>
        </w:rPr>
        <w:t>’</w:t>
      </w:r>
      <w:r w:rsidRPr="000E14A8">
        <w:rPr>
          <w:lang w:val="fr-CA"/>
        </w:rPr>
        <w:t>expédition, ce qu</w:t>
      </w:r>
      <w:r>
        <w:rPr>
          <w:lang w:val="fr-CA"/>
        </w:rPr>
        <w:t>’</w:t>
      </w:r>
      <w:r w:rsidRPr="000E14A8">
        <w:rPr>
          <w:lang w:val="fr-CA"/>
        </w:rPr>
        <w:t>il n</w:t>
      </w:r>
      <w:r>
        <w:rPr>
          <w:lang w:val="fr-CA"/>
        </w:rPr>
        <w:t>’</w:t>
      </w:r>
      <w:r w:rsidRPr="000E14A8">
        <w:rPr>
          <w:lang w:val="fr-CA"/>
        </w:rPr>
        <w:t>aurait pas fait si le médecin l</w:t>
      </w:r>
      <w:r>
        <w:rPr>
          <w:lang w:val="fr-CA"/>
        </w:rPr>
        <w:t>’</w:t>
      </w:r>
      <w:r w:rsidRPr="000E14A8">
        <w:rPr>
          <w:lang w:val="fr-CA"/>
        </w:rPr>
        <w:t>avait informé du véritable état de son genou. Il subit une blessure qui est une conséquence entièrement prévisible de l</w:t>
      </w:r>
      <w:r>
        <w:rPr>
          <w:lang w:val="fr-CA"/>
        </w:rPr>
        <w:t>’</w:t>
      </w:r>
      <w:r w:rsidRPr="000E14A8">
        <w:rPr>
          <w:lang w:val="fr-CA"/>
        </w:rPr>
        <w:t>ascension, mais qui n</w:t>
      </w:r>
      <w:r>
        <w:rPr>
          <w:lang w:val="fr-CA"/>
        </w:rPr>
        <w:t>’</w:t>
      </w:r>
      <w:r w:rsidRPr="000E14A8">
        <w:rPr>
          <w:lang w:val="fr-CA"/>
        </w:rPr>
        <w:t xml:space="preserve">a rien à voir avec son </w:t>
      </w:r>
      <w:r w:rsidR="00ED07F3" w:rsidRPr="000E14A8">
        <w:rPr>
          <w:lang w:val="fr-CA"/>
        </w:rPr>
        <w:t>genou. [p</w:t>
      </w:r>
      <w:r w:rsidR="00ED07F3">
        <w:rPr>
          <w:smallCaps/>
          <w:lang w:val="fr-CA"/>
        </w:rPr>
        <w:t>. 2</w:t>
      </w:r>
      <w:r w:rsidR="00ED07F3" w:rsidRPr="000E14A8">
        <w:rPr>
          <w:smallCaps/>
          <w:lang w:val="fr-CA"/>
        </w:rPr>
        <w:t>13</w:t>
      </w:r>
      <w:r w:rsidR="00ED07F3" w:rsidRPr="000E14A8">
        <w:rPr>
          <w:lang w:val="fr-CA"/>
        </w:rPr>
        <w:t>]</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Dans cet exemple, la déclaration inexacte entachée de négligence du médecin (le diagnostic de bon état du genou) est une cause subsidiaire et étrangère à la cause de la blessure de l</w:t>
      </w:r>
      <w:r>
        <w:rPr>
          <w:rFonts w:cs="Times New Roman"/>
          <w:lang w:val="fr-CA"/>
        </w:rPr>
        <w:t>’</w:t>
      </w:r>
      <w:r w:rsidRPr="000E14A8">
        <w:rPr>
          <w:rFonts w:cs="Times New Roman"/>
          <w:lang w:val="fr-CA"/>
        </w:rPr>
        <w:t>alpiniste (un accident d</w:t>
      </w:r>
      <w:r>
        <w:rPr>
          <w:rFonts w:cs="Times New Roman"/>
          <w:lang w:val="fr-CA"/>
        </w:rPr>
        <w:t>’</w:t>
      </w:r>
      <w:r w:rsidRPr="000E14A8">
        <w:rPr>
          <w:rFonts w:cs="Times New Roman"/>
          <w:lang w:val="fr-CA"/>
        </w:rPr>
        <w:t>alpinisme sans rapport avec le genou, par exemple</w:t>
      </w:r>
      <w:r>
        <w:rPr>
          <w:rFonts w:cs="Times New Roman"/>
          <w:lang w:val="fr-CA"/>
        </w:rPr>
        <w:t xml:space="preserve">, </w:t>
      </w:r>
      <w:r w:rsidRPr="000E14A8">
        <w:rPr>
          <w:rFonts w:cs="Times New Roman"/>
          <w:lang w:val="fr-CA"/>
        </w:rPr>
        <w:t>une avalanche). Ainsi, même si la déclaration inexacte faite par négligence s</w:t>
      </w:r>
      <w:r>
        <w:rPr>
          <w:rFonts w:cs="Times New Roman"/>
          <w:lang w:val="fr-CA"/>
        </w:rPr>
        <w:t>’</w:t>
      </w:r>
      <w:r w:rsidRPr="000E14A8">
        <w:rPr>
          <w:rFonts w:cs="Times New Roman"/>
          <w:lang w:val="fr-CA"/>
        </w:rPr>
        <w:t>était avérée véridique (c.</w:t>
      </w:r>
      <w:r w:rsidRPr="000E14A8">
        <w:rPr>
          <w:rFonts w:cs="Times New Roman"/>
          <w:lang w:val="fr-CA"/>
        </w:rPr>
        <w:noBreakHyphen/>
        <w:t>à</w:t>
      </w:r>
      <w:r w:rsidRPr="000E14A8">
        <w:rPr>
          <w:rFonts w:cs="Times New Roman"/>
          <w:lang w:val="fr-CA"/>
        </w:rPr>
        <w:noBreakHyphen/>
        <w:t>d. même si le genou de l</w:t>
      </w:r>
      <w:r>
        <w:rPr>
          <w:rFonts w:cs="Times New Roman"/>
          <w:lang w:val="fr-CA"/>
        </w:rPr>
        <w:t>’</w:t>
      </w:r>
      <w:r w:rsidRPr="000E14A8">
        <w:rPr>
          <w:rFonts w:cs="Times New Roman"/>
          <w:lang w:val="fr-CA"/>
        </w:rPr>
        <w:t>alpiniste avait été en bon état), l</w:t>
      </w:r>
      <w:r>
        <w:rPr>
          <w:rFonts w:cs="Times New Roman"/>
          <w:lang w:val="fr-CA"/>
        </w:rPr>
        <w:t>’</w:t>
      </w:r>
      <w:r w:rsidRPr="000E14A8">
        <w:rPr>
          <w:rFonts w:cs="Times New Roman"/>
          <w:lang w:val="fr-CA"/>
        </w:rPr>
        <w:t>alpiniste se serait quand même blessé puisque le bon état de son genou n</w:t>
      </w:r>
      <w:r>
        <w:rPr>
          <w:rFonts w:cs="Times New Roman"/>
          <w:lang w:val="fr-CA"/>
        </w:rPr>
        <w:t>’</w:t>
      </w:r>
      <w:r w:rsidRPr="000E14A8">
        <w:rPr>
          <w:rFonts w:cs="Times New Roman"/>
          <w:lang w:val="fr-CA"/>
        </w:rPr>
        <w:t>aurait pas empêché la blessure causée par l</w:t>
      </w:r>
      <w:r>
        <w:rPr>
          <w:rFonts w:cs="Times New Roman"/>
          <w:lang w:val="fr-CA"/>
        </w:rPr>
        <w:t>’</w:t>
      </w:r>
      <w:r w:rsidRPr="000E14A8">
        <w:rPr>
          <w:rFonts w:cs="Times New Roman"/>
          <w:lang w:val="fr-CA"/>
        </w:rPr>
        <w:t>avalanche. Autrement dit, le médecin n</w:t>
      </w:r>
      <w:r>
        <w:rPr>
          <w:rFonts w:cs="Times New Roman"/>
          <w:lang w:val="fr-CA"/>
        </w:rPr>
        <w:t>’</w:t>
      </w:r>
      <w:r w:rsidRPr="000E14A8">
        <w:rPr>
          <w:rFonts w:cs="Times New Roman"/>
          <w:lang w:val="fr-CA"/>
        </w:rPr>
        <w:t>aurait pas pu s</w:t>
      </w:r>
      <w:r>
        <w:rPr>
          <w:rFonts w:cs="Times New Roman"/>
          <w:lang w:val="fr-CA"/>
        </w:rPr>
        <w:t>’</w:t>
      </w:r>
      <w:r w:rsidRPr="000E14A8">
        <w:rPr>
          <w:rFonts w:cs="Times New Roman"/>
          <w:lang w:val="fr-CA"/>
        </w:rPr>
        <w:t>engager à le protéger d</w:t>
      </w:r>
      <w:r>
        <w:rPr>
          <w:rFonts w:cs="Times New Roman"/>
          <w:lang w:val="fr-CA"/>
        </w:rPr>
        <w:t>’</w:t>
      </w:r>
      <w:r w:rsidRPr="000E14A8">
        <w:rPr>
          <w:rFonts w:cs="Times New Roman"/>
          <w:lang w:val="fr-CA"/>
        </w:rPr>
        <w:t>une avalanche, qui n</w:t>
      </w:r>
      <w:r>
        <w:rPr>
          <w:rFonts w:cs="Times New Roman"/>
          <w:lang w:val="fr-CA"/>
        </w:rPr>
        <w:t>’</w:t>
      </w:r>
      <w:r w:rsidRPr="000E14A8">
        <w:rPr>
          <w:rFonts w:cs="Times New Roman"/>
          <w:lang w:val="fr-CA"/>
        </w:rPr>
        <w:t xml:space="preserve">a aucun rapport avec son diagnostic. </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lastRenderedPageBreak/>
        <w:t>Deloitte est dans une situation différente de celle du médecin. Sa négligence avait trait à une vérification exigée par la loi qui devait permettre aux actionnaires de surveiller la gestion de l</w:t>
      </w:r>
      <w:r>
        <w:rPr>
          <w:rFonts w:cs="Times New Roman"/>
          <w:lang w:val="fr-CA"/>
        </w:rPr>
        <w:t>’</w:t>
      </w:r>
      <w:r w:rsidRPr="000E14A8">
        <w:rPr>
          <w:rFonts w:cs="Times New Roman"/>
          <w:lang w:val="fr-CA"/>
        </w:rPr>
        <w:t>entreprise. Cette surveillance éclaire (ou concerne) elle</w:t>
      </w:r>
      <w:r w:rsidRPr="000E14A8">
        <w:rPr>
          <w:rFonts w:cs="Times New Roman"/>
          <w:lang w:val="fr-CA"/>
        </w:rPr>
        <w:noBreakHyphen/>
        <w:t>même des décisions d</w:t>
      </w:r>
      <w:r>
        <w:rPr>
          <w:rFonts w:cs="Times New Roman"/>
          <w:lang w:val="fr-CA"/>
        </w:rPr>
        <w:t>’</w:t>
      </w:r>
      <w:r w:rsidRPr="000E14A8">
        <w:rPr>
          <w:rFonts w:cs="Times New Roman"/>
          <w:lang w:val="fr-CA"/>
        </w:rPr>
        <w:t>affaires ultérieures de l</w:t>
      </w:r>
      <w:r>
        <w:rPr>
          <w:rFonts w:cs="Times New Roman"/>
          <w:lang w:val="fr-CA"/>
        </w:rPr>
        <w:t>’</w:t>
      </w:r>
      <w:r w:rsidRPr="000E14A8">
        <w:rPr>
          <w:rFonts w:cs="Times New Roman"/>
          <w:lang w:val="fr-CA"/>
        </w:rPr>
        <w:t>entreprise. C</w:t>
      </w:r>
      <w:r>
        <w:rPr>
          <w:rFonts w:cs="Times New Roman"/>
          <w:lang w:val="fr-CA"/>
        </w:rPr>
        <w:t>’</w:t>
      </w:r>
      <w:r w:rsidRPr="000E14A8">
        <w:rPr>
          <w:rFonts w:cs="Times New Roman"/>
          <w:lang w:val="fr-CA"/>
        </w:rPr>
        <w:t>est donc dire que les pertes commerciales de Livent ne sont pas une cause subsidiaire et étrangère au préjudice qu</w:t>
      </w:r>
      <w:r>
        <w:rPr>
          <w:rFonts w:cs="Times New Roman"/>
          <w:lang w:val="fr-CA"/>
        </w:rPr>
        <w:t>’</w:t>
      </w:r>
      <w:r w:rsidRPr="000E14A8">
        <w:rPr>
          <w:rFonts w:cs="Times New Roman"/>
          <w:lang w:val="fr-CA"/>
        </w:rPr>
        <w:t>elle a subi. Au contraire, la capacité des actionnaires à surveiller la conduite des affaires de Livent dépendait entièrement du rapport d</w:t>
      </w:r>
      <w:r>
        <w:rPr>
          <w:rFonts w:cs="Times New Roman"/>
          <w:lang w:val="fr-CA"/>
        </w:rPr>
        <w:t>’</w:t>
      </w:r>
      <w:r w:rsidRPr="000E14A8">
        <w:rPr>
          <w:rFonts w:cs="Times New Roman"/>
          <w:lang w:val="fr-CA"/>
        </w:rPr>
        <w:t>évaluation exigé par la loi qui a précédé cette surveillance. Plus particulièrement, le fait que les actionnaires se fiaient sur ce rapport et la façon dont ce rapport présentait les administrateurs et leurs opérations commerciales constituaient des éléments essentiels de leur surveillance de la gestion — surveillance qui, rappelons</w:t>
      </w:r>
      <w:r w:rsidRPr="000E14A8">
        <w:rPr>
          <w:rFonts w:cs="Times New Roman"/>
          <w:lang w:val="fr-CA"/>
        </w:rPr>
        <w:noBreakHyphen/>
        <w:t>le, constituait le but même pour lequel Deloitte s</w:t>
      </w:r>
      <w:r>
        <w:rPr>
          <w:rFonts w:cs="Times New Roman"/>
          <w:lang w:val="fr-CA"/>
        </w:rPr>
        <w:t>’</w:t>
      </w:r>
      <w:r w:rsidRPr="000E14A8">
        <w:rPr>
          <w:rFonts w:cs="Times New Roman"/>
          <w:lang w:val="fr-CA"/>
        </w:rPr>
        <w:t xml:space="preserve">était engagée à agir avec diligence raisonnable. </w:t>
      </w:r>
    </w:p>
    <w:p w:rsidR="003A506E" w:rsidRPr="000E14A8" w:rsidRDefault="003A506E" w:rsidP="003A506E">
      <w:pPr>
        <w:pStyle w:val="ParaNoNdepar-AltN"/>
        <w:tabs>
          <w:tab w:val="clear" w:pos="1152"/>
          <w:tab w:val="left" w:pos="1166"/>
        </w:tabs>
        <w:rPr>
          <w:rFonts w:cs="Times New Roman"/>
          <w:lang w:val="fr-CA"/>
        </w:rPr>
      </w:pPr>
      <w:r w:rsidRPr="000E14A8">
        <w:rPr>
          <w:rFonts w:cs="Times New Roman"/>
          <w:lang w:val="fr-CA"/>
        </w:rPr>
        <w:t xml:space="preserve">Une interprétation correcte du principe </w:t>
      </w:r>
      <w:r w:rsidRPr="000E14A8">
        <w:rPr>
          <w:rFonts w:cs="Times New Roman"/>
          <w:i/>
          <w:lang w:val="fr-CA"/>
        </w:rPr>
        <w:t xml:space="preserve">SAAMCO </w:t>
      </w:r>
      <w:r w:rsidRPr="000E14A8">
        <w:rPr>
          <w:rFonts w:cs="Times New Roman"/>
          <w:lang w:val="fr-CA"/>
        </w:rPr>
        <w:t>mène donc à la conclusion que celui</w:t>
      </w:r>
      <w:r w:rsidRPr="000E14A8">
        <w:rPr>
          <w:rFonts w:cs="Times New Roman"/>
          <w:lang w:val="fr-CA"/>
        </w:rPr>
        <w:noBreakHyphen/>
        <w:t xml:space="preserve">ci ne limite pas la responsabilité de Deloitte pour ce qui est du rapport de 1997. </w:t>
      </w:r>
    </w:p>
    <w:p w:rsidR="003A506E" w:rsidRPr="000E14A8" w:rsidRDefault="003A506E" w:rsidP="003A506E">
      <w:pPr>
        <w:pStyle w:val="ParaNoNdepar-AltN"/>
        <w:rPr>
          <w:rFonts w:cs="Times New Roman"/>
          <w:lang w:val="fr-CA"/>
        </w:rPr>
      </w:pPr>
      <w:r w:rsidRPr="000E14A8">
        <w:rPr>
          <w:rFonts w:cs="Times New Roman"/>
          <w:lang w:val="fr-CA"/>
        </w:rPr>
        <w:t>Cependant, nous ajoutons que la Cour, avant de procéder à un examen minutieux de l</w:t>
      </w:r>
      <w:r>
        <w:rPr>
          <w:rFonts w:cs="Times New Roman"/>
          <w:lang w:val="fr-CA"/>
        </w:rPr>
        <w:t>’</w:t>
      </w:r>
      <w:r w:rsidRPr="000E14A8">
        <w:rPr>
          <w:rFonts w:cs="Times New Roman"/>
          <w:lang w:val="fr-CA"/>
        </w:rPr>
        <w:t xml:space="preserve">application du principe </w:t>
      </w:r>
      <w:r w:rsidRPr="000E14A8">
        <w:rPr>
          <w:rFonts w:cs="Times New Roman"/>
          <w:i/>
          <w:lang w:val="fr-CA"/>
        </w:rPr>
        <w:t>SAAMCO</w:t>
      </w:r>
      <w:r w:rsidRPr="000E14A8">
        <w:rPr>
          <w:rFonts w:cs="Times New Roman"/>
          <w:lang w:val="fr-CA"/>
        </w:rPr>
        <w:t xml:space="preserve"> en droit canadien, devrait attendre que d</w:t>
      </w:r>
      <w:r>
        <w:rPr>
          <w:rFonts w:cs="Times New Roman"/>
          <w:lang w:val="fr-CA"/>
        </w:rPr>
        <w:t>’</w:t>
      </w:r>
      <w:r w:rsidRPr="000E14A8">
        <w:rPr>
          <w:rFonts w:cs="Times New Roman"/>
          <w:lang w:val="fr-CA"/>
        </w:rPr>
        <w:t xml:space="preserve">autres décisions soient rendues, dans lesquelles les tribunaux inférieurs auraient étudié davantage le principe, les avocats auraient soumis des arguments plus complets et, surtout, les faits seraient plus semblables à ceux dans la décision </w:t>
      </w:r>
      <w:r w:rsidRPr="000E14A8">
        <w:rPr>
          <w:rFonts w:cs="Times New Roman"/>
          <w:i/>
          <w:lang w:val="fr-CA"/>
        </w:rPr>
        <w:t>SAAMCO</w:t>
      </w:r>
      <w:r w:rsidRPr="000E14A8">
        <w:rPr>
          <w:rFonts w:cs="Times New Roman"/>
          <w:lang w:val="fr-CA"/>
        </w:rPr>
        <w:t>. Celle</w:t>
      </w:r>
      <w:r w:rsidRPr="000E14A8">
        <w:rPr>
          <w:rFonts w:cs="Times New Roman"/>
          <w:lang w:val="fr-CA"/>
        </w:rPr>
        <w:noBreakHyphen/>
        <w:t xml:space="preserve">ci portait sur la question de savoir si un évaluateur négligent devrait être responsable non seulement de la différence entre son évaluation et une évaluation prudente, mais aussi de la chute subséquente des marchés, qui a exacerbé les pertes du prêteur. Dans ce </w:t>
      </w:r>
      <w:r w:rsidRPr="000E14A8">
        <w:rPr>
          <w:rFonts w:cs="Times New Roman"/>
          <w:lang w:val="fr-CA"/>
        </w:rPr>
        <w:lastRenderedPageBreak/>
        <w:t>contexte précis, la perte attribuable à l</w:t>
      </w:r>
      <w:r>
        <w:rPr>
          <w:rFonts w:cs="Times New Roman"/>
          <w:lang w:val="fr-CA"/>
        </w:rPr>
        <w:t>’</w:t>
      </w:r>
      <w:r w:rsidRPr="000E14A8">
        <w:rPr>
          <w:rFonts w:cs="Times New Roman"/>
          <w:lang w:val="fr-CA"/>
        </w:rPr>
        <w:t>évaluation négligente est facilement isolable; il s</w:t>
      </w:r>
      <w:r>
        <w:rPr>
          <w:rFonts w:cs="Times New Roman"/>
          <w:lang w:val="fr-CA"/>
        </w:rPr>
        <w:t>’</w:t>
      </w:r>
      <w:r w:rsidRPr="000E14A8">
        <w:rPr>
          <w:rFonts w:cs="Times New Roman"/>
          <w:lang w:val="fr-CA"/>
        </w:rPr>
        <w:t>agit de la différence entre l</w:t>
      </w:r>
      <w:r>
        <w:rPr>
          <w:rFonts w:cs="Times New Roman"/>
          <w:lang w:val="fr-CA"/>
        </w:rPr>
        <w:t>’</w:t>
      </w:r>
      <w:r w:rsidRPr="000E14A8">
        <w:rPr>
          <w:rFonts w:cs="Times New Roman"/>
          <w:lang w:val="fr-CA"/>
        </w:rPr>
        <w:t>évaluation négligente et l</w:t>
      </w:r>
      <w:r>
        <w:rPr>
          <w:rFonts w:cs="Times New Roman"/>
          <w:lang w:val="fr-CA"/>
        </w:rPr>
        <w:t>’</w:t>
      </w:r>
      <w:r w:rsidRPr="000E14A8">
        <w:rPr>
          <w:rFonts w:cs="Times New Roman"/>
          <w:lang w:val="fr-CA"/>
        </w:rPr>
        <w:t>évaluation prudente. Toutefois, il en va autrement dans le contexte des vérifications exigées par la loi, où il est beaucoup plus complexe d</w:t>
      </w:r>
      <w:r>
        <w:rPr>
          <w:rFonts w:cs="Times New Roman"/>
          <w:lang w:val="fr-CA"/>
        </w:rPr>
        <w:t>’</w:t>
      </w:r>
      <w:r w:rsidRPr="000E14A8">
        <w:rPr>
          <w:rFonts w:cs="Times New Roman"/>
          <w:lang w:val="fr-CA"/>
        </w:rPr>
        <w:t>isoler la « cause » des pertes futures découlant d</w:t>
      </w:r>
      <w:r>
        <w:rPr>
          <w:rFonts w:cs="Times New Roman"/>
          <w:lang w:val="fr-CA"/>
        </w:rPr>
        <w:t>’</w:t>
      </w:r>
      <w:r w:rsidRPr="000E14A8">
        <w:rPr>
          <w:rFonts w:cs="Times New Roman"/>
          <w:lang w:val="fr-CA"/>
        </w:rPr>
        <w:t>activités commerciales futures. D</w:t>
      </w:r>
      <w:r>
        <w:rPr>
          <w:rFonts w:cs="Times New Roman"/>
          <w:lang w:val="fr-CA"/>
        </w:rPr>
        <w:t>’</w:t>
      </w:r>
      <w:r w:rsidRPr="000E14A8">
        <w:rPr>
          <w:rFonts w:cs="Times New Roman"/>
          <w:lang w:val="fr-CA"/>
        </w:rPr>
        <w:t>ailleurs, comme l</w:t>
      </w:r>
      <w:r>
        <w:rPr>
          <w:rFonts w:cs="Times New Roman"/>
          <w:lang w:val="fr-CA"/>
        </w:rPr>
        <w:t>’</w:t>
      </w:r>
      <w:r w:rsidRPr="000E14A8">
        <w:rPr>
          <w:rFonts w:cs="Times New Roman"/>
          <w:lang w:val="fr-CA"/>
        </w:rPr>
        <w:t xml:space="preserve">a souligné lord Sumption dans </w:t>
      </w:r>
      <w:r w:rsidRPr="000E14A8">
        <w:rPr>
          <w:rFonts w:cs="Times New Roman"/>
          <w:i/>
          <w:lang w:val="fr-CA"/>
        </w:rPr>
        <w:t>BPE Solicitors</w:t>
      </w:r>
      <w:r w:rsidRPr="000E14A8">
        <w:rPr>
          <w:rFonts w:cs="Times New Roman"/>
          <w:lang w:val="fr-CA"/>
        </w:rPr>
        <w:t xml:space="preserve"> (par. 46) :</w:t>
      </w:r>
    </w:p>
    <w:p w:rsidR="003A506E" w:rsidRPr="000E14A8" w:rsidRDefault="003A506E" w:rsidP="003A506E">
      <w:pPr>
        <w:pStyle w:val="Citation-AltC"/>
        <w:ind w:hanging="1166"/>
        <w:rPr>
          <w:lang w:val="fr-CA"/>
        </w:rPr>
      </w:pPr>
      <w:r w:rsidRPr="000E14A8">
        <w:rPr>
          <w:lang w:val="fr-CA"/>
        </w:rPr>
        <w:tab/>
        <w:t>[</w:t>
      </w:r>
      <w:r w:rsidRPr="000E14A8">
        <w:rPr>
          <w:smallCaps/>
          <w:lang w:val="fr-CA"/>
        </w:rPr>
        <w:t>traduction</w:t>
      </w:r>
      <w:r w:rsidRPr="000E14A8">
        <w:rPr>
          <w:lang w:val="fr-CA"/>
        </w:rPr>
        <w:t>] Lorsque la perte découle d</w:t>
      </w:r>
      <w:r>
        <w:rPr>
          <w:lang w:val="fr-CA"/>
        </w:rPr>
        <w:t>’</w:t>
      </w:r>
      <w:r w:rsidRPr="000E14A8">
        <w:rPr>
          <w:lang w:val="fr-CA"/>
        </w:rPr>
        <w:t>une panoplie de facteurs commerciaux qu</w:t>
      </w:r>
      <w:r>
        <w:rPr>
          <w:lang w:val="fr-CA"/>
        </w:rPr>
        <w:t>’</w:t>
      </w:r>
      <w:r w:rsidRPr="000E14A8">
        <w:rPr>
          <w:lang w:val="fr-CA"/>
        </w:rPr>
        <w:t>il appartenait au demandeur de cerner et d</w:t>
      </w:r>
      <w:r>
        <w:rPr>
          <w:lang w:val="fr-CA"/>
        </w:rPr>
        <w:t>’</w:t>
      </w:r>
      <w:r w:rsidRPr="000E14A8">
        <w:rPr>
          <w:lang w:val="fr-CA"/>
        </w:rPr>
        <w:t>évaluer, il sera généralement difficile, voire impossible, et inutile de quantifier et de déterminer les répercussions financières de chacun d</w:t>
      </w:r>
      <w:r>
        <w:rPr>
          <w:lang w:val="fr-CA"/>
        </w:rPr>
        <w:t>’</w:t>
      </w:r>
      <w:r w:rsidRPr="000E14A8">
        <w:rPr>
          <w:lang w:val="fr-CA"/>
        </w:rPr>
        <w:t xml:space="preserve">entre eux. </w:t>
      </w:r>
    </w:p>
    <w:p w:rsidR="003A506E" w:rsidRPr="000E14A8" w:rsidRDefault="003A506E" w:rsidP="003A506E">
      <w:pPr>
        <w:pStyle w:val="ParaNoNdepar-AltN"/>
        <w:rPr>
          <w:rFonts w:cs="Times New Roman"/>
          <w:lang w:val="fr-CA"/>
        </w:rPr>
      </w:pPr>
      <w:r w:rsidRPr="000E14A8">
        <w:rPr>
          <w:rFonts w:cs="Times New Roman"/>
          <w:lang w:val="fr-CA"/>
        </w:rPr>
        <w:t>Quoi qu</w:t>
      </w:r>
      <w:r>
        <w:rPr>
          <w:rFonts w:cs="Times New Roman"/>
          <w:lang w:val="fr-CA"/>
        </w:rPr>
        <w:t>’</w:t>
      </w:r>
      <w:r w:rsidRPr="000E14A8">
        <w:rPr>
          <w:rFonts w:cs="Times New Roman"/>
          <w:lang w:val="fr-CA"/>
        </w:rPr>
        <w:t xml:space="preserve">il en soit, le principe </w:t>
      </w:r>
      <w:r w:rsidRPr="000E14A8">
        <w:rPr>
          <w:rFonts w:cs="Times New Roman"/>
          <w:i/>
          <w:lang w:val="fr-CA"/>
        </w:rPr>
        <w:t>SAAMCO</w:t>
      </w:r>
      <w:r w:rsidRPr="000E14A8">
        <w:rPr>
          <w:rFonts w:cs="Times New Roman"/>
          <w:lang w:val="fr-CA"/>
        </w:rPr>
        <w:t>, du moins de la façon dont la Juge en chef l</w:t>
      </w:r>
      <w:r>
        <w:rPr>
          <w:rFonts w:cs="Times New Roman"/>
          <w:lang w:val="fr-CA"/>
        </w:rPr>
        <w:t>’</w:t>
      </w:r>
      <w:r w:rsidRPr="000E14A8">
        <w:rPr>
          <w:rFonts w:cs="Times New Roman"/>
          <w:lang w:val="fr-CA"/>
        </w:rPr>
        <w:t>applique en l</w:t>
      </w:r>
      <w:r>
        <w:rPr>
          <w:rFonts w:cs="Times New Roman"/>
          <w:lang w:val="fr-CA"/>
        </w:rPr>
        <w:t>’</w:t>
      </w:r>
      <w:r w:rsidRPr="000E14A8">
        <w:rPr>
          <w:rFonts w:cs="Times New Roman"/>
          <w:lang w:val="fr-CA"/>
        </w:rPr>
        <w:t>espèce, est contraire à la jurisprudence canadienne. Selon le droit canadien établi en matière de responsabilité délictuelle, un défendeur est responsable lorsque le demandeur prouve — pour ce qui est de la causalité — que le défendeur a causé le préjudice du demandeur en fait (</w:t>
      </w:r>
      <w:r w:rsidRPr="000E14A8">
        <w:rPr>
          <w:rFonts w:cs="Times New Roman"/>
          <w:i/>
          <w:lang w:val="fr-CA"/>
        </w:rPr>
        <w:t>Clements c. Clements</w:t>
      </w:r>
      <w:r w:rsidRPr="000E14A8">
        <w:rPr>
          <w:rFonts w:cs="Times New Roman"/>
          <w:lang w:val="fr-CA"/>
        </w:rPr>
        <w:t>, 2012 CSC 32, [2012] 2 R.C.S. 181, par. 8) et en droit (</w:t>
      </w:r>
      <w:r w:rsidRPr="000E14A8">
        <w:rPr>
          <w:rFonts w:cs="Times New Roman"/>
          <w:i/>
          <w:lang w:val="fr-CA"/>
        </w:rPr>
        <w:t>Mustapha</w:t>
      </w:r>
      <w:r w:rsidRPr="000E14A8">
        <w:rPr>
          <w:rFonts w:cs="Times New Roman"/>
          <w:lang w:val="fr-CA"/>
        </w:rPr>
        <w:t>, par. 12</w:t>
      </w:r>
      <w:r w:rsidRPr="000E14A8">
        <w:rPr>
          <w:rFonts w:cs="Times New Roman"/>
          <w:lang w:val="fr-CA"/>
        </w:rPr>
        <w:noBreakHyphen/>
        <w:t>13). Comme nous l</w:t>
      </w:r>
      <w:r>
        <w:rPr>
          <w:rFonts w:cs="Times New Roman"/>
          <w:lang w:val="fr-CA"/>
        </w:rPr>
        <w:t>’</w:t>
      </w:r>
      <w:r w:rsidRPr="000E14A8">
        <w:rPr>
          <w:rFonts w:cs="Times New Roman"/>
          <w:lang w:val="fr-CA"/>
        </w:rPr>
        <w:t>avons déjà expliqué, Livent a prouvé ces deux éléments quant aux préjudices qu</w:t>
      </w:r>
      <w:r>
        <w:rPr>
          <w:rFonts w:cs="Times New Roman"/>
          <w:lang w:val="fr-CA"/>
        </w:rPr>
        <w:t>’</w:t>
      </w:r>
      <w:r w:rsidRPr="000E14A8">
        <w:rPr>
          <w:rFonts w:cs="Times New Roman"/>
          <w:lang w:val="fr-CA"/>
        </w:rPr>
        <w:t>elle a subis à la suite du rapport de 1997. Il s</w:t>
      </w:r>
      <w:r>
        <w:rPr>
          <w:rFonts w:cs="Times New Roman"/>
          <w:lang w:val="fr-CA"/>
        </w:rPr>
        <w:t>’</w:t>
      </w:r>
      <w:r w:rsidRPr="000E14A8">
        <w:rPr>
          <w:rFonts w:cs="Times New Roman"/>
          <w:lang w:val="fr-CA"/>
        </w:rPr>
        <w:t>ensuit que Deloitte est responsable des préjudices subis par Livent par suite du rapport. Certes, un défendeur peut limiter sa responsabilité, même si le demandeur prouve la causalité juridique et factuelle, lorsque le défendeur prouve que, même en l</w:t>
      </w:r>
      <w:r>
        <w:rPr>
          <w:rFonts w:cs="Times New Roman"/>
          <w:lang w:val="fr-CA"/>
        </w:rPr>
        <w:t>’</w:t>
      </w:r>
      <w:r w:rsidRPr="000E14A8">
        <w:rPr>
          <w:rFonts w:cs="Times New Roman"/>
          <w:lang w:val="fr-CA"/>
        </w:rPr>
        <w:t>absence de négligence de sa part, le demandeur aurait de toute façon subi un certain préjudice en raison d</w:t>
      </w:r>
      <w:r>
        <w:rPr>
          <w:rFonts w:cs="Times New Roman"/>
          <w:lang w:val="fr-CA"/>
        </w:rPr>
        <w:t>’</w:t>
      </w:r>
      <w:r w:rsidRPr="000E14A8">
        <w:rPr>
          <w:rFonts w:cs="Times New Roman"/>
          <w:lang w:val="fr-CA"/>
        </w:rPr>
        <w:t>autres causes hypothétiques (</w:t>
      </w:r>
      <w:r w:rsidRPr="000E14A8">
        <w:rPr>
          <w:rFonts w:cs="Times New Roman"/>
          <w:i/>
          <w:lang w:val="fr-CA"/>
        </w:rPr>
        <w:t>Rainbow Industrial Caterers Ltd. c. Compagnie des chemins de fer nationaux du Canada</w:t>
      </w:r>
      <w:r w:rsidRPr="000E14A8">
        <w:rPr>
          <w:rFonts w:cs="Times New Roman"/>
          <w:lang w:val="fr-CA"/>
        </w:rPr>
        <w:t>, [199</w:t>
      </w:r>
      <w:r w:rsidR="00ED07F3">
        <w:rPr>
          <w:rFonts w:cs="Times New Roman"/>
          <w:lang w:val="fr-CA"/>
        </w:rPr>
        <w:t>1</w:t>
      </w:r>
      <w:r w:rsidRPr="000E14A8">
        <w:rPr>
          <w:rFonts w:cs="Times New Roman"/>
          <w:lang w:val="fr-CA"/>
        </w:rPr>
        <w:t>] 3 R.C.S. 3, p. 15</w:t>
      </w:r>
      <w:r w:rsidRPr="000E14A8">
        <w:rPr>
          <w:rFonts w:cs="Times New Roman"/>
          <w:lang w:val="fr-CA"/>
        </w:rPr>
        <w:noBreakHyphen/>
        <w:t xml:space="preserve">16). Or, le juge de première instance a déjà pris en compte ces autres causes hypothétiques en réduisant les dommages de 25 pour </w:t>
      </w:r>
      <w:r w:rsidR="00BE20DE">
        <w:rPr>
          <w:rFonts w:cs="Times New Roman"/>
          <w:lang w:val="fr-CA"/>
        </w:rPr>
        <w:t>100</w:t>
      </w:r>
      <w:r w:rsidRPr="000E14A8">
        <w:rPr>
          <w:rFonts w:cs="Times New Roman"/>
          <w:lang w:val="fr-CA"/>
        </w:rPr>
        <w:t xml:space="preserve"> </w:t>
      </w:r>
      <w:r w:rsidRPr="000E14A8">
        <w:rPr>
          <w:rFonts w:cs="Times New Roman"/>
          <w:lang w:val="fr-CA"/>
        </w:rPr>
        <w:lastRenderedPageBreak/>
        <w:t>(motifs de première instance, par. 324</w:t>
      </w:r>
      <w:r w:rsidRPr="000E14A8">
        <w:rPr>
          <w:rFonts w:cs="Times New Roman"/>
          <w:lang w:val="fr-CA"/>
        </w:rPr>
        <w:noBreakHyphen/>
        <w:t>326). Et dans la mesure où la Juge en chef conclut que Livent n</w:t>
      </w:r>
      <w:r>
        <w:rPr>
          <w:rFonts w:cs="Times New Roman"/>
          <w:lang w:val="fr-CA"/>
        </w:rPr>
        <w:t>’</w:t>
      </w:r>
      <w:r w:rsidRPr="000E14A8">
        <w:rPr>
          <w:rFonts w:cs="Times New Roman"/>
          <w:lang w:val="fr-CA"/>
        </w:rPr>
        <w:t>a pas réussi à prouver que d</w:t>
      </w:r>
      <w:r>
        <w:rPr>
          <w:rFonts w:cs="Times New Roman"/>
          <w:lang w:val="fr-CA"/>
        </w:rPr>
        <w:t>’</w:t>
      </w:r>
      <w:r w:rsidRPr="000E14A8">
        <w:rPr>
          <w:rFonts w:cs="Times New Roman"/>
          <w:lang w:val="fr-CA"/>
        </w:rPr>
        <w:t>autres causes hypothétiques n</w:t>
      </w:r>
      <w:r>
        <w:rPr>
          <w:rFonts w:cs="Times New Roman"/>
          <w:lang w:val="fr-CA"/>
        </w:rPr>
        <w:t>’</w:t>
      </w:r>
      <w:r w:rsidRPr="000E14A8">
        <w:rPr>
          <w:rFonts w:cs="Times New Roman"/>
          <w:lang w:val="fr-CA"/>
        </w:rPr>
        <w:t>ont pas causé 75</w:t>
      </w:r>
      <w:r>
        <w:rPr>
          <w:rFonts w:cs="Times New Roman"/>
          <w:lang w:val="fr-CA"/>
        </w:rPr>
        <w:t> </w:t>
      </w:r>
      <w:r w:rsidRPr="000E14A8">
        <w:rPr>
          <w:rFonts w:cs="Times New Roman"/>
          <w:lang w:val="fr-CA"/>
        </w:rPr>
        <w:t>pour</w:t>
      </w:r>
      <w:r>
        <w:rPr>
          <w:rFonts w:cs="Times New Roman"/>
          <w:lang w:val="fr-CA"/>
        </w:rPr>
        <w:t> </w:t>
      </w:r>
      <w:r w:rsidR="00BE20DE">
        <w:rPr>
          <w:rFonts w:cs="Times New Roman"/>
          <w:lang w:val="fr-CA"/>
        </w:rPr>
        <w:t>100</w:t>
      </w:r>
      <w:r w:rsidRPr="000E14A8">
        <w:rPr>
          <w:rFonts w:cs="Times New Roman"/>
          <w:lang w:val="fr-CA"/>
        </w:rPr>
        <w:t xml:space="preserve"> des dommages, elle fait abstraction du fait que c</w:t>
      </w:r>
      <w:r>
        <w:rPr>
          <w:rFonts w:cs="Times New Roman"/>
          <w:lang w:val="fr-CA"/>
        </w:rPr>
        <w:t>’</w:t>
      </w:r>
      <w:r w:rsidRPr="000E14A8">
        <w:rPr>
          <w:rFonts w:cs="Times New Roman"/>
          <w:lang w:val="fr-CA"/>
        </w:rPr>
        <w:t>est à Deloitte, et non à Livent, qu</w:t>
      </w:r>
      <w:r>
        <w:rPr>
          <w:rFonts w:cs="Times New Roman"/>
          <w:lang w:val="fr-CA"/>
        </w:rPr>
        <w:t>’</w:t>
      </w:r>
      <w:r w:rsidRPr="000E14A8">
        <w:rPr>
          <w:rFonts w:cs="Times New Roman"/>
          <w:lang w:val="fr-CA"/>
        </w:rPr>
        <w:t>il incombe de prouver que la responsabilité devrait être limitée de cette façon (</w:t>
      </w:r>
      <w:r w:rsidRPr="000E14A8">
        <w:rPr>
          <w:rFonts w:cs="Times New Roman"/>
          <w:i/>
          <w:lang w:val="fr-CA"/>
        </w:rPr>
        <w:t>Rainbow Industrial Caterers</w:t>
      </w:r>
      <w:r w:rsidRPr="000E14A8">
        <w:rPr>
          <w:rFonts w:cs="Times New Roman"/>
          <w:lang w:val="fr-CA"/>
        </w:rPr>
        <w:t>, p. 15</w:t>
      </w:r>
      <w:r w:rsidRPr="000E14A8">
        <w:rPr>
          <w:rFonts w:cs="Times New Roman"/>
          <w:lang w:val="fr-CA"/>
        </w:rPr>
        <w:noBreakHyphen/>
        <w:t>16).</w:t>
      </w:r>
    </w:p>
    <w:p w:rsidR="003A506E" w:rsidRPr="000E14A8" w:rsidRDefault="003A506E" w:rsidP="003A506E">
      <w:pPr>
        <w:pStyle w:val="Title2LevelTitre2Niveau"/>
        <w:rPr>
          <w:rFonts w:cs="Times New Roman"/>
          <w:lang w:val="fr-CA"/>
        </w:rPr>
      </w:pPr>
      <w:r w:rsidRPr="000E14A8">
        <w:rPr>
          <w:rFonts w:cs="Times New Roman"/>
          <w:lang w:val="fr-CA"/>
        </w:rPr>
        <w:t>Moyens de défense</w:t>
      </w:r>
    </w:p>
    <w:p w:rsidR="003A506E" w:rsidRPr="000E14A8" w:rsidRDefault="003A506E" w:rsidP="003A506E">
      <w:pPr>
        <w:pStyle w:val="ParaNoNdepar-AltN"/>
        <w:rPr>
          <w:rFonts w:cs="Times New Roman"/>
          <w:lang w:val="fr-CA"/>
        </w:rPr>
      </w:pPr>
      <w:r w:rsidRPr="000E14A8">
        <w:rPr>
          <w:rFonts w:cs="Times New Roman"/>
          <w:lang w:val="fr-CA"/>
        </w:rPr>
        <w:t>Ayant conclu que nous confirmerions la décision du juge de première instance selon laquelle Deloitte est responsable de la négligence dont elle a fait preuve relativement à la vérification exigée par la loi, il nous faut finalement examiner les deux moyens de défense que Deloitte a plaidés devant notre Cour. Premièrement, Deloitte soutient que les deux tribunaux d</w:t>
      </w:r>
      <w:r>
        <w:rPr>
          <w:rFonts w:cs="Times New Roman"/>
          <w:lang w:val="fr-CA"/>
        </w:rPr>
        <w:t>’</w:t>
      </w:r>
      <w:r w:rsidRPr="000E14A8">
        <w:rPr>
          <w:rFonts w:cs="Times New Roman"/>
          <w:lang w:val="fr-CA"/>
        </w:rPr>
        <w:t>instance inférieure ont eu tort de ne pas conclure que la défense d</w:t>
      </w:r>
      <w:r>
        <w:rPr>
          <w:rFonts w:cs="Times New Roman"/>
          <w:lang w:val="fr-CA"/>
        </w:rPr>
        <w:t>’</w:t>
      </w:r>
      <w:r w:rsidRPr="000E14A8">
        <w:rPr>
          <w:rFonts w:cs="Times New Roman"/>
          <w:lang w:val="fr-CA"/>
        </w:rPr>
        <w:t>illégalité ne rendait pas irrecevable l</w:t>
      </w:r>
      <w:r>
        <w:rPr>
          <w:rFonts w:cs="Times New Roman"/>
          <w:lang w:val="fr-CA"/>
        </w:rPr>
        <w:t>’</w:t>
      </w:r>
      <w:r w:rsidRPr="000E14A8">
        <w:rPr>
          <w:rFonts w:cs="Times New Roman"/>
          <w:lang w:val="fr-CA"/>
        </w:rPr>
        <w:t>action de Livent. Deuxièmement, Deloitte soutient que même si l</w:t>
      </w:r>
      <w:r>
        <w:rPr>
          <w:rFonts w:cs="Times New Roman"/>
          <w:lang w:val="fr-CA"/>
        </w:rPr>
        <w:t>’</w:t>
      </w:r>
      <w:r w:rsidRPr="000E14A8">
        <w:rPr>
          <w:rFonts w:cs="Times New Roman"/>
          <w:lang w:val="fr-CA"/>
        </w:rPr>
        <w:t>action de Livent n</w:t>
      </w:r>
      <w:r>
        <w:rPr>
          <w:rFonts w:cs="Times New Roman"/>
          <w:lang w:val="fr-CA"/>
        </w:rPr>
        <w:t>’</w:t>
      </w:r>
      <w:r w:rsidRPr="000E14A8">
        <w:rPr>
          <w:rFonts w:cs="Times New Roman"/>
          <w:lang w:val="fr-CA"/>
        </w:rPr>
        <w:t>a pas été jugée irrecevable pour cause d</w:t>
      </w:r>
      <w:r>
        <w:rPr>
          <w:rFonts w:cs="Times New Roman"/>
          <w:lang w:val="fr-CA"/>
        </w:rPr>
        <w:t>’</w:t>
      </w:r>
      <w:r w:rsidRPr="000E14A8">
        <w:rPr>
          <w:rFonts w:cs="Times New Roman"/>
          <w:lang w:val="fr-CA"/>
        </w:rPr>
        <w:t>illégalité, Deloitte devrait seulement être tenue responsable d</w:t>
      </w:r>
      <w:r>
        <w:rPr>
          <w:rFonts w:cs="Times New Roman"/>
          <w:lang w:val="fr-CA"/>
        </w:rPr>
        <w:t>’</w:t>
      </w:r>
      <w:r w:rsidRPr="000E14A8">
        <w:rPr>
          <w:rFonts w:cs="Times New Roman"/>
          <w:lang w:val="fr-CA"/>
        </w:rPr>
        <w:t xml:space="preserve">une partie du préjudice du fait de la faute contributoire de Livent. </w:t>
      </w:r>
    </w:p>
    <w:p w:rsidR="003A506E" w:rsidRPr="000E14A8" w:rsidRDefault="003A506E" w:rsidP="003A506E">
      <w:pPr>
        <w:pStyle w:val="ParaNoNdepar-AltN"/>
        <w:rPr>
          <w:rFonts w:cs="Times New Roman"/>
          <w:lang w:val="fr-CA"/>
        </w:rPr>
      </w:pPr>
      <w:r w:rsidRPr="000E14A8">
        <w:rPr>
          <w:rFonts w:cs="Times New Roman"/>
          <w:lang w:val="fr-CA"/>
        </w:rPr>
        <w:t>Ces deux moyens sont fondés sur l</w:t>
      </w:r>
      <w:r>
        <w:rPr>
          <w:rFonts w:cs="Times New Roman"/>
          <w:lang w:val="fr-CA"/>
        </w:rPr>
        <w:t>’</w:t>
      </w:r>
      <w:r w:rsidRPr="000E14A8">
        <w:rPr>
          <w:rFonts w:cs="Times New Roman"/>
          <w:lang w:val="fr-CA"/>
        </w:rPr>
        <w:t>applicabilité de la doctrine de l</w:t>
      </w:r>
      <w:r>
        <w:rPr>
          <w:rFonts w:cs="Times New Roman"/>
          <w:lang w:val="fr-CA"/>
        </w:rPr>
        <w:t>’</w:t>
      </w:r>
      <w:r w:rsidRPr="000E14A8">
        <w:rPr>
          <w:rFonts w:cs="Times New Roman"/>
          <w:lang w:val="fr-CA"/>
        </w:rPr>
        <w:t>identification à la société. La faute en cause n</w:t>
      </w:r>
      <w:r>
        <w:rPr>
          <w:rFonts w:cs="Times New Roman"/>
          <w:lang w:val="fr-CA"/>
        </w:rPr>
        <w:t>’</w:t>
      </w:r>
      <w:r w:rsidRPr="000E14A8">
        <w:rPr>
          <w:rFonts w:cs="Times New Roman"/>
          <w:lang w:val="fr-CA"/>
        </w:rPr>
        <w:t>étant pas celle de Livent, mais celle de ses administrateurs Drabinsky et Gottlieb, aucun des moyens de défense invoqués par Deloitte ne saurait être retenu à moins que cette dernière ne puisse démontrer que les actes frauduleux commis par les employés de Livent devraient être attribués à l</w:t>
      </w:r>
      <w:r>
        <w:rPr>
          <w:rFonts w:cs="Times New Roman"/>
          <w:lang w:val="fr-CA"/>
        </w:rPr>
        <w:t>’</w:t>
      </w:r>
      <w:r w:rsidRPr="000E14A8">
        <w:rPr>
          <w:rFonts w:cs="Times New Roman"/>
          <w:lang w:val="fr-CA"/>
        </w:rPr>
        <w:t>entreprise. La doctrine de l</w:t>
      </w:r>
      <w:r>
        <w:rPr>
          <w:rFonts w:cs="Times New Roman"/>
          <w:lang w:val="fr-CA"/>
        </w:rPr>
        <w:t>’</w:t>
      </w:r>
      <w:r w:rsidRPr="000E14A8">
        <w:rPr>
          <w:rFonts w:cs="Times New Roman"/>
          <w:lang w:val="fr-CA"/>
        </w:rPr>
        <w:t>identification à la société n</w:t>
      </w:r>
      <w:r>
        <w:rPr>
          <w:rFonts w:cs="Times New Roman"/>
          <w:lang w:val="fr-CA"/>
        </w:rPr>
        <w:t>’</w:t>
      </w:r>
      <w:r w:rsidRPr="000E14A8">
        <w:rPr>
          <w:rFonts w:cs="Times New Roman"/>
          <w:lang w:val="fr-CA"/>
        </w:rPr>
        <w:t>est cependant pas une doctrine autonome; il s</w:t>
      </w:r>
      <w:r>
        <w:rPr>
          <w:rFonts w:cs="Times New Roman"/>
          <w:lang w:val="fr-CA"/>
        </w:rPr>
        <w:t>’</w:t>
      </w:r>
      <w:r w:rsidRPr="000E14A8">
        <w:rPr>
          <w:rFonts w:cs="Times New Roman"/>
          <w:lang w:val="fr-CA"/>
        </w:rPr>
        <w:t>agit plutôt d</w:t>
      </w:r>
      <w:r>
        <w:rPr>
          <w:rFonts w:cs="Times New Roman"/>
          <w:lang w:val="fr-CA"/>
        </w:rPr>
        <w:t>’</w:t>
      </w:r>
      <w:r w:rsidRPr="000E14A8">
        <w:rPr>
          <w:rFonts w:cs="Times New Roman"/>
          <w:lang w:val="fr-CA"/>
        </w:rPr>
        <w:t xml:space="preserve">un moyen par lequel des actes peuvent être attribués à une </w:t>
      </w:r>
      <w:r w:rsidRPr="000E14A8">
        <w:rPr>
          <w:rFonts w:cs="Times New Roman"/>
          <w:lang w:val="fr-CA"/>
        </w:rPr>
        <w:lastRenderedPageBreak/>
        <w:t>société pour la fin ou la défense particulière en cause. Il s</w:t>
      </w:r>
      <w:r>
        <w:rPr>
          <w:rFonts w:cs="Times New Roman"/>
          <w:lang w:val="fr-CA"/>
        </w:rPr>
        <w:t>’</w:t>
      </w:r>
      <w:r w:rsidRPr="000E14A8">
        <w:rPr>
          <w:rFonts w:cs="Times New Roman"/>
          <w:lang w:val="fr-CA"/>
        </w:rPr>
        <w:t xml:space="preserve">ensuit que cette doctrine commande une analyse indépendante de chaque moyen de défense. </w:t>
      </w:r>
    </w:p>
    <w:p w:rsidR="003A506E" w:rsidRPr="000E14A8" w:rsidRDefault="003A506E" w:rsidP="003A506E">
      <w:pPr>
        <w:pStyle w:val="Title3LevelTitre3Niveau"/>
        <w:rPr>
          <w:rFonts w:cs="Times New Roman"/>
          <w:lang w:val="fr-CA"/>
        </w:rPr>
      </w:pPr>
      <w:r w:rsidRPr="000E14A8">
        <w:rPr>
          <w:rFonts w:cs="Times New Roman"/>
          <w:lang w:val="fr-CA"/>
        </w:rPr>
        <w:t>L</w:t>
      </w:r>
      <w:r>
        <w:rPr>
          <w:rFonts w:cs="Times New Roman"/>
          <w:lang w:val="fr-CA"/>
        </w:rPr>
        <w:t>’</w:t>
      </w:r>
      <w:r w:rsidRPr="000E14A8">
        <w:rPr>
          <w:rFonts w:cs="Times New Roman"/>
          <w:lang w:val="fr-CA"/>
        </w:rPr>
        <w:t>illégalité</w:t>
      </w:r>
    </w:p>
    <w:p w:rsidR="003A506E" w:rsidRPr="000E14A8" w:rsidRDefault="003A506E" w:rsidP="003A506E">
      <w:pPr>
        <w:pStyle w:val="ParaNoNdepar-AltN"/>
        <w:rPr>
          <w:rFonts w:cs="Times New Roman"/>
          <w:lang w:val="fr-CA"/>
        </w:rPr>
      </w:pPr>
      <w:r w:rsidRPr="000E14A8">
        <w:rPr>
          <w:rFonts w:cs="Times New Roman"/>
          <w:lang w:val="fr-CA"/>
        </w:rPr>
        <w:t>La défense d</w:t>
      </w:r>
      <w:r>
        <w:rPr>
          <w:rFonts w:cs="Times New Roman"/>
          <w:lang w:val="fr-CA"/>
        </w:rPr>
        <w:t>’</w:t>
      </w:r>
      <w:r w:rsidRPr="000E14A8">
        <w:rPr>
          <w:rFonts w:cs="Times New Roman"/>
          <w:lang w:val="fr-CA"/>
        </w:rPr>
        <w:t>illégalité fait obstacle à une action en responsabilité délictuelle par ailleurs valide parce que le demandeur a commis un acte illégal ou immoral et qu</w:t>
      </w:r>
      <w:r>
        <w:rPr>
          <w:rFonts w:cs="Times New Roman"/>
          <w:lang w:val="fr-CA"/>
        </w:rPr>
        <w:t>’</w:t>
      </w:r>
      <w:r w:rsidRPr="000E14A8">
        <w:rPr>
          <w:rFonts w:cs="Times New Roman"/>
          <w:lang w:val="fr-CA"/>
        </w:rPr>
        <w:t>il ne devrait donc pas être indemnisé (</w:t>
      </w:r>
      <w:r w:rsidRPr="000E14A8">
        <w:rPr>
          <w:rFonts w:cs="Times New Roman"/>
          <w:i/>
          <w:lang w:val="fr-CA"/>
        </w:rPr>
        <w:t>Hall c. Hebert</w:t>
      </w:r>
      <w:r w:rsidRPr="000E14A8">
        <w:rPr>
          <w:rFonts w:cs="Times New Roman"/>
          <w:lang w:val="fr-CA"/>
        </w:rPr>
        <w:t>,</w:t>
      </w:r>
      <w:r w:rsidRPr="000E14A8">
        <w:rPr>
          <w:rFonts w:cs="Times New Roman"/>
          <w:i/>
          <w:lang w:val="fr-CA"/>
        </w:rPr>
        <w:t xml:space="preserve"> </w:t>
      </w:r>
      <w:r w:rsidRPr="000E14A8">
        <w:rPr>
          <w:rFonts w:cs="Times New Roman"/>
          <w:lang w:val="fr-CA"/>
        </w:rPr>
        <w:t xml:space="preserve">[1993] 2 R.C.S. 159, p. 169; </w:t>
      </w:r>
      <w:r w:rsidRPr="000E14A8">
        <w:rPr>
          <w:rFonts w:cs="Times New Roman"/>
          <w:i/>
          <w:iCs/>
          <w:lang w:val="fr-CA"/>
        </w:rPr>
        <w:t>Colombie</w:t>
      </w:r>
      <w:r w:rsidRPr="000E14A8">
        <w:rPr>
          <w:rFonts w:cs="Times New Roman"/>
          <w:i/>
          <w:iCs/>
          <w:lang w:val="fr-CA"/>
        </w:rPr>
        <w:noBreakHyphen/>
        <w:t xml:space="preserve">Britannique c. </w:t>
      </w:r>
      <w:r w:rsidRPr="000E14A8">
        <w:rPr>
          <w:rFonts w:cs="Times New Roman"/>
          <w:i/>
          <w:lang w:val="fr-CA"/>
        </w:rPr>
        <w:t>Zastowny</w:t>
      </w:r>
      <w:r w:rsidRPr="000E14A8">
        <w:rPr>
          <w:rFonts w:cs="Times New Roman"/>
          <w:lang w:val="fr-CA"/>
        </w:rPr>
        <w:t>, 2008 CSC 4, [2008] 1 R.C.S. 27, par. 20). Fondé sur des considérations d</w:t>
      </w:r>
      <w:r>
        <w:rPr>
          <w:rFonts w:cs="Times New Roman"/>
          <w:lang w:val="fr-CA"/>
        </w:rPr>
        <w:t>’</w:t>
      </w:r>
      <w:r w:rsidRPr="000E14A8">
        <w:rPr>
          <w:rFonts w:cs="Times New Roman"/>
          <w:lang w:val="fr-CA"/>
        </w:rPr>
        <w:t>ordre public, ce moyen ne peut être soulevé que dans des circonstances très « limité[es] », soit seulement lorsqu</w:t>
      </w:r>
      <w:r>
        <w:rPr>
          <w:rFonts w:cs="Times New Roman"/>
          <w:lang w:val="fr-CA"/>
        </w:rPr>
        <w:t>’</w:t>
      </w:r>
      <w:r w:rsidRPr="000E14A8">
        <w:rPr>
          <w:rFonts w:cs="Times New Roman"/>
          <w:lang w:val="fr-CA"/>
        </w:rPr>
        <w:t>il est nécessaire de préserver « l</w:t>
      </w:r>
      <w:r>
        <w:rPr>
          <w:rFonts w:cs="Times New Roman"/>
          <w:lang w:val="fr-CA"/>
        </w:rPr>
        <w:t>’</w:t>
      </w:r>
      <w:r w:rsidRPr="000E14A8">
        <w:rPr>
          <w:rFonts w:cs="Times New Roman"/>
          <w:lang w:val="fr-CA"/>
        </w:rPr>
        <w:t>intégrité du système de justice » (</w:t>
      </w:r>
      <w:r w:rsidRPr="000E14A8">
        <w:rPr>
          <w:rFonts w:cs="Times New Roman"/>
          <w:i/>
          <w:lang w:val="fr-CA"/>
        </w:rPr>
        <w:t>Hall</w:t>
      </w:r>
      <w:r w:rsidRPr="000E14A8">
        <w:rPr>
          <w:rFonts w:cs="Times New Roman"/>
          <w:lang w:val="fr-CA"/>
        </w:rPr>
        <w:t>, p. 179</w:t>
      </w:r>
      <w:r w:rsidRPr="000E14A8">
        <w:rPr>
          <w:rFonts w:cs="Times New Roman"/>
          <w:lang w:val="fr-CA"/>
        </w:rPr>
        <w:noBreakHyphen/>
        <w:t>180). Et l</w:t>
      </w:r>
      <w:r>
        <w:rPr>
          <w:rFonts w:cs="Times New Roman"/>
          <w:lang w:val="fr-CA"/>
        </w:rPr>
        <w:t>’</w:t>
      </w:r>
      <w:r w:rsidRPr="000E14A8">
        <w:rPr>
          <w:rFonts w:cs="Times New Roman"/>
          <w:lang w:val="fr-CA"/>
        </w:rPr>
        <w:t>intégrité du système de justice ne sera compromise que lorsque « l</w:t>
      </w:r>
      <w:r>
        <w:rPr>
          <w:rFonts w:cs="Times New Roman"/>
          <w:lang w:val="fr-CA"/>
        </w:rPr>
        <w:t>’</w:t>
      </w:r>
      <w:r w:rsidRPr="000E14A8">
        <w:rPr>
          <w:rFonts w:cs="Times New Roman"/>
          <w:lang w:val="fr-CA"/>
        </w:rPr>
        <w:t>attribution de dommages</w:t>
      </w:r>
      <w:r w:rsidRPr="000E14A8">
        <w:rPr>
          <w:rFonts w:cs="Times New Roman"/>
          <w:lang w:val="fr-CA"/>
        </w:rPr>
        <w:noBreakHyphen/>
        <w:t>intérêts dans une poursuite civile aurait pour effet de permettre à une personne de tirer profit de sa conduite illégale ou fautive, ou de faire en sorte qu</w:t>
      </w:r>
      <w:r>
        <w:rPr>
          <w:rFonts w:cs="Times New Roman"/>
          <w:lang w:val="fr-CA"/>
        </w:rPr>
        <w:t>’</w:t>
      </w:r>
      <w:r w:rsidRPr="000E14A8">
        <w:rPr>
          <w:rFonts w:cs="Times New Roman"/>
          <w:lang w:val="fr-CA"/>
        </w:rPr>
        <w:t>elle échappe à une sanction pénale ou qu</w:t>
      </w:r>
      <w:r>
        <w:rPr>
          <w:rFonts w:cs="Times New Roman"/>
          <w:lang w:val="fr-CA"/>
        </w:rPr>
        <w:t>’</w:t>
      </w:r>
      <w:r w:rsidRPr="000E14A8">
        <w:rPr>
          <w:rFonts w:cs="Times New Roman"/>
          <w:lang w:val="fr-CA"/>
        </w:rPr>
        <w:t>elle bénéficie d</w:t>
      </w:r>
      <w:r>
        <w:rPr>
          <w:rFonts w:cs="Times New Roman"/>
          <w:lang w:val="fr-CA"/>
        </w:rPr>
        <w:t>’</w:t>
      </w:r>
      <w:r w:rsidRPr="000E14A8">
        <w:rPr>
          <w:rFonts w:cs="Times New Roman"/>
          <w:lang w:val="fr-CA"/>
        </w:rPr>
        <w:t>une réduction de cette sanction » (</w:t>
      </w:r>
      <w:r w:rsidR="00A754A5">
        <w:rPr>
          <w:rFonts w:cs="Times New Roman"/>
          <w:i/>
          <w:lang w:val="fr-CA"/>
        </w:rPr>
        <w:t>ibid.</w:t>
      </w:r>
      <w:r w:rsidRPr="000E14A8">
        <w:rPr>
          <w:rFonts w:cs="Times New Roman"/>
          <w:lang w:val="fr-CA"/>
        </w:rPr>
        <w:t>,</w:t>
      </w:r>
      <w:r w:rsidRPr="000E14A8">
        <w:rPr>
          <w:rFonts w:cs="Times New Roman"/>
          <w:i/>
          <w:lang w:val="fr-CA"/>
        </w:rPr>
        <w:t xml:space="preserve"> </w:t>
      </w:r>
      <w:r w:rsidRPr="000E14A8">
        <w:rPr>
          <w:rFonts w:cs="Times New Roman"/>
          <w:lang w:val="fr-CA"/>
        </w:rPr>
        <w:t xml:space="preserve">p. 169; </w:t>
      </w:r>
      <w:r w:rsidRPr="000E14A8">
        <w:rPr>
          <w:rFonts w:cs="Times New Roman"/>
          <w:i/>
          <w:lang w:val="fr-CA"/>
        </w:rPr>
        <w:t>Zastowny</w:t>
      </w:r>
      <w:r w:rsidRPr="000E14A8">
        <w:rPr>
          <w:rFonts w:cs="Times New Roman"/>
          <w:lang w:val="fr-CA"/>
        </w:rPr>
        <w:t xml:space="preserve">, par. 3). </w:t>
      </w:r>
    </w:p>
    <w:p w:rsidR="003A506E" w:rsidRPr="000E14A8" w:rsidRDefault="003A506E" w:rsidP="003A506E">
      <w:pPr>
        <w:pStyle w:val="ParaNoNdepar-AltN"/>
        <w:rPr>
          <w:rFonts w:cs="Times New Roman"/>
          <w:lang w:val="fr-CA"/>
        </w:rPr>
      </w:pPr>
      <w:r w:rsidRPr="000E14A8">
        <w:rPr>
          <w:rFonts w:cs="Times New Roman"/>
          <w:lang w:val="fr-CA"/>
        </w:rPr>
        <w:t>En l</w:t>
      </w:r>
      <w:r>
        <w:rPr>
          <w:rFonts w:cs="Times New Roman"/>
          <w:lang w:val="fr-CA"/>
        </w:rPr>
        <w:t>’</w:t>
      </w:r>
      <w:r w:rsidRPr="000E14A8">
        <w:rPr>
          <w:rFonts w:cs="Times New Roman"/>
          <w:lang w:val="fr-CA"/>
        </w:rPr>
        <w:t>espèce, la seule conduite illégale ou fautive a été commise par les administrateurs de Livent, Drabinsky et Gottlieb, et par certains de ses dirigeants. Ainsi, pour que Deloitte puisse invoquer la défense d</w:t>
      </w:r>
      <w:r>
        <w:rPr>
          <w:rFonts w:cs="Times New Roman"/>
          <w:lang w:val="fr-CA"/>
        </w:rPr>
        <w:t>’</w:t>
      </w:r>
      <w:r w:rsidRPr="000E14A8">
        <w:rPr>
          <w:rFonts w:cs="Times New Roman"/>
          <w:lang w:val="fr-CA"/>
        </w:rPr>
        <w:t>illégalité, elle doit pouvoir attribuer la « conduite illégale ou fautive » de certains administrateurs et dirigeants à Livent elle</w:t>
      </w:r>
      <w:r w:rsidRPr="000E14A8">
        <w:rPr>
          <w:rFonts w:cs="Times New Roman"/>
          <w:lang w:val="fr-CA"/>
        </w:rPr>
        <w:noBreakHyphen/>
        <w:t xml:space="preserve">même, la demanderesse dans la présente affaire. </w:t>
      </w:r>
    </w:p>
    <w:p w:rsidR="003A506E" w:rsidRPr="000E14A8" w:rsidRDefault="003A506E" w:rsidP="003A506E">
      <w:pPr>
        <w:pStyle w:val="ParaNoNdepar-AltN"/>
        <w:rPr>
          <w:rFonts w:cs="Times New Roman"/>
          <w:lang w:val="fr-CA"/>
        </w:rPr>
      </w:pPr>
      <w:r w:rsidRPr="000E14A8">
        <w:rPr>
          <w:rFonts w:cs="Times New Roman"/>
          <w:lang w:val="fr-CA"/>
        </w:rPr>
        <w:t>Le critère applicable à l</w:t>
      </w:r>
      <w:r>
        <w:rPr>
          <w:rFonts w:cs="Times New Roman"/>
          <w:lang w:val="fr-CA"/>
        </w:rPr>
        <w:t>’</w:t>
      </w:r>
      <w:r w:rsidRPr="000E14A8">
        <w:rPr>
          <w:rFonts w:cs="Times New Roman"/>
          <w:lang w:val="fr-CA"/>
        </w:rPr>
        <w:t>attribution d</w:t>
      </w:r>
      <w:r>
        <w:rPr>
          <w:rFonts w:cs="Times New Roman"/>
          <w:lang w:val="fr-CA"/>
        </w:rPr>
        <w:t>’</w:t>
      </w:r>
      <w:r w:rsidRPr="000E14A8">
        <w:rPr>
          <w:rFonts w:cs="Times New Roman"/>
          <w:lang w:val="fr-CA"/>
        </w:rPr>
        <w:t>un acte à une société a été énoncé par notre Cour dans l</w:t>
      </w:r>
      <w:r>
        <w:rPr>
          <w:rFonts w:cs="Times New Roman"/>
          <w:lang w:val="fr-CA"/>
        </w:rPr>
        <w:t>’</w:t>
      </w:r>
      <w:r w:rsidRPr="000E14A8">
        <w:rPr>
          <w:rFonts w:cs="Times New Roman"/>
          <w:lang w:val="fr-CA"/>
        </w:rPr>
        <w:t xml:space="preserve">arrêt </w:t>
      </w:r>
      <w:r w:rsidRPr="000E14A8">
        <w:rPr>
          <w:rFonts w:cs="Times New Roman"/>
          <w:i/>
          <w:lang w:val="fr-CA"/>
        </w:rPr>
        <w:t>Canadian Dredge &amp; Dock Co. c. La Reine</w:t>
      </w:r>
      <w:r w:rsidRPr="000E14A8">
        <w:rPr>
          <w:rFonts w:cs="Times New Roman"/>
          <w:lang w:val="fr-CA"/>
        </w:rPr>
        <w:t xml:space="preserve">, [1985] 1 R.C.S. 662. </w:t>
      </w:r>
      <w:r w:rsidRPr="000E14A8">
        <w:rPr>
          <w:rFonts w:cs="Times New Roman"/>
          <w:lang w:val="fr-CA"/>
        </w:rPr>
        <w:lastRenderedPageBreak/>
        <w:t>Afin de pouvoir imputer les actes frauduleux d</w:t>
      </w:r>
      <w:r>
        <w:rPr>
          <w:rFonts w:cs="Times New Roman"/>
          <w:lang w:val="fr-CA"/>
        </w:rPr>
        <w:t>’</w:t>
      </w:r>
      <w:r w:rsidRPr="000E14A8">
        <w:rPr>
          <w:rFonts w:cs="Times New Roman"/>
          <w:lang w:val="fr-CA"/>
        </w:rPr>
        <w:t>un employé à la société qui l</w:t>
      </w:r>
      <w:r>
        <w:rPr>
          <w:rFonts w:cs="Times New Roman"/>
          <w:lang w:val="fr-CA"/>
        </w:rPr>
        <w:t>’</w:t>
      </w:r>
      <w:r w:rsidRPr="000E14A8">
        <w:rPr>
          <w:rFonts w:cs="Times New Roman"/>
          <w:lang w:val="fr-CA"/>
        </w:rPr>
        <w:t>emploie, deux conditions doivent être remplies : (1) l</w:t>
      </w:r>
      <w:r>
        <w:rPr>
          <w:rFonts w:cs="Times New Roman"/>
          <w:lang w:val="fr-CA"/>
        </w:rPr>
        <w:t>’</w:t>
      </w:r>
      <w:r w:rsidRPr="000E14A8">
        <w:rPr>
          <w:rFonts w:cs="Times New Roman"/>
          <w:lang w:val="fr-CA"/>
        </w:rPr>
        <w:t>auteur de la faute doit être l`âme dirigeante de la société; et (2) les actes fautifs de l</w:t>
      </w:r>
      <w:r>
        <w:rPr>
          <w:rFonts w:cs="Times New Roman"/>
          <w:lang w:val="fr-CA"/>
        </w:rPr>
        <w:t>’</w:t>
      </w:r>
      <w:r w:rsidRPr="000E14A8">
        <w:rPr>
          <w:rFonts w:cs="Times New Roman"/>
          <w:lang w:val="fr-CA"/>
        </w:rPr>
        <w:t>âme dirigeante ne doivent pas excéder son pouvoir, en ce sens qu</w:t>
      </w:r>
      <w:r>
        <w:rPr>
          <w:rFonts w:cs="Times New Roman"/>
          <w:lang w:val="fr-CA"/>
        </w:rPr>
        <w:t>’</w:t>
      </w:r>
      <w:r w:rsidRPr="000E14A8">
        <w:rPr>
          <w:rFonts w:cs="Times New Roman"/>
          <w:lang w:val="fr-CA"/>
        </w:rPr>
        <w:t>ils doivent être accomplis dans le cadre du secteur d</w:t>
      </w:r>
      <w:r>
        <w:rPr>
          <w:rFonts w:cs="Times New Roman"/>
          <w:lang w:val="fr-CA"/>
        </w:rPr>
        <w:t>’</w:t>
      </w:r>
      <w:r w:rsidRPr="000E14A8">
        <w:rPr>
          <w:rFonts w:cs="Times New Roman"/>
          <w:lang w:val="fr-CA"/>
        </w:rPr>
        <w:t>activités de la société qui lui est attribué. Pour les besoins de cette analyse, une personne cessera d</w:t>
      </w:r>
      <w:r>
        <w:rPr>
          <w:rFonts w:cs="Times New Roman"/>
          <w:lang w:val="fr-CA"/>
        </w:rPr>
        <w:t>’</w:t>
      </w:r>
      <w:r w:rsidRPr="000E14A8">
        <w:rPr>
          <w:rFonts w:cs="Times New Roman"/>
          <w:lang w:val="fr-CA"/>
        </w:rPr>
        <w:t>être une âme dirigeante à moins que l</w:t>
      </w:r>
      <w:r>
        <w:rPr>
          <w:rFonts w:cs="Times New Roman"/>
          <w:lang w:val="fr-CA"/>
        </w:rPr>
        <w:t>’</w:t>
      </w:r>
      <w:r w:rsidRPr="000E14A8">
        <w:rPr>
          <w:rFonts w:cs="Times New Roman"/>
          <w:lang w:val="fr-CA"/>
        </w:rPr>
        <w:t>acte qu</w:t>
      </w:r>
      <w:r>
        <w:rPr>
          <w:rFonts w:cs="Times New Roman"/>
          <w:lang w:val="fr-CA"/>
        </w:rPr>
        <w:t>’</w:t>
      </w:r>
      <w:r w:rsidRPr="000E14A8">
        <w:rPr>
          <w:rFonts w:cs="Times New Roman"/>
          <w:lang w:val="fr-CA"/>
        </w:rPr>
        <w:t>elle a commis (1) n</w:t>
      </w:r>
      <w:r>
        <w:rPr>
          <w:rFonts w:cs="Times New Roman"/>
          <w:lang w:val="fr-CA"/>
        </w:rPr>
        <w:t>’</w:t>
      </w:r>
      <w:r w:rsidRPr="000E14A8">
        <w:rPr>
          <w:rFonts w:cs="Times New Roman"/>
          <w:lang w:val="fr-CA"/>
        </w:rPr>
        <w:t>ait pas été complètement frauduleux envers la société; et (2) ait eu en partie pour but ou pour conséquence de procurer un avantage à la société (p. 681</w:t>
      </w:r>
      <w:r w:rsidRPr="000E14A8">
        <w:rPr>
          <w:rFonts w:cs="Times New Roman"/>
          <w:lang w:val="fr-CA"/>
        </w:rPr>
        <w:noBreakHyphen/>
        <w:t>682 et 712</w:t>
      </w:r>
      <w:r w:rsidRPr="000E14A8">
        <w:rPr>
          <w:rFonts w:cs="Times New Roman"/>
          <w:lang w:val="fr-CA"/>
        </w:rPr>
        <w:noBreakHyphen/>
        <w:t>713).</w:t>
      </w:r>
    </w:p>
    <w:p w:rsidR="003A506E" w:rsidRPr="000E14A8" w:rsidRDefault="003A506E" w:rsidP="003A506E">
      <w:pPr>
        <w:pStyle w:val="ParaNoNdepar-AltN"/>
        <w:rPr>
          <w:rFonts w:cs="Times New Roman"/>
          <w:lang w:val="fr-CA"/>
        </w:rPr>
      </w:pPr>
      <w:r w:rsidRPr="000E14A8">
        <w:rPr>
          <w:rFonts w:cs="Times New Roman"/>
          <w:lang w:val="fr-CA"/>
        </w:rPr>
        <w:t>À première vue, il semblerait que l</w:t>
      </w:r>
      <w:r>
        <w:rPr>
          <w:rFonts w:cs="Times New Roman"/>
          <w:lang w:val="fr-CA"/>
        </w:rPr>
        <w:t>’</w:t>
      </w:r>
      <w:r w:rsidRPr="000E14A8">
        <w:rPr>
          <w:rFonts w:cs="Times New Roman"/>
          <w:lang w:val="fr-CA"/>
        </w:rPr>
        <w:t>on ait satisfait à ces conditions en l</w:t>
      </w:r>
      <w:r>
        <w:rPr>
          <w:rFonts w:cs="Times New Roman"/>
          <w:lang w:val="fr-CA"/>
        </w:rPr>
        <w:t>’</w:t>
      </w:r>
      <w:r w:rsidRPr="000E14A8">
        <w:rPr>
          <w:rFonts w:cs="Times New Roman"/>
          <w:lang w:val="fr-CA"/>
        </w:rPr>
        <w:t>espèce. Drabinsky et Gottlieb étaient les âmes dirigeantes, leurs actes relevaient du secteur d</w:t>
      </w:r>
      <w:r>
        <w:rPr>
          <w:rFonts w:cs="Times New Roman"/>
          <w:lang w:val="fr-CA"/>
        </w:rPr>
        <w:t>’</w:t>
      </w:r>
      <w:r w:rsidRPr="000E14A8">
        <w:rPr>
          <w:rFonts w:cs="Times New Roman"/>
          <w:lang w:val="fr-CA"/>
        </w:rPr>
        <w:t>activités de la société qui leur était attribué, et leurs actes frauduleux avaient véritablement pour but de tenter d</w:t>
      </w:r>
      <w:r>
        <w:rPr>
          <w:rFonts w:cs="Times New Roman"/>
          <w:lang w:val="fr-CA"/>
        </w:rPr>
        <w:t>’</w:t>
      </w:r>
      <w:r w:rsidRPr="000E14A8">
        <w:rPr>
          <w:rFonts w:cs="Times New Roman"/>
          <w:lang w:val="fr-CA"/>
        </w:rPr>
        <w:t>aider Livent en prolongeant artificiellement son existence. En fait, l</w:t>
      </w:r>
      <w:r>
        <w:rPr>
          <w:rFonts w:cs="Times New Roman"/>
          <w:lang w:val="fr-CA"/>
        </w:rPr>
        <w:t>’</w:t>
      </w:r>
      <w:r w:rsidRPr="000E14A8">
        <w:rPr>
          <w:rFonts w:cs="Times New Roman"/>
          <w:lang w:val="fr-CA"/>
        </w:rPr>
        <w:t>application de la doctrine en l</w:t>
      </w:r>
      <w:r>
        <w:rPr>
          <w:rFonts w:cs="Times New Roman"/>
          <w:lang w:val="fr-CA"/>
        </w:rPr>
        <w:t>’</w:t>
      </w:r>
      <w:r w:rsidRPr="000E14A8">
        <w:rPr>
          <w:rFonts w:cs="Times New Roman"/>
          <w:lang w:val="fr-CA"/>
        </w:rPr>
        <w:t>espèce s</w:t>
      </w:r>
      <w:r>
        <w:rPr>
          <w:rFonts w:cs="Times New Roman"/>
          <w:lang w:val="fr-CA"/>
        </w:rPr>
        <w:t>’</w:t>
      </w:r>
      <w:r w:rsidRPr="000E14A8">
        <w:rPr>
          <w:rFonts w:cs="Times New Roman"/>
          <w:lang w:val="fr-CA"/>
        </w:rPr>
        <w:t xml:space="preserve">accorderait avec la décision dans </w:t>
      </w:r>
      <w:r w:rsidRPr="000E14A8">
        <w:rPr>
          <w:rFonts w:cs="Times New Roman"/>
          <w:i/>
          <w:lang w:val="fr-CA"/>
        </w:rPr>
        <w:t>Hart Building Supplies Ltd. c. Deloitte &amp; Touche</w:t>
      </w:r>
      <w:r w:rsidRPr="000E14A8">
        <w:rPr>
          <w:rFonts w:cs="Times New Roman"/>
          <w:lang w:val="fr-CA"/>
        </w:rPr>
        <w:t>,</w:t>
      </w:r>
      <w:r w:rsidRPr="000E14A8">
        <w:rPr>
          <w:rFonts w:cs="Times New Roman"/>
          <w:i/>
          <w:lang w:val="fr-CA"/>
        </w:rPr>
        <w:t xml:space="preserve"> </w:t>
      </w:r>
      <w:r w:rsidRPr="000E14A8">
        <w:rPr>
          <w:rFonts w:cs="Times New Roman"/>
          <w:lang w:val="fr-CA"/>
        </w:rPr>
        <w:t>2004 BCSC 55, 41 C.C.L.T. (3d) 240, dont les faits sont analogues à ceux de l</w:t>
      </w:r>
      <w:r>
        <w:rPr>
          <w:rFonts w:cs="Times New Roman"/>
          <w:lang w:val="fr-CA"/>
        </w:rPr>
        <w:t>’</w:t>
      </w:r>
      <w:r w:rsidRPr="000E14A8">
        <w:rPr>
          <w:rFonts w:cs="Times New Roman"/>
          <w:lang w:val="fr-CA"/>
        </w:rPr>
        <w:t>espèce. Dans cette affaire, le critère établi par notre Cour dans l</w:t>
      </w:r>
      <w:r>
        <w:rPr>
          <w:rFonts w:cs="Times New Roman"/>
          <w:lang w:val="fr-CA"/>
        </w:rPr>
        <w:t>’</w:t>
      </w:r>
      <w:r w:rsidRPr="000E14A8">
        <w:rPr>
          <w:rFonts w:cs="Times New Roman"/>
          <w:lang w:val="fr-CA"/>
        </w:rPr>
        <w:t xml:space="preserve">arrêt </w:t>
      </w:r>
      <w:r w:rsidRPr="000E14A8">
        <w:rPr>
          <w:rFonts w:cs="Times New Roman"/>
          <w:i/>
          <w:lang w:val="fr-CA"/>
        </w:rPr>
        <w:t>Canadian Dredge</w:t>
      </w:r>
      <w:r w:rsidRPr="000E14A8">
        <w:rPr>
          <w:rFonts w:cs="Times New Roman"/>
          <w:lang w:val="fr-CA"/>
        </w:rPr>
        <w:t xml:space="preserve"> a été rigoureusement appliqué dans le contexte d</w:t>
      </w:r>
      <w:r>
        <w:rPr>
          <w:rFonts w:cs="Times New Roman"/>
          <w:lang w:val="fr-CA"/>
        </w:rPr>
        <w:t>’</w:t>
      </w:r>
      <w:r w:rsidRPr="000E14A8">
        <w:rPr>
          <w:rFonts w:cs="Times New Roman"/>
          <w:lang w:val="fr-CA"/>
        </w:rPr>
        <w:t>une action civile pour négligence intentée contre un vérificateur, et ses conditions ont été remplies. La cour a imputé les actes frauduleux de [</w:t>
      </w:r>
      <w:r w:rsidRPr="000E14A8">
        <w:rPr>
          <w:rFonts w:cs="Times New Roman"/>
          <w:smallCaps/>
          <w:lang w:val="fr-CA"/>
        </w:rPr>
        <w:t>traduction</w:t>
      </w:r>
      <w:r w:rsidRPr="000E14A8">
        <w:rPr>
          <w:rFonts w:cs="Times New Roman"/>
          <w:lang w:val="fr-CA"/>
        </w:rPr>
        <w:t>] « l</w:t>
      </w:r>
      <w:r>
        <w:rPr>
          <w:rFonts w:cs="Times New Roman"/>
          <w:lang w:val="fr-CA"/>
        </w:rPr>
        <w:t>’</w:t>
      </w:r>
      <w:r w:rsidRPr="000E14A8">
        <w:rPr>
          <w:rFonts w:cs="Times New Roman"/>
          <w:lang w:val="fr-CA"/>
        </w:rPr>
        <w:t>alter ego et âme dirigeante » à la société cliente du vérificateur et a exclu toute indemnisation pour la préparation négligente par le vérificateur d</w:t>
      </w:r>
      <w:r>
        <w:rPr>
          <w:rFonts w:cs="Times New Roman"/>
          <w:lang w:val="fr-CA"/>
        </w:rPr>
        <w:t>’</w:t>
      </w:r>
      <w:r w:rsidRPr="000E14A8">
        <w:rPr>
          <w:rFonts w:cs="Times New Roman"/>
          <w:lang w:val="fr-CA"/>
        </w:rPr>
        <w:t>une vérification exigée par la loi.</w:t>
      </w:r>
    </w:p>
    <w:p w:rsidR="003A506E" w:rsidRPr="000E14A8" w:rsidRDefault="003A506E" w:rsidP="003A506E">
      <w:pPr>
        <w:pStyle w:val="ParaNoNdepar-AltN"/>
        <w:rPr>
          <w:rFonts w:cs="Times New Roman"/>
          <w:lang w:val="fr-CA"/>
        </w:rPr>
      </w:pPr>
      <w:r w:rsidRPr="000E14A8">
        <w:rPr>
          <w:rFonts w:cs="Times New Roman"/>
          <w:lang w:val="fr-CA"/>
        </w:rPr>
        <w:t>À notre avis, toutefois, l</w:t>
      </w:r>
      <w:r>
        <w:rPr>
          <w:rFonts w:cs="Times New Roman"/>
          <w:lang w:val="fr-CA"/>
        </w:rPr>
        <w:t>’</w:t>
      </w:r>
      <w:r w:rsidRPr="000E14A8">
        <w:rPr>
          <w:rFonts w:cs="Times New Roman"/>
          <w:lang w:val="fr-CA"/>
        </w:rPr>
        <w:t xml:space="preserve">application stricte de la décision de notre Cour dans </w:t>
      </w:r>
      <w:r w:rsidRPr="000E14A8">
        <w:rPr>
          <w:rFonts w:cs="Times New Roman"/>
          <w:i/>
          <w:lang w:val="fr-CA"/>
        </w:rPr>
        <w:t xml:space="preserve">Canadian Dredge </w:t>
      </w:r>
      <w:r w:rsidRPr="000E14A8">
        <w:rPr>
          <w:rFonts w:cs="Times New Roman"/>
          <w:lang w:val="fr-CA"/>
        </w:rPr>
        <w:t>n</w:t>
      </w:r>
      <w:r>
        <w:rPr>
          <w:rFonts w:cs="Times New Roman"/>
          <w:lang w:val="fr-CA"/>
        </w:rPr>
        <w:t>’</w:t>
      </w:r>
      <w:r w:rsidRPr="000E14A8">
        <w:rPr>
          <w:rFonts w:cs="Times New Roman"/>
          <w:lang w:val="fr-CA"/>
        </w:rPr>
        <w:t xml:space="preserve">était pas justifiée dans </w:t>
      </w:r>
      <w:r w:rsidRPr="000E14A8">
        <w:rPr>
          <w:rFonts w:cs="Times New Roman"/>
          <w:i/>
          <w:lang w:val="fr-CA"/>
        </w:rPr>
        <w:t>Hart</w:t>
      </w:r>
      <w:r w:rsidRPr="000E14A8">
        <w:rPr>
          <w:rFonts w:cs="Times New Roman"/>
          <w:lang w:val="fr-CA"/>
        </w:rPr>
        <w:t>, et elle n</w:t>
      </w:r>
      <w:r>
        <w:rPr>
          <w:rFonts w:cs="Times New Roman"/>
          <w:lang w:val="fr-CA"/>
        </w:rPr>
        <w:t>’</w:t>
      </w:r>
      <w:r w:rsidRPr="000E14A8">
        <w:rPr>
          <w:rFonts w:cs="Times New Roman"/>
          <w:lang w:val="fr-CA"/>
        </w:rPr>
        <w:t xml:space="preserve">est pas justifiée en </w:t>
      </w:r>
      <w:r w:rsidRPr="000E14A8">
        <w:rPr>
          <w:rFonts w:cs="Times New Roman"/>
          <w:lang w:val="fr-CA"/>
        </w:rPr>
        <w:lastRenderedPageBreak/>
        <w:t>l</w:t>
      </w:r>
      <w:r>
        <w:rPr>
          <w:rFonts w:cs="Times New Roman"/>
          <w:lang w:val="fr-CA"/>
        </w:rPr>
        <w:t>’</w:t>
      </w:r>
      <w:r w:rsidRPr="000E14A8">
        <w:rPr>
          <w:rFonts w:cs="Times New Roman"/>
          <w:lang w:val="fr-CA"/>
        </w:rPr>
        <w:t>espèce. Il convient de rappeler que l</w:t>
      </w:r>
      <w:r>
        <w:rPr>
          <w:rFonts w:cs="Times New Roman"/>
          <w:lang w:val="fr-CA"/>
        </w:rPr>
        <w:t>’</w:t>
      </w:r>
      <w:r w:rsidRPr="000E14A8">
        <w:rPr>
          <w:rFonts w:cs="Times New Roman"/>
          <w:lang w:val="fr-CA"/>
        </w:rPr>
        <w:t xml:space="preserve">arrêt </w:t>
      </w:r>
      <w:r w:rsidRPr="000E14A8">
        <w:rPr>
          <w:rFonts w:cs="Times New Roman"/>
          <w:i/>
          <w:lang w:val="fr-CA"/>
        </w:rPr>
        <w:t>Canadian Dredge</w:t>
      </w:r>
      <w:r w:rsidRPr="000E14A8">
        <w:rPr>
          <w:rFonts w:cs="Times New Roman"/>
          <w:lang w:val="fr-CA"/>
        </w:rPr>
        <w:t xml:space="preserve"> s</w:t>
      </w:r>
      <w:r>
        <w:rPr>
          <w:rFonts w:cs="Times New Roman"/>
          <w:lang w:val="fr-CA"/>
        </w:rPr>
        <w:t>’</w:t>
      </w:r>
      <w:r w:rsidRPr="000E14A8">
        <w:rPr>
          <w:rFonts w:cs="Times New Roman"/>
          <w:lang w:val="fr-CA"/>
        </w:rPr>
        <w:t>inscrit dans un contexte de responsabilité criminelle. Ainsi, la question sous</w:t>
      </w:r>
      <w:r w:rsidRPr="000E14A8">
        <w:rPr>
          <w:rFonts w:cs="Times New Roman"/>
          <w:lang w:val="fr-CA"/>
        </w:rPr>
        <w:noBreakHyphen/>
        <w:t>jacente dans cette affaire était de savoir qui devait porter la responsabilité des actes criminels de l</w:t>
      </w:r>
      <w:r>
        <w:rPr>
          <w:rFonts w:cs="Times New Roman"/>
          <w:lang w:val="fr-CA"/>
        </w:rPr>
        <w:t>’</w:t>
      </w:r>
      <w:r w:rsidRPr="000E14A8">
        <w:rPr>
          <w:rFonts w:cs="Times New Roman"/>
          <w:lang w:val="fr-CA"/>
        </w:rPr>
        <w:t>âme dirigeante d</w:t>
      </w:r>
      <w:r>
        <w:rPr>
          <w:rFonts w:cs="Times New Roman"/>
          <w:lang w:val="fr-CA"/>
        </w:rPr>
        <w:t>’</w:t>
      </w:r>
      <w:r w:rsidRPr="000E14A8">
        <w:rPr>
          <w:rFonts w:cs="Times New Roman"/>
          <w:lang w:val="fr-CA"/>
        </w:rPr>
        <w:t>une société. En conséquence, les facteurs de politique générale dégagés dans cette affaire qui favorisent l</w:t>
      </w:r>
      <w:r>
        <w:rPr>
          <w:rFonts w:cs="Times New Roman"/>
          <w:lang w:val="fr-CA"/>
        </w:rPr>
        <w:t>’</w:t>
      </w:r>
      <w:r w:rsidRPr="000E14A8">
        <w:rPr>
          <w:rFonts w:cs="Times New Roman"/>
          <w:lang w:val="fr-CA"/>
        </w:rPr>
        <w:t>imputation à la société de l</w:t>
      </w:r>
      <w:r>
        <w:rPr>
          <w:rFonts w:cs="Times New Roman"/>
          <w:lang w:val="fr-CA"/>
        </w:rPr>
        <w:t>’</w:t>
      </w:r>
      <w:r w:rsidRPr="000E14A8">
        <w:rPr>
          <w:rFonts w:cs="Times New Roman"/>
          <w:lang w:val="fr-CA"/>
        </w:rPr>
        <w:t>illégalité ou des actes fautifs de son âme dirigeante, découlaient de l</w:t>
      </w:r>
      <w:r>
        <w:rPr>
          <w:rFonts w:cs="Times New Roman"/>
          <w:lang w:val="fr-CA"/>
        </w:rPr>
        <w:t>’</w:t>
      </w:r>
      <w:r w:rsidRPr="000E14A8">
        <w:rPr>
          <w:rFonts w:cs="Times New Roman"/>
          <w:lang w:val="fr-CA"/>
        </w:rPr>
        <w:t>« avantage social » à tenir une société responsable des actes</w:t>
      </w:r>
      <w:r w:rsidRPr="000E14A8">
        <w:rPr>
          <w:rFonts w:cs="Times New Roman"/>
          <w:i/>
          <w:lang w:val="fr-CA"/>
        </w:rPr>
        <w:t xml:space="preserve"> criminels</w:t>
      </w:r>
      <w:r w:rsidRPr="000E14A8">
        <w:rPr>
          <w:rFonts w:cs="Times New Roman"/>
          <w:lang w:val="fr-CA"/>
        </w:rPr>
        <w:t xml:space="preserve"> de ses employés lorsque ces actes sont expressément conçus et accomplis, du moins en partie, pour profiter à la société (</w:t>
      </w:r>
      <w:r w:rsidRPr="000E14A8">
        <w:rPr>
          <w:rFonts w:cs="Times New Roman"/>
          <w:i/>
          <w:lang w:val="fr-CA"/>
        </w:rPr>
        <w:t>Canadian Dredge</w:t>
      </w:r>
      <w:r w:rsidRPr="000E14A8">
        <w:rPr>
          <w:rFonts w:cs="Times New Roman"/>
          <w:lang w:val="fr-CA"/>
        </w:rPr>
        <w:t>, p. 704).</w:t>
      </w:r>
    </w:p>
    <w:p w:rsidR="003A506E" w:rsidRPr="000E14A8" w:rsidRDefault="003A506E" w:rsidP="003A506E">
      <w:pPr>
        <w:pStyle w:val="ParaNoNdepar-AltN"/>
        <w:rPr>
          <w:rFonts w:cs="Times New Roman"/>
          <w:lang w:val="fr-CA"/>
        </w:rPr>
      </w:pPr>
      <w:r w:rsidRPr="000E14A8">
        <w:rPr>
          <w:rFonts w:cs="Times New Roman"/>
          <w:lang w:val="fr-CA"/>
        </w:rPr>
        <w:t>Cependant, comme le juge Estey l</w:t>
      </w:r>
      <w:r>
        <w:rPr>
          <w:rFonts w:cs="Times New Roman"/>
          <w:lang w:val="fr-CA"/>
        </w:rPr>
        <w:t>’</w:t>
      </w:r>
      <w:r w:rsidRPr="000E14A8">
        <w:rPr>
          <w:rFonts w:cs="Times New Roman"/>
          <w:lang w:val="fr-CA"/>
        </w:rPr>
        <w:t>a lui</w:t>
      </w:r>
      <w:r w:rsidRPr="000E14A8">
        <w:rPr>
          <w:rFonts w:cs="Times New Roman"/>
          <w:lang w:val="fr-CA"/>
        </w:rPr>
        <w:noBreakHyphen/>
        <w:t>même reconnu, la doctrine n</w:t>
      </w:r>
      <w:r>
        <w:rPr>
          <w:rFonts w:cs="Times New Roman"/>
          <w:lang w:val="fr-CA"/>
        </w:rPr>
        <w:t>’</w:t>
      </w:r>
      <w:r w:rsidRPr="000E14A8">
        <w:rPr>
          <w:rFonts w:cs="Times New Roman"/>
          <w:lang w:val="fr-CA"/>
        </w:rPr>
        <w:t>en est qu</w:t>
      </w:r>
      <w:r>
        <w:rPr>
          <w:rFonts w:cs="Times New Roman"/>
          <w:lang w:val="fr-CA"/>
        </w:rPr>
        <w:t>’</w:t>
      </w:r>
      <w:r w:rsidRPr="000E14A8">
        <w:rPr>
          <w:rFonts w:cs="Times New Roman"/>
          <w:lang w:val="fr-CA"/>
        </w:rPr>
        <w:t xml:space="preserve">une de « nécessité juridique », et lorsque son application « ne protégerait aucun intérêt de la collectivité » </w:t>
      </w:r>
      <w:r w:rsidR="00ED07F3">
        <w:rPr>
          <w:rFonts w:cs="Times New Roman"/>
          <w:lang w:val="fr-CA"/>
        </w:rPr>
        <w:t xml:space="preserve">ni </w:t>
      </w:r>
      <w:r w:rsidRPr="000E14A8">
        <w:rPr>
          <w:rFonts w:cs="Times New Roman"/>
          <w:lang w:val="fr-CA"/>
        </w:rPr>
        <w:t>ne « favorisera[it] l</w:t>
      </w:r>
      <w:r>
        <w:rPr>
          <w:rFonts w:cs="Times New Roman"/>
          <w:lang w:val="fr-CA"/>
        </w:rPr>
        <w:t>’</w:t>
      </w:r>
      <w:r w:rsidRPr="000E14A8">
        <w:rPr>
          <w:rFonts w:cs="Times New Roman"/>
          <w:lang w:val="fr-CA"/>
        </w:rPr>
        <w:t>ordre public », la règle n</w:t>
      </w:r>
      <w:r>
        <w:rPr>
          <w:rFonts w:cs="Times New Roman"/>
          <w:lang w:val="fr-CA"/>
        </w:rPr>
        <w:t>’</w:t>
      </w:r>
      <w:r w:rsidRPr="000E14A8">
        <w:rPr>
          <w:rFonts w:cs="Times New Roman"/>
          <w:lang w:val="fr-CA"/>
        </w:rPr>
        <w:t>aurait « plus de raison d</w:t>
      </w:r>
      <w:r>
        <w:rPr>
          <w:rFonts w:cs="Times New Roman"/>
          <w:lang w:val="fr-CA"/>
        </w:rPr>
        <w:t>’</w:t>
      </w:r>
      <w:r w:rsidRPr="000E14A8">
        <w:rPr>
          <w:rFonts w:cs="Times New Roman"/>
          <w:lang w:val="fr-CA"/>
        </w:rPr>
        <w:t>être » (</w:t>
      </w:r>
      <w:r w:rsidRPr="000E14A8">
        <w:rPr>
          <w:rFonts w:cs="Times New Roman"/>
          <w:i/>
          <w:lang w:val="fr-CA"/>
        </w:rPr>
        <w:t>Canadian Dredge</w:t>
      </w:r>
      <w:r w:rsidRPr="000E14A8">
        <w:rPr>
          <w:rFonts w:cs="Times New Roman"/>
          <w:lang w:val="fr-CA"/>
        </w:rPr>
        <w:t>, p. 707</w:t>
      </w:r>
      <w:r w:rsidRPr="000E14A8">
        <w:rPr>
          <w:rFonts w:cs="Times New Roman"/>
          <w:lang w:val="fr-CA"/>
        </w:rPr>
        <w:noBreakHyphen/>
        <w:t>708 et 718</w:t>
      </w:r>
      <w:r w:rsidRPr="000E14A8">
        <w:rPr>
          <w:rFonts w:cs="Times New Roman"/>
          <w:lang w:val="fr-CA"/>
        </w:rPr>
        <w:noBreakHyphen/>
        <w:t>719). Bien que des considérations de politique générale et la nécessité juridique puissent jouer en faveur de l</w:t>
      </w:r>
      <w:r>
        <w:rPr>
          <w:rFonts w:cs="Times New Roman"/>
          <w:lang w:val="fr-CA"/>
        </w:rPr>
        <w:t>’</w:t>
      </w:r>
      <w:r w:rsidRPr="000E14A8">
        <w:rPr>
          <w:rFonts w:cs="Times New Roman"/>
          <w:lang w:val="fr-CA"/>
        </w:rPr>
        <w:t>imputation à la société des actes de ses âmes dirigeantes dans certaines poursuites criminelles, il en va autrement de l</w:t>
      </w:r>
      <w:r>
        <w:rPr>
          <w:rFonts w:cs="Times New Roman"/>
          <w:lang w:val="fr-CA"/>
        </w:rPr>
        <w:t>’</w:t>
      </w:r>
      <w:r w:rsidRPr="000E14A8">
        <w:rPr>
          <w:rFonts w:cs="Times New Roman"/>
          <w:lang w:val="fr-CA"/>
        </w:rPr>
        <w:t>imputation des actes d</w:t>
      </w:r>
      <w:r>
        <w:rPr>
          <w:rFonts w:cs="Times New Roman"/>
          <w:lang w:val="fr-CA"/>
        </w:rPr>
        <w:t>’</w:t>
      </w:r>
      <w:r w:rsidRPr="000E14A8">
        <w:rPr>
          <w:rFonts w:cs="Times New Roman"/>
          <w:lang w:val="fr-CA"/>
        </w:rPr>
        <w:t>une âme dirigeante pour le besoin d</w:t>
      </w:r>
      <w:r>
        <w:rPr>
          <w:rFonts w:cs="Times New Roman"/>
          <w:lang w:val="fr-CA"/>
        </w:rPr>
        <w:t>’</w:t>
      </w:r>
      <w:r w:rsidRPr="000E14A8">
        <w:rPr>
          <w:rFonts w:cs="Times New Roman"/>
          <w:lang w:val="fr-CA"/>
        </w:rPr>
        <w:t>une poursuite au civil dans le contexte de la préparation négligente d</w:t>
      </w:r>
      <w:r>
        <w:rPr>
          <w:rFonts w:cs="Times New Roman"/>
          <w:lang w:val="fr-CA"/>
        </w:rPr>
        <w:t>’</w:t>
      </w:r>
      <w:r w:rsidRPr="000E14A8">
        <w:rPr>
          <w:rFonts w:cs="Times New Roman"/>
          <w:lang w:val="fr-CA"/>
        </w:rPr>
        <w:t>une vérification exigée par la loi. Comme nous l</w:t>
      </w:r>
      <w:r>
        <w:rPr>
          <w:rFonts w:cs="Times New Roman"/>
          <w:lang w:val="fr-CA"/>
        </w:rPr>
        <w:t>’</w:t>
      </w:r>
      <w:r w:rsidRPr="000E14A8">
        <w:rPr>
          <w:rFonts w:cs="Times New Roman"/>
          <w:lang w:val="fr-CA"/>
        </w:rPr>
        <w:t>avons indiqué, le but même d</w:t>
      </w:r>
      <w:r>
        <w:rPr>
          <w:rFonts w:cs="Times New Roman"/>
          <w:lang w:val="fr-CA"/>
        </w:rPr>
        <w:t>’</w:t>
      </w:r>
      <w:r w:rsidRPr="000E14A8">
        <w:rPr>
          <w:rFonts w:cs="Times New Roman"/>
          <w:lang w:val="fr-CA"/>
        </w:rPr>
        <w:t>une vérification exigée par la loi est d</w:t>
      </w:r>
      <w:r>
        <w:rPr>
          <w:rFonts w:cs="Times New Roman"/>
          <w:lang w:val="fr-CA"/>
        </w:rPr>
        <w:t>’</w:t>
      </w:r>
      <w:r w:rsidRPr="000E14A8">
        <w:rPr>
          <w:rFonts w:cs="Times New Roman"/>
          <w:lang w:val="fr-CA"/>
        </w:rPr>
        <w:t>offrir un moyen de découvrir la fraude et les actes fautifs. Ainsi, refuser d</w:t>
      </w:r>
      <w:r>
        <w:rPr>
          <w:rFonts w:cs="Times New Roman"/>
          <w:lang w:val="fr-CA"/>
        </w:rPr>
        <w:t>’</w:t>
      </w:r>
      <w:r w:rsidRPr="000E14A8">
        <w:rPr>
          <w:rFonts w:cs="Times New Roman"/>
          <w:lang w:val="fr-CA"/>
        </w:rPr>
        <w:t>imputer la responsabilité à la société au motif qu</w:t>
      </w:r>
      <w:r>
        <w:rPr>
          <w:rFonts w:cs="Times New Roman"/>
          <w:lang w:val="fr-CA"/>
        </w:rPr>
        <w:t>’</w:t>
      </w:r>
      <w:r w:rsidRPr="000E14A8">
        <w:rPr>
          <w:rFonts w:cs="Times New Roman"/>
          <w:lang w:val="fr-CA"/>
        </w:rPr>
        <w:t>un de ses employés a commis les actes mêmes contre lesquels le vérificateur a été retenu pour protéger la société reviendrait donc à vider de son sens la</w:t>
      </w:r>
      <w:r w:rsidR="00A754A5">
        <w:rPr>
          <w:rFonts w:cs="Times New Roman"/>
          <w:lang w:val="fr-CA"/>
        </w:rPr>
        <w:t xml:space="preserve"> vérification exigée par la loi</w:t>
      </w:r>
      <w:r w:rsidRPr="000E14A8">
        <w:rPr>
          <w:rFonts w:cs="Times New Roman"/>
          <w:lang w:val="fr-CA"/>
        </w:rPr>
        <w:t xml:space="preserve"> </w:t>
      </w:r>
      <w:r w:rsidRPr="00A754A5">
        <w:rPr>
          <w:rFonts w:cs="Times New Roman"/>
          <w:lang w:val="fr-CA"/>
        </w:rPr>
        <w:t>(D. L. MacPherson, « Emaciating the Statutory Audit — A Comment on</w:t>
      </w:r>
      <w:r w:rsidRPr="00A754A5">
        <w:rPr>
          <w:rFonts w:cs="Times New Roman"/>
          <w:i/>
          <w:lang w:val="fr-CA"/>
        </w:rPr>
        <w:t xml:space="preserve"> Hart Building Supplies Ltd. v. Deloitte &amp; Touche</w:t>
      </w:r>
      <w:r w:rsidRPr="00A754A5">
        <w:rPr>
          <w:rFonts w:cs="Times New Roman"/>
          <w:lang w:val="fr-CA"/>
        </w:rPr>
        <w:t> »</w:t>
      </w:r>
      <w:r w:rsidRPr="00A754A5">
        <w:rPr>
          <w:rFonts w:cs="Times New Roman"/>
          <w:i/>
          <w:lang w:val="fr-CA"/>
        </w:rPr>
        <w:t xml:space="preserve"> </w:t>
      </w:r>
      <w:r w:rsidRPr="00A754A5">
        <w:rPr>
          <w:rFonts w:cs="Times New Roman"/>
          <w:lang w:val="fr-CA"/>
        </w:rPr>
        <w:t xml:space="preserve">(2005), 41 </w:t>
      </w:r>
      <w:r w:rsidR="00ED07F3" w:rsidRPr="00A754A5">
        <w:rPr>
          <w:rFonts w:cs="Times New Roman"/>
          <w:i/>
          <w:lang w:val="fr-CA"/>
        </w:rPr>
        <w:t>Rev. can. dr. comm.</w:t>
      </w:r>
      <w:r w:rsidRPr="00A754A5">
        <w:rPr>
          <w:rFonts w:cs="Times New Roman"/>
          <w:lang w:val="fr-CA"/>
        </w:rPr>
        <w:t xml:space="preserve"> </w:t>
      </w:r>
      <w:r w:rsidRPr="00ED07F3">
        <w:rPr>
          <w:rFonts w:cs="Times New Roman"/>
          <w:lang w:val="fr-CA"/>
        </w:rPr>
        <w:t xml:space="preserve">471). </w:t>
      </w:r>
      <w:r w:rsidRPr="000E14A8">
        <w:rPr>
          <w:rFonts w:cs="Times New Roman"/>
          <w:lang w:val="fr-CA"/>
        </w:rPr>
        <w:t>Comme Livent l</w:t>
      </w:r>
      <w:r>
        <w:rPr>
          <w:rFonts w:cs="Times New Roman"/>
          <w:lang w:val="fr-CA"/>
        </w:rPr>
        <w:t>’</w:t>
      </w:r>
      <w:r w:rsidRPr="000E14A8">
        <w:rPr>
          <w:rFonts w:cs="Times New Roman"/>
          <w:lang w:val="fr-CA"/>
        </w:rPr>
        <w:t xml:space="preserve">a fait valoir, il serait illogique de refuser de tenir responsable le vérificateur </w:t>
      </w:r>
      <w:r w:rsidRPr="000E14A8">
        <w:rPr>
          <w:rFonts w:cs="Times New Roman"/>
          <w:lang w:val="fr-CA"/>
        </w:rPr>
        <w:lastRenderedPageBreak/>
        <w:t>qui a omis par négligence de détecter une fraude [</w:t>
      </w:r>
      <w:r w:rsidRPr="000E14A8">
        <w:rPr>
          <w:rFonts w:cs="Times New Roman"/>
          <w:smallCaps/>
          <w:lang w:val="fr-CA"/>
        </w:rPr>
        <w:t>traduction</w:t>
      </w:r>
      <w:r w:rsidRPr="000E14A8">
        <w:rPr>
          <w:rFonts w:cs="Times New Roman"/>
          <w:lang w:val="fr-CA"/>
        </w:rPr>
        <w:t>] « lorsqu</w:t>
      </w:r>
      <w:r>
        <w:rPr>
          <w:rFonts w:cs="Times New Roman"/>
          <w:lang w:val="fr-CA"/>
        </w:rPr>
        <w:t>’</w:t>
      </w:r>
      <w:r w:rsidRPr="000E14A8">
        <w:rPr>
          <w:rFonts w:cs="Times New Roman"/>
          <w:lang w:val="fr-CA"/>
        </w:rPr>
        <w:t>il est probable que le préjudice [de la société] se produira et qu</w:t>
      </w:r>
      <w:r>
        <w:rPr>
          <w:rFonts w:cs="Times New Roman"/>
          <w:lang w:val="fr-CA"/>
        </w:rPr>
        <w:t>’</w:t>
      </w:r>
      <w:r w:rsidRPr="000E14A8">
        <w:rPr>
          <w:rFonts w:cs="Times New Roman"/>
          <w:lang w:val="fr-CA"/>
        </w:rPr>
        <w:t>il sera vraisemblablement très grave » (m.i., par. 94).</w:t>
      </w:r>
    </w:p>
    <w:p w:rsidR="003A506E" w:rsidRPr="000E14A8" w:rsidRDefault="003A506E" w:rsidP="003A506E">
      <w:pPr>
        <w:pStyle w:val="ParaNoNdepar-AltN"/>
        <w:rPr>
          <w:rFonts w:cs="Times New Roman"/>
          <w:lang w:val="fr-CA"/>
        </w:rPr>
      </w:pPr>
      <w:r w:rsidRPr="000E14A8">
        <w:rPr>
          <w:rFonts w:cs="Times New Roman"/>
          <w:lang w:val="fr-CA"/>
        </w:rPr>
        <w:t>Ainsi, bien que l</w:t>
      </w:r>
      <w:r>
        <w:rPr>
          <w:rFonts w:cs="Times New Roman"/>
          <w:lang w:val="fr-CA"/>
        </w:rPr>
        <w:t>’</w:t>
      </w:r>
      <w:r w:rsidRPr="000E14A8">
        <w:rPr>
          <w:rFonts w:cs="Times New Roman"/>
          <w:lang w:val="fr-CA"/>
        </w:rPr>
        <w:t xml:space="preserve">arrêt </w:t>
      </w:r>
      <w:r w:rsidRPr="000E14A8">
        <w:rPr>
          <w:rFonts w:cs="Times New Roman"/>
          <w:i/>
          <w:lang w:val="fr-CA"/>
        </w:rPr>
        <w:t xml:space="preserve">Canadian Dredge </w:t>
      </w:r>
      <w:r w:rsidRPr="000E14A8">
        <w:rPr>
          <w:rFonts w:cs="Times New Roman"/>
          <w:lang w:val="fr-CA"/>
        </w:rPr>
        <w:t>de notre Cour demeure l</w:t>
      </w:r>
      <w:r>
        <w:rPr>
          <w:rFonts w:cs="Times New Roman"/>
          <w:lang w:val="fr-CA"/>
        </w:rPr>
        <w:t>’</w:t>
      </w:r>
      <w:r w:rsidRPr="000E14A8">
        <w:rPr>
          <w:rFonts w:cs="Times New Roman"/>
          <w:lang w:val="fr-CA"/>
        </w:rPr>
        <w:t>arrêt de principe pour l</w:t>
      </w:r>
      <w:r>
        <w:rPr>
          <w:rFonts w:cs="Times New Roman"/>
          <w:lang w:val="fr-CA"/>
        </w:rPr>
        <w:t>’</w:t>
      </w:r>
      <w:r w:rsidRPr="000E14A8">
        <w:rPr>
          <w:rFonts w:cs="Times New Roman"/>
          <w:lang w:val="fr-CA"/>
        </w:rPr>
        <w:t>application de la doctrine de l</w:t>
      </w:r>
      <w:r>
        <w:rPr>
          <w:rFonts w:cs="Times New Roman"/>
          <w:lang w:val="fr-CA"/>
        </w:rPr>
        <w:t>’</w:t>
      </w:r>
      <w:r w:rsidRPr="000E14A8">
        <w:rPr>
          <w:rFonts w:cs="Times New Roman"/>
          <w:lang w:val="fr-CA"/>
        </w:rPr>
        <w:t>identification à la société, nous aimerions réaffirmer une nuance. Les principes établis dans l</w:t>
      </w:r>
      <w:r>
        <w:rPr>
          <w:rFonts w:cs="Times New Roman"/>
          <w:lang w:val="fr-CA"/>
        </w:rPr>
        <w:t>’</w:t>
      </w:r>
      <w:r w:rsidRPr="000E14A8">
        <w:rPr>
          <w:rFonts w:cs="Times New Roman"/>
          <w:lang w:val="fr-CA"/>
        </w:rPr>
        <w:t xml:space="preserve">arrêt </w:t>
      </w:r>
      <w:r w:rsidRPr="000E14A8">
        <w:rPr>
          <w:rFonts w:cs="Times New Roman"/>
          <w:i/>
          <w:lang w:val="fr-CA"/>
        </w:rPr>
        <w:t xml:space="preserve">Canadian Dredge </w:t>
      </w:r>
      <w:r w:rsidRPr="000E14A8">
        <w:rPr>
          <w:rFonts w:cs="Times New Roman"/>
          <w:lang w:val="fr-CA"/>
        </w:rPr>
        <w:t xml:space="preserve">offrent un fondement </w:t>
      </w:r>
      <w:r w:rsidRPr="000E14A8">
        <w:rPr>
          <w:rFonts w:cs="Times New Roman"/>
          <w:i/>
          <w:lang w:val="fr-CA"/>
        </w:rPr>
        <w:t>suffisant</w:t>
      </w:r>
      <w:r w:rsidRPr="000E14A8">
        <w:rPr>
          <w:rFonts w:cs="Times New Roman"/>
          <w:lang w:val="fr-CA"/>
        </w:rPr>
        <w:t xml:space="preserve"> pour conclure que les actes d</w:t>
      </w:r>
      <w:r>
        <w:rPr>
          <w:rFonts w:cs="Times New Roman"/>
          <w:lang w:val="fr-CA"/>
        </w:rPr>
        <w:t>’</w:t>
      </w:r>
      <w:r w:rsidRPr="000E14A8">
        <w:rPr>
          <w:rFonts w:cs="Times New Roman"/>
          <w:lang w:val="fr-CA"/>
        </w:rPr>
        <w:t>une âme dirigeante doivent être imputés à la société, mais il ne s</w:t>
      </w:r>
      <w:r>
        <w:rPr>
          <w:rFonts w:cs="Times New Roman"/>
          <w:lang w:val="fr-CA"/>
        </w:rPr>
        <w:t>’</w:t>
      </w:r>
      <w:r w:rsidRPr="000E14A8">
        <w:rPr>
          <w:rFonts w:cs="Times New Roman"/>
          <w:lang w:val="fr-CA"/>
        </w:rPr>
        <w:t>agit pas d</w:t>
      </w:r>
      <w:r>
        <w:rPr>
          <w:rFonts w:cs="Times New Roman"/>
          <w:lang w:val="fr-CA"/>
        </w:rPr>
        <w:t>’</w:t>
      </w:r>
      <w:r w:rsidRPr="000E14A8">
        <w:rPr>
          <w:rFonts w:cs="Times New Roman"/>
          <w:lang w:val="fr-CA"/>
        </w:rPr>
        <w:t xml:space="preserve">un fondement </w:t>
      </w:r>
      <w:r w:rsidRPr="000E14A8">
        <w:rPr>
          <w:rFonts w:cs="Times New Roman"/>
          <w:i/>
          <w:lang w:val="fr-CA"/>
        </w:rPr>
        <w:t>nécessaire</w:t>
      </w:r>
      <w:r w:rsidRPr="000E14A8">
        <w:rPr>
          <w:rFonts w:cs="Times New Roman"/>
          <w:lang w:val="fr-CA"/>
        </w:rPr>
        <w:t xml:space="preserve"> (p. 681</w:t>
      </w:r>
      <w:r w:rsidRPr="000E14A8">
        <w:rPr>
          <w:rFonts w:cs="Times New Roman"/>
          <w:lang w:val="fr-CA"/>
        </w:rPr>
        <w:noBreakHyphen/>
        <w:t>682). Comme il s</w:t>
      </w:r>
      <w:r>
        <w:rPr>
          <w:rFonts w:cs="Times New Roman"/>
          <w:lang w:val="fr-CA"/>
        </w:rPr>
        <w:t>’</w:t>
      </w:r>
      <w:r w:rsidRPr="000E14A8">
        <w:rPr>
          <w:rFonts w:cs="Times New Roman"/>
          <w:lang w:val="fr-CA"/>
        </w:rPr>
        <w:t>agit d</w:t>
      </w:r>
      <w:r>
        <w:rPr>
          <w:rFonts w:cs="Times New Roman"/>
          <w:lang w:val="fr-CA"/>
        </w:rPr>
        <w:t>’</w:t>
      </w:r>
      <w:r w:rsidRPr="000E14A8">
        <w:rPr>
          <w:rFonts w:cs="Times New Roman"/>
          <w:lang w:val="fr-CA"/>
        </w:rPr>
        <w:t>un principe qui repose sur une considération de politique générale et qui permet seulement de conclure à la responsabilité criminelle d</w:t>
      </w:r>
      <w:r>
        <w:rPr>
          <w:rFonts w:cs="Times New Roman"/>
          <w:lang w:val="fr-CA"/>
        </w:rPr>
        <w:t>’</w:t>
      </w:r>
      <w:r w:rsidRPr="000E14A8">
        <w:rPr>
          <w:rFonts w:cs="Times New Roman"/>
          <w:lang w:val="fr-CA"/>
        </w:rPr>
        <w:t>une société ou de l</w:t>
      </w:r>
      <w:r>
        <w:rPr>
          <w:rFonts w:cs="Times New Roman"/>
          <w:lang w:val="fr-CA"/>
        </w:rPr>
        <w:t>’</w:t>
      </w:r>
      <w:r w:rsidRPr="000E14A8">
        <w:rPr>
          <w:rFonts w:cs="Times New Roman"/>
          <w:lang w:val="fr-CA"/>
        </w:rPr>
        <w:t>exonérer de la responsabilité civile, les tribunaux conservent le pouvoir discrétionnaire de s</w:t>
      </w:r>
      <w:r>
        <w:rPr>
          <w:rFonts w:cs="Times New Roman"/>
          <w:lang w:val="fr-CA"/>
        </w:rPr>
        <w:t>’</w:t>
      </w:r>
      <w:r w:rsidRPr="000E14A8">
        <w:rPr>
          <w:rFonts w:cs="Times New Roman"/>
          <w:lang w:val="fr-CA"/>
        </w:rPr>
        <w:t>abstenir de l</w:t>
      </w:r>
      <w:r>
        <w:rPr>
          <w:rFonts w:cs="Times New Roman"/>
          <w:lang w:val="fr-CA"/>
        </w:rPr>
        <w:t>’</w:t>
      </w:r>
      <w:r w:rsidRPr="000E14A8">
        <w:rPr>
          <w:rFonts w:cs="Times New Roman"/>
          <w:lang w:val="fr-CA"/>
        </w:rPr>
        <w:t>appliquer lorsque, dans les circonstances de l</w:t>
      </w:r>
      <w:r>
        <w:rPr>
          <w:rFonts w:cs="Times New Roman"/>
          <w:lang w:val="fr-CA"/>
        </w:rPr>
        <w:t>’</w:t>
      </w:r>
      <w:r w:rsidRPr="000E14A8">
        <w:rPr>
          <w:rFonts w:cs="Times New Roman"/>
          <w:lang w:val="fr-CA"/>
        </w:rPr>
        <w:t>espèce, il ne serait pas dans l</w:t>
      </w:r>
      <w:r>
        <w:rPr>
          <w:rFonts w:cs="Times New Roman"/>
          <w:lang w:val="fr-CA"/>
        </w:rPr>
        <w:t>’</w:t>
      </w:r>
      <w:r w:rsidRPr="000E14A8">
        <w:rPr>
          <w:rFonts w:cs="Times New Roman"/>
          <w:lang w:val="fr-CA"/>
        </w:rPr>
        <w:t>intérêt public de le faire. Et lorsque, comme en l</w:t>
      </w:r>
      <w:r>
        <w:rPr>
          <w:rFonts w:cs="Times New Roman"/>
          <w:lang w:val="fr-CA"/>
        </w:rPr>
        <w:t>’</w:t>
      </w:r>
      <w:r w:rsidRPr="000E14A8">
        <w:rPr>
          <w:rFonts w:cs="Times New Roman"/>
          <w:lang w:val="fr-CA"/>
        </w:rPr>
        <w:t>espèce, l</w:t>
      </w:r>
      <w:r>
        <w:rPr>
          <w:rFonts w:cs="Times New Roman"/>
          <w:lang w:val="fr-CA"/>
        </w:rPr>
        <w:t>’</w:t>
      </w:r>
      <w:r w:rsidRPr="000E14A8">
        <w:rPr>
          <w:rFonts w:cs="Times New Roman"/>
          <w:lang w:val="fr-CA"/>
        </w:rPr>
        <w:t>application de ce principe viderait de son sens la raison même pour laquelle l</w:t>
      </w:r>
      <w:r>
        <w:rPr>
          <w:rFonts w:cs="Times New Roman"/>
          <w:lang w:val="fr-CA"/>
        </w:rPr>
        <w:t>’</w:t>
      </w:r>
      <w:r w:rsidRPr="000E14A8">
        <w:rPr>
          <w:rFonts w:cs="Times New Roman"/>
          <w:lang w:val="fr-CA"/>
        </w:rPr>
        <w:t>obligation de diligence a été reconnue, il sera rarement dans l</w:t>
      </w:r>
      <w:r>
        <w:rPr>
          <w:rFonts w:cs="Times New Roman"/>
          <w:lang w:val="fr-CA"/>
        </w:rPr>
        <w:t>’</w:t>
      </w:r>
      <w:r w:rsidRPr="000E14A8">
        <w:rPr>
          <w:rFonts w:cs="Times New Roman"/>
          <w:lang w:val="fr-CA"/>
        </w:rPr>
        <w:t>intérêt public de l</w:t>
      </w:r>
      <w:r>
        <w:rPr>
          <w:rFonts w:cs="Times New Roman"/>
          <w:lang w:val="fr-CA"/>
        </w:rPr>
        <w:t>’</w:t>
      </w:r>
      <w:r w:rsidRPr="000E14A8">
        <w:rPr>
          <w:rFonts w:cs="Times New Roman"/>
          <w:lang w:val="fr-CA"/>
        </w:rPr>
        <w:t>appliquer. Si un professionnel s</w:t>
      </w:r>
      <w:r>
        <w:rPr>
          <w:rFonts w:cs="Times New Roman"/>
          <w:lang w:val="fr-CA"/>
        </w:rPr>
        <w:t>’</w:t>
      </w:r>
      <w:r w:rsidRPr="000E14A8">
        <w:rPr>
          <w:rFonts w:cs="Times New Roman"/>
          <w:lang w:val="fr-CA"/>
        </w:rPr>
        <w:t>engage à fournir un service visant à détecter un acte fautif, l</w:t>
      </w:r>
      <w:r>
        <w:rPr>
          <w:rFonts w:cs="Times New Roman"/>
          <w:lang w:val="fr-CA"/>
        </w:rPr>
        <w:t>’</w:t>
      </w:r>
      <w:r w:rsidRPr="000E14A8">
        <w:rPr>
          <w:rFonts w:cs="Times New Roman"/>
          <w:lang w:val="fr-CA"/>
        </w:rPr>
        <w:t>existence de cet acte fautif ne fera normalement pas pencher la balance en faveur de la non</w:t>
      </w:r>
      <w:r w:rsidRPr="000E14A8">
        <w:rPr>
          <w:rFonts w:cs="Times New Roman"/>
          <w:lang w:val="fr-CA"/>
        </w:rPr>
        <w:noBreakHyphen/>
        <w:t>imputation d</w:t>
      </w:r>
      <w:r>
        <w:rPr>
          <w:rFonts w:cs="Times New Roman"/>
          <w:lang w:val="fr-CA"/>
        </w:rPr>
        <w:t>’</w:t>
      </w:r>
      <w:r w:rsidRPr="000E14A8">
        <w:rPr>
          <w:rFonts w:cs="Times New Roman"/>
          <w:lang w:val="fr-CA"/>
        </w:rPr>
        <w:t>une responsabilité civile pour négligence par application de la doctrine de l</w:t>
      </w:r>
      <w:r>
        <w:rPr>
          <w:rFonts w:cs="Times New Roman"/>
          <w:lang w:val="fr-CA"/>
        </w:rPr>
        <w:t>’</w:t>
      </w:r>
      <w:r w:rsidRPr="000E14A8">
        <w:rPr>
          <w:rFonts w:cs="Times New Roman"/>
          <w:lang w:val="fr-CA"/>
        </w:rPr>
        <w:t>identification à la société. (Cela dit, nous reportons à une autre occasion l</w:t>
      </w:r>
      <w:r>
        <w:rPr>
          <w:rFonts w:cs="Times New Roman"/>
          <w:lang w:val="fr-CA"/>
        </w:rPr>
        <w:t>’</w:t>
      </w:r>
      <w:r w:rsidRPr="000E14A8">
        <w:rPr>
          <w:rFonts w:cs="Times New Roman"/>
          <w:lang w:val="fr-CA"/>
        </w:rPr>
        <w:t>examen de la question de savoir s</w:t>
      </w:r>
      <w:r>
        <w:rPr>
          <w:rFonts w:cs="Times New Roman"/>
          <w:lang w:val="fr-CA"/>
        </w:rPr>
        <w:t>’</w:t>
      </w:r>
      <w:r w:rsidRPr="000E14A8">
        <w:rPr>
          <w:rFonts w:cs="Times New Roman"/>
          <w:lang w:val="fr-CA"/>
        </w:rPr>
        <w:t>il en va de même dans le contexte d</w:t>
      </w:r>
      <w:r>
        <w:rPr>
          <w:rFonts w:cs="Times New Roman"/>
          <w:lang w:val="fr-CA"/>
        </w:rPr>
        <w:t>’</w:t>
      </w:r>
      <w:r w:rsidRPr="000E14A8">
        <w:rPr>
          <w:rFonts w:cs="Times New Roman"/>
          <w:lang w:val="fr-CA"/>
        </w:rPr>
        <w:t>une société à actionnaire unique, où l</w:t>
      </w:r>
      <w:r>
        <w:rPr>
          <w:rFonts w:cs="Times New Roman"/>
          <w:lang w:val="fr-CA"/>
        </w:rPr>
        <w:t>’</w:t>
      </w:r>
      <w:r w:rsidRPr="000E14A8">
        <w:rPr>
          <w:rFonts w:cs="Times New Roman"/>
          <w:lang w:val="fr-CA"/>
        </w:rPr>
        <w:t>unique administrateur et actionnaire engage le vérificateur afin qu</w:t>
      </w:r>
      <w:r>
        <w:rPr>
          <w:rFonts w:cs="Times New Roman"/>
          <w:lang w:val="fr-CA"/>
        </w:rPr>
        <w:t>’</w:t>
      </w:r>
      <w:r w:rsidRPr="000E14A8">
        <w:rPr>
          <w:rFonts w:cs="Times New Roman"/>
          <w:lang w:val="fr-CA"/>
        </w:rPr>
        <w:t>il découvre une action fautive que l</w:t>
      </w:r>
      <w:r>
        <w:rPr>
          <w:rFonts w:cs="Times New Roman"/>
          <w:lang w:val="fr-CA"/>
        </w:rPr>
        <w:t>’</w:t>
      </w:r>
      <w:r w:rsidRPr="000E14A8">
        <w:rPr>
          <w:rFonts w:cs="Times New Roman"/>
          <w:lang w:val="fr-CA"/>
        </w:rPr>
        <w:t>administrateur a lui</w:t>
      </w:r>
      <w:r w:rsidRPr="000E14A8">
        <w:rPr>
          <w:rFonts w:cs="Times New Roman"/>
          <w:lang w:val="fr-CA"/>
        </w:rPr>
        <w:noBreakHyphen/>
        <w:t xml:space="preserve">même commise : </w:t>
      </w:r>
      <w:r w:rsidRPr="000E14A8">
        <w:rPr>
          <w:rFonts w:cs="Times New Roman"/>
          <w:i/>
          <w:szCs w:val="24"/>
          <w:lang w:val="fr-CA"/>
        </w:rPr>
        <w:t>Stone &amp; Rolls Ltd. (in liquidation) c. Moore Stephens</w:t>
      </w:r>
      <w:r w:rsidRPr="000E14A8">
        <w:rPr>
          <w:rFonts w:cs="Times New Roman"/>
          <w:szCs w:val="24"/>
          <w:lang w:val="fr-CA"/>
        </w:rPr>
        <w:t>, [2009] UKHL 39, [2009] 1 A.C. 1391</w:t>
      </w:r>
      <w:r w:rsidRPr="000E14A8">
        <w:rPr>
          <w:rFonts w:cs="Times New Roman"/>
          <w:lang w:val="fr-CA"/>
        </w:rPr>
        <w:t xml:space="preserve">; voir également </w:t>
      </w:r>
      <w:r w:rsidRPr="000E14A8">
        <w:rPr>
          <w:rFonts w:cs="Times New Roman"/>
          <w:i/>
          <w:lang w:val="fr-CA"/>
        </w:rPr>
        <w:t xml:space="preserve">373409 Alberta Ltd. (Séquestre de) c. Banque de </w:t>
      </w:r>
      <w:r w:rsidRPr="000E14A8">
        <w:rPr>
          <w:rFonts w:cs="Times New Roman"/>
          <w:i/>
          <w:lang w:val="fr-CA"/>
        </w:rPr>
        <w:lastRenderedPageBreak/>
        <w:t>Montréal</w:t>
      </w:r>
      <w:r w:rsidRPr="000E14A8">
        <w:rPr>
          <w:rFonts w:cs="Times New Roman"/>
          <w:lang w:val="fr-CA"/>
        </w:rPr>
        <w:t xml:space="preserve">, 2002 CSC 81, [2002] 4 R.C.S. 312, par. 22; </w:t>
      </w:r>
      <w:r w:rsidRPr="000E14A8">
        <w:rPr>
          <w:rFonts w:cs="Times New Roman"/>
          <w:i/>
          <w:szCs w:val="24"/>
          <w:lang w:val="fr-CA"/>
        </w:rPr>
        <w:t>Bilta (U.K.) Ltd. (in liquidation) c. Nazir (No. 2)</w:t>
      </w:r>
      <w:r w:rsidRPr="000E14A8">
        <w:rPr>
          <w:rFonts w:cs="Times New Roman"/>
          <w:szCs w:val="24"/>
          <w:lang w:val="fr-CA"/>
        </w:rPr>
        <w:t>, [2015] UKSC 23, [2016] A.C. 1, par. 30</w:t>
      </w:r>
      <w:r w:rsidRPr="000E14A8">
        <w:rPr>
          <w:rFonts w:cs="Times New Roman"/>
          <w:lang w:val="fr-CA"/>
        </w:rPr>
        <w:t>.</w:t>
      </w:r>
    </w:p>
    <w:p w:rsidR="003A506E" w:rsidRPr="000E14A8" w:rsidRDefault="003A506E" w:rsidP="003A506E">
      <w:pPr>
        <w:pStyle w:val="ParaNoNdepar-AltN"/>
        <w:rPr>
          <w:rFonts w:cs="Times New Roman"/>
          <w:lang w:val="fr-CA"/>
        </w:rPr>
      </w:pPr>
      <w:r w:rsidRPr="000E14A8">
        <w:rPr>
          <w:rFonts w:cs="Times New Roman"/>
          <w:lang w:val="fr-CA"/>
        </w:rPr>
        <w:t>Enfin, vu l</w:t>
      </w:r>
      <w:r>
        <w:rPr>
          <w:rFonts w:cs="Times New Roman"/>
          <w:lang w:val="fr-CA"/>
        </w:rPr>
        <w:t>’</w:t>
      </w:r>
      <w:r w:rsidRPr="000E14A8">
        <w:rPr>
          <w:rFonts w:cs="Times New Roman"/>
          <w:lang w:val="fr-CA"/>
        </w:rPr>
        <w:t>application limitée de la défense d</w:t>
      </w:r>
      <w:r>
        <w:rPr>
          <w:rFonts w:cs="Times New Roman"/>
          <w:lang w:val="fr-CA"/>
        </w:rPr>
        <w:t>’</w:t>
      </w:r>
      <w:r w:rsidRPr="000E14A8">
        <w:rPr>
          <w:rFonts w:cs="Times New Roman"/>
          <w:lang w:val="fr-CA"/>
        </w:rPr>
        <w:t>illégalité, tel que la Cour l</w:t>
      </w:r>
      <w:r>
        <w:rPr>
          <w:rFonts w:cs="Times New Roman"/>
          <w:lang w:val="fr-CA"/>
        </w:rPr>
        <w:t>’</w:t>
      </w:r>
      <w:r w:rsidRPr="000E14A8">
        <w:rPr>
          <w:rFonts w:cs="Times New Roman"/>
          <w:lang w:val="fr-CA"/>
        </w:rPr>
        <w:t xml:space="preserve">a reconnu dans les arrêts </w:t>
      </w:r>
      <w:r w:rsidRPr="000E14A8">
        <w:rPr>
          <w:rFonts w:cs="Times New Roman"/>
          <w:i/>
          <w:lang w:val="fr-CA"/>
        </w:rPr>
        <w:t xml:space="preserve">Hall </w:t>
      </w:r>
      <w:r w:rsidRPr="000E14A8">
        <w:rPr>
          <w:rFonts w:cs="Times New Roman"/>
          <w:lang w:val="fr-CA"/>
        </w:rPr>
        <w:t>et</w:t>
      </w:r>
      <w:r w:rsidRPr="000E14A8">
        <w:rPr>
          <w:rFonts w:cs="Times New Roman"/>
          <w:i/>
          <w:lang w:val="fr-CA"/>
        </w:rPr>
        <w:t xml:space="preserve"> </w:t>
      </w:r>
      <w:r w:rsidRPr="000E14A8">
        <w:rPr>
          <w:rFonts w:cs="Times New Roman"/>
          <w:i/>
          <w:iCs/>
          <w:lang w:val="fr-CA"/>
        </w:rPr>
        <w:t>Zastowny</w:t>
      </w:r>
      <w:r w:rsidRPr="000E14A8">
        <w:rPr>
          <w:rFonts w:cs="Times New Roman"/>
          <w:iCs/>
          <w:lang w:val="fr-CA"/>
        </w:rPr>
        <w:t>, nous concluons qu</w:t>
      </w:r>
      <w:r>
        <w:rPr>
          <w:rFonts w:cs="Times New Roman"/>
          <w:iCs/>
          <w:lang w:val="fr-CA"/>
        </w:rPr>
        <w:t>’</w:t>
      </w:r>
      <w:r w:rsidRPr="000E14A8">
        <w:rPr>
          <w:rFonts w:cs="Times New Roman"/>
          <w:iCs/>
          <w:lang w:val="fr-CA"/>
        </w:rPr>
        <w:t>aucune autre raison impérieuse ne justifie le recours à la doctrine de l</w:t>
      </w:r>
      <w:r>
        <w:rPr>
          <w:rFonts w:cs="Times New Roman"/>
          <w:iCs/>
          <w:lang w:val="fr-CA"/>
        </w:rPr>
        <w:t>’</w:t>
      </w:r>
      <w:r w:rsidRPr="000E14A8">
        <w:rPr>
          <w:rFonts w:cs="Times New Roman"/>
          <w:iCs/>
          <w:lang w:val="fr-CA"/>
        </w:rPr>
        <w:t>identification à la société dans les circonstances de l</w:t>
      </w:r>
      <w:r>
        <w:rPr>
          <w:rFonts w:cs="Times New Roman"/>
          <w:iCs/>
          <w:lang w:val="fr-CA"/>
        </w:rPr>
        <w:t>’</w:t>
      </w:r>
      <w:r w:rsidRPr="000E14A8">
        <w:rPr>
          <w:rFonts w:cs="Times New Roman"/>
          <w:iCs/>
          <w:lang w:val="fr-CA"/>
        </w:rPr>
        <w:t xml:space="preserve">espèce. </w:t>
      </w:r>
    </w:p>
    <w:p w:rsidR="003A506E" w:rsidRPr="000E14A8" w:rsidRDefault="003A506E" w:rsidP="003A506E">
      <w:pPr>
        <w:pStyle w:val="Title3LevelTitre3Niveau"/>
        <w:rPr>
          <w:rFonts w:cs="Times New Roman"/>
          <w:lang w:val="fr-CA"/>
        </w:rPr>
      </w:pPr>
      <w:r w:rsidRPr="000E14A8">
        <w:rPr>
          <w:rFonts w:cs="Times New Roman"/>
          <w:lang w:val="fr-CA"/>
        </w:rPr>
        <w:t>La faute contributoire</w:t>
      </w:r>
    </w:p>
    <w:p w:rsidR="003A506E" w:rsidRPr="000E14A8" w:rsidRDefault="003A506E" w:rsidP="003A506E">
      <w:pPr>
        <w:pStyle w:val="ParaNoNdepar-AltN"/>
        <w:rPr>
          <w:rFonts w:cs="Times New Roman"/>
          <w:lang w:val="fr-CA"/>
        </w:rPr>
      </w:pPr>
      <w:r w:rsidRPr="000E14A8">
        <w:rPr>
          <w:rFonts w:cs="Times New Roman"/>
          <w:lang w:val="fr-CA"/>
        </w:rPr>
        <w:t>À titre subsidiaire, Deloitte plaide que la Cour d</w:t>
      </w:r>
      <w:r>
        <w:rPr>
          <w:rFonts w:cs="Times New Roman"/>
          <w:lang w:val="fr-CA"/>
        </w:rPr>
        <w:t>’</w:t>
      </w:r>
      <w:r w:rsidRPr="000E14A8">
        <w:rPr>
          <w:rFonts w:cs="Times New Roman"/>
          <w:lang w:val="fr-CA"/>
        </w:rPr>
        <w:t>appel a commis une erreur en tenant Deloitte responsable de la totalité de la perte prouvée, et plus particulièrement qu</w:t>
      </w:r>
      <w:r>
        <w:rPr>
          <w:rFonts w:cs="Times New Roman"/>
          <w:lang w:val="fr-CA"/>
        </w:rPr>
        <w:t>’</w:t>
      </w:r>
      <w:r w:rsidRPr="000E14A8">
        <w:rPr>
          <w:rFonts w:cs="Times New Roman"/>
          <w:lang w:val="fr-CA"/>
        </w:rPr>
        <w:t>elle aurait dû conclure que Livent avait commis une faute contributoire au sens de l</w:t>
      </w:r>
      <w:r>
        <w:rPr>
          <w:rFonts w:cs="Times New Roman"/>
          <w:lang w:val="fr-CA"/>
        </w:rPr>
        <w:t>’</w:t>
      </w:r>
      <w:r w:rsidRPr="000E14A8">
        <w:rPr>
          <w:rFonts w:cs="Times New Roman"/>
          <w:lang w:val="fr-CA"/>
        </w:rPr>
        <w:t xml:space="preserve">art. 3 de la </w:t>
      </w:r>
      <w:r w:rsidRPr="000E14A8">
        <w:rPr>
          <w:rFonts w:cs="Times New Roman"/>
          <w:i/>
          <w:lang w:val="fr-CA"/>
        </w:rPr>
        <w:t>Loi sur le partage de la responsabilité</w:t>
      </w:r>
      <w:r w:rsidRPr="000E14A8">
        <w:rPr>
          <w:rFonts w:cs="Times New Roman"/>
          <w:lang w:val="fr-CA"/>
        </w:rPr>
        <w:t>, L.R.O. 1990, c. N.1 :</w:t>
      </w:r>
    </w:p>
    <w:p w:rsidR="003A506E" w:rsidRPr="000E14A8" w:rsidRDefault="003A506E" w:rsidP="003A506E">
      <w:pPr>
        <w:pStyle w:val="Citation-AltC"/>
        <w:ind w:hanging="1166"/>
        <w:contextualSpacing w:val="0"/>
        <w:rPr>
          <w:lang w:val="fr-CA"/>
        </w:rPr>
      </w:pPr>
      <w:r w:rsidRPr="000E14A8">
        <w:rPr>
          <w:lang w:val="fr-CA"/>
        </w:rPr>
        <w:tab/>
      </w:r>
      <w:r w:rsidRPr="000E14A8">
        <w:rPr>
          <w:lang w:val="fr-CA"/>
        </w:rPr>
        <w:tab/>
        <w:t>Dans une action en dommages</w:t>
      </w:r>
      <w:r w:rsidRPr="000E14A8">
        <w:rPr>
          <w:lang w:val="fr-CA"/>
        </w:rPr>
        <w:noBreakHyphen/>
        <w:t>intérêts qui se fonde sur la faute ou la négligence du défendeur, si le tribunal constate qu</w:t>
      </w:r>
      <w:r>
        <w:rPr>
          <w:lang w:val="fr-CA"/>
        </w:rPr>
        <w:t>’</w:t>
      </w:r>
      <w:r w:rsidRPr="000E14A8">
        <w:rPr>
          <w:lang w:val="fr-CA"/>
        </w:rPr>
        <w:t>il y a eu, de la part du demandeur, faute ou négligence qui a contribué aux dommages, le tribunal répartit les dommages</w:t>
      </w:r>
      <w:r w:rsidRPr="000E14A8">
        <w:rPr>
          <w:lang w:val="fr-CA"/>
        </w:rPr>
        <w:noBreakHyphen/>
        <w:t>intérêts selon la part respective de responsabilité de chaque partie.</w:t>
      </w:r>
    </w:p>
    <w:p w:rsidR="003A506E" w:rsidRPr="000E14A8" w:rsidRDefault="003A506E" w:rsidP="003A506E">
      <w:pPr>
        <w:pStyle w:val="ParaNoNdepar-AltN"/>
        <w:rPr>
          <w:rFonts w:cs="Times New Roman"/>
          <w:lang w:val="fr-CA"/>
        </w:rPr>
      </w:pPr>
      <w:r w:rsidRPr="000E14A8">
        <w:rPr>
          <w:rFonts w:cs="Times New Roman"/>
          <w:lang w:val="fr-CA"/>
        </w:rPr>
        <w:t>Encore là, les seuls actes impliquant Livent en l</w:t>
      </w:r>
      <w:r>
        <w:rPr>
          <w:rFonts w:cs="Times New Roman"/>
          <w:lang w:val="fr-CA"/>
        </w:rPr>
        <w:t>’</w:t>
      </w:r>
      <w:r w:rsidRPr="000E14A8">
        <w:rPr>
          <w:rFonts w:cs="Times New Roman"/>
          <w:lang w:val="fr-CA"/>
        </w:rPr>
        <w:t>espèce ont été commis par ses administrateurs, Drabinsky et Gottlieb, et certains de ses dirigeants. Ainsi, pour que Deloitte puisse invoquer la défense de faute contributoire, elle doit pouvoir attribuer la conduite de certains administrateurs et dirigeants à Livent elle</w:t>
      </w:r>
      <w:r w:rsidRPr="000E14A8">
        <w:rPr>
          <w:rFonts w:cs="Times New Roman"/>
          <w:lang w:val="fr-CA"/>
        </w:rPr>
        <w:noBreakHyphen/>
        <w:t xml:space="preserve">même. </w:t>
      </w:r>
    </w:p>
    <w:p w:rsidR="003A506E" w:rsidRPr="000E14A8" w:rsidRDefault="003A506E" w:rsidP="003A506E">
      <w:pPr>
        <w:pStyle w:val="ParaNoNdepar-AltN"/>
        <w:rPr>
          <w:rFonts w:cs="Times New Roman"/>
          <w:lang w:val="fr-CA"/>
        </w:rPr>
      </w:pPr>
      <w:r w:rsidRPr="000E14A8">
        <w:rPr>
          <w:rFonts w:cs="Times New Roman"/>
          <w:lang w:val="fr-CA"/>
        </w:rPr>
        <w:t>Deloitte souligne que, à la différence de la doctrine discrétionnaire de l</w:t>
      </w:r>
      <w:r>
        <w:rPr>
          <w:rFonts w:cs="Times New Roman"/>
          <w:lang w:val="fr-CA"/>
        </w:rPr>
        <w:t>’</w:t>
      </w:r>
      <w:r w:rsidRPr="000E14A8">
        <w:rPr>
          <w:rFonts w:cs="Times New Roman"/>
          <w:lang w:val="fr-CA"/>
        </w:rPr>
        <w:t>illégalité, l</w:t>
      </w:r>
      <w:r>
        <w:rPr>
          <w:rFonts w:cs="Times New Roman"/>
          <w:lang w:val="fr-CA"/>
        </w:rPr>
        <w:t>’</w:t>
      </w:r>
      <w:r w:rsidRPr="000E14A8">
        <w:rPr>
          <w:rFonts w:cs="Times New Roman"/>
          <w:lang w:val="fr-CA"/>
        </w:rPr>
        <w:t xml:space="preserve">art. 3 de la </w:t>
      </w:r>
      <w:r w:rsidRPr="000E14A8">
        <w:rPr>
          <w:rFonts w:cs="Times New Roman"/>
          <w:i/>
          <w:lang w:val="fr-CA"/>
        </w:rPr>
        <w:t xml:space="preserve">Loi sur le partage de la responsabilité </w:t>
      </w:r>
      <w:r w:rsidRPr="000E14A8">
        <w:rPr>
          <w:rFonts w:cs="Times New Roman"/>
          <w:lang w:val="fr-CA"/>
        </w:rPr>
        <w:t xml:space="preserve">est </w:t>
      </w:r>
      <w:r w:rsidR="00CB341D">
        <w:rPr>
          <w:rFonts w:cs="Times New Roman"/>
          <w:lang w:val="fr-CA"/>
        </w:rPr>
        <w:t>impératif (« </w:t>
      </w:r>
      <w:r w:rsidRPr="000E14A8">
        <w:rPr>
          <w:rFonts w:cs="Times New Roman"/>
          <w:lang w:val="fr-CA"/>
        </w:rPr>
        <w:t xml:space="preserve">le </w:t>
      </w:r>
      <w:r w:rsidRPr="000E14A8">
        <w:rPr>
          <w:rFonts w:cs="Times New Roman"/>
          <w:lang w:val="fr-CA"/>
        </w:rPr>
        <w:lastRenderedPageBreak/>
        <w:t xml:space="preserve">tribunal </w:t>
      </w:r>
      <w:r w:rsidRPr="000E14A8">
        <w:rPr>
          <w:rFonts w:cs="Times New Roman"/>
          <w:u w:val="single"/>
          <w:lang w:val="fr-CA"/>
        </w:rPr>
        <w:t>répartit</w:t>
      </w:r>
      <w:r w:rsidRPr="00ED07F3">
        <w:rPr>
          <w:rFonts w:cs="Times New Roman"/>
          <w:lang w:val="fr-CA"/>
        </w:rPr>
        <w:t xml:space="preserve"> </w:t>
      </w:r>
      <w:r w:rsidR="00CB341D">
        <w:rPr>
          <w:rFonts w:cs="Times New Roman"/>
          <w:lang w:val="fr-CA"/>
        </w:rPr>
        <w:t>les dommages</w:t>
      </w:r>
      <w:r w:rsidR="00CB341D">
        <w:rPr>
          <w:rFonts w:cs="Times New Roman"/>
          <w:lang w:val="fr-CA"/>
        </w:rPr>
        <w:noBreakHyphen/>
        <w:t>intérêts</w:t>
      </w:r>
      <w:r w:rsidRPr="000E14A8">
        <w:rPr>
          <w:rFonts w:cs="Times New Roman"/>
          <w:lang w:val="fr-CA"/>
        </w:rPr>
        <w:t> »), et elle soutient que l</w:t>
      </w:r>
      <w:r>
        <w:rPr>
          <w:rFonts w:cs="Times New Roman"/>
          <w:lang w:val="fr-CA"/>
        </w:rPr>
        <w:t>’</w:t>
      </w:r>
      <w:r w:rsidRPr="000E14A8">
        <w:rPr>
          <w:rFonts w:cs="Times New Roman"/>
          <w:lang w:val="fr-CA"/>
        </w:rPr>
        <w:t xml:space="preserve">identification à la société </w:t>
      </w:r>
      <w:r w:rsidRPr="000E14A8">
        <w:rPr>
          <w:rFonts w:cs="Times New Roman"/>
          <w:i/>
          <w:lang w:val="fr-CA"/>
        </w:rPr>
        <w:t>doit</w:t>
      </w:r>
      <w:r w:rsidRPr="000E14A8">
        <w:rPr>
          <w:rFonts w:cs="Times New Roman"/>
          <w:lang w:val="fr-CA"/>
        </w:rPr>
        <w:t xml:space="preserve"> être permise parce que [</w:t>
      </w:r>
      <w:r w:rsidRPr="000E14A8">
        <w:rPr>
          <w:rFonts w:cs="Times New Roman"/>
          <w:smallCaps/>
          <w:lang w:val="fr-CA"/>
        </w:rPr>
        <w:t>traduction</w:t>
      </w:r>
      <w:r w:rsidRPr="000E14A8">
        <w:rPr>
          <w:rFonts w:cs="Times New Roman"/>
          <w:lang w:val="fr-CA"/>
        </w:rPr>
        <w:t>] « l</w:t>
      </w:r>
      <w:r>
        <w:rPr>
          <w:rFonts w:cs="Times New Roman"/>
          <w:lang w:val="fr-CA"/>
        </w:rPr>
        <w:t>’</w:t>
      </w:r>
      <w:r w:rsidRPr="000E14A8">
        <w:rPr>
          <w:rFonts w:cs="Times New Roman"/>
          <w:lang w:val="fr-CA"/>
        </w:rPr>
        <w:t>application de la doctrine de l</w:t>
      </w:r>
      <w:r>
        <w:rPr>
          <w:rFonts w:cs="Times New Roman"/>
          <w:lang w:val="fr-CA"/>
        </w:rPr>
        <w:t>’</w:t>
      </w:r>
      <w:r w:rsidRPr="000E14A8">
        <w:rPr>
          <w:rFonts w:cs="Times New Roman"/>
          <w:lang w:val="fr-CA"/>
        </w:rPr>
        <w:t>identification à la société doit être adaptée aux termes de la règle de fond qu</w:t>
      </w:r>
      <w:r>
        <w:rPr>
          <w:rFonts w:cs="Times New Roman"/>
          <w:lang w:val="fr-CA"/>
        </w:rPr>
        <w:t>’</w:t>
      </w:r>
      <w:r w:rsidRPr="000E14A8">
        <w:rPr>
          <w:rFonts w:cs="Times New Roman"/>
          <w:lang w:val="fr-CA"/>
        </w:rPr>
        <w:t>elle sert » (m.a., par. 132, citant les motifs de la Cour d</w:t>
      </w:r>
      <w:r>
        <w:rPr>
          <w:rFonts w:cs="Times New Roman"/>
          <w:lang w:val="fr-CA"/>
        </w:rPr>
        <w:t>’</w:t>
      </w:r>
      <w:r w:rsidRPr="000E14A8">
        <w:rPr>
          <w:rFonts w:cs="Times New Roman"/>
          <w:lang w:val="fr-CA"/>
        </w:rPr>
        <w:t>appel, par. 157). Cet argument témoigne toutefois d</w:t>
      </w:r>
      <w:r>
        <w:rPr>
          <w:rFonts w:cs="Times New Roman"/>
          <w:lang w:val="fr-CA"/>
        </w:rPr>
        <w:t>’</w:t>
      </w:r>
      <w:r w:rsidRPr="000E14A8">
        <w:rPr>
          <w:rFonts w:cs="Times New Roman"/>
          <w:lang w:val="fr-CA"/>
        </w:rPr>
        <w:t xml:space="preserve">une incompréhension des dispositions impératives de la </w:t>
      </w:r>
      <w:r w:rsidRPr="000E14A8">
        <w:rPr>
          <w:rFonts w:cs="Times New Roman"/>
          <w:i/>
          <w:lang w:val="fr-CA"/>
        </w:rPr>
        <w:t>Loi sur le partage de la responsabilité</w:t>
      </w:r>
      <w:r w:rsidRPr="000E14A8">
        <w:rPr>
          <w:rFonts w:cs="Times New Roman"/>
          <w:lang w:val="fr-CA"/>
        </w:rPr>
        <w:t>. Cette loi exige qu</w:t>
      </w:r>
      <w:r>
        <w:rPr>
          <w:rFonts w:cs="Times New Roman"/>
          <w:lang w:val="fr-CA"/>
        </w:rPr>
        <w:t>’</w:t>
      </w:r>
      <w:r w:rsidRPr="000E14A8">
        <w:rPr>
          <w:rFonts w:cs="Times New Roman"/>
          <w:lang w:val="fr-CA"/>
        </w:rPr>
        <w:t>il soit tenu compte de la faute du demandeur dans la répartition des dommages</w:t>
      </w:r>
      <w:r w:rsidRPr="000E14A8">
        <w:rPr>
          <w:rFonts w:cs="Times New Roman"/>
          <w:lang w:val="fr-CA"/>
        </w:rPr>
        <w:noBreakHyphen/>
        <w:t>intérêts. Or, l</w:t>
      </w:r>
      <w:r>
        <w:rPr>
          <w:rFonts w:cs="Times New Roman"/>
          <w:lang w:val="fr-CA"/>
        </w:rPr>
        <w:t>’</w:t>
      </w:r>
      <w:r w:rsidRPr="000E14A8">
        <w:rPr>
          <w:rFonts w:cs="Times New Roman"/>
          <w:lang w:val="fr-CA"/>
        </w:rPr>
        <w:t>identification à la société est une condition préalable à l</w:t>
      </w:r>
      <w:r>
        <w:rPr>
          <w:rFonts w:cs="Times New Roman"/>
          <w:lang w:val="fr-CA"/>
        </w:rPr>
        <w:t>’</w:t>
      </w:r>
      <w:r w:rsidRPr="000E14A8">
        <w:rPr>
          <w:rFonts w:cs="Times New Roman"/>
          <w:lang w:val="fr-CA"/>
        </w:rPr>
        <w:t>imputation d</w:t>
      </w:r>
      <w:r>
        <w:rPr>
          <w:rFonts w:cs="Times New Roman"/>
          <w:lang w:val="fr-CA"/>
        </w:rPr>
        <w:t>’</w:t>
      </w:r>
      <w:r w:rsidRPr="000E14A8">
        <w:rPr>
          <w:rFonts w:cs="Times New Roman"/>
          <w:lang w:val="fr-CA"/>
        </w:rPr>
        <w:t>une faute à la demanderesse Livent. En d</w:t>
      </w:r>
      <w:r>
        <w:rPr>
          <w:rFonts w:cs="Times New Roman"/>
          <w:lang w:val="fr-CA"/>
        </w:rPr>
        <w:t>’</w:t>
      </w:r>
      <w:r w:rsidRPr="000E14A8">
        <w:rPr>
          <w:rFonts w:cs="Times New Roman"/>
          <w:lang w:val="fr-CA"/>
        </w:rPr>
        <w:t>autres termes, l</w:t>
      </w:r>
      <w:r>
        <w:rPr>
          <w:rFonts w:cs="Times New Roman"/>
          <w:lang w:val="fr-CA"/>
        </w:rPr>
        <w:t>’</w:t>
      </w:r>
      <w:r w:rsidRPr="000E14A8">
        <w:rPr>
          <w:rFonts w:cs="Times New Roman"/>
          <w:lang w:val="fr-CA"/>
        </w:rPr>
        <w:t>argument avancé par Deloitte — que l</w:t>
      </w:r>
      <w:r>
        <w:rPr>
          <w:rFonts w:cs="Times New Roman"/>
          <w:lang w:val="fr-CA"/>
        </w:rPr>
        <w:t>’</w:t>
      </w:r>
      <w:r w:rsidRPr="000E14A8">
        <w:rPr>
          <w:rFonts w:cs="Times New Roman"/>
          <w:lang w:val="fr-CA"/>
        </w:rPr>
        <w:t xml:space="preserve">art. 3 de la </w:t>
      </w:r>
      <w:r w:rsidRPr="000E14A8">
        <w:rPr>
          <w:rFonts w:cs="Times New Roman"/>
          <w:i/>
          <w:lang w:val="fr-CA"/>
        </w:rPr>
        <w:t xml:space="preserve">Loi sur le partage de la responsabilité </w:t>
      </w:r>
      <w:r w:rsidRPr="000E14A8">
        <w:rPr>
          <w:rFonts w:cs="Times New Roman"/>
          <w:lang w:val="fr-CA"/>
        </w:rPr>
        <w:t>exige que Livent supporte sa part de la faute — présuppose l</w:t>
      </w:r>
      <w:r>
        <w:rPr>
          <w:rFonts w:cs="Times New Roman"/>
          <w:lang w:val="fr-CA"/>
        </w:rPr>
        <w:t>’</w:t>
      </w:r>
      <w:r w:rsidRPr="000E14A8">
        <w:rPr>
          <w:rFonts w:cs="Times New Roman"/>
          <w:lang w:val="fr-CA"/>
        </w:rPr>
        <w:t xml:space="preserve">identification à la société, ce qui consiste à mettre la charrue devant les bœufs. La </w:t>
      </w:r>
      <w:r w:rsidRPr="000E14A8">
        <w:rPr>
          <w:rFonts w:cs="Times New Roman"/>
          <w:i/>
          <w:lang w:val="fr-CA"/>
        </w:rPr>
        <w:t xml:space="preserve">Loi sur le partage de la responsabilité </w:t>
      </w:r>
      <w:r w:rsidRPr="000E14A8">
        <w:rPr>
          <w:rFonts w:cs="Times New Roman"/>
          <w:lang w:val="fr-CA"/>
        </w:rPr>
        <w:t>rend seulement obligatoire la contribution du demandeur négligent; elle ne rend pas obligatoire l</w:t>
      </w:r>
      <w:r>
        <w:rPr>
          <w:rFonts w:cs="Times New Roman"/>
          <w:lang w:val="fr-CA"/>
        </w:rPr>
        <w:t>’</w:t>
      </w:r>
      <w:r w:rsidRPr="000E14A8">
        <w:rPr>
          <w:rFonts w:cs="Times New Roman"/>
          <w:lang w:val="fr-CA"/>
        </w:rPr>
        <w:t>attribution d</w:t>
      </w:r>
      <w:r>
        <w:rPr>
          <w:rFonts w:cs="Times New Roman"/>
          <w:lang w:val="fr-CA"/>
        </w:rPr>
        <w:t>’</w:t>
      </w:r>
      <w:r w:rsidRPr="000E14A8">
        <w:rPr>
          <w:rFonts w:cs="Times New Roman"/>
          <w:lang w:val="fr-CA"/>
        </w:rPr>
        <w:t>une négligence au demandeur.</w:t>
      </w:r>
    </w:p>
    <w:p w:rsidR="003A506E" w:rsidRPr="000E14A8" w:rsidRDefault="003A506E" w:rsidP="003A506E">
      <w:pPr>
        <w:pStyle w:val="ParaNoNdepar-AltN"/>
        <w:rPr>
          <w:rFonts w:cs="Times New Roman"/>
          <w:lang w:val="fr-CA"/>
        </w:rPr>
      </w:pPr>
      <w:r w:rsidRPr="000E14A8">
        <w:rPr>
          <w:rFonts w:cs="Times New Roman"/>
          <w:lang w:val="fr-CA"/>
        </w:rPr>
        <w:t>Quoi qu</w:t>
      </w:r>
      <w:r>
        <w:rPr>
          <w:rFonts w:cs="Times New Roman"/>
          <w:lang w:val="fr-CA"/>
        </w:rPr>
        <w:t>’</w:t>
      </w:r>
      <w:r w:rsidRPr="000E14A8">
        <w:rPr>
          <w:rFonts w:cs="Times New Roman"/>
          <w:lang w:val="fr-CA"/>
        </w:rPr>
        <w:t>il en soit, nous répétons la conclusion tirée précédemment que lorsque, comme en l</w:t>
      </w:r>
      <w:r>
        <w:rPr>
          <w:rFonts w:cs="Times New Roman"/>
          <w:lang w:val="fr-CA"/>
        </w:rPr>
        <w:t>’</w:t>
      </w:r>
      <w:r w:rsidRPr="000E14A8">
        <w:rPr>
          <w:rFonts w:cs="Times New Roman"/>
          <w:lang w:val="fr-CA"/>
        </w:rPr>
        <w:t>espèce, l</w:t>
      </w:r>
      <w:r>
        <w:rPr>
          <w:rFonts w:cs="Times New Roman"/>
          <w:lang w:val="fr-CA"/>
        </w:rPr>
        <w:t>’</w:t>
      </w:r>
      <w:r w:rsidRPr="000E14A8">
        <w:rPr>
          <w:rFonts w:cs="Times New Roman"/>
          <w:lang w:val="fr-CA"/>
        </w:rPr>
        <w:t>application de la doctrine de l</w:t>
      </w:r>
      <w:r>
        <w:rPr>
          <w:rFonts w:cs="Times New Roman"/>
          <w:lang w:val="fr-CA"/>
        </w:rPr>
        <w:t>’</w:t>
      </w:r>
      <w:r w:rsidRPr="000E14A8">
        <w:rPr>
          <w:rFonts w:cs="Times New Roman"/>
          <w:lang w:val="fr-CA"/>
        </w:rPr>
        <w:t>identification à la société aurait pour effet de miner l</w:t>
      </w:r>
      <w:r>
        <w:rPr>
          <w:rFonts w:cs="Times New Roman"/>
          <w:lang w:val="fr-CA"/>
        </w:rPr>
        <w:t>’</w:t>
      </w:r>
      <w:r w:rsidRPr="000E14A8">
        <w:rPr>
          <w:rFonts w:cs="Times New Roman"/>
          <w:lang w:val="fr-CA"/>
        </w:rPr>
        <w:t>objet même de l</w:t>
      </w:r>
      <w:r>
        <w:rPr>
          <w:rFonts w:cs="Times New Roman"/>
          <w:lang w:val="fr-CA"/>
        </w:rPr>
        <w:t>’</w:t>
      </w:r>
      <w:r w:rsidRPr="000E14A8">
        <w:rPr>
          <w:rFonts w:cs="Times New Roman"/>
          <w:lang w:val="fr-CA"/>
        </w:rPr>
        <w:t>établissement d</w:t>
      </w:r>
      <w:r>
        <w:rPr>
          <w:rFonts w:cs="Times New Roman"/>
          <w:lang w:val="fr-CA"/>
        </w:rPr>
        <w:t>’</w:t>
      </w:r>
      <w:r w:rsidRPr="000E14A8">
        <w:rPr>
          <w:rFonts w:cs="Times New Roman"/>
          <w:lang w:val="fr-CA"/>
        </w:rPr>
        <w:t>une obligation de diligence, il sera rarement dans l</w:t>
      </w:r>
      <w:r>
        <w:rPr>
          <w:rFonts w:cs="Times New Roman"/>
          <w:lang w:val="fr-CA"/>
        </w:rPr>
        <w:t>’</w:t>
      </w:r>
      <w:r w:rsidRPr="000E14A8">
        <w:rPr>
          <w:rFonts w:cs="Times New Roman"/>
          <w:lang w:val="fr-CA"/>
        </w:rPr>
        <w:t>intérêt public de l</w:t>
      </w:r>
      <w:r>
        <w:rPr>
          <w:rFonts w:cs="Times New Roman"/>
          <w:lang w:val="fr-CA"/>
        </w:rPr>
        <w:t>’</w:t>
      </w:r>
      <w:r w:rsidRPr="000E14A8">
        <w:rPr>
          <w:rFonts w:cs="Times New Roman"/>
          <w:lang w:val="fr-CA"/>
        </w:rPr>
        <w:t>appliquer. Un vérificateur négligent ne peut limiter sa responsabilité pour sa propre négligence en attribuant à la société les actes fautifs de ses employés, de tels actes étant précisément ce que le vérificateur s</w:t>
      </w:r>
      <w:r>
        <w:rPr>
          <w:rFonts w:cs="Times New Roman"/>
          <w:lang w:val="fr-CA"/>
        </w:rPr>
        <w:t>’</w:t>
      </w:r>
      <w:r w:rsidRPr="000E14A8">
        <w:rPr>
          <w:rFonts w:cs="Times New Roman"/>
          <w:lang w:val="fr-CA"/>
        </w:rPr>
        <w:t>est engagé à découvrir. En outre, si Deloitte voulait limiter sa responsabilité en la partageant, il n</w:t>
      </w:r>
      <w:r>
        <w:rPr>
          <w:rFonts w:cs="Times New Roman"/>
          <w:lang w:val="fr-CA"/>
        </w:rPr>
        <w:t>’</w:t>
      </w:r>
      <w:r w:rsidRPr="000E14A8">
        <w:rPr>
          <w:rFonts w:cs="Times New Roman"/>
          <w:lang w:val="fr-CA"/>
        </w:rPr>
        <w:t>était aucunement nécessaire qu</w:t>
      </w:r>
      <w:r>
        <w:rPr>
          <w:rFonts w:cs="Times New Roman"/>
          <w:lang w:val="fr-CA"/>
        </w:rPr>
        <w:t>’</w:t>
      </w:r>
      <w:r w:rsidRPr="000E14A8">
        <w:rPr>
          <w:rFonts w:cs="Times New Roman"/>
          <w:lang w:val="fr-CA"/>
        </w:rPr>
        <w:t>elle s</w:t>
      </w:r>
      <w:r>
        <w:rPr>
          <w:rFonts w:cs="Times New Roman"/>
          <w:lang w:val="fr-CA"/>
        </w:rPr>
        <w:t>’</w:t>
      </w:r>
      <w:r w:rsidRPr="000E14A8">
        <w:rPr>
          <w:rFonts w:cs="Times New Roman"/>
          <w:lang w:val="fr-CA"/>
        </w:rPr>
        <w:t>appuie sur la doctrine de l</w:t>
      </w:r>
      <w:r>
        <w:rPr>
          <w:rFonts w:cs="Times New Roman"/>
          <w:lang w:val="fr-CA"/>
        </w:rPr>
        <w:t>’</w:t>
      </w:r>
      <w:r w:rsidRPr="000E14A8">
        <w:rPr>
          <w:rFonts w:cs="Times New Roman"/>
          <w:lang w:val="fr-CA"/>
        </w:rPr>
        <w:t>identification à la société. Plus particulièrement, Deloitte aurait pu demander que les parties coupables, Drabinsky et Gottlieb, soient mises en cause afin qu</w:t>
      </w:r>
      <w:r>
        <w:rPr>
          <w:rFonts w:cs="Times New Roman"/>
          <w:lang w:val="fr-CA"/>
        </w:rPr>
        <w:t>’</w:t>
      </w:r>
      <w:r w:rsidRPr="000E14A8">
        <w:rPr>
          <w:rFonts w:cs="Times New Roman"/>
          <w:lang w:val="fr-CA"/>
        </w:rPr>
        <w:t xml:space="preserve">elles répondent </w:t>
      </w:r>
      <w:r w:rsidRPr="000E14A8">
        <w:rPr>
          <w:rFonts w:cs="Times New Roman"/>
          <w:lang w:val="fr-CA"/>
        </w:rPr>
        <w:lastRenderedPageBreak/>
        <w:t>de leurs actes fautifs. Pour une raison inconnue, elle a décidé de ne pas le faire. Il reste que la possibilité de mettre en cause un administrateur frauduleux joue en défaveur de l</w:t>
      </w:r>
      <w:r>
        <w:rPr>
          <w:rFonts w:cs="Times New Roman"/>
          <w:lang w:val="fr-CA"/>
        </w:rPr>
        <w:t>’</w:t>
      </w:r>
      <w:r w:rsidRPr="000E14A8">
        <w:rPr>
          <w:rFonts w:cs="Times New Roman"/>
          <w:lang w:val="fr-CA"/>
        </w:rPr>
        <w:t>application de la doctrine. En l</w:t>
      </w:r>
      <w:r>
        <w:rPr>
          <w:rFonts w:cs="Times New Roman"/>
          <w:lang w:val="fr-CA"/>
        </w:rPr>
        <w:t>’</w:t>
      </w:r>
      <w:r w:rsidRPr="000E14A8">
        <w:rPr>
          <w:rFonts w:cs="Times New Roman"/>
          <w:lang w:val="fr-CA"/>
        </w:rPr>
        <w:t>espèce, il n</w:t>
      </w:r>
      <w:r>
        <w:rPr>
          <w:rFonts w:cs="Times New Roman"/>
          <w:lang w:val="fr-CA"/>
        </w:rPr>
        <w:t>’</w:t>
      </w:r>
      <w:r w:rsidRPr="000E14A8">
        <w:rPr>
          <w:rFonts w:cs="Times New Roman"/>
          <w:lang w:val="fr-CA"/>
        </w:rPr>
        <w:t>est pas dans l</w:t>
      </w:r>
      <w:r>
        <w:rPr>
          <w:rFonts w:cs="Times New Roman"/>
          <w:lang w:val="fr-CA"/>
        </w:rPr>
        <w:t>’</w:t>
      </w:r>
      <w:r w:rsidRPr="000E14A8">
        <w:rPr>
          <w:rFonts w:cs="Times New Roman"/>
          <w:lang w:val="fr-CA"/>
        </w:rPr>
        <w:t>intérêt public de s</w:t>
      </w:r>
      <w:r>
        <w:rPr>
          <w:rFonts w:cs="Times New Roman"/>
          <w:lang w:val="fr-CA"/>
        </w:rPr>
        <w:t>’</w:t>
      </w:r>
      <w:r w:rsidRPr="000E14A8">
        <w:rPr>
          <w:rFonts w:cs="Times New Roman"/>
          <w:lang w:val="fr-CA"/>
        </w:rPr>
        <w:t>attaquer à la personnalité juridique distincte de l</w:t>
      </w:r>
      <w:r>
        <w:rPr>
          <w:rFonts w:cs="Times New Roman"/>
          <w:lang w:val="fr-CA"/>
        </w:rPr>
        <w:t>’</w:t>
      </w:r>
      <w:r w:rsidRPr="000E14A8">
        <w:rPr>
          <w:rFonts w:cs="Times New Roman"/>
          <w:lang w:val="fr-CA"/>
        </w:rPr>
        <w:t xml:space="preserve">entreprise alors que le fautif aurait pu être dûment mis en cause. </w:t>
      </w:r>
    </w:p>
    <w:p w:rsidR="003A506E" w:rsidRPr="000E14A8" w:rsidRDefault="003A506E" w:rsidP="003A506E">
      <w:pPr>
        <w:pStyle w:val="Title2LevelTitre2Niveau"/>
        <w:rPr>
          <w:rFonts w:cs="Times New Roman"/>
          <w:lang w:val="fr-CA"/>
        </w:rPr>
      </w:pPr>
      <w:r w:rsidRPr="000E14A8">
        <w:rPr>
          <w:rFonts w:cs="Times New Roman"/>
          <w:lang w:val="fr-CA"/>
        </w:rPr>
        <w:t>Conclusion</w:t>
      </w:r>
    </w:p>
    <w:p w:rsidR="003A506E" w:rsidRPr="000E14A8" w:rsidRDefault="003A506E" w:rsidP="003A506E">
      <w:pPr>
        <w:pStyle w:val="ParaNoNdepar-AltN"/>
        <w:rPr>
          <w:rFonts w:cs="Times New Roman"/>
          <w:lang w:val="fr-CA"/>
        </w:rPr>
      </w:pPr>
      <w:r w:rsidRPr="000E14A8">
        <w:rPr>
          <w:rFonts w:cs="Times New Roman"/>
          <w:lang w:val="fr-CA"/>
        </w:rPr>
        <w:t>Compte tenu de ce qui précède, nous sommes d</w:t>
      </w:r>
      <w:r>
        <w:rPr>
          <w:rFonts w:cs="Times New Roman"/>
          <w:lang w:val="fr-CA"/>
        </w:rPr>
        <w:t>’</w:t>
      </w:r>
      <w:r w:rsidRPr="000E14A8">
        <w:rPr>
          <w:rFonts w:cs="Times New Roman"/>
          <w:lang w:val="fr-CA"/>
        </w:rPr>
        <w:t>avis d</w:t>
      </w:r>
      <w:r>
        <w:rPr>
          <w:rFonts w:cs="Times New Roman"/>
          <w:lang w:val="fr-CA"/>
        </w:rPr>
        <w:t>’</w:t>
      </w:r>
      <w:r w:rsidRPr="000E14A8">
        <w:rPr>
          <w:rFonts w:cs="Times New Roman"/>
          <w:lang w:val="fr-CA"/>
        </w:rPr>
        <w:t xml:space="preserve">accueillir le pourvoi, mais seulement en partie. </w:t>
      </w:r>
    </w:p>
    <w:p w:rsidR="003A506E" w:rsidRPr="000E14A8" w:rsidRDefault="003A506E" w:rsidP="003A506E">
      <w:pPr>
        <w:pStyle w:val="ParaNoNdepar-AltN"/>
        <w:rPr>
          <w:rFonts w:cs="Times New Roman"/>
          <w:lang w:val="fr-CA"/>
        </w:rPr>
      </w:pPr>
      <w:r w:rsidRPr="000E14A8">
        <w:rPr>
          <w:rFonts w:cs="Times New Roman"/>
          <w:lang w:val="fr-CA"/>
        </w:rPr>
        <w:t>À notre avis, le juge de première instance et la Cour d</w:t>
      </w:r>
      <w:r>
        <w:rPr>
          <w:rFonts w:cs="Times New Roman"/>
          <w:lang w:val="fr-CA"/>
        </w:rPr>
        <w:t>’</w:t>
      </w:r>
      <w:r w:rsidRPr="000E14A8">
        <w:rPr>
          <w:rFonts w:cs="Times New Roman"/>
          <w:lang w:val="fr-CA"/>
        </w:rPr>
        <w:t>appel ont eu tort de conclure que la négligence dont Deloitte avait fait preuve en ce qui concerne le communiqué de presse et la lettre de confort avait causé des préjudices qui étaient raisonnablement prévisibles compte tenu du lien de proximité qu</w:t>
      </w:r>
      <w:r>
        <w:rPr>
          <w:rFonts w:cs="Times New Roman"/>
          <w:lang w:val="fr-CA"/>
        </w:rPr>
        <w:t>’</w:t>
      </w:r>
      <w:r w:rsidRPr="000E14A8">
        <w:rPr>
          <w:rFonts w:cs="Times New Roman"/>
          <w:lang w:val="fr-CA"/>
        </w:rPr>
        <w:t>il y avait entre les parties. À l</w:t>
      </w:r>
      <w:r>
        <w:rPr>
          <w:rFonts w:cs="Times New Roman"/>
          <w:lang w:val="fr-CA"/>
        </w:rPr>
        <w:t>’</w:t>
      </w:r>
      <w:r w:rsidRPr="000E14A8">
        <w:rPr>
          <w:rFonts w:cs="Times New Roman"/>
          <w:lang w:val="fr-CA"/>
        </w:rPr>
        <w:t>époque, les services de Deloitte avaient été retenus afin de solliciter des investissements, non pas afin de faciliter la surveillance de la gestion de l</w:t>
      </w:r>
      <w:r>
        <w:rPr>
          <w:rFonts w:cs="Times New Roman"/>
          <w:lang w:val="fr-CA"/>
        </w:rPr>
        <w:t>’</w:t>
      </w:r>
      <w:r w:rsidRPr="000E14A8">
        <w:rPr>
          <w:rFonts w:cs="Times New Roman"/>
          <w:lang w:val="fr-CA"/>
        </w:rPr>
        <w:t>entreprise. Comme les pertes de Livent ne découlaient pas d</w:t>
      </w:r>
      <w:r>
        <w:rPr>
          <w:rFonts w:cs="Times New Roman"/>
          <w:lang w:val="fr-CA"/>
        </w:rPr>
        <w:t>’</w:t>
      </w:r>
      <w:r w:rsidRPr="000E14A8">
        <w:rPr>
          <w:rFonts w:cs="Times New Roman"/>
          <w:lang w:val="fr-CA"/>
        </w:rPr>
        <w:t>un défaut de solliciter des investissements, nous sommes d</w:t>
      </w:r>
      <w:r>
        <w:rPr>
          <w:rFonts w:cs="Times New Roman"/>
          <w:lang w:val="fr-CA"/>
        </w:rPr>
        <w:t>’</w:t>
      </w:r>
      <w:r w:rsidRPr="000E14A8">
        <w:rPr>
          <w:rFonts w:cs="Times New Roman"/>
          <w:lang w:val="fr-CA"/>
        </w:rPr>
        <w:t>avis de refuser l</w:t>
      </w:r>
      <w:r>
        <w:rPr>
          <w:rFonts w:cs="Times New Roman"/>
          <w:lang w:val="fr-CA"/>
        </w:rPr>
        <w:t>’</w:t>
      </w:r>
      <w:r w:rsidRPr="000E14A8">
        <w:rPr>
          <w:rFonts w:cs="Times New Roman"/>
          <w:lang w:val="fr-CA"/>
        </w:rPr>
        <w:t>indemnisation pour l</w:t>
      </w:r>
      <w:r>
        <w:rPr>
          <w:rFonts w:cs="Times New Roman"/>
          <w:lang w:val="fr-CA"/>
        </w:rPr>
        <w:t>’</w:t>
      </w:r>
      <w:r w:rsidRPr="000E14A8">
        <w:rPr>
          <w:rFonts w:cs="Times New Roman"/>
          <w:lang w:val="fr-CA"/>
        </w:rPr>
        <w:t>accroissement du déficit de liquidation de Livent à compter de l</w:t>
      </w:r>
      <w:r>
        <w:rPr>
          <w:rFonts w:cs="Times New Roman"/>
          <w:lang w:val="fr-CA"/>
        </w:rPr>
        <w:t>’</w:t>
      </w:r>
      <w:r w:rsidRPr="000E14A8">
        <w:rPr>
          <w:rFonts w:cs="Times New Roman"/>
          <w:lang w:val="fr-CA"/>
        </w:rPr>
        <w:t>automne 1997.</w:t>
      </w:r>
    </w:p>
    <w:p w:rsidR="003A506E" w:rsidRPr="000E14A8" w:rsidRDefault="003A506E" w:rsidP="003A506E">
      <w:pPr>
        <w:pStyle w:val="ParaNoNdepar-AltN"/>
        <w:rPr>
          <w:rFonts w:cs="Times New Roman"/>
          <w:lang w:val="fr-CA"/>
        </w:rPr>
      </w:pPr>
      <w:r w:rsidRPr="000E14A8">
        <w:rPr>
          <w:rFonts w:cs="Times New Roman"/>
          <w:lang w:val="fr-CA"/>
        </w:rPr>
        <w:t>Nous sommes toutefois d</w:t>
      </w:r>
      <w:r>
        <w:rPr>
          <w:rFonts w:cs="Times New Roman"/>
          <w:lang w:val="fr-CA"/>
        </w:rPr>
        <w:t>’</w:t>
      </w:r>
      <w:r w:rsidRPr="000E14A8">
        <w:rPr>
          <w:rFonts w:cs="Times New Roman"/>
          <w:lang w:val="fr-CA"/>
        </w:rPr>
        <w:t>avis d</w:t>
      </w:r>
      <w:r>
        <w:rPr>
          <w:rFonts w:cs="Times New Roman"/>
          <w:lang w:val="fr-CA"/>
        </w:rPr>
        <w:t>’</w:t>
      </w:r>
      <w:r w:rsidRPr="000E14A8">
        <w:rPr>
          <w:rFonts w:cs="Times New Roman"/>
          <w:lang w:val="fr-CA"/>
        </w:rPr>
        <w:t>accorder une indemnité pour l</w:t>
      </w:r>
      <w:r>
        <w:rPr>
          <w:rFonts w:cs="Times New Roman"/>
          <w:lang w:val="fr-CA"/>
        </w:rPr>
        <w:t>’</w:t>
      </w:r>
      <w:r w:rsidRPr="000E14A8">
        <w:rPr>
          <w:rFonts w:cs="Times New Roman"/>
          <w:lang w:val="fr-CA"/>
        </w:rPr>
        <w:t>augmentation du déficit de liquidation qui a suivi le rapport de 1997. Nous sommes d</w:t>
      </w:r>
      <w:r>
        <w:rPr>
          <w:rFonts w:cs="Times New Roman"/>
          <w:lang w:val="fr-CA"/>
        </w:rPr>
        <w:t>’</w:t>
      </w:r>
      <w:r w:rsidRPr="000E14A8">
        <w:rPr>
          <w:rFonts w:cs="Times New Roman"/>
          <w:lang w:val="fr-CA"/>
        </w:rPr>
        <w:t>accord avec le juge de première instance pour dire que [</w:t>
      </w:r>
      <w:r w:rsidRPr="000E14A8">
        <w:rPr>
          <w:rFonts w:cs="Times New Roman"/>
          <w:smallCaps/>
          <w:lang w:val="fr-CA"/>
        </w:rPr>
        <w:t>traduction</w:t>
      </w:r>
      <w:r w:rsidRPr="000E14A8">
        <w:rPr>
          <w:rFonts w:cs="Times New Roman"/>
          <w:lang w:val="fr-CA"/>
        </w:rPr>
        <w:t>] « Deloitte n</w:t>
      </w:r>
      <w:r>
        <w:rPr>
          <w:rFonts w:cs="Times New Roman"/>
          <w:lang w:val="fr-CA"/>
        </w:rPr>
        <w:t>’</w:t>
      </w:r>
      <w:r w:rsidRPr="000E14A8">
        <w:rPr>
          <w:rFonts w:cs="Times New Roman"/>
          <w:lang w:val="fr-CA"/>
        </w:rPr>
        <w:t>aurait pas dû approuver le rapport de 1997 au début d</w:t>
      </w:r>
      <w:r>
        <w:rPr>
          <w:rFonts w:cs="Times New Roman"/>
          <w:lang w:val="fr-CA"/>
        </w:rPr>
        <w:t>’</w:t>
      </w:r>
      <w:r w:rsidRPr="000E14A8">
        <w:rPr>
          <w:rFonts w:cs="Times New Roman"/>
          <w:lang w:val="fr-CA"/>
        </w:rPr>
        <w:t>avril 1998 » (par. 242) et que l</w:t>
      </w:r>
      <w:r>
        <w:rPr>
          <w:rFonts w:cs="Times New Roman"/>
          <w:lang w:val="fr-CA"/>
        </w:rPr>
        <w:t>’</w:t>
      </w:r>
      <w:r w:rsidRPr="000E14A8">
        <w:rPr>
          <w:rFonts w:cs="Times New Roman"/>
          <w:lang w:val="fr-CA"/>
        </w:rPr>
        <w:t>augmentation consécutive du déficit de liquidation de Livent relevait de l</w:t>
      </w:r>
      <w:r>
        <w:rPr>
          <w:rFonts w:cs="Times New Roman"/>
          <w:lang w:val="fr-CA"/>
        </w:rPr>
        <w:t>’</w:t>
      </w:r>
      <w:r w:rsidRPr="000E14A8">
        <w:rPr>
          <w:rFonts w:cs="Times New Roman"/>
          <w:lang w:val="fr-CA"/>
        </w:rPr>
        <w:t xml:space="preserve">obligation </w:t>
      </w:r>
      <w:r w:rsidRPr="000E14A8">
        <w:rPr>
          <w:rFonts w:cs="Times New Roman"/>
          <w:lang w:val="fr-CA"/>
        </w:rPr>
        <w:lastRenderedPageBreak/>
        <w:t>de diligence à laquelle Deloitte était tenue envers Livent quant à la préparation d</w:t>
      </w:r>
      <w:r>
        <w:rPr>
          <w:rFonts w:cs="Times New Roman"/>
          <w:lang w:val="fr-CA"/>
        </w:rPr>
        <w:t>’</w:t>
      </w:r>
      <w:r w:rsidRPr="000E14A8">
        <w:rPr>
          <w:rFonts w:cs="Times New Roman"/>
          <w:lang w:val="fr-CA"/>
        </w:rPr>
        <w:t>une vérification exigée par la loi, laquelle visait expressément à aider Livent à surveiller la gestion de l</w:t>
      </w:r>
      <w:r>
        <w:rPr>
          <w:rFonts w:cs="Times New Roman"/>
          <w:lang w:val="fr-CA"/>
        </w:rPr>
        <w:t>’</w:t>
      </w:r>
      <w:r w:rsidRPr="000E14A8">
        <w:rPr>
          <w:rFonts w:cs="Times New Roman"/>
          <w:lang w:val="fr-CA"/>
        </w:rPr>
        <w:t xml:space="preserve">entreprise. </w:t>
      </w:r>
    </w:p>
    <w:p w:rsidR="003A506E" w:rsidRPr="000E14A8" w:rsidRDefault="003A506E" w:rsidP="003A506E">
      <w:pPr>
        <w:pStyle w:val="ParaNoNdepar-AltN"/>
        <w:rPr>
          <w:rFonts w:cs="Times New Roman"/>
          <w:lang w:val="fr-CA"/>
        </w:rPr>
      </w:pPr>
      <w:r w:rsidRPr="000E14A8">
        <w:rPr>
          <w:rFonts w:cs="Times New Roman"/>
          <w:lang w:val="fr-CA"/>
        </w:rPr>
        <w:t>Le juge de première instance a évalué les dommages subis par Livent après le rapport de 1997 à 53,9 millions de dollars (par. 306, note 188</w:t>
      </w:r>
      <w:r w:rsidR="00A754A5">
        <w:rPr>
          <w:rFonts w:cs="Times New Roman"/>
          <w:lang w:val="fr-CA"/>
        </w:rPr>
        <w:t>,</w:t>
      </w:r>
      <w:r w:rsidRPr="000E14A8">
        <w:rPr>
          <w:rFonts w:cs="Times New Roman"/>
          <w:lang w:val="fr-CA"/>
        </w:rPr>
        <w:t xml:space="preserve"> et par. 369, note 228). Si l</w:t>
      </w:r>
      <w:r>
        <w:rPr>
          <w:rFonts w:cs="Times New Roman"/>
          <w:lang w:val="fr-CA"/>
        </w:rPr>
        <w:t>’</w:t>
      </w:r>
      <w:r w:rsidRPr="000E14A8">
        <w:rPr>
          <w:rFonts w:cs="Times New Roman"/>
          <w:lang w:val="fr-CA"/>
        </w:rPr>
        <w:t xml:space="preserve">on applique à cette somme la réduction pour éventualités de 25 pour </w:t>
      </w:r>
      <w:r w:rsidR="00A754A5">
        <w:rPr>
          <w:rFonts w:cs="Times New Roman"/>
          <w:lang w:val="fr-CA"/>
        </w:rPr>
        <w:t>100</w:t>
      </w:r>
      <w:r w:rsidRPr="000E14A8">
        <w:rPr>
          <w:rFonts w:cs="Times New Roman"/>
          <w:lang w:val="fr-CA"/>
        </w:rPr>
        <w:t xml:space="preserve"> ordonnée par le juge de première instance, on obtient la somme de 40 425 000 dollars. C</w:t>
      </w:r>
      <w:r>
        <w:rPr>
          <w:rFonts w:cs="Times New Roman"/>
          <w:lang w:val="fr-CA"/>
        </w:rPr>
        <w:t>’</w:t>
      </w:r>
      <w:r w:rsidRPr="000E14A8">
        <w:rPr>
          <w:rFonts w:cs="Times New Roman"/>
          <w:lang w:val="fr-CA"/>
        </w:rPr>
        <w:t>est là la somme dont Deloitte est responsable.</w:t>
      </w:r>
    </w:p>
    <w:p w:rsidR="003A506E" w:rsidRPr="000E14A8" w:rsidRDefault="003A506E" w:rsidP="003A506E">
      <w:pPr>
        <w:pStyle w:val="ParaNoNdepar-AltN"/>
        <w:rPr>
          <w:rFonts w:cs="Times New Roman"/>
          <w:lang w:val="fr-CA"/>
        </w:rPr>
      </w:pPr>
      <w:r w:rsidRPr="000E14A8">
        <w:rPr>
          <w:rFonts w:cs="Times New Roman"/>
          <w:lang w:val="fr-CA"/>
        </w:rPr>
        <w:t>Tout au long du litige, les parties ont considéré qu</w:t>
      </w:r>
      <w:r>
        <w:rPr>
          <w:rFonts w:cs="Times New Roman"/>
          <w:lang w:val="fr-CA"/>
        </w:rPr>
        <w:t>’</w:t>
      </w:r>
      <w:r w:rsidRPr="000E14A8">
        <w:rPr>
          <w:rFonts w:cs="Times New Roman"/>
          <w:lang w:val="fr-CA"/>
        </w:rPr>
        <w:t>il s</w:t>
      </w:r>
      <w:r>
        <w:rPr>
          <w:rFonts w:cs="Times New Roman"/>
          <w:lang w:val="fr-CA"/>
        </w:rPr>
        <w:t>’</w:t>
      </w:r>
      <w:r w:rsidRPr="000E14A8">
        <w:rPr>
          <w:rFonts w:cs="Times New Roman"/>
          <w:lang w:val="fr-CA"/>
        </w:rPr>
        <w:t>agissait principalement d</w:t>
      </w:r>
      <w:r>
        <w:rPr>
          <w:rFonts w:cs="Times New Roman"/>
          <w:lang w:val="fr-CA"/>
        </w:rPr>
        <w:t>’</w:t>
      </w:r>
      <w:r w:rsidRPr="000E14A8">
        <w:rPr>
          <w:rFonts w:cs="Times New Roman"/>
          <w:lang w:val="fr-CA"/>
        </w:rPr>
        <w:t>une poursuite fondée sur la négligence. C</w:t>
      </w:r>
      <w:r>
        <w:rPr>
          <w:rFonts w:cs="Times New Roman"/>
          <w:lang w:val="fr-CA"/>
        </w:rPr>
        <w:t>’</w:t>
      </w:r>
      <w:r w:rsidRPr="000E14A8">
        <w:rPr>
          <w:rFonts w:cs="Times New Roman"/>
          <w:lang w:val="fr-CA"/>
        </w:rPr>
        <w:t xml:space="preserve">est aussi ce que le juge de première instance a fait remarquer (par. 47). Au procès, Livent a reconnu que ses pertes attribuables à la </w:t>
      </w:r>
      <w:r w:rsidRPr="000E14A8">
        <w:rPr>
          <w:rFonts w:cs="Times New Roman"/>
          <w:noProof/>
          <w:lang w:val="fr-CA"/>
        </w:rPr>
        <w:t>prestation négligente d</w:t>
      </w:r>
      <w:r>
        <w:rPr>
          <w:rFonts w:cs="Times New Roman"/>
          <w:noProof/>
          <w:lang w:val="fr-CA"/>
        </w:rPr>
        <w:t>’</w:t>
      </w:r>
      <w:r w:rsidRPr="000E14A8">
        <w:rPr>
          <w:rFonts w:cs="Times New Roman"/>
          <w:noProof/>
          <w:lang w:val="fr-CA"/>
        </w:rPr>
        <w:t>un service</w:t>
      </w:r>
      <w:r w:rsidRPr="000E14A8">
        <w:rPr>
          <w:rFonts w:cs="Times New Roman"/>
          <w:lang w:val="fr-CA"/>
        </w:rPr>
        <w:t xml:space="preserve"> ou à la violation de contrat seraient identiques (</w:t>
      </w:r>
      <w:r w:rsidRPr="000E14A8">
        <w:rPr>
          <w:rFonts w:cs="Times New Roman"/>
          <w:i/>
          <w:lang w:val="fr-CA"/>
        </w:rPr>
        <w:t>ibid.</w:t>
      </w:r>
      <w:r w:rsidRPr="000E14A8">
        <w:rPr>
          <w:rFonts w:cs="Times New Roman"/>
          <w:lang w:val="fr-CA"/>
        </w:rPr>
        <w:t>). Le juge de première instance a acquiescé et a conclu que la demande de Livent fondée sur le contrat était [</w:t>
      </w:r>
      <w:r w:rsidRPr="000E14A8">
        <w:rPr>
          <w:rFonts w:cs="Times New Roman"/>
          <w:smallCaps/>
          <w:lang w:val="fr-CA"/>
        </w:rPr>
        <w:t>traduction</w:t>
      </w:r>
      <w:r w:rsidRPr="000E14A8">
        <w:rPr>
          <w:rFonts w:cs="Times New Roman"/>
          <w:lang w:val="fr-CA"/>
        </w:rPr>
        <w:t>] « accueillie [. . .] pour les [mêmes] raisons » qu</w:t>
      </w:r>
      <w:r>
        <w:rPr>
          <w:rFonts w:cs="Times New Roman"/>
          <w:lang w:val="fr-CA"/>
        </w:rPr>
        <w:t>’</w:t>
      </w:r>
      <w:r w:rsidRPr="000E14A8">
        <w:rPr>
          <w:rFonts w:cs="Times New Roman"/>
          <w:lang w:val="fr-CA"/>
        </w:rPr>
        <w:t xml:space="preserve">il accueillait sa demande fondée sur la </w:t>
      </w:r>
      <w:r w:rsidRPr="000E14A8">
        <w:rPr>
          <w:rFonts w:cs="Times New Roman"/>
          <w:noProof/>
          <w:lang w:val="fr-CA"/>
        </w:rPr>
        <w:t>prestation négligente d</w:t>
      </w:r>
      <w:r>
        <w:rPr>
          <w:rFonts w:cs="Times New Roman"/>
          <w:noProof/>
          <w:lang w:val="fr-CA"/>
        </w:rPr>
        <w:t>’</w:t>
      </w:r>
      <w:r w:rsidRPr="000E14A8">
        <w:rPr>
          <w:rFonts w:cs="Times New Roman"/>
          <w:noProof/>
          <w:lang w:val="fr-CA"/>
        </w:rPr>
        <w:t xml:space="preserve">un service, et que les éléments de sa demande fondée sur le contrat étaient </w:t>
      </w:r>
      <w:r w:rsidRPr="000E14A8">
        <w:rPr>
          <w:rFonts w:cs="Times New Roman"/>
          <w:lang w:val="fr-CA"/>
        </w:rPr>
        <w:t>« </w:t>
      </w:r>
      <w:r w:rsidRPr="000E14A8">
        <w:rPr>
          <w:rFonts w:cs="Times New Roman"/>
          <w:noProof/>
          <w:lang w:val="fr-CA"/>
        </w:rPr>
        <w:t xml:space="preserve">incorporés par renvoi à la conclusion relative à la </w:t>
      </w:r>
      <w:r w:rsidR="00B36708" w:rsidRPr="00B36708">
        <w:rPr>
          <w:szCs w:val="24"/>
          <w:lang w:val="fr-CA"/>
        </w:rPr>
        <w:t>“</w:t>
      </w:r>
      <w:r w:rsidRPr="000E14A8">
        <w:rPr>
          <w:rFonts w:cs="Times New Roman"/>
          <w:noProof/>
          <w:lang w:val="fr-CA"/>
        </w:rPr>
        <w:t>négligence</w:t>
      </w:r>
      <w:r w:rsidR="00B36708" w:rsidRPr="00B36708">
        <w:rPr>
          <w:szCs w:val="24"/>
          <w:lang w:val="fr-CA"/>
        </w:rPr>
        <w:t>”</w:t>
      </w:r>
      <w:r w:rsidRPr="000E14A8">
        <w:rPr>
          <w:rFonts w:cs="Times New Roman"/>
          <w:noProof/>
          <w:lang w:val="fr-CA"/>
        </w:rPr>
        <w:t> </w:t>
      </w:r>
      <w:r w:rsidRPr="000E14A8">
        <w:rPr>
          <w:rFonts w:cs="Times New Roman"/>
          <w:lang w:val="fr-CA"/>
        </w:rPr>
        <w:t>»</w:t>
      </w:r>
      <w:r w:rsidRPr="000E14A8">
        <w:rPr>
          <w:rFonts w:cs="Times New Roman"/>
          <w:noProof/>
          <w:lang w:val="fr-CA"/>
        </w:rPr>
        <w:t xml:space="preserve"> (par. 243). Compte tenu de ce qui précède, nous sommes d</w:t>
      </w:r>
      <w:r>
        <w:rPr>
          <w:rFonts w:cs="Times New Roman"/>
          <w:noProof/>
          <w:lang w:val="fr-CA"/>
        </w:rPr>
        <w:t>’</w:t>
      </w:r>
      <w:r w:rsidRPr="000E14A8">
        <w:rPr>
          <w:rFonts w:cs="Times New Roman"/>
          <w:noProof/>
          <w:lang w:val="fr-CA"/>
        </w:rPr>
        <w:t>avis d</w:t>
      </w:r>
      <w:r>
        <w:rPr>
          <w:rFonts w:cs="Times New Roman"/>
          <w:noProof/>
          <w:lang w:val="fr-CA"/>
        </w:rPr>
        <w:t>’</w:t>
      </w:r>
      <w:r w:rsidRPr="000E14A8">
        <w:rPr>
          <w:rFonts w:cs="Times New Roman"/>
          <w:noProof/>
          <w:lang w:val="fr-CA"/>
        </w:rPr>
        <w:t>imposer à Deloitte une responsabilité dans la même mesure pour la demande concurrente fondée sur la violation de contrat.</w:t>
      </w:r>
    </w:p>
    <w:p w:rsidR="003A506E" w:rsidRPr="000E14A8" w:rsidRDefault="003A506E" w:rsidP="003A506E">
      <w:pPr>
        <w:pStyle w:val="ParaNoNdepar-AltN"/>
        <w:tabs>
          <w:tab w:val="clear" w:pos="1152"/>
          <w:tab w:val="left" w:pos="1166"/>
        </w:tabs>
        <w:rPr>
          <w:rFonts w:cs="Times New Roman"/>
          <w:noProof/>
          <w:lang w:val="fr-CA"/>
        </w:rPr>
      </w:pPr>
      <w:r w:rsidRPr="000E14A8">
        <w:rPr>
          <w:rFonts w:cs="Times New Roman"/>
          <w:lang w:val="fr-CA"/>
        </w:rPr>
        <w:t xml:space="preserve">En conséquence, le pourvoi est accueilli en partie. La somme </w:t>
      </w:r>
      <w:r>
        <w:rPr>
          <w:rFonts w:cs="Times New Roman"/>
          <w:lang w:val="fr-CA"/>
        </w:rPr>
        <w:t>de 84 750 000 </w:t>
      </w:r>
      <w:r w:rsidRPr="000E14A8">
        <w:rPr>
          <w:rFonts w:cs="Times New Roman"/>
          <w:lang w:val="fr-CA"/>
        </w:rPr>
        <w:t>dollars accordée en première instance est réduite à 40 42</w:t>
      </w:r>
      <w:r>
        <w:rPr>
          <w:rFonts w:cs="Times New Roman"/>
          <w:lang w:val="fr-CA"/>
        </w:rPr>
        <w:t>5 000 </w:t>
      </w:r>
      <w:r w:rsidRPr="000E14A8">
        <w:rPr>
          <w:rFonts w:cs="Times New Roman"/>
          <w:lang w:val="fr-CA"/>
        </w:rPr>
        <w:t>dollars. Livent a droit à ses dépens dans toutes les cours.</w:t>
      </w:r>
    </w:p>
    <w:p w:rsidR="003A506E" w:rsidRDefault="000E54AA" w:rsidP="000E54AA">
      <w:pPr>
        <w:pStyle w:val="ParaNoNdepar-AltN"/>
        <w:numPr>
          <w:ilvl w:val="0"/>
          <w:numId w:val="0"/>
        </w:numPr>
        <w:tabs>
          <w:tab w:val="left" w:pos="1166"/>
        </w:tabs>
        <w:rPr>
          <w:lang w:val="fr-CA"/>
        </w:rPr>
      </w:pPr>
      <w:r>
        <w:rPr>
          <w:lang w:val="fr-CA"/>
        </w:rPr>
        <w:lastRenderedPageBreak/>
        <w:tab/>
      </w:r>
      <w:r w:rsidR="003A506E">
        <w:rPr>
          <w:lang w:val="fr-CA"/>
        </w:rPr>
        <w:t xml:space="preserve">Version française des motifs de la juge en chef McLachlin et des juges Wagner et Côté rendus par </w:t>
      </w:r>
    </w:p>
    <w:p w:rsidR="003A506E" w:rsidRPr="003C15EC" w:rsidRDefault="000E54AA" w:rsidP="000E54AA">
      <w:pPr>
        <w:pStyle w:val="ParaNoNdepar-AltN"/>
        <w:rPr>
          <w:noProof/>
        </w:rPr>
      </w:pPr>
      <w:r w:rsidRPr="000E54AA">
        <w:rPr>
          <w:smallCaps/>
          <w:noProof/>
          <w:lang w:val="fr-CA"/>
        </w:rPr>
        <w:t xml:space="preserve">La </w:t>
      </w:r>
      <w:r w:rsidR="00A754A5">
        <w:rPr>
          <w:smallCaps/>
          <w:noProof/>
          <w:lang w:val="fr-CA"/>
        </w:rPr>
        <w:t>J</w:t>
      </w:r>
      <w:r w:rsidRPr="000E54AA">
        <w:rPr>
          <w:smallCaps/>
          <w:noProof/>
          <w:lang w:val="fr-CA"/>
        </w:rPr>
        <w:t>uge en chef</w:t>
      </w:r>
      <w:r>
        <w:rPr>
          <w:noProof/>
          <w:lang w:val="fr-CA"/>
        </w:rPr>
        <w:t xml:space="preserve"> </w:t>
      </w:r>
      <w:r w:rsidR="00B36708">
        <w:rPr>
          <w:noProof/>
          <w:lang w:val="fr-CA"/>
        </w:rPr>
        <w:t xml:space="preserve">(dissidente en partie) </w:t>
      </w:r>
      <w:r w:rsidRPr="000E54AA">
        <w:rPr>
          <w:rFonts w:cs="Times New Roman"/>
          <w:noProof/>
          <w:lang w:val="fr-CA"/>
        </w:rPr>
        <w:t>—</w:t>
      </w:r>
      <w:r>
        <w:rPr>
          <w:rFonts w:cs="Times New Roman"/>
          <w:noProof/>
          <w:lang w:val="fr-CA"/>
        </w:rPr>
        <w:t xml:space="preserve"> </w:t>
      </w:r>
      <w:r w:rsidR="003A506E" w:rsidRPr="003A506E">
        <w:rPr>
          <w:noProof/>
          <w:lang w:val="fr-CA"/>
        </w:rPr>
        <w:t>Garth Drabinsky et Myron Gottlieb ont édifié dans le domaine du théâtre un empire nord</w:t>
      </w:r>
      <w:r w:rsidR="003A506E" w:rsidRPr="003A506E">
        <w:rPr>
          <w:noProof/>
          <w:lang w:val="fr-CA"/>
        </w:rPr>
        <w:noBreakHyphen/>
        <w:t xml:space="preserve">américain qui s’est fait connaître sous le nom de Livent Inc. À la poursuite d’un succès encore plus fulgurant, ils ont recouru à la manipulation des documents financiers de l’entreprise. Lorsque le stratagème a été découvert, Livent s’est effondrée. Ses actifs ont été liquidés. </w:t>
      </w:r>
      <w:r w:rsidR="003A506E" w:rsidRPr="003C15EC">
        <w:rPr>
          <w:noProof/>
        </w:rPr>
        <w:t>MM. Drabinsky et Gottlieb ont été incarcérés.</w:t>
      </w:r>
    </w:p>
    <w:p w:rsidR="003A506E" w:rsidRPr="003C15EC" w:rsidRDefault="003A506E" w:rsidP="003A506E">
      <w:pPr>
        <w:pStyle w:val="ParaNoNdepar-AltN"/>
        <w:rPr>
          <w:rFonts w:cs="Times New Roman"/>
          <w:noProof/>
          <w:lang w:val="fr-CA"/>
        </w:rPr>
      </w:pPr>
      <w:r w:rsidRPr="003C15EC">
        <w:rPr>
          <w:rFonts w:cs="Times New Roman"/>
          <w:noProof/>
          <w:lang w:val="fr-CA"/>
        </w:rPr>
        <w:t>L’affaire qui nous occupe compte parmi les nombreuses poursuites qui ont suivi. Les juridictions inférieures ont jugé que Deloitte &amp; Touche, un cabinet de comptables et vérificateur de Livent, a manqué à l’obligation de diligence envers cette dernière lorsqu’elle n’a pas détecté et dénoncé la fraude commise par Livent, ce qui a fait en sorte que Livent a pu poursuivre ses activités et continuer à perdre de l’argent — argent qu’elle réclame maintenant à Deloitte.</w:t>
      </w:r>
    </w:p>
    <w:p w:rsidR="003A506E" w:rsidRPr="003C15EC" w:rsidRDefault="003A506E" w:rsidP="003A506E">
      <w:pPr>
        <w:pStyle w:val="ParaNoNdepar-AltN"/>
        <w:rPr>
          <w:rFonts w:cs="Times New Roman"/>
          <w:noProof/>
          <w:lang w:val="fr-CA"/>
        </w:rPr>
      </w:pPr>
      <w:r w:rsidRPr="003C15EC">
        <w:rPr>
          <w:rFonts w:cs="Times New Roman"/>
          <w:noProof/>
          <w:lang w:val="fr-CA"/>
        </w:rPr>
        <w:t>Je suis d’accord avec les juridictions inférieures pour dire que Deloitte avait une obligation de diligence envers Livent, obligation à laquelle elle a manqué lorsqu’elle n’a pas détecté et dénoncé la fraude commise par Livent dans les états financiers vérifiés qu’elle a préparés. Cependant, je ne suis pas d’accord pour dire que Deloitte est responsable de pratiquement toutes les pertes qu’a subies Livent alors qu’elle sombrait rapidement dans l’insolvabilité en raison d’investissements voués à l’échec. Je suis d’avis d’accueillir le pourvoi.</w:t>
      </w:r>
    </w:p>
    <w:p w:rsidR="003A506E" w:rsidRPr="00700550" w:rsidRDefault="003A506E" w:rsidP="00700550">
      <w:pPr>
        <w:pStyle w:val="Title1LevelTitre1Niveau-AltL"/>
        <w:numPr>
          <w:ilvl w:val="0"/>
          <w:numId w:val="22"/>
        </w:numPr>
        <w:rPr>
          <w:rFonts w:cs="Times New Roman"/>
          <w:noProof/>
          <w:lang w:val="fr-CA"/>
        </w:rPr>
      </w:pPr>
      <w:r w:rsidRPr="00700550">
        <w:rPr>
          <w:rFonts w:cs="Times New Roman"/>
          <w:noProof/>
          <w:lang w:val="fr-CA"/>
        </w:rPr>
        <w:t>Les faits</w:t>
      </w:r>
    </w:p>
    <w:p w:rsidR="003A506E" w:rsidRPr="003C15EC" w:rsidRDefault="003A506E" w:rsidP="003A506E">
      <w:pPr>
        <w:pStyle w:val="ParaNoNdepar-AltN"/>
        <w:rPr>
          <w:rFonts w:cs="Times New Roman"/>
          <w:noProof/>
          <w:lang w:val="fr-CA"/>
        </w:rPr>
      </w:pPr>
      <w:r w:rsidRPr="003C15EC">
        <w:rPr>
          <w:rFonts w:cs="Times New Roman"/>
          <w:noProof/>
          <w:lang w:val="fr-CA"/>
        </w:rPr>
        <w:lastRenderedPageBreak/>
        <w:t xml:space="preserve">La saga qui a mené à ces procédures a commencé en 1989, lorsque deux aspirants magnats du spectacle, MM. Drabinsky et Gottlieb, ont lancé une offre publique d’achat visant leur employeur, Cineplex Odeon Corporation. Lorsque leur offre a échoué, ils ont constitué la société MyGar Partnership qui a acheté tous les éléments d’actif et certains éléments de passif de la division des spectacles sur scène de Cineplex. Il s’agissait notamment du Pantages Theatre de Toronto et des droits sur un spectacle connaissant un incroyable succès, </w:t>
      </w:r>
      <w:r w:rsidRPr="003C15EC">
        <w:rPr>
          <w:rFonts w:cs="Times New Roman"/>
          <w:i/>
          <w:noProof/>
          <w:lang w:val="fr-CA"/>
        </w:rPr>
        <w:t xml:space="preserve">The Phantom of the Opera </w:t>
      </w:r>
      <w:r w:rsidRPr="00CC7659">
        <w:rPr>
          <w:rFonts w:cs="Times New Roman"/>
          <w:noProof/>
          <w:lang w:val="fr-CA"/>
        </w:rPr>
        <w:t>(</w:t>
      </w:r>
      <w:r w:rsidRPr="003C15EC">
        <w:rPr>
          <w:rFonts w:cs="Times New Roman"/>
          <w:i/>
          <w:noProof/>
          <w:lang w:val="fr-CA"/>
        </w:rPr>
        <w:t>Le Fantôme de l’Opéra</w:t>
      </w:r>
      <w:r w:rsidRPr="00A754A5">
        <w:rPr>
          <w:rFonts w:cs="Times New Roman"/>
          <w:noProof/>
          <w:lang w:val="fr-CA"/>
        </w:rPr>
        <w:t>)</w:t>
      </w:r>
      <w:r w:rsidRPr="003C15EC">
        <w:rPr>
          <w:rFonts w:cs="Times New Roman"/>
          <w:noProof/>
          <w:lang w:val="fr-CA"/>
        </w:rPr>
        <w:t>. MyGar a mené ses activités par l’intermédiaire de sa société prête</w:t>
      </w:r>
      <w:r w:rsidRPr="003C15EC">
        <w:rPr>
          <w:rFonts w:cs="Times New Roman"/>
          <w:noProof/>
          <w:lang w:val="fr-CA"/>
        </w:rPr>
        <w:noBreakHyphen/>
        <w:t>nom, Live Entertainment Corporation of Canada Inc., et en 1993, ces deux entités ont fusionné pour devenir Live Entertainment of Canada Inc., ou Livent Inc. Livent a percé le marché boursier canadien en lançant la même année un premier appel public à l’épargne. À la fin de 1995, les actions de Livent étaient aussi cotées au marché d’actions NASDAQ de New York.</w:t>
      </w:r>
    </w:p>
    <w:p w:rsidR="003A506E" w:rsidRPr="003C15EC" w:rsidRDefault="003A506E" w:rsidP="003A506E">
      <w:pPr>
        <w:pStyle w:val="ParaNoNdepar-AltN"/>
        <w:rPr>
          <w:rFonts w:cs="Times New Roman"/>
          <w:noProof/>
          <w:lang w:val="fr-CA"/>
        </w:rPr>
      </w:pPr>
      <w:r w:rsidRPr="003C15EC">
        <w:rPr>
          <w:rFonts w:cs="Times New Roman"/>
          <w:noProof/>
          <w:lang w:val="fr-CA"/>
        </w:rPr>
        <w:t>Deloitte &amp; Touche (maintenant Deloitte S.E.N.C.R.L./s.r.l.) est devenue le vérificateur de MyGar en 1989 et a continué d’agir à ce titre pour MyGar et son successeur, Livent, jusqu’en 1998.</w:t>
      </w:r>
    </w:p>
    <w:p w:rsidR="003A506E" w:rsidRPr="003C15EC" w:rsidRDefault="003A506E" w:rsidP="003A506E">
      <w:pPr>
        <w:pStyle w:val="ParaNoNdepar-AltN"/>
        <w:rPr>
          <w:rFonts w:cs="Times New Roman"/>
          <w:noProof/>
          <w:lang w:val="fr-CA"/>
        </w:rPr>
      </w:pPr>
      <w:r w:rsidRPr="003C15EC">
        <w:rPr>
          <w:rFonts w:cs="Times New Roman"/>
          <w:noProof/>
          <w:lang w:val="fr-CA"/>
        </w:rPr>
        <w:t xml:space="preserve">Livent a eu recours à la stratégie d’intégration verticale. Contrairement à d’autres acteurs de l’industrie des spectacles sur scène, Livent a regroupé l’ensemble des activités, de la production à la présentation des spectacles, sous un même toit, lequel appartenait d’ailleurs à Livent en sa qualité de propriétaire de théâtres. Il s’agissait d’un projet extrêmement coûteux et risqué. Livent a investi dans le secteur immobilier à Toronto, Vancouver, New York et Chicago. Elle a produit et présenté une série de comédies musicales spectaculaires (et par conséquent coûteuses). Lorsque les </w:t>
      </w:r>
      <w:r w:rsidRPr="003C15EC">
        <w:rPr>
          <w:rFonts w:cs="Times New Roman"/>
          <w:noProof/>
          <w:lang w:val="fr-CA"/>
        </w:rPr>
        <w:lastRenderedPageBreak/>
        <w:t>spectacles étaient couronnés de succès, Livent récoltait tous les fruits. Dans le cas contraire, elle assumait seule les pertes.</w:t>
      </w:r>
    </w:p>
    <w:p w:rsidR="003A506E" w:rsidRPr="003C15EC" w:rsidRDefault="003A506E" w:rsidP="003A506E">
      <w:pPr>
        <w:pStyle w:val="ParaNoNdepar-AltN"/>
        <w:rPr>
          <w:rFonts w:cs="Times New Roman"/>
          <w:noProof/>
          <w:lang w:val="fr-CA"/>
        </w:rPr>
      </w:pPr>
      <w:r w:rsidRPr="003C15EC">
        <w:rPr>
          <w:rFonts w:cs="Times New Roman"/>
          <w:noProof/>
          <w:lang w:val="fr-CA"/>
        </w:rPr>
        <w:t>Messieurs Drabinsky et Gottlieb voulaient à tout prix démontrer que leur modèle d’entreprise fonctionnait bien. Pour y arriver, de concert avec leurs associés, ils ont falsifié les comptes, et ce, de quatre manières :</w:t>
      </w:r>
    </w:p>
    <w:p w:rsidR="003A506E" w:rsidRPr="003C15EC" w:rsidRDefault="003A506E" w:rsidP="007F506C">
      <w:pPr>
        <w:pStyle w:val="Citation-AltC"/>
        <w:numPr>
          <w:ilvl w:val="0"/>
          <w:numId w:val="21"/>
        </w:numPr>
        <w:spacing w:after="480" w:line="480" w:lineRule="auto"/>
        <w:ind w:left="360"/>
        <w:contextualSpacing w:val="0"/>
        <w:rPr>
          <w:noProof/>
          <w:lang w:val="fr-CA"/>
        </w:rPr>
      </w:pPr>
      <w:r w:rsidRPr="003C15EC">
        <w:rPr>
          <w:noProof/>
          <w:lang w:val="fr-CA"/>
        </w:rPr>
        <w:t>M</w:t>
      </w:r>
      <w:r w:rsidR="00A754A5">
        <w:rPr>
          <w:noProof/>
          <w:lang w:val="fr-CA"/>
        </w:rPr>
        <w:t>essieurs</w:t>
      </w:r>
      <w:r w:rsidRPr="003C15EC">
        <w:rPr>
          <w:noProof/>
          <w:lang w:val="fr-CA"/>
        </w:rPr>
        <w:t> Drabinsky et Gottlieb ont empoché quelque 7,5 millions de dollars en pots</w:t>
      </w:r>
      <w:r w:rsidRPr="003C15EC">
        <w:rPr>
          <w:noProof/>
          <w:lang w:val="fr-CA"/>
        </w:rPr>
        <w:noBreakHyphen/>
        <w:t>de</w:t>
      </w:r>
      <w:r w:rsidRPr="003C15EC">
        <w:rPr>
          <w:noProof/>
          <w:lang w:val="fr-CA"/>
        </w:rPr>
        <w:noBreakHyphen/>
        <w:t>vin au cours des deux années précédant le premier appel public à l’épargne de Livent. Ils y sont parvenus en faisant payer par MyGar des factures fausses ou gonflées à divers entrepreneurs, qui versaient en retour de l’argent à MM. Drabinsky et Gottlieb personnellement ou à une autre société que ceux</w:t>
      </w:r>
      <w:r w:rsidRPr="003C15EC">
        <w:rPr>
          <w:noProof/>
          <w:lang w:val="fr-CA"/>
        </w:rPr>
        <w:noBreakHyphen/>
        <w:t>ci contrôlaient. Une partie importante des dépenses falsifiées étaient consignées comme des éléments d’actif. Les bilans de MM. Drabinsky et Gottlieb étaient donc truffés de faussetés dès</w:t>
      </w:r>
      <w:r>
        <w:rPr>
          <w:noProof/>
          <w:lang w:val="fr-CA"/>
        </w:rPr>
        <w:t xml:space="preserve"> </w:t>
      </w:r>
      <w:r w:rsidRPr="003C15EC">
        <w:rPr>
          <w:noProof/>
          <w:lang w:val="fr-CA"/>
        </w:rPr>
        <w:t>1991.</w:t>
      </w:r>
    </w:p>
    <w:p w:rsidR="003A506E" w:rsidRPr="003C15EC" w:rsidRDefault="003A506E" w:rsidP="007F506C">
      <w:pPr>
        <w:pStyle w:val="Citation-AltC"/>
        <w:numPr>
          <w:ilvl w:val="0"/>
          <w:numId w:val="21"/>
        </w:numPr>
        <w:spacing w:after="480" w:line="480" w:lineRule="auto"/>
        <w:ind w:left="360"/>
        <w:contextualSpacing w:val="0"/>
        <w:rPr>
          <w:noProof/>
          <w:lang w:val="fr-CA"/>
        </w:rPr>
      </w:pPr>
      <w:r w:rsidRPr="003C15EC">
        <w:rPr>
          <w:noProof/>
          <w:lang w:val="fr-CA"/>
        </w:rPr>
        <w:t>Les dirigeants et les employés de Livent ont falsifié les documents financiers de l’entreprise en transférant les dépenses d’une période comptable à une autre et d’une activité ou production à une autre. Ils ont trafiqué le logiciel de comptabilité de Livent pour effectuer et dissimuler ces manœuvres.</w:t>
      </w:r>
    </w:p>
    <w:p w:rsidR="003A506E" w:rsidRPr="003C15EC" w:rsidRDefault="003A506E" w:rsidP="007F506C">
      <w:pPr>
        <w:pStyle w:val="Citation-AltC"/>
        <w:numPr>
          <w:ilvl w:val="0"/>
          <w:numId w:val="21"/>
        </w:numPr>
        <w:spacing w:after="480" w:line="480" w:lineRule="auto"/>
        <w:ind w:left="360"/>
        <w:contextualSpacing w:val="0"/>
        <w:rPr>
          <w:noProof/>
          <w:lang w:val="fr-CA"/>
        </w:rPr>
      </w:pPr>
      <w:r w:rsidRPr="003C15EC">
        <w:rPr>
          <w:noProof/>
          <w:lang w:val="fr-CA"/>
        </w:rPr>
        <w:t xml:space="preserve">Livent a exagéré son résultat net en prolongeant la période d’amortissement des coûts de production de ses spectacles et, pour certaines périodes, en écartant complètement l’amortissement. À cette fin, elle a transféré des millions de dollars des « coûts préalables à la production » de ses spectacles vers des biens immobilisés </w:t>
      </w:r>
      <w:r w:rsidRPr="003C15EC">
        <w:rPr>
          <w:noProof/>
          <w:lang w:val="fr-CA"/>
        </w:rPr>
        <w:lastRenderedPageBreak/>
        <w:t>ou d’un spectacle à l’autre et, en particulier, à des spectacles qui n’étaient pas encore présentés.</w:t>
      </w:r>
    </w:p>
    <w:p w:rsidR="003A506E" w:rsidRPr="003C15EC" w:rsidRDefault="003A506E" w:rsidP="007F506C">
      <w:pPr>
        <w:pStyle w:val="Citation-AltC"/>
        <w:numPr>
          <w:ilvl w:val="0"/>
          <w:numId w:val="21"/>
        </w:numPr>
        <w:spacing w:after="480" w:line="480" w:lineRule="auto"/>
        <w:ind w:left="360"/>
        <w:contextualSpacing w:val="0"/>
        <w:rPr>
          <w:noProof/>
          <w:lang w:val="fr-CA"/>
        </w:rPr>
      </w:pPr>
      <w:r w:rsidRPr="003C15EC">
        <w:rPr>
          <w:noProof/>
          <w:lang w:val="fr-CA"/>
        </w:rPr>
        <w:t>L’entreprise a enregistré des revenus fictifs en concluant des conventions de prêt ou des accords de financement qu’elle camouflait en ventes d’actifs. Livent a prétendu vendre différents droits afférents à ses productions et propriétés, tout en concluant en même temps des accords parallèles secrets qui permettaient aux acheteurs de recouvrer le prix payé. Les recettes inscrites aux livres provenant de ces transactions se chiffraient largement en millions de dollars.</w:t>
      </w:r>
    </w:p>
    <w:p w:rsidR="003A506E" w:rsidRPr="003C15EC" w:rsidRDefault="003A506E" w:rsidP="003A506E">
      <w:pPr>
        <w:pStyle w:val="ParaNoNdepar-AltN"/>
        <w:rPr>
          <w:rFonts w:cs="Times New Roman"/>
          <w:noProof/>
          <w:lang w:val="fr-CA"/>
        </w:rPr>
      </w:pPr>
      <w:r w:rsidRPr="003C15EC">
        <w:rPr>
          <w:rFonts w:cs="Times New Roman"/>
          <w:noProof/>
          <w:lang w:val="fr-CA"/>
        </w:rPr>
        <w:t>Livent a non seulement induit les marchés en erreur, elle a aussi trompé son vérificateur. Deloitte n’a jamais découvert les stratagèmes de la société. Livent a continué à réunir des capitaux d’investissement et à les réinvestir dans des projets de scène non rentables. Le rapport du vérificateur présenté par Deloitte pour l’exercice de 1997 de Livent n’a pas révélé la fraude, et même si elle a exprimé son opposition lorsque Gottlieb a présenté des états financiers trimestriels falsifiés au comité de vérification en août 1997, Deloitte n’a pas démissionné.</w:t>
      </w:r>
    </w:p>
    <w:p w:rsidR="003A506E" w:rsidRPr="003C15EC" w:rsidRDefault="003A506E" w:rsidP="003A506E">
      <w:pPr>
        <w:pStyle w:val="ParaNoNdepar-AltN"/>
        <w:rPr>
          <w:rFonts w:cs="Times New Roman"/>
          <w:noProof/>
          <w:lang w:val="fr-CA"/>
        </w:rPr>
      </w:pPr>
      <w:r w:rsidRPr="003C15EC">
        <w:rPr>
          <w:rFonts w:cs="Times New Roman"/>
          <w:noProof/>
          <w:lang w:val="fr-CA"/>
        </w:rPr>
        <w:t>La vérité a éclaté en 1998. De nouveaux investisseurs ont nommé d’autres dirigeants, qui ont découvert des « irrégularités ». Deloitte a fait une rétractation concernant ses opinions du vérificateur relatives aux exercices 1996 et 1997. Une enquête et une nouvelle vérification subséquentes ont donné lieu à des états financiers modifiés. M</w:t>
      </w:r>
      <w:r w:rsidR="00A754A5">
        <w:rPr>
          <w:rFonts w:cs="Times New Roman"/>
          <w:noProof/>
          <w:lang w:val="fr-CA"/>
        </w:rPr>
        <w:t>essieurs</w:t>
      </w:r>
      <w:r w:rsidRPr="003C15EC">
        <w:rPr>
          <w:rFonts w:cs="Times New Roman"/>
          <w:noProof/>
          <w:lang w:val="fr-CA"/>
        </w:rPr>
        <w:t> Drabinsky et Gottlieb ont été suspendus, congédiés et déclarés coupables de fraude.</w:t>
      </w:r>
    </w:p>
    <w:p w:rsidR="003A506E" w:rsidRPr="003C15EC" w:rsidRDefault="003A506E" w:rsidP="003A506E">
      <w:pPr>
        <w:pStyle w:val="ParaNoNdepar-AltN"/>
        <w:rPr>
          <w:rFonts w:cs="Times New Roman"/>
          <w:noProof/>
          <w:lang w:val="fr-CA"/>
        </w:rPr>
      </w:pPr>
      <w:r w:rsidRPr="003C15EC">
        <w:rPr>
          <w:rFonts w:cs="Times New Roman"/>
          <w:noProof/>
          <w:lang w:val="fr-CA"/>
        </w:rPr>
        <w:lastRenderedPageBreak/>
        <w:t>En novembre 1998, Livent a demandé la protection contre l’insolvabilité au Canada et aux États</w:t>
      </w:r>
      <w:r w:rsidRPr="003C15EC">
        <w:rPr>
          <w:rFonts w:cs="Times New Roman"/>
          <w:noProof/>
          <w:lang w:val="fr-CA"/>
        </w:rPr>
        <w:noBreakHyphen/>
        <w:t>Unis et en août 1999, elle a vendu ses éléments d’actif. Elle a été mise sous séquestre le mois suivant. Le juge de première instance a conclu que Livent avait subi des pertes de 113 000 000 de dollars entre le moment où Deloitte a négligé de mettre un terme à sa relation avec Livent et l’insolvabilité de Livent. I</w:t>
      </w:r>
      <w:r w:rsidRPr="003C15EC">
        <w:rPr>
          <w:rFonts w:cs="Times New Roman"/>
          <w:bCs/>
          <w:noProof/>
          <w:lang w:val="fr-CA"/>
        </w:rPr>
        <w:t xml:space="preserve">l a diminué ce montant de 25 pour </w:t>
      </w:r>
      <w:r w:rsidR="00364826">
        <w:rPr>
          <w:rFonts w:cs="Times New Roman"/>
          <w:bCs/>
          <w:noProof/>
          <w:lang w:val="fr-CA"/>
        </w:rPr>
        <w:t>100</w:t>
      </w:r>
      <w:r w:rsidRPr="003C15EC">
        <w:rPr>
          <w:rFonts w:cs="Times New Roman"/>
          <w:bCs/>
          <w:noProof/>
          <w:lang w:val="fr-CA"/>
        </w:rPr>
        <w:t xml:space="preserve"> pour tenir compte des imprévus et a accordé des dommages</w:t>
      </w:r>
      <w:r w:rsidRPr="003C15EC">
        <w:rPr>
          <w:rFonts w:cs="Times New Roman"/>
          <w:bCs/>
          <w:noProof/>
          <w:lang w:val="fr-CA"/>
        </w:rPr>
        <w:noBreakHyphen/>
        <w:t xml:space="preserve">intérêts s’élevant à 84 750 000 dollars. </w:t>
      </w:r>
      <w:r w:rsidRPr="003C15EC">
        <w:rPr>
          <w:rFonts w:cs="Times New Roman"/>
          <w:noProof/>
          <w:lang w:val="fr-CA"/>
        </w:rPr>
        <w:t xml:space="preserve">Livent cherche à recouvrer ces pertes auprès de Deloitte. </w:t>
      </w:r>
    </w:p>
    <w:p w:rsidR="003A506E" w:rsidRPr="003C15EC" w:rsidRDefault="003A506E" w:rsidP="003A506E">
      <w:pPr>
        <w:pStyle w:val="Title1LevelTitre1Niveau-AltL"/>
        <w:rPr>
          <w:rFonts w:cs="Times New Roman"/>
          <w:noProof/>
          <w:lang w:val="fr-CA"/>
        </w:rPr>
      </w:pPr>
      <w:r w:rsidRPr="003C15EC">
        <w:rPr>
          <w:rFonts w:cs="Times New Roman"/>
          <w:noProof/>
          <w:lang w:val="fr-CA"/>
        </w:rPr>
        <w:t>Historique judiciaire</w:t>
      </w:r>
    </w:p>
    <w:p w:rsidR="003A506E" w:rsidRPr="003C15EC" w:rsidRDefault="003A506E" w:rsidP="003A506E">
      <w:pPr>
        <w:pStyle w:val="ParaNoNdepar-AltN"/>
        <w:rPr>
          <w:rFonts w:cs="Times New Roman"/>
          <w:noProof/>
          <w:lang w:val="fr-CA"/>
        </w:rPr>
      </w:pPr>
      <w:r w:rsidRPr="003C15EC">
        <w:rPr>
          <w:rFonts w:cs="Times New Roman"/>
          <w:noProof/>
          <w:lang w:val="fr-CA"/>
        </w:rPr>
        <w:t>Livent a poursuivi Deloitte pour 450 000 000</w:t>
      </w:r>
      <w:r>
        <w:rPr>
          <w:rFonts w:cs="Times New Roman"/>
          <w:noProof/>
          <w:lang w:val="fr-CA"/>
        </w:rPr>
        <w:t xml:space="preserve"> </w:t>
      </w:r>
      <w:r w:rsidRPr="003C15EC">
        <w:rPr>
          <w:rFonts w:cs="Times New Roman"/>
          <w:noProof/>
          <w:lang w:val="fr-CA"/>
        </w:rPr>
        <w:t>de dollars et demandé d’autres mesures de réparation. Elle a présenté des demandes concurrentes en responsabilité délictuelle et en responsabilité contractuelle; les parties ont convenu que, dans un cas ou dans l’autre, le montant des dommages</w:t>
      </w:r>
      <w:r w:rsidRPr="003C15EC">
        <w:rPr>
          <w:rFonts w:cs="Times New Roman"/>
          <w:noProof/>
          <w:lang w:val="fr-CA"/>
        </w:rPr>
        <w:noBreakHyphen/>
        <w:t>intérêts serait le même. Livent a soutenu que Deloitte était responsable de chaque dollar qu’elle a perdu à compter de la date du manquement, par Deloitte, à son obligation de diligence. Deloitte a plaidé en défense que la plupart des pertes alléguées échappaient à la portée de sa responsabilité juridique. Les juridictions inférieures ont tranché principalement en faveur de Livent.</w:t>
      </w:r>
    </w:p>
    <w:p w:rsidR="003A506E" w:rsidRPr="003C15EC" w:rsidRDefault="003A506E" w:rsidP="003A506E">
      <w:pPr>
        <w:pStyle w:val="Title2LevelTitre2Niveau"/>
        <w:rPr>
          <w:rFonts w:cs="Times New Roman"/>
          <w:noProof/>
          <w:lang w:val="fr-CA"/>
        </w:rPr>
      </w:pPr>
      <w:r w:rsidRPr="003C15EC">
        <w:rPr>
          <w:rFonts w:cs="Times New Roman"/>
          <w:noProof/>
          <w:lang w:val="fr-CA"/>
        </w:rPr>
        <w:t>Cour supérieure de justice de l’Ontario (rôle des affaires commerciales) (le juge Gans), 2014 ONSC 2176, 11 C.B.R. (6th) 12</w:t>
      </w:r>
    </w:p>
    <w:p w:rsidR="003A506E" w:rsidRPr="003C15EC" w:rsidRDefault="003A506E" w:rsidP="003A506E">
      <w:pPr>
        <w:pStyle w:val="ParaNoNdepar-AltN"/>
        <w:rPr>
          <w:rFonts w:cs="Times New Roman"/>
          <w:bCs/>
          <w:noProof/>
          <w:lang w:val="fr-CA"/>
        </w:rPr>
      </w:pPr>
      <w:r w:rsidRPr="003C15EC">
        <w:rPr>
          <w:rFonts w:cs="Times New Roman"/>
          <w:noProof/>
          <w:lang w:val="fr-CA"/>
        </w:rPr>
        <w:t xml:space="preserve">Le juge de première instance a conclu que Deloitte avait une obligation de diligence </w:t>
      </w:r>
      <w:r w:rsidRPr="003C15EC">
        <w:rPr>
          <w:rFonts w:cs="Times New Roman"/>
          <w:bCs/>
          <w:noProof/>
          <w:lang w:val="fr-CA"/>
        </w:rPr>
        <w:t xml:space="preserve">pour fournir des renseignements exacts aux actionnaires de Livent. Il a estimé que la norme de diligence en vertu de cette obligation exigeait que Deloitte prenne des </w:t>
      </w:r>
      <w:r w:rsidRPr="003C15EC">
        <w:rPr>
          <w:rFonts w:cs="Times New Roman"/>
          <w:bCs/>
          <w:noProof/>
          <w:lang w:val="fr-CA"/>
        </w:rPr>
        <w:lastRenderedPageBreak/>
        <w:t>mesures qui auraient effectivement privé Livent de l’accès aux marchés des capitaux et l’auraient obligée à déclarer faillite 14 mois avant que cette dernière demande finalement la protection contre l’insolvabilité. Le juge a conclu que Deloitte n’avait pas respecté cette norme de diligence, soit en août 1997, lorsqu’elle n’a pas découvert la fraude et n’a pas pris les mesures que cette découverte rendait nécessaires, ou en avril 1998, lorsqu’elle a approuvé les états financiers de 1997 de Livent.</w:t>
      </w:r>
    </w:p>
    <w:p w:rsidR="003A506E" w:rsidRPr="003C15EC" w:rsidRDefault="003A506E" w:rsidP="003A506E">
      <w:pPr>
        <w:pStyle w:val="ParaNoNdepar-AltN"/>
        <w:rPr>
          <w:rFonts w:cs="Times New Roman"/>
          <w:bCs/>
          <w:noProof/>
          <w:lang w:val="fr-CA"/>
        </w:rPr>
      </w:pPr>
      <w:r w:rsidRPr="003C15EC">
        <w:rPr>
          <w:rFonts w:cs="Times New Roman"/>
          <w:bCs/>
          <w:noProof/>
          <w:lang w:val="fr-CA"/>
        </w:rPr>
        <w:t>Le juge de première instance a conclu que le montant des dommages</w:t>
      </w:r>
      <w:r w:rsidRPr="003C15EC">
        <w:rPr>
          <w:rFonts w:cs="Times New Roman"/>
          <w:bCs/>
          <w:noProof/>
          <w:lang w:val="fr-CA"/>
        </w:rPr>
        <w:noBreakHyphen/>
        <w:t xml:space="preserve">intérêts équivalait à l’écart entre la valeur de Livent au moment où le manquement a eu lieu et la valeur de Livent au moment de l’insolvabilité (113 000 000 de dollars). De ce montant, il a retranché 25 pour </w:t>
      </w:r>
      <w:r w:rsidR="003C1A5C">
        <w:rPr>
          <w:rFonts w:cs="Times New Roman"/>
          <w:bCs/>
          <w:noProof/>
          <w:lang w:val="fr-CA"/>
        </w:rPr>
        <w:t>100</w:t>
      </w:r>
      <w:r w:rsidRPr="003C15EC">
        <w:rPr>
          <w:rFonts w:cs="Times New Roman"/>
          <w:bCs/>
          <w:noProof/>
          <w:lang w:val="fr-CA"/>
        </w:rPr>
        <w:t xml:space="preserve"> pour tenir compte des </w:t>
      </w:r>
      <w:r w:rsidRPr="003C15EC">
        <w:rPr>
          <w:rFonts w:cs="Times New Roman"/>
          <w:bCs/>
          <w:smallCaps/>
          <w:noProof/>
          <w:lang w:val="fr-CA"/>
        </w:rPr>
        <w:t>[traduction]</w:t>
      </w:r>
      <w:r w:rsidRPr="003C15EC">
        <w:rPr>
          <w:rFonts w:cs="Times New Roman"/>
          <w:bCs/>
          <w:noProof/>
          <w:lang w:val="fr-CA"/>
        </w:rPr>
        <w:t xml:space="preserve"> « imprévus » ou des « </w:t>
      </w:r>
      <w:r w:rsidRPr="003C15EC">
        <w:rPr>
          <w:rFonts w:cs="Times New Roman"/>
          <w:lang w:val="fr-CA"/>
        </w:rPr>
        <w:t>pertes commerciales </w:t>
      </w:r>
      <w:r w:rsidRPr="003C15EC">
        <w:rPr>
          <w:rFonts w:cs="Times New Roman"/>
          <w:bCs/>
          <w:noProof/>
          <w:lang w:val="fr-CA"/>
        </w:rPr>
        <w:t>» attribuables aux « activités de scène non rentables mais légitimes » (par. 324</w:t>
      </w:r>
      <w:r w:rsidRPr="003C15EC">
        <w:rPr>
          <w:rFonts w:cs="Times New Roman"/>
          <w:bCs/>
          <w:noProof/>
          <w:lang w:val="fr-CA"/>
        </w:rPr>
        <w:noBreakHyphen/>
        <w:t>326) de Livent, qui, selon le juge, étaient trop éloignées pour que Deloitte puisse en être tenue responsable.</w:t>
      </w:r>
    </w:p>
    <w:p w:rsidR="003A506E" w:rsidRPr="003C15EC" w:rsidRDefault="003A506E" w:rsidP="003A506E">
      <w:pPr>
        <w:pStyle w:val="ParaNoNdepar-AltN"/>
        <w:rPr>
          <w:rFonts w:cs="Times New Roman"/>
          <w:bCs/>
          <w:noProof/>
          <w:lang w:val="fr-CA"/>
        </w:rPr>
      </w:pPr>
      <w:r w:rsidRPr="003C15EC">
        <w:rPr>
          <w:rFonts w:cs="Times New Roman"/>
          <w:bCs/>
          <w:noProof/>
          <w:lang w:val="fr-CA"/>
        </w:rPr>
        <w:t xml:space="preserve">Le juge de première instance a également rejeté l’argument de Deloitte selon lequel l’illégalité invoquée comme moyen de défense devait empêcher Livent de toucher une indemnité, ou le montant de cette indemnité devait être réduit pour cause de faute contributoire suivant l’art. 3 de la </w:t>
      </w:r>
      <w:r w:rsidRPr="003C15EC">
        <w:rPr>
          <w:rFonts w:cs="Times New Roman"/>
          <w:bCs/>
          <w:i/>
          <w:noProof/>
          <w:lang w:val="fr-CA"/>
        </w:rPr>
        <w:t>Loi sur le partage de la responsabilité</w:t>
      </w:r>
      <w:r w:rsidRPr="003C15EC">
        <w:rPr>
          <w:rFonts w:cs="Times New Roman"/>
          <w:bCs/>
          <w:noProof/>
          <w:lang w:val="fr-CA"/>
        </w:rPr>
        <w:t>, L.R.O. 1990, c. N.1.</w:t>
      </w:r>
    </w:p>
    <w:p w:rsidR="003A506E" w:rsidRPr="003C15EC" w:rsidRDefault="003A506E" w:rsidP="003A506E">
      <w:pPr>
        <w:pStyle w:val="ParaNoNdepar-AltN"/>
        <w:rPr>
          <w:rFonts w:cs="Times New Roman"/>
          <w:bCs/>
          <w:noProof/>
          <w:lang w:val="fr-CA"/>
        </w:rPr>
      </w:pPr>
      <w:r w:rsidRPr="003C15EC">
        <w:rPr>
          <w:rFonts w:cs="Times New Roman"/>
          <w:bCs/>
          <w:noProof/>
          <w:lang w:val="fr-CA"/>
        </w:rPr>
        <w:t>En conséquence, le juge de première instance a accordé à Livent des dommages</w:t>
      </w:r>
      <w:r w:rsidRPr="003C15EC">
        <w:rPr>
          <w:rFonts w:cs="Times New Roman"/>
          <w:bCs/>
          <w:noProof/>
          <w:lang w:val="fr-CA"/>
        </w:rPr>
        <w:noBreakHyphen/>
        <w:t>intérêts s’élevant à 84 750 000 dollars pour manquement à son obligation de diligence ou, autrement, pour violation de contrat.</w:t>
      </w:r>
    </w:p>
    <w:p w:rsidR="003A506E" w:rsidRPr="003C15EC" w:rsidRDefault="003A506E" w:rsidP="003A506E">
      <w:pPr>
        <w:pStyle w:val="Title2LevelTitre2Niveau"/>
        <w:rPr>
          <w:rFonts w:cs="Times New Roman"/>
          <w:noProof/>
          <w:lang w:val="fr-CA"/>
        </w:rPr>
      </w:pPr>
      <w:r w:rsidRPr="003C15EC">
        <w:rPr>
          <w:rFonts w:cs="Times New Roman"/>
          <w:noProof/>
          <w:lang w:val="fr-CA"/>
        </w:rPr>
        <w:lastRenderedPageBreak/>
        <w:t xml:space="preserve">Cour d’appel de l’Ontario (le juge en chef Strathy et les juges Blair et Lauwers), 2016 ONCA 11, 128 O.R. (3d) 225 </w:t>
      </w:r>
    </w:p>
    <w:p w:rsidR="003A506E" w:rsidRPr="003C15EC" w:rsidRDefault="003A506E" w:rsidP="003A506E">
      <w:pPr>
        <w:pStyle w:val="ParaNoNdepar-AltN"/>
        <w:rPr>
          <w:rFonts w:cs="Times New Roman"/>
          <w:noProof/>
          <w:lang w:val="fr-CA"/>
        </w:rPr>
      </w:pPr>
      <w:r w:rsidRPr="003C15EC">
        <w:rPr>
          <w:rFonts w:cs="Times New Roman"/>
          <w:noProof/>
          <w:lang w:val="fr-CA"/>
        </w:rPr>
        <w:t>La Cour d’appel a confirmé la décision du juge de première instance et a rejeté l’appel et l’appel incident.</w:t>
      </w:r>
    </w:p>
    <w:p w:rsidR="003A506E" w:rsidRPr="003C15EC" w:rsidRDefault="003A506E" w:rsidP="003A506E">
      <w:pPr>
        <w:pStyle w:val="Title1LevelTitre1Niveau-AltL"/>
        <w:rPr>
          <w:rFonts w:cs="Times New Roman"/>
          <w:noProof/>
          <w:lang w:val="fr-CA"/>
        </w:rPr>
      </w:pPr>
      <w:r w:rsidRPr="003C15EC">
        <w:rPr>
          <w:rFonts w:cs="Times New Roman"/>
          <w:noProof/>
          <w:lang w:val="fr-CA"/>
        </w:rPr>
        <w:t>Analyse</w:t>
      </w:r>
    </w:p>
    <w:p w:rsidR="003A506E" w:rsidRPr="003C15EC" w:rsidRDefault="003A506E" w:rsidP="003A506E">
      <w:pPr>
        <w:pStyle w:val="ParaNoNdepar-AltN"/>
        <w:tabs>
          <w:tab w:val="num" w:pos="1242"/>
        </w:tabs>
        <w:rPr>
          <w:rFonts w:cs="Times New Roman"/>
          <w:noProof/>
          <w:lang w:val="fr-CA"/>
        </w:rPr>
      </w:pPr>
      <w:r w:rsidRPr="003C15EC">
        <w:rPr>
          <w:rFonts w:cs="Times New Roman"/>
          <w:noProof/>
          <w:lang w:val="fr-CA"/>
        </w:rPr>
        <w:t xml:space="preserve">En l’espèce, la seule question en litige est de savoir si Deloitte est responsable de la majeure partie des pertes que Livent a subies après que Deloitte n’ait pas réussi à découvrir la fraude commise par les dirigeants de l’entreprise et à la signaler dans ses états financiers vérifiés (la perte totale diminuée de 25 pour </w:t>
      </w:r>
      <w:r w:rsidR="003C1A5C">
        <w:rPr>
          <w:rFonts w:cs="Times New Roman"/>
          <w:noProof/>
          <w:lang w:val="fr-CA"/>
        </w:rPr>
        <w:t>100</w:t>
      </w:r>
      <w:r w:rsidRPr="003C15EC">
        <w:rPr>
          <w:rFonts w:cs="Times New Roman"/>
          <w:noProof/>
          <w:lang w:val="fr-CA"/>
        </w:rPr>
        <w:t xml:space="preserve"> pour les imprévus et les mauvais investissements de Livent). Livent affirme que si Deloitte avait signalé la fraude au moment où elle aurait dû le faire, Livent aurait été forcée de cesser ses activités, ce qui lui aurait évité de subir la perte qu’elle a subie par la suite. Elle a plutôt continué à réunir des capitaux et à les dépenser d’une façon qui diminuait la valeur nette de Livent. Deloitte plaide qu’elle n’est pas responsable de la totalité de la perte subie avant la liquidation de Livent parce que cette perte échappe à l’étendue de l’obligation de diligence de Deloitte, ou parce qu’elle est trop « éloignée » de la cause juridique.</w:t>
      </w:r>
    </w:p>
    <w:p w:rsidR="003A506E" w:rsidRPr="003C15EC" w:rsidRDefault="003A506E" w:rsidP="003A506E">
      <w:pPr>
        <w:pStyle w:val="ParaNoNdepar-AltN"/>
        <w:tabs>
          <w:tab w:val="clear" w:pos="1152"/>
          <w:tab w:val="num" w:pos="1242"/>
        </w:tabs>
        <w:ind w:left="90"/>
        <w:rPr>
          <w:rFonts w:cs="Times New Roman"/>
          <w:lang w:val="fr-CA"/>
        </w:rPr>
      </w:pPr>
      <w:r w:rsidRPr="003C15EC">
        <w:rPr>
          <w:rFonts w:cs="Times New Roman"/>
          <w:lang w:val="fr-CA"/>
        </w:rPr>
        <w:t xml:space="preserve">Le droit en matière de déclarations inexactes faites par négligence prévoit une indemnisation limitée des pertes purement économiques (financières) pour deux raisons. La première, c’est qu’il peut être injuste de tenir une personne responsable de la totalité des pertes subies en raison de sa déclaration inexacte, alors que d’autres décisions et actes ont contribué à ces pertes : c’est ce qu’on appelle le principe de </w:t>
      </w:r>
      <w:r w:rsidRPr="003C15EC">
        <w:rPr>
          <w:rFonts w:cs="Times New Roman"/>
          <w:lang w:val="fr-CA"/>
        </w:rPr>
        <w:lastRenderedPageBreak/>
        <w:t>l’attribution équitable de la perte. La seconde est qu’il faut éviter le spectre de la responsabilité indéterminée, que le droit de la négligence n’a jamais admise.</w:t>
      </w:r>
    </w:p>
    <w:p w:rsidR="003A506E" w:rsidRPr="003C15EC" w:rsidRDefault="003A506E" w:rsidP="003A506E">
      <w:pPr>
        <w:pStyle w:val="ParaNoNdepar-AltN"/>
        <w:tabs>
          <w:tab w:val="clear" w:pos="1152"/>
          <w:tab w:val="num" w:pos="1242"/>
        </w:tabs>
        <w:ind w:left="90"/>
        <w:rPr>
          <w:rFonts w:cs="Times New Roman"/>
          <w:lang w:val="fr-CA"/>
        </w:rPr>
      </w:pPr>
      <w:r w:rsidRPr="003C15EC">
        <w:rPr>
          <w:rFonts w:cs="Times New Roman"/>
          <w:lang w:val="fr-CA"/>
        </w:rPr>
        <w:t>Ces deux raisons — une de principe et l’autre de politique générale — sont complémentaires. Ensemble, elles donnent lieu à des résultats justes et favorisent la prévisibilité du droit.</w:t>
      </w:r>
    </w:p>
    <w:p w:rsidR="003A506E" w:rsidRPr="003C15EC" w:rsidRDefault="003A506E" w:rsidP="003A506E">
      <w:pPr>
        <w:pStyle w:val="ParaNoNdepar-AltN"/>
        <w:rPr>
          <w:rFonts w:cs="Times New Roman"/>
          <w:noProof/>
          <w:lang w:val="fr-CA"/>
        </w:rPr>
      </w:pPr>
      <w:r w:rsidRPr="003C15EC">
        <w:rPr>
          <w:rFonts w:cs="Times New Roman"/>
          <w:noProof/>
          <w:lang w:val="fr-CA"/>
        </w:rPr>
        <w:t xml:space="preserve">Comme l’a fait observer lord Bridge dans </w:t>
      </w:r>
      <w:r w:rsidRPr="003C15EC">
        <w:rPr>
          <w:rFonts w:cs="Times New Roman"/>
          <w:i/>
          <w:iCs/>
          <w:noProof/>
          <w:lang w:val="fr-CA"/>
        </w:rPr>
        <w:t>Caparo Industries plc.</w:t>
      </w:r>
      <w:r w:rsidRPr="003C15EC">
        <w:rPr>
          <w:rFonts w:cs="Times New Roman"/>
          <w:noProof/>
          <w:lang w:val="fr-CA"/>
        </w:rPr>
        <w:t xml:space="preserve"> </w:t>
      </w:r>
      <w:r w:rsidRPr="003C15EC">
        <w:rPr>
          <w:rFonts w:cs="Times New Roman"/>
          <w:i/>
          <w:iCs/>
          <w:noProof/>
          <w:lang w:val="fr-CA"/>
        </w:rPr>
        <w:t>c. Dickman</w:t>
      </w:r>
      <w:r w:rsidRPr="003C15EC">
        <w:rPr>
          <w:rFonts w:cs="Times New Roman"/>
          <w:noProof/>
          <w:lang w:val="fr-CA"/>
        </w:rPr>
        <w:t>, [1990] 1</w:t>
      </w:r>
      <w:r>
        <w:rPr>
          <w:rFonts w:cs="Times New Roman"/>
          <w:noProof/>
          <w:lang w:val="fr-CA"/>
        </w:rPr>
        <w:t xml:space="preserve"> All E.R. 568 (H.L.), </w:t>
      </w:r>
      <w:r w:rsidR="004E4F65">
        <w:rPr>
          <w:rFonts w:cs="Times New Roman"/>
          <w:noProof/>
          <w:lang w:val="fr-CA"/>
        </w:rPr>
        <w:t>p.</w:t>
      </w:r>
      <w:r>
        <w:rPr>
          <w:rFonts w:cs="Times New Roman"/>
          <w:noProof/>
          <w:lang w:val="fr-CA"/>
        </w:rPr>
        <w:t xml:space="preserve"> </w:t>
      </w:r>
      <w:r w:rsidRPr="003C15EC">
        <w:rPr>
          <w:rFonts w:cs="Times New Roman"/>
          <w:noProof/>
          <w:lang w:val="fr-CA"/>
        </w:rPr>
        <w:t>576 :</w:t>
      </w:r>
    </w:p>
    <w:p w:rsidR="003A506E" w:rsidRPr="003C15EC" w:rsidRDefault="003A506E" w:rsidP="003A506E">
      <w:pPr>
        <w:pStyle w:val="Citation-AltC"/>
        <w:ind w:hanging="1166"/>
        <w:contextualSpacing w:val="0"/>
        <w:rPr>
          <w:noProof/>
          <w:lang w:val="fr-CA"/>
        </w:rPr>
      </w:pPr>
      <w:r w:rsidRPr="003C15EC">
        <w:rPr>
          <w:smallCaps/>
          <w:noProof/>
          <w:lang w:val="fr-CA"/>
        </w:rPr>
        <w:tab/>
        <w:t>[traduction]</w:t>
      </w:r>
      <w:r w:rsidRPr="003C15EC">
        <w:rPr>
          <w:noProof/>
          <w:lang w:val="fr-CA"/>
        </w:rPr>
        <w:t xml:space="preserve"> Conclure que l’auteur de la déclaration a, quant à son exactitude, une obligation de diligence envers toute personne qui voudrait l’invoquer à quelque fin que ce soit signifie non seulement lui imposer, selon l’énoncé classique du juge en chef Cardozo, « une responsabilité pour un montant indéterminé, pour un temps indéterminé et envers une catégorie indéterminée » ([</w:t>
      </w:r>
      <w:r w:rsidRPr="003C15EC">
        <w:rPr>
          <w:i/>
          <w:iCs/>
          <w:noProof/>
          <w:lang w:val="fr-CA"/>
        </w:rPr>
        <w:t>Ultramares Corp. c. Touche</w:t>
      </w:r>
      <w:r w:rsidRPr="003C15EC">
        <w:rPr>
          <w:noProof/>
          <w:lang w:val="fr-CA"/>
        </w:rPr>
        <w:t>, 174 N.E. 441 (N.Y. 1931), p. 444]), mais aussi conférer à des tiers le droit tout à fait injustifié de tirer profit pour leur propre bénéfice des connaissances d’expert ou de l’expertise professionnelle attribuée à l’auteur de la déclaration.</w:t>
      </w:r>
    </w:p>
    <w:p w:rsidR="003A506E" w:rsidRPr="003C15EC" w:rsidRDefault="003A506E" w:rsidP="003A506E">
      <w:pPr>
        <w:pStyle w:val="ContinueParaSuitedupar-AltP"/>
        <w:rPr>
          <w:rFonts w:cs="Times New Roman"/>
          <w:noProof/>
          <w:lang w:val="fr-CA"/>
        </w:rPr>
      </w:pPr>
      <w:r w:rsidRPr="003C15EC">
        <w:rPr>
          <w:rFonts w:cs="Times New Roman"/>
          <w:noProof/>
          <w:lang w:val="fr-CA"/>
        </w:rPr>
        <w:t xml:space="preserve">Voir également </w:t>
      </w:r>
      <w:r w:rsidRPr="003C15EC">
        <w:rPr>
          <w:rFonts w:cs="Times New Roman"/>
          <w:i/>
          <w:noProof/>
          <w:lang w:val="fr-CA"/>
        </w:rPr>
        <w:t>D’Amato c. Badger</w:t>
      </w:r>
      <w:r w:rsidRPr="003C15EC">
        <w:rPr>
          <w:rFonts w:cs="Times New Roman"/>
          <w:noProof/>
          <w:lang w:val="fr-CA"/>
        </w:rPr>
        <w:t xml:space="preserve">, [1996] 2 R.C.S. 1071, par. 18; </w:t>
      </w:r>
      <w:r w:rsidRPr="003C15EC">
        <w:rPr>
          <w:rFonts w:cs="Times New Roman"/>
          <w:i/>
          <w:noProof/>
          <w:lang w:val="fr-CA"/>
        </w:rPr>
        <w:t>Hercules Managements Ltd. c. Ernst &amp; Young</w:t>
      </w:r>
      <w:r w:rsidRPr="003C15EC">
        <w:rPr>
          <w:rFonts w:cs="Times New Roman"/>
          <w:noProof/>
          <w:lang w:val="fr-CA"/>
        </w:rPr>
        <w:t>,</w:t>
      </w:r>
      <w:r w:rsidRPr="003C15EC">
        <w:rPr>
          <w:rFonts w:cs="Times New Roman"/>
          <w:i/>
          <w:noProof/>
          <w:lang w:val="fr-CA"/>
        </w:rPr>
        <w:t xml:space="preserve"> </w:t>
      </w:r>
      <w:r w:rsidRPr="003C15EC">
        <w:rPr>
          <w:rFonts w:cs="Times New Roman"/>
          <w:noProof/>
          <w:lang w:val="fr-CA"/>
        </w:rPr>
        <w:t xml:space="preserve">[1997] 2 R.C.S. 165, par. 31; </w:t>
      </w:r>
      <w:r w:rsidRPr="003C15EC">
        <w:rPr>
          <w:rFonts w:cs="Times New Roman"/>
          <w:i/>
          <w:noProof/>
          <w:lang w:val="fr-CA"/>
        </w:rPr>
        <w:t>Cie des chemins de fer nationaux du Canada c. Norsk Pacific Steamship Co.</w:t>
      </w:r>
      <w:r w:rsidRPr="003C15EC">
        <w:rPr>
          <w:rFonts w:cs="Times New Roman"/>
          <w:noProof/>
          <w:lang w:val="fr-CA"/>
        </w:rPr>
        <w:t xml:space="preserve">, [1992] 1 R.C.S. 1021, p. 1137, la juge McLachlin; </w:t>
      </w:r>
      <w:r w:rsidRPr="003C15EC">
        <w:rPr>
          <w:rFonts w:cs="Times New Roman"/>
          <w:i/>
          <w:noProof/>
          <w:lang w:val="fr-CA"/>
        </w:rPr>
        <w:t>R. c. Imperial Tobacco Canada Ltée</w:t>
      </w:r>
      <w:r w:rsidRPr="003C15EC">
        <w:rPr>
          <w:rFonts w:cs="Times New Roman"/>
          <w:noProof/>
          <w:lang w:val="fr-CA"/>
        </w:rPr>
        <w:t xml:space="preserve">, 2011 CSC 42, [2011] 3 R.C.S. 45, par. 99, citant </w:t>
      </w:r>
      <w:r w:rsidRPr="003C15EC">
        <w:rPr>
          <w:rFonts w:cs="Times New Roman"/>
          <w:i/>
          <w:noProof/>
          <w:lang w:val="fr-CA"/>
        </w:rPr>
        <w:t>Cooper c. Hobar</w:t>
      </w:r>
      <w:r w:rsidRPr="00464D01">
        <w:rPr>
          <w:rFonts w:cs="Times New Roman"/>
          <w:i/>
          <w:noProof/>
          <w:lang w:val="fr-CA"/>
        </w:rPr>
        <w:t>t</w:t>
      </w:r>
      <w:r w:rsidRPr="003C15EC">
        <w:rPr>
          <w:rFonts w:cs="Times New Roman"/>
          <w:noProof/>
          <w:lang w:val="fr-CA"/>
        </w:rPr>
        <w:t>, 2001 CSC 79, [2001] 3 R.C.S. 537, par. 54.</w:t>
      </w:r>
    </w:p>
    <w:p w:rsidR="003A506E" w:rsidRPr="003C15EC" w:rsidRDefault="003A506E" w:rsidP="003A506E">
      <w:pPr>
        <w:pStyle w:val="ParaNoNdepar-AltN"/>
        <w:rPr>
          <w:rFonts w:eastAsiaTheme="minorHAnsi" w:cs="Times New Roman"/>
          <w:noProof/>
          <w:lang w:val="fr-CA"/>
        </w:rPr>
      </w:pPr>
      <w:r w:rsidRPr="003C15EC">
        <w:rPr>
          <w:rFonts w:cs="Times New Roman"/>
          <w:lang w:val="fr-CA"/>
        </w:rPr>
        <w:t>Pour ces raisons, les tribunaux de common law</w:t>
      </w:r>
      <w:r w:rsidRPr="003C15EC">
        <w:rPr>
          <w:rFonts w:eastAsiaTheme="minorHAnsi" w:cs="Times New Roman"/>
          <w:i/>
          <w:noProof/>
          <w:lang w:val="fr-CA"/>
        </w:rPr>
        <w:t xml:space="preserve"> </w:t>
      </w:r>
      <w:r w:rsidRPr="003C15EC">
        <w:rPr>
          <w:rFonts w:eastAsiaTheme="minorHAnsi" w:cs="Times New Roman"/>
          <w:noProof/>
          <w:lang w:val="fr-CA"/>
        </w:rPr>
        <w:t xml:space="preserve">ont rejeté le critère simple du « facteur déterminant » pour l’indemnisation des pertes économiques causées par </w:t>
      </w:r>
      <w:r w:rsidRPr="003C15EC">
        <w:rPr>
          <w:rFonts w:eastAsiaTheme="minorHAnsi" w:cs="Times New Roman"/>
          <w:noProof/>
          <w:lang w:val="fr-CA"/>
        </w:rPr>
        <w:lastRenderedPageBreak/>
        <w:t xml:space="preserve">une déclaration inexacte faite par négligence : </w:t>
      </w:r>
      <w:r w:rsidRPr="003C15EC">
        <w:rPr>
          <w:rFonts w:cs="Times New Roman"/>
          <w:bCs/>
          <w:i/>
          <w:lang w:val="fr-CA"/>
        </w:rPr>
        <w:t>BG Checo International Ltd. c. British Columbia Hydro and Power Authority</w:t>
      </w:r>
      <w:r w:rsidRPr="003C15EC">
        <w:rPr>
          <w:rFonts w:cs="Times New Roman"/>
          <w:bCs/>
          <w:lang w:val="fr-CA"/>
        </w:rPr>
        <w:t xml:space="preserve">, [1993] 1 R.C.S. 12, p. 44; </w:t>
      </w:r>
      <w:r w:rsidRPr="003C15EC">
        <w:rPr>
          <w:rFonts w:cs="Times New Roman"/>
          <w:i/>
          <w:noProof/>
          <w:lang w:val="fr-CA"/>
        </w:rPr>
        <w:t>South Australia Asset Management Corp. c. York Montague Ltd.</w:t>
      </w:r>
      <w:r w:rsidRPr="003C15EC">
        <w:rPr>
          <w:rFonts w:cs="Times New Roman"/>
          <w:noProof/>
          <w:lang w:val="fr-CA"/>
        </w:rPr>
        <w:t>, [1996] 3 All E.R. 365 (H.L.) (« </w:t>
      </w:r>
      <w:r w:rsidRPr="003C15EC">
        <w:rPr>
          <w:rFonts w:cs="Times New Roman"/>
          <w:i/>
          <w:noProof/>
          <w:lang w:val="fr-CA"/>
        </w:rPr>
        <w:t>SAAMCO</w:t>
      </w:r>
      <w:r w:rsidRPr="003C15EC">
        <w:rPr>
          <w:rFonts w:cs="Times New Roman"/>
          <w:noProof/>
          <w:lang w:val="fr-CA"/>
        </w:rPr>
        <w:t> »), p. 369</w:t>
      </w:r>
      <w:r w:rsidRPr="003C15EC">
        <w:rPr>
          <w:rFonts w:cs="Times New Roman"/>
          <w:noProof/>
          <w:lang w:val="fr-CA"/>
        </w:rPr>
        <w:noBreakHyphen/>
        <w:t xml:space="preserve">372, lord Hoffmann; </w:t>
      </w:r>
      <w:r w:rsidRPr="003C15EC">
        <w:rPr>
          <w:rFonts w:cs="Times New Roman"/>
          <w:i/>
          <w:noProof/>
          <w:lang w:val="fr-CA"/>
        </w:rPr>
        <w:t>Hughes</w:t>
      </w:r>
      <w:r w:rsidRPr="003C15EC">
        <w:rPr>
          <w:rFonts w:cs="Times New Roman"/>
          <w:i/>
          <w:noProof/>
          <w:lang w:val="fr-CA"/>
        </w:rPr>
        <w:noBreakHyphen/>
        <w:t>Holland c. BPE Solicitors</w:t>
      </w:r>
      <w:r w:rsidR="00D21AD8">
        <w:rPr>
          <w:rFonts w:cs="Times New Roman"/>
          <w:noProof/>
          <w:lang w:val="fr-CA"/>
        </w:rPr>
        <w:t>, [2017] UKSC 21, [2017] 2 W.L.</w:t>
      </w:r>
      <w:r w:rsidRPr="003C15EC">
        <w:rPr>
          <w:rFonts w:cs="Times New Roman"/>
          <w:noProof/>
          <w:lang w:val="fr-CA"/>
        </w:rPr>
        <w:t xml:space="preserve">R. 1029, par. 38, lord Sumption; </w:t>
      </w:r>
      <w:r w:rsidRPr="003C15EC">
        <w:rPr>
          <w:rFonts w:cs="Times New Roman"/>
          <w:i/>
          <w:lang w:val="fr-CA"/>
        </w:rPr>
        <w:t>Hogarth c. Rocky Mountain Slate Inc.</w:t>
      </w:r>
      <w:r w:rsidRPr="003C15EC">
        <w:rPr>
          <w:rFonts w:cs="Times New Roman"/>
          <w:lang w:val="fr-CA"/>
        </w:rPr>
        <w:t>, 2013 ABCA 57, 542 A.R. 289, par. 37</w:t>
      </w:r>
      <w:r w:rsidRPr="003C15EC">
        <w:rPr>
          <w:rFonts w:cs="Times New Roman"/>
          <w:lang w:val="fr-CA"/>
        </w:rPr>
        <w:noBreakHyphen/>
        <w:t>38, le juge Slatter.</w:t>
      </w:r>
    </w:p>
    <w:p w:rsidR="003A506E" w:rsidRPr="003C15EC" w:rsidRDefault="003A506E" w:rsidP="003A506E">
      <w:pPr>
        <w:pStyle w:val="ParaNoNdepar-AltN"/>
        <w:tabs>
          <w:tab w:val="num" w:pos="1242"/>
        </w:tabs>
        <w:rPr>
          <w:rFonts w:eastAsiaTheme="minorHAnsi" w:cs="Times New Roman"/>
          <w:noProof/>
          <w:lang w:val="fr-CA"/>
        </w:rPr>
      </w:pPr>
      <w:r w:rsidRPr="003C15EC">
        <w:rPr>
          <w:rFonts w:eastAsiaTheme="minorHAnsi" w:cs="Times New Roman"/>
          <w:noProof/>
          <w:lang w:val="fr-CA"/>
        </w:rPr>
        <w:t xml:space="preserve">Le critère du « facteur déterminant », qui vise seulement à déterminer si la perte n’aurait pas été subie si l’acte fautif n’avait pas été commis, donne une portée trop large à la responsabilité. Il ferait en sorte que les vérificateurs ou les conseillers dont les services ont été retenus à des fins limitées deviendraient les garants de tout le projet et de tout ce qui en découle. Il n’importerait pas que la perte ne se serait pas produite n’eût été d’autres décisions (comme, en l’espèce, les décisions peu judicieuses de Livent en matière d’investissement). Il n’importerait pas non plus que la perte soit causée par un enchevêtrement complexe de prises de décisions, prises des mois ou des années après la production de la déclaration inexacte faite par négligence. Pour obtenir l’indemnisation de la totalité des pertes subséquentes auprès des vérificateurs, il suffirait de montrer que leur déclaration inexacte a joué un rôle en déclenchant la saga des pertes subséquentes. Cela est injuste : une personne qui donne un conseil pour une fin précise ne devrait pas être tenue responsable de la façon dont d’autres personnes utilisent ce renseignement à d’autres fins, et ne devrait pas non plus avoir à assumer la totalité de la perte. Aussi, cela donnerait lieu à une responsabilité indéterminée. Un vérificateur qui donne un conseil ne pourrait jamais savoir à quoi il s’expose, ou si ses honoraires sont suffisants pour couvrir le risque auquel il s’expose. </w:t>
      </w:r>
    </w:p>
    <w:p w:rsidR="003A506E" w:rsidRPr="003C15EC" w:rsidRDefault="003A506E" w:rsidP="003A506E">
      <w:pPr>
        <w:pStyle w:val="ParaNoNdepar-AltN"/>
        <w:tabs>
          <w:tab w:val="num" w:pos="1242"/>
        </w:tabs>
        <w:rPr>
          <w:rFonts w:eastAsiaTheme="minorHAnsi" w:cs="Times New Roman"/>
          <w:noProof/>
          <w:lang w:val="fr-CA"/>
        </w:rPr>
      </w:pPr>
      <w:r w:rsidRPr="003C15EC">
        <w:rPr>
          <w:rFonts w:cs="Times New Roman"/>
          <w:lang w:val="fr-CA"/>
        </w:rPr>
        <w:lastRenderedPageBreak/>
        <w:t>Le rejet du critère du « </w:t>
      </w:r>
      <w:r w:rsidRPr="003C15EC">
        <w:rPr>
          <w:rFonts w:eastAsiaTheme="minorHAnsi" w:cs="Times New Roman"/>
          <w:noProof/>
          <w:lang w:val="fr-CA"/>
        </w:rPr>
        <w:t>facteur déterminant</w:t>
      </w:r>
      <w:r w:rsidRPr="003C15EC">
        <w:rPr>
          <w:rFonts w:cs="Times New Roman"/>
          <w:lang w:val="fr-CA"/>
        </w:rPr>
        <w:t xml:space="preserve"> » pour évaluer s’il y a lieu d’accorder l’indemnisation d’une perte économique est ancré dans la common law. Cependant, il convient de signaler que le droit civil du Québec reconnaît aussi la nécessité de limiter l’indemnisation des pertes économiques à celles qui ont un lien suffisant avec la caractéristique du comportement du défendeur qui en fait un acte fautif : voir </w:t>
      </w:r>
      <w:r w:rsidRPr="003C15EC">
        <w:rPr>
          <w:rFonts w:cs="Times New Roman"/>
          <w:i/>
          <w:lang w:val="fr-CA"/>
        </w:rPr>
        <w:t>Wightman c. Widdrington (Succession)</w:t>
      </w:r>
      <w:r w:rsidRPr="003C15EC">
        <w:rPr>
          <w:rFonts w:cs="Times New Roman"/>
          <w:lang w:val="fr-CA"/>
        </w:rPr>
        <w:t>, 2013 QCCA 1187, [2013] R.J.Q. 1054, par. 229</w:t>
      </w:r>
      <w:r w:rsidRPr="003C15EC">
        <w:rPr>
          <w:rFonts w:cs="Times New Roman"/>
          <w:lang w:val="fr-CA"/>
        </w:rPr>
        <w:noBreakHyphen/>
        <w:t>231 et 243</w:t>
      </w:r>
      <w:r w:rsidRPr="003C15EC">
        <w:rPr>
          <w:rFonts w:cs="Times New Roman"/>
          <w:lang w:val="fr-CA"/>
        </w:rPr>
        <w:noBreakHyphen/>
        <w:t xml:space="preserve">246; voir aussi D. Jutras, « Civil Law and Pure Economic Loss : What Are We Missing? » (1987), 12 </w:t>
      </w:r>
      <w:r w:rsidRPr="003C15EC">
        <w:rPr>
          <w:rFonts w:cs="Times New Roman"/>
          <w:bCs/>
          <w:i/>
          <w:lang w:val="fr-CA"/>
        </w:rPr>
        <w:t>Rev. can. dr. comm.</w:t>
      </w:r>
      <w:r w:rsidRPr="003C15EC">
        <w:rPr>
          <w:rFonts w:cs="Times New Roman"/>
          <w:lang w:val="fr-CA"/>
        </w:rPr>
        <w:t xml:space="preserve"> 295, p. 308</w:t>
      </w:r>
      <w:r w:rsidRPr="003C15EC">
        <w:rPr>
          <w:rFonts w:cs="Times New Roman"/>
          <w:lang w:val="fr-CA"/>
        </w:rPr>
        <w:noBreakHyphen/>
        <w:t>309.</w:t>
      </w:r>
    </w:p>
    <w:p w:rsidR="003A506E" w:rsidRPr="003C15EC" w:rsidRDefault="003A506E" w:rsidP="003A506E">
      <w:pPr>
        <w:pStyle w:val="ParaNoNdepar-AltN"/>
        <w:tabs>
          <w:tab w:val="num" w:pos="1242"/>
        </w:tabs>
        <w:rPr>
          <w:rFonts w:eastAsiaTheme="minorHAnsi" w:cs="Times New Roman"/>
          <w:noProof/>
          <w:lang w:val="fr-CA"/>
        </w:rPr>
      </w:pPr>
      <w:r w:rsidRPr="003C15EC">
        <w:rPr>
          <w:rFonts w:eastAsiaTheme="minorHAnsi" w:cs="Times New Roman"/>
          <w:noProof/>
          <w:lang w:val="fr-CA"/>
        </w:rPr>
        <w:t xml:space="preserve">Les tribunaux ont donné deux explications théoriques pour limiter les pertes économiques indemnisables à la suite d’une déclaration inexacte faite par négligence. Selon la première, </w:t>
      </w:r>
      <w:r w:rsidRPr="003C15EC">
        <w:rPr>
          <w:rFonts w:eastAsiaTheme="minorHAnsi" w:cs="Times New Roman"/>
          <w:i/>
          <w:noProof/>
          <w:lang w:val="fr-CA"/>
        </w:rPr>
        <w:t>l’étendue de l’obligation de diligence</w:t>
      </w:r>
      <w:r w:rsidRPr="003C15EC">
        <w:rPr>
          <w:rFonts w:eastAsiaTheme="minorHAnsi" w:cs="Times New Roman"/>
          <w:noProof/>
          <w:lang w:val="fr-CA"/>
        </w:rPr>
        <w:t xml:space="preserve"> de la personne qui donne le conseil ne couvre pas la perte alléguée. Selon la deuxième, la perte est </w:t>
      </w:r>
      <w:r w:rsidRPr="003C15EC">
        <w:rPr>
          <w:rFonts w:eastAsiaTheme="minorHAnsi" w:cs="Times New Roman"/>
          <w:i/>
          <w:noProof/>
          <w:lang w:val="fr-CA"/>
        </w:rPr>
        <w:t>trop éloignée</w:t>
      </w:r>
      <w:r w:rsidRPr="003C15EC">
        <w:rPr>
          <w:rFonts w:eastAsiaTheme="minorHAnsi" w:cs="Times New Roman"/>
          <w:noProof/>
          <w:lang w:val="fr-CA"/>
        </w:rPr>
        <w:t xml:space="preserve"> de l’acte négligent et n’a donc pas été causée, en droit, par cet acte. </w:t>
      </w:r>
    </w:p>
    <w:p w:rsidR="003A506E" w:rsidRPr="003C15EC" w:rsidRDefault="003A506E" w:rsidP="003A506E">
      <w:pPr>
        <w:pStyle w:val="ParaNoNdepar-AltN"/>
        <w:tabs>
          <w:tab w:val="num" w:pos="1242"/>
        </w:tabs>
        <w:rPr>
          <w:rFonts w:eastAsiaTheme="minorHAnsi" w:cs="Times New Roman"/>
          <w:noProof/>
          <w:lang w:val="fr-CA"/>
        </w:rPr>
      </w:pPr>
      <w:r w:rsidRPr="003C15EC">
        <w:rPr>
          <w:rFonts w:eastAsiaTheme="minorHAnsi" w:cs="Times New Roman"/>
          <w:noProof/>
          <w:lang w:val="fr-CA"/>
        </w:rPr>
        <w:t>Bien que les avocats puissent débattre de l’approche qui est préférable, le fait est que celles</w:t>
      </w:r>
      <w:r w:rsidRPr="003C15EC">
        <w:rPr>
          <w:rFonts w:eastAsiaTheme="minorHAnsi" w:cs="Times New Roman"/>
          <w:noProof/>
          <w:lang w:val="fr-CA"/>
        </w:rPr>
        <w:noBreakHyphen/>
        <w:t>ci, encore, sont complémentaires — deux côtés de la même médaille. En fait, l’analyse relative à l’obligation de diligence et celle relative au caractère éloigné suscitent des considérations semblables.</w:t>
      </w:r>
    </w:p>
    <w:p w:rsidR="003A506E" w:rsidRPr="003C15EC" w:rsidRDefault="003A506E" w:rsidP="003A506E">
      <w:pPr>
        <w:pStyle w:val="ParaNoNdepar-AltN"/>
        <w:tabs>
          <w:tab w:val="num" w:pos="1242"/>
        </w:tabs>
        <w:rPr>
          <w:rFonts w:eastAsiaTheme="minorHAnsi" w:cs="Times New Roman"/>
          <w:noProof/>
          <w:lang w:val="en-US"/>
        </w:rPr>
      </w:pPr>
      <w:r w:rsidRPr="003C15EC">
        <w:rPr>
          <w:rFonts w:eastAsiaTheme="minorHAnsi" w:cs="Times New Roman"/>
          <w:noProof/>
          <w:lang w:val="fr-CA"/>
        </w:rPr>
        <w:t xml:space="preserve">L’analyse relative à l’« étendue de l’obligation de diligence » porte sur la corrélation entre le conseil du défendeur et la perte du demandeur. Il faut se demander si cette corrélation était « immédiate ». Dans les cas de perte économique, elle vise la fin pour laquelle le conseil a été donné, et il faut se demander si une personne raisonnable aurait pu prévoir que le conseil donné par négligence aurait causé la perte </w:t>
      </w:r>
      <w:r w:rsidRPr="003C15EC">
        <w:rPr>
          <w:rFonts w:eastAsiaTheme="minorHAnsi" w:cs="Times New Roman"/>
          <w:noProof/>
          <w:lang w:val="fr-CA"/>
        </w:rPr>
        <w:lastRenderedPageBreak/>
        <w:t xml:space="preserve">en question en raison du fait que le demandeur s’y soit fié : </w:t>
      </w:r>
      <w:r w:rsidRPr="003C15EC">
        <w:rPr>
          <w:rFonts w:eastAsiaTheme="minorHAnsi" w:cs="Times New Roman"/>
          <w:i/>
          <w:noProof/>
          <w:lang w:val="fr-CA"/>
        </w:rPr>
        <w:t>Hercules</w:t>
      </w:r>
      <w:r w:rsidRPr="003C15EC">
        <w:rPr>
          <w:rFonts w:eastAsiaTheme="minorHAnsi" w:cs="Times New Roman"/>
          <w:noProof/>
          <w:lang w:val="fr-CA"/>
        </w:rPr>
        <w:t>, par. 24 et 41. Autrement dit, est</w:t>
      </w:r>
      <w:r w:rsidRPr="003C15EC">
        <w:rPr>
          <w:rFonts w:eastAsiaTheme="minorHAnsi" w:cs="Times New Roman"/>
          <w:noProof/>
          <w:lang w:val="fr-CA"/>
        </w:rPr>
        <w:noBreakHyphen/>
        <w:t xml:space="preserve">ce que la perte découlait du conseil, ou des décisions et circonstances subséquentes? Ainsi, dans </w:t>
      </w:r>
      <w:r w:rsidRPr="003C15EC">
        <w:rPr>
          <w:rFonts w:eastAsiaTheme="minorHAnsi" w:cs="Times New Roman"/>
          <w:i/>
          <w:noProof/>
          <w:lang w:val="fr-CA"/>
        </w:rPr>
        <w:t>Caparo</w:t>
      </w:r>
      <w:r w:rsidRPr="003C15EC">
        <w:rPr>
          <w:rFonts w:eastAsiaTheme="minorHAnsi" w:cs="Times New Roman"/>
          <w:noProof/>
          <w:lang w:val="fr-CA"/>
        </w:rPr>
        <w:t xml:space="preserve">, </w:t>
      </w:r>
      <w:r w:rsidR="00464D01">
        <w:rPr>
          <w:rFonts w:eastAsiaTheme="minorHAnsi" w:cs="Times New Roman"/>
          <w:noProof/>
          <w:lang w:val="fr-CA"/>
        </w:rPr>
        <w:t xml:space="preserve">p. 581, </w:t>
      </w:r>
      <w:r w:rsidRPr="003C15EC">
        <w:rPr>
          <w:rFonts w:eastAsiaTheme="minorHAnsi" w:cs="Times New Roman"/>
          <w:noProof/>
          <w:lang w:val="fr-CA"/>
        </w:rPr>
        <w:t xml:space="preserve">lord Bridge a confirmé que </w:t>
      </w:r>
      <w:r w:rsidRPr="003C15EC">
        <w:rPr>
          <w:rFonts w:cs="Times New Roman"/>
          <w:noProof/>
          <w:lang w:val="fr-CA"/>
        </w:rPr>
        <w:t xml:space="preserve">la portée du délit détermine la réparation à laquelle a droit la partie lésée. </w:t>
      </w:r>
      <w:r w:rsidRPr="003C15EC">
        <w:rPr>
          <w:rFonts w:cs="Times New Roman"/>
          <w:noProof/>
          <w:lang w:val="en-US"/>
        </w:rPr>
        <w:t xml:space="preserve">Voir aussi </w:t>
      </w:r>
      <w:r w:rsidRPr="003C15EC">
        <w:rPr>
          <w:rFonts w:cs="Times New Roman"/>
          <w:i/>
          <w:noProof/>
          <w:lang w:val="en-US"/>
        </w:rPr>
        <w:t>Platform Home Loans Ltd. c. Oyston Shipways Ltd.</w:t>
      </w:r>
      <w:r w:rsidRPr="003C15EC">
        <w:rPr>
          <w:rFonts w:cs="Times New Roman"/>
          <w:noProof/>
          <w:lang w:val="en-US"/>
        </w:rPr>
        <w:t>, [1999] 1 All E.R. 833 (H.L.), p. 847, lord Hobhouse.</w:t>
      </w:r>
    </w:p>
    <w:p w:rsidR="003A506E" w:rsidRPr="003C15EC" w:rsidRDefault="003A506E" w:rsidP="003A506E">
      <w:pPr>
        <w:pStyle w:val="ParaNoNdepar-AltN"/>
        <w:tabs>
          <w:tab w:val="num" w:pos="1242"/>
        </w:tabs>
        <w:rPr>
          <w:rFonts w:eastAsiaTheme="minorHAnsi" w:cs="Times New Roman"/>
          <w:noProof/>
          <w:lang w:val="fr-CA"/>
        </w:rPr>
      </w:pPr>
      <w:r w:rsidRPr="003C15EC">
        <w:rPr>
          <w:rFonts w:eastAsiaTheme="minorHAnsi" w:cs="Times New Roman"/>
          <w:noProof/>
          <w:lang w:val="fr-CA"/>
        </w:rPr>
        <w:t xml:space="preserve">L’approche relative au « caractère éloigné » porte sur des facteurs semblables à ceux de l’approche relative à l’« étendue de l’obligation de diligence » — les deux visent l’acte fautif et sa proximité à la perte alléguée. La liste des facteurs devant être pris en considération n’est pas exhaustive. La connaissance de la situation du demandeur par la personne donnant le conseil, les attentes raisonnables découlant de la relation et la présence de facteurs intermédiaires ayant mené à la perte sont des facteurs qui peuvent être pris en compte dans l’analyse : </w:t>
      </w:r>
      <w:r w:rsidRPr="003C15EC">
        <w:rPr>
          <w:rFonts w:cs="Times New Roman"/>
          <w:bCs/>
          <w:i/>
          <w:lang w:val="fr-CA"/>
        </w:rPr>
        <w:t>Mustapha c. Culligan du Canada Ltée</w:t>
      </w:r>
      <w:r w:rsidRPr="003C15EC">
        <w:rPr>
          <w:rFonts w:cs="Times New Roman"/>
          <w:bCs/>
          <w:lang w:val="fr-CA"/>
        </w:rPr>
        <w:t>, 2008 CSC 27, [2008] 2 R.C.S. 114</w:t>
      </w:r>
      <w:r w:rsidRPr="003C15EC">
        <w:rPr>
          <w:rFonts w:cs="Times New Roman"/>
          <w:lang w:val="fr-CA"/>
        </w:rPr>
        <w:t>, par. 12 et 14</w:t>
      </w:r>
      <w:r w:rsidRPr="003C15EC">
        <w:rPr>
          <w:rFonts w:cs="Times New Roman"/>
          <w:lang w:val="fr-CA"/>
        </w:rPr>
        <w:noBreakHyphen/>
        <w:t xml:space="preserve">16; </w:t>
      </w:r>
      <w:r w:rsidRPr="003C15EC">
        <w:rPr>
          <w:rFonts w:cs="Times New Roman"/>
          <w:i/>
          <w:lang w:val="fr-CA"/>
        </w:rPr>
        <w:t>Citadelle, Cie d’assurances générales c. Vytlingam</w:t>
      </w:r>
      <w:r w:rsidRPr="003C15EC">
        <w:rPr>
          <w:rFonts w:cs="Times New Roman"/>
          <w:lang w:val="fr-CA"/>
        </w:rPr>
        <w:t xml:space="preserve">, 2007 CSC 46, [2007] 3 R.C.S. 373, par. 31; </w:t>
      </w:r>
      <w:r w:rsidRPr="003C15EC">
        <w:rPr>
          <w:rFonts w:cs="Times New Roman"/>
          <w:i/>
          <w:lang w:val="fr-CA"/>
        </w:rPr>
        <w:t>Westmount (Ville) c. Rossy</w:t>
      </w:r>
      <w:r w:rsidRPr="003C15EC">
        <w:rPr>
          <w:rFonts w:cs="Times New Roman"/>
          <w:lang w:val="fr-CA"/>
        </w:rPr>
        <w:t>, 2012 CSC 30, [2012] 2 R.C.S. 136, par. 48.</w:t>
      </w:r>
    </w:p>
    <w:p w:rsidR="003A506E" w:rsidRPr="003C15EC" w:rsidRDefault="003A506E" w:rsidP="003A506E">
      <w:pPr>
        <w:pStyle w:val="ParaNoNdepar-AltN"/>
        <w:tabs>
          <w:tab w:val="num" w:pos="1242"/>
        </w:tabs>
        <w:rPr>
          <w:rFonts w:eastAsiaTheme="minorHAnsi" w:cs="Times New Roman"/>
          <w:noProof/>
          <w:lang w:val="fr-CA"/>
        </w:rPr>
      </w:pPr>
      <w:r w:rsidRPr="003C15EC">
        <w:rPr>
          <w:rFonts w:cs="Times New Roman"/>
          <w:noProof/>
          <w:lang w:val="fr-CA"/>
        </w:rPr>
        <w:t>Je suis d’accord avec lord Sumption qui fait observer, dans l’arrêt </w:t>
      </w:r>
      <w:r w:rsidRPr="003C15EC">
        <w:rPr>
          <w:rFonts w:cs="Times New Roman"/>
          <w:i/>
          <w:noProof/>
          <w:lang w:val="fr-CA"/>
        </w:rPr>
        <w:t>BPE Solicitors</w:t>
      </w:r>
      <w:r w:rsidRPr="003C15EC">
        <w:rPr>
          <w:rFonts w:cs="Times New Roman"/>
          <w:noProof/>
          <w:lang w:val="fr-CA"/>
        </w:rPr>
        <w:t>, une décision récente de la Cour suprême du Royaume</w:t>
      </w:r>
      <w:r w:rsidRPr="003C15EC">
        <w:rPr>
          <w:rFonts w:cs="Times New Roman"/>
          <w:noProof/>
          <w:lang w:val="fr-CA"/>
        </w:rPr>
        <w:noBreakHyphen/>
        <w:t>Uni, que peu importe sous quel angle on envisage l’affaire — que ce soit du point de vue de l’étendue de l’obligation de diligence ou de celui du caractère éloigné — on arrive au même point. Pour reprendre ses propres mots, [</w:t>
      </w:r>
      <w:r w:rsidRPr="003C15EC">
        <w:rPr>
          <w:rFonts w:cs="Times New Roman"/>
          <w:smallCaps/>
          <w:noProof/>
          <w:lang w:val="fr-CA"/>
        </w:rPr>
        <w:t>traduction</w:t>
      </w:r>
      <w:r w:rsidRPr="003C15EC">
        <w:rPr>
          <w:rFonts w:cs="Times New Roman"/>
          <w:noProof/>
          <w:lang w:val="fr-CA"/>
        </w:rPr>
        <w:t>] « </w:t>
      </w:r>
      <w:r w:rsidR="00DF1156">
        <w:rPr>
          <w:rFonts w:cs="Times New Roman"/>
          <w:noProof/>
          <w:lang w:val="fr-CA"/>
        </w:rPr>
        <w:t>[</w:t>
      </w:r>
      <w:r w:rsidRPr="003C15EC">
        <w:rPr>
          <w:rFonts w:cs="Times New Roman"/>
          <w:noProof/>
          <w:lang w:val="fr-CA"/>
        </w:rPr>
        <w:t>q</w:t>
      </w:r>
      <w:r w:rsidR="00DF1156">
        <w:rPr>
          <w:rFonts w:cs="Times New Roman"/>
          <w:noProof/>
          <w:lang w:val="fr-CA"/>
        </w:rPr>
        <w:t>]</w:t>
      </w:r>
      <w:r w:rsidRPr="003C15EC">
        <w:rPr>
          <w:rFonts w:cs="Times New Roman"/>
          <w:noProof/>
          <w:lang w:val="fr-CA"/>
        </w:rPr>
        <w:t xml:space="preserve">ue l’on décrive le principe [. . .] comme étant axé sur l’étendue de l’obligation ou sur la portée de la responsabilité pour </w:t>
      </w:r>
      <w:r w:rsidRPr="003C15EC">
        <w:rPr>
          <w:rFonts w:cs="Times New Roman"/>
          <w:noProof/>
          <w:lang w:val="fr-CA"/>
        </w:rPr>
        <w:lastRenderedPageBreak/>
        <w:t>manquement à celle</w:t>
      </w:r>
      <w:r w:rsidRPr="003C15EC">
        <w:rPr>
          <w:rFonts w:cs="Times New Roman"/>
          <w:noProof/>
          <w:lang w:val="fr-CA"/>
        </w:rPr>
        <w:noBreakHyphen/>
        <w:t xml:space="preserve">ci ne change pas la façon dont le </w:t>
      </w:r>
      <w:r w:rsidR="00C028A9">
        <w:rPr>
          <w:rFonts w:cs="Times New Roman"/>
          <w:noProof/>
          <w:lang w:val="fr-CA"/>
        </w:rPr>
        <w:t>principe s’applique » : par. 38;</w:t>
      </w:r>
      <w:r w:rsidRPr="003C15EC">
        <w:rPr>
          <w:rFonts w:cs="Times New Roman"/>
          <w:noProof/>
          <w:lang w:val="fr-CA"/>
        </w:rPr>
        <w:t xml:space="preserve"> voir aussi L. N. Klar et C. S. G. Jefferies, </w:t>
      </w:r>
      <w:r w:rsidRPr="003C15EC">
        <w:rPr>
          <w:rFonts w:cs="Times New Roman"/>
          <w:i/>
          <w:noProof/>
          <w:lang w:val="fr-CA"/>
        </w:rPr>
        <w:t>Tort Law</w:t>
      </w:r>
      <w:r w:rsidRPr="003C15EC">
        <w:rPr>
          <w:rFonts w:cs="Times New Roman"/>
          <w:noProof/>
          <w:lang w:val="fr-CA"/>
        </w:rPr>
        <w:t xml:space="preserve"> (6</w:t>
      </w:r>
      <w:r w:rsidRPr="003C15EC">
        <w:rPr>
          <w:rFonts w:cs="Times New Roman"/>
          <w:noProof/>
          <w:vertAlign w:val="superscript"/>
          <w:lang w:val="fr-CA"/>
        </w:rPr>
        <w:t>e</w:t>
      </w:r>
      <w:r w:rsidRPr="003C15EC">
        <w:rPr>
          <w:rFonts w:cs="Times New Roman"/>
          <w:noProof/>
          <w:lang w:val="fr-CA"/>
        </w:rPr>
        <w:t> éd. 2017), p. 565</w:t>
      </w:r>
      <w:r w:rsidRPr="003C15EC">
        <w:rPr>
          <w:rFonts w:cs="Times New Roman"/>
          <w:noProof/>
          <w:lang w:val="fr-CA"/>
        </w:rPr>
        <w:noBreakHyphen/>
        <w:t>566.</w:t>
      </w:r>
    </w:p>
    <w:p w:rsidR="003A506E" w:rsidRPr="003C15EC" w:rsidRDefault="003A506E" w:rsidP="003A506E">
      <w:pPr>
        <w:pStyle w:val="ParaNoNdepar-AltN"/>
        <w:tabs>
          <w:tab w:val="num" w:pos="1242"/>
        </w:tabs>
        <w:rPr>
          <w:rFonts w:eastAsiaTheme="minorHAnsi" w:cs="Times New Roman"/>
          <w:noProof/>
          <w:lang w:val="fr-CA"/>
        </w:rPr>
      </w:pPr>
      <w:r w:rsidRPr="003C15EC">
        <w:rPr>
          <w:rFonts w:cs="Times New Roman"/>
          <w:lang w:val="fr-CA"/>
        </w:rPr>
        <w:t xml:space="preserve">Pour le besoin des présents motifs, j’examinerai tout d’abord si les pertes dont il est question sont visées par l’obligation de diligence de Deloitte. Cette analyse nous amène au critère en deux étapes visant à établir l’existence d’une obligation de diligence et son étendue, qui a été énoncé dans l’arrêt </w:t>
      </w:r>
      <w:r w:rsidRPr="003C15EC">
        <w:rPr>
          <w:rFonts w:eastAsia="Times New Roman" w:cs="Times New Roman"/>
          <w:i/>
          <w:iCs/>
          <w:noProof/>
          <w:szCs w:val="24"/>
          <w:lang w:val="fr-CA"/>
        </w:rPr>
        <w:t>Anns c. London Borough of Merton</w:t>
      </w:r>
      <w:r w:rsidRPr="003C15EC">
        <w:rPr>
          <w:rFonts w:eastAsia="Times New Roman" w:cs="Times New Roman"/>
          <w:noProof/>
          <w:sz w:val="27"/>
          <w:szCs w:val="27"/>
          <w:shd w:val="clear" w:color="auto" w:fill="FFFFFF"/>
          <w:lang w:val="fr-CA"/>
        </w:rPr>
        <w:t xml:space="preserve">, </w:t>
      </w:r>
      <w:r w:rsidRPr="003C15EC">
        <w:rPr>
          <w:rFonts w:eastAsia="Times New Roman" w:cs="Times New Roman"/>
          <w:noProof/>
          <w:szCs w:val="24"/>
          <w:lang w:val="fr-CA"/>
        </w:rPr>
        <w:t>[1977] 2 All E.R. 492 (H.L.)</w:t>
      </w:r>
      <w:r w:rsidRPr="003C15EC">
        <w:rPr>
          <w:rFonts w:cs="Times New Roman"/>
          <w:noProof/>
          <w:szCs w:val="24"/>
          <w:lang w:val="fr-CA"/>
        </w:rPr>
        <w:t xml:space="preserve"> </w:t>
      </w:r>
      <w:r w:rsidRPr="003C15EC">
        <w:rPr>
          <w:rFonts w:cs="Times New Roman"/>
          <w:lang w:val="fr-CA"/>
        </w:rPr>
        <w:t>— est</w:t>
      </w:r>
      <w:r w:rsidRPr="003C15EC">
        <w:rPr>
          <w:rFonts w:cs="Times New Roman"/>
          <w:lang w:val="fr-CA"/>
        </w:rPr>
        <w:noBreakHyphen/>
        <w:t xml:space="preserve">ce que la relation entre les parties donne lieu à une obligation de diligence </w:t>
      </w:r>
      <w:r w:rsidRPr="003C15EC">
        <w:rPr>
          <w:rFonts w:cs="Times New Roman"/>
          <w:i/>
          <w:lang w:val="fr-CA"/>
        </w:rPr>
        <w:t xml:space="preserve">prima facie </w:t>
      </w:r>
      <w:r w:rsidRPr="003C15EC">
        <w:rPr>
          <w:rFonts w:cs="Times New Roman"/>
          <w:lang w:val="fr-CA"/>
        </w:rPr>
        <w:t>d’éviter le type de perte alléguée et, dans l’affirmative, cette obligation est</w:t>
      </w:r>
      <w:r w:rsidRPr="003C15EC">
        <w:rPr>
          <w:rFonts w:cs="Times New Roman"/>
          <w:lang w:val="fr-CA"/>
        </w:rPr>
        <w:noBreakHyphen/>
        <w:t xml:space="preserve">elle écartée par des </w:t>
      </w:r>
      <w:r w:rsidRPr="003C15EC">
        <w:rPr>
          <w:rFonts w:cs="Times New Roman"/>
          <w:noProof/>
          <w:szCs w:val="24"/>
          <w:lang w:val="fr-CA"/>
        </w:rPr>
        <w:t>considérations de principe?</w:t>
      </w:r>
    </w:p>
    <w:p w:rsidR="003A506E" w:rsidRPr="003C15EC" w:rsidRDefault="003A506E" w:rsidP="003A506E">
      <w:pPr>
        <w:pStyle w:val="ParaNoNdepar-AltN"/>
        <w:tabs>
          <w:tab w:val="num" w:pos="1242"/>
        </w:tabs>
        <w:rPr>
          <w:rFonts w:eastAsiaTheme="minorHAnsi" w:cs="Times New Roman"/>
          <w:noProof/>
          <w:lang w:val="en-US"/>
        </w:rPr>
      </w:pPr>
      <w:r w:rsidRPr="003C15EC">
        <w:rPr>
          <w:rFonts w:cs="Times New Roman"/>
          <w:lang w:val="fr-CA"/>
        </w:rPr>
        <w:t>Au Royaume</w:t>
      </w:r>
      <w:r w:rsidRPr="003C15EC">
        <w:rPr>
          <w:rFonts w:cs="Times New Roman"/>
          <w:lang w:val="fr-CA"/>
        </w:rPr>
        <w:noBreakHyphen/>
        <w:t xml:space="preserve">Uni, les tribunaux ont abandonné le critère en deux étapes énoncé dans </w:t>
      </w:r>
      <w:r w:rsidRPr="003C15EC">
        <w:rPr>
          <w:rFonts w:cs="Times New Roman"/>
          <w:i/>
          <w:lang w:val="fr-CA"/>
        </w:rPr>
        <w:t>Anns</w:t>
      </w:r>
      <w:r w:rsidRPr="003C15EC">
        <w:rPr>
          <w:rFonts w:cs="Times New Roman"/>
          <w:lang w:val="fr-CA"/>
        </w:rPr>
        <w:t xml:space="preserve">, mais ils ont continué à exiger que l’étendue de l’obligation de diligence soit soigneusement circonscrite eu égard à la corrélation entre la conduite du défendeur et les dommages du demandeur, le contexte et la politique générale. Ils ont insisté sur le fait qu’il n’existe rien de tel qu’une obligation de diligence dans l’abstrait; l’obligation est toujours définie par son étendue. </w:t>
      </w:r>
      <w:r w:rsidRPr="003C15EC">
        <w:rPr>
          <w:rFonts w:eastAsia="Times New Roman" w:cs="Times New Roman"/>
          <w:noProof/>
          <w:lang w:val="fr-CA"/>
        </w:rPr>
        <w:t xml:space="preserve">Comme l’a dit lord Bridge dans </w:t>
      </w:r>
      <w:r w:rsidRPr="003C15EC">
        <w:rPr>
          <w:rFonts w:cs="Times New Roman"/>
          <w:i/>
          <w:noProof/>
          <w:lang w:val="fr-CA"/>
        </w:rPr>
        <w:t>Caparo</w:t>
      </w:r>
      <w:r w:rsidRPr="003C15EC">
        <w:rPr>
          <w:rFonts w:cs="Times New Roman"/>
          <w:noProof/>
          <w:lang w:val="fr-CA"/>
        </w:rPr>
        <w:t xml:space="preserve">, p. 581, </w:t>
      </w:r>
      <w:r w:rsidRPr="003C15EC">
        <w:rPr>
          <w:rFonts w:cs="Times New Roman"/>
          <w:smallCaps/>
          <w:noProof/>
          <w:lang w:val="fr-CA"/>
        </w:rPr>
        <w:t>[traduction]</w:t>
      </w:r>
      <w:r w:rsidRPr="003C15EC">
        <w:rPr>
          <w:rFonts w:cs="Times New Roman"/>
          <w:noProof/>
          <w:lang w:val="fr-CA"/>
        </w:rPr>
        <w:t xml:space="preserve"> « </w:t>
      </w:r>
      <w:r w:rsidRPr="003C15EC">
        <w:rPr>
          <w:rFonts w:eastAsia="Times New Roman" w:cs="Times New Roman"/>
          <w:noProof/>
          <w:szCs w:val="24"/>
          <w:lang w:val="fr-CA"/>
        </w:rPr>
        <w:t>[i]</w:t>
      </w:r>
      <w:r w:rsidRPr="003C15EC">
        <w:rPr>
          <w:rFonts w:cs="Times New Roman"/>
          <w:noProof/>
          <w:lang w:val="fr-CA"/>
        </w:rPr>
        <w:t xml:space="preserve">l ne suffit jamais de se demander simplement si A a une obligation de diligence envers B. Il est toujours nécessaire de déterminer l’étendue de l’obligation en fonction de la nature du préjudice contre lequel A doit exonérer B » : voir aussi </w:t>
      </w:r>
      <w:r w:rsidRPr="003C15EC">
        <w:rPr>
          <w:rFonts w:cs="Times New Roman"/>
          <w:i/>
          <w:noProof/>
          <w:lang w:val="fr-CA"/>
        </w:rPr>
        <w:t>BPE Solicitors</w:t>
      </w:r>
      <w:r w:rsidRPr="003C15EC">
        <w:rPr>
          <w:rFonts w:cs="Times New Roman"/>
          <w:noProof/>
          <w:lang w:val="fr-CA"/>
        </w:rPr>
        <w:t>, par. 21</w:t>
      </w:r>
      <w:r w:rsidRPr="003C15EC">
        <w:rPr>
          <w:rFonts w:cs="Times New Roman"/>
          <w:noProof/>
          <w:lang w:val="fr-CA"/>
        </w:rPr>
        <w:noBreakHyphen/>
        <w:t xml:space="preserve">23; </w:t>
      </w:r>
      <w:r w:rsidRPr="003C15EC">
        <w:rPr>
          <w:rFonts w:cs="Times New Roman"/>
          <w:i/>
          <w:noProof/>
          <w:szCs w:val="24"/>
          <w:lang w:val="fr-CA"/>
        </w:rPr>
        <w:t>Sutherland Shire Council c. Heyman</w:t>
      </w:r>
      <w:r w:rsidRPr="003C15EC">
        <w:rPr>
          <w:rFonts w:cs="Times New Roman"/>
          <w:noProof/>
          <w:szCs w:val="24"/>
          <w:lang w:val="fr-CA"/>
        </w:rPr>
        <w:t xml:space="preserve"> (1985), 60 A.L.R. 1 (H.C.), p. 40, le juge Brennan; </w:t>
      </w:r>
      <w:r w:rsidRPr="003C15EC">
        <w:rPr>
          <w:rFonts w:cs="Times New Roman"/>
          <w:i/>
          <w:noProof/>
          <w:szCs w:val="24"/>
          <w:lang w:val="fr-CA"/>
        </w:rPr>
        <w:t>Platform Home Loans Ltd.</w:t>
      </w:r>
      <w:r w:rsidRPr="003C15EC">
        <w:rPr>
          <w:rFonts w:cs="Times New Roman"/>
          <w:noProof/>
          <w:szCs w:val="24"/>
          <w:lang w:val="fr-CA"/>
        </w:rPr>
        <w:t>, p. 847, lord Hobhouse, citant</w:t>
      </w:r>
      <w:r w:rsidR="00D21AD8">
        <w:rPr>
          <w:rFonts w:cs="Times New Roman"/>
          <w:i/>
          <w:noProof/>
          <w:lang w:val="fr-CA"/>
        </w:rPr>
        <w:t xml:space="preserve"> Overseas Tankship</w:t>
      </w:r>
      <w:r w:rsidRPr="003C15EC">
        <w:rPr>
          <w:rFonts w:cs="Times New Roman"/>
          <w:i/>
          <w:noProof/>
          <w:lang w:val="fr-CA"/>
        </w:rPr>
        <w:t xml:space="preserve"> (U.K.) Ltd. c. Morts Dock &amp; Eng</w:t>
      </w:r>
      <w:r w:rsidR="00D21AD8">
        <w:rPr>
          <w:rFonts w:cs="Times New Roman"/>
          <w:i/>
          <w:noProof/>
          <w:lang w:val="fr-CA"/>
        </w:rPr>
        <w:t>i</w:t>
      </w:r>
      <w:r w:rsidRPr="003C15EC">
        <w:rPr>
          <w:rFonts w:cs="Times New Roman"/>
          <w:i/>
          <w:noProof/>
          <w:lang w:val="fr-CA"/>
        </w:rPr>
        <w:t>neering Co.</w:t>
      </w:r>
      <w:r w:rsidRPr="003C15EC">
        <w:rPr>
          <w:rFonts w:cs="Times New Roman"/>
          <w:noProof/>
          <w:lang w:val="fr-CA"/>
        </w:rPr>
        <w:t xml:space="preserve">, </w:t>
      </w:r>
      <w:r w:rsidRPr="003C15EC">
        <w:rPr>
          <w:rStyle w:val="reflex3-alt"/>
          <w:rFonts w:cs="Times New Roman"/>
          <w:noProof/>
          <w:lang w:val="fr-CA"/>
        </w:rPr>
        <w:t xml:space="preserve">[1961] A.C. </w:t>
      </w:r>
      <w:r w:rsidR="00D21AD8">
        <w:rPr>
          <w:rStyle w:val="reflex3-alt"/>
          <w:rFonts w:cs="Times New Roman"/>
          <w:noProof/>
          <w:lang w:val="fr-CA"/>
        </w:rPr>
        <w:t>3</w:t>
      </w:r>
      <w:r w:rsidRPr="003C15EC">
        <w:rPr>
          <w:rStyle w:val="reflex3-alt"/>
          <w:rFonts w:cs="Times New Roman"/>
          <w:noProof/>
          <w:lang w:val="fr-CA"/>
        </w:rPr>
        <w:t xml:space="preserve">88 (C.P.) </w:t>
      </w:r>
      <w:r w:rsidRPr="003C15EC">
        <w:rPr>
          <w:rStyle w:val="reflex3-alt"/>
          <w:rFonts w:cs="Times New Roman"/>
          <w:noProof/>
          <w:lang w:val="en-US"/>
        </w:rPr>
        <w:t>(</w:t>
      </w:r>
      <w:r w:rsidRPr="003C15EC">
        <w:rPr>
          <w:rFonts w:cs="Times New Roman"/>
          <w:noProof/>
          <w:lang w:val="en-US"/>
        </w:rPr>
        <w:t xml:space="preserve">« The Wagon Mound No. 1 »), p. 425; </w:t>
      </w:r>
      <w:r w:rsidRPr="003C15EC">
        <w:rPr>
          <w:rFonts w:cs="Times New Roman"/>
          <w:i/>
          <w:noProof/>
          <w:lang w:val="en-US"/>
        </w:rPr>
        <w:lastRenderedPageBreak/>
        <w:t>Candler c. Crane Christmas &amp; Co.</w:t>
      </w:r>
      <w:r w:rsidRPr="003C15EC">
        <w:rPr>
          <w:rStyle w:val="reflex3-alt"/>
          <w:rFonts w:cs="Times New Roman"/>
          <w:noProof/>
          <w:lang w:val="en-US"/>
        </w:rPr>
        <w:t>, [1951] 1 All E.R. 426 (C.A.)</w:t>
      </w:r>
      <w:r w:rsidRPr="003C15EC">
        <w:rPr>
          <w:rFonts w:cs="Times New Roman"/>
          <w:noProof/>
          <w:lang w:val="en-US"/>
        </w:rPr>
        <w:t xml:space="preserve">, p. 436, lord Denning, dissident. </w:t>
      </w:r>
    </w:p>
    <w:p w:rsidR="003A506E" w:rsidRPr="003C15EC" w:rsidRDefault="003A506E" w:rsidP="003A506E">
      <w:pPr>
        <w:pStyle w:val="ParaNoNdepar-AltN"/>
        <w:tabs>
          <w:tab w:val="num" w:pos="1242"/>
        </w:tabs>
        <w:rPr>
          <w:rFonts w:eastAsiaTheme="minorHAnsi" w:cs="Times New Roman"/>
          <w:noProof/>
          <w:lang w:val="fr-CA"/>
        </w:rPr>
      </w:pPr>
      <w:r w:rsidRPr="003C15EC">
        <w:rPr>
          <w:rFonts w:cs="Times New Roman"/>
          <w:lang w:val="fr-CA"/>
        </w:rPr>
        <w:t xml:space="preserve">La première étape du critère établi dans </w:t>
      </w:r>
      <w:r w:rsidRPr="003C15EC">
        <w:rPr>
          <w:rFonts w:cs="Times New Roman"/>
          <w:i/>
          <w:lang w:val="fr-CA"/>
        </w:rPr>
        <w:t>Anns</w:t>
      </w:r>
      <w:r w:rsidRPr="003C15EC">
        <w:rPr>
          <w:rFonts w:cs="Times New Roman"/>
          <w:lang w:val="fr-CA"/>
        </w:rPr>
        <w:t xml:space="preserve"> consiste à déterminer s’il y a proximité, ou une relation suffisamment étroite, entre les parties. Elle est axée sur le lien entre l’engagement du défendeur (dont la violation constitue l’acte fautif) et la perte alléguée. Le défendeur avait</w:t>
      </w:r>
      <w:r w:rsidRPr="003C15EC">
        <w:rPr>
          <w:rFonts w:cs="Times New Roman"/>
          <w:lang w:val="fr-CA"/>
        </w:rPr>
        <w:noBreakHyphen/>
        <w:t xml:space="preserve">il envers le demandeur une obligation de diligence </w:t>
      </w:r>
      <w:r w:rsidRPr="003C15EC">
        <w:rPr>
          <w:rFonts w:cs="Times New Roman"/>
          <w:i/>
          <w:noProof/>
          <w:szCs w:val="24"/>
          <w:lang w:val="fr-CA"/>
        </w:rPr>
        <w:t xml:space="preserve">prima facie </w:t>
      </w:r>
      <w:r w:rsidRPr="003C15EC">
        <w:rPr>
          <w:rFonts w:cs="Times New Roman"/>
          <w:noProof/>
          <w:szCs w:val="24"/>
          <w:lang w:val="fr-CA"/>
        </w:rPr>
        <w:t xml:space="preserve">consistant à empêcher la perte eu égard, d’une part, aux conséquences raisonnablement prévisibles de </w:t>
      </w:r>
      <w:r w:rsidRPr="003C15EC">
        <w:rPr>
          <w:rFonts w:cs="Times New Roman"/>
          <w:lang w:val="fr-CA"/>
        </w:rPr>
        <w:t>la conduite du défendeur compte tenu de la proximité des parties et, d’autre part, aux facteurs relatifs à la relation entre les parties qui annihilent la responsabilité délictuelle? (</w:t>
      </w:r>
      <w:r w:rsidR="00C028A9">
        <w:rPr>
          <w:rFonts w:cs="Times New Roman"/>
          <w:lang w:val="fr-CA"/>
        </w:rPr>
        <w:t>V</w:t>
      </w:r>
      <w:r w:rsidRPr="003C15EC">
        <w:rPr>
          <w:rFonts w:cs="Times New Roman"/>
          <w:lang w:val="fr-CA"/>
        </w:rPr>
        <w:t xml:space="preserve">oir </w:t>
      </w:r>
      <w:r w:rsidRPr="003C15EC">
        <w:rPr>
          <w:rFonts w:cs="Times New Roman"/>
          <w:i/>
          <w:lang w:val="fr-CA"/>
        </w:rPr>
        <w:t>Cooper</w:t>
      </w:r>
      <w:r w:rsidR="00C028A9">
        <w:rPr>
          <w:rFonts w:cs="Times New Roman"/>
          <w:lang w:val="fr-CA"/>
        </w:rPr>
        <w:t>, par. 30 et 34.)</w:t>
      </w:r>
      <w:r w:rsidRPr="003C15EC">
        <w:rPr>
          <w:rFonts w:cs="Times New Roman"/>
          <w:lang w:val="fr-CA"/>
        </w:rPr>
        <w:t xml:space="preserve"> À cette étape de l’analyse retenue dans </w:t>
      </w:r>
      <w:r w:rsidRPr="003C15EC">
        <w:rPr>
          <w:rFonts w:cs="Times New Roman"/>
          <w:i/>
          <w:lang w:val="fr-CA"/>
        </w:rPr>
        <w:t>Anns</w:t>
      </w:r>
      <w:r w:rsidRPr="003C15EC">
        <w:rPr>
          <w:rFonts w:cs="Times New Roman"/>
          <w:lang w:val="fr-CA"/>
        </w:rPr>
        <w:t>, il faut examiner</w:t>
      </w:r>
      <w:r w:rsidRPr="003C15EC">
        <w:rPr>
          <w:rFonts w:cs="Times New Roman"/>
          <w:noProof/>
          <w:szCs w:val="24"/>
          <w:lang w:val="fr-CA"/>
        </w:rPr>
        <w:t xml:space="preserve"> les questions de politique relatives au </w:t>
      </w:r>
      <w:r w:rsidRPr="003C15EC">
        <w:rPr>
          <w:rFonts w:eastAsia="Times New Roman" w:cs="Times New Roman"/>
          <w:szCs w:val="24"/>
          <w:lang w:val="fr-CA"/>
        </w:rPr>
        <w:t xml:space="preserve">lien existant entre les parties : </w:t>
      </w:r>
      <w:r w:rsidRPr="003C15EC">
        <w:rPr>
          <w:rFonts w:eastAsia="Times New Roman" w:cs="Times New Roman"/>
          <w:i/>
          <w:szCs w:val="24"/>
          <w:lang w:val="fr-CA"/>
        </w:rPr>
        <w:t>Cooper</w:t>
      </w:r>
      <w:r w:rsidRPr="003C15EC">
        <w:rPr>
          <w:rFonts w:eastAsia="Times New Roman" w:cs="Times New Roman"/>
          <w:szCs w:val="24"/>
          <w:lang w:val="fr-CA"/>
        </w:rPr>
        <w:t>, par. 37.</w:t>
      </w:r>
    </w:p>
    <w:p w:rsidR="003A506E" w:rsidRPr="003C15EC" w:rsidRDefault="003A506E" w:rsidP="003A506E">
      <w:pPr>
        <w:pStyle w:val="ParaNoNdepar-AltN"/>
        <w:tabs>
          <w:tab w:val="num" w:pos="1242"/>
        </w:tabs>
        <w:rPr>
          <w:rFonts w:eastAsiaTheme="minorHAnsi" w:cs="Times New Roman"/>
          <w:noProof/>
          <w:lang w:val="fr-CA"/>
        </w:rPr>
      </w:pPr>
      <w:r w:rsidRPr="003C15EC">
        <w:rPr>
          <w:rFonts w:cs="Times New Roman"/>
          <w:lang w:val="fr-CA"/>
        </w:rPr>
        <w:t xml:space="preserve">La fin pour laquelle la déclaration a été faite (l’engagement) joue un rôle capital pour établir si un type précis de perte économique était la conséquence raisonnablement prévisible de la négligence : </w:t>
      </w:r>
      <w:r w:rsidRPr="003C15EC">
        <w:rPr>
          <w:rFonts w:cs="Times New Roman"/>
          <w:i/>
          <w:lang w:val="fr-CA"/>
        </w:rPr>
        <w:t>Hercules</w:t>
      </w:r>
      <w:r w:rsidRPr="003C15EC">
        <w:rPr>
          <w:rFonts w:cs="Times New Roman"/>
          <w:lang w:val="fr-CA"/>
        </w:rPr>
        <w:t>, par. 37</w:t>
      </w:r>
      <w:r w:rsidRPr="003C15EC">
        <w:rPr>
          <w:rFonts w:cs="Times New Roman"/>
          <w:lang w:val="fr-CA"/>
        </w:rPr>
        <w:noBreakHyphen/>
        <w:t>40. A</w:t>
      </w:r>
      <w:r w:rsidRPr="003C15EC">
        <w:rPr>
          <w:rFonts w:cs="Times New Roman"/>
          <w:lang w:val="fr-CA"/>
        </w:rPr>
        <w:noBreakHyphen/>
        <w:t>t</w:t>
      </w:r>
      <w:r w:rsidRPr="003C15EC">
        <w:rPr>
          <w:rFonts w:cs="Times New Roman"/>
          <w:lang w:val="fr-CA"/>
        </w:rPr>
        <w:noBreakHyphen/>
        <w:t>elle été faite pour permettre à l’entreprise de réunir des capitaux? Dans l’affirmative, une perte causée par le défaut de réunir des capitaux pourrait être indemnisable. A</w:t>
      </w:r>
      <w:r w:rsidRPr="003C15EC">
        <w:rPr>
          <w:rFonts w:cs="Times New Roman"/>
          <w:lang w:val="fr-CA"/>
        </w:rPr>
        <w:noBreakHyphen/>
        <w:t>t</w:t>
      </w:r>
      <w:r w:rsidRPr="003C15EC">
        <w:rPr>
          <w:rFonts w:cs="Times New Roman"/>
          <w:lang w:val="fr-CA"/>
        </w:rPr>
        <w:noBreakHyphen/>
        <w:t xml:space="preserve">elle été faite pour permettre aux actionnaires d’examiner la gestion de l’entreprise? Dans l’affirmative, les actionnaires pourraient être indemnisés pour leur perte en raison de leur incapacité à demander des comptes à l’entreprise : </w:t>
      </w:r>
      <w:r w:rsidRPr="003C15EC">
        <w:rPr>
          <w:rFonts w:cs="Times New Roman"/>
          <w:i/>
          <w:lang w:val="fr-CA"/>
        </w:rPr>
        <w:t>Hercules</w:t>
      </w:r>
      <w:r w:rsidRPr="003C15EC">
        <w:rPr>
          <w:rFonts w:cs="Times New Roman"/>
          <w:lang w:val="fr-CA"/>
        </w:rPr>
        <w:t>, par. 51</w:t>
      </w:r>
      <w:r w:rsidRPr="003C15EC">
        <w:rPr>
          <w:rFonts w:cs="Times New Roman"/>
          <w:lang w:val="fr-CA"/>
        </w:rPr>
        <w:noBreakHyphen/>
        <w:t>57. Dans chaque cas, il faut établir à quelle fin la déclaration a été faite, et se demander si la perte en question est immédiate, ou étroitement liée au défaut du défendeur de mener à bien cette fin.</w:t>
      </w:r>
    </w:p>
    <w:p w:rsidR="003A506E" w:rsidRPr="003C15EC" w:rsidRDefault="003A506E" w:rsidP="003A506E">
      <w:pPr>
        <w:pStyle w:val="ParaNoNdepar-AltN"/>
        <w:tabs>
          <w:tab w:val="clear" w:pos="1152"/>
          <w:tab w:val="left" w:pos="1166"/>
        </w:tabs>
        <w:rPr>
          <w:rFonts w:cs="Times New Roman"/>
          <w:lang w:val="fr-CA"/>
        </w:rPr>
      </w:pPr>
      <w:r w:rsidRPr="003C15EC">
        <w:rPr>
          <w:rFonts w:cs="Times New Roman"/>
          <w:lang w:val="fr-CA"/>
        </w:rPr>
        <w:lastRenderedPageBreak/>
        <w:t>Lorsqu’un vérificateur déclare faussement ou à tort que les états financiers vérifiés sont valables et peuvent donc être utilisés pour les fins auxquelles ils sont destinés, cela constitue de la négligence ou un acte fautif. La perte économique liée à cet acte fautif précis est indemnisable; les autres pertes ne le sont pas. Que ce soit au Royaume</w:t>
      </w:r>
      <w:r w:rsidRPr="003C15EC">
        <w:rPr>
          <w:rFonts w:cs="Times New Roman"/>
          <w:lang w:val="fr-CA"/>
        </w:rPr>
        <w:noBreakHyphen/>
        <w:t xml:space="preserve">Uni, au Québec ou dans les provinces de common law du Canada, les tribunaux se concentrent sur la nature précise de l’acte fautif afin de déterminer quelle perte est indemnisable. Comme lord Sumption l’a expliqué dans </w:t>
      </w:r>
      <w:r w:rsidRPr="003C15EC">
        <w:rPr>
          <w:rFonts w:cs="Times New Roman"/>
          <w:i/>
          <w:lang w:val="fr-CA"/>
        </w:rPr>
        <w:t>BPE Solicitors</w:t>
      </w:r>
      <w:r w:rsidRPr="003C15EC">
        <w:rPr>
          <w:rFonts w:cs="Times New Roman"/>
          <w:lang w:val="fr-CA"/>
        </w:rPr>
        <w:t>, pour que la perte économique alléguée soit une conséquence raisonnablement prévisible de l’acte fautif du défendeur, elle doit avoir [</w:t>
      </w:r>
      <w:r w:rsidRPr="003C15EC">
        <w:rPr>
          <w:rFonts w:cs="Times New Roman"/>
          <w:smallCaps/>
          <w:lang w:val="fr-CA"/>
        </w:rPr>
        <w:t>traduction</w:t>
      </w:r>
      <w:r w:rsidRPr="003C15EC">
        <w:rPr>
          <w:rFonts w:cs="Times New Roman"/>
          <w:lang w:val="fr-CA"/>
        </w:rPr>
        <w:t xml:space="preserve">] « découlé de la bonne chose, soit de la caractéristique particulière qui fait du comportement du défendeur un acte fautif » : par. 38. Ou comme l’a affirmé lord Hoffmann dans </w:t>
      </w:r>
      <w:r w:rsidRPr="003C15EC">
        <w:rPr>
          <w:rFonts w:cs="Times New Roman"/>
          <w:i/>
          <w:lang w:val="fr-CA"/>
        </w:rPr>
        <w:t>SAAMCO</w:t>
      </w:r>
      <w:r w:rsidRPr="003C15EC">
        <w:rPr>
          <w:rFonts w:cs="Times New Roman"/>
          <w:lang w:val="fr-CA"/>
        </w:rPr>
        <w:t xml:space="preserve">, </w:t>
      </w:r>
      <w:r w:rsidR="00D21AD8">
        <w:rPr>
          <w:rFonts w:cs="Times New Roman"/>
          <w:lang w:val="fr-CA"/>
        </w:rPr>
        <w:t>p.</w:t>
      </w:r>
      <w:r w:rsidRPr="003C15EC">
        <w:rPr>
          <w:rFonts w:cs="Times New Roman"/>
          <w:lang w:val="fr-CA"/>
        </w:rPr>
        <w:t> 371 :</w:t>
      </w:r>
    </w:p>
    <w:p w:rsidR="003A506E" w:rsidRPr="003C15EC" w:rsidRDefault="003A506E" w:rsidP="003A506E">
      <w:pPr>
        <w:pStyle w:val="Citation-AltC"/>
        <w:ind w:hanging="1166"/>
        <w:rPr>
          <w:lang w:val="fr-CA"/>
        </w:rPr>
      </w:pPr>
      <w:r w:rsidRPr="003C15EC">
        <w:rPr>
          <w:lang w:val="fr-CA"/>
        </w:rPr>
        <w:tab/>
        <w:t>[</w:t>
      </w:r>
      <w:r w:rsidRPr="003C15EC">
        <w:rPr>
          <w:smallCaps/>
          <w:lang w:val="fr-CA"/>
        </w:rPr>
        <w:t>traduction</w:t>
      </w:r>
      <w:r w:rsidRPr="003C15EC">
        <w:rPr>
          <w:lang w:val="fr-CA"/>
        </w:rPr>
        <w:t>] Normalement le droit limite la responsabilité aux conséquences attribuables à ce qui fait en sorte que l’acte commis est fautif. Lorsque la responsabilité pour négligence découle du fait d’avoir fourni des renseignements inexacts, elle se rattache aux conséquences qu’entraîne l’inexactitude des renseignements.</w:t>
      </w:r>
    </w:p>
    <w:p w:rsidR="003A506E" w:rsidRPr="003C15EC" w:rsidRDefault="003A506E" w:rsidP="003A506E">
      <w:pPr>
        <w:pStyle w:val="ContinueParaSuitedupar-AltP"/>
        <w:rPr>
          <w:rFonts w:cs="Times New Roman"/>
          <w:lang w:val="en-US"/>
        </w:rPr>
      </w:pPr>
      <w:r w:rsidRPr="003C15EC">
        <w:rPr>
          <w:rFonts w:cs="Times New Roman"/>
          <w:lang w:val="en-US"/>
        </w:rPr>
        <w:t xml:space="preserve">Voir également </w:t>
      </w:r>
      <w:r w:rsidRPr="003C15EC">
        <w:rPr>
          <w:rFonts w:cs="Times New Roman"/>
          <w:i/>
          <w:lang w:val="en-US"/>
        </w:rPr>
        <w:t>Burns c. Homer Street Development Limited Partnership</w:t>
      </w:r>
      <w:r w:rsidRPr="003C15EC">
        <w:rPr>
          <w:rFonts w:cs="Times New Roman"/>
          <w:lang w:val="en-US"/>
        </w:rPr>
        <w:t>, 2016 BCCA 371, 91 B.C.L.R. (5</w:t>
      </w:r>
      <w:r w:rsidRPr="00D21AD8">
        <w:rPr>
          <w:rFonts w:cs="Times New Roman"/>
          <w:lang w:val="en-US"/>
        </w:rPr>
        <w:t>th</w:t>
      </w:r>
      <w:r w:rsidRPr="003C15EC">
        <w:rPr>
          <w:rFonts w:cs="Times New Roman"/>
          <w:lang w:val="en-US"/>
        </w:rPr>
        <w:t xml:space="preserve">) 383, par. 106; </w:t>
      </w:r>
      <w:r w:rsidRPr="003C15EC">
        <w:rPr>
          <w:rFonts w:cs="Times New Roman"/>
          <w:i/>
          <w:lang w:val="en-US"/>
        </w:rPr>
        <w:t>Hogarth</w:t>
      </w:r>
      <w:r w:rsidRPr="003C15EC">
        <w:rPr>
          <w:rFonts w:cs="Times New Roman"/>
          <w:lang w:val="en-US"/>
        </w:rPr>
        <w:t>, par. 37</w:t>
      </w:r>
      <w:r w:rsidRPr="003C15EC">
        <w:rPr>
          <w:rFonts w:cs="Times New Roman"/>
          <w:lang w:val="en-US"/>
        </w:rPr>
        <w:noBreakHyphen/>
        <w:t xml:space="preserve">38, le juge Slatter. </w:t>
      </w:r>
    </w:p>
    <w:p w:rsidR="003A506E" w:rsidRPr="003C15EC" w:rsidRDefault="003A506E" w:rsidP="003A506E">
      <w:pPr>
        <w:pStyle w:val="ParaNoNdepar-AltN"/>
        <w:tabs>
          <w:tab w:val="clear" w:pos="1152"/>
          <w:tab w:val="num" w:pos="1242"/>
        </w:tabs>
        <w:ind w:left="90"/>
        <w:rPr>
          <w:rFonts w:cs="Times New Roman"/>
          <w:lang w:val="fr-CA"/>
        </w:rPr>
      </w:pPr>
      <w:r w:rsidRPr="003C15EC">
        <w:rPr>
          <w:rFonts w:cs="Times New Roman"/>
          <w:noProof/>
          <w:lang w:val="fr-CA"/>
        </w:rPr>
        <w:t xml:space="preserve">Dans </w:t>
      </w:r>
      <w:r w:rsidRPr="003C15EC">
        <w:rPr>
          <w:rFonts w:cs="Times New Roman"/>
          <w:i/>
          <w:noProof/>
          <w:lang w:val="fr-CA"/>
        </w:rPr>
        <w:t>BPE Solicitors</w:t>
      </w:r>
      <w:r w:rsidRPr="003C15EC">
        <w:rPr>
          <w:rFonts w:cs="Times New Roman"/>
          <w:noProof/>
          <w:lang w:val="fr-CA"/>
        </w:rPr>
        <w:t>, lord Sumption a signalé au par. 44 que l’étendue de l’obligation de diligence et la portée de la responsabilité du défendeur dépendront des circonstances précises qui</w:t>
      </w:r>
      <w:r w:rsidRPr="003C15EC">
        <w:rPr>
          <w:rFonts w:cs="Times New Roman"/>
          <w:lang w:val="fr-CA"/>
        </w:rPr>
        <w:t xml:space="preserve"> éclairent la fin pour laquelle la déclaration a été préparée : </w:t>
      </w:r>
    </w:p>
    <w:p w:rsidR="003A506E" w:rsidRPr="003C15EC" w:rsidRDefault="003A506E" w:rsidP="003A506E">
      <w:pPr>
        <w:pStyle w:val="Citation-AltC"/>
        <w:ind w:hanging="1166"/>
        <w:rPr>
          <w:lang w:val="fr-CA"/>
        </w:rPr>
      </w:pPr>
      <w:r w:rsidRPr="003C15EC">
        <w:rPr>
          <w:smallCaps/>
          <w:noProof/>
          <w:lang w:val="fr-CA"/>
        </w:rPr>
        <w:tab/>
        <w:t>[traduction]</w:t>
      </w:r>
      <w:r w:rsidRPr="003C15EC">
        <w:rPr>
          <w:noProof/>
          <w:lang w:val="fr-CA"/>
        </w:rPr>
        <w:t xml:space="preserve"> L’évaluateur ou le rédacteur d’actes translatifs de propriété, par exemple, ne communiquera que rarement plus qu’une partie précise des renseignements sur lesquels repose la décision de son client. De manière générale, il se limite à fournir ce que lord Hoffmann [dans </w:t>
      </w:r>
      <w:r w:rsidRPr="003C15EC">
        <w:rPr>
          <w:i/>
          <w:noProof/>
          <w:lang w:val="fr-CA"/>
        </w:rPr>
        <w:t>SAAMCO</w:t>
      </w:r>
      <w:r w:rsidRPr="003C15EC">
        <w:rPr>
          <w:noProof/>
          <w:lang w:val="fr-CA"/>
        </w:rPr>
        <w:t>]</w:t>
      </w:r>
      <w:r w:rsidRPr="003C15EC">
        <w:rPr>
          <w:i/>
          <w:noProof/>
          <w:lang w:val="fr-CA"/>
        </w:rPr>
        <w:t xml:space="preserve"> </w:t>
      </w:r>
      <w:r w:rsidRPr="003C15EC">
        <w:rPr>
          <w:noProof/>
          <w:lang w:val="fr-CA"/>
        </w:rPr>
        <w:t xml:space="preserve">appelait de l’« information ». À l’autre extrémité du spectre, un </w:t>
      </w:r>
      <w:r w:rsidRPr="003C15EC">
        <w:rPr>
          <w:noProof/>
          <w:lang w:val="fr-CA"/>
        </w:rPr>
        <w:lastRenderedPageBreak/>
        <w:t>conseiller en placements qui conseille un client au sujet de l’achat de certaines actions en bourse, ou un conseiller financier qui se prononce sur l’opportunité d’investir dans une rente des sommes détenues dans un fonds de retraite autogéré sont susceptibles, selon le propos de lord Hoffmann, d’être considérés comme ayant fourni des « opinions ». Entre ces deux extrêmes, chaque cas dépendra probablement de la gamme de questions au sujet desquelles le défendeur a assumé une responsabilité, et on ne peut énoncer à cet égard une règle plus précise</w:t>
      </w:r>
      <w:r w:rsidRPr="003C15EC">
        <w:rPr>
          <w:lang w:val="fr-CA"/>
        </w:rPr>
        <w:t>.</w:t>
      </w:r>
    </w:p>
    <w:p w:rsidR="003A506E" w:rsidRPr="003C15EC" w:rsidRDefault="003A506E" w:rsidP="003A506E">
      <w:pPr>
        <w:pStyle w:val="ParaNoNdepar-AltN"/>
        <w:numPr>
          <w:ilvl w:val="0"/>
          <w:numId w:val="0"/>
        </w:numPr>
        <w:rPr>
          <w:rFonts w:cs="Times New Roman"/>
          <w:lang w:val="fr-CA"/>
        </w:rPr>
      </w:pPr>
      <w:r w:rsidRPr="003C15EC">
        <w:rPr>
          <w:rFonts w:cs="Times New Roman"/>
          <w:noProof/>
          <w:lang w:val="fr-CA"/>
        </w:rPr>
        <w:t xml:space="preserve">Voir aussi </w:t>
      </w:r>
      <w:r w:rsidRPr="003C15EC">
        <w:rPr>
          <w:rFonts w:cs="Times New Roman"/>
          <w:i/>
          <w:noProof/>
          <w:lang w:val="fr-CA"/>
        </w:rPr>
        <w:t>Aneco</w:t>
      </w:r>
      <w:r w:rsidRPr="003C15EC">
        <w:rPr>
          <w:rFonts w:cs="Times New Roman"/>
          <w:i/>
          <w:lang w:val="fr-CA"/>
        </w:rPr>
        <w:t xml:space="preserve"> Reinsurance Underwriting Ltd. (in liquidation) c. Johnson &amp; Higgins Ltd.</w:t>
      </w:r>
      <w:r w:rsidRPr="003C15EC">
        <w:rPr>
          <w:rFonts w:cs="Times New Roman"/>
          <w:lang w:val="fr-CA"/>
        </w:rPr>
        <w:t>,</w:t>
      </w:r>
      <w:r w:rsidRPr="003C15EC">
        <w:rPr>
          <w:rFonts w:cs="Times New Roman"/>
          <w:i/>
          <w:lang w:val="fr-CA"/>
        </w:rPr>
        <w:t xml:space="preserve"> </w:t>
      </w:r>
      <w:r w:rsidRPr="003C15EC">
        <w:rPr>
          <w:rFonts w:cs="Times New Roman"/>
          <w:lang w:val="fr-CA"/>
        </w:rPr>
        <w:t>[2001] UKHL 51</w:t>
      </w:r>
      <w:r w:rsidRPr="003C15EC">
        <w:rPr>
          <w:rFonts w:cs="Times New Roman"/>
          <w:noProof/>
          <w:lang w:val="fr-CA"/>
        </w:rPr>
        <w:t xml:space="preserve">, </w:t>
      </w:r>
      <w:r w:rsidRPr="003C15EC">
        <w:rPr>
          <w:rFonts w:cs="Times New Roman"/>
          <w:lang w:val="fr-CA"/>
        </w:rPr>
        <w:t xml:space="preserve">[2001] 2 All E.R. (Comm.) 929, </w:t>
      </w:r>
      <w:r w:rsidRPr="003C15EC">
        <w:rPr>
          <w:rFonts w:cs="Times New Roman"/>
          <w:noProof/>
          <w:lang w:val="fr-CA"/>
        </w:rPr>
        <w:t>par. 40</w:t>
      </w:r>
      <w:r w:rsidRPr="003C15EC">
        <w:rPr>
          <w:rFonts w:cs="Times New Roman"/>
          <w:noProof/>
          <w:lang w:val="fr-CA"/>
        </w:rPr>
        <w:noBreakHyphen/>
        <w:t>41, lord Steyn, et par. 66, lord Millett;</w:t>
      </w:r>
      <w:r w:rsidRPr="003C15EC">
        <w:rPr>
          <w:rFonts w:cs="Times New Roman"/>
          <w:i/>
          <w:noProof/>
          <w:lang w:val="fr-CA"/>
        </w:rPr>
        <w:t xml:space="preserve"> Canadian Imperial Bank of Commerce c. Deloitte &amp; Touche</w:t>
      </w:r>
      <w:r w:rsidRPr="003C15EC">
        <w:rPr>
          <w:rFonts w:cs="Times New Roman"/>
          <w:noProof/>
          <w:lang w:val="fr-CA"/>
        </w:rPr>
        <w:t>, 2016 ONCA 922, 133 O.R. (3d) 561,</w:t>
      </w:r>
      <w:r w:rsidRPr="003C15EC">
        <w:rPr>
          <w:rFonts w:cs="Times New Roman"/>
          <w:i/>
          <w:noProof/>
          <w:lang w:val="fr-CA"/>
        </w:rPr>
        <w:t xml:space="preserve"> </w:t>
      </w:r>
      <w:r w:rsidRPr="003C15EC">
        <w:rPr>
          <w:rFonts w:cs="Times New Roman"/>
          <w:noProof/>
          <w:lang w:val="fr-CA"/>
        </w:rPr>
        <w:t>par. 46</w:t>
      </w:r>
      <w:r w:rsidRPr="003C15EC">
        <w:rPr>
          <w:rFonts w:cs="Times New Roman"/>
          <w:noProof/>
          <w:lang w:val="fr-CA"/>
        </w:rPr>
        <w:noBreakHyphen/>
        <w:t>47 et 69</w:t>
      </w:r>
      <w:r w:rsidRPr="003C15EC">
        <w:rPr>
          <w:rFonts w:cs="Times New Roman"/>
          <w:noProof/>
          <w:lang w:val="fr-CA"/>
        </w:rPr>
        <w:noBreakHyphen/>
        <w:t xml:space="preserve">71; </w:t>
      </w:r>
      <w:r w:rsidRPr="003C15EC">
        <w:rPr>
          <w:rFonts w:cs="Times New Roman"/>
          <w:i/>
          <w:noProof/>
          <w:lang w:val="fr-CA"/>
        </w:rPr>
        <w:t>Temseel Holdings Ltd. c. Beaumonts Chartered Accountants</w:t>
      </w:r>
      <w:r w:rsidRPr="003C15EC">
        <w:rPr>
          <w:rFonts w:cs="Times New Roman"/>
          <w:noProof/>
          <w:lang w:val="fr-CA"/>
        </w:rPr>
        <w:t xml:space="preserve">, [2002] EWHC 2642 (Comm.), </w:t>
      </w:r>
      <w:r w:rsidRPr="003C15EC">
        <w:rPr>
          <w:rFonts w:cs="Times New Roman"/>
          <w:bCs/>
          <w:noProof/>
          <w:lang w:val="fr-CA"/>
        </w:rPr>
        <w:t>[2003] P.N.L.R. 27, par. 22</w:t>
      </w:r>
      <w:r w:rsidRPr="003C15EC">
        <w:rPr>
          <w:rFonts w:cs="Times New Roman"/>
          <w:bCs/>
          <w:noProof/>
          <w:lang w:val="fr-CA"/>
        </w:rPr>
        <w:noBreakHyphen/>
        <w:t>29 et 57</w:t>
      </w:r>
      <w:r w:rsidRPr="003C15EC">
        <w:rPr>
          <w:rFonts w:cs="Times New Roman"/>
          <w:bCs/>
          <w:noProof/>
          <w:lang w:val="fr-CA"/>
        </w:rPr>
        <w:noBreakHyphen/>
        <w:t>62</w:t>
      </w:r>
      <w:r w:rsidRPr="003C15EC">
        <w:rPr>
          <w:rFonts w:cs="Times New Roman"/>
          <w:lang w:val="fr-CA"/>
        </w:rPr>
        <w:t>.</w:t>
      </w:r>
    </w:p>
    <w:p w:rsidR="003A506E" w:rsidRPr="003C15EC" w:rsidRDefault="003A506E" w:rsidP="003A506E">
      <w:pPr>
        <w:pStyle w:val="ParaNoNdepar-AltN"/>
        <w:rPr>
          <w:rFonts w:cs="Times New Roman"/>
          <w:noProof/>
          <w:lang w:val="fr-CA"/>
        </w:rPr>
      </w:pPr>
      <w:r w:rsidRPr="003C15EC">
        <w:rPr>
          <w:rFonts w:cs="Times New Roman"/>
          <w:noProof/>
          <w:lang w:val="fr-CA"/>
        </w:rPr>
        <w:t xml:space="preserve">Les fins pour lesquelles le rapport du vérificateur est produit est une question de faits qui repose sur la preuve présentée au procès : </w:t>
      </w:r>
      <w:r w:rsidRPr="003C15EC">
        <w:rPr>
          <w:rFonts w:cs="Times New Roman"/>
          <w:i/>
          <w:noProof/>
          <w:lang w:val="fr-CA"/>
        </w:rPr>
        <w:t>BPE Solicitors</w:t>
      </w:r>
      <w:r w:rsidRPr="003C15EC">
        <w:rPr>
          <w:rFonts w:cs="Times New Roman"/>
          <w:noProof/>
          <w:lang w:val="fr-CA"/>
        </w:rPr>
        <w:t xml:space="preserve">, par. 44; </w:t>
      </w:r>
      <w:r w:rsidRPr="003C15EC">
        <w:rPr>
          <w:rFonts w:cs="Times New Roman"/>
          <w:i/>
          <w:noProof/>
          <w:lang w:val="fr-CA"/>
        </w:rPr>
        <w:t>Aneco</w:t>
      </w:r>
      <w:r w:rsidRPr="003C15EC">
        <w:rPr>
          <w:rFonts w:cs="Times New Roman"/>
          <w:noProof/>
          <w:lang w:val="fr-CA"/>
        </w:rPr>
        <w:t>, par. 40</w:t>
      </w:r>
      <w:r w:rsidRPr="003C15EC">
        <w:rPr>
          <w:rFonts w:cs="Times New Roman"/>
          <w:noProof/>
          <w:lang w:val="fr-CA"/>
        </w:rPr>
        <w:noBreakHyphen/>
        <w:t xml:space="preserve">41, lord Steyn, et par. 66, lord Millett; </w:t>
      </w:r>
      <w:r w:rsidRPr="003C15EC">
        <w:rPr>
          <w:rFonts w:cs="Times New Roman"/>
          <w:i/>
          <w:noProof/>
          <w:lang w:val="fr-CA"/>
        </w:rPr>
        <w:t>Canadian Imperial Bank of Commerce</w:t>
      </w:r>
      <w:r w:rsidRPr="003C15EC">
        <w:rPr>
          <w:rFonts w:cs="Times New Roman"/>
          <w:noProof/>
          <w:lang w:val="fr-CA"/>
        </w:rPr>
        <w:t xml:space="preserve">, par. 47; </w:t>
      </w:r>
      <w:r w:rsidRPr="003C15EC">
        <w:rPr>
          <w:rFonts w:cs="Times New Roman"/>
          <w:i/>
          <w:noProof/>
          <w:lang w:val="fr-CA"/>
        </w:rPr>
        <w:t>Temseel</w:t>
      </w:r>
      <w:r w:rsidRPr="003C15EC">
        <w:rPr>
          <w:rFonts w:cs="Times New Roman"/>
          <w:noProof/>
          <w:lang w:val="fr-CA"/>
        </w:rPr>
        <w:t>, par. 57</w:t>
      </w:r>
      <w:r w:rsidRPr="003C15EC">
        <w:rPr>
          <w:rFonts w:cs="Times New Roman"/>
          <w:noProof/>
          <w:lang w:val="fr-CA"/>
        </w:rPr>
        <w:noBreakHyphen/>
        <w:t xml:space="preserve">62. Les obligations qu’imposent les lois peuvent être pertinentes : </w:t>
      </w:r>
      <w:r w:rsidRPr="003C15EC">
        <w:rPr>
          <w:rFonts w:cs="Times New Roman"/>
          <w:i/>
          <w:noProof/>
          <w:lang w:val="fr-CA"/>
        </w:rPr>
        <w:t>Hercules</w:t>
      </w:r>
      <w:r w:rsidRPr="003C15EC">
        <w:rPr>
          <w:rFonts w:cs="Times New Roman"/>
          <w:noProof/>
          <w:lang w:val="fr-CA"/>
        </w:rPr>
        <w:t xml:space="preserve">, par. 49. </w:t>
      </w:r>
    </w:p>
    <w:p w:rsidR="003A506E" w:rsidRPr="003C15EC" w:rsidRDefault="003A506E" w:rsidP="003A506E">
      <w:pPr>
        <w:pStyle w:val="ParaNoNdepar-AltN"/>
        <w:rPr>
          <w:rFonts w:cs="Times New Roman"/>
          <w:noProof/>
          <w:lang w:val="fr-CA"/>
        </w:rPr>
      </w:pPr>
      <w:r w:rsidRPr="003C15EC">
        <w:rPr>
          <w:rFonts w:cs="Times New Roman"/>
          <w:noProof/>
          <w:lang w:val="fr-CA"/>
        </w:rPr>
        <w:t>Dans ce contexte, j’aborde maintenant la question qui nous occupe : quelle était l’étendue de l’obligation de diligence de Deloitte envers Livent? Pour répondre à cette question, il faut savoir à quelles fins Deloitte a préparé les déclarations, ce qui définira l’acte fautif, soit l’omission par négligence de fournir les renseignements exacts pour les fins visées.</w:t>
      </w:r>
    </w:p>
    <w:p w:rsidR="003A506E" w:rsidRPr="003C15EC" w:rsidRDefault="003A506E" w:rsidP="003A506E">
      <w:pPr>
        <w:pStyle w:val="ParaNoNdepar-AltN"/>
        <w:rPr>
          <w:rFonts w:cs="Times New Roman"/>
          <w:noProof/>
          <w:lang w:val="fr-CA"/>
        </w:rPr>
      </w:pPr>
      <w:r w:rsidRPr="003C15EC">
        <w:rPr>
          <w:rFonts w:cs="Times New Roman"/>
          <w:lang w:val="fr-CA"/>
        </w:rPr>
        <w:lastRenderedPageBreak/>
        <w:t xml:space="preserve">En l’espèce, on peut discerner trois fins auxquelles devaient servir les états financiers vérifiés par Livent : </w:t>
      </w:r>
      <w:r w:rsidR="00C028A9">
        <w:rPr>
          <w:rFonts w:cs="Times New Roman"/>
          <w:lang w:val="fr-CA"/>
        </w:rPr>
        <w:t>(</w:t>
      </w:r>
      <w:r w:rsidRPr="003C15EC">
        <w:rPr>
          <w:rFonts w:cs="Times New Roman"/>
          <w:lang w:val="fr-CA"/>
        </w:rPr>
        <w:t xml:space="preserve">1) présenter un état exact de la situation financière de Livent et lui fournir des opinions du vérificateur qu’elle pourra utiliser pour attirer des investissements; </w:t>
      </w:r>
      <w:r w:rsidR="00C028A9">
        <w:rPr>
          <w:rFonts w:cs="Times New Roman"/>
          <w:lang w:val="fr-CA"/>
        </w:rPr>
        <w:t>(</w:t>
      </w:r>
      <w:r w:rsidRPr="003C15EC">
        <w:rPr>
          <w:rFonts w:cs="Times New Roman"/>
          <w:lang w:val="fr-CA"/>
        </w:rPr>
        <w:t>2) découvrir des erreurs ou des actes fautifs commis par Livent ou ses employés jusque</w:t>
      </w:r>
      <w:r w:rsidRPr="003C15EC">
        <w:rPr>
          <w:rFonts w:cs="Times New Roman"/>
          <w:lang w:val="fr-CA"/>
        </w:rPr>
        <w:noBreakHyphen/>
        <w:t>là passés inaperçus, afin de permettre à Livent de corriger elle</w:t>
      </w:r>
      <w:r w:rsidRPr="003C15EC">
        <w:rPr>
          <w:rFonts w:cs="Times New Roman"/>
          <w:lang w:val="fr-CA"/>
        </w:rPr>
        <w:noBreakHyphen/>
        <w:t xml:space="preserve">même cette faute ou de prendre des mesures à cet égard; et </w:t>
      </w:r>
      <w:r w:rsidR="00C028A9">
        <w:rPr>
          <w:rFonts w:cs="Times New Roman"/>
          <w:lang w:val="fr-CA"/>
        </w:rPr>
        <w:t>(</w:t>
      </w:r>
      <w:r w:rsidRPr="003C15EC">
        <w:rPr>
          <w:rFonts w:cs="Times New Roman"/>
          <w:lang w:val="fr-CA"/>
        </w:rPr>
        <w:t>3) fournir des rapports de vérification qui serviraient à la surveillance de la gestion de l’entreprise par les actionnaires</w:t>
      </w:r>
      <w:r w:rsidRPr="003C15EC">
        <w:rPr>
          <w:rFonts w:cs="Times New Roman"/>
          <w:noProof/>
          <w:lang w:val="fr-CA"/>
        </w:rPr>
        <w:t xml:space="preserve"> </w:t>
      </w:r>
      <w:r w:rsidR="00D21AD8">
        <w:rPr>
          <w:rFonts w:cs="Times New Roman"/>
          <w:lang w:val="fr-CA"/>
        </w:rPr>
        <w:t xml:space="preserve">(voir p. ex. la </w:t>
      </w:r>
      <w:r w:rsidR="00863B22">
        <w:rPr>
          <w:rFonts w:cs="Times New Roman"/>
          <w:lang w:val="fr-CA"/>
        </w:rPr>
        <w:t>p</w:t>
      </w:r>
      <w:r w:rsidR="00D21AD8">
        <w:rPr>
          <w:rFonts w:cs="Times New Roman"/>
          <w:lang w:val="fr-CA"/>
        </w:rPr>
        <w:t>artie XII de la</w:t>
      </w:r>
      <w:r w:rsidRPr="003C15EC">
        <w:rPr>
          <w:rFonts w:cs="Times New Roman"/>
          <w:lang w:val="fr-CA"/>
        </w:rPr>
        <w:t xml:space="preserve"> </w:t>
      </w:r>
      <w:r w:rsidRPr="003C15EC">
        <w:rPr>
          <w:rFonts w:cs="Times New Roman"/>
          <w:i/>
          <w:lang w:val="fr-CA"/>
        </w:rPr>
        <w:t>Loi sur les sociétés par actions</w:t>
      </w:r>
      <w:r w:rsidRPr="003C15EC">
        <w:rPr>
          <w:rFonts w:cs="Times New Roman"/>
          <w:lang w:val="fr-CA"/>
        </w:rPr>
        <w:t>, L.R.O. 1990, c. B.16; motifs de première instance, par. 89</w:t>
      </w:r>
      <w:r w:rsidRPr="003C15EC">
        <w:rPr>
          <w:rFonts w:cs="Times New Roman"/>
          <w:lang w:val="fr-CA"/>
        </w:rPr>
        <w:noBreakHyphen/>
        <w:t>96 et 280). Livent avait le droit d’être indemnisée pour les pertes occasionnées par le fait qu’elle</w:t>
      </w:r>
      <w:r w:rsidRPr="003C15EC">
        <w:rPr>
          <w:rFonts w:cs="Times New Roman"/>
          <w:lang w:val="fr-CA"/>
        </w:rPr>
        <w:noBreakHyphen/>
        <w:t>même et ses actionnaires se sont fiés aux rapports de vérification de Deloitte à ces fins.</w:t>
      </w:r>
    </w:p>
    <w:p w:rsidR="003A506E" w:rsidRPr="003C15EC" w:rsidRDefault="003A506E" w:rsidP="003A506E">
      <w:pPr>
        <w:pStyle w:val="ParaNoNdepar-AltN"/>
        <w:rPr>
          <w:rFonts w:cs="Times New Roman"/>
          <w:noProof/>
          <w:lang w:val="fr-CA"/>
        </w:rPr>
      </w:pPr>
      <w:r w:rsidRPr="003C15EC">
        <w:rPr>
          <w:rFonts w:cs="Times New Roman"/>
          <w:lang w:val="fr-CA"/>
        </w:rPr>
        <w:t>Ces fins seulement définissent l’étendue de l’obligation de diligence de Deloitte. Sa négligence a</w:t>
      </w:r>
      <w:r w:rsidRPr="003C15EC">
        <w:rPr>
          <w:rFonts w:cs="Times New Roman"/>
          <w:lang w:val="fr-CA"/>
        </w:rPr>
        <w:noBreakHyphen/>
        <w:t>t</w:t>
      </w:r>
      <w:r w:rsidRPr="003C15EC">
        <w:rPr>
          <w:rFonts w:cs="Times New Roman"/>
          <w:lang w:val="fr-CA"/>
        </w:rPr>
        <w:noBreakHyphen/>
        <w:t>elle empêché Livent d’attirer des investissements? Sa négligence a</w:t>
      </w:r>
      <w:r w:rsidRPr="003C15EC">
        <w:rPr>
          <w:rFonts w:cs="Times New Roman"/>
          <w:lang w:val="fr-CA"/>
        </w:rPr>
        <w:noBreakHyphen/>
        <w:t>t</w:t>
      </w:r>
      <w:r w:rsidRPr="003C15EC">
        <w:rPr>
          <w:rFonts w:cs="Times New Roman"/>
          <w:lang w:val="fr-CA"/>
        </w:rPr>
        <w:noBreakHyphen/>
        <w:t>elle empêché Livent de découvrir des actes fautifs passés inaperçus pour qu’elle puisse corriger la faute? Enfin, sa négligence a</w:t>
      </w:r>
      <w:r w:rsidRPr="003C15EC">
        <w:rPr>
          <w:rFonts w:cs="Times New Roman"/>
          <w:lang w:val="fr-CA"/>
        </w:rPr>
        <w:noBreakHyphen/>
        <w:t>t</w:t>
      </w:r>
      <w:r w:rsidRPr="003C15EC">
        <w:rPr>
          <w:rFonts w:cs="Times New Roman"/>
          <w:lang w:val="fr-CA"/>
        </w:rPr>
        <w:noBreakHyphen/>
        <w:t>elle empêché les actionnaires de surveiller la gestion de l’entreprise? Les pertes découlant de l’incapacité à attirer des investissements, de l’incapacité de Livent à corriger des fautes passées inaperçues ou de l’incapacité des actionnaires d’exercer leur pouvoir de surveillance, peuvent toutes être visées par l’obligation de diligence de Deloitte.</w:t>
      </w:r>
    </w:p>
    <w:p w:rsidR="003A506E" w:rsidRPr="003C15EC" w:rsidRDefault="003A506E" w:rsidP="003A506E">
      <w:pPr>
        <w:pStyle w:val="ParaNoNdepar-AltN"/>
        <w:rPr>
          <w:rFonts w:cs="Times New Roman"/>
          <w:noProof/>
          <w:lang w:val="fr-CA"/>
        </w:rPr>
      </w:pPr>
      <w:r w:rsidRPr="003C15EC">
        <w:rPr>
          <w:rFonts w:cs="Times New Roman"/>
          <w:lang w:val="fr-CA"/>
        </w:rPr>
        <w:t xml:space="preserve">La première possibilité est que l’acte fautif de Deloitte a empêché Livent d’attirer des capitaux d’investissement. Livent n’invoque pas cet argument; en fait, elle a attiré beaucoup de capitaux grâce aux déclarations de Deloitte. Il s’agit là de l’essence de sa plainte — si elle n’avait pas réussi à attirer ces capitaux, elle n’aurait pas pu les </w:t>
      </w:r>
      <w:r w:rsidRPr="003C15EC">
        <w:rPr>
          <w:rFonts w:cs="Times New Roman"/>
          <w:lang w:val="fr-CA"/>
        </w:rPr>
        <w:lastRenderedPageBreak/>
        <w:t>dépenser dans de nouveaux spectacles, qui se sont avérés des échecs et qui ont diminué la valeur de Livent. L’actif de l’entreprise n’a pas été diminué par son incapacité à attirer des investissements, mais plutôt par la gestion inconsidérée de ces investissements par Livent, révélée seulement lors de l’insolvabilité.</w:t>
      </w:r>
    </w:p>
    <w:p w:rsidR="003A506E" w:rsidRPr="003C15EC" w:rsidRDefault="003A506E" w:rsidP="003A506E">
      <w:pPr>
        <w:pStyle w:val="ParaNoNdepar-AltN"/>
        <w:rPr>
          <w:rFonts w:cs="Times New Roman"/>
          <w:noProof/>
          <w:lang w:val="fr-CA"/>
        </w:rPr>
      </w:pPr>
      <w:r w:rsidRPr="003C15EC">
        <w:rPr>
          <w:rFonts w:cs="Times New Roman"/>
          <w:lang w:val="fr-CA"/>
        </w:rPr>
        <w:t>La deuxième possibilité est que l’acte fautif a empêché Livent — l’entreprise elle</w:t>
      </w:r>
      <w:r w:rsidRPr="003C15EC">
        <w:rPr>
          <w:rFonts w:cs="Times New Roman"/>
          <w:lang w:val="fr-CA"/>
        </w:rPr>
        <w:noBreakHyphen/>
        <w:t>même — de déceler dans la gestion de l’entreprise la faute que les dirigeants de Livent auraient corrigée s’ils avaient été au courant du véritable état des choses. Cette possibilité suppose une situation où la direction de l’entreprise, agissant en toute honnêteté et avec diligence, n’est pas en mesure de corriger la faute interne parce que les vérificateurs ont négligé de la révéler.</w:t>
      </w:r>
    </w:p>
    <w:p w:rsidR="003A506E" w:rsidRPr="003C15EC" w:rsidRDefault="003A506E" w:rsidP="003A506E">
      <w:pPr>
        <w:pStyle w:val="ParaNoNdepar-AltN"/>
        <w:rPr>
          <w:rFonts w:cs="Times New Roman"/>
          <w:noProof/>
          <w:lang w:val="fr-CA"/>
        </w:rPr>
      </w:pPr>
      <w:r w:rsidRPr="003C15EC">
        <w:rPr>
          <w:rFonts w:cs="Times New Roman"/>
          <w:lang w:val="fr-CA"/>
        </w:rPr>
        <w:t>Telle n’est pas la situation de Livent. Livent n’a présenté aucune preuve que ses dirigeants n’étaient pas au courant de la faute commise par MM. Drabinsky et Gottlieb. En réalité, elle n’aurait pas pu le faire, puisque MM. Drabinsky et Gottlieb, les fraudeurs, étaient eux</w:t>
      </w:r>
      <w:r w:rsidRPr="003C15EC">
        <w:rPr>
          <w:rFonts w:cs="Times New Roman"/>
          <w:lang w:val="fr-CA"/>
        </w:rPr>
        <w:noBreakHyphen/>
        <w:t xml:space="preserve">mêmes les dirigeants. Loin de se fier aux états financiers vérifiés comme garantie que tout allait bien pour l’entreprise, MM. Drabinsky et Gottlieb savaient que les rapports du vérificateur étaient inexacts. Rien ne prouve que quiconque occupant un poste </w:t>
      </w:r>
      <w:r w:rsidRPr="003C15EC">
        <w:rPr>
          <w:rFonts w:cs="Times New Roman"/>
          <w:noProof/>
          <w:lang w:val="fr-CA"/>
        </w:rPr>
        <w:t xml:space="preserve">à </w:t>
      </w:r>
      <w:r w:rsidRPr="003C15EC">
        <w:rPr>
          <w:rFonts w:cs="Times New Roman"/>
          <w:lang w:val="fr-CA"/>
        </w:rPr>
        <w:t>un échelon inférieur de la direction de Livent aurait dénoncé la fraude si les déclarations de Livent l’avaient révélée plus tôt.</w:t>
      </w:r>
    </w:p>
    <w:p w:rsidR="003A506E" w:rsidRPr="003C15EC" w:rsidRDefault="003A506E" w:rsidP="003A506E">
      <w:pPr>
        <w:pStyle w:val="ParaNoNdepar-AltN"/>
        <w:rPr>
          <w:rFonts w:cs="Times New Roman"/>
          <w:noProof/>
          <w:lang w:val="fr-CA"/>
        </w:rPr>
      </w:pPr>
      <w:r w:rsidRPr="003C15EC">
        <w:rPr>
          <w:rFonts w:cs="Times New Roman"/>
          <w:lang w:val="fr-CA"/>
        </w:rPr>
        <w:t xml:space="preserve">La troisième possibilité est que l’acte fautif de Deloitte a empêché les actionnaires de Livent d’exercer leur surveillance d’une façon qui aurait mis fin plus tôt aux activités causant des pertes à l’entreprise. Livent soutient (et mes collègues les juges Gascon et Brown acceptent cet argument) qu’elle s’est fiée à Deloitte pour </w:t>
      </w:r>
      <w:r w:rsidRPr="003C15EC">
        <w:rPr>
          <w:rFonts w:cs="Times New Roman"/>
          <w:lang w:val="fr-CA"/>
        </w:rPr>
        <w:lastRenderedPageBreak/>
        <w:t>produire un rapport sur lequel ses actionnaires pourraient s’appuyer pour s’acquitter de leur fonction de surveillance, ce qui, de l’avis de tous, était une des fins pour lesquelles les états financiers vérifiés ont été préparés. Livent plaide, et mes collègues concluent, que toutes les pertes que la surveillance par les actionnaires aurait pu permettre d’éviter sont indemnisables, y compris la diminution de la valeur de l’entreprise.</w:t>
      </w:r>
    </w:p>
    <w:p w:rsidR="003A506E" w:rsidRPr="003C15EC" w:rsidRDefault="003A506E" w:rsidP="003A506E">
      <w:pPr>
        <w:pStyle w:val="ParaNoNdepar-AltN"/>
        <w:rPr>
          <w:rFonts w:cs="Times New Roman"/>
          <w:noProof/>
          <w:lang w:val="fr-CA"/>
        </w:rPr>
      </w:pPr>
      <w:r w:rsidRPr="003C15EC">
        <w:rPr>
          <w:rFonts w:cs="Times New Roman"/>
          <w:noProof/>
          <w:lang w:val="fr-CA"/>
        </w:rPr>
        <w:t>Cette proposition se heurte à deux difficultés. La première est que Livent n’a jamais prouvé les éléments nécessaires pour l’établir, et le juge de première instance n’a jamais conclu à leur existence. La deuxième est une considération de politique générale connexe : permettre l’indemnisation en l’absence de la preuve nécessaire reviendrait à ouvrir la porte à l’indemnisation indéterminée. J’examinerai ces difficultés l’une après l’autre.</w:t>
      </w:r>
    </w:p>
    <w:p w:rsidR="003A506E" w:rsidRPr="003C15EC" w:rsidRDefault="003A506E" w:rsidP="003A506E">
      <w:pPr>
        <w:pStyle w:val="ParaNoNdepar-AltN"/>
        <w:rPr>
          <w:rFonts w:cs="Times New Roman"/>
          <w:noProof/>
          <w:lang w:val="fr-CA"/>
        </w:rPr>
      </w:pPr>
      <w:r w:rsidRPr="003C15EC">
        <w:rPr>
          <w:rFonts w:cs="Times New Roman"/>
          <w:lang w:val="fr-CA"/>
        </w:rPr>
        <w:t xml:space="preserve">D’abord, bien que le juge de première instance mentionne dans ses motifs l’obligation de Deloitte envers les actionnaires de Livent telle qu’elle a été énoncée dans </w:t>
      </w:r>
      <w:r w:rsidRPr="003C15EC">
        <w:rPr>
          <w:rFonts w:cs="Times New Roman"/>
          <w:i/>
          <w:lang w:val="fr-CA"/>
        </w:rPr>
        <w:t>Hercules</w:t>
      </w:r>
      <w:r w:rsidRPr="003C15EC">
        <w:rPr>
          <w:rFonts w:cs="Times New Roman"/>
          <w:lang w:val="fr-CA"/>
        </w:rPr>
        <w:t>, il n’y avait pas de preuve de la responsabilité fondée sur le fait que la surveillance des actionnaires soit compromise. La thèse de Livent voulait simplement que, par application du critère du « </w:t>
      </w:r>
      <w:r w:rsidRPr="003C15EC">
        <w:rPr>
          <w:rFonts w:eastAsiaTheme="minorHAnsi" w:cs="Times New Roman"/>
          <w:noProof/>
          <w:lang w:val="fr-CA"/>
        </w:rPr>
        <w:t>facteur déterminant </w:t>
      </w:r>
      <w:r w:rsidRPr="003C15EC">
        <w:rPr>
          <w:rFonts w:cs="Times New Roman"/>
          <w:lang w:val="fr-CA"/>
        </w:rPr>
        <w:t>», toutes les pertes découlant des mauvais investissements postérieurs aux vérifications faites avec négligence étaient indemnisables. Livent n’a pas prouvé, et le juge de première instance n’a pas conclu, que les actionnaires de Livent se sont fiés aux états financiers vérifiés de façon négligente par Deloitte, ou que s’ils avaient reçu des états financiers exacts et s’y étaient fiés, ils auraient agi d’une façon qui aurait empêché Livent de poursuivre ses activités et de diminuer ses actifs au cours de la période entre la production des états financiers en cause et l’insolvabilité de Livent.</w:t>
      </w:r>
    </w:p>
    <w:p w:rsidR="003A506E" w:rsidRPr="003C15EC" w:rsidRDefault="003A506E" w:rsidP="003A506E">
      <w:pPr>
        <w:pStyle w:val="ParaNoNdepar-AltN"/>
        <w:tabs>
          <w:tab w:val="num" w:pos="1242"/>
        </w:tabs>
        <w:rPr>
          <w:rFonts w:cs="Times New Roman"/>
          <w:noProof/>
          <w:lang w:val="fr-CA"/>
        </w:rPr>
      </w:pPr>
      <w:r w:rsidRPr="003C15EC">
        <w:rPr>
          <w:rFonts w:cs="Times New Roman"/>
          <w:lang w:val="fr-CA"/>
        </w:rPr>
        <w:lastRenderedPageBreak/>
        <w:t>Le juge de première instance, qui a accepté la thèse de Livent, a conclu que l’obligation de diligence doit être suffisamment générale pour englober toutes les pertes qui auraient été visées par le critère du « </w:t>
      </w:r>
      <w:r w:rsidRPr="003C15EC">
        <w:rPr>
          <w:rFonts w:eastAsiaTheme="minorHAnsi" w:cs="Times New Roman"/>
          <w:noProof/>
          <w:lang w:val="fr-CA"/>
        </w:rPr>
        <w:t>facteur déterminant</w:t>
      </w:r>
      <w:r w:rsidRPr="003C15EC">
        <w:rPr>
          <w:rFonts w:cs="Times New Roman"/>
          <w:lang w:val="fr-CA"/>
        </w:rPr>
        <w:t> ». Il a affirmé ce qui suit :</w:t>
      </w:r>
    </w:p>
    <w:p w:rsidR="003A506E" w:rsidRPr="003C15EC" w:rsidRDefault="003A506E" w:rsidP="003A506E">
      <w:pPr>
        <w:pStyle w:val="Citation-AltC"/>
        <w:ind w:left="1168" w:hanging="1168"/>
        <w:contextualSpacing w:val="0"/>
        <w:rPr>
          <w:lang w:val="fr-CA"/>
        </w:rPr>
      </w:pPr>
      <w:r w:rsidRPr="003C15EC">
        <w:rPr>
          <w:lang w:val="fr-CA"/>
        </w:rPr>
        <w:tab/>
        <w:t>[</w:t>
      </w:r>
      <w:r w:rsidRPr="003C15EC">
        <w:rPr>
          <w:smallCaps/>
          <w:lang w:val="fr-CA"/>
        </w:rPr>
        <w:t>traduction</w:t>
      </w:r>
      <w:r w:rsidRPr="003C15EC">
        <w:rPr>
          <w:lang w:val="fr-CA"/>
        </w:rPr>
        <w:t xml:space="preserve">] À mon avis, la prestation ou la retenue ultime d’une opinion sans réserve n’est qu’un aspect de la conduite d’une vérification conformément aux [normes de vérification généralement reconnues]. </w:t>
      </w:r>
      <w:r w:rsidRPr="003C15EC">
        <w:rPr>
          <w:u w:val="single"/>
          <w:lang w:val="fr-CA"/>
        </w:rPr>
        <w:t>Ce n’est qu’une petite partie de l’obligation de diligence. En fait, si l’argument [</w:t>
      </w:r>
      <w:r>
        <w:rPr>
          <w:u w:val="single"/>
          <w:lang w:val="fr-CA"/>
        </w:rPr>
        <w:t>du demandeur</w:t>
      </w:r>
      <w:r w:rsidRPr="003C15EC">
        <w:rPr>
          <w:u w:val="single"/>
          <w:lang w:val="fr-CA"/>
        </w:rPr>
        <w:t>] était retenu, il empêcherait l’applicabilité du critère du « </w:t>
      </w:r>
      <w:r w:rsidRPr="003C15EC">
        <w:rPr>
          <w:rFonts w:eastAsiaTheme="minorHAnsi"/>
          <w:noProof/>
          <w:u w:val="single"/>
          <w:lang w:val="fr-CA"/>
        </w:rPr>
        <w:t>facteur déterminant</w:t>
      </w:r>
      <w:r w:rsidRPr="003C15EC">
        <w:rPr>
          <w:u w:val="single"/>
          <w:lang w:val="fr-CA"/>
        </w:rPr>
        <w:t> ». Plutôt que de se demander si les dommages auraient été subis n’eût été l’omission par négligence de détecter certaines erreurs ou la fraude, on pourrait seulement se demander si les dommages auraient été subis n’eût été la prestation d’une opinion sans réserve.</w:t>
      </w:r>
      <w:r w:rsidRPr="003C15EC">
        <w:rPr>
          <w:lang w:val="fr-CA"/>
        </w:rPr>
        <w:t xml:space="preserve"> [Je souligne; par. 285.]</w:t>
      </w:r>
    </w:p>
    <w:p w:rsidR="003A506E" w:rsidRPr="003C15EC" w:rsidRDefault="003A506E" w:rsidP="003A506E">
      <w:pPr>
        <w:pStyle w:val="ParaNoNdepar-AltN"/>
        <w:rPr>
          <w:rFonts w:cs="Times New Roman"/>
          <w:noProof/>
          <w:lang w:val="fr-CA"/>
        </w:rPr>
      </w:pPr>
      <w:r w:rsidRPr="003C15EC">
        <w:rPr>
          <w:rFonts w:cs="Times New Roman"/>
          <w:lang w:val="fr-CA"/>
        </w:rPr>
        <w:tab/>
        <w:t xml:space="preserve">En raison de l’interprétation large de l’obligation de diligence adoptée par Livent et acceptée par le juge de première instance, ce dernier a omis de tenir compte des paramètres de la confiance raisonnable et prévisible des actionnaires, comme l’exigeait l’arrêt </w:t>
      </w:r>
      <w:r w:rsidRPr="003C15EC">
        <w:rPr>
          <w:rFonts w:cs="Times New Roman"/>
          <w:i/>
          <w:lang w:val="fr-CA"/>
        </w:rPr>
        <w:t>Hercules</w:t>
      </w:r>
      <w:r w:rsidRPr="003C15EC">
        <w:rPr>
          <w:rFonts w:cs="Times New Roman"/>
          <w:lang w:val="fr-CA"/>
        </w:rPr>
        <w:t xml:space="preserve"> lorsqu’il a défini l’étendue de l’obligation de diligence en ce qui a trait aux pertes découlant du fait que la surveillance des actionnaires soit compromise. Mes collègues concluent autrement, en faisant remarquer que le juge de première instance croyait que les actionnaires pouvaient se fier aux états financiers vérifiés négligemment par Deloitte pour obtenir un indice de la santé de Livent. Un point essentiel toutefois, le juge de première instance ne s’est pas demandé si les actionnaires s’étaient effectivement fiés aux états financiers vérifiés — un élément crucial pour la cause d’action. Il ne s’est pas demandé si, dans le cas où les actionnaires s’étaient fiés à ces états financiers, cette confiance les avait empêchés de prendre des mesures pour remplacer les administrateurs ou les dirigeants ou changer les choses autrement. Il ne s’est pas demandé si cela aurait inclus la cessation des activités de Livent le 31 mars 1998 (ou du moins avant qu’elle ne cesse ses activités en </w:t>
      </w:r>
      <w:r w:rsidRPr="003C15EC">
        <w:rPr>
          <w:rFonts w:cs="Times New Roman"/>
          <w:lang w:val="fr-CA"/>
        </w:rPr>
        <w:lastRenderedPageBreak/>
        <w:t xml:space="preserve">novembre 1998). Finalement, il ne s’est pas demandé si ces mesures, si elles avaient été prises, auraient empêché les pertes que Livent a accumulées pendant la période de sept mois en question. Si le juge de première instance avait posé ces questions, il aurait été tenu d’y répondre par la négative, puisque Livent n’a présenté aucune preuve à l’appui de réponses affirmatives. </w:t>
      </w:r>
    </w:p>
    <w:p w:rsidR="003A506E" w:rsidRPr="003C15EC" w:rsidRDefault="003A506E" w:rsidP="003A506E">
      <w:pPr>
        <w:pStyle w:val="ParaNoNdepar-AltN"/>
        <w:rPr>
          <w:rFonts w:cs="Times New Roman"/>
          <w:noProof/>
          <w:lang w:val="fr-CA"/>
        </w:rPr>
      </w:pPr>
      <w:r w:rsidRPr="003C15EC">
        <w:rPr>
          <w:rFonts w:cs="Times New Roman"/>
          <w:lang w:val="fr-CA"/>
        </w:rPr>
        <w:t xml:space="preserve">Pour les besoins de la présente affaire, je ne tiens pas compte du fait que les actionnaires, contrairement à ce qui était le cas dans l’affaire </w:t>
      </w:r>
      <w:r w:rsidRPr="003C15EC">
        <w:rPr>
          <w:rFonts w:cs="Times New Roman"/>
          <w:i/>
          <w:lang w:val="fr-CA"/>
        </w:rPr>
        <w:t>Hercules</w:t>
      </w:r>
      <w:r w:rsidRPr="003C15EC">
        <w:rPr>
          <w:rFonts w:cs="Times New Roman"/>
          <w:lang w:val="fr-CA"/>
        </w:rPr>
        <w:t>, ne sont pas parties à la demande ou à l’action. Dans l’hypothèse où cela ne poserait pas problème, il est possible d’avancer l’hypothèse que les faits nécessaires auraient pu être prouvés (bien que, compte tenu de la courte période, cela aurait été peu probable). Mais le point le plus fondamental est que Livent n’a pas prouvé ces éléments, et qu’en conséquence, aucun fondement factuel n’établissait une perte attribuable au manque de surveillance des actionnaires. La chaîne hypothétique des événements requise pour établir la responsabilité pour ce motif évite complètement la complexité du processus décisionnel des actionnaires.</w:t>
      </w:r>
    </w:p>
    <w:p w:rsidR="003A506E" w:rsidRPr="003C15EC" w:rsidRDefault="003A506E" w:rsidP="003A506E">
      <w:pPr>
        <w:pStyle w:val="ParaNoNdepar-AltN"/>
        <w:rPr>
          <w:rFonts w:cs="Times New Roman"/>
          <w:noProof/>
          <w:lang w:val="fr-CA"/>
        </w:rPr>
      </w:pPr>
      <w:r w:rsidRPr="003C15EC">
        <w:rPr>
          <w:rFonts w:cs="Times New Roman"/>
          <w:bCs/>
          <w:lang w:val="fr-CA"/>
        </w:rPr>
        <w:t xml:space="preserve">La position de Livent et l’approche du juge du procès font tomber la distinction entre le processus décisionnel des actionnaires, pour lequel le vérificateur fournit des renseignements à une seule fin — demander des comptes aux dirigeants dans l’intérêt de l’entreprise — et le processus décisionnel des dirigeants, pour lequel le vérificateur fournit des renseignements à une fin différente — prendre des mesures à l’égard des erreurs et des actes fautifs. Considérer la responsabilité de cette façon crée une discordance entre l’étendue de l’obligation de diligence, le type de perte qu’elle </w:t>
      </w:r>
      <w:r w:rsidRPr="003C15EC">
        <w:rPr>
          <w:rFonts w:cs="Times New Roman"/>
          <w:bCs/>
          <w:lang w:val="fr-CA"/>
        </w:rPr>
        <w:lastRenderedPageBreak/>
        <w:t>viserait et les éléments réels qui doivent être prouvés pour que le demandeur obtienne gain de cause.</w:t>
      </w:r>
    </w:p>
    <w:p w:rsidR="003A506E" w:rsidRPr="003C15EC" w:rsidRDefault="003A506E" w:rsidP="003A506E">
      <w:pPr>
        <w:pStyle w:val="ParaNoNdepar-AltN"/>
        <w:rPr>
          <w:rFonts w:cs="Times New Roman"/>
          <w:noProof/>
          <w:lang w:val="fr-CA"/>
        </w:rPr>
      </w:pPr>
      <w:r w:rsidRPr="003C15EC">
        <w:rPr>
          <w:rFonts w:cs="Times New Roman"/>
          <w:lang w:val="fr-CA"/>
        </w:rPr>
        <w:t xml:space="preserve">La deuxième difficulté connexe à laquelle se heurte l’argument relatif à la surveillance par les actionnaires en l’espèce est que cela aurait pour conséquence une attribution inéquitable de la perte et une responsabilité indéterminée pour l’auteur des déclarations du vérificateur, ce qui annihile l’obligation de diligence : </w:t>
      </w:r>
      <w:r w:rsidRPr="003C15EC">
        <w:rPr>
          <w:rFonts w:cs="Times New Roman"/>
          <w:i/>
          <w:lang w:val="fr-CA"/>
        </w:rPr>
        <w:t>Hercules</w:t>
      </w:r>
      <w:r w:rsidRPr="003C15EC">
        <w:rPr>
          <w:rFonts w:cs="Times New Roman"/>
          <w:lang w:val="fr-CA"/>
        </w:rPr>
        <w:t>, par. 36</w:t>
      </w:r>
      <w:r w:rsidRPr="003C15EC">
        <w:rPr>
          <w:rFonts w:cs="Times New Roman"/>
          <w:lang w:val="fr-CA"/>
        </w:rPr>
        <w:noBreakHyphen/>
        <w:t xml:space="preserve">37. </w:t>
      </w:r>
    </w:p>
    <w:p w:rsidR="003A506E" w:rsidRPr="003C15EC" w:rsidRDefault="003A506E" w:rsidP="003A506E">
      <w:pPr>
        <w:pStyle w:val="ParaNoNdepar-AltN"/>
        <w:rPr>
          <w:rFonts w:cs="Times New Roman"/>
          <w:noProof/>
          <w:lang w:val="fr-CA"/>
        </w:rPr>
      </w:pPr>
      <w:r w:rsidRPr="003C15EC">
        <w:rPr>
          <w:rFonts w:cs="Times New Roman"/>
          <w:lang w:val="fr-CA"/>
        </w:rPr>
        <w:t>La position de Livent — selon laquelle Deloitte est responsable de toutes les pertes sans qu’il soit nécessaire de prouver les éléments requis pour présenter une thèse fondée sur le fait que la surveillance des actionnaires soit compromise — donnerait lieu à une attribution inéquitable de la perte, ainsi qu’à un montant indéterminé de dommages</w:t>
      </w:r>
      <w:r w:rsidRPr="003C15EC">
        <w:rPr>
          <w:rFonts w:cs="Times New Roman"/>
          <w:lang w:val="fr-CA"/>
        </w:rPr>
        <w:noBreakHyphen/>
        <w:t xml:space="preserve">intérêts. En ce qui a trait à la théorie relative à la surveillance par les actionnaires soutenue par Livent, le manquement à une obligation, principalement envers les actionnaires collectivement (qui n’ont pas présenté de demande) et seulement de façon incidente envers l’entreprise, donnerait lieu à une responsabilité pour chaque dollar que Livent a dépensé après le moment où les actionnaires ont pu se fier aux déclarations. Le vérificateur serait pratiquement garant de tout ce que ferait par la suite Livent — et non les actionnaires collectivement, envers lesquels il a l’obligation de diligence. Cela ne constituerait pas une attribution équitable de la responsabilité. Le même scénario ferait naître le spectre de la responsabilité indéterminée. Les vérificateurs seraient incapables de prévoir raisonnablement quelle serait leur responsabilité ultime lorsqu’ils fournissent des services à des clients; cela serait hors de leur contrôle. Peu importe si les décisions prises ultérieurement par le </w:t>
      </w:r>
      <w:r w:rsidRPr="003C15EC">
        <w:rPr>
          <w:rFonts w:cs="Times New Roman"/>
          <w:lang w:val="fr-CA"/>
        </w:rPr>
        <w:lastRenderedPageBreak/>
        <w:t>client sont mauvaises ou si l’enchevêtrement des opérations ayant mené à la perte est complexe — des facteurs qui ne peuvent être prévus — le vérificateur serait responsable de la totalité de la perte, pour le motif que cette perte n’aurait pas eu lieu n’eût été l’acte de négligence.</w:t>
      </w:r>
    </w:p>
    <w:p w:rsidR="003A506E" w:rsidRPr="003C15EC" w:rsidRDefault="003A506E" w:rsidP="003A506E">
      <w:pPr>
        <w:pStyle w:val="ParaNoNdepar-AltN"/>
        <w:rPr>
          <w:rFonts w:cs="Times New Roman"/>
          <w:noProof/>
          <w:lang w:val="fr-CA"/>
        </w:rPr>
      </w:pPr>
      <w:r w:rsidRPr="003C15EC">
        <w:rPr>
          <w:rFonts w:cs="Times New Roman"/>
          <w:lang w:val="fr-CA"/>
        </w:rPr>
        <w:t xml:space="preserve">Pour les motifs qui précèdent, je conclus qu’il n’a pas été démontré que les pertes en question sont visées par l’obligation de diligence de Deloitte. La première étape du critère énoncé dans </w:t>
      </w:r>
      <w:r w:rsidRPr="003C15EC">
        <w:rPr>
          <w:rFonts w:cs="Times New Roman"/>
          <w:i/>
          <w:lang w:val="fr-CA"/>
        </w:rPr>
        <w:t>Anns</w:t>
      </w:r>
      <w:r w:rsidRPr="003C15EC">
        <w:rPr>
          <w:rFonts w:cs="Times New Roman"/>
          <w:lang w:val="fr-CA"/>
        </w:rPr>
        <w:t xml:space="preserve"> n’a pas été franchie. Il n’est pas nécessaire de se demander si des considérations de politique générale non liées à la relation entre les parties annihilent la responsabilité </w:t>
      </w:r>
      <w:r w:rsidRPr="003C15EC">
        <w:rPr>
          <w:rFonts w:cs="Times New Roman"/>
          <w:i/>
          <w:lang w:val="fr-CA"/>
        </w:rPr>
        <w:t>prima facie</w:t>
      </w:r>
      <w:r w:rsidRPr="003C15EC">
        <w:rPr>
          <w:rFonts w:cs="Times New Roman"/>
          <w:lang w:val="fr-CA"/>
        </w:rPr>
        <w:t>. Cependant, s’il était nécessaire de le faire, les considérations de politique générale que sont l’attribution inéquitable de la perte et l’indétermination empêcheraient que Deloitte soit tenue responsable.</w:t>
      </w:r>
    </w:p>
    <w:p w:rsidR="003A506E" w:rsidRPr="003C15EC" w:rsidRDefault="003A506E" w:rsidP="003A506E">
      <w:pPr>
        <w:pStyle w:val="ParaNoNdepar-AltN"/>
        <w:rPr>
          <w:rFonts w:cs="Times New Roman"/>
          <w:noProof/>
          <w:lang w:val="fr-CA"/>
        </w:rPr>
      </w:pPr>
      <w:r w:rsidRPr="003C15EC">
        <w:rPr>
          <w:rFonts w:cs="Times New Roman"/>
          <w:lang w:val="fr-CA"/>
        </w:rPr>
        <w:t xml:space="preserve">J’ajoute à ce point une note théorique. Dans </w:t>
      </w:r>
      <w:r w:rsidRPr="003C15EC">
        <w:rPr>
          <w:rFonts w:cs="Times New Roman"/>
          <w:i/>
          <w:lang w:val="fr-CA"/>
        </w:rPr>
        <w:t>Hercules</w:t>
      </w:r>
      <w:r w:rsidRPr="003C15EC">
        <w:rPr>
          <w:rFonts w:cs="Times New Roman"/>
          <w:lang w:val="fr-CA"/>
        </w:rPr>
        <w:t xml:space="preserve">, le juge La Forest, écrivant au nom de la Cour, a conclu que le spectre de la perte indéterminée pourrait constituer une considération de politique générale écartant la responsabilité à l’égard d’une certaine perte à la deuxième étape du critère de l’arrêt </w:t>
      </w:r>
      <w:r w:rsidRPr="003C15EC">
        <w:rPr>
          <w:rFonts w:cs="Times New Roman"/>
          <w:i/>
          <w:lang w:val="fr-CA"/>
        </w:rPr>
        <w:t>Anns</w:t>
      </w:r>
      <w:r w:rsidRPr="003C15EC">
        <w:rPr>
          <w:rFonts w:cs="Times New Roman"/>
          <w:lang w:val="fr-CA"/>
        </w:rPr>
        <w:t xml:space="preserve">. Cependant, depuis </w:t>
      </w:r>
      <w:r w:rsidRPr="003C15EC">
        <w:rPr>
          <w:rFonts w:cs="Times New Roman"/>
          <w:i/>
          <w:lang w:val="fr-CA"/>
        </w:rPr>
        <w:t>Cooper</w:t>
      </w:r>
      <w:r w:rsidRPr="003C15EC">
        <w:rPr>
          <w:rFonts w:cs="Times New Roman"/>
          <w:lang w:val="fr-CA"/>
        </w:rPr>
        <w:t xml:space="preserve"> il est clair que les considérations de politique générale relatives à la relation entre les parties doivent être prises en compte à la première étape du critère de l’arrêt </w:t>
      </w:r>
      <w:r w:rsidRPr="003C15EC">
        <w:rPr>
          <w:rFonts w:cs="Times New Roman"/>
          <w:i/>
          <w:lang w:val="fr-CA"/>
        </w:rPr>
        <w:t>Anns</w:t>
      </w:r>
      <w:r w:rsidRPr="003C15EC">
        <w:rPr>
          <w:rFonts w:cs="Times New Roman"/>
          <w:lang w:val="fr-CA"/>
        </w:rPr>
        <w:t xml:space="preserve">. Il ne serait donc pas nécessaire d’avoir recours à la deuxième étape pour examiner les répercussions de la responsabilité indéterminée : voir J. Blom, « Do We Really Need the </w:t>
      </w:r>
      <w:r w:rsidRPr="003C15EC">
        <w:rPr>
          <w:rFonts w:cs="Times New Roman"/>
          <w:i/>
          <w:lang w:val="fr-CA"/>
        </w:rPr>
        <w:t>Anns</w:t>
      </w:r>
      <w:r w:rsidRPr="003C15EC">
        <w:rPr>
          <w:rFonts w:cs="Times New Roman"/>
          <w:lang w:val="fr-CA"/>
        </w:rPr>
        <w:t xml:space="preserve"> Test for Duty of Care in Negligence? » (2016), 53 </w:t>
      </w:r>
      <w:r w:rsidRPr="003C15EC">
        <w:rPr>
          <w:rFonts w:cs="Times New Roman"/>
          <w:i/>
          <w:lang w:val="fr-CA"/>
        </w:rPr>
        <w:t>Alta. L. Rev.</w:t>
      </w:r>
      <w:r w:rsidRPr="003C15EC">
        <w:rPr>
          <w:rFonts w:cs="Times New Roman"/>
          <w:lang w:val="fr-CA"/>
        </w:rPr>
        <w:t xml:space="preserve"> 895, p. 906 et 908.</w:t>
      </w:r>
    </w:p>
    <w:p w:rsidR="003A506E" w:rsidRPr="003C15EC" w:rsidRDefault="003A506E" w:rsidP="003A506E">
      <w:pPr>
        <w:pStyle w:val="ParaNoNdepar-AltN"/>
        <w:rPr>
          <w:rFonts w:cs="Times New Roman"/>
          <w:noProof/>
          <w:lang w:val="fr-CA"/>
        </w:rPr>
      </w:pPr>
      <w:r w:rsidRPr="003C15EC">
        <w:rPr>
          <w:rFonts w:cs="Times New Roman"/>
          <w:lang w:val="fr-CA"/>
        </w:rPr>
        <w:lastRenderedPageBreak/>
        <w:t>La jurisprudence aura à préciser les limites de la responsabilité d’un vérificateur du fait que la surveillance des actionnaires est compromise. En l’absence d’une conclusion selon laquelle le vérificateur qui fournit des renseignements sur lesquels se fonderont les actionnaires pour exercer leur pouvoir de surveillance assume la responsabilité à l’égard de toutes les conséquences éventuelles de la poursuite des activités, les faits constatés par le juge de première instance ne nous permettent pas de le faire dans la présente affaire.</w:t>
      </w:r>
    </w:p>
    <w:p w:rsidR="003A506E" w:rsidRPr="003C15EC" w:rsidRDefault="003A506E" w:rsidP="003A506E">
      <w:pPr>
        <w:pStyle w:val="ParaNoNdepar-AltN"/>
        <w:rPr>
          <w:rFonts w:cs="Times New Roman"/>
          <w:noProof/>
          <w:lang w:val="fr-CA"/>
        </w:rPr>
      </w:pPr>
      <w:r w:rsidRPr="003C15EC">
        <w:rPr>
          <w:rFonts w:cs="Times New Roman"/>
          <w:lang w:val="fr-CA"/>
        </w:rPr>
        <w:t>Le défaut de Livent de prouver que toute perte subie peut être attribuée au fait que les actionnaires se sont fiés au rapport de vérification de fin d’exercice pour 1997 entaché de négligence aux fins de la surveillance de l’entreprise constitue un fondement suffisant pour accueillir le pourvoi dans sa totalité. Mais la thèse de la surveillance par les actionnaires que Livent veut maintenant invoquer comporte un autre aspect qui pose problème. Il s’agit d’une question de principe.</w:t>
      </w:r>
    </w:p>
    <w:p w:rsidR="003A506E" w:rsidRPr="003C15EC" w:rsidRDefault="003A506E" w:rsidP="003A506E">
      <w:pPr>
        <w:pStyle w:val="ParaNoNdepar-AltN"/>
        <w:rPr>
          <w:rFonts w:cs="Times New Roman"/>
          <w:noProof/>
          <w:lang w:val="fr-CA"/>
        </w:rPr>
      </w:pPr>
      <w:r w:rsidRPr="003C15EC">
        <w:rPr>
          <w:rFonts w:cs="Times New Roman"/>
          <w:lang w:val="fr-CA"/>
        </w:rPr>
        <w:t>Comme je l’ai déjà expliqué, un vérificateur qui fournit un rapport de fin d’exercice en vue d’aider les actionnaires d’une société à surveiller la gestion n’assume pas, en l’absence de preuve, la responsabilité de ce que les actionnaires décident de faire avec ces renseignements. Le rapport annuel du vérificateur vise à éclairer la prise de décisions par les actionnaires, et non à dicter leurs décisions. Le vérificateur ne se porte pas garant de tous les risques associés à la prise de décisions d’affaires par les actionnaires; il est seulement responsable du fait d’avoir exposé les actionnaires au risque que les renseignements qu’il a fournis soient inexacts. Même si la totalité de la perte aurait été évitée si le vérificateur avait respecté la norme de diligence, la société ne peut se voir accorder des dommages</w:t>
      </w:r>
      <w:r w:rsidRPr="003C15EC">
        <w:rPr>
          <w:rFonts w:cs="Times New Roman"/>
          <w:lang w:val="fr-CA"/>
        </w:rPr>
        <w:noBreakHyphen/>
        <w:t xml:space="preserve">intérêts que pour la partie de la perte pouvant </w:t>
      </w:r>
      <w:r w:rsidRPr="003C15EC">
        <w:rPr>
          <w:rFonts w:cs="Times New Roman"/>
          <w:lang w:val="fr-CA"/>
        </w:rPr>
        <w:lastRenderedPageBreak/>
        <w:t>être attribuée au manquement par le vérificateur à son obligation de diligence, qui est limitée par la fin ou les fins pour lesquelles il a exprimé son opinion. Le vérificateur ne peut être tenu responsable du montant indéterminé de la perte susceptible de résulter des actes (ou de l’inaction) des actionnaires, puisque la détermination de ces actes échappe à la responsabilité du vérificateur, et elle échappe donc à l’étendue de son obligation de diligence. De la même façon, une perte qui ne peut être attribuée au manquement du vérificateur est trop éloignée pour être indemnisable.</w:t>
      </w:r>
    </w:p>
    <w:p w:rsidR="003A506E" w:rsidRPr="003C15EC" w:rsidRDefault="003A506E" w:rsidP="003A506E">
      <w:pPr>
        <w:pStyle w:val="ParaNoNdepar-AltN"/>
        <w:rPr>
          <w:rFonts w:cs="Times New Roman"/>
          <w:noProof/>
          <w:lang w:val="fr-CA"/>
        </w:rPr>
      </w:pPr>
      <w:r w:rsidRPr="003C15EC">
        <w:rPr>
          <w:rFonts w:cs="Times New Roman"/>
          <w:lang w:val="fr-CA"/>
        </w:rPr>
        <w:t>Pour ce motif, la notion de privation d’une occasion n’est pas utile. Dans toute affaire portant sur la fourniture délictuelle de renseignements, le demandeur peut faire valoir que, s’il avait seulement su la vérité, il aurait eu la possibilité de faire des choix différents de ceux qu’il a ultimement faits. À moins que la personne qui a fourni les renseignements ait assumé la responsabilité non seulement à l’égard des renseignements, mais aussi à l’égard de la décision que ceux</w:t>
      </w:r>
      <w:r w:rsidRPr="003C15EC">
        <w:rPr>
          <w:rFonts w:cs="Times New Roman"/>
          <w:lang w:val="fr-CA"/>
        </w:rPr>
        <w:noBreakHyphen/>
        <w:t>ci devaient éclairer, il importe peu de savoir ce que le demandeur aurait fait différemment si des renseignements différents lui avaient été fournis. Il faut plutôt déterminer dans quelle mesure la perte que cela a effectivement entraînée peut être attribuée à l’inexactitude (c.</w:t>
      </w:r>
      <w:r w:rsidRPr="003C15EC">
        <w:rPr>
          <w:rFonts w:cs="Times New Roman"/>
          <w:lang w:val="fr-CA"/>
        </w:rPr>
        <w:noBreakHyphen/>
        <w:t>à</w:t>
      </w:r>
      <w:r w:rsidRPr="003C15EC">
        <w:rPr>
          <w:rFonts w:cs="Times New Roman"/>
          <w:lang w:val="fr-CA"/>
        </w:rPr>
        <w:noBreakHyphen/>
        <w:t>d. le caractère délictuel) des renseignements fournis.</w:t>
      </w:r>
    </w:p>
    <w:p w:rsidR="003A506E" w:rsidRPr="003C15EC" w:rsidRDefault="003A506E" w:rsidP="003A506E">
      <w:pPr>
        <w:pStyle w:val="ParaNoNdepar-AltN"/>
        <w:rPr>
          <w:rFonts w:cs="Times New Roman"/>
          <w:noProof/>
          <w:lang w:val="fr-CA"/>
        </w:rPr>
      </w:pPr>
      <w:r w:rsidRPr="003C15EC">
        <w:rPr>
          <w:rFonts w:cs="Times New Roman"/>
          <w:lang w:val="fr-CA"/>
        </w:rPr>
        <w:t xml:space="preserve">Il ressort des conclusions du juge de première instance que Deloitte n’a jamais assumé la responsabilité des décisions — que ce soit celles des dirigeants de Livent ou de ses actionnaires collectivement, — pouvant être considérées comme ayant causé la perte subie par Livent. Ce que Livent a prouvé, c’est qu’elle s’est fiée aux opinions sans réserve de Deloitte pour obtenir des fonds auprès de tiers, et qu’elle a réussi à le faire. Deloitte n’est pas responsable envers Livent de la perte découlant de </w:t>
      </w:r>
      <w:r w:rsidRPr="003C15EC">
        <w:rPr>
          <w:rFonts w:cs="Times New Roman"/>
          <w:lang w:val="fr-CA"/>
        </w:rPr>
        <w:lastRenderedPageBreak/>
        <w:t>l’utilisation de ces fonds par Livent, même si certaines des opinions de Deloitte ont été préparées dans le but d’</w:t>
      </w:r>
      <w:r w:rsidRPr="003C15EC">
        <w:rPr>
          <w:rFonts w:cs="Times New Roman"/>
          <w:i/>
          <w:lang w:val="fr-CA"/>
        </w:rPr>
        <w:t>attirer</w:t>
      </w:r>
      <w:r w:rsidRPr="003C15EC">
        <w:rPr>
          <w:rFonts w:cs="Times New Roman"/>
          <w:lang w:val="fr-CA"/>
        </w:rPr>
        <w:t xml:space="preserve"> ces investissements, étant donné que Livent n’a pas prouvé que Deloitte a assumé une responsabilité quant à la façon dont Livent </w:t>
      </w:r>
      <w:r w:rsidRPr="003C15EC">
        <w:rPr>
          <w:rFonts w:cs="Times New Roman"/>
          <w:i/>
          <w:lang w:val="fr-CA"/>
        </w:rPr>
        <w:t>a dépensé</w:t>
      </w:r>
      <w:r w:rsidRPr="003C15EC">
        <w:rPr>
          <w:rFonts w:cs="Times New Roman"/>
          <w:lang w:val="fr-CA"/>
        </w:rPr>
        <w:t xml:space="preserve"> ces fonds.</w:t>
      </w:r>
    </w:p>
    <w:p w:rsidR="003A506E" w:rsidRPr="003C15EC" w:rsidRDefault="003A506E" w:rsidP="003A506E">
      <w:pPr>
        <w:pStyle w:val="ParaNoNdepar-AltN"/>
        <w:rPr>
          <w:rFonts w:cs="Times New Roman"/>
          <w:noProof/>
          <w:lang w:val="fr-CA"/>
        </w:rPr>
      </w:pPr>
      <w:r w:rsidRPr="003C15EC">
        <w:rPr>
          <w:rFonts w:cs="Times New Roman"/>
          <w:noProof/>
          <w:lang w:val="fr-CA"/>
        </w:rPr>
        <w:t xml:space="preserve">L’analyse qui précède est fondée sur l’étendue de l’obligation de diligence de Deloitte. Le résultat serait le même si l’analyse avait été faite selon l’approche du caractère éloigné pour la question de la responsabilité à l’égard de la perte </w:t>
      </w:r>
      <w:r w:rsidRPr="003C15EC">
        <w:rPr>
          <w:rFonts w:cs="Times New Roman"/>
          <w:lang w:val="fr-CA"/>
        </w:rPr>
        <w:t>économique</w:t>
      </w:r>
      <w:r w:rsidRPr="003C15EC">
        <w:rPr>
          <w:rFonts w:cs="Times New Roman"/>
          <w:noProof/>
          <w:lang w:val="fr-CA"/>
        </w:rPr>
        <w:t xml:space="preserve"> subie à la suite d’une déclaration inexacte faite par négligence. La question relative à cette approche est celle de savoir si la perte alléguée est trop éloignée de l’acte fautif pour que cet acte soit la « cause juridique » de la perte. La question fondamentale qui se pose est celle de savoir si la perte est raisonnablement prévisible, compte tenu de divers facteurs, y compris la relation entre les parties et les attentes qui en découlent, les circonstances de l’affaire et d’autres facteurs portant sur le lien entre l’acte fautif et la perte alléguée, y compris les influences externes ou intermédiaires. En fin de compte, il faut établir l’existence d’un lien étroit et immédiat entre l’acte fautif et la perte alléguée, compte tenu de tous ces facteurs et de la fin pour laquelle les renseignements ont été fournis.</w:t>
      </w:r>
    </w:p>
    <w:p w:rsidR="003A506E" w:rsidRPr="003C15EC" w:rsidRDefault="003A506E" w:rsidP="003A506E">
      <w:pPr>
        <w:pStyle w:val="ParaNoNdepar-AltN"/>
        <w:rPr>
          <w:rFonts w:cs="Times New Roman"/>
          <w:noProof/>
          <w:lang w:val="fr-CA"/>
        </w:rPr>
      </w:pPr>
      <w:r w:rsidRPr="003C15EC">
        <w:rPr>
          <w:rFonts w:cs="Times New Roman"/>
          <w:lang w:val="fr-CA"/>
        </w:rPr>
        <w:t xml:space="preserve">Il s’ensuit que Livent ne peut recouvrer de Deloitte les pertes alléguées. L’action en responsabilité délictuelle doit être rejetée. L’action en responsabilité contractuelle de Livent aboutit au même résultat; dans ce cas également, les pertes seraient trop éloignées : voir </w:t>
      </w:r>
      <w:r w:rsidRPr="003C15EC">
        <w:rPr>
          <w:rFonts w:cs="Times New Roman"/>
          <w:i/>
          <w:lang w:val="fr-CA"/>
        </w:rPr>
        <w:t>B.D.C. Ltd. c. Hofstrand Farms Ltd.</w:t>
      </w:r>
      <w:r w:rsidRPr="003C15EC">
        <w:rPr>
          <w:rFonts w:cs="Times New Roman"/>
          <w:lang w:val="fr-CA"/>
        </w:rPr>
        <w:t>, [1986] 1 R.C.S. 228, p. 243</w:t>
      </w:r>
      <w:r w:rsidRPr="003C15EC">
        <w:rPr>
          <w:rFonts w:cs="Times New Roman"/>
          <w:lang w:val="fr-CA"/>
        </w:rPr>
        <w:noBreakHyphen/>
        <w:t xml:space="preserve">244, citant </w:t>
      </w:r>
      <w:r w:rsidR="00D21AD8">
        <w:rPr>
          <w:rFonts w:cs="Times New Roman"/>
          <w:i/>
          <w:lang w:val="fr-CA"/>
        </w:rPr>
        <w:t>Asamera Oil Corp.</w:t>
      </w:r>
      <w:r w:rsidRPr="003C15EC">
        <w:rPr>
          <w:rFonts w:cs="Times New Roman"/>
          <w:i/>
          <w:lang w:val="fr-CA"/>
        </w:rPr>
        <w:t xml:space="preserve"> c. Sea Oil &amp; General Corp.</w:t>
      </w:r>
      <w:r w:rsidRPr="003C15EC">
        <w:rPr>
          <w:rFonts w:cs="Times New Roman"/>
          <w:lang w:val="fr-CA"/>
        </w:rPr>
        <w:t xml:space="preserve">, [1979] 1 R.C.S. 633; S. M. Waddams, </w:t>
      </w:r>
      <w:r w:rsidRPr="003C15EC">
        <w:rPr>
          <w:rFonts w:cs="Times New Roman"/>
          <w:i/>
          <w:lang w:val="fr-CA"/>
        </w:rPr>
        <w:t>The Law of Damages</w:t>
      </w:r>
      <w:r w:rsidRPr="003C15EC">
        <w:rPr>
          <w:rFonts w:cs="Times New Roman"/>
          <w:lang w:val="fr-CA"/>
        </w:rPr>
        <w:t xml:space="preserve"> (5</w:t>
      </w:r>
      <w:r w:rsidRPr="003C15EC">
        <w:rPr>
          <w:rFonts w:cs="Times New Roman"/>
          <w:vertAlign w:val="superscript"/>
          <w:lang w:val="fr-CA"/>
        </w:rPr>
        <w:t>e</w:t>
      </w:r>
      <w:r w:rsidR="00D21AD8">
        <w:rPr>
          <w:rFonts w:cs="Times New Roman"/>
          <w:lang w:val="fr-CA"/>
        </w:rPr>
        <w:t> éd.</w:t>
      </w:r>
      <w:r w:rsidRPr="003C15EC">
        <w:rPr>
          <w:rFonts w:cs="Times New Roman"/>
          <w:lang w:val="fr-CA"/>
        </w:rPr>
        <w:t xml:space="preserve"> 2012),</w:t>
      </w:r>
      <w:r w:rsidRPr="003C15EC">
        <w:rPr>
          <w:rFonts w:cs="Times New Roman"/>
          <w:i/>
          <w:lang w:val="fr-CA"/>
        </w:rPr>
        <w:t xml:space="preserve"> </w:t>
      </w:r>
      <w:r w:rsidRPr="003C15EC">
        <w:rPr>
          <w:rFonts w:cs="Times New Roman"/>
          <w:lang w:val="fr-CA"/>
        </w:rPr>
        <w:t xml:space="preserve">§14.720. Vu la décision du juge </w:t>
      </w:r>
      <w:r w:rsidRPr="003C15EC">
        <w:rPr>
          <w:rFonts w:cs="Times New Roman"/>
          <w:lang w:val="fr-CA"/>
        </w:rPr>
        <w:lastRenderedPageBreak/>
        <w:t>de première instance, au par. 243, suivant laquelle les éléments de l’action en responsabilité contractuelle étaient identiques à ceux de l’action en responsabilité délictuelle, il s’ensuit que le juge a commis une erreur en concluant à l’existence d’une violation du contrat.</w:t>
      </w:r>
    </w:p>
    <w:p w:rsidR="003A506E" w:rsidRPr="003C15EC" w:rsidRDefault="003A506E" w:rsidP="003A506E">
      <w:pPr>
        <w:pStyle w:val="ParaNoNdepar-AltN"/>
        <w:rPr>
          <w:rFonts w:cs="Times New Roman"/>
          <w:noProof/>
          <w:lang w:val="fr-CA"/>
        </w:rPr>
      </w:pPr>
      <w:r w:rsidRPr="003C15EC">
        <w:rPr>
          <w:rFonts w:cs="Times New Roman"/>
          <w:lang w:val="fr-CA"/>
        </w:rPr>
        <w:t>Même si, à plusieurs égards, je suis d’accord avec la façon dont les juges Gascon et Brown formulent le cadre général qui régit cette question, je diverge d’opinion quant à deux aspects importants. D’abord, j’estime que, pour que Livent puisse démontrer le bien</w:t>
      </w:r>
      <w:r w:rsidRPr="003C15EC">
        <w:rPr>
          <w:rFonts w:cs="Times New Roman"/>
          <w:lang w:val="fr-CA"/>
        </w:rPr>
        <w:noBreakHyphen/>
        <w:t>fondé de sa demande, elle doit prouver les éléments requis pour établir la responsabilité de Deloitte fondée sur le fait que la surveillance des actionnaires est compromise. Selon mes collègues, si Deloitte avait présenté des rapports de vérification justes, les actionnaires et les dirigeants de Livent auraient pu prendre des décisions qui auraient limité les pertes de l’entreprise. C’est peut</w:t>
      </w:r>
      <w:r w:rsidRPr="003C15EC">
        <w:rPr>
          <w:rFonts w:cs="Times New Roman"/>
          <w:lang w:val="fr-CA"/>
        </w:rPr>
        <w:noBreakHyphen/>
        <w:t>être le cas, mais il ne suffit pas que l’on se fie à des affirmations non prouvées pour définir l’étendue de l’obligation de diligence et démontrer par la suite la causalité. L’approche de mes collègues laisse croire qu’à la suite d’un rapport entaché de négligence, un vérificateur deviendra généralement garant de toutes les pertes subies par un client. Et cela malgré les décisions subséquentes — conséquentes ou fantaisistes — prises par les actionnaires du client. Je conclus par contre que le caractère conséquent ne peut être présumé</w:t>
      </w:r>
      <w:r w:rsidR="00C24796">
        <w:rPr>
          <w:rFonts w:cs="Times New Roman"/>
          <w:lang w:val="fr-CA"/>
        </w:rPr>
        <w:t>,</w:t>
      </w:r>
      <w:r w:rsidRPr="003C15EC">
        <w:rPr>
          <w:rFonts w:cs="Times New Roman"/>
          <w:lang w:val="fr-CA"/>
        </w:rPr>
        <w:t xml:space="preserve"> mais doit être prouvé.</w:t>
      </w:r>
    </w:p>
    <w:p w:rsidR="003A506E" w:rsidRPr="003C15EC" w:rsidRDefault="003A506E" w:rsidP="003A506E">
      <w:pPr>
        <w:pStyle w:val="ParaNoNdepar-AltN"/>
        <w:rPr>
          <w:rFonts w:cs="Times New Roman"/>
          <w:noProof/>
          <w:lang w:val="fr-CA"/>
        </w:rPr>
      </w:pPr>
      <w:r w:rsidRPr="003C15EC">
        <w:rPr>
          <w:rFonts w:cs="Times New Roman"/>
          <w:lang w:val="fr-CA"/>
        </w:rPr>
        <w:t xml:space="preserve">Ensuite, je ne partage pas l’avis de mes collègues concernant la responsabilité indéterminée. Ils soutiennent que la responsabilité n’est pas indéterminée lorsqu’un tribunal de révision peut après coup fixer pour la perte alléguée du demandeur une valeur ou un laps de temps. Cependant, le principe de la common </w:t>
      </w:r>
      <w:r w:rsidRPr="003C15EC">
        <w:rPr>
          <w:rFonts w:cs="Times New Roman"/>
          <w:lang w:val="fr-CA"/>
        </w:rPr>
        <w:lastRenderedPageBreak/>
        <w:t xml:space="preserve">law à l’encontre de l’indétermination vise à faire en sorte que les vérificateurs et les autres conseillers puissent déterminer l’étendue de leur responsabilité au moment où ils acceptent un engagement et rendent leurs services. La question est de savoir si, avant de poser un acte, un vérificateur ou un autre conseiller est en mesure d’évaluer l’ampleur de sa responsabilité éventuelle quant aux types de pertes pour lesquelles il se rend responsable. Bien que Deloitte ait pu être en mesure d’établir la valeur nette totale de Livent, cette dernière n’a pas prouvé que Deloitte avait une responsabilité à l’égard de la multitude de façons dont Livent pouvait avoir diminué sa valeur après avoir reçu les états financiers vérifiés. Voilà ce qui rend indéterminée, et par conséquent, soustraite à l’obligation de diligence la responsabilité que retiennent mes collègues.  </w:t>
      </w:r>
    </w:p>
    <w:p w:rsidR="003A506E" w:rsidRPr="003C15EC" w:rsidRDefault="003A506E" w:rsidP="003A506E">
      <w:pPr>
        <w:pStyle w:val="ParaNoNdepar-AltN"/>
        <w:tabs>
          <w:tab w:val="clear" w:pos="1152"/>
        </w:tabs>
        <w:rPr>
          <w:rFonts w:cs="Times New Roman"/>
          <w:noProof/>
          <w:lang w:val="fr-CA"/>
        </w:rPr>
      </w:pPr>
      <w:r w:rsidRPr="003C15EC">
        <w:rPr>
          <w:rFonts w:cs="Times New Roman"/>
          <w:lang w:val="fr-CA"/>
        </w:rPr>
        <w:t xml:space="preserve">Puisque je conclus que Deloitte n’est pas responsable des pertes alléguées, il n’est pas nécessaire de procéder </w:t>
      </w:r>
      <w:r w:rsidRPr="003C15EC">
        <w:rPr>
          <w:rFonts w:cs="Times New Roman"/>
          <w:noProof/>
          <w:lang w:val="fr-CA"/>
        </w:rPr>
        <w:t xml:space="preserve">à </w:t>
      </w:r>
      <w:r w:rsidRPr="003C15EC">
        <w:rPr>
          <w:rFonts w:cs="Times New Roman"/>
          <w:lang w:val="fr-CA"/>
        </w:rPr>
        <w:t>la répartition des dommages</w:t>
      </w:r>
      <w:r w:rsidRPr="003C15EC">
        <w:rPr>
          <w:rFonts w:cs="Times New Roman"/>
          <w:lang w:val="fr-CA"/>
        </w:rPr>
        <w:noBreakHyphen/>
        <w:t xml:space="preserve">intérêts aux termes de l’art. 3 de la </w:t>
      </w:r>
      <w:r w:rsidRPr="003C15EC">
        <w:rPr>
          <w:rFonts w:cs="Times New Roman"/>
          <w:i/>
          <w:lang w:val="fr-CA"/>
        </w:rPr>
        <w:t>Loi sur le partage de la responsabilité</w:t>
      </w:r>
      <w:r w:rsidRPr="003C15EC">
        <w:rPr>
          <w:rFonts w:cs="Times New Roman"/>
          <w:lang w:val="fr-CA"/>
        </w:rPr>
        <w:t xml:space="preserve">, et il n’est pas non plus nécessaire d’examiner si Deloitte peut invoquer l’illégalité comme moyen de défense contre Livent. </w:t>
      </w:r>
    </w:p>
    <w:p w:rsidR="003A506E" w:rsidRPr="003C15EC" w:rsidRDefault="003A506E" w:rsidP="003A506E">
      <w:pPr>
        <w:pStyle w:val="Title1LevelTitre1Niveau-AltL"/>
        <w:numPr>
          <w:ilvl w:val="0"/>
          <w:numId w:val="20"/>
        </w:numPr>
        <w:tabs>
          <w:tab w:val="clear" w:pos="7326"/>
          <w:tab w:val="num" w:pos="576"/>
        </w:tabs>
        <w:ind w:left="576"/>
        <w:jc w:val="left"/>
        <w:rPr>
          <w:rFonts w:cs="Times New Roman"/>
          <w:lang w:val="fr-CA"/>
        </w:rPr>
      </w:pPr>
      <w:r w:rsidRPr="003C15EC">
        <w:rPr>
          <w:rFonts w:cs="Times New Roman"/>
          <w:lang w:val="fr-CA"/>
        </w:rPr>
        <w:t>Dispositif</w:t>
      </w:r>
    </w:p>
    <w:p w:rsidR="003A506E" w:rsidRPr="003C15EC" w:rsidRDefault="003A506E" w:rsidP="003A506E">
      <w:pPr>
        <w:pStyle w:val="ParaNoNdepar-AltN"/>
        <w:rPr>
          <w:rFonts w:cs="Times New Roman"/>
          <w:lang w:val="fr-CA"/>
        </w:rPr>
      </w:pPr>
      <w:r w:rsidRPr="003C15EC">
        <w:rPr>
          <w:rFonts w:cs="Times New Roman"/>
          <w:lang w:val="fr-CA"/>
        </w:rPr>
        <w:t>Je suis d’avis d’accueillir le pourvoi, avec dépens en faveur de Deloitte.</w:t>
      </w:r>
      <w:r w:rsidRPr="003C15EC">
        <w:rPr>
          <w:rFonts w:cs="Times New Roman"/>
          <w:noProof/>
          <w:lang w:val="fr-CA"/>
        </w:rPr>
        <w:t xml:space="preserve"> </w:t>
      </w:r>
    </w:p>
    <w:p w:rsidR="004D7D95" w:rsidRPr="00605A9C" w:rsidRDefault="002876B5" w:rsidP="002A5C50">
      <w:pPr>
        <w:pStyle w:val="SCCNormalDoubleSpacing"/>
        <w:spacing w:before="480" w:after="480"/>
        <w:rPr>
          <w:lang w:val="fr-CA"/>
        </w:rPr>
      </w:pPr>
      <w:r w:rsidRPr="00605A9C">
        <w:rPr>
          <w:lang w:val="fr-CA"/>
        </w:rPr>
        <w:tab/>
      </w:r>
      <w:r w:rsidRPr="00605A9C">
        <w:rPr>
          <w:i/>
          <w:lang w:val="fr-CA"/>
        </w:rPr>
        <w:t xml:space="preserve">Pourvoi </w:t>
      </w:r>
      <w:r w:rsidR="00BD3C76" w:rsidRPr="00605A9C">
        <w:rPr>
          <w:i/>
          <w:lang w:val="fr-CA"/>
        </w:rPr>
        <w:t>accueilli en partie</w:t>
      </w:r>
      <w:r w:rsidR="004845E4" w:rsidRPr="00605A9C">
        <w:rPr>
          <w:i/>
          <w:lang w:val="fr-CA"/>
        </w:rPr>
        <w:t xml:space="preserve"> avec dépens</w:t>
      </w:r>
      <w:r w:rsidR="002C5FD7">
        <w:rPr>
          <w:i/>
          <w:lang w:val="fr-CA"/>
        </w:rPr>
        <w:t xml:space="preserve"> en faveur de Livent Inc. dans toutes les cours</w:t>
      </w:r>
      <w:r w:rsidR="00EA0874" w:rsidRPr="00605A9C">
        <w:rPr>
          <w:i/>
          <w:lang w:val="fr-CA"/>
        </w:rPr>
        <w:t>,</w:t>
      </w:r>
      <w:r w:rsidR="00EA0874" w:rsidRPr="00605A9C">
        <w:rPr>
          <w:lang w:val="fr-CA"/>
        </w:rPr>
        <w:t xml:space="preserve"> </w:t>
      </w:r>
      <w:r w:rsidR="00BD3C76" w:rsidRPr="00605A9C">
        <w:rPr>
          <w:i/>
          <w:lang w:val="fr-CA"/>
        </w:rPr>
        <w:t>la juge en chef</w:t>
      </w:r>
      <w:r w:rsidR="00EA0874" w:rsidRPr="00605A9C">
        <w:rPr>
          <w:lang w:val="fr-CA"/>
        </w:rPr>
        <w:t xml:space="preserve"> </w:t>
      </w:r>
      <w:r w:rsidR="00BD3C76" w:rsidRPr="00605A9C">
        <w:rPr>
          <w:smallCaps/>
          <w:lang w:val="fr-CA"/>
        </w:rPr>
        <w:t>McLachlin</w:t>
      </w:r>
      <w:r w:rsidR="00EA0874" w:rsidRPr="00605A9C">
        <w:rPr>
          <w:lang w:val="fr-CA"/>
        </w:rPr>
        <w:t xml:space="preserve"> </w:t>
      </w:r>
      <w:r w:rsidR="00EA0874" w:rsidRPr="00605A9C">
        <w:rPr>
          <w:i/>
          <w:lang w:val="fr-CA"/>
        </w:rPr>
        <w:t>et</w:t>
      </w:r>
      <w:r w:rsidR="00EA0874" w:rsidRPr="00605A9C">
        <w:rPr>
          <w:lang w:val="fr-CA"/>
        </w:rPr>
        <w:t xml:space="preserve"> </w:t>
      </w:r>
      <w:r w:rsidR="006536E7" w:rsidRPr="00605A9C">
        <w:rPr>
          <w:i/>
          <w:lang w:val="fr-CA"/>
        </w:rPr>
        <w:t xml:space="preserve">les juges </w:t>
      </w:r>
      <w:r w:rsidR="006536E7" w:rsidRPr="00605A9C">
        <w:rPr>
          <w:smallCaps/>
          <w:lang w:val="fr-CA"/>
        </w:rPr>
        <w:t>Wagner</w:t>
      </w:r>
      <w:r w:rsidR="006536E7" w:rsidRPr="00605A9C">
        <w:rPr>
          <w:i/>
          <w:lang w:val="fr-CA"/>
        </w:rPr>
        <w:t xml:space="preserve"> et</w:t>
      </w:r>
      <w:r w:rsidR="00BD3C76" w:rsidRPr="00605A9C">
        <w:rPr>
          <w:i/>
          <w:lang w:val="fr-CA"/>
        </w:rPr>
        <w:t xml:space="preserve"> </w:t>
      </w:r>
      <w:r w:rsidR="00BD3C76" w:rsidRPr="00605A9C">
        <w:rPr>
          <w:smallCaps/>
          <w:lang w:val="fr-CA"/>
        </w:rPr>
        <w:t>Côté</w:t>
      </w:r>
      <w:r w:rsidR="00EA0874" w:rsidRPr="00605A9C">
        <w:rPr>
          <w:lang w:val="fr-CA"/>
        </w:rPr>
        <w:t xml:space="preserve"> </w:t>
      </w:r>
      <w:r w:rsidR="00EA0874" w:rsidRPr="00605A9C">
        <w:rPr>
          <w:i/>
          <w:lang w:val="fr-CA"/>
        </w:rPr>
        <w:t>sont dissident</w:t>
      </w:r>
      <w:r w:rsidR="00BD3C76" w:rsidRPr="00605A9C">
        <w:rPr>
          <w:i/>
          <w:lang w:val="fr-CA"/>
        </w:rPr>
        <w:t>s</w:t>
      </w:r>
      <w:r w:rsidR="00E66762" w:rsidRPr="00605A9C">
        <w:rPr>
          <w:i/>
          <w:lang w:val="fr-CA"/>
        </w:rPr>
        <w:t xml:space="preserve"> en partie</w:t>
      </w:r>
      <w:r w:rsidRPr="00605A9C">
        <w:rPr>
          <w:i/>
          <w:lang w:val="fr-CA"/>
        </w:rPr>
        <w:t>.</w:t>
      </w:r>
    </w:p>
    <w:p w:rsidR="002876B5" w:rsidRPr="00605A9C" w:rsidRDefault="00777439" w:rsidP="002A5C50">
      <w:pPr>
        <w:pStyle w:val="SCCLawFirm"/>
        <w:spacing w:before="480" w:after="480"/>
        <w:rPr>
          <w:lang w:val="fr-CA"/>
        </w:rPr>
      </w:pPr>
      <w:r w:rsidRPr="00605A9C">
        <w:rPr>
          <w:lang w:val="fr-CA"/>
        </w:rPr>
        <w:lastRenderedPageBreak/>
        <w:tab/>
      </w:r>
      <w:r w:rsidR="002876B5" w:rsidRPr="00605A9C">
        <w:rPr>
          <w:lang w:val="fr-CA"/>
        </w:rPr>
        <w:t>Procureurs de l</w:t>
      </w:r>
      <w:r w:rsidR="00EA59D7" w:rsidRPr="00605A9C">
        <w:rPr>
          <w:lang w:val="fr-CA"/>
        </w:rPr>
        <w:t>’</w:t>
      </w:r>
      <w:r w:rsidR="002876B5" w:rsidRPr="00605A9C">
        <w:rPr>
          <w:lang w:val="fr-CA"/>
        </w:rPr>
        <w:t>appelante</w:t>
      </w:r>
      <w:r w:rsidR="006945A3">
        <w:rPr>
          <w:lang w:val="fr-CA"/>
        </w:rPr>
        <w:t> :</w:t>
      </w:r>
      <w:r w:rsidR="002A5C50" w:rsidRPr="00605A9C">
        <w:rPr>
          <w:lang w:val="fr-CA"/>
        </w:rPr>
        <w:t> </w:t>
      </w:r>
      <w:r w:rsidR="002876B5" w:rsidRPr="00605A9C">
        <w:rPr>
          <w:lang w:val="fr-CA"/>
        </w:rPr>
        <w:t>Lenczner Slaght Royce Smith Griffin, Toronto; Dentons Canada, Toronto.</w:t>
      </w:r>
    </w:p>
    <w:p w:rsidR="002876B5" w:rsidRPr="00605A9C" w:rsidRDefault="002876B5" w:rsidP="002A5C50">
      <w:pPr>
        <w:pStyle w:val="SCCLawFirm"/>
        <w:spacing w:before="480" w:after="480"/>
        <w:rPr>
          <w:lang w:val="fr-CA"/>
        </w:rPr>
      </w:pPr>
      <w:r w:rsidRPr="00605A9C">
        <w:rPr>
          <w:lang w:val="fr-CA"/>
        </w:rPr>
        <w:tab/>
        <w:t>Procureurs de l</w:t>
      </w:r>
      <w:r w:rsidR="00EA59D7" w:rsidRPr="00605A9C">
        <w:rPr>
          <w:lang w:val="fr-CA"/>
        </w:rPr>
        <w:t>’</w:t>
      </w:r>
      <w:r w:rsidRPr="00605A9C">
        <w:rPr>
          <w:lang w:val="fr-CA"/>
        </w:rPr>
        <w:t>intimée</w:t>
      </w:r>
      <w:r w:rsidR="006945A3">
        <w:rPr>
          <w:lang w:val="fr-CA"/>
        </w:rPr>
        <w:t> :</w:t>
      </w:r>
      <w:r w:rsidR="002A5C50" w:rsidRPr="00605A9C">
        <w:rPr>
          <w:lang w:val="fr-CA"/>
        </w:rPr>
        <w:t> </w:t>
      </w:r>
      <w:r w:rsidRPr="00605A9C">
        <w:rPr>
          <w:lang w:val="fr-CA"/>
        </w:rPr>
        <w:t>Stikeman Elliott, Toronto et Ottawa.</w:t>
      </w:r>
    </w:p>
    <w:p w:rsidR="002876B5" w:rsidRPr="00605A9C" w:rsidRDefault="002876B5" w:rsidP="002A5C50">
      <w:pPr>
        <w:pStyle w:val="SCCLawFirm"/>
        <w:spacing w:before="480" w:after="480"/>
        <w:rPr>
          <w:lang w:val="fr-CA"/>
        </w:rPr>
      </w:pPr>
      <w:r w:rsidRPr="00605A9C">
        <w:rPr>
          <w:lang w:val="fr-CA"/>
        </w:rPr>
        <w:tab/>
        <w:t>Procureurs de l</w:t>
      </w:r>
      <w:r w:rsidR="00EA59D7" w:rsidRPr="00605A9C">
        <w:rPr>
          <w:lang w:val="fr-CA"/>
        </w:rPr>
        <w:t>’</w:t>
      </w:r>
      <w:r w:rsidRPr="00605A9C">
        <w:rPr>
          <w:lang w:val="fr-CA"/>
        </w:rPr>
        <w:t>intervenante la Coalition canadienne pour une bonne gouvernance</w:t>
      </w:r>
      <w:r w:rsidR="006945A3">
        <w:rPr>
          <w:lang w:val="fr-CA"/>
        </w:rPr>
        <w:t> :</w:t>
      </w:r>
      <w:r w:rsidR="002A5C50" w:rsidRPr="00605A9C">
        <w:rPr>
          <w:lang w:val="fr-CA"/>
        </w:rPr>
        <w:t> </w:t>
      </w:r>
      <w:r w:rsidRPr="00605A9C">
        <w:rPr>
          <w:lang w:val="fr-CA"/>
        </w:rPr>
        <w:t>McMillan, Toronto.</w:t>
      </w:r>
    </w:p>
    <w:p w:rsidR="00E709E1" w:rsidRPr="00605A9C" w:rsidRDefault="002876B5" w:rsidP="002876B5">
      <w:pPr>
        <w:pStyle w:val="SCCLawFirm"/>
        <w:rPr>
          <w:lang w:val="fr-CA"/>
        </w:rPr>
      </w:pPr>
      <w:r w:rsidRPr="00605A9C">
        <w:rPr>
          <w:lang w:val="fr-CA"/>
        </w:rPr>
        <w:tab/>
        <w:t>Procureurs de l</w:t>
      </w:r>
      <w:r w:rsidR="00EA59D7" w:rsidRPr="00605A9C">
        <w:rPr>
          <w:lang w:val="fr-CA"/>
        </w:rPr>
        <w:t>’</w:t>
      </w:r>
      <w:r w:rsidRPr="00605A9C">
        <w:rPr>
          <w:lang w:val="fr-CA"/>
        </w:rPr>
        <w:t>intervenante Comptables professionnels agréés du Canada</w:t>
      </w:r>
      <w:r w:rsidR="006945A3">
        <w:rPr>
          <w:lang w:val="fr-CA"/>
        </w:rPr>
        <w:t> :</w:t>
      </w:r>
      <w:r w:rsidR="002A5C50" w:rsidRPr="00605A9C">
        <w:rPr>
          <w:lang w:val="fr-CA"/>
        </w:rPr>
        <w:t> </w:t>
      </w:r>
      <w:r w:rsidRPr="00605A9C">
        <w:rPr>
          <w:lang w:val="fr-CA"/>
        </w:rPr>
        <w:t>Borden Ladner Gervais, Toronto et Ottawa.</w:t>
      </w:r>
    </w:p>
    <w:sectPr w:rsidR="00E709E1" w:rsidRPr="00605A9C"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4AA" w:rsidRDefault="000E54AA">
      <w:r>
        <w:separator/>
      </w:r>
    </w:p>
  </w:endnote>
  <w:endnote w:type="continuationSeparator" w:id="0">
    <w:p w:rsidR="000E54AA" w:rsidRDefault="000E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4AA" w:rsidRDefault="000E54AA">
      <w:r>
        <w:separator/>
      </w:r>
    </w:p>
  </w:footnote>
  <w:footnote w:type="continuationSeparator" w:id="0">
    <w:p w:rsidR="000E54AA" w:rsidRDefault="000E5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194BD9"/>
    <w:multiLevelType w:val="multilevel"/>
    <w:tmpl w:val="F55E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643F9"/>
    <w:multiLevelType w:val="hybridMultilevel"/>
    <w:tmpl w:val="17347D14"/>
    <w:lvl w:ilvl="0" w:tplc="2EB41934">
      <w:start w:val="1"/>
      <w:numFmt w:val="lowerRoman"/>
      <w:lvlText w:val="%1."/>
      <w:lvlJc w:val="right"/>
      <w:pPr>
        <w:ind w:left="1888" w:hanging="360"/>
      </w:pPr>
      <w:rPr>
        <w:rFonts w:hint="default"/>
      </w:r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4" w15:restartNumberingAfterBreak="0">
    <w:nsid w:val="4603130A"/>
    <w:multiLevelType w:val="multilevel"/>
    <w:tmpl w:val="37F050B6"/>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43"/>
        </w:tabs>
        <w:ind w:left="1143"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229C0C90"/>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1B5837"/>
    <w:multiLevelType w:val="hybridMultilevel"/>
    <w:tmpl w:val="EF1C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42401C"/>
    <w:multiLevelType w:val="hybridMultilevel"/>
    <w:tmpl w:val="00DAE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53A06"/>
    <w:multiLevelType w:val="multilevel"/>
    <w:tmpl w:val="82C6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695CFF"/>
    <w:multiLevelType w:val="hybridMultilevel"/>
    <w:tmpl w:val="CD6E8668"/>
    <w:lvl w:ilvl="0" w:tplc="4D644532">
      <w:start w:val="1"/>
      <w:numFmt w:val="lowerRoman"/>
      <w:lvlText w:val="%1."/>
      <w:lvlJc w:val="right"/>
      <w:pPr>
        <w:ind w:left="1886" w:hanging="360"/>
      </w:pPr>
      <w:rPr>
        <w:rFonts w:hint="default"/>
        <w:color w:val="auto"/>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6"/>
  </w:num>
  <w:num w:numId="6">
    <w:abstractNumId w:val="7"/>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0"/>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2"/>
  </w:num>
  <w:num w:numId="16">
    <w:abstractNumId w:val="4"/>
    <w:lvlOverride w:ilvl="0">
      <w:startOverride w:val="1"/>
    </w:lvlOverride>
    <w:lvlOverride w:ilvl="1">
      <w:startOverride w:val="1"/>
    </w:lvlOverride>
  </w:num>
  <w:num w:numId="17">
    <w:abstractNumId w:val="7"/>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 w:ilvl="0">
        <w:start w:val="1"/>
        <w:numFmt w:val="upperRoman"/>
        <w:pStyle w:val="Title1LevelTitre1Niveau-AltL"/>
        <w:lvlText w:val="%1."/>
        <w:lvlJc w:val="left"/>
        <w:pPr>
          <w:tabs>
            <w:tab w:val="num" w:pos="7326"/>
          </w:tabs>
          <w:ind w:left="732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8C4"/>
    <w:rsid w:val="00023FC7"/>
    <w:rsid w:val="00024902"/>
    <w:rsid w:val="00025198"/>
    <w:rsid w:val="0003116A"/>
    <w:rsid w:val="00034AEF"/>
    <w:rsid w:val="00045287"/>
    <w:rsid w:val="000578A3"/>
    <w:rsid w:val="000648CC"/>
    <w:rsid w:val="000759E0"/>
    <w:rsid w:val="000973B6"/>
    <w:rsid w:val="000A65D0"/>
    <w:rsid w:val="000C59B8"/>
    <w:rsid w:val="000C6AF0"/>
    <w:rsid w:val="000D0A77"/>
    <w:rsid w:val="000E0D2E"/>
    <w:rsid w:val="000E2BFC"/>
    <w:rsid w:val="000E2E36"/>
    <w:rsid w:val="000E54AA"/>
    <w:rsid w:val="000F31C1"/>
    <w:rsid w:val="000F7993"/>
    <w:rsid w:val="00102B58"/>
    <w:rsid w:val="00104F33"/>
    <w:rsid w:val="0011129A"/>
    <w:rsid w:val="00111DE2"/>
    <w:rsid w:val="00116B38"/>
    <w:rsid w:val="00123238"/>
    <w:rsid w:val="00127E47"/>
    <w:rsid w:val="00132E46"/>
    <w:rsid w:val="00135406"/>
    <w:rsid w:val="00135972"/>
    <w:rsid w:val="001426A9"/>
    <w:rsid w:val="00154D7C"/>
    <w:rsid w:val="001570B0"/>
    <w:rsid w:val="0015752C"/>
    <w:rsid w:val="00157737"/>
    <w:rsid w:val="00157AF4"/>
    <w:rsid w:val="00165277"/>
    <w:rsid w:val="00170592"/>
    <w:rsid w:val="001720F7"/>
    <w:rsid w:val="00182CA2"/>
    <w:rsid w:val="00190E4D"/>
    <w:rsid w:val="00194881"/>
    <w:rsid w:val="00195D83"/>
    <w:rsid w:val="00196B17"/>
    <w:rsid w:val="001971CE"/>
    <w:rsid w:val="001A00C1"/>
    <w:rsid w:val="001B1384"/>
    <w:rsid w:val="001B1812"/>
    <w:rsid w:val="001B33E0"/>
    <w:rsid w:val="001B4573"/>
    <w:rsid w:val="001C26FE"/>
    <w:rsid w:val="001C67A5"/>
    <w:rsid w:val="001C779F"/>
    <w:rsid w:val="001C7B29"/>
    <w:rsid w:val="001D289A"/>
    <w:rsid w:val="001D2AC1"/>
    <w:rsid w:val="001D3C4E"/>
    <w:rsid w:val="001D4E88"/>
    <w:rsid w:val="001D5B76"/>
    <w:rsid w:val="001E154E"/>
    <w:rsid w:val="001E75A5"/>
    <w:rsid w:val="001F5FCF"/>
    <w:rsid w:val="00203103"/>
    <w:rsid w:val="00204991"/>
    <w:rsid w:val="00220FC2"/>
    <w:rsid w:val="002222F4"/>
    <w:rsid w:val="00224FC0"/>
    <w:rsid w:val="00225EA4"/>
    <w:rsid w:val="00226EAF"/>
    <w:rsid w:val="00231F3A"/>
    <w:rsid w:val="00235AB3"/>
    <w:rsid w:val="002406EE"/>
    <w:rsid w:val="0024227D"/>
    <w:rsid w:val="00243EC8"/>
    <w:rsid w:val="00245A70"/>
    <w:rsid w:val="00252881"/>
    <w:rsid w:val="00270D93"/>
    <w:rsid w:val="002745CC"/>
    <w:rsid w:val="00274674"/>
    <w:rsid w:val="002758C2"/>
    <w:rsid w:val="002876B5"/>
    <w:rsid w:val="002941FF"/>
    <w:rsid w:val="002A3915"/>
    <w:rsid w:val="002A5C50"/>
    <w:rsid w:val="002B2EDA"/>
    <w:rsid w:val="002B31A7"/>
    <w:rsid w:val="002B6FBE"/>
    <w:rsid w:val="002B7924"/>
    <w:rsid w:val="002C10A6"/>
    <w:rsid w:val="002C1FFA"/>
    <w:rsid w:val="002C2E37"/>
    <w:rsid w:val="002C5FD7"/>
    <w:rsid w:val="002D28C3"/>
    <w:rsid w:val="002D32A0"/>
    <w:rsid w:val="002D39A4"/>
    <w:rsid w:val="002D6858"/>
    <w:rsid w:val="002E321F"/>
    <w:rsid w:val="002E39FF"/>
    <w:rsid w:val="002E645A"/>
    <w:rsid w:val="002E6705"/>
    <w:rsid w:val="002F7F5C"/>
    <w:rsid w:val="003029DD"/>
    <w:rsid w:val="0030329A"/>
    <w:rsid w:val="003058C2"/>
    <w:rsid w:val="0031086F"/>
    <w:rsid w:val="0031414C"/>
    <w:rsid w:val="00314438"/>
    <w:rsid w:val="00314E01"/>
    <w:rsid w:val="00317550"/>
    <w:rsid w:val="0032089D"/>
    <w:rsid w:val="003310DE"/>
    <w:rsid w:val="003323B0"/>
    <w:rsid w:val="00340A49"/>
    <w:rsid w:val="00346E60"/>
    <w:rsid w:val="00347601"/>
    <w:rsid w:val="0035169A"/>
    <w:rsid w:val="0035259D"/>
    <w:rsid w:val="003564AD"/>
    <w:rsid w:val="0036156E"/>
    <w:rsid w:val="00364826"/>
    <w:rsid w:val="00364B18"/>
    <w:rsid w:val="00381965"/>
    <w:rsid w:val="00387C47"/>
    <w:rsid w:val="00391CB2"/>
    <w:rsid w:val="00393048"/>
    <w:rsid w:val="003A0BC1"/>
    <w:rsid w:val="003A125D"/>
    <w:rsid w:val="003A133B"/>
    <w:rsid w:val="003A4C70"/>
    <w:rsid w:val="003A5009"/>
    <w:rsid w:val="003A506E"/>
    <w:rsid w:val="003A7782"/>
    <w:rsid w:val="003A785A"/>
    <w:rsid w:val="003B215F"/>
    <w:rsid w:val="003B6A9C"/>
    <w:rsid w:val="003C1489"/>
    <w:rsid w:val="003C1A5C"/>
    <w:rsid w:val="003C48AC"/>
    <w:rsid w:val="003C799C"/>
    <w:rsid w:val="003D0399"/>
    <w:rsid w:val="003D14DB"/>
    <w:rsid w:val="003D164C"/>
    <w:rsid w:val="003D23A2"/>
    <w:rsid w:val="003D784A"/>
    <w:rsid w:val="003E1C71"/>
    <w:rsid w:val="003E3F2D"/>
    <w:rsid w:val="003E40C4"/>
    <w:rsid w:val="003E5EF0"/>
    <w:rsid w:val="003F327B"/>
    <w:rsid w:val="004018D6"/>
    <w:rsid w:val="00402053"/>
    <w:rsid w:val="00406166"/>
    <w:rsid w:val="0040704B"/>
    <w:rsid w:val="00410A55"/>
    <w:rsid w:val="00411300"/>
    <w:rsid w:val="004120E8"/>
    <w:rsid w:val="00413F17"/>
    <w:rsid w:val="00415417"/>
    <w:rsid w:val="00426659"/>
    <w:rsid w:val="004368C9"/>
    <w:rsid w:val="00450352"/>
    <w:rsid w:val="004513BB"/>
    <w:rsid w:val="004544EE"/>
    <w:rsid w:val="00454BDB"/>
    <w:rsid w:val="00464D01"/>
    <w:rsid w:val="00465132"/>
    <w:rsid w:val="0046532E"/>
    <w:rsid w:val="00471846"/>
    <w:rsid w:val="00480C90"/>
    <w:rsid w:val="00480CC0"/>
    <w:rsid w:val="0048396F"/>
    <w:rsid w:val="004845E4"/>
    <w:rsid w:val="00485197"/>
    <w:rsid w:val="0049342C"/>
    <w:rsid w:val="00493C18"/>
    <w:rsid w:val="004A600C"/>
    <w:rsid w:val="004A6118"/>
    <w:rsid w:val="004B1C69"/>
    <w:rsid w:val="004C478D"/>
    <w:rsid w:val="004D7D95"/>
    <w:rsid w:val="004D7F7C"/>
    <w:rsid w:val="004E2C26"/>
    <w:rsid w:val="004E4F65"/>
    <w:rsid w:val="004F129D"/>
    <w:rsid w:val="004F1A43"/>
    <w:rsid w:val="004F3EEE"/>
    <w:rsid w:val="00506842"/>
    <w:rsid w:val="005125A8"/>
    <w:rsid w:val="00517549"/>
    <w:rsid w:val="00520ABC"/>
    <w:rsid w:val="00521AE8"/>
    <w:rsid w:val="00523010"/>
    <w:rsid w:val="00527180"/>
    <w:rsid w:val="0054081B"/>
    <w:rsid w:val="00542B12"/>
    <w:rsid w:val="00545EAF"/>
    <w:rsid w:val="00555291"/>
    <w:rsid w:val="00555836"/>
    <w:rsid w:val="00566AD1"/>
    <w:rsid w:val="005673C9"/>
    <w:rsid w:val="00581F68"/>
    <w:rsid w:val="00583B09"/>
    <w:rsid w:val="00583EDE"/>
    <w:rsid w:val="0058463B"/>
    <w:rsid w:val="00591E83"/>
    <w:rsid w:val="00593B38"/>
    <w:rsid w:val="005A6079"/>
    <w:rsid w:val="005D3BB5"/>
    <w:rsid w:val="005D7B33"/>
    <w:rsid w:val="005E4698"/>
    <w:rsid w:val="00603924"/>
    <w:rsid w:val="00605A9C"/>
    <w:rsid w:val="00610539"/>
    <w:rsid w:val="00613969"/>
    <w:rsid w:val="00625C35"/>
    <w:rsid w:val="006317F8"/>
    <w:rsid w:val="00631EF1"/>
    <w:rsid w:val="00647E49"/>
    <w:rsid w:val="0065217C"/>
    <w:rsid w:val="006536E7"/>
    <w:rsid w:val="00656313"/>
    <w:rsid w:val="006565F4"/>
    <w:rsid w:val="00684EEA"/>
    <w:rsid w:val="00690D04"/>
    <w:rsid w:val="00691616"/>
    <w:rsid w:val="006945A3"/>
    <w:rsid w:val="0069689B"/>
    <w:rsid w:val="006B00C7"/>
    <w:rsid w:val="006B5ADF"/>
    <w:rsid w:val="006B5FF5"/>
    <w:rsid w:val="006D3E32"/>
    <w:rsid w:val="006E00F5"/>
    <w:rsid w:val="006F30AF"/>
    <w:rsid w:val="006F31B5"/>
    <w:rsid w:val="00700550"/>
    <w:rsid w:val="00701759"/>
    <w:rsid w:val="00705C15"/>
    <w:rsid w:val="007110F6"/>
    <w:rsid w:val="00720548"/>
    <w:rsid w:val="007208D1"/>
    <w:rsid w:val="0072332E"/>
    <w:rsid w:val="00726229"/>
    <w:rsid w:val="00731E8B"/>
    <w:rsid w:val="00732113"/>
    <w:rsid w:val="00736BD7"/>
    <w:rsid w:val="0074065D"/>
    <w:rsid w:val="007411C1"/>
    <w:rsid w:val="00744518"/>
    <w:rsid w:val="00747288"/>
    <w:rsid w:val="00747DD3"/>
    <w:rsid w:val="00750890"/>
    <w:rsid w:val="007549C8"/>
    <w:rsid w:val="00763E19"/>
    <w:rsid w:val="00766D14"/>
    <w:rsid w:val="00767A0F"/>
    <w:rsid w:val="00771F45"/>
    <w:rsid w:val="00777439"/>
    <w:rsid w:val="0078214E"/>
    <w:rsid w:val="00791272"/>
    <w:rsid w:val="00796675"/>
    <w:rsid w:val="007A05F6"/>
    <w:rsid w:val="007B09DD"/>
    <w:rsid w:val="007B6F4A"/>
    <w:rsid w:val="007C37A6"/>
    <w:rsid w:val="007E1C47"/>
    <w:rsid w:val="007E28E1"/>
    <w:rsid w:val="007E337A"/>
    <w:rsid w:val="007E5C70"/>
    <w:rsid w:val="007F2FF5"/>
    <w:rsid w:val="007F3F08"/>
    <w:rsid w:val="007F506C"/>
    <w:rsid w:val="00804CC6"/>
    <w:rsid w:val="00816542"/>
    <w:rsid w:val="00817190"/>
    <w:rsid w:val="00825EA5"/>
    <w:rsid w:val="008260E2"/>
    <w:rsid w:val="008322BD"/>
    <w:rsid w:val="00834F73"/>
    <w:rsid w:val="00835F56"/>
    <w:rsid w:val="00847698"/>
    <w:rsid w:val="008525EE"/>
    <w:rsid w:val="0085269A"/>
    <w:rsid w:val="00863B22"/>
    <w:rsid w:val="00864C8A"/>
    <w:rsid w:val="00864CF8"/>
    <w:rsid w:val="00873944"/>
    <w:rsid w:val="00874914"/>
    <w:rsid w:val="00886CDC"/>
    <w:rsid w:val="0089058C"/>
    <w:rsid w:val="00891422"/>
    <w:rsid w:val="00892E1A"/>
    <w:rsid w:val="00893745"/>
    <w:rsid w:val="00894572"/>
    <w:rsid w:val="00895E44"/>
    <w:rsid w:val="008A5FDC"/>
    <w:rsid w:val="008A67C2"/>
    <w:rsid w:val="008B660A"/>
    <w:rsid w:val="008C01DA"/>
    <w:rsid w:val="008C4778"/>
    <w:rsid w:val="008C59EF"/>
    <w:rsid w:val="008C5C21"/>
    <w:rsid w:val="008D0FEC"/>
    <w:rsid w:val="008D17B4"/>
    <w:rsid w:val="008D3D15"/>
    <w:rsid w:val="008E1C7F"/>
    <w:rsid w:val="008E300A"/>
    <w:rsid w:val="008E7059"/>
    <w:rsid w:val="008F2674"/>
    <w:rsid w:val="008F5F2E"/>
    <w:rsid w:val="008F6067"/>
    <w:rsid w:val="008F78E9"/>
    <w:rsid w:val="00901994"/>
    <w:rsid w:val="00910C14"/>
    <w:rsid w:val="00912B85"/>
    <w:rsid w:val="00914C32"/>
    <w:rsid w:val="0091542C"/>
    <w:rsid w:val="009179F9"/>
    <w:rsid w:val="00917C7A"/>
    <w:rsid w:val="0092196C"/>
    <w:rsid w:val="00925FF0"/>
    <w:rsid w:val="009331A5"/>
    <w:rsid w:val="00933E5E"/>
    <w:rsid w:val="00935218"/>
    <w:rsid w:val="00937C52"/>
    <w:rsid w:val="009403F3"/>
    <w:rsid w:val="009555B7"/>
    <w:rsid w:val="009560F0"/>
    <w:rsid w:val="009567AA"/>
    <w:rsid w:val="009602C9"/>
    <w:rsid w:val="00967374"/>
    <w:rsid w:val="009757C4"/>
    <w:rsid w:val="00975856"/>
    <w:rsid w:val="009A343A"/>
    <w:rsid w:val="009A396F"/>
    <w:rsid w:val="009B2F23"/>
    <w:rsid w:val="009B57B3"/>
    <w:rsid w:val="009C4720"/>
    <w:rsid w:val="009C54C1"/>
    <w:rsid w:val="009D2920"/>
    <w:rsid w:val="009D45C1"/>
    <w:rsid w:val="009D5AEB"/>
    <w:rsid w:val="009D770E"/>
    <w:rsid w:val="009F0E33"/>
    <w:rsid w:val="009F1041"/>
    <w:rsid w:val="00A0341D"/>
    <w:rsid w:val="00A06351"/>
    <w:rsid w:val="00A149DF"/>
    <w:rsid w:val="00A1755C"/>
    <w:rsid w:val="00A214DE"/>
    <w:rsid w:val="00A21B90"/>
    <w:rsid w:val="00A22AAC"/>
    <w:rsid w:val="00A325F8"/>
    <w:rsid w:val="00A41805"/>
    <w:rsid w:val="00A51882"/>
    <w:rsid w:val="00A52AFB"/>
    <w:rsid w:val="00A53E7C"/>
    <w:rsid w:val="00A548CB"/>
    <w:rsid w:val="00A5521C"/>
    <w:rsid w:val="00A643E7"/>
    <w:rsid w:val="00A653DA"/>
    <w:rsid w:val="00A73C38"/>
    <w:rsid w:val="00A754A5"/>
    <w:rsid w:val="00A76987"/>
    <w:rsid w:val="00A8583F"/>
    <w:rsid w:val="00A87AB0"/>
    <w:rsid w:val="00A921A7"/>
    <w:rsid w:val="00AA2A14"/>
    <w:rsid w:val="00AA5146"/>
    <w:rsid w:val="00AB365B"/>
    <w:rsid w:val="00AB43A5"/>
    <w:rsid w:val="00AB5B2B"/>
    <w:rsid w:val="00AB670D"/>
    <w:rsid w:val="00AD0532"/>
    <w:rsid w:val="00AD5BBF"/>
    <w:rsid w:val="00AF03C5"/>
    <w:rsid w:val="00AF5371"/>
    <w:rsid w:val="00AF731E"/>
    <w:rsid w:val="00B000D8"/>
    <w:rsid w:val="00B00F75"/>
    <w:rsid w:val="00B03412"/>
    <w:rsid w:val="00B10AD1"/>
    <w:rsid w:val="00B12FE1"/>
    <w:rsid w:val="00B145B6"/>
    <w:rsid w:val="00B24822"/>
    <w:rsid w:val="00B279EB"/>
    <w:rsid w:val="00B36708"/>
    <w:rsid w:val="00B36B39"/>
    <w:rsid w:val="00B45CC1"/>
    <w:rsid w:val="00B50C81"/>
    <w:rsid w:val="00B557F8"/>
    <w:rsid w:val="00B65217"/>
    <w:rsid w:val="00B815FC"/>
    <w:rsid w:val="00B93FBC"/>
    <w:rsid w:val="00B97B7E"/>
    <w:rsid w:val="00BA465C"/>
    <w:rsid w:val="00BA7DA0"/>
    <w:rsid w:val="00BB2EE4"/>
    <w:rsid w:val="00BB4C92"/>
    <w:rsid w:val="00BC2108"/>
    <w:rsid w:val="00BC7525"/>
    <w:rsid w:val="00BD0E9E"/>
    <w:rsid w:val="00BD1BEC"/>
    <w:rsid w:val="00BD32FF"/>
    <w:rsid w:val="00BD3C76"/>
    <w:rsid w:val="00BE20DE"/>
    <w:rsid w:val="00BF0ED3"/>
    <w:rsid w:val="00BF6FE9"/>
    <w:rsid w:val="00C02092"/>
    <w:rsid w:val="00C02260"/>
    <w:rsid w:val="00C028A9"/>
    <w:rsid w:val="00C22EF5"/>
    <w:rsid w:val="00C2431C"/>
    <w:rsid w:val="00C24796"/>
    <w:rsid w:val="00C24D91"/>
    <w:rsid w:val="00C26DB2"/>
    <w:rsid w:val="00C44622"/>
    <w:rsid w:val="00C4726F"/>
    <w:rsid w:val="00C53B07"/>
    <w:rsid w:val="00C53F14"/>
    <w:rsid w:val="00C600CF"/>
    <w:rsid w:val="00C6084F"/>
    <w:rsid w:val="00C62A66"/>
    <w:rsid w:val="00C66359"/>
    <w:rsid w:val="00C66E26"/>
    <w:rsid w:val="00C71458"/>
    <w:rsid w:val="00C7318F"/>
    <w:rsid w:val="00C77613"/>
    <w:rsid w:val="00C828E7"/>
    <w:rsid w:val="00C86719"/>
    <w:rsid w:val="00C921DD"/>
    <w:rsid w:val="00C93A52"/>
    <w:rsid w:val="00C94067"/>
    <w:rsid w:val="00CA6391"/>
    <w:rsid w:val="00CB31B3"/>
    <w:rsid w:val="00CB341D"/>
    <w:rsid w:val="00CB4E77"/>
    <w:rsid w:val="00CB5489"/>
    <w:rsid w:val="00CC7659"/>
    <w:rsid w:val="00CE036E"/>
    <w:rsid w:val="00CE27CB"/>
    <w:rsid w:val="00CE3171"/>
    <w:rsid w:val="00CF0429"/>
    <w:rsid w:val="00CF0EE1"/>
    <w:rsid w:val="00CF1601"/>
    <w:rsid w:val="00CF5B7D"/>
    <w:rsid w:val="00D000E7"/>
    <w:rsid w:val="00D0172F"/>
    <w:rsid w:val="00D01E33"/>
    <w:rsid w:val="00D05B98"/>
    <w:rsid w:val="00D068A7"/>
    <w:rsid w:val="00D07148"/>
    <w:rsid w:val="00D17476"/>
    <w:rsid w:val="00D17B0E"/>
    <w:rsid w:val="00D21AD8"/>
    <w:rsid w:val="00D264FA"/>
    <w:rsid w:val="00D31437"/>
    <w:rsid w:val="00D32086"/>
    <w:rsid w:val="00D37A3F"/>
    <w:rsid w:val="00D4431D"/>
    <w:rsid w:val="00D4667A"/>
    <w:rsid w:val="00D475BC"/>
    <w:rsid w:val="00D503AD"/>
    <w:rsid w:val="00D5275F"/>
    <w:rsid w:val="00D5367C"/>
    <w:rsid w:val="00D63A1C"/>
    <w:rsid w:val="00D7293B"/>
    <w:rsid w:val="00D7516F"/>
    <w:rsid w:val="00D95F8E"/>
    <w:rsid w:val="00DA0590"/>
    <w:rsid w:val="00DA0CF3"/>
    <w:rsid w:val="00DA6119"/>
    <w:rsid w:val="00DB01C6"/>
    <w:rsid w:val="00DB30E3"/>
    <w:rsid w:val="00DC1739"/>
    <w:rsid w:val="00DC1788"/>
    <w:rsid w:val="00DD2B35"/>
    <w:rsid w:val="00DE2D1D"/>
    <w:rsid w:val="00DE319C"/>
    <w:rsid w:val="00DF0CA8"/>
    <w:rsid w:val="00DF1156"/>
    <w:rsid w:val="00DF2B48"/>
    <w:rsid w:val="00DF49A7"/>
    <w:rsid w:val="00E07EE2"/>
    <w:rsid w:val="00E07FD1"/>
    <w:rsid w:val="00E16487"/>
    <w:rsid w:val="00E212F5"/>
    <w:rsid w:val="00E24573"/>
    <w:rsid w:val="00E25490"/>
    <w:rsid w:val="00E25E1E"/>
    <w:rsid w:val="00E27EE7"/>
    <w:rsid w:val="00E35404"/>
    <w:rsid w:val="00E40D5B"/>
    <w:rsid w:val="00E45109"/>
    <w:rsid w:val="00E47B7A"/>
    <w:rsid w:val="00E51A31"/>
    <w:rsid w:val="00E5433D"/>
    <w:rsid w:val="00E56A44"/>
    <w:rsid w:val="00E60269"/>
    <w:rsid w:val="00E66762"/>
    <w:rsid w:val="00E709E1"/>
    <w:rsid w:val="00E7790D"/>
    <w:rsid w:val="00E97830"/>
    <w:rsid w:val="00EA0874"/>
    <w:rsid w:val="00EA0EEA"/>
    <w:rsid w:val="00EA30DB"/>
    <w:rsid w:val="00EA3F46"/>
    <w:rsid w:val="00EA59C3"/>
    <w:rsid w:val="00EA59D7"/>
    <w:rsid w:val="00EC3082"/>
    <w:rsid w:val="00EC64DD"/>
    <w:rsid w:val="00ED07F3"/>
    <w:rsid w:val="00ED0B45"/>
    <w:rsid w:val="00ED1BB1"/>
    <w:rsid w:val="00EE0830"/>
    <w:rsid w:val="00EE5168"/>
    <w:rsid w:val="00EE6CB8"/>
    <w:rsid w:val="00EF0683"/>
    <w:rsid w:val="00EF3676"/>
    <w:rsid w:val="00F0070C"/>
    <w:rsid w:val="00F00EB7"/>
    <w:rsid w:val="00F12182"/>
    <w:rsid w:val="00F24D27"/>
    <w:rsid w:val="00F25DA4"/>
    <w:rsid w:val="00F36AB6"/>
    <w:rsid w:val="00F37A09"/>
    <w:rsid w:val="00F409CE"/>
    <w:rsid w:val="00F42082"/>
    <w:rsid w:val="00F4379D"/>
    <w:rsid w:val="00F43A08"/>
    <w:rsid w:val="00F44277"/>
    <w:rsid w:val="00F50D2D"/>
    <w:rsid w:val="00F56B39"/>
    <w:rsid w:val="00F56C8B"/>
    <w:rsid w:val="00F62639"/>
    <w:rsid w:val="00F66810"/>
    <w:rsid w:val="00F703F4"/>
    <w:rsid w:val="00F83E96"/>
    <w:rsid w:val="00F84DF4"/>
    <w:rsid w:val="00F85C97"/>
    <w:rsid w:val="00FB37D2"/>
    <w:rsid w:val="00FB3955"/>
    <w:rsid w:val="00FB6E2C"/>
    <w:rsid w:val="00FC2163"/>
    <w:rsid w:val="00FC485B"/>
    <w:rsid w:val="00FC4EFB"/>
    <w:rsid w:val="00FD068D"/>
    <w:rsid w:val="00FD11C0"/>
    <w:rsid w:val="00FD4F28"/>
    <w:rsid w:val="00FE11B7"/>
    <w:rsid w:val="00FE19A7"/>
    <w:rsid w:val="00FE4093"/>
    <w:rsid w:val="00FE43F8"/>
    <w:rsid w:val="00FE6784"/>
    <w:rsid w:val="00FE7A8B"/>
    <w:rsid w:val="00FF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OtherPartyRoleSeparator">
    <w:name w:val="SCC.Lsoc.OtherPartyRoleSeparator"/>
    <w:basedOn w:val="Normal"/>
    <w:next w:val="Normal"/>
    <w:link w:val="SCCLsocOtherPartyRoleSeparatorChar"/>
    <w:rsid w:val="003A506E"/>
    <w:pPr>
      <w:spacing w:after="480"/>
    </w:pPr>
    <w:rPr>
      <w:rFonts w:eastAsiaTheme="minorHAnsi" w:cstheme="minorBidi"/>
      <w:szCs w:val="22"/>
      <w:lang w:eastAsia="en-US"/>
    </w:rPr>
  </w:style>
  <w:style w:type="paragraph" w:customStyle="1" w:styleId="SCCCoram">
    <w:name w:val="SCC.Coram"/>
    <w:basedOn w:val="Normal"/>
    <w:next w:val="Normal"/>
    <w:link w:val="SCCCoramChar"/>
    <w:rsid w:val="003A506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A506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A506E"/>
    <w:rPr>
      <w:rFonts w:eastAsiaTheme="minorHAnsi" w:cstheme="minorBidi"/>
      <w:sz w:val="24"/>
      <w:szCs w:val="22"/>
      <w:lang w:eastAsia="en-US"/>
    </w:rPr>
  </w:style>
  <w:style w:type="character" w:customStyle="1" w:styleId="SCCBanSummaryChar">
    <w:name w:val="SCC.BanSummary Char"/>
    <w:basedOn w:val="DefaultParagraphFont"/>
    <w:link w:val="SCCBanSummary"/>
    <w:rsid w:val="003A506E"/>
    <w:rPr>
      <w:b/>
      <w:sz w:val="24"/>
    </w:rPr>
  </w:style>
  <w:style w:type="table" w:styleId="TableGrid">
    <w:name w:val="Table Grid"/>
    <w:basedOn w:val="TableNormal"/>
    <w:uiPriority w:val="59"/>
    <w:rsid w:val="003A506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A506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A506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A506E"/>
    <w:pPr>
      <w:tabs>
        <w:tab w:val="left" w:pos="1166"/>
      </w:tabs>
      <w:spacing w:after="480" w:line="480" w:lineRule="auto"/>
    </w:pPr>
    <w:rPr>
      <w:smallCaps/>
      <w:sz w:val="24"/>
      <w:szCs w:val="24"/>
    </w:rPr>
  </w:style>
  <w:style w:type="paragraph" w:customStyle="1" w:styleId="ParaNoNdepar-AltN">
    <w:name w:val="Para. No. / Nº de par. - Alt N"/>
    <w:qFormat/>
    <w:rsid w:val="003A506E"/>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3A506E"/>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A506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A506E"/>
    <w:pPr>
      <w:numPr>
        <w:ilvl w:val="2"/>
      </w:numPr>
      <w:outlineLvl w:val="2"/>
    </w:pPr>
  </w:style>
  <w:style w:type="paragraph" w:customStyle="1" w:styleId="Title4LevelTitre4Niveau">
    <w:name w:val="Title 4 Level / Titre 4 Niveau"/>
    <w:basedOn w:val="Title3LevelTitre3Niveau"/>
    <w:next w:val="ParaNoNdepar-AltN"/>
    <w:uiPriority w:val="4"/>
    <w:qFormat/>
    <w:rsid w:val="003A506E"/>
    <w:pPr>
      <w:numPr>
        <w:ilvl w:val="3"/>
      </w:numPr>
      <w:tabs>
        <w:tab w:val="clear" w:pos="1143"/>
        <w:tab w:val="num" w:pos="1152"/>
      </w:tabs>
      <w:ind w:left="1152"/>
      <w:outlineLvl w:val="3"/>
    </w:pPr>
    <w:rPr>
      <w:i/>
      <w:u w:val="none"/>
    </w:rPr>
  </w:style>
  <w:style w:type="paragraph" w:customStyle="1" w:styleId="Title5LevelTitre5Niveau">
    <w:name w:val="Title 5 Level / Titre 5 Niveau"/>
    <w:basedOn w:val="Title1LevelTitre1Niveau-AltL"/>
    <w:next w:val="ParaNoNdepar-AltN"/>
    <w:uiPriority w:val="4"/>
    <w:qFormat/>
    <w:rsid w:val="003A506E"/>
    <w:pPr>
      <w:numPr>
        <w:ilvl w:val="4"/>
      </w:numPr>
      <w:outlineLvl w:val="4"/>
    </w:pPr>
  </w:style>
  <w:style w:type="paragraph" w:styleId="TOC1">
    <w:name w:val="toc 1"/>
    <w:basedOn w:val="Normal"/>
    <w:next w:val="Normal"/>
    <w:autoRedefine/>
    <w:uiPriority w:val="39"/>
    <w:unhideWhenUsed/>
    <w:rsid w:val="003A506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A506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A506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A506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A506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A506E"/>
    <w:pPr>
      <w:tabs>
        <w:tab w:val="left" w:pos="2160"/>
        <w:tab w:val="right" w:leader="dot" w:pos="8270"/>
      </w:tabs>
      <w:spacing w:after="100"/>
      <w:ind w:left="1800"/>
    </w:pPr>
    <w:rPr>
      <w:noProof/>
    </w:rPr>
  </w:style>
  <w:style w:type="table" w:customStyle="1" w:styleId="TableGrid1">
    <w:name w:val="Table Grid1"/>
    <w:basedOn w:val="TableNormal"/>
    <w:uiPriority w:val="59"/>
    <w:rsid w:val="003A506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A506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A506E"/>
    <w:pPr>
      <w:numPr>
        <w:ilvl w:val="5"/>
      </w:numPr>
      <w:outlineLvl w:val="5"/>
    </w:pPr>
    <w:rPr>
      <w:i/>
      <w:u w:val="none"/>
    </w:rPr>
  </w:style>
  <w:style w:type="paragraph" w:styleId="FootnoteText">
    <w:name w:val="footnote text"/>
    <w:basedOn w:val="Normal"/>
    <w:link w:val="FootnoteTextChar"/>
    <w:uiPriority w:val="99"/>
    <w:unhideWhenUsed/>
    <w:rsid w:val="003A506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A506E"/>
  </w:style>
  <w:style w:type="character" w:styleId="FootnoteReference">
    <w:name w:val="footnote reference"/>
    <w:basedOn w:val="DefaultParagraphFont"/>
    <w:uiPriority w:val="99"/>
    <w:semiHidden/>
    <w:unhideWhenUsed/>
    <w:rsid w:val="003A506E"/>
    <w:rPr>
      <w:vertAlign w:val="superscript"/>
    </w:rPr>
  </w:style>
  <w:style w:type="character" w:customStyle="1" w:styleId="reflex3-block">
    <w:name w:val="reflex3-block"/>
    <w:basedOn w:val="DefaultParagraphFont"/>
    <w:rsid w:val="003A506E"/>
  </w:style>
  <w:style w:type="character" w:styleId="Hyperlink">
    <w:name w:val="Hyperlink"/>
    <w:basedOn w:val="DefaultParagraphFont"/>
    <w:uiPriority w:val="99"/>
    <w:unhideWhenUsed/>
    <w:rsid w:val="003A506E"/>
    <w:rPr>
      <w:color w:val="0000FF"/>
      <w:u w:val="single"/>
    </w:rPr>
  </w:style>
  <w:style w:type="character" w:customStyle="1" w:styleId="reflex3-alt">
    <w:name w:val="reflex3-alt"/>
    <w:basedOn w:val="DefaultParagraphFont"/>
    <w:rsid w:val="003A506E"/>
  </w:style>
  <w:style w:type="character" w:styleId="CommentReference">
    <w:name w:val="annotation reference"/>
    <w:basedOn w:val="DefaultParagraphFont"/>
    <w:uiPriority w:val="99"/>
    <w:semiHidden/>
    <w:unhideWhenUsed/>
    <w:rsid w:val="003A506E"/>
    <w:rPr>
      <w:sz w:val="16"/>
      <w:szCs w:val="16"/>
    </w:rPr>
  </w:style>
  <w:style w:type="paragraph" w:styleId="CommentText">
    <w:name w:val="annotation text"/>
    <w:basedOn w:val="Normal"/>
    <w:link w:val="CommentTextChar"/>
    <w:uiPriority w:val="99"/>
    <w:unhideWhenUsed/>
    <w:rsid w:val="003A506E"/>
    <w:rPr>
      <w:sz w:val="20"/>
    </w:rPr>
  </w:style>
  <w:style w:type="character" w:customStyle="1" w:styleId="CommentTextChar">
    <w:name w:val="Comment Text Char"/>
    <w:basedOn w:val="DefaultParagraphFont"/>
    <w:link w:val="CommentText"/>
    <w:uiPriority w:val="99"/>
    <w:rsid w:val="003A506E"/>
  </w:style>
  <w:style w:type="paragraph" w:styleId="CommentSubject">
    <w:name w:val="annotation subject"/>
    <w:basedOn w:val="CommentText"/>
    <w:next w:val="CommentText"/>
    <w:link w:val="CommentSubjectChar"/>
    <w:uiPriority w:val="99"/>
    <w:semiHidden/>
    <w:unhideWhenUsed/>
    <w:rsid w:val="003A506E"/>
    <w:rPr>
      <w:b/>
      <w:bCs/>
    </w:rPr>
  </w:style>
  <w:style w:type="character" w:customStyle="1" w:styleId="CommentSubjectChar">
    <w:name w:val="Comment Subject Char"/>
    <w:basedOn w:val="CommentTextChar"/>
    <w:link w:val="CommentSubject"/>
    <w:uiPriority w:val="99"/>
    <w:semiHidden/>
    <w:rsid w:val="003A506E"/>
    <w:rPr>
      <w:b/>
      <w:bCs/>
    </w:rPr>
  </w:style>
  <w:style w:type="paragraph" w:styleId="ListParagraph">
    <w:name w:val="List Paragraph"/>
    <w:basedOn w:val="Normal"/>
    <w:uiPriority w:val="34"/>
    <w:qFormat/>
    <w:rsid w:val="003A506E"/>
    <w:pPr>
      <w:ind w:left="720"/>
      <w:contextualSpacing/>
    </w:pPr>
    <w:rPr>
      <w:szCs w:val="24"/>
    </w:rPr>
  </w:style>
  <w:style w:type="paragraph" w:styleId="Revision">
    <w:name w:val="Revision"/>
    <w:hidden/>
    <w:uiPriority w:val="99"/>
    <w:semiHidden/>
    <w:rsid w:val="003A506E"/>
    <w:rPr>
      <w:sz w:val="24"/>
      <w:szCs w:val="24"/>
    </w:rPr>
  </w:style>
  <w:style w:type="character" w:styleId="FollowedHyperlink">
    <w:name w:val="FollowedHyperlink"/>
    <w:basedOn w:val="DefaultParagraphFont"/>
    <w:uiPriority w:val="99"/>
    <w:semiHidden/>
    <w:unhideWhenUsed/>
    <w:rsid w:val="003A506E"/>
    <w:rPr>
      <w:color w:val="800080" w:themeColor="followedHyperlink"/>
      <w:u w:val="single"/>
    </w:rPr>
  </w:style>
  <w:style w:type="table" w:customStyle="1" w:styleId="TableGrid2">
    <w:name w:val="Table Grid2"/>
    <w:basedOn w:val="TableNormal"/>
    <w:next w:val="TableGrid"/>
    <w:uiPriority w:val="59"/>
    <w:rsid w:val="003A506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92196C"/>
    <w:rPr>
      <w:lang w:val="fr-CA"/>
    </w:rPr>
  </w:style>
  <w:style w:type="paragraph" w:customStyle="1" w:styleId="SCCLsocPrefix">
    <w:name w:val="SCC.Lsoc.Prefix"/>
    <w:basedOn w:val="Normal"/>
    <w:next w:val="Normal"/>
    <w:link w:val="SCCLsocPrefixChar"/>
    <w:rsid w:val="0092196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2196C"/>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29159</Words>
  <Characters>154483</Characters>
  <Application>Microsoft Office Word</Application>
  <DocSecurity>0</DocSecurity>
  <Lines>1287</Lines>
  <Paragraphs>366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183276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2017-12-22T17:42:00Z</dcterms:created>
  <dcterms:modified xsi:type="dcterms:W3CDTF">2018-02-27T15:08:00Z</dcterms:modified>
</cp:coreProperties>
</file>