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8B1" w:rsidRDefault="00E248B1" w:rsidP="00CD7972">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4.65pt" o:ole="">
            <v:imagedata r:id="rId7" o:title=""/>
          </v:shape>
          <o:OLEObject Type="Embed" ProgID="Presentations.Drawing.13" ShapeID="_x0000_i1025" DrawAspect="Content" ObjectID="_1615030369" r:id="rId8"/>
        </w:object>
      </w:r>
      <w:bookmarkEnd w:id="0"/>
      <w:r>
        <w:t xml:space="preserve"> </w:t>
      </w:r>
      <w:r>
        <w:ptab w:relativeTo="margin" w:alignment="right" w:leader="none"/>
      </w:r>
    </w:p>
    <w:p w:rsidR="00E248B1" w:rsidRDefault="00E248B1" w:rsidP="00E248B1">
      <w:pPr>
        <w:pStyle w:val="Header"/>
      </w:pPr>
    </w:p>
    <w:p w:rsidR="00E248B1" w:rsidRPr="001E12E2" w:rsidRDefault="00E248B1" w:rsidP="00E248B1">
      <w:pPr>
        <w:jc w:val="center"/>
        <w:rPr>
          <w:b/>
        </w:rPr>
      </w:pPr>
      <w:r w:rsidRPr="001E12E2">
        <w:rPr>
          <w:b/>
        </w:rPr>
        <w:t>COUR SUPRÊME DU CANADA</w:t>
      </w:r>
    </w:p>
    <w:p w:rsidR="00E248B1" w:rsidRDefault="00E248B1" w:rsidP="00E248B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E248B1" w:rsidRPr="001E12E2" w:rsidTr="00754E0E">
        <w:trPr>
          <w:cantSplit/>
        </w:trPr>
        <w:tc>
          <w:tcPr>
            <w:tcW w:w="5310" w:type="dxa"/>
          </w:tcPr>
          <w:p w:rsidR="00E248B1" w:rsidRPr="00E248B1" w:rsidRDefault="00E248B1" w:rsidP="00E248B1">
            <w:pPr>
              <w:rPr>
                <w:lang w:val="fr-CA"/>
              </w:rPr>
            </w:pPr>
            <w:r w:rsidRPr="00E248B1">
              <w:rPr>
                <w:b/>
                <w:smallCaps/>
                <w:lang w:val="fr-CA"/>
              </w:rPr>
              <w:t>Référence :</w:t>
            </w:r>
            <w:r w:rsidRPr="00E248B1">
              <w:rPr>
                <w:lang w:val="fr-CA"/>
              </w:rPr>
              <w:t xml:space="preserve"> </w:t>
            </w:r>
            <w:r w:rsidRPr="00E248B1">
              <w:rPr>
                <w:rStyle w:val="SCCAppellantForRunningHeadChar"/>
                <w:smallCaps w:val="0"/>
                <w:lang w:val="fr-CA"/>
              </w:rPr>
              <w:t xml:space="preserve">R. </w:t>
            </w:r>
            <w:r w:rsidRPr="00E248B1">
              <w:rPr>
                <w:rStyle w:val="SCCAppellantForRunningHeadChar"/>
                <w:i/>
                <w:smallCaps w:val="0"/>
                <w:lang w:val="fr-CA"/>
              </w:rPr>
              <w:t>c.</w:t>
            </w:r>
            <w:r w:rsidRPr="00E248B1">
              <w:rPr>
                <w:rStyle w:val="SCCAppellantForRunningHeadChar"/>
                <w:smallCaps w:val="0"/>
                <w:lang w:val="fr-CA"/>
              </w:rPr>
              <w:t xml:space="preserve"> Seipp</w:t>
            </w:r>
            <w:r w:rsidRPr="006A4755">
              <w:rPr>
                <w:rStyle w:val="SCCAppellantForRunningHeadChar"/>
                <w:lang w:val="fr-CA"/>
              </w:rPr>
              <w:t xml:space="preserve">, </w:t>
            </w:r>
            <w:r w:rsidRPr="00E248B1">
              <w:rPr>
                <w:lang w:val="fr-CA"/>
              </w:rPr>
              <w:t>2018 CSC 1, [2018] 1 R.C.S. 3</w:t>
            </w:r>
          </w:p>
        </w:tc>
        <w:tc>
          <w:tcPr>
            <w:tcW w:w="4266" w:type="dxa"/>
          </w:tcPr>
          <w:p w:rsidR="00E248B1" w:rsidRPr="00E248B1" w:rsidRDefault="00E248B1" w:rsidP="00754E0E">
            <w:pPr>
              <w:rPr>
                <w:lang w:val="fr-CA"/>
              </w:rPr>
            </w:pPr>
            <w:r w:rsidRPr="00E248B1">
              <w:rPr>
                <w:b/>
                <w:smallCaps/>
                <w:lang w:val="fr-CA"/>
              </w:rPr>
              <w:t>Appel entendu:</w:t>
            </w:r>
            <w:r w:rsidRPr="00E248B1">
              <w:rPr>
                <w:lang w:val="fr-CA"/>
              </w:rPr>
              <w:t xml:space="preserve"> 16 janvier 2018</w:t>
            </w:r>
          </w:p>
          <w:p w:rsidR="00E248B1" w:rsidRPr="00E248B1" w:rsidRDefault="00E248B1" w:rsidP="00754E0E">
            <w:pPr>
              <w:rPr>
                <w:b/>
                <w:smallCaps/>
                <w:lang w:val="fr-CA"/>
              </w:rPr>
            </w:pPr>
            <w:r w:rsidRPr="00E248B1">
              <w:rPr>
                <w:b/>
                <w:smallCaps/>
                <w:lang w:val="fr-CA"/>
              </w:rPr>
              <w:t>Jugement rendu :</w:t>
            </w:r>
            <w:r w:rsidRPr="00E248B1">
              <w:rPr>
                <w:lang w:val="fr-CA"/>
              </w:rPr>
              <w:t xml:space="preserve"> 16 janvier 2018</w:t>
            </w:r>
          </w:p>
          <w:p w:rsidR="00E248B1" w:rsidRPr="001E12E2" w:rsidRDefault="00E248B1" w:rsidP="00754E0E">
            <w:r w:rsidRPr="001E12E2">
              <w:rPr>
                <w:b/>
                <w:smallCaps/>
              </w:rPr>
              <w:t>Do</w:t>
            </w:r>
            <w:r>
              <w:rPr>
                <w:b/>
                <w:smallCaps/>
              </w:rPr>
              <w:t>ssiers :</w:t>
            </w:r>
            <w:r w:rsidRPr="001E12E2">
              <w:t xml:space="preserve"> </w:t>
            </w:r>
            <w:r>
              <w:t>37513</w:t>
            </w:r>
          </w:p>
        </w:tc>
      </w:tr>
    </w:tbl>
    <w:p w:rsidR="00E248B1" w:rsidRDefault="00E248B1" w:rsidP="00E248B1">
      <w:pPr>
        <w:pStyle w:val="SCCLsocPrefix"/>
      </w:pPr>
    </w:p>
    <w:p w:rsidR="00E248B1" w:rsidRDefault="00E248B1" w:rsidP="00E248B1">
      <w:pPr>
        <w:pStyle w:val="SCCLsocPrefix"/>
      </w:pPr>
    </w:p>
    <w:p w:rsidR="00E248B1" w:rsidRDefault="00E248B1" w:rsidP="00E248B1">
      <w:pPr>
        <w:pStyle w:val="SCCLsocPrefix"/>
      </w:pPr>
      <w:r>
        <w:t>Entre :</w:t>
      </w:r>
    </w:p>
    <w:p w:rsidR="00E248B1" w:rsidRPr="00F94606" w:rsidRDefault="00E248B1" w:rsidP="00496BAD">
      <w:pPr>
        <w:jc w:val="center"/>
        <w:rPr>
          <w:b/>
        </w:rPr>
      </w:pPr>
      <w:r w:rsidRPr="00F94606">
        <w:rPr>
          <w:b/>
          <w:lang w:val="en-US"/>
        </w:rPr>
        <w:t>Jeffery Thomas Raymond Seipp</w:t>
      </w:r>
    </w:p>
    <w:p w:rsidR="00E248B1" w:rsidRPr="00D85283" w:rsidRDefault="00E248B1" w:rsidP="00496BAD">
      <w:pPr>
        <w:jc w:val="center"/>
      </w:pPr>
      <w:r w:rsidRPr="00D85283">
        <w:t>Appelant</w:t>
      </w:r>
    </w:p>
    <w:p w:rsidR="00E248B1" w:rsidRPr="00D85283" w:rsidRDefault="00E248B1" w:rsidP="00496BAD">
      <w:pPr>
        <w:jc w:val="center"/>
      </w:pPr>
    </w:p>
    <w:p w:rsidR="00E248B1" w:rsidRPr="00496BAD" w:rsidRDefault="00E248B1" w:rsidP="00496BAD">
      <w:pPr>
        <w:pStyle w:val="SCCLsocVersus"/>
        <w:spacing w:after="0"/>
        <w:jc w:val="center"/>
        <w:rPr>
          <w:i w:val="0"/>
        </w:rPr>
      </w:pPr>
      <w:r w:rsidRPr="00496BAD">
        <w:rPr>
          <w:i w:val="0"/>
        </w:rPr>
        <w:t>et</w:t>
      </w:r>
    </w:p>
    <w:p w:rsidR="00E248B1" w:rsidRPr="0033260A" w:rsidRDefault="00E248B1" w:rsidP="00496BAD">
      <w:pPr>
        <w:jc w:val="center"/>
      </w:pPr>
    </w:p>
    <w:p w:rsidR="00E248B1" w:rsidRDefault="00E248B1" w:rsidP="00496BAD">
      <w:pPr>
        <w:pStyle w:val="SCCLsocParty"/>
        <w:jc w:val="center"/>
      </w:pPr>
      <w:r>
        <w:t>Sa Majesté la Reine</w:t>
      </w:r>
    </w:p>
    <w:p w:rsidR="00E248B1" w:rsidRDefault="00E248B1" w:rsidP="00496BAD">
      <w:pPr>
        <w:jc w:val="center"/>
      </w:pPr>
      <w:r>
        <w:t>Intimée</w:t>
      </w:r>
    </w:p>
    <w:p w:rsidR="00E248B1" w:rsidRDefault="00E248B1" w:rsidP="00496BAD">
      <w:pPr>
        <w:jc w:val="center"/>
      </w:pPr>
    </w:p>
    <w:p w:rsidR="00E248B1" w:rsidRDefault="00407BCD" w:rsidP="00496BAD">
      <w:pPr>
        <w:jc w:val="center"/>
      </w:pPr>
      <w:r>
        <w:t>- </w:t>
      </w:r>
      <w:r w:rsidR="00E248B1">
        <w:t>et</w:t>
      </w:r>
      <w:r>
        <w:t> -</w:t>
      </w:r>
    </w:p>
    <w:p w:rsidR="00E248B1" w:rsidRDefault="00E248B1" w:rsidP="00496BAD">
      <w:pPr>
        <w:jc w:val="center"/>
      </w:pPr>
    </w:p>
    <w:p w:rsidR="00E248B1" w:rsidRDefault="00E248B1" w:rsidP="00496BAD">
      <w:pPr>
        <w:jc w:val="center"/>
        <w:rPr>
          <w:b/>
        </w:rPr>
      </w:pPr>
      <w:r w:rsidRPr="002D46FA">
        <w:rPr>
          <w:b/>
        </w:rPr>
        <w:t>Directeur des poursuites pénales</w:t>
      </w:r>
    </w:p>
    <w:p w:rsidR="00E248B1" w:rsidRPr="002D46FA" w:rsidRDefault="00E248B1" w:rsidP="00496BAD">
      <w:pPr>
        <w:jc w:val="center"/>
      </w:pPr>
      <w:r w:rsidRPr="002D46FA">
        <w:t>Intervenant</w:t>
      </w:r>
    </w:p>
    <w:p w:rsidR="00E248B1" w:rsidRDefault="00E248B1" w:rsidP="00E248B1"/>
    <w:p w:rsidR="00E248B1" w:rsidRPr="00F94606" w:rsidRDefault="00E248B1" w:rsidP="00E248B1"/>
    <w:p w:rsidR="00E248B1" w:rsidRDefault="00E248B1" w:rsidP="00E248B1"/>
    <w:p w:rsidR="00E248B1" w:rsidRDefault="00E248B1" w:rsidP="00E248B1"/>
    <w:p w:rsidR="00E248B1" w:rsidRDefault="00E248B1" w:rsidP="00E248B1"/>
    <w:p w:rsidR="00E248B1" w:rsidRDefault="00E248B1" w:rsidP="00E248B1"/>
    <w:p w:rsidR="00E248B1" w:rsidRPr="00E248B1" w:rsidRDefault="00E248B1" w:rsidP="00E248B1">
      <w:pPr>
        <w:jc w:val="center"/>
        <w:rPr>
          <w:b/>
          <w:smallCaps/>
          <w:lang w:val="fr-CA"/>
        </w:rPr>
      </w:pPr>
      <w:r w:rsidRPr="00E248B1">
        <w:rPr>
          <w:b/>
          <w:smallCaps/>
          <w:lang w:val="fr-CA"/>
        </w:rPr>
        <w:t>Traduction française officielle</w:t>
      </w:r>
    </w:p>
    <w:p w:rsidR="00E248B1" w:rsidRPr="00E248B1" w:rsidRDefault="00E248B1" w:rsidP="00E248B1">
      <w:pPr>
        <w:rPr>
          <w:lang w:val="fr-CA"/>
        </w:rPr>
      </w:pPr>
    </w:p>
    <w:p w:rsidR="00E248B1" w:rsidRPr="00E248B1" w:rsidRDefault="00E248B1" w:rsidP="00E248B1">
      <w:pPr>
        <w:rPr>
          <w:lang w:val="fr-CA"/>
        </w:rPr>
      </w:pPr>
      <w:r w:rsidRPr="00E248B1">
        <w:rPr>
          <w:b/>
          <w:smallCaps/>
          <w:lang w:val="fr-CA"/>
        </w:rPr>
        <w:t>Coram :</w:t>
      </w:r>
      <w:r w:rsidRPr="00E248B1">
        <w:rPr>
          <w:lang w:val="fr-CA"/>
        </w:rPr>
        <w:t xml:space="preserve"> Le juge en chef Wagner et les juges Abella, Moldaver, Karakatsanis, Gascon, Côté, Brown, Rowe et Martin.</w:t>
      </w:r>
    </w:p>
    <w:p w:rsidR="00E248B1" w:rsidRPr="00E248B1" w:rsidRDefault="00E248B1" w:rsidP="00E248B1">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248B1" w:rsidRPr="00CD7972" w:rsidTr="00754E0E">
        <w:trPr>
          <w:cantSplit/>
        </w:trPr>
        <w:tc>
          <w:tcPr>
            <w:tcW w:w="3618" w:type="dxa"/>
          </w:tcPr>
          <w:p w:rsidR="00E248B1" w:rsidRPr="00E248B1" w:rsidRDefault="00E248B1" w:rsidP="00754E0E">
            <w:pPr>
              <w:rPr>
                <w:b/>
                <w:smallCaps/>
                <w:lang w:val="fr-CA"/>
              </w:rPr>
            </w:pPr>
            <w:r w:rsidRPr="00E248B1">
              <w:rPr>
                <w:b/>
                <w:smallCaps/>
                <w:lang w:val="fr-CA"/>
              </w:rPr>
              <w:t>Motifs de jugement :</w:t>
            </w:r>
          </w:p>
          <w:p w:rsidR="00E248B1" w:rsidRPr="00E248B1" w:rsidRDefault="00E248B1" w:rsidP="00754E0E">
            <w:pPr>
              <w:rPr>
                <w:lang w:val="fr-CA"/>
              </w:rPr>
            </w:pPr>
            <w:r w:rsidRPr="00E248B1">
              <w:rPr>
                <w:lang w:val="fr-CA"/>
              </w:rPr>
              <w:t>(par. 1 à 3)</w:t>
            </w:r>
          </w:p>
        </w:tc>
        <w:tc>
          <w:tcPr>
            <w:tcW w:w="5958" w:type="dxa"/>
          </w:tcPr>
          <w:p w:rsidR="00E248B1" w:rsidRPr="00E248B1" w:rsidRDefault="00E248B1" w:rsidP="00754E0E">
            <w:pPr>
              <w:rPr>
                <w:lang w:val="fr-CA"/>
              </w:rPr>
            </w:pPr>
            <w:r w:rsidRPr="00E248B1">
              <w:rPr>
                <w:lang w:val="fr-CA"/>
              </w:rPr>
              <w:t>Le juge en chef Wagner (avec l’accord des juges Abella, Moldaver, Karakatsanis, Gascon, Côté, Brown, Rowe et Martin)</w:t>
            </w:r>
          </w:p>
        </w:tc>
      </w:tr>
    </w:tbl>
    <w:p w:rsidR="00E248B1" w:rsidRPr="00E248B1" w:rsidRDefault="00E248B1" w:rsidP="00E248B1">
      <w:pPr>
        <w:rPr>
          <w:lang w:val="fr-CA"/>
        </w:rPr>
      </w:pPr>
    </w:p>
    <w:p w:rsidR="00E248B1" w:rsidRPr="00E248B1" w:rsidRDefault="00E248B1" w:rsidP="00E248B1">
      <w:pPr>
        <w:rPr>
          <w:lang w:val="fr-CA"/>
        </w:rPr>
      </w:pPr>
      <w:r>
        <w:rPr>
          <w:noProof/>
          <w:lang w:val="en-US" w:eastAsia="en-US"/>
        </w:rPr>
        <mc:AlternateContent>
          <mc:Choice Requires="wps">
            <w:drawing>
              <wp:anchor distT="0" distB="0" distL="114300" distR="114300" simplePos="0" relativeHeight="251659264" behindDoc="0" locked="0" layoutInCell="1" allowOverlap="1" wp14:anchorId="21DCBF0A" wp14:editId="2C99A91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F9B69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248B1" w:rsidRPr="00E248B1" w:rsidRDefault="00E248B1" w:rsidP="00E248B1">
      <w:pPr>
        <w:rPr>
          <w:lang w:val="fr-CA"/>
        </w:rPr>
      </w:pPr>
    </w:p>
    <w:p w:rsidR="00E248B1" w:rsidRPr="00E248B1" w:rsidRDefault="00E248B1" w:rsidP="00E248B1">
      <w:pPr>
        <w:rPr>
          <w:lang w:val="fr-CA"/>
        </w:rPr>
      </w:pPr>
    </w:p>
    <w:p w:rsidR="00E248B1" w:rsidRPr="00E248B1" w:rsidRDefault="00E248B1" w:rsidP="00E248B1">
      <w:pPr>
        <w:rPr>
          <w:lang w:val="fr-CA"/>
        </w:rPr>
      </w:pPr>
    </w:p>
    <w:p w:rsidR="00E248B1" w:rsidRPr="00E248B1" w:rsidRDefault="00E248B1" w:rsidP="00E248B1">
      <w:pPr>
        <w:rPr>
          <w:lang w:val="fr-CA"/>
        </w:rPr>
      </w:pPr>
    </w:p>
    <w:p w:rsidR="00E248B1" w:rsidRPr="00E248B1" w:rsidRDefault="00E248B1" w:rsidP="00E248B1">
      <w:pPr>
        <w:rPr>
          <w:lang w:val="fr-CA"/>
        </w:rPr>
      </w:pPr>
    </w:p>
    <w:p w:rsidR="005B1C87" w:rsidRPr="005B1C87" w:rsidRDefault="005B1C87" w:rsidP="005B1C87">
      <w:pPr>
        <w:pStyle w:val="SCCSystemYear"/>
        <w:widowControl w:val="0"/>
        <w:jc w:val="both"/>
        <w:rPr>
          <w:b w:val="0"/>
          <w:lang w:val="fr-CA"/>
        </w:rPr>
      </w:pPr>
      <w:r w:rsidRPr="00E248B1">
        <w:rPr>
          <w:rStyle w:val="SCCAppellantForRunningHeadChar"/>
          <w:b w:val="0"/>
          <w:smallCaps w:val="0"/>
          <w:lang w:val="fr-CA"/>
        </w:rPr>
        <w:t>R</w:t>
      </w:r>
      <w:r w:rsidR="003B07DC" w:rsidRPr="00E248B1">
        <w:rPr>
          <w:rStyle w:val="SCCAppellantForRunningHeadChar"/>
          <w:b w:val="0"/>
          <w:smallCaps w:val="0"/>
          <w:lang w:val="fr-CA"/>
        </w:rPr>
        <w:t xml:space="preserve">. </w:t>
      </w:r>
      <w:r w:rsidR="003B07DC" w:rsidRPr="00E248B1">
        <w:rPr>
          <w:b w:val="0"/>
          <w:i/>
          <w:lang w:val="fr-CA"/>
        </w:rPr>
        <w:t>c.</w:t>
      </w:r>
      <w:r w:rsidR="003B07DC" w:rsidRPr="00E248B1">
        <w:rPr>
          <w:rStyle w:val="SCCAppellantForRunningHeadChar"/>
          <w:b w:val="0"/>
          <w:smallCaps w:val="0"/>
          <w:lang w:val="fr-CA"/>
        </w:rPr>
        <w:t xml:space="preserve"> </w:t>
      </w:r>
      <w:r w:rsidRPr="00E248B1">
        <w:rPr>
          <w:rStyle w:val="SCCAppellantForRunningHeadChar"/>
          <w:b w:val="0"/>
          <w:smallCaps w:val="0"/>
          <w:lang w:val="fr-CA"/>
        </w:rPr>
        <w:t>S</w:t>
      </w:r>
      <w:r w:rsidR="004D7D95" w:rsidRPr="00E248B1">
        <w:rPr>
          <w:rStyle w:val="SCCAppellantForRunningHeadChar"/>
          <w:b w:val="0"/>
          <w:smallCaps w:val="0"/>
          <w:lang w:val="fr-CA"/>
        </w:rPr>
        <w:t>eipp</w:t>
      </w:r>
      <w:r w:rsidRPr="00E248B1">
        <w:rPr>
          <w:rStyle w:val="SCCAppellantForRunningHeadChar"/>
          <w:b w:val="0"/>
          <w:smallCaps w:val="0"/>
          <w:lang w:val="fr-CA"/>
        </w:rPr>
        <w:t xml:space="preserve">, </w:t>
      </w:r>
      <w:r w:rsidRPr="005B1C87">
        <w:rPr>
          <w:b w:val="0"/>
          <w:lang w:val="fr-CA"/>
        </w:rPr>
        <w:t>2018 CSC 1</w:t>
      </w:r>
      <w:r>
        <w:rPr>
          <w:b w:val="0"/>
          <w:lang w:val="fr-CA"/>
        </w:rPr>
        <w:t>, [2018] 1 R.C.S. 3</w:t>
      </w:r>
    </w:p>
    <w:p w:rsidR="004D7D95" w:rsidRPr="00E248B1" w:rsidRDefault="004D7D95" w:rsidP="00F60246">
      <w:pPr>
        <w:widowControl w:val="0"/>
        <w:spacing w:line="480" w:lineRule="auto"/>
        <w:jc w:val="both"/>
        <w:rPr>
          <w:smallCaps/>
          <w:lang w:val="fr-CA"/>
        </w:rPr>
      </w:pPr>
    </w:p>
    <w:p w:rsidR="004D7D95" w:rsidRPr="00E248B1" w:rsidRDefault="004D7D95" w:rsidP="00F60246">
      <w:pPr>
        <w:widowControl w:val="0"/>
        <w:jc w:val="both"/>
        <w:rPr>
          <w:lang w:val="fr-CA"/>
        </w:rPr>
      </w:pPr>
    </w:p>
    <w:p w:rsidR="004D7D95" w:rsidRPr="00E248B1" w:rsidRDefault="004D7D95" w:rsidP="00F60246">
      <w:pPr>
        <w:widowControl w:val="0"/>
        <w:jc w:val="both"/>
        <w:rPr>
          <w:lang w:val="fr-CA"/>
        </w:rPr>
      </w:pPr>
    </w:p>
    <w:p w:rsidR="004D7D95" w:rsidRPr="00E248B1" w:rsidRDefault="004D7D95" w:rsidP="00F60246">
      <w:pPr>
        <w:widowControl w:val="0"/>
        <w:jc w:val="both"/>
        <w:rPr>
          <w:lang w:val="fr-CA"/>
        </w:rPr>
      </w:pPr>
    </w:p>
    <w:p w:rsidR="008E2750" w:rsidRPr="00587CD4" w:rsidRDefault="006B0AD8" w:rsidP="00F60246">
      <w:pPr>
        <w:pStyle w:val="SCCLsocLastPartyInRole"/>
        <w:widowControl w:val="0"/>
        <w:rPr>
          <w:lang w:val="en-US"/>
        </w:rPr>
      </w:pPr>
      <w:r w:rsidRPr="00587CD4">
        <w:rPr>
          <w:lang w:val="en-US"/>
        </w:rPr>
        <w:t>Jeffery Thomas Raymond Seipp</w:t>
      </w:r>
      <w:r w:rsidR="000947E8" w:rsidRPr="00587CD4">
        <w:rPr>
          <w:rStyle w:val="SCCLsocPartyRole"/>
          <w:lang w:val="en-US"/>
        </w:rPr>
        <w:tab/>
        <w:t>Appelant</w:t>
      </w:r>
    </w:p>
    <w:p w:rsidR="008E2750" w:rsidRPr="00E248B1" w:rsidRDefault="006B0AD8" w:rsidP="00F60246">
      <w:pPr>
        <w:pStyle w:val="SCCLsocVersus"/>
        <w:widowControl w:val="0"/>
        <w:rPr>
          <w:lang w:val="en-US"/>
        </w:rPr>
      </w:pPr>
      <w:r w:rsidRPr="00E248B1">
        <w:rPr>
          <w:lang w:val="en-US"/>
        </w:rPr>
        <w:t>c.</w:t>
      </w:r>
    </w:p>
    <w:p w:rsidR="008E2750" w:rsidRPr="00016BB9" w:rsidRDefault="006B0AD8" w:rsidP="00F60246">
      <w:pPr>
        <w:pStyle w:val="SCCLsocLastPartyInRole"/>
        <w:widowControl w:val="0"/>
        <w:rPr>
          <w:lang w:val="fr-CA"/>
        </w:rPr>
      </w:pPr>
      <w:r w:rsidRPr="00016BB9">
        <w:rPr>
          <w:lang w:val="fr-CA"/>
        </w:rPr>
        <w:t>Sa Majesté la Reine</w:t>
      </w:r>
      <w:r w:rsidR="000947E8" w:rsidRPr="00016BB9">
        <w:rPr>
          <w:rStyle w:val="SCCLsocPartyRole"/>
          <w:lang w:val="fr-CA"/>
        </w:rPr>
        <w:tab/>
        <w:t>Intimée</w:t>
      </w:r>
    </w:p>
    <w:p w:rsidR="008E2750" w:rsidRPr="00016BB9" w:rsidRDefault="006B0AD8" w:rsidP="00F60246">
      <w:pPr>
        <w:pStyle w:val="SCCLsocOtherPartySeparator"/>
        <w:widowControl w:val="0"/>
        <w:rPr>
          <w:lang w:val="fr-CA"/>
        </w:rPr>
      </w:pPr>
      <w:r w:rsidRPr="00016BB9">
        <w:rPr>
          <w:lang w:val="fr-CA"/>
        </w:rPr>
        <w:t>et</w:t>
      </w:r>
    </w:p>
    <w:p w:rsidR="008E2750" w:rsidRPr="00016BB9" w:rsidRDefault="006B0AD8" w:rsidP="00F60246">
      <w:pPr>
        <w:pStyle w:val="SCCLsocLastPartyInRole"/>
        <w:widowControl w:val="0"/>
        <w:rPr>
          <w:lang w:val="fr-CA"/>
        </w:rPr>
      </w:pPr>
      <w:r w:rsidRPr="00016BB9">
        <w:rPr>
          <w:lang w:val="fr-CA"/>
        </w:rPr>
        <w:t>Directeur des poursuites pénales</w:t>
      </w:r>
      <w:r w:rsidR="000947E8" w:rsidRPr="00016BB9">
        <w:rPr>
          <w:rStyle w:val="SCCLsocPartyRole"/>
          <w:lang w:val="fr-CA"/>
        </w:rPr>
        <w:tab/>
        <w:t>Intervenant</w:t>
      </w:r>
    </w:p>
    <w:p w:rsidR="004D7D95" w:rsidRPr="00016BB9" w:rsidRDefault="004D7D95" w:rsidP="00F60246">
      <w:pPr>
        <w:widowControl w:val="0"/>
        <w:jc w:val="both"/>
        <w:rPr>
          <w:lang w:val="fr-CA"/>
        </w:rPr>
      </w:pPr>
    </w:p>
    <w:p w:rsidR="004D7D95" w:rsidRPr="00016BB9" w:rsidRDefault="004D7D95" w:rsidP="00F60246">
      <w:pPr>
        <w:widowControl w:val="0"/>
        <w:jc w:val="both"/>
        <w:rPr>
          <w:lang w:val="fr-CA"/>
        </w:rPr>
      </w:pPr>
    </w:p>
    <w:p w:rsidR="004D7D95" w:rsidRPr="00016BB9" w:rsidRDefault="004D7D95" w:rsidP="00F60246">
      <w:pPr>
        <w:widowControl w:val="0"/>
        <w:jc w:val="both"/>
        <w:rPr>
          <w:lang w:val="fr-CA"/>
        </w:rPr>
      </w:pPr>
    </w:p>
    <w:p w:rsidR="004D7D95" w:rsidRPr="00016BB9" w:rsidRDefault="000947E8" w:rsidP="00F60246">
      <w:pPr>
        <w:widowControl w:val="0"/>
        <w:jc w:val="both"/>
        <w:rPr>
          <w:lang w:val="fr-CA"/>
        </w:rPr>
      </w:pPr>
      <w:r w:rsidRPr="00016BB9">
        <w:rPr>
          <w:b/>
          <w:lang w:val="fr-CA"/>
        </w:rPr>
        <w:t>Répertorié : </w:t>
      </w:r>
      <w:r w:rsidRPr="00016BB9">
        <w:rPr>
          <w:rStyle w:val="SCCAppellantForIndexChar"/>
          <w:lang w:val="fr-CA"/>
        </w:rPr>
        <w:t>R.</w:t>
      </w:r>
      <w:r w:rsidR="004D7D95" w:rsidRPr="00016BB9">
        <w:rPr>
          <w:rStyle w:val="SCCAppellantForIndexChar"/>
          <w:lang w:val="fr-CA"/>
        </w:rPr>
        <w:t xml:space="preserve"> </w:t>
      </w:r>
      <w:r w:rsidRPr="00016BB9">
        <w:rPr>
          <w:b/>
          <w:i/>
          <w:lang w:val="fr-CA"/>
        </w:rPr>
        <w:t>c.</w:t>
      </w:r>
      <w:r w:rsidRPr="00016BB9">
        <w:rPr>
          <w:b/>
          <w:lang w:val="fr-CA"/>
        </w:rPr>
        <w:t xml:space="preserve"> </w:t>
      </w:r>
      <w:r w:rsidR="004D7D95" w:rsidRPr="00016BB9">
        <w:rPr>
          <w:rStyle w:val="SCCAppellantForIndexChar"/>
          <w:lang w:val="fr-CA"/>
        </w:rPr>
        <w:t>Seipp</w:t>
      </w:r>
    </w:p>
    <w:p w:rsidR="004D7D95" w:rsidRPr="00016BB9" w:rsidRDefault="004D7D95" w:rsidP="00F60246">
      <w:pPr>
        <w:widowControl w:val="0"/>
        <w:jc w:val="both"/>
        <w:rPr>
          <w:lang w:val="fr-CA"/>
        </w:rPr>
      </w:pPr>
    </w:p>
    <w:p w:rsidR="004D7D95" w:rsidRPr="00016BB9" w:rsidRDefault="004D7D95" w:rsidP="00F60246">
      <w:pPr>
        <w:widowControl w:val="0"/>
        <w:jc w:val="both"/>
        <w:rPr>
          <w:lang w:val="fr-CA"/>
        </w:rPr>
      </w:pPr>
    </w:p>
    <w:p w:rsidR="004D7D95" w:rsidRPr="00016BB9" w:rsidRDefault="00D17B0E" w:rsidP="00F60246">
      <w:pPr>
        <w:pStyle w:val="SCCSystemYear"/>
        <w:widowControl w:val="0"/>
        <w:jc w:val="both"/>
        <w:rPr>
          <w:lang w:val="fr-CA"/>
        </w:rPr>
      </w:pPr>
      <w:r w:rsidRPr="00016BB9">
        <w:rPr>
          <w:lang w:val="fr-CA"/>
        </w:rPr>
        <w:t>2018</w:t>
      </w:r>
      <w:r w:rsidR="004D7D95" w:rsidRPr="00016BB9">
        <w:rPr>
          <w:lang w:val="fr-CA"/>
        </w:rPr>
        <w:t xml:space="preserve"> CSC </w:t>
      </w:r>
      <w:r w:rsidR="00D5769C">
        <w:rPr>
          <w:lang w:val="fr-CA"/>
        </w:rPr>
        <w:t>1</w:t>
      </w:r>
    </w:p>
    <w:p w:rsidR="004D7D95" w:rsidRPr="00016BB9" w:rsidRDefault="004D7D95" w:rsidP="00F60246">
      <w:pPr>
        <w:widowControl w:val="0"/>
        <w:jc w:val="both"/>
        <w:rPr>
          <w:lang w:val="fr-CA"/>
        </w:rPr>
      </w:pPr>
    </w:p>
    <w:p w:rsidR="004D7D95" w:rsidRPr="00016BB9" w:rsidRDefault="004D7D95" w:rsidP="00F60246">
      <w:pPr>
        <w:widowControl w:val="0"/>
        <w:jc w:val="both"/>
        <w:rPr>
          <w:lang w:val="fr-CA"/>
        </w:rPr>
      </w:pPr>
    </w:p>
    <w:p w:rsidR="004D7D95" w:rsidRPr="00016BB9" w:rsidRDefault="004D7D95" w:rsidP="00F60246">
      <w:pPr>
        <w:widowControl w:val="0"/>
        <w:jc w:val="both"/>
        <w:rPr>
          <w:lang w:val="fr-CA"/>
        </w:rPr>
      </w:pPr>
    </w:p>
    <w:p w:rsidR="004D7D95" w:rsidRPr="00016BB9" w:rsidRDefault="004D7D95" w:rsidP="00F60246">
      <w:pPr>
        <w:widowControl w:val="0"/>
        <w:jc w:val="both"/>
        <w:rPr>
          <w:lang w:val="fr-CA"/>
        </w:rPr>
      </w:pPr>
      <w:r w:rsidRPr="00016BB9">
        <w:rPr>
          <w:lang w:val="fr-CA"/>
        </w:rPr>
        <w:t>N</w:t>
      </w:r>
      <w:r w:rsidRPr="00016BB9">
        <w:rPr>
          <w:vertAlign w:val="superscript"/>
          <w:lang w:val="fr-CA"/>
        </w:rPr>
        <w:t>o</w:t>
      </w:r>
      <w:r w:rsidRPr="00016BB9">
        <w:rPr>
          <w:lang w:val="fr-CA"/>
        </w:rPr>
        <w:t xml:space="preserve"> du greffe : 37513.</w:t>
      </w:r>
    </w:p>
    <w:p w:rsidR="004D7D95" w:rsidRPr="00016BB9" w:rsidRDefault="004D7D95" w:rsidP="00F60246">
      <w:pPr>
        <w:widowControl w:val="0"/>
        <w:jc w:val="both"/>
        <w:rPr>
          <w:lang w:val="fr-CA"/>
        </w:rPr>
      </w:pPr>
    </w:p>
    <w:p w:rsidR="004D7D95" w:rsidRPr="00016BB9" w:rsidRDefault="004D7D95" w:rsidP="00F60246">
      <w:pPr>
        <w:widowControl w:val="0"/>
        <w:jc w:val="both"/>
        <w:rPr>
          <w:lang w:val="fr-CA"/>
        </w:rPr>
      </w:pPr>
    </w:p>
    <w:p w:rsidR="004D7D95" w:rsidRPr="00016BB9" w:rsidRDefault="004D7D95" w:rsidP="00F60246">
      <w:pPr>
        <w:widowControl w:val="0"/>
        <w:jc w:val="both"/>
        <w:rPr>
          <w:lang w:val="fr-CA"/>
        </w:rPr>
      </w:pPr>
    </w:p>
    <w:p w:rsidR="004D7D95" w:rsidRPr="00016BB9" w:rsidRDefault="000947E8" w:rsidP="00F60246">
      <w:pPr>
        <w:widowControl w:val="0"/>
        <w:jc w:val="both"/>
        <w:rPr>
          <w:lang w:val="fr-CA"/>
        </w:rPr>
      </w:pPr>
      <w:r w:rsidRPr="00016BB9">
        <w:rPr>
          <w:lang w:val="fr-CA"/>
        </w:rPr>
        <w:t>2018 </w:t>
      </w:r>
      <w:r w:rsidR="00D17B0E" w:rsidRPr="00016BB9">
        <w:rPr>
          <w:lang w:val="fr-CA"/>
        </w:rPr>
        <w:t>: 16 janvier</w:t>
      </w:r>
      <w:r w:rsidR="004D7D95" w:rsidRPr="00016BB9">
        <w:rPr>
          <w:lang w:val="fr-CA"/>
        </w:rPr>
        <w:t>.</w:t>
      </w:r>
    </w:p>
    <w:p w:rsidR="004D7D95" w:rsidRPr="00016BB9" w:rsidRDefault="004D7D95" w:rsidP="00F60246">
      <w:pPr>
        <w:widowControl w:val="0"/>
        <w:jc w:val="both"/>
        <w:rPr>
          <w:lang w:val="fr-CA"/>
        </w:rPr>
      </w:pPr>
    </w:p>
    <w:p w:rsidR="004D7D95" w:rsidRPr="00016BB9" w:rsidRDefault="004D7D95" w:rsidP="00F60246">
      <w:pPr>
        <w:widowControl w:val="0"/>
        <w:jc w:val="both"/>
        <w:rPr>
          <w:lang w:val="fr-CA"/>
        </w:rPr>
      </w:pPr>
    </w:p>
    <w:p w:rsidR="004D7D95" w:rsidRPr="00016BB9" w:rsidRDefault="004D7D95" w:rsidP="00F60246">
      <w:pPr>
        <w:widowControl w:val="0"/>
        <w:jc w:val="both"/>
        <w:rPr>
          <w:lang w:val="fr-CA"/>
        </w:rPr>
      </w:pPr>
    </w:p>
    <w:p w:rsidR="004D7D95" w:rsidRPr="00016BB9" w:rsidRDefault="004D7D95" w:rsidP="00F60246">
      <w:pPr>
        <w:widowControl w:val="0"/>
        <w:rPr>
          <w:lang w:val="fr-CA"/>
        </w:rPr>
      </w:pPr>
      <w:r w:rsidRPr="00016BB9">
        <w:rPr>
          <w:lang w:val="fr-CA"/>
        </w:rPr>
        <w:t>Présents : Le juge en chef Wagner et les juges Abella, Moldaver, Karakatsanis, Gascon, Côté, Brown, Rowe et Martin.</w:t>
      </w:r>
    </w:p>
    <w:p w:rsidR="004D7D95" w:rsidRPr="00016BB9" w:rsidRDefault="004D7D95" w:rsidP="00F60246">
      <w:pPr>
        <w:widowControl w:val="0"/>
        <w:jc w:val="both"/>
        <w:rPr>
          <w:lang w:val="fr-CA"/>
        </w:rPr>
      </w:pPr>
    </w:p>
    <w:p w:rsidR="00EE0830" w:rsidRPr="00016BB9" w:rsidRDefault="00EE0830" w:rsidP="00F60246">
      <w:pPr>
        <w:widowControl w:val="0"/>
        <w:jc w:val="both"/>
        <w:rPr>
          <w:lang w:val="fr-CA"/>
        </w:rPr>
      </w:pPr>
    </w:p>
    <w:p w:rsidR="00EE0830" w:rsidRPr="00016BB9" w:rsidRDefault="00EE0830" w:rsidP="00F60246">
      <w:pPr>
        <w:widowControl w:val="0"/>
        <w:jc w:val="both"/>
        <w:rPr>
          <w:lang w:val="fr-CA"/>
        </w:rPr>
      </w:pPr>
    </w:p>
    <w:p w:rsidR="002B6FBE" w:rsidRPr="00016BB9" w:rsidRDefault="002B6FBE" w:rsidP="00F60246">
      <w:pPr>
        <w:widowControl w:val="0"/>
        <w:jc w:val="both"/>
        <w:rPr>
          <w:lang w:val="fr-CA"/>
        </w:rPr>
      </w:pPr>
    </w:p>
    <w:p w:rsidR="004D7D95" w:rsidRPr="00016BB9" w:rsidRDefault="004D7D95" w:rsidP="00F60246">
      <w:pPr>
        <w:widowControl w:val="0"/>
        <w:spacing w:after="480"/>
        <w:jc w:val="both"/>
        <w:rPr>
          <w:smallCaps/>
          <w:lang w:val="fr-CA"/>
        </w:rPr>
      </w:pPr>
      <w:r w:rsidRPr="00016BB9">
        <w:rPr>
          <w:smallCaps/>
          <w:lang w:val="fr-CA"/>
        </w:rPr>
        <w:t>en appel de la cour d</w:t>
      </w:r>
      <w:r w:rsidR="000947E8" w:rsidRPr="00016BB9">
        <w:rPr>
          <w:smallCaps/>
          <w:lang w:val="fr-CA"/>
        </w:rPr>
        <w:t>’</w:t>
      </w:r>
      <w:r w:rsidRPr="00016BB9">
        <w:rPr>
          <w:smallCaps/>
          <w:lang w:val="fr-CA"/>
        </w:rPr>
        <w:t xml:space="preserve">appel de la </w:t>
      </w:r>
      <w:r w:rsidR="000947E8" w:rsidRPr="00016BB9">
        <w:rPr>
          <w:smallCaps/>
          <w:lang w:val="fr-CA"/>
        </w:rPr>
        <w:t>colombie-britannique</w:t>
      </w:r>
    </w:p>
    <w:p w:rsidR="004D7D95" w:rsidRPr="00016BB9" w:rsidRDefault="004D7D95" w:rsidP="00F60246">
      <w:pPr>
        <w:pStyle w:val="SCCNormalDoubleSpacing"/>
        <w:widowControl w:val="0"/>
        <w:rPr>
          <w:lang w:val="fr-CA"/>
        </w:rPr>
      </w:pPr>
    </w:p>
    <w:p w:rsidR="004D7D95" w:rsidRPr="00A552E2" w:rsidRDefault="004D7D95" w:rsidP="00F60246">
      <w:pPr>
        <w:pStyle w:val="SCCNormalDoubleSpacing"/>
        <w:widowControl w:val="0"/>
        <w:spacing w:after="480"/>
        <w:rPr>
          <w:i/>
          <w:lang w:val="fr-CA"/>
        </w:rPr>
      </w:pPr>
      <w:r w:rsidRPr="00016BB9">
        <w:rPr>
          <w:lang w:val="fr-CA"/>
        </w:rPr>
        <w:lastRenderedPageBreak/>
        <w:tab/>
      </w:r>
      <w:r w:rsidR="009D4EB5" w:rsidRPr="00A552E2">
        <w:rPr>
          <w:i/>
          <w:lang w:val="fr-CA"/>
        </w:rPr>
        <w:t xml:space="preserve">Droit criminel </w:t>
      </w:r>
      <w:r w:rsidR="0092520B">
        <w:rPr>
          <w:i/>
          <w:lang w:val="fr-CA"/>
        </w:rPr>
        <w:t>—</w:t>
      </w:r>
      <w:r w:rsidR="009D4EB5" w:rsidRPr="00A552E2">
        <w:rPr>
          <w:i/>
          <w:lang w:val="fr-CA"/>
        </w:rPr>
        <w:t xml:space="preserve"> </w:t>
      </w:r>
      <w:r w:rsidR="00891AE4" w:rsidRPr="00A552E2">
        <w:rPr>
          <w:i/>
          <w:lang w:val="fr-CA"/>
        </w:rPr>
        <w:t>Défaut d’arrêter lors d’un accident</w:t>
      </w:r>
      <w:r w:rsidR="009D4EB5" w:rsidRPr="00A552E2">
        <w:rPr>
          <w:i/>
          <w:lang w:val="fr-CA"/>
        </w:rPr>
        <w:t xml:space="preserve"> </w:t>
      </w:r>
      <w:r w:rsidR="0092520B">
        <w:rPr>
          <w:i/>
          <w:lang w:val="fr-CA"/>
        </w:rPr>
        <w:t>—</w:t>
      </w:r>
      <w:r w:rsidR="009D4EB5" w:rsidRPr="00A552E2">
        <w:rPr>
          <w:i/>
          <w:lang w:val="fr-CA"/>
        </w:rPr>
        <w:t xml:space="preserve"> Éléments de l’infraction </w:t>
      </w:r>
      <w:r w:rsidR="0092520B">
        <w:rPr>
          <w:i/>
          <w:lang w:val="fr-CA"/>
        </w:rPr>
        <w:t>—</w:t>
      </w:r>
      <w:r w:rsidR="009D4EB5" w:rsidRPr="00A552E2">
        <w:rPr>
          <w:i/>
          <w:lang w:val="fr-CA"/>
        </w:rPr>
        <w:t xml:space="preserve"> Mens rea </w:t>
      </w:r>
      <w:r w:rsidR="0092520B">
        <w:rPr>
          <w:i/>
          <w:lang w:val="fr-CA"/>
        </w:rPr>
        <w:t>—</w:t>
      </w:r>
      <w:r w:rsidR="009D4EB5" w:rsidRPr="00A552E2">
        <w:rPr>
          <w:i/>
          <w:lang w:val="fr-CA"/>
        </w:rPr>
        <w:t xml:space="preserve"> Intent</w:t>
      </w:r>
      <w:r w:rsidR="00891AE4" w:rsidRPr="00A552E2">
        <w:rPr>
          <w:i/>
          <w:lang w:val="fr-CA"/>
        </w:rPr>
        <w:t>ion d’échapper à toute responsabilité civile ou criminelle</w:t>
      </w:r>
      <w:r w:rsidR="009D4EB5" w:rsidRPr="00A552E2">
        <w:rPr>
          <w:i/>
          <w:lang w:val="fr-CA"/>
        </w:rPr>
        <w:t xml:space="preserve"> </w:t>
      </w:r>
      <w:r w:rsidR="0092520B">
        <w:rPr>
          <w:i/>
          <w:lang w:val="fr-CA"/>
        </w:rPr>
        <w:t>—</w:t>
      </w:r>
      <w:r w:rsidR="009D4EB5" w:rsidRPr="00A552E2">
        <w:rPr>
          <w:i/>
          <w:lang w:val="fr-CA"/>
        </w:rPr>
        <w:t xml:space="preserve"> Accus</w:t>
      </w:r>
      <w:r w:rsidR="00891AE4" w:rsidRPr="00A552E2">
        <w:rPr>
          <w:i/>
          <w:lang w:val="fr-CA"/>
        </w:rPr>
        <w:t xml:space="preserve">é </w:t>
      </w:r>
      <w:r w:rsidR="00D743BE">
        <w:rPr>
          <w:i/>
          <w:lang w:val="fr-CA"/>
        </w:rPr>
        <w:t>impliqué dans un accident au volant d’une automobile volée fuyant les lieux de l’accident</w:t>
      </w:r>
      <w:r w:rsidR="009D4EB5" w:rsidRPr="00A552E2">
        <w:rPr>
          <w:i/>
          <w:lang w:val="fr-CA"/>
        </w:rPr>
        <w:t xml:space="preserve"> </w:t>
      </w:r>
      <w:r w:rsidR="0092520B">
        <w:rPr>
          <w:i/>
          <w:lang w:val="fr-CA"/>
        </w:rPr>
        <w:t>—</w:t>
      </w:r>
      <w:r w:rsidR="009D4EB5" w:rsidRPr="00A552E2">
        <w:rPr>
          <w:i/>
          <w:lang w:val="fr-CA"/>
        </w:rPr>
        <w:t xml:space="preserve"> </w:t>
      </w:r>
      <w:r w:rsidR="00891AE4" w:rsidRPr="00A552E2">
        <w:rPr>
          <w:i/>
          <w:lang w:val="fr-CA"/>
        </w:rPr>
        <w:t xml:space="preserve">Admission par l’avocat de la défense </w:t>
      </w:r>
      <w:r w:rsidR="00D743BE">
        <w:rPr>
          <w:i/>
          <w:lang w:val="fr-CA"/>
        </w:rPr>
        <w:t xml:space="preserve">au procès </w:t>
      </w:r>
      <w:r w:rsidR="00891AE4" w:rsidRPr="00A552E2">
        <w:rPr>
          <w:i/>
          <w:lang w:val="fr-CA"/>
        </w:rPr>
        <w:t>que les éléments de l’infraction</w:t>
      </w:r>
      <w:r w:rsidR="00D743BE">
        <w:rPr>
          <w:i/>
          <w:lang w:val="fr-CA"/>
        </w:rPr>
        <w:t xml:space="preserve"> d’avoir omis d’arrêter lors d’un accident</w:t>
      </w:r>
      <w:r w:rsidR="00891AE4" w:rsidRPr="00A552E2">
        <w:rPr>
          <w:i/>
          <w:lang w:val="fr-CA"/>
        </w:rPr>
        <w:t xml:space="preserve"> </w:t>
      </w:r>
      <w:r w:rsidR="00E06E15">
        <w:rPr>
          <w:i/>
          <w:lang w:val="fr-CA"/>
        </w:rPr>
        <w:t>ont ét</w:t>
      </w:r>
      <w:r w:rsidR="00891AE4" w:rsidRPr="00A552E2">
        <w:rPr>
          <w:i/>
          <w:lang w:val="fr-CA"/>
        </w:rPr>
        <w:t>é établis par la Couronne et accusé déclaré coupable de cette infraction</w:t>
      </w:r>
      <w:r w:rsidR="009D4EB5" w:rsidRPr="00A552E2">
        <w:rPr>
          <w:i/>
          <w:lang w:val="fr-CA"/>
        </w:rPr>
        <w:t xml:space="preserve"> </w:t>
      </w:r>
      <w:r w:rsidR="00C16E68">
        <w:rPr>
          <w:i/>
          <w:lang w:val="fr-CA"/>
        </w:rPr>
        <w:t>—</w:t>
      </w:r>
      <w:r w:rsidR="009D4EB5" w:rsidRPr="00A552E2">
        <w:rPr>
          <w:i/>
          <w:lang w:val="fr-CA"/>
        </w:rPr>
        <w:t xml:space="preserve"> </w:t>
      </w:r>
      <w:r w:rsidR="00891AE4" w:rsidRPr="00A552E2">
        <w:rPr>
          <w:i/>
          <w:lang w:val="fr-CA"/>
        </w:rPr>
        <w:t xml:space="preserve">Rejet par la Cour d’appel de l’argument de l’accusé </w:t>
      </w:r>
      <w:r w:rsidR="00A552E2" w:rsidRPr="00A552E2">
        <w:rPr>
          <w:i/>
          <w:lang w:val="fr-CA"/>
        </w:rPr>
        <w:t>fondé sur l’assistance ineffective re</w:t>
      </w:r>
      <w:r w:rsidR="00A552E2">
        <w:rPr>
          <w:i/>
          <w:lang w:val="fr-CA"/>
        </w:rPr>
        <w:t>çue de son avocat</w:t>
      </w:r>
      <w:r w:rsidR="00E06E15">
        <w:rPr>
          <w:i/>
          <w:lang w:val="fr-CA"/>
        </w:rPr>
        <w:t>,</w:t>
      </w:r>
      <w:r w:rsidR="00A552E2">
        <w:rPr>
          <w:i/>
          <w:lang w:val="fr-CA"/>
        </w:rPr>
        <w:t xml:space="preserve"> et conclusion de la cour portant que l’expression « </w:t>
      </w:r>
      <w:r w:rsidR="004D75F2">
        <w:rPr>
          <w:i/>
          <w:lang w:val="fr-CA"/>
        </w:rPr>
        <w:t xml:space="preserve">toute responsabilité civile ou criminelle » doit être interprétée largement et s’entend de toute responsabilité, civile ou criminelle, </w:t>
      </w:r>
      <w:r w:rsidR="00F237CC">
        <w:rPr>
          <w:i/>
          <w:lang w:val="fr-CA"/>
        </w:rPr>
        <w:t xml:space="preserve">logiquement </w:t>
      </w:r>
      <w:r w:rsidR="004D75F2">
        <w:rPr>
          <w:i/>
          <w:lang w:val="fr-CA"/>
        </w:rPr>
        <w:t xml:space="preserve">susceptible de découler </w:t>
      </w:r>
      <w:r w:rsidR="00F237CC">
        <w:rPr>
          <w:i/>
          <w:lang w:val="fr-CA"/>
        </w:rPr>
        <w:t>de la conduite d’un véhicule à moteur lorsqu’un accident se produit</w:t>
      </w:r>
      <w:r w:rsidR="009D4EB5" w:rsidRPr="00A552E2">
        <w:rPr>
          <w:i/>
          <w:lang w:val="fr-CA"/>
        </w:rPr>
        <w:t xml:space="preserve"> </w:t>
      </w:r>
      <w:r w:rsidR="00C16E68">
        <w:rPr>
          <w:i/>
          <w:lang w:val="fr-CA"/>
        </w:rPr>
        <w:t>—</w:t>
      </w:r>
      <w:r w:rsidR="009D4EB5" w:rsidRPr="00A552E2">
        <w:rPr>
          <w:i/>
          <w:lang w:val="fr-CA"/>
        </w:rPr>
        <w:t xml:space="preserve"> Co</w:t>
      </w:r>
      <w:r w:rsidR="00F237CC">
        <w:rPr>
          <w:i/>
          <w:lang w:val="fr-CA"/>
        </w:rPr>
        <w:t>nclusion de la Cour d’appel portan</w:t>
      </w:r>
      <w:r w:rsidR="00D743BE">
        <w:rPr>
          <w:i/>
          <w:lang w:val="fr-CA"/>
        </w:rPr>
        <w:t xml:space="preserve">t que le fait d’avoir conduit une </w:t>
      </w:r>
      <w:r w:rsidR="00F237CC">
        <w:rPr>
          <w:i/>
          <w:lang w:val="fr-CA"/>
        </w:rPr>
        <w:t>au</w:t>
      </w:r>
      <w:r w:rsidR="00D743BE">
        <w:rPr>
          <w:i/>
          <w:lang w:val="fr-CA"/>
        </w:rPr>
        <w:t xml:space="preserve">tomobile volée impliquée dans un </w:t>
      </w:r>
      <w:r w:rsidR="00F237CC">
        <w:rPr>
          <w:i/>
          <w:lang w:val="fr-CA"/>
        </w:rPr>
        <w:t>accident et d’avoir pris la fui</w:t>
      </w:r>
      <w:r w:rsidR="00D743BE">
        <w:rPr>
          <w:i/>
          <w:lang w:val="fr-CA"/>
        </w:rPr>
        <w:t>te pour éviter d’être identifié</w:t>
      </w:r>
      <w:r w:rsidR="00F237CC">
        <w:rPr>
          <w:i/>
          <w:lang w:val="fr-CA"/>
        </w:rPr>
        <w:t xml:space="preserve"> comme </w:t>
      </w:r>
      <w:r w:rsidR="00D743BE">
        <w:rPr>
          <w:i/>
          <w:lang w:val="fr-CA"/>
        </w:rPr>
        <w:t xml:space="preserve">en </w:t>
      </w:r>
      <w:r w:rsidR="00F237CC">
        <w:rPr>
          <w:i/>
          <w:lang w:val="fr-CA"/>
        </w:rPr>
        <w:t xml:space="preserve">étant le conducteur est suffisamment lié </w:t>
      </w:r>
      <w:r w:rsidR="00EE336D">
        <w:rPr>
          <w:i/>
          <w:lang w:val="fr-CA"/>
        </w:rPr>
        <w:t xml:space="preserve">à l’événement en cause pour </w:t>
      </w:r>
      <w:r w:rsidR="00E06E15">
        <w:rPr>
          <w:i/>
          <w:lang w:val="fr-CA"/>
        </w:rPr>
        <w:t>relever du champ d’application de la disposition législative, et que le fait d’avoir fui afin d’éviter d’être arrêté en tant que conducteur d’un véhicule volé ne constitue pas une « preuve contraire »</w:t>
      </w:r>
      <w:r w:rsidR="009D4EB5" w:rsidRPr="00A552E2">
        <w:rPr>
          <w:i/>
          <w:lang w:val="fr-CA"/>
        </w:rPr>
        <w:t xml:space="preserve"> </w:t>
      </w:r>
      <w:r w:rsidR="00C16E68">
        <w:rPr>
          <w:i/>
          <w:lang w:val="fr-CA"/>
        </w:rPr>
        <w:t xml:space="preserve">— </w:t>
      </w:r>
      <w:r w:rsidR="00E06E15">
        <w:rPr>
          <w:i/>
          <w:lang w:val="fr-CA"/>
        </w:rPr>
        <w:t>Déclaration de culpabilité confirmée</w:t>
      </w:r>
      <w:r w:rsidR="009D4EB5" w:rsidRPr="00A552E2">
        <w:rPr>
          <w:i/>
          <w:lang w:val="fr-CA"/>
        </w:rPr>
        <w:t xml:space="preserve"> </w:t>
      </w:r>
      <w:r w:rsidR="00C16E68">
        <w:rPr>
          <w:i/>
          <w:lang w:val="fr-CA"/>
        </w:rPr>
        <w:t>—</w:t>
      </w:r>
      <w:r w:rsidR="009D4EB5" w:rsidRPr="00A552E2">
        <w:rPr>
          <w:i/>
          <w:lang w:val="fr-CA"/>
        </w:rPr>
        <w:t xml:space="preserve"> C</w:t>
      </w:r>
      <w:r w:rsidR="00891AE4" w:rsidRPr="00A552E2">
        <w:rPr>
          <w:i/>
          <w:lang w:val="fr-CA"/>
        </w:rPr>
        <w:t>ode criminel</w:t>
      </w:r>
      <w:r w:rsidR="009D4EB5" w:rsidRPr="00A552E2">
        <w:rPr>
          <w:i/>
          <w:lang w:val="fr-CA"/>
        </w:rPr>
        <w:t xml:space="preserve">, </w:t>
      </w:r>
      <w:r w:rsidR="00891AE4" w:rsidRPr="00A552E2">
        <w:rPr>
          <w:i/>
          <w:lang w:val="fr-CA"/>
        </w:rPr>
        <w:t>L.R.C.</w:t>
      </w:r>
      <w:r w:rsidR="009D4EB5" w:rsidRPr="00A552E2">
        <w:rPr>
          <w:i/>
          <w:lang w:val="fr-CA"/>
        </w:rPr>
        <w:t xml:space="preserve"> 1985, c. C-46, </w:t>
      </w:r>
      <w:r w:rsidR="00891AE4" w:rsidRPr="00A552E2">
        <w:rPr>
          <w:i/>
          <w:lang w:val="fr-CA"/>
        </w:rPr>
        <w:t>art</w:t>
      </w:r>
      <w:r w:rsidR="009D4EB5" w:rsidRPr="00A552E2">
        <w:rPr>
          <w:i/>
          <w:lang w:val="fr-CA"/>
        </w:rPr>
        <w:t>. 252(1), (2).</w:t>
      </w:r>
    </w:p>
    <w:p w:rsidR="00191DB1" w:rsidRPr="005537F2" w:rsidRDefault="00191DB1" w:rsidP="00F60246">
      <w:pPr>
        <w:pStyle w:val="SCCNormalDoubleSpacing"/>
        <w:widowControl w:val="0"/>
        <w:spacing w:after="720" w:line="240" w:lineRule="auto"/>
        <w:rPr>
          <w:b/>
          <w:lang w:val="fr-CA"/>
        </w:rPr>
      </w:pPr>
      <w:r w:rsidRPr="005537F2">
        <w:rPr>
          <w:b/>
          <w:lang w:val="fr-CA"/>
        </w:rPr>
        <w:t>Lois et règlements cités</w:t>
      </w:r>
    </w:p>
    <w:p w:rsidR="004D7D95" w:rsidRDefault="00191DB1" w:rsidP="00F60246">
      <w:pPr>
        <w:pStyle w:val="SCCNormalDoubleSpacing"/>
        <w:widowControl w:val="0"/>
        <w:spacing w:line="240" w:lineRule="auto"/>
        <w:rPr>
          <w:lang w:val="fr-CA"/>
        </w:rPr>
      </w:pPr>
      <w:r w:rsidRPr="00616DE1">
        <w:rPr>
          <w:i/>
          <w:lang w:val="fr-CA"/>
        </w:rPr>
        <w:t>Code criminel</w:t>
      </w:r>
      <w:r w:rsidRPr="00616DE1">
        <w:rPr>
          <w:lang w:val="fr-CA"/>
        </w:rPr>
        <w:t>, L.R.C. 1985, c. C-46</w:t>
      </w:r>
      <w:r>
        <w:rPr>
          <w:lang w:val="fr-CA"/>
        </w:rPr>
        <w:t>, art. 252(1).</w:t>
      </w:r>
    </w:p>
    <w:p w:rsidR="00191DB1" w:rsidRDefault="00191DB1" w:rsidP="00F60246">
      <w:pPr>
        <w:pStyle w:val="SCCNormalDoubleSpacing"/>
        <w:widowControl w:val="0"/>
        <w:rPr>
          <w:lang w:val="fr-CA"/>
        </w:rPr>
      </w:pPr>
    </w:p>
    <w:p w:rsidR="004D7D95" w:rsidRPr="00016BB9" w:rsidRDefault="004D7D95" w:rsidP="00F60246">
      <w:pPr>
        <w:pStyle w:val="SCCNormalDoubleSpacing"/>
        <w:widowControl w:val="0"/>
        <w:rPr>
          <w:lang w:val="fr-CA"/>
        </w:rPr>
      </w:pPr>
      <w:r w:rsidRPr="00A552E2">
        <w:rPr>
          <w:lang w:val="fr-CA"/>
        </w:rPr>
        <w:tab/>
      </w:r>
      <w:r w:rsidRPr="00016BB9">
        <w:rPr>
          <w:lang w:val="fr-CA"/>
        </w:rPr>
        <w:t>POURVOI contre un arrêt de la Cour d</w:t>
      </w:r>
      <w:r w:rsidR="000947E8" w:rsidRPr="00016BB9">
        <w:rPr>
          <w:lang w:val="fr-CA"/>
        </w:rPr>
        <w:t>’</w:t>
      </w:r>
      <w:r w:rsidRPr="00016BB9">
        <w:rPr>
          <w:lang w:val="fr-CA"/>
        </w:rPr>
        <w:t>appel de la Colombie-Britannique (</w:t>
      </w:r>
      <w:r w:rsidR="00016BB9" w:rsidRPr="00016BB9">
        <w:rPr>
          <w:lang w:val="fr-CA"/>
        </w:rPr>
        <w:t xml:space="preserve">les juges Smith, Bennett </w:t>
      </w:r>
      <w:r w:rsidR="00587CD4">
        <w:rPr>
          <w:lang w:val="fr-CA"/>
        </w:rPr>
        <w:t>et</w:t>
      </w:r>
      <w:r w:rsidR="00016BB9" w:rsidRPr="00016BB9">
        <w:rPr>
          <w:lang w:val="fr-CA"/>
        </w:rPr>
        <w:t xml:space="preserve"> MacKenzie</w:t>
      </w:r>
      <w:r w:rsidRPr="00016BB9">
        <w:rPr>
          <w:lang w:val="fr-CA"/>
        </w:rPr>
        <w:t>)</w:t>
      </w:r>
      <w:r w:rsidR="00016BB9" w:rsidRPr="00016BB9">
        <w:rPr>
          <w:lang w:val="fr-CA"/>
        </w:rPr>
        <w:t xml:space="preserve">, </w:t>
      </w:r>
      <w:r w:rsidR="00364F31" w:rsidRPr="00364F31">
        <w:rPr>
          <w:lang w:val="fr-CA"/>
        </w:rPr>
        <w:t>2017 BCCA 54, 344 C.C.C. (3d) 401, 5 M.V.R. (7th) 179, 35 C.R. (7th) 196, [2017] B.C.J. No. 176 (QL), 2017 CarswellBC 226 (WL Can.),</w:t>
      </w:r>
      <w:r w:rsidR="00364F31">
        <w:rPr>
          <w:lang w:val="fr-CA"/>
        </w:rPr>
        <w:t xml:space="preserve"> </w:t>
      </w:r>
      <w:r w:rsidR="00587CD4">
        <w:rPr>
          <w:lang w:val="fr-CA"/>
        </w:rPr>
        <w:t xml:space="preserve">qui a </w:t>
      </w:r>
      <w:r w:rsidR="00364F31" w:rsidRPr="00587CD4">
        <w:rPr>
          <w:lang w:val="fr-CA"/>
        </w:rPr>
        <w:t>confirm</w:t>
      </w:r>
      <w:r w:rsidR="00587CD4">
        <w:rPr>
          <w:lang w:val="fr-CA"/>
        </w:rPr>
        <w:t>é la déclaration</w:t>
      </w:r>
      <w:r w:rsidR="00364F31" w:rsidRPr="00587CD4">
        <w:rPr>
          <w:lang w:val="fr-CA"/>
        </w:rPr>
        <w:t xml:space="preserve"> de culpabilité </w:t>
      </w:r>
      <w:r w:rsidR="00587CD4">
        <w:rPr>
          <w:lang w:val="fr-CA"/>
        </w:rPr>
        <w:t xml:space="preserve">pour </w:t>
      </w:r>
      <w:r w:rsidR="009D470E">
        <w:rPr>
          <w:lang w:val="fr-CA"/>
        </w:rPr>
        <w:t xml:space="preserve">défaut </w:t>
      </w:r>
      <w:r w:rsidR="00587CD4">
        <w:rPr>
          <w:lang w:val="fr-CA"/>
        </w:rPr>
        <w:t xml:space="preserve">d’arrêter lors </w:t>
      </w:r>
      <w:r w:rsidR="00587CD4">
        <w:rPr>
          <w:lang w:val="fr-CA"/>
        </w:rPr>
        <w:lastRenderedPageBreak/>
        <w:t xml:space="preserve">d’un accident </w:t>
      </w:r>
      <w:r w:rsidR="001F6B42" w:rsidRPr="00587CD4">
        <w:rPr>
          <w:lang w:val="fr-CA"/>
        </w:rPr>
        <w:t>prononcée contre l’accusé</w:t>
      </w:r>
      <w:r w:rsidR="00364F31">
        <w:rPr>
          <w:lang w:val="fr-CA"/>
        </w:rPr>
        <w:t xml:space="preserve">. </w:t>
      </w:r>
      <w:r w:rsidR="00D5769C">
        <w:rPr>
          <w:lang w:val="fr-CA"/>
        </w:rPr>
        <w:t xml:space="preserve">Pourvoi </w:t>
      </w:r>
      <w:r w:rsidR="004B72A7" w:rsidRPr="004B72A7">
        <w:rPr>
          <w:lang w:val="fr-CA"/>
        </w:rPr>
        <w:t>rejeté</w:t>
      </w:r>
      <w:r w:rsidR="00D5769C">
        <w:rPr>
          <w:lang w:val="fr-CA"/>
        </w:rPr>
        <w:t>.</w:t>
      </w:r>
    </w:p>
    <w:p w:rsidR="004D7D95" w:rsidRPr="00016BB9" w:rsidRDefault="004D7D95" w:rsidP="00F60246">
      <w:pPr>
        <w:pStyle w:val="SCCNormalDoubleSpacing"/>
        <w:widowControl w:val="0"/>
        <w:rPr>
          <w:lang w:val="fr-CA"/>
        </w:rPr>
      </w:pPr>
    </w:p>
    <w:p w:rsidR="008E2750" w:rsidRPr="00016BB9" w:rsidRDefault="006B0AD8" w:rsidP="00F60246">
      <w:pPr>
        <w:pStyle w:val="SCCNormalDoubleSpacing"/>
        <w:widowControl w:val="0"/>
        <w:rPr>
          <w:lang w:val="fr-CA"/>
        </w:rPr>
      </w:pPr>
      <w:r w:rsidRPr="00016BB9">
        <w:rPr>
          <w:rStyle w:val="SCCCounselNameChar"/>
          <w:lang w:val="fr-CA"/>
        </w:rPr>
        <w:tab/>
        <w:t>Nicholas J. Preovolos</w:t>
      </w:r>
      <w:r w:rsidR="00DD0E85" w:rsidRPr="00DD0E85">
        <w:rPr>
          <w:rStyle w:val="SCCCounselNameChar"/>
          <w:i w:val="0"/>
          <w:lang w:val="fr-CA"/>
        </w:rPr>
        <w:t>,</w:t>
      </w:r>
      <w:r w:rsidRPr="00016BB9">
        <w:rPr>
          <w:rStyle w:val="SCCCounselSeparatorChar"/>
          <w:lang w:val="fr-CA"/>
        </w:rPr>
        <w:t xml:space="preserve"> </w:t>
      </w:r>
      <w:r w:rsidR="00DD0E85" w:rsidRPr="00DD0E85">
        <w:rPr>
          <w:rStyle w:val="SCCCounselSeparatorChar"/>
          <w:i/>
          <w:lang w:val="fr-CA"/>
        </w:rPr>
        <w:t>Michael Sobkin</w:t>
      </w:r>
      <w:r w:rsidR="00DD0E85">
        <w:rPr>
          <w:rStyle w:val="SCCCounselSeparatorChar"/>
          <w:lang w:val="fr-CA"/>
        </w:rPr>
        <w:t xml:space="preserve"> </w:t>
      </w:r>
      <w:r w:rsidRPr="00016BB9">
        <w:rPr>
          <w:rStyle w:val="SCCCounselSeparatorChar"/>
          <w:lang w:val="fr-CA"/>
        </w:rPr>
        <w:t xml:space="preserve">et </w:t>
      </w:r>
      <w:r w:rsidRPr="00016BB9">
        <w:rPr>
          <w:rStyle w:val="SCCCounselNameChar"/>
          <w:lang w:val="fr-CA"/>
        </w:rPr>
        <w:t>Harry G. Stevenson</w:t>
      </w:r>
      <w:r w:rsidRPr="00016BB9">
        <w:rPr>
          <w:rStyle w:val="SCCCounselPartyRoleChar"/>
          <w:lang w:val="fr-CA"/>
        </w:rPr>
        <w:t>, pour l</w:t>
      </w:r>
      <w:r w:rsidR="000947E8" w:rsidRPr="00016BB9">
        <w:rPr>
          <w:rStyle w:val="SCCCounselPartyRoleChar"/>
          <w:lang w:val="fr-CA"/>
        </w:rPr>
        <w:t>’</w:t>
      </w:r>
      <w:r w:rsidR="0090423D">
        <w:rPr>
          <w:rStyle w:val="SCCCounselPartyRoleChar"/>
          <w:lang w:val="fr-CA"/>
        </w:rPr>
        <w:t>appelant</w:t>
      </w:r>
      <w:r w:rsidRPr="00016BB9">
        <w:rPr>
          <w:rStyle w:val="SCCCounselPartyRoleChar"/>
          <w:lang w:val="fr-CA"/>
        </w:rPr>
        <w:t>.</w:t>
      </w:r>
    </w:p>
    <w:p w:rsidR="008E2750" w:rsidRPr="00016BB9" w:rsidRDefault="008E2750" w:rsidP="00F60246">
      <w:pPr>
        <w:pStyle w:val="SCCNormalDoubleSpacing"/>
        <w:widowControl w:val="0"/>
        <w:rPr>
          <w:lang w:val="fr-CA"/>
        </w:rPr>
      </w:pPr>
    </w:p>
    <w:p w:rsidR="008E2750" w:rsidRPr="00016BB9" w:rsidRDefault="006B0AD8" w:rsidP="00F60246">
      <w:pPr>
        <w:pStyle w:val="SCCNormalDoubleSpacing"/>
        <w:widowControl w:val="0"/>
        <w:rPr>
          <w:lang w:val="fr-CA"/>
        </w:rPr>
      </w:pPr>
      <w:r w:rsidRPr="00016BB9">
        <w:rPr>
          <w:rStyle w:val="SCCCounselNameChar"/>
          <w:lang w:val="fr-CA"/>
        </w:rPr>
        <w:tab/>
        <w:t>Megan A. Street</w:t>
      </w:r>
      <w:r w:rsidRPr="00016BB9">
        <w:rPr>
          <w:rStyle w:val="SCCCounselPartyRoleChar"/>
          <w:lang w:val="fr-CA"/>
        </w:rPr>
        <w:t>, pour l</w:t>
      </w:r>
      <w:r w:rsidR="000947E8" w:rsidRPr="00016BB9">
        <w:rPr>
          <w:rStyle w:val="SCCCounselPartyRoleChar"/>
          <w:lang w:val="fr-CA"/>
        </w:rPr>
        <w:t>’</w:t>
      </w:r>
      <w:r w:rsidR="0090423D">
        <w:rPr>
          <w:rStyle w:val="SCCCounselPartyRoleChar"/>
          <w:lang w:val="fr-CA"/>
        </w:rPr>
        <w:t>intimée</w:t>
      </w:r>
      <w:r w:rsidRPr="00016BB9">
        <w:rPr>
          <w:rStyle w:val="SCCCounselPartyRoleChar"/>
          <w:lang w:val="fr-CA"/>
        </w:rPr>
        <w:t>.</w:t>
      </w:r>
    </w:p>
    <w:p w:rsidR="008E2750" w:rsidRPr="00016BB9" w:rsidRDefault="008E2750" w:rsidP="00F60246">
      <w:pPr>
        <w:pStyle w:val="SCCNormalDoubleSpacing"/>
        <w:widowControl w:val="0"/>
        <w:rPr>
          <w:lang w:val="fr-CA"/>
        </w:rPr>
      </w:pPr>
    </w:p>
    <w:p w:rsidR="008E2750" w:rsidRDefault="006B0AD8" w:rsidP="00F60246">
      <w:pPr>
        <w:pStyle w:val="SCCNormalDoubleSpacing"/>
        <w:widowControl w:val="0"/>
        <w:rPr>
          <w:rStyle w:val="SCCCounselPartyRoleChar"/>
          <w:lang w:val="fr-CA"/>
        </w:rPr>
      </w:pPr>
      <w:r w:rsidRPr="00016BB9">
        <w:rPr>
          <w:rStyle w:val="SCCCounselNameChar"/>
          <w:lang w:val="fr-CA"/>
        </w:rPr>
        <w:tab/>
      </w:r>
      <w:r w:rsidR="00DD0E85" w:rsidRPr="00016BB9">
        <w:rPr>
          <w:rStyle w:val="SCCCounselNameChar"/>
          <w:lang w:val="fr-CA"/>
        </w:rPr>
        <w:t xml:space="preserve">Mark Covan </w:t>
      </w:r>
      <w:r w:rsidR="00DD0E85" w:rsidRPr="00016BB9">
        <w:rPr>
          <w:rStyle w:val="SCCCounselSeparatorChar"/>
          <w:lang w:val="fr-CA"/>
        </w:rPr>
        <w:t>et</w:t>
      </w:r>
      <w:r w:rsidR="00DD0E85" w:rsidRPr="00016BB9">
        <w:rPr>
          <w:rStyle w:val="SCCCounselNameChar"/>
          <w:lang w:val="fr-CA"/>
        </w:rPr>
        <w:t xml:space="preserve"> </w:t>
      </w:r>
      <w:r w:rsidRPr="00016BB9">
        <w:rPr>
          <w:rStyle w:val="SCCCounselNameChar"/>
          <w:lang w:val="fr-CA"/>
        </w:rPr>
        <w:t>Eric Marcoux</w:t>
      </w:r>
      <w:r w:rsidRPr="00016BB9">
        <w:rPr>
          <w:rStyle w:val="SCCCounselPartyRoleChar"/>
          <w:lang w:val="fr-CA"/>
        </w:rPr>
        <w:t>, pour l</w:t>
      </w:r>
      <w:r w:rsidR="000947E8" w:rsidRPr="00016BB9">
        <w:rPr>
          <w:rStyle w:val="SCCCounselPartyRoleChar"/>
          <w:lang w:val="fr-CA"/>
        </w:rPr>
        <w:t>’</w:t>
      </w:r>
      <w:r w:rsidR="0090423D">
        <w:rPr>
          <w:rStyle w:val="SCCCounselPartyRoleChar"/>
          <w:lang w:val="fr-CA"/>
        </w:rPr>
        <w:t>intervenant</w:t>
      </w:r>
      <w:r w:rsidRPr="00016BB9">
        <w:rPr>
          <w:rStyle w:val="SCCCounselPartyRoleChar"/>
          <w:lang w:val="fr-CA"/>
        </w:rPr>
        <w:t>.</w:t>
      </w:r>
    </w:p>
    <w:p w:rsidR="0090423D" w:rsidRPr="00016BB9" w:rsidRDefault="0090423D" w:rsidP="00F60246">
      <w:pPr>
        <w:pStyle w:val="SCCNormalDoubleSpacing"/>
        <w:widowControl w:val="0"/>
        <w:rPr>
          <w:lang w:val="fr-CA"/>
        </w:rPr>
      </w:pPr>
    </w:p>
    <w:p w:rsidR="0090423D" w:rsidRPr="00691D0F" w:rsidRDefault="0090423D" w:rsidP="00F60246">
      <w:pPr>
        <w:pStyle w:val="SCCNormalDoubleSpacing"/>
        <w:widowControl w:val="0"/>
        <w:rPr>
          <w:lang w:val="fr-CA"/>
        </w:rPr>
      </w:pPr>
      <w:r w:rsidRPr="006C4CB8">
        <w:rPr>
          <w:lang w:val="fr-CA"/>
        </w:rPr>
        <w:tab/>
      </w:r>
      <w:r w:rsidRPr="00691D0F">
        <w:rPr>
          <w:lang w:val="fr-CA"/>
        </w:rPr>
        <w:t xml:space="preserve">Version française du jugement </w:t>
      </w:r>
      <w:r w:rsidRPr="004B72A7">
        <w:rPr>
          <w:lang w:val="fr-CA"/>
        </w:rPr>
        <w:t>de la Cour</w:t>
      </w:r>
      <w:r>
        <w:rPr>
          <w:lang w:val="fr-CA"/>
        </w:rPr>
        <w:t xml:space="preserve"> rendu oralement par</w:t>
      </w:r>
      <w:r w:rsidRPr="00691D0F">
        <w:rPr>
          <w:lang w:val="fr-CA"/>
        </w:rPr>
        <w:t xml:space="preserve"> </w:t>
      </w:r>
    </w:p>
    <w:p w:rsidR="006B0AD8" w:rsidRDefault="000F294C" w:rsidP="00F60246">
      <w:pPr>
        <w:pStyle w:val="SCCNormalDoubleSpacing"/>
        <w:widowControl w:val="0"/>
        <w:numPr>
          <w:ilvl w:val="0"/>
          <w:numId w:val="1"/>
        </w:numPr>
        <w:spacing w:before="480" w:after="480"/>
        <w:ind w:left="0" w:firstLine="0"/>
        <w:rPr>
          <w:lang w:val="fr-CA"/>
        </w:rPr>
      </w:pPr>
      <w:r>
        <w:rPr>
          <w:smallCaps/>
          <w:lang w:val="fr-CA"/>
        </w:rPr>
        <w:t>Le j</w:t>
      </w:r>
      <w:r w:rsidR="00587CD4">
        <w:rPr>
          <w:smallCaps/>
          <w:lang w:val="fr-CA"/>
        </w:rPr>
        <w:t>uge en c</w:t>
      </w:r>
      <w:r w:rsidR="004B72A7" w:rsidRPr="004B72A7">
        <w:rPr>
          <w:smallCaps/>
          <w:lang w:val="fr-CA"/>
        </w:rPr>
        <w:t>hef</w:t>
      </w:r>
      <w:r w:rsidR="0090423D" w:rsidRPr="003503E3">
        <w:rPr>
          <w:lang w:val="fr-CA"/>
        </w:rPr>
        <w:t xml:space="preserve"> — </w:t>
      </w:r>
      <w:r w:rsidR="004B72A7">
        <w:rPr>
          <w:lang w:val="fr-CA"/>
        </w:rPr>
        <w:t xml:space="preserve">Monsieur Seipp a été déclaré coupable d’avoir omis d’arrêter lors d’un accident, infraction prévue au par. 252(1) du </w:t>
      </w:r>
      <w:r w:rsidR="004B72A7" w:rsidRPr="000F4926">
        <w:rPr>
          <w:i/>
          <w:lang w:val="fr-CA"/>
        </w:rPr>
        <w:t>Code criminel</w:t>
      </w:r>
      <w:r w:rsidR="004B72A7">
        <w:rPr>
          <w:lang w:val="fr-CA"/>
        </w:rPr>
        <w:t>, L.R.C. 1985, c. C-46. La Cour d’appel de la Colombie-Britannique a confirmé la déclaration de culpabilité. Nous ne modifierons pas cette décision.</w:t>
      </w:r>
    </w:p>
    <w:p w:rsidR="004B72A7" w:rsidRDefault="004B72A7" w:rsidP="00F60246">
      <w:pPr>
        <w:pStyle w:val="SCCNormalDoubleSpacing"/>
        <w:widowControl w:val="0"/>
        <w:numPr>
          <w:ilvl w:val="0"/>
          <w:numId w:val="1"/>
        </w:numPr>
        <w:spacing w:before="480" w:after="480"/>
        <w:ind w:left="0" w:firstLine="0"/>
        <w:rPr>
          <w:lang w:val="fr-CA"/>
        </w:rPr>
      </w:pPr>
      <w:r>
        <w:rPr>
          <w:lang w:val="fr-CA"/>
        </w:rPr>
        <w:t>Nous sommes tous d’avis que la déclaration de culpabilité prononcée contre M. Seipp ne constitue pas une erreur judiciaire. Ce dernier avait le contrôle d’un véhicule impliqué dans un accident. Il a fui les lieux de l’accident sans donner ses nom et adresse. Vu l’absence de preuve contraire, ce comportement prouvait l’intention requise à l’égard de cette infraction.</w:t>
      </w:r>
    </w:p>
    <w:p w:rsidR="006B0AD8" w:rsidRPr="00177C1B" w:rsidRDefault="004B72A7" w:rsidP="00F60246">
      <w:pPr>
        <w:pStyle w:val="SCCNormalDoubleSpacing"/>
        <w:widowControl w:val="0"/>
        <w:numPr>
          <w:ilvl w:val="0"/>
          <w:numId w:val="1"/>
        </w:numPr>
        <w:spacing w:before="480" w:after="480"/>
        <w:ind w:left="0" w:firstLine="0"/>
      </w:pPr>
      <w:r>
        <w:rPr>
          <w:lang w:val="fr-CA"/>
        </w:rPr>
        <w:t xml:space="preserve">Selon la preuve invoquée par M. Seipp, il a fui les lieux afin d’éviter d’être tenu criminellement responsable de possession d’un véhicule volé. Il ne s’agit pas d’une preuve contraire. Cet élément prouve plutôt que M. Seipp voulait échapper à </w:t>
      </w:r>
      <w:r>
        <w:rPr>
          <w:lang w:val="fr-CA"/>
        </w:rPr>
        <w:lastRenderedPageBreak/>
        <w:t xml:space="preserve">toute responsabilité civile ou criminelle découlant de la garde, de la charge ou du contrôle d’un véhicule impliqué dans l’accident. Une telle intention correspond à la </w:t>
      </w:r>
      <w:r w:rsidRPr="0090702E">
        <w:rPr>
          <w:i/>
          <w:lang w:val="fr-CA"/>
        </w:rPr>
        <w:t>mens rea</w:t>
      </w:r>
      <w:r>
        <w:rPr>
          <w:lang w:val="fr-CA"/>
        </w:rPr>
        <w:t xml:space="preserve"> décrite par  l’expression « intention d’échapper à toute responsabilité civile ou criminelle » au par. 252(1). En conséquence, M. Seipp n’a subi aucun préjudice du fait qu’au procès son avocat a admis que les éléments de l’infraction avaient été établis. Pour ces motifs, l’appel est rejeté.</w:t>
      </w:r>
    </w:p>
    <w:p w:rsidR="006B0AD8" w:rsidRPr="00177C1B" w:rsidRDefault="006B0AD8" w:rsidP="00F60246">
      <w:pPr>
        <w:pStyle w:val="SCCLawFirm"/>
        <w:widowControl w:val="0"/>
      </w:pPr>
      <w:r>
        <w:rPr>
          <w:lang w:val="fr-CA"/>
        </w:rPr>
        <w:tab/>
        <w:t>Jugement en conséquence.</w:t>
      </w:r>
    </w:p>
    <w:p w:rsidR="006B0AD8" w:rsidRPr="006B0AD8" w:rsidRDefault="006B0AD8" w:rsidP="00F60246">
      <w:pPr>
        <w:pStyle w:val="SCCNormalDoubleSpacing"/>
        <w:widowControl w:val="0"/>
        <w:rPr>
          <w:i/>
          <w:lang w:val="fr-CA"/>
        </w:rPr>
      </w:pPr>
    </w:p>
    <w:p w:rsidR="008E2750" w:rsidRPr="00016BB9" w:rsidRDefault="006B0AD8" w:rsidP="00F60246">
      <w:pPr>
        <w:pStyle w:val="SCCLawFirm"/>
        <w:widowControl w:val="0"/>
        <w:rPr>
          <w:lang w:val="fr-CA"/>
        </w:rPr>
      </w:pPr>
      <w:r>
        <w:rPr>
          <w:lang w:val="fr-CA"/>
        </w:rPr>
        <w:tab/>
      </w:r>
      <w:r w:rsidR="0090423D">
        <w:rPr>
          <w:lang w:val="fr-CA"/>
        </w:rPr>
        <w:t>Procureurs</w:t>
      </w:r>
      <w:r w:rsidRPr="00016BB9">
        <w:rPr>
          <w:lang w:val="fr-CA"/>
        </w:rPr>
        <w:t xml:space="preserve"> de l</w:t>
      </w:r>
      <w:r w:rsidR="000947E8" w:rsidRPr="00016BB9">
        <w:rPr>
          <w:lang w:val="fr-CA"/>
        </w:rPr>
        <w:t>’</w:t>
      </w:r>
      <w:r w:rsidR="0090423D">
        <w:rPr>
          <w:lang w:val="fr-CA"/>
        </w:rPr>
        <w:t>appelant</w:t>
      </w:r>
      <w:r w:rsidRPr="00016BB9">
        <w:rPr>
          <w:lang w:val="fr-CA"/>
        </w:rPr>
        <w:t> : N.J. Preovolos Law Corporation, New Westminster</w:t>
      </w:r>
      <w:r w:rsidR="0090423D">
        <w:rPr>
          <w:lang w:val="fr-CA"/>
        </w:rPr>
        <w:t>, C.-B</w:t>
      </w:r>
      <w:r w:rsidRPr="00016BB9">
        <w:rPr>
          <w:lang w:val="fr-CA"/>
        </w:rPr>
        <w:t>.</w:t>
      </w:r>
      <w:r w:rsidR="006D0B20">
        <w:rPr>
          <w:lang w:val="fr-CA"/>
        </w:rPr>
        <w:t xml:space="preserve">; </w:t>
      </w:r>
      <w:r w:rsidR="006D0B20" w:rsidRPr="006D0B20">
        <w:rPr>
          <w:lang w:val="fr-CA"/>
        </w:rPr>
        <w:t>Michael Sobkin, Ottawa; Harry G. Stevenson, Vancouver</w:t>
      </w:r>
      <w:r w:rsidR="006D0B20">
        <w:rPr>
          <w:lang w:val="fr-CA"/>
        </w:rPr>
        <w:t>.</w:t>
      </w:r>
    </w:p>
    <w:p w:rsidR="008E2750" w:rsidRPr="00016BB9" w:rsidRDefault="008E2750" w:rsidP="00F60246">
      <w:pPr>
        <w:pStyle w:val="SCCLawFirm"/>
        <w:widowControl w:val="0"/>
        <w:rPr>
          <w:lang w:val="fr-CA"/>
        </w:rPr>
      </w:pPr>
    </w:p>
    <w:p w:rsidR="008E2750" w:rsidRPr="00016BB9" w:rsidRDefault="006B0AD8" w:rsidP="00F60246">
      <w:pPr>
        <w:pStyle w:val="SCCLawFirm"/>
        <w:widowControl w:val="0"/>
        <w:rPr>
          <w:lang w:val="fr-CA"/>
        </w:rPr>
      </w:pPr>
      <w:r>
        <w:rPr>
          <w:lang w:val="fr-CA"/>
        </w:rPr>
        <w:tab/>
        <w:t>Procureur</w:t>
      </w:r>
      <w:r w:rsidRPr="00016BB9">
        <w:rPr>
          <w:lang w:val="fr-CA"/>
        </w:rPr>
        <w:t xml:space="preserve"> de l</w:t>
      </w:r>
      <w:r w:rsidR="000947E8" w:rsidRPr="00016BB9">
        <w:rPr>
          <w:lang w:val="fr-CA"/>
        </w:rPr>
        <w:t>’</w:t>
      </w:r>
      <w:r>
        <w:rPr>
          <w:lang w:val="fr-CA"/>
        </w:rPr>
        <w:t>intimée</w:t>
      </w:r>
      <w:r w:rsidRPr="00016BB9">
        <w:rPr>
          <w:lang w:val="fr-CA"/>
        </w:rPr>
        <w:t xml:space="preserve"> : </w:t>
      </w:r>
      <w:r>
        <w:rPr>
          <w:lang w:val="fr-CA"/>
        </w:rPr>
        <w:t>Procureur général de la Colombie-Britannique</w:t>
      </w:r>
      <w:r w:rsidRPr="00016BB9">
        <w:rPr>
          <w:lang w:val="fr-CA"/>
        </w:rPr>
        <w:t>, Vancouver.</w:t>
      </w:r>
    </w:p>
    <w:p w:rsidR="008E2750" w:rsidRPr="00016BB9" w:rsidRDefault="008E2750" w:rsidP="00F60246">
      <w:pPr>
        <w:pStyle w:val="SCCLawFirm"/>
        <w:widowControl w:val="0"/>
        <w:rPr>
          <w:lang w:val="fr-CA"/>
        </w:rPr>
      </w:pPr>
    </w:p>
    <w:p w:rsidR="008E2750" w:rsidRPr="00016BB9" w:rsidRDefault="006B0AD8" w:rsidP="00F60246">
      <w:pPr>
        <w:pStyle w:val="SCCLawFirm"/>
        <w:widowControl w:val="0"/>
        <w:rPr>
          <w:lang w:val="fr-CA"/>
        </w:rPr>
      </w:pPr>
      <w:r>
        <w:rPr>
          <w:lang w:val="fr-CA"/>
        </w:rPr>
        <w:tab/>
        <w:t>Procureur</w:t>
      </w:r>
      <w:r w:rsidRPr="00016BB9">
        <w:rPr>
          <w:lang w:val="fr-CA"/>
        </w:rPr>
        <w:t xml:space="preserve"> de l</w:t>
      </w:r>
      <w:r w:rsidR="000947E8" w:rsidRPr="00016BB9">
        <w:rPr>
          <w:lang w:val="fr-CA"/>
        </w:rPr>
        <w:t>’</w:t>
      </w:r>
      <w:r>
        <w:rPr>
          <w:lang w:val="fr-CA"/>
        </w:rPr>
        <w:t>intervenant</w:t>
      </w:r>
      <w:r w:rsidRPr="00016BB9">
        <w:rPr>
          <w:lang w:val="fr-CA"/>
        </w:rPr>
        <w:t xml:space="preserve"> : Directeur </w:t>
      </w:r>
      <w:r>
        <w:rPr>
          <w:lang w:val="fr-CA"/>
        </w:rPr>
        <w:t>des poursuites pénales</w:t>
      </w:r>
      <w:r w:rsidRPr="00016BB9">
        <w:rPr>
          <w:lang w:val="fr-CA"/>
        </w:rPr>
        <w:t xml:space="preserve">, </w:t>
      </w:r>
      <w:r w:rsidR="00436C78">
        <w:rPr>
          <w:lang w:val="fr-CA"/>
        </w:rPr>
        <w:t xml:space="preserve">Halifax et </w:t>
      </w:r>
      <w:r w:rsidRPr="00016BB9">
        <w:rPr>
          <w:lang w:val="fr-CA"/>
        </w:rPr>
        <w:t>Whitehorse.</w:t>
      </w:r>
    </w:p>
    <w:sectPr w:rsidR="008E2750" w:rsidRPr="00016BB9" w:rsidSect="00AC7DC8">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946D6"/>
    <w:multiLevelType w:val="hybridMultilevel"/>
    <w:tmpl w:val="9BD00502"/>
    <w:lvl w:ilvl="0" w:tplc="BD56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6BB9"/>
    <w:rsid w:val="00023FC7"/>
    <w:rsid w:val="00025198"/>
    <w:rsid w:val="000578A3"/>
    <w:rsid w:val="000648CC"/>
    <w:rsid w:val="000947E8"/>
    <w:rsid w:val="000C59B8"/>
    <w:rsid w:val="000C6AF0"/>
    <w:rsid w:val="000D0A77"/>
    <w:rsid w:val="000F294C"/>
    <w:rsid w:val="000F7993"/>
    <w:rsid w:val="00104F33"/>
    <w:rsid w:val="00111DE2"/>
    <w:rsid w:val="00116B38"/>
    <w:rsid w:val="00135406"/>
    <w:rsid w:val="00135972"/>
    <w:rsid w:val="001426A9"/>
    <w:rsid w:val="00154D7C"/>
    <w:rsid w:val="001570B0"/>
    <w:rsid w:val="0015752C"/>
    <w:rsid w:val="00157737"/>
    <w:rsid w:val="00165277"/>
    <w:rsid w:val="00170592"/>
    <w:rsid w:val="001720F7"/>
    <w:rsid w:val="00177C1B"/>
    <w:rsid w:val="00191DB1"/>
    <w:rsid w:val="00195D83"/>
    <w:rsid w:val="001A00C1"/>
    <w:rsid w:val="001B33E0"/>
    <w:rsid w:val="001B4573"/>
    <w:rsid w:val="001C779F"/>
    <w:rsid w:val="001D2AC1"/>
    <w:rsid w:val="001D4E88"/>
    <w:rsid w:val="001F6B42"/>
    <w:rsid w:val="00220FC2"/>
    <w:rsid w:val="002222F4"/>
    <w:rsid w:val="00224FC0"/>
    <w:rsid w:val="00225EA4"/>
    <w:rsid w:val="00226EAF"/>
    <w:rsid w:val="00231F3A"/>
    <w:rsid w:val="002406EE"/>
    <w:rsid w:val="00243EC8"/>
    <w:rsid w:val="00270D93"/>
    <w:rsid w:val="002745CC"/>
    <w:rsid w:val="002B6FBE"/>
    <w:rsid w:val="002B7924"/>
    <w:rsid w:val="002C10A6"/>
    <w:rsid w:val="002D28C3"/>
    <w:rsid w:val="002D39A4"/>
    <w:rsid w:val="002E6705"/>
    <w:rsid w:val="0030329A"/>
    <w:rsid w:val="0031086F"/>
    <w:rsid w:val="0031414C"/>
    <w:rsid w:val="00314E01"/>
    <w:rsid w:val="0032089D"/>
    <w:rsid w:val="003310DE"/>
    <w:rsid w:val="003323B0"/>
    <w:rsid w:val="00340A49"/>
    <w:rsid w:val="0035169A"/>
    <w:rsid w:val="0035259D"/>
    <w:rsid w:val="00364B18"/>
    <w:rsid w:val="00364F31"/>
    <w:rsid w:val="003A125D"/>
    <w:rsid w:val="003A4C70"/>
    <w:rsid w:val="003B07DC"/>
    <w:rsid w:val="003B215F"/>
    <w:rsid w:val="003C799C"/>
    <w:rsid w:val="003D0399"/>
    <w:rsid w:val="003E1C71"/>
    <w:rsid w:val="003F327B"/>
    <w:rsid w:val="00400CF7"/>
    <w:rsid w:val="00406166"/>
    <w:rsid w:val="0040704B"/>
    <w:rsid w:val="00407BCD"/>
    <w:rsid w:val="00410A55"/>
    <w:rsid w:val="00411300"/>
    <w:rsid w:val="00413F17"/>
    <w:rsid w:val="00415417"/>
    <w:rsid w:val="00426659"/>
    <w:rsid w:val="00436C78"/>
    <w:rsid w:val="00450352"/>
    <w:rsid w:val="00454BDB"/>
    <w:rsid w:val="00465132"/>
    <w:rsid w:val="00480C90"/>
    <w:rsid w:val="0048396F"/>
    <w:rsid w:val="00493C18"/>
    <w:rsid w:val="00496BAD"/>
    <w:rsid w:val="004A600C"/>
    <w:rsid w:val="004A6118"/>
    <w:rsid w:val="004B72A7"/>
    <w:rsid w:val="004C478D"/>
    <w:rsid w:val="004D75F2"/>
    <w:rsid w:val="004D7D95"/>
    <w:rsid w:val="004E2C26"/>
    <w:rsid w:val="005125A8"/>
    <w:rsid w:val="00517549"/>
    <w:rsid w:val="00520ABC"/>
    <w:rsid w:val="00521AE8"/>
    <w:rsid w:val="00527180"/>
    <w:rsid w:val="00555291"/>
    <w:rsid w:val="00566AD1"/>
    <w:rsid w:val="00583EDE"/>
    <w:rsid w:val="00587CD4"/>
    <w:rsid w:val="005A6079"/>
    <w:rsid w:val="005B1C87"/>
    <w:rsid w:val="005E4698"/>
    <w:rsid w:val="00603924"/>
    <w:rsid w:val="00610539"/>
    <w:rsid w:val="00613969"/>
    <w:rsid w:val="00625C35"/>
    <w:rsid w:val="00647E49"/>
    <w:rsid w:val="00656313"/>
    <w:rsid w:val="006565F4"/>
    <w:rsid w:val="00684EEA"/>
    <w:rsid w:val="0069689B"/>
    <w:rsid w:val="006B0AD8"/>
    <w:rsid w:val="006B5FF5"/>
    <w:rsid w:val="006D0B20"/>
    <w:rsid w:val="006F30AF"/>
    <w:rsid w:val="00701759"/>
    <w:rsid w:val="00705C15"/>
    <w:rsid w:val="007110F6"/>
    <w:rsid w:val="007208D1"/>
    <w:rsid w:val="00744518"/>
    <w:rsid w:val="00747288"/>
    <w:rsid w:val="00747DD3"/>
    <w:rsid w:val="007549C8"/>
    <w:rsid w:val="00766D14"/>
    <w:rsid w:val="00767A0F"/>
    <w:rsid w:val="00791272"/>
    <w:rsid w:val="007A05F6"/>
    <w:rsid w:val="007B6F4A"/>
    <w:rsid w:val="007E1C47"/>
    <w:rsid w:val="007E337A"/>
    <w:rsid w:val="007E5C70"/>
    <w:rsid w:val="007F2FF5"/>
    <w:rsid w:val="007F3F08"/>
    <w:rsid w:val="00804CC6"/>
    <w:rsid w:val="00817190"/>
    <w:rsid w:val="008260E2"/>
    <w:rsid w:val="008322BD"/>
    <w:rsid w:val="00834F73"/>
    <w:rsid w:val="00864C8A"/>
    <w:rsid w:val="00864CF8"/>
    <w:rsid w:val="00874914"/>
    <w:rsid w:val="00891422"/>
    <w:rsid w:val="00891AE4"/>
    <w:rsid w:val="00892E1A"/>
    <w:rsid w:val="008B660A"/>
    <w:rsid w:val="008C01DA"/>
    <w:rsid w:val="008E2750"/>
    <w:rsid w:val="008F2674"/>
    <w:rsid w:val="008F78E9"/>
    <w:rsid w:val="0090423D"/>
    <w:rsid w:val="009179F9"/>
    <w:rsid w:val="00917C7A"/>
    <w:rsid w:val="0092520B"/>
    <w:rsid w:val="00933E5E"/>
    <w:rsid w:val="00935218"/>
    <w:rsid w:val="00937C52"/>
    <w:rsid w:val="009403F3"/>
    <w:rsid w:val="009555B7"/>
    <w:rsid w:val="009567AA"/>
    <w:rsid w:val="009602C9"/>
    <w:rsid w:val="00967374"/>
    <w:rsid w:val="009A343A"/>
    <w:rsid w:val="009B2F23"/>
    <w:rsid w:val="009B57B3"/>
    <w:rsid w:val="009D2920"/>
    <w:rsid w:val="009D470E"/>
    <w:rsid w:val="009D4EB5"/>
    <w:rsid w:val="009D5AEB"/>
    <w:rsid w:val="009F0E33"/>
    <w:rsid w:val="00A149DF"/>
    <w:rsid w:val="00A1755C"/>
    <w:rsid w:val="00A21B90"/>
    <w:rsid w:val="00A22AAC"/>
    <w:rsid w:val="00A41805"/>
    <w:rsid w:val="00A51882"/>
    <w:rsid w:val="00A52AFB"/>
    <w:rsid w:val="00A548CB"/>
    <w:rsid w:val="00A5521C"/>
    <w:rsid w:val="00A552E2"/>
    <w:rsid w:val="00A643E7"/>
    <w:rsid w:val="00A73C38"/>
    <w:rsid w:val="00A921A7"/>
    <w:rsid w:val="00AB670D"/>
    <w:rsid w:val="00AC7DC8"/>
    <w:rsid w:val="00AF03C5"/>
    <w:rsid w:val="00B000D8"/>
    <w:rsid w:val="00B00F75"/>
    <w:rsid w:val="00B145B6"/>
    <w:rsid w:val="00B279EB"/>
    <w:rsid w:val="00B50C81"/>
    <w:rsid w:val="00B557F8"/>
    <w:rsid w:val="00B815FC"/>
    <w:rsid w:val="00B93FBC"/>
    <w:rsid w:val="00BA7DA0"/>
    <w:rsid w:val="00BB2EE4"/>
    <w:rsid w:val="00BB4C92"/>
    <w:rsid w:val="00BC2108"/>
    <w:rsid w:val="00BD0E9E"/>
    <w:rsid w:val="00BD1BEC"/>
    <w:rsid w:val="00BD32FF"/>
    <w:rsid w:val="00BE733D"/>
    <w:rsid w:val="00BF6FE9"/>
    <w:rsid w:val="00C02092"/>
    <w:rsid w:val="00C16E68"/>
    <w:rsid w:val="00C24D91"/>
    <w:rsid w:val="00C26DB2"/>
    <w:rsid w:val="00C53F14"/>
    <w:rsid w:val="00C600CF"/>
    <w:rsid w:val="00C6084F"/>
    <w:rsid w:val="00C62A66"/>
    <w:rsid w:val="00C66359"/>
    <w:rsid w:val="00C71458"/>
    <w:rsid w:val="00C77613"/>
    <w:rsid w:val="00C828E7"/>
    <w:rsid w:val="00C86719"/>
    <w:rsid w:val="00C921DD"/>
    <w:rsid w:val="00CA6391"/>
    <w:rsid w:val="00CD7972"/>
    <w:rsid w:val="00CE036E"/>
    <w:rsid w:val="00CE3171"/>
    <w:rsid w:val="00CF1601"/>
    <w:rsid w:val="00D0172F"/>
    <w:rsid w:val="00D01E33"/>
    <w:rsid w:val="00D068A7"/>
    <w:rsid w:val="00D17476"/>
    <w:rsid w:val="00D17B0E"/>
    <w:rsid w:val="00D32086"/>
    <w:rsid w:val="00D37A3F"/>
    <w:rsid w:val="00D4431D"/>
    <w:rsid w:val="00D4667A"/>
    <w:rsid w:val="00D5769C"/>
    <w:rsid w:val="00D63A1C"/>
    <w:rsid w:val="00D743BE"/>
    <w:rsid w:val="00D7516F"/>
    <w:rsid w:val="00D95F8E"/>
    <w:rsid w:val="00DA0590"/>
    <w:rsid w:val="00DC1739"/>
    <w:rsid w:val="00DC1788"/>
    <w:rsid w:val="00DD0E85"/>
    <w:rsid w:val="00DE319C"/>
    <w:rsid w:val="00DF0CA8"/>
    <w:rsid w:val="00DF2B48"/>
    <w:rsid w:val="00DF49A7"/>
    <w:rsid w:val="00E06E15"/>
    <w:rsid w:val="00E07EE2"/>
    <w:rsid w:val="00E07FD1"/>
    <w:rsid w:val="00E24573"/>
    <w:rsid w:val="00E248B1"/>
    <w:rsid w:val="00E25E1E"/>
    <w:rsid w:val="00E27EE7"/>
    <w:rsid w:val="00E35404"/>
    <w:rsid w:val="00E45109"/>
    <w:rsid w:val="00E47B7A"/>
    <w:rsid w:val="00E56A44"/>
    <w:rsid w:val="00E571E1"/>
    <w:rsid w:val="00E60269"/>
    <w:rsid w:val="00E97830"/>
    <w:rsid w:val="00EA5171"/>
    <w:rsid w:val="00EE0830"/>
    <w:rsid w:val="00EE336D"/>
    <w:rsid w:val="00EE6CB8"/>
    <w:rsid w:val="00EF0683"/>
    <w:rsid w:val="00F0070C"/>
    <w:rsid w:val="00F00EB7"/>
    <w:rsid w:val="00F237CC"/>
    <w:rsid w:val="00F36AB6"/>
    <w:rsid w:val="00F37A09"/>
    <w:rsid w:val="00F409CE"/>
    <w:rsid w:val="00F4379D"/>
    <w:rsid w:val="00F50D2D"/>
    <w:rsid w:val="00F56C8B"/>
    <w:rsid w:val="00F60246"/>
    <w:rsid w:val="00F62639"/>
    <w:rsid w:val="00F66810"/>
    <w:rsid w:val="00F75096"/>
    <w:rsid w:val="00F82A88"/>
    <w:rsid w:val="00F84DF4"/>
    <w:rsid w:val="00F85C97"/>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table" w:styleId="TableGrid">
    <w:name w:val="Table Grid"/>
    <w:basedOn w:val="TableNormal"/>
    <w:uiPriority w:val="59"/>
    <w:rsid w:val="00E248B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E248B1"/>
    <w:rPr>
      <w:szCs w:val="24"/>
      <w:lang w:val="fr-CA"/>
    </w:rPr>
  </w:style>
  <w:style w:type="paragraph" w:customStyle="1" w:styleId="SCCLsocPrefix">
    <w:name w:val="SCC.Lsoc.Prefix"/>
    <w:basedOn w:val="Normal"/>
    <w:next w:val="Normal"/>
    <w:link w:val="SCCLsocPrefixChar"/>
    <w:rsid w:val="00E248B1"/>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E248B1"/>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751</Words>
  <Characters>4135</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2018-01-16T18:56:00Z</dcterms:created>
  <dcterms:modified xsi:type="dcterms:W3CDTF">2019-03-25T18:46:00Z</dcterms:modified>
</cp:coreProperties>
</file>