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6A" w:rsidRDefault="0058266A" w:rsidP="00F82BA8">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5030763" r:id="rId8"/>
        </w:object>
      </w:r>
      <w:bookmarkEnd w:id="0"/>
      <w:r>
        <w:t xml:space="preserve"> </w:t>
      </w:r>
      <w:r>
        <w:ptab w:relativeTo="margin" w:alignment="right" w:leader="none"/>
      </w:r>
    </w:p>
    <w:p w:rsidR="0058266A" w:rsidRDefault="0058266A" w:rsidP="0058266A">
      <w:pPr>
        <w:pStyle w:val="Header"/>
      </w:pPr>
    </w:p>
    <w:p w:rsidR="0058266A" w:rsidRPr="001E12E2" w:rsidRDefault="0058266A" w:rsidP="0058266A">
      <w:pPr>
        <w:jc w:val="center"/>
        <w:rPr>
          <w:b/>
        </w:rPr>
      </w:pPr>
      <w:r w:rsidRPr="001E12E2">
        <w:rPr>
          <w:b/>
        </w:rPr>
        <w:t>COUR SUPRÊME DU CANADA</w:t>
      </w:r>
    </w:p>
    <w:p w:rsidR="0058266A" w:rsidRDefault="0058266A" w:rsidP="0058266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58266A" w:rsidRPr="001E12E2" w:rsidTr="00777A7D">
        <w:trPr>
          <w:cantSplit/>
        </w:trPr>
        <w:tc>
          <w:tcPr>
            <w:tcW w:w="5310" w:type="dxa"/>
          </w:tcPr>
          <w:p w:rsidR="0058266A" w:rsidRPr="0058266A" w:rsidRDefault="0058266A" w:rsidP="00777A7D">
            <w:pPr>
              <w:rPr>
                <w:lang w:val="fr-CA"/>
              </w:rPr>
            </w:pPr>
            <w:r w:rsidRPr="0058266A">
              <w:rPr>
                <w:b/>
                <w:smallCaps/>
                <w:lang w:val="fr-CA"/>
              </w:rPr>
              <w:t>Référence :</w:t>
            </w:r>
            <w:r w:rsidRPr="0058266A">
              <w:rPr>
                <w:lang w:val="fr-CA"/>
              </w:rPr>
              <w:t xml:space="preserve"> </w:t>
            </w:r>
            <w:r w:rsidRPr="006A4755">
              <w:rPr>
                <w:rStyle w:val="SCCAppellantForRunningHeadChar"/>
                <w:lang w:val="fr-CA"/>
              </w:rPr>
              <w:t xml:space="preserve">R. </w:t>
            </w:r>
            <w:r w:rsidRPr="0058266A">
              <w:rPr>
                <w:rStyle w:val="SCCAppellantForRunningHeadChar"/>
                <w:i/>
                <w:smallCaps w:val="0"/>
                <w:lang w:val="fr-CA"/>
              </w:rPr>
              <w:t>c.</w:t>
            </w:r>
            <w:r w:rsidRPr="006A4755">
              <w:rPr>
                <w:rStyle w:val="SCCAppellantForRunningHeadChar"/>
                <w:lang w:val="fr-CA"/>
              </w:rPr>
              <w:t xml:space="preserve"> </w:t>
            </w:r>
            <w:r>
              <w:rPr>
                <w:rStyle w:val="SCCAppellantForRunningHeadChar"/>
                <w:lang w:val="fr-CA"/>
              </w:rPr>
              <w:t>B</w:t>
            </w:r>
            <w:r w:rsidRPr="0058266A">
              <w:rPr>
                <w:rStyle w:val="SCCAppellantForRunningHeadChar"/>
                <w:smallCaps w:val="0"/>
                <w:lang w:val="fr-CA"/>
              </w:rPr>
              <w:t>lack</w:t>
            </w:r>
            <w:r w:rsidRPr="006A4755">
              <w:rPr>
                <w:rStyle w:val="SCCAppellantForRunningHeadChar"/>
                <w:lang w:val="fr-CA"/>
              </w:rPr>
              <w:t xml:space="preserve">, </w:t>
            </w:r>
            <w:r w:rsidRPr="0058266A">
              <w:rPr>
                <w:lang w:val="fr-CA"/>
              </w:rPr>
              <w:t>2018 CSC 10, [2018] 1 R.C.S. 265</w:t>
            </w:r>
          </w:p>
        </w:tc>
        <w:tc>
          <w:tcPr>
            <w:tcW w:w="4266" w:type="dxa"/>
          </w:tcPr>
          <w:p w:rsidR="0058266A" w:rsidRPr="0058266A" w:rsidRDefault="0058266A" w:rsidP="00777A7D">
            <w:pPr>
              <w:rPr>
                <w:lang w:val="fr-CA"/>
              </w:rPr>
            </w:pPr>
            <w:r w:rsidRPr="0058266A">
              <w:rPr>
                <w:b/>
                <w:smallCaps/>
                <w:lang w:val="fr-CA"/>
              </w:rPr>
              <w:t>Appel entendu:</w:t>
            </w:r>
            <w:r w:rsidRPr="0058266A">
              <w:rPr>
                <w:lang w:val="fr-CA"/>
              </w:rPr>
              <w:t xml:space="preserve"> 13 mars 2018</w:t>
            </w:r>
          </w:p>
          <w:p w:rsidR="0058266A" w:rsidRPr="0058266A" w:rsidRDefault="0058266A" w:rsidP="00777A7D">
            <w:pPr>
              <w:rPr>
                <w:b/>
                <w:smallCaps/>
                <w:lang w:val="fr-CA"/>
              </w:rPr>
            </w:pPr>
            <w:r w:rsidRPr="0058266A">
              <w:rPr>
                <w:b/>
                <w:smallCaps/>
                <w:lang w:val="fr-CA"/>
              </w:rPr>
              <w:t>Jugement rendu :</w:t>
            </w:r>
            <w:r w:rsidRPr="0058266A">
              <w:rPr>
                <w:lang w:val="fr-CA"/>
              </w:rPr>
              <w:t xml:space="preserve"> 13 mars 2018</w:t>
            </w:r>
          </w:p>
          <w:p w:rsidR="0058266A" w:rsidRPr="001E12E2" w:rsidRDefault="0058266A" w:rsidP="00777A7D">
            <w:r w:rsidRPr="001E12E2">
              <w:rPr>
                <w:b/>
                <w:smallCaps/>
              </w:rPr>
              <w:t>Do</w:t>
            </w:r>
            <w:r>
              <w:rPr>
                <w:b/>
                <w:smallCaps/>
              </w:rPr>
              <w:t>ssiers :</w:t>
            </w:r>
            <w:r w:rsidRPr="001E12E2">
              <w:t xml:space="preserve"> </w:t>
            </w:r>
            <w:r>
              <w:t>37665</w:t>
            </w:r>
          </w:p>
        </w:tc>
      </w:tr>
    </w:tbl>
    <w:p w:rsidR="0058266A" w:rsidRDefault="0058266A" w:rsidP="0058266A">
      <w:pPr>
        <w:pStyle w:val="SCCLsocPrefix"/>
      </w:pPr>
    </w:p>
    <w:p w:rsidR="0058266A" w:rsidRDefault="0058266A" w:rsidP="0058266A">
      <w:pPr>
        <w:pStyle w:val="SCCLsocPrefix"/>
      </w:pPr>
    </w:p>
    <w:p w:rsidR="0058266A" w:rsidRDefault="0058266A" w:rsidP="0058266A">
      <w:pPr>
        <w:pStyle w:val="SCCLsocPrefix"/>
      </w:pPr>
      <w:r>
        <w:t>Entre :</w:t>
      </w:r>
    </w:p>
    <w:p w:rsidR="0058266A" w:rsidRPr="00F94606" w:rsidRDefault="0058266A" w:rsidP="0058266A">
      <w:pPr>
        <w:jc w:val="center"/>
        <w:rPr>
          <w:b/>
        </w:rPr>
      </w:pPr>
      <w:r>
        <w:rPr>
          <w:b/>
        </w:rPr>
        <w:t>Omar Black</w:t>
      </w:r>
    </w:p>
    <w:p w:rsidR="0058266A" w:rsidRPr="00D85283" w:rsidRDefault="0058266A" w:rsidP="0058266A">
      <w:pPr>
        <w:jc w:val="center"/>
      </w:pPr>
      <w:proofErr w:type="spellStart"/>
      <w:r w:rsidRPr="00D85283">
        <w:t>Appelant</w:t>
      </w:r>
      <w:proofErr w:type="spellEnd"/>
    </w:p>
    <w:p w:rsidR="0058266A" w:rsidRPr="00D85283" w:rsidRDefault="0058266A" w:rsidP="0058266A">
      <w:pPr>
        <w:jc w:val="center"/>
      </w:pPr>
    </w:p>
    <w:p w:rsidR="0058266A" w:rsidRPr="0058266A" w:rsidRDefault="0058266A" w:rsidP="0058266A">
      <w:pPr>
        <w:pStyle w:val="SCCLsocVersus"/>
        <w:spacing w:after="0"/>
        <w:jc w:val="center"/>
        <w:rPr>
          <w:i w:val="0"/>
        </w:rPr>
      </w:pPr>
      <w:proofErr w:type="gramStart"/>
      <w:r w:rsidRPr="0058266A">
        <w:rPr>
          <w:i w:val="0"/>
        </w:rPr>
        <w:t>et</w:t>
      </w:r>
      <w:proofErr w:type="gramEnd"/>
    </w:p>
    <w:p w:rsidR="0058266A" w:rsidRPr="0033260A" w:rsidRDefault="0058266A" w:rsidP="0058266A">
      <w:pPr>
        <w:jc w:val="center"/>
      </w:pPr>
    </w:p>
    <w:p w:rsidR="0058266A" w:rsidRPr="0058266A" w:rsidRDefault="0058266A" w:rsidP="0058266A">
      <w:pPr>
        <w:pStyle w:val="SCCLsocParty"/>
        <w:jc w:val="center"/>
        <w:rPr>
          <w:lang w:val="fr-CA"/>
        </w:rPr>
      </w:pPr>
      <w:r w:rsidRPr="0058266A">
        <w:rPr>
          <w:lang w:val="fr-CA"/>
        </w:rPr>
        <w:t>Sa Majesté la Reine</w:t>
      </w:r>
    </w:p>
    <w:p w:rsidR="0058266A" w:rsidRPr="0058266A" w:rsidRDefault="0058266A" w:rsidP="0058266A">
      <w:pPr>
        <w:jc w:val="center"/>
        <w:rPr>
          <w:lang w:val="fr-CA"/>
        </w:rPr>
      </w:pPr>
      <w:r w:rsidRPr="0058266A">
        <w:rPr>
          <w:lang w:val="fr-CA"/>
        </w:rPr>
        <w:t>Intimée</w:t>
      </w:r>
    </w:p>
    <w:p w:rsidR="0058266A" w:rsidRPr="0058266A" w:rsidRDefault="0058266A" w:rsidP="0058266A">
      <w:pPr>
        <w:jc w:val="center"/>
        <w:rPr>
          <w:lang w:val="fr-CA"/>
        </w:rPr>
      </w:pPr>
    </w:p>
    <w:p w:rsidR="0058266A" w:rsidRPr="0058266A" w:rsidRDefault="0058266A" w:rsidP="0058266A">
      <w:pPr>
        <w:rPr>
          <w:lang w:val="fr-CA"/>
        </w:rPr>
      </w:pPr>
    </w:p>
    <w:p w:rsidR="0058266A" w:rsidRPr="0058266A" w:rsidRDefault="0058266A" w:rsidP="0058266A">
      <w:pPr>
        <w:rPr>
          <w:lang w:val="fr-CA"/>
        </w:rPr>
      </w:pPr>
    </w:p>
    <w:p w:rsidR="0058266A" w:rsidRPr="0058266A" w:rsidRDefault="0058266A" w:rsidP="0058266A">
      <w:pPr>
        <w:rPr>
          <w:lang w:val="fr-CA"/>
        </w:rPr>
      </w:pPr>
    </w:p>
    <w:p w:rsidR="0058266A" w:rsidRPr="0058266A" w:rsidRDefault="0058266A" w:rsidP="0058266A">
      <w:pPr>
        <w:rPr>
          <w:lang w:val="fr-CA"/>
        </w:rPr>
      </w:pPr>
    </w:p>
    <w:p w:rsidR="0058266A" w:rsidRPr="0058266A" w:rsidRDefault="0058266A" w:rsidP="0058266A">
      <w:pPr>
        <w:jc w:val="center"/>
        <w:rPr>
          <w:b/>
          <w:smallCaps/>
          <w:lang w:val="fr-CA"/>
        </w:rPr>
      </w:pPr>
      <w:r w:rsidRPr="0058266A">
        <w:rPr>
          <w:b/>
          <w:smallCaps/>
          <w:lang w:val="fr-CA"/>
        </w:rPr>
        <w:t>Traduction française officielle</w:t>
      </w:r>
    </w:p>
    <w:p w:rsidR="0058266A" w:rsidRPr="0058266A" w:rsidRDefault="0058266A" w:rsidP="0058266A">
      <w:pPr>
        <w:rPr>
          <w:lang w:val="fr-CA"/>
        </w:rPr>
      </w:pPr>
    </w:p>
    <w:p w:rsidR="0058266A" w:rsidRPr="0058266A" w:rsidRDefault="0058266A" w:rsidP="0058266A">
      <w:pPr>
        <w:rPr>
          <w:lang w:val="fr-CA"/>
        </w:rPr>
      </w:pPr>
      <w:r w:rsidRPr="0058266A">
        <w:rPr>
          <w:b/>
          <w:smallCaps/>
          <w:lang w:val="fr-CA"/>
        </w:rPr>
        <w:t>Coram :</w:t>
      </w:r>
      <w:r w:rsidRPr="0058266A">
        <w:rPr>
          <w:lang w:val="fr-CA"/>
        </w:rPr>
        <w:t xml:space="preserve"> Le juge en chef Wagner et les juges Karakatsanis, Brown, Rowe et Martin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8266A" w:rsidRPr="00F82BA8" w:rsidTr="00777A7D">
        <w:trPr>
          <w:cantSplit/>
        </w:trPr>
        <w:tc>
          <w:tcPr>
            <w:tcW w:w="3618" w:type="dxa"/>
          </w:tcPr>
          <w:p w:rsidR="0058266A" w:rsidRPr="0058266A" w:rsidRDefault="0058266A" w:rsidP="00777A7D">
            <w:pPr>
              <w:rPr>
                <w:b/>
                <w:smallCaps/>
                <w:lang w:val="fr-CA"/>
              </w:rPr>
            </w:pPr>
            <w:r w:rsidRPr="0058266A">
              <w:rPr>
                <w:b/>
                <w:smallCaps/>
                <w:lang w:val="fr-CA"/>
              </w:rPr>
              <w:t>Motifs de jugement :</w:t>
            </w:r>
          </w:p>
          <w:p w:rsidR="0058266A" w:rsidRPr="0058266A" w:rsidRDefault="0058266A" w:rsidP="00777A7D">
            <w:pPr>
              <w:rPr>
                <w:lang w:val="fr-CA"/>
              </w:rPr>
            </w:pPr>
            <w:r w:rsidRPr="0058266A">
              <w:rPr>
                <w:lang w:val="fr-CA"/>
              </w:rPr>
              <w:t>(par. 1 à 4)</w:t>
            </w:r>
          </w:p>
        </w:tc>
        <w:tc>
          <w:tcPr>
            <w:tcW w:w="5958" w:type="dxa"/>
          </w:tcPr>
          <w:p w:rsidR="0058266A" w:rsidRPr="0058266A" w:rsidRDefault="0058266A" w:rsidP="00777A7D">
            <w:pPr>
              <w:rPr>
                <w:lang w:val="fr-CA"/>
              </w:rPr>
            </w:pPr>
            <w:r w:rsidRPr="0058266A">
              <w:rPr>
                <w:lang w:val="fr-CA"/>
              </w:rPr>
              <w:t>Le juge en chef Wagner (avec l’accord des juges Karakatsanis, Brown, Rowe et Martin)</w:t>
            </w:r>
          </w:p>
        </w:tc>
      </w:tr>
    </w:tbl>
    <w:p w:rsidR="0058266A" w:rsidRPr="0058266A" w:rsidRDefault="0058266A" w:rsidP="0058266A">
      <w:pPr>
        <w:rPr>
          <w:lang w:val="fr-CA"/>
        </w:rPr>
      </w:pPr>
    </w:p>
    <w:p w:rsidR="0058266A" w:rsidRPr="0058266A" w:rsidRDefault="0058266A" w:rsidP="0058266A">
      <w:pPr>
        <w:rPr>
          <w:lang w:val="fr-CA"/>
        </w:rPr>
      </w:pPr>
      <w:r>
        <w:rPr>
          <w:noProof/>
          <w:lang w:val="en-US" w:eastAsia="en-US"/>
        </w:rPr>
        <mc:AlternateContent>
          <mc:Choice Requires="wps">
            <w:drawing>
              <wp:anchor distT="0" distB="0" distL="114300" distR="114300" simplePos="0" relativeHeight="251659264" behindDoc="0" locked="0" layoutInCell="1" allowOverlap="1" wp14:anchorId="5B432EB1" wp14:editId="3B631F4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AC83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8266A" w:rsidRPr="0058266A" w:rsidRDefault="0058266A" w:rsidP="0058266A">
      <w:pPr>
        <w:rPr>
          <w:lang w:val="fr-CA"/>
        </w:rPr>
      </w:pPr>
    </w:p>
    <w:p w:rsidR="0058266A" w:rsidRPr="0058266A" w:rsidRDefault="0058266A" w:rsidP="0058266A">
      <w:pPr>
        <w:rPr>
          <w:lang w:val="fr-CA"/>
        </w:rPr>
      </w:pPr>
    </w:p>
    <w:p w:rsidR="0058266A" w:rsidRPr="0058266A" w:rsidRDefault="0058266A" w:rsidP="00F16D73">
      <w:pPr>
        <w:spacing w:after="720" w:line="480" w:lineRule="auto"/>
        <w:jc w:val="both"/>
        <w:rPr>
          <w:rStyle w:val="SCCAppellantForRunningHeadChar"/>
          <w:smallCaps w:val="0"/>
          <w:lang w:val="fr-CA"/>
        </w:rPr>
      </w:pPr>
    </w:p>
    <w:p w:rsidR="004D7D95" w:rsidRPr="00701589" w:rsidRDefault="00701589" w:rsidP="00F16D73">
      <w:pPr>
        <w:spacing w:after="720" w:line="480" w:lineRule="auto"/>
        <w:jc w:val="both"/>
        <w:rPr>
          <w:smallCaps/>
          <w:lang w:val="en-US"/>
        </w:rPr>
      </w:pPr>
      <w:r>
        <w:rPr>
          <w:rStyle w:val="SCCAppellantForRunningHeadChar"/>
          <w:smallCaps w:val="0"/>
          <w:lang w:val="en-US"/>
        </w:rPr>
        <w:t>R</w:t>
      </w:r>
      <w:r w:rsidR="00A81B14" w:rsidRPr="00701589">
        <w:rPr>
          <w:rStyle w:val="SCCAppellantForRunningHeadChar"/>
          <w:smallCaps w:val="0"/>
          <w:lang w:val="en-US"/>
        </w:rPr>
        <w:t xml:space="preserve">. </w:t>
      </w:r>
      <w:r w:rsidR="00A81B14" w:rsidRPr="00701589">
        <w:rPr>
          <w:i/>
          <w:lang w:val="en-US"/>
        </w:rPr>
        <w:t>c.</w:t>
      </w:r>
      <w:r w:rsidR="00A81B14" w:rsidRPr="00701589">
        <w:rPr>
          <w:smallCaps/>
          <w:lang w:val="en-US"/>
        </w:rPr>
        <w:t xml:space="preserve"> </w:t>
      </w:r>
      <w:r>
        <w:rPr>
          <w:rStyle w:val="SCCAppellantForRunningHeadChar"/>
          <w:smallCaps w:val="0"/>
          <w:lang w:val="en-US"/>
        </w:rPr>
        <w:t>B</w:t>
      </w:r>
      <w:r w:rsidR="004D7D95" w:rsidRPr="00701589">
        <w:rPr>
          <w:rStyle w:val="SCCAppellantForRunningHeadChar"/>
          <w:smallCaps w:val="0"/>
          <w:lang w:val="en-US"/>
        </w:rPr>
        <w:t>lack</w:t>
      </w:r>
      <w:r>
        <w:rPr>
          <w:rStyle w:val="SCCAppellantForRunningHeadChar"/>
          <w:smallCaps w:val="0"/>
          <w:lang w:val="en-US"/>
        </w:rPr>
        <w:t xml:space="preserve">, </w:t>
      </w:r>
      <w:r w:rsidRPr="00701589">
        <w:rPr>
          <w:lang w:val="en-US"/>
        </w:rPr>
        <w:t>2018 CSC 10, [2018] 1 R.C.S. 265</w:t>
      </w:r>
    </w:p>
    <w:p w:rsidR="00BB2D52" w:rsidRPr="0058266A" w:rsidRDefault="001F5841">
      <w:pPr>
        <w:pStyle w:val="SCCLsocLastPartyInRole"/>
        <w:rPr>
          <w:lang w:val="fr-CA"/>
        </w:rPr>
      </w:pPr>
      <w:r w:rsidRPr="0058266A">
        <w:rPr>
          <w:lang w:val="fr-CA"/>
        </w:rPr>
        <w:t>Omar Black</w:t>
      </w:r>
      <w:r w:rsidR="004525DD" w:rsidRPr="0058266A">
        <w:rPr>
          <w:rStyle w:val="SCCLsocPartyRole"/>
          <w:lang w:val="fr-CA"/>
        </w:rPr>
        <w:tab/>
        <w:t>Appelant</w:t>
      </w:r>
    </w:p>
    <w:p w:rsidR="00BB2D52" w:rsidRPr="00442152" w:rsidRDefault="001F5841">
      <w:pPr>
        <w:pStyle w:val="SCCLsocVersus"/>
        <w:rPr>
          <w:lang w:val="fr-CA"/>
        </w:rPr>
      </w:pPr>
      <w:proofErr w:type="gramStart"/>
      <w:r w:rsidRPr="00442152">
        <w:rPr>
          <w:lang w:val="fr-CA"/>
        </w:rPr>
        <w:lastRenderedPageBreak/>
        <w:t>c</w:t>
      </w:r>
      <w:proofErr w:type="gramEnd"/>
      <w:r w:rsidRPr="00442152">
        <w:rPr>
          <w:lang w:val="fr-CA"/>
        </w:rPr>
        <w:t>.</w:t>
      </w:r>
    </w:p>
    <w:p w:rsidR="00BB2D52" w:rsidRPr="00442152" w:rsidRDefault="001F5841">
      <w:pPr>
        <w:pStyle w:val="SCCLsocLastPartyInRole"/>
        <w:rPr>
          <w:lang w:val="fr-CA"/>
        </w:rPr>
      </w:pPr>
      <w:r w:rsidRPr="00442152">
        <w:rPr>
          <w:lang w:val="fr-CA"/>
        </w:rPr>
        <w:t>Sa Majesté la Reine</w:t>
      </w:r>
      <w:r w:rsidR="004525DD" w:rsidRPr="00442152">
        <w:rPr>
          <w:rStyle w:val="SCCLsocPartyRole"/>
          <w:lang w:val="fr-CA"/>
        </w:rPr>
        <w:tab/>
        <w:t>Intimée</w:t>
      </w:r>
    </w:p>
    <w:p w:rsidR="004D7D95" w:rsidRPr="00442152" w:rsidRDefault="004525DD" w:rsidP="00F16D73">
      <w:pPr>
        <w:spacing w:after="720"/>
        <w:jc w:val="both"/>
        <w:rPr>
          <w:b/>
          <w:lang w:val="fr-CA"/>
        </w:rPr>
      </w:pPr>
      <w:r w:rsidRPr="00442152">
        <w:rPr>
          <w:b/>
          <w:lang w:val="fr-CA"/>
        </w:rPr>
        <w:t xml:space="preserve">Répertorié : R. </w:t>
      </w:r>
      <w:r w:rsidRPr="00442152">
        <w:rPr>
          <w:b/>
          <w:i/>
          <w:lang w:val="fr-CA"/>
        </w:rPr>
        <w:t xml:space="preserve">c. </w:t>
      </w:r>
      <w:r w:rsidR="004D7D95" w:rsidRPr="00442152">
        <w:rPr>
          <w:rStyle w:val="SCCAppellantForIndexChar"/>
          <w:lang w:val="fr-CA"/>
        </w:rPr>
        <w:t>Black</w:t>
      </w:r>
      <w:r w:rsidR="004D7D95" w:rsidRPr="00442152">
        <w:rPr>
          <w:b/>
          <w:lang w:val="fr-CA"/>
        </w:rPr>
        <w:t xml:space="preserve"> </w:t>
      </w:r>
    </w:p>
    <w:p w:rsidR="004D7D95" w:rsidRPr="00442152" w:rsidRDefault="00D17B0E" w:rsidP="00F16D73">
      <w:pPr>
        <w:pStyle w:val="SCCSystemYear"/>
        <w:spacing w:after="720"/>
        <w:jc w:val="both"/>
        <w:rPr>
          <w:lang w:val="fr-CA"/>
        </w:rPr>
      </w:pPr>
      <w:r w:rsidRPr="00442152">
        <w:rPr>
          <w:lang w:val="fr-CA"/>
        </w:rPr>
        <w:t>2018</w:t>
      </w:r>
      <w:r w:rsidR="004D7D95" w:rsidRPr="00442152">
        <w:rPr>
          <w:lang w:val="fr-CA"/>
        </w:rPr>
        <w:t xml:space="preserve"> CSC </w:t>
      </w:r>
      <w:r w:rsidR="001F5841">
        <w:rPr>
          <w:lang w:val="fr-CA"/>
        </w:rPr>
        <w:t>10</w:t>
      </w:r>
    </w:p>
    <w:p w:rsidR="004D7D95" w:rsidRPr="00442152" w:rsidRDefault="004D7D95" w:rsidP="00F16D73">
      <w:pPr>
        <w:spacing w:after="720"/>
        <w:jc w:val="both"/>
        <w:rPr>
          <w:lang w:val="fr-CA"/>
        </w:rPr>
      </w:pPr>
      <w:r w:rsidRPr="00442152">
        <w:rPr>
          <w:lang w:val="fr-CA"/>
        </w:rPr>
        <w:t>N</w:t>
      </w:r>
      <w:r w:rsidRPr="00442152">
        <w:rPr>
          <w:vertAlign w:val="superscript"/>
          <w:lang w:val="fr-CA"/>
        </w:rPr>
        <w:t>o</w:t>
      </w:r>
      <w:r w:rsidR="00442152" w:rsidRPr="00442152">
        <w:rPr>
          <w:lang w:val="fr-CA"/>
        </w:rPr>
        <w:t xml:space="preserve"> du greffe : </w:t>
      </w:r>
      <w:r w:rsidRPr="00442152">
        <w:rPr>
          <w:lang w:val="fr-CA"/>
        </w:rPr>
        <w:t>37665.</w:t>
      </w:r>
    </w:p>
    <w:p w:rsidR="004D7D95" w:rsidRPr="00442152" w:rsidRDefault="00442152" w:rsidP="00F16D73">
      <w:pPr>
        <w:spacing w:after="720"/>
        <w:jc w:val="both"/>
        <w:rPr>
          <w:lang w:val="fr-CA"/>
        </w:rPr>
      </w:pPr>
      <w:r>
        <w:rPr>
          <w:lang w:val="fr-CA"/>
        </w:rPr>
        <w:t>2018 </w:t>
      </w:r>
      <w:r w:rsidR="00D17B0E" w:rsidRPr="00442152">
        <w:rPr>
          <w:lang w:val="fr-CA"/>
        </w:rPr>
        <w:t>: 13 mars</w:t>
      </w:r>
      <w:r w:rsidR="004D7D95" w:rsidRPr="00442152">
        <w:rPr>
          <w:lang w:val="fr-CA"/>
        </w:rPr>
        <w:t>.</w:t>
      </w:r>
    </w:p>
    <w:p w:rsidR="004D7D95" w:rsidRPr="00442152" w:rsidRDefault="00442152" w:rsidP="00F16D73">
      <w:pPr>
        <w:spacing w:after="720"/>
        <w:jc w:val="both"/>
        <w:rPr>
          <w:lang w:val="fr-CA"/>
        </w:rPr>
      </w:pPr>
      <w:r>
        <w:rPr>
          <w:lang w:val="fr-CA"/>
        </w:rPr>
        <w:t xml:space="preserve">Présents : </w:t>
      </w:r>
      <w:r w:rsidR="004D7D95" w:rsidRPr="00442152">
        <w:rPr>
          <w:lang w:val="fr-CA"/>
        </w:rPr>
        <w:t>Le juge en chef Wagner et les juges Karakatsanis, Brown, Rowe et Martin.</w:t>
      </w:r>
    </w:p>
    <w:p w:rsidR="004D7D95" w:rsidRPr="00442152" w:rsidRDefault="004D7D95" w:rsidP="00F16D73">
      <w:pPr>
        <w:spacing w:after="720"/>
        <w:jc w:val="both"/>
        <w:rPr>
          <w:smallCaps/>
          <w:lang w:val="fr-CA"/>
        </w:rPr>
      </w:pPr>
      <w:r w:rsidRPr="00442152">
        <w:rPr>
          <w:smallCaps/>
          <w:lang w:val="fr-CA"/>
        </w:rPr>
        <w:t>en appel de la cour d</w:t>
      </w:r>
      <w:r w:rsidR="00442152" w:rsidRPr="00442152">
        <w:rPr>
          <w:smallCaps/>
          <w:lang w:val="fr-CA"/>
        </w:rPr>
        <w:t>’</w:t>
      </w:r>
      <w:r w:rsidRPr="00442152">
        <w:rPr>
          <w:smallCaps/>
          <w:lang w:val="fr-CA"/>
        </w:rPr>
        <w:t>appel de l</w:t>
      </w:r>
      <w:r w:rsidR="00442152" w:rsidRPr="00442152">
        <w:rPr>
          <w:smallCaps/>
          <w:lang w:val="fr-CA"/>
        </w:rPr>
        <w:t>’</w:t>
      </w:r>
      <w:r w:rsidRPr="00442152">
        <w:rPr>
          <w:smallCaps/>
          <w:lang w:val="fr-CA"/>
        </w:rPr>
        <w:t>ontario</w:t>
      </w:r>
    </w:p>
    <w:p w:rsidR="004D7D95" w:rsidRPr="0097565F" w:rsidRDefault="004D7D95" w:rsidP="004279AC">
      <w:pPr>
        <w:pStyle w:val="SCCNormalDoubleSpacing"/>
        <w:spacing w:after="720"/>
        <w:rPr>
          <w:i/>
          <w:lang w:val="fr-CA"/>
        </w:rPr>
      </w:pPr>
      <w:r w:rsidRPr="0097565F">
        <w:rPr>
          <w:i/>
          <w:lang w:val="fr-CA"/>
        </w:rPr>
        <w:tab/>
      </w:r>
      <w:r w:rsidR="005A3503">
        <w:rPr>
          <w:i/>
          <w:lang w:val="fr-CA"/>
        </w:rPr>
        <w:t>Droit criminel —</w:t>
      </w:r>
      <w:r w:rsidR="0097565F" w:rsidRPr="0097565F">
        <w:rPr>
          <w:i/>
          <w:lang w:val="fr-CA"/>
        </w:rPr>
        <w:t xml:space="preserve"> </w:t>
      </w:r>
      <w:r w:rsidR="0097565F">
        <w:rPr>
          <w:i/>
          <w:lang w:val="fr-CA"/>
        </w:rPr>
        <w:t>Procès</w:t>
      </w:r>
      <w:r w:rsidR="005A3503">
        <w:rPr>
          <w:i/>
          <w:lang w:val="fr-CA"/>
        </w:rPr>
        <w:t xml:space="preserve"> —</w:t>
      </w:r>
      <w:r w:rsidR="0097565F" w:rsidRPr="0097565F">
        <w:rPr>
          <w:i/>
          <w:lang w:val="fr-CA"/>
        </w:rPr>
        <w:t xml:space="preserve"> Jug</w:t>
      </w:r>
      <w:r w:rsidR="0097565F">
        <w:rPr>
          <w:i/>
          <w:lang w:val="fr-CA"/>
        </w:rPr>
        <w:t>e</w:t>
      </w:r>
      <w:r w:rsidR="005A3503">
        <w:rPr>
          <w:i/>
          <w:lang w:val="fr-CA"/>
        </w:rPr>
        <w:t>ments —</w:t>
      </w:r>
      <w:r w:rsidR="0097565F" w:rsidRPr="0097565F">
        <w:rPr>
          <w:i/>
          <w:lang w:val="fr-CA"/>
        </w:rPr>
        <w:t xml:space="preserve"> </w:t>
      </w:r>
      <w:r w:rsidR="0097565F">
        <w:rPr>
          <w:i/>
          <w:lang w:val="fr-CA"/>
        </w:rPr>
        <w:t xml:space="preserve">Motifs </w:t>
      </w:r>
      <w:r w:rsidR="005A3503">
        <w:rPr>
          <w:i/>
          <w:lang w:val="fr-CA"/>
        </w:rPr>
        <w:t>—</w:t>
      </w:r>
      <w:r w:rsidR="00C05F8C">
        <w:rPr>
          <w:i/>
          <w:lang w:val="fr-CA"/>
        </w:rPr>
        <w:t xml:space="preserve"> Caractère s</w:t>
      </w:r>
      <w:r w:rsidR="0097565F" w:rsidRPr="0097565F">
        <w:rPr>
          <w:i/>
          <w:lang w:val="fr-CA"/>
        </w:rPr>
        <w:t>uffi</w:t>
      </w:r>
      <w:r w:rsidR="0097565F">
        <w:rPr>
          <w:i/>
          <w:lang w:val="fr-CA"/>
        </w:rPr>
        <w:t>sa</w:t>
      </w:r>
      <w:r w:rsidR="0097565F" w:rsidRPr="0097565F">
        <w:rPr>
          <w:i/>
          <w:lang w:val="fr-CA"/>
        </w:rPr>
        <w:t>n</w:t>
      </w:r>
      <w:r w:rsidR="00C05F8C">
        <w:rPr>
          <w:i/>
          <w:lang w:val="fr-CA"/>
        </w:rPr>
        <w:t>t</w:t>
      </w:r>
      <w:r w:rsidR="0097565F">
        <w:rPr>
          <w:i/>
          <w:lang w:val="fr-CA"/>
        </w:rPr>
        <w:t xml:space="preserve"> des motifs </w:t>
      </w:r>
      <w:r w:rsidR="005A3503">
        <w:rPr>
          <w:i/>
          <w:lang w:val="fr-CA"/>
        </w:rPr>
        <w:t>—</w:t>
      </w:r>
      <w:r w:rsidR="0097565F">
        <w:rPr>
          <w:i/>
          <w:lang w:val="fr-CA"/>
        </w:rPr>
        <w:t xml:space="preserve"> </w:t>
      </w:r>
      <w:r w:rsidR="00837AA2">
        <w:rPr>
          <w:i/>
          <w:lang w:val="fr-CA"/>
        </w:rPr>
        <w:t>V</w:t>
      </w:r>
      <w:r w:rsidR="0097565F">
        <w:rPr>
          <w:i/>
          <w:lang w:val="fr-CA"/>
        </w:rPr>
        <w:t xml:space="preserve">alise non réclamée </w:t>
      </w:r>
      <w:r w:rsidR="00C05F8C">
        <w:rPr>
          <w:i/>
          <w:lang w:val="fr-CA"/>
        </w:rPr>
        <w:t xml:space="preserve">et </w:t>
      </w:r>
      <w:r w:rsidR="0097565F">
        <w:rPr>
          <w:i/>
          <w:lang w:val="fr-CA"/>
        </w:rPr>
        <w:t xml:space="preserve">contenant de la cocaïne </w:t>
      </w:r>
      <w:r w:rsidR="00837AA2">
        <w:rPr>
          <w:i/>
          <w:lang w:val="fr-CA"/>
        </w:rPr>
        <w:t xml:space="preserve">découverte à l’aéroport </w:t>
      </w:r>
      <w:r w:rsidR="0097565F">
        <w:rPr>
          <w:i/>
          <w:lang w:val="fr-CA"/>
        </w:rPr>
        <w:t>après l</w:t>
      </w:r>
      <w:r w:rsidR="00C05F8C">
        <w:rPr>
          <w:i/>
          <w:lang w:val="fr-CA"/>
        </w:rPr>
        <w:t xml:space="preserve">’arrivée de l’avion dans lequel se trouvait </w:t>
      </w:r>
      <w:r w:rsidR="0097565F">
        <w:rPr>
          <w:i/>
          <w:lang w:val="fr-CA"/>
        </w:rPr>
        <w:t>l’accusé</w:t>
      </w:r>
      <w:r w:rsidR="00837AA2">
        <w:rPr>
          <w:i/>
          <w:lang w:val="fr-CA"/>
        </w:rPr>
        <w:t xml:space="preserve"> </w:t>
      </w:r>
      <w:r w:rsidR="005A3503">
        <w:rPr>
          <w:i/>
          <w:lang w:val="fr-CA"/>
        </w:rPr>
        <w:t>—</w:t>
      </w:r>
      <w:r w:rsidR="0097565F" w:rsidRPr="0097565F">
        <w:rPr>
          <w:i/>
          <w:lang w:val="fr-CA"/>
        </w:rPr>
        <w:t xml:space="preserve"> </w:t>
      </w:r>
      <w:r w:rsidR="00C05F8C">
        <w:rPr>
          <w:i/>
          <w:lang w:val="fr-CA"/>
        </w:rPr>
        <w:t>Valise munie d’é</w:t>
      </w:r>
      <w:r w:rsidR="00837AA2">
        <w:rPr>
          <w:i/>
          <w:lang w:val="fr-CA"/>
        </w:rPr>
        <w:t>tiquettes d’</w:t>
      </w:r>
      <w:r w:rsidR="0097565F" w:rsidRPr="0097565F">
        <w:rPr>
          <w:i/>
          <w:lang w:val="fr-CA"/>
        </w:rPr>
        <w:t>identification</w:t>
      </w:r>
      <w:r w:rsidR="00837AA2">
        <w:rPr>
          <w:i/>
          <w:lang w:val="fr-CA"/>
        </w:rPr>
        <w:t xml:space="preserve"> </w:t>
      </w:r>
      <w:r w:rsidR="00C05F8C">
        <w:rPr>
          <w:i/>
          <w:lang w:val="fr-CA"/>
        </w:rPr>
        <w:t xml:space="preserve">au </w:t>
      </w:r>
      <w:r w:rsidR="00837AA2">
        <w:rPr>
          <w:i/>
          <w:lang w:val="fr-CA"/>
        </w:rPr>
        <w:t xml:space="preserve">nom de l’accusé et </w:t>
      </w:r>
      <w:r w:rsidR="00C05F8C">
        <w:rPr>
          <w:i/>
          <w:lang w:val="fr-CA"/>
        </w:rPr>
        <w:t>renfermant une chaussette portant l’</w:t>
      </w:r>
      <w:r w:rsidR="00837AA2">
        <w:rPr>
          <w:i/>
          <w:lang w:val="fr-CA"/>
        </w:rPr>
        <w:t xml:space="preserve">ADN de </w:t>
      </w:r>
      <w:r w:rsidR="00C05F8C">
        <w:rPr>
          <w:i/>
          <w:lang w:val="fr-CA"/>
        </w:rPr>
        <w:t>ce dernier</w:t>
      </w:r>
      <w:r w:rsidR="005A3503">
        <w:rPr>
          <w:i/>
          <w:lang w:val="fr-CA"/>
        </w:rPr>
        <w:t xml:space="preserve"> —</w:t>
      </w:r>
      <w:r w:rsidR="0097565F" w:rsidRPr="0097565F">
        <w:rPr>
          <w:i/>
          <w:lang w:val="fr-CA"/>
        </w:rPr>
        <w:t xml:space="preserve"> Accus</w:t>
      </w:r>
      <w:r w:rsidR="00C05F8C">
        <w:rPr>
          <w:i/>
          <w:lang w:val="fr-CA"/>
        </w:rPr>
        <w:t xml:space="preserve">é </w:t>
      </w:r>
      <w:r w:rsidR="00837AA2">
        <w:rPr>
          <w:i/>
          <w:lang w:val="fr-CA"/>
        </w:rPr>
        <w:t xml:space="preserve">déclaré coupable d’importation de cocaïne </w:t>
      </w:r>
      <w:r w:rsidR="005A3503">
        <w:rPr>
          <w:i/>
          <w:lang w:val="fr-CA"/>
        </w:rPr>
        <w:t>—</w:t>
      </w:r>
      <w:r w:rsidR="006D5DA9">
        <w:rPr>
          <w:i/>
          <w:lang w:val="fr-CA"/>
        </w:rPr>
        <w:t xml:space="preserve"> </w:t>
      </w:r>
      <w:r w:rsidR="00C05F8C">
        <w:rPr>
          <w:i/>
          <w:lang w:val="fr-CA"/>
        </w:rPr>
        <w:t>D</w:t>
      </w:r>
      <w:r w:rsidR="00837AA2">
        <w:rPr>
          <w:i/>
          <w:lang w:val="fr-CA"/>
        </w:rPr>
        <w:t xml:space="preserve">éclaration de culpabilité </w:t>
      </w:r>
      <w:r w:rsidR="00C05F8C">
        <w:rPr>
          <w:i/>
          <w:lang w:val="fr-CA"/>
        </w:rPr>
        <w:t xml:space="preserve">confirmée </w:t>
      </w:r>
      <w:r w:rsidR="00837AA2">
        <w:rPr>
          <w:i/>
          <w:lang w:val="fr-CA"/>
        </w:rPr>
        <w:t>par la Cour d’a</w:t>
      </w:r>
      <w:r w:rsidR="0097565F" w:rsidRPr="0097565F">
        <w:rPr>
          <w:i/>
          <w:lang w:val="fr-CA"/>
        </w:rPr>
        <w:t>ppel</w:t>
      </w:r>
      <w:r w:rsidR="00837AA2">
        <w:rPr>
          <w:i/>
          <w:lang w:val="fr-CA"/>
        </w:rPr>
        <w:t xml:space="preserve"> </w:t>
      </w:r>
      <w:r w:rsidR="005A3503">
        <w:rPr>
          <w:i/>
          <w:lang w:val="fr-CA"/>
        </w:rPr>
        <w:t>—</w:t>
      </w:r>
      <w:r w:rsidR="0097565F" w:rsidRPr="0097565F">
        <w:rPr>
          <w:i/>
          <w:lang w:val="fr-CA"/>
        </w:rPr>
        <w:t xml:space="preserve"> </w:t>
      </w:r>
      <w:r w:rsidR="00C05F8C">
        <w:rPr>
          <w:i/>
          <w:lang w:val="fr-CA"/>
        </w:rPr>
        <w:t xml:space="preserve">Juge </w:t>
      </w:r>
      <w:r w:rsidR="00837AA2">
        <w:rPr>
          <w:i/>
          <w:lang w:val="fr-CA"/>
        </w:rPr>
        <w:t>dissident</w:t>
      </w:r>
      <w:r w:rsidR="00F640C1">
        <w:rPr>
          <w:i/>
          <w:lang w:val="fr-CA"/>
        </w:rPr>
        <w:t>e</w:t>
      </w:r>
      <w:r w:rsidR="00837AA2">
        <w:rPr>
          <w:i/>
          <w:lang w:val="fr-CA"/>
        </w:rPr>
        <w:t xml:space="preserve"> </w:t>
      </w:r>
      <w:r w:rsidR="00C05F8C">
        <w:rPr>
          <w:i/>
          <w:lang w:val="fr-CA"/>
        </w:rPr>
        <w:t xml:space="preserve">concluant </w:t>
      </w:r>
      <w:r w:rsidR="00837AA2">
        <w:rPr>
          <w:i/>
          <w:lang w:val="fr-CA"/>
        </w:rPr>
        <w:t xml:space="preserve">que le juge du procès a omis de tirer une conclusion de fait </w:t>
      </w:r>
      <w:r w:rsidR="00774868">
        <w:rPr>
          <w:i/>
          <w:lang w:val="fr-CA"/>
        </w:rPr>
        <w:t xml:space="preserve">portant que </w:t>
      </w:r>
      <w:r w:rsidR="00837AA2">
        <w:rPr>
          <w:i/>
          <w:lang w:val="fr-CA"/>
        </w:rPr>
        <w:t xml:space="preserve">l’accusé </w:t>
      </w:r>
      <w:r w:rsidR="00774868">
        <w:rPr>
          <w:i/>
          <w:lang w:val="fr-CA"/>
        </w:rPr>
        <w:t xml:space="preserve">connaissait la présence de </w:t>
      </w:r>
      <w:r w:rsidR="00837AA2">
        <w:rPr>
          <w:i/>
          <w:lang w:val="fr-CA"/>
        </w:rPr>
        <w:t>la cocaïne dans la valise</w:t>
      </w:r>
      <w:r w:rsidR="005A3503">
        <w:rPr>
          <w:i/>
          <w:lang w:val="fr-CA"/>
        </w:rPr>
        <w:t xml:space="preserve"> —</w:t>
      </w:r>
      <w:r w:rsidR="0097565F" w:rsidRPr="0097565F">
        <w:rPr>
          <w:i/>
          <w:lang w:val="fr-CA"/>
        </w:rPr>
        <w:t xml:space="preserve"> </w:t>
      </w:r>
      <w:r w:rsidR="000227C2">
        <w:rPr>
          <w:i/>
          <w:lang w:val="fr-CA"/>
        </w:rPr>
        <w:t>Motifs d</w:t>
      </w:r>
      <w:r w:rsidR="00F640C1">
        <w:rPr>
          <w:i/>
          <w:lang w:val="fr-CA"/>
        </w:rPr>
        <w:t>e la</w:t>
      </w:r>
      <w:r w:rsidR="000227C2">
        <w:rPr>
          <w:i/>
          <w:lang w:val="fr-CA"/>
        </w:rPr>
        <w:t xml:space="preserve"> juge du procès </w:t>
      </w:r>
      <w:r w:rsidR="00EE46B0">
        <w:rPr>
          <w:i/>
          <w:lang w:val="fr-CA"/>
        </w:rPr>
        <w:t>ne rempliss</w:t>
      </w:r>
      <w:r w:rsidR="00A44AED">
        <w:rPr>
          <w:i/>
          <w:lang w:val="fr-CA"/>
        </w:rPr>
        <w:t>a</w:t>
      </w:r>
      <w:r w:rsidR="00EE46B0">
        <w:rPr>
          <w:i/>
          <w:lang w:val="fr-CA"/>
        </w:rPr>
        <w:t>nt pas</w:t>
      </w:r>
      <w:r w:rsidR="00C61358">
        <w:rPr>
          <w:i/>
          <w:lang w:val="fr-CA"/>
        </w:rPr>
        <w:t xml:space="preserve"> </w:t>
      </w:r>
      <w:r w:rsidR="00C61358">
        <w:rPr>
          <w:i/>
          <w:lang w:val="fr-CA"/>
        </w:rPr>
        <w:lastRenderedPageBreak/>
        <w:t>leur</w:t>
      </w:r>
      <w:r w:rsidR="00EE46B0">
        <w:rPr>
          <w:i/>
          <w:lang w:val="fr-CA"/>
        </w:rPr>
        <w:t xml:space="preserve"> fonction </w:t>
      </w:r>
      <w:r w:rsidR="00A44AED">
        <w:rPr>
          <w:i/>
          <w:lang w:val="fr-CA"/>
        </w:rPr>
        <w:t xml:space="preserve">qui </w:t>
      </w:r>
      <w:r w:rsidR="00C61358">
        <w:rPr>
          <w:i/>
          <w:lang w:val="fr-CA"/>
        </w:rPr>
        <w:t>consist</w:t>
      </w:r>
      <w:r w:rsidR="00A44AED">
        <w:rPr>
          <w:i/>
          <w:lang w:val="fr-CA"/>
        </w:rPr>
        <w:t xml:space="preserve">e </w:t>
      </w:r>
      <w:r w:rsidR="00C61358">
        <w:rPr>
          <w:i/>
          <w:lang w:val="fr-CA"/>
        </w:rPr>
        <w:t>à</w:t>
      </w:r>
      <w:r w:rsidR="00EE46B0">
        <w:rPr>
          <w:i/>
          <w:lang w:val="fr-CA"/>
        </w:rPr>
        <w:t xml:space="preserve"> </w:t>
      </w:r>
      <w:r w:rsidR="0097565F" w:rsidRPr="0097565F">
        <w:rPr>
          <w:i/>
          <w:lang w:val="fr-CA"/>
        </w:rPr>
        <w:t>perm</w:t>
      </w:r>
      <w:r w:rsidR="000227C2">
        <w:rPr>
          <w:i/>
          <w:lang w:val="fr-CA"/>
        </w:rPr>
        <w:t>et</w:t>
      </w:r>
      <w:r w:rsidR="0097565F" w:rsidRPr="0097565F">
        <w:rPr>
          <w:i/>
          <w:lang w:val="fr-CA"/>
        </w:rPr>
        <w:t>t</w:t>
      </w:r>
      <w:r w:rsidR="000227C2">
        <w:rPr>
          <w:i/>
          <w:lang w:val="fr-CA"/>
        </w:rPr>
        <w:t xml:space="preserve">re un examen efficace </w:t>
      </w:r>
      <w:r w:rsidR="00A44AED">
        <w:rPr>
          <w:i/>
          <w:lang w:val="fr-CA"/>
        </w:rPr>
        <w:t xml:space="preserve">de sa décision </w:t>
      </w:r>
      <w:r w:rsidR="000227C2">
        <w:rPr>
          <w:i/>
          <w:lang w:val="fr-CA"/>
        </w:rPr>
        <w:t>en</w:t>
      </w:r>
      <w:r w:rsidR="0097565F" w:rsidRPr="0097565F">
        <w:rPr>
          <w:i/>
          <w:lang w:val="fr-CA"/>
        </w:rPr>
        <w:t xml:space="preserve"> </w:t>
      </w:r>
      <w:r w:rsidR="00A44AED">
        <w:rPr>
          <w:i/>
          <w:lang w:val="fr-CA"/>
        </w:rPr>
        <w:t>cas d’</w:t>
      </w:r>
      <w:r w:rsidR="005A3503">
        <w:rPr>
          <w:i/>
          <w:lang w:val="fr-CA"/>
        </w:rPr>
        <w:t>appel —</w:t>
      </w:r>
      <w:r w:rsidR="0097565F" w:rsidRPr="0097565F">
        <w:rPr>
          <w:i/>
          <w:lang w:val="fr-CA"/>
        </w:rPr>
        <w:t xml:space="preserve"> N</w:t>
      </w:r>
      <w:r w:rsidR="000227C2">
        <w:rPr>
          <w:i/>
          <w:lang w:val="fr-CA"/>
        </w:rPr>
        <w:t>ouveau procès ordonné</w:t>
      </w:r>
      <w:r w:rsidR="0097565F" w:rsidRPr="0097565F">
        <w:rPr>
          <w:i/>
          <w:lang w:val="fr-CA"/>
        </w:rPr>
        <w:t>.</w:t>
      </w:r>
    </w:p>
    <w:p w:rsidR="004D7D95" w:rsidRPr="00442152" w:rsidRDefault="004D7D95" w:rsidP="004279AC">
      <w:pPr>
        <w:pStyle w:val="SCCNormalDoubleSpacing"/>
        <w:spacing w:after="720" w:line="240" w:lineRule="auto"/>
        <w:rPr>
          <w:b/>
          <w:lang w:val="fr-CA"/>
        </w:rPr>
      </w:pPr>
      <w:r w:rsidRPr="00442152">
        <w:rPr>
          <w:b/>
          <w:lang w:val="fr-CA"/>
        </w:rPr>
        <w:t>Lois et règlements cités</w:t>
      </w:r>
    </w:p>
    <w:p w:rsidR="004D7D95" w:rsidRPr="00442152" w:rsidRDefault="00F16D73" w:rsidP="00F16D73">
      <w:pPr>
        <w:pStyle w:val="SCCNormalDoubleSpacing"/>
        <w:spacing w:after="720" w:line="240" w:lineRule="auto"/>
        <w:ind w:left="547" w:hanging="547"/>
        <w:rPr>
          <w:lang w:val="fr-CA"/>
        </w:rPr>
      </w:pPr>
      <w:r w:rsidRPr="00F16D73">
        <w:rPr>
          <w:i/>
          <w:lang w:val="fr-CA"/>
        </w:rPr>
        <w:t>Loi réglementant certaines drogues et autres substances</w:t>
      </w:r>
      <w:r>
        <w:rPr>
          <w:lang w:val="fr-CA"/>
        </w:rPr>
        <w:t>, L.C. 1996, c. 19, art. 6(1).</w:t>
      </w:r>
    </w:p>
    <w:p w:rsidR="004279AC" w:rsidRPr="00442152" w:rsidRDefault="004279AC" w:rsidP="004D7D95">
      <w:pPr>
        <w:pStyle w:val="SCCNormalDoubleSpacing"/>
        <w:spacing w:line="240" w:lineRule="auto"/>
        <w:ind w:left="540" w:hanging="540"/>
        <w:rPr>
          <w:lang w:val="fr-CA"/>
        </w:rPr>
      </w:pPr>
    </w:p>
    <w:p w:rsidR="004D7D95" w:rsidRPr="00442152" w:rsidRDefault="004D7D95" w:rsidP="00F16D73">
      <w:pPr>
        <w:pStyle w:val="SCCNormalDoubleSpacing"/>
        <w:spacing w:after="720"/>
        <w:rPr>
          <w:lang w:val="fr-CA"/>
        </w:rPr>
      </w:pPr>
      <w:r w:rsidRPr="00442152">
        <w:rPr>
          <w:lang w:val="fr-CA"/>
        </w:rPr>
        <w:tab/>
        <w:t>POURVOI contre un arrêt de la Cour d</w:t>
      </w:r>
      <w:r w:rsidR="00442152">
        <w:rPr>
          <w:lang w:val="fr-CA"/>
        </w:rPr>
        <w:t>’</w:t>
      </w:r>
      <w:r w:rsidRPr="00442152">
        <w:rPr>
          <w:lang w:val="fr-CA"/>
        </w:rPr>
        <w:t>appel de l</w:t>
      </w:r>
      <w:r w:rsidR="00442152">
        <w:rPr>
          <w:lang w:val="fr-CA"/>
        </w:rPr>
        <w:t>’</w:t>
      </w:r>
      <w:r w:rsidRPr="00442152">
        <w:rPr>
          <w:lang w:val="fr-CA"/>
        </w:rPr>
        <w:t>Ontario</w:t>
      </w:r>
      <w:r w:rsidR="00F16D73">
        <w:rPr>
          <w:lang w:val="fr-CA"/>
        </w:rPr>
        <w:t xml:space="preserve"> (les juges </w:t>
      </w:r>
      <w:r w:rsidR="00F16D73" w:rsidRPr="00F16D73">
        <w:rPr>
          <w:lang w:val="fr-CA"/>
        </w:rPr>
        <w:t xml:space="preserve">Weiler, Hourigan </w:t>
      </w:r>
      <w:r w:rsidR="00F16D73">
        <w:rPr>
          <w:lang w:val="fr-CA"/>
        </w:rPr>
        <w:t>et Pardu</w:t>
      </w:r>
      <w:r w:rsidR="00F16D73" w:rsidRPr="00F16D73">
        <w:rPr>
          <w:lang w:val="fr-CA"/>
        </w:rPr>
        <w:t>), 2017 ONCA 599, [2017] O.J. No. 3683 (QL), 2017 CarswellOnt 10794 (WL Can.),</w:t>
      </w:r>
      <w:r w:rsidR="00F16D73">
        <w:rPr>
          <w:lang w:val="fr-CA"/>
        </w:rPr>
        <w:t xml:space="preserve"> </w:t>
      </w:r>
      <w:r w:rsidR="00F16D73" w:rsidRPr="007B619F">
        <w:rPr>
          <w:lang w:val="fr-CA"/>
        </w:rPr>
        <w:t xml:space="preserve">qui a confirmé la déclaration de culpabilité </w:t>
      </w:r>
      <w:r w:rsidR="007B619F">
        <w:rPr>
          <w:lang w:val="fr-CA"/>
        </w:rPr>
        <w:t>inscrite</w:t>
      </w:r>
      <w:r w:rsidR="00F16D73" w:rsidRPr="007B619F">
        <w:rPr>
          <w:lang w:val="fr-CA"/>
        </w:rPr>
        <w:t xml:space="preserve"> par</w:t>
      </w:r>
      <w:r w:rsidR="001F5841">
        <w:rPr>
          <w:lang w:val="fr-CA"/>
        </w:rPr>
        <w:t xml:space="preserve"> le juge André</w:t>
      </w:r>
      <w:r w:rsidR="00F16D73" w:rsidRPr="00F16D73">
        <w:rPr>
          <w:lang w:val="fr-CA"/>
        </w:rPr>
        <w:t>, 2016 ONSC 3754, [2016] O.J. No. 3490 (QL), 2016 CarswellOnt 10438 (WL Can.).</w:t>
      </w:r>
      <w:r w:rsidR="00F16D73">
        <w:rPr>
          <w:lang w:val="fr-CA"/>
        </w:rPr>
        <w:t xml:space="preserve"> Pourvoi </w:t>
      </w:r>
      <w:r w:rsidR="00F16D73" w:rsidRPr="007B619F">
        <w:rPr>
          <w:lang w:val="fr-CA"/>
        </w:rPr>
        <w:t>accueilli</w:t>
      </w:r>
      <w:r w:rsidR="00F16D73">
        <w:rPr>
          <w:lang w:val="fr-CA"/>
        </w:rPr>
        <w:t xml:space="preserve">. </w:t>
      </w:r>
    </w:p>
    <w:p w:rsidR="00BB2D52" w:rsidRPr="007B619F" w:rsidRDefault="00EB2A5B" w:rsidP="00F16D73">
      <w:pPr>
        <w:pStyle w:val="SCCNormalDoubleSpacing"/>
        <w:spacing w:after="720"/>
        <w:rPr>
          <w:lang w:val="fr-CA"/>
        </w:rPr>
      </w:pPr>
      <w:r>
        <w:rPr>
          <w:rStyle w:val="SCCCounselNameChar"/>
          <w:lang w:val="fr-CA"/>
        </w:rPr>
        <w:tab/>
        <w:t xml:space="preserve">David </w:t>
      </w:r>
      <w:r w:rsidR="001F5841" w:rsidRPr="00442152">
        <w:rPr>
          <w:rStyle w:val="SCCCounselNameChar"/>
          <w:lang w:val="fr-CA"/>
        </w:rPr>
        <w:t>Butt</w:t>
      </w:r>
      <w:r w:rsidR="001F5841" w:rsidRPr="00442152">
        <w:rPr>
          <w:rStyle w:val="SCCCounselSeparatorChar"/>
          <w:lang w:val="fr-CA"/>
        </w:rPr>
        <w:t xml:space="preserve"> et </w:t>
      </w:r>
      <w:r w:rsidR="001F5841" w:rsidRPr="00442152">
        <w:rPr>
          <w:rStyle w:val="SCCCounselNameChar"/>
          <w:lang w:val="fr-CA"/>
        </w:rPr>
        <w:t>Maija Martin</w:t>
      </w:r>
      <w:r w:rsidR="001F5841" w:rsidRPr="00442152">
        <w:rPr>
          <w:rStyle w:val="SCCCounselPartyRoleChar"/>
          <w:lang w:val="fr-CA"/>
        </w:rPr>
        <w:t>, pour l</w:t>
      </w:r>
      <w:r w:rsidR="00442152">
        <w:rPr>
          <w:rStyle w:val="SCCCounselPartyRoleChar"/>
          <w:lang w:val="fr-CA"/>
        </w:rPr>
        <w:t>’</w:t>
      </w:r>
      <w:r>
        <w:rPr>
          <w:rStyle w:val="SCCCounselPartyRoleChar"/>
          <w:lang w:val="fr-CA"/>
        </w:rPr>
        <w:t>appelant</w:t>
      </w:r>
      <w:r w:rsidR="001F5841" w:rsidRPr="00442152">
        <w:rPr>
          <w:rStyle w:val="SCCCounselPartyRoleChar"/>
          <w:lang w:val="fr-CA"/>
        </w:rPr>
        <w:t>.</w:t>
      </w:r>
    </w:p>
    <w:p w:rsidR="00BB2D52" w:rsidRPr="00442152" w:rsidRDefault="001F5841" w:rsidP="00F16D73">
      <w:pPr>
        <w:pStyle w:val="SCCNormalDoubleSpacing"/>
        <w:spacing w:after="720"/>
        <w:rPr>
          <w:lang w:val="fr-CA"/>
        </w:rPr>
      </w:pPr>
      <w:r w:rsidRPr="00442152">
        <w:rPr>
          <w:rStyle w:val="SCCCounselNameChar"/>
          <w:lang w:val="fr-CA"/>
        </w:rPr>
        <w:tab/>
        <w:t>Kevin R. Wilson</w:t>
      </w:r>
      <w:r w:rsidRPr="00442152">
        <w:rPr>
          <w:rStyle w:val="SCCCounselSeparatorChar"/>
          <w:lang w:val="fr-CA"/>
        </w:rPr>
        <w:t xml:space="preserve"> et </w:t>
      </w:r>
      <w:r w:rsidRPr="00442152">
        <w:rPr>
          <w:rStyle w:val="SCCCounselNameChar"/>
          <w:lang w:val="fr-CA"/>
        </w:rPr>
        <w:t>Sarah Egan</w:t>
      </w:r>
      <w:r w:rsidRPr="00442152">
        <w:rPr>
          <w:rStyle w:val="SCCCounselPartyRoleChar"/>
          <w:lang w:val="fr-CA"/>
        </w:rPr>
        <w:t>, pour l</w:t>
      </w:r>
      <w:r w:rsidR="00442152">
        <w:rPr>
          <w:rStyle w:val="SCCCounselPartyRoleChar"/>
          <w:lang w:val="fr-CA"/>
        </w:rPr>
        <w:t>’</w:t>
      </w:r>
      <w:r w:rsidR="00EB2A5B">
        <w:rPr>
          <w:rStyle w:val="SCCCounselPartyRoleChar"/>
          <w:lang w:val="fr-CA"/>
        </w:rPr>
        <w:t>intimée</w:t>
      </w:r>
      <w:r w:rsidRPr="00442152">
        <w:rPr>
          <w:rStyle w:val="SCCCounselPartyRoleChar"/>
          <w:lang w:val="fr-CA"/>
        </w:rPr>
        <w:t>.</w:t>
      </w:r>
    </w:p>
    <w:p w:rsidR="00BB2D52" w:rsidRPr="00442152" w:rsidRDefault="001F5841" w:rsidP="00F16D73">
      <w:pPr>
        <w:pStyle w:val="SCCNormalDoubleSpacing"/>
        <w:spacing w:after="720"/>
        <w:rPr>
          <w:lang w:val="fr-CA"/>
        </w:rPr>
      </w:pPr>
      <w:r w:rsidRPr="00442152">
        <w:rPr>
          <w:lang w:val="fr-CA"/>
        </w:rPr>
        <w:tab/>
      </w:r>
      <w:r w:rsidR="00F16D73">
        <w:rPr>
          <w:lang w:val="fr-CA"/>
        </w:rPr>
        <w:t>Version française du jugement de la Cour rendu oralement par</w:t>
      </w:r>
    </w:p>
    <w:p w:rsidR="001663BF" w:rsidRDefault="00687E3A" w:rsidP="001663BF">
      <w:pPr>
        <w:pStyle w:val="ParaNoNdepar-AltN"/>
        <w:widowControl w:val="0"/>
        <w:numPr>
          <w:ilvl w:val="0"/>
          <w:numId w:val="1"/>
        </w:numPr>
        <w:tabs>
          <w:tab w:val="num" w:pos="1152"/>
        </w:tabs>
        <w:ind w:left="0" w:firstLine="0"/>
        <w:rPr>
          <w:lang w:val="fr-CA"/>
        </w:rPr>
      </w:pPr>
      <w:r>
        <w:rPr>
          <w:smallCaps/>
          <w:lang w:val="fr-CA"/>
        </w:rPr>
        <w:t>Le j</w:t>
      </w:r>
      <w:r w:rsidR="001663BF" w:rsidRPr="00D45D03">
        <w:rPr>
          <w:smallCaps/>
          <w:lang w:val="fr-CA"/>
        </w:rPr>
        <w:t>uge en chef</w:t>
      </w:r>
      <w:r w:rsidR="001663BF" w:rsidRPr="00D45D03">
        <w:rPr>
          <w:lang w:val="fr-CA"/>
        </w:rPr>
        <w:t xml:space="preserve"> — </w:t>
      </w:r>
      <w:r w:rsidR="001663BF">
        <w:rPr>
          <w:lang w:val="fr-CA"/>
        </w:rPr>
        <w:t xml:space="preserve">Monsieur Black a été déclaré coupable en première instance d’avoir importé de la cocaïne au Canada en contravention du par. 6(1) de la </w:t>
      </w:r>
      <w:r w:rsidR="001663BF">
        <w:rPr>
          <w:i/>
          <w:lang w:val="fr-CA"/>
        </w:rPr>
        <w:lastRenderedPageBreak/>
        <w:t>Loi réglementant certaines drogues et autres substances</w:t>
      </w:r>
      <w:r w:rsidR="001663BF">
        <w:rPr>
          <w:lang w:val="fr-CA"/>
        </w:rPr>
        <w:t>, L.C. 1996, c. 19. L’appel qu’il a formé à l’encontre de sa déclaration de culpabilité a été rejeté à la majorité par la Cour d’appel de l’Ontario, la juge Pardu étant dissidente</w:t>
      </w:r>
      <w:r w:rsidR="001663BF" w:rsidRPr="00D45D03">
        <w:rPr>
          <w:lang w:val="fr-CA"/>
        </w:rPr>
        <w:t>.</w:t>
      </w:r>
    </w:p>
    <w:p w:rsidR="001663BF" w:rsidRDefault="001663BF" w:rsidP="001663BF">
      <w:pPr>
        <w:pStyle w:val="ParaNoNdepar-AltN"/>
        <w:widowControl w:val="0"/>
        <w:numPr>
          <w:ilvl w:val="0"/>
          <w:numId w:val="1"/>
        </w:numPr>
        <w:tabs>
          <w:tab w:val="num" w:pos="1152"/>
        </w:tabs>
        <w:ind w:left="0" w:firstLine="0"/>
        <w:rPr>
          <w:lang w:val="fr-CA"/>
        </w:rPr>
      </w:pPr>
      <w:r w:rsidRPr="001663BF">
        <w:rPr>
          <w:lang w:val="fr-CA"/>
        </w:rPr>
        <w:t>Monsieur Black se pourvoit de plein droit devant la Cour</w:t>
      </w:r>
      <w:r>
        <w:rPr>
          <w:lang w:val="fr-CA"/>
        </w:rPr>
        <w:t xml:space="preserve">. </w:t>
      </w:r>
    </w:p>
    <w:p w:rsidR="001663BF" w:rsidRDefault="001663BF" w:rsidP="001663BF">
      <w:pPr>
        <w:pStyle w:val="ParaNoNdepar-AltN"/>
        <w:widowControl w:val="0"/>
        <w:numPr>
          <w:ilvl w:val="0"/>
          <w:numId w:val="1"/>
        </w:numPr>
        <w:tabs>
          <w:tab w:val="num" w:pos="1152"/>
        </w:tabs>
        <w:ind w:left="0" w:firstLine="0"/>
        <w:rPr>
          <w:lang w:val="fr-CA"/>
        </w:rPr>
      </w:pPr>
      <w:r w:rsidRPr="001663BF">
        <w:rPr>
          <w:lang w:val="fr-CA"/>
        </w:rPr>
        <w:t>À l’instar de la juge Pardu, nous sommes d’avis que, même considérés globalement et au regard du dossier dont disposait le juge du procès, les motifs de ce dernier ne révèlent pas les fondements de sa conclusion selon laquelle le ministère public a prouvé hors de tout doute raisonnable l’élément moral de l’infraction. Les motifs n’ont pas rempli leur fonction consistant à permettre un examen efficace en appel</w:t>
      </w:r>
      <w:r>
        <w:rPr>
          <w:lang w:val="fr-CA"/>
        </w:rPr>
        <w:t>.</w:t>
      </w:r>
    </w:p>
    <w:p w:rsidR="00BB2D52" w:rsidRPr="001663BF" w:rsidRDefault="001663BF" w:rsidP="001663BF">
      <w:pPr>
        <w:pStyle w:val="ParaNoNdepar-AltN"/>
        <w:widowControl w:val="0"/>
        <w:numPr>
          <w:ilvl w:val="0"/>
          <w:numId w:val="1"/>
        </w:numPr>
        <w:tabs>
          <w:tab w:val="num" w:pos="1152"/>
        </w:tabs>
        <w:ind w:left="0" w:firstLine="0"/>
        <w:rPr>
          <w:lang w:val="fr-CA"/>
        </w:rPr>
      </w:pPr>
      <w:r w:rsidRPr="001663BF">
        <w:rPr>
          <w:lang w:val="fr-CA"/>
        </w:rPr>
        <w:t>Le pourvoi est en conséquence accueilli, et la tenue d’un nouveau procès est ordonnée</w:t>
      </w:r>
      <w:r>
        <w:rPr>
          <w:lang w:val="fr-CA"/>
        </w:rPr>
        <w:t>.</w:t>
      </w:r>
    </w:p>
    <w:p w:rsidR="00BB2D52" w:rsidRPr="00442152" w:rsidRDefault="001F5841">
      <w:pPr>
        <w:pStyle w:val="SCCLawFirm"/>
        <w:rPr>
          <w:lang w:val="fr-CA"/>
        </w:rPr>
      </w:pPr>
      <w:r w:rsidRPr="00442152">
        <w:rPr>
          <w:lang w:val="fr-CA"/>
        </w:rPr>
        <w:tab/>
      </w:r>
    </w:p>
    <w:p w:rsidR="004D7D95" w:rsidRPr="00442152" w:rsidRDefault="00FF3216" w:rsidP="00FF3216">
      <w:pPr>
        <w:pStyle w:val="SCCNormalDoubleSpacing"/>
        <w:spacing w:after="720"/>
        <w:rPr>
          <w:lang w:val="fr-CA"/>
        </w:rPr>
      </w:pPr>
      <w:r>
        <w:rPr>
          <w:lang w:val="fr-CA"/>
        </w:rPr>
        <w:tab/>
      </w:r>
      <w:r>
        <w:rPr>
          <w:i/>
          <w:lang w:val="fr-CA"/>
        </w:rPr>
        <w:t xml:space="preserve">Jugement en conséquence. </w:t>
      </w:r>
    </w:p>
    <w:p w:rsidR="00BB2D52" w:rsidRPr="00442152" w:rsidRDefault="00FF3216" w:rsidP="00FF3216">
      <w:pPr>
        <w:pStyle w:val="SCCLawFirm"/>
        <w:spacing w:after="720"/>
        <w:rPr>
          <w:lang w:val="fr-CA"/>
        </w:rPr>
      </w:pPr>
      <w:r>
        <w:rPr>
          <w:lang w:val="fr-CA"/>
        </w:rPr>
        <w:tab/>
        <w:t>Procureur</w:t>
      </w:r>
      <w:r w:rsidR="00EB2A5B">
        <w:rPr>
          <w:lang w:val="fr-CA"/>
        </w:rPr>
        <w:t>s</w:t>
      </w:r>
      <w:r w:rsidR="001F5841" w:rsidRPr="00442152">
        <w:rPr>
          <w:lang w:val="fr-CA"/>
        </w:rPr>
        <w:t xml:space="preserve"> de l</w:t>
      </w:r>
      <w:r w:rsidR="00442152">
        <w:rPr>
          <w:lang w:val="fr-CA"/>
        </w:rPr>
        <w:t>’</w:t>
      </w:r>
      <w:r>
        <w:rPr>
          <w:lang w:val="fr-CA"/>
        </w:rPr>
        <w:t>appelant</w:t>
      </w:r>
      <w:r w:rsidR="001F5841" w:rsidRPr="00442152">
        <w:rPr>
          <w:lang w:val="fr-CA"/>
        </w:rPr>
        <w:t> :</w:t>
      </w:r>
      <w:r>
        <w:rPr>
          <w:lang w:val="fr-CA"/>
        </w:rPr>
        <w:t xml:space="preserve"> David </w:t>
      </w:r>
      <w:r w:rsidR="001F5841" w:rsidRPr="00442152">
        <w:rPr>
          <w:lang w:val="fr-CA"/>
        </w:rPr>
        <w:t>Butt, Toronto</w:t>
      </w:r>
      <w:r w:rsidR="00EB2A5B">
        <w:rPr>
          <w:lang w:val="fr-CA"/>
        </w:rPr>
        <w:t xml:space="preserve">; </w:t>
      </w:r>
      <w:r w:rsidR="00EB2A5B" w:rsidRPr="00EB2A5B">
        <w:rPr>
          <w:lang w:val="fr-CA"/>
        </w:rPr>
        <w:t>Maija Martin, Toronto</w:t>
      </w:r>
      <w:r w:rsidR="001F5841" w:rsidRPr="00442152">
        <w:rPr>
          <w:lang w:val="fr-CA"/>
        </w:rPr>
        <w:t>.</w:t>
      </w:r>
    </w:p>
    <w:p w:rsidR="009B57B3" w:rsidRPr="00442152" w:rsidRDefault="00FF3216" w:rsidP="007B619F">
      <w:pPr>
        <w:pStyle w:val="SCCLawFirm"/>
        <w:spacing w:after="720"/>
        <w:rPr>
          <w:lang w:val="fr-CA"/>
        </w:rPr>
      </w:pPr>
      <w:r>
        <w:rPr>
          <w:lang w:val="fr-CA"/>
        </w:rPr>
        <w:tab/>
        <w:t>Procureur</w:t>
      </w:r>
      <w:r w:rsidR="001F5841" w:rsidRPr="00442152">
        <w:rPr>
          <w:lang w:val="fr-CA"/>
        </w:rPr>
        <w:t xml:space="preserve"> de l</w:t>
      </w:r>
      <w:r w:rsidR="00442152">
        <w:rPr>
          <w:lang w:val="fr-CA"/>
        </w:rPr>
        <w:t>’</w:t>
      </w:r>
      <w:r>
        <w:rPr>
          <w:lang w:val="fr-CA"/>
        </w:rPr>
        <w:t>intimée</w:t>
      </w:r>
      <w:r w:rsidR="001F5841" w:rsidRPr="00442152">
        <w:rPr>
          <w:lang w:val="fr-CA"/>
        </w:rPr>
        <w:t xml:space="preserve"> : </w:t>
      </w:r>
      <w:r>
        <w:rPr>
          <w:lang w:val="fr-CA"/>
        </w:rPr>
        <w:t>Service des poursuites pénales du</w:t>
      </w:r>
      <w:r w:rsidR="001F5841" w:rsidRPr="00442152">
        <w:rPr>
          <w:lang w:val="fr-CA"/>
        </w:rPr>
        <w:t xml:space="preserve"> Canada, Toronto.</w:t>
      </w:r>
    </w:p>
    <w:sectPr w:rsidR="009B57B3" w:rsidRPr="0044215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E3" w:rsidRDefault="00787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E3" w:rsidRDefault="00787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E3" w:rsidRDefault="0078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E3" w:rsidRDefault="00787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E3" w:rsidRDefault="00787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F2FCB"/>
    <w:multiLevelType w:val="hybridMultilevel"/>
    <w:tmpl w:val="8FE6DAB6"/>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7C2"/>
    <w:rsid w:val="00023FC7"/>
    <w:rsid w:val="00025198"/>
    <w:rsid w:val="000578A3"/>
    <w:rsid w:val="000648CC"/>
    <w:rsid w:val="000C59B8"/>
    <w:rsid w:val="000C6AF0"/>
    <w:rsid w:val="000D0A77"/>
    <w:rsid w:val="000F7993"/>
    <w:rsid w:val="00104F33"/>
    <w:rsid w:val="00111DE2"/>
    <w:rsid w:val="00116B38"/>
    <w:rsid w:val="00135406"/>
    <w:rsid w:val="00135972"/>
    <w:rsid w:val="001426A9"/>
    <w:rsid w:val="00154D7C"/>
    <w:rsid w:val="001570B0"/>
    <w:rsid w:val="0015752C"/>
    <w:rsid w:val="00157737"/>
    <w:rsid w:val="00165277"/>
    <w:rsid w:val="001663BF"/>
    <w:rsid w:val="00170592"/>
    <w:rsid w:val="001720F7"/>
    <w:rsid w:val="00195D83"/>
    <w:rsid w:val="001A00C1"/>
    <w:rsid w:val="001B33E0"/>
    <w:rsid w:val="001B4573"/>
    <w:rsid w:val="001C779F"/>
    <w:rsid w:val="001D2AC1"/>
    <w:rsid w:val="001D4E88"/>
    <w:rsid w:val="001F5841"/>
    <w:rsid w:val="00220FC2"/>
    <w:rsid w:val="002222F4"/>
    <w:rsid w:val="00224FC0"/>
    <w:rsid w:val="00225EA4"/>
    <w:rsid w:val="00226EAF"/>
    <w:rsid w:val="00231F3A"/>
    <w:rsid w:val="002406EE"/>
    <w:rsid w:val="00243EC8"/>
    <w:rsid w:val="00270D93"/>
    <w:rsid w:val="002745CC"/>
    <w:rsid w:val="002B426E"/>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279AC"/>
    <w:rsid w:val="00442152"/>
    <w:rsid w:val="00450352"/>
    <w:rsid w:val="004525DD"/>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266A"/>
    <w:rsid w:val="00583EDE"/>
    <w:rsid w:val="005A3503"/>
    <w:rsid w:val="005A6079"/>
    <w:rsid w:val="005E4698"/>
    <w:rsid w:val="00603924"/>
    <w:rsid w:val="00610539"/>
    <w:rsid w:val="00613969"/>
    <w:rsid w:val="00625C35"/>
    <w:rsid w:val="00647E49"/>
    <w:rsid w:val="00656313"/>
    <w:rsid w:val="006565F4"/>
    <w:rsid w:val="00684EEA"/>
    <w:rsid w:val="00687E3A"/>
    <w:rsid w:val="0069689B"/>
    <w:rsid w:val="006B5FF5"/>
    <w:rsid w:val="006D5DA9"/>
    <w:rsid w:val="006F30AF"/>
    <w:rsid w:val="00701589"/>
    <w:rsid w:val="00701759"/>
    <w:rsid w:val="00705C15"/>
    <w:rsid w:val="007110F6"/>
    <w:rsid w:val="007208D1"/>
    <w:rsid w:val="00744518"/>
    <w:rsid w:val="00747288"/>
    <w:rsid w:val="00747DD3"/>
    <w:rsid w:val="007549C8"/>
    <w:rsid w:val="00766D14"/>
    <w:rsid w:val="00767A0F"/>
    <w:rsid w:val="00774868"/>
    <w:rsid w:val="007876E3"/>
    <w:rsid w:val="00791272"/>
    <w:rsid w:val="007A05F6"/>
    <w:rsid w:val="007B619F"/>
    <w:rsid w:val="007B6F4A"/>
    <w:rsid w:val="007E1C47"/>
    <w:rsid w:val="007E337A"/>
    <w:rsid w:val="007E5C70"/>
    <w:rsid w:val="007F2FF5"/>
    <w:rsid w:val="007F3F08"/>
    <w:rsid w:val="00804CC6"/>
    <w:rsid w:val="00817190"/>
    <w:rsid w:val="008260E2"/>
    <w:rsid w:val="008322BD"/>
    <w:rsid w:val="00834F73"/>
    <w:rsid w:val="00837AA2"/>
    <w:rsid w:val="00864C8A"/>
    <w:rsid w:val="00864CF8"/>
    <w:rsid w:val="00874914"/>
    <w:rsid w:val="00891422"/>
    <w:rsid w:val="00892E1A"/>
    <w:rsid w:val="008B660A"/>
    <w:rsid w:val="008C01DA"/>
    <w:rsid w:val="008F2674"/>
    <w:rsid w:val="008F78E9"/>
    <w:rsid w:val="009179F9"/>
    <w:rsid w:val="00917C7A"/>
    <w:rsid w:val="00933E5E"/>
    <w:rsid w:val="00935218"/>
    <w:rsid w:val="00937C52"/>
    <w:rsid w:val="009403F3"/>
    <w:rsid w:val="0094427F"/>
    <w:rsid w:val="009555B7"/>
    <w:rsid w:val="009567AA"/>
    <w:rsid w:val="009602C9"/>
    <w:rsid w:val="00967374"/>
    <w:rsid w:val="0097565F"/>
    <w:rsid w:val="009A343A"/>
    <w:rsid w:val="009B2F23"/>
    <w:rsid w:val="009B57B3"/>
    <w:rsid w:val="009D2920"/>
    <w:rsid w:val="009D5AEB"/>
    <w:rsid w:val="009F0E33"/>
    <w:rsid w:val="00A149DF"/>
    <w:rsid w:val="00A1755C"/>
    <w:rsid w:val="00A21B90"/>
    <w:rsid w:val="00A22AAC"/>
    <w:rsid w:val="00A41805"/>
    <w:rsid w:val="00A44AED"/>
    <w:rsid w:val="00A51882"/>
    <w:rsid w:val="00A52AFB"/>
    <w:rsid w:val="00A548CB"/>
    <w:rsid w:val="00A5521C"/>
    <w:rsid w:val="00A643E7"/>
    <w:rsid w:val="00A73C38"/>
    <w:rsid w:val="00A81B14"/>
    <w:rsid w:val="00A921A7"/>
    <w:rsid w:val="00AB670D"/>
    <w:rsid w:val="00AF03C5"/>
    <w:rsid w:val="00B000D8"/>
    <w:rsid w:val="00B00F75"/>
    <w:rsid w:val="00B145B6"/>
    <w:rsid w:val="00B279EB"/>
    <w:rsid w:val="00B50C81"/>
    <w:rsid w:val="00B557F8"/>
    <w:rsid w:val="00B815FC"/>
    <w:rsid w:val="00B93FBC"/>
    <w:rsid w:val="00BA7DA0"/>
    <w:rsid w:val="00BB2D52"/>
    <w:rsid w:val="00BB2EE4"/>
    <w:rsid w:val="00BB4C92"/>
    <w:rsid w:val="00BC2108"/>
    <w:rsid w:val="00BD0E9E"/>
    <w:rsid w:val="00BD1BEC"/>
    <w:rsid w:val="00BD32FF"/>
    <w:rsid w:val="00BF6FE9"/>
    <w:rsid w:val="00C02092"/>
    <w:rsid w:val="00C05F8C"/>
    <w:rsid w:val="00C24D91"/>
    <w:rsid w:val="00C26DB2"/>
    <w:rsid w:val="00C53F14"/>
    <w:rsid w:val="00C600CF"/>
    <w:rsid w:val="00C6084F"/>
    <w:rsid w:val="00C61358"/>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B2A5B"/>
    <w:rsid w:val="00EE0830"/>
    <w:rsid w:val="00EE46B0"/>
    <w:rsid w:val="00EE6CB8"/>
    <w:rsid w:val="00EF0683"/>
    <w:rsid w:val="00F0070C"/>
    <w:rsid w:val="00F00EB7"/>
    <w:rsid w:val="00F02A13"/>
    <w:rsid w:val="00F16D73"/>
    <w:rsid w:val="00F36AB6"/>
    <w:rsid w:val="00F37A09"/>
    <w:rsid w:val="00F409CE"/>
    <w:rsid w:val="00F4379D"/>
    <w:rsid w:val="00F50D2D"/>
    <w:rsid w:val="00F56C8B"/>
    <w:rsid w:val="00F62639"/>
    <w:rsid w:val="00F640C1"/>
    <w:rsid w:val="00F66810"/>
    <w:rsid w:val="00F82BA8"/>
    <w:rsid w:val="00F84DF4"/>
    <w:rsid w:val="00F85C97"/>
    <w:rsid w:val="00FB37D2"/>
    <w:rsid w:val="00FC4EFB"/>
    <w:rsid w:val="00FD068D"/>
    <w:rsid w:val="00FD2A94"/>
    <w:rsid w:val="00FD4F28"/>
    <w:rsid w:val="00FE6784"/>
    <w:rsid w:val="00FE7A8B"/>
    <w:rsid w:val="00FF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1663BF"/>
    <w:p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58266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8266A"/>
    <w:rPr>
      <w:rFonts w:ascii="Times New Roman" w:hAnsi="Times New Roman"/>
      <w:sz w:val="24"/>
      <w:szCs w:val="24"/>
      <w:lang w:val="fr-CA"/>
    </w:rPr>
  </w:style>
  <w:style w:type="paragraph" w:customStyle="1" w:styleId="SCCLsocPrefix">
    <w:name w:val="SCC.Lsoc.Prefix"/>
    <w:basedOn w:val="Normal"/>
    <w:next w:val="Normal"/>
    <w:link w:val="SCCLsocPrefixChar"/>
    <w:rsid w:val="0058266A"/>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8266A"/>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2773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2018-03-15T14:17:00Z</dcterms:created>
  <dcterms:modified xsi:type="dcterms:W3CDTF">2019-03-25T18:51:00Z</dcterms:modified>
</cp:coreProperties>
</file>