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C0D" w:rsidRDefault="00DB4C0D" w:rsidP="005F6021">
      <w:pPr>
        <w:pStyle w:val="Header"/>
        <w:jc w:val="center"/>
      </w:pPr>
      <w:r>
        <w:ptab w:relativeTo="margin" w:alignment="center" w:leader="none"/>
      </w:r>
      <w:r w:rsidRPr="00F72014">
        <w:t xml:space="preserve"> </w:t>
      </w:r>
      <w:bookmarkStart w:id="0" w:name="_GoBack"/>
      <w:r>
        <w:object w:dxaOrig="1365" w:dyaOrig="1440">
          <v:shape id="_x0000_i1026" type="#_x0000_t75" style="width:61pt;height:65.4pt" o:ole="">
            <v:imagedata r:id="rId8" o:title=""/>
          </v:shape>
          <o:OLEObject Type="Embed" ProgID="Presentations.Drawing.13" ShapeID="_x0000_i1026" DrawAspect="Content" ObjectID="_1615031360" r:id="rId9"/>
        </w:object>
      </w:r>
      <w:bookmarkEnd w:id="0"/>
      <w:r>
        <w:t xml:space="preserve"> </w:t>
      </w:r>
      <w:r>
        <w:ptab w:relativeTo="margin" w:alignment="right" w:leader="none"/>
      </w:r>
    </w:p>
    <w:p w:rsidR="00DB4C0D" w:rsidRDefault="00DB4C0D" w:rsidP="00DB4C0D">
      <w:pPr>
        <w:pStyle w:val="Header"/>
      </w:pPr>
    </w:p>
    <w:p w:rsidR="00DB4C0D" w:rsidRPr="001E12E2" w:rsidRDefault="00DB4C0D" w:rsidP="00DB4C0D">
      <w:pPr>
        <w:jc w:val="center"/>
        <w:rPr>
          <w:b/>
        </w:rPr>
      </w:pPr>
      <w:r w:rsidRPr="001E12E2">
        <w:rPr>
          <w:b/>
        </w:rPr>
        <w:t>COUR SUPRÊME DU CANADA</w:t>
      </w:r>
    </w:p>
    <w:p w:rsidR="00DB4C0D" w:rsidRDefault="00DB4C0D" w:rsidP="00DB4C0D"/>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850"/>
        <w:gridCol w:w="4320"/>
      </w:tblGrid>
      <w:tr w:rsidR="00DB4C0D" w:rsidRPr="00F348A1" w:rsidTr="00F44B1E">
        <w:trPr>
          <w:cantSplit/>
        </w:trPr>
        <w:tc>
          <w:tcPr>
            <w:tcW w:w="5850" w:type="dxa"/>
          </w:tcPr>
          <w:p w:rsidR="00DB4C0D" w:rsidRPr="00DB4C0D" w:rsidRDefault="00DB4C0D" w:rsidP="00F348A1">
            <w:pPr>
              <w:rPr>
                <w:lang w:val="fr-CA"/>
              </w:rPr>
            </w:pPr>
            <w:r w:rsidRPr="00DB4C0D">
              <w:rPr>
                <w:b/>
                <w:smallCaps/>
                <w:lang w:val="fr-CA"/>
              </w:rPr>
              <w:t>Référence :</w:t>
            </w:r>
            <w:r w:rsidRPr="00DB4C0D">
              <w:rPr>
                <w:lang w:val="fr-CA"/>
              </w:rPr>
              <w:t xml:space="preserve"> </w:t>
            </w:r>
            <w:r w:rsidRPr="00DB4C0D">
              <w:rPr>
                <w:rStyle w:val="SCCAppellantForIndexChar"/>
                <w:rFonts w:eastAsiaTheme="minorHAnsi"/>
                <w:b w:val="0"/>
                <w:lang w:val="fr-CA"/>
              </w:rPr>
              <w:t>Québec (Procureure générale)</w:t>
            </w:r>
            <w:r w:rsidRPr="00F348A1">
              <w:rPr>
                <w:lang w:val="fr-CA"/>
              </w:rPr>
              <w:t xml:space="preserve"> </w:t>
            </w:r>
            <w:r w:rsidRPr="00F348A1">
              <w:rPr>
                <w:i/>
                <w:lang w:val="fr-CA"/>
              </w:rPr>
              <w:t>c.</w:t>
            </w:r>
            <w:r w:rsidRPr="00DB4C0D">
              <w:rPr>
                <w:b/>
                <w:lang w:val="fr-CA"/>
              </w:rPr>
              <w:t xml:space="preserve"> </w:t>
            </w:r>
            <w:r w:rsidRPr="00DB4C0D">
              <w:rPr>
                <w:rStyle w:val="SCCRespondentForIndexChar"/>
                <w:rFonts w:eastAsiaTheme="minorHAnsi"/>
                <w:b w:val="0"/>
                <w:lang w:val="fr-CA"/>
              </w:rPr>
              <w:t>Alliance du personnel professionnel et technique de la santé et des services sociaux, 2018 CSC 17</w:t>
            </w:r>
            <w:r>
              <w:rPr>
                <w:rStyle w:val="SCCRespondentForIndexChar"/>
                <w:rFonts w:eastAsiaTheme="minorHAnsi"/>
                <w:b w:val="0"/>
                <w:lang w:val="fr-CA"/>
              </w:rPr>
              <w:t xml:space="preserve">, [2018] 1 </w:t>
            </w:r>
            <w:r w:rsidR="00F348A1">
              <w:rPr>
                <w:rStyle w:val="SCCRespondentForIndexChar"/>
                <w:rFonts w:eastAsiaTheme="minorHAnsi"/>
                <w:b w:val="0"/>
                <w:lang w:val="fr-CA"/>
              </w:rPr>
              <w:t>R.C.S.</w:t>
            </w:r>
            <w:r>
              <w:rPr>
                <w:rStyle w:val="SCCRespondentForIndexChar"/>
                <w:rFonts w:eastAsiaTheme="minorHAnsi"/>
                <w:b w:val="0"/>
                <w:lang w:val="fr-CA"/>
              </w:rPr>
              <w:t xml:space="preserve"> 464</w:t>
            </w:r>
          </w:p>
        </w:tc>
        <w:tc>
          <w:tcPr>
            <w:tcW w:w="4320" w:type="dxa"/>
          </w:tcPr>
          <w:p w:rsidR="00DB4C0D" w:rsidRPr="00DB4C0D" w:rsidRDefault="00DB4C0D" w:rsidP="00F44B1E">
            <w:pPr>
              <w:ind w:firstLine="284"/>
              <w:rPr>
                <w:b/>
                <w:smallCaps/>
                <w:lang w:val="fr-CA"/>
              </w:rPr>
            </w:pPr>
            <w:r w:rsidRPr="00DB4C0D">
              <w:rPr>
                <w:b/>
                <w:smallCaps/>
                <w:lang w:val="fr-CA"/>
              </w:rPr>
              <w:t xml:space="preserve">Appel entendu: </w:t>
            </w:r>
            <w:r w:rsidRPr="00DB4C0D">
              <w:rPr>
                <w:lang w:val="fr-CA"/>
              </w:rPr>
              <w:t>31 octobre 2017</w:t>
            </w:r>
          </w:p>
          <w:p w:rsidR="00DB4C0D" w:rsidRPr="00DB4C0D" w:rsidRDefault="00DB4C0D" w:rsidP="00F44B1E">
            <w:pPr>
              <w:ind w:firstLine="284"/>
              <w:rPr>
                <w:b/>
                <w:smallCaps/>
                <w:lang w:val="fr-CA"/>
              </w:rPr>
            </w:pPr>
            <w:r w:rsidRPr="00DB4C0D">
              <w:rPr>
                <w:b/>
                <w:smallCaps/>
                <w:lang w:val="fr-CA"/>
              </w:rPr>
              <w:t>Jugement rendu:</w:t>
            </w:r>
            <w:r w:rsidRPr="00DB4C0D">
              <w:rPr>
                <w:lang w:val="fr-CA"/>
              </w:rPr>
              <w:t xml:space="preserve"> 10 mai 2018</w:t>
            </w:r>
          </w:p>
          <w:p w:rsidR="00DB4C0D" w:rsidRPr="00F348A1" w:rsidRDefault="00DB4C0D" w:rsidP="00F44B1E">
            <w:pPr>
              <w:ind w:firstLine="284"/>
              <w:rPr>
                <w:lang w:val="fr-CA"/>
              </w:rPr>
            </w:pPr>
            <w:r w:rsidRPr="00F348A1">
              <w:rPr>
                <w:b/>
                <w:smallCaps/>
                <w:lang w:val="fr-CA"/>
              </w:rPr>
              <w:t>Dossier :</w:t>
            </w:r>
            <w:r w:rsidRPr="00F348A1">
              <w:rPr>
                <w:lang w:val="fr-CA"/>
              </w:rPr>
              <w:t xml:space="preserve"> 37347</w:t>
            </w:r>
          </w:p>
        </w:tc>
      </w:tr>
    </w:tbl>
    <w:p w:rsidR="00DB4C0D" w:rsidRDefault="00DB4C0D" w:rsidP="00DB4C0D">
      <w:pPr>
        <w:pStyle w:val="SCCLsocPrefix"/>
      </w:pPr>
    </w:p>
    <w:p w:rsidR="00DB4C0D" w:rsidRPr="00DB4C0D" w:rsidRDefault="00DB4C0D" w:rsidP="00DB4C0D">
      <w:pPr>
        <w:rPr>
          <w:lang w:val="fr-CA" w:eastAsia="en-US"/>
        </w:rPr>
      </w:pPr>
    </w:p>
    <w:p w:rsidR="00DB4C0D" w:rsidRDefault="00DB4C0D" w:rsidP="00DB4C0D">
      <w:pPr>
        <w:pStyle w:val="SCCLsocPrefix"/>
      </w:pPr>
      <w:r>
        <w:t>Entre :</w:t>
      </w:r>
    </w:p>
    <w:p w:rsidR="00DB4C0D" w:rsidRPr="00DB4C0D" w:rsidRDefault="00DB4C0D" w:rsidP="00DB4C0D">
      <w:pPr>
        <w:pStyle w:val="SCCLsocParty"/>
        <w:jc w:val="center"/>
        <w:rPr>
          <w:lang w:val="fr-CA"/>
        </w:rPr>
      </w:pPr>
      <w:r w:rsidRPr="00DB4C0D">
        <w:rPr>
          <w:lang w:val="fr-CA"/>
        </w:rPr>
        <w:t>Procureure générale du Québec</w:t>
      </w:r>
    </w:p>
    <w:p w:rsidR="00DB4C0D" w:rsidRPr="00DB4C0D" w:rsidRDefault="00DB4C0D" w:rsidP="00DB4C0D">
      <w:pPr>
        <w:jc w:val="center"/>
        <w:rPr>
          <w:lang w:val="fr-CA"/>
        </w:rPr>
      </w:pPr>
      <w:r w:rsidRPr="00DB4C0D">
        <w:rPr>
          <w:lang w:val="fr-CA"/>
        </w:rPr>
        <w:t>Appelante/Intimée au pourvoi incident</w:t>
      </w:r>
    </w:p>
    <w:p w:rsidR="00DB4C0D" w:rsidRPr="00DB4C0D" w:rsidRDefault="00DB4C0D" w:rsidP="00DB4C0D">
      <w:pPr>
        <w:jc w:val="center"/>
        <w:rPr>
          <w:lang w:val="fr-CA"/>
        </w:rPr>
      </w:pPr>
    </w:p>
    <w:p w:rsidR="00DB4C0D" w:rsidRPr="00DB4C0D" w:rsidRDefault="00DB4C0D" w:rsidP="00DB4C0D">
      <w:pPr>
        <w:jc w:val="center"/>
        <w:rPr>
          <w:lang w:val="fr-CA"/>
        </w:rPr>
      </w:pPr>
      <w:r w:rsidRPr="00DB4C0D">
        <w:rPr>
          <w:lang w:val="fr-CA"/>
        </w:rPr>
        <w:t>et</w:t>
      </w:r>
    </w:p>
    <w:p w:rsidR="00DB4C0D" w:rsidRPr="00DB4C0D" w:rsidRDefault="00DB4C0D" w:rsidP="00DB4C0D">
      <w:pPr>
        <w:jc w:val="center"/>
        <w:rPr>
          <w:highlight w:val="yellow"/>
          <w:lang w:val="fr-CA"/>
        </w:rPr>
      </w:pPr>
    </w:p>
    <w:p w:rsidR="00DB4C0D" w:rsidRPr="00DB4C0D" w:rsidRDefault="00DB4C0D" w:rsidP="00DB4C0D">
      <w:pPr>
        <w:jc w:val="center"/>
        <w:rPr>
          <w:b/>
          <w:lang w:val="fr-CA"/>
        </w:rPr>
      </w:pPr>
      <w:r w:rsidRPr="00DB4C0D">
        <w:rPr>
          <w:b/>
          <w:lang w:val="fr-CA"/>
        </w:rPr>
        <w:t>Alliance du personnel professionnel et technique de la santé et des services sociaux et autres</w:t>
      </w:r>
    </w:p>
    <w:p w:rsidR="00DB4C0D" w:rsidRPr="00DB4C0D" w:rsidRDefault="00DB4C0D" w:rsidP="00DB4C0D">
      <w:pPr>
        <w:jc w:val="center"/>
        <w:rPr>
          <w:lang w:val="fr-CA"/>
        </w:rPr>
      </w:pPr>
      <w:r w:rsidRPr="00DB4C0D">
        <w:rPr>
          <w:lang w:val="fr-CA"/>
        </w:rPr>
        <w:t>Intimés/Appelants au pourvoi incident</w:t>
      </w:r>
    </w:p>
    <w:p w:rsidR="00DB4C0D" w:rsidRPr="00DB4C0D" w:rsidRDefault="00DB4C0D" w:rsidP="00DB4C0D">
      <w:pPr>
        <w:jc w:val="center"/>
        <w:rPr>
          <w:lang w:val="fr-CA"/>
        </w:rPr>
      </w:pPr>
    </w:p>
    <w:p w:rsidR="00DB4C0D" w:rsidRPr="00DB4C0D" w:rsidRDefault="00DB4C0D" w:rsidP="00DB4C0D">
      <w:pPr>
        <w:pStyle w:val="SCCLsocOtherPartySeparator"/>
        <w:spacing w:after="0"/>
        <w:jc w:val="center"/>
        <w:rPr>
          <w:lang w:val="fr-CA"/>
        </w:rPr>
      </w:pPr>
      <w:r w:rsidRPr="00DB4C0D">
        <w:rPr>
          <w:lang w:val="fr-CA"/>
        </w:rPr>
        <w:t>- et -</w:t>
      </w:r>
    </w:p>
    <w:p w:rsidR="00DB4C0D" w:rsidRPr="00DB4C0D" w:rsidRDefault="00DB4C0D" w:rsidP="00DB4C0D">
      <w:pPr>
        <w:jc w:val="center"/>
        <w:rPr>
          <w:lang w:val="fr-CA"/>
        </w:rPr>
      </w:pPr>
    </w:p>
    <w:p w:rsidR="00DB4C0D" w:rsidRPr="00DB4C0D" w:rsidRDefault="00DB4C0D" w:rsidP="00DB4C0D">
      <w:pPr>
        <w:pStyle w:val="SCCLsocParty"/>
        <w:jc w:val="center"/>
        <w:rPr>
          <w:lang w:val="fr-CA"/>
        </w:rPr>
      </w:pPr>
      <w:r w:rsidRPr="00DB4C0D">
        <w:rPr>
          <w:lang w:val="fr-CA"/>
        </w:rPr>
        <w:t>Procureur général de l’Ontario et autres</w:t>
      </w:r>
    </w:p>
    <w:p w:rsidR="00DB4C0D" w:rsidRPr="00DB4C0D" w:rsidRDefault="00DB4C0D" w:rsidP="00DB4C0D">
      <w:pPr>
        <w:jc w:val="center"/>
        <w:rPr>
          <w:lang w:val="fr-CA"/>
        </w:rPr>
      </w:pPr>
      <w:r w:rsidRPr="00DB4C0D">
        <w:rPr>
          <w:lang w:val="fr-CA"/>
        </w:rPr>
        <w:t>Intervenants</w:t>
      </w:r>
    </w:p>
    <w:p w:rsidR="00DB4C0D" w:rsidRPr="00DB4C0D" w:rsidRDefault="00DB4C0D" w:rsidP="00DB4C0D">
      <w:pPr>
        <w:rPr>
          <w:lang w:val="fr-CA"/>
        </w:rPr>
      </w:pPr>
    </w:p>
    <w:p w:rsidR="00DB4C0D" w:rsidRPr="00DB4C0D" w:rsidRDefault="00DB4C0D" w:rsidP="00DB4C0D">
      <w:pPr>
        <w:rPr>
          <w:lang w:val="fr-CA"/>
        </w:rPr>
      </w:pPr>
    </w:p>
    <w:p w:rsidR="00DB4C0D" w:rsidRPr="00DB4C0D" w:rsidRDefault="00DB4C0D" w:rsidP="00DB4C0D">
      <w:pPr>
        <w:jc w:val="center"/>
        <w:rPr>
          <w:b/>
          <w:smallCaps/>
          <w:lang w:val="fr-CA"/>
        </w:rPr>
      </w:pPr>
      <w:r w:rsidRPr="00DB4C0D">
        <w:rPr>
          <w:b/>
          <w:smallCaps/>
          <w:lang w:val="fr-CA"/>
        </w:rPr>
        <w:t xml:space="preserve">Traduction française officielle : </w:t>
      </w:r>
      <w:r w:rsidRPr="00DB4C0D">
        <w:rPr>
          <w:lang w:val="fr-CA"/>
        </w:rPr>
        <w:t>Motifs de la juge Abella</w:t>
      </w:r>
      <w:r w:rsidRPr="00DB4C0D">
        <w:rPr>
          <w:b/>
          <w:smallCaps/>
          <w:lang w:val="fr-CA"/>
        </w:rPr>
        <w:t xml:space="preserve"> </w:t>
      </w:r>
    </w:p>
    <w:p w:rsidR="00DB4C0D" w:rsidRPr="00DB4C0D" w:rsidRDefault="00DB4C0D" w:rsidP="00DB4C0D">
      <w:pPr>
        <w:rPr>
          <w:lang w:val="fr-CA"/>
        </w:rPr>
      </w:pPr>
    </w:p>
    <w:p w:rsidR="00DB4C0D" w:rsidRPr="00DB4C0D" w:rsidRDefault="00DB4C0D" w:rsidP="00DB4C0D">
      <w:pPr>
        <w:rPr>
          <w:lang w:val="fr-CA"/>
        </w:rPr>
      </w:pPr>
      <w:r w:rsidRPr="00DB4C0D">
        <w:rPr>
          <w:b/>
          <w:smallCaps/>
          <w:lang w:val="fr-CA"/>
        </w:rPr>
        <w:t>Coram :</w:t>
      </w:r>
      <w:r w:rsidRPr="00DB4C0D">
        <w:rPr>
          <w:lang w:val="fr-CA"/>
        </w:rPr>
        <w:t xml:space="preserve"> La juge en chef McLachlin et les juges Abella, Moldaver, Karakatsanis, Wagner, Gascon, Côté, Brown et Rowe</w:t>
      </w:r>
    </w:p>
    <w:p w:rsidR="00DB4C0D" w:rsidRPr="00DB4C0D" w:rsidRDefault="00DB4C0D" w:rsidP="00DB4C0D">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B4C0D" w:rsidRPr="005F6021" w:rsidTr="00F44B1E">
        <w:trPr>
          <w:cantSplit/>
        </w:trPr>
        <w:tc>
          <w:tcPr>
            <w:tcW w:w="3618" w:type="dxa"/>
          </w:tcPr>
          <w:p w:rsidR="00DB4C0D" w:rsidRPr="00DB4C0D" w:rsidRDefault="00DB4C0D" w:rsidP="00F44B1E">
            <w:pPr>
              <w:rPr>
                <w:b/>
                <w:smallCaps/>
                <w:lang w:val="fr-CA"/>
              </w:rPr>
            </w:pPr>
            <w:r w:rsidRPr="00DB4C0D">
              <w:rPr>
                <w:b/>
                <w:smallCaps/>
                <w:lang w:val="fr-CA"/>
              </w:rPr>
              <w:t>Motifs de jugement :</w:t>
            </w:r>
          </w:p>
          <w:p w:rsidR="00DB4C0D" w:rsidRPr="00DB4C0D" w:rsidRDefault="00DB4C0D" w:rsidP="00F44B1E">
            <w:pPr>
              <w:rPr>
                <w:lang w:val="fr-CA"/>
              </w:rPr>
            </w:pPr>
            <w:r w:rsidRPr="00DB4C0D">
              <w:rPr>
                <w:lang w:val="fr-CA"/>
              </w:rPr>
              <w:t>(par. 1 à 61)</w:t>
            </w:r>
          </w:p>
        </w:tc>
        <w:tc>
          <w:tcPr>
            <w:tcW w:w="5958" w:type="dxa"/>
          </w:tcPr>
          <w:p w:rsidR="00DB4C0D" w:rsidRPr="00DB4C0D" w:rsidRDefault="00DB4C0D" w:rsidP="00F44B1E">
            <w:pPr>
              <w:rPr>
                <w:lang w:val="fr-CA"/>
              </w:rPr>
            </w:pPr>
            <w:r w:rsidRPr="00DB4C0D">
              <w:rPr>
                <w:lang w:val="fr-CA"/>
              </w:rPr>
              <w:t>La juge Abella (avec l’accord de la juge en chef McLachlin et des juges Moldaver, Karakatsanis, Wagner et Gascon)</w:t>
            </w:r>
          </w:p>
        </w:tc>
      </w:tr>
    </w:tbl>
    <w:p w:rsidR="00DB4C0D" w:rsidRPr="00DB4C0D" w:rsidRDefault="00DB4C0D" w:rsidP="00DB4C0D">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B4C0D" w:rsidRPr="005F6021" w:rsidTr="00F44B1E">
        <w:trPr>
          <w:cantSplit/>
        </w:trPr>
        <w:tc>
          <w:tcPr>
            <w:tcW w:w="3618" w:type="dxa"/>
          </w:tcPr>
          <w:p w:rsidR="00DB4C0D" w:rsidRPr="00DB4C0D" w:rsidRDefault="00DB4C0D" w:rsidP="00F44B1E">
            <w:pPr>
              <w:rPr>
                <w:b/>
                <w:smallCaps/>
                <w:lang w:val="fr-CA"/>
              </w:rPr>
            </w:pPr>
            <w:r w:rsidRPr="00DB4C0D">
              <w:rPr>
                <w:b/>
                <w:smallCaps/>
                <w:lang w:val="fr-CA"/>
              </w:rPr>
              <w:t>Motifs conjoints dissidents quant au pourvoi principal :</w:t>
            </w:r>
          </w:p>
          <w:p w:rsidR="00DB4C0D" w:rsidRPr="00A603B1" w:rsidRDefault="00DB4C0D" w:rsidP="00F44B1E">
            <w:r w:rsidRPr="00A603B1">
              <w:t>(par. 62 à 114)</w:t>
            </w:r>
          </w:p>
        </w:tc>
        <w:tc>
          <w:tcPr>
            <w:tcW w:w="5958" w:type="dxa"/>
          </w:tcPr>
          <w:p w:rsidR="00DB4C0D" w:rsidRPr="00DB4C0D" w:rsidRDefault="00DB4C0D" w:rsidP="00F44B1E">
            <w:pPr>
              <w:rPr>
                <w:lang w:val="fr-CA"/>
              </w:rPr>
            </w:pPr>
            <w:r w:rsidRPr="00DB4C0D">
              <w:rPr>
                <w:lang w:val="fr-CA"/>
              </w:rPr>
              <w:t xml:space="preserve">Les juges Côté, Brown et Rowe </w:t>
            </w:r>
          </w:p>
        </w:tc>
      </w:tr>
    </w:tbl>
    <w:p w:rsidR="00DB4C0D" w:rsidRDefault="00DB4C0D" w:rsidP="00DB4C0D">
      <w:pPr>
        <w:rPr>
          <w:b/>
          <w:smallCaps/>
          <w:lang w:val="fr-CA"/>
        </w:rPr>
      </w:pPr>
    </w:p>
    <w:p w:rsidR="00DB4C0D" w:rsidRPr="00DB4C0D" w:rsidRDefault="00DB4C0D" w:rsidP="00DB4C0D">
      <w:pPr>
        <w:rPr>
          <w:lang w:val="fr-CA"/>
        </w:rPr>
      </w:pPr>
      <w:r>
        <w:rPr>
          <w:noProof/>
          <w:lang w:val="en-US" w:eastAsia="en-US"/>
        </w:rPr>
        <mc:AlternateContent>
          <mc:Choice Requires="wps">
            <w:drawing>
              <wp:anchor distT="0" distB="0" distL="114300" distR="114300" simplePos="0" relativeHeight="251659264" behindDoc="0" locked="0" layoutInCell="1" allowOverlap="1" wp14:anchorId="543726A5" wp14:editId="62D26A05">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49792E"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DB4C0D" w:rsidRDefault="00DB4C0D" w:rsidP="00637E44">
      <w:pPr>
        <w:widowControl w:val="0"/>
        <w:spacing w:after="720"/>
        <w:jc w:val="both"/>
        <w:rPr>
          <w:rStyle w:val="SCCAppellantForIndexChar"/>
          <w:b w:val="0"/>
          <w:lang w:val="fr-CA"/>
        </w:rPr>
      </w:pPr>
    </w:p>
    <w:p w:rsidR="004D7D95" w:rsidRPr="00171C12" w:rsidRDefault="00171C12" w:rsidP="00637E44">
      <w:pPr>
        <w:widowControl w:val="0"/>
        <w:spacing w:after="720"/>
        <w:jc w:val="both"/>
        <w:rPr>
          <w:lang w:val="fr-CA"/>
        </w:rPr>
      </w:pPr>
      <w:r w:rsidRPr="00171C12">
        <w:rPr>
          <w:rStyle w:val="SCCAppellantForIndexChar"/>
          <w:b w:val="0"/>
          <w:lang w:val="fr-CA"/>
        </w:rPr>
        <w:lastRenderedPageBreak/>
        <w:t>Québec (Procureure générale)</w:t>
      </w:r>
      <w:r w:rsidRPr="00171C12">
        <w:rPr>
          <w:lang w:val="fr-CA"/>
        </w:rPr>
        <w:t xml:space="preserve"> </w:t>
      </w:r>
      <w:r w:rsidRPr="00171C12">
        <w:rPr>
          <w:i/>
          <w:lang w:val="fr-CA"/>
        </w:rPr>
        <w:t>c.</w:t>
      </w:r>
      <w:r w:rsidRPr="00171C12">
        <w:rPr>
          <w:lang w:val="fr-CA"/>
        </w:rPr>
        <w:t xml:space="preserve"> </w:t>
      </w:r>
      <w:r w:rsidRPr="00171C12">
        <w:rPr>
          <w:rStyle w:val="SCCRespondentForIndexChar"/>
          <w:b w:val="0"/>
          <w:lang w:val="fr-CA"/>
        </w:rPr>
        <w:t>Alliance du personnel professionnel et technique de la santé et des services sociaux</w:t>
      </w:r>
      <w:r>
        <w:rPr>
          <w:rStyle w:val="SCCRespondentForIndexChar"/>
          <w:b w:val="0"/>
          <w:lang w:val="fr-CA"/>
        </w:rPr>
        <w:t xml:space="preserve">, </w:t>
      </w:r>
      <w:r w:rsidRPr="004F117F">
        <w:rPr>
          <w:lang w:val="fr-CA"/>
        </w:rPr>
        <w:t>2018 CSC 17</w:t>
      </w:r>
      <w:r>
        <w:rPr>
          <w:lang w:val="fr-CA"/>
        </w:rPr>
        <w:t>, [2018] 1 R.C.S. 464</w:t>
      </w:r>
    </w:p>
    <w:p w:rsidR="004A25E3" w:rsidRPr="004F117F" w:rsidRDefault="007110FF" w:rsidP="00637E44">
      <w:pPr>
        <w:pStyle w:val="SCCLsocLastPartyInRole"/>
        <w:widowControl w:val="0"/>
        <w:rPr>
          <w:lang w:val="fr-CA"/>
        </w:rPr>
      </w:pPr>
      <w:r w:rsidRPr="004F117F">
        <w:rPr>
          <w:lang w:val="fr-CA"/>
        </w:rPr>
        <w:t>Procureure générale du Québec</w:t>
      </w:r>
      <w:r w:rsidRPr="004F117F">
        <w:rPr>
          <w:rStyle w:val="SCCLsocPartyRole"/>
          <w:lang w:val="fr-CA"/>
        </w:rPr>
        <w:tab/>
        <w:t>Appelante</w:t>
      </w:r>
      <w:r w:rsidR="00E420C4" w:rsidRPr="004F117F">
        <w:rPr>
          <w:rStyle w:val="SCCLsocPartyRole"/>
          <w:lang w:val="fr-CA"/>
        </w:rPr>
        <w:t>/</w:t>
      </w:r>
      <w:r w:rsidRPr="004F117F">
        <w:rPr>
          <w:rStyle w:val="SCCLsocPartyRole"/>
          <w:lang w:val="fr-CA"/>
        </w:rPr>
        <w:t>Intimée</w:t>
      </w:r>
      <w:r w:rsidR="00E420C4" w:rsidRPr="004F117F">
        <w:rPr>
          <w:rStyle w:val="SCCLsocPartyRole"/>
          <w:lang w:val="fr-CA"/>
        </w:rPr>
        <w:t xml:space="preserve"> au pourvoi</w:t>
      </w:r>
      <w:r w:rsidRPr="004F117F">
        <w:rPr>
          <w:rStyle w:val="SCCLsocPartyRole"/>
          <w:lang w:val="fr-CA"/>
        </w:rPr>
        <w:t xml:space="preserve"> incident</w:t>
      </w:r>
    </w:p>
    <w:p w:rsidR="004A25E3" w:rsidRPr="004F117F" w:rsidRDefault="007110FF" w:rsidP="00637E44">
      <w:pPr>
        <w:pStyle w:val="SCCLsocVersus"/>
        <w:widowControl w:val="0"/>
        <w:rPr>
          <w:lang w:val="fr-CA"/>
        </w:rPr>
      </w:pPr>
      <w:r w:rsidRPr="004F117F">
        <w:rPr>
          <w:lang w:val="fr-CA"/>
        </w:rPr>
        <w:t>c.</w:t>
      </w:r>
    </w:p>
    <w:p w:rsidR="00F644C0" w:rsidRPr="004F117F" w:rsidRDefault="007110FF" w:rsidP="00637E44">
      <w:pPr>
        <w:pStyle w:val="SCCLsocParty"/>
        <w:widowControl w:val="0"/>
        <w:rPr>
          <w:lang w:val="fr-CA"/>
        </w:rPr>
      </w:pPr>
      <w:r w:rsidRPr="004F117F">
        <w:rPr>
          <w:lang w:val="fr-CA"/>
        </w:rPr>
        <w:t xml:space="preserve">Alliance du personnel professionnel et </w:t>
      </w:r>
    </w:p>
    <w:p w:rsidR="004A25E3" w:rsidRPr="004F117F" w:rsidRDefault="007110FF" w:rsidP="00637E44">
      <w:pPr>
        <w:pStyle w:val="SCCLsocParty"/>
        <w:widowControl w:val="0"/>
        <w:rPr>
          <w:lang w:val="fr-CA"/>
        </w:rPr>
      </w:pPr>
      <w:r w:rsidRPr="004F117F">
        <w:rPr>
          <w:lang w:val="fr-CA"/>
        </w:rPr>
        <w:t>technique de la santé et des services sociaux,</w:t>
      </w:r>
    </w:p>
    <w:p w:rsidR="00F644C0" w:rsidRPr="004F117F" w:rsidRDefault="007110FF" w:rsidP="00637E44">
      <w:pPr>
        <w:pStyle w:val="SCCLsocParty"/>
        <w:widowControl w:val="0"/>
        <w:rPr>
          <w:lang w:val="fr-CA"/>
        </w:rPr>
      </w:pPr>
      <w:r w:rsidRPr="004F117F">
        <w:rPr>
          <w:lang w:val="fr-CA"/>
        </w:rPr>
        <w:t xml:space="preserve">Catherine Lévesque, Syndicat de la fonction </w:t>
      </w:r>
    </w:p>
    <w:p w:rsidR="004A25E3" w:rsidRPr="004F117F" w:rsidRDefault="007110FF" w:rsidP="00637E44">
      <w:pPr>
        <w:pStyle w:val="SCCLsocParty"/>
        <w:widowControl w:val="0"/>
        <w:rPr>
          <w:lang w:val="fr-CA"/>
        </w:rPr>
      </w:pPr>
      <w:r w:rsidRPr="004F117F">
        <w:rPr>
          <w:lang w:val="fr-CA"/>
        </w:rPr>
        <w:t>publique et parapublique du Québec inc.,</w:t>
      </w:r>
    </w:p>
    <w:p w:rsidR="00F644C0" w:rsidRPr="004F117F" w:rsidRDefault="007110FF" w:rsidP="00637E44">
      <w:pPr>
        <w:pStyle w:val="SCCLsocParty"/>
        <w:widowControl w:val="0"/>
        <w:rPr>
          <w:lang w:val="fr-CA"/>
        </w:rPr>
      </w:pPr>
      <w:r w:rsidRPr="004F117F">
        <w:rPr>
          <w:lang w:val="fr-CA"/>
        </w:rPr>
        <w:t xml:space="preserve">Fédération interprofessionnelle de la santé du Québec, </w:t>
      </w:r>
    </w:p>
    <w:p w:rsidR="004A25E3" w:rsidRPr="004F117F" w:rsidRDefault="007110FF" w:rsidP="00637E44">
      <w:pPr>
        <w:pStyle w:val="SCCLsocParty"/>
        <w:widowControl w:val="0"/>
        <w:rPr>
          <w:lang w:val="fr-CA"/>
        </w:rPr>
      </w:pPr>
      <w:r w:rsidRPr="004F117F">
        <w:rPr>
          <w:lang w:val="fr-CA"/>
        </w:rPr>
        <w:t>Guy</w:t>
      </w:r>
      <w:r w:rsidR="00587D61" w:rsidRPr="004F117F">
        <w:rPr>
          <w:lang w:val="fr-CA"/>
        </w:rPr>
        <w:noBreakHyphen/>
      </w:r>
      <w:r w:rsidRPr="004F117F">
        <w:rPr>
          <w:lang w:val="fr-CA"/>
        </w:rPr>
        <w:t>Philippe Brideau, Nancy Bédard,</w:t>
      </w:r>
    </w:p>
    <w:p w:rsidR="00F644C0" w:rsidRPr="004F117F" w:rsidRDefault="007110FF" w:rsidP="00637E44">
      <w:pPr>
        <w:pStyle w:val="SCCLsocParty"/>
        <w:widowControl w:val="0"/>
        <w:rPr>
          <w:lang w:val="fr-CA"/>
        </w:rPr>
      </w:pPr>
      <w:r w:rsidRPr="004F117F">
        <w:rPr>
          <w:lang w:val="fr-CA"/>
        </w:rPr>
        <w:t>Syndicat des employé(e)s de l</w:t>
      </w:r>
      <w:r w:rsidR="000C1609" w:rsidRPr="004F117F">
        <w:rPr>
          <w:lang w:val="fr-CA"/>
        </w:rPr>
        <w:t>’</w:t>
      </w:r>
      <w:r w:rsidRPr="004F117F">
        <w:rPr>
          <w:lang w:val="fr-CA"/>
        </w:rPr>
        <w:t xml:space="preserve">Université de Montréal, </w:t>
      </w:r>
    </w:p>
    <w:p w:rsidR="00F644C0" w:rsidRPr="004F117F" w:rsidRDefault="007110FF" w:rsidP="00637E44">
      <w:pPr>
        <w:pStyle w:val="SCCLsocParty"/>
        <w:widowControl w:val="0"/>
        <w:rPr>
          <w:lang w:val="fr-CA"/>
        </w:rPr>
      </w:pPr>
      <w:r w:rsidRPr="004F117F">
        <w:rPr>
          <w:lang w:val="fr-CA"/>
        </w:rPr>
        <w:t xml:space="preserve">Sylvie Goyer, Conseil provincial des affaires sociales, </w:t>
      </w:r>
    </w:p>
    <w:p w:rsidR="00F644C0" w:rsidRPr="004F117F" w:rsidRDefault="007110FF" w:rsidP="00637E44">
      <w:pPr>
        <w:pStyle w:val="SCCLsocParty"/>
        <w:widowControl w:val="0"/>
        <w:rPr>
          <w:lang w:val="fr-CA"/>
        </w:rPr>
      </w:pPr>
      <w:r w:rsidRPr="004F117F">
        <w:rPr>
          <w:lang w:val="fr-CA"/>
        </w:rPr>
        <w:t>Johanne Harrell, Josée Saint</w:t>
      </w:r>
      <w:r w:rsidR="00587D61" w:rsidRPr="004F117F">
        <w:rPr>
          <w:lang w:val="fr-CA"/>
        </w:rPr>
        <w:noBreakHyphen/>
      </w:r>
      <w:r w:rsidRPr="004F117F">
        <w:rPr>
          <w:lang w:val="fr-CA"/>
        </w:rPr>
        <w:t xml:space="preserve">Pierre, Ghyslaine Doré, </w:t>
      </w:r>
    </w:p>
    <w:p w:rsidR="00F644C0" w:rsidRPr="004F117F" w:rsidRDefault="007110FF" w:rsidP="00637E44">
      <w:pPr>
        <w:pStyle w:val="SCCLsocParty"/>
        <w:widowControl w:val="0"/>
        <w:rPr>
          <w:lang w:val="fr-CA"/>
        </w:rPr>
      </w:pPr>
      <w:r w:rsidRPr="004F117F">
        <w:rPr>
          <w:lang w:val="fr-CA"/>
        </w:rPr>
        <w:t xml:space="preserve">Conseil provincial du soutien scolaire, </w:t>
      </w:r>
    </w:p>
    <w:p w:rsidR="004A25E3" w:rsidRPr="004F117F" w:rsidRDefault="007110FF" w:rsidP="00637E44">
      <w:pPr>
        <w:pStyle w:val="SCCLsocParty"/>
        <w:widowControl w:val="0"/>
        <w:rPr>
          <w:lang w:val="fr-CA"/>
        </w:rPr>
      </w:pPr>
      <w:r w:rsidRPr="004F117F">
        <w:rPr>
          <w:lang w:val="fr-CA"/>
        </w:rPr>
        <w:t>Louise Paquin, Lucie Fortin,</w:t>
      </w:r>
    </w:p>
    <w:p w:rsidR="00F644C0" w:rsidRPr="004F117F" w:rsidRDefault="007110FF" w:rsidP="00637E44">
      <w:pPr>
        <w:pStyle w:val="SCCLsocParty"/>
        <w:widowControl w:val="0"/>
        <w:rPr>
          <w:lang w:val="fr-CA"/>
        </w:rPr>
      </w:pPr>
      <w:r w:rsidRPr="004F117F">
        <w:rPr>
          <w:lang w:val="fr-CA"/>
        </w:rPr>
        <w:t xml:space="preserve">Syndicat des professionnelles et professionnels </w:t>
      </w:r>
    </w:p>
    <w:p w:rsidR="00F644C0" w:rsidRPr="004F117F" w:rsidRDefault="007110FF" w:rsidP="00637E44">
      <w:pPr>
        <w:pStyle w:val="SCCLsocParty"/>
        <w:widowControl w:val="0"/>
        <w:rPr>
          <w:lang w:val="fr-CA"/>
        </w:rPr>
      </w:pPr>
      <w:r w:rsidRPr="004F117F">
        <w:rPr>
          <w:lang w:val="fr-CA"/>
        </w:rPr>
        <w:t>de Laval</w:t>
      </w:r>
      <w:r w:rsidR="00587D61" w:rsidRPr="004F117F">
        <w:rPr>
          <w:lang w:val="fr-CA"/>
        </w:rPr>
        <w:noBreakHyphen/>
      </w:r>
      <w:r w:rsidRPr="004F117F">
        <w:rPr>
          <w:lang w:val="fr-CA"/>
        </w:rPr>
        <w:t>Rive</w:t>
      </w:r>
      <w:r w:rsidR="00587D61" w:rsidRPr="004F117F">
        <w:rPr>
          <w:lang w:val="fr-CA"/>
        </w:rPr>
        <w:noBreakHyphen/>
      </w:r>
      <w:r w:rsidRPr="004F117F">
        <w:rPr>
          <w:lang w:val="fr-CA"/>
        </w:rPr>
        <w:t xml:space="preserve">Nord, SCFP 5222, </w:t>
      </w:r>
    </w:p>
    <w:p w:rsidR="00F644C0" w:rsidRPr="004F117F" w:rsidRDefault="007110FF" w:rsidP="00637E44">
      <w:pPr>
        <w:pStyle w:val="SCCLsocParty"/>
        <w:widowControl w:val="0"/>
        <w:rPr>
          <w:lang w:val="fr-CA"/>
        </w:rPr>
      </w:pPr>
      <w:r w:rsidRPr="004F117F">
        <w:rPr>
          <w:lang w:val="fr-CA"/>
        </w:rPr>
        <w:t xml:space="preserve">Syndicat des fonctionnaires municipaux </w:t>
      </w:r>
    </w:p>
    <w:p w:rsidR="00F644C0" w:rsidRPr="004F117F" w:rsidRDefault="007110FF" w:rsidP="00637E44">
      <w:pPr>
        <w:pStyle w:val="SCCLsocParty"/>
        <w:widowControl w:val="0"/>
        <w:rPr>
          <w:lang w:val="fr-CA"/>
        </w:rPr>
      </w:pPr>
      <w:r w:rsidRPr="004F117F">
        <w:rPr>
          <w:lang w:val="fr-CA"/>
        </w:rPr>
        <w:t xml:space="preserve">de Montréal (SCFP), section locale 429, </w:t>
      </w:r>
    </w:p>
    <w:p w:rsidR="00F644C0" w:rsidRPr="004F117F" w:rsidRDefault="007110FF" w:rsidP="00637E44">
      <w:pPr>
        <w:pStyle w:val="SCCLsocParty"/>
        <w:widowControl w:val="0"/>
        <w:rPr>
          <w:lang w:val="fr-CA"/>
        </w:rPr>
      </w:pPr>
      <w:r w:rsidRPr="004F117F">
        <w:rPr>
          <w:lang w:val="fr-CA"/>
        </w:rPr>
        <w:t xml:space="preserve">Section locale 3134 du Syndicat canadien </w:t>
      </w:r>
    </w:p>
    <w:p w:rsidR="00F644C0" w:rsidRPr="004F117F" w:rsidRDefault="00F644C0" w:rsidP="00637E44">
      <w:pPr>
        <w:pStyle w:val="SCCLsocParty"/>
        <w:widowControl w:val="0"/>
        <w:rPr>
          <w:lang w:val="fr-CA"/>
        </w:rPr>
      </w:pPr>
      <w:r w:rsidRPr="004F117F">
        <w:rPr>
          <w:lang w:val="fr-CA"/>
        </w:rPr>
        <w:t xml:space="preserve">de la fonction publique, </w:t>
      </w:r>
      <w:r w:rsidR="007110FF" w:rsidRPr="004F117F">
        <w:rPr>
          <w:lang w:val="fr-CA"/>
        </w:rPr>
        <w:t>employé</w:t>
      </w:r>
      <w:r w:rsidR="00587D61" w:rsidRPr="004F117F">
        <w:rPr>
          <w:lang w:val="fr-CA"/>
        </w:rPr>
        <w:noBreakHyphen/>
      </w:r>
      <w:r w:rsidR="007110FF" w:rsidRPr="004F117F">
        <w:rPr>
          <w:lang w:val="fr-CA"/>
        </w:rPr>
        <w:t xml:space="preserve">es de bureau </w:t>
      </w:r>
    </w:p>
    <w:p w:rsidR="00F644C0" w:rsidRPr="004F117F" w:rsidRDefault="007110FF" w:rsidP="00637E44">
      <w:pPr>
        <w:pStyle w:val="SCCLsocParty"/>
        <w:widowControl w:val="0"/>
        <w:rPr>
          <w:lang w:val="fr-CA"/>
        </w:rPr>
      </w:pPr>
      <w:r w:rsidRPr="004F117F">
        <w:rPr>
          <w:lang w:val="fr-CA"/>
        </w:rPr>
        <w:t xml:space="preserve">de la Ville de Lorraine, Henriette Demers, </w:t>
      </w:r>
    </w:p>
    <w:p w:rsidR="00F644C0" w:rsidRPr="004F117F" w:rsidRDefault="007110FF" w:rsidP="00637E44">
      <w:pPr>
        <w:pStyle w:val="SCCLsocParty"/>
        <w:widowControl w:val="0"/>
        <w:rPr>
          <w:lang w:val="fr-CA"/>
        </w:rPr>
      </w:pPr>
      <w:r w:rsidRPr="004F117F">
        <w:rPr>
          <w:lang w:val="fr-CA"/>
        </w:rPr>
        <w:t xml:space="preserve">Section locale 930 du Syndicat canadien </w:t>
      </w:r>
    </w:p>
    <w:p w:rsidR="00F644C0" w:rsidRPr="004F117F" w:rsidRDefault="007110FF" w:rsidP="00637E44">
      <w:pPr>
        <w:pStyle w:val="SCCLsocParty"/>
        <w:widowControl w:val="0"/>
        <w:rPr>
          <w:lang w:val="fr-CA"/>
        </w:rPr>
      </w:pPr>
      <w:r w:rsidRPr="004F117F">
        <w:rPr>
          <w:lang w:val="fr-CA"/>
        </w:rPr>
        <w:t xml:space="preserve">de la fonction publique (FTQ), Fernande Tremblay, </w:t>
      </w:r>
    </w:p>
    <w:p w:rsidR="00F644C0" w:rsidRPr="004F117F" w:rsidRDefault="007110FF" w:rsidP="00637E44">
      <w:pPr>
        <w:pStyle w:val="SCCLsocParty"/>
        <w:widowControl w:val="0"/>
        <w:rPr>
          <w:lang w:val="fr-CA"/>
        </w:rPr>
      </w:pPr>
      <w:r w:rsidRPr="004F117F">
        <w:rPr>
          <w:lang w:val="fr-CA"/>
        </w:rPr>
        <w:t xml:space="preserve">Syndicat canadien de la fonction publique, </w:t>
      </w:r>
    </w:p>
    <w:p w:rsidR="004A25E3" w:rsidRPr="004F117F" w:rsidRDefault="007110FF" w:rsidP="00637E44">
      <w:pPr>
        <w:pStyle w:val="SCCLsocParty"/>
        <w:widowControl w:val="0"/>
        <w:rPr>
          <w:lang w:val="fr-CA"/>
        </w:rPr>
      </w:pPr>
      <w:r w:rsidRPr="004F117F">
        <w:rPr>
          <w:lang w:val="fr-CA"/>
        </w:rPr>
        <w:t>section locale 4503, Josée Mercille,</w:t>
      </w:r>
    </w:p>
    <w:p w:rsidR="00F644C0" w:rsidRPr="004F117F" w:rsidRDefault="007110FF" w:rsidP="00637E44">
      <w:pPr>
        <w:pStyle w:val="SCCLsocParty"/>
        <w:widowControl w:val="0"/>
        <w:rPr>
          <w:lang w:val="fr-CA"/>
        </w:rPr>
      </w:pPr>
      <w:r w:rsidRPr="004F117F">
        <w:rPr>
          <w:lang w:val="fr-CA"/>
        </w:rPr>
        <w:t xml:space="preserve">Syndicat canadien de la fonction publique, </w:t>
      </w:r>
    </w:p>
    <w:p w:rsidR="00F644C0" w:rsidRPr="004F117F" w:rsidRDefault="007110FF" w:rsidP="00637E44">
      <w:pPr>
        <w:pStyle w:val="SCCLsocParty"/>
        <w:widowControl w:val="0"/>
        <w:rPr>
          <w:lang w:val="fr-CA"/>
        </w:rPr>
      </w:pPr>
      <w:r w:rsidRPr="004F117F">
        <w:rPr>
          <w:lang w:val="fr-CA"/>
        </w:rPr>
        <w:t xml:space="preserve">section locale 3642, Chantal Bourdon, </w:t>
      </w:r>
    </w:p>
    <w:p w:rsidR="00F644C0" w:rsidRPr="004F117F" w:rsidRDefault="007110FF" w:rsidP="00637E44">
      <w:pPr>
        <w:pStyle w:val="SCCLsocParty"/>
        <w:widowControl w:val="0"/>
        <w:rPr>
          <w:lang w:val="fr-CA"/>
        </w:rPr>
      </w:pPr>
      <w:r w:rsidRPr="004F117F">
        <w:rPr>
          <w:lang w:val="fr-CA"/>
        </w:rPr>
        <w:t>Conseil d</w:t>
      </w:r>
      <w:r w:rsidR="000C1609" w:rsidRPr="004F117F">
        <w:rPr>
          <w:lang w:val="fr-CA"/>
        </w:rPr>
        <w:t>’</w:t>
      </w:r>
      <w:r w:rsidRPr="004F117F">
        <w:rPr>
          <w:lang w:val="fr-CA"/>
        </w:rPr>
        <w:t>intervention pour l</w:t>
      </w:r>
      <w:r w:rsidR="000C1609" w:rsidRPr="004F117F">
        <w:rPr>
          <w:lang w:val="fr-CA"/>
        </w:rPr>
        <w:t>’</w:t>
      </w:r>
      <w:r w:rsidRPr="004F117F">
        <w:rPr>
          <w:lang w:val="fr-CA"/>
        </w:rPr>
        <w:t xml:space="preserve">accès des femmes </w:t>
      </w:r>
    </w:p>
    <w:p w:rsidR="00F644C0" w:rsidRPr="004F117F" w:rsidRDefault="007110FF" w:rsidP="00637E44">
      <w:pPr>
        <w:pStyle w:val="SCCLsocParty"/>
        <w:widowControl w:val="0"/>
        <w:rPr>
          <w:lang w:val="fr-CA"/>
        </w:rPr>
      </w:pPr>
      <w:r w:rsidRPr="004F117F">
        <w:rPr>
          <w:lang w:val="fr-CA"/>
        </w:rPr>
        <w:t xml:space="preserve">au travail (CIAFT) du Québec inc., </w:t>
      </w:r>
    </w:p>
    <w:p w:rsidR="004A25E3" w:rsidRPr="004F117F" w:rsidRDefault="007110FF" w:rsidP="00637E44">
      <w:pPr>
        <w:pStyle w:val="SCCLsocParty"/>
        <w:widowControl w:val="0"/>
        <w:rPr>
          <w:lang w:val="fr-CA"/>
        </w:rPr>
      </w:pPr>
      <w:r w:rsidRPr="004F117F">
        <w:rPr>
          <w:lang w:val="fr-CA"/>
        </w:rPr>
        <w:t>Association des psychologues du Québec,</w:t>
      </w:r>
    </w:p>
    <w:p w:rsidR="00F644C0" w:rsidRPr="004F117F" w:rsidRDefault="007110FF" w:rsidP="00637E44">
      <w:pPr>
        <w:pStyle w:val="SCCLsocParty"/>
        <w:widowControl w:val="0"/>
        <w:rPr>
          <w:lang w:val="fr-CA"/>
        </w:rPr>
      </w:pPr>
      <w:r w:rsidRPr="004F117F">
        <w:rPr>
          <w:lang w:val="fr-CA"/>
        </w:rPr>
        <w:t>Syndicat des employées et employés professionnels</w:t>
      </w:r>
      <w:r w:rsidR="00587D61" w:rsidRPr="004F117F">
        <w:rPr>
          <w:lang w:val="fr-CA"/>
        </w:rPr>
        <w:noBreakHyphen/>
      </w:r>
      <w:r w:rsidRPr="004F117F">
        <w:rPr>
          <w:lang w:val="fr-CA"/>
        </w:rPr>
        <w:t xml:space="preserve">les </w:t>
      </w:r>
    </w:p>
    <w:p w:rsidR="00F644C0" w:rsidRPr="004F117F" w:rsidRDefault="007110FF" w:rsidP="00637E44">
      <w:pPr>
        <w:pStyle w:val="SCCLsocParty"/>
        <w:widowControl w:val="0"/>
        <w:rPr>
          <w:lang w:val="fr-CA"/>
        </w:rPr>
      </w:pPr>
      <w:r w:rsidRPr="004F117F">
        <w:rPr>
          <w:lang w:val="fr-CA"/>
        </w:rPr>
        <w:t>et de bureau (CTC</w:t>
      </w:r>
      <w:r w:rsidR="00587D61" w:rsidRPr="004F117F">
        <w:rPr>
          <w:lang w:val="fr-CA"/>
        </w:rPr>
        <w:noBreakHyphen/>
      </w:r>
      <w:r w:rsidRPr="004F117F">
        <w:rPr>
          <w:lang w:val="fr-CA"/>
        </w:rPr>
        <w:t xml:space="preserve">FTQ), section locale 578, </w:t>
      </w:r>
    </w:p>
    <w:p w:rsidR="00F644C0" w:rsidRPr="004F117F" w:rsidRDefault="00A25FBE" w:rsidP="00637E44">
      <w:pPr>
        <w:pStyle w:val="SCCLsocParty"/>
        <w:widowControl w:val="0"/>
        <w:rPr>
          <w:lang w:val="fr-CA"/>
        </w:rPr>
      </w:pPr>
      <w:r w:rsidRPr="004F117F">
        <w:rPr>
          <w:lang w:val="fr-CA"/>
        </w:rPr>
        <w:t>Lise Audet et</w:t>
      </w:r>
      <w:r w:rsidR="007110FF" w:rsidRPr="004F117F">
        <w:rPr>
          <w:lang w:val="fr-CA"/>
        </w:rPr>
        <w:t xml:space="preserve"> Syndicat québécois des employées et employés </w:t>
      </w:r>
    </w:p>
    <w:p w:rsidR="004A25E3" w:rsidRPr="004F117F" w:rsidRDefault="007110FF" w:rsidP="00637E44">
      <w:pPr>
        <w:pStyle w:val="SCCLsocLastPartyInRole"/>
        <w:widowControl w:val="0"/>
        <w:rPr>
          <w:lang w:val="fr-CA"/>
        </w:rPr>
      </w:pPr>
      <w:r w:rsidRPr="004F117F">
        <w:rPr>
          <w:lang w:val="fr-CA"/>
        </w:rPr>
        <w:t>de service, section locale 298 (FTQ)</w:t>
      </w:r>
      <w:r w:rsidR="00E420C4" w:rsidRPr="004F117F">
        <w:rPr>
          <w:rStyle w:val="SCCLsocPartyRole"/>
          <w:lang w:val="fr-CA"/>
        </w:rPr>
        <w:tab/>
        <w:t>Intimés/</w:t>
      </w:r>
      <w:r w:rsidRPr="004F117F">
        <w:rPr>
          <w:rStyle w:val="SCCLsocPartyRole"/>
          <w:lang w:val="fr-CA"/>
        </w:rPr>
        <w:t>Appelant</w:t>
      </w:r>
      <w:r w:rsidR="00E420C4" w:rsidRPr="004F117F">
        <w:rPr>
          <w:rStyle w:val="SCCLsocPartyRole"/>
          <w:lang w:val="fr-CA"/>
        </w:rPr>
        <w:t>s au pourvoi</w:t>
      </w:r>
      <w:r w:rsidRPr="004F117F">
        <w:rPr>
          <w:rStyle w:val="SCCLsocPartyRole"/>
          <w:lang w:val="fr-CA"/>
        </w:rPr>
        <w:t xml:space="preserve"> incident</w:t>
      </w:r>
    </w:p>
    <w:p w:rsidR="004A25E3" w:rsidRPr="004F117F" w:rsidRDefault="007110FF" w:rsidP="00637E44">
      <w:pPr>
        <w:pStyle w:val="SCCLsocOtherPartySeparator"/>
        <w:widowControl w:val="0"/>
        <w:rPr>
          <w:lang w:val="fr-CA"/>
        </w:rPr>
      </w:pPr>
      <w:r w:rsidRPr="004F117F">
        <w:rPr>
          <w:lang w:val="fr-CA"/>
        </w:rPr>
        <w:lastRenderedPageBreak/>
        <w:t>et</w:t>
      </w:r>
    </w:p>
    <w:p w:rsidR="004A25E3" w:rsidRPr="004F117F" w:rsidRDefault="007110FF" w:rsidP="00637E44">
      <w:pPr>
        <w:pStyle w:val="SCCLsocParty"/>
        <w:widowControl w:val="0"/>
        <w:rPr>
          <w:lang w:val="fr-CA"/>
        </w:rPr>
      </w:pPr>
      <w:r w:rsidRPr="004F117F">
        <w:rPr>
          <w:lang w:val="fr-CA"/>
        </w:rPr>
        <w:t>Procureur général de l</w:t>
      </w:r>
      <w:r w:rsidR="000C1609" w:rsidRPr="004F117F">
        <w:rPr>
          <w:lang w:val="fr-CA"/>
        </w:rPr>
        <w:t>’</w:t>
      </w:r>
      <w:r w:rsidRPr="004F117F">
        <w:rPr>
          <w:lang w:val="fr-CA"/>
        </w:rPr>
        <w:t>Ontario,</w:t>
      </w:r>
    </w:p>
    <w:p w:rsidR="00A25FBE" w:rsidRPr="004F117F" w:rsidRDefault="0016057E" w:rsidP="00637E44">
      <w:pPr>
        <w:pStyle w:val="SCCLsocParty"/>
        <w:widowControl w:val="0"/>
        <w:rPr>
          <w:lang w:val="fr-CA"/>
        </w:rPr>
      </w:pPr>
      <w:r w:rsidRPr="004F117F">
        <w:rPr>
          <w:lang w:val="fr-CA"/>
        </w:rPr>
        <w:t>Conseil du t</w:t>
      </w:r>
      <w:r w:rsidR="007110FF" w:rsidRPr="004F117F">
        <w:rPr>
          <w:lang w:val="fr-CA"/>
        </w:rPr>
        <w:t>résor,</w:t>
      </w:r>
      <w:r w:rsidR="00A25FBE" w:rsidRPr="004F117F">
        <w:rPr>
          <w:lang w:val="fr-CA"/>
        </w:rPr>
        <w:t xml:space="preserve"> </w:t>
      </w:r>
      <w:r w:rsidR="007110FF" w:rsidRPr="004F117F">
        <w:rPr>
          <w:lang w:val="fr-CA"/>
        </w:rPr>
        <w:t>Commission des normes, de l</w:t>
      </w:r>
      <w:r w:rsidR="000C1609" w:rsidRPr="004F117F">
        <w:rPr>
          <w:lang w:val="fr-CA"/>
        </w:rPr>
        <w:t>’</w:t>
      </w:r>
      <w:r w:rsidR="007110FF" w:rsidRPr="004F117F">
        <w:rPr>
          <w:lang w:val="fr-CA"/>
        </w:rPr>
        <w:t xml:space="preserve">équité, </w:t>
      </w:r>
    </w:p>
    <w:p w:rsidR="002E6F1D" w:rsidRPr="004F117F" w:rsidRDefault="007110FF" w:rsidP="00637E44">
      <w:pPr>
        <w:pStyle w:val="SCCLsocParty"/>
        <w:widowControl w:val="0"/>
        <w:rPr>
          <w:lang w:val="fr-CA"/>
        </w:rPr>
      </w:pPr>
      <w:r w:rsidRPr="004F117F">
        <w:rPr>
          <w:lang w:val="fr-CA"/>
        </w:rPr>
        <w:t>de la san</w:t>
      </w:r>
      <w:r w:rsidR="002E6F1D" w:rsidRPr="004F117F">
        <w:rPr>
          <w:lang w:val="fr-CA"/>
        </w:rPr>
        <w:t>té et de la sécurité du travail</w:t>
      </w:r>
      <w:r w:rsidRPr="004F117F">
        <w:rPr>
          <w:lang w:val="fr-CA"/>
        </w:rPr>
        <w:t xml:space="preserve"> </w:t>
      </w:r>
      <w:r w:rsidR="002E6F1D" w:rsidRPr="004F117F">
        <w:rPr>
          <w:lang w:val="fr-CA"/>
        </w:rPr>
        <w:t>(</w:t>
      </w:r>
      <w:r w:rsidRPr="004F117F">
        <w:rPr>
          <w:lang w:val="fr-CA"/>
        </w:rPr>
        <w:t xml:space="preserve">anciennement </w:t>
      </w:r>
      <w:r w:rsidR="002E6F1D" w:rsidRPr="004F117F">
        <w:rPr>
          <w:lang w:val="fr-CA"/>
        </w:rPr>
        <w:t>connue sous</w:t>
      </w:r>
    </w:p>
    <w:p w:rsidR="00A25FBE" w:rsidRPr="004F117F" w:rsidRDefault="002E6F1D" w:rsidP="00637E44">
      <w:pPr>
        <w:pStyle w:val="SCCLsocParty"/>
        <w:widowControl w:val="0"/>
        <w:rPr>
          <w:lang w:val="fr-CA"/>
        </w:rPr>
      </w:pPr>
      <w:r w:rsidRPr="004F117F">
        <w:rPr>
          <w:lang w:val="fr-CA"/>
        </w:rPr>
        <w:t xml:space="preserve">le nom de </w:t>
      </w:r>
      <w:r w:rsidR="007110FF" w:rsidRPr="004F117F">
        <w:rPr>
          <w:lang w:val="fr-CA"/>
        </w:rPr>
        <w:t>Commission de l</w:t>
      </w:r>
      <w:r w:rsidR="000C1609" w:rsidRPr="004F117F">
        <w:rPr>
          <w:lang w:val="fr-CA"/>
        </w:rPr>
        <w:t>’</w:t>
      </w:r>
      <w:r w:rsidR="007110FF" w:rsidRPr="004F117F">
        <w:rPr>
          <w:lang w:val="fr-CA"/>
        </w:rPr>
        <w:t>équité salariale</w:t>
      </w:r>
      <w:r w:rsidRPr="004F117F">
        <w:rPr>
          <w:lang w:val="fr-CA"/>
        </w:rPr>
        <w:t>)</w:t>
      </w:r>
      <w:r w:rsidR="007110FF" w:rsidRPr="004F117F">
        <w:rPr>
          <w:lang w:val="fr-CA"/>
        </w:rPr>
        <w:t>,</w:t>
      </w:r>
      <w:r w:rsidR="00A25FBE" w:rsidRPr="004F117F">
        <w:rPr>
          <w:lang w:val="fr-CA"/>
        </w:rPr>
        <w:t xml:space="preserve"> </w:t>
      </w:r>
      <w:r w:rsidR="007110FF" w:rsidRPr="004F117F">
        <w:rPr>
          <w:lang w:val="fr-CA"/>
        </w:rPr>
        <w:t xml:space="preserve">Equal Pay Coalition, </w:t>
      </w:r>
    </w:p>
    <w:p w:rsidR="00A25FBE" w:rsidRPr="004F117F" w:rsidRDefault="00FF7321" w:rsidP="00637E44">
      <w:pPr>
        <w:pStyle w:val="SCCLsocParty"/>
        <w:widowControl w:val="0"/>
        <w:rPr>
          <w:lang w:val="fr-CA"/>
        </w:rPr>
      </w:pPr>
      <w:r w:rsidRPr="004F117F">
        <w:rPr>
          <w:lang w:val="fr-CA"/>
        </w:rPr>
        <w:t xml:space="preserve">La </w:t>
      </w:r>
      <w:r w:rsidR="007110FF" w:rsidRPr="004F117F">
        <w:rPr>
          <w:lang w:val="fr-CA"/>
        </w:rPr>
        <w:t>Coalition pour l</w:t>
      </w:r>
      <w:r w:rsidR="000C1609" w:rsidRPr="004F117F">
        <w:rPr>
          <w:lang w:val="fr-CA"/>
        </w:rPr>
        <w:t>’</w:t>
      </w:r>
      <w:r w:rsidR="00E54647" w:rsidRPr="004F117F">
        <w:rPr>
          <w:lang w:val="fr-CA"/>
        </w:rPr>
        <w:t>équité</w:t>
      </w:r>
      <w:r w:rsidR="007110FF" w:rsidRPr="004F117F">
        <w:rPr>
          <w:lang w:val="fr-CA"/>
        </w:rPr>
        <w:t xml:space="preserve"> salariale du Nouveau</w:t>
      </w:r>
      <w:r w:rsidR="00587D61" w:rsidRPr="004F117F">
        <w:rPr>
          <w:lang w:val="fr-CA"/>
        </w:rPr>
        <w:noBreakHyphen/>
      </w:r>
      <w:r w:rsidR="007110FF" w:rsidRPr="004F117F">
        <w:rPr>
          <w:lang w:val="fr-CA"/>
        </w:rPr>
        <w:t xml:space="preserve">Brunswick, </w:t>
      </w:r>
    </w:p>
    <w:p w:rsidR="004A25E3" w:rsidRPr="004F117F" w:rsidRDefault="007110FF" w:rsidP="00637E44">
      <w:pPr>
        <w:pStyle w:val="SCCLsocParty"/>
        <w:widowControl w:val="0"/>
        <w:rPr>
          <w:lang w:val="fr-CA"/>
        </w:rPr>
      </w:pPr>
      <w:r w:rsidRPr="004F117F">
        <w:rPr>
          <w:lang w:val="fr-CA"/>
        </w:rPr>
        <w:t>Fonds d</w:t>
      </w:r>
      <w:r w:rsidR="000C1609" w:rsidRPr="004F117F">
        <w:rPr>
          <w:lang w:val="fr-CA"/>
        </w:rPr>
        <w:t>’</w:t>
      </w:r>
      <w:r w:rsidRPr="004F117F">
        <w:rPr>
          <w:lang w:val="fr-CA"/>
        </w:rPr>
        <w:t>action et d</w:t>
      </w:r>
      <w:r w:rsidR="000C1609" w:rsidRPr="004F117F">
        <w:rPr>
          <w:lang w:val="fr-CA"/>
        </w:rPr>
        <w:t>’</w:t>
      </w:r>
      <w:r w:rsidRPr="004F117F">
        <w:rPr>
          <w:lang w:val="fr-CA"/>
        </w:rPr>
        <w:t>éducation juridiques pour les femmes,</w:t>
      </w:r>
    </w:p>
    <w:p w:rsidR="004A25E3" w:rsidRPr="004F117F" w:rsidRDefault="007110FF" w:rsidP="00637E44">
      <w:pPr>
        <w:pStyle w:val="SCCLsocParty"/>
        <w:widowControl w:val="0"/>
        <w:rPr>
          <w:lang w:val="fr-CA"/>
        </w:rPr>
      </w:pPr>
      <w:r w:rsidRPr="004F117F">
        <w:rPr>
          <w:lang w:val="fr-CA"/>
        </w:rPr>
        <w:t>Alliance de la fonction publique du Canada,</w:t>
      </w:r>
    </w:p>
    <w:p w:rsidR="004A25E3" w:rsidRPr="004F117F" w:rsidRDefault="007110FF" w:rsidP="00637E44">
      <w:pPr>
        <w:pStyle w:val="SCCLsocParty"/>
        <w:widowControl w:val="0"/>
        <w:rPr>
          <w:lang w:val="fr-CA"/>
        </w:rPr>
      </w:pPr>
      <w:r w:rsidRPr="004F117F">
        <w:rPr>
          <w:lang w:val="fr-CA"/>
        </w:rPr>
        <w:t>Centrale des syndicats du Québec,</w:t>
      </w:r>
    </w:p>
    <w:p w:rsidR="00A25FBE" w:rsidRPr="004F117F" w:rsidRDefault="00FF7321" w:rsidP="00637E44">
      <w:pPr>
        <w:pStyle w:val="SCCLsocParty"/>
        <w:widowControl w:val="0"/>
        <w:rPr>
          <w:lang w:val="fr-CA"/>
        </w:rPr>
      </w:pPr>
      <w:r w:rsidRPr="004F117F">
        <w:rPr>
          <w:lang w:val="fr-CA"/>
        </w:rPr>
        <w:t>L</w:t>
      </w:r>
      <w:r w:rsidR="000C1609" w:rsidRPr="004F117F">
        <w:rPr>
          <w:lang w:val="fr-CA"/>
        </w:rPr>
        <w:t>’</w:t>
      </w:r>
      <w:r w:rsidR="007110FF" w:rsidRPr="004F117F">
        <w:rPr>
          <w:lang w:val="fr-CA"/>
        </w:rPr>
        <w:t>Institut professionnel de la fonction publique</w:t>
      </w:r>
      <w:r w:rsidR="00770FAD" w:rsidRPr="004F117F">
        <w:rPr>
          <w:lang w:val="fr-CA"/>
        </w:rPr>
        <w:t xml:space="preserve"> du Canada</w:t>
      </w:r>
      <w:r w:rsidR="007110FF" w:rsidRPr="004F117F">
        <w:rPr>
          <w:lang w:val="fr-CA"/>
        </w:rPr>
        <w:t xml:space="preserve">, </w:t>
      </w:r>
    </w:p>
    <w:p w:rsidR="00A25FBE" w:rsidRPr="004F117F" w:rsidRDefault="00FF7321" w:rsidP="00637E44">
      <w:pPr>
        <w:pStyle w:val="SCCLsocParty"/>
        <w:widowControl w:val="0"/>
        <w:rPr>
          <w:lang w:val="fr-CA"/>
        </w:rPr>
      </w:pPr>
      <w:r w:rsidRPr="004F117F">
        <w:rPr>
          <w:lang w:val="fr-CA"/>
        </w:rPr>
        <w:t>L</w:t>
      </w:r>
      <w:r w:rsidR="000C1609" w:rsidRPr="004F117F">
        <w:rPr>
          <w:lang w:val="fr-CA"/>
        </w:rPr>
        <w:t>’</w:t>
      </w:r>
      <w:r w:rsidR="007110FF" w:rsidRPr="004F117F">
        <w:rPr>
          <w:lang w:val="fr-CA"/>
        </w:rPr>
        <w:t xml:space="preserve">Association canadienne des employés professionnels, </w:t>
      </w:r>
    </w:p>
    <w:p w:rsidR="00A25FBE" w:rsidRPr="004F117F" w:rsidRDefault="00FF7321" w:rsidP="00637E44">
      <w:pPr>
        <w:pStyle w:val="SCCLsocParty"/>
        <w:widowControl w:val="0"/>
        <w:rPr>
          <w:lang w:val="fr-CA"/>
        </w:rPr>
      </w:pPr>
      <w:r w:rsidRPr="004F117F">
        <w:rPr>
          <w:lang w:val="fr-CA"/>
        </w:rPr>
        <w:t>L</w:t>
      </w:r>
      <w:r w:rsidR="000C1609" w:rsidRPr="004F117F">
        <w:rPr>
          <w:lang w:val="fr-CA"/>
        </w:rPr>
        <w:t>’</w:t>
      </w:r>
      <w:r w:rsidR="007110FF" w:rsidRPr="004F117F">
        <w:rPr>
          <w:lang w:val="fr-CA"/>
        </w:rPr>
        <w:t>Association c</w:t>
      </w:r>
      <w:r w:rsidR="00A25FBE" w:rsidRPr="004F117F">
        <w:rPr>
          <w:lang w:val="fr-CA"/>
        </w:rPr>
        <w:t>anadienne des agents financiers et</w:t>
      </w:r>
      <w:r w:rsidR="007110FF" w:rsidRPr="004F117F">
        <w:rPr>
          <w:lang w:val="fr-CA"/>
        </w:rPr>
        <w:t xml:space="preserve"> </w:t>
      </w:r>
    </w:p>
    <w:p w:rsidR="004A25E3" w:rsidRPr="004F117F" w:rsidRDefault="00FF7321" w:rsidP="00637E44">
      <w:pPr>
        <w:pStyle w:val="SCCLsocLastPartyInRole"/>
        <w:widowControl w:val="0"/>
        <w:rPr>
          <w:lang w:val="fr-CA"/>
        </w:rPr>
      </w:pPr>
      <w:r w:rsidRPr="004F117F">
        <w:rPr>
          <w:lang w:val="fr-CA"/>
        </w:rPr>
        <w:t>L</w:t>
      </w:r>
      <w:r w:rsidR="000C1609" w:rsidRPr="004F117F">
        <w:rPr>
          <w:lang w:val="fr-CA"/>
        </w:rPr>
        <w:t>’</w:t>
      </w:r>
      <w:r w:rsidR="007110FF" w:rsidRPr="004F117F">
        <w:rPr>
          <w:lang w:val="fr-CA"/>
        </w:rPr>
        <w:t>Association professionnelle des agents du Service extérieur</w:t>
      </w:r>
      <w:r w:rsidR="00E420C4" w:rsidRPr="004F117F">
        <w:rPr>
          <w:rStyle w:val="SCCLsocPartyRole"/>
          <w:lang w:val="fr-CA"/>
        </w:rPr>
        <w:tab/>
        <w:t>Intervenant</w:t>
      </w:r>
      <w:r w:rsidR="007110FF" w:rsidRPr="004F117F">
        <w:rPr>
          <w:rStyle w:val="SCCLsocPartyRole"/>
          <w:lang w:val="fr-CA"/>
        </w:rPr>
        <w:t>s</w:t>
      </w:r>
    </w:p>
    <w:p w:rsidR="004D7D95" w:rsidRPr="004F117F" w:rsidRDefault="00F644C0" w:rsidP="00637E44">
      <w:pPr>
        <w:widowControl w:val="0"/>
        <w:spacing w:after="720"/>
        <w:jc w:val="both"/>
        <w:rPr>
          <w:b/>
          <w:lang w:val="fr-CA"/>
        </w:rPr>
      </w:pPr>
      <w:r w:rsidRPr="004F117F">
        <w:rPr>
          <w:b/>
          <w:lang w:val="fr-CA"/>
        </w:rPr>
        <w:t>Répertorié</w:t>
      </w:r>
      <w:r w:rsidR="00587D61" w:rsidRPr="004F117F">
        <w:rPr>
          <w:b/>
          <w:lang w:val="fr-CA"/>
        </w:rPr>
        <w:t> :</w:t>
      </w:r>
      <w:r w:rsidRPr="004F117F">
        <w:rPr>
          <w:b/>
          <w:lang w:val="fr-CA"/>
        </w:rPr>
        <w:t> </w:t>
      </w:r>
      <w:r w:rsidR="004D7D95" w:rsidRPr="004F117F">
        <w:rPr>
          <w:rStyle w:val="SCCAppellantForIndexChar"/>
          <w:lang w:val="fr-CA"/>
        </w:rPr>
        <w:t>Qu</w:t>
      </w:r>
      <w:r w:rsidRPr="004F117F">
        <w:rPr>
          <w:rStyle w:val="SCCAppellantForIndexChar"/>
          <w:lang w:val="fr-CA"/>
        </w:rPr>
        <w:t>ébec (Procureure générale</w:t>
      </w:r>
      <w:r w:rsidR="005106A7" w:rsidRPr="004F117F">
        <w:rPr>
          <w:rStyle w:val="SCCAppellantForIndexChar"/>
          <w:lang w:val="fr-CA"/>
        </w:rPr>
        <w:t>)</w:t>
      </w:r>
      <w:r w:rsidR="004D7D95" w:rsidRPr="004F117F">
        <w:rPr>
          <w:b/>
          <w:lang w:val="fr-CA"/>
        </w:rPr>
        <w:t xml:space="preserve"> </w:t>
      </w:r>
      <w:r w:rsidR="004D7D95" w:rsidRPr="004F117F">
        <w:rPr>
          <w:b/>
          <w:i/>
          <w:lang w:val="fr-CA"/>
        </w:rPr>
        <w:t>c.</w:t>
      </w:r>
      <w:r w:rsidR="004D7D95" w:rsidRPr="004F117F">
        <w:rPr>
          <w:b/>
          <w:lang w:val="fr-CA"/>
        </w:rPr>
        <w:t xml:space="preserve"> </w:t>
      </w:r>
      <w:r w:rsidR="004D7D95" w:rsidRPr="004F117F">
        <w:rPr>
          <w:rStyle w:val="SCCRespondentForIndexChar"/>
          <w:lang w:val="fr-CA"/>
        </w:rPr>
        <w:t>Alliance du personn</w:t>
      </w:r>
      <w:r w:rsidR="005106A7" w:rsidRPr="004F117F">
        <w:rPr>
          <w:rStyle w:val="SCCRespondentForIndexChar"/>
          <w:lang w:val="fr-CA"/>
        </w:rPr>
        <w:t>el professionnel et technique de la santé et des services sociaux</w:t>
      </w:r>
    </w:p>
    <w:p w:rsidR="004D7D95" w:rsidRPr="004F117F" w:rsidRDefault="00026EAE" w:rsidP="00637E44">
      <w:pPr>
        <w:pStyle w:val="SCCSystemYear"/>
        <w:widowControl w:val="0"/>
        <w:spacing w:after="720"/>
        <w:jc w:val="both"/>
        <w:rPr>
          <w:lang w:val="fr-CA"/>
        </w:rPr>
      </w:pPr>
      <w:r w:rsidRPr="004F117F">
        <w:rPr>
          <w:lang w:val="fr-CA"/>
        </w:rPr>
        <w:t>2018</w:t>
      </w:r>
      <w:r w:rsidR="004D7D95" w:rsidRPr="004F117F">
        <w:rPr>
          <w:lang w:val="fr-CA"/>
        </w:rPr>
        <w:t xml:space="preserve"> CSC </w:t>
      </w:r>
      <w:r w:rsidR="00044410" w:rsidRPr="004F117F">
        <w:rPr>
          <w:lang w:val="fr-CA"/>
        </w:rPr>
        <w:t>17</w:t>
      </w:r>
    </w:p>
    <w:p w:rsidR="004D7D95" w:rsidRPr="004F117F" w:rsidRDefault="004D7D95" w:rsidP="00637E44">
      <w:pPr>
        <w:widowControl w:val="0"/>
        <w:spacing w:after="720"/>
        <w:jc w:val="both"/>
        <w:rPr>
          <w:lang w:val="fr-CA"/>
        </w:rPr>
      </w:pPr>
      <w:r w:rsidRPr="004F117F">
        <w:rPr>
          <w:lang w:val="fr-CA"/>
        </w:rPr>
        <w:t>N</w:t>
      </w:r>
      <w:r w:rsidRPr="004F117F">
        <w:rPr>
          <w:vertAlign w:val="superscript"/>
          <w:lang w:val="fr-CA"/>
        </w:rPr>
        <w:t>o</w:t>
      </w:r>
      <w:r w:rsidRPr="004F117F">
        <w:rPr>
          <w:lang w:val="fr-CA"/>
        </w:rPr>
        <w:t xml:space="preserve"> du greffe</w:t>
      </w:r>
      <w:r w:rsidR="00587D61" w:rsidRPr="004F117F">
        <w:rPr>
          <w:lang w:val="fr-CA"/>
        </w:rPr>
        <w:t> :</w:t>
      </w:r>
      <w:r w:rsidRPr="004F117F">
        <w:rPr>
          <w:lang w:val="fr-CA"/>
        </w:rPr>
        <w:t> 37347.</w:t>
      </w:r>
    </w:p>
    <w:p w:rsidR="004D7D95" w:rsidRPr="004F117F" w:rsidRDefault="00961803" w:rsidP="00637E44">
      <w:pPr>
        <w:widowControl w:val="0"/>
        <w:spacing w:after="720"/>
        <w:jc w:val="both"/>
        <w:rPr>
          <w:lang w:val="fr-CA"/>
        </w:rPr>
      </w:pPr>
      <w:r w:rsidRPr="004F117F">
        <w:rPr>
          <w:lang w:val="fr-CA"/>
        </w:rPr>
        <w:t>2017</w:t>
      </w:r>
      <w:r w:rsidR="00587D61" w:rsidRPr="004F117F">
        <w:rPr>
          <w:lang w:val="fr-CA"/>
        </w:rPr>
        <w:t> :</w:t>
      </w:r>
      <w:r w:rsidRPr="004F117F">
        <w:rPr>
          <w:lang w:val="fr-CA"/>
        </w:rPr>
        <w:t> </w:t>
      </w:r>
      <w:r w:rsidR="00D17B0E" w:rsidRPr="004F117F">
        <w:rPr>
          <w:lang w:val="fr-CA"/>
        </w:rPr>
        <w:t>31</w:t>
      </w:r>
      <w:r w:rsidRPr="004F117F">
        <w:rPr>
          <w:lang w:val="fr-CA"/>
        </w:rPr>
        <w:t> </w:t>
      </w:r>
      <w:r w:rsidR="00D17B0E" w:rsidRPr="004F117F">
        <w:rPr>
          <w:lang w:val="fr-CA"/>
        </w:rPr>
        <w:t>octobre</w:t>
      </w:r>
      <w:r w:rsidR="004D7D95" w:rsidRPr="004F117F">
        <w:rPr>
          <w:lang w:val="fr-CA"/>
        </w:rPr>
        <w:t>;</w:t>
      </w:r>
      <w:r w:rsidR="00044410" w:rsidRPr="004F117F">
        <w:rPr>
          <w:lang w:val="fr-CA"/>
        </w:rPr>
        <w:t xml:space="preserve"> </w:t>
      </w:r>
      <w:r w:rsidR="00CD74D3" w:rsidRPr="004F117F">
        <w:rPr>
          <w:lang w:val="fr-CA"/>
        </w:rPr>
        <w:t>2018</w:t>
      </w:r>
      <w:r w:rsidR="00587D61" w:rsidRPr="004F117F">
        <w:rPr>
          <w:lang w:val="fr-CA"/>
        </w:rPr>
        <w:t> :</w:t>
      </w:r>
      <w:r w:rsidR="00CD74D3" w:rsidRPr="004F117F">
        <w:rPr>
          <w:lang w:val="fr-CA"/>
        </w:rPr>
        <w:t> 10 </w:t>
      </w:r>
      <w:r w:rsidR="00044410" w:rsidRPr="004F117F">
        <w:rPr>
          <w:lang w:val="fr-CA"/>
        </w:rPr>
        <w:t>mai</w:t>
      </w:r>
      <w:r w:rsidR="004D7D95" w:rsidRPr="004F117F">
        <w:rPr>
          <w:lang w:val="fr-CA"/>
        </w:rPr>
        <w:t>.</w:t>
      </w:r>
    </w:p>
    <w:p w:rsidR="004D7D95" w:rsidRPr="004F117F" w:rsidRDefault="004D7D95" w:rsidP="00637E44">
      <w:pPr>
        <w:widowControl w:val="0"/>
        <w:spacing w:after="720"/>
        <w:jc w:val="both"/>
        <w:rPr>
          <w:lang w:val="fr-CA"/>
        </w:rPr>
      </w:pPr>
      <w:r w:rsidRPr="004F117F">
        <w:rPr>
          <w:lang w:val="fr-CA"/>
        </w:rPr>
        <w:t>Présents</w:t>
      </w:r>
      <w:r w:rsidR="00587D61" w:rsidRPr="004F117F">
        <w:rPr>
          <w:lang w:val="fr-CA"/>
        </w:rPr>
        <w:t> :</w:t>
      </w:r>
      <w:r w:rsidRPr="004F117F">
        <w:rPr>
          <w:lang w:val="fr-CA"/>
        </w:rPr>
        <w:t> La juge en chef McLachlin et les juges Abella, Moldaver, Karakatsanis, Wagner, Gascon, Côté, Brown et Rowe.</w:t>
      </w:r>
    </w:p>
    <w:p w:rsidR="004D7D95" w:rsidRPr="004F117F" w:rsidRDefault="004D7D95" w:rsidP="00637E44">
      <w:pPr>
        <w:widowControl w:val="0"/>
        <w:spacing w:after="720"/>
        <w:jc w:val="both"/>
        <w:rPr>
          <w:smallCaps/>
          <w:lang w:val="fr-CA"/>
        </w:rPr>
      </w:pPr>
      <w:r w:rsidRPr="004F117F">
        <w:rPr>
          <w:smallCaps/>
          <w:lang w:val="fr-CA"/>
        </w:rPr>
        <w:t>en appel de la cour d</w:t>
      </w:r>
      <w:r w:rsidR="000C1609" w:rsidRPr="004F117F">
        <w:rPr>
          <w:smallCaps/>
          <w:lang w:val="fr-CA"/>
        </w:rPr>
        <w:t>’</w:t>
      </w:r>
      <w:r w:rsidRPr="004F117F">
        <w:rPr>
          <w:smallCaps/>
          <w:lang w:val="fr-CA"/>
        </w:rPr>
        <w:t>appel du québec</w:t>
      </w:r>
    </w:p>
    <w:p w:rsidR="00CC0E55" w:rsidRPr="004F117F" w:rsidRDefault="004D7D95" w:rsidP="00637E44">
      <w:pPr>
        <w:pStyle w:val="SCCNormalDoubleSpacing"/>
        <w:widowControl w:val="0"/>
        <w:spacing w:before="480" w:after="480"/>
        <w:rPr>
          <w:lang w:val="fr-CA"/>
        </w:rPr>
      </w:pPr>
      <w:r w:rsidRPr="004F117F">
        <w:rPr>
          <w:lang w:val="fr-CA"/>
        </w:rPr>
        <w:tab/>
      </w:r>
      <w:r w:rsidR="00CC0E55" w:rsidRPr="004F117F">
        <w:rPr>
          <w:i/>
          <w:szCs w:val="24"/>
          <w:lang w:val="fr-CA"/>
        </w:rPr>
        <w:t>Droit constitutionnel — Charte des droits — Droit à l</w:t>
      </w:r>
      <w:r w:rsidR="000C1609" w:rsidRPr="004F117F">
        <w:rPr>
          <w:i/>
          <w:szCs w:val="24"/>
          <w:lang w:val="fr-CA"/>
        </w:rPr>
        <w:t>’</w:t>
      </w:r>
      <w:r w:rsidR="00CC0E55" w:rsidRPr="004F117F">
        <w:rPr>
          <w:i/>
          <w:szCs w:val="24"/>
          <w:lang w:val="fr-CA"/>
        </w:rPr>
        <w:t xml:space="preserve">égalité — Discrimination fondée sur le sexe — Équité salariale — Modifications à un régime </w:t>
      </w:r>
      <w:r w:rsidR="00CC0E55" w:rsidRPr="004F117F">
        <w:rPr>
          <w:i/>
          <w:szCs w:val="24"/>
          <w:lang w:val="fr-CA"/>
        </w:rPr>
        <w:lastRenderedPageBreak/>
        <w:t>législatif visant à remédier à la discrimination salariale systémique dont sont essentiellement victimes les femmes, modifications consistant à remplacer l</w:t>
      </w:r>
      <w:r w:rsidR="000C1609" w:rsidRPr="004F117F">
        <w:rPr>
          <w:i/>
          <w:szCs w:val="24"/>
          <w:lang w:val="fr-CA"/>
        </w:rPr>
        <w:t>’</w:t>
      </w:r>
      <w:r w:rsidR="00CC0E55" w:rsidRPr="004F117F">
        <w:rPr>
          <w:i/>
          <w:szCs w:val="24"/>
          <w:lang w:val="fr-CA"/>
        </w:rPr>
        <w:t>obligation continue de maintenir l</w:t>
      </w:r>
      <w:r w:rsidR="000C1609" w:rsidRPr="004F117F">
        <w:rPr>
          <w:i/>
          <w:szCs w:val="24"/>
          <w:lang w:val="fr-CA"/>
        </w:rPr>
        <w:t>’</w:t>
      </w:r>
      <w:r w:rsidR="00CC0E55" w:rsidRPr="004F117F">
        <w:rPr>
          <w:i/>
          <w:szCs w:val="24"/>
          <w:lang w:val="fr-CA"/>
        </w:rPr>
        <w:t>équité salariale par celle d</w:t>
      </w:r>
      <w:r w:rsidR="000C1609" w:rsidRPr="004F117F">
        <w:rPr>
          <w:i/>
          <w:szCs w:val="24"/>
          <w:lang w:val="fr-CA"/>
        </w:rPr>
        <w:t>’</w:t>
      </w:r>
      <w:r w:rsidR="00CC0E55" w:rsidRPr="004F117F">
        <w:rPr>
          <w:i/>
          <w:szCs w:val="24"/>
          <w:lang w:val="fr-CA"/>
        </w:rPr>
        <w:t>évaluer tous les cinq ans ce maintien sans versement d</w:t>
      </w:r>
      <w:r w:rsidR="000C1609" w:rsidRPr="004F117F">
        <w:rPr>
          <w:i/>
          <w:szCs w:val="24"/>
          <w:lang w:val="fr-CA"/>
        </w:rPr>
        <w:t>’</w:t>
      </w:r>
      <w:r w:rsidR="00CC0E55" w:rsidRPr="004F117F">
        <w:rPr>
          <w:i/>
          <w:szCs w:val="24"/>
          <w:lang w:val="fr-CA"/>
        </w:rPr>
        <w:t>ajustements rétroactifs à la date de l</w:t>
      </w:r>
      <w:r w:rsidR="000C1609" w:rsidRPr="004F117F">
        <w:rPr>
          <w:i/>
          <w:szCs w:val="24"/>
          <w:lang w:val="fr-CA"/>
        </w:rPr>
        <w:t>’</w:t>
      </w:r>
      <w:r w:rsidR="00CC0E55" w:rsidRPr="004F117F">
        <w:rPr>
          <w:i/>
          <w:szCs w:val="24"/>
          <w:lang w:val="fr-CA"/>
        </w:rPr>
        <w:t>apparition d</w:t>
      </w:r>
      <w:r w:rsidR="000C1609" w:rsidRPr="004F117F">
        <w:rPr>
          <w:i/>
          <w:szCs w:val="24"/>
          <w:lang w:val="fr-CA"/>
        </w:rPr>
        <w:t>’</w:t>
      </w:r>
      <w:r w:rsidR="00CC0E55" w:rsidRPr="004F117F">
        <w:rPr>
          <w:i/>
          <w:szCs w:val="24"/>
          <w:lang w:val="fr-CA"/>
        </w:rPr>
        <w:t>une iniquité salariale — L</w:t>
      </w:r>
      <w:r w:rsidR="000C1609" w:rsidRPr="004F117F">
        <w:rPr>
          <w:i/>
          <w:szCs w:val="24"/>
          <w:lang w:val="fr-CA"/>
        </w:rPr>
        <w:t>’</w:t>
      </w:r>
      <w:r w:rsidR="00CC0E55" w:rsidRPr="004F117F">
        <w:rPr>
          <w:i/>
          <w:szCs w:val="24"/>
          <w:lang w:val="fr-CA"/>
        </w:rPr>
        <w:t>article 76.5 de la Loi sur l</w:t>
      </w:r>
      <w:r w:rsidR="000C1609" w:rsidRPr="004F117F">
        <w:rPr>
          <w:i/>
          <w:szCs w:val="24"/>
          <w:lang w:val="fr-CA"/>
        </w:rPr>
        <w:t>’</w:t>
      </w:r>
      <w:r w:rsidR="00CC0E55" w:rsidRPr="004F117F">
        <w:rPr>
          <w:i/>
          <w:szCs w:val="24"/>
          <w:lang w:val="fr-CA"/>
        </w:rPr>
        <w:t>équité salariale, selon lequel les ajustements salariaux ne sont payables qu</w:t>
      </w:r>
      <w:r w:rsidR="000C1609" w:rsidRPr="004F117F">
        <w:rPr>
          <w:i/>
          <w:szCs w:val="24"/>
          <w:lang w:val="fr-CA"/>
        </w:rPr>
        <w:t>’</w:t>
      </w:r>
      <w:r w:rsidR="00CC0E55" w:rsidRPr="004F117F">
        <w:rPr>
          <w:i/>
          <w:szCs w:val="24"/>
          <w:lang w:val="fr-CA"/>
        </w:rPr>
        <w:t>à compter de la date de l</w:t>
      </w:r>
      <w:r w:rsidR="000C1609" w:rsidRPr="004F117F">
        <w:rPr>
          <w:i/>
          <w:szCs w:val="24"/>
          <w:lang w:val="fr-CA"/>
        </w:rPr>
        <w:t>’</w:t>
      </w:r>
      <w:r w:rsidR="00CC0E55" w:rsidRPr="004F117F">
        <w:rPr>
          <w:i/>
          <w:szCs w:val="24"/>
          <w:lang w:val="fr-CA"/>
        </w:rPr>
        <w:t>affichage des résultats du processus d</w:t>
      </w:r>
      <w:r w:rsidR="000C1609" w:rsidRPr="004F117F">
        <w:rPr>
          <w:i/>
          <w:szCs w:val="24"/>
          <w:lang w:val="fr-CA"/>
        </w:rPr>
        <w:t>’</w:t>
      </w:r>
      <w:r w:rsidR="00CC0E55" w:rsidRPr="004F117F">
        <w:rPr>
          <w:i/>
          <w:szCs w:val="24"/>
          <w:lang w:val="fr-CA"/>
        </w:rPr>
        <w:t>évaluation, et l</w:t>
      </w:r>
      <w:r w:rsidR="000C1609" w:rsidRPr="004F117F">
        <w:rPr>
          <w:i/>
          <w:szCs w:val="24"/>
          <w:lang w:val="fr-CA"/>
        </w:rPr>
        <w:t>’</w:t>
      </w:r>
      <w:r w:rsidR="00587D61" w:rsidRPr="004F117F">
        <w:rPr>
          <w:i/>
          <w:szCs w:val="24"/>
          <w:lang w:val="fr-CA"/>
        </w:rPr>
        <w:t>art. </w:t>
      </w:r>
      <w:r w:rsidR="00CC0E55" w:rsidRPr="004F117F">
        <w:rPr>
          <w:i/>
          <w:szCs w:val="24"/>
          <w:lang w:val="fr-CA"/>
        </w:rPr>
        <w:t xml:space="preserve">103.1 </w:t>
      </w:r>
      <w:r w:rsidR="00587D61" w:rsidRPr="004F117F">
        <w:rPr>
          <w:i/>
          <w:szCs w:val="24"/>
          <w:lang w:val="fr-CA"/>
        </w:rPr>
        <w:t>al. </w:t>
      </w:r>
      <w:r w:rsidR="00CC0E55" w:rsidRPr="004F117F">
        <w:rPr>
          <w:i/>
          <w:szCs w:val="24"/>
          <w:lang w:val="fr-CA"/>
        </w:rPr>
        <w:t>2, qui empêche la Commission de l</w:t>
      </w:r>
      <w:r w:rsidR="000C1609" w:rsidRPr="004F117F">
        <w:rPr>
          <w:i/>
          <w:szCs w:val="24"/>
          <w:lang w:val="fr-CA"/>
        </w:rPr>
        <w:t>’</w:t>
      </w:r>
      <w:r w:rsidR="00CC0E55" w:rsidRPr="004F117F">
        <w:rPr>
          <w:i/>
          <w:szCs w:val="24"/>
          <w:lang w:val="fr-CA"/>
        </w:rPr>
        <w:t>équité salariale de déterminer des ajustements salariaux antérieurs à cette date, violent</w:t>
      </w:r>
      <w:r w:rsidR="00587D61" w:rsidRPr="004F117F">
        <w:rPr>
          <w:i/>
          <w:szCs w:val="24"/>
          <w:lang w:val="fr-CA"/>
        </w:rPr>
        <w:noBreakHyphen/>
      </w:r>
      <w:r w:rsidR="00CC0E55" w:rsidRPr="004F117F">
        <w:rPr>
          <w:i/>
          <w:szCs w:val="24"/>
          <w:lang w:val="fr-CA"/>
        </w:rPr>
        <w:t xml:space="preserve">ils </w:t>
      </w:r>
      <w:r w:rsidR="00E841A1" w:rsidRPr="004F117F">
        <w:rPr>
          <w:i/>
          <w:szCs w:val="24"/>
          <w:lang w:val="fr-CA"/>
        </w:rPr>
        <w:t>l’art. </w:t>
      </w:r>
      <w:r w:rsidR="00CC0E55" w:rsidRPr="004F117F">
        <w:rPr>
          <w:i/>
          <w:szCs w:val="24"/>
          <w:lang w:val="fr-CA"/>
        </w:rPr>
        <w:t>15 de la Charte? — L</w:t>
      </w:r>
      <w:r w:rsidR="000C1609" w:rsidRPr="004F117F">
        <w:rPr>
          <w:i/>
          <w:szCs w:val="24"/>
          <w:lang w:val="fr-CA"/>
        </w:rPr>
        <w:t>’</w:t>
      </w:r>
      <w:r w:rsidR="00CC0E55" w:rsidRPr="004F117F">
        <w:rPr>
          <w:i/>
          <w:szCs w:val="24"/>
          <w:lang w:val="fr-CA"/>
        </w:rPr>
        <w:t>article 76.3, qui n</w:t>
      </w:r>
      <w:r w:rsidR="000C1609" w:rsidRPr="004F117F">
        <w:rPr>
          <w:i/>
          <w:szCs w:val="24"/>
          <w:lang w:val="fr-CA"/>
        </w:rPr>
        <w:t>’</w:t>
      </w:r>
      <w:r w:rsidR="00CC0E55" w:rsidRPr="004F117F">
        <w:rPr>
          <w:i/>
          <w:szCs w:val="24"/>
          <w:lang w:val="fr-CA"/>
        </w:rPr>
        <w:t>exige pas d</w:t>
      </w:r>
      <w:r w:rsidR="000C1609" w:rsidRPr="004F117F">
        <w:rPr>
          <w:i/>
          <w:szCs w:val="24"/>
          <w:lang w:val="fr-CA"/>
        </w:rPr>
        <w:t>’</w:t>
      </w:r>
      <w:r w:rsidR="00CC0E55" w:rsidRPr="004F117F">
        <w:rPr>
          <w:i/>
          <w:szCs w:val="24"/>
          <w:lang w:val="fr-CA"/>
        </w:rPr>
        <w:t>inclure la date précise de l</w:t>
      </w:r>
      <w:r w:rsidR="000C1609" w:rsidRPr="004F117F">
        <w:rPr>
          <w:i/>
          <w:szCs w:val="24"/>
          <w:lang w:val="fr-CA"/>
        </w:rPr>
        <w:t>’</w:t>
      </w:r>
      <w:r w:rsidR="00CC0E55" w:rsidRPr="004F117F">
        <w:rPr>
          <w:i/>
          <w:szCs w:val="24"/>
          <w:lang w:val="fr-CA"/>
        </w:rPr>
        <w:t>apparition d</w:t>
      </w:r>
      <w:r w:rsidR="000C1609" w:rsidRPr="004F117F">
        <w:rPr>
          <w:i/>
          <w:szCs w:val="24"/>
          <w:lang w:val="fr-CA"/>
        </w:rPr>
        <w:t>’</w:t>
      </w:r>
      <w:r w:rsidR="00CC0E55" w:rsidRPr="004F117F">
        <w:rPr>
          <w:i/>
          <w:szCs w:val="24"/>
          <w:lang w:val="fr-CA"/>
        </w:rPr>
        <w:t>une iniquité salariale dans l</w:t>
      </w:r>
      <w:r w:rsidR="000C1609" w:rsidRPr="004F117F">
        <w:rPr>
          <w:i/>
          <w:szCs w:val="24"/>
          <w:lang w:val="fr-CA"/>
        </w:rPr>
        <w:t>’</w:t>
      </w:r>
      <w:r w:rsidR="00CC0E55" w:rsidRPr="004F117F">
        <w:rPr>
          <w:i/>
          <w:szCs w:val="24"/>
          <w:lang w:val="fr-CA"/>
        </w:rPr>
        <w:t>évaluation affichée, viole</w:t>
      </w:r>
      <w:r w:rsidR="00587D61" w:rsidRPr="004F117F">
        <w:rPr>
          <w:i/>
          <w:szCs w:val="24"/>
          <w:lang w:val="fr-CA"/>
        </w:rPr>
        <w:noBreakHyphen/>
      </w:r>
      <w:r w:rsidR="00CC0E55" w:rsidRPr="004F117F">
        <w:rPr>
          <w:i/>
          <w:szCs w:val="24"/>
          <w:lang w:val="fr-CA"/>
        </w:rPr>
        <w:t>t</w:t>
      </w:r>
      <w:r w:rsidR="00587D61" w:rsidRPr="004F117F">
        <w:rPr>
          <w:i/>
          <w:szCs w:val="24"/>
          <w:lang w:val="fr-CA"/>
        </w:rPr>
        <w:noBreakHyphen/>
      </w:r>
      <w:r w:rsidR="00CC0E55" w:rsidRPr="004F117F">
        <w:rPr>
          <w:i/>
          <w:szCs w:val="24"/>
          <w:lang w:val="fr-CA"/>
        </w:rPr>
        <w:t>il l</w:t>
      </w:r>
      <w:r w:rsidR="00E841A1" w:rsidRPr="004F117F">
        <w:rPr>
          <w:i/>
          <w:szCs w:val="24"/>
          <w:lang w:val="fr-CA"/>
        </w:rPr>
        <w:t>’art. </w:t>
      </w:r>
      <w:r w:rsidR="00CC0E55" w:rsidRPr="004F117F">
        <w:rPr>
          <w:i/>
          <w:szCs w:val="24"/>
          <w:lang w:val="fr-CA"/>
        </w:rPr>
        <w:t>15 de la Charte? — Dans l</w:t>
      </w:r>
      <w:r w:rsidR="000C1609" w:rsidRPr="004F117F">
        <w:rPr>
          <w:i/>
          <w:szCs w:val="24"/>
          <w:lang w:val="fr-CA"/>
        </w:rPr>
        <w:t>’</w:t>
      </w:r>
      <w:r w:rsidR="00CC0E55" w:rsidRPr="004F117F">
        <w:rPr>
          <w:i/>
          <w:szCs w:val="24"/>
          <w:lang w:val="fr-CA"/>
        </w:rPr>
        <w:t>affirmative, cette violation est</w:t>
      </w:r>
      <w:r w:rsidR="00587D61" w:rsidRPr="004F117F">
        <w:rPr>
          <w:i/>
          <w:szCs w:val="24"/>
          <w:lang w:val="fr-CA"/>
        </w:rPr>
        <w:noBreakHyphen/>
      </w:r>
      <w:r w:rsidR="00CC0E55" w:rsidRPr="004F117F">
        <w:rPr>
          <w:i/>
          <w:szCs w:val="24"/>
          <w:lang w:val="fr-CA"/>
        </w:rPr>
        <w:t>elle justifiable? — Loi s</w:t>
      </w:r>
      <w:r w:rsidR="00587D61" w:rsidRPr="004F117F">
        <w:rPr>
          <w:i/>
          <w:szCs w:val="24"/>
          <w:lang w:val="fr-CA"/>
        </w:rPr>
        <w:t>ur l</w:t>
      </w:r>
      <w:r w:rsidR="000C1609" w:rsidRPr="004F117F">
        <w:rPr>
          <w:i/>
          <w:szCs w:val="24"/>
          <w:lang w:val="fr-CA"/>
        </w:rPr>
        <w:t>’</w:t>
      </w:r>
      <w:r w:rsidR="00587D61" w:rsidRPr="004F117F">
        <w:rPr>
          <w:i/>
          <w:szCs w:val="24"/>
          <w:lang w:val="fr-CA"/>
        </w:rPr>
        <w:t>équité salariale, RLRQ, c. </w:t>
      </w:r>
      <w:r w:rsidR="00CC0E55" w:rsidRPr="004F117F">
        <w:rPr>
          <w:i/>
          <w:szCs w:val="24"/>
          <w:lang w:val="fr-CA"/>
        </w:rPr>
        <w:t>E</w:t>
      </w:r>
      <w:r w:rsidR="00587D61" w:rsidRPr="004F117F">
        <w:rPr>
          <w:i/>
          <w:szCs w:val="24"/>
          <w:lang w:val="fr-CA"/>
        </w:rPr>
        <w:noBreakHyphen/>
      </w:r>
      <w:r w:rsidR="00CC0E55" w:rsidRPr="004F117F">
        <w:rPr>
          <w:i/>
          <w:szCs w:val="24"/>
          <w:lang w:val="fr-CA"/>
        </w:rPr>
        <w:t xml:space="preserve">12.001, </w:t>
      </w:r>
      <w:r w:rsidR="00587D61" w:rsidRPr="004F117F">
        <w:rPr>
          <w:i/>
          <w:szCs w:val="24"/>
          <w:lang w:val="fr-CA"/>
        </w:rPr>
        <w:t>art. </w:t>
      </w:r>
      <w:r w:rsidR="00CC0E55" w:rsidRPr="004F117F">
        <w:rPr>
          <w:i/>
          <w:szCs w:val="24"/>
          <w:lang w:val="fr-CA"/>
        </w:rPr>
        <w:t>76.3, 76.5</w:t>
      </w:r>
      <w:r w:rsidR="00E841A1" w:rsidRPr="004F117F">
        <w:rPr>
          <w:i/>
          <w:szCs w:val="24"/>
          <w:lang w:val="fr-CA"/>
        </w:rPr>
        <w:t>,</w:t>
      </w:r>
      <w:r w:rsidR="00CC0E55" w:rsidRPr="004F117F">
        <w:rPr>
          <w:i/>
          <w:szCs w:val="24"/>
          <w:lang w:val="fr-CA"/>
        </w:rPr>
        <w:t xml:space="preserve"> 103.1 </w:t>
      </w:r>
      <w:r w:rsidR="00587D61" w:rsidRPr="004F117F">
        <w:rPr>
          <w:i/>
          <w:szCs w:val="24"/>
          <w:lang w:val="fr-CA"/>
        </w:rPr>
        <w:t>al. </w:t>
      </w:r>
      <w:r w:rsidR="00CC0E55" w:rsidRPr="004F117F">
        <w:rPr>
          <w:i/>
          <w:szCs w:val="24"/>
          <w:lang w:val="fr-CA"/>
        </w:rPr>
        <w:t xml:space="preserve">2 — </w:t>
      </w:r>
      <w:r w:rsidR="00CC0E55" w:rsidRPr="004F117F">
        <w:rPr>
          <w:i/>
          <w:iCs/>
          <w:szCs w:val="24"/>
          <w:lang w:val="fr-CA"/>
        </w:rPr>
        <w:t xml:space="preserve">Charte canadienne des droits et libertés, </w:t>
      </w:r>
      <w:r w:rsidR="00587D61" w:rsidRPr="004F117F">
        <w:rPr>
          <w:i/>
          <w:iCs/>
          <w:szCs w:val="24"/>
          <w:lang w:val="fr-CA"/>
        </w:rPr>
        <w:t>art. </w:t>
      </w:r>
      <w:r w:rsidR="005D75CA" w:rsidRPr="004F117F">
        <w:rPr>
          <w:i/>
          <w:iCs/>
          <w:szCs w:val="24"/>
          <w:lang w:val="fr-CA"/>
        </w:rPr>
        <w:t xml:space="preserve">1, </w:t>
      </w:r>
      <w:r w:rsidR="00CC0E55" w:rsidRPr="004F117F">
        <w:rPr>
          <w:i/>
          <w:iCs/>
          <w:szCs w:val="24"/>
          <w:lang w:val="fr-CA"/>
        </w:rPr>
        <w:t>15.</w:t>
      </w:r>
    </w:p>
    <w:p w:rsidR="00CC0E55" w:rsidRPr="004F117F" w:rsidRDefault="00CC0E55" w:rsidP="00637E44">
      <w:pPr>
        <w:pStyle w:val="SCCNormalDoubleSpacing"/>
        <w:widowControl w:val="0"/>
        <w:spacing w:after="480"/>
        <w:rPr>
          <w:lang w:val="fr-CA"/>
        </w:rPr>
      </w:pPr>
      <w:r w:rsidRPr="004F117F">
        <w:rPr>
          <w:lang w:val="fr-CA"/>
        </w:rPr>
        <w:tab/>
        <w:t>E</w:t>
      </w:r>
      <w:r w:rsidRPr="004F117F">
        <w:rPr>
          <w:szCs w:val="24"/>
          <w:lang w:val="fr-CA"/>
        </w:rPr>
        <w:t xml:space="preserve">n 1996, le Québec </w:t>
      </w:r>
      <w:r w:rsidRPr="004F117F">
        <w:rPr>
          <w:lang w:val="fr-CA"/>
        </w:rPr>
        <w:t>a adopté un régime législatif pour remédier à la discrimination salariale systémique à l</w:t>
      </w:r>
      <w:r w:rsidR="000C1609" w:rsidRPr="004F117F">
        <w:rPr>
          <w:lang w:val="fr-CA"/>
        </w:rPr>
        <w:t>’</w:t>
      </w:r>
      <w:r w:rsidRPr="004F117F">
        <w:rPr>
          <w:lang w:val="fr-CA"/>
        </w:rPr>
        <w:t>égard des femmes. La</w:t>
      </w:r>
      <w:r w:rsidRPr="004F117F">
        <w:rPr>
          <w:szCs w:val="24"/>
          <w:lang w:val="fr-CA"/>
        </w:rPr>
        <w:t xml:space="preserve"> </w:t>
      </w:r>
      <w:r w:rsidRPr="004F117F">
        <w:rPr>
          <w:i/>
          <w:szCs w:val="24"/>
          <w:lang w:val="fr-CA"/>
        </w:rPr>
        <w:t>Loi sur l</w:t>
      </w:r>
      <w:r w:rsidR="000C1609" w:rsidRPr="004F117F">
        <w:rPr>
          <w:i/>
          <w:szCs w:val="24"/>
          <w:lang w:val="fr-CA"/>
        </w:rPr>
        <w:t>’</w:t>
      </w:r>
      <w:r w:rsidRPr="004F117F">
        <w:rPr>
          <w:i/>
          <w:szCs w:val="24"/>
          <w:lang w:val="fr-CA"/>
        </w:rPr>
        <w:t>équité salariale</w:t>
      </w:r>
      <w:r w:rsidRPr="004F117F">
        <w:rPr>
          <w:szCs w:val="24"/>
          <w:lang w:val="fr-CA"/>
        </w:rPr>
        <w:t xml:space="preserve"> établit un processus visant à faire en sorte que les employeurs versent un salaire égal pour un travail de valeur égale. </w:t>
      </w:r>
      <w:r w:rsidRPr="004F117F">
        <w:rPr>
          <w:lang w:val="fr-CA"/>
        </w:rPr>
        <w:t xml:space="preserve">En vertu des </w:t>
      </w:r>
      <w:r w:rsidR="00587D61" w:rsidRPr="004F117F">
        <w:rPr>
          <w:lang w:val="fr-CA"/>
        </w:rPr>
        <w:t>art. </w:t>
      </w:r>
      <w:r w:rsidRPr="004F117F">
        <w:rPr>
          <w:lang w:val="fr-CA"/>
        </w:rPr>
        <w:t>40 à 43, maintenant abrogés, les employeurs avaient l</w:t>
      </w:r>
      <w:r w:rsidR="000C1609" w:rsidRPr="004F117F">
        <w:rPr>
          <w:lang w:val="fr-CA"/>
        </w:rPr>
        <w:t>’</w:t>
      </w:r>
      <w:r w:rsidRPr="004F117F">
        <w:rPr>
          <w:lang w:val="fr-CA"/>
        </w:rPr>
        <w:t>obligation continue de maintenir l</w:t>
      </w:r>
      <w:r w:rsidR="000C1609" w:rsidRPr="004F117F">
        <w:rPr>
          <w:lang w:val="fr-CA"/>
        </w:rPr>
        <w:t>’</w:t>
      </w:r>
      <w:r w:rsidRPr="004F117F">
        <w:rPr>
          <w:lang w:val="fr-CA"/>
        </w:rPr>
        <w:t>équité salariale et de faire les ajustements salariaux nécessaires</w:t>
      </w:r>
      <w:r w:rsidRPr="004F117F">
        <w:rPr>
          <w:szCs w:val="24"/>
          <w:lang w:val="fr-CA"/>
        </w:rPr>
        <w:t xml:space="preserve">. Au </w:t>
      </w:r>
      <w:r w:rsidRPr="004F117F">
        <w:rPr>
          <w:lang w:val="fr-CA"/>
        </w:rPr>
        <w:t xml:space="preserve">bout de 10 années, les attentes en matière de respect de la </w:t>
      </w:r>
      <w:r w:rsidRPr="004F117F">
        <w:rPr>
          <w:i/>
          <w:lang w:val="fr-CA"/>
        </w:rPr>
        <w:t>Loi</w:t>
      </w:r>
      <w:r w:rsidRPr="004F117F">
        <w:rPr>
          <w:lang w:val="fr-CA"/>
        </w:rPr>
        <w:t xml:space="preserve"> n</w:t>
      </w:r>
      <w:r w:rsidR="000C1609" w:rsidRPr="004F117F">
        <w:rPr>
          <w:lang w:val="fr-CA"/>
        </w:rPr>
        <w:t>’</w:t>
      </w:r>
      <w:r w:rsidRPr="004F117F">
        <w:rPr>
          <w:lang w:val="fr-CA"/>
        </w:rPr>
        <w:t>étaient pas satisfaites.</w:t>
      </w:r>
    </w:p>
    <w:p w:rsidR="00CC0E55" w:rsidRPr="004F117F" w:rsidRDefault="00CC0E55" w:rsidP="00637E44">
      <w:pPr>
        <w:pStyle w:val="SCCNormalDoubleSpacing"/>
        <w:widowControl w:val="0"/>
        <w:spacing w:after="480"/>
        <w:rPr>
          <w:lang w:val="fr-CA"/>
        </w:rPr>
      </w:pPr>
      <w:r w:rsidRPr="004F117F">
        <w:rPr>
          <w:szCs w:val="24"/>
          <w:lang w:val="fr-CA"/>
        </w:rPr>
        <w:tab/>
        <w:t xml:space="preserve">En 2009, la </w:t>
      </w:r>
      <w:r w:rsidRPr="004F117F">
        <w:rPr>
          <w:i/>
          <w:lang w:val="fr-CA"/>
        </w:rPr>
        <w:t>Loi modifiant la Loi sur l</w:t>
      </w:r>
      <w:r w:rsidR="000C1609" w:rsidRPr="004F117F">
        <w:rPr>
          <w:i/>
          <w:lang w:val="fr-CA"/>
        </w:rPr>
        <w:t>’</w:t>
      </w:r>
      <w:r w:rsidRPr="004F117F">
        <w:rPr>
          <w:i/>
          <w:lang w:val="fr-CA"/>
        </w:rPr>
        <w:t>équité salariale</w:t>
      </w:r>
      <w:r w:rsidRPr="004F117F">
        <w:rPr>
          <w:i/>
          <w:szCs w:val="24"/>
          <w:lang w:val="fr-CA"/>
        </w:rPr>
        <w:t xml:space="preserve"> </w:t>
      </w:r>
      <w:r w:rsidRPr="004F117F">
        <w:rPr>
          <w:szCs w:val="24"/>
          <w:lang w:val="fr-CA"/>
        </w:rPr>
        <w:t xml:space="preserve">a </w:t>
      </w:r>
      <w:r w:rsidRPr="004F117F">
        <w:rPr>
          <w:lang w:val="fr-CA"/>
        </w:rPr>
        <w:t xml:space="preserve">remplacé </w:t>
      </w:r>
      <w:r w:rsidRPr="004F117F">
        <w:rPr>
          <w:lang w:val="fr-CA"/>
        </w:rPr>
        <w:lastRenderedPageBreak/>
        <w:t>l</w:t>
      </w:r>
      <w:r w:rsidR="000C1609" w:rsidRPr="004F117F">
        <w:rPr>
          <w:lang w:val="fr-CA"/>
        </w:rPr>
        <w:t>’</w:t>
      </w:r>
      <w:r w:rsidRPr="004F117F">
        <w:rPr>
          <w:lang w:val="fr-CA"/>
        </w:rPr>
        <w:t>obligation continue de maintenir l</w:t>
      </w:r>
      <w:r w:rsidR="000C1609" w:rsidRPr="004F117F">
        <w:rPr>
          <w:lang w:val="fr-CA"/>
        </w:rPr>
        <w:t>’</w:t>
      </w:r>
      <w:r w:rsidRPr="004F117F">
        <w:rPr>
          <w:lang w:val="fr-CA"/>
        </w:rPr>
        <w:t>équité salariale par un système d</w:t>
      </w:r>
      <w:r w:rsidR="000C1609" w:rsidRPr="004F117F">
        <w:rPr>
          <w:lang w:val="fr-CA"/>
        </w:rPr>
        <w:t>’</w:t>
      </w:r>
      <w:r w:rsidRPr="004F117F">
        <w:rPr>
          <w:lang w:val="fr-CA"/>
        </w:rPr>
        <w:t>évaluations obligatoires tous les cinq ans, système où l</w:t>
      </w:r>
      <w:r w:rsidR="000C1609" w:rsidRPr="004F117F">
        <w:rPr>
          <w:lang w:val="fr-CA"/>
        </w:rPr>
        <w:t>’</w:t>
      </w:r>
      <w:r w:rsidRPr="004F117F">
        <w:rPr>
          <w:lang w:val="fr-CA"/>
        </w:rPr>
        <w:t>employeur est tenu de rectifier les salaires pour l</w:t>
      </w:r>
      <w:r w:rsidR="000C1609" w:rsidRPr="004F117F">
        <w:rPr>
          <w:lang w:val="fr-CA"/>
        </w:rPr>
        <w:t>’</w:t>
      </w:r>
      <w:r w:rsidRPr="004F117F">
        <w:rPr>
          <w:lang w:val="fr-CA"/>
        </w:rPr>
        <w:t>avenir seulement</w:t>
      </w:r>
      <w:r w:rsidRPr="004F117F">
        <w:rPr>
          <w:szCs w:val="24"/>
          <w:lang w:val="fr-CA"/>
        </w:rPr>
        <w:t>. Suivant l</w:t>
      </w:r>
      <w:r w:rsidR="000C1609" w:rsidRPr="004F117F">
        <w:rPr>
          <w:szCs w:val="24"/>
          <w:lang w:val="fr-CA"/>
        </w:rPr>
        <w:t>’</w:t>
      </w:r>
      <w:r w:rsidR="00587D61" w:rsidRPr="004F117F">
        <w:rPr>
          <w:szCs w:val="24"/>
          <w:lang w:val="fr-CA"/>
        </w:rPr>
        <w:t>art. </w:t>
      </w:r>
      <w:r w:rsidRPr="004F117F">
        <w:rPr>
          <w:szCs w:val="24"/>
          <w:lang w:val="fr-CA"/>
        </w:rPr>
        <w:t xml:space="preserve">76.5 de la </w:t>
      </w:r>
      <w:r w:rsidRPr="004F117F">
        <w:rPr>
          <w:i/>
          <w:szCs w:val="24"/>
          <w:lang w:val="fr-CA"/>
        </w:rPr>
        <w:t>Loi sur l</w:t>
      </w:r>
      <w:r w:rsidR="000C1609" w:rsidRPr="004F117F">
        <w:rPr>
          <w:i/>
          <w:szCs w:val="24"/>
          <w:lang w:val="fr-CA"/>
        </w:rPr>
        <w:t>’</w:t>
      </w:r>
      <w:r w:rsidRPr="004F117F">
        <w:rPr>
          <w:i/>
          <w:szCs w:val="24"/>
          <w:lang w:val="fr-CA"/>
        </w:rPr>
        <w:t>équité salariale</w:t>
      </w:r>
      <w:r w:rsidRPr="004F117F">
        <w:rPr>
          <w:szCs w:val="24"/>
          <w:lang w:val="fr-CA"/>
        </w:rPr>
        <w:t xml:space="preserve">, </w:t>
      </w:r>
      <w:r w:rsidRPr="004F117F">
        <w:rPr>
          <w:lang w:val="fr-CA"/>
        </w:rPr>
        <w:t>les ajustements salariaux s</w:t>
      </w:r>
      <w:r w:rsidR="000C1609" w:rsidRPr="004F117F">
        <w:rPr>
          <w:lang w:val="fr-CA"/>
        </w:rPr>
        <w:t>’</w:t>
      </w:r>
      <w:r w:rsidRPr="004F117F">
        <w:rPr>
          <w:lang w:val="fr-CA"/>
        </w:rPr>
        <w:t>appliquent à compter de la date de l</w:t>
      </w:r>
      <w:r w:rsidR="000C1609" w:rsidRPr="004F117F">
        <w:rPr>
          <w:lang w:val="fr-CA"/>
        </w:rPr>
        <w:t>’</w:t>
      </w:r>
      <w:r w:rsidRPr="004F117F">
        <w:rPr>
          <w:lang w:val="fr-CA"/>
        </w:rPr>
        <w:t>affichage des résultats du processus d</w:t>
      </w:r>
      <w:r w:rsidR="000C1609" w:rsidRPr="004F117F">
        <w:rPr>
          <w:lang w:val="fr-CA"/>
        </w:rPr>
        <w:t>’</w:t>
      </w:r>
      <w:r w:rsidRPr="004F117F">
        <w:rPr>
          <w:lang w:val="fr-CA"/>
        </w:rPr>
        <w:t>évaluation</w:t>
      </w:r>
      <w:r w:rsidRPr="004F117F">
        <w:rPr>
          <w:szCs w:val="24"/>
          <w:lang w:val="fr-CA"/>
        </w:rPr>
        <w:t>. L</w:t>
      </w:r>
      <w:r w:rsidR="000C1609" w:rsidRPr="004F117F">
        <w:rPr>
          <w:szCs w:val="24"/>
          <w:lang w:val="fr-CA"/>
        </w:rPr>
        <w:t>’</w:t>
      </w:r>
      <w:r w:rsidRPr="004F117F">
        <w:rPr>
          <w:szCs w:val="24"/>
          <w:lang w:val="fr-CA"/>
        </w:rPr>
        <w:t>article 76.3 n</w:t>
      </w:r>
      <w:r w:rsidR="000C1609" w:rsidRPr="004F117F">
        <w:rPr>
          <w:szCs w:val="24"/>
          <w:lang w:val="fr-CA"/>
        </w:rPr>
        <w:t>’</w:t>
      </w:r>
      <w:r w:rsidRPr="004F117F">
        <w:rPr>
          <w:szCs w:val="24"/>
          <w:lang w:val="fr-CA"/>
        </w:rPr>
        <w:t xml:space="preserve">exige pas que </w:t>
      </w:r>
      <w:r w:rsidRPr="004F117F">
        <w:rPr>
          <w:lang w:val="fr-CA"/>
        </w:rPr>
        <w:t>l</w:t>
      </w:r>
      <w:r w:rsidR="000C1609" w:rsidRPr="004F117F">
        <w:rPr>
          <w:lang w:val="fr-CA"/>
        </w:rPr>
        <w:t>’</w:t>
      </w:r>
      <w:r w:rsidRPr="004F117F">
        <w:rPr>
          <w:lang w:val="fr-CA"/>
        </w:rPr>
        <w:t>évaluation affichée indique la date à laquelle l</w:t>
      </w:r>
      <w:r w:rsidR="000C1609" w:rsidRPr="004F117F">
        <w:rPr>
          <w:lang w:val="fr-CA"/>
        </w:rPr>
        <w:t>’</w:t>
      </w:r>
      <w:r w:rsidRPr="004F117F">
        <w:rPr>
          <w:lang w:val="fr-CA"/>
        </w:rPr>
        <w:t>iniquité salariale est apparue</w:t>
      </w:r>
      <w:r w:rsidRPr="004F117F">
        <w:rPr>
          <w:szCs w:val="24"/>
          <w:lang w:val="fr-CA"/>
        </w:rPr>
        <w:t>. En vertu de l</w:t>
      </w:r>
      <w:r w:rsidR="000C1609" w:rsidRPr="004F117F">
        <w:rPr>
          <w:szCs w:val="24"/>
          <w:lang w:val="fr-CA"/>
        </w:rPr>
        <w:t>’</w:t>
      </w:r>
      <w:r w:rsidR="00587D61" w:rsidRPr="004F117F">
        <w:rPr>
          <w:szCs w:val="24"/>
          <w:lang w:val="fr-CA"/>
        </w:rPr>
        <w:t>art. </w:t>
      </w:r>
      <w:r w:rsidRPr="004F117F">
        <w:rPr>
          <w:szCs w:val="24"/>
          <w:lang w:val="fr-CA"/>
        </w:rPr>
        <w:t xml:space="preserve">103.1 </w:t>
      </w:r>
      <w:r w:rsidR="00587D61" w:rsidRPr="004F117F">
        <w:rPr>
          <w:szCs w:val="24"/>
          <w:lang w:val="fr-CA"/>
        </w:rPr>
        <w:t>al. </w:t>
      </w:r>
      <w:r w:rsidRPr="004F117F">
        <w:rPr>
          <w:szCs w:val="24"/>
          <w:lang w:val="fr-CA"/>
        </w:rPr>
        <w:t>2, l</w:t>
      </w:r>
      <w:r w:rsidRPr="004F117F">
        <w:rPr>
          <w:lang w:val="fr-CA"/>
        </w:rPr>
        <w:t>a Commission de l</w:t>
      </w:r>
      <w:r w:rsidR="000C1609" w:rsidRPr="004F117F">
        <w:rPr>
          <w:lang w:val="fr-CA"/>
        </w:rPr>
        <w:t>’</w:t>
      </w:r>
      <w:r w:rsidRPr="004F117F">
        <w:rPr>
          <w:lang w:val="fr-CA"/>
        </w:rPr>
        <w:t>équité salariale ne peut déterminer des ajustements salariaux antérieurs à la date de l</w:t>
      </w:r>
      <w:r w:rsidR="000C1609" w:rsidRPr="004F117F">
        <w:rPr>
          <w:lang w:val="fr-CA"/>
        </w:rPr>
        <w:t>’</w:t>
      </w:r>
      <w:r w:rsidRPr="004F117F">
        <w:rPr>
          <w:lang w:val="fr-CA"/>
        </w:rPr>
        <w:t>affichage de l</w:t>
      </w:r>
      <w:r w:rsidR="000C1609" w:rsidRPr="004F117F">
        <w:rPr>
          <w:lang w:val="fr-CA"/>
        </w:rPr>
        <w:t>’</w:t>
      </w:r>
      <w:r w:rsidRPr="004F117F">
        <w:rPr>
          <w:lang w:val="fr-CA"/>
        </w:rPr>
        <w:t>évaluation</w:t>
      </w:r>
      <w:r w:rsidRPr="004F117F">
        <w:rPr>
          <w:szCs w:val="24"/>
          <w:lang w:val="fr-CA"/>
        </w:rPr>
        <w:t>.</w:t>
      </w:r>
      <w:r w:rsidRPr="004F117F">
        <w:rPr>
          <w:lang w:val="fr-CA"/>
        </w:rPr>
        <w:t xml:space="preserve"> S</w:t>
      </w:r>
      <w:r w:rsidR="00071126" w:rsidRPr="004F117F">
        <w:rPr>
          <w:lang w:val="fr-CA"/>
        </w:rPr>
        <w:t>i, toutefois, un employeur agit « </w:t>
      </w:r>
      <w:r w:rsidRPr="004F117F">
        <w:rPr>
          <w:lang w:val="fr-CA"/>
        </w:rPr>
        <w:t>de mauvaise foi ou de façon arbitraire ou discriminatoire</w:t>
      </w:r>
      <w:r w:rsidR="00071126" w:rsidRPr="004F117F">
        <w:rPr>
          <w:lang w:val="fr-CA"/>
        </w:rPr>
        <w:t> »</w:t>
      </w:r>
      <w:r w:rsidRPr="004F117F">
        <w:rPr>
          <w:lang w:val="fr-CA"/>
        </w:rPr>
        <w:t>, les ajustements salariaux et l</w:t>
      </w:r>
      <w:r w:rsidR="000C1609" w:rsidRPr="004F117F">
        <w:rPr>
          <w:lang w:val="fr-CA"/>
        </w:rPr>
        <w:t>’</w:t>
      </w:r>
      <w:r w:rsidRPr="004F117F">
        <w:rPr>
          <w:lang w:val="fr-CA"/>
        </w:rPr>
        <w:t>intérêt s</w:t>
      </w:r>
      <w:r w:rsidR="000C1609" w:rsidRPr="004F117F">
        <w:rPr>
          <w:lang w:val="fr-CA"/>
        </w:rPr>
        <w:t>’</w:t>
      </w:r>
      <w:r w:rsidRPr="004F117F">
        <w:rPr>
          <w:lang w:val="fr-CA"/>
        </w:rPr>
        <w:t>appliquent à compter de la date de cette conduite suivant l</w:t>
      </w:r>
      <w:r w:rsidR="000C1609" w:rsidRPr="004F117F">
        <w:rPr>
          <w:lang w:val="fr-CA"/>
        </w:rPr>
        <w:t>’</w:t>
      </w:r>
      <w:r w:rsidR="00587D61" w:rsidRPr="004F117F">
        <w:rPr>
          <w:lang w:val="fr-CA"/>
        </w:rPr>
        <w:t>art. </w:t>
      </w:r>
      <w:r w:rsidRPr="004F117F">
        <w:rPr>
          <w:lang w:val="fr-CA"/>
        </w:rPr>
        <w:t>76.9, et la Commission de l</w:t>
      </w:r>
      <w:r w:rsidR="000C1609" w:rsidRPr="004F117F">
        <w:rPr>
          <w:lang w:val="fr-CA"/>
        </w:rPr>
        <w:t>’</w:t>
      </w:r>
      <w:r w:rsidRPr="004F117F">
        <w:rPr>
          <w:lang w:val="fr-CA"/>
        </w:rPr>
        <w:t>équité salariale peut tirer une conclusion en ce sens suivant l</w:t>
      </w:r>
      <w:r w:rsidR="000C1609" w:rsidRPr="004F117F">
        <w:rPr>
          <w:lang w:val="fr-CA"/>
        </w:rPr>
        <w:t>’</w:t>
      </w:r>
      <w:r w:rsidR="00587D61" w:rsidRPr="004F117F">
        <w:rPr>
          <w:lang w:val="fr-CA"/>
        </w:rPr>
        <w:t>art. </w:t>
      </w:r>
      <w:r w:rsidRPr="004F117F">
        <w:rPr>
          <w:lang w:val="fr-CA"/>
        </w:rPr>
        <w:t xml:space="preserve">101 </w:t>
      </w:r>
      <w:r w:rsidR="00587D61" w:rsidRPr="004F117F">
        <w:rPr>
          <w:lang w:val="fr-CA"/>
        </w:rPr>
        <w:t>al. </w:t>
      </w:r>
      <w:r w:rsidRPr="004F117F">
        <w:rPr>
          <w:lang w:val="fr-CA"/>
        </w:rPr>
        <w:t>3. Les intimés ont intenté une action en vue d</w:t>
      </w:r>
      <w:r w:rsidR="000C1609" w:rsidRPr="004F117F">
        <w:rPr>
          <w:lang w:val="fr-CA"/>
        </w:rPr>
        <w:t>’</w:t>
      </w:r>
      <w:r w:rsidRPr="004F117F">
        <w:rPr>
          <w:lang w:val="fr-CA"/>
        </w:rPr>
        <w:t>obtenir un jugement déclaratoire portant que ces modifications violaient les droits à l</w:t>
      </w:r>
      <w:r w:rsidR="000C1609" w:rsidRPr="004F117F">
        <w:rPr>
          <w:lang w:val="fr-CA"/>
        </w:rPr>
        <w:t>’</w:t>
      </w:r>
      <w:r w:rsidRPr="004F117F">
        <w:rPr>
          <w:lang w:val="fr-CA"/>
        </w:rPr>
        <w:t>égalité garantis à l</w:t>
      </w:r>
      <w:r w:rsidR="000C1609" w:rsidRPr="004F117F">
        <w:rPr>
          <w:lang w:val="fr-CA"/>
        </w:rPr>
        <w:t>’</w:t>
      </w:r>
      <w:r w:rsidR="00587D61" w:rsidRPr="004F117F">
        <w:rPr>
          <w:lang w:val="fr-CA"/>
        </w:rPr>
        <w:t>art. </w:t>
      </w:r>
      <w:r w:rsidRPr="004F117F">
        <w:rPr>
          <w:lang w:val="fr-CA"/>
        </w:rPr>
        <w:t xml:space="preserve">15 de la </w:t>
      </w:r>
      <w:r w:rsidRPr="004F117F">
        <w:rPr>
          <w:i/>
          <w:lang w:val="fr-CA"/>
        </w:rPr>
        <w:t>Charte canadienne des droits et libertés</w:t>
      </w:r>
      <w:r w:rsidRPr="004F117F">
        <w:rPr>
          <w:lang w:val="fr-CA"/>
        </w:rPr>
        <w:t>.</w:t>
      </w:r>
    </w:p>
    <w:p w:rsidR="00CC0E55" w:rsidRPr="004F117F" w:rsidRDefault="00CC0E55" w:rsidP="00637E44">
      <w:pPr>
        <w:pStyle w:val="SCCNormalDoubleSpacing"/>
        <w:widowControl w:val="0"/>
        <w:spacing w:after="480"/>
        <w:rPr>
          <w:lang w:val="fr-CA"/>
        </w:rPr>
      </w:pPr>
      <w:r w:rsidRPr="004F117F">
        <w:rPr>
          <w:szCs w:val="24"/>
          <w:lang w:val="fr-CA"/>
        </w:rPr>
        <w:tab/>
        <w:t xml:space="preserve">Le juge de première instance a estimé que les </w:t>
      </w:r>
      <w:r w:rsidR="00587D61" w:rsidRPr="004F117F">
        <w:rPr>
          <w:szCs w:val="24"/>
          <w:lang w:val="fr-CA"/>
        </w:rPr>
        <w:t>art. </w:t>
      </w:r>
      <w:r w:rsidRPr="004F117F">
        <w:rPr>
          <w:lang w:val="fr-CA"/>
        </w:rPr>
        <w:t xml:space="preserve">76.3 et 76.5 portaient atteinte </w:t>
      </w:r>
      <w:r w:rsidR="00071126" w:rsidRPr="004F117F">
        <w:rPr>
          <w:lang w:val="fr-CA"/>
        </w:rPr>
        <w:t>à l’art. </w:t>
      </w:r>
      <w:r w:rsidRPr="004F117F">
        <w:rPr>
          <w:lang w:val="fr-CA"/>
        </w:rPr>
        <w:t>15. La déclaration d</w:t>
      </w:r>
      <w:r w:rsidR="000C1609" w:rsidRPr="004F117F">
        <w:rPr>
          <w:lang w:val="fr-CA"/>
        </w:rPr>
        <w:t>’</w:t>
      </w:r>
      <w:r w:rsidRPr="004F117F">
        <w:rPr>
          <w:lang w:val="fr-CA"/>
        </w:rPr>
        <w:t>invalidité a été suspendue pour une période d</w:t>
      </w:r>
      <w:r w:rsidR="000C1609" w:rsidRPr="004F117F">
        <w:rPr>
          <w:lang w:val="fr-CA"/>
        </w:rPr>
        <w:t>’</w:t>
      </w:r>
      <w:r w:rsidRPr="004F117F">
        <w:rPr>
          <w:lang w:val="fr-CA"/>
        </w:rPr>
        <w:t>un an. La Cour d</w:t>
      </w:r>
      <w:r w:rsidR="000C1609" w:rsidRPr="004F117F">
        <w:rPr>
          <w:lang w:val="fr-CA"/>
        </w:rPr>
        <w:t>’</w:t>
      </w:r>
      <w:r w:rsidRPr="004F117F">
        <w:rPr>
          <w:lang w:val="fr-CA"/>
        </w:rPr>
        <w:t xml:space="preserve">appel a confirmé la conclusion du juge de première instance selon laquelle les </w:t>
      </w:r>
      <w:r w:rsidR="00587D61" w:rsidRPr="004F117F">
        <w:rPr>
          <w:lang w:val="fr-CA"/>
        </w:rPr>
        <w:t>art. </w:t>
      </w:r>
      <w:r w:rsidRPr="004F117F">
        <w:rPr>
          <w:lang w:val="fr-CA"/>
        </w:rPr>
        <w:t xml:space="preserve">76.3 et 76.5 violaient </w:t>
      </w:r>
      <w:r w:rsidR="00071126" w:rsidRPr="004F117F">
        <w:rPr>
          <w:lang w:val="fr-CA"/>
        </w:rPr>
        <w:t xml:space="preserve">l’art. 15 </w:t>
      </w:r>
      <w:r w:rsidRPr="004F117F">
        <w:rPr>
          <w:lang w:val="fr-CA"/>
        </w:rPr>
        <w:t xml:space="preserve">de la </w:t>
      </w:r>
      <w:r w:rsidRPr="004F117F">
        <w:rPr>
          <w:i/>
          <w:lang w:val="fr-CA"/>
        </w:rPr>
        <w:t>Charte</w:t>
      </w:r>
      <w:r w:rsidRPr="004F117F">
        <w:rPr>
          <w:lang w:val="fr-CA"/>
        </w:rPr>
        <w:t>. Elle a en outre conclu que l</w:t>
      </w:r>
      <w:r w:rsidR="000C1609" w:rsidRPr="004F117F">
        <w:rPr>
          <w:lang w:val="fr-CA"/>
        </w:rPr>
        <w:t>’</w:t>
      </w:r>
      <w:r w:rsidR="00587D61" w:rsidRPr="004F117F">
        <w:rPr>
          <w:lang w:val="fr-CA"/>
        </w:rPr>
        <w:t>art. </w:t>
      </w:r>
      <w:r w:rsidRPr="004F117F">
        <w:rPr>
          <w:szCs w:val="24"/>
          <w:lang w:val="fr-CA"/>
        </w:rPr>
        <w:t xml:space="preserve">103.1 </w:t>
      </w:r>
      <w:r w:rsidR="00587D61" w:rsidRPr="004F117F">
        <w:rPr>
          <w:szCs w:val="24"/>
          <w:lang w:val="fr-CA"/>
        </w:rPr>
        <w:t>al. </w:t>
      </w:r>
      <w:r w:rsidRPr="004F117F">
        <w:rPr>
          <w:szCs w:val="24"/>
          <w:lang w:val="fr-CA"/>
        </w:rPr>
        <w:t>2</w:t>
      </w:r>
      <w:r w:rsidRPr="004F117F">
        <w:rPr>
          <w:lang w:val="fr-CA"/>
        </w:rPr>
        <w:t xml:space="preserve"> violait </w:t>
      </w:r>
      <w:r w:rsidR="00071126" w:rsidRPr="004F117F">
        <w:rPr>
          <w:lang w:val="fr-CA"/>
        </w:rPr>
        <w:t>l’art. 15</w:t>
      </w:r>
      <w:r w:rsidRPr="004F117F">
        <w:rPr>
          <w:lang w:val="fr-CA"/>
        </w:rPr>
        <w:t>. Pour ce qui est de l</w:t>
      </w:r>
      <w:r w:rsidR="000C1609" w:rsidRPr="004F117F">
        <w:rPr>
          <w:lang w:val="fr-CA"/>
        </w:rPr>
        <w:t>’</w:t>
      </w:r>
      <w:r w:rsidRPr="004F117F">
        <w:rPr>
          <w:lang w:val="fr-CA"/>
        </w:rPr>
        <w:t>appel incident, tant le juge de première instance que la Cour d</w:t>
      </w:r>
      <w:r w:rsidR="000C1609" w:rsidRPr="004F117F">
        <w:rPr>
          <w:lang w:val="fr-CA"/>
        </w:rPr>
        <w:t>’</w:t>
      </w:r>
      <w:r w:rsidRPr="004F117F">
        <w:rPr>
          <w:lang w:val="fr-CA"/>
        </w:rPr>
        <w:t>appel ont conclu que les syndicats ne s</w:t>
      </w:r>
      <w:r w:rsidR="000C1609" w:rsidRPr="004F117F">
        <w:rPr>
          <w:lang w:val="fr-CA"/>
        </w:rPr>
        <w:t>’</w:t>
      </w:r>
      <w:r w:rsidRPr="004F117F">
        <w:rPr>
          <w:lang w:val="fr-CA"/>
        </w:rPr>
        <w:t>étaient pas acquittés de leur fardeau de prouver l</w:t>
      </w:r>
      <w:r w:rsidR="000C1609" w:rsidRPr="004F117F">
        <w:rPr>
          <w:lang w:val="fr-CA"/>
        </w:rPr>
        <w:t>’</w:t>
      </w:r>
      <w:r w:rsidRPr="004F117F">
        <w:rPr>
          <w:lang w:val="fr-CA"/>
        </w:rPr>
        <w:t>inconstitutionnalité des dispositions de la</w:t>
      </w:r>
      <w:r w:rsidRPr="004F117F">
        <w:rPr>
          <w:i/>
          <w:lang w:val="fr-CA"/>
        </w:rPr>
        <w:t xml:space="preserve"> Loi modifiant la Loi sur l</w:t>
      </w:r>
      <w:r w:rsidR="000C1609" w:rsidRPr="004F117F">
        <w:rPr>
          <w:i/>
          <w:lang w:val="fr-CA"/>
        </w:rPr>
        <w:t>’</w:t>
      </w:r>
      <w:r w:rsidRPr="004F117F">
        <w:rPr>
          <w:i/>
          <w:lang w:val="fr-CA"/>
        </w:rPr>
        <w:t xml:space="preserve">équité salariale </w:t>
      </w:r>
      <w:r w:rsidRPr="004F117F">
        <w:rPr>
          <w:lang w:val="fr-CA"/>
        </w:rPr>
        <w:t xml:space="preserve">de 2009 qui ont abrogé les </w:t>
      </w:r>
      <w:r w:rsidR="00587D61" w:rsidRPr="004F117F">
        <w:rPr>
          <w:lang w:val="fr-CA"/>
        </w:rPr>
        <w:t>art. </w:t>
      </w:r>
      <w:r w:rsidRPr="004F117F">
        <w:rPr>
          <w:lang w:val="fr-CA"/>
        </w:rPr>
        <w:t xml:space="preserve">40 à 43 de la </w:t>
      </w:r>
      <w:r w:rsidRPr="004F117F">
        <w:rPr>
          <w:i/>
          <w:lang w:val="fr-CA"/>
        </w:rPr>
        <w:t>Loi</w:t>
      </w:r>
      <w:r w:rsidRPr="004F117F">
        <w:rPr>
          <w:lang w:val="fr-CA"/>
        </w:rPr>
        <w:t xml:space="preserve"> </w:t>
      </w:r>
      <w:r w:rsidRPr="004F117F">
        <w:rPr>
          <w:i/>
          <w:lang w:val="fr-CA"/>
        </w:rPr>
        <w:lastRenderedPageBreak/>
        <w:t>sur l</w:t>
      </w:r>
      <w:r w:rsidR="000C1609" w:rsidRPr="004F117F">
        <w:rPr>
          <w:i/>
          <w:lang w:val="fr-CA"/>
        </w:rPr>
        <w:t>’</w:t>
      </w:r>
      <w:r w:rsidRPr="004F117F">
        <w:rPr>
          <w:i/>
          <w:lang w:val="fr-CA"/>
        </w:rPr>
        <w:t>équité salariale</w:t>
      </w:r>
      <w:r w:rsidRPr="004F117F">
        <w:rPr>
          <w:lang w:val="fr-CA"/>
        </w:rPr>
        <w:t>.</w:t>
      </w:r>
    </w:p>
    <w:p w:rsidR="00CC0E55" w:rsidRPr="004F117F" w:rsidRDefault="00CC0E55" w:rsidP="00637E44">
      <w:pPr>
        <w:pStyle w:val="SCCNormalDoubleSpacing"/>
        <w:widowControl w:val="0"/>
        <w:spacing w:after="480"/>
        <w:rPr>
          <w:lang w:val="fr-CA"/>
        </w:rPr>
      </w:pPr>
      <w:r w:rsidRPr="004F117F">
        <w:rPr>
          <w:lang w:val="fr-CA"/>
        </w:rPr>
        <w:tab/>
      </w:r>
      <w:r w:rsidRPr="004F117F">
        <w:rPr>
          <w:rStyle w:val="QuoteChar"/>
          <w:color w:val="auto"/>
          <w:lang w:val="fr-CA"/>
        </w:rPr>
        <w:t>Arrêt</w:t>
      </w:r>
      <w:r w:rsidRPr="004F117F">
        <w:rPr>
          <w:lang w:val="fr-CA"/>
        </w:rPr>
        <w:t xml:space="preserve"> (les juges Côté, Brown et Rowe sont dissidents </w:t>
      </w:r>
      <w:r w:rsidR="00CF6AB7" w:rsidRPr="004F117F">
        <w:rPr>
          <w:lang w:val="fr-CA"/>
        </w:rPr>
        <w:t>quant au pourvoi principal</w:t>
      </w:r>
      <w:r w:rsidRPr="004F117F">
        <w:rPr>
          <w:lang w:val="fr-CA"/>
        </w:rPr>
        <w:t>)</w:t>
      </w:r>
      <w:r w:rsidR="00587D61" w:rsidRPr="004F117F">
        <w:rPr>
          <w:lang w:val="fr-CA"/>
        </w:rPr>
        <w:t> :</w:t>
      </w:r>
      <w:r w:rsidRPr="004F117F">
        <w:rPr>
          <w:i/>
          <w:lang w:val="fr-CA"/>
        </w:rPr>
        <w:t xml:space="preserve"> </w:t>
      </w:r>
      <w:r w:rsidRPr="004F117F">
        <w:rPr>
          <w:lang w:val="fr-CA"/>
        </w:rPr>
        <w:t xml:space="preserve">Le pourvoi et le pourvoi incident sont rejetés. </w:t>
      </w:r>
      <w:r w:rsidRPr="004F117F">
        <w:rPr>
          <w:szCs w:val="24"/>
          <w:lang w:val="fr-CA"/>
        </w:rPr>
        <w:t xml:space="preserve">Les articles 76.3, 76.5 et 103.1 </w:t>
      </w:r>
      <w:r w:rsidR="00587D61" w:rsidRPr="004F117F">
        <w:rPr>
          <w:szCs w:val="24"/>
          <w:lang w:val="fr-CA"/>
        </w:rPr>
        <w:t>al. </w:t>
      </w:r>
      <w:r w:rsidRPr="004F117F">
        <w:rPr>
          <w:szCs w:val="24"/>
          <w:lang w:val="fr-CA"/>
        </w:rPr>
        <w:t>2</w:t>
      </w:r>
      <w:r w:rsidRPr="004F117F">
        <w:rPr>
          <w:i/>
          <w:iCs/>
          <w:szCs w:val="24"/>
          <w:lang w:val="fr-CA"/>
        </w:rPr>
        <w:t xml:space="preserve"> </w:t>
      </w:r>
      <w:r w:rsidRPr="004F117F">
        <w:rPr>
          <w:szCs w:val="24"/>
          <w:lang w:val="fr-CA"/>
        </w:rPr>
        <w:t xml:space="preserve">de la </w:t>
      </w:r>
      <w:r w:rsidRPr="004F117F">
        <w:rPr>
          <w:i/>
          <w:iCs/>
          <w:szCs w:val="24"/>
          <w:lang w:val="fr-CA"/>
        </w:rPr>
        <w:t>Loi sur l</w:t>
      </w:r>
      <w:r w:rsidR="000C1609" w:rsidRPr="004F117F">
        <w:rPr>
          <w:i/>
          <w:iCs/>
          <w:szCs w:val="24"/>
          <w:lang w:val="fr-CA"/>
        </w:rPr>
        <w:t>’</w:t>
      </w:r>
      <w:r w:rsidRPr="004F117F">
        <w:rPr>
          <w:i/>
          <w:iCs/>
          <w:szCs w:val="24"/>
          <w:lang w:val="fr-CA"/>
        </w:rPr>
        <w:t xml:space="preserve">équité salariale </w:t>
      </w:r>
      <w:r w:rsidRPr="004F117F">
        <w:rPr>
          <w:szCs w:val="24"/>
          <w:lang w:val="fr-CA"/>
        </w:rPr>
        <w:t>sont inconstitutionnels.</w:t>
      </w:r>
    </w:p>
    <w:p w:rsidR="00CC0E55" w:rsidRPr="004F117F" w:rsidRDefault="00CC0E55" w:rsidP="00637E44">
      <w:pPr>
        <w:pStyle w:val="SCCNormalDoubleSpacing"/>
        <w:widowControl w:val="0"/>
        <w:spacing w:after="480"/>
        <w:rPr>
          <w:lang w:val="fr-CA"/>
        </w:rPr>
      </w:pPr>
      <w:r w:rsidRPr="004F117F">
        <w:rPr>
          <w:lang w:val="fr-CA"/>
        </w:rPr>
        <w:tab/>
      </w:r>
      <w:r w:rsidRPr="004F117F">
        <w:rPr>
          <w:i/>
          <w:iCs/>
          <w:lang w:val="fr-CA"/>
        </w:rPr>
        <w:t>L</w:t>
      </w:r>
      <w:r w:rsidR="00E01324" w:rsidRPr="004F117F">
        <w:rPr>
          <w:i/>
          <w:iCs/>
          <w:lang w:val="fr-CA"/>
        </w:rPr>
        <w:t xml:space="preserve">a </w:t>
      </w:r>
      <w:r w:rsidR="00E01324" w:rsidRPr="004F117F">
        <w:rPr>
          <w:iCs/>
          <w:lang w:val="fr-CA"/>
        </w:rPr>
        <w:t>juge en chef McLachlin et l</w:t>
      </w:r>
      <w:r w:rsidRPr="004F117F">
        <w:rPr>
          <w:iCs/>
          <w:lang w:val="fr-CA"/>
        </w:rPr>
        <w:t>es</w:t>
      </w:r>
      <w:r w:rsidRPr="004F117F">
        <w:rPr>
          <w:lang w:val="fr-CA"/>
        </w:rPr>
        <w:t xml:space="preserve"> juges </w:t>
      </w:r>
      <w:r w:rsidRPr="006C2649">
        <w:rPr>
          <w:lang w:val="fr-CA"/>
        </w:rPr>
        <w:t>Abella</w:t>
      </w:r>
      <w:r w:rsidRPr="004F117F">
        <w:rPr>
          <w:lang w:val="fr-CA"/>
        </w:rPr>
        <w:t>, Moldaver, Karakatsanis, Wagner et Gascon</w:t>
      </w:r>
      <w:r w:rsidR="00587D61" w:rsidRPr="004F117F">
        <w:rPr>
          <w:lang w:val="fr-CA"/>
        </w:rPr>
        <w:t> :</w:t>
      </w:r>
      <w:r w:rsidRPr="004F117F">
        <w:rPr>
          <w:lang w:val="fr-CA"/>
        </w:rPr>
        <w:t xml:space="preserve"> Les articles 76.3, 76.5 et 103.1 </w:t>
      </w:r>
      <w:r w:rsidR="00587D61" w:rsidRPr="004F117F">
        <w:rPr>
          <w:lang w:val="fr-CA"/>
        </w:rPr>
        <w:t>al. </w:t>
      </w:r>
      <w:r w:rsidRPr="004F117F">
        <w:rPr>
          <w:lang w:val="fr-CA"/>
        </w:rPr>
        <w:t xml:space="preserve">2 de la </w:t>
      </w:r>
      <w:r w:rsidRPr="004F117F">
        <w:rPr>
          <w:i/>
          <w:szCs w:val="24"/>
          <w:lang w:val="fr-CA"/>
        </w:rPr>
        <w:t>Loi sur l</w:t>
      </w:r>
      <w:r w:rsidR="000C1609" w:rsidRPr="004F117F">
        <w:rPr>
          <w:i/>
          <w:szCs w:val="24"/>
          <w:lang w:val="fr-CA"/>
        </w:rPr>
        <w:t>’</w:t>
      </w:r>
      <w:r w:rsidRPr="004F117F">
        <w:rPr>
          <w:i/>
          <w:szCs w:val="24"/>
          <w:lang w:val="fr-CA"/>
        </w:rPr>
        <w:t>équité salariale</w:t>
      </w:r>
      <w:r w:rsidRPr="004F117F">
        <w:rPr>
          <w:szCs w:val="24"/>
          <w:lang w:val="fr-CA"/>
        </w:rPr>
        <w:t xml:space="preserve"> portent atteinte au </w:t>
      </w:r>
      <w:r w:rsidR="00587D61" w:rsidRPr="004F117F">
        <w:rPr>
          <w:szCs w:val="24"/>
          <w:lang w:val="fr-CA"/>
        </w:rPr>
        <w:t>par. </w:t>
      </w:r>
      <w:r w:rsidRPr="004F117F">
        <w:rPr>
          <w:szCs w:val="24"/>
          <w:lang w:val="fr-CA"/>
        </w:rPr>
        <w:t xml:space="preserve">15(1) de la </w:t>
      </w:r>
      <w:r w:rsidRPr="004F117F">
        <w:rPr>
          <w:i/>
          <w:szCs w:val="24"/>
          <w:lang w:val="fr-CA"/>
        </w:rPr>
        <w:t>Charte</w:t>
      </w:r>
      <w:r w:rsidRPr="004F117F">
        <w:rPr>
          <w:szCs w:val="24"/>
          <w:lang w:val="fr-CA"/>
        </w:rPr>
        <w:t xml:space="preserve">. </w:t>
      </w:r>
      <w:r w:rsidRPr="004F117F">
        <w:rPr>
          <w:lang w:val="fr-CA"/>
        </w:rPr>
        <w:t xml:space="preserve">La </w:t>
      </w:r>
      <w:r w:rsidRPr="004F117F">
        <w:rPr>
          <w:i/>
          <w:lang w:val="fr-CA"/>
        </w:rPr>
        <w:t>Loi</w:t>
      </w:r>
      <w:r w:rsidRPr="004F117F">
        <w:rPr>
          <w:lang w:val="fr-CA"/>
        </w:rPr>
        <w:t xml:space="preserve"> a pour objet de faire en sorte que soit versé un « salaire égal pour un travail de valeur égale », une stratégie qui reconnaît que, comme le « travail des femmes » est moins bien considéré que le « travail des hommes », le salaire et le statut des femmes sont moindres que ceux des hommes, et il en résulte une discrimination salariale systémique.</w:t>
      </w:r>
      <w:r w:rsidRPr="004F117F">
        <w:rPr>
          <w:szCs w:val="24"/>
          <w:lang w:val="fr-CA"/>
        </w:rPr>
        <w:t xml:space="preserve"> </w:t>
      </w:r>
      <w:r w:rsidRPr="004F117F">
        <w:rPr>
          <w:lang w:val="fr-CA"/>
        </w:rPr>
        <w:t>En maintenant les iniquités salariales, on se sert des femmes « pour amortir les avatars de l</w:t>
      </w:r>
      <w:r w:rsidR="000C1609" w:rsidRPr="004F117F">
        <w:rPr>
          <w:lang w:val="fr-CA"/>
        </w:rPr>
        <w:t>’</w:t>
      </w:r>
      <w:r w:rsidRPr="004F117F">
        <w:rPr>
          <w:lang w:val="fr-CA"/>
        </w:rPr>
        <w:t>économie ». Les mesures législatives en matière d</w:t>
      </w:r>
      <w:r w:rsidR="000C1609" w:rsidRPr="004F117F">
        <w:rPr>
          <w:lang w:val="fr-CA"/>
        </w:rPr>
        <w:t>’</w:t>
      </w:r>
      <w:r w:rsidRPr="004F117F">
        <w:rPr>
          <w:lang w:val="fr-CA"/>
        </w:rPr>
        <w:t xml:space="preserve">équité salariale, telle la </w:t>
      </w:r>
      <w:r w:rsidRPr="004F117F">
        <w:rPr>
          <w:i/>
          <w:lang w:val="fr-CA"/>
        </w:rPr>
        <w:t>Loi</w:t>
      </w:r>
      <w:r w:rsidRPr="004F117F">
        <w:rPr>
          <w:lang w:val="fr-CA"/>
        </w:rPr>
        <w:t xml:space="preserve"> en l</w:t>
      </w:r>
      <w:r w:rsidR="000C1609" w:rsidRPr="004F117F">
        <w:rPr>
          <w:lang w:val="fr-CA"/>
        </w:rPr>
        <w:t>’</w:t>
      </w:r>
      <w:r w:rsidRPr="004F117F">
        <w:rPr>
          <w:lang w:val="fr-CA"/>
        </w:rPr>
        <w:t>espèce, visent donc les femmes lorsqu</w:t>
      </w:r>
      <w:r w:rsidR="000C1609" w:rsidRPr="004F117F">
        <w:rPr>
          <w:lang w:val="fr-CA"/>
        </w:rPr>
        <w:t>’</w:t>
      </w:r>
      <w:r w:rsidRPr="004F117F">
        <w:rPr>
          <w:lang w:val="fr-CA"/>
        </w:rPr>
        <w:t>il s</w:t>
      </w:r>
      <w:r w:rsidR="000C1609" w:rsidRPr="004F117F">
        <w:rPr>
          <w:lang w:val="fr-CA"/>
        </w:rPr>
        <w:t>’</w:t>
      </w:r>
      <w:r w:rsidRPr="004F117F">
        <w:rPr>
          <w:lang w:val="fr-CA"/>
        </w:rPr>
        <w:t>agit de corriger la discrimination salariale qu</w:t>
      </w:r>
      <w:r w:rsidR="000C1609" w:rsidRPr="004F117F">
        <w:rPr>
          <w:lang w:val="fr-CA"/>
        </w:rPr>
        <w:t>’</w:t>
      </w:r>
      <w:r w:rsidRPr="004F117F">
        <w:rPr>
          <w:lang w:val="fr-CA"/>
        </w:rPr>
        <w:t>elles ont subie. Les modifications en cause, qui changent la façon dont la loi permet de repérer et de corriger les écarts salariaux entre les hommes et les femmes, établissent donc des distinctions fondées sur le sexe.</w:t>
      </w:r>
    </w:p>
    <w:p w:rsidR="00CC0E55" w:rsidRPr="004F117F" w:rsidRDefault="00CC0E55" w:rsidP="00637E44">
      <w:pPr>
        <w:pStyle w:val="SCCNormalDoubleSpacing"/>
        <w:widowControl w:val="0"/>
        <w:spacing w:after="480"/>
        <w:rPr>
          <w:szCs w:val="24"/>
          <w:lang w:val="fr-CA"/>
        </w:rPr>
      </w:pPr>
      <w:r w:rsidRPr="004F117F">
        <w:rPr>
          <w:lang w:val="fr-CA"/>
        </w:rPr>
        <w:tab/>
        <w:t xml:space="preserve">Examinés individuellement, et indépendamment du régime législatif antérieur, les </w:t>
      </w:r>
      <w:r w:rsidR="00587D61" w:rsidRPr="004F117F">
        <w:rPr>
          <w:lang w:val="fr-CA"/>
        </w:rPr>
        <w:t>art. </w:t>
      </w:r>
      <w:r w:rsidRPr="004F117F">
        <w:rPr>
          <w:lang w:val="fr-CA"/>
        </w:rPr>
        <w:t xml:space="preserve">76.3, 76.5 et 103.1 </w:t>
      </w:r>
      <w:r w:rsidR="00587D61" w:rsidRPr="004F117F">
        <w:rPr>
          <w:lang w:val="fr-CA"/>
        </w:rPr>
        <w:t>al. </w:t>
      </w:r>
      <w:r w:rsidRPr="004F117F">
        <w:rPr>
          <w:lang w:val="fr-CA"/>
        </w:rPr>
        <w:t>2 ont un effet discriminatoire. Les iniquités salariales qui apparaissent au cours de la période de cinq ans comprise entre les évaluations restent non corrigées jusqu</w:t>
      </w:r>
      <w:r w:rsidR="000C1609" w:rsidRPr="004F117F">
        <w:rPr>
          <w:lang w:val="fr-CA"/>
        </w:rPr>
        <w:t>’</w:t>
      </w:r>
      <w:r w:rsidRPr="004F117F">
        <w:rPr>
          <w:lang w:val="fr-CA"/>
        </w:rPr>
        <w:t>à la prochaine évaluation. Même lorsqu</w:t>
      </w:r>
      <w:r w:rsidR="000C1609" w:rsidRPr="004F117F">
        <w:rPr>
          <w:lang w:val="fr-CA"/>
        </w:rPr>
        <w:t>’</w:t>
      </w:r>
      <w:r w:rsidRPr="004F117F">
        <w:rPr>
          <w:lang w:val="fr-CA"/>
        </w:rPr>
        <w:t xml:space="preserve">une </w:t>
      </w:r>
      <w:r w:rsidRPr="004F117F">
        <w:rPr>
          <w:lang w:val="fr-CA"/>
        </w:rPr>
        <w:lastRenderedPageBreak/>
        <w:t>évaluation révèle l</w:t>
      </w:r>
      <w:r w:rsidR="000C1609" w:rsidRPr="004F117F">
        <w:rPr>
          <w:lang w:val="fr-CA"/>
        </w:rPr>
        <w:t>’</w:t>
      </w:r>
      <w:r w:rsidRPr="004F117F">
        <w:rPr>
          <w:lang w:val="fr-CA"/>
        </w:rPr>
        <w:t>apparition d</w:t>
      </w:r>
      <w:r w:rsidR="000C1609" w:rsidRPr="004F117F">
        <w:rPr>
          <w:lang w:val="fr-CA"/>
        </w:rPr>
        <w:t>’</w:t>
      </w:r>
      <w:r w:rsidRPr="004F117F">
        <w:rPr>
          <w:lang w:val="fr-CA"/>
        </w:rPr>
        <w:t>une iniquité salariale au cours des cinq années précédentes, les ajustements salariaux sont payables pour l</w:t>
      </w:r>
      <w:r w:rsidR="000C1609" w:rsidRPr="004F117F">
        <w:rPr>
          <w:lang w:val="fr-CA"/>
        </w:rPr>
        <w:t>’</w:t>
      </w:r>
      <w:r w:rsidRPr="004F117F">
        <w:rPr>
          <w:lang w:val="fr-CA"/>
        </w:rPr>
        <w:t>avenir seulement. L</w:t>
      </w:r>
      <w:r w:rsidR="000C1609" w:rsidRPr="004F117F">
        <w:rPr>
          <w:lang w:val="fr-CA"/>
        </w:rPr>
        <w:t>’</w:t>
      </w:r>
      <w:r w:rsidRPr="004F117F">
        <w:rPr>
          <w:lang w:val="fr-CA"/>
        </w:rPr>
        <w:t>employeur se voit ainsi effectivement accorder une amnistie pour la discrimination entre les évaluations. Les employeurs doivent afficher les résultats de l</w:t>
      </w:r>
      <w:r w:rsidR="000C1609" w:rsidRPr="004F117F">
        <w:rPr>
          <w:lang w:val="fr-CA"/>
        </w:rPr>
        <w:t>’</w:t>
      </w:r>
      <w:r w:rsidRPr="004F117F">
        <w:rPr>
          <w:lang w:val="fr-CA"/>
        </w:rPr>
        <w:t>évaluation, mais pas la date à laquelle est apparue l</w:t>
      </w:r>
      <w:r w:rsidR="000C1609" w:rsidRPr="004F117F">
        <w:rPr>
          <w:lang w:val="fr-CA"/>
        </w:rPr>
        <w:t>’</w:t>
      </w:r>
      <w:r w:rsidRPr="004F117F">
        <w:rPr>
          <w:lang w:val="fr-CA"/>
        </w:rPr>
        <w:t>iniquité, ce qui occulte le moment où les ajustements salariaux auraient dû être faits. Les salariés sont donc privés des éléments de preuve permettant d</w:t>
      </w:r>
      <w:r w:rsidR="000C1609" w:rsidRPr="004F117F">
        <w:rPr>
          <w:lang w:val="fr-CA"/>
        </w:rPr>
        <w:t>’</w:t>
      </w:r>
      <w:r w:rsidRPr="004F117F">
        <w:rPr>
          <w:lang w:val="fr-CA"/>
        </w:rPr>
        <w:t>établir la mauvaise foi de l</w:t>
      </w:r>
      <w:r w:rsidR="000C1609" w:rsidRPr="004F117F">
        <w:rPr>
          <w:lang w:val="fr-CA"/>
        </w:rPr>
        <w:t>’</w:t>
      </w:r>
      <w:r w:rsidRPr="004F117F">
        <w:rPr>
          <w:lang w:val="fr-CA"/>
        </w:rPr>
        <w:t>employeur, ce qui constitue la seule façon d</w:t>
      </w:r>
      <w:r w:rsidR="000C1609" w:rsidRPr="004F117F">
        <w:rPr>
          <w:lang w:val="fr-CA"/>
        </w:rPr>
        <w:t>’</w:t>
      </w:r>
      <w:r w:rsidRPr="004F117F">
        <w:rPr>
          <w:lang w:val="fr-CA"/>
        </w:rPr>
        <w:t>obtenir le versement rétroactif d</w:t>
      </w:r>
      <w:r w:rsidR="000C1609" w:rsidRPr="004F117F">
        <w:rPr>
          <w:lang w:val="fr-CA"/>
        </w:rPr>
        <w:t>’</w:t>
      </w:r>
      <w:r w:rsidRPr="004F117F">
        <w:rPr>
          <w:lang w:val="fr-CA"/>
        </w:rPr>
        <w:t>ajustements salariaux. De plus, le versement rétroactif de tels ajustements n</w:t>
      </w:r>
      <w:r w:rsidR="000C1609" w:rsidRPr="004F117F">
        <w:rPr>
          <w:lang w:val="fr-CA"/>
        </w:rPr>
        <w:t>’</w:t>
      </w:r>
      <w:r w:rsidRPr="004F117F">
        <w:rPr>
          <w:lang w:val="fr-CA"/>
        </w:rPr>
        <w:t>est possible que pour sanctionner un comportement inapproprié et délibéré manifesté au cours des évaluations obligatoires, et non pas la discrimination qu</w:t>
      </w:r>
      <w:r w:rsidR="000C1609" w:rsidRPr="004F117F">
        <w:rPr>
          <w:lang w:val="fr-CA"/>
        </w:rPr>
        <w:t>’</w:t>
      </w:r>
      <w:r w:rsidRPr="004F117F">
        <w:rPr>
          <w:lang w:val="fr-CA"/>
        </w:rPr>
        <w:t>est par ailleurs susceptible de révéler le processus. Les iniquités subséquentes qui apparaissent avant l</w:t>
      </w:r>
      <w:r w:rsidR="000C1609" w:rsidRPr="004F117F">
        <w:rPr>
          <w:lang w:val="fr-CA"/>
        </w:rPr>
        <w:t>’</w:t>
      </w:r>
      <w:r w:rsidRPr="004F117F">
        <w:rPr>
          <w:lang w:val="fr-CA"/>
        </w:rPr>
        <w:t>évaluation suivante ne seront donc pas susceptibles de correction de nature réparatrice, sauf lorsque les demandeurs peuvent prouver qu</w:t>
      </w:r>
      <w:r w:rsidR="000C1609" w:rsidRPr="004F117F">
        <w:rPr>
          <w:lang w:val="fr-CA"/>
        </w:rPr>
        <w:t>’</w:t>
      </w:r>
      <w:r w:rsidRPr="004F117F">
        <w:rPr>
          <w:lang w:val="fr-CA"/>
        </w:rPr>
        <w:t>il y a eu discrimination intentionnelle, une conception de la discrimination que la Cour a rejetée depuis longtemps et qui va à l</w:t>
      </w:r>
      <w:r w:rsidR="000C1609" w:rsidRPr="004F117F">
        <w:rPr>
          <w:lang w:val="fr-CA"/>
        </w:rPr>
        <w:t>’</w:t>
      </w:r>
      <w:r w:rsidRPr="004F117F">
        <w:rPr>
          <w:lang w:val="fr-CA"/>
        </w:rPr>
        <w:t>encontre de l</w:t>
      </w:r>
      <w:r w:rsidR="000C1609" w:rsidRPr="004F117F">
        <w:rPr>
          <w:lang w:val="fr-CA"/>
        </w:rPr>
        <w:t>’</w:t>
      </w:r>
      <w:r w:rsidRPr="004F117F">
        <w:rPr>
          <w:lang w:val="fr-CA"/>
        </w:rPr>
        <w:t>objet des mesures législatives en matière d</w:t>
      </w:r>
      <w:r w:rsidR="000C1609" w:rsidRPr="004F117F">
        <w:rPr>
          <w:lang w:val="fr-CA"/>
        </w:rPr>
        <w:t>’</w:t>
      </w:r>
      <w:r w:rsidRPr="004F117F">
        <w:rPr>
          <w:lang w:val="fr-CA"/>
        </w:rPr>
        <w:t>équité salariale, à savoir remédier à la discrimination systémique.</w:t>
      </w:r>
      <w:r w:rsidRPr="004F117F">
        <w:rPr>
          <w:szCs w:val="24"/>
          <w:lang w:val="fr-CA"/>
        </w:rPr>
        <w:t xml:space="preserve"> </w:t>
      </w:r>
    </w:p>
    <w:p w:rsidR="00CC0E55" w:rsidRPr="004F117F" w:rsidRDefault="00CC0E55" w:rsidP="00637E44">
      <w:pPr>
        <w:pStyle w:val="SCCNormalDoubleSpacing"/>
        <w:widowControl w:val="0"/>
        <w:spacing w:after="480"/>
        <w:rPr>
          <w:szCs w:val="24"/>
          <w:lang w:val="fr-CA"/>
        </w:rPr>
      </w:pPr>
      <w:r w:rsidRPr="004F117F">
        <w:rPr>
          <w:szCs w:val="24"/>
          <w:lang w:val="fr-CA"/>
        </w:rPr>
        <w:tab/>
      </w:r>
      <w:r w:rsidRPr="004F117F">
        <w:rPr>
          <w:lang w:val="fr-CA"/>
        </w:rPr>
        <w:t>Bien qu</w:t>
      </w:r>
      <w:r w:rsidR="000C1609" w:rsidRPr="004F117F">
        <w:rPr>
          <w:lang w:val="fr-CA"/>
        </w:rPr>
        <w:t>’</w:t>
      </w:r>
      <w:r w:rsidRPr="004F117F">
        <w:rPr>
          <w:lang w:val="fr-CA"/>
        </w:rPr>
        <w:t>il soit censé remédier à la discrimination systémique, le régime codifie en fait le refus d</w:t>
      </w:r>
      <w:r w:rsidR="000C1609" w:rsidRPr="004F117F">
        <w:rPr>
          <w:lang w:val="fr-CA"/>
        </w:rPr>
        <w:t>’</w:t>
      </w:r>
      <w:r w:rsidRPr="004F117F">
        <w:rPr>
          <w:lang w:val="fr-CA"/>
        </w:rPr>
        <w:t>accorder aux femmes des avantages dont jouissent habituellement les hommes — à savoir une rémunération liée à la valeur de leur travail. Les hommes reçoivent cette rémunération comme si cela allait de soi; les femmes, suivant ce régime, sont quant à elles censées endurer des périodes de cinq ans d</w:t>
      </w:r>
      <w:r w:rsidR="000C1609" w:rsidRPr="004F117F">
        <w:rPr>
          <w:lang w:val="fr-CA"/>
        </w:rPr>
        <w:t>’</w:t>
      </w:r>
      <w:r w:rsidRPr="004F117F">
        <w:rPr>
          <w:lang w:val="fr-CA"/>
        </w:rPr>
        <w:t xml:space="preserve">iniquité </w:t>
      </w:r>
      <w:r w:rsidRPr="004F117F">
        <w:rPr>
          <w:lang w:val="fr-CA"/>
        </w:rPr>
        <w:lastRenderedPageBreak/>
        <w:t>salariale et recevoir une rémunération égale uniquement lorsque leur employeur agit volontairement de manière non discriminatoire, ou encore lorsqu</w:t>
      </w:r>
      <w:r w:rsidR="000C1609" w:rsidRPr="004F117F">
        <w:rPr>
          <w:lang w:val="fr-CA"/>
        </w:rPr>
        <w:t>’</w:t>
      </w:r>
      <w:r w:rsidRPr="004F117F">
        <w:rPr>
          <w:lang w:val="fr-CA"/>
        </w:rPr>
        <w:t>elles peuvent s</w:t>
      </w:r>
      <w:r w:rsidR="000C1609" w:rsidRPr="004F117F">
        <w:rPr>
          <w:lang w:val="fr-CA"/>
        </w:rPr>
        <w:t>’</w:t>
      </w:r>
      <w:r w:rsidRPr="004F117F">
        <w:rPr>
          <w:lang w:val="fr-CA"/>
        </w:rPr>
        <w:t>acquitter du lourd fardeau de prouver que celui</w:t>
      </w:r>
      <w:r w:rsidR="00587D61" w:rsidRPr="004F117F">
        <w:rPr>
          <w:lang w:val="fr-CA"/>
        </w:rPr>
        <w:noBreakHyphen/>
      </w:r>
      <w:r w:rsidRPr="004F117F">
        <w:rPr>
          <w:lang w:val="fr-CA"/>
        </w:rPr>
        <w:t>ci a eu une conduite délibérée ou inappropriée. Le régime fait donc obstacle à l</w:t>
      </w:r>
      <w:r w:rsidR="000C1609" w:rsidRPr="004F117F">
        <w:rPr>
          <w:lang w:val="fr-CA"/>
        </w:rPr>
        <w:t>’</w:t>
      </w:r>
      <w:r w:rsidRPr="004F117F">
        <w:rPr>
          <w:lang w:val="fr-CA"/>
        </w:rPr>
        <w:t>accès des femmes à l</w:t>
      </w:r>
      <w:r w:rsidR="000C1609" w:rsidRPr="004F117F">
        <w:rPr>
          <w:lang w:val="fr-CA"/>
        </w:rPr>
        <w:t>’</w:t>
      </w:r>
      <w:r w:rsidRPr="004F117F">
        <w:rPr>
          <w:lang w:val="fr-CA"/>
        </w:rPr>
        <w:t>équité salariale. De plus, corollairement, il tolère la sous</w:t>
      </w:r>
      <w:r w:rsidR="00587D61" w:rsidRPr="004F117F">
        <w:rPr>
          <w:lang w:val="fr-CA"/>
        </w:rPr>
        <w:noBreakHyphen/>
      </w:r>
      <w:r w:rsidRPr="004F117F">
        <w:rPr>
          <w:lang w:val="fr-CA"/>
        </w:rPr>
        <w:t>évaluation du travail des femmes chaque fois que celles</w:t>
      </w:r>
      <w:r w:rsidR="00587D61" w:rsidRPr="004F117F">
        <w:rPr>
          <w:lang w:val="fr-CA"/>
        </w:rPr>
        <w:noBreakHyphen/>
      </w:r>
      <w:r w:rsidRPr="004F117F">
        <w:rPr>
          <w:lang w:val="fr-CA"/>
        </w:rPr>
        <w:t>ci ne peuvent s</w:t>
      </w:r>
      <w:r w:rsidR="000C1609" w:rsidRPr="004F117F">
        <w:rPr>
          <w:lang w:val="fr-CA"/>
        </w:rPr>
        <w:t>’</w:t>
      </w:r>
      <w:r w:rsidRPr="004F117F">
        <w:rPr>
          <w:lang w:val="fr-CA"/>
        </w:rPr>
        <w:t>acquitter du fardeau particulier leur incombant de prouver qu</w:t>
      </w:r>
      <w:r w:rsidR="000C1609" w:rsidRPr="004F117F">
        <w:rPr>
          <w:lang w:val="fr-CA"/>
        </w:rPr>
        <w:t>’</w:t>
      </w:r>
      <w:r w:rsidRPr="004F117F">
        <w:rPr>
          <w:lang w:val="fr-CA"/>
        </w:rPr>
        <w:t>elles devraient être payées de façon égale parce que leur employeur a agi de façon inappropriée</w:t>
      </w:r>
      <w:r w:rsidRPr="004F117F">
        <w:rPr>
          <w:szCs w:val="24"/>
          <w:lang w:val="fr-CA"/>
        </w:rPr>
        <w:t xml:space="preserve">. </w:t>
      </w:r>
      <w:r w:rsidRPr="004F117F">
        <w:rPr>
          <w:lang w:val="fr-CA"/>
        </w:rPr>
        <w:t>En l</w:t>
      </w:r>
      <w:r w:rsidR="000C1609" w:rsidRPr="004F117F">
        <w:rPr>
          <w:lang w:val="fr-CA"/>
        </w:rPr>
        <w:t>’</w:t>
      </w:r>
      <w:r w:rsidRPr="004F117F">
        <w:rPr>
          <w:lang w:val="fr-CA"/>
        </w:rPr>
        <w:t>absence d</w:t>
      </w:r>
      <w:r w:rsidR="000C1609" w:rsidRPr="004F117F">
        <w:rPr>
          <w:lang w:val="fr-CA"/>
        </w:rPr>
        <w:t>’</w:t>
      </w:r>
      <w:r w:rsidRPr="004F117F">
        <w:rPr>
          <w:lang w:val="fr-CA"/>
        </w:rPr>
        <w:t>un tel comportement, on dit aux femmes sur le marché du travail qu</w:t>
      </w:r>
      <w:r w:rsidR="000C1609" w:rsidRPr="004F117F">
        <w:rPr>
          <w:lang w:val="fr-CA"/>
        </w:rPr>
        <w:t>’</w:t>
      </w:r>
      <w:r w:rsidRPr="004F117F">
        <w:rPr>
          <w:lang w:val="fr-CA"/>
        </w:rPr>
        <w:t>elles doivent tout simplement vivre avec le fait qu</w:t>
      </w:r>
      <w:r w:rsidR="000C1609" w:rsidRPr="004F117F">
        <w:rPr>
          <w:lang w:val="fr-CA"/>
        </w:rPr>
        <w:t>’</w:t>
      </w:r>
      <w:r w:rsidRPr="004F117F">
        <w:rPr>
          <w:lang w:val="fr-CA"/>
        </w:rPr>
        <w:t>elle</w:t>
      </w:r>
      <w:r w:rsidR="00AA35E0">
        <w:rPr>
          <w:lang w:val="fr-CA"/>
        </w:rPr>
        <w:t>s</w:t>
      </w:r>
      <w:r w:rsidRPr="004F117F">
        <w:rPr>
          <w:lang w:val="fr-CA"/>
        </w:rPr>
        <w:t xml:space="preserve"> ne sont pas payées équitablement, même lorsqu</w:t>
      </w:r>
      <w:r w:rsidR="000C1609" w:rsidRPr="004F117F">
        <w:rPr>
          <w:lang w:val="fr-CA"/>
        </w:rPr>
        <w:t>’</w:t>
      </w:r>
      <w:r w:rsidRPr="004F117F">
        <w:rPr>
          <w:lang w:val="fr-CA"/>
        </w:rPr>
        <w:t xml:space="preserve">une évaluation exigée par la loi a fait ressortir </w:t>
      </w:r>
      <w:r w:rsidR="00CF6AB7" w:rsidRPr="004F117F">
        <w:rPr>
          <w:lang w:val="fr-CA"/>
        </w:rPr>
        <w:t xml:space="preserve">ce fait </w:t>
      </w:r>
      <w:r w:rsidRPr="004F117F">
        <w:rPr>
          <w:lang w:val="fr-CA"/>
        </w:rPr>
        <w:t>clairement</w:t>
      </w:r>
      <w:r w:rsidRPr="004F117F">
        <w:rPr>
          <w:szCs w:val="24"/>
          <w:lang w:val="fr-CA"/>
        </w:rPr>
        <w:t xml:space="preserve">. </w:t>
      </w:r>
    </w:p>
    <w:p w:rsidR="00CC0E55" w:rsidRPr="004F117F" w:rsidRDefault="00CC0E55" w:rsidP="00637E44">
      <w:pPr>
        <w:pStyle w:val="SCCNormalDoubleSpacing"/>
        <w:widowControl w:val="0"/>
        <w:spacing w:after="480"/>
        <w:rPr>
          <w:szCs w:val="24"/>
          <w:lang w:val="fr-CA"/>
        </w:rPr>
      </w:pPr>
      <w:r w:rsidRPr="004F117F">
        <w:rPr>
          <w:lang w:val="fr-CA"/>
        </w:rPr>
        <w:tab/>
        <w:t>Le paragraphe </w:t>
      </w:r>
      <w:r w:rsidRPr="004F117F">
        <w:rPr>
          <w:szCs w:val="24"/>
          <w:lang w:val="fr-CA"/>
        </w:rPr>
        <w:t xml:space="preserve">15(2) </w:t>
      </w:r>
      <w:r w:rsidRPr="004F117F">
        <w:rPr>
          <w:lang w:val="fr-CA"/>
        </w:rPr>
        <w:t>ne s</w:t>
      </w:r>
      <w:r w:rsidR="000C1609" w:rsidRPr="004F117F">
        <w:rPr>
          <w:lang w:val="fr-CA"/>
        </w:rPr>
        <w:t>’</w:t>
      </w:r>
      <w:r w:rsidRPr="004F117F">
        <w:rPr>
          <w:lang w:val="fr-CA"/>
        </w:rPr>
        <w:t>applique pas dans des cas comme celui</w:t>
      </w:r>
      <w:r w:rsidR="00587D61" w:rsidRPr="004F117F">
        <w:rPr>
          <w:lang w:val="fr-CA"/>
        </w:rPr>
        <w:noBreakHyphen/>
      </w:r>
      <w:r w:rsidRPr="004F117F">
        <w:rPr>
          <w:lang w:val="fr-CA"/>
        </w:rPr>
        <w:t>ci</w:t>
      </w:r>
      <w:r w:rsidRPr="004F117F">
        <w:rPr>
          <w:szCs w:val="24"/>
          <w:lang w:val="fr-CA"/>
        </w:rPr>
        <w:t xml:space="preserve">. </w:t>
      </w:r>
      <w:r w:rsidRPr="004F117F">
        <w:rPr>
          <w:lang w:val="fr-CA"/>
        </w:rPr>
        <w:t>Il met les programmes améliorateurs destinés aux groupes défavorisés à l</w:t>
      </w:r>
      <w:r w:rsidR="000C1609" w:rsidRPr="004F117F">
        <w:rPr>
          <w:lang w:val="fr-CA"/>
        </w:rPr>
        <w:t>’</w:t>
      </w:r>
      <w:r w:rsidRPr="004F117F">
        <w:rPr>
          <w:lang w:val="fr-CA"/>
        </w:rPr>
        <w:t>abri d</w:t>
      </w:r>
      <w:r w:rsidR="000C1609" w:rsidRPr="004F117F">
        <w:rPr>
          <w:lang w:val="fr-CA"/>
        </w:rPr>
        <w:t>’</w:t>
      </w:r>
      <w:r w:rsidRPr="004F117F">
        <w:rPr>
          <w:lang w:val="fr-CA"/>
        </w:rPr>
        <w:t>allégations selon lesquelles un programme améliorateur donné est discriminatoire à l</w:t>
      </w:r>
      <w:r w:rsidR="000C1609" w:rsidRPr="004F117F">
        <w:rPr>
          <w:lang w:val="fr-CA"/>
        </w:rPr>
        <w:t>’</w:t>
      </w:r>
      <w:r w:rsidRPr="004F117F">
        <w:rPr>
          <w:lang w:val="fr-CA"/>
        </w:rPr>
        <w:t>égard de personnes n</w:t>
      </w:r>
      <w:r w:rsidR="000C1609" w:rsidRPr="004F117F">
        <w:rPr>
          <w:lang w:val="fr-CA"/>
        </w:rPr>
        <w:t>’</w:t>
      </w:r>
      <w:r w:rsidRPr="004F117F">
        <w:rPr>
          <w:lang w:val="fr-CA"/>
        </w:rPr>
        <w:t>étant pas censées bénéficier de celui</w:t>
      </w:r>
      <w:r w:rsidR="00587D61" w:rsidRPr="004F117F">
        <w:rPr>
          <w:lang w:val="fr-CA"/>
        </w:rPr>
        <w:noBreakHyphen/>
      </w:r>
      <w:r w:rsidRPr="004F117F">
        <w:rPr>
          <w:lang w:val="fr-CA"/>
        </w:rPr>
        <w:t xml:space="preserve">ci. Le paragraphe 15(2) ne saurait faire obstacle aux demandes fondées sur le </w:t>
      </w:r>
      <w:r w:rsidR="00587D61" w:rsidRPr="004F117F">
        <w:rPr>
          <w:lang w:val="fr-CA"/>
        </w:rPr>
        <w:t>par. </w:t>
      </w:r>
      <w:r w:rsidRPr="004F117F">
        <w:rPr>
          <w:lang w:val="fr-CA"/>
        </w:rPr>
        <w:t>15(1) formulées par le groupe même que la loi vise à protéger</w:t>
      </w:r>
      <w:r w:rsidRPr="004F117F">
        <w:rPr>
          <w:szCs w:val="24"/>
          <w:lang w:val="fr-CA"/>
        </w:rPr>
        <w:t>.</w:t>
      </w:r>
    </w:p>
    <w:p w:rsidR="00CC0E55" w:rsidRPr="004F117F" w:rsidRDefault="00CC0E55" w:rsidP="00637E44">
      <w:pPr>
        <w:pStyle w:val="SCCNormalDoubleSpacing"/>
        <w:widowControl w:val="0"/>
        <w:spacing w:after="480"/>
        <w:rPr>
          <w:lang w:val="fr-CA"/>
        </w:rPr>
      </w:pPr>
      <w:r w:rsidRPr="004F117F">
        <w:rPr>
          <w:szCs w:val="24"/>
          <w:lang w:val="fr-CA"/>
        </w:rPr>
        <w:tab/>
      </w:r>
      <w:r w:rsidRPr="004F117F">
        <w:rPr>
          <w:lang w:val="fr-CA"/>
        </w:rPr>
        <w:t>Aucune des dispositions contestées ne peut être justifiée au regard de l</w:t>
      </w:r>
      <w:r w:rsidR="000C1609" w:rsidRPr="004F117F">
        <w:rPr>
          <w:lang w:val="fr-CA"/>
        </w:rPr>
        <w:t>’</w:t>
      </w:r>
      <w:r w:rsidRPr="004F117F">
        <w:rPr>
          <w:lang w:val="fr-CA"/>
        </w:rPr>
        <w:t>article premier. Encourager un respect accru de la loi par les employeurs en allégeant leur fardeau par le refus des paiements rétroactifs peut, dans certaines circonstances, constituer un objectif urgent et réel. Bien qu</w:t>
      </w:r>
      <w:r w:rsidR="000C1609" w:rsidRPr="004F117F">
        <w:rPr>
          <w:lang w:val="fr-CA"/>
        </w:rPr>
        <w:t>’</w:t>
      </w:r>
      <w:r w:rsidRPr="004F117F">
        <w:rPr>
          <w:lang w:val="fr-CA"/>
        </w:rPr>
        <w:t>il n</w:t>
      </w:r>
      <w:r w:rsidR="000C1609" w:rsidRPr="004F117F">
        <w:rPr>
          <w:lang w:val="fr-CA"/>
        </w:rPr>
        <w:t>’</w:t>
      </w:r>
      <w:r w:rsidRPr="004F117F">
        <w:rPr>
          <w:lang w:val="fr-CA"/>
        </w:rPr>
        <w:t xml:space="preserve">y ait aucune preuve empirique ou autre </w:t>
      </w:r>
      <w:r w:rsidRPr="004F117F">
        <w:rPr>
          <w:lang w:val="fr-CA"/>
        </w:rPr>
        <w:lastRenderedPageBreak/>
        <w:t>pour établir la façon dont le refus des ajustements salariaux rétroactifs a favorisé la réalisation de cet objectif, le fait de réduire les obligations de l</w:t>
      </w:r>
      <w:r w:rsidR="000C1609" w:rsidRPr="004F117F">
        <w:rPr>
          <w:lang w:val="fr-CA"/>
        </w:rPr>
        <w:t>’</w:t>
      </w:r>
      <w:r w:rsidRPr="004F117F">
        <w:rPr>
          <w:lang w:val="fr-CA"/>
        </w:rPr>
        <w:t>employeur peut être considéré, sur le plan théorique, comme étant rationnellement lié à un respect accru de la loi par l</w:t>
      </w:r>
      <w:r w:rsidR="000C1609" w:rsidRPr="004F117F">
        <w:rPr>
          <w:lang w:val="fr-CA"/>
        </w:rPr>
        <w:t>’</w:t>
      </w:r>
      <w:r w:rsidRPr="004F117F">
        <w:rPr>
          <w:lang w:val="fr-CA"/>
        </w:rPr>
        <w:t>employeur. Toutefois, à l</w:t>
      </w:r>
      <w:r w:rsidR="000C1609" w:rsidRPr="004F117F">
        <w:rPr>
          <w:lang w:val="fr-CA"/>
        </w:rPr>
        <w:t>’</w:t>
      </w:r>
      <w:r w:rsidRPr="004F117F">
        <w:rPr>
          <w:lang w:val="fr-CA"/>
        </w:rPr>
        <w:t>étape de l</w:t>
      </w:r>
      <w:r w:rsidR="000C1609" w:rsidRPr="004F117F">
        <w:rPr>
          <w:lang w:val="fr-CA"/>
        </w:rPr>
        <w:t>’</w:t>
      </w:r>
      <w:r w:rsidRPr="004F117F">
        <w:rPr>
          <w:lang w:val="fr-CA"/>
        </w:rPr>
        <w:t>atteinte minimale, il n</w:t>
      </w:r>
      <w:r w:rsidR="000C1609" w:rsidRPr="004F117F">
        <w:rPr>
          <w:lang w:val="fr-CA"/>
        </w:rPr>
        <w:t>’</w:t>
      </w:r>
      <w:r w:rsidRPr="004F117F">
        <w:rPr>
          <w:lang w:val="fr-CA"/>
        </w:rPr>
        <w:t>y a virtuellement aucune preuve indiquant que d</w:t>
      </w:r>
      <w:r w:rsidR="000C1609" w:rsidRPr="004F117F">
        <w:rPr>
          <w:lang w:val="fr-CA"/>
        </w:rPr>
        <w:t>’</w:t>
      </w:r>
      <w:r w:rsidRPr="004F117F">
        <w:rPr>
          <w:lang w:val="fr-CA"/>
        </w:rPr>
        <w:t>autres façons d</w:t>
      </w:r>
      <w:r w:rsidR="000C1609" w:rsidRPr="004F117F">
        <w:rPr>
          <w:lang w:val="fr-CA"/>
        </w:rPr>
        <w:t>’</w:t>
      </w:r>
      <w:r w:rsidRPr="004F117F">
        <w:rPr>
          <w:lang w:val="fr-CA"/>
        </w:rPr>
        <w:t xml:space="preserve">encourager les employeurs à respecter la loi — comme une application plus rigoureuse des exigences prévues par la </w:t>
      </w:r>
      <w:r w:rsidRPr="004F117F">
        <w:rPr>
          <w:i/>
          <w:lang w:val="fr-CA"/>
        </w:rPr>
        <w:t>Loi sur l</w:t>
      </w:r>
      <w:r w:rsidR="000C1609" w:rsidRPr="004F117F">
        <w:rPr>
          <w:i/>
          <w:lang w:val="fr-CA"/>
        </w:rPr>
        <w:t>’</w:t>
      </w:r>
      <w:r w:rsidRPr="004F117F">
        <w:rPr>
          <w:i/>
          <w:lang w:val="fr-CA"/>
        </w:rPr>
        <w:t xml:space="preserve">équité salariale </w:t>
      </w:r>
      <w:r w:rsidRPr="004F117F">
        <w:rPr>
          <w:lang w:val="fr-CA"/>
        </w:rPr>
        <w:t>au moyen de ses dispositions qui créent des infractions — seraient inefficaces. En conséquence, l</w:t>
      </w:r>
      <w:r w:rsidR="000C1609" w:rsidRPr="004F117F">
        <w:rPr>
          <w:lang w:val="fr-CA"/>
        </w:rPr>
        <w:t>’</w:t>
      </w:r>
      <w:r w:rsidRPr="004F117F">
        <w:rPr>
          <w:lang w:val="fr-CA"/>
        </w:rPr>
        <w:t>élimination des obligations en matière d</w:t>
      </w:r>
      <w:r w:rsidR="000C1609" w:rsidRPr="004F117F">
        <w:rPr>
          <w:lang w:val="fr-CA"/>
        </w:rPr>
        <w:t>’</w:t>
      </w:r>
      <w:r w:rsidRPr="004F117F">
        <w:rPr>
          <w:lang w:val="fr-CA"/>
        </w:rPr>
        <w:t>équité salariale, sauf pour ce qui est des ajustements tous les cinq ans, ne restreint pas aussi peu que cela est raisonnablement possible les droits à l</w:t>
      </w:r>
      <w:r w:rsidR="000C1609" w:rsidRPr="004F117F">
        <w:rPr>
          <w:lang w:val="fr-CA"/>
        </w:rPr>
        <w:t>’</w:t>
      </w:r>
      <w:r w:rsidRPr="004F117F">
        <w:rPr>
          <w:lang w:val="fr-CA"/>
        </w:rPr>
        <w:t xml:space="preserve">égalité des salariées, mais suspend leurs droits à la protection contre la discrimination salariale pour des intervalles de cinq ans. </w:t>
      </w:r>
    </w:p>
    <w:p w:rsidR="00CC0E55" w:rsidRPr="004F117F" w:rsidRDefault="00CC0E55" w:rsidP="00637E44">
      <w:pPr>
        <w:pStyle w:val="SCCNormalDoubleSpacing"/>
        <w:widowControl w:val="0"/>
        <w:spacing w:after="480"/>
        <w:rPr>
          <w:lang w:val="fr-CA"/>
        </w:rPr>
      </w:pPr>
      <w:r w:rsidRPr="004F117F">
        <w:rPr>
          <w:lang w:val="fr-CA"/>
        </w:rPr>
        <w:tab/>
        <w:t>Le Québec n</w:t>
      </w:r>
      <w:r w:rsidR="000C1609" w:rsidRPr="004F117F">
        <w:rPr>
          <w:lang w:val="fr-CA"/>
        </w:rPr>
        <w:t>’</w:t>
      </w:r>
      <w:r w:rsidRPr="004F117F">
        <w:rPr>
          <w:lang w:val="fr-CA"/>
        </w:rPr>
        <w:t>a pas démontré que les mesures législatives satisfont à l</w:t>
      </w:r>
      <w:r w:rsidR="000C1609" w:rsidRPr="004F117F">
        <w:rPr>
          <w:lang w:val="fr-CA"/>
        </w:rPr>
        <w:t>’</w:t>
      </w:r>
      <w:r w:rsidRPr="004F117F">
        <w:rPr>
          <w:lang w:val="fr-CA"/>
        </w:rPr>
        <w:t>obligation de mise en balance globale de l</w:t>
      </w:r>
      <w:r w:rsidR="000C1609" w:rsidRPr="004F117F">
        <w:rPr>
          <w:lang w:val="fr-CA"/>
        </w:rPr>
        <w:t>’</w:t>
      </w:r>
      <w:r w:rsidRPr="004F117F">
        <w:rPr>
          <w:lang w:val="fr-CA"/>
        </w:rPr>
        <w:t xml:space="preserve">analyse fondée </w:t>
      </w:r>
      <w:r w:rsidR="00CF6AB7" w:rsidRPr="004F117F">
        <w:rPr>
          <w:lang w:val="fr-CA"/>
        </w:rPr>
        <w:t xml:space="preserve">sur </w:t>
      </w:r>
      <w:r w:rsidRPr="004F117F">
        <w:rPr>
          <w:lang w:val="fr-CA"/>
        </w:rPr>
        <w:t>l</w:t>
      </w:r>
      <w:r w:rsidR="000C1609" w:rsidRPr="004F117F">
        <w:rPr>
          <w:lang w:val="fr-CA"/>
        </w:rPr>
        <w:t>’</w:t>
      </w:r>
      <w:r w:rsidRPr="004F117F">
        <w:rPr>
          <w:lang w:val="fr-CA"/>
        </w:rPr>
        <w:t>article premier. Leurs effets préjudiciables consistent en la création d</w:t>
      </w:r>
      <w:r w:rsidR="000C1609" w:rsidRPr="004F117F">
        <w:rPr>
          <w:lang w:val="fr-CA"/>
        </w:rPr>
        <w:t>’</w:t>
      </w:r>
      <w:r w:rsidRPr="004F117F">
        <w:rPr>
          <w:lang w:val="fr-CA"/>
        </w:rPr>
        <w:t>obstacles à l</w:t>
      </w:r>
      <w:r w:rsidR="000C1609" w:rsidRPr="004F117F">
        <w:rPr>
          <w:lang w:val="fr-CA"/>
        </w:rPr>
        <w:t>’</w:t>
      </w:r>
      <w:r w:rsidRPr="004F117F">
        <w:rPr>
          <w:lang w:val="fr-CA"/>
        </w:rPr>
        <w:t>accès à un salaire équitable aux personnes mêmes que le régime d</w:t>
      </w:r>
      <w:r w:rsidR="000C1609" w:rsidRPr="004F117F">
        <w:rPr>
          <w:lang w:val="fr-CA"/>
        </w:rPr>
        <w:t>’</w:t>
      </w:r>
      <w:r w:rsidRPr="004F117F">
        <w:rPr>
          <w:lang w:val="fr-CA"/>
        </w:rPr>
        <w:t>équité salariale vise à aider, alors que leurs effets bénéfiques sont, pour le moment, non discernables et hypothétiques, étant donné l</w:t>
      </w:r>
      <w:r w:rsidR="000C1609" w:rsidRPr="004F117F">
        <w:rPr>
          <w:lang w:val="fr-CA"/>
        </w:rPr>
        <w:t>’</w:t>
      </w:r>
      <w:r w:rsidRPr="004F117F">
        <w:rPr>
          <w:lang w:val="fr-CA"/>
        </w:rPr>
        <w:t>absence de preuve à cet égard. Réduire les obligations des employeurs dans l</w:t>
      </w:r>
      <w:r w:rsidR="000C1609" w:rsidRPr="004F117F">
        <w:rPr>
          <w:lang w:val="fr-CA"/>
        </w:rPr>
        <w:t>’</w:t>
      </w:r>
      <w:r w:rsidRPr="004F117F">
        <w:rPr>
          <w:lang w:val="fr-CA"/>
        </w:rPr>
        <w:t>espoir d</w:t>
      </w:r>
      <w:r w:rsidR="000C1609" w:rsidRPr="004F117F">
        <w:rPr>
          <w:lang w:val="fr-CA"/>
        </w:rPr>
        <w:t>’</w:t>
      </w:r>
      <w:r w:rsidRPr="004F117F">
        <w:rPr>
          <w:lang w:val="fr-CA"/>
        </w:rPr>
        <w:t>encourager ceux</w:t>
      </w:r>
      <w:r w:rsidR="00587D61" w:rsidRPr="004F117F">
        <w:rPr>
          <w:lang w:val="fr-CA"/>
        </w:rPr>
        <w:noBreakHyphen/>
      </w:r>
      <w:r w:rsidRPr="004F117F">
        <w:rPr>
          <w:lang w:val="fr-CA"/>
        </w:rPr>
        <w:t>ci à respecter la loi subordonne le droit substantiel d</w:t>
      </w:r>
      <w:r w:rsidR="000C1609" w:rsidRPr="004F117F">
        <w:rPr>
          <w:lang w:val="fr-CA"/>
        </w:rPr>
        <w:t>’</w:t>
      </w:r>
      <w:r w:rsidRPr="004F117F">
        <w:rPr>
          <w:lang w:val="fr-CA"/>
        </w:rPr>
        <w:t>ordre constitutionnel des femmes de ne pas faire l</w:t>
      </w:r>
      <w:r w:rsidR="000C1609" w:rsidRPr="004F117F">
        <w:rPr>
          <w:lang w:val="fr-CA"/>
        </w:rPr>
        <w:t>’</w:t>
      </w:r>
      <w:r w:rsidRPr="004F117F">
        <w:rPr>
          <w:lang w:val="fr-CA"/>
        </w:rPr>
        <w:t>objet de discrimination salariale à la volonté des employeurs de respecter la loi. Pour ce qui est des renseignements devant figurer dans l</w:t>
      </w:r>
      <w:r w:rsidR="000C1609" w:rsidRPr="004F117F">
        <w:rPr>
          <w:lang w:val="fr-CA"/>
        </w:rPr>
        <w:t>’</w:t>
      </w:r>
      <w:r w:rsidRPr="004F117F">
        <w:rPr>
          <w:lang w:val="fr-CA"/>
        </w:rPr>
        <w:t>évaluation affichée, aucune des étapes de l</w:t>
      </w:r>
      <w:r w:rsidR="000C1609" w:rsidRPr="004F117F">
        <w:rPr>
          <w:lang w:val="fr-CA"/>
        </w:rPr>
        <w:t>’</w:t>
      </w:r>
      <w:r w:rsidRPr="004F117F">
        <w:rPr>
          <w:lang w:val="fr-CA"/>
        </w:rPr>
        <w:t>analyse relative à la justification n</w:t>
      </w:r>
      <w:r w:rsidR="000C1609" w:rsidRPr="004F117F">
        <w:rPr>
          <w:lang w:val="fr-CA"/>
        </w:rPr>
        <w:t>’</w:t>
      </w:r>
      <w:r w:rsidRPr="004F117F">
        <w:rPr>
          <w:lang w:val="fr-CA"/>
        </w:rPr>
        <w:t>est franchie. Le Québec n</w:t>
      </w:r>
      <w:r w:rsidR="000C1609" w:rsidRPr="004F117F">
        <w:rPr>
          <w:lang w:val="fr-CA"/>
        </w:rPr>
        <w:t>’</w:t>
      </w:r>
      <w:r w:rsidRPr="004F117F">
        <w:rPr>
          <w:lang w:val="fr-CA"/>
        </w:rPr>
        <w:t>a pas expliqué l</w:t>
      </w:r>
      <w:r w:rsidR="000C1609" w:rsidRPr="004F117F">
        <w:rPr>
          <w:lang w:val="fr-CA"/>
        </w:rPr>
        <w:t>’</w:t>
      </w:r>
      <w:r w:rsidRPr="004F117F">
        <w:rPr>
          <w:lang w:val="fr-CA"/>
        </w:rPr>
        <w:t xml:space="preserve">exclusion de la date de la </w:t>
      </w:r>
      <w:r w:rsidRPr="004F117F">
        <w:rPr>
          <w:lang w:val="fr-CA"/>
        </w:rPr>
        <w:lastRenderedPageBreak/>
        <w:t>réapparition des iniquités salariales, sauf pour dire que ce renseignement n</w:t>
      </w:r>
      <w:r w:rsidR="000C1609" w:rsidRPr="004F117F">
        <w:rPr>
          <w:lang w:val="fr-CA"/>
        </w:rPr>
        <w:t>’</w:t>
      </w:r>
      <w:r w:rsidRPr="004F117F">
        <w:rPr>
          <w:lang w:val="fr-CA"/>
        </w:rPr>
        <w:t>est pas pertinent suivant le nouveau régime. Étant donné que l</w:t>
      </w:r>
      <w:r w:rsidR="000C1609" w:rsidRPr="004F117F">
        <w:rPr>
          <w:lang w:val="fr-CA"/>
        </w:rPr>
        <w:t>’</w:t>
      </w:r>
      <w:r w:rsidRPr="004F117F">
        <w:rPr>
          <w:lang w:val="fr-CA"/>
        </w:rPr>
        <w:t>intervalle de cinq ans entre le versement des ajustements salariaux réparateurs a été jugé inconstitutionnel, la date à laquelle les iniquités salariales réapparaissent constitue un renseignement manifestement pertinent.</w:t>
      </w:r>
    </w:p>
    <w:p w:rsidR="00CC0E55" w:rsidRPr="004F117F" w:rsidRDefault="00CC0E55" w:rsidP="00637E44">
      <w:pPr>
        <w:pStyle w:val="SCCNormalDoubleSpacing"/>
        <w:widowControl w:val="0"/>
        <w:spacing w:after="480"/>
        <w:rPr>
          <w:lang w:val="fr-CA"/>
        </w:rPr>
      </w:pPr>
      <w:r w:rsidRPr="004F117F">
        <w:rPr>
          <w:lang w:val="fr-CA"/>
        </w:rPr>
        <w:tab/>
        <w:t>Pour ce qui est de l</w:t>
      </w:r>
      <w:r w:rsidR="000C1609" w:rsidRPr="004F117F">
        <w:rPr>
          <w:lang w:val="fr-CA"/>
        </w:rPr>
        <w:t>’</w:t>
      </w:r>
      <w:r w:rsidRPr="004F117F">
        <w:rPr>
          <w:lang w:val="fr-CA"/>
        </w:rPr>
        <w:t>appel incident, on ne s</w:t>
      </w:r>
      <w:r w:rsidR="000C1609" w:rsidRPr="004F117F">
        <w:rPr>
          <w:lang w:val="fr-CA"/>
        </w:rPr>
        <w:t>’</w:t>
      </w:r>
      <w:r w:rsidRPr="004F117F">
        <w:rPr>
          <w:lang w:val="fr-CA"/>
        </w:rPr>
        <w:t>est pas acquitté du fardeau de prouver l</w:t>
      </w:r>
      <w:r w:rsidR="000C1609" w:rsidRPr="004F117F">
        <w:rPr>
          <w:lang w:val="fr-CA"/>
        </w:rPr>
        <w:t>’</w:t>
      </w:r>
      <w:r w:rsidRPr="004F117F">
        <w:rPr>
          <w:lang w:val="fr-CA"/>
        </w:rPr>
        <w:t>inconstitutionnalité des dispositions de la</w:t>
      </w:r>
      <w:r w:rsidRPr="004F117F">
        <w:rPr>
          <w:i/>
          <w:lang w:val="fr-CA"/>
        </w:rPr>
        <w:t xml:space="preserve"> Loi modifiant la Loi sur l</w:t>
      </w:r>
      <w:r w:rsidR="000C1609" w:rsidRPr="004F117F">
        <w:rPr>
          <w:i/>
          <w:lang w:val="fr-CA"/>
        </w:rPr>
        <w:t>’</w:t>
      </w:r>
      <w:r w:rsidRPr="004F117F">
        <w:rPr>
          <w:i/>
          <w:lang w:val="fr-CA"/>
        </w:rPr>
        <w:t xml:space="preserve">équité salariale </w:t>
      </w:r>
      <w:r w:rsidRPr="004F117F">
        <w:rPr>
          <w:lang w:val="fr-CA"/>
        </w:rPr>
        <w:t xml:space="preserve">de 2009 qui ont abrogé les </w:t>
      </w:r>
      <w:r w:rsidR="00587D61" w:rsidRPr="004F117F">
        <w:rPr>
          <w:lang w:val="fr-CA"/>
        </w:rPr>
        <w:t>art. </w:t>
      </w:r>
      <w:r w:rsidRPr="004F117F">
        <w:rPr>
          <w:lang w:val="fr-CA"/>
        </w:rPr>
        <w:t xml:space="preserve">40 à 43 de la </w:t>
      </w:r>
      <w:r w:rsidRPr="004F117F">
        <w:rPr>
          <w:i/>
          <w:lang w:val="fr-CA"/>
        </w:rPr>
        <w:t>Loi sur l</w:t>
      </w:r>
      <w:r w:rsidR="000C1609" w:rsidRPr="004F117F">
        <w:rPr>
          <w:i/>
          <w:lang w:val="fr-CA"/>
        </w:rPr>
        <w:t>’</w:t>
      </w:r>
      <w:r w:rsidRPr="004F117F">
        <w:rPr>
          <w:i/>
          <w:lang w:val="fr-CA"/>
        </w:rPr>
        <w:t>équité salariale</w:t>
      </w:r>
      <w:r w:rsidRPr="004F117F">
        <w:rPr>
          <w:lang w:val="fr-CA"/>
        </w:rPr>
        <w:t>.</w:t>
      </w:r>
    </w:p>
    <w:p w:rsidR="0004677D" w:rsidRPr="004F117F" w:rsidRDefault="004D7D95" w:rsidP="00637E44">
      <w:pPr>
        <w:pStyle w:val="SCCNormalDoubleSpacing"/>
        <w:widowControl w:val="0"/>
        <w:spacing w:after="480"/>
        <w:rPr>
          <w:lang w:val="fr-CA"/>
        </w:rPr>
      </w:pPr>
      <w:r w:rsidRPr="004F117F">
        <w:rPr>
          <w:lang w:val="fr-CA"/>
        </w:rPr>
        <w:tab/>
      </w:r>
      <w:r w:rsidR="0004677D" w:rsidRPr="004F117F">
        <w:rPr>
          <w:i/>
          <w:iCs/>
          <w:lang w:val="fr-FR"/>
        </w:rPr>
        <w:t>Les</w:t>
      </w:r>
      <w:r w:rsidR="0004677D" w:rsidRPr="004F117F">
        <w:rPr>
          <w:lang w:val="fr-FR"/>
        </w:rPr>
        <w:t xml:space="preserve"> juges </w:t>
      </w:r>
      <w:r w:rsidR="0004677D" w:rsidRPr="006C2649">
        <w:rPr>
          <w:lang w:val="fr-FR"/>
        </w:rPr>
        <w:t>Côté, Brown</w:t>
      </w:r>
      <w:r w:rsidR="0004677D" w:rsidRPr="004F117F">
        <w:rPr>
          <w:b/>
          <w:lang w:val="fr-FR"/>
        </w:rPr>
        <w:t xml:space="preserve"> </w:t>
      </w:r>
      <w:r w:rsidR="0004677D" w:rsidRPr="004F117F">
        <w:rPr>
          <w:lang w:val="fr-FR"/>
        </w:rPr>
        <w:t xml:space="preserve">et </w:t>
      </w:r>
      <w:r w:rsidR="0004677D" w:rsidRPr="006C2649">
        <w:rPr>
          <w:lang w:val="fr-FR"/>
        </w:rPr>
        <w:t>Rowe</w:t>
      </w:r>
      <w:r w:rsidR="006D2D06" w:rsidRPr="004F117F">
        <w:rPr>
          <w:lang w:val="fr-FR"/>
        </w:rPr>
        <w:t xml:space="preserve"> (dissidents </w:t>
      </w:r>
      <w:r w:rsidR="00CF6AB7" w:rsidRPr="004F117F">
        <w:rPr>
          <w:lang w:val="fr-FR"/>
        </w:rPr>
        <w:t>quant au pourvoi principal</w:t>
      </w:r>
      <w:r w:rsidR="006D2D06" w:rsidRPr="004F117F">
        <w:rPr>
          <w:lang w:val="fr-FR"/>
        </w:rPr>
        <w:t>)</w:t>
      </w:r>
      <w:r w:rsidR="00587D61" w:rsidRPr="004F117F">
        <w:rPr>
          <w:lang w:val="fr-FR"/>
        </w:rPr>
        <w:t> :</w:t>
      </w:r>
      <w:r w:rsidR="006D2D06" w:rsidRPr="004F117F">
        <w:rPr>
          <w:lang w:val="fr-FR"/>
        </w:rPr>
        <w:t xml:space="preserve"> </w:t>
      </w:r>
      <w:r w:rsidR="0004677D" w:rsidRPr="004F117F">
        <w:rPr>
          <w:lang w:val="fr-FR"/>
        </w:rPr>
        <w:t xml:space="preserve">Le pourvoi devrait être </w:t>
      </w:r>
      <w:r w:rsidR="0004677D" w:rsidRPr="004F117F">
        <w:rPr>
          <w:lang w:val="fr-CA"/>
        </w:rPr>
        <w:t>accueilli</w:t>
      </w:r>
      <w:r w:rsidR="0004677D" w:rsidRPr="004F117F">
        <w:rPr>
          <w:lang w:val="fr-FR"/>
        </w:rPr>
        <w:t xml:space="preserve"> et l</w:t>
      </w:r>
      <w:r w:rsidR="000C1609" w:rsidRPr="004F117F">
        <w:rPr>
          <w:lang w:val="fr-FR"/>
        </w:rPr>
        <w:t>’</w:t>
      </w:r>
      <w:r w:rsidR="0004677D" w:rsidRPr="004F117F">
        <w:rPr>
          <w:lang w:val="fr-FR"/>
        </w:rPr>
        <w:t>appe</w:t>
      </w:r>
      <w:r w:rsidR="006D2D06" w:rsidRPr="004F117F">
        <w:rPr>
          <w:lang w:val="fr-FR"/>
        </w:rPr>
        <w:t>l incident devrait être rejeté. L</w:t>
      </w:r>
      <w:r w:rsidR="0004677D" w:rsidRPr="004F117F">
        <w:rPr>
          <w:lang w:val="fr-FR"/>
        </w:rPr>
        <w:t xml:space="preserve">es </w:t>
      </w:r>
      <w:r w:rsidR="0004677D" w:rsidRPr="004F117F">
        <w:rPr>
          <w:lang w:val="fr-CA"/>
        </w:rPr>
        <w:t xml:space="preserve">articles 76.3, 76.5 et 103.1 </w:t>
      </w:r>
      <w:r w:rsidR="00CF6AB7" w:rsidRPr="004F117F">
        <w:rPr>
          <w:lang w:val="fr-CA"/>
        </w:rPr>
        <w:t>al. </w:t>
      </w:r>
      <w:r w:rsidR="0004677D" w:rsidRPr="004F117F">
        <w:rPr>
          <w:lang w:val="fr-CA"/>
        </w:rPr>
        <w:t xml:space="preserve">2 de la </w:t>
      </w:r>
      <w:r w:rsidR="0004677D" w:rsidRPr="004F117F">
        <w:rPr>
          <w:i/>
          <w:lang w:val="fr-CA"/>
        </w:rPr>
        <w:t>Loi sur l</w:t>
      </w:r>
      <w:r w:rsidR="000C1609" w:rsidRPr="004F117F">
        <w:rPr>
          <w:i/>
          <w:lang w:val="fr-CA"/>
        </w:rPr>
        <w:t>’</w:t>
      </w:r>
      <w:r w:rsidR="0004677D" w:rsidRPr="004F117F">
        <w:rPr>
          <w:i/>
          <w:lang w:val="fr-CA"/>
        </w:rPr>
        <w:t>équité salariale</w:t>
      </w:r>
      <w:r w:rsidR="0004677D" w:rsidRPr="004F117F">
        <w:rPr>
          <w:lang w:val="fr-CA"/>
        </w:rPr>
        <w:t xml:space="preserve"> ne créent aucune distinction discriminatoire violant l</w:t>
      </w:r>
      <w:r w:rsidR="000C1609" w:rsidRPr="004F117F">
        <w:rPr>
          <w:lang w:val="fr-CA"/>
        </w:rPr>
        <w:t>’</w:t>
      </w:r>
      <w:r w:rsidR="00587D61" w:rsidRPr="004F117F">
        <w:rPr>
          <w:lang w:val="fr-CA"/>
        </w:rPr>
        <w:t>art. </w:t>
      </w:r>
      <w:r w:rsidR="0004677D" w:rsidRPr="004F117F">
        <w:rPr>
          <w:lang w:val="fr-CA"/>
        </w:rPr>
        <w:t xml:space="preserve">15 de la </w:t>
      </w:r>
      <w:r w:rsidR="0004677D" w:rsidRPr="004F117F">
        <w:rPr>
          <w:i/>
          <w:lang w:val="fr-CA"/>
        </w:rPr>
        <w:t>Charte canadienne des droits et libertés</w:t>
      </w:r>
      <w:r w:rsidR="006D2D06" w:rsidRPr="004F117F">
        <w:rPr>
          <w:lang w:val="fr-CA"/>
        </w:rPr>
        <w:t>.</w:t>
      </w:r>
      <w:r w:rsidR="0004677D" w:rsidRPr="004F117F">
        <w:rPr>
          <w:lang w:val="fr-CA"/>
        </w:rPr>
        <w:t xml:space="preserve"> </w:t>
      </w:r>
    </w:p>
    <w:p w:rsidR="0004677D" w:rsidRPr="004F117F" w:rsidRDefault="006D2D06" w:rsidP="00637E44">
      <w:pPr>
        <w:pStyle w:val="SCCNormalDoubleSpacing"/>
        <w:widowControl w:val="0"/>
        <w:spacing w:before="480" w:after="480"/>
        <w:rPr>
          <w:lang w:val="fr-CA"/>
        </w:rPr>
      </w:pPr>
      <w:r w:rsidRPr="004F117F">
        <w:rPr>
          <w:lang w:val="fr-CA"/>
        </w:rPr>
        <w:tab/>
      </w:r>
      <w:r w:rsidR="0004677D" w:rsidRPr="004F117F">
        <w:rPr>
          <w:lang w:val="fr-CA"/>
        </w:rPr>
        <w:t>Au premier volet de l</w:t>
      </w:r>
      <w:r w:rsidR="000C1609" w:rsidRPr="004F117F">
        <w:rPr>
          <w:lang w:val="fr-CA"/>
        </w:rPr>
        <w:t>’</w:t>
      </w:r>
      <w:r w:rsidR="0004677D" w:rsidRPr="004F117F">
        <w:rPr>
          <w:lang w:val="fr-CA"/>
        </w:rPr>
        <w:t>analyse que commande l</w:t>
      </w:r>
      <w:r w:rsidR="006A18D4" w:rsidRPr="004F117F">
        <w:rPr>
          <w:lang w:val="fr-CA"/>
        </w:rPr>
        <w:t>e par. </w:t>
      </w:r>
      <w:r w:rsidR="0004677D" w:rsidRPr="004F117F">
        <w:rPr>
          <w:lang w:val="fr-CA"/>
        </w:rPr>
        <w:t xml:space="preserve">15(1) de la </w:t>
      </w:r>
      <w:r w:rsidR="0004677D" w:rsidRPr="004F117F">
        <w:rPr>
          <w:i/>
          <w:lang w:val="fr-CA"/>
        </w:rPr>
        <w:t>Charte</w:t>
      </w:r>
      <w:r w:rsidR="0004677D" w:rsidRPr="004F117F">
        <w:rPr>
          <w:lang w:val="fr-CA"/>
        </w:rPr>
        <w:t>, le demandeur ne doit pas seulement démontrer l</w:t>
      </w:r>
      <w:r w:rsidR="000C1609" w:rsidRPr="004F117F">
        <w:rPr>
          <w:lang w:val="fr-CA"/>
        </w:rPr>
        <w:t>’</w:t>
      </w:r>
      <w:r w:rsidR="0004677D" w:rsidRPr="004F117F">
        <w:rPr>
          <w:lang w:val="fr-CA"/>
        </w:rPr>
        <w:t>existence d</w:t>
      </w:r>
      <w:r w:rsidR="000C1609" w:rsidRPr="004F117F">
        <w:rPr>
          <w:lang w:val="fr-CA"/>
        </w:rPr>
        <w:t>’</w:t>
      </w:r>
      <w:r w:rsidR="0004677D" w:rsidRPr="004F117F">
        <w:rPr>
          <w:lang w:val="fr-CA"/>
        </w:rPr>
        <w:t xml:space="preserve">une simple distinction dans la </w:t>
      </w:r>
      <w:r w:rsidR="0004677D" w:rsidRPr="004F117F">
        <w:rPr>
          <w:i/>
          <w:lang w:val="fr-CA"/>
        </w:rPr>
        <w:t>Loi</w:t>
      </w:r>
      <w:r w:rsidR="0004677D" w:rsidRPr="004F117F">
        <w:rPr>
          <w:lang w:val="fr-CA"/>
        </w:rPr>
        <w:t>, mais également d</w:t>
      </w:r>
      <w:r w:rsidR="000C1609" w:rsidRPr="004F117F">
        <w:rPr>
          <w:lang w:val="fr-CA"/>
        </w:rPr>
        <w:t>’</w:t>
      </w:r>
      <w:r w:rsidR="0004677D" w:rsidRPr="004F117F">
        <w:rPr>
          <w:lang w:val="fr-CA"/>
        </w:rPr>
        <w:t xml:space="preserve">une forme de désavantage en découlant. </w:t>
      </w:r>
      <w:r w:rsidRPr="004F117F">
        <w:rPr>
          <w:rFonts w:eastAsiaTheme="minorHAnsi"/>
          <w:lang w:val="fr-CA"/>
        </w:rPr>
        <w:t>Puisque</w:t>
      </w:r>
      <w:r w:rsidR="0004677D" w:rsidRPr="004F117F">
        <w:rPr>
          <w:rFonts w:eastAsiaTheme="minorHAnsi"/>
          <w:lang w:val="fr-CA"/>
        </w:rPr>
        <w:t xml:space="preserve"> la </w:t>
      </w:r>
      <w:r w:rsidR="0004677D" w:rsidRPr="004F117F">
        <w:rPr>
          <w:rFonts w:eastAsiaTheme="minorHAnsi"/>
          <w:i/>
          <w:lang w:val="fr-CA"/>
        </w:rPr>
        <w:t>Loi</w:t>
      </w:r>
      <w:r w:rsidR="0004677D" w:rsidRPr="004F117F">
        <w:rPr>
          <w:rFonts w:eastAsiaTheme="minorHAnsi"/>
          <w:lang w:val="fr-CA"/>
        </w:rPr>
        <w:t xml:space="preserve"> se compose de distinctions qui peuvent affecter un groupe </w:t>
      </w:r>
      <w:r w:rsidRPr="004F117F">
        <w:rPr>
          <w:rFonts w:eastAsiaTheme="minorHAnsi"/>
          <w:lang w:val="fr-CA"/>
        </w:rPr>
        <w:t>formé essentiellement de femmes,</w:t>
      </w:r>
      <w:r w:rsidR="0004677D" w:rsidRPr="004F117F">
        <w:rPr>
          <w:rFonts w:eastAsiaTheme="minorHAnsi"/>
          <w:lang w:val="fr-CA"/>
        </w:rPr>
        <w:t xml:space="preserve"> il serait absurde qu</w:t>
      </w:r>
      <w:r w:rsidR="000C1609" w:rsidRPr="004F117F">
        <w:rPr>
          <w:rFonts w:eastAsiaTheme="minorHAnsi"/>
          <w:lang w:val="fr-CA"/>
        </w:rPr>
        <w:t>’</w:t>
      </w:r>
      <w:r w:rsidR="0004677D" w:rsidRPr="004F117F">
        <w:rPr>
          <w:rFonts w:eastAsiaTheme="minorHAnsi"/>
          <w:lang w:val="fr-CA"/>
        </w:rPr>
        <w:t>une démarche axée sur les effets discriminatoires ne traite pas d</w:t>
      </w:r>
      <w:r w:rsidR="000C1609" w:rsidRPr="004F117F">
        <w:rPr>
          <w:rFonts w:eastAsiaTheme="minorHAnsi"/>
          <w:lang w:val="fr-CA"/>
        </w:rPr>
        <w:t>’</w:t>
      </w:r>
      <w:r w:rsidR="0004677D" w:rsidRPr="004F117F">
        <w:rPr>
          <w:rFonts w:eastAsiaTheme="minorHAnsi"/>
          <w:lang w:val="fr-CA"/>
        </w:rPr>
        <w:t xml:space="preserve">emblée de la question du désavantage engendré par une ou plusieurs de ces distinctions, à tout le moins </w:t>
      </w:r>
      <w:r w:rsidR="0004677D" w:rsidRPr="004F117F">
        <w:rPr>
          <w:rFonts w:eastAsiaTheme="minorHAnsi"/>
          <w:i/>
          <w:lang w:val="fr-CA"/>
        </w:rPr>
        <w:t>prima facie</w:t>
      </w:r>
      <w:r w:rsidR="0004677D" w:rsidRPr="004F117F">
        <w:rPr>
          <w:rFonts w:eastAsiaTheme="minorHAnsi"/>
          <w:lang w:val="fr-CA"/>
        </w:rPr>
        <w:t>.</w:t>
      </w:r>
      <w:r w:rsidR="0004677D" w:rsidRPr="004F117F">
        <w:rPr>
          <w:lang w:val="fr-CA"/>
        </w:rPr>
        <w:t xml:space="preserve"> L</w:t>
      </w:r>
      <w:r w:rsidR="000C1609" w:rsidRPr="004F117F">
        <w:rPr>
          <w:lang w:val="fr-CA"/>
        </w:rPr>
        <w:t>’</w:t>
      </w:r>
      <w:r w:rsidR="0004677D" w:rsidRPr="004F117F">
        <w:rPr>
          <w:lang w:val="fr-CA"/>
        </w:rPr>
        <w:t>équité salariale applicable aux entreprises privées est une création du législateur québécois et ne jouit d</w:t>
      </w:r>
      <w:r w:rsidR="000C1609" w:rsidRPr="004F117F">
        <w:rPr>
          <w:lang w:val="fr-CA"/>
        </w:rPr>
        <w:t>’</w:t>
      </w:r>
      <w:r w:rsidR="0004677D" w:rsidRPr="004F117F">
        <w:rPr>
          <w:lang w:val="fr-CA"/>
        </w:rPr>
        <w:t>aucun statut constitutionnel. Il n</w:t>
      </w:r>
      <w:r w:rsidR="000C1609" w:rsidRPr="004F117F">
        <w:rPr>
          <w:lang w:val="fr-CA"/>
        </w:rPr>
        <w:t>’</w:t>
      </w:r>
      <w:r w:rsidR="0004677D" w:rsidRPr="004F117F">
        <w:rPr>
          <w:lang w:val="fr-CA"/>
        </w:rPr>
        <w:t xml:space="preserve">y a pas lieu de comparer les modifications de la </w:t>
      </w:r>
      <w:r w:rsidR="0004677D" w:rsidRPr="004F117F">
        <w:rPr>
          <w:i/>
          <w:lang w:val="fr-CA"/>
        </w:rPr>
        <w:t xml:space="preserve">Loi </w:t>
      </w:r>
      <w:r w:rsidR="0004677D" w:rsidRPr="004F117F">
        <w:rPr>
          <w:lang w:val="fr-CA"/>
        </w:rPr>
        <w:t xml:space="preserve">à sa version </w:t>
      </w:r>
      <w:r w:rsidR="0004677D" w:rsidRPr="004F117F">
        <w:rPr>
          <w:lang w:val="fr-CA"/>
        </w:rPr>
        <w:lastRenderedPageBreak/>
        <w:t>antérieure. Adopter cette démarche aurait pour effet de constitutionnaliser un mécanisme procurant des avantages à un groupe visé par un motif énuméré ou analogue au détriment d</w:t>
      </w:r>
      <w:r w:rsidR="000C1609" w:rsidRPr="004F117F">
        <w:rPr>
          <w:lang w:val="fr-CA"/>
        </w:rPr>
        <w:t>’</w:t>
      </w:r>
      <w:r w:rsidR="0004677D" w:rsidRPr="004F117F">
        <w:rPr>
          <w:lang w:val="fr-CA"/>
        </w:rPr>
        <w:t>autres mécanismes tout aussi valables. Il ne serait alors plus loisible au législateur d</w:t>
      </w:r>
      <w:r w:rsidR="000C1609" w:rsidRPr="004F117F">
        <w:rPr>
          <w:lang w:val="fr-CA"/>
        </w:rPr>
        <w:t>’</w:t>
      </w:r>
      <w:r w:rsidR="0004677D" w:rsidRPr="004F117F">
        <w:rPr>
          <w:lang w:val="fr-CA"/>
        </w:rPr>
        <w:t>explorer d</w:t>
      </w:r>
      <w:r w:rsidR="000C1609" w:rsidRPr="004F117F">
        <w:rPr>
          <w:lang w:val="fr-CA"/>
        </w:rPr>
        <w:t>’</w:t>
      </w:r>
      <w:r w:rsidR="0004677D" w:rsidRPr="004F117F">
        <w:rPr>
          <w:lang w:val="fr-CA"/>
        </w:rPr>
        <w:t xml:space="preserve">autres avenues. </w:t>
      </w:r>
    </w:p>
    <w:p w:rsidR="0004677D" w:rsidRPr="004F117F" w:rsidRDefault="006D2D06" w:rsidP="00637E44">
      <w:pPr>
        <w:pStyle w:val="SCCNormalDoubleSpacing"/>
        <w:widowControl w:val="0"/>
        <w:spacing w:before="480" w:after="480"/>
        <w:rPr>
          <w:lang w:val="fr-FR"/>
        </w:rPr>
      </w:pPr>
      <w:r w:rsidRPr="004F117F">
        <w:rPr>
          <w:lang w:val="fr-CA"/>
        </w:rPr>
        <w:tab/>
      </w:r>
      <w:r w:rsidR="0004677D" w:rsidRPr="004F117F">
        <w:rPr>
          <w:lang w:val="fr-CA"/>
        </w:rPr>
        <w:t>Les salariées visées bénéficient d</w:t>
      </w:r>
      <w:r w:rsidR="000C1609" w:rsidRPr="004F117F">
        <w:rPr>
          <w:lang w:val="fr-CA"/>
        </w:rPr>
        <w:t>’</w:t>
      </w:r>
      <w:r w:rsidR="0004677D" w:rsidRPr="004F117F">
        <w:rPr>
          <w:lang w:val="fr-CA"/>
        </w:rPr>
        <w:t xml:space="preserve">un avantage considérable. </w:t>
      </w:r>
      <w:r w:rsidR="0004677D" w:rsidRPr="004F117F">
        <w:rPr>
          <w:szCs w:val="24"/>
          <w:lang w:val="fr-FR"/>
        </w:rPr>
        <w:t xml:space="preserve">Dans son ensemble, la </w:t>
      </w:r>
      <w:r w:rsidR="0004677D" w:rsidRPr="004F117F">
        <w:rPr>
          <w:i/>
          <w:szCs w:val="24"/>
          <w:lang w:val="fr-FR"/>
        </w:rPr>
        <w:t>Loi</w:t>
      </w:r>
      <w:r w:rsidR="0004677D" w:rsidRPr="004F117F">
        <w:rPr>
          <w:szCs w:val="24"/>
          <w:lang w:val="fr-FR"/>
        </w:rPr>
        <w:t xml:space="preserve"> crée un régime complet hybride qui permet une révision périodique des salaires en plus d</w:t>
      </w:r>
      <w:r w:rsidR="000C1609" w:rsidRPr="004F117F">
        <w:rPr>
          <w:szCs w:val="24"/>
          <w:lang w:val="fr-FR"/>
        </w:rPr>
        <w:t>’</w:t>
      </w:r>
      <w:r w:rsidR="0004677D" w:rsidRPr="004F117F">
        <w:rPr>
          <w:szCs w:val="24"/>
          <w:lang w:val="fr-FR"/>
        </w:rPr>
        <w:t>offrir un recours en réparation rétroactive en cas d</w:t>
      </w:r>
      <w:r w:rsidR="000C1609" w:rsidRPr="004F117F">
        <w:rPr>
          <w:szCs w:val="24"/>
          <w:lang w:val="fr-FR"/>
        </w:rPr>
        <w:t>’</w:t>
      </w:r>
      <w:r w:rsidR="0004677D" w:rsidRPr="004F117F">
        <w:rPr>
          <w:szCs w:val="24"/>
          <w:lang w:val="fr-FR"/>
        </w:rPr>
        <w:t xml:space="preserve">abus. La </w:t>
      </w:r>
      <w:r w:rsidR="0004677D" w:rsidRPr="004F117F">
        <w:rPr>
          <w:i/>
          <w:szCs w:val="24"/>
          <w:lang w:val="fr-FR"/>
        </w:rPr>
        <w:t xml:space="preserve">Loi </w:t>
      </w:r>
      <w:r w:rsidR="0004677D" w:rsidRPr="004F117F">
        <w:rPr>
          <w:szCs w:val="24"/>
          <w:lang w:val="fr-FR"/>
        </w:rPr>
        <w:t>répond donc au problème de la discrimination systémique en plus de, notamment, répondre à celui de la discr</w:t>
      </w:r>
      <w:r w:rsidRPr="004F117F">
        <w:rPr>
          <w:szCs w:val="24"/>
          <w:lang w:val="fr-FR"/>
        </w:rPr>
        <w:t xml:space="preserve">imination intentionnelle. </w:t>
      </w:r>
      <w:r w:rsidR="0004677D" w:rsidRPr="004F117F">
        <w:rPr>
          <w:szCs w:val="24"/>
          <w:lang w:val="fr-FR"/>
        </w:rPr>
        <w:t>L</w:t>
      </w:r>
      <w:r w:rsidR="000C1609" w:rsidRPr="004F117F">
        <w:rPr>
          <w:lang w:val="fr-CA"/>
        </w:rPr>
        <w:t>’</w:t>
      </w:r>
      <w:r w:rsidR="0004677D" w:rsidRPr="004F117F">
        <w:rPr>
          <w:lang w:val="fr-CA"/>
        </w:rPr>
        <w:t xml:space="preserve">effet améliorateur de la </w:t>
      </w:r>
      <w:r w:rsidR="0004677D" w:rsidRPr="004F117F">
        <w:rPr>
          <w:i/>
          <w:lang w:val="fr-CA"/>
        </w:rPr>
        <w:t>Loi</w:t>
      </w:r>
      <w:r w:rsidR="0004677D" w:rsidRPr="004F117F">
        <w:rPr>
          <w:lang w:val="fr-CA"/>
        </w:rPr>
        <w:t xml:space="preserve"> devient évident lorsque la situation est analysée sous le prisme du groupe com</w:t>
      </w:r>
      <w:r w:rsidR="006A18D4" w:rsidRPr="004F117F">
        <w:rPr>
          <w:lang w:val="fr-CA"/>
        </w:rPr>
        <w:t>parateur. En effet, les salarié</w:t>
      </w:r>
      <w:r w:rsidR="00AD13A3" w:rsidRPr="004F117F">
        <w:rPr>
          <w:lang w:val="fr-CA"/>
        </w:rPr>
        <w:t>e</w:t>
      </w:r>
      <w:r w:rsidR="0004677D" w:rsidRPr="004F117F">
        <w:rPr>
          <w:lang w:val="fr-CA"/>
        </w:rPr>
        <w:t>s d</w:t>
      </w:r>
      <w:r w:rsidR="000C1609" w:rsidRPr="004F117F">
        <w:rPr>
          <w:lang w:val="fr-CA"/>
        </w:rPr>
        <w:t>’</w:t>
      </w:r>
      <w:r w:rsidR="0004677D" w:rsidRPr="004F117F">
        <w:rPr>
          <w:lang w:val="fr-CA"/>
        </w:rPr>
        <w:t>une entrepri</w:t>
      </w:r>
      <w:r w:rsidR="006A18D4" w:rsidRPr="004F117F">
        <w:rPr>
          <w:lang w:val="fr-CA"/>
        </w:rPr>
        <w:t>se comptant moins de 10 salarié</w:t>
      </w:r>
      <w:r w:rsidR="00AD13A3" w:rsidRPr="004F117F">
        <w:rPr>
          <w:lang w:val="fr-CA"/>
        </w:rPr>
        <w:t>e</w:t>
      </w:r>
      <w:r w:rsidR="006A18D4" w:rsidRPr="004F117F">
        <w:rPr>
          <w:lang w:val="fr-CA"/>
        </w:rPr>
        <w:t>s sont exclu</w:t>
      </w:r>
      <w:r w:rsidR="00AD13A3" w:rsidRPr="004F117F">
        <w:rPr>
          <w:lang w:val="fr-CA"/>
        </w:rPr>
        <w:t>e</w:t>
      </w:r>
      <w:r w:rsidR="0004677D" w:rsidRPr="004F117F">
        <w:rPr>
          <w:lang w:val="fr-CA"/>
        </w:rPr>
        <w:t>s de l</w:t>
      </w:r>
      <w:r w:rsidR="000C1609" w:rsidRPr="004F117F">
        <w:rPr>
          <w:lang w:val="fr-CA"/>
        </w:rPr>
        <w:t>’</w:t>
      </w:r>
      <w:r w:rsidR="0004677D" w:rsidRPr="004F117F">
        <w:rPr>
          <w:lang w:val="fr-CA"/>
        </w:rPr>
        <w:t xml:space="preserve">application de la </w:t>
      </w:r>
      <w:r w:rsidR="0004677D" w:rsidRPr="004F117F">
        <w:rPr>
          <w:i/>
          <w:lang w:val="fr-CA"/>
        </w:rPr>
        <w:t>Loi</w:t>
      </w:r>
      <w:r w:rsidR="0004677D" w:rsidRPr="004F117F">
        <w:rPr>
          <w:lang w:val="fr-CA"/>
        </w:rPr>
        <w:t xml:space="preserve"> et ne bénéficient pas d</w:t>
      </w:r>
      <w:r w:rsidR="000C1609" w:rsidRPr="004F117F">
        <w:rPr>
          <w:lang w:val="fr-CA"/>
        </w:rPr>
        <w:t>’</w:t>
      </w:r>
      <w:r w:rsidR="0004677D" w:rsidRPr="004F117F">
        <w:rPr>
          <w:lang w:val="fr-CA"/>
        </w:rPr>
        <w:t xml:space="preserve">une évaluation périodique de leur rémunération. Elles </w:t>
      </w:r>
      <w:r w:rsidR="0004677D" w:rsidRPr="004F117F">
        <w:rPr>
          <w:lang w:val="fr-FR"/>
        </w:rPr>
        <w:t xml:space="preserve">ne peuvent pas utiliser un mécanisme de plainte comparable à celui prévu à la </w:t>
      </w:r>
      <w:r w:rsidR="0004677D" w:rsidRPr="004F117F">
        <w:rPr>
          <w:i/>
          <w:lang w:val="fr-FR"/>
        </w:rPr>
        <w:t>Loi</w:t>
      </w:r>
      <w:r w:rsidR="0004677D" w:rsidRPr="004F117F">
        <w:rPr>
          <w:lang w:val="fr-FR"/>
        </w:rPr>
        <w:t xml:space="preserve"> advenant que leur employeur modifie leurs tâches sans tenir compte des facteurs insidieux qui sont à l</w:t>
      </w:r>
      <w:r w:rsidR="000C1609" w:rsidRPr="004F117F">
        <w:rPr>
          <w:lang w:val="fr-FR"/>
        </w:rPr>
        <w:t>’</w:t>
      </w:r>
      <w:r w:rsidR="0004677D" w:rsidRPr="004F117F">
        <w:rPr>
          <w:lang w:val="fr-FR"/>
        </w:rPr>
        <w:t>origine de la discrimination systémique d</w:t>
      </w:r>
      <w:r w:rsidR="000C1609" w:rsidRPr="004F117F">
        <w:rPr>
          <w:lang w:val="fr-FR"/>
        </w:rPr>
        <w:t>’</w:t>
      </w:r>
      <w:r w:rsidR="0004677D" w:rsidRPr="004F117F">
        <w:rPr>
          <w:lang w:val="fr-FR"/>
        </w:rPr>
        <w:t>un point de vue de l</w:t>
      </w:r>
      <w:r w:rsidR="000C1609" w:rsidRPr="004F117F">
        <w:rPr>
          <w:lang w:val="fr-FR"/>
        </w:rPr>
        <w:t>’</w:t>
      </w:r>
      <w:r w:rsidR="0004677D" w:rsidRPr="004F117F">
        <w:rPr>
          <w:lang w:val="fr-FR"/>
        </w:rPr>
        <w:t>évaluation corrélative de leur rémunération.</w:t>
      </w:r>
    </w:p>
    <w:p w:rsidR="0004677D" w:rsidRPr="004F117F" w:rsidRDefault="0004677D" w:rsidP="00637E44">
      <w:pPr>
        <w:pStyle w:val="SCCNormalDoubleSpacing"/>
        <w:widowControl w:val="0"/>
        <w:spacing w:before="480" w:after="480"/>
        <w:rPr>
          <w:lang w:val="fr-CA"/>
        </w:rPr>
      </w:pPr>
      <w:r w:rsidRPr="004F117F">
        <w:rPr>
          <w:lang w:val="fr-FR"/>
        </w:rPr>
        <w:tab/>
      </w:r>
      <w:r w:rsidRPr="004F117F">
        <w:rPr>
          <w:lang w:val="fr-CA"/>
        </w:rPr>
        <w:t>Dans le cadre du deuxième volet de l</w:t>
      </w:r>
      <w:r w:rsidR="000C1609" w:rsidRPr="004F117F">
        <w:rPr>
          <w:lang w:val="fr-CA"/>
        </w:rPr>
        <w:t>’</w:t>
      </w:r>
      <w:r w:rsidRPr="004F117F">
        <w:rPr>
          <w:lang w:val="fr-CA"/>
        </w:rPr>
        <w:t>ana</w:t>
      </w:r>
      <w:r w:rsidR="006D2D06" w:rsidRPr="004F117F">
        <w:rPr>
          <w:lang w:val="fr-CA"/>
        </w:rPr>
        <w:t xml:space="preserve">lyse fondée sur le </w:t>
      </w:r>
      <w:r w:rsidR="00587D61" w:rsidRPr="004F117F">
        <w:rPr>
          <w:lang w:val="fr-CA"/>
        </w:rPr>
        <w:t>par. </w:t>
      </w:r>
      <w:r w:rsidR="006D2D06" w:rsidRPr="004F117F">
        <w:rPr>
          <w:lang w:val="fr-CA"/>
        </w:rPr>
        <w:t>15(1)</w:t>
      </w:r>
      <w:r w:rsidRPr="004F117F">
        <w:rPr>
          <w:lang w:val="fr-CA"/>
        </w:rPr>
        <w:t>, il faut déterminer si les modifications sont discriminatoires en évaluant si elles répondent aux capacités et aux besoins concrets des membres du groupe ou si elles leur imposent plutôt un fardeau ou leur refusent un avantage d</w:t>
      </w:r>
      <w:r w:rsidR="000C1609" w:rsidRPr="004F117F">
        <w:rPr>
          <w:lang w:val="fr-CA"/>
        </w:rPr>
        <w:t>’</w:t>
      </w:r>
      <w:r w:rsidRPr="004F117F">
        <w:rPr>
          <w:lang w:val="fr-CA"/>
        </w:rPr>
        <w:t>une manière qui a pour effet de renforcer, de perpétuer ou d</w:t>
      </w:r>
      <w:r w:rsidR="000C1609" w:rsidRPr="004F117F">
        <w:rPr>
          <w:lang w:val="fr-CA"/>
        </w:rPr>
        <w:t>’</w:t>
      </w:r>
      <w:r w:rsidRPr="004F117F">
        <w:rPr>
          <w:lang w:val="fr-CA"/>
        </w:rPr>
        <w:t xml:space="preserve">accentuer le désavantage dont ils sont victimes. En </w:t>
      </w:r>
      <w:r w:rsidR="00636FE3" w:rsidRPr="004F117F">
        <w:rPr>
          <w:lang w:val="fr-CA"/>
        </w:rPr>
        <w:lastRenderedPageBreak/>
        <w:t>l</w:t>
      </w:r>
      <w:r w:rsidR="000C1609" w:rsidRPr="004F117F">
        <w:rPr>
          <w:lang w:val="fr-CA"/>
        </w:rPr>
        <w:t>’</w:t>
      </w:r>
      <w:r w:rsidR="006D2D06" w:rsidRPr="004F117F">
        <w:rPr>
          <w:lang w:val="fr-CA"/>
        </w:rPr>
        <w:t>espèce,</w:t>
      </w:r>
      <w:r w:rsidRPr="004F117F">
        <w:rPr>
          <w:lang w:val="fr-CA"/>
        </w:rPr>
        <w:t xml:space="preserve"> l</w:t>
      </w:r>
      <w:r w:rsidR="000C1609" w:rsidRPr="004F117F">
        <w:rPr>
          <w:lang w:val="fr-CA"/>
        </w:rPr>
        <w:t>’</w:t>
      </w:r>
      <w:r w:rsidRPr="004F117F">
        <w:rPr>
          <w:lang w:val="fr-CA"/>
        </w:rPr>
        <w:t>effet discriminatoire de la mesure sur le groupe n</w:t>
      </w:r>
      <w:r w:rsidR="000C1609" w:rsidRPr="004F117F">
        <w:rPr>
          <w:lang w:val="fr-CA"/>
        </w:rPr>
        <w:t>’</w:t>
      </w:r>
      <w:r w:rsidRPr="004F117F">
        <w:rPr>
          <w:lang w:val="fr-CA"/>
        </w:rPr>
        <w:t>a pas été établi</w:t>
      </w:r>
      <w:r w:rsidR="006D2D06" w:rsidRPr="004F117F">
        <w:rPr>
          <w:lang w:val="fr-CA"/>
        </w:rPr>
        <w:t xml:space="preserve">. </w:t>
      </w:r>
      <w:r w:rsidRPr="004F117F">
        <w:rPr>
          <w:lang w:val="fr-CA"/>
        </w:rPr>
        <w:t>Les actes de l</w:t>
      </w:r>
      <w:r w:rsidR="000C1609" w:rsidRPr="004F117F">
        <w:rPr>
          <w:lang w:val="fr-CA"/>
        </w:rPr>
        <w:t>’</w:t>
      </w:r>
      <w:r w:rsidRPr="004F117F">
        <w:rPr>
          <w:lang w:val="fr-CA"/>
        </w:rPr>
        <w:t>État n</w:t>
      </w:r>
      <w:r w:rsidR="000C1609" w:rsidRPr="004F117F">
        <w:rPr>
          <w:lang w:val="fr-CA"/>
        </w:rPr>
        <w:t>’</w:t>
      </w:r>
      <w:r w:rsidRPr="004F117F">
        <w:rPr>
          <w:lang w:val="fr-CA"/>
        </w:rPr>
        <w:t>ont pas pour effet d</w:t>
      </w:r>
      <w:r w:rsidR="000C1609" w:rsidRPr="004F117F">
        <w:rPr>
          <w:lang w:val="fr-CA"/>
        </w:rPr>
        <w:t>’</w:t>
      </w:r>
      <w:r w:rsidRPr="004F117F">
        <w:rPr>
          <w:lang w:val="fr-CA"/>
        </w:rPr>
        <w:t>élargir</w:t>
      </w:r>
      <w:r w:rsidR="00CD74D3" w:rsidRPr="004F117F">
        <w:rPr>
          <w:lang w:val="fr-CA"/>
        </w:rPr>
        <w:t xml:space="preserve"> — au lieu de le rétrécir </w:t>
      </w:r>
      <w:r w:rsidR="007E1610" w:rsidRPr="004F117F">
        <w:rPr>
          <w:lang w:val="fr-CA"/>
        </w:rPr>
        <w:t>—</w:t>
      </w:r>
      <w:r w:rsidR="00B558BB">
        <w:rPr>
          <w:lang w:val="fr-CA"/>
        </w:rPr>
        <w:t xml:space="preserve"> </w:t>
      </w:r>
      <w:r w:rsidRPr="004F117F">
        <w:rPr>
          <w:lang w:val="fr-CA"/>
        </w:rPr>
        <w:t>l</w:t>
      </w:r>
      <w:r w:rsidR="000C1609" w:rsidRPr="004F117F">
        <w:rPr>
          <w:lang w:val="fr-CA"/>
        </w:rPr>
        <w:t>’</w:t>
      </w:r>
      <w:r w:rsidRPr="004F117F">
        <w:rPr>
          <w:lang w:val="fr-CA"/>
        </w:rPr>
        <w:t>écart entre le groupe historiquement défavorisé e</w:t>
      </w:r>
      <w:r w:rsidR="006D2D06" w:rsidRPr="004F117F">
        <w:rPr>
          <w:lang w:val="fr-CA"/>
        </w:rPr>
        <w:t xml:space="preserve">t le reste de la société. </w:t>
      </w:r>
      <w:r w:rsidRPr="004F117F">
        <w:rPr>
          <w:lang w:val="fr-CA"/>
        </w:rPr>
        <w:t>Les facteurs contextuels comme ceux établis dans l</w:t>
      </w:r>
      <w:r w:rsidR="000C1609" w:rsidRPr="004F117F">
        <w:rPr>
          <w:lang w:val="fr-CA"/>
        </w:rPr>
        <w:t>’</w:t>
      </w:r>
      <w:r w:rsidRPr="004F117F">
        <w:rPr>
          <w:lang w:val="fr-CA"/>
        </w:rPr>
        <w:t xml:space="preserve">arrêt </w:t>
      </w:r>
      <w:r w:rsidRPr="004F117F">
        <w:rPr>
          <w:i/>
          <w:lang w:val="fr-CA"/>
        </w:rPr>
        <w:t xml:space="preserve">Law </w:t>
      </w:r>
      <w:r w:rsidRPr="004F117F">
        <w:rPr>
          <w:i/>
          <w:lang w:val="fr-FR"/>
        </w:rPr>
        <w:t>c. Canada (Ministre de l</w:t>
      </w:r>
      <w:r w:rsidR="000C1609" w:rsidRPr="004F117F">
        <w:rPr>
          <w:i/>
          <w:lang w:val="fr-FR"/>
        </w:rPr>
        <w:t>’</w:t>
      </w:r>
      <w:r w:rsidRPr="004F117F">
        <w:rPr>
          <w:i/>
          <w:lang w:val="fr-FR"/>
        </w:rPr>
        <w:t>Emploi et de l</w:t>
      </w:r>
      <w:r w:rsidR="000C1609" w:rsidRPr="004F117F">
        <w:rPr>
          <w:i/>
          <w:lang w:val="fr-FR"/>
        </w:rPr>
        <w:t>’</w:t>
      </w:r>
      <w:r w:rsidRPr="004F117F">
        <w:rPr>
          <w:i/>
          <w:lang w:val="fr-FR"/>
        </w:rPr>
        <w:t>Immigration)</w:t>
      </w:r>
      <w:r w:rsidRPr="004F117F">
        <w:rPr>
          <w:lang w:val="fr-FR"/>
        </w:rPr>
        <w:t xml:space="preserve">, </w:t>
      </w:r>
      <w:r w:rsidRPr="004F117F">
        <w:rPr>
          <w:rStyle w:val="reflex3-alt"/>
          <w:lang w:val="fr-FR"/>
        </w:rPr>
        <w:t>[1999] 1 R.C.S. 497,</w:t>
      </w:r>
      <w:r w:rsidRPr="004F117F">
        <w:rPr>
          <w:i/>
          <w:lang w:val="fr-CA"/>
        </w:rPr>
        <w:t xml:space="preserve"> </w:t>
      </w:r>
      <w:r w:rsidRPr="004F117F">
        <w:rPr>
          <w:lang w:val="fr-CA"/>
        </w:rPr>
        <w:t>à savoir</w:t>
      </w:r>
      <w:r w:rsidR="00587D61" w:rsidRPr="004F117F">
        <w:rPr>
          <w:lang w:val="fr-CA"/>
        </w:rPr>
        <w:t> :</w:t>
      </w:r>
      <w:r w:rsidR="00CD74D3" w:rsidRPr="004F117F">
        <w:rPr>
          <w:rFonts w:eastAsiaTheme="minorHAnsi"/>
          <w:lang w:val="fr-CA"/>
        </w:rPr>
        <w:t xml:space="preserve"> (1) un désavantage préexistant, (2) </w:t>
      </w:r>
      <w:r w:rsidRPr="004F117F">
        <w:rPr>
          <w:rFonts w:eastAsiaTheme="minorHAnsi"/>
          <w:lang w:val="fr-CA"/>
        </w:rPr>
        <w:t>la correspondance de la mesure avec le</w:t>
      </w:r>
      <w:r w:rsidR="00CD74D3" w:rsidRPr="004F117F">
        <w:rPr>
          <w:rFonts w:eastAsiaTheme="minorHAnsi"/>
          <w:lang w:val="fr-CA"/>
        </w:rPr>
        <w:t>s caractéristiques réelles, (3) </w:t>
      </w:r>
      <w:r w:rsidRPr="004F117F">
        <w:rPr>
          <w:rFonts w:eastAsiaTheme="minorHAnsi"/>
          <w:lang w:val="fr-CA"/>
        </w:rPr>
        <w:t>l</w:t>
      </w:r>
      <w:r w:rsidR="000C1609" w:rsidRPr="004F117F">
        <w:rPr>
          <w:rFonts w:eastAsiaTheme="minorHAnsi"/>
          <w:lang w:val="fr-CA"/>
        </w:rPr>
        <w:t>’</w:t>
      </w:r>
      <w:r w:rsidRPr="004F117F">
        <w:rPr>
          <w:rFonts w:eastAsiaTheme="minorHAnsi"/>
          <w:lang w:val="fr-CA"/>
        </w:rPr>
        <w:t>ef</w:t>
      </w:r>
      <w:r w:rsidR="00CD74D3" w:rsidRPr="004F117F">
        <w:rPr>
          <w:rFonts w:eastAsiaTheme="minorHAnsi"/>
          <w:lang w:val="fr-CA"/>
        </w:rPr>
        <w:t>fet sur d</w:t>
      </w:r>
      <w:r w:rsidR="000C1609" w:rsidRPr="004F117F">
        <w:rPr>
          <w:rFonts w:eastAsiaTheme="minorHAnsi"/>
          <w:lang w:val="fr-CA"/>
        </w:rPr>
        <w:t>’</w:t>
      </w:r>
      <w:r w:rsidR="00CD74D3" w:rsidRPr="004F117F">
        <w:rPr>
          <w:rFonts w:eastAsiaTheme="minorHAnsi"/>
          <w:lang w:val="fr-CA"/>
        </w:rPr>
        <w:t>autres groupes et (4) </w:t>
      </w:r>
      <w:r w:rsidRPr="004F117F">
        <w:rPr>
          <w:rFonts w:eastAsiaTheme="minorHAnsi"/>
          <w:lang w:val="fr-CA"/>
        </w:rPr>
        <w:t xml:space="preserve">la nature </w:t>
      </w:r>
      <w:r w:rsidR="006D2D06" w:rsidRPr="004F117F">
        <w:rPr>
          <w:rFonts w:eastAsiaTheme="minorHAnsi"/>
          <w:lang w:val="fr-CA"/>
        </w:rPr>
        <w:t>du droit touché, sont</w:t>
      </w:r>
      <w:r w:rsidRPr="004F117F">
        <w:rPr>
          <w:lang w:val="fr-CA"/>
        </w:rPr>
        <w:t xml:space="preserve"> utiles pour déterminer si une distinction particulière est discriminatoire. </w:t>
      </w:r>
    </w:p>
    <w:p w:rsidR="0004677D" w:rsidRPr="004F117F" w:rsidRDefault="006D2D06" w:rsidP="00637E44">
      <w:pPr>
        <w:pStyle w:val="SCCNormalDoubleSpacing"/>
        <w:widowControl w:val="0"/>
        <w:spacing w:before="480" w:after="480"/>
        <w:rPr>
          <w:lang w:val="fr-FR"/>
        </w:rPr>
      </w:pPr>
      <w:r w:rsidRPr="004F117F">
        <w:rPr>
          <w:lang w:val="fr-CA"/>
        </w:rPr>
        <w:tab/>
      </w:r>
      <w:r w:rsidR="0004677D" w:rsidRPr="004F117F">
        <w:rPr>
          <w:lang w:val="fr-CA"/>
        </w:rPr>
        <w:t>Bien que les femmes font l</w:t>
      </w:r>
      <w:r w:rsidR="000C1609" w:rsidRPr="004F117F">
        <w:rPr>
          <w:lang w:val="fr-CA"/>
        </w:rPr>
        <w:t>’</w:t>
      </w:r>
      <w:r w:rsidR="0004677D" w:rsidRPr="004F117F">
        <w:rPr>
          <w:lang w:val="fr-CA"/>
        </w:rPr>
        <w:t>objet de discrimination systémique</w:t>
      </w:r>
      <w:r w:rsidRPr="004F117F">
        <w:rPr>
          <w:lang w:val="fr-CA"/>
        </w:rPr>
        <w:t xml:space="preserve"> au chapitre de la rémunération,</w:t>
      </w:r>
      <w:r w:rsidR="0004677D" w:rsidRPr="004F117F">
        <w:rPr>
          <w:lang w:val="fr-CA"/>
        </w:rPr>
        <w:t xml:space="preserve"> les articles contestés ne perpétuent pas, ni ne renforcent, l</w:t>
      </w:r>
      <w:r w:rsidR="000C1609" w:rsidRPr="004F117F">
        <w:rPr>
          <w:lang w:val="fr-CA"/>
        </w:rPr>
        <w:t>’</w:t>
      </w:r>
      <w:r w:rsidR="0004677D" w:rsidRPr="004F117F">
        <w:rPr>
          <w:lang w:val="fr-CA"/>
        </w:rPr>
        <w:t>idée que les femmes peuvent être moins bien rémunérées simplement parce qu</w:t>
      </w:r>
      <w:r w:rsidR="000C1609" w:rsidRPr="004F117F">
        <w:rPr>
          <w:lang w:val="fr-CA"/>
        </w:rPr>
        <w:t>’</w:t>
      </w:r>
      <w:r w:rsidR="0004677D" w:rsidRPr="004F117F">
        <w:rPr>
          <w:lang w:val="fr-CA"/>
        </w:rPr>
        <w:t xml:space="preserve">elles sont des femmes. La </w:t>
      </w:r>
      <w:r w:rsidR="0004677D" w:rsidRPr="004F117F">
        <w:rPr>
          <w:i/>
          <w:lang w:val="fr-CA"/>
        </w:rPr>
        <w:t>Loi</w:t>
      </w:r>
      <w:r w:rsidR="0004677D" w:rsidRPr="004F117F">
        <w:rPr>
          <w:lang w:val="fr-CA"/>
        </w:rPr>
        <w:t xml:space="preserve"> a pour but</w:t>
      </w:r>
      <w:r w:rsidR="0004677D" w:rsidRPr="004F117F">
        <w:rPr>
          <w:i/>
          <w:lang w:val="fr-CA"/>
        </w:rPr>
        <w:t xml:space="preserve"> </w:t>
      </w:r>
      <w:r w:rsidR="0004677D" w:rsidRPr="004F117F">
        <w:rPr>
          <w:lang w:val="fr-CA"/>
        </w:rPr>
        <w:t>d</w:t>
      </w:r>
      <w:r w:rsidR="000C1609" w:rsidRPr="004F117F">
        <w:rPr>
          <w:lang w:val="fr-CA"/>
        </w:rPr>
        <w:t>’</w:t>
      </w:r>
      <w:r w:rsidR="0004677D" w:rsidRPr="004F117F">
        <w:rPr>
          <w:lang w:val="fr-CA"/>
        </w:rPr>
        <w:t xml:space="preserve">éradiquer de façon permanente les iniquités salariales en mettant sur pied un mécanisme de maintien aux </w:t>
      </w:r>
      <w:r w:rsidR="00587D61" w:rsidRPr="004F117F">
        <w:rPr>
          <w:lang w:val="fr-CA"/>
        </w:rPr>
        <w:t>art. </w:t>
      </w:r>
      <w:r w:rsidR="0004677D" w:rsidRPr="004F117F">
        <w:rPr>
          <w:lang w:val="fr-CA"/>
        </w:rPr>
        <w:t>76.1 à 76.9.</w:t>
      </w:r>
      <w:r w:rsidRPr="004F117F">
        <w:rPr>
          <w:lang w:val="fr-CA"/>
        </w:rPr>
        <w:t xml:space="preserve"> </w:t>
      </w:r>
      <w:r w:rsidR="0004677D" w:rsidRPr="004F117F">
        <w:rPr>
          <w:lang w:val="fr-CA"/>
        </w:rPr>
        <w:t xml:space="preserve">Ce </w:t>
      </w:r>
      <w:r w:rsidR="0004677D" w:rsidRPr="004F117F">
        <w:rPr>
          <w:lang w:val="fr-FR"/>
        </w:rPr>
        <w:t>nouveau mécanisme ré</w:t>
      </w:r>
      <w:r w:rsidRPr="004F117F">
        <w:rPr>
          <w:lang w:val="fr-FR"/>
        </w:rPr>
        <w:t>pond</w:t>
      </w:r>
      <w:r w:rsidR="0004677D" w:rsidRPr="004F117F">
        <w:rPr>
          <w:lang w:val="fr-FR"/>
        </w:rPr>
        <w:t xml:space="preserve"> aux besoins des femmes visées en ce qu</w:t>
      </w:r>
      <w:r w:rsidR="000C1609" w:rsidRPr="004F117F">
        <w:rPr>
          <w:lang w:val="fr-FR"/>
        </w:rPr>
        <w:t>’</w:t>
      </w:r>
      <w:r w:rsidR="0004677D" w:rsidRPr="004F117F">
        <w:rPr>
          <w:lang w:val="fr-FR"/>
        </w:rPr>
        <w:t>il empêche efficacement les abus de la part des employeurs, en plus d</w:t>
      </w:r>
      <w:r w:rsidR="000C1609" w:rsidRPr="004F117F">
        <w:rPr>
          <w:lang w:val="fr-FR"/>
        </w:rPr>
        <w:t>’</w:t>
      </w:r>
      <w:r w:rsidR="0004677D" w:rsidRPr="004F117F">
        <w:rPr>
          <w:lang w:val="fr-FR"/>
        </w:rPr>
        <w:t>offrir une</w:t>
      </w:r>
      <w:r w:rsidRPr="004F117F">
        <w:rPr>
          <w:lang w:val="fr-FR"/>
        </w:rPr>
        <w:t xml:space="preserve"> évaluation périodique de leur rémunération. </w:t>
      </w:r>
      <w:r w:rsidRPr="004F117F">
        <w:rPr>
          <w:iCs/>
          <w:lang w:val="fr-FR"/>
        </w:rPr>
        <w:t>L</w:t>
      </w:r>
      <w:r w:rsidR="0004677D" w:rsidRPr="004F117F">
        <w:rPr>
          <w:iCs/>
          <w:lang w:val="fr-FR"/>
        </w:rPr>
        <w:t xml:space="preserve">e régime créé par la </w:t>
      </w:r>
      <w:r w:rsidR="0004677D" w:rsidRPr="004F117F">
        <w:rPr>
          <w:i/>
          <w:iCs/>
          <w:lang w:val="fr-FR"/>
        </w:rPr>
        <w:t xml:space="preserve">Loi </w:t>
      </w:r>
      <w:r w:rsidRPr="004F117F">
        <w:rPr>
          <w:iCs/>
          <w:lang w:val="fr-FR"/>
        </w:rPr>
        <w:t>ne vise qu</w:t>
      </w:r>
      <w:r w:rsidR="000C1609" w:rsidRPr="004F117F">
        <w:rPr>
          <w:iCs/>
          <w:lang w:val="fr-FR"/>
        </w:rPr>
        <w:t>’</w:t>
      </w:r>
      <w:r w:rsidRPr="004F117F">
        <w:rPr>
          <w:iCs/>
          <w:lang w:val="fr-FR"/>
        </w:rPr>
        <w:t>un seul</w:t>
      </w:r>
      <w:r w:rsidR="0004677D" w:rsidRPr="004F117F">
        <w:rPr>
          <w:iCs/>
          <w:lang w:val="fr-FR"/>
        </w:rPr>
        <w:t xml:space="preserve"> motif de discrimination, soit celui fondé sur le sexe, et ne touche qu</w:t>
      </w:r>
      <w:r w:rsidR="000C1609" w:rsidRPr="004F117F">
        <w:rPr>
          <w:iCs/>
          <w:lang w:val="fr-FR"/>
        </w:rPr>
        <w:t>’</w:t>
      </w:r>
      <w:r w:rsidR="0004677D" w:rsidRPr="004F117F">
        <w:rPr>
          <w:iCs/>
          <w:lang w:val="fr-FR"/>
        </w:rPr>
        <w:t>une partie réduite des salariées au Québec, à savoir les femmes occupant des emplois dans des catégories d</w:t>
      </w:r>
      <w:r w:rsidR="000C1609" w:rsidRPr="004F117F">
        <w:rPr>
          <w:iCs/>
          <w:lang w:val="fr-FR"/>
        </w:rPr>
        <w:t>’</w:t>
      </w:r>
      <w:r w:rsidR="0004677D" w:rsidRPr="004F117F">
        <w:rPr>
          <w:iCs/>
          <w:lang w:val="fr-FR"/>
        </w:rPr>
        <w:t xml:space="preserve">emploi à prédominance féminine dans </w:t>
      </w:r>
      <w:r w:rsidRPr="004F117F">
        <w:rPr>
          <w:iCs/>
          <w:lang w:val="fr-FR"/>
        </w:rPr>
        <w:t>une entreprise comprenant 10 </w:t>
      </w:r>
      <w:r w:rsidR="0004677D" w:rsidRPr="004F117F">
        <w:rPr>
          <w:iCs/>
          <w:lang w:val="fr-FR"/>
        </w:rPr>
        <w:t>salariés ou plus</w:t>
      </w:r>
      <w:r w:rsidR="0004677D" w:rsidRPr="004F117F">
        <w:rPr>
          <w:lang w:val="fr-FR"/>
        </w:rPr>
        <w:t>.</w:t>
      </w:r>
      <w:r w:rsidRPr="004F117F">
        <w:rPr>
          <w:lang w:val="fr-FR"/>
        </w:rPr>
        <w:t xml:space="preserve"> </w:t>
      </w:r>
      <w:r w:rsidR="0004677D" w:rsidRPr="004F117F">
        <w:rPr>
          <w:lang w:val="fr-CA"/>
        </w:rPr>
        <w:t xml:space="preserve">Il ne fait pas de doute que le travail est un aspect important de la vie et il représente pour bien des gens une grande partie de leur identité. Par le biais de la </w:t>
      </w:r>
      <w:r w:rsidR="0004677D" w:rsidRPr="004F117F">
        <w:rPr>
          <w:i/>
          <w:lang w:val="fr-CA"/>
        </w:rPr>
        <w:t>Loi</w:t>
      </w:r>
      <w:r w:rsidRPr="004F117F">
        <w:rPr>
          <w:lang w:val="fr-CA"/>
        </w:rPr>
        <w:t xml:space="preserve">, </w:t>
      </w:r>
      <w:r w:rsidR="0004677D" w:rsidRPr="004F117F">
        <w:rPr>
          <w:lang w:val="fr-CA"/>
        </w:rPr>
        <w:t>le législateur québécois reconnaît la nature de l</w:t>
      </w:r>
      <w:r w:rsidR="000C1609" w:rsidRPr="004F117F">
        <w:rPr>
          <w:lang w:val="fr-CA"/>
        </w:rPr>
        <w:t>’</w:t>
      </w:r>
      <w:r w:rsidR="0004677D" w:rsidRPr="004F117F">
        <w:rPr>
          <w:lang w:val="fr-CA"/>
        </w:rPr>
        <w:t>équité salariale et s</w:t>
      </w:r>
      <w:r w:rsidRPr="004F117F">
        <w:rPr>
          <w:lang w:val="fr-CA"/>
        </w:rPr>
        <w:t>on importance pour les femmes. Toutefois,</w:t>
      </w:r>
      <w:r w:rsidR="0004677D" w:rsidRPr="004F117F">
        <w:rPr>
          <w:lang w:val="fr-CA"/>
        </w:rPr>
        <w:t xml:space="preserve"> les mesures mises </w:t>
      </w:r>
      <w:r w:rsidR="0004677D" w:rsidRPr="004F117F">
        <w:rPr>
          <w:lang w:val="fr-CA"/>
        </w:rPr>
        <w:lastRenderedPageBreak/>
        <w:t>en place n</w:t>
      </w:r>
      <w:r w:rsidR="000C1609" w:rsidRPr="004F117F">
        <w:rPr>
          <w:lang w:val="fr-CA"/>
        </w:rPr>
        <w:t>’</w:t>
      </w:r>
      <w:r w:rsidR="0004677D" w:rsidRPr="004F117F">
        <w:rPr>
          <w:lang w:val="fr-CA"/>
        </w:rPr>
        <w:t>ont pas constitutionnalisé l</w:t>
      </w:r>
      <w:r w:rsidR="000C1609" w:rsidRPr="004F117F">
        <w:rPr>
          <w:lang w:val="fr-CA"/>
        </w:rPr>
        <w:t>’</w:t>
      </w:r>
      <w:r w:rsidR="0004677D" w:rsidRPr="004F117F">
        <w:rPr>
          <w:lang w:val="fr-CA"/>
        </w:rPr>
        <w:t>équité salariale au risque de rendre les mesures impossibles à modifier</w:t>
      </w:r>
      <w:r w:rsidR="00CD74D3" w:rsidRPr="004F117F">
        <w:rPr>
          <w:lang w:val="fr-CA"/>
        </w:rPr>
        <w:t>.</w:t>
      </w:r>
      <w:r w:rsidR="007E1610" w:rsidRPr="004F117F">
        <w:rPr>
          <w:lang w:val="fr-CA"/>
        </w:rPr>
        <w:t xml:space="preserve"> </w:t>
      </w:r>
    </w:p>
    <w:p w:rsidR="0004677D" w:rsidRPr="004F117F" w:rsidRDefault="006D2D06" w:rsidP="00637E44">
      <w:pPr>
        <w:pStyle w:val="SCCNormalDoubleSpacing"/>
        <w:widowControl w:val="0"/>
        <w:spacing w:before="480" w:after="480"/>
        <w:rPr>
          <w:lang w:val="fr-CA"/>
        </w:rPr>
      </w:pPr>
      <w:r w:rsidRPr="004F117F">
        <w:rPr>
          <w:rFonts w:eastAsiaTheme="minorHAnsi"/>
          <w:lang w:val="fr-CA"/>
        </w:rPr>
        <w:tab/>
      </w:r>
      <w:r w:rsidRPr="004F117F">
        <w:rPr>
          <w:lang w:val="fr-CA"/>
        </w:rPr>
        <w:t>Puisque</w:t>
      </w:r>
      <w:r w:rsidR="0004677D" w:rsidRPr="004F117F">
        <w:rPr>
          <w:lang w:val="fr-CA"/>
        </w:rPr>
        <w:t xml:space="preserve"> c</w:t>
      </w:r>
      <w:r w:rsidR="000C1609" w:rsidRPr="004F117F">
        <w:rPr>
          <w:lang w:val="fr-CA"/>
        </w:rPr>
        <w:t>’</w:t>
      </w:r>
      <w:r w:rsidR="0004677D" w:rsidRPr="004F117F">
        <w:rPr>
          <w:lang w:val="fr-CA"/>
        </w:rPr>
        <w:t>est le groupe visé par un motif énuméré qui soulève le caractère discriminatoire des effets d</w:t>
      </w:r>
      <w:r w:rsidR="000C1609" w:rsidRPr="004F117F">
        <w:rPr>
          <w:lang w:val="fr-CA"/>
        </w:rPr>
        <w:t>’</w:t>
      </w:r>
      <w:r w:rsidR="0004677D" w:rsidRPr="004F117F">
        <w:rPr>
          <w:lang w:val="fr-CA"/>
        </w:rPr>
        <w:t xml:space="preserve">une loi visant spécifiquement à améliorer </w:t>
      </w:r>
      <w:r w:rsidRPr="004F117F">
        <w:rPr>
          <w:lang w:val="fr-CA"/>
        </w:rPr>
        <w:t xml:space="preserve">la situation de ses membres, </w:t>
      </w:r>
      <w:r w:rsidR="0004677D" w:rsidRPr="004F117F">
        <w:rPr>
          <w:lang w:val="fr-CA"/>
        </w:rPr>
        <w:t>il faut déplacer l</w:t>
      </w:r>
      <w:r w:rsidR="000C1609" w:rsidRPr="004F117F">
        <w:rPr>
          <w:lang w:val="fr-CA"/>
        </w:rPr>
        <w:t>’</w:t>
      </w:r>
      <w:r w:rsidR="0004677D" w:rsidRPr="004F117F">
        <w:rPr>
          <w:lang w:val="fr-CA"/>
        </w:rPr>
        <w:t xml:space="preserve">analyse relative au </w:t>
      </w:r>
      <w:r w:rsidR="00587D61" w:rsidRPr="004F117F">
        <w:rPr>
          <w:lang w:val="fr-CA"/>
        </w:rPr>
        <w:t>par. </w:t>
      </w:r>
      <w:r w:rsidR="0004677D" w:rsidRPr="004F117F">
        <w:rPr>
          <w:lang w:val="fr-CA"/>
        </w:rPr>
        <w:t>15(2), à la suite de l</w:t>
      </w:r>
      <w:r w:rsidR="000C1609" w:rsidRPr="004F117F">
        <w:rPr>
          <w:lang w:val="fr-CA"/>
        </w:rPr>
        <w:t>’</w:t>
      </w:r>
      <w:r w:rsidR="0004677D" w:rsidRPr="004F117F">
        <w:rPr>
          <w:lang w:val="fr-CA"/>
        </w:rPr>
        <w:t xml:space="preserve">analyse complète fondée sur le </w:t>
      </w:r>
      <w:r w:rsidR="00587D61" w:rsidRPr="004F117F">
        <w:rPr>
          <w:lang w:val="fr-CA"/>
        </w:rPr>
        <w:t>par. </w:t>
      </w:r>
      <w:r w:rsidR="0004677D" w:rsidRPr="004F117F">
        <w:rPr>
          <w:lang w:val="fr-CA"/>
        </w:rPr>
        <w:t xml:space="preserve">15(1). Appliquer la méthode proposée dans </w:t>
      </w:r>
      <w:r w:rsidR="0004677D" w:rsidRPr="004F117F">
        <w:rPr>
          <w:i/>
          <w:lang w:val="fr-CA"/>
        </w:rPr>
        <w:t>R. c. Kapp</w:t>
      </w:r>
      <w:r w:rsidR="0004677D" w:rsidRPr="004F117F">
        <w:rPr>
          <w:lang w:val="fr-CA"/>
        </w:rPr>
        <w:t>, 200</w:t>
      </w:r>
      <w:r w:rsidRPr="004F117F">
        <w:rPr>
          <w:lang w:val="fr-CA"/>
        </w:rPr>
        <w:t xml:space="preserve">8 CSC 41, [2008] 2 R.C.S. 483, </w:t>
      </w:r>
      <w:r w:rsidR="0004677D" w:rsidRPr="004F117F">
        <w:rPr>
          <w:lang w:val="fr-FR"/>
        </w:rPr>
        <w:t xml:space="preserve">qui consiste à </w:t>
      </w:r>
      <w:r w:rsidR="0004677D" w:rsidRPr="004F117F">
        <w:rPr>
          <w:lang w:val="fr-CA"/>
        </w:rPr>
        <w:t>se pencher sur l</w:t>
      </w:r>
      <w:r w:rsidR="000C1609" w:rsidRPr="004F117F">
        <w:rPr>
          <w:lang w:val="fr-CA"/>
        </w:rPr>
        <w:t>’</w:t>
      </w:r>
      <w:r w:rsidR="0004677D" w:rsidRPr="004F117F">
        <w:rPr>
          <w:lang w:val="fr-CA"/>
        </w:rPr>
        <w:t xml:space="preserve">application du </w:t>
      </w:r>
      <w:r w:rsidR="00587D61" w:rsidRPr="004F117F">
        <w:rPr>
          <w:lang w:val="fr-CA"/>
        </w:rPr>
        <w:t>par. </w:t>
      </w:r>
      <w:r w:rsidR="0004677D" w:rsidRPr="004F117F">
        <w:rPr>
          <w:lang w:val="fr-CA"/>
        </w:rPr>
        <w:t>15(2) avant de passer au second volet de l</w:t>
      </w:r>
      <w:r w:rsidR="000C1609" w:rsidRPr="004F117F">
        <w:rPr>
          <w:lang w:val="fr-CA"/>
        </w:rPr>
        <w:t>’</w:t>
      </w:r>
      <w:r w:rsidR="0004677D" w:rsidRPr="004F117F">
        <w:rPr>
          <w:lang w:val="fr-CA"/>
        </w:rPr>
        <w:t>anal</w:t>
      </w:r>
      <w:r w:rsidRPr="004F117F">
        <w:rPr>
          <w:lang w:val="fr-CA"/>
        </w:rPr>
        <w:t xml:space="preserve">yse que commande le </w:t>
      </w:r>
      <w:r w:rsidR="00587D61" w:rsidRPr="004F117F">
        <w:rPr>
          <w:lang w:val="fr-CA"/>
        </w:rPr>
        <w:t>par. </w:t>
      </w:r>
      <w:r w:rsidRPr="004F117F">
        <w:rPr>
          <w:lang w:val="fr-CA"/>
        </w:rPr>
        <w:t>15(1) afin</w:t>
      </w:r>
      <w:r w:rsidR="0004677D" w:rsidRPr="004F117F">
        <w:rPr>
          <w:lang w:val="fr-CA"/>
        </w:rPr>
        <w:t xml:space="preserve"> d</w:t>
      </w:r>
      <w:r w:rsidR="000C1609" w:rsidRPr="004F117F">
        <w:rPr>
          <w:lang w:val="fr-CA"/>
        </w:rPr>
        <w:t>’</w:t>
      </w:r>
      <w:r w:rsidR="0004677D" w:rsidRPr="004F117F">
        <w:rPr>
          <w:lang w:val="fr-CA"/>
        </w:rPr>
        <w:t>éviter de conclure à une violation du droit à l</w:t>
      </w:r>
      <w:r w:rsidR="000C1609" w:rsidRPr="004F117F">
        <w:rPr>
          <w:lang w:val="fr-CA"/>
        </w:rPr>
        <w:t>’</w:t>
      </w:r>
      <w:r w:rsidR="0004677D" w:rsidRPr="004F117F">
        <w:rPr>
          <w:lang w:val="fr-CA"/>
        </w:rPr>
        <w:t>égalité avant de valider la</w:t>
      </w:r>
      <w:r w:rsidRPr="004F117F">
        <w:rPr>
          <w:lang w:val="fr-CA"/>
        </w:rPr>
        <w:t xml:space="preserve"> mesure contestée,</w:t>
      </w:r>
      <w:r w:rsidR="0004677D" w:rsidRPr="004F117F">
        <w:rPr>
          <w:lang w:val="fr-CA"/>
        </w:rPr>
        <w:t xml:space="preserve"> aurait pour effet de mettre fin prématurément à l</w:t>
      </w:r>
      <w:r w:rsidR="000C1609" w:rsidRPr="004F117F">
        <w:rPr>
          <w:lang w:val="fr-CA"/>
        </w:rPr>
        <w:t>’</w:t>
      </w:r>
      <w:r w:rsidR="0004677D" w:rsidRPr="004F117F">
        <w:rPr>
          <w:lang w:val="fr-CA"/>
        </w:rPr>
        <w:t xml:space="preserve">analyse. </w:t>
      </w:r>
      <w:r w:rsidRPr="004F117F">
        <w:rPr>
          <w:lang w:val="fr-CA"/>
        </w:rPr>
        <w:t>L</w:t>
      </w:r>
      <w:r w:rsidR="000C1609" w:rsidRPr="004F117F">
        <w:rPr>
          <w:lang w:val="fr-CA"/>
        </w:rPr>
        <w:t>’</w:t>
      </w:r>
      <w:r w:rsidR="0004677D" w:rsidRPr="004F117F">
        <w:rPr>
          <w:lang w:val="fr-CA"/>
        </w:rPr>
        <w:t>ordre de priorité établi dans l</w:t>
      </w:r>
      <w:r w:rsidR="000C1609" w:rsidRPr="004F117F">
        <w:rPr>
          <w:lang w:val="fr-CA"/>
        </w:rPr>
        <w:t>’</w:t>
      </w:r>
      <w:r w:rsidR="0004677D" w:rsidRPr="004F117F">
        <w:rPr>
          <w:lang w:val="fr-CA"/>
        </w:rPr>
        <w:t xml:space="preserve">arrêt </w:t>
      </w:r>
      <w:r w:rsidR="0004677D" w:rsidRPr="004F117F">
        <w:rPr>
          <w:i/>
          <w:lang w:val="fr-CA"/>
        </w:rPr>
        <w:t>Kapp</w:t>
      </w:r>
      <w:r w:rsidRPr="004F117F">
        <w:rPr>
          <w:lang w:val="fr-CA"/>
        </w:rPr>
        <w:t xml:space="preserve"> doit être suivi</w:t>
      </w:r>
      <w:r w:rsidR="0004677D" w:rsidRPr="004F117F">
        <w:rPr>
          <w:lang w:val="fr-CA"/>
        </w:rPr>
        <w:t xml:space="preserve"> dans toutes les autres situations où le demandeu</w:t>
      </w:r>
      <w:r w:rsidRPr="004F117F">
        <w:rPr>
          <w:lang w:val="fr-CA"/>
        </w:rPr>
        <w:t>r ne fait pas partie du groupe visé par la loi.</w:t>
      </w:r>
      <w:r w:rsidR="0004677D" w:rsidRPr="004F117F">
        <w:rPr>
          <w:lang w:val="fr-CA"/>
        </w:rPr>
        <w:t xml:space="preserve"> En l</w:t>
      </w:r>
      <w:r w:rsidR="000C1609" w:rsidRPr="004F117F">
        <w:rPr>
          <w:lang w:val="fr-CA"/>
        </w:rPr>
        <w:t>’</w:t>
      </w:r>
      <w:r w:rsidR="0004677D" w:rsidRPr="004F117F">
        <w:rPr>
          <w:lang w:val="fr-CA"/>
        </w:rPr>
        <w:t>espèce, même s</w:t>
      </w:r>
      <w:r w:rsidR="000C1609" w:rsidRPr="004F117F">
        <w:rPr>
          <w:lang w:val="fr-CA"/>
        </w:rPr>
        <w:t>’</w:t>
      </w:r>
      <w:r w:rsidR="0004677D" w:rsidRPr="004F117F">
        <w:rPr>
          <w:lang w:val="fr-CA"/>
        </w:rPr>
        <w:t>il fallait conclure que le mécanisme spécifique prévu dans les modifications législatives peut être qualifié de discriminatoire, l</w:t>
      </w:r>
      <w:r w:rsidR="000C1609" w:rsidRPr="004F117F">
        <w:rPr>
          <w:lang w:val="fr-CA"/>
        </w:rPr>
        <w:t>’</w:t>
      </w:r>
      <w:r w:rsidR="0004677D" w:rsidRPr="004F117F">
        <w:rPr>
          <w:lang w:val="fr-CA"/>
        </w:rPr>
        <w:t xml:space="preserve">ensemble de la </w:t>
      </w:r>
      <w:r w:rsidR="0004677D" w:rsidRPr="004F117F">
        <w:rPr>
          <w:i/>
          <w:lang w:val="fr-CA"/>
        </w:rPr>
        <w:t>Loi</w:t>
      </w:r>
      <w:r w:rsidR="0004677D" w:rsidRPr="004F117F">
        <w:rPr>
          <w:lang w:val="fr-CA"/>
        </w:rPr>
        <w:t xml:space="preserve"> devrait être protégé par a</w:t>
      </w:r>
      <w:r w:rsidRPr="004F117F">
        <w:rPr>
          <w:lang w:val="fr-CA"/>
        </w:rPr>
        <w:t xml:space="preserve">pplication du </w:t>
      </w:r>
      <w:r w:rsidR="00587D61" w:rsidRPr="004F117F">
        <w:rPr>
          <w:lang w:val="fr-CA"/>
        </w:rPr>
        <w:t>par. </w:t>
      </w:r>
      <w:r w:rsidRPr="004F117F">
        <w:rPr>
          <w:lang w:val="fr-CA"/>
        </w:rPr>
        <w:t xml:space="preserve">15(2). </w:t>
      </w:r>
      <w:r w:rsidR="0004677D" w:rsidRPr="004F117F">
        <w:rPr>
          <w:lang w:val="fr-CA"/>
        </w:rPr>
        <w:t xml:space="preserve">En effet, il ne fait pas de doute que la </w:t>
      </w:r>
      <w:r w:rsidR="0004677D" w:rsidRPr="004F117F">
        <w:rPr>
          <w:i/>
          <w:lang w:val="fr-CA"/>
        </w:rPr>
        <w:t>Loi</w:t>
      </w:r>
      <w:r w:rsidR="0004677D" w:rsidRPr="004F117F">
        <w:rPr>
          <w:lang w:val="fr-CA"/>
        </w:rPr>
        <w:t xml:space="preserve"> a pour objet véritable la promotion et l</w:t>
      </w:r>
      <w:r w:rsidR="000C1609" w:rsidRPr="004F117F">
        <w:rPr>
          <w:lang w:val="fr-CA"/>
        </w:rPr>
        <w:t>’</w:t>
      </w:r>
      <w:r w:rsidR="0004677D" w:rsidRPr="004F117F">
        <w:rPr>
          <w:lang w:val="fr-CA"/>
        </w:rPr>
        <w:t>att</w:t>
      </w:r>
      <w:r w:rsidRPr="004F117F">
        <w:rPr>
          <w:lang w:val="fr-CA"/>
        </w:rPr>
        <w:t>einte de l</w:t>
      </w:r>
      <w:r w:rsidR="000C1609" w:rsidRPr="004F117F">
        <w:rPr>
          <w:lang w:val="fr-CA"/>
        </w:rPr>
        <w:t>’</w:t>
      </w:r>
      <w:r w:rsidRPr="004F117F">
        <w:rPr>
          <w:lang w:val="fr-CA"/>
        </w:rPr>
        <w:t>égalité réelle car elle met</w:t>
      </w:r>
      <w:r w:rsidR="0004677D" w:rsidRPr="004F117F">
        <w:rPr>
          <w:lang w:val="fr-CA"/>
        </w:rPr>
        <w:t xml:space="preserve"> en place des mesures visant à combattre la discrimination systémique. </w:t>
      </w:r>
    </w:p>
    <w:p w:rsidR="004D7D95" w:rsidRPr="004F117F" w:rsidRDefault="004D7D95" w:rsidP="00637E44">
      <w:pPr>
        <w:pStyle w:val="SCCNormalDoubleSpacing"/>
        <w:widowControl w:val="0"/>
        <w:spacing w:after="720" w:line="240" w:lineRule="auto"/>
        <w:rPr>
          <w:b/>
          <w:lang w:val="fr-CA"/>
        </w:rPr>
      </w:pPr>
      <w:r w:rsidRPr="004F117F">
        <w:rPr>
          <w:b/>
          <w:lang w:val="fr-CA"/>
        </w:rPr>
        <w:t>Jurisprudence</w:t>
      </w:r>
    </w:p>
    <w:p w:rsidR="00FF3F48" w:rsidRPr="004F117F" w:rsidRDefault="00977698" w:rsidP="00637E44">
      <w:pPr>
        <w:pStyle w:val="SCCNormalDoubleSpacing"/>
        <w:widowControl w:val="0"/>
        <w:spacing w:after="720" w:line="240" w:lineRule="auto"/>
        <w:rPr>
          <w:lang w:val="fr-CA"/>
        </w:rPr>
      </w:pPr>
      <w:r w:rsidRPr="004F117F">
        <w:rPr>
          <w:lang w:val="fr-CA"/>
        </w:rPr>
        <w:t>Citée par la juge Abella</w:t>
      </w:r>
    </w:p>
    <w:p w:rsidR="004D7D95" w:rsidRPr="004F117F" w:rsidRDefault="004D7D95" w:rsidP="00637E44">
      <w:pPr>
        <w:pStyle w:val="SCCNormalDoubleSpacing"/>
        <w:widowControl w:val="0"/>
        <w:spacing w:before="480" w:after="480"/>
        <w:rPr>
          <w:lang w:val="fr-CA"/>
        </w:rPr>
      </w:pPr>
      <w:r w:rsidRPr="004F117F">
        <w:rPr>
          <w:lang w:val="fr-CA"/>
        </w:rPr>
        <w:tab/>
      </w:r>
      <w:r w:rsidRPr="004F117F">
        <w:rPr>
          <w:b/>
          <w:lang w:val="fr-CA"/>
        </w:rPr>
        <w:t>Arrêt</w:t>
      </w:r>
      <w:r w:rsidR="00FB6233" w:rsidRPr="004F117F">
        <w:rPr>
          <w:b/>
          <w:lang w:val="fr-CA"/>
        </w:rPr>
        <w:t>s</w:t>
      </w:r>
      <w:r w:rsidR="008E2E01" w:rsidRPr="004F117F">
        <w:rPr>
          <w:b/>
          <w:lang w:val="fr-CA"/>
        </w:rPr>
        <w:t xml:space="preserve"> appliqué</w:t>
      </w:r>
      <w:r w:rsidR="00FB6233" w:rsidRPr="004F117F">
        <w:rPr>
          <w:b/>
          <w:lang w:val="fr-CA"/>
        </w:rPr>
        <w:t>s</w:t>
      </w:r>
      <w:r w:rsidR="00587D61" w:rsidRPr="004F117F">
        <w:rPr>
          <w:b/>
          <w:lang w:val="fr-CA"/>
        </w:rPr>
        <w:t> :</w:t>
      </w:r>
      <w:r w:rsidR="008E2E01" w:rsidRPr="004F117F">
        <w:rPr>
          <w:b/>
          <w:lang w:val="fr-CA"/>
        </w:rPr>
        <w:t xml:space="preserve"> </w:t>
      </w:r>
      <w:r w:rsidR="008E2E01" w:rsidRPr="004F117F">
        <w:rPr>
          <w:i/>
          <w:lang w:val="fr-CA"/>
        </w:rPr>
        <w:t>Première Nation de</w:t>
      </w:r>
      <w:r w:rsidR="008E2E01" w:rsidRPr="004F117F">
        <w:rPr>
          <w:lang w:val="fr-CA"/>
        </w:rPr>
        <w:t xml:space="preserve"> </w:t>
      </w:r>
      <w:r w:rsidR="008E2E01" w:rsidRPr="004F117F">
        <w:rPr>
          <w:i/>
          <w:lang w:val="fr-CA"/>
        </w:rPr>
        <w:t>Kahkewistahaw c. Taypotat</w:t>
      </w:r>
      <w:r w:rsidR="008E2E01" w:rsidRPr="004F117F">
        <w:rPr>
          <w:lang w:val="fr-CA"/>
        </w:rPr>
        <w:t xml:space="preserve">, 2015 </w:t>
      </w:r>
      <w:r w:rsidR="008E2E01" w:rsidRPr="004F117F">
        <w:rPr>
          <w:lang w:val="fr-CA"/>
        </w:rPr>
        <w:lastRenderedPageBreak/>
        <w:t>CSC 30, [2015] 2 R.C.S. 548;</w:t>
      </w:r>
      <w:r w:rsidR="00FB6233" w:rsidRPr="004F117F">
        <w:rPr>
          <w:i/>
          <w:lang w:val="fr-CA"/>
        </w:rPr>
        <w:t xml:space="preserve"> Vriend c. Alberta</w:t>
      </w:r>
      <w:r w:rsidR="00FB6233" w:rsidRPr="004F117F">
        <w:rPr>
          <w:lang w:val="fr-CA"/>
        </w:rPr>
        <w:t>, [1998] 1 R.C.S. 493;</w:t>
      </w:r>
      <w:r w:rsidR="008E2E01" w:rsidRPr="004F117F">
        <w:rPr>
          <w:lang w:val="fr-CA"/>
        </w:rPr>
        <w:t xml:space="preserve"> </w:t>
      </w:r>
      <w:r w:rsidR="008E2E01" w:rsidRPr="004F117F">
        <w:rPr>
          <w:b/>
          <w:lang w:val="fr-CA"/>
        </w:rPr>
        <w:t>arrêt</w:t>
      </w:r>
      <w:r w:rsidRPr="004F117F">
        <w:rPr>
          <w:b/>
          <w:lang w:val="fr-CA"/>
        </w:rPr>
        <w:t>s mentionnés</w:t>
      </w:r>
      <w:r w:rsidR="00587D61" w:rsidRPr="004F117F">
        <w:rPr>
          <w:b/>
          <w:lang w:val="fr-CA"/>
        </w:rPr>
        <w:t> :</w:t>
      </w:r>
      <w:r w:rsidRPr="004F117F">
        <w:rPr>
          <w:lang w:val="fr-CA"/>
        </w:rPr>
        <w:t xml:space="preserve"> </w:t>
      </w:r>
      <w:r w:rsidR="00CD2971" w:rsidRPr="004F117F">
        <w:rPr>
          <w:i/>
          <w:lang w:val="fr-CA"/>
        </w:rPr>
        <w:t>Andrews c. Law Society of British Columbia</w:t>
      </w:r>
      <w:r w:rsidR="00CD2971" w:rsidRPr="004F117F">
        <w:rPr>
          <w:lang w:val="fr-CA"/>
        </w:rPr>
        <w:t xml:space="preserve">, [1989] 1 R.C.S. 143; </w:t>
      </w:r>
      <w:r w:rsidR="00CD2971" w:rsidRPr="004F117F">
        <w:rPr>
          <w:i/>
          <w:lang w:val="fr-CA"/>
        </w:rPr>
        <w:t>R. c. Kapp</w:t>
      </w:r>
      <w:r w:rsidR="00CD2971" w:rsidRPr="004F117F">
        <w:rPr>
          <w:lang w:val="fr-CA"/>
        </w:rPr>
        <w:t>, 2008 CSC 41, [2008] 2 R.C.S. 483;</w:t>
      </w:r>
      <w:r w:rsidR="00EA18BB" w:rsidRPr="004F117F">
        <w:rPr>
          <w:lang w:val="fr-CA"/>
        </w:rPr>
        <w:t xml:space="preserve"> </w:t>
      </w:r>
      <w:r w:rsidR="004B37B5" w:rsidRPr="004F117F">
        <w:rPr>
          <w:i/>
          <w:lang w:val="fr-CA"/>
        </w:rPr>
        <w:t>Québec (Procureur Général) c. A</w:t>
      </w:r>
      <w:r w:rsidR="004B37B5" w:rsidRPr="004F117F">
        <w:rPr>
          <w:lang w:val="fr-CA"/>
        </w:rPr>
        <w:t xml:space="preserve">, 2013 CSC 5, [2013] 1 R.C.S. 61; </w:t>
      </w:r>
      <w:r w:rsidR="00B6626D" w:rsidRPr="004F117F">
        <w:rPr>
          <w:i/>
          <w:lang w:val="fr-CA"/>
        </w:rPr>
        <w:t>Withler c. Canada (Procureur général)</w:t>
      </w:r>
      <w:r w:rsidR="00B6626D" w:rsidRPr="004F117F">
        <w:rPr>
          <w:lang w:val="fr-CA"/>
        </w:rPr>
        <w:t>, 2011 CSC 12, [2011] 1 R.C.S. 396;</w:t>
      </w:r>
      <w:r w:rsidR="0099061C" w:rsidRPr="004F117F">
        <w:rPr>
          <w:lang w:val="fr-CA"/>
        </w:rPr>
        <w:t xml:space="preserve"> </w:t>
      </w:r>
      <w:r w:rsidR="0099061C" w:rsidRPr="004F117F">
        <w:rPr>
          <w:i/>
          <w:lang w:val="fr-CA"/>
        </w:rPr>
        <w:t>Corbiere c. Canada (Ministre des Affaires indiennes et du Nord canadien)</w:t>
      </w:r>
      <w:r w:rsidR="0099061C" w:rsidRPr="004F117F">
        <w:rPr>
          <w:lang w:val="fr-CA"/>
        </w:rPr>
        <w:t>, [1999] 2 R.C.S. 203</w:t>
      </w:r>
      <w:r w:rsidR="00147698" w:rsidRPr="004F117F">
        <w:rPr>
          <w:lang w:val="fr-CA"/>
        </w:rPr>
        <w:t>;</w:t>
      </w:r>
      <w:r w:rsidR="00B6626D" w:rsidRPr="004F117F">
        <w:rPr>
          <w:lang w:val="fr-CA"/>
        </w:rPr>
        <w:t xml:space="preserve"> </w:t>
      </w:r>
      <w:r w:rsidR="00B6626D" w:rsidRPr="004F117F">
        <w:rPr>
          <w:i/>
          <w:lang w:val="fr-CA"/>
        </w:rPr>
        <w:t>Law c. Canada (Ministre de l</w:t>
      </w:r>
      <w:r w:rsidR="000C1609" w:rsidRPr="004F117F">
        <w:rPr>
          <w:i/>
          <w:lang w:val="fr-CA"/>
        </w:rPr>
        <w:t>’</w:t>
      </w:r>
      <w:r w:rsidR="00B6626D" w:rsidRPr="004F117F">
        <w:rPr>
          <w:i/>
          <w:lang w:val="fr-CA"/>
        </w:rPr>
        <w:t>Emploi et de l</w:t>
      </w:r>
      <w:r w:rsidR="000C1609" w:rsidRPr="004F117F">
        <w:rPr>
          <w:i/>
          <w:lang w:val="fr-CA"/>
        </w:rPr>
        <w:t>’</w:t>
      </w:r>
      <w:r w:rsidR="00B6626D" w:rsidRPr="004F117F">
        <w:rPr>
          <w:i/>
          <w:lang w:val="fr-CA"/>
        </w:rPr>
        <w:t>Immigration)</w:t>
      </w:r>
      <w:r w:rsidR="00B6626D" w:rsidRPr="004F117F">
        <w:rPr>
          <w:lang w:val="fr-CA"/>
        </w:rPr>
        <w:t xml:space="preserve">, </w:t>
      </w:r>
      <w:r w:rsidR="00B6626D" w:rsidRPr="004F117F">
        <w:rPr>
          <w:rStyle w:val="reflex3-alt"/>
          <w:lang w:val="fr-CA"/>
        </w:rPr>
        <w:t xml:space="preserve">[1999] 1 R.C.S. 497; </w:t>
      </w:r>
      <w:r w:rsidR="00147698" w:rsidRPr="004F117F">
        <w:rPr>
          <w:i/>
          <w:lang w:val="fr-CA"/>
        </w:rPr>
        <w:t>Alberta (Affaires autochtones et Développement du Nord) c. Cunningham</w:t>
      </w:r>
      <w:r w:rsidR="00147698" w:rsidRPr="004F117F">
        <w:rPr>
          <w:lang w:val="fr-CA"/>
        </w:rPr>
        <w:t>,</w:t>
      </w:r>
      <w:r w:rsidR="00147698" w:rsidRPr="004F117F">
        <w:rPr>
          <w:i/>
          <w:lang w:val="fr-CA"/>
        </w:rPr>
        <w:t xml:space="preserve"> </w:t>
      </w:r>
      <w:r w:rsidR="00147698" w:rsidRPr="004F117F">
        <w:rPr>
          <w:lang w:val="fr-CA"/>
        </w:rPr>
        <w:t xml:space="preserve">2011 CSC 37, </w:t>
      </w:r>
      <w:r w:rsidR="00147698" w:rsidRPr="004F117F">
        <w:rPr>
          <w:rStyle w:val="sccrespondentforrunningheadchar1"/>
          <w:caps/>
          <w:lang w:val="fr-CA"/>
        </w:rPr>
        <w:t>[2011] 2 R.C.S. 670;</w:t>
      </w:r>
      <w:r w:rsidR="00147698" w:rsidRPr="004F117F">
        <w:rPr>
          <w:rStyle w:val="sccrespondentforrunningheadchar1"/>
          <w:i/>
          <w:smallCaps w:val="0"/>
          <w:lang w:val="fr-CA"/>
        </w:rPr>
        <w:t xml:space="preserve"> Noël c. Société d</w:t>
      </w:r>
      <w:r w:rsidR="000C1609" w:rsidRPr="004F117F">
        <w:rPr>
          <w:rStyle w:val="sccrespondentforrunningheadchar1"/>
          <w:i/>
          <w:smallCaps w:val="0"/>
          <w:lang w:val="fr-CA"/>
        </w:rPr>
        <w:t>’</w:t>
      </w:r>
      <w:r w:rsidR="00147698" w:rsidRPr="004F117F">
        <w:rPr>
          <w:rStyle w:val="sccrespondentforrunningheadchar1"/>
          <w:i/>
          <w:smallCaps w:val="0"/>
          <w:lang w:val="fr-CA"/>
        </w:rPr>
        <w:t>énergie de la Baie James</w:t>
      </w:r>
      <w:r w:rsidR="00147698" w:rsidRPr="004F117F">
        <w:rPr>
          <w:rStyle w:val="sccrespondentforrunningheadchar1"/>
          <w:smallCaps w:val="0"/>
          <w:lang w:val="fr-CA"/>
        </w:rPr>
        <w:t>,</w:t>
      </w:r>
      <w:r w:rsidR="00147698" w:rsidRPr="004F117F">
        <w:rPr>
          <w:rStyle w:val="sccrespondentforrunningheadchar1"/>
          <w:caps/>
          <w:lang w:val="fr-CA"/>
        </w:rPr>
        <w:t xml:space="preserve"> 2001 CSC 39, [2001] 2 R.C.S. 207; </w:t>
      </w:r>
      <w:r w:rsidR="004B37B5" w:rsidRPr="004F117F">
        <w:rPr>
          <w:i/>
          <w:lang w:val="fr-CA"/>
        </w:rPr>
        <w:t>Eldridge c. Colombie</w:t>
      </w:r>
      <w:r w:rsidR="00587D61" w:rsidRPr="004F117F">
        <w:rPr>
          <w:i/>
          <w:lang w:val="fr-CA"/>
        </w:rPr>
        <w:noBreakHyphen/>
      </w:r>
      <w:r w:rsidR="004B37B5" w:rsidRPr="004F117F">
        <w:rPr>
          <w:i/>
          <w:lang w:val="fr-CA"/>
        </w:rPr>
        <w:t>Britannique (Procureur général)</w:t>
      </w:r>
      <w:r w:rsidR="004B37B5" w:rsidRPr="004F117F">
        <w:rPr>
          <w:lang w:val="fr-CA"/>
        </w:rPr>
        <w:t>, [1997] 3 R.C.S. 624;</w:t>
      </w:r>
      <w:r w:rsidR="002A4F88" w:rsidRPr="004F117F">
        <w:rPr>
          <w:lang w:val="fr-CA"/>
        </w:rPr>
        <w:t xml:space="preserve"> </w:t>
      </w:r>
      <w:r w:rsidR="002A4F88" w:rsidRPr="004F117F">
        <w:rPr>
          <w:i/>
          <w:lang w:val="fr-CA"/>
        </w:rPr>
        <w:t>Toronto Star Newspapers Ltd. c. Canada</w:t>
      </w:r>
      <w:r w:rsidR="002A4F88" w:rsidRPr="004F117F">
        <w:rPr>
          <w:lang w:val="fr-CA"/>
        </w:rPr>
        <w:t xml:space="preserve">, 2010 CSC 21, [2010] 1 R.C.S. 721; </w:t>
      </w:r>
      <w:r w:rsidR="002A4F88" w:rsidRPr="004F117F">
        <w:rPr>
          <w:i/>
          <w:lang w:val="fr-CA"/>
        </w:rPr>
        <w:t>RJR</w:t>
      </w:r>
      <w:r w:rsidR="00587D61" w:rsidRPr="004F117F">
        <w:rPr>
          <w:i/>
          <w:lang w:val="fr-CA"/>
        </w:rPr>
        <w:noBreakHyphen/>
      </w:r>
      <w:r w:rsidR="002A4F88" w:rsidRPr="004F117F">
        <w:rPr>
          <w:i/>
          <w:lang w:val="fr-CA"/>
        </w:rPr>
        <w:t>MacDonald Inc. c. Canada (Procureur général)</w:t>
      </w:r>
      <w:r w:rsidR="002A4F88" w:rsidRPr="004F117F">
        <w:rPr>
          <w:lang w:val="fr-CA"/>
        </w:rPr>
        <w:t>, [1995] 3 R.C.S. 199;</w:t>
      </w:r>
      <w:r w:rsidR="006A1255" w:rsidRPr="004F117F">
        <w:rPr>
          <w:lang w:val="fr-CA"/>
        </w:rPr>
        <w:t xml:space="preserve"> </w:t>
      </w:r>
      <w:r w:rsidR="006A1255" w:rsidRPr="004F117F">
        <w:rPr>
          <w:i/>
          <w:lang w:val="fr-CA"/>
        </w:rPr>
        <w:t>R. c. K.R.J.</w:t>
      </w:r>
      <w:r w:rsidR="006A1255" w:rsidRPr="004F117F">
        <w:rPr>
          <w:lang w:val="fr-CA"/>
        </w:rPr>
        <w:t>, 2016 CSC 31, [2016] 1 R.C.S. 906</w:t>
      </w:r>
      <w:r w:rsidR="00BB4374" w:rsidRPr="004F117F">
        <w:rPr>
          <w:lang w:val="fr-CA"/>
        </w:rPr>
        <w:t>.</w:t>
      </w:r>
    </w:p>
    <w:p w:rsidR="00CE5340" w:rsidRPr="004F117F" w:rsidRDefault="00CE5340" w:rsidP="00637E44">
      <w:pPr>
        <w:pStyle w:val="SCCNormalDoubleSpacing"/>
        <w:widowControl w:val="0"/>
        <w:spacing w:before="480" w:after="480"/>
        <w:rPr>
          <w:lang w:val="fr-CA"/>
        </w:rPr>
      </w:pPr>
      <w:r w:rsidRPr="004F117F">
        <w:rPr>
          <w:lang w:val="fr-CA"/>
        </w:rPr>
        <w:t>Citée par les juges Côté, Brown et Rowe</w:t>
      </w:r>
      <w:r w:rsidR="006527A5" w:rsidRPr="004F117F">
        <w:rPr>
          <w:lang w:val="fr-CA"/>
        </w:rPr>
        <w:t xml:space="preserve"> (dissidents</w:t>
      </w:r>
      <w:r w:rsidR="00372408" w:rsidRPr="004F117F">
        <w:rPr>
          <w:lang w:val="fr-CA"/>
        </w:rPr>
        <w:t xml:space="preserve"> </w:t>
      </w:r>
      <w:r w:rsidR="00B6744B" w:rsidRPr="004F117F">
        <w:rPr>
          <w:lang w:val="fr-CA"/>
        </w:rPr>
        <w:t>quant au pourvoi principal</w:t>
      </w:r>
      <w:r w:rsidR="006527A5" w:rsidRPr="004F117F">
        <w:rPr>
          <w:lang w:val="fr-CA"/>
        </w:rPr>
        <w:t>)</w:t>
      </w:r>
    </w:p>
    <w:p w:rsidR="00CE5340" w:rsidRPr="004F117F" w:rsidRDefault="00CE5340" w:rsidP="00637E44">
      <w:pPr>
        <w:pStyle w:val="SCCNormalDoubleSpacing"/>
        <w:widowControl w:val="0"/>
        <w:spacing w:before="480" w:after="480"/>
        <w:rPr>
          <w:lang w:val="fr-CA"/>
        </w:rPr>
      </w:pPr>
      <w:r w:rsidRPr="004F117F">
        <w:rPr>
          <w:b/>
          <w:lang w:val="fr-CA"/>
        </w:rPr>
        <w:tab/>
      </w:r>
      <w:r w:rsidR="00342A59" w:rsidRPr="004F117F">
        <w:rPr>
          <w:i/>
          <w:lang w:val="fr-CA"/>
        </w:rPr>
        <w:t>Andrews c. Law Society of British Columbia</w:t>
      </w:r>
      <w:r w:rsidR="00342A59" w:rsidRPr="004F117F">
        <w:rPr>
          <w:lang w:val="fr-CA"/>
        </w:rPr>
        <w:t xml:space="preserve">, [1989] 1 R.C.S. 143; </w:t>
      </w:r>
      <w:r w:rsidR="00872A3F" w:rsidRPr="004F117F">
        <w:rPr>
          <w:i/>
          <w:lang w:val="fr-CA"/>
        </w:rPr>
        <w:t>Law c. Canada (Ministre de l</w:t>
      </w:r>
      <w:r w:rsidR="000C1609" w:rsidRPr="004F117F">
        <w:rPr>
          <w:i/>
          <w:lang w:val="fr-CA"/>
        </w:rPr>
        <w:t>’</w:t>
      </w:r>
      <w:r w:rsidR="00872A3F" w:rsidRPr="004F117F">
        <w:rPr>
          <w:i/>
          <w:lang w:val="fr-CA"/>
        </w:rPr>
        <w:t>Emploi et de l</w:t>
      </w:r>
      <w:r w:rsidR="000C1609" w:rsidRPr="004F117F">
        <w:rPr>
          <w:i/>
          <w:lang w:val="fr-CA"/>
        </w:rPr>
        <w:t>’</w:t>
      </w:r>
      <w:r w:rsidR="00872A3F" w:rsidRPr="004F117F">
        <w:rPr>
          <w:i/>
          <w:lang w:val="fr-CA"/>
        </w:rPr>
        <w:t>Immigration)</w:t>
      </w:r>
      <w:r w:rsidR="00872A3F" w:rsidRPr="004F117F">
        <w:rPr>
          <w:lang w:val="fr-CA"/>
        </w:rPr>
        <w:t xml:space="preserve">, </w:t>
      </w:r>
      <w:r w:rsidR="00872A3F" w:rsidRPr="004F117F">
        <w:rPr>
          <w:rStyle w:val="reflex3-alt"/>
          <w:lang w:val="fr-CA"/>
        </w:rPr>
        <w:t xml:space="preserve">[1999] 1 R.C.S. 497; </w:t>
      </w:r>
      <w:r w:rsidR="00872A3F" w:rsidRPr="004F117F">
        <w:rPr>
          <w:i/>
          <w:lang w:val="fr-CA"/>
        </w:rPr>
        <w:t xml:space="preserve">Centrale des </w:t>
      </w:r>
      <w:r w:rsidR="00FB7FC4" w:rsidRPr="004F117F">
        <w:rPr>
          <w:i/>
          <w:lang w:val="fr-CA"/>
        </w:rPr>
        <w:t xml:space="preserve">syndicats du Québec </w:t>
      </w:r>
      <w:r w:rsidR="00872A3F" w:rsidRPr="004F117F">
        <w:rPr>
          <w:i/>
          <w:lang w:val="fr-CA"/>
        </w:rPr>
        <w:t>c. Québec</w:t>
      </w:r>
      <w:r w:rsidR="00FB7FC4" w:rsidRPr="004F117F">
        <w:rPr>
          <w:i/>
          <w:lang w:val="fr-CA"/>
        </w:rPr>
        <w:t xml:space="preserve"> (Procureure générale)</w:t>
      </w:r>
      <w:r w:rsidR="00890FD6" w:rsidRPr="004F117F">
        <w:rPr>
          <w:lang w:val="fr-CA"/>
        </w:rPr>
        <w:t>, 2018 CSC 18</w:t>
      </w:r>
      <w:r w:rsidR="006C2649">
        <w:rPr>
          <w:lang w:val="fr-CA"/>
        </w:rPr>
        <w:t xml:space="preserve">, [2018] 1 R.C.S. </w:t>
      </w:r>
      <w:r w:rsidR="00AA35E0">
        <w:rPr>
          <w:lang w:val="fr-CA"/>
        </w:rPr>
        <w:t>522</w:t>
      </w:r>
      <w:r w:rsidR="00872A3F" w:rsidRPr="004F117F">
        <w:rPr>
          <w:lang w:val="fr-CA"/>
        </w:rPr>
        <w:t>;</w:t>
      </w:r>
      <w:r w:rsidR="00E75381" w:rsidRPr="004F117F">
        <w:rPr>
          <w:lang w:val="fr-CA"/>
        </w:rPr>
        <w:t xml:space="preserve"> </w:t>
      </w:r>
      <w:r w:rsidR="00E75381" w:rsidRPr="004F117F">
        <w:rPr>
          <w:i/>
          <w:lang w:val="fr-CA"/>
        </w:rPr>
        <w:t>Auton (Tutrice à l</w:t>
      </w:r>
      <w:r w:rsidR="000C1609" w:rsidRPr="004F117F">
        <w:rPr>
          <w:i/>
          <w:lang w:val="fr-CA"/>
        </w:rPr>
        <w:t>’</w:t>
      </w:r>
      <w:r w:rsidR="00E75381" w:rsidRPr="004F117F">
        <w:rPr>
          <w:i/>
          <w:lang w:val="fr-CA"/>
        </w:rPr>
        <w:t>instance de) c. Colombie</w:t>
      </w:r>
      <w:r w:rsidR="00587D61" w:rsidRPr="004F117F">
        <w:rPr>
          <w:i/>
          <w:lang w:val="fr-CA"/>
        </w:rPr>
        <w:noBreakHyphen/>
      </w:r>
      <w:r w:rsidR="00E75381" w:rsidRPr="004F117F">
        <w:rPr>
          <w:i/>
          <w:lang w:val="fr-CA"/>
        </w:rPr>
        <w:t>Britannique (Procureur général)</w:t>
      </w:r>
      <w:r w:rsidR="00E75381" w:rsidRPr="004F117F">
        <w:rPr>
          <w:lang w:val="fr-CA"/>
        </w:rPr>
        <w:t xml:space="preserve">, 2004 CSC 78, [2004] 3 R.C.S. 657; </w:t>
      </w:r>
      <w:r w:rsidR="00872A3F" w:rsidRPr="004F117F">
        <w:rPr>
          <w:i/>
          <w:lang w:val="fr-FR"/>
        </w:rPr>
        <w:t>Québec (Procureur général) c. A</w:t>
      </w:r>
      <w:r w:rsidR="00872A3F" w:rsidRPr="004F117F">
        <w:rPr>
          <w:lang w:val="fr-FR"/>
        </w:rPr>
        <w:t xml:space="preserve">, </w:t>
      </w:r>
      <w:r w:rsidR="001A3E32" w:rsidRPr="004F117F">
        <w:rPr>
          <w:lang w:val="fr-FR"/>
        </w:rPr>
        <w:t xml:space="preserve">2013 CSC 5, </w:t>
      </w:r>
      <w:r w:rsidR="00872A3F" w:rsidRPr="004F117F">
        <w:rPr>
          <w:lang w:val="fr-FR"/>
        </w:rPr>
        <w:t>[2013] 1 R.C.S.</w:t>
      </w:r>
      <w:r w:rsidR="001A3E32" w:rsidRPr="004F117F">
        <w:rPr>
          <w:lang w:val="fr-FR"/>
        </w:rPr>
        <w:t xml:space="preserve"> 61</w:t>
      </w:r>
      <w:r w:rsidR="00872A3F" w:rsidRPr="004F117F">
        <w:rPr>
          <w:lang w:val="fr-FR"/>
        </w:rPr>
        <w:t xml:space="preserve">; </w:t>
      </w:r>
      <w:r w:rsidR="0070646B" w:rsidRPr="004F117F">
        <w:rPr>
          <w:i/>
          <w:lang w:val="fr-FR"/>
        </w:rPr>
        <w:t>Renvoi</w:t>
      </w:r>
      <w:r w:rsidR="00872A3F" w:rsidRPr="004F117F">
        <w:rPr>
          <w:i/>
          <w:lang w:val="fr-FR"/>
        </w:rPr>
        <w:t xml:space="preserve"> sur la Motor Vehicle Act (C.</w:t>
      </w:r>
      <w:r w:rsidR="00587D61" w:rsidRPr="004F117F">
        <w:rPr>
          <w:i/>
          <w:lang w:val="fr-FR"/>
        </w:rPr>
        <w:noBreakHyphen/>
      </w:r>
      <w:r w:rsidR="00872A3F" w:rsidRPr="004F117F">
        <w:rPr>
          <w:i/>
          <w:lang w:val="fr-FR"/>
        </w:rPr>
        <w:t>B.)</w:t>
      </w:r>
      <w:r w:rsidR="00872A3F" w:rsidRPr="004F117F">
        <w:rPr>
          <w:lang w:val="fr-FR"/>
        </w:rPr>
        <w:t>, [1985] 2 R.C.S. 486;</w:t>
      </w:r>
      <w:r w:rsidR="00E75381" w:rsidRPr="004F117F">
        <w:rPr>
          <w:lang w:val="fr-FR"/>
        </w:rPr>
        <w:t xml:space="preserve"> </w:t>
      </w:r>
      <w:r w:rsidR="00E75381" w:rsidRPr="004F117F">
        <w:rPr>
          <w:i/>
          <w:lang w:val="fr-CA"/>
        </w:rPr>
        <w:t>Saskatchewan Federation of Labour c. Saskatchewan</w:t>
      </w:r>
      <w:r w:rsidR="00E75381" w:rsidRPr="004F117F">
        <w:rPr>
          <w:lang w:val="fr-CA"/>
        </w:rPr>
        <w:t>, 2015 CSC 4, [2015] 1 R.C.S. 245;</w:t>
      </w:r>
      <w:r w:rsidR="00872A3F" w:rsidRPr="004F117F">
        <w:rPr>
          <w:lang w:val="fr-FR"/>
        </w:rPr>
        <w:t xml:space="preserve"> </w:t>
      </w:r>
      <w:r w:rsidR="00872A3F" w:rsidRPr="004F117F">
        <w:rPr>
          <w:i/>
          <w:lang w:val="fr-CA"/>
        </w:rPr>
        <w:t>Première Nation de Kahkewistahaw c. Taypotat</w:t>
      </w:r>
      <w:r w:rsidR="00872A3F" w:rsidRPr="004F117F">
        <w:rPr>
          <w:lang w:val="fr-CA"/>
        </w:rPr>
        <w:t>,</w:t>
      </w:r>
      <w:r w:rsidR="00872A3F" w:rsidRPr="004F117F">
        <w:rPr>
          <w:rFonts w:eastAsiaTheme="minorHAnsi"/>
          <w:lang w:val="fr-CA"/>
        </w:rPr>
        <w:t xml:space="preserve"> 2015 CSC 30, [2015] 2 R.C.S. </w:t>
      </w:r>
      <w:r w:rsidR="00872A3F" w:rsidRPr="004F117F">
        <w:rPr>
          <w:rFonts w:eastAsiaTheme="minorHAnsi"/>
          <w:lang w:val="fr-CA"/>
        </w:rPr>
        <w:lastRenderedPageBreak/>
        <w:t xml:space="preserve">548; </w:t>
      </w:r>
      <w:r w:rsidR="00B41FC2" w:rsidRPr="004F117F">
        <w:rPr>
          <w:i/>
          <w:lang w:val="fr-CA"/>
        </w:rPr>
        <w:t>Withler c. Canada (Procureur général)</w:t>
      </w:r>
      <w:r w:rsidR="00B41FC2" w:rsidRPr="004F117F">
        <w:rPr>
          <w:lang w:val="fr-CA"/>
        </w:rPr>
        <w:t xml:space="preserve">, 2011 CSC 12, [2011] 1 R.C.S. 396; </w:t>
      </w:r>
      <w:r w:rsidR="00872A3F" w:rsidRPr="004F117F">
        <w:rPr>
          <w:i/>
          <w:lang w:val="fr-CA"/>
        </w:rPr>
        <w:t>R. c. Kapp</w:t>
      </w:r>
      <w:r w:rsidR="00872A3F" w:rsidRPr="004F117F">
        <w:rPr>
          <w:lang w:val="fr-CA"/>
        </w:rPr>
        <w:t xml:space="preserve">, 2008 CSC 41, [2008] 2 R.C.S. 483; </w:t>
      </w:r>
      <w:r w:rsidR="00872A3F" w:rsidRPr="004F117F">
        <w:rPr>
          <w:i/>
          <w:lang w:val="fr-CA"/>
        </w:rPr>
        <w:t>Alberta (Affaires autochtones et Développement du Nord) c. Cunningham</w:t>
      </w:r>
      <w:r w:rsidR="00872A3F" w:rsidRPr="004F117F">
        <w:rPr>
          <w:lang w:val="fr-CA"/>
        </w:rPr>
        <w:t>,</w:t>
      </w:r>
      <w:r w:rsidR="00872A3F" w:rsidRPr="004F117F">
        <w:rPr>
          <w:i/>
          <w:lang w:val="fr-CA"/>
        </w:rPr>
        <w:t xml:space="preserve"> </w:t>
      </w:r>
      <w:r w:rsidR="00872A3F" w:rsidRPr="004F117F">
        <w:rPr>
          <w:lang w:val="fr-CA"/>
        </w:rPr>
        <w:t xml:space="preserve">2011 CSC 37, </w:t>
      </w:r>
      <w:r w:rsidR="00872A3F" w:rsidRPr="004F117F">
        <w:rPr>
          <w:rStyle w:val="sccrespondentforrunningheadchar1"/>
          <w:caps/>
          <w:lang w:val="fr-CA"/>
        </w:rPr>
        <w:t xml:space="preserve">[2011] 2 R.C.S. 670; </w:t>
      </w:r>
      <w:r w:rsidR="00872A3F" w:rsidRPr="004F117F">
        <w:rPr>
          <w:i/>
          <w:lang w:val="fr-CA"/>
        </w:rPr>
        <w:t>Hodge</w:t>
      </w:r>
      <w:r w:rsidR="00872A3F" w:rsidRPr="004F117F">
        <w:rPr>
          <w:i/>
          <w:iCs/>
          <w:lang w:val="fr-FR"/>
        </w:rPr>
        <w:t xml:space="preserve"> c. Canada (Ministre du Développement des </w:t>
      </w:r>
      <w:r w:rsidR="007B2569" w:rsidRPr="004F117F">
        <w:rPr>
          <w:i/>
          <w:iCs/>
          <w:lang w:val="fr-FR"/>
        </w:rPr>
        <w:t>r</w:t>
      </w:r>
      <w:r w:rsidR="00872A3F" w:rsidRPr="004F117F">
        <w:rPr>
          <w:i/>
          <w:iCs/>
          <w:lang w:val="fr-FR"/>
        </w:rPr>
        <w:t>essources humaines)</w:t>
      </w:r>
      <w:r w:rsidR="00872A3F" w:rsidRPr="004F117F">
        <w:rPr>
          <w:lang w:val="fr-CA"/>
        </w:rPr>
        <w:t xml:space="preserve">, </w:t>
      </w:r>
      <w:r w:rsidR="007B2569" w:rsidRPr="004F117F">
        <w:rPr>
          <w:lang w:val="fr-CA"/>
        </w:rPr>
        <w:t xml:space="preserve">2004 CSC 65, </w:t>
      </w:r>
      <w:r w:rsidR="00872A3F" w:rsidRPr="004F117F">
        <w:rPr>
          <w:lang w:val="fr-CA"/>
        </w:rPr>
        <w:t>[2004] 3 R.C.S.</w:t>
      </w:r>
      <w:r w:rsidR="00872A3F" w:rsidRPr="004F117F">
        <w:rPr>
          <w:i/>
          <w:lang w:val="fr-CA"/>
        </w:rPr>
        <w:t xml:space="preserve"> </w:t>
      </w:r>
      <w:r w:rsidR="005B2E96" w:rsidRPr="004F117F">
        <w:rPr>
          <w:lang w:val="fr-CA"/>
        </w:rPr>
        <w:t>357;</w:t>
      </w:r>
      <w:r w:rsidR="00872A3F" w:rsidRPr="004F117F">
        <w:rPr>
          <w:lang w:val="fr-CA"/>
        </w:rPr>
        <w:t xml:space="preserve"> </w:t>
      </w:r>
      <w:r w:rsidR="00872A3F" w:rsidRPr="004F117F">
        <w:rPr>
          <w:i/>
          <w:lang w:val="fr-FR"/>
        </w:rPr>
        <w:t>Bande et nation indiennes d</w:t>
      </w:r>
      <w:r w:rsidR="000C1609" w:rsidRPr="004F117F">
        <w:rPr>
          <w:i/>
          <w:lang w:val="fr-FR"/>
        </w:rPr>
        <w:t>’</w:t>
      </w:r>
      <w:r w:rsidR="00872A3F" w:rsidRPr="004F117F">
        <w:rPr>
          <w:i/>
          <w:lang w:val="fr-FR"/>
        </w:rPr>
        <w:t>Ermineskin c. Canada</w:t>
      </w:r>
      <w:r w:rsidR="00872A3F" w:rsidRPr="004F117F">
        <w:rPr>
          <w:lang w:val="fr-FR"/>
        </w:rPr>
        <w:t xml:space="preserve">, </w:t>
      </w:r>
      <w:r w:rsidR="005B2E96" w:rsidRPr="004F117F">
        <w:rPr>
          <w:lang w:val="fr-FR"/>
        </w:rPr>
        <w:t xml:space="preserve">2009 CSC 9, </w:t>
      </w:r>
      <w:r w:rsidR="00872A3F" w:rsidRPr="004F117F">
        <w:rPr>
          <w:lang w:val="fr-FR"/>
        </w:rPr>
        <w:t>[2009] 1 R.C.S.</w:t>
      </w:r>
      <w:r w:rsidR="005B2E96" w:rsidRPr="004F117F">
        <w:rPr>
          <w:lang w:val="fr-FR"/>
        </w:rPr>
        <w:t xml:space="preserve"> 222</w:t>
      </w:r>
      <w:r w:rsidR="00872A3F" w:rsidRPr="004F117F">
        <w:rPr>
          <w:lang w:val="fr-FR"/>
        </w:rPr>
        <w:t xml:space="preserve">; </w:t>
      </w:r>
      <w:r w:rsidR="00872A3F" w:rsidRPr="004F117F">
        <w:rPr>
          <w:i/>
          <w:lang w:val="fr-CA"/>
        </w:rPr>
        <w:t>Terre</w:t>
      </w:r>
      <w:r w:rsidR="00587D61" w:rsidRPr="004F117F">
        <w:rPr>
          <w:i/>
          <w:lang w:val="fr-CA"/>
        </w:rPr>
        <w:noBreakHyphen/>
      </w:r>
      <w:r w:rsidR="00872A3F" w:rsidRPr="004F117F">
        <w:rPr>
          <w:i/>
          <w:lang w:val="fr-CA"/>
        </w:rPr>
        <w:t>Neuve (Conseil du Trésor) c. N.A.P.E</w:t>
      </w:r>
      <w:r w:rsidR="00872A3F" w:rsidRPr="004F117F">
        <w:rPr>
          <w:lang w:val="fr-CA"/>
        </w:rPr>
        <w:t xml:space="preserve">., 2004 CSC 66, [2004] 3 R.C.S. 381; </w:t>
      </w:r>
      <w:r w:rsidR="00872A3F" w:rsidRPr="004F117F">
        <w:rPr>
          <w:i/>
          <w:lang w:val="fr-CA"/>
        </w:rPr>
        <w:t>Vriend c. Alberta</w:t>
      </w:r>
      <w:r w:rsidR="00CB1DA7" w:rsidRPr="004F117F">
        <w:rPr>
          <w:lang w:val="fr-CA"/>
        </w:rPr>
        <w:t>, [1998] 1 R.C.S. 493</w:t>
      </w:r>
      <w:r w:rsidR="00872A3F" w:rsidRPr="004F117F">
        <w:rPr>
          <w:lang w:val="fr-CA"/>
        </w:rPr>
        <w:t xml:space="preserve">; </w:t>
      </w:r>
      <w:r w:rsidR="00607E14" w:rsidRPr="004F117F">
        <w:rPr>
          <w:i/>
          <w:lang w:val="fr-CA"/>
        </w:rPr>
        <w:t>Noël c. Société d</w:t>
      </w:r>
      <w:r w:rsidR="000C1609" w:rsidRPr="004F117F">
        <w:rPr>
          <w:i/>
          <w:lang w:val="fr-CA"/>
        </w:rPr>
        <w:t>’</w:t>
      </w:r>
      <w:r w:rsidR="00607E14" w:rsidRPr="004F117F">
        <w:rPr>
          <w:i/>
          <w:lang w:val="fr-CA"/>
        </w:rPr>
        <w:t>énergie de la Baie James</w:t>
      </w:r>
      <w:r w:rsidR="00607E14" w:rsidRPr="004F117F">
        <w:rPr>
          <w:lang w:val="fr-CA"/>
        </w:rPr>
        <w:t xml:space="preserve">, 2001 CSC 39, [2001] 2 R.C.S. 207; </w:t>
      </w:r>
      <w:r w:rsidR="00872A3F" w:rsidRPr="004F117F">
        <w:rPr>
          <w:i/>
          <w:lang w:val="fr-CA"/>
        </w:rPr>
        <w:t>Corbiere c. Canada (Ministre des Affaires indiennes et du Nord canadien)</w:t>
      </w:r>
      <w:r w:rsidR="00872A3F" w:rsidRPr="004F117F">
        <w:rPr>
          <w:lang w:val="fr-CA"/>
        </w:rPr>
        <w:t xml:space="preserve">, [1999] 2 R.C.S. 203; </w:t>
      </w:r>
      <w:r w:rsidR="00872A3F" w:rsidRPr="004F117F">
        <w:rPr>
          <w:i/>
          <w:lang w:val="fr-CA"/>
        </w:rPr>
        <w:t>Granovsky c. Canada (Ministre de l</w:t>
      </w:r>
      <w:r w:rsidR="000C1609" w:rsidRPr="004F117F">
        <w:rPr>
          <w:i/>
          <w:lang w:val="fr-CA"/>
        </w:rPr>
        <w:t>’</w:t>
      </w:r>
      <w:r w:rsidR="00872A3F" w:rsidRPr="004F117F">
        <w:rPr>
          <w:i/>
          <w:lang w:val="fr-CA"/>
        </w:rPr>
        <w:t>Emploi et de l</w:t>
      </w:r>
      <w:r w:rsidR="000C1609" w:rsidRPr="004F117F">
        <w:rPr>
          <w:i/>
          <w:lang w:val="fr-CA"/>
        </w:rPr>
        <w:t>’</w:t>
      </w:r>
      <w:r w:rsidR="00872A3F" w:rsidRPr="004F117F">
        <w:rPr>
          <w:i/>
          <w:lang w:val="fr-CA"/>
        </w:rPr>
        <w:t>Immigration)</w:t>
      </w:r>
      <w:r w:rsidR="00872A3F" w:rsidRPr="004F117F">
        <w:rPr>
          <w:lang w:val="fr-CA"/>
        </w:rPr>
        <w:t xml:space="preserve">, </w:t>
      </w:r>
      <w:r w:rsidR="00D37E14" w:rsidRPr="004F117F">
        <w:rPr>
          <w:lang w:val="fr-CA"/>
        </w:rPr>
        <w:t>2000 CSC 28, [2000] 1 R.C.S. 703</w:t>
      </w:r>
      <w:r w:rsidR="00872A3F" w:rsidRPr="004F117F">
        <w:rPr>
          <w:lang w:val="fr-CA"/>
        </w:rPr>
        <w:t xml:space="preserve">; </w:t>
      </w:r>
      <w:r w:rsidR="00872A3F" w:rsidRPr="004F117F">
        <w:rPr>
          <w:i/>
          <w:lang w:val="fr-CA"/>
        </w:rPr>
        <w:t>Nouvelle</w:t>
      </w:r>
      <w:r w:rsidR="00F118AA">
        <w:rPr>
          <w:rFonts w:eastAsia="MS Mincho"/>
          <w:i/>
          <w:lang w:val="fr-CA"/>
        </w:rPr>
        <w:t>-</w:t>
      </w:r>
      <w:r w:rsidR="00872A3F" w:rsidRPr="004F117F">
        <w:rPr>
          <w:i/>
          <w:lang w:val="fr-CA"/>
        </w:rPr>
        <w:t>Écosse (Procureur général) c. Walsh</w:t>
      </w:r>
      <w:r w:rsidR="00872A3F" w:rsidRPr="004F117F">
        <w:rPr>
          <w:lang w:val="fr-CA"/>
        </w:rPr>
        <w:t xml:space="preserve">, </w:t>
      </w:r>
      <w:r w:rsidR="00D37E14" w:rsidRPr="004F117F">
        <w:rPr>
          <w:lang w:val="fr-CA"/>
        </w:rPr>
        <w:t>2002 CSC 83, [2002] 4 R.C.S. 325</w:t>
      </w:r>
      <w:r w:rsidR="00872A3F" w:rsidRPr="004F117F">
        <w:rPr>
          <w:lang w:val="fr-CA"/>
        </w:rPr>
        <w:t>.</w:t>
      </w:r>
    </w:p>
    <w:p w:rsidR="004D7D95" w:rsidRPr="004F117F" w:rsidRDefault="004D7D95" w:rsidP="00637E44">
      <w:pPr>
        <w:pStyle w:val="SCCNormalDoubleSpacing"/>
        <w:widowControl w:val="0"/>
        <w:spacing w:before="480" w:after="480"/>
        <w:rPr>
          <w:b/>
          <w:lang w:val="fr-CA"/>
        </w:rPr>
      </w:pPr>
      <w:r w:rsidRPr="004F117F">
        <w:rPr>
          <w:b/>
          <w:lang w:val="fr-CA"/>
        </w:rPr>
        <w:t>Lois et règlements cités</w:t>
      </w:r>
    </w:p>
    <w:p w:rsidR="003541EB" w:rsidRPr="004F117F" w:rsidRDefault="003541EB" w:rsidP="00637E44">
      <w:pPr>
        <w:pStyle w:val="SCCNormalDoubleSpacing"/>
        <w:widowControl w:val="0"/>
        <w:spacing w:after="240" w:line="240" w:lineRule="auto"/>
        <w:ind w:left="540" w:hanging="540"/>
        <w:rPr>
          <w:lang w:val="fr-CA"/>
        </w:rPr>
      </w:pPr>
      <w:r w:rsidRPr="004F117F">
        <w:rPr>
          <w:i/>
          <w:lang w:val="fr-CA"/>
        </w:rPr>
        <w:t>Charte canadienne des droits et libertés</w:t>
      </w:r>
      <w:r w:rsidRPr="004F117F">
        <w:rPr>
          <w:lang w:val="fr-CA"/>
        </w:rPr>
        <w:t xml:space="preserve">, </w:t>
      </w:r>
      <w:r w:rsidR="00587D61" w:rsidRPr="004F117F">
        <w:rPr>
          <w:lang w:val="fr-CA"/>
        </w:rPr>
        <w:t>art. </w:t>
      </w:r>
      <w:r w:rsidRPr="004F117F">
        <w:rPr>
          <w:lang w:val="fr-CA"/>
        </w:rPr>
        <w:t>1, 15.</w:t>
      </w:r>
    </w:p>
    <w:p w:rsidR="003541EB" w:rsidRPr="004F117F" w:rsidRDefault="003541EB" w:rsidP="00637E44">
      <w:pPr>
        <w:pStyle w:val="SCCNormalDoubleSpacing"/>
        <w:widowControl w:val="0"/>
        <w:spacing w:after="240" w:line="240" w:lineRule="auto"/>
        <w:ind w:left="540" w:hanging="540"/>
        <w:rPr>
          <w:lang w:val="fr-CA"/>
        </w:rPr>
      </w:pPr>
      <w:r w:rsidRPr="004F117F">
        <w:rPr>
          <w:i/>
          <w:lang w:val="fr-CA"/>
        </w:rPr>
        <w:t>Charte des droits et libertés de la personne</w:t>
      </w:r>
      <w:r w:rsidRPr="004F117F">
        <w:rPr>
          <w:lang w:val="fr-CA"/>
        </w:rPr>
        <w:t xml:space="preserve">, </w:t>
      </w:r>
      <w:r w:rsidRPr="004F117F">
        <w:rPr>
          <w:lang w:val="fr-FR"/>
        </w:rPr>
        <w:t>L.Q. 1975</w:t>
      </w:r>
      <w:r w:rsidR="00C207A6" w:rsidRPr="004F117F">
        <w:rPr>
          <w:lang w:val="fr-FR"/>
        </w:rPr>
        <w:t>, c. </w:t>
      </w:r>
      <w:r w:rsidRPr="004F117F">
        <w:rPr>
          <w:lang w:val="fr-FR"/>
        </w:rPr>
        <w:t xml:space="preserve">6, </w:t>
      </w:r>
      <w:r w:rsidR="00587D61" w:rsidRPr="004F117F">
        <w:rPr>
          <w:lang w:val="fr-FR"/>
        </w:rPr>
        <w:t>art. </w:t>
      </w:r>
      <w:r w:rsidRPr="004F117F">
        <w:rPr>
          <w:lang w:val="fr-FR"/>
        </w:rPr>
        <w:t>19.</w:t>
      </w:r>
    </w:p>
    <w:p w:rsidR="00740BCD" w:rsidRPr="004F117F" w:rsidRDefault="00740BCD" w:rsidP="00637E44">
      <w:pPr>
        <w:pStyle w:val="SCCNormalDoubleSpacing"/>
        <w:widowControl w:val="0"/>
        <w:spacing w:after="240" w:line="240" w:lineRule="auto"/>
        <w:ind w:left="540" w:hanging="540"/>
        <w:rPr>
          <w:lang w:val="fr-CA"/>
        </w:rPr>
      </w:pPr>
      <w:r w:rsidRPr="004F117F">
        <w:rPr>
          <w:i/>
          <w:lang w:val="fr-CA"/>
        </w:rPr>
        <w:t>Charte des droits et libertés de la personne</w:t>
      </w:r>
      <w:r w:rsidRPr="004F117F">
        <w:rPr>
          <w:lang w:val="fr-CA"/>
        </w:rPr>
        <w:t xml:space="preserve">, </w:t>
      </w:r>
      <w:r w:rsidR="00C207A6" w:rsidRPr="004F117F">
        <w:rPr>
          <w:lang w:val="fr-FR"/>
        </w:rPr>
        <w:t>RLRQ, c. </w:t>
      </w:r>
      <w:r w:rsidRPr="004F117F">
        <w:rPr>
          <w:lang w:val="fr-FR"/>
        </w:rPr>
        <w:t>C</w:t>
      </w:r>
      <w:r w:rsidR="00587D61" w:rsidRPr="004F117F">
        <w:rPr>
          <w:lang w:val="fr-FR"/>
        </w:rPr>
        <w:noBreakHyphen/>
      </w:r>
      <w:r w:rsidRPr="004F117F">
        <w:rPr>
          <w:lang w:val="fr-FR"/>
        </w:rPr>
        <w:t xml:space="preserve">12, </w:t>
      </w:r>
      <w:r w:rsidR="00587D61" w:rsidRPr="004F117F">
        <w:rPr>
          <w:lang w:val="fr-FR"/>
        </w:rPr>
        <w:t>art. </w:t>
      </w:r>
      <w:r w:rsidR="00890FD6" w:rsidRPr="004F117F">
        <w:rPr>
          <w:lang w:val="fr-FR"/>
        </w:rPr>
        <w:t xml:space="preserve">10, </w:t>
      </w:r>
      <w:r w:rsidRPr="004F117F">
        <w:rPr>
          <w:lang w:val="fr-FR"/>
        </w:rPr>
        <w:t xml:space="preserve">19, </w:t>
      </w:r>
      <w:r w:rsidR="00A63D82" w:rsidRPr="004F117F">
        <w:rPr>
          <w:lang w:val="fr-FR"/>
        </w:rPr>
        <w:t>49.1</w:t>
      </w:r>
      <w:r w:rsidRPr="004F117F">
        <w:rPr>
          <w:lang w:val="fr-FR"/>
        </w:rPr>
        <w:t>.</w:t>
      </w:r>
    </w:p>
    <w:p w:rsidR="003541EB" w:rsidRPr="004F117F" w:rsidRDefault="00804399" w:rsidP="00637E44">
      <w:pPr>
        <w:pStyle w:val="SCCNormalDoubleSpacing"/>
        <w:widowControl w:val="0"/>
        <w:spacing w:after="240" w:line="240" w:lineRule="auto"/>
        <w:rPr>
          <w:lang w:val="fr-CA"/>
        </w:rPr>
      </w:pPr>
      <w:r w:rsidRPr="004F117F">
        <w:rPr>
          <w:i/>
          <w:lang w:val="fr-CA"/>
        </w:rPr>
        <w:t>Code du travail</w:t>
      </w:r>
      <w:r w:rsidRPr="004F117F">
        <w:rPr>
          <w:lang w:val="fr-CA"/>
        </w:rPr>
        <w:t xml:space="preserve">, RLRQ, </w:t>
      </w:r>
      <w:r w:rsidR="00C207A6" w:rsidRPr="004F117F">
        <w:rPr>
          <w:lang w:val="fr-CA"/>
        </w:rPr>
        <w:t>c. </w:t>
      </w:r>
      <w:r w:rsidRPr="004F117F">
        <w:rPr>
          <w:lang w:val="fr-CA"/>
        </w:rPr>
        <w:t>C</w:t>
      </w:r>
      <w:r w:rsidR="00587D61" w:rsidRPr="004F117F">
        <w:rPr>
          <w:lang w:val="fr-CA"/>
        </w:rPr>
        <w:noBreakHyphen/>
      </w:r>
      <w:r w:rsidRPr="004F117F">
        <w:rPr>
          <w:lang w:val="fr-CA"/>
        </w:rPr>
        <w:t xml:space="preserve">27, </w:t>
      </w:r>
      <w:r w:rsidR="00587D61" w:rsidRPr="004F117F">
        <w:rPr>
          <w:lang w:val="fr-CA"/>
        </w:rPr>
        <w:t>art. </w:t>
      </w:r>
      <w:r w:rsidRPr="004F117F">
        <w:rPr>
          <w:lang w:val="fr-CA"/>
        </w:rPr>
        <w:t>47.2.</w:t>
      </w:r>
      <w:r w:rsidR="00DD0CA0" w:rsidRPr="004F117F">
        <w:rPr>
          <w:lang w:val="fr-CA"/>
        </w:rPr>
        <w:t xml:space="preserve"> </w:t>
      </w:r>
    </w:p>
    <w:p w:rsidR="003541EB" w:rsidRPr="004F117F" w:rsidRDefault="003541EB" w:rsidP="00637E44">
      <w:pPr>
        <w:pStyle w:val="SCCNormalDoubleSpacing"/>
        <w:widowControl w:val="0"/>
        <w:spacing w:after="240" w:line="240" w:lineRule="auto"/>
        <w:ind w:left="540" w:hanging="540"/>
        <w:rPr>
          <w:lang w:val="en-US"/>
        </w:rPr>
      </w:pPr>
      <w:r w:rsidRPr="004F117F">
        <w:rPr>
          <w:i/>
          <w:iCs/>
          <w:lang w:val="en-US"/>
        </w:rPr>
        <w:t>Individual</w:t>
      </w:r>
      <w:r w:rsidR="000C1609" w:rsidRPr="004F117F">
        <w:rPr>
          <w:i/>
          <w:iCs/>
          <w:lang w:val="en-US"/>
        </w:rPr>
        <w:t>’</w:t>
      </w:r>
      <w:r w:rsidRPr="004F117F">
        <w:rPr>
          <w:i/>
          <w:iCs/>
          <w:lang w:val="en-US"/>
        </w:rPr>
        <w:t>s Rights Protection Act</w:t>
      </w:r>
      <w:r w:rsidRPr="004F117F">
        <w:rPr>
          <w:iCs/>
          <w:lang w:val="en-US"/>
        </w:rPr>
        <w:t xml:space="preserve">, R.S.A. 1980, </w:t>
      </w:r>
      <w:r w:rsidR="00C207A6" w:rsidRPr="004F117F">
        <w:rPr>
          <w:iCs/>
          <w:lang w:val="en-US"/>
        </w:rPr>
        <w:t>c. </w:t>
      </w:r>
      <w:r w:rsidRPr="004F117F">
        <w:rPr>
          <w:iCs/>
          <w:lang w:val="en-US"/>
        </w:rPr>
        <w:t>I</w:t>
      </w:r>
      <w:r w:rsidR="00587D61" w:rsidRPr="004F117F">
        <w:rPr>
          <w:iCs/>
          <w:lang w:val="en-US"/>
        </w:rPr>
        <w:noBreakHyphen/>
      </w:r>
      <w:r w:rsidRPr="004F117F">
        <w:rPr>
          <w:iCs/>
          <w:lang w:val="en-US"/>
        </w:rPr>
        <w:t>2.</w:t>
      </w:r>
    </w:p>
    <w:p w:rsidR="00804399" w:rsidRPr="004F117F" w:rsidRDefault="00804399" w:rsidP="00637E44">
      <w:pPr>
        <w:pStyle w:val="SCCNormalDoubleSpacing"/>
        <w:widowControl w:val="0"/>
        <w:spacing w:after="240" w:line="240" w:lineRule="auto"/>
        <w:ind w:left="540" w:hanging="540"/>
        <w:rPr>
          <w:i/>
          <w:lang w:val="fr-CA"/>
        </w:rPr>
      </w:pPr>
      <w:r w:rsidRPr="004F117F">
        <w:rPr>
          <w:i/>
          <w:lang w:val="fr-CA"/>
        </w:rPr>
        <w:t>Loi canadienne sur les droits de la personne</w:t>
      </w:r>
      <w:r w:rsidRPr="004F117F">
        <w:rPr>
          <w:lang w:val="fr-CA"/>
        </w:rPr>
        <w:t>, L.R.</w:t>
      </w:r>
      <w:r w:rsidR="00C207A6" w:rsidRPr="004F117F">
        <w:rPr>
          <w:lang w:val="fr-CA"/>
        </w:rPr>
        <w:t xml:space="preserve">C. </w:t>
      </w:r>
      <w:r w:rsidRPr="004F117F">
        <w:rPr>
          <w:lang w:val="fr-CA"/>
        </w:rPr>
        <w:t>1985, c.</w:t>
      </w:r>
      <w:r w:rsidR="00C207A6" w:rsidRPr="004F117F">
        <w:rPr>
          <w:lang w:val="fr-CA"/>
        </w:rPr>
        <w:t> </w:t>
      </w:r>
      <w:r w:rsidRPr="004F117F">
        <w:rPr>
          <w:lang w:val="fr-CA"/>
        </w:rPr>
        <w:t>H</w:t>
      </w:r>
      <w:r w:rsidR="00587D61" w:rsidRPr="004F117F">
        <w:rPr>
          <w:lang w:val="fr-CA"/>
        </w:rPr>
        <w:noBreakHyphen/>
      </w:r>
      <w:r w:rsidRPr="004F117F">
        <w:rPr>
          <w:lang w:val="fr-CA"/>
        </w:rPr>
        <w:t xml:space="preserve">6, </w:t>
      </w:r>
      <w:r w:rsidR="00587D61" w:rsidRPr="004F117F">
        <w:rPr>
          <w:lang w:val="fr-CA"/>
        </w:rPr>
        <w:t>art. </w:t>
      </w:r>
      <w:r w:rsidRPr="004F117F">
        <w:rPr>
          <w:lang w:val="fr-CA"/>
        </w:rPr>
        <w:t>11.</w:t>
      </w:r>
    </w:p>
    <w:p w:rsidR="003541EB" w:rsidRPr="004F117F" w:rsidRDefault="00D22AEB" w:rsidP="00637E44">
      <w:pPr>
        <w:pStyle w:val="SCCNormalDoubleSpacing"/>
        <w:widowControl w:val="0"/>
        <w:spacing w:after="240" w:line="240" w:lineRule="auto"/>
        <w:ind w:left="540" w:hanging="540"/>
        <w:rPr>
          <w:lang w:val="fr-CA"/>
        </w:rPr>
      </w:pPr>
      <w:r w:rsidRPr="004F117F">
        <w:rPr>
          <w:i/>
          <w:lang w:val="fr-CA"/>
        </w:rPr>
        <w:t>Loi d</w:t>
      </w:r>
      <w:r w:rsidR="000C1609" w:rsidRPr="004F117F">
        <w:rPr>
          <w:i/>
          <w:lang w:val="fr-CA"/>
        </w:rPr>
        <w:t>’</w:t>
      </w:r>
      <w:r w:rsidR="003541EB" w:rsidRPr="004F117F">
        <w:rPr>
          <w:i/>
          <w:lang w:val="fr-CA"/>
        </w:rPr>
        <w:t>interprétation</w:t>
      </w:r>
      <w:r w:rsidR="00C207A6" w:rsidRPr="004F117F">
        <w:rPr>
          <w:lang w:val="fr-CA"/>
        </w:rPr>
        <w:t>, RLRQ, c. </w:t>
      </w:r>
      <w:r w:rsidR="00CA3564" w:rsidRPr="004F117F">
        <w:rPr>
          <w:lang w:val="fr-CA"/>
        </w:rPr>
        <w:t>I</w:t>
      </w:r>
      <w:r w:rsidR="00587D61" w:rsidRPr="004F117F">
        <w:rPr>
          <w:lang w:val="fr-CA"/>
        </w:rPr>
        <w:noBreakHyphen/>
      </w:r>
      <w:r w:rsidR="00CA3564" w:rsidRPr="004F117F">
        <w:rPr>
          <w:lang w:val="fr-CA"/>
        </w:rPr>
        <w:t xml:space="preserve">16, </w:t>
      </w:r>
      <w:r w:rsidR="00587D61" w:rsidRPr="004F117F">
        <w:rPr>
          <w:lang w:val="fr-CA"/>
        </w:rPr>
        <w:t>art. </w:t>
      </w:r>
      <w:r w:rsidR="00A63D82" w:rsidRPr="004F117F">
        <w:rPr>
          <w:lang w:val="fr-CA"/>
        </w:rPr>
        <w:t>41.</w:t>
      </w:r>
    </w:p>
    <w:p w:rsidR="00AA201F" w:rsidRPr="004F117F" w:rsidRDefault="00AA201F" w:rsidP="00637E44">
      <w:pPr>
        <w:pStyle w:val="SCCNormalDoubleSpacing"/>
        <w:widowControl w:val="0"/>
        <w:spacing w:after="240" w:line="240" w:lineRule="auto"/>
        <w:ind w:left="540" w:hanging="540"/>
        <w:rPr>
          <w:lang w:val="fr-CA"/>
        </w:rPr>
      </w:pPr>
      <w:r w:rsidRPr="004F117F">
        <w:rPr>
          <w:i/>
          <w:lang w:val="fr-CA"/>
        </w:rPr>
        <w:t>Loi modifiant la Loi sur l</w:t>
      </w:r>
      <w:r w:rsidR="000C1609" w:rsidRPr="004F117F">
        <w:rPr>
          <w:i/>
          <w:lang w:val="fr-CA"/>
        </w:rPr>
        <w:t>’</w:t>
      </w:r>
      <w:r w:rsidRPr="004F117F">
        <w:rPr>
          <w:i/>
          <w:lang w:val="fr-CA"/>
        </w:rPr>
        <w:t>équité salariale</w:t>
      </w:r>
      <w:r w:rsidRPr="004F117F">
        <w:rPr>
          <w:lang w:val="fr-CA"/>
        </w:rPr>
        <w:t>, L.Q. 2009, c.</w:t>
      </w:r>
      <w:r w:rsidR="00C207A6" w:rsidRPr="004F117F">
        <w:rPr>
          <w:lang w:val="fr-CA"/>
        </w:rPr>
        <w:t> </w:t>
      </w:r>
      <w:r w:rsidR="00E611DB" w:rsidRPr="004F117F">
        <w:rPr>
          <w:lang w:val="fr-CA"/>
        </w:rPr>
        <w:t>9</w:t>
      </w:r>
      <w:r w:rsidR="00607E14" w:rsidRPr="004F117F">
        <w:rPr>
          <w:lang w:val="fr-CA"/>
        </w:rPr>
        <w:t xml:space="preserve">, </w:t>
      </w:r>
      <w:r w:rsidR="00587D61" w:rsidRPr="004F117F">
        <w:rPr>
          <w:lang w:val="fr-CA"/>
        </w:rPr>
        <w:t>art. </w:t>
      </w:r>
      <w:r w:rsidR="00607E14" w:rsidRPr="004F117F">
        <w:rPr>
          <w:lang w:val="fr-CA"/>
        </w:rPr>
        <w:t>14, 23, 40.</w:t>
      </w:r>
    </w:p>
    <w:p w:rsidR="008C4290" w:rsidRPr="004F117F" w:rsidRDefault="003541EB" w:rsidP="00637E44">
      <w:pPr>
        <w:pStyle w:val="SCCNormalDoubleSpacing"/>
        <w:widowControl w:val="0"/>
        <w:spacing w:after="240" w:line="240" w:lineRule="auto"/>
        <w:ind w:left="540" w:hanging="540"/>
        <w:rPr>
          <w:lang w:val="fr-CA"/>
        </w:rPr>
      </w:pPr>
      <w:r w:rsidRPr="004F117F">
        <w:rPr>
          <w:i/>
          <w:lang w:val="fr-CA"/>
        </w:rPr>
        <w:t>Loi sur l</w:t>
      </w:r>
      <w:r w:rsidR="000C1609" w:rsidRPr="004F117F">
        <w:rPr>
          <w:i/>
          <w:lang w:val="fr-CA"/>
        </w:rPr>
        <w:t>’</w:t>
      </w:r>
      <w:r w:rsidRPr="004F117F">
        <w:rPr>
          <w:i/>
          <w:lang w:val="fr-CA"/>
        </w:rPr>
        <w:t>équité salariale</w:t>
      </w:r>
      <w:r w:rsidRPr="004F117F">
        <w:rPr>
          <w:lang w:val="fr-CA"/>
        </w:rPr>
        <w:t xml:space="preserve">, L.Q. 1996, </w:t>
      </w:r>
      <w:r w:rsidR="00C207A6" w:rsidRPr="004F117F">
        <w:rPr>
          <w:lang w:val="fr-CA"/>
        </w:rPr>
        <w:t>c. </w:t>
      </w:r>
      <w:r w:rsidRPr="004F117F">
        <w:rPr>
          <w:lang w:val="fr-CA"/>
        </w:rPr>
        <w:t>43</w:t>
      </w:r>
      <w:r w:rsidR="00D22AEB" w:rsidRPr="004F117F">
        <w:rPr>
          <w:lang w:val="fr-CA"/>
        </w:rPr>
        <w:t>,</w:t>
      </w:r>
      <w:r w:rsidR="00CA3564" w:rsidRPr="004F117F">
        <w:rPr>
          <w:lang w:val="fr-CA"/>
        </w:rPr>
        <w:t xml:space="preserve"> </w:t>
      </w:r>
      <w:r w:rsidR="00587D61" w:rsidRPr="004F117F">
        <w:rPr>
          <w:lang w:val="fr-CA"/>
        </w:rPr>
        <w:t>art. </w:t>
      </w:r>
      <w:r w:rsidR="00CA3564" w:rsidRPr="004F117F">
        <w:rPr>
          <w:lang w:val="fr-CA"/>
        </w:rPr>
        <w:t>1, 4, 16,</w:t>
      </w:r>
      <w:r w:rsidR="004D5D46" w:rsidRPr="004F117F">
        <w:rPr>
          <w:lang w:val="fr-CA"/>
        </w:rPr>
        <w:t xml:space="preserve"> 31,</w:t>
      </w:r>
      <w:r w:rsidR="00CA3564" w:rsidRPr="004F117F">
        <w:rPr>
          <w:lang w:val="fr-CA"/>
        </w:rPr>
        <w:t xml:space="preserve"> 34, 40 [mod. 2006, </w:t>
      </w:r>
      <w:r w:rsidR="00C207A6" w:rsidRPr="004F117F">
        <w:rPr>
          <w:lang w:val="fr-CA"/>
        </w:rPr>
        <w:t>c. </w:t>
      </w:r>
      <w:r w:rsidR="00CA3564" w:rsidRPr="004F117F">
        <w:rPr>
          <w:lang w:val="fr-CA"/>
        </w:rPr>
        <w:t xml:space="preserve">6, </w:t>
      </w:r>
      <w:r w:rsidR="00587D61" w:rsidRPr="004F117F">
        <w:rPr>
          <w:lang w:val="fr-CA"/>
        </w:rPr>
        <w:t>art. </w:t>
      </w:r>
      <w:r w:rsidR="00CA3564" w:rsidRPr="004F117F">
        <w:rPr>
          <w:lang w:val="fr-CA"/>
        </w:rPr>
        <w:t xml:space="preserve">7; abr. 2009, </w:t>
      </w:r>
      <w:r w:rsidR="00C207A6" w:rsidRPr="004F117F">
        <w:rPr>
          <w:lang w:val="fr-CA"/>
        </w:rPr>
        <w:t>c. </w:t>
      </w:r>
      <w:r w:rsidR="00CA3564" w:rsidRPr="004F117F">
        <w:rPr>
          <w:lang w:val="fr-CA"/>
        </w:rPr>
        <w:t xml:space="preserve">9, </w:t>
      </w:r>
      <w:r w:rsidR="00587D61" w:rsidRPr="004F117F">
        <w:rPr>
          <w:lang w:val="fr-CA"/>
        </w:rPr>
        <w:t>art. </w:t>
      </w:r>
      <w:r w:rsidR="00CA3564" w:rsidRPr="004F117F">
        <w:rPr>
          <w:lang w:val="fr-CA"/>
        </w:rPr>
        <w:t xml:space="preserve">14], 41 [abr. </w:t>
      </w:r>
      <w:r w:rsidR="00CA3564" w:rsidRPr="004F117F">
        <w:rPr>
          <w:i/>
          <w:lang w:val="fr-CA"/>
        </w:rPr>
        <w:t>idem</w:t>
      </w:r>
      <w:r w:rsidR="00CA3564" w:rsidRPr="004F117F">
        <w:rPr>
          <w:sz w:val="26"/>
          <w:lang w:val="fr-CA"/>
        </w:rPr>
        <w:t>]</w:t>
      </w:r>
      <w:r w:rsidR="00CA3564" w:rsidRPr="004F117F">
        <w:rPr>
          <w:lang w:val="fr-CA"/>
        </w:rPr>
        <w:t>, 42</w:t>
      </w:r>
      <w:r w:rsidR="00054392" w:rsidRPr="004F117F">
        <w:rPr>
          <w:lang w:val="fr-CA"/>
        </w:rPr>
        <w:t xml:space="preserve"> </w:t>
      </w:r>
      <w:r w:rsidR="00CA3564" w:rsidRPr="004F117F">
        <w:rPr>
          <w:lang w:val="fr-CA"/>
        </w:rPr>
        <w:t xml:space="preserve">[abr. </w:t>
      </w:r>
      <w:r w:rsidR="00CA3564" w:rsidRPr="004F117F">
        <w:rPr>
          <w:i/>
          <w:lang w:val="fr-CA"/>
        </w:rPr>
        <w:t>idem</w:t>
      </w:r>
      <w:r w:rsidR="00CA3564" w:rsidRPr="004F117F">
        <w:rPr>
          <w:sz w:val="26"/>
          <w:lang w:val="fr-CA"/>
        </w:rPr>
        <w:t>]</w:t>
      </w:r>
      <w:r w:rsidR="00CA3564" w:rsidRPr="004F117F">
        <w:rPr>
          <w:lang w:val="fr-CA"/>
        </w:rPr>
        <w:t>, 43</w:t>
      </w:r>
      <w:r w:rsidR="00054392" w:rsidRPr="004F117F">
        <w:rPr>
          <w:lang w:val="fr-CA"/>
        </w:rPr>
        <w:t xml:space="preserve"> </w:t>
      </w:r>
      <w:r w:rsidR="00CA3564" w:rsidRPr="004F117F">
        <w:rPr>
          <w:lang w:val="fr-CA"/>
        </w:rPr>
        <w:t xml:space="preserve">[abr. </w:t>
      </w:r>
      <w:r w:rsidR="00CA3564" w:rsidRPr="004F117F">
        <w:rPr>
          <w:i/>
          <w:lang w:val="fr-CA"/>
        </w:rPr>
        <w:t>idem</w:t>
      </w:r>
      <w:r w:rsidR="00CA3564" w:rsidRPr="004F117F">
        <w:rPr>
          <w:sz w:val="26"/>
          <w:lang w:val="fr-CA"/>
        </w:rPr>
        <w:t>]</w:t>
      </w:r>
      <w:r w:rsidR="004D5D46" w:rsidRPr="004F117F">
        <w:rPr>
          <w:lang w:val="fr-CA"/>
        </w:rPr>
        <w:t>, 50, 76.1 à 76.11 [aj</w:t>
      </w:r>
      <w:r w:rsidR="00CA3564" w:rsidRPr="004F117F">
        <w:rPr>
          <w:lang w:val="fr-CA"/>
        </w:rPr>
        <w:t xml:space="preserve">. 2009, </w:t>
      </w:r>
      <w:r w:rsidR="00C207A6" w:rsidRPr="004F117F">
        <w:rPr>
          <w:lang w:val="fr-CA"/>
        </w:rPr>
        <w:t>c. </w:t>
      </w:r>
      <w:r w:rsidR="00CA3564" w:rsidRPr="004F117F">
        <w:rPr>
          <w:lang w:val="fr-CA"/>
        </w:rPr>
        <w:t xml:space="preserve">9, </w:t>
      </w:r>
      <w:r w:rsidR="00587D61" w:rsidRPr="004F117F">
        <w:rPr>
          <w:lang w:val="fr-CA"/>
        </w:rPr>
        <w:t>art. </w:t>
      </w:r>
      <w:r w:rsidR="00CA3564" w:rsidRPr="004F117F">
        <w:rPr>
          <w:lang w:val="fr-CA"/>
        </w:rPr>
        <w:t>23], 76.1</w:t>
      </w:r>
      <w:r w:rsidR="004D5D46" w:rsidRPr="004F117F">
        <w:rPr>
          <w:lang w:val="fr-CA"/>
        </w:rPr>
        <w:t xml:space="preserve"> [aj. </w:t>
      </w:r>
      <w:r w:rsidR="004D5D46" w:rsidRPr="004F117F">
        <w:rPr>
          <w:i/>
          <w:lang w:val="fr-CA"/>
        </w:rPr>
        <w:t>idem</w:t>
      </w:r>
      <w:r w:rsidR="004D5D46" w:rsidRPr="004F117F">
        <w:rPr>
          <w:lang w:val="fr-CA"/>
        </w:rPr>
        <w:t>]</w:t>
      </w:r>
      <w:r w:rsidR="00CA3564" w:rsidRPr="004F117F">
        <w:rPr>
          <w:lang w:val="fr-CA"/>
        </w:rPr>
        <w:t>, 76.3</w:t>
      </w:r>
      <w:r w:rsidR="004D5D46" w:rsidRPr="004F117F">
        <w:rPr>
          <w:lang w:val="fr-CA"/>
        </w:rPr>
        <w:t xml:space="preserve"> [aj. </w:t>
      </w:r>
      <w:r w:rsidR="004D5D46" w:rsidRPr="004F117F">
        <w:rPr>
          <w:i/>
          <w:lang w:val="fr-CA"/>
        </w:rPr>
        <w:t>idem</w:t>
      </w:r>
      <w:r w:rsidR="004D5D46" w:rsidRPr="004F117F">
        <w:rPr>
          <w:lang w:val="fr-CA"/>
        </w:rPr>
        <w:t>],</w:t>
      </w:r>
      <w:r w:rsidR="00CA3564" w:rsidRPr="004F117F">
        <w:rPr>
          <w:lang w:val="fr-CA"/>
        </w:rPr>
        <w:t xml:space="preserve"> 76.4</w:t>
      </w:r>
      <w:r w:rsidR="004D5D46" w:rsidRPr="004F117F">
        <w:rPr>
          <w:lang w:val="fr-CA"/>
        </w:rPr>
        <w:t xml:space="preserve"> [aj. </w:t>
      </w:r>
      <w:r w:rsidR="004D5D46" w:rsidRPr="004F117F">
        <w:rPr>
          <w:i/>
          <w:lang w:val="fr-CA"/>
        </w:rPr>
        <w:lastRenderedPageBreak/>
        <w:t>idem</w:t>
      </w:r>
      <w:r w:rsidR="004D5D46" w:rsidRPr="004F117F">
        <w:rPr>
          <w:lang w:val="fr-CA"/>
        </w:rPr>
        <w:t>]</w:t>
      </w:r>
      <w:r w:rsidR="00CA3564" w:rsidRPr="004F117F">
        <w:rPr>
          <w:lang w:val="fr-CA"/>
        </w:rPr>
        <w:t>, 76.5</w:t>
      </w:r>
      <w:r w:rsidR="00E01324" w:rsidRPr="004F117F">
        <w:rPr>
          <w:lang w:val="fr-CA"/>
        </w:rPr>
        <w:t xml:space="preserve"> </w:t>
      </w:r>
      <w:r w:rsidR="004D5D46" w:rsidRPr="004F117F">
        <w:rPr>
          <w:lang w:val="fr-CA"/>
        </w:rPr>
        <w:t xml:space="preserve">[aj. </w:t>
      </w:r>
      <w:r w:rsidR="004D5D46" w:rsidRPr="004F117F">
        <w:rPr>
          <w:i/>
          <w:lang w:val="fr-CA"/>
        </w:rPr>
        <w:t>idem</w:t>
      </w:r>
      <w:r w:rsidR="004D5D46" w:rsidRPr="004F117F">
        <w:rPr>
          <w:lang w:val="fr-CA"/>
        </w:rPr>
        <w:t>],</w:t>
      </w:r>
      <w:r w:rsidR="00CA3564" w:rsidRPr="004F117F">
        <w:rPr>
          <w:lang w:val="fr-CA"/>
        </w:rPr>
        <w:t xml:space="preserve"> 76.9</w:t>
      </w:r>
      <w:r w:rsidR="004D5D46" w:rsidRPr="004F117F">
        <w:rPr>
          <w:lang w:val="fr-CA"/>
        </w:rPr>
        <w:t xml:space="preserve"> [aj. </w:t>
      </w:r>
      <w:r w:rsidR="004D5D46" w:rsidRPr="004F117F">
        <w:rPr>
          <w:i/>
          <w:lang w:val="fr-CA"/>
        </w:rPr>
        <w:t>idem</w:t>
      </w:r>
      <w:r w:rsidR="004D5D46" w:rsidRPr="004F117F">
        <w:rPr>
          <w:lang w:val="fr-CA"/>
        </w:rPr>
        <w:t>],</w:t>
      </w:r>
      <w:r w:rsidR="00CA3564" w:rsidRPr="004F117F">
        <w:rPr>
          <w:lang w:val="fr-CA"/>
        </w:rPr>
        <w:t xml:space="preserve"> 1</w:t>
      </w:r>
      <w:r w:rsidR="00054392" w:rsidRPr="004F117F">
        <w:rPr>
          <w:lang w:val="fr-CA"/>
        </w:rPr>
        <w:t xml:space="preserve">00 [mod. 2009, </w:t>
      </w:r>
      <w:r w:rsidR="00C207A6" w:rsidRPr="004F117F">
        <w:rPr>
          <w:lang w:val="fr-CA"/>
        </w:rPr>
        <w:t>c. </w:t>
      </w:r>
      <w:r w:rsidR="00054392" w:rsidRPr="004F117F">
        <w:rPr>
          <w:lang w:val="fr-CA"/>
        </w:rPr>
        <w:t xml:space="preserve">9, </w:t>
      </w:r>
      <w:r w:rsidR="00587D61" w:rsidRPr="004F117F">
        <w:rPr>
          <w:lang w:val="fr-CA"/>
        </w:rPr>
        <w:t>art. </w:t>
      </w:r>
      <w:r w:rsidR="00FC3D22">
        <w:rPr>
          <w:lang w:val="fr-CA"/>
        </w:rPr>
        <w:t>36</w:t>
      </w:r>
      <w:r w:rsidR="00054392" w:rsidRPr="004F117F">
        <w:rPr>
          <w:lang w:val="fr-CA"/>
        </w:rPr>
        <w:t xml:space="preserve">], </w:t>
      </w:r>
      <w:r w:rsidR="004D5D46" w:rsidRPr="004F117F">
        <w:rPr>
          <w:lang w:val="fr-CA"/>
        </w:rPr>
        <w:t xml:space="preserve">101 </w:t>
      </w:r>
      <w:r w:rsidR="00587D61" w:rsidRPr="004F117F">
        <w:rPr>
          <w:lang w:val="fr-CA"/>
        </w:rPr>
        <w:t>al. </w:t>
      </w:r>
      <w:r w:rsidR="004D5D46" w:rsidRPr="004F117F">
        <w:rPr>
          <w:lang w:val="fr-CA"/>
        </w:rPr>
        <w:t xml:space="preserve">3 [aj. 2009, c. 9, </w:t>
      </w:r>
      <w:r w:rsidR="00587D61" w:rsidRPr="004F117F">
        <w:rPr>
          <w:lang w:val="fr-CA"/>
        </w:rPr>
        <w:t>art. </w:t>
      </w:r>
      <w:r w:rsidR="004D5D46" w:rsidRPr="004F117F">
        <w:rPr>
          <w:lang w:val="fr-CA"/>
        </w:rPr>
        <w:t xml:space="preserve">37], </w:t>
      </w:r>
      <w:r w:rsidR="00CA3564" w:rsidRPr="004F117F">
        <w:rPr>
          <w:lang w:val="fr-CA"/>
        </w:rPr>
        <w:t xml:space="preserve">103.1 </w:t>
      </w:r>
      <w:r w:rsidR="00587D61" w:rsidRPr="004F117F">
        <w:rPr>
          <w:lang w:val="fr-CA"/>
        </w:rPr>
        <w:t>al. </w:t>
      </w:r>
      <w:r w:rsidR="00A63D82" w:rsidRPr="004F117F">
        <w:rPr>
          <w:lang w:val="fr-CA"/>
        </w:rPr>
        <w:t xml:space="preserve">2 </w:t>
      </w:r>
      <w:r w:rsidR="00CA3564" w:rsidRPr="004F117F">
        <w:rPr>
          <w:lang w:val="fr-CA"/>
        </w:rPr>
        <w:t xml:space="preserve">[aj. 2009, </w:t>
      </w:r>
      <w:r w:rsidR="00C207A6" w:rsidRPr="004F117F">
        <w:rPr>
          <w:lang w:val="fr-CA"/>
        </w:rPr>
        <w:t>c. </w:t>
      </w:r>
      <w:r w:rsidR="00CA3564" w:rsidRPr="004F117F">
        <w:rPr>
          <w:lang w:val="fr-CA"/>
        </w:rPr>
        <w:t xml:space="preserve">9, </w:t>
      </w:r>
      <w:r w:rsidR="00587D61" w:rsidRPr="004F117F">
        <w:rPr>
          <w:lang w:val="fr-CA"/>
        </w:rPr>
        <w:t>art. </w:t>
      </w:r>
      <w:r w:rsidR="00CA3564" w:rsidRPr="004F117F">
        <w:rPr>
          <w:lang w:val="fr-CA"/>
        </w:rPr>
        <w:t>40], 115</w:t>
      </w:r>
      <w:r w:rsidR="00054392" w:rsidRPr="004F117F">
        <w:rPr>
          <w:lang w:val="fr-CA"/>
        </w:rPr>
        <w:t xml:space="preserve"> </w:t>
      </w:r>
      <w:r w:rsidR="00CA3564" w:rsidRPr="004F117F">
        <w:rPr>
          <w:lang w:val="fr-CA"/>
        </w:rPr>
        <w:t xml:space="preserve">[mod. 2009, </w:t>
      </w:r>
      <w:r w:rsidR="00C207A6" w:rsidRPr="004F117F">
        <w:rPr>
          <w:lang w:val="fr-CA"/>
        </w:rPr>
        <w:t>c. </w:t>
      </w:r>
      <w:r w:rsidR="00CA3564" w:rsidRPr="004F117F">
        <w:rPr>
          <w:lang w:val="fr-CA"/>
        </w:rPr>
        <w:t xml:space="preserve">9, </w:t>
      </w:r>
      <w:r w:rsidR="00587D61" w:rsidRPr="004F117F">
        <w:rPr>
          <w:lang w:val="fr-CA"/>
        </w:rPr>
        <w:t>art. </w:t>
      </w:r>
      <w:r w:rsidR="00CA3564" w:rsidRPr="004F117F">
        <w:rPr>
          <w:lang w:val="fr-CA"/>
        </w:rPr>
        <w:t>44] à 118.</w:t>
      </w:r>
    </w:p>
    <w:p w:rsidR="001D20B5" w:rsidRPr="004F117F" w:rsidRDefault="003541EB" w:rsidP="00637E44">
      <w:pPr>
        <w:pStyle w:val="SCCNormalDoubleSpacing"/>
        <w:widowControl w:val="0"/>
        <w:spacing w:after="720" w:line="240" w:lineRule="auto"/>
        <w:ind w:left="547" w:hanging="547"/>
        <w:rPr>
          <w:lang w:val="fr-CA"/>
        </w:rPr>
      </w:pPr>
      <w:r w:rsidRPr="004F117F">
        <w:rPr>
          <w:i/>
          <w:lang w:val="fr-CA"/>
        </w:rPr>
        <w:t>Loi sur l</w:t>
      </w:r>
      <w:r w:rsidR="000C1609" w:rsidRPr="004F117F">
        <w:rPr>
          <w:i/>
          <w:lang w:val="fr-CA"/>
        </w:rPr>
        <w:t>’</w:t>
      </w:r>
      <w:r w:rsidRPr="004F117F">
        <w:rPr>
          <w:i/>
          <w:lang w:val="fr-CA"/>
        </w:rPr>
        <w:t>équité salariale</w:t>
      </w:r>
      <w:r w:rsidRPr="004F117F">
        <w:rPr>
          <w:lang w:val="fr-CA"/>
        </w:rPr>
        <w:t xml:space="preserve">, RLRQ, </w:t>
      </w:r>
      <w:r w:rsidR="00C207A6" w:rsidRPr="004F117F">
        <w:rPr>
          <w:lang w:val="fr-CA"/>
        </w:rPr>
        <w:t>c. </w:t>
      </w:r>
      <w:r w:rsidRPr="004F117F">
        <w:rPr>
          <w:lang w:val="fr-CA"/>
        </w:rPr>
        <w:t>E</w:t>
      </w:r>
      <w:r w:rsidR="00587D61" w:rsidRPr="004F117F">
        <w:rPr>
          <w:lang w:val="fr-CA"/>
        </w:rPr>
        <w:noBreakHyphen/>
      </w:r>
      <w:r w:rsidRPr="004F117F">
        <w:rPr>
          <w:lang w:val="fr-CA"/>
        </w:rPr>
        <w:t>12.001</w:t>
      </w:r>
      <w:r w:rsidR="00D22AEB" w:rsidRPr="004F117F">
        <w:rPr>
          <w:lang w:val="fr-CA"/>
        </w:rPr>
        <w:t xml:space="preserve">, </w:t>
      </w:r>
      <w:r w:rsidR="00587D61" w:rsidRPr="004F117F">
        <w:rPr>
          <w:lang w:val="fr-CA"/>
        </w:rPr>
        <w:t>art. </w:t>
      </w:r>
      <w:r w:rsidR="004D5D46" w:rsidRPr="004F117F">
        <w:rPr>
          <w:lang w:val="fr-CA"/>
        </w:rPr>
        <w:t>1, 4, 16, 31, 34</w:t>
      </w:r>
      <w:r w:rsidR="00CA3564" w:rsidRPr="004F117F">
        <w:rPr>
          <w:lang w:val="fr-CA"/>
        </w:rPr>
        <w:t>,</w:t>
      </w:r>
      <w:r w:rsidR="004D5D46" w:rsidRPr="004F117F">
        <w:rPr>
          <w:lang w:val="fr-CA"/>
        </w:rPr>
        <w:t xml:space="preserve"> 50, 76.1 à</w:t>
      </w:r>
      <w:r w:rsidR="00CA3564" w:rsidRPr="004F117F">
        <w:rPr>
          <w:lang w:val="fr-CA"/>
        </w:rPr>
        <w:t xml:space="preserve"> 76.9, </w:t>
      </w:r>
      <w:r w:rsidR="004D5D46" w:rsidRPr="004F117F">
        <w:rPr>
          <w:lang w:val="fr-CA"/>
        </w:rPr>
        <w:t xml:space="preserve">76.1, </w:t>
      </w:r>
      <w:r w:rsidR="00CA3564" w:rsidRPr="004F117F">
        <w:rPr>
          <w:lang w:val="fr-CA"/>
        </w:rPr>
        <w:t>76.3,</w:t>
      </w:r>
      <w:r w:rsidR="004D5D46" w:rsidRPr="004F117F">
        <w:rPr>
          <w:lang w:val="fr-CA"/>
        </w:rPr>
        <w:t xml:space="preserve"> 76.4,</w:t>
      </w:r>
      <w:r w:rsidR="00CA3564" w:rsidRPr="004F117F">
        <w:rPr>
          <w:lang w:val="fr-CA"/>
        </w:rPr>
        <w:t xml:space="preserve"> 76.5,</w:t>
      </w:r>
      <w:r w:rsidR="00CB4157" w:rsidRPr="004F117F">
        <w:rPr>
          <w:lang w:val="fr-CA"/>
        </w:rPr>
        <w:t xml:space="preserve"> 76.9,</w:t>
      </w:r>
      <w:r w:rsidR="00CA3564" w:rsidRPr="004F117F">
        <w:rPr>
          <w:lang w:val="fr-CA"/>
        </w:rPr>
        <w:t xml:space="preserve"> 101, 103.1</w:t>
      </w:r>
      <w:r w:rsidR="00A63D82" w:rsidRPr="004F117F">
        <w:rPr>
          <w:lang w:val="fr-CA"/>
        </w:rPr>
        <w:t xml:space="preserve"> </w:t>
      </w:r>
      <w:r w:rsidR="00587D61" w:rsidRPr="004F117F">
        <w:rPr>
          <w:lang w:val="fr-CA"/>
        </w:rPr>
        <w:t>al. </w:t>
      </w:r>
      <w:r w:rsidR="00A63D82" w:rsidRPr="004F117F">
        <w:rPr>
          <w:lang w:val="fr-CA"/>
        </w:rPr>
        <w:t>2</w:t>
      </w:r>
      <w:r w:rsidR="004D5D46" w:rsidRPr="004F117F">
        <w:rPr>
          <w:lang w:val="fr-CA"/>
        </w:rPr>
        <w:t>, 115 à 118</w:t>
      </w:r>
      <w:r w:rsidR="00CA3564" w:rsidRPr="004F117F">
        <w:rPr>
          <w:lang w:val="fr-CA"/>
        </w:rPr>
        <w:t>.</w:t>
      </w:r>
    </w:p>
    <w:p w:rsidR="009F56F5" w:rsidRPr="004F117F" w:rsidRDefault="009F56F5" w:rsidP="00637E44">
      <w:pPr>
        <w:pStyle w:val="SCCNormalDoubleSpacing"/>
        <w:widowControl w:val="0"/>
        <w:spacing w:before="480" w:after="480"/>
        <w:rPr>
          <w:b/>
          <w:lang w:val="fr-CA"/>
        </w:rPr>
      </w:pPr>
      <w:r w:rsidRPr="004F117F">
        <w:rPr>
          <w:b/>
          <w:lang w:val="fr-CA"/>
        </w:rPr>
        <w:t>Table des traités et autres instruments internationaux</w:t>
      </w:r>
    </w:p>
    <w:p w:rsidR="00090EF1" w:rsidRPr="004F117F" w:rsidRDefault="00090EF1" w:rsidP="00637E44">
      <w:pPr>
        <w:pStyle w:val="SCCNormalDoubleSpacing"/>
        <w:widowControl w:val="0"/>
        <w:spacing w:after="240" w:line="240" w:lineRule="auto"/>
        <w:ind w:left="547" w:hanging="547"/>
        <w:rPr>
          <w:szCs w:val="24"/>
          <w:lang w:val="fr-CA"/>
        </w:rPr>
      </w:pPr>
      <w:r w:rsidRPr="004F117F">
        <w:rPr>
          <w:i/>
          <w:szCs w:val="24"/>
          <w:lang w:val="fr-CA"/>
        </w:rPr>
        <w:t xml:space="preserve">Convention </w:t>
      </w:r>
      <w:r w:rsidRPr="004F117F">
        <w:rPr>
          <w:i/>
          <w:lang w:val="fr-CA"/>
        </w:rPr>
        <w:t>concernant</w:t>
      </w:r>
      <w:r w:rsidRPr="004F117F">
        <w:rPr>
          <w:i/>
          <w:szCs w:val="24"/>
          <w:lang w:val="fr-CA"/>
        </w:rPr>
        <w:t xml:space="preserve"> l</w:t>
      </w:r>
      <w:r w:rsidR="000C1609" w:rsidRPr="004F117F">
        <w:rPr>
          <w:i/>
          <w:szCs w:val="24"/>
          <w:lang w:val="fr-CA"/>
        </w:rPr>
        <w:t>’</w:t>
      </w:r>
      <w:r w:rsidRPr="004F117F">
        <w:rPr>
          <w:i/>
          <w:szCs w:val="24"/>
          <w:lang w:val="fr-CA"/>
        </w:rPr>
        <w:t>égalité de rémunération entre la main</w:t>
      </w:r>
      <w:r w:rsidR="00587D61" w:rsidRPr="004F117F">
        <w:rPr>
          <w:i/>
          <w:szCs w:val="24"/>
          <w:lang w:val="fr-CA"/>
        </w:rPr>
        <w:noBreakHyphen/>
      </w:r>
      <w:r w:rsidRPr="004F117F">
        <w:rPr>
          <w:i/>
          <w:szCs w:val="24"/>
          <w:lang w:val="fr-CA"/>
        </w:rPr>
        <w:t>d</w:t>
      </w:r>
      <w:r w:rsidR="000C1609" w:rsidRPr="004F117F">
        <w:rPr>
          <w:i/>
          <w:szCs w:val="24"/>
          <w:lang w:val="fr-CA"/>
        </w:rPr>
        <w:t>’</w:t>
      </w:r>
      <w:r w:rsidRPr="004F117F">
        <w:rPr>
          <w:i/>
          <w:szCs w:val="24"/>
          <w:lang w:val="fr-CA"/>
        </w:rPr>
        <w:t xml:space="preserve">œuvre masculine et la </w:t>
      </w:r>
      <w:r w:rsidR="00B962BA" w:rsidRPr="004F117F">
        <w:rPr>
          <w:i/>
          <w:szCs w:val="24"/>
          <w:lang w:val="fr-CA"/>
        </w:rPr>
        <w:t>main</w:t>
      </w:r>
      <w:r w:rsidR="00587D61" w:rsidRPr="004F117F">
        <w:rPr>
          <w:i/>
          <w:szCs w:val="24"/>
          <w:lang w:val="fr-CA"/>
        </w:rPr>
        <w:noBreakHyphen/>
      </w:r>
      <w:r w:rsidR="00B962BA" w:rsidRPr="004F117F">
        <w:rPr>
          <w:i/>
          <w:szCs w:val="24"/>
          <w:lang w:val="fr-CA"/>
        </w:rPr>
        <w:t>d</w:t>
      </w:r>
      <w:r w:rsidR="000C1609" w:rsidRPr="004F117F">
        <w:rPr>
          <w:i/>
          <w:szCs w:val="24"/>
          <w:lang w:val="fr-CA"/>
        </w:rPr>
        <w:t>’</w:t>
      </w:r>
      <w:r w:rsidR="00B962BA" w:rsidRPr="004F117F">
        <w:rPr>
          <w:i/>
          <w:szCs w:val="24"/>
          <w:lang w:val="fr-CA"/>
        </w:rPr>
        <w:t>œuvre</w:t>
      </w:r>
      <w:r w:rsidRPr="004F117F">
        <w:rPr>
          <w:i/>
          <w:szCs w:val="24"/>
          <w:lang w:val="fr-CA"/>
        </w:rPr>
        <w:t xml:space="preserve"> féminine pour un travail de valeur égale (N</w:t>
      </w:r>
      <w:r w:rsidRPr="004F117F">
        <w:rPr>
          <w:i/>
          <w:szCs w:val="24"/>
          <w:vertAlign w:val="superscript"/>
          <w:lang w:val="fr-CA"/>
        </w:rPr>
        <w:t>o</w:t>
      </w:r>
      <w:r w:rsidR="00C207A6" w:rsidRPr="004F117F">
        <w:rPr>
          <w:i/>
          <w:szCs w:val="24"/>
          <w:lang w:val="fr-CA"/>
        </w:rPr>
        <w:t> </w:t>
      </w:r>
      <w:r w:rsidRPr="004F117F">
        <w:rPr>
          <w:i/>
          <w:szCs w:val="24"/>
          <w:lang w:val="fr-CA"/>
        </w:rPr>
        <w:t>100)</w:t>
      </w:r>
      <w:r w:rsidRPr="004F117F">
        <w:rPr>
          <w:szCs w:val="24"/>
          <w:lang w:val="fr-CA"/>
        </w:rPr>
        <w:t>, R.T. Can. 1973 n</w:t>
      </w:r>
      <w:r w:rsidRPr="004F117F">
        <w:rPr>
          <w:szCs w:val="24"/>
          <w:vertAlign w:val="superscript"/>
          <w:lang w:val="fr-CA"/>
        </w:rPr>
        <w:t>o</w:t>
      </w:r>
      <w:r w:rsidR="00C207A6" w:rsidRPr="004F117F">
        <w:rPr>
          <w:szCs w:val="24"/>
          <w:lang w:val="fr-CA"/>
        </w:rPr>
        <w:t> </w:t>
      </w:r>
      <w:r w:rsidRPr="004F117F">
        <w:rPr>
          <w:szCs w:val="24"/>
          <w:lang w:val="fr-CA"/>
        </w:rPr>
        <w:t>37.</w:t>
      </w:r>
    </w:p>
    <w:p w:rsidR="00B962BA" w:rsidRPr="004F117F" w:rsidRDefault="00B962BA" w:rsidP="00637E44">
      <w:pPr>
        <w:pStyle w:val="SCCNormalDoubleSpacing"/>
        <w:widowControl w:val="0"/>
        <w:spacing w:after="240" w:line="240" w:lineRule="auto"/>
        <w:ind w:left="547" w:hanging="547"/>
        <w:rPr>
          <w:lang w:val="fr-CA"/>
        </w:rPr>
      </w:pPr>
      <w:r w:rsidRPr="004F117F">
        <w:rPr>
          <w:i/>
          <w:lang w:val="fr-CA"/>
        </w:rPr>
        <w:t>Convention sur l</w:t>
      </w:r>
      <w:r w:rsidR="000C1609" w:rsidRPr="004F117F">
        <w:rPr>
          <w:i/>
          <w:lang w:val="fr-CA"/>
        </w:rPr>
        <w:t>’</w:t>
      </w:r>
      <w:r w:rsidRPr="004F117F">
        <w:rPr>
          <w:i/>
          <w:lang w:val="fr-CA"/>
        </w:rPr>
        <w:t>élimination de toutes les formes de discrimination à l</w:t>
      </w:r>
      <w:r w:rsidR="000C1609" w:rsidRPr="004F117F">
        <w:rPr>
          <w:i/>
          <w:lang w:val="fr-CA"/>
        </w:rPr>
        <w:t>’</w:t>
      </w:r>
      <w:r w:rsidRPr="004F117F">
        <w:rPr>
          <w:i/>
          <w:lang w:val="fr-CA"/>
        </w:rPr>
        <w:t>égard des femmes</w:t>
      </w:r>
      <w:r w:rsidRPr="004F117F">
        <w:rPr>
          <w:lang w:val="fr-CA"/>
        </w:rPr>
        <w:t xml:space="preserve">, </w:t>
      </w:r>
      <w:r w:rsidR="00D75712" w:rsidRPr="004F117F">
        <w:rPr>
          <w:lang w:val="fr-CA"/>
        </w:rPr>
        <w:t xml:space="preserve">1249 </w:t>
      </w:r>
      <w:r w:rsidRPr="004F117F">
        <w:rPr>
          <w:lang w:val="fr-CA"/>
        </w:rPr>
        <w:t>R.T.</w:t>
      </w:r>
      <w:r w:rsidR="00D75712" w:rsidRPr="004F117F">
        <w:rPr>
          <w:lang w:val="fr-CA"/>
        </w:rPr>
        <w:t>N.U. 24</w:t>
      </w:r>
      <w:r w:rsidRPr="004F117F">
        <w:rPr>
          <w:lang w:val="fr-CA"/>
        </w:rPr>
        <w:t xml:space="preserve">, </w:t>
      </w:r>
      <w:r w:rsidR="00587D61" w:rsidRPr="004F117F">
        <w:rPr>
          <w:lang w:val="fr-CA"/>
        </w:rPr>
        <w:t>art. </w:t>
      </w:r>
      <w:r w:rsidRPr="004F117F">
        <w:rPr>
          <w:lang w:val="fr-CA"/>
        </w:rPr>
        <w:t>11(1)(d).</w:t>
      </w:r>
    </w:p>
    <w:p w:rsidR="00AC592E" w:rsidRPr="004F117F" w:rsidRDefault="00371625" w:rsidP="00637E44">
      <w:pPr>
        <w:pStyle w:val="SCCNormalDoubleSpacing"/>
        <w:widowControl w:val="0"/>
        <w:spacing w:after="720" w:line="240" w:lineRule="auto"/>
        <w:ind w:left="547" w:hanging="547"/>
        <w:rPr>
          <w:lang w:val="fr-CA"/>
        </w:rPr>
      </w:pPr>
      <w:r w:rsidRPr="004F117F">
        <w:rPr>
          <w:lang w:val="fr-CA"/>
        </w:rPr>
        <w:t>Déclaration du Canada au sujet de l</w:t>
      </w:r>
      <w:r w:rsidR="000C1609" w:rsidRPr="004F117F">
        <w:rPr>
          <w:lang w:val="fr-CA"/>
        </w:rPr>
        <w:t>’</w:t>
      </w:r>
      <w:r w:rsidR="00587D61" w:rsidRPr="004F117F">
        <w:rPr>
          <w:lang w:val="fr-CA"/>
        </w:rPr>
        <w:t>al. </w:t>
      </w:r>
      <w:r w:rsidRPr="004F117F">
        <w:rPr>
          <w:lang w:val="fr-CA"/>
        </w:rPr>
        <w:t>11(1)d) formulée lors de la ratification</w:t>
      </w:r>
      <w:r w:rsidR="00D75712" w:rsidRPr="004F117F">
        <w:rPr>
          <w:lang w:val="fr-CA"/>
        </w:rPr>
        <w:t xml:space="preserve"> de la </w:t>
      </w:r>
      <w:r w:rsidR="00D75712" w:rsidRPr="004F117F">
        <w:rPr>
          <w:i/>
          <w:lang w:val="fr-CA"/>
        </w:rPr>
        <w:t>Convention sur l</w:t>
      </w:r>
      <w:r w:rsidR="000C1609" w:rsidRPr="004F117F">
        <w:rPr>
          <w:i/>
          <w:lang w:val="fr-CA"/>
        </w:rPr>
        <w:t>’</w:t>
      </w:r>
      <w:r w:rsidR="00D75712" w:rsidRPr="004F117F">
        <w:rPr>
          <w:i/>
          <w:lang w:val="fr-CA"/>
        </w:rPr>
        <w:t>élimination de toutes les formes de discrimination à l</w:t>
      </w:r>
      <w:r w:rsidR="000C1609" w:rsidRPr="004F117F">
        <w:rPr>
          <w:i/>
          <w:lang w:val="fr-CA"/>
        </w:rPr>
        <w:t>’</w:t>
      </w:r>
      <w:r w:rsidR="00D75712" w:rsidRPr="004F117F">
        <w:rPr>
          <w:i/>
          <w:lang w:val="fr-CA"/>
        </w:rPr>
        <w:t>égard des femmes</w:t>
      </w:r>
      <w:r w:rsidR="004D5D46" w:rsidRPr="004F117F">
        <w:rPr>
          <w:lang w:val="fr-CA"/>
        </w:rPr>
        <w:t>, annexe A, n</w:t>
      </w:r>
      <w:r w:rsidR="00C207A6" w:rsidRPr="004F117F">
        <w:rPr>
          <w:vertAlign w:val="superscript"/>
          <w:lang w:val="fr-CA"/>
        </w:rPr>
        <w:t>o </w:t>
      </w:r>
      <w:r w:rsidR="00C207A6" w:rsidRPr="004F117F">
        <w:rPr>
          <w:lang w:val="fr-CA"/>
        </w:rPr>
        <w:t>20378, 9 </w:t>
      </w:r>
      <w:r w:rsidR="00D75712" w:rsidRPr="004F117F">
        <w:rPr>
          <w:lang w:val="fr-CA"/>
        </w:rPr>
        <w:t>janvier 1982, 1257 R.T.N.U. 496 [retrait de la déclaration le 28 mai 1992, 1676 R.T.N.U. 554].</w:t>
      </w:r>
    </w:p>
    <w:p w:rsidR="004D7D95" w:rsidRPr="004F117F" w:rsidRDefault="004D7D95" w:rsidP="00637E44">
      <w:pPr>
        <w:pStyle w:val="SCCNormalDoubleSpacing"/>
        <w:widowControl w:val="0"/>
        <w:spacing w:before="480" w:after="480"/>
        <w:rPr>
          <w:b/>
          <w:lang w:val="fr-CA"/>
        </w:rPr>
      </w:pPr>
      <w:r w:rsidRPr="004F117F">
        <w:rPr>
          <w:b/>
          <w:lang w:val="fr-CA"/>
        </w:rPr>
        <w:t>Doctrine et autres documents cités</w:t>
      </w:r>
    </w:p>
    <w:p w:rsidR="00AC35C3" w:rsidRPr="004F117F" w:rsidRDefault="00AC35C3" w:rsidP="00637E44">
      <w:pPr>
        <w:pStyle w:val="SCCNormalDoubleSpacing"/>
        <w:widowControl w:val="0"/>
        <w:spacing w:after="240" w:line="240" w:lineRule="auto"/>
        <w:ind w:left="547" w:hanging="547"/>
        <w:rPr>
          <w:lang w:val="en-US"/>
        </w:rPr>
      </w:pPr>
      <w:r w:rsidRPr="00171C12">
        <w:rPr>
          <w:lang w:val="fr-CA"/>
        </w:rPr>
        <w:t xml:space="preserve">Anker, Richer. </w:t>
      </w:r>
      <w:r w:rsidR="00C23F40" w:rsidRPr="004F117F">
        <w:t>« Theories of occupational s</w:t>
      </w:r>
      <w:r w:rsidRPr="004F117F">
        <w:t xml:space="preserve">egregation by </w:t>
      </w:r>
      <w:r w:rsidR="00C23F40" w:rsidRPr="004F117F">
        <w:t>s</w:t>
      </w:r>
      <w:r w:rsidRPr="004F117F">
        <w:t>ex</w:t>
      </w:r>
      <w:r w:rsidR="00587D61" w:rsidRPr="004F117F">
        <w:t> :</w:t>
      </w:r>
      <w:r w:rsidRPr="004F117F">
        <w:t xml:space="preserve"> An Overview » (1997), </w:t>
      </w:r>
      <w:r w:rsidRPr="004F117F">
        <w:rPr>
          <w:lang w:val="en-US"/>
        </w:rPr>
        <w:t xml:space="preserve">136 </w:t>
      </w:r>
      <w:r w:rsidRPr="004F117F">
        <w:rPr>
          <w:i/>
          <w:lang w:val="en-US"/>
        </w:rPr>
        <w:t>Int</w:t>
      </w:r>
      <w:r w:rsidR="000C1609" w:rsidRPr="004F117F">
        <w:rPr>
          <w:i/>
          <w:lang w:val="en-US"/>
        </w:rPr>
        <w:t>’</w:t>
      </w:r>
      <w:r w:rsidRPr="004F117F">
        <w:rPr>
          <w:i/>
          <w:lang w:val="en-US"/>
        </w:rPr>
        <w:t>l Lab. Rev.</w:t>
      </w:r>
      <w:r w:rsidRPr="004F117F">
        <w:rPr>
          <w:lang w:val="en-US"/>
        </w:rPr>
        <w:t xml:space="preserve"> 315.</w:t>
      </w:r>
    </w:p>
    <w:p w:rsidR="000F4174" w:rsidRPr="004F117F" w:rsidRDefault="000F4174" w:rsidP="00637E44">
      <w:pPr>
        <w:pStyle w:val="SCCNormalDoubleSpacing"/>
        <w:widowControl w:val="0"/>
        <w:spacing w:after="240" w:line="240" w:lineRule="auto"/>
        <w:ind w:left="547" w:hanging="547"/>
      </w:pPr>
      <w:r w:rsidRPr="004F117F">
        <w:rPr>
          <w:lang w:val="en-US"/>
        </w:rPr>
        <w:t>Bilson, Beth. « </w:t>
      </w:r>
      <w:r w:rsidRPr="004F117F">
        <w:t>The Ravages of Time</w:t>
      </w:r>
      <w:r w:rsidR="00587D61" w:rsidRPr="004F117F">
        <w:t> :</w:t>
      </w:r>
      <w:r w:rsidRPr="004F117F">
        <w:t xml:space="preserve"> The Work of the Federal Pay Equity Task Force and Section 11 of the </w:t>
      </w:r>
      <w:r w:rsidRPr="004F117F">
        <w:rPr>
          <w:i/>
        </w:rPr>
        <w:t>Canadian Human Rights Act</w:t>
      </w:r>
      <w:r w:rsidRPr="004F117F">
        <w:t xml:space="preserve"> » (2004), 67 </w:t>
      </w:r>
      <w:r w:rsidRPr="004F117F">
        <w:rPr>
          <w:i/>
        </w:rPr>
        <w:t>Sask. L. Rev.</w:t>
      </w:r>
      <w:r w:rsidRPr="004F117F">
        <w:t xml:space="preserve"> 525.</w:t>
      </w:r>
    </w:p>
    <w:p w:rsidR="005C6D6F" w:rsidRPr="004F117F" w:rsidRDefault="005C6D6F" w:rsidP="00637E44">
      <w:pPr>
        <w:pStyle w:val="SCCNormalDoubleSpacing"/>
        <w:widowControl w:val="0"/>
        <w:spacing w:after="240" w:line="240" w:lineRule="auto"/>
        <w:ind w:left="547" w:hanging="547"/>
        <w:rPr>
          <w:lang w:val="fr-CA"/>
        </w:rPr>
      </w:pPr>
      <w:r w:rsidRPr="004F117F">
        <w:rPr>
          <w:lang w:val="fr-CA"/>
        </w:rPr>
        <w:t>Canada. Commission royale d</w:t>
      </w:r>
      <w:r w:rsidR="000C1609" w:rsidRPr="004F117F">
        <w:rPr>
          <w:lang w:val="fr-CA"/>
        </w:rPr>
        <w:t>’</w:t>
      </w:r>
      <w:r w:rsidRPr="004F117F">
        <w:rPr>
          <w:lang w:val="fr-CA"/>
        </w:rPr>
        <w:t xml:space="preserve">enquête sur la situation de la femme au Canada. </w:t>
      </w:r>
      <w:r w:rsidRPr="004F117F">
        <w:rPr>
          <w:i/>
          <w:lang w:val="fr-CA"/>
        </w:rPr>
        <w:t>Rapport de la Commission royale d</w:t>
      </w:r>
      <w:r w:rsidR="000C1609" w:rsidRPr="004F117F">
        <w:rPr>
          <w:i/>
          <w:lang w:val="fr-CA"/>
        </w:rPr>
        <w:t>’</w:t>
      </w:r>
      <w:r w:rsidRPr="004F117F">
        <w:rPr>
          <w:i/>
          <w:lang w:val="fr-CA"/>
        </w:rPr>
        <w:t>enquête sur la situation de la femme au Canada</w:t>
      </w:r>
      <w:r w:rsidR="00E0331C" w:rsidRPr="004F117F">
        <w:rPr>
          <w:lang w:val="fr-CA"/>
        </w:rPr>
        <w:t>,</w:t>
      </w:r>
      <w:r w:rsidRPr="004F117F">
        <w:rPr>
          <w:lang w:val="fr-CA"/>
        </w:rPr>
        <w:t xml:space="preserve"> Ottawa, 1970. </w:t>
      </w:r>
    </w:p>
    <w:p w:rsidR="00672A1D" w:rsidRPr="004F117F" w:rsidRDefault="00672A1D" w:rsidP="00637E44">
      <w:pPr>
        <w:pStyle w:val="SCCNormalDoubleSpacing"/>
        <w:widowControl w:val="0"/>
        <w:spacing w:after="240" w:line="240" w:lineRule="auto"/>
        <w:ind w:left="547" w:hanging="547"/>
        <w:rPr>
          <w:lang w:val="fr-CA"/>
        </w:rPr>
      </w:pPr>
      <w:r w:rsidRPr="004F117F">
        <w:rPr>
          <w:lang w:val="fr-CA"/>
        </w:rPr>
        <w:t>Canada. Commission</w:t>
      </w:r>
      <w:r w:rsidR="007E1610" w:rsidRPr="004F117F">
        <w:rPr>
          <w:lang w:val="fr-CA"/>
        </w:rPr>
        <w:t xml:space="preserve"> </w:t>
      </w:r>
      <w:r w:rsidRPr="004F117F">
        <w:rPr>
          <w:lang w:val="fr-CA"/>
        </w:rPr>
        <w:t>royale sur l</w:t>
      </w:r>
      <w:r w:rsidR="000C1609" w:rsidRPr="004F117F">
        <w:rPr>
          <w:lang w:val="fr-CA"/>
        </w:rPr>
        <w:t>’</w:t>
      </w:r>
      <w:r w:rsidRPr="004F117F">
        <w:rPr>
          <w:lang w:val="fr-CA"/>
        </w:rPr>
        <w:t>égalité en matière d</w:t>
      </w:r>
      <w:r w:rsidR="000C1609" w:rsidRPr="004F117F">
        <w:rPr>
          <w:lang w:val="fr-CA"/>
        </w:rPr>
        <w:t>’</w:t>
      </w:r>
      <w:r w:rsidRPr="004F117F">
        <w:rPr>
          <w:lang w:val="fr-CA"/>
        </w:rPr>
        <w:t xml:space="preserve">emploi. </w:t>
      </w:r>
      <w:r w:rsidRPr="004F117F">
        <w:rPr>
          <w:i/>
          <w:lang w:val="fr-CA"/>
        </w:rPr>
        <w:t>Rapport de la Commission sur l</w:t>
      </w:r>
      <w:r w:rsidR="000C1609" w:rsidRPr="004F117F">
        <w:rPr>
          <w:i/>
          <w:lang w:val="fr-CA"/>
        </w:rPr>
        <w:t>’</w:t>
      </w:r>
      <w:r w:rsidRPr="004F117F">
        <w:rPr>
          <w:i/>
          <w:lang w:val="fr-CA"/>
        </w:rPr>
        <w:t>égalité en matière d</w:t>
      </w:r>
      <w:r w:rsidR="000C1609" w:rsidRPr="004F117F">
        <w:rPr>
          <w:i/>
          <w:lang w:val="fr-CA"/>
        </w:rPr>
        <w:t>’</w:t>
      </w:r>
      <w:r w:rsidRPr="004F117F">
        <w:rPr>
          <w:i/>
          <w:lang w:val="fr-CA"/>
        </w:rPr>
        <w:t>emploi</w:t>
      </w:r>
      <w:r w:rsidRPr="004F117F">
        <w:rPr>
          <w:lang w:val="fr-CA"/>
        </w:rPr>
        <w:t>, Ottawa, Approvisionnements et Services Canada, 1984.</w:t>
      </w:r>
    </w:p>
    <w:p w:rsidR="00DA64B2" w:rsidRPr="004F117F" w:rsidRDefault="00DA64B2" w:rsidP="00637E44">
      <w:pPr>
        <w:pStyle w:val="SCCNormalDoubleSpacing"/>
        <w:widowControl w:val="0"/>
        <w:spacing w:after="240" w:line="240" w:lineRule="auto"/>
        <w:ind w:left="547" w:hanging="547"/>
        <w:rPr>
          <w:lang w:val="fr-CA"/>
        </w:rPr>
      </w:pPr>
      <w:r w:rsidRPr="004F117F">
        <w:rPr>
          <w:lang w:val="fr-CA"/>
        </w:rPr>
        <w:t>Canada. Groupe de travail sur l</w:t>
      </w:r>
      <w:r w:rsidR="000C1609" w:rsidRPr="004F117F">
        <w:rPr>
          <w:lang w:val="fr-CA"/>
        </w:rPr>
        <w:t>’</w:t>
      </w:r>
      <w:r w:rsidRPr="004F117F">
        <w:rPr>
          <w:lang w:val="fr-CA"/>
        </w:rPr>
        <w:t xml:space="preserve">équité salariale. </w:t>
      </w:r>
      <w:r w:rsidRPr="004F117F">
        <w:rPr>
          <w:i/>
          <w:lang w:val="fr-CA"/>
        </w:rPr>
        <w:t>L</w:t>
      </w:r>
      <w:r w:rsidR="000C1609" w:rsidRPr="004F117F">
        <w:rPr>
          <w:i/>
          <w:lang w:val="fr-CA"/>
        </w:rPr>
        <w:t>’</w:t>
      </w:r>
      <w:r w:rsidRPr="004F117F">
        <w:rPr>
          <w:i/>
          <w:lang w:val="fr-CA"/>
        </w:rPr>
        <w:t>équité salariale</w:t>
      </w:r>
      <w:r w:rsidR="00587D61" w:rsidRPr="004F117F">
        <w:rPr>
          <w:i/>
          <w:lang w:val="fr-CA"/>
        </w:rPr>
        <w:t> :</w:t>
      </w:r>
      <w:r w:rsidRPr="004F117F">
        <w:rPr>
          <w:i/>
          <w:lang w:val="fr-CA"/>
        </w:rPr>
        <w:t xml:space="preserve"> une nouvelle approche à un droit fondamental</w:t>
      </w:r>
      <w:r w:rsidRPr="004F117F">
        <w:rPr>
          <w:lang w:val="fr-CA"/>
        </w:rPr>
        <w:t xml:space="preserve">, rapport final, Ottawa, 2004. </w:t>
      </w:r>
    </w:p>
    <w:p w:rsidR="003B5880" w:rsidRPr="004F117F" w:rsidRDefault="003B5880" w:rsidP="00637E44">
      <w:pPr>
        <w:pStyle w:val="SCCNormalDoubleSpacing"/>
        <w:widowControl w:val="0"/>
        <w:spacing w:after="240" w:line="240" w:lineRule="auto"/>
        <w:ind w:left="547" w:hanging="547"/>
      </w:pPr>
      <w:r w:rsidRPr="004F117F">
        <w:lastRenderedPageBreak/>
        <w:t>Cornish, Mary. « Closing the Global Gender Pay Gap</w:t>
      </w:r>
      <w:r w:rsidR="00587D61" w:rsidRPr="004F117F">
        <w:t> :</w:t>
      </w:r>
      <w:r w:rsidRPr="004F117F">
        <w:t xml:space="preserve"> Securing Justice for Women</w:t>
      </w:r>
      <w:r w:rsidR="000C1609" w:rsidRPr="004F117F">
        <w:t>’</w:t>
      </w:r>
      <w:r w:rsidRPr="004F117F">
        <w:t xml:space="preserve">s Work » (2007), 28 </w:t>
      </w:r>
      <w:r w:rsidRPr="004F117F">
        <w:rPr>
          <w:i/>
        </w:rPr>
        <w:t>Com</w:t>
      </w:r>
      <w:r w:rsidR="00587D61" w:rsidRPr="004F117F">
        <w:rPr>
          <w:i/>
        </w:rPr>
        <w:t>p. </w:t>
      </w:r>
      <w:r w:rsidRPr="004F117F">
        <w:rPr>
          <w:i/>
        </w:rPr>
        <w:t>Lab. L. &amp; Pol</w:t>
      </w:r>
      <w:r w:rsidR="000C1609" w:rsidRPr="004F117F">
        <w:rPr>
          <w:i/>
        </w:rPr>
        <w:t>’</w:t>
      </w:r>
      <w:r w:rsidRPr="004F117F">
        <w:rPr>
          <w:i/>
        </w:rPr>
        <w:t xml:space="preserve">y J. </w:t>
      </w:r>
      <w:r w:rsidRPr="004F117F">
        <w:t>219.</w:t>
      </w:r>
    </w:p>
    <w:p w:rsidR="00872A3F" w:rsidRPr="004F117F" w:rsidRDefault="00872A3F" w:rsidP="00637E44">
      <w:pPr>
        <w:pStyle w:val="SCCNormalDoubleSpacing"/>
        <w:widowControl w:val="0"/>
        <w:spacing w:after="240" w:line="240" w:lineRule="auto"/>
        <w:ind w:left="547" w:hanging="547"/>
        <w:rPr>
          <w:bCs/>
          <w:lang w:val="en-US" w:bidi="en-US"/>
        </w:rPr>
      </w:pPr>
      <w:r w:rsidRPr="004F117F">
        <w:rPr>
          <w:lang w:val="en-US"/>
        </w:rPr>
        <w:t>McGill,</w:t>
      </w:r>
      <w:r w:rsidR="00DF7EDF" w:rsidRPr="004F117F">
        <w:rPr>
          <w:lang w:val="en-US"/>
        </w:rPr>
        <w:t xml:space="preserve"> J</w:t>
      </w:r>
      <w:r w:rsidR="0094782B" w:rsidRPr="004F117F">
        <w:rPr>
          <w:lang w:val="en-US"/>
        </w:rPr>
        <w:t>ena</w:t>
      </w:r>
      <w:r w:rsidR="00DF7EDF" w:rsidRPr="004F117F">
        <w:rPr>
          <w:lang w:val="en-US"/>
        </w:rPr>
        <w:t>.</w:t>
      </w:r>
      <w:r w:rsidRPr="004F117F">
        <w:rPr>
          <w:lang w:val="en-US"/>
        </w:rPr>
        <w:t xml:space="preserve"> </w:t>
      </w:r>
      <w:r w:rsidR="00DF7EDF" w:rsidRPr="004F117F">
        <w:t>« </w:t>
      </w:r>
      <w:r w:rsidRPr="004F117F">
        <w:rPr>
          <w:lang w:val="en-US"/>
        </w:rPr>
        <w:t>Secti</w:t>
      </w:r>
      <w:r w:rsidR="00C207A6" w:rsidRPr="004F117F">
        <w:rPr>
          <w:lang w:val="en-US"/>
        </w:rPr>
        <w:t>on </w:t>
      </w:r>
      <w:r w:rsidRPr="004F117F">
        <w:rPr>
          <w:lang w:val="en-US"/>
        </w:rPr>
        <w:t>15(2), Ameliorative Programs and Proportionality Review</w:t>
      </w:r>
      <w:r w:rsidR="00DF7EDF" w:rsidRPr="004F117F">
        <w:t> »</w:t>
      </w:r>
      <w:r w:rsidRPr="004F117F">
        <w:rPr>
          <w:lang w:val="en-US"/>
        </w:rPr>
        <w:t xml:space="preserve"> </w:t>
      </w:r>
      <w:r w:rsidRPr="004F117F">
        <w:rPr>
          <w:bCs/>
          <w:lang w:val="en-US" w:bidi="en-US"/>
        </w:rPr>
        <w:t xml:space="preserve">(2013), 63 </w:t>
      </w:r>
      <w:r w:rsidRPr="004F117F">
        <w:rPr>
          <w:bCs/>
          <w:i/>
          <w:lang w:val="en-US" w:bidi="en-US"/>
        </w:rPr>
        <w:t>S.C.L.R.</w:t>
      </w:r>
      <w:r w:rsidRPr="004F117F">
        <w:rPr>
          <w:bCs/>
          <w:lang w:val="en-US" w:bidi="en-US"/>
        </w:rPr>
        <w:t xml:space="preserve"> (2d) 521</w:t>
      </w:r>
      <w:r w:rsidR="00DF7EDF" w:rsidRPr="004F117F">
        <w:rPr>
          <w:bCs/>
          <w:lang w:val="en-US" w:bidi="en-US"/>
        </w:rPr>
        <w:t>.</w:t>
      </w:r>
    </w:p>
    <w:p w:rsidR="006223D4" w:rsidRPr="004F117F" w:rsidRDefault="00C207A6" w:rsidP="00637E44">
      <w:pPr>
        <w:pStyle w:val="SCCNormalDoubleSpacing"/>
        <w:widowControl w:val="0"/>
        <w:spacing w:after="240" w:line="240" w:lineRule="auto"/>
        <w:ind w:left="547" w:hanging="547"/>
      </w:pPr>
      <w:r w:rsidRPr="004F117F">
        <w:t>Sharpe, Robert </w:t>
      </w:r>
      <w:r w:rsidR="006223D4" w:rsidRPr="004F117F">
        <w:t>J. and Kent Roa</w:t>
      </w:r>
      <w:r w:rsidR="00587D61" w:rsidRPr="004F117F">
        <w:t>ch. </w:t>
      </w:r>
      <w:r w:rsidR="006223D4" w:rsidRPr="004F117F">
        <w:rPr>
          <w:i/>
        </w:rPr>
        <w:t>The Charter of Rights and Freedoms</w:t>
      </w:r>
      <w:r w:rsidR="006223D4" w:rsidRPr="004F117F">
        <w:t>, 5th</w:t>
      </w:r>
      <w:r w:rsidRPr="004F117F">
        <w:t> </w:t>
      </w:r>
      <w:r w:rsidR="006223D4" w:rsidRPr="004F117F">
        <w:t>ed</w:t>
      </w:r>
      <w:r w:rsidR="00F118AA">
        <w:t>.</w:t>
      </w:r>
      <w:r w:rsidR="00C20AF5" w:rsidRPr="004F117F">
        <w:t>, Toronto</w:t>
      </w:r>
      <w:r w:rsidR="006223D4" w:rsidRPr="004F117F">
        <w:t xml:space="preserve">, Irwin Law, 2013. </w:t>
      </w:r>
    </w:p>
    <w:p w:rsidR="00515282" w:rsidRPr="004F117F" w:rsidRDefault="00515282" w:rsidP="00637E44">
      <w:pPr>
        <w:pStyle w:val="SCCNormalDoubleSpacing"/>
        <w:widowControl w:val="0"/>
        <w:spacing w:after="240" w:line="240" w:lineRule="auto"/>
        <w:ind w:left="547" w:hanging="547"/>
      </w:pPr>
      <w:r w:rsidRPr="004F117F">
        <w:t xml:space="preserve">Sheppard, Colleen. </w:t>
      </w:r>
      <w:r w:rsidRPr="004F117F">
        <w:rPr>
          <w:i/>
        </w:rPr>
        <w:t>Inclusive Equality</w:t>
      </w:r>
      <w:r w:rsidR="00587D61" w:rsidRPr="004F117F">
        <w:rPr>
          <w:i/>
        </w:rPr>
        <w:t> :</w:t>
      </w:r>
      <w:r w:rsidRPr="004F117F">
        <w:rPr>
          <w:i/>
        </w:rPr>
        <w:t xml:space="preserve"> The Relational Dimensions of Systemic Discrimination in Canada</w:t>
      </w:r>
      <w:r w:rsidRPr="004F117F">
        <w:t>, Montreal &amp; Kingston, McGill</w:t>
      </w:r>
      <w:r w:rsidR="00587D61" w:rsidRPr="004F117F">
        <w:noBreakHyphen/>
      </w:r>
      <w:r w:rsidRPr="004F117F">
        <w:t>Queen</w:t>
      </w:r>
      <w:r w:rsidR="000C1609" w:rsidRPr="004F117F">
        <w:t>’</w:t>
      </w:r>
      <w:r w:rsidRPr="004F117F">
        <w:t xml:space="preserve">s University Press, 2010. </w:t>
      </w:r>
    </w:p>
    <w:p w:rsidR="005C6D6F" w:rsidRPr="004F117F" w:rsidRDefault="0099061C" w:rsidP="00637E44">
      <w:pPr>
        <w:pStyle w:val="SCCNormalDoubleSpacing"/>
        <w:widowControl w:val="0"/>
        <w:spacing w:after="720" w:line="240" w:lineRule="auto"/>
        <w:ind w:left="547" w:hanging="547"/>
        <w:rPr>
          <w:lang w:val="en-US"/>
        </w:rPr>
      </w:pPr>
      <w:r w:rsidRPr="004F117F">
        <w:t xml:space="preserve">Smith, Lynn, and William Black. </w:t>
      </w:r>
      <w:r w:rsidRPr="004F117F">
        <w:rPr>
          <w:lang w:val="en-US"/>
        </w:rPr>
        <w:t xml:space="preserve">« The Equality Rights » (2013), 62 </w:t>
      </w:r>
      <w:r w:rsidRPr="004F117F">
        <w:rPr>
          <w:i/>
          <w:lang w:val="en-US"/>
        </w:rPr>
        <w:t>S.C.L.R.</w:t>
      </w:r>
      <w:r w:rsidRPr="004F117F">
        <w:rPr>
          <w:lang w:val="en-US"/>
        </w:rPr>
        <w:t xml:space="preserve"> (2d) 301.</w:t>
      </w:r>
    </w:p>
    <w:p w:rsidR="004D7D95" w:rsidRPr="004F117F" w:rsidRDefault="004D7D95" w:rsidP="00637E44">
      <w:pPr>
        <w:pStyle w:val="SCCNormalDoubleSpacing"/>
        <w:widowControl w:val="0"/>
        <w:spacing w:before="480" w:after="480"/>
        <w:rPr>
          <w:lang w:val="fr-CA"/>
        </w:rPr>
      </w:pPr>
      <w:r w:rsidRPr="004F117F">
        <w:rPr>
          <w:lang w:val="en-US"/>
        </w:rPr>
        <w:tab/>
      </w:r>
      <w:r w:rsidRPr="004F117F">
        <w:rPr>
          <w:lang w:val="fr-CA"/>
        </w:rPr>
        <w:t xml:space="preserve">POURVOI </w:t>
      </w:r>
      <w:r w:rsidR="006527A5" w:rsidRPr="004F117F">
        <w:rPr>
          <w:lang w:val="fr-CA"/>
        </w:rPr>
        <w:t xml:space="preserve">et POURVOI INCIDENT </w:t>
      </w:r>
      <w:r w:rsidRPr="004F117F">
        <w:rPr>
          <w:lang w:val="fr-CA"/>
        </w:rPr>
        <w:t>contre un arrêt de la Cour d</w:t>
      </w:r>
      <w:r w:rsidR="000C1609" w:rsidRPr="004F117F">
        <w:rPr>
          <w:lang w:val="fr-CA"/>
        </w:rPr>
        <w:t>’</w:t>
      </w:r>
      <w:r w:rsidRPr="004F117F">
        <w:rPr>
          <w:lang w:val="fr-CA"/>
        </w:rPr>
        <w:t>appel du Québec (</w:t>
      </w:r>
      <w:r w:rsidR="002E6F1D" w:rsidRPr="004F117F">
        <w:rPr>
          <w:lang w:val="fr-CA"/>
        </w:rPr>
        <w:t>les juges Rochette, Doyon et Gagnon), 2016 QCCA 1659, [2016] AZ</w:t>
      </w:r>
      <w:r w:rsidR="00587D61" w:rsidRPr="004F117F">
        <w:rPr>
          <w:lang w:val="fr-CA"/>
        </w:rPr>
        <w:noBreakHyphen/>
      </w:r>
      <w:r w:rsidR="002E6F1D" w:rsidRPr="004F117F">
        <w:rPr>
          <w:lang w:val="fr-CA"/>
        </w:rPr>
        <w:t>51331102, [2016] J.Q. n</w:t>
      </w:r>
      <w:r w:rsidR="002E6F1D" w:rsidRPr="004F117F">
        <w:rPr>
          <w:vertAlign w:val="superscript"/>
          <w:lang w:val="fr-CA"/>
        </w:rPr>
        <w:t>o</w:t>
      </w:r>
      <w:r w:rsidR="00C207A6" w:rsidRPr="004F117F">
        <w:rPr>
          <w:lang w:val="fr-CA"/>
        </w:rPr>
        <w:t> </w:t>
      </w:r>
      <w:r w:rsidR="002E6F1D" w:rsidRPr="004F117F">
        <w:rPr>
          <w:lang w:val="fr-CA"/>
        </w:rPr>
        <w:t>13251 (QL), 2016 CarswellQue 9477 (WL Can.), qui a confirmé en partie la décision du juge Martin, 2014 QCCS 149, [2014] AZ</w:t>
      </w:r>
      <w:r w:rsidR="00587D61" w:rsidRPr="004F117F">
        <w:rPr>
          <w:lang w:val="fr-CA"/>
        </w:rPr>
        <w:noBreakHyphen/>
      </w:r>
      <w:r w:rsidR="002E6F1D" w:rsidRPr="004F117F">
        <w:rPr>
          <w:lang w:val="fr-CA"/>
        </w:rPr>
        <w:t>51037193, [2014] J.Q. n</w:t>
      </w:r>
      <w:r w:rsidR="002E6F1D" w:rsidRPr="004F117F">
        <w:rPr>
          <w:vertAlign w:val="superscript"/>
          <w:lang w:val="fr-CA"/>
        </w:rPr>
        <w:t>o</w:t>
      </w:r>
      <w:r w:rsidR="00C207A6" w:rsidRPr="004F117F">
        <w:rPr>
          <w:lang w:val="fr-CA"/>
        </w:rPr>
        <w:t> </w:t>
      </w:r>
      <w:r w:rsidR="002E6F1D" w:rsidRPr="004F117F">
        <w:rPr>
          <w:lang w:val="fr-CA"/>
        </w:rPr>
        <w:t xml:space="preserve">319 (QL), 2014 CarswellQue 362 (WL Can.). Pourvoi </w:t>
      </w:r>
      <w:r w:rsidR="00273ABC" w:rsidRPr="004F117F">
        <w:rPr>
          <w:lang w:val="fr-CA"/>
        </w:rPr>
        <w:t xml:space="preserve">principal </w:t>
      </w:r>
      <w:r w:rsidR="006527A5" w:rsidRPr="004F117F">
        <w:rPr>
          <w:lang w:val="fr-CA"/>
        </w:rPr>
        <w:t>rejeté, les juges Côté, Brown et Rowe sont dissidents</w:t>
      </w:r>
      <w:r w:rsidR="00162250" w:rsidRPr="004F117F">
        <w:rPr>
          <w:lang w:val="fr-CA"/>
        </w:rPr>
        <w:t>. Pourvoi incident rejeté.</w:t>
      </w:r>
    </w:p>
    <w:p w:rsidR="004A25E3" w:rsidRPr="004F117F" w:rsidRDefault="00E420C4" w:rsidP="00637E44">
      <w:pPr>
        <w:pStyle w:val="SCCNormalDoubleSpacing"/>
        <w:widowControl w:val="0"/>
        <w:spacing w:before="480" w:after="480"/>
        <w:rPr>
          <w:lang w:val="fr-CA"/>
        </w:rPr>
      </w:pPr>
      <w:r w:rsidRPr="004F117F">
        <w:rPr>
          <w:rStyle w:val="SCCCounselNameChar"/>
          <w:lang w:val="fr-CA"/>
        </w:rPr>
        <w:tab/>
        <w:t xml:space="preserve">Louis </w:t>
      </w:r>
      <w:r w:rsidR="00587D61" w:rsidRPr="004F117F">
        <w:rPr>
          <w:rStyle w:val="SCCCounselNameChar"/>
          <w:lang w:val="fr-CA"/>
        </w:rPr>
        <w:t>P. </w:t>
      </w:r>
      <w:r w:rsidRPr="004F117F">
        <w:rPr>
          <w:rStyle w:val="SCCCounselNameChar"/>
          <w:lang w:val="fr-CA"/>
        </w:rPr>
        <w:t>Bernier</w:t>
      </w:r>
      <w:r w:rsidR="007110FF" w:rsidRPr="004F117F">
        <w:rPr>
          <w:rStyle w:val="SCCCounselSeparatorChar"/>
          <w:lang w:val="fr-CA"/>
        </w:rPr>
        <w:t xml:space="preserve"> et </w:t>
      </w:r>
      <w:r w:rsidR="007110FF" w:rsidRPr="004F117F">
        <w:rPr>
          <w:rStyle w:val="SCCCounselNameChar"/>
          <w:lang w:val="fr-CA"/>
        </w:rPr>
        <w:t>Marc</w:t>
      </w:r>
      <w:r w:rsidR="00587D61" w:rsidRPr="004F117F">
        <w:rPr>
          <w:rStyle w:val="SCCCounselNameChar"/>
          <w:lang w:val="fr-CA"/>
        </w:rPr>
        <w:noBreakHyphen/>
      </w:r>
      <w:r w:rsidR="007110FF" w:rsidRPr="004F117F">
        <w:rPr>
          <w:rStyle w:val="SCCCounselNameChar"/>
          <w:lang w:val="fr-CA"/>
        </w:rPr>
        <w:t>André Boucher</w:t>
      </w:r>
      <w:r w:rsidR="007110FF" w:rsidRPr="004F117F">
        <w:rPr>
          <w:rStyle w:val="SCCCounselPartyRoleChar"/>
          <w:lang w:val="fr-CA"/>
        </w:rPr>
        <w:t>, pour l</w:t>
      </w:r>
      <w:r w:rsidR="000C1609" w:rsidRPr="004F117F">
        <w:rPr>
          <w:rStyle w:val="SCCCounselPartyRoleChar"/>
          <w:lang w:val="fr-CA"/>
        </w:rPr>
        <w:t>’</w:t>
      </w:r>
      <w:r w:rsidR="007110FF" w:rsidRPr="004F117F">
        <w:rPr>
          <w:rStyle w:val="SCCCounselPartyRoleChar"/>
          <w:lang w:val="fr-CA"/>
        </w:rPr>
        <w:t>appelante/</w:t>
      </w:r>
      <w:r w:rsidRPr="004F117F">
        <w:rPr>
          <w:rStyle w:val="SCCCounselPartyRoleChar"/>
          <w:lang w:val="fr-CA"/>
        </w:rPr>
        <w:t>intimé</w:t>
      </w:r>
      <w:r w:rsidR="007110FF" w:rsidRPr="004F117F">
        <w:rPr>
          <w:rStyle w:val="SCCCounselPartyRoleChar"/>
          <w:lang w:val="fr-CA"/>
        </w:rPr>
        <w:t>e</w:t>
      </w:r>
      <w:r w:rsidRPr="004F117F">
        <w:rPr>
          <w:rStyle w:val="SCCCounselPartyRoleChar"/>
          <w:lang w:val="fr-CA"/>
        </w:rPr>
        <w:t xml:space="preserve"> au pourvoi</w:t>
      </w:r>
      <w:r w:rsidR="007110FF" w:rsidRPr="004F117F">
        <w:rPr>
          <w:rStyle w:val="SCCCounselPartyRoleChar"/>
          <w:lang w:val="fr-CA"/>
        </w:rPr>
        <w:t xml:space="preserve"> incident.</w:t>
      </w:r>
    </w:p>
    <w:p w:rsidR="002D6A53" w:rsidRPr="004F117F" w:rsidRDefault="007110FF" w:rsidP="00637E44">
      <w:pPr>
        <w:pStyle w:val="SCCNormalDoubleSpacing"/>
        <w:widowControl w:val="0"/>
        <w:spacing w:before="480" w:after="480"/>
        <w:rPr>
          <w:rStyle w:val="SCCCounselPartyRoleChar"/>
          <w:lang w:val="fr-CA"/>
        </w:rPr>
      </w:pPr>
      <w:r w:rsidRPr="004F117F">
        <w:rPr>
          <w:rStyle w:val="SCCCounselNameChar"/>
          <w:lang w:val="fr-CA"/>
        </w:rPr>
        <w:tab/>
      </w:r>
      <w:r w:rsidR="00936D97" w:rsidRPr="004F117F">
        <w:rPr>
          <w:rStyle w:val="SCCCounselNameChar"/>
          <w:lang w:val="fr-CA"/>
        </w:rPr>
        <w:t>Denis Bradet</w:t>
      </w:r>
      <w:r w:rsidR="00936D97" w:rsidRPr="004F117F">
        <w:rPr>
          <w:rStyle w:val="SCCCounselPartyRoleChar"/>
          <w:lang w:val="fr-CA"/>
        </w:rPr>
        <w:t>,</w:t>
      </w:r>
      <w:r w:rsidR="002D6A53" w:rsidRPr="004F117F">
        <w:rPr>
          <w:rStyle w:val="SCCCounselPartyRoleChar"/>
          <w:lang w:val="fr-CA"/>
        </w:rPr>
        <w:t xml:space="preserve"> pour les intimés/appelants au pourvoi incident l</w:t>
      </w:r>
      <w:r w:rsidR="000C1609" w:rsidRPr="004F117F">
        <w:rPr>
          <w:rStyle w:val="SCCCounselPartyRoleChar"/>
          <w:lang w:val="fr-CA"/>
        </w:rPr>
        <w:t>’</w:t>
      </w:r>
      <w:r w:rsidR="002D6A53" w:rsidRPr="004F117F">
        <w:rPr>
          <w:rStyle w:val="SCCCounselPartyRoleChar"/>
          <w:lang w:val="fr-CA"/>
        </w:rPr>
        <w:t>Alliance du personnel professionnel et technique de la santé et des services sociaux, Catherine Lévesque et le Syndicat de la fonction publique et parapublique du Québec inc.</w:t>
      </w:r>
    </w:p>
    <w:p w:rsidR="002D6A53" w:rsidRPr="004F117F" w:rsidRDefault="002D6A53" w:rsidP="00637E44">
      <w:pPr>
        <w:pStyle w:val="SCCNormalDoubleSpacing"/>
        <w:widowControl w:val="0"/>
        <w:spacing w:before="480" w:after="480"/>
        <w:rPr>
          <w:rStyle w:val="SCCCounselPartyRoleChar"/>
          <w:lang w:val="fr-CA"/>
        </w:rPr>
      </w:pPr>
      <w:r w:rsidRPr="004F117F">
        <w:rPr>
          <w:rStyle w:val="SCCCounselPartyRoleChar"/>
          <w:i/>
          <w:lang w:val="fr-CA"/>
        </w:rPr>
        <w:tab/>
      </w:r>
      <w:r w:rsidR="00936D97" w:rsidRPr="004F117F">
        <w:rPr>
          <w:rStyle w:val="SCCCounselPartyRoleChar"/>
          <w:i/>
          <w:lang w:val="fr-CA"/>
        </w:rPr>
        <w:t>Pierre Brun</w:t>
      </w:r>
      <w:r w:rsidRPr="004F117F">
        <w:rPr>
          <w:rStyle w:val="SCCCounselPartyRoleChar"/>
          <w:lang w:val="fr-CA"/>
        </w:rPr>
        <w:t xml:space="preserve"> et </w:t>
      </w:r>
      <w:r w:rsidR="00936D97" w:rsidRPr="004F117F">
        <w:rPr>
          <w:rStyle w:val="SCCCounselPartyRoleChar"/>
          <w:i/>
          <w:lang w:val="fr-CA"/>
        </w:rPr>
        <w:t>Johanne Drolet</w:t>
      </w:r>
      <w:r w:rsidRPr="004F117F">
        <w:rPr>
          <w:rStyle w:val="SCCCounselPartyRoleChar"/>
          <w:lang w:val="fr-CA"/>
        </w:rPr>
        <w:t xml:space="preserve">, pour les intimés/appelants au pourvoi </w:t>
      </w:r>
      <w:r w:rsidRPr="004F117F">
        <w:rPr>
          <w:rStyle w:val="SCCCounselPartyRoleChar"/>
          <w:lang w:val="fr-CA"/>
        </w:rPr>
        <w:lastRenderedPageBreak/>
        <w:t>incident la Fédération interprofessionnelle de la santé du Québec, Guy</w:t>
      </w:r>
      <w:r w:rsidR="00587D61" w:rsidRPr="004F117F">
        <w:rPr>
          <w:rStyle w:val="SCCCounselPartyRoleChar"/>
          <w:lang w:val="fr-CA"/>
        </w:rPr>
        <w:noBreakHyphen/>
      </w:r>
      <w:r w:rsidRPr="004F117F">
        <w:rPr>
          <w:rStyle w:val="SCCCounselPartyRoleChar"/>
          <w:lang w:val="fr-CA"/>
        </w:rPr>
        <w:t>Philippe Brideau et Nancy Bédard.</w:t>
      </w:r>
    </w:p>
    <w:p w:rsidR="004A25E3" w:rsidRPr="004F117F" w:rsidRDefault="002D6A53" w:rsidP="00637E44">
      <w:pPr>
        <w:pStyle w:val="SCCNormalDoubleSpacing"/>
        <w:widowControl w:val="0"/>
        <w:spacing w:before="480" w:after="480"/>
        <w:rPr>
          <w:lang w:val="fr-CA"/>
        </w:rPr>
      </w:pPr>
      <w:r w:rsidRPr="004F117F">
        <w:rPr>
          <w:rStyle w:val="SCCCounselPartyRoleChar"/>
          <w:lang w:val="fr-CA"/>
        </w:rPr>
        <w:tab/>
      </w:r>
      <w:r w:rsidR="00936D97" w:rsidRPr="004F117F">
        <w:rPr>
          <w:rStyle w:val="SCCCounselPartyRoleChar"/>
          <w:i/>
          <w:lang w:val="fr-CA"/>
        </w:rPr>
        <w:t>Annick Desjardins</w:t>
      </w:r>
      <w:r w:rsidR="00936D97" w:rsidRPr="004F117F">
        <w:rPr>
          <w:rStyle w:val="SCCCounselPartyRoleChar"/>
          <w:lang w:val="fr-CA"/>
        </w:rPr>
        <w:t xml:space="preserve">, </w:t>
      </w:r>
      <w:r w:rsidR="007110FF" w:rsidRPr="004F117F">
        <w:rPr>
          <w:rStyle w:val="SCCCounselPartyRoleChar"/>
          <w:lang w:val="fr-CA"/>
        </w:rPr>
        <w:t>pour l</w:t>
      </w:r>
      <w:r w:rsidR="00936D97" w:rsidRPr="004F117F">
        <w:rPr>
          <w:rStyle w:val="SCCCounselPartyRoleChar"/>
          <w:lang w:val="fr-CA"/>
        </w:rPr>
        <w:t>es intimés/</w:t>
      </w:r>
      <w:r w:rsidR="007110FF" w:rsidRPr="004F117F">
        <w:rPr>
          <w:rStyle w:val="SCCCounselPartyRoleChar"/>
          <w:lang w:val="fr-CA"/>
        </w:rPr>
        <w:t>appelant</w:t>
      </w:r>
      <w:r w:rsidR="00936D97" w:rsidRPr="004F117F">
        <w:rPr>
          <w:rStyle w:val="SCCCounselPartyRoleChar"/>
          <w:lang w:val="fr-CA"/>
        </w:rPr>
        <w:t>s</w:t>
      </w:r>
      <w:r w:rsidR="00CD2497" w:rsidRPr="004F117F">
        <w:rPr>
          <w:rStyle w:val="SCCCounselPartyRoleChar"/>
          <w:lang w:val="fr-CA"/>
        </w:rPr>
        <w:t xml:space="preserve"> au pourvoi</w:t>
      </w:r>
      <w:r w:rsidR="007110FF" w:rsidRPr="004F117F">
        <w:rPr>
          <w:rStyle w:val="SCCCounselPartyRoleChar"/>
          <w:lang w:val="fr-CA"/>
        </w:rPr>
        <w:t xml:space="preserve"> incident</w:t>
      </w:r>
      <w:r w:rsidRPr="004F117F">
        <w:rPr>
          <w:rStyle w:val="SCCCounselPartyRoleChar"/>
          <w:lang w:val="fr-CA"/>
        </w:rPr>
        <w:t xml:space="preserve"> le Syndicat des employé(e)s de l</w:t>
      </w:r>
      <w:r w:rsidR="000C1609" w:rsidRPr="004F117F">
        <w:rPr>
          <w:rStyle w:val="SCCCounselPartyRoleChar"/>
          <w:lang w:val="fr-CA"/>
        </w:rPr>
        <w:t>’</w:t>
      </w:r>
      <w:r w:rsidRPr="004F117F">
        <w:rPr>
          <w:rStyle w:val="SCCCounselPartyRoleChar"/>
          <w:lang w:val="fr-CA"/>
        </w:rPr>
        <w:t>Université de Montréal, Sylvie Goyer, le Conseil provincial des affaires sociales, Johanne Harrell, Josée Saint</w:t>
      </w:r>
      <w:r w:rsidR="00587D61" w:rsidRPr="004F117F">
        <w:rPr>
          <w:rStyle w:val="SCCCounselPartyRoleChar"/>
          <w:lang w:val="fr-CA"/>
        </w:rPr>
        <w:noBreakHyphen/>
      </w:r>
      <w:r w:rsidRPr="004F117F">
        <w:rPr>
          <w:rStyle w:val="SCCCounselPartyRoleChar"/>
          <w:lang w:val="fr-CA"/>
        </w:rPr>
        <w:t>Pierre, Ghyslaine Doré, le Conseil provincial d</w:t>
      </w:r>
      <w:r w:rsidR="0053640D" w:rsidRPr="004F117F">
        <w:rPr>
          <w:rStyle w:val="SCCCounselPartyRoleChar"/>
          <w:lang w:val="fr-CA"/>
        </w:rPr>
        <w:t>u</w:t>
      </w:r>
      <w:r w:rsidRPr="004F117F">
        <w:rPr>
          <w:rStyle w:val="SCCCounselPartyRoleChar"/>
          <w:lang w:val="fr-CA"/>
        </w:rPr>
        <w:t xml:space="preserve"> soutien scolaire, Louise Paquin, Lucie Fortin, le Syndicat des professionnelles et professionnels de Laval</w:t>
      </w:r>
      <w:r w:rsidR="00587D61" w:rsidRPr="004F117F">
        <w:rPr>
          <w:rStyle w:val="SCCCounselPartyRoleChar"/>
          <w:lang w:val="fr-CA"/>
        </w:rPr>
        <w:noBreakHyphen/>
      </w:r>
      <w:r w:rsidRPr="004F117F">
        <w:rPr>
          <w:rStyle w:val="SCCCounselPartyRoleChar"/>
          <w:lang w:val="fr-CA"/>
        </w:rPr>
        <w:t>Rive</w:t>
      </w:r>
      <w:r w:rsidR="00587D61" w:rsidRPr="004F117F">
        <w:rPr>
          <w:rStyle w:val="SCCCounselPartyRoleChar"/>
          <w:lang w:val="fr-CA"/>
        </w:rPr>
        <w:noBreakHyphen/>
      </w:r>
      <w:r w:rsidRPr="004F117F">
        <w:rPr>
          <w:rStyle w:val="SCCCounselPartyRoleChar"/>
          <w:lang w:val="fr-CA"/>
        </w:rPr>
        <w:t>Nord, SCFP</w:t>
      </w:r>
      <w:r w:rsidR="00424CEF" w:rsidRPr="004F117F">
        <w:rPr>
          <w:rStyle w:val="SCCCounselPartyRoleChar"/>
          <w:lang w:val="fr-CA"/>
        </w:rPr>
        <w:t xml:space="preserve"> </w:t>
      </w:r>
      <w:r w:rsidRPr="004F117F">
        <w:rPr>
          <w:rStyle w:val="SCCCounselPartyRoleChar"/>
          <w:lang w:val="fr-CA"/>
        </w:rPr>
        <w:t xml:space="preserve">5222, le Syndicat des fonctionnaires municipaux de </w:t>
      </w:r>
      <w:r w:rsidR="00C207A6" w:rsidRPr="004F117F">
        <w:rPr>
          <w:rStyle w:val="SCCCounselPartyRoleChar"/>
          <w:lang w:val="fr-CA"/>
        </w:rPr>
        <w:t>Montréal (SCFP), section locale </w:t>
      </w:r>
      <w:r w:rsidRPr="004F117F">
        <w:rPr>
          <w:rStyle w:val="SCCCounselPartyRoleChar"/>
          <w:lang w:val="fr-CA"/>
        </w:rPr>
        <w:t>429, la Section locale 3134 du Syndicat canadien de la fonction publique, employé</w:t>
      </w:r>
      <w:r w:rsidR="00587D61" w:rsidRPr="004F117F">
        <w:rPr>
          <w:rStyle w:val="SCCCounselPartyRoleChar"/>
          <w:lang w:val="fr-CA"/>
        </w:rPr>
        <w:noBreakHyphen/>
      </w:r>
      <w:r w:rsidRPr="004F117F">
        <w:rPr>
          <w:rStyle w:val="SCCCounselPartyRoleChar"/>
          <w:lang w:val="fr-CA"/>
        </w:rPr>
        <w:t>es de bureau de la Ville de Lorraine, Henr</w:t>
      </w:r>
      <w:r w:rsidR="006A41CB" w:rsidRPr="004F117F">
        <w:rPr>
          <w:rStyle w:val="SCCCounselPartyRoleChar"/>
          <w:lang w:val="fr-CA"/>
        </w:rPr>
        <w:t xml:space="preserve">iette Demers, la Section locale </w:t>
      </w:r>
      <w:r w:rsidRPr="004F117F">
        <w:rPr>
          <w:rStyle w:val="SCCCounselPartyRoleChar"/>
          <w:lang w:val="fr-CA"/>
        </w:rPr>
        <w:t>930 du Syndicat canadien de la fonction publique (FTQ), Fernande Tremblay, le Syndicat canadien de la fonction publique, section locale 4503, Josée Mercille, le Syndicat canadien de la fonction publique, section locale 3642, Chantal Bourdon, le Conseil d</w:t>
      </w:r>
      <w:r w:rsidR="000C1609" w:rsidRPr="004F117F">
        <w:rPr>
          <w:rStyle w:val="SCCCounselPartyRoleChar"/>
          <w:lang w:val="fr-CA"/>
        </w:rPr>
        <w:t>’</w:t>
      </w:r>
      <w:r w:rsidRPr="004F117F">
        <w:rPr>
          <w:rStyle w:val="SCCCounselPartyRoleChar"/>
          <w:lang w:val="fr-CA"/>
        </w:rPr>
        <w:t>intervention pour l</w:t>
      </w:r>
      <w:r w:rsidR="000C1609" w:rsidRPr="004F117F">
        <w:rPr>
          <w:rStyle w:val="SCCCounselPartyRoleChar"/>
          <w:lang w:val="fr-CA"/>
        </w:rPr>
        <w:t>’</w:t>
      </w:r>
      <w:r w:rsidRPr="004F117F">
        <w:rPr>
          <w:rStyle w:val="SCCCounselPartyRoleChar"/>
          <w:lang w:val="fr-CA"/>
        </w:rPr>
        <w:t>accès des femmes au travail (CIAFT) du Québec inc., l</w:t>
      </w:r>
      <w:r w:rsidR="000C1609" w:rsidRPr="004F117F">
        <w:rPr>
          <w:rStyle w:val="SCCCounselPartyRoleChar"/>
          <w:lang w:val="fr-CA"/>
        </w:rPr>
        <w:t>’</w:t>
      </w:r>
      <w:r w:rsidRPr="004F117F">
        <w:rPr>
          <w:rStyle w:val="SCCCounselPartyRoleChar"/>
          <w:lang w:val="fr-CA"/>
        </w:rPr>
        <w:t>Association des psychologues du Québec, le Syndicat des employées et employés professionnels</w:t>
      </w:r>
      <w:r w:rsidR="00587D61" w:rsidRPr="004F117F">
        <w:rPr>
          <w:rStyle w:val="SCCCounselPartyRoleChar"/>
          <w:lang w:val="fr-CA"/>
        </w:rPr>
        <w:noBreakHyphen/>
      </w:r>
      <w:r w:rsidRPr="004F117F">
        <w:rPr>
          <w:rStyle w:val="SCCCounselPartyRoleChar"/>
          <w:lang w:val="fr-CA"/>
        </w:rPr>
        <w:t>les et de bureau (CTC</w:t>
      </w:r>
      <w:r w:rsidR="00587D61" w:rsidRPr="004F117F">
        <w:rPr>
          <w:rStyle w:val="SCCCounselPartyRoleChar"/>
          <w:lang w:val="fr-CA"/>
        </w:rPr>
        <w:noBreakHyphen/>
      </w:r>
      <w:r w:rsidRPr="004F117F">
        <w:rPr>
          <w:rStyle w:val="SCCCounselPartyRoleChar"/>
          <w:lang w:val="fr-CA"/>
        </w:rPr>
        <w:t>FTQ), section locale 578, Lise Audet et le Syndicat québécois des employées et employés de service, section locale 298 (FTQ)</w:t>
      </w:r>
      <w:r w:rsidR="007110FF" w:rsidRPr="004F117F">
        <w:rPr>
          <w:rStyle w:val="SCCCounselPartyRoleChar"/>
          <w:lang w:val="fr-CA"/>
        </w:rPr>
        <w:t>.</w:t>
      </w:r>
    </w:p>
    <w:p w:rsidR="00F116C1" w:rsidRPr="004F117F" w:rsidRDefault="00F116C1" w:rsidP="00637E44">
      <w:pPr>
        <w:pStyle w:val="SCCNormalDoubleSpacing"/>
        <w:widowControl w:val="0"/>
        <w:spacing w:before="480" w:after="480"/>
        <w:rPr>
          <w:lang w:val="fr-CA"/>
        </w:rPr>
      </w:pPr>
      <w:r w:rsidRPr="004F117F">
        <w:rPr>
          <w:rStyle w:val="SCCCounselNameChar"/>
          <w:lang w:val="fr-CA"/>
        </w:rPr>
        <w:tab/>
      </w:r>
      <w:r w:rsidR="00C207A6" w:rsidRPr="004F117F">
        <w:rPr>
          <w:rStyle w:val="SCCCounselNameChar"/>
          <w:lang w:val="fr-CA"/>
        </w:rPr>
        <w:t>S. </w:t>
      </w:r>
      <w:r w:rsidR="009A549A" w:rsidRPr="004F117F">
        <w:rPr>
          <w:rStyle w:val="SCCCounselNameChar"/>
          <w:lang w:val="fr-CA"/>
        </w:rPr>
        <w:t>Zachary Green</w:t>
      </w:r>
      <w:r w:rsidR="003C1395" w:rsidRPr="004F117F">
        <w:rPr>
          <w:rStyle w:val="SCCCounselNameChar"/>
          <w:i w:val="0"/>
          <w:lang w:val="fr-CA"/>
        </w:rPr>
        <w:t xml:space="preserve"> et </w:t>
      </w:r>
      <w:r w:rsidR="003C1395" w:rsidRPr="004F117F">
        <w:rPr>
          <w:rStyle w:val="SCCCounselNameChar"/>
          <w:lang w:val="fr-CA"/>
        </w:rPr>
        <w:t>Courtney Harris</w:t>
      </w:r>
      <w:r w:rsidRPr="004F117F">
        <w:rPr>
          <w:rStyle w:val="SCCCounselPartyRoleChar"/>
          <w:lang w:val="fr-CA"/>
        </w:rPr>
        <w:t>, pour l</w:t>
      </w:r>
      <w:r w:rsidR="000C1609" w:rsidRPr="004F117F">
        <w:rPr>
          <w:rStyle w:val="SCCCounselPartyRoleChar"/>
          <w:lang w:val="fr-CA"/>
        </w:rPr>
        <w:t>’</w:t>
      </w:r>
      <w:r w:rsidRPr="004F117F">
        <w:rPr>
          <w:rStyle w:val="SCCCounselPartyRoleChar"/>
          <w:lang w:val="fr-CA"/>
        </w:rPr>
        <w:t>intervenant le procureur général de l</w:t>
      </w:r>
      <w:r w:rsidR="000C1609" w:rsidRPr="004F117F">
        <w:rPr>
          <w:rStyle w:val="SCCCounselPartyRoleChar"/>
          <w:lang w:val="fr-CA"/>
        </w:rPr>
        <w:t>’</w:t>
      </w:r>
      <w:r w:rsidRPr="004F117F">
        <w:rPr>
          <w:rStyle w:val="SCCCounselPartyRoleChar"/>
          <w:lang w:val="fr-CA"/>
        </w:rPr>
        <w:t>Ontario.</w:t>
      </w:r>
    </w:p>
    <w:p w:rsidR="004A25E3" w:rsidRPr="004F117F" w:rsidRDefault="007110FF" w:rsidP="00637E44">
      <w:pPr>
        <w:pStyle w:val="SCCNormalDoubleSpacing"/>
        <w:widowControl w:val="0"/>
        <w:spacing w:before="480" w:after="480"/>
        <w:rPr>
          <w:lang w:val="fr-CA"/>
        </w:rPr>
      </w:pPr>
      <w:r w:rsidRPr="004F117F">
        <w:rPr>
          <w:rStyle w:val="SCCCounselNameChar"/>
          <w:lang w:val="fr-CA"/>
        </w:rPr>
        <w:tab/>
      </w:r>
      <w:r w:rsidR="006542B9" w:rsidRPr="004F117F">
        <w:rPr>
          <w:rStyle w:val="SCCCounselNameChar"/>
          <w:i w:val="0"/>
          <w:lang w:val="fr-CA"/>
        </w:rPr>
        <w:t>Personne n</w:t>
      </w:r>
      <w:r w:rsidR="000C1609" w:rsidRPr="004F117F">
        <w:rPr>
          <w:rStyle w:val="SCCCounselNameChar"/>
          <w:i w:val="0"/>
          <w:lang w:val="fr-CA"/>
        </w:rPr>
        <w:t>’</w:t>
      </w:r>
      <w:r w:rsidR="006542B9" w:rsidRPr="004F117F">
        <w:rPr>
          <w:rStyle w:val="SCCCounselNameChar"/>
          <w:i w:val="0"/>
          <w:lang w:val="fr-CA"/>
        </w:rPr>
        <w:t>a comparu pour les intervenants le</w:t>
      </w:r>
      <w:r w:rsidRPr="004F117F">
        <w:rPr>
          <w:rStyle w:val="SCCCounselPartyRoleChar"/>
          <w:lang w:val="fr-CA"/>
        </w:rPr>
        <w:t xml:space="preserve"> Conseil du </w:t>
      </w:r>
      <w:r w:rsidR="0016057E" w:rsidRPr="004F117F">
        <w:rPr>
          <w:rStyle w:val="SCCCounselPartyRoleChar"/>
          <w:lang w:val="fr-CA"/>
        </w:rPr>
        <w:t>t</w:t>
      </w:r>
      <w:r w:rsidRPr="004F117F">
        <w:rPr>
          <w:rStyle w:val="SCCCounselPartyRoleChar"/>
          <w:lang w:val="fr-CA"/>
        </w:rPr>
        <w:t>résor</w:t>
      </w:r>
      <w:r w:rsidR="006542B9" w:rsidRPr="004F117F">
        <w:rPr>
          <w:rStyle w:val="SCCCounselPartyRoleChar"/>
          <w:lang w:val="fr-CA"/>
        </w:rPr>
        <w:t xml:space="preserve"> et la </w:t>
      </w:r>
      <w:r w:rsidRPr="004F117F">
        <w:rPr>
          <w:rStyle w:val="SCCCounselPartyRoleChar"/>
          <w:lang w:val="fr-CA"/>
        </w:rPr>
        <w:t>Commission des normes, de l</w:t>
      </w:r>
      <w:r w:rsidR="000C1609" w:rsidRPr="004F117F">
        <w:rPr>
          <w:rStyle w:val="SCCCounselPartyRoleChar"/>
          <w:lang w:val="fr-CA"/>
        </w:rPr>
        <w:t>’</w:t>
      </w:r>
      <w:r w:rsidRPr="004F117F">
        <w:rPr>
          <w:rStyle w:val="SCCCounselPartyRoleChar"/>
          <w:lang w:val="fr-CA"/>
        </w:rPr>
        <w:t>équité, de la san</w:t>
      </w:r>
      <w:r w:rsidR="002E6F1D" w:rsidRPr="004F117F">
        <w:rPr>
          <w:rStyle w:val="SCCCounselPartyRoleChar"/>
          <w:lang w:val="fr-CA"/>
        </w:rPr>
        <w:t xml:space="preserve">té et de la sécurité du travail </w:t>
      </w:r>
      <w:r w:rsidR="002E6F1D" w:rsidRPr="004F117F">
        <w:rPr>
          <w:rStyle w:val="SCCCounselPartyRoleChar"/>
          <w:lang w:val="fr-CA"/>
        </w:rPr>
        <w:lastRenderedPageBreak/>
        <w:t>(</w:t>
      </w:r>
      <w:r w:rsidRPr="004F117F">
        <w:rPr>
          <w:rStyle w:val="SCCCounselPartyRoleChar"/>
          <w:lang w:val="fr-CA"/>
        </w:rPr>
        <w:t>anciennement</w:t>
      </w:r>
      <w:r w:rsidR="002E6F1D" w:rsidRPr="004F117F">
        <w:rPr>
          <w:rStyle w:val="SCCCounselPartyRoleChar"/>
          <w:lang w:val="fr-CA"/>
        </w:rPr>
        <w:t xml:space="preserve"> connue sous le nom de</w:t>
      </w:r>
      <w:r w:rsidRPr="004F117F">
        <w:rPr>
          <w:rStyle w:val="SCCCounselPartyRoleChar"/>
          <w:lang w:val="fr-CA"/>
        </w:rPr>
        <w:t xml:space="preserve"> Commission de l</w:t>
      </w:r>
      <w:r w:rsidR="000C1609" w:rsidRPr="004F117F">
        <w:rPr>
          <w:rStyle w:val="SCCCounselPartyRoleChar"/>
          <w:lang w:val="fr-CA"/>
        </w:rPr>
        <w:t>’</w:t>
      </w:r>
      <w:r w:rsidRPr="004F117F">
        <w:rPr>
          <w:rStyle w:val="SCCCounselPartyRoleChar"/>
          <w:lang w:val="fr-CA"/>
        </w:rPr>
        <w:t>équité salariale</w:t>
      </w:r>
      <w:r w:rsidR="002E6F1D" w:rsidRPr="004F117F">
        <w:rPr>
          <w:rStyle w:val="SCCCounselPartyRoleChar"/>
          <w:lang w:val="fr-CA"/>
        </w:rPr>
        <w:t>)</w:t>
      </w:r>
      <w:r w:rsidRPr="004F117F">
        <w:rPr>
          <w:rStyle w:val="SCCCounselPartyRoleChar"/>
          <w:lang w:val="fr-CA"/>
        </w:rPr>
        <w:t>.</w:t>
      </w:r>
    </w:p>
    <w:p w:rsidR="004A25E3" w:rsidRPr="004F117F" w:rsidRDefault="007110FF" w:rsidP="00637E44">
      <w:pPr>
        <w:pStyle w:val="SCCNormalDoubleSpacing"/>
        <w:widowControl w:val="0"/>
        <w:spacing w:before="480" w:after="480"/>
        <w:rPr>
          <w:lang w:val="fr-CA"/>
        </w:rPr>
      </w:pPr>
      <w:r w:rsidRPr="004F117F">
        <w:rPr>
          <w:rStyle w:val="SCCCounselNameChar"/>
          <w:lang w:val="fr-CA"/>
        </w:rPr>
        <w:tab/>
        <w:t>Fay Faraday</w:t>
      </w:r>
      <w:r w:rsidRPr="004F117F">
        <w:rPr>
          <w:rStyle w:val="SCCCounselSeparatorChar"/>
          <w:lang w:val="fr-CA"/>
        </w:rPr>
        <w:t xml:space="preserve"> et </w:t>
      </w:r>
      <w:r w:rsidR="00C207A6" w:rsidRPr="004F117F">
        <w:rPr>
          <w:rStyle w:val="SCCCounselNameChar"/>
          <w:lang w:val="fr-CA"/>
        </w:rPr>
        <w:t>Janet </w:t>
      </w:r>
      <w:r w:rsidRPr="004F117F">
        <w:rPr>
          <w:rStyle w:val="SCCCounselNameChar"/>
          <w:lang w:val="fr-CA"/>
        </w:rPr>
        <w:t>E. Borowy</w:t>
      </w:r>
      <w:r w:rsidRPr="004F117F">
        <w:rPr>
          <w:rStyle w:val="SCCCounselPartyRoleChar"/>
          <w:lang w:val="fr-CA"/>
        </w:rPr>
        <w:t>, pour l</w:t>
      </w:r>
      <w:r w:rsidR="006542B9" w:rsidRPr="004F117F">
        <w:rPr>
          <w:rStyle w:val="SCCCounselPartyRoleChar"/>
          <w:lang w:val="fr-CA"/>
        </w:rPr>
        <w:t xml:space="preserve">es </w:t>
      </w:r>
      <w:r w:rsidRPr="004F117F">
        <w:rPr>
          <w:rStyle w:val="SCCCounselPartyRoleChar"/>
          <w:lang w:val="fr-CA"/>
        </w:rPr>
        <w:t>intervenant</w:t>
      </w:r>
      <w:r w:rsidR="006542B9" w:rsidRPr="004F117F">
        <w:rPr>
          <w:rStyle w:val="SCCCounselPartyRoleChar"/>
          <w:lang w:val="fr-CA"/>
        </w:rPr>
        <w:t>s</w:t>
      </w:r>
      <w:r w:rsidRPr="004F117F">
        <w:rPr>
          <w:rStyle w:val="SCCCounselPartyRoleChar"/>
          <w:lang w:val="fr-CA"/>
        </w:rPr>
        <w:t xml:space="preserve"> Equal Pay Coalition, </w:t>
      </w:r>
      <w:r w:rsidR="001553F6" w:rsidRPr="004F117F">
        <w:rPr>
          <w:rStyle w:val="SCCCounselPartyRoleChar"/>
          <w:lang w:val="fr-CA"/>
        </w:rPr>
        <w:t>L</w:t>
      </w:r>
      <w:r w:rsidR="00E54647" w:rsidRPr="004F117F">
        <w:rPr>
          <w:rStyle w:val="SCCCounselPartyRoleChar"/>
          <w:lang w:val="fr-CA"/>
        </w:rPr>
        <w:t xml:space="preserve">a </w:t>
      </w:r>
      <w:r w:rsidRPr="004F117F">
        <w:rPr>
          <w:rStyle w:val="SCCCounselPartyRoleChar"/>
          <w:lang w:val="fr-CA"/>
        </w:rPr>
        <w:t>Coalition pour l</w:t>
      </w:r>
      <w:r w:rsidR="000C1609" w:rsidRPr="004F117F">
        <w:rPr>
          <w:rStyle w:val="SCCCounselPartyRoleChar"/>
          <w:lang w:val="fr-CA"/>
        </w:rPr>
        <w:t>’</w:t>
      </w:r>
      <w:r w:rsidR="00E54647" w:rsidRPr="004F117F">
        <w:rPr>
          <w:rStyle w:val="SCCCounselPartyRoleChar"/>
          <w:lang w:val="fr-CA"/>
        </w:rPr>
        <w:t>équité salariale du Nouveau</w:t>
      </w:r>
      <w:r w:rsidR="00587D61" w:rsidRPr="004F117F">
        <w:rPr>
          <w:rStyle w:val="SCCCounselPartyRoleChar"/>
          <w:lang w:val="fr-CA"/>
        </w:rPr>
        <w:noBreakHyphen/>
      </w:r>
      <w:r w:rsidR="00E54647" w:rsidRPr="004F117F">
        <w:rPr>
          <w:rStyle w:val="SCCCounselPartyRoleChar"/>
          <w:lang w:val="fr-CA"/>
        </w:rPr>
        <w:t>Brunswick et le</w:t>
      </w:r>
      <w:r w:rsidRPr="004F117F">
        <w:rPr>
          <w:rStyle w:val="SCCCounselPartyRoleChar"/>
          <w:lang w:val="fr-CA"/>
        </w:rPr>
        <w:t xml:space="preserve"> Fonds d</w:t>
      </w:r>
      <w:r w:rsidR="000C1609" w:rsidRPr="004F117F">
        <w:rPr>
          <w:rStyle w:val="SCCCounselPartyRoleChar"/>
          <w:lang w:val="fr-CA"/>
        </w:rPr>
        <w:t>’</w:t>
      </w:r>
      <w:r w:rsidRPr="004F117F">
        <w:rPr>
          <w:rStyle w:val="SCCCounselPartyRoleChar"/>
          <w:lang w:val="fr-CA"/>
        </w:rPr>
        <w:t>action et d</w:t>
      </w:r>
      <w:r w:rsidR="000C1609" w:rsidRPr="004F117F">
        <w:rPr>
          <w:rStyle w:val="SCCCounselPartyRoleChar"/>
          <w:lang w:val="fr-CA"/>
        </w:rPr>
        <w:t>’</w:t>
      </w:r>
      <w:r w:rsidRPr="004F117F">
        <w:rPr>
          <w:rStyle w:val="SCCCounselPartyRoleChar"/>
          <w:lang w:val="fr-CA"/>
        </w:rPr>
        <w:t>éducation juridiques pour les femmes.</w:t>
      </w:r>
    </w:p>
    <w:p w:rsidR="004A25E3" w:rsidRPr="004F117F" w:rsidRDefault="007110FF" w:rsidP="00637E44">
      <w:pPr>
        <w:pStyle w:val="SCCNormalDoubleSpacing"/>
        <w:widowControl w:val="0"/>
        <w:spacing w:before="480" w:after="480"/>
        <w:rPr>
          <w:lang w:val="fr-CA"/>
        </w:rPr>
      </w:pPr>
      <w:r w:rsidRPr="004F117F">
        <w:rPr>
          <w:rStyle w:val="SCCCounselNameChar"/>
          <w:lang w:val="fr-CA"/>
        </w:rPr>
        <w:tab/>
        <w:t>Andrew Raven</w:t>
      </w:r>
      <w:r w:rsidRPr="004F117F">
        <w:rPr>
          <w:rStyle w:val="SCCCounselSeparatorChar"/>
          <w:lang w:val="fr-CA"/>
        </w:rPr>
        <w:t xml:space="preserve">, </w:t>
      </w:r>
      <w:r w:rsidRPr="004F117F">
        <w:rPr>
          <w:rStyle w:val="SCCCounselNameChar"/>
          <w:lang w:val="fr-CA"/>
        </w:rPr>
        <w:t>Andrew Astritis</w:t>
      </w:r>
      <w:r w:rsidRPr="004F117F">
        <w:rPr>
          <w:rStyle w:val="SCCCounselSeparatorChar"/>
          <w:lang w:val="fr-CA"/>
        </w:rPr>
        <w:t xml:space="preserve"> et </w:t>
      </w:r>
      <w:r w:rsidRPr="004F117F">
        <w:rPr>
          <w:rStyle w:val="SCCCounselNameChar"/>
          <w:lang w:val="fr-CA"/>
        </w:rPr>
        <w:t>Morgan Rowe</w:t>
      </w:r>
      <w:r w:rsidRPr="004F117F">
        <w:rPr>
          <w:rStyle w:val="SCCCounselPartyRoleChar"/>
          <w:lang w:val="fr-CA"/>
        </w:rPr>
        <w:t>, pour l</w:t>
      </w:r>
      <w:r w:rsidR="000C1609" w:rsidRPr="004F117F">
        <w:rPr>
          <w:rStyle w:val="SCCCounselPartyRoleChar"/>
          <w:lang w:val="fr-CA"/>
        </w:rPr>
        <w:t>’</w:t>
      </w:r>
      <w:r w:rsidRPr="004F117F">
        <w:rPr>
          <w:rStyle w:val="SCCCounselPartyRoleChar"/>
          <w:lang w:val="fr-CA"/>
        </w:rPr>
        <w:t>intervenante</w:t>
      </w:r>
      <w:r w:rsidR="00E54647" w:rsidRPr="004F117F">
        <w:rPr>
          <w:rStyle w:val="SCCCounselPartyRoleChar"/>
          <w:lang w:val="fr-CA"/>
        </w:rPr>
        <w:t xml:space="preserve"> l</w:t>
      </w:r>
      <w:r w:rsidR="000C1609" w:rsidRPr="004F117F">
        <w:rPr>
          <w:rStyle w:val="SCCCounselPartyRoleChar"/>
          <w:lang w:val="fr-CA"/>
        </w:rPr>
        <w:t>’</w:t>
      </w:r>
      <w:r w:rsidRPr="004F117F">
        <w:rPr>
          <w:rStyle w:val="SCCCounselPartyRoleChar"/>
          <w:lang w:val="fr-CA"/>
        </w:rPr>
        <w:t>Alliance de la fonction publique du Canada.</w:t>
      </w:r>
    </w:p>
    <w:p w:rsidR="004A25E3" w:rsidRPr="004F117F" w:rsidRDefault="007110FF" w:rsidP="00637E44">
      <w:pPr>
        <w:pStyle w:val="SCCNormalDoubleSpacing"/>
        <w:widowControl w:val="0"/>
        <w:spacing w:before="480" w:after="480"/>
        <w:rPr>
          <w:lang w:val="fr-CA"/>
        </w:rPr>
      </w:pPr>
      <w:r w:rsidRPr="004F117F">
        <w:rPr>
          <w:rStyle w:val="SCCCounselNameChar"/>
          <w:lang w:val="fr-CA"/>
        </w:rPr>
        <w:tab/>
      </w:r>
      <w:r w:rsidR="00B05AA5" w:rsidRPr="004F117F">
        <w:rPr>
          <w:rStyle w:val="SCCCounselNameChar"/>
          <w:lang w:val="fr-CA"/>
        </w:rPr>
        <w:t xml:space="preserve">Matthew Gapmann </w:t>
      </w:r>
      <w:r w:rsidR="00B05AA5" w:rsidRPr="004F117F">
        <w:rPr>
          <w:rStyle w:val="SCCCounselNameChar"/>
          <w:i w:val="0"/>
          <w:lang w:val="fr-CA"/>
        </w:rPr>
        <w:t xml:space="preserve">et </w:t>
      </w:r>
      <w:r w:rsidRPr="004F117F">
        <w:rPr>
          <w:rStyle w:val="SCCCounselNameChar"/>
          <w:lang w:val="fr-CA"/>
        </w:rPr>
        <w:t>Nathalie Léger</w:t>
      </w:r>
      <w:r w:rsidRPr="004F117F">
        <w:rPr>
          <w:rStyle w:val="SCCCounselPartyRoleChar"/>
          <w:lang w:val="fr-CA"/>
        </w:rPr>
        <w:t>, pour l</w:t>
      </w:r>
      <w:r w:rsidR="000C1609" w:rsidRPr="004F117F">
        <w:rPr>
          <w:rStyle w:val="SCCCounselPartyRoleChar"/>
          <w:lang w:val="fr-CA"/>
        </w:rPr>
        <w:t>’</w:t>
      </w:r>
      <w:r w:rsidRPr="004F117F">
        <w:rPr>
          <w:rStyle w:val="SCCCounselPartyRoleChar"/>
          <w:lang w:val="fr-CA"/>
        </w:rPr>
        <w:t>intervenant</w:t>
      </w:r>
      <w:r w:rsidR="00770FAD" w:rsidRPr="004F117F">
        <w:rPr>
          <w:rStyle w:val="SCCCounselPartyRoleChar"/>
          <w:lang w:val="fr-CA"/>
        </w:rPr>
        <w:t>e la</w:t>
      </w:r>
      <w:r w:rsidRPr="004F117F">
        <w:rPr>
          <w:rStyle w:val="SCCCounselPartyRoleChar"/>
          <w:lang w:val="fr-CA"/>
        </w:rPr>
        <w:t xml:space="preserve"> Centrale des syndicats du Québec.</w:t>
      </w:r>
    </w:p>
    <w:p w:rsidR="004A25E3" w:rsidRPr="004F117F" w:rsidRDefault="007110FF" w:rsidP="00637E44">
      <w:pPr>
        <w:pStyle w:val="SCCNormalDoubleSpacing"/>
        <w:widowControl w:val="0"/>
        <w:spacing w:before="480" w:after="480"/>
        <w:rPr>
          <w:lang w:val="fr-CA"/>
        </w:rPr>
      </w:pPr>
      <w:r w:rsidRPr="004F117F">
        <w:rPr>
          <w:rStyle w:val="SCCCounselNameChar"/>
          <w:lang w:val="fr-CA"/>
        </w:rPr>
        <w:tab/>
      </w:r>
      <w:r w:rsidR="00B05AA5" w:rsidRPr="004F117F">
        <w:rPr>
          <w:rStyle w:val="SCCCounselNameChar"/>
          <w:lang w:val="fr-CA"/>
        </w:rPr>
        <w:t xml:space="preserve">Colleen Bauman </w:t>
      </w:r>
      <w:r w:rsidRPr="004F117F">
        <w:rPr>
          <w:rStyle w:val="SCCCounselSeparatorChar"/>
          <w:lang w:val="fr-CA"/>
        </w:rPr>
        <w:t xml:space="preserve">et </w:t>
      </w:r>
      <w:r w:rsidRPr="004F117F">
        <w:rPr>
          <w:rStyle w:val="SCCCounselNameChar"/>
          <w:lang w:val="fr-CA"/>
        </w:rPr>
        <w:t>Erin Moores</w:t>
      </w:r>
      <w:r w:rsidRPr="004F117F">
        <w:rPr>
          <w:rStyle w:val="SCCCounselPartyRoleChar"/>
          <w:lang w:val="fr-CA"/>
        </w:rPr>
        <w:t>, pour l</w:t>
      </w:r>
      <w:r w:rsidR="00770FAD" w:rsidRPr="004F117F">
        <w:rPr>
          <w:rStyle w:val="SCCCounselPartyRoleChar"/>
          <w:lang w:val="fr-CA"/>
        </w:rPr>
        <w:t xml:space="preserve">es </w:t>
      </w:r>
      <w:r w:rsidRPr="004F117F">
        <w:rPr>
          <w:rStyle w:val="SCCCounselPartyRoleChar"/>
          <w:lang w:val="fr-CA"/>
        </w:rPr>
        <w:t>intervenant</w:t>
      </w:r>
      <w:r w:rsidR="00770FAD" w:rsidRPr="004F117F">
        <w:rPr>
          <w:rStyle w:val="SCCCounselPartyRoleChar"/>
          <w:lang w:val="fr-CA"/>
        </w:rPr>
        <w:t>s</w:t>
      </w:r>
      <w:r w:rsidRPr="004F117F">
        <w:rPr>
          <w:rStyle w:val="SCCCounselPartyRoleChar"/>
          <w:lang w:val="fr-CA"/>
        </w:rPr>
        <w:t xml:space="preserve"> </w:t>
      </w:r>
      <w:r w:rsidR="001553F6" w:rsidRPr="004F117F">
        <w:rPr>
          <w:rStyle w:val="SCCCounselPartyRoleChar"/>
          <w:lang w:val="fr-CA"/>
        </w:rPr>
        <w:t>L</w:t>
      </w:r>
      <w:r w:rsidR="000C1609" w:rsidRPr="004F117F">
        <w:rPr>
          <w:rStyle w:val="SCCCounselPartyRoleChar"/>
          <w:lang w:val="fr-CA"/>
        </w:rPr>
        <w:t>’</w:t>
      </w:r>
      <w:r w:rsidRPr="004F117F">
        <w:rPr>
          <w:rStyle w:val="SCCCounselPartyRoleChar"/>
          <w:lang w:val="fr-CA"/>
        </w:rPr>
        <w:t>Institut professionnel de la fonction publique</w:t>
      </w:r>
      <w:r w:rsidR="00AD4374" w:rsidRPr="004F117F">
        <w:rPr>
          <w:rStyle w:val="SCCCounselPartyRoleChar"/>
          <w:lang w:val="fr-CA"/>
        </w:rPr>
        <w:t xml:space="preserve"> du Canada</w:t>
      </w:r>
      <w:r w:rsidRPr="004F117F">
        <w:rPr>
          <w:rStyle w:val="SCCCounselPartyRoleChar"/>
          <w:lang w:val="fr-CA"/>
        </w:rPr>
        <w:t xml:space="preserve">, </w:t>
      </w:r>
      <w:r w:rsidR="001553F6" w:rsidRPr="004F117F">
        <w:rPr>
          <w:rStyle w:val="SCCCounselPartyRoleChar"/>
          <w:lang w:val="fr-CA"/>
        </w:rPr>
        <w:t>L</w:t>
      </w:r>
      <w:r w:rsidR="000C1609" w:rsidRPr="004F117F">
        <w:rPr>
          <w:rStyle w:val="SCCCounselPartyRoleChar"/>
          <w:lang w:val="fr-CA"/>
        </w:rPr>
        <w:t>’</w:t>
      </w:r>
      <w:r w:rsidRPr="004F117F">
        <w:rPr>
          <w:rStyle w:val="SCCCounselPartyRoleChar"/>
          <w:lang w:val="fr-CA"/>
        </w:rPr>
        <w:t xml:space="preserve">Association canadienne des employés professionnels, </w:t>
      </w:r>
      <w:r w:rsidR="001553F6" w:rsidRPr="004F117F">
        <w:rPr>
          <w:rStyle w:val="SCCCounselPartyRoleChar"/>
          <w:lang w:val="fr-CA"/>
        </w:rPr>
        <w:t>L</w:t>
      </w:r>
      <w:r w:rsidR="000C1609" w:rsidRPr="004F117F">
        <w:rPr>
          <w:rStyle w:val="SCCCounselPartyRoleChar"/>
          <w:lang w:val="fr-CA"/>
        </w:rPr>
        <w:t>’</w:t>
      </w:r>
      <w:r w:rsidRPr="004F117F">
        <w:rPr>
          <w:rStyle w:val="SCCCounselPartyRoleChar"/>
          <w:lang w:val="fr-CA"/>
        </w:rPr>
        <w:t>Association c</w:t>
      </w:r>
      <w:r w:rsidR="00770FAD" w:rsidRPr="004F117F">
        <w:rPr>
          <w:rStyle w:val="SCCCounselPartyRoleChar"/>
          <w:lang w:val="fr-CA"/>
        </w:rPr>
        <w:t>anadienne des agents financiers et</w:t>
      </w:r>
      <w:r w:rsidRPr="004F117F">
        <w:rPr>
          <w:rStyle w:val="SCCCounselPartyRoleChar"/>
          <w:lang w:val="fr-CA"/>
        </w:rPr>
        <w:t xml:space="preserve"> </w:t>
      </w:r>
      <w:r w:rsidR="001553F6" w:rsidRPr="004F117F">
        <w:rPr>
          <w:rStyle w:val="SCCCounselPartyRoleChar"/>
          <w:lang w:val="fr-CA"/>
        </w:rPr>
        <w:t>L</w:t>
      </w:r>
      <w:r w:rsidR="000C1609" w:rsidRPr="004F117F">
        <w:rPr>
          <w:rStyle w:val="SCCCounselPartyRoleChar"/>
          <w:lang w:val="fr-CA"/>
        </w:rPr>
        <w:t>’</w:t>
      </w:r>
      <w:r w:rsidRPr="004F117F">
        <w:rPr>
          <w:rStyle w:val="SCCCounselPartyRoleChar"/>
          <w:lang w:val="fr-CA"/>
        </w:rPr>
        <w:t>Association professionnelle des agents du Service extérieur.</w:t>
      </w:r>
    </w:p>
    <w:p w:rsidR="00C208DD" w:rsidRPr="004F117F" w:rsidRDefault="00A06454" w:rsidP="00637E44">
      <w:pPr>
        <w:pStyle w:val="SCCNormalDoubleSpacing"/>
        <w:widowControl w:val="0"/>
        <w:spacing w:before="480" w:after="480"/>
        <w:rPr>
          <w:lang w:val="fr-CA"/>
        </w:rPr>
      </w:pPr>
      <w:r>
        <w:rPr>
          <w:lang w:val="fr-CA"/>
        </w:rPr>
        <w:tab/>
      </w:r>
      <w:r w:rsidR="00C208DD" w:rsidRPr="004F117F">
        <w:rPr>
          <w:lang w:val="fr-CA"/>
        </w:rPr>
        <w:t xml:space="preserve">Version française du jugement de la juge en chef McLachlin et des juges Abella, Moldaver, Karakatsanis, Wagner et Gascon rendu par </w:t>
      </w:r>
    </w:p>
    <w:p w:rsidR="00C208DD" w:rsidRPr="004F117F" w:rsidRDefault="00FC3D22" w:rsidP="00637E44">
      <w:pPr>
        <w:pStyle w:val="ParaNoNdepar-AltN"/>
        <w:widowControl w:val="0"/>
        <w:rPr>
          <w:rFonts w:cs="Times New Roman"/>
          <w:lang w:val="fr-CA"/>
        </w:rPr>
      </w:pPr>
      <w:r w:rsidRPr="00FC3D22">
        <w:rPr>
          <w:smallCaps/>
          <w:lang w:val="fr-CA"/>
        </w:rPr>
        <w:t>La juge Abella</w:t>
      </w:r>
      <w:r w:rsidRPr="004F117F">
        <w:rPr>
          <w:lang w:val="fr-CA"/>
        </w:rPr>
        <w:t xml:space="preserve"> — </w:t>
      </w:r>
      <w:r w:rsidR="00C208DD" w:rsidRPr="004F117F">
        <w:rPr>
          <w:rFonts w:cs="Times New Roman"/>
          <w:lang w:val="fr-CA"/>
        </w:rPr>
        <w:t xml:space="preserve">En 1996, le Québec a adopté un régime législatif pour remédier à la discrimination salariale systémique à l’égard des femmes. La </w:t>
      </w:r>
      <w:r w:rsidR="00C208DD" w:rsidRPr="004F117F">
        <w:rPr>
          <w:rFonts w:cs="Times New Roman"/>
          <w:i/>
          <w:lang w:val="fr-CA"/>
        </w:rPr>
        <w:t>Loi sur l’équité salariale</w:t>
      </w:r>
      <w:r w:rsidR="00C208DD" w:rsidRPr="004F117F">
        <w:rPr>
          <w:rFonts w:cs="Times New Roman"/>
          <w:lang w:val="fr-CA"/>
        </w:rPr>
        <w:t>, L.Q. 199</w:t>
      </w:r>
      <w:r>
        <w:rPr>
          <w:rFonts w:cs="Times New Roman"/>
          <w:lang w:val="fr-CA"/>
        </w:rPr>
        <w:t>6, c. 43 (maintenant RLRQ, c. E-</w:t>
      </w:r>
      <w:r w:rsidR="00C208DD" w:rsidRPr="004F117F">
        <w:rPr>
          <w:rFonts w:cs="Times New Roman"/>
          <w:lang w:val="fr-CA"/>
        </w:rPr>
        <w:t xml:space="preserve">12.001), établissait un processus de signalement, de planification, de comparaison, d’évaluation et de </w:t>
      </w:r>
      <w:r w:rsidR="00C208DD" w:rsidRPr="004F117F">
        <w:rPr>
          <w:rFonts w:cs="Times New Roman"/>
          <w:lang w:val="fr-CA"/>
        </w:rPr>
        <w:lastRenderedPageBreak/>
        <w:t xml:space="preserve">versement d’ajustements salariaux pour faire en sorte que les employeurs versent un salaire égal pour un travail de valeur égale. Une fois cet objectif atteint — l’équité salariale —, la </w:t>
      </w:r>
      <w:r w:rsidR="00C208DD" w:rsidRPr="004F117F">
        <w:rPr>
          <w:rFonts w:cs="Times New Roman"/>
          <w:i/>
          <w:lang w:val="fr-CA"/>
        </w:rPr>
        <w:t xml:space="preserve">Loi </w:t>
      </w:r>
      <w:r w:rsidR="00C208DD" w:rsidRPr="004F117F">
        <w:rPr>
          <w:rFonts w:cs="Times New Roman"/>
          <w:lang w:val="fr-CA"/>
        </w:rPr>
        <w:t>imposait aux employeurs l’obligation continue de maintenir cette équité. Elle conférait aussi aux salariés le droit de contester toute omission des employeurs de maintenir l’équité salariale et d’obtenir qu’il soit sans délai remédié entièrement à la situation.</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Au bout de 10 années, le gouvernement du Québec a jugé que les attentes en matière de respect de la loi n’étaient pas satisfaites. En 2009, il a adopté la </w:t>
      </w:r>
      <w:r w:rsidRPr="004F117F">
        <w:rPr>
          <w:rFonts w:cs="Times New Roman"/>
          <w:i/>
          <w:lang w:val="fr-CA"/>
        </w:rPr>
        <w:t>Loi modifiant la Loi sur l’équité salariale</w:t>
      </w:r>
      <w:r w:rsidRPr="004F117F">
        <w:rPr>
          <w:rFonts w:cs="Times New Roman"/>
          <w:lang w:val="fr-CA"/>
        </w:rPr>
        <w:t>, L.Q. 2009, c. 9, qui a remplacé l’obligation continue de maintenir l’équité salariale par un système d’évaluations obligatoires tous les cinq ans. Lorsqu’une évaluation révèle une omission de maintenir l’équité salariale, l’employeur est tenu de rectifier les salaires pour l’avenir seulement. À moins qu’il n’ait agi de façon arbitraire ou de mauvaise foi, celui</w:t>
      </w:r>
      <w:r w:rsidRPr="004F117F">
        <w:rPr>
          <w:rFonts w:cs="Times New Roman"/>
          <w:lang w:val="fr-CA"/>
        </w:rPr>
        <w:noBreakHyphen/>
        <w:t>ci n’est pas tenu de verser des ajustements salariaux pour les iniquités salariales apparues entre les évaluations.</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Plusieurs syndicats ont contesté les modifications au motif qu’elles violaient les droits à l’égalité garantis par l’art. 15 de la </w:t>
      </w:r>
      <w:r w:rsidRPr="004F117F">
        <w:rPr>
          <w:rFonts w:cs="Times New Roman"/>
          <w:i/>
          <w:lang w:val="fr-CA"/>
        </w:rPr>
        <w:t>Charte canadienne des droits et libertés</w:t>
      </w:r>
      <w:r w:rsidRPr="004F117F">
        <w:rPr>
          <w:rFonts w:cs="Times New Roman"/>
          <w:lang w:val="fr-CA"/>
        </w:rPr>
        <w:t xml:space="preserve">. Les tribunaux du Québec ont accepté cet argument et ont invalidé certaines parties des dispositions législatives modifiant la </w:t>
      </w:r>
      <w:r w:rsidRPr="004F117F">
        <w:rPr>
          <w:rFonts w:cs="Times New Roman"/>
          <w:i/>
          <w:lang w:val="fr-CA"/>
        </w:rPr>
        <w:t>Loi sur l’équité salariale</w:t>
      </w:r>
      <w:r w:rsidRPr="004F117F">
        <w:rPr>
          <w:rFonts w:cs="Times New Roman"/>
          <w:lang w:val="fr-CA"/>
        </w:rPr>
        <w:t>. La déclaration d’invalidité a été suspendue pour une période d’un an.</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Il s’agit d’un pourvoi interjeté par le Québec, qui soutient qu’il n’y a aucune violation de l’art. 15 de la </w:t>
      </w:r>
      <w:r w:rsidRPr="004F117F">
        <w:rPr>
          <w:rFonts w:cs="Times New Roman"/>
          <w:i/>
          <w:lang w:val="fr-CA"/>
        </w:rPr>
        <w:t>Charte</w:t>
      </w:r>
      <w:r w:rsidRPr="004F117F">
        <w:rPr>
          <w:rFonts w:cs="Times New Roman"/>
          <w:lang w:val="fr-CA"/>
        </w:rPr>
        <w:t xml:space="preserve">, et que, s’il y a effectivement une telle </w:t>
      </w:r>
      <w:r w:rsidRPr="004F117F">
        <w:rPr>
          <w:rFonts w:cs="Times New Roman"/>
          <w:lang w:val="fr-CA"/>
        </w:rPr>
        <w:lastRenderedPageBreak/>
        <w:t>violation, celle</w:t>
      </w:r>
      <w:r w:rsidRPr="004F117F">
        <w:rPr>
          <w:rFonts w:cs="Times New Roman"/>
          <w:lang w:val="fr-CA"/>
        </w:rPr>
        <w:noBreakHyphen/>
        <w:t>ci est justifiable au regard de l’article premier. Les syndicats ont formé un pourvoi incident dans lequel ils demandent que d’autres dispositions soient déclarées inconstitutionnelles.</w:t>
      </w:r>
    </w:p>
    <w:p w:rsidR="00C208DD" w:rsidRPr="004F117F" w:rsidRDefault="00C208DD" w:rsidP="00637E44">
      <w:pPr>
        <w:pStyle w:val="ParaNoNdepar-AltN"/>
        <w:widowControl w:val="0"/>
        <w:rPr>
          <w:rFonts w:cs="Times New Roman"/>
          <w:lang w:val="fr-CA"/>
        </w:rPr>
      </w:pPr>
      <w:r w:rsidRPr="004F117F">
        <w:rPr>
          <w:rFonts w:cs="Times New Roman"/>
          <w:lang w:val="fr-CA"/>
        </w:rPr>
        <w:t>Je souscris aux conclusions des tribunaux du Québec et je suis d’avis de rejeter tant le pourvoi que le pourvoi incident.</w:t>
      </w:r>
    </w:p>
    <w:p w:rsidR="00C208DD" w:rsidRPr="004F117F" w:rsidRDefault="00C208DD" w:rsidP="00637E44">
      <w:pPr>
        <w:pStyle w:val="Title1LevelTitre1Niveau-AltL"/>
        <w:widowControl w:val="0"/>
        <w:rPr>
          <w:rFonts w:cs="Times New Roman"/>
          <w:lang w:val="fr-CA"/>
        </w:rPr>
      </w:pPr>
      <w:r w:rsidRPr="004F117F">
        <w:rPr>
          <w:rFonts w:cs="Times New Roman"/>
          <w:lang w:val="fr-CA"/>
        </w:rPr>
        <w:t>Contexte</w:t>
      </w:r>
    </w:p>
    <w:p w:rsidR="00C208DD" w:rsidRPr="004F117F" w:rsidRDefault="00C208DD" w:rsidP="00637E44">
      <w:pPr>
        <w:pStyle w:val="ParaNoNdepar-AltN"/>
        <w:widowControl w:val="0"/>
        <w:rPr>
          <w:rFonts w:cs="Times New Roman"/>
          <w:lang w:val="en-US"/>
        </w:rPr>
      </w:pPr>
      <w:r w:rsidRPr="004F117F">
        <w:rPr>
          <w:rFonts w:cs="Times New Roman"/>
          <w:lang w:val="fr-CA"/>
        </w:rPr>
        <w:t xml:space="preserve">Les premiers efforts déployés par le Canada dans les années 1950 en vue de supprimer l’écart entre les salaires des hommes et des femmes — le principe dit du « salaire égal pour un travail égal » — portaient plus particulièrement sur les écarts salariaux entre les hommes et les femmes exerçant les mêmes fonctions. Comme cette approche ne rendait pas compte de l’aspect systémique de la discrimination salariale, le concept de « salaire égal pour un travail égal » a été remplacé par celui de « salaire égal pour un travail de valeur égale », une stratégie plus large et plus nuancée qui reconnaît que, comme le « travail des femmes » est moins bien considéré que le « travail des hommes », le salaire et le statut des femmes sont moindres que ceux des hommes, et il en résulte une discrimination salariale systémique (Beth Bilson, « The Ravages of Time : The Work of the Federal Pay Equity Task Force and Section 11 of the </w:t>
      </w:r>
      <w:r w:rsidRPr="004F117F">
        <w:rPr>
          <w:rFonts w:cs="Times New Roman"/>
          <w:i/>
          <w:lang w:val="fr-CA"/>
        </w:rPr>
        <w:t>Canadian Human Rights Act </w:t>
      </w:r>
      <w:r w:rsidRPr="004F117F">
        <w:rPr>
          <w:rFonts w:cs="Times New Roman"/>
          <w:lang w:val="fr-CA"/>
        </w:rPr>
        <w:t xml:space="preserve">» (2004), 67 </w:t>
      </w:r>
      <w:r w:rsidRPr="004F117F">
        <w:rPr>
          <w:rFonts w:cs="Times New Roman"/>
          <w:i/>
          <w:lang w:val="fr-CA"/>
        </w:rPr>
        <w:t xml:space="preserve">Sask. L. Rev. </w:t>
      </w:r>
      <w:r w:rsidRPr="004F117F">
        <w:rPr>
          <w:rFonts w:cs="Times New Roman"/>
          <w:lang w:val="fr-CA"/>
        </w:rPr>
        <w:t xml:space="preserve">525, p. 526; Richard Anker, « Theories of occupational segregation by sex : An Overview » (1997), 136 </w:t>
      </w:r>
      <w:r w:rsidRPr="004F117F">
        <w:rPr>
          <w:rFonts w:cs="Times New Roman"/>
          <w:i/>
          <w:lang w:val="fr-CA"/>
        </w:rPr>
        <w:t xml:space="preserve">Int’l Lab. </w:t>
      </w:r>
      <w:r w:rsidRPr="004F117F">
        <w:rPr>
          <w:rFonts w:cs="Times New Roman"/>
          <w:i/>
          <w:lang w:val="en-US"/>
        </w:rPr>
        <w:t>Rev.</w:t>
      </w:r>
      <w:r w:rsidRPr="004F117F">
        <w:rPr>
          <w:rFonts w:cs="Times New Roman"/>
          <w:lang w:val="en-US"/>
        </w:rPr>
        <w:t xml:space="preserve"> 315; Mary Cornish, « Closing the Global Gender Pay Gap : Securing Justice for Women’s Work » (2007), 28 </w:t>
      </w:r>
      <w:r w:rsidRPr="004F117F">
        <w:rPr>
          <w:rFonts w:cs="Times New Roman"/>
          <w:i/>
          <w:lang w:val="en-US"/>
        </w:rPr>
        <w:t xml:space="preserve">Comp. Lab. L. &amp; Pol’y J. </w:t>
      </w:r>
      <w:r w:rsidRPr="004F117F">
        <w:rPr>
          <w:rFonts w:cs="Times New Roman"/>
          <w:lang w:val="en-US"/>
        </w:rPr>
        <w:t>219, p. 223</w:t>
      </w:r>
      <w:r w:rsidRPr="004F117F">
        <w:rPr>
          <w:rFonts w:cs="Times New Roman"/>
          <w:lang w:val="en-US"/>
        </w:rPr>
        <w:noBreakHyphen/>
        <w:t>225).</w:t>
      </w:r>
    </w:p>
    <w:p w:rsidR="00C208DD" w:rsidRPr="004F117F" w:rsidRDefault="00C208DD" w:rsidP="00637E44">
      <w:pPr>
        <w:pStyle w:val="ParaNoNdepar-AltN"/>
        <w:widowControl w:val="0"/>
        <w:rPr>
          <w:rFonts w:cs="Times New Roman"/>
          <w:lang w:val="fr-CA"/>
        </w:rPr>
      </w:pPr>
      <w:r w:rsidRPr="004F117F">
        <w:rPr>
          <w:rFonts w:cs="Times New Roman"/>
          <w:lang w:val="fr-CA"/>
        </w:rPr>
        <w:lastRenderedPageBreak/>
        <w:t xml:space="preserve">Deux commissions royales d’enquête ont contribué à l’adoption de la nouvelle approche, soit celle ayant remplacé le concept de « travail égal » par celui de travail « équivalent » ou « de valeur égale ». La première a publié, en 1970, l’innovant </w:t>
      </w:r>
      <w:r w:rsidRPr="004F117F">
        <w:rPr>
          <w:rFonts w:cs="Times New Roman"/>
          <w:i/>
          <w:lang w:val="fr-CA"/>
        </w:rPr>
        <w:t>Rapport de la Commission royale d’enquête sur la situation de la femme au Canada</w:t>
      </w:r>
      <w:r w:rsidRPr="004F117F">
        <w:rPr>
          <w:rFonts w:cs="Times New Roman"/>
          <w:lang w:val="fr-CA"/>
        </w:rPr>
        <w:t>, dans lequel elle a souligné la persistance d’une ségrégation professionnelle et d’une discrimination salariale systémique malgré l’existence, depuis les années 1950, de lois exigeant un salaire égal pour un travail égal (par. 236</w:t>
      </w:r>
      <w:r w:rsidRPr="004F117F">
        <w:rPr>
          <w:rFonts w:cs="Times New Roman"/>
          <w:lang w:val="fr-CA"/>
        </w:rPr>
        <w:noBreakHyphen/>
        <w:t xml:space="preserve">237). Elle y a recommandé que « l’on se serve des concepts de compétence, d’efforts et de responsabilités comme critères objectifs pour déterminer ce qu’est un travail égal » (par. 239 (caractères gras omis)), recommandation s’étant reflétée en fin compte à l’art. 11 de la </w:t>
      </w:r>
      <w:r w:rsidRPr="004F117F">
        <w:rPr>
          <w:rFonts w:cs="Times New Roman"/>
          <w:i/>
          <w:lang w:val="fr-CA"/>
        </w:rPr>
        <w:t>Loi canadienne sur les droits de la personne</w:t>
      </w:r>
      <w:r w:rsidRPr="004F117F">
        <w:rPr>
          <w:rFonts w:cs="Times New Roman"/>
          <w:lang w:val="fr-CA"/>
        </w:rPr>
        <w:t>, L.R.C. 1985, c. </w:t>
      </w:r>
      <w:r w:rsidR="00F118AA">
        <w:rPr>
          <w:rFonts w:cs="Times New Roman"/>
          <w:lang w:val="fr-CA"/>
        </w:rPr>
        <w:t>H-</w:t>
      </w:r>
      <w:r w:rsidRPr="004F117F">
        <w:rPr>
          <w:rFonts w:cs="Times New Roman"/>
          <w:lang w:val="fr-CA"/>
        </w:rPr>
        <w:t>6</w:t>
      </w:r>
      <w:r w:rsidRPr="00F118AA">
        <w:rPr>
          <w:rStyle w:val="Hyperlink"/>
          <w:u w:val="none"/>
          <w:vertAlign w:val="superscript"/>
        </w:rPr>
        <w:footnoteReference w:id="1"/>
      </w:r>
      <w:r w:rsidRPr="004F117F">
        <w:rPr>
          <w:rFonts w:cs="Times New Roman"/>
          <w:lang w:val="fr-CA"/>
        </w:rPr>
        <w:t>.</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En 1984, dans le </w:t>
      </w:r>
      <w:r w:rsidRPr="004F117F">
        <w:rPr>
          <w:rFonts w:cs="Times New Roman"/>
          <w:i/>
          <w:lang w:val="fr-CA"/>
        </w:rPr>
        <w:t>Rapport de la Commission sur l’égalité en matière d’emploi</w:t>
      </w:r>
      <w:r w:rsidRPr="004F117F">
        <w:rPr>
          <w:rFonts w:cs="Times New Roman"/>
          <w:lang w:val="fr-CA"/>
        </w:rPr>
        <w:t>, il a été recommandé que « l’égalité de salaire pour un travail de valeur égale soit prévue par tous les programmes d’équité en matière d’emploi » (p. 290). Cela signifiait qu’il fallait adopter des politiques permettant de « comparer les salaires dans les professions où les femmes prédominent, avec les salaires dans les professions de niveau comparable où les hommes sont majoritaires. Si l’on constate un écart de salaire, il faut alors déte</w:t>
      </w:r>
      <w:r w:rsidR="00FC3D22">
        <w:rPr>
          <w:rFonts w:cs="Times New Roman"/>
          <w:lang w:val="fr-CA"/>
        </w:rPr>
        <w:t>rminer s’il est justifié ou non</w:t>
      </w:r>
      <w:r w:rsidRPr="004F117F">
        <w:rPr>
          <w:rFonts w:cs="Times New Roman"/>
          <w:lang w:val="fr-CA"/>
        </w:rPr>
        <w:t> » (p. 271)</w:t>
      </w:r>
      <w:r w:rsidR="00FC3D22">
        <w:rPr>
          <w:rFonts w:cs="Times New Roman"/>
          <w:lang w:val="fr-CA"/>
        </w:rPr>
        <w:t>.</w:t>
      </w:r>
      <w:r w:rsidRPr="004F117F">
        <w:rPr>
          <w:rFonts w:cs="Times New Roman"/>
          <w:lang w:val="fr-CA"/>
        </w:rPr>
        <w:t xml:space="preserve"> En maintenant les iniquités </w:t>
      </w:r>
      <w:r w:rsidRPr="004F117F">
        <w:rPr>
          <w:rFonts w:cs="Times New Roman"/>
          <w:lang w:val="fr-CA"/>
        </w:rPr>
        <w:lastRenderedPageBreak/>
        <w:t xml:space="preserve">salariales, on se sert des femmes « pour amortir les avatars de l’économie » (p. 260). </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Ces recommandations reflétaient les approches utilisées dans certains instruments internationaux. L’Organisation internationale du Travail (OIT), par exemple, a, en 1951, adopté sa </w:t>
      </w:r>
      <w:r w:rsidRPr="004F117F">
        <w:rPr>
          <w:rFonts w:cs="Times New Roman"/>
          <w:i/>
          <w:lang w:val="fr-CA"/>
        </w:rPr>
        <w:t>Convention concernant l’égalité de rémunération entre la main</w:t>
      </w:r>
      <w:r w:rsidRPr="004F117F">
        <w:rPr>
          <w:rFonts w:cs="Times New Roman"/>
          <w:i/>
          <w:lang w:val="fr-CA"/>
        </w:rPr>
        <w:noBreakHyphen/>
        <w:t>d’œuvre masculine et la main d’œuvre féminine pour un travail de valeur égale (N</w:t>
      </w:r>
      <w:r w:rsidRPr="004F117F">
        <w:rPr>
          <w:rFonts w:cs="Times New Roman"/>
          <w:i/>
          <w:vertAlign w:val="superscript"/>
          <w:lang w:val="fr-CA"/>
        </w:rPr>
        <w:t>o</w:t>
      </w:r>
      <w:r w:rsidRPr="004F117F">
        <w:rPr>
          <w:rFonts w:cs="Times New Roman"/>
          <w:i/>
          <w:lang w:val="fr-CA"/>
        </w:rPr>
        <w:t> 100)</w:t>
      </w:r>
      <w:r w:rsidRPr="004F117F">
        <w:rPr>
          <w:rFonts w:cs="Times New Roman"/>
          <w:lang w:val="fr-CA"/>
        </w:rPr>
        <w:t>, R.T.</w:t>
      </w:r>
      <w:r w:rsidR="00FC3D22">
        <w:rPr>
          <w:rFonts w:cs="Times New Roman"/>
          <w:lang w:val="fr-CA"/>
        </w:rPr>
        <w:t xml:space="preserve"> Can. 1973</w:t>
      </w:r>
      <w:r w:rsidRPr="004F117F">
        <w:rPr>
          <w:rFonts w:cs="Times New Roman"/>
          <w:lang w:val="fr-CA"/>
        </w:rPr>
        <w:t xml:space="preserve"> n</w:t>
      </w:r>
      <w:r w:rsidRPr="004F117F">
        <w:rPr>
          <w:rFonts w:cs="Times New Roman"/>
          <w:vertAlign w:val="superscript"/>
          <w:lang w:val="fr-CA"/>
        </w:rPr>
        <w:t>o</w:t>
      </w:r>
      <w:r w:rsidRPr="004F117F">
        <w:rPr>
          <w:rFonts w:cs="Times New Roman"/>
          <w:lang w:val="fr-CA"/>
        </w:rPr>
        <w:t> 37, laquelle imposait aux États l’ayant ratifiée l’obligation d’appliquer le principe de « l’égalité de rémunération entre la main</w:t>
      </w:r>
      <w:r w:rsidRPr="004F117F">
        <w:rPr>
          <w:rFonts w:cs="Times New Roman"/>
          <w:lang w:val="fr-CA"/>
        </w:rPr>
        <w:noBreakHyphen/>
        <w:t>d’œuvre masculine et la main</w:t>
      </w:r>
      <w:r w:rsidRPr="004F117F">
        <w:rPr>
          <w:rFonts w:cs="Times New Roman"/>
          <w:lang w:val="fr-CA"/>
        </w:rPr>
        <w:noBreakHyphen/>
        <w:t xml:space="preserve">d’œuvre féminine pour un travail de valeur égale » (convention ratifiée par le Canada en 1972). Le même principe est consacré à l’al. 11(1)d) de la </w:t>
      </w:r>
      <w:r w:rsidRPr="004F117F">
        <w:rPr>
          <w:rFonts w:cs="Times New Roman"/>
          <w:i/>
          <w:lang w:val="fr-CA"/>
        </w:rPr>
        <w:t>Convention sur l’élimination de toutes les formes de discrimination à l’égard des femmes</w:t>
      </w:r>
      <w:r w:rsidRPr="004F117F">
        <w:rPr>
          <w:rFonts w:cs="Times New Roman"/>
          <w:lang w:val="fr-CA"/>
        </w:rPr>
        <w:t xml:space="preserve"> des Nations Unies de 1979, 1249 R.T.N.U. </w:t>
      </w:r>
      <w:r w:rsidR="00F118AA">
        <w:rPr>
          <w:rFonts w:cs="Times New Roman"/>
          <w:lang w:val="fr-CA"/>
        </w:rPr>
        <w:t>24</w:t>
      </w:r>
      <w:r w:rsidRPr="004F117F">
        <w:rPr>
          <w:rFonts w:cs="Times New Roman"/>
          <w:lang w:val="fr-CA"/>
        </w:rPr>
        <w:t xml:space="preserve"> (convention ratifiée par le Canada en 1981)</w:t>
      </w:r>
      <w:r w:rsidRPr="004F117F">
        <w:rPr>
          <w:rStyle w:val="Hyperlink"/>
          <w:vertAlign w:val="superscript"/>
        </w:rPr>
        <w:footnoteReference w:id="2"/>
      </w:r>
      <w:r w:rsidRPr="004F117F">
        <w:rPr>
          <w:rFonts w:cs="Times New Roman"/>
          <w:lang w:val="fr-CA"/>
        </w:rPr>
        <w:t>.</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En 1975, le Québec a adopté l’art. 19 de sa </w:t>
      </w:r>
      <w:r w:rsidRPr="004F117F">
        <w:rPr>
          <w:rFonts w:cs="Times New Roman"/>
          <w:i/>
          <w:lang w:val="fr-CA"/>
        </w:rPr>
        <w:t>Charte des droits et libertés de la personne</w:t>
      </w:r>
      <w:r w:rsidRPr="004F117F">
        <w:rPr>
          <w:rFonts w:cs="Times New Roman"/>
          <w:lang w:val="fr-CA"/>
        </w:rPr>
        <w:t>, L.Q. 19</w:t>
      </w:r>
      <w:r w:rsidR="00F118AA">
        <w:rPr>
          <w:rFonts w:cs="Times New Roman"/>
          <w:lang w:val="fr-CA"/>
        </w:rPr>
        <w:t>75, c. 6 (maintenant RLRQ, c. C-</w:t>
      </w:r>
      <w:r w:rsidRPr="004F117F">
        <w:rPr>
          <w:rFonts w:cs="Times New Roman"/>
          <w:lang w:val="fr-CA"/>
        </w:rPr>
        <w:t xml:space="preserve">12), qui prévoit que « [t]out employeur doit, sans discrimination, accorder un traitement ou un salaire égal aux membres de son personnel qui accomplissent un travail </w:t>
      </w:r>
      <w:r w:rsidRPr="004F117F">
        <w:rPr>
          <w:rFonts w:cs="Times New Roman"/>
          <w:i/>
          <w:lang w:val="fr-CA"/>
        </w:rPr>
        <w:t>équivalent</w:t>
      </w:r>
      <w:r w:rsidR="00FC3D22">
        <w:rPr>
          <w:rFonts w:cs="Times New Roman"/>
          <w:lang w:val="fr-CA"/>
        </w:rPr>
        <w:t xml:space="preserve"> au même endroit. »</w:t>
      </w:r>
      <w:r w:rsidRPr="004F117F">
        <w:rPr>
          <w:rFonts w:cs="Times New Roman"/>
          <w:lang w:val="fr-CA"/>
        </w:rPr>
        <w:t xml:space="preserve"> Le régime mis en place pour assurer le respect de cette disposition reposait sur les plaintes que les salariés pouvaient déposer devant la Commission des droits de la </w:t>
      </w:r>
      <w:r w:rsidRPr="004F117F">
        <w:rPr>
          <w:rFonts w:cs="Times New Roman"/>
          <w:lang w:val="fr-CA"/>
        </w:rPr>
        <w:lastRenderedPageBreak/>
        <w:t>personne du Québec. Or, celui</w:t>
      </w:r>
      <w:r w:rsidRPr="004F117F">
        <w:rPr>
          <w:rFonts w:cs="Times New Roman"/>
          <w:lang w:val="fr-CA"/>
        </w:rPr>
        <w:noBreakHyphen/>
        <w:t>ci s’est révélé inefficace.</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Le Québec a adopté un régime plus proactif dans sa </w:t>
      </w:r>
      <w:r w:rsidRPr="004F117F">
        <w:rPr>
          <w:rFonts w:cs="Times New Roman"/>
          <w:i/>
          <w:lang w:val="fr-CA"/>
        </w:rPr>
        <w:t>Loi sur l’équité salariale</w:t>
      </w:r>
      <w:r w:rsidRPr="004F117F">
        <w:rPr>
          <w:rFonts w:cs="Times New Roman"/>
          <w:lang w:val="fr-CA"/>
        </w:rPr>
        <w:t xml:space="preserve"> de 1996. Suivant son article premier, cette loi a pour objet « de corriger les écarts salariaux dus à la discrimination systémique fondée sur le sexe à l’égard des personnes qui occupent des emplois dans des catégories d’emplois à prédominance féminine ». Plutôt que de s’en remettre aux plaintes individuelles, la </w:t>
      </w:r>
      <w:r w:rsidRPr="004F117F">
        <w:rPr>
          <w:rFonts w:cs="Times New Roman"/>
          <w:i/>
          <w:lang w:val="fr-CA"/>
        </w:rPr>
        <w:t xml:space="preserve">Loi </w:t>
      </w:r>
      <w:r w:rsidRPr="004F117F">
        <w:rPr>
          <w:rFonts w:cs="Times New Roman"/>
          <w:lang w:val="fr-CA"/>
        </w:rPr>
        <w:t>imposait aux employeurs des obligations légales continues pour ce qui est de mesurer et de corriger les iniquités salariales, et prévoyait des mécanismes pour assurer le respect de ces obligations.</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La </w:t>
      </w:r>
      <w:r w:rsidRPr="004F117F">
        <w:rPr>
          <w:rFonts w:cs="Times New Roman"/>
          <w:i/>
          <w:lang w:val="fr-CA"/>
        </w:rPr>
        <w:t xml:space="preserve">Loi </w:t>
      </w:r>
      <w:r w:rsidRPr="004F117F">
        <w:rPr>
          <w:rFonts w:cs="Times New Roman"/>
          <w:lang w:val="fr-CA"/>
        </w:rPr>
        <w:t>s’applique à tout employeur — du secteur public et du secteur privé — qui compte 10 salariés ou plus</w:t>
      </w:r>
      <w:r w:rsidRPr="00F118AA">
        <w:rPr>
          <w:rStyle w:val="Hyperlink"/>
          <w:u w:val="none"/>
          <w:vertAlign w:val="superscript"/>
        </w:rPr>
        <w:footnoteReference w:id="3"/>
      </w:r>
      <w:r w:rsidRPr="004F117F">
        <w:rPr>
          <w:rFonts w:cs="Times New Roman"/>
          <w:lang w:val="fr-CA"/>
        </w:rPr>
        <w:t xml:space="preserve">. Quel que soit le nombre de salariés de l’entreprise, tout employeur doit produire une déclaration relative à l’application de la </w:t>
      </w:r>
      <w:r w:rsidRPr="004F117F">
        <w:rPr>
          <w:rFonts w:cs="Times New Roman"/>
          <w:i/>
          <w:lang w:val="fr-CA"/>
        </w:rPr>
        <w:t xml:space="preserve">Loi </w:t>
      </w:r>
      <w:r w:rsidRPr="004F117F">
        <w:rPr>
          <w:rFonts w:cs="Times New Roman"/>
          <w:lang w:val="fr-CA"/>
        </w:rPr>
        <w:t>dans son entreprise (art. 4). Les employeurs qui ont entre 10 et 49 salariés à leur service doivent déterminer et faire les ajustements salariaux néces</w:t>
      </w:r>
      <w:r w:rsidR="00FC3D22">
        <w:rPr>
          <w:rFonts w:cs="Times New Roman"/>
          <w:lang w:val="fr-CA"/>
        </w:rPr>
        <w:t>saires afin d’</w:t>
      </w:r>
      <w:r w:rsidRPr="004F117F">
        <w:rPr>
          <w:rFonts w:cs="Times New Roman"/>
          <w:lang w:val="fr-CA"/>
        </w:rPr>
        <w:t xml:space="preserve">« accorder, pour un travail équivalent, la même rémunération » (art. 34). Tous les employeurs ayant entre 50 et 99 salariés à leur service doivent créer un programme d’équité salariale (art. 31), lequel doit comprendre notamment l’identification des catégories d’emplois à prédominance féminine, la méthode de comparaison et d’évaluation utilisée et les </w:t>
      </w:r>
      <w:r w:rsidRPr="004F117F">
        <w:rPr>
          <w:rFonts w:cs="Times New Roman"/>
          <w:lang w:val="fr-CA"/>
        </w:rPr>
        <w:lastRenderedPageBreak/>
        <w:t>modalités de versement des ajustements salariaux (art. 50). Les plus importants employeurs (ceux de 100 salariés ou plus) doivent instituer un comité d’équité salariale au sein duquel leurs salariés sont représentés (art. 16).</w:t>
      </w:r>
    </w:p>
    <w:p w:rsidR="00C208DD" w:rsidRPr="004F117F" w:rsidRDefault="00C208DD" w:rsidP="00637E44">
      <w:pPr>
        <w:pStyle w:val="ParaNoNdepar-AltN"/>
        <w:widowControl w:val="0"/>
        <w:rPr>
          <w:rFonts w:cs="Times New Roman"/>
          <w:lang w:val="fr-CA"/>
        </w:rPr>
      </w:pPr>
      <w:r w:rsidRPr="004F117F">
        <w:rPr>
          <w:rFonts w:cs="Times New Roman"/>
          <w:lang w:val="fr-CA"/>
        </w:rPr>
        <w:t>En vertu des art. 40 à 43, maintenant abrogés, les employeurs avaient l’obligation continue de maintenir l’équité salariale et de faire les ajustements salariaux nécessaires :</w:t>
      </w:r>
    </w:p>
    <w:p w:rsidR="00C208DD" w:rsidRPr="004F117F" w:rsidRDefault="00C208DD" w:rsidP="00637E44">
      <w:pPr>
        <w:pStyle w:val="Citation-AltC"/>
        <w:widowControl w:val="0"/>
        <w:spacing w:after="240"/>
        <w:ind w:hanging="1166"/>
        <w:contextualSpacing w:val="0"/>
        <w:rPr>
          <w:rFonts w:eastAsiaTheme="minorEastAsia"/>
          <w:lang w:val="fr-CA"/>
        </w:rPr>
      </w:pPr>
      <w:r w:rsidRPr="004F117F">
        <w:rPr>
          <w:rFonts w:eastAsiaTheme="minorEastAsia"/>
          <w:b/>
          <w:lang w:val="fr-CA"/>
        </w:rPr>
        <w:tab/>
        <w:t>40.</w:t>
      </w:r>
      <w:r w:rsidRPr="004F117F">
        <w:rPr>
          <w:rFonts w:eastAsiaTheme="minorEastAsia"/>
          <w:lang w:val="fr-CA"/>
        </w:rPr>
        <w:t> L’employeur doit, après que des ajustements salariaux ont été déterminés ou qu’un programme d’équité salariale a été complété, maintenir l’équité salariale dans son entreprise.</w:t>
      </w:r>
    </w:p>
    <w:p w:rsidR="00C208DD" w:rsidRPr="004F117F" w:rsidRDefault="00C208DD" w:rsidP="00637E44">
      <w:pPr>
        <w:pStyle w:val="Citation-AltC"/>
        <w:widowControl w:val="0"/>
        <w:spacing w:after="240"/>
        <w:ind w:hanging="1166"/>
        <w:contextualSpacing w:val="0"/>
        <w:rPr>
          <w:rFonts w:eastAsiaTheme="minorEastAsia"/>
          <w:lang w:val="fr-CA"/>
        </w:rPr>
      </w:pPr>
      <w:r w:rsidRPr="004F117F">
        <w:rPr>
          <w:rFonts w:eastAsiaTheme="minorEastAsia"/>
          <w:lang w:val="fr-CA"/>
        </w:rPr>
        <w:tab/>
        <w:t>Il doit notamment s’assurer de ce maintien lors de la création de nouveaux emplois ou de nouvelles catégories d’emplois, lors de modifications aux emplois existants ou aux conditions qui leur sont applicables ou lors de la négociation ou du renouvellement d’une convention collective. Lors de cette négociation ou de ce renouvellement, l’association accréditée en cause ou, le cas échéant, l’agent négociateur nommé en vertu de la Loi sur le régime de négociation des conventions collectives dans les secteurs public et parapublic</w:t>
      </w:r>
      <w:r w:rsidRPr="004F117F">
        <w:rPr>
          <w:rFonts w:eastAsiaTheme="minorEastAsia"/>
          <w:i/>
          <w:lang w:val="fr-CA"/>
        </w:rPr>
        <w:t xml:space="preserve"> </w:t>
      </w:r>
      <w:r w:rsidRPr="004F117F">
        <w:rPr>
          <w:lang w:val="fr-CA" w:eastAsia="en-US"/>
        </w:rPr>
        <w:t>(chapitre R</w:t>
      </w:r>
      <w:r w:rsidRPr="004F117F">
        <w:rPr>
          <w:lang w:val="fr-CA" w:eastAsia="en-US"/>
        </w:rPr>
        <w:noBreakHyphen/>
        <w:t>8.2</w:t>
      </w:r>
      <w:r w:rsidRPr="004F117F">
        <w:rPr>
          <w:rFonts w:eastAsiaTheme="minorEastAsia"/>
          <w:lang w:val="fr-CA"/>
        </w:rPr>
        <w:t>) doit aussi s’assurer du maintien de l’équité salariale. [Modifié par 2006, c. 6, art. 7.]</w:t>
      </w:r>
    </w:p>
    <w:p w:rsidR="00C208DD" w:rsidRPr="004F117F" w:rsidRDefault="00C208DD" w:rsidP="00637E44">
      <w:pPr>
        <w:pStyle w:val="Citation-AltC"/>
        <w:widowControl w:val="0"/>
        <w:spacing w:after="240"/>
        <w:ind w:hanging="1166"/>
        <w:contextualSpacing w:val="0"/>
        <w:jc w:val="center"/>
        <w:rPr>
          <w:rFonts w:eastAsiaTheme="minorEastAsia"/>
          <w:lang w:val="fr-CA"/>
        </w:rPr>
      </w:pPr>
      <w:r w:rsidRPr="004F117F">
        <w:rPr>
          <w:rFonts w:eastAsiaTheme="minorEastAsia"/>
          <w:lang w:val="fr-CA"/>
        </w:rPr>
        <w:tab/>
        <w:t>. . .</w:t>
      </w:r>
      <w:r w:rsidRPr="00F118AA">
        <w:rPr>
          <w:rStyle w:val="Hyperlink"/>
          <w:rFonts w:eastAsiaTheme="minorEastAsia"/>
          <w:u w:val="none"/>
          <w:vertAlign w:val="superscript"/>
        </w:rPr>
        <w:footnoteReference w:id="4"/>
      </w:r>
    </w:p>
    <w:p w:rsidR="00C208DD" w:rsidRPr="004F117F" w:rsidRDefault="00C208DD" w:rsidP="00637E44">
      <w:pPr>
        <w:pStyle w:val="Citation-AltC"/>
        <w:widowControl w:val="0"/>
        <w:ind w:hanging="1166"/>
        <w:rPr>
          <w:rFonts w:eastAsiaTheme="minorEastAsia"/>
          <w:lang w:val="fr-CA"/>
        </w:rPr>
      </w:pPr>
      <w:r w:rsidRPr="004F117F">
        <w:rPr>
          <w:rFonts w:eastAsiaTheme="minorEastAsia"/>
          <w:b/>
          <w:lang w:val="fr-CA"/>
        </w:rPr>
        <w:tab/>
        <w:t>43.</w:t>
      </w:r>
      <w:r w:rsidRPr="004F117F">
        <w:rPr>
          <w:rFonts w:eastAsiaTheme="minorEastAsia"/>
          <w:lang w:val="fr-CA"/>
        </w:rPr>
        <w:t xml:space="preserve"> Lorsque, à la suite de changements survenus dans l’entreprise, les </w:t>
      </w:r>
      <w:r w:rsidRPr="004F117F">
        <w:rPr>
          <w:rFonts w:eastAsiaTheme="minorEastAsia"/>
          <w:lang w:val="fr-CA"/>
        </w:rPr>
        <w:lastRenderedPageBreak/>
        <w:t>ajustements salariaux ou le programme d’équité salariale ne permettent plus d’assurer le maintien de l’équité salariale, l’employeur doit apporter les modifications nécessaires pour maintenir l’équité salariale.</w:t>
      </w:r>
    </w:p>
    <w:p w:rsidR="00C208DD" w:rsidRPr="004F117F" w:rsidRDefault="00C208DD" w:rsidP="00637E44">
      <w:pPr>
        <w:pStyle w:val="ParaNoNdepar-AltN"/>
        <w:widowControl w:val="0"/>
        <w:rPr>
          <w:rFonts w:cs="Times New Roman"/>
          <w:lang w:val="fr-CA"/>
        </w:rPr>
      </w:pPr>
      <w:r w:rsidRPr="004F117F">
        <w:rPr>
          <w:rFonts w:cs="Times New Roman"/>
          <w:lang w:val="fr-CA"/>
        </w:rPr>
        <w:t>L’article 40 confirmait que l’obligation de maintenir l’équité salariale était déclenchée par certains changements dans l’entreprise, comme « lors de la création de nouveaux emplois ou de nouvelles catégories d’emplois, lors de modifications aux emplois existants ou aux conditions qui leur sont applicables ou lors de la négociation ou du renouvellement d’une convention collective ». Lorsque de tels changements se produisaient, l’employeur était tenu de faire les ajustements salariaux nécessaires de façon prospective. Pour remédier à l’omission de l’employeur de maintenir l’équité salariale conformément aux art. 40 à 43, il fallait recourir au processus de plainte :</w:t>
      </w:r>
    </w:p>
    <w:p w:rsidR="00C208DD" w:rsidRPr="004F117F" w:rsidRDefault="00C208DD" w:rsidP="00637E44">
      <w:pPr>
        <w:pStyle w:val="Citation-AltC"/>
        <w:widowControl w:val="0"/>
        <w:ind w:hanging="1166"/>
        <w:contextualSpacing w:val="0"/>
        <w:rPr>
          <w:rFonts w:eastAsiaTheme="minorEastAsia"/>
          <w:lang w:val="fr-CA"/>
        </w:rPr>
      </w:pPr>
      <w:r w:rsidRPr="004F117F">
        <w:rPr>
          <w:rFonts w:eastAsiaTheme="minorEastAsia"/>
          <w:b/>
          <w:lang w:val="fr-CA"/>
        </w:rPr>
        <w:tab/>
        <w:t>100.</w:t>
      </w:r>
      <w:r w:rsidRPr="004F117F">
        <w:rPr>
          <w:rFonts w:eastAsiaTheme="minorEastAsia"/>
          <w:lang w:val="fr-CA"/>
        </w:rPr>
        <w:t> Sur réception d’une plainte d’un salarié ou d’une association accréditée représentant des salariés d’une entreprise alléguant que l’équité salariale n’est pas maintenue dans une entreprise, la Commission doit faire enquête et, le cas échéant, déterminer toute mesure qui doit être prise, y compris l’établissement d’un programme d’équité salariale, pour remédier au défaut. Les ajustements salariaux requis, le cas échéant, portent intérêt au taux légal à compter du moment où ils auraient dû être versés.</w:t>
      </w:r>
    </w:p>
    <w:p w:rsidR="00C208DD" w:rsidRPr="004F117F" w:rsidRDefault="00C208DD" w:rsidP="00637E44">
      <w:pPr>
        <w:pStyle w:val="ParaNoNdepar-AltN"/>
        <w:widowControl w:val="0"/>
        <w:rPr>
          <w:rFonts w:cs="Times New Roman"/>
          <w:lang w:val="fr-CA"/>
        </w:rPr>
      </w:pPr>
      <w:r w:rsidRPr="004F117F">
        <w:rPr>
          <w:rFonts w:cs="Times New Roman"/>
          <w:lang w:val="fr-CA"/>
        </w:rPr>
        <w:t>La Commission de l’équité salariale avait donc le devoir d’enquêter sur les plaintes concernant l’omission de l’employeur de maintenir l’équité salariale. Si elle concluait qu’il y avait eu manquement à l’obligation de maintenir l’équité salariale, la Commission avait le pouvoir d’ordonner des ajustements salariaux rétroactivement à la date à laquelle l’iniquité salariale était réapparue.</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Malgré les échéances précises prévues par la </w:t>
      </w:r>
      <w:r w:rsidRPr="004F117F">
        <w:rPr>
          <w:rFonts w:cs="Times New Roman"/>
          <w:i/>
          <w:lang w:val="fr-CA"/>
        </w:rPr>
        <w:t>Loi</w:t>
      </w:r>
      <w:r w:rsidRPr="004F117F">
        <w:rPr>
          <w:rFonts w:cs="Times New Roman"/>
          <w:lang w:val="fr-CA"/>
        </w:rPr>
        <w:t xml:space="preserve">, 10 ans après l’adoption </w:t>
      </w:r>
      <w:r w:rsidRPr="004F117F">
        <w:rPr>
          <w:rFonts w:cs="Times New Roman"/>
          <w:lang w:val="fr-CA"/>
        </w:rPr>
        <w:lastRenderedPageBreak/>
        <w:t>de celle</w:t>
      </w:r>
      <w:r w:rsidRPr="004F117F">
        <w:rPr>
          <w:rFonts w:cs="Times New Roman"/>
          <w:lang w:val="fr-CA"/>
        </w:rPr>
        <w:noBreakHyphen/>
        <w:t>ci, seulement 47 p. 100 des employeurs avaient établi un programme d’équité salariale. Parmi ceux qui ne l’avaient pas fait, 38 p. 100 n’avaient pas entamé le processus visant à établir un tel programme. Devant l’ampleur du non</w:t>
      </w:r>
      <w:r w:rsidRPr="004F117F">
        <w:rPr>
          <w:rFonts w:cs="Times New Roman"/>
          <w:lang w:val="fr-CA"/>
        </w:rPr>
        <w:noBreakHyphen/>
        <w:t xml:space="preserve">respect de la </w:t>
      </w:r>
      <w:r w:rsidRPr="004F117F">
        <w:rPr>
          <w:rFonts w:cs="Times New Roman"/>
          <w:i/>
          <w:lang w:val="fr-CA"/>
        </w:rPr>
        <w:t>Loi</w:t>
      </w:r>
      <w:r w:rsidRPr="004F117F">
        <w:rPr>
          <w:rFonts w:cs="Times New Roman"/>
          <w:lang w:val="fr-CA"/>
        </w:rPr>
        <w:t>, le Québec a décidé de réduire l’obligation des employeurs de maintenir l’équité salariale dans l’espoir qu’il les inciterait ainsi à respecter celle</w:t>
      </w:r>
      <w:r w:rsidRPr="004F117F">
        <w:rPr>
          <w:rFonts w:cs="Times New Roman"/>
          <w:lang w:val="fr-CA"/>
        </w:rPr>
        <w:noBreakHyphen/>
        <w:t xml:space="preserve">ci davantage. Il a donc adopté en 2009 la </w:t>
      </w:r>
      <w:r w:rsidRPr="004F117F">
        <w:rPr>
          <w:rFonts w:cs="Times New Roman"/>
          <w:i/>
          <w:lang w:val="fr-CA"/>
        </w:rPr>
        <w:t>Loi modifiant la Loi sur l’équité salariale</w:t>
      </w:r>
      <w:r w:rsidRPr="004F117F">
        <w:rPr>
          <w:rFonts w:cs="Times New Roman"/>
          <w:lang w:val="fr-CA"/>
        </w:rPr>
        <w:t xml:space="preserve">. Notre Cour ne dispose d’aucune preuve sur la question de savoir si les modifications ont mené à un respect accru de la </w:t>
      </w:r>
      <w:r w:rsidRPr="004F117F">
        <w:rPr>
          <w:rFonts w:cs="Times New Roman"/>
          <w:i/>
          <w:lang w:val="fr-CA"/>
        </w:rPr>
        <w:t>Loi</w:t>
      </w:r>
      <w:r w:rsidRPr="004F117F">
        <w:rPr>
          <w:rFonts w:cs="Times New Roman"/>
          <w:lang w:val="fr-CA"/>
        </w:rPr>
        <w:t>.</w:t>
      </w:r>
    </w:p>
    <w:p w:rsidR="00C208DD" w:rsidRPr="004F117F" w:rsidRDefault="00C208DD" w:rsidP="00637E44">
      <w:pPr>
        <w:pStyle w:val="ParaNoNdepar-AltN"/>
        <w:widowControl w:val="0"/>
        <w:rPr>
          <w:rFonts w:cs="Times New Roman"/>
          <w:lang w:val="fr-CA"/>
        </w:rPr>
      </w:pPr>
      <w:r w:rsidRPr="004F117F">
        <w:rPr>
          <w:rFonts w:cs="Times New Roman"/>
          <w:lang w:val="fr-CA"/>
        </w:rPr>
        <w:t>Les modifications en cause dans le présent pourvoi sont les suivantes :</w:t>
      </w:r>
    </w:p>
    <w:p w:rsidR="00C208DD" w:rsidRPr="004F117F" w:rsidRDefault="00C208DD" w:rsidP="00637E44">
      <w:pPr>
        <w:pStyle w:val="Citation-AltC"/>
        <w:widowControl w:val="0"/>
        <w:numPr>
          <w:ilvl w:val="0"/>
          <w:numId w:val="10"/>
        </w:numPr>
        <w:spacing w:after="480" w:line="480" w:lineRule="auto"/>
        <w:ind w:left="720" w:hanging="720"/>
        <w:contextualSpacing w:val="0"/>
        <w:rPr>
          <w:lang w:val="fr-CA"/>
        </w:rPr>
      </w:pPr>
      <w:r w:rsidRPr="004F117F">
        <w:rPr>
          <w:lang w:val="fr-CA"/>
        </w:rPr>
        <w:t>Abrogation des art. 40 à 43, ayant pour effet d’abolir l’obligation continue des employeurs de maintenir l’équité salariale</w:t>
      </w:r>
      <w:r w:rsidRPr="004F117F">
        <w:rPr>
          <w:vertAlign w:val="superscript"/>
          <w:lang w:val="fr-CA"/>
        </w:rPr>
        <w:footnoteReference w:id="5"/>
      </w:r>
      <w:r w:rsidRPr="004F117F">
        <w:rPr>
          <w:lang w:val="fr-CA"/>
        </w:rPr>
        <w:t>;</w:t>
      </w:r>
    </w:p>
    <w:p w:rsidR="00C208DD" w:rsidRPr="004F117F" w:rsidRDefault="00C208DD" w:rsidP="00637E44">
      <w:pPr>
        <w:pStyle w:val="Citation-AltC"/>
        <w:widowControl w:val="0"/>
        <w:numPr>
          <w:ilvl w:val="0"/>
          <w:numId w:val="10"/>
        </w:numPr>
        <w:spacing w:after="480" w:line="480" w:lineRule="auto"/>
        <w:ind w:left="720" w:hanging="720"/>
        <w:contextualSpacing w:val="0"/>
        <w:rPr>
          <w:lang w:val="fr-CA"/>
        </w:rPr>
      </w:pPr>
      <w:r w:rsidRPr="004F117F">
        <w:rPr>
          <w:lang w:val="fr-CA"/>
        </w:rPr>
        <w:t>Ajout des art. 76.1 à 76.11, qui exigent des évaluations tous les cinq ans du maintien de l’équité salariale et établissent un processus d’évaluation</w:t>
      </w:r>
      <w:r w:rsidRPr="00F118AA">
        <w:rPr>
          <w:rStyle w:val="Hyperlink"/>
          <w:u w:val="none"/>
          <w:vertAlign w:val="superscript"/>
        </w:rPr>
        <w:footnoteReference w:id="6"/>
      </w:r>
      <w:r w:rsidRPr="004F117F">
        <w:rPr>
          <w:lang w:val="fr-CA"/>
        </w:rPr>
        <w:t>;</w:t>
      </w:r>
    </w:p>
    <w:p w:rsidR="00C208DD" w:rsidRPr="004F117F" w:rsidRDefault="00C208DD" w:rsidP="00637E44">
      <w:pPr>
        <w:pStyle w:val="Citation-AltC"/>
        <w:widowControl w:val="0"/>
        <w:numPr>
          <w:ilvl w:val="0"/>
          <w:numId w:val="10"/>
        </w:numPr>
        <w:spacing w:after="480" w:line="480" w:lineRule="auto"/>
        <w:ind w:left="720" w:hanging="720"/>
        <w:contextualSpacing w:val="0"/>
        <w:rPr>
          <w:lang w:val="fr-CA"/>
        </w:rPr>
      </w:pPr>
      <w:r w:rsidRPr="004F117F">
        <w:rPr>
          <w:lang w:val="fr-CA"/>
        </w:rPr>
        <w:t>Ajout de l’art. 103.1 al. 2, qui empêche l’octroi de réparations rétroactives pour la période comprise entre les évaluations</w:t>
      </w:r>
      <w:r w:rsidRPr="00F118AA">
        <w:rPr>
          <w:rStyle w:val="Hyperlink"/>
          <w:u w:val="none"/>
          <w:vertAlign w:val="superscript"/>
        </w:rPr>
        <w:footnoteReference w:id="7"/>
      </w:r>
      <w:r w:rsidRPr="004F117F">
        <w:rPr>
          <w:lang w:val="fr-CA"/>
        </w:rPr>
        <w:t>.</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L’article 76.1 dispose que les employeurs doivent, après qu’un programme </w:t>
      </w:r>
      <w:r w:rsidRPr="004F117F">
        <w:rPr>
          <w:rFonts w:cs="Times New Roman"/>
          <w:lang w:val="fr-CA"/>
        </w:rPr>
        <w:lastRenderedPageBreak/>
        <w:t>d’équité salariale a été établi, évaluer tous les cinq ans le maintien de l’équité salariale dans leur entreprise. Les résultats de cette évaluation doivent être affichés pendant 60 jours. L’affichage doit inclure un sommaire de la démarche retenue pour l’évaluation ainsi que la liste des événements ayant généré des ajustements. Il n’est cependant pas nécessaire que l’évaluation affichée indique la date à laquelle l’iniquité salariale est apparue (art. 76.3). Les salariés peuvent demander des renseignements additionnels dans les 60 jours qui suivent l’affichage (art. 76.4).</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Les ajustements salariaux — majorés de l’intérêt — s’appliquent à compter de la date de l’affichage (art. 76.5). La Commission de l’équité salariale ne peut déterminer des ajustements salariaux </w:t>
      </w:r>
      <w:r w:rsidRPr="004F117F">
        <w:rPr>
          <w:rFonts w:cs="Times New Roman"/>
          <w:i/>
          <w:lang w:val="fr-CA"/>
        </w:rPr>
        <w:t>antérieurs</w:t>
      </w:r>
      <w:r w:rsidRPr="004F117F">
        <w:rPr>
          <w:rFonts w:cs="Times New Roman"/>
          <w:lang w:val="fr-CA"/>
        </w:rPr>
        <w:t xml:space="preserve"> à la date de l’affichage de l’évaluation (art. 103.1 al. 2). Si, toutefois, un employeur agit de mauvaise foi ou de façon arbitraire ou discriminatoire, les ajustements salariaux et l’intérêt s’appliquent à compter de la date de cette conduite (art. 76.9) et la Commission de l’équité salariale peut tirer une conclusion en ce sens (art. 101 al. 3).</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Les syndicats ont intenté une action devant la Cour supérieure du Québec en vue d’obtenir un jugement déclaratoire portant que ces modifications violaient l’art. 15 de la </w:t>
      </w:r>
      <w:r w:rsidRPr="004F117F">
        <w:rPr>
          <w:rFonts w:cs="Times New Roman"/>
          <w:i/>
          <w:lang w:val="fr-CA"/>
        </w:rPr>
        <w:t>Charte</w:t>
      </w:r>
      <w:r w:rsidRPr="004F117F">
        <w:rPr>
          <w:rFonts w:cs="Times New Roman"/>
          <w:lang w:val="fr-CA"/>
        </w:rPr>
        <w:t>.</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Selon le juge de première instance, il n’existait aucun problème inhérent de nature constitutionnelle dans la décision du Québec d’abroger les art. 40 à 43 et d’imposer à la place un système d’évaluations périodiques obligatoires (2014 QCCS 149). Il a toutefois convenu avec les syndicats que l’ajout de l’art. 76.5 portait atteinte </w:t>
      </w:r>
      <w:r w:rsidRPr="004F117F">
        <w:rPr>
          <w:rFonts w:cs="Times New Roman"/>
          <w:lang w:val="fr-CA"/>
        </w:rPr>
        <w:lastRenderedPageBreak/>
        <w:t xml:space="preserve">à l’art. 15 de la </w:t>
      </w:r>
      <w:r w:rsidRPr="004F117F">
        <w:rPr>
          <w:rFonts w:cs="Times New Roman"/>
          <w:i/>
          <w:lang w:val="fr-CA"/>
        </w:rPr>
        <w:t>Charte</w:t>
      </w:r>
      <w:r w:rsidRPr="004F117F">
        <w:rPr>
          <w:rFonts w:cs="Times New Roman"/>
          <w:lang w:val="fr-CA"/>
        </w:rPr>
        <w:t xml:space="preserve"> parce que le refus des paiements rétroactifs dans le cas des iniquités salariales apparues au cours de la période comprise entre les évaluations entraînait des pertes financières importantes pour les femmes et perpétuait indûment l’iniquité salariale. Il a aussi conclu que l’art. 76.3 violait l’art. 15 parce que les employeurs n’étaient pas tenus d’indiquer la date des changements dans les évaluations affichées et que les salariés ne pouvaient donc pas savoir quand les ajustements salariaux devaient commencer. La déclaration d’invalidité a été suspendue pour une période d’un an.</w:t>
      </w:r>
    </w:p>
    <w:p w:rsidR="00C208DD" w:rsidRPr="004F117F" w:rsidRDefault="00C208DD" w:rsidP="00637E44">
      <w:pPr>
        <w:pStyle w:val="ParaNoNdepar-AltN"/>
        <w:widowControl w:val="0"/>
        <w:rPr>
          <w:rFonts w:cs="Times New Roman"/>
          <w:lang w:val="fr-CA"/>
        </w:rPr>
      </w:pPr>
      <w:r w:rsidRPr="004F117F">
        <w:rPr>
          <w:rFonts w:cs="Times New Roman"/>
          <w:lang w:val="fr-CA"/>
        </w:rPr>
        <w:t>La Cour d’appel a confirmé la conclusion du juge de première instance selon laquelle les art. 76.3 et 76.5 perpétuent un désavantage pour les femmes en préservant le statu quo concernant une iniquité salariale et en accordant aux employeurs une amnistie pouvant aller jusqu’à cinq ans (2016 QCCA 1659). Elle a en outre conclu que l’art. 103.1 al. 2 — la disposition qui empêche la Commission de l’équité salariale d’ordonner le versement rétroactif d’ajustements salariaux — violait l’art. 15. Pour les besoins de la discussion, elle a convenu que les modifications de 2009 avaient comme objectif « d’améliorer et de renforcer un régime antérieur inefficace, particulièrement en ce qui concerne le maintien de l’équité salariale » (par. 85 (CanLII)), mais elle a jugé que les art. 76.3 et 76.5 et, par voie de conséquence, l’art. 103.1 al. 2, n’étaient pas rationnellement liés à cet objectif, ne constituaient pas une atteinte minimale et n’étaient pas proportionnés à celui</w:t>
      </w:r>
      <w:r w:rsidRPr="004F117F">
        <w:rPr>
          <w:rFonts w:cs="Times New Roman"/>
          <w:lang w:val="fr-CA"/>
        </w:rPr>
        <w:noBreakHyphen/>
        <w:t>ci.</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Je conviens avec la Cour d’appel que les art. 76.3, 76.5 et 103.1 al. 2 sont </w:t>
      </w:r>
      <w:r w:rsidRPr="004F117F">
        <w:rPr>
          <w:rFonts w:cs="Times New Roman"/>
          <w:lang w:val="fr-CA"/>
        </w:rPr>
        <w:lastRenderedPageBreak/>
        <w:t>inconstitutionnels.</w:t>
      </w:r>
    </w:p>
    <w:p w:rsidR="00C208DD" w:rsidRPr="004F117F" w:rsidRDefault="00C208DD" w:rsidP="00637E44">
      <w:pPr>
        <w:pStyle w:val="Title1LevelTitre1Niveau-AltL"/>
        <w:widowControl w:val="0"/>
        <w:rPr>
          <w:rFonts w:cs="Times New Roman"/>
          <w:lang w:val="fr-CA"/>
        </w:rPr>
      </w:pPr>
      <w:r w:rsidRPr="004F117F">
        <w:rPr>
          <w:rFonts w:cs="Times New Roman"/>
          <w:lang w:val="fr-CA"/>
        </w:rPr>
        <w:t>Analyse</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Le paragraphe 15(1) de la </w:t>
      </w:r>
      <w:r w:rsidRPr="004F117F">
        <w:rPr>
          <w:rFonts w:cs="Times New Roman"/>
          <w:i/>
          <w:lang w:val="fr-CA"/>
        </w:rPr>
        <w:t>Charte</w:t>
      </w:r>
      <w:r w:rsidRPr="004F117F">
        <w:rPr>
          <w:rFonts w:cs="Times New Roman"/>
          <w:lang w:val="fr-CA"/>
        </w:rPr>
        <w:t xml:space="preserve"> est libellé comme suit :</w:t>
      </w:r>
    </w:p>
    <w:p w:rsidR="00C208DD" w:rsidRPr="004F117F" w:rsidRDefault="00C208DD" w:rsidP="00637E44">
      <w:pPr>
        <w:pStyle w:val="Citation-AltC"/>
        <w:widowControl w:val="0"/>
        <w:ind w:hanging="1166"/>
        <w:contextualSpacing w:val="0"/>
        <w:rPr>
          <w:lang w:val="fr-CA"/>
        </w:rPr>
      </w:pPr>
      <w:r w:rsidRPr="004F117F">
        <w:rPr>
          <w:lang w:val="fr-CA"/>
        </w:rPr>
        <w:tab/>
      </w:r>
      <w:r w:rsidR="00E13C23">
        <w:rPr>
          <w:lang w:val="fr-CA"/>
        </w:rPr>
        <w:tab/>
      </w:r>
      <w:r w:rsidRPr="004F117F">
        <w:rPr>
          <w:lang w:val="fr-CA"/>
        </w:rPr>
        <w:t>La loi ne fait acception de personne et s’applique également à tous, et tous ont droit à la même protection et au même bénéfice de la loi, indépendamment de toute discrimination, notamment des discriminations fondées sur la race, l’origine nationale ou ethnique, la couleur, la religion, le sexe, l’âge ou les déficiences mentales ou physiques.</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Depuis l’arrêt </w:t>
      </w:r>
      <w:r w:rsidRPr="004F117F">
        <w:rPr>
          <w:rFonts w:cs="Times New Roman"/>
          <w:i/>
          <w:lang w:val="fr-CA"/>
        </w:rPr>
        <w:t>Andrews c. Law Society of British Columbia</w:t>
      </w:r>
      <w:r w:rsidRPr="004F117F">
        <w:rPr>
          <w:rFonts w:cs="Times New Roman"/>
          <w:lang w:val="fr-CA"/>
        </w:rPr>
        <w:t>,</w:t>
      </w:r>
      <w:r w:rsidRPr="004F117F">
        <w:rPr>
          <w:rFonts w:cs="Times New Roman"/>
          <w:i/>
          <w:lang w:val="fr-CA"/>
        </w:rPr>
        <w:t xml:space="preserve"> </w:t>
      </w:r>
      <w:r w:rsidRPr="004F117F">
        <w:rPr>
          <w:rFonts w:cs="Times New Roman"/>
          <w:lang w:val="fr-CA"/>
        </w:rPr>
        <w:t>[1989] 1 R.C.S. 143, notre Cour a insisté sur l’égalité réelle comme moteur de l’analyse fondée sur l’art. 15 (</w:t>
      </w:r>
      <w:r w:rsidRPr="004F117F">
        <w:rPr>
          <w:rFonts w:cs="Times New Roman"/>
          <w:i/>
          <w:lang w:val="fr-CA"/>
        </w:rPr>
        <w:t>R. c. Kapp</w:t>
      </w:r>
      <w:r w:rsidRPr="004F117F">
        <w:rPr>
          <w:rFonts w:cs="Times New Roman"/>
          <w:lang w:val="fr-CA"/>
        </w:rPr>
        <w:t xml:space="preserve">, [2008] 2 R.C.S. 483; </w:t>
      </w:r>
      <w:r w:rsidRPr="004F117F">
        <w:rPr>
          <w:rFonts w:cs="Times New Roman"/>
          <w:i/>
          <w:lang w:val="fr-CA"/>
        </w:rPr>
        <w:t>Québec (Procureur général) c. A</w:t>
      </w:r>
      <w:r w:rsidRPr="004F117F">
        <w:rPr>
          <w:rFonts w:cs="Times New Roman"/>
          <w:lang w:val="fr-CA"/>
        </w:rPr>
        <w:t>,</w:t>
      </w:r>
      <w:r w:rsidRPr="004F117F">
        <w:rPr>
          <w:rFonts w:cs="Times New Roman"/>
          <w:i/>
          <w:lang w:val="fr-CA"/>
        </w:rPr>
        <w:t xml:space="preserve"> </w:t>
      </w:r>
      <w:r w:rsidRPr="004F117F">
        <w:rPr>
          <w:rFonts w:cs="Times New Roman"/>
          <w:lang w:val="fr-CA"/>
        </w:rPr>
        <w:t xml:space="preserve">[2013] 1 R.C.S. 61; </w:t>
      </w:r>
      <w:r w:rsidRPr="004F117F">
        <w:rPr>
          <w:rFonts w:cs="Times New Roman"/>
          <w:i/>
          <w:lang w:val="fr-CA"/>
        </w:rPr>
        <w:t>Première Nation de</w:t>
      </w:r>
      <w:r w:rsidRPr="004F117F">
        <w:rPr>
          <w:rFonts w:cs="Times New Roman"/>
          <w:lang w:val="fr-CA"/>
        </w:rPr>
        <w:t xml:space="preserve"> </w:t>
      </w:r>
      <w:r w:rsidRPr="004F117F">
        <w:rPr>
          <w:rFonts w:cs="Times New Roman"/>
          <w:i/>
          <w:lang w:val="fr-CA"/>
        </w:rPr>
        <w:t>Kahkewistahaw c. Taypotat</w:t>
      </w:r>
      <w:r w:rsidRPr="004F117F">
        <w:rPr>
          <w:rFonts w:cs="Times New Roman"/>
          <w:lang w:val="fr-CA"/>
        </w:rPr>
        <w:t xml:space="preserve">, [2015] 2 R.C.S. 548). Le critère pour savoir s’il y a violation </w:t>
      </w:r>
      <w:r w:rsidRPr="004F117F">
        <w:rPr>
          <w:rFonts w:cs="Times New Roman"/>
          <w:i/>
          <w:lang w:val="fr-CA"/>
        </w:rPr>
        <w:t>prima facie</w:t>
      </w:r>
      <w:r w:rsidRPr="004F117F">
        <w:rPr>
          <w:rFonts w:cs="Times New Roman"/>
          <w:lang w:val="fr-CA"/>
        </w:rPr>
        <w:t xml:space="preserve"> de l’art. 15 comporte deux étapes : la loi contestée crée</w:t>
      </w:r>
      <w:r w:rsidRPr="004F117F">
        <w:rPr>
          <w:rFonts w:cs="Times New Roman"/>
          <w:lang w:val="fr-CA"/>
        </w:rPr>
        <w:noBreakHyphen/>
        <w:t>t</w:t>
      </w:r>
      <w:r w:rsidRPr="004F117F">
        <w:rPr>
          <w:rFonts w:cs="Times New Roman"/>
          <w:lang w:val="fr-CA"/>
        </w:rPr>
        <w:noBreakHyphen/>
        <w:t>elle, à première vue ou de par son effet, une distinction fondée sur un motif énuméré ou analogue, et, dans l’affirmative, la loi impose</w:t>
      </w:r>
      <w:r w:rsidRPr="004F117F">
        <w:rPr>
          <w:rFonts w:cs="Times New Roman"/>
          <w:lang w:val="fr-CA"/>
        </w:rPr>
        <w:noBreakHyphen/>
        <w:t>t</w:t>
      </w:r>
      <w:r w:rsidRPr="004F117F">
        <w:rPr>
          <w:rFonts w:cs="Times New Roman"/>
          <w:lang w:val="fr-CA"/>
        </w:rPr>
        <w:noBreakHyphen/>
        <w:t>elle « un fardeau ou [nie</w:t>
      </w:r>
      <w:r w:rsidRPr="004F117F">
        <w:rPr>
          <w:rFonts w:cs="Times New Roman"/>
          <w:lang w:val="fr-CA"/>
        </w:rPr>
        <w:noBreakHyphen/>
        <w:t>t</w:t>
      </w:r>
      <w:r w:rsidRPr="004F117F">
        <w:rPr>
          <w:rFonts w:cs="Times New Roman"/>
          <w:lang w:val="fr-CA"/>
        </w:rPr>
        <w:noBreakHyphen/>
        <w:t>elle] un avantage d’une manière qui a pour effet de renforcer, de perpétuer ou d’accentuer le désavantage » (</w:t>
      </w:r>
      <w:r w:rsidRPr="004F117F">
        <w:rPr>
          <w:rFonts w:cs="Times New Roman"/>
          <w:i/>
          <w:lang w:val="fr-CA"/>
        </w:rPr>
        <w:t>Taypotat</w:t>
      </w:r>
      <w:r w:rsidRPr="004F117F">
        <w:rPr>
          <w:rFonts w:cs="Times New Roman"/>
          <w:lang w:val="fr-CA"/>
        </w:rPr>
        <w:t>, par. 19</w:t>
      </w:r>
      <w:r w:rsidRPr="004F117F">
        <w:rPr>
          <w:rFonts w:cs="Times New Roman"/>
          <w:lang w:val="fr-CA"/>
        </w:rPr>
        <w:noBreakHyphen/>
        <w:t xml:space="preserve">20)? </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La première étape de l’analyse fondée sur le par. 15(1) de la </w:t>
      </w:r>
      <w:r w:rsidRPr="004F117F">
        <w:rPr>
          <w:rFonts w:cs="Times New Roman"/>
          <w:i/>
          <w:lang w:val="fr-CA"/>
        </w:rPr>
        <w:t xml:space="preserve">Charte </w:t>
      </w:r>
      <w:r w:rsidRPr="004F117F">
        <w:rPr>
          <w:rFonts w:cs="Times New Roman"/>
          <w:lang w:val="fr-CA"/>
        </w:rPr>
        <w:t xml:space="preserve">ne constitue ni une étape de filtrage initial sur le fond, ni un lourd obstacle visant à écarter certaines demandes pour des motifs techniques. Son objectif consiste plutôt à faire en sorte que les personnes que cette disposition est censée protéger puissent avoir accès à </w:t>
      </w:r>
      <w:r w:rsidRPr="004F117F">
        <w:rPr>
          <w:rFonts w:cs="Times New Roman"/>
          <w:lang w:val="fr-CA"/>
        </w:rPr>
        <w:lastRenderedPageBreak/>
        <w:t>celle</w:t>
      </w:r>
      <w:r w:rsidRPr="004F117F">
        <w:rPr>
          <w:rFonts w:cs="Times New Roman"/>
          <w:lang w:val="fr-CA"/>
        </w:rPr>
        <w:noBreakHyphen/>
        <w:t>ci. L’étape de la « distinction » ne devrait faire obstacle qu’aux demandes alléguant une distinction que la « </w:t>
      </w:r>
      <w:r w:rsidRPr="004F117F">
        <w:rPr>
          <w:rFonts w:cs="Times New Roman"/>
          <w:i/>
          <w:lang w:val="fr-CA"/>
        </w:rPr>
        <w:t xml:space="preserve">Charte </w:t>
      </w:r>
      <w:r w:rsidRPr="004F117F">
        <w:rPr>
          <w:rFonts w:cs="Times New Roman"/>
          <w:lang w:val="fr-CA"/>
        </w:rPr>
        <w:t>[ne] visait [pas] à interdire » parce que de telles demandes ne sont pas fondées sur des motifs énumérés ou analogues — qui sont « des indicateurs permanents de l’existence d’un processus décisionnel suspect ou de discrimination potentielle » (</w:t>
      </w:r>
      <w:r w:rsidRPr="004F117F">
        <w:rPr>
          <w:rFonts w:cs="Times New Roman"/>
          <w:i/>
          <w:lang w:val="fr-CA"/>
        </w:rPr>
        <w:t>Withler c. Canada (Procureur général)</w:t>
      </w:r>
      <w:r w:rsidRPr="004F117F">
        <w:rPr>
          <w:rFonts w:cs="Times New Roman"/>
          <w:lang w:val="fr-CA"/>
        </w:rPr>
        <w:t xml:space="preserve">, [2011] 1 R.C.S. 396, par. 33; </w:t>
      </w:r>
      <w:r w:rsidRPr="004F117F">
        <w:rPr>
          <w:rFonts w:cs="Times New Roman"/>
          <w:i/>
          <w:lang w:val="fr-CA"/>
        </w:rPr>
        <w:t>Taypotat</w:t>
      </w:r>
      <w:r w:rsidRPr="004F117F">
        <w:rPr>
          <w:rFonts w:cs="Times New Roman"/>
          <w:lang w:val="fr-CA"/>
        </w:rPr>
        <w:t xml:space="preserve">, par. 19, citant </w:t>
      </w:r>
      <w:r w:rsidRPr="004F117F">
        <w:rPr>
          <w:rFonts w:cs="Times New Roman"/>
          <w:i/>
          <w:lang w:val="fr-CA"/>
        </w:rPr>
        <w:t>Corbiere c. Canada (Ministre des Affaires indiennes et du Nord canadien</w:t>
      </w:r>
      <w:r w:rsidRPr="004F117F">
        <w:rPr>
          <w:rStyle w:val="reflex3-block"/>
          <w:i/>
          <w:lang w:val="fr-CA"/>
        </w:rPr>
        <w:t>)</w:t>
      </w:r>
      <w:r w:rsidRPr="004F117F">
        <w:rPr>
          <w:rStyle w:val="reflex3-block"/>
          <w:lang w:val="fr-CA"/>
        </w:rPr>
        <w:t xml:space="preserve">, [1999] 2 R.C.S. 203, par. 8). </w:t>
      </w:r>
      <w:r w:rsidRPr="004F117F">
        <w:rPr>
          <w:rFonts w:cs="Times New Roman"/>
          <w:lang w:val="fr-CA"/>
        </w:rPr>
        <w:t>Autrement dit, l’objectif consiste à exclure les demandes qui « n’ont rien à voir avec l’égalité réelle » (</w:t>
      </w:r>
      <w:r w:rsidRPr="004F117F">
        <w:rPr>
          <w:rFonts w:cs="Times New Roman"/>
          <w:i/>
          <w:lang w:val="fr-CA"/>
        </w:rPr>
        <w:t>Taypotat</w:t>
      </w:r>
      <w:r w:rsidRPr="004F117F">
        <w:rPr>
          <w:rFonts w:cs="Times New Roman"/>
          <w:lang w:val="fr-CA"/>
        </w:rPr>
        <w:t xml:space="preserve">, par. 19, citant Lynn Smith et William Black, « The Equality Rights » (2013), 62 </w:t>
      </w:r>
      <w:r w:rsidRPr="004F117F">
        <w:rPr>
          <w:rFonts w:cs="Times New Roman"/>
          <w:i/>
          <w:lang w:val="fr-CA"/>
        </w:rPr>
        <w:t>S.C.L.R.</w:t>
      </w:r>
      <w:r w:rsidRPr="004F117F">
        <w:rPr>
          <w:rFonts w:cs="Times New Roman"/>
          <w:lang w:val="fr-CA"/>
        </w:rPr>
        <w:t xml:space="preserve"> (2d) 301, p. 336</w:t>
      </w:r>
      <w:r w:rsidRPr="004F117F">
        <w:rPr>
          <w:rStyle w:val="reflex3-block"/>
          <w:lang w:val="fr-CA"/>
        </w:rPr>
        <w:t>)</w:t>
      </w:r>
      <w:r w:rsidRPr="004F117F">
        <w:rPr>
          <w:rFonts w:cs="Times New Roman"/>
          <w:lang w:val="fr-CA"/>
        </w:rPr>
        <w:t xml:space="preserve">. Pour ce motif, il ne convient pas, à la première étape de l’analyse, d’exiger la prise en compte d’autres facteurs — notamment l’effet discriminatoire, lequel devrait être examiné directement à la deuxième étape de l’analyse. L’analyse doit demeurer axée sur les </w:t>
      </w:r>
      <w:r w:rsidRPr="004F117F">
        <w:rPr>
          <w:rFonts w:cs="Times New Roman"/>
          <w:i/>
          <w:iCs/>
          <w:lang w:val="fr-CA"/>
        </w:rPr>
        <w:t xml:space="preserve">motifs </w:t>
      </w:r>
      <w:r w:rsidRPr="004F117F">
        <w:rPr>
          <w:rFonts w:cs="Times New Roman"/>
          <w:lang w:val="fr-CA"/>
        </w:rPr>
        <w:t xml:space="preserve">de la distinction. </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De plus, en établissant la distinction et les motifs sur lesquels elle repose, la Cour a, dans l’arrêt </w:t>
      </w:r>
      <w:r w:rsidRPr="004F117F">
        <w:rPr>
          <w:rFonts w:cs="Times New Roman"/>
          <w:i/>
          <w:lang w:val="fr-CA"/>
        </w:rPr>
        <w:t>Withler</w:t>
      </w:r>
      <w:r w:rsidRPr="004F117F">
        <w:rPr>
          <w:rFonts w:cs="Times New Roman"/>
          <w:lang w:val="fr-CA"/>
        </w:rPr>
        <w:t xml:space="preserve">, rejeté la recherche de groupes « de comparaison aux caractéristiques identiques » : </w:t>
      </w:r>
    </w:p>
    <w:p w:rsidR="00C208DD" w:rsidRPr="004F117F" w:rsidRDefault="00C208DD" w:rsidP="00F118AA">
      <w:pPr>
        <w:pStyle w:val="Citation-AltC"/>
        <w:widowControl w:val="0"/>
        <w:ind w:hanging="1166"/>
        <w:rPr>
          <w:lang w:val="fr-CA"/>
        </w:rPr>
      </w:pPr>
      <w:r w:rsidRPr="004F117F">
        <w:rPr>
          <w:lang w:val="fr-CA"/>
        </w:rPr>
        <w:tab/>
        <w:t>. . . une analyse formelle fondée sur une comparaison du groupe de demandeurs à un groupe « se trouvant dans une situation semblable » ne</w:t>
      </w:r>
      <w:r w:rsidR="00F118AA">
        <w:rPr>
          <w:lang w:val="fr-CA"/>
        </w:rPr>
        <w:t xml:space="preserve"> </w:t>
      </w:r>
      <w:r w:rsidRPr="004F117F">
        <w:rPr>
          <w:lang w:val="fr-CA"/>
        </w:rPr>
        <w:t>garantit pas la suppression du mal auquel le par. 15(1) vise à remédier [. . .] L’exercice requis n’est pas une comparaison formelle avec un groupe de</w:t>
      </w:r>
      <w:r w:rsidR="00F118AA">
        <w:rPr>
          <w:lang w:val="fr-CA"/>
        </w:rPr>
        <w:t xml:space="preserve"> </w:t>
      </w:r>
      <w:r w:rsidRPr="004F117F">
        <w:rPr>
          <w:lang w:val="fr-CA"/>
        </w:rPr>
        <w:t>comparaison donné aux caractéristiques identiques, mais une démarche qui tienne compte du contexte dans son ensemble . . . [par. 40]</w:t>
      </w:r>
    </w:p>
    <w:p w:rsidR="00C208DD" w:rsidRPr="004F117F" w:rsidRDefault="00C208DD" w:rsidP="00637E44">
      <w:pPr>
        <w:pStyle w:val="ContinueParaSuitedupar-AltP"/>
        <w:widowControl w:val="0"/>
        <w:rPr>
          <w:rFonts w:cs="Times New Roman"/>
          <w:lang w:val="fr-CA"/>
        </w:rPr>
      </w:pPr>
      <w:r w:rsidRPr="004F117F">
        <w:rPr>
          <w:rFonts w:cs="Times New Roman"/>
          <w:lang w:val="fr-CA"/>
        </w:rPr>
        <w:t xml:space="preserve">Une analyse fondée sur la comparaison avec un groupe aux caractéristiques identiques </w:t>
      </w:r>
      <w:r w:rsidRPr="004F117F">
        <w:rPr>
          <w:rFonts w:cs="Times New Roman"/>
          <w:lang w:val="fr-CA"/>
        </w:rPr>
        <w:lastRenderedPageBreak/>
        <w:t>« ne permet pas toujours de détecter l’inégalité réelle et risque de se muer en recherche de la similitude [et] de court</w:t>
      </w:r>
      <w:r w:rsidRPr="004F117F">
        <w:rPr>
          <w:rFonts w:cs="Times New Roman"/>
          <w:lang w:val="fr-CA"/>
        </w:rPr>
        <w:noBreakHyphen/>
        <w:t>circuiter le deuxième volet de l’analyse de l’égalité réelle » (par. 60).</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Comme l’a affirmé la Cour dans les arrêts </w:t>
      </w:r>
      <w:r w:rsidRPr="004F117F">
        <w:rPr>
          <w:rFonts w:cs="Times New Roman"/>
          <w:i/>
          <w:lang w:val="fr-CA"/>
        </w:rPr>
        <w:t>Kapp</w:t>
      </w:r>
      <w:r w:rsidRPr="004F117F">
        <w:rPr>
          <w:rFonts w:cs="Times New Roman"/>
          <w:lang w:val="fr-CA"/>
        </w:rPr>
        <w:t xml:space="preserve"> (par. 23</w:t>
      </w:r>
      <w:r w:rsidRPr="004F117F">
        <w:rPr>
          <w:rFonts w:cs="Times New Roman"/>
          <w:lang w:val="fr-CA"/>
        </w:rPr>
        <w:noBreakHyphen/>
        <w:t xml:space="preserve">24) et </w:t>
      </w:r>
      <w:r w:rsidRPr="004F117F">
        <w:rPr>
          <w:rFonts w:cs="Times New Roman"/>
          <w:i/>
          <w:lang w:val="fr-CA"/>
        </w:rPr>
        <w:t>Withler</w:t>
      </w:r>
      <w:r w:rsidRPr="004F117F">
        <w:rPr>
          <w:rFonts w:cs="Times New Roman"/>
          <w:lang w:val="fr-CA"/>
        </w:rPr>
        <w:t xml:space="preserve"> (par. 66), il n’est pas nécessaire ni souhaitable, à la deuxième étape de l’analyse fondée sur le par. 15</w:t>
      </w:r>
      <w:r w:rsidR="00FC3D22">
        <w:rPr>
          <w:rFonts w:cs="Times New Roman"/>
          <w:lang w:val="fr-CA"/>
        </w:rPr>
        <w:t>(1)</w:t>
      </w:r>
      <w:r w:rsidRPr="004F117F">
        <w:rPr>
          <w:rFonts w:cs="Times New Roman"/>
          <w:lang w:val="fr-CA"/>
        </w:rPr>
        <w:t xml:space="preserve">, d’examiner point par point les facteurs énoncés dans </w:t>
      </w:r>
      <w:r w:rsidRPr="004F117F">
        <w:rPr>
          <w:rFonts w:cs="Times New Roman"/>
          <w:i/>
          <w:iCs/>
          <w:lang w:val="fr-CA"/>
        </w:rPr>
        <w:t>Law c. Canada (Ministre de l’Emploi et de l’Immigration)</w:t>
      </w:r>
      <w:r w:rsidRPr="004F117F">
        <w:rPr>
          <w:rFonts w:cs="Times New Roman"/>
          <w:lang w:val="fr-CA"/>
        </w:rPr>
        <w:t>,</w:t>
      </w:r>
      <w:r w:rsidRPr="004F117F">
        <w:rPr>
          <w:rFonts w:cs="Times New Roman"/>
          <w:i/>
          <w:lang w:val="fr-CA"/>
        </w:rPr>
        <w:t xml:space="preserve"> </w:t>
      </w:r>
      <w:r w:rsidRPr="004F117F">
        <w:rPr>
          <w:rFonts w:cs="Times New Roman"/>
          <w:lang w:val="fr-CA"/>
        </w:rPr>
        <w:t xml:space="preserve">[1999] 1 R.C.S. 497, et, dans aucune affaire depuis l’arrêt </w:t>
      </w:r>
      <w:r w:rsidRPr="004F117F">
        <w:rPr>
          <w:rFonts w:cs="Times New Roman"/>
          <w:i/>
          <w:lang w:val="fr-CA"/>
        </w:rPr>
        <w:t>Kapp</w:t>
      </w:r>
      <w:r w:rsidRPr="004F117F">
        <w:rPr>
          <w:rFonts w:cs="Times New Roman"/>
          <w:lang w:val="fr-CA"/>
        </w:rPr>
        <w:t>, on ne l’a fait. L’accent est mis non pas sur la question de « savoir s’il existe une attitude [. . .] discriminatoire » ou si une distinction « perpétue une attitude négative » à l’endroit d’un groupe défavorisé, mais plutôt sur l’</w:t>
      </w:r>
      <w:r w:rsidRPr="004F117F">
        <w:rPr>
          <w:rFonts w:cs="Times New Roman"/>
          <w:i/>
          <w:lang w:val="fr-CA"/>
        </w:rPr>
        <w:t>effet</w:t>
      </w:r>
      <w:r w:rsidRPr="004F117F">
        <w:rPr>
          <w:rFonts w:cs="Times New Roman"/>
          <w:lang w:val="fr-CA"/>
        </w:rPr>
        <w:t xml:space="preserve"> discriminatoire de la distinction (</w:t>
      </w:r>
      <w:r w:rsidRPr="004F117F">
        <w:rPr>
          <w:rFonts w:cs="Times New Roman"/>
          <w:i/>
          <w:lang w:val="fr-CA"/>
        </w:rPr>
        <w:t>Québec c. A</w:t>
      </w:r>
      <w:r w:rsidRPr="004F117F">
        <w:rPr>
          <w:rFonts w:cs="Times New Roman"/>
          <w:lang w:val="fr-CA"/>
        </w:rPr>
        <w:t>,</w:t>
      </w:r>
      <w:r w:rsidRPr="004F117F">
        <w:rPr>
          <w:rFonts w:cs="Times New Roman"/>
          <w:i/>
          <w:lang w:val="fr-CA"/>
        </w:rPr>
        <w:t xml:space="preserve"> </w:t>
      </w:r>
      <w:r w:rsidRPr="004F117F">
        <w:rPr>
          <w:rFonts w:cs="Times New Roman"/>
          <w:lang w:val="fr-CA"/>
        </w:rPr>
        <w:t xml:space="preserve">par. 327 et 330 (italiques omis)). </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Comme nous l’avons vu, la </w:t>
      </w:r>
      <w:r w:rsidRPr="004F117F">
        <w:rPr>
          <w:rFonts w:cs="Times New Roman"/>
          <w:i/>
          <w:lang w:val="fr-CA"/>
        </w:rPr>
        <w:t xml:space="preserve">Loi sur l’équité salariale </w:t>
      </w:r>
      <w:r w:rsidRPr="004F117F">
        <w:rPr>
          <w:rFonts w:cs="Times New Roman"/>
          <w:lang w:val="fr-CA"/>
        </w:rPr>
        <w:t xml:space="preserve">a pour objet « de corriger les écarts salariaux dus à la discrimination systémique fondée sur le sexe à l’égard des personnes qui occupent des emplois dans des catégories d’emplois à prédominance féminine ». Le fondement même des mesures législatives en matière d’équité salariale est que les femmes ont été victimes de discrimination dans la façon dont elles sont rémunérées au travail. Les mesures législatives en matière d’équité salariale, telle la </w:t>
      </w:r>
      <w:r w:rsidRPr="004F117F">
        <w:rPr>
          <w:rFonts w:cs="Times New Roman"/>
          <w:i/>
          <w:lang w:val="fr-CA"/>
        </w:rPr>
        <w:t>Loi</w:t>
      </w:r>
      <w:r w:rsidRPr="004F117F">
        <w:rPr>
          <w:rFonts w:cs="Times New Roman"/>
          <w:lang w:val="fr-CA"/>
        </w:rPr>
        <w:t xml:space="preserve"> en l’espèce, visent donc les femmes lorsqu’il s’agit de corriger la discrimination salariale qu’elles ont subie. Et les dispositions contestées visent les femmes, de manières plus précises, à cette fin. Elles indiquent comment les lacunes du salaire versé aux </w:t>
      </w:r>
      <w:r w:rsidRPr="004F117F">
        <w:rPr>
          <w:rFonts w:cs="Times New Roman"/>
          <w:i/>
          <w:lang w:val="fr-CA"/>
        </w:rPr>
        <w:t>femmes</w:t>
      </w:r>
      <w:r w:rsidRPr="004F117F">
        <w:rPr>
          <w:rFonts w:cs="Times New Roman"/>
          <w:lang w:val="fr-CA"/>
        </w:rPr>
        <w:t xml:space="preserve">, par rapport à celui que touchent les hommes, seront </w:t>
      </w:r>
      <w:r w:rsidRPr="004F117F">
        <w:rPr>
          <w:rFonts w:cs="Times New Roman"/>
          <w:lang w:val="fr-CA"/>
        </w:rPr>
        <w:lastRenderedPageBreak/>
        <w:t xml:space="preserve">identifiées. Elles prévoient quand les </w:t>
      </w:r>
      <w:r w:rsidRPr="004F117F">
        <w:rPr>
          <w:rFonts w:cs="Times New Roman"/>
          <w:i/>
          <w:lang w:val="fr-CA"/>
        </w:rPr>
        <w:t>femmes</w:t>
      </w:r>
      <w:r w:rsidRPr="004F117F">
        <w:rPr>
          <w:rFonts w:cs="Times New Roman"/>
          <w:lang w:val="fr-CA"/>
        </w:rPr>
        <w:t xml:space="preserve"> recevront — et ne recevront pas — des ajustements salariaux pour ces iniquités. Elles énoncent aussi les renseignements auxquels pourront — et ne pourront pas — avoir accès les </w:t>
      </w:r>
      <w:r w:rsidRPr="004F117F">
        <w:rPr>
          <w:rFonts w:cs="Times New Roman"/>
          <w:i/>
          <w:lang w:val="fr-CA"/>
        </w:rPr>
        <w:t>femmes</w:t>
      </w:r>
      <w:r w:rsidRPr="004F117F">
        <w:rPr>
          <w:rFonts w:cs="Times New Roman"/>
          <w:lang w:val="fr-CA"/>
        </w:rPr>
        <w:t xml:space="preserve"> susceptibles d’avoir besoin de contester les iniquités en question en ce qui a trait au moment où celles</w:t>
      </w:r>
      <w:r w:rsidRPr="004F117F">
        <w:rPr>
          <w:rFonts w:cs="Times New Roman"/>
          <w:lang w:val="fr-CA"/>
        </w:rPr>
        <w:noBreakHyphen/>
        <w:t xml:space="preserve">ci sont apparues. Les dispositions contestées établissent donc des distinctions fondées sur le sexe tant à première vue que de par leur effet. </w:t>
      </w:r>
    </w:p>
    <w:p w:rsidR="00C208DD" w:rsidRPr="004F117F" w:rsidRDefault="00C208DD" w:rsidP="00637E44">
      <w:pPr>
        <w:pStyle w:val="ParaNoNdepar-AltN"/>
        <w:widowControl w:val="0"/>
        <w:rPr>
          <w:rFonts w:cs="Times New Roman"/>
          <w:lang w:val="fr-CA"/>
        </w:rPr>
      </w:pPr>
      <w:r w:rsidRPr="004F117F">
        <w:rPr>
          <w:rFonts w:eastAsia="Times New Roman" w:cs="Times New Roman"/>
          <w:szCs w:val="24"/>
          <w:lang w:val="fr-CA" w:eastAsia="en-CA"/>
        </w:rPr>
        <w:t xml:space="preserve">Avant de me pencher sur l’effet discriminatoire, je me permets de </w:t>
      </w:r>
      <w:r w:rsidRPr="004F117F">
        <w:rPr>
          <w:rFonts w:cs="Times New Roman"/>
          <w:lang w:val="fr-CA"/>
        </w:rPr>
        <w:t>brèves remarques sur le par. 15(2). Cette disposition ne s’applique pas dans des cas comme celui</w:t>
      </w:r>
      <w:r w:rsidRPr="004F117F">
        <w:rPr>
          <w:rFonts w:cs="Times New Roman"/>
          <w:lang w:val="fr-CA"/>
        </w:rPr>
        <w:noBreakHyphen/>
        <w:t>ci. Elle se lit comme suit :</w:t>
      </w:r>
    </w:p>
    <w:p w:rsidR="00C208DD" w:rsidRPr="004F117F" w:rsidRDefault="00C208DD" w:rsidP="00637E44">
      <w:pPr>
        <w:pStyle w:val="Citation-AltC"/>
        <w:widowControl w:val="0"/>
        <w:ind w:hanging="1166"/>
        <w:rPr>
          <w:lang w:val="fr-CA"/>
        </w:rPr>
      </w:pPr>
      <w:r w:rsidRPr="004F117F">
        <w:rPr>
          <w:lang w:val="fr-CA"/>
        </w:rPr>
        <w:tab/>
      </w:r>
      <w:r w:rsidR="00E13C23">
        <w:rPr>
          <w:lang w:val="fr-CA"/>
        </w:rPr>
        <w:tab/>
      </w:r>
      <w:r w:rsidRPr="004F117F">
        <w:rPr>
          <w:lang w:val="fr-CA"/>
        </w:rPr>
        <w:t xml:space="preserve">Le paragraphe (1) n’a pas pour effet d’interdire les lois, programmes ou activités destinés à améliorer la situation d’individus ou de groupes défavorisés, notamment du fait de leur race, de leur origine nationale ou ethnique, de leur couleur, de leur religion, de leur sexe, de leur âge ou de leurs déficiences mentales ou physiques. </w:t>
      </w:r>
    </w:p>
    <w:p w:rsidR="00C208DD" w:rsidRPr="004F117F" w:rsidRDefault="00C208DD" w:rsidP="00637E44">
      <w:pPr>
        <w:pStyle w:val="ParaNoNdepar-AltN"/>
        <w:widowControl w:val="0"/>
        <w:rPr>
          <w:rFonts w:cs="Times New Roman"/>
          <w:lang w:val="fr-CA"/>
        </w:rPr>
      </w:pPr>
      <w:r w:rsidRPr="004F117F">
        <w:rPr>
          <w:rFonts w:cs="Times New Roman"/>
          <w:lang w:val="fr-CA"/>
        </w:rPr>
        <w:t>Elle a pour objet de « prémunir les programmes améliorateurs contre les accusations de “discrimination à rebours” » (</w:t>
      </w:r>
      <w:r w:rsidRPr="004F117F">
        <w:rPr>
          <w:rFonts w:cs="Times New Roman"/>
          <w:i/>
          <w:lang w:val="fr-CA"/>
        </w:rPr>
        <w:t xml:space="preserve">Alberta (Affaires autochtones et </w:t>
      </w:r>
      <w:r w:rsidR="00072D96">
        <w:rPr>
          <w:rFonts w:cs="Times New Roman"/>
          <w:i/>
          <w:lang w:val="fr-CA"/>
        </w:rPr>
        <w:t>D</w:t>
      </w:r>
      <w:r w:rsidRPr="004F117F">
        <w:rPr>
          <w:rFonts w:cs="Times New Roman"/>
          <w:i/>
          <w:lang w:val="fr-CA"/>
        </w:rPr>
        <w:t>éveloppement du Nord) c. Cunningham</w:t>
      </w:r>
      <w:r w:rsidRPr="004F117F">
        <w:rPr>
          <w:rFonts w:cs="Times New Roman"/>
          <w:lang w:val="fr-CA"/>
        </w:rPr>
        <w:t xml:space="preserve">, [2011] 2 R.C.S. 670, par. 41; </w:t>
      </w:r>
      <w:r w:rsidRPr="004F117F">
        <w:rPr>
          <w:rFonts w:cs="Times New Roman"/>
          <w:i/>
          <w:iCs/>
          <w:lang w:val="fr-CA"/>
        </w:rPr>
        <w:t>Kapp</w:t>
      </w:r>
      <w:r w:rsidRPr="004F117F">
        <w:rPr>
          <w:rFonts w:cs="Times New Roman"/>
          <w:lang w:val="fr-CA"/>
        </w:rPr>
        <w:t>). Elle met les programmes améliorateurs destinés aux groupes défavorisés à l’abri d’allégations selon lesquelles un programme améliorateur donné est discriminatoire à l’égard de personnes n’étant pas censées bénéficier de celui</w:t>
      </w:r>
      <w:r w:rsidRPr="004F117F">
        <w:rPr>
          <w:rFonts w:cs="Times New Roman"/>
          <w:lang w:val="fr-CA"/>
        </w:rPr>
        <w:noBreakHyphen/>
        <w:t>ci.</w:t>
      </w:r>
    </w:p>
    <w:p w:rsidR="00C208DD" w:rsidRPr="004F117F" w:rsidRDefault="00C208DD" w:rsidP="00637E44">
      <w:pPr>
        <w:pStyle w:val="ParaNoNdepar-AltN"/>
        <w:widowControl w:val="0"/>
        <w:rPr>
          <w:rFonts w:eastAsia="Times New Roman" w:cs="Times New Roman"/>
          <w:szCs w:val="24"/>
          <w:lang w:val="fr-CA" w:eastAsia="en-CA"/>
        </w:rPr>
      </w:pPr>
      <w:r w:rsidRPr="004F117F">
        <w:rPr>
          <w:rFonts w:cs="Times New Roman"/>
          <w:lang w:val="fr-CA"/>
        </w:rPr>
        <w:t xml:space="preserve">Dans l’affaire qui nous occupe, par contre, on prétend que certaines parties d’un régime améliorateur violent le par. 15(1) parce qu’elles ont un effet </w:t>
      </w:r>
      <w:r w:rsidRPr="004F117F">
        <w:rPr>
          <w:rFonts w:cs="Times New Roman"/>
          <w:lang w:val="fr-CA"/>
        </w:rPr>
        <w:lastRenderedPageBreak/>
        <w:t>discriminatoire sur les femmes, le groupe défavorisé censé bénéficier du régime en question. Le paragraphe 15(2) ne saurait faire obstacle aux demandes fondées sur le par. 15(1) formulées par le groupe même que la loi vise à protéger</w:t>
      </w:r>
      <w:r w:rsidRPr="004F117F">
        <w:rPr>
          <w:rFonts w:eastAsia="Times New Roman" w:cs="Times New Roman"/>
          <w:szCs w:val="24"/>
          <w:lang w:val="fr-CA" w:eastAsia="en-CA"/>
        </w:rPr>
        <w:t>, et rien dans la jurisprudence ne permet d’affirmer le contraire.</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De plus, il ne fait aucun doute que les art. 76.3, 76.5 et 103.1 al. 2 ont un effet discriminatoire, mais non pas parce que ces dispositions diffèrent des dispositions antérieures. Je ne partage pas le point de vue des syndicats selon lequel, après avoir adopté les art. 40 à 43, le Québec avait l’obligation constitutionnelle de les garder en vigueur, de sorte que toute modification du type ou de l’étendue de la protection offerte par ces dispositions équivaudrait à une violation constitutionnelle. Accepter cet argument dans les circonstances reviendrait à constitutionnaliser la décision de politique générale consacrée dans la première version de la </w:t>
      </w:r>
      <w:r w:rsidRPr="004F117F">
        <w:rPr>
          <w:rFonts w:cs="Times New Roman"/>
          <w:i/>
          <w:lang w:val="fr-CA"/>
        </w:rPr>
        <w:t>Loi</w:t>
      </w:r>
      <w:r w:rsidRPr="004F117F">
        <w:rPr>
          <w:rFonts w:cs="Times New Roman"/>
          <w:lang w:val="fr-CA"/>
        </w:rPr>
        <w:t xml:space="preserve"> et, par le fait même, à axer indûment l’analyse sur la </w:t>
      </w:r>
      <w:r w:rsidRPr="004F117F">
        <w:rPr>
          <w:rFonts w:cs="Times New Roman"/>
          <w:i/>
          <w:lang w:val="fr-CA"/>
        </w:rPr>
        <w:t xml:space="preserve">forme </w:t>
      </w:r>
      <w:r w:rsidRPr="004F117F">
        <w:rPr>
          <w:rFonts w:cs="Times New Roman"/>
          <w:lang w:val="fr-CA"/>
        </w:rPr>
        <w:t>de la loi, plutôt que sur ses effets. Les dispositions législatives contestées ont plutôt un effet discriminatoire parce que, évaluées en elles</w:t>
      </w:r>
      <w:r w:rsidRPr="004F117F">
        <w:rPr>
          <w:rFonts w:cs="Times New Roman"/>
          <w:lang w:val="fr-CA"/>
        </w:rPr>
        <w:noBreakHyphen/>
        <w:t xml:space="preserve">mêmes et sans égard au régime législatif antérieur, elles perpétuent le désavantage préexistant des femmes. L’article 76.5 prévoit qu’en l’absence d’une démonstration de mauvaise foi de l’employeur conformément à l’art. 76.9, les ajustements salariaux ne sont payables qu’à compter de la date de l’affichage de l’évaluation tous les cinq ans. Cela a pour effet de rendre épisodique et partielle l’obligation incombant à l’employeur en matière d’équité salariale. Les iniquités salariales qui apparaissent au cours de la période de cinq ans comprise entre les évaluations restent non corrigées jusqu’à la prochaine évaluation. Même lorsqu’une évaluation révèle l’apparition d’une iniquité </w:t>
      </w:r>
      <w:r w:rsidRPr="004F117F">
        <w:rPr>
          <w:rFonts w:cs="Times New Roman"/>
          <w:lang w:val="fr-CA"/>
        </w:rPr>
        <w:lastRenderedPageBreak/>
        <w:t>salariale au cours des cinq années précédentes, l’art. 76.5 prévoit que les ajustements salariaux sont payables pour l’avenir seulement. Comme l’ont conclu le juge de première instance et la Cour d’appel, l’employeur se voit ainsi effectivement accorder une amnistie pour la discrimination entre les évaluations, amnistie cimentée par l’adjonction de l’art. 103.1 al. 2, qui interdit à la Commission de l’équité salariale de déterminer des ajustements salariaux antérieurs à la date de l’affichage.</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L’adjonction de l’art. 76.3 — disposition qui, comme l’a conclu le juge de première instance, prive les salariés et les syndicats de l’information dont ils ont besoin pour contester les décisions prises par les employeurs à la suite des évaluations du maintien de l’équité salariale — accentue davantage le désavantage créé par l’art. 76.5. L’article 76.3 exige que les employeurs affichent les résultats de l’évaluation, mais pas la date à laquelle est apparue l’iniquité, ce qui occulte le moment où les ajustements salariaux auraient dû être faits et dépouille en grande partie de son sens l’exigence de l’affichage. En l’absence de renseignements sur le moment où les iniquités salariales apparaissent, les salariés sont privés des éléments de preuve permettant d’établir la mauvaise foi de l’employeur, ce qui constitue la seule façon d’obtenir le versement rétroactif d’ajustements salariaux pour les iniquités apparues entre les évaluations. De plus, l’absence de tels renseignements impose quant à elle aux salariés ou aux syndicats le fardeau de faire des demandes de renseignements en application de l’art. 76.4, ce qui contredit l’objectif déclaré du Québec de rendre le régime plus proactif et plus efficace. </w:t>
      </w:r>
      <w:r w:rsidRPr="004F117F">
        <w:rPr>
          <w:rFonts w:cs="Times New Roman"/>
          <w:bCs/>
          <w:lang w:val="fr-CA"/>
        </w:rPr>
        <w:t xml:space="preserve">Il n’est pas du tout clair que ce processus garantirait la communication en temps utile de tous les renseignements nécessaires. </w:t>
      </w:r>
      <w:r w:rsidRPr="004F117F">
        <w:rPr>
          <w:rFonts w:cs="Times New Roman"/>
          <w:lang w:val="fr-CA"/>
        </w:rPr>
        <w:t xml:space="preserve">Autrement dit, non seulement il n’existe aucun </w:t>
      </w:r>
      <w:r w:rsidRPr="004F117F">
        <w:rPr>
          <w:rFonts w:cs="Times New Roman"/>
          <w:lang w:val="fr-CA"/>
        </w:rPr>
        <w:lastRenderedPageBreak/>
        <w:t>droit de contester des iniquités pour la période comprise entre les évaluations, mais en plus, il y a, à l’art. 76.3, une disposition qui rend difficile d’accès et opaque le processus de contestation des résultats des évaluations.</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Les articles 76.5 et 103.1 al. 2 de la </w:t>
      </w:r>
      <w:r w:rsidRPr="004F117F">
        <w:rPr>
          <w:rFonts w:cs="Times New Roman"/>
          <w:i/>
          <w:lang w:val="fr-CA"/>
        </w:rPr>
        <w:t xml:space="preserve">Loi </w:t>
      </w:r>
      <w:r w:rsidRPr="004F117F">
        <w:rPr>
          <w:rFonts w:cs="Times New Roman"/>
          <w:lang w:val="fr-CA"/>
        </w:rPr>
        <w:t xml:space="preserve">permettent des ajustements salariaux pour les années comprises entre les évaluations uniquement si l’employeur ou le comité d’équité salariale a agi de mauvaise foi. La « mauvaise foi » est un concept bien connu dans les lois québécoises en matière de travail et d’emploi. Les termes utilisés à l’art. 76.9 de la </w:t>
      </w:r>
      <w:r w:rsidRPr="004F117F">
        <w:rPr>
          <w:rFonts w:cs="Times New Roman"/>
          <w:i/>
          <w:lang w:val="fr-CA"/>
        </w:rPr>
        <w:t>Loi</w:t>
      </w:r>
      <w:r w:rsidRPr="004F117F">
        <w:rPr>
          <w:rFonts w:cs="Times New Roman"/>
          <w:lang w:val="fr-CA"/>
        </w:rPr>
        <w:t xml:space="preserve"> — selon lesquels l’employeur</w:t>
      </w:r>
      <w:r w:rsidRPr="004F117F">
        <w:rPr>
          <w:rFonts w:cs="Times New Roman"/>
          <w:bCs/>
          <w:lang w:val="fr-CA"/>
        </w:rPr>
        <w:t xml:space="preserve"> ne peut « agir de mauvaise foi ou de façon arbitraire ou discriminatoire, ni faire preuve de négligence grave » — </w:t>
      </w:r>
      <w:r w:rsidRPr="004F117F">
        <w:rPr>
          <w:rFonts w:cs="Times New Roman"/>
          <w:lang w:val="fr-CA"/>
        </w:rPr>
        <w:t xml:space="preserve">sont les mêmes que ceux employés à l’art. 47.2 du </w:t>
      </w:r>
      <w:r w:rsidRPr="004F117F">
        <w:rPr>
          <w:rFonts w:cs="Times New Roman"/>
          <w:i/>
          <w:lang w:val="fr-CA"/>
        </w:rPr>
        <w:t>Code du travail</w:t>
      </w:r>
      <w:r w:rsidRPr="004F117F">
        <w:rPr>
          <w:rFonts w:cs="Times New Roman"/>
          <w:lang w:val="fr-CA"/>
        </w:rPr>
        <w:t xml:space="preserve"> du Québec, RLRQ, c. C</w:t>
      </w:r>
      <w:r w:rsidRPr="004F117F">
        <w:rPr>
          <w:rFonts w:cs="Times New Roman"/>
          <w:lang w:val="fr-CA"/>
        </w:rPr>
        <w:noBreakHyphen/>
        <w:t>27</w:t>
      </w:r>
      <w:r w:rsidRPr="004F117F">
        <w:rPr>
          <w:rFonts w:cs="Times New Roman"/>
          <w:bCs/>
          <w:lang w:val="fr-CA"/>
        </w:rPr>
        <w:t>.</w:t>
      </w:r>
      <w:r w:rsidRPr="004F117F">
        <w:rPr>
          <w:rFonts w:cs="Times New Roman"/>
          <w:lang w:val="fr-CA"/>
        </w:rPr>
        <w:t xml:space="preserve"> Et ceux</w:t>
      </w:r>
      <w:r w:rsidRPr="004F117F">
        <w:rPr>
          <w:rFonts w:cs="Times New Roman"/>
          <w:lang w:val="fr-CA"/>
        </w:rPr>
        <w:noBreakHyphen/>
        <w:t xml:space="preserve">ci ont été interprétés, notamment par la Cour dans </w:t>
      </w:r>
      <w:r w:rsidRPr="004F117F">
        <w:rPr>
          <w:rFonts w:cs="Times New Roman"/>
          <w:i/>
          <w:lang w:val="fr-CA"/>
        </w:rPr>
        <w:t>Noël c. Société d’énergie de la Baie James</w:t>
      </w:r>
      <w:r w:rsidRPr="004F117F">
        <w:rPr>
          <w:rFonts w:cs="Times New Roman"/>
          <w:lang w:val="fr-CA"/>
        </w:rPr>
        <w:t xml:space="preserve">, [2001] 2 R.C.S. 207, de façon très étroite comme signifiant uniquement une conduite comportant une « intention malicieuse » ou qui « dépass[e] les limites de la discrétion raisonnablement exercée » (par. 52). Appliqué en l’espèce, cet énoncé signifie que le versement rétroactif d’ajustements salariaux n’est possible que pour sanctionner un comportement inapproprié et délibéré manifesté au cours des évaluations obligatoires, et non pas la discrimination qu’est par ailleurs susceptible de révéler le processus. Par conséquent, une fois que l’équité salariale est atteinte, les iniquités subséquentes qui apparaissent avant l’évaluation suivante ne seront pas susceptibles de correction de nature réparatrice, sauf lorsque les demandeurs peuvent prouver qu’il y a eu discrimination </w:t>
      </w:r>
      <w:r w:rsidRPr="004F117F">
        <w:rPr>
          <w:rFonts w:cs="Times New Roman"/>
          <w:i/>
          <w:lang w:val="fr-CA"/>
        </w:rPr>
        <w:t>intentionnelle</w:t>
      </w:r>
      <w:r w:rsidRPr="004F117F">
        <w:rPr>
          <w:rFonts w:cs="Times New Roman"/>
          <w:lang w:val="fr-CA"/>
        </w:rPr>
        <w:t xml:space="preserve"> (c’est</w:t>
      </w:r>
      <w:r w:rsidRPr="004F117F">
        <w:rPr>
          <w:rFonts w:cs="Times New Roman"/>
          <w:lang w:val="fr-CA"/>
        </w:rPr>
        <w:noBreakHyphen/>
        <w:t>à</w:t>
      </w:r>
      <w:r w:rsidRPr="004F117F">
        <w:rPr>
          <w:rFonts w:cs="Times New Roman"/>
          <w:lang w:val="fr-CA"/>
        </w:rPr>
        <w:noBreakHyphen/>
        <w:t xml:space="preserve">dire mauvaise foi), une conception de la discrimination que la Cour a rejetée depuis longtemps et qui va à </w:t>
      </w:r>
      <w:r w:rsidRPr="004F117F">
        <w:rPr>
          <w:rFonts w:cs="Times New Roman"/>
          <w:lang w:val="fr-CA"/>
        </w:rPr>
        <w:lastRenderedPageBreak/>
        <w:t xml:space="preserve">l’encontre de l’objet des mesures législatives en matière d’équité salariale, à savoir remédier à la discrimination </w:t>
      </w:r>
      <w:r w:rsidRPr="004F117F">
        <w:rPr>
          <w:rFonts w:cs="Times New Roman"/>
          <w:i/>
          <w:lang w:val="fr-CA"/>
        </w:rPr>
        <w:t>systémique</w:t>
      </w:r>
      <w:r w:rsidRPr="004F117F">
        <w:rPr>
          <w:rFonts w:cs="Times New Roman"/>
          <w:lang w:val="fr-CA"/>
        </w:rPr>
        <w:t>. L’article 76.3 prive en outre les salariés et les syndicats des renseignements dont ils ont besoin pour évaluer en temps utile — et peut</w:t>
      </w:r>
      <w:r w:rsidRPr="004F117F">
        <w:rPr>
          <w:rFonts w:cs="Times New Roman"/>
          <w:lang w:val="fr-CA"/>
        </w:rPr>
        <w:noBreakHyphen/>
        <w:t>être contester — des décisions que prennent les employeurs par suite des évaluations du maintien de l’équité salariale.</w:t>
      </w:r>
    </w:p>
    <w:p w:rsidR="00C208DD" w:rsidRPr="004F117F" w:rsidRDefault="00C208DD" w:rsidP="00637E44">
      <w:pPr>
        <w:pStyle w:val="ParaNoNdepar-AltN"/>
        <w:widowControl w:val="0"/>
        <w:rPr>
          <w:rFonts w:cs="Times New Roman"/>
          <w:lang w:val="fr-CA"/>
        </w:rPr>
      </w:pPr>
      <w:r w:rsidRPr="004F117F">
        <w:rPr>
          <w:rFonts w:cs="Times New Roman"/>
          <w:lang w:val="fr-CA"/>
        </w:rPr>
        <w:t>Je souscris à l’opinion du juge de première instance et de la Cour d’appel voulant que le Québec pouvait modifier son approche en matière d’équité salariale, mais que toute mesure législative adoptée par celui</w:t>
      </w:r>
      <w:r w:rsidRPr="004F117F">
        <w:rPr>
          <w:rFonts w:cs="Times New Roman"/>
          <w:lang w:val="fr-CA"/>
        </w:rPr>
        <w:noBreakHyphen/>
        <w:t>ci devait être conforme à la Constitution. Si, par exemple, l’art. 76.5 avait exigé que les ajustements salariaux s’appliquent à compter de la date de la réapparition de l’iniquité salariale, plutôt que de celle de l’affichage des résultats de l’évaluation, les employeurs n’auraient pas bénéficié d’une amnistie en matière d’équité salariale pour la période comprise entre les évaluations, et il n’y aurait pas eu d’effet discriminatoire.</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Cependant, les dispositions en cause dans le présent pourvoi ont un effet discriminatoire sur les personnes censées bénéficier de la loi, ce qui entraîne une violation </w:t>
      </w:r>
      <w:r w:rsidRPr="004F117F">
        <w:rPr>
          <w:rFonts w:cs="Times New Roman"/>
          <w:i/>
          <w:lang w:val="fr-CA"/>
        </w:rPr>
        <w:t xml:space="preserve">prima facie </w:t>
      </w:r>
      <w:r w:rsidRPr="004F117F">
        <w:rPr>
          <w:rFonts w:cs="Times New Roman"/>
          <w:lang w:val="fr-CA"/>
        </w:rPr>
        <w:t xml:space="preserve">de l’art. 15 de la </w:t>
      </w:r>
      <w:r w:rsidRPr="004F117F">
        <w:rPr>
          <w:rFonts w:cs="Times New Roman"/>
          <w:i/>
          <w:lang w:val="fr-CA"/>
        </w:rPr>
        <w:t>Charte</w:t>
      </w:r>
      <w:r w:rsidRPr="004F117F">
        <w:rPr>
          <w:rFonts w:cs="Times New Roman"/>
          <w:lang w:val="fr-CA"/>
        </w:rPr>
        <w:t>. Il y a violation parce que, lorsqu’une évaluation révèle l’existence d’une iniquité salariale, les femmes se voient refuser des ajustements salariaux rétroactifs et priver des renseignements nécessaires pour évaluer et peut</w:t>
      </w:r>
      <w:r w:rsidRPr="004F117F">
        <w:rPr>
          <w:rFonts w:cs="Times New Roman"/>
          <w:lang w:val="fr-CA"/>
        </w:rPr>
        <w:noBreakHyphen/>
        <w:t>être contester les décisions de l’employeur.</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Bien qu’il soit censé remédier à la discrimination systémique, le régime codifie en fait le refus d’accorder aux femmes des avantages dont jouissent </w:t>
      </w:r>
      <w:r w:rsidRPr="004F117F">
        <w:rPr>
          <w:rFonts w:cs="Times New Roman"/>
          <w:lang w:val="fr-CA"/>
        </w:rPr>
        <w:lastRenderedPageBreak/>
        <w:t>habituellement les hommes — à savoir une rémunération liée à la valeur de leur travail. Les hommes reçoivent cette rémunération comme si cela allait de soi; les femmes, suivant ce régime, sont quant à elles censées endurer des périodes de cinq ans d’iniquité salariale et recevoir une rémunération égale uniquement lorsque leur employeur agit volontairement de manière non discriminatoire, ou encore lorsqu’elles peuvent s’acquitter du lourd fardeau de prouver que celui</w:t>
      </w:r>
      <w:r w:rsidRPr="004F117F">
        <w:rPr>
          <w:rFonts w:cs="Times New Roman"/>
          <w:lang w:val="fr-CA"/>
        </w:rPr>
        <w:noBreakHyphen/>
        <w:t>ci a eu une conduite délibérée ou inappropriée. Le régime fait donc obstacle à l’accès des femmes à l’équité salariale. De plus, corollairement, il tolère la sous</w:t>
      </w:r>
      <w:r w:rsidRPr="004F117F">
        <w:rPr>
          <w:rFonts w:cs="Times New Roman"/>
          <w:lang w:val="fr-CA"/>
        </w:rPr>
        <w:noBreakHyphen/>
        <w:t>évaluation du travail des femmes chaque fois que celles</w:t>
      </w:r>
      <w:r w:rsidRPr="004F117F">
        <w:rPr>
          <w:rFonts w:cs="Times New Roman"/>
          <w:lang w:val="fr-CA"/>
        </w:rPr>
        <w:noBreakHyphen/>
        <w:t xml:space="preserve">ci ne peuvent s’acquitter du fardeau particulier leur incombant de prouver qu’elles devraient être payées de façon égale non pas simplement en raison de </w:t>
      </w:r>
      <w:r w:rsidRPr="004F117F">
        <w:rPr>
          <w:rFonts w:cs="Times New Roman"/>
          <w:i/>
          <w:iCs/>
          <w:lang w:val="fr-CA"/>
        </w:rPr>
        <w:t>leur</w:t>
      </w:r>
      <w:r w:rsidRPr="004F117F">
        <w:rPr>
          <w:rFonts w:cs="Times New Roman"/>
          <w:lang w:val="fr-CA"/>
        </w:rPr>
        <w:t xml:space="preserve"> égalité, mais parce que leur employeur a agi de façon inappropriée. En l’absence d’un tel comportement, on dit aux femmes sur le marché du travail qu’elles doivent tout simplement vivre avec le fait qu’elle</w:t>
      </w:r>
      <w:r w:rsidR="00F118AA">
        <w:rPr>
          <w:rFonts w:cs="Times New Roman"/>
          <w:lang w:val="fr-CA"/>
        </w:rPr>
        <w:t>s</w:t>
      </w:r>
      <w:r w:rsidRPr="004F117F">
        <w:rPr>
          <w:rFonts w:cs="Times New Roman"/>
          <w:lang w:val="fr-CA"/>
        </w:rPr>
        <w:t xml:space="preserve"> ne sont pas payées équitablement, même lorsqu’une évaluation exigée par la loi a fait ressortir celui</w:t>
      </w:r>
      <w:r w:rsidRPr="004F117F">
        <w:rPr>
          <w:rFonts w:cs="Times New Roman"/>
          <w:lang w:val="fr-CA"/>
        </w:rPr>
        <w:noBreakHyphen/>
        <w:t xml:space="preserve">ci clairement. </w:t>
      </w:r>
      <w:r w:rsidRPr="004F117F">
        <w:rPr>
          <w:rFonts w:cs="Times New Roman"/>
          <w:lang w:val="fr-CA" w:bidi="en-US"/>
        </w:rPr>
        <w:t>De cette façon, le régime, en privilégiant les employeurs, renforce l’un des facteurs</w:t>
      </w:r>
      <w:r w:rsidRPr="004F117F">
        <w:rPr>
          <w:rFonts w:cs="Times New Roman"/>
          <w:lang w:val="fr-CA" w:bidi="en-US"/>
        </w:rPr>
        <w:noBreakHyphen/>
        <w:t>clés de l’iniquité salariale : l’inégalité du rapport de force entre les employeurs et les travailleuses. En tolérant les décisions des employeurs qui entraînent des iniquités salariales pour les femmes, le législateur envoie le message selon lequel il ferme les yeux sur cette inégalité du rapport de force, perpétuant ainsi davantage le désavantage.</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De plus, les dispositions contestées entravent l’accès aux mesures antidiscrimination prévues à l’art. 19 de la </w:t>
      </w:r>
      <w:r w:rsidRPr="004F117F">
        <w:rPr>
          <w:rFonts w:cs="Times New Roman"/>
          <w:i/>
          <w:lang w:val="fr-CA"/>
        </w:rPr>
        <w:t>Charte</w:t>
      </w:r>
      <w:r w:rsidRPr="004F117F">
        <w:rPr>
          <w:rFonts w:cs="Times New Roman"/>
          <w:lang w:val="fr-CA"/>
        </w:rPr>
        <w:t xml:space="preserve"> québécoise, qui garantit le droit à un salaire égal pour un travail de valeur égale, et à l’art. 10, qui garantit le droit à l’égalité </w:t>
      </w:r>
      <w:r w:rsidRPr="004F117F">
        <w:rPr>
          <w:rFonts w:cs="Times New Roman"/>
          <w:lang w:val="fr-CA"/>
        </w:rPr>
        <w:lastRenderedPageBreak/>
        <w:t xml:space="preserve">des sexes plus généralement. Les dispositions contestées entravent l’accès à ces droits parce que les plaintes visées par la </w:t>
      </w:r>
      <w:r w:rsidRPr="004F117F">
        <w:rPr>
          <w:rFonts w:cs="Times New Roman"/>
          <w:i/>
          <w:lang w:val="fr-CA"/>
        </w:rPr>
        <w:t xml:space="preserve">Loi sur l’équité salariale </w:t>
      </w:r>
      <w:r w:rsidRPr="004F117F">
        <w:rPr>
          <w:rFonts w:cs="Times New Roman"/>
          <w:lang w:val="fr-CA"/>
        </w:rPr>
        <w:t xml:space="preserve">doivent être réglées exclusivement suivant cette loi (voir l’art. 49.1 de la </w:t>
      </w:r>
      <w:r w:rsidRPr="004F117F">
        <w:rPr>
          <w:rFonts w:cs="Times New Roman"/>
          <w:i/>
          <w:lang w:val="fr-CA"/>
        </w:rPr>
        <w:t>Charte</w:t>
      </w:r>
      <w:r w:rsidRPr="004F117F">
        <w:rPr>
          <w:rFonts w:cs="Times New Roman"/>
          <w:lang w:val="fr-CA"/>
        </w:rPr>
        <w:t xml:space="preserve"> québécoise). Les dispositions contestées de la </w:t>
      </w:r>
      <w:r w:rsidRPr="004F117F">
        <w:rPr>
          <w:rFonts w:cs="Times New Roman"/>
          <w:i/>
          <w:lang w:val="fr-CA"/>
        </w:rPr>
        <w:t xml:space="preserve">Loi sur l’équité salariale </w:t>
      </w:r>
      <w:r w:rsidRPr="004F117F">
        <w:rPr>
          <w:rFonts w:cs="Times New Roman"/>
          <w:lang w:val="fr-CA"/>
        </w:rPr>
        <w:t xml:space="preserve">empêchent l’accès à toute réparation pour la discrimination salariale fondée sur le sexe, sauf s’il y a preuve de mauvaise foi. En conséquence, pour les femmes visées par la </w:t>
      </w:r>
      <w:r w:rsidRPr="004F117F">
        <w:rPr>
          <w:rFonts w:cs="Times New Roman"/>
          <w:i/>
          <w:lang w:val="fr-CA"/>
        </w:rPr>
        <w:t>Loi sur l’équité salariale</w:t>
      </w:r>
      <w:r w:rsidRPr="004F117F">
        <w:rPr>
          <w:rFonts w:cs="Times New Roman"/>
          <w:lang w:val="fr-CA"/>
        </w:rPr>
        <w:t>, la promesse formulée à l’art. 19 concernant l’équité salariale est un droit non assorti d’une réparation, sauf en ce qui a trait aux ajustements prospectifs tous les cinq ans.</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Dans l’arrêt </w:t>
      </w:r>
      <w:r w:rsidRPr="004F117F">
        <w:rPr>
          <w:rFonts w:cs="Times New Roman"/>
          <w:i/>
          <w:lang w:val="fr-CA"/>
        </w:rPr>
        <w:t>Vriend c. Alberta</w:t>
      </w:r>
      <w:r w:rsidRPr="004F117F">
        <w:rPr>
          <w:rFonts w:cs="Times New Roman"/>
          <w:lang w:val="fr-CA"/>
        </w:rPr>
        <w:t>, [1998] 1 R.C.S. 493, la Cour a conclu à une violation de l’art. 15 en raison du</w:t>
      </w:r>
      <w:r w:rsidRPr="004F117F">
        <w:rPr>
          <w:rFonts w:cs="Times New Roman"/>
          <w:szCs w:val="24"/>
          <w:lang w:val="fr-CA"/>
        </w:rPr>
        <w:t xml:space="preserve"> « non</w:t>
      </w:r>
      <w:r w:rsidRPr="004F117F">
        <w:rPr>
          <w:rFonts w:cs="Times New Roman"/>
          <w:szCs w:val="24"/>
          <w:lang w:val="fr-CA"/>
        </w:rPr>
        <w:noBreakHyphen/>
        <w:t>accès [. . .] aux recours » permettant d’obtenir réparation pour une discrimination (</w:t>
      </w:r>
      <w:r w:rsidRPr="004F117F">
        <w:rPr>
          <w:rFonts w:cs="Times New Roman"/>
          <w:lang w:val="fr-CA"/>
        </w:rPr>
        <w:t>par. 97)</w:t>
      </w:r>
      <w:r w:rsidRPr="004F117F">
        <w:rPr>
          <w:rFonts w:cs="Times New Roman"/>
          <w:szCs w:val="24"/>
          <w:lang w:val="fr-CA"/>
        </w:rPr>
        <w:t xml:space="preserve">. </w:t>
      </w:r>
      <w:r w:rsidRPr="004F117F">
        <w:rPr>
          <w:rFonts w:cs="Times New Roman"/>
          <w:lang w:val="fr-CA"/>
        </w:rPr>
        <w:t>La même analyse s’applique en l’espèce, malgré le fait que le non</w:t>
      </w:r>
      <w:r w:rsidRPr="004F117F">
        <w:rPr>
          <w:rFonts w:cs="Times New Roman"/>
          <w:lang w:val="fr-CA"/>
        </w:rPr>
        <w:noBreakHyphen/>
        <w:t>accès prévu par la loi prend la forme d’une suspension périodique de droits à l’égalité existants plutôt que d’une exclusion totale du régime législatif. Dans les deux cas, l’effet discriminatoire est manifeste et important. Le fait de ne prévoir aucun recours pour la discrimination salariale fondée sur le sexe nie aux femmes sur le marché du travail le droit à l’égalité réelle, consacrant et perpétuant par le fait même leur désavantage préexistant (</w:t>
      </w:r>
      <w:r w:rsidRPr="004F117F">
        <w:rPr>
          <w:rFonts w:cs="Times New Roman"/>
          <w:i/>
          <w:lang w:val="fr-CA"/>
        </w:rPr>
        <w:t>Andrews</w:t>
      </w:r>
      <w:r w:rsidRPr="004F117F">
        <w:rPr>
          <w:rFonts w:cs="Times New Roman"/>
          <w:lang w:val="fr-CA"/>
        </w:rPr>
        <w:t>, p. 183).</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Mes collègues laissent néanmoins entendre qu’il n’y a aucune violation du par. 15(1) de la </w:t>
      </w:r>
      <w:r w:rsidRPr="004F117F">
        <w:rPr>
          <w:rFonts w:cs="Times New Roman"/>
          <w:i/>
          <w:lang w:val="fr-CA"/>
        </w:rPr>
        <w:t>Charte</w:t>
      </w:r>
      <w:r w:rsidRPr="004F117F">
        <w:rPr>
          <w:rFonts w:cs="Times New Roman"/>
          <w:lang w:val="fr-CA"/>
        </w:rPr>
        <w:t xml:space="preserve"> parce que le législateur québécois n’a pas </w:t>
      </w:r>
      <w:r w:rsidRPr="004F117F">
        <w:rPr>
          <w:rFonts w:cs="Times New Roman"/>
          <w:i/>
          <w:lang w:val="fr-CA"/>
        </w:rPr>
        <w:t>créé</w:t>
      </w:r>
      <w:r w:rsidRPr="004F117F">
        <w:rPr>
          <w:rFonts w:cs="Times New Roman"/>
          <w:lang w:val="fr-CA"/>
        </w:rPr>
        <w:t xml:space="preserve"> de discrimination salariale à l’endroit des femmes. Personne n’a dit qu’il l’avait fait. Toutefois, quand le gouvernement adopte une loi de manière à perpétuer un désavantage historique pour </w:t>
      </w:r>
      <w:r w:rsidRPr="004F117F">
        <w:rPr>
          <w:rFonts w:cs="Times New Roman"/>
          <w:lang w:val="fr-CA"/>
        </w:rPr>
        <w:lastRenderedPageBreak/>
        <w:t>des groupes protégés, cette loi est assujettie à un examen de la conformité à l’art. 15, quel que soit l’auteur du désavantage (</w:t>
      </w:r>
      <w:r w:rsidRPr="004F117F">
        <w:rPr>
          <w:rFonts w:cs="Times New Roman"/>
          <w:i/>
          <w:lang w:val="fr-CA"/>
        </w:rPr>
        <w:t>Vriend</w:t>
      </w:r>
      <w:r w:rsidRPr="004F117F">
        <w:rPr>
          <w:rFonts w:cs="Times New Roman"/>
          <w:lang w:val="fr-CA"/>
        </w:rPr>
        <w:t>, par. 66).</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Contrairement à ce que fait valoir le Québec, conclure en l’espèce que les modifications apportées par cette province violent l’art. 15 n’a pas pour effet d’imposer à l’État une obligation positive distincte d’adopter des régimes de prestations visant à corriger des inégalités sociales. Une telle conclusion ne mine pas non plus la capacité de l’État à agir de manière graduelle pour s’attaquer aux inégalités systémiques. L’article 15 exige cependant que l’État veille à ce que toutes les mesures qu’il prend </w:t>
      </w:r>
      <w:r w:rsidRPr="004F117F">
        <w:rPr>
          <w:rFonts w:cs="Times New Roman"/>
          <w:i/>
          <w:lang w:val="fr-CA"/>
        </w:rPr>
        <w:t xml:space="preserve">effectivement </w:t>
      </w:r>
      <w:r w:rsidRPr="004F117F">
        <w:rPr>
          <w:rFonts w:cs="Times New Roman"/>
          <w:lang w:val="fr-CA"/>
        </w:rPr>
        <w:t>n’aient pas d’effet discriminatoire (</w:t>
      </w:r>
      <w:r w:rsidRPr="004F117F">
        <w:rPr>
          <w:rFonts w:cs="Times New Roman"/>
          <w:i/>
          <w:lang w:val="fr-CA"/>
        </w:rPr>
        <w:t>Vriend</w:t>
      </w:r>
      <w:r w:rsidRPr="004F117F">
        <w:rPr>
          <w:rFonts w:cs="Times New Roman"/>
          <w:lang w:val="fr-CA"/>
        </w:rPr>
        <w:t xml:space="preserve">; </w:t>
      </w:r>
      <w:r w:rsidRPr="004F117F">
        <w:rPr>
          <w:rFonts w:cs="Times New Roman"/>
          <w:i/>
          <w:lang w:val="fr-CA"/>
        </w:rPr>
        <w:t>Eldridge c. Colombie</w:t>
      </w:r>
      <w:r w:rsidRPr="004F117F">
        <w:rPr>
          <w:rFonts w:cs="Times New Roman"/>
          <w:i/>
          <w:lang w:val="fr-CA"/>
        </w:rPr>
        <w:noBreakHyphen/>
        <w:t>Britannique (Procureur général)</w:t>
      </w:r>
      <w:r w:rsidRPr="004F117F">
        <w:rPr>
          <w:rFonts w:cs="Times New Roman"/>
          <w:lang w:val="fr-CA"/>
        </w:rPr>
        <w:t>,</w:t>
      </w:r>
      <w:r w:rsidRPr="004F117F">
        <w:rPr>
          <w:rFonts w:cs="Times New Roman"/>
          <w:i/>
          <w:lang w:val="fr-CA"/>
        </w:rPr>
        <w:t xml:space="preserve"> </w:t>
      </w:r>
      <w:r w:rsidRPr="004F117F">
        <w:rPr>
          <w:rFonts w:cs="Times New Roman"/>
          <w:lang w:val="fr-CA"/>
        </w:rPr>
        <w:t>[1997] 3 R.C.S. 624, par. 72</w:t>
      </w:r>
      <w:r w:rsidRPr="004F117F">
        <w:rPr>
          <w:rFonts w:cs="Times New Roman"/>
          <w:lang w:val="fr-CA"/>
        </w:rPr>
        <w:noBreakHyphen/>
        <w:t xml:space="preserve">80). De plus, aucun élément de preuve n’étaye le point de vue </w:t>
      </w:r>
      <w:r w:rsidRPr="004F117F">
        <w:rPr>
          <w:rFonts w:cs="Times New Roman"/>
          <w:i/>
          <w:lang w:val="fr-CA"/>
        </w:rPr>
        <w:t>in terrorem</w:t>
      </w:r>
      <w:r w:rsidRPr="004F117F">
        <w:rPr>
          <w:rFonts w:cs="Times New Roman"/>
          <w:lang w:val="fr-CA"/>
        </w:rPr>
        <w:t xml:space="preserve"> de mes collègues portant que le fait de conclure à une violation aurait un « effet paralysant » sur les législateurs. Cela équivaut à un argument selon lequel le fait d’exiger de ces derniers qu’ils se conforment aux normes établies dans la </w:t>
      </w:r>
      <w:r w:rsidRPr="004F117F">
        <w:rPr>
          <w:rFonts w:cs="Times New Roman"/>
          <w:i/>
          <w:lang w:val="fr-CA"/>
        </w:rPr>
        <w:t>Charte</w:t>
      </w:r>
      <w:r w:rsidRPr="004F117F">
        <w:rPr>
          <w:rFonts w:cs="Times New Roman"/>
          <w:lang w:val="fr-CA"/>
        </w:rPr>
        <w:t xml:space="preserve"> aurait un tel effet. Des préoccupations de nature conjecturale quant à la possibilité d’inciter les législateurs à faire montre de timidité en matière législative n’a jamais, jusqu’à maintenant, constitué un outil d’analyse reconnu pour décider s’il y a eu violation de la Constitution. Les législateurs comprennent qu’ils sont liés par la </w:t>
      </w:r>
      <w:r w:rsidRPr="004F117F">
        <w:rPr>
          <w:rFonts w:cs="Times New Roman"/>
          <w:i/>
          <w:lang w:val="fr-CA"/>
        </w:rPr>
        <w:t>Charte</w:t>
      </w:r>
      <w:r w:rsidRPr="004F117F">
        <w:rPr>
          <w:rFonts w:cs="Times New Roman"/>
          <w:lang w:val="fr-CA"/>
        </w:rPr>
        <w:t xml:space="preserve"> et que la population s’attend à ce qu’ils se conforment à celle</w:t>
      </w:r>
      <w:r w:rsidRPr="004F117F">
        <w:rPr>
          <w:rFonts w:cs="Times New Roman"/>
          <w:lang w:val="fr-CA"/>
        </w:rPr>
        <w:noBreakHyphen/>
        <w:t>ci. Les tribunaux sont des agents de facilitation, et non pas de simples spectateurs, dans cette entreprise.</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Cela nous amène à l’article premier. Pour établir que la violation </w:t>
      </w:r>
      <w:r w:rsidRPr="004F117F">
        <w:rPr>
          <w:rFonts w:cs="Times New Roman"/>
          <w:i/>
          <w:lang w:val="fr-CA"/>
        </w:rPr>
        <w:t xml:space="preserve">prima </w:t>
      </w:r>
      <w:r w:rsidRPr="004F117F">
        <w:rPr>
          <w:rFonts w:cs="Times New Roman"/>
          <w:i/>
          <w:lang w:val="fr-CA"/>
        </w:rPr>
        <w:lastRenderedPageBreak/>
        <w:t>facie</w:t>
      </w:r>
      <w:r w:rsidRPr="004F117F">
        <w:rPr>
          <w:rFonts w:cs="Times New Roman"/>
          <w:lang w:val="fr-CA"/>
        </w:rPr>
        <w:t xml:space="preserve"> de l’art. 15 est justifiée, le Québec a le fardeau de démontrer que les modifications contestées ont un objectif urgent et réel et que les moyens choisis pour réaliser cet objectif sont proportionnés à celui</w:t>
      </w:r>
      <w:r w:rsidRPr="004F117F">
        <w:rPr>
          <w:rFonts w:cs="Times New Roman"/>
          <w:lang w:val="fr-CA"/>
        </w:rPr>
        <w:noBreakHyphen/>
        <w:t xml:space="preserve">ci. </w:t>
      </w:r>
    </w:p>
    <w:p w:rsidR="00C208DD" w:rsidRPr="004F117F" w:rsidRDefault="00C208DD" w:rsidP="00637E44">
      <w:pPr>
        <w:pStyle w:val="ParaNoNdepar-AltN"/>
        <w:widowControl w:val="0"/>
        <w:rPr>
          <w:rFonts w:cs="Times New Roman"/>
          <w:lang w:val="fr-CA"/>
        </w:rPr>
      </w:pPr>
      <w:r w:rsidRPr="004F117F">
        <w:rPr>
          <w:rFonts w:cs="Times New Roman"/>
          <w:lang w:val="fr-CA"/>
        </w:rPr>
        <w:t>Je conviens avec la Cour d’appel qu’aucune des dispositions contestées ne peut être justifiée au regard de l’article premier, mais j’aborderais l’analyse un peu différemment en examinant tout d’abord l’art. 76.5 et l’art. 103.1 al. 2.</w:t>
      </w:r>
    </w:p>
    <w:p w:rsidR="00C208DD" w:rsidRPr="004F117F" w:rsidRDefault="00C208DD" w:rsidP="00637E44">
      <w:pPr>
        <w:pStyle w:val="ParaNoNdepar-AltN"/>
        <w:widowControl w:val="0"/>
        <w:rPr>
          <w:rFonts w:cs="Times New Roman"/>
          <w:lang w:val="fr-CA"/>
        </w:rPr>
      </w:pPr>
      <w:r w:rsidRPr="004F117F">
        <w:rPr>
          <w:rFonts w:cs="Times New Roman"/>
          <w:lang w:val="fr-CA"/>
        </w:rPr>
        <w:t>La première étape consiste à déterminer l’objectif des modifications contestées, puis à décider si celui</w:t>
      </w:r>
      <w:r w:rsidRPr="004F117F">
        <w:rPr>
          <w:rFonts w:cs="Times New Roman"/>
          <w:lang w:val="fr-CA"/>
        </w:rPr>
        <w:noBreakHyphen/>
        <w:t xml:space="preserve">ci est urgent et réel. Notre Cour a insisté sur le fait que « tous les volets du test établi dans </w:t>
      </w:r>
      <w:r w:rsidRPr="004F117F">
        <w:rPr>
          <w:rFonts w:cs="Times New Roman"/>
          <w:i/>
          <w:lang w:val="fr-CA"/>
        </w:rPr>
        <w:t xml:space="preserve">Oakes </w:t>
      </w:r>
      <w:r w:rsidRPr="004F117F">
        <w:rPr>
          <w:rFonts w:cs="Times New Roman"/>
          <w:lang w:val="fr-CA"/>
        </w:rPr>
        <w:t>reposent sur une détermination appropriée de l’objectif de la mesure contestée » (</w:t>
      </w:r>
      <w:r w:rsidRPr="004F117F">
        <w:rPr>
          <w:rFonts w:cs="Times New Roman"/>
          <w:i/>
          <w:lang w:val="fr-CA"/>
        </w:rPr>
        <w:t>Toronto Star Newspapers Ltd. c. Canada</w:t>
      </w:r>
      <w:r w:rsidRPr="004F117F">
        <w:rPr>
          <w:rFonts w:cs="Times New Roman"/>
          <w:lang w:val="fr-CA"/>
        </w:rPr>
        <w:t xml:space="preserve">, [2010] 1 R.C.S. 721, par. 20, </w:t>
      </w:r>
      <w:r w:rsidR="005C54CE">
        <w:rPr>
          <w:rFonts w:cs="Times New Roman"/>
          <w:lang w:val="fr-CA"/>
        </w:rPr>
        <w:t xml:space="preserve">la </w:t>
      </w:r>
      <w:r w:rsidRPr="004F117F">
        <w:rPr>
          <w:rFonts w:cs="Times New Roman"/>
          <w:lang w:val="fr-CA"/>
        </w:rPr>
        <w:t xml:space="preserve">juge Deschamps). Lorsqu’un tribunal conclut qu’une disposition législative donnée viole un droit garanti par la </w:t>
      </w:r>
      <w:r w:rsidRPr="004F117F">
        <w:rPr>
          <w:rFonts w:cs="Times New Roman"/>
          <w:i/>
          <w:lang w:val="fr-CA"/>
        </w:rPr>
        <w:t>Charte</w:t>
      </w:r>
      <w:r w:rsidRPr="004F117F">
        <w:rPr>
          <w:rFonts w:cs="Times New Roman"/>
          <w:lang w:val="fr-CA"/>
        </w:rPr>
        <w:t xml:space="preserve">, il incombe à l’État de justifier </w:t>
      </w:r>
      <w:r w:rsidRPr="004F117F">
        <w:rPr>
          <w:rFonts w:cs="Times New Roman"/>
          <w:i/>
          <w:lang w:val="fr-CA"/>
        </w:rPr>
        <w:t>cette restriction</w:t>
      </w:r>
      <w:r w:rsidRPr="004F117F">
        <w:rPr>
          <w:rFonts w:cs="Times New Roman"/>
          <w:lang w:val="fr-CA"/>
        </w:rPr>
        <w:t>, et non l’ensemble du régime législatif. Par conséquent, « [a]ux fins d’une analyse fondée sur l’article premier, l’objectif pertinent est l’objectif de la mesure attentatoire puisque c’est cette dernière et rien d’autre que l’on cherche à justifier » (</w:t>
      </w:r>
      <w:r w:rsidRPr="004F117F">
        <w:rPr>
          <w:rFonts w:cs="Times New Roman"/>
          <w:i/>
          <w:lang w:val="fr-CA"/>
        </w:rPr>
        <w:t>RJR</w:t>
      </w:r>
      <w:r w:rsidRPr="004F117F">
        <w:rPr>
          <w:rFonts w:cs="Times New Roman"/>
          <w:i/>
          <w:lang w:val="fr-CA"/>
        </w:rPr>
        <w:noBreakHyphen/>
        <w:t>MacDonald Inc. c. Canada (Procureur général)</w:t>
      </w:r>
      <w:r w:rsidRPr="004F117F">
        <w:rPr>
          <w:rFonts w:cs="Times New Roman"/>
          <w:lang w:val="fr-CA"/>
        </w:rPr>
        <w:t xml:space="preserve">, [1995] 3 R.C.S. 199, par. 144; </w:t>
      </w:r>
      <w:r w:rsidRPr="004F117F">
        <w:rPr>
          <w:rFonts w:cs="Times New Roman"/>
          <w:i/>
          <w:lang w:val="fr-CA"/>
        </w:rPr>
        <w:t>R. c. K.R.J.</w:t>
      </w:r>
      <w:r w:rsidRPr="004F117F">
        <w:rPr>
          <w:rFonts w:cs="Times New Roman"/>
          <w:lang w:val="fr-CA"/>
        </w:rPr>
        <w:t>, [2016] 1 R.C.S. 906, par. 62).</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L’objectif de la mesure qui doit être examiné en l’espèce n’est donc pas l’objectif général des modifications de 2009, mais plutôt l’objectif des restrictions précises prévues à l’art. 76.5 et à l’art. 103.1 al. 2, qui empêchent les salariées d’obtenir des ajustements salariaux pour les iniquités salariales qui apparaissent au cours de la </w:t>
      </w:r>
      <w:r w:rsidRPr="004F117F">
        <w:rPr>
          <w:rFonts w:cs="Times New Roman"/>
          <w:lang w:val="fr-CA"/>
        </w:rPr>
        <w:lastRenderedPageBreak/>
        <w:t>période de cinq ans comprise entre les évaluations du maintien de l’équité salariale.</w:t>
      </w:r>
    </w:p>
    <w:p w:rsidR="00C208DD" w:rsidRPr="004F117F" w:rsidRDefault="00C208DD" w:rsidP="00637E44">
      <w:pPr>
        <w:pStyle w:val="ParaNoNdepar-AltN"/>
        <w:widowControl w:val="0"/>
        <w:tabs>
          <w:tab w:val="left" w:pos="4770"/>
        </w:tabs>
        <w:rPr>
          <w:rFonts w:cs="Times New Roman"/>
          <w:lang w:val="fr-CA"/>
        </w:rPr>
      </w:pPr>
      <w:r w:rsidRPr="004F117F">
        <w:rPr>
          <w:rFonts w:cs="Times New Roman"/>
          <w:lang w:val="fr-CA"/>
        </w:rPr>
        <w:t>Le Québec affirme que l’objectif justifiant le refus des ajustements salariaux pour la période comprise entre les évaluations était d’accroître le respect de la loi en rendant le régime plus « réaliste ». Il a adopté une approche qui, affirme</w:t>
      </w:r>
      <w:r w:rsidRPr="004F117F">
        <w:rPr>
          <w:rFonts w:cs="Times New Roman"/>
          <w:lang w:val="fr-CA"/>
        </w:rPr>
        <w:noBreakHyphen/>
        <w:t>t</w:t>
      </w:r>
      <w:r w:rsidRPr="004F117F">
        <w:rPr>
          <w:rFonts w:cs="Times New Roman"/>
          <w:lang w:val="fr-CA"/>
        </w:rPr>
        <w:noBreakHyphen/>
        <w:t xml:space="preserve">il, tient compte des difficultés inhérentes à l’obligation continue de maintenir l’équité salariale et a mis en place un régime qui est plus facile à administrer et plus efficace. Le Québec soutient donc que l’un des avantages des modifications de 2009 est qu’il sera plus facile de repérer les iniquités salariales en raison des évaluations obligatoires. Cependant, la question constitutionnelle ne porte pas sur la nature périodique des évaluations, mais sur le fait que, quelle que soit l’iniquité que révèlent ces évaluations, on ne peut la corriger rétroactivement. Si la justification du Québec au regard de l’article premier repose sur cet argument, il n’y a aucun lien rationnel entre la violation — le refus des ajustements salariaux rétroactifs — et son objectif déclaré. </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Par souci d’exhaustivité, toutefois, j’examinerais une formulation un peu plus précise de l’objectif du Québec en faveur de laquelle il n’a pas explicitement plaidé. Citant l’un des experts des syndicats, la Cour d’appel a considéré que l’une des interprétations possibles de l’objectif du régime était d’établir un « compromis visant à éviter les lourdeurs financières et administratives que représenterait la rétroactivité pour les entreprises » (par. 84). Par voie de conséquence, le fait d’alléger ces lourdeurs en refusant les paiements rétroactifs encouragerait davantage d’employeurs à respecter volontairement la loi. Je suis disposée à reconnaître qu’encourager un respect accru de </w:t>
      </w:r>
      <w:r w:rsidRPr="004F117F">
        <w:rPr>
          <w:rFonts w:cs="Times New Roman"/>
          <w:lang w:val="fr-CA"/>
        </w:rPr>
        <w:lastRenderedPageBreak/>
        <w:t>la loi par les employeurs peut, dans certaines circonstances, constituer un objectif urgent et réel.</w:t>
      </w:r>
    </w:p>
    <w:p w:rsidR="00C208DD" w:rsidRPr="004F117F" w:rsidRDefault="00C208DD" w:rsidP="00637E44">
      <w:pPr>
        <w:pStyle w:val="ParaNoNdepar-AltN"/>
        <w:widowControl w:val="0"/>
        <w:rPr>
          <w:rFonts w:cs="Times New Roman"/>
          <w:lang w:val="fr-CA"/>
        </w:rPr>
      </w:pPr>
      <w:r w:rsidRPr="004F117F">
        <w:rPr>
          <w:rFonts w:cs="Times New Roman"/>
          <w:lang w:val="fr-CA"/>
        </w:rPr>
        <w:t>Pour ce qui est du lien rationnel, la loi a été modifiée en 2009. Il n’y a toutefois aucune preuve empirique ou autre pour établir la façon dont ces modifications ont favorisé la réalisation de l’objectif visant à assurer son respect par l’employeur, ou la raison pour laquelle le fait de refuser la rétroactivité facilite ce respect. Le lien est donc tout au plus ténu. Je suis néanmoins disposée à admettre que le fait de réduire les obligations de l’employeur peut être considéré, sur le plan théorique, comme étant rationnellement lié à un respect accru de la loi par l’employeur.</w:t>
      </w:r>
    </w:p>
    <w:p w:rsidR="00C208DD" w:rsidRPr="004F117F" w:rsidRDefault="00C208DD" w:rsidP="00637E44">
      <w:pPr>
        <w:pStyle w:val="ParaNoNdepar-AltN"/>
        <w:widowControl w:val="0"/>
        <w:rPr>
          <w:rFonts w:cs="Times New Roman"/>
          <w:lang w:val="fr-CA"/>
        </w:rPr>
      </w:pPr>
      <w:r w:rsidRPr="004F117F">
        <w:rPr>
          <w:rFonts w:cs="Times New Roman"/>
          <w:lang w:val="fr-CA"/>
        </w:rPr>
        <w:t>Toutefois, la justification commence à se dissiper à l’étape de l’atteinte minimale. Le Québec n’a d’aucune façon démontré comment les moyens qu’il a choisis « restreignent le droit [. . .] aussi peu que cela est raisonnablement possible aux fins de la réalisation de l’objectif législatif » (</w:t>
      </w:r>
      <w:r w:rsidRPr="004F117F">
        <w:rPr>
          <w:rFonts w:cs="Times New Roman"/>
          <w:i/>
          <w:lang w:val="fr-CA"/>
        </w:rPr>
        <w:t>RJR</w:t>
      </w:r>
      <w:r w:rsidRPr="004F117F">
        <w:rPr>
          <w:rFonts w:cs="Times New Roman"/>
          <w:i/>
          <w:lang w:val="fr-CA"/>
        </w:rPr>
        <w:noBreakHyphen/>
        <w:t>MacDonald</w:t>
      </w:r>
      <w:r w:rsidRPr="004F117F">
        <w:rPr>
          <w:rFonts w:cs="Times New Roman"/>
          <w:lang w:val="fr-CA"/>
        </w:rPr>
        <w:t>, par. 160) ou, autrement dit, l’absence d’[</w:t>
      </w:r>
      <w:r w:rsidRPr="004F117F">
        <w:rPr>
          <w:rFonts w:cs="Times New Roman"/>
          <w:smallCaps/>
          <w:lang w:val="fr-CA"/>
        </w:rPr>
        <w:t>traduction</w:t>
      </w:r>
      <w:r w:rsidRPr="004F117F">
        <w:rPr>
          <w:rFonts w:cs="Times New Roman"/>
          <w:lang w:val="fr-CA"/>
        </w:rPr>
        <w:t xml:space="preserve">] « une autre manière raisonnable pour le législateur de répondre à l’objectif qui ne porterait pas atteinte au droit ou à la liberté en cause, ou qui aurait une conséquence moindre sur ce droit ou cette liberté » (Robert J. Sharpe et Kent Roach, </w:t>
      </w:r>
      <w:r w:rsidRPr="004F117F">
        <w:rPr>
          <w:rFonts w:cs="Times New Roman"/>
          <w:i/>
          <w:lang w:val="fr-CA"/>
        </w:rPr>
        <w:t>The Charter of Rights and Freedoms</w:t>
      </w:r>
      <w:r w:rsidRPr="004F117F">
        <w:rPr>
          <w:rFonts w:cs="Times New Roman"/>
          <w:lang w:val="fr-CA"/>
        </w:rPr>
        <w:t xml:space="preserve"> (5</w:t>
      </w:r>
      <w:r w:rsidRPr="004F117F">
        <w:rPr>
          <w:rFonts w:cs="Times New Roman"/>
          <w:vertAlign w:val="superscript"/>
          <w:lang w:val="fr-CA"/>
        </w:rPr>
        <w:t>e</w:t>
      </w:r>
      <w:r w:rsidRPr="004F117F">
        <w:rPr>
          <w:rFonts w:cs="Times New Roman"/>
          <w:lang w:val="fr-CA"/>
        </w:rPr>
        <w:t xml:space="preserve"> éd. 2013), p. 75). </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En fait, si l’objectif du Québec était bel et bien d’accroître le respect de la loi, il n’y a virtuellement aucune preuve indiquant que d’autres façons d’encourager les employeurs à respecter la loi — comme une application plus rigoureuse des exigences prévues par la </w:t>
      </w:r>
      <w:r w:rsidRPr="004F117F">
        <w:rPr>
          <w:rFonts w:cs="Times New Roman"/>
          <w:i/>
          <w:lang w:val="fr-CA"/>
        </w:rPr>
        <w:t xml:space="preserve">Loi sur l’équité salariale </w:t>
      </w:r>
      <w:r w:rsidRPr="004F117F">
        <w:rPr>
          <w:rFonts w:cs="Times New Roman"/>
          <w:lang w:val="fr-CA"/>
        </w:rPr>
        <w:t xml:space="preserve">au moyen de ses dispositions qui créent des </w:t>
      </w:r>
      <w:r w:rsidRPr="004F117F">
        <w:rPr>
          <w:rFonts w:cs="Times New Roman"/>
          <w:lang w:val="fr-CA"/>
        </w:rPr>
        <w:lastRenderedPageBreak/>
        <w:t xml:space="preserve">infractions — seraient inefficaces. Les dispositions pénales de la </w:t>
      </w:r>
      <w:r w:rsidRPr="004F117F">
        <w:rPr>
          <w:rFonts w:cs="Times New Roman"/>
          <w:i/>
          <w:lang w:val="fr-CA"/>
        </w:rPr>
        <w:t xml:space="preserve">Loi </w:t>
      </w:r>
      <w:r w:rsidRPr="004F117F">
        <w:rPr>
          <w:rFonts w:cs="Times New Roman"/>
          <w:lang w:val="fr-CA"/>
        </w:rPr>
        <w:t>habilitent les organismes d’application de la loi concernés à accuser les employeurs d’infractions de non</w:t>
      </w:r>
      <w:r w:rsidRPr="004F117F">
        <w:rPr>
          <w:rFonts w:cs="Times New Roman"/>
          <w:lang w:val="fr-CA"/>
        </w:rPr>
        <w:noBreakHyphen/>
        <w:t xml:space="preserve">respect de leurs obligations et à leur imposer des amendes en cas de déclaration de culpabilité (art. 115 à 118). Or, </w:t>
      </w:r>
      <w:r w:rsidRPr="004F117F">
        <w:rPr>
          <w:rFonts w:cs="Times New Roman"/>
          <w:i/>
          <w:lang w:val="fr-CA"/>
        </w:rPr>
        <w:t xml:space="preserve">aucune </w:t>
      </w:r>
      <w:r w:rsidRPr="004F117F">
        <w:rPr>
          <w:rFonts w:cs="Times New Roman"/>
          <w:lang w:val="fr-CA"/>
        </w:rPr>
        <w:t>preuve n’indique que le Québec a déployé un effort véritable pour veiller au respect de la loi par les employeurs qui n’ont pas adopté un programme d’équité salariale ou pris des mesures pour atteindre et maintenir l’équité salariale requise par les anciennes dispositions. Le Québec n’a pas non plus expliqué pourquoi une telle preuve n’avait pas été présentée. En fait, il s’est contenté de dire qu’il avait essayé un régime qui créait des obligations continues pour que les femmes obtiennent un salaire équitable, mais que, comme celui</w:t>
      </w:r>
      <w:r w:rsidRPr="004F117F">
        <w:rPr>
          <w:rFonts w:cs="Times New Roman"/>
          <w:lang w:val="fr-CA"/>
        </w:rPr>
        <w:noBreakHyphen/>
        <w:t>ci n’avait pas répondu aux attentes de la province, il essaierait un nouveau régime qui élimine ces obligations.</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L’élimination des obligations en matière d’équité salariale, sauf pour ce qui est des ajustements tous les cinq ans, ne restreint pas aussi peu que cela est raisonnablement possible les droits à l’égalité des salariées, mais </w:t>
      </w:r>
      <w:r w:rsidRPr="004F117F">
        <w:rPr>
          <w:rFonts w:cs="Times New Roman"/>
          <w:i/>
          <w:lang w:val="fr-CA"/>
        </w:rPr>
        <w:t>suspend</w:t>
      </w:r>
      <w:r w:rsidRPr="004F117F">
        <w:rPr>
          <w:rFonts w:cs="Times New Roman"/>
          <w:lang w:val="fr-CA"/>
        </w:rPr>
        <w:t xml:space="preserve"> leurs droits à la protection contre la discrimination salariale pour des intervalles de cinq ans.</w:t>
      </w:r>
    </w:p>
    <w:p w:rsidR="00C208DD" w:rsidRPr="004F117F" w:rsidRDefault="00C208DD" w:rsidP="00637E44">
      <w:pPr>
        <w:pStyle w:val="ParaNoNdepar-AltN"/>
        <w:widowControl w:val="0"/>
        <w:rPr>
          <w:rFonts w:cs="Times New Roman"/>
          <w:lang w:val="fr-CA"/>
        </w:rPr>
      </w:pPr>
      <w:r w:rsidRPr="004F117F">
        <w:rPr>
          <w:rFonts w:cs="Times New Roman"/>
          <w:lang w:val="fr-CA"/>
        </w:rPr>
        <w:t>De plus, si l’objectif est d’accroître le respect de la loi, le Québec n’a pas démontré que les mesures législatives satisfont à l’obligation de mise en balance « globale » de l’analyse fondée sur l’article premier. Baisser la barre pour encourager les employeurs à respecter la loi ne signifie pas nécessairement que davantage d’employeurs déploieront les efforts nécessaires pour respecter celle</w:t>
      </w:r>
      <w:r w:rsidRPr="004F117F">
        <w:rPr>
          <w:rFonts w:cs="Times New Roman"/>
          <w:lang w:val="fr-CA"/>
        </w:rPr>
        <w:noBreakHyphen/>
        <w:t xml:space="preserve">ci; non seulement cette « incitation » ne porte pas atteinte de façon minimale au droit à la protection </w:t>
      </w:r>
      <w:r w:rsidRPr="004F117F">
        <w:rPr>
          <w:rFonts w:cs="Times New Roman"/>
          <w:lang w:val="fr-CA"/>
        </w:rPr>
        <w:lastRenderedPageBreak/>
        <w:t>contre une rémunération discriminatoire, mais ses effets préjudiciables l’emportent largement sur ses effets bénéfiques. Ses effets préjudiciables consistent en la création d’obstacles à l’accès à un salaire équitable, alors que ses effets bénéfiques sont, pour le moment, non discernables et hypothétiques, étant donné l’absence de preuve à cet égard.</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Quoi qu’il en soit, baisser la barre dans l’espoir d’obtenir le respect de la loi me semble incompatible avec le respect de l’égalité réelle. C’est un peu, selon moi, comme affirmer que, si un nombre insuffisant d’employeurs respectent l’obligation de construire des rampes d’accès pour des employés handicapés, l’obligation de fournir des milieux de travail sans obstacles sera remplacée par une obligation occasionnelle de remise à niveau. Dans l’intervalle, on privera d’accès de nombreuses personnes dans l’espoir que cet accès deviendra possible pour certaines d’entre elles. En plus de causer un préjudice disproportionné aux personnes qui revendiquent l’égalité, cela signifie qu’il est permis sur le plan constitutionnel de suspendre à l’occasion les droits à l’égalité des salariés pour encourager les employeurs à remplir leurs obligations légales antidiscrimination. </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L’article 15 protège les femmes contre la discrimination. L’équité salariale est une stratégie qui leur assure une protection contre la discrimination </w:t>
      </w:r>
      <w:r w:rsidRPr="004F117F">
        <w:rPr>
          <w:rFonts w:cs="Times New Roman"/>
          <w:i/>
          <w:lang w:val="fr-CA"/>
        </w:rPr>
        <w:t>salariale</w:t>
      </w:r>
      <w:r w:rsidRPr="004F117F">
        <w:rPr>
          <w:rFonts w:cs="Times New Roman"/>
          <w:lang w:val="fr-CA"/>
        </w:rPr>
        <w:t>. Il ne s’agit pas d’un droit épisodique ou occasionnel. La proposition conjecturale selon laquelle le fait de sacrifier ce droit dans l’espoir d’encourager un respect accru possible de la loi ne l’emporte pas sur le préjudice causé par la restriction.</w:t>
      </w:r>
    </w:p>
    <w:p w:rsidR="00C208DD" w:rsidRPr="004F117F" w:rsidRDefault="00C208DD" w:rsidP="00637E44">
      <w:pPr>
        <w:pStyle w:val="ParaNoNdepar-AltN"/>
        <w:widowControl w:val="0"/>
        <w:rPr>
          <w:rFonts w:cs="Times New Roman"/>
          <w:lang w:val="fr-CA"/>
        </w:rPr>
      </w:pPr>
      <w:r w:rsidRPr="004F117F">
        <w:rPr>
          <w:rFonts w:cs="Times New Roman"/>
          <w:lang w:val="fr-CA"/>
        </w:rPr>
        <w:lastRenderedPageBreak/>
        <w:t>Réduire les obligations des employeurs dans l’espoir d’encourager ceux</w:t>
      </w:r>
      <w:r w:rsidRPr="004F117F">
        <w:rPr>
          <w:rFonts w:cs="Times New Roman"/>
          <w:lang w:val="fr-CA"/>
        </w:rPr>
        <w:noBreakHyphen/>
        <w:t>ci à respecter la loi subordonne le droit substantiel d’ordre constitutionnel des femmes de ne pas faire l’objet de discrimination salariale à la volonté des employeurs de respecter la loi. Cela envoie aux employeurs un message de politique générale selon lequel le non</w:t>
      </w:r>
      <w:r w:rsidRPr="004F117F">
        <w:rPr>
          <w:rFonts w:cs="Times New Roman"/>
          <w:lang w:val="fr-CA"/>
        </w:rPr>
        <w:noBreakHyphen/>
        <w:t xml:space="preserve">respect des obligations légales qui leur incombent en application de la </w:t>
      </w:r>
      <w:r w:rsidRPr="004F117F">
        <w:rPr>
          <w:rFonts w:cs="Times New Roman"/>
          <w:i/>
          <w:lang w:val="fr-CA"/>
        </w:rPr>
        <w:t xml:space="preserve">Loi </w:t>
      </w:r>
      <w:r w:rsidRPr="004F117F">
        <w:rPr>
          <w:rFonts w:cs="Times New Roman"/>
          <w:lang w:val="fr-CA"/>
        </w:rPr>
        <w:t>sera récompensé par une diminution de celles</w:t>
      </w:r>
      <w:r w:rsidRPr="004F117F">
        <w:rPr>
          <w:rFonts w:cs="Times New Roman"/>
          <w:lang w:val="fr-CA"/>
        </w:rPr>
        <w:noBreakHyphen/>
        <w:t>ci.</w:t>
      </w:r>
      <w:r w:rsidRPr="004F117F">
        <w:rPr>
          <w:rFonts w:cs="Times New Roman"/>
          <w:i/>
          <w:lang w:val="fr-CA"/>
        </w:rPr>
        <w:t xml:space="preserve"> </w:t>
      </w:r>
      <w:r w:rsidRPr="004F117F">
        <w:rPr>
          <w:rFonts w:cs="Times New Roman"/>
          <w:lang w:val="fr-CA"/>
        </w:rPr>
        <w:t>Les travailleuses pour leur part reçoivent comme message que c’est à elles de supporter le fardeau financier du manque d’empressement de l’employeur. Les effets préjudiciables de cette approche sur les personnes mêmes que le régime d’équité salariale vise à aider l’emportent sur ses effets bénéfiques. En raison de ce préjudice général disproportionné, la violation causée par l’art. 76.5 et l’art. 103.1 al. 2 ne saurait être justifiée au regard de l’article premier.</w:t>
      </w:r>
    </w:p>
    <w:p w:rsidR="00C208DD" w:rsidRPr="004F117F" w:rsidRDefault="00C208DD" w:rsidP="00637E44">
      <w:pPr>
        <w:pStyle w:val="ParaNoNdepar-AltN"/>
        <w:widowControl w:val="0"/>
        <w:rPr>
          <w:rFonts w:cs="Times New Roman"/>
          <w:lang w:val="fr-CA"/>
        </w:rPr>
      </w:pPr>
      <w:r w:rsidRPr="004F117F">
        <w:rPr>
          <w:rFonts w:cs="Times New Roman"/>
          <w:lang w:val="fr-CA"/>
        </w:rPr>
        <w:t>Pour ce qui est de l’art. 76.3 — qui exclut des renseignements devant figurer dans l’évaluation affichée la date de la réapparition des iniquités salariales—, aucune des étapes de l’analyse relative à la justification n’est franchie. Le Québec n’a invoqué aucun objectif urgent et réel en particulier. En fait, il n’a pas non plus expliqué l’exclusion de ce renseignement, sauf pour dire que celui</w:t>
      </w:r>
      <w:r w:rsidRPr="004F117F">
        <w:rPr>
          <w:rFonts w:cs="Times New Roman"/>
          <w:lang w:val="fr-CA"/>
        </w:rPr>
        <w:noBreakHyphen/>
        <w:t>ci n’est pas pertinent suivant le nouveau régime, lequel exige uniquement que des ajustements soient effectués tous les cinq ans. Étant donné la conclusion que j’ai tirée plus tôt dans les présents motifs selon laquelle l’intervalle de cinq ans entre le versement des ajustements salariaux réparateurs est inconstitutionnel, la date à laquelle les iniquités salariales réapparaissent constitue un renseignement manifestement pertinent.</w:t>
      </w:r>
    </w:p>
    <w:p w:rsidR="00C208DD" w:rsidRPr="004F117F" w:rsidRDefault="00C208DD" w:rsidP="00637E44">
      <w:pPr>
        <w:pStyle w:val="ParaNoNdepar-AltN"/>
        <w:widowControl w:val="0"/>
        <w:rPr>
          <w:rFonts w:cs="Times New Roman"/>
          <w:lang w:val="fr-CA"/>
        </w:rPr>
      </w:pPr>
      <w:r w:rsidRPr="004F117F">
        <w:rPr>
          <w:rFonts w:cs="Times New Roman"/>
          <w:lang w:val="fr-CA"/>
        </w:rPr>
        <w:lastRenderedPageBreak/>
        <w:t>Je rejetterais donc le pourvoi du Québec avec dépens.</w:t>
      </w:r>
    </w:p>
    <w:p w:rsidR="00C208DD" w:rsidRPr="004F117F" w:rsidRDefault="00C208DD" w:rsidP="00637E44">
      <w:pPr>
        <w:pStyle w:val="ParaNoNdepar-AltN"/>
        <w:widowControl w:val="0"/>
        <w:rPr>
          <w:rFonts w:cs="Times New Roman"/>
          <w:lang w:val="fr-CA"/>
        </w:rPr>
      </w:pPr>
      <w:r w:rsidRPr="004F117F">
        <w:rPr>
          <w:rFonts w:cs="Times New Roman"/>
          <w:lang w:val="fr-CA"/>
        </w:rPr>
        <w:t>Pour ce qui est de l’appel incident, tant le juge de première instance que la Cour d’appel ont conclu que les syndicats ne s’étaient pas acquittés de leur fardeau de prouver l’inconstitutionnalité des dispositions de la</w:t>
      </w:r>
      <w:r w:rsidRPr="004F117F">
        <w:rPr>
          <w:rFonts w:cs="Times New Roman"/>
          <w:i/>
          <w:lang w:val="fr-CA"/>
        </w:rPr>
        <w:t xml:space="preserve"> Loi modifiant la Loi sur l’équité salariale </w:t>
      </w:r>
      <w:r w:rsidRPr="004F117F">
        <w:rPr>
          <w:rFonts w:cs="Times New Roman"/>
          <w:lang w:val="fr-CA"/>
        </w:rPr>
        <w:t xml:space="preserve">de 2009 qui ont abrogé les art. 40 à 43 de la </w:t>
      </w:r>
      <w:r w:rsidRPr="004F117F">
        <w:rPr>
          <w:rFonts w:cs="Times New Roman"/>
          <w:i/>
          <w:lang w:val="fr-CA"/>
        </w:rPr>
        <w:t>Loi sur l’équité salariale</w:t>
      </w:r>
      <w:r w:rsidRPr="004F117F">
        <w:rPr>
          <w:rFonts w:cs="Times New Roman"/>
          <w:lang w:val="fr-CA"/>
        </w:rPr>
        <w:t xml:space="preserve"> (l’obligation continue de maintenir l’équité salariale). Je suis d’accord. Comme nous l’avons vu précédemment, il était loisible au Québec d’opter pour un régime d’évaluation périodique du maintien de l’équité salariale. Il y a violation de l’art. 15 en raison de la suspension des droits à l’égalité des femmes pendant la période de cinq ans comprise entre les évaluations, et non pas en raison du caractère périodique de l’évaluation de ce maintien. </w:t>
      </w:r>
    </w:p>
    <w:p w:rsidR="00C208DD" w:rsidRPr="004F117F" w:rsidRDefault="00C208DD" w:rsidP="00637E44">
      <w:pPr>
        <w:pStyle w:val="ParaNoNdepar-AltN"/>
        <w:widowControl w:val="0"/>
        <w:rPr>
          <w:rFonts w:cs="Times New Roman"/>
          <w:lang w:val="fr-CA"/>
        </w:rPr>
      </w:pPr>
      <w:r w:rsidRPr="004F117F">
        <w:rPr>
          <w:rFonts w:cs="Times New Roman"/>
          <w:lang w:val="fr-CA"/>
        </w:rPr>
        <w:t>Les syndicats soutiennent également dans leur appel incident que le régime en cause porte atteinte à l’art. 15 du fait de la non</w:t>
      </w:r>
      <w:r w:rsidRPr="004F117F">
        <w:rPr>
          <w:rFonts w:cs="Times New Roman"/>
          <w:lang w:val="fr-CA"/>
        </w:rPr>
        <w:noBreakHyphen/>
        <w:t>participation des salariés au processus relatif au maintien de l’équité salariale. Les syndicats ne se sont pas, à mon avis, acquittés de leur fardeau de prouver que cette non</w:t>
      </w:r>
      <w:r w:rsidRPr="004F117F">
        <w:rPr>
          <w:rFonts w:cs="Times New Roman"/>
          <w:lang w:val="fr-CA"/>
        </w:rPr>
        <w:noBreakHyphen/>
        <w:t xml:space="preserve">participation avait un effet discriminatoire dans les circonstances de l’espèce. Après avoir examiné attentivement la preuve d’expert, le juge de première instance a conclu que ce qui compte ce sont les renseignements disponibles en ce qui a trait au maintien de l’équité salariale, et non pas la participation des salariés. Les syndicats n’ont pas démontré que le juge de première instance avait commis une erreur susceptible de contrôle dans cette appréciation. Comme la Cour d’appel l’a souligné à bon droit, la </w:t>
      </w:r>
      <w:r w:rsidRPr="004F117F">
        <w:rPr>
          <w:rFonts w:cs="Times New Roman"/>
          <w:i/>
          <w:lang w:val="fr-CA"/>
        </w:rPr>
        <w:t xml:space="preserve">Charte </w:t>
      </w:r>
      <w:r w:rsidRPr="004F117F">
        <w:rPr>
          <w:rFonts w:cs="Times New Roman"/>
          <w:lang w:val="fr-CA"/>
        </w:rPr>
        <w:t xml:space="preserve">ne constitutionnalise pas un </w:t>
      </w:r>
      <w:r w:rsidRPr="004F117F">
        <w:rPr>
          <w:rFonts w:cs="Times New Roman"/>
          <w:lang w:val="fr-CA"/>
        </w:rPr>
        <w:lastRenderedPageBreak/>
        <w:t>modèle unique de régime d’équité salariale. L’analyse doit demeurer axée sur l’effet discriminatoire.</w:t>
      </w:r>
    </w:p>
    <w:p w:rsidR="00C208DD" w:rsidRPr="004F117F" w:rsidRDefault="00C208DD" w:rsidP="00637E44">
      <w:pPr>
        <w:pStyle w:val="ParaNoNdepar-AltN"/>
        <w:widowControl w:val="0"/>
        <w:rPr>
          <w:rFonts w:cs="Times New Roman"/>
          <w:lang w:val="fr-CA"/>
        </w:rPr>
      </w:pPr>
      <w:r w:rsidRPr="004F117F">
        <w:rPr>
          <w:rFonts w:cs="Times New Roman"/>
          <w:lang w:val="fr-CA"/>
        </w:rPr>
        <w:t>Le pourvoi incident est donc rejeté avec dépens.</w:t>
      </w:r>
    </w:p>
    <w:p w:rsidR="00C208DD" w:rsidRPr="004F117F" w:rsidRDefault="00A06454" w:rsidP="00637E44">
      <w:pPr>
        <w:pStyle w:val="ParaNoNdepar-AltN"/>
        <w:widowControl w:val="0"/>
        <w:numPr>
          <w:ilvl w:val="0"/>
          <w:numId w:val="0"/>
        </w:numPr>
        <w:tabs>
          <w:tab w:val="left" w:pos="1166"/>
        </w:tabs>
        <w:rPr>
          <w:lang w:val="fr-CA"/>
        </w:rPr>
      </w:pPr>
      <w:r>
        <w:rPr>
          <w:lang w:val="fr-CA"/>
        </w:rPr>
        <w:tab/>
      </w:r>
      <w:r w:rsidR="00C208DD" w:rsidRPr="004F117F">
        <w:rPr>
          <w:lang w:val="fr-CA"/>
        </w:rPr>
        <w:t>Les motifs suivants ont été rendus par</w:t>
      </w:r>
    </w:p>
    <w:p w:rsidR="00C208DD" w:rsidRPr="004F117F" w:rsidRDefault="00C208DD" w:rsidP="00637E44">
      <w:pPr>
        <w:widowControl w:val="0"/>
        <w:rPr>
          <w:lang w:val="fr-CA"/>
        </w:rPr>
      </w:pPr>
    </w:p>
    <w:p w:rsidR="00C208DD" w:rsidRPr="004F117F" w:rsidRDefault="00C208DD" w:rsidP="00637E44">
      <w:pPr>
        <w:pStyle w:val="JudgeJuge"/>
        <w:widowControl w:val="0"/>
        <w:rPr>
          <w:lang w:val="fr-CA"/>
        </w:rPr>
      </w:pPr>
      <w:r w:rsidRPr="004F117F">
        <w:rPr>
          <w:lang w:val="fr-CA"/>
        </w:rPr>
        <w:tab/>
        <w:t>Les juges Côté, Brown et Rowe</w:t>
      </w:r>
      <w:r w:rsidR="005C54CE" w:rsidRPr="005C54CE">
        <w:rPr>
          <w:smallCaps w:val="0"/>
          <w:lang w:val="fr-CA"/>
        </w:rPr>
        <w:t xml:space="preserve"> (dissidents) </w:t>
      </w:r>
      <w:r w:rsidRPr="004F117F">
        <w:rPr>
          <w:lang w:val="fr-CA"/>
        </w:rPr>
        <w:t xml:space="preserve">— </w:t>
      </w:r>
    </w:p>
    <w:p w:rsidR="00C208DD" w:rsidRPr="004F117F" w:rsidRDefault="00C208DD" w:rsidP="00637E44">
      <w:pPr>
        <w:pStyle w:val="Title1LevelTitre1Niveau-AltL"/>
        <w:widowControl w:val="0"/>
        <w:numPr>
          <w:ilvl w:val="0"/>
          <w:numId w:val="8"/>
        </w:numPr>
        <w:rPr>
          <w:rFonts w:cs="Times New Roman"/>
          <w:lang w:val="fr-CA"/>
        </w:rPr>
      </w:pPr>
      <w:r w:rsidRPr="004F117F">
        <w:rPr>
          <w:rFonts w:cs="Times New Roman"/>
          <w:lang w:val="fr-CA"/>
        </w:rPr>
        <w:t>Introduction</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Depuis l’entrée en vigueur de la </w:t>
      </w:r>
      <w:r w:rsidRPr="004F117F">
        <w:rPr>
          <w:rFonts w:cs="Times New Roman"/>
          <w:i/>
          <w:lang w:val="fr-CA"/>
        </w:rPr>
        <w:t>Charte canadienne des droits et libertés</w:t>
      </w:r>
      <w:r w:rsidRPr="004F117F">
        <w:rPr>
          <w:rFonts w:cs="Times New Roman"/>
          <w:lang w:val="fr-CA"/>
        </w:rPr>
        <w:t xml:space="preserve">, la jurisprudence relative au droit à l’égalité prévu à l’art. 15 a été en constante mouvance en raison de ses limites conceptuelles peu définies. En 1989, dans l’arrêt </w:t>
      </w:r>
      <w:r w:rsidRPr="004F117F">
        <w:rPr>
          <w:rFonts w:cs="Times New Roman"/>
          <w:i/>
          <w:lang w:val="fr-CA"/>
        </w:rPr>
        <w:t xml:space="preserve">Andrews </w:t>
      </w:r>
      <w:r w:rsidRPr="004F117F">
        <w:rPr>
          <w:rFonts w:cs="Times New Roman"/>
          <w:i/>
          <w:lang w:val="fr-FR"/>
        </w:rPr>
        <w:t>c. Law Society of British Columbia</w:t>
      </w:r>
      <w:r w:rsidRPr="004F117F">
        <w:rPr>
          <w:rFonts w:cs="Times New Roman"/>
          <w:lang w:val="fr-CA"/>
        </w:rPr>
        <w:t xml:space="preserve">, [1989] 1 R.C.S. 143, le juge McIntyre a pris conscience de la délicatesse de la tâche qui incombait à la Cour, à savoir délimiter la portée du droit à l’égalité et proposer une méthode efficace pour protéger ce droit. Le juge McIntyre qualifiait alors le droit à l’égalité de « concept difficile à saisir qui, plus que tous les autres droits et libertés garantis dans la </w:t>
      </w:r>
      <w:r w:rsidRPr="004F117F">
        <w:rPr>
          <w:rFonts w:cs="Times New Roman"/>
          <w:i/>
          <w:lang w:val="fr-CA"/>
        </w:rPr>
        <w:t>Charte</w:t>
      </w:r>
      <w:r w:rsidRPr="004F117F">
        <w:rPr>
          <w:rFonts w:cs="Times New Roman"/>
          <w:lang w:val="fr-CA"/>
        </w:rPr>
        <w:t xml:space="preserve">, ne comporte pas de définition précise » (p. 164). </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Dix ans plus tard, dans l’affaire </w:t>
      </w:r>
      <w:r w:rsidRPr="004F117F">
        <w:rPr>
          <w:rFonts w:cs="Times New Roman"/>
          <w:i/>
          <w:lang w:val="fr-CA"/>
        </w:rPr>
        <w:t xml:space="preserve">Law </w:t>
      </w:r>
      <w:r w:rsidRPr="004F117F">
        <w:rPr>
          <w:rFonts w:cs="Times New Roman"/>
          <w:i/>
          <w:lang w:val="fr-FR"/>
        </w:rPr>
        <w:t>c. Canada (Ministre de l’Emploi et de l’Immigration)</w:t>
      </w:r>
      <w:r w:rsidRPr="004F117F">
        <w:rPr>
          <w:rFonts w:cs="Times New Roman"/>
          <w:lang w:val="fr-FR"/>
        </w:rPr>
        <w:t xml:space="preserve">, </w:t>
      </w:r>
      <w:r w:rsidRPr="004F117F">
        <w:rPr>
          <w:rStyle w:val="reflex3-alt"/>
          <w:rFonts w:cs="Times New Roman"/>
          <w:lang w:val="fr-FR"/>
        </w:rPr>
        <w:t xml:space="preserve">[1999] 1 R.C.S. 497, </w:t>
      </w:r>
      <w:r w:rsidRPr="004F117F">
        <w:rPr>
          <w:rFonts w:cs="Times New Roman"/>
          <w:lang w:val="fr-CA"/>
        </w:rPr>
        <w:t>le juge Iacobucci</w:t>
      </w:r>
      <w:r w:rsidRPr="004F117F">
        <w:rPr>
          <w:rFonts w:cs="Times New Roman"/>
          <w:lang w:val="fr-FR"/>
        </w:rPr>
        <w:t xml:space="preserve"> </w:t>
      </w:r>
      <w:r w:rsidRPr="004F117F">
        <w:rPr>
          <w:rFonts w:cs="Times New Roman"/>
          <w:lang w:val="fr-CA"/>
        </w:rPr>
        <w:t xml:space="preserve">évoquait la difficulté quasi </w:t>
      </w:r>
      <w:r w:rsidRPr="004F117F">
        <w:rPr>
          <w:rFonts w:cs="Times New Roman"/>
          <w:lang w:val="fr-CA"/>
        </w:rPr>
        <w:lastRenderedPageBreak/>
        <w:t xml:space="preserve">inhérente qui réside dans l’interprétation de l’art. 15 de la </w:t>
      </w:r>
      <w:r w:rsidRPr="004F117F">
        <w:rPr>
          <w:rFonts w:cs="Times New Roman"/>
          <w:i/>
          <w:lang w:val="fr-CA"/>
        </w:rPr>
        <w:t>Charte</w:t>
      </w:r>
      <w:r w:rsidRPr="004F117F">
        <w:rPr>
          <w:rFonts w:cs="Times New Roman"/>
          <w:lang w:val="fr-CA"/>
        </w:rPr>
        <w:t xml:space="preserve">. Il soutenait que « [l]a recherche de l’égalité symbolise certains des idéaux et certaines des aspirations les plus élevés de l’humanité, lesquels sont par nature abstraits et soumis à </w:t>
      </w:r>
      <w:r w:rsidR="00F118AA">
        <w:rPr>
          <w:rFonts w:cs="Times New Roman"/>
          <w:lang w:val="fr-CA"/>
        </w:rPr>
        <w:t xml:space="preserve">différents modes d’expression. </w:t>
      </w:r>
      <w:r w:rsidRPr="004F117F">
        <w:rPr>
          <w:rFonts w:cs="Times New Roman"/>
          <w:lang w:val="fr-CA"/>
        </w:rPr>
        <w:t xml:space="preserve">Le défi auquel fait face l’appareil judiciaire à l’égard de l’interprétation et de l’application du par. 15(1) de la </w:t>
      </w:r>
      <w:r w:rsidRPr="004F117F">
        <w:rPr>
          <w:rFonts w:cs="Times New Roman"/>
          <w:i/>
          <w:lang w:val="fr-CA"/>
        </w:rPr>
        <w:t>Charte</w:t>
      </w:r>
      <w:r w:rsidRPr="004F117F">
        <w:rPr>
          <w:rFonts w:cs="Times New Roman"/>
          <w:lang w:val="fr-CA"/>
        </w:rPr>
        <w:t xml:space="preserve"> est de mettre en œuvre ces idéaux et ces aspirations d’une manière qui ait un sens pour les Canadiens et qui soit conforme à l’objet de cette disposition » (par. 2)</w:t>
      </w:r>
      <w:r w:rsidRPr="004F117F">
        <w:rPr>
          <w:rFonts w:cs="Times New Roman"/>
          <w:lang w:val="fr-FR"/>
        </w:rPr>
        <w:t>.</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Selon nous, les motifs de la juge Abella ne reflètent pas cette recherche de l’égalité qui s’impose depuis </w:t>
      </w:r>
      <w:r w:rsidRPr="004F117F">
        <w:rPr>
          <w:rFonts w:cs="Times New Roman"/>
          <w:i/>
          <w:lang w:val="fr-CA"/>
        </w:rPr>
        <w:t>Andrews</w:t>
      </w:r>
      <w:r w:rsidRPr="004F117F">
        <w:rPr>
          <w:rFonts w:cs="Times New Roman"/>
          <w:lang w:val="fr-CA"/>
        </w:rPr>
        <w:t xml:space="preserve">. Comme il appert du dossier connexe </w:t>
      </w:r>
      <w:r w:rsidRPr="004F117F">
        <w:rPr>
          <w:rFonts w:cs="Times New Roman"/>
          <w:i/>
          <w:lang w:val="fr-CA"/>
        </w:rPr>
        <w:t>Centrale des syndicats du Québec c. Québec (Procureure générale)</w:t>
      </w:r>
      <w:r w:rsidR="005C54CE">
        <w:rPr>
          <w:rFonts w:cs="Times New Roman"/>
          <w:lang w:val="fr-CA"/>
        </w:rPr>
        <w:t xml:space="preserve">, 2018 CSC 18, [2018] 1 R.C.S. </w:t>
      </w:r>
      <w:r w:rsidR="00AA35E0">
        <w:rPr>
          <w:rFonts w:cs="Times New Roman"/>
          <w:lang w:val="fr-CA"/>
        </w:rPr>
        <w:t>522</w:t>
      </w:r>
      <w:r w:rsidR="005C54CE">
        <w:rPr>
          <w:rFonts w:cs="Times New Roman"/>
          <w:lang w:val="fr-CA"/>
        </w:rPr>
        <w:t xml:space="preserve">, </w:t>
      </w:r>
      <w:r w:rsidRPr="004F117F">
        <w:rPr>
          <w:rFonts w:cs="Times New Roman"/>
          <w:lang w:val="fr-CA"/>
        </w:rPr>
        <w:t xml:space="preserve">le Québec a été un précurseur dans la lutte contre les iniquités salariales dans les entreprises privées au Canada. Les modifications à la </w:t>
      </w:r>
      <w:r w:rsidRPr="004F117F">
        <w:rPr>
          <w:rFonts w:cs="Times New Roman"/>
          <w:i/>
          <w:lang w:val="fr-CA"/>
        </w:rPr>
        <w:t>Loi sur l’équité salariale</w:t>
      </w:r>
      <w:r w:rsidRPr="004F117F">
        <w:rPr>
          <w:rFonts w:cs="Times New Roman"/>
          <w:lang w:val="fr-CA"/>
        </w:rPr>
        <w:t>, L.Q. 1996, c. 43 (maintenant RLRQ, c. E</w:t>
      </w:r>
      <w:r w:rsidRPr="004F117F">
        <w:rPr>
          <w:rFonts w:cs="Times New Roman"/>
          <w:lang w:val="fr-CA"/>
        </w:rPr>
        <w:noBreakHyphen/>
        <w:t xml:space="preserve">12.001) (« Loi »), s’inscrivent dans ces efforts. Dans un tel contexte, il est profondément inique vis-à-vis de la société québécoise de qualifier ces modifications d’inconstitutionnelles dans la mesure où l’Assemblée nationale du Québec a remplacé un mécanisme inefficace pour assurer le maintien </w:t>
      </w:r>
      <w:r w:rsidRPr="004F117F">
        <w:rPr>
          <w:rFonts w:cs="Times New Roman"/>
          <w:i/>
          <w:lang w:val="fr-CA"/>
        </w:rPr>
        <w:t>réel</w:t>
      </w:r>
      <w:r w:rsidRPr="004F117F">
        <w:rPr>
          <w:rFonts w:cs="Times New Roman"/>
          <w:lang w:val="fr-CA"/>
        </w:rPr>
        <w:t xml:space="preserve"> de l’équité salariale par un processus d’évaluation quinquennal du programme d’équité salariale implanté dans les entreprises. Le choix d’adopter cette mesure qui, de toute façon, améliore la situation des personnes salariées visées par rapport à l’ancien régime, appartient aux élus québécois et non à notre Cour. </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Le présent pourvoi porte sur la question relative à la nature des droits </w:t>
      </w:r>
      <w:r w:rsidRPr="004F117F">
        <w:rPr>
          <w:rFonts w:cs="Times New Roman"/>
          <w:lang w:val="fr-CA"/>
        </w:rPr>
        <w:lastRenderedPageBreak/>
        <w:t xml:space="preserve">conférés par la </w:t>
      </w:r>
      <w:r w:rsidRPr="004F117F">
        <w:rPr>
          <w:rFonts w:cs="Times New Roman"/>
          <w:i/>
          <w:lang w:val="fr-CA"/>
        </w:rPr>
        <w:t>Charte</w:t>
      </w:r>
      <w:r w:rsidRPr="004F117F">
        <w:rPr>
          <w:rFonts w:cs="Times New Roman"/>
          <w:lang w:val="fr-CA"/>
        </w:rPr>
        <w:t xml:space="preserve">. Fondamentalement, ces droits sont </w:t>
      </w:r>
      <w:r w:rsidRPr="004F117F">
        <w:rPr>
          <w:rFonts w:cs="Times New Roman"/>
          <w:i/>
          <w:lang w:val="fr-CA"/>
        </w:rPr>
        <w:t>négatifs</w:t>
      </w:r>
      <w:r w:rsidRPr="004F117F">
        <w:rPr>
          <w:rFonts w:cs="Times New Roman"/>
          <w:lang w:val="fr-CA"/>
        </w:rPr>
        <w:t xml:space="preserve"> en ce qu’ils empêchent l’État d’agir d’une façon qui y porterait atteinte. Ils n’imposent aucune obligation au gouvernement d’agir de façon à obtenir certains résultats dans la société, comme l’éradication complète et définitive des iniquités salariales fondées sur le sexe dans les entreprises privées. Donner à la </w:t>
      </w:r>
      <w:r w:rsidRPr="004F117F">
        <w:rPr>
          <w:rFonts w:cs="Times New Roman"/>
          <w:i/>
          <w:lang w:val="fr-CA"/>
        </w:rPr>
        <w:t xml:space="preserve">Charte </w:t>
      </w:r>
      <w:r w:rsidRPr="004F117F">
        <w:rPr>
          <w:rFonts w:cs="Times New Roman"/>
          <w:lang w:val="fr-CA"/>
        </w:rPr>
        <w:t xml:space="preserve">une interprétation qui impose une telle obligation </w:t>
      </w:r>
      <w:r w:rsidRPr="004F117F">
        <w:rPr>
          <w:rFonts w:cs="Times New Roman"/>
          <w:i/>
          <w:lang w:val="fr-CA"/>
        </w:rPr>
        <w:t>positive</w:t>
      </w:r>
      <w:r w:rsidRPr="004F117F">
        <w:rPr>
          <w:rFonts w:cs="Times New Roman"/>
          <w:lang w:val="fr-CA"/>
        </w:rPr>
        <w:t xml:space="preserve"> transformerait sa nature et conférerait aux tribunaux la responsabilité inusitée d’en superviser le degré de conformité. C’est pourtant la conséquence qui découle de l’interprétation de notre collègue. Même si des politiques gouvernementales ou des lois visant la protection des droits de la personne peuvent avoir pour objet l’élimination des iniquités salariales dans les entreprises privées, il ne s’agit pas d’une obligation constitutionnelle : </w:t>
      </w:r>
      <w:r w:rsidRPr="004F117F">
        <w:rPr>
          <w:rFonts w:cs="Times New Roman"/>
          <w:i/>
          <w:lang w:val="fr-CA"/>
        </w:rPr>
        <w:t>Auton (Tutrice à l’instance de) c. Colombie-Britannique (Procureur général)</w:t>
      </w:r>
      <w:r w:rsidRPr="004F117F">
        <w:rPr>
          <w:rFonts w:cs="Times New Roman"/>
          <w:lang w:val="fr-CA"/>
        </w:rPr>
        <w:t xml:space="preserve">, 2004 CSC 78, [2004] 3 R.C.S. 657, par. 41.  </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En réalité, la </w:t>
      </w:r>
      <w:r w:rsidRPr="004F117F">
        <w:rPr>
          <w:rFonts w:cs="Times New Roman"/>
          <w:i/>
          <w:lang w:val="fr-CA"/>
        </w:rPr>
        <w:t>Charte</w:t>
      </w:r>
      <w:r w:rsidRPr="004F117F">
        <w:rPr>
          <w:rFonts w:cs="Times New Roman"/>
          <w:lang w:val="fr-CA"/>
        </w:rPr>
        <w:t xml:space="preserve"> vise à protéger l’égalité réelle, notamment en faisant en sorte que les actions gouvernementales n’empêchent pas les </w:t>
      </w:r>
      <w:r w:rsidRPr="004F117F">
        <w:rPr>
          <w:rFonts w:cs="Times New Roman"/>
          <w:lang w:val="fr-FR"/>
        </w:rPr>
        <w:t xml:space="preserve">membres des groupes énumérés ou analogues d’avoir accès à des mesures qui bénéficient à la population en général : </w:t>
      </w:r>
      <w:r w:rsidRPr="004F117F">
        <w:rPr>
          <w:rFonts w:cs="Times New Roman"/>
          <w:i/>
          <w:iCs/>
          <w:lang w:val="fr-FR"/>
        </w:rPr>
        <w:t>Andrews</w:t>
      </w:r>
      <w:r w:rsidRPr="004F117F">
        <w:rPr>
          <w:rFonts w:cs="Times New Roman"/>
          <w:iCs/>
          <w:lang w:val="fr-FR"/>
        </w:rPr>
        <w:t>,</w:t>
      </w:r>
      <w:r w:rsidRPr="004F117F">
        <w:rPr>
          <w:rFonts w:cs="Times New Roman"/>
          <w:i/>
          <w:iCs/>
          <w:lang w:val="fr-FR"/>
        </w:rPr>
        <w:t xml:space="preserve"> </w:t>
      </w:r>
      <w:r w:rsidRPr="004F117F">
        <w:rPr>
          <w:rFonts w:cs="Times New Roman"/>
          <w:iCs/>
          <w:lang w:val="fr-FR"/>
        </w:rPr>
        <w:t>p. </w:t>
      </w:r>
      <w:r w:rsidRPr="004F117F">
        <w:rPr>
          <w:rFonts w:cs="Times New Roman"/>
          <w:lang w:val="fr-FR"/>
        </w:rPr>
        <w:t xml:space="preserve">174; </w:t>
      </w:r>
      <w:r w:rsidRPr="004F117F">
        <w:rPr>
          <w:rFonts w:cs="Times New Roman"/>
          <w:i/>
          <w:lang w:val="fr-FR"/>
        </w:rPr>
        <w:t>Québec (Procureur général) c. A</w:t>
      </w:r>
      <w:r w:rsidRPr="004F117F">
        <w:rPr>
          <w:rFonts w:cs="Times New Roman"/>
          <w:lang w:val="fr-FR"/>
        </w:rPr>
        <w:t xml:space="preserve">, 2013 CSC 5, [2013] 1 R.C.S. 61, par. 322-323. Cependant, elle n’impose pas une obligation de résultat lorsque le législateur met en place des mesures visant précisément à rétrécir l’écart entre le groupe et le reste de la société. La </w:t>
      </w:r>
      <w:r w:rsidRPr="004F117F">
        <w:rPr>
          <w:rFonts w:cs="Times New Roman"/>
          <w:i/>
          <w:lang w:val="fr-FR"/>
        </w:rPr>
        <w:t>Charte</w:t>
      </w:r>
      <w:r w:rsidRPr="004F117F">
        <w:rPr>
          <w:rFonts w:cs="Times New Roman"/>
          <w:lang w:val="fr-FR"/>
        </w:rPr>
        <w:t xml:space="preserve"> n’a pas pour effet de contraindre l’État à atteindre l’égalité dans les secteurs qui ne relèvent pas du domaine d’activité du gouvernement, par exemple dans les entreprises privées. En toute logique, si la </w:t>
      </w:r>
      <w:r w:rsidRPr="004F117F">
        <w:rPr>
          <w:rFonts w:cs="Times New Roman"/>
          <w:lang w:val="fr-FR"/>
        </w:rPr>
        <w:lastRenderedPageBreak/>
        <w:t xml:space="preserve">mesure visant à réduire l’inégalité n’a pas pour effet d’accentuer le désavantage préexistant dont le groupe fait l’objet, par rapport à la situation qui existerait en l’absence de l’intervention de l’État, la mesure est constitutionnelle. À plus forte raison, la mesure améliorant la situation du groupe respecte également la lettre et l’esprit de la </w:t>
      </w:r>
      <w:r w:rsidRPr="004F117F">
        <w:rPr>
          <w:rFonts w:cs="Times New Roman"/>
          <w:i/>
          <w:lang w:val="fr-FR"/>
        </w:rPr>
        <w:t>Charte</w:t>
      </w:r>
      <w:r w:rsidRPr="004F117F">
        <w:rPr>
          <w:rFonts w:cs="Times New Roman"/>
          <w:lang w:val="fr-FR"/>
        </w:rPr>
        <w:t xml:space="preserve">. Selon les enseignements de notre Cour, cette mesure sera d’ailleurs </w:t>
      </w:r>
      <w:r w:rsidRPr="004F117F">
        <w:rPr>
          <w:rFonts w:cs="Times New Roman"/>
          <w:i/>
          <w:lang w:val="fr-FR"/>
        </w:rPr>
        <w:t>protégée</w:t>
      </w:r>
      <w:r w:rsidRPr="004F117F">
        <w:rPr>
          <w:rFonts w:cs="Times New Roman"/>
          <w:lang w:val="fr-FR"/>
        </w:rPr>
        <w:t xml:space="preserve"> par l’application du par. 15(2).</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Diverses théories socio-économiques prônent des visions différentes quant à la méthode appropriée de redistribution des avantages économiques et la mise en place de mécanismes ayant pour but de promouvoir la justice sociale. Notre Cour n’a pas </w:t>
      </w:r>
      <w:r w:rsidRPr="004F117F">
        <w:rPr>
          <w:rFonts w:cs="Times New Roman"/>
          <w:lang w:val="fr-FR"/>
        </w:rPr>
        <w:t xml:space="preserve">le mandat de dicter le meilleur moyen d’atteindre un idéal social, ni celui de se prononcer sur la pertinence des politiques sous-jacentes à l’adoption des lois : </w:t>
      </w:r>
      <w:r w:rsidRPr="004F117F">
        <w:rPr>
          <w:rFonts w:cs="Times New Roman"/>
          <w:i/>
          <w:lang w:val="fr-FR"/>
        </w:rPr>
        <w:t>Renvoi sur la Motor Vehicle Act (C.-B.)</w:t>
      </w:r>
      <w:r w:rsidRPr="004F117F">
        <w:rPr>
          <w:rFonts w:cs="Times New Roman"/>
          <w:lang w:val="fr-FR"/>
        </w:rPr>
        <w:t xml:space="preserve">, [1985] 2 R.C.S. 486, p. 496; voir aussi </w:t>
      </w:r>
      <w:r w:rsidR="00855DA8">
        <w:rPr>
          <w:rFonts w:cs="Times New Roman"/>
          <w:lang w:val="fr-FR"/>
        </w:rPr>
        <w:t>les motifs</w:t>
      </w:r>
      <w:r w:rsidR="00F37E19">
        <w:rPr>
          <w:rFonts w:cs="Times New Roman"/>
          <w:lang w:val="fr-FR"/>
        </w:rPr>
        <w:t xml:space="preserve"> </w:t>
      </w:r>
      <w:r w:rsidRPr="004F117F">
        <w:rPr>
          <w:rFonts w:cs="Times New Roman"/>
          <w:lang w:val="fr-FR"/>
        </w:rPr>
        <w:t>des juges Rothstein et Wagner</w:t>
      </w:r>
      <w:r w:rsidR="00855DA8">
        <w:rPr>
          <w:rFonts w:cs="Times New Roman"/>
          <w:lang w:val="fr-FR"/>
        </w:rPr>
        <w:t>, dissidents en partie,</w:t>
      </w:r>
      <w:r w:rsidRPr="004F117F">
        <w:rPr>
          <w:rFonts w:cs="Times New Roman"/>
          <w:lang w:val="fr-FR"/>
        </w:rPr>
        <w:t xml:space="preserve"> dans </w:t>
      </w:r>
      <w:r w:rsidRPr="004F117F">
        <w:rPr>
          <w:rFonts w:cs="Times New Roman"/>
          <w:i/>
          <w:lang w:val="fr-CA"/>
        </w:rPr>
        <w:t>Saskatchewan Federation of Labour c. Saskatchewan</w:t>
      </w:r>
      <w:r w:rsidRPr="004F117F">
        <w:rPr>
          <w:rFonts w:cs="Times New Roman"/>
          <w:lang w:val="fr-CA"/>
        </w:rPr>
        <w:t>, 2015 CSC 4, [2015] 1 R.C.S. 245, par. 116-118.</w:t>
      </w:r>
    </w:p>
    <w:p w:rsidR="00C208DD" w:rsidRPr="004F117F" w:rsidRDefault="00C208DD" w:rsidP="00637E44">
      <w:pPr>
        <w:pStyle w:val="ParaNoNdepar-AltN"/>
        <w:widowControl w:val="0"/>
        <w:rPr>
          <w:rFonts w:cs="Times New Roman"/>
          <w:lang w:val="fr-CA"/>
        </w:rPr>
      </w:pPr>
      <w:r w:rsidRPr="004F117F">
        <w:rPr>
          <w:rFonts w:cs="Times New Roman"/>
          <w:lang w:val="fr-CA"/>
        </w:rPr>
        <w:t>En somme, nous ne pouvons souscrire à l’analyse proposée par la juge Abella puisque nous considérons que l’écart entre les salariées visées par la Loi et le reste de la société ne s’est pas agrandi suivant l’adoption des modifications législatives à l’étude. À cet égard, elle fait</w:t>
      </w:r>
      <w:r w:rsidRPr="004F117F">
        <w:rPr>
          <w:rFonts w:cs="Times New Roman"/>
          <w:lang w:val="fr-FR"/>
        </w:rPr>
        <w:t xml:space="preserve"> erreur en adoptant une interprétation stricte des art. 76.9 et 101 de la Loi qui limite leur portée réelle. Corrélativement</w:t>
      </w:r>
      <w:r w:rsidRPr="004F117F">
        <w:rPr>
          <w:rFonts w:cs="Times New Roman"/>
          <w:lang w:val="fr-CA"/>
        </w:rPr>
        <w:t xml:space="preserve">, la Loi ne </w:t>
      </w:r>
      <w:r w:rsidRPr="004F117F">
        <w:rPr>
          <w:rFonts w:cs="Times New Roman"/>
          <w:i/>
          <w:lang w:val="fr-CA"/>
        </w:rPr>
        <w:t xml:space="preserve">perpétue </w:t>
      </w:r>
      <w:r w:rsidRPr="004F117F">
        <w:rPr>
          <w:rFonts w:cs="Times New Roman"/>
          <w:lang w:val="fr-CA"/>
        </w:rPr>
        <w:t>pas de désavantages préexistants.</w:t>
      </w:r>
    </w:p>
    <w:p w:rsidR="00C208DD" w:rsidRPr="004F117F" w:rsidRDefault="00C208DD" w:rsidP="00637E44">
      <w:pPr>
        <w:pStyle w:val="Title1LevelTitre1Niveau-AltL"/>
        <w:widowControl w:val="0"/>
        <w:numPr>
          <w:ilvl w:val="0"/>
          <w:numId w:val="8"/>
        </w:numPr>
        <w:rPr>
          <w:rFonts w:cs="Times New Roman"/>
          <w:lang w:val="fr-CA"/>
        </w:rPr>
      </w:pPr>
      <w:r w:rsidRPr="004F117F">
        <w:rPr>
          <w:rFonts w:cs="Times New Roman"/>
          <w:lang w:val="fr-CA"/>
        </w:rPr>
        <w:t>Analyse</w:t>
      </w:r>
    </w:p>
    <w:p w:rsidR="00C208DD" w:rsidRPr="004F117F" w:rsidRDefault="00C208DD" w:rsidP="00637E44">
      <w:pPr>
        <w:pStyle w:val="Title2LevelTitre2Niveau"/>
        <w:widowControl w:val="0"/>
        <w:numPr>
          <w:ilvl w:val="1"/>
          <w:numId w:val="8"/>
        </w:numPr>
        <w:rPr>
          <w:rFonts w:cs="Times New Roman"/>
          <w:lang w:val="fr-CA"/>
        </w:rPr>
      </w:pPr>
      <w:r w:rsidRPr="004F117F">
        <w:rPr>
          <w:rFonts w:cs="Times New Roman"/>
          <w:lang w:val="fr-CA"/>
        </w:rPr>
        <w:lastRenderedPageBreak/>
        <w:t>Cadre analytique du par. 15(1)</w:t>
      </w:r>
      <w:bookmarkStart w:id="1" w:name="_Toc498415491"/>
    </w:p>
    <w:p w:rsidR="00C208DD" w:rsidRPr="004F117F" w:rsidRDefault="00C208DD" w:rsidP="00637E44">
      <w:pPr>
        <w:pStyle w:val="ParaNoNdepar-AltN"/>
        <w:widowControl w:val="0"/>
        <w:rPr>
          <w:rFonts w:cs="Times New Roman"/>
          <w:lang w:val="fr-CA"/>
        </w:rPr>
      </w:pPr>
      <w:r w:rsidRPr="004F117F">
        <w:rPr>
          <w:rFonts w:cs="Times New Roman"/>
          <w:lang w:val="fr-CA"/>
        </w:rPr>
        <w:t xml:space="preserve">L’énoncé le plus récent quant à l’analyse que commande le par. 15(1) de la </w:t>
      </w:r>
      <w:r w:rsidRPr="004F117F">
        <w:rPr>
          <w:rFonts w:cs="Times New Roman"/>
          <w:i/>
          <w:lang w:val="fr-CA"/>
        </w:rPr>
        <w:t xml:space="preserve">Charte </w:t>
      </w:r>
      <w:r w:rsidRPr="004F117F">
        <w:rPr>
          <w:rFonts w:cs="Times New Roman"/>
          <w:lang w:val="fr-CA"/>
        </w:rPr>
        <w:t xml:space="preserve">figure dans l’arrêt </w:t>
      </w:r>
      <w:r w:rsidRPr="004F117F">
        <w:rPr>
          <w:rFonts w:cs="Times New Roman"/>
          <w:i/>
          <w:lang w:val="fr-CA"/>
        </w:rPr>
        <w:t>Première Nation de Kahkewistahaw c. Taypotat</w:t>
      </w:r>
      <w:r w:rsidRPr="004F117F">
        <w:rPr>
          <w:rFonts w:cs="Times New Roman"/>
          <w:lang w:val="fr-CA"/>
        </w:rPr>
        <w:t>,</w:t>
      </w:r>
      <w:r w:rsidRPr="004F117F">
        <w:rPr>
          <w:rFonts w:eastAsiaTheme="minorHAnsi" w:cs="Times New Roman"/>
          <w:lang w:val="fr-CA"/>
        </w:rPr>
        <w:t xml:space="preserve"> 2015 CSC 30, [2015] 2 R.C.S. 548</w:t>
      </w:r>
      <w:r w:rsidRPr="004F117F">
        <w:rPr>
          <w:rFonts w:cs="Times New Roman"/>
          <w:i/>
          <w:lang w:val="fr-CA"/>
        </w:rPr>
        <w:t xml:space="preserve">. </w:t>
      </w:r>
      <w:r w:rsidRPr="004F117F">
        <w:rPr>
          <w:rFonts w:cs="Times New Roman"/>
          <w:lang w:val="fr-CA"/>
        </w:rPr>
        <w:t>L’analyse comporte deux volets.</w:t>
      </w:r>
    </w:p>
    <w:p w:rsidR="00C208DD" w:rsidRPr="004F117F" w:rsidRDefault="00C208DD" w:rsidP="00637E44">
      <w:pPr>
        <w:pStyle w:val="ParaNoNdepar-AltN"/>
        <w:widowControl w:val="0"/>
        <w:rPr>
          <w:rFonts w:cs="Times New Roman"/>
          <w:lang w:val="fr-CA"/>
        </w:rPr>
      </w:pPr>
      <w:r w:rsidRPr="004F117F">
        <w:rPr>
          <w:rFonts w:eastAsiaTheme="minorHAnsi" w:cs="Times New Roman"/>
          <w:lang w:val="fr-CA"/>
        </w:rPr>
        <w:t xml:space="preserve">Au premier volet, il faut examiner si, à première vue ou par son effet, une loi crée une distinction fondée sur un motif énuméré ou analogue : </w:t>
      </w:r>
      <w:r w:rsidRPr="004F117F">
        <w:rPr>
          <w:rFonts w:eastAsiaTheme="minorHAnsi" w:cs="Times New Roman"/>
          <w:i/>
          <w:lang w:val="fr-CA"/>
        </w:rPr>
        <w:t>Taypotat</w:t>
      </w:r>
      <w:r w:rsidRPr="004F117F">
        <w:rPr>
          <w:rFonts w:eastAsiaTheme="minorHAnsi" w:cs="Times New Roman"/>
          <w:lang w:val="fr-CA"/>
        </w:rPr>
        <w:t>, par. 19. Pour l’établir, le demandeur doit démontrer que la loi en cause a un effet disproportionné à son égard du fait de son appartenance à un groupe énuméré ou analogue :</w:t>
      </w:r>
      <w:r w:rsidRPr="004F117F">
        <w:rPr>
          <w:rFonts w:cs="Times New Roman"/>
          <w:lang w:val="fr-CA"/>
        </w:rPr>
        <w:t xml:space="preserve"> </w:t>
      </w:r>
      <w:r w:rsidRPr="004F117F">
        <w:rPr>
          <w:rFonts w:eastAsiaTheme="minorHAnsi" w:cs="Times New Roman"/>
          <w:i/>
          <w:lang w:val="fr-CA"/>
        </w:rPr>
        <w:t>Taypotat</w:t>
      </w:r>
      <w:r w:rsidRPr="004F117F">
        <w:rPr>
          <w:rFonts w:eastAsiaTheme="minorHAnsi" w:cs="Times New Roman"/>
          <w:lang w:val="fr-CA"/>
        </w:rPr>
        <w:t>, par. 21.</w:t>
      </w:r>
      <w:r w:rsidRPr="004F117F">
        <w:rPr>
          <w:rFonts w:cs="Times New Roman"/>
          <w:lang w:val="fr-CA"/>
        </w:rPr>
        <w:t xml:space="preserve"> </w:t>
      </w:r>
      <w:r w:rsidRPr="004F117F">
        <w:rPr>
          <w:rFonts w:eastAsiaTheme="minorHAnsi" w:cs="Times New Roman"/>
          <w:lang w:val="fr-CA"/>
        </w:rPr>
        <w:t xml:space="preserve">Au niveau de la preuve, il suffit généralement de démontrer que la loi produit « un effet négatif disproportionné sur un groupe ou une personne identifiable par des facteurs liés à des motifs énumérés ou analogues » : </w:t>
      </w:r>
      <w:r w:rsidRPr="004F117F">
        <w:rPr>
          <w:rFonts w:eastAsiaTheme="minorHAnsi" w:cs="Times New Roman"/>
          <w:i/>
          <w:lang w:val="fr-CA"/>
        </w:rPr>
        <w:t>Withler c. Canada (Procureur général)</w:t>
      </w:r>
      <w:r w:rsidRPr="004F117F">
        <w:rPr>
          <w:rFonts w:eastAsiaTheme="minorHAnsi" w:cs="Times New Roman"/>
          <w:lang w:val="fr-CA"/>
        </w:rPr>
        <w:t>,</w:t>
      </w:r>
      <w:r w:rsidRPr="004F117F">
        <w:rPr>
          <w:rFonts w:eastAsiaTheme="minorHAnsi" w:cs="Times New Roman"/>
          <w:i/>
          <w:lang w:val="fr-CA"/>
        </w:rPr>
        <w:t xml:space="preserve"> </w:t>
      </w:r>
      <w:r w:rsidRPr="004F117F">
        <w:rPr>
          <w:rFonts w:eastAsiaTheme="minorHAnsi" w:cs="Times New Roman"/>
          <w:lang w:val="fr-CA"/>
        </w:rPr>
        <w:t xml:space="preserve">2011 CSC 12, [2011] 1 R.C.S. 396, par. 64. À ce sujet, nous partageons l’opinion du juge LeBel dans </w:t>
      </w:r>
      <w:r w:rsidRPr="004F117F">
        <w:rPr>
          <w:rFonts w:cs="Times New Roman"/>
          <w:i/>
          <w:lang w:val="fr-FR"/>
        </w:rPr>
        <w:t>Québec c. A</w:t>
      </w:r>
      <w:r w:rsidRPr="004F117F">
        <w:rPr>
          <w:rFonts w:eastAsiaTheme="minorHAnsi" w:cs="Times New Roman"/>
          <w:lang w:val="fr-CA"/>
        </w:rPr>
        <w:t>, qui énonce adéquatement la marche à suivre à la première étape :</w:t>
      </w:r>
    </w:p>
    <w:p w:rsidR="00C208DD" w:rsidRPr="004F117F" w:rsidRDefault="00C208DD" w:rsidP="00637E44">
      <w:pPr>
        <w:pStyle w:val="Citation-AltC"/>
        <w:widowControl w:val="0"/>
        <w:rPr>
          <w:lang w:val="fr-FR"/>
        </w:rPr>
      </w:pPr>
      <w:r w:rsidRPr="004F117F">
        <w:rPr>
          <w:lang w:val="fr-FR"/>
        </w:rPr>
        <w:tab/>
        <w:t xml:space="preserve">Ainsi, le demandeur peut démontrer que la mesure contestée crée directement une distinction en imposant des restrictions ou des désavantages sur la base d’un motif énuméré ou analogue : voir notamment </w:t>
      </w:r>
      <w:r w:rsidRPr="004F117F">
        <w:rPr>
          <w:i/>
          <w:iCs/>
          <w:lang w:val="fr-FR"/>
        </w:rPr>
        <w:t>Miron</w:t>
      </w:r>
      <w:r w:rsidRPr="004F117F">
        <w:rPr>
          <w:lang w:val="fr-FR"/>
        </w:rPr>
        <w:t xml:space="preserve">, par. 131; </w:t>
      </w:r>
      <w:r w:rsidRPr="004F117F">
        <w:rPr>
          <w:i/>
          <w:iCs/>
          <w:lang w:val="fr-FR"/>
        </w:rPr>
        <w:t>Lavoie c. Canada</w:t>
      </w:r>
      <w:r w:rsidRPr="004F117F">
        <w:rPr>
          <w:lang w:val="fr-FR"/>
        </w:rPr>
        <w:t xml:space="preserve">, </w:t>
      </w:r>
      <w:r w:rsidRPr="004F117F">
        <w:rPr>
          <w:lang w:val="fr-CA"/>
        </w:rPr>
        <w:t>2002 CSC 23</w:t>
      </w:r>
      <w:r w:rsidRPr="004F117F">
        <w:rPr>
          <w:lang w:val="fr-FR"/>
        </w:rPr>
        <w:t xml:space="preserve">, [2002] 1 R.C.S. 769, par. 52; </w:t>
      </w:r>
      <w:r w:rsidRPr="004F117F">
        <w:rPr>
          <w:i/>
          <w:iCs/>
          <w:lang w:val="fr-FR"/>
        </w:rPr>
        <w:t>Trociuk c. Colombie-Britannique (Procureur général)</w:t>
      </w:r>
      <w:r w:rsidRPr="004F117F">
        <w:rPr>
          <w:lang w:val="fr-FR"/>
        </w:rPr>
        <w:t xml:space="preserve">, </w:t>
      </w:r>
      <w:r w:rsidRPr="004F117F">
        <w:rPr>
          <w:lang w:val="fr-CA"/>
        </w:rPr>
        <w:t>2003 CSC 34</w:t>
      </w:r>
      <w:r w:rsidRPr="004F117F">
        <w:rPr>
          <w:lang w:val="fr-FR"/>
        </w:rPr>
        <w:t>, [2003] 1 R.C.S. 835, par. 10. Il en est de même lorsque la mesure restreint l’accès à une institution sociale fondamentale (</w:t>
      </w:r>
      <w:r w:rsidRPr="004F117F">
        <w:rPr>
          <w:i/>
          <w:iCs/>
          <w:lang w:val="fr-FR"/>
        </w:rPr>
        <w:t>Law</w:t>
      </w:r>
      <w:r w:rsidRPr="004F117F">
        <w:rPr>
          <w:lang w:val="fr-FR"/>
        </w:rPr>
        <w:t>, par. 74), ou impose des obligations qui ne s’appliquent pas à d’autres (</w:t>
      </w:r>
      <w:r w:rsidRPr="004F117F">
        <w:rPr>
          <w:i/>
          <w:iCs/>
          <w:lang w:val="fr-FR"/>
        </w:rPr>
        <w:t>Withler</w:t>
      </w:r>
      <w:r w:rsidRPr="004F117F">
        <w:rPr>
          <w:lang w:val="fr-FR"/>
        </w:rPr>
        <w:t xml:space="preserve">, par. 62). Le demandeur peut également faire état d’une distinction par effet indirect lorsque la mesure, « bien qu’elle prévoie un traitement égal pour tous, [. . .] a un effet négatif disproportionné sur un groupe ou une personne identifiable par des facteurs liés à des motifs énumérés ou analogues » : </w:t>
      </w:r>
      <w:r w:rsidRPr="004F117F">
        <w:rPr>
          <w:i/>
          <w:iCs/>
          <w:lang w:val="fr-FR"/>
        </w:rPr>
        <w:t>Withler</w:t>
      </w:r>
      <w:r w:rsidRPr="004F117F">
        <w:rPr>
          <w:lang w:val="fr-FR"/>
        </w:rPr>
        <w:t xml:space="preserve">, par. 64. Les comparaisons, s’il en est, peuvent contribuer, à cette </w:t>
      </w:r>
      <w:r w:rsidRPr="004F117F">
        <w:rPr>
          <w:lang w:val="fr-FR"/>
        </w:rPr>
        <w:lastRenderedPageBreak/>
        <w:t>étape, à démontrer l’existence d’une distinction désavantageuse. [par. 189]</w:t>
      </w:r>
    </w:p>
    <w:p w:rsidR="00C208DD" w:rsidRPr="004F117F" w:rsidRDefault="00C208DD" w:rsidP="00637E44">
      <w:pPr>
        <w:pStyle w:val="ParaNoNdepar-AltN"/>
        <w:widowControl w:val="0"/>
        <w:rPr>
          <w:rFonts w:cs="Times New Roman"/>
          <w:lang w:val="fr-CA"/>
        </w:rPr>
      </w:pPr>
      <w:r w:rsidRPr="004F117F">
        <w:rPr>
          <w:rFonts w:eastAsiaTheme="minorHAnsi" w:cs="Times New Roman"/>
          <w:lang w:val="fr-CA"/>
        </w:rPr>
        <w:t>Selon nous, en l’espèce l’aspect désavantageux ou préjudiciable généralement traité au second volet doit être considéré au premier volet de l’analyse que comma</w:t>
      </w:r>
      <w:r w:rsidR="00E038B2">
        <w:rPr>
          <w:rFonts w:eastAsiaTheme="minorHAnsi" w:cs="Times New Roman"/>
          <w:lang w:val="fr-CA"/>
        </w:rPr>
        <w:t>nde le par. 15(1).</w:t>
      </w:r>
      <w:r w:rsidRPr="004F117F">
        <w:rPr>
          <w:rFonts w:eastAsiaTheme="minorHAnsi" w:cs="Times New Roman"/>
          <w:lang w:val="fr-CA"/>
        </w:rPr>
        <w:t xml:space="preserve"> Le premier volet invite la Cour à procéder à un exercice comparatif. Comme le soulignaient la juge en chef McLachlin et la juge Abella, « [i]l ressort du mot “distinction” l’idée que le demandeur est traité différemment d’autrui.</w:t>
      </w:r>
      <w:r w:rsidRPr="004F117F">
        <w:rPr>
          <w:rFonts w:cs="Times New Roman"/>
          <w:lang w:val="fr-CA"/>
        </w:rPr>
        <w:t xml:space="preserve"> La comparaison entre donc en jeu, en ce sens que le demandeur prétend qu’il s’est vu refuser un avantage accordé à d’autres ou imposer un fardeau que d’autres n’ont pas, en raison d’une caractéristique personnelle correspondant à un motif énuméré ou analogue visé par le par. 15(1) » : </w:t>
      </w:r>
      <w:r w:rsidRPr="004F117F">
        <w:rPr>
          <w:rFonts w:cs="Times New Roman"/>
          <w:i/>
          <w:lang w:val="fr-CA"/>
        </w:rPr>
        <w:t>Withler</w:t>
      </w:r>
      <w:r w:rsidRPr="004F117F">
        <w:rPr>
          <w:rFonts w:cs="Times New Roman"/>
          <w:lang w:val="fr-CA"/>
        </w:rPr>
        <w:t>,</w:t>
      </w:r>
      <w:r w:rsidRPr="004F117F">
        <w:rPr>
          <w:rFonts w:cs="Times New Roman"/>
          <w:i/>
          <w:lang w:val="fr-CA"/>
        </w:rPr>
        <w:t xml:space="preserve"> </w:t>
      </w:r>
      <w:r w:rsidRPr="004F117F">
        <w:rPr>
          <w:rFonts w:cs="Times New Roman"/>
          <w:lang w:val="fr-CA"/>
        </w:rPr>
        <w:t>par. 62.</w:t>
      </w:r>
    </w:p>
    <w:p w:rsidR="00C208DD" w:rsidRPr="004F117F" w:rsidRDefault="00C208DD" w:rsidP="00637E44">
      <w:pPr>
        <w:pStyle w:val="ParaNoNdepar-AltN"/>
        <w:widowControl w:val="0"/>
        <w:rPr>
          <w:rFonts w:cs="Times New Roman"/>
          <w:lang w:val="fr-CA"/>
        </w:rPr>
      </w:pPr>
      <w:r w:rsidRPr="004F117F">
        <w:rPr>
          <w:rFonts w:eastAsiaTheme="minorHAnsi" w:cs="Times New Roman"/>
          <w:lang w:val="fr-CA"/>
        </w:rPr>
        <w:t xml:space="preserve">De par sa nature, la Loi se compose de distinctions qui peuvent affecter un groupe formé essentiellement de femmes. Il serait absurde qu’une démarche axée sur les </w:t>
      </w:r>
      <w:r w:rsidRPr="004F117F">
        <w:rPr>
          <w:rFonts w:eastAsiaTheme="minorHAnsi" w:cs="Times New Roman"/>
          <w:i/>
          <w:lang w:val="fr-CA"/>
        </w:rPr>
        <w:t>effets</w:t>
      </w:r>
      <w:r w:rsidRPr="004F117F">
        <w:rPr>
          <w:rFonts w:eastAsiaTheme="minorHAnsi" w:cs="Times New Roman"/>
          <w:lang w:val="fr-CA"/>
        </w:rPr>
        <w:t xml:space="preserve"> discriminatoires ne traite pas d’emblée de la question du désavantage engendré par une ou plusieurs de ces distinctions, à tout le moins </w:t>
      </w:r>
      <w:r w:rsidRPr="004F117F">
        <w:rPr>
          <w:rFonts w:eastAsiaTheme="minorHAnsi" w:cs="Times New Roman"/>
          <w:i/>
          <w:lang w:val="fr-CA"/>
        </w:rPr>
        <w:t>prima facie</w:t>
      </w:r>
      <w:r w:rsidRPr="004F117F">
        <w:rPr>
          <w:rFonts w:eastAsiaTheme="minorHAnsi" w:cs="Times New Roman"/>
          <w:lang w:val="fr-CA"/>
        </w:rPr>
        <w:t>.</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Le second volet est plus onéreux puisqu’il exige la démonstration que le désavantage est </w:t>
      </w:r>
      <w:r w:rsidRPr="004F117F">
        <w:rPr>
          <w:rFonts w:cs="Times New Roman"/>
          <w:i/>
          <w:lang w:val="fr-CA"/>
        </w:rPr>
        <w:t>discriminatoire</w:t>
      </w:r>
      <w:r w:rsidRPr="004F117F">
        <w:rPr>
          <w:rFonts w:cs="Times New Roman"/>
          <w:lang w:val="fr-CA"/>
        </w:rPr>
        <w:t xml:space="preserve"> parce que la loi « ne répond pas aux capacités et aux besoins concrets des membres du groupe et leur impose plutôt un fardeau ou leur [refuse] un avantage d’une manière qui a pour effet de renforcer, de perpétuer ou d’accentuer le désavantage dont ils sont victimes » : </w:t>
      </w:r>
      <w:r w:rsidRPr="004F117F">
        <w:rPr>
          <w:rFonts w:cs="Times New Roman"/>
          <w:i/>
          <w:lang w:val="fr-CA"/>
        </w:rPr>
        <w:t>Taypotat</w:t>
      </w:r>
      <w:r w:rsidRPr="004F117F">
        <w:rPr>
          <w:rFonts w:eastAsiaTheme="minorHAnsi" w:cs="Times New Roman"/>
          <w:lang w:val="fr-CA"/>
        </w:rPr>
        <w:t>, par. 20.</w:t>
      </w:r>
      <w:r w:rsidRPr="004F117F">
        <w:rPr>
          <w:rFonts w:cs="Times New Roman"/>
          <w:lang w:val="fr-CA"/>
        </w:rPr>
        <w:t xml:space="preserve"> </w:t>
      </w:r>
    </w:p>
    <w:p w:rsidR="00C208DD" w:rsidRPr="004F117F" w:rsidRDefault="00C208DD" w:rsidP="00637E44">
      <w:pPr>
        <w:pStyle w:val="Title2LevelTitre2Niveau"/>
        <w:widowControl w:val="0"/>
        <w:numPr>
          <w:ilvl w:val="1"/>
          <w:numId w:val="8"/>
        </w:numPr>
        <w:rPr>
          <w:rFonts w:cs="Times New Roman"/>
          <w:lang w:val="fr-CA"/>
        </w:rPr>
      </w:pPr>
      <w:r w:rsidRPr="004F117F">
        <w:rPr>
          <w:rFonts w:cs="Times New Roman"/>
          <w:lang w:val="fr-CA"/>
        </w:rPr>
        <w:t>Discussion au sujet des arrêts Kapp et Cunningham</w:t>
      </w:r>
    </w:p>
    <w:p w:rsidR="00C208DD" w:rsidRPr="004F117F" w:rsidRDefault="00C208DD" w:rsidP="00637E44">
      <w:pPr>
        <w:pStyle w:val="ParaNoNdepar-AltN"/>
        <w:widowControl w:val="0"/>
        <w:rPr>
          <w:rFonts w:cs="Times New Roman"/>
          <w:lang w:val="fr-CA"/>
        </w:rPr>
      </w:pPr>
      <w:r w:rsidRPr="004F117F">
        <w:rPr>
          <w:rFonts w:cs="Times New Roman"/>
          <w:lang w:val="fr-CA"/>
        </w:rPr>
        <w:lastRenderedPageBreak/>
        <w:t xml:space="preserve">Suivant les enseignements de l’arrêt </w:t>
      </w:r>
      <w:r w:rsidRPr="004F117F">
        <w:rPr>
          <w:rFonts w:cs="Times New Roman"/>
          <w:i/>
          <w:lang w:val="fr-CA"/>
        </w:rPr>
        <w:t>R. c. Kapp</w:t>
      </w:r>
      <w:r w:rsidRPr="004F117F">
        <w:rPr>
          <w:rFonts w:cs="Times New Roman"/>
          <w:lang w:val="fr-CA"/>
        </w:rPr>
        <w:t xml:space="preserve">, 2008 CSC 41, [2008] 2 R.C.S. 483, réaffirmé dans </w:t>
      </w:r>
      <w:r w:rsidRPr="004F117F">
        <w:rPr>
          <w:rFonts w:cs="Times New Roman"/>
          <w:i/>
          <w:lang w:val="fr-CA"/>
        </w:rPr>
        <w:t>Alberta (Affaires autochtones et Développement du Nord) c. Cunningham</w:t>
      </w:r>
      <w:r w:rsidRPr="004F117F">
        <w:rPr>
          <w:rFonts w:cs="Times New Roman"/>
          <w:lang w:val="fr-CA"/>
        </w:rPr>
        <w:t>,</w:t>
      </w:r>
      <w:r w:rsidRPr="004F117F">
        <w:rPr>
          <w:rFonts w:cs="Times New Roman"/>
          <w:i/>
          <w:lang w:val="fr-CA"/>
        </w:rPr>
        <w:t xml:space="preserve"> </w:t>
      </w:r>
      <w:r w:rsidRPr="004F117F">
        <w:rPr>
          <w:rFonts w:cs="Times New Roman"/>
          <w:lang w:val="fr-CA"/>
        </w:rPr>
        <w:t xml:space="preserve">2011 CSC 37, </w:t>
      </w:r>
      <w:r w:rsidRPr="004F117F">
        <w:rPr>
          <w:rStyle w:val="sccrespondentforrunningheadchar1"/>
          <w:caps/>
          <w:lang w:val="fr-CA"/>
        </w:rPr>
        <w:t xml:space="preserve">[2011] 2 R.C.S. 670, </w:t>
      </w:r>
      <w:r w:rsidRPr="004F117F">
        <w:rPr>
          <w:rFonts w:cs="Times New Roman"/>
          <w:lang w:val="fr-CA"/>
        </w:rPr>
        <w:t>par. 44,</w:t>
      </w:r>
      <w:r w:rsidRPr="004F117F">
        <w:rPr>
          <w:rFonts w:cs="Times New Roman"/>
          <w:b/>
          <w:lang w:val="fr-CA"/>
        </w:rPr>
        <w:t xml:space="preserve"> </w:t>
      </w:r>
      <w:r w:rsidRPr="004F117F">
        <w:rPr>
          <w:rFonts w:cs="Times New Roman"/>
          <w:lang w:val="fr-CA"/>
        </w:rPr>
        <w:t>c’est avant de passer au second volet de l’analyse que commande le par. 15(1) que l’on devrait généralement se pencher sur l’application du par. 15(2). Dans cette affaire, il a été déterminé que la fragmentation de l’analyse avait l’avantage d’éviter de conclure à une violation du droit à l’égalité avant de valider cette mesure en application du par. 15(2) :</w:t>
      </w:r>
    </w:p>
    <w:p w:rsidR="00C208DD" w:rsidRPr="004F117F" w:rsidRDefault="00C208DD" w:rsidP="00637E44">
      <w:pPr>
        <w:pStyle w:val="Citation-AltC"/>
        <w:widowControl w:val="0"/>
        <w:rPr>
          <w:lang w:val="fr-CA"/>
        </w:rPr>
      </w:pPr>
      <w:r w:rsidRPr="004F117F">
        <w:rPr>
          <w:lang w:val="fr-CA"/>
        </w:rPr>
        <w:tab/>
        <w:t xml:space="preserve">En d’autres termes, une fois que l’auteur d’une demande présentée en vertu de l’art. 15 a établi l’existence d’une distinction fondée sur un motif énuméré ou analogue, le gouvernement peut démontrer que la loi, le programme ou l’activité contesté apporte une amélioration et est donc conforme à la Constitution. L’avantage que présente cette approche est qu’elle permet d’éviter la difficulté symbolique d’avoir à juger un programme discriminatoire avant de le « valider » comme étant améliorateur, tout en permettant d’appliquer de façon indépendante une disposition qui a été formulée de façon séparée et distincte du par. 15(1). Si le gouvernement ne démontre pas que son programme relève du par. 15(2), ce programme doit alors faire l’objet d’un examen approfondi au regard du par. 15(1) afin de déterminer s’il a un effet discriminatoire. </w:t>
      </w:r>
    </w:p>
    <w:p w:rsidR="00C208DD" w:rsidRPr="004F117F" w:rsidRDefault="00C208DD" w:rsidP="00637E44">
      <w:pPr>
        <w:pStyle w:val="Citation-AltC"/>
        <w:widowControl w:val="0"/>
        <w:rPr>
          <w:lang w:val="fr-CA"/>
        </w:rPr>
      </w:pPr>
    </w:p>
    <w:p w:rsidR="00C208DD" w:rsidRPr="004F117F" w:rsidRDefault="00C208DD" w:rsidP="00637E44">
      <w:pPr>
        <w:pStyle w:val="Citation-AltC"/>
        <w:widowControl w:val="0"/>
        <w:ind w:left="0"/>
        <w:rPr>
          <w:lang w:val="fr-CA"/>
        </w:rPr>
      </w:pPr>
      <w:r w:rsidRPr="004F117F">
        <w:rPr>
          <w:lang w:val="fr-CA"/>
        </w:rPr>
        <w:t>(</w:t>
      </w:r>
      <w:r w:rsidRPr="004F117F">
        <w:rPr>
          <w:i/>
          <w:lang w:val="fr-CA"/>
        </w:rPr>
        <w:t>Kapp</w:t>
      </w:r>
      <w:r w:rsidRPr="004F117F">
        <w:rPr>
          <w:lang w:val="fr-CA"/>
        </w:rPr>
        <w:t>, par. 40)</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Dans </w:t>
      </w:r>
      <w:r w:rsidRPr="004F117F">
        <w:rPr>
          <w:rFonts w:cs="Times New Roman"/>
          <w:i/>
          <w:lang w:val="fr-CA"/>
        </w:rPr>
        <w:t>Kapp</w:t>
      </w:r>
      <w:r w:rsidRPr="004F117F">
        <w:rPr>
          <w:rFonts w:cs="Times New Roman"/>
          <w:lang w:val="fr-CA"/>
        </w:rPr>
        <w:t xml:space="preserve">, les demandeurs, des </w:t>
      </w:r>
      <w:r w:rsidRPr="004F117F">
        <w:rPr>
          <w:rFonts w:cs="Times New Roman"/>
          <w:lang w:val="fr-FR"/>
        </w:rPr>
        <w:t>pêcheurs commerciaux pour la plupart non autochtones,</w:t>
      </w:r>
      <w:r w:rsidRPr="004F117F">
        <w:rPr>
          <w:rFonts w:cs="Times New Roman"/>
          <w:lang w:val="fr-CA"/>
        </w:rPr>
        <w:t xml:space="preserve"> ne faisaient pas partie du groupe visé par un motif énuméré ou analogue qui bénéficiait des avantages que procurait le programme. Les demandeurs plaidaient la discrimination à rebours et prétendaient que l’avantage procuré par le permis de pêche communautaire alloué à trois bandes autochtones violait l’art. 15 de la </w:t>
      </w:r>
      <w:r w:rsidRPr="004F117F">
        <w:rPr>
          <w:rFonts w:cs="Times New Roman"/>
          <w:i/>
          <w:lang w:val="fr-CA"/>
        </w:rPr>
        <w:t xml:space="preserve">Charte </w:t>
      </w:r>
      <w:r w:rsidRPr="004F117F">
        <w:rPr>
          <w:rFonts w:cs="Times New Roman"/>
          <w:lang w:val="fr-CA"/>
        </w:rPr>
        <w:t xml:space="preserve">(par. 1). Dans ce contexte, il est vrai qu’il existe un certain avantage à ne pas reconnaître explicitement que la mesure a des effets discriminatoires sur un ou </w:t>
      </w:r>
      <w:r w:rsidRPr="004F117F">
        <w:rPr>
          <w:rFonts w:cs="Times New Roman"/>
          <w:lang w:val="fr-CA"/>
        </w:rPr>
        <w:lastRenderedPageBreak/>
        <w:t>plusieurs groupes non visés par cette dernière, mais que ces effets sont justifiés par l’objectif qu’un autre groupe défavorisé obtienne l’égalité réelle. Dans un tel scénario, la démarche proposée ne pose pas de réel problème.</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Dans le dossier qui nous occupe, c’est le groupe visé par un motif énuméré qui soulève le caractère discriminatoire des effets d’une loi visant spécifiquement à améliorer la situation de ses membres. Appliquer la méthode proposée dans </w:t>
      </w:r>
      <w:r w:rsidRPr="004F117F">
        <w:rPr>
          <w:rFonts w:cs="Times New Roman"/>
          <w:i/>
          <w:lang w:val="fr-CA"/>
        </w:rPr>
        <w:t>Kapp</w:t>
      </w:r>
      <w:r w:rsidRPr="004F117F">
        <w:rPr>
          <w:rFonts w:cs="Times New Roman"/>
          <w:lang w:val="fr-CA"/>
        </w:rPr>
        <w:t xml:space="preserve"> aurait pour effet de mettre fin prématurément à l’analyse. Il n’est pas impossible ou inimaginable qu’une loi ait pour objet véritable l’amélioration de la situation d’un groupe tout en ayant pour </w:t>
      </w:r>
      <w:r w:rsidRPr="004F117F">
        <w:rPr>
          <w:rFonts w:cs="Times New Roman"/>
          <w:i/>
          <w:lang w:val="fr-CA"/>
        </w:rPr>
        <w:t>effet</w:t>
      </w:r>
      <w:r w:rsidRPr="004F117F">
        <w:rPr>
          <w:rFonts w:cs="Times New Roman"/>
          <w:lang w:val="fr-CA"/>
        </w:rPr>
        <w:t xml:space="preserve"> d’accroître l’écart préjudiciable et discriminatoire avec le reste de la société : J. McGill, « Section 15(2), Ameliorative Programs and Proportionality Review</w:t>
      </w:r>
      <w:r w:rsidRPr="004F117F">
        <w:rPr>
          <w:rFonts w:cs="Times New Roman"/>
          <w:i/>
          <w:lang w:val="fr-CA"/>
        </w:rPr>
        <w:t> </w:t>
      </w:r>
      <w:r w:rsidRPr="004F117F">
        <w:rPr>
          <w:rFonts w:cs="Times New Roman"/>
          <w:lang w:val="fr-CA"/>
        </w:rPr>
        <w:t xml:space="preserve">» </w:t>
      </w:r>
      <w:r w:rsidRPr="004F117F">
        <w:rPr>
          <w:rFonts w:cs="Times New Roman"/>
          <w:bCs/>
          <w:lang w:val="fr-CA" w:bidi="en-US"/>
        </w:rPr>
        <w:t xml:space="preserve">(2013), 63 </w:t>
      </w:r>
      <w:r w:rsidRPr="004F117F">
        <w:rPr>
          <w:rFonts w:cs="Times New Roman"/>
          <w:bCs/>
          <w:i/>
          <w:lang w:val="fr-CA" w:bidi="en-US"/>
        </w:rPr>
        <w:t>S.C.L.R.</w:t>
      </w:r>
      <w:r w:rsidRPr="004F117F">
        <w:rPr>
          <w:rFonts w:cs="Times New Roman"/>
          <w:bCs/>
          <w:lang w:val="fr-CA" w:bidi="en-US"/>
        </w:rPr>
        <w:t xml:space="preserve"> (2d) 521</w:t>
      </w:r>
      <w:r w:rsidRPr="004F117F">
        <w:rPr>
          <w:rFonts w:cs="Times New Roman"/>
          <w:lang w:val="fr-CA"/>
        </w:rPr>
        <w:t>. Le groupe visé par la mesure ou la loi se retrouverait alors dans un cul-de-sac constitutionnel. Ainsi, bien que les effets d’une action gouvernementale auraient pour conséquence d’exacerber la discrimination à laquelle un groupe fait face, les tribunaux devraient néanmoins faire preuve de déférence envers le gouvernement étant donné les bonnes intentions de ce dernier. Or, une telle situation irait à l’encontre de l’approche favorisée par notre Cour en matière d’égalité :</w:t>
      </w:r>
      <w:r w:rsidRPr="004F117F">
        <w:rPr>
          <w:rFonts w:eastAsia="Times New Roman" w:cs="Times New Roman"/>
          <w:szCs w:val="24"/>
          <w:lang w:val="fr-CA"/>
        </w:rPr>
        <w:t xml:space="preserve"> </w:t>
      </w:r>
      <w:r w:rsidRPr="004F117F">
        <w:rPr>
          <w:rFonts w:cs="Times New Roman"/>
          <w:i/>
          <w:lang w:val="fr-CA"/>
        </w:rPr>
        <w:t>Andrews</w:t>
      </w:r>
      <w:r w:rsidRPr="004F117F">
        <w:rPr>
          <w:rFonts w:eastAsia="Times New Roman" w:cs="Times New Roman"/>
          <w:szCs w:val="24"/>
          <w:lang w:val="fr-CA"/>
        </w:rPr>
        <w:t>,</w:t>
      </w:r>
      <w:r w:rsidRPr="004F117F">
        <w:rPr>
          <w:rFonts w:eastAsia="Times New Roman" w:cs="Times New Roman"/>
          <w:i/>
          <w:szCs w:val="24"/>
          <w:lang w:val="fr-CA"/>
        </w:rPr>
        <w:t xml:space="preserve"> </w:t>
      </w:r>
      <w:r w:rsidRPr="004F117F">
        <w:rPr>
          <w:rFonts w:eastAsia="Times New Roman" w:cs="Times New Roman"/>
          <w:szCs w:val="24"/>
          <w:lang w:val="fr-CA"/>
        </w:rPr>
        <w:t xml:space="preserve">p. 182; </w:t>
      </w:r>
      <w:r w:rsidRPr="004F117F">
        <w:rPr>
          <w:rFonts w:eastAsia="Times New Roman" w:cs="Times New Roman"/>
          <w:i/>
          <w:szCs w:val="24"/>
          <w:lang w:val="fr-CA"/>
        </w:rPr>
        <w:t>Québec c. A</w:t>
      </w:r>
      <w:r w:rsidRPr="004F117F">
        <w:rPr>
          <w:rFonts w:eastAsia="Times New Roman" w:cs="Times New Roman"/>
          <w:szCs w:val="24"/>
          <w:lang w:val="fr-CA"/>
        </w:rPr>
        <w:t>, par. 333.</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Selon nous, un tel contexte nous force à déplacer l’analyse relative au par. 15(2), à la suite de l’analyse complète fondée sur le par. 15(1). D’une part, cela permet de déterminer si l’action gouvernementale crée ou perpétue le désavantage discriminatoire. De toute évidence, il n’y a pas lieu de « sauvegarder » une mesure qui </w:t>
      </w:r>
      <w:r w:rsidRPr="004F117F">
        <w:rPr>
          <w:rFonts w:cs="Times New Roman"/>
          <w:lang w:val="fr-CA"/>
        </w:rPr>
        <w:lastRenderedPageBreak/>
        <w:t xml:space="preserve">ne viole pas l’art. 15. D’autre part, le second volet de l’analyse que commande le par. 15(1) permet d’enrichir la recherche de l’objet véritable d’une loi. En effet, une loi mettant sur pied des mécanismes qui ne créent </w:t>
      </w:r>
      <w:r w:rsidRPr="004F117F">
        <w:rPr>
          <w:rFonts w:cs="Times New Roman"/>
          <w:i/>
          <w:lang w:val="fr-CA"/>
        </w:rPr>
        <w:t>aucun</w:t>
      </w:r>
      <w:r w:rsidRPr="004F117F">
        <w:rPr>
          <w:rFonts w:cs="Times New Roman"/>
          <w:lang w:val="fr-CA"/>
        </w:rPr>
        <w:t xml:space="preserve"> avantage pour le groupe n’a probablement pas comme objet véritable l’amélioration de sa situation. Il est plus difficile de se prononcer lorsque la loi crée à la fois des avantages et des désavantages. Bien que le critère demeure objectif et empreint de déférence à l’endroit des mesures législatives préférées par le législateur, il ne fait pas de doute que l’effet réel de celles-ci peut être considéré : </w:t>
      </w:r>
      <w:r w:rsidRPr="004F117F">
        <w:rPr>
          <w:rFonts w:cs="Times New Roman"/>
          <w:i/>
          <w:lang w:val="fr-CA"/>
        </w:rPr>
        <w:t>Kapp</w:t>
      </w:r>
      <w:r w:rsidRPr="004F117F">
        <w:rPr>
          <w:rFonts w:cs="Times New Roman"/>
          <w:lang w:val="fr-CA"/>
        </w:rPr>
        <w:t xml:space="preserve">, par. 49. </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Finalement, la méthode que nous préconisons en l’espèce respecte l’effet combiné des par. 15(1) et (2), qui est de </w:t>
      </w:r>
      <w:r w:rsidRPr="004F117F">
        <w:rPr>
          <w:rFonts w:cs="Times New Roman"/>
          <w:lang w:val="fr-FR"/>
        </w:rPr>
        <w:t xml:space="preserve">promouvoir l’égalité réelle : </w:t>
      </w:r>
      <w:r w:rsidRPr="004F117F">
        <w:rPr>
          <w:rFonts w:cs="Times New Roman"/>
          <w:i/>
          <w:lang w:val="fr-FR"/>
        </w:rPr>
        <w:t>Kapp</w:t>
      </w:r>
      <w:r w:rsidRPr="004F117F">
        <w:rPr>
          <w:rFonts w:cs="Times New Roman"/>
          <w:lang w:val="fr-FR"/>
        </w:rPr>
        <w:t>, par. 16. I</w:t>
      </w:r>
      <w:r w:rsidR="008120B8">
        <w:rPr>
          <w:rFonts w:cs="Times New Roman"/>
          <w:lang w:val="fr-FR"/>
        </w:rPr>
        <w:t>l</w:t>
      </w:r>
      <w:r w:rsidRPr="004F117F">
        <w:rPr>
          <w:rFonts w:cs="Times New Roman"/>
          <w:lang w:val="fr-CA"/>
        </w:rPr>
        <w:t xml:space="preserve"> faut rappeler que, dans </w:t>
      </w:r>
      <w:r w:rsidRPr="004F117F">
        <w:rPr>
          <w:rFonts w:cs="Times New Roman"/>
          <w:i/>
          <w:lang w:val="fr-CA"/>
        </w:rPr>
        <w:t>Kapp</w:t>
      </w:r>
      <w:r w:rsidRPr="004F117F">
        <w:rPr>
          <w:rFonts w:cs="Times New Roman"/>
          <w:lang w:val="fr-CA"/>
        </w:rPr>
        <w:t>, la Cour a reconnu que le test alors mis de l’avant ne constituait qu’une étape embryonnaire dans le développement de la jurisprudence relative au par. 15(2) et qu’il pourrait se « </w:t>
      </w:r>
      <w:r w:rsidRPr="004F117F">
        <w:rPr>
          <w:rFonts w:cs="Times New Roman"/>
          <w:lang w:val="fr-FR"/>
        </w:rPr>
        <w:t>révéler nécessaire, dans des affaires ultérieures, d’ajuster ce cadre d’analyse »</w:t>
      </w:r>
      <w:r w:rsidRPr="004F117F">
        <w:rPr>
          <w:rFonts w:cs="Times New Roman"/>
          <w:lang w:val="fr-CA"/>
        </w:rPr>
        <w:t xml:space="preserve"> (par. 41)</w:t>
      </w:r>
      <w:r w:rsidRPr="004F117F">
        <w:rPr>
          <w:rFonts w:cs="Times New Roman"/>
          <w:lang w:val="fr-FR"/>
        </w:rPr>
        <w:t xml:space="preserve">. </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Dans </w:t>
      </w:r>
      <w:r w:rsidRPr="004F117F">
        <w:rPr>
          <w:rFonts w:cs="Times New Roman"/>
          <w:i/>
          <w:lang w:val="fr-CA"/>
        </w:rPr>
        <w:t>Cunningham</w:t>
      </w:r>
      <w:r w:rsidRPr="004F117F">
        <w:rPr>
          <w:rFonts w:cs="Times New Roman"/>
          <w:lang w:val="fr-CA"/>
        </w:rPr>
        <w:t>,</w:t>
      </w:r>
      <w:r w:rsidRPr="004F117F">
        <w:rPr>
          <w:rFonts w:cs="Times New Roman"/>
          <w:i/>
          <w:lang w:val="fr-CA"/>
        </w:rPr>
        <w:t xml:space="preserve"> </w:t>
      </w:r>
      <w:r w:rsidRPr="004F117F">
        <w:rPr>
          <w:rFonts w:cs="Times New Roman"/>
          <w:lang w:val="fr-CA"/>
        </w:rPr>
        <w:t>c’est à bon droit que notre Cour a refusé de modifier le cadre d’analyse dans le cas d’un groupe qui alléguait l’inconstitutionnalité de son exclusion d’un programme procurant un avantage à un autre groupe visé par un motif énuméré ayant des caractéristiques similaires</w:t>
      </w:r>
      <w:r w:rsidRPr="004F117F">
        <w:rPr>
          <w:rFonts w:cs="Times New Roman"/>
          <w:i/>
          <w:lang w:val="fr-CA"/>
        </w:rPr>
        <w:t xml:space="preserve"> </w:t>
      </w:r>
      <w:r w:rsidRPr="004F117F">
        <w:rPr>
          <w:rFonts w:cs="Times New Roman"/>
          <w:lang w:val="fr-CA"/>
        </w:rPr>
        <w:t>(par. 53)</w:t>
      </w:r>
      <w:r w:rsidRPr="004F117F">
        <w:rPr>
          <w:rFonts w:cs="Times New Roman"/>
          <w:i/>
          <w:lang w:val="fr-CA"/>
        </w:rPr>
        <w:t xml:space="preserve">. </w:t>
      </w:r>
      <w:r w:rsidRPr="004F117F">
        <w:rPr>
          <w:rFonts w:cs="Times New Roman"/>
          <w:lang w:val="fr-CA"/>
        </w:rPr>
        <w:t xml:space="preserve">Dans cette affaire, les demandeurs, qui étaient à la fois membres de l’établissement métis de Peavine et des Indiens inscrits, contestaient la constitutionnalité de certaines dispositions du </w:t>
      </w:r>
      <w:r w:rsidRPr="004F117F">
        <w:rPr>
          <w:rFonts w:cs="Times New Roman"/>
          <w:i/>
          <w:lang w:val="fr-CA"/>
        </w:rPr>
        <w:t>Metis Settlements Act</w:t>
      </w:r>
      <w:r w:rsidRPr="004F117F">
        <w:rPr>
          <w:rFonts w:cs="Times New Roman"/>
          <w:lang w:val="fr-CA"/>
        </w:rPr>
        <w:t>,</w:t>
      </w:r>
      <w:r w:rsidRPr="004F117F">
        <w:rPr>
          <w:rFonts w:cs="Times New Roman"/>
          <w:i/>
          <w:lang w:val="fr-CA"/>
        </w:rPr>
        <w:t xml:space="preserve"> </w:t>
      </w:r>
      <w:r w:rsidRPr="004F117F">
        <w:rPr>
          <w:rFonts w:cs="Times New Roman"/>
          <w:lang w:val="fr-CA"/>
        </w:rPr>
        <w:t xml:space="preserve">R.S.A. 2000, c. M-14, qui empêchaient les Indiens inscrits de devenir </w:t>
      </w:r>
      <w:r w:rsidRPr="004F117F">
        <w:rPr>
          <w:rFonts w:cs="Times New Roman"/>
          <w:lang w:val="fr-CA"/>
        </w:rPr>
        <w:lastRenderedPageBreak/>
        <w:t xml:space="preserve">membres officiels de quelque établissement métis que ce soit. Ils alléguaient entre autres qu’ils étaient privés des avantages du programme en raison de leur race. Dans de tels cas de sous-inclusion d’un groupe ou d’un sous-groupe à un des groupes énumérés ou analogues mais autrement exclus du groupe visé spécifiquement par la mesure, nous sommes d’avis qu’il y a toujours lieu de suivre la démarche préconisée dans l’arrêt </w:t>
      </w:r>
      <w:r w:rsidRPr="004F117F">
        <w:rPr>
          <w:rFonts w:cs="Times New Roman"/>
          <w:i/>
          <w:lang w:val="fr-CA"/>
        </w:rPr>
        <w:t xml:space="preserve">Kapp </w:t>
      </w:r>
      <w:r w:rsidRPr="004F117F">
        <w:rPr>
          <w:rFonts w:cs="Times New Roman"/>
          <w:lang w:val="fr-CA"/>
        </w:rPr>
        <w:t>puisque l’avantage qu’elle procure demeure pertinent.</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En somme, c’est seulement lorsque le demandeur fait partie du groupe que la loi vise spécifiquement qu’il y a lieu de déplacer l’analyse que commande le par. 15(2) à la suite du par. 15(1). Dans toutes les autres situations où le demandeur ne fait pas partie du groupe, il faut suivre l’ordre de priorité établi dans l’arrêt </w:t>
      </w:r>
      <w:r w:rsidRPr="004F117F">
        <w:rPr>
          <w:rFonts w:cs="Times New Roman"/>
          <w:i/>
          <w:lang w:val="fr-CA"/>
        </w:rPr>
        <w:t>Kapp.</w:t>
      </w:r>
      <w:r w:rsidRPr="004F117F">
        <w:rPr>
          <w:rFonts w:cs="Times New Roman"/>
          <w:lang w:val="fr-CA"/>
        </w:rPr>
        <w:t xml:space="preserve"> </w:t>
      </w:r>
    </w:p>
    <w:p w:rsidR="00C208DD" w:rsidRPr="004F117F" w:rsidRDefault="00C208DD" w:rsidP="00637E44">
      <w:pPr>
        <w:pStyle w:val="Title2LevelTitre2Niveau"/>
        <w:widowControl w:val="0"/>
        <w:numPr>
          <w:ilvl w:val="1"/>
          <w:numId w:val="8"/>
        </w:numPr>
        <w:rPr>
          <w:rFonts w:cs="Times New Roman"/>
          <w:lang w:val="fr-CA"/>
        </w:rPr>
      </w:pPr>
      <w:r w:rsidRPr="004F117F">
        <w:rPr>
          <w:rFonts w:cs="Times New Roman"/>
          <w:lang w:val="fr-CA"/>
        </w:rPr>
        <w:t>Premier volet du par. 15(1)</w:t>
      </w:r>
    </w:p>
    <w:p w:rsidR="00C208DD" w:rsidRPr="004F117F" w:rsidRDefault="00C208DD" w:rsidP="00637E44">
      <w:pPr>
        <w:pStyle w:val="ParaNoNdepar-AltN"/>
        <w:widowControl w:val="0"/>
        <w:rPr>
          <w:rFonts w:cs="Times New Roman"/>
          <w:lang w:val="fr-CA"/>
        </w:rPr>
      </w:pPr>
      <w:r w:rsidRPr="004F117F">
        <w:rPr>
          <w:rFonts w:cs="Times New Roman"/>
          <w:lang w:val="fr-CA"/>
        </w:rPr>
        <w:t>À la lecture des motifs de la juge Abella, il peut sembler aisé de déterminer si le groupe subit une distinction dés</w:t>
      </w:r>
      <w:r w:rsidR="00E038B2">
        <w:rPr>
          <w:rFonts w:cs="Times New Roman"/>
          <w:lang w:val="fr-CA"/>
        </w:rPr>
        <w:t>avantageuse fondée sur le sexe.</w:t>
      </w:r>
      <w:r w:rsidRPr="004F117F">
        <w:rPr>
          <w:rFonts w:cs="Times New Roman"/>
          <w:lang w:val="fr-CA"/>
        </w:rPr>
        <w:t xml:space="preserve"> Selon elle, cette distinction est évidente puisque le but de la Loi est de tenter de résoudre les iniquités salariales qui existent entre les hommes et les femmes au travail (motifs de la juge Abella, par. 29). Pourtant, nous estimons à cette étape de l’analyse que le demandeur ne doit pas seulement démontrer l’existence d’une simple distinction dans la Loi, mais également d’une forme de désavantage en découlant.</w:t>
      </w:r>
    </w:p>
    <w:p w:rsidR="00C208DD" w:rsidRPr="004F117F" w:rsidRDefault="00C208DD" w:rsidP="00637E44">
      <w:pPr>
        <w:pStyle w:val="ParaNoNdepar-AltN"/>
        <w:widowControl w:val="0"/>
        <w:rPr>
          <w:rFonts w:cs="Times New Roman"/>
          <w:lang w:val="fr-CA"/>
        </w:rPr>
      </w:pPr>
      <w:r w:rsidRPr="004F117F">
        <w:rPr>
          <w:rFonts w:cs="Times New Roman"/>
          <w:lang w:val="fr-CA"/>
        </w:rPr>
        <w:t>La juge Abella</w:t>
      </w:r>
      <w:r w:rsidRPr="004F117F">
        <w:rPr>
          <w:rFonts w:cs="Times New Roman"/>
          <w:lang w:val="fr-FR"/>
        </w:rPr>
        <w:t xml:space="preserve"> affirme que les effets de la mesure contestée ne devraient pas être pris en compte au premier volet de l’analyse relative au par. 15(1), de façon à </w:t>
      </w:r>
      <w:r w:rsidRPr="004F117F">
        <w:rPr>
          <w:rFonts w:cs="Times New Roman"/>
          <w:lang w:val="fr-FR"/>
        </w:rPr>
        <w:lastRenderedPageBreak/>
        <w:t xml:space="preserve">éviter d’écarter des demandes en se basant sur des détails techniques. Or, cela ne constitue pas une simple formalité ou technicité. Il s’agit de déterminer si la mesure a un quelconque </w:t>
      </w:r>
      <w:r w:rsidRPr="004F117F">
        <w:rPr>
          <w:rFonts w:cs="Times New Roman"/>
          <w:i/>
          <w:lang w:val="fr-FR"/>
        </w:rPr>
        <w:t>effet</w:t>
      </w:r>
      <w:r w:rsidRPr="004F117F">
        <w:rPr>
          <w:rFonts w:cs="Times New Roman"/>
          <w:lang w:val="fr-FR"/>
        </w:rPr>
        <w:t xml:space="preserve"> sur le groupe. Une demande qui ne peut démontrer </w:t>
      </w:r>
      <w:r w:rsidRPr="004F117F">
        <w:rPr>
          <w:rFonts w:cs="Times New Roman"/>
          <w:i/>
          <w:lang w:val="fr-FR"/>
        </w:rPr>
        <w:t>prima facie</w:t>
      </w:r>
      <w:r w:rsidRPr="004F117F">
        <w:rPr>
          <w:rFonts w:cs="Times New Roman"/>
          <w:lang w:val="fr-FR"/>
        </w:rPr>
        <w:t xml:space="preserve"> la présence d’effets désavantageux est vouée à l’échec. Cela dit, les notions de « désavantage » et de « préjudice » sont souples et peuvent prendre plusieurs formes. </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La question de savoir si les effets des art. 76.3, 76.5 et 103.1 </w:t>
      </w:r>
      <w:r w:rsidR="00AF7752">
        <w:rPr>
          <w:rFonts w:cs="Times New Roman"/>
          <w:lang w:val="fr-CA"/>
        </w:rPr>
        <w:t>al.</w:t>
      </w:r>
      <w:r w:rsidRPr="004F117F">
        <w:rPr>
          <w:rFonts w:cs="Times New Roman"/>
          <w:lang w:val="fr-CA"/>
        </w:rPr>
        <w:t xml:space="preserve"> 2 de la Loi sont désavantageux est complexe. Sans imposer un fardeau indûment lourd à cette première étape de l’analyse fondée sur le par. 15(1) de la </w:t>
      </w:r>
      <w:r w:rsidRPr="004F117F">
        <w:rPr>
          <w:rFonts w:cs="Times New Roman"/>
          <w:i/>
          <w:lang w:val="fr-CA"/>
        </w:rPr>
        <w:t>Charte</w:t>
      </w:r>
      <w:r w:rsidRPr="004F117F">
        <w:rPr>
          <w:rFonts w:cs="Times New Roman"/>
          <w:lang w:val="fr-CA"/>
        </w:rPr>
        <w:t>, il y a lieu de se questionner davantage. Bien que notre collègue ait identifié une distinction au sens du par. 15(1), nous sommes d’avis que son analyse est viciée sur deux plans. Premièrement, il découle de l’analyse de notre collègue que toute tentative méliorative ne réalisant pas parfaitement ses objectifs porterait atteinte au par. 15(1). Pour les raisons que nous exposerons, nous ne pouvons nous rallier à cette position. Deuxièmement, malgré les efforts de notre collègue à dépeindre les dispositions péjorativement, un examen attentif de celles-ci montre clairement qu’elles ne sont pas, dans les faits, désavantageuses.</w:t>
      </w:r>
    </w:p>
    <w:p w:rsidR="00C208DD" w:rsidRPr="004F117F" w:rsidRDefault="00C208DD" w:rsidP="00637E44">
      <w:pPr>
        <w:pStyle w:val="ParaNoNdepar-AltN"/>
        <w:widowControl w:val="0"/>
        <w:rPr>
          <w:rFonts w:cs="Times New Roman"/>
          <w:lang w:val="fr-CA"/>
        </w:rPr>
      </w:pPr>
      <w:r w:rsidRPr="004F117F">
        <w:rPr>
          <w:rFonts w:cs="Times New Roman"/>
          <w:lang w:val="fr-CA"/>
        </w:rPr>
        <w:t>D’une part, l’argument avancé par la juge Abella voulant que la Loi ne procure pas d’avantages, mais constitue plutôt un véhicule permettant le respect</w:t>
      </w:r>
      <w:r w:rsidR="00E038B2">
        <w:rPr>
          <w:rFonts w:cs="Times New Roman"/>
          <w:lang w:val="fr-CA"/>
        </w:rPr>
        <w:t xml:space="preserve"> d’un droit fondamental garanti</w:t>
      </w:r>
      <w:r w:rsidRPr="004F117F">
        <w:rPr>
          <w:rFonts w:cs="Times New Roman"/>
          <w:lang w:val="fr-CA"/>
        </w:rPr>
        <w:t xml:space="preserve"> par la </w:t>
      </w:r>
      <w:r w:rsidRPr="004F117F">
        <w:rPr>
          <w:rFonts w:cs="Times New Roman"/>
          <w:i/>
          <w:lang w:val="fr-CA"/>
        </w:rPr>
        <w:t>Charte des droits et libertés de la personne</w:t>
      </w:r>
      <w:r w:rsidRPr="004F117F">
        <w:rPr>
          <w:rFonts w:cs="Times New Roman"/>
          <w:lang w:val="fr-CA"/>
        </w:rPr>
        <w:t xml:space="preserve">, RLRQ, c. C-12 </w:t>
      </w:r>
      <w:r w:rsidR="00813CD4">
        <w:rPr>
          <w:rFonts w:cs="Times New Roman"/>
          <w:lang w:val="fr-CA"/>
        </w:rPr>
        <w:t>(</w:t>
      </w:r>
      <w:r w:rsidRPr="004F117F">
        <w:rPr>
          <w:rFonts w:cs="Times New Roman"/>
          <w:lang w:val="fr-CA"/>
        </w:rPr>
        <w:t>« </w:t>
      </w:r>
      <w:r w:rsidRPr="004F117F">
        <w:rPr>
          <w:rFonts w:cs="Times New Roman"/>
          <w:i/>
          <w:lang w:val="fr-CA"/>
        </w:rPr>
        <w:t>Charte</w:t>
      </w:r>
      <w:r w:rsidRPr="004F117F">
        <w:rPr>
          <w:rFonts w:cs="Times New Roman"/>
          <w:lang w:val="fr-CA"/>
        </w:rPr>
        <w:t xml:space="preserve"> québécoise »</w:t>
      </w:r>
      <w:r w:rsidR="00813CD4">
        <w:rPr>
          <w:rFonts w:cs="Times New Roman"/>
          <w:lang w:val="fr-CA"/>
        </w:rPr>
        <w:t>)</w:t>
      </w:r>
      <w:r w:rsidRPr="004F117F">
        <w:rPr>
          <w:rFonts w:cs="Times New Roman"/>
          <w:lang w:val="fr-CA"/>
        </w:rPr>
        <w:t xml:space="preserve">, peut sembler séduisant. Sous cet angle, comme l’objectif de la Loi serait d’atteindre le même traitement salarial du groupe favorisé, en </w:t>
      </w:r>
      <w:r w:rsidRPr="004F117F">
        <w:rPr>
          <w:rFonts w:cs="Times New Roman"/>
          <w:lang w:val="fr-CA"/>
        </w:rPr>
        <w:lastRenderedPageBreak/>
        <w:t xml:space="preserve">l’espèce celui des personnes occupant des emplois tombant dans des catégories d’emploi à prédominance masculine, il est presque inévitable que la Loi soit désavantageuse si cet objectif n’est pas </w:t>
      </w:r>
      <w:r w:rsidRPr="004F117F">
        <w:rPr>
          <w:rFonts w:cs="Times New Roman"/>
          <w:i/>
          <w:lang w:val="fr-CA"/>
        </w:rPr>
        <w:t>parfaitement</w:t>
      </w:r>
      <w:r w:rsidRPr="004F117F">
        <w:rPr>
          <w:rFonts w:cs="Times New Roman"/>
          <w:lang w:val="fr-CA"/>
        </w:rPr>
        <w:t xml:space="preserve"> réalisé, puisque cette lacune aurait pour effet de « perpétuer » le désavantage préexistant. Pourtant, bien que l’équité salariale soit souhaitable dans notre société, la </w:t>
      </w:r>
      <w:r w:rsidRPr="004F117F">
        <w:rPr>
          <w:rFonts w:cs="Times New Roman"/>
          <w:i/>
          <w:lang w:val="fr-CA"/>
        </w:rPr>
        <w:t xml:space="preserve">Charte </w:t>
      </w:r>
      <w:r w:rsidRPr="004F117F">
        <w:rPr>
          <w:rFonts w:cs="Times New Roman"/>
          <w:lang w:val="fr-CA"/>
        </w:rPr>
        <w:t>ne confère pas un statut constitutionnel à sa réalisation non plus qu’à son maintien. En critiquant le caractère « épisodique » et « partie</w:t>
      </w:r>
      <w:r w:rsidR="00813CD4">
        <w:rPr>
          <w:rFonts w:cs="Times New Roman"/>
          <w:lang w:val="fr-CA"/>
        </w:rPr>
        <w:t>[</w:t>
      </w:r>
      <w:r w:rsidRPr="004F117F">
        <w:rPr>
          <w:rFonts w:cs="Times New Roman"/>
          <w:lang w:val="fr-CA"/>
        </w:rPr>
        <w:t>l</w:t>
      </w:r>
      <w:r w:rsidR="00813CD4">
        <w:rPr>
          <w:rFonts w:cs="Times New Roman"/>
          <w:lang w:val="fr-CA"/>
        </w:rPr>
        <w:t>]</w:t>
      </w:r>
      <w:r w:rsidRPr="004F117F">
        <w:rPr>
          <w:rFonts w:cs="Times New Roman"/>
          <w:lang w:val="fr-CA"/>
        </w:rPr>
        <w:t> » des obligations de maintien prévues dans les modifications à Loi (motifs de la juge Abella, par. 33) et en signalant que ces mêmes modifications « suspendent »</w:t>
      </w:r>
      <w:r w:rsidRPr="004F117F">
        <w:rPr>
          <w:rFonts w:cs="Times New Roman"/>
          <w:i/>
          <w:lang w:val="fr-CA"/>
        </w:rPr>
        <w:t xml:space="preserve"> </w:t>
      </w:r>
      <w:r w:rsidRPr="004F117F">
        <w:rPr>
          <w:rFonts w:cs="Times New Roman"/>
          <w:lang w:val="fr-CA"/>
        </w:rPr>
        <w:t>le droit des femmes à la protection contre toute discrimination salariale pour des intervalles de cinq ans (motifs de la juge Abella, par. 52), les propos de la juge Abella ont pour effet de constitutionnaliser l’équité salariale. Or, l’équité applicable aux entreprises privées est une création du législateur québécois et qui ne jouit d’aucun statut constitutionnel.</w:t>
      </w:r>
    </w:p>
    <w:p w:rsidR="00C208DD" w:rsidRPr="004F117F" w:rsidRDefault="00C208DD" w:rsidP="00637E44">
      <w:pPr>
        <w:pStyle w:val="ParaNoNdepar-AltN"/>
        <w:widowControl w:val="0"/>
        <w:rPr>
          <w:rFonts w:cs="Times New Roman"/>
          <w:lang w:val="fr-CA"/>
        </w:rPr>
      </w:pPr>
      <w:r w:rsidRPr="004F117F">
        <w:rPr>
          <w:rFonts w:cs="Times New Roman"/>
          <w:lang w:val="fr-CA"/>
        </w:rPr>
        <w:t>Au passage, il faut aussi rejeter la position mise de l’avant par les intimés puisqu’ils comparent les modifications de la Loi</w:t>
      </w:r>
      <w:r w:rsidRPr="004F117F">
        <w:rPr>
          <w:rFonts w:cs="Times New Roman"/>
          <w:i/>
          <w:lang w:val="fr-CA"/>
        </w:rPr>
        <w:t xml:space="preserve"> </w:t>
      </w:r>
      <w:r w:rsidRPr="004F117F">
        <w:rPr>
          <w:rFonts w:cs="Times New Roman"/>
          <w:lang w:val="fr-CA"/>
        </w:rPr>
        <w:t>à sa version antérieure. Adopter cette démarche aurait pour effet de constitutionnaliser un mécanisme procurant des avantages à un groupe visé par un motif énuméré ou analogue au détriment d’autres mécanismes tout aussi valables. Il ne serait alors plus loisible au législateur d’explorer d’autres avenues. Le législateur qui souhaiterait expérimenter en offrant par exemple des avantages moins importants ou simplement différents devrait courir le risque qu’une majorité de notre Cour remette en question le bien-fondé de sa mesure. Ce résultat serait inepte. Alors que le Québec verrait ses modifications à la Loi</w:t>
      </w:r>
      <w:r w:rsidRPr="004F117F">
        <w:rPr>
          <w:rFonts w:cs="Times New Roman"/>
          <w:i/>
          <w:lang w:val="fr-CA"/>
        </w:rPr>
        <w:t xml:space="preserve"> </w:t>
      </w:r>
      <w:r w:rsidRPr="004F117F">
        <w:rPr>
          <w:rFonts w:cs="Times New Roman"/>
          <w:lang w:val="fr-CA"/>
        </w:rPr>
        <w:t xml:space="preserve">être </w:t>
      </w:r>
      <w:r w:rsidRPr="004F117F">
        <w:rPr>
          <w:rFonts w:cs="Times New Roman"/>
          <w:lang w:val="fr-CA"/>
        </w:rPr>
        <w:lastRenderedPageBreak/>
        <w:t>déclarées invalides,</w:t>
      </w:r>
      <w:r w:rsidRPr="004F117F">
        <w:rPr>
          <w:rFonts w:cs="Times New Roman"/>
          <w:i/>
          <w:lang w:val="fr-CA"/>
        </w:rPr>
        <w:t xml:space="preserve"> </w:t>
      </w:r>
      <w:r w:rsidRPr="004F117F">
        <w:rPr>
          <w:rFonts w:cs="Times New Roman"/>
          <w:lang w:val="fr-CA"/>
        </w:rPr>
        <w:t>une province n’ayant pas de loi similaire visant le secteur privé, comme l’Île-du-Prince-Édouard, pourrait adopter mot pour mot la Loi à l’étude, et la constitutionnalité de celle-ci ne serait pas mise en doute. Ce serait imposer au Québec, ainsi qu’à toute province ayant joué un rôle de précurseur dans la lutte aux iniquités salariales, des obligations qui ne sont pas imposées aux autres.</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D’autre part, </w:t>
      </w:r>
      <w:r w:rsidRPr="004F117F">
        <w:rPr>
          <w:rFonts w:cs="Times New Roman"/>
          <w:lang w:val="fr-FR"/>
        </w:rPr>
        <w:t xml:space="preserve">il est tout aussi erroné pour la juge Abella d’affirmer que, pour les femmes visées par la Loi, la promesse d’équité salariale que l’on retrouve à l’art. 19 de la </w:t>
      </w:r>
      <w:r w:rsidRPr="004F117F">
        <w:rPr>
          <w:rFonts w:cs="Times New Roman"/>
          <w:i/>
          <w:lang w:val="fr-FR"/>
        </w:rPr>
        <w:t xml:space="preserve">Charte </w:t>
      </w:r>
      <w:r w:rsidRPr="004F117F">
        <w:rPr>
          <w:rFonts w:cs="Times New Roman"/>
          <w:lang w:val="fr-FR"/>
        </w:rPr>
        <w:t xml:space="preserve">québécoise est un droit sans recours, excepté à tous les cinq ans (motifs de la juge Abella, par. 39). </w:t>
      </w:r>
      <w:r w:rsidRPr="004F117F">
        <w:rPr>
          <w:rFonts w:cs="Times New Roman"/>
          <w:lang w:val="fr-CA"/>
        </w:rPr>
        <w:t xml:space="preserve">L’article 19 al. 3 de la </w:t>
      </w:r>
      <w:r w:rsidRPr="004F117F">
        <w:rPr>
          <w:rFonts w:cs="Times New Roman"/>
          <w:i/>
          <w:lang w:val="fr-CA"/>
        </w:rPr>
        <w:t xml:space="preserve">Charte </w:t>
      </w:r>
      <w:r w:rsidRPr="004F117F">
        <w:rPr>
          <w:rFonts w:cs="Times New Roman"/>
          <w:lang w:val="fr-CA"/>
        </w:rPr>
        <w:t>québécoise prévoit explicitement que « </w:t>
      </w:r>
      <w:r w:rsidRPr="004F117F">
        <w:rPr>
          <w:rFonts w:cs="Times New Roman"/>
          <w:lang w:val="fr-FR"/>
        </w:rPr>
        <w:t xml:space="preserve">[l]es ajustements salariaux ainsi qu’un programme d’équité salariale sont, eu égard à la discrimination fondée sur le sexe, </w:t>
      </w:r>
      <w:r w:rsidRPr="004F117F">
        <w:rPr>
          <w:rFonts w:cs="Times New Roman"/>
          <w:u w:val="single"/>
          <w:lang w:val="fr-FR"/>
        </w:rPr>
        <w:t>réputés non discriminatoires</w:t>
      </w:r>
      <w:r w:rsidRPr="004F117F">
        <w:rPr>
          <w:rFonts w:cs="Times New Roman"/>
          <w:lang w:val="fr-FR"/>
        </w:rPr>
        <w:t xml:space="preserve">, s’ils sont établis conformément à la </w:t>
      </w:r>
      <w:r w:rsidRPr="00295A7E">
        <w:rPr>
          <w:rFonts w:cs="Times New Roman"/>
          <w:lang w:val="fr-CA"/>
        </w:rPr>
        <w:t>Loi sur l’équité salariale</w:t>
      </w:r>
      <w:r w:rsidRPr="004F117F">
        <w:rPr>
          <w:rFonts w:cs="Times New Roman"/>
          <w:i/>
          <w:lang w:val="fr-CA"/>
        </w:rPr>
        <w:t> </w:t>
      </w:r>
      <w:r w:rsidRPr="004F117F">
        <w:rPr>
          <w:rFonts w:cs="Times New Roman"/>
          <w:lang w:val="fr-FR"/>
        </w:rPr>
        <w:t xml:space="preserve">». Faut-il rappeler que la </w:t>
      </w:r>
      <w:r w:rsidRPr="004F117F">
        <w:rPr>
          <w:rFonts w:cs="Times New Roman"/>
          <w:i/>
          <w:lang w:val="fr-FR"/>
        </w:rPr>
        <w:t xml:space="preserve">Charte </w:t>
      </w:r>
      <w:r w:rsidRPr="004F117F">
        <w:rPr>
          <w:rFonts w:cs="Times New Roman"/>
          <w:lang w:val="fr-FR"/>
        </w:rPr>
        <w:t>québécoise ne jouit</w:t>
      </w:r>
      <w:r w:rsidR="00295A7E">
        <w:rPr>
          <w:rFonts w:cs="Times New Roman"/>
          <w:lang w:val="fr-FR"/>
        </w:rPr>
        <w:t xml:space="preserve"> d’aucun statut constitutionnel</w:t>
      </w:r>
      <w:r w:rsidRPr="004F117F">
        <w:rPr>
          <w:rFonts w:cs="Times New Roman"/>
          <w:lang w:val="fr-FR"/>
        </w:rPr>
        <w:t xml:space="preserve">? </w:t>
      </w:r>
    </w:p>
    <w:p w:rsidR="00C208DD" w:rsidRPr="004F117F" w:rsidRDefault="00C208DD" w:rsidP="00637E44">
      <w:pPr>
        <w:pStyle w:val="ParaNoNdepar-AltN"/>
        <w:widowControl w:val="0"/>
        <w:rPr>
          <w:rFonts w:cs="Times New Roman"/>
          <w:lang w:val="fr-CA"/>
        </w:rPr>
      </w:pPr>
      <w:r w:rsidRPr="004F117F">
        <w:rPr>
          <w:rFonts w:cs="Times New Roman"/>
          <w:lang w:val="fr-FR"/>
        </w:rPr>
        <w:t xml:space="preserve">S’il fallait pousser le raisonnement de la juge Abella, il faudrait conclure que l’art. 19 de la </w:t>
      </w:r>
      <w:r w:rsidRPr="004F117F">
        <w:rPr>
          <w:rFonts w:cs="Times New Roman"/>
          <w:i/>
          <w:lang w:val="fr-FR"/>
        </w:rPr>
        <w:t xml:space="preserve">Charte </w:t>
      </w:r>
      <w:r w:rsidRPr="004F117F">
        <w:rPr>
          <w:rFonts w:cs="Times New Roman"/>
          <w:lang w:val="fr-FR"/>
        </w:rPr>
        <w:t xml:space="preserve">québécoise est aussi inconstitutionnel puisqu’il n’offre aucun recours aux salariés œuvrant dans des entreprises sans comparateur masculin. Quant aux autres salariés, une embuche inappropriée leur serait imposée puisqu’ils auraient encore le </w:t>
      </w:r>
      <w:r w:rsidRPr="004F117F">
        <w:rPr>
          <w:rFonts w:cs="Times New Roman"/>
          <w:i/>
          <w:lang w:val="fr-FR"/>
        </w:rPr>
        <w:t>lourd fardeau</w:t>
      </w:r>
      <w:r w:rsidRPr="004F117F">
        <w:rPr>
          <w:rFonts w:cs="Times New Roman"/>
          <w:lang w:val="fr-FR"/>
        </w:rPr>
        <w:t xml:space="preserve"> (motifs de la juge Abella, par. 38) d’intenter un recours et de démontrer qu’ils ne bénéficient pas d’un « salaire égal aux membres de son personnel qui accomplissent un travail équivalent au même endroit ». </w:t>
      </w:r>
      <w:r w:rsidRPr="004F117F">
        <w:rPr>
          <w:rFonts w:cs="Times New Roman"/>
          <w:lang w:val="fr-CA"/>
        </w:rPr>
        <w:t xml:space="preserve">Par conséquent, il faudrait conclure que la </w:t>
      </w:r>
      <w:r w:rsidRPr="004F117F">
        <w:rPr>
          <w:rFonts w:cs="Times New Roman"/>
          <w:i/>
          <w:lang w:val="fr-CA"/>
        </w:rPr>
        <w:t xml:space="preserve">Charte </w:t>
      </w:r>
      <w:r w:rsidRPr="00E038B2">
        <w:rPr>
          <w:rFonts w:cs="Times New Roman"/>
          <w:lang w:val="fr-CA"/>
        </w:rPr>
        <w:t xml:space="preserve">québécoise </w:t>
      </w:r>
      <w:r w:rsidRPr="004F117F">
        <w:rPr>
          <w:rFonts w:cs="Times New Roman"/>
          <w:lang w:val="fr-CA"/>
        </w:rPr>
        <w:t xml:space="preserve">impose un fardeau que les hommes n’ont pas à </w:t>
      </w:r>
      <w:r w:rsidRPr="004F117F">
        <w:rPr>
          <w:rFonts w:cs="Times New Roman"/>
          <w:lang w:val="fr-CA"/>
        </w:rPr>
        <w:lastRenderedPageBreak/>
        <w:t>porter. Nous sommes en profond désaccord avec cette position.</w:t>
      </w:r>
    </w:p>
    <w:p w:rsidR="00C208DD" w:rsidRPr="004F117F" w:rsidRDefault="00C208DD" w:rsidP="00637E44">
      <w:pPr>
        <w:pStyle w:val="ParaNoNdepar-AltN"/>
        <w:widowControl w:val="0"/>
        <w:rPr>
          <w:rFonts w:cs="Times New Roman"/>
          <w:lang w:val="fr-CA"/>
        </w:rPr>
      </w:pPr>
      <w:r w:rsidRPr="004F117F">
        <w:rPr>
          <w:rFonts w:cs="Times New Roman"/>
          <w:lang w:val="fr-CA"/>
        </w:rPr>
        <w:t>Dans tous les cas, le côté avantageux de la Loi,</w:t>
      </w:r>
      <w:r w:rsidRPr="004F117F">
        <w:rPr>
          <w:rFonts w:cs="Times New Roman"/>
          <w:i/>
          <w:lang w:val="fr-CA"/>
        </w:rPr>
        <w:t xml:space="preserve"> </w:t>
      </w:r>
      <w:r w:rsidRPr="004F117F">
        <w:rPr>
          <w:rFonts w:cs="Times New Roman"/>
          <w:lang w:val="fr-CA"/>
        </w:rPr>
        <w:t>dans sa version modifiée en 2009 (L.Q. 2009, c. 9), est évident. Il convient d’abord de lire les dispositions en litige que notre collègue juge inconstitutionnelles :</w:t>
      </w:r>
    </w:p>
    <w:p w:rsidR="00C208DD" w:rsidRPr="004F117F" w:rsidRDefault="00C208DD" w:rsidP="00637E44">
      <w:pPr>
        <w:pStyle w:val="Citation-AltC"/>
        <w:widowControl w:val="0"/>
        <w:tabs>
          <w:tab w:val="left" w:pos="1890"/>
        </w:tabs>
        <w:rPr>
          <w:lang w:val="fr-CA"/>
        </w:rPr>
      </w:pPr>
      <w:r w:rsidRPr="004F117F">
        <w:rPr>
          <w:b/>
          <w:lang w:val="fr-CA"/>
        </w:rPr>
        <w:t>76.3.</w:t>
      </w:r>
      <w:r w:rsidR="00295A7E">
        <w:rPr>
          <w:lang w:val="fr-CA"/>
        </w:rPr>
        <w:tab/>
      </w:r>
      <w:r w:rsidRPr="004F117F">
        <w:rPr>
          <w:lang w:val="fr-CA"/>
        </w:rPr>
        <w:t xml:space="preserve">Le comité de maintien de l’équité salariale ou, à défaut, l’employeur doit, lorsqu’il a évalué le maintien de l’équité salariale, en afficher pendant 60 jours les résultats dans des endroits visibles et facilement accessibles aux salariés. L’affichage doit inclure les éléments suivants : </w:t>
      </w:r>
    </w:p>
    <w:p w:rsidR="00C208DD" w:rsidRPr="004F117F" w:rsidRDefault="00C208DD" w:rsidP="00637E44">
      <w:pPr>
        <w:pStyle w:val="Citation-AltC"/>
        <w:widowControl w:val="0"/>
        <w:ind w:left="1440"/>
        <w:rPr>
          <w:lang w:val="fr-CA"/>
        </w:rPr>
      </w:pPr>
    </w:p>
    <w:p w:rsidR="00C208DD" w:rsidRPr="004F117F" w:rsidRDefault="00C208DD" w:rsidP="00637E44">
      <w:pPr>
        <w:pStyle w:val="Citation-AltC"/>
        <w:widowControl w:val="0"/>
        <w:ind w:left="1440"/>
        <w:rPr>
          <w:lang w:val="fr-CA"/>
        </w:rPr>
      </w:pPr>
      <w:r w:rsidRPr="004F117F">
        <w:rPr>
          <w:lang w:val="fr-CA"/>
        </w:rPr>
        <w:t xml:space="preserve">1°   un sommaire de la démarche retenue pour l’évaluation du maintien de l’équité salariale; </w:t>
      </w:r>
    </w:p>
    <w:p w:rsidR="00C208DD" w:rsidRPr="004F117F" w:rsidRDefault="00C208DD" w:rsidP="00637E44">
      <w:pPr>
        <w:pStyle w:val="Citation-AltC"/>
        <w:widowControl w:val="0"/>
        <w:ind w:left="1440"/>
        <w:rPr>
          <w:lang w:val="fr-CA"/>
        </w:rPr>
      </w:pPr>
    </w:p>
    <w:p w:rsidR="00C208DD" w:rsidRPr="004F117F" w:rsidRDefault="00C208DD" w:rsidP="00637E44">
      <w:pPr>
        <w:pStyle w:val="Citation-AltC"/>
        <w:widowControl w:val="0"/>
        <w:ind w:firstLine="274"/>
        <w:rPr>
          <w:lang w:val="fr-CA"/>
        </w:rPr>
      </w:pPr>
      <w:r w:rsidRPr="004F117F">
        <w:rPr>
          <w:lang w:val="fr-CA"/>
        </w:rPr>
        <w:t xml:space="preserve">2°   la liste des événements ayant généré des ajustements; </w:t>
      </w:r>
    </w:p>
    <w:p w:rsidR="00C208DD" w:rsidRPr="004F117F" w:rsidRDefault="00C208DD" w:rsidP="00637E44">
      <w:pPr>
        <w:pStyle w:val="Citation-AltC"/>
        <w:widowControl w:val="0"/>
        <w:ind w:firstLine="274"/>
        <w:rPr>
          <w:lang w:val="fr-CA"/>
        </w:rPr>
      </w:pPr>
    </w:p>
    <w:p w:rsidR="00C208DD" w:rsidRPr="004F117F" w:rsidRDefault="00C208DD" w:rsidP="00637E44">
      <w:pPr>
        <w:pStyle w:val="Citation-AltC"/>
        <w:widowControl w:val="0"/>
        <w:ind w:left="1440"/>
        <w:rPr>
          <w:lang w:val="fr-CA"/>
        </w:rPr>
      </w:pPr>
      <w:r w:rsidRPr="004F117F">
        <w:rPr>
          <w:lang w:val="fr-CA"/>
        </w:rPr>
        <w:t xml:space="preserve">3°   la liste des catégories d’emplois à prédominance féminine qui ont droit à des ajustements; </w:t>
      </w:r>
    </w:p>
    <w:p w:rsidR="00C208DD" w:rsidRPr="004F117F" w:rsidRDefault="00C208DD" w:rsidP="00637E44">
      <w:pPr>
        <w:pStyle w:val="Citation-AltC"/>
        <w:widowControl w:val="0"/>
        <w:ind w:left="1440"/>
        <w:rPr>
          <w:lang w:val="fr-CA"/>
        </w:rPr>
      </w:pPr>
    </w:p>
    <w:p w:rsidR="00C208DD" w:rsidRPr="004F117F" w:rsidRDefault="00C208DD" w:rsidP="00637E44">
      <w:pPr>
        <w:pStyle w:val="Citation-AltC"/>
        <w:widowControl w:val="0"/>
        <w:ind w:firstLine="274"/>
        <w:rPr>
          <w:lang w:val="fr-CA"/>
        </w:rPr>
      </w:pPr>
      <w:r w:rsidRPr="004F117F">
        <w:rPr>
          <w:lang w:val="fr-CA"/>
        </w:rPr>
        <w:t xml:space="preserve">4°   le pourcentage ou le montant des ajustements à verser; </w:t>
      </w:r>
    </w:p>
    <w:p w:rsidR="00C208DD" w:rsidRPr="004F117F" w:rsidRDefault="00C208DD" w:rsidP="00637E44">
      <w:pPr>
        <w:pStyle w:val="Citation-AltC"/>
        <w:widowControl w:val="0"/>
        <w:ind w:firstLine="274"/>
        <w:rPr>
          <w:lang w:val="fr-CA"/>
        </w:rPr>
      </w:pPr>
    </w:p>
    <w:p w:rsidR="00C208DD" w:rsidRPr="004F117F" w:rsidRDefault="00295A7E" w:rsidP="00637E44">
      <w:pPr>
        <w:pStyle w:val="Citation-AltC"/>
        <w:widowControl w:val="0"/>
        <w:ind w:left="1440"/>
        <w:rPr>
          <w:lang w:val="fr-CA"/>
        </w:rPr>
      </w:pPr>
      <w:r>
        <w:rPr>
          <w:lang w:val="fr-CA"/>
        </w:rPr>
        <w:t>5°  </w:t>
      </w:r>
      <w:r w:rsidR="00C208DD" w:rsidRPr="004F117F">
        <w:rPr>
          <w:lang w:val="fr-CA"/>
        </w:rPr>
        <w:t xml:space="preserve">sa date ainsi que les renseignements sur les droits prévus à l’article 76.4 et sur les délais pour les exercer. </w:t>
      </w:r>
    </w:p>
    <w:p w:rsidR="00C208DD" w:rsidRPr="004F117F" w:rsidRDefault="00C208DD" w:rsidP="00637E44">
      <w:pPr>
        <w:pStyle w:val="Citation-AltC"/>
        <w:widowControl w:val="0"/>
        <w:rPr>
          <w:lang w:val="fr-CA"/>
        </w:rPr>
      </w:pPr>
    </w:p>
    <w:p w:rsidR="00C208DD" w:rsidRPr="004F117F" w:rsidRDefault="00C208DD" w:rsidP="00637E44">
      <w:pPr>
        <w:pStyle w:val="Citation-AltC"/>
        <w:widowControl w:val="0"/>
        <w:ind w:firstLine="274"/>
        <w:rPr>
          <w:lang w:val="fr-CA"/>
        </w:rPr>
      </w:pPr>
      <w:r w:rsidRPr="004F117F">
        <w:rPr>
          <w:lang w:val="fr-CA"/>
        </w:rPr>
        <w:t xml:space="preserve">Le comité de maintien de l’équité salariale ou, à défaut, l’employeur informe les salariés de l’affichage, par un mode de communication susceptible de les joindre, en indiquant notamment la date de l’affichage, sa durée et par quels moyens ils peuvent en prendre connaissance. </w:t>
      </w:r>
    </w:p>
    <w:p w:rsidR="00C208DD" w:rsidRPr="004F117F" w:rsidRDefault="00C208DD" w:rsidP="00637E44">
      <w:pPr>
        <w:pStyle w:val="Citation-AltC"/>
        <w:widowControl w:val="0"/>
        <w:rPr>
          <w:lang w:val="fr-CA"/>
        </w:rPr>
      </w:pPr>
    </w:p>
    <w:p w:rsidR="00C208DD" w:rsidRPr="004F117F" w:rsidRDefault="00C208DD" w:rsidP="00637E44">
      <w:pPr>
        <w:pStyle w:val="Citation-AltC"/>
        <w:widowControl w:val="0"/>
        <w:tabs>
          <w:tab w:val="left" w:pos="1890"/>
        </w:tabs>
        <w:rPr>
          <w:lang w:val="fr-FR"/>
        </w:rPr>
      </w:pPr>
      <w:r w:rsidRPr="004F117F">
        <w:rPr>
          <w:b/>
          <w:lang w:val="fr-CA"/>
        </w:rPr>
        <w:t>76.5.</w:t>
      </w:r>
      <w:r w:rsidRPr="004F117F">
        <w:rPr>
          <w:lang w:val="fr-CA"/>
        </w:rPr>
        <w:tab/>
      </w:r>
      <w:r w:rsidRPr="004F117F">
        <w:rPr>
          <w:lang w:val="fr-FR"/>
        </w:rPr>
        <w:t xml:space="preserve">Sous réserve du troisième alinéa de l’article 101, les ajustements salariaux s’appliquent à compter de la date à laquelle l’affichage prévu au deuxième alinéa de l’article 76.4 doit avoir lieu. </w:t>
      </w:r>
    </w:p>
    <w:p w:rsidR="00C208DD" w:rsidRPr="004F117F" w:rsidRDefault="00C208DD" w:rsidP="00637E44">
      <w:pPr>
        <w:pStyle w:val="Citation-AltC"/>
        <w:widowControl w:val="0"/>
        <w:rPr>
          <w:lang w:val="fr-FR"/>
        </w:rPr>
      </w:pPr>
    </w:p>
    <w:p w:rsidR="00C208DD" w:rsidRPr="004F117F" w:rsidRDefault="00C208DD" w:rsidP="00637E44">
      <w:pPr>
        <w:pStyle w:val="Citation-AltC"/>
        <w:widowControl w:val="0"/>
        <w:ind w:firstLine="274"/>
        <w:rPr>
          <w:lang w:val="fr-FR"/>
        </w:rPr>
      </w:pPr>
      <w:r w:rsidRPr="004F117F">
        <w:rPr>
          <w:lang w:val="fr-FR"/>
        </w:rPr>
        <w:t xml:space="preserve">À défaut d’être versés, ils portent intérêt au taux légal à compter de cette date. </w:t>
      </w:r>
    </w:p>
    <w:p w:rsidR="00C208DD" w:rsidRPr="004F117F" w:rsidRDefault="00C208DD" w:rsidP="00637E44">
      <w:pPr>
        <w:pStyle w:val="Citation-AltC"/>
        <w:widowControl w:val="0"/>
        <w:rPr>
          <w:lang w:val="fr-FR"/>
        </w:rPr>
      </w:pPr>
    </w:p>
    <w:p w:rsidR="00C208DD" w:rsidRPr="004F117F" w:rsidRDefault="00C208DD" w:rsidP="00637E44">
      <w:pPr>
        <w:pStyle w:val="Citation-AltC"/>
        <w:widowControl w:val="0"/>
        <w:rPr>
          <w:lang w:val="fr-FR"/>
        </w:rPr>
      </w:pPr>
      <w:r w:rsidRPr="004F117F">
        <w:rPr>
          <w:b/>
          <w:lang w:val="fr-FR"/>
        </w:rPr>
        <w:t>103.1.</w:t>
      </w:r>
      <w:r w:rsidRPr="004F117F">
        <w:rPr>
          <w:lang w:val="fr-FR"/>
        </w:rPr>
        <w:t xml:space="preserve"> . . . </w:t>
      </w:r>
    </w:p>
    <w:p w:rsidR="00C208DD" w:rsidRPr="004F117F" w:rsidRDefault="00C208DD" w:rsidP="00637E44">
      <w:pPr>
        <w:pStyle w:val="Citation-AltC"/>
        <w:widowControl w:val="0"/>
        <w:rPr>
          <w:lang w:val="fr-FR"/>
        </w:rPr>
      </w:pPr>
    </w:p>
    <w:p w:rsidR="00C208DD" w:rsidRDefault="00C208DD" w:rsidP="00637E44">
      <w:pPr>
        <w:pStyle w:val="Citation-AltC"/>
        <w:widowControl w:val="0"/>
        <w:ind w:firstLine="274"/>
        <w:rPr>
          <w:lang w:val="fr-FR"/>
        </w:rPr>
      </w:pPr>
      <w:r w:rsidRPr="004F117F">
        <w:rPr>
          <w:lang w:val="fr-FR"/>
        </w:rPr>
        <w:t xml:space="preserve">À l’occasion d’une plainte portée en vertu des dispositions de l’article </w:t>
      </w:r>
      <w:r w:rsidRPr="004F117F">
        <w:rPr>
          <w:lang w:val="fr-FR"/>
        </w:rPr>
        <w:lastRenderedPageBreak/>
        <w:t>100 concernant le maintien de l’équité salariale, la Commission ne peut déterminer des ajustements salariaux antérieurs à la date prévue au premier alinéa de l’article 76.5.</w:t>
      </w:r>
    </w:p>
    <w:p w:rsidR="00295A7E" w:rsidRPr="004F117F" w:rsidRDefault="00295A7E" w:rsidP="00637E44">
      <w:pPr>
        <w:pStyle w:val="Citation-AltC"/>
        <w:widowControl w:val="0"/>
        <w:ind w:firstLine="274"/>
        <w:jc w:val="center"/>
        <w:rPr>
          <w:lang w:val="fr-FR"/>
        </w:rPr>
      </w:pPr>
      <w:r>
        <w:rPr>
          <w:lang w:val="fr-FR"/>
        </w:rPr>
        <w:t>. . .</w:t>
      </w:r>
    </w:p>
    <w:p w:rsidR="00C208DD" w:rsidRPr="004F117F" w:rsidRDefault="00C208DD" w:rsidP="00637E44">
      <w:pPr>
        <w:pStyle w:val="ParaNoNdepar-AltN"/>
        <w:widowControl w:val="0"/>
        <w:rPr>
          <w:rFonts w:cs="Times New Roman"/>
          <w:i/>
          <w:szCs w:val="24"/>
          <w:lang w:val="fr-FR"/>
        </w:rPr>
      </w:pPr>
      <w:r w:rsidRPr="004F117F">
        <w:rPr>
          <w:rFonts w:cs="Times New Roman"/>
          <w:lang w:val="fr-CA"/>
        </w:rPr>
        <w:t>Depuis l’entrée en vigueur des modifications en 2009, les salariées visées bénéficient d’un avantage considérable par rapport à la situation qui prévalait auparavant. Cet avantage prend la forme d’une évaluation périodique du maintien de l’équité salariale sans qu’elles n’aient à intenter quelque recours, et le cas échéant, d’un ajustement salarial pour le futur. Il s’agit d’un changement d’orientation législatif significatif. L’ancien régime était qualifié de « passif » puisque seule une obligation générale de ne pas discriminer était imposée aux employeurs. Il revenait aux salariées de porter plainte. De façon générale, l</w:t>
      </w:r>
      <w:r w:rsidRPr="004F117F">
        <w:rPr>
          <w:rFonts w:cs="Times New Roman"/>
          <w:lang w:val="fr-FR"/>
        </w:rPr>
        <w:t xml:space="preserve">es lois « passives » ont été durement critiquées, notamment en raison des coûts émotionnels et financiers importants qu’elles peuvent entraîner et de la lenteur institutionnelle : </w:t>
      </w:r>
      <w:r w:rsidRPr="004F117F">
        <w:rPr>
          <w:rFonts w:cs="Times New Roman"/>
          <w:i/>
          <w:lang w:val="fr-FR"/>
        </w:rPr>
        <w:t>Rapport de la Commission sur l’égalité en matière d’emploi</w:t>
      </w:r>
      <w:r w:rsidRPr="004F117F">
        <w:rPr>
          <w:rFonts w:cs="Times New Roman"/>
          <w:i/>
          <w:szCs w:val="24"/>
          <w:lang w:val="fr-FR"/>
        </w:rPr>
        <w:t xml:space="preserve"> </w:t>
      </w:r>
      <w:r w:rsidRPr="004F117F">
        <w:rPr>
          <w:rFonts w:cs="Times New Roman"/>
          <w:szCs w:val="24"/>
          <w:lang w:val="fr-FR"/>
        </w:rPr>
        <w:t>(1984)</w:t>
      </w:r>
      <w:r w:rsidRPr="004F117F">
        <w:rPr>
          <w:rFonts w:cs="Times New Roman"/>
          <w:lang w:val="fr-FR"/>
        </w:rPr>
        <w:t>,</w:t>
      </w:r>
      <w:r w:rsidRPr="004F117F">
        <w:rPr>
          <w:rFonts w:cs="Times New Roman"/>
          <w:i/>
          <w:lang w:val="fr-FR"/>
        </w:rPr>
        <w:t xml:space="preserve"> </w:t>
      </w:r>
      <w:r w:rsidRPr="004F117F">
        <w:rPr>
          <w:rFonts w:cs="Times New Roman"/>
          <w:lang w:val="fr-FR"/>
        </w:rPr>
        <w:t>p. 263-264;</w:t>
      </w:r>
      <w:r w:rsidRPr="004F117F">
        <w:rPr>
          <w:rFonts w:cs="Times New Roman"/>
          <w:i/>
          <w:lang w:val="fr-FR"/>
        </w:rPr>
        <w:t xml:space="preserve"> </w:t>
      </w:r>
      <w:r w:rsidRPr="004F117F">
        <w:rPr>
          <w:rFonts w:cs="Times New Roman"/>
          <w:lang w:val="fr-FR"/>
        </w:rPr>
        <w:t xml:space="preserve">sur l’expérience avec la </w:t>
      </w:r>
      <w:r w:rsidRPr="004F117F">
        <w:rPr>
          <w:rFonts w:cs="Times New Roman"/>
          <w:i/>
          <w:lang w:val="fr-FR"/>
        </w:rPr>
        <w:t>Loi canadienne sur les droits de la personne</w:t>
      </w:r>
      <w:r w:rsidRPr="004F117F">
        <w:rPr>
          <w:rFonts w:cs="Times New Roman"/>
          <w:lang w:val="fr-FR"/>
        </w:rPr>
        <w:t xml:space="preserve">, L.R.C. 1985, c. H-6, voir Groupe de travail sur l’équité salariale, </w:t>
      </w:r>
      <w:r w:rsidRPr="004F117F">
        <w:rPr>
          <w:rFonts w:cs="Times New Roman"/>
          <w:i/>
          <w:lang w:val="fr-FR"/>
        </w:rPr>
        <w:t>L’équité salariale : une nouvelle approche à un droit fondamental</w:t>
      </w:r>
      <w:r w:rsidRPr="004F117F">
        <w:rPr>
          <w:rFonts w:cs="Times New Roman"/>
          <w:lang w:val="fr-FR"/>
        </w:rPr>
        <w:t xml:space="preserve"> (2004), p. 109-118. </w:t>
      </w:r>
      <w:r w:rsidRPr="004F117F">
        <w:rPr>
          <w:rFonts w:cs="Times New Roman"/>
          <w:lang w:val="fr-CA"/>
        </w:rPr>
        <w:t xml:space="preserve">Le mécanisme actuel peut quant à lui être qualifié de « proactif » en ce qu’il oblige l’employeur à procéder à une révision périodique des conditions salariales et à divulguer les informations pertinentes à l’exercice : C. Sheppard, </w:t>
      </w:r>
      <w:r w:rsidRPr="004F117F">
        <w:rPr>
          <w:rFonts w:cs="Times New Roman"/>
          <w:i/>
          <w:lang w:val="fr-CA"/>
        </w:rPr>
        <w:t>Inclusive Equality : The Relational Dimensions of Systemic Discrmination in Canada</w:t>
      </w:r>
      <w:r w:rsidRPr="004F117F">
        <w:rPr>
          <w:rFonts w:cs="Times New Roman"/>
          <w:lang w:val="fr-CA"/>
        </w:rPr>
        <w:t xml:space="preserve"> (2010), p. 29. Ainsi, contrairement à ce qu’avance notre collègue, la Loi n’a pas législativement ancré la discrimination en imposant un mécanisme qui la perpétue. Elle n’impose pas non plus d’embûches additionnelles, au contraire.</w:t>
      </w:r>
    </w:p>
    <w:p w:rsidR="00C208DD" w:rsidRPr="004F117F" w:rsidRDefault="00C208DD" w:rsidP="00637E44">
      <w:pPr>
        <w:pStyle w:val="ParaNoNdepar-AltN"/>
        <w:widowControl w:val="0"/>
        <w:rPr>
          <w:rFonts w:cs="Times New Roman"/>
          <w:lang w:val="fr-CA"/>
        </w:rPr>
      </w:pPr>
      <w:r w:rsidRPr="004F117F">
        <w:rPr>
          <w:rFonts w:cs="Times New Roman"/>
          <w:lang w:val="fr-CA"/>
        </w:rPr>
        <w:lastRenderedPageBreak/>
        <w:t xml:space="preserve">De plus, l’art. 76.9 de la Loi prévoit que « [l]’employeur [. . .] ne doit pas, </w:t>
      </w:r>
      <w:r w:rsidRPr="004F117F">
        <w:rPr>
          <w:rFonts w:cs="Times New Roman"/>
          <w:lang w:val="fr-FR"/>
        </w:rPr>
        <w:t xml:space="preserve">en regard du maintien de l’équité salariale, agir de mauvaise foi ou de façon arbitraire ou discriminatoire, ni faire preuve de négligence </w:t>
      </w:r>
      <w:r w:rsidRPr="004F117F">
        <w:rPr>
          <w:rFonts w:cs="Times New Roman"/>
          <w:szCs w:val="24"/>
          <w:lang w:val="fr-FR"/>
        </w:rPr>
        <w:t>grave à l’endroit des salariés de l’entreprise ». Corrélativement, l’art. 101 al. 3 de la Loi prévoit que, « en cas de manquement de l’employeur à l’</w:t>
      </w:r>
      <w:r w:rsidRPr="004F117F">
        <w:rPr>
          <w:rFonts w:cs="Times New Roman"/>
          <w:lang w:val="fr-CA"/>
        </w:rPr>
        <w:t xml:space="preserve">article 76.9, </w:t>
      </w:r>
      <w:r w:rsidRPr="004F117F">
        <w:rPr>
          <w:rFonts w:cs="Times New Roman"/>
          <w:szCs w:val="24"/>
          <w:lang w:val="fr-FR"/>
        </w:rPr>
        <w:t xml:space="preserve">la Commission [de l’équité salariale, remplacée par la Commission des normes, de l’équité, de la santé et de la sécurité du travail] peut déterminer que des ajustements salariaux sont dus à compter de la date de ce manquement ». Un mécanisme est donc en place pour éviter de créer une lacune dans la Loi dont il pourrait être possible de tirer délibérément avantage. À notre avis et avec respect, notre collègue la juge Abella fait fausse route lorsqu’elle conclut que l’effet cumulatif des articles à l’étude est d’accorder une « amnistie » pour les employeurs quant aux ajustements salariaux requis entre les évaluations périodiques (par. 33). </w:t>
      </w:r>
    </w:p>
    <w:p w:rsidR="00C208DD" w:rsidRPr="004F117F" w:rsidRDefault="00C208DD" w:rsidP="00637E44">
      <w:pPr>
        <w:pStyle w:val="ParaNoNdepar-AltN"/>
        <w:widowControl w:val="0"/>
        <w:rPr>
          <w:rFonts w:cs="Times New Roman"/>
          <w:lang w:val="fr-CA"/>
        </w:rPr>
      </w:pPr>
      <w:r w:rsidRPr="004F117F">
        <w:rPr>
          <w:rFonts w:cs="Times New Roman"/>
          <w:szCs w:val="24"/>
          <w:lang w:val="fr-FR"/>
        </w:rPr>
        <w:t>Également, il est inexact, que l’art. 76.9 de la Loi</w:t>
      </w:r>
      <w:r w:rsidRPr="004F117F">
        <w:rPr>
          <w:rFonts w:cs="Times New Roman"/>
          <w:i/>
          <w:szCs w:val="24"/>
          <w:lang w:val="fr-FR"/>
        </w:rPr>
        <w:t xml:space="preserve"> </w:t>
      </w:r>
      <w:r w:rsidRPr="004F117F">
        <w:rPr>
          <w:rFonts w:cs="Times New Roman"/>
          <w:szCs w:val="24"/>
          <w:lang w:val="fr-FR"/>
        </w:rPr>
        <w:t xml:space="preserve">ne s’applique qu’au cas de discrimination </w:t>
      </w:r>
      <w:r w:rsidRPr="004F117F">
        <w:rPr>
          <w:rFonts w:cs="Times New Roman"/>
          <w:i/>
          <w:szCs w:val="24"/>
          <w:lang w:val="fr-FR"/>
        </w:rPr>
        <w:t>intentionnelle</w:t>
      </w:r>
      <w:r w:rsidRPr="004F117F">
        <w:rPr>
          <w:rFonts w:cs="Times New Roman"/>
          <w:szCs w:val="24"/>
          <w:lang w:val="fr-FR"/>
        </w:rPr>
        <w:t xml:space="preserve"> ou de mauvaise foi</w:t>
      </w:r>
      <w:r w:rsidRPr="004F117F">
        <w:rPr>
          <w:rFonts w:cs="Times New Roman"/>
          <w:lang w:val="fr-CA"/>
        </w:rPr>
        <w:t xml:space="preserve"> </w:t>
      </w:r>
      <w:r w:rsidRPr="004F117F">
        <w:rPr>
          <w:rFonts w:cs="Times New Roman"/>
          <w:szCs w:val="24"/>
          <w:lang w:val="fr-FR"/>
        </w:rPr>
        <w:t xml:space="preserve">(motifs de la juge Abella, par. 35). Tel que mentionné précédemment, l’art. 76.9 couvre également les conduites </w:t>
      </w:r>
      <w:r w:rsidRPr="004F117F">
        <w:rPr>
          <w:rFonts w:cs="Times New Roman"/>
          <w:i/>
          <w:lang w:val="fr-FR"/>
        </w:rPr>
        <w:t>arbitraires</w:t>
      </w:r>
      <w:r w:rsidRPr="004F117F">
        <w:rPr>
          <w:rFonts w:cs="Times New Roman"/>
          <w:lang w:val="fr-FR"/>
        </w:rPr>
        <w:t xml:space="preserve"> ou </w:t>
      </w:r>
      <w:r w:rsidRPr="004F117F">
        <w:rPr>
          <w:rFonts w:cs="Times New Roman"/>
          <w:i/>
          <w:lang w:val="fr-FR"/>
        </w:rPr>
        <w:t>discriminatoires</w:t>
      </w:r>
      <w:r w:rsidR="00E038B2">
        <w:rPr>
          <w:rFonts w:cs="Times New Roman"/>
          <w:lang w:val="fr-FR"/>
        </w:rPr>
        <w:t xml:space="preserve">. </w:t>
      </w:r>
      <w:r w:rsidRPr="004F117F">
        <w:rPr>
          <w:rFonts w:cs="Times New Roman"/>
          <w:lang w:val="fr-FR"/>
        </w:rPr>
        <w:t xml:space="preserve">Il est aberrant de soutenir que le mécanisme prévu par la Loi constitue une forme d’approbation gouvernementale de la sous-évaluation de la rémunération des femmes (motifs de la juge Abella, par. 38). </w:t>
      </w:r>
      <w:r w:rsidRPr="004F117F">
        <w:rPr>
          <w:rFonts w:cs="Times New Roman"/>
          <w:szCs w:val="24"/>
          <w:lang w:val="fr-FR"/>
        </w:rPr>
        <w:t>Considérée dans son ensemble, la Loi crée un régime complet « hybride » qui permet une révision périodique des salaires en plus d’offrir un recours en réparation rétroactive en cas d’abus. La Loi</w:t>
      </w:r>
      <w:r w:rsidRPr="004F117F">
        <w:rPr>
          <w:rFonts w:cs="Times New Roman"/>
          <w:i/>
          <w:szCs w:val="24"/>
          <w:lang w:val="fr-FR"/>
        </w:rPr>
        <w:t xml:space="preserve"> </w:t>
      </w:r>
      <w:r w:rsidRPr="004F117F">
        <w:rPr>
          <w:rFonts w:cs="Times New Roman"/>
          <w:szCs w:val="24"/>
          <w:lang w:val="fr-FR"/>
        </w:rPr>
        <w:t xml:space="preserve">répond donc au problème de la discrimination systémique en plus de, </w:t>
      </w:r>
      <w:r w:rsidRPr="004F117F">
        <w:rPr>
          <w:rFonts w:cs="Times New Roman"/>
          <w:szCs w:val="24"/>
          <w:lang w:val="fr-FR"/>
        </w:rPr>
        <w:lastRenderedPageBreak/>
        <w:t xml:space="preserve">notamment, répondre à celui de la discrimination intentionnelle. </w:t>
      </w:r>
    </w:p>
    <w:p w:rsidR="00C208DD" w:rsidRPr="004F117F" w:rsidRDefault="00C208DD" w:rsidP="00637E44">
      <w:pPr>
        <w:pStyle w:val="ParaNoNdepar-AltN"/>
        <w:widowControl w:val="0"/>
        <w:rPr>
          <w:rFonts w:cs="Times New Roman"/>
          <w:lang w:val="fr-CA"/>
        </w:rPr>
      </w:pPr>
      <w:r w:rsidRPr="004F117F">
        <w:rPr>
          <w:rFonts w:cs="Times New Roman"/>
          <w:lang w:val="fr-FR"/>
        </w:rPr>
        <w:t xml:space="preserve">De surcroît, </w:t>
      </w:r>
      <w:r w:rsidRPr="004F117F">
        <w:rPr>
          <w:rFonts w:cs="Times New Roman"/>
          <w:lang w:val="fr-CA"/>
        </w:rPr>
        <w:t xml:space="preserve">l’effet améliorateur de la Loi devient évident lorsque la situation est analysée sous le prisme du groupe comparateur. Bien qu’il faille faire preuve de prudence lors du choix d’un tel groupe, ce choix étant susceptible de dicter le résultat de l’analyse, il appert qu’un groupe de comparaison adéquat et aux caractéristiques identiques existe bel et bien. Notre Cour n’a d’ailleurs jamais abandonné ou proscrit l’utilisation de la preuve comparative. Elle a simplement émis une mise en garde contre le formalisme trop rigide. Dans les circonstances du présent pourvoi, </w:t>
      </w:r>
      <w:r w:rsidRPr="004F117F">
        <w:rPr>
          <w:rFonts w:cs="Times New Roman"/>
          <w:lang w:val="fr-FR"/>
        </w:rPr>
        <w:t>la valeur probante de la preuve comparative, considérée de façon contextuelle, outrepasse ce risque </w:t>
      </w:r>
      <w:r w:rsidRPr="004F117F">
        <w:rPr>
          <w:rFonts w:cs="Times New Roman"/>
          <w:lang w:val="fr-CA"/>
        </w:rPr>
        <w:t>: </w:t>
      </w:r>
      <w:r w:rsidRPr="004F117F">
        <w:rPr>
          <w:rFonts w:cs="Times New Roman"/>
          <w:i/>
          <w:lang w:val="fr-CA"/>
        </w:rPr>
        <w:t>Withler</w:t>
      </w:r>
      <w:r w:rsidRPr="004F117F">
        <w:rPr>
          <w:rFonts w:cs="Times New Roman"/>
          <w:lang w:val="fr-CA"/>
        </w:rPr>
        <w:t xml:space="preserve">, par. 65; </w:t>
      </w:r>
      <w:r w:rsidRPr="004F117F">
        <w:rPr>
          <w:rFonts w:cs="Times New Roman"/>
          <w:i/>
          <w:lang w:val="fr-CA"/>
        </w:rPr>
        <w:t>Hodge</w:t>
      </w:r>
      <w:r w:rsidRPr="004F117F">
        <w:rPr>
          <w:rFonts w:cs="Times New Roman"/>
          <w:i/>
          <w:iCs/>
          <w:lang w:val="fr-FR"/>
        </w:rPr>
        <w:t xml:space="preserve"> c. Canada (Ministre du Développement des ressources humaines)</w:t>
      </w:r>
      <w:r w:rsidRPr="004F117F">
        <w:rPr>
          <w:rFonts w:cs="Times New Roman"/>
          <w:lang w:val="fr-CA"/>
        </w:rPr>
        <w:t>, 2004 CSC 65, [2004] 3 R.C.S.</w:t>
      </w:r>
      <w:r w:rsidRPr="004F117F">
        <w:rPr>
          <w:rFonts w:cs="Times New Roman"/>
          <w:i/>
          <w:lang w:val="fr-CA"/>
        </w:rPr>
        <w:t xml:space="preserve"> </w:t>
      </w:r>
      <w:r w:rsidRPr="004F117F">
        <w:rPr>
          <w:rFonts w:cs="Times New Roman"/>
          <w:lang w:val="fr-CA"/>
        </w:rPr>
        <w:t xml:space="preserve">357, par. 23. Il s’agit en effet de comparer la situation des salariés œuvrant dans une entreprise comptant 10 salariés ou plus, et qui sont donc visés par la Loi, avec celle des salariés d’une entreprise comptant moins de 10 salariés. L’effet avantageux de la Loi apparaît dès lors, car les salariés d’une entreprise comptant moins de 10 salariés ne bénéficient pas d’une évaluation périodique de leur rémunération jumelée d’un recours en réparation. Ces salariés ne se voient offrir que la protection de l’art. 19 de la </w:t>
      </w:r>
      <w:r w:rsidRPr="004F117F">
        <w:rPr>
          <w:rFonts w:cs="Times New Roman"/>
          <w:i/>
          <w:lang w:val="fr-CA"/>
        </w:rPr>
        <w:t xml:space="preserve">Charte </w:t>
      </w:r>
      <w:r w:rsidRPr="004F117F">
        <w:rPr>
          <w:rFonts w:cs="Times New Roman"/>
          <w:lang w:val="fr-CA"/>
        </w:rPr>
        <w:t xml:space="preserve">québécoise, </w:t>
      </w:r>
      <w:r w:rsidRPr="004F117F">
        <w:rPr>
          <w:rFonts w:cs="Times New Roman"/>
          <w:lang w:val="fr-FR"/>
        </w:rPr>
        <w:t>qui</w:t>
      </w:r>
      <w:r w:rsidRPr="004F117F">
        <w:rPr>
          <w:rFonts w:cs="Times New Roman"/>
          <w:i/>
          <w:lang w:val="fr-CA"/>
        </w:rPr>
        <w:t xml:space="preserve"> </w:t>
      </w:r>
      <w:r w:rsidRPr="004F117F">
        <w:rPr>
          <w:rFonts w:cs="Times New Roman"/>
          <w:lang w:val="fr-CA"/>
        </w:rPr>
        <w:t xml:space="preserve">prévoit un </w:t>
      </w:r>
      <w:r w:rsidRPr="004F117F">
        <w:rPr>
          <w:rFonts w:cs="Times New Roman"/>
          <w:lang w:val="fr-FR"/>
        </w:rPr>
        <w:t xml:space="preserve">salaire égal pour un travail équivalent dans un même milieu de travail. Ainsi, les salariés œuvrant dans une entreprise sans comparateur masculin qui compte moins de 10 salariés ne peuvent pas utiliser un mécanisme de plainte comparable à celui prévu à l’art. 101 advenant que leur employeur modifie leurs tâches sans tenir compte des facteurs insidieux qui sont à l’origine de la discrimination systémique d’un point de </w:t>
      </w:r>
      <w:r w:rsidRPr="004F117F">
        <w:rPr>
          <w:rFonts w:cs="Times New Roman"/>
          <w:lang w:val="fr-FR"/>
        </w:rPr>
        <w:lastRenderedPageBreak/>
        <w:t xml:space="preserve">vue de l’évaluation corrélative de leur rémunération. Comment alors prétendre, en se concentrant sur les </w:t>
      </w:r>
      <w:r w:rsidRPr="004F117F">
        <w:rPr>
          <w:rFonts w:cs="Times New Roman"/>
          <w:i/>
          <w:lang w:val="fr-FR"/>
        </w:rPr>
        <w:t>effets</w:t>
      </w:r>
      <w:r w:rsidRPr="004F117F">
        <w:rPr>
          <w:rFonts w:cs="Times New Roman"/>
          <w:lang w:val="fr-FR"/>
        </w:rPr>
        <w:t xml:space="preserve"> des modifications législatives, que la Loi a agrandi l’écart entre les salariés visés et le reste de la société ou que la</w:t>
      </w:r>
      <w:r w:rsidR="00295A7E">
        <w:rPr>
          <w:rFonts w:cs="Times New Roman"/>
          <w:lang w:val="fr-FR"/>
        </w:rPr>
        <w:t xml:space="preserve"> Loi perpétue la discrimination</w:t>
      </w:r>
      <w:r w:rsidRPr="004F117F">
        <w:rPr>
          <w:rFonts w:cs="Times New Roman"/>
          <w:lang w:val="fr-FR"/>
        </w:rPr>
        <w:t>?</w:t>
      </w:r>
    </w:p>
    <w:p w:rsidR="00C208DD" w:rsidRPr="004F117F" w:rsidRDefault="00C208DD" w:rsidP="00637E44">
      <w:pPr>
        <w:pStyle w:val="ParaNoNdepar-AltN"/>
        <w:widowControl w:val="0"/>
        <w:rPr>
          <w:rFonts w:cs="Times New Roman"/>
          <w:lang w:val="fr-CA"/>
        </w:rPr>
      </w:pPr>
      <w:r w:rsidRPr="004F117F">
        <w:rPr>
          <w:rFonts w:cs="Times New Roman"/>
          <w:lang w:val="fr-CA"/>
        </w:rPr>
        <w:t>Au final, l’effet prospectif des ajustements salariaux prévus à l’art. 76.5 ou de l’affichage visé à l’art. 76.3 crée-t-il vraiment une distinction désavantageuse fondée sur le sexe</w:t>
      </w:r>
      <w:r w:rsidR="001518D6">
        <w:rPr>
          <w:rFonts w:cs="Times New Roman"/>
          <w:lang w:val="fr-CA"/>
        </w:rPr>
        <w:t xml:space="preserve"> comme l’affirme notre collègue</w:t>
      </w:r>
      <w:r w:rsidRPr="004F117F">
        <w:rPr>
          <w:rFonts w:cs="Times New Roman"/>
          <w:lang w:val="fr-CA"/>
        </w:rPr>
        <w:t xml:space="preserve">? Nous avons beaucoup de difficulté à adopter une telle conclusion bien que, par le passé, la Cour a statué sur le premier volet du par. 15(1) de façon sommaire malgré le doute qui subsistait quant à la nature du désavantage : </w:t>
      </w:r>
      <w:r w:rsidRPr="004F117F">
        <w:rPr>
          <w:rFonts w:cs="Times New Roman"/>
          <w:i/>
          <w:lang w:val="fr-FR"/>
        </w:rPr>
        <w:t>Bande et nation indiennes d’Ermineskin c. Canada</w:t>
      </w:r>
      <w:r w:rsidRPr="004F117F">
        <w:rPr>
          <w:rFonts w:cs="Times New Roman"/>
          <w:lang w:val="fr-FR"/>
        </w:rPr>
        <w:t>, 2009 CSC 9, [2009] 1 R.C.S. 222, par. 189. Le deuxième volet de l’analyse dissipe selon nous les doutes qui pourraient subsister quant à la validité constitutionnelle des modifications.</w:t>
      </w:r>
      <w:r w:rsidRPr="004F117F">
        <w:rPr>
          <w:rFonts w:cs="Times New Roman"/>
          <w:lang w:val="fr-CA"/>
        </w:rPr>
        <w:t xml:space="preserve"> </w:t>
      </w:r>
    </w:p>
    <w:p w:rsidR="00C208DD" w:rsidRPr="004F117F" w:rsidRDefault="00C208DD" w:rsidP="00637E44">
      <w:pPr>
        <w:pStyle w:val="Title2LevelTitre2Niveau"/>
        <w:widowControl w:val="0"/>
        <w:numPr>
          <w:ilvl w:val="1"/>
          <w:numId w:val="8"/>
        </w:numPr>
        <w:rPr>
          <w:rFonts w:cs="Times New Roman"/>
          <w:lang w:val="fr-CA"/>
        </w:rPr>
      </w:pPr>
      <w:r w:rsidRPr="004F117F">
        <w:rPr>
          <w:rFonts w:cs="Times New Roman"/>
          <w:lang w:val="fr-CA"/>
        </w:rPr>
        <w:t>Deuxième volet de l’analyse fondée sur le par. 15(1)</w:t>
      </w:r>
    </w:p>
    <w:p w:rsidR="00C208DD" w:rsidRPr="004F117F" w:rsidRDefault="00C208DD" w:rsidP="00637E44">
      <w:pPr>
        <w:pStyle w:val="ParaNoNdepar-AltN"/>
        <w:widowControl w:val="0"/>
        <w:rPr>
          <w:rFonts w:cs="Times New Roman"/>
          <w:lang w:val="fr-CA"/>
        </w:rPr>
      </w:pPr>
      <w:bookmarkStart w:id="2" w:name="_Toc498415492"/>
      <w:bookmarkEnd w:id="1"/>
      <w:r w:rsidRPr="004F117F">
        <w:rPr>
          <w:rFonts w:cs="Times New Roman"/>
          <w:lang w:val="fr-CA"/>
        </w:rPr>
        <w:t xml:space="preserve">Dans le cadre du deuxième volet de l’analyse fondée sur le par. 15(1) de la </w:t>
      </w:r>
      <w:r w:rsidRPr="004F117F">
        <w:rPr>
          <w:rFonts w:cs="Times New Roman"/>
          <w:i/>
          <w:lang w:val="fr-CA"/>
        </w:rPr>
        <w:t>Charte</w:t>
      </w:r>
      <w:r w:rsidRPr="004F117F">
        <w:rPr>
          <w:rFonts w:cs="Times New Roman"/>
          <w:lang w:val="fr-CA"/>
        </w:rPr>
        <w:t xml:space="preserve">, il faut déterminer si les modifications sont discriminatoires en évaluant si elles répondent aux capacités et aux besoins concrets des membres du groupe ou si elles leur imposent plutôt un fardeau ou leur refusent un avantage d’une manière qui a pour effet de renforcer, de perpétuer ou d’accentuer le désavantage dont ils sont victimes : </w:t>
      </w:r>
      <w:r w:rsidRPr="004F117F">
        <w:rPr>
          <w:rFonts w:cs="Times New Roman"/>
          <w:i/>
          <w:lang w:val="fr-CA"/>
        </w:rPr>
        <w:t>Taypotat</w:t>
      </w:r>
      <w:r w:rsidRPr="004F117F">
        <w:rPr>
          <w:rFonts w:cs="Times New Roman"/>
          <w:lang w:val="fr-CA"/>
        </w:rPr>
        <w:t xml:space="preserve">, par. 20; </w:t>
      </w:r>
      <w:r w:rsidRPr="004F117F">
        <w:rPr>
          <w:rFonts w:eastAsia="Times New Roman" w:cs="Times New Roman"/>
          <w:i/>
          <w:szCs w:val="24"/>
          <w:lang w:val="fr-CA"/>
        </w:rPr>
        <w:t>Québec c. A</w:t>
      </w:r>
      <w:r w:rsidRPr="004F117F">
        <w:rPr>
          <w:rFonts w:cs="Times New Roman"/>
          <w:lang w:val="fr-FR"/>
        </w:rPr>
        <w:t>, par. 332;</w:t>
      </w:r>
      <w:r w:rsidRPr="004F117F">
        <w:rPr>
          <w:rFonts w:cs="Times New Roman"/>
          <w:lang w:val="fr-CA"/>
        </w:rPr>
        <w:t xml:space="preserve"> </w:t>
      </w:r>
      <w:r w:rsidRPr="004F117F">
        <w:rPr>
          <w:rFonts w:cs="Times New Roman"/>
          <w:i/>
          <w:lang w:val="fr-CA"/>
        </w:rPr>
        <w:t>Kapp</w:t>
      </w:r>
      <w:r w:rsidRPr="004F117F">
        <w:rPr>
          <w:rFonts w:eastAsiaTheme="minorHAnsi" w:cs="Times New Roman"/>
          <w:lang w:val="fr-CA"/>
        </w:rPr>
        <w:t>,</w:t>
      </w:r>
      <w:r w:rsidRPr="004F117F">
        <w:rPr>
          <w:rFonts w:cs="Times New Roman"/>
          <w:lang w:val="fr-CA"/>
        </w:rPr>
        <w:t xml:space="preserve"> par. 17.</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D’entrée de jeu, il y a lieu de distinguer </w:t>
      </w:r>
      <w:r w:rsidRPr="004F117F">
        <w:rPr>
          <w:rFonts w:cs="Times New Roman"/>
          <w:i/>
          <w:lang w:val="fr-CA"/>
        </w:rPr>
        <w:t>Terre-Neuve (Conseil du Trésor) c. N.A.P.E</w:t>
      </w:r>
      <w:r w:rsidRPr="004F117F">
        <w:rPr>
          <w:rFonts w:cs="Times New Roman"/>
          <w:lang w:val="fr-CA"/>
        </w:rPr>
        <w:t xml:space="preserve">., 2004 CSC 66, [2004] 3 R.C.S. 381. Dans cette affaire, </w:t>
      </w:r>
      <w:bookmarkEnd w:id="2"/>
      <w:r w:rsidRPr="004F117F">
        <w:rPr>
          <w:rFonts w:cs="Times New Roman"/>
          <w:lang w:val="fr-CA"/>
        </w:rPr>
        <w:t xml:space="preserve">les employées </w:t>
      </w:r>
      <w:r w:rsidRPr="004F117F">
        <w:rPr>
          <w:rFonts w:cs="Times New Roman"/>
          <w:lang w:val="fr-CA"/>
        </w:rPr>
        <w:lastRenderedPageBreak/>
        <w:t xml:space="preserve">avaient acquis un droit contractuel à un ajustement salarial. Cela avait eu pour effet de cristalliser ce droit, ce qui n’est pas le cas en l’espèce. Le juge Binnie a souligné que l’adoption d’une mesure législative positive n’empêche pas son annulation : </w:t>
      </w:r>
    </w:p>
    <w:p w:rsidR="00C208DD" w:rsidRPr="004F117F" w:rsidRDefault="00C208DD" w:rsidP="00637E44">
      <w:pPr>
        <w:pStyle w:val="Citation-AltC"/>
        <w:widowControl w:val="0"/>
        <w:ind w:firstLine="274"/>
        <w:rPr>
          <w:lang w:val="fr-CA"/>
        </w:rPr>
      </w:pPr>
      <w:r w:rsidRPr="004F117F">
        <w:rPr>
          <w:lang w:val="fr-CA"/>
        </w:rPr>
        <w:t xml:space="preserve">L’intimée affirme que le par. 15(1) de la </w:t>
      </w:r>
      <w:r w:rsidRPr="004F117F">
        <w:rPr>
          <w:i/>
          <w:iCs/>
          <w:lang w:val="fr-CA"/>
        </w:rPr>
        <w:t>Charte</w:t>
      </w:r>
      <w:r w:rsidRPr="004F117F">
        <w:rPr>
          <w:lang w:val="fr-CA"/>
        </w:rPr>
        <w:t xml:space="preserve"> ne garantit pas aux travailleuses le droit de toucher un salaire égal pour un travail égal. Le gouvernement pouvait retirer en 1991 </w:t>
      </w:r>
      <w:r w:rsidR="00E038B2">
        <w:rPr>
          <w:lang w:val="fr-CA"/>
        </w:rPr>
        <w:t>ce qu’il avait accordé en 1988.</w:t>
      </w:r>
      <w:r w:rsidRPr="004F117F">
        <w:rPr>
          <w:lang w:val="fr-CA"/>
        </w:rPr>
        <w:t xml:space="preserve"> </w:t>
      </w:r>
      <w:r w:rsidRPr="004F117F">
        <w:rPr>
          <w:u w:val="single"/>
          <w:lang w:val="fr-CA"/>
        </w:rPr>
        <w:t>Il est vrai que, normalement, l’adoption par le législateur d’une mesure corrective ne la « constitutionnalise » pas au point d’en empêcher l’annulation</w:t>
      </w:r>
      <w:r w:rsidRPr="004F117F">
        <w:rPr>
          <w:lang w:val="fr-CA"/>
        </w:rPr>
        <w:t xml:space="preserve"> : </w:t>
      </w:r>
      <w:r w:rsidRPr="004F117F">
        <w:rPr>
          <w:i/>
          <w:iCs/>
          <w:lang w:val="fr-CA"/>
        </w:rPr>
        <w:t>Renvoi relatif au Régime d’assistance publique du Canada (C.-B.)</w:t>
      </w:r>
      <w:r w:rsidRPr="004F117F">
        <w:rPr>
          <w:lang w:val="fr-CA"/>
        </w:rPr>
        <w:t xml:space="preserve">, [1991] 2 R.C.S. 525, p. 563. En l’espèce, toutefois, le gouvernement provincial a, le 24 juin 1988, signé une entente sur l’équité salariale qui a changé le paysage juridique en créant des droits contractuels exécutoires destinés à mettre fin à la discrimination salariale au moyen d’un processus contractuel liant toutes les parties. </w:t>
      </w:r>
      <w:r w:rsidRPr="004F117F">
        <w:rPr>
          <w:u w:val="single"/>
          <w:lang w:val="fr-CA"/>
        </w:rPr>
        <w:t>L’entente sur l’équité salariale a été incorporée dans les conventions collectives du secteur public.</w:t>
      </w:r>
    </w:p>
    <w:p w:rsidR="00C208DD" w:rsidRPr="004F117F" w:rsidRDefault="00C208DD" w:rsidP="00637E44">
      <w:pPr>
        <w:pStyle w:val="Citation-AltC"/>
        <w:widowControl w:val="0"/>
        <w:rPr>
          <w:lang w:val="fr-CA"/>
        </w:rPr>
      </w:pPr>
    </w:p>
    <w:p w:rsidR="00C208DD" w:rsidRPr="004F117F" w:rsidRDefault="00C208DD" w:rsidP="00637E44">
      <w:pPr>
        <w:pStyle w:val="Citation-AltC"/>
        <w:widowControl w:val="0"/>
        <w:ind w:firstLine="274"/>
        <w:rPr>
          <w:lang w:val="fr-CA"/>
        </w:rPr>
      </w:pPr>
      <w:r w:rsidRPr="004F117F">
        <w:rPr>
          <w:u w:val="single"/>
          <w:lang w:val="fr-CA"/>
        </w:rPr>
        <w:t>Ce processus a fait de l’équité salariale, argument de politique générale, une obligation juridique réelle profitant aux employées d’hôpitaux.</w:t>
      </w:r>
      <w:r w:rsidRPr="004F117F">
        <w:rPr>
          <w:lang w:val="fr-CA"/>
        </w:rPr>
        <w:t xml:space="preserve"> La </w:t>
      </w:r>
      <w:r w:rsidRPr="004F117F">
        <w:rPr>
          <w:i/>
          <w:iCs/>
          <w:lang w:val="fr-CA"/>
        </w:rPr>
        <w:t>Public Sector Restraint Act</w:t>
      </w:r>
      <w:r w:rsidRPr="004F117F">
        <w:rPr>
          <w:lang w:val="fr-CA"/>
        </w:rPr>
        <w:t xml:space="preserve"> avait pour but de réduire le salaire auquel les femmes avaient droit en vertu de leur contrat de travail. L’effet recherché était de leur verser un salaire inférieur à celui des hommes exerçant des fonctions équivalentes. </w:t>
      </w:r>
      <w:r w:rsidRPr="004F117F">
        <w:rPr>
          <w:u w:val="single"/>
          <w:lang w:val="fr-CA"/>
        </w:rPr>
        <w:t>L’adoption de la Loi, le 18 avril 1991, a fait en sorte que les employées d’hôpitaux se sont retrouvées dans une situation pire que celle dans laquelle elles étaient le 17 avril 1991.</w:t>
      </w:r>
      <w:r w:rsidRPr="004F117F">
        <w:rPr>
          <w:lang w:val="fr-CA"/>
        </w:rPr>
        <w:t xml:space="preserve"> Il s’agit de déterminer si le désavantage ainsi infligé le 18 avril 1991 constituait de la discrimination au sens du par. 15(1) de la </w:t>
      </w:r>
      <w:r w:rsidRPr="004F117F">
        <w:rPr>
          <w:i/>
          <w:iCs/>
          <w:lang w:val="fr-CA"/>
        </w:rPr>
        <w:t>Charte</w:t>
      </w:r>
      <w:r w:rsidRPr="004F117F">
        <w:rPr>
          <w:lang w:val="fr-CA"/>
        </w:rPr>
        <w:t xml:space="preserve">. [Nous soulignons.] </w:t>
      </w:r>
    </w:p>
    <w:p w:rsidR="00C208DD" w:rsidRPr="004F117F" w:rsidRDefault="00C208DD" w:rsidP="00637E44">
      <w:pPr>
        <w:pStyle w:val="Citation-AltC"/>
        <w:widowControl w:val="0"/>
        <w:rPr>
          <w:lang w:val="fr-CA"/>
        </w:rPr>
      </w:pPr>
    </w:p>
    <w:p w:rsidR="00C208DD" w:rsidRPr="004F117F" w:rsidRDefault="00C208DD" w:rsidP="00637E44">
      <w:pPr>
        <w:pStyle w:val="Citation-AltC"/>
        <w:widowControl w:val="0"/>
        <w:ind w:left="0"/>
        <w:rPr>
          <w:i/>
          <w:lang w:val="fr-FR"/>
        </w:rPr>
      </w:pPr>
      <w:r w:rsidRPr="004F117F">
        <w:rPr>
          <w:lang w:val="fr-CA"/>
        </w:rPr>
        <w:t>(</w:t>
      </w:r>
      <w:r w:rsidRPr="004F117F">
        <w:rPr>
          <w:i/>
          <w:lang w:val="fr-CA"/>
        </w:rPr>
        <w:t>N.A.P.E.</w:t>
      </w:r>
      <w:r w:rsidRPr="004F117F">
        <w:rPr>
          <w:lang w:val="fr-CA"/>
        </w:rPr>
        <w:t>, par. 33-34)</w:t>
      </w:r>
    </w:p>
    <w:p w:rsidR="00C208DD" w:rsidRPr="004F117F" w:rsidRDefault="00C208DD" w:rsidP="00637E44">
      <w:pPr>
        <w:pStyle w:val="ParaNoNdepar-AltN"/>
        <w:widowControl w:val="0"/>
        <w:rPr>
          <w:rFonts w:cs="Times New Roman"/>
          <w:lang w:val="fr-CA"/>
        </w:rPr>
      </w:pPr>
      <w:bookmarkStart w:id="3" w:name="_Toc498415501"/>
      <w:r w:rsidRPr="004F117F">
        <w:rPr>
          <w:rFonts w:cs="Times New Roman"/>
          <w:lang w:val="fr-CA"/>
        </w:rPr>
        <w:t xml:space="preserve">Contrairement aux employées concernées dans </w:t>
      </w:r>
      <w:r w:rsidRPr="004F117F">
        <w:rPr>
          <w:rFonts w:cs="Times New Roman"/>
          <w:i/>
          <w:lang w:val="fr-CA"/>
        </w:rPr>
        <w:t>N.A.P.E</w:t>
      </w:r>
      <w:r w:rsidRPr="004F117F">
        <w:rPr>
          <w:rFonts w:cs="Times New Roman"/>
          <w:lang w:val="fr-CA"/>
        </w:rPr>
        <w:t xml:space="preserve">., celles visées en l’espèce se retrouvent en meilleure position qu’avant l’entrée en vigueur initiale de la Loi. </w:t>
      </w:r>
      <w:bookmarkStart w:id="4" w:name="_Toc498415502"/>
      <w:bookmarkEnd w:id="3"/>
      <w:r w:rsidRPr="004F117F">
        <w:rPr>
          <w:rFonts w:cs="Times New Roman"/>
          <w:lang w:val="fr-CA"/>
        </w:rPr>
        <w:t xml:space="preserve">Dans tous les cas, un examen des modifications au regard du cadre d’analyse du par. 15(1) permet de déterminer que les articles en cause n’ont pas un </w:t>
      </w:r>
      <w:r w:rsidRPr="004F117F">
        <w:rPr>
          <w:rFonts w:cs="Times New Roman"/>
          <w:i/>
          <w:lang w:val="fr-CA"/>
        </w:rPr>
        <w:t xml:space="preserve">effet </w:t>
      </w:r>
      <w:r w:rsidRPr="004F117F">
        <w:rPr>
          <w:rFonts w:cs="Times New Roman"/>
          <w:lang w:val="fr-CA"/>
        </w:rPr>
        <w:t xml:space="preserve">discriminatoire : </w:t>
      </w:r>
      <w:r w:rsidRPr="004F117F">
        <w:rPr>
          <w:rFonts w:cs="Times New Roman"/>
          <w:i/>
          <w:lang w:val="fr-CA"/>
        </w:rPr>
        <w:t>Taypotat</w:t>
      </w:r>
      <w:r w:rsidRPr="004F117F">
        <w:rPr>
          <w:rFonts w:cs="Times New Roman"/>
          <w:lang w:val="fr-CA"/>
        </w:rPr>
        <w:t xml:space="preserve">, par. 20; </w:t>
      </w:r>
      <w:r w:rsidRPr="004F117F">
        <w:rPr>
          <w:rFonts w:eastAsia="Times New Roman" w:cs="Times New Roman"/>
          <w:i/>
          <w:szCs w:val="24"/>
          <w:lang w:val="fr-CA"/>
        </w:rPr>
        <w:t>Québec c. A</w:t>
      </w:r>
      <w:r w:rsidRPr="004F117F">
        <w:rPr>
          <w:rFonts w:eastAsia="Times New Roman" w:cs="Times New Roman"/>
          <w:szCs w:val="24"/>
          <w:lang w:val="fr-CA"/>
        </w:rPr>
        <w:t>, par</w:t>
      </w:r>
      <w:r w:rsidRPr="004F117F">
        <w:rPr>
          <w:rFonts w:cs="Times New Roman"/>
          <w:lang w:val="fr-CA"/>
        </w:rPr>
        <w:t>. 322</w:t>
      </w:r>
      <w:bookmarkEnd w:id="4"/>
      <w:r w:rsidRPr="004F117F">
        <w:rPr>
          <w:rFonts w:cs="Times New Roman"/>
          <w:lang w:val="fr-CA"/>
        </w:rPr>
        <w:t>.</w:t>
      </w:r>
    </w:p>
    <w:p w:rsidR="00C208DD" w:rsidRPr="004F117F" w:rsidRDefault="00C208DD" w:rsidP="00637E44">
      <w:pPr>
        <w:pStyle w:val="ParaNoNdepar-AltN"/>
        <w:widowControl w:val="0"/>
        <w:rPr>
          <w:rFonts w:cs="Times New Roman"/>
          <w:lang w:val="fr-CA"/>
        </w:rPr>
      </w:pPr>
      <w:bookmarkStart w:id="5" w:name="_Toc498415503"/>
      <w:r w:rsidRPr="004F117F">
        <w:rPr>
          <w:rFonts w:cs="Times New Roman"/>
          <w:lang w:val="fr-CA"/>
        </w:rPr>
        <w:lastRenderedPageBreak/>
        <w:t>Il importe de rappeler que la Loi</w:t>
      </w:r>
      <w:r w:rsidRPr="004F117F">
        <w:rPr>
          <w:rFonts w:cs="Times New Roman"/>
          <w:i/>
          <w:lang w:val="fr-CA"/>
        </w:rPr>
        <w:t xml:space="preserve"> </w:t>
      </w:r>
      <w:r w:rsidRPr="004F117F">
        <w:rPr>
          <w:rFonts w:cs="Times New Roman"/>
          <w:lang w:val="fr-CA"/>
        </w:rPr>
        <w:t>n’est pas à l’origine des écarts salariaux qui existent entre les hommes et les femmes dans les entreprises privées.</w:t>
      </w:r>
      <w:bookmarkEnd w:id="5"/>
      <w:r w:rsidRPr="004F117F">
        <w:rPr>
          <w:rFonts w:cs="Times New Roman"/>
          <w:lang w:val="fr-CA"/>
        </w:rPr>
        <w:t xml:space="preserve"> Cela va de soi, puisque la Loi a été votée et adoptée afin de contrer la discrimination systémique.</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Contrairement à l’arrêt </w:t>
      </w:r>
      <w:r w:rsidRPr="004F117F">
        <w:rPr>
          <w:rFonts w:cs="Times New Roman"/>
          <w:i/>
          <w:lang w:val="fr-CA"/>
        </w:rPr>
        <w:t>Vriend c. Alberta</w:t>
      </w:r>
      <w:r w:rsidRPr="004F117F">
        <w:rPr>
          <w:rFonts w:cs="Times New Roman"/>
          <w:lang w:val="fr-CA"/>
        </w:rPr>
        <w:t xml:space="preserve">, </w:t>
      </w:r>
      <w:r w:rsidRPr="004F117F">
        <w:rPr>
          <w:rFonts w:cs="Times New Roman"/>
          <w:lang w:val="fr-FR"/>
        </w:rPr>
        <w:t>[1998] 1 R.C.S. 493,</w:t>
      </w:r>
      <w:r w:rsidRPr="004F117F">
        <w:rPr>
          <w:rFonts w:cs="Times New Roman"/>
          <w:lang w:val="fr-CA"/>
        </w:rPr>
        <w:t xml:space="preserve"> où l’omission de protéger les homosexuels dans l’</w:t>
      </w:r>
      <w:r w:rsidRPr="004F117F">
        <w:rPr>
          <w:rFonts w:cs="Times New Roman"/>
          <w:i/>
          <w:lang w:val="fr-CA"/>
        </w:rPr>
        <w:t>Individual’s Rights Protection Act</w:t>
      </w:r>
      <w:r w:rsidRPr="004F117F">
        <w:rPr>
          <w:rFonts w:cs="Times New Roman"/>
          <w:lang w:val="fr-CA"/>
        </w:rPr>
        <w:t>,</w:t>
      </w:r>
      <w:r w:rsidRPr="004F117F">
        <w:rPr>
          <w:rFonts w:cs="Times New Roman"/>
          <w:i/>
          <w:lang w:val="fr-CA"/>
        </w:rPr>
        <w:t xml:space="preserve"> </w:t>
      </w:r>
      <w:r w:rsidRPr="004F117F">
        <w:rPr>
          <w:rFonts w:cs="Times New Roman"/>
          <w:lang w:val="fr-CA"/>
        </w:rPr>
        <w:t xml:space="preserve">R.S.A. 1980, c. I-2, </w:t>
      </w:r>
      <w:r w:rsidRPr="004F117F">
        <w:rPr>
          <w:rFonts w:cs="Times New Roman"/>
          <w:iCs/>
          <w:lang w:val="fr-FR"/>
        </w:rPr>
        <w:t xml:space="preserve">avait eu pour </w:t>
      </w:r>
      <w:r w:rsidRPr="004F117F">
        <w:rPr>
          <w:rFonts w:cs="Times New Roman"/>
          <w:i/>
          <w:iCs/>
          <w:lang w:val="fr-FR"/>
        </w:rPr>
        <w:t xml:space="preserve">effet </w:t>
      </w:r>
      <w:r w:rsidRPr="004F117F">
        <w:rPr>
          <w:rFonts w:cs="Times New Roman"/>
          <w:iCs/>
          <w:lang w:val="fr-FR"/>
        </w:rPr>
        <w:t>d’</w:t>
      </w:r>
      <w:r w:rsidRPr="004F117F">
        <w:rPr>
          <w:rFonts w:cs="Times New Roman"/>
          <w:i/>
          <w:iCs/>
          <w:lang w:val="fr-FR"/>
        </w:rPr>
        <w:t>accentuer</w:t>
      </w:r>
      <w:r w:rsidRPr="004F117F">
        <w:rPr>
          <w:rFonts w:cs="Times New Roman"/>
          <w:iCs/>
          <w:lang w:val="fr-FR"/>
        </w:rPr>
        <w:t xml:space="preserve"> le préjudice subi par le groupe,</w:t>
      </w:r>
      <w:r w:rsidRPr="004F117F">
        <w:rPr>
          <w:rFonts w:cs="Times New Roman"/>
          <w:lang w:val="fr-CA"/>
        </w:rPr>
        <w:t xml:space="preserve"> les articles contestés n’ont pas pour effet d’imposer aux femmes des fardeaux, obligations ou désavantages non imposés à d’autres ou d’empêcher ou de restreindre l’accès aux possibilités et aux avantages offerts à d’autres membres de la société. Pour illustrer ce point, les facteurs comme ceux établis dans l’arrêt </w:t>
      </w:r>
      <w:r w:rsidRPr="004F117F">
        <w:rPr>
          <w:rFonts w:cs="Times New Roman"/>
          <w:i/>
          <w:lang w:val="fr-CA"/>
        </w:rPr>
        <w:t xml:space="preserve">Law </w:t>
      </w:r>
      <w:r w:rsidRPr="004F117F">
        <w:rPr>
          <w:rFonts w:cs="Times New Roman"/>
          <w:lang w:val="fr-CA"/>
        </w:rPr>
        <w:t xml:space="preserve">peuvent être utiles pour déterminer si une distinction particulière est discriminatoire. Toutefois, il ne s’agit pas d’une analyse « étape par étape ». Celle-ci demeure contextuelle et non formaliste. D’ailleurs, les facteurs ne sont pas exhaustifs et seront considérés dans le seul but d’enrichir notre analyse. En somme, notre objectif est de déterminer la situation véritable du groupe et d’évaluer le risque que la mesure contestée aggrave sa situation : </w:t>
      </w:r>
      <w:r w:rsidRPr="004F117F">
        <w:rPr>
          <w:rFonts w:cs="Times New Roman"/>
          <w:i/>
          <w:lang w:val="fr-CA"/>
        </w:rPr>
        <w:t>Withler</w:t>
      </w:r>
      <w:r w:rsidRPr="004F117F">
        <w:rPr>
          <w:rFonts w:cs="Times New Roman"/>
          <w:lang w:val="fr-CA"/>
        </w:rPr>
        <w:t xml:space="preserve">, par. 38 et 66; </w:t>
      </w:r>
      <w:r w:rsidRPr="004F117F">
        <w:rPr>
          <w:rFonts w:cs="Times New Roman"/>
          <w:i/>
          <w:szCs w:val="24"/>
          <w:lang w:val="fr-CA"/>
        </w:rPr>
        <w:t>Québec c. A</w:t>
      </w:r>
      <w:r w:rsidRPr="004F117F">
        <w:rPr>
          <w:rFonts w:cs="Times New Roman"/>
          <w:szCs w:val="24"/>
          <w:lang w:val="fr-CA"/>
        </w:rPr>
        <w:t xml:space="preserve">, </w:t>
      </w:r>
      <w:r w:rsidRPr="004F117F">
        <w:rPr>
          <w:rFonts w:cs="Times New Roman"/>
          <w:lang w:val="fr-CA"/>
        </w:rPr>
        <w:t xml:space="preserve">par. 331; </w:t>
      </w:r>
      <w:r w:rsidRPr="004F117F">
        <w:rPr>
          <w:rFonts w:cs="Times New Roman"/>
          <w:i/>
          <w:lang w:val="fr-CA"/>
        </w:rPr>
        <w:t>N.A.P.E.</w:t>
      </w:r>
      <w:r w:rsidRPr="004F117F">
        <w:rPr>
          <w:rFonts w:cs="Times New Roman"/>
          <w:lang w:val="fr-CA"/>
        </w:rPr>
        <w:t xml:space="preserve">, par. 44; </w:t>
      </w:r>
      <w:r w:rsidRPr="004F117F">
        <w:rPr>
          <w:rFonts w:cs="Times New Roman"/>
          <w:i/>
          <w:lang w:val="fr-CA"/>
        </w:rPr>
        <w:t>Law</w:t>
      </w:r>
      <w:r w:rsidRPr="004F117F">
        <w:rPr>
          <w:rFonts w:cs="Times New Roman"/>
          <w:lang w:val="fr-CA"/>
        </w:rPr>
        <w:t xml:space="preserve">, par. 72. </w:t>
      </w:r>
    </w:p>
    <w:p w:rsidR="00C208DD" w:rsidRPr="004F117F" w:rsidRDefault="00C208DD" w:rsidP="00637E44">
      <w:pPr>
        <w:pStyle w:val="Title3LevelTitre3Niveau"/>
        <w:widowControl w:val="0"/>
        <w:numPr>
          <w:ilvl w:val="2"/>
          <w:numId w:val="8"/>
        </w:numPr>
        <w:rPr>
          <w:rFonts w:cs="Times New Roman"/>
          <w:b/>
          <w:lang w:val="fr-CA"/>
        </w:rPr>
      </w:pPr>
      <w:r w:rsidRPr="004F117F">
        <w:rPr>
          <w:rFonts w:cs="Times New Roman"/>
          <w:lang w:val="fr-CA"/>
        </w:rPr>
        <w:t>La présence d’un désavantage préexistant</w:t>
      </w:r>
    </w:p>
    <w:p w:rsidR="00C208DD" w:rsidRPr="004F117F" w:rsidRDefault="00C208DD" w:rsidP="00637E44">
      <w:pPr>
        <w:pStyle w:val="ParaNoNdepar-AltN"/>
        <w:widowControl w:val="0"/>
        <w:rPr>
          <w:rFonts w:eastAsiaTheme="minorHAnsi" w:cs="Times New Roman"/>
          <w:lang w:val="fr-CA"/>
        </w:rPr>
      </w:pPr>
      <w:bookmarkStart w:id="6" w:name="_Toc498415506"/>
      <w:r w:rsidRPr="004F117F">
        <w:rPr>
          <w:rFonts w:cs="Times New Roman"/>
          <w:lang w:val="fr-CA"/>
        </w:rPr>
        <w:t>De toute évidence, les femmes font l’objet de discrimination systémique au chapitre de la rémunération (</w:t>
      </w:r>
      <w:r w:rsidRPr="004F117F">
        <w:rPr>
          <w:rFonts w:cs="Times New Roman"/>
          <w:i/>
          <w:lang w:val="fr-CA"/>
        </w:rPr>
        <w:t>Centrale des syndicats du Québec</w:t>
      </w:r>
      <w:r w:rsidRPr="004F117F">
        <w:rPr>
          <w:rFonts w:cs="Times New Roman"/>
          <w:lang w:val="fr-CA"/>
        </w:rPr>
        <w:t>, par. 58). Toutefois, les articles contestés ne perpétuent pas, ni ne renforcent, l’idée que les femmes peuvent être moins bien rémunérées simplement parce qu’elles sont des femmes.</w:t>
      </w:r>
      <w:bookmarkEnd w:id="6"/>
      <w:r w:rsidRPr="004F117F">
        <w:rPr>
          <w:rFonts w:cs="Times New Roman"/>
          <w:lang w:val="fr-CA"/>
        </w:rPr>
        <w:t xml:space="preserve"> La Loi a pour </w:t>
      </w:r>
      <w:r w:rsidRPr="004F117F">
        <w:rPr>
          <w:rFonts w:cs="Times New Roman"/>
          <w:lang w:val="fr-CA"/>
        </w:rPr>
        <w:lastRenderedPageBreak/>
        <w:t>but</w:t>
      </w:r>
      <w:r w:rsidRPr="004F117F">
        <w:rPr>
          <w:rFonts w:cs="Times New Roman"/>
          <w:i/>
          <w:lang w:val="fr-CA"/>
        </w:rPr>
        <w:t xml:space="preserve"> </w:t>
      </w:r>
      <w:r w:rsidRPr="004F117F">
        <w:rPr>
          <w:rFonts w:cs="Times New Roman"/>
          <w:lang w:val="fr-CA"/>
        </w:rPr>
        <w:t>d’éradiquer de façon permanente les iniquités salariales en mettant sur pied un mécanisme de maintien aux art. 76.1 à 76.9. Par ailleurs, l’art. 76.9 envoie un message clair et net. Il y est énoncé que l</w:t>
      </w:r>
      <w:r w:rsidRPr="004F117F">
        <w:rPr>
          <w:rFonts w:cs="Times New Roman"/>
          <w:lang w:val="fr-FR"/>
        </w:rPr>
        <w:t>’employeur ne doit pas « agir de mauvaise foi ou de façon arbitraire ou discriminatoire, ni faire preuve de négligence grave à l’endroit des salariés de l’entreprise ». En cas de pareille conduite, une réparation rétroactive est prévue à l’art. 101.</w:t>
      </w:r>
      <w:r w:rsidRPr="004F117F">
        <w:rPr>
          <w:rFonts w:eastAsiaTheme="minorHAnsi" w:cs="Times New Roman"/>
          <w:lang w:val="fr-CA"/>
        </w:rPr>
        <w:t xml:space="preserve"> </w:t>
      </w:r>
    </w:p>
    <w:p w:rsidR="00C208DD" w:rsidRPr="004F117F" w:rsidRDefault="00C208DD" w:rsidP="00637E44">
      <w:pPr>
        <w:pStyle w:val="Title3LevelTitre3Niveau"/>
        <w:widowControl w:val="0"/>
        <w:numPr>
          <w:ilvl w:val="2"/>
          <w:numId w:val="8"/>
        </w:numPr>
        <w:rPr>
          <w:rFonts w:cs="Times New Roman"/>
          <w:b/>
          <w:lang w:val="fr-CA"/>
        </w:rPr>
      </w:pPr>
      <w:bookmarkStart w:id="7" w:name="_Toc498415509"/>
      <w:r w:rsidRPr="004F117F">
        <w:rPr>
          <w:rFonts w:cs="Times New Roman"/>
          <w:lang w:val="fr-CA"/>
        </w:rPr>
        <w:t>La correspondance entre la mesure adoptée par le législateur et les caractéristiques réelles</w:t>
      </w:r>
      <w:bookmarkEnd w:id="7"/>
      <w:r w:rsidRPr="004F117F">
        <w:rPr>
          <w:rFonts w:cs="Times New Roman"/>
          <w:lang w:val="fr-CA"/>
        </w:rPr>
        <w:t xml:space="preserve"> du groupe </w:t>
      </w:r>
    </w:p>
    <w:p w:rsidR="00C208DD" w:rsidRPr="004F117F" w:rsidRDefault="00C208DD" w:rsidP="00637E44">
      <w:pPr>
        <w:pStyle w:val="ParaNoNdepar-AltN"/>
        <w:widowControl w:val="0"/>
        <w:rPr>
          <w:rFonts w:cs="Times New Roman"/>
          <w:lang w:val="fr-CA"/>
        </w:rPr>
      </w:pPr>
      <w:r w:rsidRPr="004F117F">
        <w:rPr>
          <w:rFonts w:cs="Times New Roman"/>
          <w:lang w:val="fr-FR"/>
        </w:rPr>
        <w:t>Il existe un risque qu’un changement survenant dans une entreprise visée par la Loi ayant un effet sur l’équité salariale et intervenant au début de l’intervalle de cinq ans précédant l’évaluation réalisée dans le cadre du maintien de l’équité salariale soit influencé par des éléments de discrimination systémique. Habituellement, la réapparition de désavantages se produit lors de la réorganisation ou de la modification des tâches liées à l’emploi. Toutefois, un employeur respectant ses obligations selon la Loi est tenu de ne pas agir arbitrairement et d’éliminer immédiatement les traitements salariaux inéquitables en écartant les nouveaux éléments de discrimination systémique</w:t>
      </w:r>
      <w:r w:rsidRPr="004F117F">
        <w:rPr>
          <w:rFonts w:cs="Times New Roman"/>
          <w:lang w:val="fr-CA"/>
        </w:rPr>
        <w:t xml:space="preserve">, conformément à l’art. 76.9. Cet article est rédigé de façon large et devrait être interprété de façon libérale afin d’en réaliser l’objet : </w:t>
      </w:r>
      <w:r w:rsidRPr="004F117F">
        <w:rPr>
          <w:rFonts w:cs="Times New Roman"/>
          <w:i/>
          <w:lang w:val="fr-CA"/>
        </w:rPr>
        <w:t>Loi d’interprétation</w:t>
      </w:r>
      <w:r w:rsidRPr="004F117F">
        <w:rPr>
          <w:rFonts w:cs="Times New Roman"/>
          <w:lang w:val="fr-CA"/>
        </w:rPr>
        <w:t xml:space="preserve">, RLRQ, c. I-16, art. 41. D’ailleurs, comme le souligne la juge Abella, la Cour a analysé l’art. 47.2 du </w:t>
      </w:r>
      <w:r w:rsidRPr="004F117F">
        <w:rPr>
          <w:rFonts w:cs="Times New Roman"/>
          <w:i/>
          <w:lang w:val="fr-CA"/>
        </w:rPr>
        <w:t xml:space="preserve">Code du </w:t>
      </w:r>
      <w:r w:rsidR="00AA35E0">
        <w:rPr>
          <w:rFonts w:cs="Times New Roman"/>
          <w:i/>
          <w:lang w:val="fr-CA"/>
        </w:rPr>
        <w:t>t</w:t>
      </w:r>
      <w:r w:rsidRPr="004F117F">
        <w:rPr>
          <w:rFonts w:cs="Times New Roman"/>
          <w:i/>
          <w:lang w:val="fr-CA"/>
        </w:rPr>
        <w:t>ravail</w:t>
      </w:r>
      <w:r w:rsidRPr="004F117F">
        <w:rPr>
          <w:rFonts w:cs="Times New Roman"/>
          <w:lang w:val="fr-CA"/>
        </w:rPr>
        <w:t>, RLRQ, c. C-27</w:t>
      </w:r>
      <w:r w:rsidR="001518D6">
        <w:rPr>
          <w:rFonts w:cs="Times New Roman"/>
          <w:lang w:val="fr-CA"/>
        </w:rPr>
        <w:t>,</w:t>
      </w:r>
      <w:r w:rsidRPr="004F117F">
        <w:rPr>
          <w:rFonts w:cs="Times New Roman"/>
          <w:lang w:val="fr-CA"/>
        </w:rPr>
        <w:t xml:space="preserve"> qui comporte un libellé quasi-identique à l’art. 76.9 de la Loi</w:t>
      </w:r>
      <w:r w:rsidRPr="004F117F">
        <w:rPr>
          <w:rFonts w:cs="Times New Roman"/>
          <w:i/>
          <w:lang w:val="fr-CA"/>
        </w:rPr>
        <w:t xml:space="preserve">. </w:t>
      </w:r>
      <w:r w:rsidRPr="004F117F">
        <w:rPr>
          <w:rFonts w:cs="Times New Roman"/>
          <w:lang w:val="fr-CA"/>
        </w:rPr>
        <w:t xml:space="preserve">Écrivant au nom de la Cour dans </w:t>
      </w:r>
      <w:r w:rsidRPr="004F117F">
        <w:rPr>
          <w:rFonts w:cs="Times New Roman"/>
          <w:i/>
          <w:lang w:val="fr-CA"/>
        </w:rPr>
        <w:t>Noël c. Société d’énergie de la Baie James</w:t>
      </w:r>
      <w:r w:rsidRPr="004F117F">
        <w:rPr>
          <w:rFonts w:cs="Times New Roman"/>
          <w:lang w:val="fr-CA"/>
        </w:rPr>
        <w:t>, 2001 CSC 39, [2001] 2 R.C.S. 207, le juge LeBel a défini la portée de cet article :</w:t>
      </w:r>
    </w:p>
    <w:p w:rsidR="00C208DD" w:rsidRPr="004F117F" w:rsidRDefault="00C208DD" w:rsidP="00637E44">
      <w:pPr>
        <w:pStyle w:val="Citation-AltC"/>
        <w:widowControl w:val="0"/>
        <w:ind w:firstLine="274"/>
        <w:rPr>
          <w:lang w:val="fr-CA"/>
        </w:rPr>
      </w:pPr>
      <w:r w:rsidRPr="004F117F">
        <w:rPr>
          <w:lang w:val="fr-CA"/>
        </w:rPr>
        <w:lastRenderedPageBreak/>
        <w:t xml:space="preserve">Le </w:t>
      </w:r>
      <w:r w:rsidRPr="004F117F">
        <w:rPr>
          <w:i/>
          <w:lang w:val="fr-CA"/>
        </w:rPr>
        <w:t xml:space="preserve">Code du travail </w:t>
      </w:r>
      <w:r w:rsidRPr="004F117F">
        <w:rPr>
          <w:lang w:val="fr-CA"/>
        </w:rPr>
        <w:t>du Québec a codifié partielleme</w:t>
      </w:r>
      <w:r w:rsidR="00E038B2">
        <w:rPr>
          <w:lang w:val="fr-CA"/>
        </w:rPr>
        <w:t>nt le devoir de représentation.</w:t>
      </w:r>
      <w:r w:rsidRPr="004F117F">
        <w:rPr>
          <w:lang w:val="fr-CA"/>
        </w:rPr>
        <w:t xml:space="preserve"> L’article 47.2 </w:t>
      </w:r>
      <w:r w:rsidRPr="004F117F">
        <w:rPr>
          <w:i/>
          <w:lang w:val="fr-CA"/>
        </w:rPr>
        <w:t>C.t.</w:t>
      </w:r>
      <w:r w:rsidRPr="004F117F">
        <w:rPr>
          <w:lang w:val="fr-CA"/>
        </w:rPr>
        <w:t xml:space="preserve"> le définit en ces termes :  </w:t>
      </w:r>
    </w:p>
    <w:p w:rsidR="00C208DD" w:rsidRPr="004F117F" w:rsidRDefault="00C208DD" w:rsidP="00637E44">
      <w:pPr>
        <w:pStyle w:val="Citation-AltC"/>
        <w:widowControl w:val="0"/>
        <w:rPr>
          <w:lang w:val="fr-CA"/>
        </w:rPr>
      </w:pPr>
    </w:p>
    <w:p w:rsidR="00C208DD" w:rsidRPr="004F117F" w:rsidRDefault="00C208DD" w:rsidP="00637E44">
      <w:pPr>
        <w:pStyle w:val="Citation-AltC"/>
        <w:widowControl w:val="0"/>
        <w:ind w:left="1620"/>
        <w:rPr>
          <w:lang w:val="fr-CA"/>
        </w:rPr>
      </w:pPr>
      <w:r w:rsidRPr="004F117F">
        <w:rPr>
          <w:b/>
          <w:lang w:val="fr-CA"/>
        </w:rPr>
        <w:t>47.2.</w:t>
      </w:r>
      <w:r w:rsidR="00E038B2">
        <w:rPr>
          <w:lang w:val="fr-CA"/>
        </w:rPr>
        <w:t xml:space="preserve"> </w:t>
      </w:r>
      <w:r w:rsidRPr="004F117F">
        <w:rPr>
          <w:lang w:val="fr-CA"/>
        </w:rPr>
        <w:t xml:space="preserve">Une association accréditée ne doit pas agir de mauvaise foi ou de manière arbitraire ou discriminatoire, ni faire preuve de négligence grave à l’endroit des salariés compris dans une unité de négociation qu’elle représente, peu importe qu’ils soient ses membres ou non.  </w:t>
      </w:r>
    </w:p>
    <w:p w:rsidR="00C208DD" w:rsidRPr="004F117F" w:rsidRDefault="00C208DD" w:rsidP="00637E44">
      <w:pPr>
        <w:pStyle w:val="Citation-AltC"/>
        <w:widowControl w:val="0"/>
        <w:rPr>
          <w:lang w:val="fr-CA"/>
        </w:rPr>
      </w:pPr>
    </w:p>
    <w:p w:rsidR="00C208DD" w:rsidRPr="004F117F" w:rsidRDefault="00C208DD" w:rsidP="00637E44">
      <w:pPr>
        <w:pStyle w:val="Citation-AltC"/>
        <w:widowControl w:val="0"/>
        <w:ind w:firstLine="274"/>
        <w:rPr>
          <w:lang w:val="en-US"/>
        </w:rPr>
      </w:pPr>
      <w:r w:rsidRPr="004F117F">
        <w:rPr>
          <w:lang w:val="fr-CA"/>
        </w:rPr>
        <w:t xml:space="preserve">Cette obligation interdit </w:t>
      </w:r>
      <w:r w:rsidRPr="004F117F">
        <w:rPr>
          <w:u w:val="single"/>
          <w:lang w:val="fr-CA"/>
        </w:rPr>
        <w:t>quatre types de conduite</w:t>
      </w:r>
      <w:r w:rsidRPr="004F117F">
        <w:rPr>
          <w:lang w:val="fr-CA"/>
        </w:rPr>
        <w:t xml:space="preserve"> : la mauvaise foi, la discrimination, le comportement arb</w:t>
      </w:r>
      <w:r w:rsidR="00E038B2">
        <w:rPr>
          <w:lang w:val="fr-CA"/>
        </w:rPr>
        <w:t>itraire et la négligence grave.</w:t>
      </w:r>
      <w:r w:rsidRPr="004F117F">
        <w:rPr>
          <w:lang w:val="fr-CA"/>
        </w:rPr>
        <w:t xml:space="preserve"> Cette obligation de comportement s’applique aussi bien au stade de la négociation collective que pendant son administration (voir Gagnon, </w:t>
      </w:r>
      <w:r w:rsidRPr="004F117F">
        <w:rPr>
          <w:i/>
          <w:lang w:val="fr-CA"/>
        </w:rPr>
        <w:t>op. cit.</w:t>
      </w:r>
      <w:r w:rsidR="00E038B2">
        <w:rPr>
          <w:lang w:val="fr-CA"/>
        </w:rPr>
        <w:t xml:space="preserve">, p. 308). </w:t>
      </w:r>
      <w:r w:rsidRPr="004F117F">
        <w:rPr>
          <w:lang w:val="fr-CA"/>
        </w:rPr>
        <w:t xml:space="preserve">L’article 47.2 sanctionne d’abord une conduite empreinte de mauvaise foi qui suppose une intention de nuire, un comportement malicieux, frauduleux, malveillant ou hostile (voir </w:t>
      </w:r>
      <w:r w:rsidRPr="004F117F">
        <w:rPr>
          <w:i/>
          <w:lang w:val="fr-CA"/>
        </w:rPr>
        <w:t>Becotte c. Syndicat canadien de la Fonction publique, local 301</w:t>
      </w:r>
      <w:r w:rsidRPr="004F117F">
        <w:rPr>
          <w:lang w:val="fr-CA"/>
        </w:rPr>
        <w:t xml:space="preserve">, [1979] T.T. 231, p. 235; également </w:t>
      </w:r>
      <w:r w:rsidRPr="004F117F">
        <w:rPr>
          <w:i/>
          <w:lang w:val="fr-CA"/>
        </w:rPr>
        <w:t>Rayonier</w:t>
      </w:r>
      <w:r w:rsidR="00E038B2">
        <w:rPr>
          <w:lang w:val="fr-CA"/>
        </w:rPr>
        <w:t xml:space="preserve">, précité, p. 201). </w:t>
      </w:r>
      <w:r w:rsidRPr="004F117F">
        <w:rPr>
          <w:lang w:val="fr-CA"/>
        </w:rPr>
        <w:t xml:space="preserve">En pratique, cet élément seul serait difficile à établir (voir G. W. Adams, </w:t>
      </w:r>
      <w:r w:rsidRPr="004F117F">
        <w:rPr>
          <w:i/>
          <w:lang w:val="fr-CA"/>
        </w:rPr>
        <w:t>Canadian Labour Law</w:t>
      </w:r>
      <w:r w:rsidRPr="004F117F">
        <w:rPr>
          <w:lang w:val="fr-CA"/>
        </w:rPr>
        <w:t xml:space="preserve"> (2</w:t>
      </w:r>
      <w:r w:rsidRPr="00FA6B6F">
        <w:rPr>
          <w:vertAlign w:val="superscript"/>
          <w:lang w:val="fr-CA"/>
        </w:rPr>
        <w:t xml:space="preserve">e </w:t>
      </w:r>
      <w:r w:rsidRPr="004F117F">
        <w:rPr>
          <w:lang w:val="fr-CA"/>
        </w:rPr>
        <w:t xml:space="preserve">éd. </w:t>
      </w:r>
      <w:r w:rsidRPr="004F117F">
        <w:rPr>
          <w:lang w:val="en-US"/>
        </w:rPr>
        <w:t xml:space="preserve">(feuilles mobiles)), p. 13-15 à 13-18; R. E. Brown, « The “Arbitrary”, “Discriminatory” and “Bad Faith” Tests Under the Duty of Fair Representation in Ontario » (1982), 60 </w:t>
      </w:r>
      <w:r w:rsidRPr="004F117F">
        <w:rPr>
          <w:i/>
          <w:lang w:val="en-US"/>
        </w:rPr>
        <w:t>R. du B. can.</w:t>
      </w:r>
      <w:r w:rsidRPr="004F117F">
        <w:rPr>
          <w:lang w:val="en-US"/>
        </w:rPr>
        <w:t xml:space="preserve"> 412, p. 453-454).</w:t>
      </w:r>
    </w:p>
    <w:p w:rsidR="00C208DD" w:rsidRPr="004F117F" w:rsidRDefault="00C208DD" w:rsidP="00637E44">
      <w:pPr>
        <w:pStyle w:val="Citation-AltC"/>
        <w:widowControl w:val="0"/>
        <w:rPr>
          <w:lang w:val="en-US"/>
        </w:rPr>
      </w:pPr>
    </w:p>
    <w:p w:rsidR="00C208DD" w:rsidRPr="004F117F" w:rsidRDefault="00C208DD" w:rsidP="00637E44">
      <w:pPr>
        <w:pStyle w:val="Citation-AltC"/>
        <w:widowControl w:val="0"/>
        <w:rPr>
          <w:lang w:val="fr-CA"/>
        </w:rPr>
      </w:pPr>
      <w:r w:rsidRPr="004F117F">
        <w:rPr>
          <w:lang w:val="en-US"/>
        </w:rPr>
        <w:tab/>
      </w:r>
      <w:r w:rsidRPr="004F117F">
        <w:rPr>
          <w:u w:val="single"/>
          <w:lang w:val="fr-CA"/>
        </w:rPr>
        <w:t>La loi interdit aussi les comportements discriminatoires. Ceux-ci comprennent toutes les tentatives de défavoriser un individu ou un groupe sans que le contexte des relations de travail dans l’entreprise ne le justifie</w:t>
      </w:r>
      <w:r w:rsidRPr="00E038B2">
        <w:rPr>
          <w:u w:val="single"/>
          <w:lang w:val="fr-CA"/>
        </w:rPr>
        <w:t>.</w:t>
      </w:r>
      <w:r w:rsidRPr="004F117F">
        <w:rPr>
          <w:lang w:val="fr-CA"/>
        </w:rPr>
        <w:t xml:space="preserve">  Ainsi, une association ne saurait refuser de traiter le grief d’un salarié ou de le mener de façon différente au motif qu’il n’appartient pas à l’association, ou pour toute autre raison extérieure aux relations de travail avec l’employeur (voir D. Veilleux, « Le devoir de représentation syndicale : Cadre d’analyse des obligations sous-jacentes » (1993), 48 </w:t>
      </w:r>
      <w:r w:rsidRPr="004F117F">
        <w:rPr>
          <w:i/>
          <w:lang w:val="fr-CA"/>
        </w:rPr>
        <w:t>Relat. ind.</w:t>
      </w:r>
      <w:r w:rsidRPr="004F117F">
        <w:rPr>
          <w:lang w:val="fr-CA"/>
        </w:rPr>
        <w:t xml:space="preserve"> 661, p. 681-682; Adams, </w:t>
      </w:r>
      <w:r w:rsidRPr="004F117F">
        <w:rPr>
          <w:i/>
          <w:lang w:val="fr-CA"/>
        </w:rPr>
        <w:t>op. cit</w:t>
      </w:r>
      <w:r w:rsidR="00FA6B6F">
        <w:rPr>
          <w:lang w:val="fr-CA"/>
        </w:rPr>
        <w:t>., p. 13-18 à 13-20.1</w:t>
      </w:r>
      <w:r w:rsidRPr="004F117F">
        <w:rPr>
          <w:lang w:val="fr-CA"/>
        </w:rPr>
        <w:t>)</w:t>
      </w:r>
      <w:r w:rsidR="00FA6B6F">
        <w:rPr>
          <w:lang w:val="fr-CA"/>
        </w:rPr>
        <w:t>.</w:t>
      </w:r>
    </w:p>
    <w:p w:rsidR="00C208DD" w:rsidRPr="004F117F" w:rsidRDefault="00C208DD" w:rsidP="00637E44">
      <w:pPr>
        <w:pStyle w:val="Citation-AltC"/>
        <w:widowControl w:val="0"/>
        <w:rPr>
          <w:lang w:val="fr-CA"/>
        </w:rPr>
      </w:pPr>
    </w:p>
    <w:p w:rsidR="00C208DD" w:rsidRPr="004F117F" w:rsidRDefault="00C208DD" w:rsidP="00637E44">
      <w:pPr>
        <w:pStyle w:val="Citation-AltC"/>
        <w:widowControl w:val="0"/>
        <w:rPr>
          <w:lang w:val="fr-CA"/>
        </w:rPr>
      </w:pPr>
      <w:r w:rsidRPr="004F117F">
        <w:rPr>
          <w:lang w:val="fr-CA"/>
        </w:rPr>
        <w:tab/>
        <w:t xml:space="preserve">Se reliant étroitement, les concepts d’arbitraire et de négligence grave définissent la qualité de la représentation syndicale. </w:t>
      </w:r>
      <w:r w:rsidRPr="004F117F">
        <w:rPr>
          <w:u w:val="single"/>
          <w:lang w:val="fr-CA"/>
        </w:rPr>
        <w:t>L’élément de l’arbitraire signifie que, même sans intention de nuire, le syndicat ne saurait traiter la plainte d’un salarié de façon superficielle ou inattentive</w:t>
      </w:r>
      <w:r w:rsidRPr="004F117F">
        <w:rPr>
          <w:lang w:val="fr-CA"/>
        </w:rPr>
        <w:t>.  Il doit faire enquête au sujet de celle-ci, examiner les faits pertinents ou obtenir les consultations indispensables, le cas échéant, mais le salarié n’a cependant pas droit à l’en</w:t>
      </w:r>
      <w:r w:rsidR="00E038B2">
        <w:rPr>
          <w:lang w:val="fr-CA"/>
        </w:rPr>
        <w:t>quête la plus poussée possible.</w:t>
      </w:r>
      <w:r w:rsidRPr="004F117F">
        <w:rPr>
          <w:lang w:val="fr-CA"/>
        </w:rPr>
        <w:t xml:space="preserve"> On devrait aussi tenir compte des ressources de l’association, ainsi que des intérêts de l’ensem</w:t>
      </w:r>
      <w:r w:rsidR="00E038B2">
        <w:rPr>
          <w:lang w:val="fr-CA"/>
        </w:rPr>
        <w:t xml:space="preserve">ble de l’unité de négociation. </w:t>
      </w:r>
      <w:r w:rsidRPr="004F117F">
        <w:rPr>
          <w:lang w:val="fr-CA"/>
        </w:rPr>
        <w:t>L’association jouit donc d’une discrétion importante quant à la forme et à l’intensité des démarches qu’elle entreprendra dans un c</w:t>
      </w:r>
      <w:r w:rsidR="00E038B2">
        <w:rPr>
          <w:lang w:val="fr-CA"/>
        </w:rPr>
        <w:t xml:space="preserve">as particulier. </w:t>
      </w:r>
      <w:r w:rsidRPr="004F117F">
        <w:rPr>
          <w:lang w:val="fr-CA"/>
        </w:rPr>
        <w:t xml:space="preserve">(Voir Adams, </w:t>
      </w:r>
      <w:r w:rsidRPr="004F117F">
        <w:rPr>
          <w:i/>
          <w:lang w:val="fr-CA"/>
        </w:rPr>
        <w:t>op. cit.</w:t>
      </w:r>
      <w:r w:rsidRPr="004F117F">
        <w:rPr>
          <w:lang w:val="fr-CA"/>
        </w:rPr>
        <w:t xml:space="preserve">, p. 13-20.1 à 13-20.6).  </w:t>
      </w:r>
    </w:p>
    <w:p w:rsidR="00C208DD" w:rsidRPr="004F117F" w:rsidRDefault="00C208DD" w:rsidP="00637E44">
      <w:pPr>
        <w:pStyle w:val="Citation-AltC"/>
        <w:widowControl w:val="0"/>
        <w:rPr>
          <w:lang w:val="fr-CA"/>
        </w:rPr>
      </w:pPr>
    </w:p>
    <w:p w:rsidR="00C208DD" w:rsidRPr="004F117F" w:rsidRDefault="00C208DD" w:rsidP="00637E44">
      <w:pPr>
        <w:pStyle w:val="Citation-AltC"/>
        <w:widowControl w:val="0"/>
        <w:rPr>
          <w:lang w:val="fr-CA"/>
        </w:rPr>
      </w:pPr>
      <w:r w:rsidRPr="004F117F">
        <w:rPr>
          <w:lang w:val="fr-CA"/>
        </w:rPr>
        <w:tab/>
        <w:t xml:space="preserve">Le quatrième élément retenu dans l’art. 47.2 </w:t>
      </w:r>
      <w:r w:rsidRPr="004F117F">
        <w:rPr>
          <w:i/>
          <w:lang w:val="fr-CA"/>
        </w:rPr>
        <w:t>C.t.</w:t>
      </w:r>
      <w:r w:rsidRPr="004F117F">
        <w:rPr>
          <w:lang w:val="fr-CA"/>
        </w:rPr>
        <w:t xml:space="preserve"> est la négligence grave.  </w:t>
      </w:r>
      <w:r w:rsidRPr="004F117F">
        <w:rPr>
          <w:lang w:val="fr-CA"/>
        </w:rPr>
        <w:lastRenderedPageBreak/>
        <w:t>Une faute grossière dans le traitement d’un grief peut être assimilée à celle-ci malgré l’absence d’une intention de nuire. Cependant, la simple incompétence dans le traitement du dossier ne violera pas l’obligation de représentation, l’art. 47.2 n’imposant pas une norme de perfection dans la définition de l’obligation de di</w:t>
      </w:r>
      <w:r w:rsidR="00E038B2">
        <w:rPr>
          <w:lang w:val="fr-CA"/>
        </w:rPr>
        <w:t xml:space="preserve">ligence qu’assume le syndicat. </w:t>
      </w:r>
      <w:r w:rsidRPr="004F117F">
        <w:rPr>
          <w:lang w:val="fr-CA"/>
        </w:rPr>
        <w:t xml:space="preserve">L’évaluation du comportement syndical tiendra compte des ressources disponibles, de l’expérience et de la formation des représentants syndicaux, le plus souvent des non juristes, ainsi que des priorités reliées au fonctionnement de l’unité de négociation (voir Gagnon, </w:t>
      </w:r>
      <w:r w:rsidRPr="004F117F">
        <w:rPr>
          <w:i/>
          <w:lang w:val="fr-CA"/>
        </w:rPr>
        <w:t>op. cit.</w:t>
      </w:r>
      <w:r w:rsidRPr="004F117F">
        <w:rPr>
          <w:lang w:val="fr-CA"/>
        </w:rPr>
        <w:t xml:space="preserve">, p. 310-313; Veilleux, </w:t>
      </w:r>
      <w:r w:rsidRPr="004F117F">
        <w:rPr>
          <w:i/>
          <w:lang w:val="fr-CA"/>
        </w:rPr>
        <w:t>loc. cit.</w:t>
      </w:r>
      <w:r w:rsidRPr="004F117F">
        <w:rPr>
          <w:lang w:val="fr-CA"/>
        </w:rPr>
        <w:t xml:space="preserve">, p. 683-687; Adams, </w:t>
      </w:r>
      <w:r w:rsidRPr="004F117F">
        <w:rPr>
          <w:i/>
          <w:lang w:val="fr-CA"/>
        </w:rPr>
        <w:t>op. cit.</w:t>
      </w:r>
      <w:r w:rsidRPr="004F117F">
        <w:rPr>
          <w:lang w:val="fr-CA"/>
        </w:rPr>
        <w:t>, p. 13-37).</w:t>
      </w:r>
    </w:p>
    <w:p w:rsidR="00C208DD" w:rsidRPr="004F117F" w:rsidRDefault="00C208DD" w:rsidP="00637E44">
      <w:pPr>
        <w:pStyle w:val="Citation-AltC"/>
        <w:widowControl w:val="0"/>
        <w:rPr>
          <w:lang w:val="fr-CA"/>
        </w:rPr>
      </w:pPr>
    </w:p>
    <w:p w:rsidR="00C208DD" w:rsidRPr="004F117F" w:rsidRDefault="00C208DD" w:rsidP="00637E44">
      <w:pPr>
        <w:pStyle w:val="Citation-AltC"/>
        <w:widowControl w:val="0"/>
        <w:rPr>
          <w:lang w:val="fr-CA"/>
        </w:rPr>
      </w:pPr>
      <w:r w:rsidRPr="004F117F">
        <w:rPr>
          <w:lang w:val="fr-CA"/>
        </w:rPr>
        <w:tab/>
        <w:t>Mauvaise foi et discrimination impliquent toutes deux un comportement vex</w:t>
      </w:r>
      <w:r w:rsidR="00E038B2">
        <w:rPr>
          <w:lang w:val="fr-CA"/>
        </w:rPr>
        <w:t xml:space="preserve">atoire de la part du syndicat. </w:t>
      </w:r>
      <w:r w:rsidRPr="004F117F">
        <w:rPr>
          <w:lang w:val="fr-CA"/>
        </w:rPr>
        <w:t>L’analyse se concentre alors sur les motifs de l’action syndical</w:t>
      </w:r>
      <w:r w:rsidR="001E6BCF">
        <w:rPr>
          <w:lang w:val="fr-CA"/>
        </w:rPr>
        <w:t xml:space="preserve">e. </w:t>
      </w:r>
      <w:r w:rsidRPr="004F117F">
        <w:rPr>
          <w:u w:val="single"/>
          <w:lang w:val="fr-CA"/>
        </w:rPr>
        <w:t>Dans le cas du troisième ou du quatrième élément, on se trouve devant des actes qui, sans être animés par une intention malicieuse, dépassent les limites de la discrétion raisonnablement exercée</w:t>
      </w:r>
      <w:r w:rsidRPr="004F117F">
        <w:rPr>
          <w:lang w:val="fr-CA"/>
        </w:rPr>
        <w:t xml:space="preserve">.  </w:t>
      </w:r>
      <w:r w:rsidRPr="004F117F">
        <w:rPr>
          <w:u w:val="single"/>
          <w:lang w:val="fr-CA"/>
        </w:rPr>
        <w:t>La mise en œuvre de chaque décision du syndicat dans le traitement des griefs et de l’application de la convention collective implique ainsi une analyse flexible, qui tiendra compte de plusieurs facteurs</w:t>
      </w:r>
      <w:r w:rsidRPr="00AA35E0">
        <w:rPr>
          <w:u w:val="single"/>
          <w:lang w:val="fr-CA"/>
        </w:rPr>
        <w:t>.</w:t>
      </w:r>
      <w:r w:rsidRPr="004F117F">
        <w:rPr>
          <w:lang w:val="fr-CA"/>
        </w:rPr>
        <w:t xml:space="preserve"> [Nous soulignons; par. 47-52.]</w:t>
      </w:r>
    </w:p>
    <w:p w:rsidR="00C208DD" w:rsidRPr="004F117F" w:rsidRDefault="00C208DD" w:rsidP="00637E44">
      <w:pPr>
        <w:pStyle w:val="ParaNoNdepar-AltN"/>
        <w:widowControl w:val="0"/>
        <w:rPr>
          <w:rFonts w:cs="Times New Roman"/>
          <w:lang w:val="fr-CA"/>
        </w:rPr>
      </w:pPr>
      <w:r w:rsidRPr="004F117F">
        <w:rPr>
          <w:rFonts w:cs="Times New Roman"/>
          <w:lang w:val="fr-FR"/>
        </w:rPr>
        <w:t>Il faut alors conclure que le nouveau mécanisme mis en place par les modifications de 2009 répond aux besoins des femmes visées en ce qu’il empêche efficacement les abus de la part des employeurs, en plus d’offrir une évaluation périodique de leur rémunération. Ce facteur milite donc aussi en faveur de la thèse de l’appelante.</w:t>
      </w:r>
    </w:p>
    <w:p w:rsidR="00C208DD" w:rsidRPr="004F117F" w:rsidRDefault="00C208DD" w:rsidP="00637E44">
      <w:pPr>
        <w:pStyle w:val="ParaNoNdepar-AltN"/>
        <w:widowControl w:val="0"/>
        <w:rPr>
          <w:rFonts w:eastAsiaTheme="minorHAnsi" w:cs="Times New Roman"/>
          <w:lang w:val="fr-CA"/>
        </w:rPr>
      </w:pPr>
      <w:r w:rsidRPr="004F117F">
        <w:rPr>
          <w:rFonts w:cs="Times New Roman"/>
          <w:lang w:val="fr-FR"/>
        </w:rPr>
        <w:t xml:space="preserve">De plus, il était loisible au législateur québécois d’opter pour des moyens qui soient adaptés et pratiques pour les entreprises privées. Pour reprendre l’exemple donné par la juge Abella, les entreprises n’ont pas l’obligation de repaver les rampes d’accès chaque semaine pour faire en sorte que les personnes handicapées ne subissent pas de discrimination (motifs de la juge Abella, par. 54). </w:t>
      </w:r>
    </w:p>
    <w:p w:rsidR="00C208DD" w:rsidRPr="004F117F" w:rsidRDefault="00C208DD" w:rsidP="00637E44">
      <w:pPr>
        <w:pStyle w:val="Title3LevelTitre3Niveau"/>
        <w:widowControl w:val="0"/>
        <w:numPr>
          <w:ilvl w:val="2"/>
          <w:numId w:val="8"/>
        </w:numPr>
        <w:rPr>
          <w:rFonts w:cs="Times New Roman"/>
          <w:b/>
          <w:lang w:val="fr-CA"/>
        </w:rPr>
      </w:pPr>
      <w:bookmarkStart w:id="8" w:name="_Toc498415510"/>
      <w:r w:rsidRPr="004F117F">
        <w:rPr>
          <w:rFonts w:cs="Times New Roman"/>
          <w:lang w:val="fr-CA"/>
        </w:rPr>
        <w:lastRenderedPageBreak/>
        <w:t>Les effets sur d’autres groupe</w:t>
      </w:r>
      <w:bookmarkEnd w:id="8"/>
      <w:r w:rsidRPr="004F117F">
        <w:rPr>
          <w:rFonts w:cs="Times New Roman"/>
          <w:lang w:val="fr-CA"/>
        </w:rPr>
        <w:t>s</w:t>
      </w:r>
    </w:p>
    <w:p w:rsidR="00C208DD" w:rsidRPr="004F117F" w:rsidRDefault="00C208DD" w:rsidP="00637E44">
      <w:pPr>
        <w:pStyle w:val="ParaNoNdepar-AltN"/>
        <w:widowControl w:val="0"/>
        <w:rPr>
          <w:rFonts w:eastAsiaTheme="minorHAnsi" w:cs="Times New Roman"/>
          <w:lang w:val="fr-CA"/>
        </w:rPr>
      </w:pPr>
      <w:r w:rsidRPr="004F117F">
        <w:rPr>
          <w:rFonts w:cs="Times New Roman"/>
          <w:lang w:val="fr-CA"/>
        </w:rPr>
        <w:t xml:space="preserve">Notre collègue s’appuie sur le raisonnement adopté dans </w:t>
      </w:r>
      <w:r w:rsidRPr="004F117F">
        <w:rPr>
          <w:rFonts w:cs="Times New Roman"/>
          <w:i/>
          <w:lang w:val="fr-CA"/>
        </w:rPr>
        <w:t>Vriend</w:t>
      </w:r>
      <w:r w:rsidRPr="004F117F">
        <w:rPr>
          <w:rFonts w:cs="Times New Roman"/>
          <w:lang w:val="fr-CA"/>
        </w:rPr>
        <w:t>. Dans cette affaire, l’</w:t>
      </w:r>
      <w:r w:rsidRPr="004F117F">
        <w:rPr>
          <w:rFonts w:cs="Times New Roman"/>
          <w:i/>
          <w:lang w:val="fr-CA"/>
        </w:rPr>
        <w:t>Individual’s Rights Protection Act</w:t>
      </w:r>
      <w:r w:rsidRPr="004F117F">
        <w:rPr>
          <w:rFonts w:cs="Times New Roman"/>
          <w:lang w:val="fr-CA"/>
        </w:rPr>
        <w:t>,</w:t>
      </w:r>
      <w:r w:rsidRPr="004F117F">
        <w:rPr>
          <w:rFonts w:cs="Times New Roman"/>
          <w:i/>
          <w:lang w:val="fr-CA"/>
        </w:rPr>
        <w:t xml:space="preserve"> </w:t>
      </w:r>
      <w:r w:rsidRPr="004F117F">
        <w:rPr>
          <w:rFonts w:cs="Times New Roman"/>
          <w:lang w:val="fr-CA"/>
        </w:rPr>
        <w:t xml:space="preserve">interdisait en 1990 la discrimination fondée sur l’un des motifs suivants : </w:t>
      </w:r>
      <w:r w:rsidR="00AA35E0">
        <w:rPr>
          <w:rFonts w:cs="Times New Roman"/>
          <w:lang w:val="fr-CA"/>
        </w:rPr>
        <w:t xml:space="preserve">la </w:t>
      </w:r>
      <w:r w:rsidRPr="004F117F">
        <w:rPr>
          <w:rFonts w:cs="Times New Roman"/>
          <w:lang w:val="fr-CA"/>
        </w:rPr>
        <w:t>race, les croyances religieuses, la couleur, le sexe, la déficience physique ou mentale, l’âge, l’ascendance et le lieu d’origine. Par la suite, des modifications législatives ont été adoptées afin d’ajouter d’autres motifs à ceux déjà prévus, comme l’état matrimonial, la source de revenu et la situation familiale. L’</w:t>
      </w:r>
      <w:r w:rsidRPr="004F117F">
        <w:rPr>
          <w:rFonts w:cs="Times New Roman"/>
          <w:i/>
          <w:lang w:val="fr-CA"/>
        </w:rPr>
        <w:t>Individual’s Rights Protection Act</w:t>
      </w:r>
      <w:r w:rsidRPr="004F117F">
        <w:rPr>
          <w:rFonts w:cs="Times New Roman"/>
          <w:lang w:val="fr-CA"/>
        </w:rPr>
        <w:t xml:space="preserve"> a eu pour effet de procurer un recours à l’ensemble des membres de la société afin qu’ils puissent se prévaloir de l’un ou l’autre des motifs de distinction prévus à la loi en cas de discrimination. Cependant, le gouvernement albertain n’avait pas jugé nécessaire d’inclure à la loi l’orientation sexuelle comme motif de discrimination illicite. Les personnes discriminées sur la base de leur orientation sexuelle étaient donc exclues de la protection conférée par la loi et se retrouvaient dans une situation pire que celle prévalant avant son entrée en vigueur dans la mesure où ils ne profitaient pas de la protection de la loi par rapport aux autres groupes défavorisés qui en bénéficiaient. De ce fait, l’écart entre leur situation et celle du reste de la société s’était accentué et ils se retrouvaient à être davantage marginalisés. Bref, la société avait évolué alors que leur situation demeurait inchangée. </w:t>
      </w:r>
    </w:p>
    <w:p w:rsidR="00C208DD" w:rsidRPr="004F117F" w:rsidRDefault="00C208DD" w:rsidP="00637E44">
      <w:pPr>
        <w:pStyle w:val="ParaNoNdepar-AltN"/>
        <w:widowControl w:val="0"/>
        <w:rPr>
          <w:rFonts w:eastAsiaTheme="minorHAnsi" w:cs="Times New Roman"/>
          <w:lang w:val="fr-CA"/>
        </w:rPr>
      </w:pPr>
      <w:r w:rsidRPr="004F117F">
        <w:rPr>
          <w:rFonts w:cs="Times New Roman"/>
          <w:lang w:val="fr-CA"/>
        </w:rPr>
        <w:t xml:space="preserve">Ainsi, contrairement à un régime de protection générale, comme celui établi par </w:t>
      </w:r>
      <w:r w:rsidRPr="004F117F">
        <w:rPr>
          <w:rFonts w:cs="Times New Roman"/>
          <w:lang w:val="fr-FR"/>
        </w:rPr>
        <w:t>l’</w:t>
      </w:r>
      <w:r w:rsidRPr="004F117F">
        <w:rPr>
          <w:rFonts w:cs="Times New Roman"/>
          <w:i/>
          <w:iCs/>
          <w:lang w:val="fr-FR"/>
        </w:rPr>
        <w:t>Individual’s Rights Protection Act</w:t>
      </w:r>
      <w:r w:rsidRPr="004F117F">
        <w:rPr>
          <w:rFonts w:cs="Times New Roman"/>
          <w:iCs/>
          <w:lang w:val="fr-FR"/>
        </w:rPr>
        <w:t xml:space="preserve">, qui était sous étude dans l’arrêt </w:t>
      </w:r>
      <w:r w:rsidRPr="004F117F">
        <w:rPr>
          <w:rFonts w:cs="Times New Roman"/>
          <w:i/>
          <w:lang w:val="fr-CA"/>
        </w:rPr>
        <w:t>Vriend</w:t>
      </w:r>
      <w:r w:rsidRPr="004F117F">
        <w:rPr>
          <w:rFonts w:cs="Times New Roman"/>
          <w:iCs/>
          <w:lang w:val="fr-FR"/>
        </w:rPr>
        <w:t>, le régime créé par la Loi</w:t>
      </w:r>
      <w:r w:rsidRPr="004F117F">
        <w:rPr>
          <w:rFonts w:cs="Times New Roman"/>
          <w:i/>
          <w:iCs/>
          <w:lang w:val="fr-FR"/>
        </w:rPr>
        <w:t xml:space="preserve"> </w:t>
      </w:r>
      <w:r w:rsidRPr="004F117F">
        <w:rPr>
          <w:rFonts w:cs="Times New Roman"/>
          <w:iCs/>
          <w:lang w:val="fr-FR"/>
        </w:rPr>
        <w:t xml:space="preserve">ne vise qu’un seul motif de discrimination, soit celui fondé </w:t>
      </w:r>
      <w:r w:rsidRPr="004F117F">
        <w:rPr>
          <w:rFonts w:cs="Times New Roman"/>
          <w:iCs/>
          <w:lang w:val="fr-FR"/>
        </w:rPr>
        <w:lastRenderedPageBreak/>
        <w:t xml:space="preserve">sur le sexe, et ne touche qu’une partie réduite des salariées au Québec, à savoir les femmes occupant des emplois dans des catégories d’emploi à prédominance féminine dans une entreprise comprenant 10 salariés ou plus : art. 4 de la Loi. </w:t>
      </w:r>
      <w:r w:rsidRPr="004F117F">
        <w:rPr>
          <w:rFonts w:cs="Times New Roman"/>
          <w:lang w:val="fr-FR"/>
        </w:rPr>
        <w:t xml:space="preserve">En l’espèce, ce facteur est neutralisé par le fait que c’est le groupe bénéficiant de la Loi qui en conteste les effets. </w:t>
      </w:r>
      <w:r w:rsidRPr="004F117F">
        <w:rPr>
          <w:rFonts w:cs="Times New Roman"/>
          <w:lang w:val="fr-CA"/>
        </w:rPr>
        <w:t xml:space="preserve">Il n’est alors pas possible de prétendre qu’elles ne bénéficient pas de « la même protection et au même bénéfice de la loi » (par. 15(1) de la </w:t>
      </w:r>
      <w:r w:rsidRPr="004F117F">
        <w:rPr>
          <w:rFonts w:cs="Times New Roman"/>
          <w:i/>
          <w:lang w:val="fr-CA"/>
        </w:rPr>
        <w:t>Charte</w:t>
      </w:r>
      <w:r w:rsidRPr="004F117F">
        <w:rPr>
          <w:rFonts w:cs="Times New Roman"/>
          <w:lang w:val="fr-CA"/>
        </w:rPr>
        <w:t>) puisque la Loi leur procure spécifiquement un mécanisme leur offrant à la fois un recours contre les traitements discriminatoires ou arbitraires (art. 76.9 de la Loi) et le bénéfice d’une évaluation de leur emploi afin de déceler et corriger les iniquités salariales reliées à la discrimination systémique.</w:t>
      </w:r>
    </w:p>
    <w:p w:rsidR="00C208DD" w:rsidRPr="004F117F" w:rsidRDefault="00C208DD" w:rsidP="00637E44">
      <w:pPr>
        <w:pStyle w:val="Title3LevelTitre3Niveau"/>
        <w:widowControl w:val="0"/>
        <w:numPr>
          <w:ilvl w:val="2"/>
          <w:numId w:val="8"/>
        </w:numPr>
        <w:rPr>
          <w:rFonts w:cs="Times New Roman"/>
          <w:b/>
          <w:lang w:val="fr-CA"/>
        </w:rPr>
      </w:pPr>
      <w:bookmarkStart w:id="9" w:name="_Toc498415513"/>
      <w:r w:rsidRPr="004F117F">
        <w:rPr>
          <w:rFonts w:cs="Times New Roman"/>
          <w:lang w:val="fr-CA"/>
        </w:rPr>
        <w:t>La nature du droit touché</w:t>
      </w:r>
      <w:bookmarkEnd w:id="9"/>
      <w:r w:rsidRPr="004F117F">
        <w:rPr>
          <w:rFonts w:cs="Times New Roman"/>
          <w:lang w:val="fr-CA"/>
        </w:rPr>
        <w:t xml:space="preserve"> </w:t>
      </w:r>
      <w:bookmarkStart w:id="10" w:name="_Toc497825255"/>
      <w:bookmarkStart w:id="11" w:name="_Toc498415514"/>
    </w:p>
    <w:bookmarkEnd w:id="10"/>
    <w:bookmarkEnd w:id="11"/>
    <w:p w:rsidR="00C208DD" w:rsidRPr="004F117F" w:rsidRDefault="00C208DD" w:rsidP="00637E44">
      <w:pPr>
        <w:pStyle w:val="ParaNoNdepar-AltN"/>
        <w:widowControl w:val="0"/>
        <w:rPr>
          <w:rFonts w:eastAsiaTheme="minorHAnsi" w:cs="Times New Roman"/>
          <w:lang w:val="fr-CA"/>
        </w:rPr>
      </w:pPr>
      <w:r w:rsidRPr="004F117F">
        <w:rPr>
          <w:rFonts w:cs="Times New Roman"/>
          <w:lang w:val="fr-CA"/>
        </w:rPr>
        <w:t xml:space="preserve">Il ne fait pas de doute que le travail est un aspect important de la vie et qu’il représente pour bien des gens une grande partie de leur identité : </w:t>
      </w:r>
      <w:r w:rsidRPr="004F117F">
        <w:rPr>
          <w:rFonts w:cs="Times New Roman"/>
          <w:i/>
          <w:lang w:val="fr-CA"/>
        </w:rPr>
        <w:t>N.A.P.E</w:t>
      </w:r>
      <w:r w:rsidRPr="004F117F">
        <w:rPr>
          <w:rFonts w:cs="Times New Roman"/>
          <w:lang w:val="fr-CA"/>
        </w:rPr>
        <w:t>., par. 49-50. Cependant, se trouver dans une situation où il semble que son emploi n’est pas adéquatement rémunéré, heurtant du même coup un sentiment de dignité personnelle, ne signifie pas pour autant que la loi crée un désavantage discriminatoire. Par le biais de la Loi</w:t>
      </w:r>
      <w:r w:rsidRPr="004F117F">
        <w:rPr>
          <w:rFonts w:cs="Times New Roman"/>
          <w:i/>
          <w:lang w:val="fr-CA"/>
        </w:rPr>
        <w:t xml:space="preserve"> </w:t>
      </w:r>
      <w:r w:rsidRPr="004F117F">
        <w:rPr>
          <w:rFonts w:cs="Times New Roman"/>
          <w:lang w:val="fr-CA"/>
        </w:rPr>
        <w:t>et des modifications de 2009, le législateur québécois reconnaît la nature de l’équité salariale et son importance pour les femmes. En somme, bien que l’intérêt en cause soit important dans notre société, les mesures mises en place n’ont pas constitutionnalisé l’équité salariale au risque de rendre les mesures impossibles à modifier.</w:t>
      </w:r>
      <w:r w:rsidRPr="004F117F">
        <w:rPr>
          <w:rFonts w:eastAsiaTheme="minorHAnsi" w:cs="Times New Roman"/>
          <w:lang w:val="fr-CA"/>
        </w:rPr>
        <w:t xml:space="preserve"> </w:t>
      </w:r>
    </w:p>
    <w:p w:rsidR="00C208DD" w:rsidRPr="004F117F" w:rsidRDefault="00C208DD" w:rsidP="00637E44">
      <w:pPr>
        <w:pStyle w:val="Title3LevelTitre3Niveau"/>
        <w:widowControl w:val="0"/>
        <w:numPr>
          <w:ilvl w:val="2"/>
          <w:numId w:val="8"/>
        </w:numPr>
        <w:rPr>
          <w:rFonts w:cs="Times New Roman"/>
          <w:b/>
          <w:lang w:val="fr-CA"/>
        </w:rPr>
      </w:pPr>
      <w:r w:rsidRPr="004F117F">
        <w:rPr>
          <w:rFonts w:cs="Times New Roman"/>
          <w:lang w:val="fr-CA"/>
        </w:rPr>
        <w:lastRenderedPageBreak/>
        <w:t xml:space="preserve">La conclusion sur les facteurs de l’arrêt </w:t>
      </w:r>
      <w:r w:rsidRPr="004F117F">
        <w:rPr>
          <w:rFonts w:cs="Times New Roman"/>
          <w:i/>
          <w:lang w:val="fr-CA"/>
        </w:rPr>
        <w:t>Law</w:t>
      </w:r>
      <w:r w:rsidRPr="004F117F">
        <w:rPr>
          <w:rFonts w:cs="Times New Roman"/>
          <w:lang w:val="fr-CA"/>
        </w:rPr>
        <w:t xml:space="preserve"> </w:t>
      </w:r>
    </w:p>
    <w:p w:rsidR="00C208DD" w:rsidRPr="004F117F" w:rsidRDefault="00C208DD" w:rsidP="00637E44">
      <w:pPr>
        <w:pStyle w:val="ParaNoNdepar-AltN"/>
        <w:widowControl w:val="0"/>
        <w:rPr>
          <w:rFonts w:cs="Times New Roman"/>
          <w:lang w:val="fr-CA"/>
        </w:rPr>
      </w:pPr>
      <w:bookmarkStart w:id="12" w:name="_Toc498415516"/>
      <w:r w:rsidRPr="004F117F">
        <w:rPr>
          <w:rFonts w:cs="Times New Roman"/>
          <w:lang w:val="fr-CA"/>
        </w:rPr>
        <w:t xml:space="preserve">En définitive, il est bien établi que c’est la conduite discriminatoire que cherche à prévenir l’art. 15, non pas l’attitude ou le mobile à l’origine de cette conduite. Dans la présente affaire, les actes de l’État n’ont pas pour effet d’élargir — au lieu de le rétrécir — l’écart entre le groupe historiquement défavorisé et le reste de la société : </w:t>
      </w:r>
      <w:r w:rsidRPr="004F117F">
        <w:rPr>
          <w:rFonts w:eastAsia="Times New Roman" w:cs="Times New Roman"/>
          <w:i/>
          <w:szCs w:val="24"/>
          <w:lang w:val="fr-CA"/>
        </w:rPr>
        <w:t>Québec c. A</w:t>
      </w:r>
      <w:r w:rsidRPr="004F117F">
        <w:rPr>
          <w:rFonts w:eastAsia="Times New Roman" w:cs="Times New Roman"/>
          <w:szCs w:val="24"/>
          <w:lang w:val="fr-CA"/>
        </w:rPr>
        <w:t xml:space="preserve">, </w:t>
      </w:r>
      <w:r w:rsidRPr="004F117F">
        <w:rPr>
          <w:rFonts w:cs="Times New Roman"/>
          <w:lang w:val="fr-CA"/>
        </w:rPr>
        <w:t>par. 332</w:t>
      </w:r>
      <w:bookmarkEnd w:id="12"/>
      <w:r w:rsidRPr="004F117F">
        <w:rPr>
          <w:rFonts w:cs="Times New Roman"/>
          <w:lang w:val="fr-CA"/>
        </w:rPr>
        <w:t xml:space="preserve">. </w:t>
      </w:r>
      <w:bookmarkStart w:id="13" w:name="_Toc498415517"/>
      <w:r w:rsidRPr="004F117F">
        <w:rPr>
          <w:rFonts w:cs="Times New Roman"/>
          <w:lang w:val="fr-CA"/>
        </w:rPr>
        <w:t xml:space="preserve">L’effet discriminatoire de la mesure sur le groupe n’a pas été établi : </w:t>
      </w:r>
      <w:r w:rsidRPr="004F117F">
        <w:rPr>
          <w:rFonts w:eastAsia="Times New Roman" w:cs="Times New Roman"/>
          <w:i/>
          <w:szCs w:val="24"/>
          <w:lang w:val="fr-CA"/>
        </w:rPr>
        <w:t>Québec c. A</w:t>
      </w:r>
      <w:r w:rsidRPr="004F117F">
        <w:rPr>
          <w:rFonts w:eastAsia="Times New Roman" w:cs="Times New Roman"/>
          <w:szCs w:val="24"/>
          <w:lang w:val="fr-CA"/>
        </w:rPr>
        <w:t xml:space="preserve">, </w:t>
      </w:r>
      <w:r w:rsidRPr="004F117F">
        <w:rPr>
          <w:rFonts w:cs="Times New Roman"/>
          <w:lang w:val="fr-CA"/>
        </w:rPr>
        <w:t xml:space="preserve">par. 329-331; </w:t>
      </w:r>
      <w:r w:rsidRPr="004F117F">
        <w:rPr>
          <w:rFonts w:cs="Times New Roman"/>
          <w:i/>
          <w:lang w:val="fr-FR"/>
        </w:rPr>
        <w:t>Withler</w:t>
      </w:r>
      <w:r w:rsidRPr="004F117F">
        <w:rPr>
          <w:rFonts w:cs="Times New Roman"/>
          <w:lang w:val="fr-FR"/>
        </w:rPr>
        <w:t xml:space="preserve">, </w:t>
      </w:r>
      <w:r w:rsidRPr="004F117F">
        <w:rPr>
          <w:rFonts w:cs="Times New Roman"/>
          <w:lang w:val="fr-CA"/>
        </w:rPr>
        <w:t>par. 66</w:t>
      </w:r>
      <w:bookmarkEnd w:id="13"/>
      <w:r w:rsidRPr="004F117F">
        <w:rPr>
          <w:rFonts w:cs="Times New Roman"/>
          <w:lang w:val="fr-CA"/>
        </w:rPr>
        <w:t xml:space="preserve">. </w:t>
      </w:r>
    </w:p>
    <w:p w:rsidR="00C208DD" w:rsidRPr="004F117F" w:rsidRDefault="00C208DD" w:rsidP="00637E44">
      <w:pPr>
        <w:pStyle w:val="Title2LevelTitre2Niveau"/>
        <w:widowControl w:val="0"/>
        <w:numPr>
          <w:ilvl w:val="1"/>
          <w:numId w:val="8"/>
        </w:numPr>
        <w:rPr>
          <w:rFonts w:cs="Times New Roman"/>
          <w:lang w:val="fr-CA"/>
        </w:rPr>
      </w:pPr>
      <w:r w:rsidRPr="004F117F">
        <w:rPr>
          <w:rFonts w:cs="Times New Roman"/>
        </w:rPr>
        <w:t>Application du par. 15(2)</w:t>
      </w:r>
    </w:p>
    <w:p w:rsidR="00C208DD" w:rsidRPr="004F117F" w:rsidRDefault="00C208DD" w:rsidP="00637E44">
      <w:pPr>
        <w:pStyle w:val="ParaNoNdepar-AltN"/>
        <w:widowControl w:val="0"/>
        <w:rPr>
          <w:rFonts w:cs="Times New Roman"/>
          <w:lang w:val="fr-CA"/>
        </w:rPr>
      </w:pPr>
      <w:r w:rsidRPr="004F117F">
        <w:rPr>
          <w:rFonts w:cs="Times New Roman"/>
          <w:lang w:val="fr-CA"/>
        </w:rPr>
        <w:t>De façon subsidiaire, même s’il fallait conclure que le mécanisme spécifique prévu dans les modifications législatives peut être qualifié de discriminatoire, l’ensemble de la Loi devrait être protégé par application du par. 15(2).</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D’après les enseignements de l’arrêt </w:t>
      </w:r>
      <w:r w:rsidRPr="004F117F">
        <w:rPr>
          <w:rFonts w:cs="Times New Roman"/>
          <w:i/>
          <w:lang w:val="fr-CA"/>
        </w:rPr>
        <w:t>Cunningham</w:t>
      </w:r>
      <w:r w:rsidRPr="004F117F">
        <w:rPr>
          <w:rFonts w:cs="Times New Roman"/>
          <w:lang w:val="fr-CA"/>
        </w:rPr>
        <w:t>, il faut déterminer si l’</w:t>
      </w:r>
      <w:r w:rsidRPr="004F117F">
        <w:rPr>
          <w:rFonts w:cs="Times New Roman"/>
          <w:i/>
          <w:lang w:val="fr-CA"/>
        </w:rPr>
        <w:t>objet véritable</w:t>
      </w:r>
      <w:r w:rsidRPr="004F117F">
        <w:rPr>
          <w:rFonts w:cs="Times New Roman"/>
          <w:lang w:val="fr-CA"/>
        </w:rPr>
        <w:t xml:space="preserve"> de la loi est améliorateur :</w:t>
      </w:r>
    </w:p>
    <w:p w:rsidR="00C208DD" w:rsidRPr="004F117F" w:rsidRDefault="00C208DD" w:rsidP="00637E44">
      <w:pPr>
        <w:pStyle w:val="Citation-AltC"/>
        <w:widowControl w:val="0"/>
        <w:ind w:firstLine="274"/>
        <w:rPr>
          <w:lang w:val="fr-CA"/>
        </w:rPr>
      </w:pPr>
      <w:r w:rsidRPr="004F117F">
        <w:rPr>
          <w:lang w:val="fr-CA"/>
        </w:rPr>
        <w:t xml:space="preserve">Pour être véritablement améliorateur, un programme doit être destiné à améliorer la situation d’un groupe ayant besoin d’aide : </w:t>
      </w:r>
      <w:r w:rsidRPr="004F117F">
        <w:rPr>
          <w:i/>
          <w:iCs/>
          <w:lang w:val="fr-CA"/>
        </w:rPr>
        <w:t>Kapp</w:t>
      </w:r>
      <w:r w:rsidRPr="004F117F">
        <w:rPr>
          <w:lang w:val="fr-CA"/>
        </w:rPr>
        <w:t xml:space="preserve">, par. 41. Il doit y avoir une corrélation entre le programme et le désavantage dont est victime le groupe cible : </w:t>
      </w:r>
      <w:r w:rsidRPr="004F117F">
        <w:rPr>
          <w:i/>
          <w:iCs/>
          <w:lang w:val="fr-CA"/>
        </w:rPr>
        <w:t>Kapp</w:t>
      </w:r>
      <w:r w:rsidRPr="004F117F">
        <w:rPr>
          <w:lang w:val="fr-CA"/>
        </w:rPr>
        <w:t>,</w:t>
      </w:r>
      <w:r w:rsidRPr="004F117F">
        <w:rPr>
          <w:iCs/>
          <w:lang w:val="fr-CA"/>
        </w:rPr>
        <w:t xml:space="preserve"> </w:t>
      </w:r>
      <w:r w:rsidRPr="004F117F">
        <w:rPr>
          <w:lang w:val="fr-CA"/>
        </w:rPr>
        <w:t xml:space="preserve">par. 49. Il faut que le programme vise à promouvoir l’égalité réelle du groupe : </w:t>
      </w:r>
      <w:r w:rsidRPr="004F117F">
        <w:rPr>
          <w:i/>
          <w:iCs/>
          <w:lang w:val="fr-CA"/>
        </w:rPr>
        <w:t>Kapp</w:t>
      </w:r>
      <w:r w:rsidRPr="004F117F">
        <w:rPr>
          <w:lang w:val="fr-CA"/>
        </w:rPr>
        <w:t>, par. 16. Pour déterminer si ces conditions sont remplies, il faut d’abord examiner l’objet du programme et ensuite se demander s’il est en corrélation avec le désavantage dont est réellement victime le groupe cible. [par. 59]</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De plus, </w:t>
      </w:r>
      <w:r w:rsidRPr="004F117F">
        <w:rPr>
          <w:rFonts w:cs="Times New Roman"/>
          <w:lang w:val="fr-FR"/>
        </w:rPr>
        <w:t xml:space="preserve">la distinction qui tend à la réalisation de l’objet améliorateur ou </w:t>
      </w:r>
      <w:r w:rsidRPr="004F117F">
        <w:rPr>
          <w:rFonts w:cs="Times New Roman"/>
          <w:lang w:val="fr-FR"/>
        </w:rPr>
        <w:lastRenderedPageBreak/>
        <w:t xml:space="preserve">qui y contribue a pour conséquence de favoriser l’atteinte de l’objet de l’art. 15 de la </w:t>
      </w:r>
      <w:r w:rsidRPr="004F117F">
        <w:rPr>
          <w:rFonts w:cs="Times New Roman"/>
          <w:i/>
          <w:lang w:val="fr-FR"/>
        </w:rPr>
        <w:t>Charte</w:t>
      </w:r>
      <w:r w:rsidRPr="004F117F">
        <w:rPr>
          <w:rFonts w:cs="Times New Roman"/>
          <w:lang w:val="fr-FR"/>
        </w:rPr>
        <w:t xml:space="preserve"> à savoir la promotion de l’égalité réelle : </w:t>
      </w:r>
      <w:r w:rsidRPr="004F117F">
        <w:rPr>
          <w:rFonts w:cs="Times New Roman"/>
          <w:i/>
          <w:lang w:val="fr-CA"/>
        </w:rPr>
        <w:t>Cunningham</w:t>
      </w:r>
      <w:r w:rsidRPr="004F117F">
        <w:rPr>
          <w:rFonts w:cs="Times New Roman"/>
          <w:lang w:val="fr-CA"/>
        </w:rPr>
        <w:t>,</w:t>
      </w:r>
      <w:r w:rsidRPr="004F117F">
        <w:rPr>
          <w:rFonts w:cs="Times New Roman"/>
          <w:i/>
          <w:lang w:val="fr-CA"/>
        </w:rPr>
        <w:t xml:space="preserve"> </w:t>
      </w:r>
      <w:r w:rsidRPr="004F117F">
        <w:rPr>
          <w:rFonts w:cs="Times New Roman"/>
          <w:lang w:val="fr-CA"/>
        </w:rPr>
        <w:t>par. 45.</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Dans l’arrêt </w:t>
      </w:r>
      <w:r w:rsidRPr="004F117F">
        <w:rPr>
          <w:rFonts w:cs="Times New Roman"/>
          <w:i/>
          <w:lang w:val="fr-CA"/>
        </w:rPr>
        <w:t>Kapp</w:t>
      </w:r>
      <w:r w:rsidRPr="004F117F">
        <w:rPr>
          <w:rFonts w:cs="Times New Roman"/>
          <w:lang w:val="fr-CA"/>
        </w:rPr>
        <w:t>, il est fait référence à l’utilité du par. 15(2) pour mettre en place des mesures visant à combattre la discrimination systémique. L’Assemblée nationale du Québec ayant répondu à l’appel, la Loi devrait être protégée dans son ensemble :</w:t>
      </w:r>
    </w:p>
    <w:p w:rsidR="00C208DD" w:rsidRPr="004F117F" w:rsidRDefault="00C208DD" w:rsidP="00637E44">
      <w:pPr>
        <w:pStyle w:val="Citation-AltC"/>
        <w:widowControl w:val="0"/>
        <w:ind w:firstLine="274"/>
        <w:rPr>
          <w:lang w:val="fr-FR"/>
        </w:rPr>
      </w:pPr>
      <w:r w:rsidRPr="004F117F">
        <w:rPr>
          <w:lang w:val="fr-FR"/>
        </w:rPr>
        <w:t xml:space="preserve">Le rapport de la Commission royale sur l’égalité en matière d’emploi — qui avait pour mandat de déterminer si la promotion sociale était indiquée au Canada —, sur lequel le juge McIntyre s’est fondé pour établir ses théories de la discrimination et de l’égalité, énonce les principes qui sous-tendent le par. 15(2), aux p. 14-15 : </w:t>
      </w:r>
    </w:p>
    <w:p w:rsidR="00C208DD" w:rsidRPr="004F117F" w:rsidRDefault="00C208DD" w:rsidP="00637E44">
      <w:pPr>
        <w:pStyle w:val="Citation-AltC"/>
        <w:widowControl w:val="0"/>
        <w:rPr>
          <w:lang w:val="fr-FR"/>
        </w:rPr>
      </w:pPr>
    </w:p>
    <w:p w:rsidR="00C208DD" w:rsidRPr="004F117F" w:rsidRDefault="00C208DD" w:rsidP="00637E44">
      <w:pPr>
        <w:pStyle w:val="Citation-AltC"/>
        <w:widowControl w:val="0"/>
        <w:ind w:left="1440" w:firstLine="360"/>
        <w:rPr>
          <w:lang w:val="fr-FR"/>
        </w:rPr>
      </w:pPr>
      <w:r w:rsidRPr="004F117F">
        <w:rPr>
          <w:lang w:val="fr-FR"/>
        </w:rPr>
        <w:t xml:space="preserve">En tenant compte du chemin que beaucoup doivent encore parcourir avant de parvenir à l’égalité, et en reconnaissant que des obstacles arbitraires n’ont fait, jusqu’ici, que reculer davantage l’objectif à atteindre, le paragraphe 15(2) autorise maintenant les lois, programmes ou activités destinés à éliminer les contraintes à l’égalité. </w:t>
      </w:r>
      <w:r w:rsidRPr="004F117F">
        <w:rPr>
          <w:u w:val="single"/>
          <w:lang w:val="fr-FR"/>
        </w:rPr>
        <w:t>Tandis que le paragraphe 15(1) garantit aux individus le droit d’être traités en égaux sans discrimination aucune, le paragraphe 15(2), bien qu’il ne rende pas obligatoire l’application de mesures, prévoit que le fait de tenter d’améliorer la condition des individus ou groupes défavorisés ne constitue ni une pratique discriminatoire ni une violation du droit à l’égalité garantie par le paragraphe 15(1), même si cela signifie les traiter de façon différente.</w:t>
      </w:r>
    </w:p>
    <w:p w:rsidR="00C208DD" w:rsidRPr="004F117F" w:rsidRDefault="00C208DD" w:rsidP="00637E44">
      <w:pPr>
        <w:pStyle w:val="Citation-AltC"/>
        <w:widowControl w:val="0"/>
        <w:rPr>
          <w:lang w:val="fr-FR"/>
        </w:rPr>
      </w:pPr>
    </w:p>
    <w:p w:rsidR="00C208DD" w:rsidRPr="004F117F" w:rsidRDefault="00C208DD" w:rsidP="00637E44">
      <w:pPr>
        <w:pStyle w:val="Citation-AltC"/>
        <w:widowControl w:val="0"/>
        <w:ind w:left="1440" w:firstLine="360"/>
        <w:rPr>
          <w:lang w:val="fr-FR"/>
        </w:rPr>
      </w:pPr>
      <w:r w:rsidRPr="004F117F">
        <w:rPr>
          <w:u w:val="single"/>
          <w:lang w:val="fr-FR"/>
        </w:rPr>
        <w:t>Le paragraphe 15(2) ouvre la voie en permettant l’application de mesures correctives à un groupe.</w:t>
      </w:r>
      <w:r w:rsidR="001E6BCF">
        <w:rPr>
          <w:lang w:val="fr-FR"/>
        </w:rPr>
        <w:t xml:space="preserve"> </w:t>
      </w:r>
      <w:r w:rsidRPr="004F117F">
        <w:rPr>
          <w:lang w:val="fr-FR"/>
        </w:rPr>
        <w:t>L’article 15 favorise une approche globale ou systémique plutôt qu’individuelle en vue d’éliminer les obstacles discriminatoires.</w:t>
      </w:r>
    </w:p>
    <w:p w:rsidR="00C208DD" w:rsidRPr="004F117F" w:rsidRDefault="00C208DD" w:rsidP="00637E44">
      <w:pPr>
        <w:pStyle w:val="Citation-AltC"/>
        <w:widowControl w:val="0"/>
        <w:rPr>
          <w:lang w:val="fr-FR"/>
        </w:rPr>
      </w:pPr>
    </w:p>
    <w:p w:rsidR="00C208DD" w:rsidRPr="004F117F" w:rsidRDefault="00C208DD" w:rsidP="00637E44">
      <w:pPr>
        <w:pStyle w:val="Citation-AltC"/>
        <w:widowControl w:val="0"/>
        <w:ind w:left="1440" w:firstLine="274"/>
        <w:rPr>
          <w:lang w:val="fr-FR"/>
        </w:rPr>
      </w:pPr>
      <w:r w:rsidRPr="004F117F">
        <w:rPr>
          <w:u w:val="single"/>
          <w:lang w:val="fr-FR"/>
        </w:rPr>
        <w:t>Le paragraphe 15(2) n’exige pas l’adoption de lois ou la création de programmes et d’activités pour parvenir plus vite à l’égalité, corriger les inégalités ou éliminer la discrimination.</w:t>
      </w:r>
      <w:r w:rsidRPr="00FA6B6F">
        <w:rPr>
          <w:u w:val="single"/>
          <w:lang w:val="fr-FR"/>
        </w:rPr>
        <w:t xml:space="preserve"> </w:t>
      </w:r>
      <w:r w:rsidRPr="004F117F">
        <w:rPr>
          <w:u w:val="single"/>
          <w:lang w:val="fr-FR"/>
        </w:rPr>
        <w:t>Mais il sanctionne de telles mesures, leur accordant une reconnaissance légale.</w:t>
      </w:r>
    </w:p>
    <w:p w:rsidR="00C208DD" w:rsidRPr="004F117F" w:rsidRDefault="00C208DD" w:rsidP="00637E44">
      <w:pPr>
        <w:pStyle w:val="Citation-AltC"/>
        <w:widowControl w:val="0"/>
        <w:rPr>
          <w:lang w:val="fr-FR"/>
        </w:rPr>
      </w:pPr>
    </w:p>
    <w:p w:rsidR="00C208DD" w:rsidRPr="004F117F" w:rsidRDefault="00C208DD" w:rsidP="00637E44">
      <w:pPr>
        <w:pStyle w:val="Citation-AltC"/>
        <w:widowControl w:val="0"/>
        <w:ind w:left="0"/>
        <w:rPr>
          <w:lang w:val="fr-FR"/>
        </w:rPr>
      </w:pPr>
      <w:r w:rsidRPr="004F117F">
        <w:rPr>
          <w:lang w:val="fr-FR"/>
        </w:rPr>
        <w:t>(</w:t>
      </w:r>
      <w:r w:rsidRPr="004F117F">
        <w:rPr>
          <w:i/>
          <w:lang w:val="fr-FR"/>
        </w:rPr>
        <w:t>Kapp</w:t>
      </w:r>
      <w:r w:rsidRPr="004F117F">
        <w:rPr>
          <w:lang w:val="fr-FR"/>
        </w:rPr>
        <w:t xml:space="preserve">, par. 32 (nous soulignons), citant le </w:t>
      </w:r>
      <w:r w:rsidRPr="004F117F">
        <w:rPr>
          <w:i/>
          <w:lang w:val="fr-FR"/>
        </w:rPr>
        <w:t xml:space="preserve">Rapport de la Commission sur l’égalité en </w:t>
      </w:r>
      <w:r w:rsidRPr="004F117F">
        <w:rPr>
          <w:i/>
          <w:lang w:val="fr-FR"/>
        </w:rPr>
        <w:lastRenderedPageBreak/>
        <w:t>matière d’emploi</w:t>
      </w:r>
      <w:r w:rsidR="00FA6B6F">
        <w:rPr>
          <w:lang w:val="fr-FR"/>
        </w:rPr>
        <w:t>, p. 14-15.)</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Il ne fait pas de doute que la Loi a pour objet véritable la promotion et l’atteinte de l’égalité réelle. La corrélation entre cet objectif et le mécanisme choisi est évidente, même s’il n’est pas </w:t>
      </w:r>
      <w:r w:rsidRPr="004F117F">
        <w:rPr>
          <w:rFonts w:cs="Times New Roman"/>
          <w:i/>
          <w:lang w:val="fr-CA"/>
        </w:rPr>
        <w:t>parfait</w:t>
      </w:r>
      <w:r w:rsidRPr="004F117F">
        <w:rPr>
          <w:rFonts w:cs="Times New Roman"/>
          <w:lang w:val="fr-CA"/>
        </w:rPr>
        <w:t>. Le pourvoi devrait également échouer à ce stade de l’analyse.</w:t>
      </w:r>
    </w:p>
    <w:p w:rsidR="00C208DD" w:rsidRPr="004F117F" w:rsidRDefault="00C208DD" w:rsidP="00637E44">
      <w:pPr>
        <w:pStyle w:val="Title1LevelTitre1Niveau-AltL"/>
        <w:widowControl w:val="0"/>
        <w:numPr>
          <w:ilvl w:val="0"/>
          <w:numId w:val="13"/>
        </w:numPr>
        <w:tabs>
          <w:tab w:val="clear" w:pos="1386"/>
          <w:tab w:val="num" w:pos="576"/>
        </w:tabs>
        <w:ind w:left="576"/>
        <w:rPr>
          <w:rFonts w:cs="Times New Roman"/>
          <w:lang w:val="fr-CA"/>
        </w:rPr>
      </w:pPr>
      <w:bookmarkStart w:id="14" w:name="_Toc498415518"/>
      <w:r w:rsidRPr="004F117F">
        <w:rPr>
          <w:rFonts w:cs="Times New Roman"/>
          <w:lang w:val="fr-CA"/>
        </w:rPr>
        <w:t>Conclusion</w:t>
      </w:r>
      <w:bookmarkEnd w:id="14"/>
    </w:p>
    <w:p w:rsidR="00C208DD" w:rsidRPr="004F117F" w:rsidRDefault="00C208DD" w:rsidP="00637E44">
      <w:pPr>
        <w:pStyle w:val="ParaNoNdepar-AltN"/>
        <w:widowControl w:val="0"/>
        <w:rPr>
          <w:rFonts w:cs="Times New Roman"/>
          <w:lang w:val="fr-CA"/>
        </w:rPr>
      </w:pPr>
      <w:r w:rsidRPr="004F117F">
        <w:rPr>
          <w:rFonts w:cs="Times New Roman"/>
          <w:lang w:val="fr-CA"/>
        </w:rPr>
        <w:t xml:space="preserve">En somme, il demeure qu’il n’est pas loisible au Parlement et aux législatures provinciales d’adopter une loi dont les dispositions imposent à un groupe défavorisé un traitement moins favorable : </w:t>
      </w:r>
      <w:r w:rsidRPr="004F117F">
        <w:rPr>
          <w:rFonts w:cs="Times New Roman"/>
          <w:i/>
          <w:lang w:val="fr-CA"/>
        </w:rPr>
        <w:t>Auton</w:t>
      </w:r>
      <w:r w:rsidRPr="004F117F">
        <w:rPr>
          <w:rFonts w:cs="Times New Roman"/>
          <w:lang w:val="fr-CA"/>
        </w:rPr>
        <w:t xml:space="preserve">, par. 41, citant </w:t>
      </w:r>
      <w:r w:rsidRPr="004F117F">
        <w:rPr>
          <w:rFonts w:cs="Times New Roman"/>
          <w:i/>
          <w:lang w:val="fr-CA"/>
        </w:rPr>
        <w:t>Corbiere c. Canada (Ministre des Affaires indiennes et du Nord canadien)</w:t>
      </w:r>
      <w:r w:rsidRPr="004F117F">
        <w:rPr>
          <w:rFonts w:cs="Times New Roman"/>
          <w:lang w:val="fr-CA"/>
        </w:rPr>
        <w:t xml:space="preserve">, [1999] 2 R.C.S. 203. Par contre, lorsque la mesure législative offre un net avantage en comparaison avec la situation qui existerait sans son adoption, il est loisible au législateur d’adopter le mécanisme de son choix : </w:t>
      </w:r>
      <w:r w:rsidRPr="004F117F">
        <w:rPr>
          <w:rFonts w:cs="Times New Roman"/>
          <w:i/>
          <w:lang w:val="fr-CA"/>
        </w:rPr>
        <w:t>Auton</w:t>
      </w:r>
      <w:r w:rsidRPr="004F117F">
        <w:rPr>
          <w:rFonts w:cs="Times New Roman"/>
          <w:lang w:val="fr-CA"/>
        </w:rPr>
        <w:t xml:space="preserve">, par. 41, citant </w:t>
      </w:r>
      <w:r w:rsidRPr="004F117F">
        <w:rPr>
          <w:rFonts w:cs="Times New Roman"/>
          <w:i/>
          <w:lang w:val="fr-CA"/>
        </w:rPr>
        <w:t>Granovsky c. Canada (Ministre de l’Emploi et de l’Immigration)</w:t>
      </w:r>
      <w:r w:rsidRPr="004F117F">
        <w:rPr>
          <w:rFonts w:cs="Times New Roman"/>
          <w:lang w:val="fr-CA"/>
        </w:rPr>
        <w:t xml:space="preserve">, 2000 CSC 28, [2000] 1 R.C.S. 703, par. 61; </w:t>
      </w:r>
      <w:r w:rsidRPr="004F117F">
        <w:rPr>
          <w:rFonts w:cs="Times New Roman"/>
          <w:i/>
          <w:lang w:val="fr-CA"/>
        </w:rPr>
        <w:t>Nouvelle-Écosse (Procureur général) c. Walsh</w:t>
      </w:r>
      <w:r w:rsidRPr="004F117F">
        <w:rPr>
          <w:rFonts w:cs="Times New Roman"/>
          <w:lang w:val="fr-CA"/>
        </w:rPr>
        <w:t xml:space="preserve">, 2002 CSC 83, [2002] 4 R.C.S. 325, par. 55; </w:t>
      </w:r>
      <w:r w:rsidRPr="004F117F">
        <w:rPr>
          <w:rFonts w:cs="Times New Roman"/>
          <w:i/>
          <w:lang w:val="fr-CA"/>
        </w:rPr>
        <w:t>Hodge</w:t>
      </w:r>
      <w:r w:rsidRPr="004F117F">
        <w:rPr>
          <w:rFonts w:cs="Times New Roman"/>
          <w:lang w:val="fr-CA"/>
        </w:rPr>
        <w:t>,</w:t>
      </w:r>
      <w:r w:rsidRPr="004F117F">
        <w:rPr>
          <w:rFonts w:cs="Times New Roman"/>
          <w:i/>
          <w:lang w:val="fr-CA"/>
        </w:rPr>
        <w:t xml:space="preserve"> </w:t>
      </w:r>
      <w:r w:rsidRPr="004F117F">
        <w:rPr>
          <w:rFonts w:cs="Times New Roman"/>
          <w:lang w:val="fr-CA"/>
        </w:rPr>
        <w:t xml:space="preserve">par. 16. </w:t>
      </w:r>
    </w:p>
    <w:p w:rsidR="00C208DD" w:rsidRPr="004F117F" w:rsidRDefault="00C208DD" w:rsidP="00637E44">
      <w:pPr>
        <w:pStyle w:val="ParaNoNdepar-AltN"/>
        <w:widowControl w:val="0"/>
        <w:rPr>
          <w:rFonts w:cs="Times New Roman"/>
          <w:lang w:val="fr-CA"/>
        </w:rPr>
      </w:pPr>
      <w:r w:rsidRPr="004F117F">
        <w:rPr>
          <w:rFonts w:cs="Times New Roman"/>
          <w:lang w:val="fr-CA"/>
        </w:rPr>
        <w:t xml:space="preserve">Indubitablement, les intimés auraient dû utiliser les avenues démocratiques à leur disposition pour s’objecter aux modifications adoptées et obtenir les modifications souhaitées plutôt que de demander à notre Cour de substituer ses préférences aux politiques adoptées démocratiquement puisque les articles en cause </w:t>
      </w:r>
      <w:r w:rsidRPr="004F117F">
        <w:rPr>
          <w:rFonts w:cs="Times New Roman"/>
          <w:lang w:val="fr-CA"/>
        </w:rPr>
        <w:lastRenderedPageBreak/>
        <w:t>n’enfreignent pas la Constitution.</w:t>
      </w:r>
    </w:p>
    <w:p w:rsidR="00C208DD" w:rsidRPr="004F117F" w:rsidRDefault="00C208DD" w:rsidP="00637E44">
      <w:pPr>
        <w:pStyle w:val="ParaNoNdepar-AltN"/>
        <w:widowControl w:val="0"/>
        <w:rPr>
          <w:rFonts w:cs="Times New Roman"/>
          <w:lang w:val="fr-CA"/>
        </w:rPr>
      </w:pPr>
      <w:r w:rsidRPr="004F117F">
        <w:rPr>
          <w:rFonts w:cs="Times New Roman"/>
          <w:lang w:val="fr-CA"/>
        </w:rPr>
        <w:t>Nous sommes donc d’avis d’accueillir le pourvoi et de rejeter l’appel incident.</w:t>
      </w:r>
    </w:p>
    <w:p w:rsidR="004D7D95" w:rsidRPr="004F117F" w:rsidRDefault="004D7D95" w:rsidP="00637E44">
      <w:pPr>
        <w:pStyle w:val="SCCNormalDoubleSpacing"/>
        <w:widowControl w:val="0"/>
        <w:spacing w:before="480" w:after="480"/>
        <w:rPr>
          <w:i/>
          <w:lang w:val="fr-CA"/>
        </w:rPr>
      </w:pPr>
      <w:r w:rsidRPr="004F117F">
        <w:rPr>
          <w:lang w:val="fr-CA"/>
        </w:rPr>
        <w:tab/>
      </w:r>
      <w:r w:rsidR="002E6F1D" w:rsidRPr="004F117F">
        <w:rPr>
          <w:i/>
          <w:lang w:val="fr-CA"/>
        </w:rPr>
        <w:t>Pourvoi</w:t>
      </w:r>
      <w:r w:rsidR="006527A5" w:rsidRPr="004F117F">
        <w:rPr>
          <w:i/>
          <w:lang w:val="fr-CA"/>
        </w:rPr>
        <w:t xml:space="preserve"> </w:t>
      </w:r>
      <w:r w:rsidR="00155506" w:rsidRPr="004F117F">
        <w:rPr>
          <w:i/>
          <w:lang w:val="fr-CA"/>
        </w:rPr>
        <w:t xml:space="preserve">principal </w:t>
      </w:r>
      <w:r w:rsidR="006527A5" w:rsidRPr="004F117F">
        <w:rPr>
          <w:i/>
          <w:lang w:val="fr-CA"/>
        </w:rPr>
        <w:t>rejeté</w:t>
      </w:r>
      <w:r w:rsidR="00424CEF" w:rsidRPr="004F117F">
        <w:rPr>
          <w:i/>
          <w:lang w:val="fr-CA"/>
        </w:rPr>
        <w:t xml:space="preserve"> avec dépens, les juges </w:t>
      </w:r>
      <w:r w:rsidR="00424CEF" w:rsidRPr="004F117F">
        <w:rPr>
          <w:smallCaps/>
          <w:lang w:val="fr-CA"/>
        </w:rPr>
        <w:t>Côté</w:t>
      </w:r>
      <w:r w:rsidR="00424CEF" w:rsidRPr="00FA6B6F">
        <w:rPr>
          <w:i/>
          <w:lang w:val="fr-CA"/>
        </w:rPr>
        <w:t xml:space="preserve">, </w:t>
      </w:r>
      <w:r w:rsidR="00424CEF" w:rsidRPr="004F117F">
        <w:rPr>
          <w:smallCaps/>
          <w:lang w:val="fr-CA"/>
        </w:rPr>
        <w:t>Brown</w:t>
      </w:r>
      <w:r w:rsidR="00424CEF" w:rsidRPr="004F117F">
        <w:rPr>
          <w:i/>
          <w:lang w:val="fr-CA"/>
        </w:rPr>
        <w:t xml:space="preserve"> et </w:t>
      </w:r>
      <w:r w:rsidR="00424CEF" w:rsidRPr="004F117F">
        <w:rPr>
          <w:smallCaps/>
          <w:lang w:val="fr-CA"/>
        </w:rPr>
        <w:t xml:space="preserve">Rowe </w:t>
      </w:r>
      <w:r w:rsidR="00424CEF" w:rsidRPr="004F117F">
        <w:rPr>
          <w:i/>
          <w:lang w:val="fr-CA"/>
        </w:rPr>
        <w:t>sont dissidents</w:t>
      </w:r>
      <w:r w:rsidR="00155506" w:rsidRPr="004F117F">
        <w:rPr>
          <w:i/>
          <w:lang w:val="fr-CA"/>
        </w:rPr>
        <w:t>. Pourvoi incident rejeté avec dépens.</w:t>
      </w:r>
    </w:p>
    <w:p w:rsidR="004A25E3" w:rsidRPr="004F117F" w:rsidRDefault="007110FF" w:rsidP="00637E44">
      <w:pPr>
        <w:pStyle w:val="SCCLawFirm"/>
        <w:widowControl w:val="0"/>
        <w:spacing w:before="480" w:after="480"/>
        <w:rPr>
          <w:lang w:val="fr-CA"/>
        </w:rPr>
      </w:pPr>
      <w:r w:rsidRPr="004F117F">
        <w:rPr>
          <w:lang w:val="fr-CA"/>
        </w:rPr>
        <w:tab/>
        <w:t>Procureurs de l</w:t>
      </w:r>
      <w:r w:rsidR="000C1609" w:rsidRPr="004F117F">
        <w:rPr>
          <w:lang w:val="fr-CA"/>
        </w:rPr>
        <w:t>’</w:t>
      </w:r>
      <w:r w:rsidRPr="004F117F">
        <w:rPr>
          <w:lang w:val="fr-CA"/>
        </w:rPr>
        <w:t>appelante/intimée au pourvoi incident</w:t>
      </w:r>
      <w:r w:rsidR="00BB7CB6" w:rsidRPr="004F117F">
        <w:rPr>
          <w:lang w:val="fr-CA"/>
        </w:rPr>
        <w:t> : </w:t>
      </w:r>
      <w:r w:rsidRPr="004F117F">
        <w:rPr>
          <w:lang w:val="fr-CA"/>
        </w:rPr>
        <w:t>Fasken Martineau DuMoulin, Montréal.</w:t>
      </w:r>
    </w:p>
    <w:p w:rsidR="00452E06" w:rsidRPr="004F117F" w:rsidRDefault="007110FF" w:rsidP="00637E44">
      <w:pPr>
        <w:pStyle w:val="SCCLawFirm"/>
        <w:widowControl w:val="0"/>
        <w:spacing w:before="480" w:after="480"/>
        <w:rPr>
          <w:lang w:val="fr-CA"/>
        </w:rPr>
      </w:pPr>
      <w:r w:rsidRPr="004F117F">
        <w:rPr>
          <w:lang w:val="fr-CA"/>
        </w:rPr>
        <w:tab/>
        <w:t>Procureurs des intimés/appelants au pourvoi incident</w:t>
      </w:r>
      <w:r w:rsidR="00452E06" w:rsidRPr="004F117F">
        <w:rPr>
          <w:rStyle w:val="SCCCounselPartyRoleChar"/>
          <w:lang w:val="fr-CA"/>
        </w:rPr>
        <w:t xml:space="preserve"> l</w:t>
      </w:r>
      <w:r w:rsidR="000C1609" w:rsidRPr="004F117F">
        <w:rPr>
          <w:rStyle w:val="SCCCounselPartyRoleChar"/>
          <w:lang w:val="fr-CA"/>
        </w:rPr>
        <w:t>’</w:t>
      </w:r>
      <w:r w:rsidR="00452E06" w:rsidRPr="004F117F">
        <w:rPr>
          <w:rStyle w:val="SCCCounselPartyRoleChar"/>
          <w:lang w:val="fr-CA"/>
        </w:rPr>
        <w:t>Alliance du personnel professionnel et technique de la santé et des services sociaux, Catherine Lévesque et le Syndicat de la fonction publique et parapublique du Québec inc.</w:t>
      </w:r>
      <w:r w:rsidR="00BB7CB6" w:rsidRPr="004F117F">
        <w:rPr>
          <w:rStyle w:val="SCCCounselPartyRoleChar"/>
          <w:lang w:val="fr-CA"/>
        </w:rPr>
        <w:t> : </w:t>
      </w:r>
      <w:r w:rsidR="00452E06" w:rsidRPr="004F117F">
        <w:rPr>
          <w:lang w:val="fr-CA"/>
        </w:rPr>
        <w:t>Poudrier Bradet, Québec.</w:t>
      </w:r>
    </w:p>
    <w:p w:rsidR="00452E06" w:rsidRPr="004F117F" w:rsidRDefault="00452E06" w:rsidP="00637E44">
      <w:pPr>
        <w:pStyle w:val="SCCLawFirm"/>
        <w:widowControl w:val="0"/>
        <w:spacing w:before="480" w:after="480"/>
        <w:rPr>
          <w:lang w:val="fr-CA"/>
        </w:rPr>
      </w:pPr>
      <w:r w:rsidRPr="004F117F">
        <w:rPr>
          <w:lang w:val="fr-CA"/>
        </w:rPr>
        <w:tab/>
        <w:t xml:space="preserve">Procureurs des intimés/appelants au pourvoi incident </w:t>
      </w:r>
      <w:r w:rsidRPr="004F117F">
        <w:rPr>
          <w:rStyle w:val="SCCCounselPartyRoleChar"/>
          <w:lang w:val="fr-CA"/>
        </w:rPr>
        <w:t>la Fédération interprofessionnelle de la santé du Québec, Guy</w:t>
      </w:r>
      <w:r w:rsidR="00587D61" w:rsidRPr="004F117F">
        <w:rPr>
          <w:rStyle w:val="SCCCounselPartyRoleChar"/>
          <w:lang w:val="fr-CA"/>
        </w:rPr>
        <w:noBreakHyphen/>
      </w:r>
      <w:r w:rsidRPr="004F117F">
        <w:rPr>
          <w:rStyle w:val="SCCCounselPartyRoleChar"/>
          <w:lang w:val="fr-CA"/>
        </w:rPr>
        <w:t>Philippe Brideau et Nancy Bédard</w:t>
      </w:r>
      <w:r w:rsidR="00BB7CB6" w:rsidRPr="004F117F">
        <w:rPr>
          <w:rStyle w:val="SCCCounselPartyRoleChar"/>
          <w:lang w:val="fr-CA"/>
        </w:rPr>
        <w:t> : </w:t>
      </w:r>
      <w:r w:rsidR="007110FF" w:rsidRPr="004F117F">
        <w:rPr>
          <w:lang w:val="fr-CA"/>
        </w:rPr>
        <w:t>Melançon, Marce</w:t>
      </w:r>
      <w:r w:rsidRPr="004F117F">
        <w:rPr>
          <w:lang w:val="fr-CA"/>
        </w:rPr>
        <w:t>au, Grenier &amp; Sciortino, Québec.</w:t>
      </w:r>
    </w:p>
    <w:p w:rsidR="004A25E3" w:rsidRPr="004F117F" w:rsidRDefault="00452E06" w:rsidP="00637E44">
      <w:pPr>
        <w:pStyle w:val="SCCLawFirm"/>
        <w:widowControl w:val="0"/>
        <w:spacing w:before="480" w:after="480"/>
        <w:rPr>
          <w:lang w:val="fr-CA"/>
        </w:rPr>
      </w:pPr>
      <w:r w:rsidRPr="004F117F">
        <w:rPr>
          <w:lang w:val="fr-CA"/>
        </w:rPr>
        <w:tab/>
        <w:t>Procureurs des intimés/appelants au pourvoi incident </w:t>
      </w:r>
      <w:r w:rsidRPr="004F117F">
        <w:rPr>
          <w:rStyle w:val="SCCCounselPartyRoleChar"/>
          <w:lang w:val="fr-CA"/>
        </w:rPr>
        <w:t>le Syndicat des employé(e)s de l</w:t>
      </w:r>
      <w:r w:rsidR="000C1609" w:rsidRPr="004F117F">
        <w:rPr>
          <w:rStyle w:val="SCCCounselPartyRoleChar"/>
          <w:lang w:val="fr-CA"/>
        </w:rPr>
        <w:t>’</w:t>
      </w:r>
      <w:r w:rsidRPr="004F117F">
        <w:rPr>
          <w:rStyle w:val="SCCCounselPartyRoleChar"/>
          <w:lang w:val="fr-CA"/>
        </w:rPr>
        <w:t>Université de Montréal, Sylvie Goyer, le Conseil provincial des affaires sociales, Johanne Harrell, Josée Saint</w:t>
      </w:r>
      <w:r w:rsidR="00587D61" w:rsidRPr="004F117F">
        <w:rPr>
          <w:rStyle w:val="SCCCounselPartyRoleChar"/>
          <w:lang w:val="fr-CA"/>
        </w:rPr>
        <w:noBreakHyphen/>
      </w:r>
      <w:r w:rsidRPr="004F117F">
        <w:rPr>
          <w:rStyle w:val="SCCCounselPartyRoleChar"/>
          <w:lang w:val="fr-CA"/>
        </w:rPr>
        <w:t>Pierre, Ghyslain</w:t>
      </w:r>
      <w:r w:rsidR="0053640D" w:rsidRPr="004F117F">
        <w:rPr>
          <w:rStyle w:val="SCCCounselPartyRoleChar"/>
          <w:lang w:val="fr-CA"/>
        </w:rPr>
        <w:t>e Doré, le Conseil provincial du</w:t>
      </w:r>
      <w:r w:rsidRPr="004F117F">
        <w:rPr>
          <w:rStyle w:val="SCCCounselPartyRoleChar"/>
          <w:lang w:val="fr-CA"/>
        </w:rPr>
        <w:t xml:space="preserve"> soutien scolaire, Louise Paquin, Lucie Fortin, le Syndicat des </w:t>
      </w:r>
      <w:r w:rsidRPr="004F117F">
        <w:rPr>
          <w:rStyle w:val="SCCCounselPartyRoleChar"/>
          <w:lang w:val="fr-CA"/>
        </w:rPr>
        <w:lastRenderedPageBreak/>
        <w:t>professionnelles et professionnels de Laval</w:t>
      </w:r>
      <w:r w:rsidR="00587D61" w:rsidRPr="004F117F">
        <w:rPr>
          <w:rStyle w:val="SCCCounselPartyRoleChar"/>
          <w:lang w:val="fr-CA"/>
        </w:rPr>
        <w:noBreakHyphen/>
      </w:r>
      <w:r w:rsidRPr="004F117F">
        <w:rPr>
          <w:rStyle w:val="SCCCounselPartyRoleChar"/>
          <w:lang w:val="fr-CA"/>
        </w:rPr>
        <w:t>Rive</w:t>
      </w:r>
      <w:r w:rsidR="00587D61" w:rsidRPr="004F117F">
        <w:rPr>
          <w:rStyle w:val="SCCCounselPartyRoleChar"/>
          <w:lang w:val="fr-CA"/>
        </w:rPr>
        <w:noBreakHyphen/>
      </w:r>
      <w:r w:rsidRPr="004F117F">
        <w:rPr>
          <w:rStyle w:val="SCCCounselPartyRoleChar"/>
          <w:lang w:val="fr-CA"/>
        </w:rPr>
        <w:t>Nord, SCFP</w:t>
      </w:r>
      <w:r w:rsidR="00424CEF" w:rsidRPr="004F117F">
        <w:rPr>
          <w:rStyle w:val="SCCCounselPartyRoleChar"/>
          <w:lang w:val="fr-CA"/>
        </w:rPr>
        <w:t xml:space="preserve"> </w:t>
      </w:r>
      <w:r w:rsidRPr="004F117F">
        <w:rPr>
          <w:rStyle w:val="SCCCounselPartyRoleChar"/>
          <w:lang w:val="fr-CA"/>
        </w:rPr>
        <w:t>5222, le Syndicat des fonctionnaires municipaux de Montréal (SCFP), section locale 429, la Section locale 3134 du Syndicat canadien de la fonction publique, employé</w:t>
      </w:r>
      <w:r w:rsidR="00587D61" w:rsidRPr="004F117F">
        <w:rPr>
          <w:rStyle w:val="SCCCounselPartyRoleChar"/>
          <w:lang w:val="fr-CA"/>
        </w:rPr>
        <w:noBreakHyphen/>
      </w:r>
      <w:r w:rsidRPr="004F117F">
        <w:rPr>
          <w:rStyle w:val="SCCCounselPartyRoleChar"/>
          <w:lang w:val="fr-CA"/>
        </w:rPr>
        <w:t>es de bureau de la Ville de Lorraine, Henriette Demers, la Section locale 930 du Syndicat canadien de la fonction publique (FTQ), Fernande Tremblay, le Syndicat canadien de la fonction publique, section locale 4503, Josée Mercille, le Syndicat canadien de la fonction publique, section locale 3642, Chantal Bourdon, le Conseil d</w:t>
      </w:r>
      <w:r w:rsidR="000C1609" w:rsidRPr="004F117F">
        <w:rPr>
          <w:rStyle w:val="SCCCounselPartyRoleChar"/>
          <w:lang w:val="fr-CA"/>
        </w:rPr>
        <w:t>’</w:t>
      </w:r>
      <w:r w:rsidRPr="004F117F">
        <w:rPr>
          <w:rStyle w:val="SCCCounselPartyRoleChar"/>
          <w:lang w:val="fr-CA"/>
        </w:rPr>
        <w:t>intervention pour l</w:t>
      </w:r>
      <w:r w:rsidR="000C1609" w:rsidRPr="004F117F">
        <w:rPr>
          <w:rStyle w:val="SCCCounselPartyRoleChar"/>
          <w:lang w:val="fr-CA"/>
        </w:rPr>
        <w:t>’</w:t>
      </w:r>
      <w:r w:rsidRPr="004F117F">
        <w:rPr>
          <w:rStyle w:val="SCCCounselPartyRoleChar"/>
          <w:lang w:val="fr-CA"/>
        </w:rPr>
        <w:t>accès des femmes au travail (CIAFT) du Québec inc., l</w:t>
      </w:r>
      <w:r w:rsidR="000C1609" w:rsidRPr="004F117F">
        <w:rPr>
          <w:rStyle w:val="SCCCounselPartyRoleChar"/>
          <w:lang w:val="fr-CA"/>
        </w:rPr>
        <w:t>’</w:t>
      </w:r>
      <w:r w:rsidRPr="004F117F">
        <w:rPr>
          <w:rStyle w:val="SCCCounselPartyRoleChar"/>
          <w:lang w:val="fr-CA"/>
        </w:rPr>
        <w:t>Association des psychologues du Québec, le Syndicat des employées et employés professionnels</w:t>
      </w:r>
      <w:r w:rsidR="00587D61" w:rsidRPr="004F117F">
        <w:rPr>
          <w:rStyle w:val="SCCCounselPartyRoleChar"/>
          <w:lang w:val="fr-CA"/>
        </w:rPr>
        <w:noBreakHyphen/>
      </w:r>
      <w:r w:rsidRPr="004F117F">
        <w:rPr>
          <w:rStyle w:val="SCCCounselPartyRoleChar"/>
          <w:lang w:val="fr-CA"/>
        </w:rPr>
        <w:t>les et de bureau (CTC</w:t>
      </w:r>
      <w:r w:rsidR="00587D61" w:rsidRPr="004F117F">
        <w:rPr>
          <w:rStyle w:val="SCCCounselPartyRoleChar"/>
          <w:lang w:val="fr-CA"/>
        </w:rPr>
        <w:noBreakHyphen/>
      </w:r>
      <w:r w:rsidRPr="004F117F">
        <w:rPr>
          <w:rStyle w:val="SCCCounselPartyRoleChar"/>
          <w:lang w:val="fr-CA"/>
        </w:rPr>
        <w:t>FTQ), section locale 578, Lise Audet et le Syndicat québécois des employées et employés de service, section locale 298 (FTQ</w:t>
      </w:r>
      <w:r w:rsidR="009E640B" w:rsidRPr="004F117F">
        <w:rPr>
          <w:rStyle w:val="SCCCounselPartyRoleChar"/>
          <w:lang w:val="fr-CA"/>
        </w:rPr>
        <w:t>)</w:t>
      </w:r>
      <w:r w:rsidR="00BB7CB6" w:rsidRPr="004F117F">
        <w:rPr>
          <w:rStyle w:val="SCCCounselPartyRoleChar"/>
          <w:lang w:val="fr-CA"/>
        </w:rPr>
        <w:t> : </w:t>
      </w:r>
      <w:r w:rsidR="007110FF" w:rsidRPr="004F117F">
        <w:rPr>
          <w:lang w:val="fr-CA"/>
        </w:rPr>
        <w:t>Syndicat canadien de la fonction publique, Ottawa.</w:t>
      </w:r>
    </w:p>
    <w:p w:rsidR="00F116C1" w:rsidRPr="004F117F" w:rsidRDefault="00F116C1" w:rsidP="00637E44">
      <w:pPr>
        <w:pStyle w:val="SCCLawFirm"/>
        <w:widowControl w:val="0"/>
        <w:spacing w:before="480" w:after="480"/>
        <w:rPr>
          <w:lang w:val="fr-CA"/>
        </w:rPr>
      </w:pPr>
      <w:r w:rsidRPr="004F117F">
        <w:rPr>
          <w:lang w:val="fr-CA"/>
        </w:rPr>
        <w:tab/>
        <w:t>Procureur de l</w:t>
      </w:r>
      <w:r w:rsidR="000C1609" w:rsidRPr="004F117F">
        <w:rPr>
          <w:lang w:val="fr-CA"/>
        </w:rPr>
        <w:t>’</w:t>
      </w:r>
      <w:r w:rsidRPr="004F117F">
        <w:rPr>
          <w:lang w:val="fr-CA"/>
        </w:rPr>
        <w:t>intervenant le procureur général de l</w:t>
      </w:r>
      <w:r w:rsidR="000C1609" w:rsidRPr="004F117F">
        <w:rPr>
          <w:lang w:val="fr-CA"/>
        </w:rPr>
        <w:t>’</w:t>
      </w:r>
      <w:r w:rsidRPr="004F117F">
        <w:rPr>
          <w:lang w:val="fr-CA"/>
        </w:rPr>
        <w:t>Ontario</w:t>
      </w:r>
      <w:r w:rsidR="00BB7CB6" w:rsidRPr="004F117F">
        <w:rPr>
          <w:lang w:val="fr-CA"/>
        </w:rPr>
        <w:t> : </w:t>
      </w:r>
      <w:r w:rsidRPr="004F117F">
        <w:rPr>
          <w:lang w:val="fr-CA"/>
        </w:rPr>
        <w:t>Procureur général de l</w:t>
      </w:r>
      <w:r w:rsidR="000C1609" w:rsidRPr="004F117F">
        <w:rPr>
          <w:lang w:val="fr-CA"/>
        </w:rPr>
        <w:t>’</w:t>
      </w:r>
      <w:r w:rsidRPr="004F117F">
        <w:rPr>
          <w:lang w:val="fr-CA"/>
        </w:rPr>
        <w:t>Ontario, Toronto.</w:t>
      </w:r>
    </w:p>
    <w:p w:rsidR="004A25E3" w:rsidRPr="004F117F" w:rsidRDefault="00E54647" w:rsidP="00637E44">
      <w:pPr>
        <w:pStyle w:val="SCCLawFirm"/>
        <w:widowControl w:val="0"/>
        <w:spacing w:before="480" w:after="480"/>
        <w:rPr>
          <w:lang w:val="fr-CA"/>
        </w:rPr>
      </w:pPr>
      <w:r w:rsidRPr="004F117F">
        <w:rPr>
          <w:lang w:val="fr-CA"/>
        </w:rPr>
        <w:tab/>
        <w:t>Procureur</w:t>
      </w:r>
      <w:r w:rsidR="007110FF" w:rsidRPr="004F117F">
        <w:rPr>
          <w:lang w:val="fr-CA"/>
        </w:rPr>
        <w:t>s de</w:t>
      </w:r>
      <w:r w:rsidRPr="004F117F">
        <w:rPr>
          <w:lang w:val="fr-CA"/>
        </w:rPr>
        <w:t>s</w:t>
      </w:r>
      <w:r w:rsidR="007110FF" w:rsidRPr="004F117F">
        <w:rPr>
          <w:lang w:val="fr-CA"/>
        </w:rPr>
        <w:t xml:space="preserve"> intervenant</w:t>
      </w:r>
      <w:r w:rsidRPr="004F117F">
        <w:rPr>
          <w:lang w:val="fr-CA"/>
        </w:rPr>
        <w:t>s</w:t>
      </w:r>
      <w:r w:rsidR="007110FF" w:rsidRPr="004F117F">
        <w:rPr>
          <w:lang w:val="fr-CA"/>
        </w:rPr>
        <w:t xml:space="preserve"> Equal Pay Coalition, </w:t>
      </w:r>
      <w:r w:rsidR="00C262EF" w:rsidRPr="004F117F">
        <w:rPr>
          <w:lang w:val="fr-CA"/>
        </w:rPr>
        <w:t>L</w:t>
      </w:r>
      <w:r w:rsidRPr="004F117F">
        <w:rPr>
          <w:lang w:val="fr-CA"/>
        </w:rPr>
        <w:t xml:space="preserve">a </w:t>
      </w:r>
      <w:r w:rsidR="007110FF" w:rsidRPr="004F117F">
        <w:rPr>
          <w:lang w:val="fr-CA"/>
        </w:rPr>
        <w:t>Coalition pour l</w:t>
      </w:r>
      <w:r w:rsidR="000C1609" w:rsidRPr="004F117F">
        <w:rPr>
          <w:lang w:val="fr-CA"/>
        </w:rPr>
        <w:t>’</w:t>
      </w:r>
      <w:r w:rsidRPr="004F117F">
        <w:rPr>
          <w:lang w:val="fr-CA"/>
        </w:rPr>
        <w:t>équité</w:t>
      </w:r>
      <w:r w:rsidR="007110FF" w:rsidRPr="004F117F">
        <w:rPr>
          <w:lang w:val="fr-CA"/>
        </w:rPr>
        <w:t xml:space="preserve"> salariale du Nouveau</w:t>
      </w:r>
      <w:r w:rsidR="00587D61" w:rsidRPr="004F117F">
        <w:rPr>
          <w:lang w:val="fr-CA"/>
        </w:rPr>
        <w:noBreakHyphen/>
      </w:r>
      <w:r w:rsidR="007110FF" w:rsidRPr="004F117F">
        <w:rPr>
          <w:lang w:val="fr-CA"/>
        </w:rPr>
        <w:t>Brunswick</w:t>
      </w:r>
      <w:r w:rsidRPr="004F117F">
        <w:rPr>
          <w:lang w:val="fr-CA"/>
        </w:rPr>
        <w:t xml:space="preserve"> et le</w:t>
      </w:r>
      <w:r w:rsidR="007110FF" w:rsidRPr="004F117F">
        <w:rPr>
          <w:lang w:val="fr-CA"/>
        </w:rPr>
        <w:t xml:space="preserve"> Fonds d</w:t>
      </w:r>
      <w:r w:rsidR="000C1609" w:rsidRPr="004F117F">
        <w:rPr>
          <w:lang w:val="fr-CA"/>
        </w:rPr>
        <w:t>’</w:t>
      </w:r>
      <w:r w:rsidR="007110FF" w:rsidRPr="004F117F">
        <w:rPr>
          <w:lang w:val="fr-CA"/>
        </w:rPr>
        <w:t>action et d</w:t>
      </w:r>
      <w:r w:rsidR="000C1609" w:rsidRPr="004F117F">
        <w:rPr>
          <w:lang w:val="fr-CA"/>
        </w:rPr>
        <w:t>’</w:t>
      </w:r>
      <w:r w:rsidR="007110FF" w:rsidRPr="004F117F">
        <w:rPr>
          <w:lang w:val="fr-CA"/>
        </w:rPr>
        <w:t>éducation j</w:t>
      </w:r>
      <w:r w:rsidR="0016057E" w:rsidRPr="004F117F">
        <w:rPr>
          <w:lang w:val="fr-CA"/>
        </w:rPr>
        <w:t>uridiques pour les femmes</w:t>
      </w:r>
      <w:r w:rsidR="00BB7CB6" w:rsidRPr="004F117F">
        <w:rPr>
          <w:lang w:val="fr-CA"/>
        </w:rPr>
        <w:t> : </w:t>
      </w:r>
      <w:r w:rsidR="007110FF" w:rsidRPr="004F117F">
        <w:rPr>
          <w:lang w:val="fr-CA"/>
        </w:rPr>
        <w:t>Faraday</w:t>
      </w:r>
      <w:r w:rsidR="0016057E" w:rsidRPr="004F117F">
        <w:rPr>
          <w:lang w:val="fr-CA"/>
        </w:rPr>
        <w:t xml:space="preserve"> Law</w:t>
      </w:r>
      <w:r w:rsidR="007110FF" w:rsidRPr="004F117F">
        <w:rPr>
          <w:lang w:val="fr-CA"/>
        </w:rPr>
        <w:t>, Toronto</w:t>
      </w:r>
      <w:r w:rsidRPr="004F117F">
        <w:rPr>
          <w:lang w:val="fr-CA"/>
        </w:rPr>
        <w:t>; Cavalluzzo, Toronto</w:t>
      </w:r>
      <w:r w:rsidR="007110FF" w:rsidRPr="004F117F">
        <w:rPr>
          <w:lang w:val="fr-CA"/>
        </w:rPr>
        <w:t>.</w:t>
      </w:r>
    </w:p>
    <w:p w:rsidR="004A25E3" w:rsidRPr="004F117F" w:rsidRDefault="007110FF" w:rsidP="00637E44">
      <w:pPr>
        <w:pStyle w:val="SCCLawFirm"/>
        <w:widowControl w:val="0"/>
        <w:spacing w:before="480" w:after="480"/>
        <w:rPr>
          <w:lang w:val="fr-CA"/>
        </w:rPr>
      </w:pPr>
      <w:r w:rsidRPr="004F117F">
        <w:rPr>
          <w:lang w:val="fr-CA"/>
        </w:rPr>
        <w:tab/>
        <w:t>Procureur</w:t>
      </w:r>
      <w:r w:rsidR="00E54647" w:rsidRPr="004F117F">
        <w:rPr>
          <w:lang w:val="fr-CA"/>
        </w:rPr>
        <w:t>s</w:t>
      </w:r>
      <w:r w:rsidRPr="004F117F">
        <w:rPr>
          <w:lang w:val="fr-CA"/>
        </w:rPr>
        <w:t xml:space="preserve"> de l</w:t>
      </w:r>
      <w:r w:rsidR="000C1609" w:rsidRPr="004F117F">
        <w:rPr>
          <w:lang w:val="fr-CA"/>
        </w:rPr>
        <w:t>’</w:t>
      </w:r>
      <w:r w:rsidR="00E54647" w:rsidRPr="004F117F">
        <w:rPr>
          <w:lang w:val="fr-CA"/>
        </w:rPr>
        <w:t>intervenant</w:t>
      </w:r>
      <w:r w:rsidRPr="004F117F">
        <w:rPr>
          <w:lang w:val="fr-CA"/>
        </w:rPr>
        <w:t xml:space="preserve">e </w:t>
      </w:r>
      <w:r w:rsidR="00E54647" w:rsidRPr="004F117F">
        <w:rPr>
          <w:lang w:val="fr-CA"/>
        </w:rPr>
        <w:t>l</w:t>
      </w:r>
      <w:r w:rsidR="000C1609" w:rsidRPr="004F117F">
        <w:rPr>
          <w:lang w:val="fr-CA"/>
        </w:rPr>
        <w:t>’</w:t>
      </w:r>
      <w:r w:rsidRPr="004F117F">
        <w:rPr>
          <w:lang w:val="fr-CA"/>
        </w:rPr>
        <w:t>Alliance de la fonction publique du Canada</w:t>
      </w:r>
      <w:r w:rsidR="00BB7CB6" w:rsidRPr="004F117F">
        <w:rPr>
          <w:lang w:val="fr-CA"/>
        </w:rPr>
        <w:t> : </w:t>
      </w:r>
      <w:r w:rsidRPr="004F117F">
        <w:rPr>
          <w:lang w:val="fr-CA"/>
        </w:rPr>
        <w:t>Raven</w:t>
      </w:r>
      <w:r w:rsidR="00E54647" w:rsidRPr="004F117F">
        <w:rPr>
          <w:lang w:val="fr-CA"/>
        </w:rPr>
        <w:t>, Cameron, Ballantyne &amp; Yazbeck</w:t>
      </w:r>
      <w:r w:rsidRPr="004F117F">
        <w:rPr>
          <w:lang w:val="fr-CA"/>
        </w:rPr>
        <w:t>, Ottawa.</w:t>
      </w:r>
    </w:p>
    <w:p w:rsidR="004A25E3" w:rsidRPr="004F117F" w:rsidRDefault="00770FAD" w:rsidP="00637E44">
      <w:pPr>
        <w:pStyle w:val="SCCLawFirm"/>
        <w:widowControl w:val="0"/>
        <w:spacing w:before="480" w:after="480"/>
        <w:rPr>
          <w:lang w:val="fr-CA"/>
        </w:rPr>
      </w:pPr>
      <w:r w:rsidRPr="004F117F">
        <w:rPr>
          <w:lang w:val="fr-CA"/>
        </w:rPr>
        <w:tab/>
        <w:t>Procureur</w:t>
      </w:r>
      <w:r w:rsidR="007110FF" w:rsidRPr="004F117F">
        <w:rPr>
          <w:lang w:val="fr-CA"/>
        </w:rPr>
        <w:t>s de l</w:t>
      </w:r>
      <w:r w:rsidR="000C1609" w:rsidRPr="004F117F">
        <w:rPr>
          <w:lang w:val="fr-CA"/>
        </w:rPr>
        <w:t>’</w:t>
      </w:r>
      <w:r w:rsidR="007110FF" w:rsidRPr="004F117F">
        <w:rPr>
          <w:lang w:val="fr-CA"/>
        </w:rPr>
        <w:t>intervenante</w:t>
      </w:r>
      <w:r w:rsidRPr="004F117F">
        <w:rPr>
          <w:lang w:val="fr-CA"/>
        </w:rPr>
        <w:t xml:space="preserve"> la</w:t>
      </w:r>
      <w:r w:rsidR="007110FF" w:rsidRPr="004F117F">
        <w:rPr>
          <w:lang w:val="fr-CA"/>
        </w:rPr>
        <w:t xml:space="preserve"> Centrale des syndicats du </w:t>
      </w:r>
      <w:r w:rsidR="007110FF" w:rsidRPr="004F117F">
        <w:rPr>
          <w:lang w:val="fr-CA"/>
        </w:rPr>
        <w:lastRenderedPageBreak/>
        <w:t>Québec</w:t>
      </w:r>
      <w:r w:rsidR="00BB7CB6" w:rsidRPr="004F117F">
        <w:rPr>
          <w:lang w:val="fr-CA"/>
        </w:rPr>
        <w:t> : </w:t>
      </w:r>
      <w:r w:rsidR="00A009BA" w:rsidRPr="004F117F">
        <w:rPr>
          <w:lang w:val="fr-CA"/>
        </w:rPr>
        <w:t>Barabé Casavant (Services juridiques de la CSQ)</w:t>
      </w:r>
      <w:r w:rsidR="007110FF" w:rsidRPr="004F117F">
        <w:rPr>
          <w:lang w:val="fr-CA"/>
        </w:rPr>
        <w:t>, Montréal.</w:t>
      </w:r>
    </w:p>
    <w:p w:rsidR="009B57B3" w:rsidRPr="009D6881" w:rsidRDefault="0025508E" w:rsidP="00637E44">
      <w:pPr>
        <w:pStyle w:val="SCCLawFirm"/>
        <w:widowControl w:val="0"/>
        <w:rPr>
          <w:lang w:val="fr-CA"/>
        </w:rPr>
      </w:pPr>
      <w:r w:rsidRPr="004F117F">
        <w:rPr>
          <w:lang w:val="fr-CA"/>
        </w:rPr>
        <w:tab/>
        <w:t>Procureur</w:t>
      </w:r>
      <w:r w:rsidR="007110FF" w:rsidRPr="004F117F">
        <w:rPr>
          <w:lang w:val="fr-CA"/>
        </w:rPr>
        <w:t>s de</w:t>
      </w:r>
      <w:r w:rsidRPr="004F117F">
        <w:rPr>
          <w:lang w:val="fr-CA"/>
        </w:rPr>
        <w:t>s</w:t>
      </w:r>
      <w:r w:rsidR="007110FF" w:rsidRPr="004F117F">
        <w:rPr>
          <w:lang w:val="fr-CA"/>
        </w:rPr>
        <w:t xml:space="preserve"> intervenant</w:t>
      </w:r>
      <w:r w:rsidRPr="004F117F">
        <w:rPr>
          <w:lang w:val="fr-CA"/>
        </w:rPr>
        <w:t>s</w:t>
      </w:r>
      <w:r w:rsidR="007110FF" w:rsidRPr="004F117F">
        <w:rPr>
          <w:lang w:val="fr-CA"/>
        </w:rPr>
        <w:t xml:space="preserve"> </w:t>
      </w:r>
      <w:r w:rsidR="00C262EF" w:rsidRPr="004F117F">
        <w:rPr>
          <w:lang w:val="fr-CA"/>
        </w:rPr>
        <w:t>L</w:t>
      </w:r>
      <w:r w:rsidR="000C1609" w:rsidRPr="004F117F">
        <w:rPr>
          <w:lang w:val="fr-CA"/>
        </w:rPr>
        <w:t>’</w:t>
      </w:r>
      <w:r w:rsidR="007110FF" w:rsidRPr="004F117F">
        <w:rPr>
          <w:lang w:val="fr-CA"/>
        </w:rPr>
        <w:t>Institut professionnel de la fonction publique</w:t>
      </w:r>
      <w:r w:rsidR="009E640B" w:rsidRPr="004F117F">
        <w:rPr>
          <w:lang w:val="fr-CA"/>
        </w:rPr>
        <w:t xml:space="preserve"> du Canada</w:t>
      </w:r>
      <w:r w:rsidR="007110FF" w:rsidRPr="004F117F">
        <w:rPr>
          <w:lang w:val="fr-CA"/>
        </w:rPr>
        <w:t xml:space="preserve">, </w:t>
      </w:r>
      <w:r w:rsidR="00C262EF" w:rsidRPr="004F117F">
        <w:rPr>
          <w:lang w:val="fr-CA"/>
        </w:rPr>
        <w:t>L</w:t>
      </w:r>
      <w:r w:rsidR="000C1609" w:rsidRPr="004F117F">
        <w:rPr>
          <w:lang w:val="fr-CA"/>
        </w:rPr>
        <w:t>’</w:t>
      </w:r>
      <w:r w:rsidR="007110FF" w:rsidRPr="004F117F">
        <w:rPr>
          <w:lang w:val="fr-CA"/>
        </w:rPr>
        <w:t xml:space="preserve">Association canadienne des employés professionnels, </w:t>
      </w:r>
      <w:r w:rsidR="00C262EF" w:rsidRPr="004F117F">
        <w:rPr>
          <w:lang w:val="fr-CA"/>
        </w:rPr>
        <w:t>L</w:t>
      </w:r>
      <w:r w:rsidR="000C1609" w:rsidRPr="004F117F">
        <w:rPr>
          <w:lang w:val="fr-CA"/>
        </w:rPr>
        <w:t>’</w:t>
      </w:r>
      <w:r w:rsidR="007110FF" w:rsidRPr="004F117F">
        <w:rPr>
          <w:lang w:val="fr-CA"/>
        </w:rPr>
        <w:t>Association canadienne des agents financiers</w:t>
      </w:r>
      <w:r w:rsidR="00C262EF" w:rsidRPr="004F117F">
        <w:rPr>
          <w:lang w:val="fr-CA"/>
        </w:rPr>
        <w:t xml:space="preserve"> et L</w:t>
      </w:r>
      <w:r w:rsidR="000C1609" w:rsidRPr="004F117F">
        <w:rPr>
          <w:lang w:val="fr-CA"/>
        </w:rPr>
        <w:t>’</w:t>
      </w:r>
      <w:r w:rsidR="007110FF" w:rsidRPr="004F117F">
        <w:rPr>
          <w:lang w:val="fr-CA"/>
        </w:rPr>
        <w:t>Association professionnelle des agents du Service</w:t>
      </w:r>
      <w:r w:rsidRPr="004F117F">
        <w:rPr>
          <w:lang w:val="fr-CA"/>
        </w:rPr>
        <w:t xml:space="preserve"> extérieur</w:t>
      </w:r>
      <w:r w:rsidR="00BB7CB6" w:rsidRPr="004F117F">
        <w:rPr>
          <w:lang w:val="fr-CA"/>
        </w:rPr>
        <w:t> : </w:t>
      </w:r>
      <w:r w:rsidRPr="004F117F">
        <w:rPr>
          <w:lang w:val="fr-CA"/>
        </w:rPr>
        <w:t>Goldblatt Partners</w:t>
      </w:r>
      <w:r w:rsidR="007110FF" w:rsidRPr="004F117F">
        <w:rPr>
          <w:lang w:val="fr-CA"/>
        </w:rPr>
        <w:t>, Ottawa.</w:t>
      </w:r>
    </w:p>
    <w:sectPr w:rsidR="009B57B3" w:rsidRPr="009D6881"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898" w:rsidRDefault="00534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898" w:rsidRDefault="00534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898" w:rsidRDefault="00534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 w:id="1">
    <w:p w:rsidR="00C208DD" w:rsidRDefault="00C208DD" w:rsidP="00C208DD">
      <w:pPr>
        <w:pStyle w:val="FootnoteText"/>
        <w:rPr>
          <w:lang w:val="fr-CA"/>
        </w:rPr>
      </w:pPr>
      <w:r w:rsidRPr="002E62F9">
        <w:rPr>
          <w:rStyle w:val="FootnoteReference"/>
          <w:lang w:val="fr-CA"/>
        </w:rPr>
        <w:footnoteRef/>
      </w:r>
      <w:r w:rsidRPr="002E62F9">
        <w:rPr>
          <w:lang w:val="fr-CA"/>
        </w:rPr>
        <w:t xml:space="preserve"> </w:t>
      </w:r>
      <w:r>
        <w:rPr>
          <w:lang w:val="fr-CA"/>
        </w:rPr>
        <w:t>L’article </w:t>
      </w:r>
      <w:r w:rsidRPr="002E62F9">
        <w:rPr>
          <w:lang w:val="fr-CA"/>
        </w:rPr>
        <w:t xml:space="preserve">11 </w:t>
      </w:r>
      <w:r>
        <w:rPr>
          <w:lang w:val="fr-CA"/>
        </w:rPr>
        <w:t>prévoit notamment ce qui suit :</w:t>
      </w:r>
    </w:p>
    <w:p w:rsidR="00FC3D22" w:rsidRDefault="00FC3D22" w:rsidP="00C208DD">
      <w:pPr>
        <w:pStyle w:val="FootnoteText"/>
        <w:rPr>
          <w:lang w:val="fr-CA"/>
        </w:rPr>
      </w:pPr>
    </w:p>
    <w:p w:rsidR="00C208DD" w:rsidRPr="002E62F9" w:rsidRDefault="00C208DD" w:rsidP="00C208DD">
      <w:pPr>
        <w:pStyle w:val="FootnoteText"/>
        <w:numPr>
          <w:ilvl w:val="0"/>
          <w:numId w:val="11"/>
        </w:numPr>
        <w:spacing w:after="120"/>
        <w:rPr>
          <w:lang w:val="fr-CA"/>
        </w:rPr>
      </w:pPr>
      <w:r w:rsidRPr="002E62F9">
        <w:rPr>
          <w:b/>
          <w:bCs/>
          <w:lang w:val="fr-CA"/>
        </w:rPr>
        <w:t>11</w:t>
      </w:r>
      <w:r w:rsidRPr="002E62F9">
        <w:rPr>
          <w:lang w:val="fr-CA"/>
        </w:rPr>
        <w:t> </w:t>
      </w:r>
      <w:r w:rsidRPr="002E62F9">
        <w:rPr>
          <w:b/>
          <w:bCs/>
          <w:lang w:val="fr-CA"/>
        </w:rPr>
        <w:t>(1)</w:t>
      </w:r>
      <w:r>
        <w:rPr>
          <w:lang w:val="fr-CA"/>
        </w:rPr>
        <w:t> Constitue un acte discriminatoire le fait pour l’employeur d’instaurer ou de pratiquer la disparité salariale entre les hommes et les femmes qui exécutent, dans le même établissement, des fonctions équivalentes.</w:t>
      </w:r>
    </w:p>
    <w:p w:rsidR="00C208DD" w:rsidRPr="002E62F9" w:rsidRDefault="00C208DD" w:rsidP="00C208DD">
      <w:pPr>
        <w:pStyle w:val="FootnoteText"/>
        <w:ind w:left="547"/>
        <w:rPr>
          <w:lang w:val="fr-CA"/>
        </w:rPr>
      </w:pPr>
      <w:r>
        <w:rPr>
          <w:b/>
          <w:bCs/>
          <w:lang w:val="fr-CA"/>
        </w:rPr>
        <w:tab/>
      </w:r>
      <w:r w:rsidRPr="002E62F9">
        <w:rPr>
          <w:b/>
          <w:bCs/>
          <w:lang w:val="fr-CA"/>
        </w:rPr>
        <w:t>(2)</w:t>
      </w:r>
      <w:r w:rsidRPr="002E62F9">
        <w:rPr>
          <w:lang w:val="fr-CA"/>
        </w:rPr>
        <w:t> </w:t>
      </w:r>
      <w:r>
        <w:rPr>
          <w:lang w:val="fr-CA"/>
        </w:rPr>
        <w:t>Le critère permettant d’établir l’équivalence des fonctions exécutées par des salariés dans le même établissement est le dosage de qualifications, d’efforts et de responsabilités nécessaire pour leur exécution, compte tenu des conditions de travail.</w:t>
      </w:r>
    </w:p>
  </w:footnote>
  <w:footnote w:id="2">
    <w:p w:rsidR="00C208DD" w:rsidRPr="002E62F9" w:rsidRDefault="00C208DD" w:rsidP="00C208DD">
      <w:pPr>
        <w:pStyle w:val="FootnoteText"/>
        <w:rPr>
          <w:lang w:val="fr-CA"/>
        </w:rPr>
      </w:pPr>
      <w:r w:rsidRPr="002E62F9">
        <w:rPr>
          <w:rStyle w:val="FootnoteReference"/>
          <w:rFonts w:eastAsiaTheme="minorHAnsi"/>
          <w:lang w:val="fr-CA"/>
        </w:rPr>
        <w:footnoteRef/>
      </w:r>
      <w:r>
        <w:rPr>
          <w:lang w:val="fr-CA"/>
        </w:rPr>
        <w:t xml:space="preserve"> </w:t>
      </w:r>
      <w:r w:rsidR="00FC3D22">
        <w:rPr>
          <w:lang w:val="fr-CA"/>
        </w:rPr>
        <w:tab/>
      </w:r>
      <w:r>
        <w:rPr>
          <w:lang w:val="fr-CA"/>
        </w:rPr>
        <w:t xml:space="preserve">Lors de la </w:t>
      </w:r>
      <w:r w:rsidRPr="002E62F9">
        <w:rPr>
          <w:lang w:val="fr-CA"/>
        </w:rPr>
        <w:t xml:space="preserve">ratification, </w:t>
      </w:r>
      <w:r>
        <w:rPr>
          <w:lang w:val="fr-CA"/>
        </w:rPr>
        <w:t xml:space="preserve">le </w:t>
      </w:r>
      <w:r w:rsidRPr="002E62F9">
        <w:rPr>
          <w:lang w:val="fr-CA"/>
        </w:rPr>
        <w:t xml:space="preserve">Canada </w:t>
      </w:r>
      <w:r w:rsidRPr="00D775D8">
        <w:rPr>
          <w:lang w:val="fr-CA"/>
        </w:rPr>
        <w:t>a formulé une déclaration</w:t>
      </w:r>
      <w:r>
        <w:rPr>
          <w:lang w:val="fr-CA"/>
        </w:rPr>
        <w:t xml:space="preserve"> au sujet de l’al. </w:t>
      </w:r>
      <w:r w:rsidRPr="00AF6820">
        <w:rPr>
          <w:lang w:val="fr-CA"/>
        </w:rPr>
        <w:t>11(1)d) (voir</w:t>
      </w:r>
      <w:r>
        <w:rPr>
          <w:lang w:val="fr-CA"/>
        </w:rPr>
        <w:t xml:space="preserve"> 1257 R.T.N.U. 496)</w:t>
      </w:r>
      <w:r w:rsidRPr="002E62F9">
        <w:rPr>
          <w:lang w:val="fr-CA"/>
        </w:rPr>
        <w:t xml:space="preserve">. </w:t>
      </w:r>
      <w:r>
        <w:rPr>
          <w:lang w:val="fr-CA"/>
        </w:rPr>
        <w:t xml:space="preserve">Cette déclaration a été retirée en </w:t>
      </w:r>
      <w:r w:rsidRPr="002E62F9">
        <w:rPr>
          <w:lang w:val="fr-CA"/>
        </w:rPr>
        <w:t>1992</w:t>
      </w:r>
      <w:r>
        <w:rPr>
          <w:lang w:val="fr-CA"/>
        </w:rPr>
        <w:t xml:space="preserve"> (voir 1676 R.T.N.U. 554)</w:t>
      </w:r>
      <w:r w:rsidRPr="002E62F9">
        <w:rPr>
          <w:lang w:val="fr-CA"/>
        </w:rPr>
        <w:t xml:space="preserve">, </w:t>
      </w:r>
      <w:r>
        <w:rPr>
          <w:lang w:val="fr-CA"/>
        </w:rPr>
        <w:t xml:space="preserve">mais elle indiquait que les législateurs </w:t>
      </w:r>
      <w:r w:rsidRPr="005B6772">
        <w:rPr>
          <w:lang w:val="fr-CA"/>
        </w:rPr>
        <w:t>canadiens « ont</w:t>
      </w:r>
      <w:r>
        <w:rPr>
          <w:lang w:val="fr-CA"/>
        </w:rPr>
        <w:t xml:space="preserve"> mis en pratique le concept de l’égalité de rémunération tel qu’il est envisagé à l’alinéa </w:t>
      </w:r>
      <w:r w:rsidRPr="008222E3">
        <w:rPr>
          <w:i/>
          <w:lang w:val="fr-CA"/>
        </w:rPr>
        <w:t>d</w:t>
      </w:r>
      <w:r>
        <w:rPr>
          <w:lang w:val="fr-CA"/>
        </w:rPr>
        <w:t xml:space="preserve"> du paragraphe 1 de l’article 11 en adoptant une législation qui prévoit la fixation des taux de rémunération sans discrimination fondée sur le sexe. Les autorités compétentes du Canada continueront à faire droit à l’objectif visé par l’alinéa </w:t>
      </w:r>
      <w:r w:rsidRPr="008222E3">
        <w:rPr>
          <w:i/>
          <w:lang w:val="fr-CA"/>
        </w:rPr>
        <w:t>d</w:t>
      </w:r>
      <w:r>
        <w:rPr>
          <w:lang w:val="fr-CA"/>
        </w:rPr>
        <w:t xml:space="preserve"> du paragraphe 1 de l’article 11, et à cette fin, elles ont mis au point et le cas échéant continueront à mettre au point de nouvelles mesures, législatives et autres. »</w:t>
      </w:r>
    </w:p>
  </w:footnote>
  <w:footnote w:id="3">
    <w:p w:rsidR="00C208DD" w:rsidRPr="002E62F9" w:rsidRDefault="00C208DD" w:rsidP="00C208DD">
      <w:pPr>
        <w:pStyle w:val="FootnoteText"/>
        <w:rPr>
          <w:lang w:val="fr-CA"/>
        </w:rPr>
      </w:pPr>
      <w:r w:rsidRPr="003874F3">
        <w:rPr>
          <w:rStyle w:val="FootnoteReference"/>
          <w:lang w:val="fr-CA"/>
        </w:rPr>
        <w:footnoteRef/>
      </w:r>
      <w:r w:rsidRPr="003874F3">
        <w:rPr>
          <w:lang w:val="fr-CA"/>
        </w:rPr>
        <w:t xml:space="preserve"> </w:t>
      </w:r>
      <w:r w:rsidR="00FC3D22">
        <w:rPr>
          <w:lang w:val="fr-CA"/>
        </w:rPr>
        <w:tab/>
      </w:r>
      <w:r w:rsidRPr="003874F3">
        <w:rPr>
          <w:lang w:val="fr-CA"/>
        </w:rPr>
        <w:t xml:space="preserve">Les salariés </w:t>
      </w:r>
      <w:r>
        <w:rPr>
          <w:lang w:val="fr-CA"/>
        </w:rPr>
        <w:t xml:space="preserve">d’une entreprise de moins de 10 employés qui veulent faire corriger des iniquités salariales doivent encore recourir au processus de plainte fondé sur l’art. 19 de la </w:t>
      </w:r>
      <w:r w:rsidRPr="001270FE">
        <w:rPr>
          <w:i/>
          <w:lang w:val="fr-CA"/>
        </w:rPr>
        <w:t>Charte</w:t>
      </w:r>
      <w:r>
        <w:rPr>
          <w:lang w:val="fr-CA"/>
        </w:rPr>
        <w:t xml:space="preserve"> québécoise. À l’inverse, les salariés visés par la </w:t>
      </w:r>
      <w:r w:rsidRPr="001270FE">
        <w:rPr>
          <w:i/>
          <w:lang w:val="fr-CA"/>
        </w:rPr>
        <w:t>Loi sur l’équité salariale</w:t>
      </w:r>
      <w:r>
        <w:rPr>
          <w:lang w:val="fr-CA"/>
        </w:rPr>
        <w:t xml:space="preserve"> ne peuvent déposer de plainte en vertu de la </w:t>
      </w:r>
      <w:r w:rsidRPr="00B4658D">
        <w:rPr>
          <w:i/>
          <w:lang w:val="fr-CA"/>
        </w:rPr>
        <w:t>Charte</w:t>
      </w:r>
      <w:r>
        <w:rPr>
          <w:lang w:val="fr-CA"/>
        </w:rPr>
        <w:t xml:space="preserve"> québécoise et </w:t>
      </w:r>
      <w:r w:rsidRPr="00B4658D">
        <w:rPr>
          <w:lang w:val="fr-CA"/>
        </w:rPr>
        <w:t xml:space="preserve">peuvent uniquement demander réparation en recourant aux mécanismes prévus par la </w:t>
      </w:r>
      <w:r w:rsidRPr="001270FE">
        <w:rPr>
          <w:i/>
          <w:lang w:val="fr-CA"/>
        </w:rPr>
        <w:t>Loi sur l’équité salariale</w:t>
      </w:r>
      <w:r w:rsidRPr="002E62F9">
        <w:rPr>
          <w:lang w:val="fr-CA"/>
        </w:rPr>
        <w:t xml:space="preserve">. </w:t>
      </w:r>
    </w:p>
  </w:footnote>
  <w:footnote w:id="4">
    <w:p w:rsidR="00C208DD" w:rsidRPr="002E62F9" w:rsidRDefault="00C208DD" w:rsidP="00C208DD">
      <w:pPr>
        <w:pStyle w:val="FootnoteText"/>
        <w:tabs>
          <w:tab w:val="left" w:pos="2430"/>
        </w:tabs>
        <w:spacing w:after="120"/>
        <w:rPr>
          <w:lang w:val="fr-CA"/>
        </w:rPr>
      </w:pPr>
      <w:r w:rsidRPr="002E62F9">
        <w:rPr>
          <w:rStyle w:val="FootnoteReference"/>
          <w:lang w:val="fr-CA"/>
        </w:rPr>
        <w:footnoteRef/>
      </w:r>
      <w:r>
        <w:rPr>
          <w:lang w:val="fr-CA"/>
        </w:rPr>
        <w:t xml:space="preserve"> </w:t>
      </w:r>
      <w:r w:rsidR="00FC3D22">
        <w:rPr>
          <w:lang w:val="fr-CA"/>
        </w:rPr>
        <w:tab/>
      </w:r>
      <w:r>
        <w:rPr>
          <w:lang w:val="fr-CA"/>
        </w:rPr>
        <w:t>Les articles </w:t>
      </w:r>
      <w:r w:rsidRPr="002E62F9">
        <w:rPr>
          <w:lang w:val="fr-CA"/>
        </w:rPr>
        <w:t xml:space="preserve">41 </w:t>
      </w:r>
      <w:r>
        <w:rPr>
          <w:lang w:val="fr-CA"/>
        </w:rPr>
        <w:t>et</w:t>
      </w:r>
      <w:r w:rsidRPr="002E62F9">
        <w:rPr>
          <w:lang w:val="fr-CA"/>
        </w:rPr>
        <w:t xml:space="preserve"> 42 </w:t>
      </w:r>
      <w:r>
        <w:rPr>
          <w:lang w:val="fr-CA"/>
        </w:rPr>
        <w:t>exposent des situations particulières dans lesquelles les obligations de l’employeur demeurent malgré des changements de circonstances. En voici un extrait :</w:t>
      </w:r>
    </w:p>
    <w:p w:rsidR="00C208DD" w:rsidRDefault="00C208DD" w:rsidP="00C208DD">
      <w:pPr>
        <w:pStyle w:val="FootnoteText"/>
        <w:keepNext/>
        <w:keepLines/>
        <w:tabs>
          <w:tab w:val="clear" w:pos="180"/>
        </w:tabs>
        <w:spacing w:after="120"/>
        <w:ind w:left="360"/>
        <w:rPr>
          <w:lang w:val="fr-CA"/>
        </w:rPr>
      </w:pPr>
      <w:r>
        <w:rPr>
          <w:b/>
          <w:bCs/>
          <w:lang w:val="fr-CA"/>
        </w:rPr>
        <w:tab/>
      </w:r>
      <w:r w:rsidRPr="002E62F9">
        <w:rPr>
          <w:b/>
          <w:bCs/>
          <w:lang w:val="fr-CA"/>
        </w:rPr>
        <w:t>41.</w:t>
      </w:r>
      <w:r>
        <w:rPr>
          <w:lang w:val="fr-CA"/>
        </w:rPr>
        <w:t xml:space="preserve"> </w:t>
      </w:r>
      <w:r w:rsidRPr="002E62F9">
        <w:rPr>
          <w:lang w:val="fr-CA"/>
        </w:rPr>
        <w:t xml:space="preserve">Si, avant qu’un programme </w:t>
      </w:r>
      <w:r>
        <w:rPr>
          <w:lang w:val="fr-CA"/>
        </w:rPr>
        <w:t xml:space="preserve">d’équité salariale ait été complété, une association est accréditée en vertu du </w:t>
      </w:r>
      <w:r w:rsidRPr="00A23330">
        <w:rPr>
          <w:lang w:val="fr-CA"/>
        </w:rPr>
        <w:t>Code du travail</w:t>
      </w:r>
      <w:r>
        <w:rPr>
          <w:lang w:val="fr-CA"/>
        </w:rPr>
        <w:t xml:space="preserve"> pour représenter des salariés de l’entreprise, les obligations relatives à l’établissement de ce programme demeurent inchangées.</w:t>
      </w:r>
    </w:p>
    <w:p w:rsidR="00C208DD" w:rsidRDefault="00C208DD" w:rsidP="00C208DD">
      <w:pPr>
        <w:pStyle w:val="FootnoteText"/>
        <w:spacing w:after="120"/>
        <w:jc w:val="center"/>
        <w:rPr>
          <w:lang w:val="fr-CA"/>
        </w:rPr>
      </w:pPr>
      <w:r>
        <w:rPr>
          <w:lang w:val="fr-CA"/>
        </w:rPr>
        <w:t>.</w:t>
      </w:r>
      <w:r w:rsidRPr="005D0EE0">
        <w:rPr>
          <w:lang w:val="fr-CA"/>
        </w:rPr>
        <w:t> . .</w:t>
      </w:r>
    </w:p>
    <w:p w:rsidR="00C208DD" w:rsidRPr="002E62F9" w:rsidRDefault="00C208DD" w:rsidP="00C208DD">
      <w:pPr>
        <w:pStyle w:val="FootnoteText"/>
        <w:keepNext/>
        <w:keepLines/>
        <w:tabs>
          <w:tab w:val="clear" w:pos="180"/>
        </w:tabs>
        <w:spacing w:after="120"/>
        <w:ind w:left="360"/>
        <w:rPr>
          <w:lang w:val="fr-CA"/>
        </w:rPr>
      </w:pPr>
      <w:r>
        <w:rPr>
          <w:b/>
          <w:bCs/>
          <w:lang w:val="fr-CA"/>
        </w:rPr>
        <w:tab/>
      </w:r>
      <w:r w:rsidRPr="002E62F9">
        <w:rPr>
          <w:b/>
          <w:bCs/>
          <w:lang w:val="fr-CA"/>
        </w:rPr>
        <w:t>42.</w:t>
      </w:r>
      <w:r>
        <w:rPr>
          <w:lang w:val="fr-CA"/>
        </w:rPr>
        <w:t xml:space="preserve"> L’</w:t>
      </w:r>
      <w:r w:rsidRPr="002E62F9">
        <w:rPr>
          <w:lang w:val="fr-CA"/>
        </w:rPr>
        <w:t>ali</w:t>
      </w:r>
      <w:r>
        <w:rPr>
          <w:lang w:val="fr-CA"/>
        </w:rPr>
        <w:t>é</w:t>
      </w:r>
      <w:r w:rsidRPr="002E62F9">
        <w:rPr>
          <w:lang w:val="fr-CA"/>
        </w:rPr>
        <w:t xml:space="preserve">nation </w:t>
      </w:r>
      <w:r>
        <w:rPr>
          <w:lang w:val="fr-CA"/>
        </w:rPr>
        <w:t>de l’entreprise ou la modification de sa structure juridique n’a aucun effet sur les obligations relatives aux ajustements salariaux ou à un programme d’équité salariale. Le nouvel employeur est lié par ces ajustements ou ce programme.</w:t>
      </w:r>
    </w:p>
    <w:p w:rsidR="00C208DD" w:rsidRPr="002E62F9" w:rsidRDefault="00C208DD" w:rsidP="00C208DD">
      <w:pPr>
        <w:pStyle w:val="FootnoteText"/>
        <w:keepNext/>
        <w:keepLines/>
        <w:tabs>
          <w:tab w:val="clear" w:pos="180"/>
        </w:tabs>
        <w:spacing w:after="120"/>
        <w:ind w:left="360"/>
        <w:rPr>
          <w:lang w:val="fr-CA"/>
        </w:rPr>
      </w:pPr>
      <w:r>
        <w:rPr>
          <w:lang w:val="fr-CA"/>
        </w:rPr>
        <w:tab/>
        <w:t>Lorsque plusieurs entreprises sont affectées par une modification de structure juridique par fusion ou autrement, les modalités d’application de la présente loi qui tiennent compte de la taille de l’entreprise sont, pour l’entreprise qui résulte de cette modification, déterminées en fonction de l’entreprise qui comptait le plus grand nombre de salariés.</w:t>
      </w:r>
    </w:p>
  </w:footnote>
  <w:footnote w:id="5">
    <w:p w:rsidR="00C208DD" w:rsidRPr="002E62F9" w:rsidRDefault="00C208DD" w:rsidP="00C208DD">
      <w:pPr>
        <w:pStyle w:val="FootnoteText"/>
        <w:rPr>
          <w:lang w:val="fr-CA"/>
        </w:rPr>
      </w:pPr>
      <w:r w:rsidRPr="002E62F9">
        <w:rPr>
          <w:rStyle w:val="FootnoteReference"/>
          <w:lang w:val="fr-CA"/>
        </w:rPr>
        <w:footnoteRef/>
      </w:r>
      <w:r w:rsidRPr="002E62F9">
        <w:rPr>
          <w:lang w:val="fr-CA"/>
        </w:rPr>
        <w:t xml:space="preserve"> </w:t>
      </w:r>
      <w:r>
        <w:rPr>
          <w:lang w:val="fr-CA"/>
        </w:rPr>
        <w:t>Par l’art. </w:t>
      </w:r>
      <w:r w:rsidRPr="002E62F9">
        <w:rPr>
          <w:lang w:val="fr-CA"/>
        </w:rPr>
        <w:t xml:space="preserve">14 </w:t>
      </w:r>
      <w:r>
        <w:rPr>
          <w:lang w:val="fr-CA"/>
        </w:rPr>
        <w:t xml:space="preserve">de la </w:t>
      </w:r>
      <w:r>
        <w:rPr>
          <w:i/>
          <w:lang w:val="fr-CA"/>
        </w:rPr>
        <w:t xml:space="preserve">Loi modifiant la Loi sur l’équité salariale </w:t>
      </w:r>
      <w:r>
        <w:rPr>
          <w:lang w:val="fr-CA"/>
        </w:rPr>
        <w:t>de</w:t>
      </w:r>
      <w:r w:rsidRPr="002E62F9">
        <w:rPr>
          <w:lang w:val="fr-CA"/>
        </w:rPr>
        <w:t xml:space="preserve"> 2009.</w:t>
      </w:r>
    </w:p>
  </w:footnote>
  <w:footnote w:id="6">
    <w:p w:rsidR="00C208DD" w:rsidRPr="002E62F9" w:rsidRDefault="00C208DD" w:rsidP="00C208DD">
      <w:pPr>
        <w:pStyle w:val="FootnoteText"/>
        <w:rPr>
          <w:lang w:val="fr-CA"/>
        </w:rPr>
      </w:pPr>
      <w:r w:rsidRPr="002E62F9">
        <w:rPr>
          <w:rStyle w:val="FootnoteReference"/>
          <w:lang w:val="fr-CA"/>
        </w:rPr>
        <w:footnoteRef/>
      </w:r>
      <w:r w:rsidRPr="002E62F9">
        <w:rPr>
          <w:lang w:val="fr-CA"/>
        </w:rPr>
        <w:t xml:space="preserve"> </w:t>
      </w:r>
      <w:r>
        <w:rPr>
          <w:lang w:val="fr-CA"/>
        </w:rPr>
        <w:t>Par l’art. </w:t>
      </w:r>
      <w:r w:rsidRPr="002E62F9">
        <w:rPr>
          <w:lang w:val="fr-CA"/>
        </w:rPr>
        <w:t xml:space="preserve">23 </w:t>
      </w:r>
      <w:r>
        <w:rPr>
          <w:lang w:val="fr-CA"/>
        </w:rPr>
        <w:t xml:space="preserve">de la </w:t>
      </w:r>
      <w:r>
        <w:rPr>
          <w:i/>
          <w:lang w:val="fr-CA"/>
        </w:rPr>
        <w:t xml:space="preserve">Loi modifiant la Loi sur l’équité salariale </w:t>
      </w:r>
      <w:r>
        <w:rPr>
          <w:lang w:val="fr-CA"/>
        </w:rPr>
        <w:t>de</w:t>
      </w:r>
      <w:r w:rsidRPr="002E62F9">
        <w:rPr>
          <w:lang w:val="fr-CA"/>
        </w:rPr>
        <w:t xml:space="preserve"> 2009.</w:t>
      </w:r>
    </w:p>
  </w:footnote>
  <w:footnote w:id="7">
    <w:p w:rsidR="00C208DD" w:rsidRPr="002E62F9" w:rsidRDefault="00C208DD" w:rsidP="00C208DD">
      <w:pPr>
        <w:pStyle w:val="FootnoteText"/>
        <w:rPr>
          <w:lang w:val="fr-CA"/>
        </w:rPr>
      </w:pPr>
      <w:r w:rsidRPr="002E62F9">
        <w:rPr>
          <w:rStyle w:val="FootnoteReference"/>
          <w:lang w:val="fr-CA"/>
        </w:rPr>
        <w:footnoteRef/>
      </w:r>
      <w:r w:rsidRPr="002E62F9">
        <w:rPr>
          <w:lang w:val="fr-CA"/>
        </w:rPr>
        <w:t xml:space="preserve"> </w:t>
      </w:r>
      <w:r>
        <w:rPr>
          <w:lang w:val="fr-CA"/>
        </w:rPr>
        <w:t>Par l’art. </w:t>
      </w:r>
      <w:r w:rsidRPr="002E62F9">
        <w:rPr>
          <w:lang w:val="fr-CA"/>
        </w:rPr>
        <w:t xml:space="preserve">40 </w:t>
      </w:r>
      <w:r>
        <w:rPr>
          <w:lang w:val="fr-CA"/>
        </w:rPr>
        <w:t xml:space="preserve">de la </w:t>
      </w:r>
      <w:r>
        <w:rPr>
          <w:i/>
          <w:lang w:val="fr-CA"/>
        </w:rPr>
        <w:t xml:space="preserve">Loi modifiant la Loi sur l’équité salariale </w:t>
      </w:r>
      <w:r>
        <w:rPr>
          <w:lang w:val="fr-CA"/>
        </w:rPr>
        <w:t>de</w:t>
      </w:r>
      <w:r w:rsidRPr="002E62F9">
        <w:rPr>
          <w:lang w:val="fr-CA"/>
        </w:rPr>
        <w:t xml:space="preserve">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898" w:rsidRDefault="00534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898" w:rsidRDefault="00534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015C6159"/>
    <w:multiLevelType w:val="hybridMultilevel"/>
    <w:tmpl w:val="A9D28E82"/>
    <w:lvl w:ilvl="0" w:tplc="5F1293D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A9A59DB"/>
    <w:multiLevelType w:val="hybridMultilevel"/>
    <w:tmpl w:val="F6DC1856"/>
    <w:lvl w:ilvl="0" w:tplc="0ACCB4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805AD9"/>
    <w:multiLevelType w:val="hybridMultilevel"/>
    <w:tmpl w:val="BE6A8F58"/>
    <w:lvl w:ilvl="0" w:tplc="A77CCD7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1F610EC8"/>
    <w:multiLevelType w:val="hybridMultilevel"/>
    <w:tmpl w:val="70CE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773C65"/>
    <w:multiLevelType w:val="hybridMultilevel"/>
    <w:tmpl w:val="3D76537E"/>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7" w15:restartNumberingAfterBreak="0">
    <w:nsid w:val="4603130A"/>
    <w:multiLevelType w:val="multilevel"/>
    <w:tmpl w:val="57642F48"/>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283EE8"/>
    <w:multiLevelType w:val="multilevel"/>
    <w:tmpl w:val="A86A66F4"/>
    <w:lvl w:ilvl="0">
      <w:start w:val="1"/>
      <w:numFmt w:val="decimal"/>
      <w:pStyle w:val="ParaNoNdepar-AltN"/>
      <w:lvlText w:val="[%1]"/>
      <w:lvlJc w:val="left"/>
      <w:pPr>
        <w:tabs>
          <w:tab w:val="num" w:pos="1152"/>
        </w:tabs>
        <w:ind w:left="0" w:firstLine="0"/>
      </w:pPr>
      <w:rPr>
        <w:rFonts w:ascii="Times New Roman" w:hAnsi="Times New Roman" w:hint="default"/>
        <w:i w:val="0"/>
        <w:strike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007A15"/>
    <w:multiLevelType w:val="multilevel"/>
    <w:tmpl w:val="7ABAD47C"/>
    <w:lvl w:ilvl="0">
      <w:start w:val="1"/>
      <w:numFmt w:val="bullet"/>
      <w:lvlText w:val=""/>
      <w:lvlPicBulletId w:val="0"/>
      <w:lvlJc w:val="left"/>
      <w:pPr>
        <w:tabs>
          <w:tab w:val="num" w:pos="547"/>
        </w:tabs>
        <w:ind w:left="547" w:hanging="360"/>
      </w:pPr>
      <w:rPr>
        <w:rFonts w:ascii="Symbol" w:hAnsi="Symbol" w:hint="default"/>
        <w:sz w:val="20"/>
      </w:rPr>
    </w:lvl>
    <w:lvl w:ilvl="1" w:tentative="1">
      <w:start w:val="1"/>
      <w:numFmt w:val="bullet"/>
      <w:lvlText w:val="o"/>
      <w:lvlJc w:val="left"/>
      <w:pPr>
        <w:tabs>
          <w:tab w:val="num" w:pos="1267"/>
        </w:tabs>
        <w:ind w:left="1267" w:hanging="360"/>
      </w:pPr>
      <w:rPr>
        <w:rFonts w:ascii="Courier New" w:hAnsi="Courier New" w:hint="default"/>
        <w:sz w:val="20"/>
      </w:rPr>
    </w:lvl>
    <w:lvl w:ilvl="2" w:tentative="1">
      <w:start w:val="1"/>
      <w:numFmt w:val="bullet"/>
      <w:lvlText w:val=""/>
      <w:lvlJc w:val="left"/>
      <w:pPr>
        <w:tabs>
          <w:tab w:val="num" w:pos="1987"/>
        </w:tabs>
        <w:ind w:left="1987" w:hanging="360"/>
      </w:pPr>
      <w:rPr>
        <w:rFonts w:ascii="Wingdings" w:hAnsi="Wingdings" w:hint="default"/>
        <w:sz w:val="20"/>
      </w:rPr>
    </w:lvl>
    <w:lvl w:ilvl="3" w:tentative="1">
      <w:start w:val="1"/>
      <w:numFmt w:val="bullet"/>
      <w:lvlText w:val=""/>
      <w:lvlJc w:val="left"/>
      <w:pPr>
        <w:tabs>
          <w:tab w:val="num" w:pos="2707"/>
        </w:tabs>
        <w:ind w:left="2707" w:hanging="360"/>
      </w:pPr>
      <w:rPr>
        <w:rFonts w:ascii="Wingdings" w:hAnsi="Wingdings" w:hint="default"/>
        <w:sz w:val="20"/>
      </w:rPr>
    </w:lvl>
    <w:lvl w:ilvl="4" w:tentative="1">
      <w:start w:val="1"/>
      <w:numFmt w:val="bullet"/>
      <w:lvlText w:val=""/>
      <w:lvlJc w:val="left"/>
      <w:pPr>
        <w:tabs>
          <w:tab w:val="num" w:pos="3427"/>
        </w:tabs>
        <w:ind w:left="3427" w:hanging="360"/>
      </w:pPr>
      <w:rPr>
        <w:rFonts w:ascii="Wingdings" w:hAnsi="Wingdings" w:hint="default"/>
        <w:sz w:val="20"/>
      </w:rPr>
    </w:lvl>
    <w:lvl w:ilvl="5" w:tentative="1">
      <w:start w:val="1"/>
      <w:numFmt w:val="bullet"/>
      <w:lvlText w:val=""/>
      <w:lvlJc w:val="left"/>
      <w:pPr>
        <w:tabs>
          <w:tab w:val="num" w:pos="4147"/>
        </w:tabs>
        <w:ind w:left="4147" w:hanging="360"/>
      </w:pPr>
      <w:rPr>
        <w:rFonts w:ascii="Wingdings" w:hAnsi="Wingdings" w:hint="default"/>
        <w:sz w:val="20"/>
      </w:rPr>
    </w:lvl>
    <w:lvl w:ilvl="6" w:tentative="1">
      <w:start w:val="1"/>
      <w:numFmt w:val="bullet"/>
      <w:lvlText w:val=""/>
      <w:lvlJc w:val="left"/>
      <w:pPr>
        <w:tabs>
          <w:tab w:val="num" w:pos="4867"/>
        </w:tabs>
        <w:ind w:left="4867" w:hanging="360"/>
      </w:pPr>
      <w:rPr>
        <w:rFonts w:ascii="Wingdings" w:hAnsi="Wingdings" w:hint="default"/>
        <w:sz w:val="20"/>
      </w:rPr>
    </w:lvl>
    <w:lvl w:ilvl="7" w:tentative="1">
      <w:start w:val="1"/>
      <w:numFmt w:val="bullet"/>
      <w:lvlText w:val=""/>
      <w:lvlJc w:val="left"/>
      <w:pPr>
        <w:tabs>
          <w:tab w:val="num" w:pos="5587"/>
        </w:tabs>
        <w:ind w:left="5587" w:hanging="360"/>
      </w:pPr>
      <w:rPr>
        <w:rFonts w:ascii="Wingdings" w:hAnsi="Wingdings" w:hint="default"/>
        <w:sz w:val="20"/>
      </w:rPr>
    </w:lvl>
    <w:lvl w:ilvl="8" w:tentative="1">
      <w:start w:val="1"/>
      <w:numFmt w:val="bullet"/>
      <w:lvlText w:val=""/>
      <w:lvlJc w:val="left"/>
      <w:pPr>
        <w:tabs>
          <w:tab w:val="num" w:pos="6307"/>
        </w:tabs>
        <w:ind w:left="6307" w:hanging="360"/>
      </w:pPr>
      <w:rPr>
        <w:rFonts w:ascii="Wingdings" w:hAnsi="Wingdings" w:hint="default"/>
        <w:sz w:val="20"/>
      </w:rPr>
    </w:lvl>
  </w:abstractNum>
  <w:abstractNum w:abstractNumId="1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2"/>
  </w:num>
  <w:num w:numId="5">
    <w:abstractNumId w:val="8"/>
  </w:num>
  <w:num w:numId="6">
    <w:abstractNumId w:val="9"/>
  </w:num>
  <w:num w:numId="7">
    <w:abstractNumId w:val="7"/>
  </w:num>
  <w:num w:numId="8">
    <w:abstractNumId w:val="7"/>
    <w:lvlOverride w:ilvl="0">
      <w:lvl w:ilvl="0">
        <w:start w:val="1"/>
        <w:numFmt w:val="upperRoman"/>
        <w:lvlText w:val="%1."/>
        <w:lvlJc w:val="left"/>
        <w:pPr>
          <w:tabs>
            <w:tab w:val="num" w:pos="576"/>
          </w:tabs>
          <w:ind w:left="576" w:hanging="576"/>
        </w:pPr>
        <w:rPr>
          <w:rFonts w:hint="default"/>
          <w:sz w:val="24"/>
        </w:rPr>
      </w:lvl>
    </w:lvlOverride>
    <w:lvlOverride w:ilv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
  </w:num>
  <w:num w:numId="10">
    <w:abstractNumId w:val="6"/>
  </w:num>
  <w:num w:numId="11">
    <w:abstractNumId w:val="11"/>
  </w:num>
  <w:num w:numId="12">
    <w:abstractNumId w:val="4"/>
  </w:num>
  <w:num w:numId="13">
    <w:abstractNumId w:val="7"/>
    <w:lvlOverride w:ilvl="0">
      <w:lvl w:ilvl="0">
        <w:start w:val="1"/>
        <w:numFmt w:val="upperRoman"/>
        <w:lvlText w:val="%1."/>
        <w:lvlJc w:val="left"/>
        <w:pPr>
          <w:tabs>
            <w:tab w:val="num" w:pos="1386"/>
          </w:tabs>
          <w:ind w:left="1386" w:hanging="576"/>
        </w:pPr>
        <w:rPr>
          <w:rFonts w:hint="default"/>
          <w:sz w:val="24"/>
        </w:rPr>
      </w:lvl>
    </w:lvlOverride>
    <w:lvlOverride w:ilvl="1">
      <w:lvl w:ilvl="1">
        <w:start w:val="1"/>
        <w:numFmt w:val="upperLetter"/>
        <w:lvlText w:val="%2."/>
        <w:lvlJc w:val="left"/>
        <w:pPr>
          <w:tabs>
            <w:tab w:val="num" w:pos="666"/>
          </w:tabs>
          <w:ind w:left="666" w:hanging="576"/>
        </w:pPr>
        <w:rPr>
          <w:rFonts w:ascii="Times New Roman" w:hAnsi="Times New Roman" w:hint="default"/>
          <w:b w:val="0"/>
          <w:i w:val="0"/>
          <w:color w:val="auto"/>
          <w:sz w:val="24"/>
        </w:rPr>
      </w:lvl>
    </w:lvlOverride>
    <w:lvlOverride w:ilvl="2">
      <w:lvl w:ilvl="2">
        <w:start w:val="1"/>
        <w:numFmt w:val="decimal"/>
        <w:lvlText w:val="(%3)"/>
        <w:lvlJc w:val="left"/>
        <w:pPr>
          <w:tabs>
            <w:tab w:val="num" w:pos="1152"/>
          </w:tabs>
          <w:ind w:left="1152" w:hanging="576"/>
        </w:pPr>
        <w:rPr>
          <w:rFonts w:ascii="Times New Roman" w:hAnsi="Times New Roman" w:hint="default"/>
          <w:b w:val="0"/>
          <w:i w:val="0"/>
          <w:color w:val="auto"/>
          <w:sz w:val="24"/>
        </w:rPr>
      </w:lvl>
    </w:lvlOverride>
    <w:lvlOverride w:ilvl="3">
      <w:lvl w:ilvl="3">
        <w:start w:val="1"/>
        <w:numFmt w:val="lowerLetter"/>
        <w:lvlText w:val="(%4)"/>
        <w:lvlJc w:val="left"/>
        <w:pPr>
          <w:tabs>
            <w:tab w:val="num" w:pos="1836"/>
          </w:tabs>
          <w:ind w:left="1836" w:hanging="576"/>
        </w:pPr>
        <w:rPr>
          <w:rFonts w:hint="default"/>
          <w:b w:val="0"/>
          <w:i w:val="0"/>
          <w:color w:val="auto"/>
        </w:rPr>
      </w:lvl>
    </w:lvlOverride>
    <w:lvlOverride w:ilvl="4">
      <w:lvl w:ilvl="4">
        <w:start w:val="1"/>
        <w:numFmt w:val="lowerRoman"/>
        <w:lvlText w:val="(%5)"/>
        <w:lvlJc w:val="left"/>
        <w:pPr>
          <w:tabs>
            <w:tab w:val="num" w:pos="2466"/>
          </w:tabs>
          <w:ind w:left="2466"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0"/>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26EAE"/>
    <w:rsid w:val="00044410"/>
    <w:rsid w:val="0004677D"/>
    <w:rsid w:val="00054392"/>
    <w:rsid w:val="000578A3"/>
    <w:rsid w:val="000610CA"/>
    <w:rsid w:val="000632A7"/>
    <w:rsid w:val="000648CC"/>
    <w:rsid w:val="00071126"/>
    <w:rsid w:val="00072D96"/>
    <w:rsid w:val="00090EF1"/>
    <w:rsid w:val="000C1609"/>
    <w:rsid w:val="000C59B8"/>
    <w:rsid w:val="000C6AF0"/>
    <w:rsid w:val="000D0A77"/>
    <w:rsid w:val="000F4174"/>
    <w:rsid w:val="000F7993"/>
    <w:rsid w:val="00104F33"/>
    <w:rsid w:val="00111DE2"/>
    <w:rsid w:val="00116B38"/>
    <w:rsid w:val="001267CC"/>
    <w:rsid w:val="00135406"/>
    <w:rsid w:val="00135972"/>
    <w:rsid w:val="001426A9"/>
    <w:rsid w:val="00147698"/>
    <w:rsid w:val="001518D6"/>
    <w:rsid w:val="00154C99"/>
    <w:rsid w:val="00154D7C"/>
    <w:rsid w:val="001553F6"/>
    <w:rsid w:val="00155506"/>
    <w:rsid w:val="001570B0"/>
    <w:rsid w:val="0015752C"/>
    <w:rsid w:val="00157737"/>
    <w:rsid w:val="0016057E"/>
    <w:rsid w:val="00162250"/>
    <w:rsid w:val="00165277"/>
    <w:rsid w:val="00170592"/>
    <w:rsid w:val="00171C12"/>
    <w:rsid w:val="001720F7"/>
    <w:rsid w:val="00176369"/>
    <w:rsid w:val="00195D83"/>
    <w:rsid w:val="001A00C1"/>
    <w:rsid w:val="001A3E32"/>
    <w:rsid w:val="001B33E0"/>
    <w:rsid w:val="001B4573"/>
    <w:rsid w:val="001C779F"/>
    <w:rsid w:val="001D20B5"/>
    <w:rsid w:val="001D2AC1"/>
    <w:rsid w:val="001D49FB"/>
    <w:rsid w:val="001D4E88"/>
    <w:rsid w:val="001D4EE3"/>
    <w:rsid w:val="001E3D1E"/>
    <w:rsid w:val="001E6709"/>
    <w:rsid w:val="001E6BCF"/>
    <w:rsid w:val="00206066"/>
    <w:rsid w:val="00220FC2"/>
    <w:rsid w:val="002222F4"/>
    <w:rsid w:val="00224FC0"/>
    <w:rsid w:val="00225EA4"/>
    <w:rsid w:val="00226EAF"/>
    <w:rsid w:val="00231F3A"/>
    <w:rsid w:val="002406EE"/>
    <w:rsid w:val="00243EC8"/>
    <w:rsid w:val="0025508E"/>
    <w:rsid w:val="00270D93"/>
    <w:rsid w:val="00273ABC"/>
    <w:rsid w:val="002745CC"/>
    <w:rsid w:val="00283250"/>
    <w:rsid w:val="00287801"/>
    <w:rsid w:val="0029305A"/>
    <w:rsid w:val="00295A7E"/>
    <w:rsid w:val="002A4087"/>
    <w:rsid w:val="002A4F88"/>
    <w:rsid w:val="002B6FBE"/>
    <w:rsid w:val="002B7924"/>
    <w:rsid w:val="002C10A6"/>
    <w:rsid w:val="002D28C3"/>
    <w:rsid w:val="002D395A"/>
    <w:rsid w:val="002D39A4"/>
    <w:rsid w:val="002D6A53"/>
    <w:rsid w:val="002E6705"/>
    <w:rsid w:val="002E6F1D"/>
    <w:rsid w:val="002F7C14"/>
    <w:rsid w:val="00300CCA"/>
    <w:rsid w:val="0030329A"/>
    <w:rsid w:val="0031086F"/>
    <w:rsid w:val="0031414C"/>
    <w:rsid w:val="00314E01"/>
    <w:rsid w:val="0032089D"/>
    <w:rsid w:val="003310DE"/>
    <w:rsid w:val="003323B0"/>
    <w:rsid w:val="00340494"/>
    <w:rsid w:val="00340A49"/>
    <w:rsid w:val="00342A59"/>
    <w:rsid w:val="0035169A"/>
    <w:rsid w:val="0035259D"/>
    <w:rsid w:val="003541EB"/>
    <w:rsid w:val="00364B18"/>
    <w:rsid w:val="00371625"/>
    <w:rsid w:val="003718E0"/>
    <w:rsid w:val="00372408"/>
    <w:rsid w:val="00391422"/>
    <w:rsid w:val="00395029"/>
    <w:rsid w:val="003A125D"/>
    <w:rsid w:val="003A4C70"/>
    <w:rsid w:val="003B215F"/>
    <w:rsid w:val="003B5880"/>
    <w:rsid w:val="003B628C"/>
    <w:rsid w:val="003C0EB1"/>
    <w:rsid w:val="003C1395"/>
    <w:rsid w:val="003C799C"/>
    <w:rsid w:val="003D0399"/>
    <w:rsid w:val="003D49CD"/>
    <w:rsid w:val="003E1C71"/>
    <w:rsid w:val="003F327B"/>
    <w:rsid w:val="00403CEC"/>
    <w:rsid w:val="00406166"/>
    <w:rsid w:val="0040704B"/>
    <w:rsid w:val="00410A55"/>
    <w:rsid w:val="00411300"/>
    <w:rsid w:val="00413F17"/>
    <w:rsid w:val="00415417"/>
    <w:rsid w:val="00422D8D"/>
    <w:rsid w:val="00424CEF"/>
    <w:rsid w:val="00426659"/>
    <w:rsid w:val="00434AA8"/>
    <w:rsid w:val="004401B8"/>
    <w:rsid w:val="00450352"/>
    <w:rsid w:val="00452D76"/>
    <w:rsid w:val="00452E06"/>
    <w:rsid w:val="00454BDB"/>
    <w:rsid w:val="00461EEF"/>
    <w:rsid w:val="00465132"/>
    <w:rsid w:val="00480C90"/>
    <w:rsid w:val="0048396F"/>
    <w:rsid w:val="00493C18"/>
    <w:rsid w:val="004A25E3"/>
    <w:rsid w:val="004A600C"/>
    <w:rsid w:val="004A6118"/>
    <w:rsid w:val="004B092E"/>
    <w:rsid w:val="004B37B5"/>
    <w:rsid w:val="004C478D"/>
    <w:rsid w:val="004C6AF4"/>
    <w:rsid w:val="004D5D46"/>
    <w:rsid w:val="004D7D95"/>
    <w:rsid w:val="004E2C26"/>
    <w:rsid w:val="004F117F"/>
    <w:rsid w:val="005106A7"/>
    <w:rsid w:val="00510A0F"/>
    <w:rsid w:val="005125A8"/>
    <w:rsid w:val="00513F9E"/>
    <w:rsid w:val="00515282"/>
    <w:rsid w:val="00517549"/>
    <w:rsid w:val="00520ABC"/>
    <w:rsid w:val="00521AE8"/>
    <w:rsid w:val="00527180"/>
    <w:rsid w:val="00534898"/>
    <w:rsid w:val="0053640D"/>
    <w:rsid w:val="00546099"/>
    <w:rsid w:val="00555291"/>
    <w:rsid w:val="00566AD1"/>
    <w:rsid w:val="00575FA2"/>
    <w:rsid w:val="0058189C"/>
    <w:rsid w:val="00583EDE"/>
    <w:rsid w:val="00587D61"/>
    <w:rsid w:val="0059334E"/>
    <w:rsid w:val="005A6079"/>
    <w:rsid w:val="005B2E96"/>
    <w:rsid w:val="005B7F01"/>
    <w:rsid w:val="005C5221"/>
    <w:rsid w:val="005C54CE"/>
    <w:rsid w:val="005C6D6F"/>
    <w:rsid w:val="005D75CA"/>
    <w:rsid w:val="005E4698"/>
    <w:rsid w:val="005E482C"/>
    <w:rsid w:val="005F6021"/>
    <w:rsid w:val="00603924"/>
    <w:rsid w:val="00607E14"/>
    <w:rsid w:val="00610539"/>
    <w:rsid w:val="00610B82"/>
    <w:rsid w:val="00611D17"/>
    <w:rsid w:val="00613969"/>
    <w:rsid w:val="00613B86"/>
    <w:rsid w:val="006223D4"/>
    <w:rsid w:val="00625C35"/>
    <w:rsid w:val="00630AF9"/>
    <w:rsid w:val="00636FE3"/>
    <w:rsid w:val="00637123"/>
    <w:rsid w:val="00637E44"/>
    <w:rsid w:val="00645EC1"/>
    <w:rsid w:val="00647E49"/>
    <w:rsid w:val="006527A5"/>
    <w:rsid w:val="006542B9"/>
    <w:rsid w:val="0065502C"/>
    <w:rsid w:val="00656313"/>
    <w:rsid w:val="006565F4"/>
    <w:rsid w:val="00671AEF"/>
    <w:rsid w:val="00672A1D"/>
    <w:rsid w:val="0067510A"/>
    <w:rsid w:val="00684EEA"/>
    <w:rsid w:val="0069689B"/>
    <w:rsid w:val="006A1255"/>
    <w:rsid w:val="006A18D4"/>
    <w:rsid w:val="006A41CB"/>
    <w:rsid w:val="006B0B7D"/>
    <w:rsid w:val="006B5FF5"/>
    <w:rsid w:val="006C2649"/>
    <w:rsid w:val="006D2D06"/>
    <w:rsid w:val="006E36F2"/>
    <w:rsid w:val="006F30AF"/>
    <w:rsid w:val="006F6FE9"/>
    <w:rsid w:val="00701759"/>
    <w:rsid w:val="00705C15"/>
    <w:rsid w:val="0070646B"/>
    <w:rsid w:val="00710758"/>
    <w:rsid w:val="007110F6"/>
    <w:rsid w:val="007110FF"/>
    <w:rsid w:val="007208D1"/>
    <w:rsid w:val="00740BCD"/>
    <w:rsid w:val="00744518"/>
    <w:rsid w:val="00747288"/>
    <w:rsid w:val="00747DD3"/>
    <w:rsid w:val="007549C8"/>
    <w:rsid w:val="00766D14"/>
    <w:rsid w:val="00767A0F"/>
    <w:rsid w:val="00770FAD"/>
    <w:rsid w:val="00791272"/>
    <w:rsid w:val="007A05F6"/>
    <w:rsid w:val="007B2569"/>
    <w:rsid w:val="007B6F4A"/>
    <w:rsid w:val="007D7E48"/>
    <w:rsid w:val="007E0435"/>
    <w:rsid w:val="007E1610"/>
    <w:rsid w:val="007E1C47"/>
    <w:rsid w:val="007E337A"/>
    <w:rsid w:val="007E5C70"/>
    <w:rsid w:val="007F2FF5"/>
    <w:rsid w:val="007F3F08"/>
    <w:rsid w:val="00804399"/>
    <w:rsid w:val="00804CC6"/>
    <w:rsid w:val="008120B8"/>
    <w:rsid w:val="00813CD4"/>
    <w:rsid w:val="00817190"/>
    <w:rsid w:val="008260E2"/>
    <w:rsid w:val="008322BD"/>
    <w:rsid w:val="00834F73"/>
    <w:rsid w:val="00855DA8"/>
    <w:rsid w:val="00860A3D"/>
    <w:rsid w:val="00864C8A"/>
    <w:rsid w:val="00864CF8"/>
    <w:rsid w:val="008676D2"/>
    <w:rsid w:val="00872A3F"/>
    <w:rsid w:val="00874914"/>
    <w:rsid w:val="00881A6F"/>
    <w:rsid w:val="00890FD6"/>
    <w:rsid w:val="00891422"/>
    <w:rsid w:val="00892E1A"/>
    <w:rsid w:val="008B660A"/>
    <w:rsid w:val="008C01DA"/>
    <w:rsid w:val="008C4290"/>
    <w:rsid w:val="008D2144"/>
    <w:rsid w:val="008E2E01"/>
    <w:rsid w:val="008F2674"/>
    <w:rsid w:val="008F78E9"/>
    <w:rsid w:val="00915739"/>
    <w:rsid w:val="009179F9"/>
    <w:rsid w:val="00917C7A"/>
    <w:rsid w:val="00933E5E"/>
    <w:rsid w:val="00935218"/>
    <w:rsid w:val="00936D97"/>
    <w:rsid w:val="00937C52"/>
    <w:rsid w:val="009403F3"/>
    <w:rsid w:val="0094551C"/>
    <w:rsid w:val="0094782B"/>
    <w:rsid w:val="009555B7"/>
    <w:rsid w:val="009567AA"/>
    <w:rsid w:val="009602C9"/>
    <w:rsid w:val="00961803"/>
    <w:rsid w:val="00967374"/>
    <w:rsid w:val="00972A66"/>
    <w:rsid w:val="00977698"/>
    <w:rsid w:val="00987238"/>
    <w:rsid w:val="0099061C"/>
    <w:rsid w:val="009A02DC"/>
    <w:rsid w:val="009A343A"/>
    <w:rsid w:val="009A549A"/>
    <w:rsid w:val="009B2F23"/>
    <w:rsid w:val="009B57B3"/>
    <w:rsid w:val="009C4AD1"/>
    <w:rsid w:val="009D2920"/>
    <w:rsid w:val="009D5AEB"/>
    <w:rsid w:val="009D6881"/>
    <w:rsid w:val="009E640B"/>
    <w:rsid w:val="009F0E33"/>
    <w:rsid w:val="009F434C"/>
    <w:rsid w:val="009F56F5"/>
    <w:rsid w:val="00A009BA"/>
    <w:rsid w:val="00A06454"/>
    <w:rsid w:val="00A149DF"/>
    <w:rsid w:val="00A1755C"/>
    <w:rsid w:val="00A21B90"/>
    <w:rsid w:val="00A22AAC"/>
    <w:rsid w:val="00A25FBE"/>
    <w:rsid w:val="00A374F5"/>
    <w:rsid w:val="00A41805"/>
    <w:rsid w:val="00A51882"/>
    <w:rsid w:val="00A52AFB"/>
    <w:rsid w:val="00A548CB"/>
    <w:rsid w:val="00A5521C"/>
    <w:rsid w:val="00A63D82"/>
    <w:rsid w:val="00A643E7"/>
    <w:rsid w:val="00A6524C"/>
    <w:rsid w:val="00A73C38"/>
    <w:rsid w:val="00A76604"/>
    <w:rsid w:val="00A921A7"/>
    <w:rsid w:val="00AA201F"/>
    <w:rsid w:val="00AA35E0"/>
    <w:rsid w:val="00AA6235"/>
    <w:rsid w:val="00AB670D"/>
    <w:rsid w:val="00AC0644"/>
    <w:rsid w:val="00AC35C3"/>
    <w:rsid w:val="00AC592E"/>
    <w:rsid w:val="00AD13A3"/>
    <w:rsid w:val="00AD4374"/>
    <w:rsid w:val="00AF03C5"/>
    <w:rsid w:val="00AF04D6"/>
    <w:rsid w:val="00AF7752"/>
    <w:rsid w:val="00B000D8"/>
    <w:rsid w:val="00B00D59"/>
    <w:rsid w:val="00B00F75"/>
    <w:rsid w:val="00B03467"/>
    <w:rsid w:val="00B05AA5"/>
    <w:rsid w:val="00B145B6"/>
    <w:rsid w:val="00B24F1B"/>
    <w:rsid w:val="00B279EB"/>
    <w:rsid w:val="00B27F7C"/>
    <w:rsid w:val="00B41FC2"/>
    <w:rsid w:val="00B50C81"/>
    <w:rsid w:val="00B557F8"/>
    <w:rsid w:val="00B558BB"/>
    <w:rsid w:val="00B6626D"/>
    <w:rsid w:val="00B6744B"/>
    <w:rsid w:val="00B815FC"/>
    <w:rsid w:val="00B93FBC"/>
    <w:rsid w:val="00B962BA"/>
    <w:rsid w:val="00BA7DA0"/>
    <w:rsid w:val="00BB2EE4"/>
    <w:rsid w:val="00BB36EF"/>
    <w:rsid w:val="00BB4374"/>
    <w:rsid w:val="00BB4C09"/>
    <w:rsid w:val="00BB4C92"/>
    <w:rsid w:val="00BB768F"/>
    <w:rsid w:val="00BB7CB6"/>
    <w:rsid w:val="00BC2108"/>
    <w:rsid w:val="00BC319B"/>
    <w:rsid w:val="00BD0E9E"/>
    <w:rsid w:val="00BD1746"/>
    <w:rsid w:val="00BD1BEC"/>
    <w:rsid w:val="00BD32FF"/>
    <w:rsid w:val="00BF6FE9"/>
    <w:rsid w:val="00C02092"/>
    <w:rsid w:val="00C17ED2"/>
    <w:rsid w:val="00C207A6"/>
    <w:rsid w:val="00C208DD"/>
    <w:rsid w:val="00C20AF5"/>
    <w:rsid w:val="00C23F40"/>
    <w:rsid w:val="00C24D91"/>
    <w:rsid w:val="00C262EF"/>
    <w:rsid w:val="00C26DB2"/>
    <w:rsid w:val="00C44EEF"/>
    <w:rsid w:val="00C53F14"/>
    <w:rsid w:val="00C600CF"/>
    <w:rsid w:val="00C6084F"/>
    <w:rsid w:val="00C62A66"/>
    <w:rsid w:val="00C66359"/>
    <w:rsid w:val="00C71458"/>
    <w:rsid w:val="00C77613"/>
    <w:rsid w:val="00C828E7"/>
    <w:rsid w:val="00C86719"/>
    <w:rsid w:val="00C921DD"/>
    <w:rsid w:val="00CA3564"/>
    <w:rsid w:val="00CA6391"/>
    <w:rsid w:val="00CB1DA7"/>
    <w:rsid w:val="00CB4157"/>
    <w:rsid w:val="00CC0E55"/>
    <w:rsid w:val="00CD2497"/>
    <w:rsid w:val="00CD2971"/>
    <w:rsid w:val="00CD74D3"/>
    <w:rsid w:val="00CE036E"/>
    <w:rsid w:val="00CE3171"/>
    <w:rsid w:val="00CE5340"/>
    <w:rsid w:val="00CE5FA7"/>
    <w:rsid w:val="00CF1601"/>
    <w:rsid w:val="00CF5D83"/>
    <w:rsid w:val="00CF6AB7"/>
    <w:rsid w:val="00CF77C7"/>
    <w:rsid w:val="00D0172F"/>
    <w:rsid w:val="00D01E33"/>
    <w:rsid w:val="00D068A7"/>
    <w:rsid w:val="00D1303A"/>
    <w:rsid w:val="00D17476"/>
    <w:rsid w:val="00D17B0E"/>
    <w:rsid w:val="00D22AEB"/>
    <w:rsid w:val="00D32086"/>
    <w:rsid w:val="00D37A3F"/>
    <w:rsid w:val="00D37E14"/>
    <w:rsid w:val="00D4431D"/>
    <w:rsid w:val="00D4667A"/>
    <w:rsid w:val="00D60ED2"/>
    <w:rsid w:val="00D63A1C"/>
    <w:rsid w:val="00D70D77"/>
    <w:rsid w:val="00D7516F"/>
    <w:rsid w:val="00D75712"/>
    <w:rsid w:val="00D85764"/>
    <w:rsid w:val="00D95F6E"/>
    <w:rsid w:val="00D95F8E"/>
    <w:rsid w:val="00DA0590"/>
    <w:rsid w:val="00DA64B2"/>
    <w:rsid w:val="00DB4C0D"/>
    <w:rsid w:val="00DC1739"/>
    <w:rsid w:val="00DC1788"/>
    <w:rsid w:val="00DD0CA0"/>
    <w:rsid w:val="00DE319C"/>
    <w:rsid w:val="00DE6C56"/>
    <w:rsid w:val="00DF0CA8"/>
    <w:rsid w:val="00DF0CBF"/>
    <w:rsid w:val="00DF2B48"/>
    <w:rsid w:val="00DF49A7"/>
    <w:rsid w:val="00DF7EDF"/>
    <w:rsid w:val="00E00778"/>
    <w:rsid w:val="00E01324"/>
    <w:rsid w:val="00E0331C"/>
    <w:rsid w:val="00E038B2"/>
    <w:rsid w:val="00E07EE2"/>
    <w:rsid w:val="00E07FD1"/>
    <w:rsid w:val="00E13C23"/>
    <w:rsid w:val="00E24573"/>
    <w:rsid w:val="00E25E1E"/>
    <w:rsid w:val="00E27EE7"/>
    <w:rsid w:val="00E35404"/>
    <w:rsid w:val="00E420C4"/>
    <w:rsid w:val="00E45109"/>
    <w:rsid w:val="00E47B7A"/>
    <w:rsid w:val="00E52150"/>
    <w:rsid w:val="00E54647"/>
    <w:rsid w:val="00E56A44"/>
    <w:rsid w:val="00E60269"/>
    <w:rsid w:val="00E611DB"/>
    <w:rsid w:val="00E676CD"/>
    <w:rsid w:val="00E75381"/>
    <w:rsid w:val="00E841A1"/>
    <w:rsid w:val="00E97830"/>
    <w:rsid w:val="00EA18BB"/>
    <w:rsid w:val="00EE0830"/>
    <w:rsid w:val="00EE6CB8"/>
    <w:rsid w:val="00EF0683"/>
    <w:rsid w:val="00F0070C"/>
    <w:rsid w:val="00F00EB7"/>
    <w:rsid w:val="00F116C1"/>
    <w:rsid w:val="00F118AA"/>
    <w:rsid w:val="00F20D7C"/>
    <w:rsid w:val="00F348A1"/>
    <w:rsid w:val="00F36AB6"/>
    <w:rsid w:val="00F37A09"/>
    <w:rsid w:val="00F37E19"/>
    <w:rsid w:val="00F409CE"/>
    <w:rsid w:val="00F411B7"/>
    <w:rsid w:val="00F432CF"/>
    <w:rsid w:val="00F4379D"/>
    <w:rsid w:val="00F50D2D"/>
    <w:rsid w:val="00F56C8B"/>
    <w:rsid w:val="00F62639"/>
    <w:rsid w:val="00F644C0"/>
    <w:rsid w:val="00F66810"/>
    <w:rsid w:val="00F84DF4"/>
    <w:rsid w:val="00F85C97"/>
    <w:rsid w:val="00FA6B6F"/>
    <w:rsid w:val="00FB37D2"/>
    <w:rsid w:val="00FB6233"/>
    <w:rsid w:val="00FB7FC4"/>
    <w:rsid w:val="00FC0EDF"/>
    <w:rsid w:val="00FC3D22"/>
    <w:rsid w:val="00FC4EFB"/>
    <w:rsid w:val="00FD068D"/>
    <w:rsid w:val="00FD4F28"/>
    <w:rsid w:val="00FE6784"/>
    <w:rsid w:val="00FE7A8B"/>
    <w:rsid w:val="00FF3F48"/>
    <w:rsid w:val="00FF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28C"/>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reflex3-alt">
    <w:name w:val="reflex3-alt"/>
    <w:basedOn w:val="DefaultParagraphFont"/>
    <w:rsid w:val="00872A3F"/>
  </w:style>
  <w:style w:type="character" w:customStyle="1" w:styleId="sccrespondentforrunningheadchar1">
    <w:name w:val="sccrespondentforrunningheadchar1"/>
    <w:basedOn w:val="DefaultParagraphFont"/>
    <w:rsid w:val="00872A3F"/>
    <w:rPr>
      <w:rFonts w:ascii="Times New Roman" w:hAnsi="Times New Roman" w:cs="Times New Roman" w:hint="default"/>
      <w:smallCaps/>
    </w:rPr>
  </w:style>
  <w:style w:type="paragraph" w:customStyle="1" w:styleId="ParaNoNdepar-AltN">
    <w:name w:val="Para. No. / Nº de par. - Alt N"/>
    <w:link w:val="ParaNoNdepar-AltNChar"/>
    <w:qFormat/>
    <w:rsid w:val="0004677D"/>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04677D"/>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C208DD"/>
    <w:pPr>
      <w:spacing w:after="480"/>
    </w:pPr>
    <w:rPr>
      <w:rFonts w:eastAsiaTheme="minorHAnsi" w:cstheme="minorBidi"/>
      <w:szCs w:val="22"/>
      <w:lang w:eastAsia="en-US"/>
    </w:rPr>
  </w:style>
  <w:style w:type="paragraph" w:customStyle="1" w:styleId="SCCCoram">
    <w:name w:val="SCC.Coram"/>
    <w:basedOn w:val="Normal"/>
    <w:next w:val="Normal"/>
    <w:link w:val="SCCCoramChar"/>
    <w:rsid w:val="00C208D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C208DD"/>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C208DD"/>
    <w:rPr>
      <w:rFonts w:eastAsiaTheme="minorHAnsi" w:cstheme="minorBidi"/>
      <w:sz w:val="24"/>
      <w:szCs w:val="22"/>
      <w:lang w:eastAsia="en-US"/>
    </w:rPr>
  </w:style>
  <w:style w:type="character" w:customStyle="1" w:styleId="SCCBanSummaryChar">
    <w:name w:val="SCC.BanSummary Char"/>
    <w:basedOn w:val="DefaultParagraphFont"/>
    <w:link w:val="SCCBanSummary"/>
    <w:rsid w:val="00C208DD"/>
    <w:rPr>
      <w:b/>
      <w:sz w:val="24"/>
    </w:rPr>
  </w:style>
  <w:style w:type="table" w:styleId="TableGrid">
    <w:name w:val="Table Grid"/>
    <w:basedOn w:val="TableNormal"/>
    <w:uiPriority w:val="59"/>
    <w:rsid w:val="00C208DD"/>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08DD"/>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C208DD"/>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C208DD"/>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C208DD"/>
    <w:p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08DD"/>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C208DD"/>
    <w:pPr>
      <w:numPr>
        <w:ilvl w:val="2"/>
      </w:numPr>
      <w:outlineLvl w:val="2"/>
    </w:pPr>
  </w:style>
  <w:style w:type="paragraph" w:customStyle="1" w:styleId="Title4LevelTitre4Niveau">
    <w:name w:val="Title 4 Level / Titre 4 Niveau"/>
    <w:basedOn w:val="Title3LevelTitre3Niveau"/>
    <w:next w:val="ParaNoNdepar-AltN"/>
    <w:uiPriority w:val="4"/>
    <w:qFormat/>
    <w:rsid w:val="00C208DD"/>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C208DD"/>
    <w:pPr>
      <w:numPr>
        <w:ilvl w:val="4"/>
      </w:numPr>
      <w:outlineLvl w:val="4"/>
    </w:pPr>
  </w:style>
  <w:style w:type="paragraph" w:styleId="TOC1">
    <w:name w:val="toc 1"/>
    <w:basedOn w:val="Normal"/>
    <w:next w:val="Normal"/>
    <w:autoRedefine/>
    <w:uiPriority w:val="39"/>
    <w:unhideWhenUsed/>
    <w:rsid w:val="00C208DD"/>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C208DD"/>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C208DD"/>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C208DD"/>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C208DD"/>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C208DD"/>
    <w:pPr>
      <w:tabs>
        <w:tab w:val="left" w:pos="2160"/>
        <w:tab w:val="right" w:leader="dot" w:pos="8270"/>
      </w:tabs>
      <w:spacing w:after="100"/>
      <w:ind w:left="1800"/>
    </w:pPr>
    <w:rPr>
      <w:noProof/>
    </w:rPr>
  </w:style>
  <w:style w:type="table" w:customStyle="1" w:styleId="TableGrid1">
    <w:name w:val="Table Grid1"/>
    <w:basedOn w:val="TableNormal"/>
    <w:uiPriority w:val="59"/>
    <w:rsid w:val="00C208DD"/>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08DD"/>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08DD"/>
    <w:pPr>
      <w:numPr>
        <w:ilvl w:val="5"/>
        <w:numId w:val="7"/>
      </w:numPr>
      <w:outlineLvl w:val="5"/>
    </w:pPr>
    <w:rPr>
      <w:i/>
      <w:u w:val="none"/>
    </w:rPr>
  </w:style>
  <w:style w:type="paragraph" w:styleId="FootnoteText">
    <w:name w:val="footnote text"/>
    <w:basedOn w:val="Normal"/>
    <w:link w:val="FootnoteTextChar"/>
    <w:uiPriority w:val="99"/>
    <w:unhideWhenUsed/>
    <w:rsid w:val="00C208DD"/>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08DD"/>
  </w:style>
  <w:style w:type="character" w:styleId="FootnoteReference">
    <w:name w:val="footnote reference"/>
    <w:basedOn w:val="DefaultParagraphFont"/>
    <w:uiPriority w:val="99"/>
    <w:semiHidden/>
    <w:unhideWhenUsed/>
    <w:rsid w:val="00C208DD"/>
    <w:rPr>
      <w:vertAlign w:val="superscript"/>
    </w:rPr>
  </w:style>
  <w:style w:type="character" w:styleId="Hyperlink">
    <w:name w:val="Hyperlink"/>
    <w:basedOn w:val="DefaultParagraphFont"/>
    <w:uiPriority w:val="99"/>
    <w:unhideWhenUsed/>
    <w:rsid w:val="00C208DD"/>
    <w:rPr>
      <w:color w:val="0000FF" w:themeColor="hyperlink"/>
      <w:u w:val="single"/>
    </w:rPr>
  </w:style>
  <w:style w:type="character" w:styleId="CommentReference">
    <w:name w:val="annotation reference"/>
    <w:basedOn w:val="DefaultParagraphFont"/>
    <w:uiPriority w:val="99"/>
    <w:semiHidden/>
    <w:unhideWhenUsed/>
    <w:rsid w:val="00C208DD"/>
    <w:rPr>
      <w:sz w:val="16"/>
      <w:szCs w:val="16"/>
    </w:rPr>
  </w:style>
  <w:style w:type="paragraph" w:styleId="CommentText">
    <w:name w:val="annotation text"/>
    <w:basedOn w:val="Normal"/>
    <w:link w:val="CommentTextChar"/>
    <w:uiPriority w:val="99"/>
    <w:semiHidden/>
    <w:unhideWhenUsed/>
    <w:rsid w:val="00C208DD"/>
    <w:rPr>
      <w:sz w:val="20"/>
    </w:rPr>
  </w:style>
  <w:style w:type="character" w:customStyle="1" w:styleId="CommentTextChar">
    <w:name w:val="Comment Text Char"/>
    <w:basedOn w:val="DefaultParagraphFont"/>
    <w:link w:val="CommentText"/>
    <w:uiPriority w:val="99"/>
    <w:semiHidden/>
    <w:rsid w:val="00C208DD"/>
  </w:style>
  <w:style w:type="paragraph" w:styleId="CommentSubject">
    <w:name w:val="annotation subject"/>
    <w:basedOn w:val="CommentText"/>
    <w:next w:val="CommentText"/>
    <w:link w:val="CommentSubjectChar"/>
    <w:uiPriority w:val="99"/>
    <w:semiHidden/>
    <w:unhideWhenUsed/>
    <w:rsid w:val="00C208DD"/>
    <w:rPr>
      <w:b/>
      <w:bCs/>
    </w:rPr>
  </w:style>
  <w:style w:type="character" w:customStyle="1" w:styleId="CommentSubjectChar">
    <w:name w:val="Comment Subject Char"/>
    <w:basedOn w:val="CommentTextChar"/>
    <w:link w:val="CommentSubject"/>
    <w:uiPriority w:val="99"/>
    <w:semiHidden/>
    <w:rsid w:val="00C208DD"/>
    <w:rPr>
      <w:b/>
      <w:bCs/>
    </w:rPr>
  </w:style>
  <w:style w:type="paragraph" w:styleId="Revision">
    <w:name w:val="Revision"/>
    <w:hidden/>
    <w:uiPriority w:val="99"/>
    <w:semiHidden/>
    <w:rsid w:val="00C208DD"/>
    <w:rPr>
      <w:sz w:val="24"/>
      <w:szCs w:val="24"/>
    </w:rPr>
  </w:style>
  <w:style w:type="paragraph" w:styleId="ListParagraph">
    <w:name w:val="List Paragraph"/>
    <w:basedOn w:val="Normal"/>
    <w:uiPriority w:val="34"/>
    <w:qFormat/>
    <w:rsid w:val="00C208DD"/>
    <w:pPr>
      <w:ind w:left="720"/>
      <w:contextualSpacing/>
    </w:pPr>
    <w:rPr>
      <w:szCs w:val="24"/>
    </w:rPr>
  </w:style>
  <w:style w:type="character" w:customStyle="1" w:styleId="reflex3-block">
    <w:name w:val="reflex3-block"/>
    <w:basedOn w:val="DefaultParagraphFont"/>
    <w:rsid w:val="00C208DD"/>
  </w:style>
  <w:style w:type="character" w:styleId="Emphasis">
    <w:name w:val="Emphasis"/>
    <w:basedOn w:val="DefaultParagraphFont"/>
    <w:uiPriority w:val="20"/>
    <w:qFormat/>
    <w:rsid w:val="00C208DD"/>
    <w:rPr>
      <w:i/>
      <w:iCs/>
    </w:rPr>
  </w:style>
  <w:style w:type="character" w:customStyle="1" w:styleId="Italic">
    <w:name w:val="Italic"/>
    <w:basedOn w:val="DefaultParagraphFont"/>
    <w:uiPriority w:val="1"/>
    <w:rsid w:val="00C208DD"/>
    <w:rPr>
      <w:i/>
    </w:rPr>
  </w:style>
  <w:style w:type="table" w:customStyle="1" w:styleId="TableGrid2">
    <w:name w:val="Table Grid2"/>
    <w:basedOn w:val="TableNormal"/>
    <w:next w:val="TableGrid"/>
    <w:uiPriority w:val="59"/>
    <w:rsid w:val="00C208D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DB4C0D"/>
    <w:rPr>
      <w:lang w:val="fr-CA"/>
    </w:rPr>
  </w:style>
  <w:style w:type="paragraph" w:customStyle="1" w:styleId="SCCLsocPrefix">
    <w:name w:val="SCC.Lsoc.Prefix"/>
    <w:basedOn w:val="Normal"/>
    <w:next w:val="Normal"/>
    <w:link w:val="SCCLsocPrefixChar"/>
    <w:rsid w:val="00DB4C0D"/>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DB4C0D"/>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4A646-2E5E-430A-B0C9-ACF24F9E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19340</Words>
  <Characters>110243</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2018-05-10T15:08:00Z</dcterms:created>
  <dcterms:modified xsi:type="dcterms:W3CDTF">2019-03-25T19:00:00Z</dcterms:modified>
</cp:coreProperties>
</file>