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10" w:rsidRDefault="006F4A10" w:rsidP="00D87924">
      <w:pPr>
        <w:pStyle w:val="Header"/>
        <w:jc w:val="center"/>
      </w:pPr>
      <w:r>
        <w:ptab w:relativeTo="margin" w:alignment="center" w:leader="none"/>
      </w:r>
      <w:r w:rsidRPr="00F72014">
        <w:t xml:space="preserve"> </w:t>
      </w:r>
      <w:bookmarkStart w:id="0" w:name="_GoBack"/>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64.8pt" o:ole="">
            <v:imagedata r:id="rId7" o:title=""/>
          </v:shape>
          <o:OLEObject Type="Embed" ProgID="Presentations.Drawing.13" ShapeID="_x0000_i1025" DrawAspect="Content" ObjectID="_1615031428" r:id="rId8"/>
        </w:object>
      </w:r>
      <w:bookmarkEnd w:id="0"/>
      <w:r>
        <w:t xml:space="preserve"> </w:t>
      </w:r>
      <w:r>
        <w:ptab w:relativeTo="margin" w:alignment="right" w:leader="none"/>
      </w:r>
    </w:p>
    <w:p w:rsidR="006F4A10" w:rsidRDefault="006F4A10" w:rsidP="006F4A10">
      <w:pPr>
        <w:pStyle w:val="Header"/>
      </w:pPr>
    </w:p>
    <w:p w:rsidR="006F4A10" w:rsidRPr="001E12E2" w:rsidRDefault="006F4A10" w:rsidP="006F4A10">
      <w:pPr>
        <w:jc w:val="center"/>
        <w:rPr>
          <w:b/>
        </w:rPr>
      </w:pPr>
      <w:r w:rsidRPr="001E12E2">
        <w:rPr>
          <w:b/>
        </w:rPr>
        <w:t>COUR SUPRÊME DU CANADA</w:t>
      </w:r>
    </w:p>
    <w:p w:rsidR="006F4A10" w:rsidRDefault="006F4A10" w:rsidP="006F4A10"/>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940"/>
        <w:gridCol w:w="3636"/>
      </w:tblGrid>
      <w:tr w:rsidR="006F4A10" w:rsidRPr="001E12E2" w:rsidTr="00F44B1E">
        <w:trPr>
          <w:cantSplit/>
        </w:trPr>
        <w:tc>
          <w:tcPr>
            <w:tcW w:w="5940" w:type="dxa"/>
          </w:tcPr>
          <w:p w:rsidR="006F4A10" w:rsidRPr="001E12E2" w:rsidRDefault="006F4A10" w:rsidP="00F44B1E">
            <w:r>
              <w:rPr>
                <w:b/>
                <w:smallCaps/>
              </w:rPr>
              <w:t>Référence :</w:t>
            </w:r>
            <w:r w:rsidRPr="001E12E2">
              <w:t xml:space="preserve"> </w:t>
            </w:r>
            <w:r w:rsidRPr="002662EF">
              <w:t>Rankin</w:t>
            </w:r>
            <w:r>
              <w:t xml:space="preserve"> (Rankin’s Garage &amp; Sales)</w:t>
            </w:r>
            <w:r w:rsidRPr="002662EF">
              <w:t xml:space="preserve"> </w:t>
            </w:r>
            <w:r w:rsidRPr="007A120E">
              <w:rPr>
                <w:i/>
              </w:rPr>
              <w:t>c.</w:t>
            </w:r>
            <w:r>
              <w:t xml:space="preserve"> J.J., 2018 CSC </w:t>
            </w:r>
            <w:r w:rsidRPr="007D2473">
              <w:t>19</w:t>
            </w:r>
            <w:r>
              <w:t>, [2018] 1 R.C.S. 587</w:t>
            </w:r>
          </w:p>
        </w:tc>
        <w:tc>
          <w:tcPr>
            <w:tcW w:w="3636" w:type="dxa"/>
          </w:tcPr>
          <w:p w:rsidR="006F4A10" w:rsidRPr="006F4A10" w:rsidRDefault="006F4A10" w:rsidP="00F44B1E">
            <w:pPr>
              <w:rPr>
                <w:b/>
                <w:smallCaps/>
                <w:lang w:val="fr-CA"/>
              </w:rPr>
            </w:pPr>
            <w:r w:rsidRPr="006F4A10">
              <w:rPr>
                <w:b/>
                <w:smallCaps/>
                <w:lang w:val="fr-CA"/>
              </w:rPr>
              <w:t>Appel entendu :</w:t>
            </w:r>
            <w:r w:rsidRPr="006F4A10">
              <w:rPr>
                <w:lang w:val="fr-CA"/>
              </w:rPr>
              <w:t xml:space="preserve"> 5 octobre 2017</w:t>
            </w:r>
          </w:p>
          <w:p w:rsidR="006F4A10" w:rsidRPr="006F4A10" w:rsidRDefault="006F4A10" w:rsidP="00F44B1E">
            <w:pPr>
              <w:rPr>
                <w:lang w:val="fr-CA"/>
              </w:rPr>
            </w:pPr>
            <w:r w:rsidRPr="006F4A10">
              <w:rPr>
                <w:b/>
                <w:smallCaps/>
                <w:lang w:val="fr-CA"/>
              </w:rPr>
              <w:t>Jugement rendu :</w:t>
            </w:r>
            <w:r w:rsidRPr="006F4A10">
              <w:rPr>
                <w:lang w:val="fr-CA"/>
              </w:rPr>
              <w:t xml:space="preserve"> 11 mai 2018</w:t>
            </w:r>
          </w:p>
          <w:p w:rsidR="006F4A10" w:rsidRPr="001E12E2" w:rsidRDefault="006F4A10" w:rsidP="00F44B1E">
            <w:r w:rsidRPr="001E12E2">
              <w:rPr>
                <w:b/>
                <w:smallCaps/>
              </w:rPr>
              <w:t>Do</w:t>
            </w:r>
            <w:r>
              <w:rPr>
                <w:b/>
                <w:smallCaps/>
              </w:rPr>
              <w:t>ssier :</w:t>
            </w:r>
            <w:r w:rsidRPr="001E12E2">
              <w:t xml:space="preserve"> </w:t>
            </w:r>
            <w:r>
              <w:t>37323</w:t>
            </w:r>
          </w:p>
        </w:tc>
      </w:tr>
    </w:tbl>
    <w:p w:rsidR="006F4A10" w:rsidRPr="001E12E2" w:rsidRDefault="006F4A10" w:rsidP="006F4A10"/>
    <w:p w:rsidR="006F4A10" w:rsidRDefault="006F4A10" w:rsidP="006F4A10">
      <w:pPr>
        <w:pStyle w:val="SCCLsocPrefix"/>
      </w:pPr>
      <w:r>
        <w:t>Entre :</w:t>
      </w:r>
    </w:p>
    <w:p w:rsidR="006F4A10" w:rsidRPr="004E761F" w:rsidRDefault="006F4A10" w:rsidP="006F4A10"/>
    <w:p w:rsidR="006F4A10" w:rsidRPr="006F4A10" w:rsidRDefault="006F4A10" w:rsidP="006F4A10">
      <w:pPr>
        <w:pStyle w:val="SCCLsocParty"/>
        <w:jc w:val="center"/>
        <w:rPr>
          <w:lang w:val="fr-CA"/>
        </w:rPr>
      </w:pPr>
      <w:r w:rsidRPr="006F4A10">
        <w:rPr>
          <w:lang w:val="fr-CA"/>
        </w:rPr>
        <w:t>James Chadwick Rankin, faisant affaire sous le nom Rankin’s Garage &amp; Sales</w:t>
      </w:r>
    </w:p>
    <w:p w:rsidR="006F4A10" w:rsidRPr="00D87924" w:rsidRDefault="006F4A10" w:rsidP="006F4A10">
      <w:pPr>
        <w:jc w:val="center"/>
        <w:rPr>
          <w:lang w:val="fr-CA"/>
        </w:rPr>
      </w:pPr>
      <w:r w:rsidRPr="00D87924">
        <w:rPr>
          <w:lang w:val="fr-CA"/>
        </w:rPr>
        <w:t>Appelant</w:t>
      </w:r>
    </w:p>
    <w:p w:rsidR="006F4A10" w:rsidRPr="00D87924" w:rsidRDefault="006F4A10" w:rsidP="006F4A10">
      <w:pPr>
        <w:jc w:val="center"/>
        <w:rPr>
          <w:lang w:val="fr-CA"/>
        </w:rPr>
      </w:pPr>
    </w:p>
    <w:p w:rsidR="006F4A10" w:rsidRPr="00D87924" w:rsidRDefault="006F4A10" w:rsidP="006F4A10">
      <w:pPr>
        <w:pStyle w:val="SCCLsocVersus"/>
        <w:spacing w:after="0"/>
        <w:jc w:val="center"/>
        <w:rPr>
          <w:i w:val="0"/>
          <w:lang w:val="fr-CA"/>
        </w:rPr>
      </w:pPr>
      <w:r w:rsidRPr="00D87924">
        <w:rPr>
          <w:i w:val="0"/>
          <w:lang w:val="fr-CA"/>
        </w:rPr>
        <w:t>et</w:t>
      </w:r>
    </w:p>
    <w:p w:rsidR="006F4A10" w:rsidRPr="00D87924" w:rsidRDefault="006F4A10" w:rsidP="006F4A10">
      <w:pPr>
        <w:jc w:val="center"/>
        <w:rPr>
          <w:lang w:val="fr-CA"/>
        </w:rPr>
      </w:pPr>
    </w:p>
    <w:p w:rsidR="006F4A10" w:rsidRPr="006F4A10" w:rsidRDefault="006F4A10" w:rsidP="006F4A10">
      <w:pPr>
        <w:pStyle w:val="SCCLsocParty"/>
        <w:jc w:val="center"/>
        <w:rPr>
          <w:lang w:val="fr-CA"/>
        </w:rPr>
      </w:pPr>
      <w:r w:rsidRPr="006F4A10">
        <w:rPr>
          <w:lang w:val="fr-CA"/>
        </w:rPr>
        <w:t>J.J., représenté par son tuteur à l’instance, J.A.J., J.A.J., A.J. et C.C.</w:t>
      </w:r>
    </w:p>
    <w:p w:rsidR="006F4A10" w:rsidRDefault="006F4A10" w:rsidP="006F4A10">
      <w:pPr>
        <w:jc w:val="center"/>
      </w:pPr>
      <w:r>
        <w:t>Intimé</w:t>
      </w:r>
      <w:r w:rsidRPr="004E761F">
        <w:t>s</w:t>
      </w:r>
    </w:p>
    <w:p w:rsidR="006F4A10" w:rsidRPr="004E761F" w:rsidRDefault="006F4A10" w:rsidP="006F4A10">
      <w:pPr>
        <w:jc w:val="center"/>
      </w:pPr>
    </w:p>
    <w:p w:rsidR="006F4A10" w:rsidRPr="004E761F" w:rsidRDefault="006F4A10" w:rsidP="006F4A10">
      <w:pPr>
        <w:pStyle w:val="SCCLsocOtherPartySeparator"/>
        <w:spacing w:after="0"/>
        <w:jc w:val="center"/>
      </w:pPr>
      <w:r w:rsidRPr="004E761F">
        <w:t>- et -</w:t>
      </w:r>
    </w:p>
    <w:p w:rsidR="006F4A10" w:rsidRDefault="006F4A10" w:rsidP="006F4A10">
      <w:pPr>
        <w:pStyle w:val="SCCLsocParty"/>
        <w:jc w:val="center"/>
      </w:pPr>
    </w:p>
    <w:p w:rsidR="006F4A10" w:rsidRPr="004E761F" w:rsidRDefault="006F4A10" w:rsidP="006F4A10">
      <w:pPr>
        <w:pStyle w:val="SCCLsocParty"/>
        <w:jc w:val="center"/>
      </w:pPr>
      <w:r w:rsidRPr="004E761F">
        <w:t>Ontario Trial Lawyers Association et Justice for Children and Youth</w:t>
      </w:r>
    </w:p>
    <w:p w:rsidR="006F4A10" w:rsidRPr="00D87924" w:rsidRDefault="006F4A10" w:rsidP="006F4A10">
      <w:pPr>
        <w:jc w:val="center"/>
        <w:rPr>
          <w:lang w:val="fr-CA"/>
        </w:rPr>
      </w:pPr>
      <w:r w:rsidRPr="00D87924">
        <w:rPr>
          <w:lang w:val="fr-CA"/>
        </w:rPr>
        <w:t>Intervenantes</w:t>
      </w:r>
    </w:p>
    <w:p w:rsidR="006F4A10" w:rsidRPr="00D87924" w:rsidRDefault="006F4A10" w:rsidP="006F4A10">
      <w:pPr>
        <w:rPr>
          <w:lang w:val="fr-CA"/>
        </w:rPr>
      </w:pPr>
    </w:p>
    <w:p w:rsidR="006F4A10" w:rsidRDefault="006F4A10" w:rsidP="006F4A10">
      <w:pPr>
        <w:pStyle w:val="SCCRestrictionOnPublicationText"/>
      </w:pPr>
    </w:p>
    <w:p w:rsidR="006F4A10" w:rsidRPr="00D87924" w:rsidRDefault="006F4A10" w:rsidP="006F4A10">
      <w:pPr>
        <w:rPr>
          <w:lang w:val="fr-CA"/>
        </w:rPr>
      </w:pPr>
    </w:p>
    <w:p w:rsidR="006F4A10" w:rsidRPr="00D87924" w:rsidRDefault="006F4A10" w:rsidP="006F4A10">
      <w:pPr>
        <w:jc w:val="center"/>
        <w:rPr>
          <w:b/>
          <w:smallCaps/>
          <w:lang w:val="fr-CA"/>
        </w:rPr>
      </w:pPr>
      <w:r w:rsidRPr="00D87924">
        <w:rPr>
          <w:b/>
          <w:smallCaps/>
          <w:lang w:val="fr-CA"/>
        </w:rPr>
        <w:t>Traduction française officielle</w:t>
      </w:r>
    </w:p>
    <w:p w:rsidR="006F4A10" w:rsidRPr="00D87924" w:rsidRDefault="006F4A10" w:rsidP="006F4A10">
      <w:pPr>
        <w:rPr>
          <w:lang w:val="fr-CA"/>
        </w:rPr>
      </w:pPr>
    </w:p>
    <w:p w:rsidR="006F4A10" w:rsidRPr="006F4A10" w:rsidRDefault="006F4A10" w:rsidP="006F4A10">
      <w:pPr>
        <w:rPr>
          <w:lang w:val="fr-CA"/>
        </w:rPr>
      </w:pPr>
      <w:r w:rsidRPr="006F4A10">
        <w:rPr>
          <w:b/>
          <w:smallCaps/>
          <w:lang w:val="fr-CA"/>
        </w:rPr>
        <w:t>Coram :</w:t>
      </w:r>
      <w:r w:rsidRPr="006F4A10">
        <w:rPr>
          <w:lang w:val="fr-CA"/>
        </w:rPr>
        <w:t xml:space="preserve"> La juge en chef McLachlin et les juges Abella, Moldaver, Karakatsanis, Wagner, Gascon, Côté, Brown et Rowe</w:t>
      </w:r>
    </w:p>
    <w:p w:rsidR="006F4A10" w:rsidRPr="006F4A10" w:rsidRDefault="006F4A10" w:rsidP="006F4A10">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6F4A10" w:rsidRPr="00D87924" w:rsidTr="00F44B1E">
        <w:trPr>
          <w:cantSplit/>
        </w:trPr>
        <w:tc>
          <w:tcPr>
            <w:tcW w:w="3618" w:type="dxa"/>
          </w:tcPr>
          <w:p w:rsidR="006F4A10" w:rsidRPr="006F4A10" w:rsidRDefault="006F4A10" w:rsidP="00F44B1E">
            <w:pPr>
              <w:rPr>
                <w:lang w:val="fr-CA"/>
              </w:rPr>
            </w:pPr>
            <w:r w:rsidRPr="006F4A10">
              <w:rPr>
                <w:b/>
                <w:smallCaps/>
                <w:lang w:val="fr-CA"/>
              </w:rPr>
              <w:t>Motifs de jugement :</w:t>
            </w:r>
            <w:r w:rsidRPr="006F4A10">
              <w:rPr>
                <w:lang w:val="fr-CA"/>
              </w:rPr>
              <w:t xml:space="preserve"> </w:t>
            </w:r>
          </w:p>
          <w:p w:rsidR="006F4A10" w:rsidRPr="006F4A10" w:rsidRDefault="006F4A10" w:rsidP="00F44B1E">
            <w:pPr>
              <w:rPr>
                <w:lang w:val="fr-CA"/>
              </w:rPr>
            </w:pPr>
            <w:r w:rsidRPr="006F4A10">
              <w:rPr>
                <w:lang w:val="fr-CA"/>
              </w:rPr>
              <w:t>(par. 1 à 67)</w:t>
            </w:r>
          </w:p>
        </w:tc>
        <w:tc>
          <w:tcPr>
            <w:tcW w:w="5958" w:type="dxa"/>
          </w:tcPr>
          <w:p w:rsidR="006F4A10" w:rsidRPr="006F4A10" w:rsidRDefault="006F4A10" w:rsidP="00F44B1E">
            <w:pPr>
              <w:rPr>
                <w:lang w:val="fr-CA"/>
              </w:rPr>
            </w:pPr>
            <w:r w:rsidRPr="006F4A10">
              <w:rPr>
                <w:lang w:val="fr-CA"/>
              </w:rPr>
              <w:t>La juge Karakatsanis (avec l’accord de la juge en chef McLachlin et des juges Abella, Moldaver, Wagner, Côté et Rowe)</w:t>
            </w:r>
          </w:p>
          <w:p w:rsidR="006F4A10" w:rsidRPr="006F4A10" w:rsidRDefault="006F4A10" w:rsidP="00F44B1E">
            <w:pPr>
              <w:rPr>
                <w:lang w:val="fr-CA"/>
              </w:rPr>
            </w:pPr>
          </w:p>
        </w:tc>
      </w:tr>
      <w:tr w:rsidR="006F4A10" w:rsidRPr="00D87924" w:rsidTr="00F44B1E">
        <w:trPr>
          <w:cantSplit/>
        </w:trPr>
        <w:tc>
          <w:tcPr>
            <w:tcW w:w="3618" w:type="dxa"/>
          </w:tcPr>
          <w:p w:rsidR="006F4A10" w:rsidRDefault="006F4A10" w:rsidP="00F44B1E">
            <w:r>
              <w:rPr>
                <w:b/>
                <w:smallCaps/>
              </w:rPr>
              <w:t>Motifs dissidents :</w:t>
            </w:r>
            <w:r>
              <w:t xml:space="preserve"> </w:t>
            </w:r>
          </w:p>
          <w:p w:rsidR="006F4A10" w:rsidRDefault="006F4A10" w:rsidP="00F44B1E">
            <w:r w:rsidRPr="007D2473">
              <w:t>(par. 68 à 85)</w:t>
            </w:r>
          </w:p>
          <w:p w:rsidR="006F4A10" w:rsidRDefault="006F4A10" w:rsidP="00F44B1E">
            <w:pPr>
              <w:rPr>
                <w:b/>
                <w:smallCaps/>
              </w:rPr>
            </w:pPr>
          </w:p>
        </w:tc>
        <w:tc>
          <w:tcPr>
            <w:tcW w:w="5958" w:type="dxa"/>
          </w:tcPr>
          <w:p w:rsidR="006F4A10" w:rsidRPr="006F4A10" w:rsidRDefault="006F4A10" w:rsidP="00F44B1E">
            <w:pPr>
              <w:rPr>
                <w:lang w:val="fr-CA"/>
              </w:rPr>
            </w:pPr>
            <w:r w:rsidRPr="006F4A10">
              <w:rPr>
                <w:lang w:val="fr-CA"/>
              </w:rPr>
              <w:t>Le juge Brown (avec l’accord du juge Gascon)</w:t>
            </w:r>
          </w:p>
        </w:tc>
      </w:tr>
    </w:tbl>
    <w:p w:rsidR="006F4A10" w:rsidRPr="006F4A10" w:rsidRDefault="006F4A10" w:rsidP="006F4A10">
      <w:pPr>
        <w:rPr>
          <w:lang w:val="fr-CA"/>
        </w:rPr>
      </w:pPr>
    </w:p>
    <w:p w:rsidR="006F4A10" w:rsidRPr="006F4A10" w:rsidRDefault="006F4A10" w:rsidP="006F4A10">
      <w:pPr>
        <w:rPr>
          <w:lang w:val="fr-CA"/>
        </w:rPr>
      </w:pPr>
      <w:r>
        <w:rPr>
          <w:noProof/>
          <w:lang w:val="en-US" w:eastAsia="en-US"/>
        </w:rPr>
        <mc:AlternateContent>
          <mc:Choice Requires="wps">
            <w:drawing>
              <wp:anchor distT="0" distB="0" distL="114300" distR="114300" simplePos="0" relativeHeight="251659264" behindDoc="0" locked="0" layoutInCell="1" allowOverlap="1" wp14:anchorId="5F9C3F47" wp14:editId="08347431">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8012B"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6F4A10" w:rsidRPr="006F4A10" w:rsidRDefault="006F4A10" w:rsidP="00CB7ABA">
      <w:pPr>
        <w:spacing w:after="720"/>
        <w:jc w:val="both"/>
        <w:rPr>
          <w:rStyle w:val="SCCAppellantForRunningHeadChar"/>
          <w:smallCaps w:val="0"/>
          <w:lang w:val="fr-CA"/>
        </w:rPr>
      </w:pPr>
    </w:p>
    <w:p w:rsidR="004D7D95" w:rsidRPr="00EF4B18" w:rsidRDefault="00EF4B18" w:rsidP="00CB7ABA">
      <w:pPr>
        <w:spacing w:after="720"/>
        <w:jc w:val="both"/>
        <w:rPr>
          <w:smallCaps/>
          <w:lang w:val="en-US"/>
        </w:rPr>
      </w:pPr>
      <w:r>
        <w:rPr>
          <w:rStyle w:val="SCCAppellantForRunningHeadChar"/>
          <w:smallCaps w:val="0"/>
          <w:lang w:val="en-US"/>
        </w:rPr>
        <w:t>R</w:t>
      </w:r>
      <w:r w:rsidR="004D7D95" w:rsidRPr="00EF4B18">
        <w:rPr>
          <w:rStyle w:val="SCCAppellantForRunningHeadChar"/>
          <w:smallCaps w:val="0"/>
          <w:lang w:val="en-US"/>
        </w:rPr>
        <w:t>ankin</w:t>
      </w:r>
      <w:r w:rsidR="00A22776" w:rsidRPr="00EF4B18">
        <w:rPr>
          <w:rStyle w:val="SCCAppellantForRunningHeadChar"/>
          <w:smallCaps w:val="0"/>
          <w:lang w:val="en-US"/>
        </w:rPr>
        <w:t xml:space="preserve"> (</w:t>
      </w:r>
      <w:r>
        <w:rPr>
          <w:rStyle w:val="SCCAppellantForRunningHeadChar"/>
          <w:smallCaps w:val="0"/>
          <w:lang w:val="en-US"/>
        </w:rPr>
        <w:t>R</w:t>
      </w:r>
      <w:r w:rsidR="00A22776" w:rsidRPr="00EF4B18">
        <w:rPr>
          <w:rStyle w:val="SCCAppellantForRunningHeadChar"/>
          <w:smallCaps w:val="0"/>
          <w:lang w:val="en-US"/>
        </w:rPr>
        <w:t>ankin</w:t>
      </w:r>
      <w:r w:rsidR="00982E62" w:rsidRPr="00EF4B18">
        <w:rPr>
          <w:rStyle w:val="SCCAppellantForRunningHeadChar"/>
          <w:smallCaps w:val="0"/>
          <w:lang w:val="en-US"/>
        </w:rPr>
        <w:t>’</w:t>
      </w:r>
      <w:r w:rsidR="00A22776" w:rsidRPr="00EF4B18">
        <w:rPr>
          <w:rStyle w:val="SCCAppellantForRunningHeadChar"/>
          <w:smallCaps w:val="0"/>
          <w:lang w:val="en-US"/>
        </w:rPr>
        <w:t xml:space="preserve">s </w:t>
      </w:r>
      <w:r>
        <w:rPr>
          <w:rStyle w:val="SCCAppellantForRunningHeadChar"/>
          <w:smallCaps w:val="0"/>
          <w:lang w:val="en-US"/>
        </w:rPr>
        <w:t>G</w:t>
      </w:r>
      <w:r w:rsidR="00A22776" w:rsidRPr="00EF4B18">
        <w:rPr>
          <w:rStyle w:val="SCCAppellantForRunningHeadChar"/>
          <w:smallCaps w:val="0"/>
          <w:lang w:val="en-US"/>
        </w:rPr>
        <w:t xml:space="preserve">arage &amp; </w:t>
      </w:r>
      <w:r>
        <w:rPr>
          <w:rStyle w:val="SCCAppellantForRunningHeadChar"/>
          <w:smallCaps w:val="0"/>
          <w:lang w:val="en-US"/>
        </w:rPr>
        <w:t>S</w:t>
      </w:r>
      <w:r w:rsidR="00A22776" w:rsidRPr="00EF4B18">
        <w:rPr>
          <w:rStyle w:val="SCCAppellantForRunningHeadChar"/>
          <w:smallCaps w:val="0"/>
          <w:lang w:val="en-US"/>
        </w:rPr>
        <w:t>ales)</w:t>
      </w:r>
      <w:r w:rsidR="00933A9D" w:rsidRPr="00EF4B18">
        <w:rPr>
          <w:rStyle w:val="SCCAppellantForRunningHeadChar"/>
          <w:smallCaps w:val="0"/>
          <w:lang w:val="en-US"/>
        </w:rPr>
        <w:t xml:space="preserve"> </w:t>
      </w:r>
      <w:r w:rsidR="004D7D95" w:rsidRPr="00EF4B18">
        <w:rPr>
          <w:i/>
          <w:lang w:val="en-US"/>
        </w:rPr>
        <w:t>c.</w:t>
      </w:r>
      <w:r w:rsidR="004D7D95" w:rsidRPr="00EF4B18">
        <w:rPr>
          <w:smallCaps/>
          <w:lang w:val="en-US"/>
        </w:rPr>
        <w:t xml:space="preserve"> </w:t>
      </w:r>
      <w:r>
        <w:rPr>
          <w:rStyle w:val="SCCRespondentForRunningHeadChar"/>
          <w:smallCaps w:val="0"/>
          <w:lang w:val="en-US"/>
        </w:rPr>
        <w:t>J</w:t>
      </w:r>
      <w:r w:rsidR="00403DA8" w:rsidRPr="00EF4B18">
        <w:rPr>
          <w:rStyle w:val="SCCRespondentForRunningHeadChar"/>
          <w:smallCaps w:val="0"/>
          <w:lang w:val="en-US"/>
        </w:rPr>
        <w:t>.</w:t>
      </w:r>
      <w:r>
        <w:rPr>
          <w:rStyle w:val="SCCRespondentForRunningHeadChar"/>
          <w:smallCaps w:val="0"/>
          <w:lang w:val="en-US"/>
        </w:rPr>
        <w:t>J</w:t>
      </w:r>
      <w:r w:rsidR="004D7D95" w:rsidRPr="00EF4B18">
        <w:rPr>
          <w:rStyle w:val="SCCRespondentForRunningHeadChar"/>
          <w:smallCaps w:val="0"/>
          <w:lang w:val="en-US"/>
        </w:rPr>
        <w:t>.</w:t>
      </w:r>
      <w:r>
        <w:rPr>
          <w:rStyle w:val="SCCRespondentForRunningHeadChar"/>
          <w:smallCaps w:val="0"/>
          <w:lang w:val="en-US"/>
        </w:rPr>
        <w:t xml:space="preserve">, </w:t>
      </w:r>
      <w:r w:rsidRPr="00EF4B18">
        <w:rPr>
          <w:lang w:val="en-US"/>
        </w:rPr>
        <w:t>2018 CSC 19</w:t>
      </w:r>
      <w:r>
        <w:rPr>
          <w:lang w:val="en-US"/>
        </w:rPr>
        <w:t>, [2018] 1 R.C.S. 587</w:t>
      </w:r>
    </w:p>
    <w:p w:rsidR="000173FE" w:rsidRPr="00B40F77" w:rsidRDefault="00A24078" w:rsidP="000173FE">
      <w:pPr>
        <w:pStyle w:val="SCCLsocParty"/>
        <w:rPr>
          <w:lang w:val="fr-CA"/>
        </w:rPr>
      </w:pPr>
      <w:r w:rsidRPr="00B40F77">
        <w:rPr>
          <w:lang w:val="fr-CA"/>
        </w:rPr>
        <w:lastRenderedPageBreak/>
        <w:t xml:space="preserve">James Chadwick Rankin, </w:t>
      </w:r>
    </w:p>
    <w:p w:rsidR="00543C6F" w:rsidRPr="00B40F77" w:rsidRDefault="00A24078">
      <w:pPr>
        <w:pStyle w:val="SCCLsocLastPartyInRole"/>
        <w:rPr>
          <w:lang w:val="fr-CA"/>
        </w:rPr>
      </w:pPr>
      <w:r w:rsidRPr="00B40F77">
        <w:rPr>
          <w:lang w:val="fr-CA"/>
        </w:rPr>
        <w:t>faisant affaire sous l</w:t>
      </w:r>
      <w:r w:rsidR="00FA03F2" w:rsidRPr="00B40F77">
        <w:rPr>
          <w:lang w:val="fr-CA"/>
        </w:rPr>
        <w:t>e nom</w:t>
      </w:r>
      <w:r w:rsidRPr="00B40F77">
        <w:rPr>
          <w:lang w:val="fr-CA"/>
        </w:rPr>
        <w:t xml:space="preserve"> Rankin</w:t>
      </w:r>
      <w:r w:rsidR="00982E62" w:rsidRPr="00B40F77">
        <w:rPr>
          <w:lang w:val="fr-CA"/>
        </w:rPr>
        <w:t>’</w:t>
      </w:r>
      <w:r w:rsidRPr="00B40F77">
        <w:rPr>
          <w:lang w:val="fr-CA"/>
        </w:rPr>
        <w:t xml:space="preserve">s Garage </w:t>
      </w:r>
      <w:r w:rsidR="00FD631C" w:rsidRPr="00B40F77">
        <w:rPr>
          <w:lang w:val="fr-CA"/>
        </w:rPr>
        <w:t>&amp; S</w:t>
      </w:r>
      <w:r w:rsidRPr="00B40F77">
        <w:rPr>
          <w:lang w:val="fr-CA"/>
        </w:rPr>
        <w:t>ale</w:t>
      </w:r>
      <w:r w:rsidR="00FD631C" w:rsidRPr="00B40F77">
        <w:rPr>
          <w:lang w:val="fr-CA"/>
        </w:rPr>
        <w:t>s</w:t>
      </w:r>
      <w:r w:rsidRPr="00B40F77">
        <w:rPr>
          <w:rStyle w:val="SCCLsocPartyRole"/>
          <w:lang w:val="fr-CA"/>
        </w:rPr>
        <w:tab/>
        <w:t>Appelant</w:t>
      </w:r>
    </w:p>
    <w:p w:rsidR="00543C6F" w:rsidRPr="00B40F77" w:rsidRDefault="00A24078">
      <w:pPr>
        <w:pStyle w:val="SCCLsocVersus"/>
        <w:rPr>
          <w:lang w:val="fr-CA"/>
        </w:rPr>
      </w:pPr>
      <w:r w:rsidRPr="00B40F77">
        <w:rPr>
          <w:lang w:val="fr-CA"/>
        </w:rPr>
        <w:t>c.</w:t>
      </w:r>
    </w:p>
    <w:p w:rsidR="00543C6F" w:rsidRPr="00B40F77" w:rsidRDefault="00A24078">
      <w:pPr>
        <w:pStyle w:val="SCCLsocParty"/>
        <w:rPr>
          <w:lang w:val="fr-CA"/>
        </w:rPr>
      </w:pPr>
      <w:r w:rsidRPr="00B40F77">
        <w:rPr>
          <w:lang w:val="fr-CA"/>
        </w:rPr>
        <w:t>J.J.</w:t>
      </w:r>
      <w:r w:rsidR="00FA03F2" w:rsidRPr="00B40F77">
        <w:rPr>
          <w:lang w:val="fr-CA"/>
        </w:rPr>
        <w:t>,</w:t>
      </w:r>
      <w:r w:rsidRPr="00B40F77">
        <w:rPr>
          <w:lang w:val="fr-CA"/>
        </w:rPr>
        <w:t xml:space="preserve"> représenté par s</w:t>
      </w:r>
      <w:r w:rsidR="00EE1161" w:rsidRPr="00B40F77">
        <w:rPr>
          <w:lang w:val="fr-CA"/>
        </w:rPr>
        <w:t>on tuteur</w:t>
      </w:r>
      <w:r w:rsidRPr="00B40F77">
        <w:rPr>
          <w:lang w:val="fr-CA"/>
        </w:rPr>
        <w:t xml:space="preserve"> à l</w:t>
      </w:r>
      <w:r w:rsidR="00982E62" w:rsidRPr="00B40F77">
        <w:rPr>
          <w:lang w:val="fr-CA"/>
        </w:rPr>
        <w:t>’</w:t>
      </w:r>
      <w:r w:rsidRPr="00B40F77">
        <w:rPr>
          <w:lang w:val="fr-CA"/>
        </w:rPr>
        <w:t>instance, J.A.J.,</w:t>
      </w:r>
    </w:p>
    <w:p w:rsidR="000173FE" w:rsidRPr="00B40F77" w:rsidRDefault="00A24078" w:rsidP="00A24078">
      <w:pPr>
        <w:pStyle w:val="SCCLsocParty"/>
        <w:rPr>
          <w:lang w:val="fr-CA"/>
        </w:rPr>
      </w:pPr>
      <w:r w:rsidRPr="00B40F77">
        <w:rPr>
          <w:lang w:val="fr-CA"/>
        </w:rPr>
        <w:t xml:space="preserve">J.A.J., </w:t>
      </w:r>
    </w:p>
    <w:p w:rsidR="000173FE" w:rsidRPr="00B40F77" w:rsidRDefault="00A24078" w:rsidP="00A24078">
      <w:pPr>
        <w:pStyle w:val="SCCLsocParty"/>
        <w:rPr>
          <w:lang w:val="fr-CA"/>
        </w:rPr>
      </w:pPr>
      <w:r w:rsidRPr="00B40F77">
        <w:rPr>
          <w:lang w:val="fr-CA"/>
        </w:rPr>
        <w:t xml:space="preserve">A.J. et </w:t>
      </w:r>
    </w:p>
    <w:p w:rsidR="00A24078" w:rsidRPr="00B40F77" w:rsidRDefault="00A24078" w:rsidP="000173FE">
      <w:pPr>
        <w:pStyle w:val="SCCLsocLastPartyInRole"/>
        <w:rPr>
          <w:lang w:val="fr-CA"/>
        </w:rPr>
      </w:pPr>
      <w:r w:rsidRPr="00B40F77">
        <w:rPr>
          <w:lang w:val="fr-CA"/>
        </w:rPr>
        <w:t>C.C.</w:t>
      </w:r>
      <w:r w:rsidR="000173FE" w:rsidRPr="00B40F77">
        <w:rPr>
          <w:rStyle w:val="SCCLsocPartyRole"/>
          <w:lang w:val="fr-CA"/>
        </w:rPr>
        <w:t xml:space="preserve"> </w:t>
      </w:r>
      <w:r w:rsidR="000173FE" w:rsidRPr="00B40F77">
        <w:rPr>
          <w:rStyle w:val="SCCLsocPartyRole"/>
          <w:lang w:val="fr-CA"/>
        </w:rPr>
        <w:tab/>
        <w:t>Intimés</w:t>
      </w:r>
    </w:p>
    <w:p w:rsidR="00543C6F" w:rsidRPr="00B40F77" w:rsidRDefault="00A24078">
      <w:pPr>
        <w:pStyle w:val="SCCLsocOtherPartySeparator"/>
      </w:pPr>
      <w:r w:rsidRPr="00B40F77">
        <w:t>et</w:t>
      </w:r>
    </w:p>
    <w:p w:rsidR="00543C6F" w:rsidRPr="00B40F77" w:rsidRDefault="00A24078">
      <w:pPr>
        <w:pStyle w:val="SCCLsocParty"/>
      </w:pPr>
      <w:r w:rsidRPr="00B40F77">
        <w:t xml:space="preserve">Ontario </w:t>
      </w:r>
      <w:r w:rsidR="007305B7" w:rsidRPr="00B40F77">
        <w:t>Trial Lawyers Association et</w:t>
      </w:r>
    </w:p>
    <w:p w:rsidR="00543C6F" w:rsidRPr="00B40F77" w:rsidRDefault="00A24078">
      <w:pPr>
        <w:pStyle w:val="SCCLsocLastPartyInRole"/>
      </w:pPr>
      <w:r w:rsidRPr="00B40F77">
        <w:t>Justice for Children and Youth</w:t>
      </w:r>
      <w:r w:rsidR="003564AB" w:rsidRPr="00B40F77">
        <w:rPr>
          <w:rStyle w:val="SCCLsocPartyRole"/>
        </w:rPr>
        <w:tab/>
        <w:t>Intervenante</w:t>
      </w:r>
      <w:r w:rsidRPr="00B40F77">
        <w:rPr>
          <w:rStyle w:val="SCCLsocPartyRole"/>
        </w:rPr>
        <w:t>s</w:t>
      </w:r>
    </w:p>
    <w:p w:rsidR="004D7D95" w:rsidRPr="00B40F77" w:rsidRDefault="00933A9D" w:rsidP="00CB7ABA">
      <w:pPr>
        <w:spacing w:after="720"/>
        <w:jc w:val="both"/>
        <w:rPr>
          <w:lang w:val="fr-CA"/>
        </w:rPr>
      </w:pPr>
      <w:r w:rsidRPr="00B40F77">
        <w:rPr>
          <w:b/>
          <w:lang w:val="fr-CA"/>
        </w:rPr>
        <w:t>Répertorié</w:t>
      </w:r>
      <w:r w:rsidR="00982E62" w:rsidRPr="00B40F77">
        <w:rPr>
          <w:b/>
          <w:lang w:val="fr-CA"/>
        </w:rPr>
        <w:t> :</w:t>
      </w:r>
      <w:r w:rsidRPr="00B40F77">
        <w:rPr>
          <w:b/>
          <w:lang w:val="fr-CA"/>
        </w:rPr>
        <w:t> </w:t>
      </w:r>
      <w:r w:rsidR="004D7D95" w:rsidRPr="00B40F77">
        <w:rPr>
          <w:rStyle w:val="SCCAppellantForIndexChar"/>
          <w:lang w:val="fr-CA"/>
        </w:rPr>
        <w:t>Rankin</w:t>
      </w:r>
      <w:r w:rsidR="00A22776" w:rsidRPr="00B40F77">
        <w:rPr>
          <w:rStyle w:val="SCCAppellantForIndexChar"/>
          <w:lang w:val="fr-CA"/>
        </w:rPr>
        <w:t xml:space="preserve"> (Rankin</w:t>
      </w:r>
      <w:r w:rsidR="00982E62" w:rsidRPr="00B40F77">
        <w:rPr>
          <w:rStyle w:val="SCCAppellantForIndexChar"/>
          <w:lang w:val="fr-CA"/>
        </w:rPr>
        <w:t>’</w:t>
      </w:r>
      <w:r w:rsidR="00A22776" w:rsidRPr="00B40F77">
        <w:rPr>
          <w:rStyle w:val="SCCAppellantForIndexChar"/>
          <w:lang w:val="fr-CA"/>
        </w:rPr>
        <w:t>s Garage &amp; Sales)</w:t>
      </w:r>
      <w:r w:rsidRPr="00B40F77">
        <w:rPr>
          <w:rStyle w:val="SCCAppellantForIndexChar"/>
          <w:lang w:val="fr-CA"/>
        </w:rPr>
        <w:t xml:space="preserve"> </w:t>
      </w:r>
      <w:r w:rsidR="004D7D95" w:rsidRPr="00B40F77">
        <w:rPr>
          <w:b/>
          <w:i/>
          <w:lang w:val="fr-CA"/>
        </w:rPr>
        <w:t>c.</w:t>
      </w:r>
      <w:r w:rsidR="004D7D95" w:rsidRPr="00B40F77">
        <w:rPr>
          <w:b/>
          <w:lang w:val="fr-CA"/>
        </w:rPr>
        <w:t xml:space="preserve"> </w:t>
      </w:r>
      <w:r w:rsidR="004D7D95" w:rsidRPr="00B40F77">
        <w:rPr>
          <w:rStyle w:val="SCCRespondentForIndexChar"/>
          <w:lang w:val="fr-CA"/>
        </w:rPr>
        <w:t>J.J</w:t>
      </w:r>
      <w:r w:rsidRPr="00B40F77">
        <w:rPr>
          <w:rStyle w:val="SCCRespondentForIndexChar"/>
          <w:lang w:val="fr-CA"/>
        </w:rPr>
        <w:t>.</w:t>
      </w:r>
    </w:p>
    <w:p w:rsidR="004D7D95" w:rsidRPr="00B40F77" w:rsidRDefault="00D17B0E" w:rsidP="00CB7ABA">
      <w:pPr>
        <w:pStyle w:val="SCCSystemYear"/>
        <w:spacing w:after="720"/>
        <w:jc w:val="both"/>
        <w:rPr>
          <w:lang w:val="fr-CA"/>
        </w:rPr>
      </w:pPr>
      <w:r w:rsidRPr="00B40F77">
        <w:rPr>
          <w:lang w:val="fr-CA"/>
        </w:rPr>
        <w:t>201</w:t>
      </w:r>
      <w:r w:rsidR="0078139F" w:rsidRPr="00B40F77">
        <w:rPr>
          <w:lang w:val="fr-CA"/>
        </w:rPr>
        <w:t>8</w:t>
      </w:r>
      <w:r w:rsidR="004D7D95" w:rsidRPr="00B40F77">
        <w:rPr>
          <w:lang w:val="fr-CA"/>
        </w:rPr>
        <w:t xml:space="preserve"> CSC </w:t>
      </w:r>
      <w:r w:rsidR="00E360C0" w:rsidRPr="00B40F77">
        <w:rPr>
          <w:lang w:val="fr-CA"/>
        </w:rPr>
        <w:t>1</w:t>
      </w:r>
      <w:r w:rsidR="00EE1161" w:rsidRPr="00B40F77">
        <w:rPr>
          <w:lang w:val="fr-CA"/>
        </w:rPr>
        <w:t>9</w:t>
      </w:r>
    </w:p>
    <w:p w:rsidR="004D7D95" w:rsidRPr="00B40F77" w:rsidRDefault="004D7D95" w:rsidP="00CB7ABA">
      <w:pPr>
        <w:spacing w:after="720"/>
        <w:jc w:val="both"/>
        <w:rPr>
          <w:lang w:val="fr-CA"/>
        </w:rPr>
      </w:pPr>
      <w:r w:rsidRPr="00B40F77">
        <w:rPr>
          <w:lang w:val="fr-CA"/>
        </w:rPr>
        <w:t>N</w:t>
      </w:r>
      <w:r w:rsidRPr="00B40F77">
        <w:rPr>
          <w:vertAlign w:val="superscript"/>
          <w:lang w:val="fr-CA"/>
        </w:rPr>
        <w:t>o</w:t>
      </w:r>
      <w:r w:rsidRPr="00B40F77">
        <w:rPr>
          <w:lang w:val="fr-CA"/>
        </w:rPr>
        <w:t xml:space="preserve"> du greffe</w:t>
      </w:r>
      <w:r w:rsidR="00982E62" w:rsidRPr="00B40F77">
        <w:rPr>
          <w:lang w:val="fr-CA"/>
        </w:rPr>
        <w:t> :</w:t>
      </w:r>
      <w:r w:rsidRPr="00B40F77">
        <w:rPr>
          <w:lang w:val="fr-CA"/>
        </w:rPr>
        <w:t> 37323.</w:t>
      </w:r>
    </w:p>
    <w:p w:rsidR="004D7D95" w:rsidRPr="00B40F77" w:rsidRDefault="00D17B0E" w:rsidP="00CB7ABA">
      <w:pPr>
        <w:spacing w:after="720"/>
        <w:jc w:val="both"/>
        <w:rPr>
          <w:lang w:val="fr-CA"/>
        </w:rPr>
      </w:pPr>
      <w:r w:rsidRPr="00B40F77">
        <w:rPr>
          <w:lang w:val="fr-CA"/>
        </w:rPr>
        <w:t>2017</w:t>
      </w:r>
      <w:r w:rsidR="00982E62" w:rsidRPr="00B40F77">
        <w:rPr>
          <w:lang w:val="fr-CA"/>
        </w:rPr>
        <w:t> :</w:t>
      </w:r>
      <w:r w:rsidR="00CB7ABA" w:rsidRPr="00B40F77">
        <w:rPr>
          <w:lang w:val="fr-CA"/>
        </w:rPr>
        <w:t> </w:t>
      </w:r>
      <w:r w:rsidRPr="00B40F77">
        <w:rPr>
          <w:lang w:val="fr-CA"/>
        </w:rPr>
        <w:t>5</w:t>
      </w:r>
      <w:r w:rsidR="00CB7ABA" w:rsidRPr="00B40F77">
        <w:rPr>
          <w:lang w:val="fr-CA"/>
        </w:rPr>
        <w:t> </w:t>
      </w:r>
      <w:r w:rsidRPr="00B40F77">
        <w:rPr>
          <w:lang w:val="fr-CA"/>
        </w:rPr>
        <w:t>octobre</w:t>
      </w:r>
      <w:r w:rsidR="004D7D95" w:rsidRPr="00B40F77">
        <w:rPr>
          <w:lang w:val="fr-CA"/>
        </w:rPr>
        <w:t xml:space="preserve">; </w:t>
      </w:r>
      <w:r w:rsidR="00C90F92" w:rsidRPr="00B40F77">
        <w:rPr>
          <w:lang w:val="fr-CA"/>
        </w:rPr>
        <w:t>2018</w:t>
      </w:r>
      <w:r w:rsidR="00982E62" w:rsidRPr="00B40F77">
        <w:rPr>
          <w:lang w:val="fr-CA"/>
        </w:rPr>
        <w:t> :</w:t>
      </w:r>
      <w:r w:rsidR="00CB7ABA" w:rsidRPr="00B40F77">
        <w:rPr>
          <w:lang w:val="fr-CA"/>
        </w:rPr>
        <w:t> </w:t>
      </w:r>
      <w:r w:rsidR="005A3020" w:rsidRPr="00B40F77">
        <w:rPr>
          <w:lang w:val="fr-CA"/>
        </w:rPr>
        <w:t>1</w:t>
      </w:r>
      <w:r w:rsidR="00E64E98" w:rsidRPr="00B40F77">
        <w:rPr>
          <w:lang w:val="fr-CA"/>
        </w:rPr>
        <w:t>1</w:t>
      </w:r>
      <w:r w:rsidR="00CB7ABA" w:rsidRPr="00B40F77">
        <w:rPr>
          <w:lang w:val="fr-CA"/>
        </w:rPr>
        <w:t> </w:t>
      </w:r>
      <w:r w:rsidR="00E64E98" w:rsidRPr="00B40F77">
        <w:rPr>
          <w:lang w:val="fr-CA"/>
        </w:rPr>
        <w:t>ma</w:t>
      </w:r>
      <w:r w:rsidR="005A3020" w:rsidRPr="00B40F77">
        <w:rPr>
          <w:lang w:val="fr-CA"/>
        </w:rPr>
        <w:t>i</w:t>
      </w:r>
      <w:r w:rsidR="004D7D95" w:rsidRPr="00B40F77">
        <w:rPr>
          <w:lang w:val="fr-CA"/>
        </w:rPr>
        <w:t>.</w:t>
      </w:r>
    </w:p>
    <w:p w:rsidR="004D7D95" w:rsidRPr="00B40F77" w:rsidRDefault="004D7D95" w:rsidP="00CB7ABA">
      <w:pPr>
        <w:spacing w:after="720"/>
        <w:jc w:val="both"/>
        <w:rPr>
          <w:lang w:val="fr-CA"/>
        </w:rPr>
      </w:pPr>
      <w:r w:rsidRPr="00B40F77">
        <w:rPr>
          <w:lang w:val="fr-CA"/>
        </w:rPr>
        <w:t>Présents</w:t>
      </w:r>
      <w:r w:rsidR="00982E62" w:rsidRPr="00B40F77">
        <w:rPr>
          <w:lang w:val="fr-CA"/>
        </w:rPr>
        <w:t> :</w:t>
      </w:r>
      <w:r w:rsidRPr="00B40F77">
        <w:rPr>
          <w:lang w:val="fr-CA"/>
        </w:rPr>
        <w:t> La juge en chef McLachlin et les juges Abella, Moldaver, Karakatsanis, Wagner, Gascon, Côté, Brown et Rowe.</w:t>
      </w:r>
    </w:p>
    <w:p w:rsidR="004D7D95" w:rsidRPr="00B40F77" w:rsidRDefault="004D7D95" w:rsidP="00CB7ABA">
      <w:pPr>
        <w:spacing w:after="720"/>
        <w:jc w:val="both"/>
        <w:rPr>
          <w:lang w:val="fr-CA"/>
        </w:rPr>
      </w:pPr>
      <w:r w:rsidRPr="00B40F77">
        <w:rPr>
          <w:smallCaps/>
          <w:lang w:val="fr-CA"/>
        </w:rPr>
        <w:t>en appel de la cour d</w:t>
      </w:r>
      <w:r w:rsidR="00982E62" w:rsidRPr="00B40F77">
        <w:rPr>
          <w:smallCaps/>
          <w:lang w:val="fr-CA"/>
        </w:rPr>
        <w:t>’</w:t>
      </w:r>
      <w:r w:rsidRPr="00B40F77">
        <w:rPr>
          <w:smallCaps/>
          <w:lang w:val="fr-CA"/>
        </w:rPr>
        <w:t>appel de l</w:t>
      </w:r>
      <w:r w:rsidR="00982E62" w:rsidRPr="00B40F77">
        <w:rPr>
          <w:smallCaps/>
          <w:lang w:val="fr-CA"/>
        </w:rPr>
        <w:t>’</w:t>
      </w:r>
      <w:r w:rsidRPr="00B40F77">
        <w:rPr>
          <w:smallCaps/>
          <w:lang w:val="fr-CA"/>
        </w:rPr>
        <w:t>ontario</w:t>
      </w:r>
    </w:p>
    <w:p w:rsidR="00094CE5" w:rsidRPr="00B40F77" w:rsidRDefault="007C6100" w:rsidP="007C6100">
      <w:pPr>
        <w:pStyle w:val="SCCNormalDoubleSpacing"/>
        <w:rPr>
          <w:i/>
          <w:lang w:val="fr-CA"/>
        </w:rPr>
      </w:pPr>
      <w:r w:rsidRPr="00B40F77">
        <w:rPr>
          <w:i/>
          <w:lang w:val="fr-CA"/>
        </w:rPr>
        <w:tab/>
      </w:r>
      <w:r w:rsidR="004E303D" w:rsidRPr="00B40F77">
        <w:rPr>
          <w:i/>
          <w:lang w:val="fr-CA"/>
        </w:rPr>
        <w:t>Responsabilité délictuelle</w:t>
      </w:r>
      <w:r w:rsidR="00094CE5" w:rsidRPr="00B40F77">
        <w:rPr>
          <w:i/>
          <w:lang w:val="fr-CA"/>
        </w:rPr>
        <w:t xml:space="preserve"> — N</w:t>
      </w:r>
      <w:r w:rsidR="004E303D" w:rsidRPr="00B40F77">
        <w:rPr>
          <w:i/>
          <w:lang w:val="fr-CA"/>
        </w:rPr>
        <w:t>é</w:t>
      </w:r>
      <w:r w:rsidR="00094CE5" w:rsidRPr="00B40F77">
        <w:rPr>
          <w:i/>
          <w:lang w:val="fr-CA"/>
        </w:rPr>
        <w:t xml:space="preserve">gligence — </w:t>
      </w:r>
      <w:r w:rsidR="004E303D" w:rsidRPr="00B40F77">
        <w:rPr>
          <w:i/>
          <w:lang w:val="fr-CA"/>
        </w:rPr>
        <w:t>Obligation de diligence</w:t>
      </w:r>
      <w:r w:rsidR="00094CE5" w:rsidRPr="00B40F77">
        <w:rPr>
          <w:i/>
          <w:lang w:val="fr-CA"/>
        </w:rPr>
        <w:t xml:space="preserve"> — </w:t>
      </w:r>
      <w:r w:rsidR="004E303D" w:rsidRPr="00B40F77">
        <w:rPr>
          <w:i/>
          <w:lang w:val="fr-CA"/>
        </w:rPr>
        <w:t>Prévisibilité</w:t>
      </w:r>
      <w:r w:rsidR="00094CE5" w:rsidRPr="00B40F77">
        <w:rPr>
          <w:i/>
          <w:lang w:val="fr-CA"/>
        </w:rPr>
        <w:t xml:space="preserve"> — </w:t>
      </w:r>
      <w:r w:rsidR="004E303D" w:rsidRPr="00B40F77">
        <w:rPr>
          <w:i/>
          <w:lang w:val="fr-CA"/>
        </w:rPr>
        <w:t>Lésions corporelles</w:t>
      </w:r>
      <w:r w:rsidR="00094CE5" w:rsidRPr="00B40F77">
        <w:rPr>
          <w:i/>
          <w:lang w:val="fr-CA"/>
        </w:rPr>
        <w:t xml:space="preserve"> —</w:t>
      </w:r>
      <w:r w:rsidR="004E303D" w:rsidRPr="00B40F77">
        <w:rPr>
          <w:i/>
          <w:lang w:val="fr-CA"/>
        </w:rPr>
        <w:t xml:space="preserve"> Automobiles</w:t>
      </w:r>
      <w:r w:rsidR="00094CE5" w:rsidRPr="00B40F77">
        <w:rPr>
          <w:i/>
          <w:lang w:val="fr-CA"/>
        </w:rPr>
        <w:t xml:space="preserve"> — </w:t>
      </w:r>
      <w:r w:rsidR="004E303D" w:rsidRPr="00B40F77">
        <w:rPr>
          <w:i/>
          <w:lang w:val="fr-CA"/>
        </w:rPr>
        <w:t>Vol par des adolescents d</w:t>
      </w:r>
      <w:r w:rsidR="00982E62" w:rsidRPr="00B40F77">
        <w:rPr>
          <w:i/>
          <w:lang w:val="fr-CA"/>
        </w:rPr>
        <w:t>’</w:t>
      </w:r>
      <w:r w:rsidR="004E303D" w:rsidRPr="00B40F77">
        <w:rPr>
          <w:i/>
          <w:lang w:val="fr-CA"/>
        </w:rPr>
        <w:t xml:space="preserve">un </w:t>
      </w:r>
      <w:r w:rsidR="004E303D" w:rsidRPr="00B40F77">
        <w:rPr>
          <w:i/>
          <w:lang w:val="fr-CA"/>
        </w:rPr>
        <w:lastRenderedPageBreak/>
        <w:t>véhicule d</w:t>
      </w:r>
      <w:r w:rsidR="00982E62" w:rsidRPr="00B40F77">
        <w:rPr>
          <w:i/>
          <w:lang w:val="fr-CA"/>
        </w:rPr>
        <w:t>’</w:t>
      </w:r>
      <w:r w:rsidR="004E303D" w:rsidRPr="00B40F77">
        <w:rPr>
          <w:i/>
          <w:lang w:val="fr-CA"/>
        </w:rPr>
        <w:t xml:space="preserve">un garage commercial et balade avec ce </w:t>
      </w:r>
      <w:r w:rsidR="00D259D6" w:rsidRPr="00B40F77">
        <w:rPr>
          <w:i/>
          <w:lang w:val="fr-CA"/>
        </w:rPr>
        <w:t xml:space="preserve">véhicule </w:t>
      </w:r>
      <w:r w:rsidR="00094CE5" w:rsidRPr="00B40F77">
        <w:rPr>
          <w:i/>
          <w:lang w:val="fr-CA"/>
        </w:rPr>
        <w:t xml:space="preserve">— </w:t>
      </w:r>
      <w:r w:rsidR="00FB0A85" w:rsidRPr="00B40F77">
        <w:rPr>
          <w:i/>
          <w:lang w:val="fr-CA"/>
        </w:rPr>
        <w:t>Accident d</w:t>
      </w:r>
      <w:r w:rsidR="00982E62" w:rsidRPr="00B40F77">
        <w:rPr>
          <w:i/>
          <w:lang w:val="fr-CA"/>
        </w:rPr>
        <w:t>’</w:t>
      </w:r>
      <w:r w:rsidR="00FB0A85" w:rsidRPr="00B40F77">
        <w:rPr>
          <w:i/>
          <w:lang w:val="fr-CA"/>
        </w:rPr>
        <w:t xml:space="preserve">automobile causant de sérieuses blessures au passager </w:t>
      </w:r>
      <w:r w:rsidR="00094CE5" w:rsidRPr="00B40F77">
        <w:rPr>
          <w:i/>
          <w:lang w:val="fr-CA"/>
        </w:rPr>
        <w:t xml:space="preserve">— </w:t>
      </w:r>
      <w:r w:rsidR="00B00B58" w:rsidRPr="00B40F77">
        <w:rPr>
          <w:i/>
          <w:lang w:val="fr-CA"/>
        </w:rPr>
        <w:t xml:space="preserve">Le propriétaire </w:t>
      </w:r>
      <w:r w:rsidR="00E40989" w:rsidRPr="00B40F77">
        <w:rPr>
          <w:i/>
          <w:lang w:val="fr-CA"/>
        </w:rPr>
        <w:t>d</w:t>
      </w:r>
      <w:r w:rsidR="00B779FD">
        <w:rPr>
          <w:i/>
          <w:lang w:val="fr-CA"/>
        </w:rPr>
        <w:t>e l’</w:t>
      </w:r>
      <w:r w:rsidR="00E40989" w:rsidRPr="00B40F77">
        <w:rPr>
          <w:i/>
          <w:lang w:val="fr-CA"/>
        </w:rPr>
        <w:t>entreprise</w:t>
      </w:r>
      <w:r w:rsidR="00B00B58" w:rsidRPr="00B40F77">
        <w:rPr>
          <w:i/>
          <w:lang w:val="fr-CA"/>
        </w:rPr>
        <w:t xml:space="preserve"> a</w:t>
      </w:r>
      <w:r w:rsidR="00982E62" w:rsidRPr="00B40F77">
        <w:rPr>
          <w:i/>
          <w:lang w:val="fr-CA"/>
        </w:rPr>
        <w:noBreakHyphen/>
      </w:r>
      <w:r w:rsidR="00B00B58" w:rsidRPr="00B40F77">
        <w:rPr>
          <w:i/>
          <w:lang w:val="fr-CA"/>
        </w:rPr>
        <w:t>t</w:t>
      </w:r>
      <w:r w:rsidR="00982E62" w:rsidRPr="00B40F77">
        <w:rPr>
          <w:i/>
          <w:lang w:val="fr-CA"/>
        </w:rPr>
        <w:noBreakHyphen/>
      </w:r>
      <w:r w:rsidR="00B00B58" w:rsidRPr="00B40F77">
        <w:rPr>
          <w:i/>
          <w:lang w:val="fr-CA"/>
        </w:rPr>
        <w:t>il une obligation de diligence envers le passage</w:t>
      </w:r>
      <w:r w:rsidR="00E40989" w:rsidRPr="00B40F77">
        <w:rPr>
          <w:i/>
          <w:lang w:val="fr-CA"/>
        </w:rPr>
        <w:t>r</w:t>
      </w:r>
      <w:r w:rsidR="00B00B58" w:rsidRPr="00B40F77">
        <w:rPr>
          <w:i/>
          <w:lang w:val="fr-CA"/>
        </w:rPr>
        <w:t xml:space="preserve"> bless</w:t>
      </w:r>
      <w:r w:rsidR="00E40989" w:rsidRPr="00B40F77">
        <w:rPr>
          <w:i/>
          <w:lang w:val="fr-CA"/>
        </w:rPr>
        <w:t>é</w:t>
      </w:r>
      <w:r w:rsidR="00B00B58" w:rsidRPr="00B40F77">
        <w:rPr>
          <w:i/>
          <w:lang w:val="fr-CA"/>
        </w:rPr>
        <w:t xml:space="preserve">? </w:t>
      </w:r>
      <w:r w:rsidR="00094CE5" w:rsidRPr="00B40F77">
        <w:rPr>
          <w:i/>
          <w:lang w:val="fr-CA"/>
        </w:rPr>
        <w:t>—</w:t>
      </w:r>
      <w:r w:rsidR="00B00B58" w:rsidRPr="00B40F77">
        <w:rPr>
          <w:i/>
          <w:lang w:val="fr-CA"/>
        </w:rPr>
        <w:t xml:space="preserve"> Le risque de lésions corporelles était</w:t>
      </w:r>
      <w:r w:rsidR="00982E62" w:rsidRPr="00B40F77">
        <w:rPr>
          <w:i/>
          <w:lang w:val="fr-CA"/>
        </w:rPr>
        <w:noBreakHyphen/>
      </w:r>
      <w:r w:rsidR="00B00B58" w:rsidRPr="00B40F77">
        <w:rPr>
          <w:i/>
          <w:lang w:val="fr-CA"/>
        </w:rPr>
        <w:t>il raisonnablement prévisible?</w:t>
      </w:r>
      <w:r w:rsidR="00094CE5" w:rsidRPr="00B40F77">
        <w:rPr>
          <w:i/>
          <w:lang w:val="fr-CA"/>
        </w:rPr>
        <w:t xml:space="preserve"> — </w:t>
      </w:r>
      <w:r w:rsidR="00E40989" w:rsidRPr="00B40F77">
        <w:rPr>
          <w:i/>
          <w:lang w:val="fr-CA"/>
        </w:rPr>
        <w:t>L</w:t>
      </w:r>
      <w:r w:rsidR="00982E62" w:rsidRPr="00B40F77">
        <w:rPr>
          <w:i/>
          <w:lang w:val="fr-CA"/>
        </w:rPr>
        <w:t>’</w:t>
      </w:r>
      <w:r w:rsidR="00E40989" w:rsidRPr="00B40F77">
        <w:rPr>
          <w:i/>
          <w:lang w:val="fr-CA"/>
        </w:rPr>
        <w:t>entreprise</w:t>
      </w:r>
      <w:r w:rsidR="00B00B58" w:rsidRPr="00B40F77">
        <w:rPr>
          <w:i/>
          <w:lang w:val="fr-CA"/>
        </w:rPr>
        <w:t xml:space="preserve"> avait</w:t>
      </w:r>
      <w:r w:rsidR="00982E62" w:rsidRPr="00B40F77">
        <w:rPr>
          <w:i/>
          <w:lang w:val="fr-CA"/>
        </w:rPr>
        <w:noBreakHyphen/>
      </w:r>
      <w:r w:rsidR="00E40989" w:rsidRPr="00B40F77">
        <w:rPr>
          <w:i/>
          <w:lang w:val="fr-CA"/>
        </w:rPr>
        <w:t>e</w:t>
      </w:r>
      <w:r w:rsidR="00B00B58" w:rsidRPr="00B40F77">
        <w:rPr>
          <w:i/>
          <w:lang w:val="fr-CA"/>
        </w:rPr>
        <w:t>l</w:t>
      </w:r>
      <w:r w:rsidR="00E40989" w:rsidRPr="00B40F77">
        <w:rPr>
          <w:i/>
          <w:lang w:val="fr-CA"/>
        </w:rPr>
        <w:t>le</w:t>
      </w:r>
      <w:r w:rsidR="00B00B58" w:rsidRPr="00B40F77">
        <w:rPr>
          <w:i/>
          <w:lang w:val="fr-CA"/>
        </w:rPr>
        <w:t xml:space="preserve"> l</w:t>
      </w:r>
      <w:r w:rsidR="00982E62" w:rsidRPr="00B40F77">
        <w:rPr>
          <w:i/>
          <w:lang w:val="fr-CA"/>
        </w:rPr>
        <w:t>’</w:t>
      </w:r>
      <w:r w:rsidR="00B00B58" w:rsidRPr="00B40F77">
        <w:rPr>
          <w:i/>
          <w:lang w:val="fr-CA"/>
        </w:rPr>
        <w:t>obligation positive de prendre des mesures contre l</w:t>
      </w:r>
      <w:r w:rsidR="00E87506" w:rsidRPr="00B40F77">
        <w:rPr>
          <w:i/>
          <w:lang w:val="fr-CA"/>
        </w:rPr>
        <w:t>e risque de vol par des mineurs</w:t>
      </w:r>
      <w:r w:rsidR="00B00B58" w:rsidRPr="00B40F77">
        <w:rPr>
          <w:i/>
          <w:lang w:val="fr-CA"/>
        </w:rPr>
        <w:t xml:space="preserve">? </w:t>
      </w:r>
      <w:r w:rsidR="00094CE5" w:rsidRPr="00B40F77">
        <w:rPr>
          <w:i/>
          <w:lang w:val="fr-CA"/>
        </w:rPr>
        <w:t xml:space="preserve">— </w:t>
      </w:r>
      <w:r w:rsidR="009A6BAD" w:rsidRPr="00B40F77">
        <w:rPr>
          <w:i/>
          <w:lang w:val="fr-CA"/>
        </w:rPr>
        <w:t>Un comportement illégal</w:t>
      </w:r>
      <w:r w:rsidR="00B00B58" w:rsidRPr="00B40F77">
        <w:rPr>
          <w:i/>
          <w:lang w:val="fr-CA"/>
        </w:rPr>
        <w:t xml:space="preserve"> p</w:t>
      </w:r>
      <w:r w:rsidR="009A6BAD" w:rsidRPr="00B40F77">
        <w:rPr>
          <w:i/>
          <w:lang w:val="fr-CA"/>
        </w:rPr>
        <w:t>ouvai</w:t>
      </w:r>
      <w:r w:rsidR="00B00B58" w:rsidRPr="00B40F77">
        <w:rPr>
          <w:i/>
          <w:lang w:val="fr-CA"/>
        </w:rPr>
        <w:t>t</w:t>
      </w:r>
      <w:r w:rsidR="00982E62" w:rsidRPr="00B40F77">
        <w:rPr>
          <w:i/>
          <w:lang w:val="fr-CA"/>
        </w:rPr>
        <w:noBreakHyphen/>
      </w:r>
      <w:r w:rsidR="009A6BAD" w:rsidRPr="00B40F77">
        <w:rPr>
          <w:i/>
          <w:lang w:val="fr-CA"/>
        </w:rPr>
        <w:t>il</w:t>
      </w:r>
      <w:r w:rsidR="00B00B58" w:rsidRPr="00B40F77">
        <w:rPr>
          <w:i/>
          <w:lang w:val="fr-CA"/>
        </w:rPr>
        <w:t xml:space="preserve"> rompre le lien de proximité entre les parties ou </w:t>
      </w:r>
      <w:r w:rsidR="009A6BAD" w:rsidRPr="00B40F77">
        <w:rPr>
          <w:i/>
          <w:lang w:val="fr-CA"/>
        </w:rPr>
        <w:t xml:space="preserve">écarter une </w:t>
      </w:r>
      <w:r w:rsidR="00B00B58" w:rsidRPr="00B40F77">
        <w:rPr>
          <w:i/>
          <w:lang w:val="fr-CA"/>
        </w:rPr>
        <w:t>obligation de diligence</w:t>
      </w:r>
      <w:r w:rsidR="009A6BAD" w:rsidRPr="00B40F77">
        <w:rPr>
          <w:i/>
          <w:lang w:val="fr-CA"/>
        </w:rPr>
        <w:t xml:space="preserve"> prima facie</w:t>
      </w:r>
      <w:r w:rsidR="00B00B58" w:rsidRPr="00B40F77">
        <w:rPr>
          <w:i/>
          <w:lang w:val="fr-CA"/>
        </w:rPr>
        <w:t>?</w:t>
      </w:r>
      <w:r w:rsidR="00E16EC6" w:rsidRPr="00B40F77">
        <w:rPr>
          <w:i/>
          <w:lang w:val="fr-CA"/>
        </w:rPr>
        <w:t xml:space="preserve"> —</w:t>
      </w:r>
      <w:r w:rsidR="00094CE5" w:rsidRPr="00B40F77">
        <w:rPr>
          <w:i/>
          <w:lang w:val="fr-CA"/>
        </w:rPr>
        <w:t xml:space="preserve"> </w:t>
      </w:r>
      <w:r w:rsidR="009A6BAD" w:rsidRPr="00B40F77">
        <w:rPr>
          <w:i/>
          <w:lang w:val="fr-CA"/>
        </w:rPr>
        <w:t xml:space="preserve">Les </w:t>
      </w:r>
      <w:r w:rsidR="00E40989" w:rsidRPr="00B40F77">
        <w:rPr>
          <w:i/>
          <w:lang w:val="fr-CA"/>
        </w:rPr>
        <w:t>cours</w:t>
      </w:r>
      <w:r w:rsidR="009A6BAD" w:rsidRPr="00B40F77">
        <w:rPr>
          <w:i/>
          <w:lang w:val="fr-CA"/>
        </w:rPr>
        <w:t xml:space="preserve"> d</w:t>
      </w:r>
      <w:r w:rsidR="00982E62" w:rsidRPr="00B40F77">
        <w:rPr>
          <w:i/>
          <w:lang w:val="fr-CA"/>
        </w:rPr>
        <w:t>’</w:t>
      </w:r>
      <w:r w:rsidR="009A6BAD" w:rsidRPr="00B40F77">
        <w:rPr>
          <w:i/>
          <w:lang w:val="fr-CA"/>
        </w:rPr>
        <w:t>instances inférieures ont</w:t>
      </w:r>
      <w:r w:rsidR="00982E62" w:rsidRPr="00B40F77">
        <w:rPr>
          <w:i/>
          <w:lang w:val="fr-CA"/>
        </w:rPr>
        <w:noBreakHyphen/>
      </w:r>
      <w:r w:rsidR="00E40989" w:rsidRPr="00B40F77">
        <w:rPr>
          <w:i/>
          <w:lang w:val="fr-CA"/>
        </w:rPr>
        <w:t>elle</w:t>
      </w:r>
      <w:r w:rsidR="009A6BAD" w:rsidRPr="00B40F77">
        <w:rPr>
          <w:i/>
          <w:lang w:val="fr-CA"/>
        </w:rPr>
        <w:t>s commis une erreur en reconnaissant l</w:t>
      </w:r>
      <w:r w:rsidR="00982E62" w:rsidRPr="00B40F77">
        <w:rPr>
          <w:i/>
          <w:lang w:val="fr-CA"/>
        </w:rPr>
        <w:t>’</w:t>
      </w:r>
      <w:r w:rsidR="009A6BAD" w:rsidRPr="00B40F77">
        <w:rPr>
          <w:i/>
          <w:lang w:val="fr-CA"/>
        </w:rPr>
        <w:t>existence d</w:t>
      </w:r>
      <w:r w:rsidR="00982E62" w:rsidRPr="00B40F77">
        <w:rPr>
          <w:i/>
          <w:lang w:val="fr-CA"/>
        </w:rPr>
        <w:t>’</w:t>
      </w:r>
      <w:r w:rsidR="009A6BAD" w:rsidRPr="00B40F77">
        <w:rPr>
          <w:i/>
          <w:lang w:val="fr-CA"/>
        </w:rPr>
        <w:t>une obligation de diligence?</w:t>
      </w:r>
    </w:p>
    <w:p w:rsidR="00094CE5" w:rsidRPr="00B40F77" w:rsidRDefault="007C6100" w:rsidP="007C6100">
      <w:pPr>
        <w:pStyle w:val="SCCNormalDoubleSpacing"/>
        <w:spacing w:before="480" w:after="480"/>
        <w:rPr>
          <w:lang w:val="fr-CA"/>
        </w:rPr>
      </w:pPr>
      <w:r w:rsidRPr="00B40F77">
        <w:rPr>
          <w:lang w:val="fr-CA"/>
        </w:rPr>
        <w:tab/>
      </w:r>
      <w:r w:rsidR="00094CE5" w:rsidRPr="00B40F77">
        <w:rPr>
          <w:lang w:val="fr-CA"/>
        </w:rPr>
        <w:t xml:space="preserve">J </w:t>
      </w:r>
      <w:r w:rsidR="00FB0A85" w:rsidRPr="00B40F77">
        <w:rPr>
          <w:lang w:val="fr-CA"/>
        </w:rPr>
        <w:t>et son ami</w:t>
      </w:r>
      <w:r w:rsidR="00094CE5" w:rsidRPr="00B40F77">
        <w:rPr>
          <w:lang w:val="fr-CA"/>
        </w:rPr>
        <w:t xml:space="preserve"> C, </w:t>
      </w:r>
      <w:r w:rsidR="00FB0A85" w:rsidRPr="00B40F77">
        <w:rPr>
          <w:lang w:val="fr-CA"/>
        </w:rPr>
        <w:t xml:space="preserve">deux mineurs, se trouvaient chez la mère de </w:t>
      </w:r>
      <w:r w:rsidR="00E40989" w:rsidRPr="00B40F77">
        <w:rPr>
          <w:lang w:val="fr-CA"/>
        </w:rPr>
        <w:t>C</w:t>
      </w:r>
      <w:r w:rsidR="00FB0A85" w:rsidRPr="00B40F77">
        <w:rPr>
          <w:lang w:val="fr-CA"/>
        </w:rPr>
        <w:t xml:space="preserve"> où ils ont bu de l</w:t>
      </w:r>
      <w:r w:rsidR="00982E62" w:rsidRPr="00B40F77">
        <w:rPr>
          <w:lang w:val="fr-CA"/>
        </w:rPr>
        <w:t>’</w:t>
      </w:r>
      <w:r w:rsidR="00FB0A85" w:rsidRPr="00B40F77">
        <w:rPr>
          <w:lang w:val="fr-CA"/>
        </w:rPr>
        <w:t>alcool et fumé de la marihuana</w:t>
      </w:r>
      <w:r w:rsidR="00094CE5" w:rsidRPr="00B40F77">
        <w:rPr>
          <w:lang w:val="fr-CA"/>
        </w:rPr>
        <w:t>.</w:t>
      </w:r>
      <w:r w:rsidRPr="00B40F77">
        <w:rPr>
          <w:lang w:val="fr-CA"/>
        </w:rPr>
        <w:t xml:space="preserve"> </w:t>
      </w:r>
      <w:r w:rsidR="00FB0A85" w:rsidRPr="00B40F77">
        <w:rPr>
          <w:lang w:val="fr-CA"/>
        </w:rPr>
        <w:t xml:space="preserve">Quelque temps après minuit, les adolescents sont sortis se promener </w:t>
      </w:r>
      <w:r w:rsidR="00E40989" w:rsidRPr="00B40F77">
        <w:rPr>
          <w:lang w:val="fr-CA"/>
        </w:rPr>
        <w:t>en ville</w:t>
      </w:r>
      <w:r w:rsidR="00FB0A85" w:rsidRPr="00B40F77">
        <w:rPr>
          <w:lang w:val="fr-CA"/>
        </w:rPr>
        <w:t xml:space="preserve"> avec l</w:t>
      </w:r>
      <w:r w:rsidR="00982E62" w:rsidRPr="00B40F77">
        <w:rPr>
          <w:lang w:val="fr-CA"/>
        </w:rPr>
        <w:t>’</w:t>
      </w:r>
      <w:r w:rsidR="00FB0A85" w:rsidRPr="00B40F77">
        <w:rPr>
          <w:lang w:val="fr-CA"/>
        </w:rPr>
        <w:t>intention de dérober des objets de valeur dans des voitures non verrouillées</w:t>
      </w:r>
      <w:r w:rsidR="00094CE5" w:rsidRPr="00B40F77">
        <w:rPr>
          <w:lang w:val="fr-CA"/>
        </w:rPr>
        <w:t xml:space="preserve">. </w:t>
      </w:r>
      <w:r w:rsidR="00FB0A85" w:rsidRPr="00B40F77">
        <w:rPr>
          <w:lang w:val="fr-CA"/>
        </w:rPr>
        <w:t>Ils se sont retrouvés devant R (un garage automobile commercial) qui est situé près de l</w:t>
      </w:r>
      <w:r w:rsidR="00982E62" w:rsidRPr="00B40F77">
        <w:rPr>
          <w:lang w:val="fr-CA"/>
        </w:rPr>
        <w:t>’</w:t>
      </w:r>
      <w:r w:rsidR="00FB0A85" w:rsidRPr="00B40F77">
        <w:rPr>
          <w:lang w:val="fr-CA"/>
        </w:rPr>
        <w:t xml:space="preserve">intersection principale du </w:t>
      </w:r>
      <w:r w:rsidR="00E40989" w:rsidRPr="00B40F77">
        <w:rPr>
          <w:lang w:val="fr-CA"/>
        </w:rPr>
        <w:t>lieu</w:t>
      </w:r>
      <w:r w:rsidR="00FB0A85" w:rsidRPr="00B40F77">
        <w:rPr>
          <w:lang w:val="fr-CA"/>
        </w:rPr>
        <w:t>. Le terrain du garage n</w:t>
      </w:r>
      <w:r w:rsidR="00982E62" w:rsidRPr="00B40F77">
        <w:rPr>
          <w:lang w:val="fr-CA"/>
        </w:rPr>
        <w:t>’</w:t>
      </w:r>
      <w:r w:rsidR="00FB0A85" w:rsidRPr="00B40F77">
        <w:rPr>
          <w:lang w:val="fr-CA"/>
        </w:rPr>
        <w:t xml:space="preserve">était pas sécurisé et les adolescents ont commencé à parcourir le stationnement à la recherche de voitures non verrouillées. C a trouvé une </w:t>
      </w:r>
      <w:r w:rsidR="00E40989" w:rsidRPr="00B40F77">
        <w:rPr>
          <w:lang w:val="fr-CA"/>
        </w:rPr>
        <w:t xml:space="preserve">telle </w:t>
      </w:r>
      <w:r w:rsidR="00FB0A85" w:rsidRPr="00B40F77">
        <w:rPr>
          <w:lang w:val="fr-CA"/>
        </w:rPr>
        <w:t>voiture garée derrière le garage. Il s</w:t>
      </w:r>
      <w:r w:rsidR="00982E62" w:rsidRPr="00B40F77">
        <w:rPr>
          <w:lang w:val="fr-CA"/>
        </w:rPr>
        <w:t>’</w:t>
      </w:r>
      <w:r w:rsidR="00FB0A85" w:rsidRPr="00B40F77">
        <w:rPr>
          <w:lang w:val="fr-CA"/>
        </w:rPr>
        <w:t>est introduit à l</w:t>
      </w:r>
      <w:r w:rsidR="00982E62" w:rsidRPr="00B40F77">
        <w:rPr>
          <w:lang w:val="fr-CA"/>
        </w:rPr>
        <w:t>’</w:t>
      </w:r>
      <w:r w:rsidR="00FB0A85" w:rsidRPr="00B40F77">
        <w:rPr>
          <w:lang w:val="fr-CA"/>
        </w:rPr>
        <w:t>intérieur du véhicule en question et a trouvé les clés dans le cendrier. Même s</w:t>
      </w:r>
      <w:r w:rsidR="00982E62" w:rsidRPr="00B40F77">
        <w:rPr>
          <w:lang w:val="fr-CA"/>
        </w:rPr>
        <w:t>’</w:t>
      </w:r>
      <w:r w:rsidR="00FB0A85" w:rsidRPr="00B40F77">
        <w:rPr>
          <w:lang w:val="fr-CA"/>
        </w:rPr>
        <w:t>il n</w:t>
      </w:r>
      <w:r w:rsidR="00982E62" w:rsidRPr="00B40F77">
        <w:rPr>
          <w:lang w:val="fr-CA"/>
        </w:rPr>
        <w:t>’</w:t>
      </w:r>
      <w:r w:rsidR="00FB0A85" w:rsidRPr="00B40F77">
        <w:rPr>
          <w:lang w:val="fr-CA"/>
        </w:rPr>
        <w:t>avait pas de permis de conduire et n</w:t>
      </w:r>
      <w:r w:rsidR="00982E62" w:rsidRPr="00B40F77">
        <w:rPr>
          <w:lang w:val="fr-CA"/>
        </w:rPr>
        <w:t>’</w:t>
      </w:r>
      <w:r w:rsidR="00FB0A85" w:rsidRPr="00B40F77">
        <w:rPr>
          <w:lang w:val="fr-CA"/>
        </w:rPr>
        <w:t xml:space="preserve">avait jamais conduit de voiture sur la route, C a décidé de voler la voiture pour aller chercher un ami dans </w:t>
      </w:r>
      <w:r w:rsidR="00E40989" w:rsidRPr="00B40F77">
        <w:rPr>
          <w:lang w:val="fr-CA"/>
        </w:rPr>
        <w:t>une</w:t>
      </w:r>
      <w:r w:rsidR="00FB0A85" w:rsidRPr="00B40F77">
        <w:rPr>
          <w:lang w:val="fr-CA"/>
        </w:rPr>
        <w:t xml:space="preserve"> ville voisine. C a dit à J « embarque », ce que ce dernier a fait. C a sorti la voiture du stationnement du garage et l</w:t>
      </w:r>
      <w:r w:rsidR="00982E62" w:rsidRPr="00B40F77">
        <w:rPr>
          <w:lang w:val="fr-CA"/>
        </w:rPr>
        <w:t>’</w:t>
      </w:r>
      <w:r w:rsidR="00FB0A85" w:rsidRPr="00B40F77">
        <w:rPr>
          <w:lang w:val="fr-CA"/>
        </w:rPr>
        <w:t>a conduite jusqu</w:t>
      </w:r>
      <w:r w:rsidR="00982E62" w:rsidRPr="00B40F77">
        <w:rPr>
          <w:lang w:val="fr-CA"/>
        </w:rPr>
        <w:t>’</w:t>
      </w:r>
      <w:r w:rsidR="00FB0A85" w:rsidRPr="00B40F77">
        <w:rPr>
          <w:lang w:val="fr-CA"/>
        </w:rPr>
        <w:t>à la grande route où l</w:t>
      </w:r>
      <w:r w:rsidR="00982E62" w:rsidRPr="00B40F77">
        <w:rPr>
          <w:lang w:val="fr-CA"/>
        </w:rPr>
        <w:t>’</w:t>
      </w:r>
      <w:r w:rsidR="00FB0A85" w:rsidRPr="00B40F77">
        <w:rPr>
          <w:lang w:val="fr-CA"/>
        </w:rPr>
        <w:t>automobile a fait l</w:t>
      </w:r>
      <w:r w:rsidR="00982E62" w:rsidRPr="00B40F77">
        <w:rPr>
          <w:lang w:val="fr-CA"/>
        </w:rPr>
        <w:t>’</w:t>
      </w:r>
      <w:r w:rsidR="00FB0A85" w:rsidRPr="00B40F77">
        <w:rPr>
          <w:lang w:val="fr-CA"/>
        </w:rPr>
        <w:t>objet d</w:t>
      </w:r>
      <w:r w:rsidR="00982E62" w:rsidRPr="00B40F77">
        <w:rPr>
          <w:lang w:val="fr-CA"/>
        </w:rPr>
        <w:t>’</w:t>
      </w:r>
      <w:r w:rsidR="00FB0A85" w:rsidRPr="00B40F77">
        <w:rPr>
          <w:lang w:val="fr-CA"/>
        </w:rPr>
        <w:t>un accident dans lequel J a subi un grave traumatisme crânien</w:t>
      </w:r>
      <w:r w:rsidR="00094CE5" w:rsidRPr="00B40F77">
        <w:rPr>
          <w:lang w:val="fr-CA"/>
        </w:rPr>
        <w:t>.</w:t>
      </w:r>
      <w:r w:rsidRPr="00B40F77">
        <w:rPr>
          <w:lang w:val="fr-CA"/>
        </w:rPr>
        <w:t xml:space="preserve"> </w:t>
      </w:r>
      <w:r w:rsidR="00BA0360" w:rsidRPr="00B40F77">
        <w:rPr>
          <w:lang w:val="fr-CA"/>
        </w:rPr>
        <w:t>Par l</w:t>
      </w:r>
      <w:r w:rsidR="00982E62" w:rsidRPr="00B40F77">
        <w:rPr>
          <w:lang w:val="fr-CA"/>
        </w:rPr>
        <w:t>’</w:t>
      </w:r>
      <w:r w:rsidR="00BA0360" w:rsidRPr="00B40F77">
        <w:rPr>
          <w:lang w:val="fr-CA"/>
        </w:rPr>
        <w:t>entremise de son tuteur à l</w:t>
      </w:r>
      <w:r w:rsidR="00982E62" w:rsidRPr="00B40F77">
        <w:rPr>
          <w:lang w:val="fr-CA"/>
        </w:rPr>
        <w:t>’</w:t>
      </w:r>
      <w:r w:rsidR="00BA0360" w:rsidRPr="00B40F77">
        <w:rPr>
          <w:lang w:val="fr-CA"/>
        </w:rPr>
        <w:t>instance, J a poursuivi R, C et la mère de ce dernier pour négligence</w:t>
      </w:r>
      <w:r w:rsidR="00094CE5" w:rsidRPr="00B40F77">
        <w:rPr>
          <w:lang w:val="fr-CA"/>
        </w:rPr>
        <w:t xml:space="preserve">. </w:t>
      </w:r>
    </w:p>
    <w:p w:rsidR="00094CE5" w:rsidRPr="00B40F77" w:rsidRDefault="007C6100" w:rsidP="007C6100">
      <w:pPr>
        <w:pStyle w:val="SCCNormalDoubleSpacing"/>
        <w:spacing w:before="480" w:after="480"/>
        <w:rPr>
          <w:lang w:val="fr-CA"/>
        </w:rPr>
      </w:pPr>
      <w:r w:rsidRPr="00B40F77">
        <w:rPr>
          <w:lang w:val="fr-CA"/>
        </w:rPr>
        <w:lastRenderedPageBreak/>
        <w:tab/>
      </w:r>
      <w:r w:rsidR="00BA0360" w:rsidRPr="00B40F77">
        <w:rPr>
          <w:lang w:val="fr-CA"/>
        </w:rPr>
        <w:t xml:space="preserve">Au procès, il a été </w:t>
      </w:r>
      <w:r w:rsidR="00E40989" w:rsidRPr="00B40F77">
        <w:rPr>
          <w:lang w:val="fr-CA"/>
        </w:rPr>
        <w:t>décidé</w:t>
      </w:r>
      <w:r w:rsidR="00BA0360" w:rsidRPr="00B40F77">
        <w:rPr>
          <w:lang w:val="fr-CA"/>
        </w:rPr>
        <w:t xml:space="preserve"> que R avait une obligation de diligence envers J. Le jury a conclu que toutes les parties avaient fait preuve de négligence et il a réparti la responsabilité comme suit</w:t>
      </w:r>
      <w:r w:rsidR="00982E62" w:rsidRPr="00B40F77">
        <w:rPr>
          <w:lang w:val="fr-CA"/>
        </w:rPr>
        <w:t> :</w:t>
      </w:r>
      <w:r w:rsidR="00BA0360" w:rsidRPr="00B40F77">
        <w:rPr>
          <w:lang w:val="fr-CA"/>
        </w:rPr>
        <w:t xml:space="preserve"> R, 37 pour</w:t>
      </w:r>
      <w:r w:rsidRPr="00B40F77">
        <w:rPr>
          <w:lang w:val="fr-CA"/>
        </w:rPr>
        <w:t> </w:t>
      </w:r>
      <w:r w:rsidR="00C50E6F">
        <w:rPr>
          <w:lang w:val="fr-CA"/>
        </w:rPr>
        <w:t>100</w:t>
      </w:r>
      <w:r w:rsidR="00BA0360" w:rsidRPr="00B40F77">
        <w:rPr>
          <w:lang w:val="fr-CA"/>
        </w:rPr>
        <w:t>; C, 23 pour</w:t>
      </w:r>
      <w:r w:rsidRPr="00B40F77">
        <w:rPr>
          <w:lang w:val="fr-CA"/>
        </w:rPr>
        <w:t> </w:t>
      </w:r>
      <w:r w:rsidR="00C50E6F">
        <w:rPr>
          <w:lang w:val="fr-CA"/>
        </w:rPr>
        <w:t>100</w:t>
      </w:r>
      <w:r w:rsidR="00BA0360" w:rsidRPr="00B40F77">
        <w:rPr>
          <w:lang w:val="fr-CA"/>
        </w:rPr>
        <w:t xml:space="preserve">; la mère de C, </w:t>
      </w:r>
      <w:r w:rsidR="00487628" w:rsidRPr="00B40F77">
        <w:rPr>
          <w:lang w:val="fr-CA"/>
        </w:rPr>
        <w:t xml:space="preserve">30 </w:t>
      </w:r>
      <w:r w:rsidR="00BA0360" w:rsidRPr="00B40F77">
        <w:rPr>
          <w:lang w:val="fr-CA"/>
        </w:rPr>
        <w:t xml:space="preserve">pour </w:t>
      </w:r>
      <w:r w:rsidR="00C50E6F">
        <w:rPr>
          <w:lang w:val="fr-CA"/>
        </w:rPr>
        <w:t>100</w:t>
      </w:r>
      <w:r w:rsidR="00BA0360" w:rsidRPr="00B40F77">
        <w:rPr>
          <w:lang w:val="fr-CA"/>
        </w:rPr>
        <w:t>; et J, 10 pour</w:t>
      </w:r>
      <w:r w:rsidRPr="00B40F77">
        <w:rPr>
          <w:lang w:val="fr-CA"/>
        </w:rPr>
        <w:t> </w:t>
      </w:r>
      <w:r w:rsidR="00C50E6F">
        <w:rPr>
          <w:lang w:val="fr-CA"/>
        </w:rPr>
        <w:t>100</w:t>
      </w:r>
      <w:r w:rsidR="00BA0360" w:rsidRPr="00B40F77">
        <w:rPr>
          <w:lang w:val="fr-CA"/>
        </w:rPr>
        <w:t>. La Cour d</w:t>
      </w:r>
      <w:r w:rsidR="00982E62" w:rsidRPr="00B40F77">
        <w:rPr>
          <w:lang w:val="fr-CA"/>
        </w:rPr>
        <w:t>’</w:t>
      </w:r>
      <w:r w:rsidR="00BA0360" w:rsidRPr="00B40F77">
        <w:rPr>
          <w:lang w:val="fr-CA"/>
        </w:rPr>
        <w:t>appel de l</w:t>
      </w:r>
      <w:r w:rsidR="00982E62" w:rsidRPr="00B40F77">
        <w:rPr>
          <w:lang w:val="fr-CA"/>
        </w:rPr>
        <w:t>’</w:t>
      </w:r>
      <w:r w:rsidR="00BA0360" w:rsidRPr="00B40F77">
        <w:rPr>
          <w:lang w:val="fr-CA"/>
        </w:rPr>
        <w:t>Ontario a confirmé la conclusion de la juge du procès suivant laquelle R avait une obligation de diligence envers J et a rejeté l</w:t>
      </w:r>
      <w:r w:rsidR="00982E62" w:rsidRPr="00B40F77">
        <w:rPr>
          <w:lang w:val="fr-CA"/>
        </w:rPr>
        <w:t>’</w:t>
      </w:r>
      <w:r w:rsidR="00BA0360" w:rsidRPr="00B40F77">
        <w:rPr>
          <w:lang w:val="fr-CA"/>
        </w:rPr>
        <w:t>appel</w:t>
      </w:r>
      <w:r w:rsidR="00094CE5" w:rsidRPr="00B40F77">
        <w:rPr>
          <w:lang w:val="fr-CA"/>
        </w:rPr>
        <w:t xml:space="preserve">. </w:t>
      </w:r>
    </w:p>
    <w:p w:rsidR="00094CE5" w:rsidRPr="00B40F77" w:rsidRDefault="007C6100" w:rsidP="007C6100">
      <w:pPr>
        <w:pStyle w:val="SCCNormalDoubleSpacing"/>
        <w:spacing w:before="480" w:after="480"/>
        <w:rPr>
          <w:lang w:val="fr-CA"/>
        </w:rPr>
      </w:pPr>
      <w:r w:rsidRPr="00B40F77">
        <w:rPr>
          <w:lang w:val="fr-CA"/>
        </w:rPr>
        <w:tab/>
      </w:r>
      <w:r w:rsidR="00BA0360" w:rsidRPr="00B40F77">
        <w:rPr>
          <w:lang w:val="fr-CA"/>
        </w:rPr>
        <w:t>La seule question en litige dans le présent pourvoi est celle de savoir si R avait une obligation de diligence envers J</w:t>
      </w:r>
      <w:r w:rsidR="00094CE5" w:rsidRPr="00B40F77">
        <w:rPr>
          <w:lang w:val="fr-CA"/>
        </w:rPr>
        <w:t>.</w:t>
      </w:r>
    </w:p>
    <w:p w:rsidR="00094CE5" w:rsidRPr="00B40F77" w:rsidRDefault="00094CE5" w:rsidP="007C6100">
      <w:pPr>
        <w:pStyle w:val="SCCNormalDoubleSpacing"/>
        <w:spacing w:before="480" w:after="480"/>
        <w:rPr>
          <w:lang w:val="fr-CA"/>
        </w:rPr>
      </w:pPr>
      <w:r w:rsidRPr="00B40F77">
        <w:rPr>
          <w:rFonts w:eastAsiaTheme="minorEastAsia"/>
          <w:szCs w:val="22"/>
          <w:lang w:val="fr-CA" w:eastAsia="en-US"/>
        </w:rPr>
        <w:tab/>
      </w:r>
      <w:r w:rsidRPr="00B40F77">
        <w:rPr>
          <w:i/>
          <w:lang w:val="fr-CA"/>
        </w:rPr>
        <w:t>Arrêt</w:t>
      </w:r>
      <w:r w:rsidR="00487628" w:rsidRPr="00B40F77">
        <w:rPr>
          <w:lang w:val="fr-CA"/>
        </w:rPr>
        <w:t xml:space="preserve"> </w:t>
      </w:r>
      <w:r w:rsidRPr="00B40F77">
        <w:rPr>
          <w:lang w:val="fr-CA"/>
        </w:rPr>
        <w:t>(les juges Gascon et Brown sont dissidents)</w:t>
      </w:r>
      <w:r w:rsidR="00982E62" w:rsidRPr="00B40F77">
        <w:rPr>
          <w:lang w:val="fr-CA"/>
        </w:rPr>
        <w:t> :</w:t>
      </w:r>
      <w:r w:rsidRPr="00B40F77">
        <w:rPr>
          <w:lang w:val="fr-CA"/>
        </w:rPr>
        <w:t xml:space="preserve"> Le pourvoi est</w:t>
      </w:r>
      <w:r w:rsidR="00BA0360" w:rsidRPr="00B40F77">
        <w:rPr>
          <w:lang w:val="fr-CA"/>
        </w:rPr>
        <w:t xml:space="preserve"> accueilli et </w:t>
      </w:r>
      <w:r w:rsidR="00014256" w:rsidRPr="00B40F77">
        <w:rPr>
          <w:lang w:val="fr-CA"/>
        </w:rPr>
        <w:t>la demande présentée contre R est rejetée.</w:t>
      </w:r>
    </w:p>
    <w:p w:rsidR="00094CE5" w:rsidRPr="00B40F77" w:rsidRDefault="00094CE5" w:rsidP="007C6100">
      <w:pPr>
        <w:pStyle w:val="SCCNormalDoubleSpacing"/>
        <w:spacing w:before="480" w:after="480"/>
        <w:rPr>
          <w:lang w:val="fr-CA"/>
        </w:rPr>
      </w:pPr>
      <w:r w:rsidRPr="00B40F77">
        <w:rPr>
          <w:lang w:val="fr-CA"/>
        </w:rPr>
        <w:tab/>
      </w:r>
      <w:r w:rsidR="00014256" w:rsidRPr="00B40F77">
        <w:rPr>
          <w:i/>
          <w:lang w:val="fr-CA"/>
        </w:rPr>
        <w:t xml:space="preserve">La </w:t>
      </w:r>
      <w:r w:rsidR="00014256" w:rsidRPr="00B40F77">
        <w:rPr>
          <w:lang w:val="fr-CA"/>
        </w:rPr>
        <w:t>juge en chef</w:t>
      </w:r>
      <w:r w:rsidRPr="00B40F77">
        <w:rPr>
          <w:lang w:val="fr-CA"/>
        </w:rPr>
        <w:t xml:space="preserve"> McLachlin </w:t>
      </w:r>
      <w:r w:rsidR="00014256" w:rsidRPr="00B40F77">
        <w:rPr>
          <w:lang w:val="fr-CA"/>
        </w:rPr>
        <w:t>et les juges</w:t>
      </w:r>
      <w:r w:rsidRPr="00B40F77">
        <w:rPr>
          <w:lang w:val="fr-CA"/>
        </w:rPr>
        <w:t xml:space="preserve"> Abella, Moldaver, </w:t>
      </w:r>
      <w:r w:rsidRPr="00E003C2">
        <w:rPr>
          <w:lang w:val="fr-CA"/>
        </w:rPr>
        <w:t>Karakatsanis</w:t>
      </w:r>
      <w:r w:rsidRPr="00B40F77">
        <w:rPr>
          <w:lang w:val="fr-CA"/>
        </w:rPr>
        <w:t xml:space="preserve">, Wagner, Côté </w:t>
      </w:r>
      <w:r w:rsidR="00014256" w:rsidRPr="00B40F77">
        <w:rPr>
          <w:lang w:val="fr-CA"/>
        </w:rPr>
        <w:t>et</w:t>
      </w:r>
      <w:r w:rsidRPr="00B40F77">
        <w:rPr>
          <w:lang w:val="fr-CA"/>
        </w:rPr>
        <w:t xml:space="preserve"> Rowe</w:t>
      </w:r>
      <w:r w:rsidR="00982E62" w:rsidRPr="00B40F77">
        <w:rPr>
          <w:lang w:val="fr-CA"/>
        </w:rPr>
        <w:t> :</w:t>
      </w:r>
      <w:r w:rsidRPr="00B40F77">
        <w:rPr>
          <w:lang w:val="fr-CA"/>
        </w:rPr>
        <w:t xml:space="preserve"> </w:t>
      </w:r>
      <w:r w:rsidR="00014256" w:rsidRPr="00B40F77">
        <w:rPr>
          <w:lang w:val="fr-CA"/>
        </w:rPr>
        <w:t>On peut trancher la présente affaire par une simple application des principes existants du droit de la responsabilité délictuelle</w:t>
      </w:r>
      <w:r w:rsidRPr="00B40F77">
        <w:rPr>
          <w:lang w:val="fr-CA"/>
        </w:rPr>
        <w:t>.</w:t>
      </w:r>
      <w:r w:rsidR="007C6100" w:rsidRPr="00B40F77">
        <w:rPr>
          <w:lang w:val="fr-CA"/>
        </w:rPr>
        <w:t xml:space="preserve"> </w:t>
      </w:r>
      <w:r w:rsidR="00014256" w:rsidRPr="00B40F77">
        <w:rPr>
          <w:lang w:val="fr-CA"/>
        </w:rPr>
        <w:t>J n</w:t>
      </w:r>
      <w:r w:rsidR="00982E62" w:rsidRPr="00B40F77">
        <w:rPr>
          <w:lang w:val="fr-CA"/>
        </w:rPr>
        <w:t>’</w:t>
      </w:r>
      <w:r w:rsidR="00014256" w:rsidRPr="00B40F77">
        <w:rPr>
          <w:lang w:val="fr-CA"/>
        </w:rPr>
        <w:t>a pas présenté assez d</w:t>
      </w:r>
      <w:r w:rsidR="00982E62" w:rsidRPr="00B40F77">
        <w:rPr>
          <w:lang w:val="fr-CA"/>
        </w:rPr>
        <w:t>’</w:t>
      </w:r>
      <w:r w:rsidR="00014256" w:rsidRPr="00B40F77">
        <w:rPr>
          <w:lang w:val="fr-CA"/>
        </w:rPr>
        <w:t>éléments de preuve pour établir que R avait une obligation de diligence.</w:t>
      </w:r>
      <w:r w:rsidRPr="00B40F77">
        <w:rPr>
          <w:lang w:val="fr-CA"/>
        </w:rPr>
        <w:t xml:space="preserve"> </w:t>
      </w:r>
    </w:p>
    <w:p w:rsidR="00094CE5" w:rsidRPr="00B40F77" w:rsidRDefault="00094CE5" w:rsidP="007C6100">
      <w:pPr>
        <w:pStyle w:val="SCCNormalDoubleSpacing"/>
        <w:spacing w:before="480" w:after="480"/>
        <w:rPr>
          <w:lang w:val="fr-CA"/>
        </w:rPr>
      </w:pPr>
      <w:r w:rsidRPr="00B40F77">
        <w:rPr>
          <w:lang w:val="fr-CA"/>
        </w:rPr>
        <w:tab/>
      </w:r>
      <w:r w:rsidR="00014256" w:rsidRPr="00B40F77">
        <w:rPr>
          <w:lang w:val="fr-CA"/>
        </w:rPr>
        <w:t>La jurisprudence canadienne ne donne pas de directives claires quant à la façon de déterminer s</w:t>
      </w:r>
      <w:r w:rsidR="00982E62" w:rsidRPr="00B40F77">
        <w:rPr>
          <w:lang w:val="fr-CA"/>
        </w:rPr>
        <w:t>’</w:t>
      </w:r>
      <w:r w:rsidR="00014256" w:rsidRPr="00B40F77">
        <w:rPr>
          <w:lang w:val="fr-CA"/>
        </w:rPr>
        <w:t>il incombe ou non une obligation de diligence à une entreprise envers une personne qui subit des lésions corporelles à la suite du vol d</w:t>
      </w:r>
      <w:r w:rsidR="00982E62" w:rsidRPr="00B40F77">
        <w:rPr>
          <w:lang w:val="fr-CA"/>
        </w:rPr>
        <w:t>’</w:t>
      </w:r>
      <w:r w:rsidR="00014256" w:rsidRPr="00B40F77">
        <w:rPr>
          <w:lang w:val="fr-CA"/>
        </w:rPr>
        <w:t>un véhicule qui se trouvait sur les lieux où cette entreprise exerce ses activités</w:t>
      </w:r>
      <w:r w:rsidR="00B779FD">
        <w:rPr>
          <w:lang w:val="fr-CA"/>
        </w:rPr>
        <w:t>.</w:t>
      </w:r>
      <w:r w:rsidR="00014256" w:rsidRPr="00B40F77">
        <w:rPr>
          <w:lang w:val="fr-CA"/>
        </w:rPr>
        <w:t xml:space="preserve"> Il faut donc procéder dans la présente affaire à l</w:t>
      </w:r>
      <w:r w:rsidR="00982E62" w:rsidRPr="00B40F77">
        <w:rPr>
          <w:lang w:val="fr-CA"/>
        </w:rPr>
        <w:t>’</w:t>
      </w:r>
      <w:r w:rsidR="00014256" w:rsidRPr="00B40F77">
        <w:rPr>
          <w:lang w:val="fr-CA"/>
        </w:rPr>
        <w:t>analyse établi</w:t>
      </w:r>
      <w:r w:rsidR="00E16EC6" w:rsidRPr="00B40F77">
        <w:rPr>
          <w:lang w:val="fr-CA"/>
        </w:rPr>
        <w:t xml:space="preserve">e </w:t>
      </w:r>
      <w:r w:rsidR="00014256" w:rsidRPr="00B40F77">
        <w:rPr>
          <w:lang w:val="fr-CA"/>
        </w:rPr>
        <w:t xml:space="preserve">par les arrêts </w:t>
      </w:r>
      <w:r w:rsidR="00014256" w:rsidRPr="00B40F77">
        <w:rPr>
          <w:i/>
          <w:lang w:val="fr-CA"/>
        </w:rPr>
        <w:t>Anns/Cooper</w:t>
      </w:r>
      <w:r w:rsidR="00014256" w:rsidRPr="00B40F77">
        <w:rPr>
          <w:lang w:val="fr-CA"/>
        </w:rPr>
        <w:t>. Pour établir l</w:t>
      </w:r>
      <w:r w:rsidR="00982E62" w:rsidRPr="00B40F77">
        <w:rPr>
          <w:lang w:val="fr-CA"/>
        </w:rPr>
        <w:t>’</w:t>
      </w:r>
      <w:r w:rsidR="00014256" w:rsidRPr="00B40F77">
        <w:rPr>
          <w:lang w:val="fr-CA"/>
        </w:rPr>
        <w:t>existence d</w:t>
      </w:r>
      <w:r w:rsidR="00982E62" w:rsidRPr="00B40F77">
        <w:rPr>
          <w:lang w:val="fr-CA"/>
        </w:rPr>
        <w:t>’</w:t>
      </w:r>
      <w:r w:rsidR="00014256" w:rsidRPr="00B40F77">
        <w:rPr>
          <w:lang w:val="fr-CA"/>
        </w:rPr>
        <w:t xml:space="preserve">une obligation de diligence, </w:t>
      </w:r>
      <w:r w:rsidR="00255090" w:rsidRPr="00B40F77">
        <w:rPr>
          <w:lang w:val="fr-CA"/>
        </w:rPr>
        <w:t>il faut se demande</w:t>
      </w:r>
      <w:r w:rsidR="00E40989" w:rsidRPr="00B40F77">
        <w:rPr>
          <w:lang w:val="fr-CA"/>
        </w:rPr>
        <w:t>r</w:t>
      </w:r>
      <w:r w:rsidR="00255090" w:rsidRPr="00B40F77">
        <w:rPr>
          <w:lang w:val="fr-CA"/>
        </w:rPr>
        <w:t xml:space="preserve"> s</w:t>
      </w:r>
      <w:r w:rsidR="00982E62" w:rsidRPr="00B40F77">
        <w:rPr>
          <w:lang w:val="fr-CA"/>
        </w:rPr>
        <w:t>’</w:t>
      </w:r>
      <w:r w:rsidR="00255090" w:rsidRPr="00B40F77">
        <w:rPr>
          <w:lang w:val="fr-CA"/>
        </w:rPr>
        <w:t xml:space="preserve">il y a </w:t>
      </w:r>
      <w:r w:rsidR="00255090" w:rsidRPr="00B40F77">
        <w:rPr>
          <w:lang w:val="fr-FR"/>
        </w:rPr>
        <w:t>un lien de proximité dans le cadre duquel l</w:t>
      </w:r>
      <w:r w:rsidR="00982E62" w:rsidRPr="00B40F77">
        <w:rPr>
          <w:lang w:val="fr-FR"/>
        </w:rPr>
        <w:t>’</w:t>
      </w:r>
      <w:r w:rsidR="00255090" w:rsidRPr="00B40F77">
        <w:rPr>
          <w:lang w:val="fr-FR"/>
        </w:rPr>
        <w:t xml:space="preserve">omission de faire preuve de diligence raisonnable peut, de façon prévisible, causer une perte ou un préjudice au </w:t>
      </w:r>
      <w:r w:rsidR="00255090" w:rsidRPr="00B40F77">
        <w:rPr>
          <w:lang w:val="fr-CA"/>
        </w:rPr>
        <w:t>demandeur</w:t>
      </w:r>
      <w:r w:rsidR="00487628" w:rsidRPr="00B40F77">
        <w:rPr>
          <w:lang w:val="fr-CA"/>
        </w:rPr>
        <w:t xml:space="preserve">. </w:t>
      </w:r>
      <w:r w:rsidR="00255090" w:rsidRPr="00B40F77">
        <w:rPr>
          <w:lang w:val="fr-CA"/>
        </w:rPr>
        <w:t xml:space="preserve">Dès lors que la </w:t>
      </w:r>
      <w:r w:rsidR="00255090" w:rsidRPr="00B40F77">
        <w:rPr>
          <w:lang w:val="fr-CA"/>
        </w:rPr>
        <w:lastRenderedPageBreak/>
        <w:t xml:space="preserve">prévisibilité et le lien de proximité ont été établis, il y a obligation de diligence </w:t>
      </w:r>
      <w:r w:rsidR="00255090" w:rsidRPr="00B40F77">
        <w:rPr>
          <w:i/>
          <w:lang w:val="fr-CA"/>
        </w:rPr>
        <w:t>prima facie</w:t>
      </w:r>
      <w:r w:rsidR="00255090" w:rsidRPr="00B40F77">
        <w:rPr>
          <w:lang w:val="fr-CA"/>
        </w:rPr>
        <w:t>. La question de savoir si quelque chose est « raisonnablement prévisible » ou non est un critère objectif. La question</w:t>
      </w:r>
      <w:r w:rsidR="00E40989" w:rsidRPr="00B40F77">
        <w:rPr>
          <w:lang w:val="fr-CA"/>
        </w:rPr>
        <w:t>,</w:t>
      </w:r>
      <w:r w:rsidR="00255090" w:rsidRPr="00B40F77">
        <w:rPr>
          <w:lang w:val="fr-CA"/>
        </w:rPr>
        <w:t xml:space="preserve"> posée correctement</w:t>
      </w:r>
      <w:r w:rsidR="00E40989" w:rsidRPr="00B40F77">
        <w:rPr>
          <w:lang w:val="fr-CA"/>
        </w:rPr>
        <w:t>,</w:t>
      </w:r>
      <w:r w:rsidR="00255090" w:rsidRPr="00B40F77">
        <w:rPr>
          <w:lang w:val="fr-CA"/>
        </w:rPr>
        <w:t xml:space="preserve"> porte sur la prévisibilité ou non avant que l</w:t>
      </w:r>
      <w:r w:rsidR="00982E62" w:rsidRPr="00B40F77">
        <w:rPr>
          <w:lang w:val="fr-CA"/>
        </w:rPr>
        <w:t>’</w:t>
      </w:r>
      <w:r w:rsidR="00255090" w:rsidRPr="00B40F77">
        <w:rPr>
          <w:lang w:val="fr-CA"/>
        </w:rPr>
        <w:t>incident ne survienne, sans pouvoir compter sur l</w:t>
      </w:r>
      <w:r w:rsidR="00982E62" w:rsidRPr="00B40F77">
        <w:rPr>
          <w:lang w:val="fr-CA"/>
        </w:rPr>
        <w:t>’</w:t>
      </w:r>
      <w:r w:rsidR="00255090" w:rsidRPr="00B40F77">
        <w:rPr>
          <w:lang w:val="fr-CA"/>
        </w:rPr>
        <w:t>avantage du recul</w:t>
      </w:r>
      <w:r w:rsidRPr="00B40F77">
        <w:rPr>
          <w:lang w:val="fr-CA"/>
        </w:rPr>
        <w:t>.</w:t>
      </w:r>
    </w:p>
    <w:p w:rsidR="00094CE5" w:rsidRPr="00B40F77" w:rsidRDefault="007C6100" w:rsidP="007C6100">
      <w:pPr>
        <w:pStyle w:val="SCCNormalDoubleSpacing"/>
        <w:spacing w:before="480" w:after="480"/>
        <w:rPr>
          <w:lang w:val="fr-CA"/>
        </w:rPr>
      </w:pPr>
      <w:r w:rsidRPr="00B40F77">
        <w:rPr>
          <w:lang w:val="fr-CA"/>
        </w:rPr>
        <w:tab/>
      </w:r>
      <w:r w:rsidR="00255090" w:rsidRPr="00B40F77">
        <w:rPr>
          <w:lang w:val="fr-CA"/>
        </w:rPr>
        <w:t>En l</w:t>
      </w:r>
      <w:r w:rsidR="00982E62" w:rsidRPr="00B40F77">
        <w:rPr>
          <w:lang w:val="fr-CA"/>
        </w:rPr>
        <w:t>’</w:t>
      </w:r>
      <w:r w:rsidR="00255090" w:rsidRPr="00B40F77">
        <w:rPr>
          <w:lang w:val="fr-CA"/>
        </w:rPr>
        <w:t>espèce, il ne suffit pas de déterminer si le vol du véhicule était raisonnablement prévisible.</w:t>
      </w:r>
      <w:r w:rsidRPr="00B40F77">
        <w:rPr>
          <w:lang w:val="fr-CA"/>
        </w:rPr>
        <w:t xml:space="preserve"> </w:t>
      </w:r>
      <w:r w:rsidR="00255090" w:rsidRPr="00B40F77">
        <w:rPr>
          <w:lang w:val="fr-CA"/>
        </w:rPr>
        <w:t>I</w:t>
      </w:r>
      <w:r w:rsidR="00255090" w:rsidRPr="00B40F77">
        <w:rPr>
          <w:rStyle w:val="cohl"/>
          <w:lang w:val="fr-CA"/>
        </w:rPr>
        <w:t>l faut se demander si une personne se trouvant dans la situation de R aurait raisonnablement pu prévoir le type de préjudice qui a été subi, soit des lésions corporelles, lorsqu</w:t>
      </w:r>
      <w:r w:rsidR="00982E62" w:rsidRPr="00B40F77">
        <w:rPr>
          <w:rStyle w:val="cohl"/>
          <w:lang w:val="fr-CA"/>
        </w:rPr>
        <w:t>’</w:t>
      </w:r>
      <w:r w:rsidR="00255090" w:rsidRPr="00B40F77">
        <w:rPr>
          <w:rStyle w:val="cohl"/>
          <w:lang w:val="fr-CA"/>
        </w:rPr>
        <w:t>elle considérait la sécurité des véhicules entreposés au garage</w:t>
      </w:r>
      <w:r w:rsidR="00255090" w:rsidRPr="00B40F77">
        <w:rPr>
          <w:lang w:val="fr-CA"/>
        </w:rPr>
        <w:t>. La preuve pouvait démontrer, comme le jury l</w:t>
      </w:r>
      <w:r w:rsidR="00982E62" w:rsidRPr="00B40F77">
        <w:rPr>
          <w:lang w:val="fr-CA"/>
        </w:rPr>
        <w:t>’</w:t>
      </w:r>
      <w:r w:rsidR="00255090" w:rsidRPr="00B40F77">
        <w:rPr>
          <w:lang w:val="fr-CA"/>
        </w:rPr>
        <w:t xml:space="preserve">a conclu, que le défendeur aurait dû être conscient du risque de </w:t>
      </w:r>
      <w:r w:rsidR="00487628" w:rsidRPr="00B40F77">
        <w:rPr>
          <w:lang w:val="fr-CA"/>
        </w:rPr>
        <w:t xml:space="preserve">vol. </w:t>
      </w:r>
      <w:r w:rsidR="00255090" w:rsidRPr="00B40F77">
        <w:rPr>
          <w:lang w:val="fr-CA"/>
        </w:rPr>
        <w:t>Toutefois</w:t>
      </w:r>
      <w:r w:rsidR="00094CE5" w:rsidRPr="00B40F77">
        <w:rPr>
          <w:lang w:val="fr-CA"/>
        </w:rPr>
        <w:t xml:space="preserve">, </w:t>
      </w:r>
      <w:r w:rsidR="00E16EC6" w:rsidRPr="00B40F77">
        <w:rPr>
          <w:lang w:val="fr-CA"/>
        </w:rPr>
        <w:t>l</w:t>
      </w:r>
      <w:r w:rsidR="00255090" w:rsidRPr="00B40F77">
        <w:rPr>
          <w:lang w:val="fr-CA"/>
        </w:rPr>
        <w:t>es lésions corporelles ne sont prévisibles que lorsque les faits permettent de penser qu</w:t>
      </w:r>
      <w:r w:rsidR="00982E62" w:rsidRPr="00B40F77">
        <w:rPr>
          <w:lang w:val="fr-CA"/>
        </w:rPr>
        <w:t>’</w:t>
      </w:r>
      <w:r w:rsidR="00255090" w:rsidRPr="00B40F77">
        <w:rPr>
          <w:lang w:val="fr-CA"/>
        </w:rPr>
        <w:t>il y a non seulement un risque de vol, mais aussi un risque que le véhicule volé soit conduit de manière dangereuse</w:t>
      </w:r>
      <w:r w:rsidR="00094CE5" w:rsidRPr="00B40F77">
        <w:rPr>
          <w:lang w:val="fr-CA"/>
        </w:rPr>
        <w:t>.</w:t>
      </w:r>
      <w:r w:rsidRPr="00B40F77">
        <w:rPr>
          <w:lang w:val="fr-CA"/>
        </w:rPr>
        <w:t xml:space="preserve"> </w:t>
      </w:r>
      <w:r w:rsidR="00255090" w:rsidRPr="00B40F77">
        <w:rPr>
          <w:lang w:val="fr-CA"/>
        </w:rPr>
        <w:t>Pour conclure à l</w:t>
      </w:r>
      <w:r w:rsidR="00982E62" w:rsidRPr="00B40F77">
        <w:rPr>
          <w:lang w:val="fr-CA"/>
        </w:rPr>
        <w:t>’</w:t>
      </w:r>
      <w:r w:rsidR="00255090" w:rsidRPr="00B40F77">
        <w:rPr>
          <w:lang w:val="fr-CA"/>
        </w:rPr>
        <w:t>existence d</w:t>
      </w:r>
      <w:r w:rsidR="00982E62" w:rsidRPr="00B40F77">
        <w:rPr>
          <w:lang w:val="fr-CA"/>
        </w:rPr>
        <w:t>’</w:t>
      </w:r>
      <w:r w:rsidR="00255090" w:rsidRPr="00B40F77">
        <w:rPr>
          <w:lang w:val="fr-CA"/>
        </w:rPr>
        <w:t>une obligation de diligence, il doit exister une circonstance ou un élément de preuve quelconque portant à croire qu</w:t>
      </w:r>
      <w:r w:rsidR="00982E62" w:rsidRPr="00B40F77">
        <w:rPr>
          <w:lang w:val="fr-CA"/>
        </w:rPr>
        <w:t>’</w:t>
      </w:r>
      <w:r w:rsidR="00255090" w:rsidRPr="00B40F77">
        <w:rPr>
          <w:lang w:val="fr-CA"/>
        </w:rPr>
        <w:t xml:space="preserve">une personne dans la même situation que R aurait dû raisonnablement prévoir le risque de blessure, </w:t>
      </w:r>
      <w:r w:rsidR="00E40989" w:rsidRPr="00B40F77">
        <w:rPr>
          <w:lang w:val="fr-CA"/>
        </w:rPr>
        <w:t>soit</w:t>
      </w:r>
      <w:r w:rsidR="00255090" w:rsidRPr="00B40F77">
        <w:rPr>
          <w:lang w:val="fr-CA"/>
        </w:rPr>
        <w:t xml:space="preserve"> que le véhicule volé pourrait être conduit de façon dangereuse</w:t>
      </w:r>
      <w:r w:rsidR="00094CE5" w:rsidRPr="00B40F77">
        <w:rPr>
          <w:lang w:val="fr-CA"/>
        </w:rPr>
        <w:t xml:space="preserve">. </w:t>
      </w:r>
      <w:r w:rsidR="007241A7" w:rsidRPr="00B40F77">
        <w:rPr>
          <w:lang w:val="fr-CA"/>
        </w:rPr>
        <w:t>Dans les circonstances de l</w:t>
      </w:r>
      <w:r w:rsidR="00982E62" w:rsidRPr="00B40F77">
        <w:rPr>
          <w:lang w:val="fr-CA"/>
        </w:rPr>
        <w:t>’</w:t>
      </w:r>
      <w:r w:rsidR="007241A7" w:rsidRPr="00B40F77">
        <w:rPr>
          <w:lang w:val="fr-CA"/>
        </w:rPr>
        <w:t>espèce, les juridictions inférieures se sont fondées sur l</w:t>
      </w:r>
      <w:r w:rsidRPr="00B40F77">
        <w:rPr>
          <w:lang w:val="fr-CA"/>
        </w:rPr>
        <w:t xml:space="preserve">e risque de vol par des mineurs </w:t>
      </w:r>
      <w:r w:rsidR="007241A7" w:rsidRPr="00B40F77">
        <w:rPr>
          <w:lang w:val="fr-CA"/>
        </w:rPr>
        <w:t>—</w:t>
      </w:r>
      <w:r w:rsidR="00E16EC6" w:rsidRPr="00B40F77">
        <w:rPr>
          <w:lang w:val="fr-CA"/>
        </w:rPr>
        <w:t xml:space="preserve"> </w:t>
      </w:r>
      <w:r w:rsidR="007241A7" w:rsidRPr="00B40F77">
        <w:rPr>
          <w:lang w:val="fr-CA"/>
        </w:rPr>
        <w:t>qui pourraient bien s</w:t>
      </w:r>
      <w:r w:rsidR="00982E62" w:rsidRPr="00B40F77">
        <w:rPr>
          <w:lang w:val="fr-CA"/>
        </w:rPr>
        <w:t>’</w:t>
      </w:r>
      <w:r w:rsidR="007241A7" w:rsidRPr="00B40F77">
        <w:rPr>
          <w:lang w:val="fr-CA"/>
        </w:rPr>
        <w:t>avérer être des conducteurs inexpérimentés et insouciants</w:t>
      </w:r>
      <w:r w:rsidR="00E16EC6" w:rsidRPr="00B40F77">
        <w:rPr>
          <w:lang w:val="fr-CA"/>
        </w:rPr>
        <w:t xml:space="preserve"> </w:t>
      </w:r>
      <w:r w:rsidRPr="00B40F77">
        <w:rPr>
          <w:lang w:val="fr-CA"/>
        </w:rPr>
        <w:t xml:space="preserve">— </w:t>
      </w:r>
      <w:r w:rsidR="007241A7" w:rsidRPr="00B40F77">
        <w:rPr>
          <w:lang w:val="fr-CA"/>
        </w:rPr>
        <w:t>pour établir un lien entre le défaut de sécuriser les véhicules et la nature du préjudice subi, en l</w:t>
      </w:r>
      <w:r w:rsidR="00982E62" w:rsidRPr="00B40F77">
        <w:rPr>
          <w:lang w:val="fr-CA"/>
        </w:rPr>
        <w:t>’</w:t>
      </w:r>
      <w:r w:rsidR="007241A7" w:rsidRPr="00B40F77">
        <w:rPr>
          <w:lang w:val="fr-CA"/>
        </w:rPr>
        <w:t>occurrence, des lésions corporelles</w:t>
      </w:r>
      <w:r w:rsidR="00094CE5" w:rsidRPr="00B40F77">
        <w:rPr>
          <w:lang w:val="fr-CA"/>
        </w:rPr>
        <w:t>.</w:t>
      </w:r>
      <w:r w:rsidRPr="00B40F77">
        <w:rPr>
          <w:lang w:val="fr-CA"/>
        </w:rPr>
        <w:t xml:space="preserve"> </w:t>
      </w:r>
    </w:p>
    <w:p w:rsidR="00094CE5" w:rsidRPr="00B40F77" w:rsidRDefault="007C6100" w:rsidP="007C6100">
      <w:pPr>
        <w:pStyle w:val="SCCNormalDoubleSpacing"/>
        <w:spacing w:before="480" w:after="480"/>
        <w:rPr>
          <w:lang w:val="fr-CA"/>
        </w:rPr>
      </w:pPr>
      <w:r w:rsidRPr="00B40F77">
        <w:rPr>
          <w:lang w:val="fr-CA"/>
        </w:rPr>
        <w:tab/>
      </w:r>
      <w:r w:rsidR="007241A7" w:rsidRPr="00B40F77">
        <w:rPr>
          <w:lang w:val="fr-CA"/>
        </w:rPr>
        <w:t>Le risque de vol en général n</w:t>
      </w:r>
      <w:r w:rsidR="00982E62" w:rsidRPr="00B40F77">
        <w:rPr>
          <w:lang w:val="fr-CA"/>
        </w:rPr>
        <w:t>’</w:t>
      </w:r>
      <w:r w:rsidR="007241A7" w:rsidRPr="00B40F77">
        <w:rPr>
          <w:lang w:val="fr-CA"/>
        </w:rPr>
        <w:t>inclut pas automatiquement le risque de vol par des mineurs</w:t>
      </w:r>
      <w:r w:rsidR="00094CE5" w:rsidRPr="00B40F77">
        <w:rPr>
          <w:lang w:val="fr-CA"/>
        </w:rPr>
        <w:t>.</w:t>
      </w:r>
      <w:r w:rsidRPr="00B40F77">
        <w:rPr>
          <w:lang w:val="fr-CA"/>
        </w:rPr>
        <w:t xml:space="preserve"> </w:t>
      </w:r>
      <w:r w:rsidR="007241A7" w:rsidRPr="00B40F77">
        <w:rPr>
          <w:rStyle w:val="cohl"/>
          <w:lang w:val="fr-CA"/>
        </w:rPr>
        <w:t>La conclusion d</w:t>
      </w:r>
      <w:r w:rsidR="00982E62" w:rsidRPr="00B40F77">
        <w:rPr>
          <w:rStyle w:val="cohl"/>
          <w:lang w:val="fr-CA"/>
        </w:rPr>
        <w:t>’</w:t>
      </w:r>
      <w:r w:rsidR="007241A7" w:rsidRPr="00B40F77">
        <w:rPr>
          <w:rStyle w:val="cohl"/>
          <w:lang w:val="fr-CA"/>
        </w:rPr>
        <w:t>une cour selon laquelle le risque de vol inclut le risque de vol par des mineurs doit être étayée par des éléments de preuve</w:t>
      </w:r>
      <w:r w:rsidR="00094CE5" w:rsidRPr="00B40F77">
        <w:rPr>
          <w:lang w:val="fr-CA"/>
        </w:rPr>
        <w:t>.</w:t>
      </w:r>
      <w:r w:rsidRPr="00B40F77">
        <w:rPr>
          <w:lang w:val="fr-CA"/>
        </w:rPr>
        <w:t xml:space="preserve"> </w:t>
      </w:r>
      <w:r w:rsidR="007241A7" w:rsidRPr="00B40F77">
        <w:rPr>
          <w:lang w:val="fr-CA"/>
        </w:rPr>
        <w:t>En l</w:t>
      </w:r>
      <w:r w:rsidR="00982E62" w:rsidRPr="00B40F77">
        <w:rPr>
          <w:lang w:val="fr-CA"/>
        </w:rPr>
        <w:t>’</w:t>
      </w:r>
      <w:r w:rsidR="007241A7" w:rsidRPr="00B40F77">
        <w:rPr>
          <w:lang w:val="fr-CA"/>
        </w:rPr>
        <w:t>espèce, il n</w:t>
      </w:r>
      <w:r w:rsidR="00982E62" w:rsidRPr="00B40F77">
        <w:rPr>
          <w:lang w:val="fr-CA"/>
        </w:rPr>
        <w:t>’</w:t>
      </w:r>
      <w:r w:rsidR="007241A7" w:rsidRPr="00B40F77">
        <w:rPr>
          <w:lang w:val="fr-CA"/>
        </w:rPr>
        <w:t xml:space="preserve">y </w:t>
      </w:r>
      <w:r w:rsidR="007241A7" w:rsidRPr="00B40F77">
        <w:rPr>
          <w:lang w:val="fr-CA"/>
        </w:rPr>
        <w:lastRenderedPageBreak/>
        <w:t>a pas suffisamment d</w:t>
      </w:r>
      <w:r w:rsidR="00982E62" w:rsidRPr="00B40F77">
        <w:rPr>
          <w:lang w:val="fr-CA"/>
        </w:rPr>
        <w:t>’</w:t>
      </w:r>
      <w:r w:rsidR="007241A7" w:rsidRPr="00B40F77">
        <w:rPr>
          <w:lang w:val="fr-CA"/>
        </w:rPr>
        <w:t>éléments de preuve pour penser que des mineurs fréquenteraient ces lieux la nuit ou seraient impliqués dans un vol ou une balade en voiture volée</w:t>
      </w:r>
      <w:r w:rsidR="00094CE5" w:rsidRPr="00B40F77">
        <w:rPr>
          <w:lang w:val="fr-CA"/>
        </w:rPr>
        <w:t xml:space="preserve">. </w:t>
      </w:r>
      <w:r w:rsidR="007241A7" w:rsidRPr="00B40F77">
        <w:rPr>
          <w:lang w:val="fr-CA"/>
        </w:rPr>
        <w:t>Abstraction faite des éléments de preuve susceptibles d</w:t>
      </w:r>
      <w:r w:rsidR="00982E62" w:rsidRPr="00B40F77">
        <w:rPr>
          <w:lang w:val="fr-CA"/>
        </w:rPr>
        <w:t>’</w:t>
      </w:r>
      <w:r w:rsidR="007241A7" w:rsidRPr="00B40F77">
        <w:rPr>
          <w:lang w:val="fr-CA"/>
        </w:rPr>
        <w:t>établir le risque de vol en général, il n</w:t>
      </w:r>
      <w:r w:rsidR="00982E62" w:rsidRPr="00B40F77">
        <w:rPr>
          <w:lang w:val="fr-CA"/>
        </w:rPr>
        <w:t>’</w:t>
      </w:r>
      <w:r w:rsidR="007241A7" w:rsidRPr="00B40F77">
        <w:rPr>
          <w:lang w:val="fr-CA"/>
        </w:rPr>
        <w:t>y avait aucun élément en l</w:t>
      </w:r>
      <w:r w:rsidR="00982E62" w:rsidRPr="00B40F77">
        <w:rPr>
          <w:lang w:val="fr-CA"/>
        </w:rPr>
        <w:t>’</w:t>
      </w:r>
      <w:r w:rsidR="007241A7" w:rsidRPr="00B40F77">
        <w:rPr>
          <w:lang w:val="fr-CA"/>
        </w:rPr>
        <w:t>espèce qui permettait d</w:t>
      </w:r>
      <w:r w:rsidR="00982E62" w:rsidRPr="00B40F77">
        <w:rPr>
          <w:lang w:val="fr-CA"/>
        </w:rPr>
        <w:t>’</w:t>
      </w:r>
      <w:r w:rsidR="007241A7" w:rsidRPr="00B40F77">
        <w:rPr>
          <w:lang w:val="fr-CA"/>
        </w:rPr>
        <w:t>établir un lien entre le risque de vol de la voiture et celui que quelqu</w:t>
      </w:r>
      <w:r w:rsidR="00982E62" w:rsidRPr="00B40F77">
        <w:rPr>
          <w:lang w:val="fr-CA"/>
        </w:rPr>
        <w:t>’</w:t>
      </w:r>
      <w:r w:rsidR="007241A7" w:rsidRPr="00B40F77">
        <w:rPr>
          <w:lang w:val="fr-CA"/>
        </w:rPr>
        <w:t>un subisse des lésions corporelles</w:t>
      </w:r>
      <w:r w:rsidR="00094CE5" w:rsidRPr="00B40F77">
        <w:rPr>
          <w:lang w:val="fr-CA"/>
        </w:rPr>
        <w:t xml:space="preserve">. </w:t>
      </w:r>
      <w:r w:rsidR="00EF6016" w:rsidRPr="00B40F77">
        <w:rPr>
          <w:lang w:val="fr-CA"/>
        </w:rPr>
        <w:t>Ainsi</w:t>
      </w:r>
      <w:r w:rsidR="00094CE5" w:rsidRPr="00B40F77">
        <w:rPr>
          <w:lang w:val="fr-CA"/>
        </w:rPr>
        <w:t xml:space="preserve"> </w:t>
      </w:r>
      <w:r w:rsidR="00EF6016" w:rsidRPr="00B40F77">
        <w:rPr>
          <w:lang w:val="fr-CA"/>
        </w:rPr>
        <w:t xml:space="preserve">la preuve </w:t>
      </w:r>
      <w:r w:rsidR="00E40989" w:rsidRPr="00B40F77">
        <w:rPr>
          <w:lang w:val="fr-CA"/>
        </w:rPr>
        <w:t>n</w:t>
      </w:r>
      <w:r w:rsidR="00982E62" w:rsidRPr="00B40F77">
        <w:rPr>
          <w:lang w:val="fr-CA"/>
        </w:rPr>
        <w:t>’</w:t>
      </w:r>
      <w:r w:rsidR="00E40989" w:rsidRPr="00B40F77">
        <w:rPr>
          <w:lang w:val="fr-CA"/>
        </w:rPr>
        <w:t>a pas révélé</w:t>
      </w:r>
      <w:r w:rsidR="00EF6016" w:rsidRPr="00B40F77">
        <w:rPr>
          <w:lang w:val="fr-CA"/>
        </w:rPr>
        <w:t xml:space="preserve"> de circonstances précises suivant lesquelles il serait raisonnablement prévisible que la voiture volée serait conduite de manière à causer des lésions corporelles</w:t>
      </w:r>
      <w:r w:rsidR="00094CE5" w:rsidRPr="00B40F77">
        <w:rPr>
          <w:lang w:val="fr-CA"/>
        </w:rPr>
        <w:t xml:space="preserve">. </w:t>
      </w:r>
      <w:r w:rsidR="00EF6016" w:rsidRPr="00B40F77">
        <w:rPr>
          <w:lang w:val="fr-CA"/>
        </w:rPr>
        <w:t>J ne s</w:t>
      </w:r>
      <w:r w:rsidR="00982E62" w:rsidRPr="00B40F77">
        <w:rPr>
          <w:lang w:val="fr-CA"/>
        </w:rPr>
        <w:t>’</w:t>
      </w:r>
      <w:r w:rsidR="00EF6016" w:rsidRPr="00B40F77">
        <w:rPr>
          <w:lang w:val="fr-CA"/>
        </w:rPr>
        <w:t xml:space="preserve">est pas déchargé de son fardeau de démontrer que R avait une obligation de diligence </w:t>
      </w:r>
      <w:r w:rsidR="00EF6016" w:rsidRPr="00B40F77">
        <w:rPr>
          <w:i/>
          <w:lang w:val="fr-CA"/>
        </w:rPr>
        <w:t>prima facie</w:t>
      </w:r>
      <w:r w:rsidR="00EF6016" w:rsidRPr="00B40F77">
        <w:rPr>
          <w:lang w:val="fr-CA"/>
        </w:rPr>
        <w:t>. Le présent dossier ne permet pas d</w:t>
      </w:r>
      <w:r w:rsidR="00982E62" w:rsidRPr="00B40F77">
        <w:rPr>
          <w:lang w:val="fr-CA"/>
        </w:rPr>
        <w:t>’</w:t>
      </w:r>
      <w:r w:rsidR="00EF6016" w:rsidRPr="00B40F77">
        <w:rPr>
          <w:lang w:val="fr-CA"/>
        </w:rPr>
        <w:t>établir la prévisibilité raisonnable</w:t>
      </w:r>
      <w:r w:rsidR="00094CE5" w:rsidRPr="00B40F77">
        <w:rPr>
          <w:lang w:val="fr-CA"/>
        </w:rPr>
        <w:t xml:space="preserve">. </w:t>
      </w:r>
    </w:p>
    <w:p w:rsidR="00094CE5" w:rsidRPr="00B40F77" w:rsidRDefault="00094CE5" w:rsidP="007C6100">
      <w:pPr>
        <w:pStyle w:val="SCCNormalDoubleSpacing"/>
        <w:spacing w:before="480" w:after="480"/>
        <w:rPr>
          <w:lang w:val="fr-CA"/>
        </w:rPr>
      </w:pPr>
      <w:r w:rsidRPr="00B40F77">
        <w:rPr>
          <w:lang w:val="fr-CA"/>
        </w:rPr>
        <w:tab/>
      </w:r>
      <w:r w:rsidR="00EF6016" w:rsidRPr="00B40F77">
        <w:rPr>
          <w:lang w:val="fr-CA"/>
        </w:rPr>
        <w:t>Qui plus est, R, en tant que garage commercial, n</w:t>
      </w:r>
      <w:r w:rsidR="00982E62" w:rsidRPr="00B40F77">
        <w:rPr>
          <w:lang w:val="fr-CA"/>
        </w:rPr>
        <w:t>’</w:t>
      </w:r>
      <w:r w:rsidR="00EF6016" w:rsidRPr="00B40F77">
        <w:rPr>
          <w:lang w:val="fr-CA"/>
        </w:rPr>
        <w:t>avait pas l</w:t>
      </w:r>
      <w:r w:rsidR="00982E62" w:rsidRPr="00B40F77">
        <w:rPr>
          <w:lang w:val="fr-CA"/>
        </w:rPr>
        <w:t>’</w:t>
      </w:r>
      <w:r w:rsidR="00EF6016" w:rsidRPr="00B40F77">
        <w:rPr>
          <w:lang w:val="fr-CA"/>
        </w:rPr>
        <w:t>obligation positive de prendre des mesures contre le risque de vol par des mineurs. Le fait que J était un mineur ne crée pas automatiquement une obligation d</w:t>
      </w:r>
      <w:r w:rsidR="00982E62" w:rsidRPr="00B40F77">
        <w:rPr>
          <w:lang w:val="fr-CA"/>
        </w:rPr>
        <w:t>’</w:t>
      </w:r>
      <w:r w:rsidR="00EF6016" w:rsidRPr="00B40F77">
        <w:rPr>
          <w:lang w:val="fr-CA"/>
        </w:rPr>
        <w:t>agir</w:t>
      </w:r>
      <w:r w:rsidRPr="00B40F77">
        <w:rPr>
          <w:lang w:val="fr-CA"/>
        </w:rPr>
        <w:t xml:space="preserve">. </w:t>
      </w:r>
    </w:p>
    <w:p w:rsidR="00094CE5" w:rsidRPr="00B40F77" w:rsidRDefault="007C6100" w:rsidP="007C6100">
      <w:pPr>
        <w:pStyle w:val="SCCNormalDoubleSpacing"/>
        <w:spacing w:before="480" w:after="480"/>
        <w:rPr>
          <w:lang w:val="fr-CA"/>
        </w:rPr>
      </w:pPr>
      <w:r w:rsidRPr="00B40F77">
        <w:rPr>
          <w:lang w:val="fr-CA"/>
        </w:rPr>
        <w:tab/>
      </w:r>
      <w:r w:rsidR="00EF6016" w:rsidRPr="00B40F77">
        <w:rPr>
          <w:lang w:val="fr-CA"/>
        </w:rPr>
        <w:t>Il n</w:t>
      </w:r>
      <w:r w:rsidR="00982E62" w:rsidRPr="00B40F77">
        <w:rPr>
          <w:lang w:val="fr-CA"/>
        </w:rPr>
        <w:t>’</w:t>
      </w:r>
      <w:r w:rsidR="00EF6016" w:rsidRPr="00B40F77">
        <w:rPr>
          <w:lang w:val="fr-CA"/>
        </w:rPr>
        <w:t xml:space="preserve">est pas nécessaire de décider si un comportement illégal pourrait rompre le lien de proximité entre les parties ou écarter une obligation de diligence </w:t>
      </w:r>
      <w:r w:rsidR="00EF6016" w:rsidRPr="00B40F77">
        <w:rPr>
          <w:i/>
          <w:lang w:val="fr-CA"/>
        </w:rPr>
        <w:t>prima facie</w:t>
      </w:r>
      <w:r w:rsidR="00094CE5" w:rsidRPr="00B40F77">
        <w:rPr>
          <w:lang w:val="fr-CA"/>
        </w:rPr>
        <w:t xml:space="preserve">. </w:t>
      </w:r>
      <w:r w:rsidR="004939DA" w:rsidRPr="00B40F77">
        <w:rPr>
          <w:lang w:val="fr-CA"/>
        </w:rPr>
        <w:t>Par contre, l</w:t>
      </w:r>
      <w:r w:rsidR="00982E62" w:rsidRPr="00B40F77">
        <w:rPr>
          <w:lang w:val="fr-CA"/>
        </w:rPr>
        <w:t>’</w:t>
      </w:r>
      <w:r w:rsidR="004939DA" w:rsidRPr="00B40F77">
        <w:rPr>
          <w:lang w:val="fr-CA"/>
        </w:rPr>
        <w:t>idée suivant laquelle la conduite illégale ou immorale d</w:t>
      </w:r>
      <w:r w:rsidR="00982E62" w:rsidRPr="00B40F77">
        <w:rPr>
          <w:lang w:val="fr-CA"/>
        </w:rPr>
        <w:t>’</w:t>
      </w:r>
      <w:r w:rsidR="004939DA" w:rsidRPr="00B40F77">
        <w:rPr>
          <w:lang w:val="fr-CA"/>
        </w:rPr>
        <w:t>un demandeur fait obstacle à l</w:t>
      </w:r>
      <w:r w:rsidR="00982E62" w:rsidRPr="00B40F77">
        <w:rPr>
          <w:lang w:val="fr-CA"/>
        </w:rPr>
        <w:t>’</w:t>
      </w:r>
      <w:r w:rsidR="004939DA" w:rsidRPr="00B40F77">
        <w:rPr>
          <w:lang w:val="fr-CA"/>
        </w:rPr>
        <w:t>existence d</w:t>
      </w:r>
      <w:r w:rsidR="00982E62" w:rsidRPr="00B40F77">
        <w:rPr>
          <w:lang w:val="fr-CA"/>
        </w:rPr>
        <w:t>’</w:t>
      </w:r>
      <w:r w:rsidR="004939DA" w:rsidRPr="00B40F77">
        <w:rPr>
          <w:lang w:val="fr-CA"/>
        </w:rPr>
        <w:t>une obligation de diligence a systématiquement été écartée par la Cour</w:t>
      </w:r>
      <w:r w:rsidR="00094CE5" w:rsidRPr="00B40F77">
        <w:rPr>
          <w:lang w:val="fr-CA"/>
        </w:rPr>
        <w:t xml:space="preserve">. </w:t>
      </w:r>
      <w:r w:rsidR="004939DA" w:rsidRPr="00B40F77">
        <w:rPr>
          <w:lang w:val="fr-CA"/>
        </w:rPr>
        <w:t>Le fait que les lésions corporelles causées par la conduite dangereuse du véhicule volé soient subies par le voleur ou par un tiers ne change rien à l</w:t>
      </w:r>
      <w:r w:rsidR="00982E62" w:rsidRPr="00B40F77">
        <w:rPr>
          <w:lang w:val="fr-CA"/>
        </w:rPr>
        <w:t>’</w:t>
      </w:r>
      <w:r w:rsidR="004939DA" w:rsidRPr="00B40F77">
        <w:rPr>
          <w:lang w:val="fr-CA"/>
        </w:rPr>
        <w:t>analyse de l</w:t>
      </w:r>
      <w:r w:rsidR="00982E62" w:rsidRPr="00B40F77">
        <w:rPr>
          <w:lang w:val="fr-CA"/>
        </w:rPr>
        <w:t>’</w:t>
      </w:r>
      <w:r w:rsidR="004939DA" w:rsidRPr="00B40F77">
        <w:rPr>
          <w:lang w:val="fr-CA"/>
        </w:rPr>
        <w:t>obligation de diligence. Les deux scénarios sont raisonnablement prévisibles lorsque les faits permettent d</w:t>
      </w:r>
      <w:r w:rsidR="00982E62" w:rsidRPr="00B40F77">
        <w:rPr>
          <w:lang w:val="fr-CA"/>
        </w:rPr>
        <w:t>’</w:t>
      </w:r>
      <w:r w:rsidR="004939DA" w:rsidRPr="00B40F77">
        <w:rPr>
          <w:lang w:val="fr-CA"/>
        </w:rPr>
        <w:t>établir un lien entre le vol de la voiture et la conduite dangereuse subséquente de cette dernière</w:t>
      </w:r>
      <w:r w:rsidR="00E40989" w:rsidRPr="00B40F77">
        <w:rPr>
          <w:lang w:val="fr-CA"/>
        </w:rPr>
        <w:t>.</w:t>
      </w:r>
      <w:r w:rsidR="004939DA" w:rsidRPr="00B40F77">
        <w:rPr>
          <w:lang w:val="fr-CA"/>
        </w:rPr>
        <w:t xml:space="preserve"> Bien que l</w:t>
      </w:r>
      <w:r w:rsidR="00982E62" w:rsidRPr="00B40F77">
        <w:rPr>
          <w:lang w:val="fr-CA"/>
        </w:rPr>
        <w:t>’</w:t>
      </w:r>
      <w:r w:rsidR="004939DA" w:rsidRPr="00B40F77">
        <w:rPr>
          <w:lang w:val="fr-CA"/>
        </w:rPr>
        <w:t>illégalité puisse être invoquée comme moyen de défense dans le cadre d</w:t>
      </w:r>
      <w:r w:rsidR="00982E62" w:rsidRPr="00B40F77">
        <w:rPr>
          <w:lang w:val="fr-CA"/>
        </w:rPr>
        <w:t>’</w:t>
      </w:r>
      <w:r w:rsidR="004939DA" w:rsidRPr="00B40F77">
        <w:rPr>
          <w:lang w:val="fr-CA"/>
        </w:rPr>
        <w:t xml:space="preserve">une action en responsabilité </w:t>
      </w:r>
      <w:r w:rsidR="004939DA" w:rsidRPr="00B40F77">
        <w:rPr>
          <w:lang w:val="fr-CA"/>
        </w:rPr>
        <w:lastRenderedPageBreak/>
        <w:t>délictuelle dans certaines circonstances limitées, soit lorsque cela est nécessaire pour préserver l</w:t>
      </w:r>
      <w:r w:rsidR="00982E62" w:rsidRPr="00B40F77">
        <w:rPr>
          <w:lang w:val="fr-CA"/>
        </w:rPr>
        <w:t>’</w:t>
      </w:r>
      <w:r w:rsidR="004939DA" w:rsidRPr="00B40F77">
        <w:rPr>
          <w:lang w:val="fr-CA"/>
        </w:rPr>
        <w:t>intégrité du système juridique, ce facteur n</w:t>
      </w:r>
      <w:r w:rsidR="00982E62" w:rsidRPr="00B40F77">
        <w:rPr>
          <w:lang w:val="fr-CA"/>
        </w:rPr>
        <w:t>’</w:t>
      </w:r>
      <w:r w:rsidR="004939DA" w:rsidRPr="00B40F77">
        <w:rPr>
          <w:lang w:val="fr-CA"/>
        </w:rPr>
        <w:t>entre pas en jeu eu égard aux circonstances de l</w:t>
      </w:r>
      <w:r w:rsidR="00982E62" w:rsidRPr="00B40F77">
        <w:rPr>
          <w:lang w:val="fr-CA"/>
        </w:rPr>
        <w:t>’</w:t>
      </w:r>
      <w:r w:rsidR="004939DA" w:rsidRPr="00B40F77">
        <w:rPr>
          <w:lang w:val="fr-CA"/>
        </w:rPr>
        <w:t>espèce</w:t>
      </w:r>
      <w:r w:rsidR="00094CE5" w:rsidRPr="00B40F77">
        <w:rPr>
          <w:lang w:val="fr-CA"/>
        </w:rPr>
        <w:t xml:space="preserve">. </w:t>
      </w:r>
      <w:r w:rsidR="004939DA" w:rsidRPr="00B40F77">
        <w:rPr>
          <w:lang w:val="fr-CA"/>
        </w:rPr>
        <w:t>L</w:t>
      </w:r>
      <w:r w:rsidR="00982E62" w:rsidRPr="00B40F77">
        <w:rPr>
          <w:lang w:val="fr-CA"/>
        </w:rPr>
        <w:t>’</w:t>
      </w:r>
      <w:r w:rsidR="004939DA" w:rsidRPr="00B40F77">
        <w:rPr>
          <w:lang w:val="fr-CA"/>
        </w:rPr>
        <w:t>acte répréhensible du demandeur est pris en compte dans le cadre de l</w:t>
      </w:r>
      <w:r w:rsidR="00982E62" w:rsidRPr="00B40F77">
        <w:rPr>
          <w:lang w:val="fr-CA"/>
        </w:rPr>
        <w:t>’</w:t>
      </w:r>
      <w:r w:rsidR="004939DA" w:rsidRPr="00B40F77">
        <w:rPr>
          <w:lang w:val="fr-CA"/>
        </w:rPr>
        <w:t>analyse pour déterminer si, comme c</w:t>
      </w:r>
      <w:r w:rsidR="00982E62" w:rsidRPr="00B40F77">
        <w:rPr>
          <w:lang w:val="fr-CA"/>
        </w:rPr>
        <w:t>’</w:t>
      </w:r>
      <w:r w:rsidR="004939DA" w:rsidRPr="00B40F77">
        <w:rPr>
          <w:lang w:val="fr-CA"/>
        </w:rPr>
        <w:t>est le cas en l</w:t>
      </w:r>
      <w:r w:rsidR="00982E62" w:rsidRPr="00B40F77">
        <w:rPr>
          <w:lang w:val="fr-CA"/>
        </w:rPr>
        <w:t>’</w:t>
      </w:r>
      <w:r w:rsidR="004939DA" w:rsidRPr="00B40F77">
        <w:rPr>
          <w:lang w:val="fr-CA"/>
        </w:rPr>
        <w:t>espèce, il y a eu négligence contributive</w:t>
      </w:r>
      <w:r w:rsidR="00094CE5" w:rsidRPr="00B40F77">
        <w:rPr>
          <w:lang w:val="fr-CA"/>
        </w:rPr>
        <w:t>.</w:t>
      </w:r>
    </w:p>
    <w:p w:rsidR="00094CE5" w:rsidRPr="00B40F77" w:rsidRDefault="007C6100" w:rsidP="007C6100">
      <w:pPr>
        <w:pStyle w:val="SCCNormalDoubleSpacing"/>
        <w:spacing w:before="480" w:after="480"/>
        <w:rPr>
          <w:lang w:val="fr-CA"/>
        </w:rPr>
      </w:pPr>
      <w:r w:rsidRPr="00B40F77">
        <w:rPr>
          <w:lang w:val="fr-CA"/>
        </w:rPr>
        <w:tab/>
      </w:r>
      <w:r w:rsidR="004939DA" w:rsidRPr="00B40F77">
        <w:rPr>
          <w:lang w:val="fr-CA"/>
        </w:rPr>
        <w:t>J ne s</w:t>
      </w:r>
      <w:r w:rsidR="00982E62" w:rsidRPr="00B40F77">
        <w:rPr>
          <w:lang w:val="fr-CA"/>
        </w:rPr>
        <w:t>’</w:t>
      </w:r>
      <w:r w:rsidR="004939DA" w:rsidRPr="00B40F77">
        <w:rPr>
          <w:lang w:val="fr-CA"/>
        </w:rPr>
        <w:t xml:space="preserve">est pas déchargé de son fardeau de démontrer que R avait une obligation de diligence </w:t>
      </w:r>
      <w:r w:rsidR="00487628" w:rsidRPr="00B40F77">
        <w:rPr>
          <w:i/>
          <w:lang w:val="fr-CA"/>
        </w:rPr>
        <w:t xml:space="preserve">prima </w:t>
      </w:r>
      <w:r w:rsidR="004939DA" w:rsidRPr="00B40F77">
        <w:rPr>
          <w:i/>
          <w:lang w:val="fr-CA"/>
        </w:rPr>
        <w:t xml:space="preserve">facie </w:t>
      </w:r>
      <w:r w:rsidR="004939DA" w:rsidRPr="00B40F77">
        <w:rPr>
          <w:lang w:val="fr-CA"/>
        </w:rPr>
        <w:t>envers lui. Le présent dossier ne permet pas d</w:t>
      </w:r>
      <w:r w:rsidR="00982E62" w:rsidRPr="00B40F77">
        <w:rPr>
          <w:lang w:val="fr-CA"/>
        </w:rPr>
        <w:t>’</w:t>
      </w:r>
      <w:r w:rsidR="004939DA" w:rsidRPr="00B40F77">
        <w:rPr>
          <w:lang w:val="fr-CA"/>
        </w:rPr>
        <w:t>établir la prévisibilité raisonnable</w:t>
      </w:r>
      <w:r w:rsidR="00094CE5" w:rsidRPr="00B40F77">
        <w:rPr>
          <w:lang w:val="fr-CA"/>
        </w:rPr>
        <w:t xml:space="preserve">. </w:t>
      </w:r>
      <w:r w:rsidR="004939DA" w:rsidRPr="00B40F77">
        <w:rPr>
          <w:lang w:val="fr-CA"/>
        </w:rPr>
        <w:t>Une entreprise ne sera tenue à une obligation envers la personne qui a subi des blessures à la suite du vol d</w:t>
      </w:r>
      <w:r w:rsidR="00982E62" w:rsidRPr="00B40F77">
        <w:rPr>
          <w:lang w:val="fr-CA"/>
        </w:rPr>
        <w:t>’</w:t>
      </w:r>
      <w:r w:rsidR="004939DA" w:rsidRPr="00B40F77">
        <w:rPr>
          <w:lang w:val="fr-CA"/>
        </w:rPr>
        <w:t xml:space="preserve">un véhicule que lorsque, en plus du vol, </w:t>
      </w:r>
      <w:r w:rsidR="00E40989" w:rsidRPr="00B40F77">
        <w:rPr>
          <w:lang w:val="fr-CA"/>
        </w:rPr>
        <w:t>la conduite dangereuse du véhicule volé était raisonnablement prévisible.</w:t>
      </w:r>
      <w:r w:rsidR="00094CE5" w:rsidRPr="00B40F77">
        <w:rPr>
          <w:lang w:val="fr-CA"/>
        </w:rPr>
        <w:t xml:space="preserve"> </w:t>
      </w:r>
    </w:p>
    <w:p w:rsidR="00094CE5" w:rsidRPr="00B40F77" w:rsidRDefault="007C6100" w:rsidP="007C6100">
      <w:pPr>
        <w:pStyle w:val="SCCNormalDoubleSpacing"/>
        <w:spacing w:before="480" w:after="480"/>
        <w:rPr>
          <w:lang w:val="fr-CA"/>
        </w:rPr>
      </w:pPr>
      <w:r w:rsidRPr="00B40F77">
        <w:rPr>
          <w:i/>
          <w:lang w:val="fr-CA"/>
        </w:rPr>
        <w:tab/>
      </w:r>
      <w:r w:rsidR="004939DA" w:rsidRPr="00B40F77">
        <w:rPr>
          <w:i/>
          <w:lang w:val="fr-CA"/>
        </w:rPr>
        <w:t xml:space="preserve">Les </w:t>
      </w:r>
      <w:r w:rsidR="004939DA" w:rsidRPr="00B40F77">
        <w:rPr>
          <w:lang w:val="fr-CA"/>
        </w:rPr>
        <w:t>juges</w:t>
      </w:r>
      <w:r w:rsidR="00094CE5" w:rsidRPr="00B40F77">
        <w:rPr>
          <w:lang w:val="fr-CA"/>
        </w:rPr>
        <w:t xml:space="preserve"> Gascon </w:t>
      </w:r>
      <w:r w:rsidR="004939DA" w:rsidRPr="00B40F77">
        <w:rPr>
          <w:lang w:val="fr-CA"/>
        </w:rPr>
        <w:t>et</w:t>
      </w:r>
      <w:r w:rsidR="00094CE5" w:rsidRPr="00B40F77">
        <w:rPr>
          <w:lang w:val="fr-CA"/>
        </w:rPr>
        <w:t xml:space="preserve"> </w:t>
      </w:r>
      <w:r w:rsidR="00094CE5" w:rsidRPr="006A1EA1">
        <w:rPr>
          <w:lang w:val="fr-CA"/>
        </w:rPr>
        <w:t xml:space="preserve">Brown </w:t>
      </w:r>
      <w:r w:rsidR="00094CE5" w:rsidRPr="00B40F77">
        <w:rPr>
          <w:lang w:val="fr-CA"/>
        </w:rPr>
        <w:t>(diss</w:t>
      </w:r>
      <w:r w:rsidR="004939DA" w:rsidRPr="00B40F77">
        <w:rPr>
          <w:lang w:val="fr-CA"/>
        </w:rPr>
        <w:t>ident</w:t>
      </w:r>
      <w:r w:rsidR="004C6ADB" w:rsidRPr="00B40F77">
        <w:rPr>
          <w:lang w:val="fr-CA"/>
        </w:rPr>
        <w:t>s</w:t>
      </w:r>
      <w:r w:rsidR="00094CE5" w:rsidRPr="00B40F77">
        <w:rPr>
          <w:lang w:val="fr-CA"/>
        </w:rPr>
        <w:t>)</w:t>
      </w:r>
      <w:r w:rsidR="00982E62" w:rsidRPr="00B40F77">
        <w:rPr>
          <w:lang w:val="fr-CA"/>
        </w:rPr>
        <w:t> :</w:t>
      </w:r>
      <w:r w:rsidR="00094CE5" w:rsidRPr="00B40F77">
        <w:rPr>
          <w:lang w:val="fr-CA"/>
        </w:rPr>
        <w:t xml:space="preserve"> </w:t>
      </w:r>
      <w:r w:rsidR="004C6ADB" w:rsidRPr="00B40F77">
        <w:rPr>
          <w:lang w:val="fr-CA"/>
        </w:rPr>
        <w:t>La conclusion de la juge du procès suivant laquelle R était tenu à une obligation de diligence envers J devrait être maintenue et l</w:t>
      </w:r>
      <w:r w:rsidR="00982E62" w:rsidRPr="00B40F77">
        <w:rPr>
          <w:lang w:val="fr-CA"/>
        </w:rPr>
        <w:t>’</w:t>
      </w:r>
      <w:r w:rsidR="004C6ADB" w:rsidRPr="00B40F77">
        <w:rPr>
          <w:lang w:val="fr-CA"/>
        </w:rPr>
        <w:t>appel être rejeté. La relation qui existait entre R et J appartient à une catégorie de relations à l</w:t>
      </w:r>
      <w:r w:rsidR="00982E62" w:rsidRPr="00B40F77">
        <w:rPr>
          <w:lang w:val="fr-CA"/>
        </w:rPr>
        <w:t>’</w:t>
      </w:r>
      <w:r w:rsidR="004C6ADB" w:rsidRPr="00B40F77">
        <w:rPr>
          <w:lang w:val="fr-CA"/>
        </w:rPr>
        <w:t>égard de laquelle il a déjà été établi qu</w:t>
      </w:r>
      <w:r w:rsidR="00982E62" w:rsidRPr="00B40F77">
        <w:rPr>
          <w:lang w:val="fr-CA"/>
        </w:rPr>
        <w:t>’</w:t>
      </w:r>
      <w:r w:rsidR="004C6ADB" w:rsidRPr="00B40F77">
        <w:rPr>
          <w:lang w:val="fr-CA"/>
        </w:rPr>
        <w:t>il existe une obligation de diligence</w:t>
      </w:r>
      <w:r w:rsidR="00094CE5" w:rsidRPr="00B40F77">
        <w:rPr>
          <w:lang w:val="fr-CA"/>
        </w:rPr>
        <w:t xml:space="preserve">. </w:t>
      </w:r>
      <w:r w:rsidR="004C6ADB" w:rsidRPr="00B40F77">
        <w:rPr>
          <w:lang w:val="fr-CA"/>
        </w:rPr>
        <w:t>La présente affaire n</w:t>
      </w:r>
      <w:r w:rsidR="00982E62" w:rsidRPr="00B40F77">
        <w:rPr>
          <w:lang w:val="fr-CA"/>
        </w:rPr>
        <w:t>’</w:t>
      </w:r>
      <w:r w:rsidR="004C6ADB" w:rsidRPr="00B40F77">
        <w:rPr>
          <w:lang w:val="fr-CA"/>
        </w:rPr>
        <w:t>oblige pas la Cour à entreprendre une analyse exhaustive pour déterminer s</w:t>
      </w:r>
      <w:r w:rsidR="00982E62" w:rsidRPr="00B40F77">
        <w:rPr>
          <w:lang w:val="fr-CA"/>
        </w:rPr>
        <w:t>’</w:t>
      </w:r>
      <w:r w:rsidR="004C6ADB" w:rsidRPr="00B40F77">
        <w:rPr>
          <w:lang w:val="fr-CA"/>
        </w:rPr>
        <w:t>il existe une nouvelle obligation de diligence. Elle concerne l</w:t>
      </w:r>
      <w:r w:rsidR="00982E62" w:rsidRPr="00B40F77">
        <w:rPr>
          <w:lang w:val="fr-CA"/>
        </w:rPr>
        <w:t>’</w:t>
      </w:r>
      <w:r w:rsidR="004C6ADB" w:rsidRPr="00B40F77">
        <w:rPr>
          <w:lang w:val="fr-CA"/>
        </w:rPr>
        <w:t>application d</w:t>
      </w:r>
      <w:r w:rsidR="00982E62" w:rsidRPr="00B40F77">
        <w:rPr>
          <w:lang w:val="fr-CA"/>
        </w:rPr>
        <w:t>’</w:t>
      </w:r>
      <w:r w:rsidR="004C6ADB" w:rsidRPr="00B40F77">
        <w:rPr>
          <w:lang w:val="fr-CA"/>
        </w:rPr>
        <w:t>une catégorie de relations dont il a été reconnu depuis longtemps qu</w:t>
      </w:r>
      <w:r w:rsidR="00982E62" w:rsidRPr="00B40F77">
        <w:rPr>
          <w:lang w:val="fr-CA"/>
        </w:rPr>
        <w:t>’</w:t>
      </w:r>
      <w:r w:rsidR="004C6ADB" w:rsidRPr="00B40F77">
        <w:rPr>
          <w:lang w:val="fr-CA"/>
        </w:rPr>
        <w:t>elles imposent au défendeur une obligation de diligence, en l</w:t>
      </w:r>
      <w:r w:rsidR="00982E62" w:rsidRPr="00B40F77">
        <w:rPr>
          <w:lang w:val="fr-CA"/>
        </w:rPr>
        <w:t>’</w:t>
      </w:r>
      <w:r w:rsidR="004C6ADB" w:rsidRPr="00B40F77">
        <w:rPr>
          <w:lang w:val="fr-CA"/>
        </w:rPr>
        <w:t>occurrence, les cas où l</w:t>
      </w:r>
      <w:r w:rsidR="00982E62" w:rsidRPr="00B40F77">
        <w:rPr>
          <w:lang w:val="fr-CA"/>
        </w:rPr>
        <w:t>’</w:t>
      </w:r>
      <w:r w:rsidR="005B1536">
        <w:rPr>
          <w:lang w:val="fr-CA"/>
        </w:rPr>
        <w:t>acte du défendeur cause des blessures physiques</w:t>
      </w:r>
      <w:r w:rsidR="004C6ADB" w:rsidRPr="00B40F77">
        <w:rPr>
          <w:lang w:val="fr-CA"/>
        </w:rPr>
        <w:t xml:space="preserve"> au demandeur et que ces</w:t>
      </w:r>
      <w:r w:rsidR="00B779FD">
        <w:rPr>
          <w:lang w:val="fr-CA"/>
        </w:rPr>
        <w:t xml:space="preserve"> blessures </w:t>
      </w:r>
      <w:r w:rsidR="004C6ADB" w:rsidRPr="00B40F77">
        <w:rPr>
          <w:lang w:val="fr-CA"/>
        </w:rPr>
        <w:t>étaient prévisibles.</w:t>
      </w:r>
      <w:r w:rsidRPr="00B40F77">
        <w:rPr>
          <w:lang w:val="fr-CA"/>
        </w:rPr>
        <w:t xml:space="preserve"> </w:t>
      </w:r>
      <w:r w:rsidR="004C6ADB" w:rsidRPr="00B40F77">
        <w:rPr>
          <w:lang w:val="fr-CA"/>
        </w:rPr>
        <w:t>Les lésions corporelles subies par J étaient une conséquence raisonnablement prévisible de la négligence dont R a fait preuve</w:t>
      </w:r>
      <w:r w:rsidR="00094CE5" w:rsidRPr="00B40F77">
        <w:rPr>
          <w:lang w:val="fr-CA"/>
        </w:rPr>
        <w:t xml:space="preserve">. </w:t>
      </w:r>
    </w:p>
    <w:p w:rsidR="00094CE5" w:rsidRPr="00B40F77" w:rsidRDefault="007C6100" w:rsidP="007C6100">
      <w:pPr>
        <w:pStyle w:val="SCCNormalDoubleSpacing"/>
        <w:spacing w:before="480" w:after="480"/>
        <w:rPr>
          <w:lang w:val="fr-CA"/>
        </w:rPr>
      </w:pPr>
      <w:r w:rsidRPr="00B40F77">
        <w:rPr>
          <w:lang w:val="fr-CA"/>
        </w:rPr>
        <w:lastRenderedPageBreak/>
        <w:tab/>
      </w:r>
      <w:r w:rsidR="004C6ADB" w:rsidRPr="00B40F77">
        <w:rPr>
          <w:lang w:val="fr-CA"/>
        </w:rPr>
        <w:t>L</w:t>
      </w:r>
      <w:r w:rsidR="00982E62" w:rsidRPr="00B40F77">
        <w:rPr>
          <w:lang w:val="fr-CA"/>
        </w:rPr>
        <w:t>’</w:t>
      </w:r>
      <w:r w:rsidR="004C6ADB" w:rsidRPr="00B40F77">
        <w:rPr>
          <w:lang w:val="fr-CA"/>
        </w:rPr>
        <w:t>analyse de la prévisibilité raisonnable est objective — en ce sens qu</w:t>
      </w:r>
      <w:r w:rsidR="00982E62" w:rsidRPr="00B40F77">
        <w:rPr>
          <w:lang w:val="fr-CA"/>
        </w:rPr>
        <w:t>’</w:t>
      </w:r>
      <w:r w:rsidR="004C6ADB" w:rsidRPr="00B40F77">
        <w:rPr>
          <w:lang w:val="fr-CA"/>
        </w:rPr>
        <w:t>elle vise à déterminer ce qu</w:t>
      </w:r>
      <w:r w:rsidR="00982E62" w:rsidRPr="00B40F77">
        <w:rPr>
          <w:lang w:val="fr-CA"/>
        </w:rPr>
        <w:t>’</w:t>
      </w:r>
      <w:r w:rsidR="004C6ADB" w:rsidRPr="00B40F77">
        <w:rPr>
          <w:lang w:val="fr-CA"/>
        </w:rPr>
        <w:t xml:space="preserve">on aurait raisonnablement dû prévoir —, </w:t>
      </w:r>
      <w:r w:rsidR="00E40989" w:rsidRPr="00B40F77">
        <w:rPr>
          <w:lang w:val="fr-CA"/>
        </w:rPr>
        <w:t xml:space="preserve">et </w:t>
      </w:r>
      <w:r w:rsidR="004C6ADB" w:rsidRPr="00B40F77">
        <w:rPr>
          <w:lang w:val="fr-CA"/>
        </w:rPr>
        <w:t>elle doit être entreprise en se plaçant du point de vue de la personne raisonnable</w:t>
      </w:r>
      <w:r w:rsidR="00094CE5" w:rsidRPr="00B40F77">
        <w:rPr>
          <w:lang w:val="fr-CA"/>
        </w:rPr>
        <w:t xml:space="preserve">. </w:t>
      </w:r>
      <w:r w:rsidR="00E40989" w:rsidRPr="00B40F77">
        <w:rPr>
          <w:lang w:val="fr-CA"/>
        </w:rPr>
        <w:t>Ainsi, le fait que le défendeur ait effectivement ou non prévu le risque qui a ultimement entraîné les lésions corporelles subies par le demandeur n</w:t>
      </w:r>
      <w:r w:rsidR="00982E62" w:rsidRPr="00B40F77">
        <w:rPr>
          <w:lang w:val="fr-CA"/>
        </w:rPr>
        <w:t>’</w:t>
      </w:r>
      <w:r w:rsidR="00E40989" w:rsidRPr="00B40F77">
        <w:rPr>
          <w:lang w:val="fr-CA"/>
        </w:rPr>
        <w:t>est pas déterminant</w:t>
      </w:r>
      <w:r w:rsidR="00094CE5" w:rsidRPr="00B40F77">
        <w:rPr>
          <w:lang w:val="fr-CA"/>
        </w:rPr>
        <w:t xml:space="preserve">. </w:t>
      </w:r>
      <w:r w:rsidR="004C6ADB" w:rsidRPr="00B40F77">
        <w:rPr>
          <w:lang w:val="fr-CA"/>
        </w:rPr>
        <w:t>La prévisibilité raisonnable constitue un seuil peu exigeant auquel il est habituellement assez facile de satisfaire</w:t>
      </w:r>
      <w:r w:rsidR="00094CE5" w:rsidRPr="00B40F77">
        <w:rPr>
          <w:rFonts w:eastAsiaTheme="minorHAnsi"/>
          <w:lang w:val="fr-CA" w:bidi="en-US"/>
        </w:rPr>
        <w:t>.</w:t>
      </w:r>
      <w:r w:rsidRPr="00B40F77">
        <w:rPr>
          <w:rFonts w:eastAsiaTheme="minorHAnsi"/>
          <w:lang w:val="fr-CA" w:bidi="en-US"/>
        </w:rPr>
        <w:t xml:space="preserve"> </w:t>
      </w:r>
      <w:r w:rsidR="004C6ADB" w:rsidRPr="00B40F77">
        <w:rPr>
          <w:rFonts w:eastAsiaTheme="minorHAnsi"/>
          <w:lang w:val="fr-CA" w:bidi="en-US"/>
        </w:rPr>
        <w:t>L</w:t>
      </w:r>
      <w:r w:rsidR="004C6ADB" w:rsidRPr="00B40F77">
        <w:rPr>
          <w:lang w:val="fr-CA"/>
        </w:rPr>
        <w:t>e demandeur n</w:t>
      </w:r>
      <w:r w:rsidR="00982E62" w:rsidRPr="00B40F77">
        <w:rPr>
          <w:lang w:val="fr-CA"/>
        </w:rPr>
        <w:t>’</w:t>
      </w:r>
      <w:r w:rsidR="004C6ADB" w:rsidRPr="00B40F77">
        <w:rPr>
          <w:lang w:val="fr-CA"/>
        </w:rPr>
        <w:t>a qu</w:t>
      </w:r>
      <w:r w:rsidR="00982E62" w:rsidRPr="00B40F77">
        <w:rPr>
          <w:lang w:val="fr-CA"/>
        </w:rPr>
        <w:t>’</w:t>
      </w:r>
      <w:r w:rsidR="004C6ADB" w:rsidRPr="00B40F77">
        <w:rPr>
          <w:lang w:val="fr-CA"/>
        </w:rPr>
        <w:t>à présenter des éléments de preuve de nature à persuader le tribunal que le risque d</w:t>
      </w:r>
      <w:r w:rsidR="00F229F9">
        <w:rPr>
          <w:lang w:val="fr-CA"/>
        </w:rPr>
        <w:t>u</w:t>
      </w:r>
      <w:r w:rsidR="004C6ADB" w:rsidRPr="00B40F77">
        <w:rPr>
          <w:lang w:val="fr-CA"/>
        </w:rPr>
        <w:t xml:space="preserve"> type de dommage qui s</w:t>
      </w:r>
      <w:r w:rsidR="00982E62" w:rsidRPr="00B40F77">
        <w:rPr>
          <w:lang w:val="fr-CA"/>
        </w:rPr>
        <w:t>’</w:t>
      </w:r>
      <w:r w:rsidR="004C6ADB" w:rsidRPr="00B40F77">
        <w:rPr>
          <w:lang w:val="fr-CA"/>
        </w:rPr>
        <w:t>est produit était raisonnablement prévisible pour la catégorie de demandeurs</w:t>
      </w:r>
      <w:r w:rsidR="004C6ADB" w:rsidRPr="00B40F77">
        <w:rPr>
          <w:i/>
          <w:lang w:val="fr-CA"/>
        </w:rPr>
        <w:t xml:space="preserve"> </w:t>
      </w:r>
      <w:r w:rsidR="004C6ADB" w:rsidRPr="00B40F77">
        <w:rPr>
          <w:lang w:val="fr-CA"/>
        </w:rPr>
        <w:t>à laquelle appartient celui qui a été lésé</w:t>
      </w:r>
      <w:r w:rsidR="00094CE5" w:rsidRPr="00B40F77">
        <w:rPr>
          <w:rFonts w:eastAsiaTheme="minorHAnsi"/>
          <w:lang w:val="fr-CA" w:bidi="en-US"/>
        </w:rPr>
        <w:t xml:space="preserve">. </w:t>
      </w:r>
      <w:r w:rsidR="00B779FD">
        <w:rPr>
          <w:rFonts w:eastAsiaTheme="minorHAnsi"/>
          <w:lang w:val="fr-CA" w:bidi="en-US"/>
        </w:rPr>
        <w:t>En l’espèce,</w:t>
      </w:r>
      <w:r w:rsidR="004C6ADB" w:rsidRPr="00B40F77">
        <w:rPr>
          <w:lang w:val="fr-CA"/>
        </w:rPr>
        <w:t xml:space="preserve"> tant la juge du procès que la Cour d</w:t>
      </w:r>
      <w:r w:rsidR="00982E62" w:rsidRPr="00B40F77">
        <w:rPr>
          <w:lang w:val="fr-CA"/>
        </w:rPr>
        <w:t>’</w:t>
      </w:r>
      <w:r w:rsidR="004C6ADB" w:rsidRPr="00B40F77">
        <w:rPr>
          <w:lang w:val="fr-CA"/>
        </w:rPr>
        <w:t>appel ont estimé qu</w:t>
      </w:r>
      <w:r w:rsidR="00982E62" w:rsidRPr="00B40F77">
        <w:rPr>
          <w:lang w:val="fr-CA"/>
        </w:rPr>
        <w:t>’</w:t>
      </w:r>
      <w:r w:rsidR="004C6ADB" w:rsidRPr="00B40F77">
        <w:rPr>
          <w:lang w:val="fr-CA"/>
        </w:rPr>
        <w:t>il était raisonnablement prévisible qu</w:t>
      </w:r>
      <w:r w:rsidR="00982E62" w:rsidRPr="00B40F77">
        <w:rPr>
          <w:lang w:val="fr-CA"/>
        </w:rPr>
        <w:t>’</w:t>
      </w:r>
      <w:r w:rsidR="004C6ADB" w:rsidRPr="00B40F77">
        <w:rPr>
          <w:lang w:val="fr-CA"/>
        </w:rPr>
        <w:t>une personne comme J subisse des lésions corporelles par suite de la négligence dont R a fait preuve dans la façon dont il a verrouillé, sécurisé et entreposé les véhicules</w:t>
      </w:r>
      <w:r w:rsidR="00094CE5" w:rsidRPr="00B40F77">
        <w:rPr>
          <w:lang w:val="fr-CA"/>
        </w:rPr>
        <w:t>.</w:t>
      </w:r>
      <w:r w:rsidRPr="00B40F77">
        <w:rPr>
          <w:lang w:val="fr-CA"/>
        </w:rPr>
        <w:t xml:space="preserve"> </w:t>
      </w:r>
      <w:r w:rsidR="004C6ADB" w:rsidRPr="00B40F77">
        <w:rPr>
          <w:lang w:val="fr-CA"/>
        </w:rPr>
        <w:t>Les juges majoritaires admettent que le risque de vol était raisonnablement prévisible, mais auraient exigé la présentation d</w:t>
      </w:r>
      <w:r w:rsidR="00982E62" w:rsidRPr="00B40F77">
        <w:rPr>
          <w:lang w:val="fr-CA"/>
        </w:rPr>
        <w:t>’</w:t>
      </w:r>
      <w:r w:rsidR="004C6ADB" w:rsidRPr="00B40F77">
        <w:rPr>
          <w:lang w:val="fr-CA"/>
        </w:rPr>
        <w:t>éléments de preuve additionnels portant précisément sur le vol par un mineur afin de conclure que les lé</w:t>
      </w:r>
      <w:r w:rsidR="00B779FD">
        <w:rPr>
          <w:lang w:val="fr-CA"/>
        </w:rPr>
        <w:t>sions corporelles infligées à J</w:t>
      </w:r>
      <w:r w:rsidR="004C6ADB" w:rsidRPr="00B40F77">
        <w:rPr>
          <w:lang w:val="fr-CA"/>
        </w:rPr>
        <w:t xml:space="preserve"> étaient prévisibles. Même si J</w:t>
      </w:r>
      <w:r w:rsidR="00E40989" w:rsidRPr="00B40F77">
        <w:rPr>
          <w:lang w:val="fr-CA"/>
        </w:rPr>
        <w:t xml:space="preserve"> </w:t>
      </w:r>
      <w:r w:rsidR="004C6ADB" w:rsidRPr="00B40F77">
        <w:rPr>
          <w:lang w:val="fr-CA"/>
        </w:rPr>
        <w:t>était tenu de démontrer que le vol par un mineur était raisonnablement prévisible afin d</w:t>
      </w:r>
      <w:r w:rsidR="00982E62" w:rsidRPr="00B40F77">
        <w:rPr>
          <w:lang w:val="fr-CA"/>
        </w:rPr>
        <w:t>’</w:t>
      </w:r>
      <w:r w:rsidR="004C6ADB" w:rsidRPr="00B40F77">
        <w:rPr>
          <w:lang w:val="fr-CA"/>
        </w:rPr>
        <w:t>étayer la conclusion de la juge du procès, J s</w:t>
      </w:r>
      <w:r w:rsidR="00982E62" w:rsidRPr="00B40F77">
        <w:rPr>
          <w:lang w:val="fr-CA"/>
        </w:rPr>
        <w:t>’</w:t>
      </w:r>
      <w:r w:rsidR="004C6ADB" w:rsidRPr="00B40F77">
        <w:rPr>
          <w:lang w:val="fr-CA"/>
        </w:rPr>
        <w:t>est acquitté de ce fardeau</w:t>
      </w:r>
      <w:r w:rsidR="00094CE5" w:rsidRPr="00B40F77">
        <w:rPr>
          <w:lang w:val="fr-CA"/>
        </w:rPr>
        <w:t>.</w:t>
      </w:r>
      <w:r w:rsidRPr="00B40F77">
        <w:rPr>
          <w:lang w:val="fr-CA"/>
        </w:rPr>
        <w:t xml:space="preserve"> </w:t>
      </w:r>
      <w:r w:rsidR="004C6ADB" w:rsidRPr="00B40F77">
        <w:rPr>
          <w:lang w:val="fr-CA"/>
        </w:rPr>
        <w:t>Les mineurs ne sont pas moins susceptibles que qui que ce soit d</w:t>
      </w:r>
      <w:r w:rsidR="00982E62" w:rsidRPr="00B40F77">
        <w:rPr>
          <w:lang w:val="fr-CA"/>
        </w:rPr>
        <w:t>’</w:t>
      </w:r>
      <w:r w:rsidR="004C6ADB" w:rsidRPr="00B40F77">
        <w:rPr>
          <w:lang w:val="fr-CA"/>
        </w:rPr>
        <w:t>autre de voler une voiture</w:t>
      </w:r>
      <w:r w:rsidR="00E40989" w:rsidRPr="00B40F77">
        <w:rPr>
          <w:lang w:val="fr-CA"/>
        </w:rPr>
        <w:t xml:space="preserve">. </w:t>
      </w:r>
      <w:r w:rsidR="004C6ADB" w:rsidRPr="00B40F77">
        <w:rPr>
          <w:lang w:val="fr-CA"/>
        </w:rPr>
        <w:t>Toutefois, pour établir l</w:t>
      </w:r>
      <w:r w:rsidR="00982E62" w:rsidRPr="00B40F77">
        <w:rPr>
          <w:lang w:val="fr-CA"/>
        </w:rPr>
        <w:t>’</w:t>
      </w:r>
      <w:r w:rsidR="004C6ADB" w:rsidRPr="00B40F77">
        <w:rPr>
          <w:lang w:val="fr-CA"/>
        </w:rPr>
        <w:t>existence d</w:t>
      </w:r>
      <w:r w:rsidR="00982E62" w:rsidRPr="00B40F77">
        <w:rPr>
          <w:lang w:val="fr-CA"/>
        </w:rPr>
        <w:t>’</w:t>
      </w:r>
      <w:r w:rsidR="004C6ADB" w:rsidRPr="00B40F77">
        <w:rPr>
          <w:lang w:val="fr-CA"/>
        </w:rPr>
        <w:t>une obligation de diligence, J n</w:t>
      </w:r>
      <w:r w:rsidR="00982E62" w:rsidRPr="00B40F77">
        <w:rPr>
          <w:lang w:val="fr-CA"/>
        </w:rPr>
        <w:t>’</w:t>
      </w:r>
      <w:r w:rsidR="004C6ADB" w:rsidRPr="00B40F77">
        <w:rPr>
          <w:lang w:val="fr-CA"/>
        </w:rPr>
        <w:t>avait pas à démontrer que les caractéristiques de la personne qui a véritablement volé le véhicule ou la façon dont les blessures ont été subies étaient prévisibles</w:t>
      </w:r>
      <w:r w:rsidR="00094CE5" w:rsidRPr="00B40F77">
        <w:rPr>
          <w:lang w:val="fr-CA"/>
        </w:rPr>
        <w:t>.</w:t>
      </w:r>
      <w:r w:rsidRPr="00B40F77">
        <w:rPr>
          <w:lang w:val="fr-CA"/>
        </w:rPr>
        <w:t xml:space="preserve"> </w:t>
      </w:r>
      <w:r w:rsidR="004C6ADB" w:rsidRPr="00B40F77">
        <w:rPr>
          <w:lang w:val="fr-CA"/>
        </w:rPr>
        <w:t>L</w:t>
      </w:r>
      <w:r w:rsidR="00982E62" w:rsidRPr="00B40F77">
        <w:rPr>
          <w:lang w:val="fr-CA"/>
        </w:rPr>
        <w:t>’</w:t>
      </w:r>
      <w:r w:rsidR="004C6ADB" w:rsidRPr="00B40F77">
        <w:rPr>
          <w:lang w:val="fr-CA"/>
        </w:rPr>
        <w:t>imposition d</w:t>
      </w:r>
      <w:r w:rsidR="00982E62" w:rsidRPr="00B40F77">
        <w:rPr>
          <w:lang w:val="fr-CA"/>
        </w:rPr>
        <w:t>’</w:t>
      </w:r>
      <w:r w:rsidR="004C6ADB" w:rsidRPr="00B40F77">
        <w:rPr>
          <w:lang w:val="fr-CA"/>
        </w:rPr>
        <w:t>une obligation de diligence</w:t>
      </w:r>
      <w:r w:rsidR="00E40989" w:rsidRPr="00B40F77">
        <w:rPr>
          <w:lang w:val="fr-CA"/>
        </w:rPr>
        <w:t>,</w:t>
      </w:r>
      <w:r w:rsidR="004C6ADB" w:rsidRPr="00B40F77">
        <w:rPr>
          <w:lang w:val="fr-CA"/>
        </w:rPr>
        <w:t xml:space="preserve"> en l</w:t>
      </w:r>
      <w:r w:rsidR="00982E62" w:rsidRPr="00B40F77">
        <w:rPr>
          <w:lang w:val="fr-CA"/>
        </w:rPr>
        <w:t>’</w:t>
      </w:r>
      <w:r w:rsidR="004C6ADB" w:rsidRPr="00B40F77">
        <w:rPr>
          <w:lang w:val="fr-CA"/>
        </w:rPr>
        <w:t>espèce</w:t>
      </w:r>
      <w:r w:rsidR="00E40989" w:rsidRPr="00B40F77">
        <w:rPr>
          <w:lang w:val="fr-CA"/>
        </w:rPr>
        <w:t>,</w:t>
      </w:r>
      <w:r w:rsidR="004C6ADB" w:rsidRPr="00B40F77">
        <w:rPr>
          <w:lang w:val="fr-CA"/>
        </w:rPr>
        <w:t xml:space="preserve"> était plutôt subordonnée uniquement à la démonstration par J qu</w:t>
      </w:r>
      <w:r w:rsidR="00982E62" w:rsidRPr="00B40F77">
        <w:rPr>
          <w:lang w:val="fr-CA"/>
        </w:rPr>
        <w:t>’</w:t>
      </w:r>
      <w:r w:rsidR="004C6ADB" w:rsidRPr="00B40F77">
        <w:rPr>
          <w:lang w:val="fr-CA"/>
        </w:rPr>
        <w:t>il était raisonnablement prévisible qu</w:t>
      </w:r>
      <w:r w:rsidR="00982E62" w:rsidRPr="00B40F77">
        <w:rPr>
          <w:lang w:val="fr-CA"/>
        </w:rPr>
        <w:t>’</w:t>
      </w:r>
      <w:r w:rsidR="004C6ADB" w:rsidRPr="00B40F77">
        <w:rPr>
          <w:lang w:val="fr-CA"/>
        </w:rPr>
        <w:t>il subisse des lésions corporelles en raison de la négligence de R, indépendamment des circonstances</w:t>
      </w:r>
      <w:r w:rsidR="00094CE5" w:rsidRPr="00B40F77">
        <w:rPr>
          <w:lang w:val="fr-CA"/>
        </w:rPr>
        <w:t>.</w:t>
      </w:r>
      <w:r w:rsidRPr="00B40F77">
        <w:rPr>
          <w:lang w:val="fr-CA"/>
        </w:rPr>
        <w:t xml:space="preserve"> </w:t>
      </w:r>
      <w:r w:rsidR="004C6ADB" w:rsidRPr="00B40F77">
        <w:rPr>
          <w:lang w:val="fr-CA"/>
        </w:rPr>
        <w:t xml:space="preserve">La juge du procès pouvait </w:t>
      </w:r>
      <w:r w:rsidR="004C6ADB" w:rsidRPr="00B40F77">
        <w:rPr>
          <w:lang w:val="fr-CA"/>
        </w:rPr>
        <w:lastRenderedPageBreak/>
        <w:t>conclure que la négligence dont ce dernier a fait preuve —</w:t>
      </w:r>
      <w:r w:rsidR="00E40989" w:rsidRPr="00B40F77">
        <w:rPr>
          <w:lang w:val="fr-CA"/>
        </w:rPr>
        <w:t xml:space="preserve"> </w:t>
      </w:r>
      <w:r w:rsidR="004C6ADB" w:rsidRPr="00B40F77">
        <w:rPr>
          <w:lang w:val="fr-CA"/>
        </w:rPr>
        <w:t>à savoir qu</w:t>
      </w:r>
      <w:r w:rsidR="00982E62" w:rsidRPr="00B40F77">
        <w:rPr>
          <w:lang w:val="fr-CA"/>
        </w:rPr>
        <w:t>’</w:t>
      </w:r>
      <w:r w:rsidR="004C6ADB" w:rsidRPr="00B40F77">
        <w:rPr>
          <w:lang w:val="fr-CA"/>
        </w:rPr>
        <w:t>il a laissé des véhicules déverrouillés avec les clés à l</w:t>
      </w:r>
      <w:r w:rsidR="00982E62" w:rsidRPr="00B40F77">
        <w:rPr>
          <w:lang w:val="fr-CA"/>
        </w:rPr>
        <w:t>’</w:t>
      </w:r>
      <w:r w:rsidR="004C6ADB" w:rsidRPr="00B40F77">
        <w:rPr>
          <w:lang w:val="fr-CA"/>
        </w:rPr>
        <w:t>intérieur sans surveillance pendant la nuit — aurait pu mener à des lésions corporelles raisonnablement prévisibles</w:t>
      </w:r>
      <w:r w:rsidR="00094CE5" w:rsidRPr="00B40F77">
        <w:rPr>
          <w:lang w:val="fr-CA"/>
        </w:rPr>
        <w:t xml:space="preserve">. </w:t>
      </w:r>
      <w:r w:rsidR="004C6ADB" w:rsidRPr="00B40F77">
        <w:rPr>
          <w:lang w:val="fr-CA"/>
        </w:rPr>
        <w:t>Il n</w:t>
      </w:r>
      <w:r w:rsidR="00982E62" w:rsidRPr="00B40F77">
        <w:rPr>
          <w:lang w:val="fr-CA"/>
        </w:rPr>
        <w:t>’</w:t>
      </w:r>
      <w:r w:rsidR="004C6ADB" w:rsidRPr="00B40F77">
        <w:rPr>
          <w:lang w:val="fr-CA"/>
        </w:rPr>
        <w:t>existe aucune erreur manifeste et dominante dans ces conclusions et il n</w:t>
      </w:r>
      <w:r w:rsidR="00982E62" w:rsidRPr="00B40F77">
        <w:rPr>
          <w:lang w:val="fr-CA"/>
        </w:rPr>
        <w:t>’</w:t>
      </w:r>
      <w:r w:rsidR="004C6ADB" w:rsidRPr="00B40F77">
        <w:rPr>
          <w:lang w:val="fr-CA"/>
        </w:rPr>
        <w:t>y a donc pas lieu d</w:t>
      </w:r>
      <w:r w:rsidR="00982E62" w:rsidRPr="00B40F77">
        <w:rPr>
          <w:lang w:val="fr-CA"/>
        </w:rPr>
        <w:t>’</w:t>
      </w:r>
      <w:r w:rsidR="004C6ADB" w:rsidRPr="00B40F77">
        <w:rPr>
          <w:lang w:val="fr-CA"/>
        </w:rPr>
        <w:t>intervenir pour les modifier</w:t>
      </w:r>
      <w:r w:rsidR="00094CE5" w:rsidRPr="00B40F77">
        <w:rPr>
          <w:lang w:val="fr-CA"/>
        </w:rPr>
        <w:t>.</w:t>
      </w:r>
    </w:p>
    <w:p w:rsidR="00094CE5" w:rsidRPr="00B40F77" w:rsidRDefault="007C6100" w:rsidP="007C6100">
      <w:pPr>
        <w:pStyle w:val="SCCNormalDoubleSpacing"/>
        <w:spacing w:before="480" w:after="480"/>
        <w:rPr>
          <w:lang w:val="fr-CA"/>
        </w:rPr>
      </w:pPr>
      <w:r w:rsidRPr="00B40F77">
        <w:rPr>
          <w:lang w:val="fr-CA"/>
        </w:rPr>
        <w:tab/>
      </w:r>
      <w:r w:rsidR="004C6ADB" w:rsidRPr="00B40F77">
        <w:rPr>
          <w:lang w:val="fr-CA"/>
        </w:rPr>
        <w:t>La conclusion de la juge de première instance selon laquelle les lésions corporelles étaient raisonnablement prévisibles suffit à classer les faits de la présente affaire dans une catégorie de relations dont il a déjà été jugé qu</w:t>
      </w:r>
      <w:r w:rsidR="00982E62" w:rsidRPr="00B40F77">
        <w:rPr>
          <w:lang w:val="fr-CA"/>
        </w:rPr>
        <w:t>’</w:t>
      </w:r>
      <w:r w:rsidR="004C6ADB" w:rsidRPr="00B40F77">
        <w:rPr>
          <w:lang w:val="fr-CA"/>
        </w:rPr>
        <w:t>elles permettaient de conclure à l</w:t>
      </w:r>
      <w:r w:rsidR="00982E62" w:rsidRPr="00B40F77">
        <w:rPr>
          <w:lang w:val="fr-CA"/>
        </w:rPr>
        <w:t>’</w:t>
      </w:r>
      <w:r w:rsidR="004C6ADB" w:rsidRPr="00B40F77">
        <w:rPr>
          <w:lang w:val="fr-CA"/>
        </w:rPr>
        <w:t>existence d</w:t>
      </w:r>
      <w:r w:rsidR="00982E62" w:rsidRPr="00B40F77">
        <w:rPr>
          <w:lang w:val="fr-CA"/>
        </w:rPr>
        <w:t>’</w:t>
      </w:r>
      <w:r w:rsidR="004C6ADB" w:rsidRPr="00B40F77">
        <w:rPr>
          <w:lang w:val="fr-CA"/>
        </w:rPr>
        <w:t>une obligation de diligence. En droit, le lien de proximité est par le fait même établi et il n</w:t>
      </w:r>
      <w:r w:rsidR="00982E62" w:rsidRPr="00B40F77">
        <w:rPr>
          <w:lang w:val="fr-CA"/>
        </w:rPr>
        <w:t>’</w:t>
      </w:r>
      <w:r w:rsidR="004C6ADB" w:rsidRPr="00B40F77">
        <w:rPr>
          <w:lang w:val="fr-CA"/>
        </w:rPr>
        <w:t xml:space="preserve">est pas nécessaire de passer à la seconde étape du test </w:t>
      </w:r>
      <w:r w:rsidR="004C6ADB" w:rsidRPr="00B40F77">
        <w:rPr>
          <w:i/>
          <w:lang w:val="fr-CA"/>
        </w:rPr>
        <w:t>Anns/Cooper</w:t>
      </w:r>
      <w:r w:rsidR="00094CE5" w:rsidRPr="00B40F77">
        <w:rPr>
          <w:lang w:val="fr-CA"/>
        </w:rPr>
        <w:t>.</w:t>
      </w:r>
    </w:p>
    <w:p w:rsidR="004D7D95" w:rsidRPr="00B40F77" w:rsidRDefault="004D7D95" w:rsidP="00CB7ABA">
      <w:pPr>
        <w:pStyle w:val="SCCNormalDoubleSpacing"/>
        <w:spacing w:after="720" w:line="240" w:lineRule="auto"/>
        <w:rPr>
          <w:b/>
          <w:lang w:val="fr-CA"/>
        </w:rPr>
      </w:pPr>
      <w:r w:rsidRPr="00B40F77">
        <w:rPr>
          <w:b/>
          <w:lang w:val="fr-CA"/>
        </w:rPr>
        <w:t>Jurisprudence</w:t>
      </w:r>
    </w:p>
    <w:p w:rsidR="004D7D95" w:rsidRPr="00B40F77" w:rsidRDefault="00F66495" w:rsidP="00C90F92">
      <w:pPr>
        <w:pStyle w:val="SCCNormalDoubleSpacing"/>
        <w:spacing w:after="720" w:line="240" w:lineRule="auto"/>
        <w:rPr>
          <w:lang w:val="fr-CA"/>
        </w:rPr>
      </w:pPr>
      <w:r w:rsidRPr="00B40F77">
        <w:rPr>
          <w:lang w:val="fr-CA"/>
        </w:rPr>
        <w:t>Citée par la juge Karakatsanis</w:t>
      </w:r>
    </w:p>
    <w:p w:rsidR="003B36F3" w:rsidRPr="00B40F77" w:rsidRDefault="004D7D95" w:rsidP="00C90F92">
      <w:pPr>
        <w:pStyle w:val="SCCNormalDoubleSpacing"/>
        <w:spacing w:before="480" w:after="480"/>
      </w:pPr>
      <w:r w:rsidRPr="00B40F77">
        <w:rPr>
          <w:lang w:val="fr-CA"/>
        </w:rPr>
        <w:tab/>
      </w:r>
      <w:r w:rsidRPr="00B40F77">
        <w:rPr>
          <w:b/>
        </w:rPr>
        <w:t xml:space="preserve">Arrêts </w:t>
      </w:r>
      <w:r w:rsidR="00EE1161" w:rsidRPr="00B40F77">
        <w:rPr>
          <w:b/>
        </w:rPr>
        <w:t>appliqués</w:t>
      </w:r>
      <w:r w:rsidR="00982E62" w:rsidRPr="00B40F77">
        <w:rPr>
          <w:b/>
        </w:rPr>
        <w:t> :</w:t>
      </w:r>
      <w:r w:rsidRPr="00B40F77">
        <w:t xml:space="preserve"> </w:t>
      </w:r>
      <w:r w:rsidR="00F66495" w:rsidRPr="00B40F77">
        <w:rPr>
          <w:i/>
        </w:rPr>
        <w:t xml:space="preserve">Anns </w:t>
      </w:r>
      <w:r w:rsidR="00C13FD0" w:rsidRPr="00B40F77">
        <w:rPr>
          <w:i/>
        </w:rPr>
        <w:t>c. Merton London Borough Council</w:t>
      </w:r>
      <w:r w:rsidR="00C13FD0" w:rsidRPr="00B40F77">
        <w:t>, [1978] A.C. 728</w:t>
      </w:r>
      <w:r w:rsidR="001838C5" w:rsidRPr="00B40F77">
        <w:t xml:space="preserve">; </w:t>
      </w:r>
      <w:r w:rsidR="00A533A7" w:rsidRPr="00B40F77">
        <w:rPr>
          <w:i/>
        </w:rPr>
        <w:t>Cooper c. Hobart</w:t>
      </w:r>
      <w:r w:rsidR="00BB29F4" w:rsidRPr="00B40F77">
        <w:t>, 200</w:t>
      </w:r>
      <w:r w:rsidR="00A533A7" w:rsidRPr="00B40F77">
        <w:t xml:space="preserve">1 CSC 79, [2001] 3 R.C.S. 537; </w:t>
      </w:r>
      <w:r w:rsidR="00EE1161" w:rsidRPr="00B40F77">
        <w:rPr>
          <w:b/>
        </w:rPr>
        <w:t>distinction d</w:t>
      </w:r>
      <w:r w:rsidR="00982E62" w:rsidRPr="00B40F77">
        <w:rPr>
          <w:b/>
        </w:rPr>
        <w:t>’</w:t>
      </w:r>
      <w:r w:rsidR="00EE1161" w:rsidRPr="00B40F77">
        <w:rPr>
          <w:b/>
        </w:rPr>
        <w:t>avec l</w:t>
      </w:r>
      <w:r w:rsidR="00982E62" w:rsidRPr="00B40F77">
        <w:rPr>
          <w:b/>
        </w:rPr>
        <w:t>’</w:t>
      </w:r>
      <w:r w:rsidR="00EE1161" w:rsidRPr="00B40F77">
        <w:rPr>
          <w:b/>
        </w:rPr>
        <w:t>arrêt</w:t>
      </w:r>
      <w:r w:rsidR="00982E62" w:rsidRPr="00B40F77">
        <w:rPr>
          <w:b/>
        </w:rPr>
        <w:t> :</w:t>
      </w:r>
      <w:r w:rsidR="00EE1161" w:rsidRPr="00B40F77">
        <w:t xml:space="preserve"> </w:t>
      </w:r>
      <w:r w:rsidR="00EE1161" w:rsidRPr="00B40F77">
        <w:rPr>
          <w:i/>
        </w:rPr>
        <w:t>Holian c. United Grain Growers Ltd.</w:t>
      </w:r>
      <w:r w:rsidR="00EE1161" w:rsidRPr="00B40F77">
        <w:t xml:space="preserve"> (1980), 112 D.L.R. (3d) 611, inf. </w:t>
      </w:r>
      <w:r w:rsidR="00982E62" w:rsidRPr="00B40F77">
        <w:t>par. </w:t>
      </w:r>
      <w:r w:rsidR="00EE1161" w:rsidRPr="00B40F77">
        <w:t xml:space="preserve">(1980), 114 D.L.R. (3d) 449; </w:t>
      </w:r>
      <w:r w:rsidR="00EE1161" w:rsidRPr="00B40F77">
        <w:rPr>
          <w:b/>
        </w:rPr>
        <w:t>arrêts examinés</w:t>
      </w:r>
      <w:r w:rsidR="00982E62" w:rsidRPr="00B40F77">
        <w:rPr>
          <w:b/>
        </w:rPr>
        <w:t> :</w:t>
      </w:r>
      <w:r w:rsidR="00EE1161" w:rsidRPr="00B40F77">
        <w:t xml:space="preserve"> </w:t>
      </w:r>
      <w:r w:rsidR="00EE1161" w:rsidRPr="00B40F77">
        <w:rPr>
          <w:i/>
        </w:rPr>
        <w:t>Kalogeropoulos c. Ottawa (City)</w:t>
      </w:r>
      <w:r w:rsidR="00EE1161" w:rsidRPr="00B40F77">
        <w:t xml:space="preserve"> (1996), 35 M.P.L.R. (2d) 287;</w:t>
      </w:r>
      <w:r w:rsidR="00EE1161" w:rsidRPr="00B40F77">
        <w:rPr>
          <w:i/>
        </w:rPr>
        <w:t xml:space="preserve"> Cairns c. General Accident Assurance Co. of Canada</w:t>
      </w:r>
      <w:r w:rsidR="00EE1161" w:rsidRPr="00B40F77">
        <w:t xml:space="preserve">, [1992] O.J. </w:t>
      </w:r>
      <w:r w:rsidR="00982E62" w:rsidRPr="00B40F77">
        <w:t>No. </w:t>
      </w:r>
      <w:r w:rsidR="00EE1161" w:rsidRPr="00B40F77">
        <w:t>1432 (QL);</w:t>
      </w:r>
      <w:r w:rsidR="00EE1161" w:rsidRPr="00B40F77">
        <w:rPr>
          <w:i/>
        </w:rPr>
        <w:t xml:space="preserve"> Provost c. Bolton</w:t>
      </w:r>
      <w:r w:rsidR="00EE1161" w:rsidRPr="00B40F77">
        <w:t xml:space="preserve">, 2017 BCSC 1608, 100 B.C.L.R. (5th) 362; </w:t>
      </w:r>
      <w:r w:rsidR="00EE1161" w:rsidRPr="00B40F77">
        <w:rPr>
          <w:b/>
        </w:rPr>
        <w:t>arrêts mentionnés</w:t>
      </w:r>
      <w:r w:rsidR="00982E62" w:rsidRPr="00B40F77">
        <w:rPr>
          <w:b/>
        </w:rPr>
        <w:t> :</w:t>
      </w:r>
      <w:r w:rsidR="00EE1161" w:rsidRPr="00B40F77">
        <w:t xml:space="preserve"> </w:t>
      </w:r>
      <w:r w:rsidR="004F1981" w:rsidRPr="00B40F77">
        <w:rPr>
          <w:i/>
        </w:rPr>
        <w:t>Donoghue c. Stevenson</w:t>
      </w:r>
      <w:r w:rsidR="004F1981" w:rsidRPr="00B40F77">
        <w:t xml:space="preserve">, [1932] </w:t>
      </w:r>
      <w:r w:rsidR="001E3827" w:rsidRPr="00B40F77">
        <w:t xml:space="preserve">A.C. 562; </w:t>
      </w:r>
      <w:r w:rsidR="001B23C5" w:rsidRPr="00B40F77">
        <w:rPr>
          <w:i/>
        </w:rPr>
        <w:t>Stewart c. Pettie</w:t>
      </w:r>
      <w:r w:rsidR="001B23C5" w:rsidRPr="00B40F77">
        <w:t xml:space="preserve">, [1995] 1 R.C.S. 131; </w:t>
      </w:r>
      <w:r w:rsidR="00776A6D" w:rsidRPr="00B40F77">
        <w:rPr>
          <w:i/>
        </w:rPr>
        <w:t>Mustapha c. Culligan du Canada Ltée</w:t>
      </w:r>
      <w:r w:rsidR="00776A6D" w:rsidRPr="00B40F77">
        <w:t xml:space="preserve">, </w:t>
      </w:r>
      <w:r w:rsidR="00332333" w:rsidRPr="00B40F77">
        <w:t xml:space="preserve">2008 CSC 27, [2008] 2 R.C.S. 114; </w:t>
      </w:r>
      <w:r w:rsidR="003B36F3" w:rsidRPr="00B40F77">
        <w:rPr>
          <w:i/>
        </w:rPr>
        <w:t>Deloitte &amp; Touche c. Livent Inc. (Séquestre de)</w:t>
      </w:r>
      <w:r w:rsidR="003B36F3" w:rsidRPr="00B40F77">
        <w:t>, 2017 CSC 63</w:t>
      </w:r>
      <w:r w:rsidR="00453C65" w:rsidRPr="00B40F77">
        <w:t>, [2017] 2 R.C.S. 855</w:t>
      </w:r>
      <w:r w:rsidR="003B36F3" w:rsidRPr="00B40F77">
        <w:t>;</w:t>
      </w:r>
      <w:r w:rsidR="003B36F3" w:rsidRPr="00B40F77">
        <w:rPr>
          <w:i/>
        </w:rPr>
        <w:t xml:space="preserve"> R. </w:t>
      </w:r>
      <w:r w:rsidR="003B36F3" w:rsidRPr="00B40F77">
        <w:rPr>
          <w:i/>
        </w:rPr>
        <w:lastRenderedPageBreak/>
        <w:t>c. Imperial Tobacco Canada Ltée</w:t>
      </w:r>
      <w:r w:rsidR="003B36F3" w:rsidRPr="00B40F77">
        <w:t xml:space="preserve">, 2011 CSC 42, [2011] 3 R.C.S. 45; </w:t>
      </w:r>
      <w:r w:rsidR="003B36F3" w:rsidRPr="00B40F77">
        <w:rPr>
          <w:i/>
        </w:rPr>
        <w:t>Childs c. Desormeaux</w:t>
      </w:r>
      <w:r w:rsidR="003B36F3" w:rsidRPr="00B40F77">
        <w:t>, 2006 CSC 18, [2006] 1 R.C.S. 643;</w:t>
      </w:r>
      <w:r w:rsidR="003B36F3" w:rsidRPr="00B40F77">
        <w:rPr>
          <w:i/>
        </w:rPr>
        <w:t xml:space="preserve"> Galaske c. O</w:t>
      </w:r>
      <w:r w:rsidR="00982E62" w:rsidRPr="00B40F77">
        <w:rPr>
          <w:i/>
        </w:rPr>
        <w:t>’</w:t>
      </w:r>
      <w:r w:rsidR="003B36F3" w:rsidRPr="00B40F77">
        <w:rPr>
          <w:i/>
        </w:rPr>
        <w:t>Donnell</w:t>
      </w:r>
      <w:r w:rsidR="003B36F3" w:rsidRPr="00B40F77">
        <w:t>, [1994] 1 R.C.S. 670;</w:t>
      </w:r>
      <w:r w:rsidR="003B36F3" w:rsidRPr="00B40F77">
        <w:rPr>
          <w:i/>
        </w:rPr>
        <w:t xml:space="preserve"> Hercules Managements Ltd. c. Ernst &amp; Young</w:t>
      </w:r>
      <w:r w:rsidR="003B36F3" w:rsidRPr="00B40F77">
        <w:t>, [1997] 2 R.C.S. 165;</w:t>
      </w:r>
      <w:r w:rsidR="003B36F3" w:rsidRPr="00B40F77">
        <w:rPr>
          <w:i/>
        </w:rPr>
        <w:t xml:space="preserve"> Hollett c. Coca</w:t>
      </w:r>
      <w:r w:rsidR="00982E62" w:rsidRPr="00B40F77">
        <w:rPr>
          <w:i/>
        </w:rPr>
        <w:noBreakHyphen/>
      </w:r>
      <w:r w:rsidR="003B36F3" w:rsidRPr="00B40F77">
        <w:rPr>
          <w:i/>
        </w:rPr>
        <w:t>Cola Ltd.</w:t>
      </w:r>
      <w:r w:rsidR="003B36F3" w:rsidRPr="00B40F77">
        <w:t xml:space="preserve"> (1980), 37 N.S.R. (2d) 695; </w:t>
      </w:r>
      <w:r w:rsidR="003B36F3" w:rsidRPr="00B40F77">
        <w:rPr>
          <w:i/>
        </w:rPr>
        <w:t>Tong c. Bedwell</w:t>
      </w:r>
      <w:r w:rsidR="003B36F3" w:rsidRPr="00B40F77">
        <w:t>, 2002 ABQB 213, 311 A.R. 174;</w:t>
      </w:r>
      <w:r w:rsidR="003B36F3" w:rsidRPr="00B40F77">
        <w:rPr>
          <w:i/>
        </w:rPr>
        <w:t xml:space="preserve"> Moore c. Fanning</w:t>
      </w:r>
      <w:r w:rsidR="003B36F3" w:rsidRPr="00B40F77">
        <w:t xml:space="preserve"> (1987), 60 O.R. (2d) 225;</w:t>
      </w:r>
      <w:r w:rsidR="003B36F3" w:rsidRPr="00B40F77">
        <w:rPr>
          <w:i/>
        </w:rPr>
        <w:t xml:space="preserve"> Werbeniuk c. Maynard</w:t>
      </w:r>
      <w:r w:rsidR="003B36F3" w:rsidRPr="00B40F77">
        <w:t xml:space="preserve"> (1994), 93 Man. R. (2d) 318; </w:t>
      </w:r>
      <w:r w:rsidR="003B36F3" w:rsidRPr="00B40F77">
        <w:rPr>
          <w:i/>
        </w:rPr>
        <w:t>Norgard c. Asuchak</w:t>
      </w:r>
      <w:r w:rsidR="003B36F3" w:rsidRPr="00B40F77">
        <w:t xml:space="preserve">, [1984] A.J. </w:t>
      </w:r>
      <w:r w:rsidR="00982E62" w:rsidRPr="00B40F77">
        <w:t>No. </w:t>
      </w:r>
      <w:r w:rsidR="003B36F3" w:rsidRPr="00B40F77">
        <w:t>394 (QL);</w:t>
      </w:r>
      <w:r w:rsidR="003B36F3" w:rsidRPr="00B40F77">
        <w:rPr>
          <w:i/>
        </w:rPr>
        <w:t xml:space="preserve"> </w:t>
      </w:r>
      <w:r w:rsidR="00FD1F62" w:rsidRPr="00B40F77">
        <w:rPr>
          <w:i/>
        </w:rPr>
        <w:t>Hill c. Commission des services policiers de la municipalité régionale de Hamilton</w:t>
      </w:r>
      <w:r w:rsidR="00982E62" w:rsidRPr="00B40F77">
        <w:rPr>
          <w:i/>
        </w:rPr>
        <w:noBreakHyphen/>
      </w:r>
      <w:r w:rsidR="00FD1F62" w:rsidRPr="00B40F77">
        <w:rPr>
          <w:i/>
        </w:rPr>
        <w:t>Wentworth</w:t>
      </w:r>
      <w:r w:rsidR="00FD1F62" w:rsidRPr="00B40F77">
        <w:t xml:space="preserve">, 2007 CSC 41, [2007] 3 R.C.S. 129; </w:t>
      </w:r>
      <w:r w:rsidR="003B36F3" w:rsidRPr="00B40F77">
        <w:rPr>
          <w:i/>
        </w:rPr>
        <w:t>Canada (Attorney General) c. LaFlamme</w:t>
      </w:r>
      <w:r w:rsidR="003B36F3" w:rsidRPr="00B40F77">
        <w:t xml:space="preserve">, [1983] 3 W.W.R. 350; </w:t>
      </w:r>
      <w:r w:rsidR="003B36F3" w:rsidRPr="00B40F77">
        <w:rPr>
          <w:i/>
        </w:rPr>
        <w:t>Aldus c. Belair</w:t>
      </w:r>
      <w:r w:rsidR="00102744" w:rsidRPr="00B40F77">
        <w:t xml:space="preserve"> (1992), 41 M.V.R. (</w:t>
      </w:r>
      <w:r w:rsidR="003B36F3" w:rsidRPr="00B40F77">
        <w:t>2d) 129;</w:t>
      </w:r>
      <w:r w:rsidR="003B36F3" w:rsidRPr="00B40F77">
        <w:rPr>
          <w:i/>
        </w:rPr>
        <w:t xml:space="preserve"> Campiou Estate c. Gladue</w:t>
      </w:r>
      <w:r w:rsidR="003B36F3" w:rsidRPr="00B40F77">
        <w:t>, 2002 ABQB 1037, 332 A.R. 109;</w:t>
      </w:r>
      <w:r w:rsidR="003B36F3" w:rsidRPr="00B40F77">
        <w:rPr>
          <w:i/>
        </w:rPr>
        <w:t xml:space="preserve"> Canadian Pacific Ltd. c. Swift Current </w:t>
      </w:r>
      <w:r w:rsidR="00982E62" w:rsidRPr="00B40F77">
        <w:rPr>
          <w:i/>
        </w:rPr>
        <w:t>No. </w:t>
      </w:r>
      <w:r w:rsidR="003B36F3" w:rsidRPr="00B40F77">
        <w:rPr>
          <w:i/>
        </w:rPr>
        <w:t>137 (Rural Municipality)</w:t>
      </w:r>
      <w:r w:rsidR="003B36F3" w:rsidRPr="00B40F77">
        <w:t xml:space="preserve"> (1991), 88 Sask. R. 281, conf. par (1992), 109 Sask. R. 33;</w:t>
      </w:r>
      <w:r w:rsidR="003B36F3" w:rsidRPr="00B40F77">
        <w:rPr>
          <w:i/>
        </w:rPr>
        <w:t xml:space="preserve"> Arnold c. Teno</w:t>
      </w:r>
      <w:r w:rsidR="003B36F3" w:rsidRPr="00B40F77">
        <w:t xml:space="preserve">, [1978] 2 R.C.S. 287; </w:t>
      </w:r>
      <w:r w:rsidR="003B36F3" w:rsidRPr="00B40F77">
        <w:rPr>
          <w:i/>
        </w:rPr>
        <w:t>Jordan House Ltd. c. Menow</w:t>
      </w:r>
      <w:r w:rsidR="003B36F3" w:rsidRPr="00B40F77">
        <w:t>, [1974] R.C.S. 239;</w:t>
      </w:r>
      <w:r w:rsidR="003B36F3" w:rsidRPr="00B40F77">
        <w:rPr>
          <w:i/>
        </w:rPr>
        <w:t xml:space="preserve"> Myers c. Peel County Board of Education</w:t>
      </w:r>
      <w:r w:rsidR="003B36F3" w:rsidRPr="00B40F77">
        <w:t xml:space="preserve">, [1981] 2 R.C.S. 21; </w:t>
      </w:r>
      <w:r w:rsidR="003B36F3" w:rsidRPr="00B40F77">
        <w:rPr>
          <w:i/>
        </w:rPr>
        <w:t>K.L.B. c. Colombie</w:t>
      </w:r>
      <w:r w:rsidR="00982E62" w:rsidRPr="00B40F77">
        <w:rPr>
          <w:i/>
        </w:rPr>
        <w:noBreakHyphen/>
      </w:r>
      <w:r w:rsidR="003B36F3" w:rsidRPr="00B40F77">
        <w:rPr>
          <w:i/>
        </w:rPr>
        <w:t>Britannique</w:t>
      </w:r>
      <w:r w:rsidR="003B36F3" w:rsidRPr="00B40F77">
        <w:t>, 2003 CSC 51, [2003] 2 R.C.S. 403;</w:t>
      </w:r>
      <w:r w:rsidR="003B36F3" w:rsidRPr="00B40F77">
        <w:rPr>
          <w:i/>
        </w:rPr>
        <w:t xml:space="preserve"> Hall c. Hebert</w:t>
      </w:r>
      <w:r w:rsidR="003B36F3" w:rsidRPr="00B40F77">
        <w:t>, [1993] 2 R.C.S. 159;</w:t>
      </w:r>
      <w:r w:rsidR="003B36F3" w:rsidRPr="00B40F77">
        <w:rPr>
          <w:i/>
        </w:rPr>
        <w:t xml:space="preserve"> Colombie</w:t>
      </w:r>
      <w:r w:rsidR="00982E62" w:rsidRPr="00B40F77">
        <w:rPr>
          <w:i/>
        </w:rPr>
        <w:noBreakHyphen/>
      </w:r>
      <w:r w:rsidR="003B36F3" w:rsidRPr="00B40F77">
        <w:rPr>
          <w:i/>
        </w:rPr>
        <w:t>Britannique c. Zastowny</w:t>
      </w:r>
      <w:r w:rsidR="003B36F3" w:rsidRPr="00B40F77">
        <w:t>, 2008 CSC 4, [2008] 1 R.C.S. 27.</w:t>
      </w:r>
    </w:p>
    <w:p w:rsidR="001F5838" w:rsidRPr="00B40F77" w:rsidRDefault="001F5838" w:rsidP="00C90F92">
      <w:pPr>
        <w:pStyle w:val="SCCNormalDoubleSpacing"/>
        <w:spacing w:after="720" w:line="240" w:lineRule="auto"/>
        <w:rPr>
          <w:lang w:val="fr-CA"/>
        </w:rPr>
      </w:pPr>
      <w:r w:rsidRPr="00B40F77">
        <w:rPr>
          <w:lang w:val="fr-CA"/>
        </w:rPr>
        <w:t>Citée par le juge Brown</w:t>
      </w:r>
      <w:r w:rsidR="00890F24" w:rsidRPr="00B40F77">
        <w:rPr>
          <w:lang w:val="fr-CA"/>
        </w:rPr>
        <w:t xml:space="preserve"> (dissident)</w:t>
      </w:r>
    </w:p>
    <w:p w:rsidR="001F5838" w:rsidRPr="00B40F77" w:rsidRDefault="001F5838" w:rsidP="00C90F92">
      <w:pPr>
        <w:pStyle w:val="SCCNormalDoubleSpacing"/>
        <w:spacing w:before="480" w:after="480"/>
        <w:rPr>
          <w:lang w:val="fr-CA"/>
        </w:rPr>
      </w:pPr>
      <w:r w:rsidRPr="00B40F77">
        <w:rPr>
          <w:b/>
          <w:lang w:val="fr-CA"/>
        </w:rPr>
        <w:tab/>
      </w:r>
      <w:r w:rsidR="003B36F3" w:rsidRPr="00B40F77">
        <w:rPr>
          <w:i/>
          <w:lang w:val="fr-CA"/>
        </w:rPr>
        <w:t>Anns c. Merton London Borough Council</w:t>
      </w:r>
      <w:r w:rsidR="003B36F3" w:rsidRPr="00B40F77">
        <w:rPr>
          <w:lang w:val="fr-CA"/>
        </w:rPr>
        <w:t xml:space="preserve">, [1978] A.C. 728; </w:t>
      </w:r>
      <w:r w:rsidRPr="00B40F77">
        <w:rPr>
          <w:i/>
          <w:lang w:val="fr-CA"/>
        </w:rPr>
        <w:t>Cooper c. Hobart</w:t>
      </w:r>
      <w:r w:rsidRPr="00B40F77">
        <w:rPr>
          <w:lang w:val="fr-CA"/>
        </w:rPr>
        <w:t xml:space="preserve">, 2001 CSC 79, [2001] 3 R.C.S. 537; </w:t>
      </w:r>
      <w:r w:rsidR="002C4E88" w:rsidRPr="00B40F77">
        <w:rPr>
          <w:i/>
          <w:lang w:val="fr-CA"/>
        </w:rPr>
        <w:t xml:space="preserve">Mustapha c. Culligan du Canada </w:t>
      </w:r>
      <w:r w:rsidR="00670F90" w:rsidRPr="00B40F77">
        <w:rPr>
          <w:i/>
          <w:lang w:val="fr-CA"/>
        </w:rPr>
        <w:t>Ltée</w:t>
      </w:r>
      <w:r w:rsidR="002C4E88" w:rsidRPr="00B40F77">
        <w:rPr>
          <w:lang w:val="fr-CA"/>
        </w:rPr>
        <w:t xml:space="preserve">, 2008 CSC 27, [2008] 2 R.C.S. 114; </w:t>
      </w:r>
      <w:r w:rsidR="002C4E88" w:rsidRPr="00B40F77">
        <w:rPr>
          <w:i/>
          <w:lang w:val="fr-CA"/>
        </w:rPr>
        <w:t>Saadati c. Moorhead</w:t>
      </w:r>
      <w:r w:rsidR="002C4E88" w:rsidRPr="00B40F77">
        <w:rPr>
          <w:lang w:val="fr-CA"/>
        </w:rPr>
        <w:t xml:space="preserve">, 2017 CSC 28, [2017] 1 R.C.S. 543; </w:t>
      </w:r>
      <w:r w:rsidR="00670F90" w:rsidRPr="00B40F77">
        <w:rPr>
          <w:i/>
          <w:lang w:val="fr-CA"/>
        </w:rPr>
        <w:t>Deloitte &amp; Touche c. Livent Inc. (Séquestre de)</w:t>
      </w:r>
      <w:r w:rsidR="00670F90" w:rsidRPr="00B40F77">
        <w:rPr>
          <w:lang w:val="fr-CA"/>
        </w:rPr>
        <w:t>, 2017 CSC 63</w:t>
      </w:r>
      <w:r w:rsidR="0050473F" w:rsidRPr="00B40F77">
        <w:rPr>
          <w:lang w:val="fr-CA"/>
        </w:rPr>
        <w:t>, [2017] 2 R.C.S. 855</w:t>
      </w:r>
      <w:r w:rsidR="00670F90" w:rsidRPr="00B40F77">
        <w:rPr>
          <w:lang w:val="fr-CA"/>
        </w:rPr>
        <w:t xml:space="preserve">; </w:t>
      </w:r>
      <w:r w:rsidR="00F67EC6" w:rsidRPr="00B40F77">
        <w:rPr>
          <w:i/>
          <w:lang w:val="fr-CA"/>
        </w:rPr>
        <w:t>Edwards c. Barreau du Haut</w:t>
      </w:r>
      <w:r w:rsidR="00982E62" w:rsidRPr="00B40F77">
        <w:rPr>
          <w:i/>
          <w:lang w:val="fr-CA"/>
        </w:rPr>
        <w:noBreakHyphen/>
      </w:r>
      <w:r w:rsidR="00F67EC6" w:rsidRPr="00B40F77">
        <w:rPr>
          <w:i/>
          <w:lang w:val="fr-CA"/>
        </w:rPr>
        <w:t>Canada</w:t>
      </w:r>
      <w:r w:rsidR="00F67EC6" w:rsidRPr="00B40F77">
        <w:rPr>
          <w:lang w:val="fr-CA"/>
        </w:rPr>
        <w:t xml:space="preserve">, 2001 CSC 80, [2001] 3 R.C.S. 562; </w:t>
      </w:r>
      <w:r w:rsidR="00F67EC6" w:rsidRPr="00B40F77">
        <w:rPr>
          <w:i/>
          <w:lang w:val="fr-CA"/>
        </w:rPr>
        <w:t>Childs c. Desormeaux</w:t>
      </w:r>
      <w:r w:rsidR="00F67EC6" w:rsidRPr="00B40F77">
        <w:rPr>
          <w:lang w:val="fr-CA"/>
        </w:rPr>
        <w:t xml:space="preserve">, 2006 CSC 18, [2006] 1 R.C.S. 643; </w:t>
      </w:r>
      <w:r w:rsidR="00DC7AFC" w:rsidRPr="00B40F77">
        <w:rPr>
          <w:i/>
          <w:lang w:val="fr-CA"/>
        </w:rPr>
        <w:t>Donoghue c. Stevenson</w:t>
      </w:r>
      <w:r w:rsidR="00DC7AFC" w:rsidRPr="00B40F77">
        <w:rPr>
          <w:lang w:val="fr-CA"/>
        </w:rPr>
        <w:t xml:space="preserve">, </w:t>
      </w:r>
      <w:r w:rsidR="00DC7AFC" w:rsidRPr="00B40F77">
        <w:rPr>
          <w:lang w:val="fr-CA"/>
        </w:rPr>
        <w:lastRenderedPageBreak/>
        <w:t xml:space="preserve">[1932] A.C. 562; </w:t>
      </w:r>
      <w:r w:rsidR="000F2C0A" w:rsidRPr="00B40F77">
        <w:rPr>
          <w:i/>
          <w:lang w:val="fr-CA"/>
        </w:rPr>
        <w:t>Hill c. Commission des services policiers de la municipalité régionale de Hamilton</w:t>
      </w:r>
      <w:r w:rsidR="00982E62" w:rsidRPr="00B40F77">
        <w:rPr>
          <w:i/>
          <w:lang w:val="fr-CA"/>
        </w:rPr>
        <w:noBreakHyphen/>
      </w:r>
      <w:r w:rsidR="000F2C0A" w:rsidRPr="00B40F77">
        <w:rPr>
          <w:i/>
          <w:lang w:val="fr-CA"/>
        </w:rPr>
        <w:t>Wentworth</w:t>
      </w:r>
      <w:r w:rsidR="000F2C0A" w:rsidRPr="00B40F77">
        <w:rPr>
          <w:lang w:val="fr-CA"/>
        </w:rPr>
        <w:t xml:space="preserve">, 2007 CSC 41, [2007] 3 R.C.S. 129; </w:t>
      </w:r>
      <w:r w:rsidR="00F354E8" w:rsidRPr="00B40F77">
        <w:rPr>
          <w:i/>
          <w:lang w:val="fr-CA"/>
        </w:rPr>
        <w:t>Fullowka c. Pinkerton</w:t>
      </w:r>
      <w:r w:rsidR="00982E62" w:rsidRPr="00B40F77">
        <w:rPr>
          <w:i/>
          <w:lang w:val="fr-CA"/>
        </w:rPr>
        <w:t>’</w:t>
      </w:r>
      <w:r w:rsidR="00F354E8" w:rsidRPr="00B40F77">
        <w:rPr>
          <w:i/>
          <w:lang w:val="fr-CA"/>
        </w:rPr>
        <w:t>s of Canada Ltd.</w:t>
      </w:r>
      <w:r w:rsidR="00F354E8" w:rsidRPr="00B40F77">
        <w:rPr>
          <w:lang w:val="fr-CA"/>
        </w:rPr>
        <w:t xml:space="preserve">, 2010 CSC 5, [2010] 1 R.C.S. 132; </w:t>
      </w:r>
      <w:r w:rsidR="00F354E8" w:rsidRPr="00B40F77">
        <w:rPr>
          <w:i/>
          <w:lang w:val="fr-CA"/>
        </w:rPr>
        <w:t>Hercules Managements Ltd. c. Ernst &amp; Young</w:t>
      </w:r>
      <w:r w:rsidR="00F354E8" w:rsidRPr="00B40F77">
        <w:rPr>
          <w:lang w:val="fr-CA"/>
        </w:rPr>
        <w:t>, [1997] 2 R.C.S. 165</w:t>
      </w:r>
      <w:r w:rsidR="008234B1" w:rsidRPr="00B40F77">
        <w:rPr>
          <w:lang w:val="fr-CA"/>
        </w:rPr>
        <w:t>.</w:t>
      </w:r>
    </w:p>
    <w:p w:rsidR="004D7D95" w:rsidRPr="00B40F77" w:rsidRDefault="004D7D95" w:rsidP="00C90F92">
      <w:pPr>
        <w:pStyle w:val="SCCNormalDoubleSpacing"/>
        <w:spacing w:after="720" w:line="240" w:lineRule="auto"/>
        <w:rPr>
          <w:b/>
          <w:lang w:val="fr-CA"/>
        </w:rPr>
      </w:pPr>
      <w:r w:rsidRPr="00B40F77">
        <w:rPr>
          <w:b/>
          <w:lang w:val="fr-CA"/>
        </w:rPr>
        <w:t>Lois et règlements cités</w:t>
      </w:r>
    </w:p>
    <w:p w:rsidR="004D7D95" w:rsidRPr="00B40F77" w:rsidRDefault="00E71226" w:rsidP="00C90F92">
      <w:pPr>
        <w:pStyle w:val="SCCNormalDoubleSpacing"/>
        <w:spacing w:after="720" w:line="240" w:lineRule="auto"/>
        <w:ind w:left="547" w:hanging="547"/>
        <w:rPr>
          <w:lang w:val="fr-CA"/>
        </w:rPr>
      </w:pPr>
      <w:r w:rsidRPr="00B40F77">
        <w:rPr>
          <w:i/>
          <w:lang w:val="fr-CA"/>
        </w:rPr>
        <w:t>Loi sur la responsabilité des occupants</w:t>
      </w:r>
      <w:r w:rsidR="00487628" w:rsidRPr="00B40F77">
        <w:rPr>
          <w:lang w:val="fr-CA"/>
        </w:rPr>
        <w:t>, L.R.O. 1990, c. </w:t>
      </w:r>
      <w:r w:rsidRPr="00B40F77">
        <w:rPr>
          <w:lang w:val="fr-CA"/>
        </w:rPr>
        <w:t xml:space="preserve">O.2, </w:t>
      </w:r>
      <w:r w:rsidR="00982E62" w:rsidRPr="00B40F77">
        <w:rPr>
          <w:lang w:val="fr-CA"/>
        </w:rPr>
        <w:t>art. </w:t>
      </w:r>
      <w:r w:rsidRPr="00B40F77">
        <w:rPr>
          <w:lang w:val="fr-CA"/>
        </w:rPr>
        <w:t>4(1)</w:t>
      </w:r>
      <w:r w:rsidR="00D94068" w:rsidRPr="00B40F77">
        <w:rPr>
          <w:lang w:val="fr-CA"/>
        </w:rPr>
        <w:t xml:space="preserve">, </w:t>
      </w:r>
      <w:r w:rsidRPr="00B40F77">
        <w:rPr>
          <w:lang w:val="fr-CA"/>
        </w:rPr>
        <w:t xml:space="preserve">(2). </w:t>
      </w:r>
    </w:p>
    <w:p w:rsidR="004D7D95" w:rsidRPr="00B40F77" w:rsidRDefault="004D7D95" w:rsidP="00C90F92">
      <w:pPr>
        <w:pStyle w:val="SCCNormalDoubleSpacing"/>
        <w:spacing w:after="720" w:line="240" w:lineRule="auto"/>
        <w:rPr>
          <w:b/>
        </w:rPr>
      </w:pPr>
      <w:r w:rsidRPr="00B40F77">
        <w:rPr>
          <w:b/>
        </w:rPr>
        <w:t>Doctrine et autres documents cités</w:t>
      </w:r>
    </w:p>
    <w:p w:rsidR="00496358" w:rsidRPr="00B40F77" w:rsidRDefault="00496358" w:rsidP="00CB7ABA">
      <w:pPr>
        <w:pStyle w:val="SCCNormalDoubleSpacing"/>
        <w:spacing w:after="240" w:line="240" w:lineRule="auto"/>
        <w:ind w:left="547" w:hanging="547"/>
      </w:pPr>
      <w:r w:rsidRPr="00B40F77">
        <w:rPr>
          <w:i/>
        </w:rPr>
        <w:t>Clerk &amp; Lindsell on Torts</w:t>
      </w:r>
      <w:r w:rsidR="001752B7" w:rsidRPr="00B40F77">
        <w:t>, 21st ed. by Michael </w:t>
      </w:r>
      <w:r w:rsidRPr="00B40F77">
        <w:t>A. Jones</w:t>
      </w:r>
      <w:r w:rsidR="00FC74D0" w:rsidRPr="00B40F77">
        <w:t>,</w:t>
      </w:r>
      <w:r w:rsidRPr="00B40F77">
        <w:t xml:space="preserve"> London, Sweet &amp; Maxwell, 2014. </w:t>
      </w:r>
    </w:p>
    <w:p w:rsidR="00806A57" w:rsidRPr="00B40F77" w:rsidRDefault="00806A57" w:rsidP="00CB7ABA">
      <w:pPr>
        <w:pStyle w:val="SCCNormalDoubleSpacing"/>
        <w:spacing w:after="240" w:line="240" w:lineRule="auto"/>
        <w:ind w:left="547" w:hanging="547"/>
      </w:pPr>
      <w:r w:rsidRPr="00B40F77">
        <w:t>Klar</w:t>
      </w:r>
      <w:r w:rsidR="001752B7" w:rsidRPr="00B40F77">
        <w:t>, Lewis N., and Cameron S. </w:t>
      </w:r>
      <w:r w:rsidRPr="00B40F77">
        <w:t>G.</w:t>
      </w:r>
      <w:r w:rsidR="001752B7" w:rsidRPr="00B40F77">
        <w:t> </w:t>
      </w:r>
      <w:r w:rsidRPr="00B40F77">
        <w:t xml:space="preserve">Jefferies. </w:t>
      </w:r>
      <w:r w:rsidRPr="00B40F77">
        <w:rPr>
          <w:i/>
        </w:rPr>
        <w:t>Tort Law</w:t>
      </w:r>
      <w:r w:rsidRPr="00B40F77">
        <w:t>, 6th</w:t>
      </w:r>
      <w:r w:rsidR="001752B7" w:rsidRPr="00B40F77">
        <w:t> </w:t>
      </w:r>
      <w:r w:rsidRPr="00B40F77">
        <w:t xml:space="preserve">ed., Toronto, Thomson Reuters, 2017. </w:t>
      </w:r>
    </w:p>
    <w:p w:rsidR="00806A57" w:rsidRPr="00B40F77" w:rsidRDefault="001752B7" w:rsidP="00CB7ABA">
      <w:pPr>
        <w:pStyle w:val="SCCNormalDoubleSpacing"/>
        <w:spacing w:after="240" w:line="240" w:lineRule="auto"/>
        <w:ind w:left="547" w:hanging="547"/>
      </w:pPr>
      <w:r w:rsidRPr="00B40F77">
        <w:t>Linden, Allen </w:t>
      </w:r>
      <w:r w:rsidR="00806A57" w:rsidRPr="00B40F77">
        <w:t xml:space="preserve">M., and Bruce Feldthusen. </w:t>
      </w:r>
      <w:r w:rsidR="00806A57" w:rsidRPr="00B40F77">
        <w:rPr>
          <w:i/>
        </w:rPr>
        <w:t>Canadian Tort Law</w:t>
      </w:r>
      <w:r w:rsidRPr="00B40F77">
        <w:t>, 10th </w:t>
      </w:r>
      <w:r w:rsidR="00806A57" w:rsidRPr="00B40F77">
        <w:t>ed., Toronto, LexisNexis, 2015.</w:t>
      </w:r>
    </w:p>
    <w:p w:rsidR="00AC4FCE" w:rsidRPr="00B40F77" w:rsidRDefault="00AC4FCE" w:rsidP="00CB7ABA">
      <w:pPr>
        <w:pStyle w:val="SCCNormalDoubleSpacing"/>
        <w:spacing w:after="240" w:line="240" w:lineRule="auto"/>
        <w:ind w:left="547" w:hanging="547"/>
      </w:pPr>
      <w:r w:rsidRPr="00B40F77">
        <w:t>Osborne, Philip</w:t>
      </w:r>
      <w:r w:rsidR="001752B7" w:rsidRPr="00B40F77">
        <w:t> </w:t>
      </w:r>
      <w:r w:rsidRPr="00B40F77">
        <w:t xml:space="preserve">H. </w:t>
      </w:r>
      <w:r w:rsidRPr="00B40F77">
        <w:rPr>
          <w:i/>
        </w:rPr>
        <w:t>The Law of Torts</w:t>
      </w:r>
      <w:r w:rsidRPr="00B40F77">
        <w:t>, 5th</w:t>
      </w:r>
      <w:r w:rsidR="001752B7" w:rsidRPr="00B40F77">
        <w:t> </w:t>
      </w:r>
      <w:r w:rsidRPr="00B40F77">
        <w:t>ed., Toronto, Irwin Law, 2015.</w:t>
      </w:r>
    </w:p>
    <w:p w:rsidR="00E90FDC" w:rsidRPr="00B40F77" w:rsidRDefault="001752B7" w:rsidP="00CB7ABA">
      <w:pPr>
        <w:pStyle w:val="SCCNormalDoubleSpacing"/>
        <w:spacing w:after="240" w:line="240" w:lineRule="auto"/>
        <w:ind w:left="547" w:hanging="547"/>
      </w:pPr>
      <w:r w:rsidRPr="00B40F77">
        <w:t>Owen, David </w:t>
      </w:r>
      <w:r w:rsidR="00B371F9" w:rsidRPr="00B40F77">
        <w:t>G.</w:t>
      </w:r>
      <w:r w:rsidR="00E90FDC" w:rsidRPr="00B40F77">
        <w:t xml:space="preserve"> « Figuring Foreseeability » (2009), 44 </w:t>
      </w:r>
      <w:r w:rsidR="00E90FDC" w:rsidRPr="00B40F77">
        <w:rPr>
          <w:i/>
        </w:rPr>
        <w:t xml:space="preserve">Wake Forest L. Rev. </w:t>
      </w:r>
      <w:r w:rsidR="00E90FDC" w:rsidRPr="00B40F77">
        <w:t>1277.</w:t>
      </w:r>
    </w:p>
    <w:p w:rsidR="003F6A87" w:rsidRPr="00B40F77" w:rsidRDefault="001752B7" w:rsidP="00CB7ABA">
      <w:pPr>
        <w:pStyle w:val="SCCNormalDoubleSpacing"/>
        <w:spacing w:after="240" w:line="240" w:lineRule="auto"/>
        <w:ind w:left="547" w:hanging="547"/>
      </w:pPr>
      <w:r w:rsidRPr="00B40F77">
        <w:t>Perry, Stephen </w:t>
      </w:r>
      <w:r w:rsidR="003F6A87" w:rsidRPr="00B40F77">
        <w:t xml:space="preserve">R. « Protected Interests and Undertakings in the Law of Negligence » (1992), 42 </w:t>
      </w:r>
      <w:r w:rsidR="003F6A87" w:rsidRPr="00B40F77">
        <w:rPr>
          <w:i/>
        </w:rPr>
        <w:t xml:space="preserve">U.T.L.J. </w:t>
      </w:r>
      <w:r w:rsidR="003F6A87" w:rsidRPr="00B40F77">
        <w:t>247.</w:t>
      </w:r>
    </w:p>
    <w:p w:rsidR="006D68FF" w:rsidRPr="00B40F77" w:rsidRDefault="006D68FF" w:rsidP="00CB7ABA">
      <w:pPr>
        <w:pStyle w:val="SCCNormalDoubleSpacing"/>
        <w:spacing w:after="240" w:line="240" w:lineRule="auto"/>
        <w:ind w:left="547" w:hanging="547"/>
      </w:pPr>
      <w:r w:rsidRPr="00B40F77">
        <w:t>Weinrib, Ernest</w:t>
      </w:r>
      <w:r w:rsidR="001752B7" w:rsidRPr="00B40F77">
        <w:t> </w:t>
      </w:r>
      <w:r w:rsidRPr="00B40F77">
        <w:t xml:space="preserve">J. « The Disintegration of Duty » (2006), 31 </w:t>
      </w:r>
      <w:r w:rsidRPr="00B40F77">
        <w:rPr>
          <w:i/>
        </w:rPr>
        <w:t>Adv. Q.</w:t>
      </w:r>
      <w:r w:rsidRPr="00B40F77">
        <w:t xml:space="preserve"> 212.</w:t>
      </w:r>
    </w:p>
    <w:p w:rsidR="00B371F9" w:rsidRPr="00B40F77" w:rsidRDefault="00B371F9" w:rsidP="007C6100">
      <w:pPr>
        <w:pStyle w:val="SCCNormalDoubleSpacing"/>
        <w:spacing w:after="720" w:line="240" w:lineRule="auto"/>
        <w:ind w:left="547" w:hanging="547"/>
        <w:rPr>
          <w:lang w:val="fr-CA"/>
        </w:rPr>
      </w:pPr>
      <w:r w:rsidRPr="00B40F77">
        <w:t>Weinrib, Ernest</w:t>
      </w:r>
      <w:r w:rsidR="001752B7" w:rsidRPr="00B40F77">
        <w:t> </w:t>
      </w:r>
      <w:r w:rsidRPr="00B40F77">
        <w:t>J.</w:t>
      </w:r>
      <w:r w:rsidR="006D68FF" w:rsidRPr="00B40F77">
        <w:t xml:space="preserve"> « </w:t>
      </w:r>
      <w:r w:rsidRPr="00B40F77">
        <w:t>The Disintegr</w:t>
      </w:r>
      <w:r w:rsidR="006D68FF" w:rsidRPr="00B40F77">
        <w:t>ation of Duty »</w:t>
      </w:r>
      <w:r w:rsidRPr="00B40F77">
        <w:t>, in M.</w:t>
      </w:r>
      <w:r w:rsidR="001752B7" w:rsidRPr="00B40F77">
        <w:t> </w:t>
      </w:r>
      <w:r w:rsidRPr="00B40F77">
        <w:t>Stuart Madden, ed.</w:t>
      </w:r>
      <w:r w:rsidR="00FC74D0" w:rsidRPr="00B40F77">
        <w:t>,</w:t>
      </w:r>
      <w:r w:rsidRPr="00B40F77">
        <w:t xml:space="preserve"> </w:t>
      </w:r>
      <w:r w:rsidRPr="00B40F77">
        <w:rPr>
          <w:i/>
        </w:rPr>
        <w:t>Exploring Tort Law</w:t>
      </w:r>
      <w:r w:rsidRPr="00B40F77">
        <w:t xml:space="preserve">. </w:t>
      </w:r>
      <w:r w:rsidRPr="00B40F77">
        <w:rPr>
          <w:lang w:val="fr-CA"/>
        </w:rPr>
        <w:t>New York</w:t>
      </w:r>
      <w:r w:rsidR="00297E63" w:rsidRPr="00B40F77">
        <w:rPr>
          <w:lang w:val="fr-CA"/>
        </w:rPr>
        <w:t>,</w:t>
      </w:r>
      <w:r w:rsidRPr="00B40F77">
        <w:rPr>
          <w:lang w:val="fr-CA"/>
        </w:rPr>
        <w:t xml:space="preserve"> Cambridge University Press, 2005</w:t>
      </w:r>
      <w:r w:rsidR="00297E63" w:rsidRPr="00B40F77">
        <w:rPr>
          <w:lang w:val="fr-CA"/>
        </w:rPr>
        <w:t>, 143</w:t>
      </w:r>
      <w:r w:rsidRPr="00B40F77">
        <w:rPr>
          <w:lang w:val="fr-CA"/>
        </w:rPr>
        <w:t>.</w:t>
      </w:r>
    </w:p>
    <w:p w:rsidR="004D7D95" w:rsidRPr="00B40F77" w:rsidRDefault="00A92381" w:rsidP="00CB7ABA">
      <w:pPr>
        <w:pStyle w:val="SCCNormalDoubleSpacing"/>
        <w:spacing w:before="480" w:after="480"/>
        <w:rPr>
          <w:szCs w:val="24"/>
          <w:lang w:val="fr-CA"/>
        </w:rPr>
      </w:pPr>
      <w:r w:rsidRPr="00B40F77">
        <w:rPr>
          <w:lang w:val="fr-CA"/>
        </w:rPr>
        <w:tab/>
      </w:r>
      <w:r w:rsidR="004D7D95" w:rsidRPr="00B40F77">
        <w:rPr>
          <w:lang w:val="fr-CA"/>
        </w:rPr>
        <w:t>POURVOI contre un arrêt de la Cour d</w:t>
      </w:r>
      <w:r w:rsidR="00982E62" w:rsidRPr="00B40F77">
        <w:rPr>
          <w:lang w:val="fr-CA"/>
        </w:rPr>
        <w:t>’</w:t>
      </w:r>
      <w:r w:rsidR="004D7D95" w:rsidRPr="00B40F77">
        <w:rPr>
          <w:lang w:val="fr-CA"/>
        </w:rPr>
        <w:t>appel de l</w:t>
      </w:r>
      <w:r w:rsidR="00982E62" w:rsidRPr="00B40F77">
        <w:rPr>
          <w:lang w:val="fr-CA"/>
        </w:rPr>
        <w:t>’</w:t>
      </w:r>
      <w:r w:rsidR="004D7D95" w:rsidRPr="00B40F77">
        <w:rPr>
          <w:lang w:val="fr-CA"/>
        </w:rPr>
        <w:t>Ontario</w:t>
      </w:r>
      <w:r w:rsidR="00F74B13" w:rsidRPr="00B40F77">
        <w:rPr>
          <w:lang w:val="fr-CA"/>
        </w:rPr>
        <w:t xml:space="preserve"> (le juge en chef Strathy et les juges Brown et Huscroft), </w:t>
      </w:r>
      <w:r w:rsidR="008E7CDB" w:rsidRPr="00B40F77">
        <w:rPr>
          <w:lang w:val="fr-CA"/>
        </w:rPr>
        <w:t xml:space="preserve">2016 ONCA 718, 403 D.L.R. (4th) 408, 32 C.C.L.T. (4th) 245, [2016] O.J. </w:t>
      </w:r>
      <w:r w:rsidR="00982E62" w:rsidRPr="00B40F77">
        <w:rPr>
          <w:lang w:val="fr-CA"/>
        </w:rPr>
        <w:t>No. </w:t>
      </w:r>
      <w:r w:rsidR="008E7CDB" w:rsidRPr="00B40F77">
        <w:rPr>
          <w:lang w:val="fr-CA"/>
        </w:rPr>
        <w:t>5082 (QL), 2016 CarswellOnt 15069 (WL Can.)</w:t>
      </w:r>
      <w:r w:rsidR="007D42E4" w:rsidRPr="00B40F77">
        <w:rPr>
          <w:szCs w:val="24"/>
          <w:lang w:val="fr-CA"/>
        </w:rPr>
        <w:t>,</w:t>
      </w:r>
      <w:r w:rsidR="007D42E4" w:rsidRPr="00B40F77">
        <w:rPr>
          <w:sz w:val="21"/>
          <w:szCs w:val="21"/>
          <w:lang w:val="fr-CA"/>
        </w:rPr>
        <w:t xml:space="preserve"> </w:t>
      </w:r>
      <w:r w:rsidR="007D42E4" w:rsidRPr="00B40F77">
        <w:rPr>
          <w:lang w:val="fr-CA"/>
        </w:rPr>
        <w:t xml:space="preserve">qui a confirmé une décision de la </w:t>
      </w:r>
      <w:r w:rsidR="00E87506" w:rsidRPr="00B40F77">
        <w:rPr>
          <w:lang w:val="fr-CA"/>
        </w:rPr>
        <w:t>juge Morissette</w:t>
      </w:r>
      <w:r w:rsidR="00EE1161" w:rsidRPr="00B40F77">
        <w:rPr>
          <w:lang w:val="fr-CA"/>
        </w:rPr>
        <w:t xml:space="preserve">, </w:t>
      </w:r>
      <w:r w:rsidR="00E40989" w:rsidRPr="00B40F77">
        <w:rPr>
          <w:lang w:val="fr-CA"/>
        </w:rPr>
        <w:t xml:space="preserve">siégeant avec un jury, datée du </w:t>
      </w:r>
      <w:r w:rsidR="00E40989" w:rsidRPr="00B40F77">
        <w:rPr>
          <w:lang w:val="fr-CA"/>
        </w:rPr>
        <w:lastRenderedPageBreak/>
        <w:t>25</w:t>
      </w:r>
      <w:r w:rsidR="00487628" w:rsidRPr="00B40F77">
        <w:rPr>
          <w:lang w:val="fr-CA"/>
        </w:rPr>
        <w:t> </w:t>
      </w:r>
      <w:r w:rsidR="00E40989" w:rsidRPr="00B40F77">
        <w:rPr>
          <w:lang w:val="fr-CA"/>
        </w:rPr>
        <w:t>septembre 2014, sur la question de l</w:t>
      </w:r>
      <w:r w:rsidR="00982E62" w:rsidRPr="00B40F77">
        <w:rPr>
          <w:lang w:val="fr-CA"/>
        </w:rPr>
        <w:t>’</w:t>
      </w:r>
      <w:r w:rsidR="00E40989" w:rsidRPr="00B40F77">
        <w:rPr>
          <w:lang w:val="fr-CA"/>
        </w:rPr>
        <w:t>obligation de diligence, et le verdict du jury sur la question de la responsabilité.</w:t>
      </w:r>
      <w:r w:rsidR="00E40989" w:rsidRPr="00B40F77">
        <w:rPr>
          <w:sz w:val="21"/>
          <w:szCs w:val="21"/>
          <w:lang w:val="fr-CA"/>
        </w:rPr>
        <w:t xml:space="preserve"> </w:t>
      </w:r>
      <w:r w:rsidR="00E40989" w:rsidRPr="00B40F77">
        <w:rPr>
          <w:szCs w:val="24"/>
          <w:lang w:val="fr-CA"/>
        </w:rPr>
        <w:t>Pourvoi accueilli, les juges Gascon et Brown sont dissidents</w:t>
      </w:r>
      <w:r w:rsidR="00D94326" w:rsidRPr="00B40F77">
        <w:rPr>
          <w:szCs w:val="24"/>
          <w:lang w:val="fr-CA"/>
        </w:rPr>
        <w:t>.</w:t>
      </w:r>
      <w:r w:rsidR="007D42E4" w:rsidRPr="00B40F77">
        <w:rPr>
          <w:szCs w:val="24"/>
          <w:lang w:val="fr-CA"/>
        </w:rPr>
        <w:t xml:space="preserve"> </w:t>
      </w:r>
    </w:p>
    <w:p w:rsidR="00543C6F" w:rsidRPr="00B40F77" w:rsidRDefault="00A24078" w:rsidP="00CB7ABA">
      <w:pPr>
        <w:pStyle w:val="SCCNormalDoubleSpacing"/>
        <w:spacing w:before="480" w:after="480"/>
        <w:rPr>
          <w:lang w:val="fr-CA"/>
        </w:rPr>
      </w:pPr>
      <w:r w:rsidRPr="00B40F77">
        <w:rPr>
          <w:rStyle w:val="SCCCounselNameChar"/>
          <w:lang w:val="fr-CA"/>
        </w:rPr>
        <w:tab/>
      </w:r>
      <w:r w:rsidR="001752B7" w:rsidRPr="00B40F77">
        <w:rPr>
          <w:rStyle w:val="SCCCounselNameChar"/>
          <w:lang w:val="fr-CA"/>
        </w:rPr>
        <w:t>David </w:t>
      </w:r>
      <w:r w:rsidRPr="00B40F77">
        <w:rPr>
          <w:rStyle w:val="SCCCounselNameChar"/>
          <w:lang w:val="fr-CA"/>
        </w:rPr>
        <w:t>S. Young</w:t>
      </w:r>
      <w:r w:rsidRPr="00B40F77">
        <w:rPr>
          <w:rStyle w:val="SCCCounselSeparatorChar"/>
          <w:lang w:val="fr-CA"/>
        </w:rPr>
        <w:t xml:space="preserve">, </w:t>
      </w:r>
      <w:r w:rsidR="001752B7" w:rsidRPr="00B40F77">
        <w:rPr>
          <w:rStyle w:val="SCCCounselNameChar"/>
          <w:lang w:val="fr-CA"/>
        </w:rPr>
        <w:t>Kevin </w:t>
      </w:r>
      <w:r w:rsidR="003564AB" w:rsidRPr="00B40F77">
        <w:rPr>
          <w:rStyle w:val="SCCCounselNameChar"/>
          <w:lang w:val="fr-CA"/>
        </w:rPr>
        <w:t>R. Bride</w:t>
      </w:r>
      <w:r w:rsidR="00E20240" w:rsidRPr="00B40F77">
        <w:rPr>
          <w:rStyle w:val="SCCCounselNameChar"/>
          <w:lang w:val="fr-CA"/>
        </w:rPr>
        <w:t>l</w:t>
      </w:r>
      <w:r w:rsidR="003564AB" w:rsidRPr="00B40F77">
        <w:rPr>
          <w:rStyle w:val="SCCCounselNameChar"/>
          <w:i w:val="0"/>
          <w:lang w:val="fr-CA"/>
        </w:rPr>
        <w:t xml:space="preserve">, </w:t>
      </w:r>
      <w:r w:rsidR="003564AB" w:rsidRPr="00B40F77">
        <w:rPr>
          <w:rStyle w:val="SCCCounselNameChar"/>
          <w:lang w:val="fr-CA"/>
        </w:rPr>
        <w:t>Cory Giordano</w:t>
      </w:r>
      <w:r w:rsidR="003564AB" w:rsidRPr="00B40F77">
        <w:rPr>
          <w:rStyle w:val="SCCCounselPartyRoleChar"/>
          <w:lang w:val="fr-CA"/>
        </w:rPr>
        <w:t xml:space="preserve"> </w:t>
      </w:r>
      <w:r w:rsidRPr="00B40F77">
        <w:rPr>
          <w:rStyle w:val="SCCCounselSeparatorChar"/>
          <w:lang w:val="fr-CA"/>
        </w:rPr>
        <w:t xml:space="preserve">et </w:t>
      </w:r>
      <w:r w:rsidR="003564AB" w:rsidRPr="00B40F77">
        <w:rPr>
          <w:rStyle w:val="SCCCounselPartyRoleChar"/>
          <w:i/>
          <w:lang w:val="fr-CA"/>
        </w:rPr>
        <w:t>Marie</w:t>
      </w:r>
      <w:r w:rsidR="00982E62" w:rsidRPr="00B40F77">
        <w:rPr>
          <w:rStyle w:val="SCCCounselPartyRoleChar"/>
          <w:i/>
          <w:lang w:val="fr-CA"/>
        </w:rPr>
        <w:noBreakHyphen/>
      </w:r>
      <w:r w:rsidR="003564AB" w:rsidRPr="00B40F77">
        <w:rPr>
          <w:rStyle w:val="SCCCounselPartyRoleChar"/>
          <w:i/>
          <w:lang w:val="fr-CA"/>
        </w:rPr>
        <w:t>France Major</w:t>
      </w:r>
      <w:r w:rsidR="00C47D50" w:rsidRPr="00B40F77">
        <w:rPr>
          <w:rStyle w:val="SCCCounselPartyRoleChar"/>
          <w:lang w:val="fr-CA"/>
        </w:rPr>
        <w:t>,</w:t>
      </w:r>
      <w:r w:rsidR="003564AB" w:rsidRPr="00B40F77">
        <w:rPr>
          <w:rStyle w:val="SCCCounselPartyRoleChar"/>
          <w:lang w:val="fr-CA"/>
        </w:rPr>
        <w:t xml:space="preserve"> </w:t>
      </w:r>
      <w:r w:rsidRPr="00B40F77">
        <w:rPr>
          <w:rStyle w:val="SCCCounselPartyRoleChar"/>
          <w:lang w:val="fr-CA"/>
        </w:rPr>
        <w:t>pour l</w:t>
      </w:r>
      <w:r w:rsidR="00982E62" w:rsidRPr="00B40F77">
        <w:rPr>
          <w:rStyle w:val="SCCCounselPartyRoleChar"/>
          <w:lang w:val="fr-CA"/>
        </w:rPr>
        <w:t>’</w:t>
      </w:r>
      <w:r w:rsidR="003564AB" w:rsidRPr="00B40F77">
        <w:rPr>
          <w:rStyle w:val="SCCCounselPartyRoleChar"/>
          <w:lang w:val="fr-CA"/>
        </w:rPr>
        <w:t>appelant</w:t>
      </w:r>
      <w:r w:rsidRPr="00B40F77">
        <w:rPr>
          <w:rStyle w:val="SCCCounselPartyRoleChar"/>
          <w:lang w:val="fr-CA"/>
        </w:rPr>
        <w:t>.</w:t>
      </w:r>
    </w:p>
    <w:p w:rsidR="00543C6F" w:rsidRPr="00B40F77" w:rsidRDefault="006D1629" w:rsidP="00CB7ABA">
      <w:pPr>
        <w:pStyle w:val="SCCNormalDoubleSpacing"/>
        <w:spacing w:before="480" w:after="480"/>
        <w:rPr>
          <w:lang w:val="fr-CA"/>
        </w:rPr>
      </w:pPr>
      <w:r w:rsidRPr="00B40F77">
        <w:rPr>
          <w:rStyle w:val="SCCCounselNameChar"/>
          <w:lang w:val="fr-CA"/>
        </w:rPr>
        <w:tab/>
        <w:t xml:space="preserve">Maia </w:t>
      </w:r>
      <w:r w:rsidR="00A24078" w:rsidRPr="00B40F77">
        <w:rPr>
          <w:rStyle w:val="SCCCounselNameChar"/>
          <w:lang w:val="fr-CA"/>
        </w:rPr>
        <w:t>Bent</w:t>
      </w:r>
      <w:r w:rsidR="00A24078" w:rsidRPr="00B40F77">
        <w:rPr>
          <w:rStyle w:val="SCCCounselSeparatorChar"/>
          <w:lang w:val="fr-CA"/>
        </w:rPr>
        <w:t xml:space="preserve">, </w:t>
      </w:r>
      <w:r w:rsidRPr="00B40F77">
        <w:rPr>
          <w:rStyle w:val="SCCCounselNameChar"/>
          <w:lang w:val="fr-CA"/>
        </w:rPr>
        <w:t>Cynthia</w:t>
      </w:r>
      <w:r w:rsidR="001752B7" w:rsidRPr="00B40F77">
        <w:rPr>
          <w:rStyle w:val="SCCCounselNameChar"/>
          <w:lang w:val="fr-CA"/>
        </w:rPr>
        <w:t> </w:t>
      </w:r>
      <w:r w:rsidRPr="00B40F77">
        <w:rPr>
          <w:rStyle w:val="SCCCounselNameChar"/>
          <w:lang w:val="fr-CA"/>
        </w:rPr>
        <w:t>B. Kuehl</w:t>
      </w:r>
      <w:r w:rsidRPr="00B40F77">
        <w:rPr>
          <w:rStyle w:val="SCCCounselNameChar"/>
          <w:i w:val="0"/>
          <w:lang w:val="fr-CA"/>
        </w:rPr>
        <w:t xml:space="preserve"> et</w:t>
      </w:r>
      <w:r w:rsidRPr="00B40F77">
        <w:rPr>
          <w:rStyle w:val="SCCCounselNameChar"/>
          <w:lang w:val="fr-CA"/>
        </w:rPr>
        <w:t xml:space="preserve"> </w:t>
      </w:r>
      <w:r w:rsidR="001752B7" w:rsidRPr="00B40F77">
        <w:rPr>
          <w:rStyle w:val="SCCCounselNameChar"/>
          <w:lang w:val="fr-CA"/>
        </w:rPr>
        <w:t>Alfonso </w:t>
      </w:r>
      <w:r w:rsidR="00A24078" w:rsidRPr="00B40F77">
        <w:rPr>
          <w:rStyle w:val="SCCCounselNameChar"/>
          <w:lang w:val="fr-CA"/>
        </w:rPr>
        <w:t>E. Campos Reales</w:t>
      </w:r>
      <w:r w:rsidR="009A0B4E" w:rsidRPr="00B40F77">
        <w:rPr>
          <w:rStyle w:val="SCCCounselNameChar"/>
          <w:i w:val="0"/>
          <w:lang w:val="fr-CA"/>
        </w:rPr>
        <w:t>,</w:t>
      </w:r>
      <w:r w:rsidRPr="00B40F77">
        <w:rPr>
          <w:rStyle w:val="SCCCounselSeparatorChar"/>
          <w:lang w:val="fr-CA"/>
        </w:rPr>
        <w:t xml:space="preserve"> </w:t>
      </w:r>
      <w:r w:rsidR="00A24078" w:rsidRPr="00B40F77">
        <w:rPr>
          <w:rStyle w:val="SCCCounselPartyRoleChar"/>
          <w:lang w:val="fr-CA"/>
        </w:rPr>
        <w:t>pour l</w:t>
      </w:r>
      <w:r w:rsidR="0079252A" w:rsidRPr="00B40F77">
        <w:rPr>
          <w:rStyle w:val="SCCCounselPartyRoleChar"/>
          <w:lang w:val="fr-CA"/>
        </w:rPr>
        <w:t xml:space="preserve">es </w:t>
      </w:r>
      <w:r w:rsidRPr="00B40F77">
        <w:rPr>
          <w:rStyle w:val="SCCCounselPartyRoleChar"/>
          <w:lang w:val="fr-CA"/>
        </w:rPr>
        <w:t>intimé</w:t>
      </w:r>
      <w:r w:rsidR="0079252A" w:rsidRPr="00B40F77">
        <w:rPr>
          <w:rStyle w:val="SCCCounselPartyRoleChar"/>
          <w:lang w:val="fr-CA"/>
        </w:rPr>
        <w:t>s</w:t>
      </w:r>
      <w:r w:rsidRPr="00B40F77">
        <w:rPr>
          <w:rStyle w:val="SCCCounselPartyRoleChar"/>
          <w:lang w:val="fr-CA"/>
        </w:rPr>
        <w:t xml:space="preserve"> J.J.</w:t>
      </w:r>
      <w:r w:rsidR="00FA03F2" w:rsidRPr="00B40F77">
        <w:rPr>
          <w:rStyle w:val="SCCCounselPartyRoleChar"/>
          <w:lang w:val="fr-CA"/>
        </w:rPr>
        <w:t>,</w:t>
      </w:r>
      <w:r w:rsidRPr="00B40F77">
        <w:rPr>
          <w:rStyle w:val="SCCCounselPartyRoleChar"/>
          <w:lang w:val="fr-CA"/>
        </w:rPr>
        <w:t xml:space="preserve"> représenté par s</w:t>
      </w:r>
      <w:r w:rsidR="00EE1161" w:rsidRPr="00B40F77">
        <w:rPr>
          <w:rStyle w:val="SCCCounselPartyRoleChar"/>
          <w:lang w:val="fr-CA"/>
        </w:rPr>
        <w:t xml:space="preserve">on </w:t>
      </w:r>
      <w:r w:rsidR="005A3020" w:rsidRPr="00B40F77">
        <w:rPr>
          <w:rStyle w:val="SCCCounselPartyRoleChar"/>
          <w:lang w:val="fr-CA"/>
        </w:rPr>
        <w:t>tut</w:t>
      </w:r>
      <w:r w:rsidR="00EE1161" w:rsidRPr="00B40F77">
        <w:rPr>
          <w:rStyle w:val="SCCCounselPartyRoleChar"/>
          <w:lang w:val="fr-CA"/>
        </w:rPr>
        <w:t>eur</w:t>
      </w:r>
      <w:r w:rsidRPr="00B40F77">
        <w:rPr>
          <w:rStyle w:val="SCCCounselPartyRoleChar"/>
          <w:lang w:val="fr-CA"/>
        </w:rPr>
        <w:t xml:space="preserve"> à l</w:t>
      </w:r>
      <w:r w:rsidR="00982E62" w:rsidRPr="00B40F77">
        <w:rPr>
          <w:rStyle w:val="SCCCounselPartyRoleChar"/>
          <w:lang w:val="fr-CA"/>
        </w:rPr>
        <w:t>’</w:t>
      </w:r>
      <w:r w:rsidRPr="00B40F77">
        <w:rPr>
          <w:rStyle w:val="SCCCounselPartyRoleChar"/>
          <w:lang w:val="fr-CA"/>
        </w:rPr>
        <w:t xml:space="preserve">instance, J.A.J., J.A.J. et A.J. </w:t>
      </w:r>
    </w:p>
    <w:p w:rsidR="00543C6F" w:rsidRPr="00B40F77" w:rsidRDefault="00A24078" w:rsidP="00CB7ABA">
      <w:pPr>
        <w:pStyle w:val="SCCNormalDoubleSpacing"/>
        <w:spacing w:before="480" w:after="480"/>
        <w:rPr>
          <w:lang w:val="fr-CA"/>
        </w:rPr>
      </w:pPr>
      <w:r w:rsidRPr="00B40F77">
        <w:rPr>
          <w:rStyle w:val="SCCCounselNameChar"/>
          <w:lang w:val="fr-CA"/>
        </w:rPr>
        <w:tab/>
        <w:t>Jennifer Chapman</w:t>
      </w:r>
      <w:r w:rsidRPr="00B40F77">
        <w:rPr>
          <w:rStyle w:val="SCCCounselSeparatorChar"/>
          <w:lang w:val="fr-CA"/>
        </w:rPr>
        <w:t xml:space="preserve"> et </w:t>
      </w:r>
      <w:r w:rsidRPr="00B40F77">
        <w:rPr>
          <w:rStyle w:val="SCCCounselNameChar"/>
          <w:lang w:val="fr-CA"/>
        </w:rPr>
        <w:t>John Friendly</w:t>
      </w:r>
      <w:r w:rsidRPr="00B40F77">
        <w:rPr>
          <w:rStyle w:val="SCCCounselPartyRoleChar"/>
          <w:lang w:val="fr-CA"/>
        </w:rPr>
        <w:t>, pour l</w:t>
      </w:r>
      <w:r w:rsidR="00982E62" w:rsidRPr="00B40F77">
        <w:rPr>
          <w:rStyle w:val="SCCCounselPartyRoleChar"/>
          <w:lang w:val="fr-CA"/>
        </w:rPr>
        <w:t>’</w:t>
      </w:r>
      <w:r w:rsidRPr="00B40F77">
        <w:rPr>
          <w:rStyle w:val="SCCCounselPartyRoleChar"/>
          <w:lang w:val="fr-CA"/>
        </w:rPr>
        <w:t>intimé</w:t>
      </w:r>
      <w:r w:rsidR="006D1629" w:rsidRPr="00B40F77">
        <w:rPr>
          <w:rStyle w:val="SCCCounselPartyRoleChar"/>
          <w:lang w:val="fr-CA"/>
        </w:rPr>
        <w:t xml:space="preserve"> C.C.</w:t>
      </w:r>
    </w:p>
    <w:p w:rsidR="00543C6F" w:rsidRPr="00B40F77" w:rsidRDefault="00A24078" w:rsidP="00CB7ABA">
      <w:pPr>
        <w:pStyle w:val="SCCNormalDoubleSpacing"/>
        <w:spacing w:before="480" w:after="480"/>
        <w:rPr>
          <w:lang w:val="en-US"/>
        </w:rPr>
      </w:pPr>
      <w:r w:rsidRPr="00B40F77">
        <w:rPr>
          <w:rStyle w:val="SCCCounselNameChar"/>
          <w:lang w:val="fr-CA"/>
        </w:rPr>
        <w:tab/>
      </w:r>
      <w:r w:rsidRPr="00B40F77">
        <w:rPr>
          <w:rStyle w:val="SCCCounselNameChar"/>
          <w:lang w:val="en-US"/>
        </w:rPr>
        <w:t>Gavin MacKenzie</w:t>
      </w:r>
      <w:r w:rsidRPr="00B40F77">
        <w:rPr>
          <w:rStyle w:val="SCCCounselSeparatorChar"/>
          <w:lang w:val="en-US"/>
        </w:rPr>
        <w:t xml:space="preserve"> et </w:t>
      </w:r>
      <w:r w:rsidRPr="00B40F77">
        <w:rPr>
          <w:rStyle w:val="SCCCounselNameChar"/>
          <w:lang w:val="en-US"/>
        </w:rPr>
        <w:t>Brooke MacKenzie</w:t>
      </w:r>
      <w:r w:rsidRPr="00B40F77">
        <w:rPr>
          <w:rStyle w:val="SCCCounselPartyRoleChar"/>
          <w:lang w:val="en-US"/>
        </w:rPr>
        <w:t>, pour l</w:t>
      </w:r>
      <w:r w:rsidR="00982E62" w:rsidRPr="00B40F77">
        <w:rPr>
          <w:rStyle w:val="SCCCounselPartyRoleChar"/>
          <w:lang w:val="en-US"/>
        </w:rPr>
        <w:t>’</w:t>
      </w:r>
      <w:r w:rsidR="0079252A" w:rsidRPr="00B40F77">
        <w:rPr>
          <w:rStyle w:val="SCCCounselPartyRoleChar"/>
          <w:lang w:val="en-US"/>
        </w:rPr>
        <w:t>intervenante</w:t>
      </w:r>
      <w:r w:rsidRPr="00B40F77">
        <w:rPr>
          <w:rStyle w:val="SCCCounselPartyRoleChar"/>
          <w:lang w:val="en-US"/>
        </w:rPr>
        <w:t xml:space="preserve"> Ontario Trial Lawyers Association.</w:t>
      </w:r>
    </w:p>
    <w:p w:rsidR="00543C6F" w:rsidRDefault="00A24078" w:rsidP="00D94326">
      <w:pPr>
        <w:pStyle w:val="SCCNormalDoubleSpacing"/>
        <w:spacing w:before="480" w:after="480"/>
        <w:rPr>
          <w:rStyle w:val="SCCCounselPartyRoleChar"/>
          <w:lang w:val="en-US"/>
        </w:rPr>
      </w:pPr>
      <w:r w:rsidRPr="00B40F77">
        <w:rPr>
          <w:rStyle w:val="SCCCounselNameChar"/>
          <w:lang w:val="en-US"/>
        </w:rPr>
        <w:tab/>
      </w:r>
      <w:r w:rsidR="001752B7" w:rsidRPr="00B40F77">
        <w:rPr>
          <w:rStyle w:val="SCCCounselNameChar"/>
        </w:rPr>
        <w:t>Bryn </w:t>
      </w:r>
      <w:r w:rsidR="0079252A" w:rsidRPr="00B40F77">
        <w:rPr>
          <w:rStyle w:val="SCCCounselNameChar"/>
        </w:rPr>
        <w:t>E. Gray</w:t>
      </w:r>
      <w:r w:rsidR="0079252A" w:rsidRPr="00B40F77">
        <w:rPr>
          <w:rStyle w:val="SCCCounselPartyRoleChar"/>
        </w:rPr>
        <w:t xml:space="preserve">, </w:t>
      </w:r>
      <w:r w:rsidR="0079252A" w:rsidRPr="00B40F77">
        <w:rPr>
          <w:rStyle w:val="SCCCounselPartyRoleChar"/>
          <w:i/>
        </w:rPr>
        <w:t>Mary Birdsell</w:t>
      </w:r>
      <w:r w:rsidR="0079252A" w:rsidRPr="00B40F77">
        <w:rPr>
          <w:rStyle w:val="SCCCounselPartyRoleChar"/>
        </w:rPr>
        <w:t xml:space="preserve"> et </w:t>
      </w:r>
      <w:r w:rsidR="0079252A" w:rsidRPr="00B40F77">
        <w:rPr>
          <w:rStyle w:val="SCCCounselPartyRoleChar"/>
          <w:i/>
        </w:rPr>
        <w:t>Carole Piovesan</w:t>
      </w:r>
      <w:r w:rsidRPr="00B40F77">
        <w:rPr>
          <w:rStyle w:val="SCCCounselPartyRoleChar"/>
          <w:lang w:val="en-US"/>
        </w:rPr>
        <w:t>, pour l</w:t>
      </w:r>
      <w:r w:rsidR="00982E62" w:rsidRPr="00B40F77">
        <w:rPr>
          <w:rStyle w:val="SCCCounselPartyRoleChar"/>
          <w:lang w:val="en-US"/>
        </w:rPr>
        <w:t>’</w:t>
      </w:r>
      <w:r w:rsidR="0079252A" w:rsidRPr="00B40F77">
        <w:rPr>
          <w:rStyle w:val="SCCCounselPartyRoleChar"/>
          <w:lang w:val="en-US"/>
        </w:rPr>
        <w:t>intervenante</w:t>
      </w:r>
      <w:r w:rsidRPr="00B40F77">
        <w:rPr>
          <w:rStyle w:val="SCCCounselPartyRoleChar"/>
          <w:lang w:val="en-US"/>
        </w:rPr>
        <w:t xml:space="preserve"> Justice for Children and Youth.</w:t>
      </w:r>
    </w:p>
    <w:p w:rsidR="003C5BAD" w:rsidRDefault="005229CB" w:rsidP="005229CB">
      <w:pPr>
        <w:pStyle w:val="SCCNormalDoubleSpacing"/>
        <w:spacing w:before="480" w:after="480"/>
        <w:rPr>
          <w:lang w:val="fr-CA"/>
        </w:rPr>
      </w:pPr>
      <w:r w:rsidRPr="00E003C2">
        <w:rPr>
          <w:lang w:val="en-US"/>
        </w:rPr>
        <w:tab/>
      </w:r>
      <w:r w:rsidR="003C5BAD" w:rsidRPr="00E040AD">
        <w:rPr>
          <w:lang w:val="fr-CA"/>
        </w:rPr>
        <w:t xml:space="preserve">Version française </w:t>
      </w:r>
      <w:r w:rsidR="003C5BAD">
        <w:rPr>
          <w:lang w:val="fr-CA"/>
        </w:rPr>
        <w:t>du jugement de la juge en chef McLachlin et des</w:t>
      </w:r>
      <w:r w:rsidR="003C5BAD" w:rsidRPr="00EA53E1">
        <w:rPr>
          <w:lang w:val="fr-CA"/>
        </w:rPr>
        <w:t xml:space="preserve"> juges </w:t>
      </w:r>
      <w:r w:rsidR="003C5BAD">
        <w:rPr>
          <w:lang w:val="fr-CA"/>
        </w:rPr>
        <w:t>Abella, Moldaver, Karakatsanis, Wagner, Côté et Rowe</w:t>
      </w:r>
      <w:r w:rsidR="003C5BAD" w:rsidRPr="00EA53E1">
        <w:rPr>
          <w:lang w:val="fr-CA"/>
        </w:rPr>
        <w:t xml:space="preserve"> rendu par </w:t>
      </w:r>
    </w:p>
    <w:p w:rsidR="003C5BAD" w:rsidRPr="00160B0D" w:rsidRDefault="005229CB" w:rsidP="005229CB">
      <w:pPr>
        <w:pStyle w:val="ParaNoNdepar-AltN"/>
        <w:rPr>
          <w:lang w:val="fr-CA"/>
        </w:rPr>
      </w:pPr>
      <w:r w:rsidRPr="005229CB">
        <w:rPr>
          <w:smallCaps/>
          <w:lang w:val="fr-CA"/>
        </w:rPr>
        <w:t>La juge Karakatsanis</w:t>
      </w:r>
      <w:r>
        <w:rPr>
          <w:lang w:val="fr-CA"/>
        </w:rPr>
        <w:t xml:space="preserve"> </w:t>
      </w:r>
      <w:r w:rsidRPr="005229CB">
        <w:rPr>
          <w:rFonts w:cs="Times New Roman"/>
          <w:lang w:val="fr-CA"/>
        </w:rPr>
        <w:t>—</w:t>
      </w:r>
      <w:r>
        <w:rPr>
          <w:rFonts w:cs="Times New Roman"/>
          <w:lang w:val="fr-CA"/>
        </w:rPr>
        <w:t xml:space="preserve"> </w:t>
      </w:r>
      <w:r w:rsidR="003C5BAD" w:rsidRPr="00160B0D">
        <w:rPr>
          <w:lang w:val="fr-CA"/>
        </w:rPr>
        <w:t>Un véhicule est volé dans un garage commercial. Le véhicule est impliqué dans un accident. Quelqu’un est blessé. L’entreprise a</w:t>
      </w:r>
      <w:r w:rsidR="003C5BAD" w:rsidRPr="00160B0D">
        <w:rPr>
          <w:lang w:val="fr-CA"/>
        </w:rPr>
        <w:noBreakHyphen/>
        <w:t>t</w:t>
      </w:r>
      <w:r w:rsidR="003C5BAD" w:rsidRPr="00160B0D">
        <w:rPr>
          <w:lang w:val="fr-CA"/>
        </w:rPr>
        <w:noBreakHyphen/>
        <w:t>elle une obligation de diligence envers la pe</w:t>
      </w:r>
      <w:r w:rsidR="00FA74A3">
        <w:rPr>
          <w:lang w:val="fr-CA"/>
        </w:rPr>
        <w:t>rsonne qui a subi des blessures</w:t>
      </w:r>
      <w:r w:rsidR="003C5BAD" w:rsidRPr="00160B0D">
        <w:rPr>
          <w:lang w:val="fr-CA"/>
        </w:rPr>
        <w:t xml:space="preserve">? La question en litige dans le présent pourvoi est celle de savoir si les tribunaux d’instances inférieures ont commis une erreur en reconnaissant qu’une </w:t>
      </w:r>
      <w:r w:rsidR="003C5BAD" w:rsidRPr="00160B0D">
        <w:rPr>
          <w:lang w:val="fr-CA"/>
        </w:rPr>
        <w:lastRenderedPageBreak/>
        <w:t xml:space="preserve">obligation de diligence envers une personne ayant subi des blessures à la suite du vol d’un véhicule incombe à une entreprise qui entrepose des véhicules. </w:t>
      </w:r>
    </w:p>
    <w:p w:rsidR="003C5BAD" w:rsidRPr="00160B0D" w:rsidRDefault="003C5BAD" w:rsidP="003C5BAD">
      <w:pPr>
        <w:pStyle w:val="ParaNoNdepar-AltN"/>
        <w:rPr>
          <w:rFonts w:cs="Times New Roman"/>
          <w:lang w:val="fr-CA"/>
        </w:rPr>
      </w:pPr>
      <w:r w:rsidRPr="00160B0D">
        <w:rPr>
          <w:rFonts w:cs="Times New Roman"/>
          <w:lang w:val="fr-CA"/>
        </w:rPr>
        <w:t>À mon avis, on peut facilement trancher la présente affaire par une simple application des principes existants du droit de la responsabilité délictuelle. Cela exige de la rigueur sur le plan de l’analyse et un fondement factuel suffisant. Dans les circonstances de l’espèce, le demandeur n’a pas présenté assez d’éléments de preuve pour établir l’existence d’une obligation de diligence. S’il est vrai que le risque de vol était raisonnablement prévisible, la preuve ne démontre pas qu’il était prévisible que le véhicule volé pourrait être la cause de lésions corporelles. Dans l’affaire qui nous intéresse, aucun élément de preuve ne permet d’inférer que le véhicule volé pouvait être conduit de façon dangereuse et causer des blessures. En considérant la sécurité des automobiles entreposées au garage, une personne se trouvant dans la situation du propriétaire du garage défendeur n’avait aucune raison, au vu du dossier, de prévoir le risque de blessure. Je suis d’avis d’accueillir le pourvoi. Une entreprise ne sera tenue à une obligation envers la personne qui a subi des blessures à la suite du vol d’un véhicule que lorsque, en plus du vol, la conduite dangereuse du véhicule volé était raisonnablement prévisible.</w:t>
      </w:r>
    </w:p>
    <w:p w:rsidR="003C5BAD" w:rsidRPr="00160B0D" w:rsidRDefault="003C5BAD" w:rsidP="003C5BAD">
      <w:pPr>
        <w:pStyle w:val="Title1LevelTitre1Niveau-AltL"/>
        <w:spacing w:before="0"/>
        <w:rPr>
          <w:rFonts w:cs="Times New Roman"/>
          <w:lang w:val="fr-CA"/>
        </w:rPr>
      </w:pPr>
      <w:r w:rsidRPr="00160B0D">
        <w:rPr>
          <w:rFonts w:cs="Times New Roman"/>
          <w:lang w:val="fr-CA"/>
        </w:rPr>
        <w:t>Contexte</w:t>
      </w:r>
    </w:p>
    <w:p w:rsidR="003C5BAD" w:rsidRPr="00160B0D" w:rsidRDefault="003C5BAD" w:rsidP="003C5BAD">
      <w:pPr>
        <w:pStyle w:val="Title2LevelTitre2Niveau"/>
        <w:tabs>
          <w:tab w:val="clear" w:pos="576"/>
          <w:tab w:val="num" w:pos="3366"/>
        </w:tabs>
        <w:ind w:left="567" w:hanging="567"/>
        <w:rPr>
          <w:rFonts w:cs="Times New Roman"/>
          <w:lang w:val="fr-CA"/>
        </w:rPr>
      </w:pPr>
      <w:r w:rsidRPr="00160B0D">
        <w:rPr>
          <w:rFonts w:cs="Times New Roman"/>
          <w:lang w:val="fr-CA"/>
        </w:rPr>
        <w:t>Faits</w:t>
      </w:r>
    </w:p>
    <w:p w:rsidR="003C5BAD" w:rsidRPr="00160B0D" w:rsidRDefault="003C5BAD" w:rsidP="003C5BAD">
      <w:pPr>
        <w:pStyle w:val="ParaNoNdepar-AltN"/>
        <w:rPr>
          <w:rFonts w:cs="Times New Roman"/>
          <w:lang w:val="fr-CA"/>
        </w:rPr>
      </w:pPr>
      <w:r w:rsidRPr="00160B0D">
        <w:rPr>
          <w:rFonts w:cs="Times New Roman"/>
          <w:lang w:val="fr-CA"/>
        </w:rPr>
        <w:t xml:space="preserve">La présente affaire est le résultat d’une série d’événements tragiques. Un soir de juillet 2006, dans le petit village de Paisley, en Ontario, le demandeur J. (alors âgé de 15 ans) et son ami C. (qui avait à l’époque 16 ans) se trouvaient chez la mère de </w:t>
      </w:r>
      <w:r w:rsidRPr="00160B0D">
        <w:rPr>
          <w:rFonts w:cs="Times New Roman"/>
          <w:lang w:val="fr-CA"/>
        </w:rPr>
        <w:lastRenderedPageBreak/>
        <w:t xml:space="preserve">ce dernier. Les deux amis ont bu de l’alcool (dont une partie leur avait été fournie par la mère de C.) et ils ont fumé de la marihuana. </w:t>
      </w:r>
    </w:p>
    <w:p w:rsidR="003C5BAD" w:rsidRPr="00160B0D" w:rsidRDefault="003C5BAD" w:rsidP="003C5BAD">
      <w:pPr>
        <w:pStyle w:val="ParaNoNdepar-AltN"/>
        <w:rPr>
          <w:rFonts w:cs="Times New Roman"/>
          <w:lang w:val="fr-CA"/>
        </w:rPr>
      </w:pPr>
      <w:r w:rsidRPr="00160B0D">
        <w:rPr>
          <w:rFonts w:cs="Times New Roman"/>
          <w:lang w:val="fr-CA"/>
        </w:rPr>
        <w:t xml:space="preserve">Quelque temps après minuit, les adolescents sont sortis se promener dans le village avec l’intention de dérober des objets de valeur dans des voitures non verrouillées. Ils se sont retrouvés devant Rankin’s Garage &amp; Sales, un garage automobile qui est situé près de l’intersection principale de Paisley, et qui appartient à James Chadwick Rankin. Le terrain du garage n’était pas sécurisé et les adolescents ont commencé à parcourir le stationnement à la recherche de voitures non verrouillées. C. a trouvé une Toyota Camry non verrouillée garée derrière le garage. Il s’est introduit à l’intérieur du véhicule en question et a trouvé les clés dans le cendrier. Même s’il n’avait pas de permis de conduire et n’avait jamais conduit de voiture sur la route, C. a décidé de voler la voiture pour aller chercher un ami dans la ville voisine de Walkerton (Ontario). C. a dit à J. « embarque », ce que ce dernier a fait. </w:t>
      </w:r>
    </w:p>
    <w:p w:rsidR="003C5BAD" w:rsidRPr="00160B0D" w:rsidRDefault="003C5BAD" w:rsidP="003C5BAD">
      <w:pPr>
        <w:pStyle w:val="ParaNoNdepar-AltN"/>
        <w:rPr>
          <w:rFonts w:cs="Times New Roman"/>
          <w:lang w:val="fr-CA"/>
        </w:rPr>
      </w:pPr>
      <w:r w:rsidRPr="00160B0D">
        <w:rPr>
          <w:rFonts w:cs="Times New Roman"/>
          <w:lang w:val="fr-CA"/>
        </w:rPr>
        <w:t xml:space="preserve">L’adolescent de 16 ans a sorti la voiture du stationnement du garage et l’a conduite dans le village de Paisley avant de prendre la direction de Walkerton. Sur la grande route, l’automobile a fait l’objet d’un accident dans lequel J. a subi un grave traumatisme crânien. </w:t>
      </w:r>
    </w:p>
    <w:p w:rsidR="003C5BAD" w:rsidRPr="00160B0D" w:rsidRDefault="003C5BAD" w:rsidP="003C5BAD">
      <w:pPr>
        <w:pStyle w:val="ParaNoNdepar-AltN"/>
        <w:rPr>
          <w:rFonts w:cs="Times New Roman"/>
          <w:lang w:val="fr-CA"/>
        </w:rPr>
      </w:pPr>
      <w:r w:rsidRPr="00160B0D">
        <w:rPr>
          <w:rFonts w:cs="Times New Roman"/>
          <w:lang w:val="fr-CA"/>
        </w:rPr>
        <w:t>Par l’entremise de son tuteur à l’instance, J. a poursuivi Rankin’s Garage, son ami C. et la mère de ce dernier pour négligence. La question en litige dans le présent pourvoi est celle de savoir si Rankin’s Garage avait une obligation de diligence envers le demandeur.</w:t>
      </w:r>
    </w:p>
    <w:p w:rsidR="003C5BAD" w:rsidRPr="00160B0D" w:rsidRDefault="003C5BAD" w:rsidP="003C5BAD">
      <w:pPr>
        <w:pStyle w:val="Title2LevelTitre2Niveau"/>
        <w:tabs>
          <w:tab w:val="clear" w:pos="576"/>
          <w:tab w:val="num" w:pos="3366"/>
        </w:tabs>
        <w:ind w:left="567" w:hanging="567"/>
        <w:rPr>
          <w:rFonts w:cs="Times New Roman"/>
          <w:lang w:val="fr-CA"/>
        </w:rPr>
      </w:pPr>
      <w:r w:rsidRPr="00160B0D">
        <w:rPr>
          <w:rFonts w:cs="Times New Roman"/>
          <w:lang w:val="fr-CA"/>
        </w:rPr>
        <w:t>Historique judiciaire</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Au procès, la juge Morissette a conclu que Rankin’s Garage avait une obligation de diligence envers le demandeur : Cour supérieure de justice de l’Ontario, 25 septembre 2014. La juge du procès a conclu que des décisions antérieures avaient déjà établi l’existence d’une telle obligation. Elle a néanmoins procédé à une analyse pour déterminer s’il y avait lieu de reconnaître cette obligation. À son avis, le risque que J. subisse un préjudice était raisonnablement prévisible. Elle a fondé cette conclusion en partie sur le fait que M. Rankin savait qu’il avait l’obligation de sécuriser ses véhicules sur sa propriété et qu’il </w:t>
      </w:r>
      <w:r w:rsidRPr="00160B0D">
        <w:rPr>
          <w:rFonts w:cs="Times New Roman"/>
          <w:smallCaps/>
          <w:lang w:val="fr-CA"/>
        </w:rPr>
        <w:t>[traduction</w:t>
      </w:r>
      <w:r w:rsidRPr="00160B0D">
        <w:rPr>
          <w:rFonts w:cs="Times New Roman"/>
          <w:lang w:val="fr-CA"/>
        </w:rPr>
        <w:t xml:space="preserve">] « devait certainement être prévisible que des blessures pouvaient survenir si des adolescents en état d’ébriété se servaient d’un véhicule ». La juge du procès a ajouté qu’il n’y avait pas de raisons de principe qui écartaient l’obligation de diligence. </w:t>
      </w:r>
    </w:p>
    <w:p w:rsidR="003C5BAD" w:rsidRPr="00160B0D" w:rsidRDefault="003C5BAD" w:rsidP="003C5BAD">
      <w:pPr>
        <w:pStyle w:val="ParaNoNdepar-AltN"/>
        <w:rPr>
          <w:rFonts w:cs="Times New Roman"/>
          <w:lang w:val="fr-CA"/>
        </w:rPr>
      </w:pPr>
      <w:r w:rsidRPr="00160B0D">
        <w:rPr>
          <w:rFonts w:cs="Times New Roman"/>
          <w:lang w:val="fr-CA"/>
        </w:rPr>
        <w:t>Le jury a conclu que toutes les parties (y compris J. lui</w:t>
      </w:r>
      <w:r w:rsidRPr="00160B0D">
        <w:rPr>
          <w:rFonts w:cs="Times New Roman"/>
          <w:lang w:val="fr-CA"/>
        </w:rPr>
        <w:noBreakHyphen/>
        <w:t xml:space="preserve">même) avaient fait preuve de négligence et il a réparti la responsabilité comme suit : Rankin’s Garage, 37 pour </w:t>
      </w:r>
      <w:r w:rsidR="00C50E6F">
        <w:rPr>
          <w:rFonts w:cs="Times New Roman"/>
          <w:lang w:val="fr-CA"/>
        </w:rPr>
        <w:t>100</w:t>
      </w:r>
      <w:r w:rsidRPr="00160B0D">
        <w:rPr>
          <w:rFonts w:cs="Times New Roman"/>
          <w:lang w:val="fr-CA"/>
        </w:rPr>
        <w:t xml:space="preserve">; l’ami (C.), 23 pour </w:t>
      </w:r>
      <w:r w:rsidR="000F39C7">
        <w:rPr>
          <w:rFonts w:cs="Times New Roman"/>
          <w:lang w:val="fr-CA"/>
        </w:rPr>
        <w:t>100</w:t>
      </w:r>
      <w:r w:rsidRPr="00160B0D">
        <w:rPr>
          <w:rFonts w:cs="Times New Roman"/>
          <w:lang w:val="fr-CA"/>
        </w:rPr>
        <w:t xml:space="preserve">; la mère de C., 30 pour </w:t>
      </w:r>
      <w:r w:rsidR="000F39C7">
        <w:rPr>
          <w:rFonts w:cs="Times New Roman"/>
          <w:lang w:val="fr-CA"/>
        </w:rPr>
        <w:t>100</w:t>
      </w:r>
      <w:r w:rsidRPr="00160B0D">
        <w:rPr>
          <w:rFonts w:cs="Times New Roman"/>
          <w:lang w:val="fr-CA"/>
        </w:rPr>
        <w:t xml:space="preserve">; et, enfin, le demandeur (J.), 10 pour </w:t>
      </w:r>
      <w:r w:rsidR="000F39C7">
        <w:rPr>
          <w:rFonts w:cs="Times New Roman"/>
          <w:lang w:val="fr-CA"/>
        </w:rPr>
        <w:t>100</w:t>
      </w:r>
      <w:r w:rsidRPr="00160B0D">
        <w:rPr>
          <w:rFonts w:cs="Times New Roman"/>
          <w:lang w:val="fr-CA"/>
        </w:rPr>
        <w:t xml:space="preserve">. En ce qui concerne Rankin’s Garage, le jury a expliqué de la manière suivante le détail de sa conclusion de négligence : </w:t>
      </w:r>
    </w:p>
    <w:p w:rsidR="003C5BAD" w:rsidRPr="00160B0D" w:rsidRDefault="003C5BAD" w:rsidP="003C5BAD">
      <w:pPr>
        <w:pStyle w:val="Citation-AltC"/>
        <w:numPr>
          <w:ilvl w:val="0"/>
          <w:numId w:val="14"/>
        </w:numPr>
        <w:spacing w:after="0"/>
        <w:ind w:left="1208" w:hanging="357"/>
        <w:contextualSpacing w:val="0"/>
        <w:rPr>
          <w:lang w:val="fr-CA"/>
        </w:rPr>
      </w:pPr>
      <w:r w:rsidRPr="00160B0D">
        <w:rPr>
          <w:lang w:val="fr-CA"/>
        </w:rPr>
        <w:t>voiture non verrouillée;</w:t>
      </w:r>
    </w:p>
    <w:p w:rsidR="003C5BAD" w:rsidRPr="00160B0D" w:rsidRDefault="003C5BAD" w:rsidP="003C5BAD">
      <w:pPr>
        <w:pStyle w:val="Citation-AltC"/>
        <w:numPr>
          <w:ilvl w:val="0"/>
          <w:numId w:val="14"/>
        </w:numPr>
        <w:spacing w:after="0"/>
        <w:ind w:left="1208" w:hanging="357"/>
        <w:contextualSpacing w:val="0"/>
        <w:rPr>
          <w:lang w:val="fr-CA"/>
        </w:rPr>
      </w:pPr>
      <w:r w:rsidRPr="00160B0D">
        <w:rPr>
          <w:lang w:val="fr-CA"/>
        </w:rPr>
        <w:t>clés laissées à l’intérieur;</w:t>
      </w:r>
    </w:p>
    <w:p w:rsidR="003C5BAD" w:rsidRPr="00160B0D" w:rsidRDefault="003C5BAD" w:rsidP="003C5BAD">
      <w:pPr>
        <w:pStyle w:val="Citation-AltC"/>
        <w:numPr>
          <w:ilvl w:val="0"/>
          <w:numId w:val="14"/>
        </w:numPr>
        <w:spacing w:after="0"/>
        <w:ind w:left="1208" w:hanging="357"/>
        <w:contextualSpacing w:val="0"/>
        <w:rPr>
          <w:lang w:val="fr-CA"/>
        </w:rPr>
      </w:pPr>
      <w:r w:rsidRPr="00160B0D">
        <w:rPr>
          <w:lang w:val="fr-CA"/>
        </w:rPr>
        <w:t>connaissait ou aurait dû connaître le risque potentiel de vol;</w:t>
      </w:r>
    </w:p>
    <w:p w:rsidR="003C5BAD" w:rsidRPr="00160B0D" w:rsidRDefault="003C5BAD" w:rsidP="003C5BAD">
      <w:pPr>
        <w:pStyle w:val="Citation-AltC"/>
        <w:numPr>
          <w:ilvl w:val="0"/>
          <w:numId w:val="14"/>
        </w:numPr>
        <w:spacing w:after="0"/>
        <w:ind w:left="1208" w:hanging="357"/>
        <w:contextualSpacing w:val="0"/>
        <w:rPr>
          <w:lang w:val="fr-CA"/>
        </w:rPr>
      </w:pPr>
      <w:r w:rsidRPr="00160B0D">
        <w:rPr>
          <w:lang w:val="fr-CA"/>
        </w:rPr>
        <w:t>mesures de sécurité minimales;</w:t>
      </w:r>
    </w:p>
    <w:p w:rsidR="003C5BAD" w:rsidRPr="00160B0D" w:rsidRDefault="003C5BAD" w:rsidP="003C5BAD">
      <w:pPr>
        <w:pStyle w:val="Citation-AltC"/>
        <w:numPr>
          <w:ilvl w:val="0"/>
          <w:numId w:val="14"/>
        </w:numPr>
        <w:ind w:left="1208" w:hanging="357"/>
        <w:contextualSpacing w:val="0"/>
        <w:rPr>
          <w:lang w:val="fr-CA"/>
        </w:rPr>
      </w:pPr>
      <w:r w:rsidRPr="00160B0D">
        <w:rPr>
          <w:lang w:val="fr-CA"/>
        </w:rPr>
        <w:t>contradictions dans le témoignage.</w:t>
      </w:r>
    </w:p>
    <w:p w:rsidR="003C5BAD" w:rsidRPr="00160B0D" w:rsidRDefault="003C5BAD" w:rsidP="003C5BAD">
      <w:pPr>
        <w:pStyle w:val="ParaNoNdepar-AltN"/>
        <w:rPr>
          <w:rFonts w:cs="Times New Roman"/>
          <w:lang w:val="fr-CA"/>
        </w:rPr>
      </w:pPr>
      <w:r w:rsidRPr="00160B0D">
        <w:rPr>
          <w:rFonts w:cs="Times New Roman"/>
          <w:lang w:val="fr-CA"/>
        </w:rPr>
        <w:t xml:space="preserve">La Cour d’appel de l’Ontario a confirmé la conclusion de la juge du procès suivant laquelle Rankin’s Garage avait une obligation de diligence envers le demandeur. S’exprimant au nom de la Cour d’appel, le juge Huscroft a déclaré que la juge du procès avait commis une erreur en concluant que l’existence d’une obligation </w:t>
      </w:r>
      <w:r w:rsidRPr="00160B0D">
        <w:rPr>
          <w:rFonts w:cs="Times New Roman"/>
          <w:lang w:val="fr-CA"/>
        </w:rPr>
        <w:lastRenderedPageBreak/>
        <w:t xml:space="preserve">de diligence avait déjà été reconnue par la jurisprudence. La Cour d’appel a par conséquent procédé à une analyse exhaustive de cette obligation en suivant le test énoncé dans </w:t>
      </w:r>
      <w:r w:rsidRPr="00160B0D">
        <w:rPr>
          <w:rFonts w:cs="Times New Roman"/>
          <w:lang w:val="fr-FR"/>
        </w:rPr>
        <w:t xml:space="preserve">l’arrêt </w:t>
      </w:r>
      <w:r w:rsidRPr="00160B0D">
        <w:rPr>
          <w:rFonts w:cs="Times New Roman"/>
          <w:i/>
          <w:iCs/>
          <w:lang w:val="fr-FR"/>
        </w:rPr>
        <w:t>Anns c. Merton London Borough Council</w:t>
      </w:r>
      <w:r w:rsidRPr="00160B0D">
        <w:rPr>
          <w:rFonts w:cs="Times New Roman"/>
          <w:lang w:val="fr-FR"/>
        </w:rPr>
        <w:t xml:space="preserve">, </w:t>
      </w:r>
      <w:r w:rsidRPr="00160B0D">
        <w:rPr>
          <w:rStyle w:val="reflex3-alt"/>
          <w:rFonts w:cs="Times New Roman"/>
          <w:lang w:val="fr-FR"/>
        </w:rPr>
        <w:t xml:space="preserve">[1978] A.C. 728, puis confirmé et appliqué dans l’arrêt </w:t>
      </w:r>
      <w:r w:rsidRPr="00160B0D">
        <w:rPr>
          <w:rFonts w:cs="Times New Roman"/>
          <w:i/>
          <w:lang w:val="fr-CA"/>
        </w:rPr>
        <w:t>Cooper c. Hobart</w:t>
      </w:r>
      <w:r w:rsidRPr="00160B0D">
        <w:rPr>
          <w:rFonts w:cs="Times New Roman"/>
          <w:lang w:val="fr-CA"/>
        </w:rPr>
        <w:t xml:space="preserve">, 2001 CSC 79, [2001] 3 R.C.S. 537 (le test </w:t>
      </w:r>
      <w:r w:rsidRPr="00160B0D">
        <w:rPr>
          <w:rFonts w:cs="Times New Roman"/>
          <w:i/>
          <w:lang w:val="fr-CA"/>
        </w:rPr>
        <w:t>Anns</w:t>
      </w:r>
      <w:r w:rsidRPr="00160B0D">
        <w:rPr>
          <w:rFonts w:cs="Times New Roman"/>
          <w:lang w:val="fr-CA"/>
        </w:rPr>
        <w:t>/</w:t>
      </w:r>
      <w:r w:rsidRPr="00160B0D">
        <w:rPr>
          <w:rFonts w:cs="Times New Roman"/>
          <w:i/>
          <w:lang w:val="fr-CA"/>
        </w:rPr>
        <w:t>Cooper</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La Cour d’appel a conclu que la prévisibilité du préjudice et le lien de proximité entre les parties étaient suffisants pour imposer une obligation de diligence. La preuve [</w:t>
      </w:r>
      <w:r w:rsidRPr="00160B0D">
        <w:rPr>
          <w:rFonts w:cs="Times New Roman"/>
          <w:smallCaps/>
          <w:lang w:val="fr-CA"/>
        </w:rPr>
        <w:t>traduction</w:t>
      </w:r>
      <w:r w:rsidRPr="00160B0D">
        <w:rPr>
          <w:rFonts w:cs="Times New Roman"/>
          <w:lang w:val="fr-CA"/>
        </w:rPr>
        <w:t>] « étayait amplement la conclusion de prévisibilité en l’espèce » : 2016 ONCA 718, 403 D.L.R. (4th) 408, par. 39. La Cour d’appel a jugé que Rankin’s Garage « avait la garde et le contrôle de nombreux véhicules à des fins commerciales », ce qui « l’obligeait à protéger ces véhicules contre les mineurs, entre les mains desquels ils son</w:t>
      </w:r>
      <w:r w:rsidR="00B1015F">
        <w:rPr>
          <w:rFonts w:cs="Times New Roman"/>
          <w:lang w:val="fr-CA"/>
        </w:rPr>
        <w:t>t potentiellement dangereux » (</w:t>
      </w:r>
      <w:r w:rsidRPr="00160B0D">
        <w:rPr>
          <w:rFonts w:cs="Times New Roman"/>
          <w:lang w:val="fr-CA"/>
        </w:rPr>
        <w:t>par. 57</w:t>
      </w:r>
      <w:r w:rsidR="00B1015F">
        <w:rPr>
          <w:rFonts w:cs="Times New Roman"/>
          <w:lang w:val="fr-CA"/>
        </w:rPr>
        <w:t>)</w:t>
      </w:r>
      <w:r w:rsidRPr="00160B0D">
        <w:rPr>
          <w:rFonts w:cs="Times New Roman"/>
          <w:lang w:val="fr-CA"/>
        </w:rPr>
        <w:t>. La Cour d’appel a par conséquent estimé « juste et équitable d’imposer une obligation de dilig</w:t>
      </w:r>
      <w:r w:rsidR="00B1015F">
        <w:rPr>
          <w:rFonts w:cs="Times New Roman"/>
          <w:lang w:val="fr-CA"/>
        </w:rPr>
        <w:t>ence dans ces circonstances » (</w:t>
      </w:r>
      <w:r w:rsidRPr="00160B0D">
        <w:rPr>
          <w:rFonts w:cs="Times New Roman"/>
          <w:lang w:val="fr-CA"/>
        </w:rPr>
        <w:t>par. 59</w:t>
      </w:r>
      <w:r w:rsidR="00B1015F">
        <w:rPr>
          <w:rFonts w:cs="Times New Roman"/>
          <w:lang w:val="fr-CA"/>
        </w:rPr>
        <w:t>)</w:t>
      </w:r>
      <w:r w:rsidRPr="00160B0D">
        <w:rPr>
          <w:rFonts w:cs="Times New Roman"/>
          <w:lang w:val="fr-CA"/>
        </w:rPr>
        <w:t xml:space="preserve">. </w:t>
      </w:r>
    </w:p>
    <w:p w:rsidR="003C5BAD" w:rsidRPr="00160B0D" w:rsidRDefault="003C5BAD" w:rsidP="003C5BAD">
      <w:pPr>
        <w:pStyle w:val="ParaNoNdepar-AltN"/>
        <w:rPr>
          <w:rFonts w:cs="Times New Roman"/>
          <w:lang w:val="fr-CA"/>
        </w:rPr>
      </w:pPr>
      <w:r w:rsidRPr="00160B0D">
        <w:rPr>
          <w:rFonts w:cs="Times New Roman"/>
          <w:lang w:val="fr-CA"/>
        </w:rPr>
        <w:t xml:space="preserve">Passant à la seconde étape du test </w:t>
      </w:r>
      <w:r w:rsidRPr="00160B0D">
        <w:rPr>
          <w:rFonts w:cs="Times New Roman"/>
          <w:i/>
          <w:lang w:val="fr-CA"/>
        </w:rPr>
        <w:t>Anns</w:t>
      </w:r>
      <w:r w:rsidRPr="00160B0D">
        <w:rPr>
          <w:rFonts w:cs="Times New Roman"/>
          <w:lang w:val="fr-CA"/>
        </w:rPr>
        <w:t>/</w:t>
      </w:r>
      <w:r w:rsidRPr="00160B0D">
        <w:rPr>
          <w:rFonts w:cs="Times New Roman"/>
          <w:i/>
          <w:lang w:val="fr-CA"/>
        </w:rPr>
        <w:t>Cooper</w:t>
      </w:r>
      <w:r w:rsidRPr="00160B0D">
        <w:rPr>
          <w:rFonts w:cs="Times New Roman"/>
          <w:lang w:val="fr-CA"/>
        </w:rPr>
        <w:t xml:space="preserve">, le juge Huscroft a estimé qu’aucune considération de principe résiduelle n’écartait l’obligation de diligence </w:t>
      </w:r>
      <w:r w:rsidRPr="00160B0D">
        <w:rPr>
          <w:rFonts w:cs="Times New Roman"/>
          <w:i/>
          <w:lang w:val="fr-CA"/>
        </w:rPr>
        <w:t>prima facie</w:t>
      </w:r>
      <w:r w:rsidR="00B1015F">
        <w:rPr>
          <w:rFonts w:cs="Times New Roman"/>
          <w:lang w:val="fr-CA"/>
        </w:rPr>
        <w:t> (</w:t>
      </w:r>
      <w:r w:rsidRPr="00160B0D">
        <w:rPr>
          <w:rFonts w:cs="Times New Roman"/>
          <w:lang w:val="fr-CA"/>
        </w:rPr>
        <w:t>par. 73</w:t>
      </w:r>
      <w:r w:rsidR="00B1015F">
        <w:rPr>
          <w:rFonts w:cs="Times New Roman"/>
          <w:lang w:val="fr-CA"/>
        </w:rPr>
        <w:t>)</w:t>
      </w:r>
      <w:r w:rsidRPr="00160B0D">
        <w:rPr>
          <w:rFonts w:cs="Times New Roman"/>
          <w:lang w:val="fr-CA"/>
        </w:rPr>
        <w:t xml:space="preserve">. </w:t>
      </w:r>
      <w:r w:rsidRPr="00160B0D">
        <w:rPr>
          <w:rFonts w:cs="Times New Roman"/>
          <w:szCs w:val="24"/>
          <w:lang w:val="fr-CA"/>
        </w:rPr>
        <w:t xml:space="preserve">La loi ne prévoyait pas déjà de réparation dans ce cas (par. 63), </w:t>
      </w:r>
      <w:r w:rsidRPr="00160B0D">
        <w:rPr>
          <w:rStyle w:val="complet"/>
          <w:rFonts w:cs="Times New Roman"/>
          <w:szCs w:val="24"/>
          <w:lang w:val="fr-CA"/>
        </w:rPr>
        <w:t xml:space="preserve">la </w:t>
      </w:r>
      <w:r w:rsidRPr="00160B0D">
        <w:rPr>
          <w:rFonts w:cs="Times New Roman"/>
          <w:szCs w:val="24"/>
          <w:lang w:val="fr-CA"/>
        </w:rPr>
        <w:t>reconnaissance de l’obligation de diligence dans ces circonstances ne risquait pas d’imposer une responsabilité illimi</w:t>
      </w:r>
      <w:r w:rsidRPr="00160B0D">
        <w:rPr>
          <w:rFonts w:cs="Times New Roman"/>
          <w:lang w:val="fr-CA"/>
        </w:rPr>
        <w:t xml:space="preserve">tée (par. 65) et il n’y avait pas d’autres considérations de </w:t>
      </w:r>
      <w:r w:rsidR="00E003C2">
        <w:rPr>
          <w:rFonts w:cs="Times New Roman"/>
          <w:lang w:val="fr-CA"/>
        </w:rPr>
        <w:t>principe</w:t>
      </w:r>
      <w:r w:rsidRPr="00160B0D">
        <w:rPr>
          <w:rFonts w:cs="Times New Roman"/>
          <w:lang w:val="fr-CA"/>
        </w:rPr>
        <w:t xml:space="preserve"> (telles que l’illégalité des agissements du demandeur) qui permettaient de penser que l’obligation en questio</w:t>
      </w:r>
      <w:r w:rsidR="00B1015F">
        <w:rPr>
          <w:rFonts w:cs="Times New Roman"/>
          <w:lang w:val="fr-CA"/>
        </w:rPr>
        <w:t>n ne devait pas être reconnue (</w:t>
      </w:r>
      <w:r w:rsidRPr="00160B0D">
        <w:rPr>
          <w:rFonts w:cs="Times New Roman"/>
          <w:lang w:val="fr-CA"/>
        </w:rPr>
        <w:t>par. 68</w:t>
      </w:r>
      <w:r w:rsidRPr="00160B0D">
        <w:rPr>
          <w:rFonts w:cs="Times New Roman"/>
          <w:lang w:val="fr-CA"/>
        </w:rPr>
        <w:noBreakHyphen/>
        <w:t>73</w:t>
      </w:r>
      <w:r w:rsidR="00B1015F">
        <w:rPr>
          <w:rFonts w:cs="Times New Roman"/>
          <w:lang w:val="fr-CA"/>
        </w:rPr>
        <w:t>)</w:t>
      </w:r>
      <w:r w:rsidRPr="00160B0D">
        <w:rPr>
          <w:rFonts w:cs="Times New Roman"/>
          <w:lang w:val="fr-CA"/>
        </w:rPr>
        <w:t xml:space="preserve">. </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La Cour d’appel a rejeté l’appel. </w:t>
      </w:r>
    </w:p>
    <w:p w:rsidR="003C5BAD" w:rsidRPr="00160B0D" w:rsidRDefault="003C5BAD" w:rsidP="003C5BAD">
      <w:pPr>
        <w:pStyle w:val="Title1LevelTitre1Niveau-AltL"/>
        <w:rPr>
          <w:rFonts w:cs="Times New Roman"/>
          <w:lang w:val="fr-CA"/>
        </w:rPr>
      </w:pPr>
      <w:r w:rsidRPr="00160B0D">
        <w:rPr>
          <w:rFonts w:cs="Times New Roman"/>
          <w:lang w:val="fr-CA"/>
        </w:rPr>
        <w:t>Questions en litige</w:t>
      </w:r>
    </w:p>
    <w:p w:rsidR="003C5BAD" w:rsidRPr="00160B0D" w:rsidRDefault="003C5BAD" w:rsidP="003C5BAD">
      <w:pPr>
        <w:pStyle w:val="ParaNoNdepar-AltN"/>
        <w:rPr>
          <w:rFonts w:cs="Times New Roman"/>
          <w:lang w:val="fr-CA"/>
        </w:rPr>
      </w:pPr>
      <w:r w:rsidRPr="00160B0D">
        <w:rPr>
          <w:rFonts w:cs="Times New Roman"/>
          <w:lang w:val="fr-CA"/>
        </w:rPr>
        <w:t>Devant la Cour, Rankin’s Garage soutient qu’il n’était pas raisonnablement prévisible qu’un individu vole une voiture se trouvant sur la propriété du garage et la conduise de façon dangereuse. En tout état de cause, le comportement illégal de J. romprait tout lien de proximité entre les parties ou constituerait une considération de principe résiduelle qui justifierait d’écarter l’obligation de diligence.</w:t>
      </w:r>
    </w:p>
    <w:p w:rsidR="003C5BAD" w:rsidRPr="00160B0D" w:rsidRDefault="003C5BAD" w:rsidP="003C5BAD">
      <w:pPr>
        <w:pStyle w:val="ParaNoNdepar-AltN"/>
        <w:rPr>
          <w:rFonts w:cs="Times New Roman"/>
          <w:lang w:val="fr-CA"/>
        </w:rPr>
      </w:pPr>
      <w:r w:rsidRPr="00160B0D">
        <w:rPr>
          <w:rFonts w:cs="Times New Roman"/>
          <w:lang w:val="fr-CA"/>
        </w:rPr>
        <w:t xml:space="preserve">En réponse, J. fait valoir que le volet du test </w:t>
      </w:r>
      <w:r w:rsidRPr="00160B0D">
        <w:rPr>
          <w:rFonts w:cs="Times New Roman"/>
          <w:i/>
          <w:lang w:val="fr-CA"/>
        </w:rPr>
        <w:t>Anns/Cooper</w:t>
      </w:r>
      <w:r w:rsidRPr="00160B0D">
        <w:rPr>
          <w:rFonts w:cs="Times New Roman"/>
          <w:lang w:val="fr-CA"/>
        </w:rPr>
        <w:t xml:space="preserve"> relatif à la prévisibilité n’impose pas un seuil exigeant et qu’il relève du bon sens que le vol de véhicules soit le fait de jeunes inexpérimentés. En outre, Rankin’s Garage avait une obligation positive de prendre des mesures contre le risque de vol parce qu’il entreposait des biens susceptibles de devenir dangereux entre les mains de mineurs. Enfin, il avait une obligation particulière de protéger les mineurs qui pouvaient voler une voiture et subir des blessures lors d’un accident ultérieur.</w:t>
      </w:r>
    </w:p>
    <w:p w:rsidR="003C5BAD" w:rsidRPr="00160B0D" w:rsidRDefault="003C5BAD" w:rsidP="003C5BAD">
      <w:pPr>
        <w:pStyle w:val="ParaNoNdepar-AltN"/>
        <w:rPr>
          <w:rFonts w:cs="Times New Roman"/>
          <w:lang w:val="fr-CA"/>
        </w:rPr>
      </w:pPr>
      <w:r w:rsidRPr="00160B0D">
        <w:rPr>
          <w:rFonts w:cs="Times New Roman"/>
          <w:lang w:val="fr-CA"/>
        </w:rPr>
        <w:t xml:space="preserve">Le présent pourvoi soulève la question de l’existence ou non d’une obligation de diligence dans ces circonstances : </w:t>
      </w:r>
    </w:p>
    <w:p w:rsidR="003C5BAD" w:rsidRPr="00160B0D" w:rsidRDefault="003C5BAD" w:rsidP="00F80B94">
      <w:pPr>
        <w:pStyle w:val="Citation-AltC"/>
        <w:numPr>
          <w:ilvl w:val="0"/>
          <w:numId w:val="27"/>
        </w:numPr>
        <w:spacing w:after="480" w:line="480" w:lineRule="auto"/>
        <w:ind w:left="706" w:hanging="706"/>
        <w:contextualSpacing w:val="0"/>
        <w:rPr>
          <w:i/>
          <w:lang w:val="fr-CA"/>
        </w:rPr>
      </w:pPr>
      <w:r w:rsidRPr="00160B0D">
        <w:rPr>
          <w:lang w:val="fr-CA"/>
        </w:rPr>
        <w:t>Le risque de lésions corporelles était</w:t>
      </w:r>
      <w:r w:rsidRPr="00160B0D">
        <w:rPr>
          <w:lang w:val="fr-CA"/>
        </w:rPr>
        <w:noBreakHyphen/>
        <w:t>il raisonn</w:t>
      </w:r>
      <w:r w:rsidR="006200AB">
        <w:rPr>
          <w:lang w:val="fr-CA"/>
        </w:rPr>
        <w:t>ablement prévisible en l’espèce</w:t>
      </w:r>
      <w:r w:rsidRPr="00160B0D">
        <w:rPr>
          <w:lang w:val="fr-CA"/>
        </w:rPr>
        <w:t>?</w:t>
      </w:r>
    </w:p>
    <w:p w:rsidR="003C5BAD" w:rsidRPr="00160B0D" w:rsidRDefault="003C5BAD" w:rsidP="00F80B94">
      <w:pPr>
        <w:pStyle w:val="Citation-AltC"/>
        <w:numPr>
          <w:ilvl w:val="0"/>
          <w:numId w:val="27"/>
        </w:numPr>
        <w:spacing w:after="480" w:line="480" w:lineRule="auto"/>
        <w:ind w:left="706" w:hanging="706"/>
        <w:contextualSpacing w:val="0"/>
        <w:rPr>
          <w:i/>
          <w:lang w:val="fr-CA"/>
        </w:rPr>
      </w:pPr>
      <w:r w:rsidRPr="00160B0D">
        <w:rPr>
          <w:lang w:val="fr-CA"/>
        </w:rPr>
        <w:t>Le garage commercial avait</w:t>
      </w:r>
      <w:r w:rsidRPr="00160B0D">
        <w:rPr>
          <w:lang w:val="fr-CA"/>
        </w:rPr>
        <w:noBreakHyphen/>
        <w:t>il l’obligation positive de prendre des mesures contre l</w:t>
      </w:r>
      <w:r w:rsidR="006615B9">
        <w:rPr>
          <w:lang w:val="fr-CA"/>
        </w:rPr>
        <w:t>e risque de vol par des mineurs</w:t>
      </w:r>
      <w:r w:rsidRPr="00160B0D">
        <w:rPr>
          <w:lang w:val="fr-CA"/>
        </w:rPr>
        <w:t xml:space="preserve">? </w:t>
      </w:r>
    </w:p>
    <w:p w:rsidR="003C5BAD" w:rsidRPr="00160B0D" w:rsidRDefault="003C5BAD" w:rsidP="00F80B94">
      <w:pPr>
        <w:pStyle w:val="Citation-AltC"/>
        <w:numPr>
          <w:ilvl w:val="0"/>
          <w:numId w:val="27"/>
        </w:numPr>
        <w:spacing w:after="480" w:line="480" w:lineRule="auto"/>
        <w:ind w:left="706" w:hanging="706"/>
        <w:contextualSpacing w:val="0"/>
        <w:rPr>
          <w:i/>
          <w:lang w:val="fr-CA"/>
        </w:rPr>
      </w:pPr>
      <w:r w:rsidRPr="00160B0D">
        <w:rPr>
          <w:lang w:val="fr-CA"/>
        </w:rPr>
        <w:lastRenderedPageBreak/>
        <w:t>Un comportement illégal pouvait</w:t>
      </w:r>
      <w:r w:rsidRPr="00160B0D">
        <w:rPr>
          <w:lang w:val="fr-CA"/>
        </w:rPr>
        <w:noBreakHyphen/>
        <w:t xml:space="preserve">il rompre le lien de proximité entre les parties ou écarter une obligation de diligence </w:t>
      </w:r>
      <w:r w:rsidRPr="00160B0D">
        <w:rPr>
          <w:i/>
          <w:lang w:val="fr-CA"/>
        </w:rPr>
        <w:t>prima facie</w:t>
      </w:r>
      <w:r w:rsidRPr="00160B0D">
        <w:rPr>
          <w:lang w:val="fr-CA"/>
        </w:rPr>
        <w:t xml:space="preserve">? </w:t>
      </w:r>
    </w:p>
    <w:p w:rsidR="003C5BAD" w:rsidRPr="00160B0D" w:rsidRDefault="003C5BAD" w:rsidP="003C5BAD">
      <w:pPr>
        <w:pStyle w:val="Title1LevelTitre1Niveau-AltL"/>
        <w:rPr>
          <w:rFonts w:cs="Times New Roman"/>
          <w:lang w:val="fr-CA"/>
        </w:rPr>
      </w:pPr>
      <w:r w:rsidRPr="00160B0D">
        <w:rPr>
          <w:rFonts w:cs="Times New Roman"/>
          <w:lang w:val="fr-CA"/>
        </w:rPr>
        <w:t xml:space="preserve">Le test </w:t>
      </w:r>
      <w:r w:rsidRPr="00160B0D">
        <w:rPr>
          <w:rFonts w:cs="Times New Roman"/>
          <w:i/>
          <w:lang w:val="fr-CA"/>
        </w:rPr>
        <w:t>Anns/Cooper</w:t>
      </w:r>
    </w:p>
    <w:p w:rsidR="003C5BAD" w:rsidRPr="00160B0D" w:rsidRDefault="003C5BAD" w:rsidP="003C5BAD">
      <w:pPr>
        <w:pStyle w:val="ParaNoNdepar-AltN"/>
        <w:rPr>
          <w:rFonts w:cs="Times New Roman"/>
          <w:lang w:val="fr-CA"/>
        </w:rPr>
      </w:pPr>
      <w:r w:rsidRPr="00160B0D">
        <w:rPr>
          <w:rFonts w:cs="Times New Roman"/>
          <w:lang w:val="fr-CA"/>
        </w:rPr>
        <w:t xml:space="preserve">Le procès pour négligence sans doute le plus célèbre de l’histoire a lui aussi eu lieu dans une ville du nom de Paisley, en l’occurrence Paisley, en Écosse. La décision qui a été rendue dans cette affaire, </w:t>
      </w:r>
      <w:r w:rsidRPr="00160B0D">
        <w:rPr>
          <w:rStyle w:val="Emphasis"/>
          <w:rFonts w:cs="Times New Roman"/>
          <w:lang w:val="fr-CA"/>
        </w:rPr>
        <w:t>Donoghue c. Stevenson</w:t>
      </w:r>
      <w:r w:rsidRPr="00160B0D">
        <w:rPr>
          <w:rFonts w:cs="Times New Roman"/>
          <w:lang w:val="fr-CA"/>
        </w:rPr>
        <w:t>, [1932] A.C. 562 (H.L.), a révolutionné le droit de la responsabilité délictuelle puisqu’elle a fait évoluer le délit de négligence en lui appliquant une méthode d’analyse raisonnée. Lord Atkin s’est surtout illustré dans cet arrêt par sa formulation du [</w:t>
      </w:r>
      <w:r w:rsidRPr="00160B0D">
        <w:rPr>
          <w:rFonts w:cs="Times New Roman"/>
          <w:smallCaps/>
          <w:lang w:val="fr-CA"/>
        </w:rPr>
        <w:t>traduction</w:t>
      </w:r>
      <w:r w:rsidRPr="00160B0D">
        <w:rPr>
          <w:rFonts w:cs="Times New Roman"/>
          <w:lang w:val="fr-CA"/>
        </w:rPr>
        <w:t xml:space="preserve">] « principe du prochain », selon lequel ceux qui agissent ont une obligation de diligence envers les personnes qui, selon ce qu’ils auraient dû raisonnablement prévoir au moment d’agir, pourraient être en péril du fait de leurs agissements : </w:t>
      </w:r>
      <w:r w:rsidRPr="00160B0D">
        <w:rPr>
          <w:rFonts w:cs="Times New Roman"/>
          <w:i/>
          <w:lang w:val="fr-CA"/>
        </w:rPr>
        <w:t>Stewart c. Pettie</w:t>
      </w:r>
      <w:r w:rsidRPr="00160B0D">
        <w:rPr>
          <w:rFonts w:cs="Times New Roman"/>
          <w:lang w:val="fr-CA"/>
        </w:rPr>
        <w:t xml:space="preserve">, [1995] 1 R.C.S. 131, par. 25. </w:t>
      </w:r>
    </w:p>
    <w:p w:rsidR="003C5BAD" w:rsidRPr="00160B0D" w:rsidRDefault="003C5BAD" w:rsidP="003C5BAD">
      <w:pPr>
        <w:pStyle w:val="ParaNoNdepar-AltN"/>
        <w:tabs>
          <w:tab w:val="clear" w:pos="1152"/>
          <w:tab w:val="left" w:pos="1166"/>
        </w:tabs>
        <w:rPr>
          <w:rFonts w:cs="Times New Roman"/>
          <w:lang w:val="fr-CA"/>
        </w:rPr>
      </w:pPr>
      <w:r w:rsidRPr="00160B0D">
        <w:rPr>
          <w:rFonts w:cs="Times New Roman"/>
          <w:lang w:val="fr-CA"/>
        </w:rPr>
        <w:t xml:space="preserve">Le droit moderne de la négligence repose toujours sur les bases jetées par l’arrêt </w:t>
      </w:r>
      <w:r w:rsidRPr="00160B0D">
        <w:rPr>
          <w:rStyle w:val="Emphasis"/>
          <w:rFonts w:cs="Times New Roman"/>
          <w:lang w:val="fr-CA"/>
        </w:rPr>
        <w:t>Donoghue</w:t>
      </w:r>
      <w:r w:rsidRPr="00160B0D">
        <w:rPr>
          <w:rFonts w:cs="Times New Roman"/>
          <w:lang w:val="fr-CA"/>
        </w:rPr>
        <w:t>. Il est toujours vrai de nos jours que [</w:t>
      </w:r>
      <w:r w:rsidRPr="00160B0D">
        <w:rPr>
          <w:rFonts w:cs="Times New Roman"/>
          <w:smallCaps/>
          <w:lang w:val="fr-CA"/>
        </w:rPr>
        <w:t>traduction</w:t>
      </w:r>
      <w:r w:rsidRPr="00160B0D">
        <w:rPr>
          <w:rFonts w:cs="Times New Roman"/>
          <w:lang w:val="fr-CA"/>
        </w:rPr>
        <w:t xml:space="preserve">] « [l]a loi ne sanctionne pas un manque de diligence dans l’abstrait » : </w:t>
      </w:r>
      <w:r w:rsidRPr="00160B0D">
        <w:rPr>
          <w:rStyle w:val="Emphasis"/>
          <w:rFonts w:cs="Times New Roman"/>
          <w:lang w:val="fr-CA"/>
        </w:rPr>
        <w:t>Donoghue</w:t>
      </w:r>
      <w:r w:rsidRPr="00160B0D">
        <w:rPr>
          <w:rFonts w:cs="Times New Roman"/>
          <w:lang w:val="fr-CA"/>
        </w:rPr>
        <w:t xml:space="preserve">, p. 618 (lord Macmillan). Il n’y a responsabilité que si l’on conclut à l’existence d’une obligation de diligence. De même, le principe du prochain demeure le fondement du test </w:t>
      </w:r>
      <w:r w:rsidRPr="00160B0D">
        <w:rPr>
          <w:rFonts w:cs="Times New Roman"/>
          <w:i/>
          <w:lang w:val="fr-CA"/>
        </w:rPr>
        <w:t>Anns/Cooper</w:t>
      </w:r>
      <w:r w:rsidRPr="00160B0D">
        <w:rPr>
          <w:rFonts w:cs="Times New Roman"/>
          <w:lang w:val="fr-CA"/>
        </w:rPr>
        <w:t xml:space="preserve"> qu’appliquent les tribunaux canadiens pour juger de l’existence ou non d’une obligation de diligence. </w:t>
      </w:r>
    </w:p>
    <w:p w:rsidR="003C5BAD" w:rsidRPr="00160B0D" w:rsidRDefault="003C5BAD" w:rsidP="003C5BAD">
      <w:pPr>
        <w:pStyle w:val="ParaNoNdepar-AltN"/>
        <w:rPr>
          <w:rFonts w:cs="Times New Roman"/>
          <w:lang w:val="fr-CA"/>
        </w:rPr>
      </w:pPr>
      <w:r w:rsidRPr="00160B0D">
        <w:rPr>
          <w:rFonts w:cs="Times New Roman"/>
          <w:lang w:val="fr-CA"/>
        </w:rPr>
        <w:t xml:space="preserve">Il n’est pas nécessaire de procéder à une analyse exhaustive fondée sur le test </w:t>
      </w:r>
      <w:r w:rsidRPr="00160B0D">
        <w:rPr>
          <w:rFonts w:cs="Times New Roman"/>
          <w:i/>
          <w:lang w:val="fr-CA"/>
        </w:rPr>
        <w:t>Anns/Cooper</w:t>
      </w:r>
      <w:r w:rsidRPr="00160B0D">
        <w:rPr>
          <w:rFonts w:cs="Times New Roman"/>
          <w:lang w:val="fr-CA"/>
        </w:rPr>
        <w:t xml:space="preserve"> si une décision a déjà établi l’existence de l’obligation de diligence </w:t>
      </w:r>
      <w:r w:rsidRPr="00160B0D">
        <w:rPr>
          <w:rFonts w:cs="Times New Roman"/>
          <w:lang w:val="fr-CA"/>
        </w:rPr>
        <w:lastRenderedPageBreak/>
        <w:t xml:space="preserve">en cause (ou d’une obligation analogue) : </w:t>
      </w:r>
      <w:r w:rsidRPr="00160B0D">
        <w:rPr>
          <w:rFonts w:cs="Times New Roman"/>
          <w:i/>
          <w:lang w:val="fr-CA"/>
        </w:rPr>
        <w:t>Cooper</w:t>
      </w:r>
      <w:r w:rsidRPr="00160B0D">
        <w:rPr>
          <w:rFonts w:cs="Times New Roman"/>
          <w:lang w:val="fr-CA"/>
        </w:rPr>
        <w:t xml:space="preserve">, par. 36; </w:t>
      </w:r>
      <w:r w:rsidRPr="00160B0D">
        <w:rPr>
          <w:rFonts w:cs="Times New Roman"/>
          <w:i/>
          <w:lang w:val="fr-CA"/>
        </w:rPr>
        <w:t>Mustapha c. Culligan du Canada Ltée.</w:t>
      </w:r>
      <w:r w:rsidRPr="00160B0D">
        <w:rPr>
          <w:rFonts w:cs="Times New Roman"/>
          <w:lang w:val="fr-CA"/>
        </w:rPr>
        <w:t>, 2008 CSC 27, [2008] 2 R.C</w:t>
      </w:r>
      <w:r w:rsidR="00275D00">
        <w:rPr>
          <w:rFonts w:cs="Times New Roman"/>
          <w:lang w:val="fr-CA"/>
        </w:rPr>
        <w:t>.</w:t>
      </w:r>
      <w:r w:rsidRPr="00160B0D">
        <w:rPr>
          <w:rFonts w:cs="Times New Roman"/>
          <w:lang w:val="fr-CA"/>
        </w:rPr>
        <w:t>S. 114, par. 5</w:t>
      </w:r>
      <w:r w:rsidRPr="00160B0D">
        <w:rPr>
          <w:rFonts w:cs="Times New Roman"/>
          <w:lang w:val="fr-CA"/>
        </w:rPr>
        <w:noBreakHyphen/>
        <w:t xml:space="preserve">6; </w:t>
      </w:r>
      <w:r w:rsidRPr="00160B0D">
        <w:rPr>
          <w:rFonts w:cs="Times New Roman"/>
          <w:i/>
          <w:lang w:val="fr-CA"/>
        </w:rPr>
        <w:t>Deloitte &amp; Touche c. Livent Inc. (Séquestre de)</w:t>
      </w:r>
      <w:r w:rsidRPr="00160B0D">
        <w:rPr>
          <w:rFonts w:cs="Times New Roman"/>
          <w:lang w:val="fr-CA"/>
        </w:rPr>
        <w:t xml:space="preserve">, 2017 CSC 63, [2017] 2 R.C.S. 855, par. 26. Lorsqu’il est nécessaire de déterminer s’il existe une nouvelle obligation, la première étape du test </w:t>
      </w:r>
      <w:r w:rsidRPr="00160B0D">
        <w:rPr>
          <w:rFonts w:cs="Times New Roman"/>
          <w:i/>
          <w:lang w:val="fr-CA"/>
        </w:rPr>
        <w:t>Anns/Cooper</w:t>
      </w:r>
      <w:r w:rsidRPr="00160B0D">
        <w:rPr>
          <w:rFonts w:cs="Times New Roman"/>
          <w:lang w:val="fr-CA"/>
        </w:rPr>
        <w:t xml:space="preserve"> consiste à se demander s’il y a </w:t>
      </w:r>
      <w:r w:rsidRPr="00160B0D">
        <w:rPr>
          <w:rFonts w:cs="Times New Roman"/>
          <w:lang w:val="fr-FR"/>
        </w:rPr>
        <w:t xml:space="preserve">un lien de proximité dans le cadre duquel l’omission de faire preuve de diligence raisonnable peut, de façon prévisible, causer une perte ou un préjudice au </w:t>
      </w:r>
      <w:r w:rsidRPr="00160B0D">
        <w:rPr>
          <w:rFonts w:cs="Times New Roman"/>
          <w:lang w:val="fr-CA"/>
        </w:rPr>
        <w:t xml:space="preserve">demandeur : </w:t>
      </w:r>
      <w:r w:rsidRPr="00160B0D">
        <w:rPr>
          <w:rFonts w:cs="Times New Roman"/>
          <w:i/>
          <w:lang w:val="fr-CA"/>
        </w:rPr>
        <w:t>R. c. Imperial Tobacco Canada Ltée.</w:t>
      </w:r>
      <w:r w:rsidRPr="00160B0D">
        <w:rPr>
          <w:rFonts w:cs="Times New Roman"/>
          <w:lang w:val="fr-CA"/>
        </w:rPr>
        <w:t xml:space="preserve">, 2011 CSC 42, [2011] 3 R.C.S. 45, par. 39; voir également </w:t>
      </w:r>
      <w:r w:rsidRPr="00160B0D">
        <w:rPr>
          <w:rFonts w:cs="Times New Roman"/>
          <w:i/>
          <w:lang w:val="fr-CA"/>
        </w:rPr>
        <w:t>Childs c. Desormeaux</w:t>
      </w:r>
      <w:r w:rsidRPr="00160B0D">
        <w:rPr>
          <w:rFonts w:cs="Times New Roman"/>
          <w:lang w:val="fr-CA"/>
        </w:rPr>
        <w:t xml:space="preserve">, 2006 CSC 18, [2006] 1 R.C.S. 643, par. 12; </w:t>
      </w:r>
      <w:r w:rsidRPr="00160B0D">
        <w:rPr>
          <w:rFonts w:cs="Times New Roman"/>
          <w:i/>
          <w:lang w:val="fr-CA"/>
        </w:rPr>
        <w:t>Cooper</w:t>
      </w:r>
      <w:r w:rsidRPr="00160B0D">
        <w:rPr>
          <w:rFonts w:cs="Times New Roman"/>
          <w:lang w:val="fr-CA"/>
        </w:rPr>
        <w:t xml:space="preserve">, par. 30. Dès lors que la prévisibilité et le lien de proximité ont été établis, il y a obligation de diligence </w:t>
      </w:r>
      <w:r w:rsidRPr="00160B0D">
        <w:rPr>
          <w:rFonts w:cs="Times New Roman"/>
          <w:i/>
          <w:lang w:val="fr-CA"/>
        </w:rPr>
        <w:t>prima facie</w:t>
      </w:r>
      <w:r w:rsidRPr="00160B0D">
        <w:rPr>
          <w:rFonts w:cs="Times New Roman"/>
          <w:lang w:val="fr-CA"/>
        </w:rPr>
        <w:t xml:space="preserve">. </w:t>
      </w:r>
    </w:p>
    <w:p w:rsidR="003C5BAD" w:rsidRPr="00160B0D" w:rsidRDefault="003C5BAD" w:rsidP="003C5BAD">
      <w:pPr>
        <w:pStyle w:val="ParaNoNdepar-AltN"/>
        <w:rPr>
          <w:rFonts w:cs="Times New Roman"/>
          <w:lang w:val="fr-CA"/>
        </w:rPr>
      </w:pPr>
      <w:r w:rsidRPr="00160B0D">
        <w:rPr>
          <w:rFonts w:cs="Times New Roman"/>
          <w:lang w:val="fr-CA"/>
        </w:rPr>
        <w:t xml:space="preserve">La question de savoir s’il existe ou non une obligation de diligence est une question de droit, et je me fonderai sur cette prémisse : </w:t>
      </w:r>
      <w:r w:rsidRPr="00160B0D">
        <w:rPr>
          <w:rFonts w:cs="Times New Roman"/>
          <w:i/>
          <w:lang w:val="fr-CA"/>
        </w:rPr>
        <w:t>Galaske c. O’Donnell</w:t>
      </w:r>
      <w:r w:rsidRPr="00160B0D">
        <w:rPr>
          <w:rFonts w:cs="Times New Roman"/>
          <w:lang w:val="fr-CA"/>
        </w:rPr>
        <w:t xml:space="preserve">, [1994] 1 R.C.S. 670, p. 690. Le demandeur </w:t>
      </w:r>
      <w:r w:rsidRPr="00160B0D">
        <w:rPr>
          <w:rFonts w:cs="Times New Roman"/>
          <w:lang w:val="fr-FR"/>
        </w:rPr>
        <w:t xml:space="preserve">doit s’acquitter du fardeau de démontrer qu’il existe une cause d’action et, partant, une </w:t>
      </w:r>
      <w:r w:rsidRPr="00160B0D">
        <w:rPr>
          <w:rFonts w:cs="Times New Roman"/>
          <w:lang w:val="fr-CA"/>
        </w:rPr>
        <w:t xml:space="preserve">obligation de diligence </w:t>
      </w:r>
      <w:r w:rsidRPr="00160B0D">
        <w:rPr>
          <w:rFonts w:cs="Times New Roman"/>
          <w:i/>
          <w:lang w:val="fr-CA"/>
        </w:rPr>
        <w:t>prima facie</w:t>
      </w:r>
      <w:r w:rsidRPr="00160B0D">
        <w:rPr>
          <w:rFonts w:cs="Times New Roman"/>
          <w:lang w:val="fr-CA"/>
        </w:rPr>
        <w:t xml:space="preserve"> : </w:t>
      </w:r>
      <w:r w:rsidRPr="00160B0D">
        <w:rPr>
          <w:rFonts w:cs="Times New Roman"/>
          <w:i/>
          <w:lang w:val="fr-CA"/>
        </w:rPr>
        <w:t>Childs</w:t>
      </w:r>
      <w:r w:rsidRPr="00160B0D">
        <w:rPr>
          <w:rFonts w:cs="Times New Roman"/>
          <w:lang w:val="fr-CA"/>
        </w:rPr>
        <w:t>, par. 13. Pour se décharger de ce fardeau, le demandeur doit présenter un fondement factuel suffisant pour établir que le préjudice était une conséquence raisonnablement prévisible de la conduite du défendeur dans le contexte d’un rapport de proximité. À défaut de cette preuve, la deman</w:t>
      </w:r>
      <w:r w:rsidR="00275D00">
        <w:rPr>
          <w:rFonts w:cs="Times New Roman"/>
          <w:lang w:val="fr-CA"/>
        </w:rPr>
        <w:t>de peut être rejetée : voir, p</w:t>
      </w:r>
      <w:r w:rsidRPr="00160B0D">
        <w:rPr>
          <w:rFonts w:cs="Times New Roman"/>
          <w:lang w:val="fr-CA"/>
        </w:rPr>
        <w:t xml:space="preserve">. ex., </w:t>
      </w:r>
      <w:r w:rsidRPr="00160B0D">
        <w:rPr>
          <w:rFonts w:cs="Times New Roman"/>
          <w:i/>
          <w:lang w:val="fr-CA"/>
        </w:rPr>
        <w:t>Childs</w:t>
      </w:r>
      <w:r w:rsidRPr="00160B0D">
        <w:rPr>
          <w:rFonts w:cs="Times New Roman"/>
          <w:lang w:val="fr-CA"/>
        </w:rPr>
        <w:t>,</w:t>
      </w:r>
      <w:r w:rsidRPr="00160B0D">
        <w:rPr>
          <w:rFonts w:cs="Times New Roman"/>
          <w:i/>
          <w:lang w:val="fr-CA"/>
        </w:rPr>
        <w:t xml:space="preserve"> </w:t>
      </w:r>
      <w:r w:rsidRPr="00160B0D">
        <w:rPr>
          <w:rFonts w:cs="Times New Roman"/>
          <w:lang w:val="fr-CA"/>
        </w:rPr>
        <w:t>par. 30.</w:t>
      </w:r>
    </w:p>
    <w:p w:rsidR="003C5BAD" w:rsidRPr="00160B0D" w:rsidRDefault="003C5BAD" w:rsidP="003C5BAD">
      <w:pPr>
        <w:pStyle w:val="ParaNoNdepar-AltN"/>
        <w:rPr>
          <w:rFonts w:cs="Times New Roman"/>
          <w:lang w:val="fr-CA"/>
        </w:rPr>
      </w:pPr>
      <w:r w:rsidRPr="00160B0D">
        <w:rPr>
          <w:rFonts w:cs="Times New Roman"/>
          <w:lang w:val="fr-CA"/>
        </w:rPr>
        <w:t xml:space="preserve">Une fois que le demandeur a établi l’existence d’une obligation de diligence </w:t>
      </w:r>
      <w:r w:rsidRPr="00160B0D">
        <w:rPr>
          <w:rFonts w:cs="Times New Roman"/>
          <w:i/>
          <w:lang w:val="fr-CA"/>
        </w:rPr>
        <w:t>prima facie</w:t>
      </w:r>
      <w:r w:rsidRPr="00160B0D">
        <w:rPr>
          <w:rFonts w:cs="Times New Roman"/>
          <w:lang w:val="fr-CA"/>
        </w:rPr>
        <w:t xml:space="preserve">, le fardeau de prouver qu’il existe des considérations de principe résiduelles justifiant de ne pas reconnaître cette obligation incombe au défendeur : </w:t>
      </w:r>
      <w:r w:rsidRPr="00160B0D">
        <w:rPr>
          <w:rFonts w:cs="Times New Roman"/>
          <w:i/>
          <w:lang w:val="fr-CA"/>
        </w:rPr>
        <w:t>Childs</w:t>
      </w:r>
      <w:r w:rsidRPr="00160B0D">
        <w:rPr>
          <w:rFonts w:cs="Times New Roman"/>
          <w:lang w:val="fr-CA"/>
        </w:rPr>
        <w:t xml:space="preserve">, par. 13; </w:t>
      </w:r>
      <w:r w:rsidRPr="00160B0D">
        <w:rPr>
          <w:rFonts w:cs="Times New Roman"/>
          <w:i/>
          <w:lang w:val="fr-CA"/>
        </w:rPr>
        <w:t>Imperial Tobacco</w:t>
      </w:r>
      <w:r w:rsidRPr="00160B0D">
        <w:rPr>
          <w:rFonts w:cs="Times New Roman"/>
          <w:lang w:val="fr-CA"/>
        </w:rPr>
        <w:t>,</w:t>
      </w:r>
      <w:r w:rsidRPr="00160B0D">
        <w:rPr>
          <w:rFonts w:cs="Times New Roman"/>
          <w:i/>
          <w:lang w:val="fr-CA"/>
        </w:rPr>
        <w:t xml:space="preserve"> </w:t>
      </w:r>
      <w:r w:rsidRPr="00160B0D">
        <w:rPr>
          <w:rFonts w:cs="Times New Roman"/>
          <w:lang w:val="fr-CA"/>
        </w:rPr>
        <w:t xml:space="preserve">par. 39. </w:t>
      </w:r>
    </w:p>
    <w:p w:rsidR="003C5BAD" w:rsidRPr="00160B0D" w:rsidRDefault="003C5BAD" w:rsidP="003C5BAD">
      <w:pPr>
        <w:pStyle w:val="Title2LevelTitre2Niveau"/>
        <w:numPr>
          <w:ilvl w:val="0"/>
          <w:numId w:val="0"/>
        </w:numPr>
        <w:ind w:firstLine="720"/>
        <w:rPr>
          <w:rFonts w:cs="Times New Roman"/>
          <w:lang w:val="fr-CA"/>
        </w:rPr>
      </w:pPr>
      <w:r w:rsidRPr="00160B0D">
        <w:rPr>
          <w:rFonts w:cs="Times New Roman"/>
          <w:lang w:val="fr-CA"/>
        </w:rPr>
        <w:lastRenderedPageBreak/>
        <w:t>Prévisibilité raisonnable et lien de proximité</w:t>
      </w:r>
    </w:p>
    <w:p w:rsidR="003C5BAD" w:rsidRPr="00160B0D" w:rsidRDefault="003C5BAD" w:rsidP="003C5BAD">
      <w:pPr>
        <w:pStyle w:val="ParaNoNdepar-AltN"/>
        <w:rPr>
          <w:rStyle w:val="Emphasis"/>
          <w:rFonts w:cs="Times New Roman"/>
          <w:i w:val="0"/>
          <w:iCs w:val="0"/>
          <w:lang w:val="fr-CA"/>
        </w:rPr>
      </w:pPr>
      <w:r w:rsidRPr="00160B0D">
        <w:rPr>
          <w:rFonts w:cs="Times New Roman"/>
          <w:lang w:val="fr-CA"/>
        </w:rPr>
        <w:t>Depuis l’arrêt</w:t>
      </w:r>
      <w:r>
        <w:rPr>
          <w:rFonts w:cs="Times New Roman"/>
          <w:lang w:val="fr-CA"/>
        </w:rPr>
        <w:t xml:space="preserve"> </w:t>
      </w:r>
      <w:r w:rsidRPr="007A33E7">
        <w:rPr>
          <w:rFonts w:cs="Times New Roman"/>
          <w:i/>
          <w:lang w:val="fr-CA"/>
        </w:rPr>
        <w:t>Donoghue</w:t>
      </w:r>
      <w:r w:rsidRPr="00160B0D">
        <w:rPr>
          <w:rFonts w:cs="Times New Roman"/>
          <w:lang w:val="fr-CA"/>
        </w:rPr>
        <w:t>, le « principe du prochain » constitue la pierre angulaire du droit de la négligence. Les paroles célèbres de lord Atkin sur la portée du concept de proximité en droit englobent à la fois le facteur de la prévisibilité raisonnable du préjudice et celui du lien de proximité :</w:t>
      </w:r>
    </w:p>
    <w:p w:rsidR="003C5BAD" w:rsidRPr="00160B0D" w:rsidRDefault="003C5BAD" w:rsidP="003C5BAD">
      <w:pPr>
        <w:pStyle w:val="Citation-AltC"/>
        <w:ind w:hanging="1166"/>
        <w:contextualSpacing w:val="0"/>
        <w:rPr>
          <w:lang w:val="fr-CA"/>
        </w:rPr>
      </w:pPr>
      <w:r w:rsidRPr="00160B0D">
        <w:rPr>
          <w:rStyle w:val="highlight"/>
          <w:lang w:val="fr-CA"/>
        </w:rPr>
        <w:tab/>
        <w:t>[</w:t>
      </w:r>
      <w:r w:rsidRPr="00160B0D">
        <w:rPr>
          <w:rStyle w:val="highlight"/>
          <w:smallCaps/>
          <w:lang w:val="fr-CA"/>
        </w:rPr>
        <w:t>traduction</w:t>
      </w:r>
      <w:r w:rsidRPr="00160B0D">
        <w:rPr>
          <w:rStyle w:val="highlight"/>
          <w:lang w:val="fr-CA"/>
        </w:rPr>
        <w:t xml:space="preserve">] </w:t>
      </w:r>
      <w:r w:rsidR="0097439A">
        <w:rPr>
          <w:rStyle w:val="highlight"/>
          <w:lang w:val="fr-CA"/>
        </w:rPr>
        <w:t xml:space="preserve">Le </w:t>
      </w:r>
      <w:r w:rsidRPr="00160B0D">
        <w:rPr>
          <w:rStyle w:val="highlight"/>
          <w:lang w:val="fr-CA"/>
        </w:rPr>
        <w:t>commandement « tu aimeras ton prochain » devient en droit : « tu ne léseras pas ton prochain ». À</w:t>
      </w:r>
      <w:r w:rsidRPr="00160B0D">
        <w:rPr>
          <w:lang w:val="fr-CA"/>
        </w:rPr>
        <w:t xml:space="preserve"> la question de l’</w:t>
      </w:r>
      <w:r w:rsidR="00B24A8C">
        <w:rPr>
          <w:lang w:val="fr-CA"/>
        </w:rPr>
        <w:t>avocat : « qui est mon prochain</w:t>
      </w:r>
      <w:r w:rsidRPr="00160B0D">
        <w:rPr>
          <w:lang w:val="fr-CA"/>
        </w:rPr>
        <w:t>? », on donnera une réponse restrictive. Il faut agir avec diligence raisonnable pour éviter tout acte ou omission dont on peut raisonnablement prévoir qu’ils sont susceptibles de léser son prochain. Qui alors est mon prochain en droit ? La réponse semble être la suivante : les personnes qui sont de si près et si directement touchées par mon acte que je devrais raisonnablement les avoir à l’esprit comme ainsi touchées lorsque je songe aux actes ou omissions qui sont mis en question. [p. 580]</w:t>
      </w:r>
    </w:p>
    <w:p w:rsidR="003C5BAD" w:rsidRPr="00160B0D" w:rsidRDefault="003C5BAD" w:rsidP="003C5BAD">
      <w:pPr>
        <w:pStyle w:val="ContinueParaSuitedupar-AltP"/>
        <w:rPr>
          <w:rFonts w:cs="Times New Roman"/>
          <w:lang w:val="fr-CA"/>
        </w:rPr>
      </w:pPr>
      <w:r w:rsidRPr="00160B0D">
        <w:rPr>
          <w:rFonts w:cs="Times New Roman"/>
          <w:lang w:val="fr-CA"/>
        </w:rPr>
        <w:t xml:space="preserve">La prévisibilité raisonnable du préjudice et le lien de proximité constituent des principes limitatifs fondamentaux du droit de la négligence. Ils garantissent que la responsabilité du défendeur n’est engagée que lorsqu’il aurait raisonnablement dû prévoir le type de préjudice que le demandeur a subi. </w:t>
      </w:r>
    </w:p>
    <w:p w:rsidR="003C5BAD" w:rsidRPr="00160B0D" w:rsidRDefault="003C5BAD" w:rsidP="003C5BAD">
      <w:pPr>
        <w:pStyle w:val="ParaNoNdepar-AltN"/>
        <w:rPr>
          <w:rFonts w:cs="Times New Roman"/>
          <w:lang w:val="fr-CA"/>
        </w:rPr>
      </w:pPr>
      <w:r w:rsidRPr="00160B0D">
        <w:rPr>
          <w:rFonts w:cs="Times New Roman"/>
          <w:lang w:val="fr-CA"/>
        </w:rPr>
        <w:t>La raison d’être de cette approche est évidente. Il ne serait tout simplement pas juste d’engager la responsabilité du défendeur lorsque celui</w:t>
      </w:r>
      <w:r w:rsidRPr="00160B0D">
        <w:rPr>
          <w:rFonts w:cs="Times New Roman"/>
          <w:lang w:val="fr-CA"/>
        </w:rPr>
        <w:noBreakHyphen/>
        <w:t xml:space="preserve">ci n’avait aucune raison de prévoir que sa conduite pouvait entraîner le préjudice qu’on lui reproche d’avoir causé. Au moyen du principe du prochain, le défendeur, en tant qu’auteur d’un risque déraisonnable, est lié au demandeur, la personne dont la mise en danger a rendu le risque déraisonnable : E. J. Weinrib, « The Disintegration of Duty », dans M. S. Madden, </w:t>
      </w:r>
      <w:r w:rsidR="00F229F9">
        <w:rPr>
          <w:rFonts w:cs="Times New Roman"/>
          <w:lang w:val="fr-CA"/>
        </w:rPr>
        <w:t>dir</w:t>
      </w:r>
      <w:r w:rsidRPr="00160B0D">
        <w:rPr>
          <w:rFonts w:cs="Times New Roman"/>
          <w:lang w:val="fr-CA"/>
        </w:rPr>
        <w:t xml:space="preserve">., </w:t>
      </w:r>
      <w:r w:rsidRPr="00160B0D">
        <w:rPr>
          <w:rFonts w:cs="Times New Roman"/>
          <w:i/>
          <w:lang w:val="fr-CA"/>
        </w:rPr>
        <w:t>Exploring Tort Law</w:t>
      </w:r>
      <w:r w:rsidRPr="00160B0D">
        <w:rPr>
          <w:rFonts w:cs="Times New Roman"/>
          <w:lang w:val="fr-CA"/>
        </w:rPr>
        <w:t xml:space="preserve"> (2005), 143, p. 151. Il doit exister un lien entre l’acte répréhensible et le préjudice causé. Ainsi, la prévisibilité constitue [</w:t>
      </w:r>
      <w:r w:rsidRPr="00160B0D">
        <w:rPr>
          <w:rFonts w:cs="Times New Roman"/>
          <w:smallCaps/>
          <w:lang w:val="fr-CA"/>
        </w:rPr>
        <w:t>traduction</w:t>
      </w:r>
      <w:r w:rsidRPr="00160B0D">
        <w:rPr>
          <w:rFonts w:cs="Times New Roman"/>
          <w:lang w:val="fr-CA"/>
        </w:rPr>
        <w:t xml:space="preserve">] </w:t>
      </w:r>
      <w:r w:rsidRPr="00160B0D">
        <w:rPr>
          <w:rFonts w:cs="Times New Roman"/>
          <w:lang w:val="fr-CA"/>
        </w:rPr>
        <w:lastRenderedPageBreak/>
        <w:t xml:space="preserve">« le ciment moral fondamental de la responsabilité délictuelle », façonnant les obligations juridiques que nous avons les uns envers les autres et définissant les limites de notre responsabilité individuelle : D. G. Owen, « Figuring Foreseeability » (2009), 44 </w:t>
      </w:r>
      <w:r w:rsidRPr="00160B0D">
        <w:rPr>
          <w:rFonts w:cs="Times New Roman"/>
          <w:i/>
          <w:lang w:val="fr-CA"/>
        </w:rPr>
        <w:t>Wake Forest L. Rev.</w:t>
      </w:r>
      <w:r w:rsidRPr="00160B0D">
        <w:rPr>
          <w:rFonts w:cs="Times New Roman"/>
          <w:lang w:val="fr-CA"/>
        </w:rPr>
        <w:t xml:space="preserve"> 1277, p. 1278.</w:t>
      </w:r>
    </w:p>
    <w:p w:rsidR="003C5BAD" w:rsidRPr="00160B0D" w:rsidRDefault="003C5BAD" w:rsidP="003C5BAD">
      <w:pPr>
        <w:pStyle w:val="ParaNoNdepar-AltN"/>
        <w:rPr>
          <w:rFonts w:cs="Times New Roman"/>
          <w:lang w:val="fr-CA"/>
        </w:rPr>
      </w:pPr>
      <w:r w:rsidRPr="00160B0D">
        <w:rPr>
          <w:rFonts w:cs="Times New Roman"/>
          <w:lang w:val="fr-CA"/>
        </w:rPr>
        <w:t xml:space="preserve">Outre la prévisibilité du préjudice, il faut également qu’il existe un lien de proximité entre les parties : </w:t>
      </w:r>
      <w:r w:rsidRPr="00160B0D">
        <w:rPr>
          <w:rFonts w:cs="Times New Roman"/>
          <w:i/>
          <w:lang w:val="fr-CA"/>
        </w:rPr>
        <w:t>Cooper</w:t>
      </w:r>
      <w:r w:rsidRPr="00160B0D">
        <w:rPr>
          <w:rFonts w:cs="Times New Roman"/>
          <w:lang w:val="fr-CA"/>
        </w:rPr>
        <w:t xml:space="preserve">, par. 31. L’analyse de ce lien vise à déterminer si la relation entre les parties est suffisamment « étroit[e] et direct[e] » pour obliger le défendeur à se soucier des intérêts du demandeur : </w:t>
      </w:r>
      <w:r w:rsidRPr="00160B0D">
        <w:rPr>
          <w:rFonts w:cs="Times New Roman"/>
          <w:i/>
          <w:lang w:val="fr-CA"/>
        </w:rPr>
        <w:t>Cooper</w:t>
      </w:r>
      <w:r w:rsidRPr="00160B0D">
        <w:rPr>
          <w:rFonts w:cs="Times New Roman"/>
          <w:lang w:val="fr-CA"/>
        </w:rPr>
        <w:t xml:space="preserve">, par. 32; </w:t>
      </w:r>
      <w:r w:rsidRPr="00160B0D">
        <w:rPr>
          <w:rFonts w:cs="Times New Roman"/>
          <w:i/>
          <w:lang w:val="fr-CA"/>
        </w:rPr>
        <w:t>Hercules Managements Ltd. c. Ernst &amp; Young</w:t>
      </w:r>
      <w:r w:rsidRPr="00160B0D">
        <w:rPr>
          <w:rFonts w:cs="Times New Roman"/>
          <w:lang w:val="fr-CA"/>
        </w:rPr>
        <w:t xml:space="preserve">, [1997] 2 R.C.S. 165, par. 24. C’est grâce à ce facteur qu’il est juste et équitable d’imposer une obligation de diligence : </w:t>
      </w:r>
      <w:r w:rsidRPr="00160B0D">
        <w:rPr>
          <w:rFonts w:cs="Times New Roman"/>
          <w:i/>
          <w:lang w:val="fr-CA"/>
        </w:rPr>
        <w:t>Cooper</w:t>
      </w:r>
      <w:r w:rsidRPr="00160B0D">
        <w:rPr>
          <w:rFonts w:cs="Times New Roman"/>
          <w:lang w:val="fr-CA"/>
        </w:rPr>
        <w:t>, par. 34. L’analyse du lien de proximité entre les parties prend en compte « [</w:t>
      </w:r>
      <w:r w:rsidRPr="00160B0D">
        <w:rPr>
          <w:rFonts w:cs="Times New Roman"/>
          <w:lang w:val="fr-FR"/>
        </w:rPr>
        <w:t xml:space="preserve">l]es attentes, [l]es déclarations, [. . .] la confiance, [l]es biens en cause et [l]es autres intérêts en jeu » : </w:t>
      </w:r>
      <w:r w:rsidRPr="00160B0D">
        <w:rPr>
          <w:rFonts w:cs="Times New Roman"/>
          <w:i/>
          <w:lang w:val="fr-CA"/>
        </w:rPr>
        <w:t>Cooper</w:t>
      </w:r>
      <w:r w:rsidRPr="00160B0D">
        <w:rPr>
          <w:rFonts w:cs="Times New Roman"/>
          <w:lang w:val="fr-CA"/>
        </w:rPr>
        <w:t xml:space="preserve">, par. 34. Dans les affaires portant sur des lésions corporelles dans lesquelles les parties n’ont aucun lien entre elles, le lien de proximité est souvent (quoique pas toujours) établi sur le seul fondement de la prévisibilité raisonnable : voir l’arrêt </w:t>
      </w:r>
      <w:r w:rsidRPr="00160B0D">
        <w:rPr>
          <w:rFonts w:cs="Times New Roman"/>
          <w:i/>
          <w:lang w:val="fr-CA"/>
        </w:rPr>
        <w:t>Childs</w:t>
      </w:r>
      <w:r w:rsidRPr="00160B0D">
        <w:rPr>
          <w:rFonts w:cs="Times New Roman"/>
          <w:lang w:val="fr-CA"/>
        </w:rPr>
        <w:t>, par. 31.</w:t>
      </w:r>
    </w:p>
    <w:p w:rsidR="003C5BAD" w:rsidRPr="00160B0D" w:rsidRDefault="003C5BAD" w:rsidP="003C5BAD">
      <w:pPr>
        <w:pStyle w:val="ParaNoNdepar-AltN"/>
        <w:rPr>
          <w:rFonts w:cs="Times New Roman"/>
          <w:lang w:val="fr-CA"/>
        </w:rPr>
      </w:pPr>
      <w:r w:rsidRPr="00160B0D">
        <w:rPr>
          <w:rFonts w:cs="Times New Roman"/>
          <w:lang w:val="fr-CA"/>
        </w:rPr>
        <w:t>Pour déterminer si la prévisibilité raisonnable a été établie, la question qu’il convient de se poser est celle de savoir si le demandeur a [</w:t>
      </w:r>
      <w:r w:rsidRPr="00160B0D">
        <w:rPr>
          <w:rFonts w:cs="Times New Roman"/>
          <w:smallCaps/>
          <w:lang w:val="fr-CA"/>
        </w:rPr>
        <w:t>traduction</w:t>
      </w:r>
      <w:r w:rsidRPr="00160B0D">
        <w:rPr>
          <w:rFonts w:cs="Times New Roman"/>
          <w:lang w:val="fr-CA"/>
        </w:rPr>
        <w:t>] « présenté des faits susceptibles de convaincre le tribunal que le risque d</w:t>
      </w:r>
      <w:r w:rsidR="004E2E9E">
        <w:rPr>
          <w:rFonts w:cs="Times New Roman"/>
          <w:lang w:val="fr-CA"/>
        </w:rPr>
        <w:t>u</w:t>
      </w:r>
      <w:r w:rsidRPr="00160B0D">
        <w:rPr>
          <w:rFonts w:cs="Times New Roman"/>
          <w:lang w:val="fr-CA"/>
        </w:rPr>
        <w:t xml:space="preserve"> </w:t>
      </w:r>
      <w:r w:rsidRPr="00160B0D">
        <w:rPr>
          <w:rFonts w:cs="Times New Roman"/>
          <w:u w:val="single"/>
          <w:lang w:val="fr-CA"/>
        </w:rPr>
        <w:t>type de dommage</w:t>
      </w:r>
      <w:r w:rsidRPr="00160B0D">
        <w:rPr>
          <w:rFonts w:cs="Times New Roman"/>
          <w:lang w:val="fr-CA"/>
        </w:rPr>
        <w:t xml:space="preserve"> qui s’est produit était raisonnablement prévisible pour </w:t>
      </w:r>
      <w:r w:rsidRPr="00160B0D">
        <w:rPr>
          <w:rFonts w:cs="Times New Roman"/>
          <w:u w:val="single"/>
          <w:lang w:val="fr-CA"/>
        </w:rPr>
        <w:t>la catégorie de demandeurs</w:t>
      </w:r>
      <w:r w:rsidRPr="00160B0D">
        <w:rPr>
          <w:rFonts w:cs="Times New Roman"/>
          <w:lang w:val="fr-CA"/>
        </w:rPr>
        <w:t xml:space="preserve"> qui ont été lésés » : A. M. Linden et B. Feldthusen, </w:t>
      </w:r>
      <w:r w:rsidRPr="00160B0D">
        <w:rPr>
          <w:rFonts w:cs="Times New Roman"/>
          <w:i/>
          <w:lang w:val="fr-CA"/>
        </w:rPr>
        <w:t xml:space="preserve">Canadian Tort Law </w:t>
      </w:r>
      <w:r w:rsidRPr="00160B0D">
        <w:rPr>
          <w:rFonts w:cs="Times New Roman"/>
          <w:lang w:val="fr-CA"/>
        </w:rPr>
        <w:t>(10</w:t>
      </w:r>
      <w:r w:rsidRPr="00160B0D">
        <w:rPr>
          <w:rFonts w:cs="Times New Roman"/>
          <w:vertAlign w:val="superscript"/>
          <w:lang w:val="fr-CA"/>
        </w:rPr>
        <w:t>e</w:t>
      </w:r>
      <w:r w:rsidRPr="00160B0D">
        <w:rPr>
          <w:rFonts w:cs="Times New Roman"/>
          <w:lang w:val="fr-CA"/>
        </w:rPr>
        <w:t xml:space="preserve"> éd. 2015), p. 322 (je souligne). Cette approche permet de garantir que l’analyse tient compte à la fois du défendeur qui a commis l’acte et du demandeur, dont le préjudice aurait rendu l’acte </w:t>
      </w:r>
      <w:r w:rsidRPr="00160B0D">
        <w:rPr>
          <w:rFonts w:cs="Times New Roman"/>
          <w:lang w:val="fr-CA"/>
        </w:rPr>
        <w:lastRenderedPageBreak/>
        <w:t xml:space="preserve">illicite. Ainsi que le professeur Weinrib le fait remarquer, l’analyse de l’obligation de diligence se résume à la recherche d’un lien entre la conduite fautive et le préjudice subi par le demandeur : p. 150; voir également </w:t>
      </w:r>
      <w:r w:rsidRPr="00160B0D">
        <w:rPr>
          <w:rFonts w:cs="Times New Roman"/>
          <w:i/>
          <w:lang w:val="fr-CA"/>
        </w:rPr>
        <w:t>Anns</w:t>
      </w:r>
      <w:r w:rsidRPr="00160B0D">
        <w:rPr>
          <w:rFonts w:cs="Times New Roman"/>
          <w:lang w:val="fr-CA"/>
        </w:rPr>
        <w:t>, p. 751</w:t>
      </w:r>
      <w:r w:rsidRPr="00160B0D">
        <w:rPr>
          <w:rFonts w:cs="Times New Roman"/>
          <w:lang w:val="fr-CA"/>
        </w:rPr>
        <w:noBreakHyphen/>
        <w:t xml:space="preserve">752; </w:t>
      </w:r>
      <w:r w:rsidRPr="00160B0D">
        <w:rPr>
          <w:rFonts w:cs="Times New Roman"/>
          <w:i/>
          <w:lang w:val="fr-CA"/>
        </w:rPr>
        <w:t>Childs</w:t>
      </w:r>
      <w:r w:rsidRPr="00160B0D">
        <w:rPr>
          <w:rFonts w:cs="Times New Roman"/>
          <w:lang w:val="fr-CA"/>
        </w:rPr>
        <w:t>, par. 25.</w:t>
      </w:r>
    </w:p>
    <w:p w:rsidR="003C5BAD" w:rsidRPr="00160B0D" w:rsidRDefault="003C5BAD" w:rsidP="003C5BAD">
      <w:pPr>
        <w:pStyle w:val="ParaNoNdepar-AltN"/>
        <w:rPr>
          <w:rFonts w:cs="Times New Roman"/>
          <w:lang w:val="fr-CA"/>
        </w:rPr>
      </w:pPr>
      <w:r w:rsidRPr="00160B0D">
        <w:rPr>
          <w:rFonts w:cs="Times New Roman"/>
          <w:lang w:val="fr-CA"/>
        </w:rPr>
        <w:t xml:space="preserve">Les faits de la présente affaire illustrent l’importance de formuler la question de la prévisibilité du préjudice avec suffisamment de rigueur sur le plan analytique pour être en mesure d’établir un lien entre, d’une part, le manque de diligence et, d’autre part, le type de préjudice causé aux personnes se trouvant dans une situation analogue à celle du demandeur. En l’espèce, la demande est présentée par une personne qui a subi des lésions corporelles à la suite du vol d’une voiture chez Rankin’s Garage. La question de la prévisibilité doit donc être formulée de manière à établir un lien entre l’acte reproché (laisser un véhicule non verrouillé) et le préjudice subi par le demandeur (des lésions corporelles). </w:t>
      </w:r>
    </w:p>
    <w:p w:rsidR="003C5BAD" w:rsidRPr="00160B0D" w:rsidRDefault="003C5BAD" w:rsidP="003C5BAD">
      <w:pPr>
        <w:pStyle w:val="ParaNoNdepar-AltN"/>
        <w:rPr>
          <w:rFonts w:cs="Times New Roman"/>
          <w:lang w:val="fr-CA"/>
        </w:rPr>
      </w:pPr>
      <w:r w:rsidRPr="00160B0D">
        <w:rPr>
          <w:rFonts w:cs="Times New Roman"/>
          <w:lang w:val="fr-CA"/>
        </w:rPr>
        <w:t xml:space="preserve">Ainsi, dans ce contexte, il ne suffit pas de déterminer si le vol du véhicule était raisonnablement prévisible. D’ailleurs, la demande n’a pas été introduite par le propriétaire de la voiture pour la perte de son droit de propriété sur la voiture; si tel avait été le cas, un risque général de vol suffirait. Qualifier le risque en cause de risque de vol ne permettrait pas de comprendre en quoi l’acte reproché est répréhensible dans le cas qui nous occupe, puisque le fait </w:t>
      </w:r>
      <w:r w:rsidR="008B70C6">
        <w:rPr>
          <w:rFonts w:cs="Times New Roman"/>
          <w:lang w:val="fr-CA"/>
        </w:rPr>
        <w:t xml:space="preserve">de créer </w:t>
      </w:r>
      <w:r w:rsidRPr="00160B0D">
        <w:rPr>
          <w:rFonts w:cs="Times New Roman"/>
          <w:lang w:val="fr-CA"/>
        </w:rPr>
        <w:t xml:space="preserve">un risque de vol ne lui ferait pas nécessairement courir celui de subir des lésions corporelles. Il faut plutôt présenter d’autres éléments de preuve pour établir un lien entre le vol et la conduite dangereuse du véhicule volé. Dans ce </w:t>
      </w:r>
      <w:r w:rsidRPr="00160B0D">
        <w:rPr>
          <w:rStyle w:val="cohl"/>
          <w:rFonts w:cs="Times New Roman"/>
          <w:lang w:val="fr-CA"/>
        </w:rPr>
        <w:t xml:space="preserve">contexte, il faut donc se demander si une personne se trouvant dans la situation du défendeur aurait raisonnablement pu prévoir le type de préjudice </w:t>
      </w:r>
      <w:r w:rsidRPr="00160B0D">
        <w:rPr>
          <w:rStyle w:val="cohl"/>
          <w:rFonts w:cs="Times New Roman"/>
          <w:lang w:val="fr-CA"/>
        </w:rPr>
        <w:lastRenderedPageBreak/>
        <w:t xml:space="preserve">qui a été subi, soit des lésions corporelles, lorsqu’elle considérait la sécurité des véhicules entreposés au garage. </w:t>
      </w:r>
    </w:p>
    <w:p w:rsidR="003C5BAD" w:rsidRPr="00160B0D" w:rsidRDefault="003C5BAD" w:rsidP="003C5BAD">
      <w:pPr>
        <w:pStyle w:val="Title1LevelTitre1Niveau-AltL"/>
        <w:rPr>
          <w:rFonts w:cs="Times New Roman"/>
          <w:lang w:val="fr-CA"/>
        </w:rPr>
      </w:pPr>
      <w:r w:rsidRPr="00160B0D">
        <w:rPr>
          <w:rFonts w:cs="Times New Roman"/>
          <w:lang w:val="fr-CA"/>
        </w:rPr>
        <w:t>Analyse</w:t>
      </w:r>
    </w:p>
    <w:p w:rsidR="003C5BAD" w:rsidRPr="00160B0D" w:rsidRDefault="003C5BAD" w:rsidP="003C5BAD">
      <w:pPr>
        <w:pStyle w:val="ParaNoNdepar-AltN"/>
        <w:rPr>
          <w:rFonts w:cs="Times New Roman"/>
          <w:lang w:val="fr-CA"/>
        </w:rPr>
      </w:pPr>
      <w:r w:rsidRPr="00160B0D">
        <w:rPr>
          <w:rFonts w:cs="Times New Roman"/>
          <w:lang w:val="fr-CA"/>
        </w:rPr>
        <w:t xml:space="preserve">La jurisprudence canadienne ne donne pas de directives claires quant à la façon de déterminer s’il incombe ou non une obligation de diligence à une entreprise envers une personne qui subit des lésions corporelles à la suite du vol d’un véhicule qui se trouvait sur les lieux où cette entreprise exerce ses activités. La jurisprudence des juridictions inférieures est quant à elle divisée et aucun consensus ne s’en dégage : voir, p. ex., </w:t>
      </w:r>
      <w:r w:rsidRPr="00160B0D">
        <w:rPr>
          <w:rFonts w:cs="Times New Roman"/>
          <w:i/>
          <w:lang w:val="fr-CA"/>
        </w:rPr>
        <w:t>Hollett c. Coca</w:t>
      </w:r>
      <w:r w:rsidRPr="00160B0D">
        <w:rPr>
          <w:rFonts w:cs="Times New Roman"/>
          <w:i/>
          <w:lang w:val="fr-CA"/>
        </w:rPr>
        <w:noBreakHyphen/>
        <w:t>Cola Ltd.</w:t>
      </w:r>
      <w:r w:rsidRPr="00160B0D">
        <w:rPr>
          <w:rFonts w:cs="Times New Roman"/>
          <w:lang w:val="fr-CA"/>
        </w:rPr>
        <w:t xml:space="preserve"> (1980), 37 N.S.R. (2d) 695 (C.S. div. 1</w:t>
      </w:r>
      <w:r w:rsidRPr="00160B0D">
        <w:rPr>
          <w:rFonts w:cs="Times New Roman"/>
          <w:vertAlign w:val="superscript"/>
          <w:lang w:val="fr-CA"/>
        </w:rPr>
        <w:t>re</w:t>
      </w:r>
      <w:r w:rsidRPr="00160B0D">
        <w:rPr>
          <w:rFonts w:cs="Times New Roman"/>
          <w:lang w:val="fr-CA"/>
        </w:rPr>
        <w:t xml:space="preserve"> inst.); </w:t>
      </w:r>
      <w:r w:rsidRPr="00160B0D">
        <w:rPr>
          <w:rFonts w:cs="Times New Roman"/>
          <w:i/>
          <w:lang w:val="fr-CA"/>
        </w:rPr>
        <w:t>Tong c. Bedwell</w:t>
      </w:r>
      <w:r w:rsidRPr="00160B0D">
        <w:rPr>
          <w:rFonts w:cs="Times New Roman"/>
          <w:lang w:val="fr-CA"/>
        </w:rPr>
        <w:t xml:space="preserve">, 2002 ABQB 213, 311 A.R. 174; </w:t>
      </w:r>
      <w:r w:rsidRPr="00160B0D">
        <w:rPr>
          <w:rFonts w:cs="Times New Roman"/>
          <w:i/>
          <w:lang w:val="fr-CA"/>
        </w:rPr>
        <w:t>Moore c. Fanning</w:t>
      </w:r>
      <w:r w:rsidRPr="00160B0D">
        <w:rPr>
          <w:rFonts w:cs="Times New Roman"/>
          <w:lang w:val="fr-CA"/>
        </w:rPr>
        <w:t xml:space="preserve"> (1987), 60 O.R. (2d) 225 (H.C.J.); </w:t>
      </w:r>
      <w:r w:rsidRPr="00160B0D">
        <w:rPr>
          <w:rFonts w:cs="Times New Roman"/>
          <w:i/>
          <w:lang w:val="fr-CA"/>
        </w:rPr>
        <w:t>Werbeniuk c. Maynard</w:t>
      </w:r>
      <w:r w:rsidRPr="00160B0D">
        <w:rPr>
          <w:rFonts w:cs="Times New Roman"/>
          <w:lang w:val="fr-CA"/>
        </w:rPr>
        <w:t xml:space="preserve"> (1994), 93 Man. R. (2d) 318 (B.R.); et </w:t>
      </w:r>
      <w:r w:rsidRPr="00160B0D">
        <w:rPr>
          <w:rFonts w:cs="Times New Roman"/>
          <w:i/>
          <w:lang w:val="fr-CA"/>
        </w:rPr>
        <w:t>Norgard c. Asuchak</w:t>
      </w:r>
      <w:r w:rsidRPr="00160B0D">
        <w:rPr>
          <w:rFonts w:cs="Times New Roman"/>
          <w:lang w:val="fr-CA"/>
        </w:rPr>
        <w:t>, [1984] A.J</w:t>
      </w:r>
      <w:r w:rsidR="000D0F18">
        <w:rPr>
          <w:rFonts w:cs="Times New Roman"/>
          <w:lang w:val="fr-CA"/>
        </w:rPr>
        <w:t>.</w:t>
      </w:r>
      <w:r w:rsidRPr="00160B0D">
        <w:rPr>
          <w:rFonts w:cs="Times New Roman"/>
          <w:lang w:val="fr-CA"/>
        </w:rPr>
        <w:t xml:space="preserve"> No. 394 (QL) (B.R.); voir par ailleurs </w:t>
      </w:r>
      <w:r w:rsidRPr="00160B0D">
        <w:rPr>
          <w:rFonts w:cs="Times New Roman"/>
          <w:i/>
          <w:lang w:val="fr-CA"/>
        </w:rPr>
        <w:t>Kalogeropoulos c. Ottawa (City)</w:t>
      </w:r>
      <w:r w:rsidRPr="00160B0D">
        <w:rPr>
          <w:rFonts w:cs="Times New Roman"/>
          <w:lang w:val="fr-CA"/>
        </w:rPr>
        <w:t xml:space="preserve"> (1996), 35 M.P.L.R. (2d) 287 (C.J. Ont. </w:t>
      </w:r>
      <w:r w:rsidRPr="00160B0D">
        <w:rPr>
          <w:rFonts w:cs="Times New Roman"/>
          <w:lang w:val="en-US"/>
        </w:rPr>
        <w:t>(</w:t>
      </w:r>
      <w:r w:rsidR="008B70C6">
        <w:rPr>
          <w:rFonts w:cs="Times New Roman"/>
          <w:lang w:val="en-US"/>
        </w:rPr>
        <w:t>D</w:t>
      </w:r>
      <w:r w:rsidRPr="00160B0D">
        <w:rPr>
          <w:rFonts w:cs="Times New Roman"/>
          <w:lang w:val="en-US"/>
        </w:rPr>
        <w:t xml:space="preserve">iv. gén.)); </w:t>
      </w:r>
      <w:r w:rsidRPr="00160B0D">
        <w:rPr>
          <w:rFonts w:cs="Times New Roman"/>
          <w:i/>
          <w:lang w:val="en-US"/>
        </w:rPr>
        <w:t>Cairns c. General Accident Assurance Co. of Canada</w:t>
      </w:r>
      <w:r w:rsidRPr="00160B0D">
        <w:rPr>
          <w:rFonts w:cs="Times New Roman"/>
          <w:lang w:val="en-US"/>
        </w:rPr>
        <w:t>, [1992] O.J. No. 1432 (QL) (</w:t>
      </w:r>
      <w:r w:rsidR="00B820F4">
        <w:rPr>
          <w:rFonts w:cs="Times New Roman"/>
          <w:lang w:val="en-US"/>
        </w:rPr>
        <w:t>D</w:t>
      </w:r>
      <w:r w:rsidRPr="00160B0D">
        <w:rPr>
          <w:rFonts w:cs="Times New Roman"/>
          <w:lang w:val="en-US"/>
        </w:rPr>
        <w:t xml:space="preserve">iv. gén.); et </w:t>
      </w:r>
      <w:r w:rsidRPr="00160B0D">
        <w:rPr>
          <w:rFonts w:cs="Times New Roman"/>
          <w:i/>
          <w:lang w:val="en-US"/>
        </w:rPr>
        <w:t>Provost c. Bolton</w:t>
      </w:r>
      <w:r w:rsidRPr="00160B0D">
        <w:rPr>
          <w:rFonts w:cs="Times New Roman"/>
          <w:lang w:val="en-US"/>
        </w:rPr>
        <w:t xml:space="preserve">, 2017 BCSC 1608, 100 B.C.L.R. (5th) 362. </w:t>
      </w:r>
      <w:r w:rsidRPr="00160B0D">
        <w:rPr>
          <w:rFonts w:cs="Times New Roman"/>
          <w:lang w:val="fr-CA"/>
        </w:rPr>
        <w:t xml:space="preserve">Les cours d’instances inférieures ont exprimé des opinions divergentes quant à la reconnaissance d’une obligation de diligence par la jurisprudence; elles ont toutefois toutes les deux appliqué le cadre d’analyse établi par les arrêts </w:t>
      </w:r>
      <w:r w:rsidRPr="00160B0D">
        <w:rPr>
          <w:rFonts w:cs="Times New Roman"/>
          <w:i/>
          <w:lang w:val="fr-CA"/>
        </w:rPr>
        <w:t>Anns/Cooper</w:t>
      </w:r>
      <w:r w:rsidRPr="00160B0D">
        <w:rPr>
          <w:rFonts w:cs="Times New Roman"/>
          <w:lang w:val="fr-CA"/>
        </w:rPr>
        <w:t xml:space="preserve">. La Cour ne s’est jamais prononcée sur la question. À l’instar des cours d’instances inférieures, je vais procéder à l’analyse préconisée par les arrêts </w:t>
      </w:r>
      <w:r w:rsidRPr="00160B0D">
        <w:rPr>
          <w:rFonts w:cs="Times New Roman"/>
          <w:i/>
          <w:lang w:val="fr-CA"/>
        </w:rPr>
        <w:t>Anns/Cooper</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 xml:space="preserve">Je ne partage pas le point de vue de mon collègue suivant lequel la présente affaire relève d’une vaste catégorie définie simplement comme celle qui englobe les cas où les lésions corporelles étaient prévisibles : voir les arrêts </w:t>
      </w:r>
      <w:r w:rsidRPr="00160B0D">
        <w:rPr>
          <w:rFonts w:cs="Times New Roman"/>
          <w:i/>
          <w:lang w:val="fr-CA"/>
        </w:rPr>
        <w:t xml:space="preserve">Cooper </w:t>
      </w:r>
      <w:r w:rsidRPr="00160B0D">
        <w:rPr>
          <w:rFonts w:cs="Times New Roman"/>
          <w:lang w:val="fr-CA"/>
        </w:rPr>
        <w:t xml:space="preserve">et </w:t>
      </w:r>
      <w:r w:rsidRPr="00160B0D">
        <w:rPr>
          <w:rFonts w:cs="Times New Roman"/>
          <w:i/>
          <w:lang w:val="fr-CA"/>
        </w:rPr>
        <w:t>Childs</w:t>
      </w:r>
      <w:r w:rsidRPr="00160B0D">
        <w:rPr>
          <w:rFonts w:cs="Times New Roman"/>
          <w:lang w:val="fr-CA"/>
        </w:rPr>
        <w:t xml:space="preserve">. Une </w:t>
      </w:r>
      <w:r w:rsidRPr="00160B0D">
        <w:rPr>
          <w:rFonts w:cs="Times New Roman"/>
          <w:lang w:val="fr-CA"/>
        </w:rPr>
        <w:lastRenderedPageBreak/>
        <w:t xml:space="preserve">telle approche irait à l’encontre des orientations récentes données par la Cour, selon lesquelles les catégories devraient être définies de façon restrictive (voir l’arrêt </w:t>
      </w:r>
      <w:r w:rsidRPr="00160B0D">
        <w:rPr>
          <w:rFonts w:cs="Times New Roman"/>
          <w:i/>
          <w:lang w:val="fr-CA"/>
        </w:rPr>
        <w:t>Deloitte</w:t>
      </w:r>
      <w:r w:rsidRPr="00160B0D">
        <w:rPr>
          <w:rFonts w:cs="Times New Roman"/>
          <w:lang w:val="fr-CA"/>
        </w:rPr>
        <w:t xml:space="preserve">, par. 28); en effet, même dans l’arrêt </w:t>
      </w:r>
      <w:r w:rsidRPr="00160B0D">
        <w:rPr>
          <w:rFonts w:cs="Times New Roman"/>
          <w:i/>
          <w:lang w:val="fr-CA"/>
        </w:rPr>
        <w:t>Deloitte</w:t>
      </w:r>
      <w:r w:rsidRPr="00160B0D">
        <w:rPr>
          <w:rFonts w:cs="Times New Roman"/>
          <w:lang w:val="fr-CA"/>
        </w:rPr>
        <w:t>, les catégories « vastes » qui ont été abordées étaient de portée plus restreinte que celle des lésions corporelles prévisibles (p. ex., l’obligation de diligence de l’automobiliste envers les autres usagers de la route; celle du médecin envers son patient) (voir par. 27). Qui plus est,</w:t>
      </w:r>
      <w:r w:rsidR="0011200E">
        <w:rPr>
          <w:rFonts w:cs="Times New Roman"/>
          <w:lang w:val="fr-CA"/>
        </w:rPr>
        <w:t xml:space="preserve"> dans un cas comme celui-ci,</w:t>
      </w:r>
      <w:r w:rsidRPr="00160B0D">
        <w:rPr>
          <w:rFonts w:cs="Times New Roman"/>
          <w:lang w:val="fr-CA"/>
        </w:rPr>
        <w:t xml:space="preserve"> le fait de recourir à une catégorie aussi vaste ferait fi de toute distinction entre une entreprise et un défendeur résidentiel qui pourrait être pertinente pour déterminer l’existence d’un lien de proximité et/ou de considérations de principe. L’application de la catégorie que propose mon collègue aux faits de la présente affaire serait une indication de l’élargissement de cette catégorie de telle sorte qu’elle en engloberait de nombreuses autres reconnues en droit de la responsabilité délictuelle, les rendant ainsi inutiles dans les af</w:t>
      </w:r>
      <w:r w:rsidR="00B1015F">
        <w:rPr>
          <w:rFonts w:cs="Times New Roman"/>
          <w:lang w:val="fr-CA"/>
        </w:rPr>
        <w:t>faires de lésions corporelles (</w:t>
      </w:r>
      <w:r w:rsidRPr="00160B0D">
        <w:rPr>
          <w:rFonts w:cs="Times New Roman"/>
          <w:lang w:val="fr-CA"/>
        </w:rPr>
        <w:t>p. ex., l’obligation de diligence de l’automobiliste envers les autres usagers de la route (</w:t>
      </w:r>
      <w:r w:rsidRPr="00160B0D">
        <w:rPr>
          <w:rFonts w:cs="Times New Roman"/>
          <w:i/>
          <w:lang w:val="fr-CA"/>
        </w:rPr>
        <w:t>Hill c. Commission des services policiers de la municipalité régionale de Hamilton-Wentworth</w:t>
      </w:r>
      <w:r w:rsidRPr="00160B0D">
        <w:rPr>
          <w:rFonts w:cs="Times New Roman"/>
          <w:lang w:val="fr-CA"/>
        </w:rPr>
        <w:t>, 2007 CSC 41, [2007] 3 R.C.S. 129, par. 25); l’obligation de diligence du fabricant d’un bien de consommation envers le consommateur (</w:t>
      </w:r>
      <w:r w:rsidRPr="00160B0D">
        <w:rPr>
          <w:rFonts w:cs="Times New Roman"/>
          <w:i/>
          <w:lang w:val="fr-CA"/>
        </w:rPr>
        <w:t>Mustapha</w:t>
      </w:r>
      <w:r w:rsidRPr="00160B0D">
        <w:rPr>
          <w:rFonts w:cs="Times New Roman"/>
          <w:lang w:val="fr-CA"/>
        </w:rPr>
        <w:t>, par. 6)</w:t>
      </w:r>
      <w:r w:rsidR="0011200E">
        <w:rPr>
          <w:rFonts w:cs="Times New Roman"/>
          <w:lang w:val="fr-CA"/>
        </w:rPr>
        <w:t>)</w:t>
      </w:r>
      <w:r w:rsidRPr="00160B0D">
        <w:rPr>
          <w:rFonts w:cs="Times New Roman"/>
          <w:lang w:val="fr-CA"/>
        </w:rPr>
        <w:t>. Ni les juridictions inférieures ni les parties n’ont articulé la question en litige en l’espèce de façon aussi large. Enfin, la prévisibilité des lésions corporelles est comprise dans la catégorie qu’identifie mon collègue or, comme je l’explique plus loin, les lésions corporelles n’étaient pas prévisibles dans la présente affaire.</w:t>
      </w:r>
    </w:p>
    <w:p w:rsidR="003C5BAD" w:rsidRPr="00160B0D" w:rsidRDefault="003C5BAD" w:rsidP="003C5BAD">
      <w:pPr>
        <w:pStyle w:val="Title2LevelTitre2Niveau"/>
        <w:numPr>
          <w:ilvl w:val="0"/>
          <w:numId w:val="28"/>
        </w:numPr>
        <w:ind w:left="567" w:hanging="567"/>
        <w:rPr>
          <w:rFonts w:cs="Times New Roman"/>
          <w:lang w:val="fr-CA"/>
        </w:rPr>
      </w:pPr>
      <w:r w:rsidRPr="00160B0D">
        <w:rPr>
          <w:rFonts w:cs="Times New Roman"/>
          <w:lang w:val="fr-CA"/>
        </w:rPr>
        <w:t>Le risque de lésions corporelles était</w:t>
      </w:r>
      <w:r w:rsidRPr="00160B0D">
        <w:rPr>
          <w:rFonts w:cs="Times New Roman"/>
          <w:lang w:val="fr-CA"/>
        </w:rPr>
        <w:noBreakHyphen/>
        <w:t>il raisonn</w:t>
      </w:r>
      <w:r w:rsidR="007317FF">
        <w:rPr>
          <w:rFonts w:cs="Times New Roman"/>
          <w:lang w:val="fr-CA"/>
        </w:rPr>
        <w:t>ablement prévisible en l’espèce</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Dans les brefs motifs qu’elle a prononcés à l’audience sur la question de la prévisibilité, la juge du procès a conclu que </w:t>
      </w:r>
      <w:r w:rsidRPr="00160B0D">
        <w:rPr>
          <w:rFonts w:cs="Times New Roman"/>
          <w:smallCaps/>
          <w:lang w:val="fr-CA"/>
        </w:rPr>
        <w:t>[traduction</w:t>
      </w:r>
      <w:r w:rsidRPr="00160B0D">
        <w:rPr>
          <w:rFonts w:cs="Times New Roman"/>
          <w:lang w:val="fr-CA"/>
        </w:rPr>
        <w:t xml:space="preserve">] « M. Chad Rankin savait qu’il avait l’obligation de sécuriser ses véhicules sur sa propriété ». Elle a ajouté qu’il « devait certainement être prévisible que des blessures pouvaient survenir si des adolescents en état d’ébriété se servaient d’un véhicule ». </w:t>
      </w:r>
    </w:p>
    <w:p w:rsidR="003C5BAD" w:rsidRPr="00160B0D" w:rsidRDefault="003C5BAD" w:rsidP="003C5BAD">
      <w:pPr>
        <w:pStyle w:val="ParaNoNdepar-AltN"/>
        <w:rPr>
          <w:rFonts w:cs="Times New Roman"/>
          <w:lang w:val="fr-CA"/>
        </w:rPr>
      </w:pPr>
      <w:r w:rsidRPr="00160B0D">
        <w:rPr>
          <w:rFonts w:cs="Times New Roman"/>
          <w:lang w:val="fr-CA"/>
        </w:rPr>
        <w:t>La Cour d’appel a entrepris une analyse plus rigoureuse sur ce point et a conclu que [</w:t>
      </w:r>
      <w:r w:rsidRPr="00160B0D">
        <w:rPr>
          <w:rFonts w:cs="Times New Roman"/>
          <w:smallCaps/>
          <w:lang w:val="fr-CA"/>
        </w:rPr>
        <w:t>traduction</w:t>
      </w:r>
      <w:r w:rsidRPr="00160B0D">
        <w:rPr>
          <w:rFonts w:cs="Times New Roman"/>
          <w:lang w:val="fr-CA"/>
        </w:rPr>
        <w:t>] « la preuve étayait amplement la conclusion de prévisibilité en l’espèce ». Cette analyse de la preuve ne portait toutefois que sur le risque de vol en général. </w:t>
      </w:r>
    </w:p>
    <w:p w:rsidR="003C5BAD" w:rsidRPr="00160B0D" w:rsidRDefault="003C5BAD" w:rsidP="003C5BAD">
      <w:pPr>
        <w:pStyle w:val="ParaNoNdepar-AltN"/>
        <w:rPr>
          <w:rFonts w:cs="Times New Roman"/>
          <w:lang w:val="fr-CA"/>
        </w:rPr>
      </w:pPr>
      <w:r w:rsidRPr="00160B0D">
        <w:rPr>
          <w:rFonts w:cs="Times New Roman"/>
          <w:lang w:val="fr-CA"/>
        </w:rPr>
        <w:t>La Cour d’appel a souligné que Rankin’s Garage était un établissement commercial qui avait en permanence la garde et le contrôle de nombreux véhicules et que, selon plusieurs témoins, il avait l’habitude de laisser les voitures déverrouillées avec les clés à l’intérieur. De plus, la Cour d’appel s’est appuyée sur le témoignage de deux personnes qui avaient relaté d</w:t>
      </w:r>
      <w:r w:rsidR="00AC2158">
        <w:rPr>
          <w:rFonts w:cs="Times New Roman"/>
          <w:lang w:val="fr-CA"/>
        </w:rPr>
        <w:t>es</w:t>
      </w:r>
      <w:r w:rsidRPr="00160B0D">
        <w:rPr>
          <w:rFonts w:cs="Times New Roman"/>
          <w:lang w:val="fr-CA"/>
        </w:rPr>
        <w:t xml:space="preserve"> vols de véhicules survenus dans le passé chez Rankin’s Garage et dans le secteur en général. La sœur aînée de C. a raconté que, quelque 9 à 11 ans avant l’incident, elle avait vu quelqu’un revenir chez Rankin’s Garage pour y remettre après minuit un véhicule volé et qu’elle avait surpris une conversation entre des inconnus qui avaient discuté de la façon dont ils avaient pris ce véhicule pour aller au McDonald. </w:t>
      </w:r>
    </w:p>
    <w:p w:rsidR="003C5BAD" w:rsidRPr="00160B0D" w:rsidRDefault="003C5BAD" w:rsidP="003C5BAD">
      <w:pPr>
        <w:pStyle w:val="ParaNoNdepar-AltN"/>
        <w:rPr>
          <w:rFonts w:cs="Times New Roman"/>
          <w:lang w:val="fr-CA"/>
        </w:rPr>
      </w:pPr>
      <w:r w:rsidRPr="00160B0D">
        <w:rPr>
          <w:rFonts w:cs="Times New Roman"/>
          <w:lang w:val="fr-CA"/>
        </w:rPr>
        <w:t xml:space="preserve">De plus, durant son témoignage, un policier a expliqué que les vols de véhicules ou les méfaits commis à l’égard de véhicules — lorsque des individus s’introduisent dans des véhicules pour les fouiller — étaient courants dans son secteur </w:t>
      </w:r>
      <w:r w:rsidRPr="00160B0D">
        <w:rPr>
          <w:rFonts w:cs="Times New Roman"/>
          <w:lang w:val="fr-CA"/>
        </w:rPr>
        <w:lastRenderedPageBreak/>
        <w:t>avant que l’incident en cause en l’espèce ne se produise. Il a ajouté que les détachements locaux publiaient des articles dans les journaux et faisaient des annonces à la radio pour rappeler aux gens de verrouiller leurs véhicules. En 2007, soit après l’accident, le programme « Verrouillez</w:t>
      </w:r>
      <w:r w:rsidRPr="00160B0D">
        <w:rPr>
          <w:rFonts w:cs="Times New Roman"/>
          <w:lang w:val="fr-CA"/>
        </w:rPr>
        <w:noBreakHyphen/>
        <w:t>la! » a été lancé. Dans le cadre de ce programme, des membres de la police auxiliaire vérifient si les véhicules sont verrouillés et avisent les propriétaires de ceux qui ne le sont pas.</w:t>
      </w:r>
    </w:p>
    <w:p w:rsidR="003C5BAD" w:rsidRPr="00160B0D" w:rsidRDefault="003C5BAD" w:rsidP="003C5BAD">
      <w:pPr>
        <w:pStyle w:val="ParaNoNdepar-AltN"/>
        <w:rPr>
          <w:rFonts w:cs="Times New Roman"/>
          <w:lang w:val="fr-CA"/>
        </w:rPr>
      </w:pPr>
      <w:r w:rsidRPr="00160B0D">
        <w:rPr>
          <w:rFonts w:cs="Times New Roman"/>
          <w:lang w:val="fr-CA"/>
        </w:rPr>
        <w:t>Tous les témoignages entendus sur les pratiques de Rankin’s Garage ou sur les antécédents de vols — pour ce qu’il en est — dans le secteur ont porté sur le risque de vol. Les témoignages n’ont pas laissé entendre que si un véhicule était volé, celui</w:t>
      </w:r>
      <w:r w:rsidRPr="00160B0D">
        <w:rPr>
          <w:rFonts w:cs="Times New Roman"/>
          <w:lang w:val="fr-CA"/>
        </w:rPr>
        <w:noBreakHyphen/>
        <w:t>ci serait conduit de façon dangereuse. Ils n’ont pas abordé non plus le risque de vol par un mineur ou le risque de vol susceptible de provoquer un accident causant des lésions corporelles. Le jury a d’ailleurs noté qu’il concluait à la responsabilité en se fondant sur la prévisibilité du vol. </w:t>
      </w:r>
    </w:p>
    <w:p w:rsidR="003C5BAD" w:rsidRPr="00160B0D" w:rsidRDefault="003C5BAD" w:rsidP="003C5BAD">
      <w:pPr>
        <w:pStyle w:val="ParaNoNdepar-AltN"/>
        <w:rPr>
          <w:rFonts w:cs="Times New Roman"/>
          <w:lang w:val="fr-CA"/>
        </w:rPr>
      </w:pPr>
      <w:r w:rsidRPr="00160B0D">
        <w:rPr>
          <w:rFonts w:cs="Times New Roman"/>
          <w:lang w:val="fr-CA"/>
        </w:rPr>
        <w:t>J’admets que la preuve pouvait démontrer, comme le jury l’a conclu, que le défendeur aurait dû être conscient du risque de vol. Il ne découle cependant pas automatiquement des éléments de preuve relatifs au risque de vol en général qu’un propriétaire de garage aurait dû tenir compte des risques de lésions corporelles. Je ne crois pas que quiconque laisse un véhicule déverrouillé avec les clés à l’intérieur devrait toujours raisonnablement s’attendre à ce que quelqu’un puisse être blessé si ce véhicule est volé. Cela étendrait excessivement la responsabilité délictuelle. Les lésions corporelles ne sont prévisibles que lorsque les faits permettent de penser qu’il y a non seulement un risque de vol, mais aussi un risque que le véhicule volé soit conduit de manière dangereuse.</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Cette approche est compatible avec la jurisprudence dominante des juridictions inférieures. Dans la plupart des affaires qui nous ont été citées et auxquelles les cours d’instances inférieures ont fait référence, les tribunaux ont conclu que le préjudice ultérieur (causé à un tiers) n’était pas raisonnablement prévisible. Suivant le raisonnement souvent suivi, bien que le vol ait pu être prévisible, le préjudice, les pertes et les dommages causés par la négligence ultérieure du conducteur du véhicule ne l’étaient pas : voir, p. ex., </w:t>
      </w:r>
      <w:r w:rsidRPr="00160B0D">
        <w:rPr>
          <w:rFonts w:cs="Times New Roman"/>
          <w:i/>
          <w:lang w:val="fr-CA"/>
        </w:rPr>
        <w:t>Hollett</w:t>
      </w:r>
      <w:r w:rsidRPr="00160B0D">
        <w:rPr>
          <w:rFonts w:cs="Times New Roman"/>
          <w:lang w:val="fr-CA"/>
        </w:rPr>
        <w:t xml:space="preserve">; </w:t>
      </w:r>
      <w:r w:rsidRPr="00160B0D">
        <w:rPr>
          <w:rFonts w:cs="Times New Roman"/>
          <w:i/>
          <w:lang w:val="fr-CA"/>
        </w:rPr>
        <w:t>Tong</w:t>
      </w:r>
      <w:r w:rsidRPr="00160B0D">
        <w:rPr>
          <w:rFonts w:cs="Times New Roman"/>
          <w:lang w:val="fr-CA"/>
        </w:rPr>
        <w:t xml:space="preserve">; </w:t>
      </w:r>
      <w:r w:rsidRPr="00160B0D">
        <w:rPr>
          <w:rFonts w:cs="Times New Roman"/>
          <w:i/>
          <w:lang w:val="fr-CA"/>
        </w:rPr>
        <w:t>Moore</w:t>
      </w:r>
      <w:r w:rsidRPr="00160B0D">
        <w:rPr>
          <w:rFonts w:cs="Times New Roman"/>
          <w:lang w:val="fr-CA"/>
        </w:rPr>
        <w:t xml:space="preserve">; </w:t>
      </w:r>
      <w:r w:rsidRPr="00160B0D">
        <w:rPr>
          <w:rFonts w:cs="Times New Roman"/>
          <w:i/>
          <w:lang w:val="fr-CA"/>
        </w:rPr>
        <w:t>Werbeniuk</w:t>
      </w:r>
      <w:r w:rsidRPr="00160B0D">
        <w:rPr>
          <w:rFonts w:cs="Times New Roman"/>
          <w:lang w:val="fr-CA"/>
        </w:rPr>
        <w:t xml:space="preserve">; et </w:t>
      </w:r>
      <w:r w:rsidRPr="00160B0D">
        <w:rPr>
          <w:rFonts w:cs="Times New Roman"/>
          <w:i/>
          <w:lang w:val="fr-CA"/>
        </w:rPr>
        <w:t>Norgard</w:t>
      </w:r>
      <w:r w:rsidRPr="00160B0D">
        <w:rPr>
          <w:rFonts w:cs="Times New Roman"/>
          <w:lang w:val="fr-CA"/>
        </w:rPr>
        <w:t xml:space="preserve">. Voir également </w:t>
      </w:r>
      <w:r w:rsidRPr="00160B0D">
        <w:rPr>
          <w:rFonts w:cs="Times New Roman"/>
          <w:i/>
          <w:lang w:val="fr-CA"/>
        </w:rPr>
        <w:t>Canada (</w:t>
      </w:r>
      <w:r w:rsidR="00852A9E">
        <w:rPr>
          <w:rFonts w:cs="Times New Roman"/>
          <w:i/>
          <w:lang w:val="fr-CA"/>
        </w:rPr>
        <w:t>Attorney General</w:t>
      </w:r>
      <w:r w:rsidRPr="00160B0D">
        <w:rPr>
          <w:rFonts w:cs="Times New Roman"/>
          <w:i/>
          <w:lang w:val="fr-CA"/>
        </w:rPr>
        <w:t>) c. LaFlamme</w:t>
      </w:r>
      <w:r w:rsidRPr="00160B0D">
        <w:rPr>
          <w:rFonts w:cs="Times New Roman"/>
          <w:lang w:val="fr-CA"/>
        </w:rPr>
        <w:t>, [1983] 3 W.W.R. 350 (Cour de comté C.</w:t>
      </w:r>
      <w:r w:rsidRPr="00160B0D">
        <w:rPr>
          <w:rFonts w:cs="Times New Roman"/>
          <w:lang w:val="fr-CA"/>
        </w:rPr>
        <w:noBreakHyphen/>
        <w:t xml:space="preserve">B.); </w:t>
      </w:r>
      <w:r w:rsidR="00852A9E">
        <w:rPr>
          <w:rFonts w:cs="Times New Roman"/>
          <w:i/>
          <w:lang w:val="fr-CA"/>
        </w:rPr>
        <w:t>Aldus c. Be</w:t>
      </w:r>
      <w:r w:rsidRPr="00160B0D">
        <w:rPr>
          <w:rFonts w:cs="Times New Roman"/>
          <w:i/>
          <w:lang w:val="fr-CA"/>
        </w:rPr>
        <w:t xml:space="preserve">lair </w:t>
      </w:r>
      <w:r w:rsidRPr="00160B0D">
        <w:rPr>
          <w:rFonts w:cs="Times New Roman"/>
          <w:lang w:val="fr-CA"/>
        </w:rPr>
        <w:t xml:space="preserve">(1992), 41 M.V.R. (2d) 129 (C.J. Ont. </w:t>
      </w:r>
      <w:r w:rsidRPr="00852A9E">
        <w:rPr>
          <w:rFonts w:cs="Times New Roman"/>
          <w:lang w:val="fr-CA"/>
        </w:rPr>
        <w:t>(</w:t>
      </w:r>
      <w:r w:rsidR="00B820F4">
        <w:rPr>
          <w:rFonts w:cs="Times New Roman"/>
          <w:lang w:val="fr-CA"/>
        </w:rPr>
        <w:t>D</w:t>
      </w:r>
      <w:r w:rsidRPr="00852A9E">
        <w:rPr>
          <w:rFonts w:cs="Times New Roman"/>
          <w:lang w:val="fr-CA"/>
        </w:rPr>
        <w:t xml:space="preserve">iv. gén.)); </w:t>
      </w:r>
      <w:r w:rsidRPr="00852A9E">
        <w:rPr>
          <w:rFonts w:cs="Times New Roman"/>
          <w:i/>
          <w:lang w:val="fr-CA"/>
        </w:rPr>
        <w:t>Campiou Estate c. Gladue</w:t>
      </w:r>
      <w:r w:rsidRPr="00852A9E">
        <w:rPr>
          <w:rFonts w:cs="Times New Roman"/>
          <w:lang w:val="fr-CA"/>
        </w:rPr>
        <w:t xml:space="preserve">, 2002 ABQB 1037, 332 A.R. 109; et </w:t>
      </w:r>
      <w:r w:rsidRPr="00852A9E">
        <w:rPr>
          <w:rFonts w:cs="Times New Roman"/>
          <w:i/>
          <w:iCs/>
          <w:szCs w:val="24"/>
          <w:lang w:val="fr-CA"/>
        </w:rPr>
        <w:t>Canadian Pacific Ltd. c. Swift Current No. 137 (Rura</w:t>
      </w:r>
      <w:r w:rsidRPr="00933047">
        <w:rPr>
          <w:rFonts w:cs="Times New Roman"/>
          <w:i/>
          <w:iCs/>
          <w:szCs w:val="24"/>
          <w:lang w:val="fr-CA"/>
        </w:rPr>
        <w:t>l Municipality)</w:t>
      </w:r>
      <w:r w:rsidRPr="00933047">
        <w:rPr>
          <w:rFonts w:cs="Times New Roman"/>
          <w:szCs w:val="24"/>
          <w:lang w:val="fr-CA"/>
        </w:rPr>
        <w:t xml:space="preserve"> (1991), 88 Sask. R. 281 (</w:t>
      </w:r>
      <w:r w:rsidRPr="00933047">
        <w:rPr>
          <w:rFonts w:cs="Times New Roman"/>
          <w:lang w:val="fr-CA"/>
        </w:rPr>
        <w:t>B.R.</w:t>
      </w:r>
      <w:r w:rsidRPr="00933047">
        <w:rPr>
          <w:rFonts w:cs="Times New Roman"/>
          <w:szCs w:val="24"/>
          <w:lang w:val="fr-CA"/>
        </w:rPr>
        <w:t xml:space="preserve">), conf. </w:t>
      </w:r>
      <w:r w:rsidR="00852A9E" w:rsidRPr="00933047">
        <w:rPr>
          <w:rFonts w:cs="Times New Roman"/>
          <w:szCs w:val="24"/>
          <w:lang w:val="fr-CA"/>
        </w:rPr>
        <w:t xml:space="preserve">par </w:t>
      </w:r>
      <w:r w:rsidRPr="00160B0D">
        <w:rPr>
          <w:rFonts w:cs="Times New Roman"/>
          <w:szCs w:val="24"/>
          <w:lang w:val="fr-CA"/>
        </w:rPr>
        <w:t>(1992), 109 Sask. R. 33 (C.A.).</w:t>
      </w:r>
    </w:p>
    <w:p w:rsidR="003C5BAD" w:rsidRPr="00160B0D" w:rsidRDefault="003C5BAD" w:rsidP="003C5BAD">
      <w:pPr>
        <w:pStyle w:val="ParaNoNdepar-AltN"/>
        <w:rPr>
          <w:rFonts w:cs="Times New Roman"/>
          <w:lang w:val="fr-CA"/>
        </w:rPr>
      </w:pPr>
      <w:r w:rsidRPr="00160B0D">
        <w:rPr>
          <w:rFonts w:cs="Times New Roman"/>
          <w:lang w:val="fr-CA"/>
        </w:rPr>
        <w:t xml:space="preserve">On ne nous a cité que trois décisions de première instance dans lesquelles le préjudice ultérieur subi par un tiers a été jugé prévisible : </w:t>
      </w:r>
      <w:r w:rsidRPr="00160B0D">
        <w:rPr>
          <w:rFonts w:cs="Times New Roman"/>
          <w:i/>
          <w:lang w:val="fr-CA"/>
        </w:rPr>
        <w:t xml:space="preserve">Kalogeropoulos </w:t>
      </w:r>
      <w:r w:rsidRPr="00160B0D">
        <w:rPr>
          <w:rFonts w:cs="Times New Roman"/>
          <w:lang w:val="fr-CA"/>
        </w:rPr>
        <w:t xml:space="preserve">(citée par la juge du procès); </w:t>
      </w:r>
      <w:r w:rsidRPr="00160B0D">
        <w:rPr>
          <w:rFonts w:cs="Times New Roman"/>
          <w:i/>
          <w:lang w:val="fr-CA"/>
        </w:rPr>
        <w:t>Cairns</w:t>
      </w:r>
      <w:r w:rsidRPr="00160B0D">
        <w:rPr>
          <w:rFonts w:cs="Times New Roman"/>
          <w:lang w:val="fr-CA"/>
        </w:rPr>
        <w:t xml:space="preserve">; et </w:t>
      </w:r>
      <w:r w:rsidRPr="00160B0D">
        <w:rPr>
          <w:rFonts w:cs="Times New Roman"/>
          <w:i/>
          <w:lang w:val="fr-CA"/>
        </w:rPr>
        <w:t>Provost</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 xml:space="preserve">Dans l’affaire </w:t>
      </w:r>
      <w:r w:rsidRPr="00160B0D">
        <w:rPr>
          <w:rFonts w:cs="Times New Roman"/>
          <w:i/>
          <w:lang w:val="fr-CA"/>
        </w:rPr>
        <w:t>Kalogeropoulos</w:t>
      </w:r>
      <w:r w:rsidRPr="00160B0D">
        <w:rPr>
          <w:rFonts w:cs="Times New Roman"/>
          <w:lang w:val="fr-CA"/>
        </w:rPr>
        <w:t>, le défendeur avait laissé un véhicule en marche dans un secteur de la ville situé à proximité de bars, juste après l</w:t>
      </w:r>
      <w:r w:rsidR="00B1015F">
        <w:rPr>
          <w:rFonts w:cs="Times New Roman"/>
          <w:lang w:val="fr-CA"/>
        </w:rPr>
        <w:t>’heure de fermeture de ceux</w:t>
      </w:r>
      <w:r w:rsidR="00B1015F">
        <w:rPr>
          <w:rFonts w:cs="Times New Roman"/>
          <w:lang w:val="fr-CA"/>
        </w:rPr>
        <w:noBreakHyphen/>
        <w:t>ci (</w:t>
      </w:r>
      <w:r w:rsidRPr="00160B0D">
        <w:rPr>
          <w:rFonts w:cs="Times New Roman"/>
          <w:lang w:val="fr-CA"/>
        </w:rPr>
        <w:t>par. 50</w:t>
      </w:r>
      <w:r w:rsidRPr="00160B0D">
        <w:rPr>
          <w:rFonts w:cs="Times New Roman"/>
          <w:lang w:val="fr-CA"/>
        </w:rPr>
        <w:noBreakHyphen/>
        <w:t>52</w:t>
      </w:r>
      <w:r w:rsidR="00B1015F">
        <w:rPr>
          <w:rFonts w:cs="Times New Roman"/>
          <w:lang w:val="fr-CA"/>
        </w:rPr>
        <w:t>)</w:t>
      </w:r>
      <w:r w:rsidRPr="00160B0D">
        <w:rPr>
          <w:rFonts w:cs="Times New Roman"/>
          <w:lang w:val="fr-CA"/>
        </w:rPr>
        <w:t>. Un homme qui avait passé la soirée à boire avait volé le véhicule. Les collègues du défendeur s’étaient lancés à la poursuite du voleur et le véhicule volé était entré en collision avec un taxi.</w:t>
      </w:r>
    </w:p>
    <w:p w:rsidR="003C5BAD" w:rsidRPr="00160B0D" w:rsidRDefault="003C5BAD" w:rsidP="003C5BAD">
      <w:pPr>
        <w:pStyle w:val="ParaNoNdepar-AltN"/>
        <w:rPr>
          <w:rFonts w:cs="Times New Roman"/>
          <w:lang w:val="fr-CA"/>
        </w:rPr>
      </w:pPr>
      <w:r w:rsidRPr="00160B0D">
        <w:rPr>
          <w:rFonts w:cs="Times New Roman"/>
          <w:lang w:val="fr-CA"/>
        </w:rPr>
        <w:t xml:space="preserve">Dans l’affaire </w:t>
      </w:r>
      <w:r w:rsidRPr="00160B0D">
        <w:rPr>
          <w:rFonts w:cs="Times New Roman"/>
          <w:i/>
          <w:lang w:val="fr-CA"/>
        </w:rPr>
        <w:t>Cairns</w:t>
      </w:r>
      <w:r w:rsidRPr="00160B0D">
        <w:rPr>
          <w:rFonts w:cs="Times New Roman"/>
          <w:lang w:val="fr-CA"/>
        </w:rPr>
        <w:t xml:space="preserve">, un groupe d’élèves du secondaire avait volé les clés de six voitures qui se trouvaient sur le terrain d’un concessionnaire d’automobiles et </w:t>
      </w:r>
      <w:r w:rsidRPr="00160B0D">
        <w:rPr>
          <w:rFonts w:cs="Times New Roman"/>
          <w:lang w:val="fr-CA"/>
        </w:rPr>
        <w:lastRenderedPageBreak/>
        <w:t>était revenu chez le même concessionnaire quelques jours plus tard pour voler deux voitures en plein jour. Un des jeunes, qui n’avait jamais conduit, avait brûlé un feu rouge, puis heurté et tué un piéton. Le juge de première instance a conclu que le concessionnaire était conscient du fait que des jeunes sans expérience de conduite étaient les auteurs les p</w:t>
      </w:r>
      <w:r w:rsidR="00B1015F">
        <w:rPr>
          <w:rFonts w:cs="Times New Roman"/>
          <w:lang w:val="fr-CA"/>
        </w:rPr>
        <w:t>lus probables du vol des clés (</w:t>
      </w:r>
      <w:r w:rsidRPr="00160B0D">
        <w:rPr>
          <w:rFonts w:cs="Times New Roman"/>
          <w:lang w:val="fr-CA"/>
        </w:rPr>
        <w:t>p. 4</w:t>
      </w:r>
      <w:r w:rsidR="00B1015F">
        <w:rPr>
          <w:rFonts w:cs="Times New Roman"/>
          <w:lang w:val="fr-CA"/>
        </w:rPr>
        <w:t>)</w:t>
      </w:r>
      <w:r w:rsidRPr="00160B0D">
        <w:rPr>
          <w:rFonts w:cs="Times New Roman"/>
          <w:lang w:val="fr-CA"/>
        </w:rPr>
        <w:t>. Dans ces circonstances, il était prévisible qu’ils reviennent voler les voitures. Il existait donc un lien entre le risque de vol et le risque qu’un préjudice soit causé par un conducteur inexpérimenté fuyant le lieu du vol.</w:t>
      </w:r>
    </w:p>
    <w:p w:rsidR="003C5BAD" w:rsidRPr="00160B0D" w:rsidRDefault="003C5BAD" w:rsidP="003C5BAD">
      <w:pPr>
        <w:pStyle w:val="ParaNoNdepar-AltN"/>
        <w:rPr>
          <w:rFonts w:cs="Times New Roman"/>
          <w:lang w:val="fr-CA"/>
        </w:rPr>
      </w:pPr>
      <w:r w:rsidRPr="00160B0D">
        <w:rPr>
          <w:rFonts w:cs="Times New Roman"/>
          <w:lang w:val="fr-CA"/>
        </w:rPr>
        <w:t xml:space="preserve">Dans l’affaire </w:t>
      </w:r>
      <w:r w:rsidRPr="00160B0D">
        <w:rPr>
          <w:rFonts w:cs="Times New Roman"/>
          <w:i/>
          <w:lang w:val="fr-CA"/>
        </w:rPr>
        <w:t>Provost</w:t>
      </w:r>
      <w:r w:rsidRPr="00160B0D">
        <w:rPr>
          <w:rFonts w:cs="Times New Roman"/>
          <w:lang w:val="fr-CA"/>
        </w:rPr>
        <w:t xml:space="preserve">, le tribunal a conclu à l’existence d’une obligation de diligence pour le concessionnaire d’automobiles en se fondant sur la décision rendue par la Cour d’appel en l’espèce. L’affaire </w:t>
      </w:r>
      <w:r w:rsidRPr="00160B0D">
        <w:rPr>
          <w:rFonts w:cs="Times New Roman"/>
          <w:i/>
          <w:lang w:val="fr-CA"/>
        </w:rPr>
        <w:t>Provost</w:t>
      </w:r>
      <w:r w:rsidRPr="00160B0D">
        <w:rPr>
          <w:rFonts w:cs="Times New Roman"/>
          <w:lang w:val="fr-CA"/>
        </w:rPr>
        <w:t xml:space="preserve"> concernait le vol d’un camion qui avait été laissé en marche pendant 40 minutes à la vue du public dans un secteur ouvert très fréquenté. L’accident est survenu lorsque le voleur tentait de fuir les lieux du crime. Sans me prononcer sur la question de savoir si cet élément de preuve était suffisant pour établir l’existence d’une obligation de diligence, je constate que des éléments de preuve précis avaient été présentés pour démontrer qu’il y avait un risque de conduite automobile dangereuse de la part du conducteur, du fait qu’il tentait d’échapper aux poli</w:t>
      </w:r>
      <w:r w:rsidR="00B1015F">
        <w:rPr>
          <w:rFonts w:cs="Times New Roman"/>
          <w:lang w:val="fr-CA"/>
        </w:rPr>
        <w:t>ciers à bord du véhicule volé (</w:t>
      </w:r>
      <w:r w:rsidRPr="00160B0D">
        <w:rPr>
          <w:rFonts w:cs="Times New Roman"/>
          <w:lang w:val="fr-CA"/>
        </w:rPr>
        <w:t>par. 142</w:t>
      </w:r>
      <w:r w:rsidRPr="00160B0D">
        <w:rPr>
          <w:rFonts w:cs="Times New Roman"/>
          <w:lang w:val="fr-CA"/>
        </w:rPr>
        <w:noBreakHyphen/>
        <w:t>145</w:t>
      </w:r>
      <w:r w:rsidR="00B1015F">
        <w:rPr>
          <w:rFonts w:cs="Times New Roman"/>
          <w:lang w:val="fr-CA"/>
        </w:rPr>
        <w:t>)</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Dans chacune de ces affaires, le contexte factuel comportait des éléments qui permettaient d’établir un lien entre le vol et la conduite dangereuse ultérieure du véhicule volé et qui faisaient en sorte que les lésions corporelles étaient par conséquent prévisibles.</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Comme la jurisprudence, je reconnais que le risque de vol n’inclut pas </w:t>
      </w:r>
      <w:r w:rsidRPr="00160B0D">
        <w:rPr>
          <w:rFonts w:cs="Times New Roman"/>
          <w:i/>
          <w:lang w:val="fr-CA"/>
        </w:rPr>
        <w:t>automatiquement</w:t>
      </w:r>
      <w:r w:rsidRPr="00160B0D">
        <w:rPr>
          <w:rFonts w:cs="Times New Roman"/>
          <w:lang w:val="fr-CA"/>
        </w:rPr>
        <w:t xml:space="preserve"> le risque de blessure résultant de la conduite ultérieure du véhicule volé. Une étape additionnelle s’impose. Pour conclure à l’existence d’une obligation, il doit exister une circonstance ou un élément de preuve </w:t>
      </w:r>
      <w:r w:rsidRPr="00160B0D">
        <w:rPr>
          <w:rFonts w:cs="Times New Roman"/>
          <w:i/>
          <w:lang w:val="fr-CA"/>
        </w:rPr>
        <w:t>quelconque</w:t>
      </w:r>
      <w:r w:rsidRPr="00160B0D">
        <w:rPr>
          <w:rFonts w:cs="Times New Roman"/>
          <w:lang w:val="fr-CA"/>
        </w:rPr>
        <w:t xml:space="preserve"> portant à croire qu’une personne dans la même situation que le défendeur aurait dû raisonnablement prévoir le risque de blessure, à savoir que le véhicule volé pourrait être conduit de façon dangereuse. Il n’est pas nécessaire que la preuve se rapporte aux caractéristiques de la personne qui a véritablement volé le véhicule ou à la façon dont les blessures ont été subies, mais la cour doit décider si, compte tenu de la preuve dont elle dispose, le caractère raisonnablement prévisible du risque de blessure a été établi.</w:t>
      </w:r>
    </w:p>
    <w:p w:rsidR="003C5BAD" w:rsidRPr="00160B0D" w:rsidRDefault="003C5BAD" w:rsidP="003C5BAD">
      <w:pPr>
        <w:pStyle w:val="ParaNoNdepar-AltN"/>
        <w:rPr>
          <w:rFonts w:cs="Times New Roman"/>
          <w:lang w:val="fr-CA"/>
        </w:rPr>
      </w:pPr>
      <w:r w:rsidRPr="00160B0D">
        <w:rPr>
          <w:rFonts w:cs="Times New Roman"/>
          <w:lang w:val="fr-CA"/>
        </w:rPr>
        <w:t>Dans les circonstances de l’espèce, les juridictions inférieures se sont fondées sur le risque de vol par des mineurs — qui pourraient bien s’avérer être des conducteurs inexpérimentés et insouciants — pour établir un lien entre le défaut de sécuriser les véhicules et la nature du préjudice subi, en l’occurrence, des lésions corporelles.</w:t>
      </w:r>
    </w:p>
    <w:p w:rsidR="003C5BAD" w:rsidRPr="00160B0D" w:rsidRDefault="003C5BAD" w:rsidP="003C5BAD">
      <w:pPr>
        <w:pStyle w:val="ParaNoNdepar-AltN"/>
        <w:rPr>
          <w:rFonts w:cs="Times New Roman"/>
          <w:lang w:val="fr-CA"/>
        </w:rPr>
      </w:pPr>
      <w:r w:rsidRPr="00160B0D">
        <w:rPr>
          <w:rFonts w:cs="Times New Roman"/>
          <w:lang w:val="fr-CA"/>
        </w:rPr>
        <w:t>Malgré le fait que toute la preuve portait sur le risque de vol en général, la Cour d’appel a conclu que, en l’espèce, le préjudice subi — soit des lésions corporelles — était raisonnablement prévisible. Pour ce faire, la cour s’est appuyée sur un certain nombre d’hypothèses. Elle a estimé que, parce que l’entreprise entreposait de nombreux véhicules, il lui incombait de les protéger contre les mineurs, entre les mains desquels ces véhicules risquaient de constituer un danger. Elle a reconnu que le risque général de vol comprenait le risque de vol par des mineurs (par. 53 et 57), que les voitures garées dans le stationnement étaient une [</w:t>
      </w:r>
      <w:r w:rsidRPr="00160B0D">
        <w:rPr>
          <w:rFonts w:cs="Times New Roman"/>
          <w:smallCaps/>
          <w:lang w:val="fr-CA"/>
        </w:rPr>
        <w:t>traduction</w:t>
      </w:r>
      <w:r w:rsidRPr="00160B0D">
        <w:rPr>
          <w:rFonts w:cs="Times New Roman"/>
          <w:lang w:val="fr-CA"/>
        </w:rPr>
        <w:t xml:space="preserve">] « cible attrayante » </w:t>
      </w:r>
      <w:r w:rsidRPr="00160B0D">
        <w:rPr>
          <w:rFonts w:cs="Times New Roman"/>
          <w:lang w:val="fr-CA"/>
        </w:rPr>
        <w:lastRenderedPageBreak/>
        <w:t>pour les voleurs et les mineurs tentés de faire une balade en voiture volée (par. 68) et que des mineurs pouvaient se blesser au cours d’une balade en voiture volée, surtout s’ils avaient les facultés affaiblies par l’alcool ou les drogues (par 53). La Cour d’appel a par conséquent estimé que le garage « aurait dû penser aux mineurs [. . .] lorsqu’il a envisagé des mesures de sécurité » (par. 56).</w:t>
      </w:r>
    </w:p>
    <w:p w:rsidR="003C5BAD" w:rsidRPr="00160B0D" w:rsidRDefault="003C5BAD" w:rsidP="003C5BAD">
      <w:pPr>
        <w:pStyle w:val="ParaNoNdepar-AltN"/>
        <w:rPr>
          <w:rFonts w:cs="Times New Roman"/>
          <w:lang w:val="fr-CA"/>
        </w:rPr>
      </w:pPr>
      <w:r w:rsidRPr="00160B0D">
        <w:rPr>
          <w:rFonts w:cs="Times New Roman"/>
          <w:lang w:val="fr-CA"/>
        </w:rPr>
        <w:t xml:space="preserve">Voici comment la Cour d’appel a résumé sa décision sur la prévisibilité : </w:t>
      </w:r>
    </w:p>
    <w:p w:rsidR="003C5BAD" w:rsidRPr="00160B0D" w:rsidRDefault="003C5BAD" w:rsidP="003C5BAD">
      <w:pPr>
        <w:pStyle w:val="Citation-AltC"/>
        <w:spacing w:after="240"/>
        <w:ind w:hanging="1166"/>
        <w:contextualSpacing w:val="0"/>
        <w:rPr>
          <w:lang w:val="fr-CA"/>
        </w:rPr>
      </w:pPr>
      <w:r w:rsidRPr="00160B0D">
        <w:rPr>
          <w:lang w:val="fr-CA"/>
        </w:rPr>
        <w:tab/>
      </w:r>
      <w:r w:rsidR="000D0F18">
        <w:rPr>
          <w:lang w:val="fr-CA"/>
        </w:rPr>
        <w:tab/>
      </w:r>
      <w:r w:rsidRPr="00160B0D">
        <w:rPr>
          <w:lang w:val="fr-CA"/>
        </w:rPr>
        <w:t>[</w:t>
      </w:r>
      <w:r w:rsidRPr="00160B0D">
        <w:rPr>
          <w:smallCaps/>
          <w:lang w:val="fr-CA"/>
        </w:rPr>
        <w:t>traduction</w:t>
      </w:r>
      <w:r w:rsidRPr="00160B0D">
        <w:rPr>
          <w:lang w:val="fr-CA"/>
        </w:rPr>
        <w:t>] En résumé, Rankin’s Garage était facilement accessible à tous. Rien n’indique que des mesures de sécurité ont été prises pour empêcher les gens de s’introduire sur la propriété en dehors des heures d’ouverture de l’entreprise. Les voitures étaient laissées déverrouillées avec les clés à l’intérieur. Le risque de vol était évident.</w:t>
      </w:r>
    </w:p>
    <w:p w:rsidR="003C5BAD" w:rsidRPr="00160B0D" w:rsidRDefault="003C5BAD" w:rsidP="003C5BAD">
      <w:pPr>
        <w:pStyle w:val="Citation-AltC"/>
        <w:ind w:hanging="1166"/>
        <w:contextualSpacing w:val="0"/>
        <w:rPr>
          <w:lang w:val="fr-CA"/>
        </w:rPr>
      </w:pPr>
      <w:r w:rsidRPr="00160B0D">
        <w:rPr>
          <w:lang w:val="fr-CA"/>
        </w:rPr>
        <w:tab/>
      </w:r>
      <w:r w:rsidRPr="00160B0D">
        <w:rPr>
          <w:lang w:val="fr-CA"/>
        </w:rPr>
        <w:tab/>
        <w:t>Dans ces conditions, il était prévisible que des mineurs puissent prendre une voiture dans le garage, auquel ils avaient aisément accès. Les éléments de preuve suivant lesquels un véhicule avait été volé chez Rankin’s Garage quelques années plus tôt pour une balade en voiture et que les vols de voiture et les méfaits sur des véhicules étaient courants dans le secteur renforcent cette conclusion. C’est une question de simple bon sens de penser que des mineurs risquent de se blesser au cours d’une balade en voiture volée, surtout s’ils ont les facultés affaiblies par l’alcool ou les drogues. [par. 52</w:t>
      </w:r>
      <w:r w:rsidRPr="00160B0D">
        <w:rPr>
          <w:lang w:val="fr-CA"/>
        </w:rPr>
        <w:noBreakHyphen/>
        <w:t>53]</w:t>
      </w:r>
    </w:p>
    <w:p w:rsidR="003C5BAD" w:rsidRPr="00160B0D" w:rsidRDefault="003C5BAD" w:rsidP="003C5BAD">
      <w:pPr>
        <w:pStyle w:val="ParaNoNdepar-AltN"/>
        <w:rPr>
          <w:rFonts w:cs="Times New Roman"/>
          <w:lang w:val="fr-CA"/>
        </w:rPr>
      </w:pPr>
      <w:r w:rsidRPr="00160B0D">
        <w:rPr>
          <w:rFonts w:cs="Times New Roman"/>
          <w:lang w:val="fr-CA"/>
        </w:rPr>
        <w:t>Toutefois, le risque de vol en général n’inclut pas automatiquement le risque de vol par des mineurs. Je ne peux souscrire à l’opinion de mon collègue, qui suggère que les mineurs, puisqu’ils sont imprudents, « ne sont pas moins susceptibles que qui que ce soit d’autre de voler une voiture » et que, de ce fait, le vol par des mineurs e</w:t>
      </w:r>
      <w:r w:rsidR="00B1015F">
        <w:rPr>
          <w:rFonts w:cs="Times New Roman"/>
          <w:lang w:val="fr-CA"/>
        </w:rPr>
        <w:t>st raisonnablement prévisible (</w:t>
      </w:r>
      <w:r w:rsidRPr="00160B0D">
        <w:rPr>
          <w:rFonts w:cs="Times New Roman"/>
          <w:lang w:val="fr-CA"/>
        </w:rPr>
        <w:t>par. 83</w:t>
      </w:r>
      <w:r w:rsidR="00B1015F">
        <w:rPr>
          <w:rFonts w:cs="Times New Roman"/>
          <w:lang w:val="fr-CA"/>
        </w:rPr>
        <w:t>)</w:t>
      </w:r>
      <w:r w:rsidRPr="00160B0D">
        <w:rPr>
          <w:rFonts w:cs="Times New Roman"/>
          <w:lang w:val="fr-CA"/>
        </w:rPr>
        <w:t xml:space="preserve">. Ce raisonnement par inférence est trop faible : il ne suffit pas de dire qu’il est possible que des mineurs non surveillés rôdent dans un stationnement à la recherche de véhicules non verrouillés. </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Le fait que quelque chose soit </w:t>
      </w:r>
      <w:r w:rsidRPr="00160B0D">
        <w:rPr>
          <w:rFonts w:cs="Times New Roman"/>
          <w:i/>
          <w:lang w:val="fr-CA"/>
        </w:rPr>
        <w:t xml:space="preserve">possible </w:t>
      </w:r>
      <w:r w:rsidRPr="00160B0D">
        <w:rPr>
          <w:rFonts w:cs="Times New Roman"/>
          <w:lang w:val="fr-CA"/>
        </w:rPr>
        <w:t xml:space="preserve">ne signifie pas que cette chose est raisonnablement prévisible. Évidemment, </w:t>
      </w:r>
      <w:r w:rsidRPr="00160B0D">
        <w:rPr>
          <w:rFonts w:cs="Times New Roman"/>
          <w:lang w:val="fr-FR"/>
        </w:rPr>
        <w:t>tout préjudice qui est déjà survenu était par définition possible</w:t>
      </w:r>
      <w:r w:rsidRPr="00160B0D">
        <w:rPr>
          <w:rFonts w:cs="Times New Roman"/>
          <w:lang w:val="fr-CA"/>
        </w:rPr>
        <w:t xml:space="preserve">. Ainsi, pour qu’un préjudice puisse être considéré comme étant raisonnablement prévisible, il faut satisfaire à un critère plus exigeant que celui de la simple possibilité : </w:t>
      </w:r>
      <w:r w:rsidRPr="00160B0D">
        <w:rPr>
          <w:rFonts w:cs="Times New Roman"/>
          <w:i/>
          <w:lang w:val="fr-CA"/>
        </w:rPr>
        <w:t>Childs</w:t>
      </w:r>
      <w:r w:rsidRPr="00160B0D">
        <w:rPr>
          <w:rFonts w:cs="Times New Roman"/>
          <w:lang w:val="fr-CA"/>
        </w:rPr>
        <w:t>, par. 29.</w:t>
      </w:r>
      <w:r w:rsidRPr="00160B0D">
        <w:rPr>
          <w:rStyle w:val="cohl"/>
          <w:rFonts w:cs="Times New Roman"/>
          <w:lang w:val="fr-CA"/>
        </w:rPr>
        <w:t xml:space="preserve"> La conclusion d’une cour selon laquelle le risque de vol inclut le risque de vol par des </w:t>
      </w:r>
      <w:r w:rsidRPr="00933047">
        <w:rPr>
          <w:rStyle w:val="cohl"/>
          <w:rFonts w:cs="Times New Roman"/>
          <w:i/>
          <w:lang w:val="fr-CA"/>
        </w:rPr>
        <w:t>mineurs</w:t>
      </w:r>
      <w:r w:rsidRPr="00160B0D">
        <w:rPr>
          <w:rStyle w:val="cohl"/>
          <w:rFonts w:cs="Times New Roman"/>
          <w:lang w:val="fr-CA"/>
        </w:rPr>
        <w:t xml:space="preserve"> doit être étayée par des éléments de preuve, à défaut de quoi ce deuxième type de vol serait toujours prévisible, même en l’absence de preuve portant à croire que le risque allait au</w:t>
      </w:r>
      <w:r w:rsidRPr="00160B0D">
        <w:rPr>
          <w:rStyle w:val="cohl"/>
          <w:rFonts w:cs="Times New Roman"/>
          <w:lang w:val="fr-CA"/>
        </w:rPr>
        <w:noBreakHyphen/>
        <w:t>delà de la simple possibilité. Une telle approche changerait fondamentalement le droit de la responsabilité délictuelle et pourrait entraîner un élargissement considérable de la responsabilité.</w:t>
      </w:r>
    </w:p>
    <w:p w:rsidR="003C5BAD" w:rsidRPr="00160B0D" w:rsidRDefault="003C5BAD" w:rsidP="003C5BAD">
      <w:pPr>
        <w:pStyle w:val="ParaNoNdepar-AltN"/>
        <w:rPr>
          <w:rFonts w:cs="Times New Roman"/>
          <w:lang w:val="fr-CA"/>
        </w:rPr>
      </w:pPr>
      <w:r w:rsidRPr="00160B0D">
        <w:rPr>
          <w:rFonts w:cs="Times New Roman"/>
          <w:lang w:val="fr-CA"/>
        </w:rPr>
        <w:t xml:space="preserve">J. se fonde sur le jugement </w:t>
      </w:r>
      <w:r w:rsidRPr="00160B0D">
        <w:rPr>
          <w:rFonts w:cs="Times New Roman"/>
          <w:i/>
          <w:lang w:val="fr-CA"/>
        </w:rPr>
        <w:t>Holian c. United Grain Growers Ltd.</w:t>
      </w:r>
      <w:r w:rsidRPr="00160B0D">
        <w:rPr>
          <w:rFonts w:cs="Times New Roman"/>
          <w:lang w:val="fr-CA"/>
        </w:rPr>
        <w:t xml:space="preserve"> (1980), 112 D.L.R. (3d) 611 (B.R. Man.), inf. pour d’autres motifs </w:t>
      </w:r>
      <w:r w:rsidR="00933047">
        <w:rPr>
          <w:rFonts w:cs="Times New Roman"/>
          <w:lang w:val="fr-CA"/>
        </w:rPr>
        <w:t>par</w:t>
      </w:r>
      <w:r w:rsidRPr="00160B0D">
        <w:rPr>
          <w:rFonts w:cs="Times New Roman"/>
          <w:lang w:val="fr-CA"/>
        </w:rPr>
        <w:t xml:space="preserve"> (1980), 114 D.L.R. (3d) 449 (C.A. Man.), à l’appui de la proposition selon laquelle une entreprise commerciale devrait tenir compte des lésions corporelles éventuelles en cas de vol commis par un mineur. Dans cette affaire, le demandeur avait subi des blessures après qu’un groupe de garçons âgés de 8 à 13 ans avait volé un insecticide dans le hangar d’entreposage déverrouillé du défendeur pour l’utiliser comme [</w:t>
      </w:r>
      <w:r w:rsidRPr="00160B0D">
        <w:rPr>
          <w:rFonts w:cs="Times New Roman"/>
          <w:smallCaps/>
          <w:lang w:val="fr-CA"/>
        </w:rPr>
        <w:t>traduction</w:t>
      </w:r>
      <w:r w:rsidRPr="00160B0D">
        <w:rPr>
          <w:rFonts w:cs="Times New Roman"/>
          <w:lang w:val="fr-CA"/>
        </w:rPr>
        <w:t xml:space="preserve">] « bombe puante ». Les jeunes avaient ensuite jeté l’insecticide dans la voiture du demandeur, qui avait subi des blessures après avoir inhalé le gaz toxique. Le tribunal a conclu que les employés du défendeur savaient que des enfants empruntaient la zone située près du hangar comme raccourci. Il était donc raisonnablement prévisible que des mineurs puissent voler quelque chose dans le hangar d’entreposage. </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En l’espèce, rien dans les circonstances entourant l’entreposage de voitures dans le stationnement d’un garage après les heures d’ouverture près de l’intersection principale de cette petite ville n’était censé attirer des mineurs ou connu pour les attirer. D’ailleurs, rien ne permet de penser que J. ou son ami ciblaient Rankin’s Garage en particulier; ils avaient parcouru la ville à la recherche de voitures non verrouillées. À la différence du camion du marchand de crème glacée, les véhicules ne sont pas conçus pour attirer les enfants : voir </w:t>
      </w:r>
      <w:r w:rsidRPr="00160B0D">
        <w:rPr>
          <w:rFonts w:cs="Times New Roman"/>
          <w:i/>
          <w:lang w:val="fr-CA"/>
        </w:rPr>
        <w:t>Arnold c. Teno</w:t>
      </w:r>
      <w:r w:rsidRPr="00160B0D">
        <w:rPr>
          <w:rFonts w:cs="Times New Roman"/>
          <w:lang w:val="fr-CA"/>
        </w:rPr>
        <w:t>, [1978] 2 R.C.S. 287, p. 300</w:t>
      </w:r>
      <w:r w:rsidRPr="00160B0D">
        <w:rPr>
          <w:rFonts w:cs="Times New Roman"/>
          <w:lang w:val="fr-CA"/>
        </w:rPr>
        <w:noBreakHyphen/>
        <w:t xml:space="preserve">302. Les témoins qui ont parlé des antécédents de vol de voitures dans le secteur n’ont pas laissé entendre que les vols avaient été commis par des mineurs. Par conséquent, il n’y a pas suffisamment d’éléments de preuve pour penser que des mineurs fréquenteraient ces lieux la nuit ou seraient impliqués dans un vol ou une balade en voiture volée. </w:t>
      </w:r>
    </w:p>
    <w:p w:rsidR="003C5BAD" w:rsidRPr="00160B0D" w:rsidRDefault="003C5BAD" w:rsidP="003C5BAD">
      <w:pPr>
        <w:pStyle w:val="ParaNoNdepar-AltN"/>
        <w:rPr>
          <w:rFonts w:cs="Times New Roman"/>
          <w:lang w:val="fr-CA"/>
        </w:rPr>
      </w:pPr>
      <w:r w:rsidRPr="00160B0D">
        <w:rPr>
          <w:rFonts w:cs="Times New Roman"/>
          <w:lang w:val="fr-CA"/>
        </w:rPr>
        <w:t xml:space="preserve">Le témoignage du père de J. est le seul élément de preuve pertinent quant à la question de savoir s’il était raisonnablement prévisible que des </w:t>
      </w:r>
      <w:r w:rsidRPr="00160B0D">
        <w:rPr>
          <w:rFonts w:cs="Times New Roman"/>
          <w:i/>
          <w:lang w:val="fr-CA"/>
        </w:rPr>
        <w:t>mineurs</w:t>
      </w:r>
      <w:r w:rsidRPr="00160B0D">
        <w:rPr>
          <w:rFonts w:cs="Times New Roman"/>
          <w:lang w:val="fr-CA"/>
        </w:rPr>
        <w:t xml:space="preserve"> puissent voler la voiture. Suivant ce témoignage, Rankin’s Garage est situé en face d’une station</w:t>
      </w:r>
      <w:r w:rsidRPr="00160B0D">
        <w:rPr>
          <w:rFonts w:cs="Times New Roman"/>
          <w:lang w:val="fr-CA"/>
        </w:rPr>
        <w:noBreakHyphen/>
        <w:t>service ou d’un dépanneur. Il s’était déjà rendu à ce dépanneur à une occasion avant l’accident pour passer prendre J. À la suite de cette seule visite, il avait conclu que cet endroit était un lieu de rencontre pour les jeunes parce qu’il y avait vu d’autres adolescents, mais aussi parce que ce commerce restait ouvert tard le soir et qu’on y vendait des sodas et des croustilles. À lui seul, ce témoignage ne peut établir qu’il était raisonnablement prévisible que des mineurs pouvaient voler une voiture et causer des blessures. Il ne s’agit pas d’un motif suffisant pour conclure à l’existence d’une obligation de diligence.</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Compte tenu de l’absence d’éléments de preuve convaincants sur ce point, la Cour d’appel ne pouvait que s’en remettre à des spéculations pour établir un lien entre le risque de vol et le risque de lésions corporelles, ce qui n’est pas acceptable. Les tribunaux doivent veiller à ce que le « bon sens » coïncide avec les circonstances particulières de l’affaire et qu’ils ne se rapportent pas à des concepts généraux sur la responsabilité envers les mineurs. </w:t>
      </w:r>
    </w:p>
    <w:p w:rsidR="003C5BAD" w:rsidRPr="00160B0D" w:rsidRDefault="003C5BAD" w:rsidP="003C5BAD">
      <w:pPr>
        <w:pStyle w:val="ParaNoNdepar-AltN"/>
        <w:rPr>
          <w:rFonts w:cs="Times New Roman"/>
          <w:lang w:val="fr-CA"/>
        </w:rPr>
      </w:pPr>
      <w:r w:rsidRPr="00160B0D">
        <w:rPr>
          <w:rFonts w:cs="Times New Roman"/>
          <w:lang w:val="fr-CA"/>
        </w:rPr>
        <w:t>Enfin, malgré ce manque d’éléments de preuve, J. table sur le témoignage de M. Rankin pour affirmer que les lésions corporelles étaient raisonnablement prévisibles. Au cours du contre</w:t>
      </w:r>
      <w:r w:rsidRPr="00160B0D">
        <w:rPr>
          <w:rFonts w:cs="Times New Roman"/>
          <w:lang w:val="fr-CA"/>
        </w:rPr>
        <w:noBreakHyphen/>
        <w:t xml:space="preserve">interrogatoire de M. Rankin, on a assisté à l’échange suivant : </w:t>
      </w:r>
    </w:p>
    <w:p w:rsidR="003C5BAD" w:rsidRPr="00160B0D" w:rsidRDefault="003C5BAD" w:rsidP="003C5BAD">
      <w:pPr>
        <w:pStyle w:val="Citation-AltC"/>
        <w:keepNext/>
        <w:spacing w:after="240"/>
        <w:ind w:hanging="1166"/>
        <w:contextualSpacing w:val="0"/>
        <w:rPr>
          <w:lang w:val="fr-CA"/>
        </w:rPr>
      </w:pPr>
      <w:r w:rsidRPr="00160B0D">
        <w:rPr>
          <w:lang w:val="fr-CA"/>
        </w:rPr>
        <w:tab/>
        <w:t>[</w:t>
      </w:r>
      <w:r w:rsidRPr="00160B0D">
        <w:rPr>
          <w:smallCaps/>
          <w:lang w:val="fr-CA"/>
        </w:rPr>
        <w:t>traduction</w:t>
      </w:r>
      <w:r w:rsidRPr="00160B0D">
        <w:rPr>
          <w:lang w:val="fr-CA"/>
        </w:rPr>
        <w:t xml:space="preserve">] </w:t>
      </w:r>
    </w:p>
    <w:p w:rsidR="003C5BAD" w:rsidRPr="00160B0D" w:rsidRDefault="003C5BAD" w:rsidP="003C5BAD">
      <w:pPr>
        <w:pStyle w:val="Citation-AltC"/>
        <w:spacing w:after="240"/>
        <w:ind w:hanging="1166"/>
        <w:contextualSpacing w:val="0"/>
        <w:rPr>
          <w:lang w:val="fr-CA"/>
        </w:rPr>
      </w:pPr>
      <w:r w:rsidRPr="00160B0D">
        <w:rPr>
          <w:lang w:val="fr-CA"/>
        </w:rPr>
        <w:tab/>
        <w:t>Q. Êtes</w:t>
      </w:r>
      <w:r w:rsidRPr="00160B0D">
        <w:rPr>
          <w:lang w:val="fr-CA"/>
        </w:rPr>
        <w:noBreakHyphen/>
        <w:t>vous d’accord pour dire que la sécurité est importante, parce que vous tenez à vous assurer que toute personne qui prend un véhicule ne sera pas blessée?</w:t>
      </w:r>
    </w:p>
    <w:p w:rsidR="003C5BAD" w:rsidRPr="00160B0D" w:rsidRDefault="003C5BAD" w:rsidP="003C5BAD">
      <w:pPr>
        <w:pStyle w:val="Citation-AltC"/>
        <w:spacing w:after="240"/>
        <w:ind w:hanging="1166"/>
        <w:contextualSpacing w:val="0"/>
        <w:rPr>
          <w:lang w:val="fr-CA"/>
        </w:rPr>
      </w:pPr>
      <w:r w:rsidRPr="00160B0D">
        <w:rPr>
          <w:lang w:val="fr-CA"/>
        </w:rPr>
        <w:tab/>
        <w:t>R. C</w:t>
      </w:r>
      <w:r w:rsidR="00E36426">
        <w:rPr>
          <w:lang w:val="fr-CA"/>
        </w:rPr>
        <w:t>omment pourrait</w:t>
      </w:r>
      <w:r w:rsidR="00E36426">
        <w:rPr>
          <w:lang w:val="fr-CA"/>
        </w:rPr>
        <w:noBreakHyphen/>
        <w:t>elle se blesser</w:t>
      </w:r>
      <w:r w:rsidRPr="00160B0D">
        <w:rPr>
          <w:lang w:val="fr-CA"/>
        </w:rPr>
        <w:t>?</w:t>
      </w:r>
    </w:p>
    <w:p w:rsidR="003C5BAD" w:rsidRPr="00160B0D" w:rsidRDefault="003C5BAD" w:rsidP="003C5BAD">
      <w:pPr>
        <w:pStyle w:val="Citation-AltC"/>
        <w:spacing w:after="240"/>
        <w:ind w:hanging="1166"/>
        <w:contextualSpacing w:val="0"/>
        <w:rPr>
          <w:lang w:val="fr-CA"/>
        </w:rPr>
      </w:pPr>
      <w:r w:rsidRPr="00160B0D">
        <w:rPr>
          <w:lang w:val="fr-CA"/>
        </w:rPr>
        <w:tab/>
        <w:t>Q. Laissez</w:t>
      </w:r>
      <w:r w:rsidRPr="00160B0D">
        <w:rPr>
          <w:lang w:val="fr-CA"/>
        </w:rPr>
        <w:noBreakHyphen/>
        <w:t>moi vous poser à nouveau la question.</w:t>
      </w:r>
    </w:p>
    <w:p w:rsidR="003C5BAD" w:rsidRPr="00160B0D" w:rsidRDefault="003C5BAD" w:rsidP="003C5BAD">
      <w:pPr>
        <w:pStyle w:val="Citation-AltC"/>
        <w:spacing w:after="240"/>
        <w:ind w:hanging="1166"/>
        <w:contextualSpacing w:val="0"/>
        <w:rPr>
          <w:lang w:val="fr-CA"/>
        </w:rPr>
      </w:pPr>
      <w:r w:rsidRPr="00160B0D">
        <w:rPr>
          <w:lang w:val="fr-CA"/>
        </w:rPr>
        <w:tab/>
        <w:t>R. D’accord.</w:t>
      </w:r>
    </w:p>
    <w:p w:rsidR="003C5BAD" w:rsidRPr="00160B0D" w:rsidRDefault="003C5BAD" w:rsidP="003C5BAD">
      <w:pPr>
        <w:pStyle w:val="Citation-AltC"/>
        <w:spacing w:after="240"/>
        <w:ind w:hanging="1166"/>
        <w:contextualSpacing w:val="0"/>
        <w:rPr>
          <w:lang w:val="fr-CA"/>
        </w:rPr>
      </w:pPr>
      <w:r w:rsidRPr="00160B0D">
        <w:rPr>
          <w:lang w:val="fr-CA"/>
        </w:rPr>
        <w:tab/>
        <w:t>Q. D’accord. Seriez</w:t>
      </w:r>
      <w:r w:rsidRPr="00160B0D">
        <w:rPr>
          <w:lang w:val="fr-CA"/>
        </w:rPr>
        <w:noBreakHyphen/>
        <w:t>vous d’accord pour dire que la sécurité est importante pour s’assurer que quiconque prend un véhicule ne sera pas blessé?</w:t>
      </w:r>
    </w:p>
    <w:p w:rsidR="003C5BAD" w:rsidRPr="00160B0D" w:rsidRDefault="003C5BAD" w:rsidP="003C5BAD">
      <w:pPr>
        <w:pStyle w:val="Citation-AltC"/>
        <w:ind w:hanging="1166"/>
        <w:rPr>
          <w:lang w:val="fr-CA"/>
        </w:rPr>
      </w:pPr>
      <w:r w:rsidRPr="00160B0D">
        <w:rPr>
          <w:lang w:val="fr-CA"/>
        </w:rPr>
        <w:tab/>
        <w:t>R. Oui, je suppose.</w:t>
      </w:r>
    </w:p>
    <w:p w:rsidR="003C5BAD" w:rsidRPr="00160B0D" w:rsidRDefault="003C5BAD" w:rsidP="003C5BAD">
      <w:pPr>
        <w:pStyle w:val="ContinueParaSuitedupar-AltP"/>
        <w:rPr>
          <w:rFonts w:cs="Times New Roman"/>
          <w:lang w:val="fr-CA"/>
        </w:rPr>
      </w:pPr>
      <w:r w:rsidRPr="00160B0D">
        <w:rPr>
          <w:rFonts w:cs="Times New Roman"/>
          <w:lang w:val="fr-CA"/>
        </w:rPr>
        <w:t xml:space="preserve">En réinterrogatoire, l’avocat de la défense a posé la question suivante à M. Rankin : </w:t>
      </w:r>
    </w:p>
    <w:p w:rsidR="003C5BAD" w:rsidRPr="00160B0D" w:rsidRDefault="003C5BAD" w:rsidP="003C5BAD">
      <w:pPr>
        <w:pStyle w:val="Citation-AltC"/>
        <w:spacing w:after="240"/>
        <w:ind w:left="1170" w:hanging="720"/>
        <w:contextualSpacing w:val="0"/>
        <w:rPr>
          <w:lang w:val="fr-CA"/>
        </w:rPr>
      </w:pPr>
      <w:r w:rsidRPr="00160B0D">
        <w:rPr>
          <w:lang w:val="fr-CA"/>
        </w:rPr>
        <w:tab/>
        <w:t>[</w:t>
      </w:r>
      <w:r w:rsidRPr="00160B0D">
        <w:rPr>
          <w:smallCaps/>
          <w:lang w:val="fr-CA"/>
        </w:rPr>
        <w:t>traduction</w:t>
      </w:r>
      <w:r w:rsidRPr="00160B0D">
        <w:rPr>
          <w:lang w:val="fr-CA"/>
        </w:rPr>
        <w:t>]</w:t>
      </w:r>
    </w:p>
    <w:p w:rsidR="003C5BAD" w:rsidRPr="00160B0D" w:rsidRDefault="003C5BAD" w:rsidP="003C5BAD">
      <w:pPr>
        <w:pStyle w:val="Citation-AltC"/>
        <w:spacing w:after="240"/>
        <w:ind w:hanging="1166"/>
        <w:contextualSpacing w:val="0"/>
        <w:rPr>
          <w:lang w:val="fr-CA"/>
        </w:rPr>
      </w:pPr>
      <w:r w:rsidRPr="00160B0D">
        <w:rPr>
          <w:lang w:val="fr-CA"/>
        </w:rPr>
        <w:tab/>
        <w:t>Q. Vous attendiez</w:t>
      </w:r>
      <w:r w:rsidRPr="00160B0D">
        <w:rPr>
          <w:lang w:val="fr-CA"/>
        </w:rPr>
        <w:noBreakHyphen/>
        <w:t>vous à ce qu’une personne ivre prenne votre voiture?</w:t>
      </w:r>
    </w:p>
    <w:p w:rsidR="003C5BAD" w:rsidRPr="00160B0D" w:rsidRDefault="003C5BAD" w:rsidP="003C5BAD">
      <w:pPr>
        <w:pStyle w:val="Citation-AltC"/>
        <w:ind w:hanging="1166"/>
        <w:rPr>
          <w:lang w:val="fr-CA"/>
        </w:rPr>
      </w:pPr>
      <w:r w:rsidRPr="00160B0D">
        <w:rPr>
          <w:lang w:val="fr-CA"/>
        </w:rPr>
        <w:tab/>
        <w:t>R.</w:t>
      </w:r>
      <w:r w:rsidRPr="00160B0D">
        <w:rPr>
          <w:lang w:val="fr-CA"/>
        </w:rPr>
        <w:tab/>
        <w:t xml:space="preserve"> Non.</w:t>
      </w:r>
    </w:p>
    <w:p w:rsidR="003C5BAD" w:rsidRPr="00160B0D" w:rsidRDefault="003C5BAD" w:rsidP="003C5BAD">
      <w:pPr>
        <w:pStyle w:val="ParaNoNdepar-AltN"/>
        <w:rPr>
          <w:rFonts w:cs="Times New Roman"/>
          <w:lang w:val="fr-CA"/>
        </w:rPr>
      </w:pPr>
      <w:r w:rsidRPr="00160B0D">
        <w:rPr>
          <w:rFonts w:cs="Times New Roman"/>
          <w:lang w:val="fr-CA"/>
        </w:rPr>
        <w:lastRenderedPageBreak/>
        <w:t>Ce témoignage ne peut servir de fondement à une obligation de diligence en droit. En contre</w:t>
      </w:r>
      <w:r w:rsidRPr="00160B0D">
        <w:rPr>
          <w:rFonts w:cs="Times New Roman"/>
          <w:lang w:val="fr-CA"/>
        </w:rPr>
        <w:noBreakHyphen/>
        <w:t>interrogatoire, on a posé à M. Rankin une question générale à laquelle il a pu répondre avec l’avantage du recul. Comme il s’agit d’une question générale visant à savoir si, à son avis, au moment du procès, [</w:t>
      </w:r>
      <w:r w:rsidRPr="00160B0D">
        <w:rPr>
          <w:rFonts w:cs="Times New Roman"/>
          <w:smallCaps/>
          <w:lang w:val="fr-CA"/>
        </w:rPr>
        <w:t>traduction</w:t>
      </w:r>
      <w:r w:rsidRPr="00160B0D">
        <w:rPr>
          <w:rFonts w:cs="Times New Roman"/>
          <w:lang w:val="fr-CA"/>
        </w:rPr>
        <w:t xml:space="preserve">] « la sécurité est importante » pour prévenir des lésions corporelles, cette question ne se rapporte pas au point en litige, en l’occurrence celle de savoir si des lésions corporelles étaient raisonnablement prévisibles </w:t>
      </w:r>
      <w:r w:rsidRPr="00160B0D">
        <w:rPr>
          <w:rFonts w:cs="Times New Roman"/>
          <w:i/>
          <w:lang w:val="fr-CA"/>
        </w:rPr>
        <w:t>avant</w:t>
      </w:r>
      <w:r w:rsidRPr="00160B0D">
        <w:rPr>
          <w:rFonts w:cs="Times New Roman"/>
          <w:lang w:val="fr-CA"/>
        </w:rPr>
        <w:t xml:space="preserve"> que l’accident ne se produise, soit une question objective. Lorsqu’on </w:t>
      </w:r>
      <w:r w:rsidRPr="00160B0D">
        <w:rPr>
          <w:rFonts w:cs="Times New Roman"/>
          <w:i/>
          <w:lang w:val="fr-CA"/>
        </w:rPr>
        <w:t>a posé</w:t>
      </w:r>
      <w:r w:rsidRPr="00160B0D">
        <w:rPr>
          <w:rFonts w:cs="Times New Roman"/>
          <w:lang w:val="fr-CA"/>
        </w:rPr>
        <w:t xml:space="preserve"> à M. Rankin une question au sujet de la prévisibilité lors de son réinterrogatoire, il y a répondu par la négative. </w:t>
      </w:r>
    </w:p>
    <w:p w:rsidR="003C5BAD" w:rsidRPr="00160B0D" w:rsidRDefault="003C5BAD" w:rsidP="003C5BAD">
      <w:pPr>
        <w:pStyle w:val="ParaNoNdepar-AltN"/>
        <w:rPr>
          <w:rFonts w:cs="Times New Roman"/>
          <w:lang w:val="fr-CA"/>
        </w:rPr>
      </w:pPr>
      <w:r w:rsidRPr="00160B0D">
        <w:rPr>
          <w:rFonts w:cs="Times New Roman"/>
          <w:lang w:val="fr-CA"/>
        </w:rPr>
        <w:t xml:space="preserve">La question de savoir si quelque chose est « raisonnablement prévisible » ou non est un critère objectif. L’analyse consiste essentiellement à se demander si une personne se trouvant dans la situation du défendeur aurait raisonnablement dû prévoir le préjudice, et non si ce défendeur en particulier l’a prévu. Les tribunaux devraient veiller à ce que l’analyse ne soit pas faussée par le fait que l’événement s’est effectivement produit. La question posée correctement porte sur la prévisibilité ou non </w:t>
      </w:r>
      <w:r w:rsidRPr="00160B0D">
        <w:rPr>
          <w:rFonts w:cs="Times New Roman"/>
          <w:i/>
          <w:lang w:val="fr-CA"/>
        </w:rPr>
        <w:t>avant</w:t>
      </w:r>
      <w:r w:rsidRPr="00160B0D">
        <w:rPr>
          <w:rFonts w:cs="Times New Roman"/>
          <w:lang w:val="fr-CA"/>
        </w:rPr>
        <w:t xml:space="preserve"> que l’incident ne survienne, sans pouvoir compter sur l’avantage du recul : L. N. Klar et C. S. G. Jefferies, </w:t>
      </w:r>
      <w:r w:rsidRPr="00160B0D">
        <w:rPr>
          <w:rFonts w:cs="Times New Roman"/>
          <w:i/>
          <w:lang w:val="fr-CA"/>
        </w:rPr>
        <w:t>Tort Law</w:t>
      </w:r>
      <w:r w:rsidRPr="00160B0D">
        <w:rPr>
          <w:rFonts w:cs="Times New Roman"/>
          <w:lang w:val="fr-CA"/>
        </w:rPr>
        <w:t xml:space="preserve"> (6</w:t>
      </w:r>
      <w:r w:rsidRPr="00160B0D">
        <w:rPr>
          <w:rFonts w:cs="Times New Roman"/>
          <w:vertAlign w:val="superscript"/>
          <w:lang w:val="fr-CA"/>
        </w:rPr>
        <w:t>e</w:t>
      </w:r>
      <w:r w:rsidRPr="00160B0D">
        <w:rPr>
          <w:rFonts w:cs="Times New Roman"/>
          <w:lang w:val="fr-CA"/>
        </w:rPr>
        <w:t xml:space="preserve"> éd. 2017), p. 212.</w:t>
      </w:r>
    </w:p>
    <w:p w:rsidR="003C5BAD" w:rsidRPr="00160B0D" w:rsidRDefault="003C5BAD" w:rsidP="003C5BAD">
      <w:pPr>
        <w:pStyle w:val="ParaNoNdepar-AltN"/>
        <w:rPr>
          <w:rFonts w:cs="Times New Roman"/>
          <w:lang w:val="fr-CA"/>
        </w:rPr>
      </w:pPr>
      <w:r w:rsidRPr="00160B0D">
        <w:rPr>
          <w:rFonts w:cs="Times New Roman"/>
          <w:lang w:val="fr-CA"/>
        </w:rPr>
        <w:t xml:space="preserve">J’ai les mêmes réserves en ce qui a trait à l’importance qu’accorde mon collègue au témoignage de M. Rankin. À son avis, la prévisibilité a été établie parce que, dans ce témoignage, M. Rankin a affirmé qu’il verrouillait toujours ses véhicules (le jury n’a d’ailleurs pas retenu ce témoignage intéressé). Selon moi, ces propos ne sont pas déterminants pour juger de l’existence </w:t>
      </w:r>
      <w:r w:rsidRPr="00160B0D">
        <w:rPr>
          <w:rFonts w:cs="Times New Roman"/>
          <w:i/>
          <w:lang w:val="fr-CA"/>
        </w:rPr>
        <w:t>objective</w:t>
      </w:r>
      <w:r w:rsidRPr="00160B0D">
        <w:rPr>
          <w:rFonts w:cs="Times New Roman"/>
          <w:lang w:val="fr-CA"/>
        </w:rPr>
        <w:t xml:space="preserve"> de la prévisibilité en l’espèce. </w:t>
      </w:r>
      <w:r w:rsidRPr="00160B0D">
        <w:rPr>
          <w:rFonts w:cs="Times New Roman"/>
          <w:lang w:val="fr-CA"/>
        </w:rPr>
        <w:lastRenderedPageBreak/>
        <w:t xml:space="preserve">D’ailleurs, ce témoignage indique seulement que, pour M. Rankin, le vol, et non les lésions corporelles, était prévisible. </w:t>
      </w:r>
    </w:p>
    <w:p w:rsidR="003C5BAD" w:rsidRPr="00160B0D" w:rsidRDefault="003C5BAD" w:rsidP="003C5BAD">
      <w:pPr>
        <w:pStyle w:val="ParaNoNdepar-AltN"/>
        <w:rPr>
          <w:rFonts w:cs="Times New Roman"/>
          <w:lang w:val="fr-CA"/>
        </w:rPr>
      </w:pPr>
      <w:r w:rsidRPr="00160B0D">
        <w:rPr>
          <w:rFonts w:cs="Times New Roman"/>
          <w:lang w:val="fr-CA"/>
        </w:rPr>
        <w:t>En résumé, la preuve ne révélait pas de circonstances précises suivant lesquelles il serait raisonnablement prévisible que la voiture volée serait conduite de manière à causer des lésions corporelles. Par exemple, elle n’a pas établi que le risque de vol englobait le risque de vol par des mineurs. Bien qu’on ait fait valoir, en l’espèce, que c’était en raison du risque de vol par des mineurs qu’il était possible de prévoir le risque que le véhicule soit conduit de façon dangereuse, la présence d’autres éléments de preuve ou circonstances étayant le caractère raisonnablement prévisible du risque de lésions corporelles aurait permis de conclure à l’existence d’une obligation de diligence.</w:t>
      </w:r>
    </w:p>
    <w:p w:rsidR="003C5BAD" w:rsidRPr="00160B0D" w:rsidRDefault="003C5BAD" w:rsidP="003C5BAD">
      <w:pPr>
        <w:pStyle w:val="ParaNoNdepar-AltN"/>
        <w:rPr>
          <w:rFonts w:cs="Times New Roman"/>
          <w:lang w:val="fr-CA"/>
        </w:rPr>
      </w:pPr>
      <w:r w:rsidRPr="00160B0D">
        <w:rPr>
          <w:rFonts w:cs="Times New Roman"/>
          <w:lang w:val="fr-CA"/>
        </w:rPr>
        <w:t xml:space="preserve">Comme des tribunaux de première instance dans de nombreuses décisions semblables, je ne suis pas convaincue que la preuve présentée en l’espèce démontre que les lésions corporelles résultant du vol du véhicule étaient raisonnablement prévisibles. Je conclus que le demandeur ne s’est pas acquitté du fardeau qui lui incombait de démontrer que le défendeur aurait dû tenir compte du risque de lésions corporelles lorsqu’il a envisagé </w:t>
      </w:r>
      <w:r w:rsidR="00B404E6">
        <w:rPr>
          <w:rFonts w:cs="Times New Roman"/>
          <w:lang w:val="fr-CA"/>
        </w:rPr>
        <w:t>l</w:t>
      </w:r>
      <w:r w:rsidRPr="00160B0D">
        <w:rPr>
          <w:rFonts w:cs="Times New Roman"/>
          <w:lang w:val="fr-CA"/>
        </w:rPr>
        <w:t>es mesures de sécurité</w:t>
      </w:r>
      <w:r w:rsidR="00B404E6">
        <w:rPr>
          <w:rFonts w:cs="Times New Roman"/>
          <w:lang w:val="fr-CA"/>
        </w:rPr>
        <w:t xml:space="preserve"> à prendre</w:t>
      </w:r>
      <w:r w:rsidRPr="00160B0D">
        <w:rPr>
          <w:rFonts w:cs="Times New Roman"/>
          <w:lang w:val="fr-CA"/>
        </w:rPr>
        <w:t xml:space="preserve">. Le raisonnement par inférences était trop faible pour fonder l’établissement d’une prévisibilité raisonnable : voir </w:t>
      </w:r>
      <w:r w:rsidRPr="00160B0D">
        <w:rPr>
          <w:rFonts w:cs="Times New Roman"/>
          <w:i/>
          <w:lang w:val="fr-CA"/>
        </w:rPr>
        <w:t>Childs</w:t>
      </w:r>
      <w:r w:rsidRPr="00160B0D">
        <w:rPr>
          <w:rFonts w:cs="Times New Roman"/>
          <w:lang w:val="fr-CA"/>
        </w:rPr>
        <w:t xml:space="preserve">, par. 29. Pour ces motifs, je conclus que le demandeur ne s’est pas déchargé de son fardeau de démontrer que Rankins’s Garage avait une obligation de diligence </w:t>
      </w:r>
      <w:r w:rsidRPr="00160B0D">
        <w:rPr>
          <w:rFonts w:cs="Times New Roman"/>
          <w:i/>
          <w:lang w:val="fr-CA"/>
        </w:rPr>
        <w:t xml:space="preserve">prima facie </w:t>
      </w:r>
      <w:r w:rsidRPr="00160B0D">
        <w:rPr>
          <w:rFonts w:cs="Times New Roman"/>
          <w:lang w:val="fr-CA"/>
        </w:rPr>
        <w:t xml:space="preserve">envers lui. Le présent dossier ne permet pas d’établir la prévisibilité raisonnable. </w:t>
      </w:r>
    </w:p>
    <w:p w:rsidR="003C5BAD" w:rsidRPr="00160B0D" w:rsidRDefault="003C5BAD" w:rsidP="003C5BAD">
      <w:pPr>
        <w:pStyle w:val="Title2LevelTitre2Niveau"/>
        <w:numPr>
          <w:ilvl w:val="0"/>
          <w:numId w:val="28"/>
        </w:numPr>
        <w:ind w:left="567" w:hanging="578"/>
        <w:rPr>
          <w:rFonts w:cs="Times New Roman"/>
          <w:lang w:val="fr-CA"/>
        </w:rPr>
      </w:pPr>
      <w:r w:rsidRPr="00160B0D">
        <w:rPr>
          <w:rFonts w:cs="Times New Roman"/>
          <w:lang w:val="fr-CA"/>
        </w:rPr>
        <w:lastRenderedPageBreak/>
        <w:t>Le garage commercial avait</w:t>
      </w:r>
      <w:r w:rsidRPr="00160B0D">
        <w:rPr>
          <w:rFonts w:cs="Times New Roman"/>
          <w:lang w:val="fr-CA"/>
        </w:rPr>
        <w:noBreakHyphen/>
        <w:t>il l’obligation positive de prendre des mesures contre l</w:t>
      </w:r>
      <w:r w:rsidR="00DC1E88">
        <w:rPr>
          <w:rFonts w:cs="Times New Roman"/>
          <w:lang w:val="fr-CA"/>
        </w:rPr>
        <w:t>e risque de vol par des mineurs</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Dans le cas qui nous occupe, le demandeur J. et les intervenants ont présenté d’autres arguments pour démontrer qu’un lien de proximité avait été établi parce que Rankin’s Garage avait une obligation positive d’agir. Même s’il n’est pas nécessaire d’aborder cette question compte tenu de ma conclusion selon laquelle les lésions corporelles n’étaient pas raisonnablement prévisibles, les parties ont présenté des arguments détaillés à cet égard.</w:t>
      </w:r>
    </w:p>
    <w:p w:rsidR="003C5BAD" w:rsidRPr="00160B0D" w:rsidRDefault="003C5BAD" w:rsidP="003C5BAD">
      <w:pPr>
        <w:pStyle w:val="ParaNoNdepar-AltN"/>
        <w:rPr>
          <w:rFonts w:cs="Times New Roman"/>
          <w:lang w:val="fr-CA"/>
        </w:rPr>
      </w:pPr>
      <w:r w:rsidRPr="00160B0D">
        <w:rPr>
          <w:rFonts w:cs="Times New Roman"/>
          <w:lang w:val="fr-CA"/>
        </w:rPr>
        <w:t>J. affirme que Rankin’s Garage avait l’obligation positive de sécuriser les véhicules. Selon sa thèse, en tant qu’établissement commercial faisant le commerce de biens potentiellement dangereux, Rankin’s Garage était tenu vis</w:t>
      </w:r>
      <w:r w:rsidRPr="00160B0D">
        <w:rPr>
          <w:rFonts w:cs="Times New Roman"/>
          <w:lang w:val="fr-CA"/>
        </w:rPr>
        <w:noBreakHyphen/>
        <w:t>à</w:t>
      </w:r>
      <w:r w:rsidRPr="00160B0D">
        <w:rPr>
          <w:rFonts w:cs="Times New Roman"/>
          <w:lang w:val="fr-CA"/>
        </w:rPr>
        <w:noBreakHyphen/>
        <w:t xml:space="preserve">vis des mineurs de protéger les véhicules contre le vol. L’intervenante Ontario Trial Lawyers Association va dans le même sens et suggère que les entreprises qui introduisent un danger dans leur collectivité ont une obligation envers les personnes qui subissent un préjudice en raison de ce danger. Étant donné qu’elles tirent profit de la vente ou de l’entreposage des marchandises dangereuses, ces entreprises ont implicitement la responsabilité envers le public d’atténuer les risques que comportent ces marchandises. J. et l’intervenante affirment que, à ce titre, un garage automobile s’apparente à un débit d’alcool, qui a une obligation envers ceux qui risquent de subir un préjudice du fait d’un client ivre : voir </w:t>
      </w:r>
      <w:r w:rsidRPr="00160B0D">
        <w:rPr>
          <w:rFonts w:cs="Times New Roman"/>
          <w:i/>
          <w:lang w:val="fr-CA"/>
        </w:rPr>
        <w:t>Stewart</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 xml:space="preserve">À mon avis, cette analogie est mal fondée. Les propriétaires de débits d’alcool ont l’obligation positive de prendre des mesures pour prévenir tout préjudice que leurs clients ivres pourraient causer : voir </w:t>
      </w:r>
      <w:r w:rsidRPr="00160B0D">
        <w:rPr>
          <w:rFonts w:cs="Times New Roman"/>
          <w:i/>
          <w:lang w:val="fr-CA"/>
        </w:rPr>
        <w:t>Child</w:t>
      </w:r>
      <w:r w:rsidRPr="00160B0D">
        <w:rPr>
          <w:rFonts w:cs="Times New Roman"/>
          <w:lang w:val="fr-CA"/>
        </w:rPr>
        <w:t xml:space="preserve">s; </w:t>
      </w:r>
      <w:r w:rsidRPr="00160B0D">
        <w:rPr>
          <w:rFonts w:cs="Times New Roman"/>
          <w:i/>
          <w:lang w:val="fr-CA"/>
        </w:rPr>
        <w:t>Stewart</w:t>
      </w:r>
      <w:r w:rsidRPr="00160B0D">
        <w:rPr>
          <w:rFonts w:cs="Times New Roman"/>
          <w:lang w:val="fr-CA"/>
        </w:rPr>
        <w:t xml:space="preserve">; </w:t>
      </w:r>
      <w:r w:rsidRPr="00160B0D">
        <w:rPr>
          <w:rFonts w:cs="Times New Roman"/>
          <w:i/>
          <w:lang w:val="fr-CA"/>
        </w:rPr>
        <w:t xml:space="preserve">Jordan House Ltd. c. </w:t>
      </w:r>
      <w:r w:rsidRPr="00160B0D">
        <w:rPr>
          <w:rFonts w:cs="Times New Roman"/>
          <w:i/>
          <w:lang w:val="fr-CA"/>
        </w:rPr>
        <w:lastRenderedPageBreak/>
        <w:t>Menow</w:t>
      </w:r>
      <w:r w:rsidRPr="00160B0D">
        <w:rPr>
          <w:rFonts w:cs="Times New Roman"/>
          <w:lang w:val="fr-CA"/>
        </w:rPr>
        <w:t>, [1974] R.C.S. 239. Cette obligation se justifie par diverses considérations propres à cette relation, y compris le cadre réglementaire régissant la vente d’alcool (</w:t>
      </w:r>
      <w:r w:rsidRPr="00160B0D">
        <w:rPr>
          <w:rFonts w:cs="Times New Roman"/>
          <w:i/>
          <w:lang w:val="fr-CA"/>
        </w:rPr>
        <w:t>Childs</w:t>
      </w:r>
      <w:r w:rsidRPr="00160B0D">
        <w:rPr>
          <w:rFonts w:cs="Times New Roman"/>
          <w:lang w:val="fr-CA"/>
        </w:rPr>
        <w:t>,</w:t>
      </w:r>
      <w:r w:rsidRPr="00160B0D">
        <w:rPr>
          <w:rFonts w:cs="Times New Roman"/>
          <w:i/>
          <w:lang w:val="fr-CA"/>
        </w:rPr>
        <w:t xml:space="preserve"> </w:t>
      </w:r>
      <w:r w:rsidRPr="00160B0D">
        <w:rPr>
          <w:rFonts w:cs="Times New Roman"/>
          <w:lang w:val="fr-CA"/>
        </w:rPr>
        <w:t>par. 19</w:t>
      </w:r>
      <w:r w:rsidRPr="00160B0D">
        <w:rPr>
          <w:rFonts w:cs="Times New Roman"/>
          <w:lang w:val="fr-CA"/>
        </w:rPr>
        <w:noBreakHyphen/>
        <w:t>21), la relation contractuelle entre le propriétaire du débit d’alcool et le client, et le fait que les commerces qui servent de l’alcool ont un intérêt sur le plan commercial à servir trop de consommations, ce qui augmente les risques pour le public (</w:t>
      </w:r>
      <w:r w:rsidRPr="00160B0D">
        <w:rPr>
          <w:rFonts w:cs="Times New Roman"/>
          <w:i/>
          <w:lang w:val="fr-CA"/>
        </w:rPr>
        <w:t>Childs</w:t>
      </w:r>
      <w:r w:rsidRPr="00160B0D">
        <w:rPr>
          <w:rFonts w:cs="Times New Roman"/>
          <w:lang w:val="fr-CA"/>
        </w:rPr>
        <w:t xml:space="preserve">, par. 22). Même si l’arrêt </w:t>
      </w:r>
      <w:r w:rsidRPr="00160B0D">
        <w:rPr>
          <w:rFonts w:cs="Times New Roman"/>
          <w:i/>
          <w:lang w:val="fr-CA"/>
        </w:rPr>
        <w:t xml:space="preserve">Childs </w:t>
      </w:r>
      <w:r w:rsidRPr="00160B0D">
        <w:rPr>
          <w:rFonts w:cs="Times New Roman"/>
          <w:lang w:val="fr-CA"/>
        </w:rPr>
        <w:t>envisageait la possibilité que d’autres types d’entreprises commerciales puissent aussi être assujettis à une obligation positive d’agir (par. 37), j’estime que les garages commerciaux n’entrent pas systématiquement dans cette catégorie. Le contexte ne le justifie tout simplement pas. Bien qu’un garage bénéficie financièrement de l’entretien des voitures, il n’a aucune relation commerciale avec les individus qui sont susceptibles de voler ces dernières et il ne profite pas de ces vols, pas plus qu’il ne les encourage.</w:t>
      </w:r>
    </w:p>
    <w:p w:rsidR="003C5BAD" w:rsidRPr="00160B0D" w:rsidRDefault="003C5BAD" w:rsidP="003C5BAD">
      <w:pPr>
        <w:pStyle w:val="ParaNoNdepar-AltN"/>
        <w:rPr>
          <w:rFonts w:cs="Times New Roman"/>
          <w:lang w:val="fr-CA"/>
        </w:rPr>
      </w:pPr>
      <w:r w:rsidRPr="00160B0D">
        <w:rPr>
          <w:rFonts w:cs="Times New Roman"/>
          <w:lang w:val="fr-CA"/>
        </w:rPr>
        <w:t>Les véhicules sont omniprésents dans notre société. Il ne s’agit pas d’armes à feu chargées qui sont intrinsèquement dangereuses et qui doivent par conséquent être entreposées avec soin pour protéger le public. Certes, un garage commercial, à la différence d’un particulier qui laisse sa voiture déverrouillée avec les clés à la portée du premier venu, a la garde et le contrôle de nombreux véhicules et doit nécessairement se soucier de la sécurité des véhicules qui se trouvent dans son parc de stationnement, surtout en dehors des heures d’ouverture, afin d’en prévenir le vol. Le fait d’avoir plusieurs véhicules ne crée cependant pas nécessairement un risque de lésions corporelles. Bien qu’une voiture puisse être dangereuse entre les mains d’une personne qui ne sait pas conduire, ce risque n’existe logiquement que dans certaines circonstances.</w:t>
      </w:r>
    </w:p>
    <w:p w:rsidR="003C5BAD" w:rsidRPr="00160B0D" w:rsidRDefault="003C5BAD" w:rsidP="003C5BAD">
      <w:pPr>
        <w:pStyle w:val="ParaNoNdepar-AltN"/>
        <w:rPr>
          <w:rFonts w:cs="Times New Roman"/>
          <w:lang w:val="fr-CA"/>
        </w:rPr>
      </w:pPr>
      <w:r w:rsidRPr="00160B0D">
        <w:rPr>
          <w:rFonts w:cs="Times New Roman"/>
          <w:lang w:val="fr-CA"/>
        </w:rPr>
        <w:lastRenderedPageBreak/>
        <w:t>De même, le fait que J. était un mineur ne crée pas automatiquement une obligation d’agir. Il y a des circonstances dans lesquelles les tribunaux reconnaissent une obligation de diligence spécifique à l’égard des mineurs. Toutefois, ces obligations découlent de l’existence d’une relation fondée sur la garde, la surveillance et le contrôle, plutôt que de l’âge de l’enfant seulement. Parmi ces obligations particulières, mentionnons le devoir des autorités scolaires de bien encadrer et protéger leurs élèves (</w:t>
      </w:r>
      <w:r w:rsidRPr="00160B0D">
        <w:rPr>
          <w:rFonts w:cs="Times New Roman"/>
          <w:i/>
          <w:lang w:val="fr-CA"/>
        </w:rPr>
        <w:t>Myers c. Peel County Board of Education</w:t>
      </w:r>
      <w:r w:rsidRPr="00160B0D">
        <w:rPr>
          <w:rFonts w:cs="Times New Roman"/>
          <w:lang w:val="fr-CA"/>
        </w:rPr>
        <w:t>, [1981] 2 R.C.S. 21), celui des chauffeurs de s’assurer que les passagers mineurs portent leur ceinture de sécurité (</w:t>
      </w:r>
      <w:r w:rsidRPr="00160B0D">
        <w:rPr>
          <w:rFonts w:cs="Times New Roman"/>
          <w:i/>
          <w:lang w:val="fr-CA"/>
        </w:rPr>
        <w:t>Galaske</w:t>
      </w:r>
      <w:r w:rsidRPr="00160B0D">
        <w:rPr>
          <w:rFonts w:cs="Times New Roman"/>
          <w:lang w:val="fr-CA"/>
        </w:rPr>
        <w:t>), et celui des parents et des personnes qui exercent une forme de contrôle semblable sur les enfants (</w:t>
      </w:r>
      <w:r w:rsidRPr="00160B0D">
        <w:rPr>
          <w:rFonts w:cs="Times New Roman"/>
          <w:i/>
          <w:lang w:val="fr-CA"/>
        </w:rPr>
        <w:t>K.L.B. c. Colombie-Britannique</w:t>
      </w:r>
      <w:r w:rsidRPr="00160B0D">
        <w:rPr>
          <w:rFonts w:cs="Times New Roman"/>
          <w:lang w:val="fr-CA"/>
        </w:rPr>
        <w:t xml:space="preserve">, 2003 CSC 51, [2003] 2 R.C.S. 403, par. 14). L’existence de ces obligations ne tient pas seulement à l’âge du demandeur, mais également au rapport de contrôle, de responsabilité et de supervision : </w:t>
      </w:r>
      <w:r w:rsidRPr="00160B0D">
        <w:rPr>
          <w:rFonts w:cs="Times New Roman"/>
          <w:i/>
          <w:lang w:val="fr-CA"/>
        </w:rPr>
        <w:t>Childs</w:t>
      </w:r>
      <w:r w:rsidRPr="00160B0D">
        <w:rPr>
          <w:rFonts w:cs="Times New Roman"/>
          <w:lang w:val="fr-CA"/>
        </w:rPr>
        <w:t>, par. 36. Rien de tel n’existe en l’espèce. Ainsi, le simple fait que le demandeur était un mineur ne suffit pas pour établir l’existence d’une obligation positive d’agir. Le droit de la responsabilité délictuelle ne rend pas chacun responsable de la sécurité des enfants en tout temps.</w:t>
      </w:r>
    </w:p>
    <w:p w:rsidR="003C5BAD" w:rsidRPr="00160B0D" w:rsidRDefault="003C5BAD" w:rsidP="003C5BAD">
      <w:pPr>
        <w:pStyle w:val="Title2LevelTitre2Niveau"/>
        <w:numPr>
          <w:ilvl w:val="0"/>
          <w:numId w:val="28"/>
        </w:numPr>
        <w:ind w:left="567" w:hanging="578"/>
        <w:rPr>
          <w:rFonts w:cs="Times New Roman"/>
          <w:lang w:val="fr-CA"/>
        </w:rPr>
      </w:pPr>
      <w:r w:rsidRPr="00160B0D">
        <w:rPr>
          <w:rFonts w:cs="Times New Roman"/>
          <w:lang w:val="fr-CA"/>
        </w:rPr>
        <w:t>Un comportement illégal pouvait</w:t>
      </w:r>
      <w:r w:rsidRPr="00160B0D">
        <w:rPr>
          <w:rFonts w:cs="Times New Roman"/>
          <w:lang w:val="fr-CA"/>
        </w:rPr>
        <w:noBreakHyphen/>
        <w:t>il rompre le lien de proximité entre les parties ou écarter une obli</w:t>
      </w:r>
      <w:r w:rsidR="00EA2FA9">
        <w:rPr>
          <w:rFonts w:cs="Times New Roman"/>
          <w:lang w:val="fr-CA"/>
        </w:rPr>
        <w:t>gation de diligence prima facie</w:t>
      </w:r>
      <w:r w:rsidRPr="00160B0D">
        <w:rPr>
          <w:rFonts w:cs="Times New Roman"/>
          <w:lang w:val="fr-CA"/>
        </w:rPr>
        <w:t>?</w:t>
      </w:r>
    </w:p>
    <w:p w:rsidR="003C5BAD" w:rsidRPr="00160B0D" w:rsidRDefault="003C5BAD" w:rsidP="003C5BAD">
      <w:pPr>
        <w:pStyle w:val="ParaNoNdepar-AltN"/>
        <w:rPr>
          <w:rFonts w:cs="Times New Roman"/>
          <w:lang w:val="fr-CA"/>
        </w:rPr>
      </w:pPr>
      <w:r w:rsidRPr="00160B0D">
        <w:rPr>
          <w:rFonts w:cs="Times New Roman"/>
          <w:lang w:val="fr-CA"/>
        </w:rPr>
        <w:t xml:space="preserve">Compte tenu des conclusions que je viens de tirer, il n’est pas nécessaire que je décide si un comportement illégal pourrait rompre le lien de proximité entre les parties ou écarter une obligation de diligence </w:t>
      </w:r>
      <w:r w:rsidRPr="00160B0D">
        <w:rPr>
          <w:rFonts w:cs="Times New Roman"/>
          <w:i/>
          <w:lang w:val="fr-CA"/>
        </w:rPr>
        <w:t>prima facie</w:t>
      </w:r>
      <w:r w:rsidRPr="00160B0D">
        <w:rPr>
          <w:rFonts w:cs="Times New Roman"/>
          <w:lang w:val="fr-CA"/>
        </w:rPr>
        <w:t>. Toutefois, comme les arguments présentés devant la Cour ont porté essentiellement sur ces questions, je tiens à formuler les observations suivantes.</w:t>
      </w:r>
    </w:p>
    <w:p w:rsidR="003C5BAD" w:rsidRPr="00160B0D" w:rsidRDefault="003C5BAD" w:rsidP="003C5BAD">
      <w:pPr>
        <w:pStyle w:val="ParaNoNdepar-AltN"/>
        <w:rPr>
          <w:rFonts w:cs="Times New Roman"/>
          <w:lang w:val="fr-CA"/>
        </w:rPr>
      </w:pPr>
      <w:r w:rsidRPr="00160B0D">
        <w:rPr>
          <w:rFonts w:cs="Times New Roman"/>
          <w:lang w:val="fr-CA"/>
        </w:rPr>
        <w:lastRenderedPageBreak/>
        <w:t xml:space="preserve">Rankin’s Garage affirme que les actes illégaux commis par le demandeur ont pour effet de rompre tout lien de proximité entre les parties ou, à titre subsidiaire, que ces actes constituent des considérations de principe résiduelles qui permettent d’écarter l’obligation de diligence. L’idée suivant laquelle la conduite illégale ou immorale du demandeur fait obstacle à l’existence d’une obligation de diligence a systématiquement été écartée par la Cour : voir </w:t>
      </w:r>
      <w:r w:rsidRPr="00160B0D">
        <w:rPr>
          <w:rFonts w:cs="Times New Roman"/>
          <w:i/>
          <w:lang w:val="fr-CA"/>
        </w:rPr>
        <w:t>Hall c. Hebert</w:t>
      </w:r>
      <w:r w:rsidRPr="00160B0D">
        <w:rPr>
          <w:rFonts w:cs="Times New Roman"/>
          <w:lang w:val="fr-CA"/>
        </w:rPr>
        <w:t xml:space="preserve">, [1993] 2 R.C.S. 159; </w:t>
      </w:r>
      <w:r w:rsidRPr="00160B0D">
        <w:rPr>
          <w:rFonts w:cs="Times New Roman"/>
          <w:i/>
          <w:lang w:val="fr-CA"/>
        </w:rPr>
        <w:t>Colombie-Britannique c. Zastowny</w:t>
      </w:r>
      <w:r w:rsidRPr="00160B0D">
        <w:rPr>
          <w:rFonts w:cs="Times New Roman"/>
          <w:lang w:val="fr-CA"/>
        </w:rPr>
        <w:t xml:space="preserve">, 2008 CSC 4, [2008] 1 R.C.S. 27. Le droit de la responsabilité délictuelle ne vise pas à réprimer l’acte répréhensible dans l’abstrait. Le droit privé vise plutôt à réparer le dommage subi et à indemniser le demandeur du préjudice causé par la création injustifiée, par le défendeur, du risque que ne survienne ce préjudice. Si la simple existence d’un comportement illégal pouvait faire disparaître une obligation, les défendeurs qui font preuve de négligence seraient à toutes fins utiles immunisés des conséquences de leurs actes. Les victimes de graves blessures seraient privées de tout recouvrement, même lorsque la majeure partie de la faute est imputable au défendeur. Bien que l’illégalité puisse être invoquée comme moyen de défense dans le cadre d’une action en responsabilité délictuelle dans certaines circonstances limitées, soit lorsque cela est nécessaire pour préserver l’intégrité du système juridique, ce facteur n’entre pas en jeu eu égard aux circonstances de l’espèce : voir </w:t>
      </w:r>
      <w:r w:rsidRPr="00160B0D">
        <w:rPr>
          <w:rFonts w:cs="Times New Roman"/>
          <w:i/>
          <w:lang w:val="fr-CA"/>
        </w:rPr>
        <w:t>Hall</w:t>
      </w:r>
      <w:r w:rsidR="00DC1E88">
        <w:rPr>
          <w:rFonts w:cs="Times New Roman"/>
          <w:lang w:val="fr-CA"/>
        </w:rPr>
        <w:t>, p. 169 et 179-</w:t>
      </w:r>
      <w:r w:rsidRPr="00160B0D">
        <w:rPr>
          <w:rFonts w:cs="Times New Roman"/>
          <w:lang w:val="fr-CA"/>
        </w:rPr>
        <w:t xml:space="preserve">180. L’acte répréhensible du demandeur est pris en compte dans le cadre de l’analyse pour déterminer si, comme c’est le cas en l’espèce, il y a eu négligence contributive. </w:t>
      </w:r>
    </w:p>
    <w:p w:rsidR="003C5BAD" w:rsidRPr="00160B0D" w:rsidRDefault="003C5BAD" w:rsidP="003C5BAD">
      <w:pPr>
        <w:pStyle w:val="ParaNoNdepar-AltN"/>
        <w:rPr>
          <w:rFonts w:cs="Times New Roman"/>
          <w:lang w:val="fr-CA"/>
        </w:rPr>
      </w:pPr>
      <w:r w:rsidRPr="00160B0D">
        <w:rPr>
          <w:rFonts w:cs="Times New Roman"/>
          <w:lang w:val="fr-CA"/>
        </w:rPr>
        <w:t xml:space="preserve">Ainsi, le fait que les lésions corporelles causées par la conduite dangereuse du véhicule volé soient subies par le voleur ou par un tiers ne change rien à l’analyse de l’obligation de diligence. Les deux scénarios sont raisonnablement prévisibles </w:t>
      </w:r>
      <w:r w:rsidRPr="00160B0D">
        <w:rPr>
          <w:rFonts w:cs="Times New Roman"/>
          <w:lang w:val="fr-CA"/>
        </w:rPr>
        <w:lastRenderedPageBreak/>
        <w:t xml:space="preserve">lorsque les faits permettent d’établir un lien entre le vol de la voiture et la conduite dangereuse subséquente de cette dernière. En fait, le risque auquel sont exposés les tiers et celui auquel est exposé le conducteur découlent du même problème et « ce n’est que le hasard » qui décide qui est blessé : voir </w:t>
      </w:r>
      <w:r w:rsidRPr="00160B0D">
        <w:rPr>
          <w:rFonts w:cs="Times New Roman"/>
          <w:i/>
          <w:lang w:val="fr-CA"/>
        </w:rPr>
        <w:t>Stewart</w:t>
      </w:r>
      <w:r w:rsidRPr="00160B0D">
        <w:rPr>
          <w:rFonts w:cs="Times New Roman"/>
          <w:lang w:val="fr-CA"/>
        </w:rPr>
        <w:t>, par. 28.</w:t>
      </w:r>
    </w:p>
    <w:p w:rsidR="003C5BAD" w:rsidRPr="00160B0D" w:rsidRDefault="003C5BAD" w:rsidP="003C5BAD">
      <w:pPr>
        <w:pStyle w:val="ParaNoNdepar-AltN"/>
        <w:rPr>
          <w:rFonts w:cs="Times New Roman"/>
          <w:lang w:val="fr-CA"/>
        </w:rPr>
      </w:pPr>
      <w:r w:rsidRPr="00160B0D">
        <w:rPr>
          <w:rFonts w:cs="Times New Roman"/>
          <w:lang w:val="fr-CA"/>
        </w:rPr>
        <w:t xml:space="preserve">Je reconnais que le législateur a adopté une approche différente en Ontario en ce qui concerne la responsabilité de l’occupant. Le paragraphe 4(2) de la </w:t>
      </w:r>
      <w:r w:rsidRPr="00160B0D">
        <w:rPr>
          <w:rFonts w:cs="Times New Roman"/>
          <w:i/>
          <w:lang w:val="fr-CA"/>
        </w:rPr>
        <w:t>Loi sur la responsabilité des occupants</w:t>
      </w:r>
      <w:r w:rsidRPr="00160B0D">
        <w:rPr>
          <w:rFonts w:cs="Times New Roman"/>
          <w:lang w:val="fr-CA"/>
        </w:rPr>
        <w:t>, L.R.O. 1990, c. O.2, dispose en effet qu’« [u]</w:t>
      </w:r>
      <w:r w:rsidRPr="00160B0D">
        <w:rPr>
          <w:rFonts w:cs="Times New Roman"/>
          <w:lang w:val="fr-FR"/>
        </w:rPr>
        <w:t>ne personne qui se trouve dans les lieux avec l’intention de commettre des activités criminelles ou qui est en train de les commettre, est réputée avoir volontairement assumé tous les risques ».</w:t>
      </w:r>
      <w:r w:rsidRPr="00160B0D">
        <w:rPr>
          <w:rFonts w:cs="Times New Roman"/>
          <w:lang w:val="fr-CA"/>
        </w:rPr>
        <w:t xml:space="preserve"> En pareil cas, l’obligation de diligence n’est pas éliminée, mais la norme de diligence à laquelle l’occupant est tenu est moins exigeante. Son obligation se limite à </w:t>
      </w:r>
      <w:r w:rsidRPr="00160B0D">
        <w:rPr>
          <w:rFonts w:cs="Times New Roman"/>
          <w:lang w:val="fr-FR"/>
        </w:rPr>
        <w:t>« ne créer aucun danger dans l’intention arrêtée de [. . .] faire du tort à [la personne qui entre dans les lieux] ou d’endommager ses biens. Il a également l’obligation de ne pas agir de façon insouciante en faisant abstraction de la présence de la personne ou de ses biens »</w:t>
      </w:r>
      <w:r w:rsidR="0011200E">
        <w:rPr>
          <w:rFonts w:cs="Times New Roman"/>
          <w:lang w:val="fr-CA"/>
        </w:rPr>
        <w:t xml:space="preserve"> (</w:t>
      </w:r>
      <w:r w:rsidRPr="00160B0D">
        <w:rPr>
          <w:rFonts w:cs="Times New Roman"/>
          <w:lang w:val="fr-CA"/>
        </w:rPr>
        <w:t>par. 4(1)</w:t>
      </w:r>
      <w:r w:rsidR="0011200E">
        <w:rPr>
          <w:rFonts w:cs="Times New Roman"/>
          <w:lang w:val="fr-CA"/>
        </w:rPr>
        <w:t>)</w:t>
      </w:r>
      <w:r w:rsidRPr="00160B0D">
        <w:rPr>
          <w:rFonts w:cs="Times New Roman"/>
          <w:lang w:val="fr-CA"/>
        </w:rPr>
        <w:t xml:space="preserve">. Tous s’entendent pour dire que la Loi ne s’applique pas en l’espèce, puisque l’accident est survenu sur la voie publique. Le législateur ontarien n’a pas choisi de modifier la common law pour les accidents survenus hors des lieux. </w:t>
      </w:r>
    </w:p>
    <w:p w:rsidR="003C5BAD" w:rsidRPr="00160B0D" w:rsidRDefault="003C5BAD" w:rsidP="003C5BAD">
      <w:pPr>
        <w:pStyle w:val="Title1LevelTitre1Niveau-AltL"/>
        <w:rPr>
          <w:rFonts w:cs="Times New Roman"/>
          <w:lang w:val="fr-CA"/>
        </w:rPr>
      </w:pPr>
      <w:r w:rsidRPr="00160B0D">
        <w:rPr>
          <w:rFonts w:cs="Times New Roman"/>
          <w:lang w:val="fr-CA"/>
        </w:rPr>
        <w:t>Conclusion</w:t>
      </w:r>
    </w:p>
    <w:p w:rsidR="003C5BAD" w:rsidRPr="00160B0D" w:rsidRDefault="003C5BAD" w:rsidP="003C5BAD">
      <w:pPr>
        <w:pStyle w:val="ParaNoNdepar-AltN"/>
        <w:rPr>
          <w:rFonts w:cs="Times New Roman"/>
          <w:lang w:val="fr-CA"/>
        </w:rPr>
      </w:pPr>
      <w:r w:rsidRPr="00160B0D">
        <w:rPr>
          <w:rFonts w:cs="Times New Roman"/>
          <w:lang w:val="fr-CA"/>
        </w:rPr>
        <w:t xml:space="preserve">En droit de la responsabilité délictuelle, la responsabilité du défendeur n’est engagée que lorsqu’il a manqué à une obligation de diligence. Le test </w:t>
      </w:r>
      <w:r w:rsidRPr="00160B0D">
        <w:rPr>
          <w:rFonts w:cs="Times New Roman"/>
          <w:i/>
          <w:lang w:val="fr-CA"/>
        </w:rPr>
        <w:t>Anns/Cooper</w:t>
      </w:r>
      <w:r w:rsidRPr="00160B0D">
        <w:rPr>
          <w:rFonts w:cs="Times New Roman"/>
          <w:lang w:val="fr-CA"/>
        </w:rPr>
        <w:t xml:space="preserve"> garantit qu’il n’y aura reconnaissance d’une obligation de diligence que lorsqu’il est juste et équitable qu’il en soit ainsi. Il est donc nécessaire d’aborder chaque étape du test en faisant preuve de rigueur sur le plan de l’analyse. Bien que le bon sens </w:t>
      </w:r>
      <w:r w:rsidRPr="00160B0D">
        <w:rPr>
          <w:rFonts w:cs="Times New Roman"/>
          <w:lang w:val="fr-CA"/>
        </w:rPr>
        <w:lastRenderedPageBreak/>
        <w:t>puisse jouer un rôle utile lorsqu’il s’agit d’évaluer la prévisibilité raisonnable, il n’est pas suffisant, à lui seul, pour servir de fondement à la reconnaissance d’une nouvelle obligation de diligence dans le cas qui nous occupe. Abstraction faite des éléments de preuve susceptibles d’établir le risque de vol en général, il n’y avait aucun autre élément qui permettait d’établir un lien entre le risque de vol de la voiture et celui que quelqu’un subisse des lésions corporelles. Par exemple, Rankin’s Garage était exploité depuis de nombreuses années et rien dans la preuve présentée ne tend à démontrer qu’il a connu quelque risque de vol par des mineurs que ce soit depuis son ouverture.</w:t>
      </w:r>
    </w:p>
    <w:p w:rsidR="003C5BAD" w:rsidRPr="00160B0D" w:rsidRDefault="003C5BAD" w:rsidP="003C5BAD">
      <w:pPr>
        <w:pStyle w:val="ParaNoNdepar-AltN"/>
        <w:rPr>
          <w:rFonts w:cs="Times New Roman"/>
          <w:lang w:val="fr-CA"/>
        </w:rPr>
      </w:pPr>
      <w:r w:rsidRPr="00160B0D">
        <w:rPr>
          <w:rFonts w:cs="Times New Roman"/>
          <w:lang w:val="fr-CA"/>
        </w:rPr>
        <w:t>Cela ne veut pas dire qu’il n’y aura jamais d’obligation de diligence lorsqu’une voiture est volée dans un établissement commercial pour être ensuite impliquée dans un accident. Un autre demandeur pourrait démontrer que, compte tenu des circonstances, l’entreprise aurait dû prévoir le risque de lésions corporelles. Toutefois, au vu du présent dossier, je conclus que les tribunaux d’instances inférieures ont commis une erreur en jugeant que Rankin’s Garage avait une obligation de diligence envers le demandeur. Je suis d’avis d’accueillir le pourvoi et de rejeter la demande contre l’appelant, le tout avec dépens devant la Cour et les juridictions inférieures.</w:t>
      </w:r>
    </w:p>
    <w:p w:rsidR="003C5BAD" w:rsidRDefault="003C5BAD" w:rsidP="00933047">
      <w:pPr>
        <w:pStyle w:val="ParaNoNdepar-AltN"/>
        <w:numPr>
          <w:ilvl w:val="0"/>
          <w:numId w:val="0"/>
        </w:numPr>
        <w:ind w:firstLine="1170"/>
        <w:rPr>
          <w:lang w:val="fr-CA"/>
        </w:rPr>
      </w:pPr>
      <w:r>
        <w:rPr>
          <w:lang w:val="fr-CA"/>
        </w:rPr>
        <w:t xml:space="preserve">Version française des motifs des juges Gascon et Brown rendus par </w:t>
      </w:r>
    </w:p>
    <w:p w:rsidR="003C5BAD" w:rsidRPr="00A26DBD" w:rsidRDefault="003C5BAD" w:rsidP="00933047">
      <w:pPr>
        <w:pStyle w:val="ParaNoNdepar-AltN"/>
        <w:numPr>
          <w:ilvl w:val="0"/>
          <w:numId w:val="0"/>
        </w:numPr>
        <w:ind w:firstLine="1170"/>
        <w:rPr>
          <w:lang w:val="fr-CA"/>
        </w:rPr>
      </w:pPr>
      <w:r w:rsidRPr="005229CB">
        <w:rPr>
          <w:smallCaps/>
          <w:lang w:val="fr-CA"/>
        </w:rPr>
        <w:t>Le juge Brown</w:t>
      </w:r>
      <w:r w:rsidRPr="00A26DBD">
        <w:rPr>
          <w:lang w:val="fr-CA"/>
        </w:rPr>
        <w:t xml:space="preserve"> </w:t>
      </w:r>
      <w:r w:rsidR="00933047">
        <w:rPr>
          <w:lang w:val="fr-CA"/>
        </w:rPr>
        <w:t xml:space="preserve">(dissident) </w:t>
      </w:r>
      <w:r w:rsidRPr="00A26DBD">
        <w:rPr>
          <w:lang w:val="fr-CA"/>
        </w:rPr>
        <w:t xml:space="preserve">— </w:t>
      </w:r>
    </w:p>
    <w:p w:rsidR="003C5BAD" w:rsidRPr="00A072A2" w:rsidRDefault="003C5BAD" w:rsidP="00A072A2">
      <w:pPr>
        <w:pStyle w:val="Title1LevelTitre1Niveau-AltL"/>
        <w:numPr>
          <w:ilvl w:val="0"/>
          <w:numId w:val="32"/>
        </w:numPr>
        <w:rPr>
          <w:rFonts w:cs="Times New Roman"/>
          <w:lang w:val="fr-CA"/>
        </w:rPr>
      </w:pPr>
      <w:r w:rsidRPr="00A072A2">
        <w:rPr>
          <w:rFonts w:cs="Times New Roman"/>
          <w:lang w:val="fr-CA"/>
        </w:rPr>
        <w:t>Introduction</w:t>
      </w:r>
    </w:p>
    <w:p w:rsidR="003C5BAD" w:rsidRPr="00A26DBD" w:rsidRDefault="003C5BAD" w:rsidP="003C5BAD">
      <w:pPr>
        <w:pStyle w:val="ParaNoNdepar-AltN"/>
        <w:rPr>
          <w:lang w:val="fr-CA"/>
        </w:rPr>
      </w:pPr>
      <w:r w:rsidRPr="00A26DBD">
        <w:rPr>
          <w:lang w:val="fr-CA"/>
        </w:rPr>
        <w:lastRenderedPageBreak/>
        <w:t>La question soulevée par le présent pourvoi est celle de savoir si la juge du procès a commis une erreur en concluant que l’appelant Rankin avait une obligation de diligence envers l’intimé J. J’ai lu les motifs des juges majoritaires et je suis en désaccord sur deux points de leur analyse, ce qui m’amènerait à rejeter le pourvoi.</w:t>
      </w:r>
    </w:p>
    <w:p w:rsidR="003C5BAD" w:rsidRPr="00A26DBD" w:rsidRDefault="003C5BAD" w:rsidP="003C5BAD">
      <w:pPr>
        <w:pStyle w:val="ParaNoNdepar-AltN"/>
        <w:rPr>
          <w:rFonts w:cs="Times New Roman"/>
          <w:lang w:val="fr-CA"/>
        </w:rPr>
      </w:pPr>
      <w:r w:rsidRPr="00A26DBD">
        <w:rPr>
          <w:rFonts w:cs="Times New Roman"/>
          <w:lang w:val="fr-CA"/>
        </w:rPr>
        <w:t xml:space="preserve">En premier lieu, la présente affaire n’oblige pas la Cour à entreprendre une analyse exhaustive fondée sur le test </w:t>
      </w:r>
      <w:r w:rsidRPr="00A26DBD">
        <w:rPr>
          <w:rFonts w:cs="Times New Roman"/>
          <w:i/>
          <w:lang w:val="fr-CA"/>
        </w:rPr>
        <w:t>Anns/Cooper</w:t>
      </w:r>
      <w:r w:rsidRPr="00B41F47">
        <w:rPr>
          <w:rStyle w:val="Hyperlink"/>
          <w:u w:val="none"/>
          <w:vertAlign w:val="superscript"/>
        </w:rPr>
        <w:footnoteReference w:id="1"/>
      </w:r>
      <w:r w:rsidRPr="00A26DBD">
        <w:rPr>
          <w:rFonts w:cs="Times New Roman"/>
          <w:lang w:val="fr-CA"/>
        </w:rPr>
        <w:t xml:space="preserve"> pour déterminer s’il existe une nouvelle obligation de diligence. Elle concerne plutôt l’application banale d’une catégorie de relations dont il a été reconnu depuis longtemps qu’elles imposent au défendeur une obligation de diligence, en l’occurrence, les cas « où l’acte du défendeur cause des lésions au demandeur [. . .] et que ces lésions [. . .] étaient prévisibles »</w:t>
      </w:r>
      <w:r w:rsidRPr="00B41F47">
        <w:rPr>
          <w:rStyle w:val="Hyperlink"/>
          <w:u w:val="none"/>
          <w:vertAlign w:val="superscript"/>
        </w:rPr>
        <w:footnoteReference w:id="2"/>
      </w:r>
      <w:r w:rsidRPr="00A26DBD">
        <w:rPr>
          <w:rFonts w:cs="Times New Roman"/>
          <w:lang w:val="fr-CA"/>
        </w:rPr>
        <w:t>. Dans la mesure où la juge du procès n’a pas commis d’erreur en concluant que les lésions corporelles causées à J. étaient une conséquence raisonnablement prévisible de la négligence de Rankin, cette obligation de diligence déjà reconnue emporte établissement du lien de proximité.</w:t>
      </w:r>
    </w:p>
    <w:p w:rsidR="003C5BAD" w:rsidRPr="00A26DBD" w:rsidRDefault="003C5BAD" w:rsidP="003C5BAD">
      <w:pPr>
        <w:pStyle w:val="ParaNoNdepar-AltN"/>
        <w:rPr>
          <w:rFonts w:cs="Times New Roman"/>
          <w:lang w:val="fr-CA"/>
        </w:rPr>
      </w:pPr>
      <w:r w:rsidRPr="00A26DBD">
        <w:rPr>
          <w:rFonts w:cs="Times New Roman"/>
          <w:lang w:val="fr-CA"/>
        </w:rPr>
        <w:t>Ceci m’amène au second point sur lequel je diverge d’opinion avec mes collègues majoritaires. Il ressort du dossier dont elle était saisie que la juge du procès n’a pas commis d’erreur en concluant que les lésions corporelles subies par J. étaient une conséquence raisonnablement prévisible de la négligence dont Rankin a fait preuve. Je confirmerais donc la conclusion de la juge du procès suivant laquelle ce dernier était tenu à une obligation de diligence.</w:t>
      </w:r>
    </w:p>
    <w:p w:rsidR="003C5BAD" w:rsidRPr="00A26DBD" w:rsidRDefault="003C5BAD" w:rsidP="003C5BAD">
      <w:pPr>
        <w:pStyle w:val="Title1LevelTitre1Niveau-AltL"/>
        <w:rPr>
          <w:rFonts w:cs="Times New Roman"/>
          <w:lang w:val="fr-CA"/>
        </w:rPr>
      </w:pPr>
      <w:r w:rsidRPr="00A26DBD">
        <w:rPr>
          <w:rFonts w:cs="Times New Roman"/>
          <w:lang w:val="fr-CA"/>
        </w:rPr>
        <w:lastRenderedPageBreak/>
        <w:t>Analyse</w:t>
      </w:r>
    </w:p>
    <w:p w:rsidR="003C5BAD" w:rsidRPr="00A26DBD" w:rsidRDefault="003C5BAD" w:rsidP="003C5BAD">
      <w:pPr>
        <w:pStyle w:val="Title2LevelTitre2Niveau"/>
        <w:rPr>
          <w:rFonts w:cs="Times New Roman"/>
          <w:lang w:val="fr-CA"/>
        </w:rPr>
      </w:pPr>
      <w:r w:rsidRPr="00A26DBD">
        <w:rPr>
          <w:rFonts w:cs="Times New Roman"/>
          <w:lang w:val="fr-CA"/>
        </w:rPr>
        <w:t xml:space="preserve">Établissement d’une obligation de diligence selon le test Anns/Cooper </w:t>
      </w:r>
    </w:p>
    <w:p w:rsidR="003C5BAD" w:rsidRPr="00A26DBD" w:rsidRDefault="003C5BAD" w:rsidP="003C5BAD">
      <w:pPr>
        <w:pStyle w:val="ParaNoNdepar-AltN"/>
        <w:rPr>
          <w:rFonts w:cs="Times New Roman"/>
          <w:lang w:val="fr-CA"/>
        </w:rPr>
      </w:pPr>
      <w:r w:rsidRPr="00A26DBD">
        <w:rPr>
          <w:rFonts w:cs="Times New Roman"/>
          <w:lang w:val="fr-CA"/>
        </w:rPr>
        <w:t>Pour avoir gain de cause dans une action fondée sur la négligence, le demandeur doit établir les éléments suivants : (1) le défendeur avait envers lui une obligation de diligence; (2) par ses agissements, le défendeur a manqué à cette norme de diligence; (3) le demandeur a subi des dommages; (4) ces dommages lui ont été causés, en fait et en droit, par le manquement du défendeur</w:t>
      </w:r>
      <w:r w:rsidRPr="00B41F47">
        <w:rPr>
          <w:rStyle w:val="Hyperlink"/>
          <w:u w:val="none"/>
          <w:vertAlign w:val="superscript"/>
        </w:rPr>
        <w:footnoteReference w:id="3"/>
      </w:r>
      <w:r w:rsidRPr="00A26DBD">
        <w:rPr>
          <w:rFonts w:cs="Times New Roman"/>
          <w:lang w:val="fr-CA"/>
        </w:rPr>
        <w:t>. Devant nous, les parties ont abordé le présent pourvoi en considérant qu’il porte exclusivement sur la question de savoir si Rankin avait ou non une obligation de diligence envers J.</w:t>
      </w:r>
    </w:p>
    <w:p w:rsidR="003C5BAD" w:rsidRPr="00A26DBD" w:rsidRDefault="003C5BAD" w:rsidP="003C5BAD">
      <w:pPr>
        <w:pStyle w:val="ParaNoNdepar-AltN"/>
        <w:rPr>
          <w:rFonts w:cs="Times New Roman"/>
          <w:lang w:val="fr-CA"/>
        </w:rPr>
      </w:pPr>
      <w:r w:rsidRPr="00A26DBD">
        <w:rPr>
          <w:rFonts w:cs="Times New Roman"/>
          <w:lang w:val="fr-CA"/>
        </w:rPr>
        <w:t xml:space="preserve">En droit canadien, l’existence d’une obligation de diligence est établie par l’application du cadre d’analyse </w:t>
      </w:r>
      <w:r w:rsidRPr="00A26DBD">
        <w:rPr>
          <w:rFonts w:cs="Times New Roman"/>
          <w:i/>
          <w:lang w:val="fr-CA"/>
        </w:rPr>
        <w:t>Anns/Cooper</w:t>
      </w:r>
      <w:r w:rsidRPr="00A26DBD">
        <w:rPr>
          <w:rFonts w:cs="Times New Roman"/>
          <w:lang w:val="fr-CA"/>
        </w:rPr>
        <w:t>. Ce dernier, qui se décline en deux étapes, pose les deux questions suivantes : (1) </w:t>
      </w:r>
      <w:r>
        <w:rPr>
          <w:rFonts w:cs="Times New Roman"/>
          <w:lang w:val="fr-CA"/>
        </w:rPr>
        <w:t>E</w:t>
      </w:r>
      <w:r w:rsidRPr="00A26DBD">
        <w:rPr>
          <w:rFonts w:cs="Times New Roman"/>
          <w:lang w:val="fr-CA"/>
        </w:rPr>
        <w:t>xiste</w:t>
      </w:r>
      <w:r w:rsidRPr="00A26DBD">
        <w:rPr>
          <w:rFonts w:cs="Times New Roman"/>
          <w:lang w:val="fr-CA"/>
        </w:rPr>
        <w:noBreakHyphen/>
        <w:t>t</w:t>
      </w:r>
      <w:r w:rsidRPr="00A26DBD">
        <w:rPr>
          <w:rFonts w:cs="Times New Roman"/>
          <w:lang w:val="fr-CA"/>
        </w:rPr>
        <w:noBreakHyphen/>
        <w:t xml:space="preserve">il une obligation de diligence </w:t>
      </w:r>
      <w:r w:rsidRPr="00A26DBD">
        <w:rPr>
          <w:rFonts w:cs="Times New Roman"/>
          <w:i/>
          <w:lang w:val="fr-CA"/>
        </w:rPr>
        <w:t>prima facie</w:t>
      </w:r>
      <w:r w:rsidRPr="00A26DBD">
        <w:rPr>
          <w:rFonts w:cs="Times New Roman"/>
          <w:lang w:val="fr-CA"/>
        </w:rPr>
        <w:t xml:space="preserve"> entre les parties? (2) S’il existe une obligation de diligence </w:t>
      </w:r>
      <w:r w:rsidRPr="00A26DBD">
        <w:rPr>
          <w:rFonts w:cs="Times New Roman"/>
          <w:i/>
          <w:lang w:val="fr-CA"/>
        </w:rPr>
        <w:t>prima facie</w:t>
      </w:r>
      <w:r w:rsidRPr="00A26DBD">
        <w:rPr>
          <w:rFonts w:cs="Times New Roman"/>
          <w:lang w:val="fr-CA"/>
        </w:rPr>
        <w:t>, des considérations de principe résiduelles viennent</w:t>
      </w:r>
      <w:r w:rsidRPr="00A26DBD">
        <w:rPr>
          <w:rFonts w:cs="Times New Roman"/>
          <w:lang w:val="fr-CA"/>
        </w:rPr>
        <w:noBreakHyphen/>
        <w:t>elles écarter cette obligation? À la première étape, il incombe au demandeur de démontrer que « les circonstances dévoilent un préjudice raisonnablement prévisible et un lien de proximité »</w:t>
      </w:r>
      <w:r w:rsidRPr="00B41F47">
        <w:rPr>
          <w:rStyle w:val="Hyperlink"/>
          <w:u w:val="none"/>
          <w:vertAlign w:val="superscript"/>
        </w:rPr>
        <w:footnoteReference w:id="4"/>
      </w:r>
      <w:r w:rsidRPr="00A26DBD">
        <w:rPr>
          <w:rFonts w:cs="Times New Roman"/>
          <w:lang w:val="fr-CA"/>
        </w:rPr>
        <w:t>. Selon la jurisprudence, lorsqu’un cas relève d’une catégorie de relations dans lesquelles l’obligation de diligence a déjà été reconnue ou est analogue à cette catégorie, la condition relative à l’existence d’un lien de proximité est remplie</w:t>
      </w:r>
      <w:r w:rsidRPr="00B41F47">
        <w:rPr>
          <w:rStyle w:val="Hyperlink"/>
          <w:u w:val="none"/>
          <w:vertAlign w:val="superscript"/>
        </w:rPr>
        <w:footnoteReference w:id="5"/>
      </w:r>
      <w:r w:rsidRPr="00A26DBD">
        <w:rPr>
          <w:rFonts w:cs="Times New Roman"/>
          <w:lang w:val="fr-CA"/>
        </w:rPr>
        <w:t xml:space="preserve">. De plus, en </w:t>
      </w:r>
      <w:r w:rsidRPr="00A26DBD">
        <w:rPr>
          <w:rFonts w:cs="Times New Roman"/>
          <w:lang w:val="fr-CA"/>
        </w:rPr>
        <w:lastRenderedPageBreak/>
        <w:t xml:space="preserve">supposant que le demandeur a démontré que le préjudice qu’il a subi était une conséquence raisonnablement prévisible de la négligence du défendeur, le tribunal conclura à juste titre qu’il existe une obligation de diligence sans avoir à aborder la seconde étape du test </w:t>
      </w:r>
      <w:r w:rsidRPr="00A26DBD">
        <w:rPr>
          <w:rFonts w:cs="Times New Roman"/>
          <w:i/>
          <w:lang w:val="fr-CA"/>
        </w:rPr>
        <w:t>Anns/Cooper</w:t>
      </w:r>
      <w:r w:rsidRPr="00B41F47">
        <w:rPr>
          <w:rStyle w:val="Hyperlink"/>
          <w:u w:val="none"/>
          <w:vertAlign w:val="superscript"/>
        </w:rPr>
        <w:footnoteReference w:id="6"/>
      </w:r>
      <w:r w:rsidRPr="00A26DBD">
        <w:rPr>
          <w:rFonts w:cs="Times New Roman"/>
          <w:i/>
          <w:lang w:val="fr-CA"/>
        </w:rPr>
        <w:t>.</w:t>
      </w:r>
      <w:r w:rsidRPr="00A26DBD">
        <w:rPr>
          <w:rFonts w:cs="Times New Roman"/>
          <w:lang w:val="fr-CA"/>
        </w:rPr>
        <w:t xml:space="preserve"> Lorsque l’existence d’une obligation déjà reconnue n’a pas été établie, il faut procéder à une analyse exhaustive fondée sur le test </w:t>
      </w:r>
      <w:r w:rsidRPr="00A26DBD">
        <w:rPr>
          <w:rFonts w:cs="Times New Roman"/>
          <w:i/>
          <w:lang w:val="fr-CA"/>
        </w:rPr>
        <w:t xml:space="preserve">Anns/Cooper </w:t>
      </w:r>
      <w:r w:rsidRPr="00A26DBD">
        <w:rPr>
          <w:rFonts w:cs="Times New Roman"/>
          <w:lang w:val="fr-CA"/>
        </w:rPr>
        <w:t>pour déterminer s’il y a lieu de reconnaître une nouvelle obligation de diligence</w:t>
      </w:r>
      <w:r w:rsidRPr="00B41F47">
        <w:rPr>
          <w:rStyle w:val="Hyperlink"/>
          <w:u w:val="none"/>
          <w:vertAlign w:val="superscript"/>
        </w:rPr>
        <w:footnoteReference w:id="7"/>
      </w:r>
      <w:r w:rsidRPr="00A26DBD">
        <w:rPr>
          <w:rFonts w:cs="Times New Roman"/>
          <w:lang w:val="fr-CA"/>
        </w:rPr>
        <w:t xml:space="preserve">. </w:t>
      </w:r>
    </w:p>
    <w:p w:rsidR="003C5BAD" w:rsidRPr="00A26DBD" w:rsidRDefault="003C5BAD" w:rsidP="003C5BAD">
      <w:pPr>
        <w:pStyle w:val="Title2LevelTitre2Niveau"/>
        <w:rPr>
          <w:rFonts w:cs="Times New Roman"/>
          <w:lang w:val="fr-CA"/>
        </w:rPr>
      </w:pPr>
      <w:r w:rsidRPr="00A26DBD">
        <w:rPr>
          <w:rFonts w:cs="Times New Roman"/>
          <w:lang w:val="fr-CA"/>
        </w:rPr>
        <w:t>La relation qui existait en l’espèce entre</w:t>
      </w:r>
      <w:r w:rsidRPr="00A26DBD">
        <w:rPr>
          <w:rFonts w:cs="Times New Roman"/>
          <w:lang w:val="fr-CA"/>
        </w:rPr>
        <w:noBreakHyphen/>
        <w:t>t</w:t>
      </w:r>
      <w:r w:rsidRPr="00A26DBD">
        <w:rPr>
          <w:rFonts w:cs="Times New Roman"/>
          <w:lang w:val="fr-CA"/>
        </w:rPr>
        <w:noBreakHyphen/>
        <w:t>elle dans une catégorie déjà reconnue?</w:t>
      </w:r>
    </w:p>
    <w:p w:rsidR="003C5BAD" w:rsidRPr="00A26DBD" w:rsidRDefault="003C5BAD" w:rsidP="003C5BAD">
      <w:pPr>
        <w:pStyle w:val="ParaNoNdepar-AltN"/>
        <w:rPr>
          <w:rFonts w:cs="Times New Roman"/>
          <w:lang w:val="fr-CA"/>
        </w:rPr>
      </w:pPr>
      <w:r w:rsidRPr="00A26DBD">
        <w:rPr>
          <w:rFonts w:cs="Times New Roman"/>
          <w:lang w:val="fr-CA"/>
        </w:rPr>
        <w:t xml:space="preserve">La juge du procès a conclu, comme J. l’a plaidé devant la Cour, que la relation qui existait entre Rankin et J. appartient à une catégorie de relations à l’égard de laquelle il a déjà été établi qu’il existe une obligation de diligence, de sorte qu’il n’est pas nécessaire d’entreprendre une analyse exhaustive fondée sur le test </w:t>
      </w:r>
      <w:r w:rsidRPr="00A26DBD">
        <w:rPr>
          <w:rFonts w:cs="Times New Roman"/>
          <w:i/>
          <w:lang w:val="fr-CA"/>
        </w:rPr>
        <w:t xml:space="preserve">Anns/Cooper. </w:t>
      </w:r>
      <w:r w:rsidRPr="00A26DBD">
        <w:rPr>
          <w:rFonts w:cs="Times New Roman"/>
          <w:lang w:val="fr-CA"/>
        </w:rPr>
        <w:t xml:space="preserve">Je suis du même avis. Dans l’arrêt </w:t>
      </w:r>
      <w:r w:rsidRPr="00A26DBD">
        <w:rPr>
          <w:rFonts w:cs="Times New Roman"/>
          <w:i/>
          <w:lang w:val="fr-CA"/>
        </w:rPr>
        <w:t>Cooper c. Hobart</w:t>
      </w:r>
      <w:r w:rsidRPr="00A26DBD">
        <w:rPr>
          <w:rFonts w:cs="Times New Roman"/>
          <w:lang w:val="fr-CA"/>
        </w:rPr>
        <w:t>, la Cour a défini la première catégorie de relations à l’égard de laquelle une obligation de diligence a déjà été reconnue en précisant qu’il s’agit des cas où « l’acte du défendeur cause des lésions au demandeur [. . .] et que ces lésions [. . .] étaient prévisibles ». Pour démontrer que les circonstances particulières d’une affaire entrent dans cette catégorie, le demandeur n’a qu’à démontrer que les lésions corporelles qu’il a subies étaient une conséquence raisonnablement prévisible de l’acte de négligence manifeste du défendeur</w:t>
      </w:r>
      <w:r w:rsidRPr="00B41F47">
        <w:rPr>
          <w:rStyle w:val="Hyperlink"/>
          <w:u w:val="none"/>
          <w:vertAlign w:val="superscript"/>
        </w:rPr>
        <w:footnoteReference w:id="8"/>
      </w:r>
      <w:r w:rsidRPr="00A26DBD">
        <w:rPr>
          <w:rFonts w:cs="Times New Roman"/>
          <w:lang w:val="fr-CA"/>
        </w:rPr>
        <w:t xml:space="preserve">. Il en est ainsi parce que, comme la Cour l’a expliqué dans l’arrêt </w:t>
      </w:r>
      <w:r w:rsidRPr="00A26DBD">
        <w:rPr>
          <w:rFonts w:cs="Times New Roman"/>
          <w:i/>
          <w:lang w:val="fr-CA"/>
        </w:rPr>
        <w:t xml:space="preserve">Deloitte &amp; Touche c. Livent </w:t>
      </w:r>
      <w:r w:rsidRPr="00A26DBD">
        <w:rPr>
          <w:rFonts w:cs="Times New Roman"/>
          <w:i/>
          <w:lang w:val="fr-CA"/>
        </w:rPr>
        <w:lastRenderedPageBreak/>
        <w:t>Inc. (Séquestre de)</w:t>
      </w:r>
      <w:r w:rsidRPr="00A26DBD">
        <w:rPr>
          <w:rFonts w:cs="Times New Roman"/>
          <w:lang w:val="fr-CA"/>
        </w:rPr>
        <w:t xml:space="preserve">, lorsqu’il cherche à savoir si une catégorie déjà reconnue s’applique, « le tribunal doit être attentif aux </w:t>
      </w:r>
      <w:r w:rsidRPr="00A26DBD">
        <w:rPr>
          <w:rFonts w:cs="Times New Roman"/>
          <w:u w:val="single"/>
          <w:lang w:val="fr-CA"/>
        </w:rPr>
        <w:t>facteurs particuliers</w:t>
      </w:r>
      <w:r w:rsidRPr="00A26DBD">
        <w:rPr>
          <w:rFonts w:cs="Times New Roman"/>
          <w:lang w:val="fr-CA"/>
        </w:rPr>
        <w:t xml:space="preserve"> qui ont permis d’établir cette catégorie pour déterminer si la relation en cause est en fait vraiment la même que celle établie auparavant ou si elle est analogue »</w:t>
      </w:r>
      <w:r w:rsidRPr="00B41F47">
        <w:rPr>
          <w:rStyle w:val="Hyperlink"/>
          <w:u w:val="none"/>
          <w:vertAlign w:val="superscript"/>
        </w:rPr>
        <w:footnoteReference w:id="9"/>
      </w:r>
      <w:r w:rsidRPr="00A26DBD">
        <w:rPr>
          <w:rFonts w:cs="Times New Roman"/>
          <w:lang w:val="fr-CA"/>
        </w:rPr>
        <w:t>. En outre, dans les cas où les lésions corporelles étaient prévisibles, le seul « facteur » qui justifie l’établissement d’un lien de proximité et d’une obligation de diligence est la prévisibilité du préjudice. En effet, il semble que les juges majoritaires reconnaissent que c’est « souvent » le cas</w:t>
      </w:r>
      <w:r w:rsidRPr="00B41F47">
        <w:rPr>
          <w:rStyle w:val="Hyperlink"/>
          <w:u w:val="none"/>
          <w:vertAlign w:val="superscript"/>
        </w:rPr>
        <w:footnoteReference w:id="10"/>
      </w:r>
      <w:r w:rsidRPr="00A26DBD">
        <w:rPr>
          <w:rFonts w:cs="Times New Roman"/>
          <w:lang w:val="fr-CA"/>
        </w:rPr>
        <w:t xml:space="preserve">. Lorsque la preuve de la prévisibilité de lésions corporelles est faite, le lien de proximité est établi par analogie avec les affaires dans lesquelles des lésions corporelles raisonnablement prévisibles ont déjà incité les tribunaux à reconnaître l’existence d’une obligation de diligence. Il s’ensuit que, en pareil cas, l’obligation de diligence sera dûment reconnue dans le cadre de la démarche fondée sur l’analogie avec une catégorie et qu’il ne sera pas nécessaire d’entreprendre l’analyse exhaustive décrite par le test </w:t>
      </w:r>
      <w:r w:rsidRPr="00A26DBD">
        <w:rPr>
          <w:rFonts w:cs="Times New Roman"/>
          <w:i/>
          <w:lang w:val="fr-CA"/>
        </w:rPr>
        <w:t>Anns/Cooper</w:t>
      </w:r>
      <w:r w:rsidRPr="00B41F47">
        <w:rPr>
          <w:rStyle w:val="Hyperlink"/>
          <w:u w:val="none"/>
          <w:vertAlign w:val="superscript"/>
        </w:rPr>
        <w:footnoteReference w:id="11"/>
      </w:r>
      <w:r w:rsidRPr="00A26DBD">
        <w:rPr>
          <w:rFonts w:cs="Times New Roman"/>
          <w:i/>
          <w:lang w:val="fr-CA"/>
        </w:rPr>
        <w:t>.</w:t>
      </w:r>
    </w:p>
    <w:p w:rsidR="003C5BAD" w:rsidRPr="00A26DBD" w:rsidRDefault="003C5BAD" w:rsidP="003C5BAD">
      <w:pPr>
        <w:pStyle w:val="ParaNoNdepar-AltN"/>
        <w:rPr>
          <w:rFonts w:cs="Times New Roman"/>
          <w:lang w:val="fr-CA"/>
        </w:rPr>
      </w:pPr>
      <w:r w:rsidRPr="00A26DBD">
        <w:rPr>
          <w:rFonts w:cs="Times New Roman"/>
          <w:lang w:val="fr-CA"/>
        </w:rPr>
        <w:t>En réponse à ce qui précède, les juges majoritaires insistent pour dire que la catégorie des lésions corporelles prévisibles est — en dépit de sa reconnaissance de longue date par la Cour — trop « vaste » pour être utilisable, et qu’elle n’est donc pas applicable</w:t>
      </w:r>
      <w:r w:rsidRPr="00DC0E99">
        <w:rPr>
          <w:rStyle w:val="Hyperlink"/>
          <w:u w:val="none"/>
          <w:vertAlign w:val="superscript"/>
        </w:rPr>
        <w:footnoteReference w:id="12"/>
      </w:r>
      <w:r w:rsidRPr="00A26DBD">
        <w:rPr>
          <w:rFonts w:cs="Times New Roman"/>
          <w:lang w:val="fr-CA"/>
        </w:rPr>
        <w:t>. Plus précisément, ils affirment que l’application de cette catégorie en signalerait « l’élargissement » de telle sorte qu’elle en « engloberait de nombreuses autres reconnues en droit de la responsabilité délictuelle »</w:t>
      </w:r>
      <w:r w:rsidRPr="00B41F47">
        <w:rPr>
          <w:rStyle w:val="Hyperlink"/>
          <w:u w:val="none"/>
          <w:vertAlign w:val="superscript"/>
        </w:rPr>
        <w:footnoteReference w:id="13"/>
      </w:r>
      <w:r w:rsidRPr="00A26DBD">
        <w:rPr>
          <w:rFonts w:cs="Times New Roman"/>
          <w:lang w:val="fr-CA"/>
        </w:rPr>
        <w:t xml:space="preserve">. Mes collègues majoritaires n’expliquent pas, toutefois, en quoi le fait d’appliquer la catégorie des lésions </w:t>
      </w:r>
      <w:r w:rsidRPr="00A26DBD">
        <w:rPr>
          <w:rFonts w:cs="Times New Roman"/>
          <w:lang w:val="fr-CA"/>
        </w:rPr>
        <w:lastRenderedPageBreak/>
        <w:t>corporelles prévisibles à une affaire de lésions corporelles constituerait une « expansion » de cette catégorie. Cette préoccupation inexpliquée les mène à conclure qu’il est nécessaire de procéder à une analyse concernant une nouvelle obligation de diligence et de limiter l’examen de cette obligation en l’espèce aux lésions corporelles subies « à la suite du vol d’un véhicule qui se trouvait sur les lieux [d’un garage commercial] »</w:t>
      </w:r>
      <w:r w:rsidRPr="00B41F47">
        <w:rPr>
          <w:rStyle w:val="Hyperlink"/>
          <w:u w:val="none"/>
          <w:vertAlign w:val="superscript"/>
        </w:rPr>
        <w:footnoteReference w:id="14"/>
      </w:r>
      <w:r w:rsidRPr="00A26DBD">
        <w:rPr>
          <w:rFonts w:cs="Times New Roman"/>
          <w:lang w:val="fr-CA"/>
        </w:rPr>
        <w:t>. Ce faisant, ils contredisent leur propre conclusion selon laquelle la prévisibilité d’un préjudice suffit souvent à établir le lien de proximité dans les cas de lésions corporelles (critère en raison duquel, comme il est indiqué ci</w:t>
      </w:r>
      <w:r w:rsidRPr="00A26DBD">
        <w:rPr>
          <w:rFonts w:cs="Times New Roman"/>
          <w:lang w:val="fr-CA"/>
        </w:rPr>
        <w:noBreakHyphen/>
        <w:t>dessus, la présente affaire tombe sous le coup de la catégorie déjà reconnue)</w:t>
      </w:r>
      <w:r w:rsidRPr="00B41F47">
        <w:rPr>
          <w:rStyle w:val="Hyperlink"/>
          <w:u w:val="none"/>
          <w:vertAlign w:val="superscript"/>
        </w:rPr>
        <w:footnoteReference w:id="15"/>
      </w:r>
      <w:r w:rsidRPr="00A26DBD">
        <w:rPr>
          <w:rFonts w:cs="Times New Roman"/>
          <w:lang w:val="fr-CA"/>
        </w:rPr>
        <w:t>. Cependant, leur approche a une conséquence plus grave, soit qu’elle fait fi de nombreuses sources jurisprudentielles et doctrinales qui affirment le contraire. Elle fait fi de la jurisprudence de la Cour qui a affirmé à deux reprises que l’appartenance à la catégorie des lésions corporelles prévisibles est suffisante pour établir une obligation de diligence, et ce, sans émettre la moindre préoccupation quant au fait qu’une telle catégorie puisse en « englober » d’autres</w:t>
      </w:r>
      <w:r w:rsidRPr="00B41F47">
        <w:rPr>
          <w:rStyle w:val="Hyperlink"/>
          <w:u w:val="none"/>
          <w:vertAlign w:val="superscript"/>
        </w:rPr>
        <w:footnoteReference w:id="16"/>
      </w:r>
      <w:r w:rsidRPr="00A26DBD">
        <w:rPr>
          <w:rFonts w:cs="Times New Roman"/>
          <w:lang w:val="fr-CA"/>
        </w:rPr>
        <w:t>. Cette approche fait également fi d’écrits universitaires qui font autorité selon lesquels [</w:t>
      </w:r>
      <w:r w:rsidRPr="00A26DBD">
        <w:rPr>
          <w:rFonts w:cs="Times New Roman"/>
          <w:smallCaps/>
          <w:lang w:val="fr-CA"/>
        </w:rPr>
        <w:t>traduction</w:t>
      </w:r>
      <w:r w:rsidRPr="00A26DBD">
        <w:rPr>
          <w:rFonts w:cs="Times New Roman"/>
          <w:lang w:val="fr-CA"/>
        </w:rPr>
        <w:t>] « lorsqu’ils examinent la prévisibilité d’un préjudice comme élément d’une obligation de diligence, les tribunaux doivent examiner la question de manière générale et conceptuelle et non en fonction de faits spécifiques »</w:t>
      </w:r>
      <w:r w:rsidRPr="00B41F47">
        <w:rPr>
          <w:rStyle w:val="Hyperlink"/>
          <w:u w:val="none"/>
          <w:vertAlign w:val="superscript"/>
        </w:rPr>
        <w:footnoteReference w:id="17"/>
      </w:r>
      <w:r w:rsidRPr="00A26DBD">
        <w:rPr>
          <w:rFonts w:cs="Times New Roman"/>
          <w:lang w:val="fr-CA"/>
        </w:rPr>
        <w:t>, et selon lesquels « [l]’obligation de diligence est une notion générale qui renvoie à une catégorie ou à un type de causes, et non à une situation de fait particulière »</w:t>
      </w:r>
      <w:r w:rsidRPr="00B41F47">
        <w:rPr>
          <w:rStyle w:val="Hyperlink"/>
          <w:u w:val="none"/>
          <w:vertAlign w:val="superscript"/>
        </w:rPr>
        <w:footnoteReference w:id="18"/>
      </w:r>
      <w:r w:rsidRPr="00A26DBD">
        <w:rPr>
          <w:rFonts w:cs="Times New Roman"/>
          <w:lang w:val="fr-CA"/>
        </w:rPr>
        <w:t xml:space="preserve">. Finalement, elle fait fi de la déclaration récente de la Cour dans </w:t>
      </w:r>
      <w:r w:rsidRPr="00A26DBD">
        <w:rPr>
          <w:rFonts w:cs="Times New Roman"/>
          <w:i/>
          <w:lang w:val="fr-CA"/>
        </w:rPr>
        <w:t>Livent</w:t>
      </w:r>
      <w:r w:rsidRPr="00A26DBD">
        <w:rPr>
          <w:rFonts w:cs="Times New Roman"/>
          <w:lang w:val="fr-CA"/>
        </w:rPr>
        <w:t xml:space="preserve"> selon laquelle les catégories déjà reconnues peuvent être définies largement ou </w:t>
      </w:r>
      <w:r w:rsidRPr="00A26DBD">
        <w:rPr>
          <w:rFonts w:cs="Times New Roman"/>
          <w:lang w:val="fr-CA"/>
        </w:rPr>
        <w:lastRenderedPageBreak/>
        <w:t>étroitement</w:t>
      </w:r>
      <w:r w:rsidRPr="00B41F47">
        <w:rPr>
          <w:rStyle w:val="Hyperlink"/>
          <w:u w:val="none"/>
          <w:vertAlign w:val="superscript"/>
        </w:rPr>
        <w:footnoteReference w:id="19"/>
      </w:r>
      <w:r w:rsidRPr="00A26DBD">
        <w:rPr>
          <w:rFonts w:cs="Times New Roman"/>
          <w:lang w:val="fr-CA"/>
        </w:rPr>
        <w:t>, mais une catégorie déjà reconnue peut, et devrait, être appliquée chaque fois que les circonstances qui ont donné lieu à sa reconnaissance sont présentes</w:t>
      </w:r>
      <w:r w:rsidRPr="00B01BB6">
        <w:rPr>
          <w:rStyle w:val="Hyperlink"/>
          <w:u w:val="none"/>
          <w:vertAlign w:val="superscript"/>
        </w:rPr>
        <w:footnoteReference w:id="20"/>
      </w:r>
      <w:r w:rsidRPr="00A26DBD">
        <w:rPr>
          <w:rFonts w:cs="Times New Roman"/>
          <w:lang w:val="fr-CA"/>
        </w:rPr>
        <w:t>.</w:t>
      </w:r>
    </w:p>
    <w:p w:rsidR="003C5BAD" w:rsidRPr="00A26DBD" w:rsidRDefault="003C5BAD" w:rsidP="003C5BAD">
      <w:pPr>
        <w:pStyle w:val="ParaNoNdepar-AltN"/>
        <w:rPr>
          <w:rFonts w:cs="Times New Roman"/>
          <w:lang w:val="fr-CA"/>
        </w:rPr>
      </w:pPr>
      <w:r w:rsidRPr="00A26DBD">
        <w:rPr>
          <w:rFonts w:cs="Times New Roman"/>
          <w:lang w:val="fr-CA"/>
        </w:rPr>
        <w:t>Le point de vue des juges majoritaires (soit que la catégorie des lésions corporelles prévisibles serait inapplicable là où, comme en l’espèce, le seul facteur qui pourrait établir une obligation de diligence est la prévisibilité des lésions corporelles elle</w:t>
      </w:r>
      <w:r w:rsidRPr="00A26DBD">
        <w:rPr>
          <w:rFonts w:cs="Times New Roman"/>
          <w:lang w:val="fr-CA"/>
        </w:rPr>
        <w:noBreakHyphen/>
        <w:t xml:space="preserve">même) pose une autre difficulté, soit qu’il n’explique pas quand cette catégorie </w:t>
      </w:r>
      <w:r w:rsidRPr="00A26DBD">
        <w:rPr>
          <w:rFonts w:cs="Times New Roman"/>
          <w:i/>
          <w:lang w:val="fr-CA"/>
        </w:rPr>
        <w:t>s’appliquerait</w:t>
      </w:r>
      <w:r w:rsidRPr="00A26DBD">
        <w:rPr>
          <w:rFonts w:cs="Times New Roman"/>
          <w:lang w:val="fr-CA"/>
        </w:rPr>
        <w:t xml:space="preserve"> à l’avenir. Les juges majoritaires invoquent quelques « catégories » d’obligation de portée plus restreinte — celle du médecin envers son patient; celle du fabricant envers le consommateur; celle de l’automobiliste envers les autres usagers de la route — pour justifier la nécessité de définir les catégories relatives aux lésions corporelles de façon précise. Il importe de noter qu’</w:t>
      </w:r>
      <w:r w:rsidRPr="00A26DBD">
        <w:rPr>
          <w:rFonts w:cs="Times New Roman"/>
          <w:i/>
          <w:lang w:val="fr-CA"/>
        </w:rPr>
        <w:t>aucune</w:t>
      </w:r>
      <w:r w:rsidRPr="00A26DBD">
        <w:rPr>
          <w:rFonts w:cs="Times New Roman"/>
          <w:lang w:val="fr-CA"/>
        </w:rPr>
        <w:t xml:space="preserve"> de ces « catégories » n’est applicable en l’espèce. Il découle nécessairement du refus des juges majoritaires d’appliquer la catégorie relative aux lésions corporelles prévisibles à la présente affaire sur le fondement des catégories de portée restreinte que les tribunaux ne pourraient </w:t>
      </w:r>
      <w:r w:rsidRPr="00A26DBD">
        <w:rPr>
          <w:rFonts w:cs="Times New Roman"/>
          <w:i/>
          <w:lang w:val="fr-CA"/>
        </w:rPr>
        <w:t>jamais</w:t>
      </w:r>
      <w:r w:rsidRPr="00A26DBD">
        <w:rPr>
          <w:rFonts w:cs="Times New Roman"/>
          <w:lang w:val="fr-CA"/>
        </w:rPr>
        <w:t xml:space="preserve"> appliquer cette catégorie, pour ne pas risquer d’« englober » les autres catégories. L’approche de mes collègues risque donc d’enlever tout son sens à la catégorie établie de longue date </w:t>
      </w:r>
      <w:r w:rsidR="00EC6D1B" w:rsidRPr="00A26DBD">
        <w:rPr>
          <w:rFonts w:cs="Times New Roman"/>
          <w:lang w:val="fr-CA"/>
        </w:rPr>
        <w:t xml:space="preserve">de relations </w:t>
      </w:r>
      <w:r w:rsidRPr="00A26DBD">
        <w:rPr>
          <w:rFonts w:cs="Times New Roman"/>
          <w:lang w:val="fr-CA"/>
        </w:rPr>
        <w:t xml:space="preserve">dont les tribunaux ont jugé qu’elles donnaient lieu à une obligation de diligence, et de miner la viabilité de toute l’approche fondée sur des catégories. </w:t>
      </w:r>
    </w:p>
    <w:p w:rsidR="003C5BAD" w:rsidRPr="00A26DBD" w:rsidRDefault="003C5BAD" w:rsidP="003C5BAD">
      <w:pPr>
        <w:pStyle w:val="ParaNoNdepar-AltN"/>
        <w:rPr>
          <w:rFonts w:cs="Times New Roman"/>
          <w:lang w:val="fr-CA"/>
        </w:rPr>
      </w:pPr>
      <w:r w:rsidRPr="00A26DBD">
        <w:rPr>
          <w:rFonts w:cs="Times New Roman"/>
          <w:lang w:val="fr-CA"/>
        </w:rPr>
        <w:t xml:space="preserve">Cela dit, il ne faudrait pas déduire de mes propos que j’estime l’approche par catégories établie par la jurisprudence de la Cour exempte de difficultés. En effet, la notion même de « catégories » d’obligations sied mal à la réalisation remarquable de </w:t>
      </w:r>
      <w:r w:rsidRPr="00A26DBD">
        <w:rPr>
          <w:rFonts w:cs="Times New Roman"/>
          <w:lang w:val="fr-CA"/>
        </w:rPr>
        <w:lastRenderedPageBreak/>
        <w:t xml:space="preserve">lord Atkin dans </w:t>
      </w:r>
      <w:r w:rsidRPr="00A26DBD">
        <w:rPr>
          <w:rFonts w:cs="Times New Roman"/>
          <w:i/>
          <w:lang w:val="fr-CA"/>
        </w:rPr>
        <w:t>Donoghue c. Stevenson</w:t>
      </w:r>
      <w:r w:rsidRPr="00DC0C95">
        <w:rPr>
          <w:rStyle w:val="Hyperlink"/>
          <w:u w:val="none"/>
          <w:vertAlign w:val="superscript"/>
        </w:rPr>
        <w:footnoteReference w:id="21"/>
      </w:r>
      <w:r w:rsidRPr="00A26DBD">
        <w:rPr>
          <w:rFonts w:cs="Times New Roman"/>
          <w:lang w:val="fr-CA"/>
        </w:rPr>
        <w:t>, soit son intégration systématique d’obligations antérieurement disparates et établies au cas par cas en une seule conception de circonstances qui donnent lieu à une obligation de diligence.</w:t>
      </w:r>
      <w:r w:rsidRPr="00A26DBD">
        <w:rPr>
          <w:rFonts w:cs="Times New Roman"/>
          <w:b/>
          <w:lang w:val="fr-CA"/>
        </w:rPr>
        <w:t xml:space="preserve"> </w:t>
      </w:r>
      <w:r w:rsidRPr="00A26DBD">
        <w:rPr>
          <w:rFonts w:cs="Times New Roman"/>
          <w:lang w:val="fr-CA"/>
        </w:rPr>
        <w:t xml:space="preserve">Si l’on accepte que la catégorisation des obligations de diligence reste centrale dans le cadre d’analyse établi par la Cour dans </w:t>
      </w:r>
      <w:r w:rsidRPr="00A26DBD">
        <w:rPr>
          <w:rFonts w:cs="Times New Roman"/>
          <w:i/>
          <w:lang w:val="fr-CA"/>
        </w:rPr>
        <w:t>Anns/Coopers</w:t>
      </w:r>
      <w:r w:rsidRPr="00A26DBD">
        <w:rPr>
          <w:rFonts w:cs="Times New Roman"/>
          <w:lang w:val="fr-CA"/>
        </w:rPr>
        <w:t>, il faut toutefois l’appliquer correctement, en gardant à l’esprit les risques inhérents à son application erronée. Comme l’a expliqué le professeur Stephen R. Perry, [</w:t>
      </w:r>
      <w:r w:rsidRPr="00A26DBD">
        <w:rPr>
          <w:rFonts w:cs="Times New Roman"/>
          <w:smallCaps/>
          <w:lang w:val="fr-CA"/>
        </w:rPr>
        <w:t>traduction</w:t>
      </w:r>
      <w:r w:rsidRPr="00A26DBD">
        <w:rPr>
          <w:rFonts w:cs="Times New Roman"/>
          <w:lang w:val="fr-CA"/>
        </w:rPr>
        <w:t>] « après tout, les catégories de causes sont définies par des principes énoncés à un degré ou à un autre de généralité »</w:t>
      </w:r>
      <w:r w:rsidRPr="00DC0C95">
        <w:rPr>
          <w:rStyle w:val="Hyperlink"/>
          <w:u w:val="none"/>
          <w:vertAlign w:val="superscript"/>
        </w:rPr>
        <w:footnoteReference w:id="22"/>
      </w:r>
      <w:r w:rsidRPr="00A26DBD">
        <w:rPr>
          <w:rFonts w:cs="Times New Roman"/>
          <w:lang w:val="fr-CA"/>
        </w:rPr>
        <w:t>. Fait important, il souligne le danger que les tribunaux réagissent exagérément à la formulation antérieure d’un principe (c’est</w:t>
      </w:r>
      <w:r w:rsidRPr="00A26DBD">
        <w:rPr>
          <w:rFonts w:cs="Times New Roman"/>
          <w:lang w:val="fr-CA"/>
        </w:rPr>
        <w:noBreakHyphen/>
        <w:t>à</w:t>
      </w:r>
      <w:r w:rsidRPr="00A26DBD">
        <w:rPr>
          <w:rFonts w:cs="Times New Roman"/>
          <w:lang w:val="fr-CA"/>
        </w:rPr>
        <w:noBreakHyphen/>
        <w:t>dire, une catégorie), qu’ils estiment avoir été défini trop largement, en répudiant les principes généraux dans leur ensemble. Il faut également éviter l’écueil lié à ce danger d’enlever tout son sens à la catégorisation en formulant les principes (c’est</w:t>
      </w:r>
      <w:r w:rsidRPr="00A26DBD">
        <w:rPr>
          <w:rFonts w:cs="Times New Roman"/>
          <w:lang w:val="fr-CA"/>
        </w:rPr>
        <w:noBreakHyphen/>
        <w:t>à</w:t>
      </w:r>
      <w:r w:rsidRPr="00A26DBD">
        <w:rPr>
          <w:rFonts w:cs="Times New Roman"/>
          <w:lang w:val="fr-CA"/>
        </w:rPr>
        <w:noBreakHyphen/>
        <w:t xml:space="preserve">dire, les catégories) trop étroitement. Soit dit en tout respect, les motifs des juges majoritaires s’exposent à ces deux types de risques. Ces derniers peuvent toutefois être minimisés, voire totalement évités, si l’on adhère aux directives données récemment par la Cour dans l’arrêt </w:t>
      </w:r>
      <w:r w:rsidRPr="00A26DBD">
        <w:rPr>
          <w:rFonts w:cs="Times New Roman"/>
          <w:i/>
          <w:lang w:val="fr-CA"/>
        </w:rPr>
        <w:t>Livent</w:t>
      </w:r>
      <w:r w:rsidRPr="00A26DBD">
        <w:rPr>
          <w:rFonts w:cs="Times New Roman"/>
          <w:lang w:val="fr-CA"/>
        </w:rPr>
        <w:t xml:space="preserve">, auquel je viens tout juste de faire référence, et à l’égard desquelles l’analyse de mes collègues majoritaires diverge sur ce point. </w:t>
      </w:r>
    </w:p>
    <w:p w:rsidR="003C5BAD" w:rsidRPr="00A26DBD" w:rsidRDefault="003C5BAD" w:rsidP="003C5BAD">
      <w:pPr>
        <w:pStyle w:val="Title2LevelTitre2Niveau"/>
        <w:rPr>
          <w:rFonts w:cs="Times New Roman"/>
          <w:lang w:val="fr-CA"/>
        </w:rPr>
      </w:pPr>
      <w:r w:rsidRPr="00A26DBD">
        <w:rPr>
          <w:rFonts w:cs="Times New Roman"/>
          <w:lang w:val="fr-CA"/>
        </w:rPr>
        <w:t>Les lésions corporelles subies par J. étaient-elles une conséquence</w:t>
      </w:r>
      <w:r w:rsidR="00EC6D1B">
        <w:rPr>
          <w:rFonts w:cs="Times New Roman"/>
          <w:lang w:val="fr-CA"/>
        </w:rPr>
        <w:t xml:space="preserve"> raisonnablement</w:t>
      </w:r>
      <w:r w:rsidRPr="00A26DBD">
        <w:rPr>
          <w:rFonts w:cs="Times New Roman"/>
          <w:lang w:val="fr-CA"/>
        </w:rPr>
        <w:t xml:space="preserve"> prévisible de la négligence de Rankin?</w:t>
      </w:r>
    </w:p>
    <w:p w:rsidR="003C5BAD" w:rsidRPr="00A26DBD" w:rsidRDefault="003C5BAD" w:rsidP="003C5BAD">
      <w:pPr>
        <w:pStyle w:val="ParaNoNdepar-AltN"/>
        <w:rPr>
          <w:rFonts w:cs="Times New Roman"/>
          <w:lang w:val="fr-CA"/>
        </w:rPr>
      </w:pPr>
      <w:r w:rsidRPr="00A26DBD">
        <w:rPr>
          <w:rFonts w:cs="Times New Roman"/>
          <w:lang w:val="fr-CA"/>
        </w:rPr>
        <w:t xml:space="preserve">Ayant conclu que la catégorie des lésions corporelles prévisibles est applicable en l’espèce, je vais maintenant examiner si les blessures étaient </w:t>
      </w:r>
      <w:r w:rsidRPr="00A26DBD">
        <w:rPr>
          <w:rFonts w:cs="Times New Roman"/>
          <w:lang w:val="fr-CA"/>
        </w:rPr>
        <w:lastRenderedPageBreak/>
        <w:t>effectivement raisonnablement prévisibles en l’espèce. Dans le cadre de l’analyse de l’obligation de diligence, lorsqu’on aborde la question de la prévisibilité raisonnable, on se demande si le préjudice subi par le demandeur, ou par la catégorie de personnes à laquelle il appartient, était une conséquence raisonnablement prévisible de la négligence du défendeur</w:t>
      </w:r>
      <w:r w:rsidRPr="00DC0C95">
        <w:rPr>
          <w:rStyle w:val="Hyperlink"/>
          <w:u w:val="none"/>
          <w:vertAlign w:val="superscript"/>
        </w:rPr>
        <w:footnoteReference w:id="23"/>
      </w:r>
      <w:r w:rsidRPr="00A26DBD">
        <w:rPr>
          <w:rFonts w:cs="Times New Roman"/>
          <w:lang w:val="fr-CA"/>
        </w:rPr>
        <w:t>. Lorsque le demandeur peut démontrer qu’il est « de si près</w:t>
      </w:r>
      <w:r w:rsidR="00E63864">
        <w:rPr>
          <w:rFonts w:cs="Times New Roman"/>
          <w:lang w:val="fr-CA"/>
        </w:rPr>
        <w:t xml:space="preserve"> et si directement touché</w:t>
      </w:r>
      <w:r w:rsidR="00FB1890">
        <w:rPr>
          <w:rFonts w:cs="Times New Roman"/>
          <w:lang w:val="fr-CA"/>
        </w:rPr>
        <w:t> </w:t>
      </w:r>
      <w:r w:rsidRPr="00A26DBD">
        <w:rPr>
          <w:rFonts w:cs="Times New Roman"/>
          <w:lang w:val="fr-CA"/>
        </w:rPr>
        <w:t>» par les actes du défendeur que celui</w:t>
      </w:r>
      <w:r w:rsidRPr="00A26DBD">
        <w:rPr>
          <w:rFonts w:cs="Times New Roman"/>
          <w:lang w:val="fr-CA"/>
        </w:rPr>
        <w:noBreakHyphen/>
        <w:t>ci devrait « raisonnablement avoir [le demandeur] à l’esprit comme ainsi touché [. . .] lorsqu’[il] songe aux actes ou omissions qui sont mis en question », il est satisfait à cette exigence</w:t>
      </w:r>
      <w:r w:rsidRPr="00A26DBD">
        <w:rPr>
          <w:rFonts w:cs="Times New Roman"/>
          <w:vertAlign w:val="superscript"/>
        </w:rPr>
        <w:footnoteReference w:id="24"/>
      </w:r>
      <w:r w:rsidRPr="00A26DBD">
        <w:rPr>
          <w:rFonts w:cs="Times New Roman"/>
          <w:lang w:val="fr-CA"/>
        </w:rPr>
        <w:t xml:space="preserve">. Comme cette analyse est objective — en ce sens qu’elle vise à déterminer ce qu’on aurait raisonnablement </w:t>
      </w:r>
      <w:r w:rsidRPr="00A26DBD">
        <w:rPr>
          <w:rFonts w:cs="Times New Roman"/>
          <w:i/>
          <w:lang w:val="fr-CA"/>
        </w:rPr>
        <w:t>dû</w:t>
      </w:r>
      <w:r w:rsidRPr="00A26DBD">
        <w:rPr>
          <w:rFonts w:cs="Times New Roman"/>
          <w:lang w:val="fr-CA"/>
        </w:rPr>
        <w:t xml:space="preserve"> prévoir —, elle doit être entreprise en se plaçant du point de vue de la personne raisonnable. La question</w:t>
      </w:r>
      <w:r w:rsidRPr="00A26DBD">
        <w:rPr>
          <w:rFonts w:cs="Times New Roman"/>
          <w:shd w:val="clear" w:color="auto" w:fill="FFFFFF"/>
          <w:lang w:val="fr-CA"/>
        </w:rPr>
        <w:t xml:space="preserve"> </w:t>
      </w:r>
      <w:r w:rsidRPr="00A26DBD">
        <w:rPr>
          <w:rFonts w:cs="Times New Roman"/>
          <w:lang w:val="fr-CA"/>
        </w:rPr>
        <w:t>de savoir si le défendeur a effectivement prévu le risque qui a concrètement causé les</w:t>
      </w:r>
      <w:r w:rsidRPr="00A26DBD">
        <w:rPr>
          <w:rFonts w:cs="Times New Roman"/>
          <w:shd w:val="clear" w:color="auto" w:fill="FFFFFF"/>
          <w:lang w:val="fr-CA"/>
        </w:rPr>
        <w:t xml:space="preserve"> </w:t>
      </w:r>
      <w:r w:rsidRPr="00A26DBD">
        <w:rPr>
          <w:rFonts w:cs="Times New Roman"/>
          <w:lang w:val="fr-CA"/>
        </w:rPr>
        <w:t>lésions corporelles subies par le demandeur n’est donc pas un facteur déterminant</w:t>
      </w:r>
      <w:r w:rsidRPr="00DC0C95">
        <w:rPr>
          <w:rStyle w:val="Hyperlink"/>
          <w:u w:val="none"/>
          <w:vertAlign w:val="superscript"/>
        </w:rPr>
        <w:footnoteReference w:id="25"/>
      </w:r>
      <w:r w:rsidRPr="00A26DBD">
        <w:rPr>
          <w:rFonts w:cs="Times New Roman"/>
          <w:lang w:val="fr-CA"/>
        </w:rPr>
        <w:t>.</w:t>
      </w:r>
    </w:p>
    <w:p w:rsidR="003C5BAD" w:rsidRPr="00A26DBD" w:rsidRDefault="003C5BAD" w:rsidP="003C5BAD">
      <w:pPr>
        <w:pStyle w:val="ParaNoNdepar-AltN"/>
        <w:rPr>
          <w:rFonts w:cs="Times New Roman"/>
          <w:lang w:val="fr-CA"/>
        </w:rPr>
      </w:pPr>
      <w:r w:rsidRPr="00A26DBD">
        <w:rPr>
          <w:rFonts w:cs="Times New Roman"/>
          <w:lang w:val="fr-CA"/>
        </w:rPr>
        <w:t>La prévisibilité raisonnable constitue un seuil peu exigeant auquel il est [</w:t>
      </w:r>
      <w:r w:rsidRPr="00A26DBD">
        <w:rPr>
          <w:rFonts w:cs="Times New Roman"/>
          <w:smallCaps/>
          <w:lang w:val="fr-CA"/>
        </w:rPr>
        <w:t>traduction</w:t>
      </w:r>
      <w:r w:rsidRPr="00A26DBD">
        <w:rPr>
          <w:rFonts w:cs="Times New Roman"/>
          <w:lang w:val="fr-CA"/>
        </w:rPr>
        <w:t>] « habituellement assez facile de satisfaire »</w:t>
      </w:r>
      <w:r w:rsidRPr="00DC0C95">
        <w:rPr>
          <w:rStyle w:val="Hyperlink"/>
          <w:u w:val="none"/>
          <w:vertAlign w:val="superscript"/>
        </w:rPr>
        <w:footnoteReference w:id="26"/>
      </w:r>
      <w:r w:rsidRPr="00A26DBD">
        <w:rPr>
          <w:rFonts w:cs="Times New Roman"/>
          <w:lang w:val="fr-CA"/>
        </w:rPr>
        <w:t>. À cette étape, le demandeur n’a qu’à présenter des éléments de preuve de nature à [</w:t>
      </w:r>
      <w:r w:rsidRPr="00A26DBD">
        <w:rPr>
          <w:rFonts w:cs="Times New Roman"/>
          <w:smallCaps/>
          <w:lang w:val="fr-CA"/>
        </w:rPr>
        <w:t>traduction</w:t>
      </w:r>
      <w:r w:rsidRPr="00A26DBD">
        <w:rPr>
          <w:rFonts w:cs="Times New Roman"/>
          <w:lang w:val="fr-CA"/>
        </w:rPr>
        <w:t>] « persuader le tribunal que le risque d</w:t>
      </w:r>
      <w:r w:rsidR="00726AEB">
        <w:rPr>
          <w:rFonts w:cs="Times New Roman"/>
          <w:lang w:val="fr-CA"/>
        </w:rPr>
        <w:t>u</w:t>
      </w:r>
      <w:r w:rsidRPr="00A26DBD">
        <w:rPr>
          <w:rFonts w:cs="Times New Roman"/>
          <w:lang w:val="fr-CA"/>
        </w:rPr>
        <w:t xml:space="preserve"> </w:t>
      </w:r>
      <w:r w:rsidRPr="00A26DBD">
        <w:rPr>
          <w:rFonts w:cs="Times New Roman"/>
          <w:u w:val="single"/>
          <w:lang w:val="fr-CA"/>
        </w:rPr>
        <w:t>type de dommage</w:t>
      </w:r>
      <w:r w:rsidRPr="00A26DBD">
        <w:rPr>
          <w:rFonts w:cs="Times New Roman"/>
          <w:lang w:val="fr-CA"/>
        </w:rPr>
        <w:t xml:space="preserve"> qui s’est produit était </w:t>
      </w:r>
      <w:r w:rsidRPr="00A26DBD">
        <w:rPr>
          <w:rFonts w:cs="Times New Roman"/>
          <w:u w:val="single"/>
          <w:lang w:val="fr-CA"/>
        </w:rPr>
        <w:t>raisonnablement prévisible pour la catégorie de demandeurs</w:t>
      </w:r>
      <w:r w:rsidRPr="00A26DBD">
        <w:rPr>
          <w:rFonts w:cs="Times New Roman"/>
          <w:i/>
          <w:lang w:val="fr-CA"/>
        </w:rPr>
        <w:t xml:space="preserve"> </w:t>
      </w:r>
      <w:r w:rsidRPr="00A26DBD">
        <w:rPr>
          <w:rFonts w:cs="Times New Roman"/>
          <w:lang w:val="fr-CA"/>
        </w:rPr>
        <w:t>à laquelle appartient celui qui a été lésé »</w:t>
      </w:r>
      <w:r w:rsidRPr="00DC0C95">
        <w:rPr>
          <w:rStyle w:val="Hyperlink"/>
          <w:u w:val="none"/>
          <w:vertAlign w:val="superscript"/>
        </w:rPr>
        <w:footnoteReference w:id="27"/>
      </w:r>
      <w:r w:rsidRPr="00A26DBD">
        <w:rPr>
          <w:rFonts w:cs="Times New Roman"/>
          <w:lang w:val="fr-CA"/>
        </w:rPr>
        <w:t xml:space="preserve">. Lorsque le demandeur a déjà subi des lésions </w:t>
      </w:r>
      <w:r w:rsidRPr="00A26DBD">
        <w:rPr>
          <w:rFonts w:cs="Times New Roman"/>
          <w:lang w:val="fr-CA"/>
        </w:rPr>
        <w:lastRenderedPageBreak/>
        <w:t>corporelles, il est rare qu’un tribunal juge que l’existence d’une obligation de diligence n’a pas été établie en raison de l’absence de préjudice raisonnablement prévisible</w:t>
      </w:r>
      <w:r w:rsidRPr="00DC0C95">
        <w:rPr>
          <w:rStyle w:val="Hyperlink"/>
          <w:u w:val="none"/>
          <w:vertAlign w:val="superscript"/>
        </w:rPr>
        <w:footnoteReference w:id="28"/>
      </w:r>
      <w:r w:rsidRPr="00A26DBD">
        <w:rPr>
          <w:rFonts w:cs="Times New Roman"/>
          <w:lang w:val="fr-CA"/>
        </w:rPr>
        <w:t>. En effet, dans la plupart des cas, la preuve de la prévisibilité raisonnable est « évidente »</w:t>
      </w:r>
      <w:r w:rsidRPr="00DC0C95">
        <w:rPr>
          <w:rStyle w:val="Hyperlink"/>
          <w:u w:val="none"/>
          <w:vertAlign w:val="superscript"/>
        </w:rPr>
        <w:footnoteReference w:id="29"/>
      </w:r>
      <w:r w:rsidRPr="00A26DBD">
        <w:rPr>
          <w:rFonts w:cs="Times New Roman"/>
          <w:lang w:val="fr-CA"/>
        </w:rPr>
        <w:t>. Dans le cas de lésions corporelles « simples », par exemple, la catégorie de personnes dont on pouvait raisonnablement prévoir qu’elles seraient « lésées » par la négligence du défendeur, comprendra [</w:t>
      </w:r>
      <w:r w:rsidRPr="00A26DBD">
        <w:rPr>
          <w:rFonts w:cs="Times New Roman"/>
          <w:smallCaps/>
          <w:lang w:val="fr-CA"/>
        </w:rPr>
        <w:t>traduction</w:t>
      </w:r>
      <w:r w:rsidRPr="00A26DBD">
        <w:rPr>
          <w:rFonts w:cs="Times New Roman"/>
          <w:lang w:val="fr-CA"/>
        </w:rPr>
        <w:t>] « toutes celles susceptibles d’être touchées par le préjudice prévisible lorsque le risque se réalise »</w:t>
      </w:r>
      <w:r w:rsidRPr="00DC0C95">
        <w:rPr>
          <w:rStyle w:val="Hyperlink"/>
          <w:u w:val="none"/>
          <w:vertAlign w:val="superscript"/>
        </w:rPr>
        <w:footnoteReference w:id="30"/>
      </w:r>
      <w:r w:rsidRPr="00A26DBD">
        <w:rPr>
          <w:rFonts w:cs="Times New Roman"/>
          <w:lang w:val="fr-CA"/>
        </w:rPr>
        <w:t>. Dans d’autres contextes toutefois, comme dans les cas d’un préjudice découlant de déclarations inexactes faites par négligence, l’analyse de la prévisibilité — et, par conséquent, la portée de la définition de la prétendue obligation de diligence — devra sans doute être plus précise puisque le préjudice relatif aux déclarations inexactes naît de la confiance raisonnable du demandeur envers la parole du défendeur</w:t>
      </w:r>
      <w:r w:rsidRPr="00DC0C95">
        <w:rPr>
          <w:rStyle w:val="Hyperlink"/>
          <w:u w:val="none"/>
          <w:vertAlign w:val="superscript"/>
        </w:rPr>
        <w:footnoteReference w:id="31"/>
      </w:r>
      <w:r w:rsidRPr="00A26DBD">
        <w:rPr>
          <w:rFonts w:cs="Times New Roman"/>
          <w:lang w:val="fr-CA"/>
        </w:rPr>
        <w:t xml:space="preserve">. Comme la Cour l’a récemment noté dans l’arrêt </w:t>
      </w:r>
      <w:r w:rsidRPr="00A26DBD">
        <w:rPr>
          <w:rFonts w:cs="Times New Roman"/>
          <w:i/>
          <w:lang w:val="fr-CA"/>
        </w:rPr>
        <w:t>Livent</w:t>
      </w:r>
      <w:r w:rsidRPr="00A26DBD">
        <w:rPr>
          <w:rFonts w:cs="Times New Roman"/>
          <w:lang w:val="fr-CA"/>
        </w:rPr>
        <w:t> : « [t]oute décision de la part du demandeur de se fier à l’engagement qui excède la portée de la responsabilité assumée par le défendeur — à savoir, qui est étrangère à l’objet de la déclaration ou du service qu’il s’est engagé à fournir — excède nécessairement le cadre du lien de proximité et, par conséquent, celui de l’obligation de diligence qui incombe au défendeur »</w:t>
      </w:r>
      <w:r w:rsidRPr="00DC0C95">
        <w:rPr>
          <w:rStyle w:val="Hyperlink"/>
          <w:u w:val="none"/>
          <w:vertAlign w:val="superscript"/>
        </w:rPr>
        <w:footnoteReference w:id="32"/>
      </w:r>
      <w:r w:rsidRPr="00A26DBD">
        <w:rPr>
          <w:rFonts w:cs="Times New Roman"/>
          <w:lang w:val="fr-CA"/>
        </w:rPr>
        <w:t xml:space="preserve">. </w:t>
      </w:r>
    </w:p>
    <w:p w:rsidR="003C5BAD" w:rsidRPr="00A26DBD" w:rsidRDefault="003C5BAD" w:rsidP="003C5BAD">
      <w:pPr>
        <w:pStyle w:val="ParaNoNdepar-AltN"/>
        <w:rPr>
          <w:rFonts w:cs="Times New Roman"/>
          <w:lang w:val="fr-CA"/>
        </w:rPr>
      </w:pPr>
      <w:r w:rsidRPr="00A26DBD">
        <w:rPr>
          <w:rFonts w:cs="Times New Roman"/>
          <w:lang w:val="fr-CA"/>
        </w:rPr>
        <w:t>Dans le cas qui nous occupe, tant la juge du procès</w:t>
      </w:r>
      <w:r w:rsidRPr="00DC0C95">
        <w:rPr>
          <w:rStyle w:val="Hyperlink"/>
          <w:u w:val="none"/>
          <w:vertAlign w:val="superscript"/>
        </w:rPr>
        <w:footnoteReference w:id="33"/>
      </w:r>
      <w:r w:rsidRPr="00A26DBD">
        <w:rPr>
          <w:rFonts w:cs="Times New Roman"/>
          <w:lang w:val="fr-CA"/>
        </w:rPr>
        <w:t xml:space="preserve"> que la Cour d’appel</w:t>
      </w:r>
      <w:r w:rsidRPr="00DC0C95">
        <w:rPr>
          <w:rStyle w:val="Hyperlink"/>
          <w:u w:val="none"/>
          <w:vertAlign w:val="superscript"/>
        </w:rPr>
        <w:footnoteReference w:id="34"/>
      </w:r>
      <w:r w:rsidRPr="00A26DBD">
        <w:rPr>
          <w:rFonts w:cs="Times New Roman"/>
          <w:lang w:val="fr-CA"/>
        </w:rPr>
        <w:t xml:space="preserve"> ont estimé qu’il était raisonnablement prévisible qu’une personne comme J. subisse des </w:t>
      </w:r>
      <w:r w:rsidRPr="00A26DBD">
        <w:rPr>
          <w:rFonts w:cs="Times New Roman"/>
          <w:lang w:val="fr-CA"/>
        </w:rPr>
        <w:lastRenderedPageBreak/>
        <w:t>lésions corporelles par suite de la négligence dont Rankin a fait preuve dans la façon dont il a verrouillé, sécurisé et entreposé les véhicules. Je ne décèle aucune erreur manifeste et dominante dans ces conclusions et je refuserais donc d’intervenir pour les modifier. En outre, contrairement à la suggestion des juges majoritaires selon laquelle cette conclusion exigera que « quiconque laisse un véhicule déverrouillé avec les clés à l’intérieur » prévoie raisonnablement que survienne une lésion corporelle</w:t>
      </w:r>
      <w:r w:rsidRPr="00DC0C95">
        <w:rPr>
          <w:rStyle w:val="Hyperlink"/>
          <w:u w:val="none"/>
          <w:vertAlign w:val="superscript"/>
        </w:rPr>
        <w:footnoteReference w:id="35"/>
      </w:r>
      <w:r w:rsidRPr="00A26DBD">
        <w:rPr>
          <w:rFonts w:cs="Times New Roman"/>
          <w:lang w:val="fr-CA"/>
        </w:rPr>
        <w:t xml:space="preserve">, ma conclusion — que j’explique plus loin — se limite à dire qu’il y a une preuve suffisante, </w:t>
      </w:r>
      <w:r w:rsidRPr="00A26DBD">
        <w:rPr>
          <w:rFonts w:cs="Times New Roman"/>
          <w:i/>
          <w:lang w:val="fr-CA"/>
        </w:rPr>
        <w:t>en l’espèce</w:t>
      </w:r>
      <w:r w:rsidRPr="00A26DBD">
        <w:rPr>
          <w:rFonts w:cs="Times New Roman"/>
          <w:lang w:val="fr-CA"/>
        </w:rPr>
        <w:t>, pour que la juge du procès ait conclu qu’il était raisonnablement prévisible que surviennent des lésions corporelles en raison de la négligence de Rankin.</w:t>
      </w:r>
    </w:p>
    <w:p w:rsidR="003C5BAD" w:rsidRPr="00A26DBD" w:rsidRDefault="003C5BAD" w:rsidP="003C5BAD">
      <w:pPr>
        <w:pStyle w:val="ParaNoNdepar-AltN"/>
        <w:rPr>
          <w:rFonts w:cs="Times New Roman"/>
          <w:lang w:val="fr-CA"/>
        </w:rPr>
      </w:pPr>
      <w:r w:rsidRPr="00A26DBD">
        <w:rPr>
          <w:rFonts w:cs="Times New Roman"/>
          <w:lang w:val="fr-CA"/>
        </w:rPr>
        <w:t xml:space="preserve">Suivant la preuve présentée à la juge du procès, Rankin entreposait plus d’une douzaine de véhicules sur son terrain et dans la rue voisine. La propriété n’était pas clôturée et Rankin n’utilisait aucun type de vidéosurveillance. Il </w:t>
      </w:r>
      <w:r w:rsidRPr="00A26DBD">
        <w:rPr>
          <w:rFonts w:cs="Times New Roman"/>
          <w:i/>
          <w:lang w:val="fr-CA"/>
        </w:rPr>
        <w:t>savait</w:t>
      </w:r>
      <w:r w:rsidRPr="00A26DBD">
        <w:rPr>
          <w:rFonts w:cs="Times New Roman"/>
          <w:lang w:val="fr-CA"/>
        </w:rPr>
        <w:t xml:space="preserve"> néanmoins qu’il avait l’obligation de bien verrouiller, sécuriser et entreposer les véhicules de ses clients. Il a en effet maintenu au procès qu’il </w:t>
      </w:r>
      <w:r w:rsidRPr="00A26DBD">
        <w:rPr>
          <w:rFonts w:cs="Times New Roman"/>
          <w:i/>
          <w:lang w:val="fr-CA"/>
        </w:rPr>
        <w:t>avait</w:t>
      </w:r>
      <w:r w:rsidRPr="00A26DBD">
        <w:rPr>
          <w:rFonts w:cs="Times New Roman"/>
          <w:lang w:val="fr-CA"/>
        </w:rPr>
        <w:t xml:space="preserve"> dans les faits satisfait à cette obligation. Il a affirmé durant son témoignage que les véhicules étaient verrouillés chaque fois qu’on n’avait pas à les réparer ou à y pénétrer. Il a ajouté que les clés de chaque véhicule étaient rangées dans un coffre</w:t>
      </w:r>
      <w:r w:rsidRPr="00A26DBD">
        <w:rPr>
          <w:rFonts w:cs="Times New Roman"/>
          <w:lang w:val="fr-CA"/>
        </w:rPr>
        <w:noBreakHyphen/>
        <w:t xml:space="preserve">fort à l’intérieur du garage. Il a expliqué que, à la fin de chaque journée, il vérifiait manuellement chaque véhicule pour s’assurer qu’il était verrouillé. Plus précisément, il a affirmé que, avant de quitter le garage le jour où J. avait été blessé, il s’était assuré que la Camry que C. et J. avaient par la suite volée était verrouillée. Au procès, il a en outre confirmé que cette voiture était bel et bien verrouillée. Il a reconnu qu’il prenait toutes ces mesures parce qu’il voulait </w:t>
      </w:r>
      <w:r w:rsidRPr="00A26DBD">
        <w:rPr>
          <w:rFonts w:cs="Times New Roman"/>
          <w:lang w:val="fr-CA"/>
        </w:rPr>
        <w:lastRenderedPageBreak/>
        <w:t xml:space="preserve">protéger les véhicules de ses clients contre le vol et éviter toute blessure que pourrait subir quiconque volerait un véhicule. </w:t>
      </w:r>
    </w:p>
    <w:p w:rsidR="003C5BAD" w:rsidRPr="00A26DBD" w:rsidRDefault="003C5BAD" w:rsidP="003C5BAD">
      <w:pPr>
        <w:pStyle w:val="ParaNoNdepar-AltN"/>
        <w:rPr>
          <w:rFonts w:cs="Times New Roman"/>
          <w:lang w:val="fr-CA"/>
        </w:rPr>
      </w:pPr>
      <w:r w:rsidRPr="00A26DBD">
        <w:rPr>
          <w:rFonts w:cs="Times New Roman"/>
          <w:lang w:val="fr-CA"/>
        </w:rPr>
        <w:t>Bien entendu, le témoignage de Rankin concernant la diligence dont il aurait fait preuve en prenant les mesures de sécurité en question a été rejeté par le jury à la lumière de son incohérence avec les déclarations d’au moins six autres témoins. Plus précisément, le jury a conclu que, la nuit en question, la Camry avait été laissée déverrouillée avec les clés à l’intérieur. Cela étant, la peine que Rankin s’est donnée pour expliquer — bien que fallacieusement — les précautions qu’il avait prises pour bien entreposer les véhicules et sécuriser les clés dont il était responsable justifie amplement la conclusion selon laquelle une personne raisonnable se trouvant dans la même situation que lui aurait dû prévoir le risque de blessures pouvant découler d’un entreposage négligent des véhicules</w:t>
      </w:r>
      <w:r w:rsidRPr="00DC0E99">
        <w:rPr>
          <w:rStyle w:val="Hyperlink"/>
          <w:u w:val="none"/>
          <w:vertAlign w:val="superscript"/>
        </w:rPr>
        <w:footnoteReference w:id="36"/>
      </w:r>
      <w:r w:rsidRPr="00A26DBD">
        <w:rPr>
          <w:rFonts w:cs="Times New Roman"/>
          <w:lang w:val="fr-CA"/>
        </w:rPr>
        <w:t xml:space="preserve">. En effet, là où les juges majoritaires comprennent du témoignage de Rankin qu’il n’était conscient que du risque de </w:t>
      </w:r>
      <w:r w:rsidRPr="00A26DBD">
        <w:rPr>
          <w:rFonts w:cs="Times New Roman"/>
          <w:i/>
          <w:lang w:val="fr-CA"/>
        </w:rPr>
        <w:t>vol</w:t>
      </w:r>
      <w:r w:rsidRPr="00DC0E99">
        <w:rPr>
          <w:rStyle w:val="Hyperlink"/>
          <w:u w:val="none"/>
          <w:vertAlign w:val="superscript"/>
        </w:rPr>
        <w:footnoteReference w:id="37"/>
      </w:r>
      <w:r w:rsidRPr="00A26DBD">
        <w:rPr>
          <w:rFonts w:cs="Times New Roman"/>
          <w:lang w:val="fr-CA"/>
        </w:rPr>
        <w:t xml:space="preserve">, il ressort clairement de ses propos qu’il avait également prévu le risque de </w:t>
      </w:r>
      <w:r w:rsidRPr="00A26DBD">
        <w:rPr>
          <w:rFonts w:cs="Times New Roman"/>
          <w:i/>
          <w:lang w:val="fr-CA"/>
        </w:rPr>
        <w:t>lésions corporelles</w:t>
      </w:r>
      <w:r w:rsidRPr="00A26DBD">
        <w:rPr>
          <w:rFonts w:cs="Times New Roman"/>
          <w:lang w:val="fr-CA"/>
        </w:rPr>
        <w:t xml:space="preserve">. La conclusion suivant laquelle les lésions corporelles étaient un résultat raisonnablement prévisible du vol est étayée par les propos de deux autres témoins, qui ont affirmé qu’il était bien connu que les vols de véhicule étaient fréquents à Paisley. </w:t>
      </w:r>
    </w:p>
    <w:p w:rsidR="003C5BAD" w:rsidRPr="00A26DBD" w:rsidRDefault="003C5BAD" w:rsidP="003C5BAD">
      <w:pPr>
        <w:pStyle w:val="ParaNoNdepar-AltN"/>
        <w:rPr>
          <w:rFonts w:cs="Times New Roman"/>
          <w:lang w:val="fr-CA"/>
        </w:rPr>
      </w:pPr>
      <w:r w:rsidRPr="00A26DBD">
        <w:rPr>
          <w:rFonts w:cs="Times New Roman"/>
          <w:lang w:val="fr-CA"/>
        </w:rPr>
        <w:t xml:space="preserve">Vu ce qui précède, je ne partage pas l’opinion de mes collègues suivant laquelle la juge du procès ne disposait pas de suffisamment d’éléments de preuve pour conclure que les lésions corporelles subies par J. étaient une conséquence raisonnablement prévisible de la négligence de Rankin. Bien qu’ils admettent que le </w:t>
      </w:r>
      <w:r w:rsidRPr="00A26DBD">
        <w:rPr>
          <w:rFonts w:cs="Times New Roman"/>
          <w:lang w:val="fr-CA"/>
        </w:rPr>
        <w:lastRenderedPageBreak/>
        <w:t xml:space="preserve">risque de </w:t>
      </w:r>
      <w:r w:rsidRPr="00A26DBD">
        <w:rPr>
          <w:rFonts w:cs="Times New Roman"/>
          <w:i/>
          <w:lang w:val="fr-CA"/>
        </w:rPr>
        <w:t>vol</w:t>
      </w:r>
      <w:r w:rsidRPr="00A26DBD">
        <w:rPr>
          <w:rFonts w:cs="Times New Roman"/>
          <w:lang w:val="fr-CA"/>
        </w:rPr>
        <w:t xml:space="preserve"> était raisonnablement prévisible, les juges majoritaires concluraient que le risque de </w:t>
      </w:r>
      <w:r w:rsidRPr="00A26DBD">
        <w:rPr>
          <w:rFonts w:cs="Times New Roman"/>
          <w:i/>
          <w:lang w:val="fr-CA"/>
        </w:rPr>
        <w:t xml:space="preserve">lésions corporelles </w:t>
      </w:r>
      <w:r w:rsidRPr="00A26DBD">
        <w:rPr>
          <w:rFonts w:cs="Times New Roman"/>
          <w:lang w:val="fr-CA"/>
        </w:rPr>
        <w:t>ne l’était pas, parce qu’il manquait « une circonstance ou un élément de preuve [. . .] portant à croire [. . .] que le véhicule volé pourrait être conduit de façon dangereuse »</w:t>
      </w:r>
      <w:r w:rsidRPr="00DC0C95">
        <w:rPr>
          <w:rStyle w:val="Hyperlink"/>
          <w:u w:val="none"/>
          <w:vertAlign w:val="superscript"/>
        </w:rPr>
        <w:footnoteReference w:id="38"/>
      </w:r>
      <w:r w:rsidRPr="00A26DBD">
        <w:rPr>
          <w:rFonts w:cs="Times New Roman"/>
          <w:lang w:val="fr-CA"/>
        </w:rPr>
        <w:t>. L’une des « circonstances » de cette nature sur lesquelles se seraient appuyées les juridictions inférieures est le risque raisonnablement prévisible de vol par des mineurs. Il en est ainsi puisque, comme le reconnaissent implicitement les juges majoritaires, les mineurs « pourraient bien s’avérer être des conducteurs inexpérimentés et insouciants »</w:t>
      </w:r>
      <w:r w:rsidRPr="00DC0C95">
        <w:rPr>
          <w:rStyle w:val="Hyperlink"/>
          <w:u w:val="none"/>
          <w:vertAlign w:val="superscript"/>
        </w:rPr>
        <w:footnoteReference w:id="39"/>
      </w:r>
      <w:r w:rsidRPr="00A26DBD">
        <w:rPr>
          <w:rFonts w:cs="Times New Roman"/>
          <w:lang w:val="fr-CA"/>
        </w:rPr>
        <w:t>. Toutefois, les juges majoritaires concluent que la juge du procès a commis une erreur en s’appuyant sur ce risque en l’espèce puisque « </w:t>
      </w:r>
      <w:r w:rsidRPr="00A26DBD">
        <w:rPr>
          <w:rFonts w:cs="Times New Roman"/>
          <w:u w:val="single"/>
          <w:lang w:val="fr-CA"/>
        </w:rPr>
        <w:t>le risque de vol en général</w:t>
      </w:r>
      <w:r w:rsidRPr="00A26DBD">
        <w:rPr>
          <w:rFonts w:cs="Times New Roman"/>
          <w:lang w:val="fr-CA"/>
        </w:rPr>
        <w:t xml:space="preserve"> n’inclut pas automatiquement </w:t>
      </w:r>
      <w:r w:rsidRPr="00A26DBD">
        <w:rPr>
          <w:rFonts w:cs="Times New Roman"/>
          <w:u w:val="single"/>
          <w:lang w:val="fr-CA"/>
        </w:rPr>
        <w:t>le risque de vol par des mineurs</w:t>
      </w:r>
      <w:r w:rsidRPr="00A26DBD">
        <w:rPr>
          <w:rFonts w:cs="Times New Roman"/>
          <w:lang w:val="fr-CA"/>
        </w:rPr>
        <w:t> »</w:t>
      </w:r>
      <w:r w:rsidRPr="00DC0C95">
        <w:rPr>
          <w:rStyle w:val="Hyperlink"/>
          <w:u w:val="none"/>
          <w:vertAlign w:val="superscript"/>
        </w:rPr>
        <w:footnoteReference w:id="40"/>
      </w:r>
      <w:r w:rsidRPr="00DC0C95">
        <w:rPr>
          <w:rFonts w:cs="Times New Roman"/>
          <w:lang w:val="fr-CA"/>
        </w:rPr>
        <w:t>.</w:t>
      </w:r>
      <w:r w:rsidRPr="00A26DBD">
        <w:rPr>
          <w:rFonts w:cs="Times New Roman"/>
          <w:lang w:val="fr-CA"/>
        </w:rPr>
        <w:t xml:space="preserve"> Autrement dit, les juges de la majorité auraient exigé la présentation d’éléments de preuve </w:t>
      </w:r>
      <w:r w:rsidRPr="00A26DBD">
        <w:rPr>
          <w:rFonts w:cs="Times New Roman"/>
          <w:i/>
          <w:lang w:val="fr-CA"/>
        </w:rPr>
        <w:t>additionnels</w:t>
      </w:r>
      <w:r w:rsidRPr="00A26DBD">
        <w:rPr>
          <w:rFonts w:cs="Times New Roman"/>
          <w:lang w:val="fr-CA"/>
        </w:rPr>
        <w:t xml:space="preserve"> portant précisément sur le vol par </w:t>
      </w:r>
      <w:r w:rsidRPr="00A26DBD">
        <w:rPr>
          <w:rFonts w:cs="Times New Roman"/>
          <w:i/>
          <w:lang w:val="fr-CA"/>
        </w:rPr>
        <w:t>un mineur</w:t>
      </w:r>
      <w:r w:rsidRPr="00A26DBD">
        <w:rPr>
          <w:rFonts w:cs="Times New Roman"/>
          <w:lang w:val="fr-CA"/>
        </w:rPr>
        <w:t xml:space="preserve"> afin de conclure, comme la juge du procès, que les lésions corporelles infligées à J. étaient prévisibles</w:t>
      </w:r>
      <w:r w:rsidRPr="00DC0C95">
        <w:rPr>
          <w:rStyle w:val="Hyperlink"/>
          <w:u w:val="none"/>
          <w:vertAlign w:val="superscript"/>
        </w:rPr>
        <w:footnoteReference w:id="41"/>
      </w:r>
      <w:r w:rsidRPr="00A26DBD">
        <w:rPr>
          <w:rFonts w:cs="Times New Roman"/>
          <w:lang w:val="fr-CA"/>
        </w:rPr>
        <w:t>.</w:t>
      </w:r>
    </w:p>
    <w:p w:rsidR="003C5BAD" w:rsidRPr="00A26DBD" w:rsidRDefault="003C5BAD" w:rsidP="003C5BAD">
      <w:pPr>
        <w:pStyle w:val="ParaNoNdepar-AltN"/>
        <w:rPr>
          <w:rFonts w:cs="Times New Roman"/>
          <w:lang w:val="fr-CA"/>
        </w:rPr>
      </w:pPr>
      <w:r w:rsidRPr="00A26DBD">
        <w:rPr>
          <w:rFonts w:cs="Times New Roman"/>
          <w:lang w:val="fr-CA"/>
        </w:rPr>
        <w:t xml:space="preserve">Tout d’abord, soit dit en tout respect, je note que même si J. était tenu de démontrer que le vol </w:t>
      </w:r>
      <w:r w:rsidRPr="00A26DBD">
        <w:rPr>
          <w:rFonts w:cs="Times New Roman"/>
          <w:i/>
          <w:lang w:val="fr-CA"/>
        </w:rPr>
        <w:t>par un</w:t>
      </w:r>
      <w:r w:rsidRPr="00A26DBD">
        <w:rPr>
          <w:rFonts w:cs="Times New Roman"/>
          <w:lang w:val="fr-CA"/>
        </w:rPr>
        <w:t xml:space="preserve"> </w:t>
      </w:r>
      <w:r w:rsidRPr="00A26DBD">
        <w:rPr>
          <w:rFonts w:cs="Times New Roman"/>
          <w:i/>
          <w:lang w:val="fr-CA"/>
        </w:rPr>
        <w:t>mineur</w:t>
      </w:r>
      <w:r w:rsidRPr="00A26DBD">
        <w:rPr>
          <w:rFonts w:cs="Times New Roman"/>
          <w:lang w:val="fr-CA"/>
        </w:rPr>
        <w:t xml:space="preserve"> était raisonnablement prévisible afin d’étayer la conclusion de la juge du procès, J</w:t>
      </w:r>
      <w:r w:rsidR="00191719">
        <w:rPr>
          <w:rFonts w:cs="Times New Roman"/>
          <w:lang w:val="fr-CA"/>
        </w:rPr>
        <w:t>.</w:t>
      </w:r>
      <w:r w:rsidRPr="00A26DBD">
        <w:rPr>
          <w:rFonts w:cs="Times New Roman"/>
          <w:lang w:val="fr-CA"/>
        </w:rPr>
        <w:t xml:space="preserve"> s’est acquitté de ce fardeau en l’espèce. Aucune jurisprudence et aucun texte de doctrine n’est cité à l’appui de l’affirmation des juges majoritaires selon laquelle « le risque de vol en général n’inclut pas automatiquement le risque de vol par des mineurs ». En effet, il n’existe sans doute aucun jugement ou texte à cet effet et les motifs mêmes des juges majoritaires expliquent pourquoi. Comme ces motifs le précisent, les mineurs peuvent être « imprudents ». Or, cette </w:t>
      </w:r>
      <w:r w:rsidRPr="00A26DBD">
        <w:rPr>
          <w:rFonts w:cs="Times New Roman"/>
          <w:lang w:val="fr-CA"/>
        </w:rPr>
        <w:lastRenderedPageBreak/>
        <w:t xml:space="preserve">caractéristique même tend à confirmer, plutôt qu’à nier, le fait évident que les mineurs ne sont pas moins susceptibles que qui que ce soit d’autre de voler une voiture. Ainsi, le raisonnement de mes collègues majoritaires est donc en quelque sorte irréaliste lorsqu’ils affirment que Rankin aurait dû prévoir le </w:t>
      </w:r>
      <w:r w:rsidRPr="00A26DBD">
        <w:rPr>
          <w:rFonts w:cs="Times New Roman"/>
          <w:i/>
          <w:lang w:val="fr-CA"/>
        </w:rPr>
        <w:t>vol</w:t>
      </w:r>
      <w:r w:rsidRPr="00A26DBD">
        <w:rPr>
          <w:rFonts w:cs="Times New Roman"/>
          <w:lang w:val="fr-CA"/>
        </w:rPr>
        <w:t xml:space="preserve">, mais n’aurait pas pu raisonnablement prévoir le </w:t>
      </w:r>
      <w:r w:rsidRPr="00A26DBD">
        <w:rPr>
          <w:rFonts w:cs="Times New Roman"/>
          <w:i/>
          <w:lang w:val="fr-CA"/>
        </w:rPr>
        <w:t xml:space="preserve">vol </w:t>
      </w:r>
      <w:r w:rsidRPr="00A26DBD">
        <w:rPr>
          <w:rFonts w:cs="Times New Roman"/>
          <w:i/>
          <w:u w:val="single"/>
          <w:lang w:val="fr-CA"/>
        </w:rPr>
        <w:t>par un mineur</w:t>
      </w:r>
      <w:r w:rsidRPr="00A26DBD">
        <w:rPr>
          <w:rFonts w:cs="Times New Roman"/>
          <w:lang w:val="fr-CA"/>
        </w:rPr>
        <w:t>. Cela dit, outre ce qui précède, en établissant cette curieuse distinction, les juges majoritaires infirment la conclusion de fait d</w:t>
      </w:r>
      <w:r w:rsidR="005540C7">
        <w:rPr>
          <w:rFonts w:cs="Times New Roman"/>
          <w:lang w:val="fr-CA"/>
        </w:rPr>
        <w:t xml:space="preserve">e la </w:t>
      </w:r>
      <w:r w:rsidRPr="00A26DBD">
        <w:rPr>
          <w:rFonts w:cs="Times New Roman"/>
          <w:lang w:val="fr-CA"/>
        </w:rPr>
        <w:t>juge du procès, et ce, sans justification juridique.</w:t>
      </w:r>
    </w:p>
    <w:p w:rsidR="003C5BAD" w:rsidRPr="00A26DBD" w:rsidRDefault="003C5BAD" w:rsidP="003C5BAD">
      <w:pPr>
        <w:pStyle w:val="ParaNoNdepar-AltN"/>
        <w:rPr>
          <w:rFonts w:cs="Times New Roman"/>
          <w:lang w:val="fr-CA"/>
        </w:rPr>
      </w:pPr>
      <w:r w:rsidRPr="00A26DBD">
        <w:rPr>
          <w:rFonts w:cs="Times New Roman"/>
          <w:lang w:val="fr-CA"/>
        </w:rPr>
        <w:t>Quoi qu’il en soit, je conviens avec les juges majoritaires que J., pour établir l’existence d’une obligation de diligence, n’avait pas à démontrer que les « caractéristiques de la personne qui a véritablement volé le véhicule ou [. . .] la façon dont les blessures ont été subies »</w:t>
      </w:r>
      <w:r w:rsidRPr="00DC0C95">
        <w:rPr>
          <w:rStyle w:val="Hyperlink"/>
          <w:u w:val="none"/>
          <w:vertAlign w:val="superscript"/>
        </w:rPr>
        <w:footnoteReference w:id="42"/>
      </w:r>
      <w:r w:rsidRPr="00A26DBD">
        <w:rPr>
          <w:rFonts w:cs="Times New Roman"/>
          <w:lang w:val="fr-CA"/>
        </w:rPr>
        <w:t xml:space="preserve"> étaient prévisibles. S’il est vrai que la juge du procès a fondé sa décision d’imposer une obligation de diligence sur la prévisibilité du vol </w:t>
      </w:r>
      <w:r w:rsidRPr="00A26DBD">
        <w:rPr>
          <w:rFonts w:cs="Times New Roman"/>
          <w:i/>
          <w:lang w:val="fr-CA"/>
        </w:rPr>
        <w:t>par un mineur</w:t>
      </w:r>
      <w:r w:rsidRPr="00A26DBD">
        <w:rPr>
          <w:rFonts w:cs="Times New Roman"/>
          <w:lang w:val="fr-CA"/>
        </w:rPr>
        <w:t xml:space="preserve">, une telle obligation n’est pas subordonnée à la prévisibilité raisonnable </w:t>
      </w:r>
      <w:r w:rsidRPr="00A26DBD">
        <w:rPr>
          <w:rFonts w:cs="Times New Roman"/>
          <w:i/>
          <w:lang w:val="fr-CA"/>
        </w:rPr>
        <w:t>des circonstances particulières</w:t>
      </w:r>
      <w:r w:rsidRPr="00A26DBD">
        <w:rPr>
          <w:rFonts w:cs="Times New Roman"/>
          <w:lang w:val="fr-CA"/>
        </w:rPr>
        <w:t xml:space="preserve"> qui sont à l’origine des lésions que le demandeur a effectivement subies (cette question étant dûment examinée à l’étape de l’analyse de la causalité ou du principe d’éloignement)</w:t>
      </w:r>
      <w:r w:rsidRPr="00DC0C95">
        <w:rPr>
          <w:rStyle w:val="Hyperlink"/>
          <w:u w:val="none"/>
          <w:vertAlign w:val="superscript"/>
        </w:rPr>
        <w:footnoteReference w:id="43"/>
      </w:r>
      <w:r w:rsidRPr="00A26DBD">
        <w:rPr>
          <w:rFonts w:cs="Times New Roman"/>
          <w:lang w:val="fr-CA"/>
        </w:rPr>
        <w:t xml:space="preserve">. L’imposition d’une obligation de diligence en l’espèce était plutôt subordonnée </w:t>
      </w:r>
      <w:r w:rsidRPr="00A26DBD">
        <w:rPr>
          <w:rFonts w:cs="Times New Roman"/>
          <w:i/>
          <w:lang w:val="fr-CA"/>
        </w:rPr>
        <w:t>uniquement</w:t>
      </w:r>
      <w:r w:rsidRPr="00A26DBD">
        <w:rPr>
          <w:rFonts w:cs="Times New Roman"/>
          <w:lang w:val="fr-CA"/>
        </w:rPr>
        <w:t xml:space="preserve"> à la démonstration par J</w:t>
      </w:r>
      <w:r w:rsidR="00191719">
        <w:rPr>
          <w:rFonts w:cs="Times New Roman"/>
          <w:lang w:val="fr-CA"/>
        </w:rPr>
        <w:t>.</w:t>
      </w:r>
      <w:r w:rsidRPr="00A26DBD">
        <w:rPr>
          <w:rFonts w:cs="Times New Roman"/>
          <w:lang w:val="fr-CA"/>
        </w:rPr>
        <w:t xml:space="preserve"> qu’il était raisonnablement prévisible qu’il subisse des lésions corporelles en raison de la négligence de Rankin, </w:t>
      </w:r>
      <w:r w:rsidRPr="00A26DBD">
        <w:rPr>
          <w:rFonts w:cs="Times New Roman"/>
          <w:i/>
          <w:lang w:val="fr-CA"/>
        </w:rPr>
        <w:t>indépendamment des circonstances</w:t>
      </w:r>
      <w:r w:rsidRPr="00A26DBD">
        <w:rPr>
          <w:rFonts w:cs="Times New Roman"/>
          <w:lang w:val="fr-CA"/>
        </w:rPr>
        <w:t>. Et, comme je l’ai indiqué précédemment, la juge du procès pouvait conclure, sur la base du témoignage de Rankin lui</w:t>
      </w:r>
      <w:r w:rsidRPr="00A26DBD">
        <w:rPr>
          <w:rFonts w:cs="Times New Roman"/>
          <w:lang w:val="fr-CA"/>
        </w:rPr>
        <w:noBreakHyphen/>
        <w:t xml:space="preserve">même, que la négligence dont ce dernier a fait preuve — à savoir qu’il a laissé des véhicules déverrouillés avec les clés à l’intérieur sans </w:t>
      </w:r>
      <w:r w:rsidRPr="00A26DBD">
        <w:rPr>
          <w:rFonts w:cs="Times New Roman"/>
          <w:lang w:val="fr-CA"/>
        </w:rPr>
        <w:lastRenderedPageBreak/>
        <w:t xml:space="preserve">surveillance pendant la nuit — aurait pu mener à des lésions corporelles raisonnablement prévisibles. Ce témoignage suffit à appuyer la conclusion de la juge du procès selon laquelle les lésions corporelles subies par J. constituaient une conséquence raisonnablement prévisible de la négligence de Rankin. </w:t>
      </w:r>
    </w:p>
    <w:p w:rsidR="003C5BAD" w:rsidRPr="00A26DBD" w:rsidRDefault="003C5BAD" w:rsidP="003C5BAD">
      <w:pPr>
        <w:pStyle w:val="Title1LevelTitre1Niveau-AltL"/>
        <w:rPr>
          <w:rFonts w:cs="Times New Roman"/>
          <w:lang w:val="fr-CA"/>
        </w:rPr>
      </w:pPr>
      <w:r w:rsidRPr="00A26DBD">
        <w:rPr>
          <w:rFonts w:cs="Times New Roman"/>
          <w:lang w:val="fr-CA"/>
        </w:rPr>
        <w:t>Dispositif</w:t>
      </w:r>
    </w:p>
    <w:p w:rsidR="003C5BAD" w:rsidRPr="00A26DBD" w:rsidRDefault="003C5BAD" w:rsidP="003C5BAD">
      <w:pPr>
        <w:pStyle w:val="ParaNoNdepar-AltN"/>
        <w:rPr>
          <w:rFonts w:cs="Times New Roman"/>
          <w:lang w:val="fr-CA"/>
        </w:rPr>
      </w:pPr>
      <w:r w:rsidRPr="00A26DBD">
        <w:rPr>
          <w:rFonts w:cs="Times New Roman"/>
          <w:lang w:val="fr-CA"/>
        </w:rPr>
        <w:t xml:space="preserve">La conclusion de la juge de première instance selon laquelle les lésions corporelles étaient raisonnablement prévisibles suffit à classer les faits de la présente affaire dans une catégorie de relations dont il a déjà été jugé qu’elles permettaient de conclure à l’existence d’une obligation de diligence. En droit, le lien de proximité est par le fait même établi et il n’est pas nécessaire de passer à la seconde étape du test </w:t>
      </w:r>
      <w:r w:rsidRPr="00A26DBD">
        <w:rPr>
          <w:rFonts w:cs="Times New Roman"/>
          <w:i/>
          <w:lang w:val="fr-CA"/>
        </w:rPr>
        <w:t>Anns/Cooper</w:t>
      </w:r>
      <w:r w:rsidRPr="00DC0E99">
        <w:rPr>
          <w:rStyle w:val="Hyperlink"/>
          <w:u w:val="none"/>
          <w:vertAlign w:val="superscript"/>
        </w:rPr>
        <w:footnoteReference w:id="44"/>
      </w:r>
      <w:r w:rsidRPr="00A26DBD">
        <w:rPr>
          <w:rFonts w:cs="Times New Roman"/>
          <w:i/>
          <w:lang w:val="fr-CA"/>
        </w:rPr>
        <w:t xml:space="preserve">. </w:t>
      </w:r>
      <w:r w:rsidRPr="00A26DBD">
        <w:rPr>
          <w:rFonts w:cs="Times New Roman"/>
          <w:lang w:val="fr-CA"/>
        </w:rPr>
        <w:t>Comme les parties ont convenu que la question à trancher dans le présent pourvoi et devant les juridictions inférieures avait trait à l’obligation de diligence, et non pas au principe de l’éloignement du préjudice, toute conclusion sur l’obligation de diligence tranche le débat. Je suis par conséquent d’avis de rejeter le pourvoi, avec dépens devant la Cour pour les intimés J., représenté par son tuteur à l’instance, J.A.J., J.A.J. et A.J.</w:t>
      </w:r>
    </w:p>
    <w:p w:rsidR="004D7D95" w:rsidRPr="00B40F77" w:rsidRDefault="004D7D95" w:rsidP="00CB7ABA">
      <w:pPr>
        <w:pStyle w:val="SCCNormalDoubleSpacing"/>
        <w:spacing w:before="480" w:after="480"/>
        <w:rPr>
          <w:lang w:val="fr-CA"/>
        </w:rPr>
      </w:pPr>
      <w:r w:rsidRPr="003C5BAD">
        <w:rPr>
          <w:lang w:val="fr-CA"/>
        </w:rPr>
        <w:tab/>
      </w:r>
      <w:r w:rsidR="00772A36" w:rsidRPr="00B40F77">
        <w:rPr>
          <w:i/>
          <w:lang w:val="fr-CA"/>
        </w:rPr>
        <w:t xml:space="preserve">Pourvoi </w:t>
      </w:r>
      <w:r w:rsidR="00D94326" w:rsidRPr="00B40F77">
        <w:rPr>
          <w:i/>
          <w:lang w:val="fr-CA"/>
        </w:rPr>
        <w:t xml:space="preserve">accueilli avec dépens, les juges </w:t>
      </w:r>
      <w:r w:rsidR="00D94326" w:rsidRPr="00B40F77">
        <w:rPr>
          <w:smallCaps/>
          <w:lang w:val="fr-CA"/>
        </w:rPr>
        <w:t>Gascon</w:t>
      </w:r>
      <w:r w:rsidR="00D94326" w:rsidRPr="00B40F77">
        <w:rPr>
          <w:lang w:val="fr-CA"/>
        </w:rPr>
        <w:t xml:space="preserve"> </w:t>
      </w:r>
      <w:r w:rsidR="00D94326" w:rsidRPr="00B40F77">
        <w:rPr>
          <w:i/>
          <w:lang w:val="fr-CA"/>
        </w:rPr>
        <w:t xml:space="preserve">et </w:t>
      </w:r>
      <w:r w:rsidR="00D94326" w:rsidRPr="00B40F77">
        <w:rPr>
          <w:smallCaps/>
          <w:lang w:val="fr-CA"/>
        </w:rPr>
        <w:t>Brown</w:t>
      </w:r>
      <w:r w:rsidR="00D94326" w:rsidRPr="00B40F77">
        <w:rPr>
          <w:lang w:val="fr-CA"/>
        </w:rPr>
        <w:t xml:space="preserve"> </w:t>
      </w:r>
      <w:r w:rsidR="00D94326" w:rsidRPr="00B40F77">
        <w:rPr>
          <w:i/>
          <w:lang w:val="fr-CA"/>
        </w:rPr>
        <w:t>sont dissidents.</w:t>
      </w:r>
    </w:p>
    <w:p w:rsidR="00543C6F" w:rsidRPr="00B40F77" w:rsidRDefault="00A24078" w:rsidP="00CB7ABA">
      <w:pPr>
        <w:pStyle w:val="SCCLawFirm"/>
        <w:spacing w:before="480" w:after="480"/>
        <w:rPr>
          <w:lang w:val="fr-CA"/>
        </w:rPr>
      </w:pPr>
      <w:r w:rsidRPr="00B40F77">
        <w:rPr>
          <w:lang w:val="fr-CA"/>
        </w:rPr>
        <w:lastRenderedPageBreak/>
        <w:tab/>
      </w:r>
      <w:r w:rsidR="0079252A" w:rsidRPr="00B40F77">
        <w:rPr>
          <w:lang w:val="fr-CA"/>
        </w:rPr>
        <w:t>Procureurs</w:t>
      </w:r>
      <w:r w:rsidRPr="00B40F77">
        <w:rPr>
          <w:lang w:val="fr-CA"/>
        </w:rPr>
        <w:t xml:space="preserve"> de l</w:t>
      </w:r>
      <w:r w:rsidR="00982E62" w:rsidRPr="00B40F77">
        <w:rPr>
          <w:lang w:val="fr-CA"/>
        </w:rPr>
        <w:t>’</w:t>
      </w:r>
      <w:r w:rsidR="0079252A" w:rsidRPr="00B40F77">
        <w:rPr>
          <w:lang w:val="fr-CA"/>
        </w:rPr>
        <w:t>appelant</w:t>
      </w:r>
      <w:r w:rsidR="00982E62" w:rsidRPr="00B40F77">
        <w:rPr>
          <w:lang w:val="fr-CA"/>
        </w:rPr>
        <w:t> :</w:t>
      </w:r>
      <w:r w:rsidR="001752B7" w:rsidRPr="00B40F77">
        <w:rPr>
          <w:lang w:val="fr-CA"/>
        </w:rPr>
        <w:t> </w:t>
      </w:r>
      <w:r w:rsidRPr="00B40F77">
        <w:rPr>
          <w:lang w:val="fr-CA"/>
        </w:rPr>
        <w:t>Benson Percival Brown, Toronto</w:t>
      </w:r>
      <w:r w:rsidR="00671652" w:rsidRPr="00B40F77">
        <w:rPr>
          <w:lang w:val="fr-CA"/>
        </w:rPr>
        <w:t>; Supreme Advocacy, Ottawa.</w:t>
      </w:r>
    </w:p>
    <w:p w:rsidR="00543C6F" w:rsidRPr="00B40F77" w:rsidRDefault="0079252A" w:rsidP="00CB7ABA">
      <w:pPr>
        <w:pStyle w:val="SCCLawFirm"/>
        <w:spacing w:before="480" w:after="480"/>
        <w:rPr>
          <w:lang w:val="fr-CA"/>
        </w:rPr>
      </w:pPr>
      <w:r w:rsidRPr="00B40F77">
        <w:rPr>
          <w:lang w:val="fr-CA"/>
        </w:rPr>
        <w:tab/>
        <w:t>Procureurs</w:t>
      </w:r>
      <w:r w:rsidR="00A24078" w:rsidRPr="00B40F77">
        <w:rPr>
          <w:lang w:val="fr-CA"/>
        </w:rPr>
        <w:t xml:space="preserve"> de</w:t>
      </w:r>
      <w:r w:rsidRPr="00B40F77">
        <w:rPr>
          <w:lang w:val="fr-CA"/>
        </w:rPr>
        <w:t xml:space="preserve">s </w:t>
      </w:r>
      <w:r w:rsidR="00A24078" w:rsidRPr="00B40F77">
        <w:rPr>
          <w:lang w:val="fr-CA"/>
        </w:rPr>
        <w:t>intimé</w:t>
      </w:r>
      <w:r w:rsidRPr="00B40F77">
        <w:rPr>
          <w:lang w:val="fr-CA"/>
        </w:rPr>
        <w:t>s</w:t>
      </w:r>
      <w:r w:rsidR="001534EC" w:rsidRPr="00B40F77">
        <w:rPr>
          <w:lang w:val="fr-CA"/>
        </w:rPr>
        <w:t xml:space="preserve"> </w:t>
      </w:r>
      <w:r w:rsidR="00EE1161" w:rsidRPr="00B40F77">
        <w:rPr>
          <w:rStyle w:val="SCCCounselPartyRoleChar"/>
          <w:lang w:val="fr-CA"/>
        </w:rPr>
        <w:t>J.J.</w:t>
      </w:r>
      <w:r w:rsidR="00FA03F2" w:rsidRPr="00B40F77">
        <w:rPr>
          <w:rStyle w:val="SCCCounselPartyRoleChar"/>
          <w:lang w:val="fr-CA"/>
        </w:rPr>
        <w:t>,</w:t>
      </w:r>
      <w:r w:rsidR="001534EC" w:rsidRPr="00B40F77">
        <w:rPr>
          <w:rStyle w:val="SCCCounselPartyRoleChar"/>
          <w:lang w:val="fr-CA"/>
        </w:rPr>
        <w:t xml:space="preserve"> représenté par s</w:t>
      </w:r>
      <w:r w:rsidR="00EE1161" w:rsidRPr="00B40F77">
        <w:rPr>
          <w:rStyle w:val="SCCCounselPartyRoleChar"/>
          <w:lang w:val="fr-CA"/>
        </w:rPr>
        <w:t xml:space="preserve">on </w:t>
      </w:r>
      <w:r w:rsidR="001534EC" w:rsidRPr="00B40F77">
        <w:rPr>
          <w:rStyle w:val="SCCCounselPartyRoleChar"/>
          <w:lang w:val="fr-CA"/>
        </w:rPr>
        <w:t>tut</w:t>
      </w:r>
      <w:r w:rsidR="00EE1161" w:rsidRPr="00B40F77">
        <w:rPr>
          <w:rStyle w:val="SCCCounselPartyRoleChar"/>
          <w:lang w:val="fr-CA"/>
        </w:rPr>
        <w:t>eur</w:t>
      </w:r>
      <w:r w:rsidR="001534EC" w:rsidRPr="00B40F77">
        <w:rPr>
          <w:rStyle w:val="SCCCounselPartyRoleChar"/>
          <w:lang w:val="fr-CA"/>
        </w:rPr>
        <w:t xml:space="preserve"> à l</w:t>
      </w:r>
      <w:r w:rsidR="00982E62" w:rsidRPr="00B40F77">
        <w:rPr>
          <w:rStyle w:val="SCCCounselPartyRoleChar"/>
          <w:lang w:val="fr-CA"/>
        </w:rPr>
        <w:t>’</w:t>
      </w:r>
      <w:r w:rsidR="001534EC" w:rsidRPr="00B40F77">
        <w:rPr>
          <w:rStyle w:val="SCCCounselPartyRoleChar"/>
          <w:lang w:val="fr-CA"/>
        </w:rPr>
        <w:t>instance, J.A.J., J.A.J. et A.J</w:t>
      </w:r>
      <w:r w:rsidR="00C47D50" w:rsidRPr="00B40F77">
        <w:rPr>
          <w:rStyle w:val="SCCCounselPartyRoleChar"/>
          <w:lang w:val="fr-CA"/>
        </w:rPr>
        <w:t>.</w:t>
      </w:r>
      <w:r w:rsidR="00982E62" w:rsidRPr="00B40F77">
        <w:rPr>
          <w:lang w:val="fr-CA"/>
        </w:rPr>
        <w:t> :</w:t>
      </w:r>
      <w:r w:rsidR="001752B7" w:rsidRPr="00B40F77">
        <w:rPr>
          <w:lang w:val="fr-CA"/>
        </w:rPr>
        <w:t> </w:t>
      </w:r>
      <w:r w:rsidR="00A24078" w:rsidRPr="00B40F77">
        <w:rPr>
          <w:lang w:val="fr-CA"/>
        </w:rPr>
        <w:t>Lerners, London</w:t>
      </w:r>
      <w:r w:rsidR="00671652" w:rsidRPr="00B40F77">
        <w:rPr>
          <w:lang w:val="fr-CA"/>
        </w:rPr>
        <w:t>, Ontario</w:t>
      </w:r>
      <w:r w:rsidR="00A24078" w:rsidRPr="00B40F77">
        <w:rPr>
          <w:lang w:val="fr-CA"/>
        </w:rPr>
        <w:t>.</w:t>
      </w:r>
    </w:p>
    <w:p w:rsidR="00543C6F" w:rsidRPr="00B40F77" w:rsidRDefault="0079252A" w:rsidP="00CB7ABA">
      <w:pPr>
        <w:pStyle w:val="SCCLawFirm"/>
        <w:spacing w:before="480" w:after="480"/>
        <w:rPr>
          <w:lang w:val="en-US"/>
        </w:rPr>
      </w:pPr>
      <w:r w:rsidRPr="00B40F77">
        <w:rPr>
          <w:lang w:val="fr-CA"/>
        </w:rPr>
        <w:tab/>
      </w:r>
      <w:r w:rsidRPr="00B40F77">
        <w:rPr>
          <w:lang w:val="en-US"/>
        </w:rPr>
        <w:t>Procureurs</w:t>
      </w:r>
      <w:r w:rsidR="00A24078" w:rsidRPr="00B40F77">
        <w:rPr>
          <w:lang w:val="en-US"/>
        </w:rPr>
        <w:t xml:space="preserve"> de l</w:t>
      </w:r>
      <w:r w:rsidR="00982E62" w:rsidRPr="00B40F77">
        <w:rPr>
          <w:lang w:val="en-US"/>
        </w:rPr>
        <w:t>’</w:t>
      </w:r>
      <w:r w:rsidRPr="00B40F77">
        <w:rPr>
          <w:lang w:val="en-US"/>
        </w:rPr>
        <w:t>intimé</w:t>
      </w:r>
      <w:r w:rsidR="001534EC" w:rsidRPr="00B40F77">
        <w:rPr>
          <w:lang w:val="en-US"/>
        </w:rPr>
        <w:t xml:space="preserve"> C.C.</w:t>
      </w:r>
      <w:r w:rsidR="00982E62" w:rsidRPr="00B40F77">
        <w:rPr>
          <w:lang w:val="en-US"/>
        </w:rPr>
        <w:t> :</w:t>
      </w:r>
      <w:r w:rsidR="001752B7" w:rsidRPr="00B40F77">
        <w:rPr>
          <w:lang w:val="en-US"/>
        </w:rPr>
        <w:t> </w:t>
      </w:r>
      <w:r w:rsidR="00A24078" w:rsidRPr="00B40F77">
        <w:rPr>
          <w:lang w:val="en-US"/>
        </w:rPr>
        <w:t>Brown Beattie O</w:t>
      </w:r>
      <w:r w:rsidR="00982E62" w:rsidRPr="00B40F77">
        <w:rPr>
          <w:lang w:val="en-US"/>
        </w:rPr>
        <w:t>’</w:t>
      </w:r>
      <w:r w:rsidR="00A24078" w:rsidRPr="00B40F77">
        <w:rPr>
          <w:lang w:val="en-US"/>
        </w:rPr>
        <w:t xml:space="preserve">Donovan, </w:t>
      </w:r>
      <w:r w:rsidR="00671652" w:rsidRPr="00B40F77">
        <w:rPr>
          <w:lang w:val="en-US"/>
        </w:rPr>
        <w:t>London, Ontario</w:t>
      </w:r>
      <w:r w:rsidR="00D12E32" w:rsidRPr="00B40F77">
        <w:rPr>
          <w:lang w:val="en-US"/>
        </w:rPr>
        <w:t>; Ministry of the Attorney General, Civil Law Division, FSCO Branch</w:t>
      </w:r>
      <w:r w:rsidR="00297E63" w:rsidRPr="00B40F77">
        <w:rPr>
          <w:lang w:val="en-US"/>
        </w:rPr>
        <w:t>,</w:t>
      </w:r>
      <w:r w:rsidR="00E4664F" w:rsidRPr="00B40F77">
        <w:rPr>
          <w:lang w:val="en-US"/>
        </w:rPr>
        <w:t xml:space="preserve"> Toronto</w:t>
      </w:r>
      <w:r w:rsidR="00C47D50" w:rsidRPr="00B40F77">
        <w:rPr>
          <w:lang w:val="en-US"/>
        </w:rPr>
        <w:t>.</w:t>
      </w:r>
      <w:r w:rsidR="00D12E32" w:rsidRPr="00B40F77">
        <w:rPr>
          <w:lang w:val="en-US"/>
        </w:rPr>
        <w:t xml:space="preserve"> </w:t>
      </w:r>
    </w:p>
    <w:p w:rsidR="00543C6F" w:rsidRPr="00B40F77" w:rsidRDefault="00A24078" w:rsidP="00CB7ABA">
      <w:pPr>
        <w:pStyle w:val="SCCLawFirm"/>
        <w:spacing w:before="480" w:after="480"/>
      </w:pPr>
      <w:r w:rsidRPr="00B40F77">
        <w:rPr>
          <w:lang w:val="en-US"/>
        </w:rPr>
        <w:tab/>
      </w:r>
      <w:r w:rsidR="001534EC" w:rsidRPr="00B40F77">
        <w:t>Procureurs</w:t>
      </w:r>
      <w:r w:rsidRPr="00B40F77">
        <w:t xml:space="preserve"> de l</w:t>
      </w:r>
      <w:r w:rsidR="00982E62" w:rsidRPr="00B40F77">
        <w:t>’</w:t>
      </w:r>
      <w:r w:rsidR="001534EC" w:rsidRPr="00B40F77">
        <w:t>intervenante</w:t>
      </w:r>
      <w:r w:rsidRPr="00B40F77">
        <w:t xml:space="preserve"> Ontario Trial Lawyers Association</w:t>
      </w:r>
      <w:r w:rsidR="00982E62" w:rsidRPr="00B40F77">
        <w:t> :</w:t>
      </w:r>
      <w:r w:rsidR="001752B7" w:rsidRPr="00B40F77">
        <w:t> </w:t>
      </w:r>
      <w:r w:rsidRPr="00B40F77">
        <w:t>MacKenzie Barristers, Toronto.</w:t>
      </w:r>
    </w:p>
    <w:p w:rsidR="004D7D95" w:rsidRPr="00B40F77" w:rsidRDefault="001534EC" w:rsidP="001534EC">
      <w:pPr>
        <w:pStyle w:val="SCCLawFirm"/>
        <w:rPr>
          <w:lang w:val="en-US"/>
        </w:rPr>
      </w:pPr>
      <w:r w:rsidRPr="00B40F77">
        <w:tab/>
      </w:r>
      <w:r w:rsidRPr="00B40F77">
        <w:rPr>
          <w:lang w:val="en-US"/>
        </w:rPr>
        <w:t>Procureurs</w:t>
      </w:r>
      <w:r w:rsidR="00A24078" w:rsidRPr="00B40F77">
        <w:rPr>
          <w:lang w:val="en-US"/>
        </w:rPr>
        <w:t xml:space="preserve"> de l</w:t>
      </w:r>
      <w:r w:rsidR="00982E62" w:rsidRPr="00B40F77">
        <w:rPr>
          <w:lang w:val="en-US"/>
        </w:rPr>
        <w:t>’</w:t>
      </w:r>
      <w:r w:rsidRPr="00B40F77">
        <w:rPr>
          <w:lang w:val="en-US"/>
        </w:rPr>
        <w:t>intervenante</w:t>
      </w:r>
      <w:r w:rsidR="00A24078" w:rsidRPr="00B40F77">
        <w:rPr>
          <w:lang w:val="en-US"/>
        </w:rPr>
        <w:t xml:space="preserve"> Justice for Children and Youth</w:t>
      </w:r>
      <w:r w:rsidR="00982E62" w:rsidRPr="00B40F77">
        <w:rPr>
          <w:lang w:val="en-US"/>
        </w:rPr>
        <w:t> :</w:t>
      </w:r>
      <w:r w:rsidR="001752B7" w:rsidRPr="00B40F77">
        <w:rPr>
          <w:lang w:val="en-US"/>
        </w:rPr>
        <w:t> </w:t>
      </w:r>
      <w:r w:rsidR="00A24078" w:rsidRPr="00B40F77">
        <w:rPr>
          <w:lang w:val="en-US"/>
        </w:rPr>
        <w:t>McCarthy Tétrault, Toronto</w:t>
      </w:r>
      <w:r w:rsidR="00BE4286" w:rsidRPr="00B40F77">
        <w:rPr>
          <w:lang w:val="en-US"/>
        </w:rPr>
        <w:t>;</w:t>
      </w:r>
      <w:r w:rsidR="00C924A5" w:rsidRPr="00B40F77">
        <w:rPr>
          <w:lang w:val="en-US"/>
        </w:rPr>
        <w:t xml:space="preserve"> Justice for Children and Youth,</w:t>
      </w:r>
      <w:r w:rsidR="008D7CFF" w:rsidRPr="00B40F77">
        <w:rPr>
          <w:lang w:val="en-US"/>
        </w:rPr>
        <w:t xml:space="preserve"> Toronto</w:t>
      </w:r>
      <w:r w:rsidR="00A24078" w:rsidRPr="00B40F77">
        <w:rPr>
          <w:lang w:val="en-US"/>
        </w:rPr>
        <w:t>.</w:t>
      </w:r>
    </w:p>
    <w:sectPr w:rsidR="004D7D95" w:rsidRPr="00B40F77" w:rsidSect="000648CC">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0E" w:rsidRDefault="00D17B0E">
      <w:r>
        <w:separator/>
      </w:r>
    </w:p>
  </w:endnote>
  <w:endnote w:type="continuationSeparator" w:id="0">
    <w:p w:rsidR="00D17B0E" w:rsidRDefault="00D1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0E" w:rsidRDefault="00D17B0E">
      <w:r>
        <w:separator/>
      </w:r>
    </w:p>
  </w:footnote>
  <w:footnote w:type="continuationSeparator" w:id="0">
    <w:p w:rsidR="00D17B0E" w:rsidRDefault="00D17B0E">
      <w:r>
        <w:continuationSeparator/>
      </w:r>
    </w:p>
  </w:footnote>
  <w:footnote w:id="1">
    <w:p w:rsidR="003C5BAD" w:rsidRPr="009E4A1D" w:rsidRDefault="003C5BAD" w:rsidP="00B41F47">
      <w:pPr>
        <w:pStyle w:val="FootnoteText"/>
        <w:rPr>
          <w:lang w:val="en-US"/>
        </w:rPr>
      </w:pPr>
      <w:r>
        <w:rPr>
          <w:rStyle w:val="FootnoteReference"/>
        </w:rPr>
        <w:footnoteRef/>
      </w:r>
      <w:r>
        <w:t xml:space="preserve"> </w:t>
      </w:r>
      <w:r w:rsidR="00B41F47">
        <w:tab/>
      </w:r>
      <w:r w:rsidRPr="009E4A1D">
        <w:rPr>
          <w:i/>
        </w:rPr>
        <w:t xml:space="preserve">Anns </w:t>
      </w:r>
      <w:r>
        <w:rPr>
          <w:i/>
        </w:rPr>
        <w:t>c.</w:t>
      </w:r>
      <w:r w:rsidRPr="009E4A1D">
        <w:rPr>
          <w:i/>
        </w:rPr>
        <w:t xml:space="preserve"> Merton London Borough Council</w:t>
      </w:r>
      <w:r>
        <w:t>, [1978] A.C</w:t>
      </w:r>
      <w:r w:rsidR="002164FB">
        <w:t>.</w:t>
      </w:r>
      <w:r>
        <w:t xml:space="preserve"> 728; </w:t>
      </w:r>
      <w:r w:rsidRPr="009E4A1D">
        <w:rPr>
          <w:i/>
        </w:rPr>
        <w:t xml:space="preserve">Cooper </w:t>
      </w:r>
      <w:r>
        <w:rPr>
          <w:i/>
        </w:rPr>
        <w:t>c.</w:t>
      </w:r>
      <w:r w:rsidRPr="009E4A1D">
        <w:rPr>
          <w:i/>
        </w:rPr>
        <w:t xml:space="preserve"> Hobart</w:t>
      </w:r>
      <w:r>
        <w:t>, 2001 CSC 79, [2001] 3 R.C.S. 537.</w:t>
      </w:r>
    </w:p>
  </w:footnote>
  <w:footnote w:id="2">
    <w:p w:rsidR="003C5BAD" w:rsidRPr="00B1015F" w:rsidRDefault="003C5BAD" w:rsidP="00B41F47">
      <w:pPr>
        <w:pStyle w:val="FootnoteText"/>
        <w:rPr>
          <w:lang w:val="fr-CA"/>
        </w:rPr>
      </w:pPr>
      <w:r w:rsidRPr="00E73BBD">
        <w:rPr>
          <w:rStyle w:val="FootnoteReference"/>
          <w:lang w:val="fr-CA"/>
        </w:rPr>
        <w:footnoteRef/>
      </w:r>
      <w:r w:rsidRPr="00B1015F">
        <w:rPr>
          <w:lang w:val="fr-CA"/>
        </w:rPr>
        <w:t xml:space="preserve"> </w:t>
      </w:r>
      <w:r w:rsidR="00B41F47" w:rsidRPr="00B1015F">
        <w:rPr>
          <w:lang w:val="fr-CA"/>
        </w:rPr>
        <w:tab/>
      </w:r>
      <w:r w:rsidRPr="00B1015F">
        <w:rPr>
          <w:i/>
          <w:lang w:val="fr-CA"/>
        </w:rPr>
        <w:t>Cooper</w:t>
      </w:r>
      <w:r w:rsidRPr="00B1015F">
        <w:rPr>
          <w:lang w:val="fr-CA"/>
        </w:rPr>
        <w:t>, par. 36.</w:t>
      </w:r>
    </w:p>
  </w:footnote>
  <w:footnote w:id="3">
    <w:p w:rsidR="003C5BAD" w:rsidRPr="00E73BBD" w:rsidRDefault="003C5BAD" w:rsidP="00B41F47">
      <w:pPr>
        <w:pStyle w:val="FootnoteText"/>
        <w:rPr>
          <w:lang w:val="fr-CA"/>
        </w:rPr>
      </w:pPr>
      <w:r w:rsidRPr="00E73BBD">
        <w:rPr>
          <w:rStyle w:val="FootnoteReference"/>
          <w:lang w:val="fr-CA"/>
        </w:rPr>
        <w:footnoteRef/>
      </w:r>
      <w:r w:rsidR="00B41F47" w:rsidRPr="00933047">
        <w:rPr>
          <w:lang w:val="fr-CA"/>
        </w:rPr>
        <w:t xml:space="preserve"> </w:t>
      </w:r>
      <w:r w:rsidR="00B41F47" w:rsidRPr="00933047">
        <w:rPr>
          <w:lang w:val="fr-CA"/>
        </w:rPr>
        <w:tab/>
      </w:r>
      <w:r w:rsidRPr="00933047">
        <w:rPr>
          <w:i/>
          <w:lang w:val="fr-CA"/>
        </w:rPr>
        <w:t>Mustapha c. Culligan</w:t>
      </w:r>
      <w:r w:rsidR="00933047" w:rsidRPr="00933047">
        <w:rPr>
          <w:i/>
          <w:lang w:val="fr-CA"/>
        </w:rPr>
        <w:t xml:space="preserve"> d</w:t>
      </w:r>
      <w:r w:rsidR="00933047">
        <w:rPr>
          <w:i/>
          <w:lang w:val="fr-CA"/>
        </w:rPr>
        <w:t>u Canada Ltée</w:t>
      </w:r>
      <w:r w:rsidRPr="00933047">
        <w:rPr>
          <w:lang w:val="fr-CA"/>
        </w:rPr>
        <w:t xml:space="preserve">, 2008 CSC 27, [2008] 2 R.C.S. 114, par. 3; </w:t>
      </w:r>
      <w:r w:rsidRPr="00933047">
        <w:rPr>
          <w:i/>
          <w:lang w:val="fr-CA"/>
        </w:rPr>
        <w:t>Saadati c. Moorhead</w:t>
      </w:r>
      <w:r w:rsidRPr="00933047">
        <w:rPr>
          <w:lang w:val="fr-CA"/>
        </w:rPr>
        <w:t xml:space="preserve">, 2017 CSC 28, [2017] 1 R.C.S. 543, par. 13; </w:t>
      </w:r>
      <w:r w:rsidRPr="00933047">
        <w:rPr>
          <w:i/>
          <w:lang w:val="fr-CA"/>
        </w:rPr>
        <w:t xml:space="preserve">Deloitte &amp; Touche c. Livent Inc. </w:t>
      </w:r>
      <w:r w:rsidRPr="00E73BBD">
        <w:rPr>
          <w:i/>
          <w:lang w:val="fr-CA"/>
        </w:rPr>
        <w:t>(Séquestre de)</w:t>
      </w:r>
      <w:r w:rsidRPr="00E73BBD">
        <w:rPr>
          <w:lang w:val="fr-CA"/>
        </w:rPr>
        <w:t xml:space="preserve">, 2017 CSC 63, </w:t>
      </w:r>
      <w:r>
        <w:rPr>
          <w:lang w:val="fr-CA"/>
        </w:rPr>
        <w:t>[2017] 2 R.C.S. 855, par. </w:t>
      </w:r>
      <w:r w:rsidRPr="00E73BBD">
        <w:rPr>
          <w:lang w:val="fr-CA"/>
        </w:rPr>
        <w:t>77.</w:t>
      </w:r>
    </w:p>
  </w:footnote>
  <w:footnote w:id="4">
    <w:p w:rsidR="003C5BAD" w:rsidRPr="00E73BBD" w:rsidRDefault="003C5BAD" w:rsidP="00DC0E99">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E99">
        <w:rPr>
          <w:lang w:val="fr-CA"/>
        </w:rPr>
        <w:tab/>
      </w:r>
      <w:r w:rsidRPr="00E73BBD">
        <w:rPr>
          <w:i/>
          <w:lang w:val="fr-CA"/>
        </w:rPr>
        <w:t xml:space="preserve">Edwards </w:t>
      </w:r>
      <w:r>
        <w:rPr>
          <w:i/>
          <w:lang w:val="fr-CA"/>
        </w:rPr>
        <w:t>c.</w:t>
      </w:r>
      <w:r w:rsidRPr="00E73BBD">
        <w:rPr>
          <w:i/>
          <w:lang w:val="fr-CA"/>
        </w:rPr>
        <w:t xml:space="preserve"> Barreau du Haut</w:t>
      </w:r>
      <w:r>
        <w:rPr>
          <w:i/>
          <w:lang w:val="fr-CA"/>
        </w:rPr>
        <w:t>-</w:t>
      </w:r>
      <w:r w:rsidRPr="00E73BBD">
        <w:rPr>
          <w:i/>
          <w:lang w:val="fr-CA"/>
        </w:rPr>
        <w:t>Canada</w:t>
      </w:r>
      <w:r w:rsidRPr="00E73BBD">
        <w:rPr>
          <w:lang w:val="fr-CA"/>
        </w:rPr>
        <w:t xml:space="preserve">, 2001 CSC 80, </w:t>
      </w:r>
      <w:r>
        <w:rPr>
          <w:lang w:val="fr-CA"/>
        </w:rPr>
        <w:t>[2001] 3 R.C.S. 562, par. </w:t>
      </w:r>
      <w:r w:rsidRPr="00E73BBD">
        <w:rPr>
          <w:lang w:val="fr-CA"/>
        </w:rPr>
        <w:t xml:space="preserve">9; voir également </w:t>
      </w:r>
      <w:r w:rsidRPr="00E73BBD">
        <w:rPr>
          <w:i/>
          <w:lang w:val="fr-CA"/>
        </w:rPr>
        <w:t>Cooper</w:t>
      </w:r>
      <w:r w:rsidRPr="00E73BBD">
        <w:rPr>
          <w:lang w:val="fr-CA"/>
        </w:rPr>
        <w:t>,</w:t>
      </w:r>
      <w:r w:rsidRPr="00E73BBD">
        <w:rPr>
          <w:i/>
          <w:lang w:val="fr-CA"/>
        </w:rPr>
        <w:t xml:space="preserve"> </w:t>
      </w:r>
      <w:r>
        <w:rPr>
          <w:lang w:val="fr-CA"/>
        </w:rPr>
        <w:t>par. </w:t>
      </w:r>
      <w:r w:rsidRPr="00E73BBD">
        <w:rPr>
          <w:lang w:val="fr-CA"/>
        </w:rPr>
        <w:t xml:space="preserve">31; </w:t>
      </w:r>
      <w:r w:rsidRPr="00E73BBD">
        <w:rPr>
          <w:i/>
          <w:lang w:val="fr-CA"/>
        </w:rPr>
        <w:t>Livent</w:t>
      </w:r>
      <w:r w:rsidRPr="00E73BBD">
        <w:rPr>
          <w:lang w:val="fr-CA"/>
        </w:rPr>
        <w:t xml:space="preserve">, </w:t>
      </w:r>
      <w:r>
        <w:rPr>
          <w:lang w:val="fr-CA"/>
        </w:rPr>
        <w:t>par. </w:t>
      </w:r>
      <w:r w:rsidRPr="00E73BBD">
        <w:rPr>
          <w:lang w:val="fr-CA"/>
        </w:rPr>
        <w:t>23.</w:t>
      </w:r>
    </w:p>
  </w:footnote>
  <w:footnote w:id="5">
    <w:p w:rsidR="003C5BAD" w:rsidRPr="00E73BBD" w:rsidRDefault="003C5BAD" w:rsidP="00DC0E99">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E99">
        <w:rPr>
          <w:lang w:val="fr-CA"/>
        </w:rPr>
        <w:tab/>
      </w:r>
      <w:r w:rsidRPr="00E73BBD">
        <w:rPr>
          <w:i/>
          <w:lang w:val="fr-CA"/>
        </w:rPr>
        <w:t>Cooper</w:t>
      </w:r>
      <w:r w:rsidRPr="00E73BBD">
        <w:rPr>
          <w:lang w:val="fr-CA"/>
        </w:rPr>
        <w:t>,</w:t>
      </w:r>
      <w:r w:rsidRPr="00E73BBD">
        <w:rPr>
          <w:i/>
          <w:lang w:val="fr-CA"/>
        </w:rPr>
        <w:t xml:space="preserve"> </w:t>
      </w:r>
      <w:r>
        <w:rPr>
          <w:lang w:val="fr-CA"/>
        </w:rPr>
        <w:t>par. </w:t>
      </w:r>
      <w:r w:rsidRPr="00E73BBD">
        <w:rPr>
          <w:lang w:val="fr-CA"/>
        </w:rPr>
        <w:t xml:space="preserve">36 et 39; </w:t>
      </w:r>
      <w:r w:rsidRPr="00B01BB6">
        <w:rPr>
          <w:i/>
          <w:lang w:val="fr-CA"/>
        </w:rPr>
        <w:t>Edwards</w:t>
      </w:r>
      <w:r w:rsidRPr="00E73BBD">
        <w:rPr>
          <w:lang w:val="fr-CA"/>
        </w:rPr>
        <w:t xml:space="preserve">, </w:t>
      </w:r>
      <w:r>
        <w:rPr>
          <w:lang w:val="fr-CA"/>
        </w:rPr>
        <w:t>par. </w:t>
      </w:r>
      <w:r w:rsidR="00AC7F39">
        <w:rPr>
          <w:lang w:val="fr-CA"/>
        </w:rPr>
        <w:t>9-</w:t>
      </w:r>
      <w:r w:rsidRPr="00E73BBD">
        <w:rPr>
          <w:lang w:val="fr-CA"/>
        </w:rPr>
        <w:t xml:space="preserve">10; </w:t>
      </w:r>
      <w:r w:rsidRPr="00E73BBD">
        <w:rPr>
          <w:i/>
          <w:lang w:val="fr-CA"/>
        </w:rPr>
        <w:t xml:space="preserve">Childs </w:t>
      </w:r>
      <w:r>
        <w:rPr>
          <w:i/>
          <w:lang w:val="fr-CA"/>
        </w:rPr>
        <w:t>c.</w:t>
      </w:r>
      <w:r w:rsidRPr="00E73BBD">
        <w:rPr>
          <w:i/>
          <w:lang w:val="fr-CA"/>
        </w:rPr>
        <w:t xml:space="preserve"> Desormeaux</w:t>
      </w:r>
      <w:r w:rsidRPr="00E73BBD">
        <w:rPr>
          <w:lang w:val="fr-CA"/>
        </w:rPr>
        <w:t xml:space="preserve">, 2006 CSC 18, </w:t>
      </w:r>
      <w:r>
        <w:rPr>
          <w:lang w:val="fr-CA"/>
        </w:rPr>
        <w:t>[2006] 1 R.C.S. 643, par. </w:t>
      </w:r>
      <w:r w:rsidRPr="00E73BBD">
        <w:rPr>
          <w:lang w:val="fr-CA"/>
        </w:rPr>
        <w:t xml:space="preserve">15; </w:t>
      </w:r>
      <w:r w:rsidRPr="00E73BBD">
        <w:rPr>
          <w:i/>
          <w:lang w:val="fr-CA"/>
        </w:rPr>
        <w:t>Mustapha</w:t>
      </w:r>
      <w:r w:rsidRPr="00E73BBD">
        <w:rPr>
          <w:lang w:val="fr-CA"/>
        </w:rPr>
        <w:t>,</w:t>
      </w:r>
      <w:r w:rsidRPr="00E73BBD">
        <w:rPr>
          <w:i/>
          <w:lang w:val="fr-CA"/>
        </w:rPr>
        <w:t xml:space="preserve"> </w:t>
      </w:r>
      <w:r>
        <w:rPr>
          <w:lang w:val="fr-CA"/>
        </w:rPr>
        <w:t>par. </w:t>
      </w:r>
      <w:r w:rsidRPr="00E73BBD">
        <w:rPr>
          <w:lang w:val="fr-CA"/>
        </w:rPr>
        <w:t xml:space="preserve">6; </w:t>
      </w:r>
      <w:r w:rsidRPr="00E73BBD">
        <w:rPr>
          <w:i/>
          <w:lang w:val="fr-CA"/>
        </w:rPr>
        <w:t>Livent</w:t>
      </w:r>
      <w:r w:rsidRPr="00E73BBD">
        <w:rPr>
          <w:lang w:val="fr-CA"/>
        </w:rPr>
        <w:t xml:space="preserve">, </w:t>
      </w:r>
      <w:r>
        <w:rPr>
          <w:lang w:val="fr-CA"/>
        </w:rPr>
        <w:t>par. </w:t>
      </w:r>
      <w:r w:rsidRPr="00E73BBD">
        <w:rPr>
          <w:lang w:val="fr-CA"/>
        </w:rPr>
        <w:t>26.</w:t>
      </w:r>
    </w:p>
  </w:footnote>
  <w:footnote w:id="6">
    <w:p w:rsidR="003C5BAD" w:rsidRPr="00E73BBD" w:rsidRDefault="003C5BAD" w:rsidP="00DC0E99">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E99">
        <w:rPr>
          <w:lang w:val="fr-CA"/>
        </w:rPr>
        <w:tab/>
      </w:r>
      <w:r w:rsidRPr="00E73BBD">
        <w:rPr>
          <w:i/>
          <w:lang w:val="fr-CA"/>
        </w:rPr>
        <w:t>I</w:t>
      </w:r>
      <w:r w:rsidR="00B41F47">
        <w:rPr>
          <w:i/>
          <w:lang w:val="fr-CA"/>
        </w:rPr>
        <w:t>b</w:t>
      </w:r>
      <w:r>
        <w:rPr>
          <w:i/>
          <w:lang w:val="fr-CA"/>
        </w:rPr>
        <w:t>id</w:t>
      </w:r>
      <w:r w:rsidRPr="00F63A41">
        <w:rPr>
          <w:i/>
          <w:lang w:val="fr-CA"/>
        </w:rPr>
        <w:t>.</w:t>
      </w:r>
    </w:p>
  </w:footnote>
  <w:footnote w:id="7">
    <w:p w:rsidR="003C5BAD" w:rsidRPr="00E73BBD" w:rsidRDefault="003C5BAD" w:rsidP="00DC0E99">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E99">
        <w:rPr>
          <w:lang w:val="fr-CA"/>
        </w:rPr>
        <w:tab/>
      </w:r>
      <w:r w:rsidRPr="00E73BBD">
        <w:rPr>
          <w:i/>
          <w:lang w:val="fr-CA"/>
        </w:rPr>
        <w:t>Cooper</w:t>
      </w:r>
      <w:r w:rsidRPr="00E73BBD">
        <w:rPr>
          <w:lang w:val="fr-CA"/>
        </w:rPr>
        <w:t xml:space="preserve">, </w:t>
      </w:r>
      <w:r>
        <w:rPr>
          <w:lang w:val="fr-CA"/>
        </w:rPr>
        <w:t>par. </w:t>
      </w:r>
      <w:r w:rsidRPr="00E73BBD">
        <w:rPr>
          <w:lang w:val="fr-CA"/>
        </w:rPr>
        <w:t>39;</w:t>
      </w:r>
      <w:r w:rsidRPr="00E73BBD">
        <w:rPr>
          <w:i/>
          <w:lang w:val="fr-CA"/>
        </w:rPr>
        <w:t xml:space="preserve"> Edwards</w:t>
      </w:r>
      <w:r w:rsidRPr="00E73BBD">
        <w:rPr>
          <w:lang w:val="fr-CA"/>
        </w:rPr>
        <w:t xml:space="preserve">, </w:t>
      </w:r>
      <w:r>
        <w:rPr>
          <w:lang w:val="fr-CA"/>
        </w:rPr>
        <w:t>par. </w:t>
      </w:r>
      <w:r w:rsidRPr="00E73BBD">
        <w:rPr>
          <w:lang w:val="fr-CA"/>
        </w:rPr>
        <w:t xml:space="preserve">10; </w:t>
      </w:r>
      <w:r w:rsidRPr="00E73BBD">
        <w:rPr>
          <w:i/>
          <w:lang w:val="fr-CA"/>
        </w:rPr>
        <w:t>Childs</w:t>
      </w:r>
      <w:r w:rsidRPr="00E73BBD">
        <w:rPr>
          <w:lang w:val="fr-CA"/>
        </w:rPr>
        <w:t xml:space="preserve">, </w:t>
      </w:r>
      <w:r>
        <w:rPr>
          <w:lang w:val="fr-CA"/>
        </w:rPr>
        <w:t>par. </w:t>
      </w:r>
      <w:r w:rsidRPr="00E73BBD">
        <w:rPr>
          <w:lang w:val="fr-CA"/>
        </w:rPr>
        <w:t xml:space="preserve">23; </w:t>
      </w:r>
      <w:r w:rsidRPr="00E73BBD">
        <w:rPr>
          <w:i/>
          <w:lang w:val="fr-CA"/>
        </w:rPr>
        <w:t>Livent</w:t>
      </w:r>
      <w:r w:rsidRPr="00E73BBD">
        <w:rPr>
          <w:lang w:val="fr-CA"/>
        </w:rPr>
        <w:t xml:space="preserve">, </w:t>
      </w:r>
      <w:r>
        <w:rPr>
          <w:lang w:val="fr-CA"/>
        </w:rPr>
        <w:t>par. </w:t>
      </w:r>
      <w:r w:rsidRPr="00E73BBD">
        <w:rPr>
          <w:lang w:val="fr-CA"/>
        </w:rPr>
        <w:t>29.</w:t>
      </w:r>
    </w:p>
  </w:footnote>
  <w:footnote w:id="8">
    <w:p w:rsidR="003C5BAD" w:rsidRPr="00E73BBD" w:rsidRDefault="003C5BAD" w:rsidP="00B41F47">
      <w:pPr>
        <w:pStyle w:val="FootnoteText"/>
        <w:rPr>
          <w:lang w:val="fr-CA"/>
        </w:rPr>
      </w:pPr>
      <w:r w:rsidRPr="00E73BBD">
        <w:rPr>
          <w:rStyle w:val="FootnoteReference"/>
          <w:lang w:val="fr-CA"/>
        </w:rPr>
        <w:footnoteRef/>
      </w:r>
      <w:r>
        <w:rPr>
          <w:lang w:val="fr-CA"/>
        </w:rPr>
        <w:t xml:space="preserve"> </w:t>
      </w:r>
      <w:r w:rsidR="00B41F47">
        <w:rPr>
          <w:lang w:val="fr-CA"/>
        </w:rPr>
        <w:tab/>
      </w:r>
      <w:r w:rsidRPr="00E73BBD">
        <w:rPr>
          <w:i/>
          <w:lang w:val="fr-CA"/>
        </w:rPr>
        <w:t>Childs</w:t>
      </w:r>
      <w:r w:rsidRPr="00E73BBD">
        <w:rPr>
          <w:lang w:val="fr-CA"/>
        </w:rPr>
        <w:t>,</w:t>
      </w:r>
      <w:r w:rsidRPr="00E73BBD">
        <w:rPr>
          <w:i/>
          <w:lang w:val="fr-CA"/>
        </w:rPr>
        <w:t xml:space="preserve"> </w:t>
      </w:r>
      <w:r>
        <w:rPr>
          <w:lang w:val="fr-CA"/>
        </w:rPr>
        <w:t>par. </w:t>
      </w:r>
      <w:r w:rsidRPr="00E73BBD">
        <w:rPr>
          <w:lang w:val="fr-CA"/>
        </w:rPr>
        <w:t>31. Voir également A.</w:t>
      </w:r>
      <w:r>
        <w:rPr>
          <w:lang w:val="fr-CA"/>
        </w:rPr>
        <w:t> M. </w:t>
      </w:r>
      <w:r w:rsidRPr="00E73BBD">
        <w:rPr>
          <w:lang w:val="fr-CA"/>
        </w:rPr>
        <w:t xml:space="preserve">Linden </w:t>
      </w:r>
      <w:r>
        <w:rPr>
          <w:lang w:val="fr-CA"/>
        </w:rPr>
        <w:t>et</w:t>
      </w:r>
      <w:r w:rsidRPr="00E73BBD">
        <w:rPr>
          <w:lang w:val="fr-CA"/>
        </w:rPr>
        <w:t xml:space="preserve"> B.</w:t>
      </w:r>
      <w:r>
        <w:rPr>
          <w:lang w:val="fr-CA"/>
        </w:rPr>
        <w:t> </w:t>
      </w:r>
      <w:r w:rsidRPr="00E73BBD">
        <w:rPr>
          <w:lang w:val="fr-CA"/>
        </w:rPr>
        <w:t xml:space="preserve">Feldthusen, </w:t>
      </w:r>
      <w:r w:rsidRPr="00E73BBD">
        <w:rPr>
          <w:i/>
          <w:lang w:val="fr-CA"/>
        </w:rPr>
        <w:t>Canadian Tort Law</w:t>
      </w:r>
      <w:r w:rsidRPr="00E73BBD">
        <w:rPr>
          <w:lang w:val="fr-CA"/>
        </w:rPr>
        <w:t xml:space="preserve"> (10</w:t>
      </w:r>
      <w:r w:rsidRPr="00E73BBD">
        <w:rPr>
          <w:vertAlign w:val="superscript"/>
          <w:lang w:val="fr-CA"/>
        </w:rPr>
        <w:t>e</w:t>
      </w:r>
      <w:r>
        <w:rPr>
          <w:lang w:val="fr-CA"/>
        </w:rPr>
        <w:t> </w:t>
      </w:r>
      <w:r w:rsidRPr="00E73BBD">
        <w:rPr>
          <w:lang w:val="fr-CA"/>
        </w:rPr>
        <w:t>éd. 2015</w:t>
      </w:r>
      <w:r>
        <w:rPr>
          <w:lang w:val="fr-CA"/>
        </w:rPr>
        <w:t>)</w:t>
      </w:r>
      <w:r w:rsidR="006A4031">
        <w:rPr>
          <w:lang w:val="fr-CA"/>
        </w:rPr>
        <w:t>, §</w:t>
      </w:r>
      <w:r w:rsidRPr="00E73BBD">
        <w:rPr>
          <w:lang w:val="fr-CA"/>
        </w:rPr>
        <w:t>9.57.</w:t>
      </w:r>
    </w:p>
  </w:footnote>
  <w:footnote w:id="9">
    <w:p w:rsidR="003C5BAD" w:rsidRPr="00E73BBD" w:rsidRDefault="003C5BAD" w:rsidP="00B41F47">
      <w:pPr>
        <w:pStyle w:val="FootnoteText"/>
        <w:rPr>
          <w:lang w:val="fr-CA"/>
        </w:rPr>
      </w:pPr>
      <w:r w:rsidRPr="00E73BBD">
        <w:rPr>
          <w:rStyle w:val="FootnoteReference"/>
          <w:lang w:val="fr-CA"/>
        </w:rPr>
        <w:footnoteRef/>
      </w:r>
      <w:r>
        <w:rPr>
          <w:lang w:val="fr-CA"/>
        </w:rPr>
        <w:t xml:space="preserve"> </w:t>
      </w:r>
      <w:r w:rsidR="00B41F47">
        <w:rPr>
          <w:lang w:val="fr-CA"/>
        </w:rPr>
        <w:tab/>
      </w:r>
      <w:r>
        <w:rPr>
          <w:lang w:val="fr-CA"/>
        </w:rPr>
        <w:t>par. </w:t>
      </w:r>
      <w:r w:rsidRPr="00E73BBD">
        <w:rPr>
          <w:lang w:val="fr-CA"/>
        </w:rPr>
        <w:t xml:space="preserve">28 </w:t>
      </w:r>
      <w:r>
        <w:rPr>
          <w:lang w:val="fr-CA"/>
        </w:rPr>
        <w:t>(je souligne)</w:t>
      </w:r>
      <w:r w:rsidRPr="00E73BBD">
        <w:rPr>
          <w:lang w:val="fr-CA"/>
        </w:rPr>
        <w:t>.</w:t>
      </w:r>
    </w:p>
  </w:footnote>
  <w:footnote w:id="10">
    <w:p w:rsidR="003C5BAD" w:rsidRPr="0050266A" w:rsidRDefault="003C5BAD" w:rsidP="003C5BAD">
      <w:pPr>
        <w:pStyle w:val="FootnoteText"/>
        <w:spacing w:after="120"/>
        <w:rPr>
          <w:lang w:val="fr-CA"/>
        </w:rPr>
      </w:pPr>
      <w:r>
        <w:rPr>
          <w:rStyle w:val="FootnoteReference"/>
        </w:rPr>
        <w:footnoteRef/>
      </w:r>
      <w:r w:rsidRPr="00573540">
        <w:rPr>
          <w:lang w:val="fr-CA"/>
        </w:rPr>
        <w:t xml:space="preserve"> </w:t>
      </w:r>
      <w:r w:rsidR="00B41F47">
        <w:rPr>
          <w:lang w:val="fr-CA"/>
        </w:rPr>
        <w:tab/>
      </w:r>
      <w:r>
        <w:rPr>
          <w:lang w:val="fr-CA"/>
        </w:rPr>
        <w:t>par</w:t>
      </w:r>
      <w:r w:rsidRPr="0050266A">
        <w:rPr>
          <w:lang w:val="fr-CA"/>
        </w:rPr>
        <w:t>. 23 et 55.</w:t>
      </w:r>
    </w:p>
  </w:footnote>
  <w:footnote w:id="11">
    <w:p w:rsidR="003C5BAD" w:rsidRPr="00E73BBD" w:rsidRDefault="003C5BAD" w:rsidP="00B41F47">
      <w:pPr>
        <w:pStyle w:val="FootnoteText"/>
        <w:rPr>
          <w:lang w:val="fr-CA"/>
        </w:rPr>
      </w:pPr>
      <w:r w:rsidRPr="0050266A">
        <w:rPr>
          <w:rStyle w:val="FootnoteReference"/>
          <w:lang w:val="fr-CA"/>
        </w:rPr>
        <w:footnoteRef/>
      </w:r>
      <w:r w:rsidRPr="0050266A">
        <w:rPr>
          <w:lang w:val="fr-CA"/>
        </w:rPr>
        <w:t xml:space="preserve"> </w:t>
      </w:r>
      <w:r w:rsidR="00B41F47">
        <w:rPr>
          <w:lang w:val="fr-CA"/>
        </w:rPr>
        <w:tab/>
      </w:r>
      <w:r w:rsidRPr="0050266A">
        <w:rPr>
          <w:i/>
          <w:lang w:val="fr-CA"/>
        </w:rPr>
        <w:t>Coop</w:t>
      </w:r>
      <w:r>
        <w:rPr>
          <w:i/>
          <w:lang w:val="fr-CA"/>
        </w:rPr>
        <w:t>e</w:t>
      </w:r>
      <w:r w:rsidRPr="0050266A">
        <w:rPr>
          <w:i/>
          <w:lang w:val="fr-CA"/>
        </w:rPr>
        <w:t>r</w:t>
      </w:r>
      <w:r w:rsidRPr="0050266A">
        <w:rPr>
          <w:lang w:val="fr-CA"/>
        </w:rPr>
        <w:t>,</w:t>
      </w:r>
      <w:r w:rsidRPr="0050266A">
        <w:rPr>
          <w:i/>
          <w:lang w:val="fr-CA"/>
        </w:rPr>
        <w:t xml:space="preserve"> </w:t>
      </w:r>
      <w:r w:rsidRPr="0050266A">
        <w:rPr>
          <w:lang w:val="fr-CA"/>
        </w:rPr>
        <w:t xml:space="preserve">par. 36 et 39; </w:t>
      </w:r>
      <w:r w:rsidRPr="0050266A">
        <w:rPr>
          <w:i/>
          <w:lang w:val="fr-CA"/>
        </w:rPr>
        <w:t>Edwards</w:t>
      </w:r>
      <w:r w:rsidRPr="0050266A">
        <w:rPr>
          <w:lang w:val="fr-CA"/>
        </w:rPr>
        <w:t xml:space="preserve">, par. 9 et </w:t>
      </w:r>
      <w:r w:rsidRPr="00E73BBD">
        <w:rPr>
          <w:lang w:val="fr-CA"/>
        </w:rPr>
        <w:t xml:space="preserve">10; </w:t>
      </w:r>
      <w:r w:rsidRPr="00E73BBD">
        <w:rPr>
          <w:i/>
          <w:lang w:val="fr-CA"/>
        </w:rPr>
        <w:t>Childs</w:t>
      </w:r>
      <w:r w:rsidRPr="00E73BBD">
        <w:rPr>
          <w:lang w:val="fr-CA"/>
        </w:rPr>
        <w:t xml:space="preserve">, </w:t>
      </w:r>
      <w:r>
        <w:rPr>
          <w:lang w:val="fr-CA"/>
        </w:rPr>
        <w:t>par. </w:t>
      </w:r>
      <w:r w:rsidRPr="00E73BBD">
        <w:rPr>
          <w:lang w:val="fr-CA"/>
        </w:rPr>
        <w:t xml:space="preserve">15; </w:t>
      </w:r>
      <w:r w:rsidRPr="00E73BBD">
        <w:rPr>
          <w:i/>
          <w:lang w:val="fr-CA"/>
        </w:rPr>
        <w:t>Mustapha</w:t>
      </w:r>
      <w:r w:rsidRPr="00E73BBD">
        <w:rPr>
          <w:lang w:val="fr-CA"/>
        </w:rPr>
        <w:t>,</w:t>
      </w:r>
      <w:r w:rsidRPr="00E73BBD">
        <w:rPr>
          <w:i/>
          <w:lang w:val="fr-CA"/>
        </w:rPr>
        <w:t xml:space="preserve"> </w:t>
      </w:r>
      <w:r>
        <w:rPr>
          <w:lang w:val="fr-CA"/>
        </w:rPr>
        <w:t>par. </w:t>
      </w:r>
      <w:r w:rsidRPr="00E73BBD">
        <w:rPr>
          <w:lang w:val="fr-CA"/>
        </w:rPr>
        <w:t xml:space="preserve">6; </w:t>
      </w:r>
      <w:r w:rsidRPr="00E73BBD">
        <w:rPr>
          <w:i/>
          <w:lang w:val="fr-CA"/>
        </w:rPr>
        <w:t>Livent</w:t>
      </w:r>
      <w:r w:rsidRPr="00E73BBD">
        <w:rPr>
          <w:lang w:val="fr-CA"/>
        </w:rPr>
        <w:t xml:space="preserve">, </w:t>
      </w:r>
      <w:r>
        <w:rPr>
          <w:lang w:val="fr-CA"/>
        </w:rPr>
        <w:t>par. </w:t>
      </w:r>
      <w:r w:rsidRPr="00E73BBD">
        <w:rPr>
          <w:lang w:val="fr-CA"/>
        </w:rPr>
        <w:t>26.</w:t>
      </w:r>
    </w:p>
  </w:footnote>
  <w:footnote w:id="12">
    <w:p w:rsidR="003C5BAD" w:rsidRPr="00161E0E" w:rsidRDefault="003C5BAD" w:rsidP="00B41F47">
      <w:pPr>
        <w:pStyle w:val="FootnoteText"/>
        <w:rPr>
          <w:lang w:val="fr-CA"/>
        </w:rPr>
      </w:pPr>
      <w:r>
        <w:rPr>
          <w:rStyle w:val="FootnoteReference"/>
        </w:rPr>
        <w:footnoteRef/>
      </w:r>
      <w:r w:rsidRPr="00161E0E">
        <w:rPr>
          <w:lang w:val="fr-CA"/>
        </w:rPr>
        <w:t xml:space="preserve"> </w:t>
      </w:r>
      <w:r w:rsidR="00B41F47">
        <w:rPr>
          <w:lang w:val="fr-CA"/>
        </w:rPr>
        <w:tab/>
      </w:r>
      <w:r>
        <w:rPr>
          <w:lang w:val="fr-CA"/>
        </w:rPr>
        <w:t>par. 28.</w:t>
      </w:r>
    </w:p>
  </w:footnote>
  <w:footnote w:id="13">
    <w:p w:rsidR="003C5BAD" w:rsidRPr="00463351" w:rsidRDefault="003C5BAD" w:rsidP="00B41F47">
      <w:pPr>
        <w:pStyle w:val="FootnoteText"/>
        <w:rPr>
          <w:lang w:val="fr-CA"/>
        </w:rPr>
      </w:pPr>
      <w:r>
        <w:rPr>
          <w:rStyle w:val="FootnoteReference"/>
        </w:rPr>
        <w:footnoteRef/>
      </w:r>
      <w:r w:rsidRPr="00463351">
        <w:rPr>
          <w:lang w:val="fr-CA"/>
        </w:rPr>
        <w:t xml:space="preserve"> </w:t>
      </w:r>
      <w:r w:rsidR="00B41F47">
        <w:rPr>
          <w:lang w:val="fr-CA"/>
        </w:rPr>
        <w:tab/>
      </w:r>
      <w:r w:rsidRPr="00B05BE6">
        <w:rPr>
          <w:i/>
          <w:lang w:val="fr-CA"/>
        </w:rPr>
        <w:t>Ibid</w:t>
      </w:r>
      <w:r>
        <w:rPr>
          <w:lang w:val="fr-CA"/>
        </w:rPr>
        <w:t>.</w:t>
      </w:r>
    </w:p>
  </w:footnote>
  <w:footnote w:id="14">
    <w:p w:rsidR="003C5BAD" w:rsidRPr="00161E0E" w:rsidRDefault="003C5BAD" w:rsidP="003C5BAD">
      <w:pPr>
        <w:pStyle w:val="FootnoteText"/>
        <w:spacing w:after="120"/>
        <w:rPr>
          <w:lang w:val="fr-CA"/>
        </w:rPr>
      </w:pPr>
      <w:r>
        <w:rPr>
          <w:rStyle w:val="FootnoteReference"/>
        </w:rPr>
        <w:footnoteRef/>
      </w:r>
      <w:r>
        <w:rPr>
          <w:lang w:val="fr-CA"/>
        </w:rPr>
        <w:t xml:space="preserve"> </w:t>
      </w:r>
      <w:r w:rsidR="00B41F47">
        <w:rPr>
          <w:lang w:val="fr-CA"/>
        </w:rPr>
        <w:tab/>
      </w:r>
      <w:r>
        <w:rPr>
          <w:lang w:val="fr-CA"/>
        </w:rPr>
        <w:t>par. 27.</w:t>
      </w:r>
    </w:p>
  </w:footnote>
  <w:footnote w:id="15">
    <w:p w:rsidR="003C5BAD" w:rsidRPr="00161E0E" w:rsidRDefault="003C5BAD" w:rsidP="00DC0C95">
      <w:pPr>
        <w:pStyle w:val="FootnoteText"/>
        <w:rPr>
          <w:lang w:val="fr-CA"/>
        </w:rPr>
      </w:pPr>
      <w:r>
        <w:rPr>
          <w:rStyle w:val="FootnoteReference"/>
        </w:rPr>
        <w:footnoteRef/>
      </w:r>
      <w:r w:rsidRPr="00161E0E">
        <w:rPr>
          <w:lang w:val="fr-CA"/>
        </w:rPr>
        <w:t xml:space="preserve"> </w:t>
      </w:r>
      <w:r w:rsidRPr="00D64024">
        <w:rPr>
          <w:lang w:val="fr-CA"/>
        </w:rPr>
        <w:t>par. 23 et 55.</w:t>
      </w:r>
    </w:p>
  </w:footnote>
  <w:footnote w:id="16">
    <w:p w:rsidR="003C5BAD" w:rsidRPr="006627CC" w:rsidRDefault="003C5BAD" w:rsidP="00DC0C95">
      <w:pPr>
        <w:pStyle w:val="FootnoteText"/>
        <w:rPr>
          <w:lang w:val="fr-CA"/>
        </w:rPr>
      </w:pPr>
      <w:r>
        <w:rPr>
          <w:rStyle w:val="FootnoteReference"/>
        </w:rPr>
        <w:footnoteRef/>
      </w:r>
      <w:r w:rsidRPr="006627CC">
        <w:rPr>
          <w:lang w:val="fr-CA"/>
        </w:rPr>
        <w:t xml:space="preserve"> </w:t>
      </w:r>
      <w:r w:rsidRPr="006627CC">
        <w:rPr>
          <w:i/>
          <w:lang w:val="fr-CA"/>
        </w:rPr>
        <w:t>Cooper</w:t>
      </w:r>
      <w:r w:rsidRPr="006627CC">
        <w:rPr>
          <w:lang w:val="fr-CA"/>
        </w:rPr>
        <w:t xml:space="preserve">, </w:t>
      </w:r>
      <w:r>
        <w:rPr>
          <w:lang w:val="fr-CA"/>
        </w:rPr>
        <w:t>par. </w:t>
      </w:r>
      <w:r w:rsidRPr="006627CC">
        <w:rPr>
          <w:lang w:val="fr-CA"/>
        </w:rPr>
        <w:t xml:space="preserve">36; </w:t>
      </w:r>
      <w:r w:rsidRPr="006627CC">
        <w:rPr>
          <w:i/>
          <w:lang w:val="fr-CA"/>
        </w:rPr>
        <w:t>Childs</w:t>
      </w:r>
      <w:r w:rsidRPr="006627CC">
        <w:rPr>
          <w:lang w:val="fr-CA"/>
        </w:rPr>
        <w:t xml:space="preserve">, </w:t>
      </w:r>
      <w:r>
        <w:rPr>
          <w:lang w:val="fr-CA"/>
        </w:rPr>
        <w:t>par. </w:t>
      </w:r>
      <w:r w:rsidRPr="006627CC">
        <w:rPr>
          <w:lang w:val="fr-CA"/>
        </w:rPr>
        <w:t>31.</w:t>
      </w:r>
    </w:p>
  </w:footnote>
  <w:footnote w:id="17">
    <w:p w:rsidR="003C5BAD" w:rsidRPr="006627CC" w:rsidRDefault="003C5BAD" w:rsidP="00DC0C95">
      <w:pPr>
        <w:pStyle w:val="FootnoteText"/>
        <w:rPr>
          <w:lang w:val="fr-CA"/>
        </w:rPr>
      </w:pPr>
      <w:r>
        <w:rPr>
          <w:rStyle w:val="FootnoteReference"/>
        </w:rPr>
        <w:footnoteRef/>
      </w:r>
      <w:r w:rsidRPr="006627CC">
        <w:rPr>
          <w:lang w:val="fr-CA"/>
        </w:rPr>
        <w:t xml:space="preserve"> L. N. Klar et </w:t>
      </w:r>
      <w:r>
        <w:rPr>
          <w:lang w:val="fr-CA"/>
        </w:rPr>
        <w:t>C.</w:t>
      </w:r>
      <w:r w:rsidRPr="006627CC">
        <w:rPr>
          <w:lang w:val="fr-CA"/>
        </w:rPr>
        <w:t xml:space="preserve"> S. G. Jefferies, </w:t>
      </w:r>
      <w:r w:rsidRPr="006627CC">
        <w:rPr>
          <w:i/>
          <w:lang w:val="fr-CA"/>
        </w:rPr>
        <w:t>Tort Law</w:t>
      </w:r>
      <w:r w:rsidRPr="006627CC">
        <w:rPr>
          <w:lang w:val="fr-CA"/>
        </w:rPr>
        <w:t xml:space="preserve"> (6</w:t>
      </w:r>
      <w:r w:rsidRPr="00197E71">
        <w:rPr>
          <w:vertAlign w:val="superscript"/>
          <w:lang w:val="fr-CA"/>
        </w:rPr>
        <w:t>e</w:t>
      </w:r>
      <w:r w:rsidRPr="006627CC">
        <w:rPr>
          <w:lang w:val="fr-CA"/>
        </w:rPr>
        <w:t xml:space="preserve"> </w:t>
      </w:r>
      <w:r>
        <w:rPr>
          <w:lang w:val="fr-CA"/>
        </w:rPr>
        <w:t>é</w:t>
      </w:r>
      <w:r w:rsidRPr="006627CC">
        <w:rPr>
          <w:lang w:val="fr-CA"/>
        </w:rPr>
        <w:t xml:space="preserve">d. 2017), </w:t>
      </w:r>
      <w:r>
        <w:rPr>
          <w:lang w:val="fr-CA"/>
        </w:rPr>
        <w:t>p. 210</w:t>
      </w:r>
      <w:r>
        <w:rPr>
          <w:lang w:val="fr-CA"/>
        </w:rPr>
        <w:noBreakHyphen/>
        <w:t>211</w:t>
      </w:r>
      <w:r w:rsidR="00DC0C95">
        <w:rPr>
          <w:lang w:val="fr-CA"/>
        </w:rPr>
        <w:t>,</w:t>
      </w:r>
      <w:r>
        <w:rPr>
          <w:lang w:val="fr-CA"/>
        </w:rPr>
        <w:t xml:space="preserve"> et note de bas de page </w:t>
      </w:r>
      <w:r w:rsidRPr="006627CC">
        <w:rPr>
          <w:lang w:val="fr-CA"/>
        </w:rPr>
        <w:t>60.</w:t>
      </w:r>
    </w:p>
  </w:footnote>
  <w:footnote w:id="18">
    <w:p w:rsidR="003C5BAD" w:rsidRPr="00CE3B66" w:rsidRDefault="003C5BAD" w:rsidP="00DC0C95">
      <w:pPr>
        <w:pStyle w:val="FootnoteText"/>
        <w:rPr>
          <w:lang w:val="fr-CA"/>
        </w:rPr>
      </w:pPr>
      <w:r>
        <w:rPr>
          <w:rStyle w:val="FootnoteReference"/>
        </w:rPr>
        <w:footnoteRef/>
      </w:r>
      <w:r w:rsidRPr="00CE3B66">
        <w:rPr>
          <w:lang w:val="fr-CA"/>
        </w:rPr>
        <w:t xml:space="preserve"> Linden et Feldthusen, §9.57.</w:t>
      </w:r>
    </w:p>
  </w:footnote>
  <w:footnote w:id="19">
    <w:p w:rsidR="003C5BAD" w:rsidRPr="00CE3B66" w:rsidRDefault="003C5BAD" w:rsidP="00DC0C95">
      <w:pPr>
        <w:pStyle w:val="FootnoteText"/>
        <w:rPr>
          <w:lang w:val="fr-CA"/>
        </w:rPr>
      </w:pPr>
      <w:r>
        <w:rPr>
          <w:rStyle w:val="FootnoteReference"/>
        </w:rPr>
        <w:footnoteRef/>
      </w:r>
      <w:r w:rsidRPr="00CE3B66">
        <w:rPr>
          <w:lang w:val="fr-CA"/>
        </w:rPr>
        <w:t xml:space="preserve"> par. 27.</w:t>
      </w:r>
    </w:p>
  </w:footnote>
  <w:footnote w:id="20">
    <w:p w:rsidR="003C5BAD" w:rsidRPr="00CE3B66" w:rsidRDefault="003C5BAD" w:rsidP="00DC0C95">
      <w:pPr>
        <w:pStyle w:val="FootnoteText"/>
        <w:rPr>
          <w:lang w:val="fr-CA"/>
        </w:rPr>
      </w:pPr>
      <w:r w:rsidRPr="00835D5A">
        <w:rPr>
          <w:rStyle w:val="FootnoteReference"/>
        </w:rPr>
        <w:footnoteRef/>
      </w:r>
      <w:r w:rsidRPr="00CE3B66">
        <w:rPr>
          <w:lang w:val="fr-CA"/>
        </w:rPr>
        <w:t xml:space="preserve"> </w:t>
      </w:r>
      <w:r w:rsidRPr="00CE3B66">
        <w:rPr>
          <w:i/>
          <w:lang w:val="fr-CA"/>
        </w:rPr>
        <w:t>Livent</w:t>
      </w:r>
      <w:r w:rsidRPr="00CE3B66">
        <w:rPr>
          <w:lang w:val="fr-CA"/>
        </w:rPr>
        <w:t>, par. 28.</w:t>
      </w:r>
    </w:p>
  </w:footnote>
  <w:footnote w:id="21">
    <w:p w:rsidR="003C5BAD" w:rsidRPr="00C45E49" w:rsidRDefault="003C5BAD" w:rsidP="00DC0C95">
      <w:pPr>
        <w:pStyle w:val="FootnoteText"/>
        <w:tabs>
          <w:tab w:val="clear" w:pos="180"/>
          <w:tab w:val="left" w:pos="270"/>
        </w:tabs>
        <w:ind w:left="270" w:hanging="270"/>
      </w:pPr>
      <w:r>
        <w:rPr>
          <w:rStyle w:val="FootnoteReference"/>
        </w:rPr>
        <w:footnoteRef/>
      </w:r>
      <w:r>
        <w:t xml:space="preserve"> </w:t>
      </w:r>
      <w:r w:rsidR="00DC0C95">
        <w:tab/>
      </w:r>
      <w:r w:rsidRPr="007A6285">
        <w:t>[1932] A.</w:t>
      </w:r>
      <w:r>
        <w:t>C</w:t>
      </w:r>
      <w:r w:rsidR="00B01BB6">
        <w:t>.</w:t>
      </w:r>
      <w:r w:rsidRPr="007A6285">
        <w:t xml:space="preserve"> 562 (H.L.)</w:t>
      </w:r>
      <w:r w:rsidR="00B01BB6">
        <w:t>.</w:t>
      </w:r>
    </w:p>
  </w:footnote>
  <w:footnote w:id="22">
    <w:p w:rsidR="003C5BAD" w:rsidRPr="008A4CA4" w:rsidRDefault="003C5BAD" w:rsidP="00DC0C95">
      <w:pPr>
        <w:pStyle w:val="FootnoteText"/>
        <w:tabs>
          <w:tab w:val="clear" w:pos="180"/>
          <w:tab w:val="left" w:pos="270"/>
        </w:tabs>
        <w:ind w:left="270" w:hanging="270"/>
      </w:pPr>
      <w:r>
        <w:rPr>
          <w:rStyle w:val="FootnoteReference"/>
        </w:rPr>
        <w:footnoteRef/>
      </w:r>
      <w:r>
        <w:t xml:space="preserve"> </w:t>
      </w:r>
      <w:r w:rsidR="00DC0C95">
        <w:tab/>
      </w:r>
      <w:r w:rsidR="001B13B9">
        <w:t>S. R. Perry, « </w:t>
      </w:r>
      <w:r>
        <w:t>Protected Interests and Undert</w:t>
      </w:r>
      <w:r w:rsidR="001B13B9">
        <w:t>akings in the Law of negligence </w:t>
      </w:r>
      <w:r w:rsidR="008B51FF">
        <w:t>»</w:t>
      </w:r>
      <w:r>
        <w:t xml:space="preserve"> (1992), 42 </w:t>
      </w:r>
      <w:r w:rsidRPr="008C5F50">
        <w:rPr>
          <w:i/>
        </w:rPr>
        <w:t>U.T.L.</w:t>
      </w:r>
      <w:r>
        <w:rPr>
          <w:i/>
        </w:rPr>
        <w:t>J.</w:t>
      </w:r>
      <w:r>
        <w:t xml:space="preserve"> 247, p. 252.</w:t>
      </w:r>
    </w:p>
  </w:footnote>
  <w:footnote w:id="23">
    <w:p w:rsidR="003C5BAD" w:rsidRPr="008A4CA4" w:rsidRDefault="003C5BAD" w:rsidP="00DC0C95">
      <w:pPr>
        <w:pStyle w:val="FootnoteText"/>
        <w:tabs>
          <w:tab w:val="clear" w:pos="180"/>
          <w:tab w:val="left" w:pos="270"/>
        </w:tabs>
        <w:ind w:left="270" w:hanging="270"/>
        <w:rPr>
          <w:lang w:val="en-US"/>
        </w:rPr>
      </w:pPr>
      <w:r w:rsidRPr="00E73BBD">
        <w:rPr>
          <w:rStyle w:val="FootnoteReference"/>
          <w:lang w:val="fr-CA"/>
        </w:rPr>
        <w:footnoteRef/>
      </w:r>
      <w:r w:rsidRPr="008A4CA4">
        <w:rPr>
          <w:lang w:val="en-US"/>
        </w:rPr>
        <w:t xml:space="preserve"> </w:t>
      </w:r>
      <w:r w:rsidR="00DC0C95">
        <w:rPr>
          <w:lang w:val="en-US"/>
        </w:rPr>
        <w:tab/>
      </w:r>
      <w:r w:rsidRPr="008A4CA4">
        <w:rPr>
          <w:lang w:val="en-US"/>
        </w:rPr>
        <w:t xml:space="preserve">Linden </w:t>
      </w:r>
      <w:r>
        <w:rPr>
          <w:lang w:val="en-US"/>
        </w:rPr>
        <w:t>et</w:t>
      </w:r>
      <w:r w:rsidR="00E63864">
        <w:rPr>
          <w:lang w:val="en-US"/>
        </w:rPr>
        <w:t xml:space="preserve"> Feldthusen, §</w:t>
      </w:r>
      <w:r w:rsidRPr="008A4CA4">
        <w:rPr>
          <w:lang w:val="en-US"/>
        </w:rPr>
        <w:t xml:space="preserve">9.59; Klar et </w:t>
      </w:r>
      <w:r w:rsidRPr="006C4B65">
        <w:t>Jefferies</w:t>
      </w:r>
      <w:r w:rsidRPr="008A4CA4">
        <w:rPr>
          <w:lang w:val="en-US"/>
        </w:rPr>
        <w:t xml:space="preserve">, </w:t>
      </w:r>
      <w:r>
        <w:rPr>
          <w:lang w:val="en-US"/>
        </w:rPr>
        <w:t>p. </w:t>
      </w:r>
      <w:r w:rsidRPr="008A4CA4">
        <w:rPr>
          <w:lang w:val="en-US"/>
        </w:rPr>
        <w:t>211</w:t>
      </w:r>
      <w:r>
        <w:rPr>
          <w:lang w:val="en-US"/>
        </w:rPr>
        <w:noBreakHyphen/>
      </w:r>
      <w:r w:rsidRPr="008A4CA4">
        <w:rPr>
          <w:lang w:val="en-US"/>
        </w:rPr>
        <w:t xml:space="preserve">212; </w:t>
      </w:r>
      <w:r>
        <w:rPr>
          <w:lang w:val="en-US"/>
        </w:rPr>
        <w:t>P. </w:t>
      </w:r>
      <w:r w:rsidRPr="008A4CA4">
        <w:rPr>
          <w:lang w:val="en-US"/>
        </w:rPr>
        <w:t xml:space="preserve">H. Osborne, </w:t>
      </w:r>
      <w:r w:rsidRPr="008A4CA4">
        <w:rPr>
          <w:i/>
          <w:lang w:val="en-US"/>
        </w:rPr>
        <w:t xml:space="preserve">The Law of Torts </w:t>
      </w:r>
      <w:r w:rsidRPr="008A4CA4">
        <w:rPr>
          <w:lang w:val="en-US"/>
        </w:rPr>
        <w:t>(5</w:t>
      </w:r>
      <w:r w:rsidRPr="008A4CA4">
        <w:rPr>
          <w:vertAlign w:val="superscript"/>
          <w:lang w:val="en-US"/>
        </w:rPr>
        <w:t>e</w:t>
      </w:r>
      <w:r>
        <w:rPr>
          <w:lang w:val="en-US"/>
        </w:rPr>
        <w:t> </w:t>
      </w:r>
      <w:r w:rsidRPr="008A4CA4">
        <w:rPr>
          <w:lang w:val="en-US"/>
        </w:rPr>
        <w:t xml:space="preserve">éd. 2015), </w:t>
      </w:r>
      <w:r>
        <w:rPr>
          <w:lang w:val="en-US"/>
        </w:rPr>
        <w:t>p. </w:t>
      </w:r>
      <w:r w:rsidRPr="008A4CA4">
        <w:rPr>
          <w:lang w:val="en-US"/>
        </w:rPr>
        <w:t xml:space="preserve">75; </w:t>
      </w:r>
      <w:r w:rsidRPr="008A4CA4">
        <w:rPr>
          <w:i/>
          <w:lang w:val="en-US"/>
        </w:rPr>
        <w:t>Clerk &amp; Lindsell on Torts</w:t>
      </w:r>
      <w:r w:rsidRPr="008A4CA4">
        <w:rPr>
          <w:lang w:val="en-US"/>
        </w:rPr>
        <w:t xml:space="preserve"> (21</w:t>
      </w:r>
      <w:r w:rsidRPr="008A4CA4">
        <w:rPr>
          <w:vertAlign w:val="superscript"/>
          <w:lang w:val="en-US"/>
        </w:rPr>
        <w:t>e</w:t>
      </w:r>
      <w:r w:rsidRPr="008A4CA4">
        <w:rPr>
          <w:lang w:val="en-US"/>
        </w:rPr>
        <w:t xml:space="preserve"> éd. 2014), par M. A. Jones, </w:t>
      </w:r>
      <w:r>
        <w:rPr>
          <w:lang w:val="en-US"/>
        </w:rPr>
        <w:t>par. </w:t>
      </w:r>
      <w:r w:rsidRPr="008A4CA4">
        <w:rPr>
          <w:lang w:val="en-US"/>
        </w:rPr>
        <w:t>8</w:t>
      </w:r>
      <w:r>
        <w:rPr>
          <w:lang w:val="en-US"/>
        </w:rPr>
        <w:noBreakHyphen/>
      </w:r>
      <w:r w:rsidRPr="008A4CA4">
        <w:rPr>
          <w:lang w:val="en-US"/>
        </w:rPr>
        <w:t>08.</w:t>
      </w:r>
    </w:p>
  </w:footnote>
  <w:footnote w:id="24">
    <w:p w:rsidR="003C5BAD" w:rsidRPr="00E73BBD" w:rsidRDefault="003C5BAD" w:rsidP="00DC0C95">
      <w:pPr>
        <w:pStyle w:val="FootnoteText"/>
        <w:tabs>
          <w:tab w:val="clear" w:pos="180"/>
          <w:tab w:val="left" w:pos="270"/>
        </w:tabs>
        <w:ind w:left="270" w:hanging="270"/>
        <w:rPr>
          <w:i/>
          <w:lang w:val="fr-CA"/>
        </w:rPr>
      </w:pPr>
      <w:r w:rsidRPr="00E73BBD">
        <w:rPr>
          <w:rStyle w:val="FootnoteReference"/>
          <w:lang w:val="fr-CA"/>
        </w:rPr>
        <w:footnoteRef/>
      </w:r>
      <w:r w:rsidRPr="00E73BBD">
        <w:rPr>
          <w:lang w:val="fr-CA"/>
        </w:rPr>
        <w:t xml:space="preserve"> </w:t>
      </w:r>
      <w:r w:rsidR="00DC0C95">
        <w:rPr>
          <w:lang w:val="fr-CA"/>
        </w:rPr>
        <w:tab/>
      </w:r>
      <w:r w:rsidRPr="00E73BBD">
        <w:rPr>
          <w:i/>
          <w:lang w:val="fr-CA"/>
        </w:rPr>
        <w:t xml:space="preserve">Hill </w:t>
      </w:r>
      <w:r>
        <w:rPr>
          <w:i/>
          <w:lang w:val="fr-CA"/>
        </w:rPr>
        <w:t>c.</w:t>
      </w:r>
      <w:r w:rsidRPr="00E73BBD">
        <w:rPr>
          <w:i/>
          <w:lang w:val="fr-CA"/>
        </w:rPr>
        <w:t xml:space="preserve"> Commission des services policiers de la municipalité régionale de Hamilton</w:t>
      </w:r>
      <w:r>
        <w:rPr>
          <w:i/>
          <w:lang w:val="fr-CA"/>
        </w:rPr>
        <w:noBreakHyphen/>
      </w:r>
      <w:r w:rsidRPr="00E73BBD">
        <w:rPr>
          <w:i/>
          <w:lang w:val="fr-CA"/>
        </w:rPr>
        <w:t>Wentworth</w:t>
      </w:r>
      <w:r w:rsidRPr="00E73BBD">
        <w:rPr>
          <w:lang w:val="fr-CA"/>
        </w:rPr>
        <w:t>,</w:t>
      </w:r>
      <w:r w:rsidRPr="00E73BBD">
        <w:rPr>
          <w:i/>
          <w:lang w:val="fr-CA"/>
        </w:rPr>
        <w:t xml:space="preserve"> </w:t>
      </w:r>
      <w:r w:rsidRPr="00E73BBD">
        <w:rPr>
          <w:lang w:val="fr-CA"/>
        </w:rPr>
        <w:t xml:space="preserve">2007 CSC 41, </w:t>
      </w:r>
      <w:r>
        <w:rPr>
          <w:lang w:val="fr-CA"/>
        </w:rPr>
        <w:t>[2007] 3 R.C.S. 129, par. </w:t>
      </w:r>
      <w:r w:rsidRPr="00E73BBD">
        <w:rPr>
          <w:lang w:val="fr-CA"/>
        </w:rPr>
        <w:t>22</w:t>
      </w:r>
      <w:r>
        <w:rPr>
          <w:lang w:val="fr-CA"/>
        </w:rPr>
        <w:t xml:space="preserve"> (soulignement omis)</w:t>
      </w:r>
      <w:r w:rsidRPr="00E73BBD">
        <w:rPr>
          <w:lang w:val="fr-CA"/>
        </w:rPr>
        <w:t xml:space="preserve">, citant </w:t>
      </w:r>
      <w:r w:rsidRPr="00E73BBD">
        <w:rPr>
          <w:i/>
          <w:lang w:val="fr-CA"/>
        </w:rPr>
        <w:t>Donoghue</w:t>
      </w:r>
      <w:r w:rsidRPr="00E73BBD">
        <w:rPr>
          <w:lang w:val="fr-CA"/>
        </w:rPr>
        <w:t xml:space="preserve">, </w:t>
      </w:r>
      <w:r>
        <w:rPr>
          <w:lang w:val="fr-CA"/>
        </w:rPr>
        <w:t>p. </w:t>
      </w:r>
      <w:r w:rsidRPr="00E73BBD">
        <w:rPr>
          <w:lang w:val="fr-CA"/>
        </w:rPr>
        <w:t xml:space="preserve">580, </w:t>
      </w:r>
      <w:r w:rsidRPr="001A0E7E">
        <w:rPr>
          <w:lang w:val="fr-CA"/>
        </w:rPr>
        <w:t>lord Atkin.</w:t>
      </w:r>
    </w:p>
  </w:footnote>
  <w:footnote w:id="25">
    <w:p w:rsidR="003C5BAD" w:rsidRPr="00856239" w:rsidRDefault="003C5BAD" w:rsidP="00DC0C95">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C95">
        <w:rPr>
          <w:lang w:val="fr-CA"/>
        </w:rPr>
        <w:tab/>
      </w:r>
      <w:r w:rsidRPr="00856239">
        <w:rPr>
          <w:lang w:val="fr-CA"/>
        </w:rPr>
        <w:t>Klar et Jefferies</w:t>
      </w:r>
      <w:r>
        <w:rPr>
          <w:lang w:val="fr-CA"/>
        </w:rPr>
        <w:t>, p. 212</w:t>
      </w:r>
      <w:r>
        <w:rPr>
          <w:lang w:val="fr-CA"/>
        </w:rPr>
        <w:noBreakHyphen/>
      </w:r>
      <w:r w:rsidRPr="00856239">
        <w:rPr>
          <w:lang w:val="fr-CA"/>
        </w:rPr>
        <w:t xml:space="preserve">213; voir également </w:t>
      </w:r>
      <w:r w:rsidRPr="00856239">
        <w:rPr>
          <w:i/>
          <w:lang w:val="fr-CA"/>
        </w:rPr>
        <w:t xml:space="preserve">Fullowka </w:t>
      </w:r>
      <w:r>
        <w:rPr>
          <w:i/>
          <w:lang w:val="fr-CA"/>
        </w:rPr>
        <w:t>c.</w:t>
      </w:r>
      <w:r w:rsidRPr="00856239">
        <w:rPr>
          <w:i/>
          <w:lang w:val="fr-CA"/>
        </w:rPr>
        <w:t xml:space="preserve"> Pinkerton’s of Canada Ltd.</w:t>
      </w:r>
      <w:r w:rsidRPr="00856239">
        <w:rPr>
          <w:lang w:val="fr-CA"/>
        </w:rPr>
        <w:t xml:space="preserve">, 2010 CSC 5, </w:t>
      </w:r>
      <w:r>
        <w:rPr>
          <w:lang w:val="fr-CA"/>
        </w:rPr>
        <w:t>[2010] 1 R.C.S. 132, par. </w:t>
      </w:r>
      <w:r w:rsidRPr="00856239">
        <w:rPr>
          <w:lang w:val="fr-CA"/>
        </w:rPr>
        <w:t>22.</w:t>
      </w:r>
    </w:p>
  </w:footnote>
  <w:footnote w:id="26">
    <w:p w:rsidR="003C5BAD" w:rsidRPr="00DC0C95" w:rsidRDefault="003C5BAD" w:rsidP="00DC0C95">
      <w:pPr>
        <w:pStyle w:val="FootnoteText"/>
        <w:tabs>
          <w:tab w:val="clear" w:pos="180"/>
          <w:tab w:val="left" w:pos="270"/>
        </w:tabs>
        <w:ind w:left="270" w:hanging="270"/>
        <w:rPr>
          <w:lang w:val="fr-CA"/>
        </w:rPr>
      </w:pPr>
      <w:r w:rsidRPr="00E73BBD">
        <w:rPr>
          <w:rStyle w:val="FootnoteReference"/>
          <w:lang w:val="fr-CA"/>
        </w:rPr>
        <w:footnoteRef/>
      </w:r>
      <w:r w:rsidR="00DC0C95" w:rsidRPr="00DC0C95">
        <w:rPr>
          <w:lang w:val="fr-CA"/>
        </w:rPr>
        <w:t xml:space="preserve"> L</w:t>
      </w:r>
      <w:r w:rsidRPr="00DC0C95">
        <w:rPr>
          <w:lang w:val="fr-CA"/>
        </w:rPr>
        <w:t>inden et Feldthusen, §9.59; voir également E. J. Weinrib, « The Disintegration of Duty » (2006), 31 </w:t>
      </w:r>
      <w:r w:rsidRPr="00DC0C95">
        <w:rPr>
          <w:i/>
          <w:lang w:val="fr-CA"/>
        </w:rPr>
        <w:t>Adv. Q.</w:t>
      </w:r>
      <w:r w:rsidRPr="00DC0C95">
        <w:rPr>
          <w:lang w:val="fr-CA"/>
        </w:rPr>
        <w:t> 212, p. 237.</w:t>
      </w:r>
    </w:p>
  </w:footnote>
  <w:footnote w:id="27">
    <w:p w:rsidR="003C5BAD" w:rsidRPr="00E73BBD" w:rsidRDefault="003C5BAD" w:rsidP="00DC0C95">
      <w:pPr>
        <w:pStyle w:val="FootnoteText"/>
        <w:tabs>
          <w:tab w:val="clear" w:pos="180"/>
          <w:tab w:val="left" w:pos="270"/>
        </w:tabs>
        <w:ind w:left="270" w:hanging="270"/>
        <w:rPr>
          <w:lang w:val="fr-CA"/>
        </w:rPr>
      </w:pPr>
      <w:r w:rsidRPr="00E73BBD">
        <w:rPr>
          <w:rStyle w:val="FootnoteReference"/>
          <w:lang w:val="fr-CA"/>
        </w:rPr>
        <w:footnoteRef/>
      </w:r>
      <w:r>
        <w:rPr>
          <w:lang w:val="fr-CA"/>
        </w:rPr>
        <w:t xml:space="preserve"> </w:t>
      </w:r>
      <w:r w:rsidR="00DC0C95">
        <w:rPr>
          <w:lang w:val="fr-CA"/>
        </w:rPr>
        <w:tab/>
      </w:r>
      <w:r w:rsidRPr="00DC0C95">
        <w:rPr>
          <w:lang w:val="fr-CA"/>
        </w:rPr>
        <w:t>Linden</w:t>
      </w:r>
      <w:r w:rsidRPr="00B47B51">
        <w:rPr>
          <w:lang w:val="fr-CA"/>
        </w:rPr>
        <w:t xml:space="preserve"> et Feldthusen, §9.59</w:t>
      </w:r>
      <w:r>
        <w:rPr>
          <w:i/>
          <w:lang w:val="fr-CA"/>
        </w:rPr>
        <w:t xml:space="preserve"> </w:t>
      </w:r>
      <w:r w:rsidRPr="00856239">
        <w:rPr>
          <w:lang w:val="fr-CA"/>
        </w:rPr>
        <w:t>(je souligne)</w:t>
      </w:r>
      <w:r w:rsidRPr="00E73BBD">
        <w:rPr>
          <w:lang w:val="fr-CA"/>
        </w:rPr>
        <w:t>.</w:t>
      </w:r>
    </w:p>
  </w:footnote>
  <w:footnote w:id="28">
    <w:p w:rsidR="003C5BAD" w:rsidRPr="00E73BBD" w:rsidRDefault="003C5BAD" w:rsidP="00DC0C95">
      <w:pPr>
        <w:pStyle w:val="FootnoteText"/>
        <w:rPr>
          <w:lang w:val="fr-CA"/>
        </w:rPr>
      </w:pPr>
      <w:r w:rsidRPr="00E73BBD">
        <w:rPr>
          <w:rStyle w:val="FootnoteReference"/>
          <w:lang w:val="fr-CA"/>
        </w:rPr>
        <w:footnoteRef/>
      </w:r>
      <w:r>
        <w:rPr>
          <w:lang w:val="fr-CA"/>
        </w:rPr>
        <w:t xml:space="preserve"> </w:t>
      </w:r>
      <w:r w:rsidRPr="00E73BBD">
        <w:rPr>
          <w:lang w:val="fr-CA"/>
        </w:rPr>
        <w:t>Klar</w:t>
      </w:r>
      <w:r>
        <w:rPr>
          <w:lang w:val="fr-CA"/>
        </w:rPr>
        <w:t xml:space="preserve"> et Jefferies</w:t>
      </w:r>
      <w:r w:rsidRPr="00E73BBD">
        <w:rPr>
          <w:lang w:val="fr-CA"/>
        </w:rPr>
        <w:t xml:space="preserve">, </w:t>
      </w:r>
      <w:r>
        <w:rPr>
          <w:lang w:val="fr-CA"/>
        </w:rPr>
        <w:t>p. </w:t>
      </w:r>
      <w:r w:rsidRPr="00E73BBD">
        <w:rPr>
          <w:lang w:val="fr-CA"/>
        </w:rPr>
        <w:t xml:space="preserve">210 et 212; Osborne, </w:t>
      </w:r>
      <w:r>
        <w:rPr>
          <w:lang w:val="fr-CA"/>
        </w:rPr>
        <w:t>p. </w:t>
      </w:r>
      <w:r w:rsidRPr="00E73BBD">
        <w:rPr>
          <w:lang w:val="fr-CA"/>
        </w:rPr>
        <w:t>7</w:t>
      </w:r>
      <w:r>
        <w:rPr>
          <w:lang w:val="fr-CA"/>
        </w:rPr>
        <w:t>5</w:t>
      </w:r>
      <w:r w:rsidRPr="00E73BBD">
        <w:rPr>
          <w:lang w:val="fr-CA"/>
        </w:rPr>
        <w:t>.</w:t>
      </w:r>
    </w:p>
  </w:footnote>
  <w:footnote w:id="29">
    <w:p w:rsidR="003C5BAD" w:rsidRPr="00440F49" w:rsidRDefault="003C5BAD" w:rsidP="00DC0C95">
      <w:pPr>
        <w:pStyle w:val="FootnoteText"/>
        <w:rPr>
          <w:lang w:val="en-US"/>
        </w:rPr>
      </w:pPr>
      <w:r w:rsidRPr="00E73BBD">
        <w:rPr>
          <w:rStyle w:val="FootnoteReference"/>
          <w:lang w:val="fr-CA"/>
        </w:rPr>
        <w:footnoteRef/>
      </w:r>
      <w:r w:rsidRPr="00247626">
        <w:rPr>
          <w:lang w:val="en-US"/>
        </w:rPr>
        <w:t xml:space="preserve"> Linden et Feldthusen, §9.59</w:t>
      </w:r>
      <w:r w:rsidRPr="00440F49">
        <w:rPr>
          <w:lang w:val="en-US"/>
        </w:rPr>
        <w:t>.</w:t>
      </w:r>
    </w:p>
  </w:footnote>
  <w:footnote w:id="30">
    <w:p w:rsidR="003C5BAD" w:rsidRPr="000351E2" w:rsidRDefault="003C5BAD" w:rsidP="00DC0C95">
      <w:pPr>
        <w:pStyle w:val="FootnoteText"/>
        <w:rPr>
          <w:lang w:val="en-US"/>
        </w:rPr>
      </w:pPr>
      <w:r w:rsidRPr="00E73BBD">
        <w:rPr>
          <w:rStyle w:val="FootnoteReference"/>
          <w:lang w:val="fr-CA"/>
        </w:rPr>
        <w:footnoteRef/>
      </w:r>
      <w:r>
        <w:rPr>
          <w:lang w:val="en-US"/>
        </w:rPr>
        <w:t xml:space="preserve"> </w:t>
      </w:r>
      <w:r w:rsidRPr="000351E2">
        <w:rPr>
          <w:i/>
          <w:lang w:val="en-US"/>
        </w:rPr>
        <w:t>Clerk &amp; Lindsell</w:t>
      </w:r>
      <w:r w:rsidRPr="000351E2">
        <w:rPr>
          <w:lang w:val="en-US"/>
        </w:rPr>
        <w:t xml:space="preserve">, </w:t>
      </w:r>
      <w:r w:rsidRPr="006C4B65">
        <w:rPr>
          <w:lang w:val="en-US"/>
        </w:rPr>
        <w:t>par</w:t>
      </w:r>
      <w:r w:rsidRPr="000351E2">
        <w:rPr>
          <w:lang w:val="en-US"/>
        </w:rPr>
        <w:t>. 8</w:t>
      </w:r>
      <w:r w:rsidRPr="000351E2">
        <w:rPr>
          <w:lang w:val="en-US"/>
        </w:rPr>
        <w:noBreakHyphen/>
        <w:t>08.</w:t>
      </w:r>
    </w:p>
  </w:footnote>
  <w:footnote w:id="31">
    <w:p w:rsidR="003C5BAD" w:rsidRPr="00E73BBD" w:rsidRDefault="003C5BAD" w:rsidP="00DC0C95">
      <w:pPr>
        <w:pStyle w:val="FootnoteText"/>
        <w:rPr>
          <w:lang w:val="fr-CA"/>
        </w:rPr>
      </w:pPr>
      <w:r w:rsidRPr="00E73BBD">
        <w:rPr>
          <w:rStyle w:val="FootnoteReference"/>
          <w:lang w:val="fr-CA"/>
        </w:rPr>
        <w:footnoteRef/>
      </w:r>
      <w:r w:rsidRPr="00E73BBD">
        <w:rPr>
          <w:lang w:val="fr-CA"/>
        </w:rPr>
        <w:t xml:space="preserve"> </w:t>
      </w:r>
      <w:r w:rsidR="00DC0C95">
        <w:rPr>
          <w:i/>
          <w:lang w:val="fr-CA"/>
        </w:rPr>
        <w:t>I</w:t>
      </w:r>
      <w:r w:rsidRPr="00B47B51">
        <w:rPr>
          <w:i/>
          <w:lang w:val="fr-CA"/>
        </w:rPr>
        <w:t>bid.</w:t>
      </w:r>
      <w:r w:rsidRPr="00E73BBD">
        <w:rPr>
          <w:lang w:val="fr-CA"/>
        </w:rPr>
        <w:t xml:space="preserve">, </w:t>
      </w:r>
      <w:r>
        <w:rPr>
          <w:lang w:val="fr-CA"/>
        </w:rPr>
        <w:t>par. </w:t>
      </w:r>
      <w:r w:rsidRPr="00E73BBD">
        <w:rPr>
          <w:lang w:val="fr-CA"/>
        </w:rPr>
        <w:t>8</w:t>
      </w:r>
      <w:r>
        <w:rPr>
          <w:lang w:val="fr-CA"/>
        </w:rPr>
        <w:noBreakHyphen/>
      </w:r>
      <w:r w:rsidRPr="00E73BBD">
        <w:rPr>
          <w:lang w:val="fr-CA"/>
        </w:rPr>
        <w:t>09; Klar</w:t>
      </w:r>
      <w:r>
        <w:rPr>
          <w:lang w:val="fr-CA"/>
        </w:rPr>
        <w:t xml:space="preserve"> et Jefferies</w:t>
      </w:r>
      <w:r w:rsidRPr="00E73BBD">
        <w:rPr>
          <w:lang w:val="fr-CA"/>
        </w:rPr>
        <w:t xml:space="preserve">, </w:t>
      </w:r>
      <w:r>
        <w:rPr>
          <w:lang w:val="fr-CA"/>
        </w:rPr>
        <w:t>p. </w:t>
      </w:r>
      <w:r w:rsidRPr="00E73BBD">
        <w:rPr>
          <w:lang w:val="fr-CA"/>
        </w:rPr>
        <w:t>211</w:t>
      </w:r>
      <w:r>
        <w:rPr>
          <w:lang w:val="fr-CA"/>
        </w:rPr>
        <w:t>-</w:t>
      </w:r>
      <w:r w:rsidRPr="00E73BBD">
        <w:rPr>
          <w:lang w:val="fr-CA"/>
        </w:rPr>
        <w:t>212;</w:t>
      </w:r>
      <w:r w:rsidRPr="00E73BBD">
        <w:rPr>
          <w:i/>
          <w:lang w:val="fr-CA"/>
        </w:rPr>
        <w:t xml:space="preserve"> Livent</w:t>
      </w:r>
      <w:r w:rsidRPr="00E73BBD">
        <w:rPr>
          <w:lang w:val="fr-CA"/>
        </w:rPr>
        <w:t xml:space="preserve">, </w:t>
      </w:r>
      <w:r>
        <w:rPr>
          <w:lang w:val="fr-CA"/>
        </w:rPr>
        <w:t>par. </w:t>
      </w:r>
      <w:r w:rsidRPr="00E73BBD">
        <w:rPr>
          <w:lang w:val="fr-CA"/>
        </w:rPr>
        <w:t xml:space="preserve">35, 39 et 55; voir également </w:t>
      </w:r>
      <w:r w:rsidRPr="00E73BBD">
        <w:rPr>
          <w:i/>
          <w:lang w:val="fr-CA"/>
        </w:rPr>
        <w:t>Hercules Management</w:t>
      </w:r>
      <w:r w:rsidR="00726AEB">
        <w:rPr>
          <w:i/>
          <w:lang w:val="fr-CA"/>
        </w:rPr>
        <w:t>s</w:t>
      </w:r>
      <w:r w:rsidRPr="00E73BBD">
        <w:rPr>
          <w:i/>
          <w:lang w:val="fr-CA"/>
        </w:rPr>
        <w:t xml:space="preserve"> Ltd. </w:t>
      </w:r>
      <w:r>
        <w:rPr>
          <w:i/>
          <w:lang w:val="fr-CA"/>
        </w:rPr>
        <w:t>c.</w:t>
      </w:r>
      <w:r w:rsidRPr="00E73BBD">
        <w:rPr>
          <w:i/>
          <w:lang w:val="fr-CA"/>
        </w:rPr>
        <w:t xml:space="preserve"> Ernst &amp; Young</w:t>
      </w:r>
      <w:r w:rsidRPr="00E73BBD">
        <w:rPr>
          <w:lang w:val="fr-CA"/>
        </w:rPr>
        <w:t xml:space="preserve">, [1997] 2 </w:t>
      </w:r>
      <w:r>
        <w:rPr>
          <w:lang w:val="fr-CA"/>
        </w:rPr>
        <w:t>R.C.S.</w:t>
      </w:r>
      <w:r w:rsidRPr="00E73BBD">
        <w:rPr>
          <w:lang w:val="fr-CA"/>
        </w:rPr>
        <w:t xml:space="preserve"> 165, </w:t>
      </w:r>
      <w:r>
        <w:rPr>
          <w:lang w:val="fr-CA"/>
        </w:rPr>
        <w:t>par. </w:t>
      </w:r>
      <w:r w:rsidRPr="00E73BBD">
        <w:rPr>
          <w:lang w:val="fr-CA"/>
        </w:rPr>
        <w:t xml:space="preserve">27 et 40, cités au </w:t>
      </w:r>
      <w:r>
        <w:rPr>
          <w:lang w:val="fr-CA"/>
        </w:rPr>
        <w:t>par. </w:t>
      </w:r>
      <w:r w:rsidRPr="00E73BBD">
        <w:rPr>
          <w:lang w:val="fr-CA"/>
        </w:rPr>
        <w:t xml:space="preserve">39 de l’arrêt </w:t>
      </w:r>
      <w:r w:rsidRPr="00E73BBD">
        <w:rPr>
          <w:i/>
          <w:lang w:val="fr-CA"/>
        </w:rPr>
        <w:t>Livent</w:t>
      </w:r>
      <w:r w:rsidRPr="00E73BBD">
        <w:rPr>
          <w:lang w:val="fr-CA"/>
        </w:rPr>
        <w:t>.</w:t>
      </w:r>
    </w:p>
  </w:footnote>
  <w:footnote w:id="32">
    <w:p w:rsidR="003C5BAD" w:rsidRPr="00573540" w:rsidRDefault="003C5BAD" w:rsidP="00DC0C95">
      <w:pPr>
        <w:pStyle w:val="FootnoteText"/>
        <w:rPr>
          <w:lang w:val="fr-CA"/>
        </w:rPr>
      </w:pPr>
      <w:r w:rsidRPr="00E73BBD">
        <w:rPr>
          <w:rStyle w:val="FootnoteReference"/>
          <w:lang w:val="fr-CA"/>
        </w:rPr>
        <w:footnoteRef/>
      </w:r>
      <w:r w:rsidRPr="00573540">
        <w:rPr>
          <w:lang w:val="fr-CA"/>
        </w:rPr>
        <w:t xml:space="preserve"> </w:t>
      </w:r>
      <w:r>
        <w:rPr>
          <w:lang w:val="fr-CA"/>
        </w:rPr>
        <w:t>par. </w:t>
      </w:r>
      <w:r w:rsidRPr="00573540">
        <w:rPr>
          <w:lang w:val="fr-CA"/>
        </w:rPr>
        <w:t>31.</w:t>
      </w:r>
    </w:p>
  </w:footnote>
  <w:footnote w:id="33">
    <w:p w:rsidR="003C5BAD" w:rsidRPr="00B47B51" w:rsidRDefault="003C5BAD" w:rsidP="00DC0C95">
      <w:pPr>
        <w:pStyle w:val="FootnoteText"/>
        <w:rPr>
          <w:lang w:val="fr-CA"/>
        </w:rPr>
      </w:pPr>
      <w:r>
        <w:rPr>
          <w:rStyle w:val="FootnoteReference"/>
        </w:rPr>
        <w:footnoteRef/>
      </w:r>
      <w:r w:rsidRPr="00B47B51">
        <w:rPr>
          <w:lang w:val="fr-CA"/>
        </w:rPr>
        <w:t xml:space="preserve"> </w:t>
      </w:r>
      <w:r>
        <w:rPr>
          <w:lang w:val="fr-CA"/>
        </w:rPr>
        <w:t>Cour supérieure de justice de l’Ontario, 25 septembre 2014.</w:t>
      </w:r>
    </w:p>
  </w:footnote>
  <w:footnote w:id="34">
    <w:p w:rsidR="003C5BAD" w:rsidRPr="00B47B51" w:rsidRDefault="003C5BAD" w:rsidP="00DC0C95">
      <w:pPr>
        <w:pStyle w:val="FootnoteText"/>
        <w:rPr>
          <w:lang w:val="en-US"/>
        </w:rPr>
      </w:pPr>
      <w:r>
        <w:rPr>
          <w:rStyle w:val="FootnoteReference"/>
        </w:rPr>
        <w:footnoteRef/>
      </w:r>
      <w:r>
        <w:t xml:space="preserve"> </w:t>
      </w:r>
      <w:r w:rsidRPr="00B47B51">
        <w:rPr>
          <w:lang w:val="en-US"/>
        </w:rPr>
        <w:t>2016 ONCA 718, 403 D.</w:t>
      </w:r>
      <w:r>
        <w:rPr>
          <w:lang w:val="en-US"/>
        </w:rPr>
        <w:t>L</w:t>
      </w:r>
      <w:r w:rsidRPr="00B47B51">
        <w:rPr>
          <w:lang w:val="en-US"/>
        </w:rPr>
        <w:t xml:space="preserve">.R. (4th) </w:t>
      </w:r>
      <w:r w:rsidRPr="006C4B65">
        <w:rPr>
          <w:lang w:val="en-US"/>
        </w:rPr>
        <w:t>408</w:t>
      </w:r>
      <w:r w:rsidRPr="00B47B51">
        <w:rPr>
          <w:lang w:val="en-US"/>
        </w:rPr>
        <w:t>.</w:t>
      </w:r>
    </w:p>
  </w:footnote>
  <w:footnote w:id="35">
    <w:p w:rsidR="003C5BAD" w:rsidRPr="006C4B65" w:rsidRDefault="003C5BAD" w:rsidP="00DC0C95">
      <w:pPr>
        <w:pStyle w:val="FootnoteText"/>
        <w:rPr>
          <w:lang w:val="en-US"/>
        </w:rPr>
      </w:pPr>
      <w:r>
        <w:rPr>
          <w:rStyle w:val="FootnoteReference"/>
        </w:rPr>
        <w:footnoteRef/>
      </w:r>
      <w:r w:rsidRPr="006C4B65">
        <w:rPr>
          <w:lang w:val="en-US"/>
        </w:rPr>
        <w:t xml:space="preserve"> par. </w:t>
      </w:r>
      <w:r>
        <w:rPr>
          <w:lang w:val="en-US"/>
        </w:rPr>
        <w:t>3</w:t>
      </w:r>
      <w:r w:rsidRPr="006C4B65">
        <w:rPr>
          <w:lang w:val="en-US"/>
        </w:rPr>
        <w:t>4.</w:t>
      </w:r>
    </w:p>
  </w:footnote>
  <w:footnote w:id="36">
    <w:p w:rsidR="003C5BAD" w:rsidRPr="006761EF" w:rsidRDefault="003C5BAD" w:rsidP="00DC0C95">
      <w:pPr>
        <w:pStyle w:val="FootnoteText"/>
        <w:rPr>
          <w:lang w:val="fr-CA"/>
        </w:rPr>
      </w:pPr>
      <w:r w:rsidRPr="00E73BBD">
        <w:rPr>
          <w:rStyle w:val="FootnoteReference"/>
          <w:lang w:val="fr-CA"/>
        </w:rPr>
        <w:footnoteRef/>
      </w:r>
      <w:r w:rsidRPr="006761EF">
        <w:rPr>
          <w:lang w:val="fr-CA"/>
        </w:rPr>
        <w:t xml:space="preserve"> </w:t>
      </w:r>
      <w:r w:rsidRPr="006761EF">
        <w:rPr>
          <w:i/>
          <w:lang w:val="fr-CA"/>
        </w:rPr>
        <w:t>Fullowka</w:t>
      </w:r>
      <w:r w:rsidRPr="006761EF">
        <w:rPr>
          <w:lang w:val="fr-CA"/>
        </w:rPr>
        <w:t>, par. 22.</w:t>
      </w:r>
    </w:p>
  </w:footnote>
  <w:footnote w:id="37">
    <w:p w:rsidR="003C5BAD" w:rsidRPr="00ED5477" w:rsidRDefault="003C5BAD" w:rsidP="003C5BAD">
      <w:pPr>
        <w:pStyle w:val="FootnoteText"/>
        <w:spacing w:after="120"/>
        <w:rPr>
          <w:lang w:val="fr-CA"/>
        </w:rPr>
      </w:pPr>
      <w:r>
        <w:rPr>
          <w:rStyle w:val="FootnoteReference"/>
        </w:rPr>
        <w:footnoteRef/>
      </w:r>
      <w:r w:rsidRPr="00ED5477">
        <w:rPr>
          <w:lang w:val="fr-CA"/>
        </w:rPr>
        <w:t xml:space="preserve"> </w:t>
      </w:r>
      <w:r>
        <w:rPr>
          <w:lang w:val="fr-CA"/>
        </w:rPr>
        <w:t>par. 34.</w:t>
      </w:r>
    </w:p>
  </w:footnote>
  <w:footnote w:id="38">
    <w:p w:rsidR="003C5BAD" w:rsidRPr="00EF49D8" w:rsidRDefault="003C5BAD" w:rsidP="00DC0C95">
      <w:pPr>
        <w:pStyle w:val="FootnoteText"/>
        <w:tabs>
          <w:tab w:val="left" w:pos="5528"/>
        </w:tabs>
        <w:rPr>
          <w:lang w:val="fr-CA"/>
        </w:rPr>
      </w:pPr>
      <w:r>
        <w:rPr>
          <w:rStyle w:val="FootnoteReference"/>
        </w:rPr>
        <w:footnoteRef/>
      </w:r>
      <w:r w:rsidRPr="008064CB">
        <w:rPr>
          <w:lang w:val="fr-CA"/>
        </w:rPr>
        <w:t xml:space="preserve"> par</w:t>
      </w:r>
      <w:r>
        <w:rPr>
          <w:lang w:val="fr-CA"/>
        </w:rPr>
        <w:t>. </w:t>
      </w:r>
      <w:r w:rsidRPr="00EF49D8">
        <w:rPr>
          <w:lang w:val="fr-CA"/>
        </w:rPr>
        <w:t>41.</w:t>
      </w:r>
    </w:p>
  </w:footnote>
  <w:footnote w:id="39">
    <w:p w:rsidR="003C5BAD" w:rsidRPr="00EF49D8" w:rsidRDefault="003C5BAD" w:rsidP="00DC0C95">
      <w:pPr>
        <w:pStyle w:val="FootnoteText"/>
        <w:rPr>
          <w:lang w:val="fr-CA"/>
        </w:rPr>
      </w:pPr>
      <w:r w:rsidRPr="00EF49D8">
        <w:rPr>
          <w:rStyle w:val="FootnoteReference"/>
          <w:lang w:val="fr-CA"/>
        </w:rPr>
        <w:footnoteRef/>
      </w:r>
      <w:r w:rsidRPr="00EF49D8">
        <w:rPr>
          <w:lang w:val="fr-CA"/>
        </w:rPr>
        <w:t xml:space="preserve"> par. 42.</w:t>
      </w:r>
    </w:p>
  </w:footnote>
  <w:footnote w:id="40">
    <w:p w:rsidR="003C5BAD" w:rsidRPr="00E73BBD" w:rsidRDefault="003C5BAD" w:rsidP="00DC0C95">
      <w:pPr>
        <w:pStyle w:val="FootnoteText"/>
        <w:rPr>
          <w:lang w:val="fr-CA"/>
        </w:rPr>
      </w:pPr>
      <w:r w:rsidRPr="00EF49D8">
        <w:rPr>
          <w:rStyle w:val="FootnoteReference"/>
          <w:lang w:val="fr-CA"/>
        </w:rPr>
        <w:footnoteRef/>
      </w:r>
      <w:r w:rsidRPr="00EF49D8">
        <w:rPr>
          <w:lang w:val="fr-CA"/>
        </w:rPr>
        <w:t xml:space="preserve"> par. 45 (je souligne).</w:t>
      </w:r>
    </w:p>
  </w:footnote>
  <w:footnote w:id="41">
    <w:p w:rsidR="003C5BAD" w:rsidRPr="00EF49D8" w:rsidRDefault="003C5BAD" w:rsidP="00DC0C95">
      <w:pPr>
        <w:pStyle w:val="FootnoteText"/>
        <w:rPr>
          <w:lang w:val="fr-CA"/>
        </w:rPr>
      </w:pPr>
      <w:r w:rsidRPr="00EF49D8">
        <w:rPr>
          <w:rStyle w:val="FootnoteReference"/>
        </w:rPr>
        <w:footnoteRef/>
      </w:r>
      <w:r w:rsidRPr="00EF49D8">
        <w:rPr>
          <w:lang w:val="fr-CA"/>
        </w:rPr>
        <w:t xml:space="preserve"> par. 46-50.</w:t>
      </w:r>
    </w:p>
  </w:footnote>
  <w:footnote w:id="42">
    <w:p w:rsidR="003C5BAD" w:rsidRPr="0050266A" w:rsidRDefault="003C5BAD" w:rsidP="00DC0C95">
      <w:pPr>
        <w:pStyle w:val="FootnoteText"/>
        <w:rPr>
          <w:lang w:val="fr-CA"/>
        </w:rPr>
      </w:pPr>
      <w:r w:rsidRPr="0050266A">
        <w:rPr>
          <w:rStyle w:val="FootnoteReference"/>
        </w:rPr>
        <w:footnoteRef/>
      </w:r>
      <w:r>
        <w:rPr>
          <w:lang w:val="fr-CA"/>
        </w:rPr>
        <w:t xml:space="preserve"> par. </w:t>
      </w:r>
      <w:r w:rsidRPr="0050266A">
        <w:rPr>
          <w:lang w:val="fr-CA"/>
        </w:rPr>
        <w:t>41.</w:t>
      </w:r>
    </w:p>
  </w:footnote>
  <w:footnote w:id="43">
    <w:p w:rsidR="003C5BAD" w:rsidRPr="0050266A" w:rsidRDefault="003C5BAD" w:rsidP="00DC0C95">
      <w:pPr>
        <w:pStyle w:val="FootnoteText"/>
        <w:rPr>
          <w:lang w:val="fr-CA"/>
        </w:rPr>
      </w:pPr>
      <w:r w:rsidRPr="0050266A">
        <w:rPr>
          <w:rStyle w:val="FootnoteReference"/>
        </w:rPr>
        <w:footnoteRef/>
      </w:r>
      <w:r w:rsidRPr="0050266A">
        <w:rPr>
          <w:lang w:val="fr-CA"/>
        </w:rPr>
        <w:t xml:space="preserve"> </w:t>
      </w:r>
      <w:r w:rsidRPr="0050266A">
        <w:rPr>
          <w:i/>
          <w:lang w:val="fr-CA"/>
        </w:rPr>
        <w:t>Livent</w:t>
      </w:r>
      <w:r w:rsidRPr="0050266A">
        <w:rPr>
          <w:lang w:val="fr-CA"/>
        </w:rPr>
        <w:t xml:space="preserve">, par. 78; voir également Klar et Jefferies, p. 565; Osborne, p. 98; </w:t>
      </w:r>
      <w:r w:rsidRPr="0050266A">
        <w:rPr>
          <w:i/>
          <w:lang w:val="fr-CA"/>
        </w:rPr>
        <w:t>Clerk &amp; Lindsell</w:t>
      </w:r>
      <w:r w:rsidRPr="0050266A">
        <w:rPr>
          <w:lang w:val="fr-CA"/>
        </w:rPr>
        <w:t>, par. 8</w:t>
      </w:r>
      <w:r w:rsidRPr="0050266A">
        <w:rPr>
          <w:lang w:val="fr-CA"/>
        </w:rPr>
        <w:noBreakHyphen/>
        <w:t>10.</w:t>
      </w:r>
    </w:p>
  </w:footnote>
  <w:footnote w:id="44">
    <w:p w:rsidR="003C5BAD" w:rsidRPr="0050266A" w:rsidRDefault="003C5BAD" w:rsidP="00DC0C95">
      <w:pPr>
        <w:pStyle w:val="FootnoteText"/>
        <w:rPr>
          <w:lang w:val="fr-CA"/>
        </w:rPr>
      </w:pPr>
      <w:r w:rsidRPr="0050266A">
        <w:rPr>
          <w:rStyle w:val="FootnoteReference"/>
          <w:lang w:val="fr-CA"/>
        </w:rPr>
        <w:footnoteRef/>
      </w:r>
      <w:r w:rsidRPr="0050266A">
        <w:rPr>
          <w:lang w:val="fr-CA"/>
        </w:rPr>
        <w:t xml:space="preserve"> </w:t>
      </w:r>
      <w:r w:rsidRPr="0050266A">
        <w:rPr>
          <w:i/>
          <w:lang w:val="fr-CA"/>
        </w:rPr>
        <w:t>Cooper</w:t>
      </w:r>
      <w:r w:rsidRPr="0050266A">
        <w:rPr>
          <w:lang w:val="fr-CA"/>
        </w:rPr>
        <w:t xml:space="preserve">, par. 36; voir également, </w:t>
      </w:r>
      <w:r w:rsidRPr="0050266A">
        <w:rPr>
          <w:i/>
          <w:lang w:val="fr-CA"/>
        </w:rPr>
        <w:t>Childs</w:t>
      </w:r>
      <w:r w:rsidRPr="0050266A">
        <w:rPr>
          <w:lang w:val="fr-CA"/>
        </w:rPr>
        <w:t>, par.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227"/>
    <w:multiLevelType w:val="hybridMultilevel"/>
    <w:tmpl w:val="49C6AFB4"/>
    <w:lvl w:ilvl="0" w:tplc="A1B40CEA">
      <w:numFmt w:val="bullet"/>
      <w:lvlText w:val="-"/>
      <w:lvlJc w:val="left"/>
      <w:pPr>
        <w:ind w:left="1211" w:hanging="360"/>
      </w:pPr>
      <w:rPr>
        <w:rFonts w:ascii="Times New Roman" w:eastAsia="Times New Roman" w:hAnsi="Times New Roman" w:cs="Times New Roman"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622132"/>
    <w:multiLevelType w:val="hybridMultilevel"/>
    <w:tmpl w:val="49EEA0A0"/>
    <w:lvl w:ilvl="0" w:tplc="9F7E2BD2">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406"/>
    <w:multiLevelType w:val="hybridMultilevel"/>
    <w:tmpl w:val="F5B4B7C4"/>
    <w:lvl w:ilvl="0" w:tplc="929CD3B8">
      <w:start w:val="1"/>
      <w:numFmt w:val="upp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18D257BA"/>
    <w:multiLevelType w:val="hybridMultilevel"/>
    <w:tmpl w:val="61CC28CE"/>
    <w:lvl w:ilvl="0" w:tplc="72105D08">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D66A93"/>
    <w:multiLevelType w:val="hybridMultilevel"/>
    <w:tmpl w:val="C8AE5AFA"/>
    <w:lvl w:ilvl="0" w:tplc="9126ECD6">
      <w:start w:val="4"/>
      <w:numFmt w:val="upperLetter"/>
      <w:lvlText w:val="%1."/>
      <w:lvlJc w:val="left"/>
      <w:pPr>
        <w:ind w:left="3330" w:hanging="360"/>
      </w:pPr>
      <w:rPr>
        <w:rFonts w:hint="default"/>
        <w:i w:val="0"/>
      </w:rPr>
    </w:lvl>
    <w:lvl w:ilvl="1" w:tplc="0C0C0019" w:tentative="1">
      <w:start w:val="1"/>
      <w:numFmt w:val="lowerLetter"/>
      <w:lvlText w:val="%2."/>
      <w:lvlJc w:val="left"/>
      <w:pPr>
        <w:ind w:left="3960" w:hanging="360"/>
      </w:pPr>
    </w:lvl>
    <w:lvl w:ilvl="2" w:tplc="0C0C001B" w:tentative="1">
      <w:start w:val="1"/>
      <w:numFmt w:val="lowerRoman"/>
      <w:lvlText w:val="%3."/>
      <w:lvlJc w:val="right"/>
      <w:pPr>
        <w:ind w:left="4680" w:hanging="180"/>
      </w:pPr>
    </w:lvl>
    <w:lvl w:ilvl="3" w:tplc="0C0C000F" w:tentative="1">
      <w:start w:val="1"/>
      <w:numFmt w:val="decimal"/>
      <w:lvlText w:val="%4."/>
      <w:lvlJc w:val="left"/>
      <w:pPr>
        <w:ind w:left="5400" w:hanging="360"/>
      </w:pPr>
    </w:lvl>
    <w:lvl w:ilvl="4" w:tplc="0C0C0019" w:tentative="1">
      <w:start w:val="1"/>
      <w:numFmt w:val="lowerLetter"/>
      <w:lvlText w:val="%5."/>
      <w:lvlJc w:val="left"/>
      <w:pPr>
        <w:ind w:left="6120" w:hanging="360"/>
      </w:pPr>
    </w:lvl>
    <w:lvl w:ilvl="5" w:tplc="0C0C001B" w:tentative="1">
      <w:start w:val="1"/>
      <w:numFmt w:val="lowerRoman"/>
      <w:lvlText w:val="%6."/>
      <w:lvlJc w:val="right"/>
      <w:pPr>
        <w:ind w:left="6840" w:hanging="180"/>
      </w:pPr>
    </w:lvl>
    <w:lvl w:ilvl="6" w:tplc="0C0C000F" w:tentative="1">
      <w:start w:val="1"/>
      <w:numFmt w:val="decimal"/>
      <w:lvlText w:val="%7."/>
      <w:lvlJc w:val="left"/>
      <w:pPr>
        <w:ind w:left="7560" w:hanging="360"/>
      </w:pPr>
    </w:lvl>
    <w:lvl w:ilvl="7" w:tplc="0C0C0019" w:tentative="1">
      <w:start w:val="1"/>
      <w:numFmt w:val="lowerLetter"/>
      <w:lvlText w:val="%8."/>
      <w:lvlJc w:val="left"/>
      <w:pPr>
        <w:ind w:left="8280" w:hanging="360"/>
      </w:pPr>
    </w:lvl>
    <w:lvl w:ilvl="8" w:tplc="0C0C001B" w:tentative="1">
      <w:start w:val="1"/>
      <w:numFmt w:val="lowerRoman"/>
      <w:lvlText w:val="%9."/>
      <w:lvlJc w:val="right"/>
      <w:pPr>
        <w:ind w:left="9000" w:hanging="180"/>
      </w:pPr>
    </w:lvl>
  </w:abstractNum>
  <w:abstractNum w:abstractNumId="7" w15:restartNumberingAfterBreak="0">
    <w:nsid w:val="2A7C15A8"/>
    <w:multiLevelType w:val="hybridMultilevel"/>
    <w:tmpl w:val="070A6F5E"/>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884D20"/>
    <w:multiLevelType w:val="hybridMultilevel"/>
    <w:tmpl w:val="2E56092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B63CEF"/>
    <w:multiLevelType w:val="hybridMultilevel"/>
    <w:tmpl w:val="E1226000"/>
    <w:lvl w:ilvl="0" w:tplc="28967BC6">
      <w:start w:val="6"/>
      <w:numFmt w:val="bullet"/>
      <w:lvlText w:val="-"/>
      <w:lvlJc w:val="left"/>
      <w:pPr>
        <w:ind w:left="1526" w:hanging="360"/>
      </w:pPr>
      <w:rPr>
        <w:rFonts w:ascii="Times New Roman" w:eastAsia="Times New Roman" w:hAnsi="Times New Roman"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 w15:restartNumberingAfterBreak="0">
    <w:nsid w:val="343B6C15"/>
    <w:multiLevelType w:val="hybridMultilevel"/>
    <w:tmpl w:val="8E0CEC28"/>
    <w:lvl w:ilvl="0" w:tplc="728AB600">
      <w:start w:val="1"/>
      <w:numFmt w:val="upperLetter"/>
      <w:lvlText w:val="%1."/>
      <w:lvlJc w:val="left"/>
      <w:pPr>
        <w:ind w:left="1886" w:hanging="360"/>
      </w:pPr>
      <w:rPr>
        <w:i w:val="0"/>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11" w15:restartNumberingAfterBreak="0">
    <w:nsid w:val="34501D4A"/>
    <w:multiLevelType w:val="hybridMultilevel"/>
    <w:tmpl w:val="A73E6512"/>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3" w15:restartNumberingAfterBreak="0">
    <w:nsid w:val="480C254E"/>
    <w:multiLevelType w:val="hybridMultilevel"/>
    <w:tmpl w:val="9034A7D4"/>
    <w:lvl w:ilvl="0" w:tplc="0AA8485E">
      <w:start w:val="1"/>
      <w:numFmt w:val="decimal"/>
      <w:lvlText w:val="(%1)"/>
      <w:lvlJc w:val="left"/>
      <w:pPr>
        <w:ind w:left="1080" w:hanging="360"/>
      </w:pPr>
      <w:rPr>
        <w:rFonts w:hint="default"/>
        <w:b w:val="0"/>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8193773"/>
    <w:multiLevelType w:val="hybridMultilevel"/>
    <w:tmpl w:val="02FE389E"/>
    <w:lvl w:ilvl="0" w:tplc="8FDA0F8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6" w15:restartNumberingAfterBreak="0">
    <w:nsid w:val="4C1B5B22"/>
    <w:multiLevelType w:val="hybridMultilevel"/>
    <w:tmpl w:val="6BA05F24"/>
    <w:lvl w:ilvl="0" w:tplc="38BCF8E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283EE8"/>
    <w:multiLevelType w:val="multilevel"/>
    <w:tmpl w:val="751C1D62"/>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B95571"/>
    <w:multiLevelType w:val="hybridMultilevel"/>
    <w:tmpl w:val="D1E277F2"/>
    <w:lvl w:ilvl="0" w:tplc="DBFE1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E72F23"/>
    <w:multiLevelType w:val="hybridMultilevel"/>
    <w:tmpl w:val="17882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94718"/>
    <w:multiLevelType w:val="hybridMultilevel"/>
    <w:tmpl w:val="3AC4ED04"/>
    <w:lvl w:ilvl="0" w:tplc="5810E452">
      <w:start w:val="1"/>
      <w:numFmt w:val="upperLetter"/>
      <w:lvlText w:val="%1."/>
      <w:lvlJc w:val="left"/>
      <w:pPr>
        <w:ind w:left="1800" w:hanging="360"/>
      </w:pPr>
      <w:rPr>
        <w:rFonts w:hint="default"/>
        <w:i w:val="0"/>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 w15:restartNumberingAfterBreak="0">
    <w:nsid w:val="5C392F36"/>
    <w:multiLevelType w:val="hybridMultilevel"/>
    <w:tmpl w:val="BB3214F4"/>
    <w:lvl w:ilvl="0" w:tplc="31782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096A39"/>
    <w:multiLevelType w:val="hybridMultilevel"/>
    <w:tmpl w:val="9CFCEE74"/>
    <w:lvl w:ilvl="0" w:tplc="34B8E54A">
      <w:start w:val="3"/>
      <w:numFmt w:val="decimal"/>
      <w:lvlText w:val="(%1)"/>
      <w:lvlJc w:val="left"/>
      <w:pPr>
        <w:ind w:left="1296" w:hanging="360"/>
      </w:pPr>
      <w:rPr>
        <w:rFonts w:hint="default"/>
        <w:b w:val="0"/>
        <w:i w:val="0"/>
      </w:rPr>
    </w:lvl>
    <w:lvl w:ilvl="1" w:tplc="0C0C0019" w:tentative="1">
      <w:start w:val="1"/>
      <w:numFmt w:val="lowerLetter"/>
      <w:lvlText w:val="%2."/>
      <w:lvlJc w:val="left"/>
      <w:pPr>
        <w:ind w:left="2016" w:hanging="360"/>
      </w:pPr>
    </w:lvl>
    <w:lvl w:ilvl="2" w:tplc="0C0C001B" w:tentative="1">
      <w:start w:val="1"/>
      <w:numFmt w:val="lowerRoman"/>
      <w:lvlText w:val="%3."/>
      <w:lvlJc w:val="right"/>
      <w:pPr>
        <w:ind w:left="2736" w:hanging="180"/>
      </w:pPr>
    </w:lvl>
    <w:lvl w:ilvl="3" w:tplc="0C0C000F" w:tentative="1">
      <w:start w:val="1"/>
      <w:numFmt w:val="decimal"/>
      <w:lvlText w:val="%4."/>
      <w:lvlJc w:val="left"/>
      <w:pPr>
        <w:ind w:left="3456" w:hanging="360"/>
      </w:pPr>
    </w:lvl>
    <w:lvl w:ilvl="4" w:tplc="0C0C0019" w:tentative="1">
      <w:start w:val="1"/>
      <w:numFmt w:val="lowerLetter"/>
      <w:lvlText w:val="%5."/>
      <w:lvlJc w:val="left"/>
      <w:pPr>
        <w:ind w:left="4176" w:hanging="360"/>
      </w:pPr>
    </w:lvl>
    <w:lvl w:ilvl="5" w:tplc="0C0C001B" w:tentative="1">
      <w:start w:val="1"/>
      <w:numFmt w:val="lowerRoman"/>
      <w:lvlText w:val="%6."/>
      <w:lvlJc w:val="right"/>
      <w:pPr>
        <w:ind w:left="4896" w:hanging="180"/>
      </w:pPr>
    </w:lvl>
    <w:lvl w:ilvl="6" w:tplc="0C0C000F" w:tentative="1">
      <w:start w:val="1"/>
      <w:numFmt w:val="decimal"/>
      <w:lvlText w:val="%7."/>
      <w:lvlJc w:val="left"/>
      <w:pPr>
        <w:ind w:left="5616" w:hanging="360"/>
      </w:pPr>
    </w:lvl>
    <w:lvl w:ilvl="7" w:tplc="0C0C0019" w:tentative="1">
      <w:start w:val="1"/>
      <w:numFmt w:val="lowerLetter"/>
      <w:lvlText w:val="%8."/>
      <w:lvlJc w:val="left"/>
      <w:pPr>
        <w:ind w:left="6336" w:hanging="360"/>
      </w:pPr>
    </w:lvl>
    <w:lvl w:ilvl="8" w:tplc="0C0C001B" w:tentative="1">
      <w:start w:val="1"/>
      <w:numFmt w:val="lowerRoman"/>
      <w:lvlText w:val="%9."/>
      <w:lvlJc w:val="right"/>
      <w:pPr>
        <w:ind w:left="7056" w:hanging="180"/>
      </w:pPr>
    </w:lvl>
  </w:abstractNum>
  <w:abstractNum w:abstractNumId="25" w15:restartNumberingAfterBreak="0">
    <w:nsid w:val="6ACB32CA"/>
    <w:multiLevelType w:val="hybridMultilevel"/>
    <w:tmpl w:val="CBDC40AC"/>
    <w:lvl w:ilvl="0" w:tplc="9A5C64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6B26D1"/>
    <w:multiLevelType w:val="hybridMultilevel"/>
    <w:tmpl w:val="9916654E"/>
    <w:lvl w:ilvl="0" w:tplc="DA187A00">
      <w:start w:val="1"/>
      <w:numFmt w:val="decimal"/>
      <w:lvlText w:val="(%1)"/>
      <w:lvlJc w:val="left"/>
      <w:pPr>
        <w:ind w:left="1080" w:hanging="360"/>
      </w:pPr>
      <w:rPr>
        <w:rFonts w:hint="default"/>
        <w:b w:val="0"/>
        <w:i w:val="0"/>
      </w:rPr>
    </w:lvl>
    <w:lvl w:ilvl="1" w:tplc="0C0C0019" w:tentative="1">
      <w:start w:val="1"/>
      <w:numFmt w:val="lowerLetter"/>
      <w:lvlText w:val="%2."/>
      <w:lvlJc w:val="left"/>
      <w:pPr>
        <w:ind w:left="1224" w:hanging="360"/>
      </w:pPr>
    </w:lvl>
    <w:lvl w:ilvl="2" w:tplc="0C0C001B" w:tentative="1">
      <w:start w:val="1"/>
      <w:numFmt w:val="lowerRoman"/>
      <w:lvlText w:val="%3."/>
      <w:lvlJc w:val="right"/>
      <w:pPr>
        <w:ind w:left="1944" w:hanging="180"/>
      </w:pPr>
    </w:lvl>
    <w:lvl w:ilvl="3" w:tplc="0C0C000F" w:tentative="1">
      <w:start w:val="1"/>
      <w:numFmt w:val="decimal"/>
      <w:lvlText w:val="%4."/>
      <w:lvlJc w:val="left"/>
      <w:pPr>
        <w:ind w:left="2664" w:hanging="360"/>
      </w:pPr>
    </w:lvl>
    <w:lvl w:ilvl="4" w:tplc="0C0C0019" w:tentative="1">
      <w:start w:val="1"/>
      <w:numFmt w:val="lowerLetter"/>
      <w:lvlText w:val="%5."/>
      <w:lvlJc w:val="left"/>
      <w:pPr>
        <w:ind w:left="3384" w:hanging="360"/>
      </w:pPr>
    </w:lvl>
    <w:lvl w:ilvl="5" w:tplc="0C0C001B" w:tentative="1">
      <w:start w:val="1"/>
      <w:numFmt w:val="lowerRoman"/>
      <w:lvlText w:val="%6."/>
      <w:lvlJc w:val="right"/>
      <w:pPr>
        <w:ind w:left="4104" w:hanging="180"/>
      </w:pPr>
    </w:lvl>
    <w:lvl w:ilvl="6" w:tplc="0C0C000F" w:tentative="1">
      <w:start w:val="1"/>
      <w:numFmt w:val="decimal"/>
      <w:lvlText w:val="%7."/>
      <w:lvlJc w:val="left"/>
      <w:pPr>
        <w:ind w:left="4824" w:hanging="360"/>
      </w:pPr>
    </w:lvl>
    <w:lvl w:ilvl="7" w:tplc="0C0C0019" w:tentative="1">
      <w:start w:val="1"/>
      <w:numFmt w:val="lowerLetter"/>
      <w:lvlText w:val="%8."/>
      <w:lvlJc w:val="left"/>
      <w:pPr>
        <w:ind w:left="5544" w:hanging="360"/>
      </w:pPr>
    </w:lvl>
    <w:lvl w:ilvl="8" w:tplc="0C0C001B" w:tentative="1">
      <w:start w:val="1"/>
      <w:numFmt w:val="lowerRoman"/>
      <w:lvlText w:val="%9."/>
      <w:lvlJc w:val="right"/>
      <w:pPr>
        <w:ind w:left="6264" w:hanging="180"/>
      </w:pPr>
    </w:lvl>
  </w:abstractNum>
  <w:abstractNum w:abstractNumId="27" w15:restartNumberingAfterBreak="0">
    <w:nsid w:val="6FA257C5"/>
    <w:multiLevelType w:val="hybridMultilevel"/>
    <w:tmpl w:val="BE76268C"/>
    <w:lvl w:ilvl="0" w:tplc="0AA8485E">
      <w:start w:val="1"/>
      <w:numFmt w:val="decimal"/>
      <w:lvlText w:val="(%1)"/>
      <w:lvlJc w:val="left"/>
      <w:pPr>
        <w:ind w:left="1080" w:hanging="360"/>
      </w:pPr>
      <w:rPr>
        <w:rFonts w:hint="default"/>
        <w:b w:val="0"/>
        <w:i w:val="0"/>
      </w:rPr>
    </w:lvl>
    <w:lvl w:ilvl="1" w:tplc="34B8E54A">
      <w:start w:val="3"/>
      <w:numFmt w:val="decimal"/>
      <w:lvlText w:val="(%2)"/>
      <w:lvlJc w:val="left"/>
      <w:pPr>
        <w:ind w:left="1440" w:hanging="360"/>
      </w:pPr>
      <w:rPr>
        <w:rFonts w:hint="default"/>
        <w:b w:val="0"/>
        <w:i w:val="0"/>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8"/>
  </w:num>
  <w:num w:numId="2">
    <w:abstractNumId w:val="12"/>
  </w:num>
  <w:num w:numId="3">
    <w:abstractNumId w:val="23"/>
  </w:num>
  <w:num w:numId="4">
    <w:abstractNumId w:val="5"/>
  </w:num>
  <w:num w:numId="5">
    <w:abstractNumId w:val="1"/>
  </w:num>
  <w:num w:numId="6">
    <w:abstractNumId w:val="15"/>
  </w:num>
  <w:num w:numId="7">
    <w:abstractNumId w:val="17"/>
  </w:num>
  <w:num w:numId="8">
    <w:abstractNumId w:val="12"/>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14"/>
  </w:num>
  <w:num w:numId="10">
    <w:abstractNumId w:val="3"/>
  </w:num>
  <w:num w:numId="11">
    <w:abstractNumId w:val="21"/>
  </w:num>
  <w:num w:numId="12">
    <w:abstractNumId w:val="16"/>
  </w:num>
  <w:num w:numId="13">
    <w:abstractNumId w:val="9"/>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num>
  <w:num w:numId="18">
    <w:abstractNumId w:val="11"/>
  </w:num>
  <w:num w:numId="19">
    <w:abstractNumId w:val="25"/>
  </w:num>
  <w:num w:numId="20">
    <w:abstractNumId w:val="7"/>
  </w:num>
  <w:num w:numId="21">
    <w:abstractNumId w:val="24"/>
  </w:num>
  <w:num w:numId="22">
    <w:abstractNumId w:val="26"/>
  </w:num>
  <w:num w:numId="23">
    <w:abstractNumId w:val="13"/>
  </w:num>
  <w:num w:numId="24">
    <w:abstractNumId w:val="27"/>
  </w:num>
  <w:num w:numId="25">
    <w:abstractNumId w:val="6"/>
  </w:num>
  <w:num w:numId="26">
    <w:abstractNumId w:val="12"/>
    <w:lvlOverride w:ilvl="0">
      <w:startOverride w:val="1"/>
    </w:lvlOverride>
    <w:lvlOverride w:ilvl="1">
      <w:startOverride w:val="2"/>
    </w:lvlOverride>
  </w:num>
  <w:num w:numId="27">
    <w:abstractNumId w:val="10"/>
  </w:num>
  <w:num w:numId="28">
    <w:abstractNumId w:val="2"/>
  </w:num>
  <w:num w:numId="29">
    <w:abstractNumId w:val="20"/>
  </w:num>
  <w:num w:numId="30">
    <w:abstractNumId w:val="4"/>
  </w:num>
  <w:num w:numId="31">
    <w:abstractNumId w:va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14256"/>
    <w:rsid w:val="000173FE"/>
    <w:rsid w:val="00023FC7"/>
    <w:rsid w:val="00025198"/>
    <w:rsid w:val="000578A3"/>
    <w:rsid w:val="000648CC"/>
    <w:rsid w:val="00094CE5"/>
    <w:rsid w:val="000C59B8"/>
    <w:rsid w:val="000C6AF0"/>
    <w:rsid w:val="000D0A77"/>
    <w:rsid w:val="000D0F18"/>
    <w:rsid w:val="000F2C0A"/>
    <w:rsid w:val="000F39C7"/>
    <w:rsid w:val="000F7993"/>
    <w:rsid w:val="00102744"/>
    <w:rsid w:val="00104F33"/>
    <w:rsid w:val="00111DE2"/>
    <w:rsid w:val="0011200E"/>
    <w:rsid w:val="00113768"/>
    <w:rsid w:val="00116B38"/>
    <w:rsid w:val="00135406"/>
    <w:rsid w:val="00135464"/>
    <w:rsid w:val="00135972"/>
    <w:rsid w:val="001426A9"/>
    <w:rsid w:val="00147423"/>
    <w:rsid w:val="001534EC"/>
    <w:rsid w:val="00154D7C"/>
    <w:rsid w:val="001570B0"/>
    <w:rsid w:val="0015752C"/>
    <w:rsid w:val="00157737"/>
    <w:rsid w:val="00165277"/>
    <w:rsid w:val="00170592"/>
    <w:rsid w:val="001720F7"/>
    <w:rsid w:val="001752B7"/>
    <w:rsid w:val="001838C5"/>
    <w:rsid w:val="00191719"/>
    <w:rsid w:val="00195D83"/>
    <w:rsid w:val="001A00C1"/>
    <w:rsid w:val="001B13B9"/>
    <w:rsid w:val="001B23C5"/>
    <w:rsid w:val="001B33E0"/>
    <w:rsid w:val="001B4573"/>
    <w:rsid w:val="001C779F"/>
    <w:rsid w:val="001D2AC1"/>
    <w:rsid w:val="001D4E88"/>
    <w:rsid w:val="001E3827"/>
    <w:rsid w:val="001F5838"/>
    <w:rsid w:val="001F5FC0"/>
    <w:rsid w:val="002164FB"/>
    <w:rsid w:val="00220FC2"/>
    <w:rsid w:val="002222F4"/>
    <w:rsid w:val="00224FC0"/>
    <w:rsid w:val="00225EA4"/>
    <w:rsid w:val="00226EAF"/>
    <w:rsid w:val="00231F3A"/>
    <w:rsid w:val="002406EE"/>
    <w:rsid w:val="00243EC8"/>
    <w:rsid w:val="00255090"/>
    <w:rsid w:val="00270D93"/>
    <w:rsid w:val="002745CC"/>
    <w:rsid w:val="00275D00"/>
    <w:rsid w:val="00297E63"/>
    <w:rsid w:val="002A7CA7"/>
    <w:rsid w:val="002B6FBE"/>
    <w:rsid w:val="002B7924"/>
    <w:rsid w:val="002C10A6"/>
    <w:rsid w:val="002C4E88"/>
    <w:rsid w:val="002D28C3"/>
    <w:rsid w:val="002D39A4"/>
    <w:rsid w:val="002E6705"/>
    <w:rsid w:val="0030329A"/>
    <w:rsid w:val="00303B13"/>
    <w:rsid w:val="0031086F"/>
    <w:rsid w:val="0031414C"/>
    <w:rsid w:val="00314E01"/>
    <w:rsid w:val="0032089D"/>
    <w:rsid w:val="003310DE"/>
    <w:rsid w:val="00332333"/>
    <w:rsid w:val="003323B0"/>
    <w:rsid w:val="00340A49"/>
    <w:rsid w:val="0035169A"/>
    <w:rsid w:val="0035259D"/>
    <w:rsid w:val="003564AB"/>
    <w:rsid w:val="00364B18"/>
    <w:rsid w:val="00365260"/>
    <w:rsid w:val="00374376"/>
    <w:rsid w:val="003A125D"/>
    <w:rsid w:val="003A4C70"/>
    <w:rsid w:val="003B215F"/>
    <w:rsid w:val="003B36F3"/>
    <w:rsid w:val="003C206C"/>
    <w:rsid w:val="003C5BAD"/>
    <w:rsid w:val="003C799C"/>
    <w:rsid w:val="003D0399"/>
    <w:rsid w:val="003D30ED"/>
    <w:rsid w:val="003E1C71"/>
    <w:rsid w:val="003F327B"/>
    <w:rsid w:val="003F6A87"/>
    <w:rsid w:val="00403DA8"/>
    <w:rsid w:val="00405B64"/>
    <w:rsid w:val="00406166"/>
    <w:rsid w:val="0040704B"/>
    <w:rsid w:val="00410A55"/>
    <w:rsid w:val="00411300"/>
    <w:rsid w:val="00413F17"/>
    <w:rsid w:val="00415417"/>
    <w:rsid w:val="00426659"/>
    <w:rsid w:val="00447D27"/>
    <w:rsid w:val="00450352"/>
    <w:rsid w:val="00453C65"/>
    <w:rsid w:val="00454BDB"/>
    <w:rsid w:val="00465132"/>
    <w:rsid w:val="00480C90"/>
    <w:rsid w:val="0048396F"/>
    <w:rsid w:val="00487628"/>
    <w:rsid w:val="004939DA"/>
    <w:rsid w:val="00493C18"/>
    <w:rsid w:val="004953C1"/>
    <w:rsid w:val="00496358"/>
    <w:rsid w:val="004A600C"/>
    <w:rsid w:val="004A6118"/>
    <w:rsid w:val="004C478D"/>
    <w:rsid w:val="004C6ADB"/>
    <w:rsid w:val="004D0925"/>
    <w:rsid w:val="004D7D95"/>
    <w:rsid w:val="004E2C26"/>
    <w:rsid w:val="004E2E9E"/>
    <w:rsid w:val="004E303D"/>
    <w:rsid w:val="004E34F7"/>
    <w:rsid w:val="004F1981"/>
    <w:rsid w:val="0050464C"/>
    <w:rsid w:val="0050473F"/>
    <w:rsid w:val="005125A8"/>
    <w:rsid w:val="00517549"/>
    <w:rsid w:val="00520ABC"/>
    <w:rsid w:val="00521AE8"/>
    <w:rsid w:val="005229CB"/>
    <w:rsid w:val="00527180"/>
    <w:rsid w:val="0054162E"/>
    <w:rsid w:val="00543C6F"/>
    <w:rsid w:val="00545398"/>
    <w:rsid w:val="005540C7"/>
    <w:rsid w:val="00555291"/>
    <w:rsid w:val="00566AD1"/>
    <w:rsid w:val="00581BBF"/>
    <w:rsid w:val="00583EDE"/>
    <w:rsid w:val="005A3020"/>
    <w:rsid w:val="005A6079"/>
    <w:rsid w:val="005B1536"/>
    <w:rsid w:val="005E4698"/>
    <w:rsid w:val="00603924"/>
    <w:rsid w:val="00610539"/>
    <w:rsid w:val="00613969"/>
    <w:rsid w:val="006200AB"/>
    <w:rsid w:val="00625C35"/>
    <w:rsid w:val="006430BC"/>
    <w:rsid w:val="00645D96"/>
    <w:rsid w:val="00647E49"/>
    <w:rsid w:val="00656313"/>
    <w:rsid w:val="006565F4"/>
    <w:rsid w:val="006615B9"/>
    <w:rsid w:val="00670F90"/>
    <w:rsid w:val="00671652"/>
    <w:rsid w:val="00684EEA"/>
    <w:rsid w:val="0069689B"/>
    <w:rsid w:val="006A1EA1"/>
    <w:rsid w:val="006A4031"/>
    <w:rsid w:val="006B5FF5"/>
    <w:rsid w:val="006C11C8"/>
    <w:rsid w:val="006D1629"/>
    <w:rsid w:val="006D68FF"/>
    <w:rsid w:val="006F30AF"/>
    <w:rsid w:val="006F4A10"/>
    <w:rsid w:val="00701759"/>
    <w:rsid w:val="00705C15"/>
    <w:rsid w:val="007110F6"/>
    <w:rsid w:val="007208D1"/>
    <w:rsid w:val="007241A7"/>
    <w:rsid w:val="00726AEB"/>
    <w:rsid w:val="007305B7"/>
    <w:rsid w:val="007317FF"/>
    <w:rsid w:val="00744518"/>
    <w:rsid w:val="00747288"/>
    <w:rsid w:val="00747DD3"/>
    <w:rsid w:val="007549C8"/>
    <w:rsid w:val="00766D14"/>
    <w:rsid w:val="00767A0F"/>
    <w:rsid w:val="00772A36"/>
    <w:rsid w:val="00776A6D"/>
    <w:rsid w:val="0078139F"/>
    <w:rsid w:val="00791272"/>
    <w:rsid w:val="0079252A"/>
    <w:rsid w:val="007A05F6"/>
    <w:rsid w:val="007B6F4A"/>
    <w:rsid w:val="007C1883"/>
    <w:rsid w:val="007C6100"/>
    <w:rsid w:val="007D42E4"/>
    <w:rsid w:val="007E1C47"/>
    <w:rsid w:val="007E337A"/>
    <w:rsid w:val="007E5C70"/>
    <w:rsid w:val="007F2FF5"/>
    <w:rsid w:val="007F3F08"/>
    <w:rsid w:val="00804CC6"/>
    <w:rsid w:val="00806A57"/>
    <w:rsid w:val="00817190"/>
    <w:rsid w:val="008234B1"/>
    <w:rsid w:val="00825005"/>
    <w:rsid w:val="008260E2"/>
    <w:rsid w:val="008322BD"/>
    <w:rsid w:val="00834F73"/>
    <w:rsid w:val="00852A9E"/>
    <w:rsid w:val="00853984"/>
    <w:rsid w:val="00856E6C"/>
    <w:rsid w:val="00864C8A"/>
    <w:rsid w:val="00864CF8"/>
    <w:rsid w:val="00874914"/>
    <w:rsid w:val="00890F24"/>
    <w:rsid w:val="00891422"/>
    <w:rsid w:val="00892E1A"/>
    <w:rsid w:val="008B51FF"/>
    <w:rsid w:val="008B660A"/>
    <w:rsid w:val="008B70C6"/>
    <w:rsid w:val="008C01DA"/>
    <w:rsid w:val="008D7CFF"/>
    <w:rsid w:val="008E7CDB"/>
    <w:rsid w:val="008F2674"/>
    <w:rsid w:val="008F78E9"/>
    <w:rsid w:val="00900247"/>
    <w:rsid w:val="00911690"/>
    <w:rsid w:val="009179F9"/>
    <w:rsid w:val="00917C7A"/>
    <w:rsid w:val="00922C20"/>
    <w:rsid w:val="00933047"/>
    <w:rsid w:val="00933A9D"/>
    <w:rsid w:val="00933E5E"/>
    <w:rsid w:val="00935218"/>
    <w:rsid w:val="00937C52"/>
    <w:rsid w:val="009403F3"/>
    <w:rsid w:val="009555B7"/>
    <w:rsid w:val="009567AA"/>
    <w:rsid w:val="009602C9"/>
    <w:rsid w:val="00967374"/>
    <w:rsid w:val="0097439A"/>
    <w:rsid w:val="009820A3"/>
    <w:rsid w:val="00982E62"/>
    <w:rsid w:val="009A0B4E"/>
    <w:rsid w:val="009A343A"/>
    <w:rsid w:val="009A6BAD"/>
    <w:rsid w:val="009B2F23"/>
    <w:rsid w:val="009B57B3"/>
    <w:rsid w:val="009B668F"/>
    <w:rsid w:val="009D2920"/>
    <w:rsid w:val="009D5AEB"/>
    <w:rsid w:val="009F0E33"/>
    <w:rsid w:val="00A072A2"/>
    <w:rsid w:val="00A149DF"/>
    <w:rsid w:val="00A1755C"/>
    <w:rsid w:val="00A2186B"/>
    <w:rsid w:val="00A21B90"/>
    <w:rsid w:val="00A22776"/>
    <w:rsid w:val="00A22AAC"/>
    <w:rsid w:val="00A24078"/>
    <w:rsid w:val="00A34400"/>
    <w:rsid w:val="00A41805"/>
    <w:rsid w:val="00A51882"/>
    <w:rsid w:val="00A52AFB"/>
    <w:rsid w:val="00A533A7"/>
    <w:rsid w:val="00A548CB"/>
    <w:rsid w:val="00A5521C"/>
    <w:rsid w:val="00A643E7"/>
    <w:rsid w:val="00A73C38"/>
    <w:rsid w:val="00A921A7"/>
    <w:rsid w:val="00A92381"/>
    <w:rsid w:val="00A9405B"/>
    <w:rsid w:val="00AB5D61"/>
    <w:rsid w:val="00AB670D"/>
    <w:rsid w:val="00AC2158"/>
    <w:rsid w:val="00AC4FCE"/>
    <w:rsid w:val="00AC7F39"/>
    <w:rsid w:val="00AF03C5"/>
    <w:rsid w:val="00B000D8"/>
    <w:rsid w:val="00B00B58"/>
    <w:rsid w:val="00B00F75"/>
    <w:rsid w:val="00B01BB6"/>
    <w:rsid w:val="00B1015F"/>
    <w:rsid w:val="00B145B6"/>
    <w:rsid w:val="00B24A8C"/>
    <w:rsid w:val="00B279EB"/>
    <w:rsid w:val="00B371F9"/>
    <w:rsid w:val="00B404E6"/>
    <w:rsid w:val="00B40F77"/>
    <w:rsid w:val="00B41F47"/>
    <w:rsid w:val="00B50C81"/>
    <w:rsid w:val="00B557F8"/>
    <w:rsid w:val="00B779FD"/>
    <w:rsid w:val="00B815FC"/>
    <w:rsid w:val="00B820F4"/>
    <w:rsid w:val="00B92C4D"/>
    <w:rsid w:val="00B93FBC"/>
    <w:rsid w:val="00B947C8"/>
    <w:rsid w:val="00BA0360"/>
    <w:rsid w:val="00BA7DA0"/>
    <w:rsid w:val="00BB29F4"/>
    <w:rsid w:val="00BB2EE4"/>
    <w:rsid w:val="00BB4C92"/>
    <w:rsid w:val="00BC2108"/>
    <w:rsid w:val="00BD0E9E"/>
    <w:rsid w:val="00BD1BEC"/>
    <w:rsid w:val="00BD32FF"/>
    <w:rsid w:val="00BD71FB"/>
    <w:rsid w:val="00BE4286"/>
    <w:rsid w:val="00BF6FE9"/>
    <w:rsid w:val="00C02092"/>
    <w:rsid w:val="00C13FD0"/>
    <w:rsid w:val="00C24D91"/>
    <w:rsid w:val="00C26DB2"/>
    <w:rsid w:val="00C47D50"/>
    <w:rsid w:val="00C50E6F"/>
    <w:rsid w:val="00C53F14"/>
    <w:rsid w:val="00C600CF"/>
    <w:rsid w:val="00C6084F"/>
    <w:rsid w:val="00C62A66"/>
    <w:rsid w:val="00C66359"/>
    <w:rsid w:val="00C7133D"/>
    <w:rsid w:val="00C71458"/>
    <w:rsid w:val="00C77613"/>
    <w:rsid w:val="00C828E7"/>
    <w:rsid w:val="00C86719"/>
    <w:rsid w:val="00C90F92"/>
    <w:rsid w:val="00C921DD"/>
    <w:rsid w:val="00C924A5"/>
    <w:rsid w:val="00CA6391"/>
    <w:rsid w:val="00CB5EDD"/>
    <w:rsid w:val="00CB7ABA"/>
    <w:rsid w:val="00CD0BB1"/>
    <w:rsid w:val="00CE036E"/>
    <w:rsid w:val="00CE3171"/>
    <w:rsid w:val="00CF1601"/>
    <w:rsid w:val="00D0172F"/>
    <w:rsid w:val="00D01E33"/>
    <w:rsid w:val="00D02A0A"/>
    <w:rsid w:val="00D068A7"/>
    <w:rsid w:val="00D12E32"/>
    <w:rsid w:val="00D17476"/>
    <w:rsid w:val="00D17B0E"/>
    <w:rsid w:val="00D259D6"/>
    <w:rsid w:val="00D32086"/>
    <w:rsid w:val="00D37A3F"/>
    <w:rsid w:val="00D42781"/>
    <w:rsid w:val="00D4431D"/>
    <w:rsid w:val="00D4667A"/>
    <w:rsid w:val="00D63A1C"/>
    <w:rsid w:val="00D7516F"/>
    <w:rsid w:val="00D84534"/>
    <w:rsid w:val="00D87924"/>
    <w:rsid w:val="00D94068"/>
    <w:rsid w:val="00D94326"/>
    <w:rsid w:val="00D95F8E"/>
    <w:rsid w:val="00DA0590"/>
    <w:rsid w:val="00DA78CD"/>
    <w:rsid w:val="00DC0C95"/>
    <w:rsid w:val="00DC0E99"/>
    <w:rsid w:val="00DC1739"/>
    <w:rsid w:val="00DC1788"/>
    <w:rsid w:val="00DC1E88"/>
    <w:rsid w:val="00DC7AFC"/>
    <w:rsid w:val="00DD447A"/>
    <w:rsid w:val="00DE22CB"/>
    <w:rsid w:val="00DE319C"/>
    <w:rsid w:val="00DF0CA8"/>
    <w:rsid w:val="00DF2B48"/>
    <w:rsid w:val="00DF49A7"/>
    <w:rsid w:val="00E003C2"/>
    <w:rsid w:val="00E07EE2"/>
    <w:rsid w:val="00E07FD1"/>
    <w:rsid w:val="00E14737"/>
    <w:rsid w:val="00E16EC6"/>
    <w:rsid w:val="00E20240"/>
    <w:rsid w:val="00E24573"/>
    <w:rsid w:val="00E25E1E"/>
    <w:rsid w:val="00E27EE7"/>
    <w:rsid w:val="00E35404"/>
    <w:rsid w:val="00E360C0"/>
    <w:rsid w:val="00E36426"/>
    <w:rsid w:val="00E40989"/>
    <w:rsid w:val="00E45109"/>
    <w:rsid w:val="00E4664F"/>
    <w:rsid w:val="00E47B7A"/>
    <w:rsid w:val="00E56A44"/>
    <w:rsid w:val="00E60269"/>
    <w:rsid w:val="00E61664"/>
    <w:rsid w:val="00E63864"/>
    <w:rsid w:val="00E64E98"/>
    <w:rsid w:val="00E71226"/>
    <w:rsid w:val="00E87506"/>
    <w:rsid w:val="00E90FDC"/>
    <w:rsid w:val="00E97830"/>
    <w:rsid w:val="00E97835"/>
    <w:rsid w:val="00EA2FA9"/>
    <w:rsid w:val="00EC0DB9"/>
    <w:rsid w:val="00EC6D1B"/>
    <w:rsid w:val="00EE0830"/>
    <w:rsid w:val="00EE1161"/>
    <w:rsid w:val="00EE6CB8"/>
    <w:rsid w:val="00EF0683"/>
    <w:rsid w:val="00EF4B18"/>
    <w:rsid w:val="00EF6016"/>
    <w:rsid w:val="00F0048C"/>
    <w:rsid w:val="00F0070C"/>
    <w:rsid w:val="00F00EB7"/>
    <w:rsid w:val="00F229F9"/>
    <w:rsid w:val="00F300F0"/>
    <w:rsid w:val="00F354E8"/>
    <w:rsid w:val="00F36AB6"/>
    <w:rsid w:val="00F37A09"/>
    <w:rsid w:val="00F409CE"/>
    <w:rsid w:val="00F4379C"/>
    <w:rsid w:val="00F4379D"/>
    <w:rsid w:val="00F50D2D"/>
    <w:rsid w:val="00F56C8B"/>
    <w:rsid w:val="00F62639"/>
    <w:rsid w:val="00F66495"/>
    <w:rsid w:val="00F66810"/>
    <w:rsid w:val="00F67EC6"/>
    <w:rsid w:val="00F72B5A"/>
    <w:rsid w:val="00F74B13"/>
    <w:rsid w:val="00F80B94"/>
    <w:rsid w:val="00F84DF4"/>
    <w:rsid w:val="00F85C97"/>
    <w:rsid w:val="00F87B7E"/>
    <w:rsid w:val="00FA03F2"/>
    <w:rsid w:val="00FA74A3"/>
    <w:rsid w:val="00FB0A85"/>
    <w:rsid w:val="00FB1890"/>
    <w:rsid w:val="00FB37D2"/>
    <w:rsid w:val="00FC4EFB"/>
    <w:rsid w:val="00FC74D0"/>
    <w:rsid w:val="00FD068D"/>
    <w:rsid w:val="00FD1F62"/>
    <w:rsid w:val="00FD4F28"/>
    <w:rsid w:val="00FD631C"/>
    <w:rsid w:val="00FE36DE"/>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90"/>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ParaNoNdepar-AltN">
    <w:name w:val="Para. No. / Nº de par. - Alt N"/>
    <w:qFormat/>
    <w:rsid w:val="00094CE5"/>
    <w:pPr>
      <w:numPr>
        <w:numId w:val="1"/>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094CE5"/>
    <w:pPr>
      <w:numPr>
        <w:numId w:val="2"/>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094CE5"/>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094CE5"/>
    <w:pPr>
      <w:numPr>
        <w:ilvl w:val="2"/>
      </w:numPr>
      <w:outlineLvl w:val="2"/>
    </w:pPr>
  </w:style>
  <w:style w:type="paragraph" w:customStyle="1" w:styleId="Title4LevelTitre4Niveau">
    <w:name w:val="Title 4 Level / Titre 4 Niveau"/>
    <w:basedOn w:val="Title3LevelTitre3Niveau"/>
    <w:next w:val="ParaNoNdepar-AltN"/>
    <w:uiPriority w:val="4"/>
    <w:qFormat/>
    <w:rsid w:val="00094CE5"/>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094CE5"/>
    <w:pPr>
      <w:numPr>
        <w:ilvl w:val="4"/>
      </w:numPr>
      <w:outlineLvl w:val="4"/>
    </w:pPr>
  </w:style>
  <w:style w:type="paragraph" w:customStyle="1" w:styleId="Title6LevelTitre6Niveau">
    <w:name w:val="Title 6 Level / Titre 6 Niveau"/>
    <w:basedOn w:val="Title5LevelTitre5Niveau"/>
    <w:next w:val="ParaNoNdepar-AltN"/>
    <w:uiPriority w:val="4"/>
    <w:qFormat/>
    <w:rsid w:val="00094CE5"/>
    <w:pPr>
      <w:numPr>
        <w:ilvl w:val="5"/>
      </w:numPr>
      <w:outlineLvl w:val="5"/>
    </w:pPr>
    <w:rPr>
      <w:i/>
      <w:u w:val="none"/>
    </w:rPr>
  </w:style>
  <w:style w:type="character" w:customStyle="1" w:styleId="cohl">
    <w:name w:val="co_hl"/>
    <w:basedOn w:val="DefaultParagraphFont"/>
    <w:rsid w:val="00255090"/>
  </w:style>
  <w:style w:type="paragraph" w:styleId="FootnoteText">
    <w:name w:val="footnote text"/>
    <w:basedOn w:val="Normal"/>
    <w:link w:val="FootnoteTextChar"/>
    <w:uiPriority w:val="99"/>
    <w:unhideWhenUsed/>
    <w:rsid w:val="004C6ADB"/>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4C6ADB"/>
  </w:style>
  <w:style w:type="character" w:styleId="FootnoteReference">
    <w:name w:val="footnote reference"/>
    <w:basedOn w:val="DefaultParagraphFont"/>
    <w:uiPriority w:val="99"/>
    <w:semiHidden/>
    <w:unhideWhenUsed/>
    <w:rsid w:val="004C6ADB"/>
    <w:rPr>
      <w:vertAlign w:val="superscript"/>
    </w:rPr>
  </w:style>
  <w:style w:type="paragraph" w:customStyle="1" w:styleId="SCCLsocOtherPartyRoleSeparator">
    <w:name w:val="SCC.Lsoc.OtherPartyRoleSeparator"/>
    <w:basedOn w:val="Normal"/>
    <w:next w:val="Normal"/>
    <w:link w:val="SCCLsocOtherPartyRoleSeparatorChar"/>
    <w:rsid w:val="003C5BAD"/>
    <w:pPr>
      <w:spacing w:after="480"/>
    </w:pPr>
    <w:rPr>
      <w:rFonts w:eastAsiaTheme="minorHAnsi" w:cstheme="minorBidi"/>
      <w:szCs w:val="22"/>
      <w:lang w:eastAsia="en-US"/>
    </w:rPr>
  </w:style>
  <w:style w:type="paragraph" w:customStyle="1" w:styleId="SCCCoram">
    <w:name w:val="SCC.Coram"/>
    <w:basedOn w:val="Normal"/>
    <w:next w:val="Normal"/>
    <w:link w:val="SCCCoramChar"/>
    <w:rsid w:val="003C5BAD"/>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3C5BAD"/>
    <w:rPr>
      <w:rFonts w:eastAsiaTheme="minorHAnsi" w:cstheme="minorBidi"/>
      <w:sz w:val="24"/>
      <w:szCs w:val="22"/>
      <w:lang w:eastAsia="en-US"/>
    </w:rPr>
  </w:style>
  <w:style w:type="character" w:customStyle="1" w:styleId="SCCLsocOtherPartyRoleSeparatorChar">
    <w:name w:val="SCC.Lsoc.OtherPartyRoleSeparator Char"/>
    <w:basedOn w:val="DefaultParagraphFont"/>
    <w:link w:val="SCCLsocOtherPartyRoleSeparator"/>
    <w:rsid w:val="003C5BAD"/>
    <w:rPr>
      <w:rFonts w:eastAsiaTheme="minorHAnsi" w:cstheme="minorBidi"/>
      <w:sz w:val="24"/>
      <w:szCs w:val="22"/>
      <w:lang w:eastAsia="en-US"/>
    </w:rPr>
  </w:style>
  <w:style w:type="character" w:customStyle="1" w:styleId="SCCBanSummaryChar">
    <w:name w:val="SCC.BanSummary Char"/>
    <w:basedOn w:val="DefaultParagraphFont"/>
    <w:link w:val="SCCBanSummary"/>
    <w:rsid w:val="003C5BAD"/>
    <w:rPr>
      <w:b/>
      <w:sz w:val="24"/>
    </w:rPr>
  </w:style>
  <w:style w:type="table" w:styleId="TableGrid">
    <w:name w:val="Table Grid"/>
    <w:basedOn w:val="TableNormal"/>
    <w:uiPriority w:val="59"/>
    <w:rsid w:val="003C5BAD"/>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3C5BAD"/>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3C5BAD"/>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3C5BAD"/>
    <w:pPr>
      <w:tabs>
        <w:tab w:val="left" w:pos="1166"/>
      </w:tabs>
      <w:spacing w:after="480" w:line="480" w:lineRule="auto"/>
    </w:pPr>
    <w:rPr>
      <w:smallCaps/>
      <w:sz w:val="24"/>
      <w:szCs w:val="24"/>
    </w:rPr>
  </w:style>
  <w:style w:type="paragraph" w:styleId="TOC1">
    <w:name w:val="toc 1"/>
    <w:basedOn w:val="Normal"/>
    <w:next w:val="Normal"/>
    <w:autoRedefine/>
    <w:uiPriority w:val="39"/>
    <w:unhideWhenUsed/>
    <w:rsid w:val="003C5BAD"/>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3C5BAD"/>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3C5BAD"/>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3C5BAD"/>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3C5BAD"/>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3C5BAD"/>
    <w:pPr>
      <w:tabs>
        <w:tab w:val="left" w:pos="2160"/>
        <w:tab w:val="right" w:leader="dot" w:pos="8270"/>
      </w:tabs>
      <w:spacing w:after="100"/>
      <w:ind w:left="1800"/>
    </w:pPr>
    <w:rPr>
      <w:noProof/>
    </w:rPr>
  </w:style>
  <w:style w:type="table" w:customStyle="1" w:styleId="TableGrid1">
    <w:name w:val="Table Grid1"/>
    <w:basedOn w:val="TableNormal"/>
    <w:uiPriority w:val="59"/>
    <w:rsid w:val="003C5BAD"/>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3C5BAD"/>
    <w:pPr>
      <w:tabs>
        <w:tab w:val="left" w:pos="360"/>
      </w:tabs>
      <w:spacing w:before="480" w:after="720"/>
      <w:ind w:left="360" w:hanging="360"/>
      <w:jc w:val="both"/>
      <w:outlineLvl w:val="0"/>
    </w:pPr>
    <w:rPr>
      <w:rFonts w:eastAsiaTheme="minorHAnsi" w:cstheme="minorBidi"/>
      <w:sz w:val="24"/>
      <w:szCs w:val="22"/>
      <w:lang w:eastAsia="en-US"/>
    </w:rPr>
  </w:style>
  <w:style w:type="character" w:styleId="Emphasis">
    <w:name w:val="Emphasis"/>
    <w:basedOn w:val="DefaultParagraphFont"/>
    <w:uiPriority w:val="20"/>
    <w:qFormat/>
    <w:rsid w:val="003C5BAD"/>
    <w:rPr>
      <w:i/>
      <w:iCs/>
    </w:rPr>
  </w:style>
  <w:style w:type="character" w:styleId="Hyperlink">
    <w:name w:val="Hyperlink"/>
    <w:basedOn w:val="DefaultParagraphFont"/>
    <w:uiPriority w:val="99"/>
    <w:unhideWhenUsed/>
    <w:rsid w:val="003C5BAD"/>
    <w:rPr>
      <w:color w:val="0000FF"/>
      <w:u w:val="single"/>
    </w:rPr>
  </w:style>
  <w:style w:type="paragraph" w:styleId="ListParagraph">
    <w:name w:val="List Paragraph"/>
    <w:basedOn w:val="Normal"/>
    <w:uiPriority w:val="34"/>
    <w:qFormat/>
    <w:rsid w:val="003C5BAD"/>
    <w:pPr>
      <w:ind w:left="720"/>
      <w:contextualSpacing/>
    </w:pPr>
    <w:rPr>
      <w:lang w:val="en-US"/>
    </w:rPr>
  </w:style>
  <w:style w:type="character" w:styleId="CommentReference">
    <w:name w:val="annotation reference"/>
    <w:basedOn w:val="DefaultParagraphFont"/>
    <w:uiPriority w:val="99"/>
    <w:semiHidden/>
    <w:unhideWhenUsed/>
    <w:rsid w:val="003C5BAD"/>
    <w:rPr>
      <w:sz w:val="16"/>
      <w:szCs w:val="16"/>
    </w:rPr>
  </w:style>
  <w:style w:type="paragraph" w:styleId="CommentText">
    <w:name w:val="annotation text"/>
    <w:basedOn w:val="Normal"/>
    <w:link w:val="CommentTextChar"/>
    <w:uiPriority w:val="99"/>
    <w:unhideWhenUsed/>
    <w:rsid w:val="003C5BAD"/>
    <w:rPr>
      <w:sz w:val="20"/>
    </w:rPr>
  </w:style>
  <w:style w:type="character" w:customStyle="1" w:styleId="CommentTextChar">
    <w:name w:val="Comment Text Char"/>
    <w:basedOn w:val="DefaultParagraphFont"/>
    <w:link w:val="CommentText"/>
    <w:uiPriority w:val="99"/>
    <w:rsid w:val="003C5BAD"/>
  </w:style>
  <w:style w:type="paragraph" w:styleId="CommentSubject">
    <w:name w:val="annotation subject"/>
    <w:basedOn w:val="CommentText"/>
    <w:next w:val="CommentText"/>
    <w:link w:val="CommentSubjectChar"/>
    <w:uiPriority w:val="99"/>
    <w:semiHidden/>
    <w:unhideWhenUsed/>
    <w:rsid w:val="003C5BAD"/>
    <w:rPr>
      <w:b/>
      <w:bCs/>
    </w:rPr>
  </w:style>
  <w:style w:type="character" w:customStyle="1" w:styleId="CommentSubjectChar">
    <w:name w:val="Comment Subject Char"/>
    <w:basedOn w:val="CommentTextChar"/>
    <w:link w:val="CommentSubject"/>
    <w:uiPriority w:val="99"/>
    <w:semiHidden/>
    <w:rsid w:val="003C5BAD"/>
    <w:rPr>
      <w:b/>
      <w:bCs/>
    </w:rPr>
  </w:style>
  <w:style w:type="paragraph" w:styleId="Revision">
    <w:name w:val="Revision"/>
    <w:hidden/>
    <w:uiPriority w:val="99"/>
    <w:semiHidden/>
    <w:rsid w:val="003C5BAD"/>
    <w:rPr>
      <w:sz w:val="24"/>
      <w:szCs w:val="24"/>
    </w:rPr>
  </w:style>
  <w:style w:type="character" w:customStyle="1" w:styleId="verdana">
    <w:name w:val="verdana"/>
    <w:basedOn w:val="DefaultParagraphFont"/>
    <w:rsid w:val="003C5BAD"/>
  </w:style>
  <w:style w:type="character" w:customStyle="1" w:styleId="hit">
    <w:name w:val="hit"/>
    <w:basedOn w:val="DefaultParagraphFont"/>
    <w:rsid w:val="003C5BAD"/>
  </w:style>
  <w:style w:type="character" w:customStyle="1" w:styleId="highlight">
    <w:name w:val="highlight"/>
    <w:basedOn w:val="DefaultParagraphFont"/>
    <w:rsid w:val="003C5BAD"/>
  </w:style>
  <w:style w:type="character" w:customStyle="1" w:styleId="complet">
    <w:name w:val="complet"/>
    <w:basedOn w:val="DefaultParagraphFont"/>
    <w:rsid w:val="003C5BAD"/>
  </w:style>
  <w:style w:type="character" w:customStyle="1" w:styleId="reflex3-alt">
    <w:name w:val="reflex3-alt"/>
    <w:basedOn w:val="DefaultParagraphFont"/>
    <w:rsid w:val="003C5BAD"/>
  </w:style>
  <w:style w:type="character" w:customStyle="1" w:styleId="11">
    <w:name w:val="11"/>
    <w:basedOn w:val="DefaultParagraphFont"/>
    <w:rsid w:val="003C5BAD"/>
  </w:style>
  <w:style w:type="character" w:customStyle="1" w:styleId="reflex3-block">
    <w:name w:val="reflex3-block"/>
    <w:basedOn w:val="DefaultParagraphFont"/>
    <w:rsid w:val="003C5BAD"/>
  </w:style>
  <w:style w:type="table" w:customStyle="1" w:styleId="TableGrid2">
    <w:name w:val="Table Grid2"/>
    <w:basedOn w:val="TableNormal"/>
    <w:next w:val="TableGrid"/>
    <w:uiPriority w:val="59"/>
    <w:rsid w:val="003C5BAD"/>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CRestrictionOnPublicationText">
    <w:name w:val="SCC.RestrictionOnPublicationText"/>
    <w:basedOn w:val="Normal"/>
    <w:next w:val="Normal"/>
    <w:link w:val="SCCRestrictionOnPublicationTextChar"/>
    <w:rsid w:val="006F4A10"/>
    <w:rPr>
      <w:rFonts w:eastAsiaTheme="minorHAnsi" w:cstheme="minorBidi"/>
      <w:szCs w:val="24"/>
      <w:lang w:val="fr-CA" w:eastAsia="en-US"/>
    </w:rPr>
  </w:style>
  <w:style w:type="character" w:customStyle="1" w:styleId="SCCRestrictionOnPublicationTextChar">
    <w:name w:val="SCC.RestrictionOnPublicationText Char"/>
    <w:basedOn w:val="DefaultParagraphFont"/>
    <w:link w:val="SCCRestrictionOnPublicationText"/>
    <w:rsid w:val="006F4A10"/>
    <w:rPr>
      <w:rFonts w:eastAsiaTheme="minorHAnsi" w:cstheme="minorBidi"/>
      <w:sz w:val="24"/>
      <w:szCs w:val="24"/>
      <w:lang w:val="fr-CA" w:eastAsia="en-US"/>
    </w:rPr>
  </w:style>
  <w:style w:type="character" w:customStyle="1" w:styleId="SCCLsocPartyRoleChar">
    <w:name w:val="SCC.Lsoc.PartyRole Char"/>
    <w:basedOn w:val="DefaultParagraphFont"/>
    <w:rsid w:val="006F4A10"/>
    <w:rPr>
      <w:lang w:val="fr-CA"/>
    </w:rPr>
  </w:style>
  <w:style w:type="paragraph" w:customStyle="1" w:styleId="SCCLsocPrefix">
    <w:name w:val="SCC.Lsoc.Prefix"/>
    <w:basedOn w:val="Normal"/>
    <w:next w:val="Normal"/>
    <w:link w:val="SCCLsocPrefixChar"/>
    <w:rsid w:val="006F4A10"/>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6F4A10"/>
    <w:rPr>
      <w:rFonts w:eastAsiaTheme="minorHAnsi" w:cstheme="minorBidi"/>
      <w:b/>
      <w:smallCaps/>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15157</Words>
  <Characters>78681</Characters>
  <Application>Microsoft Office Word</Application>
  <DocSecurity>0</DocSecurity>
  <Lines>655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2018-05-25T13:51:00Z</dcterms:created>
  <dcterms:modified xsi:type="dcterms:W3CDTF">2019-03-25T19:01:00Z</dcterms:modified>
</cp:coreProperties>
</file>