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7B" w:rsidRDefault="00CF3A7B" w:rsidP="00F46C7F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 o:ole="">
            <v:imagedata r:id="rId7" o:title=""/>
          </v:shape>
          <o:OLEObject Type="Embed" ProgID="Presentations.Drawing.13" ShapeID="_x0000_i1025" DrawAspect="Content" ObjectID="_1615031489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CF3A7B" w:rsidRDefault="00CF3A7B" w:rsidP="00CF3A7B">
      <w:pPr>
        <w:pStyle w:val="Header"/>
      </w:pPr>
    </w:p>
    <w:p w:rsidR="00CF3A7B" w:rsidRPr="001E12E2" w:rsidRDefault="00CF3A7B" w:rsidP="00CF3A7B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F3A7B" w:rsidRDefault="00CF3A7B" w:rsidP="00CF3A7B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CF3A7B" w:rsidRPr="001E12E2" w:rsidTr="00D60C1C">
        <w:trPr>
          <w:cantSplit/>
        </w:trPr>
        <w:tc>
          <w:tcPr>
            <w:tcW w:w="5310" w:type="dxa"/>
          </w:tcPr>
          <w:p w:rsidR="00CF3A7B" w:rsidRPr="005313CD" w:rsidRDefault="00CF3A7B" w:rsidP="00D60C1C">
            <w:pPr>
              <w:rPr>
                <w:lang w:val="fr-CA"/>
              </w:rPr>
            </w:pPr>
            <w:r w:rsidRPr="00CF3A7B">
              <w:rPr>
                <w:b/>
                <w:smallCaps/>
                <w:lang w:val="fr-CA"/>
              </w:rPr>
              <w:t>Référence :</w:t>
            </w:r>
            <w:r w:rsidRPr="00CF3A7B">
              <w:rPr>
                <w:lang w:val="fr-CA"/>
              </w:rPr>
              <w:t xml:space="preserve"> </w:t>
            </w:r>
            <w:r w:rsidRPr="005313CD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CF3A7B">
              <w:rPr>
                <w:i/>
                <w:lang w:val="fr-CA"/>
              </w:rPr>
              <w:t>c.</w:t>
            </w:r>
            <w:r w:rsidRPr="00CF3A7B">
              <w:rPr>
                <w:i/>
                <w:smallCaps/>
                <w:lang w:val="fr-CA"/>
              </w:rPr>
              <w:t xml:space="preserve"> </w:t>
            </w:r>
            <w:r w:rsidRPr="005313CD">
              <w:rPr>
                <w:rStyle w:val="SCCAppellantForRunningHeadChar"/>
                <w:smallCaps w:val="0"/>
                <w:lang w:val="fr-CA"/>
              </w:rPr>
              <w:t>Stephan, 2018 CSC 21, [2018] 1 R.C.S. 633</w:t>
            </w:r>
          </w:p>
        </w:tc>
        <w:tc>
          <w:tcPr>
            <w:tcW w:w="4266" w:type="dxa"/>
          </w:tcPr>
          <w:p w:rsidR="00CF3A7B" w:rsidRPr="00CF3A7B" w:rsidRDefault="00CF3A7B" w:rsidP="00D60C1C">
            <w:pPr>
              <w:rPr>
                <w:lang w:val="fr-CA"/>
              </w:rPr>
            </w:pPr>
            <w:r w:rsidRPr="00CF3A7B">
              <w:rPr>
                <w:b/>
                <w:smallCaps/>
                <w:lang w:val="fr-CA"/>
              </w:rPr>
              <w:t>Appel entendu:</w:t>
            </w:r>
            <w:r w:rsidRPr="00CF3A7B">
              <w:rPr>
                <w:lang w:val="fr-CA"/>
              </w:rPr>
              <w:t xml:space="preserve"> 15 mai 2018</w:t>
            </w:r>
          </w:p>
          <w:p w:rsidR="00CF3A7B" w:rsidRPr="00CF3A7B" w:rsidRDefault="00CF3A7B" w:rsidP="00D60C1C">
            <w:pPr>
              <w:rPr>
                <w:b/>
                <w:smallCaps/>
                <w:lang w:val="fr-CA"/>
              </w:rPr>
            </w:pPr>
            <w:r w:rsidRPr="00CF3A7B">
              <w:rPr>
                <w:b/>
                <w:smallCaps/>
                <w:lang w:val="fr-CA"/>
              </w:rPr>
              <w:t>Jugement rendu :</w:t>
            </w:r>
            <w:r w:rsidRPr="00CF3A7B">
              <w:rPr>
                <w:lang w:val="fr-CA"/>
              </w:rPr>
              <w:t xml:space="preserve"> 15 mai 2018</w:t>
            </w:r>
          </w:p>
          <w:p w:rsidR="00CF3A7B" w:rsidRPr="001E12E2" w:rsidRDefault="00CF3A7B" w:rsidP="00D60C1C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37845, 37846</w:t>
            </w:r>
          </w:p>
        </w:tc>
      </w:tr>
    </w:tbl>
    <w:p w:rsidR="00CF3A7B" w:rsidRDefault="00CF3A7B" w:rsidP="00CF3A7B">
      <w:pPr>
        <w:pStyle w:val="SCCLsocPrefix"/>
      </w:pPr>
    </w:p>
    <w:p w:rsidR="00CF3A7B" w:rsidRDefault="00CF3A7B" w:rsidP="00CF3A7B">
      <w:pPr>
        <w:pStyle w:val="SCCLsocPrefix"/>
      </w:pPr>
    </w:p>
    <w:p w:rsidR="00CF3A7B" w:rsidRDefault="00CF3A7B" w:rsidP="00CF3A7B">
      <w:pPr>
        <w:pStyle w:val="SCCLsocPrefix"/>
      </w:pPr>
      <w:r>
        <w:t>Entre :</w:t>
      </w:r>
    </w:p>
    <w:p w:rsidR="00CF3A7B" w:rsidRPr="00F94606" w:rsidRDefault="00F7105C" w:rsidP="00CF3A7B">
      <w:pPr>
        <w:jc w:val="center"/>
        <w:rPr>
          <w:b/>
        </w:rPr>
      </w:pPr>
      <w:r>
        <w:rPr>
          <w:b/>
        </w:rPr>
        <w:t>Collet</w:t>
      </w:r>
      <w:r w:rsidR="00CF3A7B">
        <w:rPr>
          <w:b/>
        </w:rPr>
        <w:t xml:space="preserve"> Dawn Stephan</w:t>
      </w:r>
    </w:p>
    <w:p w:rsidR="00CF3A7B" w:rsidRPr="00F7105C" w:rsidRDefault="00CF3A7B" w:rsidP="00CF3A7B">
      <w:pPr>
        <w:jc w:val="center"/>
        <w:rPr>
          <w:lang w:val="fr-CA"/>
        </w:rPr>
      </w:pPr>
      <w:r w:rsidRPr="00F7105C">
        <w:rPr>
          <w:lang w:val="fr-CA"/>
        </w:rPr>
        <w:t>Appelant</w:t>
      </w:r>
      <w:r w:rsidR="00726BE6" w:rsidRPr="00F7105C">
        <w:rPr>
          <w:lang w:val="fr-CA"/>
        </w:rPr>
        <w:t>e</w:t>
      </w:r>
    </w:p>
    <w:p w:rsidR="00CF3A7B" w:rsidRPr="00F7105C" w:rsidRDefault="00CF3A7B" w:rsidP="00CF3A7B">
      <w:pPr>
        <w:jc w:val="center"/>
        <w:rPr>
          <w:lang w:val="fr-CA"/>
        </w:rPr>
      </w:pPr>
    </w:p>
    <w:p w:rsidR="00CF3A7B" w:rsidRPr="00F7105C" w:rsidRDefault="00CF3A7B" w:rsidP="00CF3A7B">
      <w:pPr>
        <w:pStyle w:val="SCCLsocVersus"/>
        <w:spacing w:after="0"/>
        <w:jc w:val="center"/>
        <w:rPr>
          <w:i w:val="0"/>
          <w:lang w:val="fr-CA"/>
        </w:rPr>
      </w:pPr>
      <w:r w:rsidRPr="00F7105C">
        <w:rPr>
          <w:i w:val="0"/>
          <w:lang w:val="fr-CA"/>
        </w:rPr>
        <w:t>et</w:t>
      </w:r>
    </w:p>
    <w:p w:rsidR="00CF3A7B" w:rsidRPr="00F7105C" w:rsidRDefault="00CF3A7B" w:rsidP="00CF3A7B">
      <w:pPr>
        <w:jc w:val="center"/>
        <w:rPr>
          <w:lang w:val="fr-CA"/>
        </w:rPr>
      </w:pPr>
    </w:p>
    <w:p w:rsidR="00CF3A7B" w:rsidRPr="00F7105C" w:rsidRDefault="00CF3A7B" w:rsidP="00CF3A7B">
      <w:pPr>
        <w:pStyle w:val="SCCLsocParty"/>
        <w:jc w:val="center"/>
        <w:rPr>
          <w:lang w:val="fr-CA"/>
        </w:rPr>
      </w:pPr>
      <w:r w:rsidRPr="00F7105C">
        <w:rPr>
          <w:lang w:val="fr-CA"/>
        </w:rPr>
        <w:t>Sa Majesté la Reine</w:t>
      </w:r>
    </w:p>
    <w:p w:rsidR="00CF3A7B" w:rsidRPr="00F7105C" w:rsidRDefault="00CF3A7B" w:rsidP="00CF3A7B">
      <w:pPr>
        <w:jc w:val="center"/>
        <w:rPr>
          <w:lang w:val="fr-CA"/>
        </w:rPr>
      </w:pPr>
      <w:r w:rsidRPr="00F7105C">
        <w:rPr>
          <w:lang w:val="fr-CA"/>
        </w:rPr>
        <w:t>Intimée</w:t>
      </w:r>
    </w:p>
    <w:p w:rsidR="00CF3A7B" w:rsidRPr="00F7105C" w:rsidRDefault="00CF3A7B" w:rsidP="00CF3A7B">
      <w:pPr>
        <w:jc w:val="center"/>
        <w:rPr>
          <w:lang w:val="fr-CA"/>
        </w:rPr>
      </w:pPr>
    </w:p>
    <w:p w:rsidR="00CF3A7B" w:rsidRPr="00F7105C" w:rsidRDefault="00CF3A7B" w:rsidP="00CF3A7B">
      <w:pPr>
        <w:rPr>
          <w:b/>
          <w:smallCaps/>
          <w:lang w:val="fr-CA"/>
        </w:rPr>
      </w:pPr>
    </w:p>
    <w:p w:rsidR="00CF3A7B" w:rsidRPr="00CF3A7B" w:rsidRDefault="00CF3A7B" w:rsidP="00CF3A7B">
      <w:pPr>
        <w:rPr>
          <w:b/>
          <w:lang w:val="fr-CA"/>
        </w:rPr>
      </w:pPr>
      <w:r w:rsidRPr="00CF3A7B">
        <w:rPr>
          <w:b/>
          <w:smallCaps/>
          <w:lang w:val="fr-CA"/>
        </w:rPr>
        <w:t>Et</w:t>
      </w:r>
      <w:r w:rsidR="00D31926">
        <w:rPr>
          <w:b/>
          <w:smallCaps/>
          <w:lang w:val="fr-CA"/>
        </w:rPr>
        <w:t xml:space="preserve"> entre</w:t>
      </w:r>
      <w:r w:rsidRPr="00CF3A7B">
        <w:rPr>
          <w:b/>
          <w:lang w:val="fr-CA"/>
        </w:rPr>
        <w:t> :</w:t>
      </w:r>
    </w:p>
    <w:p w:rsidR="00CF3A7B" w:rsidRPr="00CF3A7B" w:rsidRDefault="00CF3A7B" w:rsidP="00CF3A7B">
      <w:pPr>
        <w:rPr>
          <w:lang w:val="fr-CA"/>
        </w:rPr>
      </w:pPr>
    </w:p>
    <w:p w:rsidR="00CF3A7B" w:rsidRPr="00CF3A7B" w:rsidRDefault="00CF3A7B" w:rsidP="00CF3A7B">
      <w:pPr>
        <w:jc w:val="center"/>
        <w:rPr>
          <w:b/>
          <w:lang w:val="fr-CA"/>
        </w:rPr>
      </w:pPr>
      <w:r w:rsidRPr="00CF3A7B">
        <w:rPr>
          <w:b/>
          <w:lang w:val="fr-CA"/>
        </w:rPr>
        <w:t>David Robert Stephan</w:t>
      </w:r>
    </w:p>
    <w:p w:rsidR="00CF3A7B" w:rsidRPr="00CF3A7B" w:rsidRDefault="00CF3A7B" w:rsidP="00CF3A7B">
      <w:pPr>
        <w:jc w:val="center"/>
        <w:rPr>
          <w:lang w:val="fr-CA"/>
        </w:rPr>
      </w:pPr>
      <w:r w:rsidRPr="00CF3A7B">
        <w:rPr>
          <w:lang w:val="fr-CA"/>
        </w:rPr>
        <w:t>Appelant</w:t>
      </w:r>
    </w:p>
    <w:p w:rsidR="00CF3A7B" w:rsidRPr="00CF3A7B" w:rsidRDefault="00CF3A7B" w:rsidP="00CF3A7B">
      <w:pPr>
        <w:jc w:val="center"/>
        <w:rPr>
          <w:lang w:val="fr-CA"/>
        </w:rPr>
      </w:pPr>
    </w:p>
    <w:p w:rsidR="00CF3A7B" w:rsidRPr="00CF3A7B" w:rsidRDefault="00CF3A7B" w:rsidP="00CF3A7B">
      <w:pPr>
        <w:jc w:val="center"/>
        <w:rPr>
          <w:lang w:val="fr-CA"/>
        </w:rPr>
      </w:pPr>
      <w:proofErr w:type="gramStart"/>
      <w:r w:rsidRPr="00CF3A7B">
        <w:rPr>
          <w:lang w:val="fr-CA"/>
        </w:rPr>
        <w:t>et</w:t>
      </w:r>
      <w:proofErr w:type="gramEnd"/>
    </w:p>
    <w:p w:rsidR="00CF3A7B" w:rsidRPr="00CF3A7B" w:rsidRDefault="00CF3A7B" w:rsidP="00CF3A7B">
      <w:pPr>
        <w:jc w:val="center"/>
        <w:rPr>
          <w:lang w:val="fr-CA"/>
        </w:rPr>
      </w:pPr>
    </w:p>
    <w:p w:rsidR="00CF3A7B" w:rsidRPr="00CF3A7B" w:rsidRDefault="00CF3A7B" w:rsidP="00CF3A7B">
      <w:pPr>
        <w:jc w:val="center"/>
        <w:rPr>
          <w:b/>
          <w:lang w:val="fr-CA"/>
        </w:rPr>
      </w:pPr>
      <w:r w:rsidRPr="00CF3A7B">
        <w:rPr>
          <w:b/>
          <w:lang w:val="fr-CA"/>
        </w:rPr>
        <w:t>Sa Majesté la Reine</w:t>
      </w:r>
    </w:p>
    <w:p w:rsidR="00CF3A7B" w:rsidRPr="00CF3A7B" w:rsidRDefault="00CF3A7B" w:rsidP="00CF3A7B">
      <w:pPr>
        <w:jc w:val="center"/>
        <w:rPr>
          <w:lang w:val="fr-CA"/>
        </w:rPr>
      </w:pPr>
      <w:r w:rsidRPr="00CF3A7B">
        <w:rPr>
          <w:lang w:val="fr-CA"/>
        </w:rPr>
        <w:t>Intimée</w:t>
      </w:r>
    </w:p>
    <w:p w:rsidR="00CF3A7B" w:rsidRPr="00CF3A7B" w:rsidRDefault="00CF3A7B" w:rsidP="00CF3A7B">
      <w:pPr>
        <w:rPr>
          <w:lang w:val="fr-CA"/>
        </w:rPr>
      </w:pPr>
    </w:p>
    <w:p w:rsidR="00CF3A7B" w:rsidRPr="00CF3A7B" w:rsidRDefault="00CF3A7B" w:rsidP="00CF3A7B">
      <w:pPr>
        <w:rPr>
          <w:lang w:val="fr-CA"/>
        </w:rPr>
      </w:pPr>
    </w:p>
    <w:p w:rsidR="00CF3A7B" w:rsidRPr="00CF3A7B" w:rsidRDefault="00CF3A7B" w:rsidP="00CF3A7B">
      <w:pPr>
        <w:rPr>
          <w:lang w:val="fr-CA"/>
        </w:rPr>
      </w:pPr>
    </w:p>
    <w:p w:rsidR="00CF3A7B" w:rsidRPr="00CF3A7B" w:rsidRDefault="00CF3A7B" w:rsidP="00CF3A7B">
      <w:pPr>
        <w:jc w:val="center"/>
        <w:rPr>
          <w:b/>
          <w:smallCaps/>
          <w:lang w:val="fr-CA"/>
        </w:rPr>
      </w:pPr>
      <w:r w:rsidRPr="00CF3A7B">
        <w:rPr>
          <w:b/>
          <w:smallCaps/>
          <w:lang w:val="fr-CA"/>
        </w:rPr>
        <w:t>Traduction française officielle</w:t>
      </w:r>
    </w:p>
    <w:p w:rsidR="00CF3A7B" w:rsidRPr="00CF3A7B" w:rsidRDefault="00CF3A7B" w:rsidP="00CF3A7B">
      <w:pPr>
        <w:rPr>
          <w:lang w:val="fr-CA"/>
        </w:rPr>
      </w:pPr>
    </w:p>
    <w:p w:rsidR="00CF3A7B" w:rsidRPr="00CF3A7B" w:rsidRDefault="00CF3A7B" w:rsidP="00CF3A7B">
      <w:pPr>
        <w:rPr>
          <w:lang w:val="fr-CA"/>
        </w:rPr>
      </w:pPr>
      <w:r w:rsidRPr="00CF3A7B">
        <w:rPr>
          <w:b/>
          <w:smallCaps/>
          <w:lang w:val="fr-CA"/>
        </w:rPr>
        <w:t>Coram :</w:t>
      </w:r>
      <w:r w:rsidRPr="00CF3A7B">
        <w:rPr>
          <w:lang w:val="fr-CA"/>
        </w:rPr>
        <w:t xml:space="preserve"> </w:t>
      </w:r>
      <w:r w:rsidRPr="00FE25E3">
        <w:rPr>
          <w:lang w:val="fr-CA"/>
        </w:rPr>
        <w:t>Le juge en chef Wagner et les juges Abella, Moldaver, Karakatsanis, Gascon, Côté et Rowe</w:t>
      </w:r>
    </w:p>
    <w:p w:rsidR="00CF3A7B" w:rsidRPr="00CF3A7B" w:rsidRDefault="00CF3A7B" w:rsidP="00CF3A7B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F3A7B" w:rsidRPr="00F46C7F" w:rsidTr="00D60C1C">
        <w:trPr>
          <w:cantSplit/>
        </w:trPr>
        <w:tc>
          <w:tcPr>
            <w:tcW w:w="3618" w:type="dxa"/>
          </w:tcPr>
          <w:p w:rsidR="00CF3A7B" w:rsidRPr="00CF3A7B" w:rsidRDefault="00CF3A7B" w:rsidP="00D60C1C">
            <w:pPr>
              <w:rPr>
                <w:b/>
                <w:smallCaps/>
                <w:lang w:val="fr-CA"/>
              </w:rPr>
            </w:pPr>
            <w:r w:rsidRPr="00CF3A7B">
              <w:rPr>
                <w:b/>
                <w:smallCaps/>
                <w:lang w:val="fr-CA"/>
              </w:rPr>
              <w:t>Motifs de jugement :</w:t>
            </w:r>
          </w:p>
          <w:p w:rsidR="00CF3A7B" w:rsidRPr="00CF3A7B" w:rsidRDefault="00CF3A7B" w:rsidP="00D60C1C">
            <w:pPr>
              <w:rPr>
                <w:lang w:val="fr-CA"/>
              </w:rPr>
            </w:pPr>
            <w:r w:rsidRPr="00CF3A7B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CF3A7B" w:rsidRPr="00CF3A7B" w:rsidRDefault="00CF3A7B" w:rsidP="00D60C1C">
            <w:pPr>
              <w:rPr>
                <w:lang w:val="fr-CA"/>
              </w:rPr>
            </w:pPr>
            <w:r w:rsidRPr="00CF3A7B">
              <w:rPr>
                <w:lang w:val="fr-CA"/>
              </w:rPr>
              <w:t>Le juge Moldaver (avec l’accord du juge en chef Wagner et des juges Abella, Karakatsanis, Gascon, Côté et Rowe)</w:t>
            </w:r>
          </w:p>
        </w:tc>
      </w:tr>
    </w:tbl>
    <w:p w:rsidR="00CF3A7B" w:rsidRPr="00CF3A7B" w:rsidRDefault="00CF3A7B" w:rsidP="00CF3A7B">
      <w:pPr>
        <w:rPr>
          <w:rStyle w:val="SCCAppellantForRunningHeadChar"/>
          <w:smallCaps w:val="0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8E7B4" wp14:editId="4AADB23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6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F3A7B" w:rsidRPr="00CF3A7B" w:rsidRDefault="00CF3A7B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51241E" w:rsidRDefault="0051241E" w:rsidP="004D7D95">
      <w:pPr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lastRenderedPageBreak/>
        <w:t>R</w:t>
      </w:r>
      <w:r w:rsidR="00320CFE" w:rsidRPr="0051241E">
        <w:rPr>
          <w:rStyle w:val="SCCAppellantForRunningHeadChar"/>
          <w:smallCaps w:val="0"/>
        </w:rPr>
        <w:t xml:space="preserve">. </w:t>
      </w:r>
      <w:r w:rsidR="00320CFE" w:rsidRPr="0051241E">
        <w:rPr>
          <w:i/>
        </w:rPr>
        <w:t>c.</w:t>
      </w:r>
      <w:r w:rsidR="00320CFE" w:rsidRPr="0051241E">
        <w:rPr>
          <w:i/>
          <w:smallCaps/>
        </w:rPr>
        <w:t xml:space="preserve"> </w:t>
      </w:r>
      <w:r>
        <w:rPr>
          <w:rStyle w:val="SCCAppellantForRunningHeadChar"/>
          <w:smallCaps w:val="0"/>
        </w:rPr>
        <w:t>S</w:t>
      </w:r>
      <w:r w:rsidR="004D7D95" w:rsidRPr="0051241E">
        <w:rPr>
          <w:rStyle w:val="SCCAppellantForRunningHeadChar"/>
          <w:smallCaps w:val="0"/>
        </w:rPr>
        <w:t>tephan</w:t>
      </w:r>
      <w:r>
        <w:rPr>
          <w:rStyle w:val="SCCAppellantForRunningHeadChar"/>
          <w:smallCaps w:val="0"/>
        </w:rPr>
        <w:t>, 2018 CSC 21, [2018] 1 R.C.S. 633</w:t>
      </w:r>
    </w:p>
    <w:p w:rsidR="004D7D95" w:rsidRPr="00320CFE" w:rsidRDefault="004D7D95" w:rsidP="004D7D95">
      <w:pPr>
        <w:jc w:val="both"/>
      </w:pPr>
    </w:p>
    <w:p w:rsidR="004D7D95" w:rsidRPr="00320CFE" w:rsidRDefault="004D7D95" w:rsidP="004D7D95">
      <w:pPr>
        <w:jc w:val="both"/>
      </w:pPr>
    </w:p>
    <w:p w:rsidR="004D7D95" w:rsidRPr="00320CFE" w:rsidRDefault="004D7D95" w:rsidP="004D7D95">
      <w:pPr>
        <w:jc w:val="both"/>
      </w:pPr>
    </w:p>
    <w:p w:rsidR="003D774B" w:rsidRPr="00726BE6" w:rsidRDefault="00FE25E3">
      <w:pPr>
        <w:pStyle w:val="SCCLsocLastPartyInRole"/>
        <w:rPr>
          <w:lang w:val="fr-CA"/>
        </w:rPr>
      </w:pPr>
      <w:r w:rsidRPr="00726BE6">
        <w:rPr>
          <w:lang w:val="fr-CA"/>
        </w:rPr>
        <w:t>Collet Dawn Stephan</w:t>
      </w:r>
      <w:r w:rsidRPr="00726BE6">
        <w:rPr>
          <w:rStyle w:val="SCCLsocPartyRole"/>
          <w:lang w:val="fr-CA"/>
        </w:rPr>
        <w:tab/>
        <w:t>Appelant</w:t>
      </w:r>
      <w:r w:rsidR="000C262B" w:rsidRPr="00726BE6">
        <w:rPr>
          <w:rStyle w:val="SCCLsocPartyRole"/>
          <w:lang w:val="fr-CA"/>
        </w:rPr>
        <w:t>e</w:t>
      </w:r>
    </w:p>
    <w:p w:rsidR="003D774B" w:rsidRPr="00FE25E3" w:rsidRDefault="00FE25E3">
      <w:pPr>
        <w:pStyle w:val="SCCLsocVersus"/>
        <w:rPr>
          <w:lang w:val="fr-CA"/>
        </w:rPr>
      </w:pPr>
      <w:proofErr w:type="gramStart"/>
      <w:r w:rsidRPr="00FE25E3">
        <w:rPr>
          <w:lang w:val="fr-CA"/>
        </w:rPr>
        <w:t>c</w:t>
      </w:r>
      <w:proofErr w:type="gramEnd"/>
      <w:r w:rsidRPr="00FE25E3">
        <w:rPr>
          <w:lang w:val="fr-CA"/>
        </w:rPr>
        <w:t>.</w:t>
      </w:r>
    </w:p>
    <w:p w:rsidR="003D774B" w:rsidRPr="00FE25E3" w:rsidRDefault="00FE25E3">
      <w:pPr>
        <w:pStyle w:val="SCCLsocLastPartyInRole"/>
        <w:rPr>
          <w:lang w:val="fr-CA"/>
        </w:rPr>
      </w:pPr>
      <w:r w:rsidRPr="00FE25E3">
        <w:rPr>
          <w:lang w:val="fr-CA"/>
        </w:rPr>
        <w:t>Sa Majesté la Reine</w:t>
      </w:r>
      <w:r w:rsidR="00320CFE">
        <w:rPr>
          <w:rStyle w:val="SCCLsocPartyRole"/>
          <w:lang w:val="fr-CA"/>
        </w:rPr>
        <w:tab/>
        <w:t>Intimé</w:t>
      </w:r>
      <w:r w:rsidRPr="00FE25E3">
        <w:rPr>
          <w:rStyle w:val="SCCLsocPartyRole"/>
          <w:lang w:val="fr-CA"/>
        </w:rPr>
        <w:t>e</w:t>
      </w:r>
    </w:p>
    <w:p w:rsidR="004D7D95" w:rsidRPr="00A6693D" w:rsidRDefault="005A3351" w:rsidP="00A6693D">
      <w:pPr>
        <w:pStyle w:val="SCCLsocVersus"/>
        <w:rPr>
          <w:i w:val="0"/>
          <w:lang w:val="fr-CA"/>
        </w:rPr>
      </w:pPr>
      <w:r w:rsidRPr="00A6693D">
        <w:rPr>
          <w:i w:val="0"/>
          <w:lang w:val="fr-CA"/>
        </w:rPr>
        <w:t xml:space="preserve">- et - </w:t>
      </w:r>
    </w:p>
    <w:p w:rsidR="00A6693D" w:rsidRPr="00A6693D" w:rsidRDefault="00A6693D" w:rsidP="00A6693D">
      <w:pPr>
        <w:pStyle w:val="SCCLsocLastPartyInRole"/>
        <w:rPr>
          <w:b w:val="0"/>
          <w:lang w:val="fr-CA"/>
        </w:rPr>
      </w:pPr>
      <w:r w:rsidRPr="00A6693D">
        <w:rPr>
          <w:lang w:val="fr-CA"/>
        </w:rPr>
        <w:t>David Robert Stephan</w:t>
      </w:r>
      <w:r w:rsidRPr="00A6693D">
        <w:rPr>
          <w:i/>
          <w:lang w:val="fr-CA"/>
        </w:rPr>
        <w:tab/>
      </w:r>
      <w:r w:rsidRPr="00A6693D">
        <w:rPr>
          <w:b w:val="0"/>
          <w:i/>
          <w:lang w:val="fr-CA"/>
        </w:rPr>
        <w:t>Appelant</w:t>
      </w:r>
    </w:p>
    <w:p w:rsidR="00A6693D" w:rsidRPr="00FE25E3" w:rsidRDefault="00A6693D" w:rsidP="00A6693D">
      <w:pPr>
        <w:pStyle w:val="SCCLsocVersus"/>
        <w:rPr>
          <w:lang w:val="fr-CA"/>
        </w:rPr>
      </w:pPr>
      <w:proofErr w:type="gramStart"/>
      <w:r w:rsidRPr="00FE25E3">
        <w:rPr>
          <w:lang w:val="fr-CA"/>
        </w:rPr>
        <w:t>c</w:t>
      </w:r>
      <w:proofErr w:type="gramEnd"/>
      <w:r w:rsidRPr="00FE25E3">
        <w:rPr>
          <w:lang w:val="fr-CA"/>
        </w:rPr>
        <w:t>.</w:t>
      </w:r>
    </w:p>
    <w:p w:rsidR="00A6693D" w:rsidRPr="00FE25E3" w:rsidRDefault="00A6693D" w:rsidP="00A6693D">
      <w:pPr>
        <w:pStyle w:val="SCCLsocLastPartyInRole"/>
        <w:rPr>
          <w:lang w:val="fr-CA"/>
        </w:rPr>
      </w:pPr>
      <w:r w:rsidRPr="00FE25E3">
        <w:rPr>
          <w:lang w:val="fr-CA"/>
        </w:rPr>
        <w:t>Sa Majesté la Reine</w:t>
      </w:r>
      <w:r>
        <w:rPr>
          <w:rStyle w:val="SCCLsocPartyRole"/>
          <w:lang w:val="fr-CA"/>
        </w:rPr>
        <w:tab/>
        <w:t>Intimé</w:t>
      </w:r>
      <w:r w:rsidRPr="00FE25E3">
        <w:rPr>
          <w:rStyle w:val="SCCLsocPartyRole"/>
          <w:lang w:val="fr-CA"/>
        </w:rPr>
        <w:t>e</w:t>
      </w:r>
    </w:p>
    <w:p w:rsidR="005A3351" w:rsidRPr="00FE25E3" w:rsidRDefault="005A3351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320CFE">
        <w:rPr>
          <w:b/>
          <w:lang w:val="fr-CA"/>
        </w:rPr>
        <w:t xml:space="preserve">R. </w:t>
      </w:r>
      <w:r w:rsidR="00320CFE">
        <w:rPr>
          <w:b/>
          <w:i/>
          <w:lang w:val="fr-CA"/>
        </w:rPr>
        <w:t xml:space="preserve">c. </w:t>
      </w:r>
      <w:r w:rsidRPr="00FE25E3">
        <w:rPr>
          <w:rStyle w:val="SCCAppellantForIndexChar"/>
          <w:lang w:val="fr-CA"/>
        </w:rPr>
        <w:t>Stephan</w:t>
      </w: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D17B0E" w:rsidP="004D7D95">
      <w:pPr>
        <w:pStyle w:val="SCCSystemYear"/>
        <w:jc w:val="both"/>
        <w:rPr>
          <w:lang w:val="fr-CA"/>
        </w:rPr>
      </w:pPr>
      <w:r w:rsidRPr="00FE25E3">
        <w:rPr>
          <w:lang w:val="fr-CA"/>
        </w:rPr>
        <w:t>2018</w:t>
      </w:r>
      <w:r w:rsidR="00320CFE">
        <w:rPr>
          <w:lang w:val="fr-CA"/>
        </w:rPr>
        <w:t xml:space="preserve"> CSC 21</w:t>
      </w: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  <w:r w:rsidRPr="00FE25E3">
        <w:rPr>
          <w:lang w:val="fr-CA"/>
        </w:rPr>
        <w:t>N</w:t>
      </w:r>
      <w:r w:rsidRPr="00FE25E3">
        <w:rPr>
          <w:vertAlign w:val="superscript"/>
          <w:lang w:val="fr-CA"/>
        </w:rPr>
        <w:t>o</w:t>
      </w:r>
      <w:r w:rsidR="00BA2775">
        <w:rPr>
          <w:vertAlign w:val="superscript"/>
          <w:lang w:val="fr-CA"/>
        </w:rPr>
        <w:t>s</w:t>
      </w:r>
      <w:r w:rsidRPr="00FE25E3">
        <w:rPr>
          <w:lang w:val="fr-CA"/>
        </w:rPr>
        <w:t xml:space="preserve"> du greffe : 37845</w:t>
      </w:r>
      <w:r w:rsidR="008A4672">
        <w:rPr>
          <w:lang w:val="fr-CA"/>
        </w:rPr>
        <w:t>, 37846</w:t>
      </w:r>
      <w:r w:rsidRPr="00FE25E3">
        <w:rPr>
          <w:lang w:val="fr-CA"/>
        </w:rPr>
        <w:t>.</w:t>
      </w: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D17B0E" w:rsidP="004D7D95">
      <w:pPr>
        <w:jc w:val="both"/>
        <w:rPr>
          <w:lang w:val="fr-CA"/>
        </w:rPr>
      </w:pPr>
      <w:r w:rsidRPr="00FE25E3">
        <w:rPr>
          <w:lang w:val="fr-CA"/>
        </w:rPr>
        <w:lastRenderedPageBreak/>
        <w:t>2018 : 15 mai</w:t>
      </w:r>
      <w:r w:rsidR="00320CFE">
        <w:rPr>
          <w:lang w:val="fr-CA"/>
        </w:rPr>
        <w:t>.</w:t>
      </w: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</w:p>
    <w:p w:rsidR="004D7D95" w:rsidRPr="00FE25E3" w:rsidRDefault="004D7D95" w:rsidP="004D7D95">
      <w:pPr>
        <w:jc w:val="both"/>
        <w:rPr>
          <w:lang w:val="fr-CA"/>
        </w:rPr>
      </w:pPr>
      <w:r w:rsidRPr="00FE25E3">
        <w:rPr>
          <w:lang w:val="fr-CA"/>
        </w:rPr>
        <w:t>Présents : Le juge en chef Wagner et les juges Abella, Moldaver, Karakatsanis, Gascon, Côté et Rowe.</w:t>
      </w:r>
    </w:p>
    <w:p w:rsidR="004D7D95" w:rsidRPr="00FE25E3" w:rsidRDefault="004D7D95" w:rsidP="004D7D95">
      <w:pPr>
        <w:jc w:val="both"/>
        <w:rPr>
          <w:lang w:val="fr-CA"/>
        </w:rPr>
      </w:pPr>
    </w:p>
    <w:p w:rsidR="00EE0830" w:rsidRPr="00FE25E3" w:rsidRDefault="00EE0830" w:rsidP="004D7D95">
      <w:pPr>
        <w:jc w:val="both"/>
        <w:rPr>
          <w:lang w:val="fr-CA"/>
        </w:rPr>
      </w:pPr>
    </w:p>
    <w:p w:rsidR="00EE0830" w:rsidRPr="00FE25E3" w:rsidRDefault="00EE0830" w:rsidP="004D7D95">
      <w:pPr>
        <w:jc w:val="both"/>
        <w:rPr>
          <w:lang w:val="fr-CA"/>
        </w:rPr>
      </w:pPr>
    </w:p>
    <w:p w:rsidR="004D7D95" w:rsidRPr="00320CFE" w:rsidRDefault="004D7D95" w:rsidP="000F7993">
      <w:pPr>
        <w:jc w:val="both"/>
        <w:rPr>
          <w:smallCaps/>
          <w:lang w:val="fr-CA"/>
        </w:rPr>
      </w:pPr>
      <w:r w:rsidRPr="00320CFE">
        <w:rPr>
          <w:smallCaps/>
          <w:lang w:val="fr-CA"/>
        </w:rPr>
        <w:t>en appel de la cour d</w:t>
      </w:r>
      <w:r w:rsidR="00320CFE" w:rsidRPr="00320CFE">
        <w:rPr>
          <w:smallCaps/>
          <w:lang w:val="fr-CA"/>
        </w:rPr>
        <w:t>’</w:t>
      </w:r>
      <w:r w:rsidRPr="00320CFE">
        <w:rPr>
          <w:smallCaps/>
          <w:lang w:val="fr-CA"/>
        </w:rPr>
        <w:t>appel de l</w:t>
      </w:r>
      <w:r w:rsidR="00320CFE" w:rsidRPr="00320CFE">
        <w:rPr>
          <w:smallCaps/>
          <w:lang w:val="fr-CA"/>
        </w:rPr>
        <w:t>’alberta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211174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500A31">
        <w:rPr>
          <w:i/>
          <w:lang w:val="fr-CA"/>
        </w:rPr>
        <w:t>Droit criminel —</w:t>
      </w:r>
      <w:r w:rsidR="00211174">
        <w:rPr>
          <w:i/>
          <w:lang w:val="fr-CA"/>
        </w:rPr>
        <w:t xml:space="preserve"> </w:t>
      </w:r>
      <w:r w:rsidR="009B24D7">
        <w:rPr>
          <w:i/>
          <w:lang w:val="fr-CA"/>
        </w:rPr>
        <w:t>Omission</w:t>
      </w:r>
      <w:r w:rsidR="00211174">
        <w:rPr>
          <w:i/>
          <w:lang w:val="fr-CA"/>
        </w:rPr>
        <w:t xml:space="preserve"> </w:t>
      </w:r>
      <w:r w:rsidR="00211174" w:rsidRPr="00211174">
        <w:rPr>
          <w:i/>
          <w:lang w:val="fr-CA"/>
        </w:rPr>
        <w:t>de fournir les choses nécessaires à l’existence</w:t>
      </w:r>
      <w:r w:rsidR="00211174">
        <w:rPr>
          <w:i/>
          <w:lang w:val="fr-CA"/>
        </w:rPr>
        <w:t xml:space="preserve"> </w:t>
      </w:r>
      <w:r w:rsidR="00500A31">
        <w:rPr>
          <w:i/>
          <w:lang w:val="fr-CA"/>
        </w:rPr>
        <w:t>—</w:t>
      </w:r>
      <w:r w:rsidR="00211174">
        <w:rPr>
          <w:i/>
          <w:lang w:val="fr-CA"/>
        </w:rPr>
        <w:t xml:space="preserve"> Éléments de l’infraction </w:t>
      </w:r>
      <w:r w:rsidR="00500A31">
        <w:rPr>
          <w:i/>
          <w:lang w:val="fr-CA"/>
        </w:rPr>
        <w:t>—</w:t>
      </w:r>
      <w:r w:rsidR="00211174">
        <w:rPr>
          <w:i/>
          <w:lang w:val="fr-CA"/>
        </w:rPr>
        <w:t xml:space="preserve"> Exposé au jury </w:t>
      </w:r>
      <w:r w:rsidR="003672DE">
        <w:rPr>
          <w:i/>
          <w:lang w:val="fr-CA"/>
        </w:rPr>
        <w:t>—</w:t>
      </w:r>
      <w:r w:rsidR="00211174">
        <w:rPr>
          <w:i/>
          <w:lang w:val="fr-CA"/>
        </w:rPr>
        <w:t xml:space="preserve"> Déclarations de culpabilité par un jury d’un couple accusé de manquement à l’obligation de fournir à leur fils les choses nécessaires à l’existence </w:t>
      </w:r>
      <w:r w:rsidR="00500A31">
        <w:rPr>
          <w:i/>
          <w:lang w:val="fr-CA"/>
        </w:rPr>
        <w:t>—</w:t>
      </w:r>
      <w:r w:rsidR="00211174">
        <w:rPr>
          <w:i/>
          <w:lang w:val="fr-CA"/>
        </w:rPr>
        <w:t xml:space="preserve"> Confirmation des déclaration</w:t>
      </w:r>
      <w:r w:rsidR="009B24D7">
        <w:rPr>
          <w:i/>
          <w:lang w:val="fr-CA"/>
        </w:rPr>
        <w:t>s</w:t>
      </w:r>
      <w:r w:rsidR="00211174">
        <w:rPr>
          <w:i/>
          <w:lang w:val="fr-CA"/>
        </w:rPr>
        <w:t xml:space="preserve"> de culpabilité par les juges majoritaires de la Cour d’appel </w:t>
      </w:r>
      <w:r w:rsidR="00500A31">
        <w:rPr>
          <w:i/>
          <w:lang w:val="fr-CA"/>
        </w:rPr>
        <w:t>—</w:t>
      </w:r>
      <w:r w:rsidR="00211174">
        <w:rPr>
          <w:i/>
          <w:lang w:val="fr-CA"/>
        </w:rPr>
        <w:t xml:space="preserve"> Dissidence d’un juge pour qui le juge du procès n’a pas donné au jury des directives appropriées quant au deuxième élément de l’infraction et ne lui a pas adéquatement expliqué la mens rea de l’infraction </w:t>
      </w:r>
      <w:r w:rsidR="00500A31">
        <w:rPr>
          <w:i/>
          <w:lang w:val="fr-CA"/>
        </w:rPr>
        <w:t>—</w:t>
      </w:r>
      <w:r w:rsidR="00211174">
        <w:rPr>
          <w:i/>
          <w:lang w:val="fr-CA"/>
        </w:rPr>
        <w:t xml:space="preserve"> Tenue d’un nouveau procès ordonnée.</w:t>
      </w:r>
    </w:p>
    <w:p w:rsidR="00211174" w:rsidRDefault="00211174" w:rsidP="004D7D95">
      <w:pPr>
        <w:pStyle w:val="SCCNormalDoubleSpacing"/>
        <w:rPr>
          <w:i/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  <w:t>POURVOI</w:t>
      </w:r>
      <w:r w:rsidR="00BA2775">
        <w:rPr>
          <w:lang w:val="fr-CA"/>
        </w:rPr>
        <w:t>S</w:t>
      </w:r>
      <w:r w:rsidRPr="004D7D95">
        <w:rPr>
          <w:lang w:val="fr-CA"/>
        </w:rPr>
        <w:t xml:space="preserve"> contre un arrêt de la </w:t>
      </w:r>
      <w:r w:rsidRPr="00FE25E3">
        <w:rPr>
          <w:lang w:val="fr-CA"/>
        </w:rPr>
        <w:t>Cour d</w:t>
      </w:r>
      <w:r w:rsidR="00320CFE">
        <w:rPr>
          <w:lang w:val="fr-CA"/>
        </w:rPr>
        <w:t>’</w:t>
      </w:r>
      <w:r w:rsidRPr="00FE25E3">
        <w:rPr>
          <w:lang w:val="fr-CA"/>
        </w:rPr>
        <w:t>appel de l</w:t>
      </w:r>
      <w:r w:rsidR="00320CFE">
        <w:rPr>
          <w:lang w:val="fr-CA"/>
        </w:rPr>
        <w:t>’</w:t>
      </w:r>
      <w:r w:rsidRPr="00FE25E3">
        <w:rPr>
          <w:lang w:val="fr-CA"/>
        </w:rPr>
        <w:t>Alberta (</w:t>
      </w:r>
      <w:r w:rsidR="001A2C67">
        <w:rPr>
          <w:lang w:val="fr-CA"/>
        </w:rPr>
        <w:t xml:space="preserve">les juges Watson, McDonald et O’Ferrall), 2017 ABCA 380, </w:t>
      </w:r>
      <w:r w:rsidR="00A6693D">
        <w:rPr>
          <w:lang w:val="fr-CA"/>
        </w:rPr>
        <w:t xml:space="preserve">357 C.C.C. (3d) 10, 395 C.R.R. (2d) 252, </w:t>
      </w:r>
      <w:r w:rsidR="001A2C67">
        <w:rPr>
          <w:lang w:val="fr-CA"/>
        </w:rPr>
        <w:t>41 C.R. (7th) 424, 61 Alta</w:t>
      </w:r>
      <w:r w:rsidR="00ED7980">
        <w:rPr>
          <w:lang w:val="fr-CA"/>
        </w:rPr>
        <w:t>. L.R.</w:t>
      </w:r>
      <w:r w:rsidR="001A2C67">
        <w:rPr>
          <w:lang w:val="fr-CA"/>
        </w:rPr>
        <w:t xml:space="preserve"> </w:t>
      </w:r>
      <w:r w:rsidR="00ED7980">
        <w:rPr>
          <w:lang w:val="fr-CA"/>
        </w:rPr>
        <w:t xml:space="preserve">(6th) 26, </w:t>
      </w:r>
      <w:r w:rsidR="00A6693D">
        <w:rPr>
          <w:lang w:val="fr-CA"/>
        </w:rPr>
        <w:t xml:space="preserve">[2018] 4 W.W.R. 719, </w:t>
      </w:r>
      <w:r w:rsidR="00ED7980">
        <w:rPr>
          <w:lang w:val="fr-CA"/>
        </w:rPr>
        <w:t>[2017] A.J. No. 1203 (QL), 2017 CarswellAlta 2403 (WL Can.), qui a confirmé les déclarations de culpabilité pour omission de fournir les choses nécessaires à l’existence prononcées contre les accusés. Pourvois accueillis.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3D774B" w:rsidRPr="00A6693D" w:rsidRDefault="00FE25E3">
      <w:pPr>
        <w:pStyle w:val="SCCNormalDoubleSpacing"/>
        <w:rPr>
          <w:lang w:val="fr-CA"/>
        </w:rPr>
      </w:pPr>
      <w:r w:rsidRPr="00FE25E3">
        <w:rPr>
          <w:rStyle w:val="SCCCounselNameChar"/>
          <w:lang w:val="fr-CA"/>
        </w:rPr>
        <w:tab/>
      </w:r>
      <w:r w:rsidRPr="00A6693D">
        <w:rPr>
          <w:rStyle w:val="SCCCounselNameChar"/>
          <w:lang w:val="fr-CA"/>
        </w:rPr>
        <w:t>Heather Ferg</w:t>
      </w:r>
      <w:r w:rsidR="00A6693D" w:rsidRPr="00A6693D">
        <w:rPr>
          <w:rStyle w:val="SCCCounselNameChar"/>
          <w:lang w:val="fr-CA"/>
        </w:rPr>
        <w:t xml:space="preserve"> </w:t>
      </w:r>
      <w:r w:rsidR="00A6693D" w:rsidRPr="00A6693D">
        <w:rPr>
          <w:rStyle w:val="SCCCounselNameChar"/>
          <w:i w:val="0"/>
          <w:lang w:val="fr-CA"/>
        </w:rPr>
        <w:t xml:space="preserve">et </w:t>
      </w:r>
      <w:r w:rsidR="00A6693D" w:rsidRPr="00A6693D">
        <w:rPr>
          <w:rStyle w:val="SCCCounselNameChar"/>
          <w:lang w:val="fr-CA"/>
        </w:rPr>
        <w:t>Ian McKay</w:t>
      </w:r>
      <w:r w:rsidRPr="00A6693D">
        <w:rPr>
          <w:rStyle w:val="SCCCounselPartyRoleChar"/>
          <w:lang w:val="fr-CA"/>
        </w:rPr>
        <w:t>, pour l</w:t>
      </w:r>
      <w:r w:rsidR="00320CFE" w:rsidRPr="00A6693D">
        <w:rPr>
          <w:rStyle w:val="SCCCounselPartyRoleChar"/>
          <w:lang w:val="fr-CA"/>
        </w:rPr>
        <w:t>’</w:t>
      </w:r>
      <w:r w:rsidRPr="00A6693D">
        <w:rPr>
          <w:rStyle w:val="SCCCounselPartyRoleChar"/>
          <w:lang w:val="fr-CA"/>
        </w:rPr>
        <w:t>appelant</w:t>
      </w:r>
      <w:r w:rsidR="000C262B" w:rsidRPr="00A6693D">
        <w:rPr>
          <w:rStyle w:val="SCCCounselPartyRoleChar"/>
          <w:lang w:val="fr-CA"/>
        </w:rPr>
        <w:t>e</w:t>
      </w:r>
      <w:r w:rsidR="005A3351" w:rsidRPr="00A6693D">
        <w:rPr>
          <w:rStyle w:val="SCCCounselPartyRoleChar"/>
          <w:lang w:val="fr-CA"/>
        </w:rPr>
        <w:t xml:space="preserve"> Collet Dawn Stephan</w:t>
      </w:r>
      <w:r w:rsidRPr="00A6693D">
        <w:rPr>
          <w:rStyle w:val="SCCCounselPartyRoleChar"/>
          <w:lang w:val="fr-CA"/>
        </w:rPr>
        <w:t>.</w:t>
      </w:r>
    </w:p>
    <w:p w:rsidR="005A3351" w:rsidRPr="00A6693D" w:rsidRDefault="005A3351" w:rsidP="005A3351">
      <w:pPr>
        <w:pStyle w:val="SCCLawFirm"/>
        <w:rPr>
          <w:lang w:val="fr-CA"/>
        </w:rPr>
      </w:pPr>
    </w:p>
    <w:p w:rsidR="005A3351" w:rsidRPr="00FE25E3" w:rsidRDefault="005A3351" w:rsidP="005A3351">
      <w:pPr>
        <w:tabs>
          <w:tab w:val="left" w:pos="1168"/>
        </w:tabs>
        <w:spacing w:line="480" w:lineRule="auto"/>
        <w:jc w:val="both"/>
        <w:rPr>
          <w:lang w:val="fr-CA"/>
        </w:rPr>
      </w:pPr>
      <w:r w:rsidRPr="00A6693D">
        <w:rPr>
          <w:i/>
          <w:lang w:val="fr-CA"/>
        </w:rPr>
        <w:tab/>
      </w:r>
      <w:r w:rsidRPr="00FE25E3">
        <w:rPr>
          <w:i/>
          <w:lang w:val="fr-CA"/>
        </w:rPr>
        <w:t>Karen B. Molle</w:t>
      </w:r>
      <w:r w:rsidR="00A6693D">
        <w:rPr>
          <w:i/>
          <w:lang w:val="fr-CA"/>
        </w:rPr>
        <w:t xml:space="preserve"> </w:t>
      </w:r>
      <w:r w:rsidR="00A6693D">
        <w:rPr>
          <w:lang w:val="fr-CA"/>
        </w:rPr>
        <w:t xml:space="preserve">et </w:t>
      </w:r>
      <w:r w:rsidR="00A6693D">
        <w:rPr>
          <w:i/>
          <w:lang w:val="fr-CA"/>
        </w:rPr>
        <w:t>Kelsey Sitar</w:t>
      </w:r>
      <w:r w:rsidRPr="00FE25E3">
        <w:rPr>
          <w:lang w:val="fr-CA"/>
        </w:rPr>
        <w:t>, pour l</w:t>
      </w:r>
      <w:r>
        <w:rPr>
          <w:lang w:val="fr-CA"/>
        </w:rPr>
        <w:t>’</w:t>
      </w:r>
      <w:r w:rsidRPr="00FE25E3">
        <w:rPr>
          <w:lang w:val="fr-CA"/>
        </w:rPr>
        <w:t>appelant</w:t>
      </w:r>
      <w:r>
        <w:rPr>
          <w:lang w:val="fr-CA"/>
        </w:rPr>
        <w:t xml:space="preserve"> David Robert Stephan</w:t>
      </w:r>
      <w:r w:rsidRPr="00FE25E3">
        <w:rPr>
          <w:lang w:val="fr-CA"/>
        </w:rPr>
        <w:t>.</w:t>
      </w:r>
    </w:p>
    <w:p w:rsidR="003D774B" w:rsidRPr="00FE25E3" w:rsidRDefault="003D774B">
      <w:pPr>
        <w:pStyle w:val="SCCNormalDoubleSpacing"/>
        <w:rPr>
          <w:lang w:val="fr-CA"/>
        </w:rPr>
      </w:pPr>
    </w:p>
    <w:p w:rsidR="003D774B" w:rsidRDefault="00FE25E3">
      <w:pPr>
        <w:pStyle w:val="SCCNormalDoubleSpacing"/>
        <w:rPr>
          <w:rStyle w:val="SCCCounselPartyRoleChar"/>
          <w:lang w:val="fr-CA"/>
        </w:rPr>
      </w:pPr>
      <w:r w:rsidRPr="00FE25E3">
        <w:rPr>
          <w:rStyle w:val="SCCCounselNameChar"/>
          <w:lang w:val="fr-CA"/>
        </w:rPr>
        <w:tab/>
        <w:t>Julie Morgan</w:t>
      </w:r>
      <w:r w:rsidR="00A6693D">
        <w:rPr>
          <w:rStyle w:val="SCCCounselNameChar"/>
          <w:lang w:val="fr-CA"/>
        </w:rPr>
        <w:t xml:space="preserve"> </w:t>
      </w:r>
      <w:r w:rsidR="00A6693D">
        <w:rPr>
          <w:rStyle w:val="SCCCounselNameChar"/>
          <w:i w:val="0"/>
          <w:lang w:val="fr-CA"/>
        </w:rPr>
        <w:t xml:space="preserve">et </w:t>
      </w:r>
      <w:r w:rsidR="00A6693D">
        <w:rPr>
          <w:rStyle w:val="SCCCounselNameChar"/>
          <w:lang w:val="fr-CA"/>
        </w:rPr>
        <w:t>Colin Schulhauser</w:t>
      </w:r>
      <w:r w:rsidRPr="00FE25E3">
        <w:rPr>
          <w:rStyle w:val="SCCCounselPartyRoleChar"/>
          <w:lang w:val="fr-CA"/>
        </w:rPr>
        <w:t>, pour l</w:t>
      </w:r>
      <w:r w:rsidR="00320CFE">
        <w:rPr>
          <w:rStyle w:val="SCCCounselPartyRoleChar"/>
          <w:lang w:val="fr-CA"/>
        </w:rPr>
        <w:t>’intimé</w:t>
      </w:r>
      <w:r w:rsidRPr="00FE25E3">
        <w:rPr>
          <w:rStyle w:val="SCCCounselPartyRoleChar"/>
          <w:lang w:val="fr-CA"/>
        </w:rPr>
        <w:t>e.</w:t>
      </w:r>
    </w:p>
    <w:p w:rsidR="005A3351" w:rsidRDefault="005A3351">
      <w:pPr>
        <w:pStyle w:val="SCCNormalDoubleSpacing"/>
        <w:rPr>
          <w:rStyle w:val="SCCCounselPartyRoleChar"/>
          <w:lang w:val="fr-CA"/>
        </w:rPr>
      </w:pPr>
    </w:p>
    <w:p w:rsidR="005A3351" w:rsidRDefault="005A3351">
      <w:pPr>
        <w:pStyle w:val="SCCNormalDoubleSpacing"/>
        <w:rPr>
          <w:rStyle w:val="SCCCounselPartyRoleChar"/>
          <w:lang w:val="fr-CA"/>
        </w:rPr>
      </w:pPr>
      <w:r>
        <w:rPr>
          <w:rStyle w:val="SCCCounselPartyRoleChar"/>
          <w:lang w:val="fr-CA"/>
        </w:rPr>
        <w:tab/>
        <w:t>Version française du jugement de la Cour rendu oralement par</w:t>
      </w:r>
    </w:p>
    <w:p w:rsidR="005A3351" w:rsidRDefault="005A3351" w:rsidP="005A335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5A3351">
        <w:rPr>
          <w:smallCaps/>
          <w:lang w:val="fr-CA"/>
        </w:rPr>
        <w:t>Le juge Moldaver</w:t>
      </w:r>
      <w:r w:rsidRPr="005A3351">
        <w:rPr>
          <w:lang w:val="fr-CA"/>
        </w:rPr>
        <w:t xml:space="preserve"> — Nous faisons nôtres, pour l’essentiel, les motifs du juge O’Ferrall.</w:t>
      </w:r>
    </w:p>
    <w:p w:rsidR="005A3351" w:rsidRDefault="005A3351" w:rsidP="005A335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5A3351">
        <w:rPr>
          <w:lang w:val="fr-CA"/>
        </w:rPr>
        <w:t>En particulier</w:t>
      </w:r>
      <w:r w:rsidR="00A6693D">
        <w:rPr>
          <w:lang w:val="fr-CA"/>
        </w:rPr>
        <w:t xml:space="preserve">, tout comme lui nous estimons </w:t>
      </w:r>
      <w:r w:rsidRPr="005A3351">
        <w:rPr>
          <w:lang w:val="fr-CA"/>
        </w:rPr>
        <w:t xml:space="preserve">que le savant juge du procès a fusionné </w:t>
      </w:r>
      <w:proofErr w:type="gramStart"/>
      <w:r w:rsidRPr="005A3351">
        <w:rPr>
          <w:lang w:val="fr-CA"/>
        </w:rPr>
        <w:t>l’</w:t>
      </w:r>
      <w:r w:rsidRPr="005A3351">
        <w:rPr>
          <w:i/>
          <w:lang w:val="fr-CA"/>
        </w:rPr>
        <w:t>actus</w:t>
      </w:r>
      <w:proofErr w:type="gramEnd"/>
      <w:r w:rsidRPr="005A3351">
        <w:rPr>
          <w:i/>
          <w:lang w:val="fr-CA"/>
        </w:rPr>
        <w:t xml:space="preserve"> reus </w:t>
      </w:r>
      <w:r w:rsidRPr="005A3351">
        <w:rPr>
          <w:lang w:val="fr-CA"/>
        </w:rPr>
        <w:t xml:space="preserve">et la </w:t>
      </w:r>
      <w:r w:rsidRPr="005A3351">
        <w:rPr>
          <w:i/>
          <w:lang w:val="fr-CA"/>
        </w:rPr>
        <w:t>mens rea</w:t>
      </w:r>
      <w:r w:rsidRPr="005A3351">
        <w:rPr>
          <w:lang w:val="fr-CA"/>
        </w:rPr>
        <w:t xml:space="preserve"> de l’infraction et n’a pas expliqué le concept d’écart marqué d’une manière suffisante pour permettre au jury de le comprendre et l’appliquer.</w:t>
      </w:r>
    </w:p>
    <w:p w:rsidR="005A3351" w:rsidRDefault="005A3351" w:rsidP="005A335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i/>
          <w:lang w:val="fr-CA"/>
        </w:rPr>
      </w:pPr>
      <w:r w:rsidRPr="005A3351">
        <w:rPr>
          <w:lang w:val="fr-CA"/>
        </w:rPr>
        <w:t xml:space="preserve">Par conséquent, nous sommes d’avis d’accueillir </w:t>
      </w:r>
      <w:r w:rsidRPr="0099361E">
        <w:rPr>
          <w:lang w:val="fr-CA"/>
        </w:rPr>
        <w:t>le</w:t>
      </w:r>
      <w:r w:rsidR="00BD06CF" w:rsidRPr="0099361E">
        <w:rPr>
          <w:lang w:val="fr-CA"/>
        </w:rPr>
        <w:t>s</w:t>
      </w:r>
      <w:r w:rsidRPr="0099361E">
        <w:rPr>
          <w:lang w:val="fr-CA"/>
        </w:rPr>
        <w:t xml:space="preserve"> pourvoi</w:t>
      </w:r>
      <w:r w:rsidR="00BD06CF" w:rsidRPr="0099361E">
        <w:rPr>
          <w:lang w:val="fr-CA"/>
        </w:rPr>
        <w:t xml:space="preserve">s, </w:t>
      </w:r>
      <w:r w:rsidR="00BD06CF" w:rsidRPr="00BD06CF">
        <w:rPr>
          <w:lang w:val="fr-CA"/>
        </w:rPr>
        <w:t xml:space="preserve">d’annuler </w:t>
      </w:r>
      <w:r w:rsidR="00BD06CF" w:rsidRPr="0099361E">
        <w:rPr>
          <w:lang w:val="fr-CA"/>
        </w:rPr>
        <w:t>les</w:t>
      </w:r>
      <w:r w:rsidRPr="0099361E">
        <w:rPr>
          <w:lang w:val="fr-CA"/>
        </w:rPr>
        <w:t xml:space="preserve"> déclaration</w:t>
      </w:r>
      <w:r w:rsidR="00BD06CF" w:rsidRPr="0099361E">
        <w:rPr>
          <w:lang w:val="fr-CA"/>
        </w:rPr>
        <w:t>s</w:t>
      </w:r>
      <w:r w:rsidRPr="0099361E">
        <w:rPr>
          <w:lang w:val="fr-CA"/>
        </w:rPr>
        <w:t xml:space="preserve"> </w:t>
      </w:r>
      <w:r w:rsidRPr="00BD06CF">
        <w:rPr>
          <w:lang w:val="fr-CA"/>
        </w:rPr>
        <w:t>de culpabilité</w:t>
      </w:r>
      <w:r w:rsidRPr="005A3351">
        <w:rPr>
          <w:lang w:val="fr-CA"/>
        </w:rPr>
        <w:t xml:space="preserve"> et d’ordonner la tenue d’un nouveau procès.</w:t>
      </w:r>
    </w:p>
    <w:p w:rsidR="004D7D95" w:rsidRPr="005A3351" w:rsidRDefault="00320CFE" w:rsidP="005A3351">
      <w:pPr>
        <w:pStyle w:val="SCCNormalDoubleSpacing"/>
        <w:spacing w:before="480" w:after="480"/>
        <w:rPr>
          <w:i/>
          <w:lang w:val="fr-CA"/>
        </w:rPr>
      </w:pPr>
      <w:r w:rsidRPr="005A3351">
        <w:rPr>
          <w:lang w:val="fr-CA"/>
        </w:rPr>
        <w:tab/>
      </w:r>
      <w:r w:rsidRPr="005A3351">
        <w:rPr>
          <w:i/>
          <w:lang w:val="fr-CA"/>
        </w:rPr>
        <w:t xml:space="preserve">Jugement en conséquence. </w:t>
      </w:r>
    </w:p>
    <w:p w:rsidR="003D774B" w:rsidRDefault="00320CFE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FE25E3" w:rsidRPr="00FE25E3">
        <w:rPr>
          <w:lang w:val="fr-CA"/>
        </w:rPr>
        <w:t xml:space="preserve"> de l</w:t>
      </w:r>
      <w:r>
        <w:rPr>
          <w:lang w:val="fr-CA"/>
        </w:rPr>
        <w:t>’</w:t>
      </w:r>
      <w:r w:rsidR="00FE25E3" w:rsidRPr="00FE25E3">
        <w:rPr>
          <w:lang w:val="fr-CA"/>
        </w:rPr>
        <w:t>appelant</w:t>
      </w:r>
      <w:r w:rsidR="000C262B">
        <w:rPr>
          <w:lang w:val="fr-CA"/>
        </w:rPr>
        <w:t>e</w:t>
      </w:r>
      <w:r w:rsidR="005A3351">
        <w:rPr>
          <w:lang w:val="fr-CA"/>
        </w:rPr>
        <w:t xml:space="preserve"> Collet Dawn Stephan </w:t>
      </w:r>
      <w:r w:rsidR="00FE25E3" w:rsidRPr="00FE25E3">
        <w:rPr>
          <w:lang w:val="fr-CA"/>
        </w:rPr>
        <w:t>: McKay Criminal Defence, Calgary.</w:t>
      </w:r>
    </w:p>
    <w:p w:rsidR="00A6693D" w:rsidRPr="00A6693D" w:rsidRDefault="00A6693D" w:rsidP="00A6693D">
      <w:pPr>
        <w:pStyle w:val="SCCNormalDoubleSpacing"/>
        <w:rPr>
          <w:lang w:val="fr-CA"/>
        </w:rPr>
      </w:pPr>
    </w:p>
    <w:p w:rsidR="005A3351" w:rsidRPr="00FE25E3" w:rsidRDefault="005A3351" w:rsidP="005A3351">
      <w:pPr>
        <w:tabs>
          <w:tab w:val="left" w:pos="1168"/>
        </w:tabs>
        <w:spacing w:line="480" w:lineRule="auto"/>
        <w:jc w:val="both"/>
        <w:rPr>
          <w:i/>
          <w:lang w:val="fr-CA"/>
        </w:rPr>
      </w:pPr>
      <w:r w:rsidRPr="00FE25E3">
        <w:rPr>
          <w:i/>
          <w:lang w:val="fr-CA"/>
        </w:rPr>
        <w:lastRenderedPageBreak/>
        <w:tab/>
        <w:t>Procureurs de l</w:t>
      </w:r>
      <w:r>
        <w:rPr>
          <w:i/>
          <w:lang w:val="fr-CA"/>
        </w:rPr>
        <w:t>’</w:t>
      </w:r>
      <w:r w:rsidRPr="00FE25E3">
        <w:rPr>
          <w:i/>
          <w:lang w:val="fr-CA"/>
        </w:rPr>
        <w:t>appelant</w:t>
      </w:r>
      <w:r>
        <w:rPr>
          <w:i/>
          <w:lang w:val="fr-CA"/>
        </w:rPr>
        <w:t xml:space="preserve"> David Robert Stephan</w:t>
      </w:r>
      <w:r w:rsidRPr="00FE25E3">
        <w:rPr>
          <w:i/>
          <w:lang w:val="fr-CA"/>
        </w:rPr>
        <w:t> : Karen Molle</w:t>
      </w:r>
      <w:r w:rsidR="00961182">
        <w:rPr>
          <w:i/>
          <w:lang w:val="fr-CA"/>
        </w:rPr>
        <w:t xml:space="preserve"> Law Office</w:t>
      </w:r>
      <w:r w:rsidRPr="00FE25E3">
        <w:rPr>
          <w:i/>
          <w:lang w:val="fr-CA"/>
        </w:rPr>
        <w:t>, Calgary</w:t>
      </w:r>
      <w:r w:rsidR="00A6693D">
        <w:rPr>
          <w:i/>
          <w:lang w:val="fr-CA"/>
        </w:rPr>
        <w:t xml:space="preserve">; </w:t>
      </w:r>
      <w:r w:rsidR="00A6693D" w:rsidRPr="00581BB4">
        <w:rPr>
          <w:i/>
          <w:lang w:val="fr-CA"/>
        </w:rPr>
        <w:t xml:space="preserve">Sitar &amp; </w:t>
      </w:r>
      <w:proofErr w:type="spellStart"/>
      <w:r w:rsidR="00A6693D" w:rsidRPr="00581BB4">
        <w:rPr>
          <w:i/>
          <w:lang w:val="fr-CA"/>
        </w:rPr>
        <w:t>Milczarek</w:t>
      </w:r>
      <w:proofErr w:type="spellEnd"/>
      <w:r w:rsidR="00A6693D" w:rsidRPr="00581BB4">
        <w:rPr>
          <w:i/>
          <w:lang w:val="fr-CA"/>
        </w:rPr>
        <w:t xml:space="preserve">, </w:t>
      </w:r>
      <w:r w:rsidR="00581BB4" w:rsidRPr="00581BB4">
        <w:rPr>
          <w:i/>
          <w:lang w:val="fr-CA"/>
        </w:rPr>
        <w:t>Calgary</w:t>
      </w:r>
      <w:r w:rsidRPr="00FE25E3">
        <w:rPr>
          <w:i/>
          <w:lang w:val="fr-CA"/>
        </w:rPr>
        <w:t>.</w:t>
      </w:r>
    </w:p>
    <w:p w:rsidR="005A3351" w:rsidRPr="005A3351" w:rsidRDefault="005A3351" w:rsidP="005A3351">
      <w:pPr>
        <w:pStyle w:val="SCCNormalDoubleSpacing"/>
        <w:rPr>
          <w:lang w:val="fr-CA"/>
        </w:rPr>
      </w:pPr>
    </w:p>
    <w:p w:rsidR="003D774B" w:rsidRPr="00320CFE" w:rsidRDefault="00FE25E3">
      <w:pPr>
        <w:pStyle w:val="SCCLawFirm"/>
        <w:rPr>
          <w:lang w:val="fr-CA"/>
        </w:rPr>
      </w:pPr>
      <w:r w:rsidRPr="00FE25E3">
        <w:rPr>
          <w:lang w:val="fr-CA"/>
        </w:rPr>
        <w:tab/>
      </w:r>
      <w:r w:rsidR="00320CFE">
        <w:rPr>
          <w:lang w:val="fr-CA"/>
        </w:rPr>
        <w:t>Procureur</w:t>
      </w:r>
      <w:r w:rsidRPr="00320CFE">
        <w:rPr>
          <w:lang w:val="fr-CA"/>
        </w:rPr>
        <w:t xml:space="preserve"> de </w:t>
      </w:r>
      <w:r w:rsidRPr="000E305D">
        <w:rPr>
          <w:lang w:val="fr-CA"/>
        </w:rPr>
        <w:t>l</w:t>
      </w:r>
      <w:r w:rsidR="00320CFE" w:rsidRPr="000E305D">
        <w:rPr>
          <w:lang w:val="fr-CA"/>
        </w:rPr>
        <w:t>’intimé</w:t>
      </w:r>
      <w:r w:rsidRPr="000E305D">
        <w:rPr>
          <w:lang w:val="fr-CA"/>
        </w:rPr>
        <w:t xml:space="preserve">e : </w:t>
      </w:r>
      <w:r w:rsidR="005A3351" w:rsidRPr="000E305D">
        <w:rPr>
          <w:lang w:val="fr-CA"/>
        </w:rPr>
        <w:t>Procureur général de l’Alberta</w:t>
      </w:r>
      <w:r w:rsidRPr="000E305D">
        <w:rPr>
          <w:lang w:val="fr-CA"/>
        </w:rPr>
        <w:t>, Calgary</w:t>
      </w:r>
      <w:r w:rsidRPr="00320CFE">
        <w:rPr>
          <w:lang w:val="fr-CA"/>
        </w:rPr>
        <w:t>.</w:t>
      </w:r>
    </w:p>
    <w:p w:rsidR="00FE25E3" w:rsidRPr="005A3351" w:rsidRDefault="00FE25E3" w:rsidP="005A3351">
      <w:pPr>
        <w:rPr>
          <w:i/>
          <w:lang w:val="fr-CA"/>
        </w:rPr>
      </w:pPr>
    </w:p>
    <w:sectPr w:rsidR="00FE25E3" w:rsidRPr="005A3351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A1" w:rsidRDefault="002A79A1">
      <w:r>
        <w:separator/>
      </w:r>
    </w:p>
  </w:endnote>
  <w:endnote w:type="continuationSeparator" w:id="0">
    <w:p w:rsidR="002A79A1" w:rsidRDefault="002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1" w:rsidRDefault="0050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1" w:rsidRDefault="00500A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1" w:rsidRDefault="0050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A1" w:rsidRDefault="002A79A1">
      <w:r>
        <w:separator/>
      </w:r>
    </w:p>
  </w:footnote>
  <w:footnote w:type="continuationSeparator" w:id="0">
    <w:p w:rsidR="002A79A1" w:rsidRDefault="002A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1" w:rsidRDefault="00500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1" w:rsidRDefault="00500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B1B"/>
    <w:multiLevelType w:val="hybridMultilevel"/>
    <w:tmpl w:val="48E87F88"/>
    <w:lvl w:ilvl="0" w:tplc="EAB4B6B4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21E9"/>
    <w:rsid w:val="00023FC7"/>
    <w:rsid w:val="00025198"/>
    <w:rsid w:val="000578A3"/>
    <w:rsid w:val="000648CC"/>
    <w:rsid w:val="000C262B"/>
    <w:rsid w:val="000C59B8"/>
    <w:rsid w:val="000C6AF0"/>
    <w:rsid w:val="000D0A77"/>
    <w:rsid w:val="000E305D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A2C67"/>
    <w:rsid w:val="001B33E0"/>
    <w:rsid w:val="001B4573"/>
    <w:rsid w:val="001C779F"/>
    <w:rsid w:val="001D2AC1"/>
    <w:rsid w:val="001D4E88"/>
    <w:rsid w:val="00211174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A79A1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20CFE"/>
    <w:rsid w:val="003310DE"/>
    <w:rsid w:val="003323B0"/>
    <w:rsid w:val="00340A49"/>
    <w:rsid w:val="0035169A"/>
    <w:rsid w:val="0035259D"/>
    <w:rsid w:val="00364B18"/>
    <w:rsid w:val="003672DE"/>
    <w:rsid w:val="003A125D"/>
    <w:rsid w:val="003A4C70"/>
    <w:rsid w:val="003B215F"/>
    <w:rsid w:val="003C799C"/>
    <w:rsid w:val="003D0399"/>
    <w:rsid w:val="003D774B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00A31"/>
    <w:rsid w:val="0051241E"/>
    <w:rsid w:val="005125A8"/>
    <w:rsid w:val="00517549"/>
    <w:rsid w:val="00520ABC"/>
    <w:rsid w:val="00521AE8"/>
    <w:rsid w:val="00527180"/>
    <w:rsid w:val="00555291"/>
    <w:rsid w:val="00566AD1"/>
    <w:rsid w:val="00573AB0"/>
    <w:rsid w:val="00581BB4"/>
    <w:rsid w:val="00583EDE"/>
    <w:rsid w:val="005A3351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26BE6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A4672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1182"/>
    <w:rsid w:val="00967374"/>
    <w:rsid w:val="00980B44"/>
    <w:rsid w:val="0099361E"/>
    <w:rsid w:val="009A343A"/>
    <w:rsid w:val="009B24D7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6693D"/>
    <w:rsid w:val="00A73C38"/>
    <w:rsid w:val="00A921A7"/>
    <w:rsid w:val="00AB670D"/>
    <w:rsid w:val="00AF03C5"/>
    <w:rsid w:val="00B000D8"/>
    <w:rsid w:val="00B00F75"/>
    <w:rsid w:val="00B145B6"/>
    <w:rsid w:val="00B23808"/>
    <w:rsid w:val="00B279EB"/>
    <w:rsid w:val="00B50C81"/>
    <w:rsid w:val="00B557F8"/>
    <w:rsid w:val="00B815FC"/>
    <w:rsid w:val="00B93FBC"/>
    <w:rsid w:val="00BA2775"/>
    <w:rsid w:val="00BA7DA0"/>
    <w:rsid w:val="00BB2EE4"/>
    <w:rsid w:val="00BB4C92"/>
    <w:rsid w:val="00BC2108"/>
    <w:rsid w:val="00BD06CF"/>
    <w:rsid w:val="00BD0E9E"/>
    <w:rsid w:val="00BD1BEC"/>
    <w:rsid w:val="00BD32FF"/>
    <w:rsid w:val="00BF6FE9"/>
    <w:rsid w:val="00C02092"/>
    <w:rsid w:val="00C02B88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CF3A7B"/>
    <w:rsid w:val="00D0172F"/>
    <w:rsid w:val="00D01E33"/>
    <w:rsid w:val="00D068A7"/>
    <w:rsid w:val="00D17476"/>
    <w:rsid w:val="00D17B0E"/>
    <w:rsid w:val="00D31926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D798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46C7F"/>
    <w:rsid w:val="00F50D2D"/>
    <w:rsid w:val="00F56C8B"/>
    <w:rsid w:val="00F62639"/>
    <w:rsid w:val="00F66810"/>
    <w:rsid w:val="00F7105C"/>
    <w:rsid w:val="00F84DF4"/>
    <w:rsid w:val="00F85C97"/>
    <w:rsid w:val="00FB37D2"/>
    <w:rsid w:val="00FC4EFB"/>
    <w:rsid w:val="00FD068D"/>
    <w:rsid w:val="00FD4F28"/>
    <w:rsid w:val="00FE25E3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5A3351"/>
    <w:pPr>
      <w:ind w:left="720"/>
      <w:contextualSpacing/>
    </w:pPr>
  </w:style>
  <w:style w:type="table" w:styleId="TableGrid">
    <w:name w:val="Table Grid"/>
    <w:basedOn w:val="TableNormal"/>
    <w:uiPriority w:val="59"/>
    <w:rsid w:val="00CF3A7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CF3A7B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CF3A7B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F3A7B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2018-06-29T12:36:00Z</dcterms:created>
  <dcterms:modified xsi:type="dcterms:W3CDTF">2019-03-25T19:02:00Z</dcterms:modified>
</cp:coreProperties>
</file>