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26B" w:rsidRDefault="009F726B" w:rsidP="00FF5A0A">
      <w:pPr>
        <w:pStyle w:val="Header"/>
        <w:jc w:val="center"/>
      </w:pPr>
      <w:r>
        <w:ptab w:relativeTo="margin" w:alignment="center" w:leader="none"/>
      </w:r>
      <w:r w:rsidRPr="00F72014">
        <w:t xml:space="preserve"> </w:t>
      </w:r>
      <w:bookmarkStart w:id="0" w:name="_GoBack"/>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pt;height:64.65pt" o:ole="">
            <v:imagedata r:id="rId8" o:title=""/>
          </v:shape>
          <o:OLEObject Type="Embed" ProgID="Presentations.Drawing.13" ShapeID="_x0000_i1025" DrawAspect="Content" ObjectID="_1616400729" r:id="rId9"/>
        </w:object>
      </w:r>
      <w:bookmarkEnd w:id="0"/>
      <w:r>
        <w:t xml:space="preserve"> </w:t>
      </w:r>
      <w:r>
        <w:ptab w:relativeTo="margin" w:alignment="right" w:leader="none"/>
      </w:r>
    </w:p>
    <w:p w:rsidR="009F726B" w:rsidRDefault="009F726B" w:rsidP="009F726B">
      <w:pPr>
        <w:pStyle w:val="Header"/>
      </w:pPr>
    </w:p>
    <w:p w:rsidR="009F726B" w:rsidRPr="001E12E2" w:rsidRDefault="009F726B" w:rsidP="009F726B">
      <w:pPr>
        <w:jc w:val="center"/>
        <w:rPr>
          <w:b/>
        </w:rPr>
      </w:pPr>
      <w:r w:rsidRPr="001E12E2">
        <w:rPr>
          <w:b/>
        </w:rPr>
        <w:t>COUR SUPRÊME DU CANADA</w:t>
      </w:r>
    </w:p>
    <w:p w:rsidR="009F726B" w:rsidRDefault="009F726B" w:rsidP="009F726B"/>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310"/>
        <w:gridCol w:w="4266"/>
      </w:tblGrid>
      <w:tr w:rsidR="009F726B" w:rsidRPr="001E12E2" w:rsidTr="00461B38">
        <w:trPr>
          <w:cantSplit/>
        </w:trPr>
        <w:tc>
          <w:tcPr>
            <w:tcW w:w="5310" w:type="dxa"/>
          </w:tcPr>
          <w:p w:rsidR="009F726B" w:rsidRPr="009F726B" w:rsidRDefault="009F726B" w:rsidP="009F726B">
            <w:pPr>
              <w:rPr>
                <w:lang w:val="fr-CA"/>
              </w:rPr>
            </w:pPr>
            <w:r w:rsidRPr="009F726B">
              <w:rPr>
                <w:b/>
                <w:smallCaps/>
                <w:lang w:val="fr-CA"/>
              </w:rPr>
              <w:t>Référence :</w:t>
            </w:r>
            <w:r w:rsidRPr="009F726B">
              <w:rPr>
                <w:lang w:val="fr-CA"/>
              </w:rPr>
              <w:t xml:space="preserve"> Rogers Communications Inc. </w:t>
            </w:r>
            <w:r w:rsidRPr="009F726B">
              <w:rPr>
                <w:i/>
                <w:lang w:val="fr-CA"/>
              </w:rPr>
              <w:t>c.</w:t>
            </w:r>
            <w:r w:rsidRPr="009F726B">
              <w:rPr>
                <w:lang w:val="fr-CA"/>
              </w:rPr>
              <w:t xml:space="preserve"> Voltage Pictures, LLC, 2018 CSC 38</w:t>
            </w:r>
            <w:r>
              <w:rPr>
                <w:lang w:val="fr-CA"/>
              </w:rPr>
              <w:t>, [2018] 2 R.C.S. 643</w:t>
            </w:r>
          </w:p>
        </w:tc>
        <w:tc>
          <w:tcPr>
            <w:tcW w:w="4266" w:type="dxa"/>
          </w:tcPr>
          <w:p w:rsidR="009F726B" w:rsidRPr="009F726B" w:rsidRDefault="009F726B" w:rsidP="00461B38">
            <w:pPr>
              <w:rPr>
                <w:lang w:val="fr-CA"/>
              </w:rPr>
            </w:pPr>
            <w:r w:rsidRPr="009F726B">
              <w:rPr>
                <w:b/>
                <w:smallCaps/>
                <w:lang w:val="fr-CA"/>
              </w:rPr>
              <w:t>Appel entendu :</w:t>
            </w:r>
            <w:r w:rsidRPr="009F726B">
              <w:rPr>
                <w:lang w:val="fr-CA"/>
              </w:rPr>
              <w:t xml:space="preserve"> 26 avril 2018</w:t>
            </w:r>
          </w:p>
          <w:p w:rsidR="009F726B" w:rsidRPr="009F726B" w:rsidRDefault="009F726B" w:rsidP="00461B38">
            <w:pPr>
              <w:rPr>
                <w:b/>
                <w:smallCaps/>
                <w:lang w:val="fr-CA"/>
              </w:rPr>
            </w:pPr>
            <w:r w:rsidRPr="009F726B">
              <w:rPr>
                <w:b/>
                <w:smallCaps/>
                <w:lang w:val="fr-CA"/>
              </w:rPr>
              <w:t>Jugement rendu :</w:t>
            </w:r>
            <w:r w:rsidRPr="009F726B">
              <w:rPr>
                <w:lang w:val="fr-CA"/>
              </w:rPr>
              <w:t xml:space="preserve"> 14 septembre 2018</w:t>
            </w:r>
          </w:p>
          <w:p w:rsidR="009F726B" w:rsidRPr="001E12E2" w:rsidRDefault="009F726B" w:rsidP="00461B38">
            <w:r w:rsidRPr="001E12E2">
              <w:rPr>
                <w:b/>
                <w:smallCaps/>
              </w:rPr>
              <w:t>Do</w:t>
            </w:r>
            <w:r>
              <w:rPr>
                <w:b/>
                <w:smallCaps/>
              </w:rPr>
              <w:t>ssier :</w:t>
            </w:r>
            <w:r w:rsidRPr="001E12E2">
              <w:t xml:space="preserve"> </w:t>
            </w:r>
            <w:r>
              <w:t>37679</w:t>
            </w:r>
          </w:p>
        </w:tc>
      </w:tr>
    </w:tbl>
    <w:p w:rsidR="009F726B" w:rsidRPr="001E12E2" w:rsidRDefault="009F726B" w:rsidP="009F726B"/>
    <w:p w:rsidR="009F726B" w:rsidRDefault="009F726B" w:rsidP="009F726B">
      <w:pPr>
        <w:pStyle w:val="SCCLsocPrefix"/>
      </w:pPr>
      <w:r>
        <w:t>Entre :</w:t>
      </w:r>
    </w:p>
    <w:p w:rsidR="009F726B" w:rsidRDefault="009F726B" w:rsidP="009F726B">
      <w:pPr>
        <w:pStyle w:val="SCCLsocParty"/>
        <w:jc w:val="center"/>
      </w:pPr>
      <w:r>
        <w:t>Rogers Communications Inc.</w:t>
      </w:r>
    </w:p>
    <w:p w:rsidR="009F726B" w:rsidRDefault="009F726B" w:rsidP="009F726B">
      <w:pPr>
        <w:jc w:val="center"/>
      </w:pPr>
      <w:r>
        <w:t>Appelante</w:t>
      </w:r>
    </w:p>
    <w:p w:rsidR="009F726B" w:rsidRDefault="009F726B" w:rsidP="009F726B">
      <w:pPr>
        <w:pStyle w:val="SCCLsocVersus"/>
        <w:spacing w:after="0"/>
        <w:jc w:val="center"/>
      </w:pPr>
    </w:p>
    <w:p w:rsidR="009F726B" w:rsidRPr="00FC3441" w:rsidRDefault="009F726B" w:rsidP="009F726B">
      <w:pPr>
        <w:jc w:val="center"/>
      </w:pPr>
      <w:r w:rsidRPr="00FC3441">
        <w:t>et</w:t>
      </w:r>
    </w:p>
    <w:p w:rsidR="009F726B" w:rsidRPr="00FC3441" w:rsidRDefault="009F726B" w:rsidP="009F726B">
      <w:pPr>
        <w:jc w:val="center"/>
      </w:pPr>
    </w:p>
    <w:p w:rsidR="009F726B" w:rsidRPr="005F19B1" w:rsidRDefault="009F726B" w:rsidP="009F726B">
      <w:pPr>
        <w:pStyle w:val="SCCLsocParty"/>
        <w:jc w:val="center"/>
        <w:rPr>
          <w:lang w:val="en-US"/>
        </w:rPr>
      </w:pPr>
      <w:r w:rsidRPr="005F19B1">
        <w:rPr>
          <w:lang w:val="en-US"/>
        </w:rPr>
        <w:t>Voltage Pictures, LLC, Cobbler Nevada, LLC, PTG Nevada, LLC, Clear Skies Nevada, LLC, Glacier Entertainment S.A.R.L. of Luxemburg, Glacier Films 1, LLC et Fathers &amp; Daughters Nevada, LLC</w:t>
      </w:r>
    </w:p>
    <w:p w:rsidR="009F726B" w:rsidRPr="009F726B" w:rsidRDefault="009F726B" w:rsidP="009F726B">
      <w:pPr>
        <w:jc w:val="center"/>
        <w:rPr>
          <w:lang w:val="fr-CA"/>
        </w:rPr>
      </w:pPr>
      <w:r w:rsidRPr="009F726B">
        <w:rPr>
          <w:lang w:val="fr-CA"/>
        </w:rPr>
        <w:t>Intimées</w:t>
      </w:r>
    </w:p>
    <w:p w:rsidR="009F726B" w:rsidRPr="009F726B" w:rsidRDefault="009F726B" w:rsidP="009F726B">
      <w:pPr>
        <w:jc w:val="center"/>
        <w:rPr>
          <w:lang w:val="fr-CA"/>
        </w:rPr>
      </w:pPr>
    </w:p>
    <w:p w:rsidR="009F726B" w:rsidRPr="009F726B" w:rsidRDefault="009F726B" w:rsidP="009F726B">
      <w:pPr>
        <w:pStyle w:val="SCCLsocOtherPartySeparator"/>
        <w:spacing w:after="0"/>
        <w:jc w:val="center"/>
        <w:rPr>
          <w:lang w:val="fr-CA"/>
        </w:rPr>
      </w:pPr>
      <w:r w:rsidRPr="009F726B">
        <w:rPr>
          <w:lang w:val="fr-CA"/>
        </w:rPr>
        <w:t>- et -</w:t>
      </w:r>
    </w:p>
    <w:p w:rsidR="009F726B" w:rsidRPr="009F726B" w:rsidRDefault="009F726B" w:rsidP="009F726B">
      <w:pPr>
        <w:pStyle w:val="SCCLsocParty"/>
        <w:jc w:val="center"/>
        <w:rPr>
          <w:lang w:val="fr-CA"/>
        </w:rPr>
      </w:pPr>
    </w:p>
    <w:p w:rsidR="009F726B" w:rsidRPr="009F726B" w:rsidRDefault="009F726B" w:rsidP="009F726B">
      <w:pPr>
        <w:pStyle w:val="SCCLsocParty"/>
        <w:jc w:val="center"/>
        <w:rPr>
          <w:lang w:val="fr-CA"/>
        </w:rPr>
      </w:pPr>
      <w:r w:rsidRPr="009F726B">
        <w:rPr>
          <w:lang w:val="fr-CA"/>
        </w:rPr>
        <w:t>Clinique d’intérêt public et de politique d’internet du Canada Samuelson-Glushko, Bell Canada Inc., Consortium des Opérateurs de Réseaux Canadiens Inc., Cogeco Inc., Québecor Média Inc., Saskatchewan Telecommunications Holding Corporation, Shaw Communications Inc., TekSavvy Solutions Inc., TELUS Communications Inc. et Xplornet Communications Inc.</w:t>
      </w:r>
    </w:p>
    <w:p w:rsidR="009F726B" w:rsidRPr="00FF5A0A" w:rsidRDefault="009F726B" w:rsidP="009F726B">
      <w:pPr>
        <w:jc w:val="center"/>
        <w:rPr>
          <w:lang w:val="fr-CA"/>
        </w:rPr>
      </w:pPr>
      <w:r w:rsidRPr="00FF5A0A">
        <w:rPr>
          <w:lang w:val="fr-CA"/>
        </w:rPr>
        <w:t>Intervenantes</w:t>
      </w:r>
    </w:p>
    <w:p w:rsidR="009F726B" w:rsidRPr="00FF5A0A" w:rsidRDefault="009F726B" w:rsidP="009F726B">
      <w:pPr>
        <w:rPr>
          <w:lang w:val="fr-CA"/>
        </w:rPr>
      </w:pPr>
    </w:p>
    <w:p w:rsidR="009F726B" w:rsidRPr="00FF5A0A" w:rsidRDefault="009F726B" w:rsidP="009F726B">
      <w:pPr>
        <w:jc w:val="center"/>
        <w:rPr>
          <w:b/>
          <w:smallCaps/>
          <w:lang w:val="fr-CA"/>
        </w:rPr>
      </w:pPr>
      <w:r w:rsidRPr="00FF5A0A">
        <w:rPr>
          <w:b/>
          <w:smallCaps/>
          <w:lang w:val="fr-CA"/>
        </w:rPr>
        <w:t>Traduction française officielle</w:t>
      </w:r>
    </w:p>
    <w:p w:rsidR="009F726B" w:rsidRPr="00FF5A0A" w:rsidRDefault="009F726B" w:rsidP="009F726B">
      <w:pPr>
        <w:rPr>
          <w:lang w:val="fr-CA"/>
        </w:rPr>
      </w:pPr>
    </w:p>
    <w:p w:rsidR="009F726B" w:rsidRPr="009F726B" w:rsidRDefault="009F726B" w:rsidP="009F726B">
      <w:pPr>
        <w:rPr>
          <w:lang w:val="fr-CA"/>
        </w:rPr>
      </w:pPr>
      <w:r w:rsidRPr="009F726B">
        <w:rPr>
          <w:b/>
          <w:smallCaps/>
          <w:lang w:val="fr-CA"/>
        </w:rPr>
        <w:t>Coram :</w:t>
      </w:r>
      <w:r w:rsidRPr="009F726B">
        <w:rPr>
          <w:lang w:val="fr-CA"/>
        </w:rPr>
        <w:t xml:space="preserve"> Le juge en chef Wagner et les juges Abella, Moldaver, Karakatsanis, Gascon, Côté, Brown, Rowe et Martin</w:t>
      </w:r>
    </w:p>
    <w:p w:rsidR="009F726B" w:rsidRPr="009F726B" w:rsidRDefault="009F726B" w:rsidP="009F726B">
      <w:pPr>
        <w:rPr>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240"/>
        <w:gridCol w:w="6336"/>
      </w:tblGrid>
      <w:tr w:rsidR="009F726B" w:rsidRPr="00FF5A0A" w:rsidTr="00461B38">
        <w:trPr>
          <w:cantSplit/>
        </w:trPr>
        <w:tc>
          <w:tcPr>
            <w:tcW w:w="3240" w:type="dxa"/>
          </w:tcPr>
          <w:p w:rsidR="009F726B" w:rsidRPr="009F726B" w:rsidRDefault="009F726B" w:rsidP="00461B38">
            <w:pPr>
              <w:rPr>
                <w:lang w:val="fr-CA"/>
              </w:rPr>
            </w:pPr>
            <w:r w:rsidRPr="009F726B">
              <w:rPr>
                <w:b/>
                <w:smallCaps/>
                <w:lang w:val="fr-CA"/>
              </w:rPr>
              <w:t>Motifs de jugement :</w:t>
            </w:r>
            <w:r w:rsidRPr="009F726B">
              <w:rPr>
                <w:lang w:val="fr-CA"/>
              </w:rPr>
              <w:t xml:space="preserve"> </w:t>
            </w:r>
          </w:p>
          <w:p w:rsidR="009F726B" w:rsidRPr="009F726B" w:rsidRDefault="009F726B" w:rsidP="00461B38">
            <w:pPr>
              <w:rPr>
                <w:lang w:val="fr-CA"/>
              </w:rPr>
            </w:pPr>
            <w:r w:rsidRPr="009F726B">
              <w:rPr>
                <w:lang w:val="fr-CA"/>
              </w:rPr>
              <w:t>(par. 1 à 59)</w:t>
            </w:r>
          </w:p>
          <w:p w:rsidR="009F726B" w:rsidRPr="009F726B" w:rsidRDefault="009F726B" w:rsidP="00461B38">
            <w:pPr>
              <w:rPr>
                <w:lang w:val="fr-CA"/>
              </w:rPr>
            </w:pPr>
          </w:p>
        </w:tc>
        <w:tc>
          <w:tcPr>
            <w:tcW w:w="6336" w:type="dxa"/>
          </w:tcPr>
          <w:p w:rsidR="009F726B" w:rsidRPr="009F726B" w:rsidRDefault="009F726B" w:rsidP="00461B38">
            <w:pPr>
              <w:rPr>
                <w:lang w:val="fr-CA"/>
              </w:rPr>
            </w:pPr>
            <w:r w:rsidRPr="009F726B">
              <w:rPr>
                <w:lang w:val="fr-CA"/>
              </w:rPr>
              <w:t xml:space="preserve">Le juge Brown (avec l’accord du juge en chef Wagner et des juges Abella, Moldaver, Karakatsanis, Gascon, Rowe et Martin) </w:t>
            </w:r>
          </w:p>
        </w:tc>
      </w:tr>
      <w:tr w:rsidR="009F726B" w:rsidRPr="001E12E2" w:rsidTr="00461B38">
        <w:trPr>
          <w:cantSplit/>
        </w:trPr>
        <w:tc>
          <w:tcPr>
            <w:tcW w:w="3240" w:type="dxa"/>
          </w:tcPr>
          <w:p w:rsidR="009F726B" w:rsidRDefault="009F726B" w:rsidP="00461B38">
            <w:r w:rsidRPr="00C72DFE">
              <w:rPr>
                <w:b/>
                <w:smallCaps/>
              </w:rPr>
              <w:t>Motifs concordants :</w:t>
            </w:r>
            <w:r>
              <w:t xml:space="preserve"> </w:t>
            </w:r>
          </w:p>
          <w:p w:rsidR="009F726B" w:rsidRDefault="009F726B" w:rsidP="00461B38">
            <w:pPr>
              <w:rPr>
                <w:b/>
                <w:smallCaps/>
              </w:rPr>
            </w:pPr>
            <w:r>
              <w:t>(par</w:t>
            </w:r>
            <w:r w:rsidRPr="005F19B1">
              <w:t>. 60 à 75)</w:t>
            </w:r>
          </w:p>
        </w:tc>
        <w:tc>
          <w:tcPr>
            <w:tcW w:w="6336" w:type="dxa"/>
          </w:tcPr>
          <w:p w:rsidR="009F726B" w:rsidRDefault="009F726B" w:rsidP="00461B38">
            <w:r>
              <w:t>La juge Côté</w:t>
            </w:r>
          </w:p>
        </w:tc>
      </w:tr>
    </w:tbl>
    <w:p w:rsidR="009F726B" w:rsidRDefault="009F726B" w:rsidP="009F726B"/>
    <w:p w:rsidR="009F726B" w:rsidRPr="009F726B" w:rsidRDefault="009F726B" w:rsidP="009F726B">
      <w:pPr>
        <w:rPr>
          <w:lang w:val="fr-CA"/>
        </w:rPr>
      </w:pPr>
      <w:r>
        <w:rPr>
          <w:noProof/>
          <w:lang w:val="en-US" w:eastAsia="en-US"/>
        </w:rPr>
        <mc:AlternateContent>
          <mc:Choice Requires="wps">
            <w:drawing>
              <wp:anchor distT="0" distB="0" distL="114300" distR="114300" simplePos="0" relativeHeight="251659264" behindDoc="0" locked="0" layoutInCell="1" allowOverlap="1" wp14:anchorId="453D8A31" wp14:editId="64EB5DC1">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9FD41F"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9F726B" w:rsidRDefault="009F726B" w:rsidP="00CE4B13">
      <w:pPr>
        <w:spacing w:after="720"/>
        <w:jc w:val="both"/>
        <w:rPr>
          <w:rStyle w:val="SCCAppellantForRunningHeadChar"/>
          <w:smallCaps w:val="0"/>
          <w:lang w:val="fr-CA"/>
        </w:rPr>
      </w:pPr>
    </w:p>
    <w:p w:rsidR="004D7D95" w:rsidRPr="00A02214" w:rsidRDefault="00A02214" w:rsidP="00CE4B13">
      <w:pPr>
        <w:spacing w:after="720"/>
        <w:jc w:val="both"/>
        <w:rPr>
          <w:smallCaps/>
          <w:lang w:val="fr-CA"/>
        </w:rPr>
      </w:pPr>
      <w:r>
        <w:rPr>
          <w:rStyle w:val="SCCAppellantForRunningHeadChar"/>
          <w:smallCaps w:val="0"/>
          <w:lang w:val="fr-CA"/>
        </w:rPr>
        <w:lastRenderedPageBreak/>
        <w:t>R</w:t>
      </w:r>
      <w:r w:rsidR="00640F8B" w:rsidRPr="00A02214">
        <w:rPr>
          <w:rStyle w:val="SCCAppellantForRunningHeadChar"/>
          <w:smallCaps w:val="0"/>
          <w:lang w:val="fr-CA"/>
        </w:rPr>
        <w:t>ogers</w:t>
      </w:r>
      <w:r>
        <w:rPr>
          <w:rStyle w:val="SCCAppellantForRunningHeadChar"/>
          <w:smallCaps w:val="0"/>
          <w:lang w:val="fr-CA"/>
        </w:rPr>
        <w:t xml:space="preserve"> Communications Inc.</w:t>
      </w:r>
      <w:r w:rsidR="00640F8B" w:rsidRPr="00A02214">
        <w:rPr>
          <w:rStyle w:val="SCCAppellantForRunningHeadChar"/>
          <w:smallCaps w:val="0"/>
          <w:lang w:val="fr-CA"/>
        </w:rPr>
        <w:t xml:space="preserve"> </w:t>
      </w:r>
      <w:r w:rsidR="004D7D95" w:rsidRPr="00A02214">
        <w:rPr>
          <w:i/>
          <w:lang w:val="fr-CA"/>
        </w:rPr>
        <w:t>c.</w:t>
      </w:r>
      <w:r w:rsidR="004D7D95" w:rsidRPr="00A02214">
        <w:rPr>
          <w:smallCaps/>
          <w:lang w:val="fr-CA"/>
        </w:rPr>
        <w:t xml:space="preserve"> </w:t>
      </w:r>
      <w:r>
        <w:rPr>
          <w:rStyle w:val="SCCRespondentForRunningHeadChar"/>
          <w:smallCaps w:val="0"/>
          <w:lang w:val="fr-CA"/>
        </w:rPr>
        <w:t>Voltage P</w:t>
      </w:r>
      <w:r w:rsidR="004D7D95" w:rsidRPr="00A02214">
        <w:rPr>
          <w:rStyle w:val="SCCRespondentForRunningHeadChar"/>
          <w:smallCaps w:val="0"/>
          <w:lang w:val="fr-CA"/>
        </w:rPr>
        <w:t>ictures</w:t>
      </w:r>
      <w:r>
        <w:rPr>
          <w:rStyle w:val="SCCRespondentForRunningHeadChar"/>
          <w:smallCaps w:val="0"/>
          <w:lang w:val="fr-CA"/>
        </w:rPr>
        <w:t xml:space="preserve">, LLC, </w:t>
      </w:r>
      <w:r w:rsidRPr="00D411C1">
        <w:rPr>
          <w:lang w:val="fr-CA"/>
        </w:rPr>
        <w:t>2018 CSC 38</w:t>
      </w:r>
      <w:r>
        <w:rPr>
          <w:lang w:val="fr-CA"/>
        </w:rPr>
        <w:t>, [2018] 2 R.C.S. 643</w:t>
      </w:r>
    </w:p>
    <w:p w:rsidR="00B04886" w:rsidRPr="00D411C1" w:rsidRDefault="001000A9">
      <w:pPr>
        <w:pStyle w:val="SCCLsocLastPartyInRole"/>
        <w:rPr>
          <w:lang w:val="fr-CA"/>
        </w:rPr>
      </w:pPr>
      <w:r w:rsidRPr="00D411C1">
        <w:rPr>
          <w:lang w:val="fr-CA"/>
        </w:rPr>
        <w:t>Rogers Communications Inc.</w:t>
      </w:r>
      <w:r w:rsidR="00640F8B" w:rsidRPr="00D411C1">
        <w:rPr>
          <w:rStyle w:val="SCCLsocPartyRole"/>
          <w:lang w:val="fr-CA"/>
        </w:rPr>
        <w:tab/>
        <w:t>Appelante</w:t>
      </w:r>
    </w:p>
    <w:p w:rsidR="00B04886" w:rsidRPr="00D411C1" w:rsidRDefault="001000A9">
      <w:pPr>
        <w:pStyle w:val="SCCLsocVersus"/>
        <w:rPr>
          <w:lang w:val="en-US"/>
        </w:rPr>
      </w:pPr>
      <w:r w:rsidRPr="00D411C1">
        <w:rPr>
          <w:lang w:val="en-US"/>
        </w:rPr>
        <w:t>c.</w:t>
      </w:r>
    </w:p>
    <w:p w:rsidR="00B04886" w:rsidRPr="00D411C1" w:rsidRDefault="001000A9">
      <w:pPr>
        <w:pStyle w:val="SCCLsocParty"/>
        <w:rPr>
          <w:lang w:val="en-US"/>
        </w:rPr>
      </w:pPr>
      <w:r w:rsidRPr="00D411C1">
        <w:rPr>
          <w:lang w:val="en-US"/>
        </w:rPr>
        <w:t>Voltage Pictures, LLC,</w:t>
      </w:r>
    </w:p>
    <w:p w:rsidR="00640F8B" w:rsidRPr="00D411C1" w:rsidRDefault="001000A9" w:rsidP="00640F8B">
      <w:pPr>
        <w:pStyle w:val="SCCLsocParty"/>
        <w:rPr>
          <w:lang w:val="en-US"/>
        </w:rPr>
      </w:pPr>
      <w:r w:rsidRPr="00D411C1">
        <w:rPr>
          <w:lang w:val="en-US"/>
        </w:rPr>
        <w:t xml:space="preserve">Cobbler Nevada, LLC, </w:t>
      </w:r>
    </w:p>
    <w:p w:rsidR="00640F8B" w:rsidRPr="00D411C1" w:rsidRDefault="001000A9" w:rsidP="00640F8B">
      <w:pPr>
        <w:pStyle w:val="SCCLsocParty"/>
        <w:rPr>
          <w:lang w:val="en-US"/>
        </w:rPr>
      </w:pPr>
      <w:r w:rsidRPr="00D411C1">
        <w:rPr>
          <w:lang w:val="en-US"/>
        </w:rPr>
        <w:t xml:space="preserve">PTG Nevada, LLC, </w:t>
      </w:r>
    </w:p>
    <w:p w:rsidR="00640F8B" w:rsidRPr="00D411C1" w:rsidRDefault="001000A9" w:rsidP="00640F8B">
      <w:pPr>
        <w:pStyle w:val="SCCLsocParty"/>
        <w:rPr>
          <w:lang w:val="en-US"/>
        </w:rPr>
      </w:pPr>
      <w:r w:rsidRPr="00D411C1">
        <w:rPr>
          <w:lang w:val="en-US"/>
        </w:rPr>
        <w:t xml:space="preserve">Clear Skies Nevada, LLC, </w:t>
      </w:r>
    </w:p>
    <w:p w:rsidR="00640F8B" w:rsidRPr="00D411C1" w:rsidRDefault="001000A9" w:rsidP="00640F8B">
      <w:pPr>
        <w:pStyle w:val="SCCLsocParty"/>
        <w:rPr>
          <w:lang w:val="en-US"/>
        </w:rPr>
      </w:pPr>
      <w:r w:rsidRPr="00D411C1">
        <w:rPr>
          <w:lang w:val="en-US"/>
        </w:rPr>
        <w:t xml:space="preserve">Glacier Entertainment S.A.R.L. of Luxemburg, </w:t>
      </w:r>
    </w:p>
    <w:p w:rsidR="00640F8B" w:rsidRPr="00D411C1" w:rsidRDefault="002B03C0" w:rsidP="00640F8B">
      <w:pPr>
        <w:pStyle w:val="SCCLsocParty"/>
        <w:rPr>
          <w:lang w:val="fr-CA"/>
        </w:rPr>
      </w:pPr>
      <w:r w:rsidRPr="00D411C1">
        <w:rPr>
          <w:lang w:val="fr-CA"/>
        </w:rPr>
        <w:t>Glacier Films 1, LLC et</w:t>
      </w:r>
      <w:r w:rsidR="001000A9" w:rsidRPr="00D411C1">
        <w:rPr>
          <w:lang w:val="fr-CA"/>
        </w:rPr>
        <w:t xml:space="preserve"> </w:t>
      </w:r>
    </w:p>
    <w:p w:rsidR="00B04886" w:rsidRPr="00D411C1" w:rsidRDefault="001000A9">
      <w:pPr>
        <w:pStyle w:val="SCCLsocLastPartyInRole"/>
        <w:rPr>
          <w:lang w:val="fr-CA"/>
        </w:rPr>
      </w:pPr>
      <w:r w:rsidRPr="00D411C1">
        <w:rPr>
          <w:lang w:val="fr-CA"/>
        </w:rPr>
        <w:t>Fathers &amp; Daughters Nevada, LLC</w:t>
      </w:r>
      <w:r w:rsidR="00640F8B" w:rsidRPr="00D411C1">
        <w:rPr>
          <w:rStyle w:val="SCCLsocPartyRole"/>
          <w:lang w:val="fr-CA"/>
        </w:rPr>
        <w:tab/>
        <w:t>Intimé</w:t>
      </w:r>
      <w:r w:rsidRPr="00D411C1">
        <w:rPr>
          <w:rStyle w:val="SCCLsocPartyRole"/>
          <w:lang w:val="fr-CA"/>
        </w:rPr>
        <w:t>es</w:t>
      </w:r>
    </w:p>
    <w:p w:rsidR="00B04886" w:rsidRPr="00D411C1" w:rsidRDefault="001000A9">
      <w:pPr>
        <w:pStyle w:val="SCCLsocOtherPartySeparator"/>
        <w:rPr>
          <w:lang w:val="fr-CA"/>
        </w:rPr>
      </w:pPr>
      <w:r w:rsidRPr="00D411C1">
        <w:rPr>
          <w:lang w:val="fr-CA"/>
        </w:rPr>
        <w:t>et</w:t>
      </w:r>
    </w:p>
    <w:p w:rsidR="00D9001C" w:rsidRPr="00D411C1" w:rsidRDefault="001000A9">
      <w:pPr>
        <w:pStyle w:val="SCCLsocParty"/>
        <w:rPr>
          <w:lang w:val="fr-CA"/>
        </w:rPr>
      </w:pPr>
      <w:r w:rsidRPr="00D411C1">
        <w:rPr>
          <w:lang w:val="fr-CA"/>
        </w:rPr>
        <w:t>Clin</w:t>
      </w:r>
      <w:r w:rsidR="00611077" w:rsidRPr="00D411C1">
        <w:rPr>
          <w:lang w:val="fr-CA"/>
        </w:rPr>
        <w:t>i</w:t>
      </w:r>
      <w:r w:rsidRPr="00D411C1">
        <w:rPr>
          <w:lang w:val="fr-CA"/>
        </w:rPr>
        <w:t>que d</w:t>
      </w:r>
      <w:r w:rsidR="00FB3897" w:rsidRPr="00D411C1">
        <w:rPr>
          <w:lang w:val="fr-CA"/>
        </w:rPr>
        <w:t>’</w:t>
      </w:r>
      <w:r w:rsidRPr="00D411C1">
        <w:rPr>
          <w:lang w:val="fr-CA"/>
        </w:rPr>
        <w:t>intérêt public et de politique d</w:t>
      </w:r>
      <w:r w:rsidR="00FB3897" w:rsidRPr="00D411C1">
        <w:rPr>
          <w:lang w:val="fr-CA"/>
        </w:rPr>
        <w:t>’</w:t>
      </w:r>
      <w:r w:rsidRPr="00D411C1">
        <w:rPr>
          <w:lang w:val="fr-CA"/>
        </w:rPr>
        <w:t xml:space="preserve">internet </w:t>
      </w:r>
    </w:p>
    <w:p w:rsidR="00D9001C" w:rsidRPr="00D411C1" w:rsidRDefault="001000A9">
      <w:pPr>
        <w:pStyle w:val="SCCLsocParty"/>
        <w:rPr>
          <w:lang w:val="fr-CA"/>
        </w:rPr>
      </w:pPr>
      <w:r w:rsidRPr="00D411C1">
        <w:rPr>
          <w:lang w:val="fr-CA"/>
        </w:rPr>
        <w:t>du Canada Samuelson</w:t>
      </w:r>
      <w:r w:rsidR="00CE4B13" w:rsidRPr="00D411C1">
        <w:rPr>
          <w:lang w:val="fr-CA"/>
        </w:rPr>
        <w:noBreakHyphen/>
      </w:r>
      <w:r w:rsidRPr="00D411C1">
        <w:rPr>
          <w:lang w:val="fr-CA"/>
        </w:rPr>
        <w:t>Glushko,</w:t>
      </w:r>
      <w:r w:rsidR="00D9001C" w:rsidRPr="00D411C1">
        <w:rPr>
          <w:lang w:val="fr-CA"/>
        </w:rPr>
        <w:t xml:space="preserve"> </w:t>
      </w:r>
      <w:r w:rsidRPr="00D411C1">
        <w:rPr>
          <w:lang w:val="fr-CA"/>
        </w:rPr>
        <w:t xml:space="preserve">Bell Canada Inc., </w:t>
      </w:r>
    </w:p>
    <w:p w:rsidR="00D9001C" w:rsidRPr="00D411C1" w:rsidRDefault="001000A9">
      <w:pPr>
        <w:pStyle w:val="SCCLsocParty"/>
        <w:rPr>
          <w:lang w:val="fr-CA"/>
        </w:rPr>
      </w:pPr>
      <w:r w:rsidRPr="00D411C1">
        <w:rPr>
          <w:lang w:val="fr-CA"/>
        </w:rPr>
        <w:t>Consortium des Op</w:t>
      </w:r>
      <w:r w:rsidR="00FF6C16" w:rsidRPr="00D411C1">
        <w:rPr>
          <w:lang w:val="fr-CA"/>
        </w:rPr>
        <w:t>é</w:t>
      </w:r>
      <w:r w:rsidRPr="00D411C1">
        <w:rPr>
          <w:lang w:val="fr-CA"/>
        </w:rPr>
        <w:t>rateurs de Réseaux Canadien</w:t>
      </w:r>
      <w:r w:rsidR="002B03C0" w:rsidRPr="00D411C1">
        <w:rPr>
          <w:lang w:val="fr-CA"/>
        </w:rPr>
        <w:t xml:space="preserve">s Inc., </w:t>
      </w:r>
    </w:p>
    <w:p w:rsidR="00B04886" w:rsidRPr="00D411C1" w:rsidRDefault="002B03C0">
      <w:pPr>
        <w:pStyle w:val="SCCLsocParty"/>
        <w:rPr>
          <w:lang w:val="en-US"/>
        </w:rPr>
      </w:pPr>
      <w:r w:rsidRPr="00D411C1">
        <w:rPr>
          <w:lang w:val="en-US"/>
        </w:rPr>
        <w:t>Cogeco Inc., Québecor Mé</w:t>
      </w:r>
      <w:r w:rsidR="001000A9" w:rsidRPr="00D411C1">
        <w:rPr>
          <w:lang w:val="en-US"/>
        </w:rPr>
        <w:t>dia Inc.,</w:t>
      </w:r>
    </w:p>
    <w:p w:rsidR="00D9001C" w:rsidRPr="00D411C1" w:rsidRDefault="001000A9" w:rsidP="00D9001C">
      <w:pPr>
        <w:pStyle w:val="SCCLsocParty"/>
        <w:rPr>
          <w:lang w:val="en-US"/>
        </w:rPr>
      </w:pPr>
      <w:r w:rsidRPr="00D411C1">
        <w:rPr>
          <w:lang w:val="en-US"/>
        </w:rPr>
        <w:t xml:space="preserve">Saskatchewan Telecommunications Holding Corporation, </w:t>
      </w:r>
    </w:p>
    <w:p w:rsidR="00D9001C" w:rsidRPr="00D411C1" w:rsidRDefault="001000A9" w:rsidP="00D9001C">
      <w:pPr>
        <w:pStyle w:val="SCCLsocParty"/>
        <w:rPr>
          <w:lang w:val="fr-CA"/>
        </w:rPr>
      </w:pPr>
      <w:r w:rsidRPr="00D411C1">
        <w:rPr>
          <w:lang w:val="fr-CA"/>
        </w:rPr>
        <w:t xml:space="preserve">Shaw Communications Inc., TekSavvy Solutions Inc., </w:t>
      </w:r>
    </w:p>
    <w:p w:rsidR="00B04886" w:rsidRPr="00D411C1" w:rsidRDefault="001000A9">
      <w:pPr>
        <w:pStyle w:val="SCCLsocLastPartyInRole"/>
        <w:rPr>
          <w:lang w:val="fr-CA"/>
        </w:rPr>
      </w:pPr>
      <w:r w:rsidRPr="00D411C1">
        <w:rPr>
          <w:lang w:val="fr-CA"/>
        </w:rPr>
        <w:t>T</w:t>
      </w:r>
      <w:r w:rsidR="00292681" w:rsidRPr="00D411C1">
        <w:rPr>
          <w:lang w:val="fr-CA"/>
        </w:rPr>
        <w:t>ELUS</w:t>
      </w:r>
      <w:r w:rsidRPr="00D411C1">
        <w:rPr>
          <w:lang w:val="fr-CA"/>
        </w:rPr>
        <w:t xml:space="preserve"> Communications Inc. et Xplornet Communications Inc.</w:t>
      </w:r>
      <w:r w:rsidR="00640F8B" w:rsidRPr="00D411C1">
        <w:rPr>
          <w:rStyle w:val="SCCLsocPartyRole"/>
          <w:lang w:val="fr-CA"/>
        </w:rPr>
        <w:tab/>
        <w:t>Intervenant</w:t>
      </w:r>
      <w:r w:rsidRPr="00D411C1">
        <w:rPr>
          <w:rStyle w:val="SCCLsocPartyRole"/>
          <w:lang w:val="fr-CA"/>
        </w:rPr>
        <w:t>es</w:t>
      </w:r>
    </w:p>
    <w:p w:rsidR="004D7D95" w:rsidRPr="00D411C1" w:rsidRDefault="00640F8B" w:rsidP="00CE4B13">
      <w:pPr>
        <w:spacing w:after="720"/>
        <w:jc w:val="both"/>
        <w:rPr>
          <w:b/>
          <w:lang w:val="fr-CA"/>
        </w:rPr>
      </w:pPr>
      <w:r w:rsidRPr="00D411C1">
        <w:rPr>
          <w:b/>
          <w:lang w:val="fr-CA"/>
        </w:rPr>
        <w:t>Répertorié</w:t>
      </w:r>
      <w:r w:rsidR="00CE4B13" w:rsidRPr="00D411C1">
        <w:rPr>
          <w:b/>
          <w:lang w:val="fr-CA"/>
        </w:rPr>
        <w:t> :</w:t>
      </w:r>
      <w:r w:rsidRPr="00D411C1">
        <w:rPr>
          <w:b/>
          <w:lang w:val="fr-CA"/>
        </w:rPr>
        <w:t> </w:t>
      </w:r>
      <w:r w:rsidR="004D7D95" w:rsidRPr="00D411C1">
        <w:rPr>
          <w:rStyle w:val="SCCAppellantForIndexChar"/>
          <w:lang w:val="fr-CA"/>
        </w:rPr>
        <w:t>Rogers Communications Inc.</w:t>
      </w:r>
      <w:r w:rsidR="004D7D95" w:rsidRPr="00D411C1">
        <w:rPr>
          <w:b/>
          <w:lang w:val="fr-CA"/>
        </w:rPr>
        <w:t xml:space="preserve"> </w:t>
      </w:r>
      <w:r w:rsidR="004D7D95" w:rsidRPr="00D411C1">
        <w:rPr>
          <w:b/>
          <w:i/>
          <w:lang w:val="fr-CA"/>
        </w:rPr>
        <w:t>c.</w:t>
      </w:r>
      <w:r w:rsidR="004D7D95" w:rsidRPr="00D411C1">
        <w:rPr>
          <w:b/>
          <w:lang w:val="fr-CA"/>
        </w:rPr>
        <w:t xml:space="preserve"> </w:t>
      </w:r>
      <w:r w:rsidRPr="00D411C1">
        <w:rPr>
          <w:rStyle w:val="SCCRespondentForIndexChar"/>
          <w:lang w:val="fr-CA"/>
        </w:rPr>
        <w:t>Voltage Pictures, LLC</w:t>
      </w:r>
    </w:p>
    <w:p w:rsidR="004D7D95" w:rsidRPr="00D411C1" w:rsidRDefault="00D17B0E" w:rsidP="00CE4B13">
      <w:pPr>
        <w:pStyle w:val="SCCSystemYear"/>
        <w:spacing w:after="720"/>
        <w:jc w:val="both"/>
        <w:rPr>
          <w:lang w:val="fr-CA"/>
        </w:rPr>
      </w:pPr>
      <w:r w:rsidRPr="00D411C1">
        <w:rPr>
          <w:lang w:val="fr-CA"/>
        </w:rPr>
        <w:t>2018</w:t>
      </w:r>
      <w:r w:rsidR="00640F8B" w:rsidRPr="00D411C1">
        <w:rPr>
          <w:lang w:val="fr-CA"/>
        </w:rPr>
        <w:t xml:space="preserve"> CSC </w:t>
      </w:r>
      <w:r w:rsidR="00E70396" w:rsidRPr="00D411C1">
        <w:rPr>
          <w:lang w:val="fr-CA"/>
        </w:rPr>
        <w:t>38</w:t>
      </w:r>
    </w:p>
    <w:p w:rsidR="004D7D95" w:rsidRPr="00D411C1" w:rsidRDefault="004D7D95" w:rsidP="00CE4B13">
      <w:pPr>
        <w:spacing w:after="720"/>
        <w:jc w:val="both"/>
        <w:rPr>
          <w:lang w:val="fr-CA"/>
        </w:rPr>
      </w:pPr>
      <w:r w:rsidRPr="00D411C1">
        <w:rPr>
          <w:lang w:val="fr-CA"/>
        </w:rPr>
        <w:t>N</w:t>
      </w:r>
      <w:r w:rsidRPr="00D411C1">
        <w:rPr>
          <w:vertAlign w:val="superscript"/>
          <w:lang w:val="fr-CA"/>
        </w:rPr>
        <w:t>o</w:t>
      </w:r>
      <w:r w:rsidRPr="00D411C1">
        <w:rPr>
          <w:lang w:val="fr-CA"/>
        </w:rPr>
        <w:t xml:space="preserve"> du greffe</w:t>
      </w:r>
      <w:r w:rsidR="00CE4B13" w:rsidRPr="00D411C1">
        <w:rPr>
          <w:lang w:val="fr-CA"/>
        </w:rPr>
        <w:t> :</w:t>
      </w:r>
      <w:r w:rsidRPr="00D411C1">
        <w:rPr>
          <w:lang w:val="fr-CA"/>
        </w:rPr>
        <w:t> 37679.</w:t>
      </w:r>
    </w:p>
    <w:p w:rsidR="004D7D95" w:rsidRPr="00D411C1" w:rsidRDefault="00CE4B13" w:rsidP="00CE4B13">
      <w:pPr>
        <w:spacing w:after="720"/>
        <w:jc w:val="both"/>
        <w:rPr>
          <w:lang w:val="fr-CA"/>
        </w:rPr>
      </w:pPr>
      <w:r w:rsidRPr="00D411C1">
        <w:rPr>
          <w:lang w:val="fr-CA"/>
        </w:rPr>
        <w:t>2018 : </w:t>
      </w:r>
      <w:r w:rsidR="00D17B0E" w:rsidRPr="00D411C1">
        <w:rPr>
          <w:lang w:val="fr-CA"/>
        </w:rPr>
        <w:t>26</w:t>
      </w:r>
      <w:r w:rsidRPr="00D411C1">
        <w:rPr>
          <w:lang w:val="fr-CA"/>
        </w:rPr>
        <w:t> </w:t>
      </w:r>
      <w:r w:rsidR="00D17B0E" w:rsidRPr="00D411C1">
        <w:rPr>
          <w:lang w:val="fr-CA"/>
        </w:rPr>
        <w:t>avril</w:t>
      </w:r>
      <w:r w:rsidR="004D7D95" w:rsidRPr="00D411C1">
        <w:rPr>
          <w:lang w:val="fr-CA"/>
        </w:rPr>
        <w:t xml:space="preserve">; </w:t>
      </w:r>
      <w:r w:rsidR="00640F8B" w:rsidRPr="00D411C1">
        <w:rPr>
          <w:lang w:val="fr-CA"/>
        </w:rPr>
        <w:t>2018</w:t>
      </w:r>
      <w:r w:rsidRPr="00D411C1">
        <w:rPr>
          <w:lang w:val="fr-CA"/>
        </w:rPr>
        <w:t> : </w:t>
      </w:r>
      <w:r w:rsidR="001C4B8E" w:rsidRPr="00D411C1">
        <w:rPr>
          <w:lang w:val="fr-CA"/>
        </w:rPr>
        <w:t>14 </w:t>
      </w:r>
      <w:r w:rsidR="00E70396" w:rsidRPr="00D411C1">
        <w:rPr>
          <w:lang w:val="fr-CA"/>
        </w:rPr>
        <w:t>septembre</w:t>
      </w:r>
      <w:r w:rsidR="004D7D95" w:rsidRPr="00D411C1">
        <w:rPr>
          <w:lang w:val="fr-CA"/>
        </w:rPr>
        <w:t>.</w:t>
      </w:r>
    </w:p>
    <w:p w:rsidR="004D7D95" w:rsidRPr="00D411C1" w:rsidRDefault="004D7D95" w:rsidP="00CE4B13">
      <w:pPr>
        <w:spacing w:after="720"/>
        <w:jc w:val="both"/>
        <w:rPr>
          <w:lang w:val="fr-CA"/>
        </w:rPr>
      </w:pPr>
      <w:r w:rsidRPr="00D411C1">
        <w:rPr>
          <w:lang w:val="fr-CA"/>
        </w:rPr>
        <w:lastRenderedPageBreak/>
        <w:t>Présents</w:t>
      </w:r>
      <w:r w:rsidR="00CE4B13" w:rsidRPr="00D411C1">
        <w:rPr>
          <w:lang w:val="fr-CA"/>
        </w:rPr>
        <w:t> :</w:t>
      </w:r>
      <w:r w:rsidRPr="00D411C1">
        <w:rPr>
          <w:lang w:val="fr-CA"/>
        </w:rPr>
        <w:t> Le juge en chef Wagner et les juges Abella, Moldaver, Karakatsanis, Gascon, Côté, Brown, Rowe et Martin.</w:t>
      </w:r>
    </w:p>
    <w:p w:rsidR="004D7D95" w:rsidRPr="00D411C1" w:rsidRDefault="004D7D95" w:rsidP="00CE4B13">
      <w:pPr>
        <w:spacing w:after="720"/>
        <w:jc w:val="both"/>
        <w:rPr>
          <w:smallCaps/>
          <w:lang w:val="fr-CA"/>
        </w:rPr>
      </w:pPr>
      <w:r w:rsidRPr="00D411C1">
        <w:rPr>
          <w:smallCaps/>
          <w:lang w:val="fr-CA"/>
        </w:rPr>
        <w:t>en appel de la cour d</w:t>
      </w:r>
      <w:r w:rsidR="00FB3897" w:rsidRPr="00D411C1">
        <w:rPr>
          <w:smallCaps/>
          <w:lang w:val="fr-CA"/>
        </w:rPr>
        <w:t>’</w:t>
      </w:r>
      <w:r w:rsidRPr="00D411C1">
        <w:rPr>
          <w:smallCaps/>
          <w:lang w:val="fr-CA"/>
        </w:rPr>
        <w:t>appel fédérale</w:t>
      </w:r>
    </w:p>
    <w:p w:rsidR="007E7CF7" w:rsidRPr="006A5B83" w:rsidRDefault="004D7D95" w:rsidP="007E7CF7">
      <w:pPr>
        <w:pStyle w:val="SCCNormalDoubleSpacing"/>
        <w:spacing w:before="480" w:after="480"/>
        <w:rPr>
          <w:lang w:val="fr-CA"/>
        </w:rPr>
      </w:pPr>
      <w:r w:rsidRPr="00D411C1">
        <w:rPr>
          <w:lang w:val="fr-CA"/>
        </w:rPr>
        <w:tab/>
      </w:r>
      <w:r w:rsidR="007E7CF7" w:rsidRPr="00D411C1">
        <w:rPr>
          <w:i/>
          <w:lang w:val="fr-CA"/>
        </w:rPr>
        <w:t>Propriété intellectuelle — Droit d’auteur — Violation — Ordonnance de type Norwich — Coûts occasionnés en vue de la conformité — Obtention par des titulaires</w:t>
      </w:r>
      <w:r w:rsidR="00917BEB" w:rsidRPr="00D411C1">
        <w:rPr>
          <w:i/>
          <w:lang w:val="fr-CA"/>
        </w:rPr>
        <w:t xml:space="preserve"> de droits d’auteur d’une ordonnance de type</w:t>
      </w:r>
      <w:r w:rsidR="007E7CF7" w:rsidRPr="00D411C1">
        <w:rPr>
          <w:i/>
          <w:lang w:val="fr-CA"/>
        </w:rPr>
        <w:t xml:space="preserve"> Norwich </w:t>
      </w:r>
      <w:r w:rsidR="00917BEB" w:rsidRPr="00D411C1">
        <w:rPr>
          <w:i/>
          <w:lang w:val="fr-CA"/>
        </w:rPr>
        <w:t xml:space="preserve">obligeant </w:t>
      </w:r>
      <w:r w:rsidR="00F406EB" w:rsidRPr="00D411C1">
        <w:rPr>
          <w:i/>
          <w:lang w:val="fr-CA"/>
        </w:rPr>
        <w:t>un</w:t>
      </w:r>
      <w:r w:rsidR="00917BEB" w:rsidRPr="00D411C1">
        <w:rPr>
          <w:i/>
          <w:lang w:val="fr-CA"/>
        </w:rPr>
        <w:t xml:space="preserve"> fournisseur de services</w:t>
      </w:r>
      <w:r w:rsidR="007E7CF7" w:rsidRPr="00D411C1">
        <w:rPr>
          <w:i/>
          <w:lang w:val="fr-CA"/>
        </w:rPr>
        <w:t xml:space="preserve"> Internet </w:t>
      </w:r>
      <w:r w:rsidR="00917BEB" w:rsidRPr="00D411C1">
        <w:rPr>
          <w:i/>
          <w:lang w:val="fr-CA"/>
        </w:rPr>
        <w:t xml:space="preserve">à </w:t>
      </w:r>
      <w:r w:rsidR="006A5B83">
        <w:rPr>
          <w:i/>
          <w:lang w:val="fr-CA"/>
        </w:rPr>
        <w:t>communique</w:t>
      </w:r>
      <w:r w:rsidR="00917BEB" w:rsidRPr="00D411C1">
        <w:rPr>
          <w:i/>
          <w:lang w:val="fr-CA"/>
        </w:rPr>
        <w:t>r l’</w:t>
      </w:r>
      <w:r w:rsidR="007E7CF7" w:rsidRPr="00D411C1">
        <w:rPr>
          <w:i/>
          <w:lang w:val="fr-CA"/>
        </w:rPr>
        <w:t>identit</w:t>
      </w:r>
      <w:r w:rsidR="00917BEB" w:rsidRPr="00D411C1">
        <w:rPr>
          <w:i/>
          <w:lang w:val="fr-CA"/>
        </w:rPr>
        <w:t>é d’une personne qui aurait violé le</w:t>
      </w:r>
      <w:r w:rsidR="00F406EB" w:rsidRPr="00D411C1">
        <w:rPr>
          <w:i/>
          <w:lang w:val="fr-CA"/>
        </w:rPr>
        <w:t>ur</w:t>
      </w:r>
      <w:r w:rsidR="00917BEB" w:rsidRPr="00D411C1">
        <w:rPr>
          <w:i/>
          <w:lang w:val="fr-CA"/>
        </w:rPr>
        <w:t xml:space="preserve"> droit</w:t>
      </w:r>
      <w:r w:rsidR="00877385" w:rsidRPr="00D411C1">
        <w:rPr>
          <w:i/>
          <w:lang w:val="fr-CA"/>
        </w:rPr>
        <w:t xml:space="preserve"> </w:t>
      </w:r>
      <w:r w:rsidR="007E7CF7" w:rsidRPr="00D411C1">
        <w:rPr>
          <w:i/>
          <w:lang w:val="fr-CA"/>
        </w:rPr>
        <w:t>—</w:t>
      </w:r>
      <w:r w:rsidR="000A0371" w:rsidRPr="00D411C1">
        <w:rPr>
          <w:i/>
          <w:lang w:val="fr-CA"/>
        </w:rPr>
        <w:t xml:space="preserve"> T</w:t>
      </w:r>
      <w:r w:rsidR="00917BEB" w:rsidRPr="00D411C1">
        <w:rPr>
          <w:i/>
          <w:lang w:val="fr-CA"/>
        </w:rPr>
        <w:t>itulaires</w:t>
      </w:r>
      <w:r w:rsidR="000A0371" w:rsidRPr="00D411C1">
        <w:rPr>
          <w:i/>
          <w:lang w:val="fr-CA"/>
        </w:rPr>
        <w:t xml:space="preserve"> de droits d’auteur</w:t>
      </w:r>
      <w:r w:rsidR="00917BEB" w:rsidRPr="00D411C1">
        <w:rPr>
          <w:i/>
          <w:lang w:val="fr-CA"/>
        </w:rPr>
        <w:t xml:space="preserve"> </w:t>
      </w:r>
      <w:r w:rsidR="00F406EB" w:rsidRPr="00D411C1">
        <w:rPr>
          <w:i/>
          <w:lang w:val="fr-CA"/>
        </w:rPr>
        <w:t>demandant de</w:t>
      </w:r>
      <w:r w:rsidR="00917BEB" w:rsidRPr="00D411C1">
        <w:rPr>
          <w:i/>
          <w:lang w:val="fr-CA"/>
        </w:rPr>
        <w:t xml:space="preserve"> ne pas payer les </w:t>
      </w:r>
      <w:r w:rsidR="000A0371" w:rsidRPr="00D411C1">
        <w:rPr>
          <w:i/>
          <w:lang w:val="fr-CA"/>
        </w:rPr>
        <w:t xml:space="preserve">coûts relatifs à la communication sur le fondement d’une disposition du régime législatif d’avis et avis interdisant aux fournisseurs de services Internet de demander des droits pour les coûts occasionnés par la conformité aux obligations dans le cadre de ce régime — </w:t>
      </w:r>
      <w:r w:rsidR="00245788" w:rsidRPr="00D411C1">
        <w:rPr>
          <w:i/>
          <w:lang w:val="fr-CA"/>
        </w:rPr>
        <w:t xml:space="preserve">Les mesures prises par </w:t>
      </w:r>
      <w:r w:rsidR="006A5B83">
        <w:rPr>
          <w:i/>
          <w:lang w:val="fr-CA"/>
        </w:rPr>
        <w:t>le</w:t>
      </w:r>
      <w:r w:rsidR="00245788" w:rsidRPr="00D411C1">
        <w:rPr>
          <w:i/>
          <w:lang w:val="fr-CA"/>
        </w:rPr>
        <w:t xml:space="preserve"> fournisseur de services Internet pour se conformer à l’ordonnance de type Norwich chevauchent</w:t>
      </w:r>
      <w:r w:rsidR="008F5FE1" w:rsidRPr="00D411C1">
        <w:rPr>
          <w:i/>
          <w:lang w:val="fr-CA"/>
        </w:rPr>
        <w:noBreakHyphen/>
      </w:r>
      <w:r w:rsidR="00245788" w:rsidRPr="00D411C1">
        <w:rPr>
          <w:i/>
          <w:lang w:val="fr-CA"/>
        </w:rPr>
        <w:t>elles ses obligations légales</w:t>
      </w:r>
      <w:r w:rsidR="00304A1C" w:rsidRPr="00D411C1">
        <w:rPr>
          <w:i/>
          <w:lang w:val="fr-CA"/>
        </w:rPr>
        <w:t xml:space="preserve">? — Un tel chevauchement, s’il </w:t>
      </w:r>
      <w:r w:rsidR="00F406EB" w:rsidRPr="00D411C1">
        <w:rPr>
          <w:i/>
          <w:lang w:val="fr-CA"/>
        </w:rPr>
        <w:t>en est</w:t>
      </w:r>
      <w:r w:rsidR="00304A1C" w:rsidRPr="00D411C1">
        <w:rPr>
          <w:i/>
          <w:lang w:val="fr-CA"/>
        </w:rPr>
        <w:t>, a</w:t>
      </w:r>
      <w:r w:rsidR="008F5FE1" w:rsidRPr="00D411C1">
        <w:rPr>
          <w:i/>
          <w:lang w:val="fr-CA"/>
        </w:rPr>
        <w:noBreakHyphen/>
      </w:r>
      <w:r w:rsidR="00304A1C" w:rsidRPr="00D411C1">
        <w:rPr>
          <w:i/>
          <w:lang w:val="fr-CA"/>
        </w:rPr>
        <w:t>t</w:t>
      </w:r>
      <w:r w:rsidR="008F5FE1" w:rsidRPr="00D411C1">
        <w:rPr>
          <w:i/>
          <w:lang w:val="fr-CA"/>
        </w:rPr>
        <w:noBreakHyphen/>
      </w:r>
      <w:r w:rsidR="00304A1C" w:rsidRPr="00D411C1">
        <w:rPr>
          <w:i/>
          <w:lang w:val="fr-CA"/>
        </w:rPr>
        <w:t>il une incidence sur la capacité du fournisseur de services Internet de recouvrer les coûts raisonnables occasionnés pour se conformer à l’ordonnance</w:t>
      </w:r>
      <w:r w:rsidR="00EC42A8" w:rsidRPr="00D411C1">
        <w:rPr>
          <w:i/>
          <w:lang w:val="fr-CA"/>
        </w:rPr>
        <w:t xml:space="preserve"> de type Norwich</w:t>
      </w:r>
      <w:r w:rsidR="00551244" w:rsidRPr="00D411C1">
        <w:rPr>
          <w:i/>
          <w:lang w:val="fr-CA"/>
        </w:rPr>
        <w:t>?</w:t>
      </w:r>
      <w:r w:rsidR="00304A1C" w:rsidRPr="00D411C1">
        <w:rPr>
          <w:i/>
          <w:lang w:val="fr-CA"/>
        </w:rPr>
        <w:t xml:space="preserve"> — Loi sur le </w:t>
      </w:r>
      <w:r w:rsidR="008F5FE1" w:rsidRPr="00D411C1">
        <w:rPr>
          <w:i/>
          <w:lang w:val="fr-CA"/>
        </w:rPr>
        <w:t>droit d’auteur, L.R.C. 1985, c. </w:t>
      </w:r>
      <w:r w:rsidR="00304A1C" w:rsidRPr="00D411C1">
        <w:rPr>
          <w:i/>
          <w:lang w:val="fr-CA"/>
        </w:rPr>
        <w:t>C</w:t>
      </w:r>
      <w:r w:rsidR="008F5FE1" w:rsidRPr="00D411C1">
        <w:rPr>
          <w:i/>
          <w:lang w:val="fr-CA"/>
        </w:rPr>
        <w:noBreakHyphen/>
      </w:r>
      <w:r w:rsidR="00304A1C" w:rsidRPr="00D411C1">
        <w:rPr>
          <w:i/>
          <w:lang w:val="fr-CA"/>
        </w:rPr>
        <w:t>42, art.</w:t>
      </w:r>
      <w:r w:rsidR="008F5FE1" w:rsidRPr="00D411C1">
        <w:rPr>
          <w:i/>
          <w:lang w:val="fr-CA"/>
        </w:rPr>
        <w:t> </w:t>
      </w:r>
      <w:r w:rsidR="00304A1C" w:rsidRPr="00D411C1">
        <w:rPr>
          <w:i/>
          <w:lang w:val="fr-CA"/>
        </w:rPr>
        <w:t>41.25, 41.26</w:t>
      </w:r>
      <w:r w:rsidR="006A5B83" w:rsidRPr="006A5B83">
        <w:rPr>
          <w:i/>
          <w:lang w:val="fr-CA"/>
        </w:rPr>
        <w:t>.</w:t>
      </w:r>
    </w:p>
    <w:p w:rsidR="007E7CF7" w:rsidRPr="00D411C1" w:rsidRDefault="007E7CF7" w:rsidP="007E7CF7">
      <w:pPr>
        <w:pStyle w:val="SCCNormalDoubleSpacing"/>
        <w:spacing w:before="480" w:after="480"/>
        <w:rPr>
          <w:lang w:val="fr-CA"/>
        </w:rPr>
      </w:pPr>
      <w:r w:rsidRPr="00D411C1">
        <w:rPr>
          <w:lang w:val="fr-CA"/>
        </w:rPr>
        <w:tab/>
      </w:r>
      <w:r w:rsidR="00EC42A8" w:rsidRPr="00D411C1">
        <w:rPr>
          <w:lang w:val="fr-CA"/>
        </w:rPr>
        <w:t xml:space="preserve">Les intimées sont des sociétés de production cinématographique qui allèguent que leurs droits d’auteur ont été violés en ligne par des abonnés à Internet </w:t>
      </w:r>
      <w:r w:rsidR="00877385" w:rsidRPr="00D411C1">
        <w:rPr>
          <w:lang w:val="fr-CA"/>
        </w:rPr>
        <w:t xml:space="preserve">non </w:t>
      </w:r>
      <w:r w:rsidR="00F406EB" w:rsidRPr="00D411C1">
        <w:rPr>
          <w:lang w:val="fr-CA"/>
        </w:rPr>
        <w:t>identifiés</w:t>
      </w:r>
      <w:r w:rsidR="00EC42A8" w:rsidRPr="00D411C1">
        <w:rPr>
          <w:lang w:val="fr-CA"/>
        </w:rPr>
        <w:t xml:space="preserve"> qui ont partagé leurs films à l’aide de réseaux de partage de fichiers poste à poste. Elles ont poursuivi l’un de ces inconnus et ont présenté une requête en vue d’obtenir une ordonnance de type </w:t>
      </w:r>
      <w:r w:rsidR="00EC42A8" w:rsidRPr="00D411C1">
        <w:rPr>
          <w:i/>
          <w:lang w:val="fr-CA"/>
        </w:rPr>
        <w:t>Norwich</w:t>
      </w:r>
      <w:r w:rsidR="00EC42A8" w:rsidRPr="00D411C1">
        <w:rPr>
          <w:lang w:val="fr-CA"/>
        </w:rPr>
        <w:t xml:space="preserve"> </w:t>
      </w:r>
      <w:r w:rsidR="00052CE6" w:rsidRPr="00D411C1">
        <w:rPr>
          <w:lang w:val="fr-CA"/>
        </w:rPr>
        <w:t xml:space="preserve">pour </w:t>
      </w:r>
      <w:r w:rsidR="00EC42A8" w:rsidRPr="00D411C1">
        <w:rPr>
          <w:lang w:val="fr-CA"/>
        </w:rPr>
        <w:t>oblige</w:t>
      </w:r>
      <w:r w:rsidR="00052CE6" w:rsidRPr="00D411C1">
        <w:rPr>
          <w:lang w:val="fr-CA"/>
        </w:rPr>
        <w:t>r</w:t>
      </w:r>
      <w:r w:rsidR="00EC42A8" w:rsidRPr="00D411C1">
        <w:rPr>
          <w:lang w:val="fr-CA"/>
        </w:rPr>
        <w:t xml:space="preserve"> son fournisseur de services Internet (« FSI »), Rogers, à l</w:t>
      </w:r>
      <w:r w:rsidR="00052CE6" w:rsidRPr="00D411C1">
        <w:rPr>
          <w:lang w:val="fr-CA"/>
        </w:rPr>
        <w:t>e</w:t>
      </w:r>
      <w:r w:rsidR="00EC42A8" w:rsidRPr="00D411C1">
        <w:rPr>
          <w:lang w:val="fr-CA"/>
        </w:rPr>
        <w:t>u</w:t>
      </w:r>
      <w:r w:rsidR="00052CE6" w:rsidRPr="00D411C1">
        <w:rPr>
          <w:lang w:val="fr-CA"/>
        </w:rPr>
        <w:t>r</w:t>
      </w:r>
      <w:r w:rsidR="00EC42A8" w:rsidRPr="00D411C1">
        <w:rPr>
          <w:lang w:val="fr-CA"/>
        </w:rPr>
        <w:t xml:space="preserve"> communiquer les coordonnées et les renseig</w:t>
      </w:r>
      <w:r w:rsidR="009108E2" w:rsidRPr="00D411C1">
        <w:rPr>
          <w:lang w:val="fr-CA"/>
        </w:rPr>
        <w:t xml:space="preserve">nements </w:t>
      </w:r>
      <w:r w:rsidR="009108E2" w:rsidRPr="00D411C1">
        <w:rPr>
          <w:lang w:val="fr-CA"/>
        </w:rPr>
        <w:lastRenderedPageBreak/>
        <w:t>personnels de ce</w:t>
      </w:r>
      <w:r w:rsidR="00052CE6" w:rsidRPr="00D411C1">
        <w:rPr>
          <w:lang w:val="fr-CA"/>
        </w:rPr>
        <w:t>t inconnu</w:t>
      </w:r>
      <w:r w:rsidR="009108E2" w:rsidRPr="00D411C1">
        <w:rPr>
          <w:lang w:val="fr-CA"/>
        </w:rPr>
        <w:t xml:space="preserve">. Les intimées ont demandé que l’ordonnance de communication soit rendue sans aucun droit à payer à Rogers </w:t>
      </w:r>
      <w:r w:rsidR="00052CE6" w:rsidRPr="00D411C1">
        <w:rPr>
          <w:lang w:val="fr-CA"/>
        </w:rPr>
        <w:t>sur le fondement des</w:t>
      </w:r>
      <w:r w:rsidR="008F5FE1" w:rsidRPr="00D411C1">
        <w:rPr>
          <w:lang w:val="fr-CA"/>
        </w:rPr>
        <w:t xml:space="preserve"> art. 41.25 et </w:t>
      </w:r>
      <w:r w:rsidR="009108E2" w:rsidRPr="00D411C1">
        <w:rPr>
          <w:lang w:val="fr-CA"/>
        </w:rPr>
        <w:t xml:space="preserve">41.26 de la </w:t>
      </w:r>
      <w:r w:rsidR="009108E2" w:rsidRPr="00D411C1">
        <w:rPr>
          <w:i/>
          <w:lang w:val="fr-CA"/>
        </w:rPr>
        <w:t>Loi</w:t>
      </w:r>
      <w:r w:rsidR="00EC42A8" w:rsidRPr="00D411C1">
        <w:rPr>
          <w:i/>
          <w:lang w:val="fr-CA"/>
        </w:rPr>
        <w:t xml:space="preserve"> </w:t>
      </w:r>
      <w:r w:rsidR="009108E2" w:rsidRPr="00D411C1">
        <w:rPr>
          <w:i/>
          <w:lang w:val="fr-CA"/>
        </w:rPr>
        <w:t>sur le droit d’auteur</w:t>
      </w:r>
      <w:r w:rsidR="009108E2" w:rsidRPr="00D411C1">
        <w:rPr>
          <w:lang w:val="fr-CA"/>
        </w:rPr>
        <w:t>. Ces dispositions, appelées régime d’« avis et avis », prévoient que le FSI doit, à la réception d’un avis envoyé par le titulaire du droit d’auteur dans lequel il affirme qu’une personne à une certaine adresse IP a violé son droit d’auteur, transmettre cet avis de prétendue violation à la personne à qui appartient l’adresse</w:t>
      </w:r>
      <w:r w:rsidR="00092462">
        <w:rPr>
          <w:lang w:val="fr-CA"/>
        </w:rPr>
        <w:t xml:space="preserve"> </w:t>
      </w:r>
      <w:r w:rsidR="009108E2" w:rsidRPr="00D411C1">
        <w:rPr>
          <w:lang w:val="fr-CA"/>
        </w:rPr>
        <w:t xml:space="preserve">IP. Elles </w:t>
      </w:r>
      <w:r w:rsidR="00054B10" w:rsidRPr="00D411C1">
        <w:rPr>
          <w:lang w:val="fr-CA"/>
        </w:rPr>
        <w:t>interdisent également aux FSI d’exiger des droits pour se conformer aux obligations que leur impose le régime.</w:t>
      </w:r>
    </w:p>
    <w:p w:rsidR="007E7CF7" w:rsidRPr="00D411C1" w:rsidRDefault="007E7CF7" w:rsidP="008F5FE1">
      <w:pPr>
        <w:pStyle w:val="SCCNormalDoubleSpacing"/>
        <w:spacing w:before="480" w:after="480"/>
        <w:rPr>
          <w:lang w:val="fr-CA"/>
        </w:rPr>
      </w:pPr>
      <w:r w:rsidRPr="00D411C1">
        <w:rPr>
          <w:lang w:val="fr-CA"/>
        </w:rPr>
        <w:tab/>
      </w:r>
      <w:r w:rsidR="005F70F0" w:rsidRPr="00D411C1">
        <w:rPr>
          <w:lang w:val="fr-CA"/>
        </w:rPr>
        <w:t xml:space="preserve">Le juge des requêtes a accordé l’ordonnance de type </w:t>
      </w:r>
      <w:r w:rsidR="005F70F0" w:rsidRPr="00D411C1">
        <w:rPr>
          <w:i/>
          <w:lang w:val="fr-CA"/>
        </w:rPr>
        <w:t xml:space="preserve">Norwich </w:t>
      </w:r>
      <w:r w:rsidR="005F70F0" w:rsidRPr="00D411C1">
        <w:rPr>
          <w:lang w:val="fr-CA"/>
        </w:rPr>
        <w:t>et a autorisé Rogers à recouvrer les coûts de toutes les mesures qui étaient nécessaires pour se conformer à celle</w:t>
      </w:r>
      <w:r w:rsidR="008F5FE1" w:rsidRPr="00D411C1">
        <w:rPr>
          <w:lang w:val="fr-CA"/>
        </w:rPr>
        <w:noBreakHyphen/>
      </w:r>
      <w:r w:rsidR="005F70F0" w:rsidRPr="00D411C1">
        <w:rPr>
          <w:lang w:val="fr-CA"/>
        </w:rPr>
        <w:t xml:space="preserve">ci. Il a conclu que bien que le régime législatif d’avis et avis réglemente le processus par lequel un avis de prétendue violation du droit d’auteur est donné tant à un FSI qu’à un abonné à Internet, ainsi que la conservation d’un registre concernant cet avis, il ne réglemente pas la communication par le FSI de l’identité d’un abonné au titulaire du droit d’auteur. </w:t>
      </w:r>
      <w:r w:rsidR="0065707B" w:rsidRPr="00D411C1">
        <w:rPr>
          <w:lang w:val="fr-CA"/>
        </w:rPr>
        <w:t>La Cour d’appel fédérale a convenu avec le juge des requêtes que le régime législatif d’avis et avis ne régit pas la communication de l’identité d’une personne à partir du registre d’un FSI, mais</w:t>
      </w:r>
      <w:r w:rsidR="00052CE6" w:rsidRPr="00D411C1">
        <w:rPr>
          <w:lang w:val="fr-CA"/>
        </w:rPr>
        <w:t xml:space="preserve"> </w:t>
      </w:r>
      <w:r w:rsidR="006A5B83">
        <w:rPr>
          <w:lang w:val="fr-CA"/>
        </w:rPr>
        <w:t xml:space="preserve">elle a </w:t>
      </w:r>
      <w:r w:rsidR="00852264" w:rsidRPr="00D411C1">
        <w:rPr>
          <w:lang w:val="fr-CA"/>
        </w:rPr>
        <w:t>limit</w:t>
      </w:r>
      <w:r w:rsidR="006A5B83">
        <w:rPr>
          <w:lang w:val="fr-CA"/>
        </w:rPr>
        <w:t>é</w:t>
      </w:r>
      <w:r w:rsidR="00852264" w:rsidRPr="00D411C1">
        <w:rPr>
          <w:lang w:val="fr-CA"/>
        </w:rPr>
        <w:t xml:space="preserve"> le recouvrement de Rogers aux coûts occasionnés pour se conformer à l’ordonnance de type </w:t>
      </w:r>
      <w:r w:rsidR="00852264" w:rsidRPr="00D411C1">
        <w:rPr>
          <w:i/>
          <w:lang w:val="fr-CA"/>
        </w:rPr>
        <w:t xml:space="preserve">Norwich </w:t>
      </w:r>
      <w:r w:rsidR="00852264" w:rsidRPr="00D411C1">
        <w:rPr>
          <w:lang w:val="fr-CA"/>
        </w:rPr>
        <w:t>qui ne chevauchaient pas les mesures faisant partie des obligations implicites de Rogers dans le cadre du régime législatif. Rogers a porté cette décision en appel.</w:t>
      </w:r>
    </w:p>
    <w:p w:rsidR="007E7CF7" w:rsidRPr="00D411C1" w:rsidRDefault="007E7CF7" w:rsidP="007E7CF7">
      <w:pPr>
        <w:pStyle w:val="SCCNormalDoubleSpacing"/>
        <w:spacing w:before="480" w:after="480"/>
        <w:rPr>
          <w:lang w:val="fr-CA"/>
        </w:rPr>
      </w:pPr>
      <w:r w:rsidRPr="00D411C1">
        <w:rPr>
          <w:rStyle w:val="QuoteChar"/>
          <w:color w:val="auto"/>
          <w:lang w:val="fr-CA"/>
        </w:rPr>
        <w:lastRenderedPageBreak/>
        <w:tab/>
        <w:t>Arrêt</w:t>
      </w:r>
      <w:r w:rsidR="008F5FE1" w:rsidRPr="00D411C1">
        <w:rPr>
          <w:rStyle w:val="QuoteChar"/>
          <w:color w:val="auto"/>
          <w:lang w:val="fr-CA"/>
        </w:rPr>
        <w:t> </w:t>
      </w:r>
      <w:r w:rsidRPr="00D411C1">
        <w:rPr>
          <w:rStyle w:val="QuoteChar"/>
          <w:i w:val="0"/>
          <w:color w:val="auto"/>
          <w:lang w:val="fr-CA"/>
        </w:rPr>
        <w:t>:</w:t>
      </w:r>
      <w:r w:rsidRPr="00D411C1">
        <w:rPr>
          <w:lang w:val="fr-CA"/>
        </w:rPr>
        <w:t xml:space="preserve"> Le pourvoi est </w:t>
      </w:r>
      <w:r w:rsidR="00852264" w:rsidRPr="00D411C1">
        <w:rPr>
          <w:lang w:val="fr-CA"/>
        </w:rPr>
        <w:t>accueilli et l’affaire est renvoyée</w:t>
      </w:r>
      <w:r w:rsidR="00436289">
        <w:rPr>
          <w:lang w:val="fr-CA"/>
        </w:rPr>
        <w:t xml:space="preserve"> au juge des requêtes afin qu’il établisse le montant auquel a droit Rogers quant aux coûts raisonnables qu’elle a occasionnés pour se conformer à l’ordonnance de type </w:t>
      </w:r>
      <w:r w:rsidR="00436289">
        <w:rPr>
          <w:i/>
          <w:lang w:val="fr-CA"/>
        </w:rPr>
        <w:t>Norwich</w:t>
      </w:r>
      <w:r w:rsidR="00852264" w:rsidRPr="00D411C1">
        <w:rPr>
          <w:lang w:val="fr-CA"/>
        </w:rPr>
        <w:t>.</w:t>
      </w:r>
    </w:p>
    <w:p w:rsidR="007E7CF7" w:rsidRPr="00D411C1" w:rsidRDefault="007E7CF7" w:rsidP="007E7CF7">
      <w:pPr>
        <w:pStyle w:val="SCCNormalDoubleSpacing"/>
        <w:spacing w:before="480" w:after="480"/>
        <w:rPr>
          <w:szCs w:val="24"/>
          <w:lang w:val="fr-CA"/>
        </w:rPr>
      </w:pPr>
      <w:r w:rsidRPr="00D411C1">
        <w:rPr>
          <w:i/>
          <w:szCs w:val="24"/>
          <w:lang w:val="fr-CA"/>
        </w:rPr>
        <w:tab/>
      </w:r>
      <w:r w:rsidR="00CA5D74" w:rsidRPr="00D411C1">
        <w:rPr>
          <w:i/>
          <w:szCs w:val="24"/>
          <w:lang w:val="fr-CA"/>
        </w:rPr>
        <w:t>L</w:t>
      </w:r>
      <w:r w:rsidRPr="00D411C1">
        <w:rPr>
          <w:i/>
          <w:szCs w:val="24"/>
          <w:lang w:val="fr-CA"/>
        </w:rPr>
        <w:t>e</w:t>
      </w:r>
      <w:r w:rsidRPr="00D411C1">
        <w:rPr>
          <w:szCs w:val="24"/>
          <w:lang w:val="fr-CA"/>
        </w:rPr>
        <w:t xml:space="preserve"> </w:t>
      </w:r>
      <w:r w:rsidR="00CA5D74" w:rsidRPr="00D411C1">
        <w:rPr>
          <w:szCs w:val="24"/>
          <w:lang w:val="fr-CA"/>
        </w:rPr>
        <w:t xml:space="preserve">juge en chef </w:t>
      </w:r>
      <w:r w:rsidRPr="00D411C1">
        <w:rPr>
          <w:szCs w:val="24"/>
          <w:lang w:val="fr-CA"/>
        </w:rPr>
        <w:t>Wagner </w:t>
      </w:r>
      <w:r w:rsidR="00CA5D74" w:rsidRPr="00D411C1">
        <w:rPr>
          <w:szCs w:val="24"/>
          <w:lang w:val="fr-CA"/>
        </w:rPr>
        <w:t>et les juges</w:t>
      </w:r>
      <w:r w:rsidRPr="00D411C1">
        <w:rPr>
          <w:szCs w:val="24"/>
          <w:lang w:val="fr-CA"/>
        </w:rPr>
        <w:t xml:space="preserve"> Abella, Moldaver, Karakatsanis, Gascon, </w:t>
      </w:r>
      <w:r w:rsidRPr="00B528B6">
        <w:rPr>
          <w:szCs w:val="24"/>
          <w:lang w:val="fr-CA"/>
        </w:rPr>
        <w:t>Brown</w:t>
      </w:r>
      <w:r w:rsidR="001F1D21" w:rsidRPr="001F1D21">
        <w:rPr>
          <w:szCs w:val="24"/>
          <w:lang w:val="fr-CA"/>
        </w:rPr>
        <w:t>,</w:t>
      </w:r>
      <w:r w:rsidR="001F1D21">
        <w:rPr>
          <w:b/>
          <w:szCs w:val="24"/>
          <w:lang w:val="fr-CA"/>
        </w:rPr>
        <w:t xml:space="preserve"> </w:t>
      </w:r>
      <w:r w:rsidRPr="00D411C1">
        <w:rPr>
          <w:szCs w:val="24"/>
          <w:lang w:val="fr-CA"/>
        </w:rPr>
        <w:t>Rowe</w:t>
      </w:r>
      <w:r w:rsidR="001F1D21">
        <w:rPr>
          <w:szCs w:val="24"/>
          <w:lang w:val="fr-CA"/>
        </w:rPr>
        <w:t xml:space="preserve"> et </w:t>
      </w:r>
      <w:r w:rsidR="001F1D21" w:rsidRPr="001F1D21">
        <w:rPr>
          <w:szCs w:val="24"/>
          <w:lang w:val="fr-CA"/>
        </w:rPr>
        <w:t>Martin</w:t>
      </w:r>
      <w:r w:rsidR="00CA5D74" w:rsidRPr="00D411C1">
        <w:rPr>
          <w:szCs w:val="24"/>
          <w:lang w:val="fr-CA"/>
        </w:rPr>
        <w:t> </w:t>
      </w:r>
      <w:r w:rsidRPr="00D411C1">
        <w:rPr>
          <w:szCs w:val="24"/>
          <w:lang w:val="fr-CA"/>
        </w:rPr>
        <w:t xml:space="preserve">: </w:t>
      </w:r>
      <w:r w:rsidR="00CA5D74" w:rsidRPr="00D411C1">
        <w:rPr>
          <w:szCs w:val="24"/>
          <w:lang w:val="fr-CA"/>
        </w:rPr>
        <w:t xml:space="preserve">Un FSI </w:t>
      </w:r>
      <w:r w:rsidR="00CA5D74" w:rsidRPr="00D411C1">
        <w:rPr>
          <w:lang w:val="fr-CA"/>
        </w:rPr>
        <w:t xml:space="preserve">peut recouvrer les coûts occasionnés pour se conformer à une ordonnance de type </w:t>
      </w:r>
      <w:r w:rsidR="00CA5D74" w:rsidRPr="00D411C1">
        <w:rPr>
          <w:i/>
          <w:lang w:val="fr-CA"/>
        </w:rPr>
        <w:t>Norwich</w:t>
      </w:r>
      <w:r w:rsidR="00CA5D74" w:rsidRPr="00D411C1">
        <w:rPr>
          <w:lang w:val="fr-CA"/>
        </w:rPr>
        <w:t xml:space="preserve">, mais </w:t>
      </w:r>
      <w:r w:rsidR="00052CE6" w:rsidRPr="00D411C1">
        <w:rPr>
          <w:lang w:val="fr-CA"/>
        </w:rPr>
        <w:t xml:space="preserve">il </w:t>
      </w:r>
      <w:r w:rsidR="00CA5D74" w:rsidRPr="00D411C1">
        <w:rPr>
          <w:lang w:val="fr-CA"/>
        </w:rPr>
        <w:t xml:space="preserve">ne peut être indemnisé pour chacun des coûts qu’il supporte en vue de se conformer à une telle ordonnance. Les coûts recouvrables doivent être raisonnables et découler de la conformité à l’ordonnance de type </w:t>
      </w:r>
      <w:r w:rsidR="00CA5D74" w:rsidRPr="00D411C1">
        <w:rPr>
          <w:i/>
          <w:lang w:val="fr-CA"/>
        </w:rPr>
        <w:t>Norwich</w:t>
      </w:r>
      <w:r w:rsidR="00CA5D74" w:rsidRPr="00D411C1">
        <w:rPr>
          <w:lang w:val="fr-CA"/>
        </w:rPr>
        <w:t>. Lorsque les coûts auraient dû être supportés par le FSI dans l’exécution de ses obligations légales dans le cadre du régime</w:t>
      </w:r>
      <w:r w:rsidR="00052CE6" w:rsidRPr="00D411C1">
        <w:rPr>
          <w:lang w:val="fr-CA"/>
        </w:rPr>
        <w:t xml:space="preserve"> d’avis et avis</w:t>
      </w:r>
      <w:r w:rsidR="00CA5D74" w:rsidRPr="00D411C1">
        <w:rPr>
          <w:lang w:val="fr-CA"/>
        </w:rPr>
        <w:t xml:space="preserve">, ces coûts ne peuvent être considérés comme raisonnables ou comme découlant de la conformité à une ordonnance de type </w:t>
      </w:r>
      <w:r w:rsidR="00CA5D74" w:rsidRPr="00D411C1">
        <w:rPr>
          <w:i/>
          <w:lang w:val="fr-CA"/>
        </w:rPr>
        <w:t>Norwich</w:t>
      </w:r>
      <w:r w:rsidR="00CA5D74" w:rsidRPr="00D411C1">
        <w:rPr>
          <w:lang w:val="fr-CA"/>
        </w:rPr>
        <w:t>, et ne peuvent être recouvrés.</w:t>
      </w:r>
      <w:r w:rsidR="00CA5D74" w:rsidRPr="00D411C1">
        <w:rPr>
          <w:i/>
          <w:lang w:val="fr-CA"/>
        </w:rPr>
        <w:t xml:space="preserve"> </w:t>
      </w:r>
    </w:p>
    <w:p w:rsidR="007E7CF7" w:rsidRPr="00D411C1" w:rsidRDefault="007E7CF7" w:rsidP="007E7CF7">
      <w:pPr>
        <w:pStyle w:val="SCCNormalDoubleSpacing"/>
        <w:spacing w:before="480" w:after="480"/>
        <w:rPr>
          <w:lang w:val="fr-CA"/>
        </w:rPr>
      </w:pPr>
      <w:r w:rsidRPr="00D411C1">
        <w:rPr>
          <w:lang w:val="fr-CA"/>
        </w:rPr>
        <w:tab/>
      </w:r>
      <w:r w:rsidR="00687EF6" w:rsidRPr="00D411C1">
        <w:rPr>
          <w:lang w:val="fr-CA"/>
        </w:rPr>
        <w:t>L</w:t>
      </w:r>
      <w:r w:rsidR="00AB18ED" w:rsidRPr="00D411C1">
        <w:rPr>
          <w:lang w:val="fr-CA"/>
        </w:rPr>
        <w:t xml:space="preserve">e </w:t>
      </w:r>
      <w:r w:rsidR="00CA5D74" w:rsidRPr="00D411C1">
        <w:rPr>
          <w:lang w:val="fr-CA"/>
        </w:rPr>
        <w:t>régime d’avis et avis</w:t>
      </w:r>
      <w:r w:rsidR="00AB18ED" w:rsidRPr="00D411C1">
        <w:rPr>
          <w:lang w:val="fr-CA"/>
        </w:rPr>
        <w:t xml:space="preserve"> a</w:t>
      </w:r>
      <w:r w:rsidR="00687EF6" w:rsidRPr="00D411C1">
        <w:rPr>
          <w:lang w:val="fr-CA"/>
        </w:rPr>
        <w:t xml:space="preserve"> été adopté afin de réaliser</w:t>
      </w:r>
      <w:r w:rsidR="00CA5D74" w:rsidRPr="00D411C1">
        <w:rPr>
          <w:lang w:val="fr-CA"/>
        </w:rPr>
        <w:t xml:space="preserve"> deux objectifs complémentaires : dissuader la violation en ligne du droit d’auteur</w:t>
      </w:r>
      <w:r w:rsidR="004E723C" w:rsidRPr="00D411C1">
        <w:rPr>
          <w:lang w:val="fr-CA"/>
        </w:rPr>
        <w:t>, et</w:t>
      </w:r>
      <w:r w:rsidR="00CA5D74" w:rsidRPr="00D411C1">
        <w:rPr>
          <w:lang w:val="fr-CA"/>
        </w:rPr>
        <w:t> établir un équilibre entre les droits des parties intéressées</w:t>
      </w:r>
      <w:r w:rsidR="004E723C" w:rsidRPr="00D411C1">
        <w:rPr>
          <w:lang w:val="fr-CA"/>
        </w:rPr>
        <w:t>, y compris les titulaires de droit</w:t>
      </w:r>
      <w:r w:rsidR="00687EF6" w:rsidRPr="00D411C1">
        <w:rPr>
          <w:lang w:val="fr-CA"/>
        </w:rPr>
        <w:t>s</w:t>
      </w:r>
      <w:r w:rsidR="004E723C" w:rsidRPr="00D411C1">
        <w:rPr>
          <w:lang w:val="fr-CA"/>
        </w:rPr>
        <w:t xml:space="preserve"> d’auteur, les internautes et les intermédiaires de l’Internet</w:t>
      </w:r>
      <w:r w:rsidR="00AB18ED" w:rsidRPr="00D411C1">
        <w:rPr>
          <w:lang w:val="fr-CA"/>
        </w:rPr>
        <w:t xml:space="preserve"> comme les FSI. Il n’avait pas pour but d’établir un cadre exhaustif au moyen duquel les cas de violation en ligne du droit d’auteur pourraient être totalement éliminés, et il ne va pas jusqu’à exiger que le FSI révèle au titulaire du droit d’auteur l’identité d’une personne qui a reçu un avis. En conséquence, le titulaire qui </w:t>
      </w:r>
      <w:r w:rsidR="00730D45" w:rsidRPr="00D411C1">
        <w:rPr>
          <w:lang w:val="fr-CA"/>
        </w:rPr>
        <w:t xml:space="preserve">souhaite poursuivre une personne qui aurait violé son droit </w:t>
      </w:r>
      <w:r w:rsidR="00651605">
        <w:rPr>
          <w:lang w:val="fr-CA"/>
        </w:rPr>
        <w:t xml:space="preserve">d’auteur </w:t>
      </w:r>
      <w:r w:rsidR="00730D45" w:rsidRPr="00D411C1">
        <w:rPr>
          <w:lang w:val="fr-CA"/>
        </w:rPr>
        <w:t>en ligne doit</w:t>
      </w:r>
      <w:r w:rsidR="000F605D" w:rsidRPr="00D411C1">
        <w:rPr>
          <w:lang w:val="fr-CA"/>
        </w:rPr>
        <w:t xml:space="preserve"> prendre des mesures à l’extérieur du régime d’avis et avis et obtenir une ordonnance de type </w:t>
      </w:r>
      <w:r w:rsidR="000F605D" w:rsidRPr="00D411C1">
        <w:rPr>
          <w:i/>
          <w:lang w:val="fr-CA"/>
        </w:rPr>
        <w:t>Norwich</w:t>
      </w:r>
      <w:r w:rsidR="000F605D" w:rsidRPr="00D411C1">
        <w:rPr>
          <w:lang w:val="fr-CA"/>
        </w:rPr>
        <w:t xml:space="preserve"> pour obliger le FSI à lui communiquer </w:t>
      </w:r>
      <w:r w:rsidR="000F605D" w:rsidRPr="00D411C1">
        <w:rPr>
          <w:lang w:val="fr-CA"/>
        </w:rPr>
        <w:lastRenderedPageBreak/>
        <w:t>l’identité de cette personne. Le régime législatif d’avis et avis n’a pas écarté cette exigence; il fonctionne de concert avec elle.</w:t>
      </w:r>
    </w:p>
    <w:p w:rsidR="007E7CF7" w:rsidRPr="00D411C1" w:rsidRDefault="007E7CF7" w:rsidP="008F5FE1">
      <w:pPr>
        <w:pStyle w:val="SCCNormalDoubleSpacing"/>
        <w:spacing w:before="480" w:after="480"/>
        <w:rPr>
          <w:lang w:val="fr-CA"/>
        </w:rPr>
      </w:pPr>
      <w:r w:rsidRPr="00D411C1">
        <w:rPr>
          <w:lang w:val="fr-CA"/>
        </w:rPr>
        <w:tab/>
      </w:r>
      <w:r w:rsidR="002961D6" w:rsidRPr="00D411C1">
        <w:rPr>
          <w:lang w:val="fr-CA"/>
        </w:rPr>
        <w:t xml:space="preserve">De même, le régime d’avis et avis n’a pas écarté le fardeau du titulaire du droit d’auteur, en common law, de supporter les coûts raisonnables occasionnés par le FSI pour se conformer à l’ordonnance de type </w:t>
      </w:r>
      <w:r w:rsidR="002961D6" w:rsidRPr="00D411C1">
        <w:rPr>
          <w:i/>
          <w:lang w:val="fr-CA"/>
        </w:rPr>
        <w:t>Norwich</w:t>
      </w:r>
      <w:r w:rsidR="002961D6" w:rsidRPr="00D411C1">
        <w:rPr>
          <w:lang w:val="fr-CA"/>
        </w:rPr>
        <w:t xml:space="preserve">. Cependant, </w:t>
      </w:r>
      <w:r w:rsidR="00BA33B7" w:rsidRPr="00D411C1">
        <w:rPr>
          <w:lang w:val="fr-CA"/>
        </w:rPr>
        <w:t xml:space="preserve">le régime législatif interdit au FSI d’exiger des droits pour l’exécution de l’une ou l’autre de ses obligations découlant du régime. En conséquence, un FSI ne devrait pas être autorisé à recouvrer le coût des mesures prises pour l’exécution de l’une ou l’autre des obligations, expresses ou implicites, qui ont déjà pris naissance sous le régime, même lorsqu’il s’acquitte de ses obligations seulement après avoir reçu signification d’une ordonnance de type </w:t>
      </w:r>
      <w:r w:rsidR="00BA33B7" w:rsidRPr="00D411C1">
        <w:rPr>
          <w:i/>
          <w:lang w:val="fr-CA"/>
        </w:rPr>
        <w:t>Norwich</w:t>
      </w:r>
      <w:r w:rsidR="00BA33B7" w:rsidRPr="00D411C1">
        <w:rPr>
          <w:lang w:val="fr-CA"/>
        </w:rPr>
        <w:t>. Autrement, la répartition du fardeau financier qu’a établie le Parlement serait minée puisque cela aurait pour effet d’imposer aux titulaires de droits d’auteur une obligation qui a été spécifiquement attribuée aux FSI dans le cadre du régime d’avis et avis.</w:t>
      </w:r>
    </w:p>
    <w:p w:rsidR="007E7CF7" w:rsidRPr="00D411C1" w:rsidRDefault="007E7CF7" w:rsidP="007E7CF7">
      <w:pPr>
        <w:pStyle w:val="SCCNormalDoubleSpacing"/>
        <w:spacing w:before="480" w:after="480"/>
        <w:rPr>
          <w:lang w:val="fr-CA"/>
        </w:rPr>
      </w:pPr>
      <w:r w:rsidRPr="00D411C1">
        <w:rPr>
          <w:lang w:val="fr-CA"/>
        </w:rPr>
        <w:tab/>
      </w:r>
      <w:r w:rsidR="0064642F" w:rsidRPr="00D411C1">
        <w:rPr>
          <w:lang w:val="fr-CA"/>
        </w:rPr>
        <w:t xml:space="preserve">Les trois obligations expresses énoncées aux al. 41.26(1)a) et b) de la </w:t>
      </w:r>
      <w:r w:rsidR="0064642F" w:rsidRPr="00D411C1">
        <w:rPr>
          <w:i/>
          <w:lang w:val="fr-CA"/>
        </w:rPr>
        <w:t>Loi sur le droit d’auteur</w:t>
      </w:r>
      <w:r w:rsidR="0064642F" w:rsidRPr="00D411C1">
        <w:rPr>
          <w:lang w:val="fr-CA"/>
        </w:rPr>
        <w:t xml:space="preserve"> comportent plusieurs obligations implicites dont le FSI doit s’acquitter dans le cadre du régime d’avis et avis. Puisque ces obligations implicites sont des mesures nécessaires pour que ces obligations légales expresses soient remplies, </w:t>
      </w:r>
      <w:r w:rsidR="00687EF6" w:rsidRPr="00D411C1">
        <w:rPr>
          <w:lang w:val="fr-CA"/>
        </w:rPr>
        <w:t>le</w:t>
      </w:r>
      <w:r w:rsidR="00D14E31" w:rsidRPr="00D411C1">
        <w:rPr>
          <w:lang w:val="fr-CA"/>
        </w:rPr>
        <w:t xml:space="preserve"> FSI ne </w:t>
      </w:r>
      <w:r w:rsidR="00687EF6" w:rsidRPr="00D411C1">
        <w:rPr>
          <w:lang w:val="fr-CA"/>
        </w:rPr>
        <w:t>s</w:t>
      </w:r>
      <w:r w:rsidR="00D14E31" w:rsidRPr="00D411C1">
        <w:rPr>
          <w:lang w:val="fr-CA"/>
        </w:rPr>
        <w:t>e</w:t>
      </w:r>
      <w:r w:rsidR="00687EF6" w:rsidRPr="00D411C1">
        <w:rPr>
          <w:lang w:val="fr-CA"/>
        </w:rPr>
        <w:t>ra</w:t>
      </w:r>
      <w:r w:rsidR="00D14E31" w:rsidRPr="00D411C1">
        <w:rPr>
          <w:lang w:val="fr-CA"/>
        </w:rPr>
        <w:t xml:space="preserve"> pas autorisé à recouvrer les coûts à l’étape de</w:t>
      </w:r>
      <w:r w:rsidR="00541771" w:rsidRPr="00D411C1">
        <w:rPr>
          <w:lang w:val="fr-CA"/>
        </w:rPr>
        <w:t xml:space="preserve"> la conformité à l’ordonnance de type </w:t>
      </w:r>
      <w:r w:rsidR="00541771" w:rsidRPr="00D411C1">
        <w:rPr>
          <w:i/>
          <w:lang w:val="fr-CA"/>
        </w:rPr>
        <w:t>Norwich</w:t>
      </w:r>
      <w:r w:rsidR="00541771" w:rsidRPr="00D411C1">
        <w:rPr>
          <w:lang w:val="fr-CA"/>
        </w:rPr>
        <w:t>.</w:t>
      </w:r>
      <w:r w:rsidR="00D14E31" w:rsidRPr="00D411C1">
        <w:rPr>
          <w:lang w:val="fr-CA"/>
        </w:rPr>
        <w:t xml:space="preserve"> </w:t>
      </w:r>
      <w:r w:rsidR="00541771" w:rsidRPr="00D411C1">
        <w:rPr>
          <w:lang w:val="fr-CA"/>
        </w:rPr>
        <w:t xml:space="preserve">Plus précisément, l’al. 41.26(1)a) exige que le FSI établisse, aux fins de la transmission d’un avis par voie électronique, l’identité de la personne à qui appartenait l’adresse IP. Il exige également que le FSI prenne toutes les mesures nécessaires pour vérifier qu’il l’a fait correctement. De même, le registre que </w:t>
      </w:r>
      <w:r w:rsidR="00541771" w:rsidRPr="00D411C1">
        <w:rPr>
          <w:lang w:val="fr-CA"/>
        </w:rPr>
        <w:lastRenderedPageBreak/>
        <w:t>le FSI doit conserver aux termes de l’al. 41.26(1)b) doit être exact. Toute mesure nécessaire pour la vérification de l’exactitude de ce registre fait donc partie des obligations du FSI.</w:t>
      </w:r>
    </w:p>
    <w:p w:rsidR="007E7CF7" w:rsidRPr="00D411C1" w:rsidRDefault="007E7CF7" w:rsidP="007E7CF7">
      <w:pPr>
        <w:pStyle w:val="SCCNormalDoubleSpacing"/>
        <w:spacing w:before="480" w:after="480"/>
        <w:rPr>
          <w:lang w:val="fr-CA"/>
        </w:rPr>
      </w:pPr>
      <w:r w:rsidRPr="00D411C1">
        <w:rPr>
          <w:lang w:val="fr-CA"/>
        </w:rPr>
        <w:tab/>
      </w:r>
      <w:r w:rsidR="00F00ED4" w:rsidRPr="00D411C1">
        <w:rPr>
          <w:lang w:val="fr-CA"/>
        </w:rPr>
        <w:t>Toutefois,</w:t>
      </w:r>
      <w:r w:rsidR="000132AD" w:rsidRPr="00D411C1">
        <w:rPr>
          <w:lang w:val="fr-CA"/>
        </w:rPr>
        <w:t xml:space="preserve"> il existe une distinction entre l’obligation du FSI dans le cadre du régime d’avis et avis d’assurer l’exactitude de son registre permettant d’identifie</w:t>
      </w:r>
      <w:r w:rsidR="00092462">
        <w:rPr>
          <w:lang w:val="fr-CA"/>
        </w:rPr>
        <w:t xml:space="preserve">r le propriétaire d’une adresse </w:t>
      </w:r>
      <w:r w:rsidR="000132AD" w:rsidRPr="00D411C1">
        <w:rPr>
          <w:lang w:val="fr-CA"/>
        </w:rPr>
        <w:t xml:space="preserve">IP, et son obligation, aux termes d’une ordonnance de type </w:t>
      </w:r>
      <w:r w:rsidR="000132AD" w:rsidRPr="00D411C1">
        <w:rPr>
          <w:i/>
          <w:lang w:val="fr-CA"/>
        </w:rPr>
        <w:t>Norwich</w:t>
      </w:r>
      <w:r w:rsidR="000132AD" w:rsidRPr="00D411C1">
        <w:rPr>
          <w:lang w:val="fr-CA"/>
        </w:rPr>
        <w:t>, d’identifier effectivement une personne à partir de son registre. Bien que le registre que le FSI doit conserver aux termes de l’al.</w:t>
      </w:r>
      <w:r w:rsidR="008F5FE1" w:rsidRPr="00D411C1">
        <w:rPr>
          <w:lang w:val="fr-CA"/>
        </w:rPr>
        <w:t> </w:t>
      </w:r>
      <w:r w:rsidR="000132AD" w:rsidRPr="00D411C1">
        <w:rPr>
          <w:lang w:val="fr-CA"/>
        </w:rPr>
        <w:t>41.26(1)b) doi</w:t>
      </w:r>
      <w:r w:rsidR="00877385" w:rsidRPr="00D411C1">
        <w:rPr>
          <w:lang w:val="fr-CA"/>
        </w:rPr>
        <w:t>ve</w:t>
      </w:r>
      <w:r w:rsidR="000132AD" w:rsidRPr="00D411C1">
        <w:rPr>
          <w:lang w:val="fr-CA"/>
        </w:rPr>
        <w:t xml:space="preserve"> l’être sous une forme et d’une manière permettant à un FSI d’établir le nom et l’adresse de la personne à qui l’avis est transmis aux termes de l’al. 41.26(1)a), l’al. 41.26(1)b) n’exige pas qu’il soit conservé sous une forme et d’une manière qui permettrait à un titulaire de droit d’auteur ou à un tribunal de le faire.</w:t>
      </w:r>
      <w:r w:rsidR="00955C32" w:rsidRPr="00D411C1">
        <w:rPr>
          <w:lang w:val="fr-CA"/>
        </w:rPr>
        <w:t xml:space="preserve"> Le titulaire du droit d’auteur serait toutefois autorisé à recevoir ces renseignements du FSI aux termes d’une ordonnance de type </w:t>
      </w:r>
      <w:r w:rsidR="00955C32" w:rsidRPr="00D411C1">
        <w:rPr>
          <w:i/>
          <w:lang w:val="fr-CA"/>
        </w:rPr>
        <w:t>Norwich</w:t>
      </w:r>
      <w:r w:rsidR="00955C32" w:rsidRPr="00D411C1">
        <w:rPr>
          <w:lang w:val="fr-CA"/>
        </w:rPr>
        <w:t>, dont le processus ne relève pas des obligations du FSI dans le cadre du régime d’avis et avis. Un FSI a donc droit aux coûts raisonnables des mesures nécessaires pour discerner l’identité d’une personne à partir du registre exact conservé au titre de l’al. 41.26(1)b).</w:t>
      </w:r>
      <w:r w:rsidRPr="00D411C1">
        <w:rPr>
          <w:lang w:val="fr-CA"/>
        </w:rPr>
        <w:t xml:space="preserve"> </w:t>
      </w:r>
    </w:p>
    <w:p w:rsidR="004D7D95" w:rsidRPr="00D411C1" w:rsidRDefault="007E7CF7" w:rsidP="00CE4B13">
      <w:pPr>
        <w:pStyle w:val="SCCNormalDoubleSpacing"/>
        <w:spacing w:before="480" w:after="480"/>
        <w:rPr>
          <w:lang w:val="fr-CA"/>
        </w:rPr>
      </w:pPr>
      <w:r w:rsidRPr="00D411C1">
        <w:rPr>
          <w:lang w:val="fr-CA"/>
        </w:rPr>
        <w:tab/>
      </w:r>
      <w:r w:rsidR="00955C32" w:rsidRPr="00D411C1">
        <w:rPr>
          <w:lang w:val="fr-CA"/>
        </w:rPr>
        <w:t xml:space="preserve">Étant donné l’interdiction légale relative au recouvrement des coûts découlant du régime d’avis et avis, les juges des requêtes devraient examiner attentivement la preuve du FSI lorsqu’ils évaluent les coûts occasionnés </w:t>
      </w:r>
      <w:r w:rsidR="00687EF6" w:rsidRPr="00D411C1">
        <w:rPr>
          <w:lang w:val="fr-CA"/>
        </w:rPr>
        <w:t xml:space="preserve">par le FSI </w:t>
      </w:r>
      <w:r w:rsidR="00955C32" w:rsidRPr="00D411C1">
        <w:rPr>
          <w:lang w:val="fr-CA"/>
        </w:rPr>
        <w:t xml:space="preserve">pour se conformer à l’ordonnance de type </w:t>
      </w:r>
      <w:r w:rsidR="00955C32" w:rsidRPr="00D411C1">
        <w:rPr>
          <w:i/>
          <w:lang w:val="fr-CA"/>
        </w:rPr>
        <w:t>Norwich</w:t>
      </w:r>
      <w:r w:rsidR="00955C32" w:rsidRPr="00D411C1">
        <w:rPr>
          <w:lang w:val="fr-CA"/>
        </w:rPr>
        <w:t xml:space="preserve">, afin de décider si les droits qu’il propose sont raisonnables, à la lumière des obligations qui lui incombent dans le cadre du régime d’avis et avis. Dans le cas présent, Rogers a droit aux coûts raisonnables </w:t>
      </w:r>
      <w:r w:rsidR="00955C32" w:rsidRPr="00D411C1">
        <w:rPr>
          <w:lang w:val="fr-CA"/>
        </w:rPr>
        <w:lastRenderedPageBreak/>
        <w:t xml:space="preserve">occasionnés pour se conformer à l’ordonnance de type </w:t>
      </w:r>
      <w:r w:rsidR="00955C32" w:rsidRPr="00D411C1">
        <w:rPr>
          <w:i/>
          <w:lang w:val="fr-CA"/>
        </w:rPr>
        <w:t>Norwich</w:t>
      </w:r>
      <w:r w:rsidR="00955C32" w:rsidRPr="00D411C1">
        <w:rPr>
          <w:lang w:val="fr-CA"/>
        </w:rPr>
        <w:t>.</w:t>
      </w:r>
      <w:r w:rsidR="00B16E58" w:rsidRPr="00D411C1">
        <w:rPr>
          <w:lang w:val="fr-CA"/>
        </w:rPr>
        <w:t xml:space="preserve"> Cependant, le juge des requêtes a </w:t>
      </w:r>
      <w:r w:rsidR="0031080E">
        <w:rPr>
          <w:lang w:val="fr-CA"/>
        </w:rPr>
        <w:t xml:space="preserve">omis </w:t>
      </w:r>
      <w:r w:rsidR="00B16E58" w:rsidRPr="00D411C1">
        <w:rPr>
          <w:lang w:val="fr-CA"/>
        </w:rPr>
        <w:t xml:space="preserve">de déterminer la pleine portée des obligations du FSI aux termes du par. 41.26(1), </w:t>
      </w:r>
      <w:r w:rsidR="00FC3F82">
        <w:rPr>
          <w:lang w:val="fr-CA"/>
        </w:rPr>
        <w:t xml:space="preserve">et a omis </w:t>
      </w:r>
      <w:r w:rsidR="00B16E58" w:rsidRPr="00D411C1">
        <w:rPr>
          <w:lang w:val="fr-CA"/>
        </w:rPr>
        <w:t>de se demander si l’une ou l’autre des huit étapes du processus manuel qu’entreprend Rogers lorsqu’elle doit communiquer l’identité de l’un de ses abonnés chevauche les obligations légales de Rogers pour lesquelles elle n’avait pas droit à un remboursement. Puisqu’il est impossible</w:t>
      </w:r>
      <w:r w:rsidR="009D6904">
        <w:rPr>
          <w:lang w:val="fr-CA"/>
        </w:rPr>
        <w:t xml:space="preserve">, au vu du présent dossier, </w:t>
      </w:r>
      <w:r w:rsidR="00B16E58" w:rsidRPr="00D411C1">
        <w:rPr>
          <w:lang w:val="fr-CA"/>
        </w:rPr>
        <w:t>de déterminer les coûts raisonnables occasionnés par Rogers pour se conformer à l’ordonnance, l’affaire devrait être renvoyée au juge des requêtes.</w:t>
      </w:r>
    </w:p>
    <w:p w:rsidR="00D71E7C" w:rsidRPr="00D411C1" w:rsidRDefault="00227B6A" w:rsidP="00227B6A">
      <w:pPr>
        <w:pStyle w:val="SCCNormalDoubleSpacing"/>
        <w:spacing w:before="480" w:after="480"/>
        <w:rPr>
          <w:lang w:val="fr-CA"/>
        </w:rPr>
      </w:pPr>
      <w:r w:rsidRPr="00D411C1">
        <w:rPr>
          <w:i/>
          <w:szCs w:val="24"/>
          <w:lang w:val="fr-CA"/>
        </w:rPr>
        <w:tab/>
      </w:r>
      <w:r w:rsidR="005628F0" w:rsidRPr="00D411C1">
        <w:rPr>
          <w:i/>
          <w:szCs w:val="24"/>
          <w:lang w:val="fr-CA"/>
        </w:rPr>
        <w:t>La</w:t>
      </w:r>
      <w:r w:rsidRPr="00D411C1">
        <w:rPr>
          <w:szCs w:val="24"/>
          <w:lang w:val="fr-CA"/>
        </w:rPr>
        <w:t xml:space="preserve"> </w:t>
      </w:r>
      <w:r w:rsidR="005628F0" w:rsidRPr="00D411C1">
        <w:rPr>
          <w:szCs w:val="24"/>
          <w:lang w:val="fr-CA"/>
        </w:rPr>
        <w:t xml:space="preserve">juge </w:t>
      </w:r>
      <w:r w:rsidRPr="00B528B6">
        <w:rPr>
          <w:lang w:val="fr-CA"/>
        </w:rPr>
        <w:t>Côté</w:t>
      </w:r>
      <w:r w:rsidR="005628F0" w:rsidRPr="00D411C1">
        <w:rPr>
          <w:b/>
          <w:lang w:val="fr-CA"/>
        </w:rPr>
        <w:t> </w:t>
      </w:r>
      <w:r w:rsidRPr="00D411C1">
        <w:rPr>
          <w:lang w:val="fr-CA"/>
        </w:rPr>
        <w:t xml:space="preserve">: </w:t>
      </w:r>
      <w:r w:rsidR="00D71E7C" w:rsidRPr="00D411C1">
        <w:rPr>
          <w:lang w:val="fr-CA"/>
        </w:rPr>
        <w:t xml:space="preserve">Il y a accord avec les juges majoritaires pour </w:t>
      </w:r>
      <w:r w:rsidR="00611077" w:rsidRPr="00D411C1">
        <w:rPr>
          <w:lang w:val="fr-CA"/>
        </w:rPr>
        <w:t>accueillir</w:t>
      </w:r>
      <w:r w:rsidR="00D71E7C" w:rsidRPr="00D411C1">
        <w:rPr>
          <w:lang w:val="fr-CA"/>
        </w:rPr>
        <w:t xml:space="preserve"> le pourvoi. Cependant, il y a désaccord avec la proposition voulant que toute obligation implicite découlant du par. 41.26(1) de la </w:t>
      </w:r>
      <w:r w:rsidR="00D71E7C" w:rsidRPr="00D411C1">
        <w:rPr>
          <w:i/>
          <w:lang w:val="fr-CA"/>
        </w:rPr>
        <w:t>Loi sur le droit d’auteur</w:t>
      </w:r>
      <w:r w:rsidR="00D71E7C" w:rsidRPr="00D411C1">
        <w:rPr>
          <w:lang w:val="fr-CA"/>
        </w:rPr>
        <w:t xml:space="preserve"> empêche catégoriquement un FSI de vérifier certains éléments de son registre au moment où il reçoit l’ordonnance de type</w:t>
      </w:r>
      <w:r w:rsidR="00D71E7C" w:rsidRPr="00D411C1">
        <w:rPr>
          <w:i/>
          <w:lang w:val="fr-CA"/>
        </w:rPr>
        <w:t xml:space="preserve"> Norwich </w:t>
      </w:r>
      <w:r w:rsidR="00D71E7C" w:rsidRPr="00D411C1">
        <w:rPr>
          <w:lang w:val="fr-CA"/>
        </w:rPr>
        <w:t xml:space="preserve">et de demander une indemnisation pour ces travaux. </w:t>
      </w:r>
    </w:p>
    <w:p w:rsidR="00227B6A" w:rsidRPr="00D411C1" w:rsidRDefault="008F5FE1" w:rsidP="00227B6A">
      <w:pPr>
        <w:pStyle w:val="SCCNormalDoubleSpacing"/>
        <w:spacing w:before="480" w:after="480"/>
        <w:rPr>
          <w:lang w:val="fr-CA"/>
        </w:rPr>
      </w:pPr>
      <w:r w:rsidRPr="00D411C1">
        <w:rPr>
          <w:lang w:val="fr-CA"/>
        </w:rPr>
        <w:t xml:space="preserve"> </w:t>
      </w:r>
      <w:r w:rsidRPr="00D411C1">
        <w:rPr>
          <w:lang w:val="fr-CA"/>
        </w:rPr>
        <w:tab/>
        <w:t>Ensemble, les al. </w:t>
      </w:r>
      <w:r w:rsidR="00D71E7C" w:rsidRPr="00D411C1">
        <w:rPr>
          <w:lang w:val="fr-CA"/>
        </w:rPr>
        <w:t>41.26(1)a) et b) indiquent clairement que le FSI n’est pas tenu d’établir l’identité de la personne qui aurait violé le droit d’auteur</w:t>
      </w:r>
      <w:r w:rsidR="001B4CA3" w:rsidRPr="00D411C1">
        <w:rPr>
          <w:lang w:val="fr-CA"/>
        </w:rPr>
        <w:t xml:space="preserve">. En conséquence, le travail nécessaire pour établir l’identité de la personne qui aurait violé le droit d’auteur et pour communiquer cette identité conformément à une ordonnance de type </w:t>
      </w:r>
      <w:r w:rsidR="001B4CA3" w:rsidRPr="00D411C1">
        <w:rPr>
          <w:i/>
          <w:lang w:val="fr-CA"/>
        </w:rPr>
        <w:t>Norwich</w:t>
      </w:r>
      <w:r w:rsidR="001B4CA3" w:rsidRPr="00D411C1">
        <w:rPr>
          <w:lang w:val="fr-CA"/>
        </w:rPr>
        <w:t xml:space="preserve"> n’est pas inclus dans le régime d’avis et avis, et peut donc faire l’objet d’une indemnisation en application de la common law. Le régime de common law établi dans </w:t>
      </w:r>
      <w:r w:rsidR="001B4CA3" w:rsidRPr="00D411C1">
        <w:rPr>
          <w:i/>
          <w:lang w:val="fr-CA"/>
        </w:rPr>
        <w:t>Norwich</w:t>
      </w:r>
      <w:r w:rsidR="001B4CA3" w:rsidRPr="00D411C1">
        <w:rPr>
          <w:lang w:val="fr-CA"/>
        </w:rPr>
        <w:t xml:space="preserve"> permet aux FSI d’être indemnisés pour les coûts raisonnables occasionnés pour se conformer à l’ordonnance.</w:t>
      </w:r>
    </w:p>
    <w:p w:rsidR="00227B6A" w:rsidRPr="00D411C1" w:rsidRDefault="00227B6A" w:rsidP="008F5FE1">
      <w:pPr>
        <w:pStyle w:val="SCCNormalDoubleSpacing"/>
        <w:spacing w:before="480" w:after="480"/>
        <w:rPr>
          <w:lang w:val="fr-CA"/>
        </w:rPr>
      </w:pPr>
      <w:r w:rsidRPr="00D411C1">
        <w:rPr>
          <w:lang w:val="fr-CA"/>
        </w:rPr>
        <w:lastRenderedPageBreak/>
        <w:tab/>
      </w:r>
      <w:r w:rsidR="00F5193D" w:rsidRPr="00D411C1">
        <w:rPr>
          <w:lang w:val="fr-CA"/>
        </w:rPr>
        <w:t xml:space="preserve">Aucune des huit étapes </w:t>
      </w:r>
      <w:r w:rsidR="0095026F" w:rsidRPr="00D411C1">
        <w:rPr>
          <w:lang w:val="fr-CA"/>
        </w:rPr>
        <w:t>que suit</w:t>
      </w:r>
      <w:r w:rsidR="00F5193D" w:rsidRPr="00D411C1">
        <w:rPr>
          <w:lang w:val="fr-CA"/>
        </w:rPr>
        <w:t xml:space="preserve"> Rogers en réponse à une ordonnance de type </w:t>
      </w:r>
      <w:r w:rsidR="00F5193D" w:rsidRPr="00D411C1">
        <w:rPr>
          <w:i/>
          <w:lang w:val="fr-CA"/>
        </w:rPr>
        <w:t>Norwich</w:t>
      </w:r>
      <w:r w:rsidR="00F5193D" w:rsidRPr="00D411C1">
        <w:rPr>
          <w:lang w:val="fr-CA"/>
        </w:rPr>
        <w:t xml:space="preserve"> n’est supplantée par le régime d’avis et avis, </w:t>
      </w:r>
      <w:r w:rsidR="0049591C" w:rsidRPr="00D411C1">
        <w:rPr>
          <w:lang w:val="fr-CA"/>
        </w:rPr>
        <w:t>puisqu</w:t>
      </w:r>
      <w:r w:rsidR="001E5FA5" w:rsidRPr="00D411C1">
        <w:rPr>
          <w:lang w:val="fr-CA"/>
        </w:rPr>
        <w:t>’</w:t>
      </w:r>
      <w:r w:rsidR="0049591C" w:rsidRPr="00D411C1">
        <w:rPr>
          <w:lang w:val="fr-CA"/>
        </w:rPr>
        <w:t>e</w:t>
      </w:r>
      <w:r w:rsidR="001E5FA5" w:rsidRPr="00D411C1">
        <w:rPr>
          <w:lang w:val="fr-CA"/>
        </w:rPr>
        <w:t>lles ne comportent pas</w:t>
      </w:r>
      <w:r w:rsidR="0049591C" w:rsidRPr="00D411C1">
        <w:rPr>
          <w:lang w:val="fr-CA"/>
        </w:rPr>
        <w:t xml:space="preserve"> la vérification de l’exactitude du registre que</w:t>
      </w:r>
      <w:r w:rsidR="0095026F" w:rsidRPr="00D411C1">
        <w:rPr>
          <w:lang w:val="fr-CA"/>
        </w:rPr>
        <w:t xml:space="preserve"> Rogers</w:t>
      </w:r>
      <w:r w:rsidR="0049591C" w:rsidRPr="00D411C1">
        <w:rPr>
          <w:lang w:val="fr-CA"/>
        </w:rPr>
        <w:t xml:space="preserve"> </w:t>
      </w:r>
      <w:r w:rsidR="0095026F" w:rsidRPr="00D411C1">
        <w:rPr>
          <w:lang w:val="fr-CA"/>
        </w:rPr>
        <w:t>est</w:t>
      </w:r>
      <w:r w:rsidR="0049591C" w:rsidRPr="00D411C1">
        <w:rPr>
          <w:lang w:val="fr-CA"/>
        </w:rPr>
        <w:t xml:space="preserve"> tenue de conserver aux termes du par. 41.26(1)</w:t>
      </w:r>
      <w:r w:rsidR="001E5FA5" w:rsidRPr="00D411C1">
        <w:rPr>
          <w:lang w:val="fr-CA"/>
        </w:rPr>
        <w:t xml:space="preserve">. </w:t>
      </w:r>
      <w:r w:rsidR="0095026F" w:rsidRPr="00D411C1">
        <w:rPr>
          <w:lang w:val="fr-CA"/>
        </w:rPr>
        <w:t>Rogers</w:t>
      </w:r>
      <w:r w:rsidR="001E5FA5" w:rsidRPr="00D411C1">
        <w:rPr>
          <w:lang w:val="fr-CA"/>
        </w:rPr>
        <w:t xml:space="preserve"> suit plutôt ce processus afin d’établir et de vérifier l’identité de la personne qui aurait violé le droit d’auteur (qu’elle ne connaît pas déjà) en fonction de ce registre. Si l’on suppose que </w:t>
      </w:r>
      <w:r w:rsidR="0095026F" w:rsidRPr="00D411C1">
        <w:rPr>
          <w:lang w:val="fr-CA"/>
        </w:rPr>
        <w:t xml:space="preserve">ce processus en huit étapes </w:t>
      </w:r>
      <w:r w:rsidR="001E5FA5" w:rsidRPr="00D411C1">
        <w:rPr>
          <w:lang w:val="fr-CA"/>
        </w:rPr>
        <w:t xml:space="preserve">est par ailleurs raisonnable, </w:t>
      </w:r>
      <w:r w:rsidR="0095026F" w:rsidRPr="00D411C1">
        <w:rPr>
          <w:lang w:val="fr-CA"/>
        </w:rPr>
        <w:t>Rogers</w:t>
      </w:r>
      <w:r w:rsidR="001E5FA5" w:rsidRPr="00D411C1">
        <w:rPr>
          <w:lang w:val="fr-CA"/>
        </w:rPr>
        <w:t xml:space="preserve"> a droit à la pleine indemnisation pour les étapes qu’elle suit afin d’identifier un titulaire de compte et de communiquer son identité au titulaire du droit d’auteur.</w:t>
      </w:r>
    </w:p>
    <w:p w:rsidR="00227B6A" w:rsidRPr="00D411C1" w:rsidRDefault="00227B6A" w:rsidP="008F5FE1">
      <w:pPr>
        <w:pStyle w:val="SCCNormalDoubleSpacing"/>
        <w:spacing w:before="480" w:after="480"/>
        <w:rPr>
          <w:lang w:val="fr-CA"/>
        </w:rPr>
      </w:pPr>
      <w:r w:rsidRPr="00D411C1">
        <w:rPr>
          <w:lang w:val="fr-CA"/>
        </w:rPr>
        <w:tab/>
      </w:r>
      <w:r w:rsidR="001E5FA5" w:rsidRPr="00D411C1">
        <w:rPr>
          <w:lang w:val="fr-CA"/>
        </w:rPr>
        <w:t xml:space="preserve">Il y a aussi désaccord avec la proposition voulant que toute obligation implicite découlant du par. 41.26(1) de la </w:t>
      </w:r>
      <w:r w:rsidR="001E5FA5" w:rsidRPr="00D411C1">
        <w:rPr>
          <w:i/>
          <w:lang w:val="fr-CA"/>
        </w:rPr>
        <w:t>Loi sur le droit d’auteur</w:t>
      </w:r>
      <w:r w:rsidR="001E5FA5" w:rsidRPr="00D411C1">
        <w:rPr>
          <w:lang w:val="fr-CA"/>
        </w:rPr>
        <w:t xml:space="preserve"> empêche catégoriquement un FSI de vérifier certains éléments de son registre au moment où il reçoit l’ordonnance de type</w:t>
      </w:r>
      <w:r w:rsidR="001E5FA5" w:rsidRPr="00D411C1">
        <w:rPr>
          <w:i/>
          <w:lang w:val="fr-CA"/>
        </w:rPr>
        <w:t xml:space="preserve"> Norwich </w:t>
      </w:r>
      <w:r w:rsidR="001E5FA5" w:rsidRPr="00D411C1">
        <w:rPr>
          <w:lang w:val="fr-CA"/>
        </w:rPr>
        <w:t xml:space="preserve">et de demander une indemnisation pour ces travaux pour deux raisons. </w:t>
      </w:r>
      <w:r w:rsidR="00B456C4" w:rsidRPr="00D411C1">
        <w:rPr>
          <w:lang w:val="fr-CA"/>
        </w:rPr>
        <w:t>Tout d’abord, les renseignements relatifs aux clients peuvent changer au fil du temps</w:t>
      </w:r>
      <w:r w:rsidR="001E5FA5" w:rsidRPr="00D411C1">
        <w:rPr>
          <w:lang w:val="fr-CA"/>
        </w:rPr>
        <w:t xml:space="preserve">, </w:t>
      </w:r>
      <w:r w:rsidR="00B456C4" w:rsidRPr="00D411C1">
        <w:rPr>
          <w:lang w:val="fr-CA"/>
        </w:rPr>
        <w:t xml:space="preserve">et une ordonnance de type </w:t>
      </w:r>
      <w:r w:rsidR="00B456C4" w:rsidRPr="00D411C1">
        <w:rPr>
          <w:i/>
          <w:lang w:val="fr-CA"/>
        </w:rPr>
        <w:t>Norwich</w:t>
      </w:r>
      <w:r w:rsidR="00B456C4" w:rsidRPr="00D411C1">
        <w:rPr>
          <w:lang w:val="fr-CA"/>
        </w:rPr>
        <w:t xml:space="preserve"> peut être reçue bien après l’envoi initial de l’avis de violation au titulaire de compte. </w:t>
      </w:r>
      <w:r w:rsidR="00CB67C4" w:rsidRPr="00D411C1">
        <w:rPr>
          <w:lang w:val="fr-CA"/>
        </w:rPr>
        <w:t xml:space="preserve">Il demeure nécessaire de vérifier l’exactitude de ces renseignements au moment où le titulaire du droit d’auteur demande l’identité du titulaire de compte, puisque ce sont les renseignements actuels permettant l’identification du titulaire de compte dont le demandeur a besoin afin d’intenter une action pour violation du droit d’auteur, et non les renseignements d’identification qui existaient quand l’avis automatisé de violation a été envoyé. Ensuite, il est possible que les avis de violation ne soient pas tous envoyés au bon titulaire de compte conformément à l’al. 41.26(1)a). En conséquence, et même si certaines étapes du processus de Rogers relatif aux ordonnances de type </w:t>
      </w:r>
      <w:r w:rsidR="00CB67C4" w:rsidRPr="00D411C1">
        <w:rPr>
          <w:i/>
          <w:lang w:val="fr-CA"/>
        </w:rPr>
        <w:t>Norwich</w:t>
      </w:r>
      <w:r w:rsidR="008F5FE1" w:rsidRPr="00D411C1">
        <w:rPr>
          <w:lang w:val="fr-CA"/>
        </w:rPr>
        <w:t xml:space="preserve"> </w:t>
      </w:r>
      <w:r w:rsidR="008F5FE1" w:rsidRPr="00D411C1">
        <w:rPr>
          <w:lang w:val="fr-CA"/>
        </w:rPr>
        <w:lastRenderedPageBreak/>
        <w:t xml:space="preserve">pouvaient être qualifiées de </w:t>
      </w:r>
      <w:r w:rsidR="00CB67C4" w:rsidRPr="00D411C1">
        <w:rPr>
          <w:lang w:val="fr-CA"/>
        </w:rPr>
        <w:t>vérifications</w:t>
      </w:r>
      <w:r w:rsidR="008F5FE1" w:rsidRPr="00D411C1">
        <w:rPr>
          <w:lang w:val="fr-CA"/>
        </w:rPr>
        <w:t xml:space="preserve"> </w:t>
      </w:r>
      <w:r w:rsidR="00CB67C4" w:rsidRPr="00D411C1">
        <w:rPr>
          <w:lang w:val="fr-CA"/>
        </w:rPr>
        <w:t xml:space="preserve">des renseignements ou registres préexistants, rien dans la </w:t>
      </w:r>
      <w:r w:rsidR="00CB67C4" w:rsidRPr="00D411C1">
        <w:rPr>
          <w:i/>
          <w:lang w:val="fr-CA"/>
        </w:rPr>
        <w:t>Loi sur le droit d’auteur</w:t>
      </w:r>
      <w:r w:rsidR="00CB67C4" w:rsidRPr="00D411C1">
        <w:rPr>
          <w:lang w:val="fr-CA"/>
        </w:rPr>
        <w:t xml:space="preserve"> ne justifie de façon incontestablement claire </w:t>
      </w:r>
      <w:r w:rsidR="005953C8" w:rsidRPr="00D411C1">
        <w:rPr>
          <w:lang w:val="fr-CA"/>
        </w:rPr>
        <w:t xml:space="preserve">qu’une </w:t>
      </w:r>
      <w:r w:rsidR="00CB67C4" w:rsidRPr="00D411C1">
        <w:rPr>
          <w:lang w:val="fr-CA"/>
        </w:rPr>
        <w:t xml:space="preserve">démarche sensée </w:t>
      </w:r>
      <w:r w:rsidR="005953C8" w:rsidRPr="00D411C1">
        <w:rPr>
          <w:lang w:val="fr-CA"/>
        </w:rPr>
        <w:t xml:space="preserve">pour établir ce qui est raisonnable </w:t>
      </w:r>
      <w:r w:rsidR="00CB67C4" w:rsidRPr="00D411C1">
        <w:rPr>
          <w:lang w:val="fr-CA"/>
        </w:rPr>
        <w:t xml:space="preserve">soit écartée </w:t>
      </w:r>
      <w:r w:rsidR="0095026F" w:rsidRPr="00D411C1">
        <w:rPr>
          <w:lang w:val="fr-CA"/>
        </w:rPr>
        <w:t>sur le fondement</w:t>
      </w:r>
      <w:r w:rsidR="00CB67C4" w:rsidRPr="00D411C1">
        <w:rPr>
          <w:lang w:val="fr-CA"/>
        </w:rPr>
        <w:t xml:space="preserve"> d’une obligation implicite</w:t>
      </w:r>
      <w:r w:rsidR="008F5FE1" w:rsidRPr="00D411C1">
        <w:rPr>
          <w:lang w:val="fr-CA"/>
        </w:rPr>
        <w:t xml:space="preserve"> qui découlerait du par. </w:t>
      </w:r>
      <w:r w:rsidR="005953C8" w:rsidRPr="00D411C1">
        <w:rPr>
          <w:lang w:val="fr-CA"/>
        </w:rPr>
        <w:t xml:space="preserve">41.26(1). Dans ces circonstances, il pourrait être justifié que Rogers effectue des vérifications plus </w:t>
      </w:r>
      <w:r w:rsidR="005953C8" w:rsidRPr="00D411C1">
        <w:rPr>
          <w:szCs w:val="24"/>
          <w:lang w:val="fr-CA"/>
        </w:rPr>
        <w:t>rigoureuses</w:t>
      </w:r>
      <w:r w:rsidR="005953C8" w:rsidRPr="00D411C1">
        <w:rPr>
          <w:lang w:val="fr-CA"/>
        </w:rPr>
        <w:t xml:space="preserve">. Cela dit, les juges ont le pouvoir de refuser le remboursement des coûts de ces vérifications </w:t>
      </w:r>
      <w:r w:rsidR="0095026F" w:rsidRPr="00D411C1">
        <w:rPr>
          <w:lang w:val="fr-CA"/>
        </w:rPr>
        <w:t>si le</w:t>
      </w:r>
      <w:r w:rsidR="005953C8" w:rsidRPr="00D411C1">
        <w:rPr>
          <w:lang w:val="fr-CA"/>
        </w:rPr>
        <w:t xml:space="preserve"> FSI </w:t>
      </w:r>
      <w:r w:rsidR="0095026F" w:rsidRPr="00D411C1">
        <w:rPr>
          <w:lang w:val="fr-CA"/>
        </w:rPr>
        <w:t xml:space="preserve">procède inutilement à des vérifications </w:t>
      </w:r>
      <w:r w:rsidR="005953C8" w:rsidRPr="00D411C1">
        <w:rPr>
          <w:lang w:val="fr-CA"/>
        </w:rPr>
        <w:t>approfondies ou redondantes.</w:t>
      </w:r>
      <w:r w:rsidRPr="00D411C1">
        <w:rPr>
          <w:lang w:val="fr-CA"/>
        </w:rPr>
        <w:t xml:space="preserve">   </w:t>
      </w:r>
    </w:p>
    <w:p w:rsidR="00227B6A" w:rsidRPr="00D411C1" w:rsidRDefault="00227B6A" w:rsidP="00CE4B13">
      <w:pPr>
        <w:pStyle w:val="SCCNormalDoubleSpacing"/>
        <w:spacing w:before="480" w:after="480"/>
        <w:rPr>
          <w:szCs w:val="24"/>
          <w:lang w:val="fr-CA"/>
        </w:rPr>
      </w:pPr>
      <w:r w:rsidRPr="00D411C1">
        <w:rPr>
          <w:szCs w:val="24"/>
          <w:lang w:val="fr-CA"/>
        </w:rPr>
        <w:tab/>
      </w:r>
      <w:r w:rsidR="000263D1" w:rsidRPr="00D411C1">
        <w:rPr>
          <w:szCs w:val="24"/>
          <w:lang w:val="fr-CA"/>
        </w:rPr>
        <w:t>Dans la présente affaire,</w:t>
      </w:r>
      <w:r w:rsidR="000263D1" w:rsidRPr="00D411C1">
        <w:rPr>
          <w:lang w:val="fr-CA"/>
        </w:rPr>
        <w:t xml:space="preserve"> le juge des requêtes n’a pas tiré une conclusion indépendante quant au caractère raisonnable du processus en huit étapes de Rogers. En conséquence, </w:t>
      </w:r>
      <w:r w:rsidR="0095026F" w:rsidRPr="00D411C1">
        <w:rPr>
          <w:lang w:val="fr-CA"/>
        </w:rPr>
        <w:t>la présente</w:t>
      </w:r>
      <w:r w:rsidR="00685EA7" w:rsidRPr="00D411C1">
        <w:rPr>
          <w:lang w:val="fr-CA"/>
        </w:rPr>
        <w:t xml:space="preserve"> affaire devrait être renvoyée au juge des requêtes pour qu’il prenne une telle décision.</w:t>
      </w:r>
      <w:r w:rsidRPr="00D411C1">
        <w:rPr>
          <w:lang w:val="fr-CA"/>
        </w:rPr>
        <w:t xml:space="preserve"> </w:t>
      </w:r>
    </w:p>
    <w:p w:rsidR="004D7D95" w:rsidRPr="00D411C1" w:rsidRDefault="004D7D95" w:rsidP="00CE4B13">
      <w:pPr>
        <w:pStyle w:val="SCCNormalDoubleSpacing"/>
        <w:spacing w:after="720" w:line="240" w:lineRule="auto"/>
        <w:rPr>
          <w:b/>
          <w:lang w:val="fr-CA"/>
        </w:rPr>
      </w:pPr>
      <w:r w:rsidRPr="00D411C1">
        <w:rPr>
          <w:b/>
          <w:lang w:val="fr-CA"/>
        </w:rPr>
        <w:t>Jurisprudence</w:t>
      </w:r>
    </w:p>
    <w:p w:rsidR="004D7D95" w:rsidRPr="00D411C1" w:rsidRDefault="00BF76C6" w:rsidP="00CE4B13">
      <w:pPr>
        <w:pStyle w:val="SCCNormalDoubleSpacing"/>
        <w:spacing w:after="720" w:line="240" w:lineRule="auto"/>
        <w:rPr>
          <w:lang w:val="fr-CA"/>
        </w:rPr>
      </w:pPr>
      <w:r w:rsidRPr="00D411C1">
        <w:rPr>
          <w:lang w:val="fr-CA"/>
        </w:rPr>
        <w:t>Citée par le juge Brown</w:t>
      </w:r>
    </w:p>
    <w:p w:rsidR="001A5DE4" w:rsidRPr="00D411C1" w:rsidRDefault="004D7D95" w:rsidP="00A46662">
      <w:pPr>
        <w:pStyle w:val="SCCNormalDoubleSpacing"/>
        <w:spacing w:before="480" w:after="480"/>
        <w:rPr>
          <w:lang w:val="fr-CA"/>
        </w:rPr>
      </w:pPr>
      <w:r w:rsidRPr="00D411C1">
        <w:rPr>
          <w:lang w:val="fr-CA"/>
        </w:rPr>
        <w:tab/>
      </w:r>
      <w:r w:rsidRPr="00D411C1">
        <w:rPr>
          <w:b/>
          <w:lang w:val="fr-CA"/>
        </w:rPr>
        <w:t>Arrêts mentionnés</w:t>
      </w:r>
      <w:r w:rsidR="00CE4B13" w:rsidRPr="00D411C1">
        <w:rPr>
          <w:b/>
          <w:lang w:val="fr-CA"/>
        </w:rPr>
        <w:t> :</w:t>
      </w:r>
      <w:r w:rsidRPr="00D411C1">
        <w:rPr>
          <w:lang w:val="fr-CA"/>
        </w:rPr>
        <w:t xml:space="preserve"> </w:t>
      </w:r>
      <w:r w:rsidR="00BF76C6" w:rsidRPr="00D411C1">
        <w:rPr>
          <w:i/>
          <w:iCs/>
          <w:lang w:val="fr-CA"/>
        </w:rPr>
        <w:t>Norwich Pharmacal Co. c. Customs and Excise Commissioners</w:t>
      </w:r>
      <w:r w:rsidR="00BF76C6" w:rsidRPr="00D411C1">
        <w:rPr>
          <w:lang w:val="fr-CA"/>
        </w:rPr>
        <w:t xml:space="preserve">, [1974] A.C. 133; </w:t>
      </w:r>
      <w:r w:rsidR="00E11A96" w:rsidRPr="00D411C1">
        <w:rPr>
          <w:i/>
          <w:lang w:val="fr-CA"/>
        </w:rPr>
        <w:t>Glaxo Wellcome PLC c. M.R.N.</w:t>
      </w:r>
      <w:r w:rsidR="00E11A96" w:rsidRPr="00D411C1">
        <w:rPr>
          <w:lang w:val="fr-CA"/>
        </w:rPr>
        <w:t xml:space="preserve">, [1998] 4 C.F. 439; </w:t>
      </w:r>
      <w:r w:rsidR="0025557E" w:rsidRPr="00D411C1">
        <w:rPr>
          <w:i/>
          <w:lang w:val="fr-CA"/>
        </w:rPr>
        <w:t>Alberta (Treasury Branches) c. Leahy</w:t>
      </w:r>
      <w:r w:rsidR="0025557E" w:rsidRPr="00D411C1">
        <w:rPr>
          <w:lang w:val="fr-CA"/>
        </w:rPr>
        <w:t xml:space="preserve">, 2000 ABQB 575, 270 A.R. 1, conf. par 2002 ABCA 101, 303 A.R. 63; </w:t>
      </w:r>
      <w:r w:rsidR="001A5DE4" w:rsidRPr="00D411C1">
        <w:rPr>
          <w:i/>
          <w:lang w:val="fr-CA"/>
        </w:rPr>
        <w:t>BMG Canada Inc. c. John Doe</w:t>
      </w:r>
      <w:r w:rsidR="001A5DE4" w:rsidRPr="00D411C1">
        <w:rPr>
          <w:lang w:val="fr-CA"/>
        </w:rPr>
        <w:t xml:space="preserve">, 2005 CAF 193, [2005] 4 R.C.F. 81; </w:t>
      </w:r>
      <w:r w:rsidR="00376625" w:rsidRPr="00D411C1">
        <w:rPr>
          <w:i/>
          <w:lang w:val="fr-CA"/>
        </w:rPr>
        <w:t>BMG Canada Inc. c. John Doe</w:t>
      </w:r>
      <w:r w:rsidR="00376625" w:rsidRPr="00D411C1">
        <w:rPr>
          <w:lang w:val="fr-CA"/>
        </w:rPr>
        <w:t>, 2004 CF 488, [2004] 3 R.C.F. 241;</w:t>
      </w:r>
      <w:r w:rsidR="00376625" w:rsidRPr="00D411C1">
        <w:rPr>
          <w:i/>
          <w:lang w:val="fr-CA"/>
        </w:rPr>
        <w:t xml:space="preserve"> </w:t>
      </w:r>
      <w:r w:rsidR="00B738FE" w:rsidRPr="00D411C1">
        <w:rPr>
          <w:i/>
          <w:lang w:val="fr-CA"/>
        </w:rPr>
        <w:t>Voltage Pictures LLL c. Untel</w:t>
      </w:r>
      <w:r w:rsidR="00B738FE" w:rsidRPr="00D411C1">
        <w:rPr>
          <w:lang w:val="fr-CA"/>
        </w:rPr>
        <w:t xml:space="preserve">, 2015 CF 1364; </w:t>
      </w:r>
      <w:r w:rsidR="002F3E83" w:rsidRPr="00D411C1">
        <w:rPr>
          <w:i/>
          <w:lang w:val="fr-CA"/>
        </w:rPr>
        <w:t>Voltage Pictures LLC c. Untel</w:t>
      </w:r>
      <w:r w:rsidR="002F3E83" w:rsidRPr="00D411C1">
        <w:rPr>
          <w:lang w:val="fr-CA"/>
        </w:rPr>
        <w:t xml:space="preserve">, 2014 CF 161, [2015] 2 R.C.F. 540; </w:t>
      </w:r>
      <w:r w:rsidR="001A5DE4" w:rsidRPr="00D411C1">
        <w:rPr>
          <w:i/>
          <w:lang w:val="fr-CA"/>
        </w:rPr>
        <w:t>Rizzo &amp; Rizzo Shoes Ltd. (Re)</w:t>
      </w:r>
      <w:r w:rsidR="001A5DE4" w:rsidRPr="00D411C1">
        <w:rPr>
          <w:lang w:val="fr-CA"/>
        </w:rPr>
        <w:t xml:space="preserve">, [1998] 1 R.C.S. 27; </w:t>
      </w:r>
      <w:r w:rsidR="00B24B42" w:rsidRPr="00D411C1">
        <w:rPr>
          <w:i/>
          <w:lang w:val="fr-CA"/>
        </w:rPr>
        <w:t>Lignes aériennes Canadien Pacifique Ltée c. Assoc. canadienne des pilotes de lignes aériennes</w:t>
      </w:r>
      <w:r w:rsidR="00B24B42" w:rsidRPr="00D411C1">
        <w:rPr>
          <w:lang w:val="fr-CA"/>
        </w:rPr>
        <w:t xml:space="preserve">, [1993] 3 R.C.S. 724; </w:t>
      </w:r>
      <w:r w:rsidR="00DB2355" w:rsidRPr="00D411C1">
        <w:rPr>
          <w:i/>
          <w:lang w:val="fr-CA"/>
        </w:rPr>
        <w:t>Voltage</w:t>
      </w:r>
      <w:r w:rsidR="00B24B42" w:rsidRPr="00D411C1">
        <w:rPr>
          <w:i/>
          <w:lang w:val="fr-CA"/>
        </w:rPr>
        <w:t xml:space="preserve"> Pictures LLC c. Untel</w:t>
      </w:r>
      <w:r w:rsidR="00B24B42" w:rsidRPr="00D411C1">
        <w:rPr>
          <w:lang w:val="fr-CA"/>
        </w:rPr>
        <w:t xml:space="preserve">, 2011 CF 1024; </w:t>
      </w:r>
      <w:r w:rsidR="0055013D" w:rsidRPr="00D411C1">
        <w:rPr>
          <w:i/>
          <w:lang w:val="fr-CA"/>
        </w:rPr>
        <w:t xml:space="preserve">Parry </w:t>
      </w:r>
      <w:r w:rsidR="0055013D" w:rsidRPr="00D411C1">
        <w:rPr>
          <w:i/>
          <w:lang w:val="fr-CA"/>
        </w:rPr>
        <w:lastRenderedPageBreak/>
        <w:t>Sound (district), Conseil d’administration des services sociaux c. S.E.E.F.P.O., section locale 324</w:t>
      </w:r>
      <w:r w:rsidR="0055013D" w:rsidRPr="00D411C1">
        <w:rPr>
          <w:lang w:val="fr-CA"/>
        </w:rPr>
        <w:t xml:space="preserve">, 2003 </w:t>
      </w:r>
      <w:r w:rsidR="0001088A" w:rsidRPr="00D411C1">
        <w:rPr>
          <w:lang w:val="fr-CA"/>
        </w:rPr>
        <w:t>CSC 42, [2003] 2 R.C.S. 157;</w:t>
      </w:r>
      <w:r w:rsidR="002E42FD" w:rsidRPr="00D411C1">
        <w:rPr>
          <w:lang w:val="fr-CA"/>
        </w:rPr>
        <w:t xml:space="preserve"> </w:t>
      </w:r>
      <w:r w:rsidR="002E42FD" w:rsidRPr="00D411C1">
        <w:rPr>
          <w:i/>
          <w:lang w:val="fr-CA"/>
        </w:rPr>
        <w:t>Goodyear Tire &amp; Rubber Co. of Canada c. T. Eaton Co.</w:t>
      </w:r>
      <w:r w:rsidR="002E42FD" w:rsidRPr="00D411C1">
        <w:rPr>
          <w:lang w:val="fr-CA"/>
        </w:rPr>
        <w:t>, [1956] R.C.S. 610;</w:t>
      </w:r>
      <w:r w:rsidR="00DB2355" w:rsidRPr="00D411C1">
        <w:rPr>
          <w:lang w:val="fr-CA"/>
        </w:rPr>
        <w:t xml:space="preserve"> </w:t>
      </w:r>
      <w:r w:rsidR="001A5DE4" w:rsidRPr="00D411C1">
        <w:rPr>
          <w:i/>
          <w:lang w:val="fr-CA"/>
        </w:rPr>
        <w:t>Canada (Procureur général) c. Thouin</w:t>
      </w:r>
      <w:r w:rsidR="001A5DE4" w:rsidRPr="00D411C1">
        <w:rPr>
          <w:lang w:val="fr-CA"/>
        </w:rPr>
        <w:t xml:space="preserve">, 2017 CSC 46, [2017] 2 R.C.S. 184; </w:t>
      </w:r>
      <w:r w:rsidR="00DB2355" w:rsidRPr="00D411C1">
        <w:rPr>
          <w:i/>
          <w:lang w:val="fr-CA"/>
        </w:rPr>
        <w:t>Cartier International AG c. British Telecommunications plc</w:t>
      </w:r>
      <w:r w:rsidR="00DB2355" w:rsidRPr="00D411C1">
        <w:rPr>
          <w:lang w:val="fr-CA"/>
        </w:rPr>
        <w:t>, [2018] UKSC 28, [2018] 1 W.L.R. 3259.</w:t>
      </w:r>
    </w:p>
    <w:p w:rsidR="004D7D95" w:rsidRPr="00D411C1" w:rsidRDefault="00EB4C88" w:rsidP="00CE4B13">
      <w:pPr>
        <w:pStyle w:val="SCCNormalDoubleSpacing"/>
        <w:spacing w:after="720" w:line="240" w:lineRule="auto"/>
        <w:rPr>
          <w:lang w:val="fr-CA"/>
        </w:rPr>
      </w:pPr>
      <w:r w:rsidRPr="00D411C1">
        <w:rPr>
          <w:lang w:val="fr-CA"/>
        </w:rPr>
        <w:t>Citée par la juge Côté</w:t>
      </w:r>
    </w:p>
    <w:p w:rsidR="00EB4C88" w:rsidRPr="00D411C1" w:rsidRDefault="00EB4C88" w:rsidP="00A46662">
      <w:pPr>
        <w:pStyle w:val="SCCNormalDoubleSpacing"/>
        <w:spacing w:before="480" w:after="480"/>
        <w:rPr>
          <w:lang w:val="fr-CA"/>
        </w:rPr>
      </w:pPr>
      <w:r w:rsidRPr="00D411C1">
        <w:rPr>
          <w:b/>
          <w:lang w:val="fr-CA"/>
        </w:rPr>
        <w:tab/>
        <w:t>Arrêts mentionnés</w:t>
      </w:r>
      <w:r w:rsidR="00CE4B13" w:rsidRPr="00D411C1">
        <w:rPr>
          <w:b/>
          <w:lang w:val="fr-CA"/>
        </w:rPr>
        <w:t> :</w:t>
      </w:r>
      <w:r w:rsidRPr="00D411C1">
        <w:rPr>
          <w:lang w:val="fr-CA"/>
        </w:rPr>
        <w:t xml:space="preserve"> </w:t>
      </w:r>
      <w:r w:rsidRPr="00D411C1">
        <w:rPr>
          <w:i/>
          <w:iCs/>
          <w:lang w:val="fr-CA"/>
        </w:rPr>
        <w:t>Canada (Procureur général) c. Thouin</w:t>
      </w:r>
      <w:r w:rsidRPr="00D411C1">
        <w:rPr>
          <w:lang w:val="fr-CA"/>
        </w:rPr>
        <w:t xml:space="preserve">, 2017 CSC 46, [2017] 2 R.C.S. 184; </w:t>
      </w:r>
      <w:r w:rsidRPr="00D411C1">
        <w:rPr>
          <w:i/>
          <w:iCs/>
          <w:lang w:val="fr-CA"/>
        </w:rPr>
        <w:t>Norwich Pharmacal Co. c. Customs and Excise Commissioners</w:t>
      </w:r>
      <w:r w:rsidRPr="00D411C1">
        <w:rPr>
          <w:lang w:val="fr-CA"/>
        </w:rPr>
        <w:t xml:space="preserve">, [1974] A.C. 133; </w:t>
      </w:r>
      <w:r w:rsidR="00867D03" w:rsidRPr="00D411C1">
        <w:rPr>
          <w:i/>
          <w:lang w:val="fr-CA"/>
        </w:rPr>
        <w:t>Glaxo Wellcome PLC</w:t>
      </w:r>
      <w:r w:rsidR="00867D03" w:rsidRPr="00D411C1">
        <w:rPr>
          <w:lang w:val="fr-CA"/>
        </w:rPr>
        <w:t xml:space="preserve"> </w:t>
      </w:r>
      <w:r w:rsidR="00867D03" w:rsidRPr="00D411C1">
        <w:rPr>
          <w:i/>
          <w:lang w:val="fr-CA"/>
        </w:rPr>
        <w:t>c. M.R.N.</w:t>
      </w:r>
      <w:r w:rsidR="00867D03" w:rsidRPr="00D411C1">
        <w:rPr>
          <w:lang w:val="fr-CA"/>
        </w:rPr>
        <w:t>, [1998] 4 C.F. 439;</w:t>
      </w:r>
      <w:r w:rsidRPr="00D411C1">
        <w:rPr>
          <w:lang w:val="fr-CA"/>
        </w:rPr>
        <w:t xml:space="preserve"> </w:t>
      </w:r>
      <w:r w:rsidRPr="00D411C1">
        <w:rPr>
          <w:i/>
          <w:iCs/>
          <w:lang w:val="fr-CA"/>
        </w:rPr>
        <w:t>Parry Sound (district), Conseil d’administration des services sociaux c. S.E.E.F.P.O., section locale 324</w:t>
      </w:r>
      <w:r w:rsidRPr="00D411C1">
        <w:rPr>
          <w:lang w:val="fr-CA"/>
        </w:rPr>
        <w:t>, 2003 CSC 42, [2003] 2 R.C.S. 157.</w:t>
      </w:r>
    </w:p>
    <w:p w:rsidR="004D7D95" w:rsidRPr="00D411C1" w:rsidRDefault="004D7D95" w:rsidP="00CE4B13">
      <w:pPr>
        <w:pStyle w:val="SCCNormalDoubleSpacing"/>
        <w:spacing w:after="720" w:line="240" w:lineRule="auto"/>
        <w:rPr>
          <w:lang w:val="fr-CA"/>
        </w:rPr>
      </w:pPr>
      <w:r w:rsidRPr="00D411C1">
        <w:rPr>
          <w:b/>
          <w:lang w:val="fr-CA"/>
        </w:rPr>
        <w:t>Lois et règlements cités</w:t>
      </w:r>
    </w:p>
    <w:p w:rsidR="00D41D0C" w:rsidRPr="00D411C1" w:rsidRDefault="00D41D0C" w:rsidP="00D41D0C">
      <w:pPr>
        <w:pStyle w:val="SCCNormalDoubleSpacing"/>
        <w:spacing w:after="240" w:line="240" w:lineRule="auto"/>
        <w:ind w:left="547" w:hanging="547"/>
        <w:rPr>
          <w:lang w:val="fr-CA"/>
        </w:rPr>
      </w:pPr>
      <w:r w:rsidRPr="00D411C1">
        <w:rPr>
          <w:lang w:val="fr-CA"/>
        </w:rPr>
        <w:t xml:space="preserve">Décret fixant à la date qui tombe six mois après la date de publication du présent décret la date d’entrée en vigueur de certaines dispositions de la Loi sur le </w:t>
      </w:r>
      <w:r w:rsidR="00B528B6">
        <w:rPr>
          <w:lang w:val="fr-CA"/>
        </w:rPr>
        <w:t>droit d’auteur, TR/2014</w:t>
      </w:r>
      <w:r w:rsidR="00B528B6">
        <w:rPr>
          <w:lang w:val="fr-CA"/>
        </w:rPr>
        <w:noBreakHyphen/>
        <w:t>58, et n</w:t>
      </w:r>
      <w:r w:rsidRPr="00D411C1">
        <w:rPr>
          <w:lang w:val="fr-CA"/>
        </w:rPr>
        <w:t xml:space="preserve">ote explicative, </w:t>
      </w:r>
      <w:r w:rsidRPr="00D411C1">
        <w:rPr>
          <w:i/>
          <w:lang w:val="fr-CA"/>
        </w:rPr>
        <w:t>Gazette du Canada</w:t>
      </w:r>
      <w:r w:rsidRPr="00D411C1">
        <w:rPr>
          <w:lang w:val="fr-CA"/>
        </w:rPr>
        <w:t>, Partie II, vol. 148, n</w:t>
      </w:r>
      <w:r w:rsidRPr="00D411C1">
        <w:rPr>
          <w:vertAlign w:val="superscript"/>
          <w:lang w:val="fr-CA"/>
        </w:rPr>
        <w:t>o</w:t>
      </w:r>
      <w:r w:rsidRPr="00D411C1">
        <w:rPr>
          <w:lang w:val="fr-CA"/>
        </w:rPr>
        <w:t> 14, 2 juillet 2014, p. 2121</w:t>
      </w:r>
      <w:r w:rsidRPr="00D411C1">
        <w:rPr>
          <w:lang w:val="fr-CA"/>
        </w:rPr>
        <w:noBreakHyphen/>
        <w:t>2123.</w:t>
      </w:r>
    </w:p>
    <w:p w:rsidR="00C132C5" w:rsidRPr="00D411C1" w:rsidRDefault="00C132C5" w:rsidP="00CE4B13">
      <w:pPr>
        <w:pStyle w:val="SCCNormalDoubleSpacing"/>
        <w:spacing w:after="240" w:line="240" w:lineRule="auto"/>
        <w:ind w:left="547" w:hanging="547"/>
        <w:rPr>
          <w:lang w:val="en-US"/>
        </w:rPr>
      </w:pPr>
      <w:r w:rsidRPr="00D411C1">
        <w:rPr>
          <w:i/>
          <w:lang w:val="en-US"/>
        </w:rPr>
        <w:t>Digital Millennium Copyright Act</w:t>
      </w:r>
      <w:r w:rsidRPr="00D411C1">
        <w:rPr>
          <w:lang w:val="en-US"/>
        </w:rPr>
        <w:t xml:space="preserve"> (1998), 17 U.S.C. § 512.</w:t>
      </w:r>
    </w:p>
    <w:p w:rsidR="00B46002" w:rsidRPr="00D411C1" w:rsidRDefault="00B46002" w:rsidP="00CE4B13">
      <w:pPr>
        <w:pStyle w:val="SCCNormalDoubleSpacing"/>
        <w:spacing w:after="240" w:line="240" w:lineRule="auto"/>
        <w:ind w:left="547" w:hanging="547"/>
        <w:rPr>
          <w:lang w:val="fr-CA"/>
        </w:rPr>
      </w:pPr>
      <w:r w:rsidRPr="00D411C1">
        <w:rPr>
          <w:i/>
          <w:lang w:val="fr-CA"/>
        </w:rPr>
        <w:t>Loi sur la modernisation du droit d’auteur</w:t>
      </w:r>
      <w:r w:rsidR="00C26921" w:rsidRPr="00D411C1">
        <w:rPr>
          <w:lang w:val="fr-CA"/>
        </w:rPr>
        <w:t>, L.C. 2012, c. </w:t>
      </w:r>
      <w:r w:rsidRPr="00D411C1">
        <w:rPr>
          <w:lang w:val="fr-CA"/>
        </w:rPr>
        <w:t xml:space="preserve">20, </w:t>
      </w:r>
      <w:r w:rsidR="0085273D" w:rsidRPr="00D411C1">
        <w:rPr>
          <w:lang w:val="fr-CA"/>
        </w:rPr>
        <w:t>sommaire, préambule.</w:t>
      </w:r>
    </w:p>
    <w:p w:rsidR="004D7D95" w:rsidRDefault="00833132" w:rsidP="00D41D0C">
      <w:pPr>
        <w:pStyle w:val="SCCNormalDoubleSpacing"/>
        <w:spacing w:after="720" w:line="240" w:lineRule="auto"/>
        <w:ind w:left="547" w:hanging="547"/>
        <w:rPr>
          <w:lang w:val="fr-CA"/>
        </w:rPr>
      </w:pPr>
      <w:r w:rsidRPr="00D411C1">
        <w:rPr>
          <w:i/>
          <w:lang w:val="fr-CA"/>
        </w:rPr>
        <w:t>Loi sur le droit d’auteur</w:t>
      </w:r>
      <w:r w:rsidRPr="00D411C1">
        <w:rPr>
          <w:lang w:val="fr-CA"/>
        </w:rPr>
        <w:t>, L.R.C. 1985, c.</w:t>
      </w:r>
      <w:r w:rsidR="00C26921" w:rsidRPr="00D411C1">
        <w:rPr>
          <w:lang w:val="fr-CA"/>
        </w:rPr>
        <w:t> </w:t>
      </w:r>
      <w:r w:rsidRPr="00D411C1">
        <w:rPr>
          <w:lang w:val="fr-CA"/>
        </w:rPr>
        <w:t>C</w:t>
      </w:r>
      <w:r w:rsidR="00CE4B13" w:rsidRPr="00D411C1">
        <w:rPr>
          <w:lang w:val="fr-CA"/>
        </w:rPr>
        <w:noBreakHyphen/>
      </w:r>
      <w:r w:rsidRPr="00D411C1">
        <w:rPr>
          <w:lang w:val="fr-CA"/>
        </w:rPr>
        <w:t>42,</w:t>
      </w:r>
      <w:r w:rsidR="002A525C" w:rsidRPr="00D411C1">
        <w:rPr>
          <w:lang w:val="fr-CA"/>
        </w:rPr>
        <w:t xml:space="preserve"> </w:t>
      </w:r>
      <w:r w:rsidR="00CE4B13" w:rsidRPr="00D411C1">
        <w:rPr>
          <w:lang w:val="fr-CA"/>
        </w:rPr>
        <w:t>art. </w:t>
      </w:r>
      <w:r w:rsidR="00AF601E" w:rsidRPr="00D411C1">
        <w:rPr>
          <w:lang w:val="fr-CA"/>
        </w:rPr>
        <w:t>27(2.3), 31.1</w:t>
      </w:r>
      <w:r w:rsidR="00F559E5" w:rsidRPr="00D411C1">
        <w:rPr>
          <w:lang w:val="fr-CA"/>
        </w:rPr>
        <w:t xml:space="preserve">, </w:t>
      </w:r>
      <w:r w:rsidR="00B528B6">
        <w:rPr>
          <w:lang w:val="fr-CA"/>
        </w:rPr>
        <w:t xml:space="preserve">partie IV, </w:t>
      </w:r>
      <w:r w:rsidRPr="00D411C1">
        <w:rPr>
          <w:lang w:val="fr-CA"/>
        </w:rPr>
        <w:t>41.25, 41.26.</w:t>
      </w:r>
    </w:p>
    <w:p w:rsidR="00E25A3F" w:rsidRPr="001B4CA3" w:rsidRDefault="00E25A3F" w:rsidP="00E25A3F">
      <w:pPr>
        <w:pStyle w:val="SCCNormalDoubleSpacing"/>
        <w:widowControl w:val="0"/>
        <w:spacing w:after="720" w:line="240" w:lineRule="auto"/>
        <w:rPr>
          <w:b/>
          <w:lang w:val="fr-CA"/>
        </w:rPr>
      </w:pPr>
      <w:r w:rsidRPr="001B4CA3">
        <w:rPr>
          <w:b/>
          <w:lang w:val="fr-CA"/>
        </w:rPr>
        <w:t>Doctrine et autres documents cités</w:t>
      </w:r>
    </w:p>
    <w:p w:rsidR="00E25A3F" w:rsidRPr="001B4CA3" w:rsidRDefault="00E25A3F" w:rsidP="00E25A3F">
      <w:pPr>
        <w:pStyle w:val="SCCNormalDoubleSpacing"/>
        <w:spacing w:after="240" w:line="240" w:lineRule="auto"/>
        <w:ind w:left="547" w:hanging="547"/>
        <w:rPr>
          <w:lang w:val="fr-CA"/>
        </w:rPr>
      </w:pPr>
      <w:r w:rsidRPr="001B4CA3">
        <w:rPr>
          <w:lang w:val="fr-CA"/>
        </w:rPr>
        <w:lastRenderedPageBreak/>
        <w:t xml:space="preserve">Canada. Bureau de la consommation. </w:t>
      </w:r>
      <w:r w:rsidRPr="001B4CA3">
        <w:rPr>
          <w:i/>
          <w:lang w:val="fr-CA"/>
        </w:rPr>
        <w:t xml:space="preserve">Le régime d’avis et avis </w:t>
      </w:r>
      <w:r w:rsidRPr="001B4CA3">
        <w:rPr>
          <w:lang w:val="fr-CA"/>
        </w:rPr>
        <w:t xml:space="preserve">(en ligne : https://ic.gc.ca/eic/site/oca-bc.nsf/fra/ca02920.html; version archivée : </w:t>
      </w:r>
      <w:hyperlink r:id="rId10" w:history="1">
        <w:r w:rsidRPr="00C16E10">
          <w:rPr>
            <w:lang w:val="fr-CA"/>
          </w:rPr>
          <w:t>https://www.scc-csc.ca/cso-dce/2018SCC-CSC38_1_fra.pdf</w:t>
        </w:r>
      </w:hyperlink>
      <w:r w:rsidRPr="001B4CA3">
        <w:rPr>
          <w:lang w:val="fr-CA"/>
        </w:rPr>
        <w:t xml:space="preserve">). </w:t>
      </w:r>
    </w:p>
    <w:p w:rsidR="00E25A3F" w:rsidRPr="001B4CA3" w:rsidRDefault="00E25A3F" w:rsidP="00E25A3F">
      <w:pPr>
        <w:pStyle w:val="SCCNormalDoubleSpacing"/>
        <w:spacing w:after="240" w:line="240" w:lineRule="auto"/>
        <w:ind w:left="547" w:hanging="547"/>
        <w:rPr>
          <w:lang w:val="fr-CA"/>
        </w:rPr>
      </w:pPr>
      <w:r w:rsidRPr="001B4CA3">
        <w:rPr>
          <w:lang w:val="fr-CA"/>
        </w:rPr>
        <w:t>Canada. Chambre des communes. Comité législatif chargé du projet de loi C</w:t>
      </w:r>
      <w:r w:rsidRPr="001B4CA3">
        <w:rPr>
          <w:lang w:val="fr-CA"/>
        </w:rPr>
        <w:noBreakHyphen/>
        <w:t xml:space="preserve">32. </w:t>
      </w:r>
      <w:r w:rsidRPr="001B4CA3">
        <w:rPr>
          <w:i/>
          <w:lang w:val="fr-CA"/>
        </w:rPr>
        <w:t>Témoignages</w:t>
      </w:r>
      <w:r w:rsidRPr="001B4CA3">
        <w:rPr>
          <w:lang w:val="fr-CA"/>
        </w:rPr>
        <w:t>, n</w:t>
      </w:r>
      <w:r w:rsidRPr="001B4CA3">
        <w:rPr>
          <w:vertAlign w:val="superscript"/>
          <w:lang w:val="fr-CA"/>
        </w:rPr>
        <w:t>o</w:t>
      </w:r>
      <w:r w:rsidRPr="001B4CA3">
        <w:rPr>
          <w:lang w:val="fr-CA"/>
        </w:rPr>
        <w:t> 19, 3</w:t>
      </w:r>
      <w:r w:rsidRPr="001B4CA3">
        <w:rPr>
          <w:vertAlign w:val="superscript"/>
          <w:lang w:val="fr-CA"/>
        </w:rPr>
        <w:t>e</w:t>
      </w:r>
      <w:r w:rsidRPr="001B4CA3">
        <w:rPr>
          <w:lang w:val="fr-CA"/>
        </w:rPr>
        <w:t> sess., 40</w:t>
      </w:r>
      <w:r w:rsidRPr="001B4CA3">
        <w:rPr>
          <w:vertAlign w:val="superscript"/>
          <w:lang w:val="fr-CA"/>
        </w:rPr>
        <w:t>e</w:t>
      </w:r>
      <w:r w:rsidRPr="001B4CA3">
        <w:rPr>
          <w:lang w:val="fr-CA"/>
        </w:rPr>
        <w:t> lég., 22 mars 2011, p. 1, 10.</w:t>
      </w:r>
    </w:p>
    <w:p w:rsidR="00E25A3F" w:rsidRPr="001B4CA3" w:rsidRDefault="00E25A3F" w:rsidP="00E25A3F">
      <w:pPr>
        <w:pStyle w:val="SCCNormalDoubleSpacing"/>
        <w:spacing w:after="240" w:line="240" w:lineRule="auto"/>
        <w:ind w:left="547" w:hanging="547"/>
        <w:rPr>
          <w:lang w:val="fr-CA"/>
        </w:rPr>
      </w:pPr>
      <w:r w:rsidRPr="001B4CA3">
        <w:rPr>
          <w:lang w:val="fr-CA"/>
        </w:rPr>
        <w:t xml:space="preserve">Canada. Chambre des communes. </w:t>
      </w:r>
      <w:r w:rsidR="00A60D50">
        <w:rPr>
          <w:i/>
          <w:lang w:val="fr-CA"/>
        </w:rPr>
        <w:t>Débats de la Chambre</w:t>
      </w:r>
      <w:r w:rsidRPr="001B4CA3">
        <w:rPr>
          <w:i/>
          <w:lang w:val="fr-CA"/>
        </w:rPr>
        <w:t xml:space="preserve"> des communes</w:t>
      </w:r>
      <w:r w:rsidRPr="001B4CA3">
        <w:rPr>
          <w:lang w:val="fr-CA"/>
        </w:rPr>
        <w:t>, vol. 146, n</w:t>
      </w:r>
      <w:r w:rsidRPr="001B4CA3">
        <w:rPr>
          <w:vertAlign w:val="superscript"/>
          <w:lang w:val="fr-CA"/>
        </w:rPr>
        <w:t>o </w:t>
      </w:r>
      <w:r w:rsidRPr="001B4CA3">
        <w:rPr>
          <w:lang w:val="fr-CA"/>
        </w:rPr>
        <w:t>31, 1</w:t>
      </w:r>
      <w:r w:rsidRPr="001B4CA3">
        <w:rPr>
          <w:vertAlign w:val="superscript"/>
          <w:lang w:val="fr-CA"/>
        </w:rPr>
        <w:t>re</w:t>
      </w:r>
      <w:r>
        <w:rPr>
          <w:lang w:val="fr-CA"/>
        </w:rPr>
        <w:t> </w:t>
      </w:r>
      <w:r w:rsidRPr="001B4CA3">
        <w:rPr>
          <w:lang w:val="fr-CA"/>
        </w:rPr>
        <w:t>sess., 41</w:t>
      </w:r>
      <w:r w:rsidRPr="001B4CA3">
        <w:rPr>
          <w:vertAlign w:val="superscript"/>
          <w:lang w:val="fr-CA"/>
        </w:rPr>
        <w:t>e</w:t>
      </w:r>
      <w:r w:rsidRPr="001B4CA3">
        <w:rPr>
          <w:lang w:val="fr-CA"/>
        </w:rPr>
        <w:t xml:space="preserve"> lég., 18 octobre 2011, p. 2107, 2109.</w:t>
      </w:r>
    </w:p>
    <w:p w:rsidR="00E25A3F" w:rsidRPr="00AB14CA" w:rsidRDefault="00E25A3F" w:rsidP="00E25A3F">
      <w:pPr>
        <w:pStyle w:val="SCCNormalDoubleSpacing"/>
        <w:spacing w:after="240" w:line="240" w:lineRule="auto"/>
        <w:ind w:left="547" w:hanging="547"/>
        <w:rPr>
          <w:lang w:val="en-US"/>
        </w:rPr>
      </w:pPr>
      <w:r w:rsidRPr="008F5FE1">
        <w:rPr>
          <w:lang w:val="en-US"/>
        </w:rPr>
        <w:t xml:space="preserve">Electronic Frontier Foundation. </w:t>
      </w:r>
      <w:r w:rsidRPr="008F5FE1">
        <w:rPr>
          <w:i/>
          <w:lang w:val="en-US"/>
        </w:rPr>
        <w:t xml:space="preserve">Comments of </w:t>
      </w:r>
      <w:r w:rsidR="00AB14CA">
        <w:rPr>
          <w:i/>
          <w:lang w:val="en-US"/>
        </w:rPr>
        <w:t>Electronic Frontier Foundation b</w:t>
      </w:r>
      <w:r w:rsidRPr="008F5FE1">
        <w:rPr>
          <w:i/>
          <w:lang w:val="en-US"/>
        </w:rPr>
        <w:t>efore the U.S. Copyright Office, Library of Congress, In the Matter of Section 512 Study</w:t>
      </w:r>
      <w:r w:rsidRPr="008F5FE1">
        <w:rPr>
          <w:lang w:val="en-US"/>
        </w:rPr>
        <w:t>, submitted by</w:t>
      </w:r>
      <w:r w:rsidR="00AB14CA">
        <w:rPr>
          <w:lang w:val="en-US"/>
        </w:rPr>
        <w:t xml:space="preserve"> Corynne McSherry and Kit Walsh,</w:t>
      </w:r>
      <w:r w:rsidRPr="008F5FE1">
        <w:rPr>
          <w:lang w:val="en-US"/>
        </w:rPr>
        <w:t xml:space="preserve"> </w:t>
      </w:r>
      <w:r w:rsidR="00AB14CA">
        <w:rPr>
          <w:lang w:val="en-US"/>
        </w:rPr>
        <w:t>April 1, 2016</w:t>
      </w:r>
      <w:r w:rsidRPr="00AB14CA">
        <w:rPr>
          <w:lang w:val="en-US"/>
        </w:rPr>
        <w:t xml:space="preserve"> (en ligne : https://www.eff.org/document/eff-512-study-comments; version archivée : </w:t>
      </w:r>
      <w:hyperlink r:id="rId11" w:history="1">
        <w:r w:rsidRPr="00AB14CA">
          <w:rPr>
            <w:lang w:val="en-US"/>
          </w:rPr>
          <w:t>https://www.scc-csc.ca/cso-dce/2018SCC-CSC38_2_eng.pdf</w:t>
        </w:r>
      </w:hyperlink>
      <w:r w:rsidRPr="00AB14CA">
        <w:rPr>
          <w:lang w:val="en-US"/>
        </w:rPr>
        <w:t xml:space="preserve">). </w:t>
      </w:r>
    </w:p>
    <w:p w:rsidR="00E25A3F" w:rsidRPr="008F5FE1" w:rsidRDefault="00E25A3F" w:rsidP="00E25A3F">
      <w:pPr>
        <w:pStyle w:val="SCCNormalDoubleSpacing"/>
        <w:spacing w:after="240" w:line="240" w:lineRule="auto"/>
        <w:ind w:left="540" w:hanging="540"/>
        <w:rPr>
          <w:lang w:val="en-US"/>
        </w:rPr>
      </w:pPr>
      <w:r w:rsidRPr="008F5FE1">
        <w:rPr>
          <w:i/>
          <w:lang w:val="en-US"/>
        </w:rPr>
        <w:t>Oxford English Dictionary</w:t>
      </w:r>
      <w:r w:rsidRPr="008F5FE1">
        <w:rPr>
          <w:lang w:val="en-US"/>
        </w:rPr>
        <w:t>, 2nd ed., Oxford, Clarendon Press, 1989, « </w:t>
      </w:r>
      <w:r w:rsidRPr="00AB14CA">
        <w:rPr>
          <w:i/>
          <w:lang w:val="en-US"/>
        </w:rPr>
        <w:t>retain</w:t>
      </w:r>
      <w:r w:rsidRPr="008F5FE1">
        <w:rPr>
          <w:lang w:val="en-US"/>
        </w:rPr>
        <w:t> ».</w:t>
      </w:r>
    </w:p>
    <w:p w:rsidR="00E25A3F" w:rsidRPr="008F5FE1" w:rsidRDefault="00E25A3F" w:rsidP="00E25A3F">
      <w:pPr>
        <w:pStyle w:val="SCCNormalDoubleSpacing"/>
        <w:spacing w:after="240" w:line="240" w:lineRule="auto"/>
        <w:ind w:left="547" w:hanging="547"/>
        <w:rPr>
          <w:lang w:val="en-US"/>
        </w:rPr>
      </w:pPr>
      <w:r w:rsidRPr="008F5FE1">
        <w:rPr>
          <w:lang w:val="en-US"/>
        </w:rPr>
        <w:t xml:space="preserve">Seltzer, Wendy. « Free Speech Unmoored in Copyright’s Safe Harbor : Chilling Effects of the DMCA on the First Amendment » (2010), 24 </w:t>
      </w:r>
      <w:r w:rsidRPr="008F5FE1">
        <w:rPr>
          <w:i/>
          <w:lang w:val="en-US"/>
        </w:rPr>
        <w:t>Harv. J.L. &amp; Tech. </w:t>
      </w:r>
      <w:r w:rsidRPr="008F5FE1">
        <w:rPr>
          <w:lang w:val="en-US"/>
        </w:rPr>
        <w:t>171.</w:t>
      </w:r>
    </w:p>
    <w:p w:rsidR="00E25A3F" w:rsidRPr="008F5FE1" w:rsidRDefault="00E25A3F" w:rsidP="00E25A3F">
      <w:pPr>
        <w:pStyle w:val="SCCNormalDoubleSpacing"/>
        <w:spacing w:after="240" w:line="240" w:lineRule="auto"/>
        <w:ind w:left="547" w:hanging="547"/>
        <w:rPr>
          <w:lang w:val="en-US"/>
        </w:rPr>
      </w:pPr>
      <w:r w:rsidRPr="008F5FE1">
        <w:rPr>
          <w:lang w:val="en-US"/>
        </w:rPr>
        <w:t xml:space="preserve">Sullivan, Ruth. </w:t>
      </w:r>
      <w:r w:rsidRPr="008F5FE1">
        <w:rPr>
          <w:i/>
          <w:lang w:val="en-US"/>
        </w:rPr>
        <w:t>Sullivan on the Construction of Statutes</w:t>
      </w:r>
      <w:r w:rsidRPr="008F5FE1">
        <w:rPr>
          <w:lang w:val="en-US"/>
        </w:rPr>
        <w:t>, 6th ed., Markham (Ont.), LexisNexis, 2014.</w:t>
      </w:r>
    </w:p>
    <w:p w:rsidR="00E25A3F" w:rsidRPr="00AB14CA" w:rsidRDefault="00E25A3F" w:rsidP="00E25A3F">
      <w:pPr>
        <w:pStyle w:val="SCCNormalDoubleSpacing"/>
        <w:spacing w:after="720" w:line="240" w:lineRule="auto"/>
        <w:ind w:left="547" w:hanging="547"/>
        <w:rPr>
          <w:lang w:val="en-US"/>
        </w:rPr>
      </w:pPr>
      <w:r w:rsidRPr="008F5FE1">
        <w:rPr>
          <w:lang w:val="en-US"/>
        </w:rPr>
        <w:t xml:space="preserve">Urban, Jennifer M., Joe Karaganis and Brianna L. Schofield. </w:t>
      </w:r>
      <w:r w:rsidRPr="008F5FE1">
        <w:rPr>
          <w:i/>
          <w:lang w:val="en-US"/>
        </w:rPr>
        <w:t>Notice and Takedown in Everyday Practice</w:t>
      </w:r>
      <w:r w:rsidR="00AB14CA">
        <w:rPr>
          <w:lang w:val="en-US"/>
        </w:rPr>
        <w:t>,</w:t>
      </w:r>
      <w:r w:rsidRPr="008F5FE1">
        <w:rPr>
          <w:lang w:val="en-US"/>
        </w:rPr>
        <w:t xml:space="preserve"> </w:t>
      </w:r>
      <w:r w:rsidR="00AB14CA" w:rsidRPr="00AB14CA">
        <w:rPr>
          <w:lang w:val="en-US"/>
        </w:rPr>
        <w:t>March 2017</w:t>
      </w:r>
      <w:r w:rsidRPr="00AB14CA">
        <w:rPr>
          <w:lang w:val="en-US"/>
        </w:rPr>
        <w:t xml:space="preserve"> (en ligne : https://papers.ssrn.com/sol3/papers.cfm?abstract_id=2755628; version archivée : </w:t>
      </w:r>
      <w:hyperlink r:id="rId12" w:history="1">
        <w:r w:rsidRPr="00AB14CA">
          <w:rPr>
            <w:rStyle w:val="Hyperlink"/>
            <w:u w:val="none"/>
            <w:lang w:val="en-US"/>
          </w:rPr>
          <w:t>ht</w:t>
        </w:r>
        <w:r w:rsidRPr="00AB14CA">
          <w:rPr>
            <w:lang w:val="en-US"/>
          </w:rPr>
          <w:t>tps://www.scc-csc.ca/cso-dce/2018SCC-CSC38_3_eng.pdf</w:t>
        </w:r>
      </w:hyperlink>
      <w:r w:rsidRPr="00AB14CA">
        <w:rPr>
          <w:lang w:val="en-US"/>
        </w:rPr>
        <w:t xml:space="preserve">). </w:t>
      </w:r>
    </w:p>
    <w:p w:rsidR="004D7D95" w:rsidRPr="00D411C1" w:rsidRDefault="004D7D95" w:rsidP="002F274E">
      <w:pPr>
        <w:pStyle w:val="SCCNormalDoubleSpacing"/>
        <w:spacing w:before="480" w:after="480"/>
        <w:rPr>
          <w:lang w:val="fr-CA"/>
        </w:rPr>
      </w:pPr>
      <w:r w:rsidRPr="00AB14CA">
        <w:rPr>
          <w:lang w:val="en-US"/>
        </w:rPr>
        <w:tab/>
      </w:r>
      <w:r w:rsidRPr="00E21A6F">
        <w:rPr>
          <w:lang w:val="en-US"/>
        </w:rPr>
        <w:t>POURVOI contre un arrêt de la Cour d</w:t>
      </w:r>
      <w:r w:rsidR="00FB3897" w:rsidRPr="00E21A6F">
        <w:rPr>
          <w:lang w:val="en-US"/>
        </w:rPr>
        <w:t>’</w:t>
      </w:r>
      <w:r w:rsidRPr="00E21A6F">
        <w:rPr>
          <w:lang w:val="en-US"/>
        </w:rPr>
        <w:t>appel fédérale</w:t>
      </w:r>
      <w:r w:rsidR="00A46DA3" w:rsidRPr="00E21A6F">
        <w:rPr>
          <w:lang w:val="en-US"/>
        </w:rPr>
        <w:t xml:space="preserve"> (les juges Stratas, Gleason et Woods), 2017 CAF 97, 146 C.P.R. (4th) 339, 410 D.L.R. (4th) 602, [2017] A.C.F. n</w:t>
      </w:r>
      <w:r w:rsidR="00A46DA3" w:rsidRPr="00E21A6F">
        <w:rPr>
          <w:vertAlign w:val="superscript"/>
          <w:lang w:val="en-US"/>
        </w:rPr>
        <w:t>o</w:t>
      </w:r>
      <w:r w:rsidR="002F274E" w:rsidRPr="00E21A6F">
        <w:rPr>
          <w:lang w:val="en-US"/>
        </w:rPr>
        <w:t> </w:t>
      </w:r>
      <w:r w:rsidR="00A46DA3" w:rsidRPr="00E21A6F">
        <w:rPr>
          <w:lang w:val="en-US"/>
        </w:rPr>
        <w:t xml:space="preserve">477 (QL), 2017 CarswellNat 8731 (WL Can.), </w:t>
      </w:r>
      <w:r w:rsidR="00AC779A" w:rsidRPr="00E21A6F">
        <w:rPr>
          <w:lang w:val="en-US"/>
        </w:rPr>
        <w:t>qui a annulé</w:t>
      </w:r>
      <w:r w:rsidR="003A31E5" w:rsidRPr="00E21A6F">
        <w:rPr>
          <w:lang w:val="en-US"/>
        </w:rPr>
        <w:t xml:space="preserve"> </w:t>
      </w:r>
      <w:r w:rsidR="001C461B" w:rsidRPr="00E21A6F">
        <w:rPr>
          <w:lang w:val="en-US"/>
        </w:rPr>
        <w:t xml:space="preserve">l’ordonnance </w:t>
      </w:r>
      <w:r w:rsidR="00A46DA3" w:rsidRPr="00E21A6F">
        <w:rPr>
          <w:lang w:val="en-US"/>
        </w:rPr>
        <w:t>du juge Boswell, 2016 CF 881, 141 C.P.R. (4th) 136, [2016] A.C.F. n</w:t>
      </w:r>
      <w:r w:rsidR="00A46DA3" w:rsidRPr="00E21A6F">
        <w:rPr>
          <w:vertAlign w:val="superscript"/>
          <w:lang w:val="en-US"/>
        </w:rPr>
        <w:t>o</w:t>
      </w:r>
      <w:r w:rsidR="002F274E" w:rsidRPr="00E21A6F">
        <w:rPr>
          <w:lang w:val="en-US"/>
        </w:rPr>
        <w:t> </w:t>
      </w:r>
      <w:r w:rsidR="00A46DA3" w:rsidRPr="00E21A6F">
        <w:rPr>
          <w:lang w:val="en-US"/>
        </w:rPr>
        <w:t xml:space="preserve">901 (QL), 2016 CarswellNat 8156 (WL Can.). </w:t>
      </w:r>
      <w:r w:rsidR="00A46DA3" w:rsidRPr="00D411C1">
        <w:rPr>
          <w:lang w:val="fr-CA"/>
        </w:rPr>
        <w:t xml:space="preserve">Pourvoi </w:t>
      </w:r>
      <w:r w:rsidR="00E70396" w:rsidRPr="00D411C1">
        <w:rPr>
          <w:lang w:val="fr-CA"/>
        </w:rPr>
        <w:t>accueilli</w:t>
      </w:r>
      <w:r w:rsidR="002045E5" w:rsidRPr="00D411C1">
        <w:rPr>
          <w:lang w:val="fr-CA"/>
        </w:rPr>
        <w:t>.</w:t>
      </w:r>
    </w:p>
    <w:p w:rsidR="00B04886" w:rsidRPr="00D411C1" w:rsidRDefault="001000A9" w:rsidP="002F274E">
      <w:pPr>
        <w:pStyle w:val="SCCNormalDoubleSpacing"/>
        <w:spacing w:before="480" w:after="480"/>
        <w:rPr>
          <w:lang w:val="fr-CA"/>
        </w:rPr>
      </w:pPr>
      <w:r w:rsidRPr="00D411C1">
        <w:rPr>
          <w:rStyle w:val="SCCCounselNameChar"/>
          <w:lang w:val="fr-CA"/>
        </w:rPr>
        <w:tab/>
        <w:t>Andrew Bernstein</w:t>
      </w:r>
      <w:r w:rsidRPr="00D411C1">
        <w:rPr>
          <w:rStyle w:val="SCCCounselSeparatorChar"/>
          <w:lang w:val="fr-CA"/>
        </w:rPr>
        <w:t xml:space="preserve">, </w:t>
      </w:r>
      <w:r w:rsidRPr="00D411C1">
        <w:rPr>
          <w:rStyle w:val="SCCCounselNameChar"/>
          <w:lang w:val="fr-CA"/>
        </w:rPr>
        <w:t>James Gotowiec</w:t>
      </w:r>
      <w:r w:rsidRPr="00D411C1">
        <w:rPr>
          <w:rStyle w:val="SCCCounselSeparatorChar"/>
          <w:lang w:val="fr-CA"/>
        </w:rPr>
        <w:t xml:space="preserve"> et </w:t>
      </w:r>
      <w:r w:rsidRPr="00D411C1">
        <w:rPr>
          <w:rStyle w:val="SCCCounselNameChar"/>
          <w:lang w:val="fr-CA"/>
        </w:rPr>
        <w:t>Nic Wall</w:t>
      </w:r>
      <w:r w:rsidRPr="00D411C1">
        <w:rPr>
          <w:rStyle w:val="SCCCounselPartyRoleChar"/>
          <w:lang w:val="fr-CA"/>
        </w:rPr>
        <w:t>, pour l</w:t>
      </w:r>
      <w:r w:rsidR="00FB3897" w:rsidRPr="00D411C1">
        <w:rPr>
          <w:rStyle w:val="SCCCounselPartyRoleChar"/>
          <w:lang w:val="fr-CA"/>
        </w:rPr>
        <w:t>’</w:t>
      </w:r>
      <w:r w:rsidRPr="00D411C1">
        <w:rPr>
          <w:rStyle w:val="SCCCounselPartyRoleChar"/>
          <w:lang w:val="fr-CA"/>
        </w:rPr>
        <w:t>appelante.</w:t>
      </w:r>
    </w:p>
    <w:p w:rsidR="00B04886" w:rsidRPr="00D411C1" w:rsidRDefault="001000A9" w:rsidP="002F274E">
      <w:pPr>
        <w:pStyle w:val="SCCNormalDoubleSpacing"/>
        <w:spacing w:before="480" w:after="480"/>
        <w:rPr>
          <w:lang w:val="fr-CA"/>
        </w:rPr>
      </w:pPr>
      <w:r w:rsidRPr="00D411C1">
        <w:rPr>
          <w:rStyle w:val="SCCCounselNameChar"/>
          <w:lang w:val="fr-CA"/>
        </w:rPr>
        <w:tab/>
        <w:t>Kenneth Clark</w:t>
      </w:r>
      <w:r w:rsidRPr="00D411C1">
        <w:rPr>
          <w:rStyle w:val="SCCCounselSeparatorChar"/>
          <w:lang w:val="fr-CA"/>
        </w:rPr>
        <w:t xml:space="preserve">, </w:t>
      </w:r>
      <w:r w:rsidR="003A31E5" w:rsidRPr="00D411C1">
        <w:rPr>
          <w:rStyle w:val="SCCCounselNameChar"/>
          <w:lang w:val="fr-CA"/>
        </w:rPr>
        <w:t xml:space="preserve">Patrick Copeland </w:t>
      </w:r>
      <w:r w:rsidR="003A31E5" w:rsidRPr="00D411C1">
        <w:rPr>
          <w:rStyle w:val="SCCCounselNameChar"/>
          <w:i w:val="0"/>
          <w:lang w:val="fr-CA"/>
        </w:rPr>
        <w:t>et</w:t>
      </w:r>
      <w:r w:rsidR="003A31E5" w:rsidRPr="00D411C1">
        <w:rPr>
          <w:rStyle w:val="SCCCounselNameChar"/>
          <w:lang w:val="fr-CA"/>
        </w:rPr>
        <w:t xml:space="preserve"> </w:t>
      </w:r>
      <w:r w:rsidRPr="00D411C1">
        <w:rPr>
          <w:rStyle w:val="SCCCounselNameChar"/>
          <w:lang w:val="fr-CA"/>
        </w:rPr>
        <w:t>Paul McCallen</w:t>
      </w:r>
      <w:r w:rsidRPr="00D411C1">
        <w:rPr>
          <w:rStyle w:val="SCCCounselPartyRoleChar"/>
          <w:lang w:val="fr-CA"/>
        </w:rPr>
        <w:t>, pour l</w:t>
      </w:r>
      <w:r w:rsidR="0093435E" w:rsidRPr="00D411C1">
        <w:rPr>
          <w:rStyle w:val="SCCCounselPartyRoleChar"/>
          <w:lang w:val="fr-CA"/>
        </w:rPr>
        <w:t>es intimé</w:t>
      </w:r>
      <w:r w:rsidRPr="00D411C1">
        <w:rPr>
          <w:rStyle w:val="SCCCounselPartyRoleChar"/>
          <w:lang w:val="fr-CA"/>
        </w:rPr>
        <w:t>e</w:t>
      </w:r>
      <w:r w:rsidR="0093435E" w:rsidRPr="00D411C1">
        <w:rPr>
          <w:rStyle w:val="SCCCounselPartyRoleChar"/>
          <w:lang w:val="fr-CA"/>
        </w:rPr>
        <w:t>s</w:t>
      </w:r>
      <w:r w:rsidRPr="00D411C1">
        <w:rPr>
          <w:rStyle w:val="SCCCounselPartyRoleChar"/>
          <w:lang w:val="fr-CA"/>
        </w:rPr>
        <w:t>.</w:t>
      </w:r>
    </w:p>
    <w:p w:rsidR="00B04886" w:rsidRPr="00D411C1" w:rsidRDefault="001000A9" w:rsidP="002F274E">
      <w:pPr>
        <w:pStyle w:val="SCCNormalDoubleSpacing"/>
        <w:spacing w:before="480" w:after="480"/>
        <w:rPr>
          <w:lang w:val="fr-CA"/>
        </w:rPr>
      </w:pPr>
      <w:r w:rsidRPr="00D411C1">
        <w:rPr>
          <w:rStyle w:val="SCCCounselNameChar"/>
          <w:lang w:val="fr-CA"/>
        </w:rPr>
        <w:lastRenderedPageBreak/>
        <w:tab/>
        <w:t>Jeremy de Beer</w:t>
      </w:r>
      <w:r w:rsidRPr="00D411C1">
        <w:rPr>
          <w:rStyle w:val="SCCCounselSeparatorChar"/>
          <w:lang w:val="fr-CA"/>
        </w:rPr>
        <w:t xml:space="preserve"> et </w:t>
      </w:r>
      <w:r w:rsidRPr="00D411C1">
        <w:rPr>
          <w:rStyle w:val="SCCCounselNameChar"/>
          <w:lang w:val="fr-CA"/>
        </w:rPr>
        <w:t>Bram Abramson</w:t>
      </w:r>
      <w:r w:rsidRPr="00D411C1">
        <w:rPr>
          <w:rStyle w:val="SCCCounselPartyRoleChar"/>
          <w:lang w:val="fr-CA"/>
        </w:rPr>
        <w:t>, pour l</w:t>
      </w:r>
      <w:r w:rsidR="00FB3897" w:rsidRPr="00D411C1">
        <w:rPr>
          <w:rStyle w:val="SCCCounselPartyRoleChar"/>
          <w:lang w:val="fr-CA"/>
        </w:rPr>
        <w:t>’</w:t>
      </w:r>
      <w:r w:rsidRPr="00D411C1">
        <w:rPr>
          <w:rStyle w:val="SCCCounselPartyRoleChar"/>
          <w:lang w:val="fr-CA"/>
        </w:rPr>
        <w:t>intervenante</w:t>
      </w:r>
      <w:r w:rsidR="0093435E" w:rsidRPr="00D411C1">
        <w:rPr>
          <w:rStyle w:val="SCCCounselPartyRoleChar"/>
          <w:lang w:val="fr-CA"/>
        </w:rPr>
        <w:t xml:space="preserve"> la</w:t>
      </w:r>
      <w:r w:rsidRPr="00D411C1">
        <w:rPr>
          <w:rStyle w:val="SCCCounselPartyRoleChar"/>
          <w:lang w:val="fr-CA"/>
        </w:rPr>
        <w:t xml:space="preserve"> Clin</w:t>
      </w:r>
      <w:r w:rsidR="005553B8" w:rsidRPr="00D411C1">
        <w:rPr>
          <w:rStyle w:val="SCCCounselPartyRoleChar"/>
          <w:lang w:val="fr-CA"/>
        </w:rPr>
        <w:t>i</w:t>
      </w:r>
      <w:r w:rsidRPr="00D411C1">
        <w:rPr>
          <w:rStyle w:val="SCCCounselPartyRoleChar"/>
          <w:lang w:val="fr-CA"/>
        </w:rPr>
        <w:t>que d</w:t>
      </w:r>
      <w:r w:rsidR="00FB3897" w:rsidRPr="00D411C1">
        <w:rPr>
          <w:rStyle w:val="SCCCounselPartyRoleChar"/>
          <w:lang w:val="fr-CA"/>
        </w:rPr>
        <w:t>’</w:t>
      </w:r>
      <w:r w:rsidRPr="00D411C1">
        <w:rPr>
          <w:rStyle w:val="SCCCounselPartyRoleChar"/>
          <w:lang w:val="fr-CA"/>
        </w:rPr>
        <w:t>intérêt public et de politique d</w:t>
      </w:r>
      <w:r w:rsidR="00FB3897" w:rsidRPr="00D411C1">
        <w:rPr>
          <w:rStyle w:val="SCCCounselPartyRoleChar"/>
          <w:lang w:val="fr-CA"/>
        </w:rPr>
        <w:t>’</w:t>
      </w:r>
      <w:r w:rsidRPr="00D411C1">
        <w:rPr>
          <w:rStyle w:val="SCCCounselPartyRoleChar"/>
          <w:lang w:val="fr-CA"/>
        </w:rPr>
        <w:t>internet du Canada Samuelson</w:t>
      </w:r>
      <w:r w:rsidR="00CE4B13" w:rsidRPr="00D411C1">
        <w:rPr>
          <w:rStyle w:val="SCCCounselPartyRoleChar"/>
          <w:lang w:val="fr-CA"/>
        </w:rPr>
        <w:noBreakHyphen/>
      </w:r>
      <w:r w:rsidRPr="00D411C1">
        <w:rPr>
          <w:rStyle w:val="SCCCounselPartyRoleChar"/>
          <w:lang w:val="fr-CA"/>
        </w:rPr>
        <w:t>Glushko.</w:t>
      </w:r>
    </w:p>
    <w:p w:rsidR="00B04886" w:rsidRDefault="001000A9" w:rsidP="002F274E">
      <w:pPr>
        <w:pStyle w:val="SCCNormalDoubleSpacing"/>
        <w:spacing w:before="480" w:after="480"/>
        <w:rPr>
          <w:rStyle w:val="SCCCounselPartyRoleChar"/>
          <w:lang w:val="fr-CA"/>
        </w:rPr>
      </w:pPr>
      <w:r w:rsidRPr="00D411C1">
        <w:rPr>
          <w:rStyle w:val="SCCCounselNameChar"/>
          <w:lang w:val="fr-CA"/>
        </w:rPr>
        <w:tab/>
        <w:t>Gerald Kerr</w:t>
      </w:r>
      <w:r w:rsidR="00CE4B13" w:rsidRPr="00D411C1">
        <w:rPr>
          <w:rStyle w:val="SCCCounselNameChar"/>
          <w:lang w:val="fr-CA"/>
        </w:rPr>
        <w:noBreakHyphen/>
      </w:r>
      <w:r w:rsidRPr="00D411C1">
        <w:rPr>
          <w:rStyle w:val="SCCCounselNameChar"/>
          <w:lang w:val="fr-CA"/>
        </w:rPr>
        <w:t>Wilson</w:t>
      </w:r>
      <w:r w:rsidRPr="00D411C1">
        <w:rPr>
          <w:rStyle w:val="SCCCounselSeparatorChar"/>
          <w:lang w:val="fr-CA"/>
        </w:rPr>
        <w:t xml:space="preserve">, </w:t>
      </w:r>
      <w:r w:rsidRPr="00D411C1">
        <w:rPr>
          <w:rStyle w:val="SCCCounselNameChar"/>
          <w:lang w:val="fr-CA"/>
        </w:rPr>
        <w:t>Ariel Thomas</w:t>
      </w:r>
      <w:r w:rsidRPr="00D411C1">
        <w:rPr>
          <w:rStyle w:val="SCCCounselSeparatorChar"/>
          <w:lang w:val="fr-CA"/>
        </w:rPr>
        <w:t xml:space="preserve"> et </w:t>
      </w:r>
      <w:r w:rsidRPr="00D411C1">
        <w:rPr>
          <w:rStyle w:val="SCCCounselNameChar"/>
          <w:lang w:val="fr-CA"/>
        </w:rPr>
        <w:t>Christopher Ferguson</w:t>
      </w:r>
      <w:r w:rsidRPr="00D411C1">
        <w:rPr>
          <w:rStyle w:val="SCCCounselPartyRoleChar"/>
          <w:lang w:val="fr-CA"/>
        </w:rPr>
        <w:t>, pour l</w:t>
      </w:r>
      <w:r w:rsidR="0093435E" w:rsidRPr="00D411C1">
        <w:rPr>
          <w:rStyle w:val="SCCCounselPartyRoleChar"/>
          <w:lang w:val="fr-CA"/>
        </w:rPr>
        <w:t xml:space="preserve">es </w:t>
      </w:r>
      <w:r w:rsidRPr="00D411C1">
        <w:rPr>
          <w:rStyle w:val="SCCCounselPartyRoleChar"/>
          <w:lang w:val="fr-CA"/>
        </w:rPr>
        <w:t>intervenante</w:t>
      </w:r>
      <w:r w:rsidR="0093435E" w:rsidRPr="00D411C1">
        <w:rPr>
          <w:rStyle w:val="SCCCounselPartyRoleChar"/>
          <w:lang w:val="fr-CA"/>
        </w:rPr>
        <w:t>s</w:t>
      </w:r>
      <w:r w:rsidRPr="00D411C1">
        <w:rPr>
          <w:rStyle w:val="SCCCounselPartyRoleChar"/>
          <w:lang w:val="fr-CA"/>
        </w:rPr>
        <w:t xml:space="preserve"> Bell Canada Inc., Consortium des Op</w:t>
      </w:r>
      <w:r w:rsidR="00FF6C16" w:rsidRPr="00D411C1">
        <w:rPr>
          <w:rStyle w:val="SCCCounselPartyRoleChar"/>
          <w:lang w:val="fr-CA"/>
        </w:rPr>
        <w:t>é</w:t>
      </w:r>
      <w:r w:rsidRPr="00D411C1">
        <w:rPr>
          <w:rStyle w:val="SCCCounselPartyRoleChar"/>
          <w:lang w:val="fr-CA"/>
        </w:rPr>
        <w:t>rateurs de Réseaux Canadien</w:t>
      </w:r>
      <w:r w:rsidR="0093435E" w:rsidRPr="00D411C1">
        <w:rPr>
          <w:rStyle w:val="SCCCounselPartyRoleChar"/>
          <w:lang w:val="fr-CA"/>
        </w:rPr>
        <w:t>s Inc., Cogeco Inc., Québecor Média Inc., Saskatchewan Telecommunications Holding Corporation, Shaw Communications Inc., TekSavvy Solutions Inc., TELUS Communications Inc. et Xplornet Communications Inc.</w:t>
      </w:r>
    </w:p>
    <w:p w:rsidR="00E8197E" w:rsidRDefault="004B362E" w:rsidP="004B362E">
      <w:pPr>
        <w:pStyle w:val="SCCNormalDoubleSpacing"/>
        <w:spacing w:before="480" w:after="480"/>
        <w:rPr>
          <w:lang w:val="fr-CA"/>
        </w:rPr>
      </w:pPr>
      <w:r>
        <w:rPr>
          <w:lang w:val="fr-CA"/>
        </w:rPr>
        <w:tab/>
      </w:r>
      <w:r w:rsidR="00E8197E" w:rsidRPr="002E7820">
        <w:rPr>
          <w:lang w:val="fr-CA"/>
        </w:rPr>
        <w:t xml:space="preserve">Version française </w:t>
      </w:r>
      <w:r w:rsidR="00E8197E">
        <w:rPr>
          <w:lang w:val="fr-CA"/>
        </w:rPr>
        <w:t>du jugement du juge en chef Wagner et des</w:t>
      </w:r>
      <w:r w:rsidR="00E8197E" w:rsidRPr="00EA53E1">
        <w:rPr>
          <w:lang w:val="fr-CA"/>
        </w:rPr>
        <w:t xml:space="preserve"> juges </w:t>
      </w:r>
      <w:r w:rsidR="00E8197E">
        <w:rPr>
          <w:lang w:val="fr-CA"/>
        </w:rPr>
        <w:t xml:space="preserve">Abella, Moldaver, Karakatsanis, Gascon, Brown, Rowe et Martin </w:t>
      </w:r>
      <w:r w:rsidR="00E8197E" w:rsidRPr="00EA53E1">
        <w:rPr>
          <w:lang w:val="fr-CA"/>
        </w:rPr>
        <w:t xml:space="preserve">rendu par </w:t>
      </w:r>
    </w:p>
    <w:p w:rsidR="00E8197E" w:rsidRPr="006055D3" w:rsidRDefault="00E8197E" w:rsidP="00E8197E">
      <w:pPr>
        <w:pStyle w:val="JudgeJuge"/>
        <w:spacing w:before="480"/>
        <w:rPr>
          <w:lang w:val="fr-CA"/>
        </w:rPr>
      </w:pPr>
      <w:r w:rsidRPr="006055D3">
        <w:rPr>
          <w:lang w:val="fr-CA"/>
        </w:rPr>
        <w:tab/>
        <w:t xml:space="preserve">Le juge Brown — </w:t>
      </w:r>
    </w:p>
    <w:p w:rsidR="00E8197E" w:rsidRPr="006055D3" w:rsidRDefault="00E8197E" w:rsidP="00E8197E">
      <w:pPr>
        <w:pStyle w:val="Title1LevelTitre1Niveau-AltL"/>
        <w:spacing w:before="0"/>
        <w:rPr>
          <w:rFonts w:cs="Times New Roman"/>
          <w:lang w:val="fr-CA"/>
        </w:rPr>
      </w:pPr>
      <w:r w:rsidRPr="006055D3">
        <w:rPr>
          <w:rFonts w:cs="Times New Roman"/>
          <w:lang w:val="fr-CA"/>
        </w:rPr>
        <w:t>Introduction</w:t>
      </w:r>
    </w:p>
    <w:p w:rsidR="00E8197E" w:rsidRPr="006055D3" w:rsidRDefault="00E8197E" w:rsidP="00E8197E">
      <w:pPr>
        <w:pStyle w:val="ParaNoNdepar-AltN"/>
        <w:rPr>
          <w:rFonts w:cs="Times New Roman"/>
          <w:lang w:val="fr-CA"/>
        </w:rPr>
      </w:pPr>
      <w:r w:rsidRPr="006055D3">
        <w:rPr>
          <w:rFonts w:cs="Times New Roman"/>
          <w:lang w:val="fr-CA"/>
        </w:rPr>
        <w:t>La violation en ligne du droit d</w:t>
      </w:r>
      <w:r>
        <w:rPr>
          <w:rFonts w:cs="Times New Roman"/>
          <w:lang w:val="fr-CA"/>
        </w:rPr>
        <w:t>’</w:t>
      </w:r>
      <w:r w:rsidRPr="006055D3">
        <w:rPr>
          <w:rFonts w:cs="Times New Roman"/>
          <w:lang w:val="fr-CA"/>
        </w:rPr>
        <w:t>auteur est devenue monnaie courante. À l</w:t>
      </w:r>
      <w:r>
        <w:rPr>
          <w:rFonts w:cs="Times New Roman"/>
          <w:lang w:val="fr-CA"/>
        </w:rPr>
        <w:t>’</w:t>
      </w:r>
      <w:r w:rsidRPr="006055D3">
        <w:rPr>
          <w:rFonts w:cs="Times New Roman"/>
          <w:lang w:val="fr-CA"/>
        </w:rPr>
        <w:t>aide de réseaux de partage de fichiers poste à poste, les abonnés à Internet peuvent télécharger du contenu protégé par le droit d</w:t>
      </w:r>
      <w:r>
        <w:rPr>
          <w:rFonts w:cs="Times New Roman"/>
          <w:lang w:val="fr-CA"/>
        </w:rPr>
        <w:t>’</w:t>
      </w:r>
      <w:r w:rsidRPr="006055D3">
        <w:rPr>
          <w:rFonts w:cs="Times New Roman"/>
          <w:lang w:val="fr-CA"/>
        </w:rPr>
        <w:t>auteur, comme des films et de la musique, tout en téléversant simultanément ce contenu en vue du téléchargement par d</w:t>
      </w:r>
      <w:r>
        <w:rPr>
          <w:rFonts w:cs="Times New Roman"/>
          <w:lang w:val="fr-CA"/>
        </w:rPr>
        <w:t>’</w:t>
      </w:r>
      <w:r w:rsidRPr="006055D3">
        <w:rPr>
          <w:rFonts w:cs="Times New Roman"/>
          <w:lang w:val="fr-CA"/>
        </w:rPr>
        <w:t>autres personnes, qui peuvent ainsi faire de même. Grâce à ces téléchargements et téléversements simultanés, les réseaux poste à poste facilitent le partage rapide du contenu protégé par le droit d</w:t>
      </w:r>
      <w:r>
        <w:rPr>
          <w:rFonts w:cs="Times New Roman"/>
          <w:lang w:val="fr-CA"/>
        </w:rPr>
        <w:t>’</w:t>
      </w:r>
      <w:r w:rsidRPr="006055D3">
        <w:rPr>
          <w:rFonts w:cs="Times New Roman"/>
          <w:lang w:val="fr-CA"/>
        </w:rPr>
        <w:t>auteur avec de multiples abonnés à Internet en même temps. En outre, en raison de l</w:t>
      </w:r>
      <w:r>
        <w:rPr>
          <w:rFonts w:cs="Times New Roman"/>
          <w:lang w:val="fr-CA"/>
        </w:rPr>
        <w:t>’</w:t>
      </w:r>
      <w:r w:rsidRPr="006055D3">
        <w:rPr>
          <w:rFonts w:cs="Times New Roman"/>
          <w:lang w:val="fr-CA"/>
        </w:rPr>
        <w:t>anonymat d</w:t>
      </w:r>
      <w:r>
        <w:rPr>
          <w:rFonts w:cs="Times New Roman"/>
          <w:lang w:val="fr-CA"/>
        </w:rPr>
        <w:t>’</w:t>
      </w:r>
      <w:r w:rsidRPr="006055D3">
        <w:rPr>
          <w:rFonts w:cs="Times New Roman"/>
          <w:lang w:val="fr-CA"/>
        </w:rPr>
        <w:t>Internet, les titulaires de droits d</w:t>
      </w:r>
      <w:r>
        <w:rPr>
          <w:rFonts w:cs="Times New Roman"/>
          <w:lang w:val="fr-CA"/>
        </w:rPr>
        <w:t>’</w:t>
      </w:r>
      <w:r w:rsidRPr="006055D3">
        <w:rPr>
          <w:rFonts w:cs="Times New Roman"/>
          <w:lang w:val="fr-CA"/>
        </w:rPr>
        <w:t>auteur n</w:t>
      </w:r>
      <w:r>
        <w:rPr>
          <w:rFonts w:cs="Times New Roman"/>
          <w:lang w:val="fr-CA"/>
        </w:rPr>
        <w:t>’</w:t>
      </w:r>
      <w:r w:rsidRPr="006055D3">
        <w:rPr>
          <w:rFonts w:cs="Times New Roman"/>
          <w:lang w:val="fr-CA"/>
        </w:rPr>
        <w:t>ont pas accès à l</w:t>
      </w:r>
      <w:r>
        <w:rPr>
          <w:rFonts w:cs="Times New Roman"/>
          <w:lang w:val="fr-CA"/>
        </w:rPr>
        <w:t>’</w:t>
      </w:r>
      <w:r w:rsidRPr="006055D3">
        <w:rPr>
          <w:rFonts w:cs="Times New Roman"/>
          <w:lang w:val="fr-CA"/>
        </w:rPr>
        <w:t xml:space="preserve">identité des abonnés qui participent à ce partage illégal de contenu protégé. </w:t>
      </w:r>
    </w:p>
    <w:p w:rsidR="00E8197E" w:rsidRPr="006055D3" w:rsidRDefault="00E8197E" w:rsidP="00E8197E">
      <w:pPr>
        <w:pStyle w:val="ParaNoNdepar-AltN"/>
        <w:rPr>
          <w:rFonts w:cs="Times New Roman"/>
          <w:lang w:val="fr-CA"/>
        </w:rPr>
      </w:pPr>
      <w:r w:rsidRPr="006055D3">
        <w:rPr>
          <w:rFonts w:cs="Times New Roman"/>
          <w:lang w:val="fr-CA"/>
        </w:rPr>
        <w:lastRenderedPageBreak/>
        <w:t>En 2009, le gouvernement du Canada a lancé une consultation sur la modernisation du droit d</w:t>
      </w:r>
      <w:r>
        <w:rPr>
          <w:rFonts w:cs="Times New Roman"/>
          <w:lang w:val="fr-CA"/>
        </w:rPr>
        <w:t>’</w:t>
      </w:r>
      <w:r w:rsidRPr="006055D3">
        <w:rPr>
          <w:rFonts w:cs="Times New Roman"/>
          <w:lang w:val="fr-CA"/>
        </w:rPr>
        <w:t>auteur dans le but de prendre des mesures contre la violation en ligne de ce droit. Il a entendu à la fois les titulaires de droits d</w:t>
      </w:r>
      <w:r>
        <w:rPr>
          <w:rFonts w:cs="Times New Roman"/>
          <w:lang w:val="fr-CA"/>
        </w:rPr>
        <w:t>’</w:t>
      </w:r>
      <w:r w:rsidRPr="006055D3">
        <w:rPr>
          <w:rFonts w:cs="Times New Roman"/>
          <w:lang w:val="fr-CA"/>
        </w:rPr>
        <w:t>auteur qui exigeaient qu</w:t>
      </w:r>
      <w:r>
        <w:rPr>
          <w:rFonts w:cs="Times New Roman"/>
          <w:lang w:val="fr-CA"/>
        </w:rPr>
        <w:t>’</w:t>
      </w:r>
      <w:r w:rsidRPr="006055D3">
        <w:rPr>
          <w:rFonts w:cs="Times New Roman"/>
          <w:lang w:val="fr-CA"/>
        </w:rPr>
        <w:t>un moyen de décourager la violation en ligne de leurs droits soit mis en place, et les consommateurs qui demandaient de pouvoir disposer d</w:t>
      </w:r>
      <w:r>
        <w:rPr>
          <w:rFonts w:cs="Times New Roman"/>
          <w:lang w:val="fr-CA"/>
        </w:rPr>
        <w:t>’</w:t>
      </w:r>
      <w:r w:rsidRPr="006055D3">
        <w:rPr>
          <w:rFonts w:cs="Times New Roman"/>
          <w:lang w:val="fr-CA"/>
        </w:rPr>
        <w:t>une mesure pour savoir si eux</w:t>
      </w:r>
      <w:r w:rsidRPr="006055D3">
        <w:rPr>
          <w:rFonts w:cs="Times New Roman"/>
          <w:lang w:val="fr-CA"/>
        </w:rPr>
        <w:noBreakHyphen/>
        <w:t>mêmes, ou quelqu</w:t>
      </w:r>
      <w:r>
        <w:rPr>
          <w:rFonts w:cs="Times New Roman"/>
          <w:lang w:val="fr-CA"/>
        </w:rPr>
        <w:t>’</w:t>
      </w:r>
      <w:r w:rsidRPr="006055D3">
        <w:rPr>
          <w:rFonts w:cs="Times New Roman"/>
          <w:lang w:val="fr-CA"/>
        </w:rPr>
        <w:t>un utilisant leur adresse de protocole Internet (« IP »), violent le droit d</w:t>
      </w:r>
      <w:r>
        <w:rPr>
          <w:rFonts w:cs="Times New Roman"/>
          <w:lang w:val="fr-CA"/>
        </w:rPr>
        <w:t>’</w:t>
      </w:r>
      <w:r w:rsidRPr="006055D3">
        <w:rPr>
          <w:rFonts w:cs="Times New Roman"/>
          <w:lang w:val="fr-CA"/>
        </w:rPr>
        <w:t xml:space="preserve">auteur. </w:t>
      </w:r>
    </w:p>
    <w:p w:rsidR="00E8197E" w:rsidRPr="006055D3" w:rsidRDefault="00E8197E" w:rsidP="00E8197E">
      <w:pPr>
        <w:pStyle w:val="ParaNoNdepar-AltN"/>
        <w:rPr>
          <w:rFonts w:cs="Times New Roman"/>
          <w:lang w:val="fr-CA"/>
        </w:rPr>
      </w:pPr>
      <w:r w:rsidRPr="006055D3">
        <w:rPr>
          <w:rFonts w:cs="Times New Roman"/>
          <w:lang w:val="fr-CA"/>
        </w:rPr>
        <w:t>Le Parlement a répondu à ces deux préoccupations en adoptant le régime d</w:t>
      </w:r>
      <w:r>
        <w:rPr>
          <w:rFonts w:cs="Times New Roman"/>
          <w:lang w:val="fr-CA"/>
        </w:rPr>
        <w:t>’</w:t>
      </w:r>
      <w:r w:rsidRPr="006055D3">
        <w:rPr>
          <w:rFonts w:cs="Times New Roman"/>
          <w:lang w:val="fr-CA"/>
        </w:rPr>
        <w:t xml:space="preserve">« avis et avis » qui se retrouve aux art. 41.25 et 41.26 de la </w:t>
      </w:r>
      <w:r w:rsidRPr="006055D3">
        <w:rPr>
          <w:rFonts w:cs="Times New Roman"/>
          <w:i/>
          <w:lang w:val="fr-CA"/>
        </w:rPr>
        <w:t>Loi sur le droit d</w:t>
      </w:r>
      <w:r>
        <w:rPr>
          <w:rFonts w:cs="Times New Roman"/>
          <w:i/>
          <w:lang w:val="fr-CA"/>
        </w:rPr>
        <w:t>’</w:t>
      </w:r>
      <w:r w:rsidRPr="006055D3">
        <w:rPr>
          <w:rFonts w:cs="Times New Roman"/>
          <w:i/>
          <w:lang w:val="fr-CA"/>
        </w:rPr>
        <w:t>auteur</w:t>
      </w:r>
      <w:r w:rsidRPr="006055D3">
        <w:rPr>
          <w:rFonts w:cs="Times New Roman"/>
          <w:lang w:val="fr-CA"/>
        </w:rPr>
        <w:t>, L.R.C. 1985, c. C</w:t>
      </w:r>
      <w:r w:rsidRPr="006055D3">
        <w:rPr>
          <w:rFonts w:cs="Times New Roman"/>
          <w:lang w:val="fr-CA"/>
        </w:rPr>
        <w:noBreakHyphen/>
        <w:t>42, qui est entré en vigueur le 2 janvier 2015. Maintenant, lorsque le titulaire du droit d</w:t>
      </w:r>
      <w:r>
        <w:rPr>
          <w:rFonts w:cs="Times New Roman"/>
          <w:lang w:val="fr-CA"/>
        </w:rPr>
        <w:t>’</w:t>
      </w:r>
      <w:r w:rsidRPr="006055D3">
        <w:rPr>
          <w:rFonts w:cs="Times New Roman"/>
          <w:lang w:val="fr-CA"/>
        </w:rPr>
        <w:t>auteur donne un avis à un fournisseur de services Internet (« FSI ») dans lequel il affirme qu</w:t>
      </w:r>
      <w:r>
        <w:rPr>
          <w:rFonts w:cs="Times New Roman"/>
          <w:lang w:val="fr-CA"/>
        </w:rPr>
        <w:t>’</w:t>
      </w:r>
      <w:r w:rsidRPr="006055D3">
        <w:rPr>
          <w:rFonts w:cs="Times New Roman"/>
          <w:lang w:val="fr-CA"/>
        </w:rPr>
        <w:t>une personne à une certaine adresse IP a violé son droit d</w:t>
      </w:r>
      <w:r>
        <w:rPr>
          <w:rFonts w:cs="Times New Roman"/>
          <w:lang w:val="fr-CA"/>
        </w:rPr>
        <w:t>’</w:t>
      </w:r>
      <w:r w:rsidRPr="006055D3">
        <w:rPr>
          <w:rFonts w:cs="Times New Roman"/>
          <w:lang w:val="fr-CA"/>
        </w:rPr>
        <w:t>auteur, le FSI doit transmettre cet avis de prétendue violation à la personne à qui appartient l</w:t>
      </w:r>
      <w:r>
        <w:rPr>
          <w:rFonts w:cs="Times New Roman"/>
          <w:lang w:val="fr-CA"/>
        </w:rPr>
        <w:t>’</w:t>
      </w:r>
      <w:r w:rsidRPr="006055D3">
        <w:rPr>
          <w:rFonts w:cs="Times New Roman"/>
          <w:lang w:val="fr-CA"/>
        </w:rPr>
        <w:t>adresse IP (soit « l</w:t>
      </w:r>
      <w:r>
        <w:rPr>
          <w:rFonts w:cs="Times New Roman"/>
          <w:lang w:val="fr-CA"/>
        </w:rPr>
        <w:t>’</w:t>
      </w:r>
      <w:r w:rsidRPr="006055D3">
        <w:rPr>
          <w:rFonts w:cs="Times New Roman"/>
          <w:lang w:val="fr-CA"/>
        </w:rPr>
        <w:t>emplacement électronique identifié par les données de localisation qui sont précisées dans l</w:t>
      </w:r>
      <w:r>
        <w:rPr>
          <w:rFonts w:cs="Times New Roman"/>
          <w:lang w:val="fr-CA"/>
        </w:rPr>
        <w:t>’</w:t>
      </w:r>
      <w:r w:rsidRPr="006055D3">
        <w:rPr>
          <w:rFonts w:cs="Times New Roman"/>
          <w:lang w:val="fr-CA"/>
        </w:rPr>
        <w:t>avis » (al. 41.26(1)a)). Même si ce régime vise à décourager la violation continue en ligne du droit d</w:t>
      </w:r>
      <w:r>
        <w:rPr>
          <w:rFonts w:cs="Times New Roman"/>
          <w:lang w:val="fr-CA"/>
        </w:rPr>
        <w:t>’</w:t>
      </w:r>
      <w:r w:rsidRPr="006055D3">
        <w:rPr>
          <w:rFonts w:cs="Times New Roman"/>
          <w:lang w:val="fr-CA"/>
        </w:rPr>
        <w:t>auteur, il ne va pas plus loin. En particulier, il n</w:t>
      </w:r>
      <w:r>
        <w:rPr>
          <w:rFonts w:cs="Times New Roman"/>
          <w:lang w:val="fr-CA"/>
        </w:rPr>
        <w:t>’</w:t>
      </w:r>
      <w:r w:rsidRPr="006055D3">
        <w:rPr>
          <w:rFonts w:cs="Times New Roman"/>
          <w:lang w:val="fr-CA"/>
        </w:rPr>
        <w:t>exige pas que le FSI révèle au titulaire du droit d</w:t>
      </w:r>
      <w:r>
        <w:rPr>
          <w:rFonts w:cs="Times New Roman"/>
          <w:lang w:val="fr-CA"/>
        </w:rPr>
        <w:t>’</w:t>
      </w:r>
      <w:r w:rsidRPr="006055D3">
        <w:rPr>
          <w:rFonts w:cs="Times New Roman"/>
          <w:lang w:val="fr-CA"/>
        </w:rPr>
        <w:t>auteur l</w:t>
      </w:r>
      <w:r>
        <w:rPr>
          <w:rFonts w:cs="Times New Roman"/>
          <w:lang w:val="fr-CA"/>
        </w:rPr>
        <w:t>’</w:t>
      </w:r>
      <w:r w:rsidRPr="006055D3">
        <w:rPr>
          <w:rFonts w:cs="Times New Roman"/>
          <w:lang w:val="fr-CA"/>
        </w:rPr>
        <w:t>identité d</w:t>
      </w:r>
      <w:r>
        <w:rPr>
          <w:rFonts w:cs="Times New Roman"/>
          <w:lang w:val="fr-CA"/>
        </w:rPr>
        <w:t>’</w:t>
      </w:r>
      <w:r w:rsidRPr="006055D3">
        <w:rPr>
          <w:rFonts w:cs="Times New Roman"/>
          <w:lang w:val="fr-CA"/>
        </w:rPr>
        <w:t>une personne qui a reçu un avis. Pour que le titulaire du droit d</w:t>
      </w:r>
      <w:r>
        <w:rPr>
          <w:rFonts w:cs="Times New Roman"/>
          <w:lang w:val="fr-CA"/>
        </w:rPr>
        <w:t>’</w:t>
      </w:r>
      <w:r w:rsidRPr="006055D3">
        <w:rPr>
          <w:rFonts w:cs="Times New Roman"/>
          <w:lang w:val="fr-CA"/>
        </w:rPr>
        <w:t>auteur puisse obtenir l</w:t>
      </w:r>
      <w:r>
        <w:rPr>
          <w:rFonts w:cs="Times New Roman"/>
          <w:lang w:val="fr-CA"/>
        </w:rPr>
        <w:t>’</w:t>
      </w:r>
      <w:r w:rsidRPr="006055D3">
        <w:rPr>
          <w:rFonts w:cs="Times New Roman"/>
          <w:lang w:val="fr-CA"/>
        </w:rPr>
        <w:t>identité de cette personne, il doit prendre des mesures à l</w:t>
      </w:r>
      <w:r>
        <w:rPr>
          <w:rFonts w:cs="Times New Roman"/>
          <w:lang w:val="fr-CA"/>
        </w:rPr>
        <w:t>’</w:t>
      </w:r>
      <w:r w:rsidRPr="006055D3">
        <w:rPr>
          <w:rFonts w:cs="Times New Roman"/>
          <w:lang w:val="fr-CA"/>
        </w:rPr>
        <w:t xml:space="preserve">extérieur du régime — plus précisément, obtenir une ordonnance de type </w:t>
      </w:r>
      <w:r w:rsidRPr="006055D3">
        <w:rPr>
          <w:rFonts w:cs="Times New Roman"/>
          <w:i/>
          <w:lang w:val="fr-CA"/>
        </w:rPr>
        <w:t>Norwich</w:t>
      </w:r>
      <w:r w:rsidRPr="006055D3">
        <w:rPr>
          <w:rFonts w:cs="Times New Roman"/>
          <w:lang w:val="fr-CA"/>
        </w:rPr>
        <w:t xml:space="preserve"> obligeant le FSI à la révéler (voir </w:t>
      </w:r>
      <w:r w:rsidRPr="006055D3">
        <w:rPr>
          <w:rFonts w:cs="Times New Roman"/>
          <w:i/>
          <w:lang w:val="fr-CA"/>
        </w:rPr>
        <w:t>Norwich P</w:t>
      </w:r>
      <w:r>
        <w:rPr>
          <w:rFonts w:cs="Times New Roman"/>
          <w:i/>
          <w:lang w:val="fr-CA"/>
        </w:rPr>
        <w:t>h</w:t>
      </w:r>
      <w:r w:rsidRPr="006055D3">
        <w:rPr>
          <w:rFonts w:cs="Times New Roman"/>
          <w:i/>
          <w:lang w:val="fr-CA"/>
        </w:rPr>
        <w:t>armacal Co. c. Customs and Excise Commissioners</w:t>
      </w:r>
      <w:r w:rsidR="003474D5">
        <w:rPr>
          <w:rFonts w:cs="Times New Roman"/>
          <w:lang w:val="fr-CA"/>
        </w:rPr>
        <w:t>, [1974] A.C. 133 (H</w:t>
      </w:r>
      <w:r w:rsidRPr="006055D3">
        <w:rPr>
          <w:rFonts w:cs="Times New Roman"/>
          <w:lang w:val="fr-CA"/>
        </w:rPr>
        <w:t>.L.)).</w:t>
      </w:r>
    </w:p>
    <w:p w:rsidR="00E8197E" w:rsidRPr="006055D3" w:rsidRDefault="00E8197E" w:rsidP="00E8197E">
      <w:pPr>
        <w:pStyle w:val="ParaNoNdepar-AltN"/>
        <w:rPr>
          <w:rFonts w:cs="Times New Roman"/>
          <w:lang w:val="fr-CA"/>
        </w:rPr>
      </w:pPr>
      <w:r w:rsidRPr="006055D3">
        <w:rPr>
          <w:rFonts w:cs="Times New Roman"/>
          <w:lang w:val="fr-CA"/>
        </w:rPr>
        <w:lastRenderedPageBreak/>
        <w:t xml:space="preserve">Le présent pourvoi oblige la Cour à se demander qui supporte les « coûts raisonnables occasionnés en vue de la conformité » du FSI à une telle ordonnance de type </w:t>
      </w:r>
      <w:r w:rsidRPr="006055D3">
        <w:rPr>
          <w:rFonts w:cs="Times New Roman"/>
          <w:i/>
          <w:lang w:val="fr-CA"/>
        </w:rPr>
        <w:t xml:space="preserve">Norwich. </w:t>
      </w:r>
      <w:r w:rsidRPr="006055D3">
        <w:rPr>
          <w:rFonts w:cs="Times New Roman"/>
          <w:lang w:val="fr-CA"/>
        </w:rPr>
        <w:t>En common law, ce fardeau incombe au titulaire du droit d</w:t>
      </w:r>
      <w:r>
        <w:rPr>
          <w:rFonts w:cs="Times New Roman"/>
          <w:lang w:val="fr-CA"/>
        </w:rPr>
        <w:t>’</w:t>
      </w:r>
      <w:r w:rsidRPr="006055D3">
        <w:rPr>
          <w:rFonts w:cs="Times New Roman"/>
          <w:lang w:val="fr-CA"/>
        </w:rPr>
        <w:t>auteur. En adoptant le régime d</w:t>
      </w:r>
      <w:r>
        <w:rPr>
          <w:rFonts w:cs="Times New Roman"/>
          <w:lang w:val="fr-CA"/>
        </w:rPr>
        <w:t>’</w:t>
      </w:r>
      <w:r w:rsidRPr="006055D3">
        <w:rPr>
          <w:rFonts w:cs="Times New Roman"/>
          <w:lang w:val="fr-CA"/>
        </w:rPr>
        <w:t>avis et avis, le Parlement a toutefois interdit aux FSI d</w:t>
      </w:r>
      <w:r>
        <w:rPr>
          <w:rFonts w:cs="Times New Roman"/>
          <w:lang w:val="fr-CA"/>
        </w:rPr>
        <w:t>’</w:t>
      </w:r>
      <w:r w:rsidRPr="006055D3">
        <w:rPr>
          <w:rFonts w:cs="Times New Roman"/>
          <w:lang w:val="fr-CA"/>
        </w:rPr>
        <w:t>exiger des droits pour se conformer aux obligations que leur impose le régime (sauf, comme je l</w:t>
      </w:r>
      <w:r>
        <w:rPr>
          <w:rFonts w:cs="Times New Roman"/>
          <w:lang w:val="fr-CA"/>
        </w:rPr>
        <w:t>’</w:t>
      </w:r>
      <w:r w:rsidRPr="006055D3">
        <w:rPr>
          <w:rFonts w:cs="Times New Roman"/>
          <w:lang w:val="fr-CA"/>
        </w:rPr>
        <w:t>expliquerai, lorsque le ministre fixe, par règlement, le montant maximal des droits, ce qui ne s</w:t>
      </w:r>
      <w:r>
        <w:rPr>
          <w:rFonts w:cs="Times New Roman"/>
          <w:lang w:val="fr-CA"/>
        </w:rPr>
        <w:t>’</w:t>
      </w:r>
      <w:r w:rsidRPr="006055D3">
        <w:rPr>
          <w:rFonts w:cs="Times New Roman"/>
          <w:lang w:val="fr-CA"/>
        </w:rPr>
        <w:t xml:space="preserve">est pas produit à ce jour). Cela laisse sans réponse la question de savoir si, dans le cas où certaines des mesures prises par un FSI pour se conformer à une ordonnance de type </w:t>
      </w:r>
      <w:r w:rsidRPr="006055D3">
        <w:rPr>
          <w:rFonts w:cs="Times New Roman"/>
          <w:i/>
          <w:lang w:val="fr-CA"/>
        </w:rPr>
        <w:t>Norwich</w:t>
      </w:r>
      <w:r w:rsidRPr="006055D3">
        <w:rPr>
          <w:rFonts w:cs="Times New Roman"/>
          <w:lang w:val="fr-CA"/>
        </w:rPr>
        <w:t xml:space="preserve"> chevaucheraient ses obligations dans le cadre du régime d</w:t>
      </w:r>
      <w:r>
        <w:rPr>
          <w:rFonts w:cs="Times New Roman"/>
          <w:lang w:val="fr-CA"/>
        </w:rPr>
        <w:t>’</w:t>
      </w:r>
      <w:r w:rsidRPr="006055D3">
        <w:rPr>
          <w:rFonts w:cs="Times New Roman"/>
          <w:lang w:val="fr-CA"/>
        </w:rPr>
        <w:t>avis et d</w:t>
      </w:r>
      <w:r>
        <w:rPr>
          <w:rFonts w:cs="Times New Roman"/>
          <w:lang w:val="fr-CA"/>
        </w:rPr>
        <w:t>’</w:t>
      </w:r>
      <w:r w:rsidRPr="006055D3">
        <w:rPr>
          <w:rFonts w:cs="Times New Roman"/>
          <w:lang w:val="fr-CA"/>
        </w:rPr>
        <w:t>avis, ce FSI pourrait recouvrer les coûts de ces mesures qui font double emploi à même ses coûts raisonnables de conformité à l</w:t>
      </w:r>
      <w:r>
        <w:rPr>
          <w:rFonts w:cs="Times New Roman"/>
          <w:lang w:val="fr-CA"/>
        </w:rPr>
        <w:t>’</w:t>
      </w:r>
      <w:r w:rsidRPr="006055D3">
        <w:rPr>
          <w:rFonts w:cs="Times New Roman"/>
          <w:lang w:val="fr-CA"/>
        </w:rPr>
        <w:t xml:space="preserve">ordonnance de type </w:t>
      </w:r>
      <w:r w:rsidRPr="006055D3">
        <w:rPr>
          <w:rFonts w:cs="Times New Roman"/>
          <w:i/>
          <w:lang w:val="fr-CA"/>
        </w:rPr>
        <w:t>Norwich</w:t>
      </w:r>
      <w:r w:rsidRPr="006055D3">
        <w:rPr>
          <w:rFonts w:cs="Times New Roman"/>
          <w:lang w:val="fr-CA"/>
        </w:rPr>
        <w:t>.</w:t>
      </w:r>
    </w:p>
    <w:p w:rsidR="00E8197E" w:rsidRPr="006055D3" w:rsidRDefault="00E8197E" w:rsidP="00E8197E">
      <w:pPr>
        <w:pStyle w:val="Title1LevelTitre1Niveau-AltL"/>
        <w:rPr>
          <w:rFonts w:cs="Times New Roman"/>
          <w:lang w:val="fr-CA"/>
        </w:rPr>
      </w:pPr>
      <w:r w:rsidRPr="006055D3">
        <w:rPr>
          <w:rFonts w:cs="Times New Roman"/>
          <w:lang w:val="fr-CA"/>
        </w:rPr>
        <w:t>Aperçu des faits et de l</w:t>
      </w:r>
      <w:r>
        <w:rPr>
          <w:rFonts w:cs="Times New Roman"/>
          <w:lang w:val="fr-CA"/>
        </w:rPr>
        <w:t>’</w:t>
      </w:r>
      <w:r w:rsidRPr="006055D3">
        <w:rPr>
          <w:rFonts w:cs="Times New Roman"/>
          <w:lang w:val="fr-CA"/>
        </w:rPr>
        <w:t>instance</w:t>
      </w:r>
    </w:p>
    <w:p w:rsidR="00E8197E" w:rsidRPr="006055D3" w:rsidRDefault="00E8197E" w:rsidP="00E8197E">
      <w:pPr>
        <w:pStyle w:val="Title2LevelTitre2Niveau"/>
        <w:rPr>
          <w:rFonts w:cs="Times New Roman"/>
          <w:lang w:val="fr-CA"/>
        </w:rPr>
      </w:pPr>
      <w:r w:rsidRPr="006055D3">
        <w:rPr>
          <w:rFonts w:cs="Times New Roman"/>
          <w:lang w:val="fr-CA"/>
        </w:rPr>
        <w:t>Contexte</w:t>
      </w:r>
    </w:p>
    <w:p w:rsidR="00E8197E" w:rsidRPr="006055D3" w:rsidRDefault="00E8197E" w:rsidP="00E8197E">
      <w:pPr>
        <w:pStyle w:val="ParaNoNdepar-AltN"/>
        <w:rPr>
          <w:rFonts w:cs="Times New Roman"/>
          <w:lang w:val="fr-CA"/>
        </w:rPr>
      </w:pPr>
      <w:r w:rsidRPr="006055D3">
        <w:rPr>
          <w:rFonts w:cs="Times New Roman"/>
          <w:lang w:val="fr-CA"/>
        </w:rPr>
        <w:t>Les intimées dans le présent pourvoi (collectivement « Voltage ») sont des sociétés de production cinématographique qui allèguent que leurs droits d</w:t>
      </w:r>
      <w:r>
        <w:rPr>
          <w:rFonts w:cs="Times New Roman"/>
          <w:lang w:val="fr-CA"/>
        </w:rPr>
        <w:t>’</w:t>
      </w:r>
      <w:r w:rsidRPr="006055D3">
        <w:rPr>
          <w:rFonts w:cs="Times New Roman"/>
          <w:lang w:val="fr-CA"/>
        </w:rPr>
        <w:t>auteur ont été violés en ligne. Plus précisément, Voltage affirme que des milliers d</w:t>
      </w:r>
      <w:r>
        <w:rPr>
          <w:rFonts w:cs="Times New Roman"/>
          <w:lang w:val="fr-CA"/>
        </w:rPr>
        <w:t>’</w:t>
      </w:r>
      <w:r w:rsidRPr="006055D3">
        <w:rPr>
          <w:rFonts w:cs="Times New Roman"/>
          <w:lang w:val="fr-CA"/>
        </w:rPr>
        <w:t>abonnés à Internet qu</w:t>
      </w:r>
      <w:r>
        <w:rPr>
          <w:rFonts w:cs="Times New Roman"/>
          <w:lang w:val="fr-CA"/>
        </w:rPr>
        <w:t>’</w:t>
      </w:r>
      <w:r w:rsidRPr="006055D3">
        <w:rPr>
          <w:rFonts w:cs="Times New Roman"/>
          <w:lang w:val="fr-CA"/>
        </w:rPr>
        <w:t>elle ne peut identifier ont, en contravention de la Loi, partagé ses films sur Internet à l</w:t>
      </w:r>
      <w:r>
        <w:rPr>
          <w:rFonts w:cs="Times New Roman"/>
          <w:lang w:val="fr-CA"/>
        </w:rPr>
        <w:t>’</w:t>
      </w:r>
      <w:r w:rsidRPr="006055D3">
        <w:rPr>
          <w:rFonts w:cs="Times New Roman"/>
          <w:lang w:val="fr-CA"/>
        </w:rPr>
        <w:t>aide de réseaux de partage de fichiers poste à poste. Voltage a poursuivi l</w:t>
      </w:r>
      <w:r>
        <w:rPr>
          <w:rFonts w:cs="Times New Roman"/>
          <w:lang w:val="fr-CA"/>
        </w:rPr>
        <w:t>’</w:t>
      </w:r>
      <w:r w:rsidRPr="006055D3">
        <w:rPr>
          <w:rFonts w:cs="Times New Roman"/>
          <w:lang w:val="fr-CA"/>
        </w:rPr>
        <w:t>un de ces inconnus, « M. Untel », pour une prétendue violation du droit d</w:t>
      </w:r>
      <w:r>
        <w:rPr>
          <w:rFonts w:cs="Times New Roman"/>
          <w:lang w:val="fr-CA"/>
        </w:rPr>
        <w:t>’</w:t>
      </w:r>
      <w:r w:rsidRPr="006055D3">
        <w:rPr>
          <w:rFonts w:cs="Times New Roman"/>
          <w:lang w:val="fr-CA"/>
        </w:rPr>
        <w:t>auteur relativement au téléchargement et au téléversement simultanés de plusieurs films à diverses dates. Voltage affirme qu</w:t>
      </w:r>
      <w:r>
        <w:rPr>
          <w:rFonts w:cs="Times New Roman"/>
          <w:lang w:val="fr-CA"/>
        </w:rPr>
        <w:t>’</w:t>
      </w:r>
      <w:r w:rsidRPr="006055D3">
        <w:rPr>
          <w:rFonts w:cs="Times New Roman"/>
          <w:lang w:val="fr-CA"/>
        </w:rPr>
        <w:t>elle a ultimement l</w:t>
      </w:r>
      <w:r>
        <w:rPr>
          <w:rFonts w:cs="Times New Roman"/>
          <w:lang w:val="fr-CA"/>
        </w:rPr>
        <w:t>’</w:t>
      </w:r>
      <w:r w:rsidRPr="006055D3">
        <w:rPr>
          <w:rFonts w:cs="Times New Roman"/>
          <w:lang w:val="fr-CA"/>
        </w:rPr>
        <w:t>intention de faire certifier son action contre M. Untel en tant que recours collectif « inversé » contre environ 55 000 personnes dont l</w:t>
      </w:r>
      <w:r>
        <w:rPr>
          <w:rFonts w:cs="Times New Roman"/>
          <w:lang w:val="fr-CA"/>
        </w:rPr>
        <w:t>’</w:t>
      </w:r>
      <w:r w:rsidRPr="006055D3">
        <w:rPr>
          <w:rFonts w:cs="Times New Roman"/>
          <w:lang w:val="fr-CA"/>
        </w:rPr>
        <w:t xml:space="preserve">identité est actuellement inconnue, mais qui, selon Voltage, ont violé </w:t>
      </w:r>
      <w:r w:rsidRPr="006055D3">
        <w:rPr>
          <w:rFonts w:cs="Times New Roman"/>
          <w:lang w:val="fr-CA"/>
        </w:rPr>
        <w:lastRenderedPageBreak/>
        <w:t>de façon similaire son droit d</w:t>
      </w:r>
      <w:r>
        <w:rPr>
          <w:rFonts w:cs="Times New Roman"/>
          <w:lang w:val="fr-CA"/>
        </w:rPr>
        <w:t>’</w:t>
      </w:r>
      <w:r w:rsidRPr="006055D3">
        <w:rPr>
          <w:rFonts w:cs="Times New Roman"/>
          <w:lang w:val="fr-CA"/>
        </w:rPr>
        <w:t>auteur. À cette fin, Voltage a présenté une requête en vue d</w:t>
      </w:r>
      <w:r>
        <w:rPr>
          <w:rFonts w:cs="Times New Roman"/>
          <w:lang w:val="fr-CA"/>
        </w:rPr>
        <w:t>’</w:t>
      </w:r>
      <w:r w:rsidRPr="006055D3">
        <w:rPr>
          <w:rFonts w:cs="Times New Roman"/>
          <w:lang w:val="fr-CA"/>
        </w:rPr>
        <w:t xml:space="preserve">obtenir une ordonnance de type </w:t>
      </w:r>
      <w:r w:rsidRPr="006055D3">
        <w:rPr>
          <w:rFonts w:cs="Times New Roman"/>
          <w:i/>
          <w:lang w:val="fr-CA"/>
        </w:rPr>
        <w:t>Norwich</w:t>
      </w:r>
      <w:r w:rsidRPr="006055D3">
        <w:rPr>
          <w:rFonts w:cs="Times New Roman"/>
          <w:lang w:val="fr-CA"/>
        </w:rPr>
        <w:t xml:space="preserve"> obligeant le FSI de M. Untel, Rogers Communications Inc., à lui communiquer [</w:t>
      </w:r>
      <w:r w:rsidRPr="006055D3">
        <w:rPr>
          <w:rFonts w:cs="Times New Roman"/>
          <w:smallCaps/>
          <w:lang w:val="fr-CA"/>
        </w:rPr>
        <w:t>traduction</w:t>
      </w:r>
      <w:r w:rsidRPr="006055D3">
        <w:rPr>
          <w:rFonts w:cs="Times New Roman"/>
          <w:lang w:val="fr-CA"/>
        </w:rPr>
        <w:t>] « toutes les coordonnées et tous les renseignements personnels [de M. Untel] » (d.a., p. 48). Voltage a également demandé que l</w:t>
      </w:r>
      <w:r>
        <w:rPr>
          <w:rFonts w:cs="Times New Roman"/>
          <w:lang w:val="fr-CA"/>
        </w:rPr>
        <w:t>’</w:t>
      </w:r>
      <w:r w:rsidRPr="006055D3">
        <w:rPr>
          <w:rFonts w:cs="Times New Roman"/>
          <w:lang w:val="fr-CA"/>
        </w:rPr>
        <w:t>ordonnance de communication soit rendue</w:t>
      </w:r>
      <w:r w:rsidR="003474D5">
        <w:rPr>
          <w:rFonts w:cs="Times New Roman"/>
          <w:lang w:val="fr-CA"/>
        </w:rPr>
        <w:t xml:space="preserve"> sans</w:t>
      </w:r>
      <w:r w:rsidRPr="006055D3">
        <w:rPr>
          <w:rFonts w:cs="Times New Roman"/>
          <w:lang w:val="fr-CA"/>
        </w:rPr>
        <w:t xml:space="preserve"> « aucun droit à payer » à Rogers « conformément aux [art. 41.25 et 41.26 de la Loi] » (d.a., p. 48</w:t>
      </w:r>
      <w:r w:rsidRPr="006055D3">
        <w:rPr>
          <w:rFonts w:cs="Times New Roman"/>
          <w:lang w:val="fr-CA"/>
        </w:rPr>
        <w:noBreakHyphen/>
        <w:t>49).</w:t>
      </w:r>
    </w:p>
    <w:p w:rsidR="00E8197E" w:rsidRPr="006055D3" w:rsidRDefault="00E8197E" w:rsidP="00E8197E">
      <w:pPr>
        <w:pStyle w:val="ParaNoNdepar-AltN"/>
        <w:rPr>
          <w:rFonts w:cs="Times New Roman"/>
          <w:lang w:val="fr-CA"/>
        </w:rPr>
      </w:pPr>
      <w:r w:rsidRPr="006055D3">
        <w:rPr>
          <w:rFonts w:cs="Times New Roman"/>
          <w:lang w:val="fr-CA"/>
        </w:rPr>
        <w:t>Selon la description que donnent les art</w:t>
      </w:r>
      <w:r w:rsidR="00861974">
        <w:rPr>
          <w:rFonts w:cs="Times New Roman"/>
          <w:lang w:val="fr-CA"/>
        </w:rPr>
        <w:t>.</w:t>
      </w:r>
      <w:r w:rsidRPr="006055D3">
        <w:rPr>
          <w:rFonts w:cs="Times New Roman"/>
          <w:lang w:val="fr-CA"/>
        </w:rPr>
        <w:t> 41.25 et 41.26 de la Loi, l</w:t>
      </w:r>
      <w:r>
        <w:rPr>
          <w:rFonts w:cs="Times New Roman"/>
          <w:lang w:val="fr-CA"/>
        </w:rPr>
        <w:t>’</w:t>
      </w:r>
      <w:r w:rsidRPr="006055D3">
        <w:rPr>
          <w:rFonts w:cs="Times New Roman"/>
          <w:lang w:val="fr-CA"/>
        </w:rPr>
        <w:t>envoi d</w:t>
      </w:r>
      <w:r>
        <w:rPr>
          <w:rFonts w:cs="Times New Roman"/>
          <w:lang w:val="fr-CA"/>
        </w:rPr>
        <w:t>’</w:t>
      </w:r>
      <w:r w:rsidRPr="006055D3">
        <w:rPr>
          <w:rFonts w:cs="Times New Roman"/>
          <w:lang w:val="fr-CA"/>
        </w:rPr>
        <w:t>un avis de prétendue violation du droit d</w:t>
      </w:r>
      <w:r>
        <w:rPr>
          <w:rFonts w:cs="Times New Roman"/>
          <w:lang w:val="fr-CA"/>
        </w:rPr>
        <w:t>’</w:t>
      </w:r>
      <w:r w:rsidRPr="006055D3">
        <w:rPr>
          <w:rFonts w:cs="Times New Roman"/>
          <w:lang w:val="fr-CA"/>
        </w:rPr>
        <w:t>auteur comporte deux étapes. Premièrement, le titulaire du droit d</w:t>
      </w:r>
      <w:r>
        <w:rPr>
          <w:rFonts w:cs="Times New Roman"/>
          <w:lang w:val="fr-CA"/>
        </w:rPr>
        <w:t>’</w:t>
      </w:r>
      <w:r w:rsidRPr="006055D3">
        <w:rPr>
          <w:rFonts w:cs="Times New Roman"/>
          <w:lang w:val="fr-CA"/>
        </w:rPr>
        <w:t>auteur doit envoyer un avis de prétendue violation à un FSI, comme Rogers. Cette étape est prescrite par l</w:t>
      </w:r>
      <w:r>
        <w:rPr>
          <w:rFonts w:cs="Times New Roman"/>
          <w:lang w:val="fr-CA"/>
        </w:rPr>
        <w:t>’</w:t>
      </w:r>
      <w:r w:rsidRPr="006055D3">
        <w:rPr>
          <w:rFonts w:cs="Times New Roman"/>
          <w:lang w:val="fr-CA"/>
        </w:rPr>
        <w:t>art. 41.25 :</w:t>
      </w:r>
    </w:p>
    <w:p w:rsidR="00E8197E" w:rsidRPr="006055D3" w:rsidRDefault="00E8197E" w:rsidP="00E8197E">
      <w:pPr>
        <w:pStyle w:val="Citation-AltC"/>
        <w:spacing w:after="240"/>
        <w:ind w:hanging="1166"/>
        <w:contextualSpacing w:val="0"/>
        <w:rPr>
          <w:b/>
          <w:lang w:val="fr-CA"/>
        </w:rPr>
      </w:pPr>
      <w:r w:rsidRPr="006055D3">
        <w:rPr>
          <w:b/>
          <w:lang w:val="fr-CA"/>
        </w:rPr>
        <w:tab/>
        <w:t>Avis de prétendue violation</w:t>
      </w:r>
    </w:p>
    <w:p w:rsidR="00E8197E" w:rsidRPr="006055D3" w:rsidRDefault="00E8197E" w:rsidP="00E8197E">
      <w:pPr>
        <w:pStyle w:val="Citation-AltC"/>
        <w:spacing w:after="240"/>
        <w:ind w:hanging="1166"/>
        <w:contextualSpacing w:val="0"/>
        <w:rPr>
          <w:lang w:val="fr-CA"/>
        </w:rPr>
      </w:pPr>
      <w:r w:rsidRPr="006055D3">
        <w:rPr>
          <w:b/>
          <w:lang w:val="fr-CA"/>
        </w:rPr>
        <w:tab/>
      </w:r>
      <w:r>
        <w:rPr>
          <w:b/>
          <w:lang w:val="fr-CA"/>
        </w:rPr>
        <w:t>41.25 </w:t>
      </w:r>
      <w:r w:rsidRPr="006055D3">
        <w:rPr>
          <w:b/>
          <w:lang w:val="fr-CA"/>
        </w:rPr>
        <w:t>(1)</w:t>
      </w:r>
      <w:r>
        <w:rPr>
          <w:lang w:val="fr-CA"/>
        </w:rPr>
        <w:t> </w:t>
      </w:r>
      <w:r w:rsidRPr="006055D3">
        <w:rPr>
          <w:lang w:val="fr-CA"/>
        </w:rPr>
        <w:t>Le titulaire d</w:t>
      </w:r>
      <w:r>
        <w:rPr>
          <w:lang w:val="fr-CA"/>
        </w:rPr>
        <w:t>’</w:t>
      </w:r>
      <w:r w:rsidRPr="006055D3">
        <w:rPr>
          <w:lang w:val="fr-CA"/>
        </w:rPr>
        <w:t>un droit d</w:t>
      </w:r>
      <w:r>
        <w:rPr>
          <w:lang w:val="fr-CA"/>
        </w:rPr>
        <w:t>’</w:t>
      </w:r>
      <w:r w:rsidRPr="006055D3">
        <w:rPr>
          <w:lang w:val="fr-CA"/>
        </w:rPr>
        <w:t>auteur sur une œuvre ou tout autre objet du droit d</w:t>
      </w:r>
      <w:r>
        <w:rPr>
          <w:lang w:val="fr-CA"/>
        </w:rPr>
        <w:t>’</w:t>
      </w:r>
      <w:r w:rsidRPr="006055D3">
        <w:rPr>
          <w:lang w:val="fr-CA"/>
        </w:rPr>
        <w:t>auteur peut envoyer un avis de prétendue violation à la personne qui fournit, selon le cas :</w:t>
      </w:r>
    </w:p>
    <w:p w:rsidR="00E8197E" w:rsidRPr="006055D3" w:rsidRDefault="00E8197E" w:rsidP="00E8197E">
      <w:pPr>
        <w:pStyle w:val="Citation-AltC"/>
        <w:spacing w:after="240"/>
        <w:ind w:left="1440" w:hanging="1440"/>
        <w:contextualSpacing w:val="0"/>
        <w:rPr>
          <w:lang w:val="fr-CA"/>
        </w:rPr>
      </w:pPr>
      <w:r w:rsidRPr="006055D3">
        <w:rPr>
          <w:b/>
          <w:lang w:val="fr-CA"/>
        </w:rPr>
        <w:tab/>
      </w:r>
      <w:r>
        <w:rPr>
          <w:b/>
          <w:lang w:val="fr-CA"/>
        </w:rPr>
        <w:t>a) </w:t>
      </w:r>
      <w:r w:rsidRPr="006055D3">
        <w:rPr>
          <w:lang w:val="fr-CA"/>
        </w:rPr>
        <w:t>dans le cadre de la prestation de services liés à l</w:t>
      </w:r>
      <w:r>
        <w:rPr>
          <w:lang w:val="fr-CA"/>
        </w:rPr>
        <w:t>’</w:t>
      </w:r>
      <w:r w:rsidRPr="006055D3">
        <w:rPr>
          <w:lang w:val="fr-CA"/>
        </w:rPr>
        <w:t>exploitation d</w:t>
      </w:r>
      <w:r>
        <w:rPr>
          <w:lang w:val="fr-CA"/>
        </w:rPr>
        <w:t>’</w:t>
      </w:r>
      <w:r w:rsidRPr="006055D3">
        <w:rPr>
          <w:lang w:val="fr-CA"/>
        </w:rPr>
        <w:t>Internet ou d</w:t>
      </w:r>
      <w:r>
        <w:rPr>
          <w:lang w:val="fr-CA"/>
        </w:rPr>
        <w:t>’</w:t>
      </w:r>
      <w:r w:rsidRPr="006055D3">
        <w:rPr>
          <w:lang w:val="fr-CA"/>
        </w:rPr>
        <w:t>un autre réseau numérique, les moyens de télécommunication par lesquels l</w:t>
      </w:r>
      <w:r>
        <w:rPr>
          <w:lang w:val="fr-CA"/>
        </w:rPr>
        <w:t>’</w:t>
      </w:r>
      <w:r w:rsidRPr="006055D3">
        <w:rPr>
          <w:lang w:val="fr-CA"/>
        </w:rPr>
        <w:t>emplacement électronique qui fait l</w:t>
      </w:r>
      <w:r>
        <w:rPr>
          <w:lang w:val="fr-CA"/>
        </w:rPr>
        <w:t>’</w:t>
      </w:r>
      <w:r w:rsidRPr="006055D3">
        <w:rPr>
          <w:lang w:val="fr-CA"/>
        </w:rPr>
        <w:t>objet de la prétendue violation est connecté à Internet ou à tout autre réseau numérique;</w:t>
      </w:r>
    </w:p>
    <w:p w:rsidR="00E8197E" w:rsidRPr="006055D3" w:rsidRDefault="00E8197E" w:rsidP="00E8197E">
      <w:pPr>
        <w:pStyle w:val="Citation-AltC"/>
        <w:spacing w:after="240"/>
        <w:ind w:left="1440" w:hanging="1440"/>
        <w:contextualSpacing w:val="0"/>
        <w:rPr>
          <w:lang w:val="fr-CA"/>
        </w:rPr>
      </w:pPr>
      <w:r w:rsidRPr="006055D3">
        <w:rPr>
          <w:b/>
          <w:lang w:val="fr-CA"/>
        </w:rPr>
        <w:tab/>
      </w:r>
      <w:r>
        <w:rPr>
          <w:b/>
          <w:lang w:val="fr-CA"/>
        </w:rPr>
        <w:t>b) </w:t>
      </w:r>
      <w:r w:rsidRPr="006055D3">
        <w:rPr>
          <w:lang w:val="fr-CA"/>
        </w:rPr>
        <w:t>en vue du stockage visé au paragraphe 31.1(4), la mémoire numérique qui est utilisée pour l</w:t>
      </w:r>
      <w:r>
        <w:rPr>
          <w:lang w:val="fr-CA"/>
        </w:rPr>
        <w:t>’</w:t>
      </w:r>
      <w:r w:rsidRPr="006055D3">
        <w:rPr>
          <w:lang w:val="fr-CA"/>
        </w:rPr>
        <w:t>emplacement électronique en cause;</w:t>
      </w:r>
    </w:p>
    <w:p w:rsidR="00E8197E" w:rsidRPr="006055D3" w:rsidRDefault="00E8197E" w:rsidP="00E8197E">
      <w:pPr>
        <w:pStyle w:val="Citation-AltC"/>
        <w:spacing w:after="240"/>
        <w:ind w:left="1440" w:hanging="1440"/>
        <w:contextualSpacing w:val="0"/>
        <w:rPr>
          <w:lang w:val="fr-CA"/>
        </w:rPr>
      </w:pPr>
      <w:r w:rsidRPr="006055D3">
        <w:rPr>
          <w:b/>
          <w:lang w:val="fr-CA"/>
        </w:rPr>
        <w:tab/>
      </w:r>
      <w:r>
        <w:rPr>
          <w:b/>
          <w:lang w:val="fr-CA"/>
        </w:rPr>
        <w:t>c) </w:t>
      </w:r>
      <w:r w:rsidRPr="006055D3">
        <w:rPr>
          <w:lang w:val="fr-CA"/>
        </w:rPr>
        <w:t>un outil de repérage au sens du paragraphe 41.27(5).</w:t>
      </w:r>
    </w:p>
    <w:p w:rsidR="00E8197E" w:rsidRPr="006055D3" w:rsidRDefault="00E8197E" w:rsidP="00E8197E">
      <w:pPr>
        <w:pStyle w:val="Citation-AltC"/>
        <w:spacing w:after="240"/>
        <w:ind w:hanging="1166"/>
        <w:contextualSpacing w:val="0"/>
        <w:rPr>
          <w:b/>
          <w:lang w:val="fr-CA"/>
        </w:rPr>
      </w:pPr>
      <w:r w:rsidRPr="006055D3">
        <w:rPr>
          <w:b/>
          <w:lang w:val="fr-CA"/>
        </w:rPr>
        <w:tab/>
        <w:t>Forme de l</w:t>
      </w:r>
      <w:r>
        <w:rPr>
          <w:b/>
          <w:lang w:val="fr-CA"/>
        </w:rPr>
        <w:t>’</w:t>
      </w:r>
      <w:r w:rsidRPr="006055D3">
        <w:rPr>
          <w:b/>
          <w:lang w:val="fr-CA"/>
        </w:rPr>
        <w:t>avis</w:t>
      </w:r>
    </w:p>
    <w:p w:rsidR="00E8197E" w:rsidRPr="006055D3" w:rsidRDefault="00E8197E" w:rsidP="00E8197E">
      <w:pPr>
        <w:pStyle w:val="Citation-AltC"/>
        <w:spacing w:after="240"/>
        <w:ind w:hanging="1166"/>
        <w:contextualSpacing w:val="0"/>
        <w:rPr>
          <w:lang w:val="fr-CA"/>
        </w:rPr>
      </w:pPr>
      <w:r w:rsidRPr="006055D3">
        <w:rPr>
          <w:b/>
          <w:lang w:val="fr-CA"/>
        </w:rPr>
        <w:tab/>
      </w:r>
      <w:r>
        <w:rPr>
          <w:b/>
          <w:lang w:val="fr-CA"/>
        </w:rPr>
        <w:t>(2) </w:t>
      </w:r>
      <w:r w:rsidRPr="006055D3">
        <w:rPr>
          <w:lang w:val="fr-CA"/>
        </w:rPr>
        <w:t>L</w:t>
      </w:r>
      <w:r>
        <w:rPr>
          <w:lang w:val="fr-CA"/>
        </w:rPr>
        <w:t>’</w:t>
      </w:r>
      <w:r w:rsidRPr="006055D3">
        <w:rPr>
          <w:lang w:val="fr-CA"/>
        </w:rPr>
        <w:t>avis de prétendue violation est établi par écrit, en la forme éventuellement prévue par règlement, et, en outre :</w:t>
      </w:r>
    </w:p>
    <w:p w:rsidR="00E8197E" w:rsidRPr="006055D3" w:rsidRDefault="00E8197E" w:rsidP="00E8197E">
      <w:pPr>
        <w:pStyle w:val="Citation-AltC"/>
        <w:spacing w:after="240"/>
        <w:ind w:left="1440" w:hanging="1440"/>
        <w:contextualSpacing w:val="0"/>
        <w:rPr>
          <w:lang w:val="fr-CA"/>
        </w:rPr>
      </w:pPr>
      <w:r w:rsidRPr="006055D3">
        <w:rPr>
          <w:b/>
          <w:lang w:val="fr-CA"/>
        </w:rPr>
        <w:tab/>
      </w:r>
      <w:r>
        <w:rPr>
          <w:b/>
          <w:lang w:val="fr-CA"/>
        </w:rPr>
        <w:t>a) </w:t>
      </w:r>
      <w:r w:rsidRPr="006055D3">
        <w:rPr>
          <w:lang w:val="fr-CA"/>
        </w:rPr>
        <w:t>précise les nom et adresse du demandeur et contient tout autre renseignement prévu par règlement qui permet la communication avec lui;</w:t>
      </w:r>
    </w:p>
    <w:p w:rsidR="00E8197E" w:rsidRPr="006055D3" w:rsidRDefault="00E8197E" w:rsidP="00E8197E">
      <w:pPr>
        <w:pStyle w:val="Citation-AltC"/>
        <w:spacing w:after="240"/>
        <w:ind w:left="1440" w:hanging="1440"/>
        <w:contextualSpacing w:val="0"/>
        <w:rPr>
          <w:lang w:val="fr-CA"/>
        </w:rPr>
      </w:pPr>
      <w:r w:rsidRPr="006055D3">
        <w:rPr>
          <w:b/>
          <w:lang w:val="fr-CA"/>
        </w:rPr>
        <w:lastRenderedPageBreak/>
        <w:tab/>
      </w:r>
      <w:r>
        <w:rPr>
          <w:b/>
          <w:lang w:val="fr-CA"/>
        </w:rPr>
        <w:t>b) </w:t>
      </w:r>
      <w:r w:rsidRPr="006055D3">
        <w:rPr>
          <w:lang w:val="fr-CA"/>
        </w:rPr>
        <w:t>identifie l</w:t>
      </w:r>
      <w:r>
        <w:rPr>
          <w:lang w:val="fr-CA"/>
        </w:rPr>
        <w:t>’</w:t>
      </w:r>
      <w:r w:rsidR="00E21A6F">
        <w:rPr>
          <w:lang w:val="fr-CA"/>
        </w:rPr>
        <w:t>œ</w:t>
      </w:r>
      <w:r w:rsidRPr="006055D3">
        <w:rPr>
          <w:lang w:val="fr-CA"/>
        </w:rPr>
        <w:t>uvre ou l</w:t>
      </w:r>
      <w:r>
        <w:rPr>
          <w:lang w:val="fr-CA"/>
        </w:rPr>
        <w:t>’</w:t>
      </w:r>
      <w:r w:rsidRPr="006055D3">
        <w:rPr>
          <w:lang w:val="fr-CA"/>
        </w:rPr>
        <w:t>autre objet du droit d</w:t>
      </w:r>
      <w:r>
        <w:rPr>
          <w:lang w:val="fr-CA"/>
        </w:rPr>
        <w:t>’</w:t>
      </w:r>
      <w:r w:rsidRPr="006055D3">
        <w:rPr>
          <w:lang w:val="fr-CA"/>
        </w:rPr>
        <w:t>auteur auquel la prétendue violation se rapporte;</w:t>
      </w:r>
    </w:p>
    <w:p w:rsidR="00E8197E" w:rsidRPr="006055D3" w:rsidRDefault="00E8197E" w:rsidP="00E8197E">
      <w:pPr>
        <w:pStyle w:val="Citation-AltC"/>
        <w:spacing w:after="240"/>
        <w:ind w:left="1440" w:hanging="1440"/>
        <w:contextualSpacing w:val="0"/>
        <w:rPr>
          <w:lang w:val="fr-CA"/>
        </w:rPr>
      </w:pPr>
      <w:r w:rsidRPr="006055D3">
        <w:rPr>
          <w:b/>
          <w:lang w:val="fr-CA"/>
        </w:rPr>
        <w:tab/>
      </w:r>
      <w:r>
        <w:rPr>
          <w:b/>
          <w:lang w:val="fr-CA"/>
        </w:rPr>
        <w:t>c) </w:t>
      </w:r>
      <w:r w:rsidRPr="006055D3">
        <w:rPr>
          <w:lang w:val="fr-CA"/>
        </w:rPr>
        <w:t>déclare les intérêts ou droits du demandeur à l</w:t>
      </w:r>
      <w:r>
        <w:rPr>
          <w:lang w:val="fr-CA"/>
        </w:rPr>
        <w:t>’</w:t>
      </w:r>
      <w:r w:rsidRPr="006055D3">
        <w:rPr>
          <w:lang w:val="fr-CA"/>
        </w:rPr>
        <w:t>égard de l</w:t>
      </w:r>
      <w:r>
        <w:rPr>
          <w:lang w:val="fr-CA"/>
        </w:rPr>
        <w:t>’</w:t>
      </w:r>
      <w:r w:rsidRPr="006055D3">
        <w:rPr>
          <w:lang w:val="fr-CA"/>
        </w:rPr>
        <w:t>œuvre ou de l</w:t>
      </w:r>
      <w:r>
        <w:rPr>
          <w:lang w:val="fr-CA"/>
        </w:rPr>
        <w:t>’</w:t>
      </w:r>
      <w:r w:rsidRPr="006055D3">
        <w:rPr>
          <w:lang w:val="fr-CA"/>
        </w:rPr>
        <w:t>autre objet visé;</w:t>
      </w:r>
    </w:p>
    <w:p w:rsidR="00E8197E" w:rsidRPr="006055D3" w:rsidRDefault="00E8197E" w:rsidP="00E8197E">
      <w:pPr>
        <w:pStyle w:val="Citation-AltC"/>
        <w:spacing w:after="240"/>
        <w:ind w:left="1440" w:hanging="1440"/>
        <w:contextualSpacing w:val="0"/>
        <w:rPr>
          <w:lang w:val="fr-CA"/>
        </w:rPr>
      </w:pPr>
      <w:r w:rsidRPr="006055D3">
        <w:rPr>
          <w:b/>
          <w:lang w:val="fr-CA"/>
        </w:rPr>
        <w:tab/>
      </w:r>
      <w:r>
        <w:rPr>
          <w:b/>
          <w:lang w:val="fr-CA"/>
        </w:rPr>
        <w:t>d) </w:t>
      </w:r>
      <w:r w:rsidRPr="006055D3">
        <w:rPr>
          <w:lang w:val="fr-CA"/>
        </w:rPr>
        <w:t>précise les données de localisation de l</w:t>
      </w:r>
      <w:r>
        <w:rPr>
          <w:lang w:val="fr-CA"/>
        </w:rPr>
        <w:t>’</w:t>
      </w:r>
      <w:r w:rsidRPr="006055D3">
        <w:rPr>
          <w:lang w:val="fr-CA"/>
        </w:rPr>
        <w:t>emplacement électronique qui fait l</w:t>
      </w:r>
      <w:r>
        <w:rPr>
          <w:lang w:val="fr-CA"/>
        </w:rPr>
        <w:t>’</w:t>
      </w:r>
      <w:r w:rsidRPr="006055D3">
        <w:rPr>
          <w:lang w:val="fr-CA"/>
        </w:rPr>
        <w:t>objet de la prétendue violation;</w:t>
      </w:r>
    </w:p>
    <w:p w:rsidR="00E8197E" w:rsidRPr="006055D3" w:rsidRDefault="00E8197E" w:rsidP="00E8197E">
      <w:pPr>
        <w:pStyle w:val="Citation-AltC"/>
        <w:spacing w:after="240"/>
        <w:ind w:left="1440" w:hanging="1440"/>
        <w:contextualSpacing w:val="0"/>
        <w:rPr>
          <w:lang w:val="fr-CA"/>
        </w:rPr>
      </w:pPr>
      <w:r w:rsidRPr="006055D3">
        <w:rPr>
          <w:b/>
          <w:lang w:val="fr-CA"/>
        </w:rPr>
        <w:tab/>
      </w:r>
      <w:r>
        <w:rPr>
          <w:b/>
          <w:lang w:val="fr-CA"/>
        </w:rPr>
        <w:t>e) </w:t>
      </w:r>
      <w:r w:rsidRPr="006055D3">
        <w:rPr>
          <w:lang w:val="fr-CA"/>
        </w:rPr>
        <w:t>précise la prétendue violation;</w:t>
      </w:r>
    </w:p>
    <w:p w:rsidR="00E8197E" w:rsidRPr="006055D3" w:rsidRDefault="00E8197E" w:rsidP="00E8197E">
      <w:pPr>
        <w:pStyle w:val="Citation-AltC"/>
        <w:spacing w:after="240"/>
        <w:ind w:left="1440" w:hanging="1440"/>
        <w:contextualSpacing w:val="0"/>
        <w:rPr>
          <w:lang w:val="fr-CA"/>
        </w:rPr>
      </w:pPr>
      <w:r w:rsidRPr="006055D3">
        <w:rPr>
          <w:b/>
          <w:lang w:val="fr-CA"/>
        </w:rPr>
        <w:tab/>
      </w:r>
      <w:r>
        <w:rPr>
          <w:b/>
          <w:lang w:val="fr-CA"/>
        </w:rPr>
        <w:t>f) </w:t>
      </w:r>
      <w:r w:rsidRPr="006055D3">
        <w:rPr>
          <w:lang w:val="fr-CA"/>
        </w:rPr>
        <w:t>précise la date et l</w:t>
      </w:r>
      <w:r>
        <w:rPr>
          <w:lang w:val="fr-CA"/>
        </w:rPr>
        <w:t>’</w:t>
      </w:r>
      <w:r w:rsidRPr="006055D3">
        <w:rPr>
          <w:lang w:val="fr-CA"/>
        </w:rPr>
        <w:t>heure de la commission de la prétendue violation;</w:t>
      </w:r>
    </w:p>
    <w:p w:rsidR="00E8197E" w:rsidRPr="006055D3" w:rsidRDefault="00E8197E" w:rsidP="00E8197E">
      <w:pPr>
        <w:pStyle w:val="Citation-AltC"/>
        <w:ind w:left="1440" w:hanging="1440"/>
        <w:contextualSpacing w:val="0"/>
        <w:rPr>
          <w:lang w:val="fr-CA"/>
        </w:rPr>
      </w:pPr>
      <w:r w:rsidRPr="006055D3">
        <w:rPr>
          <w:b/>
          <w:lang w:val="fr-CA"/>
        </w:rPr>
        <w:tab/>
      </w:r>
      <w:r>
        <w:rPr>
          <w:b/>
          <w:lang w:val="fr-CA"/>
        </w:rPr>
        <w:t>g) </w:t>
      </w:r>
      <w:r w:rsidRPr="006055D3">
        <w:rPr>
          <w:lang w:val="fr-CA"/>
        </w:rPr>
        <w:t>contient, le cas échéant, tout autre renseignement prévu par règlement.</w:t>
      </w:r>
    </w:p>
    <w:p w:rsidR="00E8197E" w:rsidRPr="006055D3" w:rsidRDefault="00E8197E" w:rsidP="00E8197E">
      <w:pPr>
        <w:pStyle w:val="ContinueParaSuitedupar-AltP"/>
        <w:rPr>
          <w:rFonts w:cs="Times New Roman"/>
          <w:lang w:val="fr-CA"/>
        </w:rPr>
      </w:pPr>
      <w:r w:rsidRPr="006055D3">
        <w:rPr>
          <w:rFonts w:cs="Times New Roman"/>
          <w:lang w:val="fr-CA"/>
        </w:rPr>
        <w:t>Deuxièmement, le FSI doit, à la réception de l</w:t>
      </w:r>
      <w:r>
        <w:rPr>
          <w:rFonts w:cs="Times New Roman"/>
          <w:lang w:val="fr-CA"/>
        </w:rPr>
        <w:t>’</w:t>
      </w:r>
      <w:r w:rsidRPr="006055D3">
        <w:rPr>
          <w:rFonts w:cs="Times New Roman"/>
          <w:lang w:val="fr-CA"/>
        </w:rPr>
        <w:t>avis de prétendue violation envoyé par le titulaire du droit d</w:t>
      </w:r>
      <w:r>
        <w:rPr>
          <w:rFonts w:cs="Times New Roman"/>
          <w:lang w:val="fr-CA"/>
        </w:rPr>
        <w:t>’</w:t>
      </w:r>
      <w:r w:rsidRPr="006055D3">
        <w:rPr>
          <w:rFonts w:cs="Times New Roman"/>
          <w:lang w:val="fr-CA"/>
        </w:rPr>
        <w:t>auteur, « transmettre [. . .] par voie électronique une copie de l</w:t>
      </w:r>
      <w:r>
        <w:rPr>
          <w:rFonts w:cs="Times New Roman"/>
          <w:lang w:val="fr-CA"/>
        </w:rPr>
        <w:t>’</w:t>
      </w:r>
      <w:r w:rsidRPr="006055D3">
        <w:rPr>
          <w:rFonts w:cs="Times New Roman"/>
          <w:lang w:val="fr-CA"/>
        </w:rPr>
        <w:t>avis à la personne à qui appartient l</w:t>
      </w:r>
      <w:r>
        <w:rPr>
          <w:rFonts w:cs="Times New Roman"/>
          <w:lang w:val="fr-CA"/>
        </w:rPr>
        <w:t>’</w:t>
      </w:r>
      <w:r w:rsidRPr="006055D3">
        <w:rPr>
          <w:rFonts w:cs="Times New Roman"/>
          <w:lang w:val="fr-CA"/>
        </w:rPr>
        <w:t>emplacement électronique [en l</w:t>
      </w:r>
      <w:r>
        <w:rPr>
          <w:rFonts w:cs="Times New Roman"/>
          <w:lang w:val="fr-CA"/>
        </w:rPr>
        <w:t>’</w:t>
      </w:r>
      <w:r w:rsidRPr="006055D3">
        <w:rPr>
          <w:rFonts w:cs="Times New Roman"/>
          <w:lang w:val="fr-CA"/>
        </w:rPr>
        <w:t>espèce, une adresse IP] identifié » dans l</w:t>
      </w:r>
      <w:r>
        <w:rPr>
          <w:rFonts w:cs="Times New Roman"/>
          <w:lang w:val="fr-CA"/>
        </w:rPr>
        <w:t>’</w:t>
      </w:r>
      <w:r w:rsidRPr="006055D3">
        <w:rPr>
          <w:rFonts w:cs="Times New Roman"/>
          <w:lang w:val="fr-CA"/>
        </w:rPr>
        <w:t>avis. Cette deuxième étape est prescrite par le par. 41.26(1), qui impose au FSI certaines obligations, dont la portée est essentielle pour trancher le présent pourvoi :</w:t>
      </w:r>
    </w:p>
    <w:p w:rsidR="00E8197E" w:rsidRPr="006055D3" w:rsidRDefault="00E8197E" w:rsidP="00E8197E">
      <w:pPr>
        <w:pStyle w:val="Citation-AltC"/>
        <w:spacing w:after="240"/>
        <w:ind w:hanging="1166"/>
        <w:contextualSpacing w:val="0"/>
        <w:rPr>
          <w:b/>
          <w:lang w:val="fr-CA"/>
        </w:rPr>
      </w:pPr>
      <w:r w:rsidRPr="006055D3">
        <w:rPr>
          <w:b/>
          <w:lang w:val="fr-CA"/>
        </w:rPr>
        <w:tab/>
        <w:t>Obligations</w:t>
      </w:r>
    </w:p>
    <w:p w:rsidR="00E8197E" w:rsidRPr="006055D3" w:rsidRDefault="00E8197E" w:rsidP="00E8197E">
      <w:pPr>
        <w:pStyle w:val="Citation-AltC"/>
        <w:spacing w:after="240"/>
        <w:ind w:hanging="1166"/>
        <w:contextualSpacing w:val="0"/>
        <w:rPr>
          <w:lang w:val="fr-CA"/>
        </w:rPr>
      </w:pPr>
      <w:r w:rsidRPr="006055D3">
        <w:rPr>
          <w:b/>
          <w:lang w:val="fr-CA"/>
        </w:rPr>
        <w:tab/>
      </w:r>
      <w:r>
        <w:rPr>
          <w:b/>
          <w:lang w:val="fr-CA"/>
        </w:rPr>
        <w:t>41.26 </w:t>
      </w:r>
      <w:r w:rsidRPr="006055D3">
        <w:rPr>
          <w:b/>
          <w:lang w:val="fr-CA"/>
        </w:rPr>
        <w:t>(1)</w:t>
      </w:r>
      <w:r>
        <w:rPr>
          <w:lang w:val="fr-CA"/>
        </w:rPr>
        <w:t> </w:t>
      </w:r>
      <w:r w:rsidRPr="006055D3">
        <w:rPr>
          <w:lang w:val="fr-CA"/>
        </w:rPr>
        <w:t>La personne visée aux alinéas 41.25(1)a) ou b) qui reçoit un avis conforme au paragraphe 41.25(2) a l</w:t>
      </w:r>
      <w:r>
        <w:rPr>
          <w:lang w:val="fr-CA"/>
        </w:rPr>
        <w:t>’</w:t>
      </w:r>
      <w:r w:rsidRPr="006055D3">
        <w:rPr>
          <w:lang w:val="fr-CA"/>
        </w:rPr>
        <w:t>obligation d</w:t>
      </w:r>
      <w:r>
        <w:rPr>
          <w:lang w:val="fr-CA"/>
        </w:rPr>
        <w:t>’</w:t>
      </w:r>
      <w:r w:rsidRPr="006055D3">
        <w:rPr>
          <w:lang w:val="fr-CA"/>
        </w:rPr>
        <w:t>accomplir les actes ci</w:t>
      </w:r>
      <w:r w:rsidRPr="006055D3">
        <w:rPr>
          <w:lang w:val="fr-CA"/>
        </w:rPr>
        <w:noBreakHyphen/>
        <w:t>après, moyennant paiement des droits qu</w:t>
      </w:r>
      <w:r>
        <w:rPr>
          <w:lang w:val="fr-CA"/>
        </w:rPr>
        <w:t>’</w:t>
      </w:r>
      <w:r w:rsidRPr="006055D3">
        <w:rPr>
          <w:lang w:val="fr-CA"/>
        </w:rPr>
        <w:t>elle peut exiger :</w:t>
      </w:r>
    </w:p>
    <w:p w:rsidR="00E8197E" w:rsidRPr="006055D3" w:rsidRDefault="00E8197E" w:rsidP="00E8197E">
      <w:pPr>
        <w:pStyle w:val="Citation-AltC"/>
        <w:spacing w:after="240"/>
        <w:ind w:left="1440" w:hanging="1440"/>
        <w:contextualSpacing w:val="0"/>
        <w:rPr>
          <w:lang w:val="fr-CA"/>
        </w:rPr>
      </w:pPr>
      <w:r w:rsidRPr="006055D3">
        <w:rPr>
          <w:b/>
          <w:lang w:val="fr-CA"/>
        </w:rPr>
        <w:tab/>
      </w:r>
      <w:r>
        <w:rPr>
          <w:b/>
          <w:lang w:val="fr-CA"/>
        </w:rPr>
        <w:t>a) </w:t>
      </w:r>
      <w:r w:rsidRPr="006055D3">
        <w:rPr>
          <w:u w:val="single"/>
          <w:lang w:val="fr-CA"/>
        </w:rPr>
        <w:t>transmettre</w:t>
      </w:r>
      <w:r w:rsidRPr="006055D3">
        <w:rPr>
          <w:lang w:val="fr-CA"/>
        </w:rPr>
        <w:t xml:space="preserve"> dès que possible </w:t>
      </w:r>
      <w:r w:rsidRPr="006055D3">
        <w:rPr>
          <w:u w:val="single"/>
          <w:lang w:val="fr-CA"/>
        </w:rPr>
        <w:t>par voie électronique une copie de l</w:t>
      </w:r>
      <w:r>
        <w:rPr>
          <w:u w:val="single"/>
          <w:lang w:val="fr-CA"/>
        </w:rPr>
        <w:t>’</w:t>
      </w:r>
      <w:r w:rsidRPr="006055D3">
        <w:rPr>
          <w:u w:val="single"/>
          <w:lang w:val="fr-CA"/>
        </w:rPr>
        <w:t>avis à la personne à qui appartient l</w:t>
      </w:r>
      <w:r>
        <w:rPr>
          <w:u w:val="single"/>
          <w:lang w:val="fr-CA"/>
        </w:rPr>
        <w:t>’</w:t>
      </w:r>
      <w:r w:rsidRPr="006055D3">
        <w:rPr>
          <w:u w:val="single"/>
          <w:lang w:val="fr-CA"/>
        </w:rPr>
        <w:t>emplacement électronique identifié par les données de localisation qui sont précisées dans l</w:t>
      </w:r>
      <w:r>
        <w:rPr>
          <w:u w:val="single"/>
          <w:lang w:val="fr-CA"/>
        </w:rPr>
        <w:t>’</w:t>
      </w:r>
      <w:r w:rsidRPr="006055D3">
        <w:rPr>
          <w:u w:val="single"/>
          <w:lang w:val="fr-CA"/>
        </w:rPr>
        <w:t>avis</w:t>
      </w:r>
      <w:r w:rsidRPr="006055D3">
        <w:rPr>
          <w:lang w:val="fr-CA"/>
        </w:rPr>
        <w:t xml:space="preserve"> et </w:t>
      </w:r>
      <w:r w:rsidRPr="006055D3">
        <w:rPr>
          <w:u w:val="single"/>
          <w:lang w:val="fr-CA"/>
        </w:rPr>
        <w:t>informer</w:t>
      </w:r>
      <w:r w:rsidRPr="00861974">
        <w:rPr>
          <w:lang w:val="fr-CA"/>
        </w:rPr>
        <w:t xml:space="preserve"> </w:t>
      </w:r>
      <w:r w:rsidRPr="006055D3">
        <w:rPr>
          <w:lang w:val="fr-CA"/>
        </w:rPr>
        <w:t xml:space="preserve">dès que possible </w:t>
      </w:r>
      <w:r w:rsidRPr="006055D3">
        <w:rPr>
          <w:u w:val="single"/>
          <w:lang w:val="fr-CA"/>
        </w:rPr>
        <w:t>le demandeur de cette transmission ou, le cas échéant, des raisons pour lesquelles elle n</w:t>
      </w:r>
      <w:r>
        <w:rPr>
          <w:u w:val="single"/>
          <w:lang w:val="fr-CA"/>
        </w:rPr>
        <w:t>’</w:t>
      </w:r>
      <w:r w:rsidRPr="006055D3">
        <w:rPr>
          <w:u w:val="single"/>
          <w:lang w:val="fr-CA"/>
        </w:rPr>
        <w:t>a pas pu l</w:t>
      </w:r>
      <w:r>
        <w:rPr>
          <w:u w:val="single"/>
          <w:lang w:val="fr-CA"/>
        </w:rPr>
        <w:t>’</w:t>
      </w:r>
      <w:r w:rsidRPr="006055D3">
        <w:rPr>
          <w:u w:val="single"/>
          <w:lang w:val="fr-CA"/>
        </w:rPr>
        <w:t>effectuer</w:t>
      </w:r>
      <w:r w:rsidRPr="006055D3">
        <w:rPr>
          <w:lang w:val="fr-CA"/>
        </w:rPr>
        <w:t>;</w:t>
      </w:r>
    </w:p>
    <w:p w:rsidR="00E8197E" w:rsidRPr="006055D3" w:rsidRDefault="00E8197E" w:rsidP="00E8197E">
      <w:pPr>
        <w:pStyle w:val="Citation-AltC"/>
        <w:ind w:left="1440" w:hanging="1440"/>
        <w:contextualSpacing w:val="0"/>
        <w:rPr>
          <w:lang w:val="fr-CA"/>
        </w:rPr>
      </w:pPr>
      <w:r w:rsidRPr="006055D3">
        <w:rPr>
          <w:b/>
          <w:lang w:val="fr-CA"/>
        </w:rPr>
        <w:tab/>
      </w:r>
      <w:r>
        <w:rPr>
          <w:b/>
          <w:lang w:val="fr-CA"/>
        </w:rPr>
        <w:t>b) </w:t>
      </w:r>
      <w:r w:rsidRPr="006055D3">
        <w:rPr>
          <w:u w:val="single"/>
          <w:lang w:val="fr-CA"/>
        </w:rPr>
        <w:t>conserver</w:t>
      </w:r>
      <w:r w:rsidRPr="006055D3">
        <w:rPr>
          <w:lang w:val="fr-CA"/>
        </w:rPr>
        <w:t>, pour une période de six mois à compter de la date de réception de l</w:t>
      </w:r>
      <w:r>
        <w:rPr>
          <w:lang w:val="fr-CA"/>
        </w:rPr>
        <w:t>’</w:t>
      </w:r>
      <w:r w:rsidRPr="006055D3">
        <w:rPr>
          <w:lang w:val="fr-CA"/>
        </w:rPr>
        <w:t xml:space="preserve">avis de prétendue violation, </w:t>
      </w:r>
      <w:r w:rsidRPr="006055D3">
        <w:rPr>
          <w:u w:val="single"/>
          <w:lang w:val="fr-CA"/>
        </w:rPr>
        <w:t>un registre permettant d</w:t>
      </w:r>
      <w:r>
        <w:rPr>
          <w:u w:val="single"/>
          <w:lang w:val="fr-CA"/>
        </w:rPr>
        <w:t>’</w:t>
      </w:r>
      <w:r w:rsidRPr="006055D3">
        <w:rPr>
          <w:u w:val="single"/>
          <w:lang w:val="fr-CA"/>
        </w:rPr>
        <w:t>identifier la personne à qui appartient l</w:t>
      </w:r>
      <w:r>
        <w:rPr>
          <w:u w:val="single"/>
          <w:lang w:val="fr-CA"/>
        </w:rPr>
        <w:t>’</w:t>
      </w:r>
      <w:r w:rsidRPr="006055D3">
        <w:rPr>
          <w:u w:val="single"/>
          <w:lang w:val="fr-CA"/>
        </w:rPr>
        <w:t>emplacement électronique</w:t>
      </w:r>
      <w:r w:rsidRPr="006055D3">
        <w:rPr>
          <w:lang w:val="fr-CA"/>
        </w:rPr>
        <w:t xml:space="preserve"> et, dans le cas où, avant la fin de cette période, une procédure est engagée par le titulaire du droit d</w:t>
      </w:r>
      <w:r>
        <w:rPr>
          <w:lang w:val="fr-CA"/>
        </w:rPr>
        <w:t>’</w:t>
      </w:r>
      <w:r w:rsidRPr="006055D3">
        <w:rPr>
          <w:lang w:val="fr-CA"/>
        </w:rPr>
        <w:t>auteur à l</w:t>
      </w:r>
      <w:r>
        <w:rPr>
          <w:lang w:val="fr-CA"/>
        </w:rPr>
        <w:t>’</w:t>
      </w:r>
      <w:r w:rsidRPr="006055D3">
        <w:rPr>
          <w:lang w:val="fr-CA"/>
        </w:rPr>
        <w:t>égard de la prétendue violation et qu</w:t>
      </w:r>
      <w:r>
        <w:rPr>
          <w:lang w:val="fr-CA"/>
        </w:rPr>
        <w:t>’</w:t>
      </w:r>
      <w:r w:rsidRPr="006055D3">
        <w:rPr>
          <w:lang w:val="fr-CA"/>
        </w:rPr>
        <w:t>elle en a reçu avis, conserver le registre pour une période d</w:t>
      </w:r>
      <w:r>
        <w:rPr>
          <w:lang w:val="fr-CA"/>
        </w:rPr>
        <w:t>’</w:t>
      </w:r>
      <w:r w:rsidRPr="006055D3">
        <w:rPr>
          <w:lang w:val="fr-CA"/>
        </w:rPr>
        <w:t>un an suivant la date de la réception de l</w:t>
      </w:r>
      <w:r>
        <w:rPr>
          <w:lang w:val="fr-CA"/>
        </w:rPr>
        <w:t>’</w:t>
      </w:r>
      <w:r w:rsidRPr="006055D3">
        <w:rPr>
          <w:lang w:val="fr-CA"/>
        </w:rPr>
        <w:t>avis de prétendue violation.</w:t>
      </w:r>
    </w:p>
    <w:p w:rsidR="00E8197E" w:rsidRPr="006055D3" w:rsidRDefault="00E8197E" w:rsidP="00E8197E">
      <w:pPr>
        <w:pStyle w:val="ParaNoNdepar-AltN"/>
        <w:rPr>
          <w:rFonts w:cs="Times New Roman"/>
          <w:lang w:val="fr-CA"/>
        </w:rPr>
      </w:pPr>
      <w:r w:rsidRPr="006055D3">
        <w:rPr>
          <w:rFonts w:cs="Times New Roman"/>
          <w:lang w:val="fr-CA"/>
        </w:rPr>
        <w:lastRenderedPageBreak/>
        <w:t>Le paragraphe 41.26(2) de la Loi indique si un FSI peut exiger des droits pour se conformer à ces obligations :</w:t>
      </w:r>
    </w:p>
    <w:p w:rsidR="00E8197E" w:rsidRPr="006055D3" w:rsidRDefault="00E8197E" w:rsidP="00E8197E">
      <w:pPr>
        <w:pStyle w:val="Citation-AltC"/>
        <w:spacing w:after="240"/>
        <w:ind w:hanging="1166"/>
        <w:contextualSpacing w:val="0"/>
        <w:rPr>
          <w:b/>
          <w:lang w:val="fr-CA"/>
        </w:rPr>
      </w:pPr>
      <w:r w:rsidRPr="006055D3">
        <w:rPr>
          <w:b/>
          <w:lang w:val="fr-CA"/>
        </w:rPr>
        <w:tab/>
        <w:t>Droits</w:t>
      </w:r>
    </w:p>
    <w:p w:rsidR="00E8197E" w:rsidRPr="006055D3" w:rsidRDefault="00E8197E" w:rsidP="00E8197E">
      <w:pPr>
        <w:pStyle w:val="Citation-AltC"/>
        <w:ind w:hanging="1166"/>
        <w:contextualSpacing w:val="0"/>
        <w:rPr>
          <w:lang w:val="fr-CA"/>
        </w:rPr>
      </w:pPr>
      <w:r w:rsidRPr="006055D3">
        <w:rPr>
          <w:b/>
          <w:lang w:val="fr-CA"/>
        </w:rPr>
        <w:tab/>
        <w:t>(2)</w:t>
      </w:r>
      <w:r>
        <w:rPr>
          <w:lang w:val="fr-CA"/>
        </w:rPr>
        <w:t> </w:t>
      </w:r>
      <w:r w:rsidRPr="006055D3">
        <w:rPr>
          <w:lang w:val="fr-CA"/>
        </w:rPr>
        <w:t>Le ministre peut, par règlement, fixer le montant maximal des droits qui peuvent être exigés pour les actes prévus au paragraphe (1). À défaut de règlement à cet effet, le montant de ces droits est nul.</w:t>
      </w:r>
    </w:p>
    <w:p w:rsidR="00E8197E" w:rsidRPr="006055D3" w:rsidRDefault="00E8197E" w:rsidP="00E8197E">
      <w:pPr>
        <w:pStyle w:val="ContinueParaSuitedupar-AltP"/>
        <w:rPr>
          <w:rFonts w:cs="Times New Roman"/>
          <w:lang w:val="fr-CA"/>
        </w:rPr>
      </w:pPr>
      <w:r w:rsidRPr="006055D3">
        <w:rPr>
          <w:rFonts w:cs="Times New Roman"/>
          <w:lang w:val="fr-CA"/>
        </w:rPr>
        <w:t>Jusqu</w:t>
      </w:r>
      <w:r>
        <w:rPr>
          <w:rFonts w:cs="Times New Roman"/>
          <w:lang w:val="fr-CA"/>
        </w:rPr>
        <w:t>’</w:t>
      </w:r>
      <w:r w:rsidRPr="006055D3">
        <w:rPr>
          <w:rFonts w:cs="Times New Roman"/>
          <w:lang w:val="fr-CA"/>
        </w:rPr>
        <w:t>à présent, le ministre n</w:t>
      </w:r>
      <w:r>
        <w:rPr>
          <w:rFonts w:cs="Times New Roman"/>
          <w:lang w:val="fr-CA"/>
        </w:rPr>
        <w:t>’</w:t>
      </w:r>
      <w:r w:rsidRPr="006055D3">
        <w:rPr>
          <w:rFonts w:cs="Times New Roman"/>
          <w:lang w:val="fr-CA"/>
        </w:rPr>
        <w:t xml:space="preserve">a pas fixé de montant maximal pour les droits. En application du par. 41.26(2), le FSI ne peut donc pas exiger de droits pour se conformer aux obligations qui lui incombent en application du par. 41.26(1). </w:t>
      </w:r>
    </w:p>
    <w:p w:rsidR="00E8197E" w:rsidRPr="006055D3" w:rsidRDefault="00E8197E" w:rsidP="00E8197E">
      <w:pPr>
        <w:pStyle w:val="ParaNoNdepar-AltN"/>
        <w:rPr>
          <w:rFonts w:cs="Times New Roman"/>
          <w:lang w:val="fr-CA"/>
        </w:rPr>
      </w:pPr>
      <w:r w:rsidRPr="006055D3">
        <w:rPr>
          <w:rFonts w:cs="Times New Roman"/>
          <w:lang w:val="fr-CA"/>
        </w:rPr>
        <w:t>En conséquence, la question à trancher est la suivante : la portée des obligations de Rogers en tant que FSI prévues au par. 41.26(1), peut</w:t>
      </w:r>
      <w:r w:rsidRPr="006055D3">
        <w:rPr>
          <w:rFonts w:cs="Times New Roman"/>
          <w:lang w:val="fr-CA"/>
        </w:rPr>
        <w:noBreakHyphen/>
        <w:t>elle</w:t>
      </w:r>
    </w:p>
    <w:p w:rsidR="00E8197E" w:rsidRPr="006055D3" w:rsidRDefault="00E8197E" w:rsidP="00861974">
      <w:pPr>
        <w:pStyle w:val="Citation-AltC"/>
        <w:tabs>
          <w:tab w:val="left" w:pos="1170"/>
        </w:tabs>
        <w:spacing w:after="480" w:line="480" w:lineRule="auto"/>
        <w:ind w:left="1170" w:hanging="1170"/>
        <w:contextualSpacing w:val="0"/>
        <w:rPr>
          <w:lang w:val="fr-CA"/>
        </w:rPr>
      </w:pPr>
      <w:r w:rsidRPr="006055D3">
        <w:rPr>
          <w:lang w:val="fr-CA"/>
        </w:rPr>
        <w:t>(1)</w:t>
      </w:r>
      <w:r w:rsidRPr="006055D3">
        <w:rPr>
          <w:lang w:val="fr-CA"/>
        </w:rPr>
        <w:tab/>
      </w:r>
      <w:r w:rsidRPr="006055D3">
        <w:rPr>
          <w:i/>
          <w:lang w:val="fr-CA"/>
        </w:rPr>
        <w:t xml:space="preserve">chevaucher entièrement </w:t>
      </w:r>
      <w:r w:rsidRPr="006055D3">
        <w:rPr>
          <w:lang w:val="fr-CA"/>
        </w:rPr>
        <w:t>les mesures que Rogers pourrait être tenue de prendre aux termes de l</w:t>
      </w:r>
      <w:r>
        <w:rPr>
          <w:lang w:val="fr-CA"/>
        </w:rPr>
        <w:t>’</w:t>
      </w:r>
      <w:r w:rsidRPr="006055D3">
        <w:rPr>
          <w:lang w:val="fr-CA"/>
        </w:rPr>
        <w:t xml:space="preserve">ordonnance de type </w:t>
      </w:r>
      <w:r w:rsidRPr="006055D3">
        <w:rPr>
          <w:i/>
          <w:lang w:val="fr-CA"/>
        </w:rPr>
        <w:t>Norwich</w:t>
      </w:r>
      <w:r w:rsidRPr="006055D3">
        <w:rPr>
          <w:lang w:val="fr-CA"/>
        </w:rPr>
        <w:t xml:space="preserve"> qu</w:t>
      </w:r>
      <w:r>
        <w:rPr>
          <w:lang w:val="fr-CA"/>
        </w:rPr>
        <w:t>’</w:t>
      </w:r>
      <w:r w:rsidRPr="006055D3">
        <w:rPr>
          <w:lang w:val="fr-CA"/>
        </w:rPr>
        <w:t>a obtenue Voltage (et, le cas échéant, Rogers peut</w:t>
      </w:r>
      <w:r w:rsidRPr="006055D3">
        <w:rPr>
          <w:lang w:val="fr-CA"/>
        </w:rPr>
        <w:noBreakHyphen/>
        <w:t>elle tout de même exiger des droits pour les coûts raisonnables occasionnés afin de se conformer à l</w:t>
      </w:r>
      <w:r>
        <w:rPr>
          <w:lang w:val="fr-CA"/>
        </w:rPr>
        <w:t>’</w:t>
      </w:r>
      <w:r w:rsidRPr="006055D3">
        <w:rPr>
          <w:lang w:val="fr-CA"/>
        </w:rPr>
        <w:t>ordonnance de type</w:t>
      </w:r>
      <w:r w:rsidRPr="006055D3">
        <w:rPr>
          <w:i/>
          <w:lang w:val="fr-CA"/>
        </w:rPr>
        <w:t xml:space="preserve"> Norwich</w:t>
      </w:r>
      <w:r w:rsidRPr="006055D3">
        <w:rPr>
          <w:lang w:val="fr-CA"/>
        </w:rPr>
        <w:t>)?</w:t>
      </w:r>
    </w:p>
    <w:p w:rsidR="00E8197E" w:rsidRPr="006055D3" w:rsidRDefault="00E8197E" w:rsidP="00861974">
      <w:pPr>
        <w:pStyle w:val="Citation-AltC"/>
        <w:tabs>
          <w:tab w:val="left" w:pos="1170"/>
        </w:tabs>
        <w:spacing w:after="480" w:line="480" w:lineRule="auto"/>
        <w:ind w:left="1170" w:hanging="1170"/>
        <w:contextualSpacing w:val="0"/>
        <w:rPr>
          <w:lang w:val="fr-CA"/>
        </w:rPr>
      </w:pPr>
      <w:r w:rsidRPr="006055D3">
        <w:rPr>
          <w:lang w:val="fr-CA"/>
        </w:rPr>
        <w:t>(2)</w:t>
      </w:r>
      <w:r w:rsidRPr="006055D3">
        <w:rPr>
          <w:lang w:val="fr-CA"/>
        </w:rPr>
        <w:tab/>
      </w:r>
      <w:r w:rsidRPr="006055D3">
        <w:rPr>
          <w:i/>
          <w:lang w:val="fr-CA"/>
        </w:rPr>
        <w:t>ne pas chevaucher</w:t>
      </w:r>
      <w:r w:rsidRPr="006055D3">
        <w:rPr>
          <w:lang w:val="fr-CA"/>
        </w:rPr>
        <w:t xml:space="preserve"> ces mesures (auquel cas Rogers aurait droit aux coûts raisonnables occasionnés afin de se conformer à l</w:t>
      </w:r>
      <w:r>
        <w:rPr>
          <w:lang w:val="fr-CA"/>
        </w:rPr>
        <w:t>’</w:t>
      </w:r>
      <w:r w:rsidRPr="006055D3">
        <w:rPr>
          <w:lang w:val="fr-CA"/>
        </w:rPr>
        <w:t xml:space="preserve">ordonnance)? ou, </w:t>
      </w:r>
    </w:p>
    <w:p w:rsidR="00E8197E" w:rsidRPr="006055D3" w:rsidRDefault="00E8197E" w:rsidP="00861974">
      <w:pPr>
        <w:pStyle w:val="Citation-AltC"/>
        <w:tabs>
          <w:tab w:val="left" w:pos="1170"/>
        </w:tabs>
        <w:spacing w:after="480" w:line="480" w:lineRule="auto"/>
        <w:ind w:left="1170" w:hanging="1170"/>
        <w:contextualSpacing w:val="0"/>
        <w:rPr>
          <w:lang w:val="fr-CA"/>
        </w:rPr>
      </w:pPr>
      <w:r w:rsidRPr="006055D3">
        <w:rPr>
          <w:lang w:val="fr-CA"/>
        </w:rPr>
        <w:t>(3)</w:t>
      </w:r>
      <w:r w:rsidRPr="006055D3">
        <w:rPr>
          <w:lang w:val="fr-CA"/>
        </w:rPr>
        <w:tab/>
      </w:r>
      <w:r w:rsidRPr="006055D3">
        <w:rPr>
          <w:i/>
          <w:lang w:val="fr-CA"/>
        </w:rPr>
        <w:t>chevaucher en partie</w:t>
      </w:r>
      <w:r w:rsidRPr="006055D3">
        <w:rPr>
          <w:lang w:val="fr-CA"/>
        </w:rPr>
        <w:t xml:space="preserve"> ces mesures (et, le cas échéant, dans quelle mesure Rogers peut</w:t>
      </w:r>
      <w:r w:rsidRPr="006055D3">
        <w:rPr>
          <w:lang w:val="fr-CA"/>
        </w:rPr>
        <w:noBreakHyphen/>
        <w:t xml:space="preserve">elle tout de même exiger des droits pour les coûts raisonnables </w:t>
      </w:r>
      <w:r w:rsidRPr="006055D3">
        <w:rPr>
          <w:lang w:val="fr-CA"/>
        </w:rPr>
        <w:lastRenderedPageBreak/>
        <w:t>occasionnés afin de se conformer à l</w:t>
      </w:r>
      <w:r>
        <w:rPr>
          <w:lang w:val="fr-CA"/>
        </w:rPr>
        <w:t>’</w:t>
      </w:r>
      <w:r w:rsidRPr="006055D3">
        <w:rPr>
          <w:lang w:val="fr-CA"/>
        </w:rPr>
        <w:t>ordonnance, compte tenu du chevauchement de ces mesures)?</w:t>
      </w:r>
    </w:p>
    <w:p w:rsidR="00E8197E" w:rsidRPr="006055D3" w:rsidRDefault="00E8197E" w:rsidP="00E8197E">
      <w:pPr>
        <w:pStyle w:val="ContinueParaSuitedupar-AltP"/>
        <w:rPr>
          <w:rFonts w:cs="Times New Roman"/>
          <w:lang w:val="fr-CA"/>
        </w:rPr>
      </w:pPr>
      <w:r w:rsidRPr="006055D3">
        <w:rPr>
          <w:rFonts w:cs="Times New Roman"/>
          <w:lang w:val="fr-CA"/>
        </w:rPr>
        <w:t>Comme je l</w:t>
      </w:r>
      <w:r>
        <w:rPr>
          <w:rFonts w:cs="Times New Roman"/>
          <w:lang w:val="fr-CA"/>
        </w:rPr>
        <w:t>’</w:t>
      </w:r>
      <w:r w:rsidRPr="006055D3">
        <w:rPr>
          <w:rFonts w:cs="Times New Roman"/>
          <w:lang w:val="fr-CA"/>
        </w:rPr>
        <w:t>expliquerai plus loin, les juridictions inférieures ont divergé sur ce point. Bien que les motifs du juge des requêtes ne soient pas tout à fait clairs, celui</w:t>
      </w:r>
      <w:r w:rsidRPr="006055D3">
        <w:rPr>
          <w:rFonts w:cs="Times New Roman"/>
          <w:lang w:val="fr-CA"/>
        </w:rPr>
        <w:noBreakHyphen/>
        <w:t>ci semble avoir tenu pour acquis que la deuxième interprétation était correcte, puisque les art. 41.25 et 41.26 n</w:t>
      </w:r>
      <w:r>
        <w:rPr>
          <w:rFonts w:cs="Times New Roman"/>
          <w:lang w:val="fr-CA"/>
        </w:rPr>
        <w:t>’</w:t>
      </w:r>
      <w:r w:rsidRPr="006055D3">
        <w:rPr>
          <w:rFonts w:cs="Times New Roman"/>
          <w:lang w:val="fr-CA"/>
        </w:rPr>
        <w:t xml:space="preserve">ont pas, selon lui, abrogé « le droit et les principes établis concernant les [. . .] ordonnances [de type </w:t>
      </w:r>
      <w:r w:rsidRPr="006055D3">
        <w:rPr>
          <w:rFonts w:cs="Times New Roman"/>
          <w:i/>
          <w:lang w:val="fr-CA"/>
        </w:rPr>
        <w:t>Norwich</w:t>
      </w:r>
      <w:r w:rsidRPr="006055D3">
        <w:rPr>
          <w:rFonts w:cs="Times New Roman"/>
          <w:lang w:val="fr-CA"/>
        </w:rPr>
        <w:t>] » (par. 12</w:t>
      </w:r>
      <w:r w:rsidR="00861974">
        <w:rPr>
          <w:rFonts w:cs="Times New Roman"/>
          <w:lang w:val="fr-CA"/>
        </w:rPr>
        <w:t xml:space="preserve"> (CanLII)</w:t>
      </w:r>
      <w:r w:rsidRPr="006055D3">
        <w:rPr>
          <w:rFonts w:cs="Times New Roman"/>
          <w:lang w:val="fr-CA"/>
        </w:rPr>
        <w:t>). Par conséquent, il a autorisé Rogers à recouvrer les coûts de toutes les mesures qu</w:t>
      </w:r>
      <w:r>
        <w:rPr>
          <w:rFonts w:cs="Times New Roman"/>
          <w:lang w:val="fr-CA"/>
        </w:rPr>
        <w:t>’</w:t>
      </w:r>
      <w:r w:rsidRPr="006055D3">
        <w:rPr>
          <w:rFonts w:cs="Times New Roman"/>
          <w:lang w:val="fr-CA"/>
        </w:rPr>
        <w:t>elle affirmait être nécessaires pour se conformer à l</w:t>
      </w:r>
      <w:r>
        <w:rPr>
          <w:rFonts w:cs="Times New Roman"/>
          <w:lang w:val="fr-CA"/>
        </w:rPr>
        <w:t>’</w:t>
      </w:r>
      <w:r w:rsidRPr="006055D3">
        <w:rPr>
          <w:rFonts w:cs="Times New Roman"/>
          <w:lang w:val="fr-CA"/>
        </w:rPr>
        <w:t xml:space="preserve">ordonnance de type </w:t>
      </w:r>
      <w:r w:rsidRPr="006055D3">
        <w:rPr>
          <w:rFonts w:cs="Times New Roman"/>
          <w:i/>
          <w:lang w:val="fr-CA"/>
        </w:rPr>
        <w:t>Norwich. </w:t>
      </w:r>
      <w:r w:rsidRPr="006055D3">
        <w:rPr>
          <w:rFonts w:cs="Times New Roman"/>
          <w:lang w:val="fr-CA"/>
        </w:rPr>
        <w:t>Toutefois, l</w:t>
      </w:r>
      <w:r>
        <w:rPr>
          <w:rFonts w:cs="Times New Roman"/>
          <w:lang w:val="fr-CA"/>
        </w:rPr>
        <w:t>’</w:t>
      </w:r>
      <w:r w:rsidRPr="006055D3">
        <w:rPr>
          <w:rFonts w:cs="Times New Roman"/>
          <w:lang w:val="fr-CA"/>
        </w:rPr>
        <w:t>interprétation faite par la Cour d</w:t>
      </w:r>
      <w:r>
        <w:rPr>
          <w:rFonts w:cs="Times New Roman"/>
          <w:lang w:val="fr-CA"/>
        </w:rPr>
        <w:t>’</w:t>
      </w:r>
      <w:r w:rsidRPr="006055D3">
        <w:rPr>
          <w:rFonts w:cs="Times New Roman"/>
          <w:lang w:val="fr-CA"/>
        </w:rPr>
        <w:t>appel fédérale aurait limité le recouvrement de Rogers aux coûts raisonnables liés à la communication en tant que telle lors de l</w:t>
      </w:r>
      <w:r>
        <w:rPr>
          <w:rFonts w:cs="Times New Roman"/>
          <w:lang w:val="fr-CA"/>
        </w:rPr>
        <w:t>’</w:t>
      </w:r>
      <w:r w:rsidRPr="006055D3">
        <w:rPr>
          <w:rFonts w:cs="Times New Roman"/>
          <w:lang w:val="fr-CA"/>
        </w:rPr>
        <w:t>exécution de l</w:t>
      </w:r>
      <w:r>
        <w:rPr>
          <w:rFonts w:cs="Times New Roman"/>
          <w:lang w:val="fr-CA"/>
        </w:rPr>
        <w:t>’</w:t>
      </w:r>
      <w:r w:rsidRPr="006055D3">
        <w:rPr>
          <w:rFonts w:cs="Times New Roman"/>
          <w:lang w:val="fr-CA"/>
        </w:rPr>
        <w:t xml:space="preserve">ordonnance de type </w:t>
      </w:r>
      <w:r w:rsidRPr="006055D3">
        <w:rPr>
          <w:rFonts w:cs="Times New Roman"/>
          <w:i/>
          <w:lang w:val="fr-CA"/>
        </w:rPr>
        <w:t>Norwich</w:t>
      </w:r>
      <w:r w:rsidRPr="002D6F28">
        <w:rPr>
          <w:rFonts w:cs="Times New Roman"/>
          <w:lang w:val="fr-CA"/>
        </w:rPr>
        <w:t>.</w:t>
      </w:r>
      <w:r w:rsidRPr="006055D3">
        <w:rPr>
          <w:rFonts w:cs="Times New Roman"/>
          <w:i/>
          <w:lang w:val="fr-CA"/>
        </w:rPr>
        <w:t> </w:t>
      </w:r>
      <w:r w:rsidRPr="006055D3">
        <w:rPr>
          <w:rFonts w:cs="Times New Roman"/>
          <w:lang w:val="fr-CA"/>
        </w:rPr>
        <w:t xml:space="preserve">Pour la </w:t>
      </w:r>
      <w:r>
        <w:rPr>
          <w:rFonts w:cs="Times New Roman"/>
          <w:lang w:val="fr-CA"/>
        </w:rPr>
        <w:t>c</w:t>
      </w:r>
      <w:r w:rsidRPr="006055D3">
        <w:rPr>
          <w:rFonts w:cs="Times New Roman"/>
          <w:lang w:val="fr-CA"/>
        </w:rPr>
        <w:t>our, le reste des coûts réclamés par Rogers étaient irrécouvrables, puisqu</w:t>
      </w:r>
      <w:r>
        <w:rPr>
          <w:rFonts w:cs="Times New Roman"/>
          <w:lang w:val="fr-CA"/>
        </w:rPr>
        <w:t>’</w:t>
      </w:r>
      <w:r w:rsidRPr="006055D3">
        <w:rPr>
          <w:rFonts w:cs="Times New Roman"/>
          <w:lang w:val="fr-CA"/>
        </w:rPr>
        <w:t xml:space="preserve">ils chevauchaient les mesures faisant partie des obligations implicites de Rogers dans le cadre du régime législatif. </w:t>
      </w:r>
    </w:p>
    <w:p w:rsidR="00E8197E" w:rsidRPr="006055D3" w:rsidRDefault="00E8197E" w:rsidP="00E8197E">
      <w:pPr>
        <w:pStyle w:val="Title2LevelTitre2Niveau"/>
        <w:rPr>
          <w:rFonts w:cs="Times New Roman"/>
          <w:lang w:val="fr-CA"/>
        </w:rPr>
      </w:pPr>
      <w:r w:rsidRPr="006055D3">
        <w:rPr>
          <w:rFonts w:cs="Times New Roman"/>
          <w:lang w:val="fr-CA"/>
        </w:rPr>
        <w:t>Historique judiciaire</w:t>
      </w:r>
    </w:p>
    <w:p w:rsidR="00E8197E" w:rsidRPr="006055D3" w:rsidRDefault="00E8197E" w:rsidP="00E8197E">
      <w:pPr>
        <w:pStyle w:val="Title3LevelTitre3Niveau"/>
        <w:rPr>
          <w:rFonts w:cs="Times New Roman"/>
          <w:lang w:val="fr-CA"/>
        </w:rPr>
      </w:pPr>
      <w:r w:rsidRPr="006055D3">
        <w:rPr>
          <w:rFonts w:cs="Times New Roman"/>
          <w:lang w:val="fr-CA"/>
        </w:rPr>
        <w:t>Cour fédérale, 2016 CF 881 — le juge Boswell</w:t>
      </w:r>
    </w:p>
    <w:p w:rsidR="00E8197E" w:rsidRPr="006055D3" w:rsidRDefault="00E8197E" w:rsidP="00E8197E">
      <w:pPr>
        <w:pStyle w:val="ParaNoNdepar-AltN"/>
        <w:rPr>
          <w:rFonts w:cs="Times New Roman"/>
          <w:lang w:val="fr-CA"/>
        </w:rPr>
      </w:pPr>
      <w:r w:rsidRPr="006055D3">
        <w:rPr>
          <w:rFonts w:cs="Times New Roman"/>
          <w:lang w:val="fr-CA"/>
        </w:rPr>
        <w:t>Comme je l</w:t>
      </w:r>
      <w:r>
        <w:rPr>
          <w:rFonts w:cs="Times New Roman"/>
          <w:lang w:val="fr-CA"/>
        </w:rPr>
        <w:t>’</w:t>
      </w:r>
      <w:r w:rsidRPr="006055D3">
        <w:rPr>
          <w:rFonts w:cs="Times New Roman"/>
          <w:lang w:val="fr-CA"/>
        </w:rPr>
        <w:t xml:space="preserve">ai déjà mentionné, Voltage a sollicité une ordonnance de type </w:t>
      </w:r>
      <w:r w:rsidRPr="006055D3">
        <w:rPr>
          <w:rFonts w:cs="Times New Roman"/>
          <w:i/>
          <w:lang w:val="fr-CA"/>
        </w:rPr>
        <w:t>Norwich</w:t>
      </w:r>
      <w:r w:rsidRPr="006055D3">
        <w:rPr>
          <w:rFonts w:cs="Times New Roman"/>
          <w:lang w:val="fr-CA"/>
        </w:rPr>
        <w:t xml:space="preserve"> obligeant Rogers à communiquer [</w:t>
      </w:r>
      <w:r w:rsidRPr="006055D3">
        <w:rPr>
          <w:rFonts w:cs="Times New Roman"/>
          <w:smallCaps/>
          <w:lang w:val="fr-CA"/>
        </w:rPr>
        <w:t>traduction</w:t>
      </w:r>
      <w:r w:rsidRPr="006055D3">
        <w:rPr>
          <w:rFonts w:cs="Times New Roman"/>
          <w:lang w:val="fr-CA"/>
        </w:rPr>
        <w:t>] « toutes les coordonnées et tous les renseignements personnels » de M. Untel sans « aucun droit à payer » à Rogers conformément aux art. 41.25 et 41.26 de la Loi. Lors de l</w:t>
      </w:r>
      <w:r>
        <w:rPr>
          <w:rFonts w:cs="Times New Roman"/>
          <w:lang w:val="fr-CA"/>
        </w:rPr>
        <w:t>’</w:t>
      </w:r>
      <w:r w:rsidRPr="006055D3">
        <w:rPr>
          <w:rFonts w:cs="Times New Roman"/>
          <w:lang w:val="fr-CA"/>
        </w:rPr>
        <w:t>instruction de la requête, Rogers n</w:t>
      </w:r>
      <w:r>
        <w:rPr>
          <w:rFonts w:cs="Times New Roman"/>
          <w:lang w:val="fr-CA"/>
        </w:rPr>
        <w:t>’</w:t>
      </w:r>
      <w:r w:rsidRPr="006055D3">
        <w:rPr>
          <w:rFonts w:cs="Times New Roman"/>
          <w:lang w:val="fr-CA"/>
        </w:rPr>
        <w:t>a pas pris position quant à la question de savoir si Voltage avait le droit d</w:t>
      </w:r>
      <w:r>
        <w:rPr>
          <w:rFonts w:cs="Times New Roman"/>
          <w:lang w:val="fr-CA"/>
        </w:rPr>
        <w:t>’</w:t>
      </w:r>
      <w:r w:rsidRPr="006055D3">
        <w:rPr>
          <w:rFonts w:cs="Times New Roman"/>
          <w:lang w:val="fr-CA"/>
        </w:rPr>
        <w:t xml:space="preserve">obtenir une ordonnance de type </w:t>
      </w:r>
      <w:r w:rsidRPr="006055D3">
        <w:rPr>
          <w:rFonts w:cs="Times New Roman"/>
          <w:i/>
          <w:lang w:val="fr-CA"/>
        </w:rPr>
        <w:t>Norwich.</w:t>
      </w:r>
      <w:r w:rsidRPr="006055D3">
        <w:rPr>
          <w:rFonts w:cs="Times New Roman"/>
          <w:lang w:val="fr-CA"/>
        </w:rPr>
        <w:t xml:space="preserve"> Elle a cependant soutenu que, si </w:t>
      </w:r>
      <w:r w:rsidRPr="006055D3">
        <w:rPr>
          <w:rFonts w:cs="Times New Roman"/>
          <w:lang w:val="fr-CA"/>
        </w:rPr>
        <w:lastRenderedPageBreak/>
        <w:t>l</w:t>
      </w:r>
      <w:r>
        <w:rPr>
          <w:rFonts w:cs="Times New Roman"/>
          <w:lang w:val="fr-CA"/>
        </w:rPr>
        <w:t>’</w:t>
      </w:r>
      <w:r w:rsidRPr="006055D3">
        <w:rPr>
          <w:rFonts w:cs="Times New Roman"/>
          <w:lang w:val="fr-CA"/>
        </w:rPr>
        <w:t>ordonnance était accordée, elle devrait avoir le droit de recouvrer auprès de Voltage les coûts raisonnables occasionnés pour se conformer à cette ordonnance (lesquels étaient, selon les calculs de Rogers, de 100 $ de l</w:t>
      </w:r>
      <w:r>
        <w:rPr>
          <w:rFonts w:cs="Times New Roman"/>
          <w:lang w:val="fr-CA"/>
        </w:rPr>
        <w:t>’</w:t>
      </w:r>
      <w:r w:rsidRPr="006055D3">
        <w:rPr>
          <w:rFonts w:cs="Times New Roman"/>
          <w:lang w:val="fr-CA"/>
        </w:rPr>
        <w:t>heure, TVH en sus).</w:t>
      </w:r>
    </w:p>
    <w:p w:rsidR="00E8197E" w:rsidRPr="006055D3" w:rsidRDefault="00E8197E" w:rsidP="00E8197E">
      <w:pPr>
        <w:pStyle w:val="ParaNoNdepar-AltN"/>
        <w:rPr>
          <w:rFonts w:cs="Times New Roman"/>
          <w:lang w:val="fr-CA"/>
        </w:rPr>
      </w:pPr>
      <w:r w:rsidRPr="006055D3">
        <w:rPr>
          <w:rFonts w:cs="Times New Roman"/>
          <w:lang w:val="fr-CA"/>
        </w:rPr>
        <w:t>Le juge des requêtes a accordé l</w:t>
      </w:r>
      <w:r>
        <w:rPr>
          <w:rFonts w:cs="Times New Roman"/>
          <w:lang w:val="fr-CA"/>
        </w:rPr>
        <w:t>’</w:t>
      </w:r>
      <w:r w:rsidRPr="006055D3">
        <w:rPr>
          <w:rFonts w:cs="Times New Roman"/>
          <w:lang w:val="fr-CA"/>
        </w:rPr>
        <w:t>ordonnance, mais compte tenu des droits à la vie privée entourant la communication de l</w:t>
      </w:r>
      <w:r>
        <w:rPr>
          <w:rFonts w:cs="Times New Roman"/>
          <w:lang w:val="fr-CA"/>
        </w:rPr>
        <w:t>’</w:t>
      </w:r>
      <w:r w:rsidRPr="006055D3">
        <w:rPr>
          <w:rFonts w:cs="Times New Roman"/>
          <w:lang w:val="fr-CA"/>
        </w:rPr>
        <w:t>identité d</w:t>
      </w:r>
      <w:r>
        <w:rPr>
          <w:rFonts w:cs="Times New Roman"/>
          <w:lang w:val="fr-CA"/>
        </w:rPr>
        <w:t>’</w:t>
      </w:r>
      <w:r w:rsidRPr="006055D3">
        <w:rPr>
          <w:rFonts w:cs="Times New Roman"/>
          <w:lang w:val="fr-CA"/>
        </w:rPr>
        <w:t>un abonné à Internet, il a ordonné que Rogers ne révèle que « le nom et l</w:t>
      </w:r>
      <w:r>
        <w:rPr>
          <w:rFonts w:cs="Times New Roman"/>
          <w:lang w:val="fr-CA"/>
        </w:rPr>
        <w:t>’</w:t>
      </w:r>
      <w:r w:rsidRPr="006055D3">
        <w:rPr>
          <w:rFonts w:cs="Times New Roman"/>
          <w:lang w:val="fr-CA"/>
        </w:rPr>
        <w:t>adresse de [M. Untel], tels qu</w:t>
      </w:r>
      <w:r>
        <w:rPr>
          <w:rFonts w:cs="Times New Roman"/>
          <w:lang w:val="fr-CA"/>
        </w:rPr>
        <w:t>’</w:t>
      </w:r>
      <w:r w:rsidRPr="006055D3">
        <w:rPr>
          <w:rFonts w:cs="Times New Roman"/>
          <w:lang w:val="fr-CA"/>
        </w:rPr>
        <w:t>ils figurent dans les dossiers de Rogers » (par. 17). Le juge des requêtes a ensuite examiné, puis accepté, l</w:t>
      </w:r>
      <w:r>
        <w:rPr>
          <w:rFonts w:cs="Times New Roman"/>
          <w:lang w:val="fr-CA"/>
        </w:rPr>
        <w:t>’</w:t>
      </w:r>
      <w:r w:rsidRPr="006055D3">
        <w:rPr>
          <w:rFonts w:cs="Times New Roman"/>
          <w:lang w:val="fr-CA"/>
        </w:rPr>
        <w:t>argument de Rogers selon lequel elle avait le droit de recouvrer les coûts occasionnés pour se conformer à l</w:t>
      </w:r>
      <w:r>
        <w:rPr>
          <w:rFonts w:cs="Times New Roman"/>
          <w:lang w:val="fr-CA"/>
        </w:rPr>
        <w:t>’</w:t>
      </w:r>
      <w:r w:rsidRPr="006055D3">
        <w:rPr>
          <w:rFonts w:cs="Times New Roman"/>
          <w:lang w:val="fr-CA"/>
        </w:rPr>
        <w:t>ordonnance. Il a expliqué que, bien que le régime législatif d</w:t>
      </w:r>
      <w:r>
        <w:rPr>
          <w:rFonts w:cs="Times New Roman"/>
          <w:lang w:val="fr-CA"/>
        </w:rPr>
        <w:t>’</w:t>
      </w:r>
      <w:r w:rsidRPr="006055D3">
        <w:rPr>
          <w:rFonts w:cs="Times New Roman"/>
          <w:lang w:val="fr-CA"/>
        </w:rPr>
        <w:t>avis et avis réglemente le processus par lequel un avis de prétendue violation du droit d</w:t>
      </w:r>
      <w:r>
        <w:rPr>
          <w:rFonts w:cs="Times New Roman"/>
          <w:lang w:val="fr-CA"/>
        </w:rPr>
        <w:t>’</w:t>
      </w:r>
      <w:r w:rsidRPr="006055D3">
        <w:rPr>
          <w:rFonts w:cs="Times New Roman"/>
          <w:lang w:val="fr-CA"/>
        </w:rPr>
        <w:t>auteur est donné tant à un FSI qu</w:t>
      </w:r>
      <w:r>
        <w:rPr>
          <w:rFonts w:cs="Times New Roman"/>
          <w:lang w:val="fr-CA"/>
        </w:rPr>
        <w:t>’</w:t>
      </w:r>
      <w:r w:rsidRPr="006055D3">
        <w:rPr>
          <w:rFonts w:cs="Times New Roman"/>
          <w:lang w:val="fr-CA"/>
        </w:rPr>
        <w:t>à un abonné à Internet, et bien qu</w:t>
      </w:r>
      <w:r>
        <w:rPr>
          <w:rFonts w:cs="Times New Roman"/>
          <w:lang w:val="fr-CA"/>
        </w:rPr>
        <w:t>’</w:t>
      </w:r>
      <w:r w:rsidRPr="006055D3">
        <w:rPr>
          <w:rFonts w:cs="Times New Roman"/>
          <w:lang w:val="fr-CA"/>
        </w:rPr>
        <w:t>il réglemente également la conservation d</w:t>
      </w:r>
      <w:r>
        <w:rPr>
          <w:rFonts w:cs="Times New Roman"/>
          <w:lang w:val="fr-CA"/>
        </w:rPr>
        <w:t>’</w:t>
      </w:r>
      <w:r w:rsidRPr="006055D3">
        <w:rPr>
          <w:rFonts w:cs="Times New Roman"/>
          <w:lang w:val="fr-CA"/>
        </w:rPr>
        <w:t xml:space="preserve">un registre concernant cet avis, le régime </w:t>
      </w:r>
      <w:r w:rsidRPr="006055D3">
        <w:rPr>
          <w:rFonts w:cs="Times New Roman"/>
          <w:i/>
          <w:lang w:val="fr-CA"/>
        </w:rPr>
        <w:t>ne</w:t>
      </w:r>
      <w:r w:rsidRPr="006055D3">
        <w:rPr>
          <w:rFonts w:cs="Times New Roman"/>
          <w:lang w:val="fr-CA"/>
        </w:rPr>
        <w:t xml:space="preserve"> réglemente </w:t>
      </w:r>
      <w:r w:rsidRPr="006055D3">
        <w:rPr>
          <w:rFonts w:cs="Times New Roman"/>
          <w:i/>
          <w:lang w:val="fr-CA"/>
        </w:rPr>
        <w:t>pas</w:t>
      </w:r>
      <w:r w:rsidRPr="006055D3">
        <w:rPr>
          <w:rFonts w:cs="Times New Roman"/>
          <w:lang w:val="fr-CA"/>
        </w:rPr>
        <w:t xml:space="preserve"> la communication par le FSI de l</w:t>
      </w:r>
      <w:r>
        <w:rPr>
          <w:rFonts w:cs="Times New Roman"/>
          <w:lang w:val="fr-CA"/>
        </w:rPr>
        <w:t>’</w:t>
      </w:r>
      <w:r w:rsidRPr="006055D3">
        <w:rPr>
          <w:rFonts w:cs="Times New Roman"/>
          <w:lang w:val="fr-CA"/>
        </w:rPr>
        <w:t>identité d</w:t>
      </w:r>
      <w:r>
        <w:rPr>
          <w:rFonts w:cs="Times New Roman"/>
          <w:lang w:val="fr-CA"/>
        </w:rPr>
        <w:t>’</w:t>
      </w:r>
      <w:r w:rsidRPr="006055D3">
        <w:rPr>
          <w:rFonts w:cs="Times New Roman"/>
          <w:lang w:val="fr-CA"/>
        </w:rPr>
        <w:t>un abonné au titulaire du droit d</w:t>
      </w:r>
      <w:r>
        <w:rPr>
          <w:rFonts w:cs="Times New Roman"/>
          <w:lang w:val="fr-CA"/>
        </w:rPr>
        <w:t>’</w:t>
      </w:r>
      <w:r w:rsidRPr="006055D3">
        <w:rPr>
          <w:rFonts w:cs="Times New Roman"/>
          <w:lang w:val="fr-CA"/>
        </w:rPr>
        <w:t xml:space="preserve">auteur. Pour obtenir une telle communication, le titulaire doit obtenir une ordonnance de type </w:t>
      </w:r>
      <w:r w:rsidRPr="006055D3">
        <w:rPr>
          <w:rFonts w:cs="Times New Roman"/>
          <w:i/>
          <w:lang w:val="fr-CA"/>
        </w:rPr>
        <w:t xml:space="preserve">Norwich. </w:t>
      </w:r>
      <w:r w:rsidRPr="006055D3">
        <w:rPr>
          <w:rFonts w:cs="Times New Roman"/>
          <w:lang w:val="fr-CA"/>
        </w:rPr>
        <w:t>De plus, en common law, le FSI a le droit de recouvrer les coûts raisonnables occasionnés pour se conformer à l</w:t>
      </w:r>
      <w:r>
        <w:rPr>
          <w:rFonts w:cs="Times New Roman"/>
          <w:lang w:val="fr-CA"/>
        </w:rPr>
        <w:t>’</w:t>
      </w:r>
      <w:r w:rsidRPr="006055D3">
        <w:rPr>
          <w:rFonts w:cs="Times New Roman"/>
          <w:lang w:val="fr-CA"/>
        </w:rPr>
        <w:t>ordonnance.</w:t>
      </w:r>
    </w:p>
    <w:p w:rsidR="00E8197E" w:rsidRPr="006055D3" w:rsidRDefault="00E8197E" w:rsidP="00E8197E">
      <w:pPr>
        <w:pStyle w:val="ParaNoNdepar-AltN"/>
        <w:rPr>
          <w:rFonts w:cs="Times New Roman"/>
          <w:lang w:val="fr-CA"/>
        </w:rPr>
      </w:pPr>
      <w:r w:rsidRPr="006055D3">
        <w:rPr>
          <w:rFonts w:cs="Times New Roman"/>
          <w:lang w:val="fr-CA"/>
        </w:rPr>
        <w:t>Alors qu</w:t>
      </w:r>
      <w:r>
        <w:rPr>
          <w:rFonts w:cs="Times New Roman"/>
          <w:lang w:val="fr-CA"/>
        </w:rPr>
        <w:t>’</w:t>
      </w:r>
      <w:r w:rsidRPr="006055D3">
        <w:rPr>
          <w:rFonts w:cs="Times New Roman"/>
          <w:lang w:val="fr-CA"/>
        </w:rPr>
        <w:t>il examinait ce qu</w:t>
      </w:r>
      <w:r>
        <w:rPr>
          <w:rFonts w:cs="Times New Roman"/>
          <w:lang w:val="fr-CA"/>
        </w:rPr>
        <w:t>’</w:t>
      </w:r>
      <w:r w:rsidRPr="006055D3">
        <w:rPr>
          <w:rFonts w:cs="Times New Roman"/>
          <w:lang w:val="fr-CA"/>
        </w:rPr>
        <w:t>avait, dans les faits, réclamé Rogers — le tarif horaire de 100 $, TVH en sus — le juge des requêtes a conclu que « [l]es droits sont ce qu</w:t>
      </w:r>
      <w:r>
        <w:rPr>
          <w:rFonts w:cs="Times New Roman"/>
          <w:lang w:val="fr-CA"/>
        </w:rPr>
        <w:t>’</w:t>
      </w:r>
      <w:r w:rsidRPr="006055D3">
        <w:rPr>
          <w:rFonts w:cs="Times New Roman"/>
          <w:lang w:val="fr-CA"/>
        </w:rPr>
        <w:t>ils sont », et il a statué que Voltage devait les payer avant que lui soient communiqués le nom et l</w:t>
      </w:r>
      <w:r>
        <w:rPr>
          <w:rFonts w:cs="Times New Roman"/>
          <w:lang w:val="fr-CA"/>
        </w:rPr>
        <w:t>’</w:t>
      </w:r>
      <w:r w:rsidRPr="006055D3">
        <w:rPr>
          <w:rFonts w:cs="Times New Roman"/>
          <w:lang w:val="fr-CA"/>
        </w:rPr>
        <w:t>adresse de M. Untel (par. 21). Il a aussi conclu que Rogers ne devrait pas avoir besoin de plus qu</w:t>
      </w:r>
      <w:r>
        <w:rPr>
          <w:rFonts w:cs="Times New Roman"/>
          <w:lang w:val="fr-CA"/>
        </w:rPr>
        <w:t>’</w:t>
      </w:r>
      <w:r w:rsidRPr="006055D3">
        <w:rPr>
          <w:rFonts w:cs="Times New Roman"/>
          <w:lang w:val="fr-CA"/>
        </w:rPr>
        <w:t>une heure pour se conformer à l</w:t>
      </w:r>
      <w:r>
        <w:rPr>
          <w:rFonts w:cs="Times New Roman"/>
          <w:lang w:val="fr-CA"/>
        </w:rPr>
        <w:t>’</w:t>
      </w:r>
      <w:r w:rsidRPr="006055D3">
        <w:rPr>
          <w:rFonts w:cs="Times New Roman"/>
          <w:lang w:val="fr-CA"/>
        </w:rPr>
        <w:t xml:space="preserve">ordonnance, et il a estimé que Voltage serait tenue de rembourser environ 113 $ (TVH incluse) à </w:t>
      </w:r>
      <w:r w:rsidRPr="006055D3">
        <w:rPr>
          <w:rFonts w:cs="Times New Roman"/>
          <w:lang w:val="fr-CA"/>
        </w:rPr>
        <w:lastRenderedPageBreak/>
        <w:t>Rogers. Il a également statué que Rogers avait droit aux dépens à l</w:t>
      </w:r>
      <w:r>
        <w:rPr>
          <w:rFonts w:cs="Times New Roman"/>
          <w:lang w:val="fr-CA"/>
        </w:rPr>
        <w:t>’</w:t>
      </w:r>
      <w:r w:rsidRPr="006055D3">
        <w:rPr>
          <w:rFonts w:cs="Times New Roman"/>
          <w:lang w:val="fr-CA"/>
        </w:rPr>
        <w:t>égard de la requête, qu</w:t>
      </w:r>
      <w:r>
        <w:rPr>
          <w:rFonts w:cs="Times New Roman"/>
          <w:lang w:val="fr-CA"/>
        </w:rPr>
        <w:t>’</w:t>
      </w:r>
      <w:r w:rsidRPr="006055D3">
        <w:rPr>
          <w:rFonts w:cs="Times New Roman"/>
          <w:lang w:val="fr-CA"/>
        </w:rPr>
        <w:t>il a fixés à 500 $.</w:t>
      </w:r>
    </w:p>
    <w:p w:rsidR="00E8197E" w:rsidRPr="006055D3" w:rsidRDefault="00E8197E" w:rsidP="00E8197E">
      <w:pPr>
        <w:pStyle w:val="Title3LevelTitre3Niveau"/>
        <w:rPr>
          <w:rFonts w:cs="Times New Roman"/>
          <w:lang w:val="fr-CA"/>
        </w:rPr>
      </w:pPr>
      <w:r w:rsidRPr="006055D3">
        <w:rPr>
          <w:rFonts w:cs="Times New Roman"/>
          <w:lang w:val="fr-CA"/>
        </w:rPr>
        <w:t>Cour d</w:t>
      </w:r>
      <w:r>
        <w:rPr>
          <w:rFonts w:cs="Times New Roman"/>
          <w:lang w:val="fr-CA"/>
        </w:rPr>
        <w:t>’</w:t>
      </w:r>
      <w:r w:rsidRPr="006055D3">
        <w:rPr>
          <w:rFonts w:cs="Times New Roman"/>
          <w:lang w:val="fr-CA"/>
        </w:rPr>
        <w:t>appel fédérale, 2017 CAF 97 — le juge Stratas, avec l</w:t>
      </w:r>
      <w:r>
        <w:rPr>
          <w:rFonts w:cs="Times New Roman"/>
          <w:lang w:val="fr-CA"/>
        </w:rPr>
        <w:t>’</w:t>
      </w:r>
      <w:r w:rsidRPr="006055D3">
        <w:rPr>
          <w:rFonts w:cs="Times New Roman"/>
          <w:lang w:val="fr-CA"/>
        </w:rPr>
        <w:t>accord des juges Gleason et Woods</w:t>
      </w:r>
    </w:p>
    <w:p w:rsidR="00E8197E" w:rsidRPr="006055D3" w:rsidRDefault="00E8197E" w:rsidP="00E8197E">
      <w:pPr>
        <w:pStyle w:val="ParaNoNdepar-AltN"/>
        <w:rPr>
          <w:rFonts w:cs="Times New Roman"/>
          <w:lang w:val="fr-CA"/>
        </w:rPr>
      </w:pPr>
      <w:r w:rsidRPr="006055D3">
        <w:rPr>
          <w:rFonts w:cs="Times New Roman"/>
          <w:lang w:val="fr-CA"/>
        </w:rPr>
        <w:t>La Cour d</w:t>
      </w:r>
      <w:r>
        <w:rPr>
          <w:rFonts w:cs="Times New Roman"/>
          <w:lang w:val="fr-CA"/>
        </w:rPr>
        <w:t>’</w:t>
      </w:r>
      <w:r w:rsidRPr="006055D3">
        <w:rPr>
          <w:rFonts w:cs="Times New Roman"/>
          <w:lang w:val="fr-CA"/>
        </w:rPr>
        <w:t>appel fédérale a accueilli l</w:t>
      </w:r>
      <w:r>
        <w:rPr>
          <w:rFonts w:cs="Times New Roman"/>
          <w:lang w:val="fr-CA"/>
        </w:rPr>
        <w:t>’</w:t>
      </w:r>
      <w:r w:rsidRPr="006055D3">
        <w:rPr>
          <w:rFonts w:cs="Times New Roman"/>
          <w:lang w:val="fr-CA"/>
        </w:rPr>
        <w:t>appel de Voltage. L</w:t>
      </w:r>
      <w:r>
        <w:rPr>
          <w:rFonts w:cs="Times New Roman"/>
          <w:lang w:val="fr-CA"/>
        </w:rPr>
        <w:t>’</w:t>
      </w:r>
      <w:r w:rsidRPr="006055D3">
        <w:rPr>
          <w:rFonts w:cs="Times New Roman"/>
          <w:lang w:val="fr-CA"/>
        </w:rPr>
        <w:t>issue de l</w:t>
      </w:r>
      <w:r>
        <w:rPr>
          <w:rFonts w:cs="Times New Roman"/>
          <w:lang w:val="fr-CA"/>
        </w:rPr>
        <w:t>’</w:t>
      </w:r>
      <w:r w:rsidRPr="006055D3">
        <w:rPr>
          <w:rFonts w:cs="Times New Roman"/>
          <w:lang w:val="fr-CA"/>
        </w:rPr>
        <w:t>appel portait sur l</w:t>
      </w:r>
      <w:r>
        <w:rPr>
          <w:rFonts w:cs="Times New Roman"/>
          <w:lang w:val="fr-CA"/>
        </w:rPr>
        <w:t>’</w:t>
      </w:r>
      <w:r w:rsidRPr="006055D3">
        <w:rPr>
          <w:rFonts w:cs="Times New Roman"/>
          <w:lang w:val="fr-CA"/>
        </w:rPr>
        <w:t>interprétation du régime législatif d</w:t>
      </w:r>
      <w:r>
        <w:rPr>
          <w:rFonts w:cs="Times New Roman"/>
          <w:lang w:val="fr-CA"/>
        </w:rPr>
        <w:t>’</w:t>
      </w:r>
      <w:r w:rsidRPr="006055D3">
        <w:rPr>
          <w:rFonts w:cs="Times New Roman"/>
          <w:lang w:val="fr-CA"/>
        </w:rPr>
        <w:t>avis et avis. La cour a conclu que le régime avait pour objet de « réduire les complications et répondre à un grand nombre des questions qui peuvent survenir lorsqu</w:t>
      </w:r>
      <w:r>
        <w:rPr>
          <w:rFonts w:cs="Times New Roman"/>
          <w:lang w:val="fr-CA"/>
        </w:rPr>
        <w:t>’</w:t>
      </w:r>
      <w:r w:rsidRPr="006055D3">
        <w:rPr>
          <w:rFonts w:cs="Times New Roman"/>
          <w:lang w:val="fr-CA"/>
        </w:rPr>
        <w:t xml:space="preserve">on demande une ordonnance de type </w:t>
      </w:r>
      <w:r w:rsidRPr="006055D3">
        <w:rPr>
          <w:rFonts w:cs="Times New Roman"/>
          <w:i/>
          <w:lang w:val="fr-CA"/>
        </w:rPr>
        <w:t>Norwich</w:t>
      </w:r>
      <w:r w:rsidRPr="006055D3">
        <w:rPr>
          <w:rFonts w:cs="Times New Roman"/>
          <w:lang w:val="fr-CA"/>
        </w:rPr>
        <w:t> » (par. 21</w:t>
      </w:r>
      <w:r w:rsidR="00861974">
        <w:rPr>
          <w:rFonts w:cs="Times New Roman"/>
          <w:lang w:val="fr-CA"/>
        </w:rPr>
        <w:t xml:space="preserve"> (CanLII)</w:t>
      </w:r>
      <w:r w:rsidRPr="006055D3">
        <w:rPr>
          <w:rFonts w:cs="Times New Roman"/>
          <w:lang w:val="fr-CA"/>
        </w:rPr>
        <w:t>), ainsi que de « prot[éger] et fai[re] valoir les droits des titulaires du droit d</w:t>
      </w:r>
      <w:r>
        <w:rPr>
          <w:rFonts w:cs="Times New Roman"/>
          <w:lang w:val="fr-CA"/>
        </w:rPr>
        <w:t>’</w:t>
      </w:r>
      <w:r w:rsidRPr="006055D3">
        <w:rPr>
          <w:rFonts w:cs="Times New Roman"/>
          <w:lang w:val="fr-CA"/>
        </w:rPr>
        <w:t>auteur » (par. 22). Le régime doit donc être interprété « comme autorisant les titulaires du droit d</w:t>
      </w:r>
      <w:r>
        <w:rPr>
          <w:rFonts w:cs="Times New Roman"/>
          <w:lang w:val="fr-CA"/>
        </w:rPr>
        <w:t>’</w:t>
      </w:r>
      <w:r w:rsidRPr="006055D3">
        <w:rPr>
          <w:rFonts w:cs="Times New Roman"/>
          <w:lang w:val="fr-CA"/>
        </w:rPr>
        <w:t>auteur à protéger et à faire valoir leurs droits aussi rapidement, facilement et efficacement que possible, tout en assurant un juste traitement de tous » (par. 27).</w:t>
      </w:r>
    </w:p>
    <w:p w:rsidR="00E8197E" w:rsidRPr="006055D3" w:rsidRDefault="00E8197E" w:rsidP="00E8197E">
      <w:pPr>
        <w:pStyle w:val="ParaNoNdepar-AltN"/>
        <w:rPr>
          <w:rFonts w:cs="Times New Roman"/>
          <w:lang w:val="fr-CA"/>
        </w:rPr>
      </w:pPr>
      <w:r w:rsidRPr="006055D3">
        <w:rPr>
          <w:rFonts w:cs="Times New Roman"/>
          <w:lang w:val="fr-CA"/>
        </w:rPr>
        <w:t>La Cour d</w:t>
      </w:r>
      <w:r>
        <w:rPr>
          <w:rFonts w:cs="Times New Roman"/>
          <w:lang w:val="fr-CA"/>
        </w:rPr>
        <w:t>’</w:t>
      </w:r>
      <w:r w:rsidRPr="006055D3">
        <w:rPr>
          <w:rFonts w:cs="Times New Roman"/>
          <w:lang w:val="fr-CA"/>
        </w:rPr>
        <w:t>appel fédérale a dégagé diverses obligations du par. 41.26(1) — tant expresses qu</w:t>
      </w:r>
      <w:r>
        <w:rPr>
          <w:rFonts w:cs="Times New Roman"/>
          <w:lang w:val="fr-CA"/>
        </w:rPr>
        <w:t>’</w:t>
      </w:r>
      <w:r w:rsidRPr="006055D3">
        <w:rPr>
          <w:rFonts w:cs="Times New Roman"/>
          <w:lang w:val="fr-CA"/>
        </w:rPr>
        <w:t>implicites — dont un FSI doit s</w:t>
      </w:r>
      <w:r>
        <w:rPr>
          <w:rFonts w:cs="Times New Roman"/>
          <w:lang w:val="fr-CA"/>
        </w:rPr>
        <w:t>’</w:t>
      </w:r>
      <w:r w:rsidRPr="006055D3">
        <w:rPr>
          <w:rFonts w:cs="Times New Roman"/>
          <w:lang w:val="fr-CA"/>
        </w:rPr>
        <w:t>acquitter dans le cadre du régime. Premièrement, l</w:t>
      </w:r>
      <w:r>
        <w:rPr>
          <w:rFonts w:cs="Times New Roman"/>
          <w:lang w:val="fr-CA"/>
        </w:rPr>
        <w:t>’</w:t>
      </w:r>
      <w:r w:rsidRPr="006055D3">
        <w:rPr>
          <w:rFonts w:cs="Times New Roman"/>
          <w:lang w:val="fr-CA"/>
        </w:rPr>
        <w:t>al</w:t>
      </w:r>
      <w:r w:rsidR="00861974">
        <w:rPr>
          <w:rFonts w:cs="Times New Roman"/>
          <w:lang w:val="fr-CA"/>
        </w:rPr>
        <w:t>.</w:t>
      </w:r>
      <w:r w:rsidRPr="006055D3">
        <w:rPr>
          <w:rFonts w:cs="Times New Roman"/>
          <w:lang w:val="fr-CA"/>
        </w:rPr>
        <w:t> 41.26(1)a) exige expressément que le FSI transmette l</w:t>
      </w:r>
      <w:r>
        <w:rPr>
          <w:rFonts w:cs="Times New Roman"/>
          <w:lang w:val="fr-CA"/>
        </w:rPr>
        <w:t>’</w:t>
      </w:r>
      <w:r w:rsidRPr="006055D3">
        <w:rPr>
          <w:rFonts w:cs="Times New Roman"/>
          <w:lang w:val="fr-CA"/>
        </w:rPr>
        <w:t>avis de prétendue violation du droit d</w:t>
      </w:r>
      <w:r>
        <w:rPr>
          <w:rFonts w:cs="Times New Roman"/>
          <w:lang w:val="fr-CA"/>
        </w:rPr>
        <w:t>’</w:t>
      </w:r>
      <w:r w:rsidRPr="006055D3">
        <w:rPr>
          <w:rFonts w:cs="Times New Roman"/>
          <w:lang w:val="fr-CA"/>
        </w:rPr>
        <w:t>auteur à la personne à qui appartient l</w:t>
      </w:r>
      <w:r>
        <w:rPr>
          <w:rFonts w:cs="Times New Roman"/>
          <w:lang w:val="fr-CA"/>
        </w:rPr>
        <w:t>’</w:t>
      </w:r>
      <w:r w:rsidRPr="006055D3">
        <w:rPr>
          <w:rFonts w:cs="Times New Roman"/>
          <w:lang w:val="fr-CA"/>
        </w:rPr>
        <w:t>emplacement électronique précisé dans l</w:t>
      </w:r>
      <w:r>
        <w:rPr>
          <w:rFonts w:cs="Times New Roman"/>
          <w:lang w:val="fr-CA"/>
        </w:rPr>
        <w:t>’</w:t>
      </w:r>
      <w:r w:rsidRPr="006055D3">
        <w:rPr>
          <w:rFonts w:cs="Times New Roman"/>
          <w:lang w:val="fr-CA"/>
        </w:rPr>
        <w:t>avis. Cette obligation, ainsi que les objets généraux du régime, a toutefois pour corollaire implicite un ensemble d</w:t>
      </w:r>
      <w:r>
        <w:rPr>
          <w:rFonts w:cs="Times New Roman"/>
          <w:lang w:val="fr-CA"/>
        </w:rPr>
        <w:t>’</w:t>
      </w:r>
      <w:r w:rsidRPr="006055D3">
        <w:rPr>
          <w:rFonts w:cs="Times New Roman"/>
          <w:lang w:val="fr-CA"/>
        </w:rPr>
        <w:t>obligations exigeant que le FSI « conserve les renseignements d</w:t>
      </w:r>
      <w:r>
        <w:rPr>
          <w:rFonts w:cs="Times New Roman"/>
          <w:lang w:val="fr-CA"/>
        </w:rPr>
        <w:t>’</w:t>
      </w:r>
      <w:r w:rsidRPr="006055D3">
        <w:rPr>
          <w:rFonts w:cs="Times New Roman"/>
          <w:lang w:val="fr-CA"/>
        </w:rPr>
        <w:t>une manière lui permettant d</w:t>
      </w:r>
      <w:r>
        <w:rPr>
          <w:rFonts w:cs="Times New Roman"/>
          <w:lang w:val="fr-CA"/>
        </w:rPr>
        <w:t>’</w:t>
      </w:r>
      <w:r w:rsidRPr="006055D3">
        <w:rPr>
          <w:rFonts w:cs="Times New Roman"/>
          <w:lang w:val="fr-CA"/>
        </w:rPr>
        <w:t>identifier les présumés contrefacteurs rapidement et efficacement »; « cherch[e] et rep[ère] les renseignements pertinents »; « analys[e] les renseignements pour être convaincu d</w:t>
      </w:r>
      <w:r>
        <w:rPr>
          <w:rFonts w:cs="Times New Roman"/>
          <w:lang w:val="fr-CA"/>
        </w:rPr>
        <w:t>’</w:t>
      </w:r>
      <w:r w:rsidRPr="006055D3">
        <w:rPr>
          <w:rFonts w:cs="Times New Roman"/>
          <w:lang w:val="fr-CA"/>
        </w:rPr>
        <w:t xml:space="preserve">avoir correctement identifié les présumés contrefacteurs »; et entreprenne des </w:t>
      </w:r>
      <w:r w:rsidRPr="006055D3">
        <w:rPr>
          <w:rFonts w:cs="Times New Roman"/>
          <w:lang w:val="fr-CA"/>
        </w:rPr>
        <w:lastRenderedPageBreak/>
        <w:t>vérifications, « puisque le [FSI] doit procéder à des vérifications pour [en] assurer l</w:t>
      </w:r>
      <w:r>
        <w:rPr>
          <w:rFonts w:cs="Times New Roman"/>
          <w:lang w:val="fr-CA"/>
        </w:rPr>
        <w:t>’</w:t>
      </w:r>
      <w:r w:rsidRPr="006055D3">
        <w:rPr>
          <w:rFonts w:cs="Times New Roman"/>
          <w:lang w:val="fr-CA"/>
        </w:rPr>
        <w:t>exactitude » (motifs de la C.A., par. 34</w:t>
      </w:r>
      <w:r w:rsidR="00861974">
        <w:rPr>
          <w:rFonts w:cs="Times New Roman"/>
          <w:lang w:val="fr-CA"/>
        </w:rPr>
        <w:t>-</w:t>
      </w:r>
      <w:r w:rsidRPr="006055D3">
        <w:rPr>
          <w:rFonts w:cs="Times New Roman"/>
          <w:lang w:val="fr-CA"/>
        </w:rPr>
        <w:t>35).</w:t>
      </w:r>
    </w:p>
    <w:p w:rsidR="00E8197E" w:rsidRPr="006055D3" w:rsidRDefault="00E8197E" w:rsidP="00E8197E">
      <w:pPr>
        <w:pStyle w:val="ParaNoNdepar-AltN"/>
        <w:rPr>
          <w:rFonts w:cs="Times New Roman"/>
          <w:lang w:val="fr-CA"/>
        </w:rPr>
      </w:pPr>
      <w:r w:rsidRPr="006055D3">
        <w:rPr>
          <w:rFonts w:cs="Times New Roman"/>
          <w:lang w:val="fr-CA"/>
        </w:rPr>
        <w:t>Deuxièmement, l</w:t>
      </w:r>
      <w:r>
        <w:rPr>
          <w:rFonts w:cs="Times New Roman"/>
          <w:lang w:val="fr-CA"/>
        </w:rPr>
        <w:t>’</w:t>
      </w:r>
      <w:r w:rsidRPr="006055D3">
        <w:rPr>
          <w:rFonts w:cs="Times New Roman"/>
          <w:lang w:val="fr-CA"/>
        </w:rPr>
        <w:t>al. 41.26(1)a) exige expressément que le FSI avise le titulaire du droit d</w:t>
      </w:r>
      <w:r>
        <w:rPr>
          <w:rFonts w:cs="Times New Roman"/>
          <w:lang w:val="fr-CA"/>
        </w:rPr>
        <w:t>’</w:t>
      </w:r>
      <w:r w:rsidRPr="006055D3">
        <w:rPr>
          <w:rFonts w:cs="Times New Roman"/>
          <w:lang w:val="fr-CA"/>
        </w:rPr>
        <w:t>auteur qu</w:t>
      </w:r>
      <w:r>
        <w:rPr>
          <w:rFonts w:cs="Times New Roman"/>
          <w:lang w:val="fr-CA"/>
        </w:rPr>
        <w:t>’</w:t>
      </w:r>
      <w:r w:rsidRPr="006055D3">
        <w:rPr>
          <w:rFonts w:cs="Times New Roman"/>
          <w:lang w:val="fr-CA"/>
        </w:rPr>
        <w:t>il a transmis l</w:t>
      </w:r>
      <w:r>
        <w:rPr>
          <w:rFonts w:cs="Times New Roman"/>
          <w:lang w:val="fr-CA"/>
        </w:rPr>
        <w:t>’</w:t>
      </w:r>
      <w:r w:rsidRPr="006055D3">
        <w:rPr>
          <w:rFonts w:cs="Times New Roman"/>
          <w:lang w:val="fr-CA"/>
        </w:rPr>
        <w:t>avis ou qu</w:t>
      </w:r>
      <w:r>
        <w:rPr>
          <w:rFonts w:cs="Times New Roman"/>
          <w:lang w:val="fr-CA"/>
        </w:rPr>
        <w:t>’</w:t>
      </w:r>
      <w:r w:rsidRPr="006055D3">
        <w:rPr>
          <w:rFonts w:cs="Times New Roman"/>
          <w:lang w:val="fr-CA"/>
        </w:rPr>
        <w:t>il explique pourquoi il n</w:t>
      </w:r>
      <w:r>
        <w:rPr>
          <w:rFonts w:cs="Times New Roman"/>
          <w:lang w:val="fr-CA"/>
        </w:rPr>
        <w:t>’</w:t>
      </w:r>
      <w:r w:rsidRPr="006055D3">
        <w:rPr>
          <w:rFonts w:cs="Times New Roman"/>
          <w:lang w:val="fr-CA"/>
        </w:rPr>
        <w:t>a pas pu le faire.</w:t>
      </w:r>
    </w:p>
    <w:p w:rsidR="00E8197E" w:rsidRPr="006055D3" w:rsidRDefault="00E8197E" w:rsidP="00E8197E">
      <w:pPr>
        <w:pStyle w:val="ParaNoNdepar-AltN"/>
        <w:rPr>
          <w:rFonts w:cs="Times New Roman"/>
          <w:lang w:val="fr-CA"/>
        </w:rPr>
      </w:pPr>
      <w:r w:rsidRPr="006055D3">
        <w:rPr>
          <w:rFonts w:cs="Times New Roman"/>
          <w:lang w:val="fr-CA"/>
        </w:rPr>
        <w:t>La troisième obligation expresse d</w:t>
      </w:r>
      <w:r>
        <w:rPr>
          <w:rFonts w:cs="Times New Roman"/>
          <w:lang w:val="fr-CA"/>
        </w:rPr>
        <w:t>’</w:t>
      </w:r>
      <w:r w:rsidRPr="006055D3">
        <w:rPr>
          <w:rFonts w:cs="Times New Roman"/>
          <w:lang w:val="fr-CA"/>
        </w:rPr>
        <w:t>un FSI, décrite à l</w:t>
      </w:r>
      <w:r>
        <w:rPr>
          <w:rFonts w:cs="Times New Roman"/>
          <w:lang w:val="fr-CA"/>
        </w:rPr>
        <w:t>’</w:t>
      </w:r>
      <w:r w:rsidRPr="006055D3">
        <w:rPr>
          <w:rFonts w:cs="Times New Roman"/>
          <w:lang w:val="fr-CA"/>
        </w:rPr>
        <w:t>al. 41.26(1)b), consiste à « conserver [. . .] un registre permettant d</w:t>
      </w:r>
      <w:r>
        <w:rPr>
          <w:rFonts w:cs="Times New Roman"/>
          <w:lang w:val="fr-CA"/>
        </w:rPr>
        <w:t>’</w:t>
      </w:r>
      <w:r w:rsidRPr="006055D3">
        <w:rPr>
          <w:rFonts w:cs="Times New Roman"/>
          <w:lang w:val="fr-CA"/>
        </w:rPr>
        <w:t>identifier la personne à qui appartient l</w:t>
      </w:r>
      <w:r>
        <w:rPr>
          <w:rFonts w:cs="Times New Roman"/>
          <w:lang w:val="fr-CA"/>
        </w:rPr>
        <w:t>’</w:t>
      </w:r>
      <w:r w:rsidRPr="006055D3">
        <w:rPr>
          <w:rFonts w:cs="Times New Roman"/>
          <w:lang w:val="fr-CA"/>
        </w:rPr>
        <w:t>emplacement électronique ». La Cour d</w:t>
      </w:r>
      <w:r>
        <w:rPr>
          <w:rFonts w:cs="Times New Roman"/>
          <w:lang w:val="fr-CA"/>
        </w:rPr>
        <w:t>’</w:t>
      </w:r>
      <w:r w:rsidRPr="006055D3">
        <w:rPr>
          <w:rFonts w:cs="Times New Roman"/>
          <w:lang w:val="fr-CA"/>
        </w:rPr>
        <w:t>appel fédérale a conclu que le « registre » était celui que le FSI utilise pour identifier une personne en application de l</w:t>
      </w:r>
      <w:r>
        <w:rPr>
          <w:rFonts w:cs="Times New Roman"/>
          <w:lang w:val="fr-CA"/>
        </w:rPr>
        <w:t>’</w:t>
      </w:r>
      <w:r w:rsidRPr="006055D3">
        <w:rPr>
          <w:rFonts w:cs="Times New Roman"/>
          <w:lang w:val="fr-CA"/>
        </w:rPr>
        <w:t>al. 41.26(1)a) afin d</w:t>
      </w:r>
      <w:r>
        <w:rPr>
          <w:rFonts w:cs="Times New Roman"/>
          <w:lang w:val="fr-CA"/>
        </w:rPr>
        <w:t>’</w:t>
      </w:r>
      <w:r w:rsidRPr="006055D3">
        <w:rPr>
          <w:rFonts w:cs="Times New Roman"/>
          <w:lang w:val="fr-CA"/>
        </w:rPr>
        <w:t>envoyer l</w:t>
      </w:r>
      <w:r>
        <w:rPr>
          <w:rFonts w:cs="Times New Roman"/>
          <w:lang w:val="fr-CA"/>
        </w:rPr>
        <w:t>’</w:t>
      </w:r>
      <w:r w:rsidRPr="006055D3">
        <w:rPr>
          <w:rFonts w:cs="Times New Roman"/>
          <w:lang w:val="fr-CA"/>
        </w:rPr>
        <w:t>avis. En outre, elle a conclu que ce registre devait être conservé d</w:t>
      </w:r>
      <w:r>
        <w:rPr>
          <w:rFonts w:cs="Times New Roman"/>
          <w:lang w:val="fr-CA"/>
        </w:rPr>
        <w:t>’</w:t>
      </w:r>
      <w:r w:rsidRPr="006055D3">
        <w:rPr>
          <w:rFonts w:cs="Times New Roman"/>
          <w:lang w:val="fr-CA"/>
        </w:rPr>
        <w:t>une manière et sous une forme utilisable « par les personnes qui utiliseront le registre » (par. 37), à savoir les titulaires de droits d</w:t>
      </w:r>
      <w:r>
        <w:rPr>
          <w:rFonts w:cs="Times New Roman"/>
          <w:lang w:val="fr-CA"/>
        </w:rPr>
        <w:t>’</w:t>
      </w:r>
      <w:r w:rsidRPr="006055D3">
        <w:rPr>
          <w:rFonts w:cs="Times New Roman"/>
          <w:lang w:val="fr-CA"/>
        </w:rPr>
        <w:t>auteur et les tribunaux, pour identifier la personne ayant reçu l</w:t>
      </w:r>
      <w:r>
        <w:rPr>
          <w:rFonts w:cs="Times New Roman"/>
          <w:lang w:val="fr-CA"/>
        </w:rPr>
        <w:t>’</w:t>
      </w:r>
      <w:r w:rsidRPr="006055D3">
        <w:rPr>
          <w:rFonts w:cs="Times New Roman"/>
          <w:lang w:val="fr-CA"/>
        </w:rPr>
        <w:t>avis. Si le registre ne peut être utilisé, le FSI est tenu de le « tradui[re] ou modifi[er] » pour qu</w:t>
      </w:r>
      <w:r>
        <w:rPr>
          <w:rFonts w:cs="Times New Roman"/>
          <w:lang w:val="fr-CA"/>
        </w:rPr>
        <w:t>’</w:t>
      </w:r>
      <w:r w:rsidRPr="006055D3">
        <w:rPr>
          <w:rFonts w:cs="Times New Roman"/>
          <w:lang w:val="fr-CA"/>
        </w:rPr>
        <w:t>il soit utilisable dans le cadre de ses obligations découlant de l</w:t>
      </w:r>
      <w:r>
        <w:rPr>
          <w:rFonts w:cs="Times New Roman"/>
          <w:lang w:val="fr-CA"/>
        </w:rPr>
        <w:t>’</w:t>
      </w:r>
      <w:r w:rsidRPr="006055D3">
        <w:rPr>
          <w:rFonts w:cs="Times New Roman"/>
          <w:lang w:val="fr-CA"/>
        </w:rPr>
        <w:t xml:space="preserve">al. 41.26(1)b) (motifs de la C.A., par. 39). </w:t>
      </w:r>
    </w:p>
    <w:p w:rsidR="00E8197E" w:rsidRPr="006055D3" w:rsidRDefault="00E8197E" w:rsidP="00E8197E">
      <w:pPr>
        <w:pStyle w:val="ParaNoNdepar-AltN"/>
        <w:rPr>
          <w:rFonts w:cs="Times New Roman"/>
          <w:lang w:val="fr-CA"/>
        </w:rPr>
      </w:pPr>
      <w:r w:rsidRPr="006055D3">
        <w:rPr>
          <w:rFonts w:cs="Times New Roman"/>
          <w:lang w:val="fr-CA"/>
        </w:rPr>
        <w:t>La Cour d</w:t>
      </w:r>
      <w:r>
        <w:rPr>
          <w:rFonts w:cs="Times New Roman"/>
          <w:lang w:val="fr-CA"/>
        </w:rPr>
        <w:t>’</w:t>
      </w:r>
      <w:r w:rsidRPr="006055D3">
        <w:rPr>
          <w:rFonts w:cs="Times New Roman"/>
          <w:lang w:val="fr-CA"/>
        </w:rPr>
        <w:t>appel fédérale a convenu avec le juge des requêtes que l</w:t>
      </w:r>
      <w:r>
        <w:rPr>
          <w:rFonts w:cs="Times New Roman"/>
          <w:lang w:val="fr-CA"/>
        </w:rPr>
        <w:t>’</w:t>
      </w:r>
      <w:r w:rsidRPr="006055D3">
        <w:rPr>
          <w:rFonts w:cs="Times New Roman"/>
          <w:lang w:val="fr-CA"/>
        </w:rPr>
        <w:t>absence de règlement prescrivant le montant maximal des droits empêche Rogers d</w:t>
      </w:r>
      <w:r>
        <w:rPr>
          <w:rFonts w:cs="Times New Roman"/>
          <w:lang w:val="fr-CA"/>
        </w:rPr>
        <w:t>’</w:t>
      </w:r>
      <w:r w:rsidRPr="006055D3">
        <w:rPr>
          <w:rFonts w:cs="Times New Roman"/>
          <w:lang w:val="fr-CA"/>
        </w:rPr>
        <w:t>exiger des droits pour s</w:t>
      </w:r>
      <w:r>
        <w:rPr>
          <w:rFonts w:cs="Times New Roman"/>
          <w:lang w:val="fr-CA"/>
        </w:rPr>
        <w:t>’</w:t>
      </w:r>
      <w:r w:rsidRPr="006055D3">
        <w:rPr>
          <w:rFonts w:cs="Times New Roman"/>
          <w:lang w:val="fr-CA"/>
        </w:rPr>
        <w:t>acquitter de ses obligations prévues par la loi. Elle a également convenu que le régime législatif d</w:t>
      </w:r>
      <w:r>
        <w:rPr>
          <w:rFonts w:cs="Times New Roman"/>
          <w:lang w:val="fr-CA"/>
        </w:rPr>
        <w:t>’</w:t>
      </w:r>
      <w:r w:rsidRPr="006055D3">
        <w:rPr>
          <w:rFonts w:cs="Times New Roman"/>
          <w:lang w:val="fr-CA"/>
        </w:rPr>
        <w:t>avis et avis ne régit pas la communication de l</w:t>
      </w:r>
      <w:r>
        <w:rPr>
          <w:rFonts w:cs="Times New Roman"/>
          <w:lang w:val="fr-CA"/>
        </w:rPr>
        <w:t>’</w:t>
      </w:r>
      <w:r w:rsidRPr="006055D3">
        <w:rPr>
          <w:rFonts w:cs="Times New Roman"/>
          <w:lang w:val="fr-CA"/>
        </w:rPr>
        <w:t>identité d</w:t>
      </w:r>
      <w:r>
        <w:rPr>
          <w:rFonts w:cs="Times New Roman"/>
          <w:lang w:val="fr-CA"/>
        </w:rPr>
        <w:t>’</w:t>
      </w:r>
      <w:r w:rsidRPr="006055D3">
        <w:rPr>
          <w:rFonts w:cs="Times New Roman"/>
          <w:lang w:val="fr-CA"/>
        </w:rPr>
        <w:t>une personne à partir du registre d</w:t>
      </w:r>
      <w:r>
        <w:rPr>
          <w:rFonts w:cs="Times New Roman"/>
          <w:lang w:val="fr-CA"/>
        </w:rPr>
        <w:t>’</w:t>
      </w:r>
      <w:r w:rsidRPr="006055D3">
        <w:rPr>
          <w:rFonts w:cs="Times New Roman"/>
          <w:lang w:val="fr-CA"/>
        </w:rPr>
        <w:t>un FSI. Il s</w:t>
      </w:r>
      <w:r>
        <w:rPr>
          <w:rFonts w:cs="Times New Roman"/>
          <w:lang w:val="fr-CA"/>
        </w:rPr>
        <w:t>’</w:t>
      </w:r>
      <w:r w:rsidRPr="006055D3">
        <w:rPr>
          <w:rFonts w:cs="Times New Roman"/>
          <w:lang w:val="fr-CA"/>
        </w:rPr>
        <w:t>ensuit que le titulaire du droit d</w:t>
      </w:r>
      <w:r>
        <w:rPr>
          <w:rFonts w:cs="Times New Roman"/>
          <w:lang w:val="fr-CA"/>
        </w:rPr>
        <w:t>’</w:t>
      </w:r>
      <w:r w:rsidRPr="006055D3">
        <w:rPr>
          <w:rFonts w:cs="Times New Roman"/>
          <w:lang w:val="fr-CA"/>
        </w:rPr>
        <w:t>auteur qui cherche à faire divulguer, par un FSI, l</w:t>
      </w:r>
      <w:r>
        <w:rPr>
          <w:rFonts w:cs="Times New Roman"/>
          <w:lang w:val="fr-CA"/>
        </w:rPr>
        <w:t>’</w:t>
      </w:r>
      <w:r w:rsidRPr="006055D3">
        <w:rPr>
          <w:rFonts w:cs="Times New Roman"/>
          <w:lang w:val="fr-CA"/>
        </w:rPr>
        <w:t>identité d</w:t>
      </w:r>
      <w:r>
        <w:rPr>
          <w:rFonts w:cs="Times New Roman"/>
          <w:lang w:val="fr-CA"/>
        </w:rPr>
        <w:t>’</w:t>
      </w:r>
      <w:r w:rsidRPr="006055D3">
        <w:rPr>
          <w:rFonts w:cs="Times New Roman"/>
          <w:lang w:val="fr-CA"/>
        </w:rPr>
        <w:t xml:space="preserve">une personne doit obtenir une ordonnance de type </w:t>
      </w:r>
      <w:r w:rsidRPr="006055D3">
        <w:rPr>
          <w:rFonts w:cs="Times New Roman"/>
          <w:i/>
          <w:lang w:val="fr-CA"/>
        </w:rPr>
        <w:t>Norwich</w:t>
      </w:r>
      <w:r w:rsidRPr="006055D3">
        <w:rPr>
          <w:rFonts w:cs="Times New Roman"/>
          <w:lang w:val="fr-CA"/>
        </w:rPr>
        <w:t xml:space="preserve"> et qu</w:t>
      </w:r>
      <w:r>
        <w:rPr>
          <w:rFonts w:cs="Times New Roman"/>
          <w:lang w:val="fr-CA"/>
        </w:rPr>
        <w:t>’</w:t>
      </w:r>
      <w:r w:rsidRPr="006055D3">
        <w:rPr>
          <w:rFonts w:cs="Times New Roman"/>
          <w:lang w:val="fr-CA"/>
        </w:rPr>
        <w:t xml:space="preserve">un FSI peut exiger des droits pour les « coûts réels, </w:t>
      </w:r>
      <w:r w:rsidRPr="006055D3">
        <w:rPr>
          <w:rFonts w:cs="Times New Roman"/>
          <w:lang w:val="fr-CA"/>
        </w:rPr>
        <w:lastRenderedPageBreak/>
        <w:t>raisonnables et nécessaires associés à l</w:t>
      </w:r>
      <w:r>
        <w:rPr>
          <w:rFonts w:cs="Times New Roman"/>
          <w:lang w:val="fr-CA"/>
        </w:rPr>
        <w:t>’</w:t>
      </w:r>
      <w:r w:rsidRPr="006055D3">
        <w:rPr>
          <w:rFonts w:cs="Times New Roman"/>
          <w:lang w:val="fr-CA"/>
        </w:rPr>
        <w:t>acte de divulgation » (motifs de la C.A., par. 61). Cependant, une fois qu</w:t>
      </w:r>
      <w:r>
        <w:rPr>
          <w:rFonts w:cs="Times New Roman"/>
          <w:lang w:val="fr-CA"/>
        </w:rPr>
        <w:t>’</w:t>
      </w:r>
      <w:r w:rsidRPr="006055D3">
        <w:rPr>
          <w:rFonts w:cs="Times New Roman"/>
          <w:lang w:val="fr-CA"/>
        </w:rPr>
        <w:t>un FSI s</w:t>
      </w:r>
      <w:r>
        <w:rPr>
          <w:rFonts w:cs="Times New Roman"/>
          <w:lang w:val="fr-CA"/>
        </w:rPr>
        <w:t>’</w:t>
      </w:r>
      <w:r w:rsidRPr="006055D3">
        <w:rPr>
          <w:rFonts w:cs="Times New Roman"/>
          <w:lang w:val="fr-CA"/>
        </w:rPr>
        <w:t>acquitte de ses obligations légales sans indemnisation dans le cadre du régime d</w:t>
      </w:r>
      <w:r>
        <w:rPr>
          <w:rFonts w:cs="Times New Roman"/>
          <w:lang w:val="fr-CA"/>
        </w:rPr>
        <w:t>’</w:t>
      </w:r>
      <w:r w:rsidRPr="006055D3">
        <w:rPr>
          <w:rFonts w:cs="Times New Roman"/>
          <w:lang w:val="fr-CA"/>
        </w:rPr>
        <w:t>avis et avis, la communication en tant que telle est une démarche simple : « [t]out ce qu</w:t>
      </w:r>
      <w:r>
        <w:rPr>
          <w:rFonts w:cs="Times New Roman"/>
          <w:lang w:val="fr-CA"/>
        </w:rPr>
        <w:t>’</w:t>
      </w:r>
      <w:r w:rsidRPr="006055D3">
        <w:rPr>
          <w:rFonts w:cs="Times New Roman"/>
          <w:lang w:val="fr-CA"/>
        </w:rPr>
        <w:t>il reste, c</w:t>
      </w:r>
      <w:r>
        <w:rPr>
          <w:rFonts w:cs="Times New Roman"/>
          <w:lang w:val="fr-CA"/>
        </w:rPr>
        <w:t>’</w:t>
      </w:r>
      <w:r w:rsidRPr="006055D3">
        <w:rPr>
          <w:rFonts w:cs="Times New Roman"/>
          <w:lang w:val="fr-CA"/>
        </w:rPr>
        <w:t>est la remise ou la transmission électronique de ces renseignements par le [FSI] au titulaire du droit d</w:t>
      </w:r>
      <w:r>
        <w:rPr>
          <w:rFonts w:cs="Times New Roman"/>
          <w:lang w:val="fr-CA"/>
        </w:rPr>
        <w:t>’</w:t>
      </w:r>
      <w:r w:rsidRPr="006055D3">
        <w:rPr>
          <w:rFonts w:cs="Times New Roman"/>
          <w:lang w:val="fr-CA"/>
        </w:rPr>
        <w:t>auteur et la participation du [FSI] dans l</w:t>
      </w:r>
      <w:r>
        <w:rPr>
          <w:rFonts w:cs="Times New Roman"/>
          <w:lang w:val="fr-CA"/>
        </w:rPr>
        <w:t>’</w:t>
      </w:r>
      <w:r w:rsidRPr="006055D3">
        <w:rPr>
          <w:rFonts w:cs="Times New Roman"/>
          <w:lang w:val="fr-CA"/>
        </w:rPr>
        <w:t>obtention d</w:t>
      </w:r>
      <w:r>
        <w:rPr>
          <w:rFonts w:cs="Times New Roman"/>
          <w:lang w:val="fr-CA"/>
        </w:rPr>
        <w:t>’</w:t>
      </w:r>
      <w:r w:rsidRPr="006055D3">
        <w:rPr>
          <w:rFonts w:cs="Times New Roman"/>
          <w:lang w:val="fr-CA"/>
        </w:rPr>
        <w:t xml:space="preserve">une ordonnance de divulgation de la Cour » (motifs de la C.A., par. 62). En conséquence, les coûts associés seront probablement négligeables. </w:t>
      </w:r>
    </w:p>
    <w:p w:rsidR="00E8197E" w:rsidRPr="006055D3" w:rsidRDefault="00E8197E" w:rsidP="00E8197E">
      <w:pPr>
        <w:pStyle w:val="ParaNoNdepar-AltN"/>
        <w:rPr>
          <w:rFonts w:cs="Times New Roman"/>
          <w:lang w:val="fr-CA"/>
        </w:rPr>
      </w:pPr>
      <w:r w:rsidRPr="006055D3">
        <w:rPr>
          <w:rFonts w:cs="Times New Roman"/>
          <w:lang w:val="fr-CA"/>
        </w:rPr>
        <w:t>La Cour d</w:t>
      </w:r>
      <w:r>
        <w:rPr>
          <w:rFonts w:cs="Times New Roman"/>
          <w:lang w:val="fr-CA"/>
        </w:rPr>
        <w:t>’</w:t>
      </w:r>
      <w:r w:rsidRPr="006055D3">
        <w:rPr>
          <w:rFonts w:cs="Times New Roman"/>
          <w:lang w:val="fr-CA"/>
        </w:rPr>
        <w:t>appel fédérale a conclu que Rogers semblait s</w:t>
      </w:r>
      <w:r>
        <w:rPr>
          <w:rFonts w:cs="Times New Roman"/>
          <w:lang w:val="fr-CA"/>
        </w:rPr>
        <w:t>’</w:t>
      </w:r>
      <w:r w:rsidRPr="006055D3">
        <w:rPr>
          <w:rFonts w:cs="Times New Roman"/>
          <w:lang w:val="fr-CA"/>
        </w:rPr>
        <w:t>être acquittée de ses obligations dans le cadre du régime d</w:t>
      </w:r>
      <w:r>
        <w:rPr>
          <w:rFonts w:cs="Times New Roman"/>
          <w:lang w:val="fr-CA"/>
        </w:rPr>
        <w:t>’</w:t>
      </w:r>
      <w:r w:rsidRPr="006055D3">
        <w:rPr>
          <w:rFonts w:cs="Times New Roman"/>
          <w:lang w:val="fr-CA"/>
        </w:rPr>
        <w:t>avis et avis mais, en réponse à la demande de communication de Voltage, qu</w:t>
      </w:r>
      <w:r>
        <w:rPr>
          <w:rFonts w:cs="Times New Roman"/>
          <w:lang w:val="fr-CA"/>
        </w:rPr>
        <w:t>’</w:t>
      </w:r>
      <w:r w:rsidRPr="006055D3">
        <w:rPr>
          <w:rFonts w:cs="Times New Roman"/>
          <w:lang w:val="fr-CA"/>
        </w:rPr>
        <w:t>elle avait « refait une partie de son travail [. . .] afin de vérifier le travail fait antérieurement et d</w:t>
      </w:r>
      <w:r>
        <w:rPr>
          <w:rFonts w:cs="Times New Roman"/>
          <w:lang w:val="fr-CA"/>
        </w:rPr>
        <w:t>’</w:t>
      </w:r>
      <w:r w:rsidRPr="006055D3">
        <w:rPr>
          <w:rFonts w:cs="Times New Roman"/>
          <w:lang w:val="fr-CA"/>
        </w:rPr>
        <w:t>en assurer l</w:t>
      </w:r>
      <w:r>
        <w:rPr>
          <w:rFonts w:cs="Times New Roman"/>
          <w:lang w:val="fr-CA"/>
        </w:rPr>
        <w:t>’</w:t>
      </w:r>
      <w:r w:rsidRPr="006055D3">
        <w:rPr>
          <w:rFonts w:cs="Times New Roman"/>
          <w:lang w:val="fr-CA"/>
        </w:rPr>
        <w:t>exactitude » (par. 67). Les droits de 100 $ l</w:t>
      </w:r>
      <w:r>
        <w:rPr>
          <w:rFonts w:cs="Times New Roman"/>
          <w:lang w:val="fr-CA"/>
        </w:rPr>
        <w:t>’</w:t>
      </w:r>
      <w:r w:rsidRPr="006055D3">
        <w:rPr>
          <w:rFonts w:cs="Times New Roman"/>
          <w:lang w:val="fr-CA"/>
        </w:rPr>
        <w:t>heure exigés par Rogers « se fond[aient] principalement sur le coût de ce travail additionnel » (par. 67). Le juge des requêtes a donc commis une erreur en permettant à Rogers de facturer des travaux qu</w:t>
      </w:r>
      <w:r>
        <w:rPr>
          <w:rFonts w:cs="Times New Roman"/>
          <w:lang w:val="fr-CA"/>
        </w:rPr>
        <w:t>’</w:t>
      </w:r>
      <w:r w:rsidRPr="006055D3">
        <w:rPr>
          <w:rFonts w:cs="Times New Roman"/>
          <w:lang w:val="fr-CA"/>
        </w:rPr>
        <w:t>elle était déjà tenue d</w:t>
      </w:r>
      <w:r>
        <w:rPr>
          <w:rFonts w:cs="Times New Roman"/>
          <w:lang w:val="fr-CA"/>
        </w:rPr>
        <w:t>’</w:t>
      </w:r>
      <w:r w:rsidRPr="006055D3">
        <w:rPr>
          <w:rFonts w:cs="Times New Roman"/>
          <w:lang w:val="fr-CA"/>
        </w:rPr>
        <w:t>exécuter sous le régime d</w:t>
      </w:r>
      <w:r>
        <w:rPr>
          <w:rFonts w:cs="Times New Roman"/>
          <w:lang w:val="fr-CA"/>
        </w:rPr>
        <w:t>’</w:t>
      </w:r>
      <w:r w:rsidRPr="006055D3">
        <w:rPr>
          <w:rFonts w:cs="Times New Roman"/>
          <w:lang w:val="fr-CA"/>
        </w:rPr>
        <w:t>avis et avis. Il a également commis une erreur en omettant d</w:t>
      </w:r>
      <w:r>
        <w:rPr>
          <w:rFonts w:cs="Times New Roman"/>
          <w:lang w:val="fr-CA"/>
        </w:rPr>
        <w:t>’</w:t>
      </w:r>
      <w:r w:rsidRPr="006055D3">
        <w:rPr>
          <w:rFonts w:cs="Times New Roman"/>
          <w:lang w:val="fr-CA"/>
        </w:rPr>
        <w:t>apprécier le caractère raisonnable des droits exigés par Rogers et en concluant plutôt simplement que « [l]es droits sont ce qu</w:t>
      </w:r>
      <w:r>
        <w:rPr>
          <w:rFonts w:cs="Times New Roman"/>
          <w:lang w:val="fr-CA"/>
        </w:rPr>
        <w:t>’</w:t>
      </w:r>
      <w:r w:rsidRPr="006055D3">
        <w:rPr>
          <w:rFonts w:cs="Times New Roman"/>
          <w:lang w:val="fr-CA"/>
        </w:rPr>
        <w:t>ils sont ». La cour a annulé l</w:t>
      </w:r>
      <w:r>
        <w:rPr>
          <w:rFonts w:cs="Times New Roman"/>
          <w:lang w:val="fr-CA"/>
        </w:rPr>
        <w:t>’</w:t>
      </w:r>
      <w:r w:rsidRPr="006055D3">
        <w:rPr>
          <w:rFonts w:cs="Times New Roman"/>
          <w:lang w:val="fr-CA"/>
        </w:rPr>
        <w:t>ordonnance du juge des requêtes selon laquelle Rogers devait rembourser à Voltage les droits de 100 $ l</w:t>
      </w:r>
      <w:r>
        <w:rPr>
          <w:rFonts w:cs="Times New Roman"/>
          <w:lang w:val="fr-CA"/>
        </w:rPr>
        <w:t>’</w:t>
      </w:r>
      <w:r w:rsidRPr="006055D3">
        <w:rPr>
          <w:rFonts w:cs="Times New Roman"/>
          <w:lang w:val="fr-CA"/>
        </w:rPr>
        <w:t>heure, TVH en sus, et, jugeant que la preuve au dossier était insuffisante pour établir les coûts réels, raisonnables et nécessaires occasionnés par la conformité à l</w:t>
      </w:r>
      <w:r>
        <w:rPr>
          <w:rFonts w:cs="Times New Roman"/>
          <w:lang w:val="fr-CA"/>
        </w:rPr>
        <w:t>’</w:t>
      </w:r>
      <w:r w:rsidRPr="006055D3">
        <w:rPr>
          <w:rFonts w:cs="Times New Roman"/>
          <w:lang w:val="fr-CA"/>
        </w:rPr>
        <w:t>ordonnance et supportés par Rogers, elle a conclu que cette dernière n</w:t>
      </w:r>
      <w:r>
        <w:rPr>
          <w:rFonts w:cs="Times New Roman"/>
          <w:lang w:val="fr-CA"/>
        </w:rPr>
        <w:t>’</w:t>
      </w:r>
      <w:r w:rsidRPr="006055D3">
        <w:rPr>
          <w:rFonts w:cs="Times New Roman"/>
          <w:lang w:val="fr-CA"/>
        </w:rPr>
        <w:t>avait droit à aucun remboursement. Pour le motif que les dépens doivent suivre l</w:t>
      </w:r>
      <w:r>
        <w:rPr>
          <w:rFonts w:cs="Times New Roman"/>
          <w:lang w:val="fr-CA"/>
        </w:rPr>
        <w:t>’</w:t>
      </w:r>
      <w:r w:rsidRPr="006055D3">
        <w:rPr>
          <w:rFonts w:cs="Times New Roman"/>
          <w:lang w:val="fr-CA"/>
        </w:rPr>
        <w:t>issue de la cause, la Cour d</w:t>
      </w:r>
      <w:r>
        <w:rPr>
          <w:rFonts w:cs="Times New Roman"/>
          <w:lang w:val="fr-CA"/>
        </w:rPr>
        <w:t>’</w:t>
      </w:r>
      <w:r w:rsidRPr="006055D3">
        <w:rPr>
          <w:rFonts w:cs="Times New Roman"/>
          <w:lang w:val="fr-CA"/>
        </w:rPr>
        <w:t>appel fédérale a annulé l</w:t>
      </w:r>
      <w:r>
        <w:rPr>
          <w:rFonts w:cs="Times New Roman"/>
          <w:lang w:val="fr-CA"/>
        </w:rPr>
        <w:t>’</w:t>
      </w:r>
      <w:r w:rsidRPr="006055D3">
        <w:rPr>
          <w:rFonts w:cs="Times New Roman"/>
          <w:lang w:val="fr-CA"/>
        </w:rPr>
        <w:t xml:space="preserve">adjudication des dépens ordonnée par le juge des requêtes, </w:t>
      </w:r>
      <w:r w:rsidRPr="006055D3">
        <w:rPr>
          <w:rFonts w:cs="Times New Roman"/>
          <w:lang w:val="fr-CA"/>
        </w:rPr>
        <w:lastRenderedPageBreak/>
        <w:t>et a plutôt ordonné à Rogers de payer les dépens en appel de Voltage ainsi que ses dépens en Cour fédérale.</w:t>
      </w:r>
    </w:p>
    <w:p w:rsidR="00E8197E" w:rsidRPr="006055D3" w:rsidRDefault="00E8197E" w:rsidP="00E8197E">
      <w:pPr>
        <w:pStyle w:val="Title1LevelTitre1Niveau-AltL"/>
        <w:rPr>
          <w:rFonts w:cs="Times New Roman"/>
          <w:lang w:val="fr-CA"/>
        </w:rPr>
      </w:pPr>
      <w:r w:rsidRPr="006055D3">
        <w:rPr>
          <w:rFonts w:cs="Times New Roman"/>
          <w:lang w:val="fr-CA"/>
        </w:rPr>
        <w:t>Analyse</w:t>
      </w:r>
    </w:p>
    <w:p w:rsidR="00E8197E" w:rsidRPr="006055D3" w:rsidRDefault="00E8197E" w:rsidP="00E8197E">
      <w:pPr>
        <w:pStyle w:val="Title2LevelTitre2Niveau"/>
        <w:rPr>
          <w:rFonts w:cs="Times New Roman"/>
          <w:lang w:val="fr-CA"/>
        </w:rPr>
      </w:pPr>
      <w:r w:rsidRPr="006055D3">
        <w:rPr>
          <w:rFonts w:cs="Times New Roman"/>
          <w:lang w:val="fr-CA"/>
        </w:rPr>
        <w:t>Introduction</w:t>
      </w:r>
    </w:p>
    <w:p w:rsidR="00E8197E" w:rsidRPr="006055D3" w:rsidRDefault="00E8197E" w:rsidP="00E8197E">
      <w:pPr>
        <w:pStyle w:val="ParaNoNdepar-AltN"/>
        <w:rPr>
          <w:rFonts w:cs="Times New Roman"/>
          <w:lang w:val="fr-CA"/>
        </w:rPr>
      </w:pPr>
      <w:r w:rsidRPr="006055D3">
        <w:rPr>
          <w:rFonts w:cs="Times New Roman"/>
          <w:lang w:val="fr-CA"/>
        </w:rPr>
        <w:t>Formulée initialement comme une ordonnance de communication en equity (</w:t>
      </w:r>
      <w:r w:rsidRPr="006055D3">
        <w:rPr>
          <w:rFonts w:cs="Times New Roman"/>
          <w:i/>
          <w:lang w:val="fr-CA"/>
        </w:rPr>
        <w:t>Norwich</w:t>
      </w:r>
      <w:r w:rsidRPr="006055D3">
        <w:rPr>
          <w:rFonts w:cs="Times New Roman"/>
          <w:lang w:val="fr-CA"/>
        </w:rPr>
        <w:t xml:space="preserve">; </w:t>
      </w:r>
      <w:r w:rsidRPr="006055D3">
        <w:rPr>
          <w:rFonts w:cs="Times New Roman"/>
          <w:i/>
          <w:lang w:val="fr-CA"/>
        </w:rPr>
        <w:t>Glaxo Wellcome PLC c. M.R.N.</w:t>
      </w:r>
      <w:r w:rsidR="002B17AA" w:rsidRPr="002B17AA">
        <w:rPr>
          <w:rFonts w:cs="Times New Roman"/>
          <w:lang w:val="fr-CA"/>
        </w:rPr>
        <w:t>,</w:t>
      </w:r>
      <w:r w:rsidRPr="002B17AA">
        <w:rPr>
          <w:rFonts w:cs="Times New Roman"/>
          <w:lang w:val="fr-CA"/>
        </w:rPr>
        <w:t xml:space="preserve"> </w:t>
      </w:r>
      <w:r w:rsidRPr="006055D3">
        <w:rPr>
          <w:rFonts w:cs="Times New Roman"/>
          <w:lang w:val="fr-CA"/>
        </w:rPr>
        <w:t>[1998] 4 C.F. 439 (C.A.)), l</w:t>
      </w:r>
      <w:r>
        <w:rPr>
          <w:rFonts w:cs="Times New Roman"/>
          <w:lang w:val="fr-CA"/>
        </w:rPr>
        <w:t>’</w:t>
      </w:r>
      <w:r w:rsidRPr="006055D3">
        <w:rPr>
          <w:rFonts w:cs="Times New Roman"/>
          <w:lang w:val="fr-CA"/>
        </w:rPr>
        <w:t xml:space="preserve">ordonnance de type </w:t>
      </w:r>
      <w:r w:rsidRPr="006055D3">
        <w:rPr>
          <w:rFonts w:cs="Times New Roman"/>
          <w:i/>
          <w:lang w:val="fr-CA"/>
        </w:rPr>
        <w:t>Norwich</w:t>
      </w:r>
      <w:r w:rsidRPr="006055D3">
        <w:rPr>
          <w:rFonts w:cs="Times New Roman"/>
          <w:lang w:val="fr-CA"/>
        </w:rPr>
        <w:t xml:space="preserve"> est un type de communication préalable qui, notamment, permet au titulaire du droit d</w:t>
      </w:r>
      <w:r>
        <w:rPr>
          <w:rFonts w:cs="Times New Roman"/>
          <w:lang w:val="fr-CA"/>
        </w:rPr>
        <w:t>’</w:t>
      </w:r>
      <w:r w:rsidRPr="006055D3">
        <w:rPr>
          <w:rFonts w:cs="Times New Roman"/>
          <w:lang w:val="fr-CA"/>
        </w:rPr>
        <w:t>identifier les auteurs de la faute (</w:t>
      </w:r>
      <w:r w:rsidRPr="006055D3">
        <w:rPr>
          <w:rFonts w:cs="Times New Roman"/>
          <w:i/>
          <w:lang w:val="fr-CA"/>
        </w:rPr>
        <w:t>Alberta (Treasury Branches) c. Leahy</w:t>
      </w:r>
      <w:r w:rsidRPr="006055D3">
        <w:rPr>
          <w:rFonts w:cs="Times New Roman"/>
          <w:lang w:val="fr-CA"/>
        </w:rPr>
        <w:t xml:space="preserve">, 2000 ABQB 575, 270 A.R. 1, par. 59, conf. par 2002 ABCA 101, 303 A.R. 63). Les éléments du test à respecter pour obtenir une ordonnance de type </w:t>
      </w:r>
      <w:r w:rsidRPr="006055D3">
        <w:rPr>
          <w:rFonts w:cs="Times New Roman"/>
          <w:i/>
          <w:lang w:val="fr-CA"/>
        </w:rPr>
        <w:t>Norwich</w:t>
      </w:r>
      <w:r w:rsidRPr="006055D3">
        <w:rPr>
          <w:rFonts w:cs="Times New Roman"/>
          <w:lang w:val="fr-CA"/>
        </w:rPr>
        <w:t xml:space="preserve"> (qui sont parfois décrits comme des </w:t>
      </w:r>
      <w:r w:rsidR="00861974">
        <w:rPr>
          <w:rFonts w:cs="Times New Roman"/>
          <w:lang w:val="fr-CA"/>
        </w:rPr>
        <w:t>[</w:t>
      </w:r>
      <w:r w:rsidR="00861974" w:rsidRPr="00861974">
        <w:rPr>
          <w:rFonts w:cs="Times New Roman"/>
          <w:smallCaps/>
          <w:lang w:val="fr-CA"/>
        </w:rPr>
        <w:t>traduction</w:t>
      </w:r>
      <w:r w:rsidR="00861974">
        <w:rPr>
          <w:rFonts w:cs="Times New Roman"/>
          <w:lang w:val="fr-CA"/>
        </w:rPr>
        <w:t xml:space="preserve">] </w:t>
      </w:r>
      <w:r w:rsidRPr="006055D3">
        <w:rPr>
          <w:rFonts w:cs="Times New Roman"/>
          <w:lang w:val="fr-CA"/>
        </w:rPr>
        <w:t>« facteurs » à examiner (</w:t>
      </w:r>
      <w:r w:rsidRPr="006055D3">
        <w:rPr>
          <w:rFonts w:cs="Times New Roman"/>
          <w:i/>
          <w:lang w:val="fr-CA"/>
        </w:rPr>
        <w:t>Leahy</w:t>
      </w:r>
      <w:r w:rsidRPr="006055D3">
        <w:rPr>
          <w:rFonts w:cs="Times New Roman"/>
          <w:lang w:val="fr-CA"/>
        </w:rPr>
        <w:t xml:space="preserve"> (B.R.), par. 106)), ne sont pas contestés devant nous. Le titulaire du droit d</w:t>
      </w:r>
      <w:r>
        <w:rPr>
          <w:rFonts w:cs="Times New Roman"/>
          <w:lang w:val="fr-CA"/>
        </w:rPr>
        <w:t>’</w:t>
      </w:r>
      <w:r w:rsidRPr="006055D3">
        <w:rPr>
          <w:rFonts w:cs="Times New Roman"/>
          <w:lang w:val="fr-CA"/>
        </w:rPr>
        <w:t>auteur doit démontrer ce qui suit :</w:t>
      </w:r>
    </w:p>
    <w:p w:rsidR="00E8197E" w:rsidRDefault="00E8197E" w:rsidP="00E8197E">
      <w:pPr>
        <w:pStyle w:val="Citation-AltC"/>
        <w:ind w:hanging="1166"/>
        <w:rPr>
          <w:lang w:val="fr-CA"/>
        </w:rPr>
      </w:pPr>
      <w:r w:rsidRPr="006055D3">
        <w:rPr>
          <w:lang w:val="fr-CA"/>
        </w:rPr>
        <w:tab/>
      </w:r>
      <w:r>
        <w:rPr>
          <w:lang w:val="fr-CA"/>
        </w:rPr>
        <w:t>a) </w:t>
      </w:r>
      <w:r w:rsidRPr="006055D3">
        <w:rPr>
          <w:lang w:val="fr-CA"/>
        </w:rPr>
        <w:t>[il existe à première vue] quelque chose à reprocher à l</w:t>
      </w:r>
      <w:r>
        <w:rPr>
          <w:lang w:val="fr-CA"/>
        </w:rPr>
        <w:t>’</w:t>
      </w:r>
      <w:r w:rsidRPr="006055D3">
        <w:rPr>
          <w:lang w:val="fr-CA"/>
        </w:rPr>
        <w:t xml:space="preserve">auteur inconnu du </w:t>
      </w:r>
      <w:r w:rsidR="00861974">
        <w:rPr>
          <w:lang w:val="fr-CA"/>
        </w:rPr>
        <w:t>préjudice</w:t>
      </w:r>
      <w:r w:rsidRPr="006055D3">
        <w:rPr>
          <w:lang w:val="fr-CA"/>
        </w:rPr>
        <w:t xml:space="preserve">; </w:t>
      </w:r>
    </w:p>
    <w:p w:rsidR="00861974" w:rsidRPr="006055D3" w:rsidRDefault="00861974" w:rsidP="00E8197E">
      <w:pPr>
        <w:pStyle w:val="Citation-AltC"/>
        <w:ind w:hanging="1166"/>
        <w:rPr>
          <w:lang w:val="fr-CA"/>
        </w:rPr>
      </w:pPr>
    </w:p>
    <w:p w:rsidR="00E8197E" w:rsidRDefault="00E8197E" w:rsidP="00E8197E">
      <w:pPr>
        <w:pStyle w:val="Citation-AltC"/>
        <w:ind w:hanging="1166"/>
        <w:rPr>
          <w:lang w:val="fr-CA"/>
        </w:rPr>
      </w:pPr>
      <w:r w:rsidRPr="006055D3">
        <w:rPr>
          <w:lang w:val="fr-CA"/>
        </w:rPr>
        <w:tab/>
        <w:t>b)</w:t>
      </w:r>
      <w:r>
        <w:rPr>
          <w:lang w:val="fr-CA"/>
        </w:rPr>
        <w:t> </w:t>
      </w:r>
      <w:r w:rsidRPr="006055D3">
        <w:rPr>
          <w:lang w:val="fr-CA"/>
        </w:rPr>
        <w:t>la personne devant faire l</w:t>
      </w:r>
      <w:r>
        <w:rPr>
          <w:lang w:val="fr-CA"/>
        </w:rPr>
        <w:t>’</w:t>
      </w:r>
      <w:r w:rsidRPr="006055D3">
        <w:rPr>
          <w:lang w:val="fr-CA"/>
        </w:rPr>
        <w:t>objet d</w:t>
      </w:r>
      <w:r>
        <w:rPr>
          <w:lang w:val="fr-CA"/>
        </w:rPr>
        <w:t>’</w:t>
      </w:r>
      <w:r w:rsidRPr="006055D3">
        <w:rPr>
          <w:lang w:val="fr-CA"/>
        </w:rPr>
        <w:t xml:space="preserve">un interrogatoire préalable </w:t>
      </w:r>
      <w:r w:rsidR="00861974">
        <w:rPr>
          <w:lang w:val="fr-CA"/>
        </w:rPr>
        <w:t>doit avoi</w:t>
      </w:r>
      <w:r w:rsidR="002D0670">
        <w:rPr>
          <w:lang w:val="fr-CA"/>
        </w:rPr>
        <w:t>r</w:t>
      </w:r>
      <w:r w:rsidR="00861974">
        <w:rPr>
          <w:lang w:val="fr-CA"/>
        </w:rPr>
        <w:t xml:space="preserve"> quelque</w:t>
      </w:r>
      <w:r w:rsidRPr="006055D3">
        <w:rPr>
          <w:lang w:val="fr-CA"/>
        </w:rPr>
        <w:t xml:space="preserve"> chose à </w:t>
      </w:r>
      <w:r w:rsidR="00861974">
        <w:rPr>
          <w:lang w:val="fr-CA"/>
        </w:rPr>
        <w:t xml:space="preserve">voir avec la question en litige — </w:t>
      </w:r>
      <w:r w:rsidRPr="006055D3">
        <w:rPr>
          <w:lang w:val="fr-CA"/>
        </w:rPr>
        <w:t xml:space="preserve">elle </w:t>
      </w:r>
      <w:r w:rsidR="00861974">
        <w:rPr>
          <w:lang w:val="fr-CA"/>
        </w:rPr>
        <w:t>ne peut être un</w:t>
      </w:r>
      <w:r w:rsidRPr="006055D3">
        <w:rPr>
          <w:lang w:val="fr-CA"/>
        </w:rPr>
        <w:t xml:space="preserve"> simple spectat</w:t>
      </w:r>
      <w:r w:rsidR="00861974">
        <w:rPr>
          <w:lang w:val="fr-CA"/>
        </w:rPr>
        <w:t>eur</w:t>
      </w:r>
      <w:r w:rsidR="002B17AA">
        <w:rPr>
          <w:lang w:val="fr-CA"/>
        </w:rPr>
        <w:t>;</w:t>
      </w:r>
    </w:p>
    <w:p w:rsidR="00861974" w:rsidRPr="006055D3" w:rsidRDefault="00861974" w:rsidP="00E8197E">
      <w:pPr>
        <w:pStyle w:val="Citation-AltC"/>
        <w:ind w:hanging="1166"/>
        <w:rPr>
          <w:lang w:val="fr-CA"/>
        </w:rPr>
      </w:pPr>
    </w:p>
    <w:p w:rsidR="00E8197E" w:rsidRDefault="00E8197E" w:rsidP="00E8197E">
      <w:pPr>
        <w:pStyle w:val="Citation-AltC"/>
        <w:ind w:hanging="1166"/>
        <w:rPr>
          <w:lang w:val="fr-CA"/>
        </w:rPr>
      </w:pPr>
      <w:r w:rsidRPr="006055D3">
        <w:rPr>
          <w:lang w:val="fr-CA"/>
        </w:rPr>
        <w:tab/>
      </w:r>
      <w:r>
        <w:rPr>
          <w:lang w:val="fr-CA"/>
        </w:rPr>
        <w:t>c) </w:t>
      </w:r>
      <w:r w:rsidRPr="006055D3">
        <w:rPr>
          <w:lang w:val="fr-CA"/>
        </w:rPr>
        <w:t>la personne devant faire l</w:t>
      </w:r>
      <w:r>
        <w:rPr>
          <w:lang w:val="fr-CA"/>
        </w:rPr>
        <w:t>’</w:t>
      </w:r>
      <w:r w:rsidRPr="006055D3">
        <w:rPr>
          <w:lang w:val="fr-CA"/>
        </w:rPr>
        <w:t>objet de l</w:t>
      </w:r>
      <w:r>
        <w:rPr>
          <w:lang w:val="fr-CA"/>
        </w:rPr>
        <w:t>’</w:t>
      </w:r>
      <w:r w:rsidRPr="006055D3">
        <w:rPr>
          <w:lang w:val="fr-CA"/>
        </w:rPr>
        <w:t>interrogatoire préalable</w:t>
      </w:r>
      <w:r w:rsidR="00861974">
        <w:rPr>
          <w:lang w:val="fr-CA"/>
        </w:rPr>
        <w:t xml:space="preserve"> doit être</w:t>
      </w:r>
      <w:r w:rsidRPr="006055D3">
        <w:rPr>
          <w:lang w:val="fr-CA"/>
        </w:rPr>
        <w:t xml:space="preserve"> la seule source pratique de renseignements dont disposent les demandeurs; </w:t>
      </w:r>
    </w:p>
    <w:p w:rsidR="00861974" w:rsidRPr="006055D3" w:rsidRDefault="00861974" w:rsidP="00E8197E">
      <w:pPr>
        <w:pStyle w:val="Citation-AltC"/>
        <w:ind w:hanging="1166"/>
        <w:rPr>
          <w:lang w:val="fr-CA"/>
        </w:rPr>
      </w:pPr>
    </w:p>
    <w:p w:rsidR="00E8197E" w:rsidRDefault="00E8197E" w:rsidP="00E8197E">
      <w:pPr>
        <w:pStyle w:val="Citation-AltC"/>
        <w:ind w:hanging="1166"/>
        <w:rPr>
          <w:lang w:val="fr-CA"/>
        </w:rPr>
      </w:pPr>
      <w:r w:rsidRPr="006055D3">
        <w:rPr>
          <w:lang w:val="fr-CA"/>
        </w:rPr>
        <w:tab/>
        <w:t>d)</w:t>
      </w:r>
      <w:r>
        <w:rPr>
          <w:lang w:val="fr-CA"/>
        </w:rPr>
        <w:t> </w:t>
      </w:r>
      <w:r w:rsidRPr="006055D3">
        <w:rPr>
          <w:u w:val="single"/>
          <w:lang w:val="fr-CA"/>
        </w:rPr>
        <w:t>la personne devant faire l</w:t>
      </w:r>
      <w:r>
        <w:rPr>
          <w:u w:val="single"/>
          <w:lang w:val="fr-CA"/>
        </w:rPr>
        <w:t>’</w:t>
      </w:r>
      <w:r w:rsidRPr="006055D3">
        <w:rPr>
          <w:u w:val="single"/>
          <w:lang w:val="fr-CA"/>
        </w:rPr>
        <w:t>objet de l</w:t>
      </w:r>
      <w:r>
        <w:rPr>
          <w:u w:val="single"/>
          <w:lang w:val="fr-CA"/>
        </w:rPr>
        <w:t>’</w:t>
      </w:r>
      <w:r w:rsidRPr="006055D3">
        <w:rPr>
          <w:u w:val="single"/>
          <w:lang w:val="fr-CA"/>
        </w:rPr>
        <w:t xml:space="preserve">interrogatoire préalable </w:t>
      </w:r>
      <w:r w:rsidR="00861974">
        <w:rPr>
          <w:u w:val="single"/>
          <w:lang w:val="fr-CA"/>
        </w:rPr>
        <w:t>doit recevoir</w:t>
      </w:r>
      <w:r w:rsidRPr="006055D3">
        <w:rPr>
          <w:u w:val="single"/>
          <w:lang w:val="fr-CA"/>
        </w:rPr>
        <w:t xml:space="preserve"> une compensation raisonnable pour les débours occasionnés par son respect de l</w:t>
      </w:r>
      <w:r>
        <w:rPr>
          <w:u w:val="single"/>
          <w:lang w:val="fr-CA"/>
        </w:rPr>
        <w:t>’</w:t>
      </w:r>
      <w:r w:rsidRPr="006055D3">
        <w:rPr>
          <w:u w:val="single"/>
          <w:lang w:val="fr-CA"/>
        </w:rPr>
        <w:t>ordonnance portant interrogatoire préalable, en sus de ses frais de justice</w:t>
      </w:r>
      <w:r w:rsidRPr="006055D3">
        <w:rPr>
          <w:lang w:val="fr-CA"/>
        </w:rPr>
        <w:t xml:space="preserve">; </w:t>
      </w:r>
    </w:p>
    <w:p w:rsidR="00861974" w:rsidRPr="006055D3" w:rsidRDefault="00861974" w:rsidP="00E8197E">
      <w:pPr>
        <w:pStyle w:val="Citation-AltC"/>
        <w:ind w:hanging="1166"/>
        <w:rPr>
          <w:lang w:val="fr-CA"/>
        </w:rPr>
      </w:pPr>
    </w:p>
    <w:p w:rsidR="00E8197E" w:rsidRPr="006055D3" w:rsidRDefault="00E8197E" w:rsidP="00E8197E">
      <w:pPr>
        <w:pStyle w:val="Citation-AltC"/>
        <w:spacing w:after="240"/>
        <w:ind w:hanging="1166"/>
        <w:contextualSpacing w:val="0"/>
        <w:rPr>
          <w:lang w:val="fr-CA"/>
        </w:rPr>
      </w:pPr>
      <w:r w:rsidRPr="006055D3">
        <w:rPr>
          <w:lang w:val="fr-CA"/>
        </w:rPr>
        <w:tab/>
        <w:t>e</w:t>
      </w:r>
      <w:r>
        <w:rPr>
          <w:lang w:val="fr-CA"/>
        </w:rPr>
        <w:t>) </w:t>
      </w:r>
      <w:r w:rsidRPr="006055D3">
        <w:rPr>
          <w:lang w:val="fr-CA"/>
        </w:rPr>
        <w:t>l</w:t>
      </w:r>
      <w:r>
        <w:rPr>
          <w:lang w:val="fr-CA"/>
        </w:rPr>
        <w:t>’</w:t>
      </w:r>
      <w:r w:rsidRPr="006055D3">
        <w:rPr>
          <w:lang w:val="fr-CA"/>
        </w:rPr>
        <w:t>intérêt public à la divulgation l</w:t>
      </w:r>
      <w:r>
        <w:rPr>
          <w:lang w:val="fr-CA"/>
        </w:rPr>
        <w:t>’</w:t>
      </w:r>
      <w:r w:rsidRPr="006055D3">
        <w:rPr>
          <w:lang w:val="fr-CA"/>
        </w:rPr>
        <w:t>emporte sur l</w:t>
      </w:r>
      <w:r>
        <w:rPr>
          <w:lang w:val="fr-CA"/>
        </w:rPr>
        <w:t>’</w:t>
      </w:r>
      <w:r w:rsidRPr="006055D3">
        <w:rPr>
          <w:lang w:val="fr-CA"/>
        </w:rPr>
        <w:t>attente légitime de respect de la vie privée. [Je souligne.]</w:t>
      </w:r>
    </w:p>
    <w:p w:rsidR="00E8197E" w:rsidRPr="006055D3" w:rsidRDefault="00861974" w:rsidP="00861974">
      <w:pPr>
        <w:pStyle w:val="Citation-AltC"/>
        <w:ind w:left="0"/>
        <w:contextualSpacing w:val="0"/>
        <w:rPr>
          <w:lang w:val="fr-CA"/>
        </w:rPr>
      </w:pPr>
      <w:r>
        <w:rPr>
          <w:lang w:val="fr-CA"/>
        </w:rPr>
        <w:lastRenderedPageBreak/>
        <w:t>(V</w:t>
      </w:r>
      <w:r w:rsidR="00E8197E" w:rsidRPr="006055D3">
        <w:rPr>
          <w:lang w:val="fr-CA"/>
        </w:rPr>
        <w:t xml:space="preserve">oir </w:t>
      </w:r>
      <w:r w:rsidR="00E8197E" w:rsidRPr="006055D3">
        <w:rPr>
          <w:i/>
          <w:lang w:val="fr-CA"/>
        </w:rPr>
        <w:t>BMG Canada Inc. c. John Doe</w:t>
      </w:r>
      <w:r w:rsidR="00E8197E" w:rsidRPr="006055D3">
        <w:rPr>
          <w:lang w:val="fr-CA"/>
        </w:rPr>
        <w:t xml:space="preserve">, 2005 CAF 193, [2005] 4 R.C.F. 81, par. 15 et 32, citant </w:t>
      </w:r>
      <w:r w:rsidR="00E8197E" w:rsidRPr="006055D3">
        <w:rPr>
          <w:i/>
          <w:lang w:val="fr-CA"/>
        </w:rPr>
        <w:t>BMG Canada Inc. c. John Doe</w:t>
      </w:r>
      <w:r w:rsidR="00E8197E" w:rsidRPr="006055D3">
        <w:rPr>
          <w:lang w:val="fr-CA"/>
        </w:rPr>
        <w:t xml:space="preserve">, 2004 CF 488, [2004] 3 R.C.F. 241, par 13; </w:t>
      </w:r>
      <w:r w:rsidR="00E8197E" w:rsidRPr="006055D3">
        <w:rPr>
          <w:i/>
          <w:lang w:val="fr-CA"/>
        </w:rPr>
        <w:t>Voltage Pictures LLC c. Untel</w:t>
      </w:r>
      <w:r w:rsidR="00E8197E" w:rsidRPr="006055D3">
        <w:rPr>
          <w:lang w:val="fr-CA"/>
        </w:rPr>
        <w:t xml:space="preserve">, 2015 CF 1364, par. 37 (CanLII); voir aussi </w:t>
      </w:r>
      <w:r w:rsidR="00E8197E" w:rsidRPr="006055D3">
        <w:rPr>
          <w:i/>
          <w:lang w:val="fr-CA"/>
        </w:rPr>
        <w:t xml:space="preserve">Voltage Pictures LLC c. </w:t>
      </w:r>
      <w:r>
        <w:rPr>
          <w:i/>
          <w:lang w:val="fr-CA"/>
        </w:rPr>
        <w:t>Untel</w:t>
      </w:r>
      <w:r w:rsidR="00E8197E" w:rsidRPr="006055D3">
        <w:rPr>
          <w:lang w:val="fr-CA"/>
        </w:rPr>
        <w:t>, 2014 CF 161, [2015] 2 R.C.F. 540, par. 45</w:t>
      </w:r>
      <w:r>
        <w:rPr>
          <w:lang w:val="fr-CA"/>
        </w:rPr>
        <w:t>.</w:t>
      </w:r>
      <w:r w:rsidR="00E8197E" w:rsidRPr="006055D3">
        <w:rPr>
          <w:lang w:val="fr-CA"/>
        </w:rPr>
        <w:t>)</w:t>
      </w:r>
    </w:p>
    <w:p w:rsidR="00E8197E" w:rsidRPr="006055D3" w:rsidRDefault="00E8197E" w:rsidP="00E8197E">
      <w:pPr>
        <w:pStyle w:val="ParaNoNdepar-AltN"/>
        <w:rPr>
          <w:rFonts w:cs="Times New Roman"/>
          <w:lang w:val="fr-CA"/>
        </w:rPr>
      </w:pPr>
      <w:r w:rsidRPr="006055D3">
        <w:rPr>
          <w:rFonts w:cs="Times New Roman"/>
          <w:lang w:val="fr-CA"/>
        </w:rPr>
        <w:t>Rogers et Voltage conviennent toutes les deux que le régime législatif d</w:t>
      </w:r>
      <w:r>
        <w:rPr>
          <w:rFonts w:cs="Times New Roman"/>
          <w:lang w:val="fr-CA"/>
        </w:rPr>
        <w:t>’</w:t>
      </w:r>
      <w:r w:rsidRPr="006055D3">
        <w:rPr>
          <w:rFonts w:cs="Times New Roman"/>
          <w:lang w:val="fr-CA"/>
        </w:rPr>
        <w:t>avis et avis n</w:t>
      </w:r>
      <w:r>
        <w:rPr>
          <w:rFonts w:cs="Times New Roman"/>
          <w:lang w:val="fr-CA"/>
        </w:rPr>
        <w:t>’</w:t>
      </w:r>
      <w:r w:rsidRPr="006055D3">
        <w:rPr>
          <w:rFonts w:cs="Times New Roman"/>
          <w:lang w:val="fr-CA"/>
        </w:rPr>
        <w:t>a pas écarté la nécessité pour le titulaire du droit d</w:t>
      </w:r>
      <w:r>
        <w:rPr>
          <w:rFonts w:cs="Times New Roman"/>
          <w:lang w:val="fr-CA"/>
        </w:rPr>
        <w:t>’</w:t>
      </w:r>
      <w:r w:rsidRPr="006055D3">
        <w:rPr>
          <w:rFonts w:cs="Times New Roman"/>
          <w:lang w:val="fr-CA"/>
        </w:rPr>
        <w:t>auteur d</w:t>
      </w:r>
      <w:r>
        <w:rPr>
          <w:rFonts w:cs="Times New Roman"/>
          <w:lang w:val="fr-CA"/>
        </w:rPr>
        <w:t>’</w:t>
      </w:r>
      <w:r w:rsidRPr="006055D3">
        <w:rPr>
          <w:rFonts w:cs="Times New Roman"/>
          <w:lang w:val="fr-CA"/>
        </w:rPr>
        <w:t xml:space="preserve">obtenir une ordonnance de type </w:t>
      </w:r>
      <w:r w:rsidRPr="006055D3">
        <w:rPr>
          <w:rFonts w:cs="Times New Roman"/>
          <w:i/>
          <w:lang w:val="fr-CA"/>
        </w:rPr>
        <w:t>Norwich</w:t>
      </w:r>
      <w:r w:rsidRPr="006055D3">
        <w:rPr>
          <w:rFonts w:cs="Times New Roman"/>
          <w:lang w:val="fr-CA"/>
        </w:rPr>
        <w:t xml:space="preserve"> afin d</w:t>
      </w:r>
      <w:r>
        <w:rPr>
          <w:rFonts w:cs="Times New Roman"/>
          <w:lang w:val="fr-CA"/>
        </w:rPr>
        <w:t>’</w:t>
      </w:r>
      <w:r w:rsidRPr="006055D3">
        <w:rPr>
          <w:rFonts w:cs="Times New Roman"/>
          <w:lang w:val="fr-CA"/>
        </w:rPr>
        <w:t>obliger un FSI à révéler l</w:t>
      </w:r>
      <w:r>
        <w:rPr>
          <w:rFonts w:cs="Times New Roman"/>
          <w:lang w:val="fr-CA"/>
        </w:rPr>
        <w:t>’</w:t>
      </w:r>
      <w:r w:rsidRPr="006055D3">
        <w:rPr>
          <w:rFonts w:cs="Times New Roman"/>
          <w:lang w:val="fr-CA"/>
        </w:rPr>
        <w:t>identité d</w:t>
      </w:r>
      <w:r>
        <w:rPr>
          <w:rFonts w:cs="Times New Roman"/>
          <w:lang w:val="fr-CA"/>
        </w:rPr>
        <w:t>’</w:t>
      </w:r>
      <w:r w:rsidRPr="006055D3">
        <w:rPr>
          <w:rFonts w:cs="Times New Roman"/>
          <w:lang w:val="fr-CA"/>
        </w:rPr>
        <w:t>une personne qui aurait commis une violation de droit d</w:t>
      </w:r>
      <w:r>
        <w:rPr>
          <w:rFonts w:cs="Times New Roman"/>
          <w:lang w:val="fr-CA"/>
        </w:rPr>
        <w:t>’</w:t>
      </w:r>
      <w:r w:rsidRPr="006055D3">
        <w:rPr>
          <w:rFonts w:cs="Times New Roman"/>
          <w:lang w:val="fr-CA"/>
        </w:rPr>
        <w:t>auteur. Encore une fois, le présent pourvoi porte sur le lien entre les mesures que doit prendre le FSI pour se conformer à ce régime législatif et celles qu</w:t>
      </w:r>
      <w:r>
        <w:rPr>
          <w:rFonts w:cs="Times New Roman"/>
          <w:lang w:val="fr-CA"/>
        </w:rPr>
        <w:t>’</w:t>
      </w:r>
      <w:r w:rsidRPr="006055D3">
        <w:rPr>
          <w:rFonts w:cs="Times New Roman"/>
          <w:lang w:val="fr-CA"/>
        </w:rPr>
        <w:t xml:space="preserve">il doit prendre pour se conformer à une ordonnance de type </w:t>
      </w:r>
      <w:r w:rsidRPr="006055D3">
        <w:rPr>
          <w:rFonts w:cs="Times New Roman"/>
          <w:i/>
          <w:lang w:val="fr-CA"/>
        </w:rPr>
        <w:t>Norwich</w:t>
      </w:r>
      <w:r w:rsidRPr="006055D3">
        <w:rPr>
          <w:rFonts w:cs="Times New Roman"/>
          <w:lang w:val="fr-CA"/>
        </w:rPr>
        <w:t>, ainsi que les répercussions de ce lien sur la capacité du FSI de recouvrer les coûts occasionnés pour se conformer à une telle ordonnance</w:t>
      </w:r>
      <w:r w:rsidRPr="006055D3">
        <w:rPr>
          <w:rFonts w:cs="Times New Roman"/>
          <w:i/>
          <w:lang w:val="fr-CA"/>
        </w:rPr>
        <w:t>. </w:t>
      </w:r>
    </w:p>
    <w:p w:rsidR="00E8197E" w:rsidRPr="006055D3" w:rsidRDefault="00E8197E" w:rsidP="00E8197E">
      <w:pPr>
        <w:pStyle w:val="Title2LevelTitre2Niveau"/>
        <w:rPr>
          <w:rFonts w:cs="Times New Roman"/>
          <w:lang w:val="fr-CA"/>
        </w:rPr>
      </w:pPr>
      <w:r w:rsidRPr="006055D3">
        <w:rPr>
          <w:rFonts w:cs="Times New Roman"/>
          <w:lang w:val="fr-CA"/>
        </w:rPr>
        <w:t>Interprétation du régime d</w:t>
      </w:r>
      <w:r>
        <w:rPr>
          <w:rFonts w:cs="Times New Roman"/>
          <w:lang w:val="fr-CA"/>
        </w:rPr>
        <w:t>’</w:t>
      </w:r>
      <w:r w:rsidRPr="006055D3">
        <w:rPr>
          <w:rFonts w:cs="Times New Roman"/>
          <w:lang w:val="fr-CA"/>
        </w:rPr>
        <w:t>avis et avis</w:t>
      </w:r>
    </w:p>
    <w:p w:rsidR="00E8197E" w:rsidRPr="006055D3" w:rsidRDefault="00E8197E" w:rsidP="00E8197E">
      <w:pPr>
        <w:pStyle w:val="ParaNoNdepar-AltN"/>
        <w:rPr>
          <w:rFonts w:cs="Times New Roman"/>
          <w:lang w:val="fr-CA"/>
        </w:rPr>
      </w:pPr>
      <w:r w:rsidRPr="006055D3">
        <w:rPr>
          <w:rFonts w:cs="Times New Roman"/>
          <w:lang w:val="fr-CA"/>
        </w:rPr>
        <w:t>L</w:t>
      </w:r>
      <w:r>
        <w:rPr>
          <w:rFonts w:cs="Times New Roman"/>
          <w:lang w:val="fr-CA"/>
        </w:rPr>
        <w:t>’</w:t>
      </w:r>
      <w:r w:rsidRPr="006055D3">
        <w:rPr>
          <w:rFonts w:cs="Times New Roman"/>
          <w:lang w:val="fr-CA"/>
        </w:rPr>
        <w:t>interprétation législative consiste à dégager l</w:t>
      </w:r>
      <w:r>
        <w:rPr>
          <w:rFonts w:cs="Times New Roman"/>
          <w:lang w:val="fr-CA"/>
        </w:rPr>
        <w:t>’</w:t>
      </w:r>
      <w:r w:rsidRPr="006055D3">
        <w:rPr>
          <w:rFonts w:cs="Times New Roman"/>
          <w:lang w:val="fr-CA"/>
        </w:rPr>
        <w:t>intention du Parlement en examinant, dans la présente affaire, les termes des art. 41.25 et 41.26 dans leur contexte global en suivant le sens ordinaire et grammatical qui s</w:t>
      </w:r>
      <w:r>
        <w:rPr>
          <w:rFonts w:cs="Times New Roman"/>
          <w:lang w:val="fr-CA"/>
        </w:rPr>
        <w:t>’</w:t>
      </w:r>
      <w:r w:rsidRPr="006055D3">
        <w:rPr>
          <w:rFonts w:cs="Times New Roman"/>
          <w:lang w:val="fr-CA"/>
        </w:rPr>
        <w:t>harmonise avec l</w:t>
      </w:r>
      <w:r>
        <w:rPr>
          <w:rFonts w:cs="Times New Roman"/>
          <w:lang w:val="fr-CA"/>
        </w:rPr>
        <w:t>’</w:t>
      </w:r>
      <w:r w:rsidRPr="006055D3">
        <w:rPr>
          <w:rFonts w:cs="Times New Roman"/>
          <w:lang w:val="fr-CA"/>
        </w:rPr>
        <w:t>économie et les objets de la Loi (</w:t>
      </w:r>
      <w:r w:rsidRPr="006055D3">
        <w:rPr>
          <w:rFonts w:cs="Times New Roman"/>
          <w:i/>
          <w:lang w:val="fr-CA"/>
        </w:rPr>
        <w:t>Rizzo &amp; Rizzo Shoes Ltd. (Re)</w:t>
      </w:r>
      <w:r w:rsidRPr="006055D3">
        <w:rPr>
          <w:rFonts w:cs="Times New Roman"/>
          <w:lang w:val="fr-CA"/>
        </w:rPr>
        <w:t>, [1998] 1 R.C.S. 27).</w:t>
      </w:r>
    </w:p>
    <w:p w:rsidR="00E8197E" w:rsidRPr="006055D3" w:rsidRDefault="00E8197E" w:rsidP="00E8197E">
      <w:pPr>
        <w:pStyle w:val="Title3LevelTitre3Niveau"/>
        <w:rPr>
          <w:rFonts w:cs="Times New Roman"/>
          <w:i/>
          <w:lang w:val="fr-CA"/>
        </w:rPr>
      </w:pPr>
      <w:r w:rsidRPr="006055D3">
        <w:rPr>
          <w:rFonts w:cs="Times New Roman"/>
          <w:lang w:val="fr-CA"/>
        </w:rPr>
        <w:t>L</w:t>
      </w:r>
      <w:r>
        <w:rPr>
          <w:rFonts w:cs="Times New Roman"/>
          <w:lang w:val="fr-CA"/>
        </w:rPr>
        <w:t>’</w:t>
      </w:r>
      <w:r w:rsidRPr="006055D3">
        <w:rPr>
          <w:rFonts w:cs="Times New Roman"/>
          <w:lang w:val="fr-CA"/>
        </w:rPr>
        <w:t>économie de la Loi</w:t>
      </w:r>
    </w:p>
    <w:p w:rsidR="00E8197E" w:rsidRPr="006055D3" w:rsidRDefault="00E8197E" w:rsidP="00E8197E">
      <w:pPr>
        <w:pStyle w:val="ParaNoNdepar-AltN"/>
        <w:rPr>
          <w:rFonts w:cs="Times New Roman"/>
          <w:lang w:val="fr-CA"/>
        </w:rPr>
      </w:pPr>
      <w:r w:rsidRPr="006055D3">
        <w:rPr>
          <w:rFonts w:cs="Times New Roman"/>
          <w:lang w:val="fr-CA"/>
        </w:rPr>
        <w:t>La Loi énonce les droits des titulaires de droits d</w:t>
      </w:r>
      <w:r>
        <w:rPr>
          <w:rFonts w:cs="Times New Roman"/>
          <w:lang w:val="fr-CA"/>
        </w:rPr>
        <w:t>’</w:t>
      </w:r>
      <w:r w:rsidRPr="006055D3">
        <w:rPr>
          <w:rFonts w:cs="Times New Roman"/>
          <w:lang w:val="fr-CA"/>
        </w:rPr>
        <w:t>auteur, les comportements qui violent ces droits ainsi que les recours civils et criminels pouvant être sollicités ou exercés en cas de violation de ces droits. La partie IV de la Loi, intitulée « Recours », décrit également les façons de procéder lorsque le titulaire du droit d</w:t>
      </w:r>
      <w:r>
        <w:rPr>
          <w:rFonts w:cs="Times New Roman"/>
          <w:lang w:val="fr-CA"/>
        </w:rPr>
        <w:t>’</w:t>
      </w:r>
      <w:r w:rsidRPr="006055D3">
        <w:rPr>
          <w:rFonts w:cs="Times New Roman"/>
          <w:lang w:val="fr-CA"/>
        </w:rPr>
        <w:t xml:space="preserve">auteur allègue </w:t>
      </w:r>
      <w:r w:rsidRPr="006055D3">
        <w:rPr>
          <w:rFonts w:cs="Times New Roman"/>
          <w:lang w:val="fr-CA"/>
        </w:rPr>
        <w:lastRenderedPageBreak/>
        <w:t>une violation et cherche à faire respecter les droits que la Loi lui confère. L</w:t>
      </w:r>
      <w:r>
        <w:rPr>
          <w:rFonts w:cs="Times New Roman"/>
          <w:lang w:val="fr-CA"/>
        </w:rPr>
        <w:t>’</w:t>
      </w:r>
      <w:r w:rsidRPr="006055D3">
        <w:rPr>
          <w:rFonts w:cs="Times New Roman"/>
          <w:lang w:val="fr-CA"/>
        </w:rPr>
        <w:t>une de ces façons de procéder est exposée dans les dispositions du régime d</w:t>
      </w:r>
      <w:r>
        <w:rPr>
          <w:rFonts w:cs="Times New Roman"/>
          <w:lang w:val="fr-CA"/>
        </w:rPr>
        <w:t>’</w:t>
      </w:r>
      <w:r w:rsidRPr="006055D3">
        <w:rPr>
          <w:rFonts w:cs="Times New Roman"/>
          <w:lang w:val="fr-CA"/>
        </w:rPr>
        <w:t xml:space="preserve">avis et avis, aux art. 41.25 et 41.26. </w:t>
      </w:r>
    </w:p>
    <w:p w:rsidR="00E8197E" w:rsidRPr="006055D3" w:rsidRDefault="00E8197E" w:rsidP="00E8197E">
      <w:pPr>
        <w:pStyle w:val="Title3LevelTitre3Niveau"/>
        <w:rPr>
          <w:rFonts w:cs="Times New Roman"/>
          <w:lang w:val="fr-CA"/>
        </w:rPr>
      </w:pPr>
      <w:r w:rsidRPr="006055D3">
        <w:rPr>
          <w:rFonts w:cs="Times New Roman"/>
          <w:lang w:val="fr-CA"/>
        </w:rPr>
        <w:t xml:space="preserve">Les objets de la Loi </w:t>
      </w:r>
    </w:p>
    <w:p w:rsidR="00E8197E" w:rsidRPr="006055D3" w:rsidRDefault="00E8197E" w:rsidP="00E8197E">
      <w:pPr>
        <w:pStyle w:val="ParaNoNdepar-AltN"/>
        <w:rPr>
          <w:rFonts w:cs="Times New Roman"/>
          <w:lang w:val="fr-CA"/>
        </w:rPr>
      </w:pPr>
      <w:r w:rsidRPr="006055D3">
        <w:rPr>
          <w:rFonts w:cs="Times New Roman"/>
          <w:lang w:val="fr-CA"/>
        </w:rPr>
        <w:t>Le régime d</w:t>
      </w:r>
      <w:r>
        <w:rPr>
          <w:rFonts w:cs="Times New Roman"/>
          <w:lang w:val="fr-CA"/>
        </w:rPr>
        <w:t>’</w:t>
      </w:r>
      <w:r w:rsidRPr="006055D3">
        <w:rPr>
          <w:rFonts w:cs="Times New Roman"/>
          <w:lang w:val="fr-CA"/>
        </w:rPr>
        <w:t xml:space="preserve">avis et avis a été adopté dans le cadre de la </w:t>
      </w:r>
      <w:r w:rsidRPr="006055D3">
        <w:rPr>
          <w:rFonts w:cs="Times New Roman"/>
          <w:i/>
          <w:lang w:val="fr-CA"/>
        </w:rPr>
        <w:t>Loi sur la modernisation du droit d</w:t>
      </w:r>
      <w:r>
        <w:rPr>
          <w:rFonts w:cs="Times New Roman"/>
          <w:i/>
          <w:lang w:val="fr-CA"/>
        </w:rPr>
        <w:t>’</w:t>
      </w:r>
      <w:r w:rsidRPr="006055D3">
        <w:rPr>
          <w:rFonts w:cs="Times New Roman"/>
          <w:i/>
          <w:lang w:val="fr-CA"/>
        </w:rPr>
        <w:t>auteur</w:t>
      </w:r>
      <w:r w:rsidRPr="006055D3">
        <w:rPr>
          <w:rFonts w:cs="Times New Roman"/>
          <w:lang w:val="fr-CA"/>
        </w:rPr>
        <w:t>, L.C. 2012, c. 20, et vise deux objectifs complémentaires : (1) dissuader la violation en ligne du droit d</w:t>
      </w:r>
      <w:r>
        <w:rPr>
          <w:rFonts w:cs="Times New Roman"/>
          <w:lang w:val="fr-CA"/>
        </w:rPr>
        <w:t>’</w:t>
      </w:r>
      <w:r w:rsidRPr="006055D3">
        <w:rPr>
          <w:rFonts w:cs="Times New Roman"/>
          <w:lang w:val="fr-CA"/>
        </w:rPr>
        <w:t xml:space="preserve">auteur; (2) établir un équilibre entre les droits des parties intéressées. </w:t>
      </w:r>
    </w:p>
    <w:p w:rsidR="00E8197E" w:rsidRPr="006055D3" w:rsidRDefault="00E8197E" w:rsidP="00E8197E">
      <w:pPr>
        <w:pStyle w:val="ParaNoNdepar-AltN"/>
        <w:rPr>
          <w:rFonts w:cs="Times New Roman"/>
          <w:lang w:val="fr-CA"/>
        </w:rPr>
      </w:pPr>
      <w:r w:rsidRPr="006055D3">
        <w:rPr>
          <w:rFonts w:cs="Times New Roman"/>
          <w:lang w:val="fr-CA"/>
        </w:rPr>
        <w:t xml:space="preserve">Ce premier objectif — la dissuasion — ressort clairement du préambule de la </w:t>
      </w:r>
      <w:r w:rsidRPr="006055D3">
        <w:rPr>
          <w:rFonts w:cs="Times New Roman"/>
          <w:i/>
          <w:lang w:val="fr-CA"/>
        </w:rPr>
        <w:t>Loi sur la modernisation du droit d</w:t>
      </w:r>
      <w:r>
        <w:rPr>
          <w:rFonts w:cs="Times New Roman"/>
          <w:i/>
          <w:lang w:val="fr-CA"/>
        </w:rPr>
        <w:t>’</w:t>
      </w:r>
      <w:r w:rsidRPr="006055D3">
        <w:rPr>
          <w:rFonts w:cs="Times New Roman"/>
          <w:i/>
          <w:lang w:val="fr-CA"/>
        </w:rPr>
        <w:t>auteur</w:t>
      </w:r>
      <w:r w:rsidRPr="006055D3">
        <w:rPr>
          <w:rFonts w:cs="Times New Roman"/>
          <w:lang w:val="fr-CA"/>
        </w:rPr>
        <w:t>, qui énonce que le « gouvernement du Canada s</w:t>
      </w:r>
      <w:r>
        <w:rPr>
          <w:rFonts w:cs="Times New Roman"/>
          <w:lang w:val="fr-CA"/>
        </w:rPr>
        <w:t>’</w:t>
      </w:r>
      <w:r w:rsidRPr="006055D3">
        <w:rPr>
          <w:rFonts w:cs="Times New Roman"/>
          <w:lang w:val="fr-CA"/>
        </w:rPr>
        <w:t xml:space="preserve">engage </w:t>
      </w:r>
      <w:r w:rsidR="001A2B2B">
        <w:rPr>
          <w:rFonts w:cs="Times New Roman"/>
          <w:lang w:val="fr-CA"/>
        </w:rPr>
        <w:t>à améliorer la protection des œ</w:t>
      </w:r>
      <w:r w:rsidRPr="006055D3">
        <w:rPr>
          <w:rFonts w:cs="Times New Roman"/>
          <w:lang w:val="fr-CA"/>
        </w:rPr>
        <w:t>uvres ou autres objets du droit d</w:t>
      </w:r>
      <w:r>
        <w:rPr>
          <w:rFonts w:cs="Times New Roman"/>
          <w:lang w:val="fr-CA"/>
        </w:rPr>
        <w:t>’</w:t>
      </w:r>
      <w:r w:rsidRPr="006055D3">
        <w:rPr>
          <w:rFonts w:cs="Times New Roman"/>
          <w:lang w:val="fr-CA"/>
        </w:rPr>
        <w:t>auteur ». L</w:t>
      </w:r>
      <w:r>
        <w:rPr>
          <w:rFonts w:cs="Times New Roman"/>
          <w:lang w:val="fr-CA"/>
        </w:rPr>
        <w:t>’</w:t>
      </w:r>
      <w:r w:rsidRPr="006055D3">
        <w:rPr>
          <w:rFonts w:cs="Times New Roman"/>
          <w:lang w:val="fr-CA"/>
        </w:rPr>
        <w:t>objectif est repris dans le sommaire de cette loi, qui précise que la Loi est modifiée pour « mettre à jour les droits et les mesures de protection dont bénéficient les titulaires du droit d</w:t>
      </w:r>
      <w:r>
        <w:rPr>
          <w:rFonts w:cs="Times New Roman"/>
          <w:lang w:val="fr-CA"/>
        </w:rPr>
        <w:t>’</w:t>
      </w:r>
      <w:r w:rsidRPr="006055D3">
        <w:rPr>
          <w:rFonts w:cs="Times New Roman"/>
          <w:lang w:val="fr-CA"/>
        </w:rPr>
        <w:t>auteur [. . .] afin de mieux tenir compte des défis et des possibilités créés par Internet ». De même, la lettre de consultation envoyée par le gouvernement du Canada à des intervenants pour les inviter à présenter des observations sur la forme et le contenu de l</w:t>
      </w:r>
      <w:r>
        <w:rPr>
          <w:rFonts w:cs="Times New Roman"/>
          <w:lang w:val="fr-CA"/>
        </w:rPr>
        <w:t>’</w:t>
      </w:r>
      <w:r w:rsidRPr="006055D3">
        <w:rPr>
          <w:rFonts w:cs="Times New Roman"/>
          <w:lang w:val="fr-CA"/>
        </w:rPr>
        <w:t>avis énonçait aussi que le régime d</w:t>
      </w:r>
      <w:r>
        <w:rPr>
          <w:rFonts w:cs="Times New Roman"/>
          <w:lang w:val="fr-CA"/>
        </w:rPr>
        <w:t>’</w:t>
      </w:r>
      <w:r w:rsidRPr="006055D3">
        <w:rPr>
          <w:rFonts w:cs="Times New Roman"/>
          <w:lang w:val="fr-CA"/>
        </w:rPr>
        <w:t>avis et avis avait comme « objectif principal [. . .] de dissuader la violation du droit d</w:t>
      </w:r>
      <w:r>
        <w:rPr>
          <w:rFonts w:cs="Times New Roman"/>
          <w:lang w:val="fr-CA"/>
        </w:rPr>
        <w:t>’</w:t>
      </w:r>
      <w:r w:rsidRPr="006055D3">
        <w:rPr>
          <w:rFonts w:cs="Times New Roman"/>
          <w:lang w:val="fr-CA"/>
        </w:rPr>
        <w:t>auteur » (d.a., p. 74). Plus particulièrement, en exigeant qu</w:t>
      </w:r>
      <w:r>
        <w:rPr>
          <w:rFonts w:cs="Times New Roman"/>
          <w:lang w:val="fr-CA"/>
        </w:rPr>
        <w:t>’</w:t>
      </w:r>
      <w:r w:rsidRPr="006055D3">
        <w:rPr>
          <w:rFonts w:cs="Times New Roman"/>
          <w:lang w:val="fr-CA"/>
        </w:rPr>
        <w:t>un avis de prétendue violation soit envoyé à la personne associée à l</w:t>
      </w:r>
      <w:r>
        <w:rPr>
          <w:rFonts w:cs="Times New Roman"/>
          <w:lang w:val="fr-CA"/>
        </w:rPr>
        <w:t>’</w:t>
      </w:r>
      <w:r w:rsidRPr="006055D3">
        <w:rPr>
          <w:rFonts w:cs="Times New Roman"/>
          <w:lang w:val="fr-CA"/>
        </w:rPr>
        <w:t>adresse IP à partir de laquelle le droit d</w:t>
      </w:r>
      <w:r>
        <w:rPr>
          <w:rFonts w:cs="Times New Roman"/>
          <w:lang w:val="fr-CA"/>
        </w:rPr>
        <w:t>’</w:t>
      </w:r>
      <w:r w:rsidRPr="006055D3">
        <w:rPr>
          <w:rFonts w:cs="Times New Roman"/>
          <w:lang w:val="fr-CA"/>
        </w:rPr>
        <w:t>auteur aurait été violé, le régime vise à dissuader cette personne, ou d</w:t>
      </w:r>
      <w:r>
        <w:rPr>
          <w:rFonts w:cs="Times New Roman"/>
          <w:lang w:val="fr-CA"/>
        </w:rPr>
        <w:t>’</w:t>
      </w:r>
      <w:r w:rsidRPr="006055D3">
        <w:rPr>
          <w:rFonts w:cs="Times New Roman"/>
          <w:lang w:val="fr-CA"/>
        </w:rPr>
        <w:t>autres utilisant l</w:t>
      </w:r>
      <w:r>
        <w:rPr>
          <w:rFonts w:cs="Times New Roman"/>
          <w:lang w:val="fr-CA"/>
        </w:rPr>
        <w:t>’</w:t>
      </w:r>
      <w:r w:rsidRPr="006055D3">
        <w:rPr>
          <w:rFonts w:cs="Times New Roman"/>
          <w:lang w:val="fr-CA"/>
        </w:rPr>
        <w:t>adresse IP, de continuer à violer le droit d</w:t>
      </w:r>
      <w:r>
        <w:rPr>
          <w:rFonts w:cs="Times New Roman"/>
          <w:lang w:val="fr-CA"/>
        </w:rPr>
        <w:t>’</w:t>
      </w:r>
      <w:r w:rsidRPr="006055D3">
        <w:rPr>
          <w:rFonts w:cs="Times New Roman"/>
          <w:lang w:val="fr-CA"/>
        </w:rPr>
        <w:t xml:space="preserve">auteur (voir Canada, Bureau de la consommation, </w:t>
      </w:r>
      <w:r w:rsidRPr="006055D3">
        <w:rPr>
          <w:rFonts w:cs="Times New Roman"/>
          <w:i/>
          <w:lang w:val="fr-CA"/>
        </w:rPr>
        <w:t>Le régime d</w:t>
      </w:r>
      <w:r>
        <w:rPr>
          <w:rFonts w:cs="Times New Roman"/>
          <w:i/>
          <w:lang w:val="fr-CA"/>
        </w:rPr>
        <w:t>’</w:t>
      </w:r>
      <w:r w:rsidRPr="006055D3">
        <w:rPr>
          <w:rFonts w:cs="Times New Roman"/>
          <w:i/>
          <w:lang w:val="fr-CA"/>
        </w:rPr>
        <w:t>avis et avis</w:t>
      </w:r>
      <w:r w:rsidRPr="006055D3">
        <w:rPr>
          <w:rFonts w:cs="Times New Roman"/>
          <w:lang w:val="fr-CA"/>
        </w:rPr>
        <w:t xml:space="preserve"> (en ligne)).</w:t>
      </w:r>
    </w:p>
    <w:p w:rsidR="00E8197E" w:rsidRPr="006055D3" w:rsidRDefault="00E8197E" w:rsidP="00E8197E">
      <w:pPr>
        <w:pStyle w:val="ParaNoNdepar-AltN"/>
        <w:rPr>
          <w:rFonts w:cs="Times New Roman"/>
          <w:lang w:val="fr-CA"/>
        </w:rPr>
      </w:pPr>
      <w:r w:rsidRPr="006055D3">
        <w:rPr>
          <w:rFonts w:cs="Times New Roman"/>
          <w:lang w:val="fr-CA"/>
        </w:rPr>
        <w:lastRenderedPageBreak/>
        <w:t>Toutefois, le régime d</w:t>
      </w:r>
      <w:r>
        <w:rPr>
          <w:rFonts w:cs="Times New Roman"/>
          <w:lang w:val="fr-CA"/>
        </w:rPr>
        <w:t>’</w:t>
      </w:r>
      <w:r w:rsidRPr="006055D3">
        <w:rPr>
          <w:rFonts w:cs="Times New Roman"/>
          <w:lang w:val="fr-CA"/>
        </w:rPr>
        <w:t>avis et avis n</w:t>
      </w:r>
      <w:r>
        <w:rPr>
          <w:rFonts w:cs="Times New Roman"/>
          <w:lang w:val="fr-CA"/>
        </w:rPr>
        <w:t>’</w:t>
      </w:r>
      <w:r w:rsidRPr="006055D3">
        <w:rPr>
          <w:rFonts w:cs="Times New Roman"/>
          <w:lang w:val="fr-CA"/>
        </w:rPr>
        <w:t>avait pas pour but d</w:t>
      </w:r>
      <w:r>
        <w:rPr>
          <w:rFonts w:cs="Times New Roman"/>
          <w:lang w:val="fr-CA"/>
        </w:rPr>
        <w:t>’</w:t>
      </w:r>
      <w:r w:rsidRPr="006055D3">
        <w:rPr>
          <w:rFonts w:cs="Times New Roman"/>
          <w:lang w:val="fr-CA"/>
        </w:rPr>
        <w:t>établir un cadre exhaustif au moyen duquel les cas de violation en ligne du droit d</w:t>
      </w:r>
      <w:r>
        <w:rPr>
          <w:rFonts w:cs="Times New Roman"/>
          <w:lang w:val="fr-CA"/>
        </w:rPr>
        <w:t>’</w:t>
      </w:r>
      <w:r w:rsidRPr="006055D3">
        <w:rPr>
          <w:rFonts w:cs="Times New Roman"/>
          <w:lang w:val="fr-CA"/>
        </w:rPr>
        <w:t>auteur pourraient être totalement éliminés. Comme l</w:t>
      </w:r>
      <w:r>
        <w:rPr>
          <w:rFonts w:cs="Times New Roman"/>
          <w:lang w:val="fr-CA"/>
        </w:rPr>
        <w:t>’</w:t>
      </w:r>
      <w:r w:rsidRPr="006055D3">
        <w:rPr>
          <w:rFonts w:cs="Times New Roman"/>
          <w:lang w:val="fr-CA"/>
        </w:rPr>
        <w:t xml:space="preserve">a expliqué une représentante de Rogers devant le comité de la Chambre des communes qui examinait ce qui allait devenir la </w:t>
      </w:r>
      <w:r w:rsidRPr="006055D3">
        <w:rPr>
          <w:rFonts w:cs="Times New Roman"/>
          <w:i/>
          <w:lang w:val="fr-CA"/>
        </w:rPr>
        <w:t>Loi sur la modernisation du droit d</w:t>
      </w:r>
      <w:r>
        <w:rPr>
          <w:rFonts w:cs="Times New Roman"/>
          <w:i/>
          <w:lang w:val="fr-CA"/>
        </w:rPr>
        <w:t>’</w:t>
      </w:r>
      <w:r w:rsidRPr="006055D3">
        <w:rPr>
          <w:rFonts w:cs="Times New Roman"/>
          <w:i/>
          <w:lang w:val="fr-CA"/>
        </w:rPr>
        <w:t>auteur</w:t>
      </w:r>
      <w:r w:rsidRPr="006055D3">
        <w:rPr>
          <w:rFonts w:cs="Times New Roman"/>
          <w:lang w:val="fr-CA"/>
        </w:rPr>
        <w:t>, « le processus d</w:t>
      </w:r>
      <w:r>
        <w:rPr>
          <w:rFonts w:cs="Times New Roman"/>
          <w:lang w:val="fr-CA"/>
        </w:rPr>
        <w:t>’</w:t>
      </w:r>
      <w:r w:rsidRPr="006055D3">
        <w:rPr>
          <w:rFonts w:cs="Times New Roman"/>
          <w:lang w:val="fr-CA"/>
        </w:rPr>
        <w:t>avis et avis n</w:t>
      </w:r>
      <w:r>
        <w:rPr>
          <w:rFonts w:cs="Times New Roman"/>
          <w:lang w:val="fr-CA"/>
        </w:rPr>
        <w:t>’</w:t>
      </w:r>
      <w:r w:rsidRPr="006055D3">
        <w:rPr>
          <w:rFonts w:cs="Times New Roman"/>
          <w:lang w:val="fr-CA"/>
        </w:rPr>
        <w:t>est pas une solution miracle; ce n</w:t>
      </w:r>
      <w:r>
        <w:rPr>
          <w:rFonts w:cs="Times New Roman"/>
          <w:lang w:val="fr-CA"/>
        </w:rPr>
        <w:t>’</w:t>
      </w:r>
      <w:r w:rsidRPr="006055D3">
        <w:rPr>
          <w:rFonts w:cs="Times New Roman"/>
          <w:lang w:val="fr-CA"/>
        </w:rPr>
        <w:t>est que la première étape d</w:t>
      </w:r>
      <w:r>
        <w:rPr>
          <w:rFonts w:cs="Times New Roman"/>
          <w:lang w:val="fr-CA"/>
        </w:rPr>
        <w:t>’</w:t>
      </w:r>
      <w:r w:rsidRPr="006055D3">
        <w:rPr>
          <w:rFonts w:cs="Times New Roman"/>
          <w:lang w:val="fr-CA"/>
        </w:rPr>
        <w:t>un processus permettant aux titulaires de droit de poursuivre ceux qui violeraient ces droits. [. . .] [Le titulaire du droit] peut ensuite s</w:t>
      </w:r>
      <w:r>
        <w:rPr>
          <w:rFonts w:cs="Times New Roman"/>
          <w:lang w:val="fr-CA"/>
        </w:rPr>
        <w:t>’</w:t>
      </w:r>
      <w:r w:rsidRPr="006055D3">
        <w:rPr>
          <w:rFonts w:cs="Times New Roman"/>
          <w:lang w:val="fr-CA"/>
        </w:rPr>
        <w:t>en servir quand il décide de poursuivre le contrevenant allégué » (Chambre des communes, Comité législatif chargé du projet de loi C</w:t>
      </w:r>
      <w:r w:rsidRPr="006055D3">
        <w:rPr>
          <w:rFonts w:cs="Times New Roman"/>
          <w:lang w:val="fr-CA"/>
        </w:rPr>
        <w:noBreakHyphen/>
        <w:t xml:space="preserve">32, </w:t>
      </w:r>
      <w:r w:rsidRPr="006055D3">
        <w:rPr>
          <w:rFonts w:cs="Times New Roman"/>
          <w:i/>
          <w:lang w:val="fr-CA"/>
        </w:rPr>
        <w:t>Témoignages</w:t>
      </w:r>
      <w:r w:rsidRPr="006055D3">
        <w:rPr>
          <w:rFonts w:cs="Times New Roman"/>
          <w:lang w:val="fr-CA"/>
        </w:rPr>
        <w:t>, n</w:t>
      </w:r>
      <w:r w:rsidRPr="006055D3">
        <w:rPr>
          <w:rFonts w:cs="Times New Roman"/>
          <w:vertAlign w:val="superscript"/>
          <w:lang w:val="fr-CA"/>
        </w:rPr>
        <w:t>o</w:t>
      </w:r>
      <w:r w:rsidRPr="006055D3">
        <w:rPr>
          <w:rFonts w:cs="Times New Roman"/>
          <w:lang w:val="fr-CA"/>
        </w:rPr>
        <w:t> 19, 3</w:t>
      </w:r>
      <w:r w:rsidRPr="006055D3">
        <w:rPr>
          <w:rFonts w:cs="Times New Roman"/>
          <w:vertAlign w:val="superscript"/>
          <w:lang w:val="fr-CA"/>
        </w:rPr>
        <w:t>e</w:t>
      </w:r>
      <w:r w:rsidRPr="006055D3">
        <w:rPr>
          <w:rFonts w:cs="Times New Roman"/>
          <w:lang w:val="fr-CA"/>
        </w:rPr>
        <w:t> sess., 40</w:t>
      </w:r>
      <w:r w:rsidRPr="006055D3">
        <w:rPr>
          <w:rFonts w:cs="Times New Roman"/>
          <w:vertAlign w:val="superscript"/>
          <w:lang w:val="fr-CA"/>
        </w:rPr>
        <w:t>e</w:t>
      </w:r>
      <w:r w:rsidRPr="006055D3">
        <w:rPr>
          <w:rFonts w:cs="Times New Roman"/>
          <w:lang w:val="fr-CA"/>
        </w:rPr>
        <w:t> lég., 22 mars 2011, p. 10). C</w:t>
      </w:r>
      <w:r>
        <w:rPr>
          <w:rFonts w:cs="Times New Roman"/>
          <w:lang w:val="fr-CA"/>
        </w:rPr>
        <w:t>’</w:t>
      </w:r>
      <w:r w:rsidRPr="006055D3">
        <w:rPr>
          <w:rFonts w:cs="Times New Roman"/>
          <w:lang w:val="fr-CA"/>
        </w:rPr>
        <w:t>est pourquoi, comme je l</w:t>
      </w:r>
      <w:r>
        <w:rPr>
          <w:rFonts w:cs="Times New Roman"/>
          <w:lang w:val="fr-CA"/>
        </w:rPr>
        <w:t>’</w:t>
      </w:r>
      <w:r w:rsidRPr="006055D3">
        <w:rPr>
          <w:rFonts w:cs="Times New Roman"/>
          <w:lang w:val="fr-CA"/>
        </w:rPr>
        <w:t>ai expliqué, le titulaire du droit d</w:t>
      </w:r>
      <w:r>
        <w:rPr>
          <w:rFonts w:cs="Times New Roman"/>
          <w:lang w:val="fr-CA"/>
        </w:rPr>
        <w:t>’</w:t>
      </w:r>
      <w:r w:rsidRPr="006055D3">
        <w:rPr>
          <w:rFonts w:cs="Times New Roman"/>
          <w:lang w:val="fr-CA"/>
        </w:rPr>
        <w:t xml:space="preserve">auteur qui souhaite poursuivre une personne qui aurait violé son droit en ligne doit obtenir une ordonnance de type </w:t>
      </w:r>
      <w:r w:rsidRPr="006055D3">
        <w:rPr>
          <w:rFonts w:cs="Times New Roman"/>
          <w:i/>
          <w:lang w:val="fr-CA"/>
        </w:rPr>
        <w:t>Norwich</w:t>
      </w:r>
      <w:r w:rsidRPr="006055D3">
        <w:rPr>
          <w:rFonts w:cs="Times New Roman"/>
          <w:lang w:val="fr-CA"/>
        </w:rPr>
        <w:t xml:space="preserve"> pour obliger le FSI à lui communiquer l</w:t>
      </w:r>
      <w:r>
        <w:rPr>
          <w:rFonts w:cs="Times New Roman"/>
          <w:lang w:val="fr-CA"/>
        </w:rPr>
        <w:t>’</w:t>
      </w:r>
      <w:r w:rsidRPr="006055D3">
        <w:rPr>
          <w:rFonts w:cs="Times New Roman"/>
          <w:lang w:val="fr-CA"/>
        </w:rPr>
        <w:t>identité de cette personne. Le régime législatif d</w:t>
      </w:r>
      <w:r>
        <w:rPr>
          <w:rFonts w:cs="Times New Roman"/>
          <w:lang w:val="fr-CA"/>
        </w:rPr>
        <w:t>’</w:t>
      </w:r>
      <w:r w:rsidRPr="006055D3">
        <w:rPr>
          <w:rFonts w:cs="Times New Roman"/>
          <w:lang w:val="fr-CA"/>
        </w:rPr>
        <w:t>avis et avis n</w:t>
      </w:r>
      <w:r>
        <w:rPr>
          <w:rFonts w:cs="Times New Roman"/>
          <w:lang w:val="fr-CA"/>
        </w:rPr>
        <w:t>’</w:t>
      </w:r>
      <w:r w:rsidRPr="006055D3">
        <w:rPr>
          <w:rFonts w:cs="Times New Roman"/>
          <w:lang w:val="fr-CA"/>
        </w:rPr>
        <w:t>a pas écarté cette exigence; il fonctionne de concert avec elle. Cela est confirmé par l</w:t>
      </w:r>
      <w:r>
        <w:rPr>
          <w:rFonts w:cs="Times New Roman"/>
          <w:lang w:val="fr-CA"/>
        </w:rPr>
        <w:t>’</w:t>
      </w:r>
      <w:r w:rsidRPr="006055D3">
        <w:rPr>
          <w:rFonts w:cs="Times New Roman"/>
          <w:lang w:val="fr-CA"/>
        </w:rPr>
        <w:t>al. 41.26(1)b), qui prévoit que le titulaire du droit d</w:t>
      </w:r>
      <w:r>
        <w:rPr>
          <w:rFonts w:cs="Times New Roman"/>
          <w:lang w:val="fr-CA"/>
        </w:rPr>
        <w:t>’</w:t>
      </w:r>
      <w:r w:rsidRPr="006055D3">
        <w:rPr>
          <w:rFonts w:cs="Times New Roman"/>
          <w:lang w:val="fr-CA"/>
        </w:rPr>
        <w:t>auteur peut poursuivre une personne qui reçoit un avis dans le cadre du régime, et établit l</w:t>
      </w:r>
      <w:r>
        <w:rPr>
          <w:rFonts w:cs="Times New Roman"/>
          <w:lang w:val="fr-CA"/>
        </w:rPr>
        <w:t>’</w:t>
      </w:r>
      <w:r w:rsidRPr="006055D3">
        <w:rPr>
          <w:rFonts w:cs="Times New Roman"/>
          <w:lang w:val="fr-CA"/>
        </w:rPr>
        <w:t>obligation du FSI de conserver le registre permettant d</w:t>
      </w:r>
      <w:r>
        <w:rPr>
          <w:rFonts w:cs="Times New Roman"/>
          <w:lang w:val="fr-CA"/>
        </w:rPr>
        <w:t>’</w:t>
      </w:r>
      <w:r w:rsidRPr="006055D3">
        <w:rPr>
          <w:rFonts w:cs="Times New Roman"/>
          <w:lang w:val="fr-CA"/>
        </w:rPr>
        <w:t>identifier cette personne pendant une certaine période suivant la réception de cet avis.</w:t>
      </w:r>
    </w:p>
    <w:p w:rsidR="00E8197E" w:rsidRPr="006055D3" w:rsidRDefault="00E8197E" w:rsidP="00E8197E">
      <w:pPr>
        <w:pStyle w:val="ParaNoNdepar-AltN"/>
        <w:rPr>
          <w:rFonts w:cs="Times New Roman"/>
          <w:lang w:val="fr-CA"/>
        </w:rPr>
      </w:pPr>
      <w:r w:rsidRPr="006055D3">
        <w:rPr>
          <w:rFonts w:cs="Times New Roman"/>
          <w:lang w:val="fr-CA"/>
        </w:rPr>
        <w:t>Le deuxième objectif des art. 41.25 et 41.26 est « </w:t>
      </w:r>
      <w:r w:rsidRPr="006055D3">
        <w:rPr>
          <w:rFonts w:cs="Times New Roman"/>
          <w:u w:val="single"/>
          <w:lang w:val="fr-CA"/>
        </w:rPr>
        <w:t>d</w:t>
      </w:r>
      <w:r>
        <w:rPr>
          <w:rFonts w:cs="Times New Roman"/>
          <w:u w:val="single"/>
          <w:lang w:val="fr-CA"/>
        </w:rPr>
        <w:t>’</w:t>
      </w:r>
      <w:r w:rsidRPr="006055D3">
        <w:rPr>
          <w:rFonts w:cs="Times New Roman"/>
          <w:u w:val="single"/>
          <w:lang w:val="fr-CA"/>
        </w:rPr>
        <w:t>établir un équilibre entre les intérêts de toutes les parties intéressées</w:t>
      </w:r>
      <w:r w:rsidRPr="006055D3">
        <w:rPr>
          <w:rFonts w:cs="Times New Roman"/>
          <w:lang w:val="fr-CA"/>
        </w:rPr>
        <w:t xml:space="preserve"> par le régime de droits d</w:t>
      </w:r>
      <w:r>
        <w:rPr>
          <w:rFonts w:cs="Times New Roman"/>
          <w:lang w:val="fr-CA"/>
        </w:rPr>
        <w:t>’</w:t>
      </w:r>
      <w:r w:rsidRPr="006055D3">
        <w:rPr>
          <w:rFonts w:cs="Times New Roman"/>
          <w:lang w:val="fr-CA"/>
        </w:rPr>
        <w:t>auteur » (</w:t>
      </w:r>
      <w:r w:rsidRPr="006055D3">
        <w:rPr>
          <w:rFonts w:cs="Times New Roman"/>
          <w:i/>
          <w:lang w:val="fr-CA"/>
        </w:rPr>
        <w:t>Débats de la Chambre des communes</w:t>
      </w:r>
      <w:r w:rsidRPr="006055D3">
        <w:rPr>
          <w:rFonts w:cs="Times New Roman"/>
          <w:lang w:val="fr-CA"/>
        </w:rPr>
        <w:t>, vol. 146, n</w:t>
      </w:r>
      <w:r w:rsidRPr="006055D3">
        <w:rPr>
          <w:rFonts w:cs="Times New Roman"/>
          <w:vertAlign w:val="superscript"/>
          <w:lang w:val="fr-CA"/>
        </w:rPr>
        <w:t>o</w:t>
      </w:r>
      <w:r w:rsidRPr="006055D3">
        <w:rPr>
          <w:rFonts w:cs="Times New Roman"/>
          <w:lang w:val="fr-CA"/>
        </w:rPr>
        <w:t> 31, 1</w:t>
      </w:r>
      <w:r w:rsidRPr="006055D3">
        <w:rPr>
          <w:rFonts w:cs="Times New Roman"/>
          <w:vertAlign w:val="superscript"/>
          <w:lang w:val="fr-CA"/>
        </w:rPr>
        <w:t>re</w:t>
      </w:r>
      <w:r w:rsidRPr="006055D3">
        <w:rPr>
          <w:rFonts w:cs="Times New Roman"/>
          <w:lang w:val="fr-CA"/>
        </w:rPr>
        <w:t> sess.</w:t>
      </w:r>
      <w:r>
        <w:rPr>
          <w:rFonts w:cs="Times New Roman"/>
          <w:lang w:val="fr-CA"/>
        </w:rPr>
        <w:t>,</w:t>
      </w:r>
      <w:r w:rsidRPr="006055D3">
        <w:rPr>
          <w:rFonts w:cs="Times New Roman"/>
          <w:lang w:val="fr-CA"/>
        </w:rPr>
        <w:t> 41</w:t>
      </w:r>
      <w:r w:rsidRPr="006055D3">
        <w:rPr>
          <w:rFonts w:cs="Times New Roman"/>
          <w:vertAlign w:val="superscript"/>
          <w:lang w:val="fr-CA"/>
        </w:rPr>
        <w:t>e</w:t>
      </w:r>
      <w:r w:rsidRPr="006055D3">
        <w:rPr>
          <w:rFonts w:cs="Times New Roman"/>
          <w:lang w:val="fr-CA"/>
        </w:rPr>
        <w:t> lég., 18 octobre 2011, p. 2107 (je souligne)). Il s</w:t>
      </w:r>
      <w:r>
        <w:rPr>
          <w:rFonts w:cs="Times New Roman"/>
          <w:lang w:val="fr-CA"/>
        </w:rPr>
        <w:t>’</w:t>
      </w:r>
      <w:r w:rsidRPr="006055D3">
        <w:rPr>
          <w:rFonts w:cs="Times New Roman"/>
          <w:lang w:val="fr-CA"/>
        </w:rPr>
        <w:t>agit non seulement d</w:t>
      </w:r>
      <w:r>
        <w:rPr>
          <w:rFonts w:cs="Times New Roman"/>
          <w:lang w:val="fr-CA"/>
        </w:rPr>
        <w:t>’</w:t>
      </w:r>
      <w:r w:rsidRPr="006055D3">
        <w:rPr>
          <w:rFonts w:cs="Times New Roman"/>
          <w:lang w:val="fr-CA"/>
        </w:rPr>
        <w:t>établir un équilibre entre les droits des titulaires de droits d</w:t>
      </w:r>
      <w:r>
        <w:rPr>
          <w:rFonts w:cs="Times New Roman"/>
          <w:lang w:val="fr-CA"/>
        </w:rPr>
        <w:t>’</w:t>
      </w:r>
      <w:r w:rsidRPr="006055D3">
        <w:rPr>
          <w:rFonts w:cs="Times New Roman"/>
          <w:lang w:val="fr-CA"/>
        </w:rPr>
        <w:t>auteur et ceux des internautes qui peuvent porter atteinte à ces droits, mais aussi entre ceux</w:t>
      </w:r>
      <w:r w:rsidRPr="006055D3">
        <w:rPr>
          <w:rFonts w:cs="Times New Roman"/>
          <w:lang w:val="fr-CA"/>
        </w:rPr>
        <w:noBreakHyphen/>
        <w:t>ci et les intérêts des intermédiaires de l</w:t>
      </w:r>
      <w:r>
        <w:rPr>
          <w:rFonts w:cs="Times New Roman"/>
          <w:lang w:val="fr-CA"/>
        </w:rPr>
        <w:t>’</w:t>
      </w:r>
      <w:r w:rsidRPr="006055D3">
        <w:rPr>
          <w:rFonts w:cs="Times New Roman"/>
          <w:lang w:val="fr-CA"/>
        </w:rPr>
        <w:t xml:space="preserve">Internet </w:t>
      </w:r>
      <w:r w:rsidRPr="006055D3">
        <w:rPr>
          <w:rFonts w:cs="Times New Roman"/>
          <w:lang w:val="fr-CA"/>
        </w:rPr>
        <w:lastRenderedPageBreak/>
        <w:t xml:space="preserve">comme les FSI (voir la note explicative relative à la </w:t>
      </w:r>
      <w:r w:rsidRPr="006055D3">
        <w:rPr>
          <w:rFonts w:cs="Times New Roman"/>
          <w:i/>
          <w:lang w:val="fr-CA"/>
        </w:rPr>
        <w:t>Loi sur la modernisation du droit d</w:t>
      </w:r>
      <w:r>
        <w:rPr>
          <w:rFonts w:cs="Times New Roman"/>
          <w:i/>
          <w:lang w:val="fr-CA"/>
        </w:rPr>
        <w:t>’</w:t>
      </w:r>
      <w:r w:rsidRPr="006055D3">
        <w:rPr>
          <w:rFonts w:cs="Times New Roman"/>
          <w:i/>
          <w:lang w:val="fr-CA"/>
        </w:rPr>
        <w:t>auteur</w:t>
      </w:r>
      <w:r w:rsidRPr="006055D3">
        <w:rPr>
          <w:rFonts w:cs="Times New Roman"/>
          <w:lang w:val="fr-CA"/>
        </w:rPr>
        <w:t xml:space="preserve">, </w:t>
      </w:r>
      <w:r w:rsidRPr="006055D3">
        <w:rPr>
          <w:rFonts w:cs="Times New Roman"/>
          <w:i/>
          <w:lang w:val="fr-CA"/>
        </w:rPr>
        <w:t>Gazette du Canada</w:t>
      </w:r>
      <w:r w:rsidR="001A2B2B">
        <w:rPr>
          <w:rFonts w:cs="Times New Roman"/>
          <w:lang w:val="fr-CA"/>
        </w:rPr>
        <w:t>, P</w:t>
      </w:r>
      <w:r w:rsidRPr="006055D3">
        <w:rPr>
          <w:rFonts w:cs="Times New Roman"/>
          <w:lang w:val="fr-CA"/>
        </w:rPr>
        <w:t>artie II, vol. 148, n</w:t>
      </w:r>
      <w:r w:rsidRPr="006055D3">
        <w:rPr>
          <w:rFonts w:cs="Times New Roman"/>
          <w:vertAlign w:val="superscript"/>
          <w:lang w:val="fr-CA"/>
        </w:rPr>
        <w:t>o</w:t>
      </w:r>
      <w:r w:rsidRPr="006055D3">
        <w:rPr>
          <w:rFonts w:cs="Times New Roman"/>
          <w:lang w:val="fr-CA"/>
        </w:rPr>
        <w:t> 14, 2 juillet 2014, p. 2121</w:t>
      </w:r>
      <w:r w:rsidRPr="006055D3">
        <w:rPr>
          <w:rFonts w:cs="Times New Roman"/>
          <w:lang w:val="fr-CA"/>
        </w:rPr>
        <w:noBreakHyphen/>
        <w:t>2123; Comité législatif chargé du projet de loi C</w:t>
      </w:r>
      <w:r w:rsidRPr="006055D3">
        <w:rPr>
          <w:rFonts w:cs="Times New Roman"/>
          <w:lang w:val="fr-CA"/>
        </w:rPr>
        <w:noBreakHyphen/>
        <w:t xml:space="preserve">32, </w:t>
      </w:r>
      <w:r w:rsidRPr="006055D3">
        <w:rPr>
          <w:rFonts w:cs="Times New Roman"/>
          <w:i/>
          <w:lang w:val="fr-CA"/>
        </w:rPr>
        <w:t>Témoignages</w:t>
      </w:r>
      <w:r w:rsidRPr="006055D3">
        <w:rPr>
          <w:rFonts w:cs="Times New Roman"/>
          <w:lang w:val="fr-CA"/>
        </w:rPr>
        <w:t>, p. 1). Pour cette raison, un tel équilibre se présente de plusieurs façons à l</w:t>
      </w:r>
      <w:r>
        <w:rPr>
          <w:rFonts w:cs="Times New Roman"/>
          <w:lang w:val="fr-CA"/>
        </w:rPr>
        <w:t>’</w:t>
      </w:r>
      <w:r w:rsidRPr="006055D3">
        <w:rPr>
          <w:rFonts w:cs="Times New Roman"/>
          <w:lang w:val="fr-CA"/>
        </w:rPr>
        <w:t>intérieur du régime d</w:t>
      </w:r>
      <w:r>
        <w:rPr>
          <w:rFonts w:cs="Times New Roman"/>
          <w:lang w:val="fr-CA"/>
        </w:rPr>
        <w:t>’</w:t>
      </w:r>
      <w:r w:rsidRPr="006055D3">
        <w:rPr>
          <w:rFonts w:cs="Times New Roman"/>
          <w:lang w:val="fr-CA"/>
        </w:rPr>
        <w:t xml:space="preserve">avis et avis. </w:t>
      </w:r>
    </w:p>
    <w:p w:rsidR="00E8197E" w:rsidRPr="006055D3" w:rsidRDefault="00E8197E" w:rsidP="00E8197E">
      <w:pPr>
        <w:pStyle w:val="ParaNoNdepar-AltN"/>
        <w:rPr>
          <w:rFonts w:cs="Times New Roman"/>
          <w:lang w:val="fr-CA"/>
        </w:rPr>
      </w:pPr>
      <w:r w:rsidRPr="006055D3">
        <w:rPr>
          <w:rFonts w:cs="Times New Roman"/>
          <w:lang w:val="fr-CA"/>
        </w:rPr>
        <w:t>Par exemple, le Parlement a cherché à établir un équilibre entre les intérêts des titulaires de droits d</w:t>
      </w:r>
      <w:r>
        <w:rPr>
          <w:rFonts w:cs="Times New Roman"/>
          <w:lang w:val="fr-CA"/>
        </w:rPr>
        <w:t>’</w:t>
      </w:r>
      <w:r w:rsidRPr="006055D3">
        <w:rPr>
          <w:rFonts w:cs="Times New Roman"/>
          <w:lang w:val="fr-CA"/>
        </w:rPr>
        <w:t>auteur et ceux des abonnés à Internet, respectivement, en choisissant un régime d</w:t>
      </w:r>
      <w:r>
        <w:rPr>
          <w:rFonts w:cs="Times New Roman"/>
          <w:lang w:val="fr-CA"/>
        </w:rPr>
        <w:t>’</w:t>
      </w:r>
      <w:r w:rsidRPr="006055D3">
        <w:rPr>
          <w:rFonts w:cs="Times New Roman"/>
          <w:lang w:val="fr-CA"/>
        </w:rPr>
        <w:t>avis et avis plutôt qu</w:t>
      </w:r>
      <w:r>
        <w:rPr>
          <w:rFonts w:cs="Times New Roman"/>
          <w:lang w:val="fr-CA"/>
        </w:rPr>
        <w:t>’</w:t>
      </w:r>
      <w:r w:rsidRPr="006055D3">
        <w:rPr>
          <w:rFonts w:cs="Times New Roman"/>
          <w:lang w:val="fr-CA"/>
        </w:rPr>
        <w:t>un régime « d</w:t>
      </w:r>
      <w:r>
        <w:rPr>
          <w:rFonts w:cs="Times New Roman"/>
          <w:lang w:val="fr-CA"/>
        </w:rPr>
        <w:t>’</w:t>
      </w:r>
      <w:r w:rsidRPr="006055D3">
        <w:rPr>
          <w:rFonts w:cs="Times New Roman"/>
          <w:lang w:val="fr-CA"/>
        </w:rPr>
        <w:t xml:space="preserve">avis et de retrait » (voir </w:t>
      </w:r>
      <w:r w:rsidRPr="006055D3">
        <w:rPr>
          <w:rFonts w:cs="Times New Roman"/>
          <w:i/>
          <w:lang w:val="fr-CA"/>
        </w:rPr>
        <w:t>Débats de la Chambre des communes</w:t>
      </w:r>
      <w:r w:rsidRPr="006055D3">
        <w:rPr>
          <w:rFonts w:cs="Times New Roman"/>
          <w:lang w:val="fr-CA"/>
        </w:rPr>
        <w:t>, p. 2109, l</w:t>
      </w:r>
      <w:r>
        <w:rPr>
          <w:rFonts w:cs="Times New Roman"/>
          <w:lang w:val="fr-CA"/>
        </w:rPr>
        <w:t>’</w:t>
      </w:r>
      <w:r w:rsidRPr="006055D3">
        <w:rPr>
          <w:rFonts w:cs="Times New Roman"/>
          <w:lang w:val="fr-CA"/>
        </w:rPr>
        <w:t>hon. James Moore). Le régime d</w:t>
      </w:r>
      <w:r>
        <w:rPr>
          <w:rFonts w:cs="Times New Roman"/>
          <w:lang w:val="fr-CA"/>
        </w:rPr>
        <w:t>’</w:t>
      </w:r>
      <w:r w:rsidRPr="006055D3">
        <w:rPr>
          <w:rFonts w:cs="Times New Roman"/>
          <w:lang w:val="fr-CA"/>
        </w:rPr>
        <w:t>avis et de retrait qu</w:t>
      </w:r>
      <w:r>
        <w:rPr>
          <w:rFonts w:cs="Times New Roman"/>
          <w:lang w:val="fr-CA"/>
        </w:rPr>
        <w:t>’</w:t>
      </w:r>
      <w:r w:rsidRPr="006055D3">
        <w:rPr>
          <w:rFonts w:cs="Times New Roman"/>
          <w:lang w:val="fr-CA"/>
        </w:rPr>
        <w:t>a établi aux États</w:t>
      </w:r>
      <w:r w:rsidRPr="006055D3">
        <w:rPr>
          <w:rFonts w:cs="Times New Roman"/>
          <w:lang w:val="fr-CA"/>
        </w:rPr>
        <w:noBreakHyphen/>
        <w:t xml:space="preserve">Unis la </w:t>
      </w:r>
      <w:r w:rsidRPr="006055D3">
        <w:rPr>
          <w:rFonts w:cs="Times New Roman"/>
          <w:i/>
          <w:lang w:val="fr-CA"/>
        </w:rPr>
        <w:t>Digital Millennium Copyright Act</w:t>
      </w:r>
      <w:r w:rsidRPr="006055D3">
        <w:rPr>
          <w:rFonts w:cs="Times New Roman"/>
          <w:lang w:val="fr-CA"/>
        </w:rPr>
        <w:t xml:space="preserve"> (1998), 17 U.S.C. § 512, exige que les [</w:t>
      </w:r>
      <w:r w:rsidRPr="006055D3">
        <w:rPr>
          <w:rFonts w:cs="Times New Roman"/>
          <w:smallCaps/>
          <w:lang w:val="fr-CA"/>
        </w:rPr>
        <w:t>traduction</w:t>
      </w:r>
      <w:r w:rsidRPr="006055D3">
        <w:rPr>
          <w:rFonts w:cs="Times New Roman"/>
          <w:lang w:val="fr-CA"/>
        </w:rPr>
        <w:t>] « fournisseurs de services » en ligne, à la réception d</w:t>
      </w:r>
      <w:r>
        <w:rPr>
          <w:rFonts w:cs="Times New Roman"/>
          <w:lang w:val="fr-CA"/>
        </w:rPr>
        <w:t>’</w:t>
      </w:r>
      <w:r w:rsidRPr="006055D3">
        <w:rPr>
          <w:rFonts w:cs="Times New Roman"/>
          <w:lang w:val="fr-CA"/>
        </w:rPr>
        <w:t>un avis de prétendue violation du droit d</w:t>
      </w:r>
      <w:r>
        <w:rPr>
          <w:rFonts w:cs="Times New Roman"/>
          <w:lang w:val="fr-CA"/>
        </w:rPr>
        <w:t>’</w:t>
      </w:r>
      <w:r w:rsidRPr="006055D3">
        <w:rPr>
          <w:rFonts w:cs="Times New Roman"/>
          <w:lang w:val="fr-CA"/>
        </w:rPr>
        <w:t>auteur, prennent des mesures rapidement en supprimant ou en bloquant l</w:t>
      </w:r>
      <w:r>
        <w:rPr>
          <w:rFonts w:cs="Times New Roman"/>
          <w:lang w:val="fr-CA"/>
        </w:rPr>
        <w:t>’</w:t>
      </w:r>
      <w:r w:rsidRPr="006055D3">
        <w:rPr>
          <w:rFonts w:cs="Times New Roman"/>
          <w:lang w:val="fr-CA"/>
        </w:rPr>
        <w:t>accès au contenu qui fait l</w:t>
      </w:r>
      <w:r>
        <w:rPr>
          <w:rFonts w:cs="Times New Roman"/>
          <w:lang w:val="fr-CA"/>
        </w:rPr>
        <w:t>’</w:t>
      </w:r>
      <w:r w:rsidRPr="006055D3">
        <w:rPr>
          <w:rFonts w:cs="Times New Roman"/>
          <w:lang w:val="fr-CA"/>
        </w:rPr>
        <w:t>objet de la prétendue violation. Bien que ce soit évidemment un régime préférable du point de vue des titulaires de droits d</w:t>
      </w:r>
      <w:r>
        <w:rPr>
          <w:rFonts w:cs="Times New Roman"/>
          <w:lang w:val="fr-CA"/>
        </w:rPr>
        <w:t>’</w:t>
      </w:r>
      <w:r w:rsidRPr="006055D3">
        <w:rPr>
          <w:rFonts w:cs="Times New Roman"/>
          <w:lang w:val="fr-CA"/>
        </w:rPr>
        <w:t>auteur, l</w:t>
      </w:r>
      <w:r>
        <w:rPr>
          <w:rFonts w:cs="Times New Roman"/>
          <w:lang w:val="fr-CA"/>
        </w:rPr>
        <w:t>’</w:t>
      </w:r>
      <w:r w:rsidRPr="006055D3">
        <w:rPr>
          <w:rFonts w:cs="Times New Roman"/>
          <w:lang w:val="fr-CA"/>
        </w:rPr>
        <w:t>exigence de « retirer » a fait l</w:t>
      </w:r>
      <w:r>
        <w:rPr>
          <w:rFonts w:cs="Times New Roman"/>
          <w:lang w:val="fr-CA"/>
        </w:rPr>
        <w:t>’</w:t>
      </w:r>
      <w:r w:rsidRPr="006055D3">
        <w:rPr>
          <w:rFonts w:cs="Times New Roman"/>
          <w:lang w:val="fr-CA"/>
        </w:rPr>
        <w:t>objet de critiques puisqu</w:t>
      </w:r>
      <w:r>
        <w:rPr>
          <w:rFonts w:cs="Times New Roman"/>
          <w:lang w:val="fr-CA"/>
        </w:rPr>
        <w:t>’</w:t>
      </w:r>
      <w:r w:rsidRPr="006055D3">
        <w:rPr>
          <w:rFonts w:cs="Times New Roman"/>
          <w:lang w:val="fr-CA"/>
        </w:rPr>
        <w:t>elle mine la présomption d</w:t>
      </w:r>
      <w:r>
        <w:rPr>
          <w:rFonts w:cs="Times New Roman"/>
          <w:lang w:val="fr-CA"/>
        </w:rPr>
        <w:t>’</w:t>
      </w:r>
      <w:r w:rsidRPr="006055D3">
        <w:rPr>
          <w:rFonts w:cs="Times New Roman"/>
          <w:lang w:val="fr-CA"/>
        </w:rPr>
        <w:t>innocence et limite inutilement la liberté d</w:t>
      </w:r>
      <w:r>
        <w:rPr>
          <w:rFonts w:cs="Times New Roman"/>
          <w:lang w:val="fr-CA"/>
        </w:rPr>
        <w:t>’</w:t>
      </w:r>
      <w:r w:rsidRPr="006055D3">
        <w:rPr>
          <w:rFonts w:cs="Times New Roman"/>
          <w:lang w:val="fr-CA"/>
        </w:rPr>
        <w:t>expression (voir, p</w:t>
      </w:r>
      <w:r w:rsidR="00C16E10">
        <w:rPr>
          <w:rFonts w:cs="Times New Roman"/>
          <w:lang w:val="fr-CA"/>
        </w:rPr>
        <w:t>.</w:t>
      </w:r>
      <w:r w:rsidRPr="006055D3">
        <w:rPr>
          <w:rFonts w:cs="Times New Roman"/>
          <w:lang w:val="fr-CA"/>
        </w:rPr>
        <w:t xml:space="preserve"> ex., </w:t>
      </w:r>
      <w:r w:rsidRPr="006055D3">
        <w:rPr>
          <w:rFonts w:cs="Times New Roman"/>
          <w:i/>
          <w:lang w:val="fr-CA"/>
        </w:rPr>
        <w:t>Comments of Electronic Frontier Foundation before the U.S. Copyright Office, Library of Congress, In the Matter of Section 512 Study</w:t>
      </w:r>
      <w:r w:rsidRPr="006055D3">
        <w:rPr>
          <w:rFonts w:cs="Times New Roman"/>
          <w:lang w:val="fr-CA"/>
        </w:rPr>
        <w:t>, document présen</w:t>
      </w:r>
      <w:r w:rsidR="001A2B2B">
        <w:rPr>
          <w:rFonts w:cs="Times New Roman"/>
          <w:lang w:val="fr-CA"/>
        </w:rPr>
        <w:t xml:space="preserve">té par C. McSherry et K. Walsh, </w:t>
      </w:r>
      <w:r w:rsidRPr="006055D3">
        <w:rPr>
          <w:rFonts w:cs="Times New Roman"/>
          <w:lang w:val="fr-CA"/>
        </w:rPr>
        <w:t>1</w:t>
      </w:r>
      <w:r w:rsidRPr="006055D3">
        <w:rPr>
          <w:rFonts w:cs="Times New Roman"/>
          <w:vertAlign w:val="superscript"/>
          <w:lang w:val="fr-CA"/>
        </w:rPr>
        <w:t>er</w:t>
      </w:r>
      <w:r w:rsidR="001A2B2B">
        <w:rPr>
          <w:rFonts w:cs="Times New Roman"/>
          <w:lang w:val="fr-CA"/>
        </w:rPr>
        <w:t> avril 2016</w:t>
      </w:r>
      <w:r w:rsidRPr="006055D3">
        <w:rPr>
          <w:rFonts w:cs="Times New Roman"/>
          <w:lang w:val="fr-CA"/>
        </w:rPr>
        <w:t xml:space="preserve"> (en ligne), p. 9</w:t>
      </w:r>
      <w:r w:rsidRPr="006055D3">
        <w:rPr>
          <w:rFonts w:cs="Times New Roman"/>
          <w:lang w:val="fr-CA"/>
        </w:rPr>
        <w:noBreakHyphen/>
        <w:t xml:space="preserve">13; J. M. Urban, J. Karaganis et B. L. Schofield, </w:t>
      </w:r>
      <w:r w:rsidRPr="006055D3">
        <w:rPr>
          <w:rFonts w:cs="Times New Roman"/>
          <w:i/>
          <w:lang w:val="fr-CA"/>
        </w:rPr>
        <w:t>Notice and Takedown in Everyday Practice</w:t>
      </w:r>
      <w:r w:rsidR="001A2B2B">
        <w:rPr>
          <w:rFonts w:cs="Times New Roman"/>
          <w:lang w:val="fr-CA"/>
        </w:rPr>
        <w:t>, mars 2017</w:t>
      </w:r>
      <w:r w:rsidRPr="006055D3">
        <w:rPr>
          <w:rFonts w:cs="Times New Roman"/>
          <w:lang w:val="fr-CA"/>
        </w:rPr>
        <w:t xml:space="preserve"> (en ligne), p. 116</w:t>
      </w:r>
      <w:r w:rsidRPr="006055D3">
        <w:rPr>
          <w:rFonts w:cs="Times New Roman"/>
          <w:lang w:val="fr-CA"/>
        </w:rPr>
        <w:noBreakHyphen/>
        <w:t>118; W. Seltzer, « Free Speech Unmoored in Copyright</w:t>
      </w:r>
      <w:r>
        <w:rPr>
          <w:rFonts w:cs="Times New Roman"/>
          <w:lang w:val="fr-CA"/>
        </w:rPr>
        <w:t>’</w:t>
      </w:r>
      <w:r w:rsidRPr="006055D3">
        <w:rPr>
          <w:rFonts w:cs="Times New Roman"/>
          <w:lang w:val="fr-CA"/>
        </w:rPr>
        <w:t>s Safe Harbor : Chilling Effects of the DMCA on the First Amendment » (2010), 24 </w:t>
      </w:r>
      <w:r w:rsidR="001A2B2B">
        <w:rPr>
          <w:rFonts w:cs="Times New Roman"/>
          <w:i/>
          <w:lang w:val="fr-CA"/>
        </w:rPr>
        <w:t>Harv. J.</w:t>
      </w:r>
      <w:r w:rsidRPr="006055D3">
        <w:rPr>
          <w:rFonts w:cs="Times New Roman"/>
          <w:i/>
          <w:lang w:val="fr-CA"/>
        </w:rPr>
        <w:t>L. &amp; Tech. </w:t>
      </w:r>
      <w:r w:rsidRPr="006055D3">
        <w:rPr>
          <w:rFonts w:cs="Times New Roman"/>
          <w:lang w:val="fr-CA"/>
        </w:rPr>
        <w:t>171). En revanche, le régime d</w:t>
      </w:r>
      <w:r>
        <w:rPr>
          <w:rFonts w:cs="Times New Roman"/>
          <w:lang w:val="fr-CA"/>
        </w:rPr>
        <w:t>’</w:t>
      </w:r>
      <w:r w:rsidRPr="006055D3">
        <w:rPr>
          <w:rFonts w:cs="Times New Roman"/>
          <w:lang w:val="fr-CA"/>
        </w:rPr>
        <w:t>avis et avis permet que les avis de prétendue violation soient transmis (assurant ainsi le respect des droits des titulaires de droits d</w:t>
      </w:r>
      <w:r>
        <w:rPr>
          <w:rFonts w:cs="Times New Roman"/>
          <w:lang w:val="fr-CA"/>
        </w:rPr>
        <w:t>’</w:t>
      </w:r>
      <w:r w:rsidRPr="006055D3">
        <w:rPr>
          <w:rFonts w:cs="Times New Roman"/>
          <w:lang w:val="fr-CA"/>
        </w:rPr>
        <w:t xml:space="preserve">auteur), tout en tenant compte des intérêts des abonnés à Internet grâce au </w:t>
      </w:r>
      <w:r w:rsidRPr="006055D3">
        <w:rPr>
          <w:rFonts w:cs="Times New Roman"/>
          <w:lang w:val="fr-CA"/>
        </w:rPr>
        <w:lastRenderedPageBreak/>
        <w:t>maintien de la présomption d</w:t>
      </w:r>
      <w:r>
        <w:rPr>
          <w:rFonts w:cs="Times New Roman"/>
          <w:lang w:val="fr-CA"/>
        </w:rPr>
        <w:t>’</w:t>
      </w:r>
      <w:r w:rsidRPr="006055D3">
        <w:rPr>
          <w:rFonts w:cs="Times New Roman"/>
          <w:lang w:val="fr-CA"/>
        </w:rPr>
        <w:t>innocence et en leur permettant de surveiller leur propre comportement (et, plus précisément, d</w:t>
      </w:r>
      <w:r>
        <w:rPr>
          <w:rFonts w:cs="Times New Roman"/>
          <w:lang w:val="fr-CA"/>
        </w:rPr>
        <w:t>’</w:t>
      </w:r>
      <w:r w:rsidRPr="006055D3">
        <w:rPr>
          <w:rFonts w:cs="Times New Roman"/>
          <w:lang w:val="fr-CA"/>
        </w:rPr>
        <w:t>éviter la violation continue du droit d</w:t>
      </w:r>
      <w:r>
        <w:rPr>
          <w:rFonts w:cs="Times New Roman"/>
          <w:lang w:val="fr-CA"/>
        </w:rPr>
        <w:t>’</w:t>
      </w:r>
      <w:r w:rsidRPr="006055D3">
        <w:rPr>
          <w:rFonts w:cs="Times New Roman"/>
          <w:lang w:val="fr-CA"/>
        </w:rPr>
        <w:t>auteur).</w:t>
      </w:r>
    </w:p>
    <w:p w:rsidR="00E8197E" w:rsidRPr="006055D3" w:rsidRDefault="00E8197E" w:rsidP="00E8197E">
      <w:pPr>
        <w:pStyle w:val="ParaNoNdepar-AltN"/>
        <w:rPr>
          <w:rFonts w:cs="Times New Roman"/>
          <w:lang w:val="fr-CA"/>
        </w:rPr>
      </w:pPr>
      <w:r w:rsidRPr="006055D3">
        <w:rPr>
          <w:rFonts w:cs="Times New Roman"/>
          <w:lang w:val="fr-CA"/>
        </w:rPr>
        <w:t>Le Parlement a également cherché à établir un équilibre entre les intérêts des titulaires de droits d</w:t>
      </w:r>
      <w:r>
        <w:rPr>
          <w:rFonts w:cs="Times New Roman"/>
          <w:lang w:val="fr-CA"/>
        </w:rPr>
        <w:t>’</w:t>
      </w:r>
      <w:r w:rsidRPr="006055D3">
        <w:rPr>
          <w:rFonts w:cs="Times New Roman"/>
          <w:lang w:val="fr-CA"/>
        </w:rPr>
        <w:t xml:space="preserve">auteur et ceux des intermédiaires Internet comme les FSI. Bien que la plupart des dispositions de la </w:t>
      </w:r>
      <w:r w:rsidRPr="006055D3">
        <w:rPr>
          <w:rFonts w:cs="Times New Roman"/>
          <w:i/>
          <w:lang w:val="fr-CA"/>
        </w:rPr>
        <w:t>Loi sur la modernisation du droit d</w:t>
      </w:r>
      <w:r>
        <w:rPr>
          <w:rFonts w:cs="Times New Roman"/>
          <w:i/>
          <w:lang w:val="fr-CA"/>
        </w:rPr>
        <w:t>’</w:t>
      </w:r>
      <w:r w:rsidRPr="006055D3">
        <w:rPr>
          <w:rFonts w:cs="Times New Roman"/>
          <w:i/>
          <w:lang w:val="fr-CA"/>
        </w:rPr>
        <w:t>auteur</w:t>
      </w:r>
      <w:r w:rsidRPr="006055D3">
        <w:rPr>
          <w:rFonts w:cs="Times New Roman"/>
          <w:lang w:val="fr-CA"/>
        </w:rPr>
        <w:t xml:space="preserve"> soient entrées en vigueur le 7 novembre 2012, l</w:t>
      </w:r>
      <w:r>
        <w:rPr>
          <w:rFonts w:cs="Times New Roman"/>
          <w:lang w:val="fr-CA"/>
        </w:rPr>
        <w:t>’</w:t>
      </w:r>
      <w:r w:rsidRPr="006055D3">
        <w:rPr>
          <w:rFonts w:cs="Times New Roman"/>
          <w:lang w:val="fr-CA"/>
        </w:rPr>
        <w:t>entrée en vigueur des art. 41.25 et 41.26 a été reportée pour permettre aux parlementaires de consulter des intervenants au sujet de la mise en œuvre du régime d</w:t>
      </w:r>
      <w:r>
        <w:rPr>
          <w:rFonts w:cs="Times New Roman"/>
          <w:lang w:val="fr-CA"/>
        </w:rPr>
        <w:t>’</w:t>
      </w:r>
      <w:r w:rsidRPr="006055D3">
        <w:rPr>
          <w:rFonts w:cs="Times New Roman"/>
          <w:lang w:val="fr-CA"/>
        </w:rPr>
        <w:t>avis et avis et de la possibilité de prendre des règlements d</w:t>
      </w:r>
      <w:r>
        <w:rPr>
          <w:rFonts w:cs="Times New Roman"/>
          <w:lang w:val="fr-CA"/>
        </w:rPr>
        <w:t>’</w:t>
      </w:r>
      <w:r w:rsidRPr="006055D3">
        <w:rPr>
          <w:rFonts w:cs="Times New Roman"/>
          <w:lang w:val="fr-CA"/>
        </w:rPr>
        <w:t>application. Finalement, le Parlement a choisi d</w:t>
      </w:r>
      <w:r>
        <w:rPr>
          <w:rFonts w:cs="Times New Roman"/>
          <w:lang w:val="fr-CA"/>
        </w:rPr>
        <w:t>’</w:t>
      </w:r>
      <w:r w:rsidRPr="006055D3">
        <w:rPr>
          <w:rFonts w:cs="Times New Roman"/>
          <w:lang w:val="fr-CA"/>
        </w:rPr>
        <w:t>adopter le régime d</w:t>
      </w:r>
      <w:r>
        <w:rPr>
          <w:rFonts w:cs="Times New Roman"/>
          <w:lang w:val="fr-CA"/>
        </w:rPr>
        <w:t>’</w:t>
      </w:r>
      <w:r w:rsidRPr="006055D3">
        <w:rPr>
          <w:rFonts w:cs="Times New Roman"/>
          <w:lang w:val="fr-CA"/>
        </w:rPr>
        <w:t>avis et avis sans règlement, interdisant ainsi aux FSI d</w:t>
      </w:r>
      <w:r>
        <w:rPr>
          <w:rFonts w:cs="Times New Roman"/>
          <w:lang w:val="fr-CA"/>
        </w:rPr>
        <w:t>’</w:t>
      </w:r>
      <w:r w:rsidRPr="006055D3">
        <w:rPr>
          <w:rFonts w:cs="Times New Roman"/>
          <w:lang w:val="fr-CA"/>
        </w:rPr>
        <w:t>exiger des droits pour se conformer à leurs obligations légales (TR/2014</w:t>
      </w:r>
      <w:r w:rsidRPr="006055D3">
        <w:rPr>
          <w:rFonts w:cs="Times New Roman"/>
          <w:lang w:val="fr-CA"/>
        </w:rPr>
        <w:noBreakHyphen/>
        <w:t>58 et note explicative, p. 2121</w:t>
      </w:r>
      <w:r w:rsidRPr="006055D3">
        <w:rPr>
          <w:rFonts w:cs="Times New Roman"/>
          <w:lang w:val="fr-CA"/>
        </w:rPr>
        <w:noBreakHyphen/>
        <w:t>2123). Cependant, les modifications à la Loi visaient également à « clarifier la responsabilité des fournisseurs de services Internet » envers les titulaires de droits d</w:t>
      </w:r>
      <w:r>
        <w:rPr>
          <w:rFonts w:cs="Times New Roman"/>
          <w:lang w:val="fr-CA"/>
        </w:rPr>
        <w:t>’</w:t>
      </w:r>
      <w:r w:rsidRPr="006055D3">
        <w:rPr>
          <w:rFonts w:cs="Times New Roman"/>
          <w:lang w:val="fr-CA"/>
        </w:rPr>
        <w:t>auteur (</w:t>
      </w:r>
      <w:r w:rsidRPr="006055D3">
        <w:rPr>
          <w:rFonts w:cs="Times New Roman"/>
          <w:i/>
          <w:lang w:val="fr-CA"/>
        </w:rPr>
        <w:t>Loi sur la modernisation du droit d</w:t>
      </w:r>
      <w:r>
        <w:rPr>
          <w:rFonts w:cs="Times New Roman"/>
          <w:i/>
          <w:lang w:val="fr-CA"/>
        </w:rPr>
        <w:t>’</w:t>
      </w:r>
      <w:r w:rsidRPr="006055D3">
        <w:rPr>
          <w:rFonts w:cs="Times New Roman"/>
          <w:i/>
          <w:lang w:val="fr-CA"/>
        </w:rPr>
        <w:t>auteur</w:t>
      </w:r>
      <w:r w:rsidRPr="006055D3">
        <w:rPr>
          <w:rFonts w:cs="Times New Roman"/>
          <w:lang w:val="fr-CA"/>
        </w:rPr>
        <w:t>, sommaire; voir aussi Comité législatif chargé du projet de loi C</w:t>
      </w:r>
      <w:r w:rsidRPr="006055D3">
        <w:rPr>
          <w:rFonts w:cs="Times New Roman"/>
          <w:lang w:val="fr-CA"/>
        </w:rPr>
        <w:noBreakHyphen/>
        <w:t xml:space="preserve">32, </w:t>
      </w:r>
      <w:r w:rsidRPr="006055D3">
        <w:rPr>
          <w:rFonts w:cs="Times New Roman"/>
          <w:i/>
          <w:lang w:val="fr-CA"/>
        </w:rPr>
        <w:t>Témoignages</w:t>
      </w:r>
      <w:r w:rsidRPr="006055D3">
        <w:rPr>
          <w:rFonts w:cs="Times New Roman"/>
          <w:lang w:val="fr-CA"/>
        </w:rPr>
        <w:t>, p. 1, Craig McTaggart). À cette fin, le Parlement a exonéré les FSI de toute responsabilité pour la violation du droit d</w:t>
      </w:r>
      <w:r>
        <w:rPr>
          <w:rFonts w:cs="Times New Roman"/>
          <w:lang w:val="fr-CA"/>
        </w:rPr>
        <w:t>’</w:t>
      </w:r>
      <w:r w:rsidRPr="006055D3">
        <w:rPr>
          <w:rFonts w:cs="Times New Roman"/>
          <w:lang w:val="fr-CA"/>
        </w:rPr>
        <w:t>auteur commise par leurs abonnés à Internet</w:t>
      </w:r>
      <w:r>
        <w:rPr>
          <w:rFonts w:cs="Times New Roman"/>
          <w:lang w:val="fr-CA"/>
        </w:rPr>
        <w:t xml:space="preserve"> </w:t>
      </w:r>
      <w:r w:rsidRPr="006055D3">
        <w:rPr>
          <w:rFonts w:cs="Times New Roman"/>
          <w:lang w:val="fr-CA"/>
        </w:rPr>
        <w:t>(art. 31.1 de la Loi). Désormais, pour que la responsabilité du FSI soit engagée selon la Loi, il doit manquer à ses obligations légales dans le cadre du régime d</w:t>
      </w:r>
      <w:r>
        <w:rPr>
          <w:rFonts w:cs="Times New Roman"/>
          <w:lang w:val="fr-CA"/>
        </w:rPr>
        <w:t>’</w:t>
      </w:r>
      <w:r w:rsidRPr="006055D3">
        <w:rPr>
          <w:rFonts w:cs="Times New Roman"/>
          <w:lang w:val="fr-CA"/>
        </w:rPr>
        <w:t>avis et avis, ou fournir un service « principalement en vue de faciliter l</w:t>
      </w:r>
      <w:r>
        <w:rPr>
          <w:rFonts w:cs="Times New Roman"/>
          <w:lang w:val="fr-CA"/>
        </w:rPr>
        <w:t>’</w:t>
      </w:r>
      <w:r w:rsidRPr="006055D3">
        <w:rPr>
          <w:rFonts w:cs="Times New Roman"/>
          <w:lang w:val="fr-CA"/>
        </w:rPr>
        <w:t>accomplissement d</w:t>
      </w:r>
      <w:r>
        <w:rPr>
          <w:rFonts w:cs="Times New Roman"/>
          <w:lang w:val="fr-CA"/>
        </w:rPr>
        <w:t>’</w:t>
      </w:r>
      <w:r w:rsidRPr="006055D3">
        <w:rPr>
          <w:rFonts w:cs="Times New Roman"/>
          <w:lang w:val="fr-CA"/>
        </w:rPr>
        <w:t>actes qui constituent une violation du droit d</w:t>
      </w:r>
      <w:r>
        <w:rPr>
          <w:rFonts w:cs="Times New Roman"/>
          <w:lang w:val="fr-CA"/>
        </w:rPr>
        <w:t>’</w:t>
      </w:r>
      <w:r w:rsidRPr="006055D3">
        <w:rPr>
          <w:rFonts w:cs="Times New Roman"/>
          <w:lang w:val="fr-CA"/>
        </w:rPr>
        <w:t>auteur » (par. 27(2.3) et 41.26(3) et art. 31.1).</w:t>
      </w:r>
    </w:p>
    <w:p w:rsidR="00E8197E" w:rsidRPr="006055D3" w:rsidRDefault="00E8197E" w:rsidP="00E8197E">
      <w:pPr>
        <w:pStyle w:val="Title3LevelTitre3Niveau"/>
        <w:rPr>
          <w:rFonts w:cs="Times New Roman"/>
          <w:lang w:val="fr-CA"/>
        </w:rPr>
      </w:pPr>
      <w:r w:rsidRPr="006055D3">
        <w:rPr>
          <w:rFonts w:cs="Times New Roman"/>
          <w:lang w:val="fr-CA"/>
        </w:rPr>
        <w:t>Le sens ordinaire de l</w:t>
      </w:r>
      <w:r>
        <w:rPr>
          <w:rFonts w:cs="Times New Roman"/>
          <w:lang w:val="fr-CA"/>
        </w:rPr>
        <w:t>’</w:t>
      </w:r>
      <w:r w:rsidR="001A2B2B">
        <w:rPr>
          <w:rFonts w:cs="Times New Roman"/>
          <w:lang w:val="fr-CA"/>
        </w:rPr>
        <w:t>art.</w:t>
      </w:r>
      <w:r w:rsidRPr="006055D3">
        <w:rPr>
          <w:rFonts w:cs="Times New Roman"/>
          <w:lang w:val="fr-CA"/>
        </w:rPr>
        <w:t> 41.26 à la lumière de l</w:t>
      </w:r>
      <w:r>
        <w:rPr>
          <w:rFonts w:cs="Times New Roman"/>
          <w:lang w:val="fr-CA"/>
        </w:rPr>
        <w:t>’</w:t>
      </w:r>
      <w:r w:rsidRPr="006055D3">
        <w:rPr>
          <w:rFonts w:cs="Times New Roman"/>
          <w:lang w:val="fr-CA"/>
        </w:rPr>
        <w:t>économie et des objets de la Loi</w:t>
      </w:r>
    </w:p>
    <w:p w:rsidR="00E8197E" w:rsidRPr="006055D3" w:rsidRDefault="00E8197E" w:rsidP="00E8197E">
      <w:pPr>
        <w:pStyle w:val="ParaNoNdepar-AltN"/>
        <w:rPr>
          <w:rFonts w:cs="Times New Roman"/>
          <w:lang w:val="fr-CA"/>
        </w:rPr>
      </w:pPr>
      <w:r w:rsidRPr="006055D3">
        <w:rPr>
          <w:rFonts w:cs="Times New Roman"/>
          <w:lang w:val="fr-CA"/>
        </w:rPr>
        <w:lastRenderedPageBreak/>
        <w:t>Compte tenu de l</w:t>
      </w:r>
      <w:r>
        <w:rPr>
          <w:rFonts w:cs="Times New Roman"/>
          <w:lang w:val="fr-CA"/>
        </w:rPr>
        <w:t>’</w:t>
      </w:r>
      <w:r w:rsidRPr="006055D3">
        <w:rPr>
          <w:rFonts w:cs="Times New Roman"/>
          <w:lang w:val="fr-CA"/>
        </w:rPr>
        <w:t>économie et des objets de la Loi, quelle est l</w:t>
      </w:r>
      <w:r>
        <w:rPr>
          <w:rFonts w:cs="Times New Roman"/>
          <w:lang w:val="fr-CA"/>
        </w:rPr>
        <w:t>’</w:t>
      </w:r>
      <w:r w:rsidRPr="006055D3">
        <w:rPr>
          <w:rFonts w:cs="Times New Roman"/>
          <w:lang w:val="fr-CA"/>
        </w:rPr>
        <w:t>interprétation ordinaire et grammaticale qu</w:t>
      </w:r>
      <w:r>
        <w:rPr>
          <w:rFonts w:cs="Times New Roman"/>
          <w:lang w:val="fr-CA"/>
        </w:rPr>
        <w:t>’</w:t>
      </w:r>
      <w:r w:rsidRPr="006055D3">
        <w:rPr>
          <w:rFonts w:cs="Times New Roman"/>
          <w:lang w:val="fr-CA"/>
        </w:rPr>
        <w:t>il faut donner au libellé de l</w:t>
      </w:r>
      <w:r>
        <w:rPr>
          <w:rFonts w:cs="Times New Roman"/>
          <w:lang w:val="fr-CA"/>
        </w:rPr>
        <w:t>’</w:t>
      </w:r>
      <w:r w:rsidRPr="006055D3">
        <w:rPr>
          <w:rFonts w:cs="Times New Roman"/>
          <w:lang w:val="fr-CA"/>
        </w:rPr>
        <w:t>art. 41.26? Ou, comme l</w:t>
      </w:r>
      <w:r>
        <w:rPr>
          <w:rFonts w:cs="Times New Roman"/>
          <w:lang w:val="fr-CA"/>
        </w:rPr>
        <w:t>’</w:t>
      </w:r>
      <w:r w:rsidRPr="006055D3">
        <w:rPr>
          <w:rFonts w:cs="Times New Roman"/>
          <w:lang w:val="fr-CA"/>
        </w:rPr>
        <w:t>a écrit le juge Gonthier dans l</w:t>
      </w:r>
      <w:r>
        <w:rPr>
          <w:rFonts w:cs="Times New Roman"/>
          <w:lang w:val="fr-CA"/>
        </w:rPr>
        <w:t>’</w:t>
      </w:r>
      <w:r w:rsidRPr="006055D3">
        <w:rPr>
          <w:rFonts w:cs="Times New Roman"/>
          <w:lang w:val="fr-CA"/>
        </w:rPr>
        <w:t xml:space="preserve">arrêt </w:t>
      </w:r>
      <w:r w:rsidRPr="006055D3">
        <w:rPr>
          <w:rFonts w:cs="Times New Roman"/>
          <w:i/>
          <w:lang w:val="fr-CA"/>
        </w:rPr>
        <w:t>Lignes</w:t>
      </w:r>
      <w:r w:rsidR="001A2B2B">
        <w:rPr>
          <w:rFonts w:cs="Times New Roman"/>
          <w:i/>
          <w:lang w:val="fr-CA"/>
        </w:rPr>
        <w:t xml:space="preserve"> a</w:t>
      </w:r>
      <w:r w:rsidRPr="006055D3">
        <w:rPr>
          <w:rFonts w:cs="Times New Roman"/>
          <w:i/>
          <w:lang w:val="fr-CA"/>
        </w:rPr>
        <w:t>ériennes Canadien Pacifique Ltée c. Assoc. canadienne des pilotes de lignes aériennes</w:t>
      </w:r>
      <w:r w:rsidRPr="006055D3">
        <w:rPr>
          <w:rFonts w:cs="Times New Roman"/>
          <w:lang w:val="fr-CA"/>
        </w:rPr>
        <w:t>, [1993] 3 R.C.S. 724, p. 735, quel est « le sens naturel qui se dégage de la simple lecture de [l</w:t>
      </w:r>
      <w:r>
        <w:rPr>
          <w:rFonts w:cs="Times New Roman"/>
          <w:lang w:val="fr-CA"/>
        </w:rPr>
        <w:t>’</w:t>
      </w:r>
      <w:r w:rsidRPr="006055D3">
        <w:rPr>
          <w:rFonts w:cs="Times New Roman"/>
          <w:lang w:val="fr-CA"/>
        </w:rPr>
        <w:t xml:space="preserve">art. 41.26] »? (Voir aussi R. Sullivan, </w:t>
      </w:r>
      <w:r w:rsidRPr="006055D3">
        <w:rPr>
          <w:rFonts w:cs="Times New Roman"/>
          <w:i/>
          <w:iCs/>
          <w:lang w:val="fr-CA"/>
        </w:rPr>
        <w:t>Sullivan on the Construction of Statutes</w:t>
      </w:r>
      <w:r w:rsidRPr="006055D3">
        <w:rPr>
          <w:rFonts w:cs="Times New Roman"/>
          <w:lang w:val="fr-CA"/>
        </w:rPr>
        <w:t xml:space="preserve"> (6</w:t>
      </w:r>
      <w:r w:rsidRPr="006055D3">
        <w:rPr>
          <w:rFonts w:cs="Times New Roman"/>
          <w:vertAlign w:val="superscript"/>
          <w:lang w:val="fr-CA"/>
        </w:rPr>
        <w:t>e</w:t>
      </w:r>
      <w:r w:rsidRPr="006055D3">
        <w:rPr>
          <w:rFonts w:cs="Times New Roman"/>
          <w:lang w:val="fr-CA"/>
        </w:rPr>
        <w:t> éd. 2014), p. 30.)</w:t>
      </w:r>
    </w:p>
    <w:p w:rsidR="00E8197E" w:rsidRPr="006055D3" w:rsidRDefault="00E8197E" w:rsidP="00E8197E">
      <w:pPr>
        <w:pStyle w:val="ParaNoNdepar-AltN"/>
        <w:rPr>
          <w:rFonts w:cs="Times New Roman"/>
          <w:lang w:val="fr-CA"/>
        </w:rPr>
      </w:pPr>
      <w:r w:rsidRPr="006055D3">
        <w:rPr>
          <w:rFonts w:cs="Times New Roman"/>
          <w:lang w:val="fr-CA"/>
        </w:rPr>
        <w:t>Rappelons que le par. 41.26(1) impose trois obligations expresses au FSI qui reçoit un avis de prétendue violation du droit d</w:t>
      </w:r>
      <w:r>
        <w:rPr>
          <w:rFonts w:cs="Times New Roman"/>
          <w:lang w:val="fr-CA"/>
        </w:rPr>
        <w:t>’</w:t>
      </w:r>
      <w:r w:rsidRPr="006055D3">
        <w:rPr>
          <w:rFonts w:cs="Times New Roman"/>
          <w:lang w:val="fr-CA"/>
        </w:rPr>
        <w:t>auteur de la part du titulaire de ce droit : (1) « transmettre [. . .] par voie électronique une copie de l</w:t>
      </w:r>
      <w:r>
        <w:rPr>
          <w:rFonts w:cs="Times New Roman"/>
          <w:lang w:val="fr-CA"/>
        </w:rPr>
        <w:t>’</w:t>
      </w:r>
      <w:r w:rsidRPr="006055D3">
        <w:rPr>
          <w:rFonts w:cs="Times New Roman"/>
          <w:lang w:val="fr-CA"/>
        </w:rPr>
        <w:t>avis à la personne à qui appartient l</w:t>
      </w:r>
      <w:r>
        <w:rPr>
          <w:rFonts w:cs="Times New Roman"/>
          <w:lang w:val="fr-CA"/>
        </w:rPr>
        <w:t>’</w:t>
      </w:r>
      <w:r w:rsidRPr="006055D3">
        <w:rPr>
          <w:rFonts w:cs="Times New Roman"/>
          <w:lang w:val="fr-CA"/>
        </w:rPr>
        <w:t>emplacement électronique identifié par les données de localisation qui sont précisées dans l</w:t>
      </w:r>
      <w:r>
        <w:rPr>
          <w:rFonts w:cs="Times New Roman"/>
          <w:lang w:val="fr-CA"/>
        </w:rPr>
        <w:t>’</w:t>
      </w:r>
      <w:r w:rsidRPr="006055D3">
        <w:rPr>
          <w:rFonts w:cs="Times New Roman"/>
          <w:lang w:val="fr-CA"/>
        </w:rPr>
        <w:t>avis » (al. 41.26(1)a)); (2) « informer [. . .] le [titulaire du droit d</w:t>
      </w:r>
      <w:r>
        <w:rPr>
          <w:rFonts w:cs="Times New Roman"/>
          <w:lang w:val="fr-CA"/>
        </w:rPr>
        <w:t>’</w:t>
      </w:r>
      <w:r w:rsidRPr="006055D3">
        <w:rPr>
          <w:rFonts w:cs="Times New Roman"/>
          <w:lang w:val="fr-CA"/>
        </w:rPr>
        <w:t>auteur] de cette transmission ou [. . .] des raisons pour lesquelles elle n</w:t>
      </w:r>
      <w:r>
        <w:rPr>
          <w:rFonts w:cs="Times New Roman"/>
          <w:lang w:val="fr-CA"/>
        </w:rPr>
        <w:t>’</w:t>
      </w:r>
      <w:r w:rsidRPr="006055D3">
        <w:rPr>
          <w:rFonts w:cs="Times New Roman"/>
          <w:lang w:val="fr-CA"/>
        </w:rPr>
        <w:t>a pas pu l</w:t>
      </w:r>
      <w:r>
        <w:rPr>
          <w:rFonts w:cs="Times New Roman"/>
          <w:lang w:val="fr-CA"/>
        </w:rPr>
        <w:t>’</w:t>
      </w:r>
      <w:r w:rsidRPr="006055D3">
        <w:rPr>
          <w:rFonts w:cs="Times New Roman"/>
          <w:lang w:val="fr-CA"/>
        </w:rPr>
        <w:t>effectuer » (al. 41.26(1)a)); (3) « conserver [. . .] un registre permettant d</w:t>
      </w:r>
      <w:r>
        <w:rPr>
          <w:rFonts w:cs="Times New Roman"/>
          <w:lang w:val="fr-CA"/>
        </w:rPr>
        <w:t>’</w:t>
      </w:r>
      <w:r w:rsidRPr="006055D3">
        <w:rPr>
          <w:rFonts w:cs="Times New Roman"/>
          <w:lang w:val="fr-CA"/>
        </w:rPr>
        <w:t>identifier la personne à qui appartient l</w:t>
      </w:r>
      <w:r>
        <w:rPr>
          <w:rFonts w:cs="Times New Roman"/>
          <w:lang w:val="fr-CA"/>
        </w:rPr>
        <w:t>’</w:t>
      </w:r>
      <w:r w:rsidRPr="006055D3">
        <w:rPr>
          <w:rFonts w:cs="Times New Roman"/>
          <w:lang w:val="fr-CA"/>
        </w:rPr>
        <w:t>emplacement électronique » (al. 41.26(1)b)). Sur ce point, toutes les parties sont d</w:t>
      </w:r>
      <w:r>
        <w:rPr>
          <w:rFonts w:cs="Times New Roman"/>
          <w:lang w:val="fr-CA"/>
        </w:rPr>
        <w:t>’</w:t>
      </w:r>
      <w:r w:rsidRPr="006055D3">
        <w:rPr>
          <w:rFonts w:cs="Times New Roman"/>
          <w:lang w:val="fr-CA"/>
        </w:rPr>
        <w:t>accord. Elles conviennent également que, selon le libellé du par. 41.26(2), étant donné que le ministre n</w:t>
      </w:r>
      <w:r>
        <w:rPr>
          <w:rFonts w:cs="Times New Roman"/>
          <w:lang w:val="fr-CA"/>
        </w:rPr>
        <w:t>’</w:t>
      </w:r>
      <w:r w:rsidRPr="006055D3">
        <w:rPr>
          <w:rFonts w:cs="Times New Roman"/>
          <w:lang w:val="fr-CA"/>
        </w:rPr>
        <w:t>a pas, « par règlement, fix[é] le montant maximal des droits qui peuvent être exigés pour les actes prévus au paragraphe (1) [. . .], le montant [des] droits [qu</w:t>
      </w:r>
      <w:r>
        <w:rPr>
          <w:rFonts w:cs="Times New Roman"/>
          <w:lang w:val="fr-CA"/>
        </w:rPr>
        <w:t>’</w:t>
      </w:r>
      <w:r w:rsidRPr="006055D3">
        <w:rPr>
          <w:rFonts w:cs="Times New Roman"/>
          <w:lang w:val="fr-CA"/>
        </w:rPr>
        <w:t>un FSI peut exiger] est nul » quant aux coûts engagés pour s</w:t>
      </w:r>
      <w:r>
        <w:rPr>
          <w:rFonts w:cs="Times New Roman"/>
          <w:lang w:val="fr-CA"/>
        </w:rPr>
        <w:t>’</w:t>
      </w:r>
      <w:r w:rsidRPr="006055D3">
        <w:rPr>
          <w:rFonts w:cs="Times New Roman"/>
          <w:lang w:val="fr-CA"/>
        </w:rPr>
        <w:t>acquitter de ces trois obligations expresses. Le désaccord des parties, et aussi celui des tribunaux des juridictions inférieures, porte sur la question de savoir si ces obligations expresses comportent certaines obligations implicites, pour lesquelles un FSI ne peut pas recouvrer auprès du titulaire du droit d</w:t>
      </w:r>
      <w:r>
        <w:rPr>
          <w:rFonts w:cs="Times New Roman"/>
          <w:lang w:val="fr-CA"/>
        </w:rPr>
        <w:t>’</w:t>
      </w:r>
      <w:r w:rsidRPr="006055D3">
        <w:rPr>
          <w:rFonts w:cs="Times New Roman"/>
          <w:lang w:val="fr-CA"/>
        </w:rPr>
        <w:t>auteur les coûts qu</w:t>
      </w:r>
      <w:r>
        <w:rPr>
          <w:rFonts w:cs="Times New Roman"/>
          <w:lang w:val="fr-CA"/>
        </w:rPr>
        <w:t>’</w:t>
      </w:r>
      <w:r w:rsidRPr="006055D3">
        <w:rPr>
          <w:rFonts w:cs="Times New Roman"/>
          <w:lang w:val="fr-CA"/>
        </w:rPr>
        <w:t xml:space="preserve">il a engagés. </w:t>
      </w:r>
    </w:p>
    <w:p w:rsidR="00E8197E" w:rsidRPr="006055D3" w:rsidRDefault="00E8197E" w:rsidP="00E8197E">
      <w:pPr>
        <w:pStyle w:val="Title4LevelTitre4Niveau"/>
        <w:rPr>
          <w:rFonts w:cs="Times New Roman"/>
          <w:lang w:val="fr-CA"/>
        </w:rPr>
      </w:pPr>
      <w:r w:rsidRPr="006055D3">
        <w:rPr>
          <w:rFonts w:cs="Times New Roman"/>
          <w:lang w:val="fr-CA"/>
        </w:rPr>
        <w:t>L</w:t>
      </w:r>
      <w:r>
        <w:rPr>
          <w:rFonts w:cs="Times New Roman"/>
          <w:lang w:val="fr-CA"/>
        </w:rPr>
        <w:t>’</w:t>
      </w:r>
      <w:r w:rsidRPr="006055D3">
        <w:rPr>
          <w:rFonts w:cs="Times New Roman"/>
          <w:lang w:val="fr-CA"/>
        </w:rPr>
        <w:t>alinéa 41.26(1)a)</w:t>
      </w:r>
    </w:p>
    <w:p w:rsidR="00E8197E" w:rsidRPr="006055D3" w:rsidRDefault="00E8197E" w:rsidP="00E8197E">
      <w:pPr>
        <w:pStyle w:val="ParaNoNdepar-AltN"/>
        <w:rPr>
          <w:rFonts w:cs="Times New Roman"/>
          <w:lang w:val="fr-CA"/>
        </w:rPr>
      </w:pPr>
      <w:r w:rsidRPr="006055D3">
        <w:rPr>
          <w:rFonts w:cs="Times New Roman"/>
          <w:lang w:val="fr-CA"/>
        </w:rPr>
        <w:lastRenderedPageBreak/>
        <w:t>Les deux premières obligations expresses d</w:t>
      </w:r>
      <w:r>
        <w:rPr>
          <w:rFonts w:cs="Times New Roman"/>
          <w:lang w:val="fr-CA"/>
        </w:rPr>
        <w:t>’</w:t>
      </w:r>
      <w:r w:rsidRPr="006055D3">
        <w:rPr>
          <w:rFonts w:cs="Times New Roman"/>
          <w:lang w:val="fr-CA"/>
        </w:rPr>
        <w:t>un FSI (transmettre un avis au propriétaire de l</w:t>
      </w:r>
      <w:r>
        <w:rPr>
          <w:rFonts w:cs="Times New Roman"/>
          <w:lang w:val="fr-CA"/>
        </w:rPr>
        <w:t>’</w:t>
      </w:r>
      <w:r w:rsidRPr="006055D3">
        <w:rPr>
          <w:rFonts w:cs="Times New Roman"/>
          <w:lang w:val="fr-CA"/>
        </w:rPr>
        <w:t>adresse</w:t>
      </w:r>
      <w:r>
        <w:rPr>
          <w:rFonts w:cs="Times New Roman"/>
          <w:lang w:val="fr-CA"/>
        </w:rPr>
        <w:t xml:space="preserve"> </w:t>
      </w:r>
      <w:r w:rsidRPr="006055D3">
        <w:rPr>
          <w:rFonts w:cs="Times New Roman"/>
          <w:lang w:val="fr-CA"/>
        </w:rPr>
        <w:t>IP et confirmer au titulaire du droit d</w:t>
      </w:r>
      <w:r>
        <w:rPr>
          <w:rFonts w:cs="Times New Roman"/>
          <w:lang w:val="fr-CA"/>
        </w:rPr>
        <w:t>’</w:t>
      </w:r>
      <w:r w:rsidRPr="006055D3">
        <w:rPr>
          <w:rFonts w:cs="Times New Roman"/>
          <w:lang w:val="fr-CA"/>
        </w:rPr>
        <w:t>auteur qu</w:t>
      </w:r>
      <w:r>
        <w:rPr>
          <w:rFonts w:cs="Times New Roman"/>
          <w:lang w:val="fr-CA"/>
        </w:rPr>
        <w:t>’</w:t>
      </w:r>
      <w:r w:rsidRPr="006055D3">
        <w:rPr>
          <w:rFonts w:cs="Times New Roman"/>
          <w:lang w:val="fr-CA"/>
        </w:rPr>
        <w:t>un tel avis a été transmis) sont prévues à l</w:t>
      </w:r>
      <w:r>
        <w:rPr>
          <w:rFonts w:cs="Times New Roman"/>
          <w:lang w:val="fr-CA"/>
        </w:rPr>
        <w:t>’</w:t>
      </w:r>
      <w:r w:rsidRPr="006055D3">
        <w:rPr>
          <w:rFonts w:cs="Times New Roman"/>
          <w:lang w:val="fr-CA"/>
        </w:rPr>
        <w:t>al. 41.26(1)a) et doivent être exécutées « dès que possible ».</w:t>
      </w:r>
    </w:p>
    <w:p w:rsidR="00E8197E" w:rsidRPr="006055D3" w:rsidRDefault="00E8197E" w:rsidP="00E8197E">
      <w:pPr>
        <w:pStyle w:val="ParaNoNdepar-AltN"/>
        <w:rPr>
          <w:rFonts w:cs="Times New Roman"/>
          <w:lang w:val="fr-CA"/>
        </w:rPr>
      </w:pPr>
      <w:r w:rsidRPr="006055D3">
        <w:rPr>
          <w:rFonts w:cs="Times New Roman"/>
          <w:lang w:val="fr-CA"/>
        </w:rPr>
        <w:t>Lorsqu</w:t>
      </w:r>
      <w:r>
        <w:rPr>
          <w:rFonts w:cs="Times New Roman"/>
          <w:lang w:val="fr-CA"/>
        </w:rPr>
        <w:t>’</w:t>
      </w:r>
      <w:r w:rsidRPr="006055D3">
        <w:rPr>
          <w:rFonts w:cs="Times New Roman"/>
          <w:lang w:val="fr-CA"/>
        </w:rPr>
        <w:t>on examine le texte, le contexte et l</w:t>
      </w:r>
      <w:r>
        <w:rPr>
          <w:rFonts w:cs="Times New Roman"/>
          <w:lang w:val="fr-CA"/>
        </w:rPr>
        <w:t>’</w:t>
      </w:r>
      <w:r w:rsidRPr="006055D3">
        <w:rPr>
          <w:rFonts w:cs="Times New Roman"/>
          <w:lang w:val="fr-CA"/>
        </w:rPr>
        <w:t>objet de l</w:t>
      </w:r>
      <w:r>
        <w:rPr>
          <w:rFonts w:cs="Times New Roman"/>
          <w:lang w:val="fr-CA"/>
        </w:rPr>
        <w:t>’</w:t>
      </w:r>
      <w:r w:rsidRPr="006055D3">
        <w:rPr>
          <w:rFonts w:cs="Times New Roman"/>
          <w:lang w:val="fr-CA"/>
        </w:rPr>
        <w:t>al. 41.26(1)a), il devient rapidement et clairement évident que ces obligations ne se limitent pas à la transmission d</w:t>
      </w:r>
      <w:r>
        <w:rPr>
          <w:rFonts w:cs="Times New Roman"/>
          <w:lang w:val="fr-CA"/>
        </w:rPr>
        <w:t>’</w:t>
      </w:r>
      <w:r w:rsidRPr="006055D3">
        <w:rPr>
          <w:rFonts w:cs="Times New Roman"/>
          <w:lang w:val="fr-CA"/>
        </w:rPr>
        <w:t>un avis et à la confirmation qu</w:t>
      </w:r>
      <w:r>
        <w:rPr>
          <w:rFonts w:cs="Times New Roman"/>
          <w:lang w:val="fr-CA"/>
        </w:rPr>
        <w:t>’</w:t>
      </w:r>
      <w:r w:rsidRPr="006055D3">
        <w:rPr>
          <w:rFonts w:cs="Times New Roman"/>
          <w:lang w:val="fr-CA"/>
        </w:rPr>
        <w:t>il a été transmis. Comme l</w:t>
      </w:r>
      <w:r>
        <w:rPr>
          <w:rFonts w:cs="Times New Roman"/>
          <w:lang w:val="fr-CA"/>
        </w:rPr>
        <w:t>’</w:t>
      </w:r>
      <w:r w:rsidRPr="006055D3">
        <w:rPr>
          <w:rFonts w:cs="Times New Roman"/>
          <w:lang w:val="fr-CA"/>
        </w:rPr>
        <w:t>a fait remarquer la Cour d</w:t>
      </w:r>
      <w:r>
        <w:rPr>
          <w:rFonts w:cs="Times New Roman"/>
          <w:lang w:val="fr-CA"/>
        </w:rPr>
        <w:t>’</w:t>
      </w:r>
      <w:r w:rsidRPr="006055D3">
        <w:rPr>
          <w:rFonts w:cs="Times New Roman"/>
          <w:lang w:val="fr-CA"/>
        </w:rPr>
        <w:t>appel fédérale, les objectifs de la Loi — et, en fait, l</w:t>
      </w:r>
      <w:r>
        <w:rPr>
          <w:rFonts w:cs="Times New Roman"/>
          <w:lang w:val="fr-CA"/>
        </w:rPr>
        <w:t>’</w:t>
      </w:r>
      <w:r w:rsidRPr="006055D3">
        <w:rPr>
          <w:rFonts w:cs="Times New Roman"/>
          <w:lang w:val="fr-CA"/>
        </w:rPr>
        <w:t>exigence voulant que le FSI s</w:t>
      </w:r>
      <w:r>
        <w:rPr>
          <w:rFonts w:cs="Times New Roman"/>
          <w:lang w:val="fr-CA"/>
        </w:rPr>
        <w:t>’</w:t>
      </w:r>
      <w:r w:rsidRPr="006055D3">
        <w:rPr>
          <w:rFonts w:cs="Times New Roman"/>
          <w:lang w:val="fr-CA"/>
        </w:rPr>
        <w:t>acquitte de ces obligations « dès que possible » — seront minés s</w:t>
      </w:r>
      <w:r>
        <w:rPr>
          <w:rFonts w:cs="Times New Roman"/>
          <w:lang w:val="fr-CA"/>
        </w:rPr>
        <w:t>’</w:t>
      </w:r>
      <w:r w:rsidRPr="006055D3">
        <w:rPr>
          <w:rFonts w:cs="Times New Roman"/>
          <w:lang w:val="fr-CA"/>
        </w:rPr>
        <w:t>il n</w:t>
      </w:r>
      <w:r>
        <w:rPr>
          <w:rFonts w:cs="Times New Roman"/>
          <w:lang w:val="fr-CA"/>
        </w:rPr>
        <w:t>’</w:t>
      </w:r>
      <w:r w:rsidRPr="006055D3">
        <w:rPr>
          <w:rFonts w:cs="Times New Roman"/>
          <w:lang w:val="fr-CA"/>
        </w:rPr>
        <w:t>a pas pris les mesures lui permettant de faire son travail « rapidement et efficacement ». Mais à un niveau encore plus fondamental, les obligations de transmettre et de confirmer suggèrent des obligations implicites connexes, c</w:t>
      </w:r>
      <w:r>
        <w:rPr>
          <w:rFonts w:cs="Times New Roman"/>
          <w:lang w:val="fr-CA"/>
        </w:rPr>
        <w:t>’</w:t>
      </w:r>
      <w:r w:rsidRPr="006055D3">
        <w:rPr>
          <w:rFonts w:cs="Times New Roman"/>
          <w:lang w:val="fr-CA"/>
        </w:rPr>
        <w:t>est</w:t>
      </w:r>
      <w:r w:rsidRPr="006055D3">
        <w:rPr>
          <w:rFonts w:cs="Times New Roman"/>
          <w:lang w:val="fr-CA"/>
        </w:rPr>
        <w:noBreakHyphen/>
        <w:t>à</w:t>
      </w:r>
      <w:r w:rsidRPr="006055D3">
        <w:rPr>
          <w:rFonts w:cs="Times New Roman"/>
          <w:lang w:val="fr-CA"/>
        </w:rPr>
        <w:noBreakHyphen/>
        <w:t>dire des mesures nécessaires pour que ces obligations légales expresses soient remplies. Premièrement, il est évident que, pour qu</w:t>
      </w:r>
      <w:r>
        <w:rPr>
          <w:rFonts w:cs="Times New Roman"/>
          <w:lang w:val="fr-CA"/>
        </w:rPr>
        <w:t>’</w:t>
      </w:r>
      <w:r w:rsidRPr="006055D3">
        <w:rPr>
          <w:rFonts w:cs="Times New Roman"/>
          <w:lang w:val="fr-CA"/>
        </w:rPr>
        <w:t>un FSI puisse « transmettre [. . .] par voie électronique une copie de l</w:t>
      </w:r>
      <w:r>
        <w:rPr>
          <w:rFonts w:cs="Times New Roman"/>
          <w:lang w:val="fr-CA"/>
        </w:rPr>
        <w:t>’</w:t>
      </w:r>
      <w:r w:rsidRPr="006055D3">
        <w:rPr>
          <w:rFonts w:cs="Times New Roman"/>
          <w:lang w:val="fr-CA"/>
        </w:rPr>
        <w:t>avis à la personne à qui appartient l</w:t>
      </w:r>
      <w:r>
        <w:rPr>
          <w:rFonts w:cs="Times New Roman"/>
          <w:lang w:val="fr-CA"/>
        </w:rPr>
        <w:t>’</w:t>
      </w:r>
      <w:r w:rsidRPr="006055D3">
        <w:rPr>
          <w:rFonts w:cs="Times New Roman"/>
          <w:lang w:val="fr-CA"/>
        </w:rPr>
        <w:t>emplacement électronique », il doit avoir déterminé, aux fins de l</w:t>
      </w:r>
      <w:r>
        <w:rPr>
          <w:rFonts w:cs="Times New Roman"/>
          <w:lang w:val="fr-CA"/>
        </w:rPr>
        <w:t>’</w:t>
      </w:r>
      <w:r w:rsidRPr="006055D3">
        <w:rPr>
          <w:rFonts w:cs="Times New Roman"/>
          <w:lang w:val="fr-CA"/>
        </w:rPr>
        <w:t>envoi de l</w:t>
      </w:r>
      <w:r>
        <w:rPr>
          <w:rFonts w:cs="Times New Roman"/>
          <w:lang w:val="fr-CA"/>
        </w:rPr>
        <w:t>’</w:t>
      </w:r>
      <w:r w:rsidRPr="006055D3">
        <w:rPr>
          <w:rFonts w:cs="Times New Roman"/>
          <w:lang w:val="fr-CA"/>
        </w:rPr>
        <w:t>avis par voie électronique, à qui, dans ce cas, appartenait l</w:t>
      </w:r>
      <w:r>
        <w:rPr>
          <w:rFonts w:cs="Times New Roman"/>
          <w:lang w:val="fr-CA"/>
        </w:rPr>
        <w:t>’</w:t>
      </w:r>
      <w:r w:rsidRPr="006055D3">
        <w:rPr>
          <w:rFonts w:cs="Times New Roman"/>
          <w:lang w:val="fr-CA"/>
        </w:rPr>
        <w:t>adresse IP. (Pour être clair, et comme je vais l</w:t>
      </w:r>
      <w:r>
        <w:rPr>
          <w:rFonts w:cs="Times New Roman"/>
          <w:lang w:val="fr-CA"/>
        </w:rPr>
        <w:t>’</w:t>
      </w:r>
      <w:r w:rsidRPr="006055D3">
        <w:rPr>
          <w:rFonts w:cs="Times New Roman"/>
          <w:lang w:val="fr-CA"/>
        </w:rPr>
        <w:t>expliquer, cela n</w:t>
      </w:r>
      <w:r>
        <w:rPr>
          <w:rFonts w:cs="Times New Roman"/>
          <w:lang w:val="fr-CA"/>
        </w:rPr>
        <w:t>’</w:t>
      </w:r>
      <w:r w:rsidRPr="006055D3">
        <w:rPr>
          <w:rFonts w:cs="Times New Roman"/>
          <w:lang w:val="fr-CA"/>
        </w:rPr>
        <w:t xml:space="preserve">exige pas que le FSI identifie cette personne par </w:t>
      </w:r>
      <w:r w:rsidRPr="006055D3">
        <w:rPr>
          <w:rFonts w:cs="Times New Roman"/>
          <w:i/>
          <w:lang w:val="fr-CA"/>
        </w:rPr>
        <w:t>son nom</w:t>
      </w:r>
      <w:r w:rsidRPr="006055D3">
        <w:rPr>
          <w:rFonts w:cs="Times New Roman"/>
          <w:lang w:val="fr-CA"/>
        </w:rPr>
        <w:t>. En l</w:t>
      </w:r>
      <w:r>
        <w:rPr>
          <w:rFonts w:cs="Times New Roman"/>
          <w:lang w:val="fr-CA"/>
        </w:rPr>
        <w:t>’</w:t>
      </w:r>
      <w:r w:rsidRPr="006055D3">
        <w:rPr>
          <w:rFonts w:cs="Times New Roman"/>
          <w:lang w:val="fr-CA"/>
        </w:rPr>
        <w:t>espèce, par exemple, Rogers affirme avoir établi à qui appartenait l</w:t>
      </w:r>
      <w:r>
        <w:rPr>
          <w:rFonts w:cs="Times New Roman"/>
          <w:lang w:val="fr-CA"/>
        </w:rPr>
        <w:t>’</w:t>
      </w:r>
      <w:r w:rsidRPr="006055D3">
        <w:rPr>
          <w:rFonts w:cs="Times New Roman"/>
          <w:lang w:val="fr-CA"/>
        </w:rPr>
        <w:t>adresse IP au moment des faits en mettant manuellement ou automatiquement en corrélation cette adresse IP avec l</w:t>
      </w:r>
      <w:r>
        <w:rPr>
          <w:rFonts w:cs="Times New Roman"/>
          <w:lang w:val="fr-CA"/>
        </w:rPr>
        <w:t>’</w:t>
      </w:r>
      <w:r w:rsidRPr="006055D3">
        <w:rPr>
          <w:rFonts w:cs="Times New Roman"/>
          <w:lang w:val="fr-CA"/>
        </w:rPr>
        <w:t>adresse courriel qui appartient à son propriétaire.) Deuxièmement, le FSI doit également prendre toutes les mesures nécessaires pour s</w:t>
      </w:r>
      <w:r>
        <w:rPr>
          <w:rFonts w:cs="Times New Roman"/>
          <w:lang w:val="fr-CA"/>
        </w:rPr>
        <w:t>’</w:t>
      </w:r>
      <w:r w:rsidRPr="006055D3">
        <w:rPr>
          <w:rFonts w:cs="Times New Roman"/>
          <w:lang w:val="fr-CA"/>
        </w:rPr>
        <w:t>assurer qu</w:t>
      </w:r>
      <w:r>
        <w:rPr>
          <w:rFonts w:cs="Times New Roman"/>
          <w:lang w:val="fr-CA"/>
        </w:rPr>
        <w:t>’</w:t>
      </w:r>
      <w:r w:rsidRPr="006055D3">
        <w:rPr>
          <w:rFonts w:cs="Times New Roman"/>
          <w:lang w:val="fr-CA"/>
        </w:rPr>
        <w:t xml:space="preserve">il a </w:t>
      </w:r>
      <w:r w:rsidRPr="006055D3">
        <w:rPr>
          <w:rFonts w:cs="Times New Roman"/>
          <w:i/>
          <w:lang w:val="fr-CA"/>
        </w:rPr>
        <w:t>correctement</w:t>
      </w:r>
      <w:r w:rsidRPr="006055D3">
        <w:rPr>
          <w:rFonts w:cs="Times New Roman"/>
          <w:lang w:val="fr-CA"/>
        </w:rPr>
        <w:t xml:space="preserve"> établi l</w:t>
      </w:r>
      <w:r>
        <w:rPr>
          <w:rFonts w:cs="Times New Roman"/>
          <w:lang w:val="fr-CA"/>
        </w:rPr>
        <w:t>’</w:t>
      </w:r>
      <w:r w:rsidRPr="006055D3">
        <w:rPr>
          <w:rFonts w:cs="Times New Roman"/>
          <w:lang w:val="fr-CA"/>
        </w:rPr>
        <w:t>identité de cette personne.</w:t>
      </w:r>
    </w:p>
    <w:p w:rsidR="00E8197E" w:rsidRPr="006055D3" w:rsidRDefault="00E8197E" w:rsidP="00E8197E">
      <w:pPr>
        <w:pStyle w:val="ParaNoNdepar-AltN"/>
        <w:rPr>
          <w:rFonts w:cs="Times New Roman"/>
          <w:lang w:val="fr-CA"/>
        </w:rPr>
      </w:pPr>
      <w:r w:rsidRPr="006055D3">
        <w:rPr>
          <w:rFonts w:cs="Times New Roman"/>
          <w:lang w:val="fr-CA"/>
        </w:rPr>
        <w:lastRenderedPageBreak/>
        <w:t>Le fait que ces obligations implicites d</w:t>
      </w:r>
      <w:r>
        <w:rPr>
          <w:rFonts w:cs="Times New Roman"/>
          <w:lang w:val="fr-CA"/>
        </w:rPr>
        <w:t>’</w:t>
      </w:r>
      <w:r w:rsidRPr="006055D3">
        <w:rPr>
          <w:rFonts w:cs="Times New Roman"/>
          <w:lang w:val="fr-CA"/>
        </w:rPr>
        <w:t>identification et de vérification font partie du fardeau du FSI aux termes de l</w:t>
      </w:r>
      <w:r>
        <w:rPr>
          <w:rFonts w:cs="Times New Roman"/>
          <w:lang w:val="fr-CA"/>
        </w:rPr>
        <w:t>’</w:t>
      </w:r>
      <w:r w:rsidRPr="006055D3">
        <w:rPr>
          <w:rFonts w:cs="Times New Roman"/>
          <w:lang w:val="fr-CA"/>
        </w:rPr>
        <w:t>al. 41.26(1)a) ressort manifestement du libellé même de la disposition. Plus spécifiquement, l</w:t>
      </w:r>
      <w:r>
        <w:rPr>
          <w:rFonts w:cs="Times New Roman"/>
          <w:lang w:val="fr-CA"/>
        </w:rPr>
        <w:t>’</w:t>
      </w:r>
      <w:r w:rsidRPr="006055D3">
        <w:rPr>
          <w:rFonts w:cs="Times New Roman"/>
          <w:lang w:val="fr-CA"/>
        </w:rPr>
        <w:t>al. 41.26(1)a) exige non seulement que le FSI transmette l</w:t>
      </w:r>
      <w:r>
        <w:rPr>
          <w:rFonts w:cs="Times New Roman"/>
          <w:lang w:val="fr-CA"/>
        </w:rPr>
        <w:t>’</w:t>
      </w:r>
      <w:r w:rsidRPr="006055D3">
        <w:rPr>
          <w:rFonts w:cs="Times New Roman"/>
          <w:lang w:val="fr-CA"/>
        </w:rPr>
        <w:t>avis, mais aussi qu</w:t>
      </w:r>
      <w:r>
        <w:rPr>
          <w:rFonts w:cs="Times New Roman"/>
          <w:lang w:val="fr-CA"/>
        </w:rPr>
        <w:t>’</w:t>
      </w:r>
      <w:r w:rsidRPr="006055D3">
        <w:rPr>
          <w:rFonts w:cs="Times New Roman"/>
          <w:lang w:val="fr-CA"/>
        </w:rPr>
        <w:t>il informe le titulaire du droit d</w:t>
      </w:r>
      <w:r>
        <w:rPr>
          <w:rFonts w:cs="Times New Roman"/>
          <w:lang w:val="fr-CA"/>
        </w:rPr>
        <w:t>’</w:t>
      </w:r>
      <w:r w:rsidRPr="006055D3">
        <w:rPr>
          <w:rFonts w:cs="Times New Roman"/>
          <w:lang w:val="fr-CA"/>
        </w:rPr>
        <w:t>auteur « </w:t>
      </w:r>
      <w:r w:rsidRPr="006055D3">
        <w:rPr>
          <w:rFonts w:cs="Times New Roman"/>
          <w:u w:val="single"/>
          <w:lang w:val="fr-CA"/>
        </w:rPr>
        <w:t>de cette transmission</w:t>
      </w:r>
      <w:r w:rsidRPr="006055D3">
        <w:rPr>
          <w:rFonts w:cs="Times New Roman"/>
          <w:lang w:val="fr-CA"/>
        </w:rPr>
        <w:t> » (ou des raisons pour lesquelles la transmission a échoué). Sur le plan de la logique et du bon sens, le fonctionnement adéquat de cet aspect du régime d</w:t>
      </w:r>
      <w:r>
        <w:rPr>
          <w:rFonts w:cs="Times New Roman"/>
          <w:lang w:val="fr-CA"/>
        </w:rPr>
        <w:t>’</w:t>
      </w:r>
      <w:r w:rsidRPr="006055D3">
        <w:rPr>
          <w:rFonts w:cs="Times New Roman"/>
          <w:lang w:val="fr-CA"/>
        </w:rPr>
        <w:t>avis et avis est fondé sur le fait que le FSI a établi avec exactitude à qui l</w:t>
      </w:r>
      <w:r>
        <w:rPr>
          <w:rFonts w:cs="Times New Roman"/>
          <w:lang w:val="fr-CA"/>
        </w:rPr>
        <w:t>’</w:t>
      </w:r>
      <w:r w:rsidRPr="006055D3">
        <w:rPr>
          <w:rFonts w:cs="Times New Roman"/>
          <w:lang w:val="fr-CA"/>
        </w:rPr>
        <w:t>avis devait être transmis. Comme l</w:t>
      </w:r>
      <w:r>
        <w:rPr>
          <w:rFonts w:cs="Times New Roman"/>
          <w:lang w:val="fr-CA"/>
        </w:rPr>
        <w:t>’</w:t>
      </w:r>
      <w:r w:rsidRPr="006055D3">
        <w:rPr>
          <w:rFonts w:cs="Times New Roman"/>
          <w:lang w:val="fr-CA"/>
        </w:rPr>
        <w:t>a déclaré la Cour d</w:t>
      </w:r>
      <w:r>
        <w:rPr>
          <w:rFonts w:cs="Times New Roman"/>
          <w:lang w:val="fr-CA"/>
        </w:rPr>
        <w:t>’</w:t>
      </w:r>
      <w:r w:rsidRPr="006055D3">
        <w:rPr>
          <w:rFonts w:cs="Times New Roman"/>
          <w:lang w:val="fr-CA"/>
        </w:rPr>
        <w:t>appel fédérale, « [p]our que le régime [. . .] fonctionne, l</w:t>
      </w:r>
      <w:r>
        <w:rPr>
          <w:rFonts w:cs="Times New Roman"/>
          <w:lang w:val="fr-CA"/>
        </w:rPr>
        <w:t>’</w:t>
      </w:r>
      <w:r w:rsidRPr="006055D3">
        <w:rPr>
          <w:rFonts w:cs="Times New Roman"/>
          <w:lang w:val="fr-CA"/>
        </w:rPr>
        <w:t>exactitude doit être garantie » (par. 35). Si le FSI était autorisé à confirmer que l</w:t>
      </w:r>
      <w:r>
        <w:rPr>
          <w:rFonts w:cs="Times New Roman"/>
          <w:lang w:val="fr-CA"/>
        </w:rPr>
        <w:t>’</w:t>
      </w:r>
      <w:r w:rsidRPr="006055D3">
        <w:rPr>
          <w:rFonts w:cs="Times New Roman"/>
          <w:lang w:val="fr-CA"/>
        </w:rPr>
        <w:t>avis a été transmis correctement alors qu</w:t>
      </w:r>
      <w:r>
        <w:rPr>
          <w:rFonts w:cs="Times New Roman"/>
          <w:lang w:val="fr-CA"/>
        </w:rPr>
        <w:t>’</w:t>
      </w:r>
      <w:r w:rsidRPr="006055D3">
        <w:rPr>
          <w:rFonts w:cs="Times New Roman"/>
          <w:lang w:val="fr-CA"/>
        </w:rPr>
        <w:t>il l</w:t>
      </w:r>
      <w:r>
        <w:rPr>
          <w:rFonts w:cs="Times New Roman"/>
          <w:lang w:val="fr-CA"/>
        </w:rPr>
        <w:t>’</w:t>
      </w:r>
      <w:r w:rsidRPr="006055D3">
        <w:rPr>
          <w:rFonts w:cs="Times New Roman"/>
          <w:lang w:val="fr-CA"/>
        </w:rPr>
        <w:t>a transmis à la mauvaise personne, une telle confirmation serait, du point de vue du titulaire du droit d</w:t>
      </w:r>
      <w:r>
        <w:rPr>
          <w:rFonts w:cs="Times New Roman"/>
          <w:lang w:val="fr-CA"/>
        </w:rPr>
        <w:t>’</w:t>
      </w:r>
      <w:r w:rsidRPr="006055D3">
        <w:rPr>
          <w:rFonts w:cs="Times New Roman"/>
          <w:lang w:val="fr-CA"/>
        </w:rPr>
        <w:t>auteur, peu fiable et donc dénuée de sens. Ni le FSI ni le titulaire du droit d</w:t>
      </w:r>
      <w:r>
        <w:rPr>
          <w:rFonts w:cs="Times New Roman"/>
          <w:lang w:val="fr-CA"/>
        </w:rPr>
        <w:t>’</w:t>
      </w:r>
      <w:r w:rsidRPr="006055D3">
        <w:rPr>
          <w:rFonts w:cs="Times New Roman"/>
          <w:lang w:val="fr-CA"/>
        </w:rPr>
        <w:t>auteur ne sauraient jamais si l</w:t>
      </w:r>
      <w:r>
        <w:rPr>
          <w:rFonts w:cs="Times New Roman"/>
          <w:lang w:val="fr-CA"/>
        </w:rPr>
        <w:t>’</w:t>
      </w:r>
      <w:r w:rsidRPr="006055D3">
        <w:rPr>
          <w:rFonts w:cs="Times New Roman"/>
          <w:lang w:val="fr-CA"/>
        </w:rPr>
        <w:t>avis est parvenu à la bonne personne, c</w:t>
      </w:r>
      <w:r>
        <w:rPr>
          <w:rFonts w:cs="Times New Roman"/>
          <w:lang w:val="fr-CA"/>
        </w:rPr>
        <w:t>’</w:t>
      </w:r>
      <w:r w:rsidRPr="006055D3">
        <w:rPr>
          <w:rFonts w:cs="Times New Roman"/>
          <w:lang w:val="fr-CA"/>
        </w:rPr>
        <w:t>est</w:t>
      </w:r>
      <w:r w:rsidRPr="006055D3">
        <w:rPr>
          <w:rFonts w:cs="Times New Roman"/>
          <w:lang w:val="fr-CA"/>
        </w:rPr>
        <w:noBreakHyphen/>
        <w:t>à</w:t>
      </w:r>
      <w:r w:rsidRPr="006055D3">
        <w:rPr>
          <w:rFonts w:cs="Times New Roman"/>
          <w:lang w:val="fr-CA"/>
        </w:rPr>
        <w:noBreakHyphen/>
        <w:t>dire celle à qui appartient l</w:t>
      </w:r>
      <w:r>
        <w:rPr>
          <w:rFonts w:cs="Times New Roman"/>
          <w:lang w:val="fr-CA"/>
        </w:rPr>
        <w:t>’</w:t>
      </w:r>
      <w:r w:rsidRPr="006055D3">
        <w:rPr>
          <w:rFonts w:cs="Times New Roman"/>
          <w:lang w:val="fr-CA"/>
        </w:rPr>
        <w:t>adresse IP identifiée dans l</w:t>
      </w:r>
      <w:r>
        <w:rPr>
          <w:rFonts w:cs="Times New Roman"/>
          <w:lang w:val="fr-CA"/>
        </w:rPr>
        <w:t>’</w:t>
      </w:r>
      <w:r w:rsidRPr="006055D3">
        <w:rPr>
          <w:rFonts w:cs="Times New Roman"/>
          <w:lang w:val="fr-CA"/>
        </w:rPr>
        <w:t xml:space="preserve">avis. </w:t>
      </w:r>
    </w:p>
    <w:p w:rsidR="00E8197E" w:rsidRPr="006055D3" w:rsidRDefault="00E8197E" w:rsidP="00E8197E">
      <w:pPr>
        <w:pStyle w:val="ParaNoNdepar-AltN"/>
        <w:rPr>
          <w:rFonts w:cs="Times New Roman"/>
          <w:lang w:val="fr-CA"/>
        </w:rPr>
      </w:pPr>
      <w:r w:rsidRPr="006055D3">
        <w:rPr>
          <w:rFonts w:cs="Times New Roman"/>
          <w:lang w:val="fr-CA"/>
        </w:rPr>
        <w:t>L</w:t>
      </w:r>
      <w:r>
        <w:rPr>
          <w:rFonts w:cs="Times New Roman"/>
          <w:lang w:val="fr-CA"/>
        </w:rPr>
        <w:t>’</w:t>
      </w:r>
      <w:r w:rsidRPr="006055D3">
        <w:rPr>
          <w:rFonts w:cs="Times New Roman"/>
          <w:lang w:val="fr-CA"/>
        </w:rPr>
        <w:t>importance de l</w:t>
      </w:r>
      <w:r>
        <w:rPr>
          <w:rFonts w:cs="Times New Roman"/>
          <w:lang w:val="fr-CA"/>
        </w:rPr>
        <w:t>’</w:t>
      </w:r>
      <w:r w:rsidRPr="006055D3">
        <w:rPr>
          <w:rFonts w:cs="Times New Roman"/>
          <w:lang w:val="fr-CA"/>
        </w:rPr>
        <w:t>exactitude est en outre mise en évidence par l</w:t>
      </w:r>
      <w:r>
        <w:rPr>
          <w:rFonts w:cs="Times New Roman"/>
          <w:lang w:val="fr-CA"/>
        </w:rPr>
        <w:t>’</w:t>
      </w:r>
      <w:r w:rsidRPr="006055D3">
        <w:rPr>
          <w:rFonts w:cs="Times New Roman"/>
          <w:lang w:val="fr-CA"/>
        </w:rPr>
        <w:t>économie du régime d</w:t>
      </w:r>
      <w:r>
        <w:rPr>
          <w:rFonts w:cs="Times New Roman"/>
          <w:lang w:val="fr-CA"/>
        </w:rPr>
        <w:t>’</w:t>
      </w:r>
      <w:r w:rsidRPr="006055D3">
        <w:rPr>
          <w:rFonts w:cs="Times New Roman"/>
          <w:lang w:val="fr-CA"/>
        </w:rPr>
        <w:t>avis et avis. Plus précisément, aux termes du par. 41.26(3), lorsque le FSI omet de transmettre correctement l</w:t>
      </w:r>
      <w:r>
        <w:rPr>
          <w:rFonts w:cs="Times New Roman"/>
          <w:lang w:val="fr-CA"/>
        </w:rPr>
        <w:t>’</w:t>
      </w:r>
      <w:r w:rsidRPr="006055D3">
        <w:rPr>
          <w:rFonts w:cs="Times New Roman"/>
          <w:lang w:val="fr-CA"/>
        </w:rPr>
        <w:t>avis à la personne à qui appartient l</w:t>
      </w:r>
      <w:r>
        <w:rPr>
          <w:rFonts w:cs="Times New Roman"/>
          <w:lang w:val="fr-CA"/>
        </w:rPr>
        <w:t>’</w:t>
      </w:r>
      <w:r w:rsidRPr="006055D3">
        <w:rPr>
          <w:rFonts w:cs="Times New Roman"/>
          <w:lang w:val="fr-CA"/>
        </w:rPr>
        <w:t>adresse IP en cause, il peut être tenu responsable envers le titulaire du droit d</w:t>
      </w:r>
      <w:r>
        <w:rPr>
          <w:rFonts w:cs="Times New Roman"/>
          <w:lang w:val="fr-CA"/>
        </w:rPr>
        <w:t>’</w:t>
      </w:r>
      <w:r w:rsidRPr="006055D3">
        <w:rPr>
          <w:rFonts w:cs="Times New Roman"/>
          <w:lang w:val="fr-CA"/>
        </w:rPr>
        <w:t>auteur de dommages</w:t>
      </w:r>
      <w:r w:rsidRPr="006055D3">
        <w:rPr>
          <w:rFonts w:cs="Times New Roman"/>
          <w:lang w:val="fr-CA"/>
        </w:rPr>
        <w:noBreakHyphen/>
        <w:t>intérêts préétablis d</w:t>
      </w:r>
      <w:r>
        <w:rPr>
          <w:rFonts w:cs="Times New Roman"/>
          <w:lang w:val="fr-CA"/>
        </w:rPr>
        <w:t>’</w:t>
      </w:r>
      <w:r w:rsidRPr="006055D3">
        <w:rPr>
          <w:rFonts w:cs="Times New Roman"/>
          <w:lang w:val="fr-CA"/>
        </w:rPr>
        <w:t>un montant d</w:t>
      </w:r>
      <w:r>
        <w:rPr>
          <w:rFonts w:cs="Times New Roman"/>
          <w:lang w:val="fr-CA"/>
        </w:rPr>
        <w:t>’</w:t>
      </w:r>
      <w:r w:rsidRPr="006055D3">
        <w:rPr>
          <w:rFonts w:cs="Times New Roman"/>
          <w:lang w:val="fr-CA"/>
        </w:rPr>
        <w:t>au moins 5 000 $, mais d</w:t>
      </w:r>
      <w:r>
        <w:rPr>
          <w:rFonts w:cs="Times New Roman"/>
          <w:lang w:val="fr-CA"/>
        </w:rPr>
        <w:t>’</w:t>
      </w:r>
      <w:r w:rsidRPr="006055D3">
        <w:rPr>
          <w:rFonts w:cs="Times New Roman"/>
          <w:lang w:val="fr-CA"/>
        </w:rPr>
        <w:t>au plus 10 000 $. Cette responsabilité légale se veut une affirmation claire de l</w:t>
      </w:r>
      <w:r>
        <w:rPr>
          <w:rFonts w:cs="Times New Roman"/>
          <w:lang w:val="fr-CA"/>
        </w:rPr>
        <w:t>’</w:t>
      </w:r>
      <w:r w:rsidRPr="006055D3">
        <w:rPr>
          <w:rFonts w:cs="Times New Roman"/>
          <w:lang w:val="fr-CA"/>
        </w:rPr>
        <w:t>obligation du FSI selon laquelle, chaque fois qu</w:t>
      </w:r>
      <w:r>
        <w:rPr>
          <w:rFonts w:cs="Times New Roman"/>
          <w:lang w:val="fr-CA"/>
        </w:rPr>
        <w:t>’</w:t>
      </w:r>
      <w:r w:rsidRPr="006055D3">
        <w:rPr>
          <w:rFonts w:cs="Times New Roman"/>
          <w:lang w:val="fr-CA"/>
        </w:rPr>
        <w:t>il reçoit un avis d</w:t>
      </w:r>
      <w:r>
        <w:rPr>
          <w:rFonts w:cs="Times New Roman"/>
          <w:lang w:val="fr-CA"/>
        </w:rPr>
        <w:t>’</w:t>
      </w:r>
      <w:r w:rsidRPr="006055D3">
        <w:rPr>
          <w:rFonts w:cs="Times New Roman"/>
          <w:lang w:val="fr-CA"/>
        </w:rPr>
        <w:t>un titulaire de droit d</w:t>
      </w:r>
      <w:r>
        <w:rPr>
          <w:rFonts w:cs="Times New Roman"/>
          <w:lang w:val="fr-CA"/>
        </w:rPr>
        <w:t>’</w:t>
      </w:r>
      <w:r w:rsidRPr="006055D3">
        <w:rPr>
          <w:rFonts w:cs="Times New Roman"/>
          <w:lang w:val="fr-CA"/>
        </w:rPr>
        <w:t>auteur, il doit s</w:t>
      </w:r>
      <w:r>
        <w:rPr>
          <w:rFonts w:cs="Times New Roman"/>
          <w:lang w:val="fr-CA"/>
        </w:rPr>
        <w:t>’</w:t>
      </w:r>
      <w:r w:rsidRPr="006055D3">
        <w:rPr>
          <w:rFonts w:cs="Times New Roman"/>
          <w:lang w:val="fr-CA"/>
        </w:rPr>
        <w:t>assurer qu</w:t>
      </w:r>
      <w:r>
        <w:rPr>
          <w:rFonts w:cs="Times New Roman"/>
          <w:lang w:val="fr-CA"/>
        </w:rPr>
        <w:t>’</w:t>
      </w:r>
      <w:r w:rsidRPr="006055D3">
        <w:rPr>
          <w:rFonts w:cs="Times New Roman"/>
          <w:lang w:val="fr-CA"/>
        </w:rPr>
        <w:t>il transmet cet avis à la bonne personne. De plus, si l</w:t>
      </w:r>
      <w:r>
        <w:rPr>
          <w:rFonts w:cs="Times New Roman"/>
          <w:lang w:val="fr-CA"/>
        </w:rPr>
        <w:t>’</w:t>
      </w:r>
      <w:r w:rsidRPr="006055D3">
        <w:rPr>
          <w:rFonts w:cs="Times New Roman"/>
          <w:lang w:val="fr-CA"/>
        </w:rPr>
        <w:t>exactitude n</w:t>
      </w:r>
      <w:r>
        <w:rPr>
          <w:rFonts w:cs="Times New Roman"/>
          <w:lang w:val="fr-CA"/>
        </w:rPr>
        <w:t>’</w:t>
      </w:r>
      <w:r w:rsidRPr="006055D3">
        <w:rPr>
          <w:rFonts w:cs="Times New Roman"/>
          <w:lang w:val="fr-CA"/>
        </w:rPr>
        <w:t>était pas jugée primordiale pour l</w:t>
      </w:r>
      <w:r>
        <w:rPr>
          <w:rFonts w:cs="Times New Roman"/>
          <w:lang w:val="fr-CA"/>
        </w:rPr>
        <w:t>’</w:t>
      </w:r>
      <w:r w:rsidRPr="006055D3">
        <w:rPr>
          <w:rFonts w:cs="Times New Roman"/>
          <w:lang w:val="fr-CA"/>
        </w:rPr>
        <w:t>exécution par le FSI de ses obligations au titre de l</w:t>
      </w:r>
      <w:r>
        <w:rPr>
          <w:rFonts w:cs="Times New Roman"/>
          <w:lang w:val="fr-CA"/>
        </w:rPr>
        <w:t>’</w:t>
      </w:r>
      <w:r w:rsidRPr="006055D3">
        <w:rPr>
          <w:rFonts w:cs="Times New Roman"/>
          <w:lang w:val="fr-CA"/>
        </w:rPr>
        <w:t>al. 41.26(1)a), l</w:t>
      </w:r>
      <w:r>
        <w:rPr>
          <w:rFonts w:cs="Times New Roman"/>
          <w:lang w:val="fr-CA"/>
        </w:rPr>
        <w:t>’</w:t>
      </w:r>
      <w:r w:rsidRPr="006055D3">
        <w:rPr>
          <w:rFonts w:cs="Times New Roman"/>
          <w:lang w:val="fr-CA"/>
        </w:rPr>
        <w:t>équilibre que le Parlement a établi grâce à l</w:t>
      </w:r>
      <w:r>
        <w:rPr>
          <w:rFonts w:cs="Times New Roman"/>
          <w:lang w:val="fr-CA"/>
        </w:rPr>
        <w:t>’</w:t>
      </w:r>
      <w:r w:rsidRPr="006055D3">
        <w:rPr>
          <w:rFonts w:cs="Times New Roman"/>
          <w:lang w:val="fr-CA"/>
        </w:rPr>
        <w:t xml:space="preserve">adoption du régime </w:t>
      </w:r>
      <w:r w:rsidRPr="006055D3">
        <w:rPr>
          <w:rFonts w:cs="Times New Roman"/>
          <w:lang w:val="fr-CA"/>
        </w:rPr>
        <w:lastRenderedPageBreak/>
        <w:t>d</w:t>
      </w:r>
      <w:r>
        <w:rPr>
          <w:rFonts w:cs="Times New Roman"/>
          <w:lang w:val="fr-CA"/>
        </w:rPr>
        <w:t>’</w:t>
      </w:r>
      <w:r w:rsidRPr="006055D3">
        <w:rPr>
          <w:rFonts w:cs="Times New Roman"/>
          <w:lang w:val="fr-CA"/>
        </w:rPr>
        <w:t>avis et avis serait rompu, puisque les titulaires de droits d</w:t>
      </w:r>
      <w:r>
        <w:rPr>
          <w:rFonts w:cs="Times New Roman"/>
          <w:lang w:val="fr-CA"/>
        </w:rPr>
        <w:t>’</w:t>
      </w:r>
      <w:r w:rsidRPr="006055D3">
        <w:rPr>
          <w:rFonts w:cs="Times New Roman"/>
          <w:lang w:val="fr-CA"/>
        </w:rPr>
        <w:t>auteur seraient dépouillés de l</w:t>
      </w:r>
      <w:r>
        <w:rPr>
          <w:rFonts w:cs="Times New Roman"/>
          <w:lang w:val="fr-CA"/>
        </w:rPr>
        <w:t>’</w:t>
      </w:r>
      <w:r w:rsidRPr="006055D3">
        <w:rPr>
          <w:rFonts w:cs="Times New Roman"/>
          <w:lang w:val="fr-CA"/>
        </w:rPr>
        <w:t>avantage que leur confère cet alinéa. Les FSI seraient exonérés de toute responsabilité envers les titulaires de droits d</w:t>
      </w:r>
      <w:r>
        <w:rPr>
          <w:rFonts w:cs="Times New Roman"/>
          <w:lang w:val="fr-CA"/>
        </w:rPr>
        <w:t>’</w:t>
      </w:r>
      <w:r w:rsidRPr="006055D3">
        <w:rPr>
          <w:rFonts w:cs="Times New Roman"/>
          <w:lang w:val="fr-CA"/>
        </w:rPr>
        <w:t>auteur non seulement lorsqu</w:t>
      </w:r>
      <w:r>
        <w:rPr>
          <w:rFonts w:cs="Times New Roman"/>
          <w:lang w:val="fr-CA"/>
        </w:rPr>
        <w:t>’</w:t>
      </w:r>
      <w:r w:rsidRPr="006055D3">
        <w:rPr>
          <w:rFonts w:cs="Times New Roman"/>
          <w:lang w:val="fr-CA"/>
        </w:rPr>
        <w:t>ils respectent leurs obligations légales dans le cadre du régime d</w:t>
      </w:r>
      <w:r>
        <w:rPr>
          <w:rFonts w:cs="Times New Roman"/>
          <w:lang w:val="fr-CA"/>
        </w:rPr>
        <w:t>’</w:t>
      </w:r>
      <w:r w:rsidRPr="006055D3">
        <w:rPr>
          <w:rFonts w:cs="Times New Roman"/>
          <w:lang w:val="fr-CA"/>
        </w:rPr>
        <w:t>avis et avis, mais aussi lorsqu</w:t>
      </w:r>
      <w:r>
        <w:rPr>
          <w:rFonts w:cs="Times New Roman"/>
          <w:lang w:val="fr-CA"/>
        </w:rPr>
        <w:t>’</w:t>
      </w:r>
      <w:r w:rsidRPr="006055D3">
        <w:rPr>
          <w:rFonts w:cs="Times New Roman"/>
          <w:lang w:val="fr-CA"/>
        </w:rPr>
        <w:t>ils omettent, dans les faits, de le faire.</w:t>
      </w:r>
    </w:p>
    <w:p w:rsidR="00E8197E" w:rsidRPr="006055D3" w:rsidRDefault="00E8197E" w:rsidP="00E8197E">
      <w:pPr>
        <w:pStyle w:val="ParaNoNdepar-AltN"/>
        <w:rPr>
          <w:rFonts w:cs="Times New Roman"/>
          <w:lang w:val="fr-CA"/>
        </w:rPr>
      </w:pPr>
      <w:r w:rsidRPr="006055D3">
        <w:rPr>
          <w:rFonts w:cs="Times New Roman"/>
          <w:lang w:val="fr-CA"/>
        </w:rPr>
        <w:t>L</w:t>
      </w:r>
      <w:r>
        <w:rPr>
          <w:rFonts w:cs="Times New Roman"/>
          <w:lang w:val="fr-CA"/>
        </w:rPr>
        <w:t>’</w:t>
      </w:r>
      <w:r w:rsidRPr="006055D3">
        <w:rPr>
          <w:rFonts w:cs="Times New Roman"/>
          <w:lang w:val="fr-CA"/>
        </w:rPr>
        <w:t>objectif dissuasif du régime d</w:t>
      </w:r>
      <w:r>
        <w:rPr>
          <w:rFonts w:cs="Times New Roman"/>
          <w:lang w:val="fr-CA"/>
        </w:rPr>
        <w:t>’</w:t>
      </w:r>
      <w:r w:rsidRPr="006055D3">
        <w:rPr>
          <w:rFonts w:cs="Times New Roman"/>
          <w:lang w:val="fr-CA"/>
        </w:rPr>
        <w:t>avis et avis confirme également l</w:t>
      </w:r>
      <w:r>
        <w:rPr>
          <w:rFonts w:cs="Times New Roman"/>
          <w:lang w:val="fr-CA"/>
        </w:rPr>
        <w:t>’</w:t>
      </w:r>
      <w:r w:rsidRPr="006055D3">
        <w:rPr>
          <w:rFonts w:cs="Times New Roman"/>
          <w:lang w:val="fr-CA"/>
        </w:rPr>
        <w:t>obligation du FSI d</w:t>
      </w:r>
      <w:r>
        <w:rPr>
          <w:rFonts w:cs="Times New Roman"/>
          <w:lang w:val="fr-CA"/>
        </w:rPr>
        <w:t>’</w:t>
      </w:r>
      <w:r w:rsidRPr="006055D3">
        <w:rPr>
          <w:rFonts w:cs="Times New Roman"/>
          <w:lang w:val="fr-CA"/>
        </w:rPr>
        <w:t>établir correctement à qui appartenait l</w:t>
      </w:r>
      <w:r>
        <w:rPr>
          <w:rFonts w:cs="Times New Roman"/>
          <w:lang w:val="fr-CA"/>
        </w:rPr>
        <w:t>’</w:t>
      </w:r>
      <w:r w:rsidRPr="006055D3">
        <w:rPr>
          <w:rFonts w:cs="Times New Roman"/>
          <w:lang w:val="fr-CA"/>
        </w:rPr>
        <w:t>adresse IP en cause au moment de la prétendue violation. Pour dissuader la violation en ligne du droit d</w:t>
      </w:r>
      <w:r>
        <w:rPr>
          <w:rFonts w:cs="Times New Roman"/>
          <w:lang w:val="fr-CA"/>
        </w:rPr>
        <w:t>’</w:t>
      </w:r>
      <w:r w:rsidRPr="006055D3">
        <w:rPr>
          <w:rFonts w:cs="Times New Roman"/>
          <w:lang w:val="fr-CA"/>
        </w:rPr>
        <w:t xml:space="preserve">auteur, il faut aviser </w:t>
      </w:r>
      <w:r w:rsidRPr="006055D3">
        <w:rPr>
          <w:rFonts w:cs="Times New Roman"/>
          <w:i/>
          <w:lang w:val="fr-CA"/>
        </w:rPr>
        <w:t>cette</w:t>
      </w:r>
      <w:r w:rsidRPr="006055D3">
        <w:rPr>
          <w:rFonts w:cs="Times New Roman"/>
          <w:lang w:val="fr-CA"/>
        </w:rPr>
        <w:t xml:space="preserve"> personne, parce que seule </w:t>
      </w:r>
      <w:r w:rsidRPr="006055D3">
        <w:rPr>
          <w:rFonts w:cs="Times New Roman"/>
          <w:i/>
          <w:lang w:val="fr-CA"/>
        </w:rPr>
        <w:t>cette</w:t>
      </w:r>
      <w:r w:rsidRPr="006055D3">
        <w:rPr>
          <w:rFonts w:cs="Times New Roman"/>
          <w:lang w:val="fr-CA"/>
        </w:rPr>
        <w:t xml:space="preserve"> personne est capable de mettre fin à la violation continue en ligne du droit d</w:t>
      </w:r>
      <w:r>
        <w:rPr>
          <w:rFonts w:cs="Times New Roman"/>
          <w:lang w:val="fr-CA"/>
        </w:rPr>
        <w:t>’</w:t>
      </w:r>
      <w:r w:rsidRPr="006055D3">
        <w:rPr>
          <w:rFonts w:cs="Times New Roman"/>
          <w:lang w:val="fr-CA"/>
        </w:rPr>
        <w:t xml:space="preserve">auteur. </w:t>
      </w:r>
    </w:p>
    <w:p w:rsidR="00E8197E" w:rsidRPr="006055D3" w:rsidRDefault="00E8197E" w:rsidP="00E8197E">
      <w:pPr>
        <w:pStyle w:val="ParaNoNdepar-AltN"/>
        <w:rPr>
          <w:rFonts w:cs="Times New Roman"/>
          <w:lang w:val="fr-CA"/>
        </w:rPr>
      </w:pPr>
      <w:r w:rsidRPr="006055D3">
        <w:rPr>
          <w:rFonts w:cs="Times New Roman"/>
          <w:lang w:val="fr-CA"/>
        </w:rPr>
        <w:t>Je reconnais qu</w:t>
      </w:r>
      <w:r>
        <w:rPr>
          <w:rFonts w:cs="Times New Roman"/>
          <w:lang w:val="fr-CA"/>
        </w:rPr>
        <w:t>’</w:t>
      </w:r>
      <w:r w:rsidRPr="006055D3">
        <w:rPr>
          <w:rFonts w:cs="Times New Roman"/>
          <w:lang w:val="fr-CA"/>
        </w:rPr>
        <w:t>il y aura probablement des cas où la personne qui reçoit un avis de prétendue violation du droit d</w:t>
      </w:r>
      <w:r>
        <w:rPr>
          <w:rFonts w:cs="Times New Roman"/>
          <w:lang w:val="fr-CA"/>
        </w:rPr>
        <w:t>’</w:t>
      </w:r>
      <w:r w:rsidRPr="006055D3">
        <w:rPr>
          <w:rFonts w:cs="Times New Roman"/>
          <w:lang w:val="fr-CA"/>
        </w:rPr>
        <w:t>auteur n</w:t>
      </w:r>
      <w:r>
        <w:rPr>
          <w:rFonts w:cs="Times New Roman"/>
          <w:lang w:val="fr-CA"/>
        </w:rPr>
        <w:t>’</w:t>
      </w:r>
      <w:r w:rsidRPr="006055D3">
        <w:rPr>
          <w:rFonts w:cs="Times New Roman"/>
          <w:lang w:val="fr-CA"/>
        </w:rPr>
        <w:t>aura pas, en fait, partagé illégalement en ligne du contenu protégé par droit d</w:t>
      </w:r>
      <w:r>
        <w:rPr>
          <w:rFonts w:cs="Times New Roman"/>
          <w:lang w:val="fr-CA"/>
        </w:rPr>
        <w:t>’</w:t>
      </w:r>
      <w:r w:rsidRPr="006055D3">
        <w:rPr>
          <w:rFonts w:cs="Times New Roman"/>
          <w:lang w:val="fr-CA"/>
        </w:rPr>
        <w:t>auteur. Cela pourrait se produire, par exemple, lorsqu</w:t>
      </w:r>
      <w:r>
        <w:rPr>
          <w:rFonts w:cs="Times New Roman"/>
          <w:lang w:val="fr-CA"/>
        </w:rPr>
        <w:t>’</w:t>
      </w:r>
      <w:r w:rsidRPr="006055D3">
        <w:rPr>
          <w:rFonts w:cs="Times New Roman"/>
          <w:lang w:val="fr-CA"/>
        </w:rPr>
        <w:t>une adresse IP, bien qu</w:t>
      </w:r>
      <w:r>
        <w:rPr>
          <w:rFonts w:cs="Times New Roman"/>
          <w:lang w:val="fr-CA"/>
        </w:rPr>
        <w:t>’</w:t>
      </w:r>
      <w:r w:rsidRPr="006055D3">
        <w:rPr>
          <w:rFonts w:cs="Times New Roman"/>
          <w:lang w:val="fr-CA"/>
        </w:rPr>
        <w:t>elle soit enregistrée au nom de la personne qui reçoit un avis de violation, peut être utilisée par plusieurs personnes à un moment donné. Cependant, même dans de tels cas, l</w:t>
      </w:r>
      <w:r>
        <w:rPr>
          <w:rFonts w:cs="Times New Roman"/>
          <w:lang w:val="fr-CA"/>
        </w:rPr>
        <w:t>’</w:t>
      </w:r>
      <w:r w:rsidRPr="006055D3">
        <w:rPr>
          <w:rFonts w:cs="Times New Roman"/>
          <w:lang w:val="fr-CA"/>
        </w:rPr>
        <w:t>exactitude est cruciale. Lorsque, par exemple, un parent ou un employeur reçoit un avis, il peut savoir ou être en mesure d</w:t>
      </w:r>
      <w:r>
        <w:rPr>
          <w:rFonts w:cs="Times New Roman"/>
          <w:lang w:val="fr-CA"/>
        </w:rPr>
        <w:t>’</w:t>
      </w:r>
      <w:r w:rsidRPr="006055D3">
        <w:rPr>
          <w:rFonts w:cs="Times New Roman"/>
          <w:lang w:val="fr-CA"/>
        </w:rPr>
        <w:t>établir qui utilisait l</w:t>
      </w:r>
      <w:r>
        <w:rPr>
          <w:rFonts w:cs="Times New Roman"/>
          <w:lang w:val="fr-CA"/>
        </w:rPr>
        <w:t>’</w:t>
      </w:r>
      <w:r w:rsidRPr="006055D3">
        <w:rPr>
          <w:rFonts w:cs="Times New Roman"/>
          <w:lang w:val="fr-CA"/>
        </w:rPr>
        <w:t>adresse IP au moment de la prétendue violation et pourrait prendre des mesures pour décourager la violation continue du droit d</w:t>
      </w:r>
      <w:r>
        <w:rPr>
          <w:rFonts w:cs="Times New Roman"/>
          <w:lang w:val="fr-CA"/>
        </w:rPr>
        <w:t>’</w:t>
      </w:r>
      <w:r w:rsidRPr="006055D3">
        <w:rPr>
          <w:rFonts w:cs="Times New Roman"/>
          <w:lang w:val="fr-CA"/>
        </w:rPr>
        <w:t>auteur ou y mettre fin. De même, bien que les institutions ou les entreprises qui offrent un accès Internet au public ne sachent peut</w:t>
      </w:r>
      <w:r w:rsidRPr="006055D3">
        <w:rPr>
          <w:rFonts w:cs="Times New Roman"/>
          <w:lang w:val="fr-CA"/>
        </w:rPr>
        <w:noBreakHyphen/>
        <w:t>être pas précisément qui a utilisé leurs adresses IP pour partager illégalement en ligne des œuvres protégées par le droit d</w:t>
      </w:r>
      <w:r>
        <w:rPr>
          <w:rFonts w:cs="Times New Roman"/>
          <w:lang w:val="fr-CA"/>
        </w:rPr>
        <w:t>’</w:t>
      </w:r>
      <w:r w:rsidRPr="006055D3">
        <w:rPr>
          <w:rFonts w:cs="Times New Roman"/>
          <w:lang w:val="fr-CA"/>
        </w:rPr>
        <w:t xml:space="preserve">auteur, elles peuvent, </w:t>
      </w:r>
      <w:r w:rsidRPr="006055D3">
        <w:rPr>
          <w:rFonts w:cs="Times New Roman"/>
          <w:lang w:val="fr-CA"/>
        </w:rPr>
        <w:lastRenderedPageBreak/>
        <w:t>lorsqu</w:t>
      </w:r>
      <w:r>
        <w:rPr>
          <w:rFonts w:cs="Times New Roman"/>
          <w:lang w:val="fr-CA"/>
        </w:rPr>
        <w:t>’</w:t>
      </w:r>
      <w:r w:rsidRPr="006055D3">
        <w:rPr>
          <w:rFonts w:cs="Times New Roman"/>
          <w:lang w:val="fr-CA"/>
        </w:rPr>
        <w:t>elles reçoivent un avis, prendre des mesures pour que leur compte Internet auprès du FSI soit protégé contre la violation en ligne du droit d</w:t>
      </w:r>
      <w:r>
        <w:rPr>
          <w:rFonts w:cs="Times New Roman"/>
          <w:lang w:val="fr-CA"/>
        </w:rPr>
        <w:t>’</w:t>
      </w:r>
      <w:r w:rsidRPr="006055D3">
        <w:rPr>
          <w:rFonts w:cs="Times New Roman"/>
          <w:lang w:val="fr-CA"/>
        </w:rPr>
        <w:t>auteur à l</w:t>
      </w:r>
      <w:r>
        <w:rPr>
          <w:rFonts w:cs="Times New Roman"/>
          <w:lang w:val="fr-CA"/>
        </w:rPr>
        <w:t>’</w:t>
      </w:r>
      <w:r w:rsidRPr="006055D3">
        <w:rPr>
          <w:rFonts w:cs="Times New Roman"/>
          <w:lang w:val="fr-CA"/>
        </w:rPr>
        <w:t xml:space="preserve">avenir. </w:t>
      </w:r>
    </w:p>
    <w:p w:rsidR="00E8197E" w:rsidRPr="006055D3" w:rsidRDefault="00E8197E" w:rsidP="00E8197E">
      <w:pPr>
        <w:pStyle w:val="ParaNoNdepar-AltN"/>
        <w:rPr>
          <w:rFonts w:cs="Times New Roman"/>
          <w:lang w:val="fr-CA"/>
        </w:rPr>
      </w:pPr>
      <w:r w:rsidRPr="006055D3">
        <w:rPr>
          <w:rFonts w:cs="Times New Roman"/>
          <w:lang w:val="fr-CA"/>
        </w:rPr>
        <w:t>Que comporte donc précisément l</w:t>
      </w:r>
      <w:r>
        <w:rPr>
          <w:rFonts w:cs="Times New Roman"/>
          <w:lang w:val="fr-CA"/>
        </w:rPr>
        <w:t>’</w:t>
      </w:r>
      <w:r w:rsidRPr="006055D3">
        <w:rPr>
          <w:rFonts w:cs="Times New Roman"/>
          <w:lang w:val="fr-CA"/>
        </w:rPr>
        <w:t>obligation implicite qui incombe au FSI d</w:t>
      </w:r>
      <w:r>
        <w:rPr>
          <w:rFonts w:cs="Times New Roman"/>
          <w:lang w:val="fr-CA"/>
        </w:rPr>
        <w:t>’</w:t>
      </w:r>
      <w:r w:rsidRPr="006055D3">
        <w:rPr>
          <w:rFonts w:cs="Times New Roman"/>
          <w:lang w:val="fr-CA"/>
        </w:rPr>
        <w:t>établir correctement qui doit recevoir un avis au titre de l</w:t>
      </w:r>
      <w:r>
        <w:rPr>
          <w:rFonts w:cs="Times New Roman"/>
          <w:lang w:val="fr-CA"/>
        </w:rPr>
        <w:t>’</w:t>
      </w:r>
      <w:r w:rsidRPr="006055D3">
        <w:rPr>
          <w:rFonts w:cs="Times New Roman"/>
          <w:lang w:val="fr-CA"/>
        </w:rPr>
        <w:t>al. 41.26(1)a)? Devant la Cour, Voltage a soutenu que le FSI doit établir le nom et l</w:t>
      </w:r>
      <w:r>
        <w:rPr>
          <w:rFonts w:cs="Times New Roman"/>
          <w:lang w:val="fr-CA"/>
        </w:rPr>
        <w:t>’</w:t>
      </w:r>
      <w:r w:rsidRPr="006055D3">
        <w:rPr>
          <w:rFonts w:cs="Times New Roman"/>
          <w:lang w:val="fr-CA"/>
        </w:rPr>
        <w:t>adresse physique de la personne à qui l</w:t>
      </w:r>
      <w:r>
        <w:rPr>
          <w:rFonts w:cs="Times New Roman"/>
          <w:lang w:val="fr-CA"/>
        </w:rPr>
        <w:t>’</w:t>
      </w:r>
      <w:r w:rsidRPr="006055D3">
        <w:rPr>
          <w:rFonts w:cs="Times New Roman"/>
          <w:lang w:val="fr-CA"/>
        </w:rPr>
        <w:t>avis est transmis afin de satisfaire à ses obligations aux termes de l</w:t>
      </w:r>
      <w:r>
        <w:rPr>
          <w:rFonts w:cs="Times New Roman"/>
          <w:lang w:val="fr-CA"/>
        </w:rPr>
        <w:t>’</w:t>
      </w:r>
      <w:r w:rsidRPr="006055D3">
        <w:rPr>
          <w:rFonts w:cs="Times New Roman"/>
          <w:lang w:val="fr-CA"/>
        </w:rPr>
        <w:t>al. 41.26(1)a). Selon ses explications, cela découle du fait que le régime d</w:t>
      </w:r>
      <w:r>
        <w:rPr>
          <w:rFonts w:cs="Times New Roman"/>
          <w:lang w:val="fr-CA"/>
        </w:rPr>
        <w:t>’</w:t>
      </w:r>
      <w:r w:rsidRPr="006055D3">
        <w:rPr>
          <w:rFonts w:cs="Times New Roman"/>
          <w:lang w:val="fr-CA"/>
        </w:rPr>
        <w:t xml:space="preserve">avis et avis est destiné à fonctionner parallèlement au processus des ordonnances de type </w:t>
      </w:r>
      <w:r w:rsidRPr="006055D3">
        <w:rPr>
          <w:rFonts w:cs="Times New Roman"/>
          <w:i/>
          <w:lang w:val="fr-CA"/>
        </w:rPr>
        <w:t>Norwich</w:t>
      </w:r>
      <w:r w:rsidRPr="006055D3">
        <w:rPr>
          <w:rFonts w:cs="Times New Roman"/>
          <w:lang w:val="fr-CA"/>
        </w:rPr>
        <w:t>. En outre, étant donné qu</w:t>
      </w:r>
      <w:r>
        <w:rPr>
          <w:rFonts w:cs="Times New Roman"/>
          <w:lang w:val="fr-CA"/>
        </w:rPr>
        <w:t>’</w:t>
      </w:r>
      <w:r w:rsidRPr="006055D3">
        <w:rPr>
          <w:rFonts w:cs="Times New Roman"/>
          <w:lang w:val="fr-CA"/>
        </w:rPr>
        <w:t>une ordonnance de ce type, si elle est obtenue, oblige le FSI à communiquer le nom et l</w:t>
      </w:r>
      <w:r>
        <w:rPr>
          <w:rFonts w:cs="Times New Roman"/>
          <w:lang w:val="fr-CA"/>
        </w:rPr>
        <w:t>’</w:t>
      </w:r>
      <w:r w:rsidRPr="006055D3">
        <w:rPr>
          <w:rFonts w:cs="Times New Roman"/>
          <w:lang w:val="fr-CA"/>
        </w:rPr>
        <w:t>adresse physique de la personne à qui a été envoyé l</w:t>
      </w:r>
      <w:r>
        <w:rPr>
          <w:rFonts w:cs="Times New Roman"/>
          <w:lang w:val="fr-CA"/>
        </w:rPr>
        <w:t>’</w:t>
      </w:r>
      <w:r w:rsidRPr="006055D3">
        <w:rPr>
          <w:rFonts w:cs="Times New Roman"/>
          <w:lang w:val="fr-CA"/>
        </w:rPr>
        <w:t>avis dans le cadre du régime, Voltage affirme qu</w:t>
      </w:r>
      <w:r>
        <w:rPr>
          <w:rFonts w:cs="Times New Roman"/>
          <w:lang w:val="fr-CA"/>
        </w:rPr>
        <w:t>’</w:t>
      </w:r>
      <w:r w:rsidRPr="006055D3">
        <w:rPr>
          <w:rFonts w:cs="Times New Roman"/>
          <w:lang w:val="fr-CA"/>
        </w:rPr>
        <w:t>il est simplement logique que ces détails soient d</w:t>
      </w:r>
      <w:r>
        <w:rPr>
          <w:rFonts w:cs="Times New Roman"/>
          <w:lang w:val="fr-CA"/>
        </w:rPr>
        <w:t>’</w:t>
      </w:r>
      <w:r w:rsidRPr="006055D3">
        <w:rPr>
          <w:rFonts w:cs="Times New Roman"/>
          <w:lang w:val="fr-CA"/>
        </w:rPr>
        <w:t>abord établis au moment de la transmission de l</w:t>
      </w:r>
      <w:r>
        <w:rPr>
          <w:rFonts w:cs="Times New Roman"/>
          <w:lang w:val="fr-CA"/>
        </w:rPr>
        <w:t>’</w:t>
      </w:r>
      <w:r w:rsidRPr="006055D3">
        <w:rPr>
          <w:rFonts w:cs="Times New Roman"/>
          <w:lang w:val="fr-CA"/>
        </w:rPr>
        <w:t xml:space="preserve">avis. </w:t>
      </w:r>
    </w:p>
    <w:p w:rsidR="00E8197E" w:rsidRPr="006055D3" w:rsidRDefault="00E8197E" w:rsidP="00E8197E">
      <w:pPr>
        <w:pStyle w:val="ParaNoNdepar-AltN"/>
        <w:rPr>
          <w:rFonts w:cs="Times New Roman"/>
          <w:lang w:val="fr-CA"/>
        </w:rPr>
      </w:pPr>
      <w:r w:rsidRPr="006055D3">
        <w:rPr>
          <w:rFonts w:cs="Times New Roman"/>
          <w:lang w:val="fr-CA"/>
        </w:rPr>
        <w:t>Soit dit en tout respect, je ne peux souscrire à cette argumentation. L</w:t>
      </w:r>
      <w:r>
        <w:rPr>
          <w:rFonts w:cs="Times New Roman"/>
          <w:lang w:val="fr-CA"/>
        </w:rPr>
        <w:t>’</w:t>
      </w:r>
      <w:r w:rsidRPr="006055D3">
        <w:rPr>
          <w:rFonts w:cs="Times New Roman"/>
          <w:lang w:val="fr-CA"/>
        </w:rPr>
        <w:t>alinéa 41.26(1)a) exige que le FSI établisse à qui appartient l</w:t>
      </w:r>
      <w:r>
        <w:rPr>
          <w:rFonts w:cs="Times New Roman"/>
          <w:lang w:val="fr-CA"/>
        </w:rPr>
        <w:t>’</w:t>
      </w:r>
      <w:r w:rsidRPr="006055D3">
        <w:rPr>
          <w:rFonts w:cs="Times New Roman"/>
          <w:lang w:val="fr-CA"/>
        </w:rPr>
        <w:t xml:space="preserve">adresse IP </w:t>
      </w:r>
      <w:r w:rsidRPr="006055D3">
        <w:rPr>
          <w:rFonts w:cs="Times New Roman"/>
          <w:i/>
          <w:lang w:val="fr-CA"/>
        </w:rPr>
        <w:t>uniquement</w:t>
      </w:r>
      <w:r w:rsidRPr="006055D3">
        <w:rPr>
          <w:rFonts w:cs="Times New Roman"/>
          <w:lang w:val="fr-CA"/>
        </w:rPr>
        <w:t xml:space="preserve"> afin de lui « transmettre [. . .] par voie électronique une copie de l</w:t>
      </w:r>
      <w:r>
        <w:rPr>
          <w:rFonts w:cs="Times New Roman"/>
          <w:lang w:val="fr-CA"/>
        </w:rPr>
        <w:t>’</w:t>
      </w:r>
      <w:r w:rsidRPr="006055D3">
        <w:rPr>
          <w:rFonts w:cs="Times New Roman"/>
          <w:lang w:val="fr-CA"/>
        </w:rPr>
        <w:t>avis ». L</w:t>
      </w:r>
      <w:r>
        <w:rPr>
          <w:rFonts w:cs="Times New Roman"/>
          <w:lang w:val="fr-CA"/>
        </w:rPr>
        <w:t>’</w:t>
      </w:r>
      <w:r w:rsidRPr="006055D3">
        <w:rPr>
          <w:rFonts w:cs="Times New Roman"/>
          <w:lang w:val="fr-CA"/>
        </w:rPr>
        <w:t>exigence de livraison électronique (par opposition à la livraison en mains propres) peut être satisfaite de diverses façons qui n</w:t>
      </w:r>
      <w:r>
        <w:rPr>
          <w:rFonts w:cs="Times New Roman"/>
          <w:lang w:val="fr-CA"/>
        </w:rPr>
        <w:t>’</w:t>
      </w:r>
      <w:r w:rsidRPr="006055D3">
        <w:rPr>
          <w:rFonts w:cs="Times New Roman"/>
          <w:lang w:val="fr-CA"/>
        </w:rPr>
        <w:t>obligent pas le FSI à connaître le nom et l</w:t>
      </w:r>
      <w:r>
        <w:rPr>
          <w:rFonts w:cs="Times New Roman"/>
          <w:lang w:val="fr-CA"/>
        </w:rPr>
        <w:t>’</w:t>
      </w:r>
      <w:r w:rsidRPr="006055D3">
        <w:rPr>
          <w:rFonts w:cs="Times New Roman"/>
          <w:lang w:val="fr-CA"/>
        </w:rPr>
        <w:t>adresse physique de la personne visée. Dans la présente affaire, par exemple, Rogers affirme qu</w:t>
      </w:r>
      <w:r>
        <w:rPr>
          <w:rFonts w:cs="Times New Roman"/>
          <w:lang w:val="fr-CA"/>
        </w:rPr>
        <w:t>’</w:t>
      </w:r>
      <w:r w:rsidRPr="006055D3">
        <w:rPr>
          <w:rFonts w:cs="Times New Roman"/>
          <w:lang w:val="fr-CA"/>
        </w:rPr>
        <w:t>elle transmet l</w:t>
      </w:r>
      <w:r>
        <w:rPr>
          <w:rFonts w:cs="Times New Roman"/>
          <w:lang w:val="fr-CA"/>
        </w:rPr>
        <w:t>’</w:t>
      </w:r>
      <w:r w:rsidRPr="006055D3">
        <w:rPr>
          <w:rFonts w:cs="Times New Roman"/>
          <w:lang w:val="fr-CA"/>
        </w:rPr>
        <w:t>avis par voie électronique au moyen d</w:t>
      </w:r>
      <w:r>
        <w:rPr>
          <w:rFonts w:cs="Times New Roman"/>
          <w:lang w:val="fr-CA"/>
        </w:rPr>
        <w:t>’</w:t>
      </w:r>
      <w:r w:rsidRPr="006055D3">
        <w:rPr>
          <w:rFonts w:cs="Times New Roman"/>
          <w:lang w:val="fr-CA"/>
        </w:rPr>
        <w:t>un courriel. L</w:t>
      </w:r>
      <w:r>
        <w:rPr>
          <w:rFonts w:cs="Times New Roman"/>
          <w:lang w:val="fr-CA"/>
        </w:rPr>
        <w:t>’</w:t>
      </w:r>
      <w:r w:rsidRPr="006055D3">
        <w:rPr>
          <w:rFonts w:cs="Times New Roman"/>
          <w:lang w:val="fr-CA"/>
        </w:rPr>
        <w:t>alinéa 41.26(1)a) exige donc que le FSI (1) établisse à qui appartient l</w:t>
      </w:r>
      <w:r>
        <w:rPr>
          <w:rFonts w:cs="Times New Roman"/>
          <w:lang w:val="fr-CA"/>
        </w:rPr>
        <w:t>’</w:t>
      </w:r>
      <w:r w:rsidRPr="006055D3">
        <w:rPr>
          <w:rFonts w:cs="Times New Roman"/>
          <w:lang w:val="fr-CA"/>
        </w:rPr>
        <w:t>adresse IP précisée dans l</w:t>
      </w:r>
      <w:r>
        <w:rPr>
          <w:rFonts w:cs="Times New Roman"/>
          <w:lang w:val="fr-CA"/>
        </w:rPr>
        <w:t>’</w:t>
      </w:r>
      <w:r w:rsidRPr="006055D3">
        <w:rPr>
          <w:rFonts w:cs="Times New Roman"/>
          <w:lang w:val="fr-CA"/>
        </w:rPr>
        <w:t>avis, afin d</w:t>
      </w:r>
      <w:r>
        <w:rPr>
          <w:rFonts w:cs="Times New Roman"/>
          <w:lang w:val="fr-CA"/>
        </w:rPr>
        <w:t>’</w:t>
      </w:r>
      <w:r w:rsidRPr="006055D3">
        <w:rPr>
          <w:rFonts w:cs="Times New Roman"/>
          <w:lang w:val="fr-CA"/>
        </w:rPr>
        <w:t>en permettre la transmission par voie électronique à cette personne, et (2) vérifie l</w:t>
      </w:r>
      <w:r>
        <w:rPr>
          <w:rFonts w:cs="Times New Roman"/>
          <w:lang w:val="fr-CA"/>
        </w:rPr>
        <w:t>’</w:t>
      </w:r>
      <w:r w:rsidRPr="006055D3">
        <w:rPr>
          <w:rFonts w:cs="Times New Roman"/>
          <w:lang w:val="fr-CA"/>
        </w:rPr>
        <w:t>exactitude de l</w:t>
      </w:r>
      <w:r>
        <w:rPr>
          <w:rFonts w:cs="Times New Roman"/>
          <w:lang w:val="fr-CA"/>
        </w:rPr>
        <w:t>’</w:t>
      </w:r>
      <w:r w:rsidRPr="006055D3">
        <w:rPr>
          <w:rFonts w:cs="Times New Roman"/>
          <w:lang w:val="fr-CA"/>
        </w:rPr>
        <w:t>identité de cette personne, afin de faire en sorte que la personne qui reçoit l</w:t>
      </w:r>
      <w:r>
        <w:rPr>
          <w:rFonts w:cs="Times New Roman"/>
          <w:lang w:val="fr-CA"/>
        </w:rPr>
        <w:t>’</w:t>
      </w:r>
      <w:r w:rsidRPr="006055D3">
        <w:rPr>
          <w:rFonts w:cs="Times New Roman"/>
          <w:lang w:val="fr-CA"/>
        </w:rPr>
        <w:t>avis est, en fait, la personne à qui appartient l</w:t>
      </w:r>
      <w:r>
        <w:rPr>
          <w:rFonts w:cs="Times New Roman"/>
          <w:lang w:val="fr-CA"/>
        </w:rPr>
        <w:t>’</w:t>
      </w:r>
      <w:r w:rsidRPr="006055D3">
        <w:rPr>
          <w:rFonts w:cs="Times New Roman"/>
          <w:lang w:val="fr-CA"/>
        </w:rPr>
        <w:t xml:space="preserve">adresse IP </w:t>
      </w:r>
      <w:r w:rsidRPr="006055D3">
        <w:rPr>
          <w:rFonts w:cs="Times New Roman"/>
          <w:lang w:val="fr-CA"/>
        </w:rPr>
        <w:lastRenderedPageBreak/>
        <w:t>précisée dans l</w:t>
      </w:r>
      <w:r>
        <w:rPr>
          <w:rFonts w:cs="Times New Roman"/>
          <w:lang w:val="fr-CA"/>
        </w:rPr>
        <w:t>’</w:t>
      </w:r>
      <w:r w:rsidRPr="006055D3">
        <w:rPr>
          <w:rFonts w:cs="Times New Roman"/>
          <w:lang w:val="fr-CA"/>
        </w:rPr>
        <w:t>avis. Encore une fois, pour être clair, l</w:t>
      </w:r>
      <w:r>
        <w:rPr>
          <w:rFonts w:cs="Times New Roman"/>
          <w:lang w:val="fr-CA"/>
        </w:rPr>
        <w:t>’</w:t>
      </w:r>
      <w:r w:rsidRPr="006055D3">
        <w:rPr>
          <w:rFonts w:cs="Times New Roman"/>
          <w:lang w:val="fr-CA"/>
        </w:rPr>
        <w:t>al. 41.26(1)a) n</w:t>
      </w:r>
      <w:r>
        <w:rPr>
          <w:rFonts w:cs="Times New Roman"/>
          <w:lang w:val="fr-CA"/>
        </w:rPr>
        <w:t>’</w:t>
      </w:r>
      <w:r w:rsidRPr="006055D3">
        <w:rPr>
          <w:rFonts w:cs="Times New Roman"/>
          <w:lang w:val="fr-CA"/>
        </w:rPr>
        <w:t>exige pas que le FSI identifie cette personne par son nom ou son adresse physique, mais simplement qu</w:t>
      </w:r>
      <w:r>
        <w:rPr>
          <w:rFonts w:cs="Times New Roman"/>
          <w:lang w:val="fr-CA"/>
        </w:rPr>
        <w:t>’</w:t>
      </w:r>
      <w:r w:rsidRPr="006055D3">
        <w:rPr>
          <w:rFonts w:cs="Times New Roman"/>
          <w:lang w:val="fr-CA"/>
        </w:rPr>
        <w:t>il établisse que cette personne est propriétaire de l</w:t>
      </w:r>
      <w:r>
        <w:rPr>
          <w:rFonts w:cs="Times New Roman"/>
          <w:lang w:val="fr-CA"/>
        </w:rPr>
        <w:t>’</w:t>
      </w:r>
      <w:r w:rsidRPr="006055D3">
        <w:rPr>
          <w:rFonts w:cs="Times New Roman"/>
          <w:lang w:val="fr-CA"/>
        </w:rPr>
        <w:t>adresse IP en cause.</w:t>
      </w:r>
    </w:p>
    <w:p w:rsidR="00E8197E" w:rsidRPr="006055D3" w:rsidRDefault="00E8197E" w:rsidP="00E8197E">
      <w:pPr>
        <w:pStyle w:val="ParaNoNdepar-AltN"/>
        <w:rPr>
          <w:rFonts w:cs="Times New Roman"/>
          <w:lang w:val="fr-CA"/>
        </w:rPr>
      </w:pPr>
      <w:r w:rsidRPr="006055D3">
        <w:rPr>
          <w:rFonts w:cs="Times New Roman"/>
          <w:lang w:val="fr-CA"/>
        </w:rPr>
        <w:t>Je fais remarquer que les mesures que doit prendre le FSI pour vérifier l</w:t>
      </w:r>
      <w:r>
        <w:rPr>
          <w:rFonts w:cs="Times New Roman"/>
          <w:lang w:val="fr-CA"/>
        </w:rPr>
        <w:t>’</w:t>
      </w:r>
      <w:r w:rsidRPr="006055D3">
        <w:rPr>
          <w:rFonts w:cs="Times New Roman"/>
          <w:lang w:val="fr-CA"/>
        </w:rPr>
        <w:t>exactitude — c</w:t>
      </w:r>
      <w:r>
        <w:rPr>
          <w:rFonts w:cs="Times New Roman"/>
          <w:lang w:val="fr-CA"/>
        </w:rPr>
        <w:t>’</w:t>
      </w:r>
      <w:r w:rsidRPr="006055D3">
        <w:rPr>
          <w:rFonts w:cs="Times New Roman"/>
          <w:lang w:val="fr-CA"/>
        </w:rPr>
        <w:t>est</w:t>
      </w:r>
      <w:r w:rsidRPr="006055D3">
        <w:rPr>
          <w:rFonts w:cs="Times New Roman"/>
          <w:lang w:val="fr-CA"/>
        </w:rPr>
        <w:noBreakHyphen/>
        <w:t>à</w:t>
      </w:r>
      <w:r w:rsidRPr="006055D3">
        <w:rPr>
          <w:rFonts w:cs="Times New Roman"/>
          <w:lang w:val="fr-CA"/>
        </w:rPr>
        <w:noBreakHyphen/>
        <w:t>dire pour vérifier qu</w:t>
      </w:r>
      <w:r>
        <w:rPr>
          <w:rFonts w:cs="Times New Roman"/>
          <w:lang w:val="fr-CA"/>
        </w:rPr>
        <w:t>’</w:t>
      </w:r>
      <w:r w:rsidRPr="006055D3">
        <w:rPr>
          <w:rFonts w:cs="Times New Roman"/>
          <w:lang w:val="fr-CA"/>
        </w:rPr>
        <w:t>il a transmis l</w:t>
      </w:r>
      <w:r>
        <w:rPr>
          <w:rFonts w:cs="Times New Roman"/>
          <w:lang w:val="fr-CA"/>
        </w:rPr>
        <w:t>’</w:t>
      </w:r>
      <w:r w:rsidRPr="006055D3">
        <w:rPr>
          <w:rFonts w:cs="Times New Roman"/>
          <w:lang w:val="fr-CA"/>
        </w:rPr>
        <w:t>avis à la bonne personne — peuvent dépendre de la méthode avec laquelle il transmet l</w:t>
      </w:r>
      <w:r>
        <w:rPr>
          <w:rFonts w:cs="Times New Roman"/>
          <w:lang w:val="fr-CA"/>
        </w:rPr>
        <w:t>’</w:t>
      </w:r>
      <w:r w:rsidRPr="006055D3">
        <w:rPr>
          <w:rFonts w:cs="Times New Roman"/>
          <w:lang w:val="fr-CA"/>
        </w:rPr>
        <w:t>avis par voie électronique au titre de l</w:t>
      </w:r>
      <w:r>
        <w:rPr>
          <w:rFonts w:cs="Times New Roman"/>
          <w:lang w:val="fr-CA"/>
        </w:rPr>
        <w:t>’</w:t>
      </w:r>
      <w:r w:rsidRPr="006055D3">
        <w:rPr>
          <w:rFonts w:cs="Times New Roman"/>
          <w:lang w:val="fr-CA"/>
        </w:rPr>
        <w:t>al. 41.26(1)a). Dans la présente affaire, par exemple, Rogers affirme que l</w:t>
      </w:r>
      <w:r>
        <w:rPr>
          <w:rFonts w:cs="Times New Roman"/>
          <w:lang w:val="fr-CA"/>
        </w:rPr>
        <w:t>’</w:t>
      </w:r>
      <w:r w:rsidRPr="006055D3">
        <w:rPr>
          <w:rFonts w:cs="Times New Roman"/>
          <w:lang w:val="fr-CA"/>
        </w:rPr>
        <w:t>un des systèmes qu</w:t>
      </w:r>
      <w:r>
        <w:rPr>
          <w:rFonts w:cs="Times New Roman"/>
          <w:lang w:val="fr-CA"/>
        </w:rPr>
        <w:t>’</w:t>
      </w:r>
      <w:r w:rsidRPr="006055D3">
        <w:rPr>
          <w:rFonts w:cs="Times New Roman"/>
          <w:lang w:val="fr-CA"/>
        </w:rPr>
        <w:t>elle utilise pour transmettre un avis par courriel met automatiquement en corrélation l</w:t>
      </w:r>
      <w:r>
        <w:rPr>
          <w:rFonts w:cs="Times New Roman"/>
          <w:lang w:val="fr-CA"/>
        </w:rPr>
        <w:t>’</w:t>
      </w:r>
      <w:r w:rsidRPr="006055D3">
        <w:rPr>
          <w:rFonts w:cs="Times New Roman"/>
          <w:lang w:val="fr-CA"/>
        </w:rPr>
        <w:t>adresse IP en cause se trouvant dans l</w:t>
      </w:r>
      <w:r>
        <w:rPr>
          <w:rFonts w:cs="Times New Roman"/>
          <w:lang w:val="fr-CA"/>
        </w:rPr>
        <w:t>’</w:t>
      </w:r>
      <w:r w:rsidRPr="006055D3">
        <w:rPr>
          <w:rFonts w:cs="Times New Roman"/>
          <w:lang w:val="fr-CA"/>
        </w:rPr>
        <w:t>avis du titulaire du droit d</w:t>
      </w:r>
      <w:r>
        <w:rPr>
          <w:rFonts w:cs="Times New Roman"/>
          <w:lang w:val="fr-CA"/>
        </w:rPr>
        <w:t>’</w:t>
      </w:r>
      <w:r w:rsidRPr="006055D3">
        <w:rPr>
          <w:rFonts w:cs="Times New Roman"/>
          <w:lang w:val="fr-CA"/>
        </w:rPr>
        <w:t>auteur avec l</w:t>
      </w:r>
      <w:r>
        <w:rPr>
          <w:rFonts w:cs="Times New Roman"/>
          <w:lang w:val="fr-CA"/>
        </w:rPr>
        <w:t>’</w:t>
      </w:r>
      <w:r w:rsidRPr="006055D3">
        <w:rPr>
          <w:rFonts w:cs="Times New Roman"/>
          <w:lang w:val="fr-CA"/>
        </w:rPr>
        <w:t>adresse courriel appartenant à la personne à qui appartenait cette adresse IP au moment de la prétendue violation. Ce système transmet ensuite l</w:t>
      </w:r>
      <w:r>
        <w:rPr>
          <w:rFonts w:cs="Times New Roman"/>
          <w:lang w:val="fr-CA"/>
        </w:rPr>
        <w:t>’</w:t>
      </w:r>
      <w:r w:rsidRPr="006055D3">
        <w:rPr>
          <w:rFonts w:cs="Times New Roman"/>
          <w:lang w:val="fr-CA"/>
        </w:rPr>
        <w:t>avis du titulaire du droit d</w:t>
      </w:r>
      <w:r>
        <w:rPr>
          <w:rFonts w:cs="Times New Roman"/>
          <w:lang w:val="fr-CA"/>
        </w:rPr>
        <w:t>’</w:t>
      </w:r>
      <w:r w:rsidRPr="006055D3">
        <w:rPr>
          <w:rFonts w:cs="Times New Roman"/>
          <w:lang w:val="fr-CA"/>
        </w:rPr>
        <w:t>auteur par courriel à cette personne et confirme au titulaire du droit d</w:t>
      </w:r>
      <w:r>
        <w:rPr>
          <w:rFonts w:cs="Times New Roman"/>
          <w:lang w:val="fr-CA"/>
        </w:rPr>
        <w:t>’</w:t>
      </w:r>
      <w:r w:rsidRPr="006055D3">
        <w:rPr>
          <w:rFonts w:cs="Times New Roman"/>
          <w:lang w:val="fr-CA"/>
        </w:rPr>
        <w:t>auteur que l</w:t>
      </w:r>
      <w:r>
        <w:rPr>
          <w:rFonts w:cs="Times New Roman"/>
          <w:lang w:val="fr-CA"/>
        </w:rPr>
        <w:t>’</w:t>
      </w:r>
      <w:r w:rsidRPr="006055D3">
        <w:rPr>
          <w:rFonts w:cs="Times New Roman"/>
          <w:lang w:val="fr-CA"/>
        </w:rPr>
        <w:t>avis a été transmis. Selon Rogers, rien n</w:t>
      </w:r>
      <w:r>
        <w:rPr>
          <w:rFonts w:cs="Times New Roman"/>
          <w:lang w:val="fr-CA"/>
        </w:rPr>
        <w:t>’</w:t>
      </w:r>
      <w:r w:rsidRPr="006055D3">
        <w:rPr>
          <w:rFonts w:cs="Times New Roman"/>
          <w:lang w:val="fr-CA"/>
        </w:rPr>
        <w:t>indique que son système automatisé est imprécis. Toutefois, le système automatisé de Rogers n</w:t>
      </w:r>
      <w:r>
        <w:rPr>
          <w:rFonts w:cs="Times New Roman"/>
          <w:lang w:val="fr-CA"/>
        </w:rPr>
        <w:t>’</w:t>
      </w:r>
      <w:r w:rsidRPr="006055D3">
        <w:rPr>
          <w:rFonts w:cs="Times New Roman"/>
          <w:lang w:val="fr-CA"/>
        </w:rPr>
        <w:t>est pas utilisé dans toutes les circonstances. Dans certains cas (y compris, semble</w:t>
      </w:r>
      <w:r w:rsidRPr="006055D3">
        <w:rPr>
          <w:rFonts w:cs="Times New Roman"/>
          <w:lang w:val="fr-CA"/>
        </w:rPr>
        <w:noBreakHyphen/>
        <w:t>t</w:t>
      </w:r>
      <w:r w:rsidRPr="006055D3">
        <w:rPr>
          <w:rFonts w:cs="Times New Roman"/>
          <w:lang w:val="fr-CA"/>
        </w:rPr>
        <w:noBreakHyphen/>
        <w:t>il, l</w:t>
      </w:r>
      <w:r>
        <w:rPr>
          <w:rFonts w:cs="Times New Roman"/>
          <w:lang w:val="fr-CA"/>
        </w:rPr>
        <w:t>’</w:t>
      </w:r>
      <w:r w:rsidRPr="006055D3">
        <w:rPr>
          <w:rFonts w:cs="Times New Roman"/>
          <w:lang w:val="fr-CA"/>
        </w:rPr>
        <w:t>affaire dont nous sommes saisis), un employé de Rogers doit, à la réception de l</w:t>
      </w:r>
      <w:r>
        <w:rPr>
          <w:rFonts w:cs="Times New Roman"/>
          <w:lang w:val="fr-CA"/>
        </w:rPr>
        <w:t>’</w:t>
      </w:r>
      <w:r w:rsidRPr="006055D3">
        <w:rPr>
          <w:rFonts w:cs="Times New Roman"/>
          <w:lang w:val="fr-CA"/>
        </w:rPr>
        <w:t>avis d</w:t>
      </w:r>
      <w:r>
        <w:rPr>
          <w:rFonts w:cs="Times New Roman"/>
          <w:lang w:val="fr-CA"/>
        </w:rPr>
        <w:t>’</w:t>
      </w:r>
      <w:r w:rsidRPr="006055D3">
        <w:rPr>
          <w:rFonts w:cs="Times New Roman"/>
          <w:lang w:val="fr-CA"/>
        </w:rPr>
        <w:t>un titulaire de droit d</w:t>
      </w:r>
      <w:r>
        <w:rPr>
          <w:rFonts w:cs="Times New Roman"/>
          <w:lang w:val="fr-CA"/>
        </w:rPr>
        <w:t>’</w:t>
      </w:r>
      <w:r w:rsidRPr="006055D3">
        <w:rPr>
          <w:rFonts w:cs="Times New Roman"/>
          <w:lang w:val="fr-CA"/>
        </w:rPr>
        <w:t>auteur, vérifier manuellement l</w:t>
      </w:r>
      <w:r>
        <w:rPr>
          <w:rFonts w:cs="Times New Roman"/>
          <w:lang w:val="fr-CA"/>
        </w:rPr>
        <w:t>’</w:t>
      </w:r>
      <w:r w:rsidRPr="006055D3">
        <w:rPr>
          <w:rFonts w:cs="Times New Roman"/>
          <w:lang w:val="fr-CA"/>
        </w:rPr>
        <w:t>adresse courriel appartenant au propriétaire de l</w:t>
      </w:r>
      <w:r>
        <w:rPr>
          <w:rFonts w:cs="Times New Roman"/>
          <w:lang w:val="fr-CA"/>
        </w:rPr>
        <w:t>’</w:t>
      </w:r>
      <w:r w:rsidRPr="006055D3">
        <w:rPr>
          <w:rFonts w:cs="Times New Roman"/>
          <w:lang w:val="fr-CA"/>
        </w:rPr>
        <w:t>adresse IP en cause. Compte tenu des différences entre ces deux systèmes, Rogers peut être tenue d</w:t>
      </w:r>
      <w:r>
        <w:rPr>
          <w:rFonts w:cs="Times New Roman"/>
          <w:lang w:val="fr-CA"/>
        </w:rPr>
        <w:t>’</w:t>
      </w:r>
      <w:r w:rsidRPr="006055D3">
        <w:rPr>
          <w:rFonts w:cs="Times New Roman"/>
          <w:lang w:val="fr-CA"/>
        </w:rPr>
        <w:t>entreprendre diverses étapes de vérification lorsqu</w:t>
      </w:r>
      <w:r>
        <w:rPr>
          <w:rFonts w:cs="Times New Roman"/>
          <w:lang w:val="fr-CA"/>
        </w:rPr>
        <w:t>’</w:t>
      </w:r>
      <w:r w:rsidRPr="006055D3">
        <w:rPr>
          <w:rFonts w:cs="Times New Roman"/>
          <w:lang w:val="fr-CA"/>
        </w:rPr>
        <w:t>elle doit utiliser son processus manuel, plutôt que son processus automatisé.</w:t>
      </w:r>
    </w:p>
    <w:p w:rsidR="00E8197E" w:rsidRPr="006055D3" w:rsidRDefault="00E8197E" w:rsidP="00E8197E">
      <w:pPr>
        <w:pStyle w:val="ParaNoNdepar-AltN"/>
        <w:rPr>
          <w:rFonts w:cs="Times New Roman"/>
          <w:lang w:val="fr-CA"/>
        </w:rPr>
      </w:pPr>
      <w:r w:rsidRPr="006055D3">
        <w:rPr>
          <w:rFonts w:cs="Times New Roman"/>
          <w:lang w:val="fr-CA"/>
        </w:rPr>
        <w:t>Pour en revenir à ma conclusion selon laquelle le FSI n</w:t>
      </w:r>
      <w:r>
        <w:rPr>
          <w:rFonts w:cs="Times New Roman"/>
          <w:lang w:val="fr-CA"/>
        </w:rPr>
        <w:t>’</w:t>
      </w:r>
      <w:r w:rsidRPr="006055D3">
        <w:rPr>
          <w:rFonts w:cs="Times New Roman"/>
          <w:lang w:val="fr-CA"/>
        </w:rPr>
        <w:t>est pas tenu d</w:t>
      </w:r>
      <w:r>
        <w:rPr>
          <w:rFonts w:cs="Times New Roman"/>
          <w:lang w:val="fr-CA"/>
        </w:rPr>
        <w:t>’</w:t>
      </w:r>
      <w:r w:rsidRPr="006055D3">
        <w:rPr>
          <w:rFonts w:cs="Times New Roman"/>
          <w:lang w:val="fr-CA"/>
        </w:rPr>
        <w:t>établir le nom et l</w:t>
      </w:r>
      <w:r>
        <w:rPr>
          <w:rFonts w:cs="Times New Roman"/>
          <w:lang w:val="fr-CA"/>
        </w:rPr>
        <w:t>’</w:t>
      </w:r>
      <w:r w:rsidRPr="006055D3">
        <w:rPr>
          <w:rFonts w:cs="Times New Roman"/>
          <w:lang w:val="fr-CA"/>
        </w:rPr>
        <w:t>adresse de la personne qui reçoit un avis au titre de l</w:t>
      </w:r>
      <w:r>
        <w:rPr>
          <w:rFonts w:cs="Times New Roman"/>
          <w:lang w:val="fr-CA"/>
        </w:rPr>
        <w:t>’</w:t>
      </w:r>
      <w:r w:rsidRPr="006055D3">
        <w:rPr>
          <w:rFonts w:cs="Times New Roman"/>
          <w:lang w:val="fr-CA"/>
        </w:rPr>
        <w:t>al. 41.26(1)a), cette conception des obligations du FSI est renforcée par l</w:t>
      </w:r>
      <w:r>
        <w:rPr>
          <w:rFonts w:cs="Times New Roman"/>
          <w:lang w:val="fr-CA"/>
        </w:rPr>
        <w:t>’</w:t>
      </w:r>
      <w:r w:rsidRPr="006055D3">
        <w:rPr>
          <w:rFonts w:cs="Times New Roman"/>
          <w:lang w:val="fr-CA"/>
        </w:rPr>
        <w:t>économie du régime d</w:t>
      </w:r>
      <w:r>
        <w:rPr>
          <w:rFonts w:cs="Times New Roman"/>
          <w:lang w:val="fr-CA"/>
        </w:rPr>
        <w:t>’</w:t>
      </w:r>
      <w:r w:rsidRPr="006055D3">
        <w:rPr>
          <w:rFonts w:cs="Times New Roman"/>
          <w:lang w:val="fr-CA"/>
        </w:rPr>
        <w:t xml:space="preserve">avis </w:t>
      </w:r>
      <w:r w:rsidRPr="006055D3">
        <w:rPr>
          <w:rFonts w:cs="Times New Roman"/>
          <w:lang w:val="fr-CA"/>
        </w:rPr>
        <w:lastRenderedPageBreak/>
        <w:t>et avis. En lisant l</w:t>
      </w:r>
      <w:r>
        <w:rPr>
          <w:rFonts w:cs="Times New Roman"/>
          <w:lang w:val="fr-CA"/>
        </w:rPr>
        <w:t>’</w:t>
      </w:r>
      <w:r w:rsidRPr="006055D3">
        <w:rPr>
          <w:rFonts w:cs="Times New Roman"/>
          <w:lang w:val="fr-CA"/>
        </w:rPr>
        <w:t>al. 41.26(1)a) conjointement avec l</w:t>
      </w:r>
      <w:r>
        <w:rPr>
          <w:rFonts w:cs="Times New Roman"/>
          <w:lang w:val="fr-CA"/>
        </w:rPr>
        <w:t>’</w:t>
      </w:r>
      <w:r w:rsidRPr="006055D3">
        <w:rPr>
          <w:rFonts w:cs="Times New Roman"/>
          <w:lang w:val="fr-CA"/>
        </w:rPr>
        <w:t>al. 41.26(1)b), qui exige qu</w:t>
      </w:r>
      <w:r>
        <w:rPr>
          <w:rFonts w:cs="Times New Roman"/>
          <w:lang w:val="fr-CA"/>
        </w:rPr>
        <w:t>’</w:t>
      </w:r>
      <w:r w:rsidRPr="006055D3">
        <w:rPr>
          <w:rFonts w:cs="Times New Roman"/>
          <w:lang w:val="fr-CA"/>
        </w:rPr>
        <w:t>un FSI « conserv</w:t>
      </w:r>
      <w:r w:rsidR="00D04F46">
        <w:rPr>
          <w:rFonts w:cs="Times New Roman"/>
          <w:lang w:val="fr-CA"/>
        </w:rPr>
        <w:t>[</w:t>
      </w:r>
      <w:r w:rsidRPr="006055D3">
        <w:rPr>
          <w:rFonts w:cs="Times New Roman"/>
          <w:lang w:val="fr-CA"/>
        </w:rPr>
        <w:t>e</w:t>
      </w:r>
      <w:r w:rsidR="00D04F46">
        <w:rPr>
          <w:rFonts w:cs="Times New Roman"/>
          <w:lang w:val="fr-CA"/>
        </w:rPr>
        <w:t>]</w:t>
      </w:r>
      <w:r w:rsidRPr="006055D3">
        <w:rPr>
          <w:rFonts w:cs="Times New Roman"/>
          <w:lang w:val="fr-CA"/>
        </w:rPr>
        <w:t xml:space="preserve"> [. . .] un registre permettant </w:t>
      </w:r>
      <w:r w:rsidRPr="006055D3">
        <w:rPr>
          <w:rFonts w:cs="Times New Roman"/>
          <w:u w:val="single"/>
          <w:lang w:val="fr-CA"/>
        </w:rPr>
        <w:t>d</w:t>
      </w:r>
      <w:r>
        <w:rPr>
          <w:rFonts w:cs="Times New Roman"/>
          <w:u w:val="single"/>
          <w:lang w:val="fr-CA"/>
        </w:rPr>
        <w:t>’</w:t>
      </w:r>
      <w:r w:rsidRPr="006055D3">
        <w:rPr>
          <w:rFonts w:cs="Times New Roman"/>
          <w:u w:val="single"/>
          <w:lang w:val="fr-CA"/>
        </w:rPr>
        <w:t>identifier la personne</w:t>
      </w:r>
      <w:r w:rsidRPr="006055D3">
        <w:rPr>
          <w:rFonts w:cs="Times New Roman"/>
          <w:lang w:val="fr-CA"/>
        </w:rPr>
        <w:t xml:space="preserve"> à qui appartient l</w:t>
      </w:r>
      <w:r>
        <w:rPr>
          <w:rFonts w:cs="Times New Roman"/>
          <w:lang w:val="fr-CA"/>
        </w:rPr>
        <w:t>’</w:t>
      </w:r>
      <w:r w:rsidRPr="006055D3">
        <w:rPr>
          <w:rFonts w:cs="Times New Roman"/>
          <w:lang w:val="fr-CA"/>
        </w:rPr>
        <w:t>emplacement électronique », il devient clair que l</w:t>
      </w:r>
      <w:r>
        <w:rPr>
          <w:rFonts w:cs="Times New Roman"/>
          <w:lang w:val="fr-CA"/>
        </w:rPr>
        <w:t>’</w:t>
      </w:r>
      <w:r w:rsidRPr="006055D3">
        <w:rPr>
          <w:rFonts w:cs="Times New Roman"/>
          <w:lang w:val="fr-CA"/>
        </w:rPr>
        <w:t xml:space="preserve">al. 41.26(1)a) suppose que le FSI </w:t>
      </w:r>
      <w:r w:rsidRPr="006055D3">
        <w:rPr>
          <w:rFonts w:cs="Times New Roman"/>
          <w:i/>
          <w:lang w:val="fr-CA"/>
        </w:rPr>
        <w:t>n</w:t>
      </w:r>
      <w:r>
        <w:rPr>
          <w:rFonts w:cs="Times New Roman"/>
          <w:i/>
          <w:lang w:val="fr-CA"/>
        </w:rPr>
        <w:t>’</w:t>
      </w:r>
      <w:r w:rsidRPr="006055D3">
        <w:rPr>
          <w:rFonts w:cs="Times New Roman"/>
          <w:lang w:val="fr-CA"/>
        </w:rPr>
        <w:t xml:space="preserve">aura </w:t>
      </w:r>
      <w:r w:rsidRPr="006055D3">
        <w:rPr>
          <w:rFonts w:cs="Times New Roman"/>
          <w:i/>
          <w:lang w:val="fr-CA"/>
        </w:rPr>
        <w:t>pas</w:t>
      </w:r>
      <w:r w:rsidRPr="006055D3">
        <w:rPr>
          <w:rFonts w:cs="Times New Roman"/>
          <w:lang w:val="fr-CA"/>
        </w:rPr>
        <w:t xml:space="preserve"> déjà établi l</w:t>
      </w:r>
      <w:r>
        <w:rPr>
          <w:rFonts w:cs="Times New Roman"/>
          <w:lang w:val="fr-CA"/>
        </w:rPr>
        <w:t>’</w:t>
      </w:r>
      <w:r w:rsidRPr="006055D3">
        <w:rPr>
          <w:rFonts w:cs="Times New Roman"/>
          <w:lang w:val="fr-CA"/>
        </w:rPr>
        <w:t>identité spécifique d</w:t>
      </w:r>
      <w:r>
        <w:rPr>
          <w:rFonts w:cs="Times New Roman"/>
          <w:lang w:val="fr-CA"/>
        </w:rPr>
        <w:t>’</w:t>
      </w:r>
      <w:r w:rsidRPr="006055D3">
        <w:rPr>
          <w:rFonts w:cs="Times New Roman"/>
          <w:lang w:val="fr-CA"/>
        </w:rPr>
        <w:t xml:space="preserve">une personne, p. ex. son nom et son adresse physique. </w:t>
      </w:r>
    </w:p>
    <w:p w:rsidR="00E8197E" w:rsidRPr="006055D3" w:rsidRDefault="00E8197E" w:rsidP="00E8197E">
      <w:pPr>
        <w:pStyle w:val="ParaNoNdepar-AltN"/>
        <w:rPr>
          <w:rFonts w:cs="Times New Roman"/>
          <w:lang w:val="fr-CA"/>
        </w:rPr>
      </w:pPr>
      <w:r w:rsidRPr="006055D3">
        <w:rPr>
          <w:rFonts w:cs="Times New Roman"/>
          <w:lang w:val="fr-CA"/>
        </w:rPr>
        <w:t>De plus, le fait de considérer que l</w:t>
      </w:r>
      <w:r>
        <w:rPr>
          <w:rFonts w:cs="Times New Roman"/>
          <w:lang w:val="fr-CA"/>
        </w:rPr>
        <w:t>’</w:t>
      </w:r>
      <w:r w:rsidRPr="006055D3">
        <w:rPr>
          <w:rFonts w:cs="Times New Roman"/>
          <w:lang w:val="fr-CA"/>
        </w:rPr>
        <w:t>al. 41.26(1)a) oblige le FSI à établir le nom et l</w:t>
      </w:r>
      <w:r>
        <w:rPr>
          <w:rFonts w:cs="Times New Roman"/>
          <w:lang w:val="fr-CA"/>
        </w:rPr>
        <w:t>’</w:t>
      </w:r>
      <w:r w:rsidRPr="006055D3">
        <w:rPr>
          <w:rFonts w:cs="Times New Roman"/>
          <w:lang w:val="fr-CA"/>
        </w:rPr>
        <w:t>adresse physique de la personne à qui il transmet l</w:t>
      </w:r>
      <w:r>
        <w:rPr>
          <w:rFonts w:cs="Times New Roman"/>
          <w:lang w:val="fr-CA"/>
        </w:rPr>
        <w:t>’</w:t>
      </w:r>
      <w:r w:rsidRPr="006055D3">
        <w:rPr>
          <w:rFonts w:cs="Times New Roman"/>
          <w:lang w:val="fr-CA"/>
        </w:rPr>
        <w:t>avis ne cadrerait pas avec l</w:t>
      </w:r>
      <w:r>
        <w:rPr>
          <w:rFonts w:cs="Times New Roman"/>
          <w:lang w:val="fr-CA"/>
        </w:rPr>
        <w:t>’</w:t>
      </w:r>
      <w:r w:rsidRPr="006055D3">
        <w:rPr>
          <w:rFonts w:cs="Times New Roman"/>
          <w:lang w:val="fr-CA"/>
        </w:rPr>
        <w:t>objectif du régime d</w:t>
      </w:r>
      <w:r>
        <w:rPr>
          <w:rFonts w:cs="Times New Roman"/>
          <w:lang w:val="fr-CA"/>
        </w:rPr>
        <w:t>’</w:t>
      </w:r>
      <w:r w:rsidRPr="006055D3">
        <w:rPr>
          <w:rFonts w:cs="Times New Roman"/>
          <w:lang w:val="fr-CA"/>
        </w:rPr>
        <w:t>avis et avis d</w:t>
      </w:r>
      <w:r>
        <w:rPr>
          <w:rFonts w:cs="Times New Roman"/>
          <w:lang w:val="fr-CA"/>
        </w:rPr>
        <w:t>’</w:t>
      </w:r>
      <w:r w:rsidRPr="006055D3">
        <w:rPr>
          <w:rFonts w:cs="Times New Roman"/>
          <w:lang w:val="fr-CA"/>
        </w:rPr>
        <w:t>établir un équilibre entre les intérêts de tous les intervenants. Chaque mois, Rogers reçoit environ 200 000 à 300 000 avis de prétendues violations de droit d</w:t>
      </w:r>
      <w:r>
        <w:rPr>
          <w:rFonts w:cs="Times New Roman"/>
          <w:lang w:val="fr-CA"/>
        </w:rPr>
        <w:t>’</w:t>
      </w:r>
      <w:r w:rsidRPr="006055D3">
        <w:rPr>
          <w:rFonts w:cs="Times New Roman"/>
          <w:lang w:val="fr-CA"/>
        </w:rPr>
        <w:t>auteur, et elle doit transmettre chacun d</w:t>
      </w:r>
      <w:r>
        <w:rPr>
          <w:rFonts w:cs="Times New Roman"/>
          <w:lang w:val="fr-CA"/>
        </w:rPr>
        <w:t>’</w:t>
      </w:r>
      <w:r w:rsidRPr="006055D3">
        <w:rPr>
          <w:rFonts w:cs="Times New Roman"/>
          <w:lang w:val="fr-CA"/>
        </w:rPr>
        <w:t>eux conformément à l</w:t>
      </w:r>
      <w:r>
        <w:rPr>
          <w:rFonts w:cs="Times New Roman"/>
          <w:lang w:val="fr-CA"/>
        </w:rPr>
        <w:t>’</w:t>
      </w:r>
      <w:r w:rsidRPr="006055D3">
        <w:rPr>
          <w:rFonts w:cs="Times New Roman"/>
          <w:lang w:val="fr-CA"/>
        </w:rPr>
        <w:t xml:space="preserve">al. 41.26(1)a). Seule une petite partie de ces avis donne ultimement lieu à des ordonnances de type </w:t>
      </w:r>
      <w:r w:rsidRPr="006055D3">
        <w:rPr>
          <w:rFonts w:cs="Times New Roman"/>
          <w:i/>
          <w:lang w:val="fr-CA"/>
        </w:rPr>
        <w:t>Norwich</w:t>
      </w:r>
      <w:r w:rsidRPr="006055D3">
        <w:rPr>
          <w:rFonts w:cs="Times New Roman"/>
          <w:lang w:val="fr-CA"/>
        </w:rPr>
        <w:t xml:space="preserve"> exigeant que Rogers communique le nom et l</w:t>
      </w:r>
      <w:r>
        <w:rPr>
          <w:rFonts w:cs="Times New Roman"/>
          <w:lang w:val="fr-CA"/>
        </w:rPr>
        <w:t>’</w:t>
      </w:r>
      <w:r w:rsidRPr="006055D3">
        <w:rPr>
          <w:rFonts w:cs="Times New Roman"/>
          <w:lang w:val="fr-CA"/>
        </w:rPr>
        <w:t>adresse physique d</w:t>
      </w:r>
      <w:r>
        <w:rPr>
          <w:rFonts w:cs="Times New Roman"/>
          <w:lang w:val="fr-CA"/>
        </w:rPr>
        <w:t>’</w:t>
      </w:r>
      <w:r w:rsidRPr="006055D3">
        <w:rPr>
          <w:rFonts w:cs="Times New Roman"/>
          <w:lang w:val="fr-CA"/>
        </w:rPr>
        <w:t>une personne qui a reçu l</w:t>
      </w:r>
      <w:r>
        <w:rPr>
          <w:rFonts w:cs="Times New Roman"/>
          <w:lang w:val="fr-CA"/>
        </w:rPr>
        <w:t>’</w:t>
      </w:r>
      <w:r w:rsidRPr="006055D3">
        <w:rPr>
          <w:rFonts w:cs="Times New Roman"/>
          <w:lang w:val="fr-CA"/>
        </w:rPr>
        <w:t>avis. La reconnaissance d</w:t>
      </w:r>
      <w:r>
        <w:rPr>
          <w:rFonts w:cs="Times New Roman"/>
          <w:lang w:val="fr-CA"/>
        </w:rPr>
        <w:t>’</w:t>
      </w:r>
      <w:r w:rsidRPr="006055D3">
        <w:rPr>
          <w:rFonts w:cs="Times New Roman"/>
          <w:lang w:val="fr-CA"/>
        </w:rPr>
        <w:t>une exigence implicite à l</w:t>
      </w:r>
      <w:r>
        <w:rPr>
          <w:rFonts w:cs="Times New Roman"/>
          <w:lang w:val="fr-CA"/>
        </w:rPr>
        <w:t>’</w:t>
      </w:r>
      <w:r w:rsidRPr="006055D3">
        <w:rPr>
          <w:rFonts w:cs="Times New Roman"/>
          <w:lang w:val="fr-CA"/>
        </w:rPr>
        <w:t>al. 41.26(1)a) selon laquelle Rogers devrait établir le nom et l</w:t>
      </w:r>
      <w:r>
        <w:rPr>
          <w:rFonts w:cs="Times New Roman"/>
          <w:lang w:val="fr-CA"/>
        </w:rPr>
        <w:t>’</w:t>
      </w:r>
      <w:r w:rsidRPr="006055D3">
        <w:rPr>
          <w:rFonts w:cs="Times New Roman"/>
          <w:lang w:val="fr-CA"/>
        </w:rPr>
        <w:t>adresse physique des centaines de milliers de personnes à qui elle fait parvenir des avis chaque mois obligerait Rogers à entreprendre des travaux d</w:t>
      </w:r>
      <w:r>
        <w:rPr>
          <w:rFonts w:cs="Times New Roman"/>
          <w:lang w:val="fr-CA"/>
        </w:rPr>
        <w:t>’</w:t>
      </w:r>
      <w:r w:rsidRPr="006055D3">
        <w:rPr>
          <w:rFonts w:cs="Times New Roman"/>
          <w:lang w:val="fr-CA"/>
        </w:rPr>
        <w:t>identification dans tous les cas, même si la grande majorité des avis envoyés n</w:t>
      </w:r>
      <w:r>
        <w:rPr>
          <w:rFonts w:cs="Times New Roman"/>
          <w:lang w:val="fr-CA"/>
        </w:rPr>
        <w:t>’</w:t>
      </w:r>
      <w:r w:rsidRPr="006055D3">
        <w:rPr>
          <w:rFonts w:cs="Times New Roman"/>
          <w:lang w:val="fr-CA"/>
        </w:rPr>
        <w:t xml:space="preserve">aboutira jamais à une ordonnance de type </w:t>
      </w:r>
      <w:r w:rsidRPr="006055D3">
        <w:rPr>
          <w:rFonts w:cs="Times New Roman"/>
          <w:i/>
          <w:lang w:val="fr-CA"/>
        </w:rPr>
        <w:t xml:space="preserve">Norwich. </w:t>
      </w:r>
      <w:r w:rsidRPr="006055D3">
        <w:rPr>
          <w:rFonts w:cs="Times New Roman"/>
          <w:lang w:val="fr-CA"/>
        </w:rPr>
        <w:t>À mon avis, cela menacerait l</w:t>
      </w:r>
      <w:r>
        <w:rPr>
          <w:rFonts w:cs="Times New Roman"/>
          <w:lang w:val="fr-CA"/>
        </w:rPr>
        <w:t>’</w:t>
      </w:r>
      <w:r w:rsidRPr="006055D3">
        <w:rPr>
          <w:rFonts w:cs="Times New Roman"/>
          <w:lang w:val="fr-CA"/>
        </w:rPr>
        <w:t>équilibre établi par le Parlement au sein du régime d</w:t>
      </w:r>
      <w:r>
        <w:rPr>
          <w:rFonts w:cs="Times New Roman"/>
          <w:lang w:val="fr-CA"/>
        </w:rPr>
        <w:t>’</w:t>
      </w:r>
      <w:r w:rsidRPr="006055D3">
        <w:rPr>
          <w:rFonts w:cs="Times New Roman"/>
          <w:lang w:val="fr-CA"/>
        </w:rPr>
        <w:t>avis et avis entre les intérêts respectifs des FSI et des titulaires de droits d</w:t>
      </w:r>
      <w:r>
        <w:rPr>
          <w:rFonts w:cs="Times New Roman"/>
          <w:lang w:val="fr-CA"/>
        </w:rPr>
        <w:t>’</w:t>
      </w:r>
      <w:r w:rsidRPr="006055D3">
        <w:rPr>
          <w:rFonts w:cs="Times New Roman"/>
          <w:lang w:val="fr-CA"/>
        </w:rPr>
        <w:t xml:space="preserve">auteur. </w:t>
      </w:r>
    </w:p>
    <w:p w:rsidR="00E8197E" w:rsidRPr="006055D3" w:rsidRDefault="00E8197E" w:rsidP="00E8197E">
      <w:pPr>
        <w:pStyle w:val="ParaNoNdepar-AltN"/>
        <w:rPr>
          <w:rFonts w:cs="Times New Roman"/>
          <w:lang w:val="fr-CA"/>
        </w:rPr>
      </w:pPr>
      <w:r w:rsidRPr="006055D3">
        <w:rPr>
          <w:rFonts w:cs="Times New Roman"/>
          <w:lang w:val="fr-CA"/>
        </w:rPr>
        <w:t>Il ne faut pas oublier que le fait qu</w:t>
      </w:r>
      <w:r>
        <w:rPr>
          <w:rFonts w:cs="Times New Roman"/>
          <w:lang w:val="fr-CA"/>
        </w:rPr>
        <w:t>’</w:t>
      </w:r>
      <w:r w:rsidRPr="006055D3">
        <w:rPr>
          <w:rFonts w:cs="Times New Roman"/>
          <w:lang w:val="fr-CA"/>
        </w:rPr>
        <w:t>une personne soit associée à une adresse IP qui fait l</w:t>
      </w:r>
      <w:r>
        <w:rPr>
          <w:rFonts w:cs="Times New Roman"/>
          <w:lang w:val="fr-CA"/>
        </w:rPr>
        <w:t>’</w:t>
      </w:r>
      <w:r w:rsidRPr="006055D3">
        <w:rPr>
          <w:rFonts w:cs="Times New Roman"/>
          <w:lang w:val="fr-CA"/>
        </w:rPr>
        <w:t>objet d</w:t>
      </w:r>
      <w:r>
        <w:rPr>
          <w:rFonts w:cs="Times New Roman"/>
          <w:lang w:val="fr-CA"/>
        </w:rPr>
        <w:t>’</w:t>
      </w:r>
      <w:r w:rsidRPr="006055D3">
        <w:rPr>
          <w:rFonts w:cs="Times New Roman"/>
          <w:lang w:val="fr-CA"/>
        </w:rPr>
        <w:t>un avis au titre de l</w:t>
      </w:r>
      <w:r>
        <w:rPr>
          <w:rFonts w:cs="Times New Roman"/>
          <w:lang w:val="fr-CA"/>
        </w:rPr>
        <w:t>’</w:t>
      </w:r>
      <w:r w:rsidRPr="006055D3">
        <w:rPr>
          <w:rFonts w:cs="Times New Roman"/>
          <w:lang w:val="fr-CA"/>
        </w:rPr>
        <w:t>al. 41.26(1)a) ne permet pas de conclure à sa culpabilité. Comme je l</w:t>
      </w:r>
      <w:r>
        <w:rPr>
          <w:rFonts w:cs="Times New Roman"/>
          <w:lang w:val="fr-CA"/>
        </w:rPr>
        <w:t>’</w:t>
      </w:r>
      <w:r w:rsidRPr="006055D3">
        <w:rPr>
          <w:rFonts w:cs="Times New Roman"/>
          <w:lang w:val="fr-CA"/>
        </w:rPr>
        <w:t xml:space="preserve">ai expliqué, il est possible que la personne à qui appartenait </w:t>
      </w:r>
      <w:r w:rsidRPr="006055D3">
        <w:rPr>
          <w:rFonts w:cs="Times New Roman"/>
          <w:lang w:val="fr-CA"/>
        </w:rPr>
        <w:lastRenderedPageBreak/>
        <w:t>une adresse IP au moment de la prétendue violation ne soit pas celle qui a partagé en ligne du contenu protégé par le droit d</w:t>
      </w:r>
      <w:r>
        <w:rPr>
          <w:rFonts w:cs="Times New Roman"/>
          <w:lang w:val="fr-CA"/>
        </w:rPr>
        <w:t>’</w:t>
      </w:r>
      <w:r w:rsidRPr="006055D3">
        <w:rPr>
          <w:rFonts w:cs="Times New Roman"/>
          <w:lang w:val="fr-CA"/>
        </w:rPr>
        <w:t>auteur. Il est également possible qu</w:t>
      </w:r>
      <w:r>
        <w:rPr>
          <w:rFonts w:cs="Times New Roman"/>
          <w:lang w:val="fr-CA"/>
        </w:rPr>
        <w:t>’</w:t>
      </w:r>
      <w:r w:rsidRPr="006055D3">
        <w:rPr>
          <w:rFonts w:cs="Times New Roman"/>
          <w:lang w:val="fr-CA"/>
        </w:rPr>
        <w:t>une erreur de la part du titulaire du droit d</w:t>
      </w:r>
      <w:r>
        <w:rPr>
          <w:rFonts w:cs="Times New Roman"/>
          <w:lang w:val="fr-CA"/>
        </w:rPr>
        <w:t>’</w:t>
      </w:r>
      <w:r w:rsidRPr="006055D3">
        <w:rPr>
          <w:rFonts w:cs="Times New Roman"/>
          <w:lang w:val="fr-CA"/>
        </w:rPr>
        <w:t>auteur entraîne l</w:t>
      </w:r>
      <w:r>
        <w:rPr>
          <w:rFonts w:cs="Times New Roman"/>
          <w:lang w:val="fr-CA"/>
        </w:rPr>
        <w:t>’</w:t>
      </w:r>
      <w:r w:rsidRPr="006055D3">
        <w:rPr>
          <w:rFonts w:cs="Times New Roman"/>
          <w:lang w:val="fr-CA"/>
        </w:rPr>
        <w:t>identification incorrecte d</w:t>
      </w:r>
      <w:r>
        <w:rPr>
          <w:rFonts w:cs="Times New Roman"/>
          <w:lang w:val="fr-CA"/>
        </w:rPr>
        <w:t>’</w:t>
      </w:r>
      <w:r w:rsidRPr="006055D3">
        <w:rPr>
          <w:rFonts w:cs="Times New Roman"/>
          <w:lang w:val="fr-CA"/>
        </w:rPr>
        <w:t>une adresse IP comme étant la source de la violation en ligne du droit d</w:t>
      </w:r>
      <w:r>
        <w:rPr>
          <w:rFonts w:cs="Times New Roman"/>
          <w:lang w:val="fr-CA"/>
        </w:rPr>
        <w:t>’</w:t>
      </w:r>
      <w:r w:rsidRPr="006055D3">
        <w:rPr>
          <w:rFonts w:cs="Times New Roman"/>
          <w:lang w:val="fr-CA"/>
        </w:rPr>
        <w:t>auteur. En conséquence, exiger d</w:t>
      </w:r>
      <w:r>
        <w:rPr>
          <w:rFonts w:cs="Times New Roman"/>
          <w:lang w:val="fr-CA"/>
        </w:rPr>
        <w:t>’</w:t>
      </w:r>
      <w:r w:rsidRPr="006055D3">
        <w:rPr>
          <w:rFonts w:cs="Times New Roman"/>
          <w:lang w:val="fr-CA"/>
        </w:rPr>
        <w:t>un FSI qu</w:t>
      </w:r>
      <w:r>
        <w:rPr>
          <w:rFonts w:cs="Times New Roman"/>
          <w:lang w:val="fr-CA"/>
        </w:rPr>
        <w:t>’</w:t>
      </w:r>
      <w:r w:rsidRPr="006055D3">
        <w:rPr>
          <w:rFonts w:cs="Times New Roman"/>
          <w:lang w:val="fr-CA"/>
        </w:rPr>
        <w:t>il identifie par son nom et son adresse physique la personne à qui appartient l</w:t>
      </w:r>
      <w:r>
        <w:rPr>
          <w:rFonts w:cs="Times New Roman"/>
          <w:lang w:val="fr-CA"/>
        </w:rPr>
        <w:t>’</w:t>
      </w:r>
      <w:r w:rsidRPr="006055D3">
        <w:rPr>
          <w:rFonts w:cs="Times New Roman"/>
          <w:lang w:val="fr-CA"/>
        </w:rPr>
        <w:t>adresse IP pertinente modifierait non seulement l</w:t>
      </w:r>
      <w:r>
        <w:rPr>
          <w:rFonts w:cs="Times New Roman"/>
          <w:lang w:val="fr-CA"/>
        </w:rPr>
        <w:t>’</w:t>
      </w:r>
      <w:r w:rsidRPr="006055D3">
        <w:rPr>
          <w:rFonts w:cs="Times New Roman"/>
          <w:lang w:val="fr-CA"/>
        </w:rPr>
        <w:t>équilibre qu</w:t>
      </w:r>
      <w:r>
        <w:rPr>
          <w:rFonts w:cs="Times New Roman"/>
          <w:lang w:val="fr-CA"/>
        </w:rPr>
        <w:t>’</w:t>
      </w:r>
      <w:r w:rsidRPr="006055D3">
        <w:rPr>
          <w:rFonts w:cs="Times New Roman"/>
          <w:lang w:val="fr-CA"/>
        </w:rPr>
        <w:t>a établi le Parlement en adoptant le régime d</w:t>
      </w:r>
      <w:r>
        <w:rPr>
          <w:rFonts w:cs="Times New Roman"/>
          <w:lang w:val="fr-CA"/>
        </w:rPr>
        <w:t>’</w:t>
      </w:r>
      <w:r w:rsidRPr="006055D3">
        <w:rPr>
          <w:rFonts w:cs="Times New Roman"/>
          <w:lang w:val="fr-CA"/>
        </w:rPr>
        <w:t>avis et avis, mais le ferait au détriment des droits relatifs à la vie privée des personnes, y compris les personnes innocentes, qui reçoivent un avis.</w:t>
      </w:r>
    </w:p>
    <w:p w:rsidR="00E8197E" w:rsidRPr="006055D3" w:rsidRDefault="00E8197E" w:rsidP="00E8197E">
      <w:pPr>
        <w:pStyle w:val="Title4LevelTitre4Niveau"/>
        <w:rPr>
          <w:rFonts w:cs="Times New Roman"/>
          <w:lang w:val="fr-CA"/>
        </w:rPr>
      </w:pPr>
      <w:r w:rsidRPr="006055D3">
        <w:rPr>
          <w:rFonts w:cs="Times New Roman"/>
          <w:lang w:val="fr-CA"/>
        </w:rPr>
        <w:t>L</w:t>
      </w:r>
      <w:r>
        <w:rPr>
          <w:rFonts w:cs="Times New Roman"/>
          <w:lang w:val="fr-CA"/>
        </w:rPr>
        <w:t>’</w:t>
      </w:r>
      <w:r w:rsidRPr="006055D3">
        <w:rPr>
          <w:rFonts w:cs="Times New Roman"/>
          <w:lang w:val="fr-CA"/>
        </w:rPr>
        <w:t>alinéa 41.26(1)b)</w:t>
      </w:r>
    </w:p>
    <w:p w:rsidR="00E8197E" w:rsidRPr="006055D3" w:rsidRDefault="00E8197E" w:rsidP="00E8197E">
      <w:pPr>
        <w:pStyle w:val="ParaNoNdepar-AltN"/>
        <w:rPr>
          <w:rFonts w:cs="Times New Roman"/>
          <w:lang w:val="fr-CA"/>
        </w:rPr>
      </w:pPr>
      <w:r w:rsidRPr="006055D3">
        <w:rPr>
          <w:rFonts w:cs="Times New Roman"/>
          <w:lang w:val="fr-CA"/>
        </w:rPr>
        <w:t>La troisième obligation expresse du FSI dans le cadre du régime d</w:t>
      </w:r>
      <w:r>
        <w:rPr>
          <w:rFonts w:cs="Times New Roman"/>
          <w:lang w:val="fr-CA"/>
        </w:rPr>
        <w:t>’</w:t>
      </w:r>
      <w:r w:rsidRPr="006055D3">
        <w:rPr>
          <w:rFonts w:cs="Times New Roman"/>
          <w:lang w:val="fr-CA"/>
        </w:rPr>
        <w:t>avis et avis — soit de conserver un registre « permettant d</w:t>
      </w:r>
      <w:r>
        <w:rPr>
          <w:rFonts w:cs="Times New Roman"/>
          <w:lang w:val="fr-CA"/>
        </w:rPr>
        <w:t>’</w:t>
      </w:r>
      <w:r w:rsidRPr="006055D3">
        <w:rPr>
          <w:rFonts w:cs="Times New Roman"/>
          <w:lang w:val="fr-CA"/>
        </w:rPr>
        <w:t>identifier la personne à qui appartient l</w:t>
      </w:r>
      <w:r>
        <w:rPr>
          <w:rFonts w:cs="Times New Roman"/>
          <w:lang w:val="fr-CA"/>
        </w:rPr>
        <w:t>’</w:t>
      </w:r>
      <w:r w:rsidRPr="006055D3">
        <w:rPr>
          <w:rFonts w:cs="Times New Roman"/>
          <w:lang w:val="fr-CA"/>
        </w:rPr>
        <w:t>emplacement électronique » — se trouve à l</w:t>
      </w:r>
      <w:r>
        <w:rPr>
          <w:rFonts w:cs="Times New Roman"/>
          <w:lang w:val="fr-CA"/>
        </w:rPr>
        <w:t>’</w:t>
      </w:r>
      <w:r w:rsidRPr="006055D3">
        <w:rPr>
          <w:rFonts w:cs="Times New Roman"/>
          <w:lang w:val="fr-CA"/>
        </w:rPr>
        <w:t>al. 41.26(1)b). La Cour d</w:t>
      </w:r>
      <w:r>
        <w:rPr>
          <w:rFonts w:cs="Times New Roman"/>
          <w:lang w:val="fr-CA"/>
        </w:rPr>
        <w:t>’</w:t>
      </w:r>
      <w:r w:rsidRPr="006055D3">
        <w:rPr>
          <w:rFonts w:cs="Times New Roman"/>
          <w:lang w:val="fr-CA"/>
        </w:rPr>
        <w:t>appel fédérale a conclu que cette obligation expresse comportait l</w:t>
      </w:r>
      <w:r>
        <w:rPr>
          <w:rFonts w:cs="Times New Roman"/>
          <w:lang w:val="fr-CA"/>
        </w:rPr>
        <w:t>’</w:t>
      </w:r>
      <w:r w:rsidRPr="006055D3">
        <w:rPr>
          <w:rFonts w:cs="Times New Roman"/>
          <w:lang w:val="fr-CA"/>
        </w:rPr>
        <w:t>obligation implicite de conserver ce registre d</w:t>
      </w:r>
      <w:r>
        <w:rPr>
          <w:rFonts w:cs="Times New Roman"/>
          <w:lang w:val="fr-CA"/>
        </w:rPr>
        <w:t>’</w:t>
      </w:r>
      <w:r w:rsidRPr="006055D3">
        <w:rPr>
          <w:rFonts w:cs="Times New Roman"/>
          <w:lang w:val="fr-CA"/>
        </w:rPr>
        <w:t>une manière et sous une forme qui permettra l</w:t>
      </w:r>
      <w:r>
        <w:rPr>
          <w:rFonts w:cs="Times New Roman"/>
          <w:lang w:val="fr-CA"/>
        </w:rPr>
        <w:t>’</w:t>
      </w:r>
      <w:r w:rsidRPr="006055D3">
        <w:rPr>
          <w:rFonts w:cs="Times New Roman"/>
          <w:lang w:val="fr-CA"/>
        </w:rPr>
        <w:t>identification « par les personnes qui utiliseront le registre », soit « le titulaire du droit d</w:t>
      </w:r>
      <w:r>
        <w:rPr>
          <w:rFonts w:cs="Times New Roman"/>
          <w:lang w:val="fr-CA"/>
        </w:rPr>
        <w:t>’</w:t>
      </w:r>
      <w:r w:rsidRPr="006055D3">
        <w:rPr>
          <w:rFonts w:cs="Times New Roman"/>
          <w:lang w:val="fr-CA"/>
        </w:rPr>
        <w:t>auteur [qui] doit pouvoir connaître l</w:t>
      </w:r>
      <w:r>
        <w:rPr>
          <w:rFonts w:cs="Times New Roman"/>
          <w:lang w:val="fr-CA"/>
        </w:rPr>
        <w:t>’</w:t>
      </w:r>
      <w:r w:rsidRPr="006055D3">
        <w:rPr>
          <w:rFonts w:cs="Times New Roman"/>
          <w:lang w:val="fr-CA"/>
        </w:rPr>
        <w:t>identité des présumés contrefacteurs, pour décider ce qu</w:t>
      </w:r>
      <w:r>
        <w:rPr>
          <w:rFonts w:cs="Times New Roman"/>
          <w:lang w:val="fr-CA"/>
        </w:rPr>
        <w:t>’</w:t>
      </w:r>
      <w:r w:rsidRPr="006055D3">
        <w:rPr>
          <w:rFonts w:cs="Times New Roman"/>
          <w:lang w:val="fr-CA"/>
        </w:rPr>
        <w:t>il doit faire », et le « tribunal [qui] devra également connaître l</w:t>
      </w:r>
      <w:r>
        <w:rPr>
          <w:rFonts w:cs="Times New Roman"/>
          <w:lang w:val="fr-CA"/>
        </w:rPr>
        <w:t>’</w:t>
      </w:r>
      <w:r w:rsidRPr="006055D3">
        <w:rPr>
          <w:rFonts w:cs="Times New Roman"/>
          <w:lang w:val="fr-CA"/>
        </w:rPr>
        <w:t>identité des présumés contrefacteurs de façon à pouvoir trancher les questions de la violation du droit d</w:t>
      </w:r>
      <w:r>
        <w:rPr>
          <w:rFonts w:cs="Times New Roman"/>
          <w:lang w:val="fr-CA"/>
        </w:rPr>
        <w:t>’</w:t>
      </w:r>
      <w:r w:rsidRPr="006055D3">
        <w:rPr>
          <w:rFonts w:cs="Times New Roman"/>
          <w:lang w:val="fr-CA"/>
        </w:rPr>
        <w:t>auteur et des redressements » (par. 37). Dans la mesure où le registre se présente « d</w:t>
      </w:r>
      <w:r>
        <w:rPr>
          <w:rFonts w:cs="Times New Roman"/>
          <w:lang w:val="fr-CA"/>
        </w:rPr>
        <w:t>’</w:t>
      </w:r>
      <w:r w:rsidRPr="006055D3">
        <w:rPr>
          <w:rFonts w:cs="Times New Roman"/>
          <w:lang w:val="fr-CA"/>
        </w:rPr>
        <w:t>une manière que le [FSI] peut utiliser pour identifier les présumés contrefacteurs, mais non d</w:t>
      </w:r>
      <w:r>
        <w:rPr>
          <w:rFonts w:cs="Times New Roman"/>
          <w:lang w:val="fr-CA"/>
        </w:rPr>
        <w:t>’</w:t>
      </w:r>
      <w:r w:rsidRPr="006055D3">
        <w:rPr>
          <w:rFonts w:cs="Times New Roman"/>
          <w:lang w:val="fr-CA"/>
        </w:rPr>
        <w:t>une manière que les titulaires du droit d</w:t>
      </w:r>
      <w:r>
        <w:rPr>
          <w:rFonts w:cs="Times New Roman"/>
          <w:lang w:val="fr-CA"/>
        </w:rPr>
        <w:t>’</w:t>
      </w:r>
      <w:r w:rsidRPr="006055D3">
        <w:rPr>
          <w:rFonts w:cs="Times New Roman"/>
          <w:lang w:val="fr-CA"/>
        </w:rPr>
        <w:t>auteur et les tribunaux peuvent utiliser », la Cour d</w:t>
      </w:r>
      <w:r>
        <w:rPr>
          <w:rFonts w:cs="Times New Roman"/>
          <w:lang w:val="fr-CA"/>
        </w:rPr>
        <w:t>’</w:t>
      </w:r>
      <w:r w:rsidRPr="006055D3">
        <w:rPr>
          <w:rFonts w:cs="Times New Roman"/>
          <w:lang w:val="fr-CA"/>
        </w:rPr>
        <w:t xml:space="preserve">appel fédérale a statué que le FSI doit convertir </w:t>
      </w:r>
      <w:r w:rsidRPr="006055D3">
        <w:rPr>
          <w:rFonts w:cs="Times New Roman"/>
          <w:lang w:val="fr-CA"/>
        </w:rPr>
        <w:lastRenderedPageBreak/>
        <w:t>le registre et « doit effectuer ce travail au titre de ses obligations aux termes de l</w:t>
      </w:r>
      <w:r>
        <w:rPr>
          <w:rFonts w:cs="Times New Roman"/>
          <w:lang w:val="fr-CA"/>
        </w:rPr>
        <w:t>’</w:t>
      </w:r>
      <w:r w:rsidRPr="006055D3">
        <w:rPr>
          <w:rFonts w:cs="Times New Roman"/>
          <w:lang w:val="fr-CA"/>
        </w:rPr>
        <w:t>alinéa 41.26(1)</w:t>
      </w:r>
      <w:r w:rsidRPr="00D04F46">
        <w:rPr>
          <w:rFonts w:cs="Times New Roman"/>
          <w:i/>
          <w:lang w:val="fr-CA"/>
        </w:rPr>
        <w:t>b</w:t>
      </w:r>
      <w:r w:rsidRPr="006055D3">
        <w:rPr>
          <w:rFonts w:cs="Times New Roman"/>
          <w:lang w:val="fr-CA"/>
        </w:rPr>
        <w:t xml:space="preserve">) » (par. 39). </w:t>
      </w:r>
    </w:p>
    <w:p w:rsidR="00E8197E" w:rsidRPr="006055D3" w:rsidRDefault="00E8197E" w:rsidP="00E8197E">
      <w:pPr>
        <w:pStyle w:val="ParaNoNdepar-AltN"/>
        <w:rPr>
          <w:rFonts w:cs="Times New Roman"/>
          <w:lang w:val="fr-CA"/>
        </w:rPr>
      </w:pPr>
      <w:r w:rsidRPr="006055D3">
        <w:rPr>
          <w:rFonts w:cs="Times New Roman"/>
          <w:lang w:val="fr-CA"/>
        </w:rPr>
        <w:t>En toute déférence, je suis en désaccord avec cette conclusion. L</w:t>
      </w:r>
      <w:r>
        <w:rPr>
          <w:rFonts w:cs="Times New Roman"/>
          <w:lang w:val="fr-CA"/>
        </w:rPr>
        <w:t>’</w:t>
      </w:r>
      <w:r w:rsidRPr="006055D3">
        <w:rPr>
          <w:rFonts w:cs="Times New Roman"/>
          <w:lang w:val="fr-CA"/>
        </w:rPr>
        <w:t>alinéa 41.26(1)b) n</w:t>
      </w:r>
      <w:r>
        <w:rPr>
          <w:rFonts w:cs="Times New Roman"/>
          <w:lang w:val="fr-CA"/>
        </w:rPr>
        <w:t>’</w:t>
      </w:r>
      <w:r w:rsidRPr="006055D3">
        <w:rPr>
          <w:rFonts w:cs="Times New Roman"/>
          <w:lang w:val="fr-CA"/>
        </w:rPr>
        <w:t>exige pas que le FSI communique effectivement le registre auquel fait référence la disposition. Autrement dit, l</w:t>
      </w:r>
      <w:r>
        <w:rPr>
          <w:rFonts w:cs="Times New Roman"/>
          <w:lang w:val="fr-CA"/>
        </w:rPr>
        <w:t>’</w:t>
      </w:r>
      <w:r w:rsidRPr="006055D3">
        <w:rPr>
          <w:rFonts w:cs="Times New Roman"/>
          <w:lang w:val="fr-CA"/>
        </w:rPr>
        <w:t>al. 41.26(1)b) ne prévoit pas qu</w:t>
      </w:r>
      <w:r>
        <w:rPr>
          <w:rFonts w:cs="Times New Roman"/>
          <w:lang w:val="fr-CA"/>
        </w:rPr>
        <w:t>’</w:t>
      </w:r>
      <w:r w:rsidRPr="006055D3">
        <w:rPr>
          <w:rFonts w:cs="Times New Roman"/>
          <w:lang w:val="fr-CA"/>
        </w:rPr>
        <w:t>une personne autre que le FSI aura accès à son registre ou l</w:t>
      </w:r>
      <w:r>
        <w:rPr>
          <w:rFonts w:cs="Times New Roman"/>
          <w:lang w:val="fr-CA"/>
        </w:rPr>
        <w:t>’</w:t>
      </w:r>
      <w:r w:rsidRPr="006055D3">
        <w:rPr>
          <w:rFonts w:cs="Times New Roman"/>
          <w:lang w:val="fr-CA"/>
        </w:rPr>
        <w:t>utilisera. À tout le moins, il ne découle pas du texte législatif que le registre (auquel n</w:t>
      </w:r>
      <w:r>
        <w:rPr>
          <w:rFonts w:cs="Times New Roman"/>
          <w:lang w:val="fr-CA"/>
        </w:rPr>
        <w:t>’</w:t>
      </w:r>
      <w:r w:rsidRPr="006055D3">
        <w:rPr>
          <w:rFonts w:cs="Times New Roman"/>
          <w:lang w:val="fr-CA"/>
        </w:rPr>
        <w:t>ont pas accès les titulaires de droits d</w:t>
      </w:r>
      <w:r>
        <w:rPr>
          <w:rFonts w:cs="Times New Roman"/>
          <w:lang w:val="fr-CA"/>
        </w:rPr>
        <w:t>’</w:t>
      </w:r>
      <w:r w:rsidRPr="006055D3">
        <w:rPr>
          <w:rFonts w:cs="Times New Roman"/>
          <w:lang w:val="fr-CA"/>
        </w:rPr>
        <w:t>auteur et les tribunaux) doive être conservé dans un format lisible qui permettrait aux titulaires de droits d</w:t>
      </w:r>
      <w:r>
        <w:rPr>
          <w:rFonts w:cs="Times New Roman"/>
          <w:lang w:val="fr-CA"/>
        </w:rPr>
        <w:t>’</w:t>
      </w:r>
      <w:r w:rsidRPr="006055D3">
        <w:rPr>
          <w:rFonts w:cs="Times New Roman"/>
          <w:lang w:val="fr-CA"/>
        </w:rPr>
        <w:t>auteur et aux tribunaux d</w:t>
      </w:r>
      <w:r>
        <w:rPr>
          <w:rFonts w:cs="Times New Roman"/>
          <w:lang w:val="fr-CA"/>
        </w:rPr>
        <w:t>’</w:t>
      </w:r>
      <w:r w:rsidRPr="006055D3">
        <w:rPr>
          <w:rFonts w:cs="Times New Roman"/>
          <w:lang w:val="fr-CA"/>
        </w:rPr>
        <w:t>établir l</w:t>
      </w:r>
      <w:r>
        <w:rPr>
          <w:rFonts w:cs="Times New Roman"/>
          <w:lang w:val="fr-CA"/>
        </w:rPr>
        <w:t>’</w:t>
      </w:r>
      <w:r w:rsidRPr="006055D3">
        <w:rPr>
          <w:rFonts w:cs="Times New Roman"/>
          <w:lang w:val="fr-CA"/>
        </w:rPr>
        <w:t>identité d</w:t>
      </w:r>
      <w:r>
        <w:rPr>
          <w:rFonts w:cs="Times New Roman"/>
          <w:lang w:val="fr-CA"/>
        </w:rPr>
        <w:t>’</w:t>
      </w:r>
      <w:r w:rsidRPr="006055D3">
        <w:rPr>
          <w:rFonts w:cs="Times New Roman"/>
          <w:lang w:val="fr-CA"/>
        </w:rPr>
        <w:t>une personne à partir de ce registre. Certes, l</w:t>
      </w:r>
      <w:r>
        <w:rPr>
          <w:rFonts w:cs="Times New Roman"/>
          <w:lang w:val="fr-CA"/>
        </w:rPr>
        <w:t>’</w:t>
      </w:r>
      <w:r w:rsidRPr="006055D3">
        <w:rPr>
          <w:rFonts w:cs="Times New Roman"/>
          <w:lang w:val="fr-CA"/>
        </w:rPr>
        <w:t>on pourrait soutenir que l</w:t>
      </w:r>
      <w:r>
        <w:rPr>
          <w:rFonts w:cs="Times New Roman"/>
          <w:lang w:val="fr-CA"/>
        </w:rPr>
        <w:t>’</w:t>
      </w:r>
      <w:r w:rsidRPr="006055D3">
        <w:rPr>
          <w:rFonts w:cs="Times New Roman"/>
          <w:lang w:val="fr-CA"/>
        </w:rPr>
        <w:t>al. 41.26(1)b) laisse cette question en suspens, car bien qu</w:t>
      </w:r>
      <w:r>
        <w:rPr>
          <w:rFonts w:cs="Times New Roman"/>
          <w:lang w:val="fr-CA"/>
        </w:rPr>
        <w:t>’</w:t>
      </w:r>
      <w:r w:rsidRPr="006055D3">
        <w:rPr>
          <w:rFonts w:cs="Times New Roman"/>
          <w:lang w:val="fr-CA"/>
        </w:rPr>
        <w:t>il fasse référence à « un registre permettant d</w:t>
      </w:r>
      <w:r>
        <w:rPr>
          <w:rFonts w:cs="Times New Roman"/>
          <w:lang w:val="fr-CA"/>
        </w:rPr>
        <w:t>’</w:t>
      </w:r>
      <w:r w:rsidRPr="006055D3">
        <w:rPr>
          <w:rFonts w:cs="Times New Roman"/>
          <w:lang w:val="fr-CA"/>
        </w:rPr>
        <w:t>identifier la personne à qui appartient l</w:t>
      </w:r>
      <w:r>
        <w:rPr>
          <w:rFonts w:cs="Times New Roman"/>
          <w:lang w:val="fr-CA"/>
        </w:rPr>
        <w:t>’</w:t>
      </w:r>
      <w:r w:rsidRPr="006055D3">
        <w:rPr>
          <w:rFonts w:cs="Times New Roman"/>
          <w:lang w:val="fr-CA"/>
        </w:rPr>
        <w:t xml:space="preserve">emplacement électronique », il ne précise pas </w:t>
      </w:r>
      <w:r w:rsidRPr="006055D3">
        <w:rPr>
          <w:rFonts w:cs="Times New Roman"/>
          <w:i/>
          <w:lang w:val="fr-CA"/>
        </w:rPr>
        <w:t>par qui</w:t>
      </w:r>
      <w:r w:rsidRPr="006055D3">
        <w:rPr>
          <w:rFonts w:cs="Times New Roman"/>
          <w:lang w:val="fr-CA"/>
        </w:rPr>
        <w:t>. Toutefois, en l</w:t>
      </w:r>
      <w:r>
        <w:rPr>
          <w:rFonts w:cs="Times New Roman"/>
          <w:lang w:val="fr-CA"/>
        </w:rPr>
        <w:t>’</w:t>
      </w:r>
      <w:r w:rsidRPr="006055D3">
        <w:rPr>
          <w:rFonts w:cs="Times New Roman"/>
          <w:lang w:val="fr-CA"/>
        </w:rPr>
        <w:t>absence d</w:t>
      </w:r>
      <w:r>
        <w:rPr>
          <w:rFonts w:cs="Times New Roman"/>
          <w:lang w:val="fr-CA"/>
        </w:rPr>
        <w:t>’</w:t>
      </w:r>
      <w:r w:rsidRPr="006055D3">
        <w:rPr>
          <w:rFonts w:cs="Times New Roman"/>
          <w:lang w:val="fr-CA"/>
        </w:rPr>
        <w:t>un mécanisme de communication, la meilleure interprétation à mon avis est que l</w:t>
      </w:r>
      <w:r>
        <w:rPr>
          <w:rFonts w:cs="Times New Roman"/>
          <w:lang w:val="fr-CA"/>
        </w:rPr>
        <w:t>’</w:t>
      </w:r>
      <w:r w:rsidRPr="006055D3">
        <w:rPr>
          <w:rFonts w:cs="Times New Roman"/>
          <w:lang w:val="fr-CA"/>
        </w:rPr>
        <w:t xml:space="preserve">al. 41.26(1)b) fait référence à une « identifi[cation] » </w:t>
      </w:r>
      <w:r w:rsidRPr="006055D3">
        <w:rPr>
          <w:rFonts w:cs="Times New Roman"/>
          <w:i/>
          <w:lang w:val="fr-CA"/>
        </w:rPr>
        <w:t>par le FSI</w:t>
      </w:r>
      <w:r w:rsidRPr="006055D3">
        <w:rPr>
          <w:rFonts w:cs="Times New Roman"/>
          <w:lang w:val="fr-CA"/>
        </w:rPr>
        <w:t>.</w:t>
      </w:r>
    </w:p>
    <w:p w:rsidR="00E8197E" w:rsidRPr="006055D3" w:rsidRDefault="00E8197E" w:rsidP="00E8197E">
      <w:pPr>
        <w:pStyle w:val="ParaNoNdepar-AltN"/>
        <w:rPr>
          <w:rFonts w:cs="Times New Roman"/>
          <w:lang w:val="fr-CA"/>
        </w:rPr>
      </w:pPr>
      <w:r w:rsidRPr="006055D3">
        <w:rPr>
          <w:rFonts w:cs="Times New Roman"/>
          <w:lang w:val="fr-CA"/>
        </w:rPr>
        <w:t>Ce point de vue est étayé par l</w:t>
      </w:r>
      <w:r>
        <w:rPr>
          <w:rFonts w:cs="Times New Roman"/>
          <w:lang w:val="fr-CA"/>
        </w:rPr>
        <w:t>’</w:t>
      </w:r>
      <w:r w:rsidRPr="006055D3">
        <w:rPr>
          <w:rFonts w:cs="Times New Roman"/>
          <w:lang w:val="fr-CA"/>
        </w:rPr>
        <w:t>exigence de l</w:t>
      </w:r>
      <w:r>
        <w:rPr>
          <w:rFonts w:cs="Times New Roman"/>
          <w:lang w:val="fr-CA"/>
        </w:rPr>
        <w:t>’</w:t>
      </w:r>
      <w:r w:rsidRPr="006055D3">
        <w:rPr>
          <w:rFonts w:cs="Times New Roman"/>
          <w:lang w:val="fr-CA"/>
        </w:rPr>
        <w:t>al. 41.26(1)b) selon laquelle le FSI doit « </w:t>
      </w:r>
      <w:r w:rsidRPr="006055D3">
        <w:rPr>
          <w:rFonts w:cs="Times New Roman"/>
          <w:u w:val="single"/>
          <w:lang w:val="fr-CA"/>
        </w:rPr>
        <w:t>conserver</w:t>
      </w:r>
      <w:r w:rsidRPr="006055D3">
        <w:rPr>
          <w:rFonts w:cs="Times New Roman"/>
          <w:lang w:val="fr-CA"/>
        </w:rPr>
        <w:t> » un registre permettant l</w:t>
      </w:r>
      <w:r>
        <w:rPr>
          <w:rFonts w:cs="Times New Roman"/>
          <w:lang w:val="fr-CA"/>
        </w:rPr>
        <w:t>’</w:t>
      </w:r>
      <w:r w:rsidRPr="006055D3">
        <w:rPr>
          <w:rFonts w:cs="Times New Roman"/>
          <w:lang w:val="fr-CA"/>
        </w:rPr>
        <w:t>identification. Le verbe « conserver »</w:t>
      </w:r>
      <w:r w:rsidR="00D04F46">
        <w:rPr>
          <w:rFonts w:cs="Times New Roman"/>
          <w:lang w:val="fr-CA"/>
        </w:rPr>
        <w:t xml:space="preserve"> (</w:t>
      </w:r>
      <w:r w:rsidR="00D04F46" w:rsidRPr="00D04F46">
        <w:rPr>
          <w:rFonts w:cs="Times New Roman"/>
          <w:i/>
          <w:lang w:val="fr-CA"/>
        </w:rPr>
        <w:t>retain</w:t>
      </w:r>
      <w:r w:rsidR="00D04F46">
        <w:rPr>
          <w:rFonts w:cs="Times New Roman"/>
          <w:lang w:val="fr-CA"/>
        </w:rPr>
        <w:t>)</w:t>
      </w:r>
      <w:r w:rsidRPr="006055D3">
        <w:rPr>
          <w:rFonts w:cs="Times New Roman"/>
          <w:lang w:val="fr-CA"/>
        </w:rPr>
        <w:t xml:space="preserve"> suggère quelque chose qui existe déjà, c</w:t>
      </w:r>
      <w:r>
        <w:rPr>
          <w:rFonts w:cs="Times New Roman"/>
          <w:lang w:val="fr-CA"/>
        </w:rPr>
        <w:t>’</w:t>
      </w:r>
      <w:r w:rsidRPr="006055D3">
        <w:rPr>
          <w:rFonts w:cs="Times New Roman"/>
          <w:lang w:val="fr-CA"/>
        </w:rPr>
        <w:t>est</w:t>
      </w:r>
      <w:r w:rsidRPr="006055D3">
        <w:rPr>
          <w:rFonts w:cs="Times New Roman"/>
          <w:lang w:val="fr-CA"/>
        </w:rPr>
        <w:noBreakHyphen/>
        <w:t>à</w:t>
      </w:r>
      <w:r w:rsidRPr="006055D3">
        <w:rPr>
          <w:rFonts w:cs="Times New Roman"/>
          <w:lang w:val="fr-CA"/>
        </w:rPr>
        <w:noBreakHyphen/>
        <w:t>dire [</w:t>
      </w:r>
      <w:r w:rsidRPr="006055D3">
        <w:rPr>
          <w:rFonts w:cs="Times New Roman"/>
          <w:smallCaps/>
          <w:lang w:val="fr-CA"/>
        </w:rPr>
        <w:t>traduction</w:t>
      </w:r>
      <w:r w:rsidRPr="006055D3">
        <w:rPr>
          <w:rFonts w:cs="Times New Roman"/>
          <w:lang w:val="fr-CA"/>
        </w:rPr>
        <w:t>] « maintenir, au lieu d</w:t>
      </w:r>
      <w:r>
        <w:rPr>
          <w:rFonts w:cs="Times New Roman"/>
          <w:lang w:val="fr-CA"/>
        </w:rPr>
        <w:t>’</w:t>
      </w:r>
      <w:r w:rsidRPr="006055D3">
        <w:rPr>
          <w:rFonts w:cs="Times New Roman"/>
          <w:lang w:val="fr-CA"/>
        </w:rPr>
        <w:t>écarter ou d</w:t>
      </w:r>
      <w:r>
        <w:rPr>
          <w:rFonts w:cs="Times New Roman"/>
          <w:lang w:val="fr-CA"/>
        </w:rPr>
        <w:t>’</w:t>
      </w:r>
      <w:r w:rsidRPr="006055D3">
        <w:rPr>
          <w:rFonts w:cs="Times New Roman"/>
          <w:lang w:val="fr-CA"/>
        </w:rPr>
        <w:t>enlever; préserver » ou « garder fixé dans un lieu ou une position » (</w:t>
      </w:r>
      <w:r w:rsidRPr="006055D3">
        <w:rPr>
          <w:rFonts w:cs="Times New Roman"/>
          <w:i/>
          <w:lang w:val="fr-CA"/>
        </w:rPr>
        <w:t>The</w:t>
      </w:r>
      <w:r w:rsidRPr="006055D3">
        <w:rPr>
          <w:rFonts w:cs="Times New Roman"/>
          <w:lang w:val="fr-CA"/>
        </w:rPr>
        <w:t xml:space="preserve"> </w:t>
      </w:r>
      <w:r w:rsidRPr="006055D3">
        <w:rPr>
          <w:rFonts w:cs="Times New Roman"/>
          <w:i/>
          <w:lang w:val="fr-CA"/>
        </w:rPr>
        <w:t xml:space="preserve">Oxford English Dictionary </w:t>
      </w:r>
      <w:r w:rsidRPr="006055D3">
        <w:rPr>
          <w:rFonts w:cs="Times New Roman"/>
          <w:lang w:val="fr-CA"/>
        </w:rPr>
        <w:t>(2</w:t>
      </w:r>
      <w:r w:rsidRPr="006055D3">
        <w:rPr>
          <w:rFonts w:cs="Times New Roman"/>
          <w:vertAlign w:val="superscript"/>
          <w:lang w:val="fr-CA"/>
        </w:rPr>
        <w:t>e</w:t>
      </w:r>
      <w:r w:rsidRPr="006055D3">
        <w:rPr>
          <w:rFonts w:cs="Times New Roman"/>
          <w:lang w:val="fr-CA"/>
        </w:rPr>
        <w:t xml:space="preserve"> éd. 1989), p. 768</w:t>
      </w:r>
      <w:r w:rsidRPr="006055D3">
        <w:rPr>
          <w:rFonts w:cs="Times New Roman"/>
          <w:lang w:val="fr-CA"/>
        </w:rPr>
        <w:noBreakHyphen/>
        <w:t>769). La conservation suppose donc la préservation du registre, et non l</w:t>
      </w:r>
      <w:r>
        <w:rPr>
          <w:rFonts w:cs="Times New Roman"/>
          <w:lang w:val="fr-CA"/>
        </w:rPr>
        <w:t>’</w:t>
      </w:r>
      <w:r w:rsidRPr="006055D3">
        <w:rPr>
          <w:rFonts w:cs="Times New Roman"/>
          <w:lang w:val="fr-CA"/>
        </w:rPr>
        <w:t>acte ultérieur de « traduire les renseignements [. . .] d</w:t>
      </w:r>
      <w:r>
        <w:rPr>
          <w:rFonts w:cs="Times New Roman"/>
          <w:lang w:val="fr-CA"/>
        </w:rPr>
        <w:t>’</w:t>
      </w:r>
      <w:r w:rsidRPr="006055D3">
        <w:rPr>
          <w:rFonts w:cs="Times New Roman"/>
          <w:lang w:val="fr-CA"/>
        </w:rPr>
        <w:t>une manière permettant [. . .] aux titulaires du droit d</w:t>
      </w:r>
      <w:r>
        <w:rPr>
          <w:rFonts w:cs="Times New Roman"/>
          <w:lang w:val="fr-CA"/>
        </w:rPr>
        <w:t>’</w:t>
      </w:r>
      <w:r w:rsidRPr="006055D3">
        <w:rPr>
          <w:rFonts w:cs="Times New Roman"/>
          <w:lang w:val="fr-CA"/>
        </w:rPr>
        <w:t xml:space="preserve">auteur et par la suite aux tribunaux [de] les utilise[r] » (motifs de la C.A., par. 40). Même si le </w:t>
      </w:r>
      <w:r w:rsidRPr="006055D3">
        <w:rPr>
          <w:rFonts w:cs="Times New Roman"/>
          <w:lang w:val="fr-CA"/>
        </w:rPr>
        <w:lastRenderedPageBreak/>
        <w:t>FSI, se contentant de conserver le registre sans traduction ultérieure (en convertissant son registre dans un nouveau format ou en compilant les renseignements dans un nouveau type de document), pourrait bien empêcher les titulaires de droits d</w:t>
      </w:r>
      <w:r>
        <w:rPr>
          <w:rFonts w:cs="Times New Roman"/>
          <w:lang w:val="fr-CA"/>
        </w:rPr>
        <w:t>’</w:t>
      </w:r>
      <w:r w:rsidRPr="006055D3">
        <w:rPr>
          <w:rFonts w:cs="Times New Roman"/>
          <w:lang w:val="fr-CA"/>
        </w:rPr>
        <w:t>auteur et les tribunaux de l</w:t>
      </w:r>
      <w:r>
        <w:rPr>
          <w:rFonts w:cs="Times New Roman"/>
          <w:lang w:val="fr-CA"/>
        </w:rPr>
        <w:t>’</w:t>
      </w:r>
      <w:r w:rsidRPr="006055D3">
        <w:rPr>
          <w:rFonts w:cs="Times New Roman"/>
          <w:lang w:val="fr-CA"/>
        </w:rPr>
        <w:t>utiliser pour établir le nom et l</w:t>
      </w:r>
      <w:r>
        <w:rPr>
          <w:rFonts w:cs="Times New Roman"/>
          <w:lang w:val="fr-CA"/>
        </w:rPr>
        <w:t>’</w:t>
      </w:r>
      <w:r w:rsidRPr="006055D3">
        <w:rPr>
          <w:rFonts w:cs="Times New Roman"/>
          <w:lang w:val="fr-CA"/>
        </w:rPr>
        <w:t>adresse physique d</w:t>
      </w:r>
      <w:r>
        <w:rPr>
          <w:rFonts w:cs="Times New Roman"/>
          <w:lang w:val="fr-CA"/>
        </w:rPr>
        <w:t>’</w:t>
      </w:r>
      <w:r w:rsidRPr="006055D3">
        <w:rPr>
          <w:rFonts w:cs="Times New Roman"/>
          <w:lang w:val="fr-CA"/>
        </w:rPr>
        <w:t>une personne, cela n</w:t>
      </w:r>
      <w:r>
        <w:rPr>
          <w:rFonts w:cs="Times New Roman"/>
          <w:lang w:val="fr-CA"/>
        </w:rPr>
        <w:t>’</w:t>
      </w:r>
      <w:r w:rsidRPr="006055D3">
        <w:rPr>
          <w:rFonts w:cs="Times New Roman"/>
          <w:lang w:val="fr-CA"/>
        </w:rPr>
        <w:t xml:space="preserve">empêcherait généralement pas le FSI de le faire. </w:t>
      </w:r>
    </w:p>
    <w:p w:rsidR="00E8197E" w:rsidRPr="006055D3" w:rsidRDefault="00E8197E" w:rsidP="00E8197E">
      <w:pPr>
        <w:pStyle w:val="ParaNoNdepar-AltN"/>
        <w:rPr>
          <w:rFonts w:cs="Times New Roman"/>
          <w:lang w:val="fr-CA"/>
        </w:rPr>
      </w:pPr>
      <w:r w:rsidRPr="006055D3">
        <w:rPr>
          <w:rFonts w:cs="Times New Roman"/>
          <w:lang w:val="fr-CA"/>
        </w:rPr>
        <w:t>Cette interprétation s</w:t>
      </w:r>
      <w:r>
        <w:rPr>
          <w:rFonts w:cs="Times New Roman"/>
          <w:lang w:val="fr-CA"/>
        </w:rPr>
        <w:t>’</w:t>
      </w:r>
      <w:r w:rsidRPr="006055D3">
        <w:rPr>
          <w:rFonts w:cs="Times New Roman"/>
          <w:lang w:val="fr-CA"/>
        </w:rPr>
        <w:t>inscrit également dans l</w:t>
      </w:r>
      <w:r>
        <w:rPr>
          <w:rFonts w:cs="Times New Roman"/>
          <w:lang w:val="fr-CA"/>
        </w:rPr>
        <w:t>’</w:t>
      </w:r>
      <w:r w:rsidRPr="006055D3">
        <w:rPr>
          <w:rFonts w:cs="Times New Roman"/>
          <w:lang w:val="fr-CA"/>
        </w:rPr>
        <w:t>économie générale du régime d</w:t>
      </w:r>
      <w:r>
        <w:rPr>
          <w:rFonts w:cs="Times New Roman"/>
          <w:lang w:val="fr-CA"/>
        </w:rPr>
        <w:t>’</w:t>
      </w:r>
      <w:r w:rsidRPr="006055D3">
        <w:rPr>
          <w:rFonts w:cs="Times New Roman"/>
          <w:lang w:val="fr-CA"/>
        </w:rPr>
        <w:t>avis et avis, dans le cadre de laquelle l</w:t>
      </w:r>
      <w:r>
        <w:rPr>
          <w:rFonts w:cs="Times New Roman"/>
          <w:lang w:val="fr-CA"/>
        </w:rPr>
        <w:t>’</w:t>
      </w:r>
      <w:r w:rsidRPr="006055D3">
        <w:rPr>
          <w:rFonts w:cs="Times New Roman"/>
          <w:lang w:val="fr-CA"/>
        </w:rPr>
        <w:t>objectif dissuasif est visé. Comme je l</w:t>
      </w:r>
      <w:r>
        <w:rPr>
          <w:rFonts w:cs="Times New Roman"/>
          <w:lang w:val="fr-CA"/>
        </w:rPr>
        <w:t>’</w:t>
      </w:r>
      <w:r w:rsidRPr="006055D3">
        <w:rPr>
          <w:rFonts w:cs="Times New Roman"/>
          <w:lang w:val="fr-CA"/>
        </w:rPr>
        <w:t>ai mentionné, lorsqu</w:t>
      </w:r>
      <w:r>
        <w:rPr>
          <w:rFonts w:cs="Times New Roman"/>
          <w:lang w:val="fr-CA"/>
        </w:rPr>
        <w:t>’</w:t>
      </w:r>
      <w:r w:rsidRPr="006055D3">
        <w:rPr>
          <w:rFonts w:cs="Times New Roman"/>
          <w:lang w:val="fr-CA"/>
        </w:rPr>
        <w:t>il a adopté le régime d</w:t>
      </w:r>
      <w:r>
        <w:rPr>
          <w:rFonts w:cs="Times New Roman"/>
          <w:lang w:val="fr-CA"/>
        </w:rPr>
        <w:t>’</w:t>
      </w:r>
      <w:r w:rsidRPr="006055D3">
        <w:rPr>
          <w:rFonts w:cs="Times New Roman"/>
          <w:lang w:val="fr-CA"/>
        </w:rPr>
        <w:t>avis et avis, le Parlement savait que celui</w:t>
      </w:r>
      <w:r w:rsidRPr="006055D3">
        <w:rPr>
          <w:rFonts w:cs="Times New Roman"/>
          <w:lang w:val="fr-CA"/>
        </w:rPr>
        <w:noBreakHyphen/>
        <w:t>ci n</w:t>
      </w:r>
      <w:r>
        <w:rPr>
          <w:rFonts w:cs="Times New Roman"/>
          <w:lang w:val="fr-CA"/>
        </w:rPr>
        <w:t>’</w:t>
      </w:r>
      <w:r w:rsidRPr="006055D3">
        <w:rPr>
          <w:rFonts w:cs="Times New Roman"/>
          <w:lang w:val="fr-CA"/>
        </w:rPr>
        <w:t>était qu</w:t>
      </w:r>
      <w:r>
        <w:rPr>
          <w:rFonts w:cs="Times New Roman"/>
          <w:lang w:val="fr-CA"/>
        </w:rPr>
        <w:t>’</w:t>
      </w:r>
      <w:r w:rsidRPr="006055D3">
        <w:rPr>
          <w:rFonts w:cs="Times New Roman"/>
          <w:lang w:val="fr-CA"/>
        </w:rPr>
        <w:t>une première étape dans la dissuasion de la violation en ligne du droit d</w:t>
      </w:r>
      <w:r>
        <w:rPr>
          <w:rFonts w:cs="Times New Roman"/>
          <w:lang w:val="fr-CA"/>
        </w:rPr>
        <w:t>’</w:t>
      </w:r>
      <w:r w:rsidRPr="006055D3">
        <w:rPr>
          <w:rFonts w:cs="Times New Roman"/>
          <w:lang w:val="fr-CA"/>
        </w:rPr>
        <w:t>auteur, et que le titulaire du droit d</w:t>
      </w:r>
      <w:r>
        <w:rPr>
          <w:rFonts w:cs="Times New Roman"/>
          <w:lang w:val="fr-CA"/>
        </w:rPr>
        <w:t>’</w:t>
      </w:r>
      <w:r w:rsidRPr="006055D3">
        <w:rPr>
          <w:rFonts w:cs="Times New Roman"/>
          <w:lang w:val="fr-CA"/>
        </w:rPr>
        <w:t>auteur qui souhaitait poursuivre une personne qui aurait violé son droit serait toujours tenu d</w:t>
      </w:r>
      <w:r>
        <w:rPr>
          <w:rFonts w:cs="Times New Roman"/>
          <w:lang w:val="fr-CA"/>
        </w:rPr>
        <w:t>’</w:t>
      </w:r>
      <w:r w:rsidRPr="006055D3">
        <w:rPr>
          <w:rFonts w:cs="Times New Roman"/>
          <w:lang w:val="fr-CA"/>
        </w:rPr>
        <w:t xml:space="preserve">obtenir une ordonnance de type </w:t>
      </w:r>
      <w:r w:rsidRPr="006055D3">
        <w:rPr>
          <w:rFonts w:cs="Times New Roman"/>
          <w:i/>
          <w:lang w:val="fr-CA"/>
        </w:rPr>
        <w:t>Norwich</w:t>
      </w:r>
      <w:r w:rsidRPr="006055D3">
        <w:rPr>
          <w:rFonts w:cs="Times New Roman"/>
          <w:lang w:val="fr-CA"/>
        </w:rPr>
        <w:t xml:space="preserve"> pour l</w:t>
      </w:r>
      <w:r>
        <w:rPr>
          <w:rFonts w:cs="Times New Roman"/>
          <w:lang w:val="fr-CA"/>
        </w:rPr>
        <w:t>’</w:t>
      </w:r>
      <w:r w:rsidRPr="006055D3">
        <w:rPr>
          <w:rFonts w:cs="Times New Roman"/>
          <w:lang w:val="fr-CA"/>
        </w:rPr>
        <w:t xml:space="preserve">identifier. Une ordonnance de type </w:t>
      </w:r>
      <w:r w:rsidRPr="006055D3">
        <w:rPr>
          <w:rFonts w:cs="Times New Roman"/>
          <w:i/>
          <w:lang w:val="fr-CA"/>
        </w:rPr>
        <w:t>Norwich</w:t>
      </w:r>
      <w:r w:rsidRPr="006055D3">
        <w:rPr>
          <w:rFonts w:cs="Times New Roman"/>
          <w:lang w:val="fr-CA"/>
        </w:rPr>
        <w:t xml:space="preserve"> exigeant que le FSI, à partir de son registre, établisse et communique le nom et l</w:t>
      </w:r>
      <w:r>
        <w:rPr>
          <w:rFonts w:cs="Times New Roman"/>
          <w:lang w:val="fr-CA"/>
        </w:rPr>
        <w:t>’</w:t>
      </w:r>
      <w:r w:rsidRPr="006055D3">
        <w:rPr>
          <w:rFonts w:cs="Times New Roman"/>
          <w:lang w:val="fr-CA"/>
        </w:rPr>
        <w:t>adresse physique de la personne qui aurait violé le droit d</w:t>
      </w:r>
      <w:r>
        <w:rPr>
          <w:rFonts w:cs="Times New Roman"/>
          <w:lang w:val="fr-CA"/>
        </w:rPr>
        <w:t>’</w:t>
      </w:r>
      <w:r w:rsidRPr="006055D3">
        <w:rPr>
          <w:rFonts w:cs="Times New Roman"/>
          <w:lang w:val="fr-CA"/>
        </w:rPr>
        <w:t>auteur ne sera pas satisfaite si le FSI communique simplement des renseignements qui se présentent sous une forme inutilisable pour le titulaire du droit d</w:t>
      </w:r>
      <w:r>
        <w:rPr>
          <w:rFonts w:cs="Times New Roman"/>
          <w:lang w:val="fr-CA"/>
        </w:rPr>
        <w:t>’</w:t>
      </w:r>
      <w:r w:rsidRPr="006055D3">
        <w:rPr>
          <w:rFonts w:cs="Times New Roman"/>
          <w:lang w:val="fr-CA"/>
        </w:rPr>
        <w:t xml:space="preserve">auteur ou le tribunal; les FSI assujettis à des ordonnances de type </w:t>
      </w:r>
      <w:r w:rsidRPr="006055D3">
        <w:rPr>
          <w:rFonts w:cs="Times New Roman"/>
          <w:i/>
          <w:lang w:val="fr-CA"/>
        </w:rPr>
        <w:t>Norwich</w:t>
      </w:r>
      <w:r w:rsidRPr="006055D3">
        <w:rPr>
          <w:rFonts w:cs="Times New Roman"/>
          <w:lang w:val="fr-CA"/>
        </w:rPr>
        <w:t xml:space="preserve"> doivent plutôt établir et communiquer, à partir de leur registre, le nom et l</w:t>
      </w:r>
      <w:r>
        <w:rPr>
          <w:rFonts w:cs="Times New Roman"/>
          <w:lang w:val="fr-CA"/>
        </w:rPr>
        <w:t>’</w:t>
      </w:r>
      <w:r w:rsidRPr="006055D3">
        <w:rPr>
          <w:rFonts w:cs="Times New Roman"/>
          <w:lang w:val="fr-CA"/>
        </w:rPr>
        <w:t>adresse physique des personnes qui auraient violé un droit d</w:t>
      </w:r>
      <w:r>
        <w:rPr>
          <w:rFonts w:cs="Times New Roman"/>
          <w:lang w:val="fr-CA"/>
        </w:rPr>
        <w:t>’</w:t>
      </w:r>
      <w:r w:rsidRPr="006055D3">
        <w:rPr>
          <w:rFonts w:cs="Times New Roman"/>
          <w:lang w:val="fr-CA"/>
        </w:rPr>
        <w:t>auteur (</w:t>
      </w:r>
      <w:r w:rsidRPr="006055D3">
        <w:rPr>
          <w:rFonts w:cs="Times New Roman"/>
          <w:i/>
          <w:lang w:val="fr-CA"/>
        </w:rPr>
        <w:t>Voltage Pictures LLC c. Untel</w:t>
      </w:r>
      <w:r w:rsidRPr="006055D3">
        <w:rPr>
          <w:rFonts w:cs="Times New Roman"/>
          <w:lang w:val="fr-CA"/>
        </w:rPr>
        <w:t xml:space="preserve">, 2011 CF 1024; </w:t>
      </w:r>
      <w:r w:rsidRPr="006055D3">
        <w:rPr>
          <w:rFonts w:cs="Times New Roman"/>
          <w:i/>
          <w:lang w:val="fr-CA"/>
        </w:rPr>
        <w:t xml:space="preserve">Voltage Pictures </w:t>
      </w:r>
      <w:r w:rsidRPr="006055D3">
        <w:rPr>
          <w:rFonts w:cs="Times New Roman"/>
          <w:lang w:val="fr-CA"/>
        </w:rPr>
        <w:t xml:space="preserve">(2014)). </w:t>
      </w:r>
    </w:p>
    <w:p w:rsidR="00E8197E" w:rsidRPr="006055D3" w:rsidRDefault="00E8197E" w:rsidP="00E8197E">
      <w:pPr>
        <w:pStyle w:val="ParaNoNdepar-AltN"/>
        <w:rPr>
          <w:rFonts w:cs="Times New Roman"/>
          <w:lang w:val="fr-CA"/>
        </w:rPr>
      </w:pPr>
      <w:r w:rsidRPr="006055D3">
        <w:rPr>
          <w:rFonts w:cs="Times New Roman"/>
          <w:lang w:val="fr-CA"/>
        </w:rPr>
        <w:t>Enfin, j</w:t>
      </w:r>
      <w:r>
        <w:rPr>
          <w:rFonts w:cs="Times New Roman"/>
          <w:lang w:val="fr-CA"/>
        </w:rPr>
        <w:t>’</w:t>
      </w:r>
      <w:r w:rsidRPr="006055D3">
        <w:rPr>
          <w:rFonts w:cs="Times New Roman"/>
          <w:lang w:val="fr-CA"/>
        </w:rPr>
        <w:t>insiste sur le fait que l</w:t>
      </w:r>
      <w:r>
        <w:rPr>
          <w:rFonts w:cs="Times New Roman"/>
          <w:lang w:val="fr-CA"/>
        </w:rPr>
        <w:t>’</w:t>
      </w:r>
      <w:r w:rsidRPr="006055D3">
        <w:rPr>
          <w:rFonts w:cs="Times New Roman"/>
          <w:lang w:val="fr-CA"/>
        </w:rPr>
        <w:t>al. 41.26(1)b), comme l</w:t>
      </w:r>
      <w:r>
        <w:rPr>
          <w:rFonts w:cs="Times New Roman"/>
          <w:lang w:val="fr-CA"/>
        </w:rPr>
        <w:t>’</w:t>
      </w:r>
      <w:r w:rsidRPr="006055D3">
        <w:rPr>
          <w:rFonts w:cs="Times New Roman"/>
          <w:lang w:val="fr-CA"/>
        </w:rPr>
        <w:t>al. 41.26(1)a), exige implicitement que le FSI conserve un registre qui lui permette d</w:t>
      </w:r>
      <w:r>
        <w:rPr>
          <w:rFonts w:cs="Times New Roman"/>
          <w:lang w:val="fr-CA"/>
        </w:rPr>
        <w:t>’</w:t>
      </w:r>
      <w:r w:rsidRPr="006055D3">
        <w:rPr>
          <w:rFonts w:cs="Times New Roman"/>
          <w:lang w:val="fr-CA"/>
        </w:rPr>
        <w:t xml:space="preserve">identifier </w:t>
      </w:r>
      <w:r w:rsidRPr="006055D3">
        <w:rPr>
          <w:rFonts w:cs="Times New Roman"/>
          <w:i/>
          <w:lang w:val="fr-CA"/>
        </w:rPr>
        <w:t>correctement</w:t>
      </w:r>
      <w:r w:rsidRPr="006055D3">
        <w:rPr>
          <w:rFonts w:cs="Times New Roman"/>
          <w:lang w:val="fr-CA"/>
        </w:rPr>
        <w:t xml:space="preserve"> la personne à qui appartenait l</w:t>
      </w:r>
      <w:r>
        <w:rPr>
          <w:rFonts w:cs="Times New Roman"/>
          <w:lang w:val="fr-CA"/>
        </w:rPr>
        <w:t>’</w:t>
      </w:r>
      <w:r w:rsidRPr="006055D3">
        <w:rPr>
          <w:rFonts w:cs="Times New Roman"/>
          <w:lang w:val="fr-CA"/>
        </w:rPr>
        <w:t>adresse IP en cause. Je suis d</w:t>
      </w:r>
      <w:r>
        <w:rPr>
          <w:rFonts w:cs="Times New Roman"/>
          <w:lang w:val="fr-CA"/>
        </w:rPr>
        <w:t>’</w:t>
      </w:r>
      <w:r w:rsidRPr="006055D3">
        <w:rPr>
          <w:rFonts w:cs="Times New Roman"/>
          <w:lang w:val="fr-CA"/>
        </w:rPr>
        <w:t>accord avec la Cour d</w:t>
      </w:r>
      <w:r>
        <w:rPr>
          <w:rFonts w:cs="Times New Roman"/>
          <w:lang w:val="fr-CA"/>
        </w:rPr>
        <w:t>’</w:t>
      </w:r>
      <w:r w:rsidRPr="006055D3">
        <w:rPr>
          <w:rFonts w:cs="Times New Roman"/>
          <w:lang w:val="fr-CA"/>
        </w:rPr>
        <w:t>appel fédérale pour dire que le régime d</w:t>
      </w:r>
      <w:r>
        <w:rPr>
          <w:rFonts w:cs="Times New Roman"/>
          <w:lang w:val="fr-CA"/>
        </w:rPr>
        <w:t>’</w:t>
      </w:r>
      <w:r w:rsidRPr="006055D3">
        <w:rPr>
          <w:rFonts w:cs="Times New Roman"/>
          <w:lang w:val="fr-CA"/>
        </w:rPr>
        <w:t xml:space="preserve">avis et avis devrait être interprété </w:t>
      </w:r>
      <w:r w:rsidRPr="006055D3">
        <w:rPr>
          <w:rFonts w:cs="Times New Roman"/>
          <w:lang w:val="fr-CA"/>
        </w:rPr>
        <w:lastRenderedPageBreak/>
        <w:t>« comme autorisant les titulaires du droit d</w:t>
      </w:r>
      <w:r>
        <w:rPr>
          <w:rFonts w:cs="Times New Roman"/>
          <w:lang w:val="fr-CA"/>
        </w:rPr>
        <w:t>’</w:t>
      </w:r>
      <w:r w:rsidRPr="006055D3">
        <w:rPr>
          <w:rFonts w:cs="Times New Roman"/>
          <w:lang w:val="fr-CA"/>
        </w:rPr>
        <w:t>auteur à protéger et à faire valoir leurs droits aussi rapidement, facilement et efficacement que possible, tout en assurant un juste traitement de tous ». L</w:t>
      </w:r>
      <w:r>
        <w:rPr>
          <w:rFonts w:cs="Times New Roman"/>
          <w:lang w:val="fr-CA"/>
        </w:rPr>
        <w:t>’</w:t>
      </w:r>
      <w:r w:rsidRPr="006055D3">
        <w:rPr>
          <w:rFonts w:cs="Times New Roman"/>
          <w:lang w:val="fr-CA"/>
        </w:rPr>
        <w:t>identification inexacte par le FSI, ainsi que le retard qui s</w:t>
      </w:r>
      <w:r>
        <w:rPr>
          <w:rFonts w:cs="Times New Roman"/>
          <w:lang w:val="fr-CA"/>
        </w:rPr>
        <w:t>’</w:t>
      </w:r>
      <w:r w:rsidRPr="006055D3">
        <w:rPr>
          <w:rFonts w:cs="Times New Roman"/>
          <w:lang w:val="fr-CA"/>
        </w:rPr>
        <w:t>ensuivrait, compromettrait la revendication en temps utile des droits d</w:t>
      </w:r>
      <w:r>
        <w:rPr>
          <w:rFonts w:cs="Times New Roman"/>
          <w:lang w:val="fr-CA"/>
        </w:rPr>
        <w:t>’</w:t>
      </w:r>
      <w:r w:rsidRPr="006055D3">
        <w:rPr>
          <w:rFonts w:cs="Times New Roman"/>
          <w:lang w:val="fr-CA"/>
        </w:rPr>
        <w:t>auteur. En effet, compte tenu de la rapidité avec laquelle le contenu protégé par le droit d</w:t>
      </w:r>
      <w:r>
        <w:rPr>
          <w:rFonts w:cs="Times New Roman"/>
          <w:lang w:val="fr-CA"/>
        </w:rPr>
        <w:t>’</w:t>
      </w:r>
      <w:r w:rsidRPr="006055D3">
        <w:rPr>
          <w:rFonts w:cs="Times New Roman"/>
          <w:lang w:val="fr-CA"/>
        </w:rPr>
        <w:t>auteur est partagé par téléchargement et téléversement simultanés sur des réseaux poste à poste, une identification inexacte pourrait vider complètement ces droits de leur substance. L</w:t>
      </w:r>
      <w:r>
        <w:rPr>
          <w:rFonts w:cs="Times New Roman"/>
          <w:lang w:val="fr-CA"/>
        </w:rPr>
        <w:t>’</w:t>
      </w:r>
      <w:r w:rsidRPr="006055D3">
        <w:rPr>
          <w:rFonts w:cs="Times New Roman"/>
          <w:lang w:val="fr-CA"/>
        </w:rPr>
        <w:t>alinéa 41.26(1)b) a pour objectif de permettre l</w:t>
      </w:r>
      <w:r>
        <w:rPr>
          <w:rFonts w:cs="Times New Roman"/>
          <w:lang w:val="fr-CA"/>
        </w:rPr>
        <w:t>’</w:t>
      </w:r>
      <w:r w:rsidRPr="006055D3">
        <w:rPr>
          <w:rFonts w:cs="Times New Roman"/>
          <w:lang w:val="fr-CA"/>
        </w:rPr>
        <w:t xml:space="preserve">identification </w:t>
      </w:r>
      <w:r w:rsidRPr="006055D3">
        <w:rPr>
          <w:rFonts w:cs="Times New Roman"/>
          <w:i/>
          <w:lang w:val="fr-CA"/>
        </w:rPr>
        <w:t>lorsque le FSI est tenu de le faire aux termes d</w:t>
      </w:r>
      <w:r>
        <w:rPr>
          <w:rFonts w:cs="Times New Roman"/>
          <w:i/>
          <w:lang w:val="fr-CA"/>
        </w:rPr>
        <w:t>’</w:t>
      </w:r>
      <w:r w:rsidRPr="006055D3">
        <w:rPr>
          <w:rFonts w:cs="Times New Roman"/>
          <w:i/>
          <w:lang w:val="fr-CA"/>
        </w:rPr>
        <w:t>une ordonnance judiciaire</w:t>
      </w:r>
      <w:r w:rsidRPr="006055D3">
        <w:rPr>
          <w:rFonts w:cs="Times New Roman"/>
          <w:lang w:val="fr-CA"/>
        </w:rPr>
        <w:t>. Il est donc de la plus haute importance que le FSI conserve son registre d</w:t>
      </w:r>
      <w:r>
        <w:rPr>
          <w:rFonts w:cs="Times New Roman"/>
          <w:lang w:val="fr-CA"/>
        </w:rPr>
        <w:t>’</w:t>
      </w:r>
      <w:r w:rsidRPr="006055D3">
        <w:rPr>
          <w:rFonts w:cs="Times New Roman"/>
          <w:lang w:val="fr-CA"/>
        </w:rPr>
        <w:t>une manière et sous une forme qui préserve son exactitude afin d</w:t>
      </w:r>
      <w:r>
        <w:rPr>
          <w:rFonts w:cs="Times New Roman"/>
          <w:lang w:val="fr-CA"/>
        </w:rPr>
        <w:t>’</w:t>
      </w:r>
      <w:r w:rsidRPr="006055D3">
        <w:rPr>
          <w:rFonts w:cs="Times New Roman"/>
          <w:lang w:val="fr-CA"/>
        </w:rPr>
        <w:t>assurer que l</w:t>
      </w:r>
      <w:r>
        <w:rPr>
          <w:rFonts w:cs="Times New Roman"/>
          <w:lang w:val="fr-CA"/>
        </w:rPr>
        <w:t>’</w:t>
      </w:r>
      <w:r w:rsidRPr="006055D3">
        <w:rPr>
          <w:rFonts w:cs="Times New Roman"/>
          <w:lang w:val="fr-CA"/>
        </w:rPr>
        <w:t>identification se fasse rapidement.</w:t>
      </w:r>
    </w:p>
    <w:p w:rsidR="00E8197E" w:rsidRPr="006055D3" w:rsidRDefault="00E8197E" w:rsidP="00E8197E">
      <w:pPr>
        <w:pStyle w:val="Title4LevelTitre4Niveau"/>
        <w:rPr>
          <w:rFonts w:cs="Times New Roman"/>
          <w:lang w:val="fr-CA"/>
        </w:rPr>
      </w:pPr>
      <w:r w:rsidRPr="006055D3">
        <w:rPr>
          <w:rFonts w:cs="Times New Roman"/>
          <w:lang w:val="fr-CA"/>
        </w:rPr>
        <w:t>Conclusion relative au par</w:t>
      </w:r>
      <w:r w:rsidR="00750D99">
        <w:rPr>
          <w:rFonts w:cs="Times New Roman"/>
          <w:lang w:val="fr-CA"/>
        </w:rPr>
        <w:t>.</w:t>
      </w:r>
      <w:r w:rsidRPr="006055D3">
        <w:rPr>
          <w:rFonts w:cs="Times New Roman"/>
          <w:lang w:val="fr-CA"/>
        </w:rPr>
        <w:t> 41.26(1)</w:t>
      </w:r>
    </w:p>
    <w:p w:rsidR="00E8197E" w:rsidRPr="006055D3" w:rsidRDefault="00E8197E" w:rsidP="00E8197E">
      <w:pPr>
        <w:pStyle w:val="ParaNoNdepar-AltN"/>
        <w:rPr>
          <w:rFonts w:cs="Times New Roman"/>
          <w:lang w:val="fr-CA"/>
        </w:rPr>
      </w:pPr>
      <w:r w:rsidRPr="006055D3">
        <w:rPr>
          <w:rFonts w:cs="Times New Roman"/>
          <w:lang w:val="fr-CA"/>
        </w:rPr>
        <w:t>En bref, les trois obligations expresses énoncées aux al. 41.26(1)a) et b) comportent plusieurs obligations implicites dont le FSI doit s</w:t>
      </w:r>
      <w:r>
        <w:rPr>
          <w:rFonts w:cs="Times New Roman"/>
          <w:lang w:val="fr-CA"/>
        </w:rPr>
        <w:t>’</w:t>
      </w:r>
      <w:r w:rsidRPr="006055D3">
        <w:rPr>
          <w:rFonts w:cs="Times New Roman"/>
          <w:lang w:val="fr-CA"/>
        </w:rPr>
        <w:t>acquitter dans le cadre du régime d</w:t>
      </w:r>
      <w:r>
        <w:rPr>
          <w:rFonts w:cs="Times New Roman"/>
          <w:lang w:val="fr-CA"/>
        </w:rPr>
        <w:t>’</w:t>
      </w:r>
      <w:r w:rsidRPr="006055D3">
        <w:rPr>
          <w:rFonts w:cs="Times New Roman"/>
          <w:lang w:val="fr-CA"/>
        </w:rPr>
        <w:t>avis et avis. Plus précisément, l</w:t>
      </w:r>
      <w:r>
        <w:rPr>
          <w:rFonts w:cs="Times New Roman"/>
          <w:lang w:val="fr-CA"/>
        </w:rPr>
        <w:t>’</w:t>
      </w:r>
      <w:r w:rsidRPr="006055D3">
        <w:rPr>
          <w:rFonts w:cs="Times New Roman"/>
          <w:lang w:val="fr-CA"/>
        </w:rPr>
        <w:t>al. 41.26(1)a) exige que le FSI établisse, aux fins de la transmission d</w:t>
      </w:r>
      <w:r>
        <w:rPr>
          <w:rFonts w:cs="Times New Roman"/>
          <w:lang w:val="fr-CA"/>
        </w:rPr>
        <w:t>’</w:t>
      </w:r>
      <w:r w:rsidRPr="006055D3">
        <w:rPr>
          <w:rFonts w:cs="Times New Roman"/>
          <w:lang w:val="fr-CA"/>
        </w:rPr>
        <w:t>un avis par voie électronique, l</w:t>
      </w:r>
      <w:r>
        <w:rPr>
          <w:rFonts w:cs="Times New Roman"/>
          <w:lang w:val="fr-CA"/>
        </w:rPr>
        <w:t>’</w:t>
      </w:r>
      <w:r w:rsidRPr="006055D3">
        <w:rPr>
          <w:rFonts w:cs="Times New Roman"/>
          <w:lang w:val="fr-CA"/>
        </w:rPr>
        <w:t>identité de la personne à qui appartenait l</w:t>
      </w:r>
      <w:r>
        <w:rPr>
          <w:rFonts w:cs="Times New Roman"/>
          <w:lang w:val="fr-CA"/>
        </w:rPr>
        <w:t>’</w:t>
      </w:r>
      <w:r w:rsidRPr="006055D3">
        <w:rPr>
          <w:rFonts w:cs="Times New Roman"/>
          <w:lang w:val="fr-CA"/>
        </w:rPr>
        <w:t>adresse IP. Il exige également que le FSI prenne toutes les mesures nécessaires pour vérifier qu</w:t>
      </w:r>
      <w:r>
        <w:rPr>
          <w:rFonts w:cs="Times New Roman"/>
          <w:lang w:val="fr-CA"/>
        </w:rPr>
        <w:t>’</w:t>
      </w:r>
      <w:r w:rsidRPr="006055D3">
        <w:rPr>
          <w:rFonts w:cs="Times New Roman"/>
          <w:lang w:val="fr-CA"/>
        </w:rPr>
        <w:t>il l</w:t>
      </w:r>
      <w:r>
        <w:rPr>
          <w:rFonts w:cs="Times New Roman"/>
          <w:lang w:val="fr-CA"/>
        </w:rPr>
        <w:t>’</w:t>
      </w:r>
      <w:r w:rsidRPr="006055D3">
        <w:rPr>
          <w:rFonts w:cs="Times New Roman"/>
          <w:lang w:val="fr-CA"/>
        </w:rPr>
        <w:t>a fait correctement, sous peine de voir sa responsabilité légale engagée s</w:t>
      </w:r>
      <w:r>
        <w:rPr>
          <w:rFonts w:cs="Times New Roman"/>
          <w:lang w:val="fr-CA"/>
        </w:rPr>
        <w:t>’</w:t>
      </w:r>
      <w:r w:rsidRPr="006055D3">
        <w:rPr>
          <w:rFonts w:cs="Times New Roman"/>
          <w:lang w:val="fr-CA"/>
        </w:rPr>
        <w:t>il ne transmet pas l</w:t>
      </w:r>
      <w:r>
        <w:rPr>
          <w:rFonts w:cs="Times New Roman"/>
          <w:lang w:val="fr-CA"/>
        </w:rPr>
        <w:t>’</w:t>
      </w:r>
      <w:r w:rsidRPr="006055D3">
        <w:rPr>
          <w:rFonts w:cs="Times New Roman"/>
          <w:lang w:val="fr-CA"/>
        </w:rPr>
        <w:t>avis à cette personne. Il n</w:t>
      </w:r>
      <w:r>
        <w:rPr>
          <w:rFonts w:cs="Times New Roman"/>
          <w:lang w:val="fr-CA"/>
        </w:rPr>
        <w:t>’</w:t>
      </w:r>
      <w:r w:rsidRPr="006055D3">
        <w:rPr>
          <w:rFonts w:cs="Times New Roman"/>
          <w:lang w:val="fr-CA"/>
        </w:rPr>
        <w:t>exige pas, toutefois, que le FSI établisse le nom et l</w:t>
      </w:r>
      <w:r>
        <w:rPr>
          <w:rFonts w:cs="Times New Roman"/>
          <w:lang w:val="fr-CA"/>
        </w:rPr>
        <w:t>’</w:t>
      </w:r>
      <w:r w:rsidRPr="006055D3">
        <w:rPr>
          <w:rFonts w:cs="Times New Roman"/>
          <w:lang w:val="fr-CA"/>
        </w:rPr>
        <w:t xml:space="preserve">adresse physique de cette personne. </w:t>
      </w:r>
    </w:p>
    <w:p w:rsidR="00E8197E" w:rsidRPr="006055D3" w:rsidRDefault="00E8197E" w:rsidP="00E8197E">
      <w:pPr>
        <w:pStyle w:val="ParaNoNdepar-AltN"/>
        <w:rPr>
          <w:rFonts w:cs="Times New Roman"/>
          <w:lang w:val="fr-CA"/>
        </w:rPr>
      </w:pPr>
      <w:r w:rsidRPr="006055D3">
        <w:rPr>
          <w:rFonts w:cs="Times New Roman"/>
          <w:lang w:val="fr-CA"/>
        </w:rPr>
        <w:t>De même, le registre que le FSI doit conserver aux termes de l</w:t>
      </w:r>
      <w:r>
        <w:rPr>
          <w:rFonts w:cs="Times New Roman"/>
          <w:lang w:val="fr-CA"/>
        </w:rPr>
        <w:t>’</w:t>
      </w:r>
      <w:r w:rsidRPr="006055D3">
        <w:rPr>
          <w:rFonts w:cs="Times New Roman"/>
          <w:lang w:val="fr-CA"/>
        </w:rPr>
        <w:t>al. 41.26(1)b) doit être exact. Toute mesure nécessaire pour la vérification de l</w:t>
      </w:r>
      <w:r>
        <w:rPr>
          <w:rFonts w:cs="Times New Roman"/>
          <w:lang w:val="fr-CA"/>
        </w:rPr>
        <w:t>’</w:t>
      </w:r>
      <w:r w:rsidRPr="006055D3">
        <w:rPr>
          <w:rFonts w:cs="Times New Roman"/>
          <w:lang w:val="fr-CA"/>
        </w:rPr>
        <w:t xml:space="preserve">exactitude de ce registre fait donc partie des obligations du FSI au titre de </w:t>
      </w:r>
      <w:r w:rsidRPr="006055D3">
        <w:rPr>
          <w:rFonts w:cs="Times New Roman"/>
          <w:lang w:val="fr-CA"/>
        </w:rPr>
        <w:lastRenderedPageBreak/>
        <w:t>l</w:t>
      </w:r>
      <w:r>
        <w:rPr>
          <w:rFonts w:cs="Times New Roman"/>
          <w:lang w:val="fr-CA"/>
        </w:rPr>
        <w:t>’</w:t>
      </w:r>
      <w:r w:rsidRPr="006055D3">
        <w:rPr>
          <w:rFonts w:cs="Times New Roman"/>
          <w:lang w:val="fr-CA"/>
        </w:rPr>
        <w:t>al. 41.26(1)b). Cela dit, bien que ce registre doive être conservé sous une forme et d</w:t>
      </w:r>
      <w:r>
        <w:rPr>
          <w:rFonts w:cs="Times New Roman"/>
          <w:lang w:val="fr-CA"/>
        </w:rPr>
        <w:t>’</w:t>
      </w:r>
      <w:r w:rsidRPr="006055D3">
        <w:rPr>
          <w:rFonts w:cs="Times New Roman"/>
          <w:lang w:val="fr-CA"/>
        </w:rPr>
        <w:t xml:space="preserve">une manière permettant à </w:t>
      </w:r>
      <w:r w:rsidRPr="006055D3">
        <w:rPr>
          <w:rFonts w:cs="Times New Roman"/>
          <w:i/>
          <w:lang w:val="fr-CA"/>
        </w:rPr>
        <w:t>un FSI</w:t>
      </w:r>
      <w:r w:rsidRPr="006055D3">
        <w:rPr>
          <w:rFonts w:cs="Times New Roman"/>
          <w:lang w:val="fr-CA"/>
        </w:rPr>
        <w:t xml:space="preserve"> d</w:t>
      </w:r>
      <w:r>
        <w:rPr>
          <w:rFonts w:cs="Times New Roman"/>
          <w:lang w:val="fr-CA"/>
        </w:rPr>
        <w:t>’</w:t>
      </w:r>
      <w:r w:rsidRPr="006055D3">
        <w:rPr>
          <w:rFonts w:cs="Times New Roman"/>
          <w:lang w:val="fr-CA"/>
        </w:rPr>
        <w:t>établir le nom et l</w:t>
      </w:r>
      <w:r>
        <w:rPr>
          <w:rFonts w:cs="Times New Roman"/>
          <w:lang w:val="fr-CA"/>
        </w:rPr>
        <w:t>’</w:t>
      </w:r>
      <w:r w:rsidRPr="006055D3">
        <w:rPr>
          <w:rFonts w:cs="Times New Roman"/>
          <w:lang w:val="fr-CA"/>
        </w:rPr>
        <w:t>adresse de la personne à qui l</w:t>
      </w:r>
      <w:r>
        <w:rPr>
          <w:rFonts w:cs="Times New Roman"/>
          <w:lang w:val="fr-CA"/>
        </w:rPr>
        <w:t>’</w:t>
      </w:r>
      <w:r w:rsidRPr="006055D3">
        <w:rPr>
          <w:rFonts w:cs="Times New Roman"/>
          <w:lang w:val="fr-CA"/>
        </w:rPr>
        <w:t>avis est transmis aux termes de l</w:t>
      </w:r>
      <w:r>
        <w:rPr>
          <w:rFonts w:cs="Times New Roman"/>
          <w:lang w:val="fr-CA"/>
        </w:rPr>
        <w:t>’</w:t>
      </w:r>
      <w:r w:rsidRPr="006055D3">
        <w:rPr>
          <w:rFonts w:cs="Times New Roman"/>
          <w:lang w:val="fr-CA"/>
        </w:rPr>
        <w:t>al. 41.26(1)a), l</w:t>
      </w:r>
      <w:r>
        <w:rPr>
          <w:rFonts w:cs="Times New Roman"/>
          <w:lang w:val="fr-CA"/>
        </w:rPr>
        <w:t>’</w:t>
      </w:r>
      <w:r w:rsidRPr="006055D3">
        <w:rPr>
          <w:rFonts w:cs="Times New Roman"/>
          <w:lang w:val="fr-CA"/>
        </w:rPr>
        <w:t>al. 41.26(1)b) n</w:t>
      </w:r>
      <w:r>
        <w:rPr>
          <w:rFonts w:cs="Times New Roman"/>
          <w:lang w:val="fr-CA"/>
        </w:rPr>
        <w:t>’</w:t>
      </w:r>
      <w:r w:rsidRPr="006055D3">
        <w:rPr>
          <w:rFonts w:cs="Times New Roman"/>
          <w:lang w:val="fr-CA"/>
        </w:rPr>
        <w:t>exige pas qu</w:t>
      </w:r>
      <w:r>
        <w:rPr>
          <w:rFonts w:cs="Times New Roman"/>
          <w:lang w:val="fr-CA"/>
        </w:rPr>
        <w:t>’</w:t>
      </w:r>
      <w:r w:rsidRPr="006055D3">
        <w:rPr>
          <w:rFonts w:cs="Times New Roman"/>
          <w:lang w:val="fr-CA"/>
        </w:rPr>
        <w:t>il soit conservé sous une forme et d</w:t>
      </w:r>
      <w:r>
        <w:rPr>
          <w:rFonts w:cs="Times New Roman"/>
          <w:lang w:val="fr-CA"/>
        </w:rPr>
        <w:t>’</w:t>
      </w:r>
      <w:r w:rsidRPr="006055D3">
        <w:rPr>
          <w:rFonts w:cs="Times New Roman"/>
          <w:lang w:val="fr-CA"/>
        </w:rPr>
        <w:t xml:space="preserve">une manière qui permettrait </w:t>
      </w:r>
      <w:r w:rsidRPr="006055D3">
        <w:rPr>
          <w:rFonts w:cs="Times New Roman"/>
          <w:i/>
          <w:lang w:val="fr-CA"/>
        </w:rPr>
        <w:t>à un titulaire de droit d</w:t>
      </w:r>
      <w:r>
        <w:rPr>
          <w:rFonts w:cs="Times New Roman"/>
          <w:i/>
          <w:lang w:val="fr-CA"/>
        </w:rPr>
        <w:t>’</w:t>
      </w:r>
      <w:r w:rsidRPr="006055D3">
        <w:rPr>
          <w:rFonts w:cs="Times New Roman"/>
          <w:i/>
          <w:lang w:val="fr-CA"/>
        </w:rPr>
        <w:t>auteur ou à un tribunal</w:t>
      </w:r>
      <w:r w:rsidRPr="006055D3">
        <w:rPr>
          <w:rFonts w:cs="Times New Roman"/>
          <w:lang w:val="fr-CA"/>
        </w:rPr>
        <w:t xml:space="preserve"> de le faire. Le titulaire du droit d</w:t>
      </w:r>
      <w:r>
        <w:rPr>
          <w:rFonts w:cs="Times New Roman"/>
          <w:lang w:val="fr-CA"/>
        </w:rPr>
        <w:t>’</w:t>
      </w:r>
      <w:r w:rsidRPr="006055D3">
        <w:rPr>
          <w:rFonts w:cs="Times New Roman"/>
          <w:lang w:val="fr-CA"/>
        </w:rPr>
        <w:t>auteur serait toutefois autorisé à recevoir ces renseignements du FSI aux termes d</w:t>
      </w:r>
      <w:r>
        <w:rPr>
          <w:rFonts w:cs="Times New Roman"/>
          <w:lang w:val="fr-CA"/>
        </w:rPr>
        <w:t>’</w:t>
      </w:r>
      <w:r w:rsidRPr="006055D3">
        <w:rPr>
          <w:rFonts w:cs="Times New Roman"/>
          <w:lang w:val="fr-CA"/>
        </w:rPr>
        <w:t xml:space="preserve">une ordonnance de type </w:t>
      </w:r>
      <w:r w:rsidRPr="006055D3">
        <w:rPr>
          <w:rFonts w:cs="Times New Roman"/>
          <w:i/>
          <w:lang w:val="fr-CA"/>
        </w:rPr>
        <w:t>Norwich</w:t>
      </w:r>
      <w:r w:rsidRPr="006055D3">
        <w:rPr>
          <w:rFonts w:cs="Times New Roman"/>
          <w:lang w:val="fr-CA"/>
        </w:rPr>
        <w:t>, dont le processus, comme je l</w:t>
      </w:r>
      <w:r>
        <w:rPr>
          <w:rFonts w:cs="Times New Roman"/>
          <w:lang w:val="fr-CA"/>
        </w:rPr>
        <w:t>’</w:t>
      </w:r>
      <w:r w:rsidRPr="006055D3">
        <w:rPr>
          <w:rFonts w:cs="Times New Roman"/>
          <w:lang w:val="fr-CA"/>
        </w:rPr>
        <w:t>ai déjà dit, ne relève pas des obligations du FSI dans le cadre du régime d</w:t>
      </w:r>
      <w:r>
        <w:rPr>
          <w:rFonts w:cs="Times New Roman"/>
          <w:lang w:val="fr-CA"/>
        </w:rPr>
        <w:t>’</w:t>
      </w:r>
      <w:r w:rsidRPr="006055D3">
        <w:rPr>
          <w:rFonts w:cs="Times New Roman"/>
          <w:lang w:val="fr-CA"/>
        </w:rPr>
        <w:t>avis et avis.</w:t>
      </w:r>
    </w:p>
    <w:p w:rsidR="00E8197E" w:rsidRPr="006055D3" w:rsidRDefault="00E8197E" w:rsidP="00E8197E">
      <w:pPr>
        <w:pStyle w:val="Title4LevelTitre4Niveau"/>
        <w:rPr>
          <w:rFonts w:cs="Times New Roman"/>
          <w:lang w:val="fr-CA"/>
        </w:rPr>
      </w:pPr>
      <w:r w:rsidRPr="006055D3">
        <w:rPr>
          <w:rFonts w:cs="Times New Roman"/>
          <w:lang w:val="fr-CA"/>
        </w:rPr>
        <w:t>Le paragraphe 41.26(2)</w:t>
      </w:r>
    </w:p>
    <w:p w:rsidR="00E8197E" w:rsidRPr="006055D3" w:rsidRDefault="00E8197E" w:rsidP="00E8197E">
      <w:pPr>
        <w:pStyle w:val="ParaNoNdepar-AltN"/>
        <w:rPr>
          <w:rFonts w:cs="Times New Roman"/>
          <w:lang w:val="fr-CA"/>
        </w:rPr>
      </w:pPr>
      <w:r w:rsidRPr="006055D3">
        <w:rPr>
          <w:rFonts w:cs="Times New Roman"/>
          <w:lang w:val="fr-CA"/>
        </w:rPr>
        <w:t>Comme je l</w:t>
      </w:r>
      <w:r>
        <w:rPr>
          <w:rFonts w:cs="Times New Roman"/>
          <w:lang w:val="fr-CA"/>
        </w:rPr>
        <w:t>’</w:t>
      </w:r>
      <w:r w:rsidRPr="006055D3">
        <w:rPr>
          <w:rFonts w:cs="Times New Roman"/>
          <w:lang w:val="fr-CA"/>
        </w:rPr>
        <w:t>ai expliqué, étant donné que le ministre n</w:t>
      </w:r>
      <w:r>
        <w:rPr>
          <w:rFonts w:cs="Times New Roman"/>
          <w:lang w:val="fr-CA"/>
        </w:rPr>
        <w:t>’</w:t>
      </w:r>
      <w:r w:rsidRPr="006055D3">
        <w:rPr>
          <w:rFonts w:cs="Times New Roman"/>
          <w:lang w:val="fr-CA"/>
        </w:rPr>
        <w:t>a pas fixé, par règlement, de montant maximal des droits, le par. 41.26(2) interdit au FSI d</w:t>
      </w:r>
      <w:r>
        <w:rPr>
          <w:rFonts w:cs="Times New Roman"/>
          <w:lang w:val="fr-CA"/>
        </w:rPr>
        <w:t>’</w:t>
      </w:r>
      <w:r w:rsidRPr="006055D3">
        <w:rPr>
          <w:rFonts w:cs="Times New Roman"/>
          <w:lang w:val="fr-CA"/>
        </w:rPr>
        <w:t>exiger des droits pour s</w:t>
      </w:r>
      <w:r>
        <w:rPr>
          <w:rFonts w:cs="Times New Roman"/>
          <w:lang w:val="fr-CA"/>
        </w:rPr>
        <w:t>’</w:t>
      </w:r>
      <w:r w:rsidRPr="006055D3">
        <w:rPr>
          <w:rFonts w:cs="Times New Roman"/>
          <w:lang w:val="fr-CA"/>
        </w:rPr>
        <w:t>acquitter de ses obligations expresses en matière d</w:t>
      </w:r>
      <w:r>
        <w:rPr>
          <w:rFonts w:cs="Times New Roman"/>
          <w:lang w:val="fr-CA"/>
        </w:rPr>
        <w:t>’</w:t>
      </w:r>
      <w:r w:rsidRPr="006055D3">
        <w:rPr>
          <w:rFonts w:cs="Times New Roman"/>
          <w:lang w:val="fr-CA"/>
        </w:rPr>
        <w:t>avis et avis prévues par la loi. Mais qu</w:t>
      </w:r>
      <w:r>
        <w:rPr>
          <w:rFonts w:cs="Times New Roman"/>
          <w:lang w:val="fr-CA"/>
        </w:rPr>
        <w:t>’</w:t>
      </w:r>
      <w:r w:rsidRPr="006055D3">
        <w:rPr>
          <w:rFonts w:cs="Times New Roman"/>
          <w:lang w:val="fr-CA"/>
        </w:rPr>
        <w:t>en est</w:t>
      </w:r>
      <w:r w:rsidRPr="006055D3">
        <w:rPr>
          <w:rFonts w:cs="Times New Roman"/>
          <w:lang w:val="fr-CA"/>
        </w:rPr>
        <w:noBreakHyphen/>
        <w:t>il des obligations implicites d</w:t>
      </w:r>
      <w:r>
        <w:rPr>
          <w:rFonts w:cs="Times New Roman"/>
          <w:lang w:val="fr-CA"/>
        </w:rPr>
        <w:t>’</w:t>
      </w:r>
      <w:r w:rsidRPr="006055D3">
        <w:rPr>
          <w:rFonts w:cs="Times New Roman"/>
          <w:lang w:val="fr-CA"/>
        </w:rPr>
        <w:t>identification et de vérification du FSI dans le cadre du régime d</w:t>
      </w:r>
      <w:r>
        <w:rPr>
          <w:rFonts w:cs="Times New Roman"/>
          <w:lang w:val="fr-CA"/>
        </w:rPr>
        <w:t>’</w:t>
      </w:r>
      <w:r w:rsidRPr="006055D3">
        <w:rPr>
          <w:rFonts w:cs="Times New Roman"/>
          <w:lang w:val="fr-CA"/>
        </w:rPr>
        <w:t>avis et avis? Le FSI peut</w:t>
      </w:r>
      <w:r w:rsidRPr="006055D3">
        <w:rPr>
          <w:rFonts w:cs="Times New Roman"/>
          <w:lang w:val="fr-CA"/>
        </w:rPr>
        <w:noBreakHyphen/>
        <w:t xml:space="preserve">il recouvrer les coûts occasionnés pour se conformer à une ordonnance de type </w:t>
      </w:r>
      <w:r w:rsidRPr="006055D3">
        <w:rPr>
          <w:rFonts w:cs="Times New Roman"/>
          <w:i/>
          <w:lang w:val="fr-CA"/>
        </w:rPr>
        <w:t>Norwich</w:t>
      </w:r>
      <w:r w:rsidRPr="006055D3">
        <w:rPr>
          <w:rFonts w:cs="Times New Roman"/>
          <w:lang w:val="fr-CA"/>
        </w:rPr>
        <w:t xml:space="preserve"> si les mesures qu</w:t>
      </w:r>
      <w:r>
        <w:rPr>
          <w:rFonts w:cs="Times New Roman"/>
          <w:lang w:val="fr-CA"/>
        </w:rPr>
        <w:t>’</w:t>
      </w:r>
      <w:r w:rsidRPr="006055D3">
        <w:rPr>
          <w:rFonts w:cs="Times New Roman"/>
          <w:lang w:val="fr-CA"/>
        </w:rPr>
        <w:t>il dit devoir prendre pour ce faire chevauchent, par exemple, son obligation implicite au titre de l</w:t>
      </w:r>
      <w:r>
        <w:rPr>
          <w:rFonts w:cs="Times New Roman"/>
          <w:lang w:val="fr-CA"/>
        </w:rPr>
        <w:t>’</w:t>
      </w:r>
      <w:r w:rsidRPr="006055D3">
        <w:rPr>
          <w:rFonts w:cs="Times New Roman"/>
          <w:lang w:val="fr-CA"/>
        </w:rPr>
        <w:t>art. 41.26 de vérifier l</w:t>
      </w:r>
      <w:r>
        <w:rPr>
          <w:rFonts w:cs="Times New Roman"/>
          <w:lang w:val="fr-CA"/>
        </w:rPr>
        <w:t>’</w:t>
      </w:r>
      <w:r w:rsidRPr="006055D3">
        <w:rPr>
          <w:rFonts w:cs="Times New Roman"/>
          <w:lang w:val="fr-CA"/>
        </w:rPr>
        <w:t xml:space="preserve">exactitude du registre? </w:t>
      </w:r>
    </w:p>
    <w:p w:rsidR="00E8197E" w:rsidRPr="006055D3" w:rsidRDefault="00E8197E" w:rsidP="00E8197E">
      <w:pPr>
        <w:pStyle w:val="ParaNoNdepar-AltN"/>
        <w:rPr>
          <w:rFonts w:cs="Times New Roman"/>
          <w:lang w:val="fr-CA"/>
        </w:rPr>
      </w:pPr>
      <w:r w:rsidRPr="006055D3">
        <w:rPr>
          <w:rFonts w:cs="Times New Roman"/>
          <w:lang w:val="fr-CA"/>
        </w:rPr>
        <w:t xml:space="preserve">Voltage fait valoir que, lorsque de telles obligations légales implicites chevauchent les mesures que le FSI dit devoir prendre pour se conformer à une ordonnance de type </w:t>
      </w:r>
      <w:r w:rsidRPr="006055D3">
        <w:rPr>
          <w:rFonts w:cs="Times New Roman"/>
          <w:i/>
          <w:lang w:val="fr-CA"/>
        </w:rPr>
        <w:t>Norwich</w:t>
      </w:r>
      <w:r w:rsidRPr="006055D3">
        <w:rPr>
          <w:rFonts w:cs="Times New Roman"/>
          <w:lang w:val="fr-CA"/>
        </w:rPr>
        <w:t>, celui</w:t>
      </w:r>
      <w:r w:rsidRPr="006055D3">
        <w:rPr>
          <w:rFonts w:cs="Times New Roman"/>
          <w:lang w:val="fr-CA"/>
        </w:rPr>
        <w:noBreakHyphen/>
        <w:t>ci n</w:t>
      </w:r>
      <w:r>
        <w:rPr>
          <w:rFonts w:cs="Times New Roman"/>
          <w:lang w:val="fr-CA"/>
        </w:rPr>
        <w:t>’</w:t>
      </w:r>
      <w:r w:rsidRPr="006055D3">
        <w:rPr>
          <w:rFonts w:cs="Times New Roman"/>
          <w:lang w:val="fr-CA"/>
        </w:rPr>
        <w:t>a pas le droit de recouvrer les coûts de ces mesures. Rogers souligne toutefois que les titulaires de droits d</w:t>
      </w:r>
      <w:r>
        <w:rPr>
          <w:rFonts w:cs="Times New Roman"/>
          <w:lang w:val="fr-CA"/>
        </w:rPr>
        <w:t>’</w:t>
      </w:r>
      <w:r w:rsidRPr="006055D3">
        <w:rPr>
          <w:rFonts w:cs="Times New Roman"/>
          <w:lang w:val="fr-CA"/>
        </w:rPr>
        <w:t>auteur ont toujours été tenus, en common law, d</w:t>
      </w:r>
      <w:r>
        <w:rPr>
          <w:rFonts w:cs="Times New Roman"/>
          <w:lang w:val="fr-CA"/>
        </w:rPr>
        <w:t>’</w:t>
      </w:r>
      <w:r w:rsidRPr="006055D3">
        <w:rPr>
          <w:rFonts w:cs="Times New Roman"/>
          <w:lang w:val="fr-CA"/>
        </w:rPr>
        <w:t xml:space="preserve">indemniser le FSI pour les « coûts raisonnables occasionnés pour se conformer » à une ordonnance de type </w:t>
      </w:r>
      <w:r w:rsidRPr="006055D3">
        <w:rPr>
          <w:rFonts w:cs="Times New Roman"/>
          <w:i/>
          <w:lang w:val="fr-CA"/>
        </w:rPr>
        <w:t>Norwich</w:t>
      </w:r>
      <w:r w:rsidRPr="006055D3">
        <w:rPr>
          <w:rFonts w:cs="Times New Roman"/>
          <w:lang w:val="fr-CA"/>
        </w:rPr>
        <w:t xml:space="preserve"> (</w:t>
      </w:r>
      <w:r w:rsidRPr="006055D3">
        <w:rPr>
          <w:rFonts w:cs="Times New Roman"/>
          <w:i/>
          <w:lang w:val="fr-CA"/>
        </w:rPr>
        <w:t xml:space="preserve">Voltage Pictures </w:t>
      </w:r>
      <w:r w:rsidRPr="006055D3">
        <w:rPr>
          <w:rFonts w:cs="Times New Roman"/>
          <w:lang w:val="fr-CA"/>
        </w:rPr>
        <w:t xml:space="preserve">(2014)). </w:t>
      </w:r>
      <w:r w:rsidRPr="006055D3">
        <w:rPr>
          <w:rFonts w:cs="Times New Roman"/>
          <w:lang w:val="fr-CA"/>
        </w:rPr>
        <w:lastRenderedPageBreak/>
        <w:t>Selon Rogers, pour que le Parlement soit considéré comme ayant eu l</w:t>
      </w:r>
      <w:r>
        <w:rPr>
          <w:rFonts w:cs="Times New Roman"/>
          <w:lang w:val="fr-CA"/>
        </w:rPr>
        <w:t>’</w:t>
      </w:r>
      <w:r w:rsidRPr="006055D3">
        <w:rPr>
          <w:rFonts w:cs="Times New Roman"/>
          <w:lang w:val="fr-CA"/>
        </w:rPr>
        <w:t>intention d</w:t>
      </w:r>
      <w:r>
        <w:rPr>
          <w:rFonts w:cs="Times New Roman"/>
          <w:lang w:val="fr-CA"/>
        </w:rPr>
        <w:t>’</w:t>
      </w:r>
      <w:r w:rsidRPr="006055D3">
        <w:rPr>
          <w:rFonts w:cs="Times New Roman"/>
          <w:lang w:val="fr-CA"/>
        </w:rPr>
        <w:t>écarter cette règle de common law, il doit l</w:t>
      </w:r>
      <w:r>
        <w:rPr>
          <w:rFonts w:cs="Times New Roman"/>
          <w:lang w:val="fr-CA"/>
        </w:rPr>
        <w:t>’</w:t>
      </w:r>
      <w:r w:rsidRPr="006055D3">
        <w:rPr>
          <w:rFonts w:cs="Times New Roman"/>
          <w:lang w:val="fr-CA"/>
        </w:rPr>
        <w:t>avoir fait expressément et « de façon incontestablement claire » (</w:t>
      </w:r>
      <w:r w:rsidRPr="006055D3">
        <w:rPr>
          <w:rFonts w:cs="Times New Roman"/>
          <w:i/>
          <w:lang w:val="fr-CA"/>
        </w:rPr>
        <w:t>Parry Sound (district), Conseil d</w:t>
      </w:r>
      <w:r>
        <w:rPr>
          <w:rFonts w:cs="Times New Roman"/>
          <w:i/>
          <w:lang w:val="fr-CA"/>
        </w:rPr>
        <w:t>’</w:t>
      </w:r>
      <w:r w:rsidRPr="006055D3">
        <w:rPr>
          <w:rFonts w:cs="Times New Roman"/>
          <w:i/>
          <w:lang w:val="fr-CA"/>
        </w:rPr>
        <w:t>administration des services sociaux c. S.E.E.F.P.O., section locale 324</w:t>
      </w:r>
      <w:r w:rsidRPr="006055D3">
        <w:rPr>
          <w:rFonts w:cs="Times New Roman"/>
          <w:lang w:val="fr-CA"/>
        </w:rPr>
        <w:t xml:space="preserve">, 2003 CSC 42, [2003] 2 R.C.S. 157, par. 39, citant </w:t>
      </w:r>
      <w:r w:rsidRPr="006055D3">
        <w:rPr>
          <w:rFonts w:cs="Times New Roman"/>
          <w:i/>
          <w:lang w:val="fr-CA"/>
        </w:rPr>
        <w:t>Goodyear Tire &amp; Rubber Co. of Canada c. T. Eaton Co.</w:t>
      </w:r>
      <w:r w:rsidRPr="006055D3">
        <w:rPr>
          <w:rFonts w:cs="Times New Roman"/>
          <w:lang w:val="fr-CA"/>
        </w:rPr>
        <w:t xml:space="preserve">, [1956] R.C.S. 610, p. 614; </w:t>
      </w:r>
      <w:r w:rsidRPr="006055D3">
        <w:rPr>
          <w:rFonts w:cs="Times New Roman"/>
          <w:i/>
          <w:lang w:val="fr-CA"/>
        </w:rPr>
        <w:t>Canada (Procureur général) c. Thouin</w:t>
      </w:r>
      <w:r w:rsidRPr="006055D3">
        <w:rPr>
          <w:rFonts w:cs="Times New Roman"/>
          <w:lang w:val="fr-CA"/>
        </w:rPr>
        <w:t>, 2017 CSC 46, [2017] 2 R.C.S. 184, par. 19).</w:t>
      </w:r>
    </w:p>
    <w:p w:rsidR="00E8197E" w:rsidRPr="006055D3" w:rsidRDefault="00E8197E" w:rsidP="00E8197E">
      <w:pPr>
        <w:pStyle w:val="ParaNoNdepar-AltN"/>
        <w:rPr>
          <w:rFonts w:cs="Times New Roman"/>
          <w:lang w:val="fr-CA"/>
        </w:rPr>
      </w:pPr>
      <w:r w:rsidRPr="006055D3">
        <w:rPr>
          <w:rFonts w:cs="Times New Roman"/>
          <w:lang w:val="fr-CA"/>
        </w:rPr>
        <w:t>À mon avis, l</w:t>
      </w:r>
      <w:r>
        <w:rPr>
          <w:rFonts w:cs="Times New Roman"/>
          <w:lang w:val="fr-CA"/>
        </w:rPr>
        <w:t>’</w:t>
      </w:r>
      <w:r w:rsidRPr="006055D3">
        <w:rPr>
          <w:rFonts w:cs="Times New Roman"/>
          <w:lang w:val="fr-CA"/>
        </w:rPr>
        <w:t>argument de Voltage devrait l</w:t>
      </w:r>
      <w:r>
        <w:rPr>
          <w:rFonts w:cs="Times New Roman"/>
          <w:lang w:val="fr-CA"/>
        </w:rPr>
        <w:t>’</w:t>
      </w:r>
      <w:r w:rsidRPr="006055D3">
        <w:rPr>
          <w:rFonts w:cs="Times New Roman"/>
          <w:lang w:val="fr-CA"/>
        </w:rPr>
        <w:t>emporter sur ce point. En l</w:t>
      </w:r>
      <w:r>
        <w:rPr>
          <w:rFonts w:cs="Times New Roman"/>
          <w:lang w:val="fr-CA"/>
        </w:rPr>
        <w:t>’</w:t>
      </w:r>
      <w:r w:rsidRPr="006055D3">
        <w:rPr>
          <w:rFonts w:cs="Times New Roman"/>
          <w:lang w:val="fr-CA"/>
        </w:rPr>
        <w:t>absence d</w:t>
      </w:r>
      <w:r>
        <w:rPr>
          <w:rFonts w:cs="Times New Roman"/>
          <w:lang w:val="fr-CA"/>
        </w:rPr>
        <w:t>’</w:t>
      </w:r>
      <w:r w:rsidRPr="006055D3">
        <w:rPr>
          <w:rFonts w:cs="Times New Roman"/>
          <w:lang w:val="fr-CA"/>
        </w:rPr>
        <w:t>un règlement fixant le montant maximal des droits, le par. 41.26(2) interdit au FSI d</w:t>
      </w:r>
      <w:r>
        <w:rPr>
          <w:rFonts w:cs="Times New Roman"/>
          <w:lang w:val="fr-CA"/>
        </w:rPr>
        <w:t>’</w:t>
      </w:r>
      <w:r w:rsidRPr="006055D3">
        <w:rPr>
          <w:rFonts w:cs="Times New Roman"/>
          <w:lang w:val="fr-CA"/>
        </w:rPr>
        <w:t>exiger des droits pour l</w:t>
      </w:r>
      <w:r>
        <w:rPr>
          <w:rFonts w:cs="Times New Roman"/>
          <w:lang w:val="fr-CA"/>
        </w:rPr>
        <w:t>’</w:t>
      </w:r>
      <w:r w:rsidRPr="006055D3">
        <w:rPr>
          <w:rFonts w:cs="Times New Roman"/>
          <w:lang w:val="fr-CA"/>
        </w:rPr>
        <w:t>exécution de l</w:t>
      </w:r>
      <w:r>
        <w:rPr>
          <w:rFonts w:cs="Times New Roman"/>
          <w:lang w:val="fr-CA"/>
        </w:rPr>
        <w:t>’</w:t>
      </w:r>
      <w:r w:rsidRPr="006055D3">
        <w:rPr>
          <w:rFonts w:cs="Times New Roman"/>
          <w:lang w:val="fr-CA"/>
        </w:rPr>
        <w:t>une ou l</w:t>
      </w:r>
      <w:r>
        <w:rPr>
          <w:rFonts w:cs="Times New Roman"/>
          <w:lang w:val="fr-CA"/>
        </w:rPr>
        <w:t>’</w:t>
      </w:r>
      <w:r w:rsidRPr="006055D3">
        <w:rPr>
          <w:rFonts w:cs="Times New Roman"/>
          <w:lang w:val="fr-CA"/>
        </w:rPr>
        <w:t>autre de ses obligations découlant du régime d</w:t>
      </w:r>
      <w:r>
        <w:rPr>
          <w:rFonts w:cs="Times New Roman"/>
          <w:lang w:val="fr-CA"/>
        </w:rPr>
        <w:t>’</w:t>
      </w:r>
      <w:r w:rsidRPr="006055D3">
        <w:rPr>
          <w:rFonts w:cs="Times New Roman"/>
          <w:lang w:val="fr-CA"/>
        </w:rPr>
        <w:t>avis et avis. À mon avis, ces obligations comprennent implicitement (1) l</w:t>
      </w:r>
      <w:r>
        <w:rPr>
          <w:rFonts w:cs="Times New Roman"/>
          <w:lang w:val="fr-CA"/>
        </w:rPr>
        <w:t>’</w:t>
      </w:r>
      <w:r w:rsidRPr="006055D3">
        <w:rPr>
          <w:rFonts w:cs="Times New Roman"/>
          <w:lang w:val="fr-CA"/>
        </w:rPr>
        <w:t>identification, aux fins de la transmission de l</w:t>
      </w:r>
      <w:r>
        <w:rPr>
          <w:rFonts w:cs="Times New Roman"/>
          <w:lang w:val="fr-CA"/>
        </w:rPr>
        <w:t>’</w:t>
      </w:r>
      <w:r w:rsidRPr="006055D3">
        <w:rPr>
          <w:rFonts w:cs="Times New Roman"/>
          <w:lang w:val="fr-CA"/>
        </w:rPr>
        <w:t>avis par voie électronique, de la personne à qui appartenait l</w:t>
      </w:r>
      <w:r>
        <w:rPr>
          <w:rFonts w:cs="Times New Roman"/>
          <w:lang w:val="fr-CA"/>
        </w:rPr>
        <w:t>’</w:t>
      </w:r>
      <w:r w:rsidRPr="006055D3">
        <w:rPr>
          <w:rFonts w:cs="Times New Roman"/>
          <w:lang w:val="fr-CA"/>
        </w:rPr>
        <w:t>adresse IP en cause au moment de la prétendue violation; (2) la prise de toutes les mesures nécessaires pour vérifier que le FSI l</w:t>
      </w:r>
      <w:r>
        <w:rPr>
          <w:rFonts w:cs="Times New Roman"/>
          <w:lang w:val="fr-CA"/>
        </w:rPr>
        <w:t>’</w:t>
      </w:r>
      <w:r w:rsidRPr="006055D3">
        <w:rPr>
          <w:rFonts w:cs="Times New Roman"/>
          <w:lang w:val="fr-CA"/>
        </w:rPr>
        <w:t>a fait correctement; et (3) la prise de toutes les mesures nécessaires pour vérifier l</w:t>
      </w:r>
      <w:r>
        <w:rPr>
          <w:rFonts w:cs="Times New Roman"/>
          <w:lang w:val="fr-CA"/>
        </w:rPr>
        <w:t>’</w:t>
      </w:r>
      <w:r w:rsidRPr="006055D3">
        <w:rPr>
          <w:rFonts w:cs="Times New Roman"/>
          <w:lang w:val="fr-CA"/>
        </w:rPr>
        <w:t>exactitude du registre permettant au FSI d</w:t>
      </w:r>
      <w:r>
        <w:rPr>
          <w:rFonts w:cs="Times New Roman"/>
          <w:lang w:val="fr-CA"/>
        </w:rPr>
        <w:t>’</w:t>
      </w:r>
      <w:r w:rsidRPr="006055D3">
        <w:rPr>
          <w:rFonts w:cs="Times New Roman"/>
          <w:lang w:val="fr-CA"/>
        </w:rPr>
        <w:t>établir le nom et l</w:t>
      </w:r>
      <w:r>
        <w:rPr>
          <w:rFonts w:cs="Times New Roman"/>
          <w:lang w:val="fr-CA"/>
        </w:rPr>
        <w:t>’</w:t>
      </w:r>
      <w:r w:rsidRPr="006055D3">
        <w:rPr>
          <w:rFonts w:cs="Times New Roman"/>
          <w:lang w:val="fr-CA"/>
        </w:rPr>
        <w:t>adresse physique de la personne à qui l</w:t>
      </w:r>
      <w:r>
        <w:rPr>
          <w:rFonts w:cs="Times New Roman"/>
          <w:lang w:val="fr-CA"/>
        </w:rPr>
        <w:t>’</w:t>
      </w:r>
      <w:r w:rsidRPr="006055D3">
        <w:rPr>
          <w:rFonts w:cs="Times New Roman"/>
          <w:lang w:val="fr-CA"/>
        </w:rPr>
        <w:t>avis a été transmis. Ces obligations découlent d</w:t>
      </w:r>
      <w:r>
        <w:rPr>
          <w:rFonts w:cs="Times New Roman"/>
          <w:lang w:val="fr-CA"/>
        </w:rPr>
        <w:t>’</w:t>
      </w:r>
      <w:r w:rsidRPr="006055D3">
        <w:rPr>
          <w:rFonts w:cs="Times New Roman"/>
          <w:lang w:val="fr-CA"/>
        </w:rPr>
        <w:t>abord du par. 41.26(1) — c</w:t>
      </w:r>
      <w:r>
        <w:rPr>
          <w:rFonts w:cs="Times New Roman"/>
          <w:lang w:val="fr-CA"/>
        </w:rPr>
        <w:t>’</w:t>
      </w:r>
      <w:r w:rsidRPr="006055D3">
        <w:rPr>
          <w:rFonts w:cs="Times New Roman"/>
          <w:lang w:val="fr-CA"/>
        </w:rPr>
        <w:t>est</w:t>
      </w:r>
      <w:r w:rsidRPr="006055D3">
        <w:rPr>
          <w:rFonts w:cs="Times New Roman"/>
          <w:lang w:val="fr-CA"/>
        </w:rPr>
        <w:noBreakHyphen/>
        <w:t>à</w:t>
      </w:r>
      <w:r w:rsidRPr="006055D3">
        <w:rPr>
          <w:rFonts w:cs="Times New Roman"/>
          <w:lang w:val="fr-CA"/>
        </w:rPr>
        <w:noBreakHyphen/>
        <w:t>dire avant les obligations du FSI résultant d</w:t>
      </w:r>
      <w:r>
        <w:rPr>
          <w:rFonts w:cs="Times New Roman"/>
          <w:lang w:val="fr-CA"/>
        </w:rPr>
        <w:t>’</w:t>
      </w:r>
      <w:r w:rsidRPr="006055D3">
        <w:rPr>
          <w:rFonts w:cs="Times New Roman"/>
          <w:lang w:val="fr-CA"/>
        </w:rPr>
        <w:t xml:space="preserve">une ordonnance de type </w:t>
      </w:r>
      <w:r w:rsidRPr="006055D3">
        <w:rPr>
          <w:rFonts w:cs="Times New Roman"/>
          <w:i/>
          <w:lang w:val="fr-CA"/>
        </w:rPr>
        <w:t>Norwi</w:t>
      </w:r>
      <w:r>
        <w:rPr>
          <w:rFonts w:cs="Times New Roman"/>
          <w:i/>
          <w:lang w:val="fr-CA"/>
        </w:rPr>
        <w:t xml:space="preserve">ch. </w:t>
      </w:r>
      <w:r w:rsidRPr="006055D3">
        <w:rPr>
          <w:rFonts w:cs="Times New Roman"/>
          <w:lang w:val="fr-CA"/>
        </w:rPr>
        <w:t>Il s</w:t>
      </w:r>
      <w:r>
        <w:rPr>
          <w:rFonts w:cs="Times New Roman"/>
          <w:lang w:val="fr-CA"/>
        </w:rPr>
        <w:t>’</w:t>
      </w:r>
      <w:r w:rsidRPr="006055D3">
        <w:rPr>
          <w:rFonts w:cs="Times New Roman"/>
          <w:lang w:val="fr-CA"/>
        </w:rPr>
        <w:t>ensuit qu</w:t>
      </w:r>
      <w:r>
        <w:rPr>
          <w:rFonts w:cs="Times New Roman"/>
          <w:lang w:val="fr-CA"/>
        </w:rPr>
        <w:t>’</w:t>
      </w:r>
      <w:r w:rsidRPr="006055D3">
        <w:rPr>
          <w:rFonts w:cs="Times New Roman"/>
          <w:lang w:val="fr-CA"/>
        </w:rPr>
        <w:t>un FSI ne devrait pas être autorisé à recouvrer le coût des mesures prises pour l</w:t>
      </w:r>
      <w:r>
        <w:rPr>
          <w:rFonts w:cs="Times New Roman"/>
          <w:lang w:val="fr-CA"/>
        </w:rPr>
        <w:t>’</w:t>
      </w:r>
      <w:r w:rsidRPr="006055D3">
        <w:rPr>
          <w:rFonts w:cs="Times New Roman"/>
          <w:lang w:val="fr-CA"/>
        </w:rPr>
        <w:t>exécution de l</w:t>
      </w:r>
      <w:r>
        <w:rPr>
          <w:rFonts w:cs="Times New Roman"/>
          <w:lang w:val="fr-CA"/>
        </w:rPr>
        <w:t>’</w:t>
      </w:r>
      <w:r w:rsidRPr="006055D3">
        <w:rPr>
          <w:rFonts w:cs="Times New Roman"/>
          <w:lang w:val="fr-CA"/>
        </w:rPr>
        <w:t>une ou l</w:t>
      </w:r>
      <w:r>
        <w:rPr>
          <w:rFonts w:cs="Times New Roman"/>
          <w:lang w:val="fr-CA"/>
        </w:rPr>
        <w:t>’</w:t>
      </w:r>
      <w:r w:rsidRPr="006055D3">
        <w:rPr>
          <w:rFonts w:cs="Times New Roman"/>
          <w:lang w:val="fr-CA"/>
        </w:rPr>
        <w:t>autre des obligations, expresses ou implicites, qui ont déjà pris naissance sous le par. 41.26(1) lorsqu</w:t>
      </w:r>
      <w:r>
        <w:rPr>
          <w:rFonts w:cs="Times New Roman"/>
          <w:lang w:val="fr-CA"/>
        </w:rPr>
        <w:t>’</w:t>
      </w:r>
      <w:r w:rsidRPr="006055D3">
        <w:rPr>
          <w:rFonts w:cs="Times New Roman"/>
          <w:lang w:val="fr-CA"/>
        </w:rPr>
        <w:t>il les prend seulement après avoir reçu signification d</w:t>
      </w:r>
      <w:r>
        <w:rPr>
          <w:rFonts w:cs="Times New Roman"/>
          <w:lang w:val="fr-CA"/>
        </w:rPr>
        <w:t>’</w:t>
      </w:r>
      <w:r w:rsidRPr="006055D3">
        <w:rPr>
          <w:rFonts w:cs="Times New Roman"/>
          <w:lang w:val="fr-CA"/>
        </w:rPr>
        <w:t xml:space="preserve">une ordonnance de type </w:t>
      </w:r>
      <w:r w:rsidRPr="006055D3">
        <w:rPr>
          <w:rFonts w:cs="Times New Roman"/>
          <w:i/>
          <w:lang w:val="fr-CA"/>
        </w:rPr>
        <w:t>Norwich.</w:t>
      </w:r>
      <w:r w:rsidRPr="006055D3">
        <w:rPr>
          <w:rFonts w:cs="Times New Roman"/>
          <w:lang w:val="fr-CA"/>
        </w:rPr>
        <w:t xml:space="preserve"> Accepter l</w:t>
      </w:r>
      <w:r>
        <w:rPr>
          <w:rFonts w:cs="Times New Roman"/>
          <w:lang w:val="fr-CA"/>
        </w:rPr>
        <w:t>’</w:t>
      </w:r>
      <w:r w:rsidRPr="006055D3">
        <w:rPr>
          <w:rFonts w:cs="Times New Roman"/>
          <w:lang w:val="fr-CA"/>
        </w:rPr>
        <w:t>argument contraire de Rogers minerait la répartition du fardeau financier qu</w:t>
      </w:r>
      <w:r>
        <w:rPr>
          <w:rFonts w:cs="Times New Roman"/>
          <w:lang w:val="fr-CA"/>
        </w:rPr>
        <w:t>’</w:t>
      </w:r>
      <w:r w:rsidRPr="006055D3">
        <w:rPr>
          <w:rFonts w:cs="Times New Roman"/>
          <w:lang w:val="fr-CA"/>
        </w:rPr>
        <w:t>a établie le Parlement puisque cela aurait pour effet d</w:t>
      </w:r>
      <w:r>
        <w:rPr>
          <w:rFonts w:cs="Times New Roman"/>
          <w:lang w:val="fr-CA"/>
        </w:rPr>
        <w:t>’</w:t>
      </w:r>
      <w:r w:rsidRPr="006055D3">
        <w:rPr>
          <w:rFonts w:cs="Times New Roman"/>
          <w:lang w:val="fr-CA"/>
        </w:rPr>
        <w:t>imposer aux titulaires de droits d</w:t>
      </w:r>
      <w:r>
        <w:rPr>
          <w:rFonts w:cs="Times New Roman"/>
          <w:lang w:val="fr-CA"/>
        </w:rPr>
        <w:t>’</w:t>
      </w:r>
      <w:r w:rsidRPr="006055D3">
        <w:rPr>
          <w:rFonts w:cs="Times New Roman"/>
          <w:lang w:val="fr-CA"/>
        </w:rPr>
        <w:t xml:space="preserve">auteur </w:t>
      </w:r>
      <w:r w:rsidRPr="006055D3">
        <w:rPr>
          <w:rFonts w:cs="Times New Roman"/>
          <w:lang w:val="fr-CA"/>
        </w:rPr>
        <w:lastRenderedPageBreak/>
        <w:t>une obligation qui a été spécifiquement attribuée, par l</w:t>
      </w:r>
      <w:r>
        <w:rPr>
          <w:rFonts w:cs="Times New Roman"/>
          <w:lang w:val="fr-CA"/>
        </w:rPr>
        <w:t>’</w:t>
      </w:r>
      <w:r w:rsidRPr="006055D3">
        <w:rPr>
          <w:rFonts w:cs="Times New Roman"/>
          <w:lang w:val="fr-CA"/>
        </w:rPr>
        <w:t>opération conjointe des par. 41.26(1) et 41.26(2), aux FSI.</w:t>
      </w:r>
    </w:p>
    <w:p w:rsidR="00E8197E" w:rsidRPr="006055D3" w:rsidRDefault="00E8197E" w:rsidP="00E8197E">
      <w:pPr>
        <w:pStyle w:val="ParaNoNdepar-AltN"/>
        <w:rPr>
          <w:rFonts w:cs="Times New Roman"/>
          <w:lang w:val="fr-CA"/>
        </w:rPr>
      </w:pPr>
      <w:r w:rsidRPr="006055D3">
        <w:rPr>
          <w:rFonts w:cs="Times New Roman"/>
          <w:lang w:val="fr-CA"/>
        </w:rPr>
        <w:t>Pour être clair, il existe une distinction entre l</w:t>
      </w:r>
      <w:r>
        <w:rPr>
          <w:rFonts w:cs="Times New Roman"/>
          <w:lang w:val="fr-CA"/>
        </w:rPr>
        <w:t>’</w:t>
      </w:r>
      <w:r w:rsidRPr="006055D3">
        <w:rPr>
          <w:rFonts w:cs="Times New Roman"/>
          <w:lang w:val="fr-CA"/>
        </w:rPr>
        <w:t>obligation du FSI dans le cadre du régime d</w:t>
      </w:r>
      <w:r>
        <w:rPr>
          <w:rFonts w:cs="Times New Roman"/>
          <w:lang w:val="fr-CA"/>
        </w:rPr>
        <w:t>’</w:t>
      </w:r>
      <w:r w:rsidRPr="006055D3">
        <w:rPr>
          <w:rFonts w:cs="Times New Roman"/>
          <w:lang w:val="fr-CA"/>
        </w:rPr>
        <w:t>avis et avis d</w:t>
      </w:r>
      <w:r>
        <w:rPr>
          <w:rFonts w:cs="Times New Roman"/>
          <w:lang w:val="fr-CA"/>
        </w:rPr>
        <w:t>’</w:t>
      </w:r>
      <w:r w:rsidRPr="006055D3">
        <w:rPr>
          <w:rFonts w:cs="Times New Roman"/>
          <w:lang w:val="fr-CA"/>
        </w:rPr>
        <w:t>assurer l</w:t>
      </w:r>
      <w:r>
        <w:rPr>
          <w:rFonts w:cs="Times New Roman"/>
          <w:lang w:val="fr-CA"/>
        </w:rPr>
        <w:t>’</w:t>
      </w:r>
      <w:r w:rsidRPr="006055D3">
        <w:rPr>
          <w:rFonts w:cs="Times New Roman"/>
          <w:lang w:val="fr-CA"/>
        </w:rPr>
        <w:t>exactitude de son registre permettant d</w:t>
      </w:r>
      <w:r>
        <w:rPr>
          <w:rFonts w:cs="Times New Roman"/>
          <w:lang w:val="fr-CA"/>
        </w:rPr>
        <w:t>’</w:t>
      </w:r>
      <w:r w:rsidRPr="006055D3">
        <w:rPr>
          <w:rFonts w:cs="Times New Roman"/>
          <w:lang w:val="fr-CA"/>
        </w:rPr>
        <w:t>identifier le propriétaire d</w:t>
      </w:r>
      <w:r>
        <w:rPr>
          <w:rFonts w:cs="Times New Roman"/>
          <w:lang w:val="fr-CA"/>
        </w:rPr>
        <w:t>’</w:t>
      </w:r>
      <w:r w:rsidRPr="006055D3">
        <w:rPr>
          <w:rFonts w:cs="Times New Roman"/>
          <w:lang w:val="fr-CA"/>
        </w:rPr>
        <w:t>une adresse IP, et son obligation, aux termes d</w:t>
      </w:r>
      <w:r>
        <w:rPr>
          <w:rFonts w:cs="Times New Roman"/>
          <w:lang w:val="fr-CA"/>
        </w:rPr>
        <w:t>’</w:t>
      </w:r>
      <w:r w:rsidRPr="006055D3">
        <w:rPr>
          <w:rFonts w:cs="Times New Roman"/>
          <w:lang w:val="fr-CA"/>
        </w:rPr>
        <w:t xml:space="preserve">une ordonnance de type </w:t>
      </w:r>
      <w:r w:rsidRPr="006055D3">
        <w:rPr>
          <w:rFonts w:cs="Times New Roman"/>
          <w:i/>
          <w:lang w:val="fr-CA"/>
        </w:rPr>
        <w:t>Norwich</w:t>
      </w:r>
      <w:r w:rsidRPr="006055D3">
        <w:rPr>
          <w:rFonts w:cs="Times New Roman"/>
          <w:lang w:val="fr-CA"/>
        </w:rPr>
        <w:t>, d</w:t>
      </w:r>
      <w:r>
        <w:rPr>
          <w:rFonts w:cs="Times New Roman"/>
          <w:lang w:val="fr-CA"/>
        </w:rPr>
        <w:t>’</w:t>
      </w:r>
      <w:r w:rsidRPr="006055D3">
        <w:rPr>
          <w:rFonts w:cs="Times New Roman"/>
          <w:lang w:val="fr-CA"/>
        </w:rPr>
        <w:t>identifier effectivement une personne à partir de son registre. Alors que les coûts de cette dernière sont recouvrables, les coûts de la première obligation ne le sont pas. Toutefois, lorsque les mesures que le FSI dit devoir prendre pour vérifier l</w:t>
      </w:r>
      <w:r>
        <w:rPr>
          <w:rFonts w:cs="Times New Roman"/>
          <w:lang w:val="fr-CA"/>
        </w:rPr>
        <w:t>’</w:t>
      </w:r>
      <w:r w:rsidRPr="006055D3">
        <w:rPr>
          <w:rFonts w:cs="Times New Roman"/>
          <w:lang w:val="fr-CA"/>
        </w:rPr>
        <w:t>identité d</w:t>
      </w:r>
      <w:r>
        <w:rPr>
          <w:rFonts w:cs="Times New Roman"/>
          <w:lang w:val="fr-CA"/>
        </w:rPr>
        <w:t>’</w:t>
      </w:r>
      <w:r w:rsidRPr="006055D3">
        <w:rPr>
          <w:rFonts w:cs="Times New Roman"/>
          <w:lang w:val="fr-CA"/>
        </w:rPr>
        <w:t xml:space="preserve">une personne en réponse à une ordonnance de type </w:t>
      </w:r>
      <w:r w:rsidRPr="006055D3">
        <w:rPr>
          <w:rFonts w:cs="Times New Roman"/>
          <w:i/>
          <w:lang w:val="fr-CA"/>
        </w:rPr>
        <w:t>Norwich</w:t>
      </w:r>
      <w:r w:rsidRPr="006055D3">
        <w:rPr>
          <w:rFonts w:cs="Times New Roman"/>
          <w:lang w:val="fr-CA"/>
        </w:rPr>
        <w:t xml:space="preserve"> impliquent, dans les faits, la vérification de l</w:t>
      </w:r>
      <w:r>
        <w:rPr>
          <w:rFonts w:cs="Times New Roman"/>
          <w:lang w:val="fr-CA"/>
        </w:rPr>
        <w:t>’</w:t>
      </w:r>
      <w:r w:rsidRPr="006055D3">
        <w:rPr>
          <w:rFonts w:cs="Times New Roman"/>
          <w:lang w:val="fr-CA"/>
        </w:rPr>
        <w:t>exactitude du registre même qu</w:t>
      </w:r>
      <w:r>
        <w:rPr>
          <w:rFonts w:cs="Times New Roman"/>
          <w:lang w:val="fr-CA"/>
        </w:rPr>
        <w:t>’</w:t>
      </w:r>
      <w:r w:rsidRPr="006055D3">
        <w:rPr>
          <w:rFonts w:cs="Times New Roman"/>
          <w:lang w:val="fr-CA"/>
        </w:rPr>
        <w:t>il était tenu de conserver aux termes du par. 41.26(1), le FSI ne peut recouv</w:t>
      </w:r>
      <w:r w:rsidR="00192891">
        <w:rPr>
          <w:rFonts w:cs="Times New Roman"/>
          <w:lang w:val="fr-CA"/>
        </w:rPr>
        <w:t>rer les coûts qui en découlent.</w:t>
      </w:r>
    </w:p>
    <w:p w:rsidR="00E8197E" w:rsidRPr="006055D3" w:rsidRDefault="00E8197E" w:rsidP="00E8197E">
      <w:pPr>
        <w:pStyle w:val="ParaNoNdepar-AltN"/>
        <w:rPr>
          <w:rFonts w:cs="Times New Roman"/>
          <w:lang w:val="fr-CA"/>
        </w:rPr>
      </w:pPr>
      <w:r w:rsidRPr="006055D3">
        <w:rPr>
          <w:rFonts w:cs="Times New Roman"/>
          <w:lang w:val="fr-CA"/>
        </w:rPr>
        <w:t xml:space="preserve">Enfin, il convient de mentionner que le FSI ne peut être indemnisé pour </w:t>
      </w:r>
      <w:r w:rsidRPr="006055D3">
        <w:rPr>
          <w:rFonts w:cs="Times New Roman"/>
          <w:i/>
          <w:lang w:val="fr-CA"/>
        </w:rPr>
        <w:t>chacun</w:t>
      </w:r>
      <w:r w:rsidRPr="006055D3">
        <w:rPr>
          <w:rFonts w:cs="Times New Roman"/>
          <w:lang w:val="fr-CA"/>
        </w:rPr>
        <w:t xml:space="preserve"> des coûts qu</w:t>
      </w:r>
      <w:r>
        <w:rPr>
          <w:rFonts w:cs="Times New Roman"/>
          <w:lang w:val="fr-CA"/>
        </w:rPr>
        <w:t>’</w:t>
      </w:r>
      <w:r w:rsidRPr="006055D3">
        <w:rPr>
          <w:rFonts w:cs="Times New Roman"/>
          <w:lang w:val="fr-CA"/>
        </w:rPr>
        <w:t xml:space="preserve">il supporte en vue de se conformer à une ordonnance de type </w:t>
      </w:r>
      <w:r w:rsidRPr="006055D3">
        <w:rPr>
          <w:rFonts w:cs="Times New Roman"/>
          <w:i/>
          <w:lang w:val="fr-CA"/>
        </w:rPr>
        <w:t>Norwich</w:t>
      </w:r>
      <w:r w:rsidRPr="006055D3">
        <w:rPr>
          <w:rFonts w:cs="Times New Roman"/>
          <w:lang w:val="fr-CA"/>
        </w:rPr>
        <w:t xml:space="preserve"> (</w:t>
      </w:r>
      <w:r w:rsidRPr="006055D3">
        <w:rPr>
          <w:rFonts w:cs="Times New Roman"/>
          <w:i/>
          <w:lang w:val="fr-CA"/>
        </w:rPr>
        <w:t xml:space="preserve">Voltage Pictures </w:t>
      </w:r>
      <w:r w:rsidRPr="006055D3">
        <w:rPr>
          <w:rFonts w:cs="Times New Roman"/>
          <w:lang w:val="fr-CA"/>
        </w:rPr>
        <w:t xml:space="preserve">(2015)). Les coûts recouvrables doivent (1) être </w:t>
      </w:r>
      <w:r w:rsidRPr="006055D3">
        <w:rPr>
          <w:rFonts w:cs="Times New Roman"/>
          <w:i/>
          <w:lang w:val="fr-CA"/>
        </w:rPr>
        <w:t>raisonnables</w:t>
      </w:r>
      <w:r w:rsidRPr="006055D3">
        <w:rPr>
          <w:rFonts w:cs="Times New Roman"/>
          <w:lang w:val="fr-CA"/>
        </w:rPr>
        <w:t xml:space="preserve"> et (2) découler de la conformité à l</w:t>
      </w:r>
      <w:r>
        <w:rPr>
          <w:rFonts w:cs="Times New Roman"/>
          <w:lang w:val="fr-CA"/>
        </w:rPr>
        <w:t>’</w:t>
      </w:r>
      <w:r w:rsidRPr="006055D3">
        <w:rPr>
          <w:rFonts w:cs="Times New Roman"/>
          <w:lang w:val="fr-CA"/>
        </w:rPr>
        <w:t xml:space="preserve">ordonnance de type </w:t>
      </w:r>
      <w:r w:rsidRPr="006055D3">
        <w:rPr>
          <w:rFonts w:cs="Times New Roman"/>
          <w:i/>
          <w:lang w:val="fr-CA"/>
        </w:rPr>
        <w:t xml:space="preserve">Norwich. </w:t>
      </w:r>
      <w:r w:rsidRPr="006055D3">
        <w:rPr>
          <w:rFonts w:cs="Times New Roman"/>
          <w:lang w:val="fr-CA"/>
        </w:rPr>
        <w:t>Lorsque les coûts auraient dû être supportés par le FSI dans l</w:t>
      </w:r>
      <w:r>
        <w:rPr>
          <w:rFonts w:cs="Times New Roman"/>
          <w:lang w:val="fr-CA"/>
        </w:rPr>
        <w:t>’</w:t>
      </w:r>
      <w:r w:rsidRPr="006055D3">
        <w:rPr>
          <w:rFonts w:cs="Times New Roman"/>
          <w:lang w:val="fr-CA"/>
        </w:rPr>
        <w:t xml:space="preserve">exécution de ses obligations légales aux termes du par. 41.26(1), ces coûts ne peuvent être considérés comme raisonnables ou comme découlant de la conformité à une ordonnance de type </w:t>
      </w:r>
      <w:r w:rsidRPr="006055D3">
        <w:rPr>
          <w:rFonts w:cs="Times New Roman"/>
          <w:i/>
          <w:lang w:val="fr-CA"/>
        </w:rPr>
        <w:t>Norwich</w:t>
      </w:r>
      <w:r w:rsidRPr="006055D3">
        <w:rPr>
          <w:rFonts w:cs="Times New Roman"/>
          <w:lang w:val="fr-CA"/>
        </w:rPr>
        <w:t>.</w:t>
      </w:r>
    </w:p>
    <w:p w:rsidR="00E8197E" w:rsidRPr="006055D3" w:rsidRDefault="00E8197E" w:rsidP="00E8197E">
      <w:pPr>
        <w:pStyle w:val="Title2LevelTitre2Niveau"/>
        <w:rPr>
          <w:rFonts w:cs="Times New Roman"/>
          <w:lang w:val="fr-CA"/>
        </w:rPr>
      </w:pPr>
      <w:r w:rsidRPr="006055D3">
        <w:rPr>
          <w:rFonts w:cs="Times New Roman"/>
          <w:lang w:val="fr-CA"/>
        </w:rPr>
        <w:t xml:space="preserve">Application </w:t>
      </w:r>
    </w:p>
    <w:p w:rsidR="00E8197E" w:rsidRPr="006055D3" w:rsidRDefault="00E8197E" w:rsidP="00E8197E">
      <w:pPr>
        <w:pStyle w:val="ParaNoNdepar-AltN"/>
        <w:rPr>
          <w:rFonts w:cs="Times New Roman"/>
          <w:lang w:val="fr-CA"/>
        </w:rPr>
      </w:pPr>
      <w:r w:rsidRPr="006055D3">
        <w:rPr>
          <w:rFonts w:cs="Times New Roman"/>
          <w:lang w:val="fr-CA"/>
        </w:rPr>
        <w:t>Je vais maintenant examiner l</w:t>
      </w:r>
      <w:r>
        <w:rPr>
          <w:rFonts w:cs="Times New Roman"/>
          <w:lang w:val="fr-CA"/>
        </w:rPr>
        <w:t>’</w:t>
      </w:r>
      <w:r w:rsidRPr="006055D3">
        <w:rPr>
          <w:rFonts w:cs="Times New Roman"/>
          <w:lang w:val="fr-CA"/>
        </w:rPr>
        <w:t>ordonnance du juge des requêtes, selon laquelle Rogers a droit au remboursement de ses coûts raisonnables de 100 $ l</w:t>
      </w:r>
      <w:r>
        <w:rPr>
          <w:rFonts w:cs="Times New Roman"/>
          <w:lang w:val="fr-CA"/>
        </w:rPr>
        <w:t>’</w:t>
      </w:r>
      <w:r w:rsidRPr="006055D3">
        <w:rPr>
          <w:rFonts w:cs="Times New Roman"/>
          <w:lang w:val="fr-CA"/>
        </w:rPr>
        <w:t xml:space="preserve">heure, </w:t>
      </w:r>
      <w:r w:rsidRPr="006055D3">
        <w:rPr>
          <w:rFonts w:cs="Times New Roman"/>
          <w:lang w:val="fr-CA"/>
        </w:rPr>
        <w:lastRenderedPageBreak/>
        <w:t>TVH en sus, et la décision de la Cour d</w:t>
      </w:r>
      <w:r>
        <w:rPr>
          <w:rFonts w:cs="Times New Roman"/>
          <w:lang w:val="fr-CA"/>
        </w:rPr>
        <w:t>’</w:t>
      </w:r>
      <w:r w:rsidRPr="006055D3">
        <w:rPr>
          <w:rFonts w:cs="Times New Roman"/>
          <w:lang w:val="fr-CA"/>
        </w:rPr>
        <w:t>appel fédérale de l</w:t>
      </w:r>
      <w:r>
        <w:rPr>
          <w:rFonts w:cs="Times New Roman"/>
          <w:lang w:val="fr-CA"/>
        </w:rPr>
        <w:t>’</w:t>
      </w:r>
      <w:r w:rsidRPr="006055D3">
        <w:rPr>
          <w:rFonts w:cs="Times New Roman"/>
          <w:lang w:val="fr-CA"/>
        </w:rPr>
        <w:t>annuler. Le juge des requêtes a conclu à juste titre que le régime d</w:t>
      </w:r>
      <w:r>
        <w:rPr>
          <w:rFonts w:cs="Times New Roman"/>
          <w:lang w:val="fr-CA"/>
        </w:rPr>
        <w:t>’</w:t>
      </w:r>
      <w:r w:rsidRPr="006055D3">
        <w:rPr>
          <w:rFonts w:cs="Times New Roman"/>
          <w:lang w:val="fr-CA"/>
        </w:rPr>
        <w:t>avis et avis exigeait que les FSI assument les coûts de l</w:t>
      </w:r>
      <w:r>
        <w:rPr>
          <w:rFonts w:cs="Times New Roman"/>
          <w:lang w:val="fr-CA"/>
        </w:rPr>
        <w:t>’</w:t>
      </w:r>
      <w:r w:rsidRPr="006055D3">
        <w:rPr>
          <w:rFonts w:cs="Times New Roman"/>
          <w:lang w:val="fr-CA"/>
        </w:rPr>
        <w:t>exécution de leurs obligations légales. Il a également conclu, cependant, que, dans le cadre du régime, « [u]n FSI [. . .] est seulement tenu de faire deux choses » : (1) transmettre un avis aux termes de l</w:t>
      </w:r>
      <w:r>
        <w:rPr>
          <w:rFonts w:cs="Times New Roman"/>
          <w:lang w:val="fr-CA"/>
        </w:rPr>
        <w:t>’</w:t>
      </w:r>
      <w:r w:rsidRPr="006055D3">
        <w:rPr>
          <w:rFonts w:cs="Times New Roman"/>
          <w:lang w:val="fr-CA"/>
        </w:rPr>
        <w:t>al. 41.26(1)a); et (2) conserver un registre aux termes de l</w:t>
      </w:r>
      <w:r>
        <w:rPr>
          <w:rFonts w:cs="Times New Roman"/>
          <w:lang w:val="fr-CA"/>
        </w:rPr>
        <w:t>’</w:t>
      </w:r>
      <w:r w:rsidRPr="006055D3">
        <w:rPr>
          <w:rFonts w:cs="Times New Roman"/>
          <w:lang w:val="fr-CA"/>
        </w:rPr>
        <w:t>al. 41.26(1)b) (par. 11). Il a ensuite conclu que les droits de 100 $ l</w:t>
      </w:r>
      <w:r>
        <w:rPr>
          <w:rFonts w:cs="Times New Roman"/>
          <w:lang w:val="fr-CA"/>
        </w:rPr>
        <w:t>’</w:t>
      </w:r>
      <w:r w:rsidRPr="006055D3">
        <w:rPr>
          <w:rFonts w:cs="Times New Roman"/>
          <w:lang w:val="fr-CA"/>
        </w:rPr>
        <w:t xml:space="preserve">heure, TVH en sus, proposé par Rogers pour les mesures prises en vue de se conformer à une ordonnance de type </w:t>
      </w:r>
      <w:r w:rsidRPr="006055D3">
        <w:rPr>
          <w:rFonts w:cs="Times New Roman"/>
          <w:i/>
          <w:lang w:val="fr-CA"/>
        </w:rPr>
        <w:t>Norwich</w:t>
      </w:r>
      <w:r w:rsidRPr="006055D3">
        <w:rPr>
          <w:rFonts w:cs="Times New Roman"/>
          <w:lang w:val="fr-CA"/>
        </w:rPr>
        <w:t xml:space="preserve"> « sont ce qu</w:t>
      </w:r>
      <w:r>
        <w:rPr>
          <w:rFonts w:cs="Times New Roman"/>
          <w:lang w:val="fr-CA"/>
        </w:rPr>
        <w:t>’</w:t>
      </w:r>
      <w:r w:rsidRPr="006055D3">
        <w:rPr>
          <w:rFonts w:cs="Times New Roman"/>
          <w:lang w:val="fr-CA"/>
        </w:rPr>
        <w:t>ils sont », et que Voltage devrait rembourser Rogers à ce taux si elle souhaitait obtenir l</w:t>
      </w:r>
      <w:r>
        <w:rPr>
          <w:rFonts w:cs="Times New Roman"/>
          <w:lang w:val="fr-CA"/>
        </w:rPr>
        <w:t>’</w:t>
      </w:r>
      <w:r w:rsidRPr="006055D3">
        <w:rPr>
          <w:rFonts w:cs="Times New Roman"/>
          <w:lang w:val="fr-CA"/>
        </w:rPr>
        <w:t>identité de M. Untel. Nulle part dans ses motifs le juge des requêtes n</w:t>
      </w:r>
      <w:r>
        <w:rPr>
          <w:rFonts w:cs="Times New Roman"/>
          <w:lang w:val="fr-CA"/>
        </w:rPr>
        <w:t>’</w:t>
      </w:r>
      <w:r w:rsidRPr="006055D3">
        <w:rPr>
          <w:rFonts w:cs="Times New Roman"/>
          <w:lang w:val="fr-CA"/>
        </w:rPr>
        <w:t>a examiné les mesures qui, selon Rogers, étaient nécessaires pour qu</w:t>
      </w:r>
      <w:r>
        <w:rPr>
          <w:rFonts w:cs="Times New Roman"/>
          <w:lang w:val="fr-CA"/>
        </w:rPr>
        <w:t>’</w:t>
      </w:r>
      <w:r w:rsidRPr="006055D3">
        <w:rPr>
          <w:rFonts w:cs="Times New Roman"/>
          <w:lang w:val="fr-CA"/>
        </w:rPr>
        <w:t>elle se conforme à l</w:t>
      </w:r>
      <w:r>
        <w:rPr>
          <w:rFonts w:cs="Times New Roman"/>
          <w:lang w:val="fr-CA"/>
        </w:rPr>
        <w:t>’</w:t>
      </w:r>
      <w:r w:rsidRPr="006055D3">
        <w:rPr>
          <w:rFonts w:cs="Times New Roman"/>
          <w:lang w:val="fr-CA"/>
        </w:rPr>
        <w:t xml:space="preserve">ordonnance de type </w:t>
      </w:r>
      <w:r w:rsidRPr="006055D3">
        <w:rPr>
          <w:rFonts w:cs="Times New Roman"/>
          <w:i/>
          <w:lang w:val="fr-CA"/>
        </w:rPr>
        <w:t xml:space="preserve">Norwich. </w:t>
      </w:r>
      <w:r w:rsidRPr="006055D3">
        <w:rPr>
          <w:rFonts w:cs="Times New Roman"/>
          <w:lang w:val="fr-CA"/>
        </w:rPr>
        <w:t>Plus précisément, le juge des requêtes ne s</w:t>
      </w:r>
      <w:r>
        <w:rPr>
          <w:rFonts w:cs="Times New Roman"/>
          <w:lang w:val="fr-CA"/>
        </w:rPr>
        <w:t>’</w:t>
      </w:r>
      <w:r w:rsidRPr="006055D3">
        <w:rPr>
          <w:rFonts w:cs="Times New Roman"/>
          <w:lang w:val="fr-CA"/>
        </w:rPr>
        <w:t>est pas demandé si Rogers aurait dû avoir déjà pris l</w:t>
      </w:r>
      <w:r>
        <w:rPr>
          <w:rFonts w:cs="Times New Roman"/>
          <w:lang w:val="fr-CA"/>
        </w:rPr>
        <w:t>’</w:t>
      </w:r>
      <w:r w:rsidRPr="006055D3">
        <w:rPr>
          <w:rFonts w:cs="Times New Roman"/>
          <w:lang w:val="fr-CA"/>
        </w:rPr>
        <w:t>une ou l</w:t>
      </w:r>
      <w:r>
        <w:rPr>
          <w:rFonts w:cs="Times New Roman"/>
          <w:lang w:val="fr-CA"/>
        </w:rPr>
        <w:t>’</w:t>
      </w:r>
      <w:r w:rsidRPr="006055D3">
        <w:rPr>
          <w:rFonts w:cs="Times New Roman"/>
          <w:lang w:val="fr-CA"/>
        </w:rPr>
        <w:t>autre de ces mesures pour se conformer à ses obligations dans le cadre du régime d</w:t>
      </w:r>
      <w:r>
        <w:rPr>
          <w:rFonts w:cs="Times New Roman"/>
          <w:lang w:val="fr-CA"/>
        </w:rPr>
        <w:t>’</w:t>
      </w:r>
      <w:r w:rsidRPr="006055D3">
        <w:rPr>
          <w:rFonts w:cs="Times New Roman"/>
          <w:lang w:val="fr-CA"/>
        </w:rPr>
        <w:t>avis et avis.</w:t>
      </w:r>
      <w:r w:rsidRPr="006055D3">
        <w:rPr>
          <w:rFonts w:cs="Times New Roman"/>
          <w:i/>
          <w:lang w:val="fr-CA"/>
        </w:rPr>
        <w:t xml:space="preserve"> </w:t>
      </w:r>
    </w:p>
    <w:p w:rsidR="00E8197E" w:rsidRDefault="00E8197E" w:rsidP="00E8197E">
      <w:pPr>
        <w:pStyle w:val="ParaNoNdepar-AltN"/>
        <w:rPr>
          <w:rFonts w:cs="Times New Roman"/>
          <w:lang w:val="fr-CA"/>
        </w:rPr>
      </w:pPr>
      <w:r w:rsidRPr="006055D3">
        <w:rPr>
          <w:rFonts w:cs="Times New Roman"/>
          <w:lang w:val="fr-CA"/>
        </w:rPr>
        <w:t>Étant donné l</w:t>
      </w:r>
      <w:r>
        <w:rPr>
          <w:rFonts w:cs="Times New Roman"/>
          <w:lang w:val="fr-CA"/>
        </w:rPr>
        <w:t>’</w:t>
      </w:r>
      <w:r w:rsidRPr="006055D3">
        <w:rPr>
          <w:rFonts w:cs="Times New Roman"/>
          <w:lang w:val="fr-CA"/>
        </w:rPr>
        <w:t>interdiction légale relative au recouvrement des coûts découlant du régime d</w:t>
      </w:r>
      <w:r>
        <w:rPr>
          <w:rFonts w:cs="Times New Roman"/>
          <w:lang w:val="fr-CA"/>
        </w:rPr>
        <w:t>’</w:t>
      </w:r>
      <w:r w:rsidRPr="006055D3">
        <w:rPr>
          <w:rFonts w:cs="Times New Roman"/>
          <w:lang w:val="fr-CA"/>
        </w:rPr>
        <w:t>avis et avis, les juges des requêtes devraient examiner attentivement la preuve du FSI afin de décider si les droits qu</w:t>
      </w:r>
      <w:r>
        <w:rPr>
          <w:rFonts w:cs="Times New Roman"/>
          <w:lang w:val="fr-CA"/>
        </w:rPr>
        <w:t>’</w:t>
      </w:r>
      <w:r w:rsidRPr="006055D3">
        <w:rPr>
          <w:rFonts w:cs="Times New Roman"/>
          <w:lang w:val="fr-CA"/>
        </w:rPr>
        <w:t>il propose sont « raisonnables », à la lumière des obligations qui lui incombent dans le cadre du régime d</w:t>
      </w:r>
      <w:r>
        <w:rPr>
          <w:rFonts w:cs="Times New Roman"/>
          <w:lang w:val="fr-CA"/>
        </w:rPr>
        <w:t>’</w:t>
      </w:r>
      <w:r w:rsidRPr="006055D3">
        <w:rPr>
          <w:rFonts w:cs="Times New Roman"/>
          <w:lang w:val="fr-CA"/>
        </w:rPr>
        <w:t>avis et avis. Selon la preuve en l</w:t>
      </w:r>
      <w:r>
        <w:rPr>
          <w:rFonts w:cs="Times New Roman"/>
          <w:lang w:val="fr-CA"/>
        </w:rPr>
        <w:t>’</w:t>
      </w:r>
      <w:r w:rsidRPr="006055D3">
        <w:rPr>
          <w:rFonts w:cs="Times New Roman"/>
          <w:lang w:val="fr-CA"/>
        </w:rPr>
        <w:t>espèce, par exemple, Rogers entreprend un processus manuel en huit étapes lorsqu</w:t>
      </w:r>
      <w:r>
        <w:rPr>
          <w:rFonts w:cs="Times New Roman"/>
          <w:lang w:val="fr-CA"/>
        </w:rPr>
        <w:t>’</w:t>
      </w:r>
      <w:r w:rsidRPr="006055D3">
        <w:rPr>
          <w:rFonts w:cs="Times New Roman"/>
          <w:lang w:val="fr-CA"/>
        </w:rPr>
        <w:t>un tribunal lui ordonne de communiquer l</w:t>
      </w:r>
      <w:r>
        <w:rPr>
          <w:rFonts w:cs="Times New Roman"/>
          <w:lang w:val="fr-CA"/>
        </w:rPr>
        <w:t>’</w:t>
      </w:r>
      <w:r w:rsidRPr="006055D3">
        <w:rPr>
          <w:rFonts w:cs="Times New Roman"/>
          <w:lang w:val="fr-CA"/>
        </w:rPr>
        <w:t>identité d</w:t>
      </w:r>
      <w:r>
        <w:rPr>
          <w:rFonts w:cs="Times New Roman"/>
          <w:lang w:val="fr-CA"/>
        </w:rPr>
        <w:t>’</w:t>
      </w:r>
      <w:r w:rsidRPr="006055D3">
        <w:rPr>
          <w:rFonts w:cs="Times New Roman"/>
          <w:lang w:val="fr-CA"/>
        </w:rPr>
        <w:t>un de ses abonnés. Ces huit étapes, telles qu</w:t>
      </w:r>
      <w:r>
        <w:rPr>
          <w:rFonts w:cs="Times New Roman"/>
          <w:lang w:val="fr-CA"/>
        </w:rPr>
        <w:t>’</w:t>
      </w:r>
      <w:r w:rsidRPr="006055D3">
        <w:rPr>
          <w:rFonts w:cs="Times New Roman"/>
          <w:lang w:val="fr-CA"/>
        </w:rPr>
        <w:t>elles ont été décrites par un employé de Rogers, sont les suivantes :</w:t>
      </w:r>
    </w:p>
    <w:p w:rsidR="00CB748C" w:rsidRPr="006055D3" w:rsidRDefault="00CB748C" w:rsidP="00CB748C">
      <w:pPr>
        <w:pStyle w:val="ParaNoNdepar-AltN"/>
        <w:numPr>
          <w:ilvl w:val="0"/>
          <w:numId w:val="0"/>
        </w:numPr>
        <w:spacing w:before="240" w:after="240" w:line="240" w:lineRule="auto"/>
        <w:ind w:left="1526"/>
        <w:rPr>
          <w:rFonts w:cs="Times New Roman"/>
          <w:lang w:val="fr-CA"/>
        </w:rPr>
      </w:pPr>
      <w:r w:rsidRPr="006055D3">
        <w:rPr>
          <w:lang w:val="fr-CA"/>
        </w:rPr>
        <w:t>[</w:t>
      </w:r>
      <w:r w:rsidRPr="006055D3">
        <w:rPr>
          <w:smallCaps/>
          <w:lang w:val="fr-CA"/>
        </w:rPr>
        <w:t>traduction</w:t>
      </w:r>
      <w:r w:rsidRPr="006055D3">
        <w:rPr>
          <w:lang w:val="fr-CA"/>
        </w:rPr>
        <w:t>]</w:t>
      </w:r>
    </w:p>
    <w:p w:rsidR="00E8197E" w:rsidRPr="006055D3" w:rsidRDefault="00E8197E" w:rsidP="00E8197E">
      <w:pPr>
        <w:pStyle w:val="Citation-AltC"/>
        <w:numPr>
          <w:ilvl w:val="4"/>
          <w:numId w:val="9"/>
        </w:numPr>
        <w:spacing w:after="240"/>
        <w:contextualSpacing w:val="0"/>
        <w:rPr>
          <w:lang w:val="fr-CA"/>
        </w:rPr>
      </w:pPr>
      <w:r w:rsidRPr="006055D3">
        <w:rPr>
          <w:lang w:val="fr-CA"/>
        </w:rPr>
        <w:lastRenderedPageBreak/>
        <w:t>La demande est enregistrée par un analyste de la sécurité. L</w:t>
      </w:r>
      <w:r>
        <w:rPr>
          <w:lang w:val="fr-CA"/>
        </w:rPr>
        <w:t>’</w:t>
      </w:r>
      <w:r w:rsidRPr="006055D3">
        <w:rPr>
          <w:lang w:val="fr-CA"/>
        </w:rPr>
        <w:t>analyste saisit dans une base de données la date, l</w:t>
      </w:r>
      <w:r>
        <w:rPr>
          <w:lang w:val="fr-CA"/>
        </w:rPr>
        <w:t>’</w:t>
      </w:r>
      <w:r w:rsidRPr="006055D3">
        <w:rPr>
          <w:lang w:val="fr-CA"/>
        </w:rPr>
        <w:t>heure, les renseignements demandés, les services touchés, la date d</w:t>
      </w:r>
      <w:r>
        <w:rPr>
          <w:lang w:val="fr-CA"/>
        </w:rPr>
        <w:t>’</w:t>
      </w:r>
      <w:r w:rsidRPr="006055D3">
        <w:rPr>
          <w:lang w:val="fr-CA"/>
        </w:rPr>
        <w:t>échéance et l</w:t>
      </w:r>
      <w:r>
        <w:rPr>
          <w:lang w:val="fr-CA"/>
        </w:rPr>
        <w:t>’</w:t>
      </w:r>
      <w:r w:rsidRPr="006055D3">
        <w:rPr>
          <w:lang w:val="fr-CA"/>
        </w:rPr>
        <w:t>information sur le demandeur;</w:t>
      </w:r>
    </w:p>
    <w:p w:rsidR="00E8197E" w:rsidRPr="006055D3" w:rsidRDefault="00E8197E" w:rsidP="00E8197E">
      <w:pPr>
        <w:pStyle w:val="Citation-AltC"/>
        <w:numPr>
          <w:ilvl w:val="4"/>
          <w:numId w:val="9"/>
        </w:numPr>
        <w:spacing w:after="240"/>
        <w:contextualSpacing w:val="0"/>
        <w:rPr>
          <w:lang w:val="fr-CA"/>
        </w:rPr>
      </w:pPr>
      <w:r w:rsidRPr="006055D3">
        <w:rPr>
          <w:lang w:val="fr-CA"/>
        </w:rPr>
        <w:t>Dans le cas d</w:t>
      </w:r>
      <w:r>
        <w:rPr>
          <w:lang w:val="fr-CA"/>
        </w:rPr>
        <w:t>’</w:t>
      </w:r>
      <w:r w:rsidRPr="006055D3">
        <w:rPr>
          <w:lang w:val="fr-CA"/>
        </w:rPr>
        <w:t>une recherche d</w:t>
      </w:r>
      <w:r>
        <w:rPr>
          <w:lang w:val="fr-CA"/>
        </w:rPr>
        <w:t>’</w:t>
      </w:r>
      <w:r w:rsidRPr="006055D3">
        <w:rPr>
          <w:lang w:val="fr-CA"/>
        </w:rPr>
        <w:t>adresse IP, lorsque l</w:t>
      </w:r>
      <w:r>
        <w:rPr>
          <w:lang w:val="fr-CA"/>
        </w:rPr>
        <w:t>’</w:t>
      </w:r>
      <w:r w:rsidRPr="006055D3">
        <w:rPr>
          <w:lang w:val="fr-CA"/>
        </w:rPr>
        <w:t>entrée du journal s</w:t>
      </w:r>
      <w:r>
        <w:rPr>
          <w:lang w:val="fr-CA"/>
        </w:rPr>
        <w:t>’</w:t>
      </w:r>
      <w:r w:rsidRPr="006055D3">
        <w:rPr>
          <w:lang w:val="fr-CA"/>
        </w:rPr>
        <w:t>inscrit dans la file d</w:t>
      </w:r>
      <w:r>
        <w:rPr>
          <w:lang w:val="fr-CA"/>
        </w:rPr>
        <w:t>’</w:t>
      </w:r>
      <w:r w:rsidRPr="006055D3">
        <w:rPr>
          <w:lang w:val="fr-CA"/>
        </w:rPr>
        <w:t>attente du travail à traiter, un deuxième analyste de la sécurité compare l</w:t>
      </w:r>
      <w:r>
        <w:rPr>
          <w:lang w:val="fr-CA"/>
        </w:rPr>
        <w:t>’</w:t>
      </w:r>
      <w:r w:rsidRPr="006055D3">
        <w:rPr>
          <w:lang w:val="fr-CA"/>
        </w:rPr>
        <w:t>adresse IP à une ressource Internet afin de s</w:t>
      </w:r>
      <w:r>
        <w:rPr>
          <w:lang w:val="fr-CA"/>
        </w:rPr>
        <w:t>’</w:t>
      </w:r>
      <w:r w:rsidRPr="006055D3">
        <w:rPr>
          <w:lang w:val="fr-CA"/>
        </w:rPr>
        <w:t>assurer qu</w:t>
      </w:r>
      <w:r>
        <w:rPr>
          <w:lang w:val="fr-CA"/>
        </w:rPr>
        <w:t>’</w:t>
      </w:r>
      <w:r w:rsidRPr="006055D3">
        <w:rPr>
          <w:lang w:val="fr-CA"/>
        </w:rPr>
        <w:t>il s</w:t>
      </w:r>
      <w:r>
        <w:rPr>
          <w:lang w:val="fr-CA"/>
        </w:rPr>
        <w:t>’</w:t>
      </w:r>
      <w:r w:rsidRPr="006055D3">
        <w:rPr>
          <w:lang w:val="fr-CA"/>
        </w:rPr>
        <w:t>agit bien d</w:t>
      </w:r>
      <w:r>
        <w:rPr>
          <w:lang w:val="fr-CA"/>
        </w:rPr>
        <w:t>’</w:t>
      </w:r>
      <w:r w:rsidRPr="006055D3">
        <w:rPr>
          <w:lang w:val="fr-CA"/>
        </w:rPr>
        <w:t>une adresse IP de Rogers Cable;</w:t>
      </w:r>
    </w:p>
    <w:p w:rsidR="00E8197E" w:rsidRPr="006055D3" w:rsidRDefault="00E8197E" w:rsidP="00E8197E">
      <w:pPr>
        <w:pStyle w:val="Citation-AltC"/>
        <w:numPr>
          <w:ilvl w:val="4"/>
          <w:numId w:val="9"/>
        </w:numPr>
        <w:spacing w:after="240"/>
        <w:contextualSpacing w:val="0"/>
        <w:rPr>
          <w:lang w:val="fr-CA"/>
        </w:rPr>
      </w:pPr>
      <w:r w:rsidRPr="006055D3">
        <w:rPr>
          <w:lang w:val="fr-CA"/>
        </w:rPr>
        <w:t>L</w:t>
      </w:r>
      <w:r>
        <w:rPr>
          <w:lang w:val="fr-CA"/>
        </w:rPr>
        <w:t>’</w:t>
      </w:r>
      <w:r w:rsidRPr="006055D3">
        <w:rPr>
          <w:lang w:val="fr-CA"/>
        </w:rPr>
        <w:t>analyste de la sécurité chargé de traiter la demande recherche l</w:t>
      </w:r>
      <w:r>
        <w:rPr>
          <w:lang w:val="fr-CA"/>
        </w:rPr>
        <w:t>’</w:t>
      </w:r>
      <w:r w:rsidRPr="006055D3">
        <w:rPr>
          <w:lang w:val="fr-CA"/>
        </w:rPr>
        <w:t>adresse IP dans une base de données Rogers qui enregistre tous les utilisateurs d</w:t>
      </w:r>
      <w:r>
        <w:rPr>
          <w:lang w:val="fr-CA"/>
        </w:rPr>
        <w:t>’</w:t>
      </w:r>
      <w:r w:rsidRPr="006055D3">
        <w:rPr>
          <w:lang w:val="fr-CA"/>
        </w:rPr>
        <w:t>une adresse IP donnée au cours des 12 derniers mois (environ). La requête est limitée à des paramètres de date et d</w:t>
      </w:r>
      <w:r>
        <w:rPr>
          <w:lang w:val="fr-CA"/>
        </w:rPr>
        <w:t>’</w:t>
      </w:r>
      <w:r w:rsidRPr="006055D3">
        <w:rPr>
          <w:lang w:val="fr-CA"/>
        </w:rPr>
        <w:t>heure précis afin d</w:t>
      </w:r>
      <w:r>
        <w:rPr>
          <w:lang w:val="fr-CA"/>
        </w:rPr>
        <w:t>’</w:t>
      </w:r>
      <w:r w:rsidRPr="006055D3">
        <w:rPr>
          <w:lang w:val="fr-CA"/>
        </w:rPr>
        <w:t>identifier un modem précis;</w:t>
      </w:r>
    </w:p>
    <w:p w:rsidR="00E8197E" w:rsidRPr="006055D3" w:rsidRDefault="00E8197E" w:rsidP="00E8197E">
      <w:pPr>
        <w:pStyle w:val="Citation-AltC"/>
        <w:numPr>
          <w:ilvl w:val="4"/>
          <w:numId w:val="9"/>
        </w:numPr>
        <w:spacing w:after="240"/>
        <w:contextualSpacing w:val="0"/>
        <w:rPr>
          <w:lang w:val="fr-CA"/>
        </w:rPr>
      </w:pPr>
      <w:r w:rsidRPr="006055D3">
        <w:rPr>
          <w:lang w:val="fr-CA"/>
        </w:rPr>
        <w:t>L</w:t>
      </w:r>
      <w:r>
        <w:rPr>
          <w:lang w:val="fr-CA"/>
        </w:rPr>
        <w:t>’</w:t>
      </w:r>
      <w:r w:rsidRPr="006055D3">
        <w:rPr>
          <w:lang w:val="fr-CA"/>
        </w:rPr>
        <w:t>information d</w:t>
      </w:r>
      <w:r>
        <w:rPr>
          <w:lang w:val="fr-CA"/>
        </w:rPr>
        <w:t>’</w:t>
      </w:r>
      <w:r w:rsidRPr="006055D3">
        <w:rPr>
          <w:lang w:val="fr-CA"/>
        </w:rPr>
        <w:t xml:space="preserve">identification du modem est comparée à une liste de modems en double, afin de vérifier si le modem a été cloné; </w:t>
      </w:r>
    </w:p>
    <w:p w:rsidR="00E8197E" w:rsidRPr="006055D3" w:rsidRDefault="00E8197E" w:rsidP="00E8197E">
      <w:pPr>
        <w:pStyle w:val="Citation-AltC"/>
        <w:numPr>
          <w:ilvl w:val="4"/>
          <w:numId w:val="9"/>
        </w:numPr>
        <w:spacing w:after="240"/>
        <w:contextualSpacing w:val="0"/>
        <w:rPr>
          <w:lang w:val="fr-CA"/>
        </w:rPr>
      </w:pPr>
      <w:r w:rsidRPr="006055D3">
        <w:rPr>
          <w:lang w:val="fr-CA"/>
        </w:rPr>
        <w:t>Le modem est recherché dans la base de données des clients de Rogers. Trois vérifications distinctes sont ensuite effectuées pour s</w:t>
      </w:r>
      <w:r>
        <w:rPr>
          <w:lang w:val="fr-CA"/>
        </w:rPr>
        <w:t>’</w:t>
      </w:r>
      <w:r w:rsidRPr="006055D3">
        <w:rPr>
          <w:lang w:val="fr-CA"/>
        </w:rPr>
        <w:t>assurer que l</w:t>
      </w:r>
      <w:r>
        <w:rPr>
          <w:lang w:val="fr-CA"/>
        </w:rPr>
        <w:t>’</w:t>
      </w:r>
      <w:r w:rsidRPr="006055D3">
        <w:rPr>
          <w:lang w:val="fr-CA"/>
        </w:rPr>
        <w:t xml:space="preserve">identification du client est exacte; </w:t>
      </w:r>
    </w:p>
    <w:p w:rsidR="00E8197E" w:rsidRPr="006055D3" w:rsidRDefault="00E8197E" w:rsidP="00E8197E">
      <w:pPr>
        <w:pStyle w:val="Citation-AltC"/>
        <w:numPr>
          <w:ilvl w:val="4"/>
          <w:numId w:val="9"/>
        </w:numPr>
        <w:spacing w:after="240"/>
        <w:contextualSpacing w:val="0"/>
        <w:rPr>
          <w:lang w:val="fr-CA"/>
        </w:rPr>
      </w:pPr>
      <w:r w:rsidRPr="006055D3">
        <w:rPr>
          <w:lang w:val="fr-CA"/>
        </w:rPr>
        <w:t>Des captures d</w:t>
      </w:r>
      <w:r>
        <w:rPr>
          <w:lang w:val="fr-CA"/>
        </w:rPr>
        <w:t>’</w:t>
      </w:r>
      <w:r w:rsidRPr="006055D3">
        <w:rPr>
          <w:lang w:val="fr-CA"/>
        </w:rPr>
        <w:t>écran des renseignements générés aux étapes 2 à 5 sont sauvegardées dans un fichier en tant que dossier justificatif;</w:t>
      </w:r>
    </w:p>
    <w:p w:rsidR="00E8197E" w:rsidRPr="006055D3" w:rsidRDefault="00E8197E" w:rsidP="00E8197E">
      <w:pPr>
        <w:pStyle w:val="Citation-AltC"/>
        <w:numPr>
          <w:ilvl w:val="4"/>
          <w:numId w:val="9"/>
        </w:numPr>
        <w:spacing w:after="240"/>
        <w:contextualSpacing w:val="0"/>
        <w:rPr>
          <w:lang w:val="fr-CA"/>
        </w:rPr>
      </w:pPr>
      <w:r w:rsidRPr="006055D3">
        <w:rPr>
          <w:lang w:val="fr-CA"/>
        </w:rPr>
        <w:t>L</w:t>
      </w:r>
      <w:r>
        <w:rPr>
          <w:lang w:val="fr-CA"/>
        </w:rPr>
        <w:t>’</w:t>
      </w:r>
      <w:r w:rsidRPr="006055D3">
        <w:rPr>
          <w:lang w:val="fr-CA"/>
        </w:rPr>
        <w:t>analyste de la sécurité crée un document contenant les résultats demandés et consigne la date d</w:t>
      </w:r>
      <w:r>
        <w:rPr>
          <w:lang w:val="fr-CA"/>
        </w:rPr>
        <w:t>’</w:t>
      </w:r>
      <w:r w:rsidRPr="006055D3">
        <w:rPr>
          <w:lang w:val="fr-CA"/>
        </w:rPr>
        <w:t>achèvement;</w:t>
      </w:r>
    </w:p>
    <w:p w:rsidR="00E8197E" w:rsidRPr="006055D3" w:rsidRDefault="00E8197E" w:rsidP="00E8197E">
      <w:pPr>
        <w:pStyle w:val="Citation-AltC"/>
        <w:numPr>
          <w:ilvl w:val="4"/>
          <w:numId w:val="9"/>
        </w:numPr>
        <w:spacing w:after="240"/>
        <w:contextualSpacing w:val="0"/>
        <w:rPr>
          <w:lang w:val="fr-CA"/>
        </w:rPr>
      </w:pPr>
      <w:r w:rsidRPr="006055D3">
        <w:rPr>
          <w:lang w:val="fr-CA"/>
        </w:rPr>
        <w:t>Un enquêteur du groupe [responsable de l</w:t>
      </w:r>
      <w:r>
        <w:rPr>
          <w:lang w:val="fr-CA"/>
        </w:rPr>
        <w:t>’</w:t>
      </w:r>
      <w:r w:rsidRPr="006055D3">
        <w:rPr>
          <w:lang w:val="fr-CA"/>
        </w:rPr>
        <w:t>accès légal] examine les captures d</w:t>
      </w:r>
      <w:r>
        <w:rPr>
          <w:lang w:val="fr-CA"/>
        </w:rPr>
        <w:t>’</w:t>
      </w:r>
      <w:r w:rsidRPr="006055D3">
        <w:rPr>
          <w:lang w:val="fr-CA"/>
        </w:rPr>
        <w:t>écran et le document de résultats. Si l</w:t>
      </w:r>
      <w:r>
        <w:rPr>
          <w:lang w:val="fr-CA"/>
        </w:rPr>
        <w:t>’</w:t>
      </w:r>
      <w:r w:rsidRPr="006055D3">
        <w:rPr>
          <w:lang w:val="fr-CA"/>
        </w:rPr>
        <w:t>enquêteur est satisfait du résultat, celui</w:t>
      </w:r>
      <w:r w:rsidRPr="006055D3">
        <w:rPr>
          <w:lang w:val="fr-CA"/>
        </w:rPr>
        <w:noBreakHyphen/>
        <w:t xml:space="preserve">ci est transmis </w:t>
      </w:r>
      <w:r w:rsidR="00CB748C">
        <w:rPr>
          <w:lang w:val="fr-CA"/>
        </w:rPr>
        <w:t>à la</w:t>
      </w:r>
      <w:r w:rsidRPr="006055D3">
        <w:rPr>
          <w:lang w:val="fr-CA"/>
        </w:rPr>
        <w:t xml:space="preserve"> </w:t>
      </w:r>
      <w:r w:rsidR="00CB748C">
        <w:rPr>
          <w:lang w:val="fr-CA"/>
        </w:rPr>
        <w:t>partie requérante</w:t>
      </w:r>
      <w:r w:rsidRPr="006055D3">
        <w:rPr>
          <w:lang w:val="fr-CA"/>
        </w:rPr>
        <w:t>. L</w:t>
      </w:r>
      <w:r>
        <w:rPr>
          <w:lang w:val="fr-CA"/>
        </w:rPr>
        <w:t>’</w:t>
      </w:r>
      <w:r w:rsidRPr="006055D3">
        <w:rPr>
          <w:lang w:val="fr-CA"/>
        </w:rPr>
        <w:t xml:space="preserve">enquêteur consigne sa participation au processus, puis ferme le dossier. </w:t>
      </w:r>
    </w:p>
    <w:p w:rsidR="00E8197E" w:rsidRPr="006055D3" w:rsidRDefault="00E8197E" w:rsidP="00E8197E">
      <w:pPr>
        <w:pStyle w:val="Citation-AltC"/>
        <w:ind w:left="1800" w:hanging="1800"/>
        <w:contextualSpacing w:val="0"/>
        <w:rPr>
          <w:lang w:val="fr-CA"/>
        </w:rPr>
      </w:pPr>
      <w:r w:rsidRPr="006055D3">
        <w:rPr>
          <w:lang w:val="fr-CA"/>
        </w:rPr>
        <w:t>(d.a., p. 120)</w:t>
      </w:r>
    </w:p>
    <w:p w:rsidR="00E8197E" w:rsidRPr="006055D3" w:rsidRDefault="00E8197E" w:rsidP="00E8197E">
      <w:pPr>
        <w:pStyle w:val="ParaNoNdepar-AltN"/>
        <w:rPr>
          <w:rFonts w:cs="Times New Roman"/>
          <w:lang w:val="fr-CA"/>
        </w:rPr>
      </w:pPr>
      <w:r w:rsidRPr="006055D3">
        <w:rPr>
          <w:rFonts w:cs="Times New Roman"/>
          <w:lang w:val="fr-CA"/>
        </w:rPr>
        <w:t>À mon humble avis, le juge des requêtes a commis une erreur de droit en omettant de déterminer la pleine portée des obligations du FSI aux termes du par. 41.26(1), puis en omettant de se demander si l</w:t>
      </w:r>
      <w:r>
        <w:rPr>
          <w:rFonts w:cs="Times New Roman"/>
          <w:lang w:val="fr-CA"/>
        </w:rPr>
        <w:t>’</w:t>
      </w:r>
      <w:r w:rsidRPr="006055D3">
        <w:rPr>
          <w:rFonts w:cs="Times New Roman"/>
          <w:lang w:val="fr-CA"/>
        </w:rPr>
        <w:t>une ou l</w:t>
      </w:r>
      <w:r>
        <w:rPr>
          <w:rFonts w:cs="Times New Roman"/>
          <w:lang w:val="fr-CA"/>
        </w:rPr>
        <w:t>’</w:t>
      </w:r>
      <w:r w:rsidRPr="006055D3">
        <w:rPr>
          <w:rFonts w:cs="Times New Roman"/>
          <w:lang w:val="fr-CA"/>
        </w:rPr>
        <w:t>autre de ces huit étapes chevauche les obligations légales de Rogers pour lesquelles elle n</w:t>
      </w:r>
      <w:r>
        <w:rPr>
          <w:rFonts w:cs="Times New Roman"/>
          <w:lang w:val="fr-CA"/>
        </w:rPr>
        <w:t>’</w:t>
      </w:r>
      <w:r w:rsidRPr="006055D3">
        <w:rPr>
          <w:rFonts w:cs="Times New Roman"/>
          <w:lang w:val="fr-CA"/>
        </w:rPr>
        <w:t>avait pas droit à un remboursement. La Cour d</w:t>
      </w:r>
      <w:r>
        <w:rPr>
          <w:rFonts w:cs="Times New Roman"/>
          <w:lang w:val="fr-CA"/>
        </w:rPr>
        <w:t>’</w:t>
      </w:r>
      <w:r w:rsidRPr="006055D3">
        <w:rPr>
          <w:rFonts w:cs="Times New Roman"/>
          <w:lang w:val="fr-CA"/>
        </w:rPr>
        <w:t>appel fédérale a donc annulé à juste titre l</w:t>
      </w:r>
      <w:r>
        <w:rPr>
          <w:rFonts w:cs="Times New Roman"/>
          <w:lang w:val="fr-CA"/>
        </w:rPr>
        <w:t>’</w:t>
      </w:r>
      <w:r w:rsidRPr="006055D3">
        <w:rPr>
          <w:rFonts w:cs="Times New Roman"/>
          <w:lang w:val="fr-CA"/>
        </w:rPr>
        <w:t>ordonnance du juge des requêtes. Cela dit, je ne suis pas d</w:t>
      </w:r>
      <w:r>
        <w:rPr>
          <w:rFonts w:cs="Times New Roman"/>
          <w:lang w:val="fr-CA"/>
        </w:rPr>
        <w:t>’</w:t>
      </w:r>
      <w:r w:rsidRPr="006055D3">
        <w:rPr>
          <w:rFonts w:cs="Times New Roman"/>
          <w:lang w:val="fr-CA"/>
        </w:rPr>
        <w:t>accord avec la décision de la Cour d</w:t>
      </w:r>
      <w:r>
        <w:rPr>
          <w:rFonts w:cs="Times New Roman"/>
          <w:lang w:val="fr-CA"/>
        </w:rPr>
        <w:t>’</w:t>
      </w:r>
      <w:r w:rsidRPr="006055D3">
        <w:rPr>
          <w:rFonts w:cs="Times New Roman"/>
          <w:lang w:val="fr-CA"/>
        </w:rPr>
        <w:t xml:space="preserve">appel </w:t>
      </w:r>
      <w:r w:rsidRPr="006055D3">
        <w:rPr>
          <w:rFonts w:cs="Times New Roman"/>
          <w:lang w:val="fr-CA"/>
        </w:rPr>
        <w:lastRenderedPageBreak/>
        <w:t>fédérale selon laquelle les coûts que Rogers peut recouvrer en raison de sa conformité à l</w:t>
      </w:r>
      <w:r>
        <w:rPr>
          <w:rFonts w:cs="Times New Roman"/>
          <w:lang w:val="fr-CA"/>
        </w:rPr>
        <w:t>’</w:t>
      </w:r>
      <w:r w:rsidRPr="006055D3">
        <w:rPr>
          <w:rFonts w:cs="Times New Roman"/>
          <w:lang w:val="fr-CA"/>
        </w:rPr>
        <w:t xml:space="preserve">ordonnance de type </w:t>
      </w:r>
      <w:r w:rsidRPr="006055D3">
        <w:rPr>
          <w:rFonts w:cs="Times New Roman"/>
          <w:i/>
          <w:lang w:val="fr-CA"/>
        </w:rPr>
        <w:t>Norwich</w:t>
      </w:r>
      <w:r w:rsidRPr="006055D3">
        <w:rPr>
          <w:rFonts w:cs="Times New Roman"/>
          <w:lang w:val="fr-CA"/>
        </w:rPr>
        <w:t xml:space="preserve"> se limitent à ceux engagés à l</w:t>
      </w:r>
      <w:r>
        <w:rPr>
          <w:rFonts w:cs="Times New Roman"/>
          <w:lang w:val="fr-CA"/>
        </w:rPr>
        <w:t>’</w:t>
      </w:r>
      <w:r w:rsidRPr="006055D3">
        <w:rPr>
          <w:rFonts w:cs="Times New Roman"/>
          <w:lang w:val="fr-CA"/>
        </w:rPr>
        <w:t>égard de la communication en tant que telle — bien que je convienne que Rogers a le droit de recouvrer ces coûts. Comme je l</w:t>
      </w:r>
      <w:r>
        <w:rPr>
          <w:rFonts w:cs="Times New Roman"/>
          <w:lang w:val="fr-CA"/>
        </w:rPr>
        <w:t>’</w:t>
      </w:r>
      <w:r w:rsidRPr="006055D3">
        <w:rPr>
          <w:rFonts w:cs="Times New Roman"/>
          <w:lang w:val="fr-CA"/>
        </w:rPr>
        <w:t>ai expliqué, le régime législatif d</w:t>
      </w:r>
      <w:r>
        <w:rPr>
          <w:rFonts w:cs="Times New Roman"/>
          <w:lang w:val="fr-CA"/>
        </w:rPr>
        <w:t>’</w:t>
      </w:r>
      <w:r w:rsidRPr="006055D3">
        <w:rPr>
          <w:rFonts w:cs="Times New Roman"/>
          <w:lang w:val="fr-CA"/>
        </w:rPr>
        <w:t>avis et avis, à mon sens, n</w:t>
      </w:r>
      <w:r>
        <w:rPr>
          <w:rFonts w:cs="Times New Roman"/>
          <w:lang w:val="fr-CA"/>
        </w:rPr>
        <w:t>’</w:t>
      </w:r>
      <w:r w:rsidRPr="006055D3">
        <w:rPr>
          <w:rFonts w:cs="Times New Roman"/>
          <w:lang w:val="fr-CA"/>
        </w:rPr>
        <w:t>exige pas que le FSI tienne un registre d</w:t>
      </w:r>
      <w:r>
        <w:rPr>
          <w:rFonts w:cs="Times New Roman"/>
          <w:lang w:val="fr-CA"/>
        </w:rPr>
        <w:t>’</w:t>
      </w:r>
      <w:r w:rsidRPr="006055D3">
        <w:rPr>
          <w:rFonts w:cs="Times New Roman"/>
          <w:lang w:val="fr-CA"/>
        </w:rPr>
        <w:t>une manière ou sous une forme qui permettrait aux titulaires de droits d</w:t>
      </w:r>
      <w:r>
        <w:rPr>
          <w:rFonts w:cs="Times New Roman"/>
          <w:lang w:val="fr-CA"/>
        </w:rPr>
        <w:t>’</w:t>
      </w:r>
      <w:r w:rsidRPr="006055D3">
        <w:rPr>
          <w:rFonts w:cs="Times New Roman"/>
          <w:lang w:val="fr-CA"/>
        </w:rPr>
        <w:t>auteur ou à un tribunal de discerner l</w:t>
      </w:r>
      <w:r>
        <w:rPr>
          <w:rFonts w:cs="Times New Roman"/>
          <w:lang w:val="fr-CA"/>
        </w:rPr>
        <w:t>’</w:t>
      </w:r>
      <w:r w:rsidRPr="006055D3">
        <w:rPr>
          <w:rFonts w:cs="Times New Roman"/>
          <w:lang w:val="fr-CA"/>
        </w:rPr>
        <w:t>identité et l</w:t>
      </w:r>
      <w:r>
        <w:rPr>
          <w:rFonts w:cs="Times New Roman"/>
          <w:lang w:val="fr-CA"/>
        </w:rPr>
        <w:t>’</w:t>
      </w:r>
      <w:r w:rsidRPr="006055D3">
        <w:rPr>
          <w:rFonts w:cs="Times New Roman"/>
          <w:lang w:val="fr-CA"/>
        </w:rPr>
        <w:t>adresse physique de la personne à qui l</w:t>
      </w:r>
      <w:r>
        <w:rPr>
          <w:rFonts w:cs="Times New Roman"/>
          <w:lang w:val="fr-CA"/>
        </w:rPr>
        <w:t>’</w:t>
      </w:r>
      <w:r w:rsidRPr="006055D3">
        <w:rPr>
          <w:rFonts w:cs="Times New Roman"/>
          <w:lang w:val="fr-CA"/>
        </w:rPr>
        <w:t xml:space="preserve">avis a été envoyé. En réponse à une ordonnance de type </w:t>
      </w:r>
      <w:r w:rsidRPr="006055D3">
        <w:rPr>
          <w:rFonts w:cs="Times New Roman"/>
          <w:i/>
          <w:lang w:val="fr-CA"/>
        </w:rPr>
        <w:t>Norwich</w:t>
      </w:r>
      <w:r w:rsidRPr="006055D3">
        <w:rPr>
          <w:rFonts w:cs="Times New Roman"/>
          <w:lang w:val="fr-CA"/>
        </w:rPr>
        <w:t xml:space="preserve"> l</w:t>
      </w:r>
      <w:r>
        <w:rPr>
          <w:rFonts w:cs="Times New Roman"/>
          <w:lang w:val="fr-CA"/>
        </w:rPr>
        <w:t>’</w:t>
      </w:r>
      <w:r w:rsidRPr="006055D3">
        <w:rPr>
          <w:rFonts w:cs="Times New Roman"/>
          <w:lang w:val="fr-CA"/>
        </w:rPr>
        <w:t>obligeant à fournir de tels renseignements (ou d</w:t>
      </w:r>
      <w:r>
        <w:rPr>
          <w:rFonts w:cs="Times New Roman"/>
          <w:lang w:val="fr-CA"/>
        </w:rPr>
        <w:t>’</w:t>
      </w:r>
      <w:r w:rsidRPr="006055D3">
        <w:rPr>
          <w:rFonts w:cs="Times New Roman"/>
          <w:lang w:val="fr-CA"/>
        </w:rPr>
        <w:t>autres renseignements à l</w:t>
      </w:r>
      <w:r>
        <w:rPr>
          <w:rFonts w:cs="Times New Roman"/>
          <w:lang w:val="fr-CA"/>
        </w:rPr>
        <w:t>’</w:t>
      </w:r>
      <w:r w:rsidRPr="006055D3">
        <w:rPr>
          <w:rFonts w:cs="Times New Roman"/>
          <w:lang w:val="fr-CA"/>
        </w:rPr>
        <w:t>appui), le FSI a donc droit aux coûts raisonnables des mesures nécessaires pour discerner l</w:t>
      </w:r>
      <w:r>
        <w:rPr>
          <w:rFonts w:cs="Times New Roman"/>
          <w:lang w:val="fr-CA"/>
        </w:rPr>
        <w:t>’</w:t>
      </w:r>
      <w:r w:rsidRPr="006055D3">
        <w:rPr>
          <w:rFonts w:cs="Times New Roman"/>
          <w:lang w:val="fr-CA"/>
        </w:rPr>
        <w:t>identité d</w:t>
      </w:r>
      <w:r>
        <w:rPr>
          <w:rFonts w:cs="Times New Roman"/>
          <w:lang w:val="fr-CA"/>
        </w:rPr>
        <w:t>’</w:t>
      </w:r>
      <w:r w:rsidRPr="006055D3">
        <w:rPr>
          <w:rFonts w:cs="Times New Roman"/>
          <w:lang w:val="fr-CA"/>
        </w:rPr>
        <w:t>une personne à partir du registre exact conservé au titre de l</w:t>
      </w:r>
      <w:r>
        <w:rPr>
          <w:rFonts w:cs="Times New Roman"/>
          <w:lang w:val="fr-CA"/>
        </w:rPr>
        <w:t>’</w:t>
      </w:r>
      <w:r w:rsidRPr="006055D3">
        <w:rPr>
          <w:rFonts w:cs="Times New Roman"/>
          <w:lang w:val="fr-CA"/>
        </w:rPr>
        <w:t>al. 41.26(1)b). Bien que ces coûts, même combinés, puissent être minimes, je ne présume pas qu</w:t>
      </w:r>
      <w:r>
        <w:rPr>
          <w:rFonts w:cs="Times New Roman"/>
          <w:lang w:val="fr-CA"/>
        </w:rPr>
        <w:t>’</w:t>
      </w:r>
      <w:r w:rsidRPr="006055D3">
        <w:rPr>
          <w:rFonts w:cs="Times New Roman"/>
          <w:lang w:val="fr-CA"/>
        </w:rPr>
        <w:t>ils seront toujours « négligeables », comme le prévoit la Cour d</w:t>
      </w:r>
      <w:r>
        <w:rPr>
          <w:rFonts w:cs="Times New Roman"/>
          <w:lang w:val="fr-CA"/>
        </w:rPr>
        <w:t>’</w:t>
      </w:r>
      <w:r w:rsidRPr="006055D3">
        <w:rPr>
          <w:rFonts w:cs="Times New Roman"/>
          <w:lang w:val="fr-CA"/>
        </w:rPr>
        <w:t xml:space="preserve">appel fédérale. </w:t>
      </w:r>
    </w:p>
    <w:p w:rsidR="00E8197E" w:rsidRPr="006055D3" w:rsidRDefault="00E8197E" w:rsidP="00E8197E">
      <w:pPr>
        <w:pStyle w:val="ParaNoNdepar-AltN"/>
        <w:rPr>
          <w:rFonts w:cs="Times New Roman"/>
          <w:lang w:val="fr-CA"/>
        </w:rPr>
      </w:pPr>
      <w:r w:rsidRPr="006055D3">
        <w:rPr>
          <w:rFonts w:cs="Times New Roman"/>
          <w:lang w:val="fr-CA"/>
        </w:rPr>
        <w:t>Je suis toutefois d</w:t>
      </w:r>
      <w:r>
        <w:rPr>
          <w:rFonts w:cs="Times New Roman"/>
          <w:lang w:val="fr-CA"/>
        </w:rPr>
        <w:t>’</w:t>
      </w:r>
      <w:r w:rsidRPr="006055D3">
        <w:rPr>
          <w:rFonts w:cs="Times New Roman"/>
          <w:lang w:val="fr-CA"/>
        </w:rPr>
        <w:t>accord avec la Cour d</w:t>
      </w:r>
      <w:r>
        <w:rPr>
          <w:rFonts w:cs="Times New Roman"/>
          <w:lang w:val="fr-CA"/>
        </w:rPr>
        <w:t>’</w:t>
      </w:r>
      <w:r w:rsidRPr="006055D3">
        <w:rPr>
          <w:rFonts w:cs="Times New Roman"/>
          <w:lang w:val="fr-CA"/>
        </w:rPr>
        <w:t>appel fédérale pour dire que, selon la preuve au dossier, il est impossible de déterminer les coûts raisonnables occasionnés par Rogers pour se conformer à l</w:t>
      </w:r>
      <w:r>
        <w:rPr>
          <w:rFonts w:cs="Times New Roman"/>
          <w:lang w:val="fr-CA"/>
        </w:rPr>
        <w:t>’</w:t>
      </w:r>
      <w:r w:rsidRPr="006055D3">
        <w:rPr>
          <w:rFonts w:cs="Times New Roman"/>
          <w:lang w:val="fr-CA"/>
        </w:rPr>
        <w:t>ordonnance dans la présente affaire. Comme il a déjà été mentionné, dans la mesure où le juge des requêtes a évalué les droits exigés par Rogers, cette évaluation n</w:t>
      </w:r>
      <w:r>
        <w:rPr>
          <w:rFonts w:cs="Times New Roman"/>
          <w:lang w:val="fr-CA"/>
        </w:rPr>
        <w:t>’</w:t>
      </w:r>
      <w:r w:rsidRPr="006055D3">
        <w:rPr>
          <w:rFonts w:cs="Times New Roman"/>
          <w:lang w:val="fr-CA"/>
        </w:rPr>
        <w:t>a pas été entreprise en tenant compte de l</w:t>
      </w:r>
      <w:r>
        <w:rPr>
          <w:rFonts w:cs="Times New Roman"/>
          <w:lang w:val="fr-CA"/>
        </w:rPr>
        <w:t>’</w:t>
      </w:r>
      <w:r w:rsidRPr="006055D3">
        <w:rPr>
          <w:rFonts w:cs="Times New Roman"/>
          <w:lang w:val="fr-CA"/>
        </w:rPr>
        <w:t>art. 41.26, dûment interprété. Dans les circonstances, qui comprennent les questions nouvelles et épineuses relatives à l</w:t>
      </w:r>
      <w:r>
        <w:rPr>
          <w:rFonts w:cs="Times New Roman"/>
          <w:lang w:val="fr-CA"/>
        </w:rPr>
        <w:t>’</w:t>
      </w:r>
      <w:r w:rsidRPr="006055D3">
        <w:rPr>
          <w:rFonts w:cs="Times New Roman"/>
          <w:lang w:val="fr-CA"/>
        </w:rPr>
        <w:t>interprétation législative que soulève le présent pourvoi, je retournerais cette question au juge des requêtes afin de permettre à Rogers de prouver les coûts raisonnables occasionnés pour se conformer à l</w:t>
      </w:r>
      <w:r>
        <w:rPr>
          <w:rFonts w:cs="Times New Roman"/>
          <w:lang w:val="fr-CA"/>
        </w:rPr>
        <w:t>’</w:t>
      </w:r>
      <w:r w:rsidRPr="006055D3">
        <w:rPr>
          <w:rFonts w:cs="Times New Roman"/>
          <w:lang w:val="fr-CA"/>
        </w:rPr>
        <w:t xml:space="preserve">ordonnance de type </w:t>
      </w:r>
      <w:r w:rsidRPr="006055D3">
        <w:rPr>
          <w:rFonts w:cs="Times New Roman"/>
          <w:i/>
          <w:lang w:val="fr-CA"/>
        </w:rPr>
        <w:t xml:space="preserve">Norwich. </w:t>
      </w:r>
      <w:r w:rsidRPr="006055D3">
        <w:rPr>
          <w:rFonts w:cs="Times New Roman"/>
          <w:lang w:val="fr-CA"/>
        </w:rPr>
        <w:t xml:space="preserve">Et, compte tenu de ces mêmes circonstances, Rogers devrait avoir le droit de présenter de nouveaux éléments de preuve pour prouver ces coûts. </w:t>
      </w:r>
    </w:p>
    <w:p w:rsidR="00E8197E" w:rsidRPr="006055D3" w:rsidRDefault="00E8197E" w:rsidP="00E8197E">
      <w:pPr>
        <w:pStyle w:val="Title1LevelTitre1Niveau-AltL"/>
        <w:rPr>
          <w:rFonts w:cs="Times New Roman"/>
          <w:lang w:val="fr-CA"/>
        </w:rPr>
      </w:pPr>
      <w:r w:rsidRPr="006055D3">
        <w:rPr>
          <w:rFonts w:cs="Times New Roman"/>
          <w:lang w:val="fr-CA"/>
        </w:rPr>
        <w:lastRenderedPageBreak/>
        <w:t>Conclusion</w:t>
      </w:r>
    </w:p>
    <w:p w:rsidR="00E8197E" w:rsidRPr="006055D3" w:rsidRDefault="00E8197E" w:rsidP="00E8197E">
      <w:pPr>
        <w:pStyle w:val="ParaNoNdepar-AltN"/>
        <w:rPr>
          <w:rFonts w:cs="Times New Roman"/>
          <w:lang w:val="fr-CA"/>
        </w:rPr>
      </w:pPr>
      <w:r w:rsidRPr="006055D3">
        <w:rPr>
          <w:rFonts w:cs="Times New Roman"/>
          <w:lang w:val="fr-CA"/>
        </w:rPr>
        <w:t>Par conséquent, j</w:t>
      </w:r>
      <w:r>
        <w:rPr>
          <w:rFonts w:cs="Times New Roman"/>
          <w:lang w:val="fr-CA"/>
        </w:rPr>
        <w:t>’</w:t>
      </w:r>
      <w:r w:rsidRPr="006055D3">
        <w:rPr>
          <w:rFonts w:cs="Times New Roman"/>
          <w:lang w:val="fr-CA"/>
        </w:rPr>
        <w:t>accueillerais le pourvoi de Rogers. Celle</w:t>
      </w:r>
      <w:r w:rsidRPr="006055D3">
        <w:rPr>
          <w:rFonts w:cs="Times New Roman"/>
          <w:lang w:val="fr-CA"/>
        </w:rPr>
        <w:noBreakHyphen/>
        <w:t>ci a droit aux coûts raisonnables occasionnés pour se conformer à l</w:t>
      </w:r>
      <w:r>
        <w:rPr>
          <w:rFonts w:cs="Times New Roman"/>
          <w:lang w:val="fr-CA"/>
        </w:rPr>
        <w:t>’</w:t>
      </w:r>
      <w:r w:rsidRPr="006055D3">
        <w:rPr>
          <w:rFonts w:cs="Times New Roman"/>
          <w:lang w:val="fr-CA"/>
        </w:rPr>
        <w:t xml:space="preserve">ordonnance de type </w:t>
      </w:r>
      <w:r w:rsidRPr="006055D3">
        <w:rPr>
          <w:rFonts w:cs="Times New Roman"/>
          <w:i/>
          <w:lang w:val="fr-CA"/>
        </w:rPr>
        <w:t>Norwich</w:t>
      </w:r>
      <w:r w:rsidRPr="006055D3">
        <w:rPr>
          <w:rFonts w:cs="Times New Roman"/>
          <w:lang w:val="fr-CA"/>
        </w:rPr>
        <w:t>. La question du montant auquel a droit Rogers est renvoyée au juge des requêtes à la Cour fédérale pour qu</w:t>
      </w:r>
      <w:r>
        <w:rPr>
          <w:rFonts w:cs="Times New Roman"/>
          <w:lang w:val="fr-CA"/>
        </w:rPr>
        <w:t>’</w:t>
      </w:r>
      <w:r w:rsidRPr="006055D3">
        <w:rPr>
          <w:rFonts w:cs="Times New Roman"/>
          <w:lang w:val="fr-CA"/>
        </w:rPr>
        <w:t>elle soit tranchée conformément à l</w:t>
      </w:r>
      <w:r>
        <w:rPr>
          <w:rFonts w:cs="Times New Roman"/>
          <w:lang w:val="fr-CA"/>
        </w:rPr>
        <w:t>’</w:t>
      </w:r>
      <w:r w:rsidRPr="006055D3">
        <w:rPr>
          <w:rFonts w:cs="Times New Roman"/>
          <w:lang w:val="fr-CA"/>
        </w:rPr>
        <w:t>interprétation que donne la Cour aux art. 41.25 et 41.26 de la Loi</w:t>
      </w:r>
      <w:r w:rsidRPr="006055D3">
        <w:rPr>
          <w:rFonts w:cs="Times New Roman"/>
          <w:i/>
          <w:lang w:val="fr-CA"/>
        </w:rPr>
        <w:t>.</w:t>
      </w:r>
    </w:p>
    <w:p w:rsidR="00E8197E" w:rsidRPr="006055D3" w:rsidRDefault="00E8197E" w:rsidP="00E8197E">
      <w:pPr>
        <w:pStyle w:val="ParaNoNdepar-AltN"/>
        <w:rPr>
          <w:rFonts w:cs="Times New Roman"/>
          <w:lang w:val="fr-CA"/>
        </w:rPr>
      </w:pPr>
      <w:r w:rsidRPr="006055D3">
        <w:rPr>
          <w:rFonts w:cs="Times New Roman"/>
          <w:lang w:val="fr-CA"/>
        </w:rPr>
        <w:t>En ce qui a trait aux dépens, l</w:t>
      </w:r>
      <w:r>
        <w:rPr>
          <w:rFonts w:cs="Times New Roman"/>
          <w:lang w:val="fr-CA"/>
        </w:rPr>
        <w:t>’</w:t>
      </w:r>
      <w:r w:rsidRPr="006055D3">
        <w:rPr>
          <w:rFonts w:cs="Times New Roman"/>
          <w:lang w:val="fr-CA"/>
        </w:rPr>
        <w:t xml:space="preserve">ordonnance de type </w:t>
      </w:r>
      <w:r w:rsidRPr="006055D3">
        <w:rPr>
          <w:rFonts w:cs="Times New Roman"/>
          <w:i/>
          <w:lang w:val="fr-CA"/>
        </w:rPr>
        <w:t>Norwich</w:t>
      </w:r>
      <w:r w:rsidRPr="006055D3">
        <w:rPr>
          <w:rFonts w:cs="Times New Roman"/>
          <w:lang w:val="fr-CA"/>
        </w:rPr>
        <w:t xml:space="preserve"> comporte la condition préalable que le FSI a droit aux dépens raisonnables qu</w:t>
      </w:r>
      <w:r>
        <w:rPr>
          <w:rFonts w:cs="Times New Roman"/>
          <w:lang w:val="fr-CA"/>
        </w:rPr>
        <w:t>’</w:t>
      </w:r>
      <w:r w:rsidRPr="006055D3">
        <w:rPr>
          <w:rFonts w:cs="Times New Roman"/>
          <w:lang w:val="fr-CA"/>
        </w:rPr>
        <w:t>il a encourus dans le cadre de l</w:t>
      </w:r>
      <w:r>
        <w:rPr>
          <w:rFonts w:cs="Times New Roman"/>
          <w:lang w:val="fr-CA"/>
        </w:rPr>
        <w:t>’</w:t>
      </w:r>
      <w:r w:rsidRPr="006055D3">
        <w:rPr>
          <w:rFonts w:cs="Times New Roman"/>
          <w:lang w:val="fr-CA"/>
        </w:rPr>
        <w:t>instance relative à l</w:t>
      </w:r>
      <w:r>
        <w:rPr>
          <w:rFonts w:cs="Times New Roman"/>
          <w:lang w:val="fr-CA"/>
        </w:rPr>
        <w:t>’</w:t>
      </w:r>
      <w:r w:rsidRPr="006055D3">
        <w:rPr>
          <w:rFonts w:cs="Times New Roman"/>
          <w:lang w:val="fr-CA"/>
        </w:rPr>
        <w:t xml:space="preserve">ordonnance de type </w:t>
      </w:r>
      <w:r w:rsidRPr="006055D3">
        <w:rPr>
          <w:rFonts w:cs="Times New Roman"/>
          <w:i/>
          <w:lang w:val="fr-CA"/>
        </w:rPr>
        <w:t xml:space="preserve">Norwich </w:t>
      </w:r>
      <w:r w:rsidRPr="006055D3">
        <w:rPr>
          <w:rFonts w:cs="Times New Roman"/>
          <w:lang w:val="fr-CA"/>
        </w:rPr>
        <w:t>(</w:t>
      </w:r>
      <w:r w:rsidRPr="006055D3">
        <w:rPr>
          <w:rFonts w:cs="Times New Roman"/>
          <w:i/>
          <w:lang w:val="fr-CA"/>
        </w:rPr>
        <w:t>BMG Canada Inc.</w:t>
      </w:r>
      <w:r w:rsidRPr="006055D3">
        <w:rPr>
          <w:rFonts w:cs="Times New Roman"/>
          <w:lang w:val="fr-CA"/>
        </w:rPr>
        <w:t xml:space="preserve"> (C.A.), par. 15 et 35). Je rétablirais donc l</w:t>
      </w:r>
      <w:r>
        <w:rPr>
          <w:rFonts w:cs="Times New Roman"/>
          <w:lang w:val="fr-CA"/>
        </w:rPr>
        <w:t>’</w:t>
      </w:r>
      <w:r w:rsidRPr="006055D3">
        <w:rPr>
          <w:rFonts w:cs="Times New Roman"/>
          <w:lang w:val="fr-CA"/>
        </w:rPr>
        <w:t>ordonnance du juge des requêtes qui octroyait à Rogers des dépens de 500 $. Toutefois, à la lumière des circonstances inhabituelles du présent pourvoi que j</w:t>
      </w:r>
      <w:r>
        <w:rPr>
          <w:rFonts w:cs="Times New Roman"/>
          <w:lang w:val="fr-CA"/>
        </w:rPr>
        <w:t>’</w:t>
      </w:r>
      <w:r w:rsidRPr="006055D3">
        <w:rPr>
          <w:rFonts w:cs="Times New Roman"/>
          <w:lang w:val="fr-CA"/>
        </w:rPr>
        <w:t>ai déjà décrites, de même que du succès mitigé tout au long de la présente affaire, j</w:t>
      </w:r>
      <w:r>
        <w:rPr>
          <w:rFonts w:cs="Times New Roman"/>
          <w:lang w:val="fr-CA"/>
        </w:rPr>
        <w:t>’</w:t>
      </w:r>
      <w:r w:rsidRPr="006055D3">
        <w:rPr>
          <w:rFonts w:cs="Times New Roman"/>
          <w:lang w:val="fr-CA"/>
        </w:rPr>
        <w:t>ordonnerais que les parties supportent leurs propres dépens devant la Cour et devant la Cour d</w:t>
      </w:r>
      <w:r>
        <w:rPr>
          <w:rFonts w:cs="Times New Roman"/>
          <w:lang w:val="fr-CA"/>
        </w:rPr>
        <w:t>’</w:t>
      </w:r>
      <w:r w:rsidRPr="006055D3">
        <w:rPr>
          <w:rFonts w:cs="Times New Roman"/>
          <w:lang w:val="fr-CA"/>
        </w:rPr>
        <w:t xml:space="preserve">appel fédérale (voir </w:t>
      </w:r>
      <w:r w:rsidRPr="006055D3">
        <w:rPr>
          <w:rFonts w:cs="Times New Roman"/>
          <w:i/>
          <w:lang w:val="fr-CA"/>
        </w:rPr>
        <w:t>Cartier International AG c. British Telecommunications plc</w:t>
      </w:r>
      <w:r w:rsidRPr="006055D3">
        <w:rPr>
          <w:rFonts w:cs="Times New Roman"/>
          <w:lang w:val="fr-CA"/>
        </w:rPr>
        <w:t>, [2018] UKSC 28, [2018] 1 W.L.R. 3259, par. 38).</w:t>
      </w:r>
    </w:p>
    <w:p w:rsidR="00E8197E" w:rsidRPr="00CB748C" w:rsidRDefault="00CB748C" w:rsidP="00CB748C">
      <w:pPr>
        <w:pStyle w:val="JudgeJuge"/>
        <w:spacing w:before="480"/>
        <w:rPr>
          <w:smallCaps w:val="0"/>
          <w:lang w:val="fr-CA"/>
        </w:rPr>
      </w:pPr>
      <w:r>
        <w:rPr>
          <w:lang w:val="fr-CA"/>
        </w:rPr>
        <w:tab/>
      </w:r>
      <w:r w:rsidR="00E8197E" w:rsidRPr="00CB748C">
        <w:rPr>
          <w:smallCaps w:val="0"/>
          <w:lang w:val="fr-CA"/>
        </w:rPr>
        <w:t>Version française des motifs rendus par</w:t>
      </w:r>
    </w:p>
    <w:p w:rsidR="00E8197E" w:rsidRPr="00B96C4B" w:rsidRDefault="00E8197E" w:rsidP="00E8197E">
      <w:pPr>
        <w:pStyle w:val="JudgeJuge"/>
        <w:spacing w:before="480"/>
      </w:pPr>
      <w:r w:rsidRPr="004B362E">
        <w:rPr>
          <w:lang w:val="fr-CA"/>
        </w:rPr>
        <w:tab/>
      </w:r>
      <w:r w:rsidRPr="00B96C4B">
        <w:t xml:space="preserve">La juge Côté — </w:t>
      </w:r>
    </w:p>
    <w:p w:rsidR="00E8197E" w:rsidRPr="007668CB" w:rsidRDefault="00E8197E" w:rsidP="007668CB">
      <w:pPr>
        <w:pStyle w:val="Title1LevelTitre1Niveau-AltL"/>
        <w:numPr>
          <w:ilvl w:val="0"/>
          <w:numId w:val="10"/>
        </w:numPr>
        <w:rPr>
          <w:rFonts w:cs="Times New Roman"/>
          <w:lang w:val="fr-CA"/>
        </w:rPr>
      </w:pPr>
      <w:r w:rsidRPr="007668CB">
        <w:rPr>
          <w:rFonts w:cs="Times New Roman"/>
          <w:lang w:val="fr-CA"/>
        </w:rPr>
        <w:t>Aperçu</w:t>
      </w:r>
    </w:p>
    <w:p w:rsidR="00E8197E" w:rsidRPr="00E8197E" w:rsidRDefault="00E8197E" w:rsidP="00E8197E">
      <w:pPr>
        <w:pStyle w:val="ParaNoNdepar-AltN"/>
        <w:rPr>
          <w:lang w:val="fr-CA"/>
        </w:rPr>
      </w:pPr>
      <w:r w:rsidRPr="00E8197E">
        <w:rPr>
          <w:lang w:val="fr-CA"/>
        </w:rPr>
        <w:t xml:space="preserve">Je suis d’avis qu’il y a lieu d’accueillir le pourvoi. La Cour d’appel (2017 CAF 97) a commis une erreur en imposant aux fournisseurs de services Internet </w:t>
      </w:r>
      <w:r w:rsidRPr="00E8197E">
        <w:rPr>
          <w:lang w:val="fr-CA"/>
        </w:rPr>
        <w:lastRenderedPageBreak/>
        <w:t>(« FSI ») une série d’obligations implicites qui ne peuvent ni ne doivent être considérées comme découlant de la loi, particulièrement à la lumière de la présomption voulant que les changements à la common law nécessitent une « expression de volonté claire et non équivoque du législateur » (</w:t>
      </w:r>
      <w:r w:rsidRPr="00E8197E">
        <w:rPr>
          <w:i/>
          <w:lang w:val="fr-CA"/>
        </w:rPr>
        <w:t>Canada (Procureur général) c. Thouin</w:t>
      </w:r>
      <w:r w:rsidRPr="00E8197E">
        <w:rPr>
          <w:lang w:val="fr-CA"/>
        </w:rPr>
        <w:t>, 2017 CSC 46, [2017] 2 R.C.S. 184, par. 19). Le juge Brown écarte à juste titre de nombreux aspects de cette analyse de la Cour d’appel.</w:t>
      </w:r>
    </w:p>
    <w:p w:rsidR="00E8197E" w:rsidRPr="00E8197E" w:rsidRDefault="00E8197E" w:rsidP="00E8197E">
      <w:pPr>
        <w:pStyle w:val="ParaNoNdepar-AltN"/>
        <w:rPr>
          <w:rFonts w:cs="Times New Roman"/>
          <w:lang w:val="fr-CA"/>
        </w:rPr>
      </w:pPr>
      <w:r w:rsidRPr="00E8197E">
        <w:rPr>
          <w:rFonts w:cs="Times New Roman"/>
          <w:lang w:val="fr-CA"/>
        </w:rPr>
        <w:t xml:space="preserve">J’irais cependant plus loin que mon collègue le juge Brown. À mon avis, aucune des huit étapes suivies par Rogers Communications Inc. en réponse à une ordonnance de type </w:t>
      </w:r>
      <w:r w:rsidRPr="00E8197E">
        <w:rPr>
          <w:rFonts w:cs="Times New Roman"/>
          <w:i/>
          <w:lang w:val="fr-CA"/>
        </w:rPr>
        <w:t>Norwich</w:t>
      </w:r>
      <w:r w:rsidRPr="00E8197E">
        <w:rPr>
          <w:rFonts w:cs="Times New Roman"/>
          <w:lang w:val="fr-CA"/>
        </w:rPr>
        <w:t xml:space="preserve"> n’est supplantée par le régime législatif d’avis et avis (</w:t>
      </w:r>
      <w:r w:rsidRPr="00E8197E">
        <w:rPr>
          <w:rFonts w:cs="Times New Roman"/>
          <w:i/>
          <w:lang w:val="fr-CA"/>
        </w:rPr>
        <w:t>Norwich Pharmacal Co. c. Customs and Excise Commissioners</w:t>
      </w:r>
      <w:r w:rsidR="00CB748C">
        <w:rPr>
          <w:rFonts w:cs="Times New Roman"/>
          <w:lang w:val="fr-CA"/>
        </w:rPr>
        <w:t>, [1974] A.C. 133 (H</w:t>
      </w:r>
      <w:r w:rsidRPr="00E8197E">
        <w:rPr>
          <w:rFonts w:cs="Times New Roman"/>
          <w:lang w:val="fr-CA"/>
        </w:rPr>
        <w:t xml:space="preserve">.L.)). Je suis aussi en désaccord avec la proposition voulant que toute obligation implicite découlant du par. 41.26(1) de la </w:t>
      </w:r>
      <w:r w:rsidRPr="00E8197E">
        <w:rPr>
          <w:rFonts w:cs="Times New Roman"/>
          <w:i/>
          <w:lang w:val="fr-CA"/>
        </w:rPr>
        <w:t>Loi sur le droit d’auteur</w:t>
      </w:r>
      <w:r w:rsidRPr="00E8197E">
        <w:rPr>
          <w:rFonts w:cs="Times New Roman"/>
          <w:lang w:val="fr-CA"/>
        </w:rPr>
        <w:t>, L.R.C. 1985, c. C</w:t>
      </w:r>
      <w:r w:rsidRPr="00E8197E">
        <w:rPr>
          <w:rFonts w:cs="Times New Roman"/>
          <w:lang w:val="fr-CA"/>
        </w:rPr>
        <w:noBreakHyphen/>
        <w:t>42, empêche catégoriquement un FSI de vérifier certains éléments de son registre au moment où il reçoit l’ordonnance de type</w:t>
      </w:r>
      <w:r w:rsidRPr="00E8197E">
        <w:rPr>
          <w:rFonts w:cs="Times New Roman"/>
          <w:i/>
          <w:lang w:val="fr-CA"/>
        </w:rPr>
        <w:t xml:space="preserve"> Norwich </w:t>
      </w:r>
      <w:r w:rsidRPr="00E8197E">
        <w:rPr>
          <w:rFonts w:cs="Times New Roman"/>
          <w:lang w:val="fr-CA"/>
        </w:rPr>
        <w:t xml:space="preserve">et de demander une indemnisation pour ces travaux. Si l’on suppose que le processus en huit étapes de Rogers est par ailleurs raisonnable, une conclusion que le juge des requêtes ne semble pas avoir tirée en première instance (2016 CF 881), Rogers a droit à la pleine indemnisation pour les étapes qu’elle suit afin d’identifier un titulaire de compte et de communiquer son identité au titulaire du droit d’auteur. </w:t>
      </w:r>
    </w:p>
    <w:p w:rsidR="00E8197E" w:rsidRPr="00B96C4B" w:rsidRDefault="00E8197E" w:rsidP="00E8197E">
      <w:pPr>
        <w:pStyle w:val="Title1LevelTitre1Niveau-AltL"/>
        <w:rPr>
          <w:rFonts w:cs="Times New Roman"/>
          <w:lang w:val="fr-CA"/>
        </w:rPr>
      </w:pPr>
      <w:r w:rsidRPr="00B96C4B">
        <w:rPr>
          <w:rFonts w:cs="Times New Roman"/>
          <w:lang w:val="fr-CA"/>
        </w:rPr>
        <w:t>Analyse</w:t>
      </w:r>
    </w:p>
    <w:p w:rsidR="00E8197E" w:rsidRPr="00E8197E" w:rsidRDefault="00E8197E" w:rsidP="00E8197E">
      <w:pPr>
        <w:pStyle w:val="ParaNoNdepar-AltN"/>
        <w:rPr>
          <w:rFonts w:cs="Times New Roman"/>
          <w:lang w:val="fr-CA"/>
        </w:rPr>
      </w:pPr>
      <w:r w:rsidRPr="00E8197E">
        <w:rPr>
          <w:rFonts w:cs="Times New Roman"/>
          <w:lang w:val="fr-CA"/>
        </w:rPr>
        <w:t>Dans le contexte du présent pourvoi, le régime d’avis et avis impose aux FSI deux séries d’obligations statutaires, et aucune de celles</w:t>
      </w:r>
      <w:r w:rsidRPr="00E8197E">
        <w:rPr>
          <w:rFonts w:cs="Times New Roman"/>
          <w:lang w:val="fr-CA"/>
        </w:rPr>
        <w:noBreakHyphen/>
        <w:t xml:space="preserve">ci ne peut, présentement, faire l’objet d’une indemnisation. Premièrement, conformément à l’al. 41.26(1)a), le </w:t>
      </w:r>
      <w:r w:rsidRPr="00E8197E">
        <w:rPr>
          <w:rFonts w:cs="Times New Roman"/>
          <w:lang w:val="fr-CA"/>
        </w:rPr>
        <w:lastRenderedPageBreak/>
        <w:t xml:space="preserve">FSI doit transmettre par voie électronique un avis de la prétendue violation du droit d’auteur à la personne à qui appartient l’emplacement électronique identifié par les données de localisation fournies par le titulaire du droit d’auteur, et ensuite informer ce dernier de la transmission avec succès ou non de l’avis en question. Deuxièmement, conformément à l’al. 41.26(1)b), le FSI doit « conserver [. . .] un registre </w:t>
      </w:r>
      <w:r w:rsidRPr="00E8197E">
        <w:rPr>
          <w:rFonts w:cs="Times New Roman"/>
          <w:u w:val="single"/>
          <w:lang w:val="fr-CA"/>
        </w:rPr>
        <w:t>permettant</w:t>
      </w:r>
      <w:r w:rsidRPr="00E8197E">
        <w:rPr>
          <w:rFonts w:cs="Times New Roman"/>
          <w:lang w:val="fr-CA"/>
        </w:rPr>
        <w:t xml:space="preserve"> d’identifier [cette] personne ». Ensemble, ces dispositions indiquent clairement que le FSI n’est pas tenu d’établir l’identité de la personne qui aurait violé le droit d’auteur. En outre, comme le conclut le juge Brown, il n’existe aucune obligation de conserver ce registre d’une manière particulière ou sous un</w:t>
      </w:r>
      <w:r w:rsidR="00CB748C">
        <w:rPr>
          <w:rFonts w:cs="Times New Roman"/>
          <w:lang w:val="fr-CA"/>
        </w:rPr>
        <w:t>e forme particulière (par. 43-</w:t>
      </w:r>
      <w:r w:rsidRPr="00E8197E">
        <w:rPr>
          <w:rFonts w:cs="Times New Roman"/>
          <w:lang w:val="fr-CA"/>
        </w:rPr>
        <w:t xml:space="preserve">46). En conséquence, le travail nécessaire pour établir l’identité de la personne qui aurait violé le droit d’auteur et pour communiquer cette identité conformément à une ordonnance de type </w:t>
      </w:r>
      <w:r w:rsidRPr="00E8197E">
        <w:rPr>
          <w:rFonts w:cs="Times New Roman"/>
          <w:i/>
          <w:lang w:val="fr-CA"/>
        </w:rPr>
        <w:t>Norwich</w:t>
      </w:r>
      <w:r w:rsidRPr="00E8197E">
        <w:rPr>
          <w:rFonts w:cs="Times New Roman"/>
          <w:lang w:val="fr-CA"/>
        </w:rPr>
        <w:t xml:space="preserve"> n’est pas inclus dans le régime d’avis et avis, et peut donc faire l’objet d’une indemnisation en application de la common law. Je suis d’accord avec les juges majoritaires sur ce point. Mais de quelle façon une telle interprétation s’applique</w:t>
      </w:r>
      <w:r w:rsidRPr="00E8197E">
        <w:rPr>
          <w:rFonts w:cs="Times New Roman"/>
          <w:lang w:val="fr-CA"/>
        </w:rPr>
        <w:noBreakHyphen/>
        <w:t>t</w:t>
      </w:r>
      <w:r w:rsidRPr="00E8197E">
        <w:rPr>
          <w:rFonts w:cs="Times New Roman"/>
          <w:lang w:val="fr-CA"/>
        </w:rPr>
        <w:noBreakHyphen/>
        <w:t>elle à Rogers?</w:t>
      </w:r>
    </w:p>
    <w:p w:rsidR="00E8197E" w:rsidRPr="00E8197E" w:rsidRDefault="00E8197E" w:rsidP="00E8197E">
      <w:pPr>
        <w:pStyle w:val="ParaNoNdepar-AltN"/>
        <w:rPr>
          <w:rFonts w:cs="Times New Roman"/>
          <w:lang w:val="fr-CA"/>
        </w:rPr>
      </w:pPr>
      <w:r w:rsidRPr="00E8197E">
        <w:rPr>
          <w:rFonts w:cs="Times New Roman"/>
          <w:lang w:val="fr-CA"/>
        </w:rPr>
        <w:t xml:space="preserve">Rogers, en tant que l’un des plus importants FSI au Canada, reçoit plus de deux millions de demandes relatives à des avis de violation par année, ce qui représente plus de 5000 par jour. En raison de ce volume élevé, Rogers traite ces demandes au moyen d’une plateforme automatisée. Le titulaire du droit d’auteur soumet une demande à la plateforme par le biais d’un portail électronique et fournit les renseignements quant à l’adresse de protocole Internet (« IP ») de la personne qui aurait violé le droit d’auteur. La plateforme envoie ensuite automatiquement un avis de violation à l’adresse courriel du titulaire de compte Rogers associé à l’adresse IP indiquée. Pour reprendre l’exemple utilisé par mon collègue le juge Gascon lors de </w:t>
      </w:r>
      <w:r w:rsidRPr="00E8197E">
        <w:rPr>
          <w:rFonts w:cs="Times New Roman"/>
          <w:lang w:val="fr-CA"/>
        </w:rPr>
        <w:lastRenderedPageBreak/>
        <w:t>l’audience, la plateforme peut envoyer automatiquement un avis de violation à l’adresse « gohabsgo@gmail.com » s’il s’agit de l’adresse courriel associée à l’adresse IP indiquée selon le système électronique de Rogers. Toutefois, à aucun moment Rogers n’identifie-t-elle la personne qui aurait violé le droit d’auteur — soit le propriétaire du compte de courriel « gohabsgo@gmail.com » — en réponse à une demande dans le cadre du régime d’avis et avis, et ne donne encore moins son adresse physique ou d’autres renseignements permettant de l’identifier. Rogers soutient que ce processus est conforme à ses obligations statutaires prévues à l’al. 41.26(1)a), et Voltage ne semble pas contester ce point.</w:t>
      </w:r>
    </w:p>
    <w:p w:rsidR="00E8197E" w:rsidRPr="00E8197E" w:rsidRDefault="00E8197E" w:rsidP="00E8197E">
      <w:pPr>
        <w:pStyle w:val="ParaNoNdepar-AltN"/>
        <w:rPr>
          <w:rFonts w:cs="Times New Roman"/>
          <w:lang w:val="fr-CA"/>
        </w:rPr>
      </w:pPr>
      <w:r w:rsidRPr="00E8197E">
        <w:rPr>
          <w:rFonts w:cs="Times New Roman"/>
          <w:lang w:val="fr-CA"/>
        </w:rPr>
        <w:t xml:space="preserve">En revanche, Rogers reçoit chaque année entre 1500 et 3000 demandes de recherche du même type que celles qu’a présentées Voltage (ordonnances de type </w:t>
      </w:r>
      <w:r w:rsidRPr="00E8197E">
        <w:rPr>
          <w:rFonts w:cs="Times New Roman"/>
          <w:i/>
          <w:lang w:val="fr-CA"/>
        </w:rPr>
        <w:t>Norwich</w:t>
      </w:r>
      <w:r w:rsidRPr="00E8197E">
        <w:rPr>
          <w:rFonts w:cs="Times New Roman"/>
          <w:lang w:val="fr-CA"/>
        </w:rPr>
        <w:t>). Elle répond à ces demandes manuellement au moyen d’un processus auquel participent de multiples employés et qui comporte des recherches dans diverses bases de données. Elle n’a pas recours à un système automatisé parce que le nombre de demandes est relativement peu élevé et le coût d’une erreur — c’est</w:t>
      </w:r>
      <w:r w:rsidRPr="00E8197E">
        <w:rPr>
          <w:rFonts w:cs="Times New Roman"/>
          <w:lang w:val="fr-CA"/>
        </w:rPr>
        <w:noBreakHyphen/>
        <w:t>à</w:t>
      </w:r>
      <w:r w:rsidRPr="00E8197E">
        <w:rPr>
          <w:rFonts w:cs="Times New Roman"/>
          <w:lang w:val="fr-CA"/>
        </w:rPr>
        <w:noBreakHyphen/>
        <w:t>dire communiquer incorrectement les renseignements personnels d’un titulaire de compte à un tiers, et assujettir par erreur ce titulaire à la signification de procédures judiciaires — est relativement élevé. Rogers soutient aussi que ce processus ne peut tout simplement pas être automatisé. Contrairement aux demandes dans le cadre du régime d’avis et avis, qui sont habituellement soumises dans des documents électroniques formatés de façon identique par des titulaires de droit d’auteur qui se sont enregistrés auprès de Rogers, les ordonnances judiciaires doivent être examinées manuellement afin de vérifier leur légitimité et de déterminer la nature précise des renseignements demandés.</w:t>
      </w:r>
    </w:p>
    <w:p w:rsidR="00E8197E" w:rsidRPr="00E8197E" w:rsidRDefault="00E8197E" w:rsidP="00E8197E">
      <w:pPr>
        <w:pStyle w:val="ParaNoNdepar-AltN"/>
        <w:rPr>
          <w:rFonts w:cs="Times New Roman"/>
          <w:lang w:val="fr-CA"/>
        </w:rPr>
      </w:pPr>
      <w:r w:rsidRPr="00E8197E">
        <w:rPr>
          <w:rFonts w:cs="Times New Roman"/>
          <w:lang w:val="fr-CA"/>
        </w:rPr>
        <w:lastRenderedPageBreak/>
        <w:t xml:space="preserve">Selon le juge Brown, le régime d’avis et avis impose à Rogers l’obligation implicite d’établir </w:t>
      </w:r>
      <w:r w:rsidRPr="00E8197E">
        <w:rPr>
          <w:rFonts w:cs="Times New Roman"/>
          <w:i/>
          <w:lang w:val="fr-CA"/>
        </w:rPr>
        <w:t>avec exactitude</w:t>
      </w:r>
      <w:r w:rsidRPr="00E8197E">
        <w:rPr>
          <w:rFonts w:cs="Times New Roman"/>
          <w:lang w:val="fr-CA"/>
        </w:rPr>
        <w:t xml:space="preserve"> à qui l’avis automatisé doit être envoyé conformément à l’al. 41.26(1)a) (par. 32). En outre, il établit une distinction entre « assurer l’exactitude d[u] [. . .] registre permettant d’identifier le propriétaire d’une adresse IP » (une obligation pour laquelle le FSI ne peut être indemnisé) et « vérifier l’identité d’une personne en réponse à une ordonnance de type </w:t>
      </w:r>
      <w:r w:rsidRPr="00E8197E">
        <w:rPr>
          <w:rFonts w:cs="Times New Roman"/>
          <w:i/>
          <w:lang w:val="fr-CA"/>
        </w:rPr>
        <w:t>Norwich </w:t>
      </w:r>
      <w:r w:rsidRPr="00E8197E">
        <w:rPr>
          <w:rFonts w:cs="Times New Roman"/>
          <w:lang w:val="fr-CA"/>
        </w:rPr>
        <w:t>» (une obligation pour laquelle le FSI peut être indemnisé), sur le fondement d’une autre obligation implicite (par. 52). Il demande ensuite au juge des requêtes de réévaluer le processus suivi par Rogers à la lumière de cette interprétation.</w:t>
      </w:r>
    </w:p>
    <w:p w:rsidR="00E8197E" w:rsidRPr="00E8197E" w:rsidRDefault="00E8197E" w:rsidP="00E8197E">
      <w:pPr>
        <w:pStyle w:val="ParaNoNdepar-AltN"/>
        <w:rPr>
          <w:rFonts w:cs="Times New Roman"/>
          <w:lang w:val="fr-CA"/>
        </w:rPr>
      </w:pPr>
      <w:r w:rsidRPr="00E8197E">
        <w:rPr>
          <w:rFonts w:cs="Times New Roman"/>
          <w:lang w:val="fr-CA"/>
        </w:rPr>
        <w:t>À mon avis, l’ensemble du processus en huit étapes de Rogers fait partie de cette deuxième catégorie. Rogers n’effectue pas « dans les faits, la vérification de l’exactitude du registre même qu’[elle] était tenu[e] de conserver aux termes du par. 41.26(1) » (motifs du juge Brown, par. 52); elle établit et vérifie l’</w:t>
      </w:r>
      <w:r w:rsidRPr="00E8197E">
        <w:rPr>
          <w:rFonts w:cs="Times New Roman"/>
          <w:i/>
          <w:lang w:val="fr-CA"/>
        </w:rPr>
        <w:t>identité</w:t>
      </w:r>
      <w:r w:rsidRPr="00E8197E">
        <w:rPr>
          <w:rFonts w:cs="Times New Roman"/>
          <w:lang w:val="fr-CA"/>
        </w:rPr>
        <w:t xml:space="preserve"> de la personne (qu’elle ne connaît pas déjà) </w:t>
      </w:r>
      <w:r w:rsidRPr="00E8197E">
        <w:rPr>
          <w:rFonts w:cs="Times New Roman"/>
          <w:i/>
          <w:lang w:val="fr-CA"/>
        </w:rPr>
        <w:t>en fonction de ce registre</w:t>
      </w:r>
      <w:r w:rsidRPr="00E8197E">
        <w:rPr>
          <w:rFonts w:cs="Times New Roman"/>
          <w:lang w:val="fr-CA"/>
        </w:rPr>
        <w:t xml:space="preserve">. Elle le fait en répertoriant la demande, en vérifiant s’il s’agit d’un compte Rogers, en faisant des recherches dans d’autres bases de données (comme la liste des modems en double et la base de données sur les clients), et en faisant des captures d’écran des résultats pour qu’un autre employé puisse les examiner. Ceci constitue un moyen exhaustif et rigoureux d’identifier avec exactitude la </w:t>
      </w:r>
      <w:r w:rsidRPr="00E8197E">
        <w:rPr>
          <w:rFonts w:cs="Times New Roman"/>
          <w:i/>
          <w:lang w:val="fr-CA"/>
        </w:rPr>
        <w:t>personne</w:t>
      </w:r>
      <w:r w:rsidRPr="00E8197E">
        <w:rPr>
          <w:rFonts w:cs="Times New Roman"/>
          <w:lang w:val="fr-CA"/>
        </w:rPr>
        <w:t xml:space="preserve"> associée à l’adresse IP fournie par le titulaire du droit d’auteur. Ce processus tient pour acquis que Rogers a bien envoyé un avis automatisé de violation (si un tel avis a été demandé) à l’adresse courriel qui est associée dans son système à l’adresse IP fournie par le titulaire du droit d’auteur. Ce processus établit simplement des corrélations entre des registres ainsi que des renvois à divers autres registres afin d’assurer que le titulaire du compte est identifié </w:t>
      </w:r>
      <w:r w:rsidRPr="00E8197E">
        <w:rPr>
          <w:rFonts w:cs="Times New Roman"/>
          <w:lang w:val="fr-CA"/>
        </w:rPr>
        <w:lastRenderedPageBreak/>
        <w:t xml:space="preserve">correctement. Le fait que Rogers puisse avoir déjà déterminé l’adresse courriel de la personne grâce à sa plateforme automatisée ne rend pas répétitive ou redondante l’une ou l’autre des huit étapes du processus, notamment parce que le titulaire du droit d’auteur n’est pas tenu de passer par la plateforme du régime d’avis et avis avant de soumettre une demande d’ordonnance de type </w:t>
      </w:r>
      <w:r w:rsidRPr="00E8197E">
        <w:rPr>
          <w:rFonts w:cs="Times New Roman"/>
          <w:i/>
          <w:lang w:val="fr-CA"/>
        </w:rPr>
        <w:t>Norwich.</w:t>
      </w:r>
      <w:r w:rsidRPr="00E8197E">
        <w:rPr>
          <w:rFonts w:cs="Times New Roman"/>
          <w:lang w:val="fr-CA"/>
        </w:rPr>
        <w:t xml:space="preserve"> Le juge des requêtes pourrait toujours adopter cette interprétation de la loi une fois que Rogers aura eu l’occasion de présenter de nouveaux éléments de preuve sur ces points. </w:t>
      </w:r>
    </w:p>
    <w:p w:rsidR="00E8197E" w:rsidRPr="00E8197E" w:rsidRDefault="00E8197E" w:rsidP="00E8197E">
      <w:pPr>
        <w:pStyle w:val="ParaNoNdepar-AltN"/>
        <w:rPr>
          <w:rFonts w:cs="Times New Roman"/>
          <w:lang w:val="fr-CA"/>
        </w:rPr>
      </w:pPr>
      <w:r w:rsidRPr="00E8197E">
        <w:rPr>
          <w:rFonts w:cs="Times New Roman"/>
          <w:lang w:val="fr-CA"/>
        </w:rPr>
        <w:t xml:space="preserve">Mais, subsidiairement, même si certaines étapes du processus de Rogers relatif aux ordonnances de type </w:t>
      </w:r>
      <w:r w:rsidRPr="00E8197E">
        <w:rPr>
          <w:rFonts w:cs="Times New Roman"/>
          <w:i/>
          <w:lang w:val="fr-CA"/>
        </w:rPr>
        <w:t>Norwich</w:t>
      </w:r>
      <w:r w:rsidRPr="00E8197E">
        <w:rPr>
          <w:rFonts w:cs="Times New Roman"/>
          <w:lang w:val="fr-CA"/>
        </w:rPr>
        <w:t xml:space="preserve"> pouvaient être qualifiées de « vérifications » des renseignements ou registres préexistants, je dois avec égards rejeter la conclusion du juge Brown selon laquelle Rogers ne devrait pas pouvoir demander une indemnisation sur le fondement de toute obligation implicite qui découlerait du par. 41.26(1).</w:t>
      </w:r>
    </w:p>
    <w:p w:rsidR="00E8197E" w:rsidRPr="00E8197E" w:rsidRDefault="00E8197E" w:rsidP="00E8197E">
      <w:pPr>
        <w:pStyle w:val="ParaNoNdepar-AltN"/>
        <w:rPr>
          <w:rFonts w:cs="Times New Roman"/>
          <w:lang w:val="fr-CA"/>
        </w:rPr>
      </w:pPr>
      <w:r w:rsidRPr="00E8197E">
        <w:rPr>
          <w:rFonts w:cs="Times New Roman"/>
          <w:lang w:val="fr-CA"/>
        </w:rPr>
        <w:t xml:space="preserve">Tout d’abord, les renseignements relatifs aux clients, y compris les adresses physiques, les adresses électroniques et les numéros de téléphone, peuvent changer au fil du temps; une ordonnance de type </w:t>
      </w:r>
      <w:r w:rsidRPr="00E8197E">
        <w:rPr>
          <w:rFonts w:cs="Times New Roman"/>
          <w:i/>
          <w:lang w:val="fr-CA"/>
        </w:rPr>
        <w:t>Norwich</w:t>
      </w:r>
      <w:r w:rsidRPr="00E8197E">
        <w:rPr>
          <w:rFonts w:cs="Times New Roman"/>
          <w:lang w:val="fr-CA"/>
        </w:rPr>
        <w:t xml:space="preserve"> peut être reçue bien après l’envoi initial de l’avis automatisé de violation au titulaire de compte. Il demeure nécessaire de vérifier l’exactitude de ces renseignements au moment où le titulaire du droit d’auteur demande l’identité du titulaire de compte. Après tout, ce sont les renseignements </w:t>
      </w:r>
      <w:r w:rsidRPr="00E8197E">
        <w:rPr>
          <w:rFonts w:cs="Times New Roman"/>
          <w:i/>
          <w:lang w:val="fr-CA"/>
        </w:rPr>
        <w:t>actuels</w:t>
      </w:r>
      <w:r w:rsidRPr="00E8197E">
        <w:rPr>
          <w:rFonts w:cs="Times New Roman"/>
          <w:lang w:val="fr-CA"/>
        </w:rPr>
        <w:t xml:space="preserve"> permettant l’identification du titulaire de compte dont le demandeur a besoin afin d’intenter une action pour violation du droit d’auteur — et non les renseignements d’identification qui existaient quand l’avis automatisé de violation a été envoyé (ou, </w:t>
      </w:r>
      <w:r w:rsidRPr="00E8197E">
        <w:rPr>
          <w:rFonts w:cs="Times New Roman"/>
          <w:lang w:val="fr-CA"/>
        </w:rPr>
        <w:lastRenderedPageBreak/>
        <w:t xml:space="preserve">plus précisément, </w:t>
      </w:r>
      <w:r w:rsidRPr="00E8197E">
        <w:rPr>
          <w:rFonts w:cs="Times New Roman"/>
          <w:i/>
          <w:lang w:val="fr-CA"/>
        </w:rPr>
        <w:t>si</w:t>
      </w:r>
      <w:r w:rsidRPr="00E8197E">
        <w:rPr>
          <w:rFonts w:cs="Times New Roman"/>
          <w:lang w:val="fr-CA"/>
        </w:rPr>
        <w:t xml:space="preserve"> et quand un avis automatisé a été envoyé). D’ailleurs, ce sont précisément ces renseignements que Voltage a demandés dans sa requête. </w:t>
      </w:r>
    </w:p>
    <w:p w:rsidR="00E8197E" w:rsidRPr="00E8197E" w:rsidRDefault="00E8197E" w:rsidP="00E8197E">
      <w:pPr>
        <w:pStyle w:val="ParaNoNdepar-AltN"/>
        <w:rPr>
          <w:rFonts w:cs="Times New Roman"/>
          <w:lang w:val="fr-CA"/>
        </w:rPr>
      </w:pPr>
      <w:r w:rsidRPr="00E8197E">
        <w:rPr>
          <w:rFonts w:cs="Times New Roman"/>
          <w:lang w:val="fr-CA"/>
        </w:rPr>
        <w:t>Toutefois, ce qui est encore plus important, c’est qu’il est évidemment possible que les millions d’avis de violation produits par la plateforme automatisée de Rogers ne soient pas tous envoyés au bon titulaire de compte conformément à l’al. 41.26(1)a). Dans certains cas, cela peut se produire sans que Rogers ait le moindre contrôle sur la situation — par exemple, lorsqu’un titulaire de compte n’indique pas la bonne adresse électronique dans son profil, ce qui fait en sorte que Rogers envoie l’avis à quelqu’un d’autre. Dans d’autres cas, il peut y avoir des complications qui ne peuvent être décelées que lorsqu’un employé de Rogers suit le processus de vérification manuelle, et que la plateforme automatisée ne peut déceler.</w:t>
      </w:r>
    </w:p>
    <w:p w:rsidR="00E8197E" w:rsidRPr="00E8197E" w:rsidRDefault="00E8197E" w:rsidP="00E8197E">
      <w:pPr>
        <w:pStyle w:val="ParaNoNdepar-AltN"/>
        <w:rPr>
          <w:rFonts w:cs="Times New Roman"/>
          <w:lang w:val="fr-CA"/>
        </w:rPr>
      </w:pPr>
      <w:r w:rsidRPr="00E8197E">
        <w:rPr>
          <w:rFonts w:cs="Times New Roman"/>
          <w:lang w:val="fr-CA"/>
        </w:rPr>
        <w:t>Pour le juge Brown, la réponse à ce problème est que Rogers ne peut demander d’indemnisation en contrepartie de la vérification d’une recherche déjà effectuée au moyen de sa plateforme automatisée. Dans les faits, Rogers doit tenir pour acquis que l’avis automatisé s’est rendu chaque fois à la bonne personne, pour chacune des millions de demandes d’avis qu’elle reçoit. Mais si nous acceptons la réalité selon laquelle la plateforme automatisée peut parfois causer des erreurs, seules deux possibilités s’offrent à Rogers, selon le juge Brown : soit elle doit réviser la conception de son système automatisé relativement aux besoins en matière d’identification qui touchent seulement un infime sous</w:t>
      </w:r>
      <w:r w:rsidRPr="00E8197E">
        <w:rPr>
          <w:rFonts w:cs="Times New Roman"/>
          <w:lang w:val="fr-CA"/>
        </w:rPr>
        <w:noBreakHyphen/>
        <w:t xml:space="preserve">ensemble de ces cas; ou bien elle doit entreprendre gratuitement des vérifications manuelles en réponse à une ordonnance de type </w:t>
      </w:r>
      <w:r w:rsidRPr="00E8197E">
        <w:rPr>
          <w:rFonts w:cs="Times New Roman"/>
          <w:i/>
          <w:lang w:val="fr-CA"/>
        </w:rPr>
        <w:t>Norwich.</w:t>
      </w:r>
    </w:p>
    <w:p w:rsidR="00E8197E" w:rsidRPr="00E8197E" w:rsidRDefault="00E8197E" w:rsidP="00E8197E">
      <w:pPr>
        <w:pStyle w:val="ParaNoNdepar-AltN"/>
        <w:rPr>
          <w:rFonts w:cs="Times New Roman"/>
          <w:lang w:val="fr-CA"/>
        </w:rPr>
      </w:pPr>
      <w:r w:rsidRPr="00E8197E">
        <w:rPr>
          <w:rFonts w:cs="Times New Roman"/>
          <w:lang w:val="fr-CA"/>
        </w:rPr>
        <w:lastRenderedPageBreak/>
        <w:t xml:space="preserve">Avec égards, je vois les choses autrement. La partie qui répond à une ordonnance de type </w:t>
      </w:r>
      <w:r w:rsidRPr="00E8197E">
        <w:rPr>
          <w:rFonts w:cs="Times New Roman"/>
          <w:i/>
          <w:lang w:val="fr-CA"/>
        </w:rPr>
        <w:t>Norwich</w:t>
      </w:r>
      <w:r w:rsidRPr="00E8197E">
        <w:rPr>
          <w:rFonts w:cs="Times New Roman"/>
          <w:lang w:val="fr-CA"/>
        </w:rPr>
        <w:t xml:space="preserve"> a droit au remboursement des coûts raisonnables occasionnés pour se conformer à l’ordonnance (voir, p. ex., </w:t>
      </w:r>
      <w:r w:rsidR="00CB748C">
        <w:rPr>
          <w:rFonts w:cs="Times New Roman"/>
          <w:i/>
          <w:lang w:val="fr-CA"/>
        </w:rPr>
        <w:t>Glaxo Wellcome PLC c. M.R.</w:t>
      </w:r>
      <w:r w:rsidRPr="00E8197E">
        <w:rPr>
          <w:rFonts w:cs="Times New Roman"/>
          <w:i/>
          <w:lang w:val="fr-CA"/>
        </w:rPr>
        <w:t>N.</w:t>
      </w:r>
      <w:r w:rsidRPr="00E8197E">
        <w:rPr>
          <w:rFonts w:cs="Times New Roman"/>
          <w:lang w:val="fr-CA"/>
        </w:rPr>
        <w:t xml:space="preserve">, [1998] 4 C.F. 439 (C.A.)). Alors, qu’est-ce qui est raisonnable dans le contexte qui nous occupe? Compte tenu du fait que Rogers reçoit chaque année plus de deux millions de demandes dans le cadre du régime d’avis et avis, une faible proportion de cas où la plateforme automatisée n’envoie pas l’avis au bon titulaire de compte peut ne pas justifier pour ces demandes l’adoption de vérifications manuelles de l’ampleur de celles actuellement effectuées par Rogers en réponse aux ordonnances de type </w:t>
      </w:r>
      <w:r w:rsidRPr="00E8197E">
        <w:rPr>
          <w:rFonts w:cs="Times New Roman"/>
          <w:i/>
          <w:lang w:val="fr-CA"/>
        </w:rPr>
        <w:t>Norwich. </w:t>
      </w:r>
      <w:r w:rsidRPr="00E8197E">
        <w:rPr>
          <w:rFonts w:cs="Times New Roman"/>
          <w:lang w:val="fr-CA"/>
        </w:rPr>
        <w:t xml:space="preserve">Cependant, dans le contexte d’une ordonnance de type </w:t>
      </w:r>
      <w:r w:rsidRPr="00E8197E">
        <w:rPr>
          <w:rFonts w:cs="Times New Roman"/>
          <w:i/>
          <w:lang w:val="fr-CA"/>
        </w:rPr>
        <w:t xml:space="preserve">Norwich </w:t>
      </w:r>
      <w:r w:rsidRPr="00E8197E">
        <w:rPr>
          <w:rFonts w:cs="Times New Roman"/>
          <w:lang w:val="fr-CA"/>
        </w:rPr>
        <w:t>— où le nombre de demandes est beaucoup moins important et où le coût d’une erreur est plus élevé — il pourrait être justifié d’effectuer des vérifications plus rigoureuses. Par conséquent, il est raisonnable que Rogers entreprenne de telles vérifications, en reconnaissance du fait que le nombre de demandes qu’elle reçoit dans le cadre du régime d’avis et d’avis peut faire de la conformité parfaite un objectif illusoire dans ce contexte. Rien dans la loi ne justifie de façon « incontestablement claire » que cette démarche par ailleurs sensée soit écartée en fonction d’une obligation soi</w:t>
      </w:r>
      <w:r w:rsidRPr="00E8197E">
        <w:rPr>
          <w:rFonts w:cs="Times New Roman"/>
          <w:lang w:val="fr-CA"/>
        </w:rPr>
        <w:noBreakHyphen/>
        <w:t>disant implicite (</w:t>
      </w:r>
      <w:r w:rsidR="00CB748C">
        <w:rPr>
          <w:rFonts w:cs="Times New Roman"/>
          <w:i/>
          <w:lang w:val="fr-CA"/>
        </w:rPr>
        <w:t>Parry Sound (d</w:t>
      </w:r>
      <w:r w:rsidRPr="00E8197E">
        <w:rPr>
          <w:rFonts w:cs="Times New Roman"/>
          <w:i/>
          <w:lang w:val="fr-CA"/>
        </w:rPr>
        <w:t>istrict), Conseil d’administration des services sociaux c. S.E.E.F.P.O., section locale 324</w:t>
      </w:r>
      <w:r w:rsidRPr="00E8197E">
        <w:rPr>
          <w:rFonts w:cs="Times New Roman"/>
          <w:lang w:val="fr-CA"/>
        </w:rPr>
        <w:t xml:space="preserve">, 2003 CSC 42, [2003] 2 R.C.S. 157, par. 39). </w:t>
      </w:r>
    </w:p>
    <w:p w:rsidR="00E8197E" w:rsidRPr="00E8197E" w:rsidRDefault="00E8197E" w:rsidP="00E8197E">
      <w:pPr>
        <w:pStyle w:val="ParaNoNdepar-AltN"/>
        <w:rPr>
          <w:rFonts w:cs="Times New Roman"/>
          <w:lang w:val="fr-CA"/>
        </w:rPr>
      </w:pPr>
      <w:r w:rsidRPr="00E8197E">
        <w:rPr>
          <w:rFonts w:cs="Times New Roman"/>
          <w:lang w:val="fr-CA"/>
        </w:rPr>
        <w:t xml:space="preserve">Évidemment, Rogers n’a pas carte blanche pour effectuer toutes les vérifications qu’elle veut et en refiler les coûts aux titulaires de droits d’auteur. Le régime de common law établi dans </w:t>
      </w:r>
      <w:r w:rsidRPr="00E8197E">
        <w:rPr>
          <w:rFonts w:cs="Times New Roman"/>
          <w:i/>
          <w:lang w:val="fr-CA"/>
        </w:rPr>
        <w:t>Norwich</w:t>
      </w:r>
      <w:r w:rsidRPr="00E8197E">
        <w:rPr>
          <w:rFonts w:cs="Times New Roman"/>
          <w:lang w:val="fr-CA"/>
        </w:rPr>
        <w:t xml:space="preserve"> permet aux FSI d’être indemnisés seulement pour les étapes « raisonnables » suivies en vue de se conformer à l’ordonnance. Ainsi, dans la mesure où le FSI procède inutilement à des vérifications </w:t>
      </w:r>
      <w:r w:rsidRPr="00E8197E">
        <w:rPr>
          <w:rFonts w:cs="Times New Roman"/>
          <w:lang w:val="fr-CA"/>
        </w:rPr>
        <w:lastRenderedPageBreak/>
        <w:t xml:space="preserve">approfondies ou redondantes, les juges ont le pouvoir de refuser le remboursement de ces coûts. Ce pouvoir provient cependant de la common law, et non d’une interprétation de la loi. Si, par exemple, un FSI procède à la recherche manuelle du nom d’un titulaire de compte, mais assigne cette tâche de façon redondante à </w:t>
      </w:r>
      <w:r w:rsidR="00BB0A8E">
        <w:rPr>
          <w:rFonts w:cs="Times New Roman"/>
          <w:lang w:val="fr-CA"/>
        </w:rPr>
        <w:t>10</w:t>
      </w:r>
      <w:r w:rsidRPr="00E8197E">
        <w:rPr>
          <w:rFonts w:cs="Times New Roman"/>
          <w:lang w:val="fr-CA"/>
        </w:rPr>
        <w:t xml:space="preserve"> employés différents, chacun exécutant une fonction identique et superflue, le juge peut certainement refuser d’accorder une indemnisation pour le motif que ces étapes n’étaient pas raisonnables.</w:t>
      </w:r>
    </w:p>
    <w:p w:rsidR="00E8197E" w:rsidRPr="00E8197E" w:rsidRDefault="00E8197E" w:rsidP="00E8197E">
      <w:pPr>
        <w:pStyle w:val="ParaNoNdepar-AltN"/>
        <w:rPr>
          <w:rFonts w:cs="Times New Roman"/>
          <w:lang w:val="fr-CA"/>
        </w:rPr>
      </w:pPr>
      <w:r w:rsidRPr="00E8197E">
        <w:rPr>
          <w:rFonts w:cs="Times New Roman"/>
          <w:lang w:val="fr-CA"/>
        </w:rPr>
        <w:t>Le problème en l’espèce découle du fait que le juge des requêtes ne semble pas avoir tiré une conclusion indépendante quant au caractère raisonnable du processus en huit étapes de Rogers. Il a conclu que les honoraires de 100 $ l’heure de Rogers étaient raisonnables — conclusion qui, selon le procureur de Voltage, a été [</w:t>
      </w:r>
      <w:r w:rsidRPr="00E8197E">
        <w:rPr>
          <w:rFonts w:cs="Times New Roman"/>
          <w:smallCaps/>
          <w:lang w:val="fr-CA"/>
        </w:rPr>
        <w:t>traduction</w:t>
      </w:r>
      <w:r w:rsidRPr="00E8197E">
        <w:rPr>
          <w:rFonts w:cs="Times New Roman"/>
          <w:lang w:val="fr-CA"/>
        </w:rPr>
        <w:t xml:space="preserve">] « exhaustivement débattue », et qui n’a donc pas besoin d’être examinée à nouveau. Mais la question de savoir si Rogers peut facturer 100 $ l’heure n’offre pas de réponse à la question de savoir ce que </w:t>
      </w:r>
      <w:r w:rsidRPr="00E8197E">
        <w:rPr>
          <w:rFonts w:cs="Times New Roman"/>
          <w:i/>
          <w:lang w:val="fr-CA"/>
        </w:rPr>
        <w:t>peut faire</w:t>
      </w:r>
      <w:r w:rsidRPr="00E8197E">
        <w:rPr>
          <w:rFonts w:cs="Times New Roman"/>
          <w:lang w:val="fr-CA"/>
        </w:rPr>
        <w:t xml:space="preserve"> Rogers pour 100 $ l’heure. </w:t>
      </w:r>
    </w:p>
    <w:p w:rsidR="00E8197E" w:rsidRPr="00E8197E" w:rsidRDefault="00E8197E" w:rsidP="00E8197E">
      <w:pPr>
        <w:pStyle w:val="ParaNoNdepar-AltN"/>
        <w:rPr>
          <w:rFonts w:cs="Times New Roman"/>
          <w:lang w:val="fr-CA"/>
        </w:rPr>
      </w:pPr>
      <w:r w:rsidRPr="00E8197E">
        <w:rPr>
          <w:rFonts w:cs="Times New Roman"/>
          <w:lang w:val="fr-CA"/>
        </w:rPr>
        <w:t xml:space="preserve">Selon mon interprétation de la loi, évidemment, le processus en huit étapes de Rogers n’est pas inclus dans le régime d’avis et avis. Et comme je l’ai déjà mentionné, le juge des requêtes peut encore, selon les motifs du juge Brown, adopter cette interprétation et conclure que le processus de Rogers est par ailleurs raisonnable. Toutefois, même selon mon interprétation de la loi, je renverrais l’affaire pour que soit tranchée la question de savoir si le temps que Rogers a passé à suivre son processus en huit étapes était raisonnable. Le juge des requêtes devrait tirer une conclusion à ce sujet en première instance, conclusion qui doit être distincte et séparée de celle concernant le caractère raisonnable du taux horaire. </w:t>
      </w:r>
    </w:p>
    <w:p w:rsidR="00E8197E" w:rsidRPr="00B96C4B" w:rsidRDefault="00E8197E" w:rsidP="00E8197E">
      <w:pPr>
        <w:pStyle w:val="Title1LevelTitre1Niveau-AltL"/>
        <w:rPr>
          <w:rFonts w:cs="Times New Roman"/>
          <w:lang w:val="fr-CA"/>
        </w:rPr>
      </w:pPr>
      <w:r w:rsidRPr="00B96C4B">
        <w:rPr>
          <w:rFonts w:cs="Times New Roman"/>
          <w:lang w:val="fr-CA"/>
        </w:rPr>
        <w:lastRenderedPageBreak/>
        <w:t>Conclusion</w:t>
      </w:r>
    </w:p>
    <w:p w:rsidR="00E8197E" w:rsidRPr="00E8197E" w:rsidRDefault="00E8197E" w:rsidP="00E8197E">
      <w:pPr>
        <w:pStyle w:val="ParaNoNdepar-AltN"/>
        <w:rPr>
          <w:rFonts w:cs="Times New Roman"/>
          <w:lang w:val="fr-CA"/>
        </w:rPr>
      </w:pPr>
      <w:r w:rsidRPr="00E8197E">
        <w:rPr>
          <w:rFonts w:cs="Times New Roman"/>
          <w:lang w:val="fr-CA"/>
        </w:rPr>
        <w:t xml:space="preserve">Pour les motifs décrits précédemment, je partage l’avis du juge Brown, selon lequel le pourvoi devrait être accueilli et l’affaire renvoyée au juge des requêtes pour que celui-ci tranche d’autres questions. </w:t>
      </w:r>
    </w:p>
    <w:p w:rsidR="004D7D95" w:rsidRPr="00D411C1" w:rsidRDefault="00A46DA3" w:rsidP="002F274E">
      <w:pPr>
        <w:pStyle w:val="SCCNormalDoubleSpacing"/>
        <w:spacing w:before="480" w:after="480"/>
        <w:rPr>
          <w:i/>
          <w:lang w:val="fr-CA"/>
        </w:rPr>
      </w:pPr>
      <w:r w:rsidRPr="00D411C1">
        <w:rPr>
          <w:lang w:val="fr-CA"/>
        </w:rPr>
        <w:tab/>
      </w:r>
      <w:r w:rsidRPr="00D411C1">
        <w:rPr>
          <w:i/>
          <w:lang w:val="fr-CA"/>
        </w:rPr>
        <w:t xml:space="preserve">Pourvoi </w:t>
      </w:r>
      <w:r w:rsidR="00E70396" w:rsidRPr="00D411C1">
        <w:rPr>
          <w:i/>
          <w:lang w:val="fr-CA"/>
        </w:rPr>
        <w:t>accueilli</w:t>
      </w:r>
      <w:r w:rsidRPr="00D411C1">
        <w:rPr>
          <w:i/>
          <w:lang w:val="fr-CA"/>
        </w:rPr>
        <w:t>.</w:t>
      </w:r>
    </w:p>
    <w:p w:rsidR="00B04886" w:rsidRPr="00D411C1" w:rsidRDefault="001000A9" w:rsidP="002F274E">
      <w:pPr>
        <w:pStyle w:val="SCCLawFirm"/>
        <w:spacing w:before="480" w:after="480"/>
        <w:rPr>
          <w:lang w:val="fr-CA"/>
        </w:rPr>
      </w:pPr>
      <w:r w:rsidRPr="00D411C1">
        <w:rPr>
          <w:lang w:val="fr-CA"/>
        </w:rPr>
        <w:tab/>
        <w:t>Procureurs de l</w:t>
      </w:r>
      <w:r w:rsidR="00FB3897" w:rsidRPr="00D411C1">
        <w:rPr>
          <w:lang w:val="fr-CA"/>
        </w:rPr>
        <w:t>’</w:t>
      </w:r>
      <w:r w:rsidRPr="00D411C1">
        <w:rPr>
          <w:lang w:val="fr-CA"/>
        </w:rPr>
        <w:t>appelante</w:t>
      </w:r>
      <w:r w:rsidR="00CE4B13" w:rsidRPr="00D411C1">
        <w:rPr>
          <w:lang w:val="fr-CA"/>
        </w:rPr>
        <w:t> </w:t>
      </w:r>
      <w:r w:rsidR="002F274E" w:rsidRPr="00D411C1">
        <w:rPr>
          <w:lang w:val="fr-CA"/>
        </w:rPr>
        <w:t>: </w:t>
      </w:r>
      <w:r w:rsidRPr="00D411C1">
        <w:rPr>
          <w:lang w:val="fr-CA"/>
        </w:rPr>
        <w:t>Torys, Toronto.</w:t>
      </w:r>
    </w:p>
    <w:p w:rsidR="00B04886" w:rsidRPr="00D411C1" w:rsidRDefault="0093435E" w:rsidP="002F274E">
      <w:pPr>
        <w:pStyle w:val="SCCLawFirm"/>
        <w:spacing w:before="480" w:after="480"/>
        <w:rPr>
          <w:lang w:val="fr-CA"/>
        </w:rPr>
      </w:pPr>
      <w:r w:rsidRPr="00D411C1">
        <w:rPr>
          <w:lang w:val="fr-CA"/>
        </w:rPr>
        <w:tab/>
        <w:t>Procureurs</w:t>
      </w:r>
      <w:r w:rsidR="001000A9" w:rsidRPr="00D411C1">
        <w:rPr>
          <w:lang w:val="fr-CA"/>
        </w:rPr>
        <w:t xml:space="preserve"> de</w:t>
      </w:r>
      <w:r w:rsidRPr="00D411C1">
        <w:rPr>
          <w:lang w:val="fr-CA"/>
        </w:rPr>
        <w:t>s</w:t>
      </w:r>
      <w:r w:rsidR="001000A9" w:rsidRPr="00D411C1">
        <w:rPr>
          <w:lang w:val="fr-CA"/>
        </w:rPr>
        <w:t xml:space="preserve"> </w:t>
      </w:r>
      <w:r w:rsidRPr="00D411C1">
        <w:rPr>
          <w:lang w:val="fr-CA"/>
        </w:rPr>
        <w:t>intimé</w:t>
      </w:r>
      <w:r w:rsidR="001000A9" w:rsidRPr="00D411C1">
        <w:rPr>
          <w:lang w:val="fr-CA"/>
        </w:rPr>
        <w:t>e</w:t>
      </w:r>
      <w:r w:rsidRPr="00D411C1">
        <w:rPr>
          <w:lang w:val="fr-CA"/>
        </w:rPr>
        <w:t>s</w:t>
      </w:r>
      <w:r w:rsidR="00CE4B13" w:rsidRPr="00D411C1">
        <w:rPr>
          <w:lang w:val="fr-CA"/>
        </w:rPr>
        <w:t> </w:t>
      </w:r>
      <w:r w:rsidR="002F274E" w:rsidRPr="00D411C1">
        <w:rPr>
          <w:lang w:val="fr-CA"/>
        </w:rPr>
        <w:t>: </w:t>
      </w:r>
      <w:r w:rsidR="001000A9" w:rsidRPr="00D411C1">
        <w:rPr>
          <w:lang w:val="fr-CA"/>
        </w:rPr>
        <w:t>Aird &amp; Berlis, Toronto.</w:t>
      </w:r>
    </w:p>
    <w:p w:rsidR="00B04886" w:rsidRPr="00D411C1" w:rsidRDefault="001000A9" w:rsidP="002F274E">
      <w:pPr>
        <w:pStyle w:val="SCCLawFirm"/>
        <w:spacing w:before="480" w:after="480"/>
        <w:rPr>
          <w:lang w:val="fr-CA"/>
        </w:rPr>
      </w:pPr>
      <w:r w:rsidRPr="00D411C1">
        <w:rPr>
          <w:lang w:val="fr-CA"/>
        </w:rPr>
        <w:tab/>
        <w:t>Procureur de l</w:t>
      </w:r>
      <w:r w:rsidR="00FB3897" w:rsidRPr="00D411C1">
        <w:rPr>
          <w:lang w:val="fr-CA"/>
        </w:rPr>
        <w:t>’</w:t>
      </w:r>
      <w:r w:rsidR="0093435E" w:rsidRPr="00D411C1">
        <w:rPr>
          <w:lang w:val="fr-CA"/>
        </w:rPr>
        <w:t>intervenant</w:t>
      </w:r>
      <w:r w:rsidRPr="00D411C1">
        <w:rPr>
          <w:lang w:val="fr-CA"/>
        </w:rPr>
        <w:t>e</w:t>
      </w:r>
      <w:r w:rsidR="0093435E" w:rsidRPr="00D411C1">
        <w:rPr>
          <w:lang w:val="fr-CA"/>
        </w:rPr>
        <w:t xml:space="preserve"> la</w:t>
      </w:r>
      <w:r w:rsidRPr="00D411C1">
        <w:rPr>
          <w:lang w:val="fr-CA"/>
        </w:rPr>
        <w:t xml:space="preserve"> Clin</w:t>
      </w:r>
      <w:r w:rsidR="005553B8" w:rsidRPr="00D411C1">
        <w:rPr>
          <w:lang w:val="fr-CA"/>
        </w:rPr>
        <w:t>i</w:t>
      </w:r>
      <w:r w:rsidRPr="00D411C1">
        <w:rPr>
          <w:lang w:val="fr-CA"/>
        </w:rPr>
        <w:t>que d</w:t>
      </w:r>
      <w:r w:rsidR="00FB3897" w:rsidRPr="00D411C1">
        <w:rPr>
          <w:lang w:val="fr-CA"/>
        </w:rPr>
        <w:t>’</w:t>
      </w:r>
      <w:r w:rsidRPr="00D411C1">
        <w:rPr>
          <w:lang w:val="fr-CA"/>
        </w:rPr>
        <w:t>intérêt public et de politique d</w:t>
      </w:r>
      <w:r w:rsidR="00FB3897" w:rsidRPr="00D411C1">
        <w:rPr>
          <w:lang w:val="fr-CA"/>
        </w:rPr>
        <w:t>’</w:t>
      </w:r>
      <w:r w:rsidRPr="00D411C1">
        <w:rPr>
          <w:lang w:val="fr-CA"/>
        </w:rPr>
        <w:t>internet du Canada Samuelson</w:t>
      </w:r>
      <w:r w:rsidR="00CE4B13" w:rsidRPr="00D411C1">
        <w:rPr>
          <w:lang w:val="fr-CA"/>
        </w:rPr>
        <w:noBreakHyphen/>
      </w:r>
      <w:r w:rsidRPr="00D411C1">
        <w:rPr>
          <w:lang w:val="fr-CA"/>
        </w:rPr>
        <w:t>Glushko</w:t>
      </w:r>
      <w:r w:rsidR="00CE4B13" w:rsidRPr="00D411C1">
        <w:rPr>
          <w:lang w:val="fr-CA"/>
        </w:rPr>
        <w:t> </w:t>
      </w:r>
      <w:r w:rsidR="002F274E" w:rsidRPr="00D411C1">
        <w:rPr>
          <w:lang w:val="fr-CA"/>
        </w:rPr>
        <w:t>: </w:t>
      </w:r>
      <w:r w:rsidR="0093435E" w:rsidRPr="00D411C1">
        <w:rPr>
          <w:lang w:val="fr-CA"/>
        </w:rPr>
        <w:t xml:space="preserve">Clinique d’intérêt public et de politique d’internet du Canada </w:t>
      </w:r>
      <w:r w:rsidRPr="00D411C1">
        <w:rPr>
          <w:lang w:val="fr-CA"/>
        </w:rPr>
        <w:t>Samuelson</w:t>
      </w:r>
      <w:r w:rsidR="00CE4B13" w:rsidRPr="00D411C1">
        <w:rPr>
          <w:lang w:val="fr-CA"/>
        </w:rPr>
        <w:noBreakHyphen/>
      </w:r>
      <w:r w:rsidRPr="00D411C1">
        <w:rPr>
          <w:lang w:val="fr-CA"/>
        </w:rPr>
        <w:t>Glushko, Ottawa.</w:t>
      </w:r>
    </w:p>
    <w:p w:rsidR="00B04886" w:rsidRPr="00D411C1" w:rsidRDefault="0093435E">
      <w:pPr>
        <w:pStyle w:val="SCCLawFirm"/>
        <w:rPr>
          <w:lang w:val="fr-CA"/>
        </w:rPr>
      </w:pPr>
      <w:r w:rsidRPr="00D411C1">
        <w:rPr>
          <w:lang w:val="fr-CA"/>
        </w:rPr>
        <w:tab/>
        <w:t>Procureur</w:t>
      </w:r>
      <w:r w:rsidR="001000A9" w:rsidRPr="00D411C1">
        <w:rPr>
          <w:lang w:val="fr-CA"/>
        </w:rPr>
        <w:t>s de</w:t>
      </w:r>
      <w:r w:rsidRPr="00D411C1">
        <w:rPr>
          <w:lang w:val="fr-CA"/>
        </w:rPr>
        <w:t>s intervenant</w:t>
      </w:r>
      <w:r w:rsidR="001000A9" w:rsidRPr="00D411C1">
        <w:rPr>
          <w:lang w:val="fr-CA"/>
        </w:rPr>
        <w:t>e</w:t>
      </w:r>
      <w:r w:rsidRPr="00D411C1">
        <w:rPr>
          <w:lang w:val="fr-CA"/>
        </w:rPr>
        <w:t>s</w:t>
      </w:r>
      <w:r w:rsidR="001000A9" w:rsidRPr="00D411C1">
        <w:rPr>
          <w:lang w:val="fr-CA"/>
        </w:rPr>
        <w:t xml:space="preserve"> Bell Canada Inc., Consortium des Op</w:t>
      </w:r>
      <w:r w:rsidR="00FF6C16" w:rsidRPr="00D411C1">
        <w:rPr>
          <w:lang w:val="fr-CA"/>
        </w:rPr>
        <w:t>é</w:t>
      </w:r>
      <w:r w:rsidR="001000A9" w:rsidRPr="00D411C1">
        <w:rPr>
          <w:lang w:val="fr-CA"/>
        </w:rPr>
        <w:t>rateurs de Réseaux Canadiens Inc., Cogeco Inc., Québecor M</w:t>
      </w:r>
      <w:r w:rsidRPr="00D411C1">
        <w:rPr>
          <w:lang w:val="fr-CA"/>
        </w:rPr>
        <w:t>é</w:t>
      </w:r>
      <w:r w:rsidR="001000A9" w:rsidRPr="00D411C1">
        <w:rPr>
          <w:lang w:val="fr-CA"/>
        </w:rPr>
        <w:t>dia Inc.</w:t>
      </w:r>
      <w:r w:rsidRPr="00D411C1">
        <w:rPr>
          <w:lang w:val="fr-CA"/>
        </w:rPr>
        <w:t>, Saskatchewan Telecommunications Holding Corporation, Shaw Communications Inc., TekSavvy Solutions Inc., TELUS Communications Inc. et Xplornet Communications Inc.</w:t>
      </w:r>
      <w:r w:rsidR="00CE4B13" w:rsidRPr="00D411C1">
        <w:rPr>
          <w:lang w:val="fr-CA"/>
        </w:rPr>
        <w:t> </w:t>
      </w:r>
      <w:r w:rsidR="002F274E" w:rsidRPr="00D411C1">
        <w:rPr>
          <w:lang w:val="fr-CA"/>
        </w:rPr>
        <w:t>: </w:t>
      </w:r>
      <w:r w:rsidR="001000A9" w:rsidRPr="00D411C1">
        <w:rPr>
          <w:lang w:val="fr-CA"/>
        </w:rPr>
        <w:t>Fasken Martineau DuMoulin, Ottawa.</w:t>
      </w:r>
    </w:p>
    <w:sectPr w:rsidR="00B04886" w:rsidRPr="00D411C1" w:rsidSect="000648CC">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6F8D" w:rsidRDefault="00546F8D">
      <w:r>
        <w:separator/>
      </w:r>
    </w:p>
  </w:endnote>
  <w:endnote w:type="continuationSeparator" w:id="0">
    <w:p w:rsidR="00546F8D" w:rsidRDefault="00546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6F8D" w:rsidRDefault="00546F8D">
      <w:r>
        <w:separator/>
      </w:r>
    </w:p>
  </w:footnote>
  <w:footnote w:type="continuationSeparator" w:id="0">
    <w:p w:rsidR="00546F8D" w:rsidRDefault="00546F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603130A"/>
    <w:multiLevelType w:val="multilevel"/>
    <w:tmpl w:val="8328FF12"/>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3"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4"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F1E0178"/>
    <w:multiLevelType w:val="multilevel"/>
    <w:tmpl w:val="415CE8C2"/>
    <w:lvl w:ilvl="0">
      <w:start w:val="1"/>
      <w:numFmt w:val="decimal"/>
      <w:lvlText w:val="[%1]"/>
      <w:lvlJc w:val="left"/>
      <w:pPr>
        <w:tabs>
          <w:tab w:val="num" w:pos="1152"/>
        </w:tabs>
        <w:ind w:left="0" w:firstLine="0"/>
      </w:pPr>
      <w:rPr>
        <w:rFonts w:ascii="Times New Roman" w:hAnsi="Times New Roman" w:hint="default"/>
        <w:b w:val="0"/>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b/>
      </w:rPr>
    </w:lvl>
    <w:lvl w:ilvl="4">
      <w:start w:val="1"/>
      <w:numFmt w:val="decimal"/>
      <w:lvlText w:val="%5."/>
      <w:lvlJc w:val="left"/>
      <w:pPr>
        <w:ind w:left="1800" w:hanging="360"/>
      </w:pPr>
      <w:rPr>
        <w:rFonts w:hint="default"/>
        <w:b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4283EE8"/>
    <w:multiLevelType w:val="multilevel"/>
    <w:tmpl w:val="7F80F1B4"/>
    <w:lvl w:ilvl="0">
      <w:start w:val="1"/>
      <w:numFmt w:val="decimal"/>
      <w:pStyle w:val="ParaNoNdepar-AltN"/>
      <w:lvlText w:val="[%1]"/>
      <w:lvlJc w:val="left"/>
      <w:pPr>
        <w:tabs>
          <w:tab w:val="num" w:pos="1152"/>
        </w:tabs>
        <w:ind w:left="0" w:firstLine="0"/>
      </w:pPr>
      <w:rPr>
        <w:rFonts w:ascii="Times New Roman" w:hAnsi="Times New Roman" w:hint="default"/>
        <w:b w:val="0"/>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6"/>
  </w:num>
  <w:num w:numId="2">
    <w:abstractNumId w:val="7"/>
  </w:num>
  <w:num w:numId="3">
    <w:abstractNumId w:val="1"/>
  </w:num>
  <w:num w:numId="4">
    <w:abstractNumId w:val="0"/>
  </w:num>
  <w:num w:numId="5">
    <w:abstractNumId w:val="3"/>
  </w:num>
  <w:num w:numId="6">
    <w:abstractNumId w:val="4"/>
  </w:num>
  <w:num w:numId="7">
    <w:abstractNumId w:val="2"/>
  </w:num>
  <w:num w:numId="8">
    <w:abstractNumId w:val="2"/>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5"/>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removePersonalInformation/>
  <w:removeDateAndTime/>
  <w:bordersDoNotSurroundHeader/>
  <w:bordersDoNotSurroundFooter/>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100B6"/>
    <w:rsid w:val="0001088A"/>
    <w:rsid w:val="000132AD"/>
    <w:rsid w:val="000137C5"/>
    <w:rsid w:val="00023FC7"/>
    <w:rsid w:val="00025198"/>
    <w:rsid w:val="000263D1"/>
    <w:rsid w:val="00052CE6"/>
    <w:rsid w:val="00054B10"/>
    <w:rsid w:val="000578A3"/>
    <w:rsid w:val="000648CC"/>
    <w:rsid w:val="000828F6"/>
    <w:rsid w:val="00092462"/>
    <w:rsid w:val="000A0371"/>
    <w:rsid w:val="000C59B8"/>
    <w:rsid w:val="000C6AF0"/>
    <w:rsid w:val="000D0A77"/>
    <w:rsid w:val="000F605D"/>
    <w:rsid w:val="000F7993"/>
    <w:rsid w:val="001000A9"/>
    <w:rsid w:val="00104F33"/>
    <w:rsid w:val="00105D62"/>
    <w:rsid w:val="00111DE2"/>
    <w:rsid w:val="00116B38"/>
    <w:rsid w:val="0012066E"/>
    <w:rsid w:val="00132B79"/>
    <w:rsid w:val="00135406"/>
    <w:rsid w:val="00135972"/>
    <w:rsid w:val="001426A9"/>
    <w:rsid w:val="00154D7C"/>
    <w:rsid w:val="001558F0"/>
    <w:rsid w:val="001570B0"/>
    <w:rsid w:val="0015752C"/>
    <w:rsid w:val="00157737"/>
    <w:rsid w:val="00165277"/>
    <w:rsid w:val="00167207"/>
    <w:rsid w:val="00170592"/>
    <w:rsid w:val="001720F7"/>
    <w:rsid w:val="00183B74"/>
    <w:rsid w:val="00192891"/>
    <w:rsid w:val="00195D83"/>
    <w:rsid w:val="001A00C1"/>
    <w:rsid w:val="001A2B2B"/>
    <w:rsid w:val="001A5DE4"/>
    <w:rsid w:val="001B33E0"/>
    <w:rsid w:val="001B4573"/>
    <w:rsid w:val="001B4CA3"/>
    <w:rsid w:val="001C461B"/>
    <w:rsid w:val="001C4B8E"/>
    <w:rsid w:val="001C779F"/>
    <w:rsid w:val="001D2AC1"/>
    <w:rsid w:val="001D4E88"/>
    <w:rsid w:val="001E5FA5"/>
    <w:rsid w:val="001F1D21"/>
    <w:rsid w:val="002045E5"/>
    <w:rsid w:val="00220FC2"/>
    <w:rsid w:val="002222F4"/>
    <w:rsid w:val="00224FC0"/>
    <w:rsid w:val="00225EA4"/>
    <w:rsid w:val="00226EAF"/>
    <w:rsid w:val="00227B6A"/>
    <w:rsid w:val="00231F3A"/>
    <w:rsid w:val="002406EE"/>
    <w:rsid w:val="00243EC8"/>
    <w:rsid w:val="00245788"/>
    <w:rsid w:val="0025557E"/>
    <w:rsid w:val="0026729F"/>
    <w:rsid w:val="00270D93"/>
    <w:rsid w:val="002745CC"/>
    <w:rsid w:val="00291FEF"/>
    <w:rsid w:val="00292681"/>
    <w:rsid w:val="002961D6"/>
    <w:rsid w:val="002A014E"/>
    <w:rsid w:val="002A2010"/>
    <w:rsid w:val="002A525C"/>
    <w:rsid w:val="002A780D"/>
    <w:rsid w:val="002B03C0"/>
    <w:rsid w:val="002B17AA"/>
    <w:rsid w:val="002B6FBE"/>
    <w:rsid w:val="002B7924"/>
    <w:rsid w:val="002C10A6"/>
    <w:rsid w:val="002D0670"/>
    <w:rsid w:val="002D28C3"/>
    <w:rsid w:val="002D39A4"/>
    <w:rsid w:val="002D6F28"/>
    <w:rsid w:val="002E42FD"/>
    <w:rsid w:val="002E6705"/>
    <w:rsid w:val="002F274E"/>
    <w:rsid w:val="002F3E83"/>
    <w:rsid w:val="0030329A"/>
    <w:rsid w:val="00304A1C"/>
    <w:rsid w:val="0031080E"/>
    <w:rsid w:val="0031086F"/>
    <w:rsid w:val="0031414C"/>
    <w:rsid w:val="00314E01"/>
    <w:rsid w:val="0032089D"/>
    <w:rsid w:val="003310DE"/>
    <w:rsid w:val="003323B0"/>
    <w:rsid w:val="00340A49"/>
    <w:rsid w:val="00343235"/>
    <w:rsid w:val="003474D5"/>
    <w:rsid w:val="0035169A"/>
    <w:rsid w:val="0035259D"/>
    <w:rsid w:val="00353381"/>
    <w:rsid w:val="00364B18"/>
    <w:rsid w:val="0036609C"/>
    <w:rsid w:val="00376625"/>
    <w:rsid w:val="003A125D"/>
    <w:rsid w:val="003A31E5"/>
    <w:rsid w:val="003A4C70"/>
    <w:rsid w:val="003B215F"/>
    <w:rsid w:val="003C799C"/>
    <w:rsid w:val="003D0399"/>
    <w:rsid w:val="003E1C71"/>
    <w:rsid w:val="003E6237"/>
    <w:rsid w:val="003F327B"/>
    <w:rsid w:val="00406166"/>
    <w:rsid w:val="0040704B"/>
    <w:rsid w:val="00410A55"/>
    <w:rsid w:val="00411300"/>
    <w:rsid w:val="00413F17"/>
    <w:rsid w:val="00415417"/>
    <w:rsid w:val="00426659"/>
    <w:rsid w:val="00436289"/>
    <w:rsid w:val="00450352"/>
    <w:rsid w:val="00454BDB"/>
    <w:rsid w:val="00465132"/>
    <w:rsid w:val="004704F2"/>
    <w:rsid w:val="0047798C"/>
    <w:rsid w:val="00480C90"/>
    <w:rsid w:val="0048396F"/>
    <w:rsid w:val="00493C18"/>
    <w:rsid w:val="0049591C"/>
    <w:rsid w:val="004A600C"/>
    <w:rsid w:val="004A6118"/>
    <w:rsid w:val="004B362E"/>
    <w:rsid w:val="004C478D"/>
    <w:rsid w:val="004C6C80"/>
    <w:rsid w:val="004D7D95"/>
    <w:rsid w:val="004E2C26"/>
    <w:rsid w:val="004E723C"/>
    <w:rsid w:val="005125A8"/>
    <w:rsid w:val="00517549"/>
    <w:rsid w:val="00520ABC"/>
    <w:rsid w:val="00521AE8"/>
    <w:rsid w:val="00527180"/>
    <w:rsid w:val="00541771"/>
    <w:rsid w:val="00545266"/>
    <w:rsid w:val="00546F8D"/>
    <w:rsid w:val="0055013D"/>
    <w:rsid w:val="00551244"/>
    <w:rsid w:val="00555291"/>
    <w:rsid w:val="005553B8"/>
    <w:rsid w:val="005628F0"/>
    <w:rsid w:val="00566AD1"/>
    <w:rsid w:val="00583EDE"/>
    <w:rsid w:val="005953C8"/>
    <w:rsid w:val="005A6079"/>
    <w:rsid w:val="005B0191"/>
    <w:rsid w:val="005E4698"/>
    <w:rsid w:val="005F70F0"/>
    <w:rsid w:val="00603924"/>
    <w:rsid w:val="00610539"/>
    <w:rsid w:val="00611077"/>
    <w:rsid w:val="00613969"/>
    <w:rsid w:val="00625C35"/>
    <w:rsid w:val="00640F8B"/>
    <w:rsid w:val="0064642F"/>
    <w:rsid w:val="00647E49"/>
    <w:rsid w:val="00651605"/>
    <w:rsid w:val="00656313"/>
    <w:rsid w:val="006565F4"/>
    <w:rsid w:val="0065707B"/>
    <w:rsid w:val="00684EEA"/>
    <w:rsid w:val="00685EA7"/>
    <w:rsid w:val="00687EF6"/>
    <w:rsid w:val="0069689B"/>
    <w:rsid w:val="006A5B83"/>
    <w:rsid w:val="006B5FF5"/>
    <w:rsid w:val="006C5DA4"/>
    <w:rsid w:val="006C7834"/>
    <w:rsid w:val="006F30AF"/>
    <w:rsid w:val="00700151"/>
    <w:rsid w:val="00701759"/>
    <w:rsid w:val="00705C15"/>
    <w:rsid w:val="007110F6"/>
    <w:rsid w:val="007208D1"/>
    <w:rsid w:val="00730D45"/>
    <w:rsid w:val="00744518"/>
    <w:rsid w:val="00747288"/>
    <w:rsid w:val="00747DD3"/>
    <w:rsid w:val="00750D99"/>
    <w:rsid w:val="007549C8"/>
    <w:rsid w:val="007668CB"/>
    <w:rsid w:val="00766D14"/>
    <w:rsid w:val="00767A0F"/>
    <w:rsid w:val="00784213"/>
    <w:rsid w:val="00791272"/>
    <w:rsid w:val="007A05F6"/>
    <w:rsid w:val="007B6F4A"/>
    <w:rsid w:val="007E1C47"/>
    <w:rsid w:val="007E337A"/>
    <w:rsid w:val="007E5C70"/>
    <w:rsid w:val="007E7CF7"/>
    <w:rsid w:val="007F2FF5"/>
    <w:rsid w:val="007F3ECB"/>
    <w:rsid w:val="007F3F08"/>
    <w:rsid w:val="00804CC6"/>
    <w:rsid w:val="00817190"/>
    <w:rsid w:val="008260E2"/>
    <w:rsid w:val="008322BD"/>
    <w:rsid w:val="00833132"/>
    <w:rsid w:val="00834F73"/>
    <w:rsid w:val="00852264"/>
    <w:rsid w:val="0085273D"/>
    <w:rsid w:val="00861974"/>
    <w:rsid w:val="00864C8A"/>
    <w:rsid w:val="00864CF8"/>
    <w:rsid w:val="00867D03"/>
    <w:rsid w:val="00874914"/>
    <w:rsid w:val="00877385"/>
    <w:rsid w:val="00880179"/>
    <w:rsid w:val="008833C9"/>
    <w:rsid w:val="00891422"/>
    <w:rsid w:val="00892E1A"/>
    <w:rsid w:val="008B660A"/>
    <w:rsid w:val="008C01DA"/>
    <w:rsid w:val="008C2765"/>
    <w:rsid w:val="008D1179"/>
    <w:rsid w:val="008F2674"/>
    <w:rsid w:val="008F5FE1"/>
    <w:rsid w:val="008F78E9"/>
    <w:rsid w:val="009108E2"/>
    <w:rsid w:val="009179F9"/>
    <w:rsid w:val="00917BEB"/>
    <w:rsid w:val="00917C7A"/>
    <w:rsid w:val="00933E5E"/>
    <w:rsid w:val="0093435E"/>
    <w:rsid w:val="00935218"/>
    <w:rsid w:val="00937C52"/>
    <w:rsid w:val="009403F3"/>
    <w:rsid w:val="0095026F"/>
    <w:rsid w:val="009555B7"/>
    <w:rsid w:val="00955C32"/>
    <w:rsid w:val="009567AA"/>
    <w:rsid w:val="009602C9"/>
    <w:rsid w:val="00967374"/>
    <w:rsid w:val="009A343A"/>
    <w:rsid w:val="009B1829"/>
    <w:rsid w:val="009B2F23"/>
    <w:rsid w:val="009B57B3"/>
    <w:rsid w:val="009D2920"/>
    <w:rsid w:val="009D5AEB"/>
    <w:rsid w:val="009D6904"/>
    <w:rsid w:val="009F0E33"/>
    <w:rsid w:val="009F16FE"/>
    <w:rsid w:val="009F726B"/>
    <w:rsid w:val="00A02214"/>
    <w:rsid w:val="00A149DF"/>
    <w:rsid w:val="00A1755C"/>
    <w:rsid w:val="00A21B90"/>
    <w:rsid w:val="00A22AAC"/>
    <w:rsid w:val="00A41805"/>
    <w:rsid w:val="00A46662"/>
    <w:rsid w:val="00A46DA3"/>
    <w:rsid w:val="00A51882"/>
    <w:rsid w:val="00A52AFB"/>
    <w:rsid w:val="00A548CB"/>
    <w:rsid w:val="00A5521C"/>
    <w:rsid w:val="00A60D50"/>
    <w:rsid w:val="00A643E7"/>
    <w:rsid w:val="00A73C38"/>
    <w:rsid w:val="00A81AC2"/>
    <w:rsid w:val="00A921A7"/>
    <w:rsid w:val="00AA418C"/>
    <w:rsid w:val="00AB14CA"/>
    <w:rsid w:val="00AB18ED"/>
    <w:rsid w:val="00AB670D"/>
    <w:rsid w:val="00AC4B61"/>
    <w:rsid w:val="00AC779A"/>
    <w:rsid w:val="00AF03C5"/>
    <w:rsid w:val="00AF601E"/>
    <w:rsid w:val="00B000D8"/>
    <w:rsid w:val="00B00F75"/>
    <w:rsid w:val="00B04886"/>
    <w:rsid w:val="00B145B6"/>
    <w:rsid w:val="00B16E58"/>
    <w:rsid w:val="00B24B42"/>
    <w:rsid w:val="00B279EB"/>
    <w:rsid w:val="00B34F83"/>
    <w:rsid w:val="00B456C4"/>
    <w:rsid w:val="00B46002"/>
    <w:rsid w:val="00B50C81"/>
    <w:rsid w:val="00B528B6"/>
    <w:rsid w:val="00B557F8"/>
    <w:rsid w:val="00B738FE"/>
    <w:rsid w:val="00B815FC"/>
    <w:rsid w:val="00B93FBC"/>
    <w:rsid w:val="00BA33B7"/>
    <w:rsid w:val="00BA5C1A"/>
    <w:rsid w:val="00BA7DA0"/>
    <w:rsid w:val="00BB0A8E"/>
    <w:rsid w:val="00BB2EE4"/>
    <w:rsid w:val="00BB4C92"/>
    <w:rsid w:val="00BC2108"/>
    <w:rsid w:val="00BD0E9E"/>
    <w:rsid w:val="00BD1BEC"/>
    <w:rsid w:val="00BD32FF"/>
    <w:rsid w:val="00BF6FE9"/>
    <w:rsid w:val="00BF76C6"/>
    <w:rsid w:val="00C00A2B"/>
    <w:rsid w:val="00C02092"/>
    <w:rsid w:val="00C132C5"/>
    <w:rsid w:val="00C16E10"/>
    <w:rsid w:val="00C24D91"/>
    <w:rsid w:val="00C26921"/>
    <w:rsid w:val="00C26DB2"/>
    <w:rsid w:val="00C53F14"/>
    <w:rsid w:val="00C600CF"/>
    <w:rsid w:val="00C6084F"/>
    <w:rsid w:val="00C62A66"/>
    <w:rsid w:val="00C66359"/>
    <w:rsid w:val="00C71458"/>
    <w:rsid w:val="00C77613"/>
    <w:rsid w:val="00C828E7"/>
    <w:rsid w:val="00C86719"/>
    <w:rsid w:val="00C921DD"/>
    <w:rsid w:val="00C93410"/>
    <w:rsid w:val="00CA5D74"/>
    <w:rsid w:val="00CA6391"/>
    <w:rsid w:val="00CB67C4"/>
    <w:rsid w:val="00CB748C"/>
    <w:rsid w:val="00CE036E"/>
    <w:rsid w:val="00CE3171"/>
    <w:rsid w:val="00CE4B13"/>
    <w:rsid w:val="00CF1601"/>
    <w:rsid w:val="00D0172F"/>
    <w:rsid w:val="00D01E33"/>
    <w:rsid w:val="00D04F46"/>
    <w:rsid w:val="00D068A7"/>
    <w:rsid w:val="00D14E31"/>
    <w:rsid w:val="00D17476"/>
    <w:rsid w:val="00D17B0E"/>
    <w:rsid w:val="00D32086"/>
    <w:rsid w:val="00D37A3F"/>
    <w:rsid w:val="00D411C1"/>
    <w:rsid w:val="00D41D0C"/>
    <w:rsid w:val="00D4431D"/>
    <w:rsid w:val="00D4667A"/>
    <w:rsid w:val="00D63A1C"/>
    <w:rsid w:val="00D71E7C"/>
    <w:rsid w:val="00D7516F"/>
    <w:rsid w:val="00D9001C"/>
    <w:rsid w:val="00D9098B"/>
    <w:rsid w:val="00D95D2F"/>
    <w:rsid w:val="00D95F8E"/>
    <w:rsid w:val="00DA0590"/>
    <w:rsid w:val="00DB2355"/>
    <w:rsid w:val="00DC1739"/>
    <w:rsid w:val="00DC1788"/>
    <w:rsid w:val="00DE319C"/>
    <w:rsid w:val="00DF0CA8"/>
    <w:rsid w:val="00DF2B48"/>
    <w:rsid w:val="00DF49A7"/>
    <w:rsid w:val="00E07EE2"/>
    <w:rsid w:val="00E07FD1"/>
    <w:rsid w:val="00E11A96"/>
    <w:rsid w:val="00E21A6F"/>
    <w:rsid w:val="00E24573"/>
    <w:rsid w:val="00E25A3F"/>
    <w:rsid w:val="00E25E1E"/>
    <w:rsid w:val="00E27EE7"/>
    <w:rsid w:val="00E31BF3"/>
    <w:rsid w:val="00E35404"/>
    <w:rsid w:val="00E45109"/>
    <w:rsid w:val="00E47938"/>
    <w:rsid w:val="00E47B7A"/>
    <w:rsid w:val="00E56A44"/>
    <w:rsid w:val="00E60269"/>
    <w:rsid w:val="00E70396"/>
    <w:rsid w:val="00E70DA7"/>
    <w:rsid w:val="00E8197E"/>
    <w:rsid w:val="00E97830"/>
    <w:rsid w:val="00EB4C88"/>
    <w:rsid w:val="00EC42A8"/>
    <w:rsid w:val="00EE0830"/>
    <w:rsid w:val="00EE6CB8"/>
    <w:rsid w:val="00EF0683"/>
    <w:rsid w:val="00F0070C"/>
    <w:rsid w:val="00F00EB7"/>
    <w:rsid w:val="00F00ED4"/>
    <w:rsid w:val="00F36AB6"/>
    <w:rsid w:val="00F37A09"/>
    <w:rsid w:val="00F406EB"/>
    <w:rsid w:val="00F409CE"/>
    <w:rsid w:val="00F4379D"/>
    <w:rsid w:val="00F50D2D"/>
    <w:rsid w:val="00F5193D"/>
    <w:rsid w:val="00F559E5"/>
    <w:rsid w:val="00F56C8B"/>
    <w:rsid w:val="00F62639"/>
    <w:rsid w:val="00F66810"/>
    <w:rsid w:val="00F84DF4"/>
    <w:rsid w:val="00F85C97"/>
    <w:rsid w:val="00FB37D2"/>
    <w:rsid w:val="00FB3897"/>
    <w:rsid w:val="00FC3F82"/>
    <w:rsid w:val="00FC4EFB"/>
    <w:rsid w:val="00FD068D"/>
    <w:rsid w:val="00FD4F28"/>
    <w:rsid w:val="00FE5749"/>
    <w:rsid w:val="00FE6784"/>
    <w:rsid w:val="00FE71C3"/>
    <w:rsid w:val="00FE7A8B"/>
    <w:rsid w:val="00FF5A0A"/>
    <w:rsid w:val="00FF6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character" w:styleId="Hyperlink">
    <w:name w:val="Hyperlink"/>
    <w:basedOn w:val="DefaultParagraphFont"/>
    <w:uiPriority w:val="99"/>
    <w:unhideWhenUsed/>
    <w:rsid w:val="002045E5"/>
    <w:rPr>
      <w:color w:val="0000FF" w:themeColor="hyperlink"/>
      <w:u w:val="single"/>
    </w:rPr>
  </w:style>
  <w:style w:type="paragraph" w:customStyle="1" w:styleId="ContinueParaSuitedupar-AltP">
    <w:name w:val="Continue Para. / Suite du par. - Alt P"/>
    <w:next w:val="Normal"/>
    <w:uiPriority w:val="1"/>
    <w:qFormat/>
    <w:rsid w:val="00852264"/>
    <w:pPr>
      <w:spacing w:before="480" w:after="480" w:line="480" w:lineRule="auto"/>
      <w:jc w:val="both"/>
    </w:pPr>
    <w:rPr>
      <w:rFonts w:eastAsiaTheme="minorHAnsi" w:cstheme="minorBidi"/>
      <w:sz w:val="24"/>
      <w:szCs w:val="22"/>
      <w:lang w:eastAsia="en-US"/>
    </w:rPr>
  </w:style>
  <w:style w:type="paragraph" w:customStyle="1" w:styleId="ParaNoNdepar-AltN">
    <w:name w:val="Para. No. / Nº de par. - Alt N"/>
    <w:qFormat/>
    <w:rsid w:val="00BA33B7"/>
    <w:pPr>
      <w:numPr>
        <w:numId w:val="1"/>
      </w:numPr>
      <w:spacing w:before="480" w:after="480" w:line="480" w:lineRule="auto"/>
      <w:jc w:val="both"/>
    </w:pPr>
    <w:rPr>
      <w:rFonts w:eastAsiaTheme="minorEastAsia" w:cstheme="minorBidi"/>
      <w:sz w:val="24"/>
      <w:szCs w:val="22"/>
      <w:lang w:eastAsia="en-US"/>
    </w:rPr>
  </w:style>
  <w:style w:type="paragraph" w:customStyle="1" w:styleId="SCCLsocOtherPartyRoleSeparator">
    <w:name w:val="SCC.Lsoc.OtherPartyRoleSeparator"/>
    <w:basedOn w:val="Normal"/>
    <w:next w:val="Normal"/>
    <w:link w:val="SCCLsocOtherPartyRoleSeparatorChar"/>
    <w:rsid w:val="00E8197E"/>
    <w:pPr>
      <w:spacing w:after="480"/>
    </w:pPr>
    <w:rPr>
      <w:rFonts w:eastAsiaTheme="minorHAnsi" w:cstheme="minorBidi"/>
      <w:szCs w:val="22"/>
      <w:lang w:eastAsia="en-US"/>
    </w:rPr>
  </w:style>
  <w:style w:type="paragraph" w:customStyle="1" w:styleId="SCCCoram">
    <w:name w:val="SCC.Coram"/>
    <w:basedOn w:val="Normal"/>
    <w:next w:val="Normal"/>
    <w:link w:val="SCCCoramChar"/>
    <w:rsid w:val="00E8197E"/>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E8197E"/>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E8197E"/>
    <w:rPr>
      <w:rFonts w:eastAsiaTheme="minorHAnsi" w:cstheme="minorBidi"/>
      <w:sz w:val="24"/>
      <w:szCs w:val="22"/>
      <w:lang w:eastAsia="en-US"/>
    </w:rPr>
  </w:style>
  <w:style w:type="character" w:customStyle="1" w:styleId="SCCBanSummaryChar">
    <w:name w:val="SCC.BanSummary Char"/>
    <w:basedOn w:val="DefaultParagraphFont"/>
    <w:link w:val="SCCBanSummary"/>
    <w:rsid w:val="00E8197E"/>
    <w:rPr>
      <w:b/>
      <w:sz w:val="24"/>
    </w:rPr>
  </w:style>
  <w:style w:type="table" w:styleId="TableGrid">
    <w:name w:val="Table Grid"/>
    <w:basedOn w:val="TableNormal"/>
    <w:uiPriority w:val="59"/>
    <w:rsid w:val="00E8197E"/>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E8197E"/>
    <w:pPr>
      <w:spacing w:after="720"/>
      <w:ind w:left="1166"/>
      <w:contextualSpacing/>
      <w:jc w:val="both"/>
    </w:pPr>
    <w:rPr>
      <w:sz w:val="24"/>
      <w:szCs w:val="24"/>
    </w:rPr>
  </w:style>
  <w:style w:type="paragraph" w:customStyle="1" w:styleId="JudgeJuge">
    <w:name w:val="Judge / Juge"/>
    <w:uiPriority w:val="3"/>
    <w:rsid w:val="00E8197E"/>
    <w:pPr>
      <w:tabs>
        <w:tab w:val="left" w:pos="1166"/>
      </w:tabs>
      <w:spacing w:after="480" w:line="480" w:lineRule="auto"/>
    </w:pPr>
    <w:rPr>
      <w:smallCaps/>
      <w:sz w:val="24"/>
      <w:szCs w:val="24"/>
    </w:rPr>
  </w:style>
  <w:style w:type="paragraph" w:customStyle="1" w:styleId="Title1LevelTitre1Niveau-AltL">
    <w:name w:val="Title 1 Level / Titre 1 Niveau - Alt L"/>
    <w:next w:val="ParaNoNdepar-AltN"/>
    <w:uiPriority w:val="4"/>
    <w:qFormat/>
    <w:rsid w:val="00E8197E"/>
    <w:pPr>
      <w:numPr>
        <w:numId w:val="7"/>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E8197E"/>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E8197E"/>
    <w:pPr>
      <w:numPr>
        <w:ilvl w:val="2"/>
      </w:numPr>
      <w:outlineLvl w:val="2"/>
    </w:pPr>
  </w:style>
  <w:style w:type="paragraph" w:customStyle="1" w:styleId="Title4LevelTitre4Niveau">
    <w:name w:val="Title 4 Level / Titre 4 Niveau"/>
    <w:basedOn w:val="Title3LevelTitre3Niveau"/>
    <w:next w:val="ParaNoNdepar-AltN"/>
    <w:uiPriority w:val="4"/>
    <w:qFormat/>
    <w:rsid w:val="00E8197E"/>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E8197E"/>
    <w:pPr>
      <w:numPr>
        <w:ilvl w:val="4"/>
      </w:numPr>
      <w:outlineLvl w:val="4"/>
    </w:pPr>
  </w:style>
  <w:style w:type="paragraph" w:styleId="TOC1">
    <w:name w:val="toc 1"/>
    <w:basedOn w:val="Normal"/>
    <w:next w:val="Normal"/>
    <w:autoRedefine/>
    <w:uiPriority w:val="39"/>
    <w:unhideWhenUsed/>
    <w:rsid w:val="00E8197E"/>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E8197E"/>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E8197E"/>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E8197E"/>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E8197E"/>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E8197E"/>
    <w:pPr>
      <w:tabs>
        <w:tab w:val="left" w:pos="2160"/>
        <w:tab w:val="right" w:leader="dot" w:pos="8270"/>
      </w:tabs>
      <w:spacing w:after="100"/>
      <w:ind w:left="1800"/>
    </w:pPr>
    <w:rPr>
      <w:noProof/>
    </w:rPr>
  </w:style>
  <w:style w:type="table" w:customStyle="1" w:styleId="TableGrid1">
    <w:name w:val="Table Grid1"/>
    <w:basedOn w:val="TableNormal"/>
    <w:uiPriority w:val="59"/>
    <w:rsid w:val="00E8197E"/>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E8197E"/>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E8197E"/>
    <w:pPr>
      <w:numPr>
        <w:ilvl w:val="5"/>
      </w:numPr>
      <w:outlineLvl w:val="5"/>
    </w:pPr>
    <w:rPr>
      <w:i/>
      <w:u w:val="none"/>
    </w:rPr>
  </w:style>
  <w:style w:type="paragraph" w:styleId="FootnoteText">
    <w:name w:val="footnote text"/>
    <w:basedOn w:val="Normal"/>
    <w:link w:val="FootnoteTextChar"/>
    <w:uiPriority w:val="99"/>
    <w:unhideWhenUsed/>
    <w:rsid w:val="00E8197E"/>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E8197E"/>
  </w:style>
  <w:style w:type="character" w:styleId="FootnoteReference">
    <w:name w:val="footnote reference"/>
    <w:basedOn w:val="DefaultParagraphFont"/>
    <w:uiPriority w:val="99"/>
    <w:semiHidden/>
    <w:unhideWhenUsed/>
    <w:rsid w:val="00E8197E"/>
    <w:rPr>
      <w:vertAlign w:val="superscript"/>
    </w:rPr>
  </w:style>
  <w:style w:type="character" w:styleId="CommentReference">
    <w:name w:val="annotation reference"/>
    <w:basedOn w:val="DefaultParagraphFont"/>
    <w:uiPriority w:val="99"/>
    <w:semiHidden/>
    <w:unhideWhenUsed/>
    <w:rsid w:val="00E8197E"/>
    <w:rPr>
      <w:sz w:val="16"/>
      <w:szCs w:val="16"/>
    </w:rPr>
  </w:style>
  <w:style w:type="paragraph" w:styleId="CommentText">
    <w:name w:val="annotation text"/>
    <w:basedOn w:val="Normal"/>
    <w:link w:val="CommentTextChar"/>
    <w:uiPriority w:val="99"/>
    <w:semiHidden/>
    <w:unhideWhenUsed/>
    <w:rsid w:val="00E8197E"/>
    <w:rPr>
      <w:sz w:val="20"/>
    </w:rPr>
  </w:style>
  <w:style w:type="character" w:customStyle="1" w:styleId="CommentTextChar">
    <w:name w:val="Comment Text Char"/>
    <w:basedOn w:val="DefaultParagraphFont"/>
    <w:link w:val="CommentText"/>
    <w:uiPriority w:val="99"/>
    <w:semiHidden/>
    <w:rsid w:val="00E8197E"/>
  </w:style>
  <w:style w:type="paragraph" w:styleId="CommentSubject">
    <w:name w:val="annotation subject"/>
    <w:basedOn w:val="CommentText"/>
    <w:next w:val="CommentText"/>
    <w:link w:val="CommentSubjectChar"/>
    <w:uiPriority w:val="99"/>
    <w:semiHidden/>
    <w:unhideWhenUsed/>
    <w:rsid w:val="00E8197E"/>
    <w:rPr>
      <w:b/>
      <w:bCs/>
    </w:rPr>
  </w:style>
  <w:style w:type="character" w:customStyle="1" w:styleId="CommentSubjectChar">
    <w:name w:val="Comment Subject Char"/>
    <w:basedOn w:val="CommentTextChar"/>
    <w:link w:val="CommentSubject"/>
    <w:uiPriority w:val="99"/>
    <w:semiHidden/>
    <w:rsid w:val="00E8197E"/>
    <w:rPr>
      <w:b/>
      <w:bCs/>
    </w:rPr>
  </w:style>
  <w:style w:type="paragraph" w:styleId="ListParagraph">
    <w:name w:val="List Paragraph"/>
    <w:basedOn w:val="Normal"/>
    <w:uiPriority w:val="34"/>
    <w:rsid w:val="00E8197E"/>
    <w:pPr>
      <w:ind w:left="720"/>
      <w:contextualSpacing/>
    </w:pPr>
    <w:rPr>
      <w:szCs w:val="24"/>
    </w:rPr>
  </w:style>
  <w:style w:type="paragraph" w:styleId="Revision">
    <w:name w:val="Revision"/>
    <w:hidden/>
    <w:uiPriority w:val="99"/>
    <w:semiHidden/>
    <w:rsid w:val="00E8197E"/>
    <w:rPr>
      <w:sz w:val="24"/>
      <w:szCs w:val="24"/>
    </w:rPr>
  </w:style>
  <w:style w:type="table" w:customStyle="1" w:styleId="TableGrid2">
    <w:name w:val="Table Grid2"/>
    <w:basedOn w:val="TableNormal"/>
    <w:next w:val="TableGrid"/>
    <w:uiPriority w:val="59"/>
    <w:rsid w:val="00E8197E"/>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PartyRoleChar">
    <w:name w:val="SCC.Lsoc.PartyRole Char"/>
    <w:basedOn w:val="DefaultParagraphFont"/>
    <w:rsid w:val="009F726B"/>
    <w:rPr>
      <w:lang w:val="fr-CA"/>
    </w:rPr>
  </w:style>
  <w:style w:type="paragraph" w:customStyle="1" w:styleId="SCCLsocPrefix">
    <w:name w:val="SCC.Lsoc.Prefix"/>
    <w:basedOn w:val="Normal"/>
    <w:next w:val="Normal"/>
    <w:link w:val="SCCLsocPrefixChar"/>
    <w:rsid w:val="009F726B"/>
    <w:rPr>
      <w:rFonts w:eastAsiaTheme="minorHAnsi" w:cstheme="minorBidi"/>
      <w:b/>
      <w:smallCaps/>
      <w:szCs w:val="24"/>
      <w:lang w:val="fr-CA" w:eastAsia="en-US"/>
    </w:rPr>
  </w:style>
  <w:style w:type="character" w:customStyle="1" w:styleId="SCCLsocPrefixChar">
    <w:name w:val="SCC.Lsoc.Prefix Char"/>
    <w:basedOn w:val="DefaultParagraphFont"/>
    <w:link w:val="SCCLsocPrefix"/>
    <w:rsid w:val="009F726B"/>
    <w:rPr>
      <w:rFonts w:eastAsiaTheme="minorHAnsi" w:cstheme="minorBidi"/>
      <w:b/>
      <w:smallCaps/>
      <w:sz w:val="24"/>
      <w:szCs w:val="24"/>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cc-csc.ca/cso-dce/2018SCC-CSC38_3_eng.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so-dce/2018SCC-CSC38_2_eng.pdf" TargetMode="External"/><Relationship Id="rId5" Type="http://schemas.openxmlformats.org/officeDocument/2006/relationships/webSettings" Target="webSettings.xml"/><Relationship Id="rId10" Type="http://schemas.openxmlformats.org/officeDocument/2006/relationships/hyperlink" Target="https://www.scc-csc.ca/cso-dce/2018SCC-CSC38_1_fra.pdf"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470B18-F8A6-4CEA-900E-08FE0F664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56</Pages>
  <Words>14709</Words>
  <Characters>83845</Characters>
  <Application>Microsoft Office Word</Application>
  <DocSecurity>0</DocSecurity>
  <Lines>698</Lines>
  <Paragraphs>196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98358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2018-09-24T21:01:00Z</dcterms:created>
  <dcterms:modified xsi:type="dcterms:W3CDTF">2019-04-10T15:24:00Z</dcterms:modified>
</cp:coreProperties>
</file>