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D95" w:rsidRPr="003D0BCF" w:rsidRDefault="004D7D95" w:rsidP="004D7D95">
      <w:pPr>
        <w:pStyle w:val="SCCBanSummary"/>
        <w:rPr>
          <w:lang w:val="fr-CA"/>
        </w:rPr>
      </w:pPr>
    </w:p>
    <w:p w:rsidR="000A71BB" w:rsidRDefault="000A71BB" w:rsidP="000A71BB">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5pt" o:ole="">
            <v:imagedata r:id="rId6" o:title=""/>
          </v:shape>
          <o:OLEObject Type="Embed" ProgID="Presentations.Drawing.13" ShapeID="_x0000_i1025" DrawAspect="Content" ObjectID="_1625573588" r:id="rId7"/>
        </w:object>
      </w:r>
      <w:r>
        <w:t xml:space="preserve"> </w:t>
      </w:r>
      <w:r>
        <w:ptab w:relativeTo="margin" w:alignment="right" w:leader="none"/>
      </w:r>
    </w:p>
    <w:p w:rsidR="000A71BB" w:rsidRDefault="000A71BB" w:rsidP="000A71BB">
      <w:pPr>
        <w:pStyle w:val="Header"/>
      </w:pPr>
    </w:p>
    <w:p w:rsidR="000A71BB" w:rsidRPr="001E12E2" w:rsidRDefault="000A71BB" w:rsidP="000A71BB">
      <w:pPr>
        <w:jc w:val="center"/>
        <w:rPr>
          <w:b/>
        </w:rPr>
      </w:pPr>
      <w:r w:rsidRPr="001E12E2">
        <w:rPr>
          <w:b/>
        </w:rPr>
        <w:t>COUR SUPRÊME DU CANADA</w:t>
      </w:r>
    </w:p>
    <w:p w:rsidR="000A71BB" w:rsidRDefault="000A71BB" w:rsidP="000A71BB"/>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310"/>
        <w:gridCol w:w="4266"/>
      </w:tblGrid>
      <w:tr w:rsidR="000A71BB" w:rsidRPr="001E12E2" w:rsidTr="008F2B35">
        <w:trPr>
          <w:cantSplit/>
        </w:trPr>
        <w:tc>
          <w:tcPr>
            <w:tcW w:w="5310" w:type="dxa"/>
          </w:tcPr>
          <w:p w:rsidR="000A71BB" w:rsidRPr="000A71BB" w:rsidRDefault="000A71BB" w:rsidP="008F2B35">
            <w:pPr>
              <w:rPr>
                <w:lang w:val="fr-CA"/>
              </w:rPr>
            </w:pPr>
            <w:r w:rsidRPr="000A71BB">
              <w:rPr>
                <w:b/>
                <w:smallCaps/>
                <w:lang w:val="fr-CA"/>
              </w:rPr>
              <w:t>Référence :</w:t>
            </w:r>
            <w:r w:rsidRPr="000A71BB">
              <w:rPr>
                <w:lang w:val="fr-CA"/>
              </w:rPr>
              <w:t xml:space="preserve"> </w:t>
            </w:r>
            <w:r w:rsidRPr="000A71BB">
              <w:rPr>
                <w:rStyle w:val="SCCAppellantForRunningHeadChar"/>
                <w:smallCaps w:val="0"/>
                <w:lang w:val="fr-CA"/>
              </w:rPr>
              <w:t xml:space="preserve">R. </w:t>
            </w:r>
            <w:r w:rsidRPr="000A71BB">
              <w:rPr>
                <w:rStyle w:val="SCCAppellantForRunningHeadChar"/>
                <w:i/>
                <w:smallCaps w:val="0"/>
                <w:lang w:val="fr-CA"/>
              </w:rPr>
              <w:t>c.</w:t>
            </w:r>
            <w:r w:rsidRPr="000A71BB">
              <w:rPr>
                <w:rStyle w:val="SCCAppellantForRunningHeadChar"/>
                <w:smallCaps w:val="0"/>
                <w:lang w:val="fr-CA"/>
              </w:rPr>
              <w:t xml:space="preserve"> Normore</w:t>
            </w:r>
            <w:r w:rsidRPr="006A4755">
              <w:rPr>
                <w:rStyle w:val="SCCAppellantForRunningHeadChar"/>
                <w:lang w:val="fr-CA"/>
              </w:rPr>
              <w:t xml:space="preserve">, </w:t>
            </w:r>
            <w:r w:rsidRPr="000A71BB">
              <w:rPr>
                <w:lang w:val="fr-CA"/>
              </w:rPr>
              <w:t>2018 CSC 42, [2018] 3 R.C.S. 5</w:t>
            </w:r>
            <w:bookmarkStart w:id="0" w:name="_GoBack"/>
            <w:bookmarkEnd w:id="0"/>
          </w:p>
        </w:tc>
        <w:tc>
          <w:tcPr>
            <w:tcW w:w="4266" w:type="dxa"/>
          </w:tcPr>
          <w:p w:rsidR="000A71BB" w:rsidRPr="000A71BB" w:rsidRDefault="000A71BB" w:rsidP="008F2B35">
            <w:pPr>
              <w:rPr>
                <w:lang w:val="fr-CA"/>
              </w:rPr>
            </w:pPr>
            <w:r w:rsidRPr="000A71BB">
              <w:rPr>
                <w:b/>
                <w:smallCaps/>
                <w:lang w:val="fr-CA"/>
              </w:rPr>
              <w:t>Appel entendu:</w:t>
            </w:r>
            <w:r w:rsidRPr="000A71BB">
              <w:rPr>
                <w:lang w:val="fr-CA"/>
              </w:rPr>
              <w:t xml:space="preserve"> 17 octobre 2018</w:t>
            </w:r>
          </w:p>
          <w:p w:rsidR="000A71BB" w:rsidRPr="000A71BB" w:rsidRDefault="000A71BB" w:rsidP="008F2B35">
            <w:pPr>
              <w:rPr>
                <w:b/>
                <w:smallCaps/>
                <w:lang w:val="fr-CA"/>
              </w:rPr>
            </w:pPr>
            <w:r w:rsidRPr="000A71BB">
              <w:rPr>
                <w:b/>
                <w:smallCaps/>
                <w:lang w:val="fr-CA"/>
              </w:rPr>
              <w:t>Jugement rendu :</w:t>
            </w:r>
            <w:r w:rsidRPr="000A71BB">
              <w:rPr>
                <w:lang w:val="fr-CA"/>
              </w:rPr>
              <w:t xml:space="preserve"> 17 octobre 2018</w:t>
            </w:r>
          </w:p>
          <w:p w:rsidR="000A71BB" w:rsidRPr="001E12E2" w:rsidRDefault="000A71BB" w:rsidP="008F2B35">
            <w:r w:rsidRPr="001E12E2">
              <w:rPr>
                <w:b/>
                <w:smallCaps/>
              </w:rPr>
              <w:t>Do</w:t>
            </w:r>
            <w:r>
              <w:rPr>
                <w:b/>
                <w:smallCaps/>
              </w:rPr>
              <w:t>ssiers :</w:t>
            </w:r>
            <w:r w:rsidRPr="001E12E2">
              <w:t xml:space="preserve"> </w:t>
            </w:r>
            <w:r>
              <w:t>37993</w:t>
            </w:r>
          </w:p>
        </w:tc>
      </w:tr>
    </w:tbl>
    <w:p w:rsidR="000A71BB" w:rsidRDefault="000A71BB" w:rsidP="000A71BB">
      <w:pPr>
        <w:pStyle w:val="SCCLsocPrefix"/>
      </w:pPr>
    </w:p>
    <w:p w:rsidR="000A71BB" w:rsidRDefault="000A71BB" w:rsidP="000A71BB">
      <w:pPr>
        <w:pStyle w:val="SCCLsocPrefix"/>
      </w:pPr>
    </w:p>
    <w:p w:rsidR="000A71BB" w:rsidRDefault="000A71BB" w:rsidP="000A71BB">
      <w:pPr>
        <w:pStyle w:val="SCCLsocPrefix"/>
      </w:pPr>
      <w:r>
        <w:t>Entre :</w:t>
      </w:r>
    </w:p>
    <w:p w:rsidR="000A71BB" w:rsidRDefault="000A71BB" w:rsidP="000A71BB">
      <w:pPr>
        <w:jc w:val="center"/>
        <w:rPr>
          <w:b/>
        </w:rPr>
      </w:pPr>
      <w:r>
        <w:rPr>
          <w:b/>
        </w:rPr>
        <w:t>Sa Majesté la Reine</w:t>
      </w:r>
    </w:p>
    <w:p w:rsidR="000A71BB" w:rsidRPr="00D85283" w:rsidRDefault="000A71BB" w:rsidP="000A71BB">
      <w:pPr>
        <w:jc w:val="center"/>
      </w:pPr>
      <w:r w:rsidRPr="00D85283">
        <w:t>Appelant</w:t>
      </w:r>
      <w:r>
        <w:t>e</w:t>
      </w:r>
    </w:p>
    <w:p w:rsidR="000A71BB" w:rsidRPr="00D85283" w:rsidRDefault="000A71BB" w:rsidP="000A71BB">
      <w:pPr>
        <w:jc w:val="center"/>
      </w:pPr>
    </w:p>
    <w:p w:rsidR="000A71BB" w:rsidRPr="000A71BB" w:rsidRDefault="000A71BB" w:rsidP="000A71BB">
      <w:pPr>
        <w:pStyle w:val="SCCLsocVersus"/>
        <w:spacing w:after="0"/>
        <w:jc w:val="center"/>
        <w:rPr>
          <w:i w:val="0"/>
        </w:rPr>
      </w:pPr>
      <w:r w:rsidRPr="000A71BB">
        <w:rPr>
          <w:i w:val="0"/>
        </w:rPr>
        <w:t>et</w:t>
      </w:r>
    </w:p>
    <w:p w:rsidR="000A71BB" w:rsidRPr="0033260A" w:rsidRDefault="000A71BB" w:rsidP="000A71BB">
      <w:pPr>
        <w:jc w:val="center"/>
      </w:pPr>
    </w:p>
    <w:p w:rsidR="000A71BB" w:rsidRDefault="000A71BB" w:rsidP="000A71BB">
      <w:pPr>
        <w:pStyle w:val="SCCLsocParty"/>
        <w:jc w:val="center"/>
      </w:pPr>
      <w:r w:rsidRPr="003D0BCF">
        <w:t>Alex Normore</w:t>
      </w:r>
    </w:p>
    <w:p w:rsidR="000A71BB" w:rsidRDefault="000A71BB" w:rsidP="000A71BB">
      <w:pPr>
        <w:jc w:val="center"/>
      </w:pPr>
      <w:r>
        <w:t>Intimé</w:t>
      </w:r>
    </w:p>
    <w:p w:rsidR="000A71BB" w:rsidRDefault="000A71BB" w:rsidP="000A71BB">
      <w:pPr>
        <w:jc w:val="center"/>
      </w:pPr>
    </w:p>
    <w:p w:rsidR="000A71BB" w:rsidRDefault="000A71BB" w:rsidP="000A71BB"/>
    <w:p w:rsidR="000A71BB" w:rsidRDefault="000A71BB" w:rsidP="000A71BB"/>
    <w:p w:rsidR="000A71BB" w:rsidRPr="000A71BB" w:rsidRDefault="000A71BB" w:rsidP="000A71BB">
      <w:pPr>
        <w:jc w:val="center"/>
        <w:rPr>
          <w:b/>
          <w:smallCaps/>
          <w:lang w:val="fr-CA"/>
        </w:rPr>
      </w:pPr>
      <w:r w:rsidRPr="000A71BB">
        <w:rPr>
          <w:b/>
          <w:smallCaps/>
          <w:lang w:val="fr-CA"/>
        </w:rPr>
        <w:t>Traduction française officielle</w:t>
      </w:r>
    </w:p>
    <w:p w:rsidR="000A71BB" w:rsidRPr="000A71BB" w:rsidRDefault="000A71BB" w:rsidP="000A71BB">
      <w:pPr>
        <w:rPr>
          <w:lang w:val="fr-CA"/>
        </w:rPr>
      </w:pPr>
    </w:p>
    <w:p w:rsidR="000A71BB" w:rsidRPr="000A71BB" w:rsidRDefault="000A71BB" w:rsidP="000A71BB">
      <w:pPr>
        <w:rPr>
          <w:lang w:val="fr-CA"/>
        </w:rPr>
      </w:pPr>
      <w:r w:rsidRPr="000A71BB">
        <w:rPr>
          <w:b/>
          <w:smallCaps/>
          <w:lang w:val="fr-CA"/>
        </w:rPr>
        <w:t>Coram :</w:t>
      </w:r>
      <w:r w:rsidRPr="000A71BB">
        <w:rPr>
          <w:lang w:val="fr-CA"/>
        </w:rPr>
        <w:t xml:space="preserve"> Le juge en chef Wagner et les juges Abella, Côté, Rowe et Martin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0A71BB" w:rsidRPr="000A71BB" w:rsidTr="008F2B35">
        <w:trPr>
          <w:cantSplit/>
        </w:trPr>
        <w:tc>
          <w:tcPr>
            <w:tcW w:w="3618" w:type="dxa"/>
          </w:tcPr>
          <w:p w:rsidR="000A71BB" w:rsidRPr="000A71BB" w:rsidRDefault="000A71BB" w:rsidP="008F2B35">
            <w:pPr>
              <w:rPr>
                <w:b/>
                <w:smallCaps/>
                <w:lang w:val="fr-CA"/>
              </w:rPr>
            </w:pPr>
            <w:r w:rsidRPr="000A71BB">
              <w:rPr>
                <w:b/>
                <w:smallCaps/>
                <w:lang w:val="fr-CA"/>
              </w:rPr>
              <w:t>Motifs de jugement :</w:t>
            </w:r>
          </w:p>
          <w:p w:rsidR="000A71BB" w:rsidRPr="000A71BB" w:rsidRDefault="000A71BB" w:rsidP="008F2B35">
            <w:pPr>
              <w:rPr>
                <w:lang w:val="fr-CA"/>
              </w:rPr>
            </w:pPr>
            <w:r w:rsidRPr="000A71BB">
              <w:rPr>
                <w:lang w:val="fr-CA"/>
              </w:rPr>
              <w:t>(par. 1 à 4)</w:t>
            </w:r>
          </w:p>
        </w:tc>
        <w:tc>
          <w:tcPr>
            <w:tcW w:w="5958" w:type="dxa"/>
          </w:tcPr>
          <w:p w:rsidR="000A71BB" w:rsidRPr="000A71BB" w:rsidRDefault="000A71BB" w:rsidP="008F2B35">
            <w:pPr>
              <w:rPr>
                <w:lang w:val="fr-CA"/>
              </w:rPr>
            </w:pPr>
            <w:r w:rsidRPr="000A71BB">
              <w:rPr>
                <w:lang w:val="fr-CA"/>
              </w:rPr>
              <w:t>Le juge en chef Wagner (avec l’accord des juges Abella, Côté, Rowe et Martin)</w:t>
            </w:r>
          </w:p>
        </w:tc>
      </w:tr>
    </w:tbl>
    <w:p w:rsidR="000A71BB" w:rsidRPr="000A71BB" w:rsidRDefault="000A71BB" w:rsidP="000A71BB">
      <w:pPr>
        <w:rPr>
          <w:lang w:val="fr-CA"/>
        </w:rPr>
      </w:pPr>
    </w:p>
    <w:p w:rsidR="000A71BB" w:rsidRPr="000A71BB" w:rsidRDefault="000A71BB" w:rsidP="000A71BB">
      <w:pPr>
        <w:rPr>
          <w:lang w:val="fr-CA"/>
        </w:rPr>
      </w:pPr>
      <w:r>
        <w:rPr>
          <w:noProof/>
          <w:lang w:val="en-US"/>
        </w:rPr>
        <mc:AlternateContent>
          <mc:Choice Requires="wps">
            <w:drawing>
              <wp:anchor distT="0" distB="0" distL="114300" distR="114300" simplePos="0" relativeHeight="251659264" behindDoc="0" locked="0" layoutInCell="1" allowOverlap="1" wp14:anchorId="5A4B64BA" wp14:editId="19642C48">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851914"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0A71BB" w:rsidRDefault="000A71BB" w:rsidP="000A71BB">
      <w:pPr>
        <w:rPr>
          <w:lang w:val="fr-CA"/>
        </w:rPr>
      </w:pPr>
    </w:p>
    <w:p w:rsidR="000A71BB" w:rsidRPr="000A71BB" w:rsidRDefault="000A71BB" w:rsidP="000A71BB">
      <w:pPr>
        <w:rPr>
          <w:lang w:val="fr-CA"/>
        </w:rPr>
      </w:pPr>
    </w:p>
    <w:p w:rsidR="004D7D95" w:rsidRPr="00300643" w:rsidRDefault="00300643" w:rsidP="004D7D95">
      <w:pPr>
        <w:spacing w:line="480" w:lineRule="auto"/>
        <w:jc w:val="both"/>
        <w:rPr>
          <w:smallCaps/>
          <w:lang w:val="en-US"/>
        </w:rPr>
      </w:pPr>
      <w:r w:rsidRPr="00300643">
        <w:rPr>
          <w:rStyle w:val="SCCAppellantForRunningHeadChar"/>
          <w:smallCaps w:val="0"/>
          <w:lang w:val="en-US"/>
        </w:rPr>
        <w:t>R</w:t>
      </w:r>
      <w:r w:rsidR="004D7D95" w:rsidRPr="00300643">
        <w:rPr>
          <w:rStyle w:val="SCCAppellantForRunningHeadChar"/>
          <w:smallCaps w:val="0"/>
          <w:lang w:val="en-US"/>
        </w:rPr>
        <w:t>.</w:t>
      </w:r>
      <w:r w:rsidR="004D7D95" w:rsidRPr="00300643">
        <w:rPr>
          <w:smallCaps/>
          <w:lang w:val="en-US"/>
        </w:rPr>
        <w:t xml:space="preserve"> </w:t>
      </w:r>
      <w:r w:rsidR="004D7D95" w:rsidRPr="00300643">
        <w:rPr>
          <w:i/>
          <w:lang w:val="en-US"/>
        </w:rPr>
        <w:t>c.</w:t>
      </w:r>
      <w:r w:rsidR="004D7D95" w:rsidRPr="00300643">
        <w:rPr>
          <w:smallCaps/>
          <w:lang w:val="en-US"/>
        </w:rPr>
        <w:t xml:space="preserve"> </w:t>
      </w:r>
      <w:r w:rsidRPr="00300643">
        <w:rPr>
          <w:rStyle w:val="SCCRespondentForRunningHeadChar"/>
          <w:smallCaps w:val="0"/>
          <w:lang w:val="en-US"/>
        </w:rPr>
        <w:t>N</w:t>
      </w:r>
      <w:r w:rsidR="004D7D95" w:rsidRPr="00300643">
        <w:rPr>
          <w:rStyle w:val="SCCRespondentForRunningHeadChar"/>
          <w:smallCaps w:val="0"/>
          <w:lang w:val="en-US"/>
        </w:rPr>
        <w:t>ormore</w:t>
      </w:r>
      <w:r w:rsidRPr="00300643">
        <w:rPr>
          <w:rStyle w:val="SCCRespondentForRunningHeadChar"/>
          <w:smallCaps w:val="0"/>
          <w:lang w:val="en-US"/>
        </w:rPr>
        <w:t xml:space="preserve">, </w:t>
      </w:r>
      <w:r w:rsidRPr="00300643">
        <w:rPr>
          <w:lang w:val="en-US"/>
        </w:rPr>
        <w:t>2018 CSC 42, [2018] 3 R.C.S. 5</w:t>
      </w:r>
    </w:p>
    <w:p w:rsidR="004D7D95" w:rsidRPr="00300643" w:rsidRDefault="004D7D95" w:rsidP="004D7D95">
      <w:pPr>
        <w:jc w:val="both"/>
        <w:rPr>
          <w:lang w:val="en-US"/>
        </w:rPr>
      </w:pPr>
    </w:p>
    <w:p w:rsidR="004D7D95" w:rsidRPr="00300643" w:rsidRDefault="004D7D95" w:rsidP="004D7D95">
      <w:pPr>
        <w:jc w:val="both"/>
        <w:rPr>
          <w:lang w:val="en-US"/>
        </w:rPr>
      </w:pPr>
    </w:p>
    <w:p w:rsidR="004D7D95" w:rsidRPr="00300643" w:rsidRDefault="004D7D95" w:rsidP="004D7D95">
      <w:pPr>
        <w:jc w:val="both"/>
        <w:rPr>
          <w:lang w:val="en-US"/>
        </w:rPr>
      </w:pPr>
    </w:p>
    <w:p w:rsidR="00DD28BD" w:rsidRPr="003D0BCF" w:rsidRDefault="004F6FF1">
      <w:pPr>
        <w:pStyle w:val="SCCLsocLastPartyInRole"/>
        <w:rPr>
          <w:lang w:val="fr-CA"/>
        </w:rPr>
      </w:pPr>
      <w:r w:rsidRPr="003D0BCF">
        <w:rPr>
          <w:lang w:val="fr-CA"/>
        </w:rPr>
        <w:t>Sa Majesté la Reine</w:t>
      </w:r>
      <w:r w:rsidR="005A7D45" w:rsidRPr="003D0BCF">
        <w:rPr>
          <w:rStyle w:val="SCCLsocPartyRole"/>
          <w:lang w:val="fr-CA"/>
        </w:rPr>
        <w:tab/>
        <w:t>Appelante</w:t>
      </w:r>
    </w:p>
    <w:p w:rsidR="00DD28BD" w:rsidRPr="003D0BCF" w:rsidRDefault="004F6FF1">
      <w:pPr>
        <w:pStyle w:val="SCCLsocVersus"/>
        <w:rPr>
          <w:lang w:val="fr-CA"/>
        </w:rPr>
      </w:pPr>
      <w:r w:rsidRPr="003D0BCF">
        <w:rPr>
          <w:lang w:val="fr-CA"/>
        </w:rPr>
        <w:t>c.</w:t>
      </w:r>
    </w:p>
    <w:p w:rsidR="00DD28BD" w:rsidRPr="003D0BCF" w:rsidRDefault="004F6FF1">
      <w:pPr>
        <w:pStyle w:val="SCCLsocLastPartyInRole"/>
        <w:rPr>
          <w:lang w:val="fr-CA"/>
        </w:rPr>
      </w:pPr>
      <w:r w:rsidRPr="003D0BCF">
        <w:rPr>
          <w:lang w:val="fr-CA"/>
        </w:rPr>
        <w:t>Alex Normore</w:t>
      </w:r>
      <w:r w:rsidR="005A7D45" w:rsidRPr="003D0BCF">
        <w:rPr>
          <w:rStyle w:val="SCCLsocPartyRole"/>
          <w:lang w:val="fr-CA"/>
        </w:rPr>
        <w:tab/>
        <w:t>Intimé</w:t>
      </w:r>
    </w:p>
    <w:p w:rsidR="004D7D95" w:rsidRPr="003D0BCF" w:rsidRDefault="004D7D95" w:rsidP="004D7D95">
      <w:pPr>
        <w:jc w:val="both"/>
        <w:rPr>
          <w:lang w:val="fr-CA"/>
        </w:rPr>
      </w:pPr>
    </w:p>
    <w:p w:rsidR="004D7D95" w:rsidRPr="003D0BCF" w:rsidRDefault="004D7D95" w:rsidP="004D7D95">
      <w:pPr>
        <w:jc w:val="both"/>
        <w:rPr>
          <w:lang w:val="fr-CA"/>
        </w:rPr>
      </w:pPr>
    </w:p>
    <w:p w:rsidR="004D7D95" w:rsidRPr="003D0BCF" w:rsidRDefault="004D7D95" w:rsidP="004D7D95">
      <w:pPr>
        <w:jc w:val="both"/>
        <w:rPr>
          <w:lang w:val="fr-CA"/>
        </w:rPr>
      </w:pPr>
    </w:p>
    <w:p w:rsidR="004D7D95" w:rsidRPr="003D0BCF" w:rsidRDefault="005A7D45" w:rsidP="004D7D95">
      <w:pPr>
        <w:jc w:val="both"/>
        <w:rPr>
          <w:b/>
          <w:lang w:val="fr-CA"/>
        </w:rPr>
      </w:pPr>
      <w:r w:rsidRPr="003D0BCF">
        <w:rPr>
          <w:b/>
          <w:lang w:val="fr-CA"/>
        </w:rPr>
        <w:t>Répertorié : </w:t>
      </w:r>
      <w:r w:rsidR="004D7D95" w:rsidRPr="003D0BCF">
        <w:rPr>
          <w:rStyle w:val="SCCAppellantForIndexChar"/>
          <w:lang w:val="fr-CA"/>
        </w:rPr>
        <w:t>R.</w:t>
      </w:r>
      <w:r w:rsidR="004D7D95" w:rsidRPr="003D0BCF">
        <w:rPr>
          <w:b/>
          <w:lang w:val="fr-CA"/>
        </w:rPr>
        <w:t xml:space="preserve"> </w:t>
      </w:r>
      <w:r w:rsidR="004D7D95" w:rsidRPr="003D0BCF">
        <w:rPr>
          <w:b/>
          <w:i/>
          <w:lang w:val="fr-CA"/>
        </w:rPr>
        <w:t>c.</w:t>
      </w:r>
      <w:r w:rsidR="004D7D95" w:rsidRPr="003D0BCF">
        <w:rPr>
          <w:b/>
          <w:lang w:val="fr-CA"/>
        </w:rPr>
        <w:t xml:space="preserve"> </w:t>
      </w:r>
      <w:r w:rsidR="004D7D95" w:rsidRPr="003D0BCF">
        <w:rPr>
          <w:rStyle w:val="SCCRespondentForIndexChar"/>
          <w:lang w:val="fr-CA"/>
        </w:rPr>
        <w:t>Normore</w:t>
      </w:r>
    </w:p>
    <w:p w:rsidR="004D7D95" w:rsidRPr="003D0BCF" w:rsidRDefault="004D7D95" w:rsidP="004D7D95">
      <w:pPr>
        <w:jc w:val="both"/>
        <w:rPr>
          <w:lang w:val="fr-CA"/>
        </w:rPr>
      </w:pPr>
    </w:p>
    <w:p w:rsidR="004D7D95" w:rsidRPr="003D0BCF" w:rsidRDefault="004D7D95" w:rsidP="004D7D95">
      <w:pPr>
        <w:jc w:val="both"/>
        <w:rPr>
          <w:lang w:val="fr-CA"/>
        </w:rPr>
      </w:pPr>
    </w:p>
    <w:p w:rsidR="004D7D95" w:rsidRPr="003D0BCF" w:rsidRDefault="004D7D95" w:rsidP="004D7D95">
      <w:pPr>
        <w:jc w:val="both"/>
        <w:rPr>
          <w:lang w:val="fr-CA"/>
        </w:rPr>
      </w:pPr>
    </w:p>
    <w:p w:rsidR="004D7D95" w:rsidRPr="003D0BCF" w:rsidRDefault="00D17B0E" w:rsidP="004D7D95">
      <w:pPr>
        <w:pStyle w:val="SCCSystemYear"/>
        <w:jc w:val="both"/>
        <w:rPr>
          <w:lang w:val="fr-CA"/>
        </w:rPr>
      </w:pPr>
      <w:r w:rsidRPr="003D0BCF">
        <w:rPr>
          <w:lang w:val="fr-CA"/>
        </w:rPr>
        <w:t>2018</w:t>
      </w:r>
      <w:r w:rsidR="005A7D45" w:rsidRPr="003D0BCF">
        <w:rPr>
          <w:lang w:val="fr-CA"/>
        </w:rPr>
        <w:t xml:space="preserve"> CSC 42</w:t>
      </w:r>
    </w:p>
    <w:p w:rsidR="004D7D95" w:rsidRPr="003D0BCF" w:rsidRDefault="004D7D95" w:rsidP="004D7D95">
      <w:pPr>
        <w:jc w:val="both"/>
        <w:rPr>
          <w:lang w:val="fr-CA"/>
        </w:rPr>
      </w:pPr>
    </w:p>
    <w:p w:rsidR="004D7D95" w:rsidRPr="003D0BCF" w:rsidRDefault="004D7D95" w:rsidP="004D7D95">
      <w:pPr>
        <w:jc w:val="both"/>
        <w:rPr>
          <w:lang w:val="fr-CA"/>
        </w:rPr>
      </w:pPr>
    </w:p>
    <w:p w:rsidR="004D7D95" w:rsidRPr="003D0BCF" w:rsidRDefault="004D7D95" w:rsidP="004D7D95">
      <w:pPr>
        <w:jc w:val="both"/>
        <w:rPr>
          <w:lang w:val="fr-CA"/>
        </w:rPr>
      </w:pPr>
    </w:p>
    <w:p w:rsidR="004D7D95" w:rsidRPr="003D0BCF" w:rsidRDefault="004D7D95" w:rsidP="004D7D95">
      <w:pPr>
        <w:jc w:val="both"/>
        <w:rPr>
          <w:lang w:val="fr-CA"/>
        </w:rPr>
      </w:pPr>
      <w:r w:rsidRPr="003D0BCF">
        <w:rPr>
          <w:lang w:val="fr-CA"/>
        </w:rPr>
        <w:t>N</w:t>
      </w:r>
      <w:r w:rsidRPr="003D0BCF">
        <w:rPr>
          <w:vertAlign w:val="superscript"/>
          <w:lang w:val="fr-CA"/>
        </w:rPr>
        <w:t>o</w:t>
      </w:r>
      <w:r w:rsidRPr="003D0BCF">
        <w:rPr>
          <w:lang w:val="fr-CA"/>
        </w:rPr>
        <w:t xml:space="preserve"> du greffe : 37993.</w:t>
      </w:r>
    </w:p>
    <w:p w:rsidR="004D7D95" w:rsidRPr="003D0BCF" w:rsidRDefault="004D7D95" w:rsidP="004D7D95">
      <w:pPr>
        <w:jc w:val="both"/>
        <w:rPr>
          <w:lang w:val="fr-CA"/>
        </w:rPr>
      </w:pPr>
    </w:p>
    <w:p w:rsidR="004D7D95" w:rsidRPr="003D0BCF" w:rsidRDefault="004D7D95" w:rsidP="004D7D95">
      <w:pPr>
        <w:jc w:val="both"/>
        <w:rPr>
          <w:lang w:val="fr-CA"/>
        </w:rPr>
      </w:pPr>
    </w:p>
    <w:p w:rsidR="004D7D95" w:rsidRPr="003D0BCF" w:rsidRDefault="004D7D95" w:rsidP="004D7D95">
      <w:pPr>
        <w:jc w:val="both"/>
        <w:rPr>
          <w:lang w:val="fr-CA"/>
        </w:rPr>
      </w:pPr>
    </w:p>
    <w:p w:rsidR="004D7D95" w:rsidRPr="003D0BCF" w:rsidRDefault="00D17B0E" w:rsidP="004D7D95">
      <w:pPr>
        <w:jc w:val="both"/>
        <w:rPr>
          <w:lang w:val="fr-CA"/>
        </w:rPr>
      </w:pPr>
      <w:r w:rsidRPr="003D0BCF">
        <w:rPr>
          <w:lang w:val="fr-CA"/>
        </w:rPr>
        <w:t>2018 : 17 octobre</w:t>
      </w:r>
      <w:r w:rsidR="005A7D45" w:rsidRPr="003D0BCF">
        <w:rPr>
          <w:lang w:val="fr-CA"/>
        </w:rPr>
        <w:t>.</w:t>
      </w:r>
    </w:p>
    <w:p w:rsidR="004D7D95" w:rsidRPr="003D0BCF" w:rsidRDefault="004D7D95" w:rsidP="004D7D95">
      <w:pPr>
        <w:jc w:val="both"/>
        <w:rPr>
          <w:lang w:val="fr-CA"/>
        </w:rPr>
      </w:pPr>
    </w:p>
    <w:p w:rsidR="004D7D95" w:rsidRPr="003D0BCF" w:rsidRDefault="004D7D95" w:rsidP="004D7D95">
      <w:pPr>
        <w:jc w:val="both"/>
        <w:rPr>
          <w:lang w:val="fr-CA"/>
        </w:rPr>
      </w:pPr>
    </w:p>
    <w:p w:rsidR="004D7D95" w:rsidRPr="003D0BCF" w:rsidRDefault="004D7D95" w:rsidP="004D7D95">
      <w:pPr>
        <w:jc w:val="both"/>
        <w:rPr>
          <w:lang w:val="fr-CA"/>
        </w:rPr>
      </w:pPr>
    </w:p>
    <w:p w:rsidR="004D7D95" w:rsidRPr="003D0BCF" w:rsidRDefault="004D7D95" w:rsidP="004D7D95">
      <w:pPr>
        <w:jc w:val="both"/>
        <w:rPr>
          <w:lang w:val="fr-CA"/>
        </w:rPr>
      </w:pPr>
      <w:r w:rsidRPr="003D0BCF">
        <w:rPr>
          <w:lang w:val="fr-CA"/>
        </w:rPr>
        <w:t>Présents : Le juge en chef Wagner et les juges Abella, Côté, Rowe et Martin.</w:t>
      </w:r>
    </w:p>
    <w:p w:rsidR="00BF6FE9" w:rsidRPr="003D0BCF" w:rsidRDefault="00BF6FE9" w:rsidP="000F7993">
      <w:pPr>
        <w:jc w:val="both"/>
        <w:rPr>
          <w:lang w:val="fr-CA"/>
        </w:rPr>
      </w:pPr>
    </w:p>
    <w:p w:rsidR="00BF6FE9" w:rsidRPr="003D0BCF" w:rsidRDefault="00BF6FE9" w:rsidP="000F7993">
      <w:pPr>
        <w:jc w:val="both"/>
        <w:rPr>
          <w:lang w:val="fr-CA"/>
        </w:rPr>
      </w:pPr>
    </w:p>
    <w:p w:rsidR="00DD28BD" w:rsidRPr="003D0BCF" w:rsidRDefault="00DD28BD">
      <w:pPr>
        <w:rPr>
          <w:lang w:val="fr-CA"/>
        </w:rPr>
      </w:pPr>
    </w:p>
    <w:p w:rsidR="004D7D95" w:rsidRPr="003D0BCF" w:rsidRDefault="007266AC" w:rsidP="000F7993">
      <w:pPr>
        <w:jc w:val="both"/>
        <w:rPr>
          <w:lang w:val="fr-CA"/>
        </w:rPr>
      </w:pPr>
      <w:r w:rsidRPr="003D0BCF">
        <w:rPr>
          <w:smallCaps/>
          <w:lang w:val="fr-CA"/>
        </w:rPr>
        <w:t>en appel de la cour d’appel de terre-neuve-et-labrador</w:t>
      </w:r>
    </w:p>
    <w:p w:rsidR="004D7D95" w:rsidRDefault="004D7D95" w:rsidP="004D7D95">
      <w:pPr>
        <w:pStyle w:val="SCCNormalDoubleSpacing"/>
        <w:rPr>
          <w:lang w:val="fr-CA"/>
        </w:rPr>
      </w:pPr>
    </w:p>
    <w:p w:rsidR="00DB1274" w:rsidRPr="003D0BCF" w:rsidRDefault="00DB1274" w:rsidP="004D7D95">
      <w:pPr>
        <w:pStyle w:val="SCCNormalDoubleSpacing"/>
        <w:rPr>
          <w:lang w:val="fr-CA"/>
        </w:rPr>
      </w:pPr>
    </w:p>
    <w:p w:rsidR="003D0BCF" w:rsidRPr="003D0BCF" w:rsidRDefault="003D0BCF" w:rsidP="003D0BCF">
      <w:pPr>
        <w:pStyle w:val="SCCNormalDoubleSpacing"/>
        <w:rPr>
          <w:i/>
          <w:lang w:val="fr-CA"/>
        </w:rPr>
      </w:pPr>
      <w:r w:rsidRPr="003D0BCF">
        <w:rPr>
          <w:lang w:val="fr-CA"/>
        </w:rPr>
        <w:tab/>
      </w:r>
      <w:r w:rsidRPr="003D0BCF">
        <w:rPr>
          <w:i/>
          <w:lang w:val="fr-CA"/>
        </w:rPr>
        <w:t xml:space="preserve">Droit criminel — Procès — Outrage au tribunal — </w:t>
      </w:r>
      <w:r>
        <w:rPr>
          <w:i/>
          <w:lang w:val="fr-CA"/>
        </w:rPr>
        <w:t>Refus par un témoin de répondre à une question de l’avocate de la défense</w:t>
      </w:r>
      <w:r w:rsidRPr="003D0BCF">
        <w:rPr>
          <w:i/>
          <w:lang w:val="fr-CA"/>
        </w:rPr>
        <w:t xml:space="preserve"> —</w:t>
      </w:r>
      <w:r>
        <w:rPr>
          <w:i/>
          <w:lang w:val="fr-CA"/>
        </w:rPr>
        <w:t xml:space="preserve"> Juge du procès ne prenant pas</w:t>
      </w:r>
      <w:r w:rsidR="00C3306B">
        <w:rPr>
          <w:i/>
          <w:lang w:val="fr-CA"/>
        </w:rPr>
        <w:t xml:space="preserve"> </w:t>
      </w:r>
      <w:r w:rsidR="00C3306B" w:rsidRPr="005B5646">
        <w:rPr>
          <w:i/>
          <w:lang w:val="fr-CA"/>
        </w:rPr>
        <w:t>d’autres</w:t>
      </w:r>
      <w:r>
        <w:rPr>
          <w:i/>
          <w:lang w:val="fr-CA"/>
        </w:rPr>
        <w:t xml:space="preserve"> mesures pour obtenir des éléments de preuve et n</w:t>
      </w:r>
      <w:r w:rsidR="006D7AAD">
        <w:rPr>
          <w:i/>
          <w:lang w:val="fr-CA"/>
        </w:rPr>
        <w:t>e citant</w:t>
      </w:r>
      <w:r>
        <w:rPr>
          <w:i/>
          <w:lang w:val="fr-CA"/>
        </w:rPr>
        <w:t xml:space="preserve"> pas le témoin pour outrage</w:t>
      </w:r>
      <w:r w:rsidR="006D7AAD">
        <w:rPr>
          <w:i/>
          <w:lang w:val="fr-CA"/>
        </w:rPr>
        <w:t xml:space="preserve"> au tribunal</w:t>
      </w:r>
      <w:r>
        <w:rPr>
          <w:i/>
          <w:lang w:val="fr-CA"/>
        </w:rPr>
        <w:t xml:space="preserve"> </w:t>
      </w:r>
      <w:r w:rsidRPr="003D0BCF">
        <w:rPr>
          <w:i/>
          <w:lang w:val="fr-CA"/>
        </w:rPr>
        <w:t>—</w:t>
      </w:r>
      <w:r w:rsidR="006D7AAD">
        <w:rPr>
          <w:i/>
          <w:lang w:val="fr-CA"/>
        </w:rPr>
        <w:t xml:space="preserve"> </w:t>
      </w:r>
      <w:r w:rsidRPr="003D0BCF">
        <w:rPr>
          <w:i/>
          <w:lang w:val="fr-CA"/>
        </w:rPr>
        <w:t>C</w:t>
      </w:r>
      <w:r>
        <w:rPr>
          <w:i/>
          <w:lang w:val="fr-CA"/>
        </w:rPr>
        <w:t>our d’appel</w:t>
      </w:r>
      <w:r w:rsidR="006D7AAD">
        <w:rPr>
          <w:i/>
          <w:lang w:val="fr-CA"/>
        </w:rPr>
        <w:t xml:space="preserve"> concluant que</w:t>
      </w:r>
      <w:r w:rsidR="00BF1D77">
        <w:rPr>
          <w:i/>
          <w:lang w:val="fr-CA"/>
        </w:rPr>
        <w:t xml:space="preserve"> le juge </w:t>
      </w:r>
      <w:r>
        <w:rPr>
          <w:i/>
          <w:lang w:val="fr-CA"/>
        </w:rPr>
        <w:t>a commis une erreur en ne prenant pas d’autres mesures</w:t>
      </w:r>
      <w:r w:rsidR="00BF1D77">
        <w:rPr>
          <w:i/>
          <w:lang w:val="fr-CA"/>
        </w:rPr>
        <w:t xml:space="preserve"> pour traiter le refus de répondre</w:t>
      </w:r>
      <w:r w:rsidR="00C3306B">
        <w:rPr>
          <w:i/>
          <w:lang w:val="fr-CA"/>
        </w:rPr>
        <w:t>,</w:t>
      </w:r>
      <w:r w:rsidR="00BF1D77">
        <w:rPr>
          <w:i/>
          <w:lang w:val="fr-CA"/>
        </w:rPr>
        <w:t xml:space="preserve"> et ordonnant un nouveau procès</w:t>
      </w:r>
      <w:r w:rsidRPr="003D0BCF">
        <w:rPr>
          <w:i/>
          <w:lang w:val="fr-CA"/>
        </w:rPr>
        <w:t xml:space="preserve"> —</w:t>
      </w:r>
      <w:r>
        <w:rPr>
          <w:i/>
          <w:lang w:val="fr-CA"/>
        </w:rPr>
        <w:t xml:space="preserve"> Déclarations de culpabilité rétablies</w:t>
      </w:r>
      <w:r w:rsidRPr="003D0BCF">
        <w:rPr>
          <w:i/>
          <w:lang w:val="fr-CA"/>
        </w:rPr>
        <w:t>.</w:t>
      </w:r>
    </w:p>
    <w:p w:rsidR="004D7D95" w:rsidRPr="003D0BCF" w:rsidRDefault="004D7D95" w:rsidP="004D7D95">
      <w:pPr>
        <w:pStyle w:val="SCCNormalDoubleSpacing"/>
        <w:rPr>
          <w:lang w:val="fr-CA"/>
        </w:rPr>
      </w:pPr>
    </w:p>
    <w:p w:rsidR="004D7D95" w:rsidRPr="003D0BCF" w:rsidRDefault="004D7D95" w:rsidP="00DB1274">
      <w:pPr>
        <w:pStyle w:val="SCCNormalDoubleSpacing"/>
        <w:spacing w:after="480"/>
        <w:rPr>
          <w:b/>
          <w:lang w:val="fr-CA"/>
        </w:rPr>
      </w:pPr>
      <w:r w:rsidRPr="003D0BCF">
        <w:rPr>
          <w:b/>
          <w:lang w:val="fr-CA"/>
        </w:rPr>
        <w:t>Lois et règlements cités</w:t>
      </w:r>
    </w:p>
    <w:p w:rsidR="004D7D95" w:rsidRPr="003D0BCF" w:rsidRDefault="00253D69" w:rsidP="00253D69">
      <w:pPr>
        <w:pStyle w:val="SCCNormalDoubleSpacing"/>
        <w:rPr>
          <w:lang w:val="fr-CA"/>
        </w:rPr>
      </w:pPr>
      <w:r w:rsidRPr="003D0BCF">
        <w:rPr>
          <w:i/>
          <w:lang w:val="fr-CA"/>
        </w:rPr>
        <w:t>Code criminel</w:t>
      </w:r>
      <w:r w:rsidRPr="003D0BCF">
        <w:rPr>
          <w:lang w:val="fr-CA"/>
        </w:rPr>
        <w:t>, L.</w:t>
      </w:r>
      <w:r w:rsidR="002C26FA">
        <w:rPr>
          <w:lang w:val="fr-CA"/>
        </w:rPr>
        <w:t>R.C. 1985, c. C-46, art. 686(1)</w:t>
      </w:r>
      <w:r w:rsidRPr="003D0BCF">
        <w:rPr>
          <w:lang w:val="fr-CA"/>
        </w:rPr>
        <w:t>b)(iii).</w:t>
      </w:r>
    </w:p>
    <w:p w:rsidR="004D7D95" w:rsidRPr="003D0BCF" w:rsidRDefault="004D7D95" w:rsidP="00DB1274">
      <w:pPr>
        <w:pStyle w:val="SCCNormalDoubleSpacing"/>
        <w:spacing w:after="480"/>
        <w:ind w:left="547" w:hanging="547"/>
        <w:rPr>
          <w:lang w:val="fr-CA"/>
        </w:rPr>
      </w:pPr>
    </w:p>
    <w:p w:rsidR="004D7D95" w:rsidRPr="003D0BCF" w:rsidRDefault="004D7D95" w:rsidP="004D7D95">
      <w:pPr>
        <w:pStyle w:val="SCCNormalDoubleSpacing"/>
        <w:rPr>
          <w:lang w:val="fr-CA"/>
        </w:rPr>
      </w:pPr>
      <w:r w:rsidRPr="003D0BCF">
        <w:rPr>
          <w:lang w:val="fr-CA"/>
        </w:rPr>
        <w:lastRenderedPageBreak/>
        <w:tab/>
        <w:t xml:space="preserve">POURVOI contre un arrêt de la </w:t>
      </w:r>
      <w:r w:rsidR="005F53DD" w:rsidRPr="003D0BCF">
        <w:rPr>
          <w:lang w:val="fr-CA"/>
        </w:rPr>
        <w:t>Cour d’appel de Terre-Neuve-et-Labrador</w:t>
      </w:r>
      <w:r w:rsidR="002F4B7D" w:rsidRPr="003D0BCF">
        <w:rPr>
          <w:lang w:val="fr-CA"/>
        </w:rPr>
        <w:t xml:space="preserve"> (l</w:t>
      </w:r>
      <w:r w:rsidR="005F53DD" w:rsidRPr="003D0BCF">
        <w:rPr>
          <w:lang w:val="fr-CA"/>
        </w:rPr>
        <w:t>es juges White, Harring</w:t>
      </w:r>
      <w:r w:rsidR="00253D69" w:rsidRPr="003D0BCF">
        <w:rPr>
          <w:lang w:val="fr-CA"/>
        </w:rPr>
        <w:t>ton et Hoegg), 2018 NCLA 10, 44</w:t>
      </w:r>
      <w:r w:rsidR="005F53DD" w:rsidRPr="003D0BCF">
        <w:rPr>
          <w:lang w:val="fr-CA"/>
        </w:rPr>
        <w:t xml:space="preserve"> C.R. (7th) 269, [2018] N.J. No. 43 (QL), 2018 CarswellNfld 45 (WL Can.),</w:t>
      </w:r>
      <w:r w:rsidR="002F4B7D" w:rsidRPr="003D0BCF">
        <w:rPr>
          <w:lang w:val="fr-CA"/>
        </w:rPr>
        <w:t xml:space="preserve"> qui a annulé les déclarations de culpabilité prononcées par</w:t>
      </w:r>
      <w:r w:rsidR="005F53DD" w:rsidRPr="003D0BCF">
        <w:rPr>
          <w:lang w:val="fr-CA"/>
        </w:rPr>
        <w:t xml:space="preserve"> </w:t>
      </w:r>
      <w:r w:rsidR="002F4B7D" w:rsidRPr="003D0BCF">
        <w:rPr>
          <w:lang w:val="fr-CA"/>
        </w:rPr>
        <w:t>le</w:t>
      </w:r>
      <w:r w:rsidR="005F53DD" w:rsidRPr="003D0BCF">
        <w:rPr>
          <w:lang w:val="fr-CA"/>
        </w:rPr>
        <w:t xml:space="preserve"> juge Hurley, 2016 NL</w:t>
      </w:r>
      <w:r w:rsidR="00987006" w:rsidRPr="003D0BCF">
        <w:rPr>
          <w:lang w:val="fr-CA"/>
        </w:rPr>
        <w:t>T</w:t>
      </w:r>
      <w:r w:rsidR="005F53DD" w:rsidRPr="003D0BCF">
        <w:rPr>
          <w:lang w:val="fr-CA"/>
        </w:rPr>
        <w:t>D(G) 43, 380 Nfld. &amp; P.E.I.R. 248,</w:t>
      </w:r>
      <w:r w:rsidR="00DB1274">
        <w:rPr>
          <w:lang w:val="fr-CA"/>
        </w:rPr>
        <w:t xml:space="preserve"> 1177 A.P.R. 248, </w:t>
      </w:r>
      <w:r w:rsidR="005F53DD" w:rsidRPr="003D0BCF">
        <w:rPr>
          <w:lang w:val="fr-CA"/>
        </w:rPr>
        <w:t>[2016] N.J. No. 87 (QL), 2016 CarswellNfld 87 (WL Can.)</w:t>
      </w:r>
      <w:r w:rsidR="002F4B7D" w:rsidRPr="003D0BCF">
        <w:rPr>
          <w:lang w:val="fr-CA"/>
        </w:rPr>
        <w:t>, et qui a ordonné</w:t>
      </w:r>
      <w:r w:rsidR="00B41DB8" w:rsidRPr="003D0BCF">
        <w:rPr>
          <w:lang w:val="fr-CA"/>
        </w:rPr>
        <w:t xml:space="preserve"> </w:t>
      </w:r>
      <w:r w:rsidR="002F4B7D" w:rsidRPr="003D0BCF">
        <w:rPr>
          <w:lang w:val="fr-CA"/>
        </w:rPr>
        <w:t>un nouveau procès</w:t>
      </w:r>
      <w:r w:rsidR="005F53DD" w:rsidRPr="003D0BCF">
        <w:rPr>
          <w:lang w:val="fr-CA"/>
        </w:rPr>
        <w:t xml:space="preserve">. </w:t>
      </w:r>
      <w:r w:rsidR="005A7D45" w:rsidRPr="003D0BCF">
        <w:rPr>
          <w:lang w:val="fr-CA"/>
        </w:rPr>
        <w:t>Pourvoi accueilli.</w:t>
      </w:r>
    </w:p>
    <w:p w:rsidR="004D7D95" w:rsidRPr="003D0BCF" w:rsidRDefault="004D7D95" w:rsidP="004D7D95">
      <w:pPr>
        <w:pStyle w:val="SCCNormalDoubleSpacing"/>
        <w:rPr>
          <w:lang w:val="fr-CA"/>
        </w:rPr>
      </w:pPr>
    </w:p>
    <w:p w:rsidR="00DD28BD" w:rsidRPr="003D0BCF" w:rsidRDefault="004F6FF1">
      <w:pPr>
        <w:pStyle w:val="SCCNormalDoubleSpacing"/>
        <w:rPr>
          <w:lang w:val="fr-CA"/>
        </w:rPr>
      </w:pPr>
      <w:r w:rsidRPr="003D0BCF">
        <w:rPr>
          <w:rStyle w:val="SCCCounselNameChar"/>
          <w:lang w:val="fr-CA"/>
        </w:rPr>
        <w:tab/>
        <w:t>Sheldon Steeves</w:t>
      </w:r>
      <w:r w:rsidRPr="003D0BCF">
        <w:rPr>
          <w:rStyle w:val="SCCCounselPartyRoleChar"/>
          <w:lang w:val="fr-CA"/>
        </w:rPr>
        <w:t>, pour l</w:t>
      </w:r>
      <w:r w:rsidR="005A7D45" w:rsidRPr="003D0BCF">
        <w:rPr>
          <w:rStyle w:val="SCCCounselPartyRoleChar"/>
          <w:lang w:val="fr-CA"/>
        </w:rPr>
        <w:t>’appelante</w:t>
      </w:r>
      <w:r w:rsidRPr="003D0BCF">
        <w:rPr>
          <w:rStyle w:val="SCCCounselPartyRoleChar"/>
          <w:lang w:val="fr-CA"/>
        </w:rPr>
        <w:t>.</w:t>
      </w:r>
    </w:p>
    <w:p w:rsidR="00DD28BD" w:rsidRPr="003D0BCF" w:rsidRDefault="00DD28BD">
      <w:pPr>
        <w:pStyle w:val="SCCNormalDoubleSpacing"/>
        <w:rPr>
          <w:lang w:val="fr-CA"/>
        </w:rPr>
      </w:pPr>
    </w:p>
    <w:p w:rsidR="00DD28BD" w:rsidRPr="003D0BCF" w:rsidRDefault="004F6FF1" w:rsidP="005A7D45">
      <w:pPr>
        <w:pStyle w:val="SCCNormalDoubleSpacing"/>
        <w:rPr>
          <w:lang w:val="fr-CA"/>
        </w:rPr>
      </w:pPr>
      <w:r w:rsidRPr="003D0BCF">
        <w:rPr>
          <w:rStyle w:val="SCCCounselNameChar"/>
          <w:lang w:val="fr-CA"/>
        </w:rPr>
        <w:tab/>
        <w:t>Derek Hogan</w:t>
      </w:r>
      <w:r w:rsidRPr="003D0BCF">
        <w:rPr>
          <w:rStyle w:val="SCCCounselPartyRoleChar"/>
          <w:lang w:val="fr-CA"/>
        </w:rPr>
        <w:t>, pour l</w:t>
      </w:r>
      <w:r w:rsidR="005A7D45" w:rsidRPr="003D0BCF">
        <w:rPr>
          <w:rStyle w:val="SCCCounselPartyRoleChar"/>
          <w:lang w:val="fr-CA"/>
        </w:rPr>
        <w:t>’intimé</w:t>
      </w:r>
      <w:r w:rsidRPr="003D0BCF">
        <w:rPr>
          <w:rStyle w:val="SCCCounselPartyRoleChar"/>
          <w:lang w:val="fr-CA"/>
        </w:rPr>
        <w:t>.</w:t>
      </w:r>
    </w:p>
    <w:p w:rsidR="00253D69" w:rsidRPr="003D0BCF" w:rsidRDefault="00253D69" w:rsidP="00253D69">
      <w:pPr>
        <w:pStyle w:val="SCCNormalDoubleSpacing"/>
        <w:rPr>
          <w:rStyle w:val="SCCCounselPartyRoleChar"/>
          <w:lang w:val="fr-CA"/>
        </w:rPr>
      </w:pPr>
    </w:p>
    <w:p w:rsidR="00253D69" w:rsidRPr="003D0BCF" w:rsidRDefault="00253D69" w:rsidP="00253D69">
      <w:pPr>
        <w:pStyle w:val="SCCNormalDoubleSpacing"/>
        <w:rPr>
          <w:rStyle w:val="SCCCounselPartyRoleChar"/>
          <w:lang w:val="fr-CA"/>
        </w:rPr>
      </w:pPr>
      <w:r w:rsidRPr="003D0BCF">
        <w:rPr>
          <w:rStyle w:val="SCCCounselPartyRoleChar"/>
          <w:lang w:val="fr-CA"/>
        </w:rPr>
        <w:tab/>
      </w:r>
      <w:r w:rsidRPr="003D0BCF">
        <w:rPr>
          <w:lang w:val="fr-CA"/>
        </w:rPr>
        <w:t>Version française du jugement de la Cour rendu oralement par</w:t>
      </w:r>
    </w:p>
    <w:p w:rsidR="00253D69" w:rsidRPr="003D0BCF" w:rsidRDefault="00253D69" w:rsidP="00253D69">
      <w:pPr>
        <w:pStyle w:val="SCCNormalDoubleSpacing"/>
        <w:rPr>
          <w:lang w:val="fr-CA"/>
        </w:rPr>
      </w:pPr>
    </w:p>
    <w:p w:rsidR="00253D69" w:rsidRPr="003D0BCF" w:rsidRDefault="00253D69" w:rsidP="00253D69">
      <w:pPr>
        <w:pStyle w:val="SCCNormalDoubleSpacing"/>
        <w:rPr>
          <w:lang w:val="fr-CA"/>
        </w:rPr>
      </w:pPr>
      <w:r w:rsidRPr="003D0BCF">
        <w:rPr>
          <w:smallCaps/>
          <w:lang w:val="fr-CA"/>
        </w:rPr>
        <w:t>[</w:t>
      </w:r>
      <w:r w:rsidRPr="003D0BCF">
        <w:rPr>
          <w:iCs/>
          <w:smallCaps/>
          <w:lang w:val="fr-CA"/>
        </w:rPr>
        <w:t>1</w:t>
      </w:r>
      <w:r w:rsidRPr="003D0BCF">
        <w:rPr>
          <w:smallCaps/>
          <w:lang w:val="fr-CA"/>
        </w:rPr>
        <w:t xml:space="preserve">] </w:t>
      </w:r>
      <w:r w:rsidRPr="003D0BCF">
        <w:rPr>
          <w:smallCaps/>
          <w:lang w:val="fr-CA"/>
        </w:rPr>
        <w:tab/>
        <w:t>Le juge en chef</w:t>
      </w:r>
      <w:r w:rsidRPr="003D0BCF">
        <w:rPr>
          <w:lang w:val="fr-CA"/>
        </w:rPr>
        <w:t xml:space="preserve"> — Au procès, M. Normore a été déclaré coupable des infractions de tentative de meurtre, de menaces de mort et d’introduction par effraction et tentative de meurtre. L’appel formé par ce dernier contre ces déclarations de culpabilité a été accueilli par la Cour d’appel à la majorité, la juge Hoegg étant dissidente. Le ministère public interjette appel de plein droit devant notre Cour. Nous sommes d’avis d’accueillir l’appel.</w:t>
      </w:r>
    </w:p>
    <w:p w:rsidR="00253D69" w:rsidRPr="003D0BCF" w:rsidRDefault="00253D69" w:rsidP="00253D69">
      <w:pPr>
        <w:pStyle w:val="SCCNormalDoubleSpacing"/>
        <w:rPr>
          <w:lang w:val="fr-CA"/>
        </w:rPr>
      </w:pPr>
    </w:p>
    <w:p w:rsidR="00253D69" w:rsidRPr="003D0BCF" w:rsidRDefault="00253D69" w:rsidP="00253D69">
      <w:pPr>
        <w:pStyle w:val="SCCNormalDoubleSpacing"/>
        <w:rPr>
          <w:lang w:val="fr-CA"/>
        </w:rPr>
      </w:pPr>
      <w:r w:rsidRPr="003D0BCF">
        <w:rPr>
          <w:lang w:val="fr-CA"/>
        </w:rPr>
        <w:t>[</w:t>
      </w:r>
      <w:r w:rsidRPr="003D0BCF">
        <w:rPr>
          <w:iCs/>
          <w:lang w:val="fr-CA"/>
        </w:rPr>
        <w:t>2</w:t>
      </w:r>
      <w:r w:rsidRPr="003D0BCF">
        <w:rPr>
          <w:lang w:val="fr-CA"/>
        </w:rPr>
        <w:t>]</w:t>
      </w:r>
      <w:r w:rsidRPr="003D0BCF">
        <w:rPr>
          <w:lang w:val="fr-CA"/>
        </w:rPr>
        <w:tab/>
        <w:t xml:space="preserve"> Nous estimons que le juge du procès n’a pas commis d’erreur dans la manière dont il a traité le refus d’un témoin de répondre à une question que lui a posée l’avocate de la défense. Il était loisible au juge de prendre d’autres mesures pour essayer d’obtenir une réponse de la part du témoin. Cependant, eu égard à toutes les circonstances de l’espèce, y compris l’incidence marginale de la série de questions </w:t>
      </w:r>
      <w:r w:rsidRPr="003D0BCF">
        <w:rPr>
          <w:lang w:val="fr-CA"/>
        </w:rPr>
        <w:lastRenderedPageBreak/>
        <w:t>posées par l’avocate de la défense relativement aux points en litige, le juge du procès a bien exercé son pouvoir discrétionnaire en décidant plutôt de continuer l’instance principale et de remettre à plus tard l’examen de la question relative à la possibilité d’engager une procédure pour outrage contre le témoin.</w:t>
      </w:r>
    </w:p>
    <w:p w:rsidR="00253D69" w:rsidRPr="003D0BCF" w:rsidRDefault="00253D69" w:rsidP="00253D69">
      <w:pPr>
        <w:pStyle w:val="SCCNormalDoubleSpacing"/>
        <w:rPr>
          <w:b/>
          <w:lang w:val="fr-CA"/>
        </w:rPr>
      </w:pPr>
    </w:p>
    <w:p w:rsidR="00253D69" w:rsidRPr="003D0BCF" w:rsidRDefault="00253D69" w:rsidP="00253D69">
      <w:pPr>
        <w:pStyle w:val="SCCNormalDoubleSpacing"/>
        <w:rPr>
          <w:lang w:val="fr-CA"/>
        </w:rPr>
      </w:pPr>
      <w:r w:rsidRPr="003D0BCF">
        <w:rPr>
          <w:smallCaps/>
          <w:lang w:val="fr-CA"/>
        </w:rPr>
        <w:t>[</w:t>
      </w:r>
      <w:r w:rsidRPr="003D0BCF">
        <w:rPr>
          <w:iCs/>
          <w:smallCaps/>
          <w:lang w:val="fr-CA"/>
        </w:rPr>
        <w:t>3</w:t>
      </w:r>
      <w:r w:rsidRPr="003D0BCF">
        <w:rPr>
          <w:smallCaps/>
          <w:lang w:val="fr-CA"/>
        </w:rPr>
        <w:t>]</w:t>
      </w:r>
      <w:r w:rsidRPr="003D0BCF">
        <w:rPr>
          <w:smallCaps/>
          <w:lang w:val="fr-CA"/>
        </w:rPr>
        <w:tab/>
        <w:t xml:space="preserve"> </w:t>
      </w:r>
      <w:r w:rsidRPr="003D0BCF">
        <w:rPr>
          <w:lang w:val="fr-CA"/>
        </w:rPr>
        <w:t>Même en supposant que le juge de première instance a commis une erreur dans la manière dont il a traité le refus d’un témoin de répondre à une question posée par l’avocate de la défense, une telle erreur n’a pas entraîné un tort important ou une erreur judiciaire grave, et les déclarations de culpabilité devraient donc être maintenues  en vertu du sous</w:t>
      </w:r>
      <w:r w:rsidRPr="003D0BCF">
        <w:rPr>
          <w:lang w:val="fr-CA"/>
        </w:rPr>
        <w:noBreakHyphen/>
        <w:t xml:space="preserve">al. 686(1)b)(iii) du </w:t>
      </w:r>
      <w:r w:rsidRPr="003D0BCF">
        <w:rPr>
          <w:i/>
          <w:lang w:val="fr-CA"/>
        </w:rPr>
        <w:t>Code criminel</w:t>
      </w:r>
      <w:r w:rsidRPr="003D0BCF">
        <w:rPr>
          <w:lang w:val="fr-CA"/>
        </w:rPr>
        <w:t>, L.R.C. 1985, c. C-46. La question à laquelle le témoin a refusé de répondre lui a été posée par l’avocate de la défense en vue de soulever des doutes au sujet de l’identité de l’auteur de deux notes trouvées dans la résidence de M.  Normore. Le juge du procès s’est fondé sur ces notes, ainsi que sur d’autres éléments de preuve, pour conclure que M. Normore avait commis les infractions en question. Cependant, compte tenu de toutes les circonstances de l’espèce, y compris le fait que M. Normore a par la suite reconnu être l’auteur de la déclaration la plus incriminante figurant dans ces notes, nous sommes d’avis que l’omission du juge de prendre d’autres mesures pour obliger le témoin à répondre à la question lui ayant été posée n’aurait pas pu avoir d’incidence sur le verdict.</w:t>
      </w:r>
    </w:p>
    <w:p w:rsidR="00253D69" w:rsidRPr="003D0BCF" w:rsidRDefault="00253D69" w:rsidP="00253D69">
      <w:pPr>
        <w:pStyle w:val="SCCNormalDoubleSpacing"/>
        <w:rPr>
          <w:b/>
          <w:lang w:val="fr-CA"/>
        </w:rPr>
      </w:pPr>
    </w:p>
    <w:p w:rsidR="00253D69" w:rsidRPr="003D0BCF" w:rsidRDefault="00253D69" w:rsidP="00253D69">
      <w:pPr>
        <w:pStyle w:val="SCCNormalDoubleSpacing"/>
        <w:rPr>
          <w:lang w:val="fr-CA"/>
        </w:rPr>
      </w:pPr>
      <w:r w:rsidRPr="003D0BCF">
        <w:rPr>
          <w:smallCaps/>
          <w:lang w:val="fr-CA"/>
        </w:rPr>
        <w:t>[</w:t>
      </w:r>
      <w:r w:rsidRPr="003D0BCF">
        <w:rPr>
          <w:iCs/>
          <w:smallCaps/>
          <w:lang w:val="fr-CA"/>
        </w:rPr>
        <w:t>4</w:t>
      </w:r>
      <w:r w:rsidRPr="003D0BCF">
        <w:rPr>
          <w:smallCaps/>
          <w:lang w:val="fr-CA"/>
        </w:rPr>
        <w:t>]</w:t>
      </w:r>
      <w:r w:rsidRPr="003D0BCF">
        <w:rPr>
          <w:smallCaps/>
          <w:lang w:val="fr-CA"/>
        </w:rPr>
        <w:tab/>
        <w:t xml:space="preserve"> </w:t>
      </w:r>
      <w:r w:rsidRPr="003D0BCF">
        <w:rPr>
          <w:lang w:val="fr-CA"/>
        </w:rPr>
        <w:t xml:space="preserve"> En conséquence, l’appel est accueilli et les déclarations de culpabilité sont rétablies.</w:t>
      </w:r>
    </w:p>
    <w:p w:rsidR="004D7D95" w:rsidRPr="003D0BCF" w:rsidRDefault="004D7D95" w:rsidP="004D7D95">
      <w:pPr>
        <w:pStyle w:val="SCCNormalDoubleSpacing"/>
        <w:rPr>
          <w:lang w:val="fr-CA"/>
        </w:rPr>
      </w:pPr>
    </w:p>
    <w:p w:rsidR="00253D69" w:rsidRPr="003D0BCF" w:rsidRDefault="004F6FF1">
      <w:pPr>
        <w:pStyle w:val="SCCLawFirm"/>
        <w:rPr>
          <w:lang w:val="fr-CA"/>
        </w:rPr>
      </w:pPr>
      <w:r w:rsidRPr="003D0BCF">
        <w:rPr>
          <w:lang w:val="fr-CA"/>
        </w:rPr>
        <w:tab/>
      </w:r>
      <w:r w:rsidR="00253D69" w:rsidRPr="003D0BCF">
        <w:rPr>
          <w:lang w:val="fr-CA"/>
        </w:rPr>
        <w:t>Jugement en conséquence.</w:t>
      </w:r>
    </w:p>
    <w:p w:rsidR="00253D69" w:rsidRPr="003D0BCF" w:rsidRDefault="00253D69" w:rsidP="00253D69">
      <w:pPr>
        <w:pStyle w:val="SCCNormalDoubleSpacing"/>
        <w:rPr>
          <w:lang w:val="fr-CA"/>
        </w:rPr>
      </w:pPr>
    </w:p>
    <w:p w:rsidR="00DD28BD" w:rsidRPr="003D0BCF" w:rsidRDefault="00253D69">
      <w:pPr>
        <w:pStyle w:val="SCCLawFirm"/>
        <w:rPr>
          <w:lang w:val="fr-CA"/>
        </w:rPr>
      </w:pPr>
      <w:r w:rsidRPr="003D0BCF">
        <w:rPr>
          <w:lang w:val="fr-CA"/>
        </w:rPr>
        <w:lastRenderedPageBreak/>
        <w:tab/>
      </w:r>
      <w:r w:rsidR="005A7D45" w:rsidRPr="003D0BCF">
        <w:rPr>
          <w:lang w:val="fr-CA"/>
        </w:rPr>
        <w:t>Procureur</w:t>
      </w:r>
      <w:r w:rsidR="004F6FF1" w:rsidRPr="003D0BCF">
        <w:rPr>
          <w:lang w:val="fr-CA"/>
        </w:rPr>
        <w:t xml:space="preserve"> de l</w:t>
      </w:r>
      <w:r w:rsidR="005A7D45" w:rsidRPr="003D0BCF">
        <w:rPr>
          <w:lang w:val="fr-CA"/>
        </w:rPr>
        <w:t>’appelante</w:t>
      </w:r>
      <w:r w:rsidR="004F6FF1" w:rsidRPr="003D0BCF">
        <w:rPr>
          <w:lang w:val="fr-CA"/>
        </w:rPr>
        <w:t> : Special Prosecutions Office, St.</w:t>
      </w:r>
      <w:r w:rsidR="00F76A6B" w:rsidRPr="003D0BCF">
        <w:rPr>
          <w:lang w:val="fr-CA"/>
        </w:rPr>
        <w:t xml:space="preserve"> </w:t>
      </w:r>
      <w:r w:rsidR="004F6FF1" w:rsidRPr="003D0BCF">
        <w:rPr>
          <w:lang w:val="fr-CA"/>
        </w:rPr>
        <w:t>John</w:t>
      </w:r>
      <w:r w:rsidR="005A7D45" w:rsidRPr="003D0BCF">
        <w:rPr>
          <w:lang w:val="fr-CA"/>
        </w:rPr>
        <w:t>’</w:t>
      </w:r>
      <w:r w:rsidR="004F6FF1" w:rsidRPr="003D0BCF">
        <w:rPr>
          <w:lang w:val="fr-CA"/>
        </w:rPr>
        <w:t>s.</w:t>
      </w:r>
    </w:p>
    <w:p w:rsidR="00DD28BD" w:rsidRPr="003D0BCF" w:rsidRDefault="00DD28BD">
      <w:pPr>
        <w:pStyle w:val="SCCLawFirm"/>
        <w:rPr>
          <w:lang w:val="fr-CA"/>
        </w:rPr>
      </w:pPr>
    </w:p>
    <w:p w:rsidR="00DD28BD" w:rsidRPr="00DB1274" w:rsidRDefault="004F6FF1">
      <w:pPr>
        <w:pStyle w:val="SCCLawFirm"/>
        <w:rPr>
          <w:lang w:val="en-US"/>
        </w:rPr>
      </w:pPr>
      <w:r w:rsidRPr="003D0BCF">
        <w:rPr>
          <w:lang w:val="fr-CA"/>
        </w:rPr>
        <w:tab/>
      </w:r>
      <w:r w:rsidR="005A7D45" w:rsidRPr="00DB1274">
        <w:rPr>
          <w:lang w:val="en-US"/>
        </w:rPr>
        <w:t>Procureur</w:t>
      </w:r>
      <w:r w:rsidRPr="00DB1274">
        <w:rPr>
          <w:lang w:val="en-US"/>
        </w:rPr>
        <w:t xml:space="preserve"> de l</w:t>
      </w:r>
      <w:r w:rsidR="005A7D45" w:rsidRPr="00DB1274">
        <w:rPr>
          <w:lang w:val="en-US"/>
        </w:rPr>
        <w:t>’intimé</w:t>
      </w:r>
      <w:r w:rsidRPr="00DB1274">
        <w:rPr>
          <w:lang w:val="en-US"/>
        </w:rPr>
        <w:t> : Newfoundland and Labrador Legal Aid Commission, St. John</w:t>
      </w:r>
      <w:r w:rsidR="005A7D45" w:rsidRPr="00DB1274">
        <w:rPr>
          <w:lang w:val="en-US"/>
        </w:rPr>
        <w:t>’</w:t>
      </w:r>
      <w:r w:rsidRPr="00DB1274">
        <w:rPr>
          <w:lang w:val="en-US"/>
        </w:rPr>
        <w:t>s.</w:t>
      </w:r>
    </w:p>
    <w:p w:rsidR="009B57B3" w:rsidRPr="00DB1274" w:rsidRDefault="009B57B3" w:rsidP="00160550">
      <w:pPr>
        <w:pStyle w:val="SCCLawFirm"/>
        <w:rPr>
          <w:lang w:val="en-US"/>
        </w:rPr>
      </w:pPr>
    </w:p>
    <w:sectPr w:rsidR="009B57B3" w:rsidRPr="00DB1274"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578A3"/>
    <w:rsid w:val="000648CC"/>
    <w:rsid w:val="000A71BB"/>
    <w:rsid w:val="000C59B8"/>
    <w:rsid w:val="000C6AF0"/>
    <w:rsid w:val="000D0A77"/>
    <w:rsid w:val="000F7993"/>
    <w:rsid w:val="00104F33"/>
    <w:rsid w:val="00111DE2"/>
    <w:rsid w:val="00116B38"/>
    <w:rsid w:val="00135406"/>
    <w:rsid w:val="00135972"/>
    <w:rsid w:val="001426A9"/>
    <w:rsid w:val="00154D7C"/>
    <w:rsid w:val="001570B0"/>
    <w:rsid w:val="0015752C"/>
    <w:rsid w:val="00157737"/>
    <w:rsid w:val="00160550"/>
    <w:rsid w:val="00165277"/>
    <w:rsid w:val="00170592"/>
    <w:rsid w:val="001720F7"/>
    <w:rsid w:val="00195D83"/>
    <w:rsid w:val="001A00C1"/>
    <w:rsid w:val="001B33E0"/>
    <w:rsid w:val="001B4573"/>
    <w:rsid w:val="001C779F"/>
    <w:rsid w:val="001D2AC1"/>
    <w:rsid w:val="001D4E88"/>
    <w:rsid w:val="00220FC2"/>
    <w:rsid w:val="002222F4"/>
    <w:rsid w:val="00224FC0"/>
    <w:rsid w:val="00225EA4"/>
    <w:rsid w:val="00226EAF"/>
    <w:rsid w:val="00231F3A"/>
    <w:rsid w:val="002406EE"/>
    <w:rsid w:val="00243EC8"/>
    <w:rsid w:val="00253D69"/>
    <w:rsid w:val="00270D93"/>
    <w:rsid w:val="002745CC"/>
    <w:rsid w:val="002B6FBE"/>
    <w:rsid w:val="002B7924"/>
    <w:rsid w:val="002C10A6"/>
    <w:rsid w:val="002C26FA"/>
    <w:rsid w:val="002D28C3"/>
    <w:rsid w:val="002D39A4"/>
    <w:rsid w:val="002E6705"/>
    <w:rsid w:val="002F4B7D"/>
    <w:rsid w:val="00300643"/>
    <w:rsid w:val="0030329A"/>
    <w:rsid w:val="0031086F"/>
    <w:rsid w:val="0031414C"/>
    <w:rsid w:val="00314E01"/>
    <w:rsid w:val="0032089D"/>
    <w:rsid w:val="003310DE"/>
    <w:rsid w:val="003323B0"/>
    <w:rsid w:val="00340A49"/>
    <w:rsid w:val="0035169A"/>
    <w:rsid w:val="0035259D"/>
    <w:rsid w:val="00364B18"/>
    <w:rsid w:val="003A125D"/>
    <w:rsid w:val="003A4C70"/>
    <w:rsid w:val="003B215F"/>
    <w:rsid w:val="003C799C"/>
    <w:rsid w:val="003D0399"/>
    <w:rsid w:val="003D0BCF"/>
    <w:rsid w:val="003E1C71"/>
    <w:rsid w:val="003F327B"/>
    <w:rsid w:val="00406166"/>
    <w:rsid w:val="0040704B"/>
    <w:rsid w:val="00410A55"/>
    <w:rsid w:val="00411300"/>
    <w:rsid w:val="00413F17"/>
    <w:rsid w:val="00415417"/>
    <w:rsid w:val="00426659"/>
    <w:rsid w:val="00450352"/>
    <w:rsid w:val="00454BDB"/>
    <w:rsid w:val="00465132"/>
    <w:rsid w:val="00480C90"/>
    <w:rsid w:val="0048396F"/>
    <w:rsid w:val="00493C18"/>
    <w:rsid w:val="004A600C"/>
    <w:rsid w:val="004A6118"/>
    <w:rsid w:val="004C478D"/>
    <w:rsid w:val="004D7D95"/>
    <w:rsid w:val="004E2C26"/>
    <w:rsid w:val="004F6FF1"/>
    <w:rsid w:val="005125A8"/>
    <w:rsid w:val="00517549"/>
    <w:rsid w:val="00520ABC"/>
    <w:rsid w:val="00521AE8"/>
    <w:rsid w:val="00527180"/>
    <w:rsid w:val="00555291"/>
    <w:rsid w:val="00566AD1"/>
    <w:rsid w:val="00583EDE"/>
    <w:rsid w:val="005A6079"/>
    <w:rsid w:val="005A7D45"/>
    <w:rsid w:val="005B5646"/>
    <w:rsid w:val="005E4698"/>
    <w:rsid w:val="005F53DD"/>
    <w:rsid w:val="00603924"/>
    <w:rsid w:val="00610539"/>
    <w:rsid w:val="00613969"/>
    <w:rsid w:val="00625C35"/>
    <w:rsid w:val="00647E49"/>
    <w:rsid w:val="00656313"/>
    <w:rsid w:val="006565F4"/>
    <w:rsid w:val="00684EEA"/>
    <w:rsid w:val="0069689B"/>
    <w:rsid w:val="006B5FF5"/>
    <w:rsid w:val="006D7AAD"/>
    <w:rsid w:val="006F30AF"/>
    <w:rsid w:val="00701759"/>
    <w:rsid w:val="00705C15"/>
    <w:rsid w:val="007110F6"/>
    <w:rsid w:val="007208D1"/>
    <w:rsid w:val="007266AC"/>
    <w:rsid w:val="00744518"/>
    <w:rsid w:val="00747288"/>
    <w:rsid w:val="00747DD3"/>
    <w:rsid w:val="007549C8"/>
    <w:rsid w:val="00766D14"/>
    <w:rsid w:val="00767A0F"/>
    <w:rsid w:val="00791272"/>
    <w:rsid w:val="007A05F6"/>
    <w:rsid w:val="007B21C0"/>
    <w:rsid w:val="007B6F4A"/>
    <w:rsid w:val="007E1C47"/>
    <w:rsid w:val="007E337A"/>
    <w:rsid w:val="007E5C70"/>
    <w:rsid w:val="007F2FF5"/>
    <w:rsid w:val="007F3F08"/>
    <w:rsid w:val="00804CC6"/>
    <w:rsid w:val="00817190"/>
    <w:rsid w:val="008260E2"/>
    <w:rsid w:val="008322BD"/>
    <w:rsid w:val="00834F73"/>
    <w:rsid w:val="00864C8A"/>
    <w:rsid w:val="00864CF8"/>
    <w:rsid w:val="00874914"/>
    <w:rsid w:val="00891422"/>
    <w:rsid w:val="00892E1A"/>
    <w:rsid w:val="008B660A"/>
    <w:rsid w:val="008C01DA"/>
    <w:rsid w:val="008F2674"/>
    <w:rsid w:val="008F78E9"/>
    <w:rsid w:val="009179F9"/>
    <w:rsid w:val="00917C7A"/>
    <w:rsid w:val="00933E5E"/>
    <w:rsid w:val="00935218"/>
    <w:rsid w:val="00937C52"/>
    <w:rsid w:val="009403F3"/>
    <w:rsid w:val="009555B7"/>
    <w:rsid w:val="009567AA"/>
    <w:rsid w:val="009602C9"/>
    <w:rsid w:val="00967374"/>
    <w:rsid w:val="00987006"/>
    <w:rsid w:val="009A343A"/>
    <w:rsid w:val="009B2F23"/>
    <w:rsid w:val="009B57B3"/>
    <w:rsid w:val="009D2920"/>
    <w:rsid w:val="009D5AEB"/>
    <w:rsid w:val="009F0E33"/>
    <w:rsid w:val="00A149DF"/>
    <w:rsid w:val="00A1755C"/>
    <w:rsid w:val="00A21B90"/>
    <w:rsid w:val="00A22AAC"/>
    <w:rsid w:val="00A41805"/>
    <w:rsid w:val="00A51882"/>
    <w:rsid w:val="00A52AFB"/>
    <w:rsid w:val="00A548CB"/>
    <w:rsid w:val="00A5521C"/>
    <w:rsid w:val="00A643E7"/>
    <w:rsid w:val="00A73C38"/>
    <w:rsid w:val="00A921A7"/>
    <w:rsid w:val="00AB670D"/>
    <w:rsid w:val="00AF03C5"/>
    <w:rsid w:val="00B000D8"/>
    <w:rsid w:val="00B00F75"/>
    <w:rsid w:val="00B145B6"/>
    <w:rsid w:val="00B279EB"/>
    <w:rsid w:val="00B41DB8"/>
    <w:rsid w:val="00B50C81"/>
    <w:rsid w:val="00B557F8"/>
    <w:rsid w:val="00B815FC"/>
    <w:rsid w:val="00B93FBC"/>
    <w:rsid w:val="00BA2E82"/>
    <w:rsid w:val="00BA7DA0"/>
    <w:rsid w:val="00BB2EE4"/>
    <w:rsid w:val="00BB4C92"/>
    <w:rsid w:val="00BC2108"/>
    <w:rsid w:val="00BD0E9E"/>
    <w:rsid w:val="00BD1BEC"/>
    <w:rsid w:val="00BD32FF"/>
    <w:rsid w:val="00BF1D77"/>
    <w:rsid w:val="00BF6FE9"/>
    <w:rsid w:val="00C02092"/>
    <w:rsid w:val="00C24D91"/>
    <w:rsid w:val="00C26DB2"/>
    <w:rsid w:val="00C3306B"/>
    <w:rsid w:val="00C53F14"/>
    <w:rsid w:val="00C600CF"/>
    <w:rsid w:val="00C6084F"/>
    <w:rsid w:val="00C62A66"/>
    <w:rsid w:val="00C66359"/>
    <w:rsid w:val="00C71458"/>
    <w:rsid w:val="00C77613"/>
    <w:rsid w:val="00C828E7"/>
    <w:rsid w:val="00C86719"/>
    <w:rsid w:val="00C921DD"/>
    <w:rsid w:val="00CA6391"/>
    <w:rsid w:val="00CE036E"/>
    <w:rsid w:val="00CE3171"/>
    <w:rsid w:val="00CF1601"/>
    <w:rsid w:val="00D0172F"/>
    <w:rsid w:val="00D01E33"/>
    <w:rsid w:val="00D037EE"/>
    <w:rsid w:val="00D068A7"/>
    <w:rsid w:val="00D17476"/>
    <w:rsid w:val="00D17B0E"/>
    <w:rsid w:val="00D32086"/>
    <w:rsid w:val="00D37A3F"/>
    <w:rsid w:val="00D4431D"/>
    <w:rsid w:val="00D4667A"/>
    <w:rsid w:val="00D63A1C"/>
    <w:rsid w:val="00D7516F"/>
    <w:rsid w:val="00D95F8E"/>
    <w:rsid w:val="00DA0590"/>
    <w:rsid w:val="00DB1274"/>
    <w:rsid w:val="00DC1739"/>
    <w:rsid w:val="00DC1788"/>
    <w:rsid w:val="00DD28BD"/>
    <w:rsid w:val="00DE319C"/>
    <w:rsid w:val="00DF0CA8"/>
    <w:rsid w:val="00DF2B48"/>
    <w:rsid w:val="00DF49A7"/>
    <w:rsid w:val="00E07EE2"/>
    <w:rsid w:val="00E07FD1"/>
    <w:rsid w:val="00E24573"/>
    <w:rsid w:val="00E25E1E"/>
    <w:rsid w:val="00E27EE7"/>
    <w:rsid w:val="00E35404"/>
    <w:rsid w:val="00E45109"/>
    <w:rsid w:val="00E47B7A"/>
    <w:rsid w:val="00E56A44"/>
    <w:rsid w:val="00E60269"/>
    <w:rsid w:val="00E97830"/>
    <w:rsid w:val="00EE0830"/>
    <w:rsid w:val="00EE6CB8"/>
    <w:rsid w:val="00EF0683"/>
    <w:rsid w:val="00F0070C"/>
    <w:rsid w:val="00F00EB7"/>
    <w:rsid w:val="00F36AB6"/>
    <w:rsid w:val="00F37A09"/>
    <w:rsid w:val="00F409CE"/>
    <w:rsid w:val="00F4379D"/>
    <w:rsid w:val="00F50D2D"/>
    <w:rsid w:val="00F56C8B"/>
    <w:rsid w:val="00F62639"/>
    <w:rsid w:val="00F66810"/>
    <w:rsid w:val="00F76A6B"/>
    <w:rsid w:val="00F84DF4"/>
    <w:rsid w:val="00F85C97"/>
    <w:rsid w:val="00FB1AE4"/>
    <w:rsid w:val="00FB37D2"/>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table" w:styleId="TableGrid">
    <w:name w:val="Table Grid"/>
    <w:basedOn w:val="TableNormal"/>
    <w:uiPriority w:val="59"/>
    <w:rsid w:val="000A71BB"/>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0A71BB"/>
    <w:rPr>
      <w:rFonts w:ascii="Times New Roman" w:hAnsi="Times New Roman"/>
      <w:sz w:val="24"/>
      <w:szCs w:val="24"/>
      <w:lang w:val="fr-CA"/>
    </w:rPr>
  </w:style>
  <w:style w:type="paragraph" w:customStyle="1" w:styleId="SCCLsocPrefix">
    <w:name w:val="SCC.Lsoc.Prefix"/>
    <w:basedOn w:val="Normal"/>
    <w:next w:val="Normal"/>
    <w:link w:val="SCCLsocPrefixChar"/>
    <w:rsid w:val="000A71BB"/>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0A71BB"/>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756</Words>
  <Characters>3845</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2018-10-18T13:46:00Z</dcterms:created>
  <dcterms:modified xsi:type="dcterms:W3CDTF">2019-07-25T19:27:00Z</dcterms:modified>
</cp:coreProperties>
</file>