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C1" w:rsidRDefault="006309C1" w:rsidP="006309C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7" o:title=""/>
          </v:shape>
          <o:OLEObject Type="Embed" ProgID="Presentations.Drawing.13" ShapeID="_x0000_i1025" DrawAspect="Content" ObjectID="_1630221872" r:id="rId8"/>
        </w:object>
      </w:r>
      <w:r>
        <w:t xml:space="preserve"> </w:t>
      </w:r>
      <w:r>
        <w:ptab w:relativeTo="margin" w:alignment="right" w:leader="none"/>
      </w:r>
    </w:p>
    <w:p w:rsidR="006309C1" w:rsidRDefault="006309C1" w:rsidP="006309C1">
      <w:pPr>
        <w:pStyle w:val="Header"/>
      </w:pPr>
    </w:p>
    <w:p w:rsidR="006309C1" w:rsidRPr="001E12E2" w:rsidRDefault="006309C1" w:rsidP="006309C1">
      <w:pPr>
        <w:jc w:val="center"/>
        <w:rPr>
          <w:b/>
        </w:rPr>
      </w:pPr>
      <w:r w:rsidRPr="001E12E2">
        <w:rPr>
          <w:b/>
        </w:rPr>
        <w:t>COUR SUPRÊME DU CANADA</w:t>
      </w:r>
    </w:p>
    <w:p w:rsidR="006309C1" w:rsidRDefault="006309C1" w:rsidP="006309C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6309C1" w:rsidRPr="001E12E2" w:rsidTr="00CD0A8A">
        <w:trPr>
          <w:cantSplit/>
        </w:trPr>
        <w:tc>
          <w:tcPr>
            <w:tcW w:w="5310" w:type="dxa"/>
          </w:tcPr>
          <w:p w:rsidR="006309C1" w:rsidRPr="006309C1" w:rsidRDefault="006309C1" w:rsidP="00CD0A8A">
            <w:pPr>
              <w:rPr>
                <w:lang w:val="fr-CA"/>
              </w:rPr>
            </w:pPr>
            <w:r w:rsidRPr="006309C1">
              <w:rPr>
                <w:b/>
                <w:smallCaps/>
                <w:lang w:val="fr-CA"/>
              </w:rPr>
              <w:t>Référence :</w:t>
            </w:r>
            <w:r w:rsidRPr="006309C1">
              <w:rPr>
                <w:lang w:val="fr-CA"/>
              </w:rPr>
              <w:t xml:space="preserve"> </w:t>
            </w:r>
            <w:r w:rsidRPr="006309C1">
              <w:rPr>
                <w:rStyle w:val="SCCAppellantForIndexChar"/>
                <w:b w:val="0"/>
                <w:lang w:val="fr-CA"/>
              </w:rPr>
              <w:t>Callidus Capital Corp.</w:t>
            </w:r>
            <w:r w:rsidRPr="006309C1">
              <w:rPr>
                <w:lang w:val="fr-CA"/>
              </w:rPr>
              <w:t xml:space="preserve"> </w:t>
            </w:r>
            <w:r w:rsidRPr="006309C1">
              <w:rPr>
                <w:i/>
                <w:lang w:val="fr-CA"/>
              </w:rPr>
              <w:t>c.</w:t>
            </w:r>
            <w:r w:rsidRPr="006309C1">
              <w:rPr>
                <w:lang w:val="fr-CA"/>
              </w:rPr>
              <w:t xml:space="preserve"> Canada</w:t>
            </w:r>
            <w:r w:rsidRPr="00B50B0A">
              <w:rPr>
                <w:rStyle w:val="SCCAppellantForRunningHeadChar"/>
                <w:lang w:val="fr-CA"/>
              </w:rPr>
              <w:t xml:space="preserve">, </w:t>
            </w:r>
            <w:r w:rsidRPr="006309C1">
              <w:rPr>
                <w:lang w:val="fr-CA"/>
              </w:rPr>
              <w:t>2018 CSC 47, [2018] 3 R.C.S. 186</w:t>
            </w:r>
          </w:p>
        </w:tc>
        <w:tc>
          <w:tcPr>
            <w:tcW w:w="4266" w:type="dxa"/>
          </w:tcPr>
          <w:p w:rsidR="006309C1" w:rsidRPr="006309C1" w:rsidRDefault="006309C1" w:rsidP="00CD0A8A">
            <w:pPr>
              <w:rPr>
                <w:lang w:val="fr-CA"/>
              </w:rPr>
            </w:pPr>
            <w:r w:rsidRPr="006309C1">
              <w:rPr>
                <w:b/>
                <w:smallCaps/>
                <w:lang w:val="fr-CA"/>
              </w:rPr>
              <w:t>Appel entendu:</w:t>
            </w:r>
            <w:r w:rsidRPr="006309C1">
              <w:rPr>
                <w:lang w:val="fr-CA"/>
              </w:rPr>
              <w:t xml:space="preserve"> 8 novembre 2018</w:t>
            </w:r>
          </w:p>
          <w:p w:rsidR="006309C1" w:rsidRPr="006309C1" w:rsidRDefault="006309C1" w:rsidP="00CD0A8A">
            <w:pPr>
              <w:rPr>
                <w:b/>
                <w:smallCaps/>
                <w:lang w:val="fr-CA"/>
              </w:rPr>
            </w:pPr>
            <w:r w:rsidRPr="006309C1">
              <w:rPr>
                <w:b/>
                <w:smallCaps/>
                <w:lang w:val="fr-CA"/>
              </w:rPr>
              <w:t>Jugement rendu :</w:t>
            </w:r>
            <w:r w:rsidRPr="006309C1">
              <w:rPr>
                <w:lang w:val="fr-CA"/>
              </w:rPr>
              <w:t xml:space="preserve"> 8 novembre 2018</w:t>
            </w:r>
          </w:p>
          <w:p w:rsidR="006309C1" w:rsidRPr="001E12E2" w:rsidRDefault="006309C1" w:rsidP="007F5205">
            <w:r w:rsidRPr="001E12E2">
              <w:rPr>
                <w:b/>
                <w:smallCaps/>
              </w:rPr>
              <w:t>Do</w:t>
            </w:r>
            <w:r>
              <w:rPr>
                <w:b/>
                <w:smallCaps/>
              </w:rPr>
              <w:t>ssier</w:t>
            </w:r>
            <w:bookmarkStart w:id="0" w:name="_GoBack"/>
            <w:bookmarkEnd w:id="0"/>
            <w:r>
              <w:rPr>
                <w:b/>
                <w:smallCaps/>
              </w:rPr>
              <w:t> :</w:t>
            </w:r>
            <w:r w:rsidRPr="001E12E2">
              <w:t xml:space="preserve"> </w:t>
            </w:r>
            <w:r>
              <w:t>37768</w:t>
            </w:r>
          </w:p>
        </w:tc>
      </w:tr>
    </w:tbl>
    <w:p w:rsidR="006309C1" w:rsidRDefault="006309C1" w:rsidP="006309C1">
      <w:pPr>
        <w:pStyle w:val="SCCLsocPrefix"/>
      </w:pPr>
    </w:p>
    <w:p w:rsidR="006309C1" w:rsidRDefault="006309C1" w:rsidP="006309C1">
      <w:pPr>
        <w:pStyle w:val="SCCLsocPrefix"/>
      </w:pPr>
    </w:p>
    <w:p w:rsidR="006309C1" w:rsidRDefault="006309C1" w:rsidP="006309C1">
      <w:pPr>
        <w:pStyle w:val="SCCLsocPrefix"/>
      </w:pPr>
      <w:r>
        <w:t>Entre :</w:t>
      </w:r>
    </w:p>
    <w:p w:rsidR="006309C1" w:rsidRPr="00B50B0A" w:rsidRDefault="006309C1" w:rsidP="006309C1">
      <w:pPr>
        <w:jc w:val="center"/>
        <w:rPr>
          <w:b/>
        </w:rPr>
      </w:pPr>
      <w:r w:rsidRPr="00B50B0A">
        <w:rPr>
          <w:b/>
        </w:rPr>
        <w:t>Callidus Capital Corporation</w:t>
      </w:r>
    </w:p>
    <w:p w:rsidR="006309C1" w:rsidRPr="00D85283" w:rsidRDefault="006309C1" w:rsidP="006309C1">
      <w:pPr>
        <w:jc w:val="center"/>
      </w:pPr>
      <w:r w:rsidRPr="00D85283">
        <w:t>Appelant</w:t>
      </w:r>
    </w:p>
    <w:p w:rsidR="006309C1" w:rsidRPr="00D85283" w:rsidRDefault="006309C1" w:rsidP="006309C1">
      <w:pPr>
        <w:jc w:val="center"/>
      </w:pPr>
    </w:p>
    <w:p w:rsidR="006309C1" w:rsidRPr="006309C1" w:rsidRDefault="006309C1" w:rsidP="006309C1">
      <w:pPr>
        <w:pStyle w:val="SCCLsocVersus"/>
        <w:spacing w:after="0"/>
        <w:jc w:val="center"/>
        <w:rPr>
          <w:i w:val="0"/>
        </w:rPr>
      </w:pPr>
      <w:r w:rsidRPr="006309C1">
        <w:rPr>
          <w:i w:val="0"/>
        </w:rPr>
        <w:t>et</w:t>
      </w:r>
    </w:p>
    <w:p w:rsidR="006309C1" w:rsidRPr="0033260A" w:rsidRDefault="006309C1" w:rsidP="006309C1">
      <w:pPr>
        <w:jc w:val="center"/>
      </w:pPr>
    </w:p>
    <w:p w:rsidR="006309C1" w:rsidRDefault="006309C1" w:rsidP="006309C1">
      <w:pPr>
        <w:pStyle w:val="SCCLsocParty"/>
        <w:jc w:val="center"/>
      </w:pPr>
      <w:r w:rsidRPr="00BE0133">
        <w:t>Sa Majesté la Reine</w:t>
      </w:r>
    </w:p>
    <w:p w:rsidR="006309C1" w:rsidRDefault="006309C1" w:rsidP="006309C1">
      <w:pPr>
        <w:jc w:val="center"/>
      </w:pPr>
      <w:r>
        <w:t>Intimée</w:t>
      </w:r>
    </w:p>
    <w:p w:rsidR="006309C1" w:rsidRDefault="006309C1" w:rsidP="006309C1">
      <w:pPr>
        <w:jc w:val="center"/>
      </w:pPr>
    </w:p>
    <w:p w:rsidR="006309C1" w:rsidRPr="00B50B0A" w:rsidRDefault="006309C1" w:rsidP="006309C1">
      <w:pPr>
        <w:jc w:val="center"/>
      </w:pPr>
      <w:r>
        <w:t>- et -</w:t>
      </w:r>
    </w:p>
    <w:p w:rsidR="006309C1" w:rsidRDefault="006309C1" w:rsidP="006309C1">
      <w:pPr>
        <w:jc w:val="center"/>
      </w:pPr>
    </w:p>
    <w:p w:rsidR="006309C1" w:rsidRPr="00E119CB" w:rsidRDefault="006309C1" w:rsidP="006309C1">
      <w:pPr>
        <w:pStyle w:val="SCCLsocParty"/>
        <w:jc w:val="center"/>
      </w:pPr>
      <w:r>
        <w:t>Institut d’</w:t>
      </w:r>
      <w:r w:rsidRPr="00E119CB">
        <w:t>insolvabilité du Canada,</w:t>
      </w:r>
    </w:p>
    <w:p w:rsidR="006309C1" w:rsidRDefault="006309C1" w:rsidP="006309C1">
      <w:pPr>
        <w:pStyle w:val="SCCLsocParty"/>
        <w:jc w:val="center"/>
      </w:pPr>
      <w:r w:rsidRPr="00E119CB">
        <w:t>Association canadienne des professionnels</w:t>
      </w:r>
    </w:p>
    <w:p w:rsidR="006309C1" w:rsidRPr="006309C1" w:rsidRDefault="006309C1" w:rsidP="006309C1">
      <w:pPr>
        <w:pStyle w:val="SCCLsocParty"/>
        <w:jc w:val="center"/>
        <w:rPr>
          <w:lang w:val="fr-CA"/>
        </w:rPr>
      </w:pPr>
      <w:r w:rsidRPr="006309C1">
        <w:rPr>
          <w:lang w:val="fr-CA"/>
        </w:rPr>
        <w:t>de l’insolvabilité et de la réorganisation et</w:t>
      </w:r>
    </w:p>
    <w:p w:rsidR="006309C1" w:rsidRPr="006309C1" w:rsidRDefault="006309C1" w:rsidP="006309C1">
      <w:pPr>
        <w:jc w:val="center"/>
        <w:rPr>
          <w:b/>
          <w:lang w:val="fr-CA"/>
        </w:rPr>
      </w:pPr>
      <w:r w:rsidRPr="006309C1">
        <w:rPr>
          <w:b/>
          <w:lang w:val="fr-CA"/>
        </w:rPr>
        <w:t>Association des banquiers canadiens</w:t>
      </w:r>
    </w:p>
    <w:p w:rsidR="006309C1" w:rsidRPr="006309C1" w:rsidRDefault="006309C1" w:rsidP="006309C1">
      <w:pPr>
        <w:jc w:val="center"/>
        <w:rPr>
          <w:lang w:val="fr-CA"/>
        </w:rPr>
      </w:pPr>
      <w:r w:rsidRPr="006309C1">
        <w:rPr>
          <w:lang w:val="fr-CA"/>
        </w:rPr>
        <w:t>Intervenants</w:t>
      </w:r>
    </w:p>
    <w:p w:rsidR="006309C1" w:rsidRPr="006309C1" w:rsidRDefault="006309C1" w:rsidP="006309C1">
      <w:pPr>
        <w:rPr>
          <w:lang w:val="fr-CA"/>
        </w:rPr>
      </w:pPr>
    </w:p>
    <w:p w:rsidR="006309C1" w:rsidRPr="006309C1" w:rsidRDefault="006309C1" w:rsidP="006309C1">
      <w:pPr>
        <w:rPr>
          <w:lang w:val="fr-CA"/>
        </w:rPr>
      </w:pPr>
    </w:p>
    <w:p w:rsidR="006309C1" w:rsidRPr="006309C1" w:rsidRDefault="006309C1" w:rsidP="006309C1">
      <w:pPr>
        <w:jc w:val="center"/>
        <w:rPr>
          <w:b/>
          <w:smallCaps/>
          <w:lang w:val="fr-CA"/>
        </w:rPr>
      </w:pPr>
      <w:r w:rsidRPr="006309C1">
        <w:rPr>
          <w:b/>
          <w:smallCaps/>
          <w:lang w:val="fr-CA"/>
        </w:rPr>
        <w:t>Traduction française officielle</w:t>
      </w:r>
    </w:p>
    <w:p w:rsidR="006309C1" w:rsidRPr="006309C1" w:rsidRDefault="006309C1" w:rsidP="006309C1">
      <w:pPr>
        <w:rPr>
          <w:lang w:val="fr-CA"/>
        </w:rPr>
      </w:pPr>
    </w:p>
    <w:p w:rsidR="006309C1" w:rsidRPr="006309C1" w:rsidRDefault="006309C1" w:rsidP="006309C1">
      <w:pPr>
        <w:rPr>
          <w:lang w:val="fr-CA"/>
        </w:rPr>
      </w:pPr>
      <w:r w:rsidRPr="006309C1">
        <w:rPr>
          <w:b/>
          <w:smallCaps/>
          <w:lang w:val="fr-CA"/>
        </w:rPr>
        <w:t>Coram :</w:t>
      </w:r>
      <w:r w:rsidRPr="006309C1">
        <w:rPr>
          <w:lang w:val="fr-CA"/>
        </w:rPr>
        <w:t xml:space="preserve"> Le juge en chef Wagner et les juges Abella, Moldaver, Karakatsanis, Gascon, Côté, Brown, Rowe et Martin</w:t>
      </w:r>
    </w:p>
    <w:p w:rsidR="006309C1" w:rsidRPr="006309C1" w:rsidRDefault="006309C1" w:rsidP="006309C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309C1" w:rsidRPr="007F5205" w:rsidTr="00CD0A8A">
        <w:trPr>
          <w:cantSplit/>
        </w:trPr>
        <w:tc>
          <w:tcPr>
            <w:tcW w:w="3618" w:type="dxa"/>
          </w:tcPr>
          <w:p w:rsidR="006309C1" w:rsidRPr="006309C1" w:rsidRDefault="006309C1" w:rsidP="00CD0A8A">
            <w:pPr>
              <w:rPr>
                <w:b/>
                <w:smallCaps/>
                <w:lang w:val="fr-CA"/>
              </w:rPr>
            </w:pPr>
            <w:r w:rsidRPr="006309C1">
              <w:rPr>
                <w:b/>
                <w:smallCaps/>
                <w:lang w:val="fr-CA"/>
              </w:rPr>
              <w:t>Motifs de jugement :</w:t>
            </w:r>
          </w:p>
          <w:p w:rsidR="006309C1" w:rsidRPr="006309C1" w:rsidRDefault="006309C1" w:rsidP="00CD0A8A">
            <w:pPr>
              <w:rPr>
                <w:lang w:val="fr-CA"/>
              </w:rPr>
            </w:pPr>
            <w:r w:rsidRPr="006309C1">
              <w:rPr>
                <w:lang w:val="fr-CA"/>
              </w:rPr>
              <w:t>(par. 1 à 3)</w:t>
            </w:r>
          </w:p>
        </w:tc>
        <w:tc>
          <w:tcPr>
            <w:tcW w:w="5958" w:type="dxa"/>
          </w:tcPr>
          <w:p w:rsidR="006309C1" w:rsidRPr="006309C1" w:rsidRDefault="006309C1" w:rsidP="00CD0A8A">
            <w:pPr>
              <w:rPr>
                <w:lang w:val="fr-CA"/>
              </w:rPr>
            </w:pPr>
            <w:r w:rsidRPr="006309C1">
              <w:rPr>
                <w:lang w:val="fr-CA"/>
              </w:rPr>
              <w:t>Le juge Gascon (avec l’accord du juge en chef Wagner et des juges Abella, Moldaver, Karakatsanis, Côté, Brown, Rowe et Martin)</w:t>
            </w:r>
          </w:p>
        </w:tc>
      </w:tr>
    </w:tbl>
    <w:p w:rsidR="006309C1" w:rsidRPr="006309C1" w:rsidRDefault="006309C1" w:rsidP="006309C1">
      <w:pPr>
        <w:rPr>
          <w:lang w:val="fr-CA"/>
        </w:rPr>
      </w:pPr>
    </w:p>
    <w:p w:rsidR="006309C1" w:rsidRPr="006309C1" w:rsidRDefault="006309C1" w:rsidP="006309C1">
      <w:pPr>
        <w:rPr>
          <w:lang w:val="fr-CA"/>
        </w:rPr>
      </w:pPr>
      <w:r>
        <w:rPr>
          <w:noProof/>
          <w:lang w:val="en-US" w:eastAsia="en-US"/>
        </w:rPr>
        <mc:AlternateContent>
          <mc:Choice Requires="wps">
            <w:drawing>
              <wp:anchor distT="0" distB="0" distL="114300" distR="114300" simplePos="0" relativeHeight="251659264" behindDoc="0" locked="0" layoutInCell="1" allowOverlap="1" wp14:anchorId="24A0C70E" wp14:editId="4701220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2FD7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309C1" w:rsidRPr="006309C1" w:rsidRDefault="006309C1" w:rsidP="006309C1">
      <w:pPr>
        <w:rPr>
          <w:lang w:val="fr-CA"/>
        </w:rPr>
      </w:pPr>
    </w:p>
    <w:p w:rsidR="006309C1" w:rsidRPr="006309C1" w:rsidRDefault="006309C1" w:rsidP="006309C1">
      <w:pPr>
        <w:rPr>
          <w:lang w:val="fr-CA"/>
        </w:rPr>
      </w:pPr>
    </w:p>
    <w:p w:rsidR="006309C1" w:rsidRDefault="006309C1" w:rsidP="004D7D95">
      <w:pPr>
        <w:spacing w:line="480" w:lineRule="auto"/>
        <w:jc w:val="both"/>
        <w:rPr>
          <w:rStyle w:val="SCCAppellantForIndexChar"/>
          <w:b w:val="0"/>
          <w:lang w:val="fr-CA"/>
        </w:rPr>
      </w:pPr>
    </w:p>
    <w:p w:rsidR="004D7D95" w:rsidRPr="009D3F88" w:rsidRDefault="009D3F88" w:rsidP="004D7D95">
      <w:pPr>
        <w:spacing w:line="480" w:lineRule="auto"/>
        <w:jc w:val="both"/>
        <w:rPr>
          <w:lang w:val="fr-CA"/>
        </w:rPr>
      </w:pPr>
      <w:r w:rsidRPr="009D3F88">
        <w:rPr>
          <w:rStyle w:val="SCCAppellantForIndexChar"/>
          <w:b w:val="0"/>
          <w:lang w:val="fr-CA"/>
        </w:rPr>
        <w:t>Callidus Capital Corp.</w:t>
      </w:r>
      <w:r w:rsidRPr="009D3F88">
        <w:rPr>
          <w:lang w:val="fr-CA"/>
        </w:rPr>
        <w:t xml:space="preserve"> </w:t>
      </w:r>
      <w:r w:rsidRPr="009D3F88">
        <w:rPr>
          <w:i/>
          <w:lang w:val="fr-CA"/>
        </w:rPr>
        <w:t>c.</w:t>
      </w:r>
      <w:r w:rsidRPr="009D3F88">
        <w:rPr>
          <w:lang w:val="fr-CA"/>
        </w:rPr>
        <w:t xml:space="preserve"> Canada</w:t>
      </w:r>
      <w:r>
        <w:rPr>
          <w:lang w:val="fr-CA"/>
        </w:rPr>
        <w:t xml:space="preserve">, </w:t>
      </w:r>
      <w:r w:rsidRPr="00E119CB">
        <w:rPr>
          <w:lang w:val="fr-CA"/>
        </w:rPr>
        <w:t>2018 CSC </w:t>
      </w:r>
      <w:r>
        <w:rPr>
          <w:lang w:val="fr-CA"/>
        </w:rPr>
        <w:t>47, [2018] 3 R.C.S. 186</w:t>
      </w:r>
    </w:p>
    <w:p w:rsidR="004D7D95" w:rsidRPr="00E119CB" w:rsidRDefault="004D7D95" w:rsidP="004D7D95">
      <w:pPr>
        <w:jc w:val="both"/>
        <w:rPr>
          <w:lang w:val="fr-CA"/>
        </w:rPr>
      </w:pPr>
    </w:p>
    <w:p w:rsidR="004D7D95" w:rsidRPr="00E119CB" w:rsidRDefault="004D7D95" w:rsidP="004D7D95">
      <w:pPr>
        <w:jc w:val="both"/>
        <w:rPr>
          <w:lang w:val="fr-CA"/>
        </w:rPr>
      </w:pPr>
    </w:p>
    <w:p w:rsidR="004D7D95" w:rsidRPr="00E119CB" w:rsidRDefault="004D7D95" w:rsidP="004D7D95">
      <w:pPr>
        <w:jc w:val="both"/>
        <w:rPr>
          <w:lang w:val="fr-CA"/>
        </w:rPr>
      </w:pPr>
    </w:p>
    <w:p w:rsidR="005C34E4" w:rsidRPr="00E119CB" w:rsidRDefault="00E119CB">
      <w:pPr>
        <w:pStyle w:val="SCCLsocLastPartyInRole"/>
        <w:rPr>
          <w:lang w:val="fr-CA"/>
        </w:rPr>
      </w:pPr>
      <w:r w:rsidRPr="00E119CB">
        <w:rPr>
          <w:lang w:val="fr-CA"/>
        </w:rPr>
        <w:t>Callidus Capital Corporation</w:t>
      </w:r>
      <w:r w:rsidR="00EA1123">
        <w:rPr>
          <w:rStyle w:val="SCCLsocPartyRole"/>
          <w:lang w:val="fr-CA"/>
        </w:rPr>
        <w:tab/>
        <w:t>Appelante</w:t>
      </w:r>
    </w:p>
    <w:p w:rsidR="005C34E4" w:rsidRPr="00E119CB" w:rsidRDefault="00E119CB">
      <w:pPr>
        <w:pStyle w:val="SCCLsocVersus"/>
        <w:rPr>
          <w:lang w:val="fr-CA"/>
        </w:rPr>
      </w:pPr>
      <w:r w:rsidRPr="00E119CB">
        <w:rPr>
          <w:lang w:val="fr-CA"/>
        </w:rPr>
        <w:t>c.</w:t>
      </w:r>
    </w:p>
    <w:p w:rsidR="005C34E4" w:rsidRPr="00E119CB" w:rsidRDefault="00E119CB">
      <w:pPr>
        <w:pStyle w:val="SCCLsocLastPartyInRole"/>
        <w:rPr>
          <w:lang w:val="fr-CA"/>
        </w:rPr>
      </w:pPr>
      <w:r w:rsidRPr="00E119CB">
        <w:rPr>
          <w:lang w:val="fr-CA"/>
        </w:rPr>
        <w:t>Sa Majesté la Reine</w:t>
      </w:r>
      <w:r w:rsidR="00EA1123">
        <w:rPr>
          <w:rStyle w:val="SCCLsocPartyRole"/>
          <w:lang w:val="fr-CA"/>
        </w:rPr>
        <w:tab/>
        <w:t>Intimée</w:t>
      </w:r>
    </w:p>
    <w:p w:rsidR="005C34E4" w:rsidRPr="00E119CB" w:rsidRDefault="00E119CB">
      <w:pPr>
        <w:pStyle w:val="SCCLsocOtherPartySeparator"/>
        <w:rPr>
          <w:lang w:val="fr-CA"/>
        </w:rPr>
      </w:pPr>
      <w:r w:rsidRPr="00E119CB">
        <w:rPr>
          <w:lang w:val="fr-CA"/>
        </w:rPr>
        <w:t>et</w:t>
      </w:r>
    </w:p>
    <w:p w:rsidR="005C34E4" w:rsidRPr="00E119CB" w:rsidRDefault="00EA1123">
      <w:pPr>
        <w:pStyle w:val="SCCLsocParty"/>
        <w:rPr>
          <w:lang w:val="fr-CA"/>
        </w:rPr>
      </w:pPr>
      <w:r>
        <w:rPr>
          <w:lang w:val="fr-CA"/>
        </w:rPr>
        <w:t>Institut d’</w:t>
      </w:r>
      <w:r w:rsidR="00E119CB" w:rsidRPr="00E119CB">
        <w:rPr>
          <w:lang w:val="fr-CA"/>
        </w:rPr>
        <w:t>insolvabilité du Canada,</w:t>
      </w:r>
    </w:p>
    <w:p w:rsidR="00EA1123" w:rsidRDefault="00E119CB">
      <w:pPr>
        <w:pStyle w:val="SCCLsocParty"/>
        <w:rPr>
          <w:lang w:val="fr-CA"/>
        </w:rPr>
      </w:pPr>
      <w:r w:rsidRPr="00E119CB">
        <w:rPr>
          <w:lang w:val="fr-CA"/>
        </w:rPr>
        <w:t xml:space="preserve">Association canadienne des professionnels </w:t>
      </w:r>
    </w:p>
    <w:p w:rsidR="005C34E4" w:rsidRPr="00E119CB" w:rsidRDefault="00E119CB">
      <w:pPr>
        <w:pStyle w:val="SCCLsocParty"/>
        <w:rPr>
          <w:lang w:val="fr-CA"/>
        </w:rPr>
      </w:pPr>
      <w:r w:rsidRPr="00E119CB">
        <w:rPr>
          <w:lang w:val="fr-CA"/>
        </w:rPr>
        <w:t>de l’insolv</w:t>
      </w:r>
      <w:r w:rsidR="00177C13">
        <w:rPr>
          <w:lang w:val="fr-CA"/>
        </w:rPr>
        <w:t>abilité et de la réorganisation et</w:t>
      </w:r>
    </w:p>
    <w:p w:rsidR="004D7D95" w:rsidRPr="00E119CB" w:rsidRDefault="00E119CB" w:rsidP="00992377">
      <w:pPr>
        <w:pStyle w:val="SCCLsocLastPartyInRole"/>
        <w:spacing w:after="480"/>
        <w:rPr>
          <w:lang w:val="fr-CA"/>
        </w:rPr>
      </w:pPr>
      <w:r w:rsidRPr="00E119CB">
        <w:rPr>
          <w:lang w:val="fr-CA"/>
        </w:rPr>
        <w:t>Association des banquiers canadiens</w:t>
      </w:r>
      <w:r w:rsidR="00EA1123">
        <w:rPr>
          <w:rStyle w:val="SCCLsocPartyRole"/>
          <w:lang w:val="fr-CA"/>
        </w:rPr>
        <w:tab/>
        <w:t>Intervenant</w:t>
      </w:r>
      <w:r w:rsidRPr="00E119CB">
        <w:rPr>
          <w:rStyle w:val="SCCLsocPartyRole"/>
          <w:lang w:val="fr-CA"/>
        </w:rPr>
        <w:t>s</w:t>
      </w:r>
    </w:p>
    <w:p w:rsidR="004D7D95" w:rsidRPr="00E119CB" w:rsidRDefault="004D7D95" w:rsidP="004D7D95">
      <w:pPr>
        <w:jc w:val="both"/>
        <w:rPr>
          <w:lang w:val="fr-CA"/>
        </w:rPr>
      </w:pPr>
    </w:p>
    <w:p w:rsidR="004D7D95" w:rsidRPr="00E119CB" w:rsidRDefault="004D7D95" w:rsidP="004D7D95">
      <w:pPr>
        <w:jc w:val="both"/>
        <w:rPr>
          <w:lang w:val="fr-CA"/>
        </w:rPr>
      </w:pPr>
    </w:p>
    <w:p w:rsidR="004D7D95" w:rsidRPr="00E119CB" w:rsidRDefault="005846C1" w:rsidP="004D7D95">
      <w:pPr>
        <w:jc w:val="both"/>
        <w:rPr>
          <w:b/>
          <w:lang w:val="fr-CA"/>
        </w:rPr>
      </w:pPr>
      <w:r>
        <w:rPr>
          <w:b/>
          <w:lang w:val="fr-CA"/>
        </w:rPr>
        <w:t>Répertorié : </w:t>
      </w:r>
      <w:r w:rsidR="004D7D95" w:rsidRPr="00E119CB">
        <w:rPr>
          <w:rStyle w:val="SCCAppellantForIndexChar"/>
          <w:lang w:val="fr-CA"/>
        </w:rPr>
        <w:t>Callidus Capital Corp</w:t>
      </w:r>
      <w:r>
        <w:rPr>
          <w:rStyle w:val="SCCAppellantForIndexChar"/>
          <w:lang w:val="fr-CA"/>
        </w:rPr>
        <w:t>.</w:t>
      </w:r>
      <w:r w:rsidR="004D7D95" w:rsidRPr="00BB4C92">
        <w:rPr>
          <w:b/>
          <w:lang w:val="fr-CA"/>
        </w:rPr>
        <w:t xml:space="preserve"> </w:t>
      </w:r>
      <w:r w:rsidRPr="005846C1">
        <w:rPr>
          <w:b/>
          <w:i/>
          <w:lang w:val="fr-CA"/>
        </w:rPr>
        <w:t>c.</w:t>
      </w:r>
      <w:r>
        <w:rPr>
          <w:b/>
          <w:lang w:val="fr-CA"/>
        </w:rPr>
        <w:t xml:space="preserve"> Canada</w:t>
      </w:r>
    </w:p>
    <w:p w:rsidR="004D7D95" w:rsidRPr="00E119CB" w:rsidRDefault="004D7D95" w:rsidP="004D7D95">
      <w:pPr>
        <w:jc w:val="both"/>
        <w:rPr>
          <w:lang w:val="fr-CA"/>
        </w:rPr>
      </w:pPr>
    </w:p>
    <w:p w:rsidR="004D7D95" w:rsidRPr="00E119CB" w:rsidRDefault="004D7D95" w:rsidP="004D7D95">
      <w:pPr>
        <w:jc w:val="both"/>
        <w:rPr>
          <w:lang w:val="fr-CA"/>
        </w:rPr>
      </w:pPr>
    </w:p>
    <w:p w:rsidR="004D7D95" w:rsidRPr="00E119CB" w:rsidRDefault="004D7D95" w:rsidP="004D7D95">
      <w:pPr>
        <w:jc w:val="both"/>
        <w:rPr>
          <w:lang w:val="fr-CA"/>
        </w:rPr>
      </w:pPr>
    </w:p>
    <w:p w:rsidR="004D7D95" w:rsidRPr="00E119CB" w:rsidRDefault="00D17B0E" w:rsidP="004D7D95">
      <w:pPr>
        <w:pStyle w:val="SCCSystemYear"/>
        <w:jc w:val="both"/>
        <w:rPr>
          <w:lang w:val="fr-CA"/>
        </w:rPr>
      </w:pPr>
      <w:r w:rsidRPr="00E119CB">
        <w:rPr>
          <w:lang w:val="fr-CA"/>
        </w:rPr>
        <w:t>2018</w:t>
      </w:r>
      <w:r w:rsidR="004D7D95" w:rsidRPr="00E119CB">
        <w:rPr>
          <w:lang w:val="fr-CA"/>
        </w:rPr>
        <w:t xml:space="preserve"> CSC </w:t>
      </w:r>
      <w:r w:rsidR="00976E52">
        <w:rPr>
          <w:lang w:val="fr-CA"/>
        </w:rPr>
        <w:t>47</w:t>
      </w:r>
    </w:p>
    <w:p w:rsidR="004D7D95" w:rsidRPr="00E119CB" w:rsidRDefault="004D7D95" w:rsidP="004D7D95">
      <w:pPr>
        <w:jc w:val="both"/>
        <w:rPr>
          <w:lang w:val="fr-CA"/>
        </w:rPr>
      </w:pPr>
    </w:p>
    <w:p w:rsidR="004D7D95" w:rsidRPr="00E119CB" w:rsidRDefault="004D7D95" w:rsidP="004D7D95">
      <w:pPr>
        <w:jc w:val="both"/>
        <w:rPr>
          <w:lang w:val="fr-CA"/>
        </w:rPr>
      </w:pPr>
    </w:p>
    <w:p w:rsidR="004D7D95" w:rsidRPr="00E119CB" w:rsidRDefault="004D7D95" w:rsidP="004D7D95">
      <w:pPr>
        <w:jc w:val="both"/>
        <w:rPr>
          <w:lang w:val="fr-CA"/>
        </w:rPr>
      </w:pPr>
    </w:p>
    <w:p w:rsidR="004D7D95" w:rsidRPr="00E119CB" w:rsidRDefault="004D7D95" w:rsidP="004D7D95">
      <w:pPr>
        <w:jc w:val="both"/>
        <w:rPr>
          <w:lang w:val="fr-CA"/>
        </w:rPr>
      </w:pPr>
      <w:r w:rsidRPr="00E119CB">
        <w:rPr>
          <w:lang w:val="fr-CA"/>
        </w:rPr>
        <w:t>N</w:t>
      </w:r>
      <w:r w:rsidRPr="00E119CB">
        <w:rPr>
          <w:vertAlign w:val="superscript"/>
          <w:lang w:val="fr-CA"/>
        </w:rPr>
        <w:t>o</w:t>
      </w:r>
      <w:r w:rsidRPr="00E119CB">
        <w:rPr>
          <w:lang w:val="fr-CA"/>
        </w:rPr>
        <w:t xml:space="preserve"> du greffe : 37768.</w:t>
      </w:r>
    </w:p>
    <w:p w:rsidR="004D7D95" w:rsidRPr="00E119CB" w:rsidRDefault="004D7D95" w:rsidP="004D7D95">
      <w:pPr>
        <w:jc w:val="both"/>
        <w:rPr>
          <w:lang w:val="fr-CA"/>
        </w:rPr>
      </w:pPr>
    </w:p>
    <w:p w:rsidR="004D7D95" w:rsidRPr="00E119CB" w:rsidRDefault="004D7D95" w:rsidP="004D7D95">
      <w:pPr>
        <w:jc w:val="both"/>
        <w:rPr>
          <w:lang w:val="fr-CA"/>
        </w:rPr>
      </w:pPr>
    </w:p>
    <w:p w:rsidR="004D7D95" w:rsidRPr="00E119CB" w:rsidRDefault="004D7D95" w:rsidP="004D7D95">
      <w:pPr>
        <w:jc w:val="both"/>
        <w:rPr>
          <w:lang w:val="fr-CA"/>
        </w:rPr>
      </w:pPr>
    </w:p>
    <w:p w:rsidR="004D7D95" w:rsidRPr="00E119CB" w:rsidRDefault="00D17B0E" w:rsidP="004D7D95">
      <w:pPr>
        <w:jc w:val="both"/>
        <w:rPr>
          <w:lang w:val="fr-CA"/>
        </w:rPr>
      </w:pPr>
      <w:r w:rsidRPr="00E119CB">
        <w:rPr>
          <w:lang w:val="fr-CA"/>
        </w:rPr>
        <w:t>2018 : 8 novembre</w:t>
      </w:r>
      <w:r w:rsidR="00F173B9">
        <w:rPr>
          <w:lang w:val="fr-CA"/>
        </w:rPr>
        <w:t>.</w:t>
      </w:r>
    </w:p>
    <w:p w:rsidR="004D7D95" w:rsidRPr="00E119CB" w:rsidRDefault="004D7D95" w:rsidP="004D7D95">
      <w:pPr>
        <w:jc w:val="both"/>
        <w:rPr>
          <w:lang w:val="fr-CA"/>
        </w:rPr>
      </w:pPr>
    </w:p>
    <w:p w:rsidR="004D7D95" w:rsidRPr="00E119CB" w:rsidRDefault="004D7D95" w:rsidP="004D7D95">
      <w:pPr>
        <w:jc w:val="both"/>
        <w:rPr>
          <w:lang w:val="fr-CA"/>
        </w:rPr>
      </w:pPr>
    </w:p>
    <w:p w:rsidR="004D7D95" w:rsidRPr="00E119CB" w:rsidRDefault="004D7D95" w:rsidP="004D7D95">
      <w:pPr>
        <w:jc w:val="both"/>
        <w:rPr>
          <w:lang w:val="fr-CA"/>
        </w:rPr>
      </w:pPr>
      <w:r w:rsidRPr="00E119CB">
        <w:rPr>
          <w:lang w:val="fr-CA"/>
        </w:rPr>
        <w:t>Présents : Le juge en chef Wagner et les juges Abella, Moldaver, Karakatsanis, Gascon, Côté, Brown, Rowe et Martin.</w:t>
      </w:r>
    </w:p>
    <w:p w:rsidR="004D7D95" w:rsidRPr="00E119CB" w:rsidRDefault="004D7D95" w:rsidP="004D7D95">
      <w:pPr>
        <w:jc w:val="both"/>
        <w:rPr>
          <w:lang w:val="fr-CA"/>
        </w:rPr>
      </w:pPr>
    </w:p>
    <w:p w:rsidR="00EE0830" w:rsidRPr="00E119CB" w:rsidRDefault="00EE0830" w:rsidP="004D7D95">
      <w:pPr>
        <w:jc w:val="both"/>
        <w:rPr>
          <w:lang w:val="fr-CA"/>
        </w:rPr>
      </w:pPr>
    </w:p>
    <w:p w:rsidR="00EE0830" w:rsidRPr="00E119CB" w:rsidRDefault="00EE0830" w:rsidP="004D7D95">
      <w:pPr>
        <w:jc w:val="both"/>
        <w:rPr>
          <w:lang w:val="fr-CA"/>
        </w:rPr>
      </w:pPr>
    </w:p>
    <w:p w:rsidR="002B6FBE" w:rsidRPr="00E119CB" w:rsidRDefault="002B6FBE" w:rsidP="000F7993">
      <w:pPr>
        <w:jc w:val="both"/>
        <w:rPr>
          <w:lang w:val="fr-CA"/>
        </w:rPr>
      </w:pPr>
    </w:p>
    <w:p w:rsidR="00BF6FE9" w:rsidRPr="00E119CB" w:rsidRDefault="00BF6FE9" w:rsidP="000F7993">
      <w:pPr>
        <w:jc w:val="both"/>
        <w:rPr>
          <w:lang w:val="fr-CA"/>
        </w:rPr>
      </w:pPr>
    </w:p>
    <w:p w:rsidR="00BF6FE9" w:rsidRPr="00E119CB" w:rsidRDefault="00BF6FE9" w:rsidP="000F7993">
      <w:pPr>
        <w:jc w:val="both"/>
        <w:rPr>
          <w:lang w:val="fr-CA"/>
        </w:rPr>
      </w:pPr>
    </w:p>
    <w:p w:rsidR="005C34E4" w:rsidRPr="00E119CB" w:rsidRDefault="005C34E4">
      <w:pPr>
        <w:rPr>
          <w:lang w:val="fr-CA"/>
        </w:rPr>
      </w:pPr>
    </w:p>
    <w:p w:rsidR="004D7D95" w:rsidRPr="00887621" w:rsidRDefault="004D7D95" w:rsidP="000F7993">
      <w:pPr>
        <w:jc w:val="both"/>
        <w:rPr>
          <w:smallCaps/>
          <w:lang w:val="fr-CA"/>
        </w:rPr>
      </w:pPr>
      <w:r w:rsidRPr="00887621">
        <w:rPr>
          <w:smallCaps/>
          <w:lang w:val="fr-CA"/>
        </w:rPr>
        <w:t>en appel de la cour d’appel fédérale</w:t>
      </w:r>
    </w:p>
    <w:p w:rsidR="004D7D95" w:rsidRPr="00BB4C92" w:rsidRDefault="004D7D95" w:rsidP="004D7D95">
      <w:pPr>
        <w:pStyle w:val="SCCNormalDoubleSpacing"/>
        <w:rPr>
          <w:lang w:val="fr-CA"/>
        </w:rPr>
      </w:pPr>
    </w:p>
    <w:p w:rsidR="002A3F99" w:rsidRPr="00582B94" w:rsidRDefault="004D7D95" w:rsidP="002A3F99">
      <w:pPr>
        <w:pStyle w:val="SCCNormalDoubleSpacing"/>
        <w:rPr>
          <w:i/>
          <w:lang w:val="fr-CA"/>
        </w:rPr>
      </w:pPr>
      <w:r w:rsidRPr="00BB4C92">
        <w:rPr>
          <w:lang w:val="fr-CA"/>
        </w:rPr>
        <w:lastRenderedPageBreak/>
        <w:tab/>
      </w:r>
      <w:r w:rsidR="002A3F99" w:rsidRPr="00582B94">
        <w:rPr>
          <w:i/>
          <w:lang w:val="fr-CA"/>
        </w:rPr>
        <w:t xml:space="preserve">Droit fiscal </w:t>
      </w:r>
      <w:r w:rsidR="00874953">
        <w:rPr>
          <w:i/>
          <w:lang w:val="fr-CA"/>
        </w:rPr>
        <w:t>—</w:t>
      </w:r>
      <w:r w:rsidR="002A3F99" w:rsidRPr="00582B94">
        <w:rPr>
          <w:i/>
          <w:lang w:val="fr-CA"/>
        </w:rPr>
        <w:t xml:space="preserve"> Taxe sur les produits et services </w:t>
      </w:r>
      <w:r w:rsidR="00874953">
        <w:rPr>
          <w:i/>
          <w:lang w:val="fr-CA"/>
        </w:rPr>
        <w:t>—</w:t>
      </w:r>
      <w:r w:rsidR="002A3F99" w:rsidRPr="00582B94">
        <w:rPr>
          <w:i/>
          <w:lang w:val="fr-CA"/>
        </w:rPr>
        <w:t xml:space="preserve"> Perception et remise </w:t>
      </w:r>
      <w:r w:rsidR="00874953">
        <w:rPr>
          <w:i/>
          <w:lang w:val="fr-CA"/>
        </w:rPr>
        <w:t>—</w:t>
      </w:r>
      <w:r w:rsidR="00D8536D" w:rsidRPr="00582B94">
        <w:rPr>
          <w:i/>
          <w:lang w:val="fr-CA"/>
        </w:rPr>
        <w:t xml:space="preserve"> Montants perçus détenus en fiducie</w:t>
      </w:r>
      <w:r w:rsidR="002A3F99" w:rsidRPr="00582B94">
        <w:rPr>
          <w:i/>
          <w:lang w:val="fr-CA"/>
        </w:rPr>
        <w:t xml:space="preserve"> </w:t>
      </w:r>
      <w:r w:rsidR="00874953">
        <w:rPr>
          <w:i/>
          <w:lang w:val="fr-CA"/>
        </w:rPr>
        <w:t>—</w:t>
      </w:r>
      <w:r w:rsidR="002A3F99" w:rsidRPr="00582B94">
        <w:rPr>
          <w:i/>
          <w:lang w:val="fr-CA"/>
        </w:rPr>
        <w:t xml:space="preserve"> Effet de la faillite </w:t>
      </w:r>
      <w:r w:rsidR="00874953">
        <w:rPr>
          <w:i/>
          <w:lang w:val="fr-CA"/>
        </w:rPr>
        <w:t>—</w:t>
      </w:r>
      <w:r w:rsidR="002A3F99" w:rsidRPr="00582B94">
        <w:rPr>
          <w:i/>
          <w:lang w:val="fr-CA"/>
        </w:rPr>
        <w:t xml:space="preserve"> </w:t>
      </w:r>
      <w:r w:rsidR="00D8536D" w:rsidRPr="00582B94">
        <w:rPr>
          <w:i/>
          <w:lang w:val="fr-CA"/>
        </w:rPr>
        <w:t xml:space="preserve">Fiducie présumée créée par la loi </w:t>
      </w:r>
      <w:r w:rsidR="00C96154" w:rsidRPr="00582B94">
        <w:rPr>
          <w:i/>
          <w:lang w:val="fr-CA"/>
        </w:rPr>
        <w:t xml:space="preserve">en faveur de la Couronne </w:t>
      </w:r>
      <w:r w:rsidR="00D8536D" w:rsidRPr="00582B94">
        <w:rPr>
          <w:i/>
          <w:lang w:val="fr-CA"/>
        </w:rPr>
        <w:t>à l’égard des biens d’un débiteur fiscal</w:t>
      </w:r>
      <w:r w:rsidR="00C96154" w:rsidRPr="00582B94">
        <w:rPr>
          <w:i/>
          <w:lang w:val="fr-CA"/>
        </w:rPr>
        <w:t xml:space="preserve"> en vue du paiement de tous les montants perçus au titre de la taxe par le débiteur fiscal mais non remis à </w:t>
      </w:r>
      <w:r w:rsidR="00874953">
        <w:rPr>
          <w:i/>
          <w:lang w:val="fr-CA"/>
        </w:rPr>
        <w:t xml:space="preserve">la </w:t>
      </w:r>
      <w:r w:rsidR="00C96154" w:rsidRPr="00582B94">
        <w:rPr>
          <w:i/>
          <w:lang w:val="fr-CA"/>
        </w:rPr>
        <w:t>Couronne</w:t>
      </w:r>
      <w:r w:rsidR="002A3F99" w:rsidRPr="00582B94">
        <w:rPr>
          <w:i/>
          <w:lang w:val="fr-CA"/>
        </w:rPr>
        <w:t xml:space="preserve"> </w:t>
      </w:r>
      <w:r w:rsidR="00874953">
        <w:rPr>
          <w:i/>
          <w:lang w:val="fr-CA"/>
        </w:rPr>
        <w:t>—</w:t>
      </w:r>
      <w:r w:rsidR="002A3F99" w:rsidRPr="00582B94">
        <w:rPr>
          <w:i/>
          <w:lang w:val="fr-CA"/>
        </w:rPr>
        <w:t xml:space="preserve"> </w:t>
      </w:r>
      <w:r w:rsidR="00C96154" w:rsidRPr="00582B94">
        <w:rPr>
          <w:i/>
          <w:lang w:val="fr-CA"/>
        </w:rPr>
        <w:t xml:space="preserve">Autre disposition de la loi précisant qu’à compter du moment de la faillite d’un débiteur fiscal la fiducie présumée ne s’applique plus aux </w:t>
      </w:r>
      <w:r w:rsidR="00582B94" w:rsidRPr="00582B94">
        <w:rPr>
          <w:i/>
          <w:lang w:val="fr-CA"/>
        </w:rPr>
        <w:t xml:space="preserve">montants </w:t>
      </w:r>
      <w:r w:rsidR="00C96154" w:rsidRPr="00582B94">
        <w:rPr>
          <w:i/>
          <w:lang w:val="fr-CA"/>
        </w:rPr>
        <w:t xml:space="preserve">perçus ou devenus percevables par </w:t>
      </w:r>
      <w:r w:rsidR="00582B94" w:rsidRPr="00582B94">
        <w:rPr>
          <w:i/>
          <w:lang w:val="fr-CA"/>
        </w:rPr>
        <w:t xml:space="preserve">ce dernier </w:t>
      </w:r>
      <w:r w:rsidR="00C96154" w:rsidRPr="00582B94">
        <w:rPr>
          <w:i/>
          <w:lang w:val="fr-CA"/>
        </w:rPr>
        <w:t>avant la faillite au titre de la taxe</w:t>
      </w:r>
      <w:r w:rsidR="002A3F99" w:rsidRPr="00582B94">
        <w:rPr>
          <w:i/>
          <w:lang w:val="fr-CA"/>
        </w:rPr>
        <w:t xml:space="preserve"> </w:t>
      </w:r>
      <w:r w:rsidR="00874953">
        <w:rPr>
          <w:i/>
          <w:lang w:val="fr-CA"/>
        </w:rPr>
        <w:t>—</w:t>
      </w:r>
      <w:r w:rsidR="002A3F99" w:rsidRPr="00582B94">
        <w:rPr>
          <w:i/>
          <w:lang w:val="fr-CA"/>
        </w:rPr>
        <w:t xml:space="preserve"> </w:t>
      </w:r>
      <w:r w:rsidR="00582B94" w:rsidRPr="00582B94">
        <w:rPr>
          <w:i/>
          <w:lang w:val="fr-CA"/>
        </w:rPr>
        <w:t xml:space="preserve">Absence de remise par le débiteur fiscal de </w:t>
      </w:r>
      <w:r w:rsidR="00582B94">
        <w:rPr>
          <w:i/>
          <w:lang w:val="fr-CA"/>
        </w:rPr>
        <w:t>la taxe de vente harmonisée et de la taxe sur les produits et services</w:t>
      </w:r>
      <w:r w:rsidR="002A3F99" w:rsidRPr="00582B94">
        <w:rPr>
          <w:i/>
          <w:lang w:val="fr-CA"/>
        </w:rPr>
        <w:t xml:space="preserve"> </w:t>
      </w:r>
      <w:r w:rsidR="00874953">
        <w:rPr>
          <w:i/>
          <w:lang w:val="fr-CA"/>
        </w:rPr>
        <w:t>—</w:t>
      </w:r>
      <w:r w:rsidR="002A3F99" w:rsidRPr="00582B94">
        <w:rPr>
          <w:i/>
          <w:lang w:val="fr-CA"/>
        </w:rPr>
        <w:t xml:space="preserve"> </w:t>
      </w:r>
      <w:r w:rsidR="00AE63FB">
        <w:rPr>
          <w:i/>
          <w:lang w:val="fr-CA"/>
        </w:rPr>
        <w:t>Demande de paiement des taxes non remises présentée à un créancier garanti du débiteur fiscal sur la base du mécanisme de la fiducie présumée établi par la loi</w:t>
      </w:r>
      <w:r w:rsidR="002A3F99" w:rsidRPr="00582B94">
        <w:rPr>
          <w:i/>
          <w:lang w:val="fr-CA"/>
        </w:rPr>
        <w:t xml:space="preserve"> </w:t>
      </w:r>
      <w:r w:rsidR="00874953">
        <w:rPr>
          <w:i/>
          <w:lang w:val="fr-CA"/>
        </w:rPr>
        <w:t>—</w:t>
      </w:r>
      <w:r w:rsidR="002A3F99" w:rsidRPr="00582B94">
        <w:rPr>
          <w:i/>
          <w:lang w:val="fr-CA"/>
        </w:rPr>
        <w:t xml:space="preserve"> </w:t>
      </w:r>
      <w:r w:rsidR="00AE63FB">
        <w:rPr>
          <w:i/>
          <w:lang w:val="fr-CA"/>
        </w:rPr>
        <w:t>Cession en faillite par le débiteur fiscal</w:t>
      </w:r>
      <w:r w:rsidR="002A3F99" w:rsidRPr="00582B94">
        <w:rPr>
          <w:i/>
          <w:lang w:val="fr-CA"/>
        </w:rPr>
        <w:t xml:space="preserve"> </w:t>
      </w:r>
      <w:r w:rsidR="00874953">
        <w:rPr>
          <w:i/>
          <w:lang w:val="fr-CA"/>
        </w:rPr>
        <w:t>—</w:t>
      </w:r>
      <w:r w:rsidR="00AE63FB">
        <w:rPr>
          <w:i/>
          <w:lang w:val="fr-CA"/>
        </w:rPr>
        <w:t xml:space="preserve"> Introduction par la Couronne contre le créancier </w:t>
      </w:r>
      <w:r w:rsidR="00550D21">
        <w:rPr>
          <w:i/>
          <w:lang w:val="fr-CA"/>
        </w:rPr>
        <w:t>d’une action en recouvrement des taxes non remises</w:t>
      </w:r>
      <w:r w:rsidR="002A3F99" w:rsidRPr="00582B94">
        <w:rPr>
          <w:i/>
          <w:lang w:val="fr-CA"/>
        </w:rPr>
        <w:t xml:space="preserve"> </w:t>
      </w:r>
      <w:r w:rsidR="00874953">
        <w:rPr>
          <w:i/>
          <w:lang w:val="fr-CA"/>
        </w:rPr>
        <w:t>—</w:t>
      </w:r>
      <w:r w:rsidR="00D96029">
        <w:rPr>
          <w:i/>
          <w:lang w:val="fr-CA"/>
        </w:rPr>
        <w:t xml:space="preserve"> Dépôt par consentement d’une requête du créancier en vue de faire trancher un point de droit</w:t>
      </w:r>
      <w:r w:rsidR="002A3F99" w:rsidRPr="00582B94">
        <w:rPr>
          <w:i/>
          <w:lang w:val="fr-CA"/>
        </w:rPr>
        <w:t xml:space="preserve"> </w:t>
      </w:r>
      <w:r w:rsidR="00874953">
        <w:rPr>
          <w:i/>
          <w:lang w:val="fr-CA"/>
        </w:rPr>
        <w:t>—</w:t>
      </w:r>
      <w:r w:rsidR="00D96029">
        <w:rPr>
          <w:i/>
          <w:lang w:val="fr-CA"/>
        </w:rPr>
        <w:t xml:space="preserve"> Décision de la Cour fédérale portant que </w:t>
      </w:r>
      <w:r w:rsidR="002B73CC">
        <w:rPr>
          <w:i/>
          <w:lang w:val="fr-CA"/>
        </w:rPr>
        <w:t xml:space="preserve">la faillite du débiteur fiscal et l’application de la loi </w:t>
      </w:r>
      <w:r w:rsidR="00130A3A">
        <w:rPr>
          <w:i/>
          <w:lang w:val="fr-CA"/>
        </w:rPr>
        <w:t xml:space="preserve">ont pour effet de rendre </w:t>
      </w:r>
      <w:r w:rsidR="00D91326">
        <w:rPr>
          <w:i/>
          <w:lang w:val="fr-CA"/>
        </w:rPr>
        <w:t xml:space="preserve">la fiducie présumée </w:t>
      </w:r>
      <w:r w:rsidR="00130A3A">
        <w:rPr>
          <w:i/>
          <w:lang w:val="fr-CA"/>
        </w:rPr>
        <w:t xml:space="preserve">inopposable </w:t>
      </w:r>
      <w:r w:rsidR="00D91326">
        <w:rPr>
          <w:i/>
          <w:lang w:val="fr-CA"/>
        </w:rPr>
        <w:t xml:space="preserve">à un créancier garanti </w:t>
      </w:r>
      <w:r w:rsidR="00130A3A" w:rsidRPr="00130A3A">
        <w:rPr>
          <w:i/>
          <w:lang w:val="fr-CA"/>
        </w:rPr>
        <w:t xml:space="preserve">qui a </w:t>
      </w:r>
      <w:r w:rsidR="00130A3A" w:rsidRPr="00874953">
        <w:rPr>
          <w:i/>
          <w:lang w:val="fr-CA"/>
        </w:rPr>
        <w:t>reçu, avant la faillite, le</w:t>
      </w:r>
      <w:r w:rsidR="00130A3A" w:rsidRPr="00130A3A">
        <w:rPr>
          <w:i/>
          <w:lang w:val="fr-CA"/>
        </w:rPr>
        <w:t xml:space="preserve"> produit de biens du débiteur fiscal réputé</w:t>
      </w:r>
      <w:r w:rsidR="005D1F0B">
        <w:rPr>
          <w:i/>
          <w:lang w:val="fr-CA"/>
        </w:rPr>
        <w:t>s</w:t>
      </w:r>
      <w:r w:rsidR="00130A3A" w:rsidRPr="00130A3A">
        <w:rPr>
          <w:i/>
          <w:lang w:val="fr-CA"/>
        </w:rPr>
        <w:t xml:space="preserve"> détenu</w:t>
      </w:r>
      <w:r w:rsidR="005D1F0B">
        <w:rPr>
          <w:i/>
          <w:lang w:val="fr-CA"/>
        </w:rPr>
        <w:t>s</w:t>
      </w:r>
      <w:r w:rsidR="00130A3A" w:rsidRPr="00130A3A">
        <w:rPr>
          <w:i/>
          <w:lang w:val="fr-CA"/>
        </w:rPr>
        <w:t xml:space="preserve"> en fiducie </w:t>
      </w:r>
      <w:r w:rsidR="005D1F0B">
        <w:rPr>
          <w:i/>
          <w:lang w:val="fr-CA"/>
        </w:rPr>
        <w:t>pour la Couronn</w:t>
      </w:r>
      <w:r w:rsidR="005D1F0B" w:rsidRPr="00874953">
        <w:rPr>
          <w:i/>
          <w:lang w:val="fr-CA"/>
        </w:rPr>
        <w:t>e</w:t>
      </w:r>
      <w:r w:rsidR="002A3F99" w:rsidRPr="00582B94">
        <w:rPr>
          <w:i/>
          <w:lang w:val="fr-CA"/>
        </w:rPr>
        <w:t xml:space="preserve"> </w:t>
      </w:r>
      <w:r w:rsidR="00874953">
        <w:rPr>
          <w:i/>
          <w:lang w:val="fr-CA"/>
        </w:rPr>
        <w:t>—</w:t>
      </w:r>
      <w:r w:rsidR="00A15912">
        <w:rPr>
          <w:i/>
          <w:lang w:val="fr-CA"/>
        </w:rPr>
        <w:t xml:space="preserve"> Décision </w:t>
      </w:r>
      <w:r w:rsidR="00C93B67">
        <w:rPr>
          <w:i/>
          <w:lang w:val="fr-CA"/>
        </w:rPr>
        <w:t xml:space="preserve">infirmée </w:t>
      </w:r>
      <w:r w:rsidR="000F6DD3">
        <w:rPr>
          <w:i/>
          <w:lang w:val="fr-CA"/>
        </w:rPr>
        <w:t>à la majorité par la</w:t>
      </w:r>
      <w:r w:rsidR="00A15912">
        <w:rPr>
          <w:i/>
          <w:lang w:val="fr-CA"/>
        </w:rPr>
        <w:t xml:space="preserve"> Cour </w:t>
      </w:r>
      <w:r w:rsidR="000F6DD3">
        <w:rPr>
          <w:i/>
          <w:lang w:val="fr-CA"/>
        </w:rPr>
        <w:t xml:space="preserve">d’appel </w:t>
      </w:r>
      <w:r w:rsidR="00874953">
        <w:rPr>
          <w:i/>
          <w:lang w:val="fr-CA"/>
        </w:rPr>
        <w:t>—</w:t>
      </w:r>
      <w:r w:rsidR="000F6DD3">
        <w:rPr>
          <w:i/>
          <w:lang w:val="fr-CA"/>
        </w:rPr>
        <w:t xml:space="preserve"> Ordonnance de la Cour fédérale rétablie</w:t>
      </w:r>
      <w:r w:rsidR="002A3F99" w:rsidRPr="00582B94">
        <w:rPr>
          <w:i/>
          <w:lang w:val="fr-CA"/>
        </w:rPr>
        <w:t xml:space="preserve"> </w:t>
      </w:r>
      <w:r w:rsidR="00874953">
        <w:rPr>
          <w:i/>
          <w:lang w:val="fr-CA"/>
        </w:rPr>
        <w:t>—</w:t>
      </w:r>
      <w:r w:rsidR="002A3F99" w:rsidRPr="00582B94">
        <w:rPr>
          <w:i/>
          <w:lang w:val="fr-CA"/>
        </w:rPr>
        <w:t xml:space="preserve"> </w:t>
      </w:r>
      <w:r w:rsidR="00874953">
        <w:rPr>
          <w:i/>
          <w:lang w:val="fr-CA"/>
        </w:rPr>
        <w:t>L</w:t>
      </w:r>
      <w:r w:rsidR="000F6DD3">
        <w:rPr>
          <w:i/>
          <w:lang w:val="fr-CA"/>
        </w:rPr>
        <w:t>oi sur la taxe d’accise</w:t>
      </w:r>
      <w:r w:rsidR="002A3F99" w:rsidRPr="00582B94">
        <w:rPr>
          <w:i/>
          <w:lang w:val="fr-CA"/>
        </w:rPr>
        <w:t xml:space="preserve">, </w:t>
      </w:r>
      <w:r w:rsidR="000F6DD3">
        <w:rPr>
          <w:i/>
          <w:lang w:val="fr-CA"/>
        </w:rPr>
        <w:t>L.R.C.</w:t>
      </w:r>
      <w:r w:rsidR="002A3F99" w:rsidRPr="00582B94">
        <w:rPr>
          <w:i/>
          <w:lang w:val="fr-CA"/>
        </w:rPr>
        <w:t xml:space="preserve"> 1985, c. E-15, </w:t>
      </w:r>
      <w:r w:rsidR="000F6DD3">
        <w:rPr>
          <w:i/>
          <w:lang w:val="fr-CA"/>
        </w:rPr>
        <w:t>art</w:t>
      </w:r>
      <w:r w:rsidR="002A3F99" w:rsidRPr="00582B94">
        <w:rPr>
          <w:i/>
          <w:lang w:val="fr-CA"/>
        </w:rPr>
        <w:t>. 222.</w:t>
      </w:r>
    </w:p>
    <w:p w:rsidR="004D7D95" w:rsidRPr="00582B94" w:rsidRDefault="004D7D95" w:rsidP="004D7D95">
      <w:pPr>
        <w:pStyle w:val="SCCNormalDoubleSpacing"/>
        <w:rPr>
          <w:lang w:val="fr-CA"/>
        </w:rPr>
      </w:pPr>
    </w:p>
    <w:p w:rsidR="004D7D95" w:rsidRPr="004D7D95" w:rsidRDefault="004D7D95" w:rsidP="004D7D95">
      <w:pPr>
        <w:pStyle w:val="SCCNormalDoubleSpacing"/>
        <w:spacing w:line="240" w:lineRule="auto"/>
        <w:rPr>
          <w:b/>
          <w:lang w:val="fr-CA"/>
        </w:rPr>
      </w:pPr>
      <w:r w:rsidRPr="004D7D95">
        <w:rPr>
          <w:b/>
          <w:lang w:val="fr-CA"/>
        </w:rPr>
        <w:t>Lois et règlements cités</w:t>
      </w:r>
    </w:p>
    <w:p w:rsidR="004D7D95" w:rsidRDefault="004D7D95" w:rsidP="004D7D95">
      <w:pPr>
        <w:pStyle w:val="SCCNormalDoubleSpacing"/>
        <w:spacing w:line="240" w:lineRule="auto"/>
        <w:ind w:left="540" w:hanging="540"/>
        <w:rPr>
          <w:lang w:val="fr-CA"/>
        </w:rPr>
      </w:pPr>
    </w:p>
    <w:p w:rsidR="00276411" w:rsidRPr="004D7D95" w:rsidRDefault="00276411" w:rsidP="004D7D95">
      <w:pPr>
        <w:pStyle w:val="SCCNormalDoubleSpacing"/>
        <w:spacing w:line="240" w:lineRule="auto"/>
        <w:ind w:left="540" w:hanging="540"/>
        <w:rPr>
          <w:lang w:val="fr-CA"/>
        </w:rPr>
      </w:pPr>
    </w:p>
    <w:p w:rsidR="004D7D95" w:rsidRPr="004D7D95" w:rsidRDefault="00276411" w:rsidP="004D7D95">
      <w:pPr>
        <w:pStyle w:val="SCCNormalDoubleSpacing"/>
        <w:spacing w:line="240" w:lineRule="auto"/>
        <w:ind w:left="540" w:hanging="540"/>
        <w:rPr>
          <w:lang w:val="fr-CA"/>
        </w:rPr>
      </w:pPr>
      <w:r w:rsidRPr="00276411">
        <w:rPr>
          <w:i/>
          <w:lang w:val="fr-CA"/>
        </w:rPr>
        <w:t>Loi sur la taxe d’accise</w:t>
      </w:r>
      <w:r w:rsidR="00874953">
        <w:rPr>
          <w:lang w:val="fr-CA"/>
        </w:rPr>
        <w:t>, L.R.C. 1985, c. E-15, art. 2</w:t>
      </w:r>
      <w:r>
        <w:rPr>
          <w:lang w:val="fr-CA"/>
        </w:rPr>
        <w:t>22.</w:t>
      </w:r>
    </w:p>
    <w:p w:rsidR="004D7D95" w:rsidRPr="004D7D95" w:rsidRDefault="004D7D95" w:rsidP="004D7D95">
      <w:pPr>
        <w:pStyle w:val="SCCNormalDoubleSpacing"/>
        <w:spacing w:line="240" w:lineRule="auto"/>
        <w:ind w:left="540" w:hanging="540"/>
        <w:rPr>
          <w:lang w:val="fr-CA"/>
        </w:rPr>
      </w:pPr>
    </w:p>
    <w:p w:rsidR="004D7D95" w:rsidRPr="004D7D95" w:rsidRDefault="004D7D95" w:rsidP="004D7D95">
      <w:pPr>
        <w:pStyle w:val="SCCNormalDoubleSpacing"/>
        <w:spacing w:line="240" w:lineRule="auto"/>
        <w:ind w:left="540" w:hanging="540"/>
        <w:rPr>
          <w:lang w:val="fr-CA"/>
        </w:rPr>
      </w:pPr>
    </w:p>
    <w:p w:rsidR="004D7D95" w:rsidRPr="004D7D95" w:rsidRDefault="004D7D95" w:rsidP="004D7D95">
      <w:pPr>
        <w:pStyle w:val="SCCNormalDoubleSpacing"/>
        <w:spacing w:line="240" w:lineRule="auto"/>
        <w:ind w:left="540" w:hanging="540"/>
        <w:rPr>
          <w:lang w:val="fr-CA"/>
        </w:rPr>
      </w:pPr>
    </w:p>
    <w:p w:rsidR="004D7D95" w:rsidRPr="0044677E" w:rsidRDefault="00E44CD3" w:rsidP="004D7D95">
      <w:pPr>
        <w:pStyle w:val="SCCNormalDoubleSpacing"/>
        <w:rPr>
          <w:lang w:val="fr-CA"/>
        </w:rPr>
      </w:pPr>
      <w:r>
        <w:rPr>
          <w:lang w:val="fr-CA"/>
        </w:rPr>
        <w:tab/>
      </w:r>
      <w:r w:rsidR="004D7D95" w:rsidRPr="004D7D95">
        <w:rPr>
          <w:lang w:val="fr-CA"/>
        </w:rPr>
        <w:t xml:space="preserve">POURVOI contre un arrêt de la </w:t>
      </w:r>
      <w:r w:rsidR="004D7D95" w:rsidRPr="00E119CB">
        <w:rPr>
          <w:lang w:val="fr-CA"/>
        </w:rPr>
        <w:t>Cour d’appel fédérale</w:t>
      </w:r>
      <w:r>
        <w:rPr>
          <w:lang w:val="fr-CA"/>
        </w:rPr>
        <w:t xml:space="preserve"> (les juges Pelletier, Near et Rennie), </w:t>
      </w:r>
      <w:r w:rsidR="00C24A42">
        <w:rPr>
          <w:lang w:val="fr-CA"/>
        </w:rPr>
        <w:t xml:space="preserve">2017 </w:t>
      </w:r>
      <w:r w:rsidR="002A3B00">
        <w:rPr>
          <w:lang w:val="fr-CA"/>
        </w:rPr>
        <w:t>CAF</w:t>
      </w:r>
      <w:r w:rsidR="00C24A42">
        <w:rPr>
          <w:lang w:val="fr-CA"/>
        </w:rPr>
        <w:t xml:space="preserve"> 162, 414 D.L.R. (4th) 132, </w:t>
      </w:r>
      <w:r w:rsidR="0025621F">
        <w:rPr>
          <w:lang w:val="fr-CA"/>
        </w:rPr>
        <w:t xml:space="preserve">51 C.B.R. (6th) 15, </w:t>
      </w:r>
      <w:r w:rsidR="00C24A42">
        <w:rPr>
          <w:lang w:val="fr-CA"/>
        </w:rPr>
        <w:t xml:space="preserve">37 E.T.R. </w:t>
      </w:r>
      <w:r w:rsidR="00C24A42">
        <w:rPr>
          <w:lang w:val="fr-CA"/>
        </w:rPr>
        <w:lastRenderedPageBreak/>
        <w:t xml:space="preserve">(4th) 177, </w:t>
      </w:r>
      <w:r w:rsidR="0025621F">
        <w:rPr>
          <w:lang w:val="fr-CA"/>
        </w:rPr>
        <w:t xml:space="preserve">[2017] G.S.T.C. 60, </w:t>
      </w:r>
      <w:r w:rsidR="00C24A42">
        <w:rPr>
          <w:lang w:val="fr-CA"/>
        </w:rPr>
        <w:t xml:space="preserve">8 P.P.S.A.C. (4th) 1, </w:t>
      </w:r>
      <w:r w:rsidR="0038488C">
        <w:rPr>
          <w:lang w:val="fr-CA"/>
        </w:rPr>
        <w:t>[2017] A.C.F. n</w:t>
      </w:r>
      <w:r w:rsidR="0038488C" w:rsidRPr="0038488C">
        <w:rPr>
          <w:vertAlign w:val="superscript"/>
          <w:lang w:val="fr-CA"/>
        </w:rPr>
        <w:t>o</w:t>
      </w:r>
      <w:r w:rsidR="0038488C">
        <w:rPr>
          <w:lang w:val="fr-CA"/>
        </w:rPr>
        <w:t xml:space="preserve"> 767 (QL), 2017 CarswellNat </w:t>
      </w:r>
      <w:r w:rsidR="00874953">
        <w:rPr>
          <w:lang w:val="fr-CA"/>
        </w:rPr>
        <w:t>9496</w:t>
      </w:r>
      <w:r w:rsidR="0038488C">
        <w:rPr>
          <w:lang w:val="fr-CA"/>
        </w:rPr>
        <w:t xml:space="preserve"> </w:t>
      </w:r>
      <w:r w:rsidR="00443812">
        <w:rPr>
          <w:lang w:val="fr-CA"/>
        </w:rPr>
        <w:t>(WL Can.)</w:t>
      </w:r>
      <w:r w:rsidR="0038488C">
        <w:rPr>
          <w:lang w:val="fr-CA"/>
        </w:rPr>
        <w:t xml:space="preserve">, </w:t>
      </w:r>
      <w:r w:rsidR="0028475C">
        <w:rPr>
          <w:lang w:val="fr-CA"/>
        </w:rPr>
        <w:t xml:space="preserve">qui a infirmé une décision </w:t>
      </w:r>
      <w:r w:rsidR="000A1B4F">
        <w:rPr>
          <w:lang w:val="fr-CA"/>
        </w:rPr>
        <w:t xml:space="preserve">de la </w:t>
      </w:r>
      <w:r w:rsidR="0028475C">
        <w:rPr>
          <w:lang w:val="fr-CA"/>
        </w:rPr>
        <w:t xml:space="preserve">juge McVeigh, 2015 </w:t>
      </w:r>
      <w:r w:rsidR="002A3B00">
        <w:rPr>
          <w:lang w:val="fr-CA"/>
        </w:rPr>
        <w:t>CF</w:t>
      </w:r>
      <w:r w:rsidR="0028475C">
        <w:rPr>
          <w:lang w:val="fr-CA"/>
        </w:rPr>
        <w:t xml:space="preserve"> 977,</w:t>
      </w:r>
      <w:r w:rsidR="0044677E">
        <w:rPr>
          <w:lang w:val="fr-CA"/>
        </w:rPr>
        <w:t xml:space="preserve"> </w:t>
      </w:r>
      <w:r w:rsidR="0044677E" w:rsidRPr="0044677E">
        <w:rPr>
          <w:lang w:val="fr-CA"/>
        </w:rPr>
        <w:t xml:space="preserve">28 C.B.R. (6th) 209, </w:t>
      </w:r>
      <w:r w:rsidR="0025621F" w:rsidRPr="0044677E">
        <w:rPr>
          <w:lang w:val="fr-CA"/>
        </w:rPr>
        <w:t xml:space="preserve">13 E.T.R. (4th) 43, </w:t>
      </w:r>
      <w:r w:rsidR="0044677E" w:rsidRPr="0044677E">
        <w:rPr>
          <w:lang w:val="fr-CA"/>
        </w:rPr>
        <w:t xml:space="preserve">[2015] G.S.T.C. 105, 5 P.P.S.A.C. (4th) 29, [2015] </w:t>
      </w:r>
      <w:r w:rsidR="002A3B00">
        <w:rPr>
          <w:lang w:val="fr-CA"/>
        </w:rPr>
        <w:t>A.C.F.</w:t>
      </w:r>
      <w:r w:rsidR="0044677E" w:rsidRPr="0044677E">
        <w:rPr>
          <w:lang w:val="fr-CA"/>
        </w:rPr>
        <w:t xml:space="preserve"> </w:t>
      </w:r>
      <w:r w:rsidR="002A3B00">
        <w:rPr>
          <w:lang w:val="fr-CA"/>
        </w:rPr>
        <w:t>n</w:t>
      </w:r>
      <w:r w:rsidR="002A3B00" w:rsidRPr="002A3B00">
        <w:rPr>
          <w:vertAlign w:val="superscript"/>
          <w:lang w:val="fr-CA"/>
        </w:rPr>
        <w:t>o</w:t>
      </w:r>
      <w:r w:rsidR="0044677E" w:rsidRPr="002A3B00">
        <w:rPr>
          <w:vertAlign w:val="superscript"/>
          <w:lang w:val="fr-CA"/>
        </w:rPr>
        <w:t xml:space="preserve"> </w:t>
      </w:r>
      <w:r w:rsidR="0044677E" w:rsidRPr="0044677E">
        <w:rPr>
          <w:lang w:val="fr-CA"/>
        </w:rPr>
        <w:t xml:space="preserve">1111 (QL), 2015 CarswellNat </w:t>
      </w:r>
      <w:r w:rsidR="00DB117E">
        <w:rPr>
          <w:lang w:val="fr-CA"/>
        </w:rPr>
        <w:t>8223</w:t>
      </w:r>
      <w:r w:rsidR="0044677E" w:rsidRPr="0044677E">
        <w:rPr>
          <w:lang w:val="fr-CA"/>
        </w:rPr>
        <w:t xml:space="preserve"> (WL Can.).</w:t>
      </w:r>
      <w:r w:rsidR="00DB117E">
        <w:rPr>
          <w:lang w:val="fr-CA"/>
        </w:rPr>
        <w:t xml:space="preserve"> </w:t>
      </w:r>
      <w:r w:rsidR="00276411">
        <w:rPr>
          <w:lang w:val="fr-CA"/>
        </w:rPr>
        <w:t>Pourvoi accueilli</w:t>
      </w:r>
      <w:r w:rsidR="0044677E">
        <w:rPr>
          <w:lang w:val="fr-CA"/>
        </w:rPr>
        <w:t>.</w:t>
      </w:r>
    </w:p>
    <w:p w:rsidR="004D7D95" w:rsidRPr="004D7D95" w:rsidRDefault="004D7D95" w:rsidP="004D7D95">
      <w:pPr>
        <w:pStyle w:val="SCCNormalDoubleSpacing"/>
        <w:rPr>
          <w:lang w:val="fr-CA"/>
        </w:rPr>
      </w:pPr>
    </w:p>
    <w:p w:rsidR="005C34E4" w:rsidRPr="00E119CB" w:rsidRDefault="00E119CB">
      <w:pPr>
        <w:pStyle w:val="SCCNormalDoubleSpacing"/>
        <w:rPr>
          <w:lang w:val="fr-CA"/>
        </w:rPr>
      </w:pPr>
      <w:r w:rsidRPr="00E119CB">
        <w:rPr>
          <w:rStyle w:val="SCCCounselNameChar"/>
          <w:lang w:val="fr-CA"/>
        </w:rPr>
        <w:tab/>
        <w:t>Harvey G. Chaiton</w:t>
      </w:r>
      <w:r w:rsidRPr="00E119CB">
        <w:rPr>
          <w:rStyle w:val="SCCCounselSeparatorChar"/>
          <w:lang w:val="fr-CA"/>
        </w:rPr>
        <w:t xml:space="preserve"> et </w:t>
      </w:r>
      <w:r w:rsidRPr="00E119CB">
        <w:rPr>
          <w:rStyle w:val="SCCCounselNameChar"/>
          <w:lang w:val="fr-CA"/>
        </w:rPr>
        <w:t>Sam Rappos</w:t>
      </w:r>
      <w:r w:rsidR="00887621">
        <w:rPr>
          <w:rStyle w:val="SCCCounselPartyRoleChar"/>
          <w:lang w:val="fr-CA"/>
        </w:rPr>
        <w:t>, pour l’appelante</w:t>
      </w:r>
      <w:r w:rsidRPr="00E119CB">
        <w:rPr>
          <w:rStyle w:val="SCCCounselPartyRoleChar"/>
          <w:lang w:val="fr-CA"/>
        </w:rPr>
        <w:t>.</w:t>
      </w:r>
    </w:p>
    <w:p w:rsidR="005C34E4" w:rsidRPr="00E119CB" w:rsidRDefault="005C34E4">
      <w:pPr>
        <w:pStyle w:val="SCCNormalDoubleSpacing"/>
        <w:rPr>
          <w:lang w:val="fr-CA"/>
        </w:rPr>
      </w:pPr>
    </w:p>
    <w:p w:rsidR="005C34E4" w:rsidRPr="00E119CB" w:rsidRDefault="00E119CB">
      <w:pPr>
        <w:pStyle w:val="SCCNormalDoubleSpacing"/>
        <w:rPr>
          <w:lang w:val="fr-CA"/>
        </w:rPr>
      </w:pPr>
      <w:r w:rsidRPr="00E119CB">
        <w:rPr>
          <w:rStyle w:val="SCCCounselNameChar"/>
          <w:lang w:val="fr-CA"/>
        </w:rPr>
        <w:tab/>
        <w:t>Michael Taylor</w:t>
      </w:r>
      <w:r w:rsidRPr="00E119CB">
        <w:rPr>
          <w:rStyle w:val="SCCCounselSeparatorChar"/>
          <w:lang w:val="fr-CA"/>
        </w:rPr>
        <w:t xml:space="preserve"> et </w:t>
      </w:r>
      <w:r w:rsidR="007350A7">
        <w:rPr>
          <w:rStyle w:val="SCCCounselNameChar"/>
          <w:lang w:val="fr-CA"/>
        </w:rPr>
        <w:t>Louis L’</w:t>
      </w:r>
      <w:r w:rsidRPr="00E119CB">
        <w:rPr>
          <w:rStyle w:val="SCCCounselNameChar"/>
          <w:lang w:val="fr-CA"/>
        </w:rPr>
        <w:t>Heureux</w:t>
      </w:r>
      <w:r w:rsidRPr="00E119CB">
        <w:rPr>
          <w:rStyle w:val="SCCCounselPartyRoleChar"/>
          <w:lang w:val="fr-CA"/>
        </w:rPr>
        <w:t>, pour</w:t>
      </w:r>
      <w:r w:rsidR="007350A7">
        <w:rPr>
          <w:rStyle w:val="SCCCounselPartyRoleChar"/>
          <w:lang w:val="fr-CA"/>
        </w:rPr>
        <w:t xml:space="preserve"> l’</w:t>
      </w:r>
      <w:r w:rsidR="00887621">
        <w:rPr>
          <w:rStyle w:val="SCCCounselPartyRoleChar"/>
          <w:lang w:val="fr-CA"/>
        </w:rPr>
        <w:t>intimée</w:t>
      </w:r>
      <w:r w:rsidRPr="00E119CB">
        <w:rPr>
          <w:rStyle w:val="SCCCounselPartyRoleChar"/>
          <w:lang w:val="fr-CA"/>
        </w:rPr>
        <w:t>.</w:t>
      </w:r>
    </w:p>
    <w:p w:rsidR="005C34E4" w:rsidRPr="00E119CB" w:rsidRDefault="005C34E4">
      <w:pPr>
        <w:pStyle w:val="SCCNormalDoubleSpacing"/>
        <w:rPr>
          <w:lang w:val="fr-CA"/>
        </w:rPr>
      </w:pPr>
    </w:p>
    <w:p w:rsidR="005C34E4" w:rsidRPr="00E119CB" w:rsidRDefault="00E119CB">
      <w:pPr>
        <w:pStyle w:val="SCCNormalDoubleSpacing"/>
        <w:rPr>
          <w:lang w:val="fr-CA"/>
        </w:rPr>
      </w:pPr>
      <w:r w:rsidRPr="00E119CB">
        <w:rPr>
          <w:rStyle w:val="SCCCounselNameChar"/>
          <w:lang w:val="fr-CA"/>
        </w:rPr>
        <w:tab/>
        <w:t>Grant B. Moffat</w:t>
      </w:r>
      <w:r w:rsidRPr="00E119CB">
        <w:rPr>
          <w:rStyle w:val="SCCCounselSeparatorChar"/>
          <w:lang w:val="fr-CA"/>
        </w:rPr>
        <w:t xml:space="preserve"> et </w:t>
      </w:r>
      <w:r w:rsidR="00177C13">
        <w:rPr>
          <w:rStyle w:val="SCCCounselNameChar"/>
          <w:lang w:val="fr-CA"/>
        </w:rPr>
        <w:t>D.</w:t>
      </w:r>
      <w:r w:rsidR="008E7CD9">
        <w:rPr>
          <w:rStyle w:val="SCCCounselNameChar"/>
          <w:lang w:val="fr-CA"/>
        </w:rPr>
        <w:t xml:space="preserve"> </w:t>
      </w:r>
      <w:r w:rsidR="00177C13">
        <w:rPr>
          <w:rStyle w:val="SCCCounselNameChar"/>
          <w:lang w:val="fr-CA"/>
        </w:rPr>
        <w:t>J. Mi</w:t>
      </w:r>
      <w:r w:rsidRPr="00E119CB">
        <w:rPr>
          <w:rStyle w:val="SCCCounselNameChar"/>
          <w:lang w:val="fr-CA"/>
        </w:rPr>
        <w:t>ller</w:t>
      </w:r>
      <w:r w:rsidR="00887621">
        <w:rPr>
          <w:rStyle w:val="SCCCounselPartyRoleChar"/>
          <w:lang w:val="fr-CA"/>
        </w:rPr>
        <w:t>, pour l’intervenant l’</w:t>
      </w:r>
      <w:r w:rsidR="007350A7">
        <w:rPr>
          <w:rStyle w:val="SCCCounselPartyRoleChar"/>
          <w:lang w:val="fr-CA"/>
        </w:rPr>
        <w:t>Institut d’</w:t>
      </w:r>
      <w:r w:rsidRPr="00E119CB">
        <w:rPr>
          <w:rStyle w:val="SCCCounselPartyRoleChar"/>
          <w:lang w:val="fr-CA"/>
        </w:rPr>
        <w:t>insolvabilité du Canada.</w:t>
      </w:r>
    </w:p>
    <w:p w:rsidR="005C34E4" w:rsidRPr="00E119CB" w:rsidRDefault="005C34E4">
      <w:pPr>
        <w:pStyle w:val="SCCNormalDoubleSpacing"/>
        <w:rPr>
          <w:lang w:val="fr-CA"/>
        </w:rPr>
      </w:pPr>
    </w:p>
    <w:p w:rsidR="005C34E4" w:rsidRPr="00E119CB" w:rsidRDefault="00E119CB">
      <w:pPr>
        <w:pStyle w:val="SCCNormalDoubleSpacing"/>
        <w:rPr>
          <w:lang w:val="fr-CA"/>
        </w:rPr>
      </w:pPr>
      <w:r w:rsidRPr="00E119CB">
        <w:rPr>
          <w:rStyle w:val="SCCCounselNameChar"/>
          <w:lang w:val="fr-CA"/>
        </w:rPr>
        <w:tab/>
        <w:t>Éric Vallières</w:t>
      </w:r>
      <w:r w:rsidR="007350A7">
        <w:rPr>
          <w:rStyle w:val="SCCCounselSeparatorChar"/>
          <w:lang w:val="fr-CA"/>
        </w:rPr>
        <w:t xml:space="preserve"> et</w:t>
      </w:r>
      <w:r w:rsidRPr="00E119CB">
        <w:rPr>
          <w:rStyle w:val="SCCCounselSeparatorChar"/>
          <w:lang w:val="fr-CA"/>
        </w:rPr>
        <w:t xml:space="preserve"> </w:t>
      </w:r>
      <w:r w:rsidRPr="00E119CB">
        <w:rPr>
          <w:rStyle w:val="SCCCounselNameChar"/>
          <w:lang w:val="fr-CA"/>
        </w:rPr>
        <w:t>Michael J. Hanlon</w:t>
      </w:r>
      <w:r w:rsidR="00887621">
        <w:rPr>
          <w:rStyle w:val="SCCCounselPartyRoleChar"/>
          <w:lang w:val="fr-CA"/>
        </w:rPr>
        <w:t>, pour l’intervenante</w:t>
      </w:r>
      <w:r w:rsidRPr="00E119CB">
        <w:rPr>
          <w:rStyle w:val="SCCCounselPartyRoleChar"/>
          <w:lang w:val="fr-CA"/>
        </w:rPr>
        <w:t xml:space="preserve"> </w:t>
      </w:r>
      <w:r w:rsidR="007350A7">
        <w:rPr>
          <w:rStyle w:val="SCCCounselPartyRoleChar"/>
          <w:lang w:val="fr-CA"/>
        </w:rPr>
        <w:t>l’</w:t>
      </w:r>
      <w:r w:rsidRPr="00E119CB">
        <w:rPr>
          <w:rStyle w:val="SCCCounselPartyRoleChar"/>
          <w:lang w:val="fr-CA"/>
        </w:rPr>
        <w:t>Association canadienne des professionnels de l’insolvabilité et de la réorganisation.</w:t>
      </w:r>
    </w:p>
    <w:p w:rsidR="005C34E4" w:rsidRPr="00E119CB" w:rsidRDefault="005C34E4">
      <w:pPr>
        <w:pStyle w:val="SCCNormalDoubleSpacing"/>
        <w:rPr>
          <w:lang w:val="fr-CA"/>
        </w:rPr>
      </w:pPr>
    </w:p>
    <w:p w:rsidR="005C34E4" w:rsidRPr="00E119CB" w:rsidRDefault="00E119CB">
      <w:pPr>
        <w:pStyle w:val="SCCNormalDoubleSpacing"/>
        <w:rPr>
          <w:lang w:val="fr-CA"/>
        </w:rPr>
      </w:pPr>
      <w:r w:rsidRPr="00E119CB">
        <w:rPr>
          <w:rStyle w:val="SCCCounselNameChar"/>
          <w:lang w:val="fr-CA"/>
        </w:rPr>
        <w:tab/>
        <w:t>Philippe H. Bélanger</w:t>
      </w:r>
      <w:r w:rsidRPr="00E119CB">
        <w:rPr>
          <w:rStyle w:val="SCCCounselSeparatorChar"/>
          <w:lang w:val="fr-CA"/>
        </w:rPr>
        <w:t xml:space="preserve">, </w:t>
      </w:r>
      <w:r w:rsidRPr="00E119CB">
        <w:rPr>
          <w:rStyle w:val="SCCCounselNameChar"/>
          <w:lang w:val="fr-CA"/>
        </w:rPr>
        <w:t>Jocelyn Perreault</w:t>
      </w:r>
      <w:r w:rsidRPr="00E119CB">
        <w:rPr>
          <w:rStyle w:val="SCCCounselSeparatorChar"/>
          <w:lang w:val="fr-CA"/>
        </w:rPr>
        <w:t xml:space="preserve"> et </w:t>
      </w:r>
      <w:r w:rsidRPr="00E119CB">
        <w:rPr>
          <w:rStyle w:val="SCCCounselNameChar"/>
          <w:lang w:val="fr-CA"/>
        </w:rPr>
        <w:t>Pascale Klees-Themens</w:t>
      </w:r>
      <w:r w:rsidR="007350A7">
        <w:rPr>
          <w:rStyle w:val="SCCCounselPartyRoleChar"/>
          <w:lang w:val="fr-CA"/>
        </w:rPr>
        <w:t>, pour l’intervenante l’</w:t>
      </w:r>
      <w:r w:rsidRPr="00E119CB">
        <w:rPr>
          <w:rStyle w:val="SCCCounselPartyRoleChar"/>
          <w:lang w:val="fr-CA"/>
        </w:rPr>
        <w:t>Association des banquiers canadiens.</w:t>
      </w:r>
    </w:p>
    <w:p w:rsidR="0016232C" w:rsidRPr="00BD1857" w:rsidRDefault="0016232C">
      <w:pPr>
        <w:pStyle w:val="SCCNormalDoubleSpacing"/>
        <w:rPr>
          <w:lang w:val="fr-CA"/>
        </w:rPr>
      </w:pPr>
    </w:p>
    <w:p w:rsidR="00536F80" w:rsidRPr="00BD1857" w:rsidRDefault="00BD1857" w:rsidP="00536F80">
      <w:pPr>
        <w:pStyle w:val="SCCNormalDoubleSpacing"/>
        <w:rPr>
          <w:rStyle w:val="SCCCounselPartyRoleChar"/>
          <w:lang w:val="fr-CA"/>
        </w:rPr>
      </w:pPr>
      <w:r w:rsidRPr="00BD1857">
        <w:rPr>
          <w:rStyle w:val="SCCCounselPartyRoleChar"/>
          <w:lang w:val="fr-CA"/>
        </w:rPr>
        <w:tab/>
      </w:r>
      <w:r>
        <w:rPr>
          <w:rStyle w:val="SCCCounselPartyRoleChar"/>
          <w:lang w:val="fr-CA"/>
        </w:rPr>
        <w:t>Version française du jugement de la Cour rendu oralement par</w:t>
      </w:r>
    </w:p>
    <w:p w:rsidR="00276411" w:rsidRDefault="000A1B4F" w:rsidP="00276411">
      <w:pPr>
        <w:pStyle w:val="SCCNormalDoubleSpacing"/>
        <w:numPr>
          <w:ilvl w:val="0"/>
          <w:numId w:val="1"/>
        </w:numPr>
        <w:spacing w:before="480" w:after="480"/>
        <w:ind w:left="0" w:firstLine="0"/>
        <w:rPr>
          <w:lang w:val="fr-CA"/>
        </w:rPr>
      </w:pPr>
      <w:r w:rsidRPr="00536F80">
        <w:rPr>
          <w:smallCaps/>
          <w:lang w:val="fr-CA"/>
        </w:rPr>
        <w:t>Le juge Gascon</w:t>
      </w:r>
      <w:r w:rsidRPr="00536F80">
        <w:rPr>
          <w:lang w:val="fr-CA"/>
        </w:rPr>
        <w:t xml:space="preserve"> — Nous sommes d’avis d’accueillir le pourvoi pour les motifs du juge dissident de la Cour d’appel fédérale, et de rétablir l’ordonnance de la juge McVeigh de la Cour fédérale qui a répondu par l’affirmative à la question de droit soumise par les parties, et ce, avec dépens devant toutes les cours en faveur de Callidus Capital Corporation.</w:t>
      </w:r>
    </w:p>
    <w:p w:rsidR="00276411" w:rsidRPr="00276411" w:rsidRDefault="000A1B4F" w:rsidP="00276411">
      <w:pPr>
        <w:pStyle w:val="SCCNormalDoubleSpacing"/>
        <w:numPr>
          <w:ilvl w:val="0"/>
          <w:numId w:val="1"/>
        </w:numPr>
        <w:spacing w:before="480" w:after="480"/>
        <w:ind w:left="0" w:firstLine="0"/>
        <w:rPr>
          <w:lang w:val="fr-CA"/>
        </w:rPr>
      </w:pPr>
      <w:r w:rsidRPr="00276411">
        <w:rPr>
          <w:lang w:val="fr-CA"/>
        </w:rPr>
        <w:lastRenderedPageBreak/>
        <w:t xml:space="preserve">La question de droit en litige a été formulée ainsi et présumait l’existence, avant la faillite, d’une responsabilité découlant de l’art. 222 de la </w:t>
      </w:r>
      <w:r w:rsidRPr="00276411">
        <w:rPr>
          <w:i/>
          <w:lang w:val="fr-CA"/>
        </w:rPr>
        <w:t>Loi sur la taxe d’accise</w:t>
      </w:r>
      <w:r w:rsidRPr="00276411">
        <w:rPr>
          <w:lang w:val="fr-CA"/>
        </w:rPr>
        <w:t>, L.R.C. 1985, c. E-15 (« </w:t>
      </w:r>
      <w:r w:rsidRPr="00276411">
        <w:rPr>
          <w:i/>
          <w:lang w:val="fr-CA"/>
        </w:rPr>
        <w:t>LTA</w:t>
      </w:r>
      <w:r w:rsidRPr="00276411">
        <w:rPr>
          <w:lang w:val="fr-CA"/>
        </w:rPr>
        <w:t> ») :</w:t>
      </w:r>
      <w:r w:rsidR="00276411" w:rsidRPr="00276411">
        <w:rPr>
          <w:sz w:val="20"/>
          <w:lang w:val="fr-CA"/>
        </w:rPr>
        <w:t xml:space="preserve"> </w:t>
      </w:r>
    </w:p>
    <w:p w:rsidR="00276411" w:rsidRPr="00276411" w:rsidRDefault="00276411" w:rsidP="00235835">
      <w:pPr>
        <w:spacing w:after="720"/>
        <w:ind w:left="1166"/>
        <w:jc w:val="both"/>
        <w:rPr>
          <w:szCs w:val="24"/>
          <w:lang w:val="fr-CA"/>
        </w:rPr>
      </w:pPr>
      <w:r w:rsidRPr="00276411">
        <w:rPr>
          <w:szCs w:val="24"/>
          <w:lang w:val="fr-CA"/>
        </w:rPr>
        <w:t>La faillite d’un débiteur fiscal, selon ce que prévoit le par</w:t>
      </w:r>
      <w:r w:rsidR="00CB2B76">
        <w:rPr>
          <w:szCs w:val="24"/>
          <w:lang w:val="fr-CA"/>
        </w:rPr>
        <w:t>.</w:t>
      </w:r>
      <w:r w:rsidR="002A3B00">
        <w:rPr>
          <w:szCs w:val="24"/>
          <w:lang w:val="fr-CA"/>
        </w:rPr>
        <w:t xml:space="preserve"> 222(1.1) de la </w:t>
      </w:r>
      <w:r w:rsidR="0085470D">
        <w:rPr>
          <w:szCs w:val="24"/>
          <w:lang w:val="fr-CA"/>
        </w:rPr>
        <w:t>[</w:t>
      </w:r>
      <w:r w:rsidRPr="00276411">
        <w:rPr>
          <w:i/>
          <w:szCs w:val="24"/>
          <w:lang w:val="fr-CA"/>
        </w:rPr>
        <w:t>LTA</w:t>
      </w:r>
      <w:r w:rsidR="0085470D" w:rsidRPr="0085470D">
        <w:rPr>
          <w:szCs w:val="24"/>
          <w:lang w:val="fr-CA"/>
        </w:rPr>
        <w:t>]</w:t>
      </w:r>
      <w:r w:rsidRPr="00276411">
        <w:rPr>
          <w:szCs w:val="24"/>
          <w:lang w:val="fr-CA"/>
        </w:rPr>
        <w:t>, a-t-elle pour effet de rendre la fiducie présumée dont parle l’art</w:t>
      </w:r>
      <w:r w:rsidR="00CB2B76">
        <w:rPr>
          <w:szCs w:val="24"/>
          <w:lang w:val="fr-CA"/>
        </w:rPr>
        <w:t xml:space="preserve">. </w:t>
      </w:r>
      <w:r w:rsidRPr="00276411">
        <w:rPr>
          <w:szCs w:val="24"/>
          <w:lang w:val="fr-CA"/>
        </w:rPr>
        <w:t xml:space="preserve">222 de la </w:t>
      </w:r>
      <w:r w:rsidR="0025621F">
        <w:rPr>
          <w:szCs w:val="24"/>
          <w:lang w:val="fr-CA"/>
        </w:rPr>
        <w:t>[</w:t>
      </w:r>
      <w:r w:rsidRPr="00276411">
        <w:rPr>
          <w:i/>
          <w:szCs w:val="24"/>
          <w:lang w:val="fr-CA"/>
        </w:rPr>
        <w:t>LTA</w:t>
      </w:r>
      <w:r w:rsidR="0025621F" w:rsidRPr="0025621F">
        <w:rPr>
          <w:szCs w:val="24"/>
          <w:lang w:val="fr-CA"/>
        </w:rPr>
        <w:t>]</w:t>
      </w:r>
      <w:r w:rsidRPr="00276411">
        <w:rPr>
          <w:szCs w:val="24"/>
          <w:lang w:val="fr-CA"/>
        </w:rPr>
        <w:t xml:space="preserve"> inopposable à un créancier garanti qui a reçu, avant la faillite, le produit des biens de ce débiteur fiscal qui était réputé détenu en fiducie pour la demanderesse?</w:t>
      </w:r>
    </w:p>
    <w:p w:rsidR="00276411" w:rsidRDefault="00276411" w:rsidP="00276411">
      <w:pPr>
        <w:pStyle w:val="SCCNormalDoubleSpacing"/>
        <w:numPr>
          <w:ilvl w:val="0"/>
          <w:numId w:val="1"/>
        </w:numPr>
        <w:spacing w:before="480" w:after="480"/>
        <w:ind w:left="0" w:firstLine="0"/>
        <w:rPr>
          <w:lang w:val="fr-CA"/>
        </w:rPr>
      </w:pPr>
      <w:r w:rsidRPr="00114CAC">
        <w:rPr>
          <w:lang w:val="fr-CA"/>
        </w:rPr>
        <w:t xml:space="preserve">Par conséquent, comme il n’est pas nécessaire, pour trancher le présent pourvoi, de se prononcer sur la portée de la fiducie présumée ou de toute responsabilité découlant de l’art. 222 de la </w:t>
      </w:r>
      <w:r w:rsidRPr="00114CAC">
        <w:rPr>
          <w:i/>
          <w:lang w:val="fr-CA"/>
        </w:rPr>
        <w:t>LTA</w:t>
      </w:r>
      <w:r w:rsidRPr="00114CAC">
        <w:rPr>
          <w:lang w:val="fr-CA"/>
        </w:rPr>
        <w:t xml:space="preserve"> avant la faillite, la Cour s’abstient de formuler quelque commentaire à cet égard.</w:t>
      </w:r>
    </w:p>
    <w:p w:rsidR="00ED41F6" w:rsidRPr="00ED41F6" w:rsidRDefault="00ED41F6" w:rsidP="00ED41F6">
      <w:pPr>
        <w:pStyle w:val="SCCNormalDoubleSpacing"/>
        <w:spacing w:before="480" w:after="480"/>
        <w:rPr>
          <w:i/>
          <w:lang w:val="fr-CA"/>
        </w:rPr>
      </w:pPr>
      <w:r>
        <w:rPr>
          <w:lang w:val="fr-CA"/>
        </w:rPr>
        <w:tab/>
      </w:r>
      <w:r w:rsidRPr="00ED41F6">
        <w:rPr>
          <w:i/>
          <w:lang w:val="fr-CA"/>
        </w:rPr>
        <w:t>Jugement en conséquence.</w:t>
      </w:r>
    </w:p>
    <w:p w:rsidR="005C34E4" w:rsidRPr="00E119CB" w:rsidRDefault="00536F80">
      <w:pPr>
        <w:pStyle w:val="SCCLawFirm"/>
        <w:rPr>
          <w:lang w:val="fr-CA"/>
        </w:rPr>
      </w:pPr>
      <w:r>
        <w:rPr>
          <w:lang w:val="fr-CA"/>
        </w:rPr>
        <w:tab/>
        <w:t>Procureurs</w:t>
      </w:r>
      <w:r w:rsidR="00276411">
        <w:rPr>
          <w:lang w:val="fr-CA"/>
        </w:rPr>
        <w:t xml:space="preserve"> de l’appelante : Chaitons</w:t>
      </w:r>
      <w:r w:rsidR="00E119CB" w:rsidRPr="00E119CB">
        <w:rPr>
          <w:lang w:val="fr-CA"/>
        </w:rPr>
        <w:t>, Toronto.</w:t>
      </w:r>
    </w:p>
    <w:p w:rsidR="005C34E4" w:rsidRPr="00E119CB" w:rsidRDefault="005C34E4">
      <w:pPr>
        <w:pStyle w:val="SCCLawFirm"/>
        <w:rPr>
          <w:lang w:val="fr-CA"/>
        </w:rPr>
      </w:pPr>
    </w:p>
    <w:p w:rsidR="005C34E4" w:rsidRPr="00276411" w:rsidRDefault="00276411">
      <w:pPr>
        <w:pStyle w:val="SCCLawFirm"/>
        <w:rPr>
          <w:lang w:val="fr-CA"/>
        </w:rPr>
      </w:pPr>
      <w:r>
        <w:rPr>
          <w:lang w:val="fr-CA"/>
        </w:rPr>
        <w:tab/>
      </w:r>
      <w:r w:rsidRPr="00276411">
        <w:rPr>
          <w:lang w:val="fr-CA"/>
        </w:rPr>
        <w:t>Procureur de l’intimée</w:t>
      </w:r>
      <w:r w:rsidR="00E119CB" w:rsidRPr="00276411">
        <w:rPr>
          <w:lang w:val="fr-CA"/>
        </w:rPr>
        <w:t xml:space="preserve"> : </w:t>
      </w:r>
      <w:r w:rsidR="00177C13">
        <w:rPr>
          <w:lang w:val="fr-CA"/>
        </w:rPr>
        <w:t>Procureur géné</w:t>
      </w:r>
      <w:r w:rsidRPr="00276411">
        <w:rPr>
          <w:lang w:val="fr-CA"/>
        </w:rPr>
        <w:t>ral du</w:t>
      </w:r>
      <w:r w:rsidR="00E119CB" w:rsidRPr="00276411">
        <w:rPr>
          <w:lang w:val="fr-CA"/>
        </w:rPr>
        <w:t xml:space="preserve"> Canada, Vancouver.</w:t>
      </w:r>
    </w:p>
    <w:p w:rsidR="005C34E4" w:rsidRPr="00276411" w:rsidRDefault="005C34E4">
      <w:pPr>
        <w:pStyle w:val="SCCLawFirm"/>
        <w:rPr>
          <w:lang w:val="fr-CA"/>
        </w:rPr>
      </w:pPr>
    </w:p>
    <w:p w:rsidR="005C34E4" w:rsidRPr="00E119CB" w:rsidRDefault="00E119CB">
      <w:pPr>
        <w:pStyle w:val="SCCLawFirm"/>
        <w:rPr>
          <w:lang w:val="fr-CA"/>
        </w:rPr>
      </w:pPr>
      <w:r w:rsidRPr="00276411">
        <w:rPr>
          <w:lang w:val="fr-CA"/>
        </w:rPr>
        <w:tab/>
      </w:r>
      <w:r w:rsidR="00276411">
        <w:rPr>
          <w:lang w:val="fr-CA"/>
        </w:rPr>
        <w:t>Procureurs de l’intervenant l’Institut d’insolvabilité du</w:t>
      </w:r>
      <w:r w:rsidRPr="00E119CB">
        <w:rPr>
          <w:lang w:val="fr-CA"/>
        </w:rPr>
        <w:t xml:space="preserve"> Canada : Thornton Grout Finnigan, Toronto.</w:t>
      </w:r>
    </w:p>
    <w:p w:rsidR="005C34E4" w:rsidRPr="00E119CB" w:rsidRDefault="005C34E4">
      <w:pPr>
        <w:pStyle w:val="SCCLawFirm"/>
        <w:rPr>
          <w:lang w:val="fr-CA"/>
        </w:rPr>
      </w:pPr>
    </w:p>
    <w:p w:rsidR="005C34E4" w:rsidRPr="00E119CB" w:rsidRDefault="00276411">
      <w:pPr>
        <w:pStyle w:val="SCCLawFirm"/>
        <w:rPr>
          <w:lang w:val="fr-CA"/>
        </w:rPr>
      </w:pPr>
      <w:r>
        <w:rPr>
          <w:lang w:val="fr-CA"/>
        </w:rPr>
        <w:tab/>
        <w:t>Procureurs de l’intervenante</w:t>
      </w:r>
      <w:r w:rsidR="00235835">
        <w:rPr>
          <w:lang w:val="fr-CA"/>
        </w:rPr>
        <w:t xml:space="preserve"> l’</w:t>
      </w:r>
      <w:r w:rsidR="00E119CB" w:rsidRPr="00E119CB">
        <w:rPr>
          <w:lang w:val="fr-CA"/>
        </w:rPr>
        <w:t xml:space="preserve">Association canadienne des professionnels de l’insolvabilité et de </w:t>
      </w:r>
      <w:r>
        <w:rPr>
          <w:lang w:val="fr-CA"/>
        </w:rPr>
        <w:t>la réorganisation : McMillan</w:t>
      </w:r>
      <w:r w:rsidR="00E119CB" w:rsidRPr="00E119CB">
        <w:rPr>
          <w:lang w:val="fr-CA"/>
        </w:rPr>
        <w:t>, Montréal.</w:t>
      </w:r>
    </w:p>
    <w:p w:rsidR="005C34E4" w:rsidRPr="00E119CB" w:rsidRDefault="005C34E4">
      <w:pPr>
        <w:pStyle w:val="SCCLawFirm"/>
        <w:rPr>
          <w:lang w:val="fr-CA"/>
        </w:rPr>
      </w:pPr>
    </w:p>
    <w:p w:rsidR="005C34E4" w:rsidRPr="00E119CB" w:rsidRDefault="00E119CB">
      <w:pPr>
        <w:pStyle w:val="SCCLawFirm"/>
        <w:rPr>
          <w:lang w:val="fr-CA"/>
        </w:rPr>
      </w:pPr>
      <w:r w:rsidRPr="00E119CB">
        <w:rPr>
          <w:lang w:val="fr-CA"/>
        </w:rPr>
        <w:lastRenderedPageBreak/>
        <w:tab/>
        <w:t>Procureur</w:t>
      </w:r>
      <w:r w:rsidR="00276411">
        <w:rPr>
          <w:lang w:val="fr-CA"/>
        </w:rPr>
        <w:t>s</w:t>
      </w:r>
      <w:r w:rsidR="007F5C6D">
        <w:rPr>
          <w:lang w:val="fr-CA"/>
        </w:rPr>
        <w:t xml:space="preserve"> </w:t>
      </w:r>
      <w:r w:rsidR="00276411">
        <w:rPr>
          <w:lang w:val="fr-CA"/>
        </w:rPr>
        <w:t>de l’intervenante</w:t>
      </w:r>
      <w:r w:rsidRPr="00E119CB">
        <w:rPr>
          <w:lang w:val="fr-CA"/>
        </w:rPr>
        <w:t xml:space="preserve"> </w:t>
      </w:r>
      <w:r w:rsidR="00235835">
        <w:rPr>
          <w:lang w:val="fr-CA"/>
        </w:rPr>
        <w:t>l’</w:t>
      </w:r>
      <w:r w:rsidRPr="00E119CB">
        <w:rPr>
          <w:lang w:val="fr-CA"/>
        </w:rPr>
        <w:t>Association des banquiers c</w:t>
      </w:r>
      <w:r w:rsidR="00276411">
        <w:rPr>
          <w:lang w:val="fr-CA"/>
        </w:rPr>
        <w:t>anadiens : McCarthy Tétrault</w:t>
      </w:r>
      <w:r w:rsidRPr="00E119CB">
        <w:rPr>
          <w:lang w:val="fr-CA"/>
        </w:rPr>
        <w:t>, Montréal.</w:t>
      </w:r>
    </w:p>
    <w:sectPr w:rsidR="005C34E4" w:rsidRPr="00E119CB" w:rsidSect="00276411">
      <w:type w:val="continuous"/>
      <w:pgSz w:w="12240" w:h="15840" w:code="1"/>
      <w:pgMar w:top="1267" w:right="2160" w:bottom="720" w:left="180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3A" w:rsidRDefault="0007513A">
      <w:r>
        <w:separator/>
      </w:r>
    </w:p>
  </w:endnote>
  <w:endnote w:type="continuationSeparator" w:id="0">
    <w:p w:rsidR="0007513A" w:rsidRDefault="0007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3A" w:rsidRDefault="0007513A">
      <w:r>
        <w:separator/>
      </w:r>
    </w:p>
  </w:footnote>
  <w:footnote w:type="continuationSeparator" w:id="0">
    <w:p w:rsidR="0007513A" w:rsidRDefault="00075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73636"/>
    <w:multiLevelType w:val="hybridMultilevel"/>
    <w:tmpl w:val="078CEF9C"/>
    <w:lvl w:ilvl="0" w:tplc="BD564518">
      <w:start w:val="1"/>
      <w:numFmt w:val="decimal"/>
      <w:lvlText w:val="[%1]"/>
      <w:lvlJc w:val="left"/>
      <w:pPr>
        <w:ind w:left="21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7B00"/>
    <w:rsid w:val="000578A3"/>
    <w:rsid w:val="000648CC"/>
    <w:rsid w:val="0007513A"/>
    <w:rsid w:val="000A1B4F"/>
    <w:rsid w:val="000C59B8"/>
    <w:rsid w:val="000C6AF0"/>
    <w:rsid w:val="000D0A77"/>
    <w:rsid w:val="000F6DD3"/>
    <w:rsid w:val="000F7993"/>
    <w:rsid w:val="00104F33"/>
    <w:rsid w:val="00111DE2"/>
    <w:rsid w:val="00116B38"/>
    <w:rsid w:val="00130A3A"/>
    <w:rsid w:val="00135406"/>
    <w:rsid w:val="00135972"/>
    <w:rsid w:val="001426A9"/>
    <w:rsid w:val="00154D7C"/>
    <w:rsid w:val="001570B0"/>
    <w:rsid w:val="0015752C"/>
    <w:rsid w:val="00157737"/>
    <w:rsid w:val="0016232C"/>
    <w:rsid w:val="00165277"/>
    <w:rsid w:val="00170592"/>
    <w:rsid w:val="001720F7"/>
    <w:rsid w:val="00177C13"/>
    <w:rsid w:val="00195D83"/>
    <w:rsid w:val="001A00C1"/>
    <w:rsid w:val="001B33E0"/>
    <w:rsid w:val="001B4573"/>
    <w:rsid w:val="001C779F"/>
    <w:rsid w:val="001D2AC1"/>
    <w:rsid w:val="001D4E88"/>
    <w:rsid w:val="00220FC2"/>
    <w:rsid w:val="002222F4"/>
    <w:rsid w:val="00224FC0"/>
    <w:rsid w:val="00225EA4"/>
    <w:rsid w:val="00226EAF"/>
    <w:rsid w:val="00231F3A"/>
    <w:rsid w:val="00235835"/>
    <w:rsid w:val="002406EE"/>
    <w:rsid w:val="00243EC8"/>
    <w:rsid w:val="0025621F"/>
    <w:rsid w:val="00270D93"/>
    <w:rsid w:val="002745CC"/>
    <w:rsid w:val="00276411"/>
    <w:rsid w:val="0028475C"/>
    <w:rsid w:val="002A3B00"/>
    <w:rsid w:val="002A3F99"/>
    <w:rsid w:val="002B6FBE"/>
    <w:rsid w:val="002B73CC"/>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8488C"/>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43812"/>
    <w:rsid w:val="0044677E"/>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36F80"/>
    <w:rsid w:val="00550D21"/>
    <w:rsid w:val="00555291"/>
    <w:rsid w:val="00566AD1"/>
    <w:rsid w:val="00582B94"/>
    <w:rsid w:val="00583EDE"/>
    <w:rsid w:val="005846C1"/>
    <w:rsid w:val="005A6079"/>
    <w:rsid w:val="005C34E4"/>
    <w:rsid w:val="005D1F0B"/>
    <w:rsid w:val="005E4698"/>
    <w:rsid w:val="00603924"/>
    <w:rsid w:val="00610539"/>
    <w:rsid w:val="00613969"/>
    <w:rsid w:val="00625C35"/>
    <w:rsid w:val="006309C1"/>
    <w:rsid w:val="00647E49"/>
    <w:rsid w:val="00656313"/>
    <w:rsid w:val="006565F4"/>
    <w:rsid w:val="00684EEA"/>
    <w:rsid w:val="0069689B"/>
    <w:rsid w:val="006B5FF5"/>
    <w:rsid w:val="006F30AF"/>
    <w:rsid w:val="00701759"/>
    <w:rsid w:val="00705C15"/>
    <w:rsid w:val="007110F6"/>
    <w:rsid w:val="007208D1"/>
    <w:rsid w:val="007350A7"/>
    <w:rsid w:val="00744518"/>
    <w:rsid w:val="00747288"/>
    <w:rsid w:val="00747DD3"/>
    <w:rsid w:val="007549C8"/>
    <w:rsid w:val="00766D14"/>
    <w:rsid w:val="00767A0F"/>
    <w:rsid w:val="00791272"/>
    <w:rsid w:val="007A05F6"/>
    <w:rsid w:val="007B6F4A"/>
    <w:rsid w:val="007E1C47"/>
    <w:rsid w:val="007E337A"/>
    <w:rsid w:val="007E5C70"/>
    <w:rsid w:val="007F2FF5"/>
    <w:rsid w:val="007F3F08"/>
    <w:rsid w:val="007F5205"/>
    <w:rsid w:val="007F5C6D"/>
    <w:rsid w:val="00804CC6"/>
    <w:rsid w:val="00817190"/>
    <w:rsid w:val="008260E2"/>
    <w:rsid w:val="008322BD"/>
    <w:rsid w:val="00834F73"/>
    <w:rsid w:val="0085470D"/>
    <w:rsid w:val="00864C8A"/>
    <w:rsid w:val="00864CF8"/>
    <w:rsid w:val="00874914"/>
    <w:rsid w:val="00874953"/>
    <w:rsid w:val="00887621"/>
    <w:rsid w:val="00891422"/>
    <w:rsid w:val="00892E1A"/>
    <w:rsid w:val="008B3147"/>
    <w:rsid w:val="008B660A"/>
    <w:rsid w:val="008C01DA"/>
    <w:rsid w:val="008E7CD9"/>
    <w:rsid w:val="008F2674"/>
    <w:rsid w:val="008F78E9"/>
    <w:rsid w:val="009179F9"/>
    <w:rsid w:val="00917C7A"/>
    <w:rsid w:val="00933E5E"/>
    <w:rsid w:val="00935218"/>
    <w:rsid w:val="00937C52"/>
    <w:rsid w:val="009403F3"/>
    <w:rsid w:val="009555B7"/>
    <w:rsid w:val="009567AA"/>
    <w:rsid w:val="009602C9"/>
    <w:rsid w:val="00967374"/>
    <w:rsid w:val="00976E52"/>
    <w:rsid w:val="00992377"/>
    <w:rsid w:val="009A088A"/>
    <w:rsid w:val="009A343A"/>
    <w:rsid w:val="009B2F23"/>
    <w:rsid w:val="009B57B3"/>
    <w:rsid w:val="009D2920"/>
    <w:rsid w:val="009D3F88"/>
    <w:rsid w:val="009D5AEB"/>
    <w:rsid w:val="009F0E33"/>
    <w:rsid w:val="00A149DF"/>
    <w:rsid w:val="00A15912"/>
    <w:rsid w:val="00A1755C"/>
    <w:rsid w:val="00A21B90"/>
    <w:rsid w:val="00A22AAC"/>
    <w:rsid w:val="00A41805"/>
    <w:rsid w:val="00A51882"/>
    <w:rsid w:val="00A52AFB"/>
    <w:rsid w:val="00A548CB"/>
    <w:rsid w:val="00A5521C"/>
    <w:rsid w:val="00A643E7"/>
    <w:rsid w:val="00A705AD"/>
    <w:rsid w:val="00A73C38"/>
    <w:rsid w:val="00A87C3B"/>
    <w:rsid w:val="00A921A7"/>
    <w:rsid w:val="00AB670D"/>
    <w:rsid w:val="00AE63FB"/>
    <w:rsid w:val="00AF03C5"/>
    <w:rsid w:val="00B000D8"/>
    <w:rsid w:val="00B00F75"/>
    <w:rsid w:val="00B145B6"/>
    <w:rsid w:val="00B279EB"/>
    <w:rsid w:val="00B50C81"/>
    <w:rsid w:val="00B557F8"/>
    <w:rsid w:val="00B815FC"/>
    <w:rsid w:val="00B93FBC"/>
    <w:rsid w:val="00BA7DA0"/>
    <w:rsid w:val="00BB2EE4"/>
    <w:rsid w:val="00BB4C92"/>
    <w:rsid w:val="00BC2108"/>
    <w:rsid w:val="00BD0E9E"/>
    <w:rsid w:val="00BD1857"/>
    <w:rsid w:val="00BD1BEC"/>
    <w:rsid w:val="00BD32FF"/>
    <w:rsid w:val="00BF6FE9"/>
    <w:rsid w:val="00C02092"/>
    <w:rsid w:val="00C24A42"/>
    <w:rsid w:val="00C24D91"/>
    <w:rsid w:val="00C26DB2"/>
    <w:rsid w:val="00C53F14"/>
    <w:rsid w:val="00C600CF"/>
    <w:rsid w:val="00C6084F"/>
    <w:rsid w:val="00C62A66"/>
    <w:rsid w:val="00C66359"/>
    <w:rsid w:val="00C71458"/>
    <w:rsid w:val="00C77613"/>
    <w:rsid w:val="00C828E7"/>
    <w:rsid w:val="00C86719"/>
    <w:rsid w:val="00C921DD"/>
    <w:rsid w:val="00C93B67"/>
    <w:rsid w:val="00C96154"/>
    <w:rsid w:val="00CA6391"/>
    <w:rsid w:val="00CB2B76"/>
    <w:rsid w:val="00CE036E"/>
    <w:rsid w:val="00CE3171"/>
    <w:rsid w:val="00CF1601"/>
    <w:rsid w:val="00D0172F"/>
    <w:rsid w:val="00D01E33"/>
    <w:rsid w:val="00D068A7"/>
    <w:rsid w:val="00D17476"/>
    <w:rsid w:val="00D17B0E"/>
    <w:rsid w:val="00D32086"/>
    <w:rsid w:val="00D37A3F"/>
    <w:rsid w:val="00D4431D"/>
    <w:rsid w:val="00D4667A"/>
    <w:rsid w:val="00D63A1C"/>
    <w:rsid w:val="00D647A5"/>
    <w:rsid w:val="00D7516F"/>
    <w:rsid w:val="00D8067C"/>
    <w:rsid w:val="00D8536D"/>
    <w:rsid w:val="00D91326"/>
    <w:rsid w:val="00D95F8E"/>
    <w:rsid w:val="00D96029"/>
    <w:rsid w:val="00DA0590"/>
    <w:rsid w:val="00DB117E"/>
    <w:rsid w:val="00DC1739"/>
    <w:rsid w:val="00DC1788"/>
    <w:rsid w:val="00DE319C"/>
    <w:rsid w:val="00DF0CA8"/>
    <w:rsid w:val="00DF2B48"/>
    <w:rsid w:val="00DF49A7"/>
    <w:rsid w:val="00E07EE2"/>
    <w:rsid w:val="00E07FD1"/>
    <w:rsid w:val="00E119CB"/>
    <w:rsid w:val="00E24573"/>
    <w:rsid w:val="00E25E1E"/>
    <w:rsid w:val="00E27EE7"/>
    <w:rsid w:val="00E35404"/>
    <w:rsid w:val="00E44CD3"/>
    <w:rsid w:val="00E45109"/>
    <w:rsid w:val="00E47B7A"/>
    <w:rsid w:val="00E56A44"/>
    <w:rsid w:val="00E60269"/>
    <w:rsid w:val="00E97830"/>
    <w:rsid w:val="00EA1123"/>
    <w:rsid w:val="00ED41F6"/>
    <w:rsid w:val="00EE0830"/>
    <w:rsid w:val="00EE6CB8"/>
    <w:rsid w:val="00EF0683"/>
    <w:rsid w:val="00F0070C"/>
    <w:rsid w:val="00F00EB7"/>
    <w:rsid w:val="00F173B9"/>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276411"/>
    <w:pPr>
      <w:ind w:left="720"/>
      <w:contextualSpacing/>
    </w:pPr>
  </w:style>
  <w:style w:type="table" w:styleId="TableGrid">
    <w:name w:val="Table Grid"/>
    <w:basedOn w:val="TableNormal"/>
    <w:uiPriority w:val="59"/>
    <w:rsid w:val="006309C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309C1"/>
    <w:rPr>
      <w:rFonts w:ascii="Times New Roman" w:hAnsi="Times New Roman"/>
      <w:sz w:val="24"/>
      <w:szCs w:val="24"/>
      <w:lang w:val="fr-CA"/>
    </w:rPr>
  </w:style>
  <w:style w:type="paragraph" w:customStyle="1" w:styleId="SCCLsocPrefix">
    <w:name w:val="SCC.Lsoc.Prefix"/>
    <w:basedOn w:val="Normal"/>
    <w:next w:val="Normal"/>
    <w:link w:val="SCCLsocPrefixChar"/>
    <w:rsid w:val="006309C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309C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2018-11-15T17:45:00Z</dcterms:created>
  <dcterms:modified xsi:type="dcterms:W3CDTF">2019-09-17T14:38:00Z</dcterms:modified>
</cp:coreProperties>
</file>