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0D" w:rsidRDefault="0026050D" w:rsidP="002605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4pt" o:ole="">
            <v:imagedata r:id="rId8" o:title=""/>
          </v:shape>
          <o:OLEObject Type="Embed" ProgID="Presentations.Drawing.13" ShapeID="_x0000_i1025" DrawAspect="Content" ObjectID="_1643091190" r:id="rId9"/>
        </w:object>
      </w:r>
      <w:r>
        <w:t xml:space="preserve"> </w:t>
      </w:r>
      <w:r>
        <w:ptab w:relativeTo="margin" w:alignment="right" w:leader="none"/>
      </w:r>
    </w:p>
    <w:p w:rsidR="0026050D" w:rsidRDefault="0026050D" w:rsidP="0026050D">
      <w:pPr>
        <w:pStyle w:val="Header"/>
      </w:pPr>
    </w:p>
    <w:p w:rsidR="0026050D" w:rsidRPr="001E12E2" w:rsidRDefault="0026050D" w:rsidP="0026050D">
      <w:pPr>
        <w:jc w:val="center"/>
        <w:rPr>
          <w:b/>
        </w:rPr>
      </w:pPr>
      <w:r w:rsidRPr="001E12E2">
        <w:rPr>
          <w:b/>
        </w:rPr>
        <w:t>COUR SUPRÊME DU CANADA</w:t>
      </w:r>
    </w:p>
    <w:p w:rsidR="0026050D" w:rsidRDefault="0026050D" w:rsidP="002605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26050D" w:rsidRPr="009B5789" w:rsidTr="000C4458">
        <w:trPr>
          <w:cantSplit/>
        </w:trPr>
        <w:tc>
          <w:tcPr>
            <w:tcW w:w="5760" w:type="dxa"/>
          </w:tcPr>
          <w:p w:rsidR="0026050D" w:rsidRDefault="0026050D" w:rsidP="000C4458">
            <w:r w:rsidRPr="009B5789">
              <w:rPr>
                <w:b/>
                <w:smallCaps/>
              </w:rPr>
              <w:t>Référence :</w:t>
            </w:r>
            <w:r w:rsidRPr="009B5789">
              <w:t xml:space="preserve"> Orphan Well Ass</w:t>
            </w:r>
            <w:r>
              <w:t>ociation</w:t>
            </w:r>
            <w:r w:rsidRPr="009B5789">
              <w:t xml:space="preserve"> </w:t>
            </w:r>
            <w:r>
              <w:rPr>
                <w:i/>
              </w:rPr>
              <w:t xml:space="preserve">c. </w:t>
            </w:r>
            <w:r>
              <w:t xml:space="preserve">Grant </w:t>
            </w:r>
          </w:p>
          <w:p w:rsidR="0026050D" w:rsidRPr="003B17E1" w:rsidRDefault="0026050D" w:rsidP="000C4458">
            <w:pPr>
              <w:rPr>
                <w:i/>
              </w:rPr>
            </w:pPr>
            <w:r>
              <w:t>Thornton Ltd., 2019 CSC 5</w:t>
            </w:r>
            <w:r>
              <w:t xml:space="preserve">, </w:t>
            </w:r>
            <w:bookmarkStart w:id="0" w:name="_GoBack"/>
            <w:bookmarkEnd w:id="0"/>
            <w:r>
              <w:rPr>
                <w:lang w:val="en-US"/>
              </w:rPr>
              <w:t>[2019] 1 R.C.S. 150</w:t>
            </w:r>
          </w:p>
        </w:tc>
        <w:tc>
          <w:tcPr>
            <w:tcW w:w="3816" w:type="dxa"/>
          </w:tcPr>
          <w:p w:rsidR="0026050D" w:rsidRPr="0026050D" w:rsidRDefault="0026050D" w:rsidP="000C4458">
            <w:pPr>
              <w:rPr>
                <w:lang w:val="fr-CA"/>
              </w:rPr>
            </w:pPr>
            <w:r w:rsidRPr="0026050D">
              <w:rPr>
                <w:b/>
                <w:smallCaps/>
                <w:lang w:val="fr-CA"/>
              </w:rPr>
              <w:t>Appel entendu :</w:t>
            </w:r>
            <w:r w:rsidRPr="0026050D">
              <w:rPr>
                <w:lang w:val="fr-CA"/>
              </w:rPr>
              <w:t xml:space="preserve"> 15 février 2018</w:t>
            </w:r>
          </w:p>
          <w:p w:rsidR="0026050D" w:rsidRPr="0026050D" w:rsidRDefault="0026050D" w:rsidP="000C4458">
            <w:pPr>
              <w:rPr>
                <w:lang w:val="fr-CA"/>
              </w:rPr>
            </w:pPr>
            <w:r w:rsidRPr="0026050D">
              <w:rPr>
                <w:b/>
                <w:smallCaps/>
                <w:lang w:val="fr-CA"/>
              </w:rPr>
              <w:t>Jugement rendu :</w:t>
            </w:r>
            <w:r w:rsidRPr="0026050D">
              <w:rPr>
                <w:lang w:val="fr-CA"/>
              </w:rPr>
              <w:t xml:space="preserve"> 31 janvier 2019</w:t>
            </w:r>
          </w:p>
          <w:p w:rsidR="0026050D" w:rsidRPr="009B5789" w:rsidRDefault="0026050D" w:rsidP="000C4458">
            <w:r w:rsidRPr="009B5789">
              <w:rPr>
                <w:b/>
                <w:smallCaps/>
              </w:rPr>
              <w:t>Dossier :</w:t>
            </w:r>
            <w:r w:rsidRPr="009B5789">
              <w:t xml:space="preserve"> 37627</w:t>
            </w:r>
          </w:p>
        </w:tc>
      </w:tr>
    </w:tbl>
    <w:p w:rsidR="0026050D" w:rsidRPr="009B5789" w:rsidRDefault="0026050D" w:rsidP="0026050D"/>
    <w:p w:rsidR="0026050D" w:rsidRPr="009B5789" w:rsidRDefault="0026050D" w:rsidP="0026050D">
      <w:pPr>
        <w:pStyle w:val="SCCLsocPrefix"/>
        <w:rPr>
          <w:lang w:val="en-CA"/>
        </w:rPr>
      </w:pPr>
      <w:r w:rsidRPr="009B5789">
        <w:rPr>
          <w:lang w:val="en-CA"/>
        </w:rPr>
        <w:t>Entre :</w:t>
      </w:r>
    </w:p>
    <w:p w:rsidR="0026050D" w:rsidRPr="009B5789" w:rsidRDefault="0026050D" w:rsidP="0026050D">
      <w:pPr>
        <w:pStyle w:val="SCCLsocParty"/>
        <w:jc w:val="center"/>
      </w:pPr>
      <w:r>
        <w:t>Orphan Well Association et</w:t>
      </w:r>
      <w:r w:rsidRPr="009B5789">
        <w:t xml:space="preserve"> Alberta Energy Regulator</w:t>
      </w:r>
    </w:p>
    <w:p w:rsidR="0026050D" w:rsidRPr="0026050D" w:rsidRDefault="0026050D" w:rsidP="0026050D">
      <w:pPr>
        <w:jc w:val="center"/>
        <w:rPr>
          <w:lang w:val="fr-CA"/>
        </w:rPr>
      </w:pPr>
      <w:r w:rsidRPr="0026050D">
        <w:rPr>
          <w:lang w:val="fr-CA"/>
        </w:rPr>
        <w:t>Appelants</w:t>
      </w:r>
    </w:p>
    <w:p w:rsidR="0026050D" w:rsidRPr="0026050D" w:rsidRDefault="0026050D" w:rsidP="0026050D">
      <w:pPr>
        <w:jc w:val="center"/>
        <w:rPr>
          <w:lang w:val="fr-CA"/>
        </w:rPr>
      </w:pPr>
    </w:p>
    <w:p w:rsidR="0026050D" w:rsidRPr="0026050D" w:rsidRDefault="0026050D" w:rsidP="0026050D">
      <w:pPr>
        <w:pStyle w:val="SCCLsocVersus"/>
        <w:spacing w:after="0"/>
        <w:jc w:val="center"/>
        <w:rPr>
          <w:i w:val="0"/>
          <w:lang w:val="fr-CA"/>
        </w:rPr>
      </w:pPr>
      <w:r w:rsidRPr="0026050D">
        <w:rPr>
          <w:i w:val="0"/>
          <w:lang w:val="fr-CA"/>
        </w:rPr>
        <w:t>et</w:t>
      </w:r>
    </w:p>
    <w:p w:rsidR="0026050D" w:rsidRPr="0026050D" w:rsidRDefault="0026050D" w:rsidP="0026050D">
      <w:pPr>
        <w:jc w:val="center"/>
        <w:rPr>
          <w:lang w:val="fr-CA"/>
        </w:rPr>
      </w:pPr>
    </w:p>
    <w:p w:rsidR="0026050D" w:rsidRPr="0026050D" w:rsidRDefault="0026050D" w:rsidP="0026050D">
      <w:pPr>
        <w:pStyle w:val="SCCLsocParty"/>
        <w:jc w:val="center"/>
        <w:rPr>
          <w:lang w:val="fr-CA"/>
        </w:rPr>
      </w:pPr>
      <w:r w:rsidRPr="0026050D">
        <w:rPr>
          <w:lang w:val="fr-CA"/>
        </w:rPr>
        <w:t>Grant Thornton Limited et ATB Financial (auparavant connue</w:t>
      </w:r>
    </w:p>
    <w:p w:rsidR="0026050D" w:rsidRPr="0026050D" w:rsidRDefault="0026050D" w:rsidP="0026050D">
      <w:pPr>
        <w:pStyle w:val="SCCLsocParty"/>
        <w:jc w:val="center"/>
        <w:rPr>
          <w:lang w:val="fr-CA"/>
        </w:rPr>
      </w:pPr>
      <w:r w:rsidRPr="0026050D">
        <w:rPr>
          <w:lang w:val="fr-CA"/>
        </w:rPr>
        <w:t>sous le nom d’Alberta Treasury Branches)</w:t>
      </w:r>
    </w:p>
    <w:p w:rsidR="0026050D" w:rsidRPr="0026050D" w:rsidRDefault="0026050D" w:rsidP="0026050D">
      <w:pPr>
        <w:jc w:val="center"/>
        <w:rPr>
          <w:lang w:val="fr-CA"/>
        </w:rPr>
      </w:pPr>
      <w:r w:rsidRPr="0026050D">
        <w:rPr>
          <w:lang w:val="fr-CA"/>
        </w:rPr>
        <w:t>Intimées</w:t>
      </w:r>
    </w:p>
    <w:p w:rsidR="0026050D" w:rsidRPr="0026050D" w:rsidRDefault="0026050D" w:rsidP="0026050D">
      <w:pPr>
        <w:jc w:val="center"/>
        <w:rPr>
          <w:lang w:val="fr-CA"/>
        </w:rPr>
      </w:pPr>
    </w:p>
    <w:p w:rsidR="0026050D" w:rsidRPr="0026050D" w:rsidRDefault="0026050D" w:rsidP="0026050D">
      <w:pPr>
        <w:pStyle w:val="SCCLsocOtherPartySeparator"/>
        <w:spacing w:after="0"/>
        <w:jc w:val="center"/>
        <w:rPr>
          <w:lang w:val="fr-CA"/>
        </w:rPr>
      </w:pPr>
      <w:r w:rsidRPr="0026050D">
        <w:rPr>
          <w:lang w:val="fr-CA"/>
        </w:rPr>
        <w:t>- et -</w:t>
      </w:r>
    </w:p>
    <w:p w:rsidR="0026050D" w:rsidRPr="0026050D" w:rsidRDefault="0026050D" w:rsidP="0026050D">
      <w:pPr>
        <w:jc w:val="center"/>
        <w:rPr>
          <w:lang w:val="fr-CA"/>
        </w:rPr>
      </w:pPr>
    </w:p>
    <w:p w:rsidR="0026050D" w:rsidRPr="0026050D" w:rsidRDefault="0026050D" w:rsidP="0026050D">
      <w:pPr>
        <w:pStyle w:val="SCCLsocParty"/>
        <w:jc w:val="center"/>
        <w:rPr>
          <w:lang w:val="fr-CA"/>
        </w:rPr>
      </w:pPr>
      <w:r w:rsidRPr="0026050D">
        <w:rPr>
          <w:lang w:val="fr-CA"/>
        </w:rPr>
        <w:t>Procureure générale de l’Ontario, procureur général de la Colombie-Britannique, procureur général de la Saskatchewan, procureur général de l’Alberta, Ecojustice Canada Society, Association canadienne des producteurs pétroliers, Greenpeace Canada, Action Surface Rights Association, Association canadienne des professionnels de l’insolvabilité et de la réorganisation et Association des banquiers canadiens</w:t>
      </w:r>
    </w:p>
    <w:p w:rsidR="0026050D" w:rsidRPr="00937CE6" w:rsidRDefault="0026050D" w:rsidP="0026050D">
      <w:pPr>
        <w:jc w:val="center"/>
      </w:pPr>
      <w:r w:rsidRPr="00937CE6">
        <w:t>Intervenants</w:t>
      </w:r>
    </w:p>
    <w:p w:rsidR="0026050D" w:rsidRPr="00937CE6" w:rsidRDefault="0026050D" w:rsidP="0026050D"/>
    <w:p w:rsidR="0026050D" w:rsidRPr="00937CE6" w:rsidRDefault="0026050D" w:rsidP="0026050D"/>
    <w:p w:rsidR="0026050D" w:rsidRPr="00937CE6" w:rsidRDefault="0026050D" w:rsidP="0026050D">
      <w:pPr>
        <w:jc w:val="center"/>
        <w:rPr>
          <w:b/>
          <w:smallCaps/>
        </w:rPr>
      </w:pPr>
      <w:r w:rsidRPr="00937CE6">
        <w:rPr>
          <w:b/>
          <w:smallCaps/>
        </w:rPr>
        <w:t>Traduction française officielle</w:t>
      </w:r>
    </w:p>
    <w:p w:rsidR="0026050D" w:rsidRPr="00937CE6" w:rsidRDefault="0026050D" w:rsidP="0026050D"/>
    <w:p w:rsidR="0026050D" w:rsidRPr="0026050D" w:rsidRDefault="0026050D" w:rsidP="0026050D">
      <w:pPr>
        <w:rPr>
          <w:lang w:val="fr-CA"/>
        </w:rPr>
      </w:pPr>
      <w:r w:rsidRPr="0026050D">
        <w:rPr>
          <w:b/>
          <w:smallCaps/>
          <w:lang w:val="fr-CA"/>
        </w:rPr>
        <w:t>Coram :</w:t>
      </w:r>
      <w:r w:rsidRPr="0026050D">
        <w:rPr>
          <w:lang w:val="fr-CA"/>
        </w:rPr>
        <w:t xml:space="preserve"> Le juge en chef Wagner et les juges Abella, Moldaver, Karakatsanis, Gascon, Côté et Brown</w:t>
      </w:r>
    </w:p>
    <w:p w:rsidR="0026050D" w:rsidRPr="0026050D" w:rsidRDefault="0026050D" w:rsidP="0026050D">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6050D" w:rsidRPr="0026050D" w:rsidTr="000C4458">
        <w:trPr>
          <w:cantSplit/>
        </w:trPr>
        <w:tc>
          <w:tcPr>
            <w:tcW w:w="3618" w:type="dxa"/>
          </w:tcPr>
          <w:p w:rsidR="0026050D" w:rsidRPr="0026050D" w:rsidRDefault="0026050D" w:rsidP="000C4458">
            <w:pPr>
              <w:rPr>
                <w:b/>
                <w:smallCaps/>
                <w:lang w:val="fr-CA"/>
              </w:rPr>
            </w:pPr>
            <w:r w:rsidRPr="0026050D">
              <w:rPr>
                <w:b/>
                <w:smallCaps/>
                <w:lang w:val="fr-CA"/>
              </w:rPr>
              <w:t>Motifs de jugement :</w:t>
            </w:r>
          </w:p>
          <w:p w:rsidR="0026050D" w:rsidRPr="0026050D" w:rsidRDefault="0026050D" w:rsidP="000C4458">
            <w:pPr>
              <w:rPr>
                <w:lang w:val="fr-CA"/>
              </w:rPr>
            </w:pPr>
            <w:r w:rsidRPr="0026050D">
              <w:rPr>
                <w:lang w:val="fr-CA"/>
              </w:rPr>
              <w:t>(par. 1 à 164)</w:t>
            </w:r>
          </w:p>
        </w:tc>
        <w:tc>
          <w:tcPr>
            <w:tcW w:w="5958" w:type="dxa"/>
          </w:tcPr>
          <w:p w:rsidR="0026050D" w:rsidRPr="0026050D" w:rsidRDefault="0026050D" w:rsidP="000C4458">
            <w:pPr>
              <w:rPr>
                <w:lang w:val="fr-CA"/>
              </w:rPr>
            </w:pPr>
            <w:r w:rsidRPr="0026050D">
              <w:rPr>
                <w:lang w:val="fr-CA"/>
              </w:rPr>
              <w:t>Le juge en chef Wagner (avec l’accord des juges Abella, Karakatsanis, Gascon et Brown)</w:t>
            </w:r>
          </w:p>
        </w:tc>
      </w:tr>
      <w:tr w:rsidR="0026050D" w:rsidRPr="0026050D" w:rsidTr="000C4458">
        <w:trPr>
          <w:cantSplit/>
        </w:trPr>
        <w:tc>
          <w:tcPr>
            <w:tcW w:w="3618" w:type="dxa"/>
          </w:tcPr>
          <w:p w:rsidR="0026050D" w:rsidRPr="00937CE6" w:rsidRDefault="0026050D" w:rsidP="000C4458">
            <w:pPr>
              <w:rPr>
                <w:b/>
                <w:smallCaps/>
              </w:rPr>
            </w:pPr>
            <w:r w:rsidRPr="00937CE6">
              <w:rPr>
                <w:b/>
                <w:smallCaps/>
              </w:rPr>
              <w:t>Motifs dissidents:</w:t>
            </w:r>
          </w:p>
          <w:p w:rsidR="0026050D" w:rsidRPr="00937CE6" w:rsidRDefault="0026050D" w:rsidP="000C4458">
            <w:r w:rsidRPr="00937CE6">
              <w:t>(par. 165 à 292)</w:t>
            </w:r>
          </w:p>
        </w:tc>
        <w:tc>
          <w:tcPr>
            <w:tcW w:w="5958" w:type="dxa"/>
          </w:tcPr>
          <w:p w:rsidR="0026050D" w:rsidRPr="0026050D" w:rsidRDefault="0026050D" w:rsidP="000C4458">
            <w:pPr>
              <w:rPr>
                <w:lang w:val="fr-CA"/>
              </w:rPr>
            </w:pPr>
            <w:r w:rsidRPr="0026050D">
              <w:rPr>
                <w:lang w:val="fr-CA"/>
              </w:rPr>
              <w:t>La juge Côté (avec l’accord du juge Moldaver)</w:t>
            </w:r>
          </w:p>
        </w:tc>
      </w:tr>
    </w:tbl>
    <w:p w:rsidR="0026050D" w:rsidRPr="0026050D" w:rsidRDefault="0026050D" w:rsidP="0026050D">
      <w:pPr>
        <w:rPr>
          <w:lang w:val="fr-CA"/>
        </w:rPr>
      </w:pPr>
    </w:p>
    <w:p w:rsidR="0026050D" w:rsidRPr="0026050D" w:rsidRDefault="0026050D" w:rsidP="0026050D">
      <w:pPr>
        <w:rPr>
          <w:lang w:val="fr-CA"/>
        </w:rPr>
      </w:pPr>
    </w:p>
    <w:p w:rsidR="0026050D" w:rsidRPr="0026050D" w:rsidRDefault="0026050D" w:rsidP="0026050D">
      <w:pPr>
        <w:rPr>
          <w:lang w:val="fr-CA"/>
        </w:rPr>
      </w:pPr>
      <w:r>
        <w:rPr>
          <w:noProof/>
          <w:lang w:val="en-US"/>
        </w:rPr>
        <mc:AlternateContent>
          <mc:Choice Requires="wps">
            <w:drawing>
              <wp:anchor distT="0" distB="0" distL="114300" distR="114300" simplePos="0" relativeHeight="251659264" behindDoc="0" locked="0" layoutInCell="1" allowOverlap="1" wp14:anchorId="6BF61BA7" wp14:editId="5B8FD1B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BA4F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6050D" w:rsidRPr="0026050D" w:rsidRDefault="0026050D" w:rsidP="00FE589F">
      <w:pPr>
        <w:spacing w:after="720"/>
        <w:jc w:val="both"/>
        <w:rPr>
          <w:rStyle w:val="SCCAppellantForRunningHeadChar"/>
          <w:smallCaps w:val="0"/>
          <w:lang w:val="fr-CA"/>
        </w:rPr>
      </w:pPr>
    </w:p>
    <w:p w:rsidR="004D7D95" w:rsidRPr="00265CC8" w:rsidRDefault="00265CC8" w:rsidP="00FE589F">
      <w:pPr>
        <w:spacing w:after="720"/>
        <w:jc w:val="both"/>
        <w:rPr>
          <w:smallCaps/>
          <w:lang w:val="en-US"/>
        </w:rPr>
      </w:pPr>
      <w:r>
        <w:rPr>
          <w:rStyle w:val="SCCAppellantForRunningHeadChar"/>
          <w:smallCaps w:val="0"/>
          <w:lang w:val="en-US"/>
        </w:rPr>
        <w:lastRenderedPageBreak/>
        <w:t>Orphan W</w:t>
      </w:r>
      <w:r w:rsidR="004D7D95" w:rsidRPr="00265CC8">
        <w:rPr>
          <w:rStyle w:val="SCCAppellantForRunningHeadChar"/>
          <w:smallCaps w:val="0"/>
          <w:lang w:val="en-US"/>
        </w:rPr>
        <w:t xml:space="preserve">ell </w:t>
      </w:r>
      <w:r>
        <w:rPr>
          <w:rStyle w:val="SCCAppellantForRunningHeadChar"/>
          <w:smallCaps w:val="0"/>
          <w:lang w:val="en-US"/>
        </w:rPr>
        <w:t>Association</w:t>
      </w:r>
      <w:r w:rsidR="004D7D95" w:rsidRPr="00265CC8">
        <w:rPr>
          <w:smallCaps/>
          <w:lang w:val="en-US"/>
        </w:rPr>
        <w:t xml:space="preserve"> </w:t>
      </w:r>
      <w:r w:rsidR="004D7D95" w:rsidRPr="00265CC8">
        <w:rPr>
          <w:i/>
          <w:lang w:val="en-US"/>
        </w:rPr>
        <w:t>c.</w:t>
      </w:r>
      <w:r w:rsidR="004D7D95" w:rsidRPr="00265CC8">
        <w:rPr>
          <w:smallCaps/>
          <w:lang w:val="en-US"/>
        </w:rPr>
        <w:t xml:space="preserve"> </w:t>
      </w:r>
      <w:r>
        <w:rPr>
          <w:rStyle w:val="SCCRespondentForRunningHeadChar"/>
          <w:smallCaps w:val="0"/>
          <w:lang w:val="en-US"/>
        </w:rPr>
        <w:t>G</w:t>
      </w:r>
      <w:r w:rsidR="00AC7CB4" w:rsidRPr="00265CC8">
        <w:rPr>
          <w:rStyle w:val="SCCRespondentForRunningHeadChar"/>
          <w:smallCaps w:val="0"/>
          <w:lang w:val="en-US"/>
        </w:rPr>
        <w:t xml:space="preserve">rant </w:t>
      </w:r>
      <w:r>
        <w:rPr>
          <w:rStyle w:val="SCCRespondentForRunningHeadChar"/>
          <w:smallCaps w:val="0"/>
          <w:lang w:val="en-US"/>
        </w:rPr>
        <w:t>T</w:t>
      </w:r>
      <w:r w:rsidR="004D7D95" w:rsidRPr="00265CC8">
        <w:rPr>
          <w:rStyle w:val="SCCRespondentForRunningHeadChar"/>
          <w:smallCaps w:val="0"/>
          <w:lang w:val="en-US"/>
        </w:rPr>
        <w:t xml:space="preserve">hornton </w:t>
      </w:r>
      <w:r>
        <w:rPr>
          <w:rStyle w:val="SCCRespondentForRunningHeadChar"/>
          <w:smallCaps w:val="0"/>
          <w:lang w:val="en-US"/>
        </w:rPr>
        <w:t>L</w:t>
      </w:r>
      <w:r w:rsidR="00AC7CB4" w:rsidRPr="00265CC8">
        <w:rPr>
          <w:rStyle w:val="SCCRespondentForRunningHeadChar"/>
          <w:smallCaps w:val="0"/>
          <w:lang w:val="en-US"/>
        </w:rPr>
        <w:t>td.</w:t>
      </w:r>
      <w:r>
        <w:rPr>
          <w:rStyle w:val="SCCRespondentForRunningHeadChar"/>
          <w:smallCaps w:val="0"/>
          <w:lang w:val="en-US"/>
        </w:rPr>
        <w:t xml:space="preserve">, </w:t>
      </w:r>
      <w:r w:rsidRPr="00265CC8">
        <w:rPr>
          <w:lang w:val="en-US"/>
        </w:rPr>
        <w:t>2019 CSC 5</w:t>
      </w:r>
      <w:r>
        <w:rPr>
          <w:lang w:val="en-US"/>
        </w:rPr>
        <w:t>, [2019] 1 R.C.S. 150</w:t>
      </w:r>
    </w:p>
    <w:p w:rsidR="00065867" w:rsidRPr="007B3EA8" w:rsidRDefault="00B909A1">
      <w:pPr>
        <w:pStyle w:val="SCCLsocParty"/>
        <w:rPr>
          <w:lang w:val="en-US"/>
        </w:rPr>
      </w:pPr>
      <w:r w:rsidRPr="007B3EA8">
        <w:rPr>
          <w:lang w:val="en-US"/>
        </w:rPr>
        <w:t>Orphan Well Association et</w:t>
      </w:r>
    </w:p>
    <w:p w:rsidR="00065867" w:rsidRPr="007B3EA8" w:rsidRDefault="00AC7CB4">
      <w:pPr>
        <w:pStyle w:val="SCCLsocLastPartyInRole"/>
        <w:rPr>
          <w:lang w:val="en-US"/>
        </w:rPr>
      </w:pPr>
      <w:r w:rsidRPr="007B3EA8">
        <w:rPr>
          <w:lang w:val="en-US"/>
        </w:rPr>
        <w:t>Alberta Energy Regulator</w:t>
      </w:r>
      <w:r w:rsidR="00306F3D" w:rsidRPr="007B3EA8">
        <w:rPr>
          <w:rStyle w:val="SCCLsocPartyRole"/>
          <w:lang w:val="en-US"/>
        </w:rPr>
        <w:tab/>
        <w:t>Appelant</w:t>
      </w:r>
      <w:r w:rsidRPr="007B3EA8">
        <w:rPr>
          <w:rStyle w:val="SCCLsocPartyRole"/>
          <w:lang w:val="en-US"/>
        </w:rPr>
        <w:t>s</w:t>
      </w:r>
    </w:p>
    <w:p w:rsidR="00065867" w:rsidRPr="007B3EA8" w:rsidRDefault="00AC7CB4">
      <w:pPr>
        <w:pStyle w:val="SCCLsocVersus"/>
        <w:rPr>
          <w:lang w:val="fr-CA"/>
        </w:rPr>
      </w:pPr>
      <w:r w:rsidRPr="007B3EA8">
        <w:rPr>
          <w:lang w:val="fr-CA"/>
        </w:rPr>
        <w:t>c.</w:t>
      </w:r>
    </w:p>
    <w:p w:rsidR="00065867" w:rsidRPr="007B3EA8" w:rsidRDefault="00306F3D">
      <w:pPr>
        <w:pStyle w:val="SCCLsocParty"/>
        <w:rPr>
          <w:lang w:val="fr-CA"/>
        </w:rPr>
      </w:pPr>
      <w:r w:rsidRPr="007B3EA8">
        <w:rPr>
          <w:lang w:val="fr-CA"/>
        </w:rPr>
        <w:t>Grant Thornton Limited et</w:t>
      </w:r>
    </w:p>
    <w:p w:rsidR="00306F3D" w:rsidRPr="007B3EA8" w:rsidRDefault="00AC7CB4" w:rsidP="00306F3D">
      <w:pPr>
        <w:pStyle w:val="SCCLsocParty"/>
        <w:rPr>
          <w:lang w:val="fr-CA"/>
        </w:rPr>
      </w:pPr>
      <w:r w:rsidRPr="007B3EA8">
        <w:rPr>
          <w:lang w:val="fr-CA"/>
        </w:rPr>
        <w:t>ATB Financial (</w:t>
      </w:r>
      <w:r w:rsidR="00AA0F19" w:rsidRPr="007B3EA8">
        <w:rPr>
          <w:lang w:val="fr-CA"/>
        </w:rPr>
        <w:t>auparavant</w:t>
      </w:r>
      <w:r w:rsidR="00306F3D" w:rsidRPr="007B3EA8">
        <w:rPr>
          <w:lang w:val="fr-CA"/>
        </w:rPr>
        <w:t xml:space="preserve"> connue </w:t>
      </w:r>
    </w:p>
    <w:p w:rsidR="00065867" w:rsidRPr="007B3EA8" w:rsidRDefault="00306F3D" w:rsidP="00306F3D">
      <w:pPr>
        <w:pStyle w:val="SCCLsocParty"/>
        <w:spacing w:after="720"/>
        <w:rPr>
          <w:lang w:val="fr-CA"/>
        </w:rPr>
      </w:pPr>
      <w:r w:rsidRPr="007B3EA8">
        <w:rPr>
          <w:lang w:val="fr-CA"/>
        </w:rPr>
        <w:t>sous le nom d’</w:t>
      </w:r>
      <w:r w:rsidR="00AC7CB4" w:rsidRPr="007B3EA8">
        <w:rPr>
          <w:lang w:val="fr-CA"/>
        </w:rPr>
        <w:t>Alberta Treasury Branches)</w:t>
      </w:r>
      <w:r w:rsidR="004260F2" w:rsidRPr="007B3EA8">
        <w:rPr>
          <w:rStyle w:val="SCCLsocPartyRole"/>
          <w:lang w:val="fr-CA"/>
        </w:rPr>
        <w:tab/>
        <w:t>Intimé</w:t>
      </w:r>
      <w:r w:rsidR="00AE74DA" w:rsidRPr="007B3EA8">
        <w:rPr>
          <w:rStyle w:val="SCCLsocPartyRole"/>
          <w:lang w:val="fr-CA"/>
        </w:rPr>
        <w:t>e</w:t>
      </w:r>
      <w:r w:rsidR="00AC7CB4" w:rsidRPr="007B3EA8">
        <w:rPr>
          <w:rStyle w:val="SCCLsocPartyRole"/>
          <w:lang w:val="fr-CA"/>
        </w:rPr>
        <w:t>s</w:t>
      </w:r>
    </w:p>
    <w:p w:rsidR="00065867" w:rsidRPr="007B3EA8" w:rsidRDefault="00AC7CB4">
      <w:pPr>
        <w:pStyle w:val="SCCLsocOtherPartySeparator"/>
        <w:rPr>
          <w:lang w:val="fr-CA"/>
        </w:rPr>
      </w:pPr>
      <w:r w:rsidRPr="007B3EA8">
        <w:rPr>
          <w:lang w:val="fr-CA"/>
        </w:rPr>
        <w:t>et</w:t>
      </w:r>
    </w:p>
    <w:p w:rsidR="00065867" w:rsidRPr="007B3EA8" w:rsidRDefault="00AC7CB4">
      <w:pPr>
        <w:pStyle w:val="SCCLsocParty"/>
        <w:rPr>
          <w:lang w:val="fr-CA"/>
        </w:rPr>
      </w:pPr>
      <w:r w:rsidRPr="007B3EA8">
        <w:rPr>
          <w:lang w:val="fr-CA"/>
        </w:rPr>
        <w:t>Procureur</w:t>
      </w:r>
      <w:r w:rsidR="007C5DF1" w:rsidRPr="007B3EA8">
        <w:rPr>
          <w:lang w:val="fr-CA"/>
        </w:rPr>
        <w:t>e</w:t>
      </w:r>
      <w:r w:rsidRPr="007B3EA8">
        <w:rPr>
          <w:lang w:val="fr-CA"/>
        </w:rPr>
        <w:t xml:space="preserve"> général</w:t>
      </w:r>
      <w:r w:rsidR="007C5DF1" w:rsidRPr="007B3EA8">
        <w:rPr>
          <w:lang w:val="fr-CA"/>
        </w:rPr>
        <w:t>e</w:t>
      </w:r>
      <w:r w:rsidRPr="007B3EA8">
        <w:rPr>
          <w:lang w:val="fr-CA"/>
        </w:rPr>
        <w:t xml:space="preserve"> de l’Ontario,</w:t>
      </w:r>
    </w:p>
    <w:p w:rsidR="00065867" w:rsidRPr="007B3EA8" w:rsidRDefault="00306F3D">
      <w:pPr>
        <w:pStyle w:val="SCCLsocParty"/>
        <w:rPr>
          <w:lang w:val="fr-CA"/>
        </w:rPr>
      </w:pPr>
      <w:r w:rsidRPr="007B3EA8">
        <w:rPr>
          <w:lang w:val="fr-CA"/>
        </w:rPr>
        <w:t>p</w:t>
      </w:r>
      <w:r w:rsidR="00AC7CB4" w:rsidRPr="007B3EA8">
        <w:rPr>
          <w:lang w:val="fr-CA"/>
        </w:rPr>
        <w:t>rocureur général de la Colombie</w:t>
      </w:r>
      <w:r w:rsidR="00FE589F" w:rsidRPr="007B3EA8">
        <w:rPr>
          <w:lang w:val="fr-CA"/>
        </w:rPr>
        <w:noBreakHyphen/>
      </w:r>
      <w:r w:rsidR="00AC7CB4" w:rsidRPr="007B3EA8">
        <w:rPr>
          <w:lang w:val="fr-CA"/>
        </w:rPr>
        <w:t>Britannique,</w:t>
      </w:r>
    </w:p>
    <w:p w:rsidR="00065867" w:rsidRPr="007B3EA8" w:rsidRDefault="00306F3D">
      <w:pPr>
        <w:pStyle w:val="SCCLsocParty"/>
        <w:rPr>
          <w:lang w:val="fr-CA"/>
        </w:rPr>
      </w:pPr>
      <w:r w:rsidRPr="007B3EA8">
        <w:rPr>
          <w:lang w:val="fr-CA"/>
        </w:rPr>
        <w:t>p</w:t>
      </w:r>
      <w:r w:rsidR="00AC7CB4" w:rsidRPr="007B3EA8">
        <w:rPr>
          <w:lang w:val="fr-CA"/>
        </w:rPr>
        <w:t>rocureur général de la Saskatchewan,</w:t>
      </w:r>
    </w:p>
    <w:p w:rsidR="00065867" w:rsidRPr="007B3EA8" w:rsidRDefault="009612EE">
      <w:pPr>
        <w:pStyle w:val="SCCLsocParty"/>
        <w:rPr>
          <w:lang w:val="fr-CA"/>
        </w:rPr>
      </w:pPr>
      <w:r w:rsidRPr="007B3EA8">
        <w:rPr>
          <w:lang w:val="fr-CA"/>
        </w:rPr>
        <w:t>procureur général de l’</w:t>
      </w:r>
      <w:r w:rsidR="00AC7CB4" w:rsidRPr="007B3EA8">
        <w:rPr>
          <w:lang w:val="fr-CA"/>
        </w:rPr>
        <w:t>Alberta,</w:t>
      </w:r>
    </w:p>
    <w:p w:rsidR="00065867" w:rsidRPr="007B3EA8" w:rsidRDefault="00AC7CB4">
      <w:pPr>
        <w:pStyle w:val="SCCLsocParty"/>
        <w:rPr>
          <w:lang w:val="fr-CA"/>
        </w:rPr>
      </w:pPr>
      <w:r w:rsidRPr="007B3EA8">
        <w:rPr>
          <w:lang w:val="fr-CA"/>
        </w:rPr>
        <w:t>Ecojustice Canada Society,</w:t>
      </w:r>
    </w:p>
    <w:p w:rsidR="00065867" w:rsidRPr="007B3EA8" w:rsidRDefault="00AC7CB4">
      <w:pPr>
        <w:pStyle w:val="SCCLsocParty"/>
        <w:rPr>
          <w:lang w:val="fr-CA"/>
        </w:rPr>
      </w:pPr>
      <w:r w:rsidRPr="007B3EA8">
        <w:rPr>
          <w:lang w:val="fr-CA"/>
        </w:rPr>
        <w:t>Association canadienne des producteurs pétroliers,</w:t>
      </w:r>
    </w:p>
    <w:p w:rsidR="00065867" w:rsidRPr="007B3EA8" w:rsidRDefault="00AC7CB4">
      <w:pPr>
        <w:pStyle w:val="SCCLsocParty"/>
        <w:rPr>
          <w:lang w:val="en-US"/>
        </w:rPr>
      </w:pPr>
      <w:r w:rsidRPr="007B3EA8">
        <w:rPr>
          <w:lang w:val="en-US"/>
        </w:rPr>
        <w:t>Greenpeace Canada,</w:t>
      </w:r>
    </w:p>
    <w:p w:rsidR="00065867" w:rsidRPr="007B3EA8" w:rsidRDefault="00AC7CB4">
      <w:pPr>
        <w:pStyle w:val="SCCLsocParty"/>
        <w:rPr>
          <w:lang w:val="en-US"/>
        </w:rPr>
      </w:pPr>
      <w:r w:rsidRPr="007B3EA8">
        <w:rPr>
          <w:lang w:val="en-US"/>
        </w:rPr>
        <w:t>Action Surface Rights Association,</w:t>
      </w:r>
    </w:p>
    <w:p w:rsidR="00A048C6" w:rsidRPr="007B3EA8" w:rsidRDefault="00AC7CB4" w:rsidP="00A048C6">
      <w:pPr>
        <w:pStyle w:val="SCCLsocParty"/>
        <w:rPr>
          <w:lang w:val="fr-CA"/>
        </w:rPr>
      </w:pPr>
      <w:r w:rsidRPr="007B3EA8">
        <w:rPr>
          <w:lang w:val="fr-CA"/>
        </w:rPr>
        <w:t xml:space="preserve">Association canadienne des professionnels </w:t>
      </w:r>
    </w:p>
    <w:p w:rsidR="00065867" w:rsidRPr="007B3EA8" w:rsidRDefault="00AC7CB4" w:rsidP="00A048C6">
      <w:pPr>
        <w:pStyle w:val="SCCLsocParty"/>
        <w:rPr>
          <w:lang w:val="fr-CA"/>
        </w:rPr>
      </w:pPr>
      <w:r w:rsidRPr="007B3EA8">
        <w:rPr>
          <w:lang w:val="fr-CA"/>
        </w:rPr>
        <w:t>de l’insolvabilité et de la réorganisation</w:t>
      </w:r>
      <w:r w:rsidR="00A048C6" w:rsidRPr="007B3EA8">
        <w:rPr>
          <w:lang w:val="fr-CA"/>
        </w:rPr>
        <w:t xml:space="preserve"> et</w:t>
      </w:r>
    </w:p>
    <w:p w:rsidR="00065867" w:rsidRPr="007B3EA8" w:rsidRDefault="00AC7CB4">
      <w:pPr>
        <w:pStyle w:val="SCCLsocLastPartyInRole"/>
        <w:rPr>
          <w:lang w:val="fr-CA"/>
        </w:rPr>
      </w:pPr>
      <w:r w:rsidRPr="007B3EA8">
        <w:rPr>
          <w:lang w:val="fr-CA"/>
        </w:rPr>
        <w:t>Association de</w:t>
      </w:r>
      <w:r w:rsidR="00A048C6" w:rsidRPr="007B3EA8">
        <w:rPr>
          <w:lang w:val="fr-CA"/>
        </w:rPr>
        <w:t>s</w:t>
      </w:r>
      <w:r w:rsidRPr="007B3EA8">
        <w:rPr>
          <w:lang w:val="fr-CA"/>
        </w:rPr>
        <w:t xml:space="preserve"> banquiers canadiens</w:t>
      </w:r>
      <w:r w:rsidR="009612EE" w:rsidRPr="007B3EA8">
        <w:rPr>
          <w:rStyle w:val="SCCLsocPartyRole"/>
          <w:lang w:val="fr-CA"/>
        </w:rPr>
        <w:tab/>
        <w:t>Intervenant</w:t>
      </w:r>
      <w:r w:rsidRPr="007B3EA8">
        <w:rPr>
          <w:rStyle w:val="SCCLsocPartyRole"/>
          <w:lang w:val="fr-CA"/>
        </w:rPr>
        <w:t>s</w:t>
      </w:r>
    </w:p>
    <w:p w:rsidR="004D7D95" w:rsidRPr="007B3EA8" w:rsidRDefault="005C7F4C" w:rsidP="00FE589F">
      <w:pPr>
        <w:spacing w:after="720"/>
        <w:jc w:val="both"/>
        <w:rPr>
          <w:b/>
          <w:lang w:val="fr-CA"/>
        </w:rPr>
      </w:pPr>
      <w:r w:rsidRPr="007B3EA8">
        <w:rPr>
          <w:b/>
          <w:lang w:val="fr-CA"/>
        </w:rPr>
        <w:t>Répertorié</w:t>
      </w:r>
      <w:r w:rsidR="00FE589F" w:rsidRPr="007B3EA8">
        <w:rPr>
          <w:b/>
          <w:lang w:val="fr-CA"/>
        </w:rPr>
        <w:t> :</w:t>
      </w:r>
      <w:r w:rsidRPr="007B3EA8">
        <w:rPr>
          <w:b/>
          <w:lang w:val="fr-CA"/>
        </w:rPr>
        <w:t xml:space="preserve"> </w:t>
      </w:r>
      <w:r w:rsidR="004D7D95" w:rsidRPr="007B3EA8">
        <w:rPr>
          <w:rStyle w:val="SCCAppellantForIndexChar"/>
          <w:lang w:val="fr-CA"/>
        </w:rPr>
        <w:t xml:space="preserve">Orphan Well </w:t>
      </w:r>
      <w:r w:rsidRPr="007B3EA8">
        <w:rPr>
          <w:rStyle w:val="SCCAppellantForIndexChar"/>
          <w:lang w:val="fr-CA"/>
        </w:rPr>
        <w:t>Ass</w:t>
      </w:r>
      <w:r w:rsidR="00032A63" w:rsidRPr="007B3EA8">
        <w:rPr>
          <w:rStyle w:val="SCCAppellantForIndexChar"/>
          <w:lang w:val="fr-CA"/>
        </w:rPr>
        <w:t>ociatio</w:t>
      </w:r>
      <w:r w:rsidRPr="007B3EA8">
        <w:rPr>
          <w:rStyle w:val="SCCAppellantForIndexChar"/>
          <w:lang w:val="fr-CA"/>
        </w:rPr>
        <w:t>n</w:t>
      </w:r>
      <w:r w:rsidR="004D7D95" w:rsidRPr="007B3EA8">
        <w:rPr>
          <w:rStyle w:val="SCCAppellantForIndexChar"/>
          <w:lang w:val="fr-CA"/>
        </w:rPr>
        <w:t xml:space="preserve"> </w:t>
      </w:r>
      <w:r w:rsidR="004D7D95" w:rsidRPr="007B3EA8">
        <w:rPr>
          <w:b/>
          <w:i/>
          <w:lang w:val="fr-CA"/>
        </w:rPr>
        <w:t>c.</w:t>
      </w:r>
      <w:r w:rsidR="004D7D95" w:rsidRPr="007B3EA8">
        <w:rPr>
          <w:b/>
          <w:lang w:val="fr-CA"/>
        </w:rPr>
        <w:t xml:space="preserve"> </w:t>
      </w:r>
      <w:r w:rsidR="004D7D95" w:rsidRPr="007B3EA8">
        <w:rPr>
          <w:rStyle w:val="SCCRespondentForIndexChar"/>
          <w:lang w:val="fr-CA"/>
        </w:rPr>
        <w:t xml:space="preserve">Grant Thornton </w:t>
      </w:r>
      <w:r w:rsidRPr="007B3EA8">
        <w:rPr>
          <w:rStyle w:val="SCCRespondentForIndexChar"/>
          <w:lang w:val="fr-CA"/>
        </w:rPr>
        <w:t>Ltd.</w:t>
      </w:r>
    </w:p>
    <w:p w:rsidR="004D7D95" w:rsidRPr="007B3EA8" w:rsidRDefault="00D17B0E" w:rsidP="00FE589F">
      <w:pPr>
        <w:pStyle w:val="SCCSystemYear"/>
        <w:spacing w:after="720"/>
        <w:jc w:val="both"/>
        <w:rPr>
          <w:lang w:val="fr-CA"/>
        </w:rPr>
      </w:pPr>
      <w:r w:rsidRPr="007B3EA8">
        <w:rPr>
          <w:lang w:val="fr-CA"/>
        </w:rPr>
        <w:t>201</w:t>
      </w:r>
      <w:r w:rsidR="000A3390" w:rsidRPr="007B3EA8">
        <w:rPr>
          <w:lang w:val="fr-CA"/>
        </w:rPr>
        <w:t>9</w:t>
      </w:r>
      <w:r w:rsidR="004D7D95" w:rsidRPr="007B3EA8">
        <w:rPr>
          <w:lang w:val="fr-CA"/>
        </w:rPr>
        <w:t xml:space="preserve"> CSC </w:t>
      </w:r>
      <w:r w:rsidR="00C0554C" w:rsidRPr="007B3EA8">
        <w:rPr>
          <w:lang w:val="fr-CA"/>
        </w:rPr>
        <w:t>5</w:t>
      </w:r>
    </w:p>
    <w:p w:rsidR="004D7D95" w:rsidRPr="007B3EA8" w:rsidRDefault="004D7D95" w:rsidP="00FE589F">
      <w:pPr>
        <w:spacing w:after="720"/>
        <w:jc w:val="both"/>
        <w:rPr>
          <w:lang w:val="fr-CA"/>
        </w:rPr>
      </w:pPr>
      <w:r w:rsidRPr="007B3EA8">
        <w:rPr>
          <w:lang w:val="fr-CA"/>
        </w:rPr>
        <w:t>N</w:t>
      </w:r>
      <w:r w:rsidRPr="007B3EA8">
        <w:rPr>
          <w:vertAlign w:val="superscript"/>
          <w:lang w:val="fr-CA"/>
        </w:rPr>
        <w:t>o</w:t>
      </w:r>
      <w:r w:rsidR="005C7F4C" w:rsidRPr="007B3EA8">
        <w:rPr>
          <w:lang w:val="fr-CA"/>
        </w:rPr>
        <w:t xml:space="preserve"> du greffe</w:t>
      </w:r>
      <w:r w:rsidR="00FE589F" w:rsidRPr="007B3EA8">
        <w:rPr>
          <w:lang w:val="fr-CA"/>
        </w:rPr>
        <w:t> :</w:t>
      </w:r>
      <w:r w:rsidR="005C7F4C" w:rsidRPr="007B3EA8">
        <w:rPr>
          <w:lang w:val="fr-CA"/>
        </w:rPr>
        <w:t xml:space="preserve"> </w:t>
      </w:r>
      <w:r w:rsidRPr="007B3EA8">
        <w:rPr>
          <w:lang w:val="fr-CA"/>
        </w:rPr>
        <w:t>37627.</w:t>
      </w:r>
    </w:p>
    <w:p w:rsidR="004D7D95" w:rsidRPr="007B3EA8" w:rsidRDefault="00D17B0E" w:rsidP="00FE589F">
      <w:pPr>
        <w:spacing w:after="720"/>
        <w:jc w:val="both"/>
        <w:rPr>
          <w:lang w:val="fr-CA"/>
        </w:rPr>
      </w:pPr>
      <w:r w:rsidRPr="007B3EA8">
        <w:rPr>
          <w:lang w:val="fr-CA"/>
        </w:rPr>
        <w:t>2018</w:t>
      </w:r>
      <w:r w:rsidR="00FE589F" w:rsidRPr="007B3EA8">
        <w:rPr>
          <w:lang w:val="fr-CA"/>
        </w:rPr>
        <w:t> :</w:t>
      </w:r>
      <w:r w:rsidR="00E76110" w:rsidRPr="007B3EA8">
        <w:rPr>
          <w:lang w:val="fr-CA"/>
        </w:rPr>
        <w:t> </w:t>
      </w:r>
      <w:r w:rsidR="00766064" w:rsidRPr="007B3EA8">
        <w:rPr>
          <w:lang w:val="fr-CA"/>
        </w:rPr>
        <w:t>1</w:t>
      </w:r>
      <w:r w:rsidRPr="007B3EA8">
        <w:rPr>
          <w:lang w:val="fr-CA"/>
        </w:rPr>
        <w:t>5</w:t>
      </w:r>
      <w:r w:rsidR="00E76110" w:rsidRPr="007B3EA8">
        <w:rPr>
          <w:lang w:val="fr-CA"/>
        </w:rPr>
        <w:t> </w:t>
      </w:r>
      <w:r w:rsidRPr="007B3EA8">
        <w:rPr>
          <w:lang w:val="fr-CA"/>
        </w:rPr>
        <w:t>février</w:t>
      </w:r>
      <w:r w:rsidR="004D7D95" w:rsidRPr="007B3EA8">
        <w:rPr>
          <w:lang w:val="fr-CA"/>
        </w:rPr>
        <w:t xml:space="preserve">; </w:t>
      </w:r>
      <w:r w:rsidR="002E272C" w:rsidRPr="007B3EA8">
        <w:rPr>
          <w:lang w:val="fr-CA"/>
        </w:rPr>
        <w:t>2019</w:t>
      </w:r>
      <w:r w:rsidR="00FE589F" w:rsidRPr="007B3EA8">
        <w:rPr>
          <w:lang w:val="fr-CA"/>
        </w:rPr>
        <w:t> :</w:t>
      </w:r>
      <w:r w:rsidR="005C7F4C" w:rsidRPr="007B3EA8">
        <w:rPr>
          <w:lang w:val="fr-CA"/>
        </w:rPr>
        <w:t xml:space="preserve"> </w:t>
      </w:r>
      <w:r w:rsidR="00594C48" w:rsidRPr="007B3EA8">
        <w:rPr>
          <w:lang w:val="fr-CA"/>
        </w:rPr>
        <w:t>31 </w:t>
      </w:r>
      <w:r w:rsidR="002E272C" w:rsidRPr="007B3EA8">
        <w:rPr>
          <w:lang w:val="fr-CA"/>
        </w:rPr>
        <w:t>janvier.</w:t>
      </w:r>
    </w:p>
    <w:p w:rsidR="004D7D95" w:rsidRPr="007B3EA8" w:rsidRDefault="005C7F4C" w:rsidP="00116BF1">
      <w:pPr>
        <w:spacing w:after="720"/>
        <w:jc w:val="both"/>
        <w:rPr>
          <w:lang w:val="fr-CA"/>
        </w:rPr>
      </w:pPr>
      <w:r w:rsidRPr="007B3EA8">
        <w:rPr>
          <w:lang w:val="fr-CA"/>
        </w:rPr>
        <w:lastRenderedPageBreak/>
        <w:t>Présents</w:t>
      </w:r>
      <w:r w:rsidR="00FE589F" w:rsidRPr="007B3EA8">
        <w:rPr>
          <w:lang w:val="fr-CA"/>
        </w:rPr>
        <w:t> :</w:t>
      </w:r>
      <w:r w:rsidRPr="007B3EA8">
        <w:rPr>
          <w:lang w:val="fr-CA"/>
        </w:rPr>
        <w:t xml:space="preserve"> </w:t>
      </w:r>
      <w:r w:rsidR="004D7D95" w:rsidRPr="007B3EA8">
        <w:rPr>
          <w:lang w:val="fr-CA"/>
        </w:rPr>
        <w:t>Le juge en chef Wagner et les juges Abella, Moldaver, Karakatsanis, Gascon, Côté et Brown.</w:t>
      </w:r>
    </w:p>
    <w:p w:rsidR="004D7D95" w:rsidRPr="007B3EA8" w:rsidRDefault="004D7D95" w:rsidP="00FE589F">
      <w:pPr>
        <w:spacing w:after="720"/>
        <w:jc w:val="both"/>
        <w:rPr>
          <w:smallCaps/>
          <w:lang w:val="fr-CA"/>
        </w:rPr>
      </w:pPr>
      <w:r w:rsidRPr="007B3EA8">
        <w:rPr>
          <w:smallCaps/>
          <w:lang w:val="fr-CA"/>
        </w:rPr>
        <w:t>en appel de la cour d</w:t>
      </w:r>
      <w:r w:rsidR="00AC7CB4" w:rsidRPr="007B3EA8">
        <w:rPr>
          <w:smallCaps/>
          <w:lang w:val="fr-CA"/>
        </w:rPr>
        <w:t>’</w:t>
      </w:r>
      <w:r w:rsidRPr="007B3EA8">
        <w:rPr>
          <w:smallCaps/>
          <w:lang w:val="fr-CA"/>
        </w:rPr>
        <w:t>appel de l</w:t>
      </w:r>
      <w:r w:rsidR="00AC7CB4" w:rsidRPr="007B3EA8">
        <w:rPr>
          <w:smallCaps/>
          <w:lang w:val="fr-CA"/>
        </w:rPr>
        <w:t>’</w:t>
      </w:r>
      <w:r w:rsidRPr="007B3EA8">
        <w:rPr>
          <w:smallCaps/>
          <w:lang w:val="fr-CA"/>
        </w:rPr>
        <w:t xml:space="preserve">alberta </w:t>
      </w:r>
    </w:p>
    <w:p w:rsidR="007C5DF1" w:rsidRPr="007B3EA8" w:rsidRDefault="004D7D95" w:rsidP="00594C48">
      <w:pPr>
        <w:pStyle w:val="SCCNormalDoubleSpacing"/>
        <w:spacing w:after="480"/>
        <w:rPr>
          <w:rFonts w:eastAsiaTheme="minorHAnsi"/>
          <w:i/>
          <w:sz w:val="22"/>
          <w:szCs w:val="22"/>
          <w:lang w:val="fr-CA"/>
        </w:rPr>
      </w:pPr>
      <w:r w:rsidRPr="007B3EA8">
        <w:rPr>
          <w:lang w:val="fr-CA"/>
        </w:rPr>
        <w:tab/>
      </w:r>
      <w:r w:rsidR="001935B0" w:rsidRPr="007B3EA8">
        <w:rPr>
          <w:i/>
          <w:lang w:val="fr-CA"/>
        </w:rPr>
        <w:t>Droit constitutionnel</w:t>
      </w:r>
      <w:r w:rsidR="007C5DF1" w:rsidRPr="007B3EA8">
        <w:rPr>
          <w:rFonts w:eastAsiaTheme="minorHAnsi"/>
          <w:i/>
          <w:lang w:val="fr-CA"/>
        </w:rPr>
        <w:t xml:space="preserve"> — </w:t>
      </w:r>
      <w:r w:rsidR="001935B0" w:rsidRPr="007B3EA8">
        <w:rPr>
          <w:rFonts w:eastAsiaTheme="minorHAnsi"/>
          <w:i/>
          <w:lang w:val="fr-CA"/>
        </w:rPr>
        <w:t>Partage des compétences</w:t>
      </w:r>
      <w:r w:rsidR="007C5DF1" w:rsidRPr="007B3EA8">
        <w:rPr>
          <w:rFonts w:eastAsiaTheme="minorHAnsi"/>
          <w:i/>
          <w:lang w:val="fr-CA"/>
        </w:rPr>
        <w:t xml:space="preserve"> — </w:t>
      </w:r>
      <w:r w:rsidR="001935B0" w:rsidRPr="007B3EA8">
        <w:rPr>
          <w:rFonts w:eastAsiaTheme="minorHAnsi"/>
          <w:i/>
          <w:lang w:val="fr-CA"/>
        </w:rPr>
        <w:t>Prépondérance fédérale</w:t>
      </w:r>
      <w:r w:rsidR="007C5DF1" w:rsidRPr="007B3EA8">
        <w:rPr>
          <w:rFonts w:eastAsiaTheme="minorHAnsi"/>
          <w:i/>
          <w:lang w:val="fr-CA"/>
        </w:rPr>
        <w:t xml:space="preserve"> — </w:t>
      </w:r>
      <w:r w:rsidR="001935B0" w:rsidRPr="007B3EA8">
        <w:rPr>
          <w:rFonts w:eastAsiaTheme="minorHAnsi"/>
          <w:i/>
          <w:lang w:val="fr-CA"/>
        </w:rPr>
        <w:t>Faillite et insolvabilité</w:t>
      </w:r>
      <w:r w:rsidR="007C5DF1" w:rsidRPr="007B3EA8">
        <w:rPr>
          <w:rFonts w:eastAsiaTheme="minorHAnsi"/>
          <w:i/>
          <w:lang w:val="fr-CA"/>
        </w:rPr>
        <w:t xml:space="preserve"> — </w:t>
      </w:r>
      <w:r w:rsidR="001935B0" w:rsidRPr="007B3EA8">
        <w:rPr>
          <w:rFonts w:eastAsiaTheme="minorHAnsi"/>
          <w:i/>
          <w:lang w:val="fr-CA"/>
        </w:rPr>
        <w:t>Droit de l’environnement</w:t>
      </w:r>
      <w:r w:rsidR="007C5DF1" w:rsidRPr="007B3EA8">
        <w:rPr>
          <w:rFonts w:eastAsiaTheme="minorHAnsi"/>
          <w:i/>
          <w:lang w:val="fr-CA"/>
        </w:rPr>
        <w:t xml:space="preserve"> — </w:t>
      </w:r>
      <w:r w:rsidR="001935B0" w:rsidRPr="007B3EA8">
        <w:rPr>
          <w:rFonts w:eastAsiaTheme="minorHAnsi"/>
          <w:i/>
          <w:lang w:val="fr-CA"/>
        </w:rPr>
        <w:t>Pétrole et gaz</w:t>
      </w:r>
      <w:r w:rsidR="007C5DF1" w:rsidRPr="007B3EA8">
        <w:rPr>
          <w:rFonts w:eastAsiaTheme="minorHAnsi"/>
          <w:i/>
          <w:lang w:val="fr-CA"/>
        </w:rPr>
        <w:t xml:space="preserve"> —</w:t>
      </w:r>
      <w:r w:rsidR="001935B0" w:rsidRPr="007B3EA8">
        <w:rPr>
          <w:rFonts w:eastAsiaTheme="minorHAnsi"/>
          <w:i/>
          <w:lang w:val="fr-CA"/>
        </w:rPr>
        <w:t xml:space="preserve"> Sociétés pétrolières et gazières de l’</w:t>
      </w:r>
      <w:r w:rsidR="007C5DF1" w:rsidRPr="007B3EA8">
        <w:rPr>
          <w:rFonts w:eastAsiaTheme="minorHAnsi"/>
          <w:i/>
          <w:lang w:val="fr-CA"/>
        </w:rPr>
        <w:t>Alberta</w:t>
      </w:r>
      <w:r w:rsidR="001935B0" w:rsidRPr="007B3EA8">
        <w:rPr>
          <w:rFonts w:eastAsiaTheme="minorHAnsi"/>
          <w:i/>
          <w:lang w:val="fr-CA"/>
        </w:rPr>
        <w:t xml:space="preserve"> tenues par le régime provincial complet de délivrance de permis d’assumer des responsabilités de fin de vie à l’égard de puits de pétrole, de </w:t>
      </w:r>
      <w:r w:rsidR="007C5DF1" w:rsidRPr="007B3EA8">
        <w:rPr>
          <w:rFonts w:eastAsiaTheme="minorHAnsi"/>
          <w:i/>
          <w:lang w:val="fr-CA"/>
        </w:rPr>
        <w:t>pipelines</w:t>
      </w:r>
      <w:r w:rsidR="001935B0" w:rsidRPr="007B3EA8">
        <w:rPr>
          <w:rFonts w:eastAsiaTheme="minorHAnsi"/>
          <w:i/>
          <w:lang w:val="fr-CA"/>
        </w:rPr>
        <w:t xml:space="preserve"> et d’installations</w:t>
      </w:r>
      <w:r w:rsidR="007C5DF1" w:rsidRPr="007B3EA8">
        <w:rPr>
          <w:rFonts w:eastAsiaTheme="minorHAnsi"/>
          <w:i/>
          <w:lang w:val="fr-CA"/>
        </w:rPr>
        <w:t xml:space="preserve"> —</w:t>
      </w:r>
      <w:r w:rsidR="007C5DF1" w:rsidRPr="007B3EA8" w:rsidDel="00F264CB">
        <w:rPr>
          <w:rFonts w:eastAsiaTheme="minorHAnsi"/>
          <w:i/>
          <w:lang w:val="fr-CA"/>
        </w:rPr>
        <w:t xml:space="preserve"> </w:t>
      </w:r>
      <w:r w:rsidR="001935B0" w:rsidRPr="007B3EA8">
        <w:rPr>
          <w:rFonts w:eastAsiaTheme="minorHAnsi"/>
          <w:i/>
          <w:lang w:val="fr-CA"/>
        </w:rPr>
        <w:t xml:space="preserve">Organisme de réglementation provincial administrant le régime d’octroi de permis et assurant le respect </w:t>
      </w:r>
      <w:r w:rsidR="0051710C" w:rsidRPr="007B3EA8">
        <w:rPr>
          <w:rFonts w:eastAsiaTheme="minorHAnsi"/>
          <w:i/>
          <w:lang w:val="fr-CA"/>
        </w:rPr>
        <w:t xml:space="preserve">des obligations de fin de vie en vertu des pouvoirs que lui confère la loi </w:t>
      </w:r>
      <w:r w:rsidR="007C5DF1" w:rsidRPr="007B3EA8">
        <w:rPr>
          <w:rFonts w:eastAsiaTheme="minorHAnsi"/>
          <w:i/>
          <w:lang w:val="fr-CA"/>
        </w:rPr>
        <w:t>—</w:t>
      </w:r>
      <w:r w:rsidR="007C5DF1" w:rsidRPr="007B3EA8" w:rsidDel="00F264CB">
        <w:rPr>
          <w:rFonts w:eastAsiaTheme="minorHAnsi"/>
          <w:i/>
          <w:lang w:val="fr-CA"/>
        </w:rPr>
        <w:t xml:space="preserve"> </w:t>
      </w:r>
      <w:r w:rsidR="0051710C" w:rsidRPr="007B3EA8">
        <w:rPr>
          <w:rFonts w:eastAsiaTheme="minorHAnsi"/>
          <w:i/>
          <w:lang w:val="fr-CA"/>
        </w:rPr>
        <w:t>Syndic de faillite d’une société pétrolière et gazière</w:t>
      </w:r>
      <w:r w:rsidR="00AB7B4C" w:rsidRPr="007B3EA8">
        <w:rPr>
          <w:rFonts w:eastAsiaTheme="minorHAnsi"/>
          <w:i/>
          <w:lang w:val="fr-CA"/>
        </w:rPr>
        <w:t xml:space="preserve"> refusant d’assumer la responsabilité des biens pétroliers et gaziers inexploités de la société et tentant de se soustraire aux engagements environnementaux associés à ces biens ou</w:t>
      </w:r>
      <w:r w:rsidR="00D0230D" w:rsidRPr="007B3EA8">
        <w:rPr>
          <w:rFonts w:eastAsiaTheme="minorHAnsi"/>
          <w:i/>
          <w:lang w:val="fr-CA"/>
        </w:rPr>
        <w:t xml:space="preserve"> d’</w:t>
      </w:r>
      <w:r w:rsidR="00AB7B4C" w:rsidRPr="007B3EA8">
        <w:rPr>
          <w:rFonts w:eastAsiaTheme="minorHAnsi"/>
          <w:i/>
          <w:lang w:val="fr-CA"/>
        </w:rPr>
        <w:t xml:space="preserve">acquitter les réclamations des créanciers garantis avant les engagements environnementaux de la société </w:t>
      </w:r>
      <w:r w:rsidR="007C5DF1" w:rsidRPr="007B3EA8">
        <w:rPr>
          <w:rFonts w:eastAsiaTheme="minorHAnsi"/>
          <w:i/>
          <w:lang w:val="fr-CA"/>
        </w:rPr>
        <w:t xml:space="preserve">— </w:t>
      </w:r>
      <w:r w:rsidR="00D0230D" w:rsidRPr="007B3EA8">
        <w:rPr>
          <w:rFonts w:eastAsiaTheme="minorHAnsi"/>
          <w:i/>
          <w:lang w:val="fr-CA"/>
        </w:rPr>
        <w:t xml:space="preserve">L’exercice par l’organisme de réglementation des pouvoirs que lui confère la législation provinciale pour contraindre la société faillie à respecter les obligations de fin de vie entre-t-il en conflit avec les pouvoirs accordés au syndic par la loi fédérale sur la faillite ou avec l’ordre de priorités fixé par cette loi? </w:t>
      </w:r>
      <w:r w:rsidR="007C5DF1" w:rsidRPr="007B3EA8">
        <w:rPr>
          <w:rFonts w:eastAsiaTheme="minorHAnsi"/>
          <w:i/>
          <w:lang w:val="fr-CA"/>
        </w:rPr>
        <w:t xml:space="preserve">— </w:t>
      </w:r>
      <w:r w:rsidR="001935B0" w:rsidRPr="007B3EA8">
        <w:rPr>
          <w:rFonts w:eastAsiaTheme="minorHAnsi"/>
          <w:i/>
          <w:lang w:val="fr-CA"/>
        </w:rPr>
        <w:t>Dans l’affirmative</w:t>
      </w:r>
      <w:r w:rsidR="007C5DF1" w:rsidRPr="007B3EA8">
        <w:rPr>
          <w:rFonts w:eastAsiaTheme="minorHAnsi"/>
          <w:i/>
          <w:lang w:val="fr-CA"/>
        </w:rPr>
        <w:t>,</w:t>
      </w:r>
      <w:r w:rsidR="00D0230D" w:rsidRPr="007B3EA8">
        <w:rPr>
          <w:rFonts w:eastAsiaTheme="minorHAnsi"/>
          <w:i/>
          <w:lang w:val="fr-CA"/>
        </w:rPr>
        <w:t xml:space="preserve"> le régime de réglementation provincial est-il inopérant dans la mesure du conflit par application de la </w:t>
      </w:r>
      <w:r w:rsidR="007C5DF1" w:rsidRPr="007B3EA8">
        <w:rPr>
          <w:rFonts w:eastAsiaTheme="minorHAnsi"/>
          <w:i/>
          <w:lang w:val="fr-CA"/>
        </w:rPr>
        <w:t>doctrine</w:t>
      </w:r>
      <w:r w:rsidR="00D0230D" w:rsidRPr="007B3EA8">
        <w:rPr>
          <w:rFonts w:eastAsiaTheme="minorHAnsi"/>
          <w:i/>
          <w:lang w:val="fr-CA"/>
        </w:rPr>
        <w:t xml:space="preserve"> de la prépondérance fédérale? </w:t>
      </w:r>
      <w:r w:rsidR="007C5DF1" w:rsidRPr="007B3EA8">
        <w:rPr>
          <w:rFonts w:eastAsiaTheme="minorHAnsi"/>
          <w:i/>
          <w:lang w:val="fr-CA"/>
        </w:rPr>
        <w:t xml:space="preserve">— </w:t>
      </w:r>
      <w:r w:rsidR="001935B0" w:rsidRPr="007B3EA8">
        <w:rPr>
          <w:rFonts w:eastAsiaTheme="minorHAnsi"/>
          <w:i/>
          <w:lang w:val="fr-CA"/>
        </w:rPr>
        <w:t>Loi sur la faillite et l’insolvabilité</w:t>
      </w:r>
      <w:r w:rsidR="007C5DF1" w:rsidRPr="007B3EA8">
        <w:rPr>
          <w:rFonts w:eastAsiaTheme="minorHAnsi"/>
          <w:i/>
          <w:szCs w:val="22"/>
          <w:lang w:val="fr-CA"/>
        </w:rPr>
        <w:t>,</w:t>
      </w:r>
      <w:r w:rsidR="001935B0" w:rsidRPr="007B3EA8">
        <w:rPr>
          <w:rFonts w:eastAsiaTheme="minorHAnsi"/>
          <w:i/>
          <w:szCs w:val="22"/>
          <w:lang w:val="fr-CA"/>
        </w:rPr>
        <w:t xml:space="preserve"> L.R.C. </w:t>
      </w:r>
      <w:r w:rsidR="00594C48" w:rsidRPr="007B3EA8">
        <w:rPr>
          <w:rFonts w:eastAsiaTheme="minorHAnsi"/>
          <w:i/>
          <w:szCs w:val="22"/>
          <w:lang w:val="fr-CA"/>
        </w:rPr>
        <w:t>1985, c. B</w:t>
      </w:r>
      <w:r w:rsidR="00594C48" w:rsidRPr="007B3EA8">
        <w:rPr>
          <w:rFonts w:eastAsiaTheme="minorHAnsi"/>
          <w:i/>
          <w:szCs w:val="22"/>
          <w:lang w:val="fr-CA"/>
        </w:rPr>
        <w:noBreakHyphen/>
      </w:r>
      <w:r w:rsidR="007C5DF1" w:rsidRPr="007B3EA8">
        <w:rPr>
          <w:rFonts w:eastAsiaTheme="minorHAnsi"/>
          <w:i/>
          <w:szCs w:val="22"/>
          <w:lang w:val="fr-CA"/>
        </w:rPr>
        <w:t xml:space="preserve">3, </w:t>
      </w:r>
      <w:r w:rsidR="001935B0" w:rsidRPr="007B3EA8">
        <w:rPr>
          <w:rFonts w:eastAsiaTheme="minorHAnsi"/>
          <w:i/>
          <w:szCs w:val="22"/>
          <w:lang w:val="fr-CA"/>
        </w:rPr>
        <w:t>art</w:t>
      </w:r>
      <w:r w:rsidR="00594C48" w:rsidRPr="007B3EA8">
        <w:rPr>
          <w:rFonts w:eastAsiaTheme="minorHAnsi"/>
          <w:i/>
          <w:szCs w:val="22"/>
          <w:lang w:val="fr-CA"/>
        </w:rPr>
        <w:t>. </w:t>
      </w:r>
      <w:r w:rsidR="007C5DF1" w:rsidRPr="007B3EA8">
        <w:rPr>
          <w:rFonts w:eastAsiaTheme="minorHAnsi"/>
          <w:i/>
          <w:szCs w:val="22"/>
          <w:lang w:val="fr-CA"/>
        </w:rPr>
        <w:t>14.06 —</w:t>
      </w:r>
      <w:r w:rsidR="007C5DF1" w:rsidRPr="007B3EA8">
        <w:rPr>
          <w:rFonts w:eastAsiaTheme="minorHAnsi"/>
          <w:i/>
          <w:lang w:val="fr-CA"/>
        </w:rPr>
        <w:t xml:space="preserve"> Oil and Gas Conser</w:t>
      </w:r>
      <w:r w:rsidR="00171C4A">
        <w:rPr>
          <w:rFonts w:eastAsiaTheme="minorHAnsi"/>
          <w:i/>
          <w:lang w:val="fr-CA"/>
        </w:rPr>
        <w:t>vation Act, R.S.A. 2000, c</w:t>
      </w:r>
      <w:r w:rsidR="007C5DF1" w:rsidRPr="007B3EA8">
        <w:rPr>
          <w:rFonts w:eastAsiaTheme="minorHAnsi"/>
          <w:i/>
          <w:lang w:val="fr-CA"/>
        </w:rPr>
        <w:t>.</w:t>
      </w:r>
      <w:r w:rsidR="007B3EA8">
        <w:rPr>
          <w:rFonts w:eastAsiaTheme="minorHAnsi"/>
          <w:i/>
          <w:lang w:val="fr-CA"/>
        </w:rPr>
        <w:t> </w:t>
      </w:r>
      <w:r w:rsidR="007C5DF1" w:rsidRPr="007B3EA8">
        <w:rPr>
          <w:rFonts w:eastAsiaTheme="minorHAnsi"/>
          <w:i/>
          <w:lang w:val="fr-CA"/>
        </w:rPr>
        <w:t>O</w:t>
      </w:r>
      <w:r w:rsidR="007B3EA8">
        <w:rPr>
          <w:rFonts w:eastAsiaTheme="minorHAnsi"/>
          <w:i/>
          <w:lang w:val="fr-CA"/>
        </w:rPr>
        <w:noBreakHyphen/>
      </w:r>
      <w:r w:rsidR="007C5DF1" w:rsidRPr="007B3EA8">
        <w:rPr>
          <w:rFonts w:eastAsiaTheme="minorHAnsi"/>
          <w:i/>
          <w:lang w:val="fr-CA"/>
        </w:rPr>
        <w:t xml:space="preserve">6, </w:t>
      </w:r>
      <w:r w:rsidR="001935B0" w:rsidRPr="007B3EA8">
        <w:rPr>
          <w:rFonts w:eastAsiaTheme="minorHAnsi"/>
          <w:i/>
          <w:lang w:val="fr-CA"/>
        </w:rPr>
        <w:t>art</w:t>
      </w:r>
      <w:r w:rsidR="00D0230D" w:rsidRPr="007B3EA8">
        <w:rPr>
          <w:rFonts w:eastAsiaTheme="minorHAnsi"/>
          <w:i/>
          <w:lang w:val="fr-CA"/>
        </w:rPr>
        <w:t>. </w:t>
      </w:r>
      <w:r w:rsidR="00510364">
        <w:rPr>
          <w:rFonts w:eastAsiaTheme="minorHAnsi"/>
          <w:i/>
          <w:lang w:val="fr-CA"/>
        </w:rPr>
        <w:t>1(1)</w:t>
      </w:r>
      <w:r w:rsidR="000624A5">
        <w:rPr>
          <w:rFonts w:eastAsiaTheme="minorHAnsi"/>
          <w:i/>
          <w:lang w:val="fr-CA"/>
        </w:rPr>
        <w:t>(</w:t>
      </w:r>
      <w:r w:rsidR="007C5DF1" w:rsidRPr="007B3EA8">
        <w:rPr>
          <w:rFonts w:eastAsiaTheme="minorHAnsi"/>
          <w:i/>
          <w:lang w:val="fr-CA"/>
        </w:rPr>
        <w:t>cc) —</w:t>
      </w:r>
      <w:r w:rsidR="007C5DF1" w:rsidRPr="007B3EA8">
        <w:rPr>
          <w:i/>
          <w:lang w:val="fr-CA"/>
        </w:rPr>
        <w:t xml:space="preserve"> </w:t>
      </w:r>
      <w:r w:rsidR="007C5DF1" w:rsidRPr="007B3EA8">
        <w:rPr>
          <w:rFonts w:eastAsiaTheme="minorHAnsi"/>
          <w:i/>
          <w:lang w:val="fr-CA"/>
        </w:rPr>
        <w:t xml:space="preserve">Environmental Protection and Enhancement Act, R.S.A. 2000, </w:t>
      </w:r>
      <w:r w:rsidR="00171C4A">
        <w:rPr>
          <w:rFonts w:eastAsiaTheme="minorHAnsi"/>
          <w:i/>
          <w:lang w:val="fr-CA"/>
        </w:rPr>
        <w:t>c. E</w:t>
      </w:r>
      <w:r w:rsidR="00171C4A">
        <w:rPr>
          <w:rFonts w:eastAsiaTheme="minorHAnsi"/>
          <w:i/>
          <w:lang w:val="fr-CA"/>
        </w:rPr>
        <w:noBreakHyphen/>
      </w:r>
      <w:r w:rsidR="007C5DF1" w:rsidRPr="007B3EA8">
        <w:rPr>
          <w:rFonts w:eastAsiaTheme="minorHAnsi"/>
          <w:i/>
          <w:lang w:val="fr-CA"/>
        </w:rPr>
        <w:t xml:space="preserve">12, </w:t>
      </w:r>
      <w:r w:rsidR="001935B0" w:rsidRPr="007B3EA8">
        <w:rPr>
          <w:rFonts w:eastAsiaTheme="minorHAnsi"/>
          <w:i/>
          <w:lang w:val="fr-CA"/>
        </w:rPr>
        <w:t>art</w:t>
      </w:r>
      <w:r w:rsidR="007B3EA8">
        <w:rPr>
          <w:rFonts w:eastAsiaTheme="minorHAnsi"/>
          <w:i/>
          <w:lang w:val="fr-CA"/>
        </w:rPr>
        <w:t>. </w:t>
      </w:r>
      <w:r w:rsidR="00510364">
        <w:rPr>
          <w:rFonts w:eastAsiaTheme="minorHAnsi"/>
          <w:i/>
          <w:lang w:val="fr-CA"/>
        </w:rPr>
        <w:t>134</w:t>
      </w:r>
      <w:r w:rsidR="000624A5">
        <w:rPr>
          <w:rFonts w:eastAsiaTheme="minorHAnsi"/>
          <w:i/>
          <w:lang w:val="fr-CA"/>
        </w:rPr>
        <w:t>(</w:t>
      </w:r>
      <w:r w:rsidR="007C5DF1" w:rsidRPr="007B3EA8">
        <w:rPr>
          <w:rFonts w:eastAsiaTheme="minorHAnsi"/>
          <w:i/>
          <w:lang w:val="fr-CA"/>
        </w:rPr>
        <w:t xml:space="preserve">b)(vi) — </w:t>
      </w:r>
      <w:r w:rsidR="00171C4A">
        <w:rPr>
          <w:rFonts w:eastAsiaTheme="minorHAnsi"/>
          <w:i/>
          <w:lang w:val="fr-CA"/>
        </w:rPr>
        <w:t>Pipeline Act, R.S.A. 2000, c. P</w:t>
      </w:r>
      <w:r w:rsidR="00171C4A">
        <w:rPr>
          <w:rFonts w:eastAsiaTheme="minorHAnsi"/>
          <w:i/>
          <w:lang w:val="fr-CA"/>
        </w:rPr>
        <w:noBreakHyphen/>
      </w:r>
      <w:r w:rsidR="007C5DF1" w:rsidRPr="007B3EA8">
        <w:rPr>
          <w:rFonts w:eastAsiaTheme="minorHAnsi"/>
          <w:i/>
          <w:lang w:val="fr-CA"/>
        </w:rPr>
        <w:t xml:space="preserve">15, </w:t>
      </w:r>
      <w:r w:rsidR="001935B0" w:rsidRPr="007B3EA8">
        <w:rPr>
          <w:rFonts w:eastAsiaTheme="minorHAnsi"/>
          <w:i/>
          <w:szCs w:val="22"/>
          <w:lang w:val="fr-CA"/>
        </w:rPr>
        <w:t>art</w:t>
      </w:r>
      <w:r w:rsidR="007C5DF1" w:rsidRPr="007B3EA8">
        <w:rPr>
          <w:rFonts w:eastAsiaTheme="minorHAnsi"/>
          <w:i/>
          <w:szCs w:val="22"/>
          <w:lang w:val="fr-CA"/>
        </w:rPr>
        <w:t>.</w:t>
      </w:r>
      <w:r w:rsidR="00594C48" w:rsidRPr="007B3EA8">
        <w:rPr>
          <w:rFonts w:eastAsiaTheme="minorHAnsi"/>
          <w:i/>
          <w:szCs w:val="22"/>
          <w:lang w:val="fr-CA"/>
        </w:rPr>
        <w:t> </w:t>
      </w:r>
      <w:r w:rsidR="00510364">
        <w:rPr>
          <w:rFonts w:eastAsiaTheme="minorHAnsi"/>
          <w:i/>
          <w:szCs w:val="22"/>
          <w:lang w:val="fr-CA"/>
        </w:rPr>
        <w:t>1(1)</w:t>
      </w:r>
      <w:r w:rsidR="000624A5">
        <w:rPr>
          <w:rFonts w:eastAsiaTheme="minorHAnsi"/>
          <w:i/>
          <w:szCs w:val="22"/>
          <w:lang w:val="fr-CA"/>
        </w:rPr>
        <w:t>(</w:t>
      </w:r>
      <w:r w:rsidR="007C5DF1" w:rsidRPr="007B3EA8">
        <w:rPr>
          <w:rFonts w:eastAsiaTheme="minorHAnsi"/>
          <w:i/>
          <w:szCs w:val="22"/>
          <w:lang w:val="fr-CA"/>
        </w:rPr>
        <w:t>n).</w:t>
      </w:r>
    </w:p>
    <w:p w:rsidR="007C5DF1" w:rsidRPr="007B3EA8" w:rsidRDefault="007C5DF1" w:rsidP="00594C48">
      <w:pPr>
        <w:pStyle w:val="SCCNormalDoubleSpacing"/>
        <w:spacing w:after="480"/>
        <w:rPr>
          <w:lang w:val="fr-CA"/>
        </w:rPr>
      </w:pPr>
      <w:r w:rsidRPr="007B3EA8">
        <w:rPr>
          <w:lang w:val="fr-CA"/>
        </w:rPr>
        <w:lastRenderedPageBreak/>
        <w:tab/>
      </w:r>
      <w:r w:rsidR="00F5360B" w:rsidRPr="007B3EA8">
        <w:rPr>
          <w:lang w:val="fr-CA"/>
        </w:rPr>
        <w:t>Pour exploiter des ressources pétrolières et gazières en Alberta, une société a besoin d’un intérêt de propriété sur le pétrole ou le gaz</w:t>
      </w:r>
      <w:r w:rsidR="00171C4A">
        <w:rPr>
          <w:lang w:val="fr-CA"/>
        </w:rPr>
        <w:t xml:space="preserve"> (</w:t>
      </w:r>
      <w:r w:rsidR="00F5360B" w:rsidRPr="007B3EA8">
        <w:rPr>
          <w:lang w:val="fr-CA"/>
        </w:rPr>
        <w:t>habituellement un bail d’exploitation minière avec la Couronne que les tribunaux canadiens qualifient de profit à prendre</w:t>
      </w:r>
      <w:r w:rsidR="00171C4A">
        <w:rPr>
          <w:lang w:val="fr-CA"/>
        </w:rPr>
        <w:t>)</w:t>
      </w:r>
      <w:r w:rsidRPr="007B3EA8">
        <w:rPr>
          <w:lang w:val="fr-CA"/>
        </w:rPr>
        <w:t xml:space="preserve">, </w:t>
      </w:r>
      <w:r w:rsidR="00F5360B" w:rsidRPr="007B3EA8">
        <w:rPr>
          <w:lang w:val="fr-CA"/>
        </w:rPr>
        <w:t xml:space="preserve">des droits de </w:t>
      </w:r>
      <w:r w:rsidRPr="007B3EA8">
        <w:rPr>
          <w:lang w:val="fr-CA"/>
        </w:rPr>
        <w:t xml:space="preserve">surface </w:t>
      </w:r>
      <w:r w:rsidR="00F5360B" w:rsidRPr="007B3EA8">
        <w:rPr>
          <w:lang w:val="fr-CA"/>
        </w:rPr>
        <w:t xml:space="preserve">et </w:t>
      </w:r>
      <w:r w:rsidR="00171C4A">
        <w:rPr>
          <w:lang w:val="fr-CA"/>
        </w:rPr>
        <w:t>d’</w:t>
      </w:r>
      <w:r w:rsidR="00F5360B" w:rsidRPr="007B3EA8">
        <w:rPr>
          <w:lang w:val="fr-CA"/>
        </w:rPr>
        <w:t>un permis délivré par l’</w:t>
      </w:r>
      <w:r w:rsidRPr="007B3EA8">
        <w:rPr>
          <w:lang w:val="fr-CA"/>
        </w:rPr>
        <w:t>Alberta Energy Regulator (</w:t>
      </w:r>
      <w:r w:rsidR="003E131F" w:rsidRPr="007B3EA8">
        <w:rPr>
          <w:lang w:val="fr-CA"/>
        </w:rPr>
        <w:t>« </w:t>
      </w:r>
      <w:r w:rsidR="00F5360B" w:rsidRPr="007B3EA8">
        <w:rPr>
          <w:lang w:val="fr-CA"/>
        </w:rPr>
        <w:t>organisme de réglementation</w:t>
      </w:r>
      <w:r w:rsidR="003E131F" w:rsidRPr="007B3EA8">
        <w:rPr>
          <w:lang w:val="fr-CA"/>
        </w:rPr>
        <w:t> </w:t>
      </w:r>
      <w:r w:rsidR="00F5360B" w:rsidRPr="007B3EA8">
        <w:rPr>
          <w:lang w:val="fr-CA"/>
        </w:rPr>
        <w:t>»</w:t>
      </w:r>
      <w:r w:rsidRPr="007B3EA8">
        <w:rPr>
          <w:lang w:val="fr-CA"/>
        </w:rPr>
        <w:t xml:space="preserve">). </w:t>
      </w:r>
      <w:r w:rsidR="00F5360B" w:rsidRPr="007B3EA8">
        <w:rPr>
          <w:lang w:val="fr-CA"/>
        </w:rPr>
        <w:t xml:space="preserve">Selon la législation provinciale, l’organisme de réglementation n’accordera pas </w:t>
      </w:r>
      <w:r w:rsidR="00D84357" w:rsidRPr="007B3EA8">
        <w:rPr>
          <w:lang w:val="fr-CA"/>
        </w:rPr>
        <w:t xml:space="preserve">le </w:t>
      </w:r>
      <w:r w:rsidR="00F5360B" w:rsidRPr="007B3EA8">
        <w:rPr>
          <w:lang w:val="fr-CA"/>
        </w:rPr>
        <w:t>permis</w:t>
      </w:r>
      <w:r w:rsidR="00D84357" w:rsidRPr="007B3EA8">
        <w:rPr>
          <w:lang w:val="fr-CA"/>
        </w:rPr>
        <w:t xml:space="preserve"> voulu pour </w:t>
      </w:r>
      <w:r w:rsidR="00F5360B" w:rsidRPr="007B3EA8">
        <w:rPr>
          <w:lang w:val="fr-CA"/>
        </w:rPr>
        <w:t>extraire, traiter ou transporter du pétrole et du gaz en Alberta à moins qu</w:t>
      </w:r>
      <w:r w:rsidR="00D84357" w:rsidRPr="007B3EA8">
        <w:rPr>
          <w:lang w:val="fr-CA"/>
        </w:rPr>
        <w:t xml:space="preserve">e le titulaire de permis </w:t>
      </w:r>
      <w:r w:rsidR="00F5360B" w:rsidRPr="007B3EA8">
        <w:rPr>
          <w:lang w:val="fr-CA"/>
        </w:rPr>
        <w:t>n’assume les responsabilités de fin de vie consistant à obturer et à fermer les puits de pétrole afin d’éviter les fuites, à démanteler les structures de surface ainsi qu’à remettre la surface dans son état antérieur. Ces obligations</w:t>
      </w:r>
      <w:r w:rsidR="00F63F33" w:rsidRPr="007B3EA8">
        <w:rPr>
          <w:lang w:val="fr-CA"/>
        </w:rPr>
        <w:t xml:space="preserve"> de fin de vie</w:t>
      </w:r>
      <w:r w:rsidR="00F5360B" w:rsidRPr="007B3EA8">
        <w:rPr>
          <w:lang w:val="fr-CA"/>
        </w:rPr>
        <w:t xml:space="preserve"> sont </w:t>
      </w:r>
      <w:r w:rsidR="00D84357" w:rsidRPr="007B3EA8">
        <w:rPr>
          <w:lang w:val="fr-CA"/>
        </w:rPr>
        <w:t xml:space="preserve">appelées </w:t>
      </w:r>
      <w:r w:rsidR="00F5360B" w:rsidRPr="007B3EA8">
        <w:rPr>
          <w:lang w:val="fr-CA"/>
        </w:rPr>
        <w:t>l’« abandon » et la « remise en état »</w:t>
      </w:r>
      <w:r w:rsidRPr="007B3EA8">
        <w:rPr>
          <w:lang w:val="fr-CA"/>
        </w:rPr>
        <w:t xml:space="preserve">. </w:t>
      </w:r>
    </w:p>
    <w:p w:rsidR="007C5DF1" w:rsidRPr="007B3EA8" w:rsidRDefault="007C5DF1" w:rsidP="00594C48">
      <w:pPr>
        <w:pStyle w:val="SCCNormalDoubleSpacing"/>
        <w:spacing w:after="480"/>
        <w:rPr>
          <w:lang w:val="fr-CA"/>
        </w:rPr>
      </w:pPr>
      <w:r w:rsidRPr="007B3EA8">
        <w:rPr>
          <w:lang w:val="fr-CA"/>
        </w:rPr>
        <w:tab/>
      </w:r>
      <w:r w:rsidR="00C56987" w:rsidRPr="007B3EA8">
        <w:rPr>
          <w:lang w:val="fr-CA"/>
        </w:rPr>
        <w:t>Le Programme d’évaluation de la responsabilité du titulaire de permi</w:t>
      </w:r>
      <w:r w:rsidR="007B3EA8" w:rsidRPr="007B3EA8">
        <w:rPr>
          <w:lang w:val="fr-CA"/>
        </w:rPr>
        <w:t>s</w:t>
      </w:r>
      <w:r w:rsidR="007B3EA8">
        <w:rPr>
          <w:lang w:val="fr-CA"/>
        </w:rPr>
        <w:t xml:space="preserve"> </w:t>
      </w:r>
      <w:r w:rsidR="007B3EA8" w:rsidRPr="007B3EA8">
        <w:rPr>
          <w:lang w:val="fr-CA"/>
        </w:rPr>
        <w:t>c</w:t>
      </w:r>
      <w:r w:rsidR="00C56987" w:rsidRPr="007B3EA8">
        <w:rPr>
          <w:lang w:val="fr-CA"/>
        </w:rPr>
        <w:t>onstitue un moyen par lequel l’organisme de réglementation vise à s’assurer que les titulaires de permis rempliront les obligations de fin de vie</w:t>
      </w:r>
      <w:r w:rsidRPr="007B3EA8">
        <w:rPr>
          <w:lang w:val="fr-CA"/>
        </w:rPr>
        <w:t xml:space="preserve">. </w:t>
      </w:r>
      <w:r w:rsidR="00C56987" w:rsidRPr="007B3EA8">
        <w:rPr>
          <w:lang w:val="fr-CA"/>
        </w:rPr>
        <w:t xml:space="preserve">Dans le cadre de ce programme, l’organisme de réglementation attribue à chaque société une cote de gestion de la responsabilité (« CGR »), qui représente le rapport entre la valeur totale attribuée par l’organisme de réglementation aux biens d’une société qui sont visés par des permis et la responsabilité totale que l’organisme de réglementation attribue aux coûts éventuels de l’abandon et de la remise en état de ces biens. </w:t>
      </w:r>
      <w:r w:rsidR="00F07867" w:rsidRPr="007B3EA8">
        <w:rPr>
          <w:lang w:val="fr-CA"/>
        </w:rPr>
        <w:t xml:space="preserve">Pour les besoins du calcul de la CGR, tous les permis détenus par une société donnée sont traités comme un tout. La CGR d’un titulaire de permis est calculée sur une base mensuelle et, lorsqu’elle tombe sous le ratio prescrit, le titulaire de permis </w:t>
      </w:r>
      <w:r w:rsidR="00EF75FB" w:rsidRPr="007B3EA8">
        <w:rPr>
          <w:lang w:val="fr-CA"/>
        </w:rPr>
        <w:t xml:space="preserve">doit la ramener en versant </w:t>
      </w:r>
      <w:r w:rsidR="00F07867" w:rsidRPr="007B3EA8">
        <w:rPr>
          <w:lang w:val="fr-CA"/>
        </w:rPr>
        <w:t xml:space="preserve">un dépôt de garantie, </w:t>
      </w:r>
      <w:r w:rsidR="00EF75FB" w:rsidRPr="007B3EA8">
        <w:rPr>
          <w:lang w:val="fr-CA"/>
        </w:rPr>
        <w:t xml:space="preserve">en exécutant </w:t>
      </w:r>
      <w:r w:rsidR="00F07867" w:rsidRPr="007B3EA8">
        <w:rPr>
          <w:lang w:val="fr-CA"/>
        </w:rPr>
        <w:t>le</w:t>
      </w:r>
      <w:r w:rsidR="00EF75FB" w:rsidRPr="007B3EA8">
        <w:rPr>
          <w:lang w:val="fr-CA"/>
        </w:rPr>
        <w:t xml:space="preserve">s obligations de fin de vie ou </w:t>
      </w:r>
      <w:r w:rsidR="00F07867" w:rsidRPr="007B3EA8">
        <w:rPr>
          <w:lang w:val="fr-CA"/>
        </w:rPr>
        <w:t>e</w:t>
      </w:r>
      <w:r w:rsidR="00EF75FB" w:rsidRPr="007B3EA8">
        <w:rPr>
          <w:lang w:val="fr-CA"/>
        </w:rPr>
        <w:t>n transférant</w:t>
      </w:r>
      <w:r w:rsidR="00F07867" w:rsidRPr="007B3EA8">
        <w:rPr>
          <w:lang w:val="fr-CA"/>
        </w:rPr>
        <w:t xml:space="preserve"> des permis avec l’approbation de l’organisme de réglementation</w:t>
      </w:r>
      <w:r w:rsidRPr="007B3EA8">
        <w:rPr>
          <w:lang w:val="fr-CA"/>
        </w:rPr>
        <w:t xml:space="preserve">. </w:t>
      </w:r>
      <w:r w:rsidR="00141C8A" w:rsidRPr="007B3EA8">
        <w:rPr>
          <w:lang w:val="fr-CA"/>
        </w:rPr>
        <w:t xml:space="preserve">Si le cédant ou le </w:t>
      </w:r>
      <w:r w:rsidR="00141C8A" w:rsidRPr="007B3EA8">
        <w:rPr>
          <w:lang w:val="fr-CA"/>
        </w:rPr>
        <w:lastRenderedPageBreak/>
        <w:t>cessionnaire devait avoir une CGR inférieure à 1,0 après le transfert, l’organisme de réglementation refusera normalement d’approuver le transfert de permis</w:t>
      </w:r>
      <w:r w:rsidRPr="007B3EA8">
        <w:rPr>
          <w:lang w:val="fr-CA"/>
        </w:rPr>
        <w:t xml:space="preserve">. </w:t>
      </w:r>
    </w:p>
    <w:p w:rsidR="007C5DF1" w:rsidRPr="007B3EA8" w:rsidRDefault="007C5DF1" w:rsidP="00594C48">
      <w:pPr>
        <w:pStyle w:val="SCCNormalDoubleSpacing"/>
        <w:spacing w:after="480"/>
        <w:rPr>
          <w:lang w:val="fr-CA"/>
        </w:rPr>
      </w:pPr>
      <w:r w:rsidRPr="007B3EA8">
        <w:rPr>
          <w:lang w:val="fr-CA"/>
        </w:rPr>
        <w:tab/>
      </w:r>
      <w:r w:rsidR="00141C8A" w:rsidRPr="007B3EA8">
        <w:rPr>
          <w:lang w:val="fr-CA"/>
        </w:rPr>
        <w:t>L’insolvabilité d’une société pétrolière et gazière autorisée à exercer ses activités en Alberta met en jeu le régime complet de délivrance de permis de l’Alberta qui lie les sociétés actives dans l’industrie pétrolière et gazière</w:t>
      </w:r>
      <w:r w:rsidR="00656E50">
        <w:rPr>
          <w:lang w:val="fr-CA"/>
        </w:rPr>
        <w:t>,</w:t>
      </w:r>
      <w:r w:rsidR="00141C8A" w:rsidRPr="007B3EA8">
        <w:rPr>
          <w:lang w:val="fr-CA"/>
        </w:rPr>
        <w:t xml:space="preserve"> ainsi que la </w:t>
      </w:r>
      <w:r w:rsidR="00141C8A" w:rsidRPr="007B3EA8">
        <w:rPr>
          <w:i/>
          <w:lang w:val="fr-CA"/>
        </w:rPr>
        <w:t>Loi sur la faillite et l’insolvabilité</w:t>
      </w:r>
      <w:r w:rsidR="00141C8A" w:rsidRPr="007B3EA8">
        <w:rPr>
          <w:lang w:val="fr-CA"/>
        </w:rPr>
        <w:t xml:space="preserve"> </w:t>
      </w:r>
      <w:r w:rsidRPr="007B3EA8">
        <w:rPr>
          <w:lang w:val="fr-CA"/>
        </w:rPr>
        <w:t>(</w:t>
      </w:r>
      <w:r w:rsidR="00141C8A" w:rsidRPr="007B3EA8">
        <w:rPr>
          <w:lang w:val="fr-CA"/>
        </w:rPr>
        <w:t>«</w:t>
      </w:r>
      <w:r w:rsidR="00594C48" w:rsidRPr="007B3EA8">
        <w:rPr>
          <w:lang w:val="fr-CA"/>
        </w:rPr>
        <w:t> </w:t>
      </w:r>
      <w:r w:rsidR="00594C48" w:rsidRPr="00656E50">
        <w:rPr>
          <w:i/>
          <w:lang w:val="fr-CA"/>
        </w:rPr>
        <w:t>LFI</w:t>
      </w:r>
      <w:r w:rsidR="00594C48" w:rsidRPr="007B3EA8">
        <w:rPr>
          <w:lang w:val="fr-CA"/>
        </w:rPr>
        <w:t> </w:t>
      </w:r>
      <w:r w:rsidR="00141C8A" w:rsidRPr="007B3EA8">
        <w:rPr>
          <w:lang w:val="fr-CA"/>
        </w:rPr>
        <w:t>»</w:t>
      </w:r>
      <w:r w:rsidRPr="007B3EA8">
        <w:rPr>
          <w:lang w:val="fr-CA"/>
        </w:rPr>
        <w:t xml:space="preserve">), </w:t>
      </w:r>
      <w:r w:rsidR="00141C8A" w:rsidRPr="007B3EA8">
        <w:rPr>
          <w:lang w:val="fr-CA"/>
        </w:rPr>
        <w:t>une loi fédérale qui régit l’administration de l’actif d’un failli ainsi que la répartition ordonnée et équitable des biens entre ses créanciers. L’</w:t>
      </w:r>
      <w:r w:rsidRPr="007B3EA8">
        <w:rPr>
          <w:i/>
          <w:lang w:val="fr-CA"/>
        </w:rPr>
        <w:t xml:space="preserve">Environmental Protection and Enhancement Act </w:t>
      </w:r>
      <w:r w:rsidRPr="007B3EA8">
        <w:rPr>
          <w:lang w:val="fr-CA"/>
        </w:rPr>
        <w:t>(</w:t>
      </w:r>
      <w:r w:rsidR="00594C48" w:rsidRPr="007B3EA8">
        <w:rPr>
          <w:lang w:val="fr-CA"/>
        </w:rPr>
        <w:t>« </w:t>
      </w:r>
      <w:r w:rsidRPr="00656E50">
        <w:rPr>
          <w:i/>
          <w:lang w:val="fr-CA"/>
        </w:rPr>
        <w:t>EPEA</w:t>
      </w:r>
      <w:r w:rsidR="00594C48" w:rsidRPr="007B3EA8">
        <w:rPr>
          <w:i/>
          <w:lang w:val="fr-CA"/>
        </w:rPr>
        <w:t> </w:t>
      </w:r>
      <w:r w:rsidR="00141C8A" w:rsidRPr="007B3EA8">
        <w:rPr>
          <w:lang w:val="fr-CA"/>
        </w:rPr>
        <w:t>»</w:t>
      </w:r>
      <w:r w:rsidRPr="007B3EA8">
        <w:rPr>
          <w:lang w:val="fr-CA"/>
        </w:rPr>
        <w:t>)</w:t>
      </w:r>
      <w:r w:rsidR="00141C8A" w:rsidRPr="007B3EA8">
        <w:rPr>
          <w:lang w:val="fr-CA"/>
        </w:rPr>
        <w:t xml:space="preserve"> de l’Alberta</w:t>
      </w:r>
      <w:r w:rsidRPr="007B3EA8">
        <w:rPr>
          <w:i/>
          <w:lang w:val="fr-CA"/>
        </w:rPr>
        <w:t xml:space="preserve"> </w:t>
      </w:r>
      <w:r w:rsidR="00141C8A" w:rsidRPr="007B3EA8">
        <w:rPr>
          <w:lang w:val="fr-CA"/>
        </w:rPr>
        <w:t>garantit que les obligations réglementaires d’un titulaire de permis continuent d’être respectées pendant qu’il fait l’objet d’une procédure d’insolvabilité en incluant le syndic d’un titulaire de permis dans la définition d’« exploitant » pour l’application de l’obligation de remettre en état et en prévoyant la possibilité qu’une ordonnance de remise en état soit adressée à un syndic. Cependant, faute de négligence grave ou d’inconduite délibérée, elle limite expressément la responsabilité du syndic à l’égard d’une telle ordonnance à la valeur des éléments de l’actif du failli</w:t>
      </w:r>
      <w:r w:rsidRPr="007B3EA8">
        <w:rPr>
          <w:lang w:val="fr-CA"/>
        </w:rPr>
        <w:t xml:space="preserve">. </w:t>
      </w:r>
      <w:r w:rsidR="00141C8A" w:rsidRPr="007B3EA8">
        <w:rPr>
          <w:lang w:val="fr-CA"/>
        </w:rPr>
        <w:t>L’</w:t>
      </w:r>
      <w:r w:rsidRPr="007B3EA8">
        <w:rPr>
          <w:i/>
          <w:lang w:val="fr-CA"/>
        </w:rPr>
        <w:t>Oil and Gas Conservation Act</w:t>
      </w:r>
      <w:r w:rsidRPr="007B3EA8">
        <w:rPr>
          <w:lang w:val="fr-CA"/>
        </w:rPr>
        <w:t xml:space="preserve"> (</w:t>
      </w:r>
      <w:r w:rsidR="00141C8A" w:rsidRPr="007B3EA8">
        <w:rPr>
          <w:lang w:val="fr-CA"/>
        </w:rPr>
        <w:t>« </w:t>
      </w:r>
      <w:r w:rsidRPr="00656E50">
        <w:rPr>
          <w:i/>
          <w:lang w:val="fr-CA"/>
        </w:rPr>
        <w:t>OGCA</w:t>
      </w:r>
      <w:r w:rsidR="003E131F" w:rsidRPr="007B3EA8">
        <w:rPr>
          <w:lang w:val="fr-CA"/>
        </w:rPr>
        <w:t> </w:t>
      </w:r>
      <w:r w:rsidR="00141C8A" w:rsidRPr="007B3EA8">
        <w:rPr>
          <w:lang w:val="fr-CA"/>
        </w:rPr>
        <w:t>»</w:t>
      </w:r>
      <w:r w:rsidRPr="007B3EA8">
        <w:rPr>
          <w:lang w:val="fr-CA"/>
        </w:rPr>
        <w:t xml:space="preserve">) </w:t>
      </w:r>
      <w:r w:rsidR="00141C8A" w:rsidRPr="007B3EA8">
        <w:rPr>
          <w:lang w:val="fr-CA"/>
        </w:rPr>
        <w:t xml:space="preserve">et la </w:t>
      </w:r>
      <w:r w:rsidRPr="007B3EA8">
        <w:rPr>
          <w:i/>
          <w:lang w:val="fr-CA"/>
        </w:rPr>
        <w:t>Pipeline Act</w:t>
      </w:r>
      <w:r w:rsidRPr="007B3EA8">
        <w:rPr>
          <w:lang w:val="fr-CA"/>
        </w:rPr>
        <w:t xml:space="preserve"> </w:t>
      </w:r>
      <w:r w:rsidR="00141C8A" w:rsidRPr="007B3EA8">
        <w:rPr>
          <w:lang w:val="fr-CA"/>
        </w:rPr>
        <w:t>adoptent une approche plus générique</w:t>
      </w:r>
      <w:r w:rsidR="003E131F" w:rsidRPr="007B3EA8">
        <w:rPr>
          <w:lang w:val="fr-CA"/>
        </w:rPr>
        <w:t> </w:t>
      </w:r>
      <w:r w:rsidRPr="007B3EA8">
        <w:rPr>
          <w:lang w:val="fr-CA"/>
        </w:rPr>
        <w:t xml:space="preserve">: </w:t>
      </w:r>
      <w:r w:rsidR="00141C8A" w:rsidRPr="007B3EA8">
        <w:rPr>
          <w:lang w:val="fr-CA"/>
        </w:rPr>
        <w:t>elles incluent simplement le syndic dans la définition de « titulaire de permis »</w:t>
      </w:r>
      <w:r w:rsidR="00652B29" w:rsidRPr="007B3EA8">
        <w:rPr>
          <w:lang w:val="fr-CA"/>
        </w:rPr>
        <w:t xml:space="preserve">. </w:t>
      </w:r>
      <w:r w:rsidR="00E543C7" w:rsidRPr="007B3EA8">
        <w:rPr>
          <w:lang w:val="fr-CA"/>
        </w:rPr>
        <w:t>En conséquence, tout pouvoir que ces lois confèrent à l’organisme de réglementation à l’encontre d’un titulaire de permis peut, en théorie, s’exercer également contre un syndic</w:t>
      </w:r>
      <w:r w:rsidRPr="007B3EA8">
        <w:rPr>
          <w:lang w:val="fr-CA"/>
        </w:rPr>
        <w:t xml:space="preserve">. </w:t>
      </w:r>
      <w:r w:rsidR="00E543C7" w:rsidRPr="007B3EA8">
        <w:rPr>
          <w:lang w:val="fr-CA"/>
        </w:rPr>
        <w:t>L’organisme de réglementation a délégué à l’Orphan We</w:t>
      </w:r>
      <w:r w:rsidR="003E131F" w:rsidRPr="007B3EA8">
        <w:rPr>
          <w:lang w:val="fr-CA"/>
        </w:rPr>
        <w:t>ll Association (« </w:t>
      </w:r>
      <w:r w:rsidR="00E543C7" w:rsidRPr="007B3EA8">
        <w:rPr>
          <w:lang w:val="fr-CA"/>
        </w:rPr>
        <w:t xml:space="preserve">OWA »), une entité indépendante sans but lucratif, le pouvoir d’abandonner et de remettre en état les « orphelins » — les biens pétroliers et gaziers ainsi que leurs sites délaissés sans que les processus en question n’aient été correctement effectués par les sociétés liquidées à la fin de leur procédure d’insolvabilité. L’OWA n’a pas le pouvoir de demander le </w:t>
      </w:r>
      <w:r w:rsidR="00E543C7" w:rsidRPr="007B3EA8">
        <w:rPr>
          <w:lang w:val="fr-CA"/>
        </w:rPr>
        <w:lastRenderedPageBreak/>
        <w:t>remboursement de ses frais, mais elle peut être remboursée jusqu’à concurrence de la valeur du dépôt de garantie</w:t>
      </w:r>
      <w:r w:rsidR="000554F4" w:rsidRPr="007B3EA8">
        <w:rPr>
          <w:lang w:val="fr-CA"/>
        </w:rPr>
        <w:t xml:space="preserve"> détenu</w:t>
      </w:r>
      <w:r w:rsidR="00E543C7" w:rsidRPr="007B3EA8">
        <w:rPr>
          <w:lang w:val="fr-CA"/>
        </w:rPr>
        <w:t>, le cas échéant</w:t>
      </w:r>
      <w:r w:rsidR="000554F4" w:rsidRPr="007B3EA8">
        <w:rPr>
          <w:lang w:val="fr-CA"/>
        </w:rPr>
        <w:t xml:space="preserve">, par l’organisme de réglementation au profit du titulaire de permis associé au puits orphelin </w:t>
      </w:r>
      <w:r w:rsidR="00E543C7" w:rsidRPr="007B3EA8">
        <w:rPr>
          <w:lang w:val="fr-CA"/>
        </w:rPr>
        <w:t>une fois ses travaux environnementaux terminés</w:t>
      </w:r>
      <w:r w:rsidR="000554F4" w:rsidRPr="007B3EA8">
        <w:rPr>
          <w:lang w:val="fr-CA"/>
        </w:rPr>
        <w:t xml:space="preserve">. </w:t>
      </w:r>
      <w:r w:rsidR="00E543C7" w:rsidRPr="007B3EA8">
        <w:rPr>
          <w:lang w:val="fr-CA"/>
        </w:rPr>
        <w:t xml:space="preserve"> </w:t>
      </w:r>
    </w:p>
    <w:p w:rsidR="007C5DF1" w:rsidRPr="007B3EA8" w:rsidRDefault="007C5DF1" w:rsidP="00594C48">
      <w:pPr>
        <w:pStyle w:val="SCCNormalDoubleSpacing"/>
        <w:spacing w:after="480"/>
        <w:rPr>
          <w:lang w:val="fr-CA"/>
        </w:rPr>
      </w:pPr>
      <w:r w:rsidRPr="007B3EA8">
        <w:rPr>
          <w:lang w:val="fr-CA"/>
        </w:rPr>
        <w:tab/>
      </w:r>
      <w:r w:rsidR="000554F4" w:rsidRPr="007B3EA8">
        <w:rPr>
          <w:lang w:val="fr-CA"/>
        </w:rPr>
        <w:t>Redwater, une société pétrolière et gazière cotée en bourse, s’est vu octroyer ses premiers permis par l’organisme de réglementation en 2009</w:t>
      </w:r>
      <w:r w:rsidRPr="007B3EA8">
        <w:rPr>
          <w:lang w:val="fr-CA"/>
        </w:rPr>
        <w:t xml:space="preserve">. </w:t>
      </w:r>
      <w:r w:rsidR="00EB3B90" w:rsidRPr="007B3EA8">
        <w:rPr>
          <w:lang w:val="fr-CA"/>
        </w:rPr>
        <w:t>Son actif est principalement composé de 127 biens pétroliers et gaziers — puits, pipelines et installations — et des permis correspondants</w:t>
      </w:r>
      <w:r w:rsidRPr="007B3EA8">
        <w:rPr>
          <w:lang w:val="fr-CA"/>
        </w:rPr>
        <w:t xml:space="preserve">. </w:t>
      </w:r>
      <w:r w:rsidR="00562B6A" w:rsidRPr="007B3EA8">
        <w:rPr>
          <w:lang w:val="fr-CA"/>
        </w:rPr>
        <w:t>Quelques</w:t>
      </w:r>
      <w:r w:rsidR="00562B6A" w:rsidRPr="007B3EA8">
        <w:rPr>
          <w:lang w:val="fr-CA"/>
        </w:rPr>
        <w:noBreakHyphen/>
        <w:t>uns des puits autorisés de Redwater sont encore productifs et rentables, mais la majorité est tarie et grevée de responsabilités relatives à l’abandon et à la remise en état qui excèdent leur valeur</w:t>
      </w:r>
      <w:r w:rsidRPr="007B3EA8">
        <w:rPr>
          <w:lang w:val="fr-CA"/>
        </w:rPr>
        <w:t xml:space="preserve">. </w:t>
      </w:r>
      <w:r w:rsidR="001B0F9A" w:rsidRPr="007B3EA8">
        <w:rPr>
          <w:lang w:val="fr-CA"/>
        </w:rPr>
        <w:t>E</w:t>
      </w:r>
      <w:r w:rsidRPr="007B3EA8">
        <w:rPr>
          <w:lang w:val="fr-CA"/>
        </w:rPr>
        <w:t xml:space="preserve">n 2013, ATB, </w:t>
      </w:r>
      <w:r w:rsidR="001B0F9A" w:rsidRPr="007B3EA8">
        <w:rPr>
          <w:lang w:val="fr-CA"/>
        </w:rPr>
        <w:t xml:space="preserve">qui avait pleinement connaissance des obligations de fin de vie associées aux biens de Redwater, lui a avancé des fonds et, en contrepartie, s’est vu accorder une sûreté sur </w:t>
      </w:r>
      <w:r w:rsidR="00A73AA6" w:rsidRPr="007B3EA8">
        <w:rPr>
          <w:lang w:val="fr-CA"/>
        </w:rPr>
        <w:t>s</w:t>
      </w:r>
      <w:r w:rsidR="001B0F9A" w:rsidRPr="007B3EA8">
        <w:rPr>
          <w:lang w:val="fr-CA"/>
        </w:rPr>
        <w:t>es biens actuels et futurs</w:t>
      </w:r>
      <w:r w:rsidR="00A73AA6" w:rsidRPr="007B3EA8">
        <w:rPr>
          <w:lang w:val="fr-CA"/>
        </w:rPr>
        <w:t>. Au milieu de 2014, Redwater a commencé à éprouver des difficultés financières</w:t>
      </w:r>
      <w:r w:rsidRPr="007B3EA8">
        <w:rPr>
          <w:lang w:val="fr-CA"/>
        </w:rPr>
        <w:t>. Grant Thornton Limited (</w:t>
      </w:r>
      <w:r w:rsidR="00684E84" w:rsidRPr="007B3EA8">
        <w:rPr>
          <w:lang w:val="fr-CA"/>
        </w:rPr>
        <w:t>« </w:t>
      </w:r>
      <w:r w:rsidRPr="007B3EA8">
        <w:rPr>
          <w:lang w:val="fr-CA"/>
        </w:rPr>
        <w:t>GTL</w:t>
      </w:r>
      <w:r w:rsidR="00684E84" w:rsidRPr="007B3EA8">
        <w:rPr>
          <w:lang w:val="fr-CA"/>
        </w:rPr>
        <w:t> »</w:t>
      </w:r>
      <w:r w:rsidRPr="007B3EA8">
        <w:rPr>
          <w:lang w:val="fr-CA"/>
        </w:rPr>
        <w:t xml:space="preserve">) </w:t>
      </w:r>
      <w:r w:rsidR="00684E84" w:rsidRPr="007B3EA8">
        <w:rPr>
          <w:lang w:val="fr-CA"/>
        </w:rPr>
        <w:t xml:space="preserve">a été nommé séquestre de Redwater en </w:t>
      </w:r>
      <w:r w:rsidRPr="007B3EA8">
        <w:rPr>
          <w:lang w:val="fr-CA"/>
        </w:rPr>
        <w:t xml:space="preserve">2015. </w:t>
      </w:r>
      <w:r w:rsidR="002D05C0" w:rsidRPr="007B3EA8">
        <w:rPr>
          <w:lang w:val="fr-CA"/>
        </w:rPr>
        <w:t xml:space="preserve">À cette époque, Redwater devait environ 5,1 millions de dollars à ATB et comptait </w:t>
      </w:r>
      <w:r w:rsidRPr="007B3EA8">
        <w:rPr>
          <w:lang w:val="fr-CA"/>
        </w:rPr>
        <w:t>84</w:t>
      </w:r>
      <w:r w:rsidR="002D05C0" w:rsidRPr="007B3EA8">
        <w:rPr>
          <w:lang w:val="fr-CA"/>
        </w:rPr>
        <w:t xml:space="preserve"> puits</w:t>
      </w:r>
      <w:r w:rsidRPr="007B3EA8">
        <w:rPr>
          <w:lang w:val="fr-CA"/>
        </w:rPr>
        <w:t xml:space="preserve">, </w:t>
      </w:r>
      <w:r w:rsidR="00656E50">
        <w:rPr>
          <w:lang w:val="fr-CA"/>
        </w:rPr>
        <w:t>7 </w:t>
      </w:r>
      <w:r w:rsidR="002D05C0" w:rsidRPr="007B3EA8">
        <w:rPr>
          <w:lang w:val="fr-CA"/>
        </w:rPr>
        <w:t xml:space="preserve">installations et 36 pipelines, dont </w:t>
      </w:r>
      <w:r w:rsidR="00A43503" w:rsidRPr="007B3EA8">
        <w:rPr>
          <w:lang w:val="fr-CA"/>
        </w:rPr>
        <w:t xml:space="preserve">72 </w:t>
      </w:r>
      <w:r w:rsidR="002D05C0" w:rsidRPr="007B3EA8">
        <w:rPr>
          <w:lang w:val="fr-CA"/>
        </w:rPr>
        <w:t>étaient inactifs ou taris</w:t>
      </w:r>
      <w:r w:rsidR="00A23B40" w:rsidRPr="007B3EA8">
        <w:rPr>
          <w:lang w:val="fr-CA"/>
        </w:rPr>
        <w:t xml:space="preserve">, </w:t>
      </w:r>
      <w:r w:rsidR="00AF6846" w:rsidRPr="007B3EA8">
        <w:rPr>
          <w:lang w:val="fr-CA"/>
        </w:rPr>
        <w:t>mais</w:t>
      </w:r>
      <w:r w:rsidRPr="007B3EA8">
        <w:rPr>
          <w:lang w:val="fr-CA"/>
        </w:rPr>
        <w:t xml:space="preserve">, </w:t>
      </w:r>
      <w:r w:rsidR="00AF6846" w:rsidRPr="007B3EA8">
        <w:rPr>
          <w:lang w:val="fr-CA"/>
        </w:rPr>
        <w:t xml:space="preserve">comme la CGR de </w:t>
      </w:r>
      <w:r w:rsidRPr="007B3EA8">
        <w:rPr>
          <w:lang w:val="fr-CA"/>
        </w:rPr>
        <w:t>Redwater</w:t>
      </w:r>
      <w:r w:rsidR="00AF6846" w:rsidRPr="007B3EA8">
        <w:rPr>
          <w:lang w:val="fr-CA"/>
        </w:rPr>
        <w:t xml:space="preserve"> </w:t>
      </w:r>
      <w:r w:rsidR="009301F2" w:rsidRPr="007B3EA8">
        <w:rPr>
          <w:lang w:val="fr-CA"/>
        </w:rPr>
        <w:t>n’est tombée sous le ratio prescrit qu’après la mise sous séquestre de ce</w:t>
      </w:r>
      <w:r w:rsidR="00E9774C" w:rsidRPr="007B3EA8">
        <w:rPr>
          <w:lang w:val="fr-CA"/>
        </w:rPr>
        <w:t>tte dernière</w:t>
      </w:r>
      <w:r w:rsidR="009301F2" w:rsidRPr="007B3EA8">
        <w:rPr>
          <w:lang w:val="fr-CA"/>
        </w:rPr>
        <w:t>, elle n’a jamais versé de dépôt de garantie à l’organisme de réglementation</w:t>
      </w:r>
      <w:r w:rsidRPr="007B3EA8">
        <w:rPr>
          <w:lang w:val="fr-CA"/>
        </w:rPr>
        <w:t>.</w:t>
      </w:r>
    </w:p>
    <w:p w:rsidR="007C5DF1" w:rsidRPr="007B3EA8" w:rsidRDefault="007C5DF1" w:rsidP="00594C48">
      <w:pPr>
        <w:pStyle w:val="SCCNormalDoubleSpacing"/>
        <w:spacing w:after="480"/>
        <w:rPr>
          <w:lang w:val="fr-CA"/>
        </w:rPr>
      </w:pPr>
      <w:r w:rsidRPr="007B3EA8">
        <w:rPr>
          <w:lang w:val="fr-CA"/>
        </w:rPr>
        <w:tab/>
      </w:r>
      <w:r w:rsidR="00AF6B66" w:rsidRPr="007B3EA8">
        <w:rPr>
          <w:lang w:val="fr-CA"/>
        </w:rPr>
        <w:t xml:space="preserve">Après avoir été informé de la mise sous séquestre de Redwater, l’organisme de réglementation a avisé GTL qu’il était légalement tenu de remplir les obligations d’abandon pour tous les biens visés par des permis avant de distribuer des fonds ou de finaliser toute proposition aux créanciers. L’organisme de réglementation </w:t>
      </w:r>
      <w:r w:rsidR="00AF6B66" w:rsidRPr="007B3EA8">
        <w:rPr>
          <w:lang w:val="fr-CA"/>
        </w:rPr>
        <w:lastRenderedPageBreak/>
        <w:t xml:space="preserve">a averti qu’il n’approuverait pas le transfert de l’un ou l’autre permis de Redwater à moins d’être convaincu que le cessionnaire et le cédant seraient en mesure de s’acquitter de toutes les obligations réglementaires, et que </w:t>
      </w:r>
      <w:r w:rsidR="001A7828" w:rsidRPr="007B3EA8">
        <w:rPr>
          <w:lang w:val="fr-CA"/>
        </w:rPr>
        <w:t xml:space="preserve">le transfert n’occasionnerait pas une détérioration de la CGR de </w:t>
      </w:r>
      <w:r w:rsidRPr="007B3EA8">
        <w:rPr>
          <w:lang w:val="fr-CA"/>
        </w:rPr>
        <w:t xml:space="preserve">Redwater. GTL </w:t>
      </w:r>
      <w:r w:rsidR="00726ECA" w:rsidRPr="007B3EA8">
        <w:rPr>
          <w:lang w:val="fr-CA"/>
        </w:rPr>
        <w:t>a conclu qu’il ne pouvait pas satisfaire aux exigences de l’organisme de réglementation car le coût des obligations de fin de vie des puits taris dépasserait probablement le produit de la vente des puits productifs</w:t>
      </w:r>
      <w:r w:rsidRPr="007B3EA8">
        <w:rPr>
          <w:lang w:val="fr-CA"/>
        </w:rPr>
        <w:t xml:space="preserve">. </w:t>
      </w:r>
      <w:r w:rsidR="00563DBA" w:rsidRPr="007B3EA8">
        <w:rPr>
          <w:lang w:val="fr-CA"/>
        </w:rPr>
        <w:t xml:space="preserve">Sur la base de cette évaluation, GTL a informé l’organisme de réglementation qu’il prenait possession et contrôle seulement des </w:t>
      </w:r>
      <w:r w:rsidR="00656E50">
        <w:rPr>
          <w:lang w:val="fr-CA"/>
        </w:rPr>
        <w:t>17 </w:t>
      </w:r>
      <w:r w:rsidR="00563DBA" w:rsidRPr="007B3EA8">
        <w:rPr>
          <w:lang w:val="fr-CA"/>
        </w:rPr>
        <w:t xml:space="preserve">puits les plus productifs de Redwater, ainsi que de </w:t>
      </w:r>
      <w:r w:rsidR="00656E50">
        <w:rPr>
          <w:lang w:val="fr-CA"/>
        </w:rPr>
        <w:t>3 </w:t>
      </w:r>
      <w:r w:rsidR="00563DBA" w:rsidRPr="007B3EA8">
        <w:rPr>
          <w:lang w:val="fr-CA"/>
        </w:rPr>
        <w:t xml:space="preserve">installations et de </w:t>
      </w:r>
      <w:r w:rsidR="00656E50">
        <w:rPr>
          <w:lang w:val="fr-CA"/>
        </w:rPr>
        <w:t>12 </w:t>
      </w:r>
      <w:r w:rsidR="00563DBA" w:rsidRPr="007B3EA8">
        <w:rPr>
          <w:lang w:val="fr-CA"/>
        </w:rPr>
        <w:t>pipelines connexes (« biens conservés »), et qu’il ne prenait pas possession ou contrôle de tous les autres éléments d’actif de Redwater visés par des permis (« biens faisant l’objet de la renonciation »). Selon GTL, il n’était aucunement tenu de satisfaire aux exigences réglementaires en lien avec les biens faisant l’objet de la renonciation</w:t>
      </w:r>
      <w:r w:rsidRPr="007B3EA8">
        <w:rPr>
          <w:lang w:val="fr-CA"/>
        </w:rPr>
        <w:t xml:space="preserve">. </w:t>
      </w:r>
      <w:r w:rsidR="00563DBA" w:rsidRPr="007B3EA8">
        <w:rPr>
          <w:lang w:val="fr-CA"/>
        </w:rPr>
        <w:t>L’organisme de réglementation a réagi en rendant des ordonnances au titre de l’</w:t>
      </w:r>
      <w:r w:rsidR="00563DBA" w:rsidRPr="00656E50">
        <w:rPr>
          <w:i/>
          <w:lang w:val="fr-CA"/>
        </w:rPr>
        <w:t>OGCA</w:t>
      </w:r>
      <w:r w:rsidR="00563DBA" w:rsidRPr="007B3EA8">
        <w:rPr>
          <w:lang w:val="fr-CA"/>
        </w:rPr>
        <w:t xml:space="preserve"> et de la </w:t>
      </w:r>
      <w:r w:rsidR="00563DBA" w:rsidRPr="007B3EA8">
        <w:rPr>
          <w:i/>
          <w:lang w:val="fr-CA"/>
        </w:rPr>
        <w:t>Pipeline Act</w:t>
      </w:r>
      <w:r w:rsidR="00563DBA" w:rsidRPr="007B3EA8">
        <w:rPr>
          <w:lang w:val="fr-CA"/>
        </w:rPr>
        <w:t xml:space="preserve"> enjoignant à Redwater de suspendre l’exploitation des biens faisant l’objet de la renonciation et de les abandonner (« ordonnances d’abandon »). L’organisme de réglementation a impos</w:t>
      </w:r>
      <w:r w:rsidR="00652B29" w:rsidRPr="007B3EA8">
        <w:rPr>
          <w:lang w:val="fr-CA"/>
        </w:rPr>
        <w:t>é</w:t>
      </w:r>
      <w:r w:rsidR="00563DBA" w:rsidRPr="007B3EA8">
        <w:rPr>
          <w:lang w:val="fr-CA"/>
        </w:rPr>
        <w:t xml:space="preserve"> des délais serrés parce qu’il considérait les biens faisant l’objet de la renonciation comme un danger pour l’environnement et la sécurité</w:t>
      </w:r>
      <w:r w:rsidRPr="007B3EA8">
        <w:rPr>
          <w:lang w:val="fr-CA"/>
        </w:rPr>
        <w:t>.</w:t>
      </w:r>
    </w:p>
    <w:p w:rsidR="007C5DF1" w:rsidRPr="007B3EA8" w:rsidRDefault="007C5DF1" w:rsidP="00594C48">
      <w:pPr>
        <w:pStyle w:val="SCCNormalDoubleSpacing"/>
        <w:spacing w:after="480"/>
        <w:rPr>
          <w:lang w:val="fr-CA"/>
        </w:rPr>
      </w:pPr>
      <w:r w:rsidRPr="007B3EA8">
        <w:rPr>
          <w:lang w:val="fr-CA"/>
        </w:rPr>
        <w:tab/>
      </w:r>
      <w:r w:rsidR="00563DBA" w:rsidRPr="007B3EA8">
        <w:rPr>
          <w:lang w:val="fr-CA"/>
        </w:rPr>
        <w:t>L’organisme de réglementation et l’OWA ont alors déposé une demande en vue d’obtenir un jugement déclaratoire portant que l’abandon par GTL des biens faisant l’objet de la renonciation était nul</w:t>
      </w:r>
      <w:r w:rsidR="00656E50">
        <w:rPr>
          <w:lang w:val="fr-CA"/>
        </w:rPr>
        <w:t>,</w:t>
      </w:r>
      <w:r w:rsidR="00563DBA" w:rsidRPr="007B3EA8">
        <w:rPr>
          <w:lang w:val="fr-CA"/>
        </w:rPr>
        <w:t xml:space="preserve"> de même qu’une ordonnance obligeant GTL à se conformer aux ordonnances d’abandon et à remplir </w:t>
      </w:r>
      <w:r w:rsidR="003C4388" w:rsidRPr="007B3EA8">
        <w:rPr>
          <w:lang w:val="fr-CA"/>
        </w:rPr>
        <w:t>l</w:t>
      </w:r>
      <w:r w:rsidR="00563DBA" w:rsidRPr="007B3EA8">
        <w:rPr>
          <w:lang w:val="fr-CA"/>
        </w:rPr>
        <w:t>es obligations de fin de vie</w:t>
      </w:r>
      <w:r w:rsidR="003C4388" w:rsidRPr="007B3EA8">
        <w:rPr>
          <w:lang w:val="fr-CA"/>
        </w:rPr>
        <w:t xml:space="preserve"> associées aux </w:t>
      </w:r>
      <w:r w:rsidR="00563DBA" w:rsidRPr="007B3EA8">
        <w:rPr>
          <w:lang w:val="fr-CA"/>
        </w:rPr>
        <w:t xml:space="preserve">biens de Redwater visés par des permis. </w:t>
      </w:r>
      <w:r w:rsidR="00A34E32" w:rsidRPr="007B3EA8">
        <w:rPr>
          <w:lang w:val="fr-CA"/>
        </w:rPr>
        <w:t>L’organisme de réglementation n’a pas cherché à tenir GTL responsable de ces obligations au</w:t>
      </w:r>
      <w:r w:rsidR="00A34E32" w:rsidRPr="007B3EA8">
        <w:rPr>
          <w:lang w:val="fr-CA"/>
        </w:rPr>
        <w:noBreakHyphen/>
        <w:t xml:space="preserve">delà des éléments qui </w:t>
      </w:r>
      <w:r w:rsidR="00A34E32" w:rsidRPr="007B3EA8">
        <w:rPr>
          <w:lang w:val="fr-CA"/>
        </w:rPr>
        <w:lastRenderedPageBreak/>
        <w:t>faisaient encore partie de l’actif de Redwater</w:t>
      </w:r>
      <w:r w:rsidR="00652B29" w:rsidRPr="007B3EA8">
        <w:rPr>
          <w:lang w:val="fr-CA"/>
        </w:rPr>
        <w:t xml:space="preserve">. </w:t>
      </w:r>
      <w:r w:rsidRPr="007B3EA8">
        <w:rPr>
          <w:lang w:val="fr-CA"/>
        </w:rPr>
        <w:t xml:space="preserve">GTL </w:t>
      </w:r>
      <w:r w:rsidR="00BF0A47" w:rsidRPr="007B3EA8">
        <w:rPr>
          <w:lang w:val="fr-CA"/>
        </w:rPr>
        <w:t>a présenté une demande reconventionnelle visant à obtenir l’autorisation de poursuivre un processus de vente excluant les biens faisant l’objet de la renonciation ainsi qu’une ordonnance interdisant à l’organisme de réglementation d’empêcher le transfert des permis associés aux biens conservés en raison, notamment, des exigences relatives à la CGR, du non</w:t>
      </w:r>
      <w:r w:rsidR="00BF0A47" w:rsidRPr="007B3EA8">
        <w:rPr>
          <w:lang w:val="fr-CA"/>
        </w:rPr>
        <w:noBreakHyphen/>
        <w:t xml:space="preserve">respect des ordonnances d’abandon, du refus de prendre possession des biens faisant l’objet de la renonciation ou des dettes en souffrance de Redwater envers l’organisme de réglementation. </w:t>
      </w:r>
      <w:r w:rsidR="00EE33C2" w:rsidRPr="007B3EA8">
        <w:rPr>
          <w:lang w:val="fr-CA"/>
        </w:rPr>
        <w:t>Une ordonnance de faillite a été rendue à l’égard de Redwater, et GTL a été nommé syndic</w:t>
      </w:r>
      <w:r w:rsidRPr="007B3EA8">
        <w:rPr>
          <w:lang w:val="fr-CA"/>
        </w:rPr>
        <w:t>. GTL</w:t>
      </w:r>
      <w:r w:rsidR="003E131F" w:rsidRPr="007B3EA8">
        <w:rPr>
          <w:lang w:val="fr-CA"/>
        </w:rPr>
        <w:t xml:space="preserve"> a invoqué le sous</w:t>
      </w:r>
      <w:r w:rsidR="003E131F" w:rsidRPr="007B3EA8">
        <w:rPr>
          <w:lang w:val="fr-CA"/>
        </w:rPr>
        <w:noBreakHyphen/>
        <w:t>al. </w:t>
      </w:r>
      <w:r w:rsidRPr="007B3EA8">
        <w:rPr>
          <w:lang w:val="fr-CA"/>
        </w:rPr>
        <w:t xml:space="preserve">14.06(4)a)(ii) </w:t>
      </w:r>
      <w:r w:rsidR="00EE33C2" w:rsidRPr="007B3EA8">
        <w:rPr>
          <w:lang w:val="fr-CA"/>
        </w:rPr>
        <w:t xml:space="preserve">de la </w:t>
      </w:r>
      <w:r w:rsidR="00EE33C2" w:rsidRPr="00656E50">
        <w:rPr>
          <w:i/>
          <w:lang w:val="fr-CA"/>
        </w:rPr>
        <w:t>LFI</w:t>
      </w:r>
      <w:r w:rsidR="00EE33C2" w:rsidRPr="007B3EA8">
        <w:rPr>
          <w:lang w:val="fr-CA"/>
        </w:rPr>
        <w:t xml:space="preserve"> à l’égard des biens faisant l’objet de la renonciation</w:t>
      </w:r>
      <w:r w:rsidRPr="007B3EA8">
        <w:rPr>
          <w:lang w:val="fr-CA"/>
        </w:rPr>
        <w:t xml:space="preserve">. </w:t>
      </w:r>
    </w:p>
    <w:p w:rsidR="007C5DF1" w:rsidRPr="007B3EA8" w:rsidRDefault="007C5DF1" w:rsidP="00594C48">
      <w:pPr>
        <w:pStyle w:val="SCCNormalDoubleSpacing"/>
        <w:spacing w:after="480"/>
        <w:rPr>
          <w:lang w:val="fr-CA"/>
        </w:rPr>
      </w:pPr>
      <w:r w:rsidRPr="007B3EA8">
        <w:rPr>
          <w:lang w:val="fr-CA"/>
        </w:rPr>
        <w:tab/>
      </w:r>
      <w:r w:rsidR="005A5CC6" w:rsidRPr="007B3EA8">
        <w:rPr>
          <w:lang w:val="fr-CA"/>
        </w:rPr>
        <w:t xml:space="preserve">Le juge siégeant en cabinet </w:t>
      </w:r>
      <w:r w:rsidR="00365C6B" w:rsidRPr="007B3EA8">
        <w:rPr>
          <w:lang w:val="fr-CA"/>
        </w:rPr>
        <w:t xml:space="preserve">et les juges majoritaires de la Cour d’appel </w:t>
      </w:r>
      <w:r w:rsidR="00537FA2" w:rsidRPr="007B3EA8">
        <w:rPr>
          <w:lang w:val="fr-CA"/>
        </w:rPr>
        <w:t xml:space="preserve">ont donné raison à </w:t>
      </w:r>
      <w:r w:rsidRPr="007B3EA8">
        <w:rPr>
          <w:lang w:val="fr-CA"/>
        </w:rPr>
        <w:t xml:space="preserve">GTL </w:t>
      </w:r>
      <w:r w:rsidR="00537FA2" w:rsidRPr="007B3EA8">
        <w:rPr>
          <w:lang w:val="fr-CA"/>
        </w:rPr>
        <w:t xml:space="preserve">et décidé que l’utilisation proposée par l’organisme de réglementation des pouvoirs que lui confère la loi pour contraindre Redwater à respecter les obligations d’abandon et de remise en état au cours de la faillite était incompatible avec la </w:t>
      </w:r>
      <w:r w:rsidR="00537FA2" w:rsidRPr="00656E50">
        <w:rPr>
          <w:i/>
          <w:lang w:val="fr-CA"/>
        </w:rPr>
        <w:t>LFI</w:t>
      </w:r>
      <w:r w:rsidR="00537FA2" w:rsidRPr="007B3EA8">
        <w:rPr>
          <w:lang w:val="fr-CA"/>
        </w:rPr>
        <w:t xml:space="preserve"> de deux façons : (1) elle imposait à GTL les obligations d’un titulaire de permis</w:t>
      </w:r>
      <w:r w:rsidR="00594C48" w:rsidRPr="007B3EA8">
        <w:rPr>
          <w:lang w:val="fr-CA"/>
        </w:rPr>
        <w:t xml:space="preserve"> </w:t>
      </w:r>
      <w:r w:rsidR="00537FA2" w:rsidRPr="007B3EA8">
        <w:rPr>
          <w:lang w:val="fr-CA"/>
        </w:rPr>
        <w:t xml:space="preserve">relativement aux biens de Redwater auxquels GTL avait renoncé, ce qui est contraire au par. 14.06(4) de la </w:t>
      </w:r>
      <w:r w:rsidR="00537FA2" w:rsidRPr="00656E50">
        <w:rPr>
          <w:i/>
          <w:lang w:val="fr-CA"/>
        </w:rPr>
        <w:t>LFI</w:t>
      </w:r>
      <w:r w:rsidR="00537FA2" w:rsidRPr="007B3EA8">
        <w:rPr>
          <w:lang w:val="fr-CA"/>
        </w:rPr>
        <w:t xml:space="preserve">; (2) elle renversait le régime de priorité établi par la </w:t>
      </w:r>
      <w:r w:rsidR="00537FA2" w:rsidRPr="00656E50">
        <w:rPr>
          <w:i/>
          <w:lang w:val="fr-CA"/>
        </w:rPr>
        <w:t>LFI</w:t>
      </w:r>
      <w:r w:rsidR="00537FA2" w:rsidRPr="007B3EA8">
        <w:rPr>
          <w:lang w:val="fr-CA"/>
        </w:rPr>
        <w:t xml:space="preserve"> pour le partage des biens d’un failli en exigeant que le paiement d</w:t>
      </w:r>
      <w:r w:rsidR="00656E50">
        <w:rPr>
          <w:lang w:val="fr-CA"/>
        </w:rPr>
        <w:t>e ses réclamations prouvables</w:t>
      </w:r>
      <w:r w:rsidR="00537FA2" w:rsidRPr="007B3EA8">
        <w:rPr>
          <w:lang w:val="fr-CA"/>
        </w:rPr>
        <w:t xml:space="preserve">, en tant que créancier ordinaire, soit effectué avant celui des réclamations des créanciers garantis de Redwater. </w:t>
      </w:r>
      <w:r w:rsidR="002E0A8A" w:rsidRPr="007B3EA8">
        <w:rPr>
          <w:lang w:val="fr-CA"/>
        </w:rPr>
        <w:t xml:space="preserve">La juge dissidente de la Cour d’appel </w:t>
      </w:r>
      <w:r w:rsidR="000A0E06" w:rsidRPr="007B3EA8">
        <w:rPr>
          <w:lang w:val="fr-CA"/>
        </w:rPr>
        <w:t xml:space="preserve">aurait accueilli l’appel de l’organisme de réglementation au motif qu’il n’y avait pas de conflit entre la législation environnementale de l’Alberta et la </w:t>
      </w:r>
      <w:r w:rsidR="000A0E06" w:rsidRPr="00656E50">
        <w:rPr>
          <w:i/>
          <w:lang w:val="fr-CA"/>
        </w:rPr>
        <w:t>LFI</w:t>
      </w:r>
      <w:r w:rsidR="000A0E06" w:rsidRPr="007B3EA8">
        <w:rPr>
          <w:lang w:val="fr-CA"/>
        </w:rPr>
        <w:t xml:space="preserve">. </w:t>
      </w:r>
      <w:r w:rsidRPr="007B3EA8">
        <w:rPr>
          <w:lang w:val="fr-CA"/>
        </w:rPr>
        <w:t xml:space="preserve"> </w:t>
      </w:r>
    </w:p>
    <w:p w:rsidR="007C5DF1" w:rsidRPr="007B3EA8" w:rsidRDefault="007C5DF1" w:rsidP="00594C48">
      <w:pPr>
        <w:pStyle w:val="SCCNormalDoubleSpacing"/>
        <w:spacing w:after="480"/>
        <w:rPr>
          <w:lang w:val="fr-CA"/>
        </w:rPr>
      </w:pPr>
      <w:r w:rsidRPr="007B3EA8">
        <w:rPr>
          <w:lang w:val="fr-CA"/>
        </w:rPr>
        <w:tab/>
      </w:r>
      <w:r w:rsidR="002E0A8A" w:rsidRPr="007B3EA8">
        <w:rPr>
          <w:i/>
          <w:lang w:val="fr-CA"/>
        </w:rPr>
        <w:t xml:space="preserve">Arrêt </w:t>
      </w:r>
      <w:r w:rsidRPr="007B3EA8">
        <w:rPr>
          <w:lang w:val="fr-CA"/>
        </w:rPr>
        <w:t>(</w:t>
      </w:r>
      <w:r w:rsidR="002E0A8A" w:rsidRPr="007B3EA8">
        <w:rPr>
          <w:lang w:val="fr-CA"/>
        </w:rPr>
        <w:t xml:space="preserve">les juges </w:t>
      </w:r>
      <w:r w:rsidRPr="007B3EA8">
        <w:rPr>
          <w:lang w:val="fr-CA"/>
        </w:rPr>
        <w:t xml:space="preserve">Moldaver </w:t>
      </w:r>
      <w:r w:rsidR="002E0A8A" w:rsidRPr="007B3EA8">
        <w:rPr>
          <w:lang w:val="fr-CA"/>
        </w:rPr>
        <w:t>et</w:t>
      </w:r>
      <w:r w:rsidRPr="007B3EA8">
        <w:rPr>
          <w:lang w:val="fr-CA"/>
        </w:rPr>
        <w:t xml:space="preserve"> Côté</w:t>
      </w:r>
      <w:r w:rsidR="002E0A8A" w:rsidRPr="007B3EA8">
        <w:rPr>
          <w:lang w:val="fr-CA"/>
        </w:rPr>
        <w:t xml:space="preserve"> sont dissidents</w:t>
      </w:r>
      <w:r w:rsidRPr="007B3EA8">
        <w:rPr>
          <w:lang w:val="fr-CA"/>
        </w:rPr>
        <w:t>)</w:t>
      </w:r>
      <w:r w:rsidR="002E0A8A" w:rsidRPr="007B3EA8">
        <w:rPr>
          <w:lang w:val="fr-CA"/>
        </w:rPr>
        <w:t> </w:t>
      </w:r>
      <w:r w:rsidRPr="007B3EA8">
        <w:rPr>
          <w:lang w:val="fr-CA"/>
        </w:rPr>
        <w:t>:</w:t>
      </w:r>
      <w:r w:rsidR="002E0A8A" w:rsidRPr="007B3EA8">
        <w:rPr>
          <w:lang w:val="fr-CA"/>
        </w:rPr>
        <w:t xml:space="preserve"> Le pourvoi est accueilli</w:t>
      </w:r>
      <w:r w:rsidRPr="007B3EA8">
        <w:rPr>
          <w:lang w:val="fr-CA"/>
        </w:rPr>
        <w:t>.</w:t>
      </w:r>
    </w:p>
    <w:p w:rsidR="007C5DF1" w:rsidRPr="007B3EA8" w:rsidRDefault="007C5DF1" w:rsidP="00594C48">
      <w:pPr>
        <w:pStyle w:val="SCCNormalDoubleSpacing"/>
        <w:spacing w:after="480"/>
        <w:rPr>
          <w:lang w:val="fr-CA"/>
        </w:rPr>
      </w:pPr>
      <w:r w:rsidRPr="007B3EA8">
        <w:rPr>
          <w:lang w:val="fr-CA"/>
        </w:rPr>
        <w:lastRenderedPageBreak/>
        <w:tab/>
      </w:r>
      <w:r w:rsidR="002E0A8A" w:rsidRPr="007B3EA8">
        <w:rPr>
          <w:i/>
          <w:lang w:val="fr-CA"/>
        </w:rPr>
        <w:t xml:space="preserve">Le </w:t>
      </w:r>
      <w:r w:rsidR="002E0A8A" w:rsidRPr="007B3EA8">
        <w:rPr>
          <w:lang w:val="fr-CA"/>
        </w:rPr>
        <w:t xml:space="preserve">juge en chef </w:t>
      </w:r>
      <w:r w:rsidRPr="00EE0D3C">
        <w:rPr>
          <w:lang w:val="fr-CA"/>
        </w:rPr>
        <w:t>Wagner</w:t>
      </w:r>
      <w:r w:rsidR="002E0A8A" w:rsidRPr="007B3EA8">
        <w:rPr>
          <w:lang w:val="fr-CA"/>
        </w:rPr>
        <w:t xml:space="preserve"> et les juges </w:t>
      </w:r>
      <w:r w:rsidRPr="007B3EA8">
        <w:rPr>
          <w:rStyle w:val="SCCCoramChar"/>
          <w:rFonts w:cs="Times New Roman"/>
          <w:lang w:val="fr-CA"/>
        </w:rPr>
        <w:t>Abella, Karakatsanis, Gascon</w:t>
      </w:r>
      <w:r w:rsidR="002E0A8A" w:rsidRPr="007B3EA8">
        <w:rPr>
          <w:rStyle w:val="SCCCoramChar"/>
          <w:rFonts w:cs="Times New Roman"/>
          <w:lang w:val="fr-CA"/>
        </w:rPr>
        <w:t xml:space="preserve"> et </w:t>
      </w:r>
      <w:r w:rsidRPr="007B3EA8">
        <w:rPr>
          <w:rStyle w:val="SCCCoramChar"/>
          <w:rFonts w:cs="Times New Roman"/>
          <w:lang w:val="fr-CA"/>
        </w:rPr>
        <w:t>Brown</w:t>
      </w:r>
      <w:r w:rsidR="002E0A8A" w:rsidRPr="007B3EA8">
        <w:rPr>
          <w:rStyle w:val="SCCCoramChar"/>
          <w:rFonts w:cs="Times New Roman"/>
          <w:lang w:val="fr-CA"/>
        </w:rPr>
        <w:t xml:space="preserve"> : </w:t>
      </w:r>
      <w:r w:rsidR="000A0E06" w:rsidRPr="007B3EA8">
        <w:rPr>
          <w:lang w:val="fr-CA"/>
        </w:rPr>
        <w:t xml:space="preserve">L’utilisation par l’organisme de réglementation des pouvoirs que lui confère la loi ne crée pas de conflit avec la </w:t>
      </w:r>
      <w:r w:rsidR="000A0E06" w:rsidRPr="00656E50">
        <w:rPr>
          <w:i/>
          <w:lang w:val="fr-CA"/>
        </w:rPr>
        <w:t>LFI</w:t>
      </w:r>
      <w:r w:rsidR="000A0E06" w:rsidRPr="007B3EA8">
        <w:rPr>
          <w:lang w:val="fr-CA"/>
        </w:rPr>
        <w:t xml:space="preserve"> de façon à mettre en jeu la doctrine de la prépondérance fédérale</w:t>
      </w:r>
      <w:r w:rsidRPr="007B3EA8">
        <w:rPr>
          <w:lang w:val="fr-CA"/>
        </w:rPr>
        <w:t xml:space="preserve">. </w:t>
      </w:r>
      <w:r w:rsidR="000A0E06" w:rsidRPr="007B3EA8">
        <w:rPr>
          <w:lang w:val="fr-CA"/>
        </w:rPr>
        <w:t xml:space="preserve">Le paragraphe 14.06(4) de la </w:t>
      </w:r>
      <w:r w:rsidR="000A0E06" w:rsidRPr="00656E50">
        <w:rPr>
          <w:i/>
          <w:lang w:val="fr-CA"/>
        </w:rPr>
        <w:t>LFI</w:t>
      </w:r>
      <w:r w:rsidR="000A0E06" w:rsidRPr="007B3EA8">
        <w:rPr>
          <w:lang w:val="fr-CA"/>
        </w:rPr>
        <w:t xml:space="preserve"> intéresse la responsabilité personnelle du syndic et il ne l’investit pas du pouvoir de se soustraire aux engagements environnementaux liant l’actif qu’il administre. De plus, </w:t>
      </w:r>
      <w:r w:rsidR="000A138B" w:rsidRPr="007B3EA8">
        <w:rPr>
          <w:lang w:val="fr-CA"/>
        </w:rPr>
        <w:t xml:space="preserve">l’organisme de réglementation ne fait valoir aucune réclamation prouvable en matière de faillite, et le régime de priorité de la </w:t>
      </w:r>
      <w:r w:rsidR="000A138B" w:rsidRPr="00656E50">
        <w:rPr>
          <w:i/>
          <w:lang w:val="fr-CA"/>
        </w:rPr>
        <w:t>LFI</w:t>
      </w:r>
      <w:r w:rsidR="000A138B" w:rsidRPr="007B3EA8">
        <w:rPr>
          <w:lang w:val="fr-CA"/>
        </w:rPr>
        <w:t xml:space="preserve"> n’est pas renversé</w:t>
      </w:r>
      <w:r w:rsidRPr="007B3EA8">
        <w:rPr>
          <w:lang w:val="fr-CA"/>
        </w:rPr>
        <w:t xml:space="preserve">. </w:t>
      </w:r>
      <w:r w:rsidR="00622382" w:rsidRPr="007B3EA8">
        <w:rPr>
          <w:lang w:val="fr-CA"/>
        </w:rPr>
        <w:t>Donc, le statut de GTL en tant que titulaire de permis au sens de la loi albertaine n’est à l’origine d’aucun conflit</w:t>
      </w:r>
      <w:r w:rsidRPr="007B3EA8">
        <w:rPr>
          <w:lang w:val="fr-CA"/>
        </w:rPr>
        <w:t xml:space="preserve">. </w:t>
      </w:r>
      <w:r w:rsidR="00622382" w:rsidRPr="007B3EA8">
        <w:rPr>
          <w:lang w:val="fr-CA"/>
        </w:rPr>
        <w:t xml:space="preserve">Le régime de réglementation de l’Alberta peut coexister et s’appliquer conjointement avec la </w:t>
      </w:r>
      <w:r w:rsidR="00622382" w:rsidRPr="00656E50">
        <w:rPr>
          <w:i/>
          <w:lang w:val="fr-CA"/>
        </w:rPr>
        <w:t>LFI</w:t>
      </w:r>
      <w:r w:rsidRPr="007B3EA8">
        <w:rPr>
          <w:lang w:val="fr-CA"/>
        </w:rPr>
        <w:t>.</w:t>
      </w:r>
    </w:p>
    <w:p w:rsidR="007C5DF1" w:rsidRPr="007B3EA8" w:rsidRDefault="007C5DF1" w:rsidP="00594C48">
      <w:pPr>
        <w:pStyle w:val="SCCNormalDoubleSpacing"/>
        <w:spacing w:after="480"/>
        <w:rPr>
          <w:lang w:val="fr-CA"/>
        </w:rPr>
      </w:pPr>
      <w:r w:rsidRPr="007B3EA8">
        <w:rPr>
          <w:lang w:val="fr-CA"/>
        </w:rPr>
        <w:tab/>
      </w:r>
      <w:r w:rsidR="00534190" w:rsidRPr="007B3EA8">
        <w:rPr>
          <w:lang w:val="fr-CA"/>
        </w:rPr>
        <w:t>La faillite n’est pas un permis de faire abstraction des règles, et les professionnels de l’insolvabilité sont liés par les lois provinciales valides au cours de la faillite</w:t>
      </w:r>
      <w:r w:rsidRPr="007B3EA8">
        <w:rPr>
          <w:lang w:val="fr-CA"/>
        </w:rPr>
        <w:t xml:space="preserve">. </w:t>
      </w:r>
      <w:r w:rsidR="00BA003A" w:rsidRPr="007B3EA8">
        <w:rPr>
          <w:lang w:val="fr-CA"/>
        </w:rPr>
        <w:t xml:space="preserve">Par exemple, ils doivent respecter les obligations non pécuniaires liant l’actif du failli qui ne peuvent être réduites à des réclamations prouvables et dont les effets n’entrent pas en conflit avec la </w:t>
      </w:r>
      <w:r w:rsidR="00BA003A" w:rsidRPr="00656E50">
        <w:rPr>
          <w:i/>
          <w:lang w:val="fr-CA"/>
        </w:rPr>
        <w:t>LFI</w:t>
      </w:r>
      <w:r w:rsidR="00BA003A" w:rsidRPr="007B3EA8">
        <w:rPr>
          <w:lang w:val="fr-CA"/>
        </w:rPr>
        <w:t>, sans égard aux répercussions que cela peut avoir sur les créanciers garantis du failli</w:t>
      </w:r>
      <w:r w:rsidRPr="007B3EA8">
        <w:rPr>
          <w:lang w:val="fr-CA"/>
        </w:rPr>
        <w:t xml:space="preserve">. </w:t>
      </w:r>
      <w:r w:rsidR="00DE74A2" w:rsidRPr="007B3EA8">
        <w:rPr>
          <w:lang w:val="fr-CA"/>
        </w:rPr>
        <w:t xml:space="preserve">Étant donné la nature procédurale de la </w:t>
      </w:r>
      <w:r w:rsidR="00DE74A2" w:rsidRPr="00656E50">
        <w:rPr>
          <w:i/>
          <w:lang w:val="fr-CA"/>
        </w:rPr>
        <w:t>LFI</w:t>
      </w:r>
      <w:r w:rsidR="00DE74A2" w:rsidRPr="007B3EA8">
        <w:rPr>
          <w:lang w:val="fr-CA"/>
        </w:rPr>
        <w:t xml:space="preserve">, le régime de faillite repose en grande partie sur l’application continue des lois provinciales mais, en cas de conflit véritable entre les lois provinciales concernant la propriété et les droits civils et la législation fédérale sur la faillite, la </w:t>
      </w:r>
      <w:r w:rsidR="00DE74A2" w:rsidRPr="00656E50">
        <w:rPr>
          <w:i/>
          <w:lang w:val="fr-CA"/>
        </w:rPr>
        <w:t>LFI</w:t>
      </w:r>
      <w:r w:rsidR="00DE74A2" w:rsidRPr="007B3EA8">
        <w:rPr>
          <w:lang w:val="fr-CA"/>
        </w:rPr>
        <w:t xml:space="preserve"> l’emporte. La </w:t>
      </w:r>
      <w:r w:rsidR="00DE74A2" w:rsidRPr="00656E50">
        <w:rPr>
          <w:i/>
          <w:lang w:val="fr-CA"/>
        </w:rPr>
        <w:t>LFI</w:t>
      </w:r>
      <w:r w:rsidR="00DE74A2" w:rsidRPr="007B3EA8">
        <w:rPr>
          <w:lang w:val="fr-CA"/>
        </w:rPr>
        <w:t xml:space="preserve"> dans son ensemble est censée favoriser l’atteinte de deux objectifs : le partage équitable des biens du failli entre ses créanciers et la réhabilitation financière du failli. </w:t>
      </w:r>
      <w:r w:rsidR="00652B29" w:rsidRPr="007B3EA8">
        <w:rPr>
          <w:lang w:val="fr-CA"/>
        </w:rPr>
        <w:t>P</w:t>
      </w:r>
      <w:r w:rsidR="00305460" w:rsidRPr="007B3EA8">
        <w:rPr>
          <w:lang w:val="fr-CA"/>
        </w:rPr>
        <w:t xml:space="preserve">uisque </w:t>
      </w:r>
      <w:r w:rsidRPr="007B3EA8">
        <w:rPr>
          <w:lang w:val="fr-CA"/>
        </w:rPr>
        <w:t>Redwater</w:t>
      </w:r>
      <w:r w:rsidR="00305460" w:rsidRPr="007B3EA8">
        <w:rPr>
          <w:lang w:val="fr-CA"/>
        </w:rPr>
        <w:t xml:space="preserve"> est une société qui ne s’extirpera jamais de la faillite, seul le premier objectif est pertinent en l’espèce. </w:t>
      </w:r>
    </w:p>
    <w:p w:rsidR="007C5DF1" w:rsidRPr="007B3EA8" w:rsidRDefault="007C5DF1" w:rsidP="00594C48">
      <w:pPr>
        <w:pStyle w:val="SCCNormalDoubleSpacing"/>
        <w:spacing w:after="480"/>
        <w:rPr>
          <w:lang w:val="fr-CA"/>
        </w:rPr>
      </w:pPr>
      <w:r w:rsidRPr="007B3EA8">
        <w:rPr>
          <w:lang w:val="fr-CA"/>
        </w:rPr>
        <w:lastRenderedPageBreak/>
        <w:tab/>
      </w:r>
      <w:r w:rsidR="008B00D1" w:rsidRPr="007B3EA8">
        <w:rPr>
          <w:lang w:val="fr-CA"/>
        </w:rPr>
        <w:t xml:space="preserve">Les ordonnances d’abandon et exigences relatives à la CGR reposent sur des lois provinciales valides d’application générale et elles représentent exactement le genre de loi provinciale valide sur lequel se fonde la </w:t>
      </w:r>
      <w:r w:rsidR="008B00D1" w:rsidRPr="00656E50">
        <w:rPr>
          <w:i/>
          <w:lang w:val="fr-CA"/>
        </w:rPr>
        <w:t>LFI</w:t>
      </w:r>
      <w:r w:rsidR="008B00D1" w:rsidRPr="007B3EA8">
        <w:rPr>
          <w:lang w:val="fr-CA"/>
        </w:rPr>
        <w:t xml:space="preserve">. Il </w:t>
      </w:r>
      <w:r w:rsidR="005D5D68" w:rsidRPr="007B3EA8">
        <w:rPr>
          <w:lang w:val="fr-CA"/>
        </w:rPr>
        <w:t>n’</w:t>
      </w:r>
      <w:r w:rsidR="008B00D1" w:rsidRPr="007B3EA8">
        <w:rPr>
          <w:lang w:val="fr-CA"/>
        </w:rPr>
        <w:t>y a aucun conflit entre le régime de réglementation de l’Alberta et l</w:t>
      </w:r>
      <w:r w:rsidR="003E131F" w:rsidRPr="007B3EA8">
        <w:rPr>
          <w:lang w:val="fr-CA"/>
        </w:rPr>
        <w:t>’art. </w:t>
      </w:r>
      <w:r w:rsidR="005D5D68" w:rsidRPr="007B3EA8">
        <w:rPr>
          <w:lang w:val="fr-CA"/>
        </w:rPr>
        <w:t xml:space="preserve">14.06 de la </w:t>
      </w:r>
      <w:r w:rsidR="005D5D68" w:rsidRPr="00656E50">
        <w:rPr>
          <w:i/>
          <w:lang w:val="fr-CA"/>
        </w:rPr>
        <w:t>LFI</w:t>
      </w:r>
      <w:r w:rsidR="005D5D68" w:rsidRPr="007B3EA8">
        <w:rPr>
          <w:lang w:val="fr-CA"/>
        </w:rPr>
        <w:t xml:space="preserve"> parce que</w:t>
      </w:r>
      <w:r w:rsidR="004707DC" w:rsidRPr="007B3EA8">
        <w:rPr>
          <w:lang w:val="fr-CA"/>
        </w:rPr>
        <w:t>,</w:t>
      </w:r>
      <w:r w:rsidR="005D5D68" w:rsidRPr="007B3EA8">
        <w:rPr>
          <w:lang w:val="fr-CA"/>
        </w:rPr>
        <w:t xml:space="preserve"> </w:t>
      </w:r>
      <w:r w:rsidR="00652B29" w:rsidRPr="007B3EA8">
        <w:rPr>
          <w:lang w:val="fr-CA"/>
        </w:rPr>
        <w:t>suivant le par. </w:t>
      </w:r>
      <w:r w:rsidRPr="007B3EA8">
        <w:rPr>
          <w:lang w:val="fr-CA"/>
        </w:rPr>
        <w:t xml:space="preserve">14.06(4), </w:t>
      </w:r>
      <w:r w:rsidR="005D5D68" w:rsidRPr="007B3EA8">
        <w:rPr>
          <w:lang w:val="fr-CA"/>
        </w:rPr>
        <w:t>la renonciation du syndic à un bien réel en cas d’ordonnance de réparation de tout fait ou dommage lié à l’environnement et touchant ce bien dégage le syndic de toute responsabilité personnelle, alors que la responsabilité continue de l’actif du failli n’est pas touchée</w:t>
      </w:r>
      <w:r w:rsidRPr="007B3EA8">
        <w:rPr>
          <w:lang w:val="fr-CA"/>
        </w:rPr>
        <w:t xml:space="preserve">. </w:t>
      </w:r>
      <w:r w:rsidR="005D5D68" w:rsidRPr="007B3EA8">
        <w:rPr>
          <w:lang w:val="fr-CA"/>
        </w:rPr>
        <w:t xml:space="preserve">Cette interprétation </w:t>
      </w:r>
      <w:r w:rsidR="008845A6" w:rsidRPr="007B3EA8">
        <w:rPr>
          <w:lang w:val="fr-CA"/>
        </w:rPr>
        <w:t xml:space="preserve">est étayée par le texte clair de l’article, les débats parlementaires, un arrêt de notre Cour et la version française de l’article. </w:t>
      </w:r>
      <w:r w:rsidR="007F61E8" w:rsidRPr="007B3EA8">
        <w:rPr>
          <w:lang w:val="fr-CA"/>
        </w:rPr>
        <w:t>On retrouve également le même concept aux par. 14.06(1.2) et (2), lesquels disposent expressément que le syndic est dégagé de toute responsabilité personnelle. Il est impossible d’interpréter de manière cohérente le par. 14.06(2) comme mentionnant la responsabilité personnelle tout en interprétant le par. 14.06(4) comme renvoyant d’une façon ou d’un</w:t>
      </w:r>
      <w:r w:rsidR="00656E50">
        <w:rPr>
          <w:lang w:val="fr-CA"/>
        </w:rPr>
        <w:t>e</w:t>
      </w:r>
      <w:r w:rsidR="007F61E8" w:rsidRPr="007B3EA8">
        <w:rPr>
          <w:lang w:val="fr-CA"/>
        </w:rPr>
        <w:t xml:space="preserve"> autre à la responsabilité de l’actif du failli. </w:t>
      </w:r>
    </w:p>
    <w:p w:rsidR="007C5DF1" w:rsidRPr="007B3EA8" w:rsidRDefault="007C5DF1" w:rsidP="00594C48">
      <w:pPr>
        <w:pStyle w:val="SCCNormalDoubleSpacing"/>
        <w:spacing w:after="480"/>
        <w:rPr>
          <w:lang w:val="fr-CA"/>
        </w:rPr>
      </w:pPr>
      <w:r w:rsidRPr="007B3EA8">
        <w:rPr>
          <w:lang w:val="fr-CA"/>
        </w:rPr>
        <w:tab/>
      </w:r>
      <w:r w:rsidR="007F61E8" w:rsidRPr="007B3EA8">
        <w:rPr>
          <w:lang w:val="fr-CA"/>
        </w:rPr>
        <w:t>À supposer même que GTL ait renoncé avec succès à des biens en l’espèce, l’organisme de réglementation ne cause aucun conflit d’application ni n’entrave la réalisation d’un objet fédéral en exigeant de GTL</w:t>
      </w:r>
      <w:r w:rsidR="00656E50">
        <w:rPr>
          <w:lang w:val="fr-CA"/>
        </w:rPr>
        <w:t xml:space="preserve">, à titre de titulaire de permis, </w:t>
      </w:r>
      <w:r w:rsidR="007F61E8" w:rsidRPr="007B3EA8">
        <w:rPr>
          <w:lang w:val="fr-CA"/>
        </w:rPr>
        <w:t>qu’il se serve d’éléments de l’actif pour abandonner les biens faisant l’objet de la renonciation. En outre, il n’y a</w:t>
      </w:r>
      <w:r w:rsidR="00DD4422" w:rsidRPr="007B3EA8">
        <w:rPr>
          <w:lang w:val="fr-CA"/>
        </w:rPr>
        <w:t>urait</w:t>
      </w:r>
      <w:r w:rsidR="007F61E8" w:rsidRPr="007B3EA8">
        <w:rPr>
          <w:lang w:val="fr-CA"/>
        </w:rPr>
        <w:t xml:space="preserve"> aucun conflit du fait que ces biens soient toujours inclus dans le calcul de la CGR de Redwater</w:t>
      </w:r>
      <w:r w:rsidRPr="007B3EA8">
        <w:rPr>
          <w:lang w:val="fr-CA"/>
        </w:rPr>
        <w:t xml:space="preserve">. </w:t>
      </w:r>
      <w:r w:rsidR="0098429D" w:rsidRPr="007B3EA8">
        <w:rPr>
          <w:lang w:val="fr-CA"/>
        </w:rPr>
        <w:t>Enfin, vu la retenue avec laquelle il faut appliquer la doctrine de la prépond</w:t>
      </w:r>
      <w:r w:rsidR="00652B29" w:rsidRPr="007B3EA8">
        <w:rPr>
          <w:lang w:val="fr-CA"/>
        </w:rPr>
        <w:t>é</w:t>
      </w:r>
      <w:r w:rsidR="0098429D" w:rsidRPr="007B3EA8">
        <w:rPr>
          <w:lang w:val="fr-CA"/>
        </w:rPr>
        <w:t>rance, et vu que l’organisme de réglementation n’a pas tenté de tenir GTL personnellement responsable</w:t>
      </w:r>
      <w:r w:rsidR="00656E50">
        <w:rPr>
          <w:lang w:val="fr-CA"/>
        </w:rPr>
        <w:t>,</w:t>
      </w:r>
      <w:r w:rsidR="0098429D" w:rsidRPr="007B3EA8">
        <w:rPr>
          <w:lang w:val="fr-CA"/>
        </w:rPr>
        <w:t xml:space="preserve"> en tant que titulaire de permis</w:t>
      </w:r>
      <w:r w:rsidR="00656E50">
        <w:rPr>
          <w:lang w:val="fr-CA"/>
        </w:rPr>
        <w:t>,</w:t>
      </w:r>
      <w:r w:rsidR="0098429D" w:rsidRPr="007B3EA8">
        <w:rPr>
          <w:lang w:val="fr-CA"/>
        </w:rPr>
        <w:t xml:space="preserve"> des frais d’abandon, aucun conflit avec les par. 14.06(2) ou (4)</w:t>
      </w:r>
      <w:r w:rsidR="00656E50">
        <w:rPr>
          <w:lang w:val="fr-CA"/>
        </w:rPr>
        <w:t xml:space="preserve"> de la </w:t>
      </w:r>
      <w:r w:rsidR="00656E50" w:rsidRPr="00656E50">
        <w:rPr>
          <w:i/>
          <w:lang w:val="fr-CA"/>
        </w:rPr>
        <w:t>LFI</w:t>
      </w:r>
      <w:r w:rsidR="0098429D" w:rsidRPr="007B3EA8">
        <w:rPr>
          <w:lang w:val="fr-CA"/>
        </w:rPr>
        <w:t xml:space="preserve"> n’est causé par la </w:t>
      </w:r>
      <w:r w:rsidR="0098429D" w:rsidRPr="007B3EA8">
        <w:rPr>
          <w:lang w:val="fr-CA"/>
        </w:rPr>
        <w:lastRenderedPageBreak/>
        <w:t xml:space="preserve">simple possibilité théorique de responsabilité personnelle en application de la </w:t>
      </w:r>
      <w:r w:rsidR="0098429D" w:rsidRPr="00656E50">
        <w:rPr>
          <w:i/>
          <w:lang w:val="fr-CA"/>
        </w:rPr>
        <w:t>OGCA</w:t>
      </w:r>
      <w:r w:rsidR="0098429D" w:rsidRPr="007B3EA8">
        <w:rPr>
          <w:lang w:val="fr-CA"/>
        </w:rPr>
        <w:t xml:space="preserve"> ou de la </w:t>
      </w:r>
      <w:r w:rsidR="0098429D" w:rsidRPr="007B3EA8">
        <w:rPr>
          <w:i/>
          <w:lang w:val="fr-CA"/>
        </w:rPr>
        <w:t>Pipeline Act</w:t>
      </w:r>
      <w:r w:rsidRPr="007B3EA8">
        <w:rPr>
          <w:lang w:val="fr-CA"/>
        </w:rPr>
        <w:t>.</w:t>
      </w:r>
    </w:p>
    <w:p w:rsidR="007C5DF1" w:rsidRPr="007B3EA8" w:rsidRDefault="007C5DF1" w:rsidP="00594C48">
      <w:pPr>
        <w:pStyle w:val="SCCNormalDoubleSpacing"/>
        <w:spacing w:after="480"/>
        <w:rPr>
          <w:szCs w:val="24"/>
          <w:lang w:val="fr-CA"/>
        </w:rPr>
      </w:pPr>
      <w:r w:rsidRPr="007B3EA8">
        <w:rPr>
          <w:lang w:val="fr-CA"/>
        </w:rPr>
        <w:tab/>
      </w:r>
      <w:r w:rsidR="009F6A33" w:rsidRPr="007B3EA8">
        <w:rPr>
          <w:lang w:val="fr-CA"/>
        </w:rPr>
        <w:t>Les obligations de fin de vie incombant à GTL ne sont pas des réclamations prouvables dans la faillite de Redwater</w:t>
      </w:r>
      <w:r w:rsidRPr="007B3EA8">
        <w:rPr>
          <w:szCs w:val="24"/>
          <w:lang w:val="fr-CA"/>
        </w:rPr>
        <w:t xml:space="preserve">. </w:t>
      </w:r>
      <w:r w:rsidR="0009346F" w:rsidRPr="007B3EA8">
        <w:rPr>
          <w:szCs w:val="24"/>
          <w:lang w:val="fr-CA"/>
        </w:rPr>
        <w:t>L</w:t>
      </w:r>
      <w:r w:rsidR="0009346F" w:rsidRPr="007B3EA8">
        <w:rPr>
          <w:lang w:val="fr-CA"/>
        </w:rPr>
        <w:t xml:space="preserve">es obligations environnementales appliquées par un organisme de réglementation ne sont pas toutes des réclamations prouvables en matière de faillite. </w:t>
      </w:r>
      <w:r w:rsidR="0009346F" w:rsidRPr="007B3EA8">
        <w:rPr>
          <w:szCs w:val="24"/>
          <w:lang w:val="fr-CA"/>
        </w:rPr>
        <w:t xml:space="preserve">Il faut appliquer le critère énoncé par </w:t>
      </w:r>
      <w:r w:rsidR="00224F3A">
        <w:rPr>
          <w:szCs w:val="24"/>
          <w:lang w:val="fr-CA"/>
        </w:rPr>
        <w:t>la</w:t>
      </w:r>
      <w:r w:rsidR="0009346F" w:rsidRPr="007B3EA8">
        <w:rPr>
          <w:szCs w:val="24"/>
          <w:lang w:val="fr-CA"/>
        </w:rPr>
        <w:t xml:space="preserve"> Cour dans </w:t>
      </w:r>
      <w:r w:rsidR="003E131F" w:rsidRPr="007B3EA8">
        <w:rPr>
          <w:i/>
          <w:szCs w:val="24"/>
          <w:lang w:val="fr-CA"/>
        </w:rPr>
        <w:t>Terre</w:t>
      </w:r>
      <w:r w:rsidR="003E131F" w:rsidRPr="007B3EA8">
        <w:rPr>
          <w:i/>
          <w:szCs w:val="24"/>
          <w:lang w:val="fr-CA"/>
        </w:rPr>
        <w:noBreakHyphen/>
        <w:t>Neuve</w:t>
      </w:r>
      <w:r w:rsidR="003E131F" w:rsidRPr="007B3EA8">
        <w:rPr>
          <w:i/>
          <w:szCs w:val="24"/>
          <w:lang w:val="fr-CA"/>
        </w:rPr>
        <w:noBreakHyphen/>
        <w:t>et</w:t>
      </w:r>
      <w:r w:rsidR="003E131F" w:rsidRPr="007B3EA8">
        <w:rPr>
          <w:i/>
          <w:szCs w:val="24"/>
          <w:lang w:val="fr-CA"/>
        </w:rPr>
        <w:noBreakHyphen/>
      </w:r>
      <w:r w:rsidRPr="007B3EA8">
        <w:rPr>
          <w:i/>
          <w:szCs w:val="24"/>
          <w:lang w:val="fr-CA"/>
        </w:rPr>
        <w:t xml:space="preserve">Labrador </w:t>
      </w:r>
      <w:r w:rsidR="0009346F" w:rsidRPr="007B3EA8">
        <w:rPr>
          <w:i/>
          <w:szCs w:val="24"/>
          <w:lang w:val="fr-CA"/>
        </w:rPr>
        <w:t>c</w:t>
      </w:r>
      <w:r w:rsidRPr="007B3EA8">
        <w:rPr>
          <w:i/>
          <w:szCs w:val="24"/>
          <w:lang w:val="fr-CA"/>
        </w:rPr>
        <w:t>. AbitibiBowater Inc.</w:t>
      </w:r>
      <w:r w:rsidR="0009346F" w:rsidRPr="007B3EA8">
        <w:rPr>
          <w:szCs w:val="24"/>
          <w:lang w:val="fr-CA"/>
        </w:rPr>
        <w:t xml:space="preserve">, 2012 </w:t>
      </w:r>
      <w:r w:rsidRPr="007B3EA8">
        <w:rPr>
          <w:szCs w:val="24"/>
          <w:lang w:val="fr-CA"/>
        </w:rPr>
        <w:t>C</w:t>
      </w:r>
      <w:r w:rsidR="0009346F" w:rsidRPr="007B3EA8">
        <w:rPr>
          <w:szCs w:val="24"/>
          <w:lang w:val="fr-CA"/>
        </w:rPr>
        <w:t>SC 67, [2012] 3 R</w:t>
      </w:r>
      <w:r w:rsidRPr="007B3EA8">
        <w:rPr>
          <w:szCs w:val="24"/>
          <w:lang w:val="fr-CA"/>
        </w:rPr>
        <w:t>.C.</w:t>
      </w:r>
      <w:r w:rsidR="0009346F" w:rsidRPr="007B3EA8">
        <w:rPr>
          <w:szCs w:val="24"/>
          <w:lang w:val="fr-CA"/>
        </w:rPr>
        <w:t>S</w:t>
      </w:r>
      <w:r w:rsidRPr="007B3EA8">
        <w:rPr>
          <w:szCs w:val="24"/>
          <w:lang w:val="fr-CA"/>
        </w:rPr>
        <w:t>. 443 (</w:t>
      </w:r>
      <w:r w:rsidR="00594C48" w:rsidRPr="007B3EA8">
        <w:rPr>
          <w:szCs w:val="24"/>
          <w:lang w:val="fr-CA"/>
        </w:rPr>
        <w:t>« </w:t>
      </w:r>
      <w:r w:rsidRPr="007B3EA8">
        <w:rPr>
          <w:i/>
          <w:szCs w:val="24"/>
          <w:lang w:val="fr-CA"/>
        </w:rPr>
        <w:t>Abitibi</w:t>
      </w:r>
      <w:r w:rsidR="00594C48" w:rsidRPr="007B3EA8">
        <w:rPr>
          <w:szCs w:val="24"/>
          <w:lang w:val="fr-CA"/>
        </w:rPr>
        <w:t> </w:t>
      </w:r>
      <w:r w:rsidR="0009346F" w:rsidRPr="007B3EA8">
        <w:rPr>
          <w:szCs w:val="24"/>
          <w:lang w:val="fr-CA"/>
        </w:rPr>
        <w:t>»</w:t>
      </w:r>
      <w:r w:rsidRPr="007B3EA8">
        <w:rPr>
          <w:szCs w:val="24"/>
          <w:lang w:val="fr-CA"/>
        </w:rPr>
        <w:t xml:space="preserve">), </w:t>
      </w:r>
      <w:r w:rsidR="0009346F" w:rsidRPr="007B3EA8">
        <w:rPr>
          <w:lang w:val="fr-CA"/>
        </w:rPr>
        <w:t>pour déterminer si une obligation réglementaire précise équivaut à une réclamation prouvable en matière de faillite</w:t>
      </w:r>
      <w:r w:rsidR="007B3EA8">
        <w:rPr>
          <w:lang w:val="fr-CA"/>
        </w:rPr>
        <w:t> </w:t>
      </w:r>
      <w:r w:rsidR="00594C48" w:rsidRPr="007B3EA8">
        <w:rPr>
          <w:szCs w:val="24"/>
          <w:lang w:val="fr-CA"/>
        </w:rPr>
        <w:t>: (1) </w:t>
      </w:r>
      <w:r w:rsidR="0009346F" w:rsidRPr="007B3EA8">
        <w:rPr>
          <w:lang w:val="fr-CA"/>
        </w:rPr>
        <w:t>on doit être en présence d’une dette, d’un engagement ou d’une obligation envers un créancier</w:t>
      </w:r>
      <w:r w:rsidRPr="007B3EA8">
        <w:rPr>
          <w:szCs w:val="24"/>
          <w:lang w:val="fr-CA"/>
        </w:rPr>
        <w:t>; (2)</w:t>
      </w:r>
      <w:r w:rsidR="00594C48" w:rsidRPr="007B3EA8">
        <w:rPr>
          <w:szCs w:val="24"/>
          <w:lang w:val="fr-CA"/>
        </w:rPr>
        <w:t> </w:t>
      </w:r>
      <w:r w:rsidR="00B17919" w:rsidRPr="007B3EA8">
        <w:rPr>
          <w:lang w:val="fr-CA"/>
        </w:rPr>
        <w:t>la dette, l’engagement ou l’obligation doit avoir pris naissance avant que le débiteur ne devienne failli</w:t>
      </w:r>
      <w:r w:rsidRPr="007B3EA8">
        <w:rPr>
          <w:szCs w:val="24"/>
          <w:lang w:val="fr-CA"/>
        </w:rPr>
        <w:t xml:space="preserve">; </w:t>
      </w:r>
      <w:r w:rsidR="00224F3A">
        <w:rPr>
          <w:szCs w:val="24"/>
          <w:lang w:val="fr-CA"/>
        </w:rPr>
        <w:t xml:space="preserve">et </w:t>
      </w:r>
      <w:r w:rsidRPr="007B3EA8">
        <w:rPr>
          <w:szCs w:val="24"/>
          <w:lang w:val="fr-CA"/>
        </w:rPr>
        <w:t>(3)</w:t>
      </w:r>
      <w:r w:rsidR="00594C48" w:rsidRPr="007B3EA8">
        <w:rPr>
          <w:szCs w:val="24"/>
          <w:lang w:val="fr-CA"/>
        </w:rPr>
        <w:t> </w:t>
      </w:r>
      <w:r w:rsidR="00B17919" w:rsidRPr="007B3EA8">
        <w:rPr>
          <w:lang w:val="fr-CA"/>
        </w:rPr>
        <w:t>il doit être possible d’attribuer une valeur pécuniaire à cette dette, cet engagement ou cette obligation</w:t>
      </w:r>
      <w:r w:rsidRPr="007B3EA8">
        <w:rPr>
          <w:szCs w:val="24"/>
          <w:lang w:val="fr-CA"/>
        </w:rPr>
        <w:t xml:space="preserve">. </w:t>
      </w:r>
      <w:r w:rsidR="00C3623F" w:rsidRPr="007B3EA8">
        <w:rPr>
          <w:szCs w:val="24"/>
          <w:lang w:val="fr-CA"/>
        </w:rPr>
        <w:t>Seul</w:t>
      </w:r>
      <w:r w:rsidR="00F93A07" w:rsidRPr="007B3EA8">
        <w:rPr>
          <w:szCs w:val="24"/>
          <w:lang w:val="fr-CA"/>
        </w:rPr>
        <w:t>e</w:t>
      </w:r>
      <w:r w:rsidR="00C3623F" w:rsidRPr="007B3EA8">
        <w:rPr>
          <w:szCs w:val="24"/>
          <w:lang w:val="fr-CA"/>
        </w:rPr>
        <w:t xml:space="preserve">s les première et troisième parties du </w:t>
      </w:r>
      <w:r w:rsidR="00C3623F" w:rsidRPr="007B3EA8">
        <w:rPr>
          <w:lang w:val="fr-CA"/>
        </w:rPr>
        <w:t>critère</w:t>
      </w:r>
      <w:r w:rsidR="00C3623F" w:rsidRPr="007B3EA8">
        <w:rPr>
          <w:szCs w:val="24"/>
          <w:lang w:val="fr-CA"/>
        </w:rPr>
        <w:t xml:space="preserve"> sont en litige dans la présente affaire. </w:t>
      </w:r>
      <w:r w:rsidRPr="007B3EA8">
        <w:rPr>
          <w:szCs w:val="24"/>
          <w:lang w:val="fr-CA"/>
        </w:rPr>
        <w:t xml:space="preserve"> </w:t>
      </w:r>
    </w:p>
    <w:p w:rsidR="007C5DF1" w:rsidRPr="007B3EA8" w:rsidRDefault="007C5DF1" w:rsidP="00594C48">
      <w:pPr>
        <w:pStyle w:val="SCCNormalDoubleSpacing"/>
        <w:spacing w:after="480"/>
        <w:rPr>
          <w:szCs w:val="24"/>
          <w:lang w:val="fr-CA"/>
        </w:rPr>
      </w:pPr>
      <w:r w:rsidRPr="007B3EA8">
        <w:rPr>
          <w:szCs w:val="24"/>
          <w:lang w:val="fr-CA"/>
        </w:rPr>
        <w:tab/>
      </w:r>
      <w:r w:rsidR="00C3623F" w:rsidRPr="007B3EA8">
        <w:rPr>
          <w:szCs w:val="24"/>
          <w:lang w:val="fr-CA"/>
        </w:rPr>
        <w:t xml:space="preserve">Pour ce qui est de la première partie du critère, </w:t>
      </w:r>
      <w:r w:rsidR="00066D9D" w:rsidRPr="007B3EA8">
        <w:rPr>
          <w:lang w:val="fr-CA"/>
        </w:rPr>
        <w:t xml:space="preserve">l’arrêt </w:t>
      </w:r>
      <w:r w:rsidR="00066D9D" w:rsidRPr="007B3EA8">
        <w:rPr>
          <w:i/>
          <w:lang w:val="fr-CA"/>
        </w:rPr>
        <w:t>Abitibi</w:t>
      </w:r>
      <w:r w:rsidR="00066D9D" w:rsidRPr="007B3EA8">
        <w:rPr>
          <w:lang w:val="fr-CA"/>
        </w:rPr>
        <w:t xml:space="preserve"> ne doit pas être considéré comme soutenant la thèse qu’un organisme de réglementation est toujours un créancier lorsqu’il exerce les pouvoirs d’application qui lui sont dévolus par la loi à l’encontre d’un débiteur.</w:t>
      </w:r>
      <w:r w:rsidRPr="007B3EA8">
        <w:rPr>
          <w:szCs w:val="24"/>
          <w:lang w:val="fr-CA"/>
        </w:rPr>
        <w:t xml:space="preserve"> </w:t>
      </w:r>
      <w:r w:rsidR="00066D9D" w:rsidRPr="007B3EA8">
        <w:rPr>
          <w:szCs w:val="24"/>
          <w:lang w:val="fr-CA"/>
        </w:rPr>
        <w:t>L’</w:t>
      </w:r>
      <w:r w:rsidR="00066D9D" w:rsidRPr="007B3EA8">
        <w:rPr>
          <w:lang w:val="fr-CA"/>
        </w:rPr>
        <w:t xml:space="preserve">organisme de réglementation exerçant un pouvoir pour faire respecter un devoir public n’est pas un créancier de la personne ou de la société assujettie à ce devoir. </w:t>
      </w:r>
      <w:r w:rsidR="001874D0" w:rsidRPr="007B3EA8">
        <w:rPr>
          <w:szCs w:val="24"/>
          <w:lang w:val="fr-CA"/>
        </w:rPr>
        <w:t>En l’espèce</w:t>
      </w:r>
      <w:r w:rsidRPr="007B3EA8">
        <w:rPr>
          <w:szCs w:val="24"/>
          <w:lang w:val="fr-CA"/>
        </w:rPr>
        <w:t xml:space="preserve">, </w:t>
      </w:r>
      <w:r w:rsidR="001874D0" w:rsidRPr="007B3EA8">
        <w:rPr>
          <w:lang w:val="fr-CA"/>
        </w:rPr>
        <w:t>personne ne conteste qu’en cherchant à assurer le respect des obligations de fin de vie incombant à Redwater, l’organisme de réglementation agit de bonne foi à titre d’autorité de réglementation et il n’est pas en mesure d’obtenir un avantage financier</w:t>
      </w:r>
      <w:r w:rsidRPr="007B3EA8">
        <w:rPr>
          <w:szCs w:val="24"/>
          <w:lang w:val="fr-CA"/>
        </w:rPr>
        <w:t xml:space="preserve">. </w:t>
      </w:r>
      <w:r w:rsidR="007D1E76" w:rsidRPr="007B3EA8">
        <w:rPr>
          <w:szCs w:val="24"/>
          <w:lang w:val="fr-CA"/>
        </w:rPr>
        <w:t>I</w:t>
      </w:r>
      <w:r w:rsidR="007D1E76" w:rsidRPr="007B3EA8">
        <w:rPr>
          <w:lang w:val="fr-CA"/>
        </w:rPr>
        <w:t xml:space="preserve">l est clair que l’organisme de réglementation </w:t>
      </w:r>
      <w:r w:rsidR="007D1E76" w:rsidRPr="007B3EA8">
        <w:rPr>
          <w:lang w:val="fr-CA"/>
        </w:rPr>
        <w:lastRenderedPageBreak/>
        <w:t xml:space="preserve">a agi dans l’intérêt public et pour le bien public en rendant les ordonnances d’abandon et en assurant le respect des exigences relatives à la CGR, et qu’il n’est donc pas un créancier de Redwater. </w:t>
      </w:r>
      <w:r w:rsidR="00A96AFF" w:rsidRPr="007B3EA8">
        <w:rPr>
          <w:lang w:val="fr-CA"/>
        </w:rPr>
        <w:t>C’est le public qui bénéficie de ces obligations environnementales; la province n’est pas en mesure d’en bénéficier financièrement</w:t>
      </w:r>
      <w:r w:rsidRPr="007B3EA8">
        <w:rPr>
          <w:szCs w:val="24"/>
          <w:lang w:val="fr-CA"/>
        </w:rPr>
        <w:t>.</w:t>
      </w:r>
      <w:r w:rsidR="00F7202D" w:rsidRPr="007B3EA8">
        <w:rPr>
          <w:szCs w:val="24"/>
          <w:lang w:val="fr-CA"/>
        </w:rPr>
        <w:t xml:space="preserve"> </w:t>
      </w:r>
      <w:r w:rsidR="00A96AFF" w:rsidRPr="007B3EA8">
        <w:rPr>
          <w:lang w:val="fr-CA"/>
        </w:rPr>
        <w:t>Cela suffit, à proprement parler, pour trancher cet aspect du pourvoi</w:t>
      </w:r>
      <w:r w:rsidRPr="007B3EA8">
        <w:rPr>
          <w:szCs w:val="24"/>
          <w:lang w:val="fr-CA"/>
        </w:rPr>
        <w:t xml:space="preserve">. </w:t>
      </w:r>
    </w:p>
    <w:p w:rsidR="007C5DF1" w:rsidRPr="007B3EA8" w:rsidRDefault="007C5DF1" w:rsidP="00594C48">
      <w:pPr>
        <w:pStyle w:val="SCCNormalDoubleSpacing"/>
        <w:spacing w:after="480"/>
        <w:rPr>
          <w:lang w:val="fr-CA"/>
        </w:rPr>
      </w:pPr>
      <w:r w:rsidRPr="007B3EA8">
        <w:rPr>
          <w:szCs w:val="24"/>
          <w:lang w:val="fr-CA"/>
        </w:rPr>
        <w:tab/>
      </w:r>
      <w:r w:rsidR="00A96AFF" w:rsidRPr="007B3EA8">
        <w:rPr>
          <w:szCs w:val="24"/>
          <w:lang w:val="fr-CA"/>
        </w:rPr>
        <w:t>Comme cela pourrait se révéler utile à l’avenir</w:t>
      </w:r>
      <w:r w:rsidRPr="007B3EA8">
        <w:rPr>
          <w:szCs w:val="24"/>
          <w:lang w:val="fr-CA"/>
        </w:rPr>
        <w:t>,</w:t>
      </w:r>
      <w:r w:rsidR="00A96AFF" w:rsidRPr="007B3EA8">
        <w:rPr>
          <w:szCs w:val="24"/>
          <w:lang w:val="fr-CA"/>
        </w:rPr>
        <w:t xml:space="preserve"> à la troisième partie du critère, </w:t>
      </w:r>
      <w:r w:rsidR="00A96AFF" w:rsidRPr="007B3EA8">
        <w:rPr>
          <w:lang w:val="fr-CA"/>
        </w:rPr>
        <w:t>le tribunal doit décider s’il y a suffisamment de faits indiquant qu’il existe une obligation environnementale de laquelle résultera une dette envers un organisme de réglementation.</w:t>
      </w:r>
      <w:r w:rsidR="00A96AFF" w:rsidRPr="007B3EA8">
        <w:rPr>
          <w:szCs w:val="24"/>
          <w:lang w:val="fr-CA"/>
        </w:rPr>
        <w:t xml:space="preserve"> </w:t>
      </w:r>
      <w:r w:rsidR="00085571" w:rsidRPr="007B3EA8">
        <w:rPr>
          <w:lang w:val="fr-CA"/>
        </w:rPr>
        <w:t>Pour établir si une obligation réglementaire non pécuniaire du failli est trop éloignée ou trop conjecturale pour être incluse dans la procédure de faillite, le tribunal doit appliquer les règles générales qui visent les réclamations futures ou éventuelles</w:t>
      </w:r>
      <w:r w:rsidRPr="007B3EA8">
        <w:rPr>
          <w:lang w:val="fr-CA"/>
        </w:rPr>
        <w:t xml:space="preserve">. </w:t>
      </w:r>
      <w:r w:rsidR="00085571" w:rsidRPr="007B3EA8">
        <w:rPr>
          <w:lang w:val="fr-CA"/>
        </w:rPr>
        <w:t xml:space="preserve">Il doit être suffisamment certain que l’éventualité se concrétisera ou, en d’autres termes, que l’organisme de réglementation fera respecter l’obligation en exécutant les travaux environnementaux et en sollicitant le remboursement de ses frais. </w:t>
      </w:r>
      <w:r w:rsidR="00C14544" w:rsidRPr="007B3EA8">
        <w:rPr>
          <w:lang w:val="fr-CA"/>
        </w:rPr>
        <w:t xml:space="preserve">Dans le cas présent, les ordonnances d’abandon et les </w:t>
      </w:r>
      <w:r w:rsidR="000473C0" w:rsidRPr="007B3EA8">
        <w:rPr>
          <w:lang w:val="fr-CA"/>
        </w:rPr>
        <w:t>exigences relatives à la CGR ne satisfont pas à cette partie du critère. La preuve n’établit pas qu’il est suffisamment certain que l’organisme de réglementation procédera à l’abandon et présentera une demande de remboursement</w:t>
      </w:r>
      <w:r w:rsidRPr="007B3EA8">
        <w:rPr>
          <w:lang w:val="fr-CA"/>
        </w:rPr>
        <w:t xml:space="preserve">. </w:t>
      </w:r>
      <w:r w:rsidR="000473C0" w:rsidRPr="007B3EA8">
        <w:rPr>
          <w:lang w:val="fr-CA"/>
        </w:rPr>
        <w:t>Cette réclamation est trop éloignée et conjecturale pour être incluse dans la procédure de faillite</w:t>
      </w:r>
      <w:r w:rsidRPr="007B3EA8">
        <w:rPr>
          <w:lang w:val="fr-CA"/>
        </w:rPr>
        <w:t xml:space="preserve">. </w:t>
      </w:r>
      <w:r w:rsidR="000473C0" w:rsidRPr="007B3EA8">
        <w:rPr>
          <w:lang w:val="fr-CA"/>
        </w:rPr>
        <w:t>En outre</w:t>
      </w:r>
      <w:r w:rsidRPr="007B3EA8">
        <w:rPr>
          <w:lang w:val="fr-CA"/>
        </w:rPr>
        <w:t xml:space="preserve">, </w:t>
      </w:r>
      <w:r w:rsidR="00F7202D" w:rsidRPr="007B3EA8">
        <w:rPr>
          <w:lang w:val="fr-CA"/>
        </w:rPr>
        <w:t>l</w:t>
      </w:r>
      <w:r w:rsidR="000473C0" w:rsidRPr="007B3EA8">
        <w:rPr>
          <w:lang w:val="fr-CA"/>
        </w:rPr>
        <w:t>e refus de l’organisme de réglementation d’approuver les transferts de permis jusqu’à ce que les exigences relatives à la CGR aient été satisfaites ne lui donne pas une réclamation pécuniaire contre Redwater</w:t>
      </w:r>
      <w:r w:rsidRPr="007B3EA8">
        <w:rPr>
          <w:lang w:val="fr-CA"/>
        </w:rPr>
        <w:t>.</w:t>
      </w:r>
    </w:p>
    <w:p w:rsidR="007C5DF1" w:rsidRPr="007B3EA8" w:rsidRDefault="003E131F" w:rsidP="00594C48">
      <w:pPr>
        <w:pStyle w:val="SCCNormalDoubleSpacing"/>
        <w:spacing w:after="480"/>
        <w:rPr>
          <w:lang w:val="fr-CA"/>
        </w:rPr>
      </w:pPr>
      <w:r w:rsidRPr="007B3EA8">
        <w:rPr>
          <w:lang w:val="fr-CA"/>
        </w:rPr>
        <w:lastRenderedPageBreak/>
        <w:tab/>
      </w:r>
      <w:r w:rsidR="00783CA2" w:rsidRPr="007B3EA8">
        <w:rPr>
          <w:lang w:val="fr-CA"/>
        </w:rPr>
        <w:t xml:space="preserve">Au moment d’élaborer le régime de priorité de la </w:t>
      </w:r>
      <w:r w:rsidR="00783CA2" w:rsidRPr="00224F3A">
        <w:rPr>
          <w:i/>
          <w:lang w:val="fr-CA"/>
        </w:rPr>
        <w:t>LFI</w:t>
      </w:r>
      <w:r w:rsidR="00783CA2" w:rsidRPr="007B3EA8">
        <w:rPr>
          <w:lang w:val="fr-CA"/>
        </w:rPr>
        <w:t xml:space="preserve">, le Parlement voulait permettre aux organismes de réglementation d’imposer une charge prioritaire sur le bien réel du failli touché par un fait ou dommage lié à l’environnement en vue de financer la décontamination. </w:t>
      </w:r>
      <w:r w:rsidR="00FE6581" w:rsidRPr="007B3EA8">
        <w:rPr>
          <w:lang w:val="fr-CA"/>
        </w:rPr>
        <w:t xml:space="preserve">Ainsi, la </w:t>
      </w:r>
      <w:r w:rsidR="00FE6581" w:rsidRPr="00224F3A">
        <w:rPr>
          <w:i/>
          <w:lang w:val="fr-CA"/>
        </w:rPr>
        <w:t>LFI</w:t>
      </w:r>
      <w:r w:rsidR="00FE6581" w:rsidRPr="007B3EA8">
        <w:rPr>
          <w:lang w:val="fr-CA"/>
        </w:rPr>
        <w:t xml:space="preserve"> envisage explicitement la possibilité que des organismes de réglementation tire</w:t>
      </w:r>
      <w:r w:rsidR="00224F3A">
        <w:rPr>
          <w:lang w:val="fr-CA"/>
        </w:rPr>
        <w:t>nt</w:t>
      </w:r>
      <w:r w:rsidR="00FE6581" w:rsidRPr="007B3EA8">
        <w:rPr>
          <w:lang w:val="fr-CA"/>
        </w:rPr>
        <w:t xml:space="preserve"> une valeur des biens réels du failli touchés par un fait ou dommage lié à l’environnement. </w:t>
      </w:r>
      <w:r w:rsidR="008A70F1" w:rsidRPr="007B3EA8">
        <w:rPr>
          <w:lang w:val="fr-CA"/>
        </w:rPr>
        <w:t>Bien que l’organisme de réglementation n’ai</w:t>
      </w:r>
      <w:r w:rsidR="004707DC" w:rsidRPr="007B3EA8">
        <w:rPr>
          <w:lang w:val="fr-CA"/>
        </w:rPr>
        <w:t>t</w:t>
      </w:r>
      <w:r w:rsidR="008A70F1" w:rsidRPr="007B3EA8">
        <w:rPr>
          <w:lang w:val="fr-CA"/>
        </w:rPr>
        <w:t xml:space="preserve"> pu se prévaloir du par. 14.06(7), compte tenu de la nature de la propriété des biens dans l’industrie pétrolière et gazière de l’Alberta, les ordonnances d’abandon et la CGR reproduisent l’effet du par. 14.06(7) en l’espèce. De plus, les seuls biens de valeur de Redwater étaient touchés par un fait ou dommage lié à l’environnement. </w:t>
      </w:r>
      <w:r w:rsidR="005102D5" w:rsidRPr="007B3EA8">
        <w:rPr>
          <w:lang w:val="fr-CA"/>
        </w:rPr>
        <w:t xml:space="preserve">Les ordonnances d’abandon et exigences relatives à la CGR n’avaient donc pas pour objet de forcer Redwater à s’acquitter des obligations de fin de vie avec des biens étrangers au fait ou dommage lié à l’environnement. </w:t>
      </w:r>
      <w:r w:rsidR="00554EDC" w:rsidRPr="007B3EA8">
        <w:rPr>
          <w:lang w:val="fr-CA"/>
        </w:rPr>
        <w:t xml:space="preserve">Autrement dit, la reconnaissance que les ordonnances d’abandon et exigences relatives à la CGR ne sont pas des réclamations prouvables en l’espèce facilite l’atteinte des objets de la </w:t>
      </w:r>
      <w:r w:rsidR="00554EDC" w:rsidRPr="00224F3A">
        <w:rPr>
          <w:i/>
          <w:lang w:val="fr-CA"/>
        </w:rPr>
        <w:t>LFI</w:t>
      </w:r>
      <w:r w:rsidR="00554EDC" w:rsidRPr="007B3EA8">
        <w:rPr>
          <w:lang w:val="fr-CA"/>
        </w:rPr>
        <w:t xml:space="preserve"> au lieu de la contrecarrer. </w:t>
      </w:r>
    </w:p>
    <w:p w:rsidR="004B0D1D" w:rsidRPr="007B3EA8" w:rsidRDefault="004D7D95" w:rsidP="004B0D1D">
      <w:pPr>
        <w:pStyle w:val="SCCNormalDoubleSpacing"/>
        <w:spacing w:after="480"/>
        <w:rPr>
          <w:lang w:val="fr-CA"/>
        </w:rPr>
      </w:pPr>
      <w:r w:rsidRPr="007B3EA8">
        <w:rPr>
          <w:lang w:val="fr-CA"/>
        </w:rPr>
        <w:tab/>
      </w:r>
      <w:r w:rsidR="004B0D1D" w:rsidRPr="007B3EA8">
        <w:rPr>
          <w:i/>
          <w:lang w:val="fr-CA"/>
        </w:rPr>
        <w:t xml:space="preserve">Les </w:t>
      </w:r>
      <w:r w:rsidR="004B0D1D" w:rsidRPr="007B3EA8">
        <w:rPr>
          <w:lang w:val="fr-CA"/>
        </w:rPr>
        <w:t xml:space="preserve">juges Moldaver et </w:t>
      </w:r>
      <w:r w:rsidR="004B0D1D" w:rsidRPr="00EE0D3C">
        <w:rPr>
          <w:lang w:val="fr-CA"/>
        </w:rPr>
        <w:t>Côté</w:t>
      </w:r>
      <w:r w:rsidR="004B0D1D" w:rsidRPr="007B3EA8">
        <w:rPr>
          <w:lang w:val="fr-CA"/>
        </w:rPr>
        <w:t xml:space="preserve"> (dissidents)</w:t>
      </w:r>
      <w:r w:rsidR="00594C48" w:rsidRPr="007B3EA8">
        <w:rPr>
          <w:lang w:val="fr-CA"/>
        </w:rPr>
        <w:t> </w:t>
      </w:r>
      <w:r w:rsidR="004B0D1D" w:rsidRPr="007B3EA8">
        <w:rPr>
          <w:lang w:val="fr-CA"/>
        </w:rPr>
        <w:t>: GTL et ATB se sont acquittés de leur fardeau de démontrer qu’il existe une incompatibilité véritable entre la loi fédérale et la loi provinciale selon les deux volets du test de la prépondérance, à savoir le conflit d’application et l’entrave à la réalisation d’un objet fédéral. Par conséquent, il y a lieu de rejeter le pourvoi.</w:t>
      </w:r>
    </w:p>
    <w:p w:rsidR="004B0D1D" w:rsidRPr="007B3EA8" w:rsidRDefault="004B0D1D" w:rsidP="004B0D1D">
      <w:pPr>
        <w:pStyle w:val="SCCNormalDoubleSpacing"/>
        <w:spacing w:after="480"/>
        <w:rPr>
          <w:lang w:val="fr-CA"/>
        </w:rPr>
      </w:pPr>
      <w:r w:rsidRPr="007B3EA8">
        <w:rPr>
          <w:lang w:val="fr-CA"/>
        </w:rPr>
        <w:tab/>
      </w:r>
      <w:r w:rsidR="009539F9" w:rsidRPr="007B3EA8">
        <w:rPr>
          <w:lang w:val="fr-CA"/>
        </w:rPr>
        <w:t>Étant donné que le régime législatif albertain ne reconnaît pas la légalité des renonciations</w:t>
      </w:r>
      <w:r w:rsidR="00A61B5B" w:rsidRPr="007B3EA8">
        <w:rPr>
          <w:lang w:val="fr-CA"/>
        </w:rPr>
        <w:t xml:space="preserve"> des syndics à des biens grevés d’engagements environnementaux</w:t>
      </w:r>
      <w:r w:rsidR="009539F9" w:rsidRPr="007B3EA8">
        <w:rPr>
          <w:lang w:val="fr-CA"/>
        </w:rPr>
        <w:t xml:space="preserve"> en raison du fait que les séquestres et les syndics sont réglementés comme des titulaires </w:t>
      </w:r>
      <w:r w:rsidR="009539F9" w:rsidRPr="007B3EA8">
        <w:rPr>
          <w:lang w:val="fr-CA"/>
        </w:rPr>
        <w:lastRenderedPageBreak/>
        <w:t xml:space="preserve">de permis qui ne peuvent renoncer à des biens, il y a un conflit inévitable entre la loi fédérale et la loi provinciale. La loi albertaine régissant l’industrie pétrolière et gazière devrait donc être déclarée inopérante dans la mesure où elle ne reconnaît pas l’effet juridique des renonciations de GTL. </w:t>
      </w:r>
      <w:r w:rsidR="0093185F" w:rsidRPr="007B3EA8">
        <w:rPr>
          <w:lang w:val="fr-CA"/>
        </w:rPr>
        <w:t>Il y a conflit d’application lorsqu’il est impossible de respecter les deux lois</w:t>
      </w:r>
      <w:r w:rsidRPr="007B3EA8">
        <w:rPr>
          <w:lang w:val="fr-CA"/>
        </w:rPr>
        <w:t xml:space="preserve">. </w:t>
      </w:r>
      <w:r w:rsidR="0093185F" w:rsidRPr="007B3EA8">
        <w:rPr>
          <w:lang w:val="fr-CA"/>
        </w:rPr>
        <w:t xml:space="preserve">L’analyse relative au conflit d’application relève de l’interprétation des lois : la Cour doit déterminer le sens de chaque loi concurrente afin de décider s’il est possible de respecter les deux lois. Cette démarche d’interprétation s’effectue à l’intérieur du cadre directeur du fédéralisme coopératif, </w:t>
      </w:r>
      <w:r w:rsidR="001847A5" w:rsidRPr="007B3EA8">
        <w:rPr>
          <w:lang w:val="fr-CA"/>
        </w:rPr>
        <w:t>lequel fait office de simple présomption en matière d’interprétation — qui appuie, sans la supplanter, la méthode moderne d’interprétation des lois</w:t>
      </w:r>
      <w:r w:rsidRPr="007B3EA8">
        <w:rPr>
          <w:lang w:val="fr-CA"/>
        </w:rPr>
        <w:t xml:space="preserve">. </w:t>
      </w:r>
      <w:r w:rsidR="001847A5" w:rsidRPr="007B3EA8">
        <w:rPr>
          <w:lang w:val="fr-CA"/>
        </w:rPr>
        <w:t xml:space="preserve">Les tribunaux doivent </w:t>
      </w:r>
      <w:r w:rsidR="001847A5" w:rsidRPr="007B3EA8">
        <w:rPr>
          <w:lang w:val="fr-FR"/>
        </w:rPr>
        <w:t xml:space="preserve">favoriser une interprétation de la loi fédérale permettant une application concurrente des deux lois; cependant, </w:t>
      </w:r>
      <w:r w:rsidR="001847A5" w:rsidRPr="007B3EA8">
        <w:rPr>
          <w:lang w:val="fr-CA"/>
        </w:rPr>
        <w:t xml:space="preserve">lorsque </w:t>
      </w:r>
      <w:r w:rsidR="001847A5" w:rsidRPr="007B3EA8">
        <w:rPr>
          <w:lang w:val="fr-FR"/>
        </w:rPr>
        <w:t>le sens qu’il conv</w:t>
      </w:r>
      <w:r w:rsidR="00224F3A">
        <w:rPr>
          <w:lang w:val="fr-FR"/>
        </w:rPr>
        <w:t xml:space="preserve">ient de donner à la disposition </w:t>
      </w:r>
      <w:r w:rsidR="001847A5" w:rsidRPr="007B3EA8">
        <w:rPr>
          <w:lang w:val="fr-CA"/>
        </w:rPr>
        <w:t xml:space="preserve">ne peut appuyer une interprétation harmonieuse, </w:t>
      </w:r>
      <w:r w:rsidR="00224F3A">
        <w:rPr>
          <w:lang w:val="fr-CA"/>
        </w:rPr>
        <w:t>un tribunal</w:t>
      </w:r>
      <w:r w:rsidR="001847A5" w:rsidRPr="007B3EA8">
        <w:rPr>
          <w:lang w:val="fr-CA"/>
        </w:rPr>
        <w:t xml:space="preserve"> n’a pas le pouvoir de créer l’harmonie là où le Parlement n’a pas eu l’intention de le faire</w:t>
      </w:r>
      <w:r w:rsidRPr="007B3EA8">
        <w:rPr>
          <w:lang w:val="fr-CA"/>
        </w:rPr>
        <w:t>.</w:t>
      </w:r>
    </w:p>
    <w:p w:rsidR="004B0D1D" w:rsidRPr="007B3EA8" w:rsidRDefault="004B0D1D" w:rsidP="004B0D1D">
      <w:pPr>
        <w:pStyle w:val="SCCNormalDoubleSpacing"/>
        <w:spacing w:after="480"/>
        <w:rPr>
          <w:lang w:val="fr-CA"/>
        </w:rPr>
      </w:pPr>
      <w:r w:rsidRPr="007B3EA8">
        <w:rPr>
          <w:lang w:val="fr-CA"/>
        </w:rPr>
        <w:tab/>
      </w:r>
      <w:r w:rsidR="001847A5" w:rsidRPr="007B3EA8">
        <w:rPr>
          <w:lang w:val="fr-CA"/>
        </w:rPr>
        <w:t xml:space="preserve">En l’espèce, </w:t>
      </w:r>
      <w:r w:rsidR="00815271" w:rsidRPr="007B3EA8">
        <w:rPr>
          <w:lang w:val="fr-CA"/>
        </w:rPr>
        <w:t>le recours au principe du fédéralisme coopératif ne doit pas donner lieu à une interprétation du par. 14.06(4)</w:t>
      </w:r>
      <w:r w:rsidR="00A61B5B" w:rsidRPr="007B3EA8">
        <w:rPr>
          <w:lang w:val="fr-CA"/>
        </w:rPr>
        <w:t xml:space="preserve"> de la </w:t>
      </w:r>
      <w:r w:rsidR="00A61B5B" w:rsidRPr="00224F3A">
        <w:rPr>
          <w:i/>
          <w:lang w:val="fr-CA"/>
        </w:rPr>
        <w:t>LFI</w:t>
      </w:r>
      <w:r w:rsidR="00815271" w:rsidRPr="007B3EA8">
        <w:rPr>
          <w:lang w:val="fr-CA"/>
        </w:rPr>
        <w:t xml:space="preserve"> qui est incompatible avec son libellé, son contexte et son objet. </w:t>
      </w:r>
      <w:r w:rsidR="00E57E84" w:rsidRPr="007B3EA8">
        <w:rPr>
          <w:lang w:val="fr-CA"/>
        </w:rPr>
        <w:t xml:space="preserve">Le </w:t>
      </w:r>
      <w:r w:rsidR="00E57E84" w:rsidRPr="007B3EA8">
        <w:rPr>
          <w:lang w:val="fr-FR"/>
        </w:rPr>
        <w:t>sens naturel qui se dégage de la simple lecture d</w:t>
      </w:r>
      <w:r w:rsidR="00F459B2" w:rsidRPr="007B3EA8">
        <w:rPr>
          <w:lang w:val="fr-FR"/>
        </w:rPr>
        <w:t>u par. </w:t>
      </w:r>
      <w:r w:rsidR="00E57E84" w:rsidRPr="007B3EA8">
        <w:rPr>
          <w:lang w:val="fr-FR"/>
        </w:rPr>
        <w:t>14.06(4) dans son ensemble</w:t>
      </w:r>
      <w:r w:rsidR="00E57E84" w:rsidRPr="007B3EA8">
        <w:rPr>
          <w:lang w:val="fr-CA"/>
        </w:rPr>
        <w:t xml:space="preserve"> est qu’il présume et incorpore un droit préexistant en common law de renoncer à des biens dans le contexte de la faillite et de l’insolvabilité. </w:t>
      </w:r>
      <w:r w:rsidR="008F7A71" w:rsidRPr="007B3EA8">
        <w:rPr>
          <w:lang w:val="fr-CA"/>
        </w:rPr>
        <w:t xml:space="preserve">Ce droit est en accord avec l’objectif fondamental poursuivi par les </w:t>
      </w:r>
      <w:r w:rsidR="007B3EA8">
        <w:rPr>
          <w:lang w:val="fr-CA"/>
        </w:rPr>
        <w:t>syndics </w:t>
      </w:r>
      <w:r w:rsidR="008F7A71" w:rsidRPr="007B3EA8">
        <w:rPr>
          <w:lang w:val="fr-CA"/>
        </w:rPr>
        <w:t>: maximiser le recouvrement au bénéfice de l’ensemble des créanciers par la réalisation des éléments de valeur de l’actif</w:t>
      </w:r>
      <w:r w:rsidRPr="007B3EA8">
        <w:rPr>
          <w:lang w:val="fr-CA"/>
        </w:rPr>
        <w:t xml:space="preserve">. </w:t>
      </w:r>
      <w:r w:rsidR="00AC5AEB" w:rsidRPr="007B3EA8">
        <w:rPr>
          <w:lang w:val="fr-CA"/>
        </w:rPr>
        <w:t>Il permet aux syndics d’administrer l’actif le plus efficacement possible et leur épargne des frais considérables d’administration qui réduiraient le recouvrement pour les créanciers</w:t>
      </w:r>
      <w:r w:rsidRPr="007B3EA8">
        <w:rPr>
          <w:lang w:val="fr-CA"/>
        </w:rPr>
        <w:t xml:space="preserve">. </w:t>
      </w:r>
      <w:r w:rsidR="00AC5AEB" w:rsidRPr="007B3EA8">
        <w:rPr>
          <w:lang w:val="fr-CA"/>
        </w:rPr>
        <w:t xml:space="preserve">Le paragraphe 14.06(4) exprime le </w:t>
      </w:r>
      <w:r w:rsidR="00AC5AEB" w:rsidRPr="007B3EA8">
        <w:rPr>
          <w:lang w:val="fr-CA"/>
        </w:rPr>
        <w:lastRenderedPageBreak/>
        <w:t>droit de renonciation en des termes qui ne comportent aucune restriction et fait ressortir que le syndic ne peut être tenu responsable quand ce droit est exercé. Le Parlement ne voulait pas rendre le droit de renoncer à un bien tributaire de l’existence d’un risque de responsabilité personnelle</w:t>
      </w:r>
      <w:r w:rsidRPr="007B3EA8">
        <w:rPr>
          <w:lang w:val="fr-CA"/>
        </w:rPr>
        <w:t>.</w:t>
      </w:r>
      <w:r w:rsidR="00AC5AEB" w:rsidRPr="007B3EA8">
        <w:rPr>
          <w:lang w:val="fr-CA"/>
        </w:rPr>
        <w:t xml:space="preserve"> Bien que le début du par. 14.06(4) parle de la responsabilité personnelle du syndic, lorsqu’on lit les termes de la disposition dans leur contexte global en suivant le sens ordinaire et </w:t>
      </w:r>
      <w:r w:rsidR="00AC5AEB" w:rsidRPr="007B3EA8">
        <w:rPr>
          <w:lang w:val="fr-CA" w:bidi="en-US"/>
        </w:rPr>
        <w:t xml:space="preserve">grammatical qui s’harmonise avec </w:t>
      </w:r>
      <w:r w:rsidR="00224F3A">
        <w:rPr>
          <w:lang w:val="fr-CA" w:bidi="en-US"/>
        </w:rPr>
        <w:t>l’économie</w:t>
      </w:r>
      <w:r w:rsidR="00AC5AEB" w:rsidRPr="007B3EA8">
        <w:rPr>
          <w:lang w:val="fr-CA" w:bidi="en-US"/>
        </w:rPr>
        <w:t xml:space="preserve"> de la loi, l’objet de la loi et l’intention du législateur, </w:t>
      </w:r>
      <w:r w:rsidR="00AC5AEB" w:rsidRPr="007B3EA8">
        <w:rPr>
          <w:lang w:val="fr-CA"/>
        </w:rPr>
        <w:t xml:space="preserve">leur sens devient apparent. </w:t>
      </w:r>
      <w:r w:rsidR="00FE7DC9" w:rsidRPr="007B3EA8">
        <w:rPr>
          <w:lang w:val="fr-CA"/>
        </w:rPr>
        <w:t xml:space="preserve">La protection contre toute responsabilité personnelle n’est pas le seul effet de l’exercice régulier de ce pouvoir. En renonçant à bon droit à certains biens, le syndic est dégagé de toute responsabilité associée aux biens faisant l’objet de la renonciation et ne peut plus vendre les biens au profit de l’actif. </w:t>
      </w:r>
      <w:r w:rsidR="00A02AFB" w:rsidRPr="007B3EA8">
        <w:rPr>
          <w:lang w:val="fr-CA"/>
        </w:rPr>
        <w:t xml:space="preserve">Le droit de renonciation permet au syndic de ne pas réaliser des biens qui ne seraient pas profitables aux créanciers de l’actif et compromettraient par le fait même son objectif de maximiser le recouvrement. </w:t>
      </w:r>
      <w:r w:rsidR="00380BFE" w:rsidRPr="007B3EA8">
        <w:rPr>
          <w:lang w:val="fr-CA"/>
        </w:rPr>
        <w:t>Cependant, le par. 14.06(4)</w:t>
      </w:r>
      <w:r w:rsidRPr="007B3EA8">
        <w:rPr>
          <w:lang w:val="fr-CA"/>
        </w:rPr>
        <w:t xml:space="preserve"> </w:t>
      </w:r>
      <w:r w:rsidR="00380BFE" w:rsidRPr="007B3EA8">
        <w:rPr>
          <w:lang w:val="fr-CA"/>
        </w:rPr>
        <w:t>ne décharge pas l’actif de ses obligations ou engagements environnementaux une fois que le syndic exerce le pouvoir de renonciation</w:t>
      </w:r>
      <w:r w:rsidRPr="007B3EA8">
        <w:rPr>
          <w:lang w:val="fr-CA"/>
        </w:rPr>
        <w:t xml:space="preserve">. </w:t>
      </w:r>
      <w:r w:rsidR="006B679F" w:rsidRPr="007B3EA8">
        <w:rPr>
          <w:lang w:val="fr-CA"/>
        </w:rPr>
        <w:t>Le bien visé par une renonciation retourne ultimement dans l’actif du failli à l’issue du processus de faillite, comme c’est le cas pour les biens non réalisés</w:t>
      </w:r>
      <w:r w:rsidRPr="007B3EA8">
        <w:rPr>
          <w:lang w:val="fr-CA"/>
        </w:rPr>
        <w:t xml:space="preserve">. </w:t>
      </w:r>
      <w:r w:rsidR="008446E5" w:rsidRPr="007B3EA8">
        <w:rPr>
          <w:lang w:val="fr-CA"/>
        </w:rPr>
        <w:t>La question de savoir si les éléments d’actif sont suffisants pour satisfaire à ces engagements à ce moment précis est une question distincte qui n’a aucun rapport avec le fait sous</w:t>
      </w:r>
      <w:r w:rsidR="008446E5" w:rsidRPr="007B3EA8">
        <w:rPr>
          <w:lang w:val="fr-CA"/>
        </w:rPr>
        <w:noBreakHyphen/>
        <w:t>jacent de la responsabilité continue</w:t>
      </w:r>
      <w:r w:rsidRPr="007B3EA8">
        <w:rPr>
          <w:lang w:val="fr-CA"/>
        </w:rPr>
        <w:t xml:space="preserve">. </w:t>
      </w:r>
    </w:p>
    <w:p w:rsidR="004B0D1D" w:rsidRPr="007B3EA8" w:rsidRDefault="004B0D1D" w:rsidP="004B0D1D">
      <w:pPr>
        <w:pStyle w:val="SCCNormalDoubleSpacing"/>
        <w:spacing w:after="480"/>
        <w:rPr>
          <w:lang w:val="fr-CA"/>
        </w:rPr>
      </w:pPr>
      <w:r w:rsidRPr="007B3EA8">
        <w:rPr>
          <w:lang w:val="fr-CA"/>
        </w:rPr>
        <w:tab/>
      </w:r>
      <w:r w:rsidR="00067922" w:rsidRPr="007B3EA8">
        <w:rPr>
          <w:lang w:val="fr-CA"/>
        </w:rPr>
        <w:t xml:space="preserve">D’après la </w:t>
      </w:r>
      <w:r w:rsidR="00067922" w:rsidRPr="007B3EA8">
        <w:rPr>
          <w:lang w:val="fr-CA" w:bidi="en-US"/>
        </w:rPr>
        <w:t xml:space="preserve">méthode prédominante et bien établie d’interprétation des lois, </w:t>
      </w:r>
      <w:r w:rsidR="00067922" w:rsidRPr="007B3EA8">
        <w:rPr>
          <w:lang w:val="fr-CA"/>
        </w:rPr>
        <w:t>les tribunaux doivent lire les dispositions législatives dans leur contexte global,</w:t>
      </w:r>
      <w:r w:rsidR="001A56B6">
        <w:rPr>
          <w:lang w:val="fr-CA"/>
        </w:rPr>
        <w:t xml:space="preserve"> comme un tout cohérent. Au paragraphe</w:t>
      </w:r>
      <w:r w:rsidR="00067922" w:rsidRPr="007B3EA8">
        <w:rPr>
          <w:lang w:val="fr-CA"/>
        </w:rPr>
        <w:t xml:space="preserve"> 14.06(4) de la </w:t>
      </w:r>
      <w:r w:rsidR="00067922" w:rsidRPr="00224F3A">
        <w:rPr>
          <w:i/>
          <w:lang w:val="fr-CA"/>
        </w:rPr>
        <w:t>LFI</w:t>
      </w:r>
      <w:r w:rsidR="00067922" w:rsidRPr="007B3EA8">
        <w:rPr>
          <w:lang w:val="fr-CA"/>
        </w:rPr>
        <w:t xml:space="preserve">, le Parlement a mentionné expressément ce pouvoir de renonciation et exposé les effets particuliers découlant de </w:t>
      </w:r>
      <w:r w:rsidR="00067922" w:rsidRPr="007B3EA8">
        <w:rPr>
          <w:lang w:val="fr-CA"/>
        </w:rPr>
        <w:lastRenderedPageBreak/>
        <w:t xml:space="preserve">son exercice </w:t>
      </w:r>
      <w:r w:rsidR="00A61B5B" w:rsidRPr="007B3EA8">
        <w:rPr>
          <w:lang w:val="fr-CA"/>
        </w:rPr>
        <w:t>approprié</w:t>
      </w:r>
      <w:r w:rsidR="00067922" w:rsidRPr="007B3EA8">
        <w:rPr>
          <w:lang w:val="fr-CA"/>
        </w:rPr>
        <w:t>. Il a incorporé ainsi à dessein à son régime législatif le pouvoir de renonciation pour en réaliser l’objectif visé. Les tribunaux doivent lire les dispositions législatives dans leur contexte global, et le Parlement est présumé rédiger les articles et paragraphes d’une loi comme un tout cohérent</w:t>
      </w:r>
      <w:r w:rsidRPr="007B3EA8">
        <w:rPr>
          <w:lang w:val="fr-CA"/>
        </w:rPr>
        <w:t xml:space="preserve">. </w:t>
      </w:r>
      <w:r w:rsidR="007E76EE" w:rsidRPr="007B3EA8">
        <w:rPr>
          <w:lang w:val="fr-CA"/>
        </w:rPr>
        <w:t>Le contexte immédiat du par. 14.06(4), plus précisément les par.</w:t>
      </w:r>
      <w:r w:rsidR="003E131F" w:rsidRPr="007B3EA8">
        <w:rPr>
          <w:lang w:val="fr-CA"/>
        </w:rPr>
        <w:t> </w:t>
      </w:r>
      <w:r w:rsidR="007E76EE" w:rsidRPr="007B3EA8">
        <w:rPr>
          <w:lang w:val="fr-CA"/>
        </w:rPr>
        <w:t xml:space="preserve">14.06(2), (5), (6) et (7), ainsi que les débats parlementaires, confirme que le droit du syndic de renoncer à des biens ne se limite pas à se prémunir contre </w:t>
      </w:r>
      <w:r w:rsidR="003E131F" w:rsidRPr="007B3EA8">
        <w:rPr>
          <w:lang w:val="fr-CA"/>
        </w:rPr>
        <w:t>une responsabilité personnelle.</w:t>
      </w:r>
    </w:p>
    <w:p w:rsidR="004B0D1D" w:rsidRPr="007B3EA8" w:rsidRDefault="004B0D1D" w:rsidP="004B0D1D">
      <w:pPr>
        <w:pStyle w:val="SCCNormalDoubleSpacing"/>
        <w:spacing w:after="480"/>
        <w:rPr>
          <w:lang w:val="fr-CA"/>
        </w:rPr>
      </w:pPr>
      <w:r w:rsidRPr="007B3EA8">
        <w:rPr>
          <w:lang w:val="fr-CA"/>
        </w:rPr>
        <w:tab/>
      </w:r>
      <w:r w:rsidR="00577CCD" w:rsidRPr="007B3EA8">
        <w:rPr>
          <w:lang w:val="fr-CA"/>
        </w:rPr>
        <w:t xml:space="preserve">Le pouvoir de renoncer à des biens que confère aux syndics le par. 14.06(4) de la </w:t>
      </w:r>
      <w:r w:rsidR="00577CCD" w:rsidRPr="00224F3A">
        <w:rPr>
          <w:i/>
          <w:lang w:val="fr-CA"/>
        </w:rPr>
        <w:t>LFI</w:t>
      </w:r>
      <w:r w:rsidR="00577CCD" w:rsidRPr="007B3EA8">
        <w:rPr>
          <w:lang w:val="fr-CA"/>
        </w:rPr>
        <w:t xml:space="preserve"> pouvait être exercé par GTL à la lumière des faits de la présente affaire</w:t>
      </w:r>
      <w:r w:rsidRPr="007B3EA8">
        <w:rPr>
          <w:lang w:val="fr-CA"/>
        </w:rPr>
        <w:t xml:space="preserve">. </w:t>
      </w:r>
      <w:r w:rsidR="00F0301A" w:rsidRPr="007B3EA8">
        <w:rPr>
          <w:lang w:val="fr-CA"/>
        </w:rPr>
        <w:t>Les conditions statutaires préalables à l’exercice de ce pouvoir étaient réunies</w:t>
      </w:r>
      <w:r w:rsidR="003E131F" w:rsidRPr="007B3EA8">
        <w:rPr>
          <w:lang w:val="fr-CA"/>
        </w:rPr>
        <w:t> </w:t>
      </w:r>
      <w:r w:rsidRPr="007B3EA8">
        <w:rPr>
          <w:lang w:val="fr-CA"/>
        </w:rPr>
        <w:t xml:space="preserve">: </w:t>
      </w:r>
      <w:r w:rsidR="00F0301A" w:rsidRPr="007B3EA8">
        <w:rPr>
          <w:lang w:val="fr-CA"/>
        </w:rPr>
        <w:t xml:space="preserve">les ordonnances d’abandon se rapportent clairement à la réparation d’un fait lié à l’environnement. </w:t>
      </w:r>
      <w:r w:rsidR="00E972C9" w:rsidRPr="007B3EA8">
        <w:rPr>
          <w:lang w:val="fr-CA"/>
        </w:rPr>
        <w:t xml:space="preserve">En outre, le droit de renonciation s’applique dans le contexte du régime législatif régissant l’industrie pétrolière et gazière. </w:t>
      </w:r>
      <w:r w:rsidR="00042104" w:rsidRPr="007B3EA8">
        <w:rPr>
          <w:lang w:val="fr-CA"/>
        </w:rPr>
        <w:t xml:space="preserve">En décidant des intérêts </w:t>
      </w:r>
      <w:r w:rsidR="00F459B2" w:rsidRPr="007B3EA8">
        <w:rPr>
          <w:lang w:val="fr-CA"/>
        </w:rPr>
        <w:t>a</w:t>
      </w:r>
      <w:r w:rsidR="00042104" w:rsidRPr="007B3EA8">
        <w:rPr>
          <w:lang w:val="fr-CA"/>
        </w:rPr>
        <w:t>uxquels peut renoncer un syndic en vertu du par. 14.06(4), le Parlement a utilisé des mots exceptionnellement larges : il est permis au syndic de renoncer à « tout intérêt » sur « le bien réel »</w:t>
      </w:r>
      <w:r w:rsidRPr="007B3EA8">
        <w:rPr>
          <w:lang w:val="fr-CA"/>
        </w:rPr>
        <w:t xml:space="preserve">. GTL </w:t>
      </w:r>
      <w:r w:rsidR="0055281A" w:rsidRPr="007B3EA8">
        <w:rPr>
          <w:lang w:val="fr-CA"/>
        </w:rPr>
        <w:t>a tenté de renoncer aux profits à prendre et aux droits de surface, qui peuvent être qualifiés d’intérêts sur des biens réels</w:t>
      </w:r>
      <w:r w:rsidRPr="007B3EA8">
        <w:rPr>
          <w:lang w:val="fr-CA"/>
        </w:rPr>
        <w:t xml:space="preserve">. </w:t>
      </w:r>
    </w:p>
    <w:p w:rsidR="004B0D1D" w:rsidRPr="007B3EA8" w:rsidRDefault="004B0D1D" w:rsidP="004B0D1D">
      <w:pPr>
        <w:pStyle w:val="SCCNormalDoubleSpacing"/>
        <w:spacing w:after="480"/>
        <w:rPr>
          <w:lang w:val="fr-CA"/>
        </w:rPr>
      </w:pPr>
      <w:r w:rsidRPr="007B3EA8">
        <w:rPr>
          <w:lang w:val="fr-CA"/>
        </w:rPr>
        <w:tab/>
      </w:r>
      <w:r w:rsidR="0055281A" w:rsidRPr="007B3EA8">
        <w:rPr>
          <w:lang w:val="fr-CA"/>
        </w:rPr>
        <w:t xml:space="preserve">L’exigence de l’organisme de réglementation voulant que </w:t>
      </w:r>
      <w:r w:rsidRPr="007B3EA8">
        <w:rPr>
          <w:lang w:val="fr-CA"/>
        </w:rPr>
        <w:t xml:space="preserve">GTL </w:t>
      </w:r>
      <w:r w:rsidR="00B14970" w:rsidRPr="007B3EA8">
        <w:rPr>
          <w:lang w:val="fr-CA"/>
        </w:rPr>
        <w:t xml:space="preserve">acquitte les engagements environnementaux de Redwater avant les autres dettes de l’actif contrevient au régime de priorité établi par la </w:t>
      </w:r>
      <w:r w:rsidR="00B14970" w:rsidRPr="00224F3A">
        <w:rPr>
          <w:i/>
          <w:lang w:val="fr-CA"/>
        </w:rPr>
        <w:t>LFI</w:t>
      </w:r>
      <w:r w:rsidR="00B14970" w:rsidRPr="007B3EA8">
        <w:rPr>
          <w:lang w:val="fr-CA"/>
        </w:rPr>
        <w:t>.</w:t>
      </w:r>
      <w:r w:rsidR="00F459B2" w:rsidRPr="007B3EA8">
        <w:rPr>
          <w:lang w:val="fr-CA"/>
        </w:rPr>
        <w:t xml:space="preserve"> </w:t>
      </w:r>
      <w:r w:rsidR="00B14970" w:rsidRPr="007B3EA8">
        <w:rPr>
          <w:lang w:val="fr-CA"/>
        </w:rPr>
        <w:t xml:space="preserve">Le régime provincial de délivrance de permis devrait donc être déclaré inopérant suivant le second volet du critère de la prépondérance, l’entrave à la réalisation d’un objet fédéral. Même lorsqu’il est à proprement parler possible de se conformer à la fois à la loi fédérale et à la loi </w:t>
      </w:r>
      <w:r w:rsidR="00B14970" w:rsidRPr="007B3EA8">
        <w:rPr>
          <w:lang w:val="fr-CA"/>
        </w:rPr>
        <w:lastRenderedPageBreak/>
        <w:t>provinciale, la loi ou les dispositions provinciales seront néanmoins rendues inopérantes dans la mesure où elles ont pour effet d’entraver la réalisation d’un objet valide d’une loi fédérale. L’analyse est axée sur l’effet de la loi ou de la disposition provinciale, et non sur son objet</w:t>
      </w:r>
      <w:r w:rsidRPr="007B3EA8">
        <w:rPr>
          <w:lang w:val="fr-CA"/>
        </w:rPr>
        <w:t xml:space="preserve">. </w:t>
      </w:r>
      <w:r w:rsidR="005D5FD2" w:rsidRPr="007B3EA8">
        <w:rPr>
          <w:lang w:val="fr-CA"/>
        </w:rPr>
        <w:t>En l’espèce</w:t>
      </w:r>
      <w:r w:rsidR="00A90246" w:rsidRPr="007B3EA8">
        <w:rPr>
          <w:lang w:val="fr-CA"/>
        </w:rPr>
        <w:t>,</w:t>
      </w:r>
      <w:r w:rsidR="005D5FD2" w:rsidRPr="007B3EA8">
        <w:rPr>
          <w:lang w:val="fr-CA"/>
        </w:rPr>
        <w:t xml:space="preserve"> si les réclamations environnementales que fait valoir l’organisme de réglementation (c.</w:t>
      </w:r>
      <w:r w:rsidR="005D5FD2" w:rsidRPr="007B3EA8">
        <w:rPr>
          <w:lang w:val="fr-CA"/>
        </w:rPr>
        <w:noBreakHyphen/>
        <w:t>à</w:t>
      </w:r>
      <w:r w:rsidR="005D5FD2" w:rsidRPr="007B3EA8">
        <w:rPr>
          <w:lang w:val="fr-CA"/>
        </w:rPr>
        <w:noBreakHyphen/>
        <w:t xml:space="preserve">d. les ordonnances d’abandon) sont prouvables en matière de faillite, il n’est pas autorisé à faire valoir ces réclamations en dehors du processus de faillite et avant les créanciers garantis de Redwater, car cela entraverait la réalisation de l’objet du régime de priorité fédéral. </w:t>
      </w:r>
      <w:r w:rsidRPr="007B3EA8">
        <w:rPr>
          <w:lang w:val="fr-CA"/>
        </w:rPr>
        <w:t xml:space="preserve"> </w:t>
      </w:r>
    </w:p>
    <w:p w:rsidR="004B0D1D" w:rsidRPr="007B3EA8" w:rsidRDefault="004B0D1D" w:rsidP="004B0D1D">
      <w:pPr>
        <w:pStyle w:val="SCCNormalDoubleSpacing"/>
        <w:spacing w:after="480"/>
        <w:rPr>
          <w:lang w:val="fr-CA"/>
        </w:rPr>
      </w:pPr>
      <w:r w:rsidRPr="007B3EA8">
        <w:rPr>
          <w:lang w:val="fr-CA"/>
        </w:rPr>
        <w:tab/>
      </w:r>
      <w:r w:rsidR="003E4E79" w:rsidRPr="007B3EA8">
        <w:rPr>
          <w:lang w:val="fr-CA"/>
        </w:rPr>
        <w:t xml:space="preserve">Dans </w:t>
      </w:r>
      <w:r w:rsidR="003E4E79" w:rsidRPr="007B3EA8">
        <w:rPr>
          <w:i/>
          <w:lang w:val="fr-CA"/>
        </w:rPr>
        <w:t>Abitibi</w:t>
      </w:r>
      <w:r w:rsidR="003E4E79" w:rsidRPr="007B3EA8">
        <w:rPr>
          <w:lang w:val="fr-CA"/>
        </w:rPr>
        <w:t>,</w:t>
      </w:r>
      <w:r w:rsidR="003E4E79" w:rsidRPr="007B3EA8">
        <w:rPr>
          <w:i/>
          <w:lang w:val="fr-CA"/>
        </w:rPr>
        <w:t xml:space="preserve"> </w:t>
      </w:r>
      <w:r w:rsidR="003E4E79" w:rsidRPr="007B3EA8">
        <w:rPr>
          <w:lang w:val="fr-CA"/>
        </w:rPr>
        <w:t xml:space="preserve">la Cour a établi un test à trois volets, fondé sur le libellé de la </w:t>
      </w:r>
      <w:r w:rsidR="003E4E79" w:rsidRPr="00224F3A">
        <w:rPr>
          <w:i/>
          <w:lang w:val="fr-CA"/>
        </w:rPr>
        <w:t>LFI</w:t>
      </w:r>
      <w:r w:rsidR="003E4E79" w:rsidRPr="007B3EA8">
        <w:rPr>
          <w:lang w:val="fr-CA"/>
        </w:rPr>
        <w:t>, pour déterminer si une réclamation est prouvable en matière de faillite</w:t>
      </w:r>
      <w:r w:rsidRPr="007B3EA8">
        <w:rPr>
          <w:lang w:val="fr-CA"/>
        </w:rPr>
        <w:t xml:space="preserve">. </w:t>
      </w:r>
      <w:r w:rsidR="00ED2C11" w:rsidRPr="007B3EA8">
        <w:rPr>
          <w:lang w:val="fr-CA"/>
        </w:rPr>
        <w:t xml:space="preserve">Le premier volet du test </w:t>
      </w:r>
      <w:r w:rsidR="00ED2C11" w:rsidRPr="007B3EA8">
        <w:rPr>
          <w:i/>
          <w:lang w:val="fr-CA"/>
        </w:rPr>
        <w:t xml:space="preserve">Abitibi </w:t>
      </w:r>
      <w:r w:rsidR="00ED2C11" w:rsidRPr="007B3EA8">
        <w:rPr>
          <w:lang w:val="fr-CA"/>
        </w:rPr>
        <w:t>pose la question de savoir si la</w:t>
      </w:r>
      <w:r w:rsidR="00ED2C11" w:rsidRPr="007B3EA8">
        <w:rPr>
          <w:szCs w:val="24"/>
          <w:lang w:val="fr-FR"/>
        </w:rPr>
        <w:t xml:space="preserve"> </w:t>
      </w:r>
      <w:r w:rsidR="00ED2C11" w:rsidRPr="007B3EA8">
        <w:rPr>
          <w:lang w:val="fr-FR"/>
        </w:rPr>
        <w:t xml:space="preserve">dette, l’engagement ou l’obligation en cause sont dus par une entité faillie à un </w:t>
      </w:r>
      <w:r w:rsidR="00ED2C11" w:rsidRPr="007B3EA8">
        <w:rPr>
          <w:iCs/>
          <w:lang w:val="fr-FR"/>
        </w:rPr>
        <w:t>créancier</w:t>
      </w:r>
      <w:r w:rsidRPr="007B3EA8">
        <w:rPr>
          <w:lang w:val="fr-CA"/>
        </w:rPr>
        <w:t xml:space="preserve">. </w:t>
      </w:r>
      <w:r w:rsidR="00133DB7" w:rsidRPr="007B3EA8">
        <w:rPr>
          <w:lang w:val="fr-CA"/>
        </w:rPr>
        <w:t>Le texte de cet arrêt ne laisse place à aucune ambiguïté, incertitude ou doute à cet égard</w:t>
      </w:r>
      <w:r w:rsidR="007B3EA8">
        <w:rPr>
          <w:lang w:val="fr-CA"/>
        </w:rPr>
        <w:t> </w:t>
      </w:r>
      <w:r w:rsidRPr="007B3EA8">
        <w:rPr>
          <w:lang w:val="fr-CA"/>
        </w:rPr>
        <w:t xml:space="preserve">: </w:t>
      </w:r>
      <w:r w:rsidR="00133DB7" w:rsidRPr="007B3EA8">
        <w:rPr>
          <w:lang w:val="fr-FR"/>
        </w:rPr>
        <w:t>la seule question à trancher est de savoir si l’organisme de réglementation a exercé, à l’encontre d’un débiteur, son pouvoir de faire appliquer la loi</w:t>
      </w:r>
      <w:r w:rsidRPr="007B3EA8">
        <w:rPr>
          <w:lang w:val="fr-CA"/>
        </w:rPr>
        <w:t xml:space="preserve">. </w:t>
      </w:r>
      <w:r w:rsidR="00DC3F54" w:rsidRPr="007B3EA8">
        <w:rPr>
          <w:lang w:val="fr-CA"/>
        </w:rPr>
        <w:t xml:space="preserve">La plupart </w:t>
      </w:r>
      <w:r w:rsidR="00DC3F54" w:rsidRPr="007B3EA8">
        <w:rPr>
          <w:lang w:val="fr-FR"/>
        </w:rPr>
        <w:t xml:space="preserve">des organismes de réglementation environnementaux peuvent agir à titre de créanciers, et les </w:t>
      </w:r>
      <w:r w:rsidR="00DC3F54" w:rsidRPr="007B3EA8">
        <w:rPr>
          <w:lang w:val="fr-CA"/>
        </w:rPr>
        <w:t xml:space="preserve">entités gouvernementales ne sauraient systématiquement se soustraire aux exigences en matière de priorité de la loi fédérale sur la faillite sous le couvert de l’obligation de faire respecter les devoirs publics. </w:t>
      </w:r>
      <w:r w:rsidR="0082646F" w:rsidRPr="007B3EA8">
        <w:rPr>
          <w:lang w:val="fr-CA"/>
        </w:rPr>
        <w:t>Dans la présente affaire, il est satisfait au premier volet. Il ne fait aucun doute que l’</w:t>
      </w:r>
      <w:r w:rsidR="00224F3A">
        <w:rPr>
          <w:lang w:val="fr-CA"/>
        </w:rPr>
        <w:t>organisme de réglementation</w:t>
      </w:r>
      <w:r w:rsidR="0082646F" w:rsidRPr="007B3EA8">
        <w:rPr>
          <w:lang w:val="fr-CA"/>
        </w:rPr>
        <w:t xml:space="preserve"> </w:t>
      </w:r>
      <w:r w:rsidR="0082646F" w:rsidRPr="007B3EA8">
        <w:rPr>
          <w:lang w:val="fr-FR"/>
        </w:rPr>
        <w:t>a exercé son pouvoir d’appliquer la loi à l’encontre d’une débitrice</w:t>
      </w:r>
      <w:r w:rsidR="0082646F" w:rsidRPr="007B3EA8">
        <w:rPr>
          <w:lang w:val="fr-CA"/>
        </w:rPr>
        <w:t xml:space="preserve"> lorsqu’il a rendu les ordonnances enjoignant à Redwater d’accomplir les travaux environnementaux sur les biens inexploités. Il n’est ni approprié ni nécessaire en l’espèce d’essayer de redéfinir ce volet du test </w:t>
      </w:r>
      <w:r w:rsidRPr="007B3EA8">
        <w:rPr>
          <w:i/>
          <w:lang w:val="fr-CA"/>
        </w:rPr>
        <w:t xml:space="preserve">Abitibi </w:t>
      </w:r>
      <w:r w:rsidR="0082646F" w:rsidRPr="007B3EA8">
        <w:rPr>
          <w:lang w:val="fr-CA"/>
        </w:rPr>
        <w:t>en restreignant le large sens at</w:t>
      </w:r>
      <w:r w:rsidR="003E131F" w:rsidRPr="007B3EA8">
        <w:rPr>
          <w:lang w:val="fr-CA"/>
        </w:rPr>
        <w:t>tribué par la majorité au mot « </w:t>
      </w:r>
      <w:r w:rsidR="0082646F" w:rsidRPr="007B3EA8">
        <w:rPr>
          <w:lang w:val="fr-CA"/>
        </w:rPr>
        <w:t>créancier</w:t>
      </w:r>
      <w:r w:rsidR="003E131F" w:rsidRPr="007B3EA8">
        <w:rPr>
          <w:lang w:val="fr-CA"/>
        </w:rPr>
        <w:t> </w:t>
      </w:r>
      <w:r w:rsidR="0082646F" w:rsidRPr="007B3EA8">
        <w:rPr>
          <w:lang w:val="fr-CA"/>
        </w:rPr>
        <w:t>»</w:t>
      </w:r>
      <w:r w:rsidRPr="007B3EA8">
        <w:rPr>
          <w:lang w:val="fr-CA"/>
        </w:rPr>
        <w:t xml:space="preserve">. </w:t>
      </w:r>
    </w:p>
    <w:p w:rsidR="004B0D1D" w:rsidRPr="007B3EA8" w:rsidRDefault="004B0D1D" w:rsidP="004B0D1D">
      <w:pPr>
        <w:pStyle w:val="SCCNormalDoubleSpacing"/>
        <w:spacing w:after="480"/>
        <w:rPr>
          <w:lang w:val="fr-CA"/>
        </w:rPr>
      </w:pPr>
      <w:r w:rsidRPr="007B3EA8">
        <w:rPr>
          <w:lang w:val="fr-CA"/>
        </w:rPr>
        <w:lastRenderedPageBreak/>
        <w:tab/>
      </w:r>
      <w:r w:rsidR="0082646F" w:rsidRPr="007B3EA8">
        <w:rPr>
          <w:lang w:val="fr-CA"/>
        </w:rPr>
        <w:t xml:space="preserve">Personne ne conteste qu’il est satisfait au second volet du </w:t>
      </w:r>
      <w:r w:rsidR="00D6225E" w:rsidRPr="007B3EA8">
        <w:rPr>
          <w:lang w:val="fr-CA"/>
        </w:rPr>
        <w:t>test</w:t>
      </w:r>
      <w:r w:rsidR="0082646F" w:rsidRPr="007B3EA8">
        <w:rPr>
          <w:lang w:val="fr-CA"/>
        </w:rPr>
        <w:t xml:space="preserve"> </w:t>
      </w:r>
      <w:r w:rsidR="0082646F" w:rsidRPr="007B3EA8">
        <w:rPr>
          <w:i/>
          <w:lang w:val="fr-CA"/>
        </w:rPr>
        <w:t>Abitibi</w:t>
      </w:r>
      <w:r w:rsidRPr="007B3EA8">
        <w:rPr>
          <w:lang w:val="fr-CA"/>
        </w:rPr>
        <w:t xml:space="preserve">, </w:t>
      </w:r>
      <w:r w:rsidR="0082646F" w:rsidRPr="007B3EA8">
        <w:rPr>
          <w:lang w:val="fr-CA"/>
        </w:rPr>
        <w:t xml:space="preserve">lequel exige que </w:t>
      </w:r>
      <w:r w:rsidR="0082646F" w:rsidRPr="007B3EA8">
        <w:rPr>
          <w:lang w:val="fr-FR"/>
        </w:rPr>
        <w:t>la dette, l’engagement ou l’obligation ait pris naissance</w:t>
      </w:r>
      <w:r w:rsidR="0082646F" w:rsidRPr="007B3EA8">
        <w:rPr>
          <w:i/>
          <w:iCs/>
          <w:lang w:val="fr-FR"/>
        </w:rPr>
        <w:t xml:space="preserve"> </w:t>
      </w:r>
      <w:r w:rsidR="0082646F" w:rsidRPr="007B3EA8">
        <w:rPr>
          <w:iCs/>
          <w:lang w:val="fr-FR"/>
        </w:rPr>
        <w:t xml:space="preserve">avant que le débiteur ne devienne failli. </w:t>
      </w:r>
      <w:r w:rsidR="009F3519" w:rsidRPr="007B3EA8">
        <w:rPr>
          <w:lang w:val="fr-CA"/>
        </w:rPr>
        <w:t xml:space="preserve">Le troisième volet pose la question de savoir s’il est suffisamment certain que l’organisme de réglementation exécutera les travaux et présentera une demande de remboursement. </w:t>
      </w:r>
      <w:r w:rsidR="00D6225E" w:rsidRPr="007B3EA8">
        <w:rPr>
          <w:lang w:val="fr-CA"/>
        </w:rPr>
        <w:t xml:space="preserve">En l’espèce, il est suffisamment certain que </w:t>
      </w:r>
      <w:r w:rsidR="00224F3A" w:rsidRPr="007B3EA8">
        <w:rPr>
          <w:lang w:val="fr-CA"/>
        </w:rPr>
        <w:t>l’</w:t>
      </w:r>
      <w:r w:rsidR="00224F3A">
        <w:rPr>
          <w:lang w:val="fr-CA"/>
        </w:rPr>
        <w:t>organisme de réglementation</w:t>
      </w:r>
      <w:r w:rsidR="00224F3A" w:rsidRPr="007B3EA8">
        <w:rPr>
          <w:lang w:val="fr-CA"/>
        </w:rPr>
        <w:t xml:space="preserve"> </w:t>
      </w:r>
      <w:r w:rsidR="00D6225E" w:rsidRPr="007B3EA8">
        <w:rPr>
          <w:lang w:val="fr-CA"/>
        </w:rPr>
        <w:t xml:space="preserve">ou sa délégataire, l’OWA, effectuera ultimement les travaux d’abandon et de remise en état et fera valoir une réclamation pécuniaire afin d’obtenir un remboursement. Il est donc satisfait au dernier volet du test </w:t>
      </w:r>
      <w:r w:rsidR="00D6225E" w:rsidRPr="007B3EA8">
        <w:rPr>
          <w:i/>
          <w:lang w:val="fr-CA"/>
        </w:rPr>
        <w:t>Abitibi</w:t>
      </w:r>
      <w:r w:rsidR="00D6225E" w:rsidRPr="007B3EA8">
        <w:rPr>
          <w:lang w:val="fr-CA"/>
        </w:rPr>
        <w:t xml:space="preserve">. </w:t>
      </w:r>
      <w:r w:rsidR="00611A89" w:rsidRPr="007B3EA8">
        <w:rPr>
          <w:lang w:val="fr-CA"/>
        </w:rPr>
        <w:t>Le juge en cabinet a tiré trois conclusions de fait cruciales qui appuient aisément cette conclusion</w:t>
      </w:r>
      <w:r w:rsidRPr="007B3EA8">
        <w:rPr>
          <w:lang w:val="fr-CA"/>
        </w:rPr>
        <w:t xml:space="preserve">. </w:t>
      </w:r>
      <w:r w:rsidR="00897083" w:rsidRPr="007B3EA8">
        <w:rPr>
          <w:lang w:val="fr-CA"/>
        </w:rPr>
        <w:t>Premièrement, il a conclu que GTL n’était pas en possession des biens visés par les renonciations et, de toute façon,</w:t>
      </w:r>
      <w:r w:rsidR="00224F3A">
        <w:rPr>
          <w:lang w:val="fr-CA"/>
        </w:rPr>
        <w:t xml:space="preserve"> qu’</w:t>
      </w:r>
      <w:r w:rsidR="00F436A3" w:rsidRPr="007B3EA8">
        <w:rPr>
          <w:lang w:val="fr-CA"/>
        </w:rPr>
        <w:t xml:space="preserve">il </w:t>
      </w:r>
      <w:r w:rsidR="00897083" w:rsidRPr="007B3EA8">
        <w:rPr>
          <w:lang w:val="fr-CA"/>
        </w:rPr>
        <w:t xml:space="preserve">ne peut pas exécuter de travaux sur </w:t>
      </w:r>
      <w:r w:rsidR="00975C5E" w:rsidRPr="007B3EA8">
        <w:rPr>
          <w:lang w:val="fr-CA"/>
        </w:rPr>
        <w:t>c</w:t>
      </w:r>
      <w:r w:rsidR="00897083" w:rsidRPr="007B3EA8">
        <w:rPr>
          <w:lang w:val="fr-CA"/>
        </w:rPr>
        <w:t xml:space="preserve">es biens parce que les engagements environnementaux dépassaient la valeur de l’actif même </w:t>
      </w:r>
      <w:r w:rsidR="00975C5E" w:rsidRPr="007B3EA8">
        <w:rPr>
          <w:lang w:val="fr-CA"/>
        </w:rPr>
        <w:t xml:space="preserve">et </w:t>
      </w:r>
      <w:r w:rsidRPr="007B3EA8">
        <w:rPr>
          <w:lang w:val="fr-CA"/>
        </w:rPr>
        <w:t xml:space="preserve">Redwater </w:t>
      </w:r>
      <w:r w:rsidR="00975C5E" w:rsidRPr="007B3EA8">
        <w:rPr>
          <w:lang w:val="fr-CA"/>
        </w:rPr>
        <w:t xml:space="preserve">ne comptait aucun participant en participation directe qui se chargerait d’exécuter les travaux. Il a donc conclu </w:t>
      </w:r>
      <w:r w:rsidR="002D4BD3" w:rsidRPr="007B3EA8">
        <w:rPr>
          <w:lang w:val="fr-CA"/>
        </w:rPr>
        <w:t>qu’il n’existe aucune autre partie susceptible d’être contrainte d’exécuter les travaux</w:t>
      </w:r>
      <w:r w:rsidRPr="007B3EA8">
        <w:rPr>
          <w:lang w:val="fr-CA"/>
        </w:rPr>
        <w:t xml:space="preserve">. </w:t>
      </w:r>
      <w:r w:rsidR="002D4BD3" w:rsidRPr="007B3EA8">
        <w:rPr>
          <w:lang w:val="fr-CA"/>
        </w:rPr>
        <w:t xml:space="preserve">Deuxièmement, compte tenu du fait que ni GTL ni les participants en participation directe de Redwater ne voudraient (ou ne pourraient) entreprendre ces travaux, le juge en cabinet a tiré la conclusion de fait selon laquelle l’organisme de réglementation sera en fin de compte responsable des frais d’abandon, car il a le pouvoir de tenter de recouvrer les frais d’abandon et a réellement exécuté les travaux à l’occasion. Il a aussi expressément manifesté l’intention de demander le remboursement des frais liés à l’abandon des biens faisant l’objet de la renonciation. Troisièmement, le juge en cabinet a conclu que la seule solution réaliste qui s’offre à </w:t>
      </w:r>
      <w:r w:rsidR="00224F3A" w:rsidRPr="007B3EA8">
        <w:rPr>
          <w:lang w:val="fr-CA"/>
        </w:rPr>
        <w:t>l’</w:t>
      </w:r>
      <w:r w:rsidR="00224F3A">
        <w:rPr>
          <w:lang w:val="fr-CA"/>
        </w:rPr>
        <w:t>organisme de réglementation</w:t>
      </w:r>
      <w:r w:rsidR="00224F3A" w:rsidRPr="007B3EA8">
        <w:rPr>
          <w:lang w:val="fr-CA"/>
        </w:rPr>
        <w:t xml:space="preserve"> </w:t>
      </w:r>
      <w:r w:rsidR="002D4BD3" w:rsidRPr="007B3EA8">
        <w:rPr>
          <w:lang w:val="fr-CA"/>
        </w:rPr>
        <w:t>autre que celle d’effectuer lui</w:t>
      </w:r>
      <w:r w:rsidR="002D4BD3" w:rsidRPr="007B3EA8">
        <w:rPr>
          <w:lang w:val="fr-CA"/>
        </w:rPr>
        <w:noBreakHyphen/>
        <w:t xml:space="preserve">même les travaux de décontamination était de considérer les biens faisant l’objet de la renonciation comme des puits orphelins. Il a conclu qu’en pareil cas, les dispositions </w:t>
      </w:r>
      <w:r w:rsidR="002D4BD3" w:rsidRPr="007B3EA8">
        <w:rPr>
          <w:lang w:val="fr-CA"/>
        </w:rPr>
        <w:lastRenderedPageBreak/>
        <w:t xml:space="preserve">législatives et les éléments de preuve démontrent que, si </w:t>
      </w:r>
      <w:r w:rsidR="00224F3A" w:rsidRPr="007B3EA8">
        <w:rPr>
          <w:lang w:val="fr-CA"/>
        </w:rPr>
        <w:t>l’</w:t>
      </w:r>
      <w:r w:rsidR="00224F3A">
        <w:rPr>
          <w:lang w:val="fr-CA"/>
        </w:rPr>
        <w:t>organisme de réglementation</w:t>
      </w:r>
      <w:r w:rsidR="00224F3A" w:rsidRPr="007B3EA8">
        <w:rPr>
          <w:lang w:val="fr-CA"/>
        </w:rPr>
        <w:t xml:space="preserve"> </w:t>
      </w:r>
      <w:r w:rsidR="002D4BD3" w:rsidRPr="007B3EA8">
        <w:rPr>
          <w:lang w:val="fr-CA"/>
        </w:rPr>
        <w:t xml:space="preserve">considère un puits comme orphelin, l’OWA exécutera les travaux. </w:t>
      </w:r>
      <w:r w:rsidR="00095339" w:rsidRPr="007B3EA8">
        <w:rPr>
          <w:lang w:val="fr-CA"/>
        </w:rPr>
        <w:t xml:space="preserve">À la lumière de ces conclusions de fait, le juge en cabinet a eu raison de conclure qu’il </w:t>
      </w:r>
      <w:r w:rsidR="00224F3A">
        <w:rPr>
          <w:lang w:val="fr-CA"/>
        </w:rPr>
        <w:t xml:space="preserve">était satisfait à la norme de </w:t>
      </w:r>
      <w:r w:rsidR="00095339" w:rsidRPr="007B3EA8">
        <w:rPr>
          <w:lang w:val="fr-CA"/>
        </w:rPr>
        <w:t xml:space="preserve">certitude suffisante énoncée dans </w:t>
      </w:r>
      <w:r w:rsidR="00095339" w:rsidRPr="007B3EA8">
        <w:rPr>
          <w:i/>
          <w:lang w:val="fr-CA"/>
        </w:rPr>
        <w:t>Abitibi</w:t>
      </w:r>
      <w:r w:rsidR="00095339" w:rsidRPr="007B3EA8">
        <w:rPr>
          <w:lang w:val="fr-CA"/>
        </w:rPr>
        <w:t xml:space="preserve"> parce qu’à tout le moins, </w:t>
      </w:r>
      <w:r w:rsidR="00224F3A" w:rsidRPr="007B3EA8">
        <w:rPr>
          <w:lang w:val="fr-CA"/>
        </w:rPr>
        <w:t>l’</w:t>
      </w:r>
      <w:r w:rsidR="00224F3A">
        <w:rPr>
          <w:lang w:val="fr-CA"/>
        </w:rPr>
        <w:t>organisme de réglementation</w:t>
      </w:r>
      <w:r w:rsidR="00224F3A" w:rsidRPr="007B3EA8">
        <w:rPr>
          <w:lang w:val="fr-CA"/>
        </w:rPr>
        <w:t xml:space="preserve"> </w:t>
      </w:r>
      <w:r w:rsidR="00095339" w:rsidRPr="007B3EA8">
        <w:rPr>
          <w:lang w:val="fr-CA"/>
        </w:rPr>
        <w:t>ou l’OWA mènerait à terme les travaux d’abandon.</w:t>
      </w:r>
      <w:r w:rsidR="00250AFE" w:rsidRPr="007B3EA8">
        <w:rPr>
          <w:lang w:val="fr-CA"/>
        </w:rPr>
        <w:t xml:space="preserve"> </w:t>
      </w:r>
      <w:r w:rsidRPr="007B3EA8">
        <w:rPr>
          <w:lang w:val="fr-CA"/>
        </w:rPr>
        <w:t xml:space="preserve"> </w:t>
      </w:r>
    </w:p>
    <w:p w:rsidR="004B0D1D" w:rsidRPr="007B3EA8" w:rsidRDefault="004B0D1D" w:rsidP="004B0D1D">
      <w:pPr>
        <w:pStyle w:val="SCCNormalDoubleSpacing"/>
        <w:spacing w:after="480"/>
        <w:rPr>
          <w:lang w:val="fr-CA"/>
        </w:rPr>
      </w:pPr>
      <w:r w:rsidRPr="007B3EA8">
        <w:rPr>
          <w:lang w:val="fr-CA"/>
        </w:rPr>
        <w:tab/>
      </w:r>
      <w:r w:rsidR="00250AFE" w:rsidRPr="007B3EA8">
        <w:rPr>
          <w:lang w:val="fr-CA"/>
        </w:rPr>
        <w:t>La majorité fait passer la forme avant le fond en concluant qu’il n’es</w:t>
      </w:r>
      <w:r w:rsidR="00224F3A">
        <w:rPr>
          <w:lang w:val="fr-CA"/>
        </w:rPr>
        <w:t>t pas satisfait à la norme de certitude suffisante</w:t>
      </w:r>
      <w:r w:rsidR="00250AFE" w:rsidRPr="007B3EA8">
        <w:rPr>
          <w:lang w:val="fr-CA"/>
        </w:rPr>
        <w:t xml:space="preserve"> lorsque le délégataire de l’organisme de réglementation, et non l’organisme de réglementation lui</w:t>
      </w:r>
      <w:r w:rsidR="00250AFE" w:rsidRPr="007B3EA8">
        <w:rPr>
          <w:lang w:val="fr-CA"/>
        </w:rPr>
        <w:noBreakHyphen/>
        <w:t xml:space="preserve">même, effectue les travaux. Vu les caractéristiques saillantes de l’OWA et de sa relation avec </w:t>
      </w:r>
      <w:r w:rsidR="00224F3A" w:rsidRPr="007B3EA8">
        <w:rPr>
          <w:lang w:val="fr-CA"/>
        </w:rPr>
        <w:t>l’</w:t>
      </w:r>
      <w:r w:rsidR="00224F3A">
        <w:rPr>
          <w:lang w:val="fr-CA"/>
        </w:rPr>
        <w:t>organisme de réglementation</w:t>
      </w:r>
      <w:r w:rsidR="00250AFE" w:rsidRPr="007B3EA8">
        <w:rPr>
          <w:lang w:val="fr-CA"/>
        </w:rPr>
        <w:t>, force est de constater qu’ils sont inextricablement liés</w:t>
      </w:r>
      <w:r w:rsidRPr="007B3EA8">
        <w:rPr>
          <w:lang w:val="fr-CA"/>
        </w:rPr>
        <w:t xml:space="preserve">. </w:t>
      </w:r>
      <w:r w:rsidR="00250AFE" w:rsidRPr="007B3EA8">
        <w:rPr>
          <w:lang w:val="fr-CA"/>
        </w:rPr>
        <w:t>Lorsque l’organisme de réglementation exerce le pouvoir de déclarer un bien « orphelin » que lui confère le par. 70(2) de l’</w:t>
      </w:r>
      <w:r w:rsidR="00250AFE" w:rsidRPr="007B3EA8">
        <w:rPr>
          <w:i/>
          <w:lang w:val="fr-CA"/>
        </w:rPr>
        <w:t>Oil and Gas Conservation Act</w:t>
      </w:r>
      <w:r w:rsidR="00E46BA8" w:rsidRPr="007B3EA8">
        <w:rPr>
          <w:i/>
          <w:lang w:val="fr-CA"/>
        </w:rPr>
        <w:t xml:space="preserve"> </w:t>
      </w:r>
      <w:r w:rsidR="00E46BA8" w:rsidRPr="007B3EA8">
        <w:rPr>
          <w:lang w:val="fr-CA"/>
        </w:rPr>
        <w:t>de l’Alberta</w:t>
      </w:r>
      <w:r w:rsidR="00250AFE" w:rsidRPr="007B3EA8">
        <w:rPr>
          <w:lang w:val="fr-CA"/>
        </w:rPr>
        <w:t xml:space="preserve">, il délègue effectivement l’exécution des travaux d’abandon à l’OWA. La conclusion subsidiaire de la majorité selon laquelle il n’est pas suffisamment certain que même l’OWA exécutera les travaux d’abandon </w:t>
      </w:r>
      <w:r w:rsidR="00857F46" w:rsidRPr="007B3EA8">
        <w:rPr>
          <w:lang w:val="fr-CA"/>
        </w:rPr>
        <w:t xml:space="preserve">permettrait à l’organisme de réglementation de tirer profit de manœuvres stratégiques en manipulant le moment de son intervention afin de se soustraire au régime d’insolvabilité et de dépouiller Redwater de ses biens. </w:t>
      </w:r>
      <w:r w:rsidRPr="007B3EA8">
        <w:rPr>
          <w:lang w:val="fr-CA"/>
        </w:rPr>
        <w:t xml:space="preserve"> </w:t>
      </w:r>
    </w:p>
    <w:p w:rsidR="004B0D1D" w:rsidRPr="007B3EA8" w:rsidRDefault="004B0D1D" w:rsidP="004B0D1D">
      <w:pPr>
        <w:pStyle w:val="SCCNormalDoubleSpacing"/>
        <w:spacing w:after="480"/>
        <w:rPr>
          <w:lang w:val="fr-CA"/>
        </w:rPr>
      </w:pPr>
      <w:r w:rsidRPr="007B3EA8">
        <w:rPr>
          <w:lang w:val="fr-CA"/>
        </w:rPr>
        <w:tab/>
      </w:r>
      <w:r w:rsidR="004D08D0" w:rsidRPr="007B3EA8">
        <w:rPr>
          <w:lang w:val="fr-CA"/>
        </w:rPr>
        <w:t xml:space="preserve">Comme il est suffisamment certain que </w:t>
      </w:r>
      <w:r w:rsidR="00224F3A" w:rsidRPr="007B3EA8">
        <w:rPr>
          <w:lang w:val="fr-CA"/>
        </w:rPr>
        <w:t>l’</w:t>
      </w:r>
      <w:r w:rsidR="00224F3A">
        <w:rPr>
          <w:lang w:val="fr-CA"/>
        </w:rPr>
        <w:t>organisme de réglementation</w:t>
      </w:r>
      <w:r w:rsidR="00224F3A" w:rsidRPr="007B3EA8">
        <w:rPr>
          <w:lang w:val="fr-CA"/>
        </w:rPr>
        <w:t xml:space="preserve"> </w:t>
      </w:r>
      <w:r w:rsidR="004D08D0" w:rsidRPr="007B3EA8">
        <w:rPr>
          <w:lang w:val="fr-CA"/>
        </w:rPr>
        <w:t xml:space="preserve">(ou l’OWA, sa délégataire) achèvera les travaux d’abandon et de remise en état, il est satisfait aux trois volets du test </w:t>
      </w:r>
      <w:r w:rsidR="004D08D0" w:rsidRPr="007B3EA8">
        <w:rPr>
          <w:i/>
          <w:lang w:val="fr-CA"/>
        </w:rPr>
        <w:t>Abitibi</w:t>
      </w:r>
      <w:r w:rsidR="004D08D0" w:rsidRPr="007B3EA8">
        <w:rPr>
          <w:lang w:val="fr-CA"/>
        </w:rPr>
        <w:t xml:space="preserve">. Les ordonnances d’abandon de l’organisme de réglementation constituent des « réclamations prouvables en matière de faillite ». </w:t>
      </w:r>
      <w:r w:rsidR="0085285B" w:rsidRPr="007B3EA8">
        <w:rPr>
          <w:lang w:val="fr-CA"/>
        </w:rPr>
        <w:t xml:space="preserve">Ce serait saper le régime de priorités établi par la </w:t>
      </w:r>
      <w:r w:rsidR="0085285B" w:rsidRPr="00224F3A">
        <w:rPr>
          <w:i/>
          <w:lang w:val="fr-CA"/>
        </w:rPr>
        <w:t>LFI</w:t>
      </w:r>
      <w:r w:rsidR="0085285B" w:rsidRPr="007B3EA8">
        <w:rPr>
          <w:lang w:val="fr-CA"/>
        </w:rPr>
        <w:t xml:space="preserve"> et entraver la réalisation d’un objet essentiel de la </w:t>
      </w:r>
      <w:r w:rsidR="0085285B" w:rsidRPr="00224F3A">
        <w:rPr>
          <w:i/>
          <w:lang w:val="fr-CA"/>
        </w:rPr>
        <w:t>LFI</w:t>
      </w:r>
      <w:r w:rsidR="00594C48" w:rsidRPr="007B3EA8">
        <w:rPr>
          <w:lang w:val="fr-CA"/>
        </w:rPr>
        <w:t xml:space="preserve"> </w:t>
      </w:r>
      <w:r w:rsidR="0085285B" w:rsidRPr="007B3EA8">
        <w:rPr>
          <w:lang w:val="fr-CA"/>
        </w:rPr>
        <w:t xml:space="preserve">que de permettre à l’organisme de réglementation de faire valoir ces </w:t>
      </w:r>
      <w:r w:rsidR="0085285B" w:rsidRPr="007B3EA8">
        <w:rPr>
          <w:lang w:val="fr-CA"/>
        </w:rPr>
        <w:lastRenderedPageBreak/>
        <w:t xml:space="preserve">réclamations en dehors du processus de faillite </w:t>
      </w:r>
      <w:r w:rsidR="00594C48" w:rsidRPr="007B3EA8">
        <w:rPr>
          <w:lang w:val="fr-CA"/>
        </w:rPr>
        <w:t xml:space="preserve">— </w:t>
      </w:r>
      <w:r w:rsidR="0085285B" w:rsidRPr="007B3EA8">
        <w:rPr>
          <w:lang w:val="fr-CA"/>
        </w:rPr>
        <w:t xml:space="preserve">et en priorité par rapport aux créanciers garantis de l’actif — que ce soit en obligeant GTL à exécuter ces ordonnances ou en faisant dépendre la vente des biens de valeur de Redwater </w:t>
      </w:r>
      <w:r w:rsidR="00CD71FC" w:rsidRPr="007B3EA8">
        <w:rPr>
          <w:lang w:val="fr-CA"/>
        </w:rPr>
        <w:t xml:space="preserve">de l’acquittement </w:t>
      </w:r>
      <w:r w:rsidR="0085285B" w:rsidRPr="007B3EA8">
        <w:rPr>
          <w:lang w:val="fr-CA"/>
        </w:rPr>
        <w:t xml:space="preserve">de ces obligations. </w:t>
      </w:r>
    </w:p>
    <w:p w:rsidR="004D7D95" w:rsidRPr="007B3EA8" w:rsidRDefault="004D7D95" w:rsidP="00FE589F">
      <w:pPr>
        <w:pStyle w:val="SCCNormalDoubleSpacing"/>
        <w:widowControl w:val="0"/>
        <w:spacing w:after="720" w:line="240" w:lineRule="auto"/>
        <w:rPr>
          <w:b/>
          <w:lang w:val="fr-CA"/>
        </w:rPr>
      </w:pPr>
      <w:r w:rsidRPr="007B3EA8">
        <w:rPr>
          <w:b/>
          <w:lang w:val="fr-CA"/>
        </w:rPr>
        <w:t>Jurisprudence</w:t>
      </w:r>
    </w:p>
    <w:p w:rsidR="004D7D95" w:rsidRPr="007B3EA8" w:rsidRDefault="00224F3A" w:rsidP="00FE589F">
      <w:pPr>
        <w:pStyle w:val="SCCNormalDoubleSpacing"/>
        <w:widowControl w:val="0"/>
        <w:spacing w:after="720" w:line="240" w:lineRule="auto"/>
        <w:rPr>
          <w:lang w:val="fr-CA"/>
        </w:rPr>
      </w:pPr>
      <w:r>
        <w:rPr>
          <w:lang w:val="fr-CA"/>
        </w:rPr>
        <w:t>Citée p</w:t>
      </w:r>
      <w:r w:rsidR="00AC0134" w:rsidRPr="007B3EA8">
        <w:rPr>
          <w:lang w:val="fr-CA"/>
        </w:rPr>
        <w:t>ar le juge en chef Wagner</w:t>
      </w:r>
    </w:p>
    <w:p w:rsidR="004D7D95" w:rsidRPr="007B3EA8" w:rsidRDefault="004D7D95" w:rsidP="00FE589F">
      <w:pPr>
        <w:pStyle w:val="SCCNormalDoubleSpacing"/>
        <w:widowControl w:val="0"/>
        <w:spacing w:after="480"/>
        <w:rPr>
          <w:b/>
        </w:rPr>
      </w:pPr>
      <w:r w:rsidRPr="007B3EA8">
        <w:rPr>
          <w:lang w:val="fr-CA"/>
        </w:rPr>
        <w:tab/>
      </w:r>
      <w:r w:rsidR="00867393" w:rsidRPr="007B3EA8">
        <w:rPr>
          <w:b/>
          <w:lang w:val="fr-CA"/>
        </w:rPr>
        <w:t xml:space="preserve">Arrêts appliqués : </w:t>
      </w:r>
      <w:r w:rsidR="00867393" w:rsidRPr="007B3EA8">
        <w:rPr>
          <w:i/>
          <w:lang w:val="fr-CA"/>
        </w:rPr>
        <w:t>Panamericana de Bienes y Servicios S.A. c. Northern Badger Oil &amp; Gas Ltd.</w:t>
      </w:r>
      <w:r w:rsidR="00867393" w:rsidRPr="007B3EA8">
        <w:rPr>
          <w:lang w:val="fr-CA"/>
        </w:rPr>
        <w:t xml:space="preserve">, 1991 ABCA 181, 81 Alta. L.R. (2d) 45; </w:t>
      </w:r>
      <w:r w:rsidR="00867393" w:rsidRPr="007B3EA8">
        <w:rPr>
          <w:i/>
          <w:lang w:val="fr-CA"/>
        </w:rPr>
        <w:t>Terre</w:t>
      </w:r>
      <w:r w:rsidR="00867393" w:rsidRPr="007B3EA8">
        <w:rPr>
          <w:i/>
          <w:lang w:val="fr-CA"/>
        </w:rPr>
        <w:noBreakHyphen/>
        <w:t>Neuve</w:t>
      </w:r>
      <w:r w:rsidR="00867393" w:rsidRPr="007B3EA8">
        <w:rPr>
          <w:i/>
          <w:lang w:val="fr-CA"/>
        </w:rPr>
        <w:noBreakHyphen/>
        <w:t>et</w:t>
      </w:r>
      <w:r w:rsidR="00867393" w:rsidRPr="007B3EA8">
        <w:rPr>
          <w:i/>
          <w:lang w:val="fr-CA"/>
        </w:rPr>
        <w:noBreakHyphen/>
        <w:t>Labrador c. AbitibiBowater Inc.</w:t>
      </w:r>
      <w:r w:rsidR="00867393" w:rsidRPr="007B3EA8">
        <w:rPr>
          <w:lang w:val="fr-CA"/>
        </w:rPr>
        <w:t xml:space="preserve">, 2012 CSC 67, [2012] 3 R.C.S. 443; </w:t>
      </w:r>
      <w:r w:rsidR="00867393" w:rsidRPr="007B3EA8">
        <w:rPr>
          <w:b/>
          <w:lang w:val="fr-CA"/>
        </w:rPr>
        <w:t>arrêts approuvés :</w:t>
      </w:r>
      <w:r w:rsidR="00867393" w:rsidRPr="007B3EA8">
        <w:rPr>
          <w:lang w:val="fr-CA"/>
        </w:rPr>
        <w:t xml:space="preserve"> </w:t>
      </w:r>
      <w:r w:rsidR="00867393" w:rsidRPr="007B3EA8">
        <w:rPr>
          <w:i/>
          <w:lang w:val="fr-CA"/>
        </w:rPr>
        <w:t>Nortel Networks Corp., Re</w:t>
      </w:r>
      <w:r w:rsidR="00867393" w:rsidRPr="007B3EA8">
        <w:rPr>
          <w:lang w:val="fr-CA"/>
        </w:rPr>
        <w:t xml:space="preserve">, 2013 ONCA 599, 368 D.L.R. (4th) 122; </w:t>
      </w:r>
      <w:r w:rsidR="00867393" w:rsidRPr="007B3EA8">
        <w:rPr>
          <w:i/>
          <w:lang w:val="fr-CA"/>
        </w:rPr>
        <w:t>Strathcona (County) c. Fantasy Construction Ltd. (Trustee of)</w:t>
      </w:r>
      <w:r w:rsidR="00867393" w:rsidRPr="007B3EA8">
        <w:rPr>
          <w:lang w:val="fr-CA"/>
        </w:rPr>
        <w:t xml:space="preserve">, 2005 ABQB 559, 256 D.L.R. (4th) 536; </w:t>
      </w:r>
      <w:r w:rsidR="00867393" w:rsidRPr="007B3EA8">
        <w:rPr>
          <w:b/>
          <w:lang w:val="fr-CA"/>
        </w:rPr>
        <w:t>distinction d’</w:t>
      </w:r>
      <w:r w:rsidR="00D41A77" w:rsidRPr="007B3EA8">
        <w:rPr>
          <w:b/>
          <w:lang w:val="fr-CA"/>
        </w:rPr>
        <w:t>avec</w:t>
      </w:r>
      <w:r w:rsidR="00867393" w:rsidRPr="007B3EA8">
        <w:rPr>
          <w:b/>
          <w:lang w:val="fr-CA"/>
        </w:rPr>
        <w:t xml:space="preserve"> les arrêts :</w:t>
      </w:r>
      <w:r w:rsidR="00867393" w:rsidRPr="007B3EA8">
        <w:rPr>
          <w:i/>
          <w:lang w:val="fr-CA"/>
        </w:rPr>
        <w:t xml:space="preserve"> Alberta (Procureur général) c. Moloney</w:t>
      </w:r>
      <w:r w:rsidR="00867393" w:rsidRPr="007B3EA8">
        <w:rPr>
          <w:lang w:val="fr-CA"/>
        </w:rPr>
        <w:t xml:space="preserve">, 2015 CSC 51, [2015] 3 R.C.S. 327; </w:t>
      </w:r>
      <w:r w:rsidR="00867393" w:rsidRPr="007B3EA8">
        <w:rPr>
          <w:i/>
          <w:lang w:val="fr-CA"/>
        </w:rPr>
        <w:t>Northstar Aerospace Inc., Re</w:t>
      </w:r>
      <w:r w:rsidR="00867393" w:rsidRPr="007B3EA8">
        <w:rPr>
          <w:lang w:val="fr-CA"/>
        </w:rPr>
        <w:t xml:space="preserve">, 2013 ONCA 600, 8 C.B.R. (6th) 154; </w:t>
      </w:r>
      <w:r w:rsidR="00867393" w:rsidRPr="007B3EA8">
        <w:rPr>
          <w:b/>
          <w:lang w:val="fr-CA"/>
        </w:rPr>
        <w:t>a</w:t>
      </w:r>
      <w:r w:rsidRPr="007B3EA8">
        <w:rPr>
          <w:b/>
          <w:lang w:val="fr-CA"/>
        </w:rPr>
        <w:t>rrêts mentionnés</w:t>
      </w:r>
      <w:r w:rsidR="00FE589F" w:rsidRPr="007B3EA8">
        <w:rPr>
          <w:b/>
          <w:lang w:val="fr-CA"/>
        </w:rPr>
        <w:t> :</w:t>
      </w:r>
      <w:r w:rsidRPr="007B3EA8">
        <w:rPr>
          <w:lang w:val="fr-CA"/>
        </w:rPr>
        <w:t xml:space="preserve"> </w:t>
      </w:r>
      <w:r w:rsidR="00CD3F47" w:rsidRPr="007B3EA8">
        <w:rPr>
          <w:i/>
          <w:lang w:val="fr-CA"/>
        </w:rPr>
        <w:t>Berkheiser c. Berkheiser</w:t>
      </w:r>
      <w:r w:rsidR="00CD3F47" w:rsidRPr="007B3EA8">
        <w:rPr>
          <w:lang w:val="fr-CA"/>
        </w:rPr>
        <w:t xml:space="preserve">, [1957] R.C.S. 387; </w:t>
      </w:r>
      <w:r w:rsidR="00563568" w:rsidRPr="007B3EA8">
        <w:rPr>
          <w:i/>
          <w:lang w:val="fr-CA"/>
        </w:rPr>
        <w:t>Cie pétrolière Impériale ltée c. Québec (Ministre de l’Environnement)</w:t>
      </w:r>
      <w:r w:rsidR="00563568" w:rsidRPr="007B3EA8">
        <w:rPr>
          <w:lang w:val="fr-CA"/>
        </w:rPr>
        <w:t>, 2003 CSC 58, [2003] 2 R.C.S. 624;</w:t>
      </w:r>
      <w:r w:rsidR="00A26A6A" w:rsidRPr="007B3EA8">
        <w:rPr>
          <w:lang w:val="fr-CA"/>
        </w:rPr>
        <w:t xml:space="preserve"> </w:t>
      </w:r>
      <w:r w:rsidR="00A26A6A" w:rsidRPr="007B3EA8">
        <w:rPr>
          <w:i/>
          <w:lang w:val="fr-CA"/>
        </w:rPr>
        <w:t>Peters c. Remington</w:t>
      </w:r>
      <w:r w:rsidR="00A26A6A" w:rsidRPr="007B3EA8">
        <w:rPr>
          <w:lang w:val="fr-CA"/>
        </w:rPr>
        <w:t>, 2004 ABCA 5, 49 C.B.R. (4th) 273;</w:t>
      </w:r>
      <w:r w:rsidR="002C0710" w:rsidRPr="007B3EA8">
        <w:rPr>
          <w:lang w:val="fr-CA"/>
        </w:rPr>
        <w:t xml:space="preserve"> </w:t>
      </w:r>
      <w:r w:rsidR="002C0710" w:rsidRPr="007B3EA8">
        <w:rPr>
          <w:i/>
          <w:lang w:val="fr-CA"/>
        </w:rPr>
        <w:t xml:space="preserve">Garner c. Newton </w:t>
      </w:r>
      <w:r w:rsidR="002C0710" w:rsidRPr="007B3EA8">
        <w:rPr>
          <w:lang w:val="fr-CA"/>
        </w:rPr>
        <w:t>(1916), 29 D.L.R. 276;</w:t>
      </w:r>
      <w:r w:rsidR="00CB7250" w:rsidRPr="007B3EA8">
        <w:rPr>
          <w:lang w:val="fr-CA"/>
        </w:rPr>
        <w:t xml:space="preserve"> </w:t>
      </w:r>
      <w:r w:rsidR="00A242AD" w:rsidRPr="007B3EA8">
        <w:rPr>
          <w:i/>
          <w:lang w:val="fr-CA"/>
        </w:rPr>
        <w:t>Nortel Networks Corp., Re</w:t>
      </w:r>
      <w:r w:rsidR="00A242AD" w:rsidRPr="007B3EA8">
        <w:rPr>
          <w:lang w:val="fr-CA"/>
        </w:rPr>
        <w:t>, 2012 ONSC 1213, 88 C.B.R. (5th) 111;</w:t>
      </w:r>
      <w:r w:rsidR="00471564" w:rsidRPr="007B3EA8">
        <w:rPr>
          <w:lang w:val="fr-CA"/>
        </w:rPr>
        <w:t xml:space="preserve"> </w:t>
      </w:r>
      <w:r w:rsidR="00471564" w:rsidRPr="007B3EA8">
        <w:rPr>
          <w:i/>
          <w:lang w:val="fr-CA"/>
        </w:rPr>
        <w:t>Husky Oil Operations Ltd. c. Ministre du Revenu national</w:t>
      </w:r>
      <w:r w:rsidR="00471564" w:rsidRPr="007B3EA8">
        <w:rPr>
          <w:lang w:val="fr-CA"/>
        </w:rPr>
        <w:t>, [1995] 3 R.C.S</w:t>
      </w:r>
      <w:r w:rsidR="009130DE" w:rsidRPr="007B3EA8">
        <w:rPr>
          <w:lang w:val="fr-CA"/>
        </w:rPr>
        <w:t xml:space="preserve">. 453; </w:t>
      </w:r>
      <w:r w:rsidR="00DC64EA" w:rsidRPr="007B3EA8">
        <w:rPr>
          <w:i/>
          <w:lang w:val="fr-CA"/>
        </w:rPr>
        <w:t>Saskatchewan (Procureur général) c. Lemare Lake Logging Ltd.</w:t>
      </w:r>
      <w:r w:rsidR="00DC64EA" w:rsidRPr="007B3EA8">
        <w:rPr>
          <w:lang w:val="fr-CA"/>
        </w:rPr>
        <w:t>, 2015 CSC 53, [2015] 3 R.C.S. 419;</w:t>
      </w:r>
      <w:r w:rsidR="00DC64EA">
        <w:rPr>
          <w:lang w:val="fr-CA"/>
        </w:rPr>
        <w:t xml:space="preserve"> </w:t>
      </w:r>
      <w:r w:rsidR="002C0710" w:rsidRPr="007B3EA8">
        <w:rPr>
          <w:i/>
          <w:lang w:val="fr-CA"/>
        </w:rPr>
        <w:t>Multiple Access Ltd. c. McCutcheon</w:t>
      </w:r>
      <w:r w:rsidR="002C0710" w:rsidRPr="007B3EA8">
        <w:rPr>
          <w:lang w:val="fr-CA"/>
        </w:rPr>
        <w:t xml:space="preserve">, [1982] 2 R.C.S. 161; </w:t>
      </w:r>
      <w:r w:rsidR="004168F8" w:rsidRPr="007B3EA8">
        <w:rPr>
          <w:i/>
          <w:lang w:val="fr-CA"/>
        </w:rPr>
        <w:t xml:space="preserve">Banque canadienne de l’Ouest </w:t>
      </w:r>
      <w:r w:rsidR="004168F8" w:rsidRPr="007B3EA8">
        <w:rPr>
          <w:i/>
          <w:iCs/>
          <w:lang w:val="fr-CA"/>
        </w:rPr>
        <w:t>c.</w:t>
      </w:r>
      <w:r w:rsidR="004168F8" w:rsidRPr="007B3EA8">
        <w:rPr>
          <w:i/>
          <w:lang w:val="fr-CA"/>
        </w:rPr>
        <w:t xml:space="preserve"> Alberta</w:t>
      </w:r>
      <w:r w:rsidR="004168F8" w:rsidRPr="007B3EA8">
        <w:rPr>
          <w:lang w:val="fr-CA"/>
        </w:rPr>
        <w:t>,</w:t>
      </w:r>
      <w:r w:rsidR="004B5B15" w:rsidRPr="007B3EA8">
        <w:rPr>
          <w:lang w:val="fr-CA"/>
        </w:rPr>
        <w:t xml:space="preserve"> </w:t>
      </w:r>
      <w:r w:rsidR="00AC0134" w:rsidRPr="007B3EA8">
        <w:rPr>
          <w:lang w:val="fr-CA"/>
        </w:rPr>
        <w:t xml:space="preserve">2007 CSC 22, </w:t>
      </w:r>
      <w:r w:rsidR="009909A6" w:rsidRPr="007B3EA8">
        <w:rPr>
          <w:lang w:val="fr-CA"/>
        </w:rPr>
        <w:t xml:space="preserve">[2007] </w:t>
      </w:r>
      <w:r w:rsidR="00AC0134" w:rsidRPr="007B3EA8">
        <w:rPr>
          <w:lang w:val="fr-CA"/>
        </w:rPr>
        <w:t>2 R.C.S. 3</w:t>
      </w:r>
      <w:r w:rsidR="00327029" w:rsidRPr="007B3EA8">
        <w:rPr>
          <w:lang w:val="fr-CA"/>
        </w:rPr>
        <w:t>;</w:t>
      </w:r>
      <w:r w:rsidR="00100639" w:rsidRPr="007B3EA8">
        <w:rPr>
          <w:i/>
          <w:lang w:val="fr-CA"/>
        </w:rPr>
        <w:t xml:space="preserve"> </w:t>
      </w:r>
      <w:r w:rsidR="00E37ED6" w:rsidRPr="007B3EA8">
        <w:rPr>
          <w:i/>
          <w:lang w:val="fr-CA"/>
        </w:rPr>
        <w:t xml:space="preserve">Québec (Procureur général) </w:t>
      </w:r>
      <w:r w:rsidR="00E37ED6" w:rsidRPr="007B3EA8">
        <w:rPr>
          <w:i/>
          <w:iCs/>
          <w:lang w:val="fr-CA"/>
        </w:rPr>
        <w:t>c</w:t>
      </w:r>
      <w:r w:rsidR="00E37ED6" w:rsidRPr="007B3EA8">
        <w:rPr>
          <w:i/>
          <w:lang w:val="fr-CA"/>
        </w:rPr>
        <w:t>. Canadian Owners and Pilots Association</w:t>
      </w:r>
      <w:r w:rsidR="002C0710" w:rsidRPr="007B3EA8">
        <w:rPr>
          <w:lang w:val="fr-CA"/>
        </w:rPr>
        <w:t xml:space="preserve">, 2010 </w:t>
      </w:r>
      <w:r w:rsidR="00E37ED6" w:rsidRPr="007B3EA8">
        <w:rPr>
          <w:lang w:val="fr-CA"/>
        </w:rPr>
        <w:t>CSC</w:t>
      </w:r>
      <w:r w:rsidR="002C0710" w:rsidRPr="007B3EA8">
        <w:rPr>
          <w:lang w:val="fr-CA"/>
        </w:rPr>
        <w:t xml:space="preserve"> 39, [2010] 2 </w:t>
      </w:r>
      <w:r w:rsidR="00E37ED6" w:rsidRPr="007B3EA8">
        <w:rPr>
          <w:lang w:val="fr-CA"/>
        </w:rPr>
        <w:t>R.C.S.</w:t>
      </w:r>
      <w:r w:rsidR="002C0710" w:rsidRPr="007B3EA8">
        <w:rPr>
          <w:lang w:val="fr-CA"/>
        </w:rPr>
        <w:t xml:space="preserve"> 536; </w:t>
      </w:r>
      <w:r w:rsidR="00E37ED6" w:rsidRPr="007B3EA8">
        <w:rPr>
          <w:i/>
          <w:lang w:val="fr-CA"/>
        </w:rPr>
        <w:t>So</w:t>
      </w:r>
      <w:r w:rsidR="00C33283" w:rsidRPr="007B3EA8">
        <w:rPr>
          <w:i/>
          <w:lang w:val="fr-CA"/>
        </w:rPr>
        <w:t>ciété de crédit commercial GMAC</w:t>
      </w:r>
      <w:r w:rsidR="00E37ED6" w:rsidRPr="007B3EA8">
        <w:rPr>
          <w:i/>
          <w:lang w:val="fr-CA"/>
        </w:rPr>
        <w:t xml:space="preserve"> </w:t>
      </w:r>
      <w:r w:rsidR="00E37ED6" w:rsidRPr="007B3EA8">
        <w:rPr>
          <w:lang w:val="fr-CA"/>
        </w:rPr>
        <w:t xml:space="preserve">— </w:t>
      </w:r>
      <w:r w:rsidR="00E37ED6" w:rsidRPr="007B3EA8">
        <w:rPr>
          <w:i/>
          <w:lang w:val="fr-CA"/>
        </w:rPr>
        <w:t xml:space="preserve">Canada c. </w:t>
      </w:r>
      <w:r w:rsidR="00E37ED6" w:rsidRPr="007B3EA8">
        <w:rPr>
          <w:i/>
          <w:lang w:val="fr-CA"/>
        </w:rPr>
        <w:lastRenderedPageBreak/>
        <w:t>T.C.T. Logistics Inc.</w:t>
      </w:r>
      <w:r w:rsidR="00E37ED6" w:rsidRPr="007B3EA8">
        <w:rPr>
          <w:lang w:val="fr-CA"/>
        </w:rPr>
        <w:t xml:space="preserve">, 2006 CSC 35, [2006] 2 R.C.S. 123; </w:t>
      </w:r>
      <w:r w:rsidR="00586ABE" w:rsidRPr="007B3EA8">
        <w:rPr>
          <w:i/>
          <w:lang w:val="fr-CA"/>
        </w:rPr>
        <w:t xml:space="preserve">Hypothèques Trustco Canada </w:t>
      </w:r>
      <w:r w:rsidR="00586ABE" w:rsidRPr="007B3EA8">
        <w:rPr>
          <w:i/>
          <w:iCs/>
          <w:lang w:val="fr-CA"/>
        </w:rPr>
        <w:t>c</w:t>
      </w:r>
      <w:r w:rsidR="00586ABE" w:rsidRPr="007B3EA8">
        <w:rPr>
          <w:i/>
          <w:lang w:val="fr-CA"/>
        </w:rPr>
        <w:t>. Canada</w:t>
      </w:r>
      <w:r w:rsidR="00586ABE" w:rsidRPr="007B3EA8">
        <w:rPr>
          <w:lang w:val="fr-CA"/>
        </w:rPr>
        <w:t xml:space="preserve">, 2005 CSC 54, [2005] 2 R.C.S. 601; </w:t>
      </w:r>
      <w:r w:rsidR="006C4DDD" w:rsidRPr="007B3EA8">
        <w:rPr>
          <w:i/>
          <w:lang w:val="fr-CA"/>
        </w:rPr>
        <w:t>N</w:t>
      </w:r>
      <w:r w:rsidR="002162C6" w:rsidRPr="007B3EA8">
        <w:rPr>
          <w:i/>
          <w:lang w:val="fr-CA"/>
        </w:rPr>
        <w:t>ew Skeena Forest Products Inc. c. Don Hull &amp; Sons Contracting Ltd</w:t>
      </w:r>
      <w:r w:rsidR="002162C6" w:rsidRPr="007B3EA8">
        <w:rPr>
          <w:lang w:val="fr-CA"/>
        </w:rPr>
        <w:t>., 2005 BCCA 154, 251 D.L.R. (4th) 328;</w:t>
      </w:r>
      <w:r w:rsidR="00E37ED6" w:rsidRPr="007B3EA8">
        <w:rPr>
          <w:lang w:val="fr-CA"/>
        </w:rPr>
        <w:t xml:space="preserve"> </w:t>
      </w:r>
      <w:r w:rsidR="00100639" w:rsidRPr="007B3EA8">
        <w:rPr>
          <w:i/>
          <w:lang w:val="fr-CA"/>
        </w:rPr>
        <w:t>Ocean Port Hotel Ltd. c. Colombie-Britannique (General Manager, Liquor Control and Licensing Branch)</w:t>
      </w:r>
      <w:r w:rsidR="00100639" w:rsidRPr="007B3EA8">
        <w:rPr>
          <w:lang w:val="fr-CA"/>
        </w:rPr>
        <w:t xml:space="preserve">, 2001 CSC 52, [2001] 2 R.C.S. 781; </w:t>
      </w:r>
      <w:r w:rsidR="00100639" w:rsidRPr="007B3EA8">
        <w:rPr>
          <w:i/>
          <w:lang w:val="fr-CA"/>
        </w:rPr>
        <w:t xml:space="preserve">M. </w:t>
      </w:r>
      <w:r w:rsidR="00100639" w:rsidRPr="007B3EA8">
        <w:rPr>
          <w:i/>
          <w:iCs/>
          <w:lang w:val="fr-CA"/>
        </w:rPr>
        <w:t>c</w:t>
      </w:r>
      <w:r w:rsidR="00100639" w:rsidRPr="007B3EA8">
        <w:rPr>
          <w:i/>
          <w:lang w:val="fr-CA"/>
        </w:rPr>
        <w:t>. H.</w:t>
      </w:r>
      <w:r w:rsidR="00100639" w:rsidRPr="007B3EA8">
        <w:rPr>
          <w:lang w:val="fr-CA"/>
        </w:rPr>
        <w:t xml:space="preserve">, [1999] 2 R.C.S. 3; </w:t>
      </w:r>
      <w:r w:rsidR="002C74B6" w:rsidRPr="007B3EA8">
        <w:rPr>
          <w:i/>
          <w:lang w:val="fr-CA"/>
        </w:rPr>
        <w:t>R. c. Sappier</w:t>
      </w:r>
      <w:r w:rsidR="002C74B6" w:rsidRPr="007B3EA8">
        <w:rPr>
          <w:lang w:val="fr-CA"/>
        </w:rPr>
        <w:t xml:space="preserve">, 2006 CSC 54, [2006] 2 R.C.S. </w:t>
      </w:r>
      <w:r w:rsidR="003E381F" w:rsidRPr="007B3EA8">
        <w:rPr>
          <w:lang w:val="fr-CA"/>
        </w:rPr>
        <w:t>686</w:t>
      </w:r>
      <w:r w:rsidR="002C74B6" w:rsidRPr="007B3EA8">
        <w:rPr>
          <w:lang w:val="fr-CA"/>
        </w:rPr>
        <w:t xml:space="preserve">; </w:t>
      </w:r>
      <w:r w:rsidR="00100639" w:rsidRPr="007B3EA8">
        <w:rPr>
          <w:i/>
          <w:lang w:val="fr-CA"/>
        </w:rPr>
        <w:t xml:space="preserve">R. </w:t>
      </w:r>
      <w:r w:rsidR="00100639" w:rsidRPr="007B3EA8">
        <w:rPr>
          <w:i/>
          <w:iCs/>
          <w:lang w:val="fr-CA"/>
        </w:rPr>
        <w:t>c.</w:t>
      </w:r>
      <w:r w:rsidR="00100639" w:rsidRPr="007B3EA8">
        <w:rPr>
          <w:i/>
          <w:lang w:val="fr-CA"/>
        </w:rPr>
        <w:t xml:space="preserve"> Elshaw</w:t>
      </w:r>
      <w:r w:rsidR="00100639" w:rsidRPr="007B3EA8">
        <w:rPr>
          <w:lang w:val="fr-CA"/>
        </w:rPr>
        <w:t xml:space="preserve">, [1991] 3 R.C.S. 24; </w:t>
      </w:r>
      <w:r w:rsidR="00DC64EA" w:rsidRPr="007B3EA8">
        <w:rPr>
          <w:i/>
          <w:lang w:val="fr-CA"/>
        </w:rPr>
        <w:t xml:space="preserve">AbitibiBowater Inc., </w:t>
      </w:r>
      <w:r w:rsidR="0061028A">
        <w:rPr>
          <w:i/>
          <w:lang w:val="fr-CA"/>
        </w:rPr>
        <w:t>Re</w:t>
      </w:r>
      <w:r w:rsidR="00DC64EA" w:rsidRPr="007B3EA8">
        <w:rPr>
          <w:lang w:val="fr-CA"/>
        </w:rPr>
        <w:t>, 2010 QCCS 1261, 68 C.B.R. (5th) 1;</w:t>
      </w:r>
      <w:r w:rsidR="00DC64EA">
        <w:rPr>
          <w:lang w:val="fr-CA"/>
        </w:rPr>
        <w:t xml:space="preserve"> </w:t>
      </w:r>
      <w:r w:rsidR="00100639" w:rsidRPr="007B3EA8">
        <w:rPr>
          <w:i/>
          <w:lang w:val="fr-CA"/>
        </w:rPr>
        <w:t xml:space="preserve">Strathcona (County) c. Fantasy Construction Ltd. </w:t>
      </w:r>
      <w:r w:rsidR="00100639" w:rsidRPr="007B3EA8">
        <w:rPr>
          <w:i/>
        </w:rPr>
        <w:t>(Trustee of)</w:t>
      </w:r>
      <w:r w:rsidR="00100639" w:rsidRPr="007B3EA8">
        <w:t xml:space="preserve">, 2005 ABQB 794, 261 D.L.R. (4th) 221; </w:t>
      </w:r>
      <w:r w:rsidR="00B15ADE" w:rsidRPr="007B3EA8">
        <w:rPr>
          <w:i/>
        </w:rPr>
        <w:t>Lamford Forest Products Ltd.</w:t>
      </w:r>
      <w:r w:rsidR="00100639" w:rsidRPr="007B3EA8">
        <w:rPr>
          <w:i/>
        </w:rPr>
        <w:t xml:space="preserve"> (Re) </w:t>
      </w:r>
      <w:r w:rsidR="00100639" w:rsidRPr="007B3EA8">
        <w:t xml:space="preserve">(1991), 86 D.L.R. (4th) 534; </w:t>
      </w:r>
      <w:r w:rsidR="007359C1" w:rsidRPr="007B3EA8">
        <w:rPr>
          <w:i/>
          <w:lang w:val="en-US"/>
        </w:rPr>
        <w:t>Daishowa</w:t>
      </w:r>
      <w:r w:rsidR="00FE589F" w:rsidRPr="007B3EA8">
        <w:rPr>
          <w:i/>
          <w:lang w:val="en-US"/>
        </w:rPr>
        <w:noBreakHyphen/>
      </w:r>
      <w:r w:rsidR="007359C1" w:rsidRPr="007B3EA8">
        <w:rPr>
          <w:i/>
          <w:lang w:val="en-US"/>
        </w:rPr>
        <w:t>Marubeni International Ltd. c. Canada,</w:t>
      </w:r>
      <w:r w:rsidR="007359C1" w:rsidRPr="007B3EA8">
        <w:rPr>
          <w:lang w:val="en-US"/>
        </w:rPr>
        <w:t xml:space="preserve"> 2013 CSC 29, [2013] 2 R.C.S. 336</w:t>
      </w:r>
      <w:r w:rsidR="00E37ED6" w:rsidRPr="007B3EA8">
        <w:rPr>
          <w:lang w:val="en-US"/>
        </w:rPr>
        <w:t xml:space="preserve">; </w:t>
      </w:r>
      <w:r w:rsidR="00A12100" w:rsidRPr="007B3EA8">
        <w:rPr>
          <w:i/>
          <w:lang w:val="en-US"/>
        </w:rPr>
        <w:t>Alberta Energy Regulator</w:t>
      </w:r>
      <w:r w:rsidR="00B639E9" w:rsidRPr="007B3EA8">
        <w:rPr>
          <w:i/>
          <w:lang w:val="en-US"/>
        </w:rPr>
        <w:t xml:space="preserve"> c. </w:t>
      </w:r>
      <w:r w:rsidR="00B639E9" w:rsidRPr="007B3EA8">
        <w:rPr>
          <w:i/>
        </w:rPr>
        <w:t>Grant Thornton L</w:t>
      </w:r>
      <w:r w:rsidR="003E381F" w:rsidRPr="007B3EA8">
        <w:rPr>
          <w:i/>
        </w:rPr>
        <w:t>imi</w:t>
      </w:r>
      <w:r w:rsidR="00B639E9" w:rsidRPr="007B3EA8">
        <w:rPr>
          <w:i/>
        </w:rPr>
        <w:t>t</w:t>
      </w:r>
      <w:r w:rsidR="003E381F" w:rsidRPr="007B3EA8">
        <w:rPr>
          <w:i/>
        </w:rPr>
        <w:t>e</w:t>
      </w:r>
      <w:r w:rsidR="00B639E9" w:rsidRPr="007B3EA8">
        <w:rPr>
          <w:i/>
        </w:rPr>
        <w:t>d</w:t>
      </w:r>
      <w:r w:rsidR="00B639E9" w:rsidRPr="007B3EA8">
        <w:t xml:space="preserve">, </w:t>
      </w:r>
      <w:r w:rsidR="00A12100" w:rsidRPr="007B3EA8">
        <w:t>2017 ABCA 278, 57 Alta. L. R. (6th) 37.</w:t>
      </w:r>
    </w:p>
    <w:p w:rsidR="0043188D" w:rsidRPr="007B3EA8" w:rsidRDefault="000B6A0C" w:rsidP="0043188D">
      <w:pPr>
        <w:pStyle w:val="SCCNormalDoubleSpacing"/>
        <w:widowControl w:val="0"/>
        <w:spacing w:after="720" w:line="240" w:lineRule="auto"/>
        <w:rPr>
          <w:lang w:val="fr-CA"/>
        </w:rPr>
      </w:pPr>
      <w:r>
        <w:rPr>
          <w:lang w:val="fr-CA"/>
        </w:rPr>
        <w:t>Citée p</w:t>
      </w:r>
      <w:r w:rsidR="0081433E" w:rsidRPr="007B3EA8">
        <w:rPr>
          <w:lang w:val="fr-CA"/>
        </w:rPr>
        <w:t>ar la juge Côté</w:t>
      </w:r>
      <w:r w:rsidR="00460688" w:rsidRPr="007B3EA8">
        <w:rPr>
          <w:lang w:val="fr-CA"/>
        </w:rPr>
        <w:t xml:space="preserve"> (dissidente)</w:t>
      </w:r>
    </w:p>
    <w:p w:rsidR="0081433E" w:rsidRPr="007B3EA8" w:rsidRDefault="007B3EA8" w:rsidP="00FE589F">
      <w:pPr>
        <w:pStyle w:val="SCCNormalDoubleSpacing"/>
        <w:widowControl w:val="0"/>
        <w:spacing w:after="480"/>
        <w:rPr>
          <w:lang w:val="fr-CA"/>
        </w:rPr>
      </w:pPr>
      <w:r>
        <w:rPr>
          <w:i/>
          <w:lang w:val="fr-CA"/>
        </w:rPr>
        <w:tab/>
      </w:r>
      <w:r w:rsidR="00170881">
        <w:rPr>
          <w:i/>
          <w:lang w:val="fr-CA"/>
        </w:rPr>
        <w:t>Terre-Neuve-et-</w:t>
      </w:r>
      <w:r w:rsidR="0043188D" w:rsidRPr="007B3EA8">
        <w:rPr>
          <w:i/>
          <w:lang w:val="fr-CA"/>
        </w:rPr>
        <w:t xml:space="preserve">Labrador </w:t>
      </w:r>
      <w:r w:rsidR="0043188D" w:rsidRPr="007B3EA8">
        <w:rPr>
          <w:i/>
          <w:iCs/>
          <w:lang w:val="fr-CA"/>
        </w:rPr>
        <w:t>c.</w:t>
      </w:r>
      <w:r w:rsidR="0043188D" w:rsidRPr="007B3EA8">
        <w:rPr>
          <w:i/>
          <w:lang w:val="fr-CA"/>
        </w:rPr>
        <w:t xml:space="preserve"> AbitibiBowater Inc., </w:t>
      </w:r>
      <w:r w:rsidR="0043188D" w:rsidRPr="007B3EA8">
        <w:rPr>
          <w:lang w:val="fr-CA"/>
        </w:rPr>
        <w:t xml:space="preserve">2012 CSC 67, [2012] 3 R.C.S. 443; </w:t>
      </w:r>
      <w:r w:rsidR="0043188D" w:rsidRPr="007B3EA8">
        <w:rPr>
          <w:i/>
          <w:lang w:val="fr-CA"/>
        </w:rPr>
        <w:t xml:space="preserve">Alberta (Procureur général) </w:t>
      </w:r>
      <w:r w:rsidR="0043188D" w:rsidRPr="007B3EA8">
        <w:rPr>
          <w:i/>
          <w:iCs/>
          <w:lang w:val="fr-CA"/>
        </w:rPr>
        <w:t>c.</w:t>
      </w:r>
      <w:r w:rsidR="0043188D" w:rsidRPr="007B3EA8">
        <w:rPr>
          <w:i/>
          <w:lang w:val="fr-CA"/>
        </w:rPr>
        <w:t xml:space="preserve"> Moloney, </w:t>
      </w:r>
      <w:r w:rsidR="0043188D" w:rsidRPr="007B3EA8">
        <w:rPr>
          <w:lang w:val="fr-CA"/>
        </w:rPr>
        <w:t xml:space="preserve">2015 CSC 51, [2015] 3 R.C.S. 327; </w:t>
      </w:r>
      <w:r w:rsidR="0043188D" w:rsidRPr="007B3EA8">
        <w:rPr>
          <w:i/>
          <w:lang w:val="fr-CA"/>
        </w:rPr>
        <w:t>Husky Oil Operations Ltd. c. Ministre du Revenu national</w:t>
      </w:r>
      <w:r w:rsidR="0043188D" w:rsidRPr="007B3EA8">
        <w:rPr>
          <w:lang w:val="fr-CA"/>
        </w:rPr>
        <w:t xml:space="preserve">, [1995] 3 R.C.S. 453; </w:t>
      </w:r>
      <w:r w:rsidR="0043188D" w:rsidRPr="007B3EA8">
        <w:rPr>
          <w:i/>
          <w:lang w:val="fr-CA"/>
        </w:rPr>
        <w:t xml:space="preserve">Saskatchewan (Procureur général) </w:t>
      </w:r>
      <w:r w:rsidR="0043188D" w:rsidRPr="007B3EA8">
        <w:rPr>
          <w:i/>
          <w:iCs/>
          <w:lang w:val="fr-CA"/>
        </w:rPr>
        <w:t>c.</w:t>
      </w:r>
      <w:r w:rsidR="0043188D" w:rsidRPr="007B3EA8">
        <w:rPr>
          <w:i/>
          <w:lang w:val="fr-CA"/>
        </w:rPr>
        <w:t xml:space="preserve"> Lemare Lake Logging Ltd.</w:t>
      </w:r>
      <w:r w:rsidR="0043188D" w:rsidRPr="007B3EA8">
        <w:rPr>
          <w:lang w:val="fr-CA"/>
        </w:rPr>
        <w:t>,</w:t>
      </w:r>
      <w:r w:rsidR="0043188D" w:rsidRPr="007B3EA8">
        <w:rPr>
          <w:i/>
          <w:lang w:val="fr-CA"/>
        </w:rPr>
        <w:t xml:space="preserve"> </w:t>
      </w:r>
      <w:r w:rsidR="0043188D" w:rsidRPr="007B3EA8">
        <w:rPr>
          <w:lang w:val="fr-CA"/>
        </w:rPr>
        <w:t xml:space="preserve">2015 CSC 53, [2015] 3 R.C.S. 419; </w:t>
      </w:r>
      <w:r w:rsidR="0043188D" w:rsidRPr="007B3EA8">
        <w:rPr>
          <w:i/>
          <w:lang w:val="fr-CA"/>
        </w:rPr>
        <w:t xml:space="preserve">Banque canadienne de l’Ouest </w:t>
      </w:r>
      <w:r w:rsidR="0043188D" w:rsidRPr="007B3EA8">
        <w:rPr>
          <w:i/>
          <w:iCs/>
          <w:lang w:val="fr-CA"/>
        </w:rPr>
        <w:t>c.</w:t>
      </w:r>
      <w:r w:rsidR="0043188D" w:rsidRPr="007B3EA8">
        <w:rPr>
          <w:i/>
          <w:lang w:val="fr-CA"/>
        </w:rPr>
        <w:t xml:space="preserve"> Alberta</w:t>
      </w:r>
      <w:r w:rsidR="0043188D" w:rsidRPr="007B3EA8">
        <w:rPr>
          <w:lang w:val="fr-CA"/>
        </w:rPr>
        <w:t xml:space="preserve">, 2007 CSC 22, [2007] 2 R.C.S. 3; </w:t>
      </w:r>
      <w:r w:rsidR="0043188D" w:rsidRPr="007B3EA8">
        <w:rPr>
          <w:i/>
          <w:lang w:val="fr-CA"/>
        </w:rPr>
        <w:t>Multiple Access Ltd. c. McCutcheon</w:t>
      </w:r>
      <w:r w:rsidR="0043188D" w:rsidRPr="007B3EA8">
        <w:rPr>
          <w:lang w:val="fr-CA"/>
        </w:rPr>
        <w:t xml:space="preserve">, [1982] 2 R.C.S. 161; </w:t>
      </w:r>
      <w:r w:rsidR="0043188D" w:rsidRPr="007B3EA8">
        <w:rPr>
          <w:i/>
          <w:lang w:val="fr-CA" w:bidi="en-US"/>
        </w:rPr>
        <w:t>Renvoi relatif à la réglementation pancanadienne des valeurs mobilières</w:t>
      </w:r>
      <w:r w:rsidR="0043188D" w:rsidRPr="007B3EA8">
        <w:rPr>
          <w:lang w:val="fr-CA" w:bidi="en-US"/>
        </w:rPr>
        <w:t>, 2018 CSC 48</w:t>
      </w:r>
      <w:r w:rsidR="0061028A">
        <w:rPr>
          <w:lang w:val="fr-CA" w:bidi="en-US"/>
        </w:rPr>
        <w:t>, [2018] 3 S.C.R. 189</w:t>
      </w:r>
      <w:r w:rsidR="0043188D" w:rsidRPr="007B3EA8">
        <w:rPr>
          <w:lang w:val="fr-CA" w:bidi="en-US"/>
        </w:rPr>
        <w:t xml:space="preserve">; </w:t>
      </w:r>
      <w:r w:rsidR="0043188D" w:rsidRPr="007B3EA8">
        <w:rPr>
          <w:i/>
          <w:lang w:val="fr-CA" w:bidi="en-US"/>
        </w:rPr>
        <w:t>Lignes aériennes Canadien Pacifique Ltée c. Assoc. Canadienne des pilotes de lignes aériennes</w:t>
      </w:r>
      <w:r w:rsidR="0043188D" w:rsidRPr="007B3EA8">
        <w:rPr>
          <w:lang w:val="fr-CA" w:bidi="en-US"/>
        </w:rPr>
        <w:t xml:space="preserve">, [1993] 3 R.C.S. 724; </w:t>
      </w:r>
      <w:r w:rsidR="0043188D" w:rsidRPr="007B3EA8">
        <w:rPr>
          <w:i/>
          <w:lang w:val="fr-CA" w:bidi="en-US"/>
        </w:rPr>
        <w:t xml:space="preserve">New Skeena Forest Products Inc. </w:t>
      </w:r>
      <w:r w:rsidR="00EE0D3C">
        <w:rPr>
          <w:i/>
          <w:lang w:val="fr-CA"/>
        </w:rPr>
        <w:t>c</w:t>
      </w:r>
      <w:r w:rsidR="0043188D" w:rsidRPr="007B3EA8">
        <w:rPr>
          <w:i/>
          <w:lang w:val="fr-CA"/>
        </w:rPr>
        <w:t>. Don Hull &amp; Sons Contracting Ltd.</w:t>
      </w:r>
      <w:r w:rsidR="0043188D" w:rsidRPr="007B3EA8">
        <w:rPr>
          <w:lang w:val="fr-CA" w:bidi="en-US"/>
        </w:rPr>
        <w:t xml:space="preserve">, 2005 BCCA 154, 251 D.L.R. (4th) 328; </w:t>
      </w:r>
      <w:r w:rsidR="0043188D" w:rsidRPr="007B3EA8">
        <w:rPr>
          <w:i/>
          <w:lang w:val="fr-CA" w:bidi="en-US"/>
        </w:rPr>
        <w:t>Re Thompson Knitting Co., Ltd.</w:t>
      </w:r>
      <w:r w:rsidR="0043188D" w:rsidRPr="007B3EA8">
        <w:rPr>
          <w:lang w:val="fr-CA" w:bidi="en-US"/>
        </w:rPr>
        <w:t xml:space="preserve">, [1925] 2 D.L.R. 1007; </w:t>
      </w:r>
      <w:r w:rsidR="0043188D" w:rsidRPr="007B3EA8">
        <w:rPr>
          <w:i/>
          <w:lang w:val="fr-CA" w:bidi="en-US"/>
        </w:rPr>
        <w:t>Bell ExpressVu Limited Partnership c. Rex</w:t>
      </w:r>
      <w:r w:rsidR="0043188D" w:rsidRPr="007B3EA8">
        <w:rPr>
          <w:lang w:val="fr-CA" w:bidi="en-US"/>
        </w:rPr>
        <w:t xml:space="preserve">, </w:t>
      </w:r>
      <w:r w:rsidR="0043188D" w:rsidRPr="007B3EA8">
        <w:rPr>
          <w:lang w:val="fr-CA" w:bidi="en-US"/>
        </w:rPr>
        <w:lastRenderedPageBreak/>
        <w:t xml:space="preserve">2002 CSC 42, [2002] 2 R.C.S. 559; </w:t>
      </w:r>
      <w:r w:rsidR="0043188D" w:rsidRPr="007B3EA8">
        <w:rPr>
          <w:i/>
          <w:lang w:val="fr-CA" w:bidi="en-US"/>
        </w:rPr>
        <w:t xml:space="preserve">Procureur </w:t>
      </w:r>
      <w:r w:rsidR="0043188D" w:rsidRPr="007B3EA8">
        <w:rPr>
          <w:i/>
          <w:iCs/>
          <w:lang w:val="fr-FR" w:bidi="en-US"/>
        </w:rPr>
        <w:t>général du Québec c. Carrières Ste</w:t>
      </w:r>
      <w:r w:rsidR="0043188D" w:rsidRPr="007B3EA8">
        <w:rPr>
          <w:i/>
          <w:iCs/>
          <w:lang w:val="fr-FR" w:bidi="en-US"/>
        </w:rPr>
        <w:noBreakHyphen/>
        <w:t>Thérèse Ltée</w:t>
      </w:r>
      <w:r w:rsidR="0043188D" w:rsidRPr="007B3EA8">
        <w:rPr>
          <w:lang w:val="fr-FR" w:bidi="en-US"/>
        </w:rPr>
        <w:t xml:space="preserve">, [1985] 1 R.C.S. 831; </w:t>
      </w:r>
      <w:r w:rsidR="0043188D" w:rsidRPr="007B3EA8">
        <w:rPr>
          <w:i/>
          <w:lang w:val="fr-CA" w:bidi="en-US"/>
        </w:rPr>
        <w:t xml:space="preserve">Mitchell </w:t>
      </w:r>
      <w:r w:rsidR="00EE0D3C">
        <w:rPr>
          <w:i/>
          <w:lang w:val="fr-CA" w:bidi="en-US"/>
        </w:rPr>
        <w:t>c</w:t>
      </w:r>
      <w:r w:rsidR="0043188D" w:rsidRPr="007B3EA8">
        <w:rPr>
          <w:i/>
          <w:lang w:val="fr-CA" w:bidi="en-US"/>
        </w:rPr>
        <w:t>. Bande indienne Peguis</w:t>
      </w:r>
      <w:r w:rsidR="0043188D" w:rsidRPr="007B3EA8">
        <w:rPr>
          <w:lang w:val="fr-CA" w:bidi="en-US"/>
        </w:rPr>
        <w:t xml:space="preserve">, [1990] 2 R.C.S. 85; </w:t>
      </w:r>
      <w:r w:rsidR="0043188D" w:rsidRPr="007B3EA8">
        <w:rPr>
          <w:i/>
          <w:lang w:val="fr-CA" w:bidi="en-US"/>
        </w:rPr>
        <w:t xml:space="preserve">Société de crédit commercial </w:t>
      </w:r>
      <w:r w:rsidR="0043188D" w:rsidRPr="007B3EA8">
        <w:rPr>
          <w:i/>
          <w:lang w:val="fr-CA"/>
        </w:rPr>
        <w:t>GMAC — Canada </w:t>
      </w:r>
      <w:r w:rsidR="0043188D" w:rsidRPr="007B3EA8">
        <w:rPr>
          <w:i/>
          <w:iCs/>
          <w:lang w:val="fr-CA"/>
        </w:rPr>
        <w:t>c.</w:t>
      </w:r>
      <w:r w:rsidR="0043188D" w:rsidRPr="007B3EA8">
        <w:rPr>
          <w:i/>
          <w:lang w:val="fr-CA"/>
        </w:rPr>
        <w:t> T.C.T. Logistics Inc.</w:t>
      </w:r>
      <w:r w:rsidR="0043188D" w:rsidRPr="007B3EA8">
        <w:rPr>
          <w:lang w:val="fr-CA"/>
        </w:rPr>
        <w:t xml:space="preserve">, 2006 CSC 35, [2006] 2 R.C.S. 123; </w:t>
      </w:r>
      <w:r w:rsidR="0043188D" w:rsidRPr="007B3EA8">
        <w:rPr>
          <w:i/>
          <w:lang w:val="fr-CA" w:bidi="en-US"/>
        </w:rPr>
        <w:t xml:space="preserve">Rizzo &amp; Rizzo Shoes Ltd. </w:t>
      </w:r>
      <w:r w:rsidR="0043188D" w:rsidRPr="00EE0D3C">
        <w:rPr>
          <w:i/>
          <w:lang w:val="fr-CA" w:bidi="en-US"/>
        </w:rPr>
        <w:t>(Re)</w:t>
      </w:r>
      <w:r w:rsidR="0043188D" w:rsidRPr="00EE0D3C">
        <w:rPr>
          <w:lang w:val="fr-CA" w:bidi="en-US"/>
        </w:rPr>
        <w:t xml:space="preserve">, [1998] 1 R.C.S. 27; </w:t>
      </w:r>
      <w:r w:rsidR="0043188D" w:rsidRPr="00EE0D3C">
        <w:rPr>
          <w:i/>
          <w:lang w:val="fr-CA"/>
        </w:rPr>
        <w:t>Panamericana de Bienes y Servicios S.A. c. Northern Badger Oil &amp; Gas Ltd.</w:t>
      </w:r>
      <w:r w:rsidR="0043188D" w:rsidRPr="00EE0D3C">
        <w:rPr>
          <w:lang w:val="fr-CA"/>
        </w:rPr>
        <w:t xml:space="preserve">, 1991 ABCA 181, </w:t>
      </w:r>
      <w:r w:rsidR="0043188D" w:rsidRPr="00EE0D3C">
        <w:rPr>
          <w:lang w:val="fr-CA" w:bidi="en-US"/>
        </w:rPr>
        <w:t>81 D.L.R. (4th) 280</w:t>
      </w:r>
      <w:r w:rsidR="0043188D" w:rsidRPr="00EE0D3C">
        <w:rPr>
          <w:lang w:val="fr-CA"/>
        </w:rPr>
        <w:t xml:space="preserve">; </w:t>
      </w:r>
      <w:r w:rsidR="0043188D" w:rsidRPr="00EE0D3C">
        <w:rPr>
          <w:i/>
          <w:lang w:val="fr-CA" w:bidi="en-US"/>
        </w:rPr>
        <w:t>Canada (Procureur général) </w:t>
      </w:r>
      <w:r w:rsidR="0043188D" w:rsidRPr="00EE0D3C">
        <w:rPr>
          <w:i/>
          <w:iCs/>
          <w:lang w:val="fr-CA" w:bidi="en-US"/>
        </w:rPr>
        <w:t>c.</w:t>
      </w:r>
      <w:r w:rsidR="0043188D" w:rsidRPr="00EE0D3C">
        <w:rPr>
          <w:i/>
          <w:lang w:val="fr-CA" w:bidi="en-US"/>
        </w:rPr>
        <w:t> JTI-Macdonald Corp.</w:t>
      </w:r>
      <w:r w:rsidR="0043188D" w:rsidRPr="00EE0D3C">
        <w:rPr>
          <w:lang w:val="fr-CA" w:bidi="en-US"/>
        </w:rPr>
        <w:t xml:space="preserve">, 2007 CSC 30, [2007] 2 R.C.S. 610; </w:t>
      </w:r>
      <w:r w:rsidR="00EE0D3C" w:rsidRPr="00EE0D3C">
        <w:rPr>
          <w:i/>
          <w:lang w:val="fr-CA" w:bidi="en-US"/>
        </w:rPr>
        <w:t>Morgentaler c</w:t>
      </w:r>
      <w:r w:rsidR="0043188D" w:rsidRPr="00EE0D3C">
        <w:rPr>
          <w:i/>
          <w:lang w:val="fr-CA" w:bidi="en-US"/>
        </w:rPr>
        <w:t xml:space="preserve">. </w:t>
      </w:r>
      <w:r w:rsidR="0043188D" w:rsidRPr="007B3EA8">
        <w:rPr>
          <w:i/>
          <w:lang w:val="fr-CA" w:bidi="en-US"/>
        </w:rPr>
        <w:t>La Reine</w:t>
      </w:r>
      <w:r w:rsidR="0043188D" w:rsidRPr="007B3EA8">
        <w:rPr>
          <w:lang w:val="fr-CA" w:bidi="en-US"/>
        </w:rPr>
        <w:t xml:space="preserve">, [1976] 1 R.C.S. 616; </w:t>
      </w:r>
      <w:r w:rsidR="0043188D" w:rsidRPr="007B3EA8">
        <w:rPr>
          <w:i/>
          <w:lang w:val="fr-CA"/>
        </w:rPr>
        <w:t xml:space="preserve">R. </w:t>
      </w:r>
      <w:r w:rsidR="0043188D" w:rsidRPr="007B3EA8">
        <w:rPr>
          <w:i/>
          <w:iCs/>
          <w:lang w:val="fr-CA"/>
        </w:rPr>
        <w:t>c.</w:t>
      </w:r>
      <w:r w:rsidR="0043188D" w:rsidRPr="007B3EA8">
        <w:rPr>
          <w:i/>
          <w:lang w:val="fr-CA"/>
        </w:rPr>
        <w:t xml:space="preserve"> L.T.H.</w:t>
      </w:r>
      <w:r w:rsidR="0043188D" w:rsidRPr="007B3EA8">
        <w:rPr>
          <w:lang w:val="fr-CA"/>
        </w:rPr>
        <w:t xml:space="preserve">, 2008 CSC 49, [2008] 2 R.C.S. 739; </w:t>
      </w:r>
      <w:r w:rsidR="0043188D" w:rsidRPr="007B3EA8">
        <w:rPr>
          <w:i/>
          <w:lang w:val="fr-CA" w:bidi="en-US"/>
        </w:rPr>
        <w:t>Banque de Montréal c. Hall</w:t>
      </w:r>
      <w:r w:rsidR="0043188D" w:rsidRPr="007B3EA8">
        <w:rPr>
          <w:lang w:val="fr-CA" w:bidi="en-US"/>
        </w:rPr>
        <w:t xml:space="preserve">, [1990] 1 R.C.S. 121; </w:t>
      </w:r>
      <w:r w:rsidR="0043188D" w:rsidRPr="007B3EA8">
        <w:rPr>
          <w:i/>
          <w:lang w:val="fr-CA" w:bidi="en-US"/>
        </w:rPr>
        <w:t>Century Services Inc</w:t>
      </w:r>
      <w:r w:rsidR="0043188D" w:rsidRPr="007B3EA8">
        <w:rPr>
          <w:bCs/>
          <w:i/>
          <w:lang w:val="fr-CA" w:bidi="en-US"/>
        </w:rPr>
        <w:t>.</w:t>
      </w:r>
      <w:r w:rsidR="0043188D" w:rsidRPr="007B3EA8">
        <w:rPr>
          <w:i/>
          <w:lang w:val="fr-CA" w:bidi="en-US"/>
        </w:rPr>
        <w:t xml:space="preserve"> </w:t>
      </w:r>
      <w:r w:rsidR="0043188D" w:rsidRPr="007B3EA8">
        <w:rPr>
          <w:i/>
          <w:iCs/>
          <w:lang w:val="fr-CA" w:bidi="en-US"/>
        </w:rPr>
        <w:t>c.</w:t>
      </w:r>
      <w:r w:rsidR="0043188D" w:rsidRPr="007B3EA8">
        <w:rPr>
          <w:b/>
          <w:bCs/>
          <w:i/>
          <w:lang w:val="fr-CA" w:bidi="en-US"/>
        </w:rPr>
        <w:t xml:space="preserve"> </w:t>
      </w:r>
      <w:r w:rsidR="0043188D" w:rsidRPr="007B3EA8">
        <w:rPr>
          <w:i/>
          <w:lang w:val="fr-CA" w:bidi="en-US"/>
        </w:rPr>
        <w:t>Canada (Procureur général)</w:t>
      </w:r>
      <w:r w:rsidR="0043188D" w:rsidRPr="007B3EA8">
        <w:rPr>
          <w:lang w:val="fr-CA" w:bidi="en-US"/>
        </w:rPr>
        <w:t>,</w:t>
      </w:r>
      <w:r w:rsidR="0043188D" w:rsidRPr="007B3EA8">
        <w:rPr>
          <w:i/>
          <w:lang w:val="fr-CA" w:bidi="en-US"/>
        </w:rPr>
        <w:t xml:space="preserve"> </w:t>
      </w:r>
      <w:r w:rsidR="0043188D" w:rsidRPr="007B3EA8">
        <w:rPr>
          <w:lang w:val="fr-CA" w:bidi="en-US"/>
        </w:rPr>
        <w:t xml:space="preserve">2010 CSC 60, [2010] 3 R.C.S. 379; </w:t>
      </w:r>
      <w:r w:rsidR="0043188D" w:rsidRPr="007B3EA8">
        <w:rPr>
          <w:i/>
          <w:lang w:val="fr-CA" w:bidi="en-US"/>
        </w:rPr>
        <w:t xml:space="preserve">Teva Canada Ltd. </w:t>
      </w:r>
      <w:r w:rsidR="00EE0D3C">
        <w:rPr>
          <w:i/>
          <w:lang w:val="fr-CA" w:bidi="en-US"/>
        </w:rPr>
        <w:t>c</w:t>
      </w:r>
      <w:r w:rsidR="0043188D" w:rsidRPr="007B3EA8">
        <w:rPr>
          <w:i/>
          <w:lang w:val="fr-CA" w:bidi="en-US"/>
        </w:rPr>
        <w:t>. TD Canada Trust</w:t>
      </w:r>
      <w:r w:rsidR="0043188D" w:rsidRPr="007B3EA8">
        <w:rPr>
          <w:lang w:val="fr-CA" w:bidi="en-US"/>
        </w:rPr>
        <w:t xml:space="preserve">, 2017 CSC 51, [2017] 2 R.C.S. 317; </w:t>
      </w:r>
      <w:r w:rsidR="0043188D" w:rsidRPr="007B3EA8">
        <w:rPr>
          <w:i/>
          <w:lang w:val="fr-CA"/>
        </w:rPr>
        <w:t>Canada</w:t>
      </w:r>
      <w:r w:rsidR="00EE0D3C">
        <w:rPr>
          <w:i/>
          <w:lang w:val="fr-CA"/>
        </w:rPr>
        <w:t xml:space="preserve"> c</w:t>
      </w:r>
      <w:r w:rsidR="0043188D" w:rsidRPr="007B3EA8">
        <w:rPr>
          <w:i/>
          <w:lang w:val="fr-CA"/>
        </w:rPr>
        <w:t>. Craig</w:t>
      </w:r>
      <w:r w:rsidR="0043188D" w:rsidRPr="007B3EA8">
        <w:rPr>
          <w:lang w:val="fr-CA"/>
        </w:rPr>
        <w:t xml:space="preserve">, 2012 CSC 43, [2012] 2 R.C.S. 489; </w:t>
      </w:r>
      <w:r w:rsidR="0043188D" w:rsidRPr="007B3EA8">
        <w:rPr>
          <w:i/>
          <w:lang w:val="fr-CA" w:bidi="en-US"/>
        </w:rPr>
        <w:t>Housen c. Nikolaisen</w:t>
      </w:r>
      <w:r w:rsidR="0043188D" w:rsidRPr="007B3EA8">
        <w:rPr>
          <w:lang w:val="fr-CA" w:bidi="en-US"/>
        </w:rPr>
        <w:t xml:space="preserve">, 2002 CSC 33, [2002] 2 R.C.S. 235; </w:t>
      </w:r>
      <w:r w:rsidR="0043188D" w:rsidRPr="007B3EA8">
        <w:rPr>
          <w:i/>
          <w:lang w:val="fr-CA"/>
        </w:rPr>
        <w:t>Nortel Networks Corp., Re</w:t>
      </w:r>
      <w:r w:rsidR="0043188D" w:rsidRPr="007B3EA8">
        <w:rPr>
          <w:lang w:val="fr-CA"/>
        </w:rPr>
        <w:t xml:space="preserve">, 2013 ONCA 599, 6 C.B.R. (6th) 159; </w:t>
      </w:r>
      <w:r w:rsidR="0043188D" w:rsidRPr="007B3EA8">
        <w:rPr>
          <w:i/>
          <w:lang w:val="fr-CA"/>
        </w:rPr>
        <w:t>Northstar Aerospace Inc</w:t>
      </w:r>
      <w:r w:rsidR="0043188D" w:rsidRPr="007B3EA8">
        <w:rPr>
          <w:lang w:val="fr-CA"/>
        </w:rPr>
        <w:t xml:space="preserve">., </w:t>
      </w:r>
      <w:r w:rsidR="0043188D" w:rsidRPr="007B3EA8">
        <w:rPr>
          <w:i/>
          <w:lang w:val="fr-CA"/>
        </w:rPr>
        <w:t>Re</w:t>
      </w:r>
      <w:r w:rsidR="0043188D" w:rsidRPr="007B3EA8">
        <w:rPr>
          <w:lang w:val="fr-CA"/>
        </w:rPr>
        <w:t>,</w:t>
      </w:r>
      <w:r w:rsidR="0043188D" w:rsidRPr="007B3EA8">
        <w:rPr>
          <w:i/>
          <w:lang w:val="fr-CA"/>
        </w:rPr>
        <w:t xml:space="preserve"> </w:t>
      </w:r>
      <w:r w:rsidR="0043188D" w:rsidRPr="007B3EA8">
        <w:rPr>
          <w:lang w:val="fr-CA"/>
        </w:rPr>
        <w:t xml:space="preserve">2013 ONCA 600, 8 C.B.R. (6th) 154; </w:t>
      </w:r>
      <w:r w:rsidR="0043188D" w:rsidRPr="007B3EA8">
        <w:rPr>
          <w:i/>
          <w:lang w:val="fr-CA" w:bidi="en-US"/>
        </w:rPr>
        <w:t>Sydco Energy Inc</w:t>
      </w:r>
      <w:r w:rsidR="00EE0D3C">
        <w:rPr>
          <w:i/>
          <w:lang w:val="fr-CA" w:bidi="en-US"/>
        </w:rPr>
        <w:t>.</w:t>
      </w:r>
      <w:r w:rsidR="0043188D" w:rsidRPr="007B3EA8">
        <w:rPr>
          <w:i/>
          <w:lang w:val="fr-CA" w:bidi="en-US"/>
        </w:rPr>
        <w:t xml:space="preserve"> (Re)</w:t>
      </w:r>
      <w:r w:rsidR="0043188D" w:rsidRPr="007B3EA8">
        <w:rPr>
          <w:lang w:val="fr-CA" w:bidi="en-US"/>
        </w:rPr>
        <w:t>, 2018 ABQB 75, 64 Alta. L.R. (6th) 156.</w:t>
      </w:r>
    </w:p>
    <w:p w:rsidR="00B96446" w:rsidRPr="007B3EA8" w:rsidRDefault="00B96446" w:rsidP="00B96446">
      <w:pPr>
        <w:pStyle w:val="SCCNormalDoubleSpacing"/>
        <w:widowControl w:val="0"/>
        <w:spacing w:after="720" w:line="240" w:lineRule="auto"/>
        <w:rPr>
          <w:b/>
          <w:lang w:val="fr-CA"/>
        </w:rPr>
      </w:pPr>
      <w:r w:rsidRPr="007B3EA8">
        <w:rPr>
          <w:b/>
          <w:lang w:val="fr-CA"/>
        </w:rPr>
        <w:t>Lois et règlements cités</w:t>
      </w:r>
    </w:p>
    <w:p w:rsidR="00B96446" w:rsidRPr="007B3EA8" w:rsidRDefault="00B96446" w:rsidP="00B96446">
      <w:pPr>
        <w:pStyle w:val="SCCNormalDoubleSpacing"/>
        <w:spacing w:after="240" w:line="240" w:lineRule="auto"/>
        <w:ind w:left="540" w:hanging="540"/>
        <w:rPr>
          <w:i/>
          <w:lang w:val="fr-CA"/>
        </w:rPr>
      </w:pPr>
      <w:r w:rsidRPr="007B3EA8">
        <w:rPr>
          <w:i/>
          <w:lang w:val="fr-CA"/>
        </w:rPr>
        <w:t>Alberta Energy Regulator Administration Fees Rules</w:t>
      </w:r>
      <w:r w:rsidRPr="007B3EA8">
        <w:rPr>
          <w:lang w:val="fr-CA"/>
        </w:rPr>
        <w:t>,</w:t>
      </w:r>
      <w:r w:rsidRPr="007B3EA8">
        <w:rPr>
          <w:i/>
          <w:lang w:val="fr-CA"/>
        </w:rPr>
        <w:t xml:space="preserve"> </w:t>
      </w:r>
      <w:r w:rsidRPr="007B3EA8">
        <w:rPr>
          <w:lang w:val="fr-CA"/>
        </w:rPr>
        <w:t>Alta. Reg. 98/2013.</w:t>
      </w:r>
    </w:p>
    <w:p w:rsidR="00B96446" w:rsidRPr="007B3EA8" w:rsidRDefault="00B96446" w:rsidP="00B96446">
      <w:pPr>
        <w:pStyle w:val="SCCNormalDoubleSpacing"/>
        <w:spacing w:after="240" w:line="240" w:lineRule="auto"/>
        <w:ind w:left="540" w:hanging="540"/>
        <w:rPr>
          <w:lang w:val="fr-CA"/>
        </w:rPr>
      </w:pPr>
      <w:r w:rsidRPr="007B3EA8">
        <w:rPr>
          <w:i/>
          <w:lang w:val="fr-CA"/>
        </w:rPr>
        <w:t>Conservation and Reclamation Regulation</w:t>
      </w:r>
      <w:r w:rsidRPr="007B3EA8">
        <w:rPr>
          <w:lang w:val="fr-CA"/>
        </w:rPr>
        <w:t>, Alta. Reg. 115/93.</w:t>
      </w:r>
    </w:p>
    <w:p w:rsidR="00B96446" w:rsidRPr="007B3EA8" w:rsidRDefault="00B96446" w:rsidP="00B96446">
      <w:pPr>
        <w:pStyle w:val="SCCNormalDoubleSpacing"/>
        <w:spacing w:after="240" w:line="240" w:lineRule="auto"/>
        <w:ind w:left="540" w:hanging="540"/>
        <w:rPr>
          <w:lang w:val="fr-CA"/>
        </w:rPr>
      </w:pPr>
      <w:r w:rsidRPr="007B3EA8">
        <w:rPr>
          <w:i/>
          <w:lang w:val="fr-CA"/>
        </w:rPr>
        <w:t>Environmental Protection and Enhancement</w:t>
      </w:r>
      <w:r>
        <w:rPr>
          <w:i/>
          <w:lang w:val="fr-CA"/>
        </w:rPr>
        <w:t xml:space="preserve"> Act</w:t>
      </w:r>
      <w:r w:rsidR="00145386">
        <w:rPr>
          <w:lang w:val="fr-CA"/>
        </w:rPr>
        <w:t>, R.S.A. 2000, c. E</w:t>
      </w:r>
      <w:r w:rsidR="00145386">
        <w:rPr>
          <w:lang w:val="fr-CA"/>
        </w:rPr>
        <w:noBreakHyphen/>
        <w:t>12, art</w:t>
      </w:r>
      <w:r w:rsidRPr="007B3EA8">
        <w:rPr>
          <w:lang w:val="fr-CA"/>
        </w:rPr>
        <w:t>. 1(ddd), 112 à 122, 134(b), 137, 140, 142(1)(a)(ii), 227 à 230, 240, 245.</w:t>
      </w:r>
    </w:p>
    <w:p w:rsidR="00B96446" w:rsidRPr="007B3EA8" w:rsidRDefault="00B96446" w:rsidP="00B96446">
      <w:pPr>
        <w:pStyle w:val="SCCNormalDoubleSpacing"/>
        <w:spacing w:after="240" w:line="240" w:lineRule="auto"/>
        <w:ind w:left="540" w:hanging="540"/>
        <w:rPr>
          <w:lang w:val="fr-CA"/>
        </w:rPr>
      </w:pPr>
      <w:r w:rsidRPr="007B3EA8">
        <w:rPr>
          <w:i/>
          <w:lang w:val="fr-CA"/>
        </w:rPr>
        <w:t>Loi constitutionnelle de 1867</w:t>
      </w:r>
      <w:r w:rsidR="00202F58">
        <w:rPr>
          <w:lang w:val="fr-CA"/>
        </w:rPr>
        <w:t>, art</w:t>
      </w:r>
      <w:r w:rsidRPr="007B3EA8">
        <w:rPr>
          <w:lang w:val="fr-CA"/>
        </w:rPr>
        <w:t>. 91(21), 92(13), 92A(1)c).</w:t>
      </w:r>
    </w:p>
    <w:p w:rsidR="00B96446" w:rsidRDefault="00B96446" w:rsidP="00B96446">
      <w:pPr>
        <w:pStyle w:val="SCCNormalDoubleSpacing"/>
        <w:spacing w:after="240" w:line="240" w:lineRule="auto"/>
        <w:ind w:left="540" w:hanging="540"/>
        <w:rPr>
          <w:lang w:val="fr-CA"/>
        </w:rPr>
      </w:pPr>
      <w:r w:rsidRPr="007B3EA8">
        <w:rPr>
          <w:i/>
          <w:lang w:val="fr-CA"/>
        </w:rPr>
        <w:t>Loi sur la faillite et l’insolvabilité</w:t>
      </w:r>
      <w:r w:rsidR="00145386">
        <w:rPr>
          <w:lang w:val="fr-CA"/>
        </w:rPr>
        <w:t>, L.R.C. 1985, c. B</w:t>
      </w:r>
      <w:r w:rsidR="00145386">
        <w:rPr>
          <w:lang w:val="fr-CA"/>
        </w:rPr>
        <w:noBreakHyphen/>
        <w:t>3, art</w:t>
      </w:r>
      <w:r w:rsidRPr="007B3EA8">
        <w:rPr>
          <w:lang w:val="fr-CA"/>
        </w:rPr>
        <w:t>. 2 « réclamation prouvable en matière de faillite ou réclamation prouvable », « créancier », 14.06,</w:t>
      </w:r>
      <w:r>
        <w:rPr>
          <w:lang w:val="fr-CA"/>
        </w:rPr>
        <w:t xml:space="preserve"> (2), (4) [mod. 1997, c. 12, s. </w:t>
      </w:r>
      <w:r w:rsidRPr="007B3EA8">
        <w:rPr>
          <w:lang w:val="fr-CA"/>
        </w:rPr>
        <w:t>15(1)], 16 à 38, 40, 69.3(1), (2), 72(1), 80, 121 à 154, 169(4), 197(3).</w:t>
      </w:r>
    </w:p>
    <w:p w:rsidR="00202F58" w:rsidRPr="007B3EA8" w:rsidRDefault="00202F58" w:rsidP="00202F58">
      <w:pPr>
        <w:pStyle w:val="SCCNormalDoubleSpacing"/>
        <w:spacing w:after="240" w:line="240" w:lineRule="auto"/>
        <w:ind w:left="540" w:hanging="540"/>
        <w:rPr>
          <w:lang w:val="fr-CA"/>
        </w:rPr>
      </w:pPr>
      <w:r w:rsidRPr="007B3EA8">
        <w:rPr>
          <w:i/>
          <w:lang w:val="fr-CA"/>
        </w:rPr>
        <w:t>Loi sur les arrangements avec les créanciers des compagnies</w:t>
      </w:r>
      <w:r w:rsidRPr="007B3EA8">
        <w:rPr>
          <w:lang w:val="fr-CA"/>
        </w:rPr>
        <w:t>, L.R.C. 1985, c. C</w:t>
      </w:r>
      <w:r w:rsidRPr="007B3EA8">
        <w:rPr>
          <w:lang w:val="fr-CA"/>
        </w:rPr>
        <w:noBreakHyphen/>
        <w:t>36, art</w:t>
      </w:r>
      <w:r>
        <w:rPr>
          <w:lang w:val="fr-CA"/>
        </w:rPr>
        <w:t>. </w:t>
      </w:r>
      <w:r w:rsidRPr="007B3EA8">
        <w:rPr>
          <w:lang w:val="fr-CA"/>
        </w:rPr>
        <w:t>11.8(8).</w:t>
      </w:r>
    </w:p>
    <w:p w:rsidR="00202F58" w:rsidRPr="007B3EA8" w:rsidRDefault="00202F58" w:rsidP="00B96446">
      <w:pPr>
        <w:pStyle w:val="SCCNormalDoubleSpacing"/>
        <w:spacing w:after="240" w:line="240" w:lineRule="auto"/>
        <w:ind w:left="540" w:hanging="540"/>
        <w:rPr>
          <w:lang w:val="fr-CA"/>
        </w:rPr>
      </w:pPr>
    </w:p>
    <w:p w:rsidR="00B96446" w:rsidRPr="007B3EA8" w:rsidRDefault="00B96446" w:rsidP="00B96446">
      <w:pPr>
        <w:pStyle w:val="SCCNormalDoubleSpacing"/>
        <w:spacing w:after="240" w:line="240" w:lineRule="auto"/>
        <w:ind w:left="540" w:hanging="540"/>
        <w:rPr>
          <w:lang w:val="en-US"/>
        </w:rPr>
      </w:pPr>
      <w:r w:rsidRPr="007B3EA8">
        <w:rPr>
          <w:i/>
          <w:lang w:val="en-US"/>
        </w:rPr>
        <w:t>Oil and Gas Conservation Act</w:t>
      </w:r>
      <w:r w:rsidR="007C0F2F">
        <w:rPr>
          <w:lang w:val="en-US"/>
        </w:rPr>
        <w:t>, R.S.A. 2000, c. O</w:t>
      </w:r>
      <w:r w:rsidR="007C0F2F">
        <w:rPr>
          <w:lang w:val="en-US"/>
        </w:rPr>
        <w:noBreakHyphen/>
        <w:t>6, art</w:t>
      </w:r>
      <w:r w:rsidRPr="007B3EA8">
        <w:rPr>
          <w:lang w:val="en-US"/>
        </w:rPr>
        <w:t>. 1(1)(a), (w), (cc), (eee), 11(1), 12(1), 18(1), 24(2), 25, 27 à 30, 68(d), 70(1), (2), 73(1), (2), 74, 106, 108, 110.</w:t>
      </w:r>
    </w:p>
    <w:p w:rsidR="00B96446" w:rsidRPr="007B3EA8" w:rsidRDefault="00B96446" w:rsidP="00B96446">
      <w:pPr>
        <w:pStyle w:val="SCCNormalDoubleSpacing"/>
        <w:spacing w:after="240" w:line="240" w:lineRule="auto"/>
        <w:ind w:left="540" w:hanging="540"/>
        <w:rPr>
          <w:lang w:val="en-US"/>
        </w:rPr>
      </w:pPr>
      <w:r w:rsidRPr="007B3EA8">
        <w:rPr>
          <w:i/>
          <w:lang w:val="en-US"/>
        </w:rPr>
        <w:t>Oil and Gas Conservation Rules</w:t>
      </w:r>
      <w:r w:rsidR="007C0F2F">
        <w:rPr>
          <w:lang w:val="en-US"/>
        </w:rPr>
        <w:t>, Alta. Reg. 151/71, art</w:t>
      </w:r>
      <w:r w:rsidRPr="007B3EA8">
        <w:rPr>
          <w:lang w:val="en-US"/>
        </w:rPr>
        <w:t>. 1.100(</w:t>
      </w:r>
      <w:r w:rsidR="00202F58">
        <w:rPr>
          <w:lang w:val="en-US"/>
        </w:rPr>
        <w:t>2</w:t>
      </w:r>
      <w:r w:rsidRPr="007B3EA8">
        <w:rPr>
          <w:lang w:val="en-US"/>
        </w:rPr>
        <w:t>), 3.012.</w:t>
      </w:r>
    </w:p>
    <w:p w:rsidR="00B96446" w:rsidRPr="007C0F2F" w:rsidRDefault="00B96446" w:rsidP="00B96446">
      <w:pPr>
        <w:pStyle w:val="SCCNormalDoubleSpacing"/>
        <w:spacing w:after="240" w:line="240" w:lineRule="auto"/>
        <w:ind w:left="540" w:hanging="540"/>
        <w:rPr>
          <w:lang w:val="en-US"/>
        </w:rPr>
      </w:pPr>
      <w:r w:rsidRPr="007B3EA8">
        <w:rPr>
          <w:i/>
          <w:lang w:val="en-US"/>
        </w:rPr>
        <w:t>Orphan Fund Delegated Administration Regulation</w:t>
      </w:r>
      <w:r w:rsidRPr="007B3EA8">
        <w:rPr>
          <w:lang w:val="en-US"/>
        </w:rPr>
        <w:t>, Alta. Reg. 45/2001, art. </w:t>
      </w:r>
      <w:r w:rsidRPr="007C0F2F">
        <w:rPr>
          <w:lang w:val="en-US"/>
        </w:rPr>
        <w:t>3(2)(b), 6.</w:t>
      </w:r>
    </w:p>
    <w:p w:rsidR="00B96446" w:rsidRPr="007B3EA8" w:rsidRDefault="00B96446" w:rsidP="00B96446">
      <w:pPr>
        <w:pStyle w:val="SCCNormalDoubleSpacing"/>
        <w:spacing w:after="240" w:line="240" w:lineRule="auto"/>
        <w:ind w:left="540" w:hanging="540"/>
        <w:rPr>
          <w:lang w:val="fr-CA"/>
        </w:rPr>
      </w:pPr>
      <w:r w:rsidRPr="007B3EA8">
        <w:rPr>
          <w:i/>
          <w:lang w:val="fr-CA"/>
        </w:rPr>
        <w:t>Pipeline Act</w:t>
      </w:r>
      <w:r w:rsidR="007C0F2F">
        <w:rPr>
          <w:lang w:val="fr-CA"/>
        </w:rPr>
        <w:t>, R.S.A. 2000, c. P</w:t>
      </w:r>
      <w:r w:rsidR="007C0F2F">
        <w:rPr>
          <w:lang w:val="fr-CA"/>
        </w:rPr>
        <w:noBreakHyphen/>
        <w:t>15, art</w:t>
      </w:r>
      <w:r w:rsidRPr="007B3EA8">
        <w:rPr>
          <w:lang w:val="fr-CA"/>
        </w:rPr>
        <w:t>. 1(1)(a), (n), (t), 6(1), 9(1), 23 à 26, 51 à 54.</w:t>
      </w:r>
    </w:p>
    <w:p w:rsidR="00B96446" w:rsidRPr="007B3EA8" w:rsidRDefault="00B96446" w:rsidP="00B96446">
      <w:pPr>
        <w:pStyle w:val="SCCNormalDoubleSpacing"/>
        <w:spacing w:after="240" w:line="240" w:lineRule="auto"/>
        <w:ind w:left="540" w:hanging="540"/>
        <w:rPr>
          <w:lang w:val="en-US"/>
        </w:rPr>
      </w:pPr>
      <w:r w:rsidRPr="007B3EA8">
        <w:rPr>
          <w:i/>
          <w:lang w:val="en-US"/>
        </w:rPr>
        <w:t>Responsible Energy Development Act</w:t>
      </w:r>
      <w:r w:rsidRPr="007B3EA8">
        <w:rPr>
          <w:lang w:val="en-US"/>
        </w:rPr>
        <w:t>, S.A. 2012, c. R</w:t>
      </w:r>
      <w:r w:rsidRPr="007B3EA8">
        <w:rPr>
          <w:lang w:val="en-US"/>
        </w:rPr>
        <w:noBreakHyphen/>
        <w:t>17.3, art. 2(1)(a), 2(2)(h), 3(1), 28, 29.</w:t>
      </w:r>
    </w:p>
    <w:p w:rsidR="00B96446" w:rsidRPr="007C0F2F" w:rsidRDefault="00B96446" w:rsidP="00B96446">
      <w:pPr>
        <w:pStyle w:val="SCCNormalDoubleSpacing"/>
        <w:spacing w:after="720" w:line="240" w:lineRule="auto"/>
        <w:ind w:left="547" w:hanging="547"/>
        <w:rPr>
          <w:lang w:val="en-US"/>
        </w:rPr>
      </w:pPr>
      <w:r w:rsidRPr="007B3EA8">
        <w:rPr>
          <w:i/>
          <w:lang w:val="en-US"/>
        </w:rPr>
        <w:t>Surface Rights Act</w:t>
      </w:r>
      <w:r w:rsidR="007C0F2F">
        <w:rPr>
          <w:lang w:val="en-US"/>
        </w:rPr>
        <w:t>, R.S.A. 2000, c. S</w:t>
      </w:r>
      <w:r w:rsidR="007C0F2F">
        <w:rPr>
          <w:lang w:val="en-US"/>
        </w:rPr>
        <w:noBreakHyphen/>
        <w:t>24, art</w:t>
      </w:r>
      <w:r w:rsidRPr="007B3EA8">
        <w:rPr>
          <w:lang w:val="en-US"/>
        </w:rPr>
        <w:t>. </w:t>
      </w:r>
      <w:r w:rsidRPr="007C0F2F">
        <w:rPr>
          <w:lang w:val="en-US"/>
        </w:rPr>
        <w:t>1(h), 15.</w:t>
      </w:r>
    </w:p>
    <w:p w:rsidR="004D7D95" w:rsidRPr="007B3EA8" w:rsidRDefault="004D7D95" w:rsidP="00FE589F">
      <w:pPr>
        <w:pStyle w:val="SCCNormalDoubleSpacing"/>
        <w:widowControl w:val="0"/>
        <w:spacing w:after="720" w:line="240" w:lineRule="auto"/>
        <w:rPr>
          <w:b/>
          <w:lang w:val="fr-CA"/>
        </w:rPr>
      </w:pPr>
      <w:r w:rsidRPr="007B3EA8">
        <w:rPr>
          <w:b/>
          <w:lang w:val="fr-CA"/>
        </w:rPr>
        <w:t>Doctrine et autres documents cités</w:t>
      </w:r>
    </w:p>
    <w:p w:rsidR="007F26DB" w:rsidRPr="007B3EA8" w:rsidRDefault="007F26DB" w:rsidP="007F26DB">
      <w:pPr>
        <w:pStyle w:val="SCCNormalDoubleSpacing"/>
        <w:spacing w:after="240" w:line="240" w:lineRule="auto"/>
        <w:ind w:left="540" w:hanging="540"/>
      </w:pPr>
      <w:r w:rsidRPr="0026050D">
        <w:rPr>
          <w:lang w:val="fr-CA"/>
        </w:rPr>
        <w:t xml:space="preserve">Alberta. </w:t>
      </w:r>
      <w:r w:rsidRPr="007B3EA8">
        <w:t xml:space="preserve">Energy Resources Conservation Board. </w:t>
      </w:r>
      <w:r w:rsidRPr="007B3EA8">
        <w:rPr>
          <w:i/>
        </w:rPr>
        <w:t>Directive 006</w:t>
      </w:r>
      <w:r w:rsidR="007B3EA8">
        <w:rPr>
          <w:i/>
        </w:rPr>
        <w:t> </w:t>
      </w:r>
      <w:r w:rsidRPr="007B3EA8">
        <w:rPr>
          <w:i/>
        </w:rPr>
        <w:t>: Licensee Liability Rating (LLR) Program and Licence Transfer Process</w:t>
      </w:r>
      <w:r w:rsidRPr="007B3EA8">
        <w:t>, March 12, 2013.</w:t>
      </w:r>
    </w:p>
    <w:p w:rsidR="0043188D" w:rsidRPr="007B3EA8" w:rsidRDefault="0043188D" w:rsidP="0043188D">
      <w:pPr>
        <w:pStyle w:val="SCCNormalDoubleSpacing"/>
        <w:spacing w:after="240" w:line="240" w:lineRule="auto"/>
        <w:ind w:left="540" w:hanging="540"/>
      </w:pPr>
      <w:r w:rsidRPr="007B3EA8">
        <w:t xml:space="preserve">Alberta Energy Regulator. </w:t>
      </w:r>
      <w:r w:rsidRPr="007B3EA8">
        <w:rPr>
          <w:bCs/>
          <w:i/>
        </w:rPr>
        <w:t xml:space="preserve">Licensee </w:t>
      </w:r>
      <w:r w:rsidRPr="007B3EA8">
        <w:rPr>
          <w:i/>
        </w:rPr>
        <w:t>Eligibility — Alberta Energy Regulator Measures to Limit Environmental Impacts Pending Regulatory Changes to Address the Redwater Decision</w:t>
      </w:r>
      <w:r w:rsidR="00F23961">
        <w:t>, June 20, 2016 (en l</w:t>
      </w:r>
      <w:r w:rsidRPr="007B3EA8">
        <w:t>igne : https://www.aer.ca/documents/bulletins/Bulle</w:t>
      </w:r>
      <w:r w:rsidR="001E4628" w:rsidRPr="007B3EA8">
        <w:t>tin-2016-16.pdf; version archivée</w:t>
      </w:r>
      <w:r w:rsidRPr="007B3EA8">
        <w:t xml:space="preserve"> : </w:t>
      </w:r>
      <w:hyperlink r:id="rId10" w:history="1">
        <w:r w:rsidR="00894934" w:rsidRPr="007C0F2F">
          <w:rPr>
            <w:rFonts w:eastAsiaTheme="majorEastAsia"/>
          </w:rPr>
          <w:t>https://www.scc-csc.ca/cso-dce/2019SCC-CSC5_1_eng.pdf</w:t>
        </w:r>
      </w:hyperlink>
      <w:r w:rsidRPr="007B3EA8">
        <w:t xml:space="preserve">). </w:t>
      </w:r>
    </w:p>
    <w:p w:rsidR="0043188D" w:rsidRPr="007B3EA8" w:rsidRDefault="0043188D" w:rsidP="0043188D">
      <w:pPr>
        <w:pStyle w:val="SCCNormalDoubleSpacing"/>
        <w:spacing w:after="240" w:line="240" w:lineRule="auto"/>
        <w:ind w:left="540" w:hanging="540"/>
      </w:pPr>
      <w:r w:rsidRPr="007B3EA8">
        <w:t xml:space="preserve">Bankes, Nigel. </w:t>
      </w:r>
      <w:r w:rsidRPr="007B3EA8">
        <w:rPr>
          <w:i/>
        </w:rPr>
        <w:t>Majority of the Court of Appeal Confirm Chief Justice Wittmann’s Redwater Decision</w:t>
      </w:r>
      <w:r w:rsidRPr="007B3EA8">
        <w:t xml:space="preserve">, </w:t>
      </w:r>
      <w:r w:rsidR="00636183" w:rsidRPr="007B3EA8">
        <w:t>May 3,</w:t>
      </w:r>
      <w:r w:rsidRPr="007B3EA8">
        <w:t xml:space="preserve"> 2017 (en ligne :</w:t>
      </w:r>
      <w:r w:rsidRPr="007B3EA8">
        <w:rPr>
          <w:lang w:bidi="en-US"/>
        </w:rPr>
        <w:t xml:space="preserve"> </w:t>
      </w:r>
      <w:r w:rsidRPr="007B3EA8">
        <w:rPr>
          <w:rStyle w:val="Hyperlink"/>
          <w:rFonts w:eastAsiaTheme="majorEastAsia"/>
          <w:color w:val="auto"/>
          <w:u w:val="none"/>
          <w:lang w:bidi="en-US"/>
        </w:rPr>
        <w:t>https://ablawg.ca/2017/05/03/majority-of-the-court-of-appeal-confirms-chief-justice-wittmanns-redwater-decision</w:t>
      </w:r>
      <w:r w:rsidR="001E4628" w:rsidRPr="007B3EA8">
        <w:rPr>
          <w:rStyle w:val="Hyperlink"/>
          <w:rFonts w:eastAsiaTheme="majorEastAsia"/>
          <w:color w:val="auto"/>
          <w:u w:val="none"/>
          <w:lang w:bidi="en-US"/>
        </w:rPr>
        <w:t>;</w:t>
      </w:r>
      <w:r w:rsidRPr="007B3EA8">
        <w:rPr>
          <w:lang w:bidi="en-US"/>
        </w:rPr>
        <w:t xml:space="preserve"> version archivée : </w:t>
      </w:r>
      <w:hyperlink r:id="rId11" w:history="1">
        <w:r w:rsidR="00894934" w:rsidRPr="007C0F2F">
          <w:rPr>
            <w:rFonts w:eastAsiaTheme="majorEastAsia"/>
          </w:rPr>
          <w:t>https://www.scc-csc.ca/cso-dce/2019SCC-CSC5_2_eng.pdf</w:t>
        </w:r>
      </w:hyperlink>
      <w:r w:rsidRPr="007B3EA8">
        <w:rPr>
          <w:lang w:bidi="en-US"/>
        </w:rPr>
        <w:t>).</w:t>
      </w:r>
    </w:p>
    <w:p w:rsidR="0043188D" w:rsidRPr="00202F58" w:rsidRDefault="0043188D" w:rsidP="0043188D">
      <w:pPr>
        <w:pStyle w:val="SCCNormalDoubleSpacing"/>
        <w:spacing w:after="240" w:line="240" w:lineRule="auto"/>
        <w:ind w:left="540" w:hanging="540"/>
        <w:rPr>
          <w:bCs/>
          <w:lang w:val="en-US" w:bidi="en-US"/>
        </w:rPr>
      </w:pPr>
      <w:r w:rsidRPr="007B3EA8">
        <w:t xml:space="preserve">Bennett, Frank. </w:t>
      </w:r>
      <w:r w:rsidRPr="007B3EA8">
        <w:rPr>
          <w:i/>
        </w:rPr>
        <w:t>Bennett on Creditors’ and Debtors’ Rights and Remedies</w:t>
      </w:r>
      <w:r w:rsidRPr="007B3EA8">
        <w:t>, 5th ed.</w:t>
      </w:r>
      <w:r w:rsidR="00202F58">
        <w:t>,</w:t>
      </w:r>
      <w:r w:rsidRPr="007B3EA8">
        <w:t xml:space="preserve"> </w:t>
      </w:r>
      <w:r w:rsidRPr="00202F58">
        <w:rPr>
          <w:lang w:val="en-US"/>
        </w:rPr>
        <w:t>Toronto, Thomson Carswell, 2006.</w:t>
      </w:r>
    </w:p>
    <w:p w:rsidR="0043188D" w:rsidRPr="007B3EA8" w:rsidRDefault="0043188D" w:rsidP="0043188D">
      <w:pPr>
        <w:pStyle w:val="SCCNormalDoubleSpacing"/>
        <w:spacing w:after="240" w:line="240" w:lineRule="auto"/>
        <w:ind w:left="540" w:hanging="540"/>
        <w:rPr>
          <w:bCs/>
          <w:lang w:val="fr-CA" w:bidi="en-US"/>
        </w:rPr>
      </w:pPr>
      <w:r w:rsidRPr="007B3EA8">
        <w:rPr>
          <w:bCs/>
          <w:lang w:val="fr-CA" w:bidi="en-US"/>
        </w:rPr>
        <w:t xml:space="preserve">Canada. Chambre des communes. Comité permanent </w:t>
      </w:r>
      <w:r w:rsidR="00202F58">
        <w:rPr>
          <w:bCs/>
          <w:lang w:val="fr-CA" w:bidi="en-US"/>
        </w:rPr>
        <w:t>de</w:t>
      </w:r>
      <w:r w:rsidRPr="007B3EA8">
        <w:rPr>
          <w:bCs/>
          <w:lang w:val="fr-CA" w:bidi="en-US"/>
        </w:rPr>
        <w:t xml:space="preserve"> l’industrie. </w:t>
      </w:r>
      <w:r w:rsidRPr="007B3EA8">
        <w:rPr>
          <w:bCs/>
          <w:i/>
          <w:lang w:val="fr-CA" w:bidi="en-US"/>
        </w:rPr>
        <w:t>Témoignages</w:t>
      </w:r>
      <w:r w:rsidRPr="007B3EA8">
        <w:rPr>
          <w:bCs/>
          <w:lang w:val="fr-CA" w:bidi="en-US"/>
        </w:rPr>
        <w:t xml:space="preserve">, </w:t>
      </w:r>
      <w:r w:rsidRPr="007B3EA8">
        <w:rPr>
          <w:lang w:val="fr-CA"/>
        </w:rPr>
        <w:t>n</w:t>
      </w:r>
      <w:r w:rsidRPr="007B3EA8">
        <w:rPr>
          <w:vertAlign w:val="superscript"/>
          <w:lang w:val="fr-CA"/>
        </w:rPr>
        <w:t>o</w:t>
      </w:r>
      <w:r w:rsidR="00202F58">
        <w:rPr>
          <w:vertAlign w:val="superscript"/>
          <w:lang w:val="fr-CA"/>
        </w:rPr>
        <w:t> </w:t>
      </w:r>
      <w:r w:rsidRPr="007B3EA8">
        <w:rPr>
          <w:bCs/>
          <w:lang w:val="fr-CA" w:bidi="en-US"/>
        </w:rPr>
        <w:t>16, 2</w:t>
      </w:r>
      <w:r w:rsidRPr="007B3EA8">
        <w:rPr>
          <w:bCs/>
          <w:vertAlign w:val="superscript"/>
          <w:lang w:val="fr-CA" w:bidi="en-US"/>
        </w:rPr>
        <w:t>e</w:t>
      </w:r>
      <w:r w:rsidRPr="007B3EA8">
        <w:rPr>
          <w:bCs/>
          <w:lang w:val="fr-CA" w:bidi="en-US"/>
        </w:rPr>
        <w:t xml:space="preserve"> sess., 35</w:t>
      </w:r>
      <w:r w:rsidRPr="007B3EA8">
        <w:rPr>
          <w:bCs/>
          <w:vertAlign w:val="superscript"/>
          <w:lang w:val="fr-CA" w:bidi="en-US"/>
        </w:rPr>
        <w:t>e</w:t>
      </w:r>
      <w:r w:rsidRPr="007B3EA8">
        <w:rPr>
          <w:bCs/>
          <w:lang w:val="fr-CA" w:bidi="en-US"/>
        </w:rPr>
        <w:t xml:space="preserve"> lég., 11 juin 1996.</w:t>
      </w:r>
    </w:p>
    <w:p w:rsidR="0043188D" w:rsidRPr="007B3EA8" w:rsidRDefault="0043188D" w:rsidP="0043188D">
      <w:pPr>
        <w:pStyle w:val="SCCNormalDoubleSpacing"/>
        <w:spacing w:after="240" w:line="240" w:lineRule="auto"/>
        <w:ind w:left="540" w:hanging="540"/>
        <w:rPr>
          <w:bCs/>
          <w:lang w:val="fr-CA" w:bidi="en-US"/>
        </w:rPr>
      </w:pPr>
      <w:r w:rsidRPr="007B3EA8">
        <w:rPr>
          <w:bCs/>
          <w:lang w:val="fr-CA" w:bidi="en-US"/>
        </w:rPr>
        <w:t xml:space="preserve">Canada. Chambre des communes. Comité permanent </w:t>
      </w:r>
      <w:r w:rsidR="00202F58">
        <w:rPr>
          <w:bCs/>
          <w:lang w:val="fr-CA" w:bidi="en-US"/>
        </w:rPr>
        <w:t>de</w:t>
      </w:r>
      <w:r w:rsidRPr="007B3EA8">
        <w:rPr>
          <w:bCs/>
          <w:lang w:val="fr-CA" w:bidi="en-US"/>
        </w:rPr>
        <w:t xml:space="preserve"> l’industrie, </w:t>
      </w:r>
      <w:r w:rsidRPr="007B3EA8">
        <w:rPr>
          <w:bCs/>
          <w:i/>
          <w:lang w:val="fr-CA" w:bidi="en-US"/>
        </w:rPr>
        <w:t>Témoignages</w:t>
      </w:r>
      <w:r w:rsidRPr="007B3EA8">
        <w:rPr>
          <w:bCs/>
          <w:lang w:val="fr-CA" w:bidi="en-US"/>
        </w:rPr>
        <w:t xml:space="preserve">, </w:t>
      </w:r>
      <w:r w:rsidRPr="007B3EA8">
        <w:rPr>
          <w:lang w:val="fr-FR"/>
        </w:rPr>
        <w:t>n</w:t>
      </w:r>
      <w:r w:rsidRPr="007B3EA8">
        <w:rPr>
          <w:vertAlign w:val="superscript"/>
          <w:lang w:val="fr-FR"/>
        </w:rPr>
        <w:t>o</w:t>
      </w:r>
      <w:r w:rsidR="00202F58">
        <w:rPr>
          <w:vertAlign w:val="superscript"/>
          <w:lang w:val="fr-FR"/>
        </w:rPr>
        <w:t> </w:t>
      </w:r>
      <w:r w:rsidRPr="007B3EA8">
        <w:rPr>
          <w:bCs/>
          <w:lang w:val="fr-CA" w:bidi="en-US"/>
        </w:rPr>
        <w:t>21, 2</w:t>
      </w:r>
      <w:r w:rsidRPr="007B3EA8">
        <w:rPr>
          <w:bCs/>
          <w:vertAlign w:val="superscript"/>
          <w:lang w:val="fr-CA" w:bidi="en-US"/>
        </w:rPr>
        <w:t>e</w:t>
      </w:r>
      <w:r w:rsidRPr="007B3EA8">
        <w:rPr>
          <w:bCs/>
          <w:lang w:val="fr-CA" w:bidi="en-US"/>
        </w:rPr>
        <w:t xml:space="preserve"> sess., 35</w:t>
      </w:r>
      <w:r w:rsidRPr="007B3EA8">
        <w:rPr>
          <w:bCs/>
          <w:vertAlign w:val="superscript"/>
          <w:lang w:val="fr-CA" w:bidi="en-US"/>
        </w:rPr>
        <w:t>e</w:t>
      </w:r>
      <w:r w:rsidRPr="007B3EA8">
        <w:rPr>
          <w:bCs/>
          <w:lang w:val="fr-CA" w:bidi="en-US"/>
        </w:rPr>
        <w:t xml:space="preserve"> lég., 25 septembre 1996.</w:t>
      </w:r>
    </w:p>
    <w:p w:rsidR="0043188D" w:rsidRPr="007B3EA8" w:rsidRDefault="0043188D" w:rsidP="0043188D">
      <w:pPr>
        <w:pStyle w:val="SCCNormalDoubleSpacing"/>
        <w:spacing w:after="240" w:line="240" w:lineRule="auto"/>
        <w:ind w:left="540" w:hanging="540"/>
        <w:rPr>
          <w:bCs/>
          <w:lang w:val="fr-CA" w:bidi="en-US"/>
        </w:rPr>
      </w:pPr>
      <w:r w:rsidRPr="007B3EA8">
        <w:rPr>
          <w:bCs/>
          <w:lang w:val="fr-CA" w:bidi="en-US"/>
        </w:rPr>
        <w:t xml:space="preserve">Canada. Sénat. </w:t>
      </w:r>
      <w:r w:rsidR="00EE0D3C">
        <w:rPr>
          <w:bCs/>
          <w:i/>
          <w:iCs/>
          <w:lang w:val="fr-CA" w:bidi="en-US"/>
        </w:rPr>
        <w:t>Délibérations du comité sénat</w:t>
      </w:r>
      <w:r w:rsidRPr="007B3EA8">
        <w:rPr>
          <w:bCs/>
          <w:i/>
          <w:iCs/>
          <w:lang w:val="fr-CA" w:bidi="en-US"/>
        </w:rPr>
        <w:t>orial permanent des Banques et du commerce</w:t>
      </w:r>
      <w:r w:rsidRPr="007B3EA8">
        <w:rPr>
          <w:bCs/>
          <w:lang w:val="fr-CA" w:bidi="en-US"/>
        </w:rPr>
        <w:t xml:space="preserve">, </w:t>
      </w:r>
      <w:r w:rsidRPr="007B3EA8">
        <w:rPr>
          <w:lang w:val="fr-FR"/>
        </w:rPr>
        <w:t>n</w:t>
      </w:r>
      <w:r w:rsidRPr="007B3EA8">
        <w:rPr>
          <w:vertAlign w:val="superscript"/>
          <w:lang w:val="fr-FR"/>
        </w:rPr>
        <w:t>o</w:t>
      </w:r>
      <w:r w:rsidR="003C0727">
        <w:rPr>
          <w:vertAlign w:val="superscript"/>
          <w:lang w:val="fr-FR"/>
        </w:rPr>
        <w:t> </w:t>
      </w:r>
      <w:r w:rsidRPr="007B3EA8">
        <w:rPr>
          <w:bCs/>
          <w:lang w:val="fr-CA" w:bidi="en-US"/>
        </w:rPr>
        <w:t>13, 2</w:t>
      </w:r>
      <w:r w:rsidRPr="007B3EA8">
        <w:rPr>
          <w:bCs/>
          <w:vertAlign w:val="superscript"/>
          <w:lang w:val="fr-CA" w:bidi="en-US"/>
        </w:rPr>
        <w:t>e</w:t>
      </w:r>
      <w:r w:rsidRPr="007B3EA8">
        <w:rPr>
          <w:bCs/>
          <w:lang w:val="fr-CA" w:bidi="en-US"/>
        </w:rPr>
        <w:t xml:space="preserve"> sess., 35</w:t>
      </w:r>
      <w:r w:rsidRPr="007B3EA8">
        <w:rPr>
          <w:bCs/>
          <w:vertAlign w:val="superscript"/>
          <w:lang w:val="fr-CA" w:bidi="en-US"/>
        </w:rPr>
        <w:t>e</w:t>
      </w:r>
      <w:r w:rsidRPr="007B3EA8">
        <w:rPr>
          <w:bCs/>
          <w:lang w:val="fr-CA" w:bidi="en-US"/>
        </w:rPr>
        <w:t xml:space="preserve"> lég., 4 novembre 1996.</w:t>
      </w:r>
    </w:p>
    <w:p w:rsidR="0043188D" w:rsidRDefault="0043188D" w:rsidP="0043188D">
      <w:pPr>
        <w:pStyle w:val="SCCNormalDoubleSpacing"/>
        <w:spacing w:after="240" w:line="240" w:lineRule="auto"/>
        <w:ind w:left="540" w:hanging="540"/>
        <w:rPr>
          <w:lang w:bidi="en-US"/>
        </w:rPr>
      </w:pPr>
      <w:r w:rsidRPr="007B3EA8">
        <w:rPr>
          <w:lang w:bidi="en-US"/>
        </w:rPr>
        <w:t xml:space="preserve">Goode, Roy. </w:t>
      </w:r>
      <w:r w:rsidRPr="007B3EA8">
        <w:rPr>
          <w:i/>
          <w:lang w:bidi="en-US"/>
        </w:rPr>
        <w:t>Principles of Corporate Insolvency Law</w:t>
      </w:r>
      <w:r w:rsidR="00636183" w:rsidRPr="007B3EA8">
        <w:rPr>
          <w:lang w:bidi="en-US"/>
        </w:rPr>
        <w:t>, 4th ed. London,</w:t>
      </w:r>
      <w:r w:rsidRPr="007B3EA8">
        <w:rPr>
          <w:lang w:bidi="en-US"/>
        </w:rPr>
        <w:t xml:space="preserve"> Sweet &amp; Maxwell/Thomson Reuters, 2011.</w:t>
      </w:r>
    </w:p>
    <w:p w:rsidR="003C0727" w:rsidRPr="003C0727" w:rsidRDefault="003C0727" w:rsidP="003C0727">
      <w:pPr>
        <w:pStyle w:val="SCCNormalDoubleSpacing"/>
        <w:spacing w:after="240" w:line="240" w:lineRule="auto"/>
        <w:ind w:left="540" w:hanging="540"/>
        <w:rPr>
          <w:lang w:val="fr-CA" w:bidi="en-US"/>
        </w:rPr>
      </w:pPr>
      <w:r w:rsidRPr="007B3EA8">
        <w:rPr>
          <w:i/>
          <w:iCs/>
          <w:lang w:val="fr-CA" w:bidi="en-US"/>
        </w:rPr>
        <w:lastRenderedPageBreak/>
        <w:t>Grand Robert de la langue française</w:t>
      </w:r>
      <w:r w:rsidRPr="007B3EA8">
        <w:rPr>
          <w:lang w:val="fr-CA" w:bidi="en-US"/>
        </w:rPr>
        <w:t>, 2</w:t>
      </w:r>
      <w:r w:rsidRPr="007B3EA8">
        <w:rPr>
          <w:vertAlign w:val="superscript"/>
          <w:lang w:val="fr-CA" w:bidi="en-US"/>
        </w:rPr>
        <w:t>e</w:t>
      </w:r>
      <w:r w:rsidRPr="007B3EA8">
        <w:rPr>
          <w:lang w:val="fr-CA" w:bidi="en-US"/>
        </w:rPr>
        <w:t> éd.</w:t>
      </w:r>
      <w:r w:rsidR="006434C5">
        <w:rPr>
          <w:lang w:val="fr-CA" w:bidi="en-US"/>
        </w:rPr>
        <w:t>,</w:t>
      </w:r>
      <w:r w:rsidRPr="007B3EA8">
        <w:rPr>
          <w:lang w:val="fr-CA" w:bidi="en-US"/>
        </w:rPr>
        <w:t xml:space="preserve"> </w:t>
      </w:r>
      <w:r w:rsidR="006434C5">
        <w:rPr>
          <w:lang w:val="fr-CA" w:bidi="en-US"/>
        </w:rPr>
        <w:t>Paris,</w:t>
      </w:r>
      <w:r w:rsidRPr="003C0727">
        <w:rPr>
          <w:lang w:val="fr-CA" w:bidi="en-US"/>
        </w:rPr>
        <w:t xml:space="preserve"> Le Robert, 2001, “</w:t>
      </w:r>
      <w:r w:rsidRPr="003C0727">
        <w:rPr>
          <w:iCs/>
          <w:lang w:val="fr-CA" w:bidi="en-US"/>
        </w:rPr>
        <w:t>ès</w:t>
      </w:r>
      <w:r w:rsidRPr="003C0727">
        <w:rPr>
          <w:lang w:val="fr-CA" w:bidi="en-US"/>
        </w:rPr>
        <w:t xml:space="preserve">”. </w:t>
      </w:r>
    </w:p>
    <w:p w:rsidR="00636183" w:rsidRPr="00F92AFD" w:rsidRDefault="00636183" w:rsidP="00636183">
      <w:pPr>
        <w:pStyle w:val="SCCNormalDoubleSpacing"/>
        <w:spacing w:after="240" w:line="240" w:lineRule="auto"/>
        <w:ind w:left="540" w:hanging="540"/>
        <w:rPr>
          <w:lang w:val="en-US" w:bidi="en-US"/>
        </w:rPr>
      </w:pPr>
      <w:r w:rsidRPr="00170881">
        <w:rPr>
          <w:lang w:val="en-US" w:bidi="en-US"/>
        </w:rPr>
        <w:t xml:space="preserve">Klimek, Jennifer. </w:t>
      </w:r>
      <w:r w:rsidRPr="007B3EA8">
        <w:rPr>
          <w:i/>
          <w:lang w:bidi="en-US"/>
        </w:rPr>
        <w:t>Insolvency and Environment Liability</w:t>
      </w:r>
      <w:r w:rsidRPr="007B3EA8">
        <w:rPr>
          <w:lang w:bidi="en-US"/>
        </w:rPr>
        <w:t xml:space="preserve">. </w:t>
      </w:r>
      <w:r w:rsidRPr="00F92AFD">
        <w:rPr>
          <w:lang w:val="en-US" w:bidi="en-US"/>
        </w:rPr>
        <w:t>Toronto, Carswell, 1994.</w:t>
      </w:r>
    </w:p>
    <w:p w:rsidR="00636183" w:rsidRPr="007B3EA8" w:rsidRDefault="00636183" w:rsidP="00636183">
      <w:pPr>
        <w:pStyle w:val="SCCNormalDoubleSpacing"/>
        <w:spacing w:after="240" w:line="240" w:lineRule="auto"/>
        <w:ind w:left="540" w:hanging="540"/>
        <w:rPr>
          <w:lang w:bidi="en-US"/>
        </w:rPr>
      </w:pPr>
      <w:r w:rsidRPr="007B3EA8">
        <w:rPr>
          <w:lang w:bidi="en-US"/>
        </w:rPr>
        <w:t>Lederman, Sidney</w:t>
      </w:r>
      <w:r w:rsidR="009A1334">
        <w:rPr>
          <w:lang w:bidi="en-US"/>
        </w:rPr>
        <w:t> N., Alan </w:t>
      </w:r>
      <w:r w:rsidRPr="007B3EA8">
        <w:rPr>
          <w:lang w:bidi="en-US"/>
        </w:rPr>
        <w:t xml:space="preserve">W. Bryant and Michelle K. Fuerst. </w:t>
      </w:r>
      <w:r w:rsidRPr="007B3EA8">
        <w:rPr>
          <w:i/>
          <w:lang w:bidi="en-US"/>
        </w:rPr>
        <w:t>The Law of Evidence in Canada</w:t>
      </w:r>
      <w:r w:rsidRPr="007B3EA8">
        <w:rPr>
          <w:lang w:bidi="en-US"/>
        </w:rPr>
        <w:t>, 5th ed.</w:t>
      </w:r>
      <w:r w:rsidR="00834BFC">
        <w:rPr>
          <w:lang w:bidi="en-US"/>
        </w:rPr>
        <w:t>,</w:t>
      </w:r>
      <w:r w:rsidRPr="007B3EA8">
        <w:rPr>
          <w:lang w:bidi="en-US"/>
        </w:rPr>
        <w:t xml:space="preserve"> Markham (Ont.), LexisNexis, 2018.</w:t>
      </w:r>
    </w:p>
    <w:p w:rsidR="0043188D" w:rsidRPr="007B3EA8" w:rsidRDefault="0043188D" w:rsidP="0043188D">
      <w:pPr>
        <w:pStyle w:val="SCCNormalDoubleSpacing"/>
        <w:spacing w:after="240" w:line="240" w:lineRule="auto"/>
        <w:ind w:left="540" w:hanging="540"/>
        <w:rPr>
          <w:lang w:val="en-US"/>
        </w:rPr>
      </w:pPr>
      <w:r w:rsidRPr="007B3EA8">
        <w:rPr>
          <w:lang w:val="en-US"/>
        </w:rPr>
        <w:t>Lund, Anna J. « Lousy Dentists, Bad Drivers, and Abandoned Oil Wells</w:t>
      </w:r>
      <w:r w:rsidR="003E131F" w:rsidRPr="007B3EA8">
        <w:rPr>
          <w:lang w:val="en-US"/>
        </w:rPr>
        <w:t> </w:t>
      </w:r>
      <w:r w:rsidRPr="007B3EA8">
        <w:rPr>
          <w:lang w:val="en-US"/>
        </w:rPr>
        <w:t>: a New Approach to Reconciling Provincial Regulatory Regimes with Federal Insolven</w:t>
      </w:r>
      <w:r w:rsidR="00586ABE" w:rsidRPr="007B3EA8">
        <w:rPr>
          <w:lang w:val="en-US"/>
        </w:rPr>
        <w:t>cy Law »</w:t>
      </w:r>
      <w:r w:rsidRPr="007B3EA8">
        <w:rPr>
          <w:lang w:val="en-US"/>
        </w:rPr>
        <w:t xml:space="preserve"> (2017), 80</w:t>
      </w:r>
      <w:r w:rsidR="00497831" w:rsidRPr="007B3EA8">
        <w:rPr>
          <w:lang w:val="en-US"/>
        </w:rPr>
        <w:t xml:space="preserve"> </w:t>
      </w:r>
      <w:r w:rsidRPr="007B3EA8">
        <w:rPr>
          <w:i/>
          <w:lang w:val="en-US"/>
        </w:rPr>
        <w:t>Sask. L. Rev</w:t>
      </w:r>
      <w:r w:rsidRPr="007B3EA8">
        <w:rPr>
          <w:lang w:val="en-US"/>
        </w:rPr>
        <w:t>. 157.</w:t>
      </w:r>
    </w:p>
    <w:p w:rsidR="00586ABE" w:rsidRPr="00BD0103" w:rsidRDefault="0043188D" w:rsidP="0043188D">
      <w:pPr>
        <w:pStyle w:val="SCCNormalDoubleSpacing"/>
        <w:spacing w:after="240" w:line="240" w:lineRule="auto"/>
        <w:ind w:left="540" w:hanging="540"/>
        <w:rPr>
          <w:lang w:val="fr-CA" w:bidi="en-US"/>
        </w:rPr>
      </w:pPr>
      <w:r w:rsidRPr="00BD0103">
        <w:rPr>
          <w:i/>
          <w:lang w:val="fr-CA"/>
        </w:rPr>
        <w:t>Oxford English Dictionary</w:t>
      </w:r>
      <w:r w:rsidR="00BD0103" w:rsidRPr="00BD0103">
        <w:rPr>
          <w:lang w:val="fr-CA"/>
        </w:rPr>
        <w:t xml:space="preserve"> </w:t>
      </w:r>
      <w:r w:rsidR="00586ABE" w:rsidRPr="00BD0103">
        <w:rPr>
          <w:lang w:val="fr-CA"/>
        </w:rPr>
        <w:t>(en ligne : http://www.oed.com/view/Entry/151694?redirectedFrom=probably#eid</w:t>
      </w:r>
      <w:r w:rsidR="00586ABE" w:rsidRPr="00BD0103">
        <w:rPr>
          <w:lang w:val="fr-CA" w:bidi="en-US"/>
        </w:rPr>
        <w:t>)</w:t>
      </w:r>
      <w:r w:rsidR="00BD0103" w:rsidRPr="00BD0103">
        <w:rPr>
          <w:lang w:val="fr-CA"/>
        </w:rPr>
        <w:t>, « </w:t>
      </w:r>
      <w:r w:rsidR="00BD0103" w:rsidRPr="003C0727">
        <w:rPr>
          <w:i/>
          <w:lang w:val="fr-CA"/>
        </w:rPr>
        <w:t>probably</w:t>
      </w:r>
      <w:r w:rsidR="00BD0103" w:rsidRPr="00BD0103">
        <w:rPr>
          <w:lang w:val="fr-CA"/>
        </w:rPr>
        <w:t> »</w:t>
      </w:r>
      <w:r w:rsidR="00586ABE" w:rsidRPr="00BD0103">
        <w:rPr>
          <w:lang w:val="fr-CA" w:bidi="en-US"/>
        </w:rPr>
        <w:t>.</w:t>
      </w:r>
    </w:p>
    <w:p w:rsidR="00586ABE" w:rsidRPr="007B3EA8" w:rsidRDefault="00586ABE" w:rsidP="00586ABE">
      <w:pPr>
        <w:pStyle w:val="SCCNormalDoubleSpacing"/>
        <w:spacing w:after="240" w:line="240" w:lineRule="auto"/>
        <w:ind w:left="540" w:hanging="540"/>
        <w:rPr>
          <w:lang w:val="fr-CA"/>
        </w:rPr>
      </w:pPr>
      <w:r w:rsidRPr="007B3EA8">
        <w:rPr>
          <w:i/>
          <w:lang w:val="fr-CA"/>
        </w:rPr>
        <w:t>Robert &amp; Collins</w:t>
      </w:r>
      <w:r w:rsidR="00BD0103">
        <w:rPr>
          <w:i/>
          <w:lang w:val="fr-CA"/>
        </w:rPr>
        <w:t xml:space="preserve"> </w:t>
      </w:r>
      <w:r w:rsidRPr="007B3EA8">
        <w:rPr>
          <w:lang w:val="fr-CA" w:bidi="en-US"/>
        </w:rPr>
        <w:t xml:space="preserve"> </w:t>
      </w:r>
      <w:r w:rsidRPr="007B3EA8">
        <w:rPr>
          <w:lang w:val="fr-CA"/>
        </w:rPr>
        <w:t>(en ligne : h</w:t>
      </w:r>
      <w:r w:rsidR="00EE34AD">
        <w:rPr>
          <w:lang w:val="fr-CA"/>
        </w:rPr>
        <w:t>ttps://grc.bvdep.com/login_.asp</w:t>
      </w:r>
      <w:r w:rsidRPr="007B3EA8">
        <w:rPr>
          <w:lang w:val="fr-CA"/>
        </w:rPr>
        <w:t>)</w:t>
      </w:r>
      <w:r w:rsidR="00BD0103" w:rsidRPr="007B3EA8">
        <w:rPr>
          <w:lang w:val="fr-CA"/>
        </w:rPr>
        <w:t>, « </w:t>
      </w:r>
      <w:r w:rsidR="00BD0103" w:rsidRPr="003C0727">
        <w:rPr>
          <w:iCs/>
          <w:lang w:val="fr-CA" w:bidi="en-US"/>
        </w:rPr>
        <w:t>ès qualités</w:t>
      </w:r>
      <w:r w:rsidR="00BD0103" w:rsidRPr="007B3EA8">
        <w:rPr>
          <w:lang w:val="fr-CA"/>
        </w:rPr>
        <w:t> »</w:t>
      </w:r>
      <w:r w:rsidRPr="007B3EA8">
        <w:rPr>
          <w:lang w:val="fr-CA"/>
        </w:rPr>
        <w:t>.</w:t>
      </w:r>
    </w:p>
    <w:p w:rsidR="0043188D" w:rsidRPr="007B3EA8" w:rsidRDefault="0043188D" w:rsidP="0043188D">
      <w:pPr>
        <w:pStyle w:val="SCCNormalDoubleSpacing"/>
        <w:spacing w:after="240" w:line="240" w:lineRule="auto"/>
        <w:ind w:left="540" w:hanging="540"/>
        <w:rPr>
          <w:lang w:bidi="en-US"/>
        </w:rPr>
      </w:pPr>
      <w:r w:rsidRPr="007B3EA8">
        <w:rPr>
          <w:lang w:bidi="en-US"/>
        </w:rPr>
        <w:t xml:space="preserve">Silverstein. Lee. </w:t>
      </w:r>
      <w:r w:rsidRPr="007B3EA8">
        <w:rPr>
          <w:lang w:val="en-US"/>
        </w:rPr>
        <w:t>« </w:t>
      </w:r>
      <w:r w:rsidRPr="007B3EA8">
        <w:rPr>
          <w:lang w:bidi="en-US"/>
        </w:rPr>
        <w:t>Rejection of Executory Contracts in Bankruptcy and Reorganization</w:t>
      </w:r>
      <w:r w:rsidRPr="007B3EA8">
        <w:rPr>
          <w:lang w:val="en-US"/>
        </w:rPr>
        <w:t xml:space="preserve"> » </w:t>
      </w:r>
      <w:r w:rsidRPr="007B3EA8">
        <w:rPr>
          <w:lang w:bidi="en-US"/>
        </w:rPr>
        <w:t xml:space="preserve">(1964), 31 </w:t>
      </w:r>
      <w:r w:rsidRPr="007B3EA8">
        <w:rPr>
          <w:i/>
          <w:lang w:bidi="en-US"/>
        </w:rPr>
        <w:t>U. Chi. L. Rev.</w:t>
      </w:r>
      <w:r w:rsidRPr="007B3EA8">
        <w:rPr>
          <w:lang w:bidi="en-US"/>
        </w:rPr>
        <w:t xml:space="preserve"> 467.</w:t>
      </w:r>
    </w:p>
    <w:p w:rsidR="0043188D" w:rsidRPr="007B3EA8" w:rsidRDefault="0043188D" w:rsidP="0043188D">
      <w:pPr>
        <w:pStyle w:val="SCCNormalDoubleSpacing"/>
        <w:spacing w:after="240" w:line="240" w:lineRule="auto"/>
        <w:ind w:left="547" w:hanging="547"/>
      </w:pPr>
      <w:r w:rsidRPr="007B3EA8">
        <w:t xml:space="preserve">Stewart, Fenner L. </w:t>
      </w:r>
      <w:r w:rsidRPr="007B3EA8">
        <w:rPr>
          <w:lang w:val="en-US"/>
        </w:rPr>
        <w:t>« </w:t>
      </w:r>
      <w:r w:rsidRPr="007B3EA8">
        <w:t>How to Deal with a Fickle Friend? Alberta’s Troubles with the Doctrine of Federal Paramountcy</w:t>
      </w:r>
      <w:r w:rsidRPr="007B3EA8">
        <w:rPr>
          <w:lang w:val="en-US"/>
        </w:rPr>
        <w:t> »</w:t>
      </w:r>
      <w:r w:rsidRPr="007B3EA8">
        <w:t xml:space="preserve">, </w:t>
      </w:r>
      <w:r w:rsidRPr="007B3EA8">
        <w:rPr>
          <w:lang w:val="en-US"/>
        </w:rPr>
        <w:t>in Janis P</w:t>
      </w:r>
      <w:r w:rsidR="009205B6" w:rsidRPr="007B3EA8">
        <w:rPr>
          <w:lang w:val="en-US"/>
        </w:rPr>
        <w:t>.</w:t>
      </w:r>
      <w:r w:rsidRPr="007B3EA8">
        <w:rPr>
          <w:lang w:val="en-US"/>
        </w:rPr>
        <w:t xml:space="preserve"> Sarra and Barbara Romaine, eds., </w:t>
      </w:r>
      <w:r w:rsidRPr="007B3EA8">
        <w:rPr>
          <w:i/>
          <w:lang w:val="en-US"/>
        </w:rPr>
        <w:t>Annual Review of Insolvency Law 2017</w:t>
      </w:r>
      <w:r w:rsidR="003C0727">
        <w:rPr>
          <w:lang w:val="en-US"/>
        </w:rPr>
        <w:t>,</w:t>
      </w:r>
      <w:r w:rsidR="009205B6" w:rsidRPr="007B3EA8">
        <w:rPr>
          <w:lang w:val="en-US"/>
        </w:rPr>
        <w:t xml:space="preserve"> Toronto,</w:t>
      </w:r>
      <w:r w:rsidRPr="007B3EA8">
        <w:rPr>
          <w:lang w:val="en-US"/>
        </w:rPr>
        <w:t xml:space="preserve"> Thomson Reuters, 2018. </w:t>
      </w:r>
    </w:p>
    <w:p w:rsidR="0043188D" w:rsidRPr="007B3EA8" w:rsidRDefault="0043188D" w:rsidP="0043188D">
      <w:pPr>
        <w:pStyle w:val="SCCNormalDoubleSpacing"/>
        <w:spacing w:after="240" w:line="240" w:lineRule="auto"/>
        <w:ind w:left="540" w:hanging="540"/>
      </w:pPr>
      <w:r w:rsidRPr="007B3EA8">
        <w:t xml:space="preserve">Sullivan, Ruth. </w:t>
      </w:r>
      <w:r w:rsidRPr="007B3EA8">
        <w:rPr>
          <w:i/>
        </w:rPr>
        <w:t>Statutory Interpretation</w:t>
      </w:r>
      <w:r w:rsidRPr="007B3EA8">
        <w:t>, 3rd ed.</w:t>
      </w:r>
      <w:r w:rsidR="003C0727">
        <w:t>,</w:t>
      </w:r>
      <w:r w:rsidRPr="007B3EA8">
        <w:t xml:space="preserve"> Toronto, Irwin Law, 2016.</w:t>
      </w:r>
    </w:p>
    <w:p w:rsidR="0043188D" w:rsidRPr="007B3EA8" w:rsidRDefault="0043188D" w:rsidP="0043188D">
      <w:pPr>
        <w:pStyle w:val="SCCNormalDoubleSpacing"/>
        <w:spacing w:after="720" w:line="240" w:lineRule="auto"/>
        <w:ind w:left="547" w:hanging="547"/>
      </w:pPr>
      <w:r w:rsidRPr="007B3EA8">
        <w:t xml:space="preserve">Sullivan, Ruth. </w:t>
      </w:r>
      <w:r w:rsidRPr="007B3EA8">
        <w:rPr>
          <w:i/>
        </w:rPr>
        <w:t>Sullivan on the Construction of Statutes</w:t>
      </w:r>
      <w:r w:rsidRPr="007B3EA8">
        <w:t>, 6th ed.</w:t>
      </w:r>
      <w:r w:rsidR="003C0727">
        <w:t>,</w:t>
      </w:r>
      <w:r w:rsidRPr="007B3EA8">
        <w:t xml:space="preserve"> Markham (Ont.), LexisNexis, 2014.</w:t>
      </w:r>
    </w:p>
    <w:p w:rsidR="004D7D95" w:rsidRPr="007B3EA8" w:rsidRDefault="00A9329D" w:rsidP="00FE589F">
      <w:pPr>
        <w:pStyle w:val="SCCNormalDoubleSpacing"/>
        <w:spacing w:after="480"/>
        <w:rPr>
          <w:lang w:val="fr-CA"/>
        </w:rPr>
      </w:pPr>
      <w:r w:rsidRPr="007B3EA8">
        <w:tab/>
      </w:r>
      <w:r w:rsidR="004D7D95" w:rsidRPr="007B3EA8">
        <w:t>POURVOI contre un arrêt de la Cour d</w:t>
      </w:r>
      <w:r w:rsidR="00AC7CB4" w:rsidRPr="007B3EA8">
        <w:t>’</w:t>
      </w:r>
      <w:r w:rsidR="004D7D95" w:rsidRPr="007B3EA8">
        <w:t>appel de l</w:t>
      </w:r>
      <w:r w:rsidR="00AC7CB4" w:rsidRPr="007B3EA8">
        <w:t>’</w:t>
      </w:r>
      <w:r w:rsidR="004D7D95" w:rsidRPr="007B3EA8">
        <w:t>Alberta (</w:t>
      </w:r>
      <w:r w:rsidRPr="007B3EA8">
        <w:t xml:space="preserve">les juges Slatter, Schutz et Martin), 2017 ABCA 124, </w:t>
      </w:r>
      <w:r w:rsidR="007041C3" w:rsidRPr="007B3EA8">
        <w:t>47 C.B.R. (6th) 17</w:t>
      </w:r>
      <w:r w:rsidR="007041C3" w:rsidRPr="007B3EA8">
        <w:rPr>
          <w:lang w:val="en-US"/>
        </w:rPr>
        <w:t xml:space="preserve">1, </w:t>
      </w:r>
      <w:r w:rsidRPr="007B3EA8">
        <w:rPr>
          <w:lang w:val="en-US"/>
        </w:rPr>
        <w:t xml:space="preserve">[2017] 6 W.W.R. 301, 8 C.E.L.R. (4th) 1, 50 Alta. L.R. (6th) 1, [2017] A.J. </w:t>
      </w:r>
      <w:r w:rsidR="00FE589F" w:rsidRPr="007B3EA8">
        <w:rPr>
          <w:lang w:val="en-US"/>
        </w:rPr>
        <w:t>No. </w:t>
      </w:r>
      <w:r w:rsidRPr="007B3EA8">
        <w:rPr>
          <w:lang w:val="en-US"/>
        </w:rPr>
        <w:t xml:space="preserve">402 (QL), 2017 CarswellAlta 695 (WL Can.), qui a confirmé une décision du juge en chef Wittmann, 2016 ABQB 278, </w:t>
      </w:r>
      <w:r w:rsidR="005F4E25" w:rsidRPr="007B3EA8">
        <w:rPr>
          <w:lang w:val="en-US"/>
        </w:rPr>
        <w:t xml:space="preserve">37 C.B.R. (6th) 88, </w:t>
      </w:r>
      <w:r w:rsidRPr="007B3EA8">
        <w:rPr>
          <w:lang w:val="en-US"/>
        </w:rPr>
        <w:t xml:space="preserve">[2016] 11 W.W.R. 716, 33 Alta. L.R. (6th) 221, [2016] A.J. </w:t>
      </w:r>
      <w:r w:rsidR="00FE589F" w:rsidRPr="007B3EA8">
        <w:rPr>
          <w:lang w:val="en-US"/>
        </w:rPr>
        <w:t>No. </w:t>
      </w:r>
      <w:r w:rsidRPr="007B3EA8">
        <w:rPr>
          <w:lang w:val="en-US"/>
        </w:rPr>
        <w:t xml:space="preserve">541 (QL), 2016 CarswellAlta 994 (WL Can.). </w:t>
      </w:r>
      <w:r w:rsidRPr="007B3EA8">
        <w:rPr>
          <w:lang w:val="fr-CA"/>
        </w:rPr>
        <w:t xml:space="preserve">Pourvoi </w:t>
      </w:r>
      <w:r w:rsidR="001E4628" w:rsidRPr="007B3EA8">
        <w:rPr>
          <w:lang w:val="fr-CA"/>
        </w:rPr>
        <w:t xml:space="preserve">accueilli, les juges Moldaver et Côté sont dissidents. </w:t>
      </w:r>
    </w:p>
    <w:p w:rsidR="00065867" w:rsidRPr="007B3EA8" w:rsidRDefault="00AC7CB4" w:rsidP="00FE589F">
      <w:pPr>
        <w:pStyle w:val="SCCNormalDoubleSpacing"/>
        <w:spacing w:after="480"/>
        <w:rPr>
          <w:lang w:val="fr-CA"/>
        </w:rPr>
      </w:pPr>
      <w:r w:rsidRPr="007B3EA8">
        <w:rPr>
          <w:rStyle w:val="SCCCounselNameChar"/>
          <w:lang w:val="fr-CA"/>
        </w:rPr>
        <w:tab/>
      </w:r>
      <w:r w:rsidR="006C2C72" w:rsidRPr="007B3EA8">
        <w:rPr>
          <w:rStyle w:val="SCCCounselNameChar"/>
          <w:lang w:val="fr-CA"/>
        </w:rPr>
        <w:t>Ken Lenz</w:t>
      </w:r>
      <w:r w:rsidR="006C2C72" w:rsidRPr="007B3EA8">
        <w:rPr>
          <w:rStyle w:val="SCCCounselNameChar"/>
          <w:i w:val="0"/>
          <w:lang w:val="fr-CA"/>
        </w:rPr>
        <w:t>,</w:t>
      </w:r>
      <w:r w:rsidR="006C2C72" w:rsidRPr="007B3EA8">
        <w:rPr>
          <w:rStyle w:val="SCCCounselNameChar"/>
          <w:lang w:val="fr-CA"/>
        </w:rPr>
        <w:t xml:space="preserve"> c.r.</w:t>
      </w:r>
      <w:r w:rsidR="006C2C72" w:rsidRPr="007B3EA8">
        <w:rPr>
          <w:rStyle w:val="SCCCounselNameChar"/>
          <w:i w:val="0"/>
          <w:lang w:val="fr-CA"/>
        </w:rPr>
        <w:t>,</w:t>
      </w:r>
      <w:r w:rsidR="00C75791" w:rsidRPr="007B3EA8">
        <w:rPr>
          <w:rStyle w:val="SCCCounselNameChar"/>
          <w:lang w:val="fr-CA"/>
        </w:rPr>
        <w:t xml:space="preserve"> Patricia Johnston</w:t>
      </w:r>
      <w:r w:rsidR="00C75791" w:rsidRPr="007B3EA8">
        <w:rPr>
          <w:rStyle w:val="SCCCounselNameChar"/>
          <w:i w:val="0"/>
          <w:lang w:val="fr-CA"/>
        </w:rPr>
        <w:t>,</w:t>
      </w:r>
      <w:r w:rsidR="00C75791" w:rsidRPr="007B3EA8">
        <w:rPr>
          <w:rStyle w:val="SCCCounselNameChar"/>
          <w:lang w:val="fr-CA"/>
        </w:rPr>
        <w:t xml:space="preserve"> c.r.</w:t>
      </w:r>
      <w:r w:rsidR="00C75791" w:rsidRPr="007B3EA8">
        <w:rPr>
          <w:rStyle w:val="SCCCounselNameChar"/>
          <w:i w:val="0"/>
          <w:lang w:val="fr-CA"/>
        </w:rPr>
        <w:t>,</w:t>
      </w:r>
      <w:r w:rsidR="00FE589F" w:rsidRPr="007B3EA8">
        <w:rPr>
          <w:rStyle w:val="SCCCounselNameChar"/>
          <w:lang w:val="fr-CA"/>
        </w:rPr>
        <w:t xml:space="preserve"> Keely R. </w:t>
      </w:r>
      <w:r w:rsidR="006C2C72" w:rsidRPr="007B3EA8">
        <w:rPr>
          <w:rStyle w:val="SCCCounselNameChar"/>
          <w:lang w:val="fr-CA"/>
        </w:rPr>
        <w:t>Cameron</w:t>
      </w:r>
      <w:r w:rsidR="006C2C72" w:rsidRPr="007B3EA8">
        <w:rPr>
          <w:rStyle w:val="SCCCounselSeparatorChar"/>
          <w:lang w:val="fr-CA"/>
        </w:rPr>
        <w:t xml:space="preserve">, </w:t>
      </w:r>
      <w:r w:rsidR="006C2C72" w:rsidRPr="007B3EA8">
        <w:rPr>
          <w:rStyle w:val="SCCCounselNameChar"/>
          <w:lang w:val="fr-CA"/>
        </w:rPr>
        <w:t>Brad Gilmour</w:t>
      </w:r>
      <w:r w:rsidR="00C75791" w:rsidRPr="007B3EA8">
        <w:rPr>
          <w:rStyle w:val="SCCCounselPartyRoleChar"/>
          <w:lang w:val="fr-CA"/>
        </w:rPr>
        <w:t xml:space="preserve"> et </w:t>
      </w:r>
      <w:r w:rsidR="00FE589F" w:rsidRPr="007B3EA8">
        <w:rPr>
          <w:rStyle w:val="SCCCounselNameChar"/>
          <w:lang w:val="fr-CA"/>
        </w:rPr>
        <w:t xml:space="preserve">Michael W. </w:t>
      </w:r>
      <w:r w:rsidR="006C2C72" w:rsidRPr="007B3EA8">
        <w:rPr>
          <w:rStyle w:val="SCCCounselNameChar"/>
          <w:lang w:val="fr-CA"/>
        </w:rPr>
        <w:t>Selnes</w:t>
      </w:r>
      <w:r w:rsidR="00EC565F" w:rsidRPr="007B3EA8">
        <w:rPr>
          <w:rStyle w:val="SCCCounselNameChar"/>
          <w:i w:val="0"/>
          <w:lang w:val="fr-CA"/>
        </w:rPr>
        <w:t>,</w:t>
      </w:r>
      <w:r w:rsidR="006C2C72" w:rsidRPr="007B3EA8">
        <w:rPr>
          <w:rStyle w:val="SCCCounselSeparatorChar"/>
          <w:lang w:val="fr-CA"/>
        </w:rPr>
        <w:t xml:space="preserve"> </w:t>
      </w:r>
      <w:r w:rsidR="006C2C72" w:rsidRPr="007B3EA8">
        <w:rPr>
          <w:rStyle w:val="SCCCounselPartyRoleChar"/>
          <w:lang w:val="fr-CA"/>
        </w:rPr>
        <w:t>pour les appelants</w:t>
      </w:r>
      <w:r w:rsidRPr="007B3EA8">
        <w:rPr>
          <w:rStyle w:val="SCCCounselPartyRoleChar"/>
          <w:lang w:val="fr-CA"/>
        </w:rPr>
        <w:t>.</w:t>
      </w:r>
    </w:p>
    <w:p w:rsidR="00461513" w:rsidRPr="007B3EA8" w:rsidRDefault="00AC7CB4" w:rsidP="00FE589F">
      <w:pPr>
        <w:pStyle w:val="SCCNormalDoubleSpacing"/>
        <w:spacing w:after="480"/>
        <w:rPr>
          <w:lang w:val="fr-CA"/>
        </w:rPr>
      </w:pPr>
      <w:r w:rsidRPr="007B3EA8">
        <w:rPr>
          <w:rStyle w:val="SCCCounselNameChar"/>
          <w:lang w:val="fr-CA"/>
        </w:rPr>
        <w:lastRenderedPageBreak/>
        <w:tab/>
      </w:r>
      <w:r w:rsidR="00461513" w:rsidRPr="007B3EA8">
        <w:rPr>
          <w:rStyle w:val="SCCCounselNameChar"/>
          <w:lang w:val="fr-CA"/>
        </w:rPr>
        <w:t>Kelly J. Bourassa</w:t>
      </w:r>
      <w:r w:rsidR="00461513" w:rsidRPr="007B3EA8">
        <w:rPr>
          <w:rStyle w:val="SCCCounselSeparatorChar"/>
          <w:lang w:val="fr-CA"/>
        </w:rPr>
        <w:t xml:space="preserve">, </w:t>
      </w:r>
      <w:r w:rsidR="00461513" w:rsidRPr="007B3EA8">
        <w:rPr>
          <w:rStyle w:val="SCCCounselNameChar"/>
          <w:lang w:val="fr-CA"/>
        </w:rPr>
        <w:t>Jeffrey Oliver</w:t>
      </w:r>
      <w:r w:rsidR="00461513" w:rsidRPr="007B3EA8">
        <w:rPr>
          <w:rStyle w:val="SCCCounselNameChar"/>
          <w:i w:val="0"/>
          <w:lang w:val="fr-CA"/>
        </w:rPr>
        <w:t>,</w:t>
      </w:r>
      <w:r w:rsidR="00461513" w:rsidRPr="007B3EA8">
        <w:rPr>
          <w:rStyle w:val="SCCCounselSeparatorChar"/>
          <w:lang w:val="fr-CA"/>
        </w:rPr>
        <w:t xml:space="preserve"> </w:t>
      </w:r>
      <w:r w:rsidR="00461513" w:rsidRPr="007B3EA8">
        <w:rPr>
          <w:rStyle w:val="SCCCounselNameChar"/>
          <w:lang w:val="fr-CA"/>
        </w:rPr>
        <w:t>Tom Cumming</w:t>
      </w:r>
      <w:r w:rsidR="00461513" w:rsidRPr="007B3EA8">
        <w:rPr>
          <w:rStyle w:val="SCCCounselSeparatorChar"/>
          <w:lang w:val="fr-CA"/>
        </w:rPr>
        <w:t xml:space="preserve">, </w:t>
      </w:r>
      <w:r w:rsidR="00461513" w:rsidRPr="007B3EA8">
        <w:rPr>
          <w:rStyle w:val="SCCCounselNameChar"/>
          <w:lang w:val="fr-CA"/>
        </w:rPr>
        <w:t>Ryan Zahara</w:t>
      </w:r>
      <w:r w:rsidR="00461513" w:rsidRPr="007B3EA8">
        <w:rPr>
          <w:rStyle w:val="SCCCounselNameChar"/>
          <w:i w:val="0"/>
          <w:lang w:val="fr-CA"/>
        </w:rPr>
        <w:t>,</w:t>
      </w:r>
      <w:r w:rsidR="00461513" w:rsidRPr="007B3EA8">
        <w:rPr>
          <w:rStyle w:val="SCCCounselNameChar"/>
          <w:lang w:val="fr-CA"/>
        </w:rPr>
        <w:t xml:space="preserve"> Danielle Maréchal</w:t>
      </w:r>
      <w:r w:rsidR="00461513" w:rsidRPr="007B3EA8">
        <w:rPr>
          <w:rStyle w:val="SCCCounselPartyRoleChar"/>
          <w:lang w:val="fr-CA"/>
        </w:rPr>
        <w:t xml:space="preserve">, </w:t>
      </w:r>
      <w:r w:rsidR="00461513" w:rsidRPr="007B3EA8">
        <w:rPr>
          <w:rStyle w:val="SCCCounselNameChar"/>
          <w:lang w:val="fr-CA"/>
        </w:rPr>
        <w:t>Brendan MacArthur</w:t>
      </w:r>
      <w:r w:rsidR="00FE589F" w:rsidRPr="007B3EA8">
        <w:rPr>
          <w:rStyle w:val="SCCCounselNameChar"/>
          <w:lang w:val="fr-CA"/>
        </w:rPr>
        <w:noBreakHyphen/>
      </w:r>
      <w:r w:rsidR="00461513" w:rsidRPr="007B3EA8">
        <w:rPr>
          <w:rStyle w:val="SCCCounselNameChar"/>
          <w:lang w:val="fr-CA"/>
        </w:rPr>
        <w:t>Stevens</w:t>
      </w:r>
      <w:r w:rsidR="00461513" w:rsidRPr="007B3EA8">
        <w:rPr>
          <w:rStyle w:val="SCCCounselSeparatorChar"/>
          <w:lang w:val="fr-CA"/>
        </w:rPr>
        <w:t xml:space="preserve"> et </w:t>
      </w:r>
      <w:r w:rsidR="00461513" w:rsidRPr="007B3EA8">
        <w:rPr>
          <w:rStyle w:val="SCCCounselNameChar"/>
          <w:lang w:val="fr-CA"/>
        </w:rPr>
        <w:t>Chris Nyberg</w:t>
      </w:r>
      <w:r w:rsidR="002D2429" w:rsidRPr="007B3EA8">
        <w:rPr>
          <w:rStyle w:val="SCCCounselPartyRoleChar"/>
          <w:lang w:val="fr-CA"/>
        </w:rPr>
        <w:t>, pour les intimé</w:t>
      </w:r>
      <w:r w:rsidR="00AE74DA" w:rsidRPr="007B3EA8">
        <w:rPr>
          <w:rStyle w:val="SCCCounselPartyRoleChar"/>
          <w:lang w:val="fr-CA"/>
        </w:rPr>
        <w:t>e</w:t>
      </w:r>
      <w:r w:rsidR="00461513" w:rsidRPr="007B3EA8">
        <w:rPr>
          <w:rStyle w:val="SCCCounselPartyRoleChar"/>
          <w:lang w:val="fr-CA"/>
        </w:rPr>
        <w:t>s.</w:t>
      </w:r>
    </w:p>
    <w:p w:rsidR="001A0C07" w:rsidRPr="007B3EA8" w:rsidRDefault="001A0C07" w:rsidP="00FE589F">
      <w:pPr>
        <w:pStyle w:val="SCCNormalDoubleSpacing"/>
        <w:spacing w:after="480"/>
        <w:rPr>
          <w:lang w:val="fr-CA"/>
        </w:rPr>
      </w:pPr>
      <w:r w:rsidRPr="007B3EA8">
        <w:rPr>
          <w:rStyle w:val="SCCCounselNameChar"/>
          <w:lang w:val="fr-CA"/>
        </w:rPr>
        <w:tab/>
        <w:t>Josh Hunter</w:t>
      </w:r>
      <w:r w:rsidRPr="007B3EA8">
        <w:rPr>
          <w:rStyle w:val="SCCCounselSeparatorChar"/>
          <w:lang w:val="fr-CA"/>
        </w:rPr>
        <w:t xml:space="preserve"> et </w:t>
      </w:r>
      <w:r w:rsidRPr="007B3EA8">
        <w:rPr>
          <w:rStyle w:val="SCCCounselNameChar"/>
          <w:lang w:val="fr-CA"/>
        </w:rPr>
        <w:t>Hayley Pitcher</w:t>
      </w:r>
      <w:r w:rsidR="00F66443" w:rsidRPr="007B3EA8">
        <w:rPr>
          <w:rStyle w:val="SCCCounselPartyRoleChar"/>
          <w:lang w:val="fr-CA"/>
        </w:rPr>
        <w:t>, pour l’intervenant</w:t>
      </w:r>
      <w:r w:rsidR="000B6A0C">
        <w:rPr>
          <w:rStyle w:val="SCCCounselPartyRoleChar"/>
          <w:lang w:val="fr-CA"/>
        </w:rPr>
        <w:t>e</w:t>
      </w:r>
      <w:r w:rsidR="00F66443" w:rsidRPr="007B3EA8">
        <w:rPr>
          <w:rStyle w:val="SCCCounselPartyRoleChar"/>
          <w:lang w:val="fr-CA"/>
        </w:rPr>
        <w:t xml:space="preserve"> la</w:t>
      </w:r>
      <w:r w:rsidRPr="007B3EA8">
        <w:rPr>
          <w:rStyle w:val="SCCCounselPartyRoleChar"/>
          <w:lang w:val="fr-CA"/>
        </w:rPr>
        <w:t xml:space="preserve"> procureur</w:t>
      </w:r>
      <w:r w:rsidR="00F66443" w:rsidRPr="007B3EA8">
        <w:rPr>
          <w:rStyle w:val="SCCCounselPartyRoleChar"/>
          <w:lang w:val="fr-CA"/>
        </w:rPr>
        <w:t>e</w:t>
      </w:r>
      <w:r w:rsidRPr="007B3EA8">
        <w:rPr>
          <w:rStyle w:val="SCCCounselPartyRoleChar"/>
          <w:lang w:val="fr-CA"/>
        </w:rPr>
        <w:t xml:space="preserve"> général</w:t>
      </w:r>
      <w:r w:rsidR="00F66443" w:rsidRPr="007B3EA8">
        <w:rPr>
          <w:rStyle w:val="SCCCounselPartyRoleChar"/>
          <w:lang w:val="fr-CA"/>
        </w:rPr>
        <w:t>e</w:t>
      </w:r>
      <w:r w:rsidRPr="007B3EA8">
        <w:rPr>
          <w:rStyle w:val="SCCCounselPartyRoleChar"/>
          <w:lang w:val="fr-CA"/>
        </w:rPr>
        <w:t xml:space="preserve"> de l’Ontario.</w:t>
      </w:r>
    </w:p>
    <w:p w:rsidR="001A0C07" w:rsidRPr="007B3EA8" w:rsidRDefault="001A0C07" w:rsidP="00FE589F">
      <w:pPr>
        <w:pStyle w:val="SCCNormalDoubleSpacing"/>
        <w:spacing w:after="480"/>
        <w:rPr>
          <w:lang w:val="fr-CA"/>
        </w:rPr>
      </w:pPr>
      <w:r w:rsidRPr="007B3EA8">
        <w:rPr>
          <w:rStyle w:val="SCCCounselNameChar"/>
          <w:lang w:val="fr-CA"/>
        </w:rPr>
        <w:tab/>
        <w:t>Gareth Morley</w:t>
      </w:r>
      <w:r w:rsidR="00461513" w:rsidRPr="007B3EA8">
        <w:rPr>
          <w:rStyle w:val="SCCCounselSeparatorChar"/>
          <w:lang w:val="fr-CA"/>
        </w:rPr>
        <w:t>,</w:t>
      </w:r>
      <w:r w:rsidRPr="007B3EA8">
        <w:rPr>
          <w:rStyle w:val="SCCCounselSeparatorChar"/>
          <w:lang w:val="fr-CA"/>
        </w:rPr>
        <w:t xml:space="preserve"> </w:t>
      </w:r>
      <w:r w:rsidR="00461513" w:rsidRPr="007B3EA8">
        <w:rPr>
          <w:rStyle w:val="SCCCounselNameChar"/>
          <w:lang w:val="fr-CA"/>
        </w:rPr>
        <w:t>Aaron Welch</w:t>
      </w:r>
      <w:r w:rsidR="00461513" w:rsidRPr="007B3EA8">
        <w:rPr>
          <w:rStyle w:val="SCCCounselSeparatorChar"/>
          <w:lang w:val="fr-CA"/>
        </w:rPr>
        <w:t xml:space="preserve"> </w:t>
      </w:r>
      <w:r w:rsidRPr="007B3EA8">
        <w:rPr>
          <w:rStyle w:val="SCCCounselSeparatorChar"/>
          <w:lang w:val="fr-CA"/>
        </w:rPr>
        <w:t xml:space="preserve">et </w:t>
      </w:r>
      <w:r w:rsidRPr="007B3EA8">
        <w:rPr>
          <w:rStyle w:val="SCCCounselNameChar"/>
          <w:lang w:val="fr-CA"/>
        </w:rPr>
        <w:t>Barbara Thomson</w:t>
      </w:r>
      <w:r w:rsidRPr="007B3EA8">
        <w:rPr>
          <w:rStyle w:val="SCCCounselPartyRoleChar"/>
          <w:lang w:val="fr-CA"/>
        </w:rPr>
        <w:t>, pour l’intervenant le procureur général de la Colombie</w:t>
      </w:r>
      <w:r w:rsidR="00FE589F" w:rsidRPr="007B3EA8">
        <w:rPr>
          <w:rStyle w:val="SCCCounselPartyRoleChar"/>
          <w:lang w:val="fr-CA"/>
        </w:rPr>
        <w:noBreakHyphen/>
      </w:r>
      <w:r w:rsidRPr="007B3EA8">
        <w:rPr>
          <w:rStyle w:val="SCCCounselPartyRoleChar"/>
          <w:lang w:val="fr-CA"/>
        </w:rPr>
        <w:t>Britannique.</w:t>
      </w:r>
    </w:p>
    <w:p w:rsidR="001A0C07" w:rsidRPr="007B3EA8" w:rsidRDefault="001A0C07" w:rsidP="00FE589F">
      <w:pPr>
        <w:pStyle w:val="SCCNormalDoubleSpacing"/>
        <w:spacing w:after="480"/>
        <w:rPr>
          <w:lang w:val="fr-CA"/>
        </w:rPr>
      </w:pPr>
      <w:r w:rsidRPr="007B3EA8">
        <w:rPr>
          <w:rStyle w:val="SCCCounselNameChar"/>
          <w:lang w:val="fr-CA"/>
        </w:rPr>
        <w:tab/>
        <w:t>Richard James Fyfe</w:t>
      </w:r>
      <w:r w:rsidRPr="007B3EA8">
        <w:rPr>
          <w:rStyle w:val="SCCCounselPartyRoleChar"/>
          <w:lang w:val="fr-CA"/>
        </w:rPr>
        <w:t>, pour l’intervenant le procureur général de la Saskatchewan.</w:t>
      </w:r>
    </w:p>
    <w:p w:rsidR="00065867" w:rsidRPr="007B3EA8" w:rsidRDefault="001A0C07" w:rsidP="00FE589F">
      <w:pPr>
        <w:pStyle w:val="SCCNormalDoubleSpacing"/>
        <w:spacing w:after="480"/>
        <w:rPr>
          <w:lang w:val="fr-CA"/>
        </w:rPr>
      </w:pPr>
      <w:r w:rsidRPr="007B3EA8">
        <w:rPr>
          <w:rStyle w:val="SCCCounselNameChar"/>
          <w:lang w:val="fr-CA"/>
        </w:rPr>
        <w:tab/>
      </w:r>
      <w:r w:rsidR="00461513" w:rsidRPr="007B3EA8">
        <w:rPr>
          <w:rStyle w:val="SCCCounselNameChar"/>
          <w:lang w:val="fr-CA"/>
        </w:rPr>
        <w:t xml:space="preserve">Robert </w:t>
      </w:r>
      <w:r w:rsidR="00AC7CB4" w:rsidRPr="007B3EA8">
        <w:rPr>
          <w:rStyle w:val="SCCCounselNameChar"/>
          <w:lang w:val="fr-CA"/>
        </w:rPr>
        <w:t>Normey</w:t>
      </w:r>
      <w:r w:rsidR="00461513" w:rsidRPr="007B3EA8">
        <w:rPr>
          <w:rStyle w:val="SCCCounselNameChar"/>
          <w:i w:val="0"/>
          <w:lang w:val="fr-CA"/>
        </w:rPr>
        <w:t xml:space="preserve"> et</w:t>
      </w:r>
      <w:r w:rsidR="00AC7CB4" w:rsidRPr="007B3EA8">
        <w:rPr>
          <w:rStyle w:val="SCCCounselNameChar"/>
          <w:lang w:val="fr-CA"/>
        </w:rPr>
        <w:t xml:space="preserve"> Vivienne Ball</w:t>
      </w:r>
      <w:r w:rsidR="00AC7CB4" w:rsidRPr="007B3EA8">
        <w:rPr>
          <w:rStyle w:val="SCCCounselPartyRoleChar"/>
          <w:lang w:val="fr-CA"/>
        </w:rPr>
        <w:t>, p</w:t>
      </w:r>
      <w:r w:rsidRPr="007B3EA8">
        <w:rPr>
          <w:rStyle w:val="SCCCounselPartyRoleChar"/>
          <w:lang w:val="fr-CA"/>
        </w:rPr>
        <w:t>our l’intervenant</w:t>
      </w:r>
      <w:r w:rsidR="00AC7CB4" w:rsidRPr="007B3EA8">
        <w:rPr>
          <w:rStyle w:val="SCCCounselPartyRoleChar"/>
          <w:lang w:val="fr-CA"/>
        </w:rPr>
        <w:t xml:space="preserve"> </w:t>
      </w:r>
      <w:r w:rsidR="009612EE" w:rsidRPr="007B3EA8">
        <w:rPr>
          <w:rStyle w:val="SCCCounselPartyRoleChar"/>
          <w:lang w:val="fr-CA"/>
        </w:rPr>
        <w:t>le procureur général de l’</w:t>
      </w:r>
      <w:r w:rsidR="00AC7CB4" w:rsidRPr="007B3EA8">
        <w:rPr>
          <w:rStyle w:val="SCCCounselPartyRoleChar"/>
          <w:lang w:val="fr-CA"/>
        </w:rPr>
        <w:t>Alberta.</w:t>
      </w:r>
    </w:p>
    <w:p w:rsidR="001A0C07" w:rsidRPr="007B3EA8" w:rsidRDefault="00AC7CB4" w:rsidP="00FE589F">
      <w:pPr>
        <w:pStyle w:val="SCCNormalDoubleSpacing"/>
        <w:spacing w:after="480"/>
        <w:rPr>
          <w:lang w:val="fr-CA"/>
        </w:rPr>
      </w:pPr>
      <w:r w:rsidRPr="007B3EA8">
        <w:rPr>
          <w:rStyle w:val="SCCCounselNameChar"/>
          <w:lang w:val="fr-CA"/>
        </w:rPr>
        <w:tab/>
      </w:r>
      <w:r w:rsidR="00461513" w:rsidRPr="007B3EA8">
        <w:rPr>
          <w:rStyle w:val="SCCCounselNameChar"/>
          <w:lang w:val="fr-CA"/>
        </w:rPr>
        <w:t>Adrian Scotchmer</w:t>
      </w:r>
      <w:r w:rsidR="001A0C07" w:rsidRPr="007B3EA8">
        <w:rPr>
          <w:rStyle w:val="SCCCounselPartyRoleChar"/>
          <w:lang w:val="fr-CA"/>
        </w:rPr>
        <w:t>, pour l’intervenante Ecojustice Canada Society.</w:t>
      </w:r>
    </w:p>
    <w:p w:rsidR="00065867" w:rsidRPr="007B3EA8" w:rsidRDefault="001A0C07" w:rsidP="00FE589F">
      <w:pPr>
        <w:pStyle w:val="SCCNormalDoubleSpacing"/>
        <w:spacing w:after="480"/>
        <w:rPr>
          <w:lang w:val="fr-CA"/>
        </w:rPr>
      </w:pPr>
      <w:r w:rsidRPr="007B3EA8">
        <w:rPr>
          <w:rStyle w:val="SCCCounselNameChar"/>
          <w:lang w:val="fr-CA"/>
        </w:rPr>
        <w:tab/>
      </w:r>
      <w:r w:rsidR="00AC7CB4" w:rsidRPr="007B3EA8">
        <w:rPr>
          <w:rStyle w:val="SCCCounselNameChar"/>
          <w:lang w:val="fr-CA"/>
        </w:rPr>
        <w:t>Lewis Manning</w:t>
      </w:r>
      <w:r w:rsidR="00AC7CB4" w:rsidRPr="007B3EA8">
        <w:rPr>
          <w:rStyle w:val="SCCCounselSeparatorChar"/>
          <w:lang w:val="fr-CA"/>
        </w:rPr>
        <w:t xml:space="preserve"> et </w:t>
      </w:r>
      <w:r w:rsidR="00AC7CB4" w:rsidRPr="007B3EA8">
        <w:rPr>
          <w:rStyle w:val="SCCCounselNameChar"/>
          <w:lang w:val="fr-CA"/>
        </w:rPr>
        <w:t>Toby Kruger</w:t>
      </w:r>
      <w:r w:rsidRPr="007B3EA8">
        <w:rPr>
          <w:rStyle w:val="SCCCounselPartyRoleChar"/>
          <w:lang w:val="fr-CA"/>
        </w:rPr>
        <w:t>, pour l’intervenante l’</w:t>
      </w:r>
      <w:r w:rsidR="00AC7CB4" w:rsidRPr="007B3EA8">
        <w:rPr>
          <w:rStyle w:val="SCCCounselPartyRoleChar"/>
          <w:lang w:val="fr-CA"/>
        </w:rPr>
        <w:t>Association canadienne des producteurs pétroliers.</w:t>
      </w:r>
    </w:p>
    <w:p w:rsidR="001A0C07" w:rsidRPr="007B3EA8" w:rsidRDefault="00AC7CB4" w:rsidP="00FE589F">
      <w:pPr>
        <w:pStyle w:val="SCCNormalDoubleSpacing"/>
        <w:spacing w:after="480"/>
        <w:rPr>
          <w:lang w:val="fr-CA"/>
        </w:rPr>
      </w:pPr>
      <w:r w:rsidRPr="007B3EA8">
        <w:rPr>
          <w:rStyle w:val="SCCCounselNameChar"/>
          <w:lang w:val="fr-CA"/>
        </w:rPr>
        <w:tab/>
      </w:r>
      <w:r w:rsidR="00FE589F" w:rsidRPr="007B3EA8">
        <w:rPr>
          <w:rStyle w:val="SCCCounselNameChar"/>
          <w:lang w:val="fr-CA"/>
        </w:rPr>
        <w:t>Nader </w:t>
      </w:r>
      <w:r w:rsidR="00461513" w:rsidRPr="007B3EA8">
        <w:rPr>
          <w:rStyle w:val="SCCCounselNameChar"/>
          <w:lang w:val="fr-CA"/>
        </w:rPr>
        <w:t>R.</w:t>
      </w:r>
      <w:r w:rsidR="00FE589F" w:rsidRPr="007B3EA8">
        <w:rPr>
          <w:rStyle w:val="SCCCounselNameChar"/>
          <w:lang w:val="fr-CA"/>
        </w:rPr>
        <w:t xml:space="preserve"> </w:t>
      </w:r>
      <w:r w:rsidR="001A0C07" w:rsidRPr="007B3EA8">
        <w:rPr>
          <w:rStyle w:val="SCCCounselNameChar"/>
          <w:lang w:val="fr-CA"/>
        </w:rPr>
        <w:t>Hasan</w:t>
      </w:r>
      <w:r w:rsidR="001A0C07" w:rsidRPr="007B3EA8">
        <w:rPr>
          <w:rStyle w:val="SCCCounselSeparatorChar"/>
          <w:lang w:val="fr-CA"/>
        </w:rPr>
        <w:t xml:space="preserve"> et </w:t>
      </w:r>
      <w:r w:rsidR="001A0C07" w:rsidRPr="007B3EA8">
        <w:rPr>
          <w:rStyle w:val="SCCCounselNameChar"/>
          <w:lang w:val="fr-CA"/>
        </w:rPr>
        <w:t>Lindsay Board</w:t>
      </w:r>
      <w:r w:rsidR="001A0C07" w:rsidRPr="007B3EA8">
        <w:rPr>
          <w:rStyle w:val="SCCCounselPartyRoleChar"/>
          <w:lang w:val="fr-CA"/>
        </w:rPr>
        <w:t>, pour l’intervenante Greenpeace Canada.</w:t>
      </w:r>
    </w:p>
    <w:p w:rsidR="001A0C07" w:rsidRPr="007B3EA8" w:rsidRDefault="001A0C07" w:rsidP="00FE589F">
      <w:pPr>
        <w:pStyle w:val="SCCNormalDoubleSpacing"/>
        <w:spacing w:after="480"/>
        <w:rPr>
          <w:lang w:val="fr-CA"/>
        </w:rPr>
      </w:pPr>
      <w:r w:rsidRPr="007B3EA8">
        <w:rPr>
          <w:rStyle w:val="SCCCounselNameChar"/>
          <w:lang w:val="fr-CA"/>
        </w:rPr>
        <w:tab/>
        <w:t>Christine Laing</w:t>
      </w:r>
      <w:r w:rsidRPr="007B3EA8">
        <w:rPr>
          <w:rStyle w:val="SCCCounselSeparatorChar"/>
          <w:lang w:val="fr-CA"/>
        </w:rPr>
        <w:t xml:space="preserve"> et </w:t>
      </w:r>
      <w:r w:rsidRPr="007B3EA8">
        <w:rPr>
          <w:rStyle w:val="SCCCounselNameChar"/>
          <w:lang w:val="fr-CA"/>
        </w:rPr>
        <w:t>Shaun Fluker</w:t>
      </w:r>
      <w:r w:rsidRPr="007B3EA8">
        <w:rPr>
          <w:rStyle w:val="SCCCounselPartyRoleChar"/>
          <w:lang w:val="fr-CA"/>
        </w:rPr>
        <w:t>, pour l’intervenante Action Surface Rights Association.</w:t>
      </w:r>
    </w:p>
    <w:p w:rsidR="00065867" w:rsidRPr="007B3EA8" w:rsidRDefault="001A0C07" w:rsidP="00FE589F">
      <w:pPr>
        <w:pStyle w:val="SCCNormalDoubleSpacing"/>
        <w:spacing w:after="480"/>
        <w:rPr>
          <w:lang w:val="fr-CA"/>
        </w:rPr>
      </w:pPr>
      <w:r w:rsidRPr="007B3EA8">
        <w:rPr>
          <w:rStyle w:val="SCCCounselNameChar"/>
          <w:lang w:val="fr-CA"/>
        </w:rPr>
        <w:lastRenderedPageBreak/>
        <w:tab/>
      </w:r>
      <w:r w:rsidR="00FE589F" w:rsidRPr="007B3EA8">
        <w:rPr>
          <w:rStyle w:val="SCCCounselNameChar"/>
          <w:lang w:val="fr-CA"/>
        </w:rPr>
        <w:t>Caireen </w:t>
      </w:r>
      <w:r w:rsidR="00461513" w:rsidRPr="007B3EA8">
        <w:rPr>
          <w:rStyle w:val="SCCCounselNameChar"/>
          <w:lang w:val="fr-CA"/>
        </w:rPr>
        <w:t>E.</w:t>
      </w:r>
      <w:r w:rsidR="00FE589F" w:rsidRPr="007B3EA8">
        <w:rPr>
          <w:rStyle w:val="SCCCounselNameChar"/>
          <w:lang w:val="fr-CA"/>
        </w:rPr>
        <w:t xml:space="preserve"> </w:t>
      </w:r>
      <w:r w:rsidR="00AC7CB4" w:rsidRPr="007B3EA8">
        <w:rPr>
          <w:rStyle w:val="SCCCounselNameChar"/>
          <w:lang w:val="fr-CA"/>
        </w:rPr>
        <w:t>Hanert</w:t>
      </w:r>
      <w:r w:rsidR="00AC7CB4" w:rsidRPr="007B3EA8">
        <w:rPr>
          <w:rStyle w:val="SCCCounselSeparatorChar"/>
          <w:lang w:val="fr-CA"/>
        </w:rPr>
        <w:t xml:space="preserve"> et </w:t>
      </w:r>
      <w:r w:rsidR="00AC7CB4" w:rsidRPr="007B3EA8">
        <w:rPr>
          <w:rStyle w:val="SCCCounselNameChar"/>
          <w:lang w:val="fr-CA"/>
        </w:rPr>
        <w:t>Adam Maerov</w:t>
      </w:r>
      <w:r w:rsidRPr="007B3EA8">
        <w:rPr>
          <w:rStyle w:val="SCCCounselPartyRoleChar"/>
          <w:lang w:val="fr-CA"/>
        </w:rPr>
        <w:t>, pour l’intervenante l’</w:t>
      </w:r>
      <w:r w:rsidR="00AC7CB4" w:rsidRPr="007B3EA8">
        <w:rPr>
          <w:rStyle w:val="SCCCounselPartyRoleChar"/>
          <w:lang w:val="fr-CA"/>
        </w:rPr>
        <w:t>Association canadienne des professionnels de l’insolvabilité et de la réorganisation.</w:t>
      </w:r>
    </w:p>
    <w:p w:rsidR="00DF13E5" w:rsidRDefault="00461513" w:rsidP="00FE589F">
      <w:pPr>
        <w:pStyle w:val="SCCNormalDoubleSpacing"/>
        <w:spacing w:after="480"/>
        <w:rPr>
          <w:rStyle w:val="SCCCounselPartyRoleChar"/>
          <w:lang w:val="fr-CA"/>
        </w:rPr>
      </w:pPr>
      <w:r w:rsidRPr="007B3EA8">
        <w:rPr>
          <w:rStyle w:val="SCCCounselNameChar"/>
          <w:lang w:val="fr-CA"/>
        </w:rPr>
        <w:tab/>
        <w:t>Howard</w:t>
      </w:r>
      <w:r w:rsidR="00FE589F" w:rsidRPr="007B3EA8">
        <w:rPr>
          <w:rStyle w:val="SCCCounselNameChar"/>
          <w:lang w:val="fr-CA"/>
        </w:rPr>
        <w:t xml:space="preserve"> A. </w:t>
      </w:r>
      <w:r w:rsidR="00AC7CB4" w:rsidRPr="007B3EA8">
        <w:rPr>
          <w:rStyle w:val="SCCCounselNameChar"/>
          <w:lang w:val="fr-CA"/>
        </w:rPr>
        <w:t>Gorman</w:t>
      </w:r>
      <w:r w:rsidRPr="007B3EA8">
        <w:rPr>
          <w:rStyle w:val="SCCCounselNameChar"/>
          <w:i w:val="0"/>
          <w:lang w:val="fr-CA"/>
        </w:rPr>
        <w:t xml:space="preserve">, </w:t>
      </w:r>
      <w:r w:rsidRPr="007B3EA8">
        <w:rPr>
          <w:rStyle w:val="SCCCounselNameChar"/>
          <w:lang w:val="fr-CA"/>
        </w:rPr>
        <w:t>c.r.</w:t>
      </w:r>
      <w:r w:rsidRPr="007B3EA8">
        <w:rPr>
          <w:rStyle w:val="SCCCounselNameChar"/>
          <w:i w:val="0"/>
          <w:lang w:val="fr-CA"/>
        </w:rPr>
        <w:t>,</w:t>
      </w:r>
      <w:r w:rsidR="00AC7CB4" w:rsidRPr="007B3EA8">
        <w:rPr>
          <w:rStyle w:val="SCCCounselSeparatorChar"/>
          <w:lang w:val="fr-CA"/>
        </w:rPr>
        <w:t xml:space="preserve"> et </w:t>
      </w:r>
      <w:r w:rsidR="009612EE" w:rsidRPr="007B3EA8">
        <w:rPr>
          <w:rStyle w:val="SCCCounselNameChar"/>
          <w:lang w:val="fr-CA"/>
        </w:rPr>
        <w:t>D. </w:t>
      </w:r>
      <w:r w:rsidR="00AC7CB4" w:rsidRPr="007B3EA8">
        <w:rPr>
          <w:rStyle w:val="SCCCounselNameChar"/>
          <w:lang w:val="fr-CA"/>
        </w:rPr>
        <w:t>Aaron Stephenson</w:t>
      </w:r>
      <w:r w:rsidR="001A0C07" w:rsidRPr="007B3EA8">
        <w:rPr>
          <w:rStyle w:val="SCCCounselPartyRoleChar"/>
          <w:lang w:val="fr-CA"/>
        </w:rPr>
        <w:t>, pour l’intervenante l’</w:t>
      </w:r>
      <w:r w:rsidR="00AC7CB4" w:rsidRPr="007B3EA8">
        <w:rPr>
          <w:rStyle w:val="SCCCounselPartyRoleChar"/>
          <w:lang w:val="fr-CA"/>
        </w:rPr>
        <w:t>Association de</w:t>
      </w:r>
      <w:r w:rsidR="001A0C07" w:rsidRPr="007B3EA8">
        <w:rPr>
          <w:rStyle w:val="SCCCounselPartyRoleChar"/>
          <w:lang w:val="fr-CA"/>
        </w:rPr>
        <w:t>s</w:t>
      </w:r>
      <w:r w:rsidR="00AC7CB4" w:rsidRPr="007B3EA8">
        <w:rPr>
          <w:rStyle w:val="SCCCounselPartyRoleChar"/>
          <w:lang w:val="fr-CA"/>
        </w:rPr>
        <w:t xml:space="preserve"> banquiers canadiens.</w:t>
      </w:r>
    </w:p>
    <w:p w:rsidR="00DF13E5" w:rsidRDefault="007C0F2F" w:rsidP="007C0F2F">
      <w:pPr>
        <w:pStyle w:val="SCCNormalDoubleSpacing"/>
        <w:spacing w:after="480"/>
        <w:rPr>
          <w:lang w:val="fr-CA"/>
        </w:rPr>
      </w:pPr>
      <w:r>
        <w:rPr>
          <w:lang w:val="fr-CA"/>
        </w:rPr>
        <w:tab/>
      </w:r>
      <w:r w:rsidR="00DF13E5" w:rsidRPr="00240CBC">
        <w:rPr>
          <w:lang w:val="fr-CA"/>
        </w:rPr>
        <w:t xml:space="preserve">Version française du </w:t>
      </w:r>
      <w:r w:rsidR="00DF13E5" w:rsidRPr="007C0F2F">
        <w:rPr>
          <w:rStyle w:val="SCCCounselPartyRoleChar"/>
          <w:lang w:val="fr-CA"/>
        </w:rPr>
        <w:t>jugement</w:t>
      </w:r>
      <w:r w:rsidR="00DF13E5" w:rsidRPr="00240CBC">
        <w:rPr>
          <w:lang w:val="fr-CA"/>
        </w:rPr>
        <w:t xml:space="preserve"> du juge en chef Wagner et des juges Abella, Karakatsanis, Gascon </w:t>
      </w:r>
      <w:r w:rsidR="00DF13E5">
        <w:rPr>
          <w:lang w:val="fr-CA"/>
        </w:rPr>
        <w:t>et Brown</w:t>
      </w:r>
      <w:r w:rsidR="00DF13E5" w:rsidRPr="00240CBC">
        <w:rPr>
          <w:lang w:val="fr-CA"/>
        </w:rPr>
        <w:t xml:space="preserve"> rendu par</w:t>
      </w:r>
    </w:p>
    <w:p w:rsidR="00DF13E5" w:rsidRPr="00240CBC" w:rsidRDefault="00DF13E5" w:rsidP="00DF13E5">
      <w:pPr>
        <w:rPr>
          <w:lang w:val="fr-CA"/>
        </w:rPr>
      </w:pPr>
    </w:p>
    <w:p w:rsidR="00DF13E5" w:rsidRPr="00565B7B" w:rsidRDefault="00DF13E5" w:rsidP="00DF13E5">
      <w:pPr>
        <w:pStyle w:val="JudgeJuge"/>
        <w:spacing w:before="480"/>
        <w:rPr>
          <w:lang w:val="fr-CA"/>
        </w:rPr>
      </w:pPr>
      <w:r w:rsidRPr="00565B7B">
        <w:rPr>
          <w:lang w:val="fr-CA"/>
        </w:rPr>
        <w:tab/>
        <w:t xml:space="preserve">Le juge en chef — </w:t>
      </w:r>
    </w:p>
    <w:p w:rsidR="00DF13E5" w:rsidRPr="00565B7B" w:rsidRDefault="00DF13E5" w:rsidP="00DF13E5">
      <w:pPr>
        <w:pStyle w:val="Title1LevelTitre1Niveau-AltL"/>
        <w:rPr>
          <w:rFonts w:cs="Times New Roman"/>
          <w:lang w:val="fr-CA"/>
        </w:rPr>
      </w:pPr>
      <w:r w:rsidRPr="00565B7B">
        <w:rPr>
          <w:rFonts w:cs="Times New Roman"/>
          <w:lang w:val="fr-CA"/>
        </w:rPr>
        <w:t>Introduction</w:t>
      </w:r>
    </w:p>
    <w:p w:rsidR="00DF13E5" w:rsidRPr="00565B7B" w:rsidRDefault="00DF13E5" w:rsidP="007872F1">
      <w:pPr>
        <w:pStyle w:val="ParaNoNdepar-AltN"/>
        <w:rPr>
          <w:lang w:val="fr-CA"/>
        </w:rPr>
      </w:pPr>
      <w:r w:rsidRPr="00565B7B">
        <w:rPr>
          <w:lang w:val="fr-CA"/>
        </w:rPr>
        <w:t xml:space="preserve">L’industrie pétrolière et gazière est une composante lucrative et importante de l’économie albertaine et canadienne. Cette industrie entraîne également certains coûts et certaines conséquences inévitables pour l’environnement. Pour y faire face, l’Alberta a mis en place un régime complet de délivrance de permis du berceau à la tombe qui lie les sociétés actives dans l’industrie. Une société n’obtiendra pas les permis dont elle a besoin pour extraire, traiter ou transporter du pétrole et du gaz en Alberta, à moins qu’elle n’assume les responsabilités de fin de vie consistant à obturer et à fermer les puits de pétrole afin d’éviter les fuites, à démanteler les structures de surface ainsi qu’à remettre la surface dans son état antérieur. </w:t>
      </w:r>
      <w:r w:rsidR="00EE0D3C">
        <w:rPr>
          <w:lang w:val="fr-CA"/>
        </w:rPr>
        <w:t xml:space="preserve">Ces obligations sont appelées la </w:t>
      </w:r>
      <w:r w:rsidRPr="00565B7B">
        <w:rPr>
          <w:lang w:val="fr-CA"/>
        </w:rPr>
        <w:t>[</w:t>
      </w:r>
      <w:r w:rsidRPr="00565B7B">
        <w:rPr>
          <w:smallCaps/>
          <w:lang w:val="fr-CA"/>
        </w:rPr>
        <w:t>traduction</w:t>
      </w:r>
      <w:r w:rsidR="00EE0D3C">
        <w:rPr>
          <w:lang w:val="fr-CA"/>
        </w:rPr>
        <w:t>] « remise en état » et l’</w:t>
      </w:r>
      <w:r w:rsidRPr="00565B7B">
        <w:rPr>
          <w:lang w:val="fr-CA"/>
        </w:rPr>
        <w:t>« </w:t>
      </w:r>
      <w:r w:rsidR="00EE0D3C">
        <w:rPr>
          <w:lang w:val="fr-CA"/>
        </w:rPr>
        <w:t>abandon</w:t>
      </w:r>
      <w:r w:rsidRPr="00565B7B">
        <w:rPr>
          <w:lang w:val="fr-CA"/>
        </w:rPr>
        <w:t>» (</w:t>
      </w:r>
      <w:r w:rsidRPr="00565B7B">
        <w:rPr>
          <w:i/>
          <w:lang w:val="fr-CA"/>
        </w:rPr>
        <w:t xml:space="preserve">Environmental </w:t>
      </w:r>
      <w:r w:rsidRPr="00565B7B">
        <w:rPr>
          <w:i/>
          <w:lang w:val="fr-CA"/>
        </w:rPr>
        <w:lastRenderedPageBreak/>
        <w:t>Protection and Enhancement Act</w:t>
      </w:r>
      <w:r w:rsidRPr="00565B7B">
        <w:rPr>
          <w:lang w:val="fr-CA"/>
        </w:rPr>
        <w:t xml:space="preserve">, R.S.A. </w:t>
      </w:r>
      <w:r w:rsidR="00EE0D3C">
        <w:rPr>
          <w:lang w:val="fr-CA"/>
        </w:rPr>
        <w:t>2000, c. E</w:t>
      </w:r>
      <w:r w:rsidR="00EE0D3C">
        <w:rPr>
          <w:lang w:val="fr-CA"/>
        </w:rPr>
        <w:noBreakHyphen/>
        <w:t>12 (« </w:t>
      </w:r>
      <w:r w:rsidR="00EE0D3C" w:rsidRPr="003C0727">
        <w:rPr>
          <w:i/>
          <w:lang w:val="fr-CA"/>
        </w:rPr>
        <w:t>EPEA</w:t>
      </w:r>
      <w:r w:rsidR="00EE0D3C">
        <w:rPr>
          <w:lang w:val="fr-CA"/>
        </w:rPr>
        <w:t> »), al. 1</w:t>
      </w:r>
      <w:r w:rsidR="007C0F2F">
        <w:rPr>
          <w:lang w:val="fr-CA"/>
        </w:rPr>
        <w:t>(</w:t>
      </w:r>
      <w:r w:rsidRPr="00565B7B">
        <w:rPr>
          <w:lang w:val="fr-CA"/>
        </w:rPr>
        <w:t>ddd)</w:t>
      </w:r>
      <w:r w:rsidR="00EE0D3C">
        <w:rPr>
          <w:lang w:val="fr-CA"/>
        </w:rPr>
        <w:t xml:space="preserve"> et </w:t>
      </w:r>
      <w:r w:rsidR="00EE0D3C" w:rsidRPr="00565B7B">
        <w:rPr>
          <w:i/>
          <w:lang w:val="fr-CA"/>
        </w:rPr>
        <w:t>Oil and Gas Conservation Act</w:t>
      </w:r>
      <w:r w:rsidR="00EE0D3C" w:rsidRPr="00565B7B">
        <w:rPr>
          <w:lang w:val="fr-CA"/>
        </w:rPr>
        <w:t>, R.S.A. 2000,</w:t>
      </w:r>
      <w:r w:rsidR="000F729F">
        <w:rPr>
          <w:lang w:val="fr-CA"/>
        </w:rPr>
        <w:t xml:space="preserve"> c. O-</w:t>
      </w:r>
      <w:r w:rsidR="00EE0D3C">
        <w:rPr>
          <w:lang w:val="fr-CA"/>
        </w:rPr>
        <w:t>6 (« </w:t>
      </w:r>
      <w:r w:rsidR="00EE0D3C" w:rsidRPr="003C0727">
        <w:rPr>
          <w:i/>
          <w:lang w:val="fr-CA"/>
        </w:rPr>
        <w:t>OGCA</w:t>
      </w:r>
      <w:r w:rsidR="00EE0D3C">
        <w:rPr>
          <w:lang w:val="fr-CA"/>
        </w:rPr>
        <w:t> »), al. 1(1)</w:t>
      </w:r>
      <w:r w:rsidR="007C0F2F">
        <w:rPr>
          <w:lang w:val="fr-CA"/>
        </w:rPr>
        <w:t>(</w:t>
      </w:r>
      <w:r w:rsidR="00EE0D3C">
        <w:rPr>
          <w:lang w:val="fr-CA"/>
        </w:rPr>
        <w:t>a)</w:t>
      </w:r>
      <w:r w:rsidRPr="00565B7B">
        <w:rPr>
          <w:lang w:val="fr-CA"/>
        </w:rPr>
        <w:t>).</w:t>
      </w:r>
    </w:p>
    <w:p w:rsidR="00DF13E5" w:rsidRPr="00565B7B" w:rsidRDefault="00DF13E5" w:rsidP="00DF13E5">
      <w:pPr>
        <w:pStyle w:val="ParaNoNdepar-AltN"/>
        <w:rPr>
          <w:rFonts w:cs="Times New Roman"/>
          <w:lang w:val="fr-CA"/>
        </w:rPr>
      </w:pPr>
      <w:r w:rsidRPr="00565B7B">
        <w:rPr>
          <w:rFonts w:cs="Times New Roman"/>
          <w:lang w:val="fr-CA"/>
        </w:rPr>
        <w:t xml:space="preserve">La question en l’espèce est de savoir ce qu’il advient de ces obligations lorsqu’une société est en faillite et qu’un syndic de faillite est chargé de répartir ses biens entre divers créanciers conformément aux règles prévues dans la </w:t>
      </w:r>
      <w:r w:rsidRPr="00565B7B">
        <w:rPr>
          <w:rFonts w:cs="Times New Roman"/>
          <w:i/>
          <w:lang w:val="fr-CA"/>
        </w:rPr>
        <w:t>Loi sur la faillite et l’insolvabilité</w:t>
      </w:r>
      <w:r w:rsidRPr="00565B7B">
        <w:rPr>
          <w:rFonts w:cs="Times New Roman"/>
          <w:lang w:val="fr-CA"/>
        </w:rPr>
        <w:t>, L.R.C. 1985, c. B</w:t>
      </w:r>
      <w:r w:rsidRPr="00565B7B">
        <w:rPr>
          <w:rFonts w:cs="Times New Roman"/>
          <w:lang w:val="fr-CA"/>
        </w:rPr>
        <w:noBreakHyphen/>
        <w:t>3 (« </w:t>
      </w:r>
      <w:r w:rsidRPr="003C0727">
        <w:rPr>
          <w:rFonts w:cs="Times New Roman"/>
          <w:i/>
          <w:lang w:val="fr-CA"/>
        </w:rPr>
        <w:t>LFI</w:t>
      </w:r>
      <w:r w:rsidRPr="00565B7B">
        <w:rPr>
          <w:rFonts w:cs="Times New Roman"/>
          <w:lang w:val="fr-CA"/>
        </w:rPr>
        <w:t> »). Redwater Energy Corporation (« Redwater ») est la société en faillite au cœur du présent pourvoi. Son actif est principalement composé de 127 biens pétroliers et gaziers — puits, pipelines et installations — et des permis correspondants. Quelques</w:t>
      </w:r>
      <w:r w:rsidRPr="00565B7B">
        <w:rPr>
          <w:rFonts w:cs="Times New Roman"/>
          <w:lang w:val="fr-CA"/>
        </w:rPr>
        <w:noBreakHyphen/>
        <w:t>uns des puits autorisés de Redwater sont encore productifs et rentables. La majorité est tarie et grevée de responsabilités relatives à l’abandon et à la remise en état qui excèdent leur valeur.</w:t>
      </w:r>
    </w:p>
    <w:p w:rsidR="00DF13E5" w:rsidRPr="00565B7B" w:rsidRDefault="00DF13E5" w:rsidP="00DF13E5">
      <w:pPr>
        <w:pStyle w:val="ParaNoNdepar-AltN"/>
        <w:rPr>
          <w:rFonts w:cs="Times New Roman"/>
          <w:lang w:val="fr-CA"/>
        </w:rPr>
      </w:pPr>
      <w:r w:rsidRPr="00565B7B">
        <w:rPr>
          <w:rFonts w:cs="Times New Roman"/>
          <w:lang w:val="fr-CA"/>
        </w:rPr>
        <w:t xml:space="preserve">L’Alberta Energy Regulator (« organisme de réglementation ») et l’Orphan Well Association (« OWA ») sont les appelants devant notre Cour (pour simplifier, je les </w:t>
      </w:r>
      <w:r w:rsidR="00EE0D3C" w:rsidRPr="00565B7B">
        <w:rPr>
          <w:rFonts w:cs="Times New Roman"/>
          <w:lang w:val="fr-CA"/>
        </w:rPr>
        <w:t>appellerai</w:t>
      </w:r>
      <w:r w:rsidRPr="00565B7B">
        <w:rPr>
          <w:rFonts w:cs="Times New Roman"/>
          <w:lang w:val="fr-CA"/>
        </w:rPr>
        <w:t xml:space="preserve"> l’organisme de réglementation au moment d’analyser la position des appelants, sauf indication contraire). L’organisme de réglementation administre le régime de délivrance de permis de l’Alberta et assure le respect, par les titulaires de permis, des obligations relatives à l’abandon et à la remise en état. L’organisme de réglementation a délégué à l’OWA, une entité indépendante sans but lucratif, le pouvoir d’abandonner et de remettre en état les « orphelins » — les biens pétroliers et gaziers ainsi que leurs sites délaissés</w:t>
      </w:r>
      <w:r w:rsidR="00EE0D3C">
        <w:rPr>
          <w:rFonts w:cs="Times New Roman"/>
          <w:lang w:val="fr-CA"/>
        </w:rPr>
        <w:t xml:space="preserve"> ou non réclamés</w:t>
      </w:r>
      <w:r w:rsidRPr="00565B7B">
        <w:rPr>
          <w:rFonts w:cs="Times New Roman"/>
          <w:lang w:val="fr-CA"/>
        </w:rPr>
        <w:t xml:space="preserve"> sans que les processus en question n’aient été correctement effectués par les sociétés liquidées à la fin de leur procédure d’insolvabilité. L’organisme de réglementation affirme que, d’une façon ou d’une autre, la valeur restante de l’actif de Redwater doit être utilisée pour satisfaire aux </w:t>
      </w:r>
      <w:r w:rsidRPr="00565B7B">
        <w:rPr>
          <w:rFonts w:cs="Times New Roman"/>
          <w:lang w:val="fr-CA"/>
        </w:rPr>
        <w:lastRenderedPageBreak/>
        <w:t>obligations d’abandon et de remise en état qui sont associées à ses biens visés par des permis.</w:t>
      </w:r>
    </w:p>
    <w:p w:rsidR="00DF13E5" w:rsidRPr="00565B7B" w:rsidRDefault="00DF13E5" w:rsidP="00DF13E5">
      <w:pPr>
        <w:pStyle w:val="ParaNoNdepar-AltN"/>
        <w:rPr>
          <w:rFonts w:cs="Times New Roman"/>
          <w:lang w:val="fr-CA"/>
        </w:rPr>
      </w:pPr>
      <w:r w:rsidRPr="00565B7B">
        <w:rPr>
          <w:rFonts w:cs="Times New Roman"/>
          <w:lang w:val="fr-CA"/>
        </w:rPr>
        <w:t xml:space="preserve">Le syndic de faillite de Redwater, Grant Thornton Limited (« GTL »), et le principal créancier garanti de Redwater, Alberta Treasury Branches (« ATB »), s’opposent au pourvoi (pour simplifier, je les </w:t>
      </w:r>
      <w:r w:rsidR="00EE0D3C" w:rsidRPr="00565B7B">
        <w:rPr>
          <w:rFonts w:cs="Times New Roman"/>
          <w:lang w:val="fr-CA"/>
        </w:rPr>
        <w:t>appellerai</w:t>
      </w:r>
      <w:r w:rsidRPr="00565B7B">
        <w:rPr>
          <w:rFonts w:cs="Times New Roman"/>
          <w:lang w:val="fr-CA"/>
        </w:rPr>
        <w:t xml:space="preserve"> GTL au moment d’analyser la position des intimées, sauf indication contraire). GTL soutient que, comme il a renoncé aux biens pétroliers et gaziers inexploités de Redwater, le par. 14.06(4) de la </w:t>
      </w:r>
      <w:r w:rsidRPr="003C0727">
        <w:rPr>
          <w:rFonts w:cs="Times New Roman"/>
          <w:i/>
          <w:lang w:val="fr-CA"/>
        </w:rPr>
        <w:t>LFI</w:t>
      </w:r>
      <w:r w:rsidRPr="00565B7B">
        <w:rPr>
          <w:rFonts w:cs="Times New Roman"/>
          <w:lang w:val="fr-CA"/>
        </w:rPr>
        <w:t xml:space="preserve"> l’investit du pouvoir de les délaisser et de se soustraire aux engagements environnementaux qui s’y rattachent et de s’occuper uniquement des biens pétroliers et gaziers productifs de Redwater. GTL soutient subsidiairement que, d’après le régime de priorité établi dans la </w:t>
      </w:r>
      <w:r w:rsidRPr="003C0727">
        <w:rPr>
          <w:rFonts w:cs="Times New Roman"/>
          <w:i/>
          <w:lang w:val="fr-CA"/>
        </w:rPr>
        <w:t>LFI</w:t>
      </w:r>
      <w:r w:rsidRPr="00565B7B">
        <w:rPr>
          <w:rFonts w:cs="Times New Roman"/>
          <w:lang w:val="fr-CA"/>
        </w:rPr>
        <w:t>, il faut acquitter les réclamations des créanciers garantis de Redwater avant de respecter ses engagements environnementaux. Invoquant la doctrine de la prépondérance, GTL affirme que la législation environnementale de l’Alberta réglementant l’industrie pétrolière et gazière est constitutionnellement inopérante dans la mesure où elle autorise l’organisme de réglementation à se mêler de cet arrangement.</w:t>
      </w:r>
    </w:p>
    <w:p w:rsidR="00DF13E5" w:rsidRPr="00565B7B" w:rsidRDefault="00DF13E5" w:rsidP="00DF13E5">
      <w:pPr>
        <w:pStyle w:val="ParaNoNdepar-AltN"/>
        <w:rPr>
          <w:rFonts w:cs="Times New Roman"/>
          <w:lang w:val="fr-CA"/>
        </w:rPr>
      </w:pPr>
      <w:r w:rsidRPr="00565B7B">
        <w:rPr>
          <w:rFonts w:cs="Times New Roman"/>
          <w:lang w:val="fr-CA"/>
        </w:rPr>
        <w:t xml:space="preserve">Le juge siégeant en cabinet (2016 ABQB 278, 37 C.B.R. (6th) 88) et les juges majoritaires de la Cour d’appel (2017 ABCA 124, 47 C.B.R. (6th) 171) ont donné raison à GTL. L’utilisation proposée par l’organisme de réglementation des pouvoirs que lui confère la loi pour contraindre Redwater à respecter les obligations d’abandon et de remise en état au cours de la faillite a été jugée incompatible avec la </w:t>
      </w:r>
      <w:r w:rsidRPr="003C0727">
        <w:rPr>
          <w:rFonts w:cs="Times New Roman"/>
          <w:i/>
          <w:lang w:val="fr-CA"/>
        </w:rPr>
        <w:t>LFI</w:t>
      </w:r>
      <w:r w:rsidRPr="00565B7B">
        <w:rPr>
          <w:rFonts w:cs="Times New Roman"/>
          <w:lang w:val="fr-CA"/>
        </w:rPr>
        <w:t xml:space="preserve"> de deux façons : (1) elle imposait à GTL les obligations d’un titulaire de permis relativement aux biens de Redwater auxquels GTL avait renoncé, ce qui est contraire au </w:t>
      </w:r>
      <w:r w:rsidRPr="00565B7B">
        <w:rPr>
          <w:rFonts w:cs="Times New Roman"/>
          <w:lang w:val="fr-CA"/>
        </w:rPr>
        <w:lastRenderedPageBreak/>
        <w:t xml:space="preserve">par. 14.06(4) de la </w:t>
      </w:r>
      <w:r w:rsidRPr="003C0727">
        <w:rPr>
          <w:rFonts w:cs="Times New Roman"/>
          <w:i/>
          <w:lang w:val="fr-CA"/>
        </w:rPr>
        <w:t>LFI</w:t>
      </w:r>
      <w:r w:rsidRPr="00565B7B">
        <w:rPr>
          <w:rFonts w:cs="Times New Roman"/>
          <w:lang w:val="fr-CA"/>
        </w:rPr>
        <w:t xml:space="preserve">; (2) elle renversait le régime de priorité établi par la </w:t>
      </w:r>
      <w:r w:rsidRPr="003C0727">
        <w:rPr>
          <w:rFonts w:cs="Times New Roman"/>
          <w:i/>
          <w:lang w:val="fr-CA"/>
        </w:rPr>
        <w:t>LFI</w:t>
      </w:r>
      <w:r w:rsidRPr="00565B7B">
        <w:rPr>
          <w:rFonts w:cs="Times New Roman"/>
          <w:lang w:val="fr-CA"/>
        </w:rPr>
        <w:t xml:space="preserve"> pour le partage des biens d’un failli en exigeant que le paiement de ses « réclamations prouvables », en tant que créancier ordinaire, soit effectué avant celui des réclamations des créanciers garantis de Redwater.</w:t>
      </w:r>
    </w:p>
    <w:p w:rsidR="00DF13E5" w:rsidRPr="00565B7B" w:rsidRDefault="00DF13E5" w:rsidP="00DF13E5">
      <w:pPr>
        <w:pStyle w:val="ParaNoNdepar-AltN"/>
        <w:rPr>
          <w:rFonts w:cs="Times New Roman"/>
          <w:lang w:val="fr-CA"/>
        </w:rPr>
      </w:pPr>
      <w:r w:rsidRPr="00565B7B">
        <w:rPr>
          <w:rFonts w:cs="Times New Roman"/>
          <w:lang w:val="fr-CA"/>
        </w:rPr>
        <w:t xml:space="preserve">La juge </w:t>
      </w:r>
      <w:r w:rsidR="00747322">
        <w:rPr>
          <w:rFonts w:cs="Times New Roman"/>
          <w:lang w:val="fr-CA"/>
        </w:rPr>
        <w:t xml:space="preserve">d’appel </w:t>
      </w:r>
      <w:r w:rsidRPr="00565B7B">
        <w:rPr>
          <w:rFonts w:cs="Times New Roman"/>
          <w:lang w:val="fr-CA"/>
        </w:rPr>
        <w:t xml:space="preserve">Martin, maintenant juge de notre Cour, n’était pas d’accord. Elle aurait accueilli l’appel de l’organisme de réglementation au motif qu’il n’y avait pas de conflit entre la législation environnementale de l’Alberta et la </w:t>
      </w:r>
      <w:r w:rsidRPr="003C0727">
        <w:rPr>
          <w:rFonts w:cs="Times New Roman"/>
          <w:i/>
          <w:lang w:val="fr-CA"/>
        </w:rPr>
        <w:t>LFI</w:t>
      </w:r>
      <w:r w:rsidRPr="00565B7B">
        <w:rPr>
          <w:rFonts w:cs="Times New Roman"/>
          <w:lang w:val="fr-CA"/>
        </w:rPr>
        <w:t xml:space="preserve">. La juge Martin a estimé que : (1) l’art. 14.06 de la </w:t>
      </w:r>
      <w:r w:rsidRPr="001323EE">
        <w:rPr>
          <w:rFonts w:cs="Times New Roman"/>
          <w:i/>
          <w:lang w:val="fr-CA"/>
        </w:rPr>
        <w:t xml:space="preserve">LFI </w:t>
      </w:r>
      <w:r w:rsidRPr="00565B7B">
        <w:rPr>
          <w:rFonts w:cs="Times New Roman"/>
          <w:lang w:val="fr-CA"/>
        </w:rPr>
        <w:t xml:space="preserve">n’a pas eu pour effet de libérer GTL des obligations de Redwater à l’égard de ses biens visés par des permis; (2) l’organisme de réglementation ne faisait valoir aucune réclamation prouvable, de sorte que le régime de priorité de la </w:t>
      </w:r>
      <w:r w:rsidRPr="003C0727">
        <w:rPr>
          <w:rFonts w:cs="Times New Roman"/>
          <w:i/>
          <w:lang w:val="fr-CA"/>
        </w:rPr>
        <w:t xml:space="preserve">LFI </w:t>
      </w:r>
      <w:r w:rsidRPr="00565B7B">
        <w:rPr>
          <w:rFonts w:cs="Times New Roman"/>
          <w:lang w:val="fr-CA"/>
        </w:rPr>
        <w:t>n’était pas renversé.</w:t>
      </w:r>
    </w:p>
    <w:p w:rsidR="00DF13E5" w:rsidRPr="00565B7B" w:rsidRDefault="00DF13E5" w:rsidP="00DF13E5">
      <w:pPr>
        <w:pStyle w:val="ParaNoNdepar-AltN"/>
        <w:rPr>
          <w:rFonts w:cs="Times New Roman"/>
          <w:lang w:val="fr-CA"/>
        </w:rPr>
      </w:pPr>
      <w:r w:rsidRPr="00565B7B">
        <w:rPr>
          <w:rFonts w:cs="Times New Roman"/>
          <w:lang w:val="fr-CA"/>
        </w:rPr>
        <w:t xml:space="preserve">Pour les motifs qui suivent, j’accueillerais le pourvoi. Bien que mon analyse diffère de la sienne à certains égards, je conviens avec la juge Martin que l’utilisation par l’organisme de réglementation des pouvoirs que lui confère la loi ne crée pas de conflit avec la </w:t>
      </w:r>
      <w:r w:rsidRPr="003C0727">
        <w:rPr>
          <w:rFonts w:cs="Times New Roman"/>
          <w:i/>
          <w:lang w:val="fr-CA"/>
        </w:rPr>
        <w:t>LFI</w:t>
      </w:r>
      <w:r w:rsidRPr="00565B7B">
        <w:rPr>
          <w:rFonts w:cs="Times New Roman"/>
          <w:lang w:val="fr-CA"/>
        </w:rPr>
        <w:t xml:space="preserve"> de façon à mettre en jeu la doctrine de la prépondérance fédérale. Le paragraphe 14.06(4) intéresse la responsabilité personnelle du syndic et il ne l’investit pas du pouvoir de se soustraire aux engagements environnementaux liant l’actif qu’il administre. L’organisme de réglementation ne fait valoir aucune réclamation prouvable en matière de faillite, et le régime de priorité de la </w:t>
      </w:r>
      <w:r w:rsidRPr="003C0727">
        <w:rPr>
          <w:rFonts w:cs="Times New Roman"/>
          <w:i/>
          <w:lang w:val="fr-CA"/>
        </w:rPr>
        <w:t>LFI</w:t>
      </w:r>
      <w:r w:rsidRPr="00565B7B">
        <w:rPr>
          <w:rFonts w:cs="Times New Roman"/>
          <w:lang w:val="fr-CA"/>
        </w:rPr>
        <w:t xml:space="preserve"> n’est pas renversé. Donc, le statut de GTL en tant que titulaire de permis au sens de la loi albertaine n’est à l’origine d’aucun conflit. Le régime de réglementation de l’Alberta peut coexister et s’appliquer conjointement avec la </w:t>
      </w:r>
      <w:r w:rsidRPr="003C0727">
        <w:rPr>
          <w:rFonts w:cs="Times New Roman"/>
          <w:i/>
          <w:lang w:val="fr-CA"/>
        </w:rPr>
        <w:t>LFI</w:t>
      </w:r>
      <w:r w:rsidRPr="00565B7B">
        <w:rPr>
          <w:rFonts w:cs="Times New Roman"/>
          <w:lang w:val="fr-CA"/>
        </w:rPr>
        <w:t xml:space="preserve">. </w:t>
      </w:r>
    </w:p>
    <w:p w:rsidR="00DF13E5" w:rsidRPr="00565B7B" w:rsidRDefault="00DF13E5" w:rsidP="00DF13E5">
      <w:pPr>
        <w:pStyle w:val="Title1LevelTitre1Niveau-AltL"/>
        <w:tabs>
          <w:tab w:val="clear" w:pos="576"/>
          <w:tab w:val="num" w:pos="432"/>
        </w:tabs>
        <w:ind w:left="432" w:hanging="432"/>
        <w:jc w:val="left"/>
        <w:rPr>
          <w:rFonts w:cs="Times New Roman"/>
          <w:lang w:val="fr-CA"/>
        </w:rPr>
      </w:pPr>
      <w:r w:rsidRPr="00565B7B">
        <w:rPr>
          <w:rFonts w:cs="Times New Roman"/>
          <w:lang w:val="fr-CA"/>
        </w:rPr>
        <w:lastRenderedPageBreak/>
        <w:t>Contexte</w:t>
      </w:r>
    </w:p>
    <w:p w:rsidR="00DF13E5" w:rsidRPr="00565B7B" w:rsidRDefault="00DF13E5" w:rsidP="00DF13E5">
      <w:pPr>
        <w:pStyle w:val="Title2LevelTitre2Niveau"/>
        <w:tabs>
          <w:tab w:val="clear" w:pos="576"/>
          <w:tab w:val="num" w:pos="432"/>
        </w:tabs>
        <w:ind w:left="432" w:hanging="432"/>
        <w:jc w:val="left"/>
        <w:outlineLvl w:val="0"/>
        <w:rPr>
          <w:rFonts w:cs="Times New Roman"/>
          <w:lang w:val="fr-CA"/>
        </w:rPr>
      </w:pPr>
      <w:r w:rsidRPr="00565B7B">
        <w:rPr>
          <w:rFonts w:cs="Times New Roman"/>
          <w:lang w:val="fr-CA"/>
        </w:rPr>
        <w:t xml:space="preserve">Le régime de réglementation de l’Alberta </w:t>
      </w:r>
    </w:p>
    <w:p w:rsidR="00DF13E5" w:rsidRPr="00565B7B" w:rsidRDefault="00DF13E5" w:rsidP="00DF13E5">
      <w:pPr>
        <w:pStyle w:val="ParaNoNdepar-AltN"/>
        <w:rPr>
          <w:rFonts w:cs="Times New Roman"/>
          <w:lang w:val="fr-CA"/>
        </w:rPr>
      </w:pPr>
      <w:r w:rsidRPr="00565B7B">
        <w:rPr>
          <w:rFonts w:cs="Times New Roman"/>
          <w:lang w:val="fr-CA"/>
        </w:rPr>
        <w:t>Le règlement des questions constitutionnelles et l’issue finale du présent pourvoi reposent sur une compréhension adéquate du régime complexe de réglementation qui régit l’industrie pétrolière et gazière de l’Alberta. Je vais donc décrire ce régime de façon très détaillée.</w:t>
      </w:r>
    </w:p>
    <w:p w:rsidR="00DF13E5" w:rsidRPr="00565B7B" w:rsidRDefault="00DF13E5" w:rsidP="00DF13E5">
      <w:pPr>
        <w:pStyle w:val="ParaNoNdepar-AltN"/>
        <w:rPr>
          <w:rFonts w:cs="Times New Roman"/>
          <w:lang w:val="fr-CA"/>
        </w:rPr>
      </w:pPr>
      <w:r w:rsidRPr="00565B7B">
        <w:rPr>
          <w:rFonts w:cs="Times New Roman"/>
          <w:lang w:val="fr-CA"/>
        </w:rPr>
        <w:t>Pour exploiter des ressources pétrolières et gazières en Alberta, une société a besoin de trois choses : un intérêt de propriété sur le pétrole ou le gaz, des droits de surface et un permis délivré par l’organisme de réglementation. En Alberta, les droits miniers sont généralement soustraits des droits de propriété sur les terres. Environ 90 p. 100 des droits miniers de l’Alberta sont détenus par la Couronne au nom du public.</w:t>
      </w:r>
    </w:p>
    <w:p w:rsidR="00DF13E5" w:rsidRPr="00565B7B" w:rsidRDefault="00DF13E5" w:rsidP="00DF13E5">
      <w:pPr>
        <w:pStyle w:val="ParaNoNdepar-AltN"/>
        <w:rPr>
          <w:rFonts w:cs="Times New Roman"/>
          <w:lang w:val="fr-CA"/>
        </w:rPr>
      </w:pPr>
      <w:bookmarkStart w:id="1" w:name="_Ref510531706"/>
      <w:r w:rsidRPr="00565B7B">
        <w:rPr>
          <w:rFonts w:cs="Times New Roman"/>
          <w:lang w:val="fr-CA"/>
        </w:rPr>
        <w:t>L’intérêt de propriété d’une société dans le pétrole ou le gaz qu’elle cherche à exploiter prend généralement la forme d’un bail d’exploitation minière avec la Couronne (mais parfois avec un propriétaire privé). La société a également besoin de droits de surface, afin de pouvoir accéder au terrain physique situé au</w:t>
      </w:r>
      <w:r w:rsidRPr="00565B7B">
        <w:rPr>
          <w:rFonts w:cs="Times New Roman"/>
          <w:lang w:val="fr-CA"/>
        </w:rPr>
        <w:noBreakHyphen/>
        <w:t xml:space="preserve">dessus du pétrole et du gaz, de l’occuper, ainsi que d’installer l’équipement nécessaire pour pomper, stocker et transporter le pétrole de même que le gaz. On obtient les droits de surface au moyen d’un bail avec le propriétaire foncier, dans bien des cas un agriculteur ou un éleveur (mais parfois la Couronne). Lorsqu’un propriétaire foncier n’accorde pas volontairement des droits de surface, la loi albertaine autorise le Surface Rights Board (Conseil des droits de surface) à rendre une ordonnance d’accès aux terres en faveur </w:t>
      </w:r>
      <w:r w:rsidRPr="00565B7B">
        <w:rPr>
          <w:rFonts w:cs="Times New Roman"/>
          <w:lang w:val="fr-CA"/>
        </w:rPr>
        <w:lastRenderedPageBreak/>
        <w:t>d’un [</w:t>
      </w:r>
      <w:r w:rsidRPr="00565B7B">
        <w:rPr>
          <w:rFonts w:cs="Times New Roman"/>
          <w:smallCaps/>
          <w:lang w:val="fr-CA"/>
        </w:rPr>
        <w:t>traduction</w:t>
      </w:r>
      <w:r w:rsidRPr="00565B7B">
        <w:rPr>
          <w:rFonts w:cs="Times New Roman"/>
          <w:lang w:val="fr-CA"/>
        </w:rPr>
        <w:t>] « exploitant », soit la personne qui a droit à une substance minérale ou le droit de la travailler (</w:t>
      </w:r>
      <w:r w:rsidRPr="00565B7B">
        <w:rPr>
          <w:rFonts w:cs="Times New Roman"/>
          <w:i/>
          <w:lang w:val="fr-CA"/>
        </w:rPr>
        <w:t>Surface Rights Act</w:t>
      </w:r>
      <w:r w:rsidRPr="00565B7B">
        <w:rPr>
          <w:rFonts w:cs="Times New Roman"/>
          <w:lang w:val="fr-CA"/>
        </w:rPr>
        <w:t>, R.S.A. 2000, c. S</w:t>
      </w:r>
      <w:r w:rsidRPr="00565B7B">
        <w:rPr>
          <w:rFonts w:cs="Times New Roman"/>
          <w:lang w:val="fr-CA"/>
        </w:rPr>
        <w:noBreakHyphen/>
        <w:t>24, al. 1h) et art. 15).</w:t>
      </w:r>
    </w:p>
    <w:p w:rsidR="00DF13E5" w:rsidRPr="00565B7B" w:rsidRDefault="00DF13E5" w:rsidP="00DF13E5">
      <w:pPr>
        <w:pStyle w:val="ParaNoNdepar-AltN"/>
        <w:rPr>
          <w:rFonts w:cs="Times New Roman"/>
          <w:lang w:val="fr-CA"/>
        </w:rPr>
      </w:pPr>
      <w:r w:rsidRPr="00565B7B">
        <w:rPr>
          <w:rFonts w:cs="Times New Roman"/>
          <w:lang w:val="fr-CA"/>
        </w:rPr>
        <w:t>Les tribunaux canadiens qualifient le bail d’exploitation minière permettant à une société d’exploiter des ressources pétrolières et gazières de profit à prendre. Il n’est pas contesté qu’un profit à prendre</w:t>
      </w:r>
      <w:r w:rsidRPr="00565B7B">
        <w:rPr>
          <w:rFonts w:cs="Times New Roman"/>
          <w:i/>
          <w:lang w:val="fr-CA"/>
        </w:rPr>
        <w:t xml:space="preserve"> </w:t>
      </w:r>
      <w:r w:rsidRPr="00565B7B">
        <w:rPr>
          <w:rFonts w:cs="Times New Roman"/>
          <w:lang w:val="fr-CA"/>
        </w:rPr>
        <w:t>constitue une forme d’intérêt détenue par la société sur un bien réel (</w:t>
      </w:r>
      <w:r w:rsidRPr="00565B7B">
        <w:rPr>
          <w:rFonts w:cs="Times New Roman"/>
          <w:i/>
          <w:lang w:val="fr-CA"/>
        </w:rPr>
        <w:t>Berkheiser c. Berkheiser</w:t>
      </w:r>
      <w:r w:rsidRPr="00565B7B">
        <w:rPr>
          <w:rFonts w:cs="Times New Roman"/>
          <w:lang w:val="fr-CA"/>
        </w:rPr>
        <w:t>, [1957] R.C.S. 387). Un profit à prendre est entièrement cessible et il a été défini comme [</w:t>
      </w:r>
      <w:r w:rsidRPr="00565B7B">
        <w:rPr>
          <w:rFonts w:cs="Times New Roman"/>
          <w:smallCaps/>
          <w:lang w:val="fr-CA"/>
        </w:rPr>
        <w:t>traduction</w:t>
      </w:r>
      <w:r w:rsidRPr="00565B7B">
        <w:rPr>
          <w:rFonts w:cs="Times New Roman"/>
          <w:lang w:val="fr-CA"/>
        </w:rPr>
        <w:t xml:space="preserve">] « un intérêt foncier sans possession, comme une servitude, qui peut être transmis de génération en génération et qui reste avec la terre, indépendamment des changements de propriétaire » (F. L. Stewart, « How to Deal with a Fickle Friend? </w:t>
      </w:r>
      <w:r w:rsidRPr="00565B7B">
        <w:rPr>
          <w:rFonts w:cs="Times New Roman"/>
        </w:rPr>
        <w:t>Albert</w:t>
      </w:r>
      <w:r>
        <w:rPr>
          <w:rFonts w:cs="Times New Roman"/>
        </w:rPr>
        <w:t>a</w:t>
      </w:r>
      <w:r w:rsidRPr="00565B7B">
        <w:rPr>
          <w:rFonts w:cs="Times New Roman"/>
        </w:rPr>
        <w:t xml:space="preserve">’s Troubles with the Doctrine of Federal Paramountcy », dans J. P. Sarra et B. Romaine, dir., </w:t>
      </w:r>
      <w:r w:rsidRPr="00565B7B">
        <w:rPr>
          <w:rFonts w:cs="Times New Roman"/>
          <w:i/>
        </w:rPr>
        <w:t xml:space="preserve">Annual Review </w:t>
      </w:r>
      <w:r w:rsidR="00747322">
        <w:rPr>
          <w:rFonts w:cs="Times New Roman"/>
          <w:i/>
        </w:rPr>
        <w:t xml:space="preserve">of </w:t>
      </w:r>
      <w:r w:rsidRPr="00565B7B">
        <w:rPr>
          <w:rFonts w:cs="Times New Roman"/>
          <w:i/>
        </w:rPr>
        <w:t>Insolvency Law</w:t>
      </w:r>
      <w:r w:rsidRPr="00565B7B">
        <w:rPr>
          <w:rFonts w:cs="Times New Roman"/>
        </w:rPr>
        <w:t xml:space="preserve"> </w:t>
      </w:r>
      <w:r w:rsidRPr="005E38F8">
        <w:rPr>
          <w:rFonts w:cs="Times New Roman"/>
          <w:i/>
        </w:rPr>
        <w:t>2017</w:t>
      </w:r>
      <w:r w:rsidRPr="00565B7B">
        <w:rPr>
          <w:rFonts w:cs="Times New Roman"/>
        </w:rPr>
        <w:t xml:space="preserve"> (2018)</w:t>
      </w:r>
      <w:r w:rsidR="00747322">
        <w:rPr>
          <w:rFonts w:cs="Times New Roman"/>
        </w:rPr>
        <w:t>, 163</w:t>
      </w:r>
      <w:r w:rsidRPr="00565B7B">
        <w:rPr>
          <w:rFonts w:cs="Times New Roman"/>
        </w:rPr>
        <w:t xml:space="preserve"> (« Stewart »), p. 193). </w:t>
      </w:r>
      <w:r w:rsidRPr="00565B7B">
        <w:rPr>
          <w:rFonts w:cs="Times New Roman"/>
          <w:lang w:val="fr-CA"/>
        </w:rPr>
        <w:t>Les sociétés, qu’elles soient solvables ou insolvables, détiennent souvent des profits à prendre tant dans les puits productifs que dans les puits inexploités ou épuisés. Il existe une foule d’ententes potentielles de « participation directe » par lesquelles plusieurs parties peuvent partager un intérêt dans des ressources pétrolières et gazières.</w:t>
      </w:r>
    </w:p>
    <w:bookmarkEnd w:id="1"/>
    <w:p w:rsidR="00DF13E5" w:rsidRPr="00565B7B" w:rsidRDefault="00DF13E5" w:rsidP="00DF13E5">
      <w:pPr>
        <w:pStyle w:val="ParaNoNdepar-AltN"/>
        <w:rPr>
          <w:rFonts w:cs="Times New Roman"/>
          <w:lang w:val="fr-CA"/>
        </w:rPr>
      </w:pPr>
      <w:r w:rsidRPr="00565B7B">
        <w:rPr>
          <w:rFonts w:cs="Times New Roman"/>
          <w:lang w:val="fr-CA"/>
        </w:rPr>
        <w:t>La troisième chose — celle qui se rapporte le plus au présent pourvoi — dont une société a besoin pour avoir accès aux ressources pétrolières et gazières de l’Alberta ainsi que pour les exploiter, c’est un permis délivré par l’organisme de réglementation. L’</w:t>
      </w:r>
      <w:r w:rsidRPr="003C0727">
        <w:rPr>
          <w:rFonts w:cs="Times New Roman"/>
          <w:i/>
          <w:lang w:val="fr-CA"/>
        </w:rPr>
        <w:t>OGCA</w:t>
      </w:r>
      <w:r w:rsidRPr="00565B7B">
        <w:rPr>
          <w:rFonts w:cs="Times New Roman"/>
          <w:lang w:val="fr-CA"/>
        </w:rPr>
        <w:t xml:space="preserve"> interdit à toute personne non titulaire d’un permis de commencer le forage d’un puits, y compris les activités préparatoires ou accessoires à cette fin, ou d’amorcer la construction ou l’exploitation d’une installation (par. 11(1) </w:t>
      </w:r>
      <w:r>
        <w:rPr>
          <w:rFonts w:cs="Times New Roman"/>
          <w:lang w:val="fr-CA"/>
        </w:rPr>
        <w:t xml:space="preserve">et </w:t>
      </w:r>
      <w:r w:rsidRPr="00565B7B">
        <w:rPr>
          <w:rFonts w:cs="Times New Roman"/>
          <w:lang w:val="fr-CA"/>
        </w:rPr>
        <w:t xml:space="preserve">12(1)). La </w:t>
      </w:r>
      <w:r w:rsidRPr="00565B7B">
        <w:rPr>
          <w:rFonts w:cs="Times New Roman"/>
          <w:i/>
          <w:lang w:val="fr-CA"/>
        </w:rPr>
        <w:t>Pipeline Act</w:t>
      </w:r>
      <w:r w:rsidRPr="00565B7B">
        <w:rPr>
          <w:rFonts w:cs="Times New Roman"/>
          <w:lang w:val="fr-CA"/>
        </w:rPr>
        <w:t>, R.S.A. 2000, c. P</w:t>
      </w:r>
      <w:r w:rsidRPr="00565B7B">
        <w:rPr>
          <w:rFonts w:cs="Times New Roman"/>
          <w:lang w:val="fr-CA"/>
        </w:rPr>
        <w:noBreakHyphen/>
        <w:t xml:space="preserve">15, interdit également la construction de </w:t>
      </w:r>
      <w:r w:rsidRPr="00565B7B">
        <w:rPr>
          <w:rFonts w:cs="Times New Roman"/>
          <w:lang w:val="fr-CA"/>
        </w:rPr>
        <w:lastRenderedPageBreak/>
        <w:t>pipelines sans permis (par. 6(1)).</w:t>
      </w:r>
      <w:r>
        <w:rPr>
          <w:rFonts w:cs="Times New Roman"/>
          <w:lang w:val="fr-CA"/>
        </w:rPr>
        <w:t xml:space="preserve"> </w:t>
      </w:r>
      <w:r w:rsidRPr="00565B7B">
        <w:rPr>
          <w:rFonts w:cs="Times New Roman"/>
          <w:lang w:val="fr-CA"/>
        </w:rPr>
        <w:t>Le profit à prendre dans des gisements de pétrole et de gaz peut être acheté et vendu sans approbation réglementaire. Cependant, cela n’a qu’une utilité pratique restreinte en soi, puisque, sans le permis associé à un puits, l’acheteur ne peut pas [</w:t>
      </w:r>
      <w:r w:rsidRPr="00565B7B">
        <w:rPr>
          <w:rFonts w:cs="Times New Roman"/>
          <w:smallCaps/>
          <w:lang w:val="fr-CA"/>
        </w:rPr>
        <w:t>traduction</w:t>
      </w:r>
      <w:r w:rsidRPr="00565B7B">
        <w:rPr>
          <w:rFonts w:cs="Times New Roman"/>
          <w:lang w:val="fr-CA"/>
        </w:rPr>
        <w:t>] « poursuivre une opération de forage, d’exploitation ou d’injection » (</w:t>
      </w:r>
      <w:r w:rsidRPr="003C0727">
        <w:rPr>
          <w:rFonts w:cs="Times New Roman"/>
          <w:i/>
          <w:lang w:val="fr-CA"/>
        </w:rPr>
        <w:t>OGCA</w:t>
      </w:r>
      <w:r w:rsidRPr="00565B7B">
        <w:rPr>
          <w:rFonts w:cs="Times New Roman"/>
          <w:lang w:val="fr-CA"/>
        </w:rPr>
        <w:t>, par. 11(1)), et sans le permis associé à une installation, l’acheteur ne peut pas [</w:t>
      </w:r>
      <w:r w:rsidRPr="00565B7B">
        <w:rPr>
          <w:rFonts w:cs="Times New Roman"/>
          <w:smallCaps/>
          <w:lang w:val="fr-CA"/>
        </w:rPr>
        <w:t>traduction</w:t>
      </w:r>
      <w:r w:rsidRPr="00565B7B">
        <w:rPr>
          <w:rFonts w:cs="Times New Roman"/>
          <w:lang w:val="fr-CA"/>
        </w:rPr>
        <w:t>] « poursuivre la construction ou l’exploitation » (</w:t>
      </w:r>
      <w:r w:rsidRPr="003C0727">
        <w:rPr>
          <w:rFonts w:cs="Times New Roman"/>
          <w:i/>
          <w:lang w:val="fr-CA"/>
        </w:rPr>
        <w:t>OGCA</w:t>
      </w:r>
      <w:r w:rsidRPr="00565B7B">
        <w:rPr>
          <w:rFonts w:cs="Times New Roman"/>
          <w:lang w:val="fr-CA"/>
        </w:rPr>
        <w:t>, par. 12(1)).</w:t>
      </w:r>
    </w:p>
    <w:p w:rsidR="00DF13E5" w:rsidRPr="00565B7B" w:rsidRDefault="00DF13E5" w:rsidP="00DF13E5">
      <w:pPr>
        <w:pStyle w:val="ParaNoNdepar-AltN"/>
        <w:rPr>
          <w:rFonts w:cs="Times New Roman"/>
          <w:lang w:val="fr-CA"/>
        </w:rPr>
      </w:pPr>
      <w:r>
        <w:rPr>
          <w:rFonts w:cs="Times New Roman"/>
          <w:lang w:val="fr-CA"/>
        </w:rPr>
        <w:t xml:space="preserve">Les trois </w:t>
      </w:r>
      <w:r w:rsidRPr="00565B7B">
        <w:rPr>
          <w:rFonts w:cs="Times New Roman"/>
          <w:lang w:val="fr-CA"/>
        </w:rPr>
        <w:t>biens visés par des permis pertinents dans l’industrie pétrolière et gazière de l’Alberta sont les puits, les installations et les pipelines. Le « puits » est défini, entre autres, comme [</w:t>
      </w:r>
      <w:r w:rsidRPr="00565B7B">
        <w:rPr>
          <w:rFonts w:cs="Times New Roman"/>
          <w:smallCaps/>
          <w:lang w:val="fr-CA"/>
        </w:rPr>
        <w:t>traduction</w:t>
      </w:r>
      <w:r w:rsidRPr="00565B7B">
        <w:rPr>
          <w:rFonts w:cs="Times New Roman"/>
          <w:lang w:val="fr-CA"/>
        </w:rPr>
        <w:t>] « un orifice dans le sol complété ou en cours de forage pour la production de pétr</w:t>
      </w:r>
      <w:r w:rsidR="00747322">
        <w:rPr>
          <w:rFonts w:cs="Times New Roman"/>
          <w:lang w:val="fr-CA"/>
        </w:rPr>
        <w:t>ole ou de gaz » (</w:t>
      </w:r>
      <w:r w:rsidR="00747322" w:rsidRPr="003C0727">
        <w:rPr>
          <w:rFonts w:cs="Times New Roman"/>
          <w:i/>
          <w:lang w:val="fr-CA"/>
        </w:rPr>
        <w:t>OGCA</w:t>
      </w:r>
      <w:r w:rsidR="00747322">
        <w:rPr>
          <w:rFonts w:cs="Times New Roman"/>
          <w:lang w:val="fr-CA"/>
        </w:rPr>
        <w:t>, al. 1(1)</w:t>
      </w:r>
      <w:r w:rsidR="007C0F2F">
        <w:rPr>
          <w:rFonts w:cs="Times New Roman"/>
          <w:lang w:val="fr-CA"/>
        </w:rPr>
        <w:t>(</w:t>
      </w:r>
      <w:r w:rsidRPr="00565B7B">
        <w:rPr>
          <w:rFonts w:cs="Times New Roman"/>
          <w:lang w:val="fr-CA"/>
        </w:rPr>
        <w:t>eee)). L’« installation » est définie au sens large et englobe tous les bâtiments, structures, installations et matériaux qui sont liés ou associés à la récupération, à la mise en valeur, à la production, à la manutention, au traitement ou à l’élimination de ressources pétrolières et gazières</w:t>
      </w:r>
      <w:r>
        <w:rPr>
          <w:rFonts w:cs="Times New Roman"/>
          <w:lang w:val="fr-CA"/>
        </w:rPr>
        <w:t xml:space="preserve"> (</w:t>
      </w:r>
      <w:r w:rsidRPr="003C0727">
        <w:rPr>
          <w:rFonts w:cs="Times New Roman"/>
          <w:i/>
          <w:lang w:val="fr-CA"/>
        </w:rPr>
        <w:t>OGCA</w:t>
      </w:r>
      <w:r>
        <w:rPr>
          <w:rFonts w:cs="Times New Roman"/>
          <w:lang w:val="fr-CA"/>
        </w:rPr>
        <w:t>, al. </w:t>
      </w:r>
      <w:r w:rsidR="00747322">
        <w:rPr>
          <w:rFonts w:cs="Times New Roman"/>
          <w:lang w:val="fr-CA"/>
        </w:rPr>
        <w:t>1(1)</w:t>
      </w:r>
      <w:r w:rsidR="007C0F2F">
        <w:rPr>
          <w:rFonts w:cs="Times New Roman"/>
          <w:lang w:val="fr-CA"/>
        </w:rPr>
        <w:t>(</w:t>
      </w:r>
      <w:r w:rsidRPr="00565B7B">
        <w:rPr>
          <w:rFonts w:cs="Times New Roman"/>
          <w:lang w:val="fr-CA"/>
        </w:rPr>
        <w:t>w)). Le « pipeline » est défini comme [</w:t>
      </w:r>
      <w:r w:rsidRPr="00565B7B">
        <w:rPr>
          <w:rFonts w:cs="Times New Roman"/>
          <w:smallCaps/>
          <w:lang w:val="fr-CA"/>
        </w:rPr>
        <w:t>traduction</w:t>
      </w:r>
      <w:r w:rsidRPr="00565B7B">
        <w:rPr>
          <w:rFonts w:cs="Times New Roman"/>
          <w:lang w:val="fr-CA"/>
        </w:rPr>
        <w:t>] « un tuyau utilisé pour transporter une substance ou une combinaison de substances », y compris les installations connexes (</w:t>
      </w:r>
      <w:r w:rsidRPr="00565B7B">
        <w:rPr>
          <w:rFonts w:cs="Times New Roman"/>
          <w:i/>
          <w:lang w:val="fr-CA"/>
        </w:rPr>
        <w:t>Pipeline Act</w:t>
      </w:r>
      <w:r w:rsidR="00747322">
        <w:rPr>
          <w:rFonts w:cs="Times New Roman"/>
          <w:lang w:val="fr-CA"/>
        </w:rPr>
        <w:t>, al. 1(1)</w:t>
      </w:r>
      <w:r w:rsidR="007C0F2F">
        <w:rPr>
          <w:rFonts w:cs="Times New Roman"/>
          <w:lang w:val="fr-CA"/>
        </w:rPr>
        <w:t>(</w:t>
      </w:r>
      <w:r w:rsidRPr="00565B7B">
        <w:rPr>
          <w:rFonts w:cs="Times New Roman"/>
          <w:lang w:val="fr-CA"/>
        </w:rPr>
        <w:t>t)).</w:t>
      </w:r>
    </w:p>
    <w:p w:rsidR="00DF13E5" w:rsidRPr="00565B7B" w:rsidRDefault="00DF13E5" w:rsidP="00DF13E5">
      <w:pPr>
        <w:pStyle w:val="ParaNoNdepar-AltN"/>
        <w:rPr>
          <w:rFonts w:cs="Times New Roman"/>
          <w:lang w:val="fr-CA"/>
        </w:rPr>
      </w:pPr>
      <w:r w:rsidRPr="00565B7B">
        <w:rPr>
          <w:rFonts w:cs="Times New Roman"/>
          <w:lang w:val="fr-CA"/>
        </w:rPr>
        <w:t xml:space="preserve">Les permis dont une société a besoin pour récupérer, traiter ainsi que transporter le pétrole et le gaz sont délivrés par l’organisme de réglementation. Ce dernier n’est pas un mandataire de la Couronne. Il est constitué en société par le par. 3(1) de la </w:t>
      </w:r>
      <w:r w:rsidRPr="00565B7B">
        <w:rPr>
          <w:rFonts w:cs="Times New Roman"/>
          <w:i/>
          <w:lang w:val="fr-CA"/>
        </w:rPr>
        <w:t>Responsible Energy Development Act</w:t>
      </w:r>
      <w:r w:rsidRPr="00565B7B">
        <w:rPr>
          <w:rFonts w:cs="Times New Roman"/>
          <w:lang w:val="fr-CA"/>
        </w:rPr>
        <w:t>, S.A. 2012, c. R</w:t>
      </w:r>
      <w:r w:rsidRPr="00565B7B">
        <w:rPr>
          <w:rFonts w:cs="Times New Roman"/>
          <w:lang w:val="fr-CA"/>
        </w:rPr>
        <w:noBreakHyphen/>
        <w:t>17.3 (« </w:t>
      </w:r>
      <w:r w:rsidRPr="003C0727">
        <w:rPr>
          <w:rFonts w:cs="Times New Roman"/>
          <w:i/>
          <w:lang w:val="fr-CA"/>
        </w:rPr>
        <w:t>REDA</w:t>
      </w:r>
      <w:r w:rsidRPr="00565B7B">
        <w:rPr>
          <w:rFonts w:cs="Times New Roman"/>
          <w:lang w:val="fr-CA"/>
        </w:rPr>
        <w:t> »). L’organisme de réglementation exerce un large éventail de pouvoirs en vertu de l’</w:t>
      </w:r>
      <w:r w:rsidRPr="003C0727">
        <w:rPr>
          <w:rFonts w:cs="Times New Roman"/>
          <w:i/>
          <w:lang w:val="fr-CA"/>
        </w:rPr>
        <w:t>OGCA</w:t>
      </w:r>
      <w:r w:rsidRPr="00565B7B">
        <w:rPr>
          <w:rFonts w:cs="Times New Roman"/>
          <w:lang w:val="fr-CA"/>
        </w:rPr>
        <w:t xml:space="preserve"> et de la </w:t>
      </w:r>
      <w:r w:rsidRPr="00565B7B">
        <w:rPr>
          <w:rFonts w:cs="Times New Roman"/>
          <w:i/>
          <w:lang w:val="fr-CA"/>
        </w:rPr>
        <w:t>Pipeline Act</w:t>
      </w:r>
      <w:r w:rsidRPr="00565B7B">
        <w:rPr>
          <w:rFonts w:cs="Times New Roman"/>
          <w:lang w:val="fr-CA"/>
        </w:rPr>
        <w:t xml:space="preserve">. Il agit également à titre d’organisme de réglementation </w:t>
      </w:r>
      <w:r w:rsidRPr="00565B7B">
        <w:rPr>
          <w:rFonts w:cs="Times New Roman"/>
          <w:lang w:val="fr-CA"/>
        </w:rPr>
        <w:lastRenderedPageBreak/>
        <w:t>des activités liées aux ressources énergétiques sous le régime de l’</w:t>
      </w:r>
      <w:r w:rsidRPr="003C0727">
        <w:rPr>
          <w:rFonts w:cs="Times New Roman"/>
          <w:i/>
          <w:lang w:val="fr-CA"/>
        </w:rPr>
        <w:t>EPEA</w:t>
      </w:r>
      <w:r w:rsidRPr="00565B7B">
        <w:rPr>
          <w:rFonts w:cs="Times New Roman"/>
          <w:lang w:val="fr-CA"/>
        </w:rPr>
        <w:t>, la loi albertaine plus générale sur la protection de l’environnement</w:t>
      </w:r>
      <w:r w:rsidR="00747322">
        <w:rPr>
          <w:rFonts w:cs="Times New Roman"/>
          <w:lang w:val="fr-CA"/>
        </w:rPr>
        <w:t xml:space="preserve"> (</w:t>
      </w:r>
      <w:r w:rsidR="00747322" w:rsidRPr="003C0727">
        <w:rPr>
          <w:rFonts w:cs="Times New Roman"/>
          <w:i/>
          <w:lang w:val="fr-CA"/>
        </w:rPr>
        <w:t>REDA</w:t>
      </w:r>
      <w:r w:rsidR="00747322">
        <w:rPr>
          <w:rFonts w:cs="Times New Roman"/>
          <w:lang w:val="fr-CA"/>
        </w:rPr>
        <w:t>, al. 2(2)</w:t>
      </w:r>
      <w:r w:rsidR="007C0F2F">
        <w:rPr>
          <w:rFonts w:cs="Times New Roman"/>
          <w:lang w:val="fr-CA"/>
        </w:rPr>
        <w:t>(</w:t>
      </w:r>
      <w:r w:rsidRPr="00565B7B">
        <w:rPr>
          <w:rFonts w:cs="Times New Roman"/>
          <w:lang w:val="fr-CA"/>
        </w:rPr>
        <w:t xml:space="preserve">h)). Le mandat de l’organisme de réglementation est énoncé dans la </w:t>
      </w:r>
      <w:r w:rsidRPr="003C0727">
        <w:rPr>
          <w:rFonts w:cs="Times New Roman"/>
          <w:i/>
          <w:lang w:val="fr-CA"/>
        </w:rPr>
        <w:t>REDA</w:t>
      </w:r>
      <w:r w:rsidRPr="00565B7B">
        <w:rPr>
          <w:rFonts w:cs="Times New Roman"/>
          <w:lang w:val="fr-CA"/>
        </w:rPr>
        <w:t xml:space="preserve"> et comprend [</w:t>
      </w:r>
      <w:r w:rsidRPr="00565B7B">
        <w:rPr>
          <w:rFonts w:cs="Times New Roman"/>
          <w:smallCaps/>
          <w:lang w:val="fr-CA"/>
        </w:rPr>
        <w:t>traduction</w:t>
      </w:r>
      <w:r w:rsidRPr="00565B7B">
        <w:rPr>
          <w:rFonts w:cs="Times New Roman"/>
          <w:lang w:val="fr-CA"/>
        </w:rPr>
        <w:t>] « la mise en valeur efficiente, sûre, ordonnée et respectueuse de l’environnement des ressources éner</w:t>
      </w:r>
      <w:r w:rsidR="00747322">
        <w:rPr>
          <w:rFonts w:cs="Times New Roman"/>
          <w:lang w:val="fr-CA"/>
        </w:rPr>
        <w:t>gétiques en Alberta » (al. 2(1)</w:t>
      </w:r>
      <w:r w:rsidR="007C0F2F">
        <w:rPr>
          <w:rFonts w:cs="Times New Roman"/>
          <w:lang w:val="fr-CA"/>
        </w:rPr>
        <w:t>(</w:t>
      </w:r>
      <w:r w:rsidRPr="00565B7B">
        <w:rPr>
          <w:rFonts w:cs="Times New Roman"/>
          <w:lang w:val="fr-CA"/>
        </w:rPr>
        <w:t>a)). L’organisme de réglementation est financé presque entièrement par l’industrie qu’il réglemente et il recueille ses recettes budgétaires au moyen de frais administratifs (Stewart, p. </w:t>
      </w:r>
      <w:r w:rsidR="002814EB">
        <w:rPr>
          <w:rFonts w:cs="Times New Roman"/>
          <w:lang w:val="fr-CA"/>
        </w:rPr>
        <w:t>219</w:t>
      </w:r>
      <w:r w:rsidRPr="00565B7B">
        <w:rPr>
          <w:rFonts w:cs="Times New Roman"/>
          <w:lang w:val="fr-CA"/>
        </w:rPr>
        <w:t xml:space="preserve">; </w:t>
      </w:r>
      <w:r w:rsidRPr="003C0727">
        <w:rPr>
          <w:rFonts w:cs="Times New Roman"/>
          <w:i/>
          <w:lang w:val="fr-CA"/>
        </w:rPr>
        <w:t>REDA</w:t>
      </w:r>
      <w:r w:rsidRPr="00565B7B">
        <w:rPr>
          <w:rFonts w:cs="Times New Roman"/>
          <w:lang w:val="fr-CA"/>
        </w:rPr>
        <w:t>,</w:t>
      </w:r>
      <w:r w:rsidRPr="00565B7B">
        <w:rPr>
          <w:rFonts w:cs="Times New Roman"/>
          <w:i/>
          <w:lang w:val="fr-CA"/>
        </w:rPr>
        <w:t xml:space="preserve"> </w:t>
      </w:r>
      <w:r w:rsidR="003C0727">
        <w:rPr>
          <w:rFonts w:cs="Times New Roman"/>
          <w:lang w:val="fr-CA"/>
        </w:rPr>
        <w:t xml:space="preserve">art. 28 et </w:t>
      </w:r>
      <w:r w:rsidRPr="00565B7B">
        <w:rPr>
          <w:rFonts w:cs="Times New Roman"/>
          <w:lang w:val="fr-CA"/>
        </w:rPr>
        <w:t>29;</w:t>
      </w:r>
      <w:r w:rsidRPr="00565B7B">
        <w:rPr>
          <w:rFonts w:cs="Times New Roman"/>
          <w:i/>
          <w:lang w:val="fr-CA"/>
        </w:rPr>
        <w:t xml:space="preserve"> Alberta Energy Regulator Administration Fees Rules</w:t>
      </w:r>
      <w:r w:rsidRPr="00565B7B">
        <w:rPr>
          <w:rFonts w:cs="Times New Roman"/>
          <w:lang w:val="fr-CA"/>
        </w:rPr>
        <w:t>, Alta. Reg. 98/2013).</w:t>
      </w:r>
    </w:p>
    <w:p w:rsidR="00DF13E5" w:rsidRPr="00565B7B" w:rsidRDefault="00DF13E5" w:rsidP="00DF13E5">
      <w:pPr>
        <w:pStyle w:val="ParaNoNdepar-AltN"/>
        <w:rPr>
          <w:rFonts w:cs="Times New Roman"/>
          <w:lang w:val="fr-CA"/>
        </w:rPr>
      </w:pPr>
      <w:r w:rsidRPr="00565B7B">
        <w:rPr>
          <w:rFonts w:cs="Times New Roman"/>
          <w:lang w:val="fr-CA"/>
        </w:rPr>
        <w:t>L’organisme de réglementation jouit d’un large pouvoir discrétionnaire lorsqu’il s’agit de délivrer des permis d’exploitation de puits, d’installations et de pipelines. À la réception d’une demande de permis, l’organisme de réglementation peut accorder le permis sous réserve de certaines conditions, restrictions et stipulations, ou il peut refuser le permis (</w:t>
      </w:r>
      <w:r w:rsidRPr="003C0727">
        <w:rPr>
          <w:rFonts w:cs="Times New Roman"/>
          <w:i/>
          <w:lang w:val="fr-CA"/>
        </w:rPr>
        <w:t>OGCA</w:t>
      </w:r>
      <w:r w:rsidRPr="00565B7B">
        <w:rPr>
          <w:rFonts w:cs="Times New Roman"/>
          <w:lang w:val="fr-CA"/>
        </w:rPr>
        <w:t xml:space="preserve">, par. 18(1); </w:t>
      </w:r>
      <w:r w:rsidRPr="00565B7B">
        <w:rPr>
          <w:rFonts w:cs="Times New Roman"/>
          <w:i/>
          <w:lang w:val="fr-CA"/>
        </w:rPr>
        <w:t>Pipeline Act</w:t>
      </w:r>
      <w:r w:rsidRPr="00565B7B">
        <w:rPr>
          <w:rFonts w:cs="Times New Roman"/>
          <w:lang w:val="fr-CA"/>
        </w:rPr>
        <w:t>, par. 9(1)). Les permis d’exploitation d’un puits, d’une installation ou d’un pipeline sont accordés sous réserve d’obligations qui se manifesteront un jour d’abandonner le bien sous</w:t>
      </w:r>
      <w:r w:rsidRPr="00565B7B">
        <w:rPr>
          <w:rFonts w:cs="Times New Roman"/>
          <w:lang w:val="fr-CA"/>
        </w:rPr>
        <w:noBreakHyphen/>
        <w:t>jacent et de remettre en état le terrain sur lequel il est situé.</w:t>
      </w:r>
    </w:p>
    <w:p w:rsidR="00DF13E5" w:rsidRPr="00565B7B" w:rsidRDefault="00747322" w:rsidP="00DF13E5">
      <w:pPr>
        <w:pStyle w:val="ParaNoNdepar-AltN"/>
        <w:rPr>
          <w:rFonts w:cs="Times New Roman"/>
          <w:lang w:val="fr-CA"/>
        </w:rPr>
      </w:pPr>
      <w:r>
        <w:rPr>
          <w:rFonts w:cs="Times New Roman"/>
          <w:lang w:val="fr-CA"/>
        </w:rPr>
        <w:t xml:space="preserve">Le terme </w:t>
      </w:r>
      <w:r w:rsidR="00DF13E5" w:rsidRPr="00565B7B">
        <w:rPr>
          <w:rFonts w:cs="Times New Roman"/>
          <w:lang w:val="fr-CA"/>
        </w:rPr>
        <w:t>[</w:t>
      </w:r>
      <w:r w:rsidR="00DF13E5" w:rsidRPr="00565B7B">
        <w:rPr>
          <w:rFonts w:cs="Times New Roman"/>
          <w:smallCaps/>
          <w:lang w:val="fr-CA"/>
        </w:rPr>
        <w:t>traduction</w:t>
      </w:r>
      <w:r w:rsidR="00DF13E5" w:rsidRPr="00565B7B">
        <w:rPr>
          <w:rFonts w:cs="Times New Roman"/>
          <w:lang w:val="fr-CA"/>
        </w:rPr>
        <w:t>] « abandon » désigne « le démantèlement permanent d’un puits ou d’une installation de la manière prescrite par les règlements ou les règles » pris par l’organisme de réglementation (</w:t>
      </w:r>
      <w:r w:rsidR="00DF13E5" w:rsidRPr="003C0727">
        <w:rPr>
          <w:rFonts w:cs="Times New Roman"/>
          <w:i/>
          <w:lang w:val="fr-CA"/>
        </w:rPr>
        <w:t>OGCA</w:t>
      </w:r>
      <w:r w:rsidR="00DF13E5" w:rsidRPr="00565B7B">
        <w:rPr>
          <w:rFonts w:cs="Times New Roman"/>
          <w:lang w:val="fr-CA"/>
        </w:rPr>
        <w:t>, al. 1(1)</w:t>
      </w:r>
      <w:r w:rsidR="003C0727">
        <w:rPr>
          <w:rFonts w:cs="Times New Roman"/>
          <w:lang w:val="fr-CA"/>
        </w:rPr>
        <w:t>(</w:t>
      </w:r>
      <w:r w:rsidR="00DF13E5" w:rsidRPr="00565B7B">
        <w:rPr>
          <w:rFonts w:cs="Times New Roman"/>
          <w:lang w:val="fr-CA"/>
        </w:rPr>
        <w:t>a)). Plus précisément, l’abandon d’un puits a été défini comme [</w:t>
      </w:r>
      <w:r w:rsidR="00DF13E5" w:rsidRPr="00565B7B">
        <w:rPr>
          <w:rFonts w:cs="Times New Roman"/>
          <w:smallCaps/>
          <w:lang w:val="fr-CA"/>
        </w:rPr>
        <w:t>traduction</w:t>
      </w:r>
      <w:r w:rsidR="00DF13E5" w:rsidRPr="00565B7B">
        <w:rPr>
          <w:rFonts w:cs="Times New Roman"/>
          <w:lang w:val="fr-CA"/>
        </w:rPr>
        <w:t>] « l’obturation d’un trou qui a été foré pour le pétrole ou le gaz, à la fin de sa vie utile, afin de le rendre sûr sur le plan environnemental » (</w:t>
      </w:r>
      <w:r w:rsidR="00DF13E5" w:rsidRPr="00565B7B">
        <w:rPr>
          <w:rFonts w:cs="Times New Roman"/>
          <w:i/>
          <w:lang w:val="fr-CA"/>
        </w:rPr>
        <w:t xml:space="preserve">Panamericana de Bienes y Servicios S.A. c. </w:t>
      </w:r>
      <w:r w:rsidR="00DF13E5" w:rsidRPr="00565B7B">
        <w:rPr>
          <w:rFonts w:cs="Times New Roman"/>
          <w:i/>
          <w:lang w:val="fr-CA"/>
        </w:rPr>
        <w:lastRenderedPageBreak/>
        <w:t>Northern Badger Oil &amp; Gas Ltd.</w:t>
      </w:r>
      <w:r w:rsidR="00DF13E5" w:rsidRPr="00565B7B">
        <w:rPr>
          <w:rFonts w:cs="Times New Roman"/>
          <w:lang w:val="fr-CA"/>
        </w:rPr>
        <w:t>, 1991 ABCA 181, 81 Alta L.R. (2d) 45 (« </w:t>
      </w:r>
      <w:r w:rsidR="00DF13E5" w:rsidRPr="00565B7B">
        <w:rPr>
          <w:rFonts w:cs="Times New Roman"/>
          <w:i/>
          <w:lang w:val="fr-CA"/>
        </w:rPr>
        <w:t>Northern Badger</w:t>
      </w:r>
      <w:r w:rsidR="00DF13E5" w:rsidRPr="00565B7B">
        <w:rPr>
          <w:rFonts w:cs="Times New Roman"/>
          <w:lang w:val="fr-CA"/>
        </w:rPr>
        <w:t> »), par. 2). L’abandon d’un pipeline fait référence à sa [</w:t>
      </w:r>
      <w:r w:rsidR="00DF13E5" w:rsidRPr="00565B7B">
        <w:rPr>
          <w:rFonts w:cs="Times New Roman"/>
          <w:smallCaps/>
          <w:lang w:val="fr-CA"/>
        </w:rPr>
        <w:t>traduction</w:t>
      </w:r>
      <w:r w:rsidR="00DF13E5" w:rsidRPr="00565B7B">
        <w:rPr>
          <w:rFonts w:cs="Times New Roman"/>
          <w:lang w:val="fr-CA"/>
        </w:rPr>
        <w:t>] « mise hors service permanente [. . .] de la manière prescrite par les règles » (</w:t>
      </w:r>
      <w:r w:rsidR="00DF13E5" w:rsidRPr="00565B7B">
        <w:rPr>
          <w:rFonts w:cs="Times New Roman"/>
          <w:i/>
          <w:lang w:val="fr-CA"/>
        </w:rPr>
        <w:t>Pipeline Act</w:t>
      </w:r>
      <w:r w:rsidR="00DF13E5" w:rsidRPr="00565B7B">
        <w:rPr>
          <w:rFonts w:cs="Times New Roman"/>
          <w:lang w:val="fr-CA"/>
        </w:rPr>
        <w:t>, al. 1(1)</w:t>
      </w:r>
      <w:r w:rsidR="003C0727">
        <w:rPr>
          <w:rFonts w:cs="Times New Roman"/>
          <w:lang w:val="fr-CA"/>
        </w:rPr>
        <w:t>(</w:t>
      </w:r>
      <w:r>
        <w:rPr>
          <w:rFonts w:cs="Times New Roman"/>
          <w:lang w:val="fr-CA"/>
        </w:rPr>
        <w:t xml:space="preserve">a)). La remise en état comprend </w:t>
      </w:r>
      <w:r w:rsidRPr="00565B7B">
        <w:rPr>
          <w:rFonts w:cs="Times New Roman"/>
          <w:lang w:val="fr-CA"/>
        </w:rPr>
        <w:t>[</w:t>
      </w:r>
      <w:r w:rsidRPr="00565B7B">
        <w:rPr>
          <w:rFonts w:cs="Times New Roman"/>
          <w:smallCaps/>
          <w:lang w:val="fr-CA"/>
        </w:rPr>
        <w:t>traduction</w:t>
      </w:r>
      <w:r w:rsidRPr="00565B7B">
        <w:rPr>
          <w:rFonts w:cs="Times New Roman"/>
          <w:lang w:val="fr-CA"/>
        </w:rPr>
        <w:t xml:space="preserve">] </w:t>
      </w:r>
      <w:r w:rsidR="00DF13E5" w:rsidRPr="00565B7B">
        <w:rPr>
          <w:rFonts w:cs="Times New Roman"/>
          <w:lang w:val="fr-CA"/>
        </w:rPr>
        <w:t>« l’enlèvement des bâtiments et de l’équipement », « la décontamination des bâtiments, du terrain ou de l’eau », ainsi que la « stabilisation, l’établissement des courbes de niveau, l’entretien, le conditionnement ou la reconstruction de la surface du terrain » (</w:t>
      </w:r>
      <w:r w:rsidR="00DF13E5" w:rsidRPr="00877B1F">
        <w:rPr>
          <w:rFonts w:cs="Times New Roman"/>
          <w:i/>
          <w:lang w:val="fr-CA"/>
        </w:rPr>
        <w:t>EPEA</w:t>
      </w:r>
      <w:r w:rsidR="00DF13E5" w:rsidRPr="00565B7B">
        <w:rPr>
          <w:rFonts w:cs="Times New Roman"/>
          <w:lang w:val="fr-CA"/>
        </w:rPr>
        <w:t>, al. 1</w:t>
      </w:r>
      <w:r w:rsidR="000624A5">
        <w:rPr>
          <w:rFonts w:cs="Times New Roman"/>
          <w:lang w:val="fr-CA"/>
        </w:rPr>
        <w:t>(</w:t>
      </w:r>
      <w:r w:rsidR="00DF13E5" w:rsidRPr="00565B7B">
        <w:rPr>
          <w:rFonts w:cs="Times New Roman"/>
          <w:lang w:val="fr-CA"/>
        </w:rPr>
        <w:t xml:space="preserve">ddd)). Une autre obligation qui incombe à ceux qui </w:t>
      </w:r>
      <w:r w:rsidRPr="00565B7B">
        <w:rPr>
          <w:rFonts w:cs="Times New Roman"/>
          <w:lang w:val="fr-CA"/>
        </w:rPr>
        <w:t>œuvrent</w:t>
      </w:r>
      <w:r w:rsidR="00DF13E5" w:rsidRPr="00565B7B">
        <w:rPr>
          <w:rFonts w:cs="Times New Roman"/>
          <w:lang w:val="fr-CA"/>
        </w:rPr>
        <w:t xml:space="preserve"> dans l’industrie pétrolière et gazière de l’Alberta est celle de la décontamination, qui prend naissance lorsqu’une substance nocive ou potentiellement nocive a été rejetée dans l’environnement (</w:t>
      </w:r>
      <w:r w:rsidR="00DF13E5" w:rsidRPr="00877B1F">
        <w:rPr>
          <w:rFonts w:cs="Times New Roman"/>
          <w:i/>
          <w:lang w:val="fr-CA"/>
        </w:rPr>
        <w:t>EPEA</w:t>
      </w:r>
      <w:r w:rsidR="000F729F">
        <w:rPr>
          <w:rFonts w:cs="Times New Roman"/>
          <w:lang w:val="fr-CA"/>
        </w:rPr>
        <w:t xml:space="preserve">, art. 112 à </w:t>
      </w:r>
      <w:r w:rsidR="00DF13E5" w:rsidRPr="00565B7B">
        <w:rPr>
          <w:rFonts w:cs="Times New Roman"/>
          <w:lang w:val="fr-CA"/>
        </w:rPr>
        <w:t>122). Puisque l’on ne connaît pas l’étendue des obligations de décontamination, s’il en est, qui peuvent être associées aux biens de Redwater, je ne traiterai pas la décontamination séparément de la remise en état, sauf indication contraire. Comme cela a été fait tout au long du présent litige, je qualifierai conjointement l’abandon et la remise en état d’obligations de fin de vie.</w:t>
      </w:r>
    </w:p>
    <w:p w:rsidR="00DF13E5" w:rsidRPr="00565B7B" w:rsidRDefault="00DF13E5" w:rsidP="00DF13E5">
      <w:pPr>
        <w:pStyle w:val="ParaNoNdepar-AltN"/>
        <w:rPr>
          <w:rFonts w:cs="Times New Roman"/>
          <w:lang w:val="fr-CA"/>
        </w:rPr>
      </w:pPr>
      <w:r w:rsidRPr="00565B7B">
        <w:rPr>
          <w:rFonts w:cs="Times New Roman"/>
          <w:lang w:val="fr-CA"/>
        </w:rPr>
        <w:t>Le titulaire de permis doit abandonner un puits ou une installation lorsque l’organisme de réglementation le lui ordonne, ou lorsque les règles ou les règlements l’exigent. L’organisme de réglementation peut ordonner l’abandon lorsqu’</w:t>
      </w:r>
      <w:r w:rsidR="00747322">
        <w:rPr>
          <w:rFonts w:cs="Times New Roman"/>
          <w:lang w:val="fr-CA"/>
        </w:rPr>
        <w:t xml:space="preserve">il </w:t>
      </w:r>
      <w:r w:rsidRPr="00565B7B">
        <w:rPr>
          <w:rFonts w:cs="Times New Roman"/>
          <w:lang w:val="fr-CA"/>
        </w:rPr>
        <w:t>[</w:t>
      </w:r>
      <w:r w:rsidRPr="00565B7B">
        <w:rPr>
          <w:rFonts w:cs="Times New Roman"/>
          <w:smallCaps/>
          <w:lang w:val="fr-CA"/>
        </w:rPr>
        <w:t>traduction</w:t>
      </w:r>
      <w:r w:rsidR="00747322">
        <w:rPr>
          <w:rFonts w:cs="Times New Roman"/>
          <w:lang w:val="fr-CA"/>
        </w:rPr>
        <w:t>] « </w:t>
      </w:r>
      <w:r w:rsidRPr="00565B7B">
        <w:rPr>
          <w:rFonts w:cs="Times New Roman"/>
          <w:lang w:val="fr-CA"/>
        </w:rPr>
        <w:t>l’estime nécessaire pour protéger le public ou l’environnement » (</w:t>
      </w:r>
      <w:r w:rsidRPr="00877B1F">
        <w:rPr>
          <w:rFonts w:cs="Times New Roman"/>
          <w:i/>
          <w:lang w:val="fr-CA"/>
        </w:rPr>
        <w:t>OGCA</w:t>
      </w:r>
      <w:r w:rsidRPr="00565B7B">
        <w:rPr>
          <w:rFonts w:cs="Times New Roman"/>
          <w:lang w:val="fr-CA"/>
        </w:rPr>
        <w:t>, par. 27(3)). Selon les règles, le titulaire de permis est tenu d’abandonner un puits ou une installation, notamment, à la résiliation du bail d’exploitation minière, du bail de surface ou de l’accès aux terres, lorsque l’organisme de réglementation annule ou suspend le permis, ou lorsqu’il avise le titulaire de permis que le puits ou l’installation peut constituer un danger pour l’environnement ou la sécurité (</w:t>
      </w:r>
      <w:r w:rsidRPr="00565B7B">
        <w:rPr>
          <w:rFonts w:cs="Times New Roman"/>
          <w:i/>
          <w:lang w:val="fr-CA"/>
        </w:rPr>
        <w:t xml:space="preserve">Oil and </w:t>
      </w:r>
      <w:r w:rsidRPr="00565B7B">
        <w:rPr>
          <w:rFonts w:cs="Times New Roman"/>
          <w:i/>
          <w:lang w:val="fr-CA"/>
        </w:rPr>
        <w:lastRenderedPageBreak/>
        <w:t>Gas Conservation Rules</w:t>
      </w:r>
      <w:r w:rsidRPr="00565B7B">
        <w:rPr>
          <w:rFonts w:cs="Times New Roman"/>
          <w:lang w:val="fr-CA"/>
        </w:rPr>
        <w:t xml:space="preserve">, Alta. Reg. 151/71, art. 3.012). L’article 23 de la </w:t>
      </w:r>
      <w:r w:rsidRPr="00565B7B">
        <w:rPr>
          <w:rFonts w:cs="Times New Roman"/>
          <w:i/>
          <w:lang w:val="fr-CA"/>
        </w:rPr>
        <w:t>Pipeline Act</w:t>
      </w:r>
      <w:r w:rsidRPr="00565B7B">
        <w:rPr>
          <w:rFonts w:cs="Times New Roman"/>
          <w:lang w:val="fr-CA"/>
        </w:rPr>
        <w:t xml:space="preserve"> oblige les titulaires de permis à abandonner des pipelines dans des situations semblables. L’obligation de remise en état est prévue par l’art. 137 de l’</w:t>
      </w:r>
      <w:r w:rsidRPr="00877B1F">
        <w:rPr>
          <w:rFonts w:cs="Times New Roman"/>
          <w:i/>
          <w:lang w:val="fr-CA"/>
        </w:rPr>
        <w:t>EPEA</w:t>
      </w:r>
      <w:r w:rsidRPr="00565B7B">
        <w:rPr>
          <w:rFonts w:cs="Times New Roman"/>
          <w:lang w:val="fr-CA"/>
        </w:rPr>
        <w:t>. Cette obligation s’impose à un « exploitant », terme plus large qui englobe le titulaire d’un permis délivré par l’organisme de réglementation (</w:t>
      </w:r>
      <w:r w:rsidRPr="00877B1F">
        <w:rPr>
          <w:rFonts w:cs="Times New Roman"/>
          <w:i/>
          <w:lang w:val="fr-CA"/>
        </w:rPr>
        <w:t>EPEA</w:t>
      </w:r>
      <w:r w:rsidRPr="00565B7B">
        <w:rPr>
          <w:rFonts w:cs="Times New Roman"/>
          <w:lang w:val="fr-CA"/>
        </w:rPr>
        <w:t>, al. 134</w:t>
      </w:r>
      <w:r w:rsidR="000624A5">
        <w:rPr>
          <w:rFonts w:cs="Times New Roman"/>
          <w:lang w:val="fr-CA"/>
        </w:rPr>
        <w:t>(</w:t>
      </w:r>
      <w:r w:rsidRPr="00565B7B">
        <w:rPr>
          <w:rFonts w:cs="Times New Roman"/>
          <w:lang w:val="fr-CA"/>
        </w:rPr>
        <w:t>b)). La remise en état est régie par les exigences procédurales fixées dans le règlement (</w:t>
      </w:r>
      <w:r w:rsidRPr="00565B7B">
        <w:rPr>
          <w:rFonts w:cs="Times New Roman"/>
          <w:i/>
          <w:lang w:val="fr-CA"/>
        </w:rPr>
        <w:t>Conservation and Reclamation Regulation</w:t>
      </w:r>
      <w:r w:rsidRPr="00565B7B">
        <w:rPr>
          <w:rFonts w:cs="Times New Roman"/>
          <w:lang w:val="fr-CA"/>
        </w:rPr>
        <w:t>, Alta. Reg. 115/93).</w:t>
      </w:r>
    </w:p>
    <w:p w:rsidR="00DF13E5" w:rsidRPr="00565B7B" w:rsidRDefault="00DF13E5" w:rsidP="00DF13E5">
      <w:pPr>
        <w:pStyle w:val="ParaNoNdepar-AltN"/>
        <w:rPr>
          <w:rFonts w:cs="Times New Roman"/>
          <w:lang w:val="fr-CA"/>
        </w:rPr>
      </w:pPr>
      <w:r w:rsidRPr="00565B7B">
        <w:rPr>
          <w:rFonts w:cs="Times New Roman"/>
          <w:lang w:val="fr-CA"/>
        </w:rPr>
        <w:t xml:space="preserve">Le Programme d’évaluation de la responsabilité du titulaire de permis, qui était, au moment de l’insolvabilité de Redwater, établi dans la </w:t>
      </w:r>
      <w:r w:rsidRPr="00565B7B">
        <w:rPr>
          <w:rFonts w:cs="Times New Roman"/>
          <w:i/>
          <w:lang w:val="fr-CA"/>
        </w:rPr>
        <w:t>Directive 006 :</w:t>
      </w:r>
      <w:r w:rsidRPr="00565B7B">
        <w:rPr>
          <w:rFonts w:cs="Times New Roman"/>
          <w:lang w:val="fr-CA"/>
        </w:rPr>
        <w:t xml:space="preserve"> </w:t>
      </w:r>
      <w:r w:rsidRPr="00565B7B">
        <w:rPr>
          <w:rFonts w:cs="Times New Roman"/>
          <w:i/>
          <w:lang w:val="fr-CA"/>
        </w:rPr>
        <w:t>Licensee Liability Rating</w:t>
      </w:r>
      <w:r w:rsidR="00747322">
        <w:rPr>
          <w:rFonts w:cs="Times New Roman"/>
          <w:i/>
          <w:lang w:val="fr-CA"/>
        </w:rPr>
        <w:t xml:space="preserve"> (LLR) Program and License Transfer </w:t>
      </w:r>
      <w:r w:rsidRPr="00565B7B">
        <w:rPr>
          <w:rFonts w:cs="Times New Roman"/>
          <w:i/>
          <w:lang w:val="fr-CA"/>
        </w:rPr>
        <w:t>Process</w:t>
      </w:r>
      <w:r w:rsidRPr="00565B7B">
        <w:rPr>
          <w:rFonts w:cs="Times New Roman"/>
          <w:lang w:val="fr-CA"/>
        </w:rPr>
        <w:t xml:space="preserve"> (12 mars 2013) (« Directive 006 ») constitue un moyen par lequel l’organisme de réglementation vise à s’assurer que les titulaires de permis rempliront les obligations de fin de vie, au lieu que celles</w:t>
      </w:r>
      <w:r w:rsidRPr="00565B7B">
        <w:rPr>
          <w:rFonts w:cs="Times New Roman"/>
          <w:lang w:val="fr-CA"/>
        </w:rPr>
        <w:noBreakHyphen/>
        <w:t>ci soient en fin de compte assumées par le public albertain. Dans le cadre de ce programme, l’organisme de réglementation attribue à chaque société une cote de gestion de la responsabilité (« CGR »), qui représente le rapport entre la valeur totale attribuée par l’organisme de réglementation aux biens d’une société qui sont visés par des permis et la responsabilité totale que l’organisme de réglementation attribue aux coûts éventuels de l’abandon et de la remise en état de ces biens. Pour les besoins du calcul de la CGR, tous les permis détenus par une société donnée sont traités comme un tout, sans isolement ou morcellement des biens. La CGR d’un titulaire de permis est calculée sur une base mensuelle et, lorsqu’elle to</w:t>
      </w:r>
      <w:r w:rsidR="00747322">
        <w:rPr>
          <w:rFonts w:cs="Times New Roman"/>
          <w:lang w:val="fr-CA"/>
        </w:rPr>
        <w:t>mbe sous le ratio prescrit (1,0</w:t>
      </w:r>
      <w:r w:rsidRPr="00565B7B">
        <w:rPr>
          <w:rFonts w:cs="Times New Roman"/>
          <w:lang w:val="fr-CA"/>
        </w:rPr>
        <w:t xml:space="preserve"> à l’époque de l’insolvabilité de Redwater), le titulaire de permis est tenu de verser un dépôt de garantie. Le dépôt de garantie est ajouté aux [</w:t>
      </w:r>
      <w:r w:rsidRPr="00565B7B">
        <w:rPr>
          <w:rFonts w:cs="Times New Roman"/>
          <w:smallCaps/>
          <w:lang w:val="fr-CA"/>
        </w:rPr>
        <w:t>traduction</w:t>
      </w:r>
      <w:r w:rsidRPr="00565B7B">
        <w:rPr>
          <w:rFonts w:cs="Times New Roman"/>
          <w:lang w:val="fr-CA"/>
        </w:rPr>
        <w:t xml:space="preserve">] « biens réputés » du titulaire de permis, qui doit ramener sa CGR au ratio prescrit par l’organisme de </w:t>
      </w:r>
      <w:r w:rsidRPr="00565B7B">
        <w:rPr>
          <w:rFonts w:cs="Times New Roman"/>
          <w:lang w:val="fr-CA"/>
        </w:rPr>
        <w:lastRenderedPageBreak/>
        <w:t>réglementation. Si le dépôt de garantie requis n’est pas payé, l’organisme de réglementation peut annuler ou suspendre les permis de la société (</w:t>
      </w:r>
      <w:r w:rsidRPr="00877B1F">
        <w:rPr>
          <w:rFonts w:cs="Times New Roman"/>
          <w:i/>
          <w:lang w:val="fr-CA"/>
        </w:rPr>
        <w:t>OGCA</w:t>
      </w:r>
      <w:r w:rsidRPr="00565B7B">
        <w:rPr>
          <w:rFonts w:cs="Times New Roman"/>
          <w:lang w:val="fr-CA"/>
        </w:rPr>
        <w:t>, art. 25). Comme solution de rechange au versement d’une garantie, le titulaire de permis peut exécuter les obligations de fin de vie ou transférer des permis (avec approbation), afin de ramener sa CGR au niveau prescrit.</w:t>
      </w:r>
    </w:p>
    <w:p w:rsidR="00DF13E5" w:rsidRPr="00565B7B" w:rsidRDefault="00DF13E5" w:rsidP="00DF13E5">
      <w:pPr>
        <w:pStyle w:val="ParaNoNdepar-AltN"/>
        <w:rPr>
          <w:rFonts w:cs="Times New Roman"/>
          <w:lang w:val="fr-CA"/>
        </w:rPr>
      </w:pPr>
      <w:r w:rsidRPr="00565B7B">
        <w:rPr>
          <w:rFonts w:cs="Times New Roman"/>
          <w:lang w:val="fr-CA"/>
        </w:rPr>
        <w:t xml:space="preserve">Les permis ne peuvent être transférés qu’avec l’approbation de l’organisme de réglementation. Ce dernier utilise le Programme d’évaluation de la responsabilité du titulaire de permis pour éviter que les transferts de permis aient un effet néfaste sur les obligations de fin de vie. À la réception d’une demande de transfert d’un ou de plusieurs permis, l’organisme de réglementation évalue la façon dont le transfert, s’il est approuvé, influerait sur la CGR du cédant et du cessionnaire. À l’époque de l’insolvabilité de Redwater, si le cédant et le cessionnaire devaient avoir, après le transfert, des CGR égales ou supérieures à 1,0, l’organisme de réglementation approuverait le transfert en l’absence d’autres préoccupations. Après la décision du juge siégeant en cabinet dans la présente affaire, l’organisme de réglementation a apporté des changements à ses politiques, y compris l’exigence selon laquelle les cessionnaires devaient avoir une CGR de 2,0 ou plus immédiatement après tout transfert de permis : Alberta Energy Regulator, </w:t>
      </w:r>
      <w:r w:rsidRPr="00565B7B">
        <w:rPr>
          <w:rFonts w:cs="Times New Roman"/>
          <w:i/>
          <w:lang w:val="fr-CA"/>
        </w:rPr>
        <w:t xml:space="preserve">Licensee Eligibility — Alberta Energy Regulator Measures to Limit Environmental </w:t>
      </w:r>
      <w:r>
        <w:rPr>
          <w:rFonts w:cs="Times New Roman"/>
          <w:i/>
          <w:lang w:val="fr-CA"/>
        </w:rPr>
        <w:t>I</w:t>
      </w:r>
      <w:r w:rsidRPr="00565B7B">
        <w:rPr>
          <w:rFonts w:cs="Times New Roman"/>
          <w:i/>
          <w:lang w:val="fr-CA"/>
        </w:rPr>
        <w:t xml:space="preserve">mpacts </w:t>
      </w:r>
      <w:r>
        <w:rPr>
          <w:rFonts w:cs="Times New Roman"/>
          <w:i/>
          <w:lang w:val="fr-CA"/>
        </w:rPr>
        <w:t>P</w:t>
      </w:r>
      <w:r w:rsidRPr="00565B7B">
        <w:rPr>
          <w:rFonts w:cs="Times New Roman"/>
          <w:i/>
          <w:lang w:val="fr-CA"/>
        </w:rPr>
        <w:t xml:space="preserve">ending Regulatory Changes to Address </w:t>
      </w:r>
      <w:r w:rsidR="00747322">
        <w:rPr>
          <w:rFonts w:cs="Times New Roman"/>
          <w:i/>
          <w:lang w:val="fr-CA"/>
        </w:rPr>
        <w:t xml:space="preserve">the </w:t>
      </w:r>
      <w:r w:rsidRPr="00565B7B">
        <w:rPr>
          <w:rFonts w:cs="Times New Roman"/>
          <w:i/>
          <w:lang w:val="fr-CA"/>
        </w:rPr>
        <w:t>Redwater Decision</w:t>
      </w:r>
      <w:r w:rsidRPr="00565B7B">
        <w:rPr>
          <w:rFonts w:cs="Times New Roman"/>
          <w:lang w:val="fr-CA"/>
        </w:rPr>
        <w:t>, 20 juin 2016 (en ligne). Pour les besoins du présent pourvoi, je ferai référence au régime de réglementation tel qu’il existait à l’époque de l’insolvabilité de Redwater.</w:t>
      </w:r>
    </w:p>
    <w:p w:rsidR="00DF13E5" w:rsidRPr="00565B7B" w:rsidRDefault="00DF13E5" w:rsidP="00DF13E5">
      <w:pPr>
        <w:pStyle w:val="ParaNoNdepar-AltN"/>
        <w:rPr>
          <w:rFonts w:cs="Times New Roman"/>
          <w:lang w:val="fr-CA"/>
        </w:rPr>
      </w:pPr>
      <w:r w:rsidRPr="00565B7B">
        <w:rPr>
          <w:rFonts w:cs="Times New Roman"/>
          <w:lang w:val="fr-CA"/>
        </w:rPr>
        <w:lastRenderedPageBreak/>
        <w:t>Comme il est expliqué plus en détail ci</w:t>
      </w:r>
      <w:r w:rsidRPr="00565B7B">
        <w:rPr>
          <w:rFonts w:cs="Times New Roman"/>
          <w:lang w:val="fr-CA"/>
        </w:rPr>
        <w:noBreakHyphen/>
        <w:t xml:space="preserve">dessous, si le cédant ou le cessionnaire devait avoir une CGR inférieure à 1,0 après le transfert, l’organisme de réglementation refuserait d’approuver le transfert de permis. Dans une telle situation, l’organisme de réglementation insisterait pour que certaines mesures correctives soient prises afin de s’assurer qu’aucune des deux CGR ne descende en dessous de 1,0. </w:t>
      </w:r>
      <w:r>
        <w:rPr>
          <w:rFonts w:cs="Times New Roman"/>
          <w:lang w:val="fr-CA"/>
        </w:rPr>
        <w:t>Même si la D</w:t>
      </w:r>
      <w:r w:rsidRPr="00565B7B">
        <w:rPr>
          <w:rFonts w:cs="Times New Roman"/>
          <w:lang w:val="fr-CA"/>
        </w:rPr>
        <w:t>irective 006, dans sa version de 2013, exigeait que le cessionnaire ainsi que le cédant aient des CGR d’au moins 1,0 après le transfert, au cours de ce litige, l’organisme de réglementation a déclaré que, lorsque les titulaires de permis sont sous séquestre ou en faillite, sa règle pratique est d’approuver les transferts tant qu’ils n’entraînent pas une détérioration de la CGR du cédant, même si la CGR du cédant demeurerait inférieure à 1,0 après le transfert. L’explication donnée pour cette règle pratique est qu’elle vise à faciliter les achats. L’organisme de réglementation fait valoir que le Programme d’évaluation de la responsabilité du titulaire de permis continue de s’appliquer au transfert de permis dans le cadre de la procédure d’insolvabilité.</w:t>
      </w:r>
    </w:p>
    <w:p w:rsidR="00DF13E5" w:rsidRPr="00565B7B" w:rsidRDefault="00DF13E5" w:rsidP="00DF13E5">
      <w:pPr>
        <w:pStyle w:val="ParaNoNdepar-AltN"/>
        <w:rPr>
          <w:rFonts w:cs="Times New Roman"/>
          <w:lang w:val="fr-CA"/>
        </w:rPr>
      </w:pPr>
      <w:r w:rsidRPr="00565B7B">
        <w:rPr>
          <w:rFonts w:cs="Times New Roman"/>
          <w:lang w:val="fr-CA"/>
        </w:rPr>
        <w:t>L’</w:t>
      </w:r>
      <w:r w:rsidRPr="00877B1F">
        <w:rPr>
          <w:rFonts w:cs="Times New Roman"/>
          <w:i/>
          <w:lang w:val="fr-CA"/>
        </w:rPr>
        <w:t>OGCA</w:t>
      </w:r>
      <w:r w:rsidRPr="00565B7B">
        <w:rPr>
          <w:rFonts w:cs="Times New Roman"/>
          <w:lang w:val="fr-CA"/>
        </w:rPr>
        <w:t xml:space="preserve">, la </w:t>
      </w:r>
      <w:r w:rsidRPr="00565B7B">
        <w:rPr>
          <w:rFonts w:cs="Times New Roman"/>
          <w:i/>
          <w:lang w:val="fr-CA"/>
        </w:rPr>
        <w:t>Pipeline Act</w:t>
      </w:r>
      <w:r w:rsidRPr="00565B7B">
        <w:rPr>
          <w:rFonts w:cs="Times New Roman"/>
          <w:lang w:val="fr-CA"/>
        </w:rPr>
        <w:t xml:space="preserve"> ainsi que l’</w:t>
      </w:r>
      <w:r w:rsidRPr="00877B1F">
        <w:rPr>
          <w:rFonts w:cs="Times New Roman"/>
          <w:i/>
          <w:lang w:val="fr-CA"/>
        </w:rPr>
        <w:t>EPEA</w:t>
      </w:r>
      <w:r w:rsidRPr="00565B7B">
        <w:rPr>
          <w:rFonts w:cs="Times New Roman"/>
          <w:lang w:val="fr-CA"/>
        </w:rPr>
        <w:t xml:space="preserve"> envisagent toutes que les obligations réglementaires d’un titulaire de permis continuent d’être respectées pendant qu’il fait l’objet d’une procédure d’insolvabilité. L’</w:t>
      </w:r>
      <w:r w:rsidRPr="00877B1F">
        <w:rPr>
          <w:rFonts w:cs="Times New Roman"/>
          <w:i/>
          <w:lang w:val="fr-CA"/>
        </w:rPr>
        <w:t>EPEA</w:t>
      </w:r>
      <w:r w:rsidRPr="00565B7B">
        <w:rPr>
          <w:rFonts w:cs="Times New Roman"/>
          <w:lang w:val="fr-CA"/>
        </w:rPr>
        <w:t xml:space="preserve"> y parvient en incluant le syndic d’un titulaire de permis dans la définition d’« exploitant » pour l’application de l’obligation de remettre en état (s</w:t>
      </w:r>
      <w:r w:rsidR="00B8548C">
        <w:rPr>
          <w:rFonts w:cs="Times New Roman"/>
          <w:lang w:val="fr-CA"/>
        </w:rPr>
        <w:t>ous</w:t>
      </w:r>
      <w:r w:rsidRPr="00565B7B">
        <w:rPr>
          <w:rFonts w:cs="Times New Roman"/>
          <w:lang w:val="fr-CA"/>
        </w:rPr>
        <w:noBreakHyphen/>
        <w:t>al. 134</w:t>
      </w:r>
      <w:r w:rsidR="000624A5">
        <w:rPr>
          <w:rFonts w:cs="Times New Roman"/>
          <w:lang w:val="fr-CA"/>
        </w:rPr>
        <w:t>(</w:t>
      </w:r>
      <w:r w:rsidRPr="00565B7B">
        <w:rPr>
          <w:rFonts w:cs="Times New Roman"/>
          <w:lang w:val="fr-CA"/>
        </w:rPr>
        <w:t>b)(vi)). L’</w:t>
      </w:r>
      <w:r w:rsidRPr="00877B1F">
        <w:rPr>
          <w:rFonts w:cs="Times New Roman"/>
          <w:i/>
          <w:lang w:val="fr-CA"/>
        </w:rPr>
        <w:t>EPEA</w:t>
      </w:r>
      <w:r w:rsidRPr="00565B7B">
        <w:rPr>
          <w:rFonts w:cs="Times New Roman"/>
          <w:lang w:val="fr-CA"/>
        </w:rPr>
        <w:t xml:space="preserve"> prévoit aussi expressément la possibilité qu’une ordonnance de remise en état (appelée [</w:t>
      </w:r>
      <w:r w:rsidRPr="00565B7B">
        <w:rPr>
          <w:rFonts w:cs="Times New Roman"/>
          <w:smallCaps/>
          <w:lang w:val="fr-CA"/>
        </w:rPr>
        <w:t>traduction</w:t>
      </w:r>
      <w:r w:rsidRPr="00565B7B">
        <w:rPr>
          <w:rFonts w:cs="Times New Roman"/>
          <w:lang w:val="fr-CA"/>
        </w:rPr>
        <w:t>] « ordonnance de protection de l’environnement ») soit adre</w:t>
      </w:r>
      <w:r w:rsidR="00B8548C">
        <w:rPr>
          <w:rFonts w:cs="Times New Roman"/>
          <w:lang w:val="fr-CA"/>
        </w:rPr>
        <w:t>ssée à un syndic (art. 140 et sous</w:t>
      </w:r>
      <w:r w:rsidRPr="00565B7B">
        <w:rPr>
          <w:rFonts w:cs="Times New Roman"/>
          <w:lang w:val="fr-CA"/>
        </w:rPr>
        <w:noBreakHyphen/>
        <w:t>al. 142(1)</w:t>
      </w:r>
      <w:r w:rsidR="000624A5">
        <w:rPr>
          <w:rFonts w:cs="Times New Roman"/>
          <w:lang w:val="fr-CA"/>
        </w:rPr>
        <w:t>(</w:t>
      </w:r>
      <w:r w:rsidRPr="00565B7B">
        <w:rPr>
          <w:rFonts w:cs="Times New Roman"/>
          <w:lang w:val="fr-CA"/>
        </w:rPr>
        <w:t>a)(ii))). L’</w:t>
      </w:r>
      <w:r w:rsidRPr="00877B1F">
        <w:rPr>
          <w:rFonts w:cs="Times New Roman"/>
          <w:i/>
          <w:lang w:val="fr-CA"/>
        </w:rPr>
        <w:t>EPEA</w:t>
      </w:r>
      <w:r w:rsidRPr="00565B7B">
        <w:rPr>
          <w:rFonts w:cs="Times New Roman"/>
          <w:lang w:val="fr-CA"/>
        </w:rPr>
        <w:t xml:space="preserve"> impose la responsabilité d’exécuter une ordonnance de protection de l’environnement à la personne visée par l’ordonnance (art. 240 et 245). Cependant, faute de négligence grave ou d’inconduite délibérée, la </w:t>
      </w:r>
      <w:r w:rsidRPr="00565B7B">
        <w:rPr>
          <w:rFonts w:cs="Times New Roman"/>
          <w:lang w:val="fr-CA"/>
        </w:rPr>
        <w:lastRenderedPageBreak/>
        <w:t>responsabilité du syndic à l’égard d’une telle ordonnance est expressément limitée à la valeur des éléments de l’actif du failli (par. 240(3)). L’</w:t>
      </w:r>
      <w:r w:rsidRPr="00877B1F">
        <w:rPr>
          <w:rFonts w:cs="Times New Roman"/>
          <w:i/>
          <w:lang w:val="fr-CA"/>
        </w:rPr>
        <w:t>OGCA</w:t>
      </w:r>
      <w:r w:rsidRPr="00565B7B">
        <w:rPr>
          <w:rFonts w:cs="Times New Roman"/>
          <w:lang w:val="fr-CA"/>
        </w:rPr>
        <w:t xml:space="preserve"> et la </w:t>
      </w:r>
      <w:r w:rsidRPr="00565B7B">
        <w:rPr>
          <w:rFonts w:cs="Times New Roman"/>
          <w:i/>
          <w:lang w:val="fr-CA"/>
        </w:rPr>
        <w:t>Pipeline Act</w:t>
      </w:r>
      <w:r w:rsidRPr="00565B7B">
        <w:rPr>
          <w:rFonts w:cs="Times New Roman"/>
          <w:lang w:val="fr-CA"/>
        </w:rPr>
        <w:t xml:space="preserve"> adoptent une approche plus générique pour appliquer les diverses obligations d’un titulaire de permis aux syndics dans le contexte de l’insolvabilité; elles incluent simplement le syndic dans la définition de [</w:t>
      </w:r>
      <w:r w:rsidRPr="00565B7B">
        <w:rPr>
          <w:rFonts w:cs="Times New Roman"/>
          <w:smallCaps/>
          <w:lang w:val="fr-CA"/>
        </w:rPr>
        <w:t>traduction</w:t>
      </w:r>
      <w:r w:rsidRPr="00565B7B">
        <w:rPr>
          <w:rFonts w:cs="Times New Roman"/>
          <w:lang w:val="fr-CA"/>
        </w:rPr>
        <w:t>] « titulaire de</w:t>
      </w:r>
      <w:r w:rsidR="00747322">
        <w:rPr>
          <w:rFonts w:cs="Times New Roman"/>
          <w:lang w:val="fr-CA"/>
        </w:rPr>
        <w:t xml:space="preserve"> permis » (</w:t>
      </w:r>
      <w:r w:rsidR="00747322" w:rsidRPr="00877B1F">
        <w:rPr>
          <w:rFonts w:cs="Times New Roman"/>
          <w:i/>
          <w:lang w:val="fr-CA"/>
        </w:rPr>
        <w:t>OGCA</w:t>
      </w:r>
      <w:r w:rsidR="00747322">
        <w:rPr>
          <w:rFonts w:cs="Times New Roman"/>
          <w:lang w:val="fr-CA"/>
        </w:rPr>
        <w:t>, al. 1(1)</w:t>
      </w:r>
      <w:r w:rsidR="000624A5">
        <w:rPr>
          <w:rFonts w:cs="Times New Roman"/>
          <w:lang w:val="fr-CA"/>
        </w:rPr>
        <w:t>(</w:t>
      </w:r>
      <w:r w:rsidRPr="00565B7B">
        <w:rPr>
          <w:rFonts w:cs="Times New Roman"/>
          <w:lang w:val="fr-CA"/>
        </w:rPr>
        <w:t xml:space="preserve">cc); </w:t>
      </w:r>
      <w:r w:rsidRPr="00565B7B">
        <w:rPr>
          <w:rFonts w:cs="Times New Roman"/>
          <w:i/>
          <w:lang w:val="fr-CA"/>
        </w:rPr>
        <w:t>Pipeline Act</w:t>
      </w:r>
      <w:r w:rsidR="00747322">
        <w:rPr>
          <w:rFonts w:cs="Times New Roman"/>
          <w:lang w:val="fr-CA"/>
        </w:rPr>
        <w:t>, al. 1(1)</w:t>
      </w:r>
      <w:r w:rsidR="000624A5">
        <w:rPr>
          <w:rFonts w:cs="Times New Roman"/>
          <w:lang w:val="fr-CA"/>
        </w:rPr>
        <w:t>(</w:t>
      </w:r>
      <w:r w:rsidRPr="00565B7B">
        <w:rPr>
          <w:rFonts w:cs="Times New Roman"/>
          <w:lang w:val="fr-CA"/>
        </w:rPr>
        <w:t>n)). En conséquence, tout pouvoir que ces lois confèrent à l’organisme de réglementation à l’encontre d’un titulaire de permis peut, en théorie, s’exercer également contre un syndic.</w:t>
      </w:r>
    </w:p>
    <w:p w:rsidR="00DF13E5" w:rsidRPr="00565B7B" w:rsidRDefault="00DF13E5" w:rsidP="00DF13E5">
      <w:pPr>
        <w:pStyle w:val="ParaNoNdepar-AltN"/>
        <w:rPr>
          <w:rFonts w:cs="Times New Roman"/>
          <w:lang w:val="fr-CA"/>
        </w:rPr>
      </w:pPr>
      <w:r w:rsidRPr="00565B7B">
        <w:rPr>
          <w:rFonts w:cs="Times New Roman"/>
          <w:lang w:val="fr-CA"/>
        </w:rPr>
        <w:t>Malgré cela, le régime de réglementation de l’Alberta envisage la possibilité qu’une partie des obligations de fin de vie d’un titulaire de permis demeure insatisfaite à la fin du processus d’insolvabilité. L’organisme de réglementation peut désigner des puits, des installations et leurs sites comme [</w:t>
      </w:r>
      <w:r w:rsidRPr="00565B7B">
        <w:rPr>
          <w:rFonts w:cs="Times New Roman"/>
          <w:smallCaps/>
          <w:lang w:val="fr-CA"/>
        </w:rPr>
        <w:t>traduction</w:t>
      </w:r>
      <w:r w:rsidRPr="00565B7B">
        <w:rPr>
          <w:rFonts w:cs="Times New Roman"/>
          <w:lang w:val="fr-CA"/>
        </w:rPr>
        <w:t>]</w:t>
      </w:r>
      <w:r w:rsidR="00747322">
        <w:rPr>
          <w:rFonts w:cs="Times New Roman"/>
          <w:lang w:val="fr-CA"/>
        </w:rPr>
        <w:t> « orphelins » (</w:t>
      </w:r>
      <w:r w:rsidR="00747322" w:rsidRPr="00877B1F">
        <w:rPr>
          <w:rFonts w:cs="Times New Roman"/>
          <w:i/>
          <w:lang w:val="fr-CA"/>
        </w:rPr>
        <w:t>OGCA</w:t>
      </w:r>
      <w:r w:rsidR="00747322">
        <w:rPr>
          <w:rFonts w:cs="Times New Roman"/>
          <w:lang w:val="fr-CA"/>
        </w:rPr>
        <w:t>, al. 70(2)</w:t>
      </w:r>
      <w:r w:rsidR="000624A5">
        <w:rPr>
          <w:rFonts w:cs="Times New Roman"/>
          <w:lang w:val="fr-CA"/>
        </w:rPr>
        <w:t>(</w:t>
      </w:r>
      <w:r w:rsidRPr="00565B7B">
        <w:rPr>
          <w:rFonts w:cs="Times New Roman"/>
          <w:lang w:val="fr-CA"/>
        </w:rPr>
        <w:t>a)). Un pipeline est défini comme une « installation » pour l’application du régime relatif aux orphelins (</w:t>
      </w:r>
      <w:r w:rsidRPr="00877B1F">
        <w:rPr>
          <w:rFonts w:cs="Times New Roman"/>
          <w:i/>
          <w:lang w:val="fr-CA"/>
        </w:rPr>
        <w:t>OGCA</w:t>
      </w:r>
      <w:r w:rsidRPr="00565B7B">
        <w:rPr>
          <w:rFonts w:cs="Times New Roman"/>
          <w:lang w:val="fr-CA"/>
        </w:rPr>
        <w:t>, al. 68</w:t>
      </w:r>
      <w:r w:rsidR="000624A5">
        <w:rPr>
          <w:rFonts w:cs="Times New Roman"/>
          <w:lang w:val="fr-CA"/>
        </w:rPr>
        <w:t>(</w:t>
      </w:r>
      <w:r w:rsidRPr="00565B7B">
        <w:rPr>
          <w:rFonts w:cs="Times New Roman"/>
          <w:lang w:val="fr-CA"/>
        </w:rPr>
        <w:t>d)). La Directive 006 disposait qu’</w:t>
      </w:r>
      <w:r w:rsidR="00747322">
        <w:rPr>
          <w:rFonts w:cs="Times New Roman"/>
          <w:lang w:val="fr-CA"/>
        </w:rPr>
        <w:t xml:space="preserve">un </w:t>
      </w:r>
      <w:r w:rsidRPr="00565B7B">
        <w:rPr>
          <w:rFonts w:cs="Times New Roman"/>
          <w:lang w:val="fr-CA"/>
        </w:rPr>
        <w:t>[</w:t>
      </w:r>
      <w:r w:rsidRPr="00565B7B">
        <w:rPr>
          <w:rFonts w:cs="Times New Roman"/>
          <w:smallCaps/>
          <w:lang w:val="fr-CA"/>
        </w:rPr>
        <w:t>traduction</w:t>
      </w:r>
      <w:r w:rsidRPr="00565B7B">
        <w:rPr>
          <w:rFonts w:cs="Times New Roman"/>
          <w:lang w:val="fr-CA"/>
        </w:rPr>
        <w:t>] « puits, une installation ou un pipeline visé par le Programme d’évaluation de la responsabilité du titulaire de permis peut être déclaré orphelin lorsque le titulaire de ce permis devient insolvable o</w:t>
      </w:r>
      <w:r w:rsidR="00B8548C">
        <w:rPr>
          <w:rFonts w:cs="Times New Roman"/>
          <w:lang w:val="fr-CA"/>
        </w:rPr>
        <w:t>u est liquidé » (art. 7.1). Un</w:t>
      </w:r>
      <w:r w:rsidRPr="00565B7B">
        <w:rPr>
          <w:rFonts w:cs="Times New Roman"/>
          <w:lang w:val="fr-CA"/>
        </w:rPr>
        <w:t xml:space="preserve"> « fonds pour les puits orphelins » a été créé dans le but de payer, entre autres choses, l’abandon et la remise en état des puits orphelins (</w:t>
      </w:r>
      <w:r w:rsidRPr="00877B1F">
        <w:rPr>
          <w:rFonts w:cs="Times New Roman"/>
          <w:i/>
          <w:lang w:val="fr-CA"/>
        </w:rPr>
        <w:t>OGCA</w:t>
      </w:r>
      <w:r w:rsidRPr="00565B7B">
        <w:rPr>
          <w:rFonts w:cs="Times New Roman"/>
          <w:lang w:val="fr-CA"/>
        </w:rPr>
        <w:t xml:space="preserve">, par. 70(1)). Le fonds pour les puits orphelins est financé au moyen d’une redevance annuelle, à l’échelle de l’industrie, payée par les titulaires de permis de puits et d’installations ainsi que de sites non remis en état (par. 73(1)). Le montant de la redevance est prescrit par l’organisme de réglementation en fonction du coût estimatif de l’abandon et de la remise en état des puits orphelins au cours d’un exercice donné (par. 73(2)). </w:t>
      </w:r>
    </w:p>
    <w:p w:rsidR="00DF13E5" w:rsidRPr="00565B7B" w:rsidRDefault="00DF13E5" w:rsidP="00DF13E5">
      <w:pPr>
        <w:pStyle w:val="ParaNoNdepar-AltN"/>
        <w:rPr>
          <w:rFonts w:cs="Times New Roman"/>
          <w:lang w:val="fr-CA"/>
        </w:rPr>
      </w:pPr>
      <w:r w:rsidRPr="00565B7B">
        <w:rPr>
          <w:rFonts w:cs="Times New Roman"/>
          <w:lang w:val="fr-CA"/>
        </w:rPr>
        <w:lastRenderedPageBreak/>
        <w:t>L’organisme de réglementation a délégué le pouvoir que lui confère la loi d’abandonner et de remettre en état les puits orphelins à l’OWA (</w:t>
      </w:r>
      <w:r w:rsidRPr="00565B7B">
        <w:rPr>
          <w:rFonts w:cs="Times New Roman"/>
          <w:i/>
          <w:lang w:val="fr-CA"/>
        </w:rPr>
        <w:t>Orphan Fund Delegated Administration Regulation</w:t>
      </w:r>
      <w:r w:rsidRPr="00565B7B">
        <w:rPr>
          <w:rFonts w:cs="Times New Roman"/>
          <w:lang w:val="fr-CA"/>
        </w:rPr>
        <w:t>, Alta. Reg. 45/2001), un organisme sans but lucratif supervisé par un conseil d’administration indépendant. Cette entité est presque entièrement financée par la redevance décrite ci-dessus qui a été établie dans toute l’industrie, et la totalité de cette redevance est remise à l’OWA par l’organisme de réglementation. L’OWA n’a pas le pouvoir de demander le remboursement de ses frais. Toutefois, une fois ses travaux environnementaux terminés, l’OWA peut être remboursée jusqu’à concurrence de la valeur du dépôt de garantie détenu, le cas échéant, par l’organisme de réglementation au profit du titulaire de permis associé au puits orphelin. Au cours des dernières années, le nombre de puits orphelins a augmenté rapidement en Alberta. Par exemple, le nombre de nouveaux puits orphelins est passé de 80 en 2013</w:t>
      </w:r>
      <w:r w:rsidRPr="00565B7B">
        <w:rPr>
          <w:rFonts w:cs="Times New Roman"/>
          <w:lang w:val="fr-CA"/>
        </w:rPr>
        <w:noBreakHyphen/>
        <w:t>2014 à 591 en 2014</w:t>
      </w:r>
      <w:r w:rsidRPr="00565B7B">
        <w:rPr>
          <w:rFonts w:cs="Times New Roman"/>
          <w:lang w:val="fr-CA"/>
        </w:rPr>
        <w:noBreakHyphen/>
        <w:t>2015.</w:t>
      </w:r>
    </w:p>
    <w:p w:rsidR="00DF13E5" w:rsidRPr="00565B7B" w:rsidRDefault="00DF13E5" w:rsidP="00DF13E5">
      <w:pPr>
        <w:pStyle w:val="ParaNoNdepar-AltN"/>
        <w:rPr>
          <w:rFonts w:cs="Times New Roman"/>
          <w:lang w:val="fr-CA"/>
        </w:rPr>
      </w:pPr>
      <w:r w:rsidRPr="00565B7B">
        <w:rPr>
          <w:rFonts w:cs="Times New Roman"/>
          <w:lang w:val="fr-CA"/>
        </w:rPr>
        <w:t>Ce qui est en cause dans le présent pourvoi, c’est l’applicabilité, durant la faillite, de deux pouvoirs conférés à l’organisme de réglementation par la législation provinciale. Les deux sont conçus pour garantir que les titulaires de permis remplissent les obligations de fin de vie qui leur incombent.</w:t>
      </w:r>
    </w:p>
    <w:p w:rsidR="00DF13E5" w:rsidRPr="00565B7B" w:rsidRDefault="00DF13E5" w:rsidP="00DF13E5">
      <w:pPr>
        <w:pStyle w:val="ParaNoNdepar-AltN"/>
        <w:rPr>
          <w:rFonts w:cs="Times New Roman"/>
          <w:lang w:val="fr-CA"/>
        </w:rPr>
      </w:pPr>
      <w:r w:rsidRPr="00565B7B">
        <w:rPr>
          <w:rFonts w:cs="Times New Roman"/>
          <w:lang w:val="fr-CA"/>
        </w:rPr>
        <w:t xml:space="preserve">Le premier pouvoir en cause dans le présent pourvoi est celui dont dispose l’organisme de réglementation d’ordonner à un titulaire de permis d’abandonner des biens visés par des permis, auquel s’ajoutent les pouvoirs que la loi confère pour faire exécuter de telles ordonnances. Lorsqu’il y a eu délaissement d’un puits ou d’une installation sans que le processus d’abandon ait été effectué conformément aux directives de l’organisme de réglementation, ou aux règles et règlements, l’organisme </w:t>
      </w:r>
      <w:r w:rsidRPr="00565B7B">
        <w:rPr>
          <w:rFonts w:cs="Times New Roman"/>
          <w:lang w:val="fr-CA"/>
        </w:rPr>
        <w:lastRenderedPageBreak/>
        <w:t>peut autoriser toute personne à effectuer ce processus à l’égard du puits ou de l’installation, ou s’en charger lui</w:t>
      </w:r>
      <w:r w:rsidRPr="00565B7B">
        <w:rPr>
          <w:rFonts w:cs="Times New Roman"/>
          <w:lang w:val="fr-CA"/>
        </w:rPr>
        <w:noBreakHyphen/>
        <w:t>même (</w:t>
      </w:r>
      <w:r w:rsidRPr="00877B1F">
        <w:rPr>
          <w:rFonts w:cs="Times New Roman"/>
          <w:i/>
          <w:lang w:val="fr-CA"/>
        </w:rPr>
        <w:t>OGCA</w:t>
      </w:r>
      <w:r w:rsidRPr="00565B7B">
        <w:rPr>
          <w:rFonts w:cs="Times New Roman"/>
          <w:lang w:val="fr-CA"/>
        </w:rPr>
        <w:t>, art. 28). Quand l’organisme de réglementation ou la personne qu’il a désignée procède à l’abandon, les frais liés à cette opération constituent une dette payable à l’organisme de réglementation. Une ordonnance de l’organisme de réglementation indiquant ces frais peut être déposée à la Cour du Banc de la Reine de l’Alberta, inscrite comme un jugement de cette cour, puis exécutée conformément à la procédure ordinaire d’exécution des jugements de cette cour (</w:t>
      </w:r>
      <w:r w:rsidRPr="00877B1F">
        <w:rPr>
          <w:rFonts w:cs="Times New Roman"/>
          <w:i/>
          <w:lang w:val="fr-CA"/>
        </w:rPr>
        <w:t>OGCA</w:t>
      </w:r>
      <w:r w:rsidRPr="00565B7B">
        <w:rPr>
          <w:rFonts w:cs="Times New Roman"/>
          <w:lang w:val="fr-CA"/>
        </w:rPr>
        <w:t>, par. 30(6)). Un régime semblable s’applique aux pipelines (</w:t>
      </w:r>
      <w:r w:rsidRPr="00565B7B">
        <w:rPr>
          <w:rFonts w:cs="Times New Roman"/>
          <w:i/>
          <w:lang w:val="fr-CA"/>
        </w:rPr>
        <w:t>Pipeline Act</w:t>
      </w:r>
      <w:r w:rsidRPr="00565B7B">
        <w:rPr>
          <w:rFonts w:cs="Times New Roman"/>
          <w:lang w:val="fr-CA"/>
        </w:rPr>
        <w:t>, art. 23 à 26).</w:t>
      </w:r>
    </w:p>
    <w:p w:rsidR="00DF13E5" w:rsidRPr="00565B7B" w:rsidRDefault="00DF13E5" w:rsidP="00DF13E5">
      <w:pPr>
        <w:pStyle w:val="ParaNoNdepar-AltN"/>
        <w:rPr>
          <w:rFonts w:cs="Times New Roman"/>
          <w:lang w:val="fr-CA"/>
        </w:rPr>
      </w:pPr>
      <w:r w:rsidRPr="00565B7B">
        <w:rPr>
          <w:rFonts w:cs="Times New Roman"/>
          <w:lang w:val="fr-CA"/>
        </w:rPr>
        <w:t>Le titulaire de permis qui contrevient ou ne se conforme pas à une ordonnance de l’organisme de réglementation, ou qui a une dette impayée envers ce dernier relativement aux frais d’abandon ou de remise en état, est assujetti à un certain nombre de mesures d’exécution potentielles. L’organisme de réglementation peut suspendre les activités, refuser d’étudier des demandes de permis ou de transf</w:t>
      </w:r>
      <w:r w:rsidR="00747322">
        <w:rPr>
          <w:rFonts w:cs="Times New Roman"/>
          <w:lang w:val="fr-CA"/>
        </w:rPr>
        <w:t>ert de permis (</w:t>
      </w:r>
      <w:r w:rsidR="00747322" w:rsidRPr="00877B1F">
        <w:rPr>
          <w:rFonts w:cs="Times New Roman"/>
          <w:i/>
          <w:lang w:val="fr-CA"/>
        </w:rPr>
        <w:t>OGCA</w:t>
      </w:r>
      <w:r w:rsidR="00747322">
        <w:rPr>
          <w:rFonts w:cs="Times New Roman"/>
          <w:lang w:val="fr-CA"/>
        </w:rPr>
        <w:t>, al. 106(3)</w:t>
      </w:r>
      <w:r w:rsidR="000624A5">
        <w:rPr>
          <w:rFonts w:cs="Times New Roman"/>
          <w:lang w:val="fr-CA"/>
        </w:rPr>
        <w:t>(</w:t>
      </w:r>
      <w:r w:rsidR="00747322">
        <w:rPr>
          <w:rFonts w:cs="Times New Roman"/>
          <w:lang w:val="fr-CA"/>
        </w:rPr>
        <w:t xml:space="preserve">a), </w:t>
      </w:r>
      <w:r w:rsidR="000624A5">
        <w:rPr>
          <w:rFonts w:cs="Times New Roman"/>
          <w:lang w:val="fr-CA"/>
        </w:rPr>
        <w:t>(</w:t>
      </w:r>
      <w:r w:rsidR="00747322">
        <w:rPr>
          <w:rFonts w:cs="Times New Roman"/>
          <w:lang w:val="fr-CA"/>
        </w:rPr>
        <w:t xml:space="preserve">b) et </w:t>
      </w:r>
      <w:r w:rsidR="000624A5">
        <w:rPr>
          <w:rFonts w:cs="Times New Roman"/>
          <w:lang w:val="fr-CA"/>
        </w:rPr>
        <w:t>(</w:t>
      </w:r>
      <w:r w:rsidRPr="00565B7B">
        <w:rPr>
          <w:rFonts w:cs="Times New Roman"/>
          <w:lang w:val="fr-CA"/>
        </w:rPr>
        <w:t>c)), ou exiger le paiement des dépôts de garantie, de façon générale ou comme condition à l’octroi d’autres permis, approbations ou trans</w:t>
      </w:r>
      <w:r w:rsidR="00747322">
        <w:rPr>
          <w:rFonts w:cs="Times New Roman"/>
          <w:lang w:val="fr-CA"/>
        </w:rPr>
        <w:t>ferts (</w:t>
      </w:r>
      <w:r w:rsidR="00747322" w:rsidRPr="00877B1F">
        <w:rPr>
          <w:rFonts w:cs="Times New Roman"/>
          <w:i/>
          <w:lang w:val="fr-CA"/>
        </w:rPr>
        <w:t>OGCA</w:t>
      </w:r>
      <w:r w:rsidR="00747322">
        <w:rPr>
          <w:rFonts w:cs="Times New Roman"/>
          <w:lang w:val="fr-CA"/>
        </w:rPr>
        <w:t xml:space="preserve">, </w:t>
      </w:r>
      <w:r w:rsidR="00B8548C">
        <w:rPr>
          <w:rFonts w:cs="Times New Roman"/>
          <w:lang w:val="fr-CA"/>
        </w:rPr>
        <w:t>al</w:t>
      </w:r>
      <w:r w:rsidR="00747322">
        <w:rPr>
          <w:rFonts w:cs="Times New Roman"/>
          <w:lang w:val="fr-CA"/>
        </w:rPr>
        <w:t>. 106(3)</w:t>
      </w:r>
      <w:r w:rsidR="000624A5">
        <w:rPr>
          <w:rFonts w:cs="Times New Roman"/>
          <w:lang w:val="fr-CA"/>
        </w:rPr>
        <w:t>(</w:t>
      </w:r>
      <w:r w:rsidR="00747322">
        <w:rPr>
          <w:rFonts w:cs="Times New Roman"/>
          <w:lang w:val="fr-CA"/>
        </w:rPr>
        <w:t xml:space="preserve">d) et </w:t>
      </w:r>
      <w:r w:rsidR="000624A5">
        <w:rPr>
          <w:rFonts w:cs="Times New Roman"/>
          <w:lang w:val="fr-CA"/>
        </w:rPr>
        <w:t>(</w:t>
      </w:r>
      <w:r w:rsidRPr="00565B7B">
        <w:rPr>
          <w:rFonts w:cs="Times New Roman"/>
          <w:lang w:val="fr-CA"/>
        </w:rPr>
        <w:t xml:space="preserve">e)). Lorsqu’un titulaire de </w:t>
      </w:r>
      <w:r w:rsidR="00747322">
        <w:rPr>
          <w:rFonts w:cs="Times New Roman"/>
          <w:lang w:val="fr-CA"/>
        </w:rPr>
        <w:t xml:space="preserve">permis contrevient à la Loi, aux </w:t>
      </w:r>
      <w:r w:rsidRPr="00565B7B">
        <w:rPr>
          <w:rFonts w:cs="Times New Roman"/>
          <w:lang w:val="fr-CA"/>
        </w:rPr>
        <w:t>règlement</w:t>
      </w:r>
      <w:r w:rsidR="00747322">
        <w:rPr>
          <w:rFonts w:cs="Times New Roman"/>
          <w:lang w:val="fr-CA"/>
        </w:rPr>
        <w:t>s</w:t>
      </w:r>
      <w:r w:rsidRPr="00565B7B">
        <w:rPr>
          <w:rFonts w:cs="Times New Roman"/>
          <w:lang w:val="fr-CA"/>
        </w:rPr>
        <w:t xml:space="preserve"> ou aux règles, à toute ordonnance ou directive de l’organisme de réglementation ou à toute condition d’un permis, l’organisme de réglementation peut intenter une poursuite contre le titulaire de permis pour infraction réglementaire, et ce dernier est passible d’une amende en guise de pénalité, bien qu’il puisse invoquer la défense de diligence raisonnable (</w:t>
      </w:r>
      <w:r w:rsidRPr="00877B1F">
        <w:rPr>
          <w:rFonts w:cs="Times New Roman"/>
          <w:i/>
          <w:lang w:val="fr-CA"/>
        </w:rPr>
        <w:t>OGCA</w:t>
      </w:r>
      <w:r w:rsidRPr="00565B7B">
        <w:rPr>
          <w:rFonts w:cs="Times New Roman"/>
          <w:lang w:val="fr-CA"/>
        </w:rPr>
        <w:t>, art. 108 et 110). Un régime semblable s’applique aux pipelines (</w:t>
      </w:r>
      <w:r w:rsidRPr="00565B7B">
        <w:rPr>
          <w:rFonts w:cs="Times New Roman"/>
          <w:i/>
          <w:lang w:val="fr-CA"/>
        </w:rPr>
        <w:t>Pipeline Act</w:t>
      </w:r>
      <w:r w:rsidR="00877B1F">
        <w:rPr>
          <w:rFonts w:cs="Times New Roman"/>
          <w:lang w:val="fr-CA"/>
        </w:rPr>
        <w:t xml:space="preserve">, art. 51 à </w:t>
      </w:r>
      <w:r w:rsidRPr="00565B7B">
        <w:rPr>
          <w:rFonts w:cs="Times New Roman"/>
          <w:lang w:val="fr-CA"/>
        </w:rPr>
        <w:t>54). L’</w:t>
      </w:r>
      <w:r w:rsidRPr="00877B1F">
        <w:rPr>
          <w:rFonts w:cs="Times New Roman"/>
          <w:i/>
          <w:lang w:val="fr-CA"/>
        </w:rPr>
        <w:t>EPEA</w:t>
      </w:r>
      <w:r w:rsidRPr="00565B7B">
        <w:rPr>
          <w:rFonts w:cs="Times New Roman"/>
          <w:lang w:val="fr-CA"/>
        </w:rPr>
        <w:t xml:space="preserve"> contient elle aussi des dispositions similaires relatives à la création de dettes et afférentes aux ordonnances de </w:t>
      </w:r>
      <w:r w:rsidRPr="00565B7B">
        <w:rPr>
          <w:rFonts w:cs="Times New Roman"/>
          <w:lang w:val="fr-CA"/>
        </w:rPr>
        <w:lastRenderedPageBreak/>
        <w:t>protection de l’environnement, en plus de prévoir la poursuite d’infractions réglementaires en cas d’inobservation, avec la possibilité d’invoquer une défense de diligence raisonnable. Toutefois, comme il a été mentionné, la responsabilité du syndic en ce qui concerne les ordonnances de protection de l’environnement se limite aux éléments de l’actif, sauf s’il est responsable de négligence flagrante ou d’inconduite délibérée (</w:t>
      </w:r>
      <w:r w:rsidRPr="00877B1F">
        <w:rPr>
          <w:rFonts w:cs="Times New Roman"/>
          <w:i/>
          <w:lang w:val="fr-CA"/>
        </w:rPr>
        <w:t>EPEA</w:t>
      </w:r>
      <w:r w:rsidR="00877B1F">
        <w:rPr>
          <w:rFonts w:cs="Times New Roman"/>
          <w:lang w:val="fr-CA"/>
        </w:rPr>
        <w:t xml:space="preserve">, art. 227 à </w:t>
      </w:r>
      <w:r w:rsidRPr="00565B7B">
        <w:rPr>
          <w:rFonts w:cs="Times New Roman"/>
          <w:lang w:val="fr-CA"/>
        </w:rPr>
        <w:t>230, 240 et 245).</w:t>
      </w:r>
    </w:p>
    <w:p w:rsidR="00DF13E5" w:rsidRPr="00565B7B" w:rsidRDefault="00DF13E5" w:rsidP="00DF13E5">
      <w:pPr>
        <w:pStyle w:val="ParaNoNdepar-AltN"/>
        <w:rPr>
          <w:rFonts w:cs="Times New Roman"/>
          <w:lang w:val="fr-CA"/>
        </w:rPr>
      </w:pPr>
      <w:r w:rsidRPr="00565B7B">
        <w:rPr>
          <w:rFonts w:cs="Times New Roman"/>
          <w:lang w:val="fr-CA"/>
        </w:rPr>
        <w:t xml:space="preserve">Le second pouvoir en cause dans le présent pourvoi est celui que possède l’organisme de réglementation d’imposer des conditions au transfert, par un titulaire, d’un ou de plusieurs de ses permis. Tout comme au moment où il </w:t>
      </w:r>
      <w:r w:rsidR="00747322" w:rsidRPr="00565B7B">
        <w:rPr>
          <w:rFonts w:cs="Times New Roman"/>
          <w:lang w:val="fr-CA"/>
        </w:rPr>
        <w:t>octroie</w:t>
      </w:r>
      <w:r w:rsidRPr="00565B7B">
        <w:rPr>
          <w:rFonts w:cs="Times New Roman"/>
          <w:lang w:val="fr-CA"/>
        </w:rPr>
        <w:t xml:space="preserve"> un permis au départ, l’organisme de réglementation jouit de vastes pouvoirs pour consentir au transfert d’un permis sous réserve de conditions, restrictions et stipulations, ou pour rejeter le transfert (</w:t>
      </w:r>
      <w:r w:rsidRPr="00877B1F">
        <w:rPr>
          <w:rFonts w:cs="Times New Roman"/>
          <w:i/>
          <w:lang w:val="fr-CA"/>
        </w:rPr>
        <w:t>OGCA</w:t>
      </w:r>
      <w:r w:rsidRPr="00565B7B">
        <w:rPr>
          <w:rFonts w:cs="Times New Roman"/>
          <w:lang w:val="fr-CA"/>
        </w:rPr>
        <w:t>, par. 24(2)). Suivant la Directive 006 et le texte qui l’a remplacée en 2016, l’organisme peut rejeter un transfert, même si les deux parties auraient la CGR requise après le transfert, ou même quand un dépôt de garantie peut être versé conformément aux exigences relatives à la CGR. Plus particulièrement, l’organisme de réglementation peut décider qu’il n’est pas dans l’intérêt public d’approuver le transfert de permis compte tenu des antécédents de conformité de l’une des parties, ou des deux, ou de leurs administrateurs, dirigeants ou détenteurs de titres, ou encore du risque que présenterait le transfert à l’égard du fonds pour les puits orphelins.</w:t>
      </w:r>
    </w:p>
    <w:p w:rsidR="00DF13E5" w:rsidRPr="00565B7B" w:rsidRDefault="00DF13E5" w:rsidP="00DF13E5">
      <w:pPr>
        <w:pStyle w:val="ParaNoNdepar-AltN"/>
        <w:rPr>
          <w:rFonts w:cs="Times New Roman"/>
          <w:lang w:val="fr-CA"/>
        </w:rPr>
      </w:pPr>
      <w:r w:rsidRPr="00565B7B">
        <w:rPr>
          <w:rFonts w:cs="Times New Roman"/>
          <w:lang w:val="fr-CA"/>
        </w:rPr>
        <w:t xml:space="preserve">Lorsqu’une transaction proposée entraînerait une détérioration de la CGR du cédant en deçà de 1,0 (ou simplement une détérioration dans le cas d’un cédant insolvable), l’organisme de réglementation insiste sur le respect d’une des conditions </w:t>
      </w:r>
      <w:r w:rsidRPr="00565B7B">
        <w:rPr>
          <w:rFonts w:cs="Times New Roman"/>
          <w:lang w:val="fr-CA"/>
        </w:rPr>
        <w:lastRenderedPageBreak/>
        <w:t xml:space="preserve">suivantes avant d’approuver la transaction : (i) que le cédant effectue les processus d’abandon et/ou de remise en état, réduisant ainsi ses passifs réputés; (ii) que le cédant verse un dépôt de garantie, augmentant ainsi ses biens réputés. La transaction pourrait également être structurée de manière à éviter toute détérioration de la CGR du cédant par le « regroupement » des permis relatifs aux puits épuisés et de ceux liés aux puits productifs. Une transaction au cours de laquelle on conserve les permis des puits épuisés tandis que les permis des puits productifs sont transférés entraînerait presque toujours une détérioration considérable de la CGR d’une société. </w:t>
      </w:r>
    </w:p>
    <w:p w:rsidR="00DF13E5" w:rsidRPr="00565B7B" w:rsidRDefault="00DF13E5" w:rsidP="00DF13E5">
      <w:pPr>
        <w:pStyle w:val="ParaNoNdepar-AltN"/>
        <w:rPr>
          <w:rFonts w:cs="Times New Roman"/>
          <w:lang w:val="fr-CA"/>
        </w:rPr>
      </w:pPr>
      <w:r w:rsidRPr="00565B7B">
        <w:rPr>
          <w:rFonts w:cs="Times New Roman"/>
          <w:lang w:val="fr-CA"/>
        </w:rPr>
        <w:t xml:space="preserve">Au cours du présent pourvoi, il a été beaucoup question d’autres régimes de réglementation que l’Alberta aurait </w:t>
      </w:r>
      <w:r w:rsidRPr="00565B7B">
        <w:rPr>
          <w:rFonts w:cs="Times New Roman"/>
          <w:i/>
          <w:lang w:val="fr-CA"/>
        </w:rPr>
        <w:t>pu</w:t>
      </w:r>
      <w:r w:rsidRPr="00565B7B">
        <w:rPr>
          <w:rFonts w:cs="Times New Roman"/>
          <w:lang w:val="fr-CA"/>
        </w:rPr>
        <w:t xml:space="preserve"> adopter pour éviter que les coûts environnementaux associés à l’industrie pétrolière et gazière ne soient passés au public. Ce que l’Alberta </w:t>
      </w:r>
      <w:r w:rsidRPr="00565B7B">
        <w:rPr>
          <w:rFonts w:cs="Times New Roman"/>
          <w:i/>
          <w:lang w:val="fr-CA"/>
        </w:rPr>
        <w:t>a</w:t>
      </w:r>
      <w:r w:rsidRPr="00565B7B">
        <w:rPr>
          <w:rFonts w:cs="Times New Roman"/>
          <w:lang w:val="fr-CA"/>
        </w:rPr>
        <w:t xml:space="preserve"> choisi, c’est un régime de permis qui fait de ces coûts une partie inhérente de la valeur des biens visés par les permis. Ce régime a l’avantage de s’accorder avec le principe du pollueur</w:t>
      </w:r>
      <w:r w:rsidRPr="00565B7B">
        <w:rPr>
          <w:rFonts w:cs="Times New Roman"/>
          <w:lang w:val="fr-CA"/>
        </w:rPr>
        <w:noBreakHyphen/>
        <w:t>payeur, un précepte bien reconnu du droit canadien de l’environnement. Ce principe attribue aux pollueurs la charge de réparer les dommages environnementaux dont ils sont responsables, ce qui incite les sociétés à se soucier de l’environnement dans le cadre de leurs activités économiques (</w:t>
      </w:r>
      <w:r w:rsidRPr="00565B7B">
        <w:rPr>
          <w:rFonts w:cs="Times New Roman"/>
          <w:i/>
          <w:lang w:val="fr-CA"/>
        </w:rPr>
        <w:t>Cie pétrolière Impériale ltée c. Québec (Ministre de l’Environnement)</w:t>
      </w:r>
      <w:r w:rsidRPr="00565B7B">
        <w:rPr>
          <w:rFonts w:cs="Times New Roman"/>
          <w:lang w:val="fr-CA"/>
        </w:rPr>
        <w:t xml:space="preserve">, 2003 CSC 58, [2003] 2 R.C.S. 624, par. 24). Le Programme d’évaluation de la responsabilité des titulaires de permis exige essentiellement que les titulaires de permis appliquent la valeur dérivée des biens pétroliers et gaziers pendant les parties productives du cycle de vie des biens au coût inévitable de l’abandon de ces biens et de la remise en état de leurs sites à la fin de ce cycle de vie. </w:t>
      </w:r>
    </w:p>
    <w:p w:rsidR="00DF13E5" w:rsidRPr="00565B7B" w:rsidRDefault="00DF13E5" w:rsidP="00DF13E5">
      <w:pPr>
        <w:pStyle w:val="ParaNoNdepar-AltN"/>
        <w:rPr>
          <w:rFonts w:cs="Times New Roman"/>
          <w:lang w:val="fr-CA"/>
        </w:rPr>
      </w:pPr>
      <w:r w:rsidRPr="00565B7B">
        <w:rPr>
          <w:rFonts w:cs="Times New Roman"/>
          <w:lang w:val="fr-CA"/>
        </w:rPr>
        <w:lastRenderedPageBreak/>
        <w:t>En fin de compte, il ne revient pas à notre Cour de décider de la meilleure approche réglementaire pour l’industrie pétrolière et gazière. Ce qui n’est pas contesté, c’est qu’en adoptant son régime de réglementation actuel, l’Alberta a agi dans les limites de sa compétence constitutionnelle en matière de propriété et de droits civils dans la province ainsi que dans le domaine de l’« exploitation, [de la] conservation et [de la] gestion des ressources naturelles non renouvelables [. . .] de la province » (</w:t>
      </w:r>
      <w:r w:rsidRPr="00565B7B">
        <w:rPr>
          <w:rFonts w:cs="Times New Roman"/>
          <w:i/>
          <w:lang w:val="fr-CA"/>
        </w:rPr>
        <w:t>Loi constitutionnelle de 1867</w:t>
      </w:r>
      <w:r w:rsidRPr="00565B7B">
        <w:rPr>
          <w:rFonts w:cs="Times New Roman"/>
          <w:lang w:val="fr-CA"/>
        </w:rPr>
        <w:t>, par. 92(13) et al. 92A(1)c)). L’Alberta a mis au point un appareil réglementaire complexe pour régler d’importantes questions de politique concernant le moment où, par qui et de quelle manière les coûts environnementaux inévitables associés à l’extraction du pétrole et du gaz doivent être payés. Sa solution est un régime d’octroi de permis qui fait baisser la valeur des principaux éléments d’actif de l’industrie pour refléter les coûts environnementaux, lequel est soutenu par une redevance sur l’industrie sous forme de fonds pour les puits orphelins. L’Alberta voulait que cet appareil continue à fonctionner lorsqu’une société pétrolière et gazière fait l’objet d’une procédure d’insolvabilité.</w:t>
      </w:r>
    </w:p>
    <w:p w:rsidR="00DF13E5" w:rsidRPr="00565B7B" w:rsidRDefault="00DF13E5" w:rsidP="00DF13E5">
      <w:pPr>
        <w:pStyle w:val="ParaNoNdepar-AltN"/>
        <w:rPr>
          <w:rFonts w:cs="Times New Roman"/>
          <w:lang w:val="fr-CA"/>
        </w:rPr>
      </w:pPr>
      <w:r w:rsidRPr="00565B7B">
        <w:rPr>
          <w:rFonts w:cs="Times New Roman"/>
          <w:lang w:val="fr-CA"/>
        </w:rPr>
        <w:t xml:space="preserve">Par contre, l’insolvabilité d’une société pétrolière et gazière autorisée à exercer ses activités en Alberta met aussi en jeu la </w:t>
      </w:r>
      <w:r w:rsidRPr="00877B1F">
        <w:rPr>
          <w:rFonts w:cs="Times New Roman"/>
          <w:i/>
          <w:lang w:val="fr-CA"/>
        </w:rPr>
        <w:t>LFI</w:t>
      </w:r>
      <w:r w:rsidRPr="00565B7B">
        <w:rPr>
          <w:rFonts w:cs="Times New Roman"/>
          <w:lang w:val="fr-CA"/>
        </w:rPr>
        <w:t>, une loi fédérale qui régit l’administration de l’actif d’un failli ainsi que la répartition ordonnée et équitable des biens entre ses créanciers. Elle a été valablement promulguée dans l’exercice de la compétence constitutionnelle du Parlement en matière de banqueroute et de faillite (</w:t>
      </w:r>
      <w:r w:rsidRPr="00565B7B">
        <w:rPr>
          <w:rFonts w:cs="Times New Roman"/>
          <w:i/>
          <w:lang w:val="fr-CA"/>
        </w:rPr>
        <w:t>Loi constitutionnelle de 1867</w:t>
      </w:r>
      <w:r w:rsidRPr="00565B7B">
        <w:rPr>
          <w:rFonts w:cs="Times New Roman"/>
          <w:lang w:val="fr-CA"/>
        </w:rPr>
        <w:t xml:space="preserve">, par. 91(21)). Tout comme le régime de réglementation de l’Alberta témoigne de son choix réfléchi quant à la façon d’aborder les questions de politique importantes soulevées par les risques environnementaux liés à l’extraction du pétrole et du gaz, la </w:t>
      </w:r>
      <w:r w:rsidRPr="00877B1F">
        <w:rPr>
          <w:rFonts w:cs="Times New Roman"/>
          <w:i/>
          <w:lang w:val="fr-CA"/>
        </w:rPr>
        <w:t xml:space="preserve">LFI </w:t>
      </w:r>
      <w:r w:rsidRPr="00565B7B">
        <w:rPr>
          <w:rFonts w:cs="Times New Roman"/>
          <w:lang w:val="fr-CA"/>
        </w:rPr>
        <w:t xml:space="preserve">témoigne du choix réfléchi du Parlement concernant la manière </w:t>
      </w:r>
      <w:r w:rsidRPr="00565B7B">
        <w:rPr>
          <w:rFonts w:cs="Times New Roman"/>
          <w:lang w:val="fr-CA"/>
        </w:rPr>
        <w:lastRenderedPageBreak/>
        <w:t xml:space="preserve">d’équilibrer des objectifs de politique importants lorsque les biens d’un failli sont, de par leur nature, insuffisants pour satisfaire à toutes ses obligations diverses. Et, pour autant qu’il y ait un conflit d’application entre le régime de réglementation de l’Alberta et la </w:t>
      </w:r>
      <w:r w:rsidRPr="00877B1F">
        <w:rPr>
          <w:rFonts w:cs="Times New Roman"/>
          <w:i/>
          <w:lang w:val="fr-CA"/>
        </w:rPr>
        <w:t>LFI</w:t>
      </w:r>
      <w:r w:rsidRPr="00565B7B">
        <w:rPr>
          <w:rFonts w:cs="Times New Roman"/>
          <w:lang w:val="fr-CA"/>
        </w:rPr>
        <w:t xml:space="preserve">, ou que le régime de réglementation de l’Alberta entrave la réalisation de l’objet de la </w:t>
      </w:r>
      <w:r w:rsidRPr="00877B1F">
        <w:rPr>
          <w:rFonts w:cs="Times New Roman"/>
          <w:i/>
          <w:lang w:val="fr-CA"/>
        </w:rPr>
        <w:t>LFI</w:t>
      </w:r>
      <w:r w:rsidRPr="00565B7B">
        <w:rPr>
          <w:rFonts w:cs="Times New Roman"/>
          <w:lang w:val="fr-CA"/>
        </w:rPr>
        <w:t xml:space="preserve">, la doctrine de la prépondérance commande que la </w:t>
      </w:r>
      <w:r w:rsidRPr="00877B1F">
        <w:rPr>
          <w:rFonts w:cs="Times New Roman"/>
          <w:i/>
          <w:lang w:val="fr-CA"/>
        </w:rPr>
        <w:t>LFI</w:t>
      </w:r>
      <w:r w:rsidRPr="00565B7B">
        <w:rPr>
          <w:rFonts w:cs="Times New Roman"/>
          <w:lang w:val="fr-CA"/>
        </w:rPr>
        <w:t xml:space="preserve"> l’emporte.</w:t>
      </w:r>
    </w:p>
    <w:p w:rsidR="00DF13E5" w:rsidRPr="00565B7B" w:rsidRDefault="00DF13E5" w:rsidP="00DF13E5">
      <w:pPr>
        <w:pStyle w:val="Title2LevelTitre2Niveau"/>
        <w:tabs>
          <w:tab w:val="clear" w:pos="576"/>
          <w:tab w:val="num" w:pos="432"/>
        </w:tabs>
        <w:ind w:left="432" w:hanging="432"/>
        <w:jc w:val="left"/>
        <w:outlineLvl w:val="0"/>
        <w:rPr>
          <w:rFonts w:cs="Times New Roman"/>
          <w:lang w:val="fr-CA"/>
        </w:rPr>
      </w:pPr>
      <w:r w:rsidRPr="00565B7B">
        <w:rPr>
          <w:rFonts w:cs="Times New Roman"/>
          <w:lang w:val="fr-CA"/>
        </w:rPr>
        <w:t>Les dispositions applicables de la Loi sur la faillite et l’insolvabilité</w:t>
      </w:r>
    </w:p>
    <w:p w:rsidR="00DF13E5" w:rsidRPr="00565B7B" w:rsidRDefault="00DF13E5" w:rsidP="00DF13E5">
      <w:pPr>
        <w:pStyle w:val="ParaNoNdepar-AltN"/>
        <w:rPr>
          <w:rFonts w:cs="Times New Roman"/>
          <w:lang w:val="fr-CA"/>
        </w:rPr>
      </w:pPr>
      <w:r w:rsidRPr="00565B7B">
        <w:rPr>
          <w:rFonts w:cs="Times New Roman"/>
          <w:lang w:val="fr-CA"/>
        </w:rPr>
        <w:t>À ce stade</w:t>
      </w:r>
      <w:r w:rsidRPr="00565B7B">
        <w:rPr>
          <w:rFonts w:cs="Times New Roman"/>
          <w:lang w:val="fr-CA"/>
        </w:rPr>
        <w:noBreakHyphen/>
        <w:t xml:space="preserve">ci, je tiens simplement à souligner les articles de la </w:t>
      </w:r>
      <w:r w:rsidRPr="00877B1F">
        <w:rPr>
          <w:rFonts w:cs="Times New Roman"/>
          <w:i/>
          <w:lang w:val="fr-CA"/>
        </w:rPr>
        <w:t>LFI</w:t>
      </w:r>
      <w:r w:rsidRPr="00565B7B">
        <w:rPr>
          <w:rFonts w:cs="Times New Roman"/>
          <w:lang w:val="fr-CA"/>
        </w:rPr>
        <w:t xml:space="preserve"> qui sont en cause dans le présent pourvoi. Ce sont ces articles qui détermineront si la doctrine de la prépondérance s’applique. J’analyserai plus en détail ci</w:t>
      </w:r>
      <w:r w:rsidRPr="00565B7B">
        <w:rPr>
          <w:rFonts w:cs="Times New Roman"/>
          <w:lang w:val="fr-CA"/>
        </w:rPr>
        <w:noBreakHyphen/>
        <w:t xml:space="preserve">après les objets de la </w:t>
      </w:r>
      <w:r w:rsidRPr="00877B1F">
        <w:rPr>
          <w:rFonts w:cs="Times New Roman"/>
          <w:i/>
          <w:lang w:val="fr-CA"/>
        </w:rPr>
        <w:t>LFI</w:t>
      </w:r>
      <w:r w:rsidRPr="00565B7B">
        <w:rPr>
          <w:rFonts w:cs="Times New Roman"/>
          <w:lang w:val="fr-CA"/>
        </w:rPr>
        <w:t xml:space="preserve"> ainsi que les différentes questions soulevées par l’art. 14.06.</w:t>
      </w:r>
    </w:p>
    <w:p w:rsidR="00DF13E5" w:rsidRPr="00565B7B" w:rsidRDefault="00DF13E5" w:rsidP="00DF13E5">
      <w:pPr>
        <w:pStyle w:val="ParaNoNdepar-AltN"/>
        <w:rPr>
          <w:rFonts w:cs="Times New Roman"/>
          <w:lang w:val="fr-CA"/>
        </w:rPr>
      </w:pPr>
      <w:r w:rsidRPr="00565B7B">
        <w:rPr>
          <w:rFonts w:cs="Times New Roman"/>
          <w:lang w:val="fr-CA"/>
        </w:rPr>
        <w:t xml:space="preserve">Le concept central de la </w:t>
      </w:r>
      <w:r w:rsidRPr="00877B1F">
        <w:rPr>
          <w:rFonts w:cs="Times New Roman"/>
          <w:i/>
          <w:lang w:val="fr-CA"/>
        </w:rPr>
        <w:t xml:space="preserve">LFI </w:t>
      </w:r>
      <w:r w:rsidRPr="00565B7B">
        <w:rPr>
          <w:rFonts w:cs="Times New Roman"/>
          <w:lang w:val="fr-CA"/>
        </w:rPr>
        <w:t xml:space="preserve">est celui d’une « réclamation prouvable en matière de faillite ». Plusieurs dispositions de la </w:t>
      </w:r>
      <w:r w:rsidRPr="00877B1F">
        <w:rPr>
          <w:rFonts w:cs="Times New Roman"/>
          <w:i/>
          <w:lang w:val="fr-CA"/>
        </w:rPr>
        <w:t>LFI</w:t>
      </w:r>
      <w:r w:rsidRPr="00565B7B">
        <w:rPr>
          <w:rFonts w:cs="Times New Roman"/>
          <w:lang w:val="fr-CA"/>
        </w:rPr>
        <w:t xml:space="preserve"> servent de fondement pour circonscrire la portée des réclamations prouvables. La première est la définition que l’on trouve à l’art. 2 :</w:t>
      </w:r>
    </w:p>
    <w:p w:rsidR="00DF13E5" w:rsidRPr="00565B7B" w:rsidRDefault="00DF13E5" w:rsidP="00DF13E5">
      <w:pPr>
        <w:pStyle w:val="Citation-AltC"/>
        <w:ind w:hanging="1166"/>
        <w:contextualSpacing w:val="0"/>
        <w:rPr>
          <w:i/>
          <w:lang w:val="fr-CA"/>
        </w:rPr>
      </w:pPr>
      <w:r w:rsidRPr="00565B7B">
        <w:rPr>
          <w:rStyle w:val="HTMLDefinition"/>
          <w:b/>
          <w:lang w:val="fr-CA"/>
        </w:rPr>
        <w:tab/>
        <w:t>réclamation prouvable en matière de faillite</w:t>
      </w:r>
      <w:r w:rsidRPr="00565B7B">
        <w:rPr>
          <w:rStyle w:val="HTMLDefinition"/>
          <w:lang w:val="fr-CA"/>
        </w:rPr>
        <w:t xml:space="preserve"> ou </w:t>
      </w:r>
      <w:r w:rsidRPr="00565B7B">
        <w:rPr>
          <w:rStyle w:val="HTMLDefinition"/>
          <w:b/>
          <w:lang w:val="fr-CA"/>
        </w:rPr>
        <w:t>réclamation prouvable</w:t>
      </w:r>
      <w:r w:rsidRPr="00565B7B">
        <w:rPr>
          <w:rStyle w:val="HTMLDefinition"/>
          <w:lang w:val="fr-CA"/>
        </w:rPr>
        <w:t xml:space="preserve"> Toute réclamation ou créance pouvant être prouvée dans des procédures intentées sous l’autorité </w:t>
      </w:r>
      <w:r w:rsidRPr="00565B7B">
        <w:rPr>
          <w:iCs/>
          <w:lang w:val="fr-CA"/>
        </w:rPr>
        <w:t>de</w:t>
      </w:r>
      <w:r w:rsidRPr="00565B7B">
        <w:rPr>
          <w:rStyle w:val="HTMLDefinition"/>
          <w:lang w:val="fr-CA"/>
        </w:rPr>
        <w:t xml:space="preserve"> la présente loi par un créancier.</w:t>
      </w:r>
    </w:p>
    <w:p w:rsidR="00DF13E5" w:rsidRPr="00565B7B" w:rsidRDefault="00DF13E5" w:rsidP="00DF13E5">
      <w:pPr>
        <w:pStyle w:val="ParaNoNdepar-AltN"/>
        <w:rPr>
          <w:rFonts w:cs="Times New Roman"/>
          <w:lang w:val="fr-CA"/>
        </w:rPr>
      </w:pPr>
      <w:r w:rsidRPr="00565B7B">
        <w:rPr>
          <w:rFonts w:cs="Times New Roman"/>
          <w:lang w:val="fr-CA"/>
        </w:rPr>
        <w:t>Le terme « créancier » est défini à l’art. 2 comme une « [p</w:t>
      </w:r>
      <w:r w:rsidRPr="00877B1F">
        <w:rPr>
          <w:rStyle w:val="HTMLDefinition"/>
          <w:rFonts w:cs="Times New Roman"/>
          <w:i w:val="0"/>
          <w:lang w:val="fr-CA"/>
        </w:rPr>
        <w:t>]ersonne titulaire d’une réclamation prouvable à ce titre sous le régime de la présente loi »</w:t>
      </w:r>
      <w:r w:rsidRPr="00565B7B">
        <w:rPr>
          <w:rStyle w:val="HTMLDefinition"/>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La définition de « réclamation prouvable » se termine au par. 121(1) :</w:t>
      </w:r>
    </w:p>
    <w:p w:rsidR="00DF13E5" w:rsidRPr="00565B7B" w:rsidRDefault="00DF13E5" w:rsidP="00DF13E5">
      <w:pPr>
        <w:pStyle w:val="Citation-AltC"/>
        <w:ind w:hanging="1166"/>
        <w:contextualSpacing w:val="0"/>
        <w:rPr>
          <w:lang w:val="fr-CA"/>
        </w:rPr>
      </w:pPr>
      <w:r w:rsidRPr="00565B7B">
        <w:rPr>
          <w:lang w:val="fr-CA"/>
        </w:rPr>
        <w:lastRenderedPageBreak/>
        <w:tab/>
        <w:t>Toutes créances et tous engagements, présents ou futurs, auxquels le failli est assujetti à la date à laquelle il devient failli, ou auxquels il peut devenir assujetti avant sa libération, en raison d’une obligation contractée antérieurement à cette date, sont réputés des réclamations prouvables dans des procédures entamées en vertu de la présente loi.</w:t>
      </w:r>
    </w:p>
    <w:p w:rsidR="00DF13E5" w:rsidRPr="00565B7B" w:rsidRDefault="00DF13E5" w:rsidP="00DF13E5">
      <w:pPr>
        <w:pStyle w:val="ParaNoNdepar-AltN"/>
        <w:rPr>
          <w:rFonts w:cs="Times New Roman"/>
          <w:lang w:val="fr-CA"/>
        </w:rPr>
      </w:pPr>
      <w:r w:rsidRPr="00565B7B">
        <w:rPr>
          <w:rFonts w:cs="Times New Roman"/>
          <w:lang w:val="fr-CA"/>
        </w:rPr>
        <w:t>Une réclamation peut être prouvable dans une procédure de faillite même s’il s’agit d’une réclamation éventuelle. Une [</w:t>
      </w:r>
      <w:r w:rsidRPr="00565B7B">
        <w:rPr>
          <w:rFonts w:cs="Times New Roman"/>
          <w:smallCaps/>
          <w:lang w:val="fr-CA"/>
        </w:rPr>
        <w:t>traduction</w:t>
      </w:r>
      <w:r w:rsidRPr="00565B7B">
        <w:rPr>
          <w:rFonts w:cs="Times New Roman"/>
          <w:lang w:val="fr-CA"/>
        </w:rPr>
        <w:t>] « réclamation éventuelle est “une réclamation qui peut ou non se transformer en une créance, selon qu’un événement futur se produit ou non” » (</w:t>
      </w:r>
      <w:r w:rsidRPr="00565B7B">
        <w:rPr>
          <w:rFonts w:cs="Times New Roman"/>
          <w:i/>
          <w:lang w:val="fr-CA"/>
        </w:rPr>
        <w:t>Peters c. Remington</w:t>
      </w:r>
      <w:r w:rsidRPr="00565B7B">
        <w:rPr>
          <w:rFonts w:cs="Times New Roman"/>
          <w:lang w:val="fr-CA"/>
        </w:rPr>
        <w:t xml:space="preserve">, 2004 ABCA 5, 49 B.C.R. (4th) 273, par. 23, citant </w:t>
      </w:r>
      <w:r w:rsidRPr="00565B7B">
        <w:rPr>
          <w:rFonts w:cs="Times New Roman"/>
          <w:i/>
          <w:lang w:val="fr-CA"/>
        </w:rPr>
        <w:t>Garner c. Newton</w:t>
      </w:r>
      <w:r w:rsidRPr="00565B7B">
        <w:rPr>
          <w:rFonts w:cs="Times New Roman"/>
          <w:lang w:val="fr-CA"/>
        </w:rPr>
        <w:t xml:space="preserve"> (1916), 29 D.L.R. 276,</w:t>
      </w:r>
      <w:r w:rsidR="00B8548C">
        <w:rPr>
          <w:rFonts w:cs="Times New Roman"/>
          <w:lang w:val="fr-CA"/>
        </w:rPr>
        <w:t xml:space="preserve"> </w:t>
      </w:r>
      <w:r w:rsidR="00B8548C" w:rsidRPr="00565B7B">
        <w:rPr>
          <w:rFonts w:cs="Times New Roman"/>
          <w:lang w:val="fr-CA"/>
        </w:rPr>
        <w:t>(B.R. Man.)</w:t>
      </w:r>
      <w:r w:rsidR="00B8548C">
        <w:rPr>
          <w:rFonts w:cs="Times New Roman"/>
          <w:lang w:val="fr-CA"/>
        </w:rPr>
        <w:t>,</w:t>
      </w:r>
      <w:r w:rsidRPr="00565B7B">
        <w:rPr>
          <w:rFonts w:cs="Times New Roman"/>
          <w:lang w:val="fr-CA"/>
        </w:rPr>
        <w:t xml:space="preserve"> p.</w:t>
      </w:r>
      <w:r>
        <w:rPr>
          <w:rFonts w:cs="Times New Roman"/>
          <w:lang w:val="fr-CA"/>
        </w:rPr>
        <w:t> </w:t>
      </w:r>
      <w:r w:rsidRPr="00565B7B">
        <w:rPr>
          <w:rFonts w:cs="Times New Roman"/>
          <w:lang w:val="fr-CA"/>
        </w:rPr>
        <w:t>281. Les paragraphes 121(2) et 135(1.1) donnent des indications sur le moment où une réclamation éventuelle deviendra une réclamation prouvable :</w:t>
      </w:r>
    </w:p>
    <w:p w:rsidR="00DF13E5" w:rsidRPr="00565B7B" w:rsidRDefault="00DF13E5" w:rsidP="00DF13E5">
      <w:pPr>
        <w:pStyle w:val="Citation-AltC"/>
        <w:spacing w:after="240"/>
        <w:ind w:hanging="1166"/>
        <w:contextualSpacing w:val="0"/>
        <w:rPr>
          <w:lang w:val="fr-CA"/>
        </w:rPr>
      </w:pPr>
      <w:r w:rsidRPr="00565B7B">
        <w:rPr>
          <w:b/>
          <w:lang w:val="fr-CA"/>
        </w:rPr>
        <w:tab/>
        <w:t>121 (2)</w:t>
      </w:r>
      <w:r w:rsidRPr="00565B7B">
        <w:rPr>
          <w:lang w:val="fr-CA"/>
        </w:rPr>
        <w:t> La question de savoir si une réclamation éventuelle ou non liquidée constitue une réclamation prouvable et, le cas échéant, son évaluation sont décidées en application de l’article 135.</w:t>
      </w:r>
    </w:p>
    <w:p w:rsidR="00DF13E5" w:rsidRPr="00565B7B" w:rsidRDefault="00B8548C" w:rsidP="00DF13E5">
      <w:pPr>
        <w:pStyle w:val="Citation-AltC"/>
        <w:spacing w:after="240"/>
        <w:contextualSpacing w:val="0"/>
        <w:jc w:val="center"/>
        <w:rPr>
          <w:lang w:val="fr-CA"/>
        </w:rPr>
      </w:pPr>
      <w:r>
        <w:rPr>
          <w:lang w:val="fr-CA"/>
        </w:rPr>
        <w:t>. . .</w:t>
      </w:r>
    </w:p>
    <w:p w:rsidR="00DF13E5" w:rsidRPr="00565B7B" w:rsidRDefault="00DF13E5" w:rsidP="00DF13E5">
      <w:pPr>
        <w:pStyle w:val="Citation-AltC"/>
        <w:ind w:hanging="1166"/>
        <w:contextualSpacing w:val="0"/>
        <w:rPr>
          <w:lang w:val="fr-CA"/>
        </w:rPr>
      </w:pPr>
      <w:r w:rsidRPr="00565B7B">
        <w:rPr>
          <w:b/>
          <w:lang w:val="fr-CA"/>
        </w:rPr>
        <w:tab/>
        <w:t>135 (1.1)</w:t>
      </w:r>
      <w:r w:rsidRPr="00565B7B">
        <w:rPr>
          <w:lang w:val="fr-CA"/>
        </w:rPr>
        <w:t> Le syndic décide si une réclamation éventuelle ou non liquidée est une réclamation prouvable et, le cas échéant, il l’évalue; sous réserve des autres dispositions du présent article, la réclamation est dès lors réputée prouvée pour le montant de l’évaluation.</w:t>
      </w:r>
    </w:p>
    <w:p w:rsidR="00DF13E5" w:rsidRPr="00565B7B" w:rsidRDefault="00DF13E5" w:rsidP="00DF13E5">
      <w:pPr>
        <w:pStyle w:val="ParaNoNdepar-AltN"/>
        <w:rPr>
          <w:rFonts w:cs="Times New Roman"/>
          <w:lang w:val="fr-CA"/>
        </w:rPr>
      </w:pPr>
      <w:r w:rsidRPr="00565B7B">
        <w:rPr>
          <w:rFonts w:cs="Times New Roman"/>
          <w:lang w:val="fr-CA"/>
        </w:rPr>
        <w:t xml:space="preserve">Dans l’arrêt </w:t>
      </w:r>
      <w:r w:rsidRPr="00565B7B">
        <w:rPr>
          <w:rFonts w:cs="Times New Roman"/>
          <w:i/>
          <w:lang w:val="fr-CA"/>
        </w:rPr>
        <w:t>Terre</w:t>
      </w:r>
      <w:r w:rsidRPr="00565B7B">
        <w:rPr>
          <w:rFonts w:cs="Times New Roman"/>
          <w:i/>
          <w:lang w:val="fr-CA"/>
        </w:rPr>
        <w:noBreakHyphen/>
        <w:t>Neuve</w:t>
      </w:r>
      <w:r w:rsidRPr="00565B7B">
        <w:rPr>
          <w:rFonts w:cs="Times New Roman"/>
          <w:i/>
          <w:lang w:val="fr-CA"/>
        </w:rPr>
        <w:noBreakHyphen/>
        <w:t>et</w:t>
      </w:r>
      <w:r w:rsidRPr="00565B7B">
        <w:rPr>
          <w:rFonts w:cs="Times New Roman"/>
          <w:i/>
          <w:lang w:val="fr-CA"/>
        </w:rPr>
        <w:noBreakHyphen/>
        <w:t>Labrador c. AbitibiBowater Inc.</w:t>
      </w:r>
      <w:r w:rsidRPr="00565B7B">
        <w:rPr>
          <w:rFonts w:cs="Times New Roman"/>
          <w:lang w:val="fr-CA"/>
        </w:rPr>
        <w:t>, 2012 CSC 67, [2012] 3 R.C.S. 443 (« </w:t>
      </w:r>
      <w:r w:rsidRPr="00565B7B">
        <w:rPr>
          <w:rFonts w:cs="Times New Roman"/>
          <w:i/>
          <w:lang w:val="fr-CA"/>
        </w:rPr>
        <w:t>Abitibi</w:t>
      </w:r>
      <w:r w:rsidRPr="00565B7B">
        <w:rPr>
          <w:rFonts w:cs="Times New Roman"/>
          <w:lang w:val="fr-CA"/>
        </w:rPr>
        <w:t xml:space="preserve"> »), par. 26, notre Cour a interprété les dispositions précédentes de la </w:t>
      </w:r>
      <w:r w:rsidRPr="00DE306D">
        <w:rPr>
          <w:rFonts w:cs="Times New Roman"/>
          <w:i/>
          <w:lang w:val="fr-CA"/>
        </w:rPr>
        <w:t>LFI</w:t>
      </w:r>
      <w:r w:rsidRPr="00565B7B">
        <w:rPr>
          <w:rFonts w:cs="Times New Roman"/>
          <w:lang w:val="fr-CA"/>
        </w:rPr>
        <w:t xml:space="preserve"> et a formulé un critère tripartite afin de décider quand une obligation environnementale imposée par un organisme de réglementation sera une réclamation prouvable pour l’application de la </w:t>
      </w:r>
      <w:r w:rsidRPr="00DE306D">
        <w:rPr>
          <w:rFonts w:cs="Times New Roman"/>
          <w:i/>
          <w:lang w:val="fr-CA"/>
        </w:rPr>
        <w:t>LFI</w:t>
      </w:r>
      <w:r w:rsidRPr="00565B7B">
        <w:rPr>
          <w:rFonts w:cs="Times New Roman"/>
          <w:lang w:val="fr-CA"/>
        </w:rPr>
        <w:t xml:space="preserve"> et de la </w:t>
      </w:r>
      <w:r w:rsidRPr="00565B7B">
        <w:rPr>
          <w:rFonts w:cs="Times New Roman"/>
          <w:i/>
          <w:lang w:val="fr-CA"/>
        </w:rPr>
        <w:t>Loi sur les arrangements avec les créanciers des compagnies</w:t>
      </w:r>
      <w:r w:rsidRPr="00565B7B">
        <w:rPr>
          <w:rFonts w:cs="Times New Roman"/>
          <w:lang w:val="fr-CA"/>
        </w:rPr>
        <w:t>, L.R.C. 1985, c. C</w:t>
      </w:r>
      <w:r w:rsidRPr="00565B7B">
        <w:rPr>
          <w:rFonts w:cs="Times New Roman"/>
          <w:lang w:val="fr-CA"/>
        </w:rPr>
        <w:noBreakHyphen/>
        <w:t>36 (« </w:t>
      </w:r>
      <w:r w:rsidRPr="00DE306D">
        <w:rPr>
          <w:rFonts w:cs="Times New Roman"/>
          <w:i/>
          <w:lang w:val="fr-CA"/>
        </w:rPr>
        <w:t>LACC</w:t>
      </w:r>
      <w:r w:rsidRPr="00565B7B">
        <w:rPr>
          <w:rFonts w:cs="Times New Roman"/>
          <w:lang w:val="fr-CA"/>
        </w:rPr>
        <w:t> ») :</w:t>
      </w:r>
    </w:p>
    <w:p w:rsidR="00DF13E5" w:rsidRPr="00565B7B" w:rsidRDefault="00DF13E5" w:rsidP="00B8548C">
      <w:pPr>
        <w:pStyle w:val="Citation-AltC"/>
        <w:spacing w:after="240"/>
        <w:ind w:hanging="1166"/>
        <w:contextualSpacing w:val="0"/>
        <w:rPr>
          <w:lang w:val="fr-CA"/>
        </w:rPr>
      </w:pPr>
      <w:r w:rsidRPr="00565B7B">
        <w:rPr>
          <w:lang w:val="fr-CA"/>
        </w:rPr>
        <w:lastRenderedPageBreak/>
        <w:tab/>
        <w:t xml:space="preserve">Premièrement, on doit être en présence d’une dette, d’un engagement ou d’une obligation envers un </w:t>
      </w:r>
      <w:r w:rsidRPr="00565B7B">
        <w:rPr>
          <w:i/>
          <w:lang w:val="fr-CA"/>
        </w:rPr>
        <w:t>créancier</w:t>
      </w:r>
      <w:r w:rsidRPr="00565B7B">
        <w:rPr>
          <w:lang w:val="fr-CA"/>
        </w:rPr>
        <w:t xml:space="preserve">. Deuxièmement, la dette, l’engagement ou l’obligation doit avoir pris naissance </w:t>
      </w:r>
      <w:r w:rsidRPr="00565B7B">
        <w:rPr>
          <w:i/>
          <w:lang w:val="fr-CA"/>
        </w:rPr>
        <w:t>avant que le débiteur ne devienne failli</w:t>
      </w:r>
      <w:r w:rsidRPr="00565B7B">
        <w:rPr>
          <w:lang w:val="fr-CA"/>
        </w:rPr>
        <w:t xml:space="preserve">. Troisièmement, il doit être possible d’attribuer une </w:t>
      </w:r>
      <w:r w:rsidRPr="00565B7B">
        <w:rPr>
          <w:i/>
          <w:lang w:val="fr-CA"/>
        </w:rPr>
        <w:t>valeur pécuniaire</w:t>
      </w:r>
      <w:r w:rsidRPr="00565B7B">
        <w:rPr>
          <w:lang w:val="fr-CA"/>
        </w:rPr>
        <w:t xml:space="preserve"> à cette dette, cet engagement ou cette obligation. [En italique dans l’original.]</w:t>
      </w:r>
    </w:p>
    <w:p w:rsidR="00DF13E5" w:rsidRPr="00565B7B" w:rsidRDefault="00DF13E5" w:rsidP="00DF13E5">
      <w:pPr>
        <w:pStyle w:val="ParaNoNdepar-AltN"/>
        <w:rPr>
          <w:rFonts w:cs="Times New Roman"/>
          <w:lang w:val="fr-CA"/>
        </w:rPr>
      </w:pPr>
      <w:r w:rsidRPr="00565B7B">
        <w:rPr>
          <w:rFonts w:cs="Times New Roman"/>
          <w:lang w:val="fr-CA"/>
        </w:rPr>
        <w:t xml:space="preserve">J’aborderai le critère de l’arrêt </w:t>
      </w:r>
      <w:r w:rsidRPr="00565B7B">
        <w:rPr>
          <w:rFonts w:cs="Times New Roman"/>
          <w:i/>
          <w:lang w:val="fr-CA"/>
        </w:rPr>
        <w:t>Abitibi</w:t>
      </w:r>
      <w:r w:rsidRPr="00565B7B">
        <w:rPr>
          <w:rFonts w:cs="Times New Roman"/>
          <w:lang w:val="fr-CA"/>
        </w:rPr>
        <w:t xml:space="preserve"> plus en détail ci</w:t>
      </w:r>
      <w:r w:rsidRPr="00565B7B">
        <w:rPr>
          <w:rFonts w:cs="Times New Roman"/>
          <w:lang w:val="fr-CA"/>
        </w:rPr>
        <w:noBreakHyphen/>
        <w:t>dessous.</w:t>
      </w:r>
    </w:p>
    <w:p w:rsidR="00DF13E5" w:rsidRPr="00565B7B" w:rsidRDefault="00DF13E5" w:rsidP="00DF13E5">
      <w:pPr>
        <w:pStyle w:val="ParaNoNdepar-AltN"/>
        <w:rPr>
          <w:rFonts w:cs="Times New Roman"/>
          <w:lang w:val="fr-CA"/>
        </w:rPr>
      </w:pPr>
      <w:r w:rsidRPr="00565B7B">
        <w:rPr>
          <w:rFonts w:cs="Times New Roman"/>
          <w:lang w:val="fr-CA"/>
        </w:rPr>
        <w:t xml:space="preserve">Une fois la faillite déclarée, les créanciers du failli doivent participer à l’unique procédure collective de faillite s’ils souhaitent faire valoir leurs réclamations prouvables. Le paragraphe 69.3(1) de la </w:t>
      </w:r>
      <w:r w:rsidRPr="00DE306D">
        <w:rPr>
          <w:rFonts w:cs="Times New Roman"/>
          <w:i/>
          <w:lang w:val="fr-CA"/>
        </w:rPr>
        <w:t>LFI</w:t>
      </w:r>
      <w:r w:rsidRPr="00565B7B">
        <w:rPr>
          <w:rFonts w:cs="Times New Roman"/>
          <w:lang w:val="fr-CA"/>
        </w:rPr>
        <w:t xml:space="preserve"> prévoit donc une suspension automatique de l’exécution des réclamations prouvables en dehors de la procédure de faillite, à compter du premier jour de la faillite.</w:t>
      </w:r>
    </w:p>
    <w:p w:rsidR="00DF13E5" w:rsidRPr="00565B7B" w:rsidRDefault="00DF13E5" w:rsidP="00DF13E5">
      <w:pPr>
        <w:pStyle w:val="ParaNoNdepar-AltN"/>
        <w:rPr>
          <w:rFonts w:cs="Times New Roman"/>
          <w:lang w:val="fr-CA"/>
        </w:rPr>
      </w:pPr>
      <w:r w:rsidRPr="00565B7B">
        <w:rPr>
          <w:rFonts w:cs="Times New Roman"/>
          <w:lang w:val="fr-CA"/>
        </w:rPr>
        <w:t xml:space="preserve">La </w:t>
      </w:r>
      <w:r w:rsidRPr="00DE306D">
        <w:rPr>
          <w:rFonts w:cs="Times New Roman"/>
          <w:i/>
          <w:lang w:val="fr-CA"/>
        </w:rPr>
        <w:t>LFI</w:t>
      </w:r>
      <w:r w:rsidRPr="00565B7B">
        <w:rPr>
          <w:rFonts w:cs="Times New Roman"/>
          <w:lang w:val="fr-CA"/>
        </w:rPr>
        <w:t xml:space="preserve"> établit un régime de priorité complet pour l’acquittement des réclamations prouvables présentées contre le failli dans la procédure collective. L’article 141 énonce la règle générale, à savoir que tous les créanciers ont un rang égal et une part proportionnelle des biens du failli. Toutefois, la règle énoncée à l’art. 141 s’applique « [s]ous réserve des autres dispositions de [la </w:t>
      </w:r>
      <w:r w:rsidRPr="00DE306D">
        <w:rPr>
          <w:rFonts w:cs="Times New Roman"/>
          <w:i/>
          <w:lang w:val="fr-CA"/>
        </w:rPr>
        <w:t>LFI</w:t>
      </w:r>
      <w:r w:rsidRPr="00565B7B">
        <w:rPr>
          <w:rFonts w:cs="Times New Roman"/>
          <w:lang w:val="fr-CA"/>
        </w:rPr>
        <w:t>] ». Le paragraphe 136(1) énumère les réclamations des « créanciers privilégiés » et fixe l’ordre de priorité dans lequel ils doivent recevoir leur paiement. Cet ordre établi par le par. 136(1) l’est « [s]ous réserve des droits des créanciers garantis ». Selon le par</w:t>
      </w:r>
      <w:r w:rsidR="00CA585A">
        <w:rPr>
          <w:rFonts w:cs="Times New Roman"/>
          <w:lang w:val="fr-CA"/>
        </w:rPr>
        <w:t>.</w:t>
      </w:r>
      <w:r w:rsidRPr="00565B7B">
        <w:rPr>
          <w:rFonts w:cs="Times New Roman"/>
          <w:lang w:val="fr-CA"/>
        </w:rPr>
        <w:t xml:space="preserve"> 69.3(2), la suspension des procédures n’empêche pas les créanciers garantis de réaliser leur garantie. La </w:t>
      </w:r>
      <w:r w:rsidRPr="00CA585A">
        <w:rPr>
          <w:rFonts w:cs="Times New Roman"/>
          <w:i/>
          <w:lang w:val="fr-CA"/>
        </w:rPr>
        <w:t xml:space="preserve">LFI </w:t>
      </w:r>
      <w:r w:rsidRPr="00565B7B">
        <w:rPr>
          <w:rFonts w:cs="Times New Roman"/>
          <w:lang w:val="fr-CA"/>
        </w:rPr>
        <w:t xml:space="preserve">instaure donc un régime de priorité pour le versement des réclamations prouvables en matière de faillite, les créanciers garantis étant payés en premier, les créanciers privilégiés en deuxième et les créanciers non garantis en dernier (voir </w:t>
      </w:r>
      <w:r w:rsidRPr="00565B7B">
        <w:rPr>
          <w:rFonts w:cs="Times New Roman"/>
          <w:i/>
          <w:lang w:val="fr-CA"/>
        </w:rPr>
        <w:t>Alberta (Procureur général) c. Moloney</w:t>
      </w:r>
      <w:r w:rsidRPr="00565B7B">
        <w:rPr>
          <w:rFonts w:cs="Times New Roman"/>
          <w:lang w:val="fr-CA"/>
        </w:rPr>
        <w:t>, 2015 CSC 51, [2015] 3 R.C.S. 327, par. 32</w:t>
      </w:r>
      <w:r w:rsidRPr="00565B7B">
        <w:rPr>
          <w:rFonts w:cs="Times New Roman"/>
          <w:lang w:val="fr-CA"/>
        </w:rPr>
        <w:noBreakHyphen/>
        <w:t>35).</w:t>
      </w:r>
    </w:p>
    <w:p w:rsidR="00DF13E5" w:rsidRPr="00565B7B" w:rsidRDefault="00DF13E5" w:rsidP="00DF13E5">
      <w:pPr>
        <w:pStyle w:val="ParaNoNdepar-AltN"/>
        <w:rPr>
          <w:rFonts w:cs="Times New Roman"/>
          <w:lang w:val="fr-CA"/>
        </w:rPr>
      </w:pPr>
      <w:r w:rsidRPr="00565B7B">
        <w:rPr>
          <w:rFonts w:cs="Times New Roman"/>
          <w:lang w:val="fr-CA"/>
        </w:rPr>
        <w:lastRenderedPageBreak/>
        <w:t xml:space="preserve">L’article 14.06 de la </w:t>
      </w:r>
      <w:r w:rsidRPr="00CA585A">
        <w:rPr>
          <w:rFonts w:cs="Times New Roman"/>
          <w:i/>
          <w:lang w:val="fr-CA"/>
        </w:rPr>
        <w:t>LFI</w:t>
      </w:r>
      <w:r w:rsidRPr="00565B7B">
        <w:rPr>
          <w:rFonts w:cs="Times New Roman"/>
          <w:lang w:val="fr-CA"/>
        </w:rPr>
        <w:t>, qui traite de diverses questions environnementales dans le contexte de la faillite, est essentiel pour statuer sur le présent pourvoi. Je vais maintenant reproduire les par. 14.06(2) et 14.06(4), les deux parties du régime prévu à l’art. 14.06 qui sont directement en cause dans le présent pourvoi. Le reste de l’art. 14.06 se trouve en annexe à la fin des présents motifs.</w:t>
      </w:r>
    </w:p>
    <w:p w:rsidR="00DF13E5" w:rsidRPr="00565B7B" w:rsidRDefault="00DF13E5" w:rsidP="00DF13E5">
      <w:pPr>
        <w:pStyle w:val="ParaNoNdepar-AltN"/>
        <w:rPr>
          <w:rFonts w:cs="Times New Roman"/>
          <w:lang w:val="fr-CA"/>
        </w:rPr>
      </w:pPr>
      <w:r w:rsidRPr="00565B7B">
        <w:rPr>
          <w:rFonts w:cs="Times New Roman"/>
          <w:lang w:val="fr-CA"/>
        </w:rPr>
        <w:t>Voici le texte du par. 14.06(2) :</w:t>
      </w:r>
    </w:p>
    <w:p w:rsidR="00DF13E5" w:rsidRPr="00565B7B" w:rsidRDefault="00DF13E5" w:rsidP="00DF13E5">
      <w:pPr>
        <w:pStyle w:val="Citation-AltC"/>
        <w:ind w:hanging="1166"/>
        <w:contextualSpacing w:val="0"/>
        <w:rPr>
          <w:lang w:val="fr-CA"/>
        </w:rPr>
      </w:pPr>
      <w:r w:rsidRPr="00565B7B">
        <w:rPr>
          <w:lang w:val="fr-CA"/>
        </w:rPr>
        <w:tab/>
      </w:r>
      <w:r w:rsidRPr="00565B7B">
        <w:rPr>
          <w:b/>
          <w:lang w:val="fr-CA"/>
        </w:rPr>
        <w:t>(2)</w:t>
      </w:r>
      <w:r w:rsidRPr="00565B7B">
        <w:rPr>
          <w:lang w:val="fr-CA"/>
        </w:rPr>
        <w:t xml:space="preserve"> Par dérogation au droit fédéral et provincial, le syndic est, ès qualités, dégagé de toute responsabilité personnelle découlant de tout fait ou dommage lié à l’environnement survenu avant ou après sa nomination, sauf celui causé par sa négligence grave ou son inconduite délibérée ou, dans la province de Québec, par sa faute lourde ou intentionnelle.</w:t>
      </w:r>
    </w:p>
    <w:p w:rsidR="00DF13E5" w:rsidRPr="00565B7B" w:rsidRDefault="00DF13E5" w:rsidP="00DF13E5">
      <w:pPr>
        <w:pStyle w:val="ParaNoNdepar-AltN"/>
        <w:rPr>
          <w:rFonts w:cs="Times New Roman"/>
          <w:lang w:val="fr-CA"/>
        </w:rPr>
      </w:pPr>
      <w:r w:rsidRPr="00565B7B">
        <w:rPr>
          <w:rFonts w:cs="Times New Roman"/>
          <w:lang w:val="fr-CA"/>
        </w:rPr>
        <w:t xml:space="preserve">Voici le texte du par. 14.06(4) : </w:t>
      </w:r>
    </w:p>
    <w:p w:rsidR="00DF13E5" w:rsidRPr="00565B7B" w:rsidRDefault="00DF13E5" w:rsidP="00DF13E5">
      <w:pPr>
        <w:pStyle w:val="Citation-AltC"/>
        <w:spacing w:after="240"/>
        <w:ind w:hanging="1166"/>
        <w:contextualSpacing w:val="0"/>
        <w:rPr>
          <w:lang w:val="fr-CA"/>
        </w:rPr>
      </w:pPr>
      <w:r w:rsidRPr="00565B7B">
        <w:rPr>
          <w:lang w:val="fr-CA"/>
        </w:rPr>
        <w:tab/>
      </w:r>
      <w:r w:rsidRPr="00565B7B">
        <w:rPr>
          <w:b/>
          <w:lang w:val="fr-CA"/>
        </w:rPr>
        <w:t>(4)</w:t>
      </w:r>
      <w:r w:rsidRPr="00565B7B">
        <w:rPr>
          <w:lang w:val="fr-CA"/>
        </w:rPr>
        <w:t xml:space="preserve"> Par dérogation au droit fédéral et provincial, mais sous réserve du paragraphe (2), le syndic est, ès qualités, dégagé de toute responsabilité personnelle découlant du non</w:t>
      </w:r>
      <w:r w:rsidRPr="00565B7B">
        <w:rPr>
          <w:lang w:val="fr-CA"/>
        </w:rPr>
        <w:noBreakHyphen/>
        <w:t xml:space="preserve">respect de toute ordonnance de réparation de tout fait ou dommage lié à l’environnement et touchant un bien visé par une faillite, une proposition ou une mise sous séquestre administrée par un séquestre, et de toute responsabilité personnelle relativement aux frais engagés par toute personne exécutant l’ordonnance : </w:t>
      </w:r>
    </w:p>
    <w:p w:rsidR="00DF13E5" w:rsidRPr="00565B7B" w:rsidRDefault="00DF13E5" w:rsidP="00747322">
      <w:pPr>
        <w:pStyle w:val="Citation-AltC"/>
        <w:spacing w:after="240"/>
        <w:ind w:left="1440"/>
        <w:contextualSpacing w:val="0"/>
        <w:rPr>
          <w:lang w:val="fr-CA"/>
        </w:rPr>
      </w:pPr>
      <w:r w:rsidRPr="00565B7B">
        <w:rPr>
          <w:b/>
          <w:lang w:val="fr-CA"/>
        </w:rPr>
        <w:t>a)</w:t>
      </w:r>
      <w:r w:rsidRPr="00565B7B">
        <w:rPr>
          <w:sz w:val="14"/>
          <w:szCs w:val="14"/>
          <w:lang w:val="fr-CA"/>
        </w:rPr>
        <w:t xml:space="preserve"> </w:t>
      </w:r>
      <w:r w:rsidRPr="00565B7B">
        <w:rPr>
          <w:lang w:val="fr-CA"/>
        </w:rPr>
        <w:t>si, dans les dix jours suivant l’ordonnance ou dans le délai fixé par celle</w:t>
      </w:r>
      <w:r w:rsidRPr="00565B7B">
        <w:rPr>
          <w:lang w:val="fr-CA"/>
        </w:rPr>
        <w:noBreakHyphen/>
        <w:t xml:space="preserve">ci, dans les dix jours suivant sa nomination si l’ordonnance est alors en vigueur ou pendant la durée de la suspension visée à l’alinéa b) : </w:t>
      </w:r>
    </w:p>
    <w:p w:rsidR="00DF13E5" w:rsidRPr="00565B7B" w:rsidRDefault="00DF13E5" w:rsidP="00747322">
      <w:pPr>
        <w:pStyle w:val="Citation-AltC"/>
        <w:spacing w:after="240"/>
        <w:ind w:left="1541" w:firstLine="619"/>
        <w:contextualSpacing w:val="0"/>
        <w:rPr>
          <w:lang w:val="fr-CA"/>
        </w:rPr>
      </w:pPr>
      <w:r w:rsidRPr="00565B7B">
        <w:rPr>
          <w:b/>
          <w:lang w:val="fr-CA"/>
        </w:rPr>
        <w:t>(i)</w:t>
      </w:r>
      <w:r w:rsidRPr="00565B7B">
        <w:rPr>
          <w:lang w:val="fr-CA"/>
        </w:rPr>
        <w:t xml:space="preserve"> il s’y conforme, </w:t>
      </w:r>
    </w:p>
    <w:p w:rsidR="00DF13E5" w:rsidRPr="00565B7B" w:rsidRDefault="00DF13E5" w:rsidP="00747322">
      <w:pPr>
        <w:pStyle w:val="Citation-AltC"/>
        <w:spacing w:after="240"/>
        <w:ind w:left="2160" w:firstLine="4"/>
        <w:contextualSpacing w:val="0"/>
        <w:rPr>
          <w:lang w:val="fr-CA"/>
        </w:rPr>
      </w:pPr>
      <w:r w:rsidRPr="00565B7B">
        <w:rPr>
          <w:b/>
          <w:lang w:val="fr-CA"/>
        </w:rPr>
        <w:t>(ii)</w:t>
      </w:r>
      <w:r w:rsidRPr="00565B7B">
        <w:rPr>
          <w:sz w:val="14"/>
          <w:szCs w:val="14"/>
          <w:lang w:val="fr-CA"/>
        </w:rPr>
        <w:t xml:space="preserve"> </w:t>
      </w:r>
      <w:r w:rsidRPr="00565B7B">
        <w:rPr>
          <w:lang w:val="fr-CA"/>
        </w:rPr>
        <w:t>il abandonne, après avis à la personne ayant rendu l’ordonnance, tout droit sur l’immeuble en cause ou tout intérêt sur le bien réel en cause, en dispose ou s’en dessaisit;</w:t>
      </w:r>
    </w:p>
    <w:p w:rsidR="00DF13E5" w:rsidRPr="00565B7B" w:rsidRDefault="00DF13E5" w:rsidP="00747322">
      <w:pPr>
        <w:pStyle w:val="Citation-AltC"/>
        <w:spacing w:after="240"/>
        <w:ind w:left="1440"/>
        <w:contextualSpacing w:val="0"/>
        <w:rPr>
          <w:lang w:val="fr-CA"/>
        </w:rPr>
      </w:pPr>
      <w:r w:rsidRPr="00565B7B">
        <w:rPr>
          <w:b/>
          <w:lang w:val="fr-CA"/>
        </w:rPr>
        <w:t>b)</w:t>
      </w:r>
      <w:r w:rsidRPr="00565B7B">
        <w:rPr>
          <w:lang w:val="fr-CA"/>
        </w:rPr>
        <w:t xml:space="preserve"> pendant la durée de la suspension de l’ordonnance qui est accordée, sur demande présentée dans les dix jours suivant l’ordonnance visée à l’alinéa a) ou dans le délai fixé par celle</w:t>
      </w:r>
      <w:r w:rsidRPr="00565B7B">
        <w:rPr>
          <w:lang w:val="fr-CA"/>
        </w:rPr>
        <w:noBreakHyphen/>
        <w:t>ci, ou dans les dix jours suivant sa nomination si l’ordonnance est alors en vigueur :</w:t>
      </w:r>
    </w:p>
    <w:p w:rsidR="00DF13E5" w:rsidRPr="00565B7B" w:rsidRDefault="00DF13E5" w:rsidP="00747322">
      <w:pPr>
        <w:pStyle w:val="Citation-AltC"/>
        <w:spacing w:after="240"/>
        <w:ind w:left="2160" w:firstLine="4"/>
        <w:contextualSpacing w:val="0"/>
        <w:rPr>
          <w:lang w:val="fr-CA"/>
        </w:rPr>
      </w:pPr>
      <w:r w:rsidRPr="00565B7B">
        <w:rPr>
          <w:b/>
          <w:lang w:val="fr-CA"/>
        </w:rPr>
        <w:lastRenderedPageBreak/>
        <w:t>(i)</w:t>
      </w:r>
      <w:r w:rsidRPr="00565B7B">
        <w:rPr>
          <w:sz w:val="14"/>
          <w:szCs w:val="14"/>
          <w:lang w:val="fr-CA"/>
        </w:rPr>
        <w:t xml:space="preserve"> </w:t>
      </w:r>
      <w:r w:rsidRPr="00565B7B">
        <w:rPr>
          <w:lang w:val="fr-CA"/>
        </w:rPr>
        <w:t>soit par le tribunal ou l’autorité qui a compétence relativement à l’ordonnance, en vue de permettre au syndic de la contester,</w:t>
      </w:r>
    </w:p>
    <w:p w:rsidR="00DF13E5" w:rsidRPr="00565B7B" w:rsidRDefault="00DF13E5" w:rsidP="00747322">
      <w:pPr>
        <w:pStyle w:val="Citation-AltC"/>
        <w:spacing w:after="240"/>
        <w:ind w:left="2160" w:firstLine="4"/>
        <w:contextualSpacing w:val="0"/>
        <w:rPr>
          <w:lang w:val="fr-CA"/>
        </w:rPr>
      </w:pPr>
      <w:r w:rsidRPr="00565B7B">
        <w:rPr>
          <w:b/>
          <w:lang w:val="fr-CA"/>
        </w:rPr>
        <w:t>(ii)</w:t>
      </w:r>
      <w:r w:rsidRPr="00565B7B">
        <w:rPr>
          <w:lang w:val="fr-CA"/>
        </w:rPr>
        <w:t xml:space="preserve"> soit par le tribunal qui a compétence en matière de faillite, en vue d’évaluer les conséquences économiques du respect de l’ordonnance;</w:t>
      </w:r>
    </w:p>
    <w:p w:rsidR="00DF13E5" w:rsidRPr="00565B7B" w:rsidRDefault="00DF13E5" w:rsidP="00747322">
      <w:pPr>
        <w:pStyle w:val="Citation-AltC"/>
        <w:ind w:left="1440"/>
        <w:contextualSpacing w:val="0"/>
        <w:rPr>
          <w:lang w:val="fr-CA"/>
        </w:rPr>
      </w:pPr>
      <w:r w:rsidRPr="00565B7B">
        <w:rPr>
          <w:b/>
          <w:lang w:val="fr-CA"/>
        </w:rPr>
        <w:t>c)</w:t>
      </w:r>
      <w:r w:rsidRPr="00565B7B">
        <w:rPr>
          <w:sz w:val="14"/>
          <w:szCs w:val="14"/>
          <w:lang w:val="fr-CA"/>
        </w:rPr>
        <w:t xml:space="preserve"> </w:t>
      </w:r>
      <w:r w:rsidRPr="00565B7B">
        <w:rPr>
          <w:lang w:val="fr-CA"/>
        </w:rPr>
        <w:t>si, avant que l’ordonnance ne soit rendue, il avait abandonné tout droit sur l’immeuble en cause ou tout intérêt sur le bien réel en cause ou y avait renoncé, ou s’en était dessaisi.</w:t>
      </w:r>
    </w:p>
    <w:p w:rsidR="00DF13E5" w:rsidRPr="00565B7B" w:rsidRDefault="00DF13E5" w:rsidP="00DF13E5">
      <w:pPr>
        <w:pStyle w:val="ParaNoNdepar-AltN"/>
        <w:rPr>
          <w:rFonts w:cs="Times New Roman"/>
          <w:lang w:val="fr-CA"/>
        </w:rPr>
      </w:pPr>
      <w:r w:rsidRPr="00565B7B">
        <w:rPr>
          <w:rFonts w:cs="Times New Roman"/>
          <w:lang w:val="fr-CA"/>
        </w:rPr>
        <w:t xml:space="preserve">Comme je l’expliquerai, un point de discorde important entre les parties tient aux interprétations fort différentes qu’elles donnent au par. 14.06(4) de la </w:t>
      </w:r>
      <w:r w:rsidRPr="001323EE">
        <w:rPr>
          <w:rFonts w:cs="Times New Roman"/>
          <w:i/>
          <w:lang w:val="fr-CA"/>
        </w:rPr>
        <w:t>LFI</w:t>
      </w:r>
      <w:r w:rsidRPr="00565B7B">
        <w:rPr>
          <w:rFonts w:cs="Times New Roman"/>
          <w:lang w:val="fr-CA"/>
        </w:rPr>
        <w:t>. Je remarque que le sous</w:t>
      </w:r>
      <w:r w:rsidRPr="00565B7B">
        <w:rPr>
          <w:rFonts w:cs="Times New Roman"/>
          <w:lang w:val="fr-CA"/>
        </w:rPr>
        <w:noBreakHyphen/>
        <w:t xml:space="preserve">al. 14.06(4)a)(ii), sur lequel s’appuie GTL, parle du syndic qui « abandonne [. . .] tout intérêt sur le bien réel en cause, en dispose ou s’en dessaisit ». Dans les présents motifs, le mot « renoncer » sert à raccourcir ces termes, comme cela a été le cas tout au long du litige qui nous occupe. </w:t>
      </w:r>
    </w:p>
    <w:p w:rsidR="00DF13E5" w:rsidRPr="00565B7B" w:rsidRDefault="00DF13E5" w:rsidP="00DF13E5">
      <w:pPr>
        <w:pStyle w:val="ParaNoNdepar-AltN"/>
        <w:rPr>
          <w:rFonts w:cs="Times New Roman"/>
          <w:lang w:val="fr-CA"/>
        </w:rPr>
      </w:pPr>
      <w:r w:rsidRPr="00565B7B">
        <w:rPr>
          <w:rFonts w:cs="Times New Roman"/>
          <w:lang w:val="fr-CA"/>
        </w:rPr>
        <w:t>Je vais maintenant procéder à une brève analyse des faits entourant la faillite de Redwater.</w:t>
      </w:r>
    </w:p>
    <w:p w:rsidR="00DF13E5" w:rsidRPr="00565B7B" w:rsidRDefault="00DF13E5" w:rsidP="00DF13E5">
      <w:pPr>
        <w:pStyle w:val="Title2LevelTitre2Niveau"/>
        <w:tabs>
          <w:tab w:val="clear" w:pos="576"/>
          <w:tab w:val="num" w:pos="432"/>
        </w:tabs>
        <w:ind w:left="432" w:hanging="432"/>
        <w:jc w:val="left"/>
        <w:outlineLvl w:val="0"/>
        <w:rPr>
          <w:rFonts w:cs="Times New Roman"/>
          <w:lang w:val="fr-CA"/>
        </w:rPr>
      </w:pPr>
      <w:r w:rsidRPr="00565B7B">
        <w:rPr>
          <w:rFonts w:cs="Times New Roman"/>
          <w:lang w:val="fr-CA"/>
        </w:rPr>
        <w:t>Les faits entourant la faillite de Redwater</w:t>
      </w:r>
    </w:p>
    <w:p w:rsidR="00DF13E5" w:rsidRPr="00565B7B" w:rsidRDefault="00DF13E5" w:rsidP="00DF13E5">
      <w:pPr>
        <w:pStyle w:val="ParaNoNdepar-AltN"/>
        <w:rPr>
          <w:rFonts w:cs="Times New Roman"/>
          <w:lang w:val="fr-CA"/>
        </w:rPr>
      </w:pPr>
      <w:r w:rsidRPr="00565B7B">
        <w:rPr>
          <w:rFonts w:cs="Times New Roman"/>
          <w:lang w:val="fr-CA"/>
        </w:rPr>
        <w:t xml:space="preserve">Redwater était une société pétrolière et gazière cotée en bourse. L’organisme de réglementation lui a octroyé ses premiers permis en 2009. Le 31 janvier et le 19 août 2013, ATB a avancé des fonds à Redwater et, en contrepartie, s’est vu accorder une sûreté sur les biens actuels et futurs de Redwater. ATB a prêté des fonds à Redwater en pleine connaissance des obligations de fin de vie associées à ses biens. Au milieu de 2014, Redwater a commencé à éprouver des difficultés </w:t>
      </w:r>
      <w:r w:rsidRPr="00565B7B">
        <w:rPr>
          <w:rFonts w:cs="Times New Roman"/>
          <w:lang w:val="fr-CA"/>
        </w:rPr>
        <w:lastRenderedPageBreak/>
        <w:t>financières. Sur demande d’ATB, GTL a été nommé séquestre de Redwater le 12 mai 2015. À cette époque, Redwater devait environ 5,1 millions de dollars à ATB.</w:t>
      </w:r>
    </w:p>
    <w:p w:rsidR="00DF13E5" w:rsidRPr="00565B7B" w:rsidRDefault="00DF13E5" w:rsidP="00DF13E5">
      <w:pPr>
        <w:pStyle w:val="ParaNoNdepar-AltN"/>
        <w:rPr>
          <w:rFonts w:cs="Times New Roman"/>
          <w:lang w:val="fr-CA"/>
        </w:rPr>
      </w:pPr>
      <w:r w:rsidRPr="00565B7B">
        <w:rPr>
          <w:rFonts w:cs="Times New Roman"/>
          <w:lang w:val="fr-CA"/>
        </w:rPr>
        <w:t>Après avoir été informé de la mise sous séquestre, l’organisme de réglementation a envoyé à GTL une lettre datée du 14 mai 2015 exposant sa position. L’organisme de réglementation a fait remarquer que l’</w:t>
      </w:r>
      <w:r w:rsidRPr="005646ED">
        <w:rPr>
          <w:rFonts w:cs="Times New Roman"/>
          <w:i/>
          <w:lang w:val="fr-CA"/>
        </w:rPr>
        <w:t>OGCA</w:t>
      </w:r>
      <w:r w:rsidRPr="00565B7B">
        <w:rPr>
          <w:rFonts w:cs="Times New Roman"/>
          <w:lang w:val="fr-CA"/>
        </w:rPr>
        <w:t xml:space="preserve"> et la </w:t>
      </w:r>
      <w:r w:rsidRPr="00565B7B">
        <w:rPr>
          <w:rFonts w:cs="Times New Roman"/>
          <w:i/>
          <w:lang w:val="fr-CA"/>
        </w:rPr>
        <w:t>Pipeline Act</w:t>
      </w:r>
      <w:r w:rsidRPr="00565B7B">
        <w:rPr>
          <w:rFonts w:cs="Times New Roman"/>
          <w:lang w:val="fr-CA"/>
        </w:rPr>
        <w:t xml:space="preserve"> incluaient à la fois les séquestres et les syndics dans la définition d’un « titulaire de permis ». L’organisme de réglementation a déclaré qu’il n’était pas un créancier de Redwater et qu’il ne faisait pas valoir une [</w:t>
      </w:r>
      <w:r w:rsidRPr="00565B7B">
        <w:rPr>
          <w:rFonts w:cs="Times New Roman"/>
          <w:smallCaps/>
          <w:lang w:val="fr-CA"/>
        </w:rPr>
        <w:t>traduction</w:t>
      </w:r>
      <w:r w:rsidRPr="00565B7B">
        <w:rPr>
          <w:rFonts w:cs="Times New Roman"/>
          <w:lang w:val="fr-CA"/>
        </w:rPr>
        <w:t>] « réclamation prouvable dans le cadre de la mise sous séquestre ». Ainsi, malgré la mise sous séquestre, Redwater demeurait tenue de se conformer à toutes les exigences réglementaires, y compris les obligations d’abandon, pour tous les biens visés par des permis. L’organisme de réglementation a déclaré que GTL était légalement tenu de remplir ces obligations avant de distribuer des fonds ou de finaliser toute proposition aux créanciers. L’organisme de réglementation a averti qu’il n’approuverait pas le transfert de l’un ou l’autre permis de Redwater à moins d’être convaincu que le cessionnaire et le cédant seraient en mesure de s’acquitter de toutes les obligations réglementaires. Il a demandé la confirmation que GTL avait pris possession des biens de Redwater visés par des permis et qu’il prenait des mesures pour se conformer à toutes les obligations réglementaires de Redwater.</w:t>
      </w:r>
    </w:p>
    <w:p w:rsidR="00DF13E5" w:rsidRPr="00565B7B" w:rsidRDefault="00DF13E5" w:rsidP="00DF13E5">
      <w:pPr>
        <w:pStyle w:val="ParaNoNdepar-AltN"/>
        <w:rPr>
          <w:rFonts w:cs="Times New Roman"/>
          <w:lang w:val="fr-CA"/>
        </w:rPr>
      </w:pPr>
      <w:r w:rsidRPr="00565B7B">
        <w:rPr>
          <w:rFonts w:cs="Times New Roman"/>
          <w:lang w:val="fr-CA"/>
        </w:rPr>
        <w:t xml:space="preserve">À l’époque où elle a connu des difficultés financières, Redwater avait des permis délivrés par l’organisme de réglementation concernant 84 puits, </w:t>
      </w:r>
      <w:r w:rsidR="00747322">
        <w:rPr>
          <w:rFonts w:cs="Times New Roman"/>
          <w:lang w:val="fr-CA"/>
        </w:rPr>
        <w:t>7</w:t>
      </w:r>
      <w:r w:rsidRPr="00565B7B">
        <w:rPr>
          <w:rFonts w:cs="Times New Roman"/>
          <w:lang w:val="fr-CA"/>
        </w:rPr>
        <w:t xml:space="preserve"> installations et 36 pipelines, tous situés dans le centre de l’Alberta. La grande majorité de ses éléments d’actif étaient ces biens pétroliers et gaziers. Au moment de la nomination de </w:t>
      </w:r>
      <w:r w:rsidRPr="00565B7B">
        <w:rPr>
          <w:rFonts w:cs="Times New Roman"/>
          <w:lang w:val="fr-CA"/>
        </w:rPr>
        <w:lastRenderedPageBreak/>
        <w:t>GTL comme séquestre, 19 des puits ou installations étaient productifs, tandis que les 72 autres étaient inactifs ou taris. Il y avait des participants en participation directe dans plusieurs puits et installations. La CGR de Redwater n’est tombée en dessous de 1,0 qu’après la mise sous séquestre de celle</w:t>
      </w:r>
      <w:r w:rsidRPr="00565B7B">
        <w:rPr>
          <w:rFonts w:cs="Times New Roman"/>
          <w:lang w:val="fr-CA"/>
        </w:rPr>
        <w:noBreakHyphen/>
        <w:t>ci et, en conséquence, Redwater n’a jamais versé de dépôt de garantie à l’organisme de réglementation.</w:t>
      </w:r>
    </w:p>
    <w:p w:rsidR="00DF13E5" w:rsidRPr="00565B7B" w:rsidRDefault="00DF13E5" w:rsidP="00DF13E5">
      <w:pPr>
        <w:pStyle w:val="ParaNoNdepar-AltN"/>
        <w:rPr>
          <w:rFonts w:cs="Times New Roman"/>
          <w:lang w:val="fr-CA"/>
        </w:rPr>
      </w:pPr>
      <w:r w:rsidRPr="00565B7B">
        <w:rPr>
          <w:rFonts w:cs="Times New Roman"/>
          <w:lang w:val="fr-CA"/>
        </w:rPr>
        <w:t>En septembre 2015, la CGR de Redwater avait chuté à 0,93. La valeur nette de ses biens réputés moins ses passifs réputés était égale à un montant négatif de 553 000 $. Les 19 puits et installations productifs pour lesquels Redwater était titulaire de permis avaient une CRG de 2,85 et une valeur nette réputée de 4,152 millions de dollars. Les 72 autres puits ou installations pour lesquels Redwater était titulaire de permis auraient eu une CGR de 0,30 et une valeur nette réputée négative de 4,705 millions de dollars. Puisque Redwater était sous séquestre, l’organisme de réglementation a mentionné qu’il n’approuverait le transfert des permis de Redwater que si cela n’occasionnait pas une détérioration de sa CGR.</w:t>
      </w:r>
    </w:p>
    <w:p w:rsidR="00DF13E5" w:rsidRPr="00565B7B" w:rsidRDefault="00DF13E5" w:rsidP="00DF13E5">
      <w:pPr>
        <w:pStyle w:val="ParaNoNdepar-AltN"/>
        <w:rPr>
          <w:rFonts w:cs="Times New Roman"/>
          <w:lang w:val="fr-CA"/>
        </w:rPr>
      </w:pPr>
      <w:r w:rsidRPr="00565B7B">
        <w:rPr>
          <w:rFonts w:cs="Times New Roman"/>
          <w:lang w:val="fr-CA"/>
        </w:rPr>
        <w:t xml:space="preserve">Dans son Deuxième rapport à la Cour du Banc de la Reine de l’Alberta daté du 3 octobre 2015, GTL a expliqué pourquoi il avait conclu qu’il ne pouvait pas satisfaire aux exigences de l’organisme de réglementation. D’après GTL, le coût des obligations de fin de vie des puits taris dépasserait probablement le produit de la vente des puits productifs. Il considérait comme improbable la vente des puits inexploités, même s’ils étaient regroupés avec les puits productifs. Si une telle vente était possible, le prix d’achat serait réduit au regard des obligations de fin de vie, annulant ainsi le bénéfice pour l’actif. Sur la base de cette évaluation, par lettre datée du 3 juillet 2015, GTL a informé l’organisme de réglementation qu’il prenait possession et contrôle </w:t>
      </w:r>
      <w:r w:rsidRPr="00565B7B">
        <w:rPr>
          <w:rFonts w:cs="Times New Roman"/>
          <w:lang w:val="fr-CA"/>
        </w:rPr>
        <w:lastRenderedPageBreak/>
        <w:t xml:space="preserve">seulement des </w:t>
      </w:r>
      <w:r w:rsidR="00747322">
        <w:rPr>
          <w:rFonts w:cs="Times New Roman"/>
          <w:lang w:val="fr-CA"/>
        </w:rPr>
        <w:t>17</w:t>
      </w:r>
      <w:r w:rsidRPr="00565B7B">
        <w:rPr>
          <w:rFonts w:cs="Times New Roman"/>
          <w:lang w:val="fr-CA"/>
        </w:rPr>
        <w:t xml:space="preserve"> puits les plus productifs de Redwater (y compris un puits</w:t>
      </w:r>
      <w:r w:rsidRPr="00565B7B">
        <w:rPr>
          <w:rFonts w:eastAsia="Times New Roman" w:cs="Times New Roman"/>
          <w:szCs w:val="24"/>
          <w:lang w:val="fr-CA" w:eastAsia="en-CA"/>
        </w:rPr>
        <w:t xml:space="preserve"> </w:t>
      </w:r>
      <w:r w:rsidRPr="00565B7B">
        <w:rPr>
          <w:rFonts w:cs="Times New Roman"/>
          <w:lang w:val="fr-CA"/>
        </w:rPr>
        <w:t xml:space="preserve">qui fuyait et qui a été abandonné par la suite), ainsi que de </w:t>
      </w:r>
      <w:r w:rsidR="00747322">
        <w:rPr>
          <w:rFonts w:cs="Times New Roman"/>
          <w:lang w:val="fr-CA"/>
        </w:rPr>
        <w:t>3</w:t>
      </w:r>
      <w:r w:rsidRPr="00565B7B">
        <w:rPr>
          <w:rFonts w:cs="Times New Roman"/>
          <w:lang w:val="fr-CA"/>
        </w:rPr>
        <w:t xml:space="preserve"> installations et de </w:t>
      </w:r>
      <w:r w:rsidR="00747322">
        <w:rPr>
          <w:rFonts w:cs="Times New Roman"/>
          <w:lang w:val="fr-CA"/>
        </w:rPr>
        <w:t>12</w:t>
      </w:r>
      <w:r w:rsidRPr="00565B7B">
        <w:rPr>
          <w:rFonts w:cs="Times New Roman"/>
          <w:lang w:val="fr-CA"/>
        </w:rPr>
        <w:t xml:space="preserve"> pipelines connexes (« biens conservés »), et qu’en vertu du par. 3a) de l’ordonnance de mise sous séquestre, il ne prenait pas possession ou contrôle de tous les autres éléments d’actif de Redwater visés par des permis (« biens faisant l’objet de la renonciation »). Selon GTL, il n’était aucunement tenu de satisfaire aux exigences réglementaires en lien avec les biens faisant l’objet de la renonciation.</w:t>
      </w:r>
    </w:p>
    <w:p w:rsidR="00DF13E5" w:rsidRPr="00565B7B" w:rsidRDefault="00DF13E5" w:rsidP="00DF13E5">
      <w:pPr>
        <w:pStyle w:val="ParaNoNdepar-AltN"/>
        <w:rPr>
          <w:rFonts w:cs="Times New Roman"/>
          <w:lang w:val="fr-CA"/>
        </w:rPr>
      </w:pPr>
      <w:r w:rsidRPr="00565B7B">
        <w:rPr>
          <w:rFonts w:cs="Times New Roman"/>
          <w:lang w:val="fr-CA"/>
        </w:rPr>
        <w:t>Le 15 juillet 2015, l’organisme de réglementation a réagi en rendant des ordonnances au titre de l’</w:t>
      </w:r>
      <w:r w:rsidRPr="005646ED">
        <w:rPr>
          <w:rFonts w:cs="Times New Roman"/>
          <w:i/>
          <w:lang w:val="fr-CA"/>
        </w:rPr>
        <w:t>OGCA</w:t>
      </w:r>
      <w:r w:rsidRPr="00565B7B">
        <w:rPr>
          <w:rFonts w:cs="Times New Roman"/>
          <w:lang w:val="fr-CA"/>
        </w:rPr>
        <w:t xml:space="preserve"> et de la </w:t>
      </w:r>
      <w:r w:rsidRPr="00565B7B">
        <w:rPr>
          <w:rFonts w:cs="Times New Roman"/>
          <w:i/>
          <w:lang w:val="fr-CA"/>
        </w:rPr>
        <w:t>Pipeline Act</w:t>
      </w:r>
      <w:r w:rsidRPr="00565B7B">
        <w:rPr>
          <w:rFonts w:cs="Times New Roman"/>
          <w:lang w:val="fr-CA"/>
        </w:rPr>
        <w:t xml:space="preserve"> enjoignant à Redwater de suspendre l’exploitation des biens faisant l’objet de la renonciation et de les abandonner (« ordonnances d’abandon »). Les ordonnances exigeaient que l’abandon soit effectué sur</w:t>
      </w:r>
      <w:r w:rsidRPr="00565B7B">
        <w:rPr>
          <w:rFonts w:cs="Times New Roman"/>
          <w:lang w:val="fr-CA"/>
        </w:rPr>
        <w:noBreakHyphen/>
        <w:t>le</w:t>
      </w:r>
      <w:r w:rsidRPr="00565B7B">
        <w:rPr>
          <w:rFonts w:cs="Times New Roman"/>
          <w:lang w:val="fr-CA"/>
        </w:rPr>
        <w:noBreakHyphen/>
        <w:t>champ dans les cas où il n’y avait pas d’autres participants en participation directe, et, au plus tard le 18 septembre 2015, dans ceux où il y avait d’autres participants en participation directe. L’organisme de réglementation a déclaré qu’il considérait les biens faisant l’objet de la renonciation comme un danger pour l’environnement et la sécurité, et que l’al. 3.012</w:t>
      </w:r>
      <w:r w:rsidR="000624A5">
        <w:rPr>
          <w:rFonts w:cs="Times New Roman"/>
          <w:lang w:val="fr-CA"/>
        </w:rPr>
        <w:t>(</w:t>
      </w:r>
      <w:r w:rsidRPr="00565B7B">
        <w:rPr>
          <w:rFonts w:cs="Times New Roman"/>
          <w:lang w:val="fr-CA"/>
        </w:rPr>
        <w:t xml:space="preserve">d) des </w:t>
      </w:r>
      <w:r w:rsidRPr="00565B7B">
        <w:rPr>
          <w:rFonts w:cs="Times New Roman"/>
          <w:i/>
          <w:lang w:val="fr-CA"/>
        </w:rPr>
        <w:t>Oil and Gas Conservation Rules</w:t>
      </w:r>
      <w:r w:rsidRPr="00565B7B">
        <w:rPr>
          <w:rFonts w:cs="Times New Roman"/>
          <w:lang w:val="fr-CA"/>
        </w:rPr>
        <w:t xml:space="preserve"> obligeait le titulaire de permis à abandonner ces puits ou installations. Lorsqu’il a rendu les ordonnances d’abandon, l’organisme de réglementation s’</w:t>
      </w:r>
      <w:r w:rsidR="00B8548C">
        <w:rPr>
          <w:rFonts w:cs="Times New Roman"/>
          <w:lang w:val="fr-CA"/>
        </w:rPr>
        <w:t>est également fondé sur les art.</w:t>
      </w:r>
      <w:r w:rsidRPr="00565B7B">
        <w:rPr>
          <w:rFonts w:cs="Times New Roman"/>
          <w:lang w:val="fr-CA"/>
        </w:rPr>
        <w:t> 27 à 30 de l’</w:t>
      </w:r>
      <w:r w:rsidRPr="005646ED">
        <w:rPr>
          <w:rFonts w:cs="Times New Roman"/>
          <w:i/>
          <w:lang w:val="fr-CA"/>
        </w:rPr>
        <w:t>OGCA</w:t>
      </w:r>
      <w:r w:rsidRPr="00565B7B">
        <w:rPr>
          <w:rFonts w:cs="Times New Roman"/>
          <w:lang w:val="fr-CA"/>
        </w:rPr>
        <w:t xml:space="preserve"> et sur les art. 23 à 26 de la </w:t>
      </w:r>
      <w:r w:rsidRPr="00565B7B">
        <w:rPr>
          <w:rFonts w:cs="Times New Roman"/>
          <w:i/>
          <w:lang w:val="fr-CA"/>
        </w:rPr>
        <w:t>Pipeline Act</w:t>
      </w:r>
      <w:r w:rsidRPr="00565B7B">
        <w:rPr>
          <w:rFonts w:cs="Times New Roman"/>
          <w:lang w:val="fr-CA"/>
        </w:rPr>
        <w:t>. Si les ordonnances d’abandon n’étaient pas respectées, l’organisme de réglementation menaçait d’effectuer lui</w:t>
      </w:r>
      <w:r w:rsidRPr="00565B7B">
        <w:rPr>
          <w:rFonts w:cs="Times New Roman"/>
          <w:lang w:val="fr-CA"/>
        </w:rPr>
        <w:noBreakHyphen/>
        <w:t>même le processus d’abandon des biens et de sanctionner Redwater par l’application de l’art. 106 de l’</w:t>
      </w:r>
      <w:r w:rsidRPr="001F0FE7">
        <w:rPr>
          <w:rFonts w:cs="Times New Roman"/>
          <w:i/>
          <w:lang w:val="fr-CA"/>
        </w:rPr>
        <w:t>OGCA</w:t>
      </w:r>
      <w:r w:rsidRPr="00565B7B">
        <w:rPr>
          <w:rFonts w:cs="Times New Roman"/>
          <w:lang w:val="fr-CA"/>
        </w:rPr>
        <w:t>.</w:t>
      </w:r>
      <w:r w:rsidRPr="00565B7B">
        <w:rPr>
          <w:rFonts w:eastAsia="Times New Roman" w:cs="Times New Roman"/>
          <w:szCs w:val="24"/>
          <w:lang w:val="fr-CA" w:eastAsia="en-CA"/>
        </w:rPr>
        <w:t xml:space="preserve"> </w:t>
      </w:r>
      <w:r w:rsidRPr="00565B7B">
        <w:rPr>
          <w:rFonts w:cs="Times New Roman"/>
          <w:lang w:val="fr-CA"/>
        </w:rPr>
        <w:t>L’organisme a ajouté qu’une fois qu’il y avait eu abandon, la surface devait être remise en état et il fallait obtenir des certificats de remise en état conformément à l’art. 137 de l’</w:t>
      </w:r>
      <w:r w:rsidRPr="005646ED">
        <w:rPr>
          <w:rFonts w:cs="Times New Roman"/>
          <w:i/>
          <w:lang w:val="fr-CA"/>
        </w:rPr>
        <w:t>EPEA</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lastRenderedPageBreak/>
        <w:t>Le 22 septembre 2015, l’organisme de réglementation et l’OWA ont déposé une demande en vue d’obtenir un jugement déclaratoire portant que l’abandon par GTL des biens faisant l’objet de la renonciation était nul, une ordonnance obligeant GTL à se conformer aux ordonnances d’abandon, de même qu’une ordonnance enjoignant à GTL de [</w:t>
      </w:r>
      <w:r w:rsidRPr="00565B7B">
        <w:rPr>
          <w:rFonts w:cs="Times New Roman"/>
          <w:smallCaps/>
          <w:lang w:val="fr-CA"/>
        </w:rPr>
        <w:t>traduction</w:t>
      </w:r>
      <w:r w:rsidRPr="00565B7B">
        <w:rPr>
          <w:rFonts w:cs="Times New Roman"/>
          <w:lang w:val="fr-CA"/>
        </w:rPr>
        <w:t>] « remplir les obligations légales en tant que titulaire de permis concernant l’abandon, la remise en état et la décontamination » de tous les biens de Redwater visés par des permis</w:t>
      </w:r>
      <w:r w:rsidR="00747322">
        <w:rPr>
          <w:rFonts w:cs="Times New Roman"/>
          <w:lang w:val="fr-CA"/>
        </w:rPr>
        <w:t xml:space="preserve"> (A.R., vol. II, p. 41)</w:t>
      </w:r>
      <w:r w:rsidRPr="00565B7B">
        <w:rPr>
          <w:rFonts w:cs="Times New Roman"/>
          <w:lang w:val="fr-CA"/>
        </w:rPr>
        <w:t>. L’organisme de réglementation n’a pas cherché à tenir GTL responsable de ces obligations au</w:t>
      </w:r>
      <w:r w:rsidRPr="00565B7B">
        <w:rPr>
          <w:rFonts w:cs="Times New Roman"/>
          <w:lang w:val="fr-CA"/>
        </w:rPr>
        <w:noBreakHyphen/>
        <w:t>delà des éléments qui faisaient encore partie de l’actif de Redwater. Le 5 octobre 2015, GTL a présenté une demande reconventionnelle visant à obtenir l’autorisation de poursuivre un processus de vente excluant les biens faisant l’objet de la renonciation. GTL a demandé au tribunal de rendre une ordonnance interdisant à l’organisme de réglementation d’empêcher le transfert des permis associés aux biens conservés en raison, notamment, des exigences relatives à la CGR, du non</w:t>
      </w:r>
      <w:r w:rsidRPr="00565B7B">
        <w:rPr>
          <w:rFonts w:cs="Times New Roman"/>
          <w:lang w:val="fr-CA"/>
        </w:rPr>
        <w:noBreakHyphen/>
        <w:t>respect des ordonnances d’abandon, du refus de prendre possession des biens faisant l’objet de la renonciation ou des dettes en souffrance de Redwater envers l’organisme de réglementation. GTL n’a pas cherché à exclure la possibilité que l’organisme de réglementation ait un autre motif valable de rejeter un transfert proposé.</w:t>
      </w:r>
    </w:p>
    <w:p w:rsidR="00DF13E5" w:rsidRPr="00565B7B" w:rsidRDefault="00DF13E5" w:rsidP="00DF13E5">
      <w:pPr>
        <w:pStyle w:val="ParaNoNdepar-AltN"/>
        <w:rPr>
          <w:rFonts w:cs="Times New Roman"/>
          <w:lang w:val="fr-CA"/>
        </w:rPr>
      </w:pPr>
      <w:r w:rsidRPr="00565B7B">
        <w:rPr>
          <w:rFonts w:cs="Times New Roman"/>
          <w:lang w:val="fr-CA"/>
        </w:rPr>
        <w:t>Le 28 octobre 2015, une ordonnance de faillite a été rendue à l’égard de Redwater, et GTL a été nommé syndic. GTL a envoyé une autre lettre à l’organisme de réglementation le 2 novembre 2015, dans laquelle il invoquait cette fois le sous</w:t>
      </w:r>
      <w:r w:rsidRPr="00565B7B">
        <w:rPr>
          <w:rFonts w:cs="Times New Roman"/>
          <w:lang w:val="fr-CA"/>
        </w:rPr>
        <w:noBreakHyphen/>
        <w:t xml:space="preserve">al. 14.06(4)a)(ii) de la </w:t>
      </w:r>
      <w:r w:rsidRPr="001323EE">
        <w:rPr>
          <w:rFonts w:cs="Times New Roman"/>
          <w:i/>
          <w:lang w:val="fr-CA"/>
        </w:rPr>
        <w:t>LFI</w:t>
      </w:r>
      <w:r w:rsidRPr="00565B7B">
        <w:rPr>
          <w:rFonts w:cs="Times New Roman"/>
          <w:lang w:val="fr-CA"/>
        </w:rPr>
        <w:t xml:space="preserve"> à l’égard des biens faisant l’objet de la renonciation. Les ordonnances d’abandon sont toujours pendantes.</w:t>
      </w:r>
    </w:p>
    <w:p w:rsidR="00DF13E5" w:rsidRPr="00565B7B" w:rsidRDefault="00DF13E5" w:rsidP="00DF13E5">
      <w:pPr>
        <w:pStyle w:val="Title2LevelTitre2Niveau"/>
        <w:tabs>
          <w:tab w:val="clear" w:pos="576"/>
          <w:tab w:val="num" w:pos="432"/>
        </w:tabs>
        <w:ind w:left="432" w:hanging="432"/>
        <w:jc w:val="left"/>
        <w:outlineLvl w:val="0"/>
        <w:rPr>
          <w:rFonts w:cs="Times New Roman"/>
          <w:lang w:val="fr-CA"/>
        </w:rPr>
      </w:pPr>
      <w:r w:rsidRPr="00565B7B">
        <w:rPr>
          <w:rFonts w:cs="Times New Roman"/>
          <w:lang w:val="fr-CA"/>
        </w:rPr>
        <w:lastRenderedPageBreak/>
        <w:t>Historique judiciaire</w:t>
      </w:r>
    </w:p>
    <w:p w:rsidR="00A11FC1" w:rsidRPr="00A11FC1" w:rsidRDefault="00DF13E5" w:rsidP="00877FF6">
      <w:pPr>
        <w:pStyle w:val="Title3LevelTitre3Niveau"/>
        <w:numPr>
          <w:ilvl w:val="6"/>
          <w:numId w:val="39"/>
        </w:numPr>
        <w:jc w:val="left"/>
        <w:outlineLvl w:val="0"/>
        <w:rPr>
          <w:rFonts w:cs="Times New Roman"/>
          <w:lang w:val="fr-CA"/>
        </w:rPr>
      </w:pPr>
      <w:r w:rsidRPr="00565B7B">
        <w:rPr>
          <w:rFonts w:cs="Times New Roman"/>
          <w:lang w:val="fr-CA"/>
        </w:rPr>
        <w:t>La Cour du Banc de la Reine de l’Alberta</w:t>
      </w:r>
    </w:p>
    <w:p w:rsidR="00DF13E5" w:rsidRPr="00565B7B" w:rsidRDefault="00DF13E5" w:rsidP="00877FF6">
      <w:pPr>
        <w:pStyle w:val="ParaNoNdepar-AltN"/>
        <w:rPr>
          <w:lang w:val="fr-CA"/>
        </w:rPr>
      </w:pPr>
      <w:r w:rsidRPr="00565B7B">
        <w:rPr>
          <w:lang w:val="fr-CA"/>
        </w:rPr>
        <w:t xml:space="preserve">Le juge siégeant en cabinet a conclu que l’art. 14.06 de la </w:t>
      </w:r>
      <w:r w:rsidRPr="005646ED">
        <w:rPr>
          <w:i/>
          <w:lang w:val="fr-CA"/>
        </w:rPr>
        <w:t>LFI</w:t>
      </w:r>
      <w:r w:rsidRPr="00565B7B">
        <w:rPr>
          <w:lang w:val="fr-CA"/>
        </w:rPr>
        <w:t xml:space="preserve"> visait à permettre aux syndics de renoncer à un bien lorsqu’il s’agissait d’une décision économique rationnelle compte tenu du fait lié à l’environnement et touchant le bien. La responsabilité personnelle du syndic n’était pas une condition préalable au pouvoir de renonciation. Le juge siégeant en cabinet a donc conclu à un conflit d’application entre l’art. 14.06 de la </w:t>
      </w:r>
      <w:r w:rsidRPr="001F0FE7">
        <w:rPr>
          <w:i/>
          <w:lang w:val="fr-CA"/>
        </w:rPr>
        <w:t>LFI</w:t>
      </w:r>
      <w:r w:rsidRPr="00565B7B">
        <w:rPr>
          <w:lang w:val="fr-CA"/>
        </w:rPr>
        <w:t xml:space="preserve"> et la définition de « titulaire de permis » que l’on trouve dans l’</w:t>
      </w:r>
      <w:r w:rsidRPr="001F0FE7">
        <w:rPr>
          <w:i/>
          <w:lang w:val="fr-CA"/>
        </w:rPr>
        <w:t>OGCA</w:t>
      </w:r>
      <w:r w:rsidRPr="00565B7B">
        <w:rPr>
          <w:lang w:val="fr-CA"/>
        </w:rPr>
        <w:t xml:space="preserve"> et la </w:t>
      </w:r>
      <w:r w:rsidRPr="00565B7B">
        <w:rPr>
          <w:i/>
          <w:lang w:val="fr-CA"/>
        </w:rPr>
        <w:t>Pipeline Act</w:t>
      </w:r>
      <w:r w:rsidRPr="00565B7B">
        <w:rPr>
          <w:lang w:val="fr-CA"/>
        </w:rPr>
        <w:t xml:space="preserve">. En vertu de l’art. 14.06 de la </w:t>
      </w:r>
      <w:r w:rsidRPr="005646ED">
        <w:rPr>
          <w:i/>
          <w:lang w:val="fr-CA"/>
        </w:rPr>
        <w:t>LFI</w:t>
      </w:r>
      <w:r w:rsidRPr="00565B7B">
        <w:rPr>
          <w:lang w:val="fr-CA"/>
        </w:rPr>
        <w:t>, GTL pouvait renoncer aux biens et ne pas être responsable des obligations environnementales qui y étaient associées. Cependant, aux termes de l’</w:t>
      </w:r>
      <w:r w:rsidRPr="005646ED">
        <w:rPr>
          <w:i/>
          <w:lang w:val="fr-CA"/>
        </w:rPr>
        <w:t>OGCA</w:t>
      </w:r>
      <w:r w:rsidRPr="00565B7B">
        <w:rPr>
          <w:lang w:val="fr-CA"/>
        </w:rPr>
        <w:t xml:space="preserve"> et de la </w:t>
      </w:r>
      <w:r w:rsidRPr="00565B7B">
        <w:rPr>
          <w:i/>
          <w:lang w:val="fr-CA"/>
        </w:rPr>
        <w:t>Pipeline Act</w:t>
      </w:r>
      <w:r w:rsidRPr="00565B7B">
        <w:rPr>
          <w:lang w:val="fr-CA"/>
        </w:rPr>
        <w:t>, GTL ne pouvait renoncer aux biens visés par des permis parce que la définition de « titulaire de permis » comprenait le séquestre et le syndic, si bien que GTL demeurait responsable des obligations environnementales.</w:t>
      </w:r>
    </w:p>
    <w:p w:rsidR="00DF13E5" w:rsidRPr="00565B7B" w:rsidRDefault="00DF13E5" w:rsidP="00DF13E5">
      <w:pPr>
        <w:pStyle w:val="ParaNoNdepar-AltN"/>
        <w:rPr>
          <w:rFonts w:cs="Times New Roman"/>
          <w:lang w:val="fr-CA"/>
        </w:rPr>
      </w:pPr>
      <w:r w:rsidRPr="00565B7B">
        <w:rPr>
          <w:rFonts w:cs="Times New Roman"/>
          <w:lang w:val="fr-CA"/>
        </w:rPr>
        <w:t xml:space="preserve">Appliquant le critère de l’arrêt </w:t>
      </w:r>
      <w:r w:rsidRPr="00565B7B">
        <w:rPr>
          <w:rFonts w:cs="Times New Roman"/>
          <w:i/>
          <w:lang w:val="fr-CA"/>
        </w:rPr>
        <w:t>Abitibi</w:t>
      </w:r>
      <w:r w:rsidRPr="00565B7B">
        <w:rPr>
          <w:rFonts w:cs="Times New Roman"/>
          <w:lang w:val="fr-CA"/>
        </w:rPr>
        <w:t>, le juge siégeant en cabinet a conclu que, bien qu’au [</w:t>
      </w:r>
      <w:r w:rsidRPr="00565B7B">
        <w:rPr>
          <w:rFonts w:cs="Times New Roman"/>
          <w:smallCaps/>
          <w:lang w:val="fr-CA"/>
        </w:rPr>
        <w:t>traduction</w:t>
      </w:r>
      <w:r w:rsidRPr="00565B7B">
        <w:rPr>
          <w:rFonts w:cs="Times New Roman"/>
          <w:lang w:val="fr-CA"/>
        </w:rPr>
        <w:t xml:space="preserve">] « sens technique », il n’était pas suffisamment certain que l’organisme de réglementation ou l’OWA exécuteraient les ordonnances d’abandon et feraient valoir une réclamation pécuniaire pour obtenir le remboursement de leurs frais, la situation répondait à l’intention de la Cour dans </w:t>
      </w:r>
      <w:r w:rsidRPr="00565B7B">
        <w:rPr>
          <w:rFonts w:cs="Times New Roman"/>
          <w:i/>
          <w:lang w:val="fr-CA"/>
        </w:rPr>
        <w:t>Abitibi</w:t>
      </w:r>
      <w:r w:rsidRPr="00565B7B">
        <w:rPr>
          <w:rFonts w:cs="Times New Roman"/>
          <w:lang w:val="fr-CA"/>
        </w:rPr>
        <w:t xml:space="preserve"> car les ordonnances d’abandon étaient « intrinsèquement financières » (par. 173). Forcer GTL en tant que « titulaire de permis » à se conformer aux ordonnances d’abandon irait donc à l’encontre de l’objectif global de la </w:t>
      </w:r>
      <w:r w:rsidRPr="005646ED">
        <w:rPr>
          <w:rFonts w:cs="Times New Roman"/>
          <w:i/>
          <w:lang w:val="fr-CA"/>
        </w:rPr>
        <w:t>LFI</w:t>
      </w:r>
      <w:r w:rsidRPr="00565B7B">
        <w:rPr>
          <w:rFonts w:cs="Times New Roman"/>
          <w:lang w:val="fr-CA"/>
        </w:rPr>
        <w:t xml:space="preserve"> de partage équitable des biens du failli, puisque l’organisme de réglementation se verrait accorder, pour sa réclamation, une </w:t>
      </w:r>
      <w:r w:rsidRPr="00565B7B">
        <w:rPr>
          <w:rFonts w:cs="Times New Roman"/>
          <w:lang w:val="fr-CA"/>
        </w:rPr>
        <w:lastRenderedPageBreak/>
        <w:t>superpriorité à laquelle il n’avait pas droit, avant les réclamations des créanciers garantis. Cela entraverait aussi la réalisation de l’objet de l’art</w:t>
      </w:r>
      <w:r w:rsidR="005646ED">
        <w:rPr>
          <w:rFonts w:cs="Times New Roman"/>
          <w:lang w:val="fr-CA"/>
        </w:rPr>
        <w:t>.</w:t>
      </w:r>
      <w:r w:rsidRPr="00565B7B">
        <w:rPr>
          <w:rFonts w:cs="Times New Roman"/>
          <w:lang w:val="fr-CA"/>
        </w:rPr>
        <w:t> 14.06, par lequel le Parlement a légiféré sur les réclamations environnementales en cas de faillite et a expressément fait le choix de ne pas leur accorder une superpriorité. Les conditions imposées par l’organisme de réglementation sur les transferts de permis relatifs aux biens conservés ont contrecarré davantage l’art</w:t>
      </w:r>
      <w:r w:rsidR="005646ED">
        <w:rPr>
          <w:rFonts w:cs="Times New Roman"/>
          <w:lang w:val="fr-CA"/>
        </w:rPr>
        <w:t>.</w:t>
      </w:r>
      <w:r w:rsidRPr="00565B7B">
        <w:rPr>
          <w:rFonts w:cs="Times New Roman"/>
          <w:lang w:val="fr-CA"/>
        </w:rPr>
        <w:t> 14.06 en incluant les biens faisant l’objet de la renonciation dans le calcul pour décider de l’approbation d’une vente.</w:t>
      </w:r>
    </w:p>
    <w:p w:rsidR="00DF13E5" w:rsidRPr="00565B7B" w:rsidRDefault="00DF13E5" w:rsidP="00DF13E5">
      <w:pPr>
        <w:pStyle w:val="ParaNoNdepar-AltN"/>
        <w:rPr>
          <w:rFonts w:cs="Times New Roman"/>
          <w:lang w:val="fr-CA"/>
        </w:rPr>
      </w:pPr>
      <w:r w:rsidRPr="00565B7B">
        <w:rPr>
          <w:rFonts w:cs="Times New Roman"/>
          <w:lang w:val="fr-CA"/>
        </w:rPr>
        <w:t>Le juge siégeant en cabinet a approuvé la procédure de vente proposée par GTL. Il a déclaré que l’</w:t>
      </w:r>
      <w:r w:rsidRPr="005646ED">
        <w:rPr>
          <w:rFonts w:cs="Times New Roman"/>
          <w:i/>
          <w:lang w:val="fr-CA"/>
        </w:rPr>
        <w:t>OGCA</w:t>
      </w:r>
      <w:r w:rsidRPr="00565B7B">
        <w:rPr>
          <w:rFonts w:cs="Times New Roman"/>
          <w:lang w:val="fr-CA"/>
        </w:rPr>
        <w:t xml:space="preserve"> et la </w:t>
      </w:r>
      <w:r w:rsidRPr="00565B7B">
        <w:rPr>
          <w:rFonts w:cs="Times New Roman"/>
          <w:i/>
          <w:lang w:val="fr-CA"/>
        </w:rPr>
        <w:t>Pipeline Act</w:t>
      </w:r>
      <w:r w:rsidRPr="00565B7B">
        <w:rPr>
          <w:rFonts w:cs="Times New Roman"/>
          <w:lang w:val="fr-CA"/>
        </w:rPr>
        <w:t xml:space="preserve"> étaient inopérantes dans la mesure où elles entraient en conflit avec la </w:t>
      </w:r>
      <w:r w:rsidRPr="005646ED">
        <w:rPr>
          <w:rFonts w:cs="Times New Roman"/>
          <w:i/>
          <w:lang w:val="fr-CA"/>
        </w:rPr>
        <w:t>LFI</w:t>
      </w:r>
      <w:r w:rsidRPr="00565B7B">
        <w:rPr>
          <w:rFonts w:cs="Times New Roman"/>
          <w:lang w:val="fr-CA"/>
        </w:rPr>
        <w:t xml:space="preserve">, en considérant GTL comme le « titulaire des permis » relatifs aux biens faisant l’objet de la renonciation, que GTL avait le droit de renoncer </w:t>
      </w:r>
      <w:r>
        <w:rPr>
          <w:rFonts w:cs="Times New Roman"/>
          <w:lang w:val="fr-CA"/>
        </w:rPr>
        <w:t>à ces</w:t>
      </w:r>
      <w:r w:rsidRPr="00565B7B">
        <w:rPr>
          <w:rFonts w:cs="Times New Roman"/>
          <w:lang w:val="fr-CA"/>
        </w:rPr>
        <w:t xml:space="preserve"> biens au titre du sous</w:t>
      </w:r>
      <w:r w:rsidRPr="00565B7B">
        <w:rPr>
          <w:rFonts w:cs="Times New Roman"/>
          <w:lang w:val="fr-CA"/>
        </w:rPr>
        <w:noBreakHyphen/>
        <w:t xml:space="preserve">al. 14.06(4)a)(ii) et de l’al. 14.06(4)c), et qu’il n’était assujetti à aucune obligation à l’égard de ces biens, que les ordonnances d’abandon étaient inopérantes dans la mesure où elles obligeaient GTL à s’y conformer ou à fournir des dépôts de garantie et que la Directive 006 était inopérante dans la mesure où elle entrait en conflit avec l’art. 14.06 de la </w:t>
      </w:r>
      <w:r w:rsidRPr="005646ED">
        <w:rPr>
          <w:rFonts w:cs="Times New Roman"/>
          <w:i/>
          <w:lang w:val="fr-CA"/>
        </w:rPr>
        <w:t>LFI</w:t>
      </w:r>
      <w:r w:rsidRPr="00565B7B">
        <w:rPr>
          <w:rFonts w:cs="Times New Roman"/>
          <w:lang w:val="fr-CA"/>
        </w:rPr>
        <w:t>. Enfin, il a déclaré que l’organisme de réglementation, dans l’exercice de son pouvoir discrétionnaire d’approuver un transfert des permis relatifs aux biens conservés, ne pouvait pas tenir compte des biens faisant l’objet de la renonciation pour le calcul de la CGR de Redwater, avant ou après le transfert, ni tenir compte de toute autre question liée aux biens faisant l’objet de la renonciation.</w:t>
      </w:r>
    </w:p>
    <w:p w:rsidR="00A11FC1" w:rsidRDefault="00DF13E5" w:rsidP="007872F1">
      <w:pPr>
        <w:pStyle w:val="Title3LevelTitre3Niveau"/>
        <w:numPr>
          <w:ilvl w:val="6"/>
          <w:numId w:val="12"/>
        </w:numPr>
        <w:jc w:val="left"/>
        <w:outlineLvl w:val="0"/>
        <w:rPr>
          <w:rFonts w:cs="Times New Roman"/>
          <w:lang w:val="fr-CA"/>
        </w:rPr>
      </w:pPr>
      <w:r w:rsidRPr="00565B7B">
        <w:rPr>
          <w:rFonts w:cs="Times New Roman"/>
          <w:lang w:val="fr-CA"/>
        </w:rPr>
        <w:t>La Cour d’appel de l’Alberta</w:t>
      </w:r>
    </w:p>
    <w:p w:rsidR="0026437A" w:rsidRPr="00063424" w:rsidRDefault="0026437A" w:rsidP="0026437A">
      <w:pPr>
        <w:pStyle w:val="ParaNoNdepar-AltN"/>
        <w:numPr>
          <w:ilvl w:val="1"/>
          <w:numId w:val="43"/>
        </w:numPr>
        <w:rPr>
          <w:i/>
          <w:lang w:val="fr-CA"/>
        </w:rPr>
      </w:pPr>
      <w:r w:rsidRPr="00063424">
        <w:rPr>
          <w:i/>
          <w:lang w:val="fr-CA"/>
        </w:rPr>
        <w:t>Les motifs majoritaires</w:t>
      </w:r>
    </w:p>
    <w:p w:rsidR="00DF13E5" w:rsidRPr="007872F1" w:rsidRDefault="0026437A" w:rsidP="0026437A">
      <w:pPr>
        <w:pStyle w:val="ParaNoNdepar-AltN"/>
        <w:rPr>
          <w:rFonts w:cs="Times New Roman"/>
          <w:lang w:val="fr-CA"/>
        </w:rPr>
      </w:pPr>
      <w:r>
        <w:rPr>
          <w:lang w:val="fr-CA"/>
        </w:rPr>
        <w:lastRenderedPageBreak/>
        <w:t>Le juge Slatter,</w:t>
      </w:r>
      <w:r w:rsidR="00DF13E5" w:rsidRPr="007872F1">
        <w:rPr>
          <w:rFonts w:cs="Times New Roman"/>
          <w:lang w:val="fr-CA"/>
        </w:rPr>
        <w:t xml:space="preserve"> au nom des juges majoritaires, a rejeté les appels. Il a déclaré que les questions constitutionnelles des appels étaient complémentaires à la question principale, l’interprétation de la </w:t>
      </w:r>
      <w:r w:rsidR="00DF13E5" w:rsidRPr="005646ED">
        <w:rPr>
          <w:rFonts w:cs="Times New Roman"/>
          <w:i/>
          <w:lang w:val="fr-CA"/>
        </w:rPr>
        <w:t>LFI</w:t>
      </w:r>
      <w:r w:rsidR="00DF13E5" w:rsidRPr="007872F1">
        <w:rPr>
          <w:rFonts w:cs="Times New Roman"/>
          <w:lang w:val="fr-CA"/>
        </w:rPr>
        <w:t>. L’article 14.06 n’a pas soustrait les réclamations environnementales au régime général de faillite, à l’exception de la superpriorité prévue au par. 14.06(7), qui s’appliquerait rarement, voire jamais, aux puits de pétrole et de gaz. Le paragraphe 14.06(4) n’a pas [</w:t>
      </w:r>
      <w:r w:rsidR="00DF13E5" w:rsidRPr="007872F1">
        <w:rPr>
          <w:rFonts w:cs="Times New Roman"/>
          <w:smallCaps/>
          <w:lang w:val="fr-CA"/>
        </w:rPr>
        <w:t>traduction</w:t>
      </w:r>
      <w:r w:rsidR="00DF13E5" w:rsidRPr="007872F1">
        <w:rPr>
          <w:rFonts w:cs="Times New Roman"/>
          <w:lang w:val="fr-CA"/>
        </w:rPr>
        <w:t>] « limité le pouvoir du syndic de renoncer [. . .] aux biens dans des circonstances où il pourrait s’exposer à une responsabilité personnelle » (par. 68). En outre, il fallait donner un sens large au mot « ordonnance » qui figure au par. 14.06(4).</w:t>
      </w:r>
    </w:p>
    <w:p w:rsidR="00DF13E5" w:rsidRPr="00565B7B" w:rsidRDefault="00DF13E5" w:rsidP="00DF13E5">
      <w:pPr>
        <w:pStyle w:val="ParaNoNdepar-AltN"/>
        <w:rPr>
          <w:rFonts w:cs="Times New Roman"/>
          <w:lang w:val="fr-CA"/>
        </w:rPr>
      </w:pPr>
      <w:r w:rsidRPr="00565B7B">
        <w:rPr>
          <w:rFonts w:cs="Times New Roman"/>
          <w:lang w:val="fr-CA"/>
        </w:rPr>
        <w:t>Le juge Slatter a décidé que la question essentielle était de savoir [</w:t>
      </w:r>
      <w:r w:rsidRPr="00565B7B">
        <w:rPr>
          <w:rFonts w:cs="Times New Roman"/>
          <w:smallCaps/>
          <w:lang w:val="fr-CA"/>
        </w:rPr>
        <w:t>traduction</w:t>
      </w:r>
      <w:r w:rsidRPr="00565B7B">
        <w:rPr>
          <w:rFonts w:cs="Times New Roman"/>
          <w:lang w:val="fr-CA"/>
        </w:rPr>
        <w:t>] « si les obligations environnementales de Redwater satisf[aisaient] au critère de la réclamation prouvable » (par. 73). Il était d’accord avec le juge siégeant en cabinet quant au respect du troisième volet du critère d’</w:t>
      </w:r>
      <w:r w:rsidRPr="00565B7B">
        <w:rPr>
          <w:rFonts w:cs="Times New Roman"/>
          <w:i/>
          <w:lang w:val="fr-CA"/>
        </w:rPr>
        <w:t>Abitibi</w:t>
      </w:r>
      <w:r w:rsidRPr="00565B7B">
        <w:rPr>
          <w:rFonts w:cs="Times New Roman"/>
          <w:lang w:val="fr-CA"/>
        </w:rPr>
        <w:t xml:space="preserve">, mais il a conclu que ce critère avait été respecté « tant sur le plan technique que sur le fond » (par. 76). Les politiques de l’organisme de réglementation ont essentiellement privé l’actif du failli d’une valeur suffisante pour respecter les obligations environnementales. Exiger le dépôt d’une garantie, ou détourner la valeur de l’actif du failli, répond clairement à la norme de « certitude ». Les politiques de l’organisme de réglementation exigeaient que la pleine valeur des biens du failli soit d’abord appliquée aux engagements environnementaux, créant ainsi une superpriorité pour les réclamations environnementales. Le juge Slatter a estimé que, « [n]onobstant leur effet prévu en tant que conditions associées aux permis, les politiques de l’organisme de réglementation ont eu un effet direct sur les biens, les priorités et le droit du Syndic de renoncer à des biens, qui étaient tous régis par la </w:t>
      </w:r>
      <w:r w:rsidRPr="005646ED">
        <w:rPr>
          <w:rFonts w:cs="Times New Roman"/>
          <w:i/>
          <w:lang w:val="fr-CA"/>
        </w:rPr>
        <w:t>LFI</w:t>
      </w:r>
      <w:r w:rsidRPr="00565B7B">
        <w:rPr>
          <w:rFonts w:cs="Times New Roman"/>
          <w:lang w:val="fr-CA"/>
        </w:rPr>
        <w:t> » (par. 86).</w:t>
      </w:r>
    </w:p>
    <w:p w:rsidR="00DF13E5" w:rsidRPr="00565B7B" w:rsidRDefault="00DF13E5" w:rsidP="00DF13E5">
      <w:pPr>
        <w:pStyle w:val="ParaNoNdepar-AltN"/>
        <w:rPr>
          <w:rFonts w:cs="Times New Roman"/>
          <w:lang w:val="fr-CA"/>
        </w:rPr>
      </w:pPr>
      <w:r w:rsidRPr="00565B7B">
        <w:rPr>
          <w:rFonts w:cs="Times New Roman"/>
          <w:lang w:val="fr-CA"/>
        </w:rPr>
        <w:lastRenderedPageBreak/>
        <w:t>Sur le plan de l’analyse constitutionnelle, le juge Slatter a conclu que le rôle de GTL en tant que « titulaire de permis » au sens de l’</w:t>
      </w:r>
      <w:r w:rsidRPr="005646ED">
        <w:rPr>
          <w:rFonts w:cs="Times New Roman"/>
          <w:i/>
          <w:lang w:val="fr-CA"/>
        </w:rPr>
        <w:t>OGCA</w:t>
      </w:r>
      <w:r w:rsidRPr="00565B7B">
        <w:rPr>
          <w:rFonts w:cs="Times New Roman"/>
          <w:lang w:val="fr-CA"/>
        </w:rPr>
        <w:t xml:space="preserve"> et de la </w:t>
      </w:r>
      <w:r w:rsidRPr="00565B7B">
        <w:rPr>
          <w:rFonts w:cs="Times New Roman"/>
          <w:i/>
          <w:lang w:val="fr-CA"/>
        </w:rPr>
        <w:t>Pipeline Act</w:t>
      </w:r>
      <w:r w:rsidRPr="00565B7B">
        <w:rPr>
          <w:rFonts w:cs="Times New Roman"/>
          <w:lang w:val="fr-CA"/>
        </w:rPr>
        <w:t xml:space="preserve"> était [</w:t>
      </w:r>
      <w:r w:rsidRPr="00565B7B">
        <w:rPr>
          <w:rFonts w:cs="Times New Roman"/>
          <w:smallCaps/>
          <w:lang w:val="fr-CA"/>
        </w:rPr>
        <w:t>traduction</w:t>
      </w:r>
      <w:r w:rsidRPr="00565B7B">
        <w:rPr>
          <w:rFonts w:cs="Times New Roman"/>
          <w:lang w:val="fr-CA"/>
        </w:rPr>
        <w:t xml:space="preserve">] « en conflit d’application avec les dispositions de la </w:t>
      </w:r>
      <w:r w:rsidRPr="005646ED">
        <w:rPr>
          <w:rFonts w:cs="Times New Roman"/>
          <w:i/>
          <w:lang w:val="fr-CA"/>
        </w:rPr>
        <w:t>LFI</w:t>
      </w:r>
      <w:r w:rsidRPr="00565B7B">
        <w:rPr>
          <w:rFonts w:cs="Times New Roman"/>
          <w:lang w:val="fr-CA"/>
        </w:rPr>
        <w:t xml:space="preserve"> » qui dégageaient les syndics de toute responsabilité personnelle, qui leur permettaient de renoncer à des biens et qui établissaient la priorité des réclamations environnementales (par. 89). Ce rôle entravait également la réalisation de l’objet de la </w:t>
      </w:r>
      <w:r w:rsidRPr="005646ED">
        <w:rPr>
          <w:rFonts w:cs="Times New Roman"/>
          <w:i/>
          <w:lang w:val="fr-CA"/>
        </w:rPr>
        <w:t xml:space="preserve">LFI </w:t>
      </w:r>
      <w:r w:rsidRPr="00565B7B">
        <w:rPr>
          <w:rFonts w:cs="Times New Roman"/>
          <w:lang w:val="fr-CA"/>
        </w:rPr>
        <w:t>consistant à « gérer la liquidation des sociétés insolvables et à régler la priorité des réclamations à leur encontre » (par. 89). Ainsi, l’organisme de réglementation ne pouvait pas « insister pour que le syndic consacre une partie substantielle de l’actif du failli à l’acquittement des réclamations environnementales, par priorité sur les réclamations du créancier garanti » (par. 91).</w:t>
      </w:r>
    </w:p>
    <w:p w:rsidR="00DF13E5" w:rsidRPr="007872F1" w:rsidRDefault="00DF13E5" w:rsidP="007872F1">
      <w:pPr>
        <w:pStyle w:val="Title4LevelTitre4Niveau"/>
        <w:numPr>
          <w:ilvl w:val="3"/>
          <w:numId w:val="40"/>
        </w:numPr>
        <w:rPr>
          <w:lang w:val="fr-CA"/>
        </w:rPr>
      </w:pPr>
      <w:r w:rsidRPr="007872F1">
        <w:rPr>
          <w:lang w:val="fr-CA"/>
        </w:rPr>
        <w:t xml:space="preserve">Les motifs dissidents </w:t>
      </w:r>
    </w:p>
    <w:p w:rsidR="00DF13E5" w:rsidRPr="00565B7B" w:rsidRDefault="00DF13E5" w:rsidP="00DF13E5">
      <w:pPr>
        <w:pStyle w:val="ParaNoNdepar-AltN"/>
        <w:rPr>
          <w:rFonts w:cs="Times New Roman"/>
          <w:lang w:val="fr-CA"/>
        </w:rPr>
      </w:pPr>
      <w:r w:rsidRPr="00565B7B">
        <w:rPr>
          <w:rFonts w:cs="Times New Roman"/>
          <w:lang w:val="fr-CA"/>
        </w:rPr>
        <w:t>La juge Martin a exprimé sa dissidence. Contrairement aux juges majoritaires, elle a souligné les dimensions constitutionnelles de l’affaire, en particulier la nécessité d’un fédéralisme coopératif dans le domaine de l’environnement, et a fait remarquer que la doctrine de la prépondérance devait être appliquée avec retenue. Elle a conclu que l’organisme de réglementation ne faisait pas valoir de réclamation prouvable au sens du critère d’</w:t>
      </w:r>
      <w:r w:rsidRPr="00565B7B">
        <w:rPr>
          <w:rFonts w:cs="Times New Roman"/>
          <w:i/>
          <w:lang w:val="fr-CA"/>
        </w:rPr>
        <w:t>Abitibi</w:t>
      </w:r>
      <w:r w:rsidRPr="00565B7B">
        <w:rPr>
          <w:rFonts w:cs="Times New Roman"/>
          <w:lang w:val="fr-CA"/>
        </w:rPr>
        <w:t>. Il ne suffisait pas qu’une ordonnance réglementaire soit [</w:t>
      </w:r>
      <w:r w:rsidRPr="00565B7B">
        <w:rPr>
          <w:rFonts w:cs="Times New Roman"/>
          <w:smallCaps/>
          <w:lang w:val="fr-CA"/>
        </w:rPr>
        <w:t>traduction</w:t>
      </w:r>
      <w:r w:rsidRPr="00565B7B">
        <w:rPr>
          <w:rFonts w:cs="Times New Roman"/>
          <w:lang w:val="fr-CA"/>
        </w:rPr>
        <w:t xml:space="preserve">] « intrinsèquement financière » pour qu’il s’agisse d’une réclamation prouvable en matière de faillite (par. 185, citant les motifs du juge siégeant en cabinet, par. 173). Il n’était pas suffisamment certain que les travaux d’abandon ordonnés soient accomplis, soit par l’organisme de réglementation soit par l’OWA, et il n’y avait « aucune certitude qu’une demande de remboursement soit </w:t>
      </w:r>
      <w:r w:rsidRPr="00565B7B">
        <w:rPr>
          <w:rFonts w:cs="Times New Roman"/>
          <w:lang w:val="fr-CA"/>
        </w:rPr>
        <w:lastRenderedPageBreak/>
        <w:t>présentée » (par. 184). La juge Martin estimait elle aussi que l’organisme de réglementation n’était pas un créancier de Redwater — ou, s’il était un créancier au moment de rendre les ordonnances d’abandon, il ne l’était pas dans l’application des conditions de transfert des permis. L’organisme de réglementation devait être en mesure de conserver la maîtrise du transfert des permis pendant une faillite, et il n’y avait aucune raison pour que de telles exigences réglementaires ne puissent pas coexister avec le partage de l’actif du failli.</w:t>
      </w:r>
    </w:p>
    <w:p w:rsidR="00DF13E5" w:rsidRPr="00565B7B" w:rsidRDefault="00DF13E5" w:rsidP="00DF13E5">
      <w:pPr>
        <w:pStyle w:val="ParaNoNdepar-AltN"/>
        <w:rPr>
          <w:rFonts w:cs="Times New Roman"/>
          <w:lang w:val="fr-CA"/>
        </w:rPr>
      </w:pPr>
      <w:r w:rsidRPr="00565B7B">
        <w:rPr>
          <w:rFonts w:cs="Times New Roman"/>
          <w:lang w:val="fr-CA"/>
        </w:rPr>
        <w:t>En ce qui concerne l’article 14.06, la juge Martin a retenu l’argument de l’organisme de réglementation selon lequel le par. 14.06(4) permettait à un syndic de renoncer aux biens réels afin d’éviter d’engager sa responsabilité personnelle, mais n’empêchait pas que l’on se serve des éléments de l’actif du failli pour se conformer aux obligations environnementales. Cependant, elle est allée plus loin. Selon elle, les par. 14.06(4) à (8) ont été adoptés ensemble à titre de compromis d’ordre législatif. La juge Martin a conclu que le pouvoir du syndic de renoncer aux biens en vertu de l’art. 14.06 n’était tout simplement pas applicable dans le régime de réglementation de l’Alberta. La faculté de renoncer en vertu du par. 14.06(4) devait être interprétée en corrélation avec l’autre moitié du compromis, la superpriorité de la Couronne sur les biens réels du débiteur établie par le par. 14.06(7). Les conditions relatives aux permis n’étaient pas le genre d’« ordonnance » envisagé par le par. 14.06(4), ni les permis le genre de « bien réel » envisagé par cette disposition. L’équilibre atteint par l’art. 14.06 n’était pas solide lorsqu’il n’y avait pas de [</w:t>
      </w:r>
      <w:r w:rsidRPr="00565B7B">
        <w:rPr>
          <w:rFonts w:cs="Times New Roman"/>
          <w:smallCaps/>
          <w:lang w:val="fr-CA"/>
        </w:rPr>
        <w:t>traduction</w:t>
      </w:r>
      <w:r w:rsidRPr="00565B7B">
        <w:rPr>
          <w:rFonts w:cs="Times New Roman"/>
          <w:lang w:val="fr-CA"/>
        </w:rPr>
        <w:t>] « bien réel du débiteur » à l’égard duquel la Couronne pouvait prendre une superpriorité (par. 210).</w:t>
      </w:r>
    </w:p>
    <w:p w:rsidR="00DF13E5" w:rsidRPr="00565B7B" w:rsidRDefault="00DF13E5" w:rsidP="00DF13E5">
      <w:pPr>
        <w:pStyle w:val="ParaNoNdepar-AltN"/>
        <w:rPr>
          <w:rFonts w:cs="Times New Roman"/>
          <w:lang w:val="fr-CA"/>
        </w:rPr>
      </w:pPr>
      <w:r w:rsidRPr="00565B7B">
        <w:rPr>
          <w:rFonts w:cs="Times New Roman"/>
          <w:lang w:val="fr-CA"/>
        </w:rPr>
        <w:lastRenderedPageBreak/>
        <w:t xml:space="preserve">Comme il n’y avait aucun droit, aux termes de la </w:t>
      </w:r>
      <w:r w:rsidRPr="005646ED">
        <w:rPr>
          <w:rFonts w:cs="Times New Roman"/>
          <w:i/>
          <w:lang w:val="fr-CA"/>
        </w:rPr>
        <w:t>LFI</w:t>
      </w:r>
      <w:r w:rsidRPr="00565B7B">
        <w:rPr>
          <w:rFonts w:cs="Times New Roman"/>
          <w:lang w:val="fr-CA"/>
        </w:rPr>
        <w:t xml:space="preserve">, de renoncer aux obligations de fin de vie imposées par le régime de réglementation </w:t>
      </w:r>
      <w:r w:rsidR="009C5633">
        <w:rPr>
          <w:rFonts w:cs="Times New Roman"/>
          <w:lang w:val="fr-CA"/>
        </w:rPr>
        <w:t>[</w:t>
      </w:r>
      <w:r w:rsidRPr="00565B7B">
        <w:rPr>
          <w:rFonts w:cs="Times New Roman"/>
          <w:lang w:val="fr-CA"/>
        </w:rPr>
        <w:t>de l’Alberta</w:t>
      </w:r>
      <w:r w:rsidR="009C5633">
        <w:rPr>
          <w:rFonts w:cs="Times New Roman"/>
          <w:lang w:val="fr-CA"/>
        </w:rPr>
        <w:t>]</w:t>
      </w:r>
      <w:r w:rsidRPr="00565B7B">
        <w:rPr>
          <w:rFonts w:cs="Times New Roman"/>
          <w:lang w:val="fr-CA"/>
        </w:rPr>
        <w:t>, aucun conflit d’application ne résultait de l’exécution de ces obligations sous le régime du droit provincial. Et il n’existait pas non plus d’entrave à la réalisation d’un objet fédéral. L’organisme de réglementation ne faisait valoir aucune réclamation prouvable en matière de faillite : [</w:t>
      </w:r>
      <w:r w:rsidRPr="00565B7B">
        <w:rPr>
          <w:rFonts w:cs="Times New Roman"/>
          <w:smallCaps/>
          <w:lang w:val="fr-CA"/>
        </w:rPr>
        <w:t>traduction</w:t>
      </w:r>
      <w:r w:rsidRPr="00565B7B">
        <w:rPr>
          <w:rFonts w:cs="Times New Roman"/>
          <w:lang w:val="fr-CA"/>
        </w:rPr>
        <w:t xml:space="preserve">] « L’application continue du régime de réglementation </w:t>
      </w:r>
      <w:r w:rsidR="005646ED">
        <w:rPr>
          <w:rFonts w:cs="Times New Roman"/>
          <w:lang w:val="fr-CA"/>
        </w:rPr>
        <w:t>[</w:t>
      </w:r>
      <w:r w:rsidRPr="00565B7B">
        <w:rPr>
          <w:rFonts w:cs="Times New Roman"/>
          <w:lang w:val="fr-CA"/>
        </w:rPr>
        <w:t>de l’Alberta</w:t>
      </w:r>
      <w:r w:rsidR="005646ED">
        <w:rPr>
          <w:rFonts w:cs="Times New Roman"/>
          <w:lang w:val="fr-CA"/>
        </w:rPr>
        <w:t>]</w:t>
      </w:r>
      <w:r w:rsidRPr="00565B7B">
        <w:rPr>
          <w:rFonts w:cs="Times New Roman"/>
          <w:lang w:val="fr-CA"/>
        </w:rPr>
        <w:t xml:space="preserve"> après la faillite n’a pas fixé ou réarrangé les priorités parmi les créanciers, mais a plutôt donné lieu à une évaluation juste des biens pouvant être répartis » (par. 240).</w:t>
      </w:r>
    </w:p>
    <w:p w:rsidR="00DF13E5" w:rsidRPr="00565B7B" w:rsidRDefault="00DF13E5" w:rsidP="00DF13E5">
      <w:pPr>
        <w:pStyle w:val="Title1LevelTitre1Niveau-AltL"/>
        <w:tabs>
          <w:tab w:val="clear" w:pos="576"/>
          <w:tab w:val="num" w:pos="432"/>
        </w:tabs>
        <w:ind w:left="432" w:hanging="432"/>
        <w:jc w:val="left"/>
        <w:rPr>
          <w:rFonts w:cs="Times New Roman"/>
          <w:lang w:val="fr-CA"/>
        </w:rPr>
      </w:pPr>
      <w:r w:rsidRPr="00565B7B">
        <w:rPr>
          <w:rFonts w:cs="Times New Roman"/>
          <w:lang w:val="fr-CA"/>
        </w:rPr>
        <w:t>Analyse</w:t>
      </w:r>
    </w:p>
    <w:p w:rsidR="00DF13E5" w:rsidRPr="00565B7B" w:rsidRDefault="00DF13E5" w:rsidP="00DF13E5">
      <w:pPr>
        <w:pStyle w:val="Title2LevelTitre2Niveau"/>
        <w:tabs>
          <w:tab w:val="clear" w:pos="576"/>
          <w:tab w:val="num" w:pos="432"/>
        </w:tabs>
        <w:ind w:left="432" w:hanging="432"/>
        <w:jc w:val="left"/>
        <w:outlineLvl w:val="0"/>
        <w:rPr>
          <w:rFonts w:cs="Times New Roman"/>
          <w:lang w:val="fr-CA"/>
        </w:rPr>
      </w:pPr>
      <w:r w:rsidRPr="00565B7B">
        <w:rPr>
          <w:rFonts w:cs="Times New Roman"/>
          <w:lang w:val="fr-CA"/>
        </w:rPr>
        <w:t xml:space="preserve">La doctrine de la prépondérance fédérale </w:t>
      </w:r>
    </w:p>
    <w:p w:rsidR="00DF13E5" w:rsidRPr="00565B7B" w:rsidRDefault="00DF13E5" w:rsidP="00DF13E5">
      <w:pPr>
        <w:pStyle w:val="ParaNoNdepar-AltN"/>
        <w:rPr>
          <w:rFonts w:cs="Times New Roman"/>
          <w:lang w:val="fr-CA"/>
        </w:rPr>
      </w:pPr>
      <w:r w:rsidRPr="00565B7B">
        <w:rPr>
          <w:rFonts w:cs="Times New Roman"/>
          <w:lang w:val="fr-CA"/>
        </w:rPr>
        <w:t>Comme je l’ai expliqué, la législation albertaine accorde à l’organisme de réglementation des pouvoirs étendus pour s’assurer que les sociétés qui ont obtenu des permis d’exploitation dans l’industrie pétrolière et gazière de l’Alberta abandonneront, de façon appropriée et sécuritaire, les puits de pétrole, installations et pipelines à la fin de leur vie productive, et remettront en état leurs sites. GTL cherche à éviter d’être assujetti à deux de ces pouvoirs : celui d’ordonner à Redwater d’abandonner les biens faisant l’objet de la renonciation et celui de refuser de permettre le transfert des permis relatifs aux biens conservés à cause du non</w:t>
      </w:r>
      <w:r w:rsidRPr="00565B7B">
        <w:rPr>
          <w:rFonts w:cs="Times New Roman"/>
          <w:lang w:val="fr-CA"/>
        </w:rPr>
        <w:noBreakHyphen/>
        <w:t xml:space="preserve">respect des exigences relatives à la CGR. Il s’agit là sans aucun doute de pouvoirs réglementaires valables accordés à l’organisme de réglementation par une loi albertaine valide. GTL cherche à éviter leur application au cours de la faillite en invoquant la doctrine de la prépondérance fédérale, selon laquelle la loi de l’Alberta habilitant l’organisme de réglementation à utiliser les </w:t>
      </w:r>
      <w:r w:rsidRPr="00565B7B">
        <w:rPr>
          <w:rFonts w:cs="Times New Roman"/>
          <w:lang w:val="fr-CA"/>
        </w:rPr>
        <w:lastRenderedPageBreak/>
        <w:t xml:space="preserve">pouvoirs qui sont en litige dans le cadre du présent pourvoi est inopérante dans la mesure où son exercice de ces pouvoirs pendant la faillite entre en conflit avec la </w:t>
      </w:r>
      <w:r w:rsidRPr="005646ED">
        <w:rPr>
          <w:rFonts w:cs="Times New Roman"/>
          <w:i/>
          <w:lang w:val="fr-CA"/>
        </w:rPr>
        <w:t>LFI</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Les questions en litige dans le présent pourvoi découlent de ce qu’on a appelé [</w:t>
      </w:r>
      <w:r w:rsidRPr="00565B7B">
        <w:rPr>
          <w:rFonts w:cs="Times New Roman"/>
          <w:smallCaps/>
          <w:lang w:val="fr-CA"/>
        </w:rPr>
        <w:t>traduction</w:t>
      </w:r>
      <w:r w:rsidRPr="00565B7B">
        <w:rPr>
          <w:rFonts w:cs="Times New Roman"/>
          <w:lang w:val="fr-CA"/>
        </w:rPr>
        <w:t>] l’« intersection désordonnée » de la législation provinciale sur l’environnement et de la législation fédérale sur l’insolvabilité (</w:t>
      </w:r>
      <w:r w:rsidRPr="00565B7B">
        <w:rPr>
          <w:rFonts w:cs="Times New Roman"/>
          <w:i/>
          <w:lang w:val="fr-CA"/>
        </w:rPr>
        <w:t>Nortel Networks Corp., Re</w:t>
      </w:r>
      <w:r w:rsidRPr="00565B7B">
        <w:rPr>
          <w:rFonts w:cs="Times New Roman"/>
          <w:lang w:val="fr-CA"/>
        </w:rPr>
        <w:t xml:space="preserve">, 2012 ONSC 1213, 88 C.B.R. (5th) 111, par. 8). Les questions de prépondérance se posent souvent dans le contexte de l’insolvabilité. Étant donné la nature procédurale de la </w:t>
      </w:r>
      <w:r w:rsidRPr="005646ED">
        <w:rPr>
          <w:rFonts w:cs="Times New Roman"/>
          <w:i/>
          <w:lang w:val="fr-CA"/>
        </w:rPr>
        <w:t>LFI</w:t>
      </w:r>
      <w:r w:rsidRPr="00565B7B">
        <w:rPr>
          <w:rFonts w:cs="Times New Roman"/>
          <w:lang w:val="fr-CA"/>
        </w:rPr>
        <w:t xml:space="preserve">, le régime de faillite repose en grande partie sur l’application continue des lois provinciales. Toutefois, le par. 72(1) de la </w:t>
      </w:r>
      <w:r w:rsidRPr="005646ED">
        <w:rPr>
          <w:rFonts w:cs="Times New Roman"/>
          <w:i/>
          <w:lang w:val="fr-CA"/>
        </w:rPr>
        <w:t>LFI</w:t>
      </w:r>
      <w:r w:rsidRPr="00565B7B">
        <w:rPr>
          <w:rFonts w:cs="Times New Roman"/>
          <w:lang w:val="fr-CA"/>
        </w:rPr>
        <w:t xml:space="preserve"> confirme qu’en cas de conflit véritable entre les lois provinciales concernant la propriété et les droits civils et la législation fédérale sur la faillite, la </w:t>
      </w:r>
      <w:r w:rsidRPr="005646ED">
        <w:rPr>
          <w:rFonts w:cs="Times New Roman"/>
          <w:i/>
          <w:lang w:val="fr-CA"/>
        </w:rPr>
        <w:t>LFI</w:t>
      </w:r>
      <w:r w:rsidRPr="00565B7B">
        <w:rPr>
          <w:rFonts w:cs="Times New Roman"/>
          <w:lang w:val="fr-CA"/>
        </w:rPr>
        <w:t xml:space="preserve"> l’emporte (voir </w:t>
      </w:r>
      <w:r w:rsidRPr="00565B7B">
        <w:rPr>
          <w:rFonts w:cs="Times New Roman"/>
          <w:i/>
          <w:lang w:val="fr-CA"/>
        </w:rPr>
        <w:t>Moloney</w:t>
      </w:r>
      <w:r w:rsidRPr="00565B7B">
        <w:rPr>
          <w:rFonts w:cs="Times New Roman"/>
          <w:lang w:val="fr-CA"/>
        </w:rPr>
        <w:t xml:space="preserve">, par. 40). En d’autres termes, la faillite est issue de la propriété et des droits civils, mais elle en fait toujours partie conceptuellement. Les lois provinciales valides d’application générale continuent de s’appliquer dans le domaine de la faillite jusqu’à ce que le Parlement légifère en vertu de sa compétence exclusive en matière de faillite et d’insolvabilité. La loi provinciale devient alors inopérante dans la mesure du conflit (voir </w:t>
      </w:r>
      <w:r w:rsidRPr="00565B7B">
        <w:rPr>
          <w:rFonts w:cs="Times New Roman"/>
          <w:i/>
          <w:lang w:val="fr-CA"/>
        </w:rPr>
        <w:t>Husky Oil Operations Ltd. c. Ministre du Revenu national</w:t>
      </w:r>
      <w:r w:rsidRPr="00565B7B">
        <w:rPr>
          <w:rFonts w:cs="Times New Roman"/>
          <w:lang w:val="fr-CA"/>
        </w:rPr>
        <w:t>, [1995] 3 R.C.S. 453, par. 3).</w:t>
      </w:r>
    </w:p>
    <w:p w:rsidR="00DF13E5" w:rsidRPr="00565B7B" w:rsidRDefault="00DF13E5" w:rsidP="00DF13E5">
      <w:pPr>
        <w:pStyle w:val="ParaNoNdepar-AltN"/>
        <w:rPr>
          <w:rFonts w:cs="Times New Roman"/>
          <w:lang w:val="fr-CA"/>
        </w:rPr>
      </w:pPr>
      <w:r w:rsidRPr="00565B7B">
        <w:rPr>
          <w:rFonts w:cs="Times New Roman"/>
          <w:lang w:val="fr-CA"/>
        </w:rPr>
        <w:t xml:space="preserve">Au fil du temps, deux formes distinctes de conflit ont été reconnues. La première est le </w:t>
      </w:r>
      <w:r w:rsidRPr="00565B7B">
        <w:rPr>
          <w:rFonts w:cs="Times New Roman"/>
          <w:i/>
          <w:lang w:val="fr-CA"/>
        </w:rPr>
        <w:t>conflit d’application</w:t>
      </w:r>
      <w:r w:rsidRPr="00565B7B">
        <w:rPr>
          <w:rFonts w:cs="Times New Roman"/>
          <w:lang w:val="fr-CA"/>
        </w:rPr>
        <w:t>, qui survient lorsqu’il est impossible de se conformer en même temps à une loi fédérale valide et à une loi provinciale valide. Il y a conflit d’application lorsqu’« une loi dit “oui” et l’autre dit “non”, de sorte que “l’observance de l’une entraîne l’inobservance de l’autre” » (</w:t>
      </w:r>
      <w:r w:rsidRPr="00565B7B">
        <w:rPr>
          <w:rFonts w:cs="Times New Roman"/>
          <w:i/>
          <w:lang w:val="fr-CA"/>
        </w:rPr>
        <w:t>Saskatchewan (Procureur général) c. Lemare Lake Logging Ltd.</w:t>
      </w:r>
      <w:r w:rsidRPr="00565B7B">
        <w:rPr>
          <w:rFonts w:cs="Times New Roman"/>
          <w:lang w:val="fr-CA"/>
        </w:rPr>
        <w:t xml:space="preserve">, 2015 CSC 53, [2015] 3 R.C.S. 419, par. 18, </w:t>
      </w:r>
      <w:r w:rsidRPr="00565B7B">
        <w:rPr>
          <w:rFonts w:cs="Times New Roman"/>
          <w:lang w:val="fr-CA"/>
        </w:rPr>
        <w:lastRenderedPageBreak/>
        <w:t xml:space="preserve">citant </w:t>
      </w:r>
      <w:r w:rsidRPr="00565B7B">
        <w:rPr>
          <w:rFonts w:cs="Times New Roman"/>
          <w:i/>
          <w:lang w:val="fr-CA"/>
        </w:rPr>
        <w:t>Multiple Access Ltd. c. McCutcheon</w:t>
      </w:r>
      <w:r w:rsidRPr="00565B7B">
        <w:rPr>
          <w:rFonts w:cs="Times New Roman"/>
          <w:lang w:val="fr-CA"/>
        </w:rPr>
        <w:t>, [1982] 2 R.C.S. 161, p. 191). La seconde est l’</w:t>
      </w:r>
      <w:r w:rsidRPr="00565B7B">
        <w:rPr>
          <w:rFonts w:cs="Times New Roman"/>
          <w:i/>
          <w:lang w:val="fr-CA"/>
        </w:rPr>
        <w:t>entrave à la réalisation d’un</w:t>
      </w:r>
      <w:r w:rsidRPr="00565B7B">
        <w:rPr>
          <w:rFonts w:cs="Times New Roman"/>
          <w:lang w:val="fr-CA"/>
        </w:rPr>
        <w:t xml:space="preserve"> </w:t>
      </w:r>
      <w:r w:rsidRPr="00565B7B">
        <w:rPr>
          <w:rFonts w:cs="Times New Roman"/>
          <w:i/>
          <w:lang w:val="fr-CA"/>
        </w:rPr>
        <w:t>objet fédéral</w:t>
      </w:r>
      <w:r w:rsidRPr="00565B7B">
        <w:rPr>
          <w:rFonts w:cs="Times New Roman"/>
          <w:lang w:val="fr-CA"/>
        </w:rPr>
        <w:t>, qui se produit lorsque l’application d’une loi provinciale valide est incompatible avec l’objet d’une loi fédérale. L’effet d’une loi provinciale peut contrecarrer la réalisation de l’objet de la loi fédérale, « sans toutefois entraîner une violation directe de ses dispositions » (</w:t>
      </w:r>
      <w:r w:rsidRPr="00565B7B">
        <w:rPr>
          <w:rFonts w:cs="Times New Roman"/>
          <w:i/>
          <w:lang w:val="fr-CA"/>
        </w:rPr>
        <w:t>Banque canadienne de l’Ouest c. Alberta</w:t>
      </w:r>
      <w:r w:rsidRPr="00565B7B">
        <w:rPr>
          <w:rFonts w:cs="Times New Roman"/>
          <w:lang w:val="fr-CA"/>
        </w:rPr>
        <w:t>, 2007 CSC 22, [2007] 2 R.C.S. 3, par. 73). La partie qui invoque l’entrave à la réalisation d’un objet fédéral « doit d’abord établir l’objet de la loi fédérale pertinente et ensuite prouver que la loi provinciale est incompatible avec cet objet » (</w:t>
      </w:r>
      <w:r w:rsidRPr="00565B7B">
        <w:rPr>
          <w:rFonts w:cs="Times New Roman"/>
          <w:i/>
          <w:lang w:val="fr-CA"/>
        </w:rPr>
        <w:t>Lemare</w:t>
      </w:r>
      <w:r w:rsidRPr="00565B7B">
        <w:rPr>
          <w:rFonts w:cs="Times New Roman"/>
          <w:lang w:val="fr-CA"/>
        </w:rPr>
        <w:t xml:space="preserve">, par. 26, citant </w:t>
      </w:r>
      <w:r w:rsidRPr="00565B7B">
        <w:rPr>
          <w:rFonts w:cs="Times New Roman"/>
          <w:i/>
          <w:lang w:val="fr-CA"/>
        </w:rPr>
        <w:t>Québec (Procureur général) c.</w:t>
      </w:r>
      <w:r w:rsidRPr="00565B7B">
        <w:rPr>
          <w:rFonts w:cs="Times New Roman"/>
          <w:lang w:val="fr-CA"/>
        </w:rPr>
        <w:t xml:space="preserve"> </w:t>
      </w:r>
      <w:r w:rsidRPr="00565B7B">
        <w:rPr>
          <w:rFonts w:cs="Times New Roman"/>
          <w:i/>
          <w:lang w:val="fr-CA"/>
        </w:rPr>
        <w:t>Canadian Owners and Pilots Association</w:t>
      </w:r>
      <w:r w:rsidRPr="00565B7B">
        <w:rPr>
          <w:rFonts w:cs="Times New Roman"/>
          <w:lang w:val="fr-CA"/>
        </w:rPr>
        <w:t>, 2010 CSC 39, [2010] 2 R.C.S. 536, par. 66).</w:t>
      </w:r>
    </w:p>
    <w:p w:rsidR="00DF13E5" w:rsidRPr="00565B7B" w:rsidRDefault="00DF13E5" w:rsidP="00DF13E5">
      <w:pPr>
        <w:pStyle w:val="ParaNoNdepar-AltN"/>
        <w:rPr>
          <w:rFonts w:cs="Times New Roman"/>
          <w:lang w:val="fr-CA"/>
        </w:rPr>
      </w:pPr>
      <w:r w:rsidRPr="00565B7B">
        <w:rPr>
          <w:rFonts w:cs="Times New Roman"/>
          <w:lang w:val="fr-CA"/>
        </w:rPr>
        <w:t>Aux deux volets de la prépondérance, la charge de la preuve incombe à la partie qui allègue l’existence du conflit. Il n’est pas facile de s’en acquitter, puisque la doctrine de la prépondérance doit être appliquée avec retenue. Le conflit doit être défini de façon étroite pour que chaque ordre de gouvernement puisse agir aussi librement que possible dans sa sphère de compétence constitutionnelle respective. « [L]es tribunaux doiv</w:t>
      </w:r>
      <w:r w:rsidR="009C5633">
        <w:rPr>
          <w:rFonts w:cs="Times New Roman"/>
          <w:lang w:val="fr-CA"/>
        </w:rPr>
        <w:t>ent donner aux lois provinciale</w:t>
      </w:r>
      <w:r w:rsidRPr="00565B7B">
        <w:rPr>
          <w:rFonts w:cs="Times New Roman"/>
          <w:lang w:val="fr-CA"/>
        </w:rPr>
        <w:t xml:space="preserve"> et fédérale une interprétation harmonieuse plutôt qu’une interprétation qui donne lieu à une incompatibilité [. . .] [e]n l’absence </w:t>
      </w:r>
      <w:r w:rsidRPr="00565B7B">
        <w:rPr>
          <w:rFonts w:cs="Times New Roman"/>
          <w:lang w:val="fr-FR"/>
        </w:rPr>
        <w:t>d’un texte législatif</w:t>
      </w:r>
      <w:r w:rsidR="009C5633">
        <w:rPr>
          <w:rFonts w:cs="Times New Roman"/>
          <w:lang w:val="fr-FR"/>
        </w:rPr>
        <w:t xml:space="preserve"> </w:t>
      </w:r>
      <w:r w:rsidRPr="00565B7B">
        <w:rPr>
          <w:rFonts w:cs="Times New Roman"/>
          <w:lang w:val="fr-FR"/>
        </w:rPr>
        <w:t>“clair” à cet effet » (</w:t>
      </w:r>
      <w:r w:rsidRPr="00565B7B">
        <w:rPr>
          <w:rFonts w:cs="Times New Roman"/>
          <w:i/>
          <w:lang w:val="fr-FR"/>
        </w:rPr>
        <w:t>Lemare</w:t>
      </w:r>
      <w:r w:rsidRPr="00565B7B">
        <w:rPr>
          <w:rFonts w:cs="Times New Roman"/>
          <w:lang w:val="fr-FR"/>
        </w:rPr>
        <w:t>, par. 21 et 27). « </w:t>
      </w:r>
      <w:r w:rsidRPr="00565B7B">
        <w:rPr>
          <w:rFonts w:cs="Times New Roman"/>
          <w:lang w:val="fr-CA"/>
        </w:rPr>
        <w:t>On présume</w:t>
      </w:r>
      <w:r w:rsidR="009C5633">
        <w:rPr>
          <w:rFonts w:cs="Times New Roman"/>
          <w:lang w:val="fr-CA"/>
        </w:rPr>
        <w:t xml:space="preserve"> </w:t>
      </w:r>
      <w:r w:rsidRPr="00565B7B">
        <w:rPr>
          <w:rFonts w:cs="Times New Roman"/>
          <w:lang w:val="fr-CA"/>
        </w:rPr>
        <w:t>que le Parlement a l’intention de faire coexister ses lois avec les lois provinciales » (</w:t>
      </w:r>
      <w:r w:rsidRPr="00565B7B">
        <w:rPr>
          <w:rFonts w:cs="Times New Roman"/>
          <w:i/>
          <w:lang w:val="fr-CA"/>
        </w:rPr>
        <w:t>Moloney</w:t>
      </w:r>
      <w:r w:rsidRPr="00565B7B">
        <w:rPr>
          <w:rFonts w:cs="Times New Roman"/>
          <w:lang w:val="fr-CA"/>
        </w:rPr>
        <w:t xml:space="preserve">, par. 27). Comme le conclut notre Cour aux par. 22 et 23 de l’arrêt </w:t>
      </w:r>
      <w:r w:rsidRPr="00565B7B">
        <w:rPr>
          <w:rFonts w:cs="Times New Roman"/>
          <w:i/>
          <w:lang w:val="fr-CA"/>
        </w:rPr>
        <w:t>Lemare</w:t>
      </w:r>
      <w:r w:rsidRPr="00565B7B">
        <w:rPr>
          <w:rFonts w:cs="Times New Roman"/>
          <w:lang w:val="fr-CA"/>
        </w:rPr>
        <w:t xml:space="preserve">, l’application de la doctrine de la prépondérance devrait également tenir dûment compte du principe du fédéralisme coopératif. Ce principe permet l’interaction ainsi que le chevauchement entre les lois fédérales et provinciales. Bien que le fédéralisme coopératif n’impose pas de limites à l’exercice par ailleurs valide du pouvoir législatif, </w:t>
      </w:r>
      <w:r w:rsidRPr="00565B7B">
        <w:rPr>
          <w:rFonts w:cs="Times New Roman"/>
          <w:lang w:val="fr-CA"/>
        </w:rPr>
        <w:lastRenderedPageBreak/>
        <w:t>cela signifie que les tribunaux devraient éviter de donner à l’objet de la loi fédérale une interprétation large qui le mettrait en conflit avec la loi provinciale.</w:t>
      </w:r>
    </w:p>
    <w:p w:rsidR="00DF13E5" w:rsidRPr="00565B7B" w:rsidRDefault="00DF13E5" w:rsidP="00DF13E5">
      <w:pPr>
        <w:pStyle w:val="ParaNoNdepar-AltN"/>
        <w:rPr>
          <w:rFonts w:cs="Times New Roman"/>
          <w:lang w:val="fr-CA"/>
        </w:rPr>
      </w:pPr>
      <w:r w:rsidRPr="00565B7B">
        <w:rPr>
          <w:rFonts w:cs="Times New Roman"/>
          <w:lang w:val="fr-CA"/>
        </w:rPr>
        <w:t xml:space="preserve">La jurisprudence a établi que la </w:t>
      </w:r>
      <w:r w:rsidRPr="005646ED">
        <w:rPr>
          <w:rFonts w:cs="Times New Roman"/>
          <w:i/>
          <w:lang w:val="fr-CA"/>
        </w:rPr>
        <w:t xml:space="preserve">LFI </w:t>
      </w:r>
      <w:r w:rsidRPr="00565B7B">
        <w:rPr>
          <w:rFonts w:cs="Times New Roman"/>
          <w:lang w:val="fr-CA"/>
        </w:rPr>
        <w:t>dans son ensemble est censée favoriser l’atteinte de « deux objectifs : le partage équitable des biens du failli entre ses créanciers et la réhabilitation financière du failli » (</w:t>
      </w:r>
      <w:r w:rsidRPr="00565B7B">
        <w:rPr>
          <w:rFonts w:cs="Times New Roman"/>
          <w:i/>
          <w:lang w:val="fr-CA"/>
        </w:rPr>
        <w:t>Moloney</w:t>
      </w:r>
      <w:r w:rsidRPr="00565B7B">
        <w:rPr>
          <w:rFonts w:cs="Times New Roman"/>
          <w:lang w:val="fr-CA"/>
        </w:rPr>
        <w:t xml:space="preserve">, par. 32, citant </w:t>
      </w:r>
      <w:r w:rsidRPr="00565B7B">
        <w:rPr>
          <w:rFonts w:cs="Times New Roman"/>
          <w:i/>
          <w:lang w:val="fr-CA"/>
        </w:rPr>
        <w:t>Husky Oil</w:t>
      </w:r>
      <w:r w:rsidRPr="00565B7B">
        <w:rPr>
          <w:rFonts w:cs="Times New Roman"/>
          <w:lang w:val="fr-CA"/>
        </w:rPr>
        <w:t>, par. 7). En l’espèce, la faillie est une société qui ne s’extirpera jamais de la faillite. Donc, seul le premier objectif est pertinent. Comme je vais l’expliquer ci</w:t>
      </w:r>
      <w:r w:rsidRPr="00565B7B">
        <w:rPr>
          <w:rFonts w:cs="Times New Roman"/>
          <w:lang w:val="fr-CA"/>
        </w:rPr>
        <w:noBreakHyphen/>
        <w:t xml:space="preserve">dessous, le juge siégeant en cabinet a également affirmé que l’objet de l’art. 14.06 se distinguait des objets plus larges de la </w:t>
      </w:r>
      <w:r w:rsidRPr="005646ED">
        <w:rPr>
          <w:rFonts w:cs="Times New Roman"/>
          <w:i/>
          <w:lang w:val="fr-CA"/>
        </w:rPr>
        <w:t>LFI</w:t>
      </w:r>
      <w:r w:rsidRPr="00565B7B">
        <w:rPr>
          <w:rFonts w:cs="Times New Roman"/>
          <w:lang w:val="fr-CA"/>
        </w:rPr>
        <w:t xml:space="preserve">. Notre Cour a analysé l’objet de certaines dispositions de la </w:t>
      </w:r>
      <w:r w:rsidRPr="005646ED">
        <w:rPr>
          <w:rFonts w:cs="Times New Roman"/>
          <w:i/>
          <w:lang w:val="fr-CA"/>
        </w:rPr>
        <w:t xml:space="preserve">LFI </w:t>
      </w:r>
      <w:r w:rsidRPr="00565B7B">
        <w:rPr>
          <w:rFonts w:cs="Times New Roman"/>
          <w:lang w:val="fr-CA"/>
        </w:rPr>
        <w:t xml:space="preserve">dans des décisions antérieures (voir, par exemple, </w:t>
      </w:r>
      <w:r w:rsidRPr="00565B7B">
        <w:rPr>
          <w:rFonts w:cs="Times New Roman"/>
          <w:i/>
          <w:lang w:val="fr-CA"/>
        </w:rPr>
        <w:t>Lemare</w:t>
      </w:r>
      <w:r w:rsidRPr="00565B7B">
        <w:rPr>
          <w:rFonts w:cs="Times New Roman"/>
          <w:lang w:val="fr-CA"/>
        </w:rPr>
        <w:t xml:space="preserve">, par. 45). </w:t>
      </w:r>
    </w:p>
    <w:p w:rsidR="00DF13E5" w:rsidRPr="00565B7B" w:rsidRDefault="00DF13E5" w:rsidP="00DF13E5">
      <w:pPr>
        <w:pStyle w:val="ParaNoNdepar-AltN"/>
        <w:rPr>
          <w:rFonts w:cs="Times New Roman"/>
          <w:lang w:val="fr-CA"/>
        </w:rPr>
      </w:pPr>
      <w:r w:rsidRPr="00565B7B">
        <w:rPr>
          <w:rFonts w:cs="Times New Roman"/>
          <w:lang w:val="fr-CA"/>
        </w:rPr>
        <w:t xml:space="preserve">GTL a relevé deux conflits entre la législation albertaine établissant les pouvoirs contestés de l’organisme de réglementation pendant la faillite et la </w:t>
      </w:r>
      <w:r w:rsidRPr="001323EE">
        <w:rPr>
          <w:rFonts w:cs="Times New Roman"/>
          <w:i/>
          <w:lang w:val="fr-CA"/>
        </w:rPr>
        <w:t>LFI</w:t>
      </w:r>
      <w:r w:rsidRPr="00565B7B">
        <w:rPr>
          <w:rFonts w:cs="Times New Roman"/>
          <w:lang w:val="fr-CA"/>
        </w:rPr>
        <w:t>, et l’un ou l’autre aurait constitué, selon lui, un fondement suffisant pour l’ordonnance rendue par le juge siégeant en cabinet.</w:t>
      </w:r>
    </w:p>
    <w:p w:rsidR="00DF13E5" w:rsidRPr="00565B7B" w:rsidRDefault="00DF13E5" w:rsidP="00DF13E5">
      <w:pPr>
        <w:pStyle w:val="ParaNoNdepar-AltN"/>
        <w:rPr>
          <w:rFonts w:cs="Times New Roman"/>
          <w:lang w:val="fr-CA"/>
        </w:rPr>
      </w:pPr>
      <w:r w:rsidRPr="00565B7B">
        <w:rPr>
          <w:rFonts w:cs="Times New Roman"/>
          <w:lang w:val="fr-CA"/>
        </w:rPr>
        <w:t>Le premier conflit avancé par GTL découle de l’ajout des syndics à la définition de « titulaire de permis » qui figure dans l’</w:t>
      </w:r>
      <w:r w:rsidRPr="005646ED">
        <w:rPr>
          <w:rFonts w:cs="Times New Roman"/>
          <w:i/>
          <w:lang w:val="fr-CA"/>
        </w:rPr>
        <w:t>OGCA</w:t>
      </w:r>
      <w:r w:rsidRPr="00565B7B">
        <w:rPr>
          <w:rFonts w:cs="Times New Roman"/>
          <w:lang w:val="fr-CA"/>
        </w:rPr>
        <w:t xml:space="preserve"> et la </w:t>
      </w:r>
      <w:r w:rsidRPr="00565B7B">
        <w:rPr>
          <w:rFonts w:cs="Times New Roman"/>
          <w:i/>
          <w:lang w:val="fr-CA"/>
        </w:rPr>
        <w:t>Pipeline Act</w:t>
      </w:r>
      <w:r w:rsidRPr="00565B7B">
        <w:rPr>
          <w:rFonts w:cs="Times New Roman"/>
          <w:lang w:val="fr-CA"/>
        </w:rPr>
        <w:t>. GTL affirme que le par. 14.06(4) le soustrait à tout engagement environnemental associé aux biens faisant l’objet d</w:t>
      </w:r>
      <w:r>
        <w:rPr>
          <w:rFonts w:cs="Times New Roman"/>
          <w:lang w:val="fr-CA"/>
        </w:rPr>
        <w:t>’une</w:t>
      </w:r>
      <w:r w:rsidRPr="00565B7B">
        <w:rPr>
          <w:rFonts w:cs="Times New Roman"/>
          <w:lang w:val="fr-CA"/>
        </w:rPr>
        <w:t xml:space="preserve"> </w:t>
      </w:r>
      <w:r>
        <w:rPr>
          <w:rFonts w:cs="Times New Roman"/>
          <w:lang w:val="fr-CA"/>
        </w:rPr>
        <w:t>« </w:t>
      </w:r>
      <w:r w:rsidRPr="00565B7B">
        <w:rPr>
          <w:rFonts w:cs="Times New Roman"/>
          <w:lang w:val="fr-CA"/>
        </w:rPr>
        <w:t>renonciation</w:t>
      </w:r>
      <w:r>
        <w:rPr>
          <w:rFonts w:cs="Times New Roman"/>
          <w:lang w:val="fr-CA"/>
        </w:rPr>
        <w:t xml:space="preserve"> » </w:t>
      </w:r>
      <w:r w:rsidRPr="00565B7B">
        <w:rPr>
          <w:rFonts w:cs="Times New Roman"/>
          <w:lang w:val="fr-CA"/>
        </w:rPr>
        <w:t xml:space="preserve">valide. Toutefois, comme il est « titulaire de permis », l’organisme de réglementation peut l’obliger à s’acquitter de toutes les obligations et de tous les engagements légaux de Redwater, faisant ainsi abstraction de la « renonciation » aux biens </w:t>
      </w:r>
      <w:r>
        <w:rPr>
          <w:rFonts w:cs="Times New Roman"/>
          <w:lang w:val="fr-CA"/>
        </w:rPr>
        <w:t>en cause</w:t>
      </w:r>
      <w:r w:rsidRPr="00565B7B">
        <w:rPr>
          <w:rFonts w:cs="Times New Roman"/>
          <w:lang w:val="fr-CA"/>
        </w:rPr>
        <w:t xml:space="preserve">. GTL souligne en outre la possibilité qu’il soit tenu personnellement responsable en tant que « titulaire de permis ». L’organisme de </w:t>
      </w:r>
      <w:r w:rsidRPr="00565B7B">
        <w:rPr>
          <w:rFonts w:cs="Times New Roman"/>
          <w:lang w:val="fr-CA"/>
        </w:rPr>
        <w:lastRenderedPageBreak/>
        <w:t>réglementation réplique que le par. 14.06(4) a pour objectif premier de mettre les syndics à l’abri de toute responsabilité personnelle à l’égard des ordonnances environnementales et que cette disposition n’a aucune incidence sur les responsabilités continues de l’actif du failli. Ainsi, tant qu’un syndic est à l’abri de toute responsabilité personnelle, son statut de « titulaire de permis » et le fait que l’actif d’un failli demeure responsable, aux termes du droit provincial, des obligations environnementales continues associées aux éléments le composant et faisant l’objet de la renonciation ne sont à l’origine d’aucun conflit.</w:t>
      </w:r>
    </w:p>
    <w:p w:rsidR="00DF13E5" w:rsidRPr="00565B7B" w:rsidRDefault="00DF13E5" w:rsidP="00DF13E5">
      <w:pPr>
        <w:pStyle w:val="ParaNoNdepar-AltN"/>
        <w:rPr>
          <w:rFonts w:cs="Times New Roman"/>
          <w:lang w:val="fr-CA"/>
        </w:rPr>
      </w:pPr>
      <w:r w:rsidRPr="00565B7B">
        <w:rPr>
          <w:rFonts w:cs="Times New Roman"/>
          <w:lang w:val="fr-CA"/>
        </w:rPr>
        <w:t xml:space="preserve">Le second conflit allégué par GTL est que, même si le par. 14.06(4) ne porte que la responsabilité personnelle d’un syndic, l’exercice par l’organisme de réglementation des pouvoirs que lui confère la loi réarrange de fait les priorités établies par la </w:t>
      </w:r>
      <w:r w:rsidRPr="005646ED">
        <w:rPr>
          <w:rFonts w:cs="Times New Roman"/>
          <w:i/>
          <w:lang w:val="fr-CA"/>
        </w:rPr>
        <w:t>LFI</w:t>
      </w:r>
      <w:r w:rsidRPr="00565B7B">
        <w:rPr>
          <w:rFonts w:cs="Times New Roman"/>
          <w:lang w:val="fr-CA"/>
        </w:rPr>
        <w:t xml:space="preserve"> en matière de faillite. Un tel réarrangement serait imputable au fait que l’organisme de réglementation exige la dépense d’éléments d’actif pour respecter les ordonnances d’abandon ainsi que pour libérer ou garantir les engagements environnementaux associés aux biens faisant l’objet de la renonciation avant d’approuver un transfert des permis liés aux biens conservés (conformément aux exigences relatives à la CGR). Ces obligations de fin de vie sont considérées par GTL comme étant une créance ordinaire de l’organisme de réglementation, que la </w:t>
      </w:r>
      <w:r w:rsidRPr="005646ED">
        <w:rPr>
          <w:rFonts w:cs="Times New Roman"/>
          <w:i/>
          <w:lang w:val="fr-CA"/>
        </w:rPr>
        <w:t xml:space="preserve">LFI </w:t>
      </w:r>
      <w:r w:rsidRPr="00565B7B">
        <w:rPr>
          <w:rFonts w:cs="Times New Roman"/>
          <w:lang w:val="fr-CA"/>
        </w:rPr>
        <w:t>ne permet pas d’acquitter de préférence aux réclamations des créanciers garantis de Redwater. L’organisme de réglementation réplique que, si l’on applique correctement le critère d’</w:t>
      </w:r>
      <w:r w:rsidRPr="00565B7B">
        <w:rPr>
          <w:rFonts w:cs="Times New Roman"/>
          <w:i/>
          <w:lang w:val="fr-CA"/>
        </w:rPr>
        <w:t>Abitibi</w:t>
      </w:r>
      <w:r w:rsidRPr="00565B7B">
        <w:rPr>
          <w:rFonts w:cs="Times New Roman"/>
          <w:lang w:val="fr-CA"/>
        </w:rPr>
        <w:t xml:space="preserve">, ces obligations réglementaires environnementales ne sont pas des réclamations prouvables en matière de faillite. En conséquence, selon l’organisme de réglementation, les lois provinciales exigeant que l’actif de Redwater satisfasse à ces </w:t>
      </w:r>
      <w:r w:rsidRPr="00565B7B">
        <w:rPr>
          <w:rFonts w:cs="Times New Roman"/>
          <w:lang w:val="fr-CA"/>
        </w:rPr>
        <w:lastRenderedPageBreak/>
        <w:t xml:space="preserve">obligations avant le partage, entre les créanciers garantis, des éléments dont il est composé n’entre pas en conflit avec le régime de priorité de la </w:t>
      </w:r>
      <w:r w:rsidRPr="005646ED">
        <w:rPr>
          <w:rFonts w:cs="Times New Roman"/>
          <w:i/>
          <w:lang w:val="fr-CA"/>
        </w:rPr>
        <w:t>LFI</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 xml:space="preserve">J’examinerai chacun des conflits allégués, l’un après l’autre. </w:t>
      </w:r>
    </w:p>
    <w:p w:rsidR="00DF13E5" w:rsidRPr="00565B7B" w:rsidRDefault="00DF13E5" w:rsidP="00DF13E5">
      <w:pPr>
        <w:pStyle w:val="Title2LevelTitre2Niveau"/>
        <w:rPr>
          <w:rFonts w:cs="Times New Roman"/>
          <w:lang w:val="fr-CA"/>
        </w:rPr>
      </w:pPr>
      <w:r w:rsidRPr="00565B7B">
        <w:rPr>
          <w:rFonts w:cs="Times New Roman"/>
          <w:lang w:val="fr-CA"/>
        </w:rPr>
        <w:t>Y a</w:t>
      </w:r>
      <w:r w:rsidRPr="00565B7B">
        <w:rPr>
          <w:rFonts w:cs="Times New Roman"/>
          <w:lang w:val="fr-CA"/>
        </w:rPr>
        <w:noBreakHyphen/>
        <w:t>t</w:t>
      </w:r>
      <w:r w:rsidRPr="00565B7B">
        <w:rPr>
          <w:rFonts w:cs="Times New Roman"/>
          <w:lang w:val="fr-CA"/>
        </w:rPr>
        <w:noBreakHyphen/>
        <w:t xml:space="preserve">il un conflit entre le régime de réglementation albertain et </w:t>
      </w:r>
      <w:r w:rsidR="004F4623">
        <w:rPr>
          <w:rFonts w:cs="Times New Roman"/>
          <w:lang w:val="fr-CA"/>
        </w:rPr>
        <w:t>l’art.</w:t>
      </w:r>
      <w:r w:rsidRPr="00565B7B">
        <w:rPr>
          <w:rFonts w:cs="Times New Roman"/>
          <w:lang w:val="fr-CA"/>
        </w:rPr>
        <w:t> 14.06 de la LFI?</w:t>
      </w:r>
    </w:p>
    <w:p w:rsidR="00DF13E5" w:rsidRPr="00565B7B" w:rsidRDefault="00DF13E5" w:rsidP="00DF13E5">
      <w:pPr>
        <w:pStyle w:val="ParaNoNdepar-AltN"/>
        <w:rPr>
          <w:rFonts w:cs="Times New Roman"/>
          <w:lang w:val="fr-CA"/>
        </w:rPr>
      </w:pPr>
      <w:r w:rsidRPr="00565B7B">
        <w:rPr>
          <w:rFonts w:cs="Times New Roman"/>
          <w:lang w:val="fr-CA"/>
        </w:rPr>
        <w:t xml:space="preserve">En tant que régime législatif, l’art. 14.06 de la </w:t>
      </w:r>
      <w:r w:rsidRPr="003402F5">
        <w:rPr>
          <w:rFonts w:cs="Times New Roman"/>
          <w:i/>
          <w:lang w:val="fr-CA"/>
        </w:rPr>
        <w:t>LFI</w:t>
      </w:r>
      <w:r w:rsidRPr="00565B7B">
        <w:rPr>
          <w:rFonts w:cs="Times New Roman"/>
          <w:lang w:val="fr-CA"/>
        </w:rPr>
        <w:t xml:space="preserve"> soulève de nombreuses questions d’interprétation. Comme l’a fait remarquer la juge Martin, le seul point concernant l’art. 14.06 sur lequel toutes les parties au présent litige ont pu s’entendre est le fait que ce [</w:t>
      </w:r>
      <w:r w:rsidRPr="00565B7B">
        <w:rPr>
          <w:rFonts w:cs="Times New Roman"/>
          <w:smallCaps/>
          <w:lang w:val="fr-CA"/>
        </w:rPr>
        <w:t>traduction</w:t>
      </w:r>
      <w:r w:rsidRPr="00565B7B">
        <w:rPr>
          <w:rFonts w:cs="Times New Roman"/>
          <w:lang w:val="fr-CA"/>
        </w:rPr>
        <w:t xml:space="preserve">] « n’est pas un modèle de clarté » (motifs de la Cour d’appel, par. 201). Vu la confusion semée par les tentatives d’interpréter l’art. 14.06 comme un régime cohérent lors du présent litige, le Parlement pourrait fort bien vouloir réexaminer cet article durant sa prochaine étude de la </w:t>
      </w:r>
      <w:r w:rsidRPr="003402F5">
        <w:rPr>
          <w:rFonts w:cs="Times New Roman"/>
          <w:i/>
          <w:lang w:val="fr-CA"/>
        </w:rPr>
        <w:t>LFI</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 xml:space="preserve">Fondamentalement, le présent pourvoi porte sur la question de savoir s’il existe un conflit entre une loi albertaine en particulier et la </w:t>
      </w:r>
      <w:r w:rsidRPr="003402F5">
        <w:rPr>
          <w:rFonts w:cs="Times New Roman"/>
          <w:i/>
          <w:lang w:val="fr-CA"/>
        </w:rPr>
        <w:t>LFI</w:t>
      </w:r>
      <w:r w:rsidRPr="00565B7B">
        <w:rPr>
          <w:rFonts w:cs="Times New Roman"/>
          <w:lang w:val="fr-CA"/>
        </w:rPr>
        <w:t xml:space="preserve">. GTL soutient que oui et affirme que, comme il a « renoncé » aux biens faisant l’objet de la renonciation en vertu du par. 14.06(4) de la </w:t>
      </w:r>
      <w:r w:rsidRPr="003402F5">
        <w:rPr>
          <w:rFonts w:cs="Times New Roman"/>
          <w:i/>
          <w:lang w:val="fr-CA"/>
        </w:rPr>
        <w:t>LFI</w:t>
      </w:r>
      <w:r w:rsidRPr="00565B7B">
        <w:rPr>
          <w:rFonts w:cs="Times New Roman"/>
          <w:lang w:val="fr-CA"/>
        </w:rPr>
        <w:t>, il peut cesser d’assumer toute responsabilité ou obligation ou tout engagement à l’égard de ces biens. Pourtant, aux dires de GTL, en tant que « titulaire de permis », il reste chargé de les abandonner. De plus, ceux</w:t>
      </w:r>
      <w:r w:rsidRPr="00565B7B">
        <w:rPr>
          <w:rFonts w:cs="Times New Roman"/>
          <w:lang w:val="fr-CA"/>
        </w:rPr>
        <w:noBreakHyphen/>
        <w:t xml:space="preserve">ci sont toujours inclus dans le calcul de la CGR de Redwater. GTL prétend qu’il y a un autre conflit avec le par. 14.06(2) de la </w:t>
      </w:r>
      <w:r w:rsidRPr="003402F5">
        <w:rPr>
          <w:rFonts w:cs="Times New Roman"/>
          <w:i/>
          <w:lang w:val="fr-CA"/>
        </w:rPr>
        <w:t>LFI</w:t>
      </w:r>
      <w:r w:rsidRPr="00565B7B">
        <w:rPr>
          <w:rFonts w:cs="Times New Roman"/>
          <w:lang w:val="fr-CA"/>
        </w:rPr>
        <w:t xml:space="preserve"> du fait que sa responsabilité personnelle comme « titulaire de permis » peut être engagée relativement aux frais d’abandon des biens faisant l’objet de la renonciation.</w:t>
      </w:r>
    </w:p>
    <w:p w:rsidR="00DF13E5" w:rsidRPr="00565B7B" w:rsidRDefault="00DF13E5" w:rsidP="00DF13E5">
      <w:pPr>
        <w:pStyle w:val="ParaNoNdepar-AltN"/>
        <w:rPr>
          <w:rFonts w:cs="Times New Roman"/>
          <w:lang w:val="fr-CA"/>
        </w:rPr>
      </w:pPr>
      <w:r w:rsidRPr="00565B7B">
        <w:rPr>
          <w:rFonts w:cs="Times New Roman"/>
          <w:lang w:val="fr-CA"/>
        </w:rPr>
        <w:lastRenderedPageBreak/>
        <w:t>J’ai conclu à l’absence de conflit. Différents arguments ont été présentés lors du pourvoi au sujet des éléments disparates du régime instauré par l’art. 14.06. Cependant, la disposition qu’invoque en fait GTL pour affirmer avoir le droit d’échapper à ses responsabilités en tant que « titulaire de permis » en application de la législation albertaine est le par. 14.06(4). Rappelons que GTL et l’organisme de réglementation proposent des interprétations fort différentes du par. 14.06(4). Toutefois, à la simple lecture de ses termes, le par. 14.06(4) est clair et sans équivoque : lorsqu’il est invoqué par un syndic, « le syndic est dégagé de toute responsabilité personnelle » découlant du non</w:t>
      </w:r>
      <w:r w:rsidRPr="00565B7B">
        <w:rPr>
          <w:rFonts w:cs="Times New Roman"/>
          <w:lang w:val="fr-CA"/>
        </w:rPr>
        <w:noBreakHyphen/>
        <w:t xml:space="preserve">respect de certaines ordonnances environnementales ou relativement aux frais engagés par toute personne exécutant ces ordonnances. La disposition ne dit rien à propos de la responsabilité du « failli » ou de l’« actif », des notions distinctes mentionnées à maintes reprises dans la </w:t>
      </w:r>
      <w:r w:rsidRPr="003402F5">
        <w:rPr>
          <w:rFonts w:cs="Times New Roman"/>
          <w:i/>
          <w:lang w:val="fr-CA"/>
        </w:rPr>
        <w:t>LFI</w:t>
      </w:r>
      <w:r w:rsidRPr="00565B7B">
        <w:rPr>
          <w:rFonts w:cs="Times New Roman"/>
          <w:lang w:val="fr-CA"/>
        </w:rPr>
        <w:t xml:space="preserve">. Le texte même du par. 14.06(4) n’étaye pas l’interprétation que GTL nous exhorte à retenir. </w:t>
      </w:r>
    </w:p>
    <w:p w:rsidR="00DF13E5" w:rsidRPr="00565B7B" w:rsidRDefault="00DF13E5" w:rsidP="00DF13E5">
      <w:pPr>
        <w:pStyle w:val="ParaNoNdepar-AltN"/>
        <w:rPr>
          <w:rFonts w:cs="Times New Roman"/>
          <w:lang w:val="fr-CA"/>
        </w:rPr>
      </w:pPr>
      <w:r w:rsidRPr="00565B7B">
        <w:rPr>
          <w:rFonts w:cs="Times New Roman"/>
          <w:lang w:val="fr-CA"/>
        </w:rPr>
        <w:t>À mon avis, le par. 14.06(4) expose le résultat d’une « renonciation » du syndic à un bien réel en cas d’ordonnance de réparation de tout fait ou dommage lié à l’environnement et touchant ce bien. Que l’on voit la « renonciation » comme un pouvoir reconnu par la common law ou un pouvoir découlant d’une quelconque autre source législative, la « renonciation » d’un syndic à des biens réels en réaction à une ordonnance environnementale visant ces biens dégage le syndic de toute responsabilité personnelle, alors que la responsabilité continue de l’actif du failli n’est pas touchée. L’idée que le par. 14.06(4) vise la responsabilité personnelle du syndic, et non celle de l’actif du failli, est étayée non seulement par le texte clair de l’article, mais également par les débats parlementaires, un arrêt de notre Cour et la version française de l’article. De plus, non seulement le sens ordinaire des mots « responsabilité personnelle » est</w:t>
      </w:r>
      <w:r w:rsidRPr="00565B7B">
        <w:rPr>
          <w:rFonts w:cs="Times New Roman"/>
          <w:lang w:val="fr-CA"/>
        </w:rPr>
        <w:noBreakHyphen/>
        <w:t xml:space="preserve">il </w:t>
      </w:r>
      <w:r w:rsidRPr="00565B7B">
        <w:rPr>
          <w:rFonts w:cs="Times New Roman"/>
          <w:lang w:val="fr-CA"/>
        </w:rPr>
        <w:lastRenderedPageBreak/>
        <w:t xml:space="preserve">clair, mais on retrouve également le même concept aux par. 14.06(1.2) et (2), lesquels disposent expressément que le syndic est dégagé de toute responsabilité personnelle. En particulier, il me paraît impossible d’interpréter de manière cohérente le par. 14.06(2) comme mentionnant la responsabilité personnelle tout en interprétant le par. 14.06(4) comme renvoyant d’une façon ou d’un autre à la responsabilité de l’actif du failli.  </w:t>
      </w:r>
    </w:p>
    <w:p w:rsidR="00DF13E5" w:rsidRPr="00565B7B" w:rsidRDefault="00DF13E5" w:rsidP="00DF13E5">
      <w:pPr>
        <w:pStyle w:val="ParaNoNdepar-AltN"/>
        <w:rPr>
          <w:rFonts w:cs="Times New Roman"/>
          <w:lang w:val="fr-CA"/>
        </w:rPr>
      </w:pPr>
      <w:r w:rsidRPr="00565B7B">
        <w:rPr>
          <w:rFonts w:cs="Times New Roman"/>
          <w:lang w:val="fr-CA"/>
        </w:rPr>
        <w:t xml:space="preserve">Comme le par. 14.06(4) dispose que la « renonciation » dégage uniquement le syndic de toute responsabilité personnelle, à supposer même que GTL ait « renoncé » avec succès à des biens en l’espèce, l’organisme de réglementation ne cause aucun conflit d’application ni n’entrave la réalisation d’un objet fédéral en exigeant de GTL à titre de « titulaire de permis » qu’il se serve d’éléments de l’actif pour abandonner les biens faisant l’objet de la renonciation. En outre, il n’y a aucun conflit du fait que ces biens soient toujours inclus dans le calcul de la CGR de Redwater. Enfin, vu la retenue avec laquelle il faut appliquer la doctrine de la </w:t>
      </w:r>
      <w:r w:rsidR="009C5633" w:rsidRPr="00565B7B">
        <w:rPr>
          <w:rFonts w:cs="Times New Roman"/>
          <w:lang w:val="fr-CA"/>
        </w:rPr>
        <w:t>prépondérance</w:t>
      </w:r>
      <w:r w:rsidRPr="00565B7B">
        <w:rPr>
          <w:rFonts w:cs="Times New Roman"/>
          <w:lang w:val="fr-CA"/>
        </w:rPr>
        <w:t xml:space="preserve">, et vu que l’organisme de réglementation n’a pas tenté de tenir GTL personnellement responsable en tant que « titulaire de permis » des frais d’abandon, aucun conflit avec les par. 14.06(2) ou (4) n’est causé par la simple possibilité théorique de responsabilité personnelle en application de la </w:t>
      </w:r>
      <w:r w:rsidRPr="003402F5">
        <w:rPr>
          <w:rFonts w:cs="Times New Roman"/>
          <w:i/>
          <w:lang w:val="fr-CA"/>
        </w:rPr>
        <w:t>OGCA</w:t>
      </w:r>
      <w:r w:rsidRPr="00565B7B">
        <w:rPr>
          <w:rFonts w:cs="Times New Roman"/>
          <w:lang w:val="fr-CA"/>
        </w:rPr>
        <w:t xml:space="preserve"> ou de la </w:t>
      </w:r>
      <w:r w:rsidRPr="00565B7B">
        <w:rPr>
          <w:rFonts w:cs="Times New Roman"/>
          <w:i/>
          <w:lang w:val="fr-CA"/>
        </w:rPr>
        <w:t>Pipeline Act</w:t>
      </w:r>
      <w:r w:rsidRPr="00565B7B">
        <w:rPr>
          <w:rFonts w:cs="Times New Roman"/>
          <w:lang w:val="fr-CA"/>
        </w:rPr>
        <w:t xml:space="preserve">. </w:t>
      </w:r>
    </w:p>
    <w:p w:rsidR="00DF13E5" w:rsidRPr="00565B7B" w:rsidRDefault="00DF13E5" w:rsidP="00DF13E5">
      <w:pPr>
        <w:pStyle w:val="ParaNoNdepar-AltN"/>
        <w:rPr>
          <w:rFonts w:cs="Times New Roman"/>
          <w:lang w:val="fr-CA"/>
        </w:rPr>
      </w:pPr>
      <w:r w:rsidRPr="00565B7B">
        <w:rPr>
          <w:rFonts w:cs="Times New Roman"/>
          <w:lang w:val="fr-CA"/>
        </w:rPr>
        <w:t xml:space="preserve">Dans les paragraphes qui suivent, je vais d’abord interpréter le par. 14.06(4) et expliquer pourquoi, compte tenu de sa formulation claire et d’autres considérations pertinentes, la disposition ne concerne que la responsabilité personnelle du syndic, et non la responsabilité de l’actif du failli. Je vais ensuite expliquer en quoi, malgré leur similitude superficielle, la raison d’être du par. 14.06(4) diffère de celle du </w:t>
      </w:r>
      <w:r w:rsidRPr="00565B7B">
        <w:rPr>
          <w:rFonts w:cs="Times New Roman"/>
          <w:lang w:val="fr-CA"/>
        </w:rPr>
        <w:lastRenderedPageBreak/>
        <w:t xml:space="preserve">par. 14.06(2), et démontrer que, si l’on comprend bien le régime conçu par le Parlement, le par. 14.06(4) n’influe pas sur la responsabilité de l’actif du failli. Pour conclure, je démontrerai qu’il n’y a aucun conflit d’application ni aucune entrave à la réalisation d’un objet fédéral entre la législation albertaine et l’art. 14.06 de la </w:t>
      </w:r>
      <w:r w:rsidRPr="003402F5">
        <w:rPr>
          <w:rFonts w:cs="Times New Roman"/>
          <w:i/>
          <w:lang w:val="fr-CA"/>
        </w:rPr>
        <w:t>LFI</w:t>
      </w:r>
      <w:r w:rsidRPr="00565B7B">
        <w:rPr>
          <w:rFonts w:cs="Times New Roman"/>
          <w:lang w:val="fr-CA"/>
        </w:rPr>
        <w:t xml:space="preserve"> dans la présente affaire, particulièrement en ce qui a trait à la protection de GTL contre toute responsabilité personnelle. </w:t>
      </w:r>
    </w:p>
    <w:p w:rsidR="009C5633" w:rsidRPr="009C5633" w:rsidRDefault="00DF13E5" w:rsidP="007872F1">
      <w:pPr>
        <w:pStyle w:val="Title3LevelTitre3Niveau"/>
        <w:rPr>
          <w:lang w:val="fr-CA"/>
        </w:rPr>
      </w:pPr>
      <w:r w:rsidRPr="00565B7B">
        <w:rPr>
          <w:lang w:val="fr-CA"/>
        </w:rPr>
        <w:t xml:space="preserve">L’interprétation juste du </w:t>
      </w:r>
      <w:r w:rsidR="004F4623">
        <w:rPr>
          <w:lang w:val="fr-CA"/>
        </w:rPr>
        <w:t>par.</w:t>
      </w:r>
      <w:r w:rsidRPr="00565B7B">
        <w:rPr>
          <w:lang w:val="fr-CA"/>
        </w:rPr>
        <w:t xml:space="preserve"> 14.06(4)</w:t>
      </w:r>
    </w:p>
    <w:p w:rsidR="00DF13E5" w:rsidRPr="00565B7B" w:rsidRDefault="00DF13E5" w:rsidP="007872F1">
      <w:pPr>
        <w:pStyle w:val="Title4LevelTitre4Niveau"/>
        <w:rPr>
          <w:lang w:val="fr-CA"/>
        </w:rPr>
      </w:pPr>
      <w:r w:rsidRPr="00565B7B">
        <w:rPr>
          <w:lang w:val="fr-CA"/>
        </w:rPr>
        <w:t xml:space="preserve">Le paragraphe 14.06(4) s’attache à la responsabilité personnelle du syndic </w:t>
      </w:r>
    </w:p>
    <w:p w:rsidR="00DF13E5" w:rsidRPr="00565B7B" w:rsidRDefault="00DF13E5" w:rsidP="00DF13E5">
      <w:pPr>
        <w:pStyle w:val="ParaNoNdepar-AltN"/>
        <w:rPr>
          <w:rFonts w:cs="Times New Roman"/>
          <w:lang w:val="fr-CA"/>
        </w:rPr>
      </w:pPr>
      <w:r w:rsidRPr="00565B7B">
        <w:rPr>
          <w:rFonts w:cs="Times New Roman"/>
          <w:lang w:val="fr-CA"/>
        </w:rPr>
        <w:t>J’ai conclu que le par. 14.06(4) s’attache à la responsabilité personnelle du syndic et non à la responsabilité de l’actif du failli. Je souligne ici le principe bien établi selon lequel « [c]</w:t>
      </w:r>
      <w:r>
        <w:rPr>
          <w:rFonts w:cs="Times New Roman"/>
          <w:lang w:val="fr-CA"/>
        </w:rPr>
        <w:t>h</w:t>
      </w:r>
      <w:r w:rsidRPr="00565B7B">
        <w:rPr>
          <w:rFonts w:cs="Times New Roman"/>
          <w:lang w:val="fr-CA"/>
        </w:rPr>
        <w:t>aque fois qu’on peut légitimement interpréter une loi fédérale de manière qu’elle n’entre pas en conflit avec une loi provinciale, il faut appliquer cette interprétation de préférence à toute autre qui entraînerait un conflit » (</w:t>
      </w:r>
      <w:r w:rsidRPr="00565B7B">
        <w:rPr>
          <w:rFonts w:cs="Times New Roman"/>
          <w:i/>
          <w:lang w:val="fr-CA"/>
        </w:rPr>
        <w:t>Banque canadienne de l’Ouest</w:t>
      </w:r>
      <w:r w:rsidRPr="00565B7B">
        <w:rPr>
          <w:rFonts w:cs="Times New Roman"/>
          <w:lang w:val="fr-CA"/>
        </w:rPr>
        <w:t>, par. 75</w:t>
      </w:r>
      <w:r w:rsidR="00E75558">
        <w:rPr>
          <w:rFonts w:cs="Times New Roman"/>
          <w:lang w:val="fr-CA"/>
        </w:rPr>
        <w:t xml:space="preserve">, citant </w:t>
      </w:r>
      <w:r w:rsidR="00E75558">
        <w:rPr>
          <w:rFonts w:cs="Times New Roman"/>
          <w:i/>
          <w:lang w:val="fr-CA"/>
        </w:rPr>
        <w:t>Procureur général du Canda c. Law Society of British Columbia</w:t>
      </w:r>
      <w:r w:rsidR="00E75558">
        <w:rPr>
          <w:rFonts w:cs="Times New Roman"/>
          <w:lang w:val="fr-CA"/>
        </w:rPr>
        <w:t>, [1982] 2 R.C.S. 307, p. 356</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 xml:space="preserve">Le paragraphe 14.06(4) est muet à propos de « l’actif du failli » qui évite l’applicabilité d’une loi provinciale valide. Lorsqu’il a rédigé le par. 14.06(4), le Parlement aurait pu aisément parler de la responsabilité de l’actif du failli. Le Parlement a plutôt choisi de mentionner uniquement la responsabilité personnelle du syndic. Fait à noter, les par. 14.06(7) et (8) parlent tous deux du « débiteur ». Ce choix du Parlement ne peut être ignoré. Je conviens avec la juge d’appel Martin qu’il n’y aucune raison de considérer que les mots « le syndic est [. . .] dégagé de toute responsabilité </w:t>
      </w:r>
      <w:r w:rsidRPr="00565B7B">
        <w:rPr>
          <w:rFonts w:cs="Times New Roman"/>
          <w:lang w:val="fr-CA"/>
        </w:rPr>
        <w:lastRenderedPageBreak/>
        <w:t>personnelle » figurant au par. 14.06(4) visent la responsabilité de l’actif du failli. Comme l’a signalé la juge Martin, il ressort des termes exprès choisis par le Parlement que le 14.06(4) découlait du souci de protéger les syndics et se voulait une réponse à ce souci, et non de protéger la pleine valeur de l’actif au bénéfice des créanciers. Le texte du par. 14.06(4) ne porte aucunement à croire qu’il devait s’étendre à la responsabilité de l’actif.</w:t>
      </w:r>
    </w:p>
    <w:p w:rsidR="00DF13E5" w:rsidRPr="00565B7B" w:rsidRDefault="00DF13E5" w:rsidP="00DF13E5">
      <w:pPr>
        <w:pStyle w:val="ParaNoNdepar-AltN"/>
        <w:rPr>
          <w:rFonts w:cs="Times New Roman"/>
          <w:lang w:val="fr-CA"/>
        </w:rPr>
      </w:pPr>
      <w:r w:rsidRPr="00565B7B">
        <w:rPr>
          <w:rFonts w:cs="Times New Roman"/>
          <w:lang w:val="fr-CA"/>
        </w:rPr>
        <w:t xml:space="preserve">Les débats parlementaires mènent à la même conclusion. Jacques Hains, directeur de la Direction de la politique des lois commerciales au ministère d’Industrie Canada, a souligné ce qui suit pendant les débats tenus en 1996 avant l’adoption du par. 14.06(4) </w:t>
      </w:r>
      <w:r>
        <w:rPr>
          <w:rFonts w:cs="Times New Roman"/>
          <w:lang w:val="fr-CA"/>
        </w:rPr>
        <w:t>l’année suivante </w:t>
      </w:r>
      <w:r w:rsidRPr="00565B7B">
        <w:rPr>
          <w:rFonts w:cs="Times New Roman"/>
          <w:lang w:val="fr-CA"/>
        </w:rPr>
        <w:t>:</w:t>
      </w:r>
    </w:p>
    <w:p w:rsidR="00DF13E5" w:rsidRPr="00565B7B" w:rsidRDefault="00DF13E5" w:rsidP="00DF13E5">
      <w:pPr>
        <w:pStyle w:val="Citation-AltC"/>
        <w:spacing w:after="240"/>
        <w:ind w:hanging="1166"/>
        <w:contextualSpacing w:val="0"/>
        <w:rPr>
          <w:rFonts w:eastAsiaTheme="minorEastAsia"/>
          <w:lang w:val="fr-CA"/>
        </w:rPr>
      </w:pPr>
      <w:r w:rsidRPr="00565B7B">
        <w:rPr>
          <w:rFonts w:eastAsiaTheme="minorEastAsia"/>
          <w:lang w:val="fr-CA"/>
        </w:rPr>
        <w:tab/>
        <w:t>L’objectif est de mieux définir la responsabilité des professionnels de l’insolvabilité, des praticiens de façon à les encourager à accepter des mandats où il pourrait peut</w:t>
      </w:r>
      <w:r w:rsidRPr="00565B7B">
        <w:rPr>
          <w:rFonts w:eastAsiaTheme="minorEastAsia"/>
          <w:lang w:val="fr-CA"/>
        </w:rPr>
        <w:noBreakHyphen/>
        <w:t xml:space="preserve">être y avoir des problèmes en matière d’environnement, de façon à réduire le nombre de sites abandonnés au pays, pour le bénéfice de l’environnement et la sauvegarde des entreprises et des emplois qui en dépendent. </w:t>
      </w:r>
    </w:p>
    <w:p w:rsidR="00DF13E5" w:rsidRPr="00565B7B" w:rsidRDefault="00DF13E5" w:rsidP="000624A5">
      <w:pPr>
        <w:pStyle w:val="Citation-AltC"/>
        <w:ind w:left="0"/>
        <w:contextualSpacing w:val="0"/>
        <w:rPr>
          <w:lang w:val="fr-CA"/>
        </w:rPr>
      </w:pPr>
      <w:r w:rsidRPr="00565B7B">
        <w:rPr>
          <w:rFonts w:eastAsiaTheme="minorEastAsia"/>
          <w:lang w:val="fr-CA"/>
        </w:rPr>
        <w:t xml:space="preserve">(Comité permanent de l’industrie, </w:t>
      </w:r>
      <w:r w:rsidRPr="00565B7B">
        <w:rPr>
          <w:rFonts w:eastAsiaTheme="minorEastAsia"/>
          <w:i/>
          <w:lang w:val="fr-CA"/>
        </w:rPr>
        <w:t>Témoignages</w:t>
      </w:r>
      <w:r w:rsidRPr="00565B7B">
        <w:rPr>
          <w:rFonts w:eastAsiaTheme="minorEastAsia"/>
          <w:lang w:val="fr-CA"/>
        </w:rPr>
        <w:t>, n</w:t>
      </w:r>
      <w:r w:rsidRPr="00565B7B">
        <w:rPr>
          <w:rFonts w:eastAsiaTheme="minorEastAsia"/>
          <w:vertAlign w:val="superscript"/>
          <w:lang w:val="fr-CA"/>
        </w:rPr>
        <w:t>o</w:t>
      </w:r>
      <w:r w:rsidRPr="00565B7B">
        <w:rPr>
          <w:rFonts w:eastAsiaTheme="minorEastAsia"/>
          <w:lang w:val="fr-CA"/>
        </w:rPr>
        <w:t> 16</w:t>
      </w:r>
      <w:r>
        <w:rPr>
          <w:rFonts w:eastAsiaTheme="minorEastAsia"/>
          <w:lang w:val="fr-CA"/>
        </w:rPr>
        <w:t xml:space="preserve">, </w:t>
      </w:r>
      <w:r w:rsidRPr="00565B7B">
        <w:rPr>
          <w:rFonts w:eastAsiaTheme="minorEastAsia"/>
          <w:lang w:val="fr-CA"/>
        </w:rPr>
        <w:t>2</w:t>
      </w:r>
      <w:r w:rsidRPr="00565B7B">
        <w:rPr>
          <w:rFonts w:eastAsiaTheme="minorEastAsia"/>
          <w:vertAlign w:val="superscript"/>
          <w:lang w:val="fr-CA"/>
        </w:rPr>
        <w:t>e</w:t>
      </w:r>
      <w:r w:rsidRPr="00565B7B">
        <w:rPr>
          <w:rFonts w:eastAsiaTheme="minorEastAsia"/>
          <w:lang w:val="fr-CA"/>
        </w:rPr>
        <w:t> sess., 35</w:t>
      </w:r>
      <w:r w:rsidRPr="00565B7B">
        <w:rPr>
          <w:rFonts w:eastAsiaTheme="minorEastAsia"/>
          <w:vertAlign w:val="superscript"/>
          <w:lang w:val="fr-CA"/>
        </w:rPr>
        <w:t>e</w:t>
      </w:r>
      <w:r w:rsidR="004F4623">
        <w:rPr>
          <w:rFonts w:eastAsiaTheme="minorEastAsia"/>
          <w:lang w:val="fr-CA"/>
        </w:rPr>
        <w:t> lég</w:t>
      </w:r>
      <w:r w:rsidRPr="00565B7B">
        <w:rPr>
          <w:rFonts w:eastAsiaTheme="minorEastAsia"/>
          <w:lang w:val="fr-CA"/>
        </w:rPr>
        <w:t>., 11 juin 1996, entre 15 h 49 et 15 h 55</w:t>
      </w:r>
      <w:r>
        <w:rPr>
          <w:rFonts w:eastAsiaTheme="minorEastAsia"/>
          <w:lang w:val="fr-CA"/>
        </w:rPr>
        <w:t>, cité</w:t>
      </w:r>
      <w:r w:rsidRPr="00565B7B">
        <w:rPr>
          <w:rFonts w:eastAsiaTheme="minorEastAsia"/>
          <w:lang w:val="fr-CA"/>
        </w:rPr>
        <w:t xml:space="preserve"> dans les moti</w:t>
      </w:r>
      <w:r w:rsidR="004F4623">
        <w:rPr>
          <w:rFonts w:eastAsiaTheme="minorEastAsia"/>
          <w:lang w:val="fr-CA"/>
        </w:rPr>
        <w:t>fs de la Cour d’appel, par. 197.)</w:t>
      </w:r>
    </w:p>
    <w:p w:rsidR="00DF13E5" w:rsidRPr="00565B7B" w:rsidRDefault="00DF13E5" w:rsidP="00DF13E5">
      <w:pPr>
        <w:pStyle w:val="ContinueParaSuitedupar-AltP"/>
        <w:rPr>
          <w:rFonts w:eastAsiaTheme="minorEastAsia" w:cs="Times New Roman"/>
          <w:szCs w:val="24"/>
          <w:lang w:val="fr-CA" w:eastAsia="en-CA"/>
        </w:rPr>
      </w:pPr>
      <w:r w:rsidRPr="00565B7B">
        <w:rPr>
          <w:rFonts w:eastAsiaTheme="minorEastAsia" w:cs="Times New Roman"/>
          <w:szCs w:val="24"/>
          <w:lang w:val="fr-CA" w:eastAsia="en-CA"/>
        </w:rPr>
        <w:t>Plusieurs mois plus tard, M. Hains a mentionné que :</w:t>
      </w:r>
    </w:p>
    <w:p w:rsidR="00DF13E5" w:rsidRPr="00565B7B" w:rsidRDefault="00DF13E5" w:rsidP="00DF13E5">
      <w:pPr>
        <w:pStyle w:val="Citation-AltC"/>
        <w:spacing w:after="240"/>
        <w:ind w:hanging="1166"/>
        <w:contextualSpacing w:val="0"/>
        <w:rPr>
          <w:lang w:val="fr-CA"/>
        </w:rPr>
      </w:pPr>
      <w:r w:rsidRPr="00565B7B">
        <w:rPr>
          <w:lang w:val="fr-CA"/>
        </w:rPr>
        <w:tab/>
      </w:r>
      <w:r w:rsidR="00E75558">
        <w:rPr>
          <w:lang w:val="fr-CA"/>
        </w:rPr>
        <w:t>[</w:t>
      </w:r>
      <w:r w:rsidRPr="00565B7B">
        <w:rPr>
          <w:lang w:val="fr-CA"/>
        </w:rPr>
        <w:t>L</w:t>
      </w:r>
      <w:r w:rsidR="00E75558">
        <w:rPr>
          <w:lang w:val="fr-CA"/>
        </w:rPr>
        <w:t>]</w:t>
      </w:r>
      <w:r w:rsidRPr="00565B7B">
        <w:rPr>
          <w:lang w:val="fr-CA"/>
        </w:rPr>
        <w:t xml:space="preserve">es </w:t>
      </w:r>
      <w:r w:rsidRPr="00565B7B">
        <w:rPr>
          <w:rFonts w:eastAsiaTheme="minorEastAsia"/>
          <w:lang w:val="fr-CA"/>
        </w:rPr>
        <w:t>dispositions</w:t>
      </w:r>
      <w:r w:rsidRPr="00565B7B">
        <w:rPr>
          <w:lang w:val="fr-CA"/>
        </w:rPr>
        <w:t xml:space="preserve"> [ont été] adoptées par le Parlement en 1992 en vue d’alléger le fardeau de ceux qui travaillent dans le domaine de l’insolvabilité [. . .] parce que le mandat de liquider une entreprise insolvable leur impose des risques. En vertu du droit environnemental, par conséquent, ils auraient pu être tenus personnellement responsables d’un accident environnemental et obligés de verser les dommages</w:t>
      </w:r>
      <w:r w:rsidRPr="00565B7B">
        <w:rPr>
          <w:lang w:val="fr-CA"/>
        </w:rPr>
        <w:noBreakHyphen/>
        <w:t xml:space="preserve">intérêts. </w:t>
      </w:r>
    </w:p>
    <w:p w:rsidR="00DF13E5" w:rsidRPr="00565B7B" w:rsidRDefault="00DF13E5" w:rsidP="000624A5">
      <w:pPr>
        <w:pStyle w:val="Citation-AltC"/>
        <w:ind w:left="0"/>
        <w:contextualSpacing w:val="0"/>
        <w:rPr>
          <w:lang w:val="fr-CA"/>
        </w:rPr>
      </w:pPr>
      <w:r w:rsidRPr="00565B7B">
        <w:rPr>
          <w:lang w:val="fr-CA"/>
        </w:rPr>
        <w:t>(</w:t>
      </w:r>
      <w:r w:rsidRPr="00565B7B">
        <w:rPr>
          <w:i/>
          <w:lang w:val="fr-CA"/>
        </w:rPr>
        <w:t>Délibérations du comité sénatorial permanent des Banques et du commerce</w:t>
      </w:r>
      <w:r w:rsidRPr="00565B7B">
        <w:rPr>
          <w:lang w:val="fr-CA"/>
        </w:rPr>
        <w:t xml:space="preserve">, </w:t>
      </w:r>
      <w:r w:rsidRPr="00565B7B">
        <w:rPr>
          <w:rFonts w:eastAsiaTheme="minorEastAsia"/>
          <w:lang w:val="fr-CA"/>
        </w:rPr>
        <w:t>n</w:t>
      </w:r>
      <w:r w:rsidRPr="00565B7B">
        <w:rPr>
          <w:rFonts w:eastAsiaTheme="minorEastAsia"/>
          <w:vertAlign w:val="superscript"/>
          <w:lang w:val="fr-CA"/>
        </w:rPr>
        <w:t>o</w:t>
      </w:r>
      <w:r w:rsidRPr="00565B7B">
        <w:rPr>
          <w:rFonts w:eastAsiaTheme="minorEastAsia"/>
          <w:lang w:val="fr-CA"/>
        </w:rPr>
        <w:t> 13, 2</w:t>
      </w:r>
      <w:r w:rsidRPr="00565B7B">
        <w:rPr>
          <w:rFonts w:eastAsiaTheme="minorEastAsia"/>
          <w:vertAlign w:val="superscript"/>
          <w:lang w:val="fr-CA"/>
        </w:rPr>
        <w:t>e</w:t>
      </w:r>
      <w:r w:rsidRPr="00565B7B">
        <w:rPr>
          <w:rFonts w:eastAsiaTheme="minorEastAsia"/>
          <w:lang w:val="fr-CA"/>
        </w:rPr>
        <w:t> sess., 35</w:t>
      </w:r>
      <w:r w:rsidRPr="00565B7B">
        <w:rPr>
          <w:rFonts w:eastAsiaTheme="minorEastAsia"/>
          <w:vertAlign w:val="superscript"/>
          <w:lang w:val="fr-CA"/>
        </w:rPr>
        <w:t>e</w:t>
      </w:r>
      <w:r w:rsidR="004F4623">
        <w:rPr>
          <w:rFonts w:eastAsiaTheme="minorEastAsia"/>
          <w:lang w:val="fr-CA"/>
        </w:rPr>
        <w:t> lég</w:t>
      </w:r>
      <w:r w:rsidRPr="00565B7B">
        <w:rPr>
          <w:rFonts w:eastAsiaTheme="minorEastAsia"/>
          <w:lang w:val="fr-CA"/>
        </w:rPr>
        <w:t>., 4 novembre 1996, p. 1</w:t>
      </w:r>
      <w:r w:rsidR="00E75558">
        <w:rPr>
          <w:rFonts w:eastAsiaTheme="minorEastAsia"/>
          <w:lang w:val="fr-CA"/>
        </w:rPr>
        <w:t>6</w:t>
      </w:r>
      <w:r w:rsidRPr="00565B7B">
        <w:rPr>
          <w:rFonts w:eastAsiaTheme="minorEastAsia"/>
          <w:lang w:val="fr-CA"/>
        </w:rPr>
        <w:t>)</w:t>
      </w:r>
    </w:p>
    <w:p w:rsidR="00DF13E5" w:rsidRPr="00565B7B" w:rsidRDefault="00DF13E5" w:rsidP="00DF13E5">
      <w:pPr>
        <w:pStyle w:val="ContinueParaSuitedupar-AltP"/>
        <w:rPr>
          <w:rFonts w:cs="Times New Roman"/>
          <w:lang w:val="fr-CA"/>
        </w:rPr>
      </w:pPr>
      <w:r w:rsidRPr="00565B7B">
        <w:rPr>
          <w:rFonts w:cs="Times New Roman"/>
          <w:lang w:val="fr-CA"/>
        </w:rPr>
        <w:lastRenderedPageBreak/>
        <w:t xml:space="preserve">M. Hains a ensuite expliqué en quoi les modifications de 1997 visaient à améliorer la réforme de la </w:t>
      </w:r>
      <w:r w:rsidRPr="003402F5">
        <w:rPr>
          <w:rFonts w:cs="Times New Roman"/>
          <w:i/>
          <w:lang w:val="fr-CA"/>
        </w:rPr>
        <w:t>LFI</w:t>
      </w:r>
      <w:r w:rsidRPr="00565B7B">
        <w:rPr>
          <w:rFonts w:cs="Times New Roman"/>
          <w:lang w:val="fr-CA"/>
        </w:rPr>
        <w:t xml:space="preserve"> en 1992 qui comprenait la première version du par. 14.06(2) (comme nous le verrons plus loin), mais il n’a pas laissé entendre que l’accent n’était plus mis sur la « responsabilité personnelle » du syndic.</w:t>
      </w:r>
    </w:p>
    <w:p w:rsidR="00DF13E5" w:rsidRPr="00565B7B" w:rsidRDefault="00DF13E5" w:rsidP="00DF13E5">
      <w:pPr>
        <w:pStyle w:val="ParaNoNdepar-AltN"/>
        <w:rPr>
          <w:rFonts w:cs="Times New Roman"/>
          <w:lang w:val="fr-CA"/>
        </w:rPr>
      </w:pPr>
      <w:r w:rsidRPr="00565B7B">
        <w:rPr>
          <w:rFonts w:cs="Times New Roman"/>
          <w:lang w:val="fr-CA"/>
        </w:rPr>
        <w:t xml:space="preserve">Avant l’adoption des modifications de 1997, Gordon Marantz, conseiller juridique au ministère d’Industrie Canada, a fait remarquer qu’elles visaient à « empêcher le syndic d’être poursuivi pour de fortes sommes » (Comité permanent de l’industrie, </w:t>
      </w:r>
      <w:r w:rsidRPr="00565B7B">
        <w:rPr>
          <w:rFonts w:cs="Times New Roman"/>
          <w:i/>
          <w:lang w:val="fr-CA"/>
        </w:rPr>
        <w:t>Témoignages</w:t>
      </w:r>
      <w:r w:rsidRPr="00565B7B">
        <w:rPr>
          <w:rFonts w:cs="Times New Roman"/>
          <w:lang w:val="fr-CA"/>
        </w:rPr>
        <w:t>,</w:t>
      </w:r>
      <w:r w:rsidRPr="00565B7B">
        <w:rPr>
          <w:rFonts w:cs="Times New Roman"/>
          <w:i/>
          <w:lang w:val="fr-CA"/>
        </w:rPr>
        <w:t xml:space="preserve"> </w:t>
      </w:r>
      <w:r w:rsidRPr="00565B7B">
        <w:rPr>
          <w:rFonts w:cs="Times New Roman"/>
          <w:lang w:val="fr-CA"/>
        </w:rPr>
        <w:t>n</w:t>
      </w:r>
      <w:r w:rsidRPr="00565B7B">
        <w:rPr>
          <w:rFonts w:cs="Times New Roman"/>
          <w:vertAlign w:val="superscript"/>
          <w:lang w:val="fr-CA"/>
        </w:rPr>
        <w:t>o</w:t>
      </w:r>
      <w:r w:rsidRPr="00565B7B">
        <w:rPr>
          <w:rFonts w:cs="Times New Roman"/>
          <w:lang w:val="fr-CA"/>
        </w:rPr>
        <w:t> 21, 2</w:t>
      </w:r>
      <w:r w:rsidRPr="00565B7B">
        <w:rPr>
          <w:rFonts w:cs="Times New Roman"/>
          <w:vertAlign w:val="superscript"/>
          <w:lang w:val="fr-CA"/>
        </w:rPr>
        <w:t>e</w:t>
      </w:r>
      <w:r w:rsidRPr="00565B7B">
        <w:rPr>
          <w:rFonts w:cs="Times New Roman"/>
          <w:lang w:val="fr-CA"/>
        </w:rPr>
        <w:t xml:space="preserve"> sess., 35</w:t>
      </w:r>
      <w:r w:rsidRPr="00565B7B">
        <w:rPr>
          <w:rFonts w:cs="Times New Roman"/>
          <w:vertAlign w:val="superscript"/>
          <w:lang w:val="fr-CA"/>
        </w:rPr>
        <w:t>e</w:t>
      </w:r>
      <w:r w:rsidR="004F4623">
        <w:rPr>
          <w:rFonts w:cs="Times New Roman"/>
          <w:lang w:val="fr-CA"/>
        </w:rPr>
        <w:t xml:space="preserve"> lég</w:t>
      </w:r>
      <w:r w:rsidRPr="00565B7B">
        <w:rPr>
          <w:rFonts w:cs="Times New Roman"/>
          <w:lang w:val="fr-CA"/>
        </w:rPr>
        <w:t>., 25 septembre 1996, à 17 h 15, cité dans les motifs de la Cour d’appel, par. 198)). Je conviens avec l’organisme de réglementation que les débats législatifs ne donnent aucun indice d’une intention du Parlement de mettre les biens des faillis à l’abri de toute responsabilité environnementale. L’idée que le par. 14.06(4) avait pour objectif d’inciter les syndics de faillite à accepter des mandats, et non de limiter la responsabilité de l’actif, est étayée davantage par l’insertion de la disposition sous la rubrique générale « Nomination et remplacement des syndics ».</w:t>
      </w:r>
    </w:p>
    <w:p w:rsidR="00DF13E5" w:rsidRPr="00565B7B" w:rsidRDefault="00DF13E5" w:rsidP="00DF13E5">
      <w:pPr>
        <w:pStyle w:val="ParaNoNdepar-AltN"/>
        <w:rPr>
          <w:rFonts w:cs="Times New Roman"/>
          <w:lang w:val="fr-CA"/>
        </w:rPr>
      </w:pPr>
      <w:r w:rsidRPr="00565B7B">
        <w:rPr>
          <w:rFonts w:cs="Times New Roman"/>
          <w:lang w:val="fr-CA"/>
        </w:rPr>
        <w:t xml:space="preserve">De plus, au moment de rédiger le par. 14.06(4), le Parlement a décidé d’utiliser la même notion qu’il avait employé précédemment au par. 14.06(2) : de par leur libellé explicite, lorsque l’une ou l’autre disposition s’applique, le syndic est dégagé de toute « responsabilité personnelle ». Il ne peut s’agir d’une erreur, car le par. 14.06(4) a été inséré dans la </w:t>
      </w:r>
      <w:r w:rsidRPr="003402F5">
        <w:rPr>
          <w:rFonts w:cs="Times New Roman"/>
          <w:i/>
          <w:lang w:val="fr-CA"/>
        </w:rPr>
        <w:t>LFI</w:t>
      </w:r>
      <w:r w:rsidRPr="00565B7B">
        <w:rPr>
          <w:rFonts w:cs="Times New Roman"/>
          <w:lang w:val="fr-CA"/>
        </w:rPr>
        <w:t xml:space="preserve"> quelque cinq ans après l’adoption du par. 14.06(2). Puisque les deux dispositions visent expressément à protéger les syndics contre toute « responsabilité personnelle », il est très difficile d’accepter qu’elles puissent concerner différents types de responsabilité. D’après leurs termes, le </w:t>
      </w:r>
      <w:r w:rsidRPr="00565B7B">
        <w:rPr>
          <w:rFonts w:cs="Times New Roman"/>
          <w:lang w:val="fr-CA"/>
        </w:rPr>
        <w:lastRenderedPageBreak/>
        <w:t xml:space="preserve">par. 14.06(2) et le par. 14.06(4) traitent manifestement du même concept. En effet, si l’on considère que le par. 14.06(4) s’étend à la responsabilité de l’actif, il n’y a aucune raison de principe de ne pas donner la même interprétation au par. 14.06(2). Toutefois, personne ne conteste que ce n’était pas l’intention qu’avait le Parlement au moment d’adopter le par. 14.06(2). </w:t>
      </w:r>
    </w:p>
    <w:p w:rsidR="00DF13E5" w:rsidRPr="00565B7B" w:rsidRDefault="00DF13E5" w:rsidP="00DF13E5">
      <w:pPr>
        <w:pStyle w:val="ParaNoNdepar-AltN"/>
        <w:rPr>
          <w:rFonts w:cs="Times New Roman"/>
          <w:lang w:val="fr-CA"/>
        </w:rPr>
      </w:pPr>
      <w:r w:rsidRPr="00565B7B">
        <w:rPr>
          <w:rFonts w:cs="Times New Roman"/>
          <w:lang w:val="fr-CA"/>
        </w:rPr>
        <w:t xml:space="preserve">Dans le même ordre d’idées, le Parlement a aussi choisi d’utiliser la même notion figurant aux par. 14.06(4) et 14.06(2) dans une troisième partie du régime établi par l’art. 14.06, soit le par. 14.06(1.2). Selon cette disposition, le syndic qui continue l’exploitation de l’entreprise du débiteur ou lui succède comme employeur est dégagé de toute « responsabilité personnelle » à l’égard de certains engagements énumérés, notamment comme successeur de l’employeur. Bien qu’elle n’ait pas été directement soulevée en l’espèce, cette disposition, de par ses propres termes, ne traite manifestement pas et ne peut traiter de la responsabilité de l’actif du failli. Là encore, il est difficile de concevoir comment le Parlement aurait pu préciser qu’un syndic est « dégagé de toute responsabilité personnelle » suivant le sens ordinaire et grammatical de cette expression au par. 14.06(1.2) et au par. 14.06(2), et souhaiter par la suite que l’on donne à cette expression une interprétation tout à fait différente et illogique au par. 14.06(4). Les trois dispositions traitent toutes de la responsabilité personnelle d’un syndic et il faut les interpréter uniformément. En effet, je signale que l’idée selon laquelle le syndic est « dégagé de toute responsabilité personnelle » est aussi reprise systématiquement dans d’autres parties de la </w:t>
      </w:r>
      <w:r w:rsidRPr="003402F5">
        <w:rPr>
          <w:rFonts w:cs="Times New Roman"/>
          <w:i/>
          <w:lang w:val="fr-CA"/>
        </w:rPr>
        <w:t xml:space="preserve">LFI </w:t>
      </w:r>
      <w:r w:rsidRPr="00565B7B">
        <w:rPr>
          <w:rFonts w:cs="Times New Roman"/>
          <w:lang w:val="fr-CA"/>
        </w:rPr>
        <w:t xml:space="preserve">étrangères au régime de l’art. 14.06, par exemple l’art. 80 et le par. 197(3).  </w:t>
      </w:r>
    </w:p>
    <w:p w:rsidR="00DF13E5" w:rsidRPr="00565B7B" w:rsidRDefault="00DF13E5" w:rsidP="00DF13E5">
      <w:pPr>
        <w:pStyle w:val="ParaNoNdepar-AltN"/>
        <w:rPr>
          <w:rFonts w:cs="Times New Roman"/>
          <w:lang w:val="fr-CA"/>
        </w:rPr>
      </w:pPr>
      <w:r w:rsidRPr="00565B7B">
        <w:rPr>
          <w:rFonts w:cs="Times New Roman"/>
          <w:lang w:val="fr-CA"/>
        </w:rPr>
        <w:lastRenderedPageBreak/>
        <w:t xml:space="preserve">L’interprétation qui précède du par. 14.06(4) est également renforcée par la version française de l’art. 14.06. Les versions françaises des par. 14.06(2) et (4) indiquent que le syndic est, « ès qualités », dégagé de toute responsabilité personnelle. Selon le dictionnaire </w:t>
      </w:r>
      <w:r w:rsidRPr="00565B7B">
        <w:rPr>
          <w:rFonts w:cs="Times New Roman"/>
          <w:i/>
          <w:lang w:val="fr-CA"/>
        </w:rPr>
        <w:t xml:space="preserve">Le </w:t>
      </w:r>
      <w:r w:rsidR="00E03CE4" w:rsidRPr="007B3EA8">
        <w:rPr>
          <w:i/>
          <w:iCs/>
          <w:lang w:val="fr-CA" w:bidi="en-US"/>
        </w:rPr>
        <w:t>Grand Robert de la langue française</w:t>
      </w:r>
      <w:r w:rsidR="00E03CE4">
        <w:rPr>
          <w:iCs/>
          <w:lang w:val="fr-CA" w:bidi="en-US"/>
        </w:rPr>
        <w:t xml:space="preserve"> (2</w:t>
      </w:r>
      <w:r w:rsidR="00E03CE4">
        <w:rPr>
          <w:iCs/>
          <w:vertAlign w:val="superscript"/>
          <w:lang w:val="fr-CA" w:bidi="en-US"/>
        </w:rPr>
        <w:t>e</w:t>
      </w:r>
      <w:r w:rsidR="00E03CE4">
        <w:rPr>
          <w:iCs/>
          <w:lang w:val="fr-CA" w:bidi="en-US"/>
        </w:rPr>
        <w:t xml:space="preserve"> éd. 2001)</w:t>
      </w:r>
      <w:r w:rsidRPr="00565B7B">
        <w:rPr>
          <w:rFonts w:cs="Times New Roman"/>
          <w:lang w:val="fr-CA"/>
        </w:rPr>
        <w:t>, cette expression française désigne la personne qui agit « à cause d’un titre, d’une fonction particulière »; en anglais, elle désigne la personne agissant «</w:t>
      </w:r>
      <w:r w:rsidRPr="00565B7B">
        <w:rPr>
          <w:rFonts w:cs="Times New Roman"/>
          <w:i/>
          <w:lang w:val="fr-CA"/>
        </w:rPr>
        <w:t> by virtue of a title or specific role </w:t>
      </w:r>
      <w:r w:rsidRPr="00565B7B">
        <w:rPr>
          <w:rFonts w:cs="Times New Roman"/>
          <w:lang w:val="fr-CA"/>
        </w:rPr>
        <w:t xml:space="preserve">». Dans le dictionnaire </w:t>
      </w:r>
      <w:r w:rsidRPr="00565B7B">
        <w:rPr>
          <w:rFonts w:cs="Times New Roman"/>
          <w:i/>
          <w:lang w:val="fr-CA"/>
        </w:rPr>
        <w:t>Robert &amp; Collins</w:t>
      </w:r>
      <w:r w:rsidR="00063424" w:rsidRPr="00063424">
        <w:rPr>
          <w:rFonts w:cs="Times New Roman"/>
          <w:lang w:val="fr-CA"/>
        </w:rPr>
        <w:t xml:space="preserve"> </w:t>
      </w:r>
      <w:r w:rsidR="00063424">
        <w:rPr>
          <w:rFonts w:cs="Times New Roman"/>
          <w:lang w:val="fr-CA"/>
        </w:rPr>
        <w:t xml:space="preserve">(en ligne), </w:t>
      </w:r>
      <w:r w:rsidRPr="00565B7B">
        <w:rPr>
          <w:rFonts w:cs="Times New Roman"/>
          <w:lang w:val="fr-CA"/>
        </w:rPr>
        <w:t>cette expression décrit la personne qui agit en « </w:t>
      </w:r>
      <w:r w:rsidRPr="00565B7B">
        <w:rPr>
          <w:rFonts w:cs="Times New Roman"/>
          <w:i/>
          <w:lang w:val="fr-CA"/>
        </w:rPr>
        <w:t>one’s official capacity </w:t>
      </w:r>
      <w:r w:rsidRPr="00565B7B">
        <w:rPr>
          <w:rFonts w:cs="Times New Roman"/>
          <w:lang w:val="fr-CA"/>
        </w:rPr>
        <w:t>»</w:t>
      </w:r>
      <w:r w:rsidR="00063424">
        <w:rPr>
          <w:rFonts w:cs="Times New Roman"/>
          <w:lang w:val="fr-CA"/>
        </w:rPr>
        <w:t>.</w:t>
      </w:r>
      <w:r w:rsidRPr="00565B7B">
        <w:rPr>
          <w:rFonts w:cs="Times New Roman"/>
          <w:lang w:val="fr-CA"/>
        </w:rPr>
        <w:t xml:space="preserve"> En utilisant cette expression au par. 14.06(4), le Parlement prévoit ainsi qu’en cas de « renonciation » valide, le syndic est, ès qualités, dégagé de toute responsabilité personnelle à l’égard d’ordonnance de réparation de tout fait ou dommage lié à l’environnement et touchant le bien auquel il a été « renoncé ». Ces dispositions ne portent manifestement pas sur la notion de responsabilité de l’actif. Les versions françaises des par. 14.06(2) et (4) emploient donc les mêmes mots pour décrire la limitation de responsabilité qu’elles offrent aux syndics. Il est presque impossible de concevoir que le Parlement emploie les mêmes termes dans deux dispositions aussi intimement liées et leur attribue pourtant des sens différents. En conséquence, le syndic est dégagé de toute responsabilité personnelle en sa qualité officielle de représentant de l’actif du failli lorsqu’il invoque le par. 14.06(4). </w:t>
      </w:r>
    </w:p>
    <w:p w:rsidR="00DF13E5" w:rsidRPr="00565B7B" w:rsidRDefault="00DF13E5" w:rsidP="00DF13E5">
      <w:pPr>
        <w:pStyle w:val="ParaNoNdepar-AltN"/>
        <w:rPr>
          <w:rFonts w:cs="Times New Roman"/>
          <w:lang w:val="fr-CA"/>
        </w:rPr>
      </w:pPr>
      <w:r w:rsidRPr="00565B7B">
        <w:rPr>
          <w:rFonts w:cs="Times New Roman"/>
          <w:lang w:val="fr-CA"/>
        </w:rPr>
        <w:t xml:space="preserve">Avant le présent litige, la jurisprudence sur l’art. 14.06 était relativement peu abondante. Notre Cour a cependant examiné le régime de l’art. 14.06 une fois auparavant, dans </w:t>
      </w:r>
      <w:r w:rsidRPr="00565B7B">
        <w:rPr>
          <w:rFonts w:cs="Times New Roman"/>
          <w:i/>
          <w:lang w:val="fr-CA"/>
        </w:rPr>
        <w:t>Société de crédit commercial GMAC — Canada c. T.C.T. Logistics Inc.</w:t>
      </w:r>
      <w:r w:rsidRPr="00565B7B">
        <w:rPr>
          <w:rFonts w:cs="Times New Roman"/>
          <w:lang w:val="fr-CA"/>
        </w:rPr>
        <w:t xml:space="preserve">, 2006 CSC 35, [2006] 2 R.C.S. 123. Dans cet arrêt, les commentaires de la majorité et de la juge dissidente étayent ma conclusion selon laquelle le par. 14.06(4) ne porte que sur la responsabilité personnelle des syndics. La juge Abella a expliqué, au nom </w:t>
      </w:r>
      <w:r w:rsidRPr="00565B7B">
        <w:rPr>
          <w:rFonts w:cs="Times New Roman"/>
          <w:lang w:val="fr-CA"/>
        </w:rPr>
        <w:lastRenderedPageBreak/>
        <w:t>des juges majoritaires, que « lorsque le législateur a voulu protéger les syndics ou les séquestres contre certains recours, il l’a fait explicitement » (par. 67). À titre d’exemples de manifestation de ce principe, elle a cité le par. 14.06(1.2) et, notamment pour les fins qui nous occupent, le par. 14.06(4), qu’elle a décrits ainsi : « protection du syndic dans certaines circonstances contre les ordonnances en matière environnementale » (par. 67). Dans ses motifs dissidents, la juge Deschamps a expliqué que le « [syndic] n’est pas tenu personnellement aux obligations du failli »</w:t>
      </w:r>
      <w:r w:rsidR="00E75558">
        <w:rPr>
          <w:rFonts w:cs="Times New Roman"/>
          <w:lang w:val="fr-CA"/>
        </w:rPr>
        <w:t xml:space="preserve"> (par. 91)</w:t>
      </w:r>
      <w:r w:rsidRPr="00565B7B">
        <w:rPr>
          <w:rFonts w:cs="Times New Roman"/>
          <w:lang w:val="fr-CA"/>
        </w:rPr>
        <w:t>. Elle a signalé que les syndics étaient protégés par les dispositions qui leur conférait une immunité, dont les par. 14.06 (1.2), (2) et (4).</w:t>
      </w:r>
    </w:p>
    <w:p w:rsidR="00DF13E5" w:rsidRPr="00565B7B" w:rsidRDefault="00DF13E5" w:rsidP="00DF13E5">
      <w:pPr>
        <w:pStyle w:val="ParaNoNdepar-AltN"/>
        <w:rPr>
          <w:rFonts w:cs="Times New Roman"/>
          <w:lang w:val="fr-CA"/>
        </w:rPr>
      </w:pPr>
      <w:r w:rsidRPr="00565B7B">
        <w:rPr>
          <w:rFonts w:cs="Times New Roman"/>
          <w:lang w:val="fr-CA"/>
        </w:rPr>
        <w:t xml:space="preserve">Bien que les motifs dissidents mettent l’accent sur la source du pouvoir de « renonciation » prévu au par. 14.06(4), la présente affaire ne porte aucunement sur la source de ce pouvoir ou sur la question de savoir si GTL a « renoncé » avec succès aux biens faisant l’objet de la renonciation. Je me contente de signaler brièvement que, même si les juges dissidents s’appuient sur un supposé pouvoir de « renonciation » en common law, les parties n’ont renvoyé à la Cour aucune décision — et les juges dissidents n’en ont cité aucune — attestant l’existence d’un pouvoir en common law qui permet au syndic de « renoncer » à un </w:t>
      </w:r>
      <w:r w:rsidRPr="00565B7B">
        <w:rPr>
          <w:rFonts w:cs="Times New Roman"/>
          <w:i/>
          <w:lang w:val="fr-CA"/>
        </w:rPr>
        <w:t>bien réel</w:t>
      </w:r>
      <w:r w:rsidRPr="00565B7B">
        <w:rPr>
          <w:rFonts w:cs="Times New Roman"/>
          <w:lang w:val="fr-CA"/>
        </w:rPr>
        <w:t xml:space="preserve">. Quoi qu’il en soit, peu importe la source de ce pouvoir, rien dans le par. 14.06(4) ne donne à penser que le syndic « renonçant » à des biens réels peut tout simplement se soustraire aux ordonnances environnementales qui s’appliquent à eux. Bien au contraire, la disposition prévoit clairement que, si une ordonnance environnementale a été rendue, la « renonciation » emporte la cessation de la responsabilité personnelle. On ne fait état d’aucun effet de la renonciation sur la responsabilité de l’actif du failli. Si le Parlement avait voulu </w:t>
      </w:r>
      <w:r w:rsidRPr="00565B7B">
        <w:rPr>
          <w:rFonts w:cs="Times New Roman"/>
          <w:lang w:val="fr-CA"/>
        </w:rPr>
        <w:lastRenderedPageBreak/>
        <w:t xml:space="preserve">investir les syndics du pouvoir de délaisser entièrement les biens visés par des engagements environnementaux, il aurait pu le faire aisément. </w:t>
      </w:r>
    </w:p>
    <w:p w:rsidR="00DF13E5" w:rsidRPr="00565B7B" w:rsidRDefault="00DF13E5" w:rsidP="00DF13E5">
      <w:pPr>
        <w:pStyle w:val="ParaNoNdepar-AltN"/>
        <w:rPr>
          <w:rFonts w:cs="Times New Roman"/>
          <w:lang w:val="fr-CA"/>
        </w:rPr>
      </w:pPr>
      <w:r w:rsidRPr="00565B7B">
        <w:rPr>
          <w:rFonts w:cs="Times New Roman"/>
          <w:lang w:val="fr-CA"/>
        </w:rPr>
        <w:t>En outre, comme je l’ai mentionné, le par. 14.06(4) ne vise pas uniquement la « renonciation » au sens formel. D’après le sous</w:t>
      </w:r>
      <w:r w:rsidRPr="00565B7B">
        <w:rPr>
          <w:rFonts w:cs="Times New Roman"/>
          <w:lang w:val="fr-CA"/>
        </w:rPr>
        <w:noBreakHyphen/>
        <w:t xml:space="preserve">al. 14.06(4)a)(ii), le syndic est dégagé de toute responsabilité personnelle à l’égard d’une ordonnance environnementale lorsqu’il « abandonne [. . .] tout intérêt sur le bien réel en cause, en dispose ou s’en dessaisit ». Le présent pourvoi ne nous oblige cependant pas à décider ce qui constitue l’abandon, la disposition ou le dessaisissement d’un bien réel pour l’application du par. 14.06(4), et je remets le règlement de ce point à une autre occasion. Le pourvoi ne nous oblige pas non plus à décider des effets d’une renonciation réussie en vertu de l’art. 20 de la </w:t>
      </w:r>
      <w:r w:rsidRPr="003402F5">
        <w:rPr>
          <w:rFonts w:cs="Times New Roman"/>
          <w:i/>
          <w:lang w:val="fr-CA"/>
        </w:rPr>
        <w:t>LFI</w:t>
      </w:r>
      <w:r w:rsidRPr="00565B7B">
        <w:rPr>
          <w:rFonts w:cs="Times New Roman"/>
          <w:lang w:val="fr-CA"/>
        </w:rPr>
        <w:t xml:space="preserve">. GTL n’a pas invoqué cet article ni soutenu qu’il lui accordait le pouvoir d’abandonner toute responsabilité ou obligation ou tout engagement applicable aux biens faisant l’objet de la renonciation. </w:t>
      </w:r>
    </w:p>
    <w:p w:rsidR="00DF13E5" w:rsidRPr="00565B7B" w:rsidRDefault="00DF13E5" w:rsidP="00DF13E5">
      <w:pPr>
        <w:pStyle w:val="ParaNoNdepar-AltN"/>
        <w:rPr>
          <w:rFonts w:cs="Times New Roman"/>
          <w:lang w:val="fr-CA"/>
        </w:rPr>
      </w:pPr>
      <w:r w:rsidRPr="00565B7B">
        <w:rPr>
          <w:rFonts w:cs="Times New Roman"/>
          <w:lang w:val="fr-CA"/>
        </w:rPr>
        <w:t xml:space="preserve">D’après les juges dissidents, d’autres parties du régime de l’art. 14.06 sont plus sensées si le par. 14.06(4) limite la responsabilité de l’actif. À l’exception du par. 14.06(2), aucune de ces dispositions n’était en litige dans la présente affaire et aucune d’elles n’a été invoquée par GTL. Quoi qu’il en soit, étant donné le libellé clair et sans équivoque de ce paragraphe, le poids à accorder à son contexte législatif est amoindri. Cela est d’autant plus vrai que l’autre interprétation proposée obligerait la Cour à écarter des mots comme « personnelle » du paragraphe. Tel qu’il a été mentionné, </w:t>
      </w:r>
      <w:r w:rsidRPr="00565B7B">
        <w:rPr>
          <w:rFonts w:cs="Times New Roman"/>
          <w:lang w:val="fr-FR"/>
        </w:rPr>
        <w:t>lorsque le libellé d’une disposition est précis et sans équivoque, le sens ordinaire des mots joue un rôle primordial dans le processus d’interprétation</w:t>
      </w:r>
      <w:r w:rsidRPr="00565B7B">
        <w:rPr>
          <w:rFonts w:cs="Times New Roman"/>
          <w:lang w:val="fr-CA"/>
        </w:rPr>
        <w:t xml:space="preserve"> (</w:t>
      </w:r>
      <w:r w:rsidRPr="00565B7B">
        <w:rPr>
          <w:rFonts w:cs="Times New Roman"/>
          <w:i/>
          <w:lang w:val="fr-CA"/>
        </w:rPr>
        <w:t>Hypothèques Trustco Canada c. Canada</w:t>
      </w:r>
      <w:r w:rsidRPr="00565B7B">
        <w:rPr>
          <w:rFonts w:cs="Times New Roman"/>
          <w:lang w:val="fr-CA"/>
        </w:rPr>
        <w:t xml:space="preserve">, 2005 CSC 54, [2005] 2 R.C.S. 601, par. 10). </w:t>
      </w:r>
      <w:r w:rsidRPr="00565B7B">
        <w:rPr>
          <w:rFonts w:cs="Times New Roman"/>
          <w:lang w:val="fr-CA"/>
        </w:rPr>
        <w:lastRenderedPageBreak/>
        <w:t xml:space="preserve">En dernière analyse, les conséquences de la « renonciation » du syndic sont claires : l’immunité contre la responsabilité personnelle, </w:t>
      </w:r>
      <w:r w:rsidR="003402F5">
        <w:rPr>
          <w:rFonts w:cs="Times New Roman"/>
          <w:lang w:val="fr-CA"/>
        </w:rPr>
        <w:t>et non celle de l’actif. Le paragraphe</w:t>
      </w:r>
      <w:r w:rsidRPr="00565B7B">
        <w:rPr>
          <w:rFonts w:cs="Times New Roman"/>
          <w:lang w:val="fr-CA"/>
        </w:rPr>
        <w:t> 14.06(4) ne souffre à première vue d’aucune ambiguïté. Notre Cour n’a d’autre choix que d’accéder à l’intention manifeste du Parlement.</w:t>
      </w:r>
    </w:p>
    <w:p w:rsidR="00DF13E5" w:rsidRPr="00565B7B" w:rsidRDefault="00DF13E5" w:rsidP="00DF13E5">
      <w:pPr>
        <w:pStyle w:val="ParaNoNdepar-AltN"/>
        <w:rPr>
          <w:rFonts w:cs="Times New Roman"/>
          <w:lang w:val="fr-CA"/>
        </w:rPr>
      </w:pPr>
      <w:r w:rsidRPr="00565B7B">
        <w:rPr>
          <w:rFonts w:cs="Times New Roman"/>
          <w:lang w:val="fr-CA"/>
        </w:rPr>
        <w:t xml:space="preserve">Je passe maintenant au </w:t>
      </w:r>
      <w:r>
        <w:rPr>
          <w:rFonts w:cs="Times New Roman"/>
          <w:lang w:val="fr-CA"/>
        </w:rPr>
        <w:t>rapport entre</w:t>
      </w:r>
      <w:r w:rsidRPr="00565B7B">
        <w:rPr>
          <w:rFonts w:cs="Times New Roman"/>
          <w:lang w:val="fr-CA"/>
        </w:rPr>
        <w:t xml:space="preserve"> les par. 14.06(2) et (4).</w:t>
      </w:r>
    </w:p>
    <w:p w:rsidR="00DF13E5" w:rsidRPr="00565B7B" w:rsidRDefault="00DF13E5" w:rsidP="00DF13E5">
      <w:pPr>
        <w:pStyle w:val="Title4LevelTitre4Niveau"/>
        <w:rPr>
          <w:rFonts w:cs="Times New Roman"/>
          <w:lang w:val="fr-CA"/>
        </w:rPr>
      </w:pPr>
      <w:r w:rsidRPr="00565B7B">
        <w:rPr>
          <w:rFonts w:cs="Times New Roman"/>
          <w:lang w:val="fr-CA"/>
        </w:rPr>
        <w:t>La manière dont le par. 14.06(4) se distingue du par. 14.06(2)</w:t>
      </w:r>
    </w:p>
    <w:p w:rsidR="00DF13E5" w:rsidRPr="00565B7B" w:rsidRDefault="00DF13E5" w:rsidP="00DF13E5">
      <w:pPr>
        <w:pStyle w:val="ParaNoNdepar-AltN"/>
        <w:rPr>
          <w:rFonts w:cs="Times New Roman"/>
          <w:lang w:val="fr-CA"/>
        </w:rPr>
      </w:pPr>
      <w:r w:rsidRPr="00565B7B">
        <w:rPr>
          <w:rFonts w:cs="Times New Roman"/>
          <w:lang w:val="fr-CA"/>
        </w:rPr>
        <w:t xml:space="preserve">En l’espèce, GTL s’est fondé uniquement sur le par. 14.06(4) pour prétendre « renoncer » aux biens faisant l’objet de la renonciation. Or, comme je l’expliquerai, que l’on considère ou non que GTL a « renoncé » aux biens en question, il est entièrement protégé contre toute responsabilité personnelle à l’égard des engagements environnementaux associés à ces biens. Toutefois, il ne peut tout simplement pas les « délaisser » dans un cas comme dans l’autre. </w:t>
      </w:r>
    </w:p>
    <w:p w:rsidR="00DF13E5" w:rsidRPr="00565B7B" w:rsidRDefault="00DF13E5" w:rsidP="00DF13E5">
      <w:pPr>
        <w:pStyle w:val="ParaNoNdepar-AltN"/>
        <w:rPr>
          <w:rFonts w:cs="Times New Roman"/>
          <w:lang w:val="fr-CA"/>
        </w:rPr>
      </w:pPr>
      <w:r w:rsidRPr="00565B7B">
        <w:rPr>
          <w:rFonts w:cs="Times New Roman"/>
          <w:lang w:val="fr-CA"/>
        </w:rPr>
        <w:t xml:space="preserve">Que GTL puisse ou non se prévaloir du par. 14.06(4) (autrement dit, qu’il ait « renoncé » ou non aux biens en question), il est déjà entièrement à l’abri de toute responsabilité personnelle en matière environnementale par application du par. 14.06(2). Ce paragraphe dégage les syndics de toute responsabilité personnelle découlant de « tout fait ou dommage lié à l’environnement », sauf celui causé par sa négligence grave ou son inconduite délibérée après sa nomination. En l’espèce, personne ne conteste que le fait ou dommage lié à l’environnement à l’origine des ordonnances d’abandon est survenu avant la nomination de GTL. Le paragraphe 14.06(2) offre aux syndics une protection contre toute responsabilité personnelle aussi large que celle fournie par le par. 14.06(4). Bien qu’à la lecture des </w:t>
      </w:r>
      <w:r w:rsidRPr="00565B7B">
        <w:rPr>
          <w:rFonts w:cs="Times New Roman"/>
          <w:lang w:val="fr-CA"/>
        </w:rPr>
        <w:lastRenderedPageBreak/>
        <w:t>dispositions, le par. 14.06(4) semble offrir de deux manières une protection plus large, aucune d’entre elles ne résiste à un examen plus approfondi.</w:t>
      </w:r>
    </w:p>
    <w:p w:rsidR="00DF13E5" w:rsidRPr="00565B7B" w:rsidRDefault="00DF13E5" w:rsidP="00DF13E5">
      <w:pPr>
        <w:pStyle w:val="ParaNoNdepar-AltN"/>
        <w:rPr>
          <w:rFonts w:cs="Times New Roman"/>
          <w:lang w:val="fr-CA"/>
        </w:rPr>
      </w:pPr>
      <w:r w:rsidRPr="00565B7B">
        <w:rPr>
          <w:rFonts w:cs="Times New Roman"/>
          <w:lang w:val="fr-CA"/>
        </w:rPr>
        <w:t>En premier lieu, l’organisme de réglementation soutient qu’il y a lieu de distinguer la protection offerte par le par. 14.06(4) de celle accordée par le par. 14.06(2) car le premier concerne les « ordonnances » tandis que le deuxième intéresse les obligations environnementales en général. Je conviens avec les juges dissidents qu’il est impossible d’établir une distinction convaincante entre la responsabilité d’un fait ou dommage lié à l’environnement (prétendument visé par le par. 14.06(2)) et celle découlant du non</w:t>
      </w:r>
      <w:r w:rsidRPr="00565B7B">
        <w:rPr>
          <w:rFonts w:cs="Times New Roman"/>
          <w:lang w:val="fr-CA"/>
        </w:rPr>
        <w:noBreakHyphen/>
        <w:t>respect d’une ordonnance de réparation du fait ou dommage en question (prétendument visé par le par. 14.06(4)). Comme l’indiquent les motifs dissidents, « [c]ette distinction est tout à fait artificielle » (par. 212). La responsabilité sous</w:t>
      </w:r>
      <w:r w:rsidRPr="00565B7B">
        <w:rPr>
          <w:rFonts w:cs="Times New Roman"/>
          <w:lang w:val="fr-CA"/>
        </w:rPr>
        <w:noBreakHyphen/>
        <w:t>jacente sur laquelle portent les ordonnances environnementales découle du « fait ou dommage lié à l’environnement » et est prévue au par. 14.06(2). En second lieu, à la lecture du par. 14.06(4), celui</w:t>
      </w:r>
      <w:r w:rsidRPr="00565B7B">
        <w:rPr>
          <w:rFonts w:cs="Times New Roman"/>
          <w:lang w:val="fr-CA"/>
        </w:rPr>
        <w:noBreakHyphen/>
        <w:t xml:space="preserve">ci ne prévoit aucune exception pour négligence grave ou inconduite délibérée après la nomination, contrairement au par. 14.06(2). Le </w:t>
      </w:r>
      <w:r w:rsidR="003402F5">
        <w:rPr>
          <w:rFonts w:cs="Times New Roman"/>
          <w:lang w:val="fr-CA"/>
        </w:rPr>
        <w:t>paragraphe</w:t>
      </w:r>
      <w:r w:rsidRPr="00565B7B">
        <w:rPr>
          <w:rFonts w:cs="Times New Roman"/>
          <w:lang w:val="fr-CA"/>
        </w:rPr>
        <w:t xml:space="preserve"> 14.06(4) s’applique toutefois expressément « sous réserve du paragraphe (2) ». Je suis d’accord avec les juges dissidents pour dire que, d’après la seule </w:t>
      </w:r>
      <w:r w:rsidR="00E75558" w:rsidRPr="00565B7B">
        <w:rPr>
          <w:rFonts w:cs="Times New Roman"/>
          <w:lang w:val="fr-CA"/>
        </w:rPr>
        <w:t>interprétation</w:t>
      </w:r>
      <w:r w:rsidRPr="00565B7B">
        <w:rPr>
          <w:rFonts w:cs="Times New Roman"/>
          <w:lang w:val="fr-CA"/>
        </w:rPr>
        <w:t xml:space="preserve"> que l’on peut donner à cette disposition, le syndic ayant causé un fait ou un dommage lié à l’environnement par son inconduite délibérée ou sa négligence grave engagerait toujours sa responsabilité personnelle même s’il invoque le par. 14.06(4). </w:t>
      </w:r>
    </w:p>
    <w:p w:rsidR="00DF13E5" w:rsidRPr="00565B7B" w:rsidRDefault="00DF13E5" w:rsidP="00DF13E5">
      <w:pPr>
        <w:pStyle w:val="ParaNoNdepar-AltN"/>
        <w:rPr>
          <w:rFonts w:cs="Times New Roman"/>
          <w:lang w:val="fr-CA"/>
        </w:rPr>
      </w:pPr>
      <w:r w:rsidRPr="00565B7B">
        <w:rPr>
          <w:rFonts w:cs="Times New Roman"/>
          <w:lang w:val="fr-CA"/>
        </w:rPr>
        <w:t xml:space="preserve">Ainsi, le par. 14.06(4) n’offre pas aux syndics une protection contre la responsabilité personnelle plus large que celle fournie par le par. 14.06(2). Malgré cela, j’estime que le Parlement avait de bonnes raisons d’adopter le par. 14.06(4) en 1997. </w:t>
      </w:r>
      <w:r w:rsidRPr="00565B7B">
        <w:rPr>
          <w:rFonts w:cs="Times New Roman"/>
          <w:lang w:val="fr-CA"/>
        </w:rPr>
        <w:lastRenderedPageBreak/>
        <w:t xml:space="preserve">La première était de préciser aux syndics qu’ils étaient entièrement dégagés de toute responsabilité personnelle à l’égard des faits et dommages liés à l’environnement (en l’absence d’inconduite délibérée ou de négligence grave), surtout dans des cas où ils ont « renoncé » à des biens. Les débats parlementaires indiquent que la réforme de 1997 prenait sa source notamment dans le </w:t>
      </w:r>
      <w:r w:rsidR="00E75558" w:rsidRPr="00565B7B">
        <w:rPr>
          <w:rFonts w:cs="Times New Roman"/>
          <w:lang w:val="fr-CA"/>
        </w:rPr>
        <w:t>vœu</w:t>
      </w:r>
      <w:r w:rsidRPr="00565B7B">
        <w:rPr>
          <w:rFonts w:cs="Times New Roman"/>
          <w:lang w:val="fr-CA"/>
        </w:rPr>
        <w:t xml:space="preserve"> des syndics d’obtenir une certitude accrue. La réforme visait aussi à clarifier l’effet qu’a la « renonciation » d’un syndic sur la responsabilité de l’</w:t>
      </w:r>
      <w:r w:rsidRPr="00565B7B">
        <w:rPr>
          <w:rFonts w:cs="Times New Roman"/>
          <w:i/>
          <w:lang w:val="fr-CA"/>
        </w:rPr>
        <w:t xml:space="preserve">actif du failli </w:t>
      </w:r>
      <w:r w:rsidRPr="00565B7B">
        <w:rPr>
          <w:rFonts w:cs="Times New Roman"/>
          <w:lang w:val="fr-CA"/>
        </w:rPr>
        <w:t xml:space="preserve">relativement aux ordonnances de réparation d’un fait ou dommage lié à l’environnement. En d’autres termes, il ressort du par. 14.06(4) non seulement que le syndic « renonçant » à des biens réels échappe à toute responsabilité personnelle à l’égard des ordonnances environnementales qui visent ces biens, mais aussi que pareille renonciation n’a aucune incidence sur la responsabilité de l’actif du failli. </w:t>
      </w:r>
    </w:p>
    <w:p w:rsidR="00DF13E5" w:rsidRPr="00E75558" w:rsidRDefault="00DF13E5" w:rsidP="00E75558">
      <w:pPr>
        <w:pStyle w:val="ParaNoNdepar-AltN"/>
        <w:rPr>
          <w:rFonts w:cs="Times New Roman"/>
          <w:lang w:val="fr-CA"/>
        </w:rPr>
      </w:pPr>
      <w:r w:rsidRPr="00565B7B">
        <w:rPr>
          <w:rFonts w:cs="Times New Roman"/>
          <w:lang w:val="fr-CA"/>
        </w:rPr>
        <w:t>En 1992, le Parlement s’est penché sur la responsabilité potentielle des syndics en matière environnementale et a édicté le par. 14.06(2). Cette disposition prévoyait au départ que le syndic était dégagé de toute responsabilité personnelle découlant d’un fait ou dommage l</w:t>
      </w:r>
      <w:r w:rsidR="00E75558">
        <w:rPr>
          <w:rFonts w:cs="Times New Roman"/>
          <w:lang w:val="fr-CA"/>
        </w:rPr>
        <w:t>ié à l’environnement survenu « </w:t>
      </w:r>
      <w:r w:rsidRPr="00565B7B">
        <w:rPr>
          <w:rFonts w:cs="Times New Roman"/>
          <w:lang w:val="fr-CA"/>
        </w:rPr>
        <w:t xml:space="preserve">a) avant sa nomination [. . .]; ou b) après sa nomination, sauf d’un fait ou dommage causé par son omission d’agir avec la prudence voulue ». Il appert des débats parlementaires que les syndics étaient insatisfaits du libellé initial du par. 14.06(2). Comme l’explique M. Hains, ils se sont plaints que la norme de diligence raisonnable était « trop vague. </w:t>
      </w:r>
      <w:r w:rsidR="00E75558">
        <w:rPr>
          <w:rFonts w:cs="Times New Roman"/>
          <w:lang w:val="fr-CA"/>
        </w:rPr>
        <w:t xml:space="preserve">Nul ne sait comment l’interpréter, et les interprétations peuvent varier d’une affaire à l’autre. Étant donné le libellé trop vague de la norme, le fait que l’on ignore ce qu’il faut faire pour y satisfaire et le risque de responsabilité personnelle, les syndics ne cherchaient même pas à savoir de quelle manière ils pourraient faire preuve de </w:t>
      </w:r>
      <w:r w:rsidR="00E75558">
        <w:rPr>
          <w:rFonts w:cs="Times New Roman"/>
          <w:lang w:val="fr-CA"/>
        </w:rPr>
        <w:lastRenderedPageBreak/>
        <w:t>diligence raisonnable.</w:t>
      </w:r>
      <w:r w:rsidRPr="00565B7B">
        <w:rPr>
          <w:rFonts w:cs="Times New Roman"/>
          <w:lang w:val="fr-CA"/>
        </w:rPr>
        <w:t> » (</w:t>
      </w:r>
      <w:r w:rsidRPr="00565B7B">
        <w:rPr>
          <w:rFonts w:cs="Times New Roman"/>
          <w:i/>
          <w:lang w:val="fr-CA"/>
        </w:rPr>
        <w:t>Délibérations du comité sénatorial permanent des Banques et du commerce</w:t>
      </w:r>
      <w:r w:rsidRPr="00565B7B">
        <w:rPr>
          <w:rFonts w:cs="Times New Roman"/>
          <w:lang w:val="fr-CA"/>
        </w:rPr>
        <w:t xml:space="preserve">, </w:t>
      </w:r>
      <w:r w:rsidR="00E75558">
        <w:rPr>
          <w:rFonts w:cs="Times New Roman"/>
          <w:lang w:val="fr-CA"/>
        </w:rPr>
        <w:t>n</w:t>
      </w:r>
      <w:r w:rsidR="00E75558" w:rsidRPr="00E75558">
        <w:rPr>
          <w:rFonts w:cs="Times New Roman"/>
          <w:vertAlign w:val="superscript"/>
          <w:lang w:val="fr-CA"/>
        </w:rPr>
        <w:t>o</w:t>
      </w:r>
      <w:r w:rsidR="00E75558">
        <w:rPr>
          <w:rFonts w:cs="Times New Roman"/>
          <w:lang w:val="fr-CA"/>
        </w:rPr>
        <w:t xml:space="preserve"> 13,</w:t>
      </w:r>
      <w:r w:rsidR="00E75558" w:rsidRPr="00E75558">
        <w:rPr>
          <w:rFonts w:cs="Times New Roman"/>
          <w:lang w:val="fr-CA"/>
        </w:rPr>
        <w:t xml:space="preserve"> </w:t>
      </w:r>
      <w:r w:rsidRPr="00E75558">
        <w:rPr>
          <w:rFonts w:cs="Times New Roman"/>
          <w:lang w:val="fr-CA"/>
        </w:rPr>
        <w:t>2</w:t>
      </w:r>
      <w:r w:rsidRPr="00E75558">
        <w:rPr>
          <w:rFonts w:cs="Times New Roman"/>
          <w:vertAlign w:val="superscript"/>
          <w:lang w:val="fr-CA"/>
        </w:rPr>
        <w:t>e</w:t>
      </w:r>
      <w:r w:rsidRPr="00E75558">
        <w:rPr>
          <w:rFonts w:cs="Times New Roman"/>
          <w:lang w:val="fr-CA"/>
        </w:rPr>
        <w:t> sess.,</w:t>
      </w:r>
      <w:r w:rsidR="00E75558" w:rsidRPr="00E75558">
        <w:rPr>
          <w:rFonts w:cs="Times New Roman"/>
          <w:lang w:val="fr-CA"/>
        </w:rPr>
        <w:t xml:space="preserve"> 35</w:t>
      </w:r>
      <w:r w:rsidR="00E75558" w:rsidRPr="00E75558">
        <w:rPr>
          <w:rFonts w:cs="Times New Roman"/>
          <w:vertAlign w:val="superscript"/>
          <w:lang w:val="fr-CA"/>
        </w:rPr>
        <w:t>e</w:t>
      </w:r>
      <w:r w:rsidR="004F4623">
        <w:rPr>
          <w:rFonts w:cs="Times New Roman"/>
          <w:lang w:val="fr-CA"/>
        </w:rPr>
        <w:t> lég</w:t>
      </w:r>
      <w:r w:rsidR="00E75558">
        <w:rPr>
          <w:rFonts w:cs="Times New Roman"/>
          <w:lang w:val="fr-CA"/>
        </w:rPr>
        <w:t>.,</w:t>
      </w:r>
      <w:r w:rsidRPr="00E75558">
        <w:rPr>
          <w:rFonts w:cs="Times New Roman"/>
          <w:lang w:val="fr-CA"/>
        </w:rPr>
        <w:t xml:space="preserve"> 4 novembre 1996, p. 15</w:t>
      </w:r>
      <w:r w:rsidR="003402F5">
        <w:rPr>
          <w:rFonts w:cs="Times New Roman"/>
          <w:lang w:val="fr-CA"/>
        </w:rPr>
        <w:t>-</w:t>
      </w:r>
      <w:r w:rsidRPr="00E75558">
        <w:rPr>
          <w:rFonts w:cs="Times New Roman"/>
          <w:lang w:val="fr-CA"/>
        </w:rPr>
        <w:t xml:space="preserve">16). </w:t>
      </w:r>
    </w:p>
    <w:p w:rsidR="00DF13E5" w:rsidRPr="00565B7B" w:rsidRDefault="00DF13E5" w:rsidP="00DF13E5">
      <w:pPr>
        <w:pStyle w:val="ParaNoNdepar-AltN"/>
        <w:rPr>
          <w:rFonts w:cs="Times New Roman"/>
          <w:lang w:val="fr-CA"/>
        </w:rPr>
      </w:pPr>
      <w:r w:rsidRPr="00565B7B">
        <w:rPr>
          <w:rFonts w:cs="Times New Roman"/>
          <w:lang w:val="fr-CA"/>
        </w:rPr>
        <w:t xml:space="preserve">En conséquence, le Parlement a réformé la </w:t>
      </w:r>
      <w:r w:rsidRPr="006052D6">
        <w:rPr>
          <w:rFonts w:cs="Times New Roman"/>
          <w:i/>
          <w:lang w:val="fr-CA"/>
        </w:rPr>
        <w:t xml:space="preserve">LFI </w:t>
      </w:r>
      <w:r w:rsidRPr="00565B7B">
        <w:rPr>
          <w:rFonts w:cs="Times New Roman"/>
          <w:lang w:val="fr-CA"/>
        </w:rPr>
        <w:t>en 1997. Cette réforme a non seulement modifié la norme visant la protection que le par. 14.06(2) offre aux syndics par l’adoption du texte actuel, mais elle a aussi introduit le par. 14.06(4). Comme le montre</w:t>
      </w:r>
      <w:r w:rsidR="00E75558">
        <w:rPr>
          <w:rFonts w:cs="Times New Roman"/>
          <w:lang w:val="fr-CA"/>
        </w:rPr>
        <w:t>nt</w:t>
      </w:r>
      <w:r w:rsidRPr="00565B7B">
        <w:rPr>
          <w:rFonts w:cs="Times New Roman"/>
          <w:lang w:val="fr-CA"/>
        </w:rPr>
        <w:t xml:space="preserve"> à l’évidence les termes qu’ils ont en commun, les dispositions étaient censées s’appliquer ensemble pour clarifier l’immunité de responsabilité personnelle dont bénéficient les syndics à l’égard de tout fait ou dommage lié à l’environnement. Le paragraphe 14.06(4) leur offre la certitude qu’ils recherchaient avant 1997. Pour la première fois, il établissait en termes exprès un lien entre la notion de « renonciation » et le régime dégageant les syndics de toute responsabilité environnementale. Qu’on le voit comme un pouvoir de common law ou un renvoi à d’autres dispositions légales, le concept de « renonciation » précède le par. 14.06(4) lui</w:t>
      </w:r>
      <w:r w:rsidRPr="00565B7B">
        <w:rPr>
          <w:rFonts w:cs="Times New Roman"/>
          <w:lang w:val="fr-CA"/>
        </w:rPr>
        <w:noBreakHyphen/>
        <w:t xml:space="preserve">même ainsi que la version de 1992 du par. 14.06(2). Il peut aussi y avoir « renonciation » dans différents contextes, tel celui des contrats exécutoires étudiés dans </w:t>
      </w:r>
      <w:r w:rsidRPr="00565B7B">
        <w:rPr>
          <w:rFonts w:cs="Times New Roman"/>
          <w:i/>
          <w:lang w:val="fr-CA"/>
        </w:rPr>
        <w:t>New Skeena Forest Products Inc. c. Don Hull &amp; Sons Contracting Ltd.</w:t>
      </w:r>
      <w:r w:rsidRPr="00565B7B">
        <w:rPr>
          <w:rFonts w:cs="Times New Roman"/>
          <w:lang w:val="fr-CA"/>
        </w:rPr>
        <w:t>, 2005 BCCA 154, 251 D.L.R. (4</w:t>
      </w:r>
      <w:r w:rsidRPr="001A78FE">
        <w:rPr>
          <w:rFonts w:cs="Times New Roman"/>
          <w:lang w:val="fr-CA"/>
        </w:rPr>
        <w:t>th</w:t>
      </w:r>
      <w:r w:rsidRPr="00565B7B">
        <w:rPr>
          <w:rFonts w:cs="Times New Roman"/>
          <w:lang w:val="fr-CA"/>
        </w:rPr>
        <w:t xml:space="preserve">) 328. </w:t>
      </w:r>
    </w:p>
    <w:p w:rsidR="00DF13E5" w:rsidRPr="00565B7B" w:rsidRDefault="00DF13E5" w:rsidP="00DF13E5">
      <w:pPr>
        <w:pStyle w:val="ParaNoNdepar-AltN"/>
        <w:rPr>
          <w:rFonts w:cs="Times New Roman"/>
          <w:lang w:val="fr-CA"/>
        </w:rPr>
      </w:pPr>
      <w:r w:rsidRPr="00565B7B">
        <w:rPr>
          <w:rFonts w:cs="Times New Roman"/>
          <w:lang w:val="fr-CA"/>
        </w:rPr>
        <w:t xml:space="preserve">Avant 1997, on ne savait pas quels effets la « renonciation » à des biens réels avait sur la responsabilité environnementale. Plus précisément, on ne connaissait pas l’effet que pouvait avoir la renonciation sur la responsabilité de l’actif du failli, vu que la législation environnementale imposait une responsabilité fondée sur l’acquisition du statut de propriétaire, de partie en possession du bien ou de titulaire de permis (voir J. Klimek, </w:t>
      </w:r>
      <w:r w:rsidRPr="00565B7B">
        <w:rPr>
          <w:rFonts w:cs="Times New Roman"/>
          <w:i/>
          <w:lang w:val="fr-CA"/>
        </w:rPr>
        <w:t>Insolvency and Environment Liability</w:t>
      </w:r>
      <w:r w:rsidRPr="00565B7B">
        <w:rPr>
          <w:rFonts w:cs="Times New Roman"/>
          <w:lang w:val="fr-CA"/>
        </w:rPr>
        <w:t xml:space="preserve"> (1994), p. 4</w:t>
      </w:r>
      <w:r w:rsidRPr="00565B7B">
        <w:rPr>
          <w:rFonts w:cs="Times New Roman"/>
          <w:lang w:val="fr-CA"/>
        </w:rPr>
        <w:noBreakHyphen/>
        <w:t>19</w:t>
      </w:r>
      <w:r>
        <w:rPr>
          <w:rFonts w:cs="Times New Roman"/>
          <w:lang w:val="fr-CA"/>
        </w:rPr>
        <w:t>)</w:t>
      </w:r>
      <w:r w:rsidRPr="00565B7B">
        <w:rPr>
          <w:rFonts w:cs="Times New Roman"/>
          <w:lang w:val="fr-CA"/>
        </w:rPr>
        <w:t xml:space="preserve">. En </w:t>
      </w:r>
      <w:r w:rsidRPr="00565B7B">
        <w:rPr>
          <w:rFonts w:cs="Times New Roman"/>
          <w:lang w:val="fr-CA"/>
        </w:rPr>
        <w:lastRenderedPageBreak/>
        <w:t>adoptant le par. 14.06(4), le Parlement a précisé que la « renonciation » à des biens réels avait pour effet de limiter la responsabilité personnelle du syndic, et non celle de l’actif du failli, aux ordonnances de</w:t>
      </w:r>
      <w:r w:rsidR="00E75558">
        <w:rPr>
          <w:rFonts w:cs="Times New Roman"/>
          <w:lang w:val="fr-CA"/>
        </w:rPr>
        <w:t xml:space="preserve"> réparation de tout fait ou dom</w:t>
      </w:r>
      <w:r w:rsidRPr="00565B7B">
        <w:rPr>
          <w:rFonts w:cs="Times New Roman"/>
          <w:lang w:val="fr-CA"/>
        </w:rPr>
        <w:t xml:space="preserve">mage lié à l’environnement. Le Parlement aurait pu se contenter d’actualiser le texte du par. 14.06(2) en 1997, mais cela aurait laissé en suspens la question de la « renonciation » et de la responsabilité de l’actif. La connaissance de l’incidence de la « renonciation » pourrait avoir de l’importance pour le syndic qui décide d’accepter ou non un mandat. Le paragraphe 14.06(4) a donc dissipé considérablement l’imprécision dont se plaignaient les syndics avant 1997. </w:t>
      </w:r>
    </w:p>
    <w:p w:rsidR="00DF13E5" w:rsidRPr="00565B7B" w:rsidRDefault="00DF13E5" w:rsidP="00DF13E5">
      <w:pPr>
        <w:pStyle w:val="ParaNoNdepar-AltN"/>
        <w:rPr>
          <w:rFonts w:cs="Times New Roman"/>
          <w:lang w:val="fr-CA"/>
        </w:rPr>
      </w:pPr>
      <w:r w:rsidRPr="00565B7B">
        <w:rPr>
          <w:rFonts w:cs="Times New Roman"/>
          <w:lang w:val="fr-CA"/>
        </w:rPr>
        <w:t xml:space="preserve">Un aspect digne de mention du régime conçu par le Parlement est l’application du par. 14.06(4) « [p]ar dérogation au droit fédéral et provincial ». En adoptant ce paragraphe, le Parlement a précisé l’effet de la « renonciation » à des biens réels uniquement dans le contexte des </w:t>
      </w:r>
      <w:r w:rsidRPr="00565B7B">
        <w:rPr>
          <w:rFonts w:cs="Times New Roman"/>
          <w:i/>
          <w:lang w:val="fr-CA"/>
        </w:rPr>
        <w:t>ordonnances environnementales</w:t>
      </w:r>
      <w:r w:rsidRPr="00565B7B">
        <w:rPr>
          <w:rFonts w:cs="Times New Roman"/>
          <w:lang w:val="fr-CA"/>
        </w:rPr>
        <w:t xml:space="preserve">. L’effet de la « renonciation » sur la responsabilité dans d’autres contextes n’a pas été abordé. Le Parlement se souciait des ordonnances de réparation de tout fait ou dommage lié à l’environnement où la responsabilité est fréquemment engagée en raison du statut de propriétaire, de partie ayant le contrôle du bien ou de titulaire de permis. Le Parlement ne voulait pas que les syndics croient pouvoir échapper à la responsabilité environnementale de l’actif par la « renonciation ». Il a donc utilisé des termes précis pour indiquer que le seul effet de la « renonciation » à des biens réels sur des ordonnances de réparation d’un fait ou dommage lié à l’environnement est que le syndic est dégagé de toute responsabilité personnelle. Il se peut que la « renonciation » ait un effet différent sur la responsabilité de l’actif du failli dans d’autres contextes. </w:t>
      </w:r>
    </w:p>
    <w:p w:rsidR="00DF13E5" w:rsidRPr="00565B7B" w:rsidRDefault="00DF13E5" w:rsidP="00DF13E5">
      <w:pPr>
        <w:pStyle w:val="ParaNoNdepar-AltN"/>
        <w:rPr>
          <w:rFonts w:cs="Times New Roman"/>
          <w:lang w:val="fr-CA"/>
        </w:rPr>
      </w:pPr>
      <w:r w:rsidRPr="00565B7B">
        <w:rPr>
          <w:rFonts w:cs="Times New Roman"/>
          <w:lang w:val="fr-CA"/>
        </w:rPr>
        <w:lastRenderedPageBreak/>
        <w:t>Le paragraphe 14.06(4) établit donc clairement que la « renonciation » du syndic n’a aucun effet sur la responsabilité continue de l’</w:t>
      </w:r>
      <w:r w:rsidRPr="00565B7B">
        <w:rPr>
          <w:rFonts w:cs="Times New Roman"/>
          <w:i/>
          <w:lang w:val="fr-CA"/>
        </w:rPr>
        <w:t xml:space="preserve">actif du failli </w:t>
      </w:r>
      <w:r w:rsidRPr="00565B7B">
        <w:rPr>
          <w:rFonts w:cs="Times New Roman"/>
          <w:lang w:val="fr-CA"/>
        </w:rPr>
        <w:t>pour ce qui est des ordonnances de réparation de tout fait ou dommage lié à l’environnement. Bien entendu, il n’est absolument pas question de la responsabilité de l’actif du failli au par. 14.06(2). Ainsi, on constate que les par. 14.06(4) et (2) sont effectivement différents : ils fournissent peut</w:t>
      </w:r>
      <w:r w:rsidRPr="00565B7B">
        <w:rPr>
          <w:rFonts w:cs="Times New Roman"/>
          <w:lang w:val="fr-CA"/>
        </w:rPr>
        <w:noBreakHyphen/>
        <w:t xml:space="preserve">être aux syndics la même protection contre la responsabilité personnelle, mais seul le premier se rapporte à la responsabilité de l’actif. Le paragraphe 14.06(2) protège les syndics sans qu’ils aient à l’invoquer; il est muet sur les résultats de la « renonciation » d’un syndic. </w:t>
      </w:r>
    </w:p>
    <w:p w:rsidR="00DF13E5" w:rsidRPr="00565B7B" w:rsidRDefault="00DF13E5" w:rsidP="00DF13E5">
      <w:pPr>
        <w:pStyle w:val="ParaNoNdepar-AltN"/>
        <w:rPr>
          <w:rFonts w:cs="Times New Roman"/>
          <w:lang w:val="fr-CA"/>
        </w:rPr>
      </w:pPr>
      <w:r w:rsidRPr="00565B7B">
        <w:rPr>
          <w:rFonts w:cs="Times New Roman"/>
          <w:lang w:val="fr-CA"/>
        </w:rPr>
        <w:t>Le syndic ayant « renoncé » à des biens réels est dégagé de toute responsabilité personnelle à l’égard d’une ordonnance environnementale applicable à ces biens, mais l’actif du failli lui</w:t>
      </w:r>
      <w:r w:rsidRPr="00565B7B">
        <w:rPr>
          <w:rFonts w:cs="Times New Roman"/>
          <w:lang w:val="fr-CA"/>
        </w:rPr>
        <w:noBreakHyphen/>
        <w:t>même demeure responsable. Bien sûr, le fait que la responsabilité de l’actif du failli demeure engagée même lorsque le syndic invoque le par. 14.06(4) ne veut pas nécessairement dire que le syndic doit respecter les obligations environnementales et qu’elles ont priorité sur toutes les autres réclamations. La priorité d’une réclamation environnementale dépend de la bonne application du critère d’</w:t>
      </w:r>
      <w:r w:rsidRPr="00565B7B">
        <w:rPr>
          <w:rFonts w:cs="Times New Roman"/>
          <w:i/>
          <w:lang w:val="fr-CA"/>
        </w:rPr>
        <w:t>Abitibi</w:t>
      </w:r>
      <w:r w:rsidRPr="00565B7B">
        <w:rPr>
          <w:rFonts w:cs="Times New Roman"/>
          <w:lang w:val="fr-CA"/>
        </w:rPr>
        <w:t xml:space="preserve">, comme je l’expliquerai plus loin. </w:t>
      </w:r>
    </w:p>
    <w:p w:rsidR="00DF13E5" w:rsidRPr="00565B7B" w:rsidRDefault="00DF13E5" w:rsidP="00DF13E5">
      <w:pPr>
        <w:pStyle w:val="ParaNoNdepar-AltN"/>
        <w:rPr>
          <w:rFonts w:cs="Times New Roman"/>
          <w:lang w:val="fr-CA"/>
        </w:rPr>
      </w:pPr>
      <w:r w:rsidRPr="00565B7B">
        <w:rPr>
          <w:rFonts w:cs="Times New Roman"/>
          <w:lang w:val="fr-CA"/>
        </w:rPr>
        <w:t xml:space="preserve">En conséquence, peu importe si l’on considère que GTL a « renoncé » ou non à des biens, le résultat est le même. Puisque le fait ou dommage lié à l’environnement est survenu avant la nomination de GTL, ce dernier est entièrement protégé contre toute responsabilité personnelle par le par. 14.06(2). En revanche, la « renonciation » n’habilite pas le syndic à tout simplement délaisser les biens faisant l’objet de la renonciation quand on l’enjoint à réparer un fait ou dommage lié à </w:t>
      </w:r>
      <w:r w:rsidRPr="00565B7B">
        <w:rPr>
          <w:rFonts w:cs="Times New Roman"/>
          <w:lang w:val="fr-CA"/>
        </w:rPr>
        <w:lastRenderedPageBreak/>
        <w:t>l’environnement. La responsabilité environnementale de l’actif du failli demeure inchangée.</w:t>
      </w:r>
    </w:p>
    <w:p w:rsidR="00DF13E5" w:rsidRPr="00565B7B" w:rsidRDefault="00DF13E5" w:rsidP="00DF13E5">
      <w:pPr>
        <w:pStyle w:val="ParaNoNdepar-AltN"/>
        <w:rPr>
          <w:rFonts w:cs="Times New Roman"/>
          <w:lang w:val="fr-CA"/>
        </w:rPr>
      </w:pPr>
      <w:r w:rsidRPr="00565B7B">
        <w:rPr>
          <w:rFonts w:cs="Times New Roman"/>
          <w:szCs w:val="24"/>
          <w:lang w:val="fr-CA"/>
        </w:rPr>
        <w:t>J’aimerais faire de brèves observations sur le reste du régime de l’art. 14.06 même si, comme je l’ai mentionné, aucune de ces dispositions n’est de fait en litige devant notre Cour. Les juges dissidents soutiennent que l’on créerait des problèmes d’interprétation avec le reste du régime de l’art. 14.06 si on interprétait le par. 14.06(4) comme visant uniquement la responsabilité personnelle des syndics. À mon avis, ces difficultés ne justifient pas que l’on fasse abstraction du sens clair du par. 14.06(4). Aucun principe d’interprétation législative ne requiert que l’on déforme le sens clair d’une disposition pour en rendre le régime plus cohérent. Notre Cour s’est vu confier la tâche d’interpréter le par. 14.06(4) et j’estime que son libellé ne permet qu’une seule interprétation.</w:t>
      </w:r>
    </w:p>
    <w:p w:rsidR="00DF13E5" w:rsidRPr="00565B7B" w:rsidRDefault="00DF13E5" w:rsidP="00535BC7">
      <w:pPr>
        <w:pStyle w:val="Title3LevelTitre3Niveau"/>
        <w:rPr>
          <w:lang w:val="fr-CA"/>
        </w:rPr>
      </w:pPr>
      <w:r w:rsidRPr="00565B7B">
        <w:rPr>
          <w:lang w:val="fr-CA"/>
        </w:rPr>
        <w:t xml:space="preserve">Il n’y a pas de conflit d’application ni d’entrave à la réalisation d’un objet fédéral entre les par. 14.06(2) et (4) de la </w:t>
      </w:r>
      <w:r w:rsidRPr="003402F5">
        <w:rPr>
          <w:i/>
          <w:lang w:val="fr-CA"/>
        </w:rPr>
        <w:t>LFI</w:t>
      </w:r>
      <w:r w:rsidRPr="00565B7B">
        <w:rPr>
          <w:lang w:val="fr-CA"/>
        </w:rPr>
        <w:t xml:space="preserve"> et le régime de réglementation de l’Alberta</w:t>
      </w:r>
    </w:p>
    <w:p w:rsidR="00DF13E5" w:rsidRPr="00565B7B" w:rsidRDefault="00DF13E5" w:rsidP="00DF13E5">
      <w:pPr>
        <w:pStyle w:val="ParaNoNdepar-AltN"/>
        <w:rPr>
          <w:rFonts w:cs="Times New Roman"/>
          <w:lang w:val="fr-CA"/>
        </w:rPr>
      </w:pPr>
      <w:r w:rsidRPr="00565B7B">
        <w:rPr>
          <w:rFonts w:cs="Times New Roman"/>
          <w:szCs w:val="24"/>
          <w:lang w:val="fr-CA"/>
        </w:rPr>
        <w:t xml:space="preserve">Les conflits d’application entre la </w:t>
      </w:r>
      <w:r w:rsidRPr="003402F5">
        <w:rPr>
          <w:rFonts w:cs="Times New Roman"/>
          <w:i/>
          <w:szCs w:val="24"/>
          <w:lang w:val="fr-CA"/>
        </w:rPr>
        <w:t>LFI</w:t>
      </w:r>
      <w:r w:rsidRPr="00565B7B">
        <w:rPr>
          <w:rFonts w:cs="Times New Roman"/>
          <w:szCs w:val="24"/>
          <w:lang w:val="fr-CA"/>
        </w:rPr>
        <w:t xml:space="preserve"> et la législation albertaine allégués par GTL résultent de sa qualité de « titulaire de permis » au sens de l’</w:t>
      </w:r>
      <w:r w:rsidRPr="003402F5">
        <w:rPr>
          <w:rFonts w:cs="Times New Roman"/>
          <w:i/>
          <w:szCs w:val="24"/>
          <w:lang w:val="fr-CA"/>
        </w:rPr>
        <w:t>OGCA</w:t>
      </w:r>
      <w:r w:rsidRPr="00565B7B">
        <w:rPr>
          <w:rFonts w:cs="Times New Roman"/>
          <w:szCs w:val="24"/>
          <w:lang w:val="fr-CA"/>
        </w:rPr>
        <w:t xml:space="preserve"> et de la </w:t>
      </w:r>
      <w:r w:rsidRPr="00565B7B">
        <w:rPr>
          <w:rFonts w:cs="Times New Roman"/>
          <w:i/>
          <w:szCs w:val="24"/>
          <w:lang w:val="fr-CA"/>
        </w:rPr>
        <w:t>Pipeline Act</w:t>
      </w:r>
      <w:r w:rsidRPr="00565B7B">
        <w:rPr>
          <w:rFonts w:cs="Times New Roman"/>
          <w:szCs w:val="24"/>
          <w:lang w:val="fr-CA"/>
        </w:rPr>
        <w:t xml:space="preserve">. Comme je viens de le démontrer, le par. 14.06(4) n’investit pas le syndic du pouvoir de se soustraire à l’ensemble des responsabilités, obligations ou engagements à l’égard de biens auxquels il a été « renoncé ». Il clarifie plutôt l’exonération de responsabilité personnelle dont jouit le syndic et précise que sa « renonciation » n’a aucune incidence sur la responsabilité environnementale de l’actif du failli. Que GTL ait bel et bien « renoncé » ou non aux biens faisant l’objet de la renonciation, il ne peut les délaisser. Vu l’interprétation qu’il convient de donner au </w:t>
      </w:r>
      <w:r w:rsidRPr="00565B7B">
        <w:rPr>
          <w:rFonts w:cs="Times New Roman"/>
          <w:szCs w:val="24"/>
          <w:lang w:val="fr-CA"/>
        </w:rPr>
        <w:lastRenderedPageBreak/>
        <w:t>par. 14.06(4), aucun conflit d’application n’est imputable au fait que, suivant le droit albertain, GTL demeure, en qualité de « titulaire de permis », tenu d’abandonner les biens faisant l’objet de la renonciation et d’utiliser les autres éléments de l’actif de Redwater. De même, le fait que les obligations de fin de vie associées aux biens faisant l’objet de la renonciation sont toujours prises en compte dans le calcul de la CGR de Redwater ne donne lieu à aucun conflit d’application.</w:t>
      </w:r>
    </w:p>
    <w:p w:rsidR="00DF13E5" w:rsidRPr="00565B7B" w:rsidRDefault="00DF13E5" w:rsidP="00DF13E5">
      <w:pPr>
        <w:pStyle w:val="ParaNoNdepar-AltN"/>
        <w:rPr>
          <w:rFonts w:cs="Times New Roman"/>
          <w:lang w:val="fr-CA"/>
        </w:rPr>
      </w:pPr>
      <w:r w:rsidRPr="00565B7B">
        <w:rPr>
          <w:rFonts w:cs="Times New Roman"/>
          <w:lang w:val="fr-CA"/>
        </w:rPr>
        <w:t xml:space="preserve">Donc, qu’il ait « renoncé » effectivement ou non aux biens, GTL est entièrement protégé par le par. 14.06(2) contre toute responsabilité personnelle à l’égard de questions </w:t>
      </w:r>
      <w:r w:rsidR="00E75558" w:rsidRPr="00565B7B">
        <w:rPr>
          <w:rFonts w:cs="Times New Roman"/>
          <w:lang w:val="fr-CA"/>
        </w:rPr>
        <w:t>environnementales</w:t>
      </w:r>
      <w:r w:rsidRPr="00565B7B">
        <w:rPr>
          <w:rFonts w:cs="Times New Roman"/>
          <w:lang w:val="fr-CA"/>
        </w:rPr>
        <w:t xml:space="preserve"> touchant l’actif de Redwater. GTL signale qu’à première vue, l’</w:t>
      </w:r>
      <w:r w:rsidRPr="00F92AFD">
        <w:rPr>
          <w:rFonts w:cs="Times New Roman"/>
          <w:i/>
          <w:lang w:val="fr-CA"/>
        </w:rPr>
        <w:t>OGCA</w:t>
      </w:r>
      <w:r w:rsidRPr="00565B7B">
        <w:rPr>
          <w:rFonts w:cs="Times New Roman"/>
          <w:lang w:val="fr-CA"/>
        </w:rPr>
        <w:t xml:space="preserve"> et la </w:t>
      </w:r>
      <w:r w:rsidRPr="00565B7B">
        <w:rPr>
          <w:rFonts w:cs="Times New Roman"/>
          <w:i/>
          <w:lang w:val="fr-CA"/>
        </w:rPr>
        <w:t>Pipeline Act</w:t>
      </w:r>
      <w:r w:rsidRPr="00565B7B">
        <w:rPr>
          <w:rFonts w:cs="Times New Roman"/>
          <w:lang w:val="fr-CA"/>
        </w:rPr>
        <w:t xml:space="preserve"> n’empêchent aucunement en termes exprès l’organisme de réglementation de le tenir personnellement responsable, à titre de « titulaire de permis », du coût d’exécution des ordonnances d’abandon. Toujours selon GTL, la simple possibilité que la législation albertaine l’oblige à effectuer l’abandon crée un conflit d’application avec l’exonération de responsabilité personnelle qu’accorde le par. 14.06(2) de la </w:t>
      </w:r>
      <w:r w:rsidRPr="00F92AFD">
        <w:rPr>
          <w:rFonts w:cs="Times New Roman"/>
          <w:i/>
          <w:lang w:val="fr-CA"/>
        </w:rPr>
        <w:t>LFI</w:t>
      </w:r>
      <w:r w:rsidRPr="00565B7B">
        <w:rPr>
          <w:rFonts w:cs="Times New Roman"/>
          <w:lang w:val="fr-CA"/>
        </w:rPr>
        <w:t xml:space="preserve">. </w:t>
      </w:r>
    </w:p>
    <w:p w:rsidR="00DF13E5" w:rsidRPr="00565B7B" w:rsidRDefault="00DF13E5" w:rsidP="00DF13E5">
      <w:pPr>
        <w:pStyle w:val="ParaNoNdepar-AltN"/>
        <w:rPr>
          <w:rFonts w:cs="Times New Roman"/>
          <w:lang w:val="fr-CA"/>
        </w:rPr>
      </w:pPr>
      <w:r w:rsidRPr="00565B7B">
        <w:rPr>
          <w:rFonts w:cs="Times New Roman"/>
          <w:lang w:val="fr-CA"/>
        </w:rPr>
        <w:t>Les syndics ne peuvent être personnellement tenus de remplir des obligations de remise en état ou de décontamination — ils sont expressément exonérés de cette responsabilité par l’</w:t>
      </w:r>
      <w:r w:rsidRPr="00F92AFD">
        <w:rPr>
          <w:rFonts w:cs="Times New Roman"/>
          <w:i/>
          <w:lang w:val="fr-CA"/>
        </w:rPr>
        <w:t>EPEA</w:t>
      </w:r>
      <w:r w:rsidRPr="00565B7B">
        <w:rPr>
          <w:rFonts w:cs="Times New Roman"/>
          <w:lang w:val="fr-CA"/>
        </w:rPr>
        <w:t xml:space="preserve"> en l’absence d’inconduite délibérée ou de négligence grave de leur part</w:t>
      </w:r>
      <w:r>
        <w:rPr>
          <w:rFonts w:cs="Times New Roman"/>
          <w:lang w:val="fr-CA"/>
        </w:rPr>
        <w:t xml:space="preserve">. </w:t>
      </w:r>
      <w:r w:rsidRPr="00565B7B">
        <w:rPr>
          <w:rFonts w:cs="Times New Roman"/>
          <w:lang w:val="fr-CA"/>
        </w:rPr>
        <w:t>GTL a raison de dire que son éventuelle obligation, en tant que « titulaire de permis », de procéder à l’abandon n’est pas, de façon similaire, limitée aux éléments de l’actif en application de l’</w:t>
      </w:r>
      <w:r w:rsidRPr="00F92AFD">
        <w:rPr>
          <w:rFonts w:cs="Times New Roman"/>
          <w:i/>
          <w:lang w:val="fr-CA"/>
        </w:rPr>
        <w:t>OGCA</w:t>
      </w:r>
      <w:r w:rsidRPr="00565B7B">
        <w:rPr>
          <w:rFonts w:cs="Times New Roman"/>
          <w:lang w:val="fr-CA"/>
        </w:rPr>
        <w:t xml:space="preserve"> et de la </w:t>
      </w:r>
      <w:r w:rsidRPr="00565B7B">
        <w:rPr>
          <w:rFonts w:cs="Times New Roman"/>
          <w:i/>
          <w:lang w:val="fr-CA"/>
        </w:rPr>
        <w:t>Pipeline Act.</w:t>
      </w:r>
      <w:r w:rsidRPr="00565B7B">
        <w:rPr>
          <w:rFonts w:cs="Times New Roman"/>
          <w:lang w:val="fr-CA"/>
        </w:rPr>
        <w:t xml:space="preserve"> L’organisme de réglementation fait valoir que, [</w:t>
      </w:r>
      <w:r w:rsidRPr="00565B7B">
        <w:rPr>
          <w:rFonts w:cs="Times New Roman"/>
          <w:smallCaps/>
          <w:lang w:val="fr-CA"/>
        </w:rPr>
        <w:t>traduction</w:t>
      </w:r>
      <w:r w:rsidRPr="00565B7B">
        <w:rPr>
          <w:rFonts w:cs="Times New Roman"/>
          <w:lang w:val="fr-CA"/>
        </w:rPr>
        <w:t xml:space="preserve">] « [b]ien que la définition de “titulaire de permis” ne prévoit pas explicitement que la responsabilité du séquestre se limite aux </w:t>
      </w:r>
      <w:r w:rsidRPr="00565B7B">
        <w:rPr>
          <w:rFonts w:cs="Times New Roman"/>
          <w:lang w:val="fr-CA"/>
        </w:rPr>
        <w:lastRenderedPageBreak/>
        <w:t>éléments de l’actif du failli, cette exigence fédérale figure manifestement par interprétation dans la disposition et est explicitement prévue dans une autre loi, à savoir [l’</w:t>
      </w:r>
      <w:r w:rsidRPr="00F92AFD">
        <w:rPr>
          <w:rFonts w:cs="Times New Roman"/>
          <w:i/>
          <w:lang w:val="fr-CA"/>
        </w:rPr>
        <w:t>EPEA</w:t>
      </w:r>
      <w:r w:rsidRPr="00565B7B">
        <w:rPr>
          <w:rFonts w:cs="Times New Roman"/>
          <w:lang w:val="fr-CA"/>
        </w:rPr>
        <w:t xml:space="preserve">], qu’applique [l’organisme de réglementation] » (m.a., par. 104 (note </w:t>
      </w:r>
      <w:r w:rsidR="00E75558">
        <w:rPr>
          <w:rFonts w:cs="Times New Roman"/>
          <w:lang w:val="fr-CA"/>
        </w:rPr>
        <w:t>en</w:t>
      </w:r>
      <w:r w:rsidRPr="00565B7B">
        <w:rPr>
          <w:rFonts w:cs="Times New Roman"/>
          <w:lang w:val="fr-CA"/>
        </w:rPr>
        <w:t xml:space="preserve"> bas de page omise)). Pour sa part, GTL affirme que la pratique de l’organisme de réglementation de n’imposer une responsabilité que jusqu’à concurrence de la valeur de l’actif ne constitue pas une réponse valable, étant donné que, comme le prétend ATB, faute d’une disposition légale expresse, [</w:t>
      </w:r>
      <w:r w:rsidRPr="00565B7B">
        <w:rPr>
          <w:rFonts w:cs="Times New Roman"/>
          <w:smallCaps/>
          <w:lang w:val="fr-CA"/>
        </w:rPr>
        <w:t>traduction</w:t>
      </w:r>
      <w:r w:rsidRPr="00565B7B">
        <w:rPr>
          <w:rFonts w:cs="Times New Roman"/>
          <w:lang w:val="fr-CA"/>
        </w:rPr>
        <w:t>] « [l]es pratiques peuvent changer sans préavis » (mémoire d’ATB, par. 106).</w:t>
      </w:r>
    </w:p>
    <w:p w:rsidR="00DF13E5" w:rsidRPr="00565B7B" w:rsidRDefault="00DF13E5" w:rsidP="00DF13E5">
      <w:pPr>
        <w:pStyle w:val="ParaNoNdepar-AltN"/>
        <w:rPr>
          <w:rFonts w:cs="Times New Roman"/>
          <w:lang w:val="fr-CA"/>
        </w:rPr>
      </w:pPr>
      <w:r w:rsidRPr="00565B7B">
        <w:rPr>
          <w:rFonts w:cs="Times New Roman"/>
          <w:lang w:val="fr-CA"/>
        </w:rPr>
        <w:t>Je rejette la proposition selon laquelle l’ajout des syndics à la définition de « titulaire de permis » dans l’</w:t>
      </w:r>
      <w:r w:rsidRPr="00F92AFD">
        <w:rPr>
          <w:rFonts w:cs="Times New Roman"/>
          <w:i/>
          <w:lang w:val="fr-CA"/>
        </w:rPr>
        <w:t>OGCA</w:t>
      </w:r>
      <w:r w:rsidRPr="00565B7B">
        <w:rPr>
          <w:rFonts w:cs="Times New Roman"/>
          <w:lang w:val="fr-CA"/>
        </w:rPr>
        <w:t xml:space="preserve"> et la </w:t>
      </w:r>
      <w:r w:rsidRPr="00565B7B">
        <w:rPr>
          <w:rFonts w:cs="Times New Roman"/>
          <w:i/>
          <w:lang w:val="fr-CA"/>
        </w:rPr>
        <w:t>Pipeline</w:t>
      </w:r>
      <w:r w:rsidRPr="00565B7B">
        <w:rPr>
          <w:rFonts w:cs="Times New Roman"/>
          <w:lang w:val="fr-CA"/>
        </w:rPr>
        <w:t xml:space="preserve"> </w:t>
      </w:r>
      <w:r w:rsidRPr="00565B7B">
        <w:rPr>
          <w:rFonts w:cs="Times New Roman"/>
          <w:i/>
          <w:lang w:val="fr-CA"/>
        </w:rPr>
        <w:t>Act</w:t>
      </w:r>
      <w:r w:rsidRPr="00565B7B">
        <w:rPr>
          <w:rFonts w:cs="Times New Roman"/>
          <w:lang w:val="fr-CA"/>
        </w:rPr>
        <w:t xml:space="preserve"> devrait être déclaré inopérant en raison de la simple possibilité théorique de conflit avec le par. 14.06(2). Une telle issue serait incompatible avec le principe de la retenue qui sous</w:t>
      </w:r>
      <w:r w:rsidRPr="00565B7B">
        <w:rPr>
          <w:rFonts w:cs="Times New Roman"/>
          <w:lang w:val="fr-CA"/>
        </w:rPr>
        <w:noBreakHyphen/>
        <w:t>tend celui de la prépondérance fédérale, ainsi qu’avec le principe du fédéralisme coopératif. L’ajout des syndics à la définition de « titulaire de permis » constitue un aspect important du régime de réglementation albertain. Il leur confère le privilège d’exploiter les biens des faillis qui sont visés par des permis, tout en s’assurant que les professionnels de l’insolvabilité sont encadrés au cours des longues périodes pendant lesquelles ils gèrent les biens pétroliers et gaziers.</w:t>
      </w:r>
    </w:p>
    <w:p w:rsidR="00DF13E5" w:rsidRPr="00565B7B" w:rsidRDefault="00DF13E5" w:rsidP="00DF13E5">
      <w:pPr>
        <w:pStyle w:val="ParaNoNdepar-AltN"/>
        <w:rPr>
          <w:rFonts w:cs="Times New Roman"/>
          <w:lang w:val="fr-CA"/>
        </w:rPr>
      </w:pPr>
      <w:r w:rsidRPr="00565B7B">
        <w:rPr>
          <w:rFonts w:cs="Times New Roman"/>
          <w:lang w:val="fr-CA"/>
        </w:rPr>
        <w:t xml:space="preserve">Fait important, la situation en l’espèce est complètement différente de celle dont a été saisie notre Cour dans </w:t>
      </w:r>
      <w:r w:rsidRPr="00565B7B">
        <w:rPr>
          <w:rFonts w:cs="Times New Roman"/>
          <w:i/>
          <w:lang w:val="fr-CA"/>
        </w:rPr>
        <w:t>Moloney</w:t>
      </w:r>
      <w:r w:rsidRPr="00565B7B">
        <w:rPr>
          <w:rFonts w:cs="Times New Roman"/>
          <w:lang w:val="fr-CA"/>
        </w:rPr>
        <w:t xml:space="preserve">. Dans cette affaire, le juge Gascon a rejeté l’argument selon lequel il n’y avait pas de conflit d’application parce que le failli pouvait volontairement payer une dette provinciale postérieure à la libération ou choisir de ne pas conduire. Le juge Gascon a signalé que « l’analyse relative au conflit </w:t>
      </w:r>
      <w:r w:rsidRPr="00565B7B">
        <w:rPr>
          <w:rFonts w:cs="Times New Roman"/>
          <w:lang w:val="fr-CA"/>
        </w:rPr>
        <w:lastRenderedPageBreak/>
        <w:t>d’application ne saurait se limiter à la question de savoir si l’intimé peut se conformer aux deux lois en renonçant soit à la protection que lui offre la loi fédérale, soit au droit dont il bénéficie en vertu de la loi provinciale » (par. 60). Dans l’affaire qui nous occupe, GTL conserve à la fois la protection que lui confère la loi fédérale (aucune responsabilité personnelle) et le privilège auquel il a droit en vertu de la loi provinciale (faculté d’exploiter l’actif du failli dans une industrie réglementée). On ne demande pas à GT</w:t>
      </w:r>
      <w:r w:rsidR="00E75558">
        <w:rPr>
          <w:rFonts w:cs="Times New Roman"/>
          <w:lang w:val="fr-CA"/>
        </w:rPr>
        <w:t>L</w:t>
      </w:r>
      <w:r w:rsidRPr="00565B7B">
        <w:rPr>
          <w:rFonts w:cs="Times New Roman"/>
          <w:lang w:val="fr-CA"/>
        </w:rPr>
        <w:t xml:space="preserve"> de renoncer à faire quelque chose ni de payer volontairement quoi que ce soit. On ne soutient pas non plus que l’organisme de réglementation </w:t>
      </w:r>
      <w:r w:rsidR="00BD0103">
        <w:rPr>
          <w:rFonts w:cs="Times New Roman"/>
          <w:lang w:val="fr-CA"/>
        </w:rPr>
        <w:t>puisse</w:t>
      </w:r>
      <w:r w:rsidRPr="00565B7B">
        <w:rPr>
          <w:rFonts w:cs="Times New Roman"/>
          <w:lang w:val="fr-CA"/>
        </w:rPr>
        <w:t xml:space="preserve"> éviter le conflit en refusant d’appliquer les mesures législatives contestées pendant la faillite (comme dans </w:t>
      </w:r>
      <w:r w:rsidRPr="00565B7B">
        <w:rPr>
          <w:rFonts w:cs="Times New Roman"/>
          <w:i/>
          <w:lang w:val="fr-CA"/>
        </w:rPr>
        <w:t>Moloney</w:t>
      </w:r>
      <w:r w:rsidRPr="00565B7B">
        <w:rPr>
          <w:rFonts w:cs="Times New Roman"/>
          <w:lang w:val="fr-CA"/>
        </w:rPr>
        <w:t>, par. 69). Nous ne sommes pas en présence d’une situation où l’organisme de réglementation pourrait refuser d’appliquer la loi provinciale, mais d’une situation où la loi provinciale peut être appliquée — et l’a été — pendant la faillite sans qu’il y ait de conflit.</w:t>
      </w:r>
    </w:p>
    <w:p w:rsidR="00DF13E5" w:rsidRPr="00565B7B" w:rsidRDefault="00DF13E5" w:rsidP="00DF13E5">
      <w:pPr>
        <w:pStyle w:val="ParaNoNdepar-AltN"/>
        <w:rPr>
          <w:rFonts w:cs="Times New Roman"/>
          <w:lang w:val="fr-CA"/>
        </w:rPr>
      </w:pPr>
      <w:r w:rsidRPr="00565B7B">
        <w:rPr>
          <w:rFonts w:cs="Times New Roman"/>
          <w:szCs w:val="24"/>
          <w:lang w:val="fr-CA"/>
        </w:rPr>
        <w:t>Selon la preuve produite en l’espèce, les définitions de « titulaire de permis » dans l’</w:t>
      </w:r>
      <w:r w:rsidRPr="00F92AFD">
        <w:rPr>
          <w:rFonts w:cs="Times New Roman"/>
          <w:i/>
          <w:szCs w:val="24"/>
          <w:lang w:val="fr-CA"/>
        </w:rPr>
        <w:t>OGCA</w:t>
      </w:r>
      <w:r w:rsidRPr="00565B7B">
        <w:rPr>
          <w:rFonts w:cs="Times New Roman"/>
          <w:szCs w:val="24"/>
          <w:lang w:val="fr-CA"/>
        </w:rPr>
        <w:t xml:space="preserve"> et la </w:t>
      </w:r>
      <w:r w:rsidRPr="00565B7B">
        <w:rPr>
          <w:rFonts w:cs="Times New Roman"/>
          <w:i/>
          <w:szCs w:val="24"/>
          <w:lang w:val="fr-CA"/>
        </w:rPr>
        <w:t>Pipeline Act</w:t>
      </w:r>
      <w:r w:rsidRPr="00565B7B">
        <w:rPr>
          <w:rFonts w:cs="Times New Roman"/>
          <w:szCs w:val="24"/>
          <w:lang w:val="fr-CA"/>
        </w:rPr>
        <w:t xml:space="preserve"> incluent depuis une vingtaine d’années les syndics et, durant cette période, l’organisme de réglementation n’a jamais essayé d’engager la responsabilité personnelle d’un syndic. L’organisme de réglementation ne va pas au</w:t>
      </w:r>
      <w:r w:rsidRPr="00565B7B">
        <w:rPr>
          <w:rFonts w:cs="Times New Roman"/>
          <w:szCs w:val="24"/>
          <w:lang w:val="fr-CA"/>
        </w:rPr>
        <w:noBreakHyphen/>
        <w:t>delà des éléments qui font encore partie de l’actif du failli en recherchant le respect de ses obligations environnementales. Si l’organisme de réglementation devait tenter d’obliger personnellement GTL à se conformer aux ordonnances d’abandon, cela engendrerait un conflit d’application entre, d’une part, l’</w:t>
      </w:r>
      <w:r w:rsidRPr="00F92AFD">
        <w:rPr>
          <w:rFonts w:cs="Times New Roman"/>
          <w:i/>
          <w:szCs w:val="24"/>
          <w:lang w:val="fr-CA"/>
        </w:rPr>
        <w:t>OGCA</w:t>
      </w:r>
      <w:r w:rsidRPr="00565B7B">
        <w:rPr>
          <w:rFonts w:cs="Times New Roman"/>
          <w:szCs w:val="24"/>
          <w:lang w:val="fr-CA"/>
        </w:rPr>
        <w:t xml:space="preserve"> et la </w:t>
      </w:r>
      <w:r w:rsidRPr="00565B7B">
        <w:rPr>
          <w:rFonts w:cs="Times New Roman"/>
          <w:i/>
          <w:szCs w:val="24"/>
          <w:lang w:val="fr-CA"/>
        </w:rPr>
        <w:t>Pipeline Act</w:t>
      </w:r>
      <w:r w:rsidRPr="00565B7B">
        <w:rPr>
          <w:rFonts w:cs="Times New Roman"/>
          <w:szCs w:val="24"/>
          <w:lang w:val="fr-CA"/>
        </w:rPr>
        <w:t xml:space="preserve"> et, d’autre part, le par. 14.06(2) de la </w:t>
      </w:r>
      <w:r w:rsidRPr="001F0FE7">
        <w:rPr>
          <w:rFonts w:cs="Times New Roman"/>
          <w:i/>
          <w:szCs w:val="24"/>
          <w:lang w:val="fr-CA"/>
        </w:rPr>
        <w:t>LFI</w:t>
      </w:r>
      <w:r w:rsidRPr="00565B7B">
        <w:rPr>
          <w:rFonts w:cs="Times New Roman"/>
          <w:szCs w:val="24"/>
          <w:lang w:val="fr-CA"/>
        </w:rPr>
        <w:t xml:space="preserve">, ce qui rendrait les deux premières lois inopérantes dans la mesure de ce conflit. Or, à l’heure actuelle, GTL peut à la fois être </w:t>
      </w:r>
      <w:r w:rsidRPr="00565B7B">
        <w:rPr>
          <w:rFonts w:cs="Times New Roman"/>
          <w:szCs w:val="24"/>
          <w:lang w:val="fr-CA"/>
        </w:rPr>
        <w:lastRenderedPageBreak/>
        <w:t xml:space="preserve">dégagé de toute responsabilité personnelle en vertu du par. 14.06(2) et respecter le régime albertain en administrant l’actif de Redwater à titre de « titulaire de permis ». </w:t>
      </w:r>
    </w:p>
    <w:p w:rsidR="00DF13E5" w:rsidRPr="00565B7B" w:rsidRDefault="00DF13E5" w:rsidP="00DF13E5">
      <w:pPr>
        <w:pStyle w:val="ParaNoNdepar-AltN"/>
        <w:rPr>
          <w:rFonts w:cs="Times New Roman"/>
        </w:rPr>
      </w:pPr>
      <w:r w:rsidRPr="00565B7B">
        <w:rPr>
          <w:rFonts w:cs="Times New Roman"/>
          <w:lang w:val="fr-CA"/>
        </w:rPr>
        <w:t xml:space="preserve">La suggestion faite dans les motifs dissidents selon laquelle l’organisme de réglementation tente d’engager la responsabilité personnelle de GTL est inexacte. Personne ne conteste que l’actif de Redwater a toujours une grande valeur. Bien que le droit de l’organisme de réglementation soit naturellement tributaire des priorités établies par la </w:t>
      </w:r>
      <w:r w:rsidRPr="00F92AFD">
        <w:rPr>
          <w:rFonts w:cs="Times New Roman"/>
          <w:i/>
          <w:lang w:val="fr-CA"/>
        </w:rPr>
        <w:t>LFI</w:t>
      </w:r>
      <w:r w:rsidRPr="00565B7B">
        <w:rPr>
          <w:rFonts w:cs="Times New Roman"/>
          <w:lang w:val="fr-CA"/>
        </w:rPr>
        <w:t xml:space="preserve">, l’historique du régime de réglementation en cause démontre que l’organisme de réglementation dispose de moyens pour obtenir cette valeur sans engager la responsabilité personnelle de GTL. Il n’appartient pas à notre Cour de prescrire un mécanisme en particulier à cette fin. Même si ce n’était pas le cas, le fait que les biens de Redwater ont déjà été vendus et qu’ils sont actuellement détenus en fiducie signifie que la responsabilité personnelle ne pose plus problème. </w:t>
      </w:r>
      <w:r w:rsidRPr="00565B7B">
        <w:rPr>
          <w:rFonts w:cs="Times New Roman"/>
        </w:rPr>
        <w:t xml:space="preserve">Il n’y a pas de conflit d’application. </w:t>
      </w:r>
    </w:p>
    <w:p w:rsidR="00DF13E5" w:rsidRPr="00565B7B" w:rsidRDefault="00DF13E5" w:rsidP="00DF13E5">
      <w:pPr>
        <w:pStyle w:val="ParaNoNdepar-AltN"/>
        <w:rPr>
          <w:rFonts w:cs="Times New Roman"/>
          <w:lang w:val="fr-CA"/>
        </w:rPr>
      </w:pPr>
      <w:r w:rsidRPr="00565B7B">
        <w:rPr>
          <w:rFonts w:cs="Times New Roman"/>
          <w:szCs w:val="24"/>
          <w:lang w:val="fr-CA"/>
        </w:rPr>
        <w:t>Je me penche maintenant sur l’entrave à la réalisation d’un objet fédéral. Le juge siégeant en cabinet a relevé dans ses motifs un certain nombre d’objets de l’art. 14.06. GTL s’appuie sur trois d’entre eux, à savoir : [</w:t>
      </w:r>
      <w:r w:rsidRPr="00565B7B">
        <w:rPr>
          <w:rFonts w:cs="Times New Roman"/>
          <w:smallCaps/>
          <w:szCs w:val="24"/>
          <w:lang w:val="fr-CA"/>
        </w:rPr>
        <w:t>traduction</w:t>
      </w:r>
      <w:r w:rsidRPr="00565B7B">
        <w:rPr>
          <w:rFonts w:cs="Times New Roman"/>
          <w:szCs w:val="24"/>
          <w:lang w:val="fr-CA"/>
        </w:rPr>
        <w:t>] « limiter la responsabilité des professionnels de l’insolvabilité, afin qu’ils acceptent des mandats en dépit des problèmes environnementaux »; « réduire le nombre de sites délaissés dans le pays »;</w:t>
      </w:r>
      <w:r w:rsidR="00FB6155">
        <w:rPr>
          <w:rFonts w:cs="Times New Roman"/>
          <w:szCs w:val="24"/>
          <w:lang w:val="fr-CA"/>
        </w:rPr>
        <w:t xml:space="preserve"> et</w:t>
      </w:r>
      <w:r w:rsidRPr="00565B7B">
        <w:rPr>
          <w:rFonts w:cs="Times New Roman"/>
          <w:szCs w:val="24"/>
          <w:lang w:val="fr-CA"/>
        </w:rPr>
        <w:t xml:space="preserve"> « permettre aux séquestres et aux syndics de procéder à des évaluations économiques rationnelles des coûts de réparation des faits liés à l’environnement, et donner aux séquestres ainsi qu’aux syndics le pouvoir discrétionnaire de déterminer s’il y a lieu de se conformer aux ordonnances de décontamination des biens touchés par ces faits » (motifs du juge siégeant en cabinet, par. 128</w:t>
      </w:r>
      <w:r w:rsidRPr="00565B7B">
        <w:rPr>
          <w:rFonts w:cs="Times New Roman"/>
          <w:szCs w:val="24"/>
          <w:lang w:val="fr-CA"/>
        </w:rPr>
        <w:noBreakHyphen/>
        <w:t xml:space="preserve">129). </w:t>
      </w:r>
    </w:p>
    <w:p w:rsidR="00DF13E5" w:rsidRPr="00565B7B" w:rsidRDefault="00DF13E5" w:rsidP="00DF13E5">
      <w:pPr>
        <w:pStyle w:val="ParaNoNdepar-AltN"/>
        <w:rPr>
          <w:rFonts w:cs="Times New Roman"/>
          <w:lang w:val="fr-CA"/>
        </w:rPr>
      </w:pPr>
      <w:r w:rsidRPr="00565B7B">
        <w:rPr>
          <w:rFonts w:cs="Times New Roman"/>
          <w:szCs w:val="24"/>
          <w:lang w:val="fr-CA"/>
        </w:rPr>
        <w:lastRenderedPageBreak/>
        <w:t>Il incombe à GTL d’établir les objectifs précis des par. 14.06(2) et (4) s’il souhaite démontrer qu’il y a conflit. Notre Cour a qualifié ce fardeau d’« élevé » et ajouté qu’il faut « une preuve claire de l’objet » (</w:t>
      </w:r>
      <w:r w:rsidRPr="00565B7B">
        <w:rPr>
          <w:rFonts w:cs="Times New Roman"/>
          <w:i/>
          <w:szCs w:val="24"/>
          <w:lang w:val="fr-CA"/>
        </w:rPr>
        <w:t>Lemare</w:t>
      </w:r>
      <w:r w:rsidRPr="00565B7B">
        <w:rPr>
          <w:rFonts w:cs="Times New Roman"/>
          <w:szCs w:val="24"/>
          <w:lang w:val="fr-CA"/>
        </w:rPr>
        <w:t>, par. 26). À mon avis, compte tenu du libellé clair des par. 14.06(2) et (4) (« le syndic est, ès qualité, dégagé de toute responsabilité personnelle ») et des débats parlementaires, l’objectif de ces dispositions est manifestement de dégager les syndics de toute responsabilité personnelle à l’égard de questions environnementales touchant l’actif qu’ils administrent.</w:t>
      </w:r>
    </w:p>
    <w:p w:rsidR="00DF13E5" w:rsidRPr="00565B7B" w:rsidRDefault="00DF13E5" w:rsidP="00DF13E5">
      <w:pPr>
        <w:pStyle w:val="ParaNoNdepar-AltN"/>
        <w:rPr>
          <w:rFonts w:cs="Times New Roman"/>
          <w:lang w:val="fr-CA"/>
        </w:rPr>
      </w:pPr>
      <w:r w:rsidRPr="00565B7B">
        <w:rPr>
          <w:rFonts w:cs="Times New Roman"/>
          <w:szCs w:val="24"/>
          <w:lang w:val="fr-CA"/>
        </w:rPr>
        <w:t>Cet objectif n’est pas été entravé par l’ajout des syndics à la définition de « titulaire de permis » dans l’</w:t>
      </w:r>
      <w:r w:rsidRPr="00F92AFD">
        <w:rPr>
          <w:rFonts w:cs="Times New Roman"/>
          <w:i/>
          <w:szCs w:val="24"/>
          <w:lang w:val="fr-CA"/>
        </w:rPr>
        <w:t>OGCA</w:t>
      </w:r>
      <w:r w:rsidRPr="00565B7B">
        <w:rPr>
          <w:rFonts w:cs="Times New Roman"/>
          <w:szCs w:val="24"/>
          <w:lang w:val="fr-CA"/>
        </w:rPr>
        <w:t xml:space="preserve"> et la </w:t>
      </w:r>
      <w:r w:rsidRPr="00565B7B">
        <w:rPr>
          <w:rFonts w:cs="Times New Roman"/>
          <w:i/>
          <w:szCs w:val="24"/>
          <w:lang w:val="fr-CA"/>
        </w:rPr>
        <w:t>Pipeline Act</w:t>
      </w:r>
      <w:r w:rsidRPr="00565B7B">
        <w:rPr>
          <w:rFonts w:cs="Times New Roman"/>
          <w:szCs w:val="24"/>
          <w:lang w:val="fr-CA"/>
        </w:rPr>
        <w:t xml:space="preserve">. L’organisme de réglementation a soutenu qu’il n’essaierait jamais d’engager la responsabilité personnelle d’un syndic. Les syndics sont considérés comme des « titulaires de permis » dans ces lois depuis plus de </w:t>
      </w:r>
      <w:r w:rsidR="00FB6155">
        <w:rPr>
          <w:rFonts w:cs="Times New Roman"/>
          <w:szCs w:val="24"/>
          <w:lang w:val="fr-CA"/>
        </w:rPr>
        <w:t>20</w:t>
      </w:r>
      <w:r w:rsidRPr="00565B7B">
        <w:rPr>
          <w:rFonts w:cs="Times New Roman"/>
          <w:szCs w:val="24"/>
          <w:lang w:val="fr-CA"/>
        </w:rPr>
        <w:t xml:space="preserve"> ans et ils n’ont pas encore été confrontés au fléau de la responsabilité personnelle. Déclarer inopérante une partie essentielle du régime de réglementation de l’Alberta en raison de la possibilité théorique d’entrave à un objectif fédéral irait à l’encontre des principes de la prépondérance fédérale et du fédéralisme coopératif. Jusqu’à présent, le régime de réglementation albertain fonctionne de la manière prévue sans entraver l’objectif des par. 14.06(2) ou (4) de la </w:t>
      </w:r>
      <w:r w:rsidRPr="00F92AFD">
        <w:rPr>
          <w:rFonts w:cs="Times New Roman"/>
          <w:i/>
          <w:szCs w:val="24"/>
          <w:lang w:val="fr-CA"/>
        </w:rPr>
        <w:t>LFI</w:t>
      </w:r>
      <w:r w:rsidRPr="00565B7B">
        <w:rPr>
          <w:rFonts w:cs="Times New Roman"/>
          <w:szCs w:val="24"/>
          <w:lang w:val="fr-CA"/>
        </w:rPr>
        <w:t>.</w:t>
      </w:r>
    </w:p>
    <w:p w:rsidR="00DF13E5" w:rsidRPr="00565B7B" w:rsidRDefault="00DF13E5" w:rsidP="00DF13E5">
      <w:pPr>
        <w:pStyle w:val="ParaNoNdepar-AltN"/>
        <w:rPr>
          <w:rFonts w:cs="Times New Roman"/>
          <w:lang w:val="fr-CA"/>
        </w:rPr>
      </w:pPr>
      <w:r w:rsidRPr="00565B7B">
        <w:rPr>
          <w:rFonts w:cs="Times New Roman"/>
          <w:lang w:val="fr-CA"/>
        </w:rPr>
        <w:t xml:space="preserve">Pour soutenir que l’art. 14.06 a comme objectif général de réduire le nombre de sites abandonnés (au sens non technique du terme) et d’encourager les syndics à accepter des mandats, GTL se fonde sur ce qu’il appelle </w:t>
      </w:r>
      <w:r w:rsidRPr="00565B7B">
        <w:rPr>
          <w:rFonts w:cs="Times New Roman"/>
          <w:szCs w:val="24"/>
          <w:lang w:val="fr-CA"/>
        </w:rPr>
        <w:t>[</w:t>
      </w:r>
      <w:r w:rsidRPr="00565B7B">
        <w:rPr>
          <w:rFonts w:cs="Times New Roman"/>
          <w:smallCaps/>
          <w:szCs w:val="24"/>
          <w:lang w:val="fr-CA"/>
        </w:rPr>
        <w:t>traduction</w:t>
      </w:r>
      <w:r w:rsidRPr="00565B7B">
        <w:rPr>
          <w:rFonts w:cs="Times New Roman"/>
          <w:szCs w:val="24"/>
          <w:lang w:val="fr-CA"/>
        </w:rPr>
        <w:t>]</w:t>
      </w:r>
      <w:r w:rsidRPr="00565B7B">
        <w:rPr>
          <w:rFonts w:cs="Times New Roman"/>
          <w:lang w:val="fr-CA"/>
        </w:rPr>
        <w:t xml:space="preserve"> « la preuve extrinsèque disponible et le libellé de cette disposition » (mémoire de GTL, par. 91). À mon avis, les arguments qu’il avance ne lui permettent pas de s’acquitter du fardeau élevé qui lui incombe et de démontrer que l’objectif des par. 14.06(2) et (4) </w:t>
      </w:r>
      <w:r w:rsidRPr="00565B7B">
        <w:rPr>
          <w:rFonts w:cs="Times New Roman"/>
          <w:lang w:val="fr-CA"/>
        </w:rPr>
        <w:lastRenderedPageBreak/>
        <w:t xml:space="preserve">devrait être défini de manière à inclure ces objectifs généraux. Réduire le nombre de sites délaissés et encourager les syndics à accepter des mandats peuvent être des effets secondaires positifs des par. 14.06(2) et (4), mais il serait exagéré de dire qu’il s’agit des objectifs de ces dispositions. Comme dans le cas de la disposition en litige dans </w:t>
      </w:r>
      <w:r w:rsidRPr="00565B7B">
        <w:rPr>
          <w:rFonts w:cs="Times New Roman"/>
          <w:i/>
          <w:lang w:val="fr-CA"/>
        </w:rPr>
        <w:t>Lemare</w:t>
      </w:r>
      <w:r w:rsidRPr="00565B7B">
        <w:rPr>
          <w:rFonts w:cs="Times New Roman"/>
          <w:lang w:val="fr-CA"/>
        </w:rPr>
        <w:t>, il est plus plausible que ces dispositions aient un « simple et restreint » (par. 45).</w:t>
      </w:r>
    </w:p>
    <w:p w:rsidR="00DF13E5" w:rsidRPr="00565B7B" w:rsidRDefault="00DF13E5" w:rsidP="00DF13E5">
      <w:pPr>
        <w:pStyle w:val="ParaNoNdepar-AltN"/>
        <w:rPr>
          <w:rFonts w:cs="Times New Roman"/>
          <w:lang w:val="fr-CA"/>
        </w:rPr>
      </w:pPr>
      <w:r w:rsidRPr="00565B7B">
        <w:rPr>
          <w:rFonts w:cs="Times New Roman"/>
          <w:szCs w:val="24"/>
          <w:lang w:val="fr-CA"/>
        </w:rPr>
        <w:t xml:space="preserve">Quoi qu’il en soit, même si l’on tient pour acquis que les par. 14.06(2) et (4) ont de tels objectifs généraux, la preuve ne démontre pas que la réalisation de ces objectifs est entravée par l’ajout des syndics à la définition légale de « titulaire de permis ». S’appuyant sur des affirmations de GTL dans le Deuxième rapport, ATB prétend que, si les syndics sont toujours considérés comme des « titulaires de permis » et les réclamations environnementales continuent de lier l’actif, les syndics refuseront la nomination dans des situations semblables à celle de l’insolvabilité de Redwater. À cette prétention sommaire il faut opposer le fait qu’avant le présent litige, il était établi en Alberta, depuis au moins l’arrêt </w:t>
      </w:r>
      <w:r w:rsidRPr="00565B7B">
        <w:rPr>
          <w:rFonts w:cs="Times New Roman"/>
          <w:i/>
          <w:szCs w:val="24"/>
          <w:lang w:val="fr-CA"/>
        </w:rPr>
        <w:t>Northern Badger</w:t>
      </w:r>
      <w:r w:rsidRPr="00565B7B">
        <w:rPr>
          <w:rFonts w:cs="Times New Roman"/>
          <w:szCs w:val="24"/>
          <w:lang w:val="fr-CA"/>
        </w:rPr>
        <w:t xml:space="preserve">, que certaines obligations environnementales continues dans l’industrie pétrolière et gazière liaient toujours l’actif du failli. Il était aussi bien établi que l’organisme de réglementation n’aurait jamais essayé de tenir les professionnels de l’insolvabilité personnellement responsables de telles obligations. Comme l’a fait remarquer l’Association canadienne des producteurs pétroliers, rien n’indique que cet état de fait bien établi a conduit les professionnels de l’insolvabilité à refuser la nomination ou augmenté le nombre de sites orphelins. Il n’y a aucune raison pour laquelle l’organisme de réglementation et les syndics ne peuvent pas poursuivre leur collaboration, comme ils le font depuis de </w:t>
      </w:r>
      <w:r w:rsidRPr="00565B7B">
        <w:rPr>
          <w:rFonts w:cs="Times New Roman"/>
          <w:szCs w:val="24"/>
          <w:lang w:val="fr-CA"/>
        </w:rPr>
        <w:lastRenderedPageBreak/>
        <w:t xml:space="preserve">nombreuses années, pour assurer le respect des obligations de fin de vie tout en maximisant le recouvrement au profit des créanciers. </w:t>
      </w:r>
    </w:p>
    <w:p w:rsidR="00DF13E5" w:rsidRPr="00565B7B" w:rsidRDefault="009C36B3" w:rsidP="0026437A">
      <w:pPr>
        <w:pStyle w:val="Title3LevelTitre3Niveau"/>
        <w:numPr>
          <w:ilvl w:val="4"/>
          <w:numId w:val="44"/>
        </w:numPr>
        <w:rPr>
          <w:rFonts w:cs="Times New Roman"/>
          <w:i/>
          <w:lang w:val="fr-CA"/>
        </w:rPr>
      </w:pPr>
      <w:r>
        <w:rPr>
          <w:rFonts w:cs="Times New Roman"/>
          <w:lang w:val="fr-CA"/>
        </w:rPr>
        <w:t>Conclusion sur l’art.</w:t>
      </w:r>
      <w:r w:rsidR="00DF13E5" w:rsidRPr="00565B7B">
        <w:rPr>
          <w:rFonts w:cs="Times New Roman"/>
          <w:lang w:val="fr-CA"/>
        </w:rPr>
        <w:t xml:space="preserve"> 14.06 de la </w:t>
      </w:r>
      <w:r w:rsidR="00DF13E5" w:rsidRPr="00F92AFD">
        <w:rPr>
          <w:rFonts w:cs="Times New Roman"/>
          <w:i/>
          <w:lang w:val="fr-CA"/>
        </w:rPr>
        <w:t>LFI</w:t>
      </w:r>
    </w:p>
    <w:p w:rsidR="00DF13E5" w:rsidRPr="00565B7B" w:rsidRDefault="00DF13E5" w:rsidP="00DF13E5">
      <w:pPr>
        <w:pStyle w:val="ParaNoNdepar-AltN"/>
        <w:rPr>
          <w:rFonts w:cs="Times New Roman"/>
          <w:lang w:val="fr-CA"/>
        </w:rPr>
      </w:pPr>
      <w:r w:rsidRPr="00565B7B">
        <w:rPr>
          <w:rFonts w:eastAsiaTheme="minorHAnsi" w:cs="Times New Roman"/>
          <w:lang w:val="fr-CA"/>
        </w:rPr>
        <w:t xml:space="preserve">Il n’y a aucun conflit entre la législation albertaine et l’art. 14.06 de la </w:t>
      </w:r>
      <w:r w:rsidRPr="00F92AFD">
        <w:rPr>
          <w:rFonts w:eastAsiaTheme="minorHAnsi" w:cs="Times New Roman"/>
          <w:i/>
          <w:lang w:val="fr-CA"/>
        </w:rPr>
        <w:t xml:space="preserve">LFI </w:t>
      </w:r>
      <w:r w:rsidRPr="00565B7B">
        <w:rPr>
          <w:rFonts w:eastAsiaTheme="minorHAnsi" w:cs="Times New Roman"/>
          <w:lang w:val="fr-CA"/>
        </w:rPr>
        <w:t xml:space="preserve">par suite duquel la définition de « titulaire de permis » dans la première est inapplicable dans la mesure où elle vise GTL. Ce dernier conserve les responsabilités et obligations d’un « titulaire de permis » tant qu’il reste des éléments dans l’actif de Redwater. GTL plaide néanmoins que, même s’il ne peut délaisser les biens faisant l’objet de la renonciation en invoquant le par. 14.06(4), les obligations environnementales qui y sont associés sont des réclamations non garanties de l’organisme de réglementation pour l’application de la </w:t>
      </w:r>
      <w:r w:rsidRPr="00F92AFD">
        <w:rPr>
          <w:rFonts w:eastAsiaTheme="minorHAnsi" w:cs="Times New Roman"/>
          <w:i/>
          <w:lang w:val="fr-CA"/>
        </w:rPr>
        <w:t>LFI</w:t>
      </w:r>
      <w:r w:rsidRPr="00565B7B">
        <w:rPr>
          <w:rFonts w:eastAsiaTheme="minorHAnsi" w:cs="Times New Roman"/>
          <w:lang w:val="fr-CA"/>
        </w:rPr>
        <w:t xml:space="preserve">. GTL affirme que l’ordre de priorités fixé dans la </w:t>
      </w:r>
      <w:r w:rsidRPr="00F92AFD">
        <w:rPr>
          <w:rFonts w:eastAsiaTheme="minorHAnsi" w:cs="Times New Roman"/>
          <w:i/>
          <w:lang w:val="fr-CA"/>
        </w:rPr>
        <w:t>LFI</w:t>
      </w:r>
      <w:r w:rsidRPr="00565B7B">
        <w:rPr>
          <w:rFonts w:eastAsiaTheme="minorHAnsi" w:cs="Times New Roman"/>
          <w:lang w:val="fr-CA"/>
        </w:rPr>
        <w:t xml:space="preserve"> l’oblige à acquitter les réclamations des créanciers garantis de Redwater avant celles de l’organisme de réglementation, lesquelles occupent le même rang que les réclamations des autres créanciers ordinaires. D’après GTL, les tentatives de l’organisme de réglementation d’utiliser les pouvoirs que lui accorde la loi pour faire primer ses réclamations environnementales entrent en conflit avec la </w:t>
      </w:r>
      <w:r w:rsidRPr="00F92AFD">
        <w:rPr>
          <w:rFonts w:eastAsiaTheme="minorHAnsi" w:cs="Times New Roman"/>
          <w:i/>
          <w:lang w:val="fr-CA"/>
        </w:rPr>
        <w:t>LFI</w:t>
      </w:r>
      <w:r w:rsidRPr="00565B7B">
        <w:rPr>
          <w:rFonts w:eastAsiaTheme="minorHAnsi" w:cs="Times New Roman"/>
          <w:lang w:val="fr-CA"/>
        </w:rPr>
        <w:t>. Je vais maintenant me pencher sur ce conflit allégué, qui fait intervenir le critère d’</w:t>
      </w:r>
      <w:r w:rsidRPr="00565B7B">
        <w:rPr>
          <w:rFonts w:eastAsiaTheme="minorHAnsi" w:cs="Times New Roman"/>
          <w:i/>
          <w:lang w:val="fr-CA"/>
        </w:rPr>
        <w:t>Abitibi</w:t>
      </w:r>
      <w:r w:rsidRPr="00565B7B">
        <w:rPr>
          <w:rFonts w:eastAsiaTheme="minorHAnsi" w:cs="Times New Roman"/>
          <w:lang w:val="fr-CA"/>
        </w:rPr>
        <w:t xml:space="preserve">. </w:t>
      </w:r>
    </w:p>
    <w:p w:rsidR="00DF13E5" w:rsidRPr="00565B7B" w:rsidRDefault="00FB6155" w:rsidP="00DF13E5">
      <w:pPr>
        <w:pStyle w:val="Title2LevelTitre2Niveau"/>
        <w:rPr>
          <w:rFonts w:cs="Times New Roman"/>
          <w:lang w:val="fr-CA"/>
        </w:rPr>
      </w:pPr>
      <w:r>
        <w:rPr>
          <w:rFonts w:cs="Times New Roman"/>
          <w:lang w:val="fr-CA"/>
        </w:rPr>
        <w:t xml:space="preserve">Le critère d’Abitibi </w:t>
      </w:r>
      <w:r w:rsidR="00DF13E5" w:rsidRPr="00565B7B">
        <w:rPr>
          <w:rFonts w:cs="Times New Roman"/>
          <w:lang w:val="fr-CA"/>
        </w:rPr>
        <w:t>: L’organisme de réglementation fait</w:t>
      </w:r>
      <w:r w:rsidR="00DF13E5" w:rsidRPr="00565B7B">
        <w:rPr>
          <w:rFonts w:cs="Times New Roman"/>
          <w:lang w:val="fr-CA"/>
        </w:rPr>
        <w:noBreakHyphen/>
        <w:t>il valoir des réclamations prouvables en matière de faillite?</w:t>
      </w:r>
    </w:p>
    <w:p w:rsidR="00DF13E5" w:rsidRPr="00565B7B" w:rsidRDefault="00DF13E5" w:rsidP="00DF13E5">
      <w:pPr>
        <w:pStyle w:val="ParaNoNdepar-AltN"/>
        <w:rPr>
          <w:rFonts w:cs="Times New Roman"/>
          <w:lang w:val="fr-CA"/>
        </w:rPr>
      </w:pPr>
      <w:r w:rsidRPr="00565B7B">
        <w:rPr>
          <w:rFonts w:cs="Times New Roman"/>
          <w:lang w:val="fr-CA"/>
        </w:rPr>
        <w:t xml:space="preserve">La répartition équitable des biens du failli est l’un des objectifs de la </w:t>
      </w:r>
      <w:r w:rsidRPr="00F92AFD">
        <w:rPr>
          <w:rFonts w:cs="Times New Roman"/>
          <w:i/>
          <w:lang w:val="fr-CA"/>
        </w:rPr>
        <w:t>LFI</w:t>
      </w:r>
      <w:r w:rsidRPr="00565B7B">
        <w:rPr>
          <w:rFonts w:cs="Times New Roman"/>
          <w:lang w:val="fr-CA"/>
        </w:rPr>
        <w:t xml:space="preserve">. Elle est réalisée par le truchement du modèle de la procédure collective. Les créanciers du failli souhaitant faire valoir une </w:t>
      </w:r>
      <w:r w:rsidRPr="00565B7B">
        <w:rPr>
          <w:rStyle w:val="ParaNoNdepar-AltNChar"/>
          <w:rFonts w:cs="Times New Roman"/>
          <w:lang w:val="fr-CA"/>
        </w:rPr>
        <w:t>réclamation prouvable</w:t>
      </w:r>
      <w:r w:rsidRPr="00565B7B">
        <w:rPr>
          <w:rFonts w:cs="Times New Roman"/>
          <w:lang w:val="fr-CA"/>
        </w:rPr>
        <w:t xml:space="preserve"> en matière de faillite doivent </w:t>
      </w:r>
      <w:r w:rsidRPr="00565B7B">
        <w:rPr>
          <w:rFonts w:cs="Times New Roman"/>
          <w:lang w:val="fr-CA"/>
        </w:rPr>
        <w:lastRenderedPageBreak/>
        <w:t xml:space="preserve">participer à la procédure collective. Leurs réclamations recevront en fin de compte la priorité qui leur a été attribuée par la </w:t>
      </w:r>
      <w:r w:rsidRPr="00F92AFD">
        <w:rPr>
          <w:rFonts w:cs="Times New Roman"/>
          <w:i/>
          <w:lang w:val="fr-CA"/>
        </w:rPr>
        <w:t>LFI</w:t>
      </w:r>
      <w:r w:rsidRPr="00565B7B">
        <w:rPr>
          <w:rFonts w:cs="Times New Roman"/>
          <w:lang w:val="fr-CA"/>
        </w:rPr>
        <w:t>. Cela assure la répartition équitable des biens du failli. Ce modèle évite l’inefficacité et le chaos, maximisant ainsi le recouvrement global au profit de tous les créanciers. Pour que le modèle de la procédure collective soit viable, les créanciers ayant des réclamations prouvables ne doivent pas être autorisés à les faire valoir en dehors de la procédure collective.</w:t>
      </w:r>
    </w:p>
    <w:p w:rsidR="00DF13E5" w:rsidRPr="00565B7B" w:rsidRDefault="00DF13E5" w:rsidP="00DF13E5">
      <w:pPr>
        <w:pStyle w:val="ParaNoNdepar-AltN"/>
        <w:rPr>
          <w:rFonts w:cs="Times New Roman"/>
          <w:lang w:val="fr-CA"/>
        </w:rPr>
      </w:pPr>
      <w:r w:rsidRPr="00565B7B">
        <w:rPr>
          <w:rFonts w:cs="Times New Roman"/>
          <w:lang w:val="fr-CA"/>
        </w:rPr>
        <w:t xml:space="preserve">Il est bien établi qu’une loi provinciale devient inopérante dans le contexte d’une faillite si elle a pour effet d’entrer en conflit avec l’ordre de priorité établi par la </w:t>
      </w:r>
      <w:r w:rsidRPr="00F92AFD">
        <w:rPr>
          <w:rFonts w:cs="Times New Roman"/>
          <w:i/>
          <w:lang w:val="fr-CA"/>
        </w:rPr>
        <w:t>LFI</w:t>
      </w:r>
      <w:r w:rsidRPr="00565B7B">
        <w:rPr>
          <w:rFonts w:cs="Times New Roman"/>
          <w:lang w:val="fr-CA"/>
        </w:rPr>
        <w:t xml:space="preserve">, de le réarranger ou de le modifier. La juge Martin et le juge siégeant en cabinet ont tous les deux traité de la modification des priorités en matière de faillite en fonction du volet « entrave à la réalisation d’un objet fédéral » de la doctrine de la prépondérance. À mon avis, il pourrait aussi être plausiblement avancé qu’une loi provinciale ayant pour effet de réarranger les priorités en matière de faillite est en conflit d’application avec la </w:t>
      </w:r>
      <w:r w:rsidRPr="00F92AFD">
        <w:rPr>
          <w:rFonts w:cs="Times New Roman"/>
          <w:i/>
          <w:lang w:val="fr-CA"/>
        </w:rPr>
        <w:t>LFI</w:t>
      </w:r>
      <w:r w:rsidRPr="00565B7B">
        <w:rPr>
          <w:rFonts w:cs="Times New Roman"/>
          <w:lang w:val="fr-CA"/>
        </w:rPr>
        <w:t xml:space="preserve">; telle était la conclusion dans </w:t>
      </w:r>
      <w:r w:rsidRPr="00565B7B">
        <w:rPr>
          <w:rFonts w:cs="Times New Roman"/>
          <w:i/>
          <w:lang w:val="fr-CA"/>
        </w:rPr>
        <w:t>Husky Oil</w:t>
      </w:r>
      <w:r w:rsidRPr="00565B7B">
        <w:rPr>
          <w:rFonts w:cs="Times New Roman"/>
          <w:lang w:val="fr-CA"/>
        </w:rPr>
        <w:t xml:space="preserve">, au par. 87. Pour les besoins du présent pourvoi, il n’est pas nécessaire de décider quel serait le bon volet de l’analyse relative à la prépondérance. Dans l’un ou l’autre volet, la loi albertaine autorisant l’organisme de réglementation à exercer ses pouvoirs contestés sera inopérante, dans la mesure où l’exercice de ces pouvoirs pendant la faillite modifie ou réarrange les priorités établies par la </w:t>
      </w:r>
      <w:r w:rsidRPr="00F92AFD">
        <w:rPr>
          <w:rFonts w:cs="Times New Roman"/>
          <w:i/>
          <w:lang w:val="fr-CA"/>
        </w:rPr>
        <w:t>LFI</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 xml:space="preserve">GTL affirme que, même si le fait d’invoquer le par. 14.06(4) ne lui permet pas de délaisser les biens faisant l’objet de la renonciation, les obligations imposées à l’actif de Redwater par l’organisme de réglementation au moyen de l’exercice des pouvoirs que lui confère la loi font exactement cela. Le Parlement a attribué un rang </w:t>
      </w:r>
      <w:r w:rsidRPr="00565B7B">
        <w:rPr>
          <w:rFonts w:cs="Times New Roman"/>
          <w:lang w:val="fr-CA"/>
        </w:rPr>
        <w:lastRenderedPageBreak/>
        <w:t xml:space="preserve">donné aux réclamations environnementales qui sont prouvables en matière de faillite. Il est admis que la superpriorité limitée créée par le par. 14.06(7) de la </w:t>
      </w:r>
      <w:r w:rsidRPr="00F92AFD">
        <w:rPr>
          <w:rFonts w:cs="Times New Roman"/>
          <w:i/>
          <w:lang w:val="fr-CA"/>
        </w:rPr>
        <w:t>LFI</w:t>
      </w:r>
      <w:r w:rsidRPr="00565B7B">
        <w:rPr>
          <w:rFonts w:cs="Times New Roman"/>
          <w:lang w:val="fr-CA"/>
        </w:rPr>
        <w:t xml:space="preserve"> pour les réclamations de cette nature ne s’applique pas en l’espèce et, en conséquence, affirme GTL, l’organisme de réglementation est un créancier ordinaire à l’égard de ces réclamations, c’est</w:t>
      </w:r>
      <w:r w:rsidRPr="00565B7B">
        <w:rPr>
          <w:rFonts w:cs="Times New Roman"/>
          <w:lang w:val="fr-CA"/>
        </w:rPr>
        <w:noBreakHyphen/>
        <w:t>à</w:t>
      </w:r>
      <w:r w:rsidRPr="00565B7B">
        <w:rPr>
          <w:rFonts w:cs="Times New Roman"/>
          <w:lang w:val="fr-CA"/>
        </w:rPr>
        <w:noBreakHyphen/>
        <w:t xml:space="preserve">dire qu’il n’est ni un créancier garanti ni un créancier privilégié. Les réclamations environnementales de l’organisme de réglementation doivent donc être acquittées au prorata avec celles des autres créanciers ordinaires de Redwater en application de l’art. 141 de la </w:t>
      </w:r>
      <w:r w:rsidRPr="00F92AFD">
        <w:rPr>
          <w:rFonts w:cs="Times New Roman"/>
          <w:i/>
          <w:lang w:val="fr-CA"/>
        </w:rPr>
        <w:t>LFI</w:t>
      </w:r>
      <w:r w:rsidRPr="00565B7B">
        <w:rPr>
          <w:rFonts w:cs="Times New Roman"/>
          <w:lang w:val="fr-CA"/>
        </w:rPr>
        <w:t>. GTL soutient que, pour respecter les ordonnances d’abandon ou les exigences relatives à la CGR, il devra dépenser des fonds avant de partager ses biens entre les créanciers garantis. Cela équivaut, pour l’organisme de réglementation, à utiliser les pouvoirs que lui confère la loi pour se créer une priorité en matière de faillite à laquelle il n’a pas droit.</w:t>
      </w:r>
    </w:p>
    <w:p w:rsidR="00DF13E5" w:rsidRPr="00565B7B" w:rsidRDefault="00DF13E5" w:rsidP="00DF13E5">
      <w:pPr>
        <w:pStyle w:val="ParaNoNdepar-AltN"/>
        <w:rPr>
          <w:rFonts w:cs="Times New Roman"/>
          <w:lang w:val="fr-CA"/>
        </w:rPr>
      </w:pPr>
      <w:r w:rsidRPr="00565B7B">
        <w:rPr>
          <w:rFonts w:cs="Times New Roman"/>
          <w:lang w:val="fr-CA"/>
        </w:rPr>
        <w:t xml:space="preserve">Toutefois, on doit faire valoir uniquement les réclamations prouvables en matière de faillite dans le cadre de la procédure unique. Les réclamations non prouvables ne sont pas suspendues à la faillite et elles lient toujours l’actif. Dans l’arrêt </w:t>
      </w:r>
      <w:r w:rsidRPr="00565B7B">
        <w:rPr>
          <w:rFonts w:cs="Times New Roman"/>
          <w:i/>
          <w:lang w:val="fr-CA"/>
        </w:rPr>
        <w:t>Abitibi</w:t>
      </w:r>
      <w:r w:rsidRPr="00565B7B">
        <w:rPr>
          <w:rFonts w:cs="Times New Roman"/>
          <w:lang w:val="fr-CA"/>
        </w:rPr>
        <w:t>, notre Cour a clairement déclaré que les obligations environnementales appliquées par un organisme de réglementation ne sont pas toutes des réclamations prouvables en matière de faillite. En principe, la faillite n’équivaut pas à une autorisation de faire fi des règles. L’organisme de réglementation dit qu’il ne fait valoir aucune réclamation prouvable dans la faillite et que l’actif de Redwater doit respecter ses obligations environnementales dans la mesure des biens dont il dispose.</w:t>
      </w:r>
    </w:p>
    <w:p w:rsidR="00DF13E5" w:rsidRPr="00565B7B" w:rsidRDefault="00DF13E5" w:rsidP="00DF13E5">
      <w:pPr>
        <w:pStyle w:val="ParaNoNdepar-AltN"/>
        <w:rPr>
          <w:rFonts w:cs="Times New Roman"/>
          <w:lang w:val="fr-CA"/>
        </w:rPr>
      </w:pPr>
      <w:r w:rsidRPr="00565B7B">
        <w:rPr>
          <w:rFonts w:cs="Times New Roman"/>
          <w:lang w:val="fr-CA"/>
        </w:rPr>
        <w:lastRenderedPageBreak/>
        <w:t>Le règlement de cette question requiert que l’on applique correctement le critère d’</w:t>
      </w:r>
      <w:r w:rsidRPr="00565B7B">
        <w:rPr>
          <w:rFonts w:cs="Times New Roman"/>
          <w:i/>
          <w:lang w:val="fr-CA"/>
        </w:rPr>
        <w:t>Abitibi</w:t>
      </w:r>
      <w:r w:rsidRPr="00565B7B">
        <w:rPr>
          <w:rFonts w:cs="Times New Roman"/>
          <w:lang w:val="fr-CA"/>
        </w:rPr>
        <w:t xml:space="preserve"> pour déterminer si une obligation réglementaire précise équivaut à une réclamation prouvable en matière de faillite. Il y a lieu de réitérer ce critère :</w:t>
      </w:r>
    </w:p>
    <w:p w:rsidR="00DF13E5" w:rsidRPr="00565B7B" w:rsidRDefault="00DF13E5" w:rsidP="00DF13E5">
      <w:pPr>
        <w:pStyle w:val="Citation-AltC"/>
        <w:ind w:hanging="1166"/>
        <w:contextualSpacing w:val="0"/>
        <w:rPr>
          <w:lang w:val="fr-CA"/>
        </w:rPr>
      </w:pPr>
      <w:r w:rsidRPr="00565B7B">
        <w:rPr>
          <w:lang w:val="fr-CA"/>
        </w:rPr>
        <w:tab/>
        <w:t xml:space="preserve">Premièrement, on doit être en présence d’une dette, d’un engagement ou d’une obligation envers un </w:t>
      </w:r>
      <w:r w:rsidRPr="00565B7B">
        <w:rPr>
          <w:i/>
          <w:lang w:val="fr-CA"/>
        </w:rPr>
        <w:t>créancier</w:t>
      </w:r>
      <w:r w:rsidRPr="00565B7B">
        <w:rPr>
          <w:lang w:val="fr-CA"/>
        </w:rPr>
        <w:t xml:space="preserve">. Deuxièmement, la dette, l’engagement ou l’obligation doit avoir pris naissance </w:t>
      </w:r>
      <w:r w:rsidRPr="00565B7B">
        <w:rPr>
          <w:i/>
          <w:lang w:val="fr-CA"/>
        </w:rPr>
        <w:t>avant que le débiteur ne devienne failli</w:t>
      </w:r>
      <w:r w:rsidRPr="00565B7B">
        <w:rPr>
          <w:lang w:val="fr-CA"/>
        </w:rPr>
        <w:t xml:space="preserve">. Troisièmement, il doit être possible d’attribuer une </w:t>
      </w:r>
      <w:r w:rsidRPr="00565B7B">
        <w:rPr>
          <w:i/>
          <w:lang w:val="fr-CA"/>
        </w:rPr>
        <w:t>valeur pécuniaire</w:t>
      </w:r>
      <w:r w:rsidRPr="00565B7B">
        <w:rPr>
          <w:lang w:val="fr-CA"/>
        </w:rPr>
        <w:t xml:space="preserve"> à cette dette, cet engagement ou cette obligation.</w:t>
      </w:r>
      <w:r>
        <w:rPr>
          <w:lang w:val="fr-CA"/>
        </w:rPr>
        <w:t xml:space="preserve"> </w:t>
      </w:r>
      <w:r w:rsidRPr="00565B7B">
        <w:rPr>
          <w:lang w:val="fr-CA"/>
        </w:rPr>
        <w:t>[En italique dans l’original; par. 26.]</w:t>
      </w:r>
    </w:p>
    <w:p w:rsidR="00DF13E5" w:rsidRPr="00565B7B" w:rsidRDefault="00DF13E5" w:rsidP="00DF13E5">
      <w:pPr>
        <w:pStyle w:val="ParaNoNdepar-AltN"/>
        <w:rPr>
          <w:rFonts w:cs="Times New Roman"/>
          <w:lang w:val="fr-CA"/>
        </w:rPr>
      </w:pPr>
      <w:r w:rsidRPr="00565B7B">
        <w:rPr>
          <w:rFonts w:cs="Times New Roman"/>
          <w:lang w:val="fr-CA"/>
        </w:rPr>
        <w:t>Il est incontestable que, dans le présent pourvoi, la deuxième partie du critère est respectée. En conséquence, je ne traiterai que des première et troisième parties.</w:t>
      </w:r>
    </w:p>
    <w:p w:rsidR="00DF13E5" w:rsidRPr="00565B7B" w:rsidRDefault="00DF13E5" w:rsidP="00DF13E5">
      <w:pPr>
        <w:pStyle w:val="ParaNoNdepar-AltN"/>
        <w:rPr>
          <w:rFonts w:cs="Times New Roman"/>
          <w:lang w:val="fr-CA"/>
        </w:rPr>
      </w:pPr>
      <w:r w:rsidRPr="00565B7B">
        <w:rPr>
          <w:rFonts w:cs="Times New Roman"/>
          <w:lang w:val="fr-CA"/>
        </w:rPr>
        <w:t>Devant notre Cour, l’organisme de réglementation, avec l’appui de divers intervenants, a soulevé deux préoccupations quant à la façon dont le critère d’</w:t>
      </w:r>
      <w:r w:rsidRPr="00565B7B">
        <w:rPr>
          <w:rFonts w:cs="Times New Roman"/>
          <w:i/>
          <w:lang w:val="fr-CA"/>
        </w:rPr>
        <w:t>Abitibi</w:t>
      </w:r>
      <w:r w:rsidRPr="00565B7B">
        <w:rPr>
          <w:rFonts w:cs="Times New Roman"/>
          <w:lang w:val="fr-CA"/>
        </w:rPr>
        <w:t xml:space="preserve"> avait été appliqué, tant par les tribunaux d’instance inférieure que par les cours en général. La première préoccupation concerne le fait que l’étape « créancier » du critère a reçu une interprétation trop large dans des affaires analogues à celle en l’espèce et </w:t>
      </w:r>
      <w:r w:rsidRPr="00565B7B">
        <w:rPr>
          <w:rFonts w:cs="Times New Roman"/>
          <w:i/>
          <w:lang w:val="fr-CA"/>
        </w:rPr>
        <w:t>Nortel Networks Corp</w:t>
      </w:r>
      <w:r w:rsidRPr="00565B7B">
        <w:rPr>
          <w:rFonts w:cs="Times New Roman"/>
          <w:lang w:val="fr-CA"/>
        </w:rPr>
        <w:t>.</w:t>
      </w:r>
      <w:r w:rsidRPr="00565B7B">
        <w:rPr>
          <w:rFonts w:cs="Times New Roman"/>
          <w:i/>
          <w:lang w:val="fr-CA"/>
        </w:rPr>
        <w:t>,</w:t>
      </w:r>
      <w:r w:rsidRPr="00565B7B">
        <w:rPr>
          <w:rFonts w:cs="Times New Roman"/>
          <w:lang w:val="fr-CA"/>
        </w:rPr>
        <w:t xml:space="preserve"> </w:t>
      </w:r>
      <w:r w:rsidRPr="00565B7B">
        <w:rPr>
          <w:rFonts w:cs="Times New Roman"/>
          <w:i/>
          <w:lang w:val="fr-CA"/>
        </w:rPr>
        <w:t>Re</w:t>
      </w:r>
      <w:r w:rsidRPr="00565B7B">
        <w:rPr>
          <w:rFonts w:cs="Times New Roman"/>
          <w:lang w:val="fr-CA"/>
        </w:rPr>
        <w:t>, 2013 ONCA 599</w:t>
      </w:r>
      <w:r>
        <w:rPr>
          <w:rFonts w:cs="Times New Roman"/>
          <w:lang w:val="fr-CA"/>
        </w:rPr>
        <w:t>, 368 D.L.R. (4th) 122</w:t>
      </w:r>
      <w:r w:rsidRPr="00565B7B">
        <w:rPr>
          <w:rFonts w:cs="Times New Roman"/>
          <w:lang w:val="fr-CA"/>
        </w:rPr>
        <w:t xml:space="preserve"> (« </w:t>
      </w:r>
      <w:r w:rsidRPr="00565B7B">
        <w:rPr>
          <w:rFonts w:cs="Times New Roman"/>
          <w:i/>
          <w:lang w:val="fr-CA"/>
        </w:rPr>
        <w:t>Norte</w:t>
      </w:r>
      <w:r w:rsidRPr="00A81F45">
        <w:rPr>
          <w:rFonts w:cs="Times New Roman"/>
          <w:i/>
          <w:lang w:val="fr-CA"/>
        </w:rPr>
        <w:t xml:space="preserve">l </w:t>
      </w:r>
      <w:r w:rsidRPr="00565B7B">
        <w:rPr>
          <w:rFonts w:cs="Times New Roman"/>
          <w:lang w:val="fr-CA"/>
        </w:rPr>
        <w:t>CA ») et qu’en réalité, cette étape du critère est si aisément franchie qu’elle n’est appliquée que pour la forme et qu’elle n’a pratiquement plus de sens. La seconde préoccupation a trait à l’application de l’étape « valeur pécuniaire » du critère d’</w:t>
      </w:r>
      <w:r w:rsidRPr="00565B7B">
        <w:rPr>
          <w:rFonts w:cs="Times New Roman"/>
          <w:i/>
          <w:lang w:val="fr-CA"/>
        </w:rPr>
        <w:t>Abitibi</w:t>
      </w:r>
      <w:r w:rsidRPr="00565B7B">
        <w:rPr>
          <w:rFonts w:cs="Times New Roman"/>
          <w:lang w:val="fr-CA"/>
        </w:rPr>
        <w:t xml:space="preserve"> par le juge siégeant en cabinet et le juge Slatter. Cette étape reçoit généralement le nom de « certitude suffisante », compte tenu des directives données dans </w:t>
      </w:r>
      <w:r w:rsidRPr="00565B7B">
        <w:rPr>
          <w:rFonts w:cs="Times New Roman"/>
          <w:i/>
          <w:lang w:val="fr-CA"/>
        </w:rPr>
        <w:t>Abitibi</w:t>
      </w:r>
      <w:r w:rsidRPr="00565B7B">
        <w:rPr>
          <w:rFonts w:cs="Times New Roman"/>
          <w:lang w:val="fr-CA"/>
        </w:rPr>
        <w:t xml:space="preserve">. On soutient </w:t>
      </w:r>
      <w:r w:rsidR="00FB6155">
        <w:rPr>
          <w:rFonts w:cs="Times New Roman"/>
          <w:lang w:val="fr-CA"/>
        </w:rPr>
        <w:t xml:space="preserve">par </w:t>
      </w:r>
      <w:r w:rsidR="00FB6155" w:rsidRPr="00565B7B">
        <w:rPr>
          <w:rFonts w:cs="Times New Roman"/>
          <w:lang w:val="fr-CA"/>
        </w:rPr>
        <w:t>là</w:t>
      </w:r>
      <w:r w:rsidRPr="00565B7B">
        <w:rPr>
          <w:rFonts w:cs="Times New Roman"/>
          <w:lang w:val="fr-CA"/>
        </w:rPr>
        <w:t xml:space="preserve"> que les tribunaux d’instance inférieure sont allés au</w:t>
      </w:r>
      <w:r w:rsidRPr="00565B7B">
        <w:rPr>
          <w:rFonts w:cs="Times New Roman"/>
          <w:lang w:val="fr-CA"/>
        </w:rPr>
        <w:noBreakHyphen/>
        <w:t xml:space="preserve">delà du critère établi dans l’arrêt </w:t>
      </w:r>
      <w:r w:rsidRPr="00565B7B">
        <w:rPr>
          <w:rFonts w:cs="Times New Roman"/>
          <w:i/>
          <w:lang w:val="fr-CA"/>
        </w:rPr>
        <w:t>Abitibi</w:t>
      </w:r>
      <w:r w:rsidRPr="00565B7B">
        <w:rPr>
          <w:rFonts w:cs="Times New Roman"/>
          <w:lang w:val="fr-CA"/>
        </w:rPr>
        <w:t xml:space="preserve"> en se concentrant sur la question de savoir si les obligations réglementaires de Redwater </w:t>
      </w:r>
      <w:r w:rsidRPr="00565B7B">
        <w:rPr>
          <w:rFonts w:cs="Times New Roman"/>
          <w:lang w:val="fr-CA"/>
        </w:rPr>
        <w:lastRenderedPageBreak/>
        <w:t xml:space="preserve">étaient « intrinsèquement financières ». Suivant l’arrêt </w:t>
      </w:r>
      <w:r w:rsidRPr="00565B7B">
        <w:rPr>
          <w:rFonts w:cs="Times New Roman"/>
          <w:i/>
          <w:lang w:val="fr-CA"/>
        </w:rPr>
        <w:t>Abitibi</w:t>
      </w:r>
      <w:r w:rsidRPr="00565B7B">
        <w:rPr>
          <w:rFonts w:cs="Times New Roman"/>
          <w:lang w:val="fr-CA"/>
        </w:rPr>
        <w:t>, l’analyse de la certitude suffisante aurait dû être axée sur la question de savoir si l’organisme de réglementation effectuerait lui</w:t>
      </w:r>
      <w:r w:rsidRPr="00565B7B">
        <w:rPr>
          <w:rFonts w:cs="Times New Roman"/>
          <w:lang w:val="fr-CA"/>
        </w:rPr>
        <w:noBreakHyphen/>
        <w:t>même, au bout du compte, les travaux environnementaux et ferait valoir une réclamation pécuniaire pour le remboursement.</w:t>
      </w:r>
    </w:p>
    <w:p w:rsidR="00DF13E5" w:rsidRPr="00565B7B" w:rsidRDefault="00DF13E5" w:rsidP="00DF13E5">
      <w:pPr>
        <w:pStyle w:val="ParaNoNdepar-AltN"/>
        <w:rPr>
          <w:rFonts w:cs="Times New Roman"/>
          <w:lang w:val="fr-CA"/>
        </w:rPr>
      </w:pPr>
      <w:r w:rsidRPr="00565B7B">
        <w:rPr>
          <w:rFonts w:cs="Times New Roman"/>
          <w:lang w:val="fr-CA"/>
        </w:rPr>
        <w:t xml:space="preserve">Les deux préoccupations exprimées par l’organisme de réglementation me paraissent fondées. Comme je vais le démontrer, l’arrêt </w:t>
      </w:r>
      <w:r w:rsidRPr="00565B7B">
        <w:rPr>
          <w:rFonts w:cs="Times New Roman"/>
          <w:i/>
          <w:lang w:val="fr-CA"/>
        </w:rPr>
        <w:t>Abitibi</w:t>
      </w:r>
      <w:r w:rsidRPr="00565B7B">
        <w:rPr>
          <w:rFonts w:cs="Times New Roman"/>
          <w:lang w:val="fr-CA"/>
        </w:rPr>
        <w:t xml:space="preserve"> ne doit pas être considéré comme soutenant la thèse qu’un organisme de réglementation est toujours un créancier lorsqu’il exerce les pouvoirs d’application qui lui sont dévolus par la loi à l’encontre d’un débiteur. D’après le sens qu’il convient de donner à l’étape « créancier », il est clair que l’organisme de réglementation a agi dans l’intérêt public et pour le bien public en rendant les ordonnances d’abandon et en assurant le respect des exigences relatives à la CGR, et qu’il n’est donc pas un créancier de Redwater. C’est le public, et non l’organisme de réglementation ou le fonds d’administration du gouvernement, qui bénéficie de ces obligations environnementales; la province n’est pas en mesure d’en bénéficier financièrement. Bien que cette conclusion suffise pour trancher cet aspect du pourvoi, par souci d’exhaustivité, je vais aussi démontrer que le juge siégeant en cabinet a eu tort de conclure qu’au vu des faits de l’espèce, il est suffisamment certain que l’organisme de réglementation exécutera au bout du compte les travaux environnementaux et présentera une demande de remboursement. Pour conclure, je me prononcerai brièvement sur les raisons pour lesquelles les </w:t>
      </w:r>
      <w:r w:rsidRPr="00565B7B">
        <w:rPr>
          <w:rFonts w:cs="Times New Roman"/>
          <w:i/>
          <w:lang w:val="fr-CA"/>
        </w:rPr>
        <w:t xml:space="preserve">effets </w:t>
      </w:r>
      <w:r w:rsidRPr="00565B7B">
        <w:rPr>
          <w:rFonts w:cs="Times New Roman"/>
          <w:lang w:val="fr-CA"/>
        </w:rPr>
        <w:t xml:space="preserve">des obligations de fin de vie n’entrent pas en conflit avec le régime de priorité établi dans la </w:t>
      </w:r>
      <w:r w:rsidRPr="00F92AFD">
        <w:rPr>
          <w:rFonts w:cs="Times New Roman"/>
          <w:i/>
          <w:lang w:val="fr-CA"/>
        </w:rPr>
        <w:t>LFI</w:t>
      </w:r>
      <w:r w:rsidRPr="00565B7B">
        <w:rPr>
          <w:rFonts w:cs="Times New Roman"/>
          <w:lang w:val="fr-CA"/>
        </w:rPr>
        <w:t xml:space="preserve">. </w:t>
      </w:r>
    </w:p>
    <w:p w:rsidR="00DF13E5" w:rsidRPr="00565B7B" w:rsidRDefault="00DF13E5" w:rsidP="007872F1">
      <w:pPr>
        <w:pStyle w:val="Title3LevelTitre3Niveau"/>
        <w:rPr>
          <w:lang w:val="fr-CA"/>
        </w:rPr>
      </w:pPr>
      <w:r w:rsidRPr="00565B7B">
        <w:rPr>
          <w:lang w:val="fr-CA"/>
        </w:rPr>
        <w:t xml:space="preserve">L’organisme de réglementation n’est pas un créancier de Redwater </w:t>
      </w:r>
    </w:p>
    <w:p w:rsidR="00DF13E5" w:rsidRPr="00565B7B" w:rsidRDefault="00DF13E5" w:rsidP="00DF13E5">
      <w:pPr>
        <w:pStyle w:val="ParaNoNdepar-AltN"/>
        <w:rPr>
          <w:rFonts w:cs="Times New Roman"/>
          <w:lang w:val="fr-CA"/>
        </w:rPr>
      </w:pPr>
      <w:r w:rsidRPr="00565B7B">
        <w:rPr>
          <w:rFonts w:cs="Times New Roman"/>
          <w:lang w:val="fr-CA"/>
        </w:rPr>
        <w:lastRenderedPageBreak/>
        <w:t>L’organisme de réglementation et les intervenants qui l’appuient ne sont pas les premiers à cerner des problèmes relativement à l’étape « créancier » du critère d’</w:t>
      </w:r>
      <w:r w:rsidRPr="00565B7B">
        <w:rPr>
          <w:rFonts w:cs="Times New Roman"/>
          <w:i/>
          <w:lang w:val="fr-CA"/>
        </w:rPr>
        <w:t>Abitibi</w:t>
      </w:r>
      <w:r w:rsidRPr="00565B7B">
        <w:rPr>
          <w:rFonts w:cs="Times New Roman"/>
          <w:lang w:val="fr-CA"/>
        </w:rPr>
        <w:t xml:space="preserve">. Pendant les six années qui ont suivi l’arrêt </w:t>
      </w:r>
      <w:r w:rsidRPr="00565B7B">
        <w:rPr>
          <w:rFonts w:cs="Times New Roman"/>
          <w:i/>
          <w:lang w:val="fr-CA"/>
        </w:rPr>
        <w:t>Abitibi</w:t>
      </w:r>
      <w:r w:rsidRPr="00565B7B">
        <w:rPr>
          <w:rFonts w:cs="Times New Roman"/>
          <w:lang w:val="fr-CA"/>
        </w:rPr>
        <w:t xml:space="preserve">, des problèmes au sujet de cette étape et le fait que, dans son acception courante, cette étape sera toujours — ou presque toujours — franchie ont aussi été énoncés par des commentateurs universitaires tels que A. J. Lund, « Lousy Dentists, Bad Drivers, and Abandoned Oil Wells: </w:t>
      </w:r>
      <w:r>
        <w:rPr>
          <w:rFonts w:cs="Times New Roman"/>
          <w:lang w:val="fr-CA"/>
        </w:rPr>
        <w:t>A</w:t>
      </w:r>
      <w:r w:rsidRPr="00565B7B">
        <w:rPr>
          <w:rFonts w:cs="Times New Roman"/>
          <w:lang w:val="fr-CA"/>
        </w:rPr>
        <w:t xml:space="preserve"> New Approach to Reconciling Provincial Regulatory Regimes</w:t>
      </w:r>
      <w:r w:rsidR="00FB6155">
        <w:rPr>
          <w:rFonts w:cs="Times New Roman"/>
          <w:lang w:val="fr-CA"/>
        </w:rPr>
        <w:t xml:space="preserve"> with Federal Insolvency Law » </w:t>
      </w:r>
      <w:r w:rsidRPr="00565B7B">
        <w:rPr>
          <w:rFonts w:cs="Times New Roman"/>
          <w:lang w:val="fr-CA"/>
        </w:rPr>
        <w:t>(2017)</w:t>
      </w:r>
      <w:r w:rsidR="00FB6155">
        <w:rPr>
          <w:rFonts w:cs="Times New Roman"/>
          <w:lang w:val="fr-CA"/>
        </w:rPr>
        <w:t>,</w:t>
      </w:r>
      <w:r w:rsidRPr="00565B7B">
        <w:rPr>
          <w:rFonts w:cs="Times New Roman"/>
          <w:lang w:val="fr-CA"/>
        </w:rPr>
        <w:t xml:space="preserve"> 80 </w:t>
      </w:r>
      <w:r w:rsidRPr="00565B7B">
        <w:rPr>
          <w:rFonts w:cs="Times New Roman"/>
          <w:i/>
          <w:lang w:val="fr-CA"/>
        </w:rPr>
        <w:t>Sask L. Rev.</w:t>
      </w:r>
      <w:r w:rsidR="00FB6155">
        <w:rPr>
          <w:rFonts w:cs="Times New Roman"/>
          <w:lang w:val="fr-CA"/>
        </w:rPr>
        <w:t xml:space="preserve"> 157, p. 178, et M. Stewart</w:t>
      </w:r>
      <w:r w:rsidRPr="00565B7B">
        <w:rPr>
          <w:rFonts w:cs="Times New Roman"/>
          <w:lang w:val="fr-CA"/>
        </w:rPr>
        <w:t xml:space="preserve">. Notre Cour n’a pas eu l’occasion de commenter l’arrêt </w:t>
      </w:r>
      <w:r w:rsidRPr="00565B7B">
        <w:rPr>
          <w:rFonts w:cs="Times New Roman"/>
          <w:i/>
          <w:lang w:val="fr-CA"/>
        </w:rPr>
        <w:t xml:space="preserve">Abitibi </w:t>
      </w:r>
      <w:r w:rsidRPr="00565B7B">
        <w:rPr>
          <w:rFonts w:cs="Times New Roman"/>
          <w:lang w:val="fr-CA"/>
        </w:rPr>
        <w:t xml:space="preserve">depuis qu’il a été rendu. Par contre, l’interprétation de l’étape « créancier » retenue par des juridictions inférieures, notamment la majorité de la Cour d’appel en l’espèce, a mis l’accent sur certaines remarques faites au par. 27 de l’arrêt </w:t>
      </w:r>
      <w:r w:rsidRPr="00565B7B">
        <w:rPr>
          <w:rFonts w:cs="Times New Roman"/>
          <w:i/>
          <w:lang w:val="fr-CA"/>
        </w:rPr>
        <w:t>Abitibi</w:t>
      </w:r>
      <w:r w:rsidRPr="00565B7B">
        <w:rPr>
          <w:rFonts w:cs="Times New Roman"/>
          <w:lang w:val="fr-CA"/>
        </w:rPr>
        <w:t>. Sur cette base, ces tribunaux ont conclu que l’étape « créancier » est franchie chaque fois qu’un organisme de réglementation exerce à l’encontre d’un débiteur son pouvoir d’appl</w:t>
      </w:r>
      <w:r w:rsidR="00F92AFD">
        <w:rPr>
          <w:rFonts w:cs="Times New Roman"/>
          <w:lang w:val="fr-CA"/>
        </w:rPr>
        <w:t>iquer la loi (voir, par exemple</w:t>
      </w:r>
      <w:r w:rsidRPr="00565B7B">
        <w:rPr>
          <w:rFonts w:cs="Times New Roman"/>
          <w:lang w:val="fr-CA"/>
        </w:rPr>
        <w:t xml:space="preserve">, les motifs de la Cour d’appel, par. 60; </w:t>
      </w:r>
      <w:r w:rsidRPr="00565B7B">
        <w:rPr>
          <w:rFonts w:cs="Times New Roman"/>
          <w:i/>
          <w:lang w:val="fr-CA"/>
        </w:rPr>
        <w:t xml:space="preserve">Nortel </w:t>
      </w:r>
      <w:r w:rsidRPr="00565B7B">
        <w:rPr>
          <w:rFonts w:cs="Times New Roman"/>
          <w:lang w:val="fr-CA"/>
        </w:rPr>
        <w:t xml:space="preserve">CA, par. 16). </w:t>
      </w:r>
    </w:p>
    <w:p w:rsidR="00DF13E5" w:rsidRPr="00565B7B" w:rsidRDefault="00DF13E5" w:rsidP="00DF13E5">
      <w:pPr>
        <w:pStyle w:val="ParaNoNdepar-AltN"/>
        <w:rPr>
          <w:rFonts w:cs="Times New Roman"/>
          <w:lang w:val="fr-CA"/>
        </w:rPr>
      </w:pPr>
      <w:r w:rsidRPr="00565B7B">
        <w:rPr>
          <w:rFonts w:cs="Times New Roman"/>
          <w:lang w:val="fr-CA"/>
        </w:rPr>
        <w:t xml:space="preserve">Selon GTL, les juridictions inférieures susmentionnées ont bien interprété et appliqué l’étape « créancier ». Il ajoute qu’à la suite de l’arrêt </w:t>
      </w:r>
      <w:r w:rsidRPr="00565B7B">
        <w:rPr>
          <w:rFonts w:cs="Times New Roman"/>
          <w:i/>
          <w:lang w:val="fr-CA"/>
        </w:rPr>
        <w:t>Abitibi</w:t>
      </w:r>
      <w:r w:rsidRPr="00565B7B">
        <w:rPr>
          <w:rFonts w:cs="Times New Roman"/>
          <w:lang w:val="fr-CA"/>
        </w:rPr>
        <w:t xml:space="preserve">, l’arrêt </w:t>
      </w:r>
      <w:r w:rsidRPr="00565B7B">
        <w:rPr>
          <w:rFonts w:cs="Times New Roman"/>
          <w:i/>
          <w:lang w:val="fr-CA"/>
        </w:rPr>
        <w:t xml:space="preserve">Northern Badger </w:t>
      </w:r>
      <w:r w:rsidRPr="00565B7B">
        <w:rPr>
          <w:rFonts w:cs="Times New Roman"/>
          <w:lang w:val="fr-CA"/>
        </w:rPr>
        <w:t xml:space="preserve">rendu en 1991 par la Cour d’appel de l’Alberta n’est d’aucun secours pour analyser la question du créancier. À l’inverse, l’organisme de réglementation soutient avec vigueur qu’il faut situer l’arrêt </w:t>
      </w:r>
      <w:r w:rsidRPr="00565B7B">
        <w:rPr>
          <w:rFonts w:cs="Times New Roman"/>
          <w:i/>
          <w:lang w:val="fr-CA"/>
        </w:rPr>
        <w:t>Abitibi</w:t>
      </w:r>
      <w:r w:rsidRPr="00565B7B">
        <w:rPr>
          <w:rFonts w:cs="Times New Roman"/>
          <w:lang w:val="fr-CA"/>
        </w:rPr>
        <w:t xml:space="preserve"> dans le contexte des faits qui lui sont propres, et qu’il n’a pas infirmé </w:t>
      </w:r>
      <w:r w:rsidRPr="00565B7B">
        <w:rPr>
          <w:rFonts w:cs="Times New Roman"/>
          <w:i/>
          <w:lang w:val="fr-CA"/>
        </w:rPr>
        <w:t>Northern Badger</w:t>
      </w:r>
      <w:r w:rsidRPr="00565B7B">
        <w:rPr>
          <w:rFonts w:cs="Times New Roman"/>
          <w:lang w:val="fr-CA"/>
        </w:rPr>
        <w:t xml:space="preserve">. Se fondant sur cet arrêt, l’organisme de réglementation plaide qu’un organisme de réglementation exerçant un pouvoir pour faire respecter un devoir public n’est pas un créancier de la personne ou de la société assujettie à ce devoir. À l’instar de la juge Martin, je partage l’avis de </w:t>
      </w:r>
      <w:r w:rsidRPr="00565B7B">
        <w:rPr>
          <w:rFonts w:cs="Times New Roman"/>
          <w:lang w:val="fr-CA"/>
        </w:rPr>
        <w:lastRenderedPageBreak/>
        <w:t>l’organisme de réglementation sur ce point. Si, comme l’exhorte GTL et le concluent les juges majoritaires de la Cour d’appel, l’étape « créancier » est franchie chaque fois qu’un organisme de réglementation exerce ses pouvoirs d’application à l’encontre d’un débiteur, il est difficile d’imaginer une situation où les actes d’un organisme de réglementation ne franchiraient pas l’étape « créancier ». Monsieur Stewart avait raison de supposer que [</w:t>
      </w:r>
      <w:r w:rsidRPr="00565B7B">
        <w:rPr>
          <w:rFonts w:cs="Times New Roman"/>
          <w:smallCaps/>
          <w:lang w:val="fr-CA"/>
        </w:rPr>
        <w:t>traduction</w:t>
      </w:r>
      <w:r w:rsidRPr="00565B7B">
        <w:rPr>
          <w:rFonts w:cs="Times New Roman"/>
          <w:lang w:val="fr-CA"/>
        </w:rPr>
        <w:t xml:space="preserve">] « la Cour ne souhaitait sûrement pas ce résultat » (p. 189). </w:t>
      </w:r>
      <w:r w:rsidR="00FB6155">
        <w:rPr>
          <w:rFonts w:cs="Times New Roman"/>
          <w:lang w:val="fr-CA"/>
        </w:rPr>
        <w:t xml:space="preserve">Pour que l’étape « créancier » </w:t>
      </w:r>
      <w:r w:rsidRPr="00565B7B">
        <w:rPr>
          <w:rFonts w:cs="Times New Roman"/>
          <w:lang w:val="fr-CA"/>
        </w:rPr>
        <w:t>ait un quelconque sens</w:t>
      </w:r>
      <w:r w:rsidR="00FB6155">
        <w:rPr>
          <w:rFonts w:cs="Times New Roman"/>
          <w:lang w:val="fr-CA"/>
        </w:rPr>
        <w:t xml:space="preserve"> </w:t>
      </w:r>
      <w:r w:rsidR="00FB6155" w:rsidRPr="00565B7B">
        <w:rPr>
          <w:rFonts w:cs="Times New Roman"/>
          <w:lang w:val="fr-CA"/>
        </w:rPr>
        <w:t>[</w:t>
      </w:r>
      <w:r w:rsidR="00FB6155" w:rsidRPr="00565B7B">
        <w:rPr>
          <w:rFonts w:cs="Times New Roman"/>
          <w:smallCaps/>
          <w:lang w:val="fr-CA"/>
        </w:rPr>
        <w:t>traduction</w:t>
      </w:r>
      <w:r w:rsidR="00FB6155" w:rsidRPr="00565B7B">
        <w:rPr>
          <w:rFonts w:cs="Times New Roman"/>
          <w:lang w:val="fr-CA"/>
        </w:rPr>
        <w:t>] «</w:t>
      </w:r>
      <w:r w:rsidRPr="00565B7B">
        <w:rPr>
          <w:rFonts w:cs="Times New Roman"/>
          <w:lang w:val="fr-CA"/>
        </w:rPr>
        <w:t xml:space="preserve"> il doit y avoir des situations dans lesquelles les deux autres étapes du critère d’</w:t>
      </w:r>
      <w:r w:rsidRPr="00565B7B">
        <w:rPr>
          <w:rFonts w:cs="Times New Roman"/>
          <w:i/>
          <w:lang w:val="fr-CA"/>
        </w:rPr>
        <w:t>Abitibi</w:t>
      </w:r>
      <w:r w:rsidRPr="00565B7B">
        <w:rPr>
          <w:rFonts w:cs="Times New Roman"/>
          <w:lang w:val="fr-CA"/>
        </w:rPr>
        <w:t xml:space="preserve"> sont franchies</w:t>
      </w:r>
      <w:r w:rsidR="00FB6155">
        <w:rPr>
          <w:rFonts w:cs="Times New Roman"/>
          <w:lang w:val="fr-CA"/>
        </w:rPr>
        <w:t xml:space="preserve"> […]</w:t>
      </w:r>
      <w:r w:rsidRPr="00565B7B">
        <w:rPr>
          <w:rFonts w:cs="Times New Roman"/>
          <w:lang w:val="fr-CA"/>
        </w:rPr>
        <w:t>, mais l’ordonnance [ou l’obligation] environnementale n’est toujours pas une réclamation prouvable car l’organisme de réglementation n’est pas un créancier du failli » (mémoire de la procureure générale de l’Ontario, par. 39).</w:t>
      </w:r>
    </w:p>
    <w:p w:rsidR="00DF13E5" w:rsidRPr="00565B7B" w:rsidRDefault="00DF13E5" w:rsidP="00DF13E5">
      <w:pPr>
        <w:pStyle w:val="ParaNoNdepar-AltN"/>
        <w:rPr>
          <w:rFonts w:cs="Times New Roman"/>
          <w:lang w:val="fr-CA"/>
        </w:rPr>
      </w:pPr>
      <w:r w:rsidRPr="00565B7B">
        <w:rPr>
          <w:rFonts w:cs="Times New Roman"/>
          <w:lang w:val="fr-CA"/>
        </w:rPr>
        <w:t xml:space="preserve">Avant d’expliquer davantage ma conclusion sur ce point, je dois traiter d’une question préliminaire : l’organisme de réglementation a concédé devant les juridictions inférieures qu’il était un créancier. Il est bien établi que les concessions de droit ne lient pas notre Cour : voir </w:t>
      </w:r>
      <w:r w:rsidRPr="00565B7B">
        <w:rPr>
          <w:rFonts w:cs="Times New Roman"/>
          <w:i/>
          <w:lang w:val="fr-CA"/>
        </w:rPr>
        <w:t>Ocean Port Hotel Ltd. c. Colombie</w:t>
      </w:r>
      <w:r w:rsidRPr="00565B7B">
        <w:rPr>
          <w:rFonts w:cs="Times New Roman"/>
          <w:i/>
          <w:lang w:val="fr-CA"/>
        </w:rPr>
        <w:noBreakHyphen/>
        <w:t>Britannique (General Manager, Liquor Control &amp; Licensing Branch)</w:t>
      </w:r>
      <w:r w:rsidRPr="00565B7B">
        <w:rPr>
          <w:rFonts w:cs="Times New Roman"/>
          <w:lang w:val="fr-CA"/>
        </w:rPr>
        <w:t xml:space="preserve">, 2001 CSC 52, [2001] 2 R.C.S. 781, par. 44; </w:t>
      </w:r>
      <w:r w:rsidRPr="00565B7B">
        <w:rPr>
          <w:rFonts w:cs="Times New Roman"/>
          <w:i/>
          <w:lang w:val="fr-CA"/>
        </w:rPr>
        <w:t>M. c. H.</w:t>
      </w:r>
      <w:r w:rsidRPr="00565B7B">
        <w:rPr>
          <w:rFonts w:cs="Times New Roman"/>
          <w:lang w:val="fr-CA"/>
        </w:rPr>
        <w:t xml:space="preserve">, [1999] 2 R.C.S. 3, par. 45; </w:t>
      </w:r>
      <w:r w:rsidRPr="00565B7B">
        <w:rPr>
          <w:rFonts w:cs="Times New Roman"/>
          <w:i/>
          <w:lang w:val="fr-CA"/>
        </w:rPr>
        <w:t>R. c. Sappier</w:t>
      </w:r>
      <w:r w:rsidRPr="00565B7B">
        <w:rPr>
          <w:rFonts w:cs="Times New Roman"/>
          <w:lang w:val="fr-CA"/>
        </w:rPr>
        <w:t xml:space="preserve">, 2006 CSC 54, [2006] 2 R.C.S. 686, par. 62). Comme l’a fait remarquer la juge </w:t>
      </w:r>
      <w:r w:rsidRPr="00565B7B">
        <w:rPr>
          <w:rFonts w:cs="Times New Roman"/>
          <w:spacing w:val="-3"/>
          <w:lang w:val="fr-CA"/>
        </w:rPr>
        <w:t>L’Heureux</w:t>
      </w:r>
      <w:r w:rsidRPr="00565B7B">
        <w:rPr>
          <w:rFonts w:cs="Times New Roman"/>
          <w:spacing w:val="-3"/>
          <w:lang w:val="fr-CA"/>
        </w:rPr>
        <w:noBreakHyphen/>
        <w:t xml:space="preserve">Dubé (dissidente, mais non sur ce point) dans </w:t>
      </w:r>
      <w:r w:rsidRPr="00565B7B">
        <w:rPr>
          <w:rFonts w:cs="Times New Roman"/>
          <w:i/>
          <w:spacing w:val="-3"/>
          <w:lang w:val="fr-CA"/>
        </w:rPr>
        <w:t>R. c</w:t>
      </w:r>
      <w:r w:rsidRPr="00565B7B">
        <w:rPr>
          <w:rFonts w:cs="Times New Roman"/>
          <w:i/>
          <w:iCs/>
          <w:spacing w:val="-3"/>
          <w:lang w:val="fr-CA"/>
        </w:rPr>
        <w:t>.</w:t>
      </w:r>
      <w:r w:rsidRPr="00565B7B">
        <w:rPr>
          <w:rFonts w:cs="Times New Roman"/>
          <w:i/>
          <w:spacing w:val="-3"/>
          <w:lang w:val="fr-CA"/>
        </w:rPr>
        <w:t xml:space="preserve"> Elshaw</w:t>
      </w:r>
      <w:r w:rsidRPr="00565B7B">
        <w:rPr>
          <w:rFonts w:cs="Times New Roman"/>
          <w:spacing w:val="-3"/>
          <w:lang w:val="fr-CA"/>
        </w:rPr>
        <w:t xml:space="preserve">, [1991] 3 R.C.S. 24, </w:t>
      </w:r>
      <w:r w:rsidR="00FB6155">
        <w:rPr>
          <w:rFonts w:cs="Times New Roman"/>
          <w:spacing w:val="-3"/>
          <w:lang w:val="fr-CA"/>
        </w:rPr>
        <w:t>p</w:t>
      </w:r>
      <w:r w:rsidRPr="00565B7B">
        <w:rPr>
          <w:rFonts w:cs="Times New Roman"/>
          <w:spacing w:val="-3"/>
          <w:lang w:val="fr-CA"/>
        </w:rPr>
        <w:t xml:space="preserve">. 48, « un aveu fait devant une instance inférieure ne signifie rien en soi ». Bien que l’on se fonde souvent sur les concessions des parties, il revient en fin de compte à notre Cour de statuer sur des points de droit. Pour plusieurs raisons, on ne suscite aucune préoccupation en matière d’équité en ne tenant pas compte de la concession faite par l’organisme de réglementation en l’espèce. </w:t>
      </w:r>
    </w:p>
    <w:p w:rsidR="00DF13E5" w:rsidRPr="00565B7B" w:rsidRDefault="00DF13E5" w:rsidP="00DF13E5">
      <w:pPr>
        <w:pStyle w:val="ParaNoNdepar-AltN"/>
        <w:rPr>
          <w:rFonts w:cs="Times New Roman"/>
          <w:lang w:val="fr-CA"/>
        </w:rPr>
      </w:pPr>
      <w:r w:rsidRPr="00565B7B">
        <w:rPr>
          <w:rFonts w:cs="Times New Roman"/>
          <w:spacing w:val="-3"/>
          <w:lang w:val="fr-CA"/>
        </w:rPr>
        <w:lastRenderedPageBreak/>
        <w:t>Premièrement, dans une lettre adressée à GTL en date du 14 mai 2015, l’organisme de réglementation soutient qu’il était [</w:t>
      </w:r>
      <w:r w:rsidRPr="00565B7B">
        <w:rPr>
          <w:rFonts w:cs="Times New Roman"/>
          <w:smallCaps/>
          <w:spacing w:val="-3"/>
          <w:lang w:val="fr-CA"/>
        </w:rPr>
        <w:t>traduction</w:t>
      </w:r>
      <w:r w:rsidRPr="00565B7B">
        <w:rPr>
          <w:rFonts w:cs="Times New Roman"/>
          <w:spacing w:val="-3"/>
          <w:lang w:val="fr-CA"/>
        </w:rPr>
        <w:t xml:space="preserve">] « non pas un créancier de [Redwater] », mais avait plutôt « pour mandat légal de réglementer l’industrie pétrolière et gazière de l’Alberta » (dossier de GTL, vol. 1, p. 78). Je constate qu’il s’agissait de la première communication entre l’organisme de réglementation et GTL et qu’elle est survenue seulement deux jours après la nomination de ce dernier comme séquestre des biens de Redwater. Deuxièmement, les parties ont traité dans leurs mémoires de la question de savoir si l’organisme de réglementation est un créancier. Troisièmement, au cours de sa plaidoirie devant notre Cour, l’organisme de réglementation a été interrogé à propos de sa concession. L’avocate a signalé le point non contesté que les tribunaux supérieurs ne sont pas liés par de telles concessions, et a soutenu que, si l’on interprète correctement l’arrêt </w:t>
      </w:r>
      <w:r w:rsidRPr="00565B7B">
        <w:rPr>
          <w:rFonts w:cs="Times New Roman"/>
          <w:i/>
          <w:spacing w:val="-3"/>
          <w:lang w:val="fr-CA"/>
        </w:rPr>
        <w:t>Abitibi</w:t>
      </w:r>
      <w:r w:rsidRPr="00565B7B">
        <w:rPr>
          <w:rFonts w:cs="Times New Roman"/>
          <w:spacing w:val="-3"/>
          <w:lang w:val="fr-CA"/>
        </w:rPr>
        <w:t>, l’organisme de réglementation n’était pas un créancier. Quatrièmement, quand le statut de l’organisme de réglementation en tant que créancier a été évoqué devant notre Cour, les avocats des parties adverses n’ont pas prétendu qu’ils auraient présenté des éléments de preuve supplémentaires sur ce point s’il avait été soulevé devant les juridictions inférieures. Enfin, le sens qu’il convient de donner à l’étape « créancier » du critère d’</w:t>
      </w:r>
      <w:r w:rsidRPr="00565B7B">
        <w:rPr>
          <w:rFonts w:cs="Times New Roman"/>
          <w:i/>
          <w:spacing w:val="-3"/>
          <w:lang w:val="fr-CA"/>
        </w:rPr>
        <w:t>Abitibi</w:t>
      </w:r>
      <w:r w:rsidRPr="00565B7B">
        <w:rPr>
          <w:rFonts w:cs="Times New Roman"/>
          <w:spacing w:val="-3"/>
          <w:lang w:val="fr-CA"/>
        </w:rPr>
        <w:t xml:space="preserve"> est d’une importance fondamentale pour le bon fonctionnement du régime national de faillite et des régimes environnementaux provinciaux partout au Canada. Je conclus qu’il est indiqué en l’espèce de ne pas tenir compte de la concession faite par l’organisme de réglementation devant les juridictions inférieures.</w:t>
      </w:r>
    </w:p>
    <w:p w:rsidR="00DF13E5" w:rsidRPr="00565B7B" w:rsidRDefault="00DF13E5" w:rsidP="00DF13E5">
      <w:pPr>
        <w:pStyle w:val="ParaNoNdepar-AltN"/>
        <w:rPr>
          <w:rFonts w:cs="Times New Roman"/>
          <w:lang w:val="fr-CA"/>
        </w:rPr>
      </w:pPr>
      <w:r w:rsidRPr="00565B7B">
        <w:rPr>
          <w:rFonts w:cs="Times New Roman"/>
          <w:lang w:val="fr-CA"/>
        </w:rPr>
        <w:t xml:space="preserve">Pour revenir à l’analyse, je signale qu’il ne faut pas oublier la matrice factuelle unique de l’arrêt </w:t>
      </w:r>
      <w:r w:rsidRPr="00565B7B">
        <w:rPr>
          <w:rFonts w:cs="Times New Roman"/>
          <w:i/>
          <w:lang w:val="fr-CA"/>
        </w:rPr>
        <w:t>Abitibi</w:t>
      </w:r>
      <w:r w:rsidRPr="00565B7B">
        <w:rPr>
          <w:rFonts w:cs="Times New Roman"/>
          <w:lang w:val="fr-CA"/>
        </w:rPr>
        <w:t>. Dans cette affaire, Terre</w:t>
      </w:r>
      <w:r w:rsidRPr="00565B7B">
        <w:rPr>
          <w:rFonts w:cs="Times New Roman"/>
          <w:lang w:val="fr-CA"/>
        </w:rPr>
        <w:noBreakHyphen/>
        <w:t>Neuve</w:t>
      </w:r>
      <w:r w:rsidRPr="00565B7B">
        <w:rPr>
          <w:rFonts w:cs="Times New Roman"/>
          <w:lang w:val="fr-CA"/>
        </w:rPr>
        <w:noBreakHyphen/>
        <w:t>et</w:t>
      </w:r>
      <w:r w:rsidRPr="00565B7B">
        <w:rPr>
          <w:rFonts w:cs="Times New Roman"/>
          <w:lang w:val="fr-CA"/>
        </w:rPr>
        <w:noBreakHyphen/>
        <w:t xml:space="preserve">Labrador a exproprié la plupart des biens d’AbitibiBowater dans la province, sans indemnisation. </w:t>
      </w:r>
      <w:r w:rsidRPr="00565B7B">
        <w:rPr>
          <w:rFonts w:cs="Times New Roman"/>
          <w:lang w:val="fr-CA"/>
        </w:rPr>
        <w:lastRenderedPageBreak/>
        <w:t>Par la suite, AbitibiBowater s’est vu accorder une suspension en vertu de la LACC. Elle a ensuite déposé un avis d’intention de soumettre une réclamation à l’arbitrage au titre de l’</w:t>
      </w:r>
      <w:r w:rsidRPr="00565B7B">
        <w:rPr>
          <w:rFonts w:cs="Times New Roman"/>
          <w:i/>
          <w:lang w:val="fr-CA"/>
        </w:rPr>
        <w:t>Accord de libre</w:t>
      </w:r>
      <w:r w:rsidRPr="00565B7B">
        <w:rPr>
          <w:rFonts w:cs="Times New Roman"/>
          <w:i/>
          <w:lang w:val="fr-CA"/>
        </w:rPr>
        <w:noBreakHyphen/>
        <w:t>échange nord</w:t>
      </w:r>
      <w:r w:rsidRPr="00565B7B">
        <w:rPr>
          <w:rFonts w:cs="Times New Roman"/>
          <w:i/>
          <w:lang w:val="fr-CA"/>
        </w:rPr>
        <w:noBreakHyphen/>
        <w:t>américain entre</w:t>
      </w:r>
      <w:r w:rsidRPr="00565B7B">
        <w:rPr>
          <w:rFonts w:cs="Times New Roman"/>
          <w:lang w:val="fr-CA"/>
        </w:rPr>
        <w:t xml:space="preserve"> </w:t>
      </w:r>
      <w:r w:rsidRPr="00565B7B">
        <w:rPr>
          <w:rFonts w:cs="Times New Roman"/>
          <w:i/>
          <w:lang w:val="fr-CA"/>
        </w:rPr>
        <w:t>le gouvernement du Canada, le gouvernement des États</w:t>
      </w:r>
      <w:r w:rsidRPr="00565B7B">
        <w:rPr>
          <w:rFonts w:cs="Times New Roman"/>
          <w:i/>
          <w:lang w:val="fr-CA"/>
        </w:rPr>
        <w:noBreakHyphen/>
        <w:t>Unis mexicains et le gouvernement des États</w:t>
      </w:r>
      <w:r w:rsidRPr="00565B7B">
        <w:rPr>
          <w:rFonts w:cs="Times New Roman"/>
          <w:i/>
          <w:lang w:val="fr-CA"/>
        </w:rPr>
        <w:noBreakHyphen/>
        <w:t>Unis d'Amérique</w:t>
      </w:r>
      <w:r w:rsidRPr="00565B7B">
        <w:rPr>
          <w:rFonts w:cs="Times New Roman"/>
          <w:lang w:val="fr-CA"/>
        </w:rPr>
        <w:t>, R.T. Can. 1994 n</w:t>
      </w:r>
      <w:r w:rsidRPr="00565B7B">
        <w:rPr>
          <w:rFonts w:cs="Times New Roman"/>
          <w:vertAlign w:val="superscript"/>
          <w:lang w:val="fr-CA"/>
        </w:rPr>
        <w:t>o</w:t>
      </w:r>
      <w:r w:rsidRPr="00565B7B">
        <w:rPr>
          <w:rFonts w:cs="Times New Roman"/>
          <w:lang w:val="fr-CA"/>
        </w:rPr>
        <w:t> 2 (« ALENA »), pour les pertes résultant de l’expropriation. En réponse, le ministre de l’Environnement et de la Conservation de Terre</w:t>
      </w:r>
      <w:r w:rsidRPr="00565B7B">
        <w:rPr>
          <w:rFonts w:cs="Times New Roman"/>
          <w:lang w:val="fr-CA"/>
        </w:rPr>
        <w:noBreakHyphen/>
        <w:t>Neuve a ordonné à AbitibiBowater de décontaminer cinq sites conformément à l’</w:t>
      </w:r>
      <w:r w:rsidRPr="00565B7B">
        <w:rPr>
          <w:rFonts w:cs="Times New Roman"/>
          <w:i/>
          <w:lang w:val="fr-CA"/>
        </w:rPr>
        <w:t>Environmental Protection Act</w:t>
      </w:r>
      <w:r w:rsidRPr="00565B7B">
        <w:rPr>
          <w:rFonts w:cs="Times New Roman"/>
          <w:lang w:val="fr-CA"/>
        </w:rPr>
        <w:t>, S.N.L. 2002, c. E</w:t>
      </w:r>
      <w:r w:rsidRPr="00565B7B">
        <w:rPr>
          <w:rFonts w:cs="Times New Roman"/>
          <w:lang w:val="fr-CA"/>
        </w:rPr>
        <w:noBreakHyphen/>
        <w:t>14.2</w:t>
      </w:r>
      <w:r w:rsidR="00FB6155">
        <w:rPr>
          <w:rFonts w:cs="Times New Roman"/>
          <w:lang w:val="fr-CA"/>
        </w:rPr>
        <w:t xml:space="preserve"> (</w:t>
      </w:r>
      <w:r w:rsidRPr="00565B7B">
        <w:rPr>
          <w:rFonts w:cs="Times New Roman"/>
          <w:lang w:val="fr-CA"/>
        </w:rPr>
        <w:t>« </w:t>
      </w:r>
      <w:r w:rsidRPr="00654116">
        <w:rPr>
          <w:rFonts w:cs="Times New Roman"/>
          <w:i/>
          <w:lang w:val="fr-CA"/>
        </w:rPr>
        <w:t>EPA</w:t>
      </w:r>
      <w:r w:rsidRPr="00565B7B">
        <w:rPr>
          <w:rFonts w:cs="Times New Roman"/>
          <w:lang w:val="fr-CA"/>
        </w:rPr>
        <w:t> »). Trois des cinq sites avaient été expropriés par la province. La preuve a mené à la conclusion que « la province n’avait jamais vraiment eu l’intention qu’Abitibi exécute les travaux [de décontamination] » (</w:t>
      </w:r>
      <w:r w:rsidRPr="00565B7B">
        <w:rPr>
          <w:rFonts w:cs="Times New Roman"/>
          <w:i/>
          <w:lang w:val="fr-CA"/>
        </w:rPr>
        <w:t>Abitibi</w:t>
      </w:r>
      <w:r w:rsidRPr="00565B7B">
        <w:rPr>
          <w:rFonts w:cs="Times New Roman"/>
          <w:lang w:val="fr-CA"/>
        </w:rPr>
        <w:t>, par. 54) et qu’elle cherchait plutôt à faire valoir une réclamation qui pourrait être utilisée à titre compensatoire au regard de la demande d’indemnisation d’AbitibiBowater fondée sur l’ALENA. Autrement dit, la province voulait tirer un avantage financier des ordonnances de décontamination.</w:t>
      </w:r>
    </w:p>
    <w:p w:rsidR="00DF13E5" w:rsidRPr="00565B7B" w:rsidRDefault="00DF13E5" w:rsidP="00DF13E5">
      <w:pPr>
        <w:pStyle w:val="ParaNoNdepar-AltN"/>
        <w:rPr>
          <w:rFonts w:cs="Times New Roman"/>
          <w:lang w:val="fr-CA"/>
        </w:rPr>
      </w:pPr>
      <w:r w:rsidRPr="00565B7B">
        <w:rPr>
          <w:rFonts w:cs="Times New Roman"/>
          <w:lang w:val="fr-CA"/>
        </w:rPr>
        <w:t xml:space="preserve">En l’espèce, personne ne conteste qu’en cherchant à assurer le respect des obligations de fin de vie incombant à Redwater, l’organisme de réglementation agit de bonne foi à titre d’autorité de réglementation et il n’est pas en mesure d’obtenir un avantage financier. L’objectif ultime de l’organisme de réglementation est de faire exécuter les travaux environnementaux au profit des tiers propriétaires terriens et de la population en général. L’organisme de réglementation n’a pas fait de tentative déguisée de recouvrer une créance et il n’y avait pas de motif oblique de sa part, comme c’était le cas dans </w:t>
      </w:r>
      <w:r w:rsidRPr="00565B7B">
        <w:rPr>
          <w:rFonts w:cs="Times New Roman"/>
          <w:i/>
          <w:lang w:val="fr-CA"/>
        </w:rPr>
        <w:t>Abitibi</w:t>
      </w:r>
      <w:r w:rsidRPr="00565B7B">
        <w:rPr>
          <w:rFonts w:cs="Times New Roman"/>
          <w:lang w:val="fr-CA"/>
        </w:rPr>
        <w:t xml:space="preserve">. La distinction entre les faits du présent pourvoi et ceux de l’affaire </w:t>
      </w:r>
      <w:r w:rsidRPr="00565B7B">
        <w:rPr>
          <w:rFonts w:cs="Times New Roman"/>
          <w:i/>
          <w:lang w:val="fr-CA"/>
        </w:rPr>
        <w:t>Abitibi</w:t>
      </w:r>
      <w:r w:rsidRPr="00565B7B">
        <w:rPr>
          <w:rFonts w:cs="Times New Roman"/>
          <w:lang w:val="fr-CA"/>
        </w:rPr>
        <w:t xml:space="preserve"> ressort encore plus clairement lorsqu’on examine les motifs exhaustifs du juge </w:t>
      </w:r>
      <w:r w:rsidRPr="00565B7B">
        <w:rPr>
          <w:rFonts w:cs="Times New Roman"/>
          <w:lang w:val="fr-CA"/>
        </w:rPr>
        <w:lastRenderedPageBreak/>
        <w:t xml:space="preserve">siégeant en cabinet dans </w:t>
      </w:r>
      <w:r w:rsidRPr="00565B7B">
        <w:rPr>
          <w:rFonts w:cs="Times New Roman"/>
          <w:i/>
          <w:lang w:val="fr-CA"/>
        </w:rPr>
        <w:t>Abitibi</w:t>
      </w:r>
      <w:r w:rsidRPr="00565B7B">
        <w:rPr>
          <w:rFonts w:cs="Times New Roman"/>
          <w:lang w:val="fr-CA"/>
        </w:rPr>
        <w:t>. Le cœur des conclusions du juge Gascon (maintenant juge de notre Cour) se trouve aux par. 173</w:t>
      </w:r>
      <w:r w:rsidRPr="00565B7B">
        <w:rPr>
          <w:rFonts w:cs="Times New Roman"/>
          <w:lang w:val="fr-CA"/>
        </w:rPr>
        <w:noBreakHyphen/>
        <w:t>176 :</w:t>
      </w:r>
    </w:p>
    <w:p w:rsidR="00DF13E5" w:rsidRPr="00565B7B" w:rsidRDefault="00DF13E5" w:rsidP="00FB6155">
      <w:pPr>
        <w:pStyle w:val="Citation-AltC"/>
        <w:spacing w:after="240"/>
        <w:ind w:hanging="1166"/>
        <w:contextualSpacing w:val="0"/>
        <w:rPr>
          <w:lang w:val="fr-CA"/>
        </w:rPr>
      </w:pPr>
      <w:r w:rsidRPr="00565B7B">
        <w:rPr>
          <w:lang w:val="fr-CA"/>
        </w:rPr>
        <w:tab/>
      </w:r>
      <w:r w:rsidR="00FB6155" w:rsidRPr="00565B7B">
        <w:rPr>
          <w:lang w:val="fr-CA"/>
        </w:rPr>
        <w:t>[</w:t>
      </w:r>
      <w:r w:rsidR="00FB6155" w:rsidRPr="00565B7B">
        <w:rPr>
          <w:smallCaps/>
          <w:lang w:val="fr-CA"/>
        </w:rPr>
        <w:t>traduction]</w:t>
      </w:r>
      <w:r w:rsidR="00FB6155">
        <w:rPr>
          <w:smallCaps/>
          <w:lang w:val="fr-CA"/>
        </w:rPr>
        <w:t xml:space="preserve"> . . . </w:t>
      </w:r>
      <w:r w:rsidRPr="00565B7B">
        <w:rPr>
          <w:lang w:val="fr-CA"/>
        </w:rPr>
        <w:t>la province bénéficie directement, d’un point de vue financier, du respect par Abitibi des ordonnances fondées sur l’EPA. En d’autres termes, l’exécution en nature des ordonnances fondées sur l’EPA se traduirait par un crédit certain au propre « bilan » de la province. Le passif d’Abitibi à cet égard constitue un actif de la province elle</w:t>
      </w:r>
      <w:r w:rsidRPr="00565B7B">
        <w:rPr>
          <w:lang w:val="fr-CA"/>
        </w:rPr>
        <w:noBreakHyphen/>
        <w:t xml:space="preserve">même.  </w:t>
      </w:r>
    </w:p>
    <w:p w:rsidR="00DF13E5" w:rsidRPr="00565B7B" w:rsidRDefault="00DF13E5" w:rsidP="00DF13E5">
      <w:pPr>
        <w:pStyle w:val="Citation-AltC"/>
        <w:spacing w:after="240"/>
        <w:ind w:hanging="1166"/>
        <w:contextualSpacing w:val="0"/>
        <w:rPr>
          <w:lang w:val="fr-CA"/>
        </w:rPr>
      </w:pPr>
      <w:r w:rsidRPr="00565B7B">
        <w:rPr>
          <w:lang w:val="fr-CA"/>
        </w:rPr>
        <w:tab/>
      </w:r>
      <w:r w:rsidRPr="00565B7B">
        <w:rPr>
          <w:lang w:val="fr-CA"/>
        </w:rPr>
        <w:tab/>
        <w:t>Soit dit en tout respect, il ne s’agit pas d’une affaire de nature réglementaire; il s’agit plutôt en fait d’une affaire purement financière. Cela s’apparente effectivement davantage à une relation créancier</w:t>
      </w:r>
      <w:r w:rsidRPr="00565B7B">
        <w:rPr>
          <w:lang w:val="fr-CA"/>
        </w:rPr>
        <w:noBreakHyphen/>
        <w:t xml:space="preserve">débiteur qu’à autre chose. </w:t>
      </w:r>
    </w:p>
    <w:p w:rsidR="00DF13E5" w:rsidRPr="00565B7B" w:rsidRDefault="00DF13E5" w:rsidP="00DF13E5">
      <w:pPr>
        <w:pStyle w:val="Citation-AltC"/>
        <w:spacing w:after="240"/>
        <w:ind w:hanging="1166"/>
        <w:contextualSpacing w:val="0"/>
        <w:rPr>
          <w:lang w:val="fr-CA"/>
        </w:rPr>
      </w:pPr>
      <w:r w:rsidRPr="00565B7B">
        <w:rPr>
          <w:lang w:val="fr-CA"/>
        </w:rPr>
        <w:tab/>
      </w:r>
      <w:r w:rsidRPr="00565B7B">
        <w:rPr>
          <w:lang w:val="fr-CA"/>
        </w:rPr>
        <w:tab/>
        <w:t>Nous sommes assez loin du cas de l’organisme de réglementation ou d’application de la loi qui a rendu de manière objective une ordonnance dans l’intérêt public. En l’espèce, la province elle</w:t>
      </w:r>
      <w:r w:rsidRPr="00565B7B">
        <w:rPr>
          <w:lang w:val="fr-CA"/>
        </w:rPr>
        <w:noBreakHyphen/>
        <w:t xml:space="preserve">même tire directement l’avantage pécunaire du respect obligatoire, par Abitibi, des ordonnances EPA. La province peut tirer profit du résultat. Aucune des affaires soumises par la province ne ressemble un tant soit peu aux faits à l’origine de la présente instance. </w:t>
      </w:r>
    </w:p>
    <w:p w:rsidR="00DF13E5" w:rsidRPr="00565B7B" w:rsidRDefault="00DF13E5" w:rsidP="00DF13E5">
      <w:pPr>
        <w:pStyle w:val="Citation-AltC"/>
        <w:spacing w:after="240"/>
        <w:ind w:hanging="1166"/>
        <w:contextualSpacing w:val="0"/>
        <w:rPr>
          <w:lang w:val="fr-CA"/>
        </w:rPr>
      </w:pPr>
      <w:r w:rsidRPr="00565B7B">
        <w:rPr>
          <w:lang w:val="fr-CA"/>
        </w:rPr>
        <w:tab/>
      </w:r>
      <w:r w:rsidRPr="00565B7B">
        <w:rPr>
          <w:lang w:val="fr-CA"/>
        </w:rPr>
        <w:tab/>
        <w:t xml:space="preserve">Sous cet angle, la province a agi plus comme un créancier que comme un organisme de réglementation désintéressé. </w:t>
      </w:r>
    </w:p>
    <w:p w:rsidR="00DF13E5" w:rsidRPr="00565B7B" w:rsidRDefault="00DF13E5" w:rsidP="00DF13E5">
      <w:pPr>
        <w:pStyle w:val="Citation-AltC"/>
        <w:ind w:hanging="1166"/>
        <w:contextualSpacing w:val="0"/>
      </w:pPr>
      <w:r w:rsidRPr="00565B7B">
        <w:rPr>
          <w:lang w:val="en-US"/>
        </w:rPr>
        <w:t>(</w:t>
      </w:r>
      <w:r w:rsidRPr="00565B7B">
        <w:rPr>
          <w:i/>
        </w:rPr>
        <w:t>AbitibiBowater Inc.</w:t>
      </w:r>
      <w:r w:rsidR="00654116">
        <w:rPr>
          <w:i/>
        </w:rPr>
        <w:t>,</w:t>
      </w:r>
      <w:r w:rsidRPr="00565B7B">
        <w:rPr>
          <w:i/>
        </w:rPr>
        <w:t xml:space="preserve"> Re</w:t>
      </w:r>
      <w:r w:rsidRPr="00565B7B">
        <w:t>, 2010 QCCS 1261, 68 C.B.R. (5</w:t>
      </w:r>
      <w:r w:rsidRPr="003E57BF">
        <w:t>th</w:t>
      </w:r>
      <w:r w:rsidRPr="00565B7B">
        <w:t>) 1)</w:t>
      </w:r>
    </w:p>
    <w:p w:rsidR="00DF13E5" w:rsidRPr="00565B7B" w:rsidRDefault="00DF13E5" w:rsidP="00DF13E5">
      <w:pPr>
        <w:pStyle w:val="ParaNoNdepar-AltN"/>
        <w:rPr>
          <w:rFonts w:cs="Times New Roman"/>
          <w:lang w:val="fr-CA"/>
        </w:rPr>
      </w:pPr>
      <w:r w:rsidRPr="00565B7B">
        <w:rPr>
          <w:rFonts w:cs="Times New Roman"/>
          <w:lang w:val="fr-CA"/>
        </w:rPr>
        <w:t xml:space="preserve">Notre Cour a reconnu dans </w:t>
      </w:r>
      <w:r w:rsidRPr="00565B7B">
        <w:rPr>
          <w:rFonts w:cs="Times New Roman"/>
          <w:i/>
          <w:lang w:val="fr-CA"/>
        </w:rPr>
        <w:t>Abitibi</w:t>
      </w:r>
      <w:r w:rsidRPr="00565B7B">
        <w:rPr>
          <w:rFonts w:cs="Times New Roman"/>
          <w:lang w:val="fr-CA"/>
        </w:rPr>
        <w:t xml:space="preserve"> qu’il était « facile [pour la province] de répondre » à l’exigence relative au créancier (par. 49). Il n’était donc pas nécessaire d’analyser en profondeur le sens de l’étape « créancier » ou la manière dont elle s’appliquerait dans d’autres situations factuelles. Or, même au par. 27 de l’arrêt </w:t>
      </w:r>
      <w:r w:rsidRPr="00565B7B">
        <w:rPr>
          <w:rFonts w:cs="Times New Roman"/>
          <w:i/>
          <w:lang w:val="fr-CA"/>
        </w:rPr>
        <w:t>Abitibi</w:t>
      </w:r>
      <w:r w:rsidRPr="00565B7B">
        <w:rPr>
          <w:rFonts w:cs="Times New Roman"/>
          <w:lang w:val="fr-CA"/>
        </w:rPr>
        <w:t>, le paragraphe sur lequel se fondent les juges majoritaires de la Cour d’appel, la juge Deschamps a pris soin de souligner que « [l]</w:t>
      </w:r>
      <w:r w:rsidRPr="00565B7B">
        <w:rPr>
          <w:rFonts w:cs="Times New Roman"/>
          <w:lang w:val="fr-FR"/>
        </w:rPr>
        <w:t xml:space="preserve">a plupart des organismes administratifs </w:t>
      </w:r>
      <w:r w:rsidRPr="00565B7B">
        <w:rPr>
          <w:rFonts w:cs="Times New Roman"/>
          <w:i/>
          <w:lang w:val="fr-FR"/>
        </w:rPr>
        <w:t>peuvent agir</w:t>
      </w:r>
      <w:r w:rsidRPr="00565B7B">
        <w:rPr>
          <w:rFonts w:cs="Times New Roman"/>
          <w:lang w:val="fr-FR"/>
        </w:rPr>
        <w:t xml:space="preserve"> à titre de créanciers en relation avec les obligations pécuniaires ou non pécuniaires imposées par ces lois » </w:t>
      </w:r>
      <w:r w:rsidRPr="00565B7B">
        <w:rPr>
          <w:rFonts w:cs="Times New Roman"/>
          <w:lang w:val="fr-CA"/>
        </w:rPr>
        <w:t xml:space="preserve">(italiques ajoutés). L’interprétation de l’étape « créancier » qu’ont retenue les juges majoritaires de la Cour d’appel et que GTL nous a exhortés à faire nôtre exclut la possibilité qu’un organisme de réglementation faisant </w:t>
      </w:r>
      <w:r w:rsidRPr="00565B7B">
        <w:rPr>
          <w:rFonts w:cs="Times New Roman"/>
          <w:lang w:val="fr-CA"/>
        </w:rPr>
        <w:lastRenderedPageBreak/>
        <w:t xml:space="preserve">respecter des obligations ne soit pas un créancier, alors que cette possibilité a été clairement envisagée au par. 27 de l’arrêt </w:t>
      </w:r>
      <w:r w:rsidRPr="00565B7B">
        <w:rPr>
          <w:rFonts w:cs="Times New Roman"/>
          <w:i/>
          <w:lang w:val="fr-CA"/>
        </w:rPr>
        <w:t>Abitibi</w:t>
      </w:r>
      <w:r w:rsidRPr="00565B7B">
        <w:rPr>
          <w:rFonts w:cs="Times New Roman"/>
          <w:lang w:val="fr-CA"/>
        </w:rPr>
        <w:t>. Comme je l’ai mentionné ci</w:t>
      </w:r>
      <w:r w:rsidRPr="00565B7B">
        <w:rPr>
          <w:rFonts w:cs="Times New Roman"/>
          <w:lang w:val="fr-CA"/>
        </w:rPr>
        <w:noBreakHyphen/>
        <w:t xml:space="preserve">dessus, l’interprétation de GTL prive l’étape « créancier » de toute fonction indépendante. </w:t>
      </w:r>
    </w:p>
    <w:p w:rsidR="00DF13E5" w:rsidRPr="00565B7B" w:rsidRDefault="00DF13E5" w:rsidP="00DF13E5">
      <w:pPr>
        <w:pStyle w:val="ParaNoNdepar-AltN"/>
        <w:rPr>
          <w:rFonts w:cs="Times New Roman"/>
          <w:lang w:val="en-US"/>
        </w:rPr>
      </w:pPr>
      <w:r w:rsidRPr="00565B7B">
        <w:rPr>
          <w:rFonts w:cs="Times New Roman"/>
          <w:lang w:val="fr-CA"/>
        </w:rPr>
        <w:t xml:space="preserve">L’arrêt </w:t>
      </w:r>
      <w:r w:rsidRPr="00565B7B">
        <w:rPr>
          <w:rFonts w:cs="Times New Roman"/>
          <w:i/>
          <w:lang w:val="fr-CA"/>
        </w:rPr>
        <w:t>Northern Badger</w:t>
      </w:r>
      <w:r w:rsidRPr="00565B7B">
        <w:rPr>
          <w:rFonts w:cs="Times New Roman"/>
          <w:lang w:val="fr-CA"/>
        </w:rPr>
        <w:t xml:space="preserve"> a établi qu’un organisme de réglementation faisant respecter un devoir public au moyen d’une ordonnance non pécuniaire n’est pas un créancier. Je rejette la prétention faite dans les motifs dissidents selon laquelle </w:t>
      </w:r>
      <w:r w:rsidRPr="00565B7B">
        <w:rPr>
          <w:rFonts w:cs="Times New Roman"/>
          <w:i/>
          <w:lang w:val="fr-CA"/>
        </w:rPr>
        <w:t>Northern Badger</w:t>
      </w:r>
      <w:r w:rsidRPr="00565B7B">
        <w:rPr>
          <w:rFonts w:cs="Times New Roman"/>
          <w:lang w:val="fr-CA"/>
        </w:rPr>
        <w:t xml:space="preserve"> devrait recevoir une interprétation différente. Premièrement, je souligne que le point de savoir si l’organisme de réglementation a une réclamation éventuelle relève du critère de la certitude suffisante, lequel suppose au préalable que l’organisme de réglementation est un créancier. Je ne peux accepter la proposition énoncée dans les motifs dissidents selon laquelle </w:t>
      </w:r>
      <w:r w:rsidRPr="00565B7B">
        <w:rPr>
          <w:rFonts w:cs="Times New Roman"/>
          <w:i/>
          <w:lang w:val="fr-CA"/>
        </w:rPr>
        <w:t>Northern Badger</w:t>
      </w:r>
      <w:r w:rsidRPr="00565B7B">
        <w:rPr>
          <w:rFonts w:cs="Times New Roman"/>
          <w:lang w:val="fr-CA"/>
        </w:rPr>
        <w:t xml:space="preserve"> porte sur ce qui allait devenir le troisième volet du critère d’</w:t>
      </w:r>
      <w:r w:rsidRPr="00565B7B">
        <w:rPr>
          <w:rFonts w:cs="Times New Roman"/>
          <w:i/>
          <w:lang w:val="fr-CA"/>
        </w:rPr>
        <w:t>Abitibi</w:t>
      </w:r>
      <w:r w:rsidRPr="00565B7B">
        <w:rPr>
          <w:rFonts w:cs="Times New Roman"/>
          <w:lang w:val="fr-CA"/>
        </w:rPr>
        <w:t xml:space="preserve">. Dans </w:t>
      </w:r>
      <w:r w:rsidRPr="00565B7B">
        <w:rPr>
          <w:rFonts w:cs="Times New Roman"/>
          <w:i/>
          <w:lang w:val="fr-CA"/>
        </w:rPr>
        <w:t>Northern Badger</w:t>
      </w:r>
      <w:r w:rsidRPr="00565B7B">
        <w:rPr>
          <w:rFonts w:cs="Times New Roman"/>
          <w:lang w:val="fr-CA"/>
        </w:rPr>
        <w:t>, après avoir reconnu que l’abandon constituait une responsabilité, le juge d’appel Laycraft a dit qu’il s’agissait de savoir [</w:t>
      </w:r>
      <w:r w:rsidRPr="00565B7B">
        <w:rPr>
          <w:rFonts w:cs="Times New Roman"/>
          <w:smallCaps/>
          <w:lang w:val="fr-CA"/>
        </w:rPr>
        <w:t>traduction</w:t>
      </w:r>
      <w:r w:rsidRPr="00565B7B">
        <w:rPr>
          <w:rFonts w:cs="Times New Roman"/>
          <w:lang w:val="fr-CA"/>
        </w:rPr>
        <w:t>] « si cette responsabilité appartient à l’Office, ce qui fait de lui le créancier » (par. </w:t>
      </w:r>
      <w:r>
        <w:rPr>
          <w:rFonts w:cs="Times New Roman"/>
          <w:lang w:val="fr-CA"/>
        </w:rPr>
        <w:t>3</w:t>
      </w:r>
      <w:r w:rsidRPr="00565B7B">
        <w:rPr>
          <w:rFonts w:cs="Times New Roman"/>
          <w:lang w:val="fr-CA"/>
        </w:rPr>
        <w:t>2). Deuxièmement, le scénario sous</w:t>
      </w:r>
      <w:r w:rsidRPr="00565B7B">
        <w:rPr>
          <w:rFonts w:cs="Times New Roman"/>
          <w:lang w:val="fr-CA"/>
        </w:rPr>
        <w:noBreakHyphen/>
        <w:t xml:space="preserve">jacent en l’espèce quant aux obligations de fin de vie qui incombent à Redwater est exactement le même que dans </w:t>
      </w:r>
      <w:r w:rsidRPr="00565B7B">
        <w:rPr>
          <w:rFonts w:cs="Times New Roman"/>
          <w:i/>
          <w:lang w:val="fr-CA"/>
        </w:rPr>
        <w:t>Northern Badger</w:t>
      </w:r>
      <w:r w:rsidRPr="00565B7B">
        <w:rPr>
          <w:rFonts w:cs="Times New Roman"/>
          <w:lang w:val="fr-CA"/>
        </w:rPr>
        <w:t xml:space="preserve"> : un organisme de réglementation ordonne à une entité de se conformer à ses obligations légales pour le bien public. Ce raisonnement exact tiré de </w:t>
      </w:r>
      <w:r w:rsidRPr="00565B7B">
        <w:rPr>
          <w:rFonts w:cs="Times New Roman"/>
          <w:i/>
          <w:lang w:val="fr-CA"/>
        </w:rPr>
        <w:t>Northern Badger</w:t>
      </w:r>
      <w:r w:rsidRPr="00565B7B">
        <w:rPr>
          <w:rFonts w:cs="Times New Roman"/>
          <w:lang w:val="fr-CA"/>
        </w:rPr>
        <w:t xml:space="preserve"> a été adopté par la suite dans des </w:t>
      </w:r>
      <w:r w:rsidR="00FB6155" w:rsidRPr="00565B7B">
        <w:rPr>
          <w:rFonts w:cs="Times New Roman"/>
          <w:lang w:val="fr-CA"/>
        </w:rPr>
        <w:t>décisions</w:t>
      </w:r>
      <w:r w:rsidRPr="00565B7B">
        <w:rPr>
          <w:rFonts w:cs="Times New Roman"/>
          <w:lang w:val="fr-CA"/>
        </w:rPr>
        <w:t xml:space="preserve"> telles </w:t>
      </w:r>
      <w:r w:rsidRPr="00565B7B">
        <w:rPr>
          <w:rFonts w:cs="Times New Roman"/>
          <w:i/>
          <w:lang w:val="fr-CA"/>
        </w:rPr>
        <w:t xml:space="preserve">Strathcona (County) c. Fantasy Construction Ltd. </w:t>
      </w:r>
      <w:r w:rsidRPr="00565B7B">
        <w:rPr>
          <w:rFonts w:cs="Times New Roman"/>
          <w:i/>
          <w:lang w:val="en-US"/>
        </w:rPr>
        <w:t>(Trustee of)</w:t>
      </w:r>
      <w:r w:rsidRPr="00565B7B">
        <w:rPr>
          <w:rFonts w:cs="Times New Roman"/>
          <w:lang w:val="en-US"/>
        </w:rPr>
        <w:t>, 2005 ABQB 794, 261 D.L.R. (4th) 221, par. 23</w:t>
      </w:r>
      <w:r w:rsidRPr="00565B7B">
        <w:rPr>
          <w:rFonts w:cs="Times New Roman"/>
          <w:lang w:val="en-US"/>
        </w:rPr>
        <w:noBreakHyphen/>
        <w:t xml:space="preserve">25, et </w:t>
      </w:r>
      <w:r w:rsidRPr="00565B7B">
        <w:rPr>
          <w:rFonts w:cs="Times New Roman"/>
          <w:i/>
          <w:lang w:val="en-US"/>
        </w:rPr>
        <w:t xml:space="preserve">Lamford Forest Products Ltd. </w:t>
      </w:r>
      <w:r>
        <w:rPr>
          <w:rFonts w:cs="Times New Roman"/>
          <w:i/>
          <w:lang w:val="en-US"/>
        </w:rPr>
        <w:t>(</w:t>
      </w:r>
      <w:r w:rsidRPr="00565B7B">
        <w:rPr>
          <w:rFonts w:cs="Times New Roman"/>
          <w:i/>
          <w:lang w:val="en-US"/>
        </w:rPr>
        <w:t>Re</w:t>
      </w:r>
      <w:r>
        <w:rPr>
          <w:rFonts w:cs="Times New Roman"/>
          <w:i/>
          <w:lang w:val="en-US"/>
        </w:rPr>
        <w:t>)</w:t>
      </w:r>
      <w:r w:rsidRPr="00565B7B">
        <w:rPr>
          <w:rFonts w:cs="Times New Roman"/>
          <w:i/>
          <w:lang w:val="en-US"/>
        </w:rPr>
        <w:t xml:space="preserve"> </w:t>
      </w:r>
      <w:r w:rsidRPr="00565B7B">
        <w:rPr>
          <w:rFonts w:cs="Times New Roman"/>
          <w:lang w:val="en-US"/>
        </w:rPr>
        <w:t xml:space="preserve">(1991), 86 D.L.R. (4th) 534. </w:t>
      </w:r>
    </w:p>
    <w:p w:rsidR="00DF13E5" w:rsidRPr="00565B7B" w:rsidRDefault="00DF13E5" w:rsidP="00DF13E5">
      <w:pPr>
        <w:pStyle w:val="ParaNoNdepar-AltN"/>
        <w:rPr>
          <w:rFonts w:cs="Times New Roman"/>
          <w:lang w:val="fr-CA"/>
        </w:rPr>
      </w:pPr>
      <w:r w:rsidRPr="00565B7B">
        <w:rPr>
          <w:rFonts w:cs="Times New Roman"/>
          <w:lang w:val="fr-CA"/>
        </w:rPr>
        <w:lastRenderedPageBreak/>
        <w:t xml:space="preserve">Je ne puis souscrire à l’opinion des juges majoritaires de la Cour d’appel en l’espèce selon laquelle </w:t>
      </w:r>
      <w:r w:rsidRPr="00565B7B">
        <w:rPr>
          <w:rFonts w:cs="Times New Roman"/>
          <w:i/>
          <w:lang w:val="fr-CA"/>
        </w:rPr>
        <w:t>Northern Badger</w:t>
      </w:r>
      <w:r w:rsidRPr="00565B7B">
        <w:rPr>
          <w:rFonts w:cs="Times New Roman"/>
          <w:lang w:val="fr-CA"/>
        </w:rPr>
        <w:t xml:space="preserve"> [</w:t>
      </w:r>
      <w:r w:rsidRPr="00565B7B">
        <w:rPr>
          <w:rFonts w:cs="Times New Roman"/>
          <w:smallCaps/>
          <w:lang w:val="fr-CA"/>
        </w:rPr>
        <w:t>traduction</w:t>
      </w:r>
      <w:r w:rsidRPr="00565B7B">
        <w:rPr>
          <w:rFonts w:cs="Times New Roman"/>
          <w:lang w:val="fr-CA"/>
        </w:rPr>
        <w:t>] « n’est guère utile » dans l’application du critère d’</w:t>
      </w:r>
      <w:r w:rsidRPr="00565B7B">
        <w:rPr>
          <w:rFonts w:cs="Times New Roman"/>
          <w:i/>
          <w:lang w:val="fr-CA"/>
        </w:rPr>
        <w:t>Abitibi</w:t>
      </w:r>
      <w:r w:rsidRPr="00565B7B">
        <w:rPr>
          <w:rFonts w:cs="Times New Roman"/>
          <w:lang w:val="fr-CA"/>
        </w:rPr>
        <w:t xml:space="preserve"> (par. 63). Je partage plutôt l’avis de la juge Martin voulant que l’arrêt </w:t>
      </w:r>
      <w:r w:rsidRPr="00565B7B">
        <w:rPr>
          <w:rFonts w:cs="Times New Roman"/>
          <w:i/>
          <w:lang w:val="fr-CA"/>
        </w:rPr>
        <w:t>Abitibi</w:t>
      </w:r>
      <w:r w:rsidRPr="00565B7B">
        <w:rPr>
          <w:rFonts w:cs="Times New Roman"/>
          <w:lang w:val="fr-CA"/>
        </w:rPr>
        <w:t xml:space="preserve"> n’ait pas infirmé le raisonnement de </w:t>
      </w:r>
      <w:r w:rsidRPr="00565B7B">
        <w:rPr>
          <w:rFonts w:cs="Times New Roman"/>
          <w:i/>
          <w:lang w:val="fr-CA"/>
        </w:rPr>
        <w:t>Northern Badger</w:t>
      </w:r>
      <w:r w:rsidRPr="00565B7B">
        <w:rPr>
          <w:rFonts w:cs="Times New Roman"/>
          <w:lang w:val="fr-CA"/>
        </w:rPr>
        <w:t xml:space="preserve">, et qu’il ait au contraire « mis en relief le besoin de prendre en considération la teneur du règlement provincial pour déterminer s’il crée une réclamation prouvable en matière de faillite » (par. 164). Comme l’a signalé la juge Martin, même depuis l’arrêt </w:t>
      </w:r>
      <w:r w:rsidRPr="00565B7B">
        <w:rPr>
          <w:rFonts w:cs="Times New Roman"/>
          <w:i/>
          <w:lang w:val="fr-CA"/>
        </w:rPr>
        <w:t>Abitibi</w:t>
      </w:r>
      <w:r w:rsidRPr="00565B7B">
        <w:rPr>
          <w:rFonts w:cs="Times New Roman"/>
          <w:lang w:val="fr-CA"/>
        </w:rPr>
        <w:t xml:space="preserve">, l’état du droit reste inchangé : « les obligations publiques ne sont pas des réclamations prouvables qui peuvent être comptabilisées ou compromises dans la faillite » (par. 174). L’arrêt </w:t>
      </w:r>
      <w:r w:rsidRPr="00565B7B">
        <w:rPr>
          <w:rFonts w:cs="Times New Roman"/>
          <w:i/>
          <w:lang w:val="fr-CA"/>
        </w:rPr>
        <w:t xml:space="preserve">Abitibi </w:t>
      </w:r>
      <w:r w:rsidRPr="00565B7B">
        <w:rPr>
          <w:rFonts w:cs="Times New Roman"/>
          <w:lang w:val="fr-CA"/>
        </w:rPr>
        <w:t xml:space="preserve">a éclairci la portée de </w:t>
      </w:r>
      <w:r w:rsidRPr="00565B7B">
        <w:rPr>
          <w:rFonts w:cs="Times New Roman"/>
          <w:i/>
          <w:lang w:val="fr-CA"/>
        </w:rPr>
        <w:t>Northern Badger</w:t>
      </w:r>
      <w:r w:rsidRPr="00565B7B">
        <w:rPr>
          <w:rFonts w:cs="Times New Roman"/>
          <w:lang w:val="fr-CA"/>
        </w:rPr>
        <w:t xml:space="preserve"> en confirmant que les réclamations environnementales d’un organisme de réglementation seront des réclamations prouvables dans certains cas. Il ne permet pas d’affirmer qu’un organisme de réglementation exerçant ses pouvoirs d’application est toujours un créancier. Le raisonnement de l’arrêt </w:t>
      </w:r>
      <w:r w:rsidRPr="00565B7B">
        <w:rPr>
          <w:rFonts w:cs="Times New Roman"/>
          <w:i/>
          <w:lang w:val="fr-CA"/>
        </w:rPr>
        <w:t>Northern Badger</w:t>
      </w:r>
      <w:r w:rsidRPr="00565B7B">
        <w:rPr>
          <w:rFonts w:cs="Times New Roman"/>
          <w:lang w:val="fr-CA"/>
        </w:rPr>
        <w:t xml:space="preserve"> ne s’appliquait tout simplement pas aux faits de l’affaire </w:t>
      </w:r>
      <w:r w:rsidRPr="00565B7B">
        <w:rPr>
          <w:rFonts w:cs="Times New Roman"/>
          <w:i/>
          <w:lang w:val="fr-CA"/>
        </w:rPr>
        <w:t>Abitibi</w:t>
      </w:r>
      <w:r w:rsidRPr="00565B7B">
        <w:rPr>
          <w:rFonts w:cs="Times New Roman"/>
          <w:lang w:val="fr-CA"/>
        </w:rPr>
        <w:t xml:space="preserve">, étant donné les agissements de la province décrits précédemment. </w:t>
      </w:r>
    </w:p>
    <w:p w:rsidR="00DF13E5" w:rsidRPr="00565B7B" w:rsidRDefault="00DF13E5" w:rsidP="00DF13E5">
      <w:pPr>
        <w:pStyle w:val="ParaNoNdepar-AltN"/>
        <w:rPr>
          <w:rFonts w:cs="Times New Roman"/>
          <w:lang w:val="fr-CA"/>
        </w:rPr>
      </w:pPr>
      <w:r w:rsidRPr="00565B7B">
        <w:rPr>
          <w:rFonts w:cs="Times New Roman"/>
          <w:lang w:val="fr-CA"/>
        </w:rPr>
        <w:t xml:space="preserve">Dans </w:t>
      </w:r>
      <w:r w:rsidRPr="00565B7B">
        <w:rPr>
          <w:rFonts w:cs="Times New Roman"/>
          <w:i/>
          <w:lang w:val="fr-CA"/>
        </w:rPr>
        <w:t>Abitibi</w:t>
      </w:r>
      <w:r w:rsidRPr="00565B7B">
        <w:rPr>
          <w:rFonts w:cs="Times New Roman"/>
          <w:lang w:val="fr-CA"/>
        </w:rPr>
        <w:t xml:space="preserve">, la juge Deschamps a signalé que la législation en matière d’insolvabilité avait évolué au cours des années qui ont suivi </w:t>
      </w:r>
      <w:r w:rsidRPr="00565B7B">
        <w:rPr>
          <w:rFonts w:cs="Times New Roman"/>
          <w:i/>
          <w:lang w:val="fr-CA"/>
        </w:rPr>
        <w:t>Northern Badger</w:t>
      </w:r>
      <w:r w:rsidRPr="00565B7B">
        <w:rPr>
          <w:rFonts w:cs="Times New Roman"/>
          <w:lang w:val="fr-CA"/>
        </w:rPr>
        <w:t xml:space="preserve">. Cette évolution législative n’a en revanche pas modifié le sens à attribuer au terme « créancier ». À cet égard, je souscris à la conclusion du juge Burrows dans </w:t>
      </w:r>
      <w:r w:rsidRPr="00565B7B">
        <w:rPr>
          <w:rFonts w:cs="Times New Roman"/>
          <w:i/>
          <w:lang w:val="fr-CA"/>
        </w:rPr>
        <w:t>Strathcona County c. Fantasy Construction Ltd. (Trustee of)</w:t>
      </w:r>
      <w:r w:rsidRPr="00565B7B">
        <w:rPr>
          <w:rFonts w:cs="Times New Roman"/>
          <w:lang w:val="fr-CA"/>
        </w:rPr>
        <w:t xml:space="preserve">, 2005 ABQB 559, 256 D.L.R. (4th) 536, suivant laquelle les modifications en matière d’environnement qui ont été apportées à la </w:t>
      </w:r>
      <w:r w:rsidRPr="00DC6046">
        <w:rPr>
          <w:rFonts w:cs="Times New Roman"/>
          <w:i/>
          <w:lang w:val="fr-CA"/>
        </w:rPr>
        <w:t>LFI</w:t>
      </w:r>
      <w:r w:rsidRPr="00565B7B">
        <w:rPr>
          <w:rFonts w:cs="Times New Roman"/>
          <w:lang w:val="fr-CA"/>
        </w:rPr>
        <w:t xml:space="preserve"> au cours des années suivant </w:t>
      </w:r>
      <w:r w:rsidRPr="00565B7B">
        <w:rPr>
          <w:rFonts w:cs="Times New Roman"/>
          <w:i/>
          <w:lang w:val="fr-CA"/>
        </w:rPr>
        <w:t xml:space="preserve">Northern Badger </w:t>
      </w:r>
      <w:r w:rsidRPr="00565B7B">
        <w:rPr>
          <w:rFonts w:cs="Times New Roman"/>
          <w:lang w:val="fr-CA"/>
        </w:rPr>
        <w:t xml:space="preserve">ne peuvent être interprétées comme ayant infirmé le raisonnement de cet arrêt. Tel qu’il devrait ressortir clairement de mon analyse précédente de l’art. 14.06, les modifications à la </w:t>
      </w:r>
      <w:r w:rsidRPr="00DC6046">
        <w:rPr>
          <w:rFonts w:cs="Times New Roman"/>
          <w:i/>
          <w:lang w:val="fr-CA"/>
        </w:rPr>
        <w:lastRenderedPageBreak/>
        <w:t>LFI</w:t>
      </w:r>
      <w:r w:rsidRPr="00565B7B">
        <w:rPr>
          <w:rFonts w:cs="Times New Roman"/>
          <w:lang w:val="fr-CA"/>
        </w:rPr>
        <w:t xml:space="preserve"> ne traitent pas des cas où un organisme de réglementation faisant valoir une réclamation environnementale est un créancier.</w:t>
      </w:r>
    </w:p>
    <w:p w:rsidR="00DF13E5" w:rsidRPr="00565B7B" w:rsidRDefault="00DF13E5" w:rsidP="00DF13E5">
      <w:pPr>
        <w:pStyle w:val="ParaNoNdepar-AltN"/>
        <w:rPr>
          <w:rFonts w:cs="Times New Roman"/>
          <w:lang w:val="fr-CA"/>
        </w:rPr>
      </w:pPr>
      <w:r w:rsidRPr="00565B7B">
        <w:rPr>
          <w:rFonts w:cs="Times New Roman"/>
          <w:lang w:val="fr-CA"/>
        </w:rPr>
        <w:t xml:space="preserve">Les écrits de commentateurs universitaires appuient également la conclusion voulant que le raisonnement de l’arrêt </w:t>
      </w:r>
      <w:r w:rsidRPr="00565B7B">
        <w:rPr>
          <w:rFonts w:cs="Times New Roman"/>
          <w:i/>
          <w:lang w:val="fr-CA"/>
        </w:rPr>
        <w:t>Northern Badger</w:t>
      </w:r>
      <w:r w:rsidRPr="00565B7B">
        <w:rPr>
          <w:rFonts w:cs="Times New Roman"/>
          <w:lang w:val="fr-CA"/>
        </w:rPr>
        <w:t xml:space="preserve"> conserve sa pertinence depuis </w:t>
      </w:r>
      <w:r w:rsidRPr="00565B7B">
        <w:rPr>
          <w:rFonts w:cs="Times New Roman"/>
          <w:i/>
          <w:lang w:val="fr-CA"/>
        </w:rPr>
        <w:t>Abitibi</w:t>
      </w:r>
      <w:r w:rsidRPr="00565B7B">
        <w:rPr>
          <w:rFonts w:cs="Times New Roman"/>
          <w:lang w:val="fr-CA"/>
        </w:rPr>
        <w:t xml:space="preserve"> et les modifications à la loi sur l’insolvabilité. Monsieur Stewart estime que, même si l’arrêt </w:t>
      </w:r>
      <w:r w:rsidRPr="00565B7B">
        <w:rPr>
          <w:rFonts w:cs="Times New Roman"/>
          <w:i/>
          <w:lang w:val="fr-CA"/>
        </w:rPr>
        <w:t>Abitibi</w:t>
      </w:r>
      <w:r w:rsidRPr="00565B7B">
        <w:rPr>
          <w:rFonts w:cs="Times New Roman"/>
          <w:lang w:val="fr-CA"/>
        </w:rPr>
        <w:t xml:space="preserve"> traite de </w:t>
      </w:r>
      <w:r w:rsidRPr="00565B7B">
        <w:rPr>
          <w:rFonts w:cs="Times New Roman"/>
          <w:i/>
          <w:lang w:val="fr-CA"/>
        </w:rPr>
        <w:t>Northern Badger</w:t>
      </w:r>
      <w:r w:rsidRPr="00565B7B">
        <w:rPr>
          <w:rFonts w:cs="Times New Roman"/>
          <w:lang w:val="fr-CA"/>
        </w:rPr>
        <w:t>, il ne l’a pas infirmé. Il exhorte notre Cour à préciser qu’il subsiste une distinction entre [</w:t>
      </w:r>
      <w:r w:rsidRPr="00271E2D">
        <w:rPr>
          <w:rFonts w:cs="Times New Roman"/>
          <w:smallCaps/>
          <w:lang w:val="fr-CA"/>
        </w:rPr>
        <w:t>traduction</w:t>
      </w:r>
      <w:r w:rsidRPr="00565B7B">
        <w:rPr>
          <w:rFonts w:cs="Times New Roman"/>
          <w:lang w:val="fr-CA"/>
        </w:rPr>
        <w:t>] « l’organisme de réglementation qui agit comme créancier car il recouvre une dette et celui qui n’est pas un créancier car il applique la loi » (p. 221). De même, M</w:t>
      </w:r>
      <w:r w:rsidRPr="00565B7B">
        <w:rPr>
          <w:rFonts w:cs="Times New Roman"/>
          <w:vertAlign w:val="superscript"/>
          <w:lang w:val="fr-CA"/>
        </w:rPr>
        <w:t>me</w:t>
      </w:r>
      <w:r w:rsidRPr="00565B7B">
        <w:rPr>
          <w:rFonts w:cs="Times New Roman"/>
          <w:lang w:val="fr-CA"/>
        </w:rPr>
        <w:t> Lund fait valoir qu’un tribunal devrait [</w:t>
      </w:r>
      <w:r w:rsidRPr="00565B7B">
        <w:rPr>
          <w:rFonts w:cs="Times New Roman"/>
          <w:smallCaps/>
          <w:lang w:val="fr-CA"/>
        </w:rPr>
        <w:t>traduction</w:t>
      </w:r>
      <w:r w:rsidRPr="00565B7B">
        <w:rPr>
          <w:rFonts w:cs="Times New Roman"/>
          <w:lang w:val="fr-CA"/>
        </w:rPr>
        <w:t>] « prendre en considération l’importance que revêt</w:t>
      </w:r>
      <w:r w:rsidR="00FB6155">
        <w:rPr>
          <w:rFonts w:cs="Times New Roman"/>
          <w:lang w:val="fr-CA"/>
        </w:rPr>
        <w:t>ent</w:t>
      </w:r>
      <w:r w:rsidRPr="00565B7B">
        <w:rPr>
          <w:rFonts w:cs="Times New Roman"/>
          <w:lang w:val="fr-CA"/>
        </w:rPr>
        <w:t xml:space="preserve"> les intérêts publics protégés par l’obligation réglementaire au moment de décider si le débiteur a une dette, un engagement ou une obligation envers un créancier » (p. 178).</w:t>
      </w:r>
    </w:p>
    <w:p w:rsidR="00DF13E5" w:rsidRPr="00565B7B" w:rsidRDefault="00DF13E5" w:rsidP="00DF13E5">
      <w:pPr>
        <w:pStyle w:val="ParaNoNdepar-AltN"/>
        <w:rPr>
          <w:rFonts w:cs="Times New Roman"/>
          <w:lang w:val="fr-CA"/>
        </w:rPr>
      </w:pPr>
      <w:r w:rsidRPr="00565B7B">
        <w:rPr>
          <w:rFonts w:cs="Times New Roman"/>
          <w:lang w:val="fr-CA"/>
        </w:rPr>
        <w:t xml:space="preserve">Pour les motifs qui précèdent, on ne peut juger que l’arrêt </w:t>
      </w:r>
      <w:r w:rsidRPr="00565B7B">
        <w:rPr>
          <w:rFonts w:cs="Times New Roman"/>
          <w:i/>
          <w:lang w:val="fr-CA"/>
        </w:rPr>
        <w:t>Abitibi</w:t>
      </w:r>
      <w:r w:rsidRPr="00565B7B">
        <w:rPr>
          <w:rFonts w:cs="Times New Roman"/>
          <w:lang w:val="fr-CA"/>
        </w:rPr>
        <w:t xml:space="preserve"> a modifié le droit, comme l’a résumé le juge en chef Laycraft. Je fais miennes les remarques qu’il fait au par. 33 de </w:t>
      </w:r>
      <w:r w:rsidRPr="00565B7B">
        <w:rPr>
          <w:rFonts w:cs="Times New Roman"/>
          <w:i/>
          <w:lang w:val="fr-CA"/>
        </w:rPr>
        <w:t>Northern Badger </w:t>
      </w:r>
      <w:r w:rsidRPr="00565B7B">
        <w:rPr>
          <w:rFonts w:cs="Times New Roman"/>
          <w:lang w:val="fr-CA"/>
        </w:rPr>
        <w:t xml:space="preserve">: </w:t>
      </w:r>
    </w:p>
    <w:p w:rsidR="00DF13E5" w:rsidRPr="00565B7B" w:rsidRDefault="00DF13E5" w:rsidP="00DF13E5">
      <w:pPr>
        <w:pStyle w:val="Citation-AltC"/>
        <w:ind w:hanging="1166"/>
        <w:contextualSpacing w:val="0"/>
        <w:rPr>
          <w:lang w:val="fr-CA"/>
        </w:rPr>
      </w:pPr>
      <w:r w:rsidRPr="00565B7B">
        <w:rPr>
          <w:lang w:val="fr-CA"/>
        </w:rPr>
        <w:tab/>
      </w:r>
      <w:r w:rsidR="00FB6155" w:rsidRPr="00565B7B">
        <w:rPr>
          <w:lang w:val="fr-CA"/>
        </w:rPr>
        <w:t>[</w:t>
      </w:r>
      <w:r w:rsidR="00FB6155" w:rsidRPr="00565B7B">
        <w:rPr>
          <w:smallCaps/>
          <w:lang w:val="fr-CA"/>
        </w:rPr>
        <w:t>traduction]</w:t>
      </w:r>
      <w:r w:rsidR="00FB6155">
        <w:rPr>
          <w:smallCaps/>
          <w:lang w:val="fr-CA"/>
        </w:rPr>
        <w:t xml:space="preserve"> </w:t>
      </w:r>
      <w:r w:rsidRPr="00565B7B">
        <w:rPr>
          <w:lang w:val="fr-CA"/>
        </w:rPr>
        <w:t xml:space="preserve">Les dispositions légales qui exigent l’abandon de puits de pétrole et de gaz font partie du droit commun de l’Alberta et lient chaque citoyen de la province. Toutes les personnes qui acquièrent un permis d’exploitation de puits de pétrole ou de gaz doivent les respecter. Des obligations légales semblables lient les citoyens dans bien d’autres secteurs de la vie moderne [. . .] Mais l’obligation incombant au citoyen n’est pas envers l’agent de la paix ou l’autorité publique qui applique la loi. L’obligation est établie comme une obligation à caractère public qui doit être respectée par l’ensemble des citoyens de la collectivité à l’égard de leurs concitoyens. Lorsque le citoyen visé par l’ordonnance s’y conforme, le résultat n’est pas perçu comme le recouvrement d’une somme d’argent par un agent de la paix ou l’autorité publique, ni comme l’exécution d’un </w:t>
      </w:r>
      <w:r w:rsidRPr="00565B7B">
        <w:rPr>
          <w:lang w:val="fr-CA"/>
        </w:rPr>
        <w:lastRenderedPageBreak/>
        <w:t xml:space="preserve">jugement ordonnant le paiement d’une somme d’argent; d’ailleurs, cela ne constitue pas non plus l’objectif de l’ensemble du processus. Il faut plutôt y voir l’application du droit commun. L’organisme d’application de la loi ne devient pas un « créancier » du citoyen à qui incombe l’obligation. </w:t>
      </w:r>
    </w:p>
    <w:p w:rsidR="00DF13E5" w:rsidRPr="00565B7B" w:rsidRDefault="00DF13E5" w:rsidP="00DF13E5">
      <w:pPr>
        <w:pStyle w:val="ParaNoNdepar-AltN"/>
        <w:rPr>
          <w:rFonts w:cs="Times New Roman"/>
          <w:lang w:val="fr-CA"/>
        </w:rPr>
      </w:pPr>
      <w:r w:rsidRPr="00565B7B">
        <w:rPr>
          <w:rFonts w:cs="Times New Roman"/>
          <w:lang w:val="fr-CA"/>
        </w:rPr>
        <w:t xml:space="preserve">Étant donné l’analyse effectuée dans </w:t>
      </w:r>
      <w:r w:rsidRPr="00565B7B">
        <w:rPr>
          <w:rFonts w:cs="Times New Roman"/>
          <w:i/>
          <w:lang w:val="fr-CA"/>
        </w:rPr>
        <w:t>Northern Badger</w:t>
      </w:r>
      <w:r w:rsidRPr="00565B7B">
        <w:rPr>
          <w:rFonts w:cs="Times New Roman"/>
          <w:lang w:val="fr-CA"/>
        </w:rPr>
        <w:t xml:space="preserve">, il est clair que l’organisme de réglementation n’est pas un créancier de l’actif de Redwater. Les obligations de fin de vie que l’organisme de réglementation veut imposer à Redwater sont de nature publique. Ni l’organisme de réglementation ni le gouvernement de l’Alberta ne peuvent bénéficier financièrement de l’exécution de ces obligations. Ces obligations à caractère public sont non pas envers un créancier, mais envers les concitoyens et échappent donc à la portée des « réclamations prouvables ». Je ne veux toutefois pas laisser entendre par là qu’un organisme de réglementation n’est un créancier que s’il se comporte d’une manière identique à la province dans </w:t>
      </w:r>
      <w:r w:rsidRPr="00565B7B">
        <w:rPr>
          <w:rFonts w:cs="Times New Roman"/>
          <w:i/>
          <w:lang w:val="fr-CA"/>
        </w:rPr>
        <w:t>Abitibi</w:t>
      </w:r>
      <w:r w:rsidRPr="00565B7B">
        <w:rPr>
          <w:rFonts w:cs="Times New Roman"/>
          <w:lang w:val="fr-CA"/>
        </w:rPr>
        <w:t xml:space="preserve">. Il peut fort bien exister des situations où les agissements d’un organisme de réglementation se situent quelque part entre ceux dans </w:t>
      </w:r>
      <w:r w:rsidRPr="00565B7B">
        <w:rPr>
          <w:rFonts w:cs="Times New Roman"/>
          <w:i/>
          <w:lang w:val="fr-CA"/>
        </w:rPr>
        <w:t>Abitibi</w:t>
      </w:r>
      <w:r w:rsidRPr="00565B7B">
        <w:rPr>
          <w:rFonts w:cs="Times New Roman"/>
          <w:lang w:val="fr-CA"/>
        </w:rPr>
        <w:t xml:space="preserve"> et ceux en l’espèce. Signalons que, contrairement à certains cas antérieurs, l’organisme de réglementation n’a exécuté aucuns travaux environnementaux lui</w:t>
      </w:r>
      <w:r w:rsidRPr="00565B7B">
        <w:rPr>
          <w:rFonts w:cs="Times New Roman"/>
          <w:lang w:val="fr-CA"/>
        </w:rPr>
        <w:noBreakHyphen/>
        <w:t>même. Je laisse aux tribunaux disposant de dossiers factuels complets le soin de résoudre pareilles situations à l’avenir. Dans la présente affaire, il est clair que l’organisme de réglementation cherche à faire respecter les devoirs à caractère public de Redwater, que ce soit en rendant les ordonnances d’abandon ou en maintenant les exigences relatives à la CGR. L’organisme de réglementation n’est pas un créancier au sens du critère d’</w:t>
      </w:r>
      <w:r w:rsidRPr="00565B7B">
        <w:rPr>
          <w:rFonts w:cs="Times New Roman"/>
          <w:i/>
          <w:lang w:val="fr-CA"/>
        </w:rPr>
        <w:t>Abitibi</w:t>
      </w:r>
      <w:r w:rsidRPr="00565B7B">
        <w:rPr>
          <w:rFonts w:cs="Times New Roman"/>
          <w:lang w:val="fr-CA"/>
        </w:rPr>
        <w:t>.</w:t>
      </w:r>
    </w:p>
    <w:p w:rsidR="00DF13E5" w:rsidRPr="00565B7B" w:rsidRDefault="00DF13E5" w:rsidP="00DF13E5">
      <w:pPr>
        <w:pStyle w:val="ParaNoNdepar-AltN"/>
        <w:rPr>
          <w:rFonts w:cs="Times New Roman"/>
          <w:lang w:val="fr-CA"/>
        </w:rPr>
      </w:pPr>
      <w:r w:rsidRPr="00565B7B">
        <w:rPr>
          <w:rFonts w:cs="Times New Roman"/>
          <w:lang w:val="fr-CA"/>
        </w:rPr>
        <w:t>Je rejette la thèse voulant que l’analyse qui précède écarte d’une façon ou d’une autre le premier volet du critère d’</w:t>
      </w:r>
      <w:r w:rsidRPr="00565B7B">
        <w:rPr>
          <w:rFonts w:cs="Times New Roman"/>
          <w:i/>
          <w:lang w:val="fr-CA"/>
        </w:rPr>
        <w:t>Abitibi</w:t>
      </w:r>
      <w:r w:rsidRPr="00565B7B">
        <w:rPr>
          <w:rFonts w:cs="Times New Roman"/>
          <w:lang w:val="fr-CA"/>
        </w:rPr>
        <w:t xml:space="preserve">. Les faits de l’affaire </w:t>
      </w:r>
      <w:r w:rsidRPr="00565B7B">
        <w:rPr>
          <w:rFonts w:cs="Times New Roman"/>
          <w:i/>
          <w:lang w:val="fr-CA"/>
        </w:rPr>
        <w:t xml:space="preserve">Abitibi </w:t>
      </w:r>
      <w:r w:rsidRPr="00565B7B">
        <w:rPr>
          <w:rFonts w:cs="Times New Roman"/>
          <w:lang w:val="fr-CA"/>
        </w:rPr>
        <w:t xml:space="preserve">n’étaient pas comparables à ceux de l’espèce. Bien que notre Cour ait examiné l’arrêt </w:t>
      </w:r>
      <w:r w:rsidRPr="00565B7B">
        <w:rPr>
          <w:rFonts w:cs="Times New Roman"/>
          <w:i/>
          <w:lang w:val="fr-CA"/>
        </w:rPr>
        <w:t xml:space="preserve">Northern </w:t>
      </w:r>
      <w:r w:rsidRPr="00565B7B">
        <w:rPr>
          <w:rFonts w:cs="Times New Roman"/>
          <w:i/>
          <w:lang w:val="fr-CA"/>
        </w:rPr>
        <w:lastRenderedPageBreak/>
        <w:t xml:space="preserve">Badger </w:t>
      </w:r>
      <w:r w:rsidRPr="00565B7B">
        <w:rPr>
          <w:rFonts w:cs="Times New Roman"/>
          <w:lang w:val="fr-CA"/>
        </w:rPr>
        <w:t xml:space="preserve">dans </w:t>
      </w:r>
      <w:r w:rsidRPr="00565B7B">
        <w:rPr>
          <w:rFonts w:cs="Times New Roman"/>
          <w:i/>
          <w:lang w:val="fr-CA"/>
        </w:rPr>
        <w:t>Abitibi</w:t>
      </w:r>
      <w:r w:rsidRPr="00565B7B">
        <w:rPr>
          <w:rFonts w:cs="Times New Roman"/>
          <w:lang w:val="fr-CA"/>
        </w:rPr>
        <w:t xml:space="preserve">, elle s’est contentée de mentionner les modifications subséquentes à la </w:t>
      </w:r>
      <w:r w:rsidRPr="00DC6046">
        <w:rPr>
          <w:rFonts w:cs="Times New Roman"/>
          <w:i/>
          <w:lang w:val="fr-CA"/>
        </w:rPr>
        <w:t xml:space="preserve">LFI </w:t>
      </w:r>
      <w:r w:rsidRPr="00565B7B">
        <w:rPr>
          <w:rFonts w:cs="Times New Roman"/>
          <w:lang w:val="fr-CA"/>
        </w:rPr>
        <w:t xml:space="preserve">et n’a pas infirmé l’arrêt antérieur. La Cour a été claire : l’issue finale « doit être fondée sur les faits de chaque affaire » (par. 48). Selon les motifs dissidents, vu l’analyse exposée précédemment, il sera presque impossible de juger que des organismes de réglementation sont des créanciers. L’arrêt </w:t>
      </w:r>
      <w:r w:rsidRPr="00565B7B">
        <w:rPr>
          <w:rFonts w:cs="Times New Roman"/>
          <w:i/>
          <w:lang w:val="fr-CA"/>
        </w:rPr>
        <w:t>Abitibi</w:t>
      </w:r>
      <w:r w:rsidRPr="00565B7B">
        <w:rPr>
          <w:rFonts w:cs="Times New Roman"/>
          <w:lang w:val="fr-CA"/>
        </w:rPr>
        <w:t xml:space="preserve"> démontre lui</w:t>
      </w:r>
      <w:r w:rsidRPr="00565B7B">
        <w:rPr>
          <w:rFonts w:cs="Times New Roman"/>
          <w:lang w:val="fr-CA"/>
        </w:rPr>
        <w:noBreakHyphen/>
        <w:t xml:space="preserve">même que ce n’est pas le cas. De plus, comme je l’ai dit, il peut fort bien exister des cas qui se situent entre l’affaire </w:t>
      </w:r>
      <w:r w:rsidRPr="00565B7B">
        <w:rPr>
          <w:rFonts w:cs="Times New Roman"/>
          <w:i/>
          <w:lang w:val="fr-CA"/>
        </w:rPr>
        <w:t>Abitibi</w:t>
      </w:r>
      <w:r w:rsidRPr="00565B7B">
        <w:rPr>
          <w:rFonts w:cs="Times New Roman"/>
          <w:lang w:val="fr-CA"/>
        </w:rPr>
        <w:t xml:space="preserve"> et celle qui nous occupe. Par contre, si l’on considère qu’</w:t>
      </w:r>
      <w:r w:rsidRPr="00565B7B">
        <w:rPr>
          <w:rFonts w:cs="Times New Roman"/>
          <w:i/>
          <w:lang w:val="fr-CA"/>
        </w:rPr>
        <w:t xml:space="preserve">Abitibi </w:t>
      </w:r>
      <w:r w:rsidRPr="00565B7B">
        <w:rPr>
          <w:rFonts w:cs="Times New Roman"/>
          <w:lang w:val="fr-CA"/>
        </w:rPr>
        <w:t>exige uniquement que le tribunal décide si l’organisme de réglementation a exercé un pouvoir d’application, il sera en fait impossible pour un organisme de réglementation de</w:t>
      </w:r>
      <w:r w:rsidRPr="00565B7B">
        <w:rPr>
          <w:rFonts w:cs="Times New Roman"/>
          <w:i/>
          <w:lang w:val="fr-CA"/>
        </w:rPr>
        <w:t xml:space="preserve"> ne pas </w:t>
      </w:r>
      <w:r w:rsidRPr="00565B7B">
        <w:rPr>
          <w:rFonts w:cs="Times New Roman"/>
          <w:lang w:val="fr-CA"/>
        </w:rPr>
        <w:t xml:space="preserve">être un créancier. Les motifs dissidents ne nient pas sérieusement cette opinion et donnent seulement à penser que les organismes de réglementation peuvent publier des lignes directrices ou délivrer des permis. L’organisme de réglementation fait les deux mais, selon l’approche adoptée dans les motifs dissidents, il est dépourvu de moyens pour prendre quelque mesure concrète que ce soit dans l’intérêt public à propos de ses lignes directrices ou de permis sans avoir le statut de créancier. Comme je l’ai expliqué, l’arrêt </w:t>
      </w:r>
      <w:r w:rsidRPr="00565B7B">
        <w:rPr>
          <w:rFonts w:cs="Times New Roman"/>
          <w:i/>
          <w:lang w:val="fr-CA"/>
        </w:rPr>
        <w:t>Abitibi</w:t>
      </w:r>
      <w:r w:rsidRPr="00565B7B">
        <w:rPr>
          <w:rFonts w:cs="Times New Roman"/>
          <w:lang w:val="fr-CA"/>
        </w:rPr>
        <w:t xml:space="preserve"> accorde clairement une place aux organismes de réglementation qui ne sont pas des créanciers. </w:t>
      </w:r>
    </w:p>
    <w:p w:rsidR="00DF13E5" w:rsidRPr="00565B7B" w:rsidRDefault="00DF13E5" w:rsidP="00DF13E5">
      <w:pPr>
        <w:pStyle w:val="ParaNoNdepar-AltN"/>
        <w:rPr>
          <w:rFonts w:cs="Times New Roman"/>
          <w:lang w:val="fr-CA"/>
        </w:rPr>
      </w:pPr>
      <w:r w:rsidRPr="00565B7B">
        <w:rPr>
          <w:rFonts w:cs="Times New Roman"/>
          <w:lang w:val="fr-CA"/>
        </w:rPr>
        <w:t>Cela suffit, à proprement parler, pour trancher cet aspect du pourvoi. Cependant, d’autres indications sur l’analyse de la certitude suffisante pourraient se révéler utiles à l’avenir. En conséquence, je passe maintenant à l’analyse de l’étape de la « certitude suffisante » et des raisons pour lesquelles les ordonnances d’abandon et les conditions liée</w:t>
      </w:r>
      <w:r w:rsidR="00FB6155">
        <w:rPr>
          <w:rFonts w:cs="Times New Roman"/>
          <w:lang w:val="fr-CA"/>
        </w:rPr>
        <w:t>s</w:t>
      </w:r>
      <w:r w:rsidRPr="00565B7B">
        <w:rPr>
          <w:rFonts w:cs="Times New Roman"/>
          <w:lang w:val="fr-CA"/>
        </w:rPr>
        <w:t xml:space="preserve"> à la CGR ne franchissent pas cette étape du critère d’</w:t>
      </w:r>
      <w:r w:rsidRPr="00565B7B">
        <w:rPr>
          <w:rFonts w:cs="Times New Roman"/>
          <w:i/>
          <w:lang w:val="fr-CA"/>
        </w:rPr>
        <w:t>Abitibi.</w:t>
      </w:r>
      <w:r w:rsidRPr="00565B7B">
        <w:rPr>
          <w:rFonts w:cs="Times New Roman"/>
          <w:lang w:val="fr-CA"/>
        </w:rPr>
        <w:t xml:space="preserve"> </w:t>
      </w:r>
    </w:p>
    <w:p w:rsidR="00DF13E5" w:rsidRPr="00565B7B" w:rsidRDefault="00DF13E5" w:rsidP="007872F1">
      <w:pPr>
        <w:pStyle w:val="Title3LevelTitre3Niveau"/>
        <w:rPr>
          <w:lang w:val="fr-CA"/>
        </w:rPr>
      </w:pPr>
      <w:r w:rsidRPr="00565B7B">
        <w:rPr>
          <w:lang w:val="fr-CA"/>
        </w:rPr>
        <w:lastRenderedPageBreak/>
        <w:t>Il n’est pas suffisamment certain que l’organisme de réglementation exécutera les travaux environnementaux et présentera une demande de remboursement</w:t>
      </w:r>
    </w:p>
    <w:p w:rsidR="00DF13E5" w:rsidRPr="00565B7B" w:rsidRDefault="00DF13E5" w:rsidP="00DF13E5">
      <w:pPr>
        <w:pStyle w:val="ParaNoNdepar-AltN"/>
        <w:rPr>
          <w:rFonts w:cs="Times New Roman"/>
          <w:lang w:val="fr-CA"/>
        </w:rPr>
      </w:pPr>
      <w:r w:rsidRPr="00565B7B">
        <w:rPr>
          <w:rFonts w:cs="Times New Roman"/>
          <w:lang w:val="fr-CA"/>
        </w:rPr>
        <w:t xml:space="preserve">Le critère de la « certitude suffisante » énoncé aux par. 30 et 36 de l’arrêt </w:t>
      </w:r>
      <w:r w:rsidRPr="00565B7B">
        <w:rPr>
          <w:rFonts w:cs="Times New Roman"/>
          <w:i/>
          <w:lang w:val="fr-CA"/>
        </w:rPr>
        <w:t xml:space="preserve">Abitibi </w:t>
      </w:r>
      <w:r w:rsidRPr="00565B7B">
        <w:rPr>
          <w:rFonts w:cs="Times New Roman"/>
          <w:lang w:val="fr-CA"/>
        </w:rPr>
        <w:t xml:space="preserve">ne fait essentiellement que restructurer et reformuler les exigences des dispositions applicables de la </w:t>
      </w:r>
      <w:r w:rsidRPr="00DC6046">
        <w:rPr>
          <w:rFonts w:cs="Times New Roman"/>
          <w:i/>
          <w:lang w:val="fr-CA"/>
        </w:rPr>
        <w:t>LFI</w:t>
      </w:r>
      <w:r w:rsidRPr="00565B7B">
        <w:rPr>
          <w:rFonts w:cs="Times New Roman"/>
          <w:lang w:val="fr-CA"/>
        </w:rPr>
        <w:t>. Selon le par. 121(2), des réclamations éventuelles peuvent constituer des réclamations prouvables. Autrement dit, les dettes que devra peut</w:t>
      </w:r>
      <w:r w:rsidRPr="00565B7B">
        <w:rPr>
          <w:rFonts w:cs="Times New Roman"/>
          <w:lang w:val="fr-CA"/>
        </w:rPr>
        <w:noBreakHyphen/>
        <w:t xml:space="preserve">être le failli à un créancier peuvent constituer des réclamations prouvables, mais pas nécessairement l’être. Le paragraphe 135(1.1) prévoit l’évaluation d’une réclamation éventuelle, qui doit être évaluable suivant cette disposition; elle ne doit pas être trop éloignée ou conjecturale pour constituer une réclamation prouvable au sens du par. 121(2). </w:t>
      </w:r>
    </w:p>
    <w:p w:rsidR="00DF13E5" w:rsidRPr="00565B7B" w:rsidRDefault="00DF13E5" w:rsidP="00DF13E5">
      <w:pPr>
        <w:pStyle w:val="ParaNoNdepar-AltN"/>
        <w:rPr>
          <w:rFonts w:cs="Times New Roman"/>
          <w:lang w:val="fr-CA"/>
        </w:rPr>
      </w:pPr>
      <w:r w:rsidRPr="00565B7B">
        <w:rPr>
          <w:rFonts w:cs="Times New Roman"/>
          <w:lang w:val="fr-CA"/>
        </w:rPr>
        <w:t>Avant de pouvoir atteindre la troisième étape du critère d’</w:t>
      </w:r>
      <w:r w:rsidRPr="00565B7B">
        <w:rPr>
          <w:rFonts w:cs="Times New Roman"/>
          <w:i/>
          <w:lang w:val="fr-CA"/>
        </w:rPr>
        <w:t>Abitibi</w:t>
      </w:r>
      <w:r w:rsidRPr="00565B7B">
        <w:rPr>
          <w:rFonts w:cs="Times New Roman"/>
          <w:lang w:val="fr-CA"/>
        </w:rPr>
        <w:t xml:space="preserve">, il faut déjà avoir fait la démonstration que l’organisme de réglementation est un créancier. Au vu des faits de l’espèce, j’ai conclu que l’organisme de réglementation n’est pas un créancier de Redwater. Toutefois, afin d’expliquer pourquoi je me dissocie du juge siégeant au cabinet à l’égard de l’analyse de la « certitude suffisante », je vais procéder comme si l’organisme de réglementation était effectivement un créancier de Redwater en ce qui concerne les ordonnances d’abandon et les exigences de la CGR. Ces obligations de fin de vie n’exigent pas directement de Redwater qu’elle fasse un paiement à l’organisme de réglementation. Elles l’obligent plutôt à </w:t>
      </w:r>
      <w:r w:rsidRPr="00565B7B">
        <w:rPr>
          <w:rFonts w:cs="Times New Roman"/>
          <w:i/>
          <w:lang w:val="fr-CA"/>
        </w:rPr>
        <w:t>faire quelque chose</w:t>
      </w:r>
      <w:r w:rsidRPr="00565B7B">
        <w:rPr>
          <w:rFonts w:cs="Times New Roman"/>
          <w:lang w:val="fr-CA"/>
        </w:rPr>
        <w:t xml:space="preserve">. Comme l’indique l’arrêt </w:t>
      </w:r>
      <w:r w:rsidRPr="00565B7B">
        <w:rPr>
          <w:rFonts w:cs="Times New Roman"/>
          <w:i/>
          <w:lang w:val="fr-CA"/>
        </w:rPr>
        <w:t>Abitibi</w:t>
      </w:r>
      <w:r w:rsidRPr="00565B7B">
        <w:rPr>
          <w:rFonts w:cs="Times New Roman"/>
          <w:lang w:val="fr-CA"/>
        </w:rPr>
        <w:t xml:space="preserve">, si l’organisme de réglementation était en fait un créancier, les obligations de fin de vie constitueraient ses réclamations éventuelles. </w:t>
      </w:r>
    </w:p>
    <w:p w:rsidR="00DF13E5" w:rsidRPr="00565B7B" w:rsidRDefault="00DF13E5" w:rsidP="00DF13E5">
      <w:pPr>
        <w:pStyle w:val="ParaNoNdepar-AltN"/>
        <w:rPr>
          <w:rFonts w:cs="Times New Roman"/>
          <w:lang w:val="fr-CA"/>
        </w:rPr>
      </w:pPr>
      <w:r w:rsidRPr="00565B7B">
        <w:rPr>
          <w:rFonts w:cs="Times New Roman"/>
          <w:lang w:val="fr-CA"/>
        </w:rPr>
        <w:lastRenderedPageBreak/>
        <w:t>Ce que le tribunal doit décider, c’est s’il y a suffisamment de faits indiquant qu’il existe une obligation environnementale de laquelle résultera une dette envers un organisme de réglementation. Pour établir si une obligation réglementaire non pécuniaire du failli est trop éloignée ou trop conjecturale pour être incluse dans la procédure de faillite, le tribunal doit appliquer les règles générales qui visent les réclamations futures ou éventuelles. Il doit être suffisamment certain que l’éventualité se concrétisera ou, en d’autres termes, que l’organisme de réglementation fera respecter l’obligation en exécutant les travaux environnementaux et en sollicitant le remboursement</w:t>
      </w:r>
      <w:r>
        <w:rPr>
          <w:rFonts w:cs="Times New Roman"/>
          <w:lang w:val="fr-CA"/>
        </w:rPr>
        <w:t xml:space="preserve"> de se</w:t>
      </w:r>
      <w:r w:rsidRPr="00565B7B">
        <w:rPr>
          <w:rFonts w:cs="Times New Roman"/>
          <w:lang w:val="fr-CA"/>
        </w:rPr>
        <w:t>s frais.</w:t>
      </w:r>
    </w:p>
    <w:p w:rsidR="00DF13E5" w:rsidRPr="00565B7B" w:rsidRDefault="00DF13E5" w:rsidP="00DF13E5">
      <w:pPr>
        <w:pStyle w:val="ParaNoNdepar-AltN"/>
        <w:rPr>
          <w:rFonts w:cs="Times New Roman"/>
          <w:lang w:val="fr-CA"/>
        </w:rPr>
      </w:pPr>
      <w:r w:rsidRPr="00565B7B">
        <w:rPr>
          <w:rFonts w:cs="Times New Roman"/>
          <w:lang w:val="fr-CA"/>
        </w:rPr>
        <w:t>Je vais maintenant analyser les ordonnances d’abandon de même que les exigences relatives à la CGR à tour de rôle et démontrer en quoi elles ne franchissent pas l’étape de la « certitude suffisante » du critère d’</w:t>
      </w:r>
      <w:r w:rsidRPr="00565B7B">
        <w:rPr>
          <w:rFonts w:cs="Times New Roman"/>
          <w:i/>
          <w:lang w:val="fr-CA"/>
        </w:rPr>
        <w:t>Abitibi</w:t>
      </w:r>
      <w:r w:rsidRPr="00565B7B">
        <w:rPr>
          <w:rFonts w:cs="Times New Roman"/>
          <w:lang w:val="fr-CA"/>
        </w:rPr>
        <w:t xml:space="preserve">. </w:t>
      </w:r>
    </w:p>
    <w:p w:rsidR="00DF13E5" w:rsidRPr="00565B7B" w:rsidRDefault="00DF13E5" w:rsidP="007872F1">
      <w:pPr>
        <w:pStyle w:val="Title4LevelTitre4Niveau"/>
        <w:rPr>
          <w:lang w:val="fr-CA"/>
        </w:rPr>
      </w:pPr>
      <w:r w:rsidRPr="00565B7B">
        <w:rPr>
          <w:lang w:val="fr-CA"/>
        </w:rPr>
        <w:t>Les ordonnances d’abandon</w:t>
      </w:r>
    </w:p>
    <w:p w:rsidR="00DF13E5" w:rsidRPr="00565B7B" w:rsidRDefault="00DF13E5" w:rsidP="00DF13E5">
      <w:pPr>
        <w:pStyle w:val="ParaNoNdepar-AltN"/>
        <w:rPr>
          <w:rFonts w:cs="Times New Roman"/>
          <w:lang w:val="fr-CA"/>
        </w:rPr>
      </w:pPr>
      <w:r w:rsidRPr="00565B7B">
        <w:rPr>
          <w:rFonts w:cs="Times New Roman"/>
          <w:lang w:val="fr-CA"/>
        </w:rPr>
        <w:t>L’organisme de réglementation a rendu, au titre de l’</w:t>
      </w:r>
      <w:r w:rsidRPr="00DC6046">
        <w:rPr>
          <w:rFonts w:cs="Times New Roman"/>
          <w:i/>
          <w:lang w:val="fr-CA"/>
        </w:rPr>
        <w:t>OGCA</w:t>
      </w:r>
      <w:r w:rsidRPr="00565B7B">
        <w:rPr>
          <w:rFonts w:cs="Times New Roman"/>
          <w:lang w:val="fr-CA"/>
        </w:rPr>
        <w:t xml:space="preserve"> et de la </w:t>
      </w:r>
      <w:r w:rsidRPr="00565B7B">
        <w:rPr>
          <w:rFonts w:cs="Times New Roman"/>
          <w:i/>
          <w:lang w:val="fr-CA"/>
        </w:rPr>
        <w:t>Pipeline Act</w:t>
      </w:r>
      <w:r w:rsidRPr="00565B7B">
        <w:rPr>
          <w:rFonts w:cs="Times New Roman"/>
          <w:lang w:val="fr-CA"/>
        </w:rPr>
        <w:t>, des ordonnances enjoignant à Redwater d’abandonner les biens faisant l’objet de la renonciation. Même si l’organisme de réglementation était un créancier de Redwater, les ordonnances d’abandon doivent tout de même pouvoir faire l’objet d’une évaluation pour être incluses dans le processus de faillite. À mon avis, ni les conclusions de fait du juge siégeant en cabinet ni la preuve n’établissent qu’il est suffisamment certain que l’organisme de réglementation procédera à l’abandon et présentera une demande de remboursement. La réclamation est trop éloignée et conjecturale pour être incluse dans la procédure de faillite.</w:t>
      </w:r>
    </w:p>
    <w:p w:rsidR="00DF13E5" w:rsidRPr="00565B7B" w:rsidRDefault="00DF13E5" w:rsidP="00DF13E5">
      <w:pPr>
        <w:pStyle w:val="ParaNoNdepar-AltN"/>
        <w:rPr>
          <w:rFonts w:cs="Times New Roman"/>
          <w:lang w:val="fr-CA"/>
        </w:rPr>
      </w:pPr>
      <w:r w:rsidRPr="00565B7B">
        <w:rPr>
          <w:rFonts w:cs="Times New Roman"/>
          <w:lang w:val="fr-CA"/>
        </w:rPr>
        <w:lastRenderedPageBreak/>
        <w:t>Le juge siégeant en cabinet a reconnu qu’il n’était [</w:t>
      </w:r>
      <w:r w:rsidRPr="00565B7B">
        <w:rPr>
          <w:rFonts w:cs="Times New Roman"/>
          <w:smallCaps/>
          <w:lang w:val="fr-CA"/>
        </w:rPr>
        <w:t>traduction]</w:t>
      </w:r>
      <w:r w:rsidRPr="00565B7B">
        <w:rPr>
          <w:rFonts w:cs="Times New Roman"/>
          <w:lang w:val="fr-CA"/>
        </w:rPr>
        <w:t xml:space="preserve"> « pas clair » si l’organisme de réglementation effectuerait lui</w:t>
      </w:r>
      <w:r w:rsidRPr="00565B7B">
        <w:rPr>
          <w:rFonts w:cs="Times New Roman"/>
          <w:lang w:val="fr-CA"/>
        </w:rPr>
        <w:noBreakHyphen/>
        <w:t xml:space="preserve">même le processus d’abandon ou s’il considérerait les puits assujettis aux ordonnances d’abandon comme orphelins (par. 173). Il a dit que, dans ce dernier cas, l’OWA se chargerait probablement de l’abandon, mais on ne savait pas quand cette tâche serait menée à terme. En effet, le juge siégeant en cabinet a admis qu’étant donné les ressources de l’OWA, cela pourrait lui prendre jusqu’à </w:t>
      </w:r>
      <w:r w:rsidR="00FB6155">
        <w:rPr>
          <w:rFonts w:cs="Times New Roman"/>
          <w:lang w:val="fr-CA"/>
        </w:rPr>
        <w:t>10</w:t>
      </w:r>
      <w:r w:rsidRPr="00565B7B">
        <w:rPr>
          <w:rFonts w:cs="Times New Roman"/>
          <w:lang w:val="fr-CA"/>
        </w:rPr>
        <w:t xml:space="preserve"> ans avant qu’elle amorce les travaux environnementaux nécessaires sur la propriété de Redwater. Il a conclu néanmoins que, même si l’étape de la « certitude suffisante » n’a pas été franchie au « sens technique », la situation répondait à la norme voulue dans </w:t>
      </w:r>
      <w:r w:rsidRPr="00565B7B">
        <w:rPr>
          <w:rFonts w:cs="Times New Roman"/>
          <w:i/>
          <w:lang w:val="fr-CA"/>
        </w:rPr>
        <w:t>Abitibi</w:t>
      </w:r>
      <w:r w:rsidRPr="00565B7B">
        <w:rPr>
          <w:rFonts w:cs="Times New Roman"/>
          <w:lang w:val="fr-CA"/>
        </w:rPr>
        <w:t>. Cette conclusion reposait, du moins en partie, sur la sienne voulant que les ordonnances d’abandon soient « intrinsèquement financières » (par. </w:t>
      </w:r>
      <w:r>
        <w:rPr>
          <w:rFonts w:cs="Times New Roman"/>
          <w:lang w:val="fr-CA"/>
        </w:rPr>
        <w:t>1</w:t>
      </w:r>
      <w:r w:rsidRPr="00565B7B">
        <w:rPr>
          <w:rFonts w:cs="Times New Roman"/>
          <w:lang w:val="fr-CA"/>
        </w:rPr>
        <w:t>73).</w:t>
      </w:r>
    </w:p>
    <w:p w:rsidR="00DF13E5" w:rsidRPr="00565B7B" w:rsidRDefault="00DF13E5" w:rsidP="00DF13E5">
      <w:pPr>
        <w:pStyle w:val="ParaNoNdepar-AltN"/>
        <w:rPr>
          <w:rFonts w:cs="Times New Roman"/>
          <w:lang w:val="fr-CA"/>
        </w:rPr>
      </w:pPr>
      <w:r w:rsidRPr="00565B7B">
        <w:rPr>
          <w:rFonts w:cs="Times New Roman"/>
          <w:lang w:val="fr-CA"/>
        </w:rPr>
        <w:t xml:space="preserve">À mon avis, le juge siégeant en cabinet n’a pas tiré la conclusion de fait que l’organisme de réglementation se chargerait </w:t>
      </w:r>
      <w:r w:rsidRPr="00565B7B">
        <w:rPr>
          <w:rFonts w:cs="Times New Roman"/>
          <w:i/>
          <w:lang w:val="fr-CA"/>
        </w:rPr>
        <w:t>lui</w:t>
      </w:r>
      <w:r w:rsidRPr="00565B7B">
        <w:rPr>
          <w:rFonts w:cs="Times New Roman"/>
          <w:i/>
          <w:lang w:val="fr-CA"/>
        </w:rPr>
        <w:noBreakHyphen/>
        <w:t>même</w:t>
      </w:r>
      <w:r w:rsidRPr="00565B7B">
        <w:rPr>
          <w:rFonts w:cs="Times New Roman"/>
          <w:lang w:val="fr-CA"/>
        </w:rPr>
        <w:t xml:space="preserve"> des travaux d’abandon. Je le rappelle, il a reconnu qu’il n’était « pas clair » si l’organisme de réglementation s’en occuperait. On peut difficilement dire qu’il s’agit qu’une conclusion de fait qui commande la déférence. Prise dans son ensemble, la preuve en l’espèce me semble mener à la conclusion selon laquelle l’organisme de réglementation ne procèdera pas lui</w:t>
      </w:r>
      <w:r w:rsidRPr="00565B7B">
        <w:rPr>
          <w:rFonts w:cs="Times New Roman"/>
          <w:lang w:val="fr-CA"/>
        </w:rPr>
        <w:noBreakHyphen/>
        <w:t xml:space="preserve">même à l’abandon des biens auxquels il a été renoncé. </w:t>
      </w:r>
    </w:p>
    <w:p w:rsidR="00DF13E5" w:rsidRPr="00565B7B" w:rsidRDefault="00DF13E5" w:rsidP="00DF13E5">
      <w:pPr>
        <w:pStyle w:val="ParaNoNdepar-AltN"/>
        <w:rPr>
          <w:rFonts w:cs="Times New Roman"/>
          <w:lang w:val="fr-CA"/>
        </w:rPr>
      </w:pPr>
      <w:r w:rsidRPr="00565B7B">
        <w:rPr>
          <w:rFonts w:cs="Times New Roman"/>
          <w:lang w:val="fr-CA"/>
        </w:rPr>
        <w:t>Dans le cadre de ses activités, l’organisme de réglementation n’effectue pas lui</w:t>
      </w:r>
      <w:r w:rsidRPr="00565B7B">
        <w:rPr>
          <w:rFonts w:cs="Times New Roman"/>
          <w:lang w:val="fr-CA"/>
        </w:rPr>
        <w:noBreakHyphen/>
        <w:t>même les travaux d’abandon. Il n’est pas tenu par la loi de le faire. Il s’agit plutôt d’une obligation incombant au titulaire de permis. Dans son affidavit, le déposant de l’organisme de réglementation a déclaré que celui</w:t>
      </w:r>
      <w:r w:rsidRPr="00565B7B">
        <w:rPr>
          <w:rFonts w:cs="Times New Roman"/>
          <w:lang w:val="fr-CA"/>
        </w:rPr>
        <w:noBreakHyphen/>
        <w:t xml:space="preserve">ci procédait très rarement à </w:t>
      </w:r>
      <w:r w:rsidRPr="00565B7B">
        <w:rPr>
          <w:rFonts w:cs="Times New Roman"/>
          <w:lang w:val="fr-CA"/>
        </w:rPr>
        <w:lastRenderedPageBreak/>
        <w:t>l’abandon de biens au nom des titulaires de permis et qu’il ne le faisait pratiquement jamais dans le cas d’un titulaire de permis sous séquestre ou en faillite. Le déposant a déclaré que l’organisme de réglementation n’avait pas l’intention d’abandonner les biens de Redwater visés par des permis. Comme l’a signalé le juge siégeant en cabinet, il est vrai que, dans sa lettre adressée à GTL en date du 15 juillet 2015, l’organisme de réglementation a menacé d’effectuer lui</w:t>
      </w:r>
      <w:r w:rsidRPr="00565B7B">
        <w:rPr>
          <w:rFonts w:cs="Times New Roman"/>
          <w:lang w:val="fr-CA"/>
        </w:rPr>
        <w:noBreakHyphen/>
        <w:t>même ces processus, mais il n’a rien fait par la suite pour mettre cette menace à exécution. Même si l’on devrait accorder de l’importance à cette lettre, la contradiction entre elle et les affidavits subséquents de l’organisme de réglementation font en sorte à tout le moins qu’il est difficile de dire avec quoi que ce soit de comparable à une certitude suffisante que l’organisme de réglementation compte effectuer le processus d’abandon. Ces faits distinguent la présente affaire d’</w:t>
      </w:r>
      <w:r w:rsidRPr="00565B7B">
        <w:rPr>
          <w:rFonts w:cs="Times New Roman"/>
          <w:i/>
          <w:lang w:val="fr-CA"/>
        </w:rPr>
        <w:t>Abitibi</w:t>
      </w:r>
      <w:r w:rsidRPr="00565B7B">
        <w:rPr>
          <w:rFonts w:cs="Times New Roman"/>
          <w:lang w:val="fr-CA"/>
        </w:rPr>
        <w:t>, où les conclusions du juge chargé de la restructuration reposaient sur la prémisse que la province exécuterait fort probablement elle</w:t>
      </w:r>
      <w:r w:rsidRPr="00565B7B">
        <w:rPr>
          <w:rFonts w:cs="Times New Roman"/>
          <w:lang w:val="fr-CA"/>
        </w:rPr>
        <w:noBreakHyphen/>
        <w:t xml:space="preserve">même les travaux de décontamination. </w:t>
      </w:r>
    </w:p>
    <w:p w:rsidR="00DF13E5" w:rsidRPr="00565B7B" w:rsidRDefault="00DF13E5" w:rsidP="00DF13E5">
      <w:pPr>
        <w:pStyle w:val="ParaNoNdepar-AltN"/>
        <w:rPr>
          <w:rFonts w:cs="Times New Roman"/>
          <w:lang w:val="fr-CA"/>
        </w:rPr>
      </w:pPr>
      <w:r w:rsidRPr="00565B7B">
        <w:rPr>
          <w:rFonts w:cs="Times New Roman"/>
          <w:lang w:val="fr-CA"/>
        </w:rPr>
        <w:t>J’expliquerai ci</w:t>
      </w:r>
      <w:r w:rsidRPr="00565B7B">
        <w:rPr>
          <w:rFonts w:cs="Times New Roman"/>
          <w:lang w:val="fr-CA"/>
        </w:rPr>
        <w:noBreakHyphen/>
        <w:t>après pourquoi l’intervention de l’OWA est insuffisante pour satisfaire au critère de la « certitude suffisante ». Premièrement, je constate que le juge siégeant en cabinet a eu tort de tabler sur le caractère « intrinsèquement financier » des ordonnances d’abandon. Je suis entièrement d’accord avec la juge Martin sur ce point. Se demander si une ordonnance est « intrinsèquement financière » constitue une interprétation erronée de la troisième étape du critère d’</w:t>
      </w:r>
      <w:r w:rsidRPr="00565B7B">
        <w:rPr>
          <w:rFonts w:cs="Times New Roman"/>
          <w:i/>
          <w:lang w:val="fr-CA"/>
        </w:rPr>
        <w:t>Abitibi</w:t>
      </w:r>
      <w:r w:rsidRPr="00565B7B">
        <w:rPr>
          <w:rFonts w:cs="Times New Roman"/>
          <w:lang w:val="fr-CA"/>
        </w:rPr>
        <w:t xml:space="preserve">. Elle est trop large et conduirait à la conclusion qu’il y a une « réclamation prouvable » même lorsque l’existence d’une réclamation pécuniaire en matière de faillite ne relève que de la conjecture. Ainsi, dans l’arrêt </w:t>
      </w:r>
      <w:r w:rsidRPr="00565B7B">
        <w:rPr>
          <w:rFonts w:cs="Times New Roman"/>
          <w:i/>
          <w:lang w:val="fr-CA"/>
        </w:rPr>
        <w:t xml:space="preserve">Nortel </w:t>
      </w:r>
      <w:r w:rsidRPr="00565B7B">
        <w:rPr>
          <w:rFonts w:cs="Times New Roman"/>
          <w:lang w:val="fr-CA"/>
        </w:rPr>
        <w:t>CA, le juge Juriansz a rejeté à juste titre l’argument selon lequel le critère d’</w:t>
      </w:r>
      <w:r w:rsidRPr="00565B7B">
        <w:rPr>
          <w:rFonts w:cs="Times New Roman"/>
          <w:i/>
          <w:lang w:val="fr-CA"/>
        </w:rPr>
        <w:t>Abitibi</w:t>
      </w:r>
      <w:r w:rsidRPr="00565B7B">
        <w:rPr>
          <w:rFonts w:cs="Times New Roman"/>
          <w:lang w:val="fr-CA"/>
        </w:rPr>
        <w:t xml:space="preserve"> n’exigeait pas qu’il soit décidé que </w:t>
      </w:r>
      <w:r w:rsidRPr="00565B7B">
        <w:rPr>
          <w:rFonts w:cs="Times New Roman"/>
          <w:lang w:val="fr-CA"/>
        </w:rPr>
        <w:lastRenderedPageBreak/>
        <w:t>l’organisme de réglementation exécuterait les travaux environnementaux et demanderait un remboursement, et qu’il suffisait qu’il y ait une ordonnance environnementale exigeant une dépense de fonds par l’actif du failli. Il a déclaré ce qui suit, aux par. 31</w:t>
      </w:r>
      <w:r w:rsidRPr="00565B7B">
        <w:rPr>
          <w:rFonts w:cs="Times New Roman"/>
          <w:lang w:val="fr-CA"/>
        </w:rPr>
        <w:noBreakHyphen/>
        <w:t>32 :</w:t>
      </w:r>
    </w:p>
    <w:p w:rsidR="00DF13E5" w:rsidRPr="00565B7B" w:rsidRDefault="00DF13E5" w:rsidP="00FB6155">
      <w:pPr>
        <w:pStyle w:val="Citation-AltC"/>
        <w:spacing w:after="240"/>
        <w:ind w:hanging="1166"/>
        <w:contextualSpacing w:val="0"/>
        <w:rPr>
          <w:lang w:val="fr-CA"/>
        </w:rPr>
      </w:pPr>
      <w:r w:rsidRPr="00565B7B">
        <w:rPr>
          <w:lang w:val="fr-CA"/>
        </w:rPr>
        <w:tab/>
      </w:r>
      <w:r w:rsidR="00FB6155" w:rsidRPr="00565B7B">
        <w:rPr>
          <w:lang w:val="fr-CA"/>
        </w:rPr>
        <w:t>[</w:t>
      </w:r>
      <w:r w:rsidR="00FB6155" w:rsidRPr="00565B7B">
        <w:rPr>
          <w:smallCaps/>
          <w:lang w:val="fr-CA"/>
        </w:rPr>
        <w:t>traduction</w:t>
      </w:r>
      <w:r w:rsidR="00FB6155">
        <w:rPr>
          <w:lang w:val="fr-CA"/>
        </w:rPr>
        <w:t xml:space="preserve">] </w:t>
      </w:r>
      <w:r w:rsidRPr="00565B7B">
        <w:rPr>
          <w:lang w:val="fr-CA"/>
        </w:rPr>
        <w:t>. . . Selon moi, la décision de la Cour suprême est claire : les obligations continues de décontamination environnementale peuvent être réduites à des réclamations pécuniaires pouvant être compromises dans des procédures fondées sur la LACC seulement lorsque la Province a exécuté les travaux de décontamination et qu’elle présente une demande de remboursement, ou lorsque l’obligation peut être considérée comme une réclamation éventuelle ou future, parce qu’il est « suffisamment certain » que la Province fera le travail et cherchera ensuite à obtenir un remboursement.</w:t>
      </w:r>
    </w:p>
    <w:p w:rsidR="00DF13E5" w:rsidRPr="00565B7B" w:rsidRDefault="00DF13E5" w:rsidP="00DF13E5">
      <w:pPr>
        <w:pStyle w:val="Citation-AltC"/>
        <w:ind w:hanging="1166"/>
        <w:contextualSpacing w:val="0"/>
        <w:rPr>
          <w:lang w:val="fr-CA"/>
        </w:rPr>
      </w:pPr>
      <w:r w:rsidRPr="00565B7B">
        <w:rPr>
          <w:lang w:val="fr-CA"/>
        </w:rPr>
        <w:tab/>
      </w:r>
      <w:r w:rsidRPr="00565B7B">
        <w:rPr>
          <w:lang w:val="fr-CA"/>
        </w:rPr>
        <w:tab/>
        <w:t xml:space="preserve">L’approche des intimées n’est pas seulement incompatible avec celle de l’arrêt </w:t>
      </w:r>
      <w:r w:rsidRPr="00565B7B">
        <w:rPr>
          <w:i/>
          <w:lang w:val="fr-CA"/>
        </w:rPr>
        <w:t>Abitibi</w:t>
      </w:r>
      <w:r w:rsidRPr="00565B7B">
        <w:rPr>
          <w:lang w:val="fr-CA"/>
        </w:rPr>
        <w:t>, elle est trop large. Il en résulterait que pratiquement toutes les ordonnances réglementaires en matière d’environnement soient considérées comme des réclamations prouvables. Comme l’a fait remarquer la juge Deschamps, une société peut exercer des activités qui comportent des risques. Lorsque ces risques se matérialisent, les coûts sont supportés par ceux qui détiennent une participation dans la société. Un risque qui entraîne une obligation environnementale n’est soumis au processus d’insolvabilité que lorsqu’il est en substance pécuniaire et qu’il constitue en substance une réclamation prouvable.</w:t>
      </w:r>
    </w:p>
    <w:p w:rsidR="00DF13E5" w:rsidRPr="00565B7B" w:rsidRDefault="00DF13E5" w:rsidP="00DF13E5">
      <w:pPr>
        <w:pStyle w:val="ParaNoNdepar-AltN"/>
        <w:rPr>
          <w:rFonts w:cs="Times New Roman"/>
          <w:lang w:val="fr-CA"/>
        </w:rPr>
      </w:pPr>
      <w:r w:rsidRPr="00565B7B">
        <w:rPr>
          <w:rFonts w:cs="Times New Roman"/>
          <w:lang w:val="fr-CA"/>
        </w:rPr>
        <w:t>Comme l’a reconnu à bon droit le juge siégeant en cabinet, ce n’est pas parce que l’organisme de réglementation n’effectuerait pas lui</w:t>
      </w:r>
      <w:r w:rsidRPr="00565B7B">
        <w:rPr>
          <w:rFonts w:cs="Times New Roman"/>
          <w:lang w:val="fr-CA"/>
        </w:rPr>
        <w:noBreakHyphen/>
        <w:t>même les travaux d’abandon qu’il se laverait les mains des biens faisant l’objet de la renonciat</w:t>
      </w:r>
      <w:r w:rsidR="00FB6155">
        <w:rPr>
          <w:rFonts w:cs="Times New Roman"/>
          <w:lang w:val="fr-CA"/>
        </w:rPr>
        <w:t xml:space="preserve">ion. Il les qualifierait plutôt, </w:t>
      </w:r>
      <w:r w:rsidRPr="00565B7B">
        <w:rPr>
          <w:rFonts w:cs="Times New Roman"/>
          <w:lang w:val="fr-CA"/>
        </w:rPr>
        <w:t>au besoin</w:t>
      </w:r>
      <w:r w:rsidR="00FB6155">
        <w:rPr>
          <w:rFonts w:cs="Times New Roman"/>
          <w:lang w:val="fr-CA"/>
        </w:rPr>
        <w:t>,</w:t>
      </w:r>
      <w:r w:rsidRPr="00565B7B">
        <w:rPr>
          <w:rFonts w:cs="Times New Roman"/>
          <w:lang w:val="fr-CA"/>
        </w:rPr>
        <w:t xml:space="preserve"> d’orphelins conformément à l’</w:t>
      </w:r>
      <w:r w:rsidRPr="00277B0C">
        <w:rPr>
          <w:rFonts w:cs="Times New Roman"/>
          <w:i/>
          <w:lang w:val="fr-CA"/>
        </w:rPr>
        <w:t>OGCA</w:t>
      </w:r>
      <w:r w:rsidRPr="00565B7B">
        <w:rPr>
          <w:rFonts w:cs="Times New Roman"/>
          <w:lang w:val="fr-CA"/>
        </w:rPr>
        <w:t xml:space="preserve"> et les confiera à l’OWA. Je ne prétends pas qu’un organisme de réglementation puisse stratégiquement éviter le critère de la « certitude suffisante » en déléguant simplement des travaux environnementaux à une organisation indépendante. Je ne déciderai pas, comme l’organisme de réglementation nous a exhortés à le faire, que le critère d’</w:t>
      </w:r>
      <w:r w:rsidRPr="00565B7B">
        <w:rPr>
          <w:rFonts w:cs="Times New Roman"/>
          <w:i/>
          <w:lang w:val="fr-CA"/>
        </w:rPr>
        <w:t>Abitibi</w:t>
      </w:r>
      <w:r w:rsidRPr="00565B7B">
        <w:rPr>
          <w:rFonts w:cs="Times New Roman"/>
          <w:lang w:val="fr-CA"/>
        </w:rPr>
        <w:t xml:space="preserve"> exige </w:t>
      </w:r>
      <w:r w:rsidRPr="00565B7B">
        <w:rPr>
          <w:rFonts w:cs="Times New Roman"/>
          <w:i/>
          <w:lang w:val="fr-CA"/>
        </w:rPr>
        <w:t>toujours</w:t>
      </w:r>
      <w:r w:rsidRPr="00565B7B">
        <w:rPr>
          <w:rFonts w:cs="Times New Roman"/>
          <w:lang w:val="fr-CA"/>
        </w:rPr>
        <w:t xml:space="preserve"> que les travaux environnementaux soient exécutés par l’organisme </w:t>
      </w:r>
      <w:r w:rsidRPr="0056041A">
        <w:rPr>
          <w:rFonts w:cs="Times New Roman"/>
          <w:lang w:val="fr-CA"/>
        </w:rPr>
        <w:t>lui</w:t>
      </w:r>
      <w:r w:rsidRPr="0056041A">
        <w:rPr>
          <w:rFonts w:cs="Times New Roman"/>
          <w:lang w:val="fr-CA"/>
        </w:rPr>
        <w:noBreakHyphen/>
        <w:t>même</w:t>
      </w:r>
      <w:r w:rsidRPr="00565B7B">
        <w:rPr>
          <w:rFonts w:cs="Times New Roman"/>
          <w:lang w:val="fr-CA"/>
        </w:rPr>
        <w:t xml:space="preserve">. </w:t>
      </w:r>
      <w:r w:rsidRPr="00565B7B">
        <w:rPr>
          <w:rFonts w:cs="Times New Roman"/>
          <w:lang w:val="fr-CA"/>
        </w:rPr>
        <w:lastRenderedPageBreak/>
        <w:t>Cependant, la véritable nature de l’OWA doit être soulignée. Il y a des motifs sérieux de conclure que, vu les caractéristiques propres à ce contexte réglementaire, l’OWA n’est pas l’organisme de réglementation.</w:t>
      </w:r>
    </w:p>
    <w:p w:rsidR="00DF13E5" w:rsidRPr="00565B7B" w:rsidRDefault="00DF13E5" w:rsidP="00DF13E5">
      <w:pPr>
        <w:pStyle w:val="ParaNoNdepar-AltN"/>
        <w:rPr>
          <w:rFonts w:cs="Times New Roman"/>
          <w:lang w:val="fr-CA"/>
        </w:rPr>
      </w:pPr>
      <w:r w:rsidRPr="00565B7B">
        <w:rPr>
          <w:rFonts w:cs="Times New Roman"/>
          <w:lang w:val="fr-CA"/>
        </w:rPr>
        <w:t xml:space="preserve">La création de l’OWA ne représentait pas une tentative de l’organisme de réglementation pour éviter l’ordre de priorité fixé en matière de faillite par la </w:t>
      </w:r>
      <w:r w:rsidRPr="00277B0C">
        <w:rPr>
          <w:rFonts w:cs="Times New Roman"/>
          <w:i/>
          <w:lang w:val="fr-CA"/>
        </w:rPr>
        <w:t>LFI</w:t>
      </w:r>
      <w:r w:rsidRPr="00565B7B">
        <w:rPr>
          <w:rFonts w:cs="Times New Roman"/>
          <w:lang w:val="fr-CA"/>
        </w:rPr>
        <w:t>. C’est un organisme sans but lucratif doté de son propre mandat et de son propre conseil d’administration indépendant, et il fonctionne comme une entité financièrement indépendante en vertu du pouvoir qui lui est délégué par la loi. Bien qu’un représentant de l’organisme de réglementation et un représentant d’Alberta Environment and Parks siègent au conseil d’administration de l’OWA, son indépendance n’est pas mise en question. Le rapport annuel 2014</w:t>
      </w:r>
      <w:r w:rsidRPr="00565B7B">
        <w:rPr>
          <w:rFonts w:cs="Times New Roman"/>
          <w:lang w:val="fr-CA"/>
        </w:rPr>
        <w:noBreakHyphen/>
        <w:t>2015 de l’OWA indique que cinq des six directeurs votants représentent l’industrie. L’OWA se sert d’un outil d’évaluation des risques pour décider, en ordre de priorité, quand et de quelle manière elle exécutera des travaux environnementaux sur les centaines de puits orphelins de l’Alberta. Personne ne prétend que l’organisme de réglementation a son mot à dire sur l’ordre dans lequel l’OWA décide d’exécuter des travaux environnementaux. Le rapport annuel 2014</w:t>
      </w:r>
      <w:r w:rsidRPr="00565B7B">
        <w:rPr>
          <w:rFonts w:cs="Times New Roman"/>
          <w:lang w:val="fr-CA"/>
        </w:rPr>
        <w:noBreakHyphen/>
        <w:t>2015 ajoute que, depuis 1992, 87 </w:t>
      </w:r>
      <w:r w:rsidR="00FB6155">
        <w:rPr>
          <w:rFonts w:cs="Times New Roman"/>
          <w:lang w:val="fr-CA"/>
        </w:rPr>
        <w:t>p.</w:t>
      </w:r>
      <w:r w:rsidRPr="00565B7B">
        <w:rPr>
          <w:rFonts w:cs="Times New Roman"/>
          <w:lang w:val="fr-CA"/>
        </w:rPr>
        <w:t xml:space="preserve"> 100 de l’argent recueilli et investi pour financer les activités de l’OWA est fourni par l’industrie via la redevance pour les puits orphelins. Au </w:t>
      </w:r>
      <w:r w:rsidR="00FB6155">
        <w:rPr>
          <w:rFonts w:cs="Times New Roman"/>
          <w:lang w:val="fr-CA"/>
        </w:rPr>
        <w:t>paragraphe</w:t>
      </w:r>
      <w:r w:rsidRPr="00565B7B">
        <w:rPr>
          <w:rFonts w:cs="Times New Roman"/>
          <w:lang w:val="fr-CA"/>
        </w:rPr>
        <w:t xml:space="preserve"> 99 de son mémoire, l’organisme de réglementation laisse entendre indirectement que la province ou le gouvernement fédéral pourrait accorder à l’avenir des fonds supplémentaires à l’OWA mais, même si cette possibilité se concrétise, les fonds seront presque entièrement consentis sous forme de prêts. Je ne peux accepter la proposition des juges dissidents selon laquelle l’organisme de réglementation et l’OWA sont « inextricablement liés » (par. 273). </w:t>
      </w:r>
    </w:p>
    <w:p w:rsidR="00DF13E5" w:rsidRPr="00565B7B" w:rsidRDefault="00DF13E5" w:rsidP="00DF13E5">
      <w:pPr>
        <w:pStyle w:val="ParaNoNdepar-AltN"/>
        <w:rPr>
          <w:rFonts w:cs="Times New Roman"/>
          <w:lang w:val="fr-CA"/>
        </w:rPr>
      </w:pPr>
      <w:r w:rsidRPr="00565B7B">
        <w:rPr>
          <w:rFonts w:cs="Times New Roman"/>
          <w:lang w:val="fr-CA"/>
        </w:rPr>
        <w:lastRenderedPageBreak/>
        <w:t xml:space="preserve">À supposer même que l’abandon par l’OWA des biens de Redwater visés par des permis puisse satisfaire au critère de la « certitude suffisante », je conviens avec la juge Martin qu’il est difficile de conclure à la certitude suffisante que l’OWA se chargera effectivement des travaux d’abandon et qu’il n’y a aucune certitude qu’une demande de remboursement sera présentée si l’OWA finit par abandonner les biens. </w:t>
      </w:r>
    </w:p>
    <w:p w:rsidR="00DF13E5" w:rsidRPr="00565B7B" w:rsidRDefault="00DF13E5" w:rsidP="00DF13E5">
      <w:pPr>
        <w:pStyle w:val="ParaNoNdepar-AltN"/>
        <w:rPr>
          <w:rFonts w:cs="Times New Roman"/>
          <w:lang w:val="fr-CA"/>
        </w:rPr>
      </w:pPr>
      <w:r w:rsidRPr="00565B7B">
        <w:rPr>
          <w:rFonts w:cs="Times New Roman"/>
          <w:lang w:val="fr-CA"/>
        </w:rPr>
        <w:t xml:space="preserve">Les motifs dissidents laissent croire que les faits de l’espèce s’apparentent davantage à ceux de l’affaire </w:t>
      </w:r>
      <w:r w:rsidRPr="00565B7B">
        <w:rPr>
          <w:rFonts w:cs="Times New Roman"/>
          <w:i/>
          <w:lang w:val="fr-CA"/>
        </w:rPr>
        <w:t>Northstar Aerospace Inc., Re</w:t>
      </w:r>
      <w:r w:rsidRPr="00565B7B">
        <w:rPr>
          <w:rFonts w:cs="Times New Roman"/>
          <w:lang w:val="fr-CA"/>
        </w:rPr>
        <w:t xml:space="preserve">, 2013 ONCA 600, 8 C.B.R. (6th) 154, qu’à ceux de </w:t>
      </w:r>
      <w:r w:rsidRPr="00565B7B">
        <w:rPr>
          <w:rFonts w:cs="Times New Roman"/>
          <w:i/>
          <w:lang w:val="fr-CA"/>
        </w:rPr>
        <w:t>Nortel</w:t>
      </w:r>
      <w:r w:rsidRPr="00565B7B">
        <w:rPr>
          <w:rFonts w:cs="Times New Roman"/>
          <w:lang w:val="fr-CA"/>
        </w:rPr>
        <w:t xml:space="preserve"> CA, faisant valoir qu’il est satisfait au critère de la « certitude suffisante » car, tout comme dans </w:t>
      </w:r>
      <w:r w:rsidRPr="00565B7B">
        <w:rPr>
          <w:rFonts w:cs="Times New Roman"/>
          <w:i/>
          <w:lang w:val="fr-CA"/>
        </w:rPr>
        <w:t>Northstar</w:t>
      </w:r>
      <w:r w:rsidRPr="00565B7B">
        <w:rPr>
          <w:rFonts w:cs="Times New Roman"/>
          <w:lang w:val="fr-CA"/>
        </w:rPr>
        <w:t>, personne ne veut acheter les biens de Redwater et la débitrice elle</w:t>
      </w:r>
      <w:r w:rsidRPr="00565B7B">
        <w:rPr>
          <w:rFonts w:cs="Times New Roman"/>
          <w:lang w:val="fr-CA"/>
        </w:rPr>
        <w:noBreakHyphen/>
        <w:t xml:space="preserve">même est insolvable; en conséquence, seule l’OWA peut exécuter les travaux. Il me semble facile de distinguer l’affaire </w:t>
      </w:r>
      <w:r w:rsidRPr="00565B7B">
        <w:rPr>
          <w:rFonts w:cs="Times New Roman"/>
          <w:i/>
          <w:lang w:val="fr-CA"/>
        </w:rPr>
        <w:t>Northstar</w:t>
      </w:r>
      <w:r w:rsidRPr="00565B7B">
        <w:rPr>
          <w:rFonts w:cs="Times New Roman"/>
          <w:lang w:val="fr-CA"/>
        </w:rPr>
        <w:t xml:space="preserve"> de celle qui nous occupe. Dans cette affaire, le failli effectuait de son plein gré des travaux de décontamination avant sa faillite. Après que le failli eu fait cession de ses biens, le ministre de l’Environnement (« ME ») a pris lui</w:t>
      </w:r>
      <w:r w:rsidRPr="00565B7B">
        <w:rPr>
          <w:rFonts w:cs="Times New Roman"/>
          <w:lang w:val="fr-CA"/>
        </w:rPr>
        <w:noBreakHyphen/>
        <w:t xml:space="preserve">même la relève des activités de décontamination et il entendait le faire sans préjudice. Selon le juge Jurianz, comme le ME avait déjà entrepris des activités de décontamination, il était suffisamment certain qu’il s’en occuperait. Comme je le démontrerai maintenant, les faits de l’espèce sont fort différents. </w:t>
      </w:r>
    </w:p>
    <w:p w:rsidR="00DF13E5" w:rsidRPr="00565B7B" w:rsidRDefault="00DF13E5" w:rsidP="00DF13E5">
      <w:pPr>
        <w:pStyle w:val="ParaNoNdepar-AltN"/>
        <w:rPr>
          <w:rFonts w:cs="Times New Roman"/>
          <w:lang w:val="fr-CA"/>
        </w:rPr>
      </w:pPr>
      <w:r w:rsidRPr="00565B7B">
        <w:rPr>
          <w:rFonts w:cs="Times New Roman"/>
          <w:lang w:val="fr-CA"/>
        </w:rPr>
        <w:t xml:space="preserve">Au début du présent litige, l’OWA a estimé qu’il lui faudrait de </w:t>
      </w:r>
      <w:r w:rsidR="00FB6155">
        <w:rPr>
          <w:rFonts w:cs="Times New Roman"/>
          <w:lang w:val="fr-CA"/>
        </w:rPr>
        <w:t>10</w:t>
      </w:r>
      <w:r w:rsidRPr="00565B7B">
        <w:rPr>
          <w:rFonts w:cs="Times New Roman"/>
          <w:lang w:val="fr-CA"/>
        </w:rPr>
        <w:t xml:space="preserve"> à </w:t>
      </w:r>
      <w:r w:rsidR="00FB6155">
        <w:rPr>
          <w:rFonts w:cs="Times New Roman"/>
          <w:lang w:val="fr-CA"/>
        </w:rPr>
        <w:t>12</w:t>
      </w:r>
      <w:r w:rsidRPr="00565B7B">
        <w:rPr>
          <w:rFonts w:cs="Times New Roman"/>
          <w:lang w:val="fr-CA"/>
        </w:rPr>
        <w:t xml:space="preserve"> ans pour résorber l’arriéré d’orphelins. Cet arriéré augmentait rapidement en 2015 et il peut fort bien avoir continué de croître tout aussi ou encore plus rapidement au cours des années suivantes, comme le soutient l’organisme de réglementation. Cela tend plutôt à établir que l’arriéré pourrait encore augmenter. Rien n’indique qu’une priorité </w:t>
      </w:r>
      <w:r w:rsidRPr="00565B7B">
        <w:rPr>
          <w:rFonts w:cs="Times New Roman"/>
          <w:lang w:val="fr-CA"/>
        </w:rPr>
        <w:lastRenderedPageBreak/>
        <w:t xml:space="preserve">particulièrement grande serait accordée dans l’arriéré aux biens faisant l’objet de la renonciation. Même si la possibilité d’attribuer des fonds supplémentaires se concrétise, l’organisme de réglementation fait valoir que cela prendra une génération ou plus avant que l’OWA ne puisse s’occuper de son inventaire actuel d’orphelins. </w:t>
      </w:r>
    </w:p>
    <w:p w:rsidR="00DF13E5" w:rsidRPr="00565B7B" w:rsidRDefault="00DF13E5" w:rsidP="00DF13E5">
      <w:pPr>
        <w:pStyle w:val="ParaNoNdepar-AltN"/>
        <w:rPr>
          <w:rFonts w:cs="Times New Roman"/>
          <w:lang w:val="fr-CA"/>
        </w:rPr>
      </w:pPr>
      <w:r w:rsidRPr="00565B7B">
        <w:rPr>
          <w:rFonts w:cs="Times New Roman"/>
          <w:lang w:val="fr-CA"/>
        </w:rPr>
        <w:t xml:space="preserve">Les motifs dissidents se fondent sur la conclusion du juge siégeant en cabinet selon laquelle l’OWA effectuerait « probablement » le processus d’abandon, tout en minimisant le fait qu’il a également conclu que l’OWA ne le ferait pas « nécessairement dans un délai précis » (par. 261 et 278, citant les motifs du juge siégeant en cabinet, par. 173). Vu l’échéancier le plus conservateur — celui de </w:t>
      </w:r>
      <w:r w:rsidR="00FB6155">
        <w:rPr>
          <w:rFonts w:cs="Times New Roman"/>
          <w:lang w:val="fr-CA"/>
        </w:rPr>
        <w:t>10</w:t>
      </w:r>
      <w:r w:rsidRPr="00565B7B">
        <w:rPr>
          <w:rFonts w:cs="Times New Roman"/>
          <w:lang w:val="fr-CA"/>
        </w:rPr>
        <w:t xml:space="preserve"> ans dont a parlé le juge siégeant en cabinet —, il est difficile de prédire quoi que ce soit avec une certitude suffisante. La donne pourrait changer considérablement au cours de la prochaine décennie, tant au chapitre de la politique gouvernementale qu’à celui de la volonté de l’industrie pétrolière et gazière de l’Alberta de s’acquitter de ses responsabilités environnementales. Il ne s’agit pas du tout de la même situation que dans </w:t>
      </w:r>
      <w:r w:rsidRPr="00565B7B">
        <w:rPr>
          <w:rFonts w:cs="Times New Roman"/>
          <w:i/>
          <w:lang w:val="fr-CA"/>
        </w:rPr>
        <w:t>Northstar</w:t>
      </w:r>
      <w:r w:rsidRPr="00565B7B">
        <w:rPr>
          <w:rFonts w:cs="Times New Roman"/>
          <w:lang w:val="fr-CA"/>
        </w:rPr>
        <w:t xml:space="preserve">, où le ME avait déjà amorcé les travaux environnementaux. </w:t>
      </w:r>
    </w:p>
    <w:p w:rsidR="00DF13E5" w:rsidRPr="00565B7B" w:rsidRDefault="00DF13E5" w:rsidP="00DF13E5">
      <w:pPr>
        <w:pStyle w:val="ParaNoNdepar-AltN"/>
        <w:rPr>
          <w:rFonts w:cs="Times New Roman"/>
          <w:lang w:val="fr-CA"/>
        </w:rPr>
      </w:pPr>
      <w:r w:rsidRPr="00565B7B">
        <w:rPr>
          <w:rFonts w:cs="Times New Roman"/>
          <w:lang w:val="fr-CA"/>
        </w:rPr>
        <w:t>Plus particulièrement, ce long échéancier garantit que, s’il finit par exécuter les travaux, l’OWA ne présentera pas de demande de remboursement. La présentation de la demande est un élément tout aussi essentiel du critère que l’exécution des travaux. L’OWA lui</w:t>
      </w:r>
      <w:r w:rsidRPr="00565B7B">
        <w:rPr>
          <w:rFonts w:cs="Times New Roman"/>
          <w:lang w:val="fr-CA"/>
        </w:rPr>
        <w:noBreakHyphen/>
        <w:t>même ne peut faire rembourser ses frais par les titulaires de permis et, même si les coûts des processus d’abandon effectués par la personne autorisée par l’organisme de réglementation constituent une dette payable à cet organisme suivant le par. 30(5) de l’</w:t>
      </w:r>
      <w:r w:rsidRPr="00277B0C">
        <w:rPr>
          <w:rFonts w:cs="Times New Roman"/>
          <w:i/>
          <w:lang w:val="fr-CA"/>
        </w:rPr>
        <w:t>OGCA</w:t>
      </w:r>
      <w:r w:rsidRPr="00565B7B">
        <w:rPr>
          <w:rFonts w:cs="Times New Roman"/>
          <w:lang w:val="fr-CA"/>
        </w:rPr>
        <w:t xml:space="preserve">, on n’a produit aucune preuve montrant que l’organisme de réglementation a exercé son pouvoir de recouvrer ces frais dans des cas analogues, et </w:t>
      </w:r>
      <w:r w:rsidRPr="00565B7B">
        <w:rPr>
          <w:rFonts w:cs="Times New Roman"/>
          <w:lang w:val="fr-CA"/>
        </w:rPr>
        <w:lastRenderedPageBreak/>
        <w:t>pour cause : le fait est qu’au moment où l’OWA en arriverait à abandonner l’un ou l’autre des puits de Redwater, la liquidation de l’actif serait terminée et GTL serait libéré depuis longtemps. En somme, le juge siégeant en cabinet a eu tort de ne pas se demander si l’OWA peut être assimilé à l’organisme de réglementation et en ne considérant pas que, même s’il peut l’être, il n’est pas suffisamment certain qu’il effectuera dans les faits le processus d’abandon et présentera une demande de remboursement.</w:t>
      </w:r>
    </w:p>
    <w:p w:rsidR="00DF13E5" w:rsidRPr="00565B7B" w:rsidRDefault="00DF13E5" w:rsidP="00DF13E5">
      <w:pPr>
        <w:pStyle w:val="ParaNoNdepar-AltN"/>
        <w:rPr>
          <w:rFonts w:cs="Times New Roman"/>
          <w:lang w:val="fr-CA"/>
        </w:rPr>
      </w:pPr>
      <w:r w:rsidRPr="00565B7B">
        <w:rPr>
          <w:rFonts w:cs="Times New Roman"/>
          <w:lang w:val="fr-CA"/>
        </w:rPr>
        <w:t xml:space="preserve">En conséquence, même si l’organisme de réglementation avait agi comme un créancier en rendant les ordonnances, on ne saurait dire avec une certitude suffisante qu’il effectuerait les processus d’abandon et présenterait une demande de remboursement. </w:t>
      </w:r>
    </w:p>
    <w:p w:rsidR="00DF13E5" w:rsidRPr="00565B7B" w:rsidRDefault="00DF13E5" w:rsidP="00DF13E5">
      <w:pPr>
        <w:pStyle w:val="Title4LevelTitre4Niveau"/>
        <w:rPr>
          <w:rFonts w:cs="Times New Roman"/>
          <w:lang w:val="fr-CA"/>
        </w:rPr>
      </w:pPr>
      <w:r w:rsidRPr="00565B7B">
        <w:rPr>
          <w:rFonts w:cs="Times New Roman"/>
          <w:lang w:val="fr-CA"/>
        </w:rPr>
        <w:t>Les conditions liées au transfert de permis</w:t>
      </w:r>
    </w:p>
    <w:p w:rsidR="00DF13E5" w:rsidRPr="00565B7B" w:rsidRDefault="00DF13E5" w:rsidP="00DF13E5">
      <w:pPr>
        <w:pStyle w:val="ParaNoNdepar-AltN"/>
        <w:rPr>
          <w:rFonts w:cs="Times New Roman"/>
          <w:lang w:val="fr-CA"/>
        </w:rPr>
      </w:pPr>
      <w:r w:rsidRPr="00565B7B">
        <w:rPr>
          <w:rFonts w:cs="Times New Roman"/>
          <w:lang w:val="fr-CA"/>
        </w:rPr>
        <w:t xml:space="preserve">Je traiterai brièvement des conditions relatives à la CGR dont est assorti le transfert de permis. Une grande partie de l’analyse qui précède concernant les ordonnances d’abandon vaut tout autant pour ces conditions. Comme l’a souligné la juge Martin, il est difficile de comparer directement la nécessité d’obtenir une approbation réglementaire pour les transferts de permis et les ordonnances de décontamination en litige dans </w:t>
      </w:r>
      <w:r w:rsidRPr="00565B7B">
        <w:rPr>
          <w:rFonts w:cs="Times New Roman"/>
          <w:i/>
          <w:lang w:val="fr-CA"/>
        </w:rPr>
        <w:t>Abitibi</w:t>
      </w:r>
      <w:r w:rsidRPr="00565B7B">
        <w:rPr>
          <w:rFonts w:cs="Times New Roman"/>
          <w:lang w:val="fr-CA"/>
        </w:rPr>
        <w:t>. Or, notre Cour a confirmé aux par. 54</w:t>
      </w:r>
      <w:r w:rsidR="00277B0C">
        <w:rPr>
          <w:rFonts w:cs="Times New Roman"/>
          <w:lang w:val="fr-CA"/>
        </w:rPr>
        <w:t>-</w:t>
      </w:r>
      <w:r w:rsidRPr="00565B7B">
        <w:rPr>
          <w:rFonts w:cs="Times New Roman"/>
          <w:lang w:val="fr-CA"/>
        </w:rPr>
        <w:t xml:space="preserve">55 de </w:t>
      </w:r>
      <w:r w:rsidRPr="00565B7B">
        <w:rPr>
          <w:rFonts w:cs="Times New Roman"/>
          <w:i/>
          <w:lang w:val="fr-CA"/>
        </w:rPr>
        <w:t>Moloney</w:t>
      </w:r>
      <w:r w:rsidRPr="00565B7B">
        <w:rPr>
          <w:rFonts w:cs="Times New Roman"/>
          <w:lang w:val="fr-CA"/>
        </w:rPr>
        <w:t xml:space="preserve"> que le critère d’</w:t>
      </w:r>
      <w:r w:rsidRPr="00565B7B">
        <w:rPr>
          <w:rFonts w:cs="Times New Roman"/>
          <w:i/>
          <w:lang w:val="fr-CA"/>
        </w:rPr>
        <w:t>Abitibi</w:t>
      </w:r>
      <w:r w:rsidRPr="00565B7B">
        <w:rPr>
          <w:rFonts w:cs="Times New Roman"/>
          <w:lang w:val="fr-CA"/>
        </w:rPr>
        <w:t xml:space="preserve"> s’applique à une catégorie d’obligations réglementaires plus large que les « ordonnances ». Les conditions relatives à la CGR forment une « obligation non pécuniaire » de l’actif de Redwater, car elles doivent être remplies avant que l’organisme de réglementation n’approuve le transfert de tout permis de Redwater. Cependant, il convient de noter que, même mises à part les </w:t>
      </w:r>
      <w:r w:rsidRPr="00565B7B">
        <w:rPr>
          <w:rFonts w:cs="Times New Roman"/>
          <w:lang w:val="fr-CA"/>
        </w:rPr>
        <w:lastRenderedPageBreak/>
        <w:t>conditions relatives à la CGR, les permis sont loin d’être librement transférables. L’organisme n’approuvera pas le transfert des permis si le cessionnaire n’est pas un titulaire de permis au sens de l’</w:t>
      </w:r>
      <w:r w:rsidRPr="00277B0C">
        <w:rPr>
          <w:rFonts w:cs="Times New Roman"/>
          <w:i/>
          <w:lang w:val="fr-CA"/>
        </w:rPr>
        <w:t>OGCA</w:t>
      </w:r>
      <w:r w:rsidRPr="00565B7B">
        <w:rPr>
          <w:rFonts w:cs="Times New Roman"/>
          <w:lang w:val="fr-CA"/>
        </w:rPr>
        <w:t xml:space="preserve"> ou de la </w:t>
      </w:r>
      <w:r w:rsidRPr="00565B7B">
        <w:rPr>
          <w:rFonts w:cs="Times New Roman"/>
          <w:i/>
          <w:lang w:val="fr-CA"/>
        </w:rPr>
        <w:t xml:space="preserve">Pipeline Act </w:t>
      </w:r>
      <w:r w:rsidRPr="00565B7B">
        <w:rPr>
          <w:rFonts w:cs="Times New Roman"/>
          <w:lang w:val="fr-CA"/>
        </w:rPr>
        <w:t>ou des deux. L’organisme de réglementation se réserve également le droit de rejeter un transfert proposé lorsqu’il juge que le transfert n’est pas dans l’intérêt public, comme dans un cas où le cessionnaire a des problèmes non résolus touchant à la conformité.</w:t>
      </w:r>
    </w:p>
    <w:p w:rsidR="00DF13E5" w:rsidRPr="00565B7B" w:rsidRDefault="00DF13E5" w:rsidP="00DF13E5">
      <w:pPr>
        <w:pStyle w:val="ParaNoNdepar-AltN"/>
        <w:rPr>
          <w:rFonts w:cs="Times New Roman"/>
          <w:lang w:val="fr-CA"/>
        </w:rPr>
      </w:pPr>
      <w:r w:rsidRPr="00565B7B">
        <w:rPr>
          <w:rFonts w:cs="Times New Roman"/>
          <w:lang w:val="fr-CA"/>
        </w:rPr>
        <w:t>En un sens, les facteurs laissant croire qu’il n’y a pas de certitude suffisante militent encore plus fortement en faveur des exigences relatives à la CGR que des ordonnances d’abandon. L’</w:t>
      </w:r>
      <w:r w:rsidRPr="00E607AD">
        <w:rPr>
          <w:rFonts w:cs="Times New Roman"/>
          <w:i/>
          <w:lang w:val="fr-CA"/>
        </w:rPr>
        <w:t>OGCA</w:t>
      </w:r>
      <w:r w:rsidRPr="00565B7B">
        <w:rPr>
          <w:rFonts w:cs="Times New Roman"/>
          <w:lang w:val="fr-CA"/>
        </w:rPr>
        <w:t xml:space="preserve"> et la </w:t>
      </w:r>
      <w:r w:rsidRPr="00565B7B">
        <w:rPr>
          <w:rFonts w:cs="Times New Roman"/>
          <w:i/>
          <w:lang w:val="fr-CA"/>
        </w:rPr>
        <w:t xml:space="preserve">Pipeline Act </w:t>
      </w:r>
      <w:r w:rsidRPr="00565B7B">
        <w:rPr>
          <w:rFonts w:cs="Times New Roman"/>
          <w:lang w:val="fr-CA"/>
        </w:rPr>
        <w:t xml:space="preserve">prévoient un régime de recouvrement de créances en matière d’abandon, mais il n’existe aucun régime de ce genre pour les exigences liées à la CGR. Le refus de l’organisme de réglementation d’approuver les transferts de permis jusqu’à ce que ces exigences aient été satisfaites ne lui donne pas une réclamation pécuniaire contre Redwater. Certes, le respect des exigences relatives à la CGR entraîne une diminution de la valeur de l’actif du failli. Toutefois, comme nous l’avons vu plus tôt, toute obligation qui diminue la valeur de l’actif du failli, et donc la somme que peuvent recouvrer les créanciers garantis, ne franchit pas nécessairement l’étape de la « certitude suffisante ». Il ne s’agit pas de savoir si une obligation est intrinsèquement financière. </w:t>
      </w:r>
    </w:p>
    <w:p w:rsidR="00DF13E5" w:rsidRPr="00565B7B" w:rsidRDefault="00DF13E5" w:rsidP="00DF13E5">
      <w:pPr>
        <w:pStyle w:val="ParaNoNdepar-AltN"/>
        <w:rPr>
          <w:rFonts w:cs="Times New Roman"/>
          <w:lang w:val="fr-CA"/>
        </w:rPr>
      </w:pPr>
      <w:r w:rsidRPr="00565B7B">
        <w:rPr>
          <w:rFonts w:cs="Times New Roman"/>
          <w:lang w:val="fr-CA"/>
        </w:rPr>
        <w:t xml:space="preserve">Le respect des conditions liées à la CGR avant le transfert des permis reflète la valeur inhérente des biens détenus par l’actif du failli. Sans les permis, les profits à prendre appartenant à Redwater ont, au mieux, peu de valeur. Tous les permis détenus par Redwater ont été reçus par elle, sous réserve d’obligations de fin de vie qui prendraient naissance un jour. Ces obligations constituent une part fondamentale de la </w:t>
      </w:r>
      <w:r w:rsidRPr="00565B7B">
        <w:rPr>
          <w:rFonts w:cs="Times New Roman"/>
          <w:lang w:val="fr-CA"/>
        </w:rPr>
        <w:lastRenderedPageBreak/>
        <w:t xml:space="preserve">valeur des biens visés par des permis, comme si les frais connexes avaient été payés d’emblée. Ayant reçu le bénéfice des biens faisant l’objet de la renonciation pendant la période productive de leur cycle de vie, Redwater ne peut plus éviter les engagements connexes. Cette interprétation concorde avec l’arrêt </w:t>
      </w:r>
      <w:r w:rsidRPr="00565B7B">
        <w:rPr>
          <w:rFonts w:cs="Times New Roman"/>
          <w:i/>
          <w:lang w:val="fr-CA"/>
        </w:rPr>
        <w:t>Daishowa</w:t>
      </w:r>
      <w:r w:rsidRPr="00565B7B">
        <w:rPr>
          <w:rFonts w:cs="Times New Roman"/>
          <w:i/>
          <w:lang w:val="fr-CA"/>
        </w:rPr>
        <w:noBreakHyphen/>
        <w:t>Marubeni International Ltd. c. Canada</w:t>
      </w:r>
      <w:r w:rsidRPr="00565B7B">
        <w:rPr>
          <w:rFonts w:cs="Times New Roman"/>
          <w:lang w:val="fr-CA"/>
        </w:rPr>
        <w:t>, 2013 CSC 29, [2013] 2 R.C.S. 336, qui portait sur les obligations légales de reboisement des détenteurs de tenures forestières en Alberta. Notre Cour a conclu à l’unanimité que les obligations relatives au reboisement constituaient « un coût futur inhérent à la tenure forestière qui a pour effet d’en diminuer la valeur au moment de la vente » (par. 29).</w:t>
      </w:r>
    </w:p>
    <w:p w:rsidR="00DF13E5" w:rsidRPr="00565B7B" w:rsidRDefault="00DF13E5" w:rsidP="00DF13E5">
      <w:pPr>
        <w:pStyle w:val="ParaNoNdepar-AltN"/>
        <w:rPr>
          <w:rFonts w:cs="Times New Roman"/>
          <w:lang w:val="fr-CA"/>
        </w:rPr>
      </w:pPr>
      <w:r w:rsidRPr="00565B7B">
        <w:rPr>
          <w:rFonts w:cs="Times New Roman"/>
          <w:lang w:val="fr-CA"/>
        </w:rPr>
        <w:t>La possibilité que des exigences réglementaires coûtent de l’argent ne les transforme pas en régimes de recouvrement de créances. Comme l’a fait remarquer la juge Martin, les exigences en matière de permis précèdent la faillite et s’appliquent à tous les titulaires de permis, peu importe leur solvabilité. GTL ne conteste pas le fait que les permis de Redwater ne peuvent être transférés qu’à d’autres titulaires de permis, ni le fait que l’organisme de réglementation conserve le pouvoir, dans les situations qui s’y prêtent, de rejeter les transferts proposés en raison de préoccupations relatives à la sécurité ou à la conformité. Il n’y a aucune différence entre ces conditions et celle voulant que l’organisme de réglementation n’approuve pas les transferts qui laisseraient en suspens l’exigence de satisfaire aux obligations de fin de vie. Toutes ces conditions réglementaires font baisser la valeur des biens visés par des permis. Aucune ne donne naissance à une réclamation pécuniaire en faveur de l’organisme de réglementation. Les exigences en matière de permis subsistent pendant la faillite, et il n’y a aucune raison pour laquelle GTL ne peut s’y conformer.</w:t>
      </w:r>
    </w:p>
    <w:p w:rsidR="00DF13E5" w:rsidRPr="00565B7B" w:rsidRDefault="00DF13E5" w:rsidP="00DF13E5">
      <w:pPr>
        <w:pStyle w:val="Title3LevelTitre3Niveau"/>
        <w:rPr>
          <w:rFonts w:cs="Times New Roman"/>
          <w:lang w:val="fr-CA"/>
        </w:rPr>
      </w:pPr>
      <w:r w:rsidRPr="00565B7B">
        <w:rPr>
          <w:rFonts w:cs="Times New Roman"/>
          <w:lang w:val="fr-CA"/>
        </w:rPr>
        <w:lastRenderedPageBreak/>
        <w:t>Conclusion sur le critère d’</w:t>
      </w:r>
      <w:r w:rsidRPr="00565B7B">
        <w:rPr>
          <w:rFonts w:cs="Times New Roman"/>
          <w:i/>
          <w:lang w:val="fr-CA"/>
        </w:rPr>
        <w:t>Abitibi</w:t>
      </w:r>
    </w:p>
    <w:p w:rsidR="00DF13E5" w:rsidRPr="00565B7B" w:rsidRDefault="00DF13E5" w:rsidP="00DF13E5">
      <w:pPr>
        <w:pStyle w:val="ParaNoNdepar-AltN"/>
        <w:rPr>
          <w:rFonts w:cs="Times New Roman"/>
          <w:lang w:val="fr-CA"/>
        </w:rPr>
      </w:pPr>
      <w:r w:rsidRPr="00565B7B">
        <w:rPr>
          <w:rFonts w:cs="Times New Roman"/>
          <w:lang w:val="fr-CA"/>
        </w:rPr>
        <w:t xml:space="preserve">En conséquence, les obligations de fin de vie incombant à GTL ne sont pas des réclamations prouvables dans la faillite de Redwater et n’entrent donc pas en conflit avec le régime de priorité général instauré dans la </w:t>
      </w:r>
      <w:r w:rsidRPr="00E607AD">
        <w:rPr>
          <w:rFonts w:cs="Times New Roman"/>
          <w:i/>
          <w:lang w:val="fr-CA"/>
        </w:rPr>
        <w:t>LFI</w:t>
      </w:r>
      <w:r w:rsidRPr="00565B7B">
        <w:rPr>
          <w:rFonts w:cs="Times New Roman"/>
          <w:lang w:val="fr-CA"/>
        </w:rPr>
        <w:t xml:space="preserve">. Ce n’est pas une simple question de forme, mais de fond. Obliger Redwater à payer l’abandon avant de répartir la valeur entre les créanciers ne perturbe pas le régime de priorité établi dans la </w:t>
      </w:r>
      <w:r w:rsidRPr="00E607AD">
        <w:rPr>
          <w:rFonts w:cs="Times New Roman"/>
          <w:i/>
          <w:lang w:val="fr-CA"/>
        </w:rPr>
        <w:t>LFI</w:t>
      </w:r>
      <w:r w:rsidRPr="00565B7B">
        <w:rPr>
          <w:rFonts w:cs="Times New Roman"/>
          <w:lang w:val="fr-CA"/>
        </w:rPr>
        <w:t xml:space="preserve">. Au moment d’élaborer ce régime, le Parlement voulait permettre aux organismes de réglementation d’imposer une charge prioritaire sur le bien réel du failli touché par un fait ou dommage lié à l’environnement en vue de financer la décontamination (voir le par. 14.06(7)). Ainsi, la </w:t>
      </w:r>
      <w:r w:rsidRPr="00E607AD">
        <w:rPr>
          <w:rFonts w:cs="Times New Roman"/>
          <w:i/>
          <w:lang w:val="fr-CA"/>
        </w:rPr>
        <w:t>LFI</w:t>
      </w:r>
      <w:r w:rsidRPr="00565B7B">
        <w:rPr>
          <w:rFonts w:cs="Times New Roman"/>
          <w:lang w:val="fr-CA"/>
        </w:rPr>
        <w:t xml:space="preserve"> envisage explicitement la possibilité que des organismes de réglementation tire une valeur des biens réels du failli touchés par un fait ou dommage lié à l’environnement. Bien que l’organisme de réglementation n’ai</w:t>
      </w:r>
      <w:r>
        <w:rPr>
          <w:rFonts w:cs="Times New Roman"/>
          <w:lang w:val="fr-CA"/>
        </w:rPr>
        <w:t>t</w:t>
      </w:r>
      <w:r w:rsidRPr="00565B7B">
        <w:rPr>
          <w:rFonts w:cs="Times New Roman"/>
          <w:lang w:val="fr-CA"/>
        </w:rPr>
        <w:t xml:space="preserve"> pu se prévaloir du par. 14.06(7), compte tenu de la nature de la propriété des biens dans l’industrie pétrolière et gazière de l’Alberta, les ordonnances d’abandon et la CGR reproduisent l’effet du par. 14.06(7) en l’espèce. De plus, il importe de souligner que les seuls biens de valeur de Redwater étaient touchés par un fait ou dommage lié à l’environnement. Les ordonnances d’abandon et exigences relatives à la CGR n’avaient donc pas pour objet de forcer Redwater à s’acquitter des obligations de fin de vie avec des biens étrangers au fait ou dommage lié à l’environnement. Autrement dit, la reconnaissance que les ordonnances d’abandon et exigences relatives à la CGR ne sont pas des réclamations prouvables en l’espèce facilite l’atteinte des objets de la </w:t>
      </w:r>
      <w:r w:rsidRPr="00E607AD">
        <w:rPr>
          <w:rFonts w:cs="Times New Roman"/>
          <w:i/>
          <w:lang w:val="fr-CA"/>
        </w:rPr>
        <w:t>LFI</w:t>
      </w:r>
      <w:r w:rsidRPr="00565B7B">
        <w:rPr>
          <w:rFonts w:cs="Times New Roman"/>
          <w:lang w:val="fr-CA"/>
        </w:rPr>
        <w:t xml:space="preserve"> au lieu de la contrecarrer. </w:t>
      </w:r>
    </w:p>
    <w:p w:rsidR="00DF13E5" w:rsidRPr="00565B7B" w:rsidRDefault="00DF13E5" w:rsidP="00DF13E5">
      <w:pPr>
        <w:pStyle w:val="ParaNoNdepar-AltN"/>
        <w:rPr>
          <w:rFonts w:cs="Times New Roman"/>
          <w:lang w:val="fr-CA"/>
        </w:rPr>
      </w:pPr>
      <w:r w:rsidRPr="00565B7B">
        <w:rPr>
          <w:rFonts w:cs="Times New Roman"/>
          <w:lang w:val="fr-CA"/>
        </w:rPr>
        <w:lastRenderedPageBreak/>
        <w:t xml:space="preserve">La faillite n’est pas un permis de faire abstraction des règles, et les professionnels de l’insolvabilité sont liés par les lois provinciales valides au cours de la faillite. </w:t>
      </w:r>
      <w:r>
        <w:rPr>
          <w:rFonts w:cs="Times New Roman"/>
          <w:lang w:val="fr-CA"/>
        </w:rPr>
        <w:t>À titre d’</w:t>
      </w:r>
      <w:r w:rsidRPr="00565B7B">
        <w:rPr>
          <w:rFonts w:cs="Times New Roman"/>
          <w:lang w:val="fr-CA"/>
        </w:rPr>
        <w:t xml:space="preserve">exemple, ils doivent respecter les obligations non pécuniaires liant l’actif du failli qui ne peuvent être réduites à des réclamations prouvables et dont les effets n’entrent pas en conflit avec la </w:t>
      </w:r>
      <w:r w:rsidRPr="00E607AD">
        <w:rPr>
          <w:rFonts w:cs="Times New Roman"/>
          <w:i/>
          <w:lang w:val="fr-CA"/>
        </w:rPr>
        <w:t>LFI</w:t>
      </w:r>
      <w:r w:rsidRPr="00565B7B">
        <w:rPr>
          <w:rFonts w:cs="Times New Roman"/>
          <w:lang w:val="fr-CA"/>
        </w:rPr>
        <w:t xml:space="preserve">, sans égard aux répercussions que cela peut avoir sur les créanciers garantis du failli. Les ordonnances d’abandon et exigences relatives à la CGR reposent sur des lois provinciales valides d’application générale et elles représentent exactement le genre de loi provinciale valide sur lequel se fonde la </w:t>
      </w:r>
      <w:r w:rsidRPr="00E607AD">
        <w:rPr>
          <w:rFonts w:cs="Times New Roman"/>
          <w:i/>
          <w:lang w:val="fr-CA"/>
        </w:rPr>
        <w:t>LFI</w:t>
      </w:r>
      <w:r w:rsidRPr="00565B7B">
        <w:rPr>
          <w:rFonts w:cs="Times New Roman"/>
          <w:lang w:val="fr-CA"/>
        </w:rPr>
        <w:t xml:space="preserve">. Tel qu’il est signalé dans </w:t>
      </w:r>
      <w:r w:rsidRPr="00565B7B">
        <w:rPr>
          <w:rFonts w:cs="Times New Roman"/>
          <w:i/>
          <w:lang w:val="fr-CA"/>
        </w:rPr>
        <w:t>Moloney</w:t>
      </w:r>
      <w:r w:rsidRPr="00565B7B">
        <w:rPr>
          <w:rFonts w:cs="Times New Roman"/>
          <w:lang w:val="fr-CA"/>
        </w:rPr>
        <w:t xml:space="preserve">, la </w:t>
      </w:r>
      <w:r w:rsidRPr="00E607AD">
        <w:rPr>
          <w:rFonts w:cs="Times New Roman"/>
          <w:i/>
          <w:lang w:val="fr-CA"/>
        </w:rPr>
        <w:t>LFI</w:t>
      </w:r>
      <w:r w:rsidRPr="00565B7B">
        <w:rPr>
          <w:rFonts w:cs="Times New Roman"/>
          <w:lang w:val="fr-CA"/>
        </w:rPr>
        <w:t xml:space="preserve"> indique clairement que « [l]a propriété de certains biens et l’existence de dettes particulières relèvent du droit provincial » (par. 40). Les obligations de fin de vie sont imposées par des lois provinciales valides qui définissent les contours de l’actif du failli susceptible d’être partagé. </w:t>
      </w:r>
    </w:p>
    <w:p w:rsidR="00DF13E5" w:rsidRDefault="00DF13E5" w:rsidP="00DF13E5">
      <w:pPr>
        <w:pStyle w:val="ParaNoNdepar-AltN"/>
        <w:rPr>
          <w:rFonts w:cs="Times New Roman"/>
          <w:lang w:val="fr-CA"/>
        </w:rPr>
      </w:pPr>
      <w:r w:rsidRPr="00565B7B">
        <w:rPr>
          <w:rFonts w:cs="Times New Roman"/>
          <w:lang w:val="fr-CA"/>
        </w:rPr>
        <w:t xml:space="preserve">Enfin, rappelons que l’objet général de la </w:t>
      </w:r>
      <w:r w:rsidRPr="00E607AD">
        <w:rPr>
          <w:rFonts w:cs="Times New Roman"/>
          <w:i/>
          <w:lang w:val="fr-CA"/>
        </w:rPr>
        <w:t>LFI</w:t>
      </w:r>
      <w:r w:rsidRPr="00565B7B">
        <w:rPr>
          <w:rFonts w:cs="Times New Roman"/>
          <w:lang w:val="fr-CA"/>
        </w:rPr>
        <w:t xml:space="preserve"> de favoriser la réhabilitation financière ne concerne pas une société comme Redwater. Les sociétés n’ayant pas assez de biens pour satisfaire leurs créanciers ne seront jamais libérées de leur faillite puisqu’elles ne peuvent acquitter entièrement toutes les réclamations de leurs créanciers (</w:t>
      </w:r>
      <w:r w:rsidRPr="00E607AD">
        <w:rPr>
          <w:rFonts w:cs="Times New Roman"/>
          <w:i/>
          <w:lang w:val="fr-CA"/>
        </w:rPr>
        <w:t>LFI</w:t>
      </w:r>
      <w:r w:rsidRPr="00565B7B">
        <w:rPr>
          <w:rFonts w:cs="Times New Roman"/>
          <w:lang w:val="fr-CA"/>
        </w:rPr>
        <w:t>, par. 169(4)). Ainsi, la conclusion selon laquelle les obligations de fin de vie incombant à Redwater ne sont pas des réclamations prouvables n’est à l’origine d’aucun conflit avec cet objet.</w:t>
      </w:r>
    </w:p>
    <w:p w:rsidR="00DF13E5" w:rsidRPr="00E75558" w:rsidRDefault="00E75558" w:rsidP="00E75558">
      <w:pPr>
        <w:pStyle w:val="Title1LevelTitre1Niveau-AltL"/>
        <w:rPr>
          <w:lang w:val="fr-CA"/>
        </w:rPr>
      </w:pPr>
      <w:r>
        <w:rPr>
          <w:lang w:val="fr-CA"/>
        </w:rPr>
        <w:t>Conclusion</w:t>
      </w:r>
    </w:p>
    <w:p w:rsidR="00DF13E5" w:rsidRPr="00565B7B" w:rsidRDefault="00DF13E5" w:rsidP="00DF13E5">
      <w:pPr>
        <w:pStyle w:val="ParaNoNdepar-AltN"/>
        <w:rPr>
          <w:rFonts w:cs="Times New Roman"/>
          <w:lang w:val="fr-CA"/>
        </w:rPr>
      </w:pPr>
      <w:r w:rsidRPr="00565B7B">
        <w:rPr>
          <w:rFonts w:cs="Times New Roman"/>
          <w:lang w:val="fr-CA"/>
        </w:rPr>
        <w:t xml:space="preserve">Il </w:t>
      </w:r>
      <w:r>
        <w:rPr>
          <w:rFonts w:cs="Times New Roman"/>
          <w:lang w:val="fr-CA"/>
        </w:rPr>
        <w:t>n’</w:t>
      </w:r>
      <w:r w:rsidRPr="00565B7B">
        <w:rPr>
          <w:rFonts w:cs="Times New Roman"/>
          <w:lang w:val="fr-CA"/>
        </w:rPr>
        <w:t xml:space="preserve">y a aucun conflit entre le régime de réglementation de l’Alberta et la </w:t>
      </w:r>
      <w:r w:rsidRPr="00E607AD">
        <w:rPr>
          <w:rFonts w:cs="Times New Roman"/>
          <w:i/>
          <w:lang w:val="fr-CA"/>
        </w:rPr>
        <w:t>LFI</w:t>
      </w:r>
      <w:r w:rsidRPr="00565B7B">
        <w:rPr>
          <w:rFonts w:cs="Times New Roman"/>
          <w:lang w:val="fr-CA"/>
        </w:rPr>
        <w:t xml:space="preserve"> en raison duquel des parties du premier doivent être inopérantes dans le contexte de la faillite. Bien que GTL demeure entièrement dégagé de toute responsabilité </w:t>
      </w:r>
      <w:r w:rsidRPr="00565B7B">
        <w:rPr>
          <w:rFonts w:cs="Times New Roman"/>
          <w:lang w:val="fr-CA"/>
        </w:rPr>
        <w:lastRenderedPageBreak/>
        <w:t>personnelle par le droit fédéral, il ne peut se soustraire aux engagements environnementaux qui lient l’actif du failli en invoquant le par. 14.06(4). D’après une juste application du critère d’</w:t>
      </w:r>
      <w:r w:rsidRPr="00565B7B">
        <w:rPr>
          <w:rFonts w:cs="Times New Roman"/>
          <w:i/>
          <w:lang w:val="fr-CA"/>
        </w:rPr>
        <w:t>Abitibi</w:t>
      </w:r>
      <w:r w:rsidRPr="00565B7B">
        <w:rPr>
          <w:rFonts w:cs="Times New Roman"/>
          <w:lang w:val="fr-CA"/>
        </w:rPr>
        <w:t xml:space="preserve">, l’actif de Redwater doit respecter les obligations environnementales continues qui ne sont pas des réclamations prouvables en matière de faillite. </w:t>
      </w:r>
    </w:p>
    <w:p w:rsidR="00DF13E5" w:rsidRPr="00565B7B" w:rsidRDefault="00DF13E5" w:rsidP="00DF13E5">
      <w:pPr>
        <w:pStyle w:val="ParaNoNdepar-AltN"/>
        <w:rPr>
          <w:rFonts w:cs="Times New Roman"/>
          <w:lang w:val="fr-CA"/>
        </w:rPr>
      </w:pPr>
      <w:r w:rsidRPr="00565B7B">
        <w:rPr>
          <w:rFonts w:cs="Times New Roman"/>
          <w:lang w:val="fr-CA"/>
        </w:rPr>
        <w:t xml:space="preserve">En conséquence, le pourvoi est accueilli. Dans </w:t>
      </w:r>
      <w:r w:rsidRPr="00565B7B">
        <w:rPr>
          <w:rFonts w:cs="Times New Roman"/>
          <w:i/>
          <w:lang w:val="fr-CA"/>
        </w:rPr>
        <w:t>Alberta Energy Regulator c. Grant Thornton Limited</w:t>
      </w:r>
      <w:r w:rsidRPr="00565B7B">
        <w:rPr>
          <w:rFonts w:cs="Times New Roman"/>
          <w:lang w:val="fr-CA"/>
        </w:rPr>
        <w:t>, 2017 ABCA 278, 57 Alta. L.R. (6th) 37, le juge Wakeling a refusé de suspendre l’effet de précédent de l’arrêt rendu par la Cour d’appel. Comme il l’a fait remarquer, les intérêts de l’organisme de réglementation lui</w:t>
      </w:r>
      <w:r w:rsidRPr="00565B7B">
        <w:rPr>
          <w:rFonts w:cs="Times New Roman"/>
          <w:lang w:val="fr-CA"/>
        </w:rPr>
        <w:noBreakHyphen/>
        <w:t xml:space="preserve">même étaient déjà protégés. Conformément aux ordonnances rendues auparavant par les tribunaux albertains, GTL avait déjà vendu l’ensemble des biens de Redwater ou y avait renoncé et le produit de la vente a été détenu en fiducie. Ainsi, la Cour rend l’ordonnance demandée par l’organisme de réglementation </w:t>
      </w:r>
      <w:r>
        <w:rPr>
          <w:rFonts w:cs="Times New Roman"/>
          <w:lang w:val="fr-CA"/>
        </w:rPr>
        <w:t xml:space="preserve">selon laquelle </w:t>
      </w:r>
      <w:r w:rsidRPr="00565B7B">
        <w:rPr>
          <w:rFonts w:cs="Times New Roman"/>
          <w:lang w:val="fr-CA"/>
        </w:rPr>
        <w:t>le produit de la vente des biens de Redwater doit être utilisé pour satisfaire aux obligations de fin de vie de Redwater. En outre, les déclarations du juge siégeant en cabinet qui figure</w:t>
      </w:r>
      <w:r>
        <w:rPr>
          <w:rFonts w:cs="Times New Roman"/>
          <w:lang w:val="fr-CA"/>
        </w:rPr>
        <w:t>nt aux par</w:t>
      </w:r>
      <w:r w:rsidR="00E607AD">
        <w:rPr>
          <w:rFonts w:cs="Times New Roman"/>
          <w:lang w:val="fr-CA"/>
        </w:rPr>
        <w:t>.</w:t>
      </w:r>
      <w:r>
        <w:rPr>
          <w:rFonts w:cs="Times New Roman"/>
          <w:lang w:val="fr-CA"/>
        </w:rPr>
        <w:t> </w:t>
      </w:r>
      <w:r w:rsidRPr="00565B7B">
        <w:rPr>
          <w:rFonts w:cs="Times New Roman"/>
          <w:lang w:val="fr-CA"/>
        </w:rPr>
        <w:t>3 et 5</w:t>
      </w:r>
      <w:r w:rsidR="00E607AD">
        <w:rPr>
          <w:rFonts w:cs="Times New Roman"/>
          <w:lang w:val="fr-CA"/>
        </w:rPr>
        <w:t>-</w:t>
      </w:r>
      <w:r w:rsidRPr="00565B7B">
        <w:rPr>
          <w:rFonts w:cs="Times New Roman"/>
          <w:lang w:val="fr-CA"/>
        </w:rPr>
        <w:t xml:space="preserve">16 de son ordonnance sont annulées. </w:t>
      </w:r>
    </w:p>
    <w:p w:rsidR="00DF13E5" w:rsidRPr="00DF13E5" w:rsidRDefault="00DF13E5" w:rsidP="00DF13E5">
      <w:pPr>
        <w:pStyle w:val="ParaNoNdepar-AltN"/>
        <w:rPr>
          <w:rFonts w:cs="Times New Roman"/>
          <w:b/>
          <w:lang w:val="fr-CA"/>
        </w:rPr>
      </w:pPr>
      <w:r w:rsidRPr="00565B7B">
        <w:rPr>
          <w:rFonts w:cs="Times New Roman"/>
          <w:lang w:val="fr-CA"/>
        </w:rPr>
        <w:t xml:space="preserve">Puisqu’il a gain de cause dans le </w:t>
      </w:r>
      <w:r>
        <w:rPr>
          <w:rFonts w:cs="Times New Roman"/>
          <w:lang w:val="fr-CA"/>
        </w:rPr>
        <w:t xml:space="preserve">cadre de ce </w:t>
      </w:r>
      <w:r w:rsidRPr="00565B7B">
        <w:rPr>
          <w:rFonts w:cs="Times New Roman"/>
          <w:lang w:val="fr-CA"/>
        </w:rPr>
        <w:t>pourvoi, l’organisme de réglementation aurait normalement droit aux dépens. Toutefois, il a expressément mentionné ne pas les demander. C’est pourquoi aucune ordonnance ne sera rendue à cet égard.</w:t>
      </w:r>
    </w:p>
    <w:p w:rsidR="00DF13E5" w:rsidRPr="00BD198B" w:rsidRDefault="00BD198B" w:rsidP="00BD198B">
      <w:pPr>
        <w:pStyle w:val="JudgeJuge"/>
        <w:spacing w:before="480"/>
        <w:rPr>
          <w:smallCaps w:val="0"/>
          <w:lang w:val="fr-CA"/>
        </w:rPr>
      </w:pPr>
      <w:r>
        <w:rPr>
          <w:lang w:val="fr-CA"/>
        </w:rPr>
        <w:tab/>
      </w:r>
      <w:r w:rsidR="00DF13E5" w:rsidRPr="00BD198B">
        <w:rPr>
          <w:smallCaps w:val="0"/>
          <w:lang w:val="fr-CA"/>
        </w:rPr>
        <w:t>Version française des motifs des juges Moldaver et Côté rendus par</w:t>
      </w:r>
    </w:p>
    <w:p w:rsidR="00DF13E5" w:rsidRDefault="00DF13E5" w:rsidP="00DF13E5">
      <w:pPr>
        <w:rPr>
          <w:lang w:val="fr-CA"/>
        </w:rPr>
      </w:pPr>
    </w:p>
    <w:p w:rsidR="00DF13E5" w:rsidRPr="00375EDE" w:rsidRDefault="00DF13E5" w:rsidP="00DF13E5">
      <w:pPr>
        <w:pStyle w:val="JudgeJuge"/>
        <w:spacing w:before="480"/>
      </w:pPr>
      <w:r w:rsidRPr="00375EDE">
        <w:rPr>
          <w:lang w:val="fr-CA"/>
        </w:rPr>
        <w:lastRenderedPageBreak/>
        <w:tab/>
        <w:t xml:space="preserve">La juge </w:t>
      </w:r>
      <w:r w:rsidRPr="00375EDE">
        <w:t>Côté</w:t>
      </w:r>
      <w:r w:rsidR="009C36B3">
        <w:t xml:space="preserve"> </w:t>
      </w:r>
      <w:r w:rsidR="009C36B3" w:rsidRPr="009C36B3">
        <w:rPr>
          <w:smallCaps w:val="0"/>
        </w:rPr>
        <w:t>(dissident</w:t>
      </w:r>
      <w:r w:rsidR="009C36B3">
        <w:rPr>
          <w:smallCaps w:val="0"/>
        </w:rPr>
        <w:t>e</w:t>
      </w:r>
      <w:r w:rsidR="009C36B3" w:rsidRPr="009C36B3">
        <w:rPr>
          <w:smallCaps w:val="0"/>
        </w:rPr>
        <w:t>)</w:t>
      </w:r>
      <w:r w:rsidRPr="00375EDE">
        <w:t xml:space="preserve"> — </w:t>
      </w:r>
    </w:p>
    <w:p w:rsidR="00DF13E5" w:rsidRPr="009735D8" w:rsidRDefault="00DF13E5" w:rsidP="009735D8">
      <w:pPr>
        <w:pStyle w:val="Title1LevelTitre1Niveau-AltL"/>
        <w:numPr>
          <w:ilvl w:val="0"/>
          <w:numId w:val="32"/>
        </w:numPr>
        <w:jc w:val="left"/>
        <w:rPr>
          <w:rFonts w:cs="Times New Roman"/>
        </w:rPr>
      </w:pPr>
      <w:r w:rsidRPr="009735D8">
        <w:rPr>
          <w:rFonts w:cs="Times New Roman"/>
        </w:rPr>
        <w:t>Introduction</w:t>
      </w:r>
    </w:p>
    <w:p w:rsidR="00DF13E5" w:rsidRPr="00031879" w:rsidRDefault="00DF13E5" w:rsidP="00DF13E5">
      <w:pPr>
        <w:pStyle w:val="ParaNoNdepar-AltN"/>
        <w:rPr>
          <w:rFonts w:cs="Times New Roman"/>
          <w:lang w:val="fr-CA"/>
        </w:rPr>
      </w:pPr>
      <w:r w:rsidRPr="00031879">
        <w:rPr>
          <w:rFonts w:cs="Times New Roman"/>
          <w:lang w:val="fr-CA"/>
        </w:rPr>
        <w:t>Redwater Energy Corporation (« Redwater ») est une société pétrolière et gazière en faillite. Son actif se compose principalement de deux types de biens : des puits de pétrole et des installations pétrolières de valeur productifs qui sont encore susceptibles de générer un revenu; et des biens inexploités ayant une valeur négative, notamment des puits taris auxquels se rattachent de lourds engagements environnementaux. Le séquestre et syndic de faillite de Redwater, Grant Thornton Limited (« GTL »), prétend avoir renoncé à la propriété des biens inexploités, et ce, afin de vendre séparément les puits de valeur productifs — non grevés des engagements se rattachant aux biens visés par les renonciations — et de répartir le produit de cette vente entre les créanciers de l’actif.</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Toutefois, la loi albertaine ne reconnaît pas de force exécutoire aux renonciations de GTL. Peu de temps après la nomination de GTL à titre de séquestre, l</w:t>
      </w:r>
      <w:r>
        <w:rPr>
          <w:rFonts w:cs="Times New Roman"/>
          <w:lang w:val="fr-CA"/>
        </w:rPr>
        <w:t>’</w:t>
      </w:r>
      <w:r w:rsidRPr="00375EDE">
        <w:rPr>
          <w:rFonts w:cs="Times New Roman"/>
          <w:lang w:val="fr-CA"/>
        </w:rPr>
        <w:t>Alberta Energy Regulator (« AER ») a rendu des « ordonnances d</w:t>
      </w:r>
      <w:r>
        <w:rPr>
          <w:rFonts w:cs="Times New Roman"/>
          <w:lang w:val="fr-CA"/>
        </w:rPr>
        <w:t>’</w:t>
      </w:r>
      <w:r w:rsidRPr="00375EDE">
        <w:rPr>
          <w:rFonts w:cs="Times New Roman"/>
          <w:lang w:val="fr-CA"/>
        </w:rPr>
        <w:t>abandon » à l</w:t>
      </w:r>
      <w:r>
        <w:rPr>
          <w:rFonts w:cs="Times New Roman"/>
          <w:lang w:val="fr-CA"/>
        </w:rPr>
        <w:t>’</w:t>
      </w:r>
      <w:r w:rsidRPr="00375EDE">
        <w:rPr>
          <w:rFonts w:cs="Times New Roman"/>
          <w:lang w:val="fr-CA"/>
        </w:rPr>
        <w:t>égard des biens visés par les renonciations, ordonnant à Redwater et à ses participants en participation directe d</w:t>
      </w:r>
      <w:r>
        <w:rPr>
          <w:rFonts w:cs="Times New Roman"/>
          <w:lang w:val="fr-CA"/>
        </w:rPr>
        <w:t>’</w:t>
      </w:r>
      <w:r w:rsidRPr="00375EDE">
        <w:rPr>
          <w:rFonts w:cs="Times New Roman"/>
          <w:lang w:val="fr-CA"/>
        </w:rPr>
        <w:t>exécuter des travaux environnementaux sur ceux</w:t>
      </w:r>
      <w:r w:rsidRPr="00375EDE">
        <w:rPr>
          <w:rFonts w:cs="Times New Roman"/>
          <w:lang w:val="fr-CA"/>
        </w:rPr>
        <w:noBreakHyphen/>
        <w:t>ci. En particulier, l</w:t>
      </w:r>
      <w:r>
        <w:rPr>
          <w:rFonts w:cs="Times New Roman"/>
          <w:lang w:val="fr-CA"/>
        </w:rPr>
        <w:t>’</w:t>
      </w:r>
      <w:r w:rsidRPr="00375EDE">
        <w:rPr>
          <w:rFonts w:cs="Times New Roman"/>
          <w:lang w:val="fr-CA"/>
        </w:rPr>
        <w:t>AER souhaitait que GTL « abandonne</w:t>
      </w:r>
      <w:r>
        <w:rPr>
          <w:rFonts w:cs="Times New Roman"/>
          <w:lang w:val="fr-CA"/>
        </w:rPr>
        <w:t> </w:t>
      </w:r>
      <w:r w:rsidRPr="00375EDE">
        <w:rPr>
          <w:rFonts w:cs="Times New Roman"/>
          <w:lang w:val="fr-CA"/>
        </w:rPr>
        <w:t>» les biens inexploités, ce qui signifie rendre les puits sûrs pour l</w:t>
      </w:r>
      <w:r>
        <w:rPr>
          <w:rFonts w:cs="Times New Roman"/>
          <w:lang w:val="fr-CA"/>
        </w:rPr>
        <w:t>’</w:t>
      </w:r>
      <w:r w:rsidRPr="00375EDE">
        <w:rPr>
          <w:rFonts w:cs="Times New Roman"/>
          <w:lang w:val="fr-CA"/>
        </w:rPr>
        <w:t>environnement, selon les directives de l</w:t>
      </w:r>
      <w:r>
        <w:rPr>
          <w:rFonts w:cs="Times New Roman"/>
          <w:lang w:val="fr-CA"/>
        </w:rPr>
        <w:t>’</w:t>
      </w:r>
      <w:r w:rsidRPr="00375EDE">
        <w:rPr>
          <w:rFonts w:cs="Times New Roman"/>
          <w:lang w:val="fr-CA"/>
        </w:rPr>
        <w:t>AER. Il a ensuite avisé GTL qu</w:t>
      </w:r>
      <w:r>
        <w:rPr>
          <w:rFonts w:cs="Times New Roman"/>
          <w:lang w:val="fr-CA"/>
        </w:rPr>
        <w:t>’</w:t>
      </w:r>
      <w:r w:rsidRPr="00375EDE">
        <w:rPr>
          <w:rFonts w:cs="Times New Roman"/>
          <w:lang w:val="fr-CA"/>
        </w:rPr>
        <w:t>il refuserait d</w:t>
      </w:r>
      <w:r>
        <w:rPr>
          <w:rFonts w:cs="Times New Roman"/>
          <w:lang w:val="fr-CA"/>
        </w:rPr>
        <w:t>’</w:t>
      </w:r>
      <w:r w:rsidRPr="00375EDE">
        <w:rPr>
          <w:rFonts w:cs="Times New Roman"/>
          <w:lang w:val="fr-CA"/>
        </w:rPr>
        <w:t>approuver toute vente des biens de valeur de Redwater à moins que GTL ne fasse l</w:t>
      </w:r>
      <w:r>
        <w:rPr>
          <w:rFonts w:cs="Times New Roman"/>
          <w:lang w:val="fr-CA"/>
        </w:rPr>
        <w:t>’</w:t>
      </w:r>
      <w:r w:rsidRPr="00375EDE">
        <w:rPr>
          <w:rFonts w:cs="Times New Roman"/>
          <w:lang w:val="fr-CA"/>
        </w:rPr>
        <w:t>une des trois choses suivantes : vendre les biens visés par les renonciations avec les puits et les installations productifs comme un tout unique; achever elle</w:t>
      </w:r>
      <w:r w:rsidRPr="00375EDE">
        <w:rPr>
          <w:rFonts w:cs="Times New Roman"/>
          <w:lang w:val="fr-CA"/>
        </w:rPr>
        <w:noBreakHyphen/>
        <w:t>même les travaux d</w:t>
      </w:r>
      <w:r>
        <w:rPr>
          <w:rFonts w:cs="Times New Roman"/>
          <w:lang w:val="fr-CA"/>
        </w:rPr>
        <w:t>’</w:t>
      </w:r>
      <w:r w:rsidRPr="00375EDE">
        <w:rPr>
          <w:rFonts w:cs="Times New Roman"/>
          <w:lang w:val="fr-CA"/>
        </w:rPr>
        <w:t xml:space="preserve">abandon et de remise en état; ou verser un </w:t>
      </w:r>
      <w:r w:rsidRPr="00375EDE">
        <w:rPr>
          <w:rFonts w:cs="Times New Roman"/>
          <w:lang w:val="fr-CA"/>
        </w:rPr>
        <w:lastRenderedPageBreak/>
        <w:t>dépôt de garantie pour couvrir les engagements environnementaux liés aux biens visés par les renonciations.</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La preuve révèle qu</w:t>
      </w:r>
      <w:r>
        <w:rPr>
          <w:rFonts w:cs="Times New Roman"/>
          <w:lang w:val="fr-CA"/>
        </w:rPr>
        <w:t>’</w:t>
      </w:r>
      <w:r w:rsidRPr="00375EDE">
        <w:rPr>
          <w:rFonts w:cs="Times New Roman"/>
          <w:lang w:val="fr-CA"/>
        </w:rPr>
        <w:t>aucune de ces possibilités n</w:t>
      </w:r>
      <w:r>
        <w:rPr>
          <w:rFonts w:cs="Times New Roman"/>
          <w:lang w:val="fr-CA"/>
        </w:rPr>
        <w:t>’</w:t>
      </w:r>
      <w:r w:rsidRPr="00375EDE">
        <w:rPr>
          <w:rFonts w:cs="Times New Roman"/>
          <w:lang w:val="fr-CA"/>
        </w:rPr>
        <w:t>est viable sur le plan économique. La valeur nette des 127 biens de Redwater qui sont visés par des permis est négative, de sorte qu</w:t>
      </w:r>
      <w:r>
        <w:rPr>
          <w:rFonts w:cs="Times New Roman"/>
          <w:lang w:val="fr-CA"/>
        </w:rPr>
        <w:t>’</w:t>
      </w:r>
      <w:r w:rsidRPr="00375EDE">
        <w:rPr>
          <w:rFonts w:cs="Times New Roman"/>
          <w:lang w:val="fr-CA"/>
        </w:rPr>
        <w:t>aucun acheteur sensé n</w:t>
      </w:r>
      <w:r>
        <w:rPr>
          <w:rFonts w:cs="Times New Roman"/>
          <w:lang w:val="fr-CA"/>
        </w:rPr>
        <w:t>’</w:t>
      </w:r>
      <w:r w:rsidRPr="00375EDE">
        <w:rPr>
          <w:rFonts w:cs="Times New Roman"/>
          <w:lang w:val="fr-CA"/>
        </w:rPr>
        <w:t>accepterait de les acquérir ensemble. C</w:t>
      </w:r>
      <w:r>
        <w:rPr>
          <w:rFonts w:cs="Times New Roman"/>
          <w:lang w:val="fr-CA"/>
        </w:rPr>
        <w:t>’</w:t>
      </w:r>
      <w:r w:rsidRPr="00375EDE">
        <w:rPr>
          <w:rFonts w:cs="Times New Roman"/>
          <w:lang w:val="fr-CA"/>
        </w:rPr>
        <w:t>est précisément pour cette raison que GTL a choisi de renoncer aux biens représentant un fardeau en premier lieu. Quant aux autres possibilités, GTL ne peut ni exécuter les travaux d</w:t>
      </w:r>
      <w:r>
        <w:rPr>
          <w:rFonts w:cs="Times New Roman"/>
          <w:lang w:val="fr-CA"/>
        </w:rPr>
        <w:t>’</w:t>
      </w:r>
      <w:r w:rsidRPr="00375EDE">
        <w:rPr>
          <w:rFonts w:cs="Times New Roman"/>
          <w:lang w:val="fr-CA"/>
        </w:rPr>
        <w:t>abandon et de remise en état ni en garantir l</w:t>
      </w:r>
      <w:r>
        <w:rPr>
          <w:rFonts w:cs="Times New Roman"/>
          <w:lang w:val="fr-CA"/>
        </w:rPr>
        <w:t>’</w:t>
      </w:r>
      <w:r w:rsidRPr="00375EDE">
        <w:rPr>
          <w:rFonts w:cs="Times New Roman"/>
          <w:lang w:val="fr-CA"/>
        </w:rPr>
        <w:t>exécution parce que les engagements environnementaux se rattachant aux biens visés par les renonciations dépassent la valeur de réalisation de l</w:t>
      </w:r>
      <w:r>
        <w:rPr>
          <w:rFonts w:cs="Times New Roman"/>
          <w:lang w:val="fr-CA"/>
        </w:rPr>
        <w:t>’</w:t>
      </w:r>
      <w:r w:rsidRPr="00375EDE">
        <w:rPr>
          <w:rFonts w:cs="Times New Roman"/>
          <w:lang w:val="fr-CA"/>
        </w:rPr>
        <w:t>actif et que, de toute façon, GTL ne pourrait obtenir les sommes nécessaires pour satisfaire à ces engagements qu</w:t>
      </w:r>
      <w:r>
        <w:rPr>
          <w:rFonts w:cs="Times New Roman"/>
          <w:lang w:val="fr-CA"/>
        </w:rPr>
        <w:t>’</w:t>
      </w:r>
      <w:r w:rsidRPr="00375EDE">
        <w:rPr>
          <w:rFonts w:cs="Times New Roman"/>
          <w:lang w:val="fr-CA"/>
        </w:rPr>
        <w:t>après avoir procédé à la vente des biens de valeur se trouvant dans l</w:t>
      </w:r>
      <w:r>
        <w:rPr>
          <w:rFonts w:cs="Times New Roman"/>
          <w:lang w:val="fr-CA"/>
        </w:rPr>
        <w:t>’</w:t>
      </w:r>
      <w:r w:rsidRPr="00375EDE">
        <w:rPr>
          <w:rFonts w:cs="Times New Roman"/>
          <w:lang w:val="fr-CA"/>
        </w:rPr>
        <w:t>actif. La position de l</w:t>
      </w:r>
      <w:r>
        <w:rPr>
          <w:rFonts w:cs="Times New Roman"/>
          <w:lang w:val="fr-CA"/>
        </w:rPr>
        <w:t>’</w:t>
      </w:r>
      <w:r w:rsidRPr="00375EDE">
        <w:rPr>
          <w:rFonts w:cs="Times New Roman"/>
          <w:lang w:val="fr-CA"/>
        </w:rPr>
        <w:t>AER a donc pour effet d</w:t>
      </w:r>
      <w:r>
        <w:rPr>
          <w:rFonts w:cs="Times New Roman"/>
          <w:lang w:val="fr-CA"/>
        </w:rPr>
        <w:t>’</w:t>
      </w:r>
      <w:r w:rsidRPr="00375EDE">
        <w:rPr>
          <w:rFonts w:cs="Times New Roman"/>
          <w:lang w:val="fr-CA"/>
        </w:rPr>
        <w:t>entraver GTL dans son administration de l</w:t>
      </w:r>
      <w:r>
        <w:rPr>
          <w:rFonts w:cs="Times New Roman"/>
          <w:lang w:val="fr-CA"/>
        </w:rPr>
        <w:t>’</w:t>
      </w:r>
      <w:r w:rsidRPr="00375EDE">
        <w:rPr>
          <w:rFonts w:cs="Times New Roman"/>
          <w:lang w:val="fr-CA"/>
        </w:rPr>
        <w:t>actif, l</w:t>
      </w:r>
      <w:r>
        <w:rPr>
          <w:rFonts w:cs="Times New Roman"/>
          <w:lang w:val="fr-CA"/>
        </w:rPr>
        <w:t>’</w:t>
      </w:r>
      <w:r w:rsidRPr="00375EDE">
        <w:rPr>
          <w:rFonts w:cs="Times New Roman"/>
          <w:lang w:val="fr-CA"/>
        </w:rPr>
        <w:t xml:space="preserve">empêchant de réaliser une </w:t>
      </w:r>
      <w:r w:rsidRPr="00375EDE">
        <w:rPr>
          <w:rFonts w:cs="Times New Roman"/>
          <w:i/>
          <w:lang w:val="fr-CA"/>
        </w:rPr>
        <w:t>quelconque</w:t>
      </w:r>
      <w:r w:rsidRPr="00375EDE">
        <w:rPr>
          <w:rFonts w:cs="Times New Roman"/>
          <w:lang w:val="fr-CA"/>
        </w:rPr>
        <w:t xml:space="preserve"> valeur pour </w:t>
      </w:r>
      <w:r w:rsidRPr="00375EDE">
        <w:rPr>
          <w:rFonts w:cs="Times New Roman"/>
          <w:i/>
          <w:lang w:val="fr-CA"/>
        </w:rPr>
        <w:t>l</w:t>
      </w:r>
      <w:r>
        <w:rPr>
          <w:rFonts w:cs="Times New Roman"/>
          <w:i/>
          <w:lang w:val="fr-CA"/>
        </w:rPr>
        <w:t>’</w:t>
      </w:r>
      <w:r w:rsidRPr="00375EDE">
        <w:rPr>
          <w:rFonts w:cs="Times New Roman"/>
          <w:i/>
          <w:lang w:val="fr-CA"/>
        </w:rPr>
        <w:t>un ou l</w:t>
      </w:r>
      <w:r>
        <w:rPr>
          <w:rFonts w:cs="Times New Roman"/>
          <w:i/>
          <w:lang w:val="fr-CA"/>
        </w:rPr>
        <w:t>’</w:t>
      </w:r>
      <w:r w:rsidRPr="00375EDE">
        <w:rPr>
          <w:rFonts w:cs="Times New Roman"/>
          <w:i/>
          <w:lang w:val="fr-CA"/>
        </w:rPr>
        <w:t xml:space="preserve">autre </w:t>
      </w:r>
      <w:r w:rsidRPr="00375EDE">
        <w:rPr>
          <w:rFonts w:cs="Times New Roman"/>
          <w:lang w:val="fr-CA"/>
        </w:rPr>
        <w:t>des créanciers de Redwater, y compris l</w:t>
      </w:r>
      <w:r>
        <w:rPr>
          <w:rFonts w:cs="Times New Roman"/>
          <w:lang w:val="fr-CA"/>
        </w:rPr>
        <w:t>’</w:t>
      </w:r>
      <w:r w:rsidRPr="00375EDE">
        <w:rPr>
          <w:rFonts w:cs="Times New Roman"/>
          <w:lang w:val="fr-CA"/>
        </w:rPr>
        <w:t>AER. La position de l</w:t>
      </w:r>
      <w:r>
        <w:rPr>
          <w:rFonts w:cs="Times New Roman"/>
          <w:lang w:val="fr-CA"/>
        </w:rPr>
        <w:t>’</w:t>
      </w:r>
      <w:r w:rsidRPr="00375EDE">
        <w:rPr>
          <w:rFonts w:cs="Times New Roman"/>
          <w:lang w:val="fr-CA"/>
        </w:rPr>
        <w:t>AER place de fait les puits de valeur productifs dans une situation incertaine, créant un risque réel qu</w:t>
      </w:r>
      <w:r>
        <w:rPr>
          <w:rFonts w:cs="Times New Roman"/>
          <w:lang w:val="fr-CA"/>
        </w:rPr>
        <w:t>’</w:t>
      </w:r>
      <w:r w:rsidRPr="00375EDE">
        <w:rPr>
          <w:rFonts w:cs="Times New Roman"/>
          <w:lang w:val="fr-CA"/>
        </w:rPr>
        <w:t>ils deviennent, eux aussi, des [</w:t>
      </w:r>
      <w:r w:rsidRPr="00375EDE">
        <w:rPr>
          <w:rFonts w:cs="Times New Roman"/>
          <w:smallCaps/>
          <w:lang w:val="fr-CA"/>
        </w:rPr>
        <w:t>traduction</w:t>
      </w:r>
      <w:r w:rsidRPr="00375EDE">
        <w:rPr>
          <w:rFonts w:cs="Times New Roman"/>
          <w:lang w:val="fr-CA"/>
        </w:rPr>
        <w:t>] « orphelins » — des biens qui ne peuvent être vendus à une autre société et dont la valeur demeure entièrement non réalisée.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Selon le juge en chef Wagner, GTL est sans recours parce que la loi fédérale ne l</w:t>
      </w:r>
      <w:r>
        <w:rPr>
          <w:rFonts w:cs="Times New Roman"/>
          <w:lang w:val="fr-CA"/>
        </w:rPr>
        <w:t>’</w:t>
      </w:r>
      <w:r w:rsidRPr="00375EDE">
        <w:rPr>
          <w:rFonts w:cs="Times New Roman"/>
          <w:lang w:val="fr-CA"/>
        </w:rPr>
        <w:t>autorise qu</w:t>
      </w:r>
      <w:r>
        <w:rPr>
          <w:rFonts w:cs="Times New Roman"/>
          <w:lang w:val="fr-CA"/>
        </w:rPr>
        <w:t>’</w:t>
      </w:r>
      <w:r w:rsidRPr="00375EDE">
        <w:rPr>
          <w:rFonts w:cs="Times New Roman"/>
          <w:lang w:val="fr-CA"/>
        </w:rPr>
        <w:t>à se dégager de toute responsabilité personnelle, et que l</w:t>
      </w:r>
      <w:r>
        <w:rPr>
          <w:rFonts w:cs="Times New Roman"/>
          <w:lang w:val="fr-CA"/>
        </w:rPr>
        <w:t>’</w:t>
      </w:r>
      <w:r w:rsidRPr="00375EDE">
        <w:rPr>
          <w:rFonts w:cs="Times New Roman"/>
          <w:lang w:val="fr-CA"/>
        </w:rPr>
        <w:t xml:space="preserve">AER avait le droit de faire valoir ses réclamations environnementales en dehors du processus de faillite. Je suis en désaccord sur les deux points. À mon avis, deux aspects du régime de réglementation albertain entrent en conflit avec la </w:t>
      </w:r>
      <w:r w:rsidRPr="00375EDE">
        <w:rPr>
          <w:rFonts w:cs="Times New Roman"/>
          <w:i/>
          <w:lang w:val="fr-CA"/>
        </w:rPr>
        <w:t>Loi sur la faillite et l</w:t>
      </w:r>
      <w:r>
        <w:rPr>
          <w:rFonts w:cs="Times New Roman"/>
          <w:i/>
          <w:lang w:val="fr-CA"/>
        </w:rPr>
        <w:t>’</w:t>
      </w:r>
      <w:r w:rsidRPr="00375EDE">
        <w:rPr>
          <w:rFonts w:cs="Times New Roman"/>
          <w:i/>
          <w:lang w:val="fr-CA"/>
        </w:rPr>
        <w:t>insolvabilité</w:t>
      </w:r>
      <w:r w:rsidRPr="00375EDE">
        <w:rPr>
          <w:rFonts w:cs="Times New Roman"/>
          <w:lang w:val="fr-CA"/>
        </w:rPr>
        <w:t xml:space="preserve">, </w:t>
      </w:r>
      <w:r w:rsidRPr="00375EDE">
        <w:rPr>
          <w:rFonts w:cs="Times New Roman"/>
          <w:lang w:val="fr-CA"/>
        </w:rPr>
        <w:lastRenderedPageBreak/>
        <w:t>L.R.C. 1985, c. B</w:t>
      </w:r>
      <w:r w:rsidRPr="00375EDE">
        <w:rPr>
          <w:rFonts w:cs="Times New Roman"/>
          <w:lang w:val="fr-CA"/>
        </w:rPr>
        <w:noBreakHyphen/>
        <w:t>3 (« </w:t>
      </w:r>
      <w:r w:rsidRPr="00BD198B">
        <w:rPr>
          <w:rFonts w:cs="Times New Roman"/>
          <w:i/>
          <w:lang w:val="fr-CA"/>
        </w:rPr>
        <w:t>LFI</w:t>
      </w:r>
      <w:r w:rsidRPr="00375EDE">
        <w:rPr>
          <w:rFonts w:cs="Times New Roman"/>
          <w:lang w:val="fr-CA"/>
        </w:rPr>
        <w:t> »). Une compréhension adéquate et fidèle des principes fondamentaux du droit constitutionnel et du droit de l</w:t>
      </w:r>
      <w:r>
        <w:rPr>
          <w:rFonts w:cs="Times New Roman"/>
          <w:lang w:val="fr-CA"/>
        </w:rPr>
        <w:t>’</w:t>
      </w:r>
      <w:r w:rsidRPr="00375EDE">
        <w:rPr>
          <w:rFonts w:cs="Times New Roman"/>
          <w:lang w:val="fr-CA"/>
        </w:rPr>
        <w:t xml:space="preserve">insolvabilité conduit à ce résultat.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D</w:t>
      </w:r>
      <w:r>
        <w:rPr>
          <w:rFonts w:cs="Times New Roman"/>
          <w:lang w:val="fr-CA"/>
        </w:rPr>
        <w:t>’</w:t>
      </w:r>
      <w:r w:rsidRPr="00375EDE">
        <w:rPr>
          <w:rFonts w:cs="Times New Roman"/>
          <w:lang w:val="fr-CA"/>
        </w:rPr>
        <w:t>abord, les lois albertaines qui règlementent l</w:t>
      </w:r>
      <w:r>
        <w:rPr>
          <w:rFonts w:cs="Times New Roman"/>
          <w:lang w:val="fr-CA"/>
        </w:rPr>
        <w:t>’</w:t>
      </w:r>
      <w:r w:rsidRPr="00375EDE">
        <w:rPr>
          <w:rFonts w:cs="Times New Roman"/>
          <w:lang w:val="fr-CA"/>
        </w:rPr>
        <w:t>industrie pétrolière et gazière précisent que le terme [</w:t>
      </w:r>
      <w:r w:rsidRPr="00375EDE">
        <w:rPr>
          <w:rFonts w:cs="Times New Roman"/>
          <w:smallCaps/>
          <w:lang w:val="fr-CA"/>
        </w:rPr>
        <w:t>traduction</w:t>
      </w:r>
      <w:r w:rsidRPr="00375EDE">
        <w:rPr>
          <w:rFonts w:cs="Times New Roman"/>
          <w:lang w:val="fr-CA"/>
        </w:rPr>
        <w:t>] « titulaire de permis » vise les séquestres et syndics de faillite. Cette définition a pour effet d</w:t>
      </w:r>
      <w:r>
        <w:rPr>
          <w:rFonts w:cs="Times New Roman"/>
          <w:lang w:val="fr-CA"/>
        </w:rPr>
        <w:t>’</w:t>
      </w:r>
      <w:r w:rsidRPr="00375EDE">
        <w:rPr>
          <w:rFonts w:cs="Times New Roman"/>
          <w:lang w:val="fr-CA"/>
        </w:rPr>
        <w:t>assujettir les professionnels de l</w:t>
      </w:r>
      <w:r>
        <w:rPr>
          <w:rFonts w:cs="Times New Roman"/>
          <w:lang w:val="fr-CA"/>
        </w:rPr>
        <w:t>’</w:t>
      </w:r>
      <w:r w:rsidRPr="00375EDE">
        <w:rPr>
          <w:rFonts w:cs="Times New Roman"/>
          <w:lang w:val="fr-CA"/>
        </w:rPr>
        <w:t>insolvabilité aux mêmes obligations et responsabilités que Redwater elle</w:t>
      </w:r>
      <w:r w:rsidRPr="00375EDE">
        <w:rPr>
          <w:rFonts w:cs="Times New Roman"/>
          <w:lang w:val="fr-CA"/>
        </w:rPr>
        <w:noBreakHyphen/>
        <w:t>même — notamment l</w:t>
      </w:r>
      <w:r>
        <w:rPr>
          <w:rFonts w:cs="Times New Roman"/>
          <w:lang w:val="fr-CA"/>
        </w:rPr>
        <w:t>’</w:t>
      </w:r>
      <w:r w:rsidRPr="00375EDE">
        <w:rPr>
          <w:rFonts w:cs="Times New Roman"/>
          <w:lang w:val="fr-CA"/>
        </w:rPr>
        <w:t>obligation de se conformer aux ordonnances d</w:t>
      </w:r>
      <w:r>
        <w:rPr>
          <w:rFonts w:cs="Times New Roman"/>
          <w:lang w:val="fr-CA"/>
        </w:rPr>
        <w:t>’</w:t>
      </w:r>
      <w:r w:rsidRPr="00375EDE">
        <w:rPr>
          <w:rFonts w:cs="Times New Roman"/>
          <w:lang w:val="fr-CA"/>
        </w:rPr>
        <w:t>abandon de l</w:t>
      </w:r>
      <w:r>
        <w:rPr>
          <w:rFonts w:cs="Times New Roman"/>
          <w:lang w:val="fr-CA"/>
        </w:rPr>
        <w:t>’</w:t>
      </w:r>
      <w:r w:rsidRPr="00375EDE">
        <w:rPr>
          <w:rFonts w:cs="Times New Roman"/>
          <w:lang w:val="fr-CA"/>
        </w:rPr>
        <w:t>AER et le risque d</w:t>
      </w:r>
      <w:r>
        <w:rPr>
          <w:rFonts w:cs="Times New Roman"/>
          <w:lang w:val="fr-CA"/>
        </w:rPr>
        <w:t>’</w:t>
      </w:r>
      <w:r w:rsidRPr="00375EDE">
        <w:rPr>
          <w:rFonts w:cs="Times New Roman"/>
          <w:lang w:val="fr-CA"/>
        </w:rPr>
        <w:t>engager sa responsabilité personnelle pour ne pas l</w:t>
      </w:r>
      <w:r>
        <w:rPr>
          <w:rFonts w:cs="Times New Roman"/>
          <w:lang w:val="fr-CA"/>
        </w:rPr>
        <w:t>’</w:t>
      </w:r>
      <w:r w:rsidRPr="00375EDE">
        <w:rPr>
          <w:rFonts w:cs="Times New Roman"/>
          <w:lang w:val="fr-CA"/>
        </w:rPr>
        <w:t xml:space="preserve">avoir fait. La </w:t>
      </w:r>
      <w:r w:rsidRPr="00BD198B">
        <w:rPr>
          <w:rFonts w:cs="Times New Roman"/>
          <w:i/>
          <w:lang w:val="fr-CA"/>
        </w:rPr>
        <w:t>LFI</w:t>
      </w:r>
      <w:r w:rsidRPr="00375EDE">
        <w:rPr>
          <w:rFonts w:cs="Times New Roman"/>
          <w:lang w:val="fr-CA"/>
        </w:rPr>
        <w:t>, par contre, autorise le syndic de faillite à renoncer aux éléments d</w:t>
      </w:r>
      <w:r>
        <w:rPr>
          <w:rFonts w:cs="Times New Roman"/>
          <w:lang w:val="fr-CA"/>
        </w:rPr>
        <w:t>’</w:t>
      </w:r>
      <w:r w:rsidRPr="00375EDE">
        <w:rPr>
          <w:rFonts w:cs="Times New Roman"/>
          <w:lang w:val="fr-CA"/>
        </w:rPr>
        <w:t>actif grevés d</w:t>
      </w:r>
      <w:r>
        <w:rPr>
          <w:rFonts w:cs="Times New Roman"/>
          <w:lang w:val="fr-CA"/>
        </w:rPr>
        <w:t>’</w:t>
      </w:r>
      <w:r w:rsidRPr="00375EDE">
        <w:rPr>
          <w:rFonts w:cs="Times New Roman"/>
          <w:lang w:val="fr-CA"/>
        </w:rPr>
        <w:t>engagements environnementaux. GTL disposait de ce pouvoir dans les circonstances de l</w:t>
      </w:r>
      <w:r>
        <w:rPr>
          <w:rFonts w:cs="Times New Roman"/>
          <w:lang w:val="fr-CA"/>
        </w:rPr>
        <w:t>’</w:t>
      </w:r>
      <w:r w:rsidRPr="00375EDE">
        <w:rPr>
          <w:rFonts w:cs="Times New Roman"/>
          <w:lang w:val="fr-CA"/>
        </w:rPr>
        <w:t>espèce et elle a valablement renoncé aux biens inexploités. Elle n</w:t>
      </w:r>
      <w:r>
        <w:rPr>
          <w:rFonts w:cs="Times New Roman"/>
          <w:lang w:val="fr-CA"/>
        </w:rPr>
        <w:t>’</w:t>
      </w:r>
      <w:r w:rsidRPr="00375EDE">
        <w:rPr>
          <w:rFonts w:cs="Times New Roman"/>
          <w:lang w:val="fr-CA"/>
        </w:rPr>
        <w:t>est donc plus assujettie aux engagements environnementaux liés à ces biens. Étant donné que le régime législatif albertain ne reconnaît pas la légalité de ces renonciations (en raison du fait que les séquestres et les syndics sont réglementés comme des titulaires de permis, qui ne peuvent renoncer à des biens), il y a un conflit d</w:t>
      </w:r>
      <w:r>
        <w:rPr>
          <w:rFonts w:cs="Times New Roman"/>
          <w:lang w:val="fr-CA"/>
        </w:rPr>
        <w:t>’</w:t>
      </w:r>
      <w:r w:rsidRPr="00375EDE">
        <w:rPr>
          <w:rFonts w:cs="Times New Roman"/>
          <w:lang w:val="fr-CA"/>
        </w:rPr>
        <w:t>application inévitable entre la loi fédérale et la loi provinciale. La loi albertaine régissant l</w:t>
      </w:r>
      <w:r>
        <w:rPr>
          <w:rFonts w:cs="Times New Roman"/>
          <w:lang w:val="fr-CA"/>
        </w:rPr>
        <w:t>’</w:t>
      </w:r>
      <w:r w:rsidRPr="00375EDE">
        <w:rPr>
          <w:rFonts w:cs="Times New Roman"/>
          <w:lang w:val="fr-CA"/>
        </w:rPr>
        <w:t>industrie pétrolière et gazière devrait donc être déclarée inopérante dans la mesure où elle ne reconnaît pas l</w:t>
      </w:r>
      <w:r>
        <w:rPr>
          <w:rFonts w:cs="Times New Roman"/>
          <w:lang w:val="fr-CA"/>
        </w:rPr>
        <w:t>’</w:t>
      </w:r>
      <w:r w:rsidRPr="00375EDE">
        <w:rPr>
          <w:rFonts w:cs="Times New Roman"/>
          <w:lang w:val="fr-CA"/>
        </w:rPr>
        <w:t>effet juridique des renonciations de GTL.</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Ensuite, l</w:t>
      </w:r>
      <w:r>
        <w:rPr>
          <w:rFonts w:cs="Times New Roman"/>
          <w:lang w:val="fr-CA"/>
        </w:rPr>
        <w:t>’</w:t>
      </w:r>
      <w:r w:rsidRPr="00375EDE">
        <w:rPr>
          <w:rFonts w:cs="Times New Roman"/>
          <w:lang w:val="fr-CA"/>
        </w:rPr>
        <w:t>AER a exigé que GTL acquitte les engagements environnementaux de Redwater avant les autres dettes de l</w:t>
      </w:r>
      <w:r>
        <w:rPr>
          <w:rFonts w:cs="Times New Roman"/>
          <w:lang w:val="fr-CA"/>
        </w:rPr>
        <w:t>’</w:t>
      </w:r>
      <w:r w:rsidRPr="00375EDE">
        <w:rPr>
          <w:rFonts w:cs="Times New Roman"/>
          <w:lang w:val="fr-CA"/>
        </w:rPr>
        <w:t xml:space="preserve">actif, ce qui contrevient au régime de priorité établi par la </w:t>
      </w:r>
      <w:r w:rsidRPr="00BD198B">
        <w:rPr>
          <w:rFonts w:cs="Times New Roman"/>
          <w:i/>
          <w:lang w:val="fr-CA"/>
        </w:rPr>
        <w:t>LFI</w:t>
      </w:r>
      <w:r w:rsidRPr="00375EDE">
        <w:rPr>
          <w:rFonts w:cs="Times New Roman"/>
          <w:lang w:val="fr-CA"/>
        </w:rPr>
        <w:t>. Comme les ordonnances d</w:t>
      </w:r>
      <w:r>
        <w:rPr>
          <w:rFonts w:cs="Times New Roman"/>
          <w:lang w:val="fr-CA"/>
        </w:rPr>
        <w:t>’</w:t>
      </w:r>
      <w:r w:rsidRPr="00375EDE">
        <w:rPr>
          <w:rFonts w:cs="Times New Roman"/>
          <w:lang w:val="fr-CA"/>
        </w:rPr>
        <w:t>abandon sont des « réclamations prouvables en matière de faillite » selon le test à trois volets énoncé par la Cour dans l</w:t>
      </w:r>
      <w:r>
        <w:rPr>
          <w:rFonts w:cs="Times New Roman"/>
          <w:lang w:val="fr-CA"/>
        </w:rPr>
        <w:t>’</w:t>
      </w:r>
      <w:r w:rsidRPr="00375EDE">
        <w:rPr>
          <w:rFonts w:cs="Times New Roman"/>
          <w:lang w:val="fr-CA"/>
        </w:rPr>
        <w:t xml:space="preserve">arrêt </w:t>
      </w:r>
      <w:r w:rsidRPr="00375EDE">
        <w:rPr>
          <w:rFonts w:cs="Times New Roman"/>
          <w:i/>
          <w:lang w:val="fr-CA"/>
        </w:rPr>
        <w:t>Terre</w:t>
      </w:r>
      <w:r w:rsidRPr="00375EDE">
        <w:rPr>
          <w:rFonts w:cs="Times New Roman"/>
          <w:i/>
          <w:lang w:val="fr-CA"/>
        </w:rPr>
        <w:noBreakHyphen/>
        <w:t>Neuve</w:t>
      </w:r>
      <w:r w:rsidRPr="00375EDE">
        <w:rPr>
          <w:rFonts w:cs="Times New Roman"/>
          <w:i/>
          <w:lang w:val="fr-CA"/>
        </w:rPr>
        <w:noBreakHyphen/>
        <w:t>et</w:t>
      </w:r>
      <w:r w:rsidRPr="00375EDE">
        <w:rPr>
          <w:rFonts w:cs="Times New Roman"/>
          <w:i/>
          <w:lang w:val="fr-CA"/>
        </w:rPr>
        <w:noBreakHyphen/>
        <w:t>Labrador c. AbitibiBowater Inc.</w:t>
      </w:r>
      <w:r w:rsidRPr="00375EDE">
        <w:rPr>
          <w:rFonts w:cs="Times New Roman"/>
          <w:lang w:val="fr-CA"/>
        </w:rPr>
        <w:t xml:space="preserve">, 2012 CSC 67, </w:t>
      </w:r>
      <w:r w:rsidRPr="00375EDE">
        <w:rPr>
          <w:rFonts w:cs="Times New Roman"/>
          <w:lang w:val="fr-CA"/>
        </w:rPr>
        <w:lastRenderedPageBreak/>
        <w:t>[2012] 3 R.C.S 443</w:t>
      </w:r>
      <w:r w:rsidR="00135C75">
        <w:rPr>
          <w:rFonts w:cs="Times New Roman"/>
          <w:lang w:val="fr-CA"/>
        </w:rPr>
        <w:t xml:space="preserve"> —</w:t>
      </w:r>
      <w:r w:rsidRPr="00375EDE">
        <w:rPr>
          <w:rFonts w:cs="Times New Roman"/>
          <w:lang w:val="fr-CA"/>
        </w:rPr>
        <w:t xml:space="preserve"> test dont notre Cour ne devrait pas s</w:t>
      </w:r>
      <w:r>
        <w:rPr>
          <w:rFonts w:cs="Times New Roman"/>
          <w:lang w:val="fr-CA"/>
        </w:rPr>
        <w:t>’</w:t>
      </w:r>
      <w:r w:rsidRPr="00375EDE">
        <w:rPr>
          <w:rFonts w:cs="Times New Roman"/>
          <w:lang w:val="fr-CA"/>
        </w:rPr>
        <w:t>écarter</w:t>
      </w:r>
      <w:r w:rsidR="00135C75">
        <w:rPr>
          <w:rFonts w:cs="Times New Roman"/>
          <w:lang w:val="fr-CA"/>
        </w:rPr>
        <w:t xml:space="preserve"> explicitement ou implicitement —</w:t>
      </w:r>
      <w:r w:rsidRPr="00375EDE">
        <w:rPr>
          <w:rFonts w:cs="Times New Roman"/>
          <w:lang w:val="fr-CA"/>
        </w:rPr>
        <w:t xml:space="preserve"> l</w:t>
      </w:r>
      <w:r>
        <w:rPr>
          <w:rFonts w:cs="Times New Roman"/>
          <w:lang w:val="fr-CA"/>
        </w:rPr>
        <w:t>’</w:t>
      </w:r>
      <w:r w:rsidRPr="00375EDE">
        <w:rPr>
          <w:rFonts w:cs="Times New Roman"/>
          <w:lang w:val="fr-CA"/>
        </w:rPr>
        <w:t>AER ne peut faire valoir ces réclamations en dehors du processus de faillite. Agir ainsi entraverait la réalisation d</w:t>
      </w:r>
      <w:r>
        <w:rPr>
          <w:rFonts w:cs="Times New Roman"/>
          <w:lang w:val="fr-CA"/>
        </w:rPr>
        <w:t>’</w:t>
      </w:r>
      <w:r w:rsidRPr="00375EDE">
        <w:rPr>
          <w:rFonts w:cs="Times New Roman"/>
          <w:lang w:val="fr-CA"/>
        </w:rPr>
        <w:t xml:space="preserve">un objet essentiel de la </w:t>
      </w:r>
      <w:r w:rsidRPr="00BD198B">
        <w:rPr>
          <w:rFonts w:cs="Times New Roman"/>
          <w:i/>
          <w:lang w:val="fr-CA"/>
        </w:rPr>
        <w:t>LFI</w:t>
      </w:r>
      <w:r w:rsidRPr="00375EDE">
        <w:rPr>
          <w:rFonts w:cs="Times New Roman"/>
          <w:lang w:val="fr-CA"/>
        </w:rPr>
        <w:t> : le partage de la valeur de l</w:t>
      </w:r>
      <w:r>
        <w:rPr>
          <w:rFonts w:cs="Times New Roman"/>
          <w:lang w:val="fr-CA"/>
        </w:rPr>
        <w:t>’</w:t>
      </w:r>
      <w:r w:rsidRPr="00375EDE">
        <w:rPr>
          <w:rFonts w:cs="Times New Roman"/>
          <w:lang w:val="fr-CA"/>
        </w:rPr>
        <w:t>actif conformément au régime de priorités établi par la loi. L</w:t>
      </w:r>
      <w:r>
        <w:rPr>
          <w:rFonts w:cs="Times New Roman"/>
          <w:lang w:val="fr-CA"/>
        </w:rPr>
        <w:t>’</w:t>
      </w:r>
      <w:r w:rsidRPr="00375EDE">
        <w:rPr>
          <w:rFonts w:cs="Times New Roman"/>
          <w:lang w:val="fr-CA"/>
        </w:rPr>
        <w:t>AER ne peut pas non plus atteindre indirectement le même résultat en imposant des conditions à la vente des biens de valeur de Redwater. Le régime provincial de délivrance de permis sert en fait de mécanisme de recouvrement de créances à l</w:t>
      </w:r>
      <w:r>
        <w:rPr>
          <w:rFonts w:cs="Times New Roman"/>
          <w:lang w:val="fr-CA"/>
        </w:rPr>
        <w:t>’</w:t>
      </w:r>
      <w:r w:rsidRPr="00375EDE">
        <w:rPr>
          <w:rFonts w:cs="Times New Roman"/>
          <w:lang w:val="fr-CA"/>
        </w:rPr>
        <w:t>endroit d</w:t>
      </w:r>
      <w:r>
        <w:rPr>
          <w:rFonts w:cs="Times New Roman"/>
          <w:lang w:val="fr-CA"/>
        </w:rPr>
        <w:t>’</w:t>
      </w:r>
      <w:r w:rsidRPr="00375EDE">
        <w:rPr>
          <w:rFonts w:cs="Times New Roman"/>
          <w:lang w:val="fr-CA"/>
        </w:rPr>
        <w:t>une société en faillite : il empêche GTL de s</w:t>
      </w:r>
      <w:r>
        <w:rPr>
          <w:rFonts w:cs="Times New Roman"/>
          <w:lang w:val="fr-CA"/>
        </w:rPr>
        <w:t>’</w:t>
      </w:r>
      <w:r w:rsidRPr="00375EDE">
        <w:rPr>
          <w:rFonts w:cs="Times New Roman"/>
          <w:lang w:val="fr-CA"/>
        </w:rPr>
        <w:t>acquitter de ses obligations à titre de syndic si les réclamations environnementales de l</w:t>
      </w:r>
      <w:r>
        <w:rPr>
          <w:rFonts w:cs="Times New Roman"/>
          <w:lang w:val="fr-CA"/>
        </w:rPr>
        <w:t>’</w:t>
      </w:r>
      <w:r w:rsidRPr="00375EDE">
        <w:rPr>
          <w:rFonts w:cs="Times New Roman"/>
          <w:lang w:val="fr-CA"/>
        </w:rPr>
        <w:t>AER ne sont pas réglées. Par conséquent, il devrait être déclaré inopérant en ce qui concerne Redwater, suivant le second volet du critère de la prépondérance, l</w:t>
      </w:r>
      <w:r>
        <w:rPr>
          <w:rFonts w:cs="Times New Roman"/>
          <w:lang w:val="fr-CA"/>
        </w:rPr>
        <w:t>’</w:t>
      </w:r>
      <w:r w:rsidRPr="00375EDE">
        <w:rPr>
          <w:rFonts w:cs="Times New Roman"/>
          <w:lang w:val="fr-CA"/>
        </w:rPr>
        <w:t>entrave à la réalisation d</w:t>
      </w:r>
      <w:r>
        <w:rPr>
          <w:rFonts w:cs="Times New Roman"/>
          <w:lang w:val="fr-CA"/>
        </w:rPr>
        <w:t>’</w:t>
      </w:r>
      <w:r w:rsidRPr="00375EDE">
        <w:rPr>
          <w:rFonts w:cs="Times New Roman"/>
          <w:lang w:val="fr-CA"/>
        </w:rPr>
        <w:t>un objet fédéral.</w:t>
      </w:r>
    </w:p>
    <w:p w:rsidR="00DF13E5" w:rsidRPr="00375EDE" w:rsidRDefault="00DF13E5" w:rsidP="00DF13E5">
      <w:pPr>
        <w:pStyle w:val="Title1LevelTitre1Niveau-AltL"/>
        <w:rPr>
          <w:rFonts w:cs="Times New Roman"/>
          <w:lang w:val="fr-CA"/>
        </w:rPr>
      </w:pPr>
      <w:r w:rsidRPr="00375EDE">
        <w:rPr>
          <w:rFonts w:cs="Times New Roman"/>
          <w:lang w:val="fr-CA"/>
        </w:rPr>
        <w:t>Contexte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Redwater était une société pétrolière et gazière cotée en bourse qui exploitait des puits, des pipelines et d</w:t>
      </w:r>
      <w:r>
        <w:rPr>
          <w:rFonts w:cs="Times New Roman"/>
          <w:lang w:val="fr-CA"/>
        </w:rPr>
        <w:t>’</w:t>
      </w:r>
      <w:r w:rsidRPr="00375EDE">
        <w:rPr>
          <w:rFonts w:cs="Times New Roman"/>
          <w:lang w:val="fr-CA"/>
        </w:rPr>
        <w:t>autres installations dans le centre de l</w:t>
      </w:r>
      <w:r>
        <w:rPr>
          <w:rFonts w:cs="Times New Roman"/>
          <w:lang w:val="fr-CA"/>
        </w:rPr>
        <w:t>’</w:t>
      </w:r>
      <w:r w:rsidRPr="00375EDE">
        <w:rPr>
          <w:rFonts w:cs="Times New Roman"/>
          <w:lang w:val="fr-CA"/>
        </w:rPr>
        <w:t>Alberta. Au milieu de l</w:t>
      </w:r>
      <w:r>
        <w:rPr>
          <w:rFonts w:cs="Times New Roman"/>
          <w:lang w:val="fr-CA"/>
        </w:rPr>
        <w:t>’</w:t>
      </w:r>
      <w:r w:rsidRPr="00375EDE">
        <w:rPr>
          <w:rFonts w:cs="Times New Roman"/>
          <w:lang w:val="fr-CA"/>
        </w:rPr>
        <w:t>année 2014, elle a connu plusieurs déboires financiers à la suite d</w:t>
      </w:r>
      <w:r>
        <w:rPr>
          <w:rFonts w:cs="Times New Roman"/>
          <w:lang w:val="fr-CA"/>
        </w:rPr>
        <w:t>’</w:t>
      </w:r>
      <w:r w:rsidRPr="00375EDE">
        <w:rPr>
          <w:rFonts w:cs="Times New Roman"/>
          <w:lang w:val="fr-CA"/>
        </w:rPr>
        <w:t>une série d</w:t>
      </w:r>
      <w:r>
        <w:rPr>
          <w:rFonts w:cs="Times New Roman"/>
          <w:lang w:val="fr-CA"/>
        </w:rPr>
        <w:t>’</w:t>
      </w:r>
      <w:r w:rsidRPr="00375EDE">
        <w:rPr>
          <w:rFonts w:cs="Times New Roman"/>
          <w:lang w:val="fr-CA"/>
        </w:rPr>
        <w:t>acquisitions et d</w:t>
      </w:r>
      <w:r>
        <w:rPr>
          <w:rFonts w:cs="Times New Roman"/>
          <w:lang w:val="fr-CA"/>
        </w:rPr>
        <w:t>’</w:t>
      </w:r>
      <w:r w:rsidRPr="00375EDE">
        <w:rPr>
          <w:rFonts w:cs="Times New Roman"/>
          <w:lang w:val="fr-CA"/>
        </w:rPr>
        <w:t>initiatives de forage infructueuses. Elle n</w:t>
      </w:r>
      <w:r>
        <w:rPr>
          <w:rFonts w:cs="Times New Roman"/>
          <w:lang w:val="fr-CA"/>
        </w:rPr>
        <w:t>’</w:t>
      </w:r>
      <w:r w:rsidRPr="00375EDE">
        <w:rPr>
          <w:rFonts w:cs="Times New Roman"/>
          <w:lang w:val="fr-CA"/>
        </w:rPr>
        <w:t>a donc plus été en mesure de respecter ses obligations envers son plus important créancier garanti, ATB Financial, qui a introduit une procédure d</w:t>
      </w:r>
      <w:r>
        <w:rPr>
          <w:rFonts w:cs="Times New Roman"/>
          <w:lang w:val="fr-CA"/>
        </w:rPr>
        <w:t>’</w:t>
      </w:r>
      <w:r w:rsidRPr="00375EDE">
        <w:rPr>
          <w:rFonts w:cs="Times New Roman"/>
          <w:lang w:val="fr-CA"/>
        </w:rPr>
        <w:t>exécution.</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Le 12 mai 2015, GTL a été nommé séquestre de Redwater. Après sa nomination, mais avant de prendre possession de quelconque bien visé par un permis délivré par l</w:t>
      </w:r>
      <w:r>
        <w:rPr>
          <w:rFonts w:cs="Times New Roman"/>
          <w:lang w:val="fr-CA"/>
        </w:rPr>
        <w:t>’</w:t>
      </w:r>
      <w:r w:rsidRPr="00375EDE">
        <w:rPr>
          <w:rFonts w:cs="Times New Roman"/>
          <w:lang w:val="fr-CA"/>
        </w:rPr>
        <w:t>AER, GTL a procédé à une analyse de la viabilité économique et de la valeur commerciale des biens de Redwater. Elle a déterminé que seule une partie des biens de la société était réellement vendable, et qu</w:t>
      </w:r>
      <w:r>
        <w:rPr>
          <w:rFonts w:cs="Times New Roman"/>
          <w:lang w:val="fr-CA"/>
        </w:rPr>
        <w:t>’</w:t>
      </w:r>
      <w:r w:rsidRPr="00375EDE">
        <w:rPr>
          <w:rFonts w:cs="Times New Roman"/>
          <w:lang w:val="fr-CA"/>
        </w:rPr>
        <w:t>il ne serait pas dans l</w:t>
      </w:r>
      <w:r>
        <w:rPr>
          <w:rFonts w:cs="Times New Roman"/>
          <w:lang w:val="fr-CA"/>
        </w:rPr>
        <w:t>’</w:t>
      </w:r>
      <w:r w:rsidRPr="00375EDE">
        <w:rPr>
          <w:rFonts w:cs="Times New Roman"/>
          <w:lang w:val="fr-CA"/>
        </w:rPr>
        <w:t xml:space="preserve">intérêt </w:t>
      </w:r>
      <w:r w:rsidRPr="00375EDE">
        <w:rPr>
          <w:rFonts w:cs="Times New Roman"/>
          <w:lang w:val="fr-CA"/>
        </w:rPr>
        <w:lastRenderedPageBreak/>
        <w:t>supérieur de Redwater — ni dans l</w:t>
      </w:r>
      <w:r>
        <w:rPr>
          <w:rFonts w:cs="Times New Roman"/>
          <w:lang w:val="fr-CA"/>
        </w:rPr>
        <w:t>’</w:t>
      </w:r>
      <w:r w:rsidRPr="00375EDE">
        <w:rPr>
          <w:rFonts w:cs="Times New Roman"/>
          <w:lang w:val="fr-CA"/>
        </w:rPr>
        <w:t>intérêt de ses créanciers — que GTL, à titre de séquestre, prenne possession des biens inexploités. Elle a donc informé l</w:t>
      </w:r>
      <w:r>
        <w:rPr>
          <w:rFonts w:cs="Times New Roman"/>
          <w:lang w:val="fr-CA"/>
        </w:rPr>
        <w:t>’</w:t>
      </w:r>
      <w:r w:rsidRPr="00375EDE">
        <w:rPr>
          <w:rFonts w:cs="Times New Roman"/>
          <w:lang w:val="fr-CA"/>
        </w:rPr>
        <w:t>AER le 3 juillet 2015 qu</w:t>
      </w:r>
      <w:r>
        <w:rPr>
          <w:rFonts w:cs="Times New Roman"/>
          <w:lang w:val="fr-CA"/>
        </w:rPr>
        <w:t>’</w:t>
      </w:r>
      <w:r w:rsidRPr="00375EDE">
        <w:rPr>
          <w:rFonts w:cs="Times New Roman"/>
          <w:lang w:val="fr-CA"/>
        </w:rPr>
        <w:t>elle prendrait possession de seulement 20 des 127 puits et installations de Redwater visés par un permis. Le 2 novembre 2015, peu après sa nomination à titre de syndic, GTL a encore une fois renoncé aux biens inexploités auxquels elle avait déjà renoncé en sa qualité de séquestre.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Selon l</w:t>
      </w:r>
      <w:r>
        <w:rPr>
          <w:rFonts w:cs="Times New Roman"/>
          <w:lang w:val="fr-CA"/>
        </w:rPr>
        <w:t>’</w:t>
      </w:r>
      <w:r w:rsidRPr="00375EDE">
        <w:rPr>
          <w:rFonts w:cs="Times New Roman"/>
          <w:lang w:val="fr-CA"/>
        </w:rPr>
        <w:t>estimation de GTL, les biens de valeur de Redwater valaient 4,152 millions de dollars et créeraient une valeur importante pour les créanciers de l</w:t>
      </w:r>
      <w:r>
        <w:rPr>
          <w:rFonts w:cs="Times New Roman"/>
          <w:lang w:val="fr-CA"/>
        </w:rPr>
        <w:t>’</w:t>
      </w:r>
      <w:r w:rsidRPr="00375EDE">
        <w:rPr>
          <w:rFonts w:cs="Times New Roman"/>
          <w:lang w:val="fr-CA"/>
        </w:rPr>
        <w:t>actif s</w:t>
      </w:r>
      <w:r>
        <w:rPr>
          <w:rFonts w:cs="Times New Roman"/>
          <w:lang w:val="fr-CA"/>
        </w:rPr>
        <w:t>’</w:t>
      </w:r>
      <w:r w:rsidRPr="00375EDE">
        <w:rPr>
          <w:rFonts w:cs="Times New Roman"/>
          <w:lang w:val="fr-CA"/>
        </w:rPr>
        <w:t>ils étaient vendus aux enchères. Par contre, la valeur nette des biens inexploités était de -4,705 millions de dollars, reflétant les engagements énormes relatifs à l</w:t>
      </w:r>
      <w:r>
        <w:rPr>
          <w:rFonts w:cs="Times New Roman"/>
          <w:lang w:val="fr-CA"/>
        </w:rPr>
        <w:t>’</w:t>
      </w:r>
      <w:r w:rsidRPr="00375EDE">
        <w:rPr>
          <w:rFonts w:cs="Times New Roman"/>
          <w:lang w:val="fr-CA"/>
        </w:rPr>
        <w:t>abandon et à la remise en état envers l</w:t>
      </w:r>
      <w:r>
        <w:rPr>
          <w:rFonts w:cs="Times New Roman"/>
          <w:lang w:val="fr-CA"/>
        </w:rPr>
        <w:t>’</w:t>
      </w:r>
      <w:r w:rsidRPr="00375EDE">
        <w:rPr>
          <w:rFonts w:cs="Times New Roman"/>
          <w:lang w:val="fr-CA"/>
        </w:rPr>
        <w:t>AER. La valeur nette de l</w:t>
      </w:r>
      <w:r>
        <w:rPr>
          <w:rFonts w:cs="Times New Roman"/>
          <w:lang w:val="fr-CA"/>
        </w:rPr>
        <w:t>’</w:t>
      </w:r>
      <w:r w:rsidRPr="00375EDE">
        <w:rPr>
          <w:rFonts w:cs="Times New Roman"/>
          <w:lang w:val="fr-CA"/>
        </w:rPr>
        <w:t>ensemble de l</w:t>
      </w:r>
      <w:r>
        <w:rPr>
          <w:rFonts w:cs="Times New Roman"/>
          <w:lang w:val="fr-CA"/>
        </w:rPr>
        <w:t>’</w:t>
      </w:r>
      <w:r w:rsidRPr="00375EDE">
        <w:rPr>
          <w:rFonts w:cs="Times New Roman"/>
          <w:lang w:val="fr-CA"/>
        </w:rPr>
        <w:t>actif était de -0,553 million de dollars. C</w:t>
      </w:r>
      <w:r>
        <w:rPr>
          <w:rFonts w:cs="Times New Roman"/>
          <w:lang w:val="fr-CA"/>
        </w:rPr>
        <w:t>’</w:t>
      </w:r>
      <w:r w:rsidRPr="00375EDE">
        <w:rPr>
          <w:rFonts w:cs="Times New Roman"/>
          <w:lang w:val="fr-CA"/>
        </w:rPr>
        <w:t>est pourquoi, selon le jugement d</w:t>
      </w:r>
      <w:r>
        <w:rPr>
          <w:rFonts w:cs="Times New Roman"/>
          <w:lang w:val="fr-CA"/>
        </w:rPr>
        <w:t>’</w:t>
      </w:r>
      <w:r w:rsidRPr="00375EDE">
        <w:rPr>
          <w:rFonts w:cs="Times New Roman"/>
          <w:lang w:val="fr-CA"/>
        </w:rPr>
        <w:t>affaire de GTL, une vente de l</w:t>
      </w:r>
      <w:r>
        <w:rPr>
          <w:rFonts w:cs="Times New Roman"/>
          <w:lang w:val="fr-CA"/>
        </w:rPr>
        <w:t>’</w:t>
      </w:r>
      <w:r w:rsidRPr="00375EDE">
        <w:rPr>
          <w:rFonts w:cs="Times New Roman"/>
          <w:lang w:val="fr-CA"/>
        </w:rPr>
        <w:t>ensemble des biens de l</w:t>
      </w:r>
      <w:r>
        <w:rPr>
          <w:rFonts w:cs="Times New Roman"/>
          <w:lang w:val="fr-CA"/>
        </w:rPr>
        <w:t>’</w:t>
      </w:r>
      <w:r w:rsidRPr="00375EDE">
        <w:rPr>
          <w:rFonts w:cs="Times New Roman"/>
          <w:lang w:val="fr-CA"/>
        </w:rPr>
        <w:t>actif n</w:t>
      </w:r>
      <w:r>
        <w:rPr>
          <w:rFonts w:cs="Times New Roman"/>
          <w:lang w:val="fr-CA"/>
        </w:rPr>
        <w:t>’</w:t>
      </w:r>
      <w:r w:rsidRPr="00375EDE">
        <w:rPr>
          <w:rFonts w:cs="Times New Roman"/>
          <w:lang w:val="fr-CA"/>
        </w:rPr>
        <w:t>était tout simplement pas réaliste.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w:t>
      </w:r>
      <w:r>
        <w:rPr>
          <w:rFonts w:cs="Times New Roman"/>
          <w:lang w:val="fr-CA"/>
        </w:rPr>
        <w:t>’</w:t>
      </w:r>
      <w:r w:rsidRPr="00375EDE">
        <w:rPr>
          <w:rFonts w:cs="Times New Roman"/>
          <w:lang w:val="fr-CA"/>
        </w:rPr>
        <w:t>AER a répondu au premier avis de renonciation de GTL en rendant les ordonnances d</w:t>
      </w:r>
      <w:r>
        <w:rPr>
          <w:rFonts w:cs="Times New Roman"/>
          <w:lang w:val="fr-CA"/>
        </w:rPr>
        <w:t>’</w:t>
      </w:r>
      <w:r w:rsidRPr="00375EDE">
        <w:rPr>
          <w:rFonts w:cs="Times New Roman"/>
          <w:lang w:val="fr-CA"/>
        </w:rPr>
        <w:t>abandon qui obligeaient Redwater à exécuter des travaux environnementaux sur les biens inexploités auxquels GTL avait renoncé. Mais les mesures d</w:t>
      </w:r>
      <w:r>
        <w:rPr>
          <w:rFonts w:cs="Times New Roman"/>
          <w:lang w:val="fr-CA"/>
        </w:rPr>
        <w:t>’</w:t>
      </w:r>
      <w:r w:rsidRPr="00375EDE">
        <w:rPr>
          <w:rFonts w:cs="Times New Roman"/>
          <w:lang w:val="fr-CA"/>
        </w:rPr>
        <w:t>exécution prises par l</w:t>
      </w:r>
      <w:r>
        <w:rPr>
          <w:rFonts w:cs="Times New Roman"/>
          <w:lang w:val="fr-CA"/>
        </w:rPr>
        <w:t>’</w:t>
      </w:r>
      <w:r w:rsidRPr="00375EDE">
        <w:rPr>
          <w:rFonts w:cs="Times New Roman"/>
          <w:lang w:val="fr-CA"/>
        </w:rPr>
        <w:t>AER ne visaient pas uniquement l</w:t>
      </w:r>
      <w:r>
        <w:rPr>
          <w:rFonts w:cs="Times New Roman"/>
          <w:lang w:val="fr-CA"/>
        </w:rPr>
        <w:t>’</w:t>
      </w:r>
      <w:r w:rsidRPr="00375EDE">
        <w:rPr>
          <w:rFonts w:cs="Times New Roman"/>
          <w:lang w:val="fr-CA"/>
        </w:rPr>
        <w:t>actif de la débitrice en tant que tel. Dans sa demande initiale ayant donné naissance au présent litige, l</w:t>
      </w:r>
      <w:r>
        <w:rPr>
          <w:rFonts w:cs="Times New Roman"/>
          <w:lang w:val="fr-CA"/>
        </w:rPr>
        <w:t>’</w:t>
      </w:r>
      <w:r w:rsidRPr="00375EDE">
        <w:rPr>
          <w:rFonts w:cs="Times New Roman"/>
          <w:lang w:val="fr-CA"/>
        </w:rPr>
        <w:t xml:space="preserve">AER a intenté une poursuite contre GTL, sollicitant trois mesures de réparation principales : </w:t>
      </w:r>
      <w:r w:rsidR="007C0F2F">
        <w:rPr>
          <w:rFonts w:cs="Times New Roman"/>
          <w:lang w:val="fr-CA"/>
        </w:rPr>
        <w:t>(</w:t>
      </w:r>
      <w:r w:rsidRPr="00375EDE">
        <w:rPr>
          <w:rFonts w:cs="Times New Roman"/>
          <w:lang w:val="fr-CA"/>
        </w:rPr>
        <w:t xml:space="preserve">1) un jugement déclaratoire portant que les renonciations de GTL sont nulles et non exécutoires; </w:t>
      </w:r>
      <w:r w:rsidR="007C0F2F">
        <w:rPr>
          <w:rFonts w:cs="Times New Roman"/>
          <w:lang w:val="fr-CA"/>
        </w:rPr>
        <w:t>(</w:t>
      </w:r>
      <w:r w:rsidRPr="00375EDE">
        <w:rPr>
          <w:rFonts w:cs="Times New Roman"/>
          <w:lang w:val="fr-CA"/>
        </w:rPr>
        <w:t>2) une ordonnance obligeant GTL, en sa qualité de séquestre, à se conformer aux ordonnances d</w:t>
      </w:r>
      <w:r>
        <w:rPr>
          <w:rFonts w:cs="Times New Roman"/>
          <w:lang w:val="fr-CA"/>
        </w:rPr>
        <w:t>’</w:t>
      </w:r>
      <w:r w:rsidRPr="00375EDE">
        <w:rPr>
          <w:rFonts w:cs="Times New Roman"/>
          <w:lang w:val="fr-CA"/>
        </w:rPr>
        <w:t>abandon rendues à l</w:t>
      </w:r>
      <w:r>
        <w:rPr>
          <w:rFonts w:cs="Times New Roman"/>
          <w:lang w:val="fr-CA"/>
        </w:rPr>
        <w:t>’</w:t>
      </w:r>
      <w:r w:rsidRPr="00375EDE">
        <w:rPr>
          <w:rFonts w:cs="Times New Roman"/>
          <w:lang w:val="fr-CA"/>
        </w:rPr>
        <w:t>égard d</w:t>
      </w:r>
      <w:r>
        <w:rPr>
          <w:rFonts w:cs="Times New Roman"/>
          <w:lang w:val="fr-CA"/>
        </w:rPr>
        <w:t>’</w:t>
      </w:r>
      <w:r w:rsidRPr="00375EDE">
        <w:rPr>
          <w:rFonts w:cs="Times New Roman"/>
          <w:lang w:val="fr-CA"/>
        </w:rPr>
        <w:t xml:space="preserve">une partie des biens de Redwater; et </w:t>
      </w:r>
      <w:r w:rsidR="007C0F2F">
        <w:rPr>
          <w:rFonts w:cs="Times New Roman"/>
          <w:lang w:val="fr-CA"/>
        </w:rPr>
        <w:t>(</w:t>
      </w:r>
      <w:r w:rsidRPr="00375EDE">
        <w:rPr>
          <w:rFonts w:cs="Times New Roman"/>
          <w:lang w:val="fr-CA"/>
        </w:rPr>
        <w:t xml:space="preserve">3) une ordonnance contraignant GTL à respecter les obligations que lui </w:t>
      </w:r>
      <w:r w:rsidRPr="00375EDE">
        <w:rPr>
          <w:rFonts w:cs="Times New Roman"/>
          <w:lang w:val="fr-CA"/>
        </w:rPr>
        <w:lastRenderedPageBreak/>
        <w:t>impose la loi albertaine en tant que titulaire de permis, concernant plus précisément l</w:t>
      </w:r>
      <w:r>
        <w:rPr>
          <w:rFonts w:cs="Times New Roman"/>
          <w:lang w:val="fr-CA"/>
        </w:rPr>
        <w:t>’</w:t>
      </w:r>
      <w:r w:rsidRPr="00375EDE">
        <w:rPr>
          <w:rFonts w:cs="Times New Roman"/>
          <w:lang w:val="fr-CA"/>
        </w:rPr>
        <w:t xml:space="preserve">abandon, la remise en état et la décontamination des biens de Redwater visés par des permis.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Le présent litige tire donc son origine d</w:t>
      </w:r>
      <w:r>
        <w:rPr>
          <w:rFonts w:cs="Times New Roman"/>
          <w:lang w:val="fr-CA"/>
        </w:rPr>
        <w:t>’</w:t>
      </w:r>
      <w:r w:rsidRPr="00375EDE">
        <w:rPr>
          <w:rFonts w:cs="Times New Roman"/>
          <w:lang w:val="fr-CA"/>
        </w:rPr>
        <w:t>un effort manifeste et vigoureux de l</w:t>
      </w:r>
      <w:r>
        <w:rPr>
          <w:rFonts w:cs="Times New Roman"/>
          <w:lang w:val="fr-CA"/>
        </w:rPr>
        <w:t>’</w:t>
      </w:r>
      <w:r w:rsidRPr="00375EDE">
        <w:rPr>
          <w:rFonts w:cs="Times New Roman"/>
          <w:lang w:val="fr-CA"/>
        </w:rPr>
        <w:t>AER dans le but d</w:t>
      </w:r>
      <w:r>
        <w:rPr>
          <w:rFonts w:cs="Times New Roman"/>
          <w:lang w:val="fr-CA"/>
        </w:rPr>
        <w:t>’</w:t>
      </w:r>
      <w:r w:rsidRPr="00375EDE">
        <w:rPr>
          <w:rFonts w:cs="Times New Roman"/>
          <w:lang w:val="fr-CA"/>
        </w:rPr>
        <w:t>obliger GTL à acquitter les obligations environnementales de Redwater. Pour comprendre pourquoi l</w:t>
      </w:r>
      <w:r>
        <w:rPr>
          <w:rFonts w:cs="Times New Roman"/>
          <w:lang w:val="fr-CA"/>
        </w:rPr>
        <w:t>’</w:t>
      </w:r>
      <w:r w:rsidRPr="00375EDE">
        <w:rPr>
          <w:rFonts w:cs="Times New Roman"/>
          <w:lang w:val="fr-CA"/>
        </w:rPr>
        <w:t>AER a agi de la sorte, il est important de souligner que l</w:t>
      </w:r>
      <w:r>
        <w:rPr>
          <w:rFonts w:cs="Times New Roman"/>
          <w:lang w:val="fr-CA"/>
        </w:rPr>
        <w:t>’</w:t>
      </w:r>
      <w:r w:rsidRPr="00375EDE">
        <w:rPr>
          <w:rFonts w:cs="Times New Roman"/>
          <w:lang w:val="fr-CA"/>
        </w:rPr>
        <w:t>AER avait la loi provinciale de son côté. Aux termes de l</w:t>
      </w:r>
      <w:r>
        <w:rPr>
          <w:rFonts w:cs="Times New Roman"/>
          <w:lang w:val="fr-CA"/>
        </w:rPr>
        <w:t>’</w:t>
      </w:r>
      <w:r w:rsidRPr="00375EDE">
        <w:rPr>
          <w:rFonts w:cs="Times New Roman"/>
          <w:i/>
          <w:lang w:val="fr-CA"/>
        </w:rPr>
        <w:t>Oil and Gas Conservation Act</w:t>
      </w:r>
      <w:r w:rsidRPr="00375EDE">
        <w:rPr>
          <w:rFonts w:cs="Times New Roman"/>
          <w:lang w:val="fr-CA"/>
        </w:rPr>
        <w:t>, R.S.A. 2000, c. O</w:t>
      </w:r>
      <w:r w:rsidRPr="00375EDE">
        <w:rPr>
          <w:rFonts w:cs="Times New Roman"/>
          <w:lang w:val="fr-CA"/>
        </w:rPr>
        <w:noBreakHyphen/>
        <w:t>6 (« </w:t>
      </w:r>
      <w:r w:rsidRPr="00BD198B">
        <w:rPr>
          <w:rFonts w:cs="Times New Roman"/>
          <w:i/>
          <w:lang w:val="fr-CA"/>
        </w:rPr>
        <w:t>OGCA</w:t>
      </w:r>
      <w:r w:rsidRPr="00375EDE">
        <w:rPr>
          <w:rFonts w:cs="Times New Roman"/>
          <w:lang w:val="fr-CA"/>
        </w:rPr>
        <w:t xml:space="preserve"> »), et de la </w:t>
      </w:r>
      <w:r w:rsidRPr="00375EDE">
        <w:rPr>
          <w:rFonts w:cs="Times New Roman"/>
          <w:i/>
          <w:lang w:val="fr-CA"/>
        </w:rPr>
        <w:t>Pipeline Act</w:t>
      </w:r>
      <w:r w:rsidRPr="00375EDE">
        <w:rPr>
          <w:rFonts w:cs="Times New Roman"/>
          <w:lang w:val="fr-CA"/>
        </w:rPr>
        <w:t>, R.S.A. 2000, c. P</w:t>
      </w:r>
      <w:r w:rsidRPr="00375EDE">
        <w:rPr>
          <w:rFonts w:cs="Times New Roman"/>
          <w:lang w:val="fr-CA"/>
        </w:rPr>
        <w:noBreakHyphen/>
        <w:t>15 (« </w:t>
      </w:r>
      <w:r w:rsidRPr="00BD198B">
        <w:rPr>
          <w:rFonts w:cs="Times New Roman"/>
          <w:i/>
          <w:lang w:val="fr-CA"/>
        </w:rPr>
        <w:t>PLA</w:t>
      </w:r>
      <w:r w:rsidRPr="00375EDE">
        <w:rPr>
          <w:rFonts w:cs="Times New Roman"/>
          <w:lang w:val="fr-CA"/>
        </w:rPr>
        <w:t> »), le terme [</w:t>
      </w:r>
      <w:r w:rsidRPr="00375EDE">
        <w:rPr>
          <w:rFonts w:cs="Times New Roman"/>
          <w:smallCaps/>
          <w:lang w:val="fr-CA"/>
        </w:rPr>
        <w:t>traduction</w:t>
      </w:r>
      <w:r w:rsidRPr="00375EDE">
        <w:rPr>
          <w:rFonts w:cs="Times New Roman"/>
          <w:lang w:val="fr-CA"/>
        </w:rPr>
        <w:t>] « titulaire de permis » est défini de façon à inclure les séquestres et les syndics de faillite (</w:t>
      </w:r>
      <w:r w:rsidRPr="00BD198B">
        <w:rPr>
          <w:rFonts w:cs="Times New Roman"/>
          <w:i/>
          <w:lang w:val="fr-CA"/>
        </w:rPr>
        <w:t>OGCA</w:t>
      </w:r>
      <w:r w:rsidRPr="00375EDE">
        <w:rPr>
          <w:rFonts w:cs="Times New Roman"/>
          <w:lang w:val="fr-CA"/>
        </w:rPr>
        <w:t>,</w:t>
      </w:r>
      <w:r w:rsidRPr="00375EDE">
        <w:rPr>
          <w:rFonts w:cs="Times New Roman"/>
          <w:i/>
          <w:lang w:val="fr-CA"/>
        </w:rPr>
        <w:t xml:space="preserve"> </w:t>
      </w:r>
      <w:r w:rsidRPr="00375EDE">
        <w:rPr>
          <w:rFonts w:cs="Times New Roman"/>
          <w:lang w:val="fr-CA"/>
        </w:rPr>
        <w:t>al. 1(1)</w:t>
      </w:r>
      <w:r w:rsidR="000624A5">
        <w:rPr>
          <w:rFonts w:cs="Times New Roman"/>
          <w:lang w:val="fr-CA"/>
        </w:rPr>
        <w:t>(</w:t>
      </w:r>
      <w:r w:rsidRPr="00375EDE">
        <w:rPr>
          <w:rFonts w:cs="Times New Roman"/>
          <w:lang w:val="fr-CA"/>
        </w:rPr>
        <w:t xml:space="preserve">cc); </w:t>
      </w:r>
      <w:r w:rsidRPr="00BD198B">
        <w:rPr>
          <w:rFonts w:cs="Times New Roman"/>
          <w:i/>
          <w:lang w:val="fr-CA"/>
        </w:rPr>
        <w:t>PLA</w:t>
      </w:r>
      <w:r w:rsidRPr="00375EDE">
        <w:rPr>
          <w:rFonts w:cs="Times New Roman"/>
          <w:lang w:val="fr-CA"/>
        </w:rPr>
        <w:t>, al. 1(1)</w:t>
      </w:r>
      <w:r w:rsidR="000624A5">
        <w:rPr>
          <w:rFonts w:cs="Times New Roman"/>
          <w:lang w:val="fr-CA"/>
        </w:rPr>
        <w:t>(</w:t>
      </w:r>
      <w:r w:rsidRPr="00375EDE">
        <w:rPr>
          <w:rFonts w:cs="Times New Roman"/>
          <w:lang w:val="fr-CA"/>
        </w:rPr>
        <w:t>n)). Les professionnels de l</w:t>
      </w:r>
      <w:r>
        <w:rPr>
          <w:rFonts w:cs="Times New Roman"/>
          <w:lang w:val="fr-CA"/>
        </w:rPr>
        <w:t>’</w:t>
      </w:r>
      <w:r w:rsidRPr="00375EDE">
        <w:rPr>
          <w:rFonts w:cs="Times New Roman"/>
          <w:lang w:val="fr-CA"/>
        </w:rPr>
        <w:t>insolvabilité deviennent par le fait même assujettis aux mêmes obligations réglementaires que le débiteur insolvable lui</w:t>
      </w:r>
      <w:r w:rsidRPr="00375EDE">
        <w:rPr>
          <w:rFonts w:cs="Times New Roman"/>
          <w:lang w:val="fr-CA"/>
        </w:rPr>
        <w:noBreakHyphen/>
        <w:t>même, en se mettant de fait à sa place. Ils peuvent donc être contraints d</w:t>
      </w:r>
      <w:r>
        <w:rPr>
          <w:rFonts w:cs="Times New Roman"/>
          <w:lang w:val="fr-CA"/>
        </w:rPr>
        <w:t>’</w:t>
      </w:r>
      <w:r w:rsidRPr="00375EDE">
        <w:rPr>
          <w:rFonts w:cs="Times New Roman"/>
          <w:lang w:val="fr-CA"/>
        </w:rPr>
        <w:t>exécuter des travaux d</w:t>
      </w:r>
      <w:r>
        <w:rPr>
          <w:rFonts w:cs="Times New Roman"/>
          <w:lang w:val="fr-CA"/>
        </w:rPr>
        <w:t>’</w:t>
      </w:r>
      <w:r w:rsidRPr="00375EDE">
        <w:rPr>
          <w:rFonts w:cs="Times New Roman"/>
          <w:lang w:val="fr-CA"/>
        </w:rPr>
        <w:t>abandon et de remise en état sur ordre de l</w:t>
      </w:r>
      <w:r>
        <w:rPr>
          <w:rFonts w:cs="Times New Roman"/>
          <w:lang w:val="fr-CA"/>
        </w:rPr>
        <w:t>’</w:t>
      </w:r>
      <w:r w:rsidRPr="00375EDE">
        <w:rPr>
          <w:rFonts w:cs="Times New Roman"/>
          <w:lang w:val="fr-CA"/>
        </w:rPr>
        <w:t>AER (</w:t>
      </w:r>
      <w:r w:rsidRPr="00BD198B">
        <w:rPr>
          <w:rFonts w:cs="Times New Roman"/>
          <w:i/>
          <w:lang w:val="fr-CA"/>
        </w:rPr>
        <w:t>OGCA</w:t>
      </w:r>
      <w:r w:rsidRPr="00375EDE">
        <w:rPr>
          <w:rFonts w:cs="Times New Roman"/>
          <w:lang w:val="fr-CA"/>
        </w:rPr>
        <w:t>,</w:t>
      </w:r>
      <w:r w:rsidRPr="00375EDE">
        <w:rPr>
          <w:rFonts w:cs="Times New Roman"/>
          <w:i/>
          <w:lang w:val="fr-CA"/>
        </w:rPr>
        <w:t xml:space="preserve"> </w:t>
      </w:r>
      <w:r w:rsidRPr="00375EDE">
        <w:rPr>
          <w:rFonts w:cs="Times New Roman"/>
          <w:lang w:val="fr-CA"/>
        </w:rPr>
        <w:t xml:space="preserve">art. 27; </w:t>
      </w:r>
      <w:r w:rsidRPr="00907D74">
        <w:rPr>
          <w:rFonts w:cs="Times New Roman"/>
          <w:i/>
          <w:lang w:val="fr-CA"/>
        </w:rPr>
        <w:t>PLA</w:t>
      </w:r>
      <w:r w:rsidRPr="00375EDE">
        <w:rPr>
          <w:rFonts w:cs="Times New Roman"/>
          <w:lang w:val="fr-CA"/>
        </w:rPr>
        <w:t xml:space="preserve">, art. 23; </w:t>
      </w:r>
      <w:r w:rsidRPr="00375EDE">
        <w:rPr>
          <w:rFonts w:cs="Times New Roman"/>
          <w:i/>
          <w:lang w:val="fr-CA"/>
        </w:rPr>
        <w:t>Oil and Gas Conservation Rules</w:t>
      </w:r>
      <w:r w:rsidRPr="00375EDE">
        <w:rPr>
          <w:rFonts w:cs="Times New Roman"/>
          <w:lang w:val="fr-CA"/>
        </w:rPr>
        <w:t>, Alta. Reg. 151/71 (« Règles prises en vertu de l</w:t>
      </w:r>
      <w:r>
        <w:rPr>
          <w:rFonts w:cs="Times New Roman"/>
          <w:lang w:val="fr-CA"/>
        </w:rPr>
        <w:t>’</w:t>
      </w:r>
      <w:r w:rsidRPr="00BD198B">
        <w:rPr>
          <w:rFonts w:cs="Times New Roman"/>
          <w:i/>
          <w:lang w:val="fr-CA"/>
        </w:rPr>
        <w:t>OGCA</w:t>
      </w:r>
      <w:r w:rsidRPr="00375EDE">
        <w:rPr>
          <w:rFonts w:cs="Times New Roman"/>
          <w:lang w:val="fr-CA"/>
        </w:rPr>
        <w:t> »), art. 3.012), de rembourser n</w:t>
      </w:r>
      <w:r>
        <w:rPr>
          <w:rFonts w:cs="Times New Roman"/>
          <w:lang w:val="fr-CA"/>
        </w:rPr>
        <w:t>’</w:t>
      </w:r>
      <w:r w:rsidRPr="00375EDE">
        <w:rPr>
          <w:rFonts w:cs="Times New Roman"/>
          <w:lang w:val="fr-CA"/>
        </w:rPr>
        <w:t>importe qui d</w:t>
      </w:r>
      <w:r>
        <w:rPr>
          <w:rFonts w:cs="Times New Roman"/>
          <w:lang w:val="fr-CA"/>
        </w:rPr>
        <w:t>’</w:t>
      </w:r>
      <w:r w:rsidRPr="00375EDE">
        <w:rPr>
          <w:rFonts w:cs="Times New Roman"/>
          <w:lang w:val="fr-CA"/>
        </w:rPr>
        <w:t>autre effectue les travaux d</w:t>
      </w:r>
      <w:r>
        <w:rPr>
          <w:rFonts w:cs="Times New Roman"/>
          <w:lang w:val="fr-CA"/>
        </w:rPr>
        <w:t>’</w:t>
      </w:r>
      <w:r w:rsidRPr="00375EDE">
        <w:rPr>
          <w:rFonts w:cs="Times New Roman"/>
          <w:lang w:val="fr-CA"/>
        </w:rPr>
        <w:t>abandon (</w:t>
      </w:r>
      <w:r w:rsidRPr="00BD198B">
        <w:rPr>
          <w:rFonts w:cs="Times New Roman"/>
          <w:i/>
          <w:lang w:val="fr-CA"/>
        </w:rPr>
        <w:t>OGCA</w:t>
      </w:r>
      <w:r w:rsidRPr="00375EDE">
        <w:rPr>
          <w:rFonts w:cs="Times New Roman"/>
          <w:lang w:val="fr-CA"/>
        </w:rPr>
        <w:t xml:space="preserve">, art. 29 et 30; </w:t>
      </w:r>
      <w:r w:rsidRPr="00907D74">
        <w:rPr>
          <w:rFonts w:cs="Times New Roman"/>
          <w:i/>
          <w:lang w:val="fr-CA"/>
        </w:rPr>
        <w:t>PLA</w:t>
      </w:r>
      <w:r w:rsidRPr="00375EDE">
        <w:rPr>
          <w:rFonts w:cs="Times New Roman"/>
          <w:lang w:val="fr-CA"/>
        </w:rPr>
        <w:t>, art. 25), de payer au fonds pour les puits orphelins la redevance requise à l</w:t>
      </w:r>
      <w:r>
        <w:rPr>
          <w:rFonts w:cs="Times New Roman"/>
          <w:lang w:val="fr-CA"/>
        </w:rPr>
        <w:t>’</w:t>
      </w:r>
      <w:r w:rsidRPr="00375EDE">
        <w:rPr>
          <w:rFonts w:cs="Times New Roman"/>
          <w:lang w:val="fr-CA"/>
        </w:rPr>
        <w:t>égard de n</w:t>
      </w:r>
      <w:r>
        <w:rPr>
          <w:rFonts w:cs="Times New Roman"/>
          <w:lang w:val="fr-CA"/>
        </w:rPr>
        <w:t>’</w:t>
      </w:r>
      <w:r w:rsidRPr="00375EDE">
        <w:rPr>
          <w:rFonts w:cs="Times New Roman"/>
          <w:lang w:val="fr-CA"/>
        </w:rPr>
        <w:t>importe lequel des biens du débiteur (</w:t>
      </w:r>
      <w:r w:rsidRPr="00BD198B">
        <w:rPr>
          <w:rFonts w:cs="Times New Roman"/>
          <w:i/>
          <w:lang w:val="fr-CA"/>
        </w:rPr>
        <w:t>OGCA</w:t>
      </w:r>
      <w:r w:rsidRPr="00375EDE">
        <w:rPr>
          <w:rFonts w:cs="Times New Roman"/>
          <w:lang w:val="fr-CA"/>
        </w:rPr>
        <w:t>, art. 74), de verser un dépôt de garantie, dans certaines circonstances, à la demande de l</w:t>
      </w:r>
      <w:r>
        <w:rPr>
          <w:rFonts w:cs="Times New Roman"/>
          <w:lang w:val="fr-CA"/>
        </w:rPr>
        <w:t>’</w:t>
      </w:r>
      <w:r w:rsidRPr="00375EDE">
        <w:rPr>
          <w:rFonts w:cs="Times New Roman"/>
          <w:lang w:val="fr-CA"/>
        </w:rPr>
        <w:t>AER (Règles prises en vertu de l</w:t>
      </w:r>
      <w:r>
        <w:rPr>
          <w:rFonts w:cs="Times New Roman"/>
          <w:lang w:val="fr-CA"/>
        </w:rPr>
        <w:t>’</w:t>
      </w:r>
      <w:r w:rsidRPr="00BD198B">
        <w:rPr>
          <w:rFonts w:cs="Times New Roman"/>
          <w:i/>
          <w:lang w:val="fr-CA"/>
        </w:rPr>
        <w:t>OGCA</w:t>
      </w:r>
      <w:r w:rsidRPr="00375EDE">
        <w:rPr>
          <w:rFonts w:cs="Times New Roman"/>
          <w:lang w:val="fr-CA"/>
        </w:rPr>
        <w:t>, par. 1.100(2)) et de payer une amende pour avoir omis de se conformer à une ordonnance de l</w:t>
      </w:r>
      <w:r>
        <w:rPr>
          <w:rFonts w:cs="Times New Roman"/>
          <w:lang w:val="fr-CA"/>
        </w:rPr>
        <w:t>’</w:t>
      </w:r>
      <w:r w:rsidRPr="00375EDE">
        <w:rPr>
          <w:rFonts w:cs="Times New Roman"/>
          <w:lang w:val="fr-CA"/>
        </w:rPr>
        <w:t>AER (</w:t>
      </w:r>
      <w:r w:rsidRPr="00BD198B">
        <w:rPr>
          <w:rFonts w:cs="Times New Roman"/>
          <w:i/>
          <w:lang w:val="fr-CA"/>
        </w:rPr>
        <w:t>OGCA</w:t>
      </w:r>
      <w:r w:rsidRPr="00375EDE">
        <w:rPr>
          <w:rFonts w:cs="Times New Roman"/>
          <w:lang w:val="fr-CA"/>
        </w:rPr>
        <w:t xml:space="preserve">, art. 108 et par. 110(1); </w:t>
      </w:r>
      <w:r w:rsidRPr="00BD198B">
        <w:rPr>
          <w:rFonts w:cs="Times New Roman"/>
          <w:i/>
          <w:lang w:val="fr-CA"/>
        </w:rPr>
        <w:t>PLA</w:t>
      </w:r>
      <w:r w:rsidRPr="00375EDE">
        <w:rPr>
          <w:rFonts w:cs="Times New Roman"/>
          <w:lang w:val="fr-CA"/>
        </w:rPr>
        <w:t>, par. 52(2) et 54(1)). Ces obligations sont toutes de nature personnelle. D</w:t>
      </w:r>
      <w:r>
        <w:rPr>
          <w:rFonts w:cs="Times New Roman"/>
          <w:lang w:val="fr-CA"/>
        </w:rPr>
        <w:t>’</w:t>
      </w:r>
      <w:r w:rsidRPr="00375EDE">
        <w:rPr>
          <w:rFonts w:cs="Times New Roman"/>
          <w:lang w:val="fr-CA"/>
        </w:rPr>
        <w:t>autres lois comparables limitent expressément la responsabilité des professionnels de l</w:t>
      </w:r>
      <w:r>
        <w:rPr>
          <w:rFonts w:cs="Times New Roman"/>
          <w:lang w:val="fr-CA"/>
        </w:rPr>
        <w:t>’</w:t>
      </w:r>
      <w:r w:rsidRPr="00375EDE">
        <w:rPr>
          <w:rFonts w:cs="Times New Roman"/>
          <w:lang w:val="fr-CA"/>
        </w:rPr>
        <w:t>insolvabilité. Par exemple, l</w:t>
      </w:r>
      <w:r>
        <w:rPr>
          <w:rFonts w:cs="Times New Roman"/>
          <w:lang w:val="fr-CA"/>
        </w:rPr>
        <w:t>’</w:t>
      </w:r>
      <w:r w:rsidRPr="00375EDE">
        <w:rPr>
          <w:rFonts w:cs="Times New Roman"/>
          <w:i/>
          <w:lang w:val="fr-CA"/>
        </w:rPr>
        <w:t>Environmental Protection and Enhancement Act</w:t>
      </w:r>
      <w:r w:rsidRPr="00375EDE">
        <w:rPr>
          <w:rFonts w:cs="Times New Roman"/>
          <w:lang w:val="fr-CA"/>
        </w:rPr>
        <w:t>, R.S.A. 2000, c. E</w:t>
      </w:r>
      <w:r w:rsidRPr="00375EDE">
        <w:rPr>
          <w:rFonts w:cs="Times New Roman"/>
          <w:lang w:val="fr-CA"/>
        </w:rPr>
        <w:noBreakHyphen/>
        <w:t xml:space="preserve">12, prévoit que </w:t>
      </w:r>
      <w:r w:rsidRPr="00375EDE">
        <w:rPr>
          <w:rFonts w:cs="Times New Roman"/>
          <w:lang w:val="fr-CA"/>
        </w:rPr>
        <w:lastRenderedPageBreak/>
        <w:t>la responsabilité du séquestre ou du syndic à l</w:t>
      </w:r>
      <w:r>
        <w:rPr>
          <w:rFonts w:cs="Times New Roman"/>
          <w:lang w:val="fr-CA"/>
        </w:rPr>
        <w:t>’</w:t>
      </w:r>
      <w:r w:rsidRPr="00375EDE">
        <w:rPr>
          <w:rFonts w:cs="Times New Roman"/>
          <w:lang w:val="fr-CA"/>
        </w:rPr>
        <w:t>égard d</w:t>
      </w:r>
      <w:r>
        <w:rPr>
          <w:rFonts w:cs="Times New Roman"/>
          <w:lang w:val="fr-CA"/>
        </w:rPr>
        <w:t>’</w:t>
      </w:r>
      <w:r w:rsidRPr="00375EDE">
        <w:rPr>
          <w:rFonts w:cs="Times New Roman"/>
          <w:lang w:val="fr-CA"/>
        </w:rPr>
        <w:t>une ordonnance de protection environnementale [</w:t>
      </w:r>
      <w:r w:rsidRPr="00375EDE">
        <w:rPr>
          <w:rFonts w:cs="Times New Roman"/>
          <w:smallCaps/>
          <w:lang w:val="fr-CA"/>
        </w:rPr>
        <w:t>traduction</w:t>
      </w:r>
      <w:r w:rsidRPr="00375EDE">
        <w:rPr>
          <w:rFonts w:cs="Times New Roman"/>
          <w:lang w:val="fr-CA"/>
        </w:rPr>
        <w:t>] «</w:t>
      </w:r>
      <w:r>
        <w:rPr>
          <w:rFonts w:cs="Times New Roman"/>
          <w:lang w:val="fr-CA"/>
        </w:rPr>
        <w:t> </w:t>
      </w:r>
      <w:r w:rsidRPr="00375EDE">
        <w:rPr>
          <w:rFonts w:cs="Times New Roman"/>
          <w:lang w:val="fr-CA"/>
        </w:rPr>
        <w:t>ne dépasse pas la valeur des biens qu</w:t>
      </w:r>
      <w:r>
        <w:rPr>
          <w:rFonts w:cs="Times New Roman"/>
          <w:lang w:val="fr-CA"/>
        </w:rPr>
        <w:t>’</w:t>
      </w:r>
      <w:r w:rsidRPr="00375EDE">
        <w:rPr>
          <w:rFonts w:cs="Times New Roman"/>
          <w:lang w:val="fr-CA"/>
        </w:rPr>
        <w:t>administre cette personne », en l</w:t>
      </w:r>
      <w:r>
        <w:rPr>
          <w:rFonts w:cs="Times New Roman"/>
          <w:lang w:val="fr-CA"/>
        </w:rPr>
        <w:t>’</w:t>
      </w:r>
      <w:r w:rsidR="00135C75">
        <w:rPr>
          <w:rFonts w:cs="Times New Roman"/>
          <w:lang w:val="fr-CA"/>
        </w:rPr>
        <w:t xml:space="preserve">absence de </w:t>
      </w:r>
      <w:r w:rsidRPr="00375EDE">
        <w:rPr>
          <w:rFonts w:cs="Times New Roman"/>
          <w:lang w:val="fr-CA"/>
        </w:rPr>
        <w:t>« négligence grave ou d</w:t>
      </w:r>
      <w:r>
        <w:rPr>
          <w:rFonts w:cs="Times New Roman"/>
          <w:lang w:val="fr-CA"/>
        </w:rPr>
        <w:t>’</w:t>
      </w:r>
      <w:r w:rsidRPr="00375EDE">
        <w:rPr>
          <w:rFonts w:cs="Times New Roman"/>
          <w:lang w:val="fr-CA"/>
        </w:rPr>
        <w:t>inconduite délibérée » (par. 240(3)). Le régime législatif albertain en matière de pétrole et de gaz ne contient toutefois aucune disposition semblable visant à protéger les séquestres et les syndics. Et, comme il ressort de sa demande initiale, l</w:t>
      </w:r>
      <w:r>
        <w:rPr>
          <w:rFonts w:cs="Times New Roman"/>
          <w:lang w:val="fr-CA"/>
        </w:rPr>
        <w:t>’</w:t>
      </w:r>
      <w:r w:rsidRPr="00375EDE">
        <w:rPr>
          <w:rFonts w:cs="Times New Roman"/>
          <w:lang w:val="fr-CA"/>
        </w:rPr>
        <w:t>AER considérait lui</w:t>
      </w:r>
      <w:r w:rsidRPr="00375EDE">
        <w:rPr>
          <w:rFonts w:cs="Times New Roman"/>
          <w:lang w:val="fr-CA"/>
        </w:rPr>
        <w:noBreakHyphen/>
        <w:t>même ces obligations comme des obligations personnelles. C</w:t>
      </w:r>
      <w:r>
        <w:rPr>
          <w:rFonts w:cs="Times New Roman"/>
          <w:lang w:val="fr-CA"/>
        </w:rPr>
        <w:t>’</w:t>
      </w:r>
      <w:r w:rsidRPr="00375EDE">
        <w:rPr>
          <w:rFonts w:cs="Times New Roman"/>
          <w:lang w:val="fr-CA"/>
        </w:rPr>
        <w:t>est pourquoi il a poursuivi GTL afin de le contraindre, notamment, à respecter les obligations que lui impose la loi provinciale en tant que titulaire de permis.</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w:t>
      </w:r>
      <w:r>
        <w:rPr>
          <w:rFonts w:cs="Times New Roman"/>
          <w:lang w:val="fr-CA"/>
        </w:rPr>
        <w:t>’</w:t>
      </w:r>
      <w:r w:rsidRPr="00375EDE">
        <w:rPr>
          <w:rFonts w:cs="Times New Roman"/>
          <w:lang w:val="fr-CA"/>
        </w:rPr>
        <w:t>AER a également exercé son pouvoir de faire appliquer la loi à un autre titre. En plus de rendre les ordonnances d</w:t>
      </w:r>
      <w:r>
        <w:rPr>
          <w:rFonts w:cs="Times New Roman"/>
          <w:lang w:val="fr-CA"/>
        </w:rPr>
        <w:t>’</w:t>
      </w:r>
      <w:r w:rsidRPr="00375EDE">
        <w:rPr>
          <w:rFonts w:cs="Times New Roman"/>
          <w:lang w:val="fr-CA"/>
        </w:rPr>
        <w:t>abandon, l</w:t>
      </w:r>
      <w:r>
        <w:rPr>
          <w:rFonts w:cs="Times New Roman"/>
          <w:lang w:val="fr-CA"/>
        </w:rPr>
        <w:t>’</w:t>
      </w:r>
      <w:r w:rsidRPr="00375EDE">
        <w:rPr>
          <w:rFonts w:cs="Times New Roman"/>
          <w:lang w:val="fr-CA"/>
        </w:rPr>
        <w:t>AER a imposé des restrictions et conditions à la vente des biens de Redwater — conditions qui obligent en fait GTL à satisfaire auxdites obligations avant même qu</w:t>
      </w:r>
      <w:r>
        <w:rPr>
          <w:rFonts w:cs="Times New Roman"/>
          <w:lang w:val="fr-CA"/>
        </w:rPr>
        <w:t>’</w:t>
      </w:r>
      <w:r w:rsidRPr="00375EDE">
        <w:rPr>
          <w:rFonts w:cs="Times New Roman"/>
          <w:lang w:val="fr-CA"/>
        </w:rPr>
        <w:t>une vente puisse être approuvée. Par conséquent, même si GTL n</w:t>
      </w:r>
      <w:r>
        <w:rPr>
          <w:rFonts w:cs="Times New Roman"/>
          <w:lang w:val="fr-CA"/>
        </w:rPr>
        <w:t>’</w:t>
      </w:r>
      <w:r w:rsidRPr="00375EDE">
        <w:rPr>
          <w:rFonts w:cs="Times New Roman"/>
          <w:lang w:val="fr-CA"/>
        </w:rPr>
        <w:t>accédait pas à la demande de l</w:t>
      </w:r>
      <w:r>
        <w:rPr>
          <w:rFonts w:cs="Times New Roman"/>
          <w:lang w:val="fr-CA"/>
        </w:rPr>
        <w:t>’</w:t>
      </w:r>
      <w:r w:rsidRPr="00375EDE">
        <w:rPr>
          <w:rFonts w:cs="Times New Roman"/>
          <w:lang w:val="fr-CA"/>
        </w:rPr>
        <w:t>AER visant l</w:t>
      </w:r>
      <w:r>
        <w:rPr>
          <w:rFonts w:cs="Times New Roman"/>
          <w:lang w:val="fr-CA"/>
        </w:rPr>
        <w:t>’</w:t>
      </w:r>
      <w:r w:rsidRPr="00375EDE">
        <w:rPr>
          <w:rFonts w:cs="Times New Roman"/>
          <w:lang w:val="fr-CA"/>
        </w:rPr>
        <w:t>abandon des biens inexploités, il ne serait toujours pas en mesure de s</w:t>
      </w:r>
      <w:r>
        <w:rPr>
          <w:rFonts w:cs="Times New Roman"/>
          <w:lang w:val="fr-CA"/>
        </w:rPr>
        <w:t>’</w:t>
      </w:r>
      <w:r w:rsidRPr="00375EDE">
        <w:rPr>
          <w:rFonts w:cs="Times New Roman"/>
          <w:lang w:val="fr-CA"/>
        </w:rPr>
        <w:t>acquitter de ses obligations à titre de séquestre et de syndic.</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Le juge en cabinet et les juges majoritaires de la Cour d</w:t>
      </w:r>
      <w:r>
        <w:rPr>
          <w:rFonts w:cs="Times New Roman"/>
          <w:lang w:val="fr-CA"/>
        </w:rPr>
        <w:t>’</w:t>
      </w:r>
      <w:r w:rsidRPr="00375EDE">
        <w:rPr>
          <w:rFonts w:cs="Times New Roman"/>
          <w:lang w:val="fr-CA"/>
        </w:rPr>
        <w:t>appel ont tous donné raison à GTL quant à chacun des volets du test de la prépondérance, concluant qu</w:t>
      </w:r>
      <w:r>
        <w:rPr>
          <w:rFonts w:cs="Times New Roman"/>
          <w:lang w:val="fr-CA"/>
        </w:rPr>
        <w:t>’</w:t>
      </w:r>
      <w:r w:rsidRPr="00375EDE">
        <w:rPr>
          <w:rFonts w:cs="Times New Roman"/>
          <w:lang w:val="fr-CA"/>
        </w:rPr>
        <w:t>il existe un conflit d</w:t>
      </w:r>
      <w:r>
        <w:rPr>
          <w:rFonts w:cs="Times New Roman"/>
          <w:lang w:val="fr-CA"/>
        </w:rPr>
        <w:t>’</w:t>
      </w:r>
      <w:r w:rsidRPr="00375EDE">
        <w:rPr>
          <w:rFonts w:cs="Times New Roman"/>
          <w:lang w:val="fr-CA"/>
        </w:rPr>
        <w:t>application et une entrave à la réalisation d</w:t>
      </w:r>
      <w:r>
        <w:rPr>
          <w:rFonts w:cs="Times New Roman"/>
          <w:lang w:val="fr-CA"/>
        </w:rPr>
        <w:t>’</w:t>
      </w:r>
      <w:r w:rsidRPr="00375EDE">
        <w:rPr>
          <w:rFonts w:cs="Times New Roman"/>
          <w:lang w:val="fr-CA"/>
        </w:rPr>
        <w:t xml:space="preserve">un objet fédéral (2016 ABQB 278, </w:t>
      </w:r>
      <w:r w:rsidR="00135C75">
        <w:rPr>
          <w:rFonts w:cs="Times New Roman"/>
          <w:lang w:val="fr-CA"/>
        </w:rPr>
        <w:t xml:space="preserve">33 </w:t>
      </w:r>
      <w:r w:rsidRPr="00375EDE">
        <w:rPr>
          <w:rFonts w:cs="Times New Roman"/>
          <w:lang w:val="fr-CA"/>
        </w:rPr>
        <w:t xml:space="preserve">Alta. L.R. (6th) </w:t>
      </w:r>
      <w:r w:rsidR="00135C75">
        <w:rPr>
          <w:rFonts w:cs="Times New Roman"/>
          <w:lang w:val="fr-CA"/>
        </w:rPr>
        <w:t>221</w:t>
      </w:r>
      <w:r w:rsidRPr="00375EDE">
        <w:rPr>
          <w:rFonts w:cs="Times New Roman"/>
          <w:lang w:val="fr-CA"/>
        </w:rPr>
        <w:t>; 2017 ABCA 124, 50 Alta. L.R. (6th) 1). Ils ont convenu avec GTL et ATB Financial que les dispositions du régime législatif albertain permettant à l</w:t>
      </w:r>
      <w:r>
        <w:rPr>
          <w:rFonts w:cs="Times New Roman"/>
          <w:lang w:val="fr-CA"/>
        </w:rPr>
        <w:t>’</w:t>
      </w:r>
      <w:r w:rsidRPr="00375EDE">
        <w:rPr>
          <w:rFonts w:cs="Times New Roman"/>
          <w:lang w:val="fr-CA"/>
        </w:rPr>
        <w:t>AER d</w:t>
      </w:r>
      <w:r>
        <w:rPr>
          <w:rFonts w:cs="Times New Roman"/>
          <w:lang w:val="fr-CA"/>
        </w:rPr>
        <w:t>’</w:t>
      </w:r>
      <w:r w:rsidRPr="00375EDE">
        <w:rPr>
          <w:rFonts w:cs="Times New Roman"/>
          <w:lang w:val="fr-CA"/>
        </w:rPr>
        <w:t>assurer le respect des obligations d</w:t>
      </w:r>
      <w:r>
        <w:rPr>
          <w:rFonts w:cs="Times New Roman"/>
          <w:lang w:val="fr-CA"/>
        </w:rPr>
        <w:t>’</w:t>
      </w:r>
      <w:r w:rsidRPr="00375EDE">
        <w:rPr>
          <w:rFonts w:cs="Times New Roman"/>
          <w:lang w:val="fr-CA"/>
        </w:rPr>
        <w:t xml:space="preserve">abandon et de remise en état de Redwater étaient constitutionnellement inopérantes durant une </w:t>
      </w:r>
      <w:r w:rsidRPr="00375EDE">
        <w:rPr>
          <w:rFonts w:cs="Times New Roman"/>
          <w:lang w:val="fr-CA"/>
        </w:rPr>
        <w:lastRenderedPageBreak/>
        <w:t>faillite. L</w:t>
      </w:r>
      <w:r>
        <w:rPr>
          <w:rFonts w:cs="Times New Roman"/>
          <w:lang w:val="fr-CA"/>
        </w:rPr>
        <w:t>’</w:t>
      </w:r>
      <w:r w:rsidRPr="00375EDE">
        <w:rPr>
          <w:rFonts w:cs="Times New Roman"/>
          <w:lang w:val="fr-CA"/>
        </w:rPr>
        <w:t>AER et l</w:t>
      </w:r>
      <w:r>
        <w:rPr>
          <w:rFonts w:cs="Times New Roman"/>
          <w:lang w:val="fr-CA"/>
        </w:rPr>
        <w:t>’</w:t>
      </w:r>
      <w:r w:rsidRPr="00375EDE">
        <w:rPr>
          <w:rFonts w:cs="Times New Roman"/>
          <w:lang w:val="fr-CA"/>
        </w:rPr>
        <w:t>Orphan Well Association (« OWA ») se sont ensuite pourvus devant la Cour.</w:t>
      </w:r>
    </w:p>
    <w:p w:rsidR="00DF13E5" w:rsidRPr="00375EDE" w:rsidRDefault="00DF13E5" w:rsidP="00DF13E5">
      <w:pPr>
        <w:pStyle w:val="Title1LevelTitre1Niveau-AltL"/>
        <w:rPr>
          <w:rFonts w:cs="Times New Roman"/>
          <w:lang w:val="fr-CA"/>
        </w:rPr>
      </w:pPr>
      <w:r w:rsidRPr="00375EDE">
        <w:rPr>
          <w:rFonts w:cs="Times New Roman"/>
          <w:lang w:val="fr-CA"/>
        </w:rPr>
        <w:t>Analyse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 xml:space="preserve">La </w:t>
      </w:r>
      <w:r w:rsidRPr="00375EDE">
        <w:rPr>
          <w:rFonts w:cs="Times New Roman"/>
          <w:i/>
          <w:lang w:val="fr-CA"/>
        </w:rPr>
        <w:t>Loi constitutionnelle de 1867</w:t>
      </w:r>
      <w:r w:rsidRPr="00375EDE">
        <w:rPr>
          <w:rFonts w:cs="Times New Roman"/>
          <w:lang w:val="fr-CA"/>
        </w:rPr>
        <w:t xml:space="preserve"> confère au gouvernement fédéral la compétence exclusive pour réglementer la faillite et l</w:t>
      </w:r>
      <w:r>
        <w:rPr>
          <w:rFonts w:cs="Times New Roman"/>
          <w:lang w:val="fr-CA"/>
        </w:rPr>
        <w:t>’</w:t>
      </w:r>
      <w:r w:rsidRPr="00375EDE">
        <w:rPr>
          <w:rFonts w:cs="Times New Roman"/>
          <w:lang w:val="fr-CA"/>
        </w:rPr>
        <w:t>insolvabilité (par. 91(21)). Dans l</w:t>
      </w:r>
      <w:r>
        <w:rPr>
          <w:rFonts w:cs="Times New Roman"/>
          <w:lang w:val="fr-CA"/>
        </w:rPr>
        <w:t>’</w:t>
      </w:r>
      <w:r w:rsidRPr="00375EDE">
        <w:rPr>
          <w:rFonts w:cs="Times New Roman"/>
          <w:lang w:val="fr-CA"/>
        </w:rPr>
        <w:t xml:space="preserve">exercice de cette compétence, le Parlement a édicté la </w:t>
      </w:r>
      <w:r w:rsidRPr="00BD198B">
        <w:rPr>
          <w:rFonts w:cs="Times New Roman"/>
          <w:i/>
          <w:lang w:val="fr-CA"/>
        </w:rPr>
        <w:t>LFI</w:t>
      </w:r>
      <w:r w:rsidRPr="00375EDE">
        <w:rPr>
          <w:rFonts w:cs="Times New Roman"/>
          <w:lang w:val="fr-CA"/>
        </w:rPr>
        <w:t>, « </w:t>
      </w:r>
      <w:r w:rsidRPr="00375EDE">
        <w:rPr>
          <w:rFonts w:cs="Times New Roman"/>
          <w:lang w:val="fr-FR"/>
        </w:rPr>
        <w:t>un code complet en matière de faillite</w:t>
      </w:r>
      <w:r w:rsidRPr="00375EDE">
        <w:rPr>
          <w:rFonts w:cs="Times New Roman"/>
          <w:lang w:val="fr-CA"/>
        </w:rPr>
        <w:t> » (</w:t>
      </w:r>
      <w:r w:rsidRPr="00375EDE">
        <w:rPr>
          <w:rFonts w:cs="Times New Roman"/>
          <w:i/>
          <w:lang w:val="fr-CA"/>
        </w:rPr>
        <w:t>Alberta (Procureur général) c. Moloney</w:t>
      </w:r>
      <w:r w:rsidRPr="00375EDE">
        <w:rPr>
          <w:rFonts w:cs="Times New Roman"/>
          <w:lang w:val="fr-CA"/>
        </w:rPr>
        <w:t xml:space="preserve">, 2015 CSC 51, [2015] 3 R.C.S. 327, par. 40; voir aussi </w:t>
      </w:r>
      <w:r w:rsidRPr="00375EDE">
        <w:rPr>
          <w:rFonts w:cs="Times New Roman"/>
          <w:i/>
          <w:lang w:val="fr-CA"/>
        </w:rPr>
        <w:t>Husky Oil Operations Ltd. c. Ministre du Revenu national</w:t>
      </w:r>
      <w:r w:rsidRPr="00375EDE">
        <w:rPr>
          <w:rFonts w:cs="Times New Roman"/>
          <w:lang w:val="fr-CA"/>
        </w:rPr>
        <w:t xml:space="preserve">, [1995] 3 R.C.S. 453, par. 85). La </w:t>
      </w:r>
      <w:r w:rsidRPr="00BD198B">
        <w:rPr>
          <w:rFonts w:cs="Times New Roman"/>
          <w:i/>
          <w:lang w:val="fr-CA"/>
        </w:rPr>
        <w:t>LFI</w:t>
      </w:r>
      <w:r w:rsidRPr="00375EDE">
        <w:rPr>
          <w:rFonts w:cs="Times New Roman"/>
          <w:lang w:val="fr-CA"/>
        </w:rPr>
        <w:t xml:space="preserve"> expose notamment les pouvoirs, obligations et attributions des séquestres et syndics chargés d</w:t>
      </w:r>
      <w:r>
        <w:rPr>
          <w:rFonts w:cs="Times New Roman"/>
          <w:lang w:val="fr-CA"/>
        </w:rPr>
        <w:t>’</w:t>
      </w:r>
      <w:r w:rsidRPr="00375EDE">
        <w:rPr>
          <w:rFonts w:cs="Times New Roman"/>
          <w:lang w:val="fr-CA"/>
        </w:rPr>
        <w:t>administrer l</w:t>
      </w:r>
      <w:r>
        <w:rPr>
          <w:rFonts w:cs="Times New Roman"/>
          <w:lang w:val="fr-CA"/>
        </w:rPr>
        <w:t>’</w:t>
      </w:r>
      <w:r w:rsidRPr="00375EDE">
        <w:rPr>
          <w:rFonts w:cs="Times New Roman"/>
          <w:lang w:val="fr-CA"/>
        </w:rPr>
        <w:t>actif du failli ou l</w:t>
      </w:r>
      <w:r>
        <w:rPr>
          <w:rFonts w:cs="Times New Roman"/>
          <w:lang w:val="fr-CA"/>
        </w:rPr>
        <w:t>’</w:t>
      </w:r>
      <w:r w:rsidRPr="00375EDE">
        <w:rPr>
          <w:rFonts w:cs="Times New Roman"/>
          <w:lang w:val="fr-CA"/>
        </w:rPr>
        <w:t xml:space="preserve">actif insolvable ainsi que la portée des réclamations qui relèvent du processus de faillite (voir </w:t>
      </w:r>
      <w:r w:rsidRPr="00BD198B">
        <w:rPr>
          <w:rFonts w:cs="Times New Roman"/>
          <w:i/>
          <w:lang w:val="fr-CA"/>
        </w:rPr>
        <w:t>LFI</w:t>
      </w:r>
      <w:r w:rsidRPr="00375EDE">
        <w:rPr>
          <w:rFonts w:cs="Times New Roman"/>
          <w:lang w:val="fr-CA"/>
        </w:rPr>
        <w:t>, art. 16 à 38 et 121 à 154).</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Quoique l</w:t>
      </w:r>
      <w:r>
        <w:rPr>
          <w:rFonts w:cs="Times New Roman"/>
          <w:lang w:val="fr-CA"/>
        </w:rPr>
        <w:t>’</w:t>
      </w:r>
      <w:r w:rsidRPr="00375EDE">
        <w:rPr>
          <w:rFonts w:cs="Times New Roman"/>
          <w:lang w:val="fr-CA"/>
        </w:rPr>
        <w:t xml:space="preserve">application de la </w:t>
      </w:r>
      <w:r w:rsidRPr="00BD198B">
        <w:rPr>
          <w:rFonts w:cs="Times New Roman"/>
          <w:i/>
          <w:lang w:val="fr-CA"/>
        </w:rPr>
        <w:t>LFI</w:t>
      </w:r>
      <w:r w:rsidRPr="00375EDE">
        <w:rPr>
          <w:rFonts w:cs="Times New Roman"/>
          <w:lang w:val="fr-CA"/>
        </w:rPr>
        <w:t xml:space="preserve"> « dépend[e] </w:t>
      </w:r>
      <w:r w:rsidRPr="00375EDE">
        <w:rPr>
          <w:rFonts w:cs="Times New Roman"/>
          <w:lang w:val="fr-FR"/>
        </w:rPr>
        <w:t>de la subsistance de divers droits provinciaux »</w:t>
      </w:r>
      <w:r w:rsidRPr="00375EDE">
        <w:rPr>
          <w:rFonts w:cs="Times New Roman"/>
          <w:lang w:val="fr-CA"/>
        </w:rPr>
        <w:t xml:space="preserve"> (</w:t>
      </w:r>
      <w:r w:rsidRPr="00375EDE">
        <w:rPr>
          <w:rFonts w:cs="Times New Roman"/>
          <w:i/>
          <w:lang w:val="fr-CA"/>
        </w:rPr>
        <w:t>Moloney</w:t>
      </w:r>
      <w:r w:rsidRPr="00375EDE">
        <w:rPr>
          <w:rFonts w:cs="Times New Roman"/>
          <w:lang w:val="fr-CA"/>
        </w:rPr>
        <w:t>, par. 40), ce n</w:t>
      </w:r>
      <w:r>
        <w:rPr>
          <w:rFonts w:cs="Times New Roman"/>
          <w:lang w:val="fr-CA"/>
        </w:rPr>
        <w:t>’</w:t>
      </w:r>
      <w:r w:rsidRPr="00375EDE">
        <w:rPr>
          <w:rFonts w:cs="Times New Roman"/>
          <w:lang w:val="fr-CA"/>
        </w:rPr>
        <w:t xml:space="preserve">est vrai que dans la mesure où « les </w:t>
      </w:r>
      <w:r w:rsidRPr="00375EDE">
        <w:rPr>
          <w:rFonts w:cs="Times New Roman"/>
          <w:lang w:val="fr-FR"/>
        </w:rPr>
        <w:t>dispositions de droit substantif d</w:t>
      </w:r>
      <w:r>
        <w:rPr>
          <w:rFonts w:cs="Times New Roman"/>
          <w:lang w:val="fr-FR"/>
        </w:rPr>
        <w:t>’</w:t>
      </w:r>
      <w:r w:rsidRPr="00375EDE">
        <w:rPr>
          <w:rFonts w:cs="Times New Roman"/>
          <w:lang w:val="fr-FR"/>
        </w:rPr>
        <w:t>une [.</w:t>
      </w:r>
      <w:r w:rsidRPr="00375EDE">
        <w:rPr>
          <w:rFonts w:cs="Times New Roman"/>
          <w:lang w:val="fr-CA"/>
        </w:rPr>
        <w:t> . .</w:t>
      </w:r>
      <w:r w:rsidRPr="00375EDE">
        <w:rPr>
          <w:rFonts w:cs="Times New Roman"/>
          <w:lang w:val="fr-FR"/>
        </w:rPr>
        <w:t xml:space="preserve">] loi ou règle de droit [provinciale] concernant la propriété [. . .] [ne sont pas] incompatibles avec la </w:t>
      </w:r>
      <w:r w:rsidRPr="00375EDE">
        <w:rPr>
          <w:rFonts w:cs="Times New Roman"/>
          <w:lang w:val="fr-CA"/>
        </w:rPr>
        <w:t>[</w:t>
      </w:r>
      <w:r w:rsidRPr="00BD198B">
        <w:rPr>
          <w:rFonts w:cs="Times New Roman"/>
          <w:i/>
          <w:lang w:val="fr-CA"/>
        </w:rPr>
        <w:t>LFI</w:t>
      </w:r>
      <w:r w:rsidRPr="00375EDE">
        <w:rPr>
          <w:rFonts w:cs="Times New Roman"/>
          <w:lang w:val="fr-CA"/>
        </w:rPr>
        <w:t>] » (</w:t>
      </w:r>
      <w:r w:rsidRPr="00BD198B">
        <w:rPr>
          <w:rFonts w:cs="Times New Roman"/>
          <w:i/>
          <w:lang w:val="fr-CA"/>
        </w:rPr>
        <w:t>LFI</w:t>
      </w:r>
      <w:r w:rsidRPr="00375EDE">
        <w:rPr>
          <w:rFonts w:cs="Times New Roman"/>
          <w:lang w:val="fr-CA"/>
        </w:rPr>
        <w:t>, par. 72(1)). Lorsqu</w:t>
      </w:r>
      <w:r>
        <w:rPr>
          <w:rFonts w:cs="Times New Roman"/>
          <w:lang w:val="fr-CA"/>
        </w:rPr>
        <w:t>’</w:t>
      </w:r>
      <w:r w:rsidRPr="00375EDE">
        <w:rPr>
          <w:rFonts w:cs="Times New Roman"/>
          <w:lang w:val="fr-CA"/>
        </w:rPr>
        <w:t xml:space="preserve">il y a un conflit, la </w:t>
      </w:r>
      <w:r w:rsidRPr="00907D74">
        <w:rPr>
          <w:rFonts w:cs="Times New Roman"/>
          <w:i/>
          <w:lang w:val="fr-CA"/>
        </w:rPr>
        <w:t>LFI</w:t>
      </w:r>
      <w:r w:rsidRPr="00375EDE">
        <w:rPr>
          <w:rFonts w:cs="Times New Roman"/>
          <w:lang w:val="fr-CA"/>
        </w:rPr>
        <w:t xml:space="preserve"> doit prévaloir (</w:t>
      </w:r>
      <w:r w:rsidRPr="00375EDE">
        <w:rPr>
          <w:rFonts w:cs="Times New Roman"/>
          <w:i/>
          <w:lang w:val="fr-CA"/>
        </w:rPr>
        <w:t>Moloney</w:t>
      </w:r>
      <w:r w:rsidRPr="00375EDE">
        <w:rPr>
          <w:rFonts w:cs="Times New Roman"/>
          <w:lang w:val="fr-CA"/>
        </w:rPr>
        <w:t xml:space="preserve">, par. 16 et 29; </w:t>
      </w:r>
      <w:r w:rsidRPr="00375EDE">
        <w:rPr>
          <w:rFonts w:cs="Times New Roman"/>
          <w:i/>
          <w:lang w:val="fr-CA"/>
        </w:rPr>
        <w:t>Saskatchewan (Procureur général) c. Lemare Lake Logging Ltd.</w:t>
      </w:r>
      <w:r w:rsidRPr="00375EDE">
        <w:rPr>
          <w:rFonts w:cs="Times New Roman"/>
          <w:lang w:val="fr-CA"/>
        </w:rPr>
        <w:t>, 2015 CSC 53, [2015] 3 R.C.S. 419, par. 16). Cela reflète le principe constitutionnel selon lequel les lois fédérales sont prépondérantes (</w:t>
      </w:r>
      <w:r w:rsidRPr="00375EDE">
        <w:rPr>
          <w:rFonts w:cs="Times New Roman"/>
          <w:i/>
          <w:lang w:val="fr-CA"/>
        </w:rPr>
        <w:t>Banque canadienne de l</w:t>
      </w:r>
      <w:r>
        <w:rPr>
          <w:rFonts w:cs="Times New Roman"/>
          <w:i/>
          <w:lang w:val="fr-CA"/>
        </w:rPr>
        <w:t>’</w:t>
      </w:r>
      <w:r w:rsidRPr="00375EDE">
        <w:rPr>
          <w:rFonts w:cs="Times New Roman"/>
          <w:i/>
          <w:lang w:val="fr-CA"/>
        </w:rPr>
        <w:t>Ouest c. Alberta</w:t>
      </w:r>
      <w:r w:rsidRPr="00375EDE">
        <w:rPr>
          <w:rFonts w:cs="Times New Roman"/>
          <w:lang w:val="fr-CA"/>
        </w:rPr>
        <w:t>, 2007 CSC 22, [2007] 2 R.C.S. 3, par. 32).</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lastRenderedPageBreak/>
        <w:t>Les intimé</w:t>
      </w:r>
      <w:r>
        <w:rPr>
          <w:rFonts w:cs="Times New Roman"/>
          <w:lang w:val="fr-CA"/>
        </w:rPr>
        <w:t>e</w:t>
      </w:r>
      <w:r w:rsidRPr="00375EDE">
        <w:rPr>
          <w:rFonts w:cs="Times New Roman"/>
          <w:lang w:val="fr-CA"/>
        </w:rPr>
        <w:t>s en l</w:t>
      </w:r>
      <w:r>
        <w:rPr>
          <w:rFonts w:cs="Times New Roman"/>
          <w:lang w:val="fr-CA"/>
        </w:rPr>
        <w:t>’</w:t>
      </w:r>
      <w:r w:rsidRPr="00375EDE">
        <w:rPr>
          <w:rFonts w:cs="Times New Roman"/>
          <w:lang w:val="fr-CA"/>
        </w:rPr>
        <w:t>espèce — GTL et ATB Financial — plaident qu</w:t>
      </w:r>
      <w:r>
        <w:rPr>
          <w:rFonts w:cs="Times New Roman"/>
          <w:lang w:val="fr-CA"/>
        </w:rPr>
        <w:t>’</w:t>
      </w:r>
      <w:r w:rsidRPr="00375EDE">
        <w:rPr>
          <w:rFonts w:cs="Times New Roman"/>
          <w:lang w:val="fr-CA"/>
        </w:rPr>
        <w:t>il existe deux conflits distincts entre la législation fédérale et la législation provinciale. D</w:t>
      </w:r>
      <w:r>
        <w:rPr>
          <w:rFonts w:cs="Times New Roman"/>
          <w:lang w:val="fr-CA"/>
        </w:rPr>
        <w:t>’</w:t>
      </w:r>
      <w:r w:rsidRPr="00375EDE">
        <w:rPr>
          <w:rFonts w:cs="Times New Roman"/>
          <w:lang w:val="fr-CA"/>
        </w:rPr>
        <w:t xml:space="preserve">abord, ils soutiennent que la </w:t>
      </w:r>
      <w:r w:rsidRPr="00BD198B">
        <w:rPr>
          <w:rFonts w:cs="Times New Roman"/>
          <w:i/>
          <w:lang w:val="fr-CA"/>
        </w:rPr>
        <w:t xml:space="preserve">LFI </w:t>
      </w:r>
      <w:r w:rsidRPr="00375EDE">
        <w:rPr>
          <w:rFonts w:cs="Times New Roman"/>
          <w:lang w:val="fr-CA"/>
        </w:rPr>
        <w:t>confère aux séquestres et aux syndics le pouvoir de renoncer à tout intérêt sur un bien réel, même lorsque le séquestre ou le syndic ne risque pas d</w:t>
      </w:r>
      <w:r>
        <w:rPr>
          <w:rFonts w:cs="Times New Roman"/>
          <w:lang w:val="fr-CA"/>
        </w:rPr>
        <w:t>’</w:t>
      </w:r>
      <w:r w:rsidRPr="00375EDE">
        <w:rPr>
          <w:rFonts w:cs="Times New Roman"/>
          <w:lang w:val="fr-CA"/>
        </w:rPr>
        <w:t>engager sa responsabilité personnelle du fait qu</w:t>
      </w:r>
      <w:r>
        <w:rPr>
          <w:rFonts w:cs="Times New Roman"/>
          <w:lang w:val="fr-CA"/>
        </w:rPr>
        <w:t>’</w:t>
      </w:r>
      <w:r w:rsidRPr="00375EDE">
        <w:rPr>
          <w:rFonts w:cs="Times New Roman"/>
          <w:lang w:val="fr-CA"/>
        </w:rPr>
        <w:t>il est en possession du bien. Ce pouvoir de renonciation permet aux syndics de renoncer aux biens sans valeur et grevés d</w:t>
      </w:r>
      <w:r>
        <w:rPr>
          <w:rFonts w:cs="Times New Roman"/>
          <w:lang w:val="fr-CA"/>
        </w:rPr>
        <w:t>’</w:t>
      </w:r>
      <w:r w:rsidRPr="00375EDE">
        <w:rPr>
          <w:rFonts w:cs="Times New Roman"/>
          <w:lang w:val="fr-CA"/>
        </w:rPr>
        <w:t>engagements du failli en vue d</w:t>
      </w:r>
      <w:r>
        <w:rPr>
          <w:rFonts w:cs="Times New Roman"/>
          <w:lang w:val="fr-CA"/>
        </w:rPr>
        <w:t>’</w:t>
      </w:r>
      <w:r w:rsidRPr="00375EDE">
        <w:rPr>
          <w:rFonts w:cs="Times New Roman"/>
          <w:lang w:val="fr-CA"/>
        </w:rPr>
        <w:t>atteindre leur objectif premier : maximiser le recouvrement global pour tous les créanciers. Les intimé</w:t>
      </w:r>
      <w:r>
        <w:rPr>
          <w:rFonts w:cs="Times New Roman"/>
          <w:lang w:val="fr-CA"/>
        </w:rPr>
        <w:t>e</w:t>
      </w:r>
      <w:r w:rsidRPr="00375EDE">
        <w:rPr>
          <w:rFonts w:cs="Times New Roman"/>
          <w:lang w:val="fr-CA"/>
        </w:rPr>
        <w:t>s soutiennent que GTL a valablement renoncé aux biens inexploités et qu</w:t>
      </w:r>
      <w:r>
        <w:rPr>
          <w:rFonts w:cs="Times New Roman"/>
          <w:lang w:val="fr-CA"/>
        </w:rPr>
        <w:t>’</w:t>
      </w:r>
      <w:r w:rsidRPr="00375EDE">
        <w:rPr>
          <w:rFonts w:cs="Times New Roman"/>
          <w:lang w:val="fr-CA"/>
        </w:rPr>
        <w:t>il ne peut donc être tenu responsable de l</w:t>
      </w:r>
      <w:r>
        <w:rPr>
          <w:rFonts w:cs="Times New Roman"/>
          <w:lang w:val="fr-CA"/>
        </w:rPr>
        <w:t>’</w:t>
      </w:r>
      <w:r w:rsidRPr="00375EDE">
        <w:rPr>
          <w:rFonts w:cs="Times New Roman"/>
          <w:lang w:val="fr-CA"/>
        </w:rPr>
        <w:t>exécution des ordonnances d</w:t>
      </w:r>
      <w:r>
        <w:rPr>
          <w:rFonts w:cs="Times New Roman"/>
          <w:lang w:val="fr-CA"/>
        </w:rPr>
        <w:t>’</w:t>
      </w:r>
      <w:r w:rsidRPr="00375EDE">
        <w:rPr>
          <w:rFonts w:cs="Times New Roman"/>
          <w:lang w:val="fr-CA"/>
        </w:rPr>
        <w:t>abandon; l</w:t>
      </w:r>
      <w:r>
        <w:rPr>
          <w:rFonts w:cs="Times New Roman"/>
          <w:lang w:val="fr-CA"/>
        </w:rPr>
        <w:t>’</w:t>
      </w:r>
      <w:r w:rsidRPr="00375EDE">
        <w:rPr>
          <w:rFonts w:cs="Times New Roman"/>
          <w:lang w:val="fr-CA"/>
        </w:rPr>
        <w:t>AER ne peut pas non plus faire dépendre la vente des biens de Redwater de l</w:t>
      </w:r>
      <w:r>
        <w:rPr>
          <w:rFonts w:cs="Times New Roman"/>
          <w:lang w:val="fr-CA"/>
        </w:rPr>
        <w:t>’</w:t>
      </w:r>
      <w:r w:rsidRPr="00375EDE">
        <w:rPr>
          <w:rFonts w:cs="Times New Roman"/>
          <w:lang w:val="fr-CA"/>
        </w:rPr>
        <w:t>acquittement d</w:t>
      </w:r>
      <w:r>
        <w:rPr>
          <w:rFonts w:cs="Times New Roman"/>
          <w:lang w:val="fr-CA"/>
        </w:rPr>
        <w:t>’</w:t>
      </w:r>
      <w:r w:rsidRPr="00375EDE">
        <w:rPr>
          <w:rFonts w:cs="Times New Roman"/>
          <w:lang w:val="fr-CA"/>
        </w:rPr>
        <w:t>obligations à l</w:t>
      </w:r>
      <w:r>
        <w:rPr>
          <w:rFonts w:cs="Times New Roman"/>
          <w:lang w:val="fr-CA"/>
        </w:rPr>
        <w:t>’</w:t>
      </w:r>
      <w:r w:rsidRPr="00375EDE">
        <w:rPr>
          <w:rFonts w:cs="Times New Roman"/>
          <w:lang w:val="fr-CA"/>
        </w:rPr>
        <w:t>égard des biens faisant l</w:t>
      </w:r>
      <w:r>
        <w:rPr>
          <w:rFonts w:cs="Times New Roman"/>
          <w:lang w:val="fr-CA"/>
        </w:rPr>
        <w:t>’</w:t>
      </w:r>
      <w:r w:rsidRPr="00375EDE">
        <w:rPr>
          <w:rFonts w:cs="Times New Roman"/>
          <w:lang w:val="fr-CA"/>
        </w:rPr>
        <w:t>objet de la renonciation.</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Ensuite, ils soutiennent que les ordonnances d</w:t>
      </w:r>
      <w:r>
        <w:rPr>
          <w:rFonts w:cs="Times New Roman"/>
          <w:lang w:val="fr-CA"/>
        </w:rPr>
        <w:t>’</w:t>
      </w:r>
      <w:r w:rsidRPr="00375EDE">
        <w:rPr>
          <w:rFonts w:cs="Times New Roman"/>
          <w:lang w:val="fr-CA"/>
        </w:rPr>
        <w:t>abandon de l</w:t>
      </w:r>
      <w:r>
        <w:rPr>
          <w:rFonts w:cs="Times New Roman"/>
          <w:lang w:val="fr-CA"/>
        </w:rPr>
        <w:t>’</w:t>
      </w:r>
      <w:r w:rsidRPr="00375EDE">
        <w:rPr>
          <w:rFonts w:cs="Times New Roman"/>
          <w:lang w:val="fr-CA"/>
        </w:rPr>
        <w:t xml:space="preserve">AER constituent des « réclamations prouvables en matière de faillite ». À leur avis, ce serait saper le régime de priorités établi par la </w:t>
      </w:r>
      <w:r w:rsidRPr="00BD198B">
        <w:rPr>
          <w:rFonts w:cs="Times New Roman"/>
          <w:i/>
          <w:lang w:val="fr-CA"/>
        </w:rPr>
        <w:t xml:space="preserve">LFI </w:t>
      </w:r>
      <w:r w:rsidRPr="00375EDE">
        <w:rPr>
          <w:rFonts w:cs="Times New Roman"/>
          <w:lang w:val="fr-CA"/>
        </w:rPr>
        <w:t>que de permettre à l</w:t>
      </w:r>
      <w:r>
        <w:rPr>
          <w:rFonts w:cs="Times New Roman"/>
          <w:lang w:val="fr-CA"/>
        </w:rPr>
        <w:t>’</w:t>
      </w:r>
      <w:r w:rsidRPr="00375EDE">
        <w:rPr>
          <w:rFonts w:cs="Times New Roman"/>
          <w:lang w:val="fr-CA"/>
        </w:rPr>
        <w:t>AER de faire valoir ces réclamations en dehors du processus de faillite — et en priorité par rapport aux créanciers garantis de l</w:t>
      </w:r>
      <w:r>
        <w:rPr>
          <w:rFonts w:cs="Times New Roman"/>
          <w:lang w:val="fr-CA"/>
        </w:rPr>
        <w:t>’</w:t>
      </w:r>
      <w:r w:rsidRPr="00375EDE">
        <w:rPr>
          <w:rFonts w:cs="Times New Roman"/>
          <w:lang w:val="fr-CA"/>
        </w:rPr>
        <w:t>actif — que ce soit en obligeant GTL à exécuter ces ordonnances, ou en faisant dépendre la vente des biens de valeur de Redwater de l</w:t>
      </w:r>
      <w:r>
        <w:rPr>
          <w:rFonts w:cs="Times New Roman"/>
          <w:lang w:val="fr-CA"/>
        </w:rPr>
        <w:t>’</w:t>
      </w:r>
      <w:r w:rsidRPr="00375EDE">
        <w:rPr>
          <w:rFonts w:cs="Times New Roman"/>
          <w:lang w:val="fr-CA"/>
        </w:rPr>
        <w:t>acquittement de ces obligations.</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À mon avis, GTL et ATB Financial se sont acquittés de leur fardeau de démontrer qu</w:t>
      </w:r>
      <w:r>
        <w:rPr>
          <w:rFonts w:cs="Times New Roman"/>
          <w:lang w:val="fr-CA"/>
        </w:rPr>
        <w:t>’</w:t>
      </w:r>
      <w:r w:rsidRPr="00375EDE">
        <w:rPr>
          <w:rFonts w:cs="Times New Roman"/>
          <w:lang w:val="fr-CA"/>
        </w:rPr>
        <w:t>il existe une incompatibilité véritable entre la loi fédérale et la loi provinciale selon les deux volets du test de la prépondérance. Dans les paragraphes qui suivent, j</w:t>
      </w:r>
      <w:r>
        <w:rPr>
          <w:rFonts w:cs="Times New Roman"/>
          <w:lang w:val="fr-CA"/>
        </w:rPr>
        <w:t>’</w:t>
      </w:r>
      <w:r w:rsidRPr="00375EDE">
        <w:rPr>
          <w:rFonts w:cs="Times New Roman"/>
          <w:lang w:val="fr-CA"/>
        </w:rPr>
        <w:t>analyse d</w:t>
      </w:r>
      <w:r>
        <w:rPr>
          <w:rFonts w:cs="Times New Roman"/>
          <w:lang w:val="fr-CA"/>
        </w:rPr>
        <w:t>’</w:t>
      </w:r>
      <w:r w:rsidRPr="00375EDE">
        <w:rPr>
          <w:rFonts w:cs="Times New Roman"/>
          <w:lang w:val="fr-CA"/>
        </w:rPr>
        <w:t>abord le conflit d</w:t>
      </w:r>
      <w:r>
        <w:rPr>
          <w:rFonts w:cs="Times New Roman"/>
          <w:lang w:val="fr-CA"/>
        </w:rPr>
        <w:t>’</w:t>
      </w:r>
      <w:r w:rsidRPr="00375EDE">
        <w:rPr>
          <w:rFonts w:cs="Times New Roman"/>
          <w:lang w:val="fr-CA"/>
        </w:rPr>
        <w:t xml:space="preserve">application qui existe entre le régime de </w:t>
      </w:r>
      <w:r w:rsidRPr="00375EDE">
        <w:rPr>
          <w:rFonts w:cs="Times New Roman"/>
          <w:lang w:val="fr-CA"/>
        </w:rPr>
        <w:lastRenderedPageBreak/>
        <w:t xml:space="preserve">réglementation albertain et le par. 14.06(4) de la </w:t>
      </w:r>
      <w:r w:rsidRPr="00BD198B">
        <w:rPr>
          <w:rFonts w:cs="Times New Roman"/>
          <w:i/>
          <w:lang w:val="fr-CA"/>
        </w:rPr>
        <w:t>LFI</w:t>
      </w:r>
      <w:r w:rsidRPr="00375EDE">
        <w:rPr>
          <w:rFonts w:cs="Times New Roman"/>
          <w:lang w:val="fr-CA"/>
        </w:rPr>
        <w:t>. J</w:t>
      </w:r>
      <w:r>
        <w:rPr>
          <w:rFonts w:cs="Times New Roman"/>
          <w:lang w:val="fr-CA"/>
        </w:rPr>
        <w:t>’</w:t>
      </w:r>
      <w:r w:rsidRPr="00375EDE">
        <w:rPr>
          <w:rFonts w:cs="Times New Roman"/>
          <w:lang w:val="fr-CA"/>
        </w:rPr>
        <w:t>examine ensuite le second volet de l</w:t>
      </w:r>
      <w:r>
        <w:rPr>
          <w:rFonts w:cs="Times New Roman"/>
          <w:lang w:val="fr-CA"/>
        </w:rPr>
        <w:t>’</w:t>
      </w:r>
      <w:r w:rsidRPr="00375EDE">
        <w:rPr>
          <w:rFonts w:cs="Times New Roman"/>
          <w:lang w:val="fr-CA"/>
        </w:rPr>
        <w:t>analyse relative à la prépondérance, l</w:t>
      </w:r>
      <w:r>
        <w:rPr>
          <w:rFonts w:cs="Times New Roman"/>
          <w:lang w:val="fr-CA"/>
        </w:rPr>
        <w:t>’</w:t>
      </w:r>
      <w:r w:rsidRPr="00375EDE">
        <w:rPr>
          <w:rFonts w:cs="Times New Roman"/>
          <w:lang w:val="fr-CA"/>
        </w:rPr>
        <w:t>entrave à la réalisation d</w:t>
      </w:r>
      <w:r>
        <w:rPr>
          <w:rFonts w:cs="Times New Roman"/>
          <w:lang w:val="fr-CA"/>
        </w:rPr>
        <w:t>’</w:t>
      </w:r>
      <w:r w:rsidRPr="00375EDE">
        <w:rPr>
          <w:rFonts w:cs="Times New Roman"/>
          <w:lang w:val="fr-CA"/>
        </w:rPr>
        <w:t>un objet fédéral.</w:t>
      </w:r>
    </w:p>
    <w:p w:rsidR="00DF13E5" w:rsidRPr="00375EDE" w:rsidRDefault="00DF13E5" w:rsidP="00DF13E5">
      <w:pPr>
        <w:pStyle w:val="Title2LevelTitre2Niveau"/>
        <w:rPr>
          <w:rFonts w:cs="Times New Roman"/>
          <w:lang w:val="fr-CA"/>
        </w:rPr>
      </w:pPr>
      <w:r w:rsidRPr="00375EDE">
        <w:rPr>
          <w:rFonts w:cs="Times New Roman"/>
          <w:lang w:val="fr-CA"/>
        </w:rPr>
        <w:t>Conflit d</w:t>
      </w:r>
      <w:r>
        <w:rPr>
          <w:rFonts w:cs="Times New Roman"/>
          <w:lang w:val="fr-CA"/>
        </w:rPr>
        <w:t>’</w:t>
      </w:r>
      <w:r w:rsidRPr="00375EDE">
        <w:rPr>
          <w:rFonts w:cs="Times New Roman"/>
          <w:lang w:val="fr-CA"/>
        </w:rPr>
        <w:t>application</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Le premier volet du test de la prépondérance est le conflit d</w:t>
      </w:r>
      <w:r>
        <w:rPr>
          <w:rFonts w:cs="Times New Roman"/>
          <w:lang w:val="fr-CA"/>
        </w:rPr>
        <w:t>’</w:t>
      </w:r>
      <w:r w:rsidRPr="00375EDE">
        <w:rPr>
          <w:rFonts w:cs="Times New Roman"/>
          <w:lang w:val="fr-CA"/>
        </w:rPr>
        <w:t>application. Il y a conflit d</w:t>
      </w:r>
      <w:r>
        <w:rPr>
          <w:rFonts w:cs="Times New Roman"/>
          <w:lang w:val="fr-CA"/>
        </w:rPr>
        <w:t>’</w:t>
      </w:r>
      <w:r w:rsidRPr="00375EDE">
        <w:rPr>
          <w:rFonts w:cs="Times New Roman"/>
          <w:lang w:val="fr-CA"/>
        </w:rPr>
        <w:t>application lorsqu</w:t>
      </w:r>
      <w:r>
        <w:rPr>
          <w:rFonts w:cs="Times New Roman"/>
          <w:lang w:val="fr-CA"/>
        </w:rPr>
        <w:t>’</w:t>
      </w:r>
      <w:r w:rsidRPr="00375EDE">
        <w:rPr>
          <w:rFonts w:cs="Times New Roman"/>
          <w:lang w:val="fr-CA"/>
        </w:rPr>
        <w:t>« il est impossible de respecter les deux lois » (</w:t>
      </w:r>
      <w:r w:rsidRPr="00375EDE">
        <w:rPr>
          <w:rFonts w:cs="Times New Roman"/>
          <w:i/>
          <w:lang w:val="fr-CA"/>
        </w:rPr>
        <w:t>Moloney</w:t>
      </w:r>
      <w:r w:rsidRPr="00375EDE">
        <w:rPr>
          <w:rFonts w:cs="Times New Roman"/>
          <w:lang w:val="fr-CA"/>
        </w:rPr>
        <w:t>, par. 18) — « </w:t>
      </w:r>
      <w:r w:rsidRPr="00375EDE">
        <w:rPr>
          <w:rFonts w:cs="Times New Roman"/>
          <w:lang w:val="fr-FR"/>
        </w:rPr>
        <w:t>lorsqu</w:t>
      </w:r>
      <w:r>
        <w:rPr>
          <w:rFonts w:cs="Times New Roman"/>
          <w:lang w:val="fr-FR"/>
        </w:rPr>
        <w:t>’</w:t>
      </w:r>
      <w:r w:rsidRPr="00375EDE">
        <w:rPr>
          <w:rFonts w:cs="Times New Roman"/>
          <w:lang w:val="fr-FR"/>
        </w:rPr>
        <w:t xml:space="preserve">une loi dit </w:t>
      </w:r>
      <w:r w:rsidRPr="00375EDE">
        <w:rPr>
          <w:rFonts w:cs="Times New Roman"/>
          <w:lang w:val="fr-CA"/>
        </w:rPr>
        <w:t>“</w:t>
      </w:r>
      <w:r w:rsidRPr="00375EDE">
        <w:rPr>
          <w:rFonts w:cs="Times New Roman"/>
          <w:lang w:val="fr-FR"/>
        </w:rPr>
        <w:t>oui</w:t>
      </w:r>
      <w:r w:rsidRPr="00375EDE">
        <w:rPr>
          <w:rFonts w:cs="Times New Roman"/>
          <w:lang w:val="fr-CA"/>
        </w:rPr>
        <w:t>”</w:t>
      </w:r>
      <w:r w:rsidRPr="00375EDE">
        <w:rPr>
          <w:rFonts w:cs="Times New Roman"/>
          <w:lang w:val="fr-FR"/>
        </w:rPr>
        <w:t xml:space="preserve"> et que l</w:t>
      </w:r>
      <w:r>
        <w:rPr>
          <w:rFonts w:cs="Times New Roman"/>
          <w:lang w:val="fr-FR"/>
        </w:rPr>
        <w:t>’</w:t>
      </w:r>
      <w:r w:rsidRPr="00375EDE">
        <w:rPr>
          <w:rFonts w:cs="Times New Roman"/>
          <w:lang w:val="fr-FR"/>
        </w:rPr>
        <w:t xml:space="preserve">autre dit </w:t>
      </w:r>
      <w:r w:rsidRPr="00375EDE">
        <w:rPr>
          <w:rFonts w:cs="Times New Roman"/>
          <w:lang w:val="fr-CA"/>
        </w:rPr>
        <w:t>“</w:t>
      </w:r>
      <w:r w:rsidRPr="00375EDE">
        <w:rPr>
          <w:rFonts w:cs="Times New Roman"/>
          <w:lang w:val="fr-FR"/>
        </w:rPr>
        <w:t>non</w:t>
      </w:r>
      <w:r w:rsidRPr="00375EDE">
        <w:rPr>
          <w:rFonts w:cs="Times New Roman"/>
          <w:lang w:val="fr-CA"/>
        </w:rPr>
        <w:t>” », ou lorsque l</w:t>
      </w:r>
      <w:r>
        <w:rPr>
          <w:rFonts w:cs="Times New Roman"/>
          <w:lang w:val="fr-CA"/>
        </w:rPr>
        <w:t>’</w:t>
      </w:r>
      <w:r w:rsidRPr="00375EDE">
        <w:rPr>
          <w:rFonts w:cs="Times New Roman"/>
          <w:lang w:val="fr-CA"/>
        </w:rPr>
        <w:t>« </w:t>
      </w:r>
      <w:r w:rsidRPr="00375EDE">
        <w:rPr>
          <w:rFonts w:cs="Times New Roman"/>
          <w:lang w:val="fr-FR"/>
        </w:rPr>
        <w:t>on demande aux mêmes citoyens d</w:t>
      </w:r>
      <w:r>
        <w:rPr>
          <w:rFonts w:cs="Times New Roman"/>
          <w:lang w:val="fr-FR"/>
        </w:rPr>
        <w:t>’</w:t>
      </w:r>
      <w:r w:rsidRPr="00375EDE">
        <w:rPr>
          <w:rFonts w:cs="Times New Roman"/>
          <w:lang w:val="fr-FR"/>
        </w:rPr>
        <w:t>accomplir des actes incompatibles</w:t>
      </w:r>
      <w:r w:rsidRPr="00375EDE">
        <w:rPr>
          <w:rFonts w:cs="Times New Roman"/>
          <w:lang w:val="fr-CA"/>
        </w:rPr>
        <w:t> » (</w:t>
      </w:r>
      <w:r w:rsidRPr="00375EDE">
        <w:rPr>
          <w:rFonts w:cs="Times New Roman"/>
          <w:i/>
          <w:lang w:val="fr-CA"/>
        </w:rPr>
        <w:t>Multiple Access Ltd. c. McCutcheon</w:t>
      </w:r>
      <w:r w:rsidRPr="00375EDE">
        <w:rPr>
          <w:rFonts w:cs="Times New Roman"/>
          <w:lang w:val="fr-CA"/>
        </w:rPr>
        <w:t xml:space="preserve">, [1982] 2 R.C.S. 161, p. 191; voir aussi </w:t>
      </w:r>
      <w:r w:rsidRPr="00375EDE">
        <w:rPr>
          <w:rFonts w:cs="Times New Roman"/>
          <w:i/>
          <w:lang w:val="fr-CA"/>
        </w:rPr>
        <w:t>Lemare Lake</w:t>
      </w:r>
      <w:r w:rsidRPr="00375EDE">
        <w:rPr>
          <w:rFonts w:cs="Times New Roman"/>
          <w:lang w:val="fr-CA"/>
        </w:rPr>
        <w:t>, par. 18).</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w:t>
      </w:r>
      <w:r>
        <w:rPr>
          <w:rFonts w:cs="Times New Roman"/>
          <w:lang w:val="fr-CA"/>
        </w:rPr>
        <w:t>’</w:t>
      </w:r>
      <w:r w:rsidRPr="00375EDE">
        <w:rPr>
          <w:rFonts w:cs="Times New Roman"/>
          <w:lang w:val="fr-CA"/>
        </w:rPr>
        <w:t>analyse relative au conflit d</w:t>
      </w:r>
      <w:r>
        <w:rPr>
          <w:rFonts w:cs="Times New Roman"/>
          <w:lang w:val="fr-CA"/>
        </w:rPr>
        <w:t>’</w:t>
      </w:r>
      <w:r w:rsidRPr="00375EDE">
        <w:rPr>
          <w:rFonts w:cs="Times New Roman"/>
          <w:lang w:val="fr-CA"/>
        </w:rPr>
        <w:t>application relève essentiellement de l</w:t>
      </w:r>
      <w:r>
        <w:rPr>
          <w:rFonts w:cs="Times New Roman"/>
          <w:lang w:val="fr-CA"/>
        </w:rPr>
        <w:t>’</w:t>
      </w:r>
      <w:r w:rsidRPr="00375EDE">
        <w:rPr>
          <w:rFonts w:cs="Times New Roman"/>
          <w:lang w:val="fr-CA"/>
        </w:rPr>
        <w:t>interprétation des lois : la Cour doit déterminer le sens de chaque loi concurrente afin de décider s</w:t>
      </w:r>
      <w:r>
        <w:rPr>
          <w:rFonts w:cs="Times New Roman"/>
          <w:lang w:val="fr-CA"/>
        </w:rPr>
        <w:t>’</w:t>
      </w:r>
      <w:r w:rsidRPr="00375EDE">
        <w:rPr>
          <w:rFonts w:cs="Times New Roman"/>
          <w:lang w:val="fr-CA"/>
        </w:rPr>
        <w:t>il est possible de respecter les deux lois. Bien que cette démarche d</w:t>
      </w:r>
      <w:r>
        <w:rPr>
          <w:rFonts w:cs="Times New Roman"/>
          <w:lang w:val="fr-CA"/>
        </w:rPr>
        <w:t>’</w:t>
      </w:r>
      <w:r w:rsidRPr="00375EDE">
        <w:rPr>
          <w:rFonts w:cs="Times New Roman"/>
          <w:lang w:val="fr-CA"/>
        </w:rPr>
        <w:t>interprétation s</w:t>
      </w:r>
      <w:r>
        <w:rPr>
          <w:rFonts w:cs="Times New Roman"/>
          <w:lang w:val="fr-CA"/>
        </w:rPr>
        <w:t>’</w:t>
      </w:r>
      <w:r w:rsidRPr="00375EDE">
        <w:rPr>
          <w:rFonts w:cs="Times New Roman"/>
          <w:lang w:val="fr-CA"/>
        </w:rPr>
        <w:t>effectue à l</w:t>
      </w:r>
      <w:r>
        <w:rPr>
          <w:rFonts w:cs="Times New Roman"/>
          <w:lang w:val="fr-CA"/>
        </w:rPr>
        <w:t>’</w:t>
      </w:r>
      <w:r w:rsidRPr="00375EDE">
        <w:rPr>
          <w:rFonts w:cs="Times New Roman"/>
          <w:lang w:val="fr-CA"/>
        </w:rPr>
        <w:t xml:space="preserve">intérieur du cadre directeur du fédéralisme coopératif, une notion qui permet une certaine interaction et un certain chevauchement entre la loi fédérale et la loi provinciale, notre Cour a récemment fixé les limites de cette notion : </w:t>
      </w:r>
    </w:p>
    <w:p w:rsidR="00DF13E5" w:rsidRPr="00375EDE" w:rsidRDefault="00DF13E5" w:rsidP="00DF13E5">
      <w:pPr>
        <w:pStyle w:val="Citation-AltC"/>
        <w:spacing w:after="240"/>
        <w:ind w:hanging="1166"/>
        <w:contextualSpacing w:val="0"/>
        <w:rPr>
          <w:lang w:val="fr-CA"/>
        </w:rPr>
      </w:pPr>
      <w:r w:rsidRPr="00375EDE">
        <w:rPr>
          <w:lang w:val="fr-FR"/>
        </w:rPr>
        <w:tab/>
        <w:t>[L</w:t>
      </w:r>
      <w:r w:rsidRPr="00375EDE">
        <w:rPr>
          <w:lang w:val="fr-CA"/>
        </w:rPr>
        <w:t>]</w:t>
      </w:r>
      <w:r w:rsidRPr="00375EDE">
        <w:rPr>
          <w:lang w:val="fr-FR"/>
        </w:rPr>
        <w:t>e fédéralisme coopératif ne peut servir « ni [à] l</w:t>
      </w:r>
      <w:r>
        <w:rPr>
          <w:lang w:val="fr-FR"/>
        </w:rPr>
        <w:t>’</w:t>
      </w:r>
      <w:r w:rsidRPr="00375EDE">
        <w:rPr>
          <w:lang w:val="fr-FR"/>
        </w:rPr>
        <w:t>emporter sur le partage [des compétences] lui</w:t>
      </w:r>
      <w:r w:rsidRPr="00375EDE">
        <w:rPr>
          <w:lang w:val="fr-FR"/>
        </w:rPr>
        <w:noBreakHyphen/>
        <w:t>même ni [à] le modifier » (</w:t>
      </w:r>
      <w:r w:rsidRPr="00375EDE">
        <w:rPr>
          <w:i/>
          <w:iCs/>
          <w:lang w:val="fr-FR"/>
        </w:rPr>
        <w:t>Rogers Communications Inc. c. Châteauguay (Ville)</w:t>
      </w:r>
      <w:r w:rsidRPr="00375EDE">
        <w:rPr>
          <w:lang w:val="fr-FR"/>
        </w:rPr>
        <w:t>, [2016 CSC 23, [2016] 1 R.C.S. 467] par. 39), pas plus qu</w:t>
      </w:r>
      <w:r>
        <w:rPr>
          <w:lang w:val="fr-FR"/>
        </w:rPr>
        <w:t>’</w:t>
      </w:r>
      <w:r w:rsidRPr="00375EDE">
        <w:rPr>
          <w:lang w:val="fr-FR"/>
        </w:rPr>
        <w:t>il ne peut imposer « des limites à l</w:t>
      </w:r>
      <w:r>
        <w:rPr>
          <w:lang w:val="fr-FR"/>
        </w:rPr>
        <w:t>’</w:t>
      </w:r>
      <w:r w:rsidRPr="00375EDE">
        <w:rPr>
          <w:lang w:val="fr-FR"/>
        </w:rPr>
        <w:t>exercice par ailleurs valide d</w:t>
      </w:r>
      <w:r>
        <w:rPr>
          <w:lang w:val="fr-FR"/>
        </w:rPr>
        <w:t>’</w:t>
      </w:r>
      <w:r w:rsidRPr="00375EDE">
        <w:rPr>
          <w:lang w:val="fr-FR"/>
        </w:rPr>
        <w:t>une compétence législative » (</w:t>
      </w:r>
      <w:r w:rsidRPr="00375EDE">
        <w:rPr>
          <w:i/>
          <w:iCs/>
          <w:lang w:val="fr-FR"/>
        </w:rPr>
        <w:t>Québec (Procureur général) c. Canada (Procureur général)</w:t>
      </w:r>
      <w:r w:rsidRPr="00375EDE">
        <w:rPr>
          <w:iCs/>
          <w:lang w:val="fr-FR"/>
        </w:rPr>
        <w:t>,</w:t>
      </w:r>
      <w:r w:rsidRPr="00375EDE">
        <w:rPr>
          <w:i/>
          <w:iCs/>
          <w:lang w:val="fr-FR"/>
        </w:rPr>
        <w:t xml:space="preserve"> </w:t>
      </w:r>
      <w:r w:rsidRPr="00375EDE">
        <w:rPr>
          <w:iCs/>
          <w:lang w:val="fr-FR"/>
        </w:rPr>
        <w:t>[2015 CSC 14, [2015] 1 R.C.S. 693]</w:t>
      </w:r>
      <w:r w:rsidRPr="00375EDE">
        <w:rPr>
          <w:lang w:val="fr-FR"/>
        </w:rPr>
        <w:t xml:space="preserve"> par. 19; </w:t>
      </w:r>
      <w:r w:rsidRPr="00375EDE">
        <w:rPr>
          <w:i/>
          <w:iCs/>
          <w:lang w:val="fr-FR"/>
        </w:rPr>
        <w:t>Renvoi relatif à la Loi sur les valeurs mobilières</w:t>
      </w:r>
      <w:r w:rsidRPr="00375EDE">
        <w:rPr>
          <w:lang w:val="fr-FR"/>
        </w:rPr>
        <w:t>, [2011 CSC 66, [2011] 3 R.C.S. 837] par. 61</w:t>
      </w:r>
      <w:r w:rsidRPr="00375EDE">
        <w:rPr>
          <w:lang w:val="fr-FR"/>
        </w:rPr>
        <w:noBreakHyphen/>
        <w:t xml:space="preserve">62). Il ne peut donc servir à rendre </w:t>
      </w:r>
      <w:r w:rsidRPr="00375EDE">
        <w:rPr>
          <w:i/>
          <w:iCs/>
          <w:lang w:val="fr-FR"/>
        </w:rPr>
        <w:t>intra vires</w:t>
      </w:r>
      <w:r w:rsidRPr="00375EDE">
        <w:rPr>
          <w:lang w:val="fr-FR"/>
        </w:rPr>
        <w:t xml:space="preserve"> une loi </w:t>
      </w:r>
      <w:r w:rsidRPr="00375EDE">
        <w:rPr>
          <w:i/>
          <w:iCs/>
          <w:lang w:val="fr-FR"/>
        </w:rPr>
        <w:t>ultra vires</w:t>
      </w:r>
      <w:r w:rsidRPr="00375EDE">
        <w:rPr>
          <w:lang w:val="fr-FR"/>
        </w:rPr>
        <w:t>. En favorisant la coopération entre le Parlement et les législatures à l</w:t>
      </w:r>
      <w:r>
        <w:rPr>
          <w:lang w:val="fr-FR"/>
        </w:rPr>
        <w:t>’</w:t>
      </w:r>
      <w:r w:rsidRPr="00375EDE">
        <w:rPr>
          <w:lang w:val="fr-FR"/>
        </w:rPr>
        <w:t xml:space="preserve">intérieur des limites constitutionnelles existantes, le fédéralisme coopératif appuie le partage des compétences législatives au lieu de le supplanter : voir </w:t>
      </w:r>
      <w:r w:rsidRPr="00375EDE">
        <w:rPr>
          <w:i/>
          <w:iCs/>
          <w:lang w:val="fr-FR"/>
        </w:rPr>
        <w:t>Banque canadienne de l</w:t>
      </w:r>
      <w:r>
        <w:rPr>
          <w:i/>
          <w:iCs/>
          <w:lang w:val="fr-FR"/>
        </w:rPr>
        <w:t>’</w:t>
      </w:r>
      <w:r w:rsidRPr="00375EDE">
        <w:rPr>
          <w:i/>
          <w:iCs/>
          <w:lang w:val="fr-FR"/>
        </w:rPr>
        <w:t>Ouest c. Alberta</w:t>
      </w:r>
      <w:r w:rsidRPr="00375EDE">
        <w:rPr>
          <w:lang w:val="fr-FR"/>
        </w:rPr>
        <w:t>, 2007 CSC 22, [2007] 2 R.C.S. 3, par. 22.</w:t>
      </w:r>
      <w:r w:rsidRPr="00375EDE">
        <w:rPr>
          <w:lang w:val="fr-CA"/>
        </w:rPr>
        <w:t xml:space="preserve"> </w:t>
      </w:r>
    </w:p>
    <w:p w:rsidR="00DF13E5" w:rsidRPr="00375EDE" w:rsidRDefault="00DF13E5" w:rsidP="00063424">
      <w:pPr>
        <w:pStyle w:val="Citation-AltC"/>
        <w:ind w:left="0"/>
        <w:contextualSpacing w:val="0"/>
        <w:rPr>
          <w:lang w:val="fr-CA"/>
        </w:rPr>
      </w:pPr>
      <w:r w:rsidRPr="00375EDE">
        <w:rPr>
          <w:lang w:val="fr-CA"/>
        </w:rPr>
        <w:lastRenderedPageBreak/>
        <w:t>(</w:t>
      </w:r>
      <w:r w:rsidRPr="00375EDE">
        <w:rPr>
          <w:i/>
          <w:lang w:val="fr-CA"/>
        </w:rPr>
        <w:t>Renvoi relatif à la réglementation pancanadienne des valeurs mobilières</w:t>
      </w:r>
      <w:r w:rsidRPr="00375EDE">
        <w:rPr>
          <w:lang w:val="fr-CA"/>
        </w:rPr>
        <w:t xml:space="preserve">, 2018 CSC 48, </w:t>
      </w:r>
      <w:r w:rsidR="00BD198B">
        <w:rPr>
          <w:lang w:val="fr-CA"/>
        </w:rPr>
        <w:t xml:space="preserve">[2018] 3 R.C.S. 189, </w:t>
      </w:r>
      <w:r w:rsidRPr="00375EDE">
        <w:rPr>
          <w:lang w:val="fr-CA"/>
        </w:rPr>
        <w:t>par. 18)</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Interprété correctement, le fédéralisme coopératif fait office de simple présomption en matière d</w:t>
      </w:r>
      <w:r>
        <w:rPr>
          <w:rFonts w:cs="Times New Roman"/>
          <w:lang w:val="fr-CA"/>
        </w:rPr>
        <w:t>’</w:t>
      </w:r>
      <w:r w:rsidRPr="00375EDE">
        <w:rPr>
          <w:rFonts w:cs="Times New Roman"/>
          <w:lang w:val="fr-CA"/>
        </w:rPr>
        <w:t>interprétation — qui appuie, sans la supplanter, la méthode moderne d</w:t>
      </w:r>
      <w:r>
        <w:rPr>
          <w:rFonts w:cs="Times New Roman"/>
          <w:lang w:val="fr-CA"/>
        </w:rPr>
        <w:t>’</w:t>
      </w:r>
      <w:r w:rsidRPr="00375EDE">
        <w:rPr>
          <w:rFonts w:cs="Times New Roman"/>
          <w:lang w:val="fr-CA"/>
        </w:rPr>
        <w:t>interprétation des lois. La Cour l</w:t>
      </w:r>
      <w:r>
        <w:rPr>
          <w:rFonts w:cs="Times New Roman"/>
          <w:lang w:val="fr-CA"/>
        </w:rPr>
        <w:t>’</w:t>
      </w:r>
      <w:r w:rsidRPr="00375EDE">
        <w:rPr>
          <w:rFonts w:cs="Times New Roman"/>
          <w:lang w:val="fr-CA"/>
        </w:rPr>
        <w:t>a reconnu dans l</w:t>
      </w:r>
      <w:r>
        <w:rPr>
          <w:rFonts w:cs="Times New Roman"/>
          <w:lang w:val="fr-CA"/>
        </w:rPr>
        <w:t>’</w:t>
      </w:r>
      <w:r w:rsidRPr="00375EDE">
        <w:rPr>
          <w:rFonts w:cs="Times New Roman"/>
          <w:lang w:val="fr-CA"/>
        </w:rPr>
        <w:t xml:space="preserve">arrêt </w:t>
      </w:r>
      <w:r w:rsidRPr="00375EDE">
        <w:rPr>
          <w:rFonts w:cs="Times New Roman"/>
          <w:i/>
          <w:lang w:val="fr-CA"/>
        </w:rPr>
        <w:t>Moloney</w:t>
      </w:r>
      <w:r w:rsidRPr="00375EDE">
        <w:rPr>
          <w:rFonts w:cs="Times New Roman"/>
          <w:lang w:val="fr-CA"/>
        </w:rPr>
        <w:t>, où le juge Gascon a écrit que les tribunaux doivent « </w:t>
      </w:r>
      <w:r w:rsidRPr="00375EDE">
        <w:rPr>
          <w:rFonts w:cs="Times New Roman"/>
          <w:lang w:val="fr-FR"/>
        </w:rPr>
        <w:t>favoris[er] une interprétation de la loi fédérale permettant une application concurrente des deux lois</w:t>
      </w:r>
      <w:r w:rsidRPr="00375EDE">
        <w:rPr>
          <w:rFonts w:cs="Times New Roman"/>
          <w:lang w:val="fr-CA"/>
        </w:rPr>
        <w:t> » en se fondant sur la présomption « </w:t>
      </w:r>
      <w:r w:rsidRPr="00375EDE">
        <w:rPr>
          <w:rFonts w:cs="Times New Roman"/>
          <w:lang w:val="fr-FR"/>
        </w:rPr>
        <w:t>que le Parlement a voulu que ses lois coexistent avec les lois provinciales</w:t>
      </w:r>
      <w:r w:rsidRPr="00375EDE">
        <w:rPr>
          <w:rFonts w:cs="Times New Roman"/>
          <w:lang w:val="fr-CA"/>
        </w:rPr>
        <w:t> » (par. 27). Mais lorsque « </w:t>
      </w:r>
      <w:r w:rsidRPr="00375EDE">
        <w:rPr>
          <w:rFonts w:cs="Times New Roman"/>
          <w:lang w:val="fr-FR"/>
        </w:rPr>
        <w:t>le sens qu</w:t>
      </w:r>
      <w:r>
        <w:rPr>
          <w:rFonts w:cs="Times New Roman"/>
          <w:lang w:val="fr-FR"/>
        </w:rPr>
        <w:t>’</w:t>
      </w:r>
      <w:r w:rsidRPr="00375EDE">
        <w:rPr>
          <w:rFonts w:cs="Times New Roman"/>
          <w:lang w:val="fr-FR"/>
        </w:rPr>
        <w:t xml:space="preserve">il convient de donner à la disposition » </w:t>
      </w:r>
      <w:r w:rsidRPr="00375EDE">
        <w:rPr>
          <w:rFonts w:cs="Times New Roman"/>
          <w:lang w:val="fr-CA"/>
        </w:rPr>
        <w:t xml:space="preserve">— sens qui ne se limite pas </w:t>
      </w:r>
      <w:r>
        <w:rPr>
          <w:rFonts w:cs="Times New Roman"/>
          <w:lang w:val="fr-CA"/>
        </w:rPr>
        <w:t>à « </w:t>
      </w:r>
      <w:r w:rsidRPr="00375EDE">
        <w:rPr>
          <w:rFonts w:cs="Times New Roman"/>
          <w:lang w:val="fr-FR"/>
        </w:rPr>
        <w:t>une lecture littérale de la disposition en cause »</w:t>
      </w:r>
      <w:r w:rsidRPr="00375EDE">
        <w:rPr>
          <w:rFonts w:cs="Times New Roman"/>
          <w:lang w:val="fr-CA"/>
        </w:rPr>
        <w:t xml:space="preserve"> — ne peut appuyer une interprétation harmonieuse, la Cour n</w:t>
      </w:r>
      <w:r>
        <w:rPr>
          <w:rFonts w:cs="Times New Roman"/>
          <w:lang w:val="fr-CA"/>
        </w:rPr>
        <w:t>’</w:t>
      </w:r>
      <w:r w:rsidRPr="00375EDE">
        <w:rPr>
          <w:rFonts w:cs="Times New Roman"/>
          <w:lang w:val="fr-CA"/>
        </w:rPr>
        <w:t>a pas le pouvoir de créer l</w:t>
      </w:r>
      <w:r>
        <w:rPr>
          <w:rFonts w:cs="Times New Roman"/>
          <w:lang w:val="fr-CA"/>
        </w:rPr>
        <w:t>’</w:t>
      </w:r>
      <w:r w:rsidRPr="00375EDE">
        <w:rPr>
          <w:rFonts w:cs="Times New Roman"/>
          <w:lang w:val="fr-CA"/>
        </w:rPr>
        <w:t>harmonie là où le Parlement n</w:t>
      </w:r>
      <w:r>
        <w:rPr>
          <w:rFonts w:cs="Times New Roman"/>
          <w:lang w:val="fr-CA"/>
        </w:rPr>
        <w:t>’</w:t>
      </w:r>
      <w:r w:rsidRPr="00375EDE">
        <w:rPr>
          <w:rFonts w:cs="Times New Roman"/>
          <w:lang w:val="fr-CA"/>
        </w:rPr>
        <w:t>a pas eu l</w:t>
      </w:r>
      <w:r>
        <w:rPr>
          <w:rFonts w:cs="Times New Roman"/>
          <w:lang w:val="fr-CA"/>
        </w:rPr>
        <w:t>’</w:t>
      </w:r>
      <w:r w:rsidRPr="00375EDE">
        <w:rPr>
          <w:rFonts w:cs="Times New Roman"/>
          <w:lang w:val="fr-CA"/>
        </w:rPr>
        <w:t>intention de le faire (</w:t>
      </w:r>
      <w:r w:rsidRPr="00375EDE">
        <w:rPr>
          <w:rFonts w:cs="Times New Roman"/>
          <w:i/>
          <w:lang w:val="fr-CA"/>
        </w:rPr>
        <w:t>Moloney</w:t>
      </w:r>
      <w:r w:rsidRPr="00375EDE">
        <w:rPr>
          <w:rFonts w:cs="Times New Roman"/>
          <w:lang w:val="fr-CA"/>
        </w:rPr>
        <w:t xml:space="preserve">, par. 23; voir aussi </w:t>
      </w:r>
      <w:r w:rsidRPr="00375EDE">
        <w:rPr>
          <w:rFonts w:cs="Times New Roman"/>
          <w:i/>
          <w:lang w:val="fr-CA"/>
        </w:rPr>
        <w:t>Réglementation pancanadienne des valeurs mobilières</w:t>
      </w:r>
      <w:r w:rsidRPr="00375EDE">
        <w:rPr>
          <w:rFonts w:cs="Times New Roman"/>
          <w:lang w:val="fr-CA"/>
        </w:rPr>
        <w:t xml:space="preserve">, par. 18; </w:t>
      </w:r>
      <w:r w:rsidRPr="00375EDE">
        <w:rPr>
          <w:rFonts w:cs="Times New Roman"/>
          <w:i/>
          <w:lang w:val="fr-CA"/>
        </w:rPr>
        <w:t>Lemare Lake</w:t>
      </w:r>
      <w:r w:rsidRPr="00375EDE">
        <w:rPr>
          <w:rFonts w:cs="Times New Roman"/>
          <w:lang w:val="fr-CA"/>
        </w:rPr>
        <w:t>, par. 78</w:t>
      </w:r>
      <w:r w:rsidRPr="00375EDE">
        <w:rPr>
          <w:rFonts w:cs="Times New Roman"/>
          <w:lang w:val="fr-CA"/>
        </w:rPr>
        <w:noBreakHyphen/>
        <w:t>79, la juge Côté, dissidente, mais non sur ce point).</w:t>
      </w:r>
    </w:p>
    <w:p w:rsidR="00DF13E5" w:rsidRPr="00375EDE" w:rsidRDefault="00DF13E5" w:rsidP="00DF13E5">
      <w:pPr>
        <w:pStyle w:val="ParaNoNdepar-AltN"/>
        <w:rPr>
          <w:rFonts w:cs="Times New Roman"/>
          <w:lang w:val="fr-CA"/>
        </w:rPr>
      </w:pPr>
      <w:r w:rsidRPr="00375EDE">
        <w:rPr>
          <w:rFonts w:cs="Times New Roman"/>
          <w:lang w:val="fr-CA"/>
        </w:rPr>
        <w:t>À mon avis, mon collègue se fonde indûment sur le principe du fédéralisme coopératif pour limiter la portée d</w:t>
      </w:r>
      <w:r>
        <w:rPr>
          <w:rFonts w:cs="Times New Roman"/>
          <w:lang w:val="fr-CA"/>
        </w:rPr>
        <w:t>’</w:t>
      </w:r>
      <w:r w:rsidRPr="00375EDE">
        <w:rPr>
          <w:rFonts w:cs="Times New Roman"/>
          <w:lang w:val="fr-CA"/>
        </w:rPr>
        <w:t>une loi fédérale et trouver une interprétation harmonieuse là où il n</w:t>
      </w:r>
      <w:r>
        <w:rPr>
          <w:rFonts w:cs="Times New Roman"/>
          <w:lang w:val="fr-CA"/>
        </w:rPr>
        <w:t>’</w:t>
      </w:r>
      <w:r w:rsidRPr="00375EDE">
        <w:rPr>
          <w:rFonts w:cs="Times New Roman"/>
          <w:lang w:val="fr-CA"/>
        </w:rPr>
        <w:t>en existe aucune qui soit plausible. Les tribunaux doivent être très prudents lorsqu</w:t>
      </w:r>
      <w:r>
        <w:rPr>
          <w:rFonts w:cs="Times New Roman"/>
          <w:lang w:val="fr-CA"/>
        </w:rPr>
        <w:t>’</w:t>
      </w:r>
      <w:r w:rsidRPr="00375EDE">
        <w:rPr>
          <w:rFonts w:cs="Times New Roman"/>
          <w:lang w:val="fr-CA"/>
        </w:rPr>
        <w:t>il s</w:t>
      </w:r>
      <w:r>
        <w:rPr>
          <w:rFonts w:cs="Times New Roman"/>
          <w:lang w:val="fr-CA"/>
        </w:rPr>
        <w:t>’</w:t>
      </w:r>
      <w:r w:rsidRPr="00375EDE">
        <w:rPr>
          <w:rFonts w:cs="Times New Roman"/>
          <w:lang w:val="fr-CA"/>
        </w:rPr>
        <w:t>agit de se fonder sur le fédéralisme coopératif pour interpréter étroitement des dispositions législatives dans un cas comme l</w:t>
      </w:r>
      <w:r>
        <w:rPr>
          <w:rFonts w:cs="Times New Roman"/>
          <w:lang w:val="fr-CA"/>
        </w:rPr>
        <w:t>’</w:t>
      </w:r>
      <w:r w:rsidRPr="00375EDE">
        <w:rPr>
          <w:rFonts w:cs="Times New Roman"/>
          <w:lang w:val="fr-CA"/>
        </w:rPr>
        <w:t>espèce, où</w:t>
      </w:r>
      <w:r w:rsidRPr="00375EDE">
        <w:rPr>
          <w:rFonts w:eastAsiaTheme="minorHAnsi" w:cs="Times New Roman"/>
          <w:sz w:val="22"/>
          <w:lang w:val="fr-CA"/>
        </w:rPr>
        <w:t xml:space="preserve"> </w:t>
      </w:r>
      <w:r w:rsidRPr="00375EDE">
        <w:rPr>
          <w:rFonts w:cs="Times New Roman"/>
          <w:lang w:val="fr-CA"/>
        </w:rPr>
        <w:t>le Parlement a expressément prévu que le droit de renonciation pouvait entrer en conflit avec le droit provincial. Cela ressort à l</w:t>
      </w:r>
      <w:r>
        <w:rPr>
          <w:rFonts w:cs="Times New Roman"/>
          <w:lang w:val="fr-CA"/>
        </w:rPr>
        <w:t>’</w:t>
      </w:r>
      <w:r w:rsidRPr="00375EDE">
        <w:rPr>
          <w:rFonts w:cs="Times New Roman"/>
          <w:lang w:val="fr-CA"/>
        </w:rPr>
        <w:t>évidence de la toute première ligne du par. 14.06(4), qui énonce que le pouvoir de renonciation s</w:t>
      </w:r>
      <w:r>
        <w:rPr>
          <w:rFonts w:cs="Times New Roman"/>
          <w:lang w:val="fr-CA"/>
        </w:rPr>
        <w:t>’</w:t>
      </w:r>
      <w:r w:rsidRPr="00375EDE">
        <w:rPr>
          <w:rFonts w:cs="Times New Roman"/>
          <w:lang w:val="fr-CA"/>
        </w:rPr>
        <w:t xml:space="preserve">applique « [p]ar dérogation au </w:t>
      </w:r>
      <w:r w:rsidRPr="00375EDE">
        <w:rPr>
          <w:rFonts w:cs="Times New Roman"/>
          <w:u w:val="single"/>
          <w:lang w:val="fr-CA"/>
        </w:rPr>
        <w:t>droit</w:t>
      </w:r>
      <w:r w:rsidRPr="00375EDE">
        <w:rPr>
          <w:rFonts w:cs="Times New Roman"/>
          <w:lang w:val="fr-CA"/>
        </w:rPr>
        <w:t xml:space="preserve"> fédéral et </w:t>
      </w:r>
      <w:r w:rsidRPr="00375EDE">
        <w:rPr>
          <w:rFonts w:cs="Times New Roman"/>
          <w:u w:val="single"/>
          <w:lang w:val="fr-CA"/>
        </w:rPr>
        <w:t>provincial</w:t>
      </w:r>
      <w:r w:rsidRPr="00135C75">
        <w:rPr>
          <w:rFonts w:cs="Times New Roman"/>
          <w:lang w:val="fr-CA"/>
        </w:rPr>
        <w:t> </w:t>
      </w:r>
      <w:r w:rsidRPr="00375EDE">
        <w:rPr>
          <w:rFonts w:cs="Times New Roman"/>
          <w:lang w:val="fr-CA"/>
        </w:rPr>
        <w:t>». L</w:t>
      </w:r>
      <w:r>
        <w:rPr>
          <w:rFonts w:cs="Times New Roman"/>
          <w:lang w:val="fr-CA"/>
        </w:rPr>
        <w:t>’</w:t>
      </w:r>
      <w:r w:rsidRPr="00375EDE">
        <w:rPr>
          <w:rFonts w:cs="Times New Roman"/>
          <w:lang w:val="fr-CA"/>
        </w:rPr>
        <w:t xml:space="preserve">idée selon laquelle la retenue judiciaire devrait commander une interprétation différente est donc contredite par le fait que le Parlement a envisagé, </w:t>
      </w:r>
      <w:r w:rsidRPr="00375EDE">
        <w:rPr>
          <w:rFonts w:cs="Times New Roman"/>
          <w:lang w:val="fr-CA"/>
        </w:rPr>
        <w:lastRenderedPageBreak/>
        <w:t xml:space="preserve">reconnu et </w:t>
      </w:r>
      <w:r w:rsidRPr="00375EDE">
        <w:rPr>
          <w:rFonts w:cs="Times New Roman"/>
          <w:i/>
          <w:lang w:val="fr-CA"/>
        </w:rPr>
        <w:t>accepté</w:t>
      </w:r>
      <w:r w:rsidRPr="00375EDE">
        <w:rPr>
          <w:rFonts w:cs="Times New Roman"/>
          <w:lang w:val="fr-CA"/>
        </w:rPr>
        <w:t xml:space="preserve"> la possibilité de conflit. Recourir à la retenue judiciaire pour éviter un conflit entre le droit fédéral et le droit provincial équivaut donc à faire fi de la directive expresse du Parlement. Autrement dit, il ne s</w:t>
      </w:r>
      <w:r>
        <w:rPr>
          <w:rFonts w:cs="Times New Roman"/>
          <w:lang w:val="fr-CA"/>
        </w:rPr>
        <w:t>’</w:t>
      </w:r>
      <w:r w:rsidRPr="00375EDE">
        <w:rPr>
          <w:rFonts w:cs="Times New Roman"/>
          <w:lang w:val="fr-CA"/>
        </w:rPr>
        <w:t>agit pas en l</w:t>
      </w:r>
      <w:r>
        <w:rPr>
          <w:rFonts w:cs="Times New Roman"/>
          <w:lang w:val="fr-CA"/>
        </w:rPr>
        <w:t>’</w:t>
      </w:r>
      <w:r w:rsidRPr="00375EDE">
        <w:rPr>
          <w:rFonts w:cs="Times New Roman"/>
          <w:lang w:val="fr-CA"/>
        </w:rPr>
        <w:t>espèce d</w:t>
      </w:r>
      <w:r>
        <w:rPr>
          <w:rFonts w:cs="Times New Roman"/>
          <w:lang w:val="fr-CA"/>
        </w:rPr>
        <w:t>’</w:t>
      </w:r>
      <w:r w:rsidRPr="00375EDE">
        <w:rPr>
          <w:rFonts w:cs="Times New Roman"/>
          <w:lang w:val="fr-CA"/>
        </w:rPr>
        <w:t>un cas où un pouvoir draconien doit être déduit de la loi; il s</w:t>
      </w:r>
      <w:r>
        <w:rPr>
          <w:rFonts w:cs="Times New Roman"/>
          <w:lang w:val="fr-CA"/>
        </w:rPr>
        <w:t>’</w:t>
      </w:r>
      <w:r w:rsidRPr="00375EDE">
        <w:rPr>
          <w:rFonts w:cs="Times New Roman"/>
          <w:lang w:val="fr-CA"/>
        </w:rPr>
        <w:t>agit d</w:t>
      </w:r>
      <w:r>
        <w:rPr>
          <w:rFonts w:cs="Times New Roman"/>
          <w:lang w:val="fr-CA"/>
        </w:rPr>
        <w:t>’</w:t>
      </w:r>
      <w:r w:rsidRPr="00375EDE">
        <w:rPr>
          <w:rFonts w:cs="Times New Roman"/>
          <w:lang w:val="fr-CA"/>
        </w:rPr>
        <w:t>un cas où un tel pouvoir est clairement prévu. À mon avis, le recours au principe du fédéralisme coopératif ne doit jamais donner lieu à une interprétation du par. 14.06(4) qui est incompatible avec son libellé, son contexte et son objet.</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Il n</w:t>
      </w:r>
      <w:r>
        <w:rPr>
          <w:rFonts w:cs="Times New Roman"/>
          <w:lang w:val="fr-CA"/>
        </w:rPr>
        <w:t>’</w:t>
      </w:r>
      <w:r w:rsidRPr="00375EDE">
        <w:rPr>
          <w:rFonts w:cs="Times New Roman"/>
          <w:lang w:val="fr-CA"/>
        </w:rPr>
        <w:t>est pas contesté en l</w:t>
      </w:r>
      <w:r>
        <w:rPr>
          <w:rFonts w:cs="Times New Roman"/>
          <w:lang w:val="fr-CA"/>
        </w:rPr>
        <w:t>’</w:t>
      </w:r>
      <w:r w:rsidRPr="00375EDE">
        <w:rPr>
          <w:rFonts w:cs="Times New Roman"/>
          <w:lang w:val="fr-CA"/>
        </w:rPr>
        <w:t>espèce que la loi albertaine ne reconnaît pas de force exécutoire aux renonciations de GTL à des biens visés par un permis délivré par l</w:t>
      </w:r>
      <w:r>
        <w:rPr>
          <w:rFonts w:cs="Times New Roman"/>
          <w:lang w:val="fr-CA"/>
        </w:rPr>
        <w:t>’</w:t>
      </w:r>
      <w:r w:rsidRPr="00375EDE">
        <w:rPr>
          <w:rFonts w:cs="Times New Roman"/>
          <w:lang w:val="fr-CA"/>
        </w:rPr>
        <w:t>AER dans la mesure où elles soustraient GTL à l</w:t>
      </w:r>
      <w:r>
        <w:rPr>
          <w:rFonts w:cs="Times New Roman"/>
          <w:lang w:val="fr-CA"/>
        </w:rPr>
        <w:t>’</w:t>
      </w:r>
      <w:r w:rsidRPr="00375EDE">
        <w:rPr>
          <w:rFonts w:cs="Times New Roman"/>
          <w:lang w:val="fr-CA"/>
        </w:rPr>
        <w:t>obligation de respecter les engagements environnementaux liés aux biens. À titre de séquestre et de syndic, GTL remplace Redwater en tant que « titulaire de permis » selon la loi provinciale, et GTL soutient qu</w:t>
      </w:r>
      <w:r>
        <w:rPr>
          <w:rFonts w:cs="Times New Roman"/>
          <w:lang w:val="fr-CA"/>
        </w:rPr>
        <w:t>’</w:t>
      </w:r>
      <w:r w:rsidRPr="00375EDE">
        <w:rPr>
          <w:rFonts w:cs="Times New Roman"/>
          <w:lang w:val="fr-CA"/>
        </w:rPr>
        <w:t>il peut par conséquent, en l</w:t>
      </w:r>
      <w:r>
        <w:rPr>
          <w:rFonts w:cs="Times New Roman"/>
          <w:lang w:val="fr-CA"/>
        </w:rPr>
        <w:t>’</w:t>
      </w:r>
      <w:r w:rsidRPr="00375EDE">
        <w:rPr>
          <w:rFonts w:cs="Times New Roman"/>
          <w:lang w:val="fr-CA"/>
        </w:rPr>
        <w:t>absence des renonciations, être tenu responsable des obligations d</w:t>
      </w:r>
      <w:r>
        <w:rPr>
          <w:rFonts w:cs="Times New Roman"/>
          <w:lang w:val="fr-CA"/>
        </w:rPr>
        <w:t>’</w:t>
      </w:r>
      <w:r w:rsidRPr="00375EDE">
        <w:rPr>
          <w:rFonts w:cs="Times New Roman"/>
          <w:lang w:val="fr-CA"/>
        </w:rPr>
        <w:t>abandon et de remise en état de la débitrice au même titre que Redwater elle</w:t>
      </w:r>
      <w:r w:rsidRPr="00375EDE">
        <w:rPr>
          <w:rFonts w:cs="Times New Roman"/>
          <w:lang w:val="fr-CA"/>
        </w:rPr>
        <w:noBreakHyphen/>
        <w:t>même. Il s</w:t>
      </w:r>
      <w:r>
        <w:rPr>
          <w:rFonts w:cs="Times New Roman"/>
          <w:lang w:val="fr-CA"/>
        </w:rPr>
        <w:t>’</w:t>
      </w:r>
      <w:r w:rsidRPr="00375EDE">
        <w:rPr>
          <w:rFonts w:cs="Times New Roman"/>
          <w:lang w:val="fr-CA"/>
        </w:rPr>
        <w:t xml:space="preserve">agit donc de savoir si la </w:t>
      </w:r>
      <w:r w:rsidRPr="00D464BA">
        <w:rPr>
          <w:rFonts w:cs="Times New Roman"/>
          <w:i/>
          <w:lang w:val="fr-CA"/>
        </w:rPr>
        <w:t>LFI</w:t>
      </w:r>
      <w:r w:rsidRPr="00375EDE">
        <w:rPr>
          <w:rFonts w:cs="Times New Roman"/>
          <w:lang w:val="fr-CA"/>
        </w:rPr>
        <w:t xml:space="preserve"> autorise GTL à renoncer à ces biens et quel est l</w:t>
      </w:r>
      <w:r>
        <w:rPr>
          <w:rFonts w:cs="Times New Roman"/>
          <w:lang w:val="fr-CA"/>
        </w:rPr>
        <w:t>’</w:t>
      </w:r>
      <w:r w:rsidRPr="00375EDE">
        <w:rPr>
          <w:rFonts w:cs="Times New Roman"/>
          <w:lang w:val="fr-CA"/>
        </w:rPr>
        <w:t>effet de cette renonciation en droit.</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w:t>
      </w:r>
      <w:r>
        <w:rPr>
          <w:rFonts w:cs="Times New Roman"/>
          <w:lang w:val="fr-CA"/>
        </w:rPr>
        <w:t>’</w:t>
      </w:r>
      <w:r w:rsidRPr="00375EDE">
        <w:rPr>
          <w:rFonts w:cs="Times New Roman"/>
          <w:lang w:val="fr-CA"/>
        </w:rPr>
        <w:t xml:space="preserve">article 14.06 de la </w:t>
      </w:r>
      <w:r w:rsidRPr="00D464BA">
        <w:rPr>
          <w:rFonts w:cs="Times New Roman"/>
          <w:i/>
          <w:lang w:val="fr-CA"/>
        </w:rPr>
        <w:t>LFI</w:t>
      </w:r>
      <w:r w:rsidRPr="00375EDE">
        <w:rPr>
          <w:rFonts w:cs="Times New Roman"/>
          <w:lang w:val="fr-CA"/>
        </w:rPr>
        <w:t>, reproduit intégralement en annexe, décrit les pouvoirs et responsabilités du syndic quant aux engagements environnementaux et à la renonciation aux biens. Plus précisément, le par. 14.06(4) prévoit que le syndic est « dégagé de toute responsabilité personnelle découlant du non</w:t>
      </w:r>
      <w:r w:rsidRPr="00375EDE">
        <w:rPr>
          <w:rFonts w:cs="Times New Roman"/>
          <w:lang w:val="fr-CA"/>
        </w:rPr>
        <w:noBreakHyphen/>
        <w:t>respect » d</w:t>
      </w:r>
      <w:r>
        <w:rPr>
          <w:rFonts w:cs="Times New Roman"/>
          <w:lang w:val="fr-CA"/>
        </w:rPr>
        <w:t>’</w:t>
      </w:r>
      <w:r w:rsidRPr="00375EDE">
        <w:rPr>
          <w:rFonts w:cs="Times New Roman"/>
          <w:lang w:val="fr-CA"/>
        </w:rPr>
        <w:t>une ordonnance l</w:t>
      </w:r>
      <w:r>
        <w:rPr>
          <w:rFonts w:cs="Times New Roman"/>
          <w:lang w:val="fr-CA"/>
        </w:rPr>
        <w:t>’</w:t>
      </w:r>
      <w:r w:rsidRPr="00375EDE">
        <w:rPr>
          <w:rFonts w:cs="Times New Roman"/>
          <w:lang w:val="fr-CA"/>
        </w:rPr>
        <w:t>obligeant à « répar[er] [. . .] tout fait ou dommage lié à l</w:t>
      </w:r>
      <w:r>
        <w:rPr>
          <w:rFonts w:cs="Times New Roman"/>
          <w:lang w:val="fr-CA"/>
        </w:rPr>
        <w:t>’</w:t>
      </w:r>
      <w:r w:rsidRPr="00375EDE">
        <w:rPr>
          <w:rFonts w:cs="Times New Roman"/>
          <w:lang w:val="fr-CA"/>
        </w:rPr>
        <w:t xml:space="preserve">environnement et touchant un bien visé par une faillite », pourvu que le syndic « abandonne [. . .] tout </w:t>
      </w:r>
      <w:r w:rsidRPr="00375EDE">
        <w:rPr>
          <w:rFonts w:cs="Times New Roman"/>
          <w:lang w:val="fr-CA"/>
        </w:rPr>
        <w:lastRenderedPageBreak/>
        <w:t>intérêt sur le bien réel en cause, en dispose ou s</w:t>
      </w:r>
      <w:r>
        <w:rPr>
          <w:rFonts w:cs="Times New Roman"/>
          <w:lang w:val="fr-CA"/>
        </w:rPr>
        <w:t>’</w:t>
      </w:r>
      <w:r w:rsidRPr="00375EDE">
        <w:rPr>
          <w:rFonts w:cs="Times New Roman"/>
          <w:lang w:val="fr-CA"/>
        </w:rPr>
        <w:t>en dessaisit » dans les délais prévus par la loi. Le moment des renonciations de GTL n</w:t>
      </w:r>
      <w:r>
        <w:rPr>
          <w:rFonts w:cs="Times New Roman"/>
          <w:lang w:val="fr-CA"/>
        </w:rPr>
        <w:t>’</w:t>
      </w:r>
      <w:r w:rsidRPr="00375EDE">
        <w:rPr>
          <w:rFonts w:cs="Times New Roman"/>
          <w:lang w:val="fr-CA"/>
        </w:rPr>
        <w:t>est pas en litige en l</w:t>
      </w:r>
      <w:r>
        <w:rPr>
          <w:rFonts w:cs="Times New Roman"/>
          <w:lang w:val="fr-CA"/>
        </w:rPr>
        <w:t>’</w:t>
      </w:r>
      <w:r w:rsidRPr="00375EDE">
        <w:rPr>
          <w:rFonts w:cs="Times New Roman"/>
          <w:lang w:val="fr-CA"/>
        </w:rPr>
        <w:t>espèce.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 xml:space="preserve">Mon collègue conclut que, peu importe si GTL </w:t>
      </w:r>
      <w:r w:rsidR="00135C75">
        <w:rPr>
          <w:rFonts w:cs="Times New Roman"/>
          <w:lang w:val="fr-CA"/>
        </w:rPr>
        <w:t>avait</w:t>
      </w:r>
      <w:r w:rsidRPr="00375EDE">
        <w:rPr>
          <w:rFonts w:cs="Times New Roman"/>
          <w:lang w:val="fr-CA"/>
        </w:rPr>
        <w:t xml:space="preserve"> pu invoquer à juste titre le pouvoir de renonciation en l</w:t>
      </w:r>
      <w:r>
        <w:rPr>
          <w:rFonts w:cs="Times New Roman"/>
          <w:lang w:val="fr-CA"/>
        </w:rPr>
        <w:t>’</w:t>
      </w:r>
      <w:r w:rsidRPr="00375EDE">
        <w:rPr>
          <w:rFonts w:cs="Times New Roman"/>
          <w:lang w:val="fr-CA"/>
        </w:rPr>
        <w:t>espèce, cette renonciation a simplement pour effet de le dégager de toute responsabilité personnelle. Selon lui, en tout état de cause, il était inutile d</w:t>
      </w:r>
      <w:r>
        <w:rPr>
          <w:rFonts w:cs="Times New Roman"/>
          <w:lang w:val="fr-CA"/>
        </w:rPr>
        <w:t>’</w:t>
      </w:r>
      <w:r w:rsidRPr="00375EDE">
        <w:rPr>
          <w:rFonts w:cs="Times New Roman"/>
          <w:lang w:val="fr-CA"/>
        </w:rPr>
        <w:t>exercer le pouvoir de renonciation dans la présente affaire parce que GTL était déjà entièrement à l</w:t>
      </w:r>
      <w:r>
        <w:rPr>
          <w:rFonts w:cs="Times New Roman"/>
          <w:lang w:val="fr-CA"/>
        </w:rPr>
        <w:t>’</w:t>
      </w:r>
      <w:r w:rsidRPr="00375EDE">
        <w:rPr>
          <w:rFonts w:cs="Times New Roman"/>
          <w:lang w:val="fr-CA"/>
        </w:rPr>
        <w:t>abri de toute responsabilité personnelle par application du par. 14.06(2). Il soutient en outre que, comme l</w:t>
      </w:r>
      <w:r>
        <w:rPr>
          <w:rFonts w:cs="Times New Roman"/>
          <w:lang w:val="fr-CA"/>
        </w:rPr>
        <w:t>’</w:t>
      </w:r>
      <w:r w:rsidRPr="00375EDE">
        <w:rPr>
          <w:rFonts w:cs="Times New Roman"/>
          <w:lang w:val="fr-CA"/>
        </w:rPr>
        <w:t>AER n</w:t>
      </w:r>
      <w:r>
        <w:rPr>
          <w:rFonts w:cs="Times New Roman"/>
          <w:lang w:val="fr-CA"/>
        </w:rPr>
        <w:t>’</w:t>
      </w:r>
      <w:r w:rsidRPr="00375EDE">
        <w:rPr>
          <w:rFonts w:cs="Times New Roman"/>
          <w:lang w:val="fr-CA"/>
        </w:rPr>
        <w:t>a pas cherché à tenir GTL personnellement responsable, il n</w:t>
      </w:r>
      <w:r>
        <w:rPr>
          <w:rFonts w:cs="Times New Roman"/>
          <w:lang w:val="fr-CA"/>
        </w:rPr>
        <w:t>’</w:t>
      </w:r>
      <w:r w:rsidRPr="00375EDE">
        <w:rPr>
          <w:rFonts w:cs="Times New Roman"/>
          <w:lang w:val="fr-CA"/>
        </w:rPr>
        <w:t>y a aucun conflit entre la loi fédérale et la loi provinciale en l</w:t>
      </w:r>
      <w:r>
        <w:rPr>
          <w:rFonts w:cs="Times New Roman"/>
          <w:lang w:val="fr-CA"/>
        </w:rPr>
        <w:t>’</w:t>
      </w:r>
      <w:r w:rsidRPr="00375EDE">
        <w:rPr>
          <w:rFonts w:cs="Times New Roman"/>
          <w:lang w:val="fr-CA"/>
        </w:rPr>
        <w:t>espèce. Avec égards, je ne suis pas d</w:t>
      </w:r>
      <w:r>
        <w:rPr>
          <w:rFonts w:cs="Times New Roman"/>
          <w:lang w:val="fr-CA"/>
        </w:rPr>
        <w:t>’</w:t>
      </w:r>
      <w:r w:rsidRPr="00375EDE">
        <w:rPr>
          <w:rFonts w:cs="Times New Roman"/>
          <w:lang w:val="fr-CA"/>
        </w:rPr>
        <w:t xml:space="preserve">accord avec cette interprétation du libellé de la </w:t>
      </w:r>
      <w:r w:rsidRPr="00D464BA">
        <w:rPr>
          <w:rFonts w:cs="Times New Roman"/>
          <w:i/>
          <w:lang w:val="fr-CA"/>
        </w:rPr>
        <w:t>LFI</w:t>
      </w:r>
      <w:r w:rsidRPr="00375EDE">
        <w:rPr>
          <w:rFonts w:cs="Times New Roman"/>
          <w:lang w:val="fr-CA"/>
        </w:rPr>
        <w:t>, qui ne tient pas dûment compte des principes fondamentaux du droit constitutionnel et du droit de l</w:t>
      </w:r>
      <w:r>
        <w:rPr>
          <w:rFonts w:cs="Times New Roman"/>
          <w:lang w:val="fr-CA"/>
        </w:rPr>
        <w:t>’</w:t>
      </w:r>
      <w:r w:rsidRPr="00375EDE">
        <w:rPr>
          <w:rFonts w:cs="Times New Roman"/>
          <w:lang w:val="fr-CA"/>
        </w:rPr>
        <w:t>insolvabilité. Je commencerai par traiter de la portée que doit avoir le pouvoir de renonciation accordé aux syndics, en expliquant que l</w:t>
      </w:r>
      <w:r>
        <w:rPr>
          <w:rFonts w:cs="Times New Roman"/>
          <w:lang w:val="fr-CA"/>
        </w:rPr>
        <w:t>’</w:t>
      </w:r>
      <w:r w:rsidRPr="00375EDE">
        <w:rPr>
          <w:rFonts w:cs="Times New Roman"/>
          <w:lang w:val="fr-CA"/>
        </w:rPr>
        <w:t>existence d</w:t>
      </w:r>
      <w:r>
        <w:rPr>
          <w:rFonts w:cs="Times New Roman"/>
          <w:lang w:val="fr-CA"/>
        </w:rPr>
        <w:t>’</w:t>
      </w:r>
      <w:r w:rsidRPr="00375EDE">
        <w:rPr>
          <w:rFonts w:cs="Times New Roman"/>
          <w:lang w:val="fr-CA"/>
        </w:rPr>
        <w:t>un risque de responsabilité personnelle ne constitue pas une condition essentielle à l</w:t>
      </w:r>
      <w:r>
        <w:rPr>
          <w:rFonts w:cs="Times New Roman"/>
          <w:lang w:val="fr-CA"/>
        </w:rPr>
        <w:t>’</w:t>
      </w:r>
      <w:r w:rsidRPr="00375EDE">
        <w:rPr>
          <w:rFonts w:cs="Times New Roman"/>
          <w:lang w:val="fr-CA"/>
        </w:rPr>
        <w:t>exercice de ce pouvoir et que, même si la protection contre toute responsabilité personnelle est un effet d</w:t>
      </w:r>
      <w:r>
        <w:rPr>
          <w:rFonts w:cs="Times New Roman"/>
          <w:lang w:val="fr-CA"/>
        </w:rPr>
        <w:t>’</w:t>
      </w:r>
      <w:r w:rsidRPr="00375EDE">
        <w:rPr>
          <w:rFonts w:cs="Times New Roman"/>
          <w:lang w:val="fr-CA"/>
        </w:rPr>
        <w:t>une renonciation valide, ce n</w:t>
      </w:r>
      <w:r>
        <w:rPr>
          <w:rFonts w:cs="Times New Roman"/>
          <w:lang w:val="fr-CA"/>
        </w:rPr>
        <w:t>’</w:t>
      </w:r>
      <w:r w:rsidRPr="00375EDE">
        <w:rPr>
          <w:rFonts w:cs="Times New Roman"/>
          <w:lang w:val="fr-CA"/>
        </w:rPr>
        <w:t>est pas le seul. À mon avis, cette interprétation fait en sorte que le par. 14.06(4) s</w:t>
      </w:r>
      <w:r>
        <w:rPr>
          <w:rFonts w:cs="Times New Roman"/>
          <w:lang w:val="fr-CA"/>
        </w:rPr>
        <w:t>’</w:t>
      </w:r>
      <w:r w:rsidRPr="00375EDE">
        <w:rPr>
          <w:rFonts w:cs="Times New Roman"/>
          <w:lang w:val="fr-CA"/>
        </w:rPr>
        <w:t>accorde avec le reste de l</w:t>
      </w:r>
      <w:r>
        <w:rPr>
          <w:rFonts w:cs="Times New Roman"/>
          <w:lang w:val="fr-CA"/>
        </w:rPr>
        <w:t>’</w:t>
      </w:r>
      <w:r w:rsidRPr="00375EDE">
        <w:rPr>
          <w:rFonts w:cs="Times New Roman"/>
          <w:lang w:val="fr-CA"/>
        </w:rPr>
        <w:t>article et il convient donc de la privilégier. Avec égards, je n</w:t>
      </w:r>
      <w:r>
        <w:rPr>
          <w:rFonts w:cs="Times New Roman"/>
          <w:lang w:val="fr-CA"/>
        </w:rPr>
        <w:t>’</w:t>
      </w:r>
      <w:r w:rsidRPr="00375EDE">
        <w:rPr>
          <w:rFonts w:cs="Times New Roman"/>
          <w:lang w:val="fr-CA"/>
        </w:rPr>
        <w:t>accepte pas que le Parlement voulait par ce paragraphe mettre simplement les syndics à l</w:t>
      </w:r>
      <w:r>
        <w:rPr>
          <w:rFonts w:cs="Times New Roman"/>
          <w:lang w:val="fr-CA"/>
        </w:rPr>
        <w:t>’</w:t>
      </w:r>
      <w:r w:rsidRPr="00375EDE">
        <w:rPr>
          <w:rFonts w:cs="Times New Roman"/>
          <w:lang w:val="fr-CA"/>
        </w:rPr>
        <w:t>abri de la même responsabilité, ce qu</w:t>
      </w:r>
      <w:r>
        <w:rPr>
          <w:rFonts w:cs="Times New Roman"/>
          <w:lang w:val="fr-CA"/>
        </w:rPr>
        <w:t>’</w:t>
      </w:r>
      <w:r w:rsidRPr="00375EDE">
        <w:rPr>
          <w:rFonts w:cs="Times New Roman"/>
          <w:lang w:val="fr-CA"/>
        </w:rPr>
        <w:t>il avait déjà fait au par. 14.06(2). Le paragraphe (4) doit avoir un rôle significatif à jouer dans le régime de faillite et d</w:t>
      </w:r>
      <w:r>
        <w:rPr>
          <w:rFonts w:cs="Times New Roman"/>
          <w:lang w:val="fr-CA"/>
        </w:rPr>
        <w:t>’</w:t>
      </w:r>
      <w:r w:rsidRPr="00375EDE">
        <w:rPr>
          <w:rFonts w:cs="Times New Roman"/>
          <w:lang w:val="fr-CA"/>
        </w:rPr>
        <w:t>insolvabilité du Parlement; je rejette la thèse selon laquelle le Parlement a conçu une disposition superflue. Je me pencherai aussi brièvement sur l</w:t>
      </w:r>
      <w:r>
        <w:rPr>
          <w:rFonts w:cs="Times New Roman"/>
          <w:lang w:val="fr-CA"/>
        </w:rPr>
        <w:t>’</w:t>
      </w:r>
      <w:r w:rsidRPr="00375EDE">
        <w:rPr>
          <w:rFonts w:cs="Times New Roman"/>
          <w:lang w:val="fr-CA"/>
        </w:rPr>
        <w:t>argument de l</w:t>
      </w:r>
      <w:r>
        <w:rPr>
          <w:rFonts w:cs="Times New Roman"/>
          <w:lang w:val="fr-CA"/>
        </w:rPr>
        <w:t>’</w:t>
      </w:r>
      <w:r w:rsidRPr="00375EDE">
        <w:rPr>
          <w:rFonts w:cs="Times New Roman"/>
          <w:lang w:val="fr-CA"/>
        </w:rPr>
        <w:t>AER selon lequel il n</w:t>
      </w:r>
      <w:r>
        <w:rPr>
          <w:rFonts w:cs="Times New Roman"/>
          <w:lang w:val="fr-CA"/>
        </w:rPr>
        <w:t>’</w:t>
      </w:r>
      <w:r w:rsidRPr="00375EDE">
        <w:rPr>
          <w:rFonts w:cs="Times New Roman"/>
          <w:lang w:val="fr-CA"/>
        </w:rPr>
        <w:t>est pas du tout possible d</w:t>
      </w:r>
      <w:r>
        <w:rPr>
          <w:rFonts w:cs="Times New Roman"/>
          <w:lang w:val="fr-CA"/>
        </w:rPr>
        <w:t>’</w:t>
      </w:r>
      <w:r w:rsidRPr="00375EDE">
        <w:rPr>
          <w:rFonts w:cs="Times New Roman"/>
          <w:lang w:val="fr-CA"/>
        </w:rPr>
        <w:t xml:space="preserve">exercer le pouvoir de renonciation dans le contexte du régime législatif de </w:t>
      </w:r>
      <w:r w:rsidRPr="00375EDE">
        <w:rPr>
          <w:rFonts w:cs="Times New Roman"/>
          <w:lang w:val="fr-CA"/>
        </w:rPr>
        <w:lastRenderedPageBreak/>
        <w:t>l</w:t>
      </w:r>
      <w:r>
        <w:rPr>
          <w:rFonts w:cs="Times New Roman"/>
          <w:lang w:val="fr-CA"/>
        </w:rPr>
        <w:t>’</w:t>
      </w:r>
      <w:r w:rsidRPr="00375EDE">
        <w:rPr>
          <w:rFonts w:cs="Times New Roman"/>
          <w:lang w:val="fr-CA"/>
        </w:rPr>
        <w:t>Alberta en matière de pétrole et de gaz. J</w:t>
      </w:r>
      <w:r>
        <w:rPr>
          <w:rFonts w:cs="Times New Roman"/>
          <w:lang w:val="fr-CA"/>
        </w:rPr>
        <w:t>’</w:t>
      </w:r>
      <w:r w:rsidRPr="00375EDE">
        <w:rPr>
          <w:rFonts w:cs="Times New Roman"/>
          <w:lang w:val="fr-CA"/>
        </w:rPr>
        <w:t>estime qu</w:t>
      </w:r>
      <w:r>
        <w:rPr>
          <w:rFonts w:cs="Times New Roman"/>
          <w:lang w:val="fr-CA"/>
        </w:rPr>
        <w:t>’</w:t>
      </w:r>
      <w:r w:rsidRPr="00375EDE">
        <w:rPr>
          <w:rFonts w:cs="Times New Roman"/>
          <w:lang w:val="fr-CA"/>
        </w:rPr>
        <w:t>il peut être exercé dans ce contexte.</w:t>
      </w:r>
    </w:p>
    <w:p w:rsidR="00DF13E5" w:rsidRPr="00D464BA" w:rsidRDefault="00DF13E5" w:rsidP="0026437A">
      <w:pPr>
        <w:pStyle w:val="ListParagraph"/>
        <w:numPr>
          <w:ilvl w:val="0"/>
          <w:numId w:val="45"/>
        </w:numPr>
        <w:rPr>
          <w:u w:val="single"/>
          <w:lang w:val="fr-CA"/>
        </w:rPr>
      </w:pPr>
      <w:r w:rsidRPr="00D464BA">
        <w:rPr>
          <w:u w:val="single"/>
          <w:lang w:val="fr-CA"/>
        </w:rPr>
        <w:t>Le pouvoir de renonciation en vertu du par. 14.06(4)</w:t>
      </w:r>
    </w:p>
    <w:p w:rsidR="00DF13E5" w:rsidRPr="00375EDE" w:rsidRDefault="00DF13E5" w:rsidP="00DF13E5">
      <w:pPr>
        <w:pStyle w:val="ParaNoNdepar-AltN"/>
        <w:rPr>
          <w:rFonts w:cs="Times New Roman"/>
          <w:lang w:val="fr-CA"/>
        </w:rPr>
      </w:pPr>
      <w:r w:rsidRPr="00375EDE">
        <w:rPr>
          <w:rFonts w:cs="Times New Roman"/>
          <w:lang w:val="fr-CA"/>
        </w:rPr>
        <w:t>Le « </w:t>
      </w:r>
      <w:r w:rsidRPr="00375EDE">
        <w:rPr>
          <w:rFonts w:cs="Times New Roman"/>
          <w:lang w:val="fr-FR"/>
        </w:rPr>
        <w:t>sens naturel qui se dégage de la simple lecture de la disposition dans son ensemble</w:t>
      </w:r>
      <w:r w:rsidRPr="00375EDE">
        <w:rPr>
          <w:rFonts w:cs="Times New Roman"/>
          <w:lang w:val="fr-CA"/>
        </w:rPr>
        <w:t> » (</w:t>
      </w:r>
      <w:r w:rsidRPr="00375EDE">
        <w:rPr>
          <w:rFonts w:cs="Times New Roman"/>
          <w:i/>
          <w:lang w:val="fr-CA"/>
        </w:rPr>
        <w:t xml:space="preserve">Lignes </w:t>
      </w:r>
      <w:r>
        <w:rPr>
          <w:rFonts w:cs="Times New Roman"/>
          <w:i/>
          <w:lang w:val="fr-CA"/>
        </w:rPr>
        <w:t>a</w:t>
      </w:r>
      <w:r w:rsidRPr="00375EDE">
        <w:rPr>
          <w:rFonts w:cs="Times New Roman"/>
          <w:i/>
          <w:lang w:val="fr-CA"/>
        </w:rPr>
        <w:t>ériennes Can</w:t>
      </w:r>
      <w:r>
        <w:rPr>
          <w:rFonts w:cs="Times New Roman"/>
          <w:i/>
          <w:lang w:val="fr-CA"/>
        </w:rPr>
        <w:t>adien Pacifique Ltée c. Assoc. canadienne d</w:t>
      </w:r>
      <w:r w:rsidRPr="00375EDE">
        <w:rPr>
          <w:rFonts w:cs="Times New Roman"/>
          <w:i/>
          <w:lang w:val="fr-CA"/>
        </w:rPr>
        <w:t xml:space="preserve">es </w:t>
      </w:r>
      <w:r>
        <w:rPr>
          <w:rFonts w:cs="Times New Roman"/>
          <w:i/>
          <w:lang w:val="fr-CA"/>
        </w:rPr>
        <w:t>pilotes de lignes a</w:t>
      </w:r>
      <w:r w:rsidRPr="00375EDE">
        <w:rPr>
          <w:rFonts w:cs="Times New Roman"/>
          <w:i/>
          <w:lang w:val="fr-CA"/>
        </w:rPr>
        <w:t>ériennes</w:t>
      </w:r>
      <w:r w:rsidRPr="00375EDE">
        <w:rPr>
          <w:rFonts w:cs="Times New Roman"/>
          <w:lang w:val="fr-CA"/>
        </w:rPr>
        <w:t>, [1993] 3 R.C.S. 724, p. 735) est que le par. 14.06(4) présume et incorpore un droit préexistant en common law de renoncer à des biens dans le contexte de la faillite et de l</w:t>
      </w:r>
      <w:r>
        <w:rPr>
          <w:rFonts w:cs="Times New Roman"/>
          <w:lang w:val="fr-CA"/>
        </w:rPr>
        <w:t>’</w:t>
      </w:r>
      <w:r w:rsidRPr="00375EDE">
        <w:rPr>
          <w:rFonts w:cs="Times New Roman"/>
          <w:lang w:val="fr-CA"/>
        </w:rPr>
        <w:t xml:space="preserve">insolvabilité (voir L. Silverstein, « Rejection of Executory Contracts in Bankruptcy and Reorganization » (1964), 31 </w:t>
      </w:r>
      <w:r w:rsidRPr="00375EDE">
        <w:rPr>
          <w:rFonts w:cs="Times New Roman"/>
          <w:i/>
          <w:lang w:val="fr-CA"/>
        </w:rPr>
        <w:t>U. Chi. L. Rev.</w:t>
      </w:r>
      <w:r w:rsidRPr="00375EDE">
        <w:rPr>
          <w:rFonts w:cs="Times New Roman"/>
          <w:lang w:val="fr-CA"/>
        </w:rPr>
        <w:t xml:space="preserve"> 467, p. 468</w:t>
      </w:r>
      <w:r w:rsidRPr="00375EDE">
        <w:rPr>
          <w:rFonts w:cs="Times New Roman"/>
          <w:lang w:val="fr-CA"/>
        </w:rPr>
        <w:noBreakHyphen/>
        <w:t xml:space="preserve">472; </w:t>
      </w:r>
      <w:r w:rsidRPr="00375EDE">
        <w:rPr>
          <w:rFonts w:cs="Times New Roman"/>
          <w:i/>
          <w:lang w:val="fr-CA"/>
        </w:rPr>
        <w:t>New Skeena Forest Products Inc. c. Don Hull &amp; Sons Contracting Ltd.</w:t>
      </w:r>
      <w:r w:rsidRPr="00375EDE">
        <w:rPr>
          <w:rFonts w:cs="Times New Roman"/>
          <w:lang w:val="fr-CA"/>
        </w:rPr>
        <w:t>, 2005 BCCA 154, 251 D.L.R. (4th) 328, par. 24</w:t>
      </w:r>
      <w:r w:rsidRPr="00375EDE">
        <w:rPr>
          <w:rFonts w:cs="Times New Roman"/>
          <w:lang w:val="fr-CA"/>
        </w:rPr>
        <w:noBreakHyphen/>
        <w:t xml:space="preserve">31; </w:t>
      </w:r>
      <w:r w:rsidRPr="00375EDE">
        <w:rPr>
          <w:rFonts w:cs="Times New Roman"/>
          <w:i/>
          <w:lang w:val="fr-CA"/>
        </w:rPr>
        <w:t>Re Thompson Knitting Co., Ltd</w:t>
      </w:r>
      <w:r w:rsidR="00135C75">
        <w:rPr>
          <w:rFonts w:cs="Times New Roman"/>
          <w:i/>
          <w:lang w:val="fr-CA"/>
        </w:rPr>
        <w:t>.</w:t>
      </w:r>
      <w:r w:rsidRPr="00375EDE">
        <w:rPr>
          <w:rFonts w:cs="Times New Roman"/>
          <w:lang w:val="fr-CA"/>
        </w:rPr>
        <w:t xml:space="preserve">, [1925] </w:t>
      </w:r>
      <w:r w:rsidR="00194528">
        <w:rPr>
          <w:rFonts w:cs="Times New Roman"/>
          <w:lang w:val="fr-CA"/>
        </w:rPr>
        <w:t>2 D.L.R. 1007 (C.S. Ont</w:t>
      </w:r>
      <w:r w:rsidR="00563E13">
        <w:rPr>
          <w:rFonts w:cs="Times New Roman"/>
          <w:lang w:val="fr-CA"/>
        </w:rPr>
        <w:t>. (Div. a</w:t>
      </w:r>
      <w:r w:rsidR="00194528">
        <w:rPr>
          <w:rFonts w:cs="Times New Roman"/>
          <w:lang w:val="fr-CA"/>
        </w:rPr>
        <w:t>pp.</w:t>
      </w:r>
      <w:r w:rsidRPr="00375EDE">
        <w:rPr>
          <w:rFonts w:cs="Times New Roman"/>
          <w:lang w:val="fr-CA"/>
        </w:rPr>
        <w:t>), p. 1008). Ce droit est en accord avec l</w:t>
      </w:r>
      <w:r>
        <w:rPr>
          <w:rFonts w:cs="Times New Roman"/>
          <w:lang w:val="fr-CA"/>
        </w:rPr>
        <w:t>’</w:t>
      </w:r>
      <w:r w:rsidRPr="00375EDE">
        <w:rPr>
          <w:rFonts w:cs="Times New Roman"/>
          <w:lang w:val="fr-CA"/>
        </w:rPr>
        <w:t>objectif fondamental poursuivi par les officiers de la cour en insolvabilité : maximiser le recouvrement au bénéfice de l</w:t>
      </w:r>
      <w:r>
        <w:rPr>
          <w:rFonts w:cs="Times New Roman"/>
          <w:lang w:val="fr-CA"/>
        </w:rPr>
        <w:t>’</w:t>
      </w:r>
      <w:r w:rsidRPr="00375EDE">
        <w:rPr>
          <w:rFonts w:cs="Times New Roman"/>
          <w:lang w:val="fr-CA"/>
        </w:rPr>
        <w:t>ensemble des créanciers par la réalisation des éléments de valeur de l</w:t>
      </w:r>
      <w:r>
        <w:rPr>
          <w:rFonts w:cs="Times New Roman"/>
          <w:lang w:val="fr-CA"/>
        </w:rPr>
        <w:t>’</w:t>
      </w:r>
      <w:r w:rsidRPr="00375EDE">
        <w:rPr>
          <w:rFonts w:cs="Times New Roman"/>
          <w:lang w:val="fr-CA"/>
        </w:rPr>
        <w:t>actif. En permettant aux syndics de renoncer à des biens grevés d</w:t>
      </w:r>
      <w:r>
        <w:rPr>
          <w:rFonts w:cs="Times New Roman"/>
          <w:lang w:val="fr-CA"/>
        </w:rPr>
        <w:t>’</w:t>
      </w:r>
      <w:r w:rsidRPr="00375EDE">
        <w:rPr>
          <w:rFonts w:cs="Times New Roman"/>
          <w:lang w:val="fr-CA"/>
        </w:rPr>
        <w:t>engagements substantiels, ce pouvoir donne aux syndics la faculté d</w:t>
      </w:r>
      <w:r>
        <w:rPr>
          <w:rFonts w:cs="Times New Roman"/>
          <w:lang w:val="fr-CA"/>
        </w:rPr>
        <w:t>’</w:t>
      </w:r>
      <w:r w:rsidRPr="00375EDE">
        <w:rPr>
          <w:rFonts w:cs="Times New Roman"/>
          <w:lang w:val="fr-CA"/>
        </w:rPr>
        <w:t>administrer l</w:t>
      </w:r>
      <w:r>
        <w:rPr>
          <w:rFonts w:cs="Times New Roman"/>
          <w:lang w:val="fr-CA"/>
        </w:rPr>
        <w:t>’</w:t>
      </w:r>
      <w:r w:rsidRPr="00375EDE">
        <w:rPr>
          <w:rFonts w:cs="Times New Roman"/>
          <w:lang w:val="fr-CA"/>
        </w:rPr>
        <w:t>actif le plus efficacement possible et leur épargne des frais considérables d</w:t>
      </w:r>
      <w:r>
        <w:rPr>
          <w:rFonts w:cs="Times New Roman"/>
          <w:lang w:val="fr-CA"/>
        </w:rPr>
        <w:t>’</w:t>
      </w:r>
      <w:r w:rsidRPr="00375EDE">
        <w:rPr>
          <w:rFonts w:cs="Times New Roman"/>
          <w:lang w:val="fr-CA"/>
        </w:rPr>
        <w:t>administration qui réduiraient le recouvrement au profit des créanciers. Le paragraphe 14.06(4) reconnaît et appuie ce principe fondamental du droit de l</w:t>
      </w:r>
      <w:r>
        <w:rPr>
          <w:rFonts w:cs="Times New Roman"/>
          <w:lang w:val="fr-CA"/>
        </w:rPr>
        <w:t>’</w:t>
      </w:r>
      <w:r w:rsidRPr="00375EDE">
        <w:rPr>
          <w:rFonts w:cs="Times New Roman"/>
          <w:lang w:val="fr-CA"/>
        </w:rPr>
        <w:t xml:space="preserve">insolvabilité.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Cette interprétation offre l</w:t>
      </w:r>
      <w:r>
        <w:rPr>
          <w:rFonts w:cs="Times New Roman"/>
          <w:lang w:val="fr-CA"/>
        </w:rPr>
        <w:t>’</w:t>
      </w:r>
      <w:r w:rsidRPr="00375EDE">
        <w:rPr>
          <w:rFonts w:cs="Times New Roman"/>
          <w:lang w:val="fr-CA"/>
        </w:rPr>
        <w:t>explication la plus claire et la plus évidente de la façon dont la disposition est rédigée, en ce qu</w:t>
      </w:r>
      <w:r>
        <w:rPr>
          <w:rFonts w:cs="Times New Roman"/>
          <w:lang w:val="fr-CA"/>
        </w:rPr>
        <w:t>’</w:t>
      </w:r>
      <w:r w:rsidRPr="00375EDE">
        <w:rPr>
          <w:rFonts w:cs="Times New Roman"/>
          <w:lang w:val="fr-CA"/>
        </w:rPr>
        <w:t>elle décrit simplement un résultat ou effet juridique d</w:t>
      </w:r>
      <w:r>
        <w:rPr>
          <w:rFonts w:cs="Times New Roman"/>
          <w:lang w:val="fr-CA"/>
        </w:rPr>
        <w:t>’</w:t>
      </w:r>
      <w:r w:rsidRPr="00375EDE">
        <w:rPr>
          <w:rFonts w:cs="Times New Roman"/>
          <w:lang w:val="fr-CA"/>
        </w:rPr>
        <w:t xml:space="preserve">une renonciation : le syndic est « dégagé de toute responsabilité </w:t>
      </w:r>
      <w:r w:rsidRPr="00375EDE">
        <w:rPr>
          <w:rFonts w:cs="Times New Roman"/>
          <w:lang w:val="fr-CA"/>
        </w:rPr>
        <w:lastRenderedPageBreak/>
        <w:t>personnelle découlant du non</w:t>
      </w:r>
      <w:r w:rsidRPr="00375EDE">
        <w:rPr>
          <w:rFonts w:cs="Times New Roman"/>
          <w:lang w:val="fr-CA"/>
        </w:rPr>
        <w:noBreakHyphen/>
        <w:t>respect </w:t>
      </w:r>
      <w:r>
        <w:rPr>
          <w:rFonts w:cs="Times New Roman"/>
          <w:lang w:val="fr-CA"/>
        </w:rPr>
        <w:t xml:space="preserve">» </w:t>
      </w:r>
      <w:r w:rsidRPr="00375EDE">
        <w:rPr>
          <w:rFonts w:cs="Times New Roman"/>
          <w:lang w:val="fr-CA"/>
        </w:rPr>
        <w:t>d</w:t>
      </w:r>
      <w:r>
        <w:rPr>
          <w:rFonts w:cs="Times New Roman"/>
          <w:lang w:val="fr-CA"/>
        </w:rPr>
        <w:t>’</w:t>
      </w:r>
      <w:r w:rsidRPr="00375EDE">
        <w:rPr>
          <w:rFonts w:cs="Times New Roman"/>
          <w:lang w:val="fr-CA"/>
        </w:rPr>
        <w:t>une ordonnance environnementale « </w:t>
      </w:r>
      <w:r w:rsidRPr="00375EDE">
        <w:rPr>
          <w:rFonts w:cs="Times New Roman"/>
          <w:u w:val="single"/>
          <w:lang w:val="fr-CA"/>
        </w:rPr>
        <w:t>si</w:t>
      </w:r>
      <w:r w:rsidRPr="00375EDE">
        <w:rPr>
          <w:rFonts w:cs="Times New Roman"/>
          <w:lang w:val="fr-CA"/>
        </w:rPr>
        <w:t xml:space="preserve"> [. . .] il abandonne [. . .] tout intérêt sur le bien réel en cause, en dispose ou s</w:t>
      </w:r>
      <w:r>
        <w:rPr>
          <w:rFonts w:cs="Times New Roman"/>
          <w:lang w:val="fr-CA"/>
        </w:rPr>
        <w:t>’</w:t>
      </w:r>
      <w:r w:rsidRPr="00375EDE">
        <w:rPr>
          <w:rFonts w:cs="Times New Roman"/>
          <w:lang w:val="fr-CA"/>
        </w:rPr>
        <w:t>en dessaisit » (al. 14.06(4)). Nous devons interpréter le par. 14.06(4) comme autorisant l</w:t>
      </w:r>
      <w:r>
        <w:rPr>
          <w:rFonts w:cs="Times New Roman"/>
          <w:lang w:val="fr-CA"/>
        </w:rPr>
        <w:t>’</w:t>
      </w:r>
      <w:r w:rsidRPr="00375EDE">
        <w:rPr>
          <w:rFonts w:cs="Times New Roman"/>
          <w:lang w:val="fr-CA"/>
        </w:rPr>
        <w:t>acte de renonciation à la lumière du principe selon lequel « le législateur ne parle pas pour ne rien dire</w:t>
      </w:r>
      <w:r>
        <w:rPr>
          <w:rFonts w:cs="Times New Roman"/>
          <w:lang w:val="fr-CA"/>
        </w:rPr>
        <w:t> </w:t>
      </w:r>
      <w:r w:rsidRPr="00375EDE">
        <w:rPr>
          <w:rFonts w:cs="Times New Roman"/>
          <w:lang w:val="fr-CA"/>
        </w:rPr>
        <w:t>» (</w:t>
      </w:r>
      <w:r w:rsidRPr="00375EDE">
        <w:rPr>
          <w:rFonts w:cs="Times New Roman"/>
          <w:i/>
          <w:lang w:val="fr-CA"/>
        </w:rPr>
        <w:t>Bell ExpressVu Limited Partnership c. Rex</w:t>
      </w:r>
      <w:r w:rsidRPr="00375EDE">
        <w:rPr>
          <w:rFonts w:cs="Times New Roman"/>
          <w:lang w:val="fr-CA"/>
        </w:rPr>
        <w:t xml:space="preserve">, 2002 CSC 42, [2002] 2 R.C.S. 559, par. 37, citant </w:t>
      </w:r>
      <w:r w:rsidRPr="00375EDE">
        <w:rPr>
          <w:rFonts w:cs="Times New Roman"/>
          <w:i/>
          <w:lang w:val="fr-CA"/>
        </w:rPr>
        <w:t>Procureur général du Québec c. Carrières Ste-Thérèse Ltée</w:t>
      </w:r>
      <w:r w:rsidRPr="00375EDE">
        <w:rPr>
          <w:rFonts w:cs="Times New Roman"/>
          <w:lang w:val="fr-CA"/>
        </w:rPr>
        <w:t>, [1985] 1 R.C.S. 831, p. 838). Si le syndic n</w:t>
      </w:r>
      <w:r>
        <w:rPr>
          <w:rFonts w:cs="Times New Roman"/>
          <w:lang w:val="fr-CA"/>
        </w:rPr>
        <w:t>’</w:t>
      </w:r>
      <w:r w:rsidRPr="00375EDE">
        <w:rPr>
          <w:rFonts w:cs="Times New Roman"/>
          <w:lang w:val="fr-CA"/>
        </w:rPr>
        <w:t>avait pas le pouvoir de renoncer à des biens et si ce pouvoir n</w:t>
      </w:r>
      <w:r>
        <w:rPr>
          <w:rFonts w:cs="Times New Roman"/>
          <w:lang w:val="fr-CA"/>
        </w:rPr>
        <w:t>’</w:t>
      </w:r>
      <w:r w:rsidRPr="00375EDE">
        <w:rPr>
          <w:rFonts w:cs="Times New Roman"/>
          <w:lang w:val="fr-CA"/>
        </w:rPr>
        <w:t>était pas reconnu et prévu dans la loi, une disposition décrivant l</w:t>
      </w:r>
      <w:r>
        <w:rPr>
          <w:rFonts w:cs="Times New Roman"/>
          <w:lang w:val="fr-CA"/>
        </w:rPr>
        <w:t>’</w:t>
      </w:r>
      <w:r w:rsidRPr="00375EDE">
        <w:rPr>
          <w:rFonts w:cs="Times New Roman"/>
          <w:lang w:val="fr-CA"/>
        </w:rPr>
        <w:t>effet d</w:t>
      </w:r>
      <w:r>
        <w:rPr>
          <w:rFonts w:cs="Times New Roman"/>
          <w:lang w:val="fr-CA"/>
        </w:rPr>
        <w:t>’</w:t>
      </w:r>
      <w:r w:rsidRPr="00375EDE">
        <w:rPr>
          <w:rFonts w:cs="Times New Roman"/>
          <w:lang w:val="fr-CA"/>
        </w:rPr>
        <w:t>une telle renonciation n</w:t>
      </w:r>
      <w:r>
        <w:rPr>
          <w:rFonts w:cs="Times New Roman"/>
          <w:lang w:val="fr-CA"/>
        </w:rPr>
        <w:t>’</w:t>
      </w:r>
      <w:r w:rsidRPr="00375EDE">
        <w:rPr>
          <w:rFonts w:cs="Times New Roman"/>
          <w:lang w:val="fr-CA"/>
        </w:rPr>
        <w:t>aurait aucune utilité.</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L</w:t>
      </w:r>
      <w:r>
        <w:rPr>
          <w:rFonts w:cs="Times New Roman"/>
          <w:lang w:val="fr-CA"/>
        </w:rPr>
        <w:t>’</w:t>
      </w:r>
      <w:r w:rsidRPr="00375EDE">
        <w:rPr>
          <w:rFonts w:cs="Times New Roman"/>
          <w:lang w:val="fr-CA"/>
        </w:rPr>
        <w:t>AER soutient qu</w:t>
      </w:r>
      <w:r>
        <w:rPr>
          <w:rFonts w:cs="Times New Roman"/>
          <w:lang w:val="fr-CA"/>
        </w:rPr>
        <w:t>’</w:t>
      </w:r>
      <w:r w:rsidRPr="00375EDE">
        <w:rPr>
          <w:rFonts w:cs="Times New Roman"/>
          <w:lang w:val="fr-CA"/>
        </w:rPr>
        <w:t>il est possible de renoncer à un bien uniquement lorsque cela est nécessaire pour que le syndic échappe à toute responsabilité personnelle à l</w:t>
      </w:r>
      <w:r>
        <w:rPr>
          <w:rFonts w:cs="Times New Roman"/>
          <w:lang w:val="fr-CA"/>
        </w:rPr>
        <w:t>’</w:t>
      </w:r>
      <w:r w:rsidRPr="00375EDE">
        <w:rPr>
          <w:rFonts w:cs="Times New Roman"/>
          <w:lang w:val="fr-CA"/>
        </w:rPr>
        <w:t>égard d</w:t>
      </w:r>
      <w:r>
        <w:rPr>
          <w:rFonts w:cs="Times New Roman"/>
          <w:lang w:val="fr-CA"/>
        </w:rPr>
        <w:t>’</w:t>
      </w:r>
      <w:r w:rsidRPr="00375EDE">
        <w:rPr>
          <w:rFonts w:cs="Times New Roman"/>
          <w:lang w:val="fr-CA"/>
        </w:rPr>
        <w:t xml:space="preserve">une ordonnance environnementale. Cette interprétation inverse complètement le libellé de la disposition, transformant un </w:t>
      </w:r>
      <w:r w:rsidRPr="00375EDE">
        <w:rPr>
          <w:rFonts w:cs="Times New Roman"/>
          <w:i/>
          <w:lang w:val="fr-CA"/>
        </w:rPr>
        <w:t xml:space="preserve">effet </w:t>
      </w:r>
      <w:r w:rsidRPr="00375EDE">
        <w:rPr>
          <w:rFonts w:cs="Times New Roman"/>
          <w:lang w:val="fr-CA"/>
        </w:rPr>
        <w:t>énoncé de la renonciation en condition essentielle circonscrivant l</w:t>
      </w:r>
      <w:r>
        <w:rPr>
          <w:rFonts w:cs="Times New Roman"/>
          <w:lang w:val="fr-CA"/>
        </w:rPr>
        <w:t>’</w:t>
      </w:r>
      <w:r w:rsidRPr="00375EDE">
        <w:rPr>
          <w:rFonts w:cs="Times New Roman"/>
          <w:lang w:val="fr-CA"/>
        </w:rPr>
        <w:t>exercice du pouvoir. Les dispositions applicables ne sont ni rédigées ni or</w:t>
      </w:r>
      <w:r w:rsidR="008F6BC1">
        <w:rPr>
          <w:rFonts w:cs="Times New Roman"/>
          <w:lang w:val="fr-CA"/>
        </w:rPr>
        <w:t xml:space="preserve">données de cette façon. Le paragraphe </w:t>
      </w:r>
      <w:r w:rsidRPr="00375EDE">
        <w:rPr>
          <w:rFonts w:cs="Times New Roman"/>
          <w:lang w:val="fr-CA"/>
        </w:rPr>
        <w:t>14.06(4) exprime plutôt le droit de renonciation en des termes qui ne comportent aucune restriction et fait ressortir que le syndic ne peut être tenu responsable quand ce droit est exercé. Si le Parlement avait vraiment voulu rendre le droit de renoncer à un bien tributaire de l</w:t>
      </w:r>
      <w:r>
        <w:rPr>
          <w:rFonts w:cs="Times New Roman"/>
          <w:lang w:val="fr-CA"/>
        </w:rPr>
        <w:t>’</w:t>
      </w:r>
      <w:r w:rsidRPr="00375EDE">
        <w:rPr>
          <w:rFonts w:cs="Times New Roman"/>
          <w:lang w:val="fr-CA"/>
        </w:rPr>
        <w:t>existence d</w:t>
      </w:r>
      <w:r>
        <w:rPr>
          <w:rFonts w:cs="Times New Roman"/>
          <w:lang w:val="fr-CA"/>
        </w:rPr>
        <w:t>’</w:t>
      </w:r>
      <w:r w:rsidRPr="00375EDE">
        <w:rPr>
          <w:rFonts w:cs="Times New Roman"/>
          <w:lang w:val="fr-CA"/>
        </w:rPr>
        <w:t>un risque de responsabilité personnelle, « </w:t>
      </w:r>
      <w:r w:rsidRPr="00375EDE">
        <w:rPr>
          <w:rFonts w:cs="Times New Roman"/>
          <w:lang w:val="fr-FR"/>
        </w:rPr>
        <w:t>il est difficile d</w:t>
      </w:r>
      <w:r>
        <w:rPr>
          <w:rFonts w:cs="Times New Roman"/>
          <w:lang w:val="fr-FR"/>
        </w:rPr>
        <w:t>’</w:t>
      </w:r>
      <w:r w:rsidRPr="00375EDE">
        <w:rPr>
          <w:rFonts w:cs="Times New Roman"/>
          <w:lang w:val="fr-FR"/>
        </w:rPr>
        <w:t>imaginer une façon plus compliquée et sibylline d</w:t>
      </w:r>
      <w:r>
        <w:rPr>
          <w:rFonts w:cs="Times New Roman"/>
          <w:lang w:val="fr-FR"/>
        </w:rPr>
        <w:t>’</w:t>
      </w:r>
      <w:r w:rsidRPr="00375EDE">
        <w:rPr>
          <w:rFonts w:cs="Times New Roman"/>
          <w:lang w:val="fr-FR"/>
        </w:rPr>
        <w:t>exprimer quelque chose qui pouvait être dit si facilement dans des termes clairs et directs</w:t>
      </w:r>
      <w:r w:rsidRPr="00375EDE">
        <w:rPr>
          <w:rFonts w:cs="Times New Roman"/>
          <w:lang w:val="fr-CA"/>
        </w:rPr>
        <w:t> » (</w:t>
      </w:r>
      <w:r w:rsidRPr="00375EDE">
        <w:rPr>
          <w:rFonts w:cs="Times New Roman"/>
          <w:i/>
          <w:lang w:val="fr-CA"/>
        </w:rPr>
        <w:t>Mitchell c. Bande indienne Peguis</w:t>
      </w:r>
      <w:r w:rsidRPr="00375EDE">
        <w:rPr>
          <w:rFonts w:cs="Times New Roman"/>
          <w:lang w:val="fr-CA"/>
        </w:rPr>
        <w:t>, [1990] 2 R.C.S. 85, p. 124).</w:t>
      </w:r>
    </w:p>
    <w:p w:rsidR="00DF13E5" w:rsidRPr="00375EDE" w:rsidRDefault="00DF13E5" w:rsidP="00DF13E5">
      <w:pPr>
        <w:pStyle w:val="ParaNoNdepar-AltN"/>
        <w:rPr>
          <w:rFonts w:cs="Times New Roman"/>
          <w:i/>
          <w:lang w:val="fr-CA"/>
        </w:rPr>
      </w:pPr>
      <w:r w:rsidRPr="00375EDE">
        <w:rPr>
          <w:rFonts w:cs="Times New Roman"/>
          <w:lang w:val="fr-CA"/>
        </w:rPr>
        <w:lastRenderedPageBreak/>
        <w:t>Mon collègue adopte une approche légèrement différente. Au lieu d</w:t>
      </w:r>
      <w:r>
        <w:rPr>
          <w:rFonts w:cs="Times New Roman"/>
          <w:lang w:val="fr-CA"/>
        </w:rPr>
        <w:t>’</w:t>
      </w:r>
      <w:r w:rsidRPr="00375EDE">
        <w:rPr>
          <w:rFonts w:cs="Times New Roman"/>
          <w:lang w:val="fr-CA"/>
        </w:rPr>
        <w:t>accepter l</w:t>
      </w:r>
      <w:r>
        <w:rPr>
          <w:rFonts w:cs="Times New Roman"/>
          <w:lang w:val="fr-CA"/>
        </w:rPr>
        <w:t>’</w:t>
      </w:r>
      <w:r w:rsidRPr="00375EDE">
        <w:rPr>
          <w:rFonts w:cs="Times New Roman"/>
          <w:lang w:val="fr-CA"/>
        </w:rPr>
        <w:t>argument selon lequel le risque d</w:t>
      </w:r>
      <w:r>
        <w:rPr>
          <w:rFonts w:cs="Times New Roman"/>
          <w:lang w:val="fr-CA"/>
        </w:rPr>
        <w:t>’</w:t>
      </w:r>
      <w:r w:rsidRPr="00375EDE">
        <w:rPr>
          <w:rFonts w:cs="Times New Roman"/>
          <w:lang w:val="fr-CA"/>
        </w:rPr>
        <w:t>engager la responsabilité personnelle est une condition essentielle à l</w:t>
      </w:r>
      <w:r>
        <w:rPr>
          <w:rFonts w:cs="Times New Roman"/>
          <w:lang w:val="fr-CA"/>
        </w:rPr>
        <w:t>’</w:t>
      </w:r>
      <w:r w:rsidRPr="00375EDE">
        <w:rPr>
          <w:rFonts w:cs="Times New Roman"/>
          <w:lang w:val="fr-CA"/>
        </w:rPr>
        <w:t>exercice du pouvoir de renonciation prévu au par. 14.06(4), il conclut que la protection contre toute responsabilité personnelle pour non</w:t>
      </w:r>
      <w:r w:rsidRPr="00375EDE">
        <w:rPr>
          <w:rFonts w:cs="Times New Roman"/>
          <w:lang w:val="fr-CA"/>
        </w:rPr>
        <w:noBreakHyphen/>
        <w:t>respect d</w:t>
      </w:r>
      <w:r>
        <w:rPr>
          <w:rFonts w:cs="Times New Roman"/>
          <w:lang w:val="fr-CA"/>
        </w:rPr>
        <w:t>’</w:t>
      </w:r>
      <w:r w:rsidRPr="00375EDE">
        <w:rPr>
          <w:rFonts w:cs="Times New Roman"/>
          <w:lang w:val="fr-CA"/>
        </w:rPr>
        <w:t>ordonnance environnementale est l</w:t>
      </w:r>
      <w:r>
        <w:rPr>
          <w:rFonts w:cs="Times New Roman"/>
          <w:lang w:val="fr-CA"/>
        </w:rPr>
        <w:t>’</w:t>
      </w:r>
      <w:r w:rsidRPr="00375EDE">
        <w:rPr>
          <w:rFonts w:cs="Times New Roman"/>
          <w:lang w:val="fr-CA"/>
        </w:rPr>
        <w:t>unique conséquence d</w:t>
      </w:r>
      <w:r>
        <w:rPr>
          <w:rFonts w:cs="Times New Roman"/>
          <w:lang w:val="fr-CA"/>
        </w:rPr>
        <w:t>’</w:t>
      </w:r>
      <w:r w:rsidRPr="00375EDE">
        <w:rPr>
          <w:rFonts w:cs="Times New Roman"/>
          <w:lang w:val="fr-CA"/>
        </w:rPr>
        <w:t>une renonciation valide. Par conséquent, dit</w:t>
      </w:r>
      <w:r w:rsidRPr="00375EDE">
        <w:rPr>
          <w:rFonts w:cs="Times New Roman"/>
          <w:lang w:val="fr-CA"/>
        </w:rPr>
        <w:noBreakHyphen/>
        <w:t>il, l</w:t>
      </w:r>
      <w:r>
        <w:rPr>
          <w:rFonts w:cs="Times New Roman"/>
          <w:lang w:val="fr-CA"/>
        </w:rPr>
        <w:t>’</w:t>
      </w:r>
      <w:r w:rsidRPr="00375EDE">
        <w:rPr>
          <w:rFonts w:cs="Times New Roman"/>
          <w:lang w:val="fr-CA"/>
        </w:rPr>
        <w:t>actif du failli n</w:t>
      </w:r>
      <w:r>
        <w:rPr>
          <w:rFonts w:cs="Times New Roman"/>
          <w:lang w:val="fr-CA"/>
        </w:rPr>
        <w:t>’</w:t>
      </w:r>
      <w:r w:rsidRPr="00375EDE">
        <w:rPr>
          <w:rFonts w:cs="Times New Roman"/>
          <w:lang w:val="fr-CA"/>
        </w:rPr>
        <w:t>est pas déchargé des obligations que lui imposent les ordonnances environnementales et on peut contraindre le syndic à consacrer la valeur entière de l</w:t>
      </w:r>
      <w:r>
        <w:rPr>
          <w:rFonts w:cs="Times New Roman"/>
          <w:lang w:val="fr-CA"/>
        </w:rPr>
        <w:t>’</w:t>
      </w:r>
      <w:r w:rsidRPr="00375EDE">
        <w:rPr>
          <w:rFonts w:cs="Times New Roman"/>
          <w:lang w:val="fr-CA"/>
        </w:rPr>
        <w:t>actif au respect des ordonnances. Avec égards, il ne peut s</w:t>
      </w:r>
      <w:r>
        <w:rPr>
          <w:rFonts w:cs="Times New Roman"/>
          <w:lang w:val="fr-CA"/>
        </w:rPr>
        <w:t>’</w:t>
      </w:r>
      <w:r w:rsidRPr="00375EDE">
        <w:rPr>
          <w:rFonts w:cs="Times New Roman"/>
          <w:lang w:val="fr-CA"/>
        </w:rPr>
        <w:t xml:space="preserve">agir de la lecture correcte du par. 14.06(4). Je ne crois pas non plus que les brèves mentions de ce paragraphe dans </w:t>
      </w:r>
      <w:r w:rsidRPr="00375EDE">
        <w:rPr>
          <w:rFonts w:cs="Times New Roman"/>
          <w:i/>
          <w:lang w:val="fr-CA"/>
        </w:rPr>
        <w:t>Société de crédit commercial GMAC — Canada c. T.C.T. Logistics Inc.</w:t>
      </w:r>
      <w:r w:rsidRPr="00375EDE">
        <w:rPr>
          <w:rFonts w:cs="Times New Roman"/>
          <w:lang w:val="fr-CA"/>
        </w:rPr>
        <w:t>, 2006 CSC 35, [2006] 2 R.C.S. 123, une affaire où le par. 14.06(4) n</w:t>
      </w:r>
      <w:r>
        <w:rPr>
          <w:rFonts w:cs="Times New Roman"/>
          <w:lang w:val="fr-CA"/>
        </w:rPr>
        <w:t>’</w:t>
      </w:r>
      <w:r w:rsidRPr="00375EDE">
        <w:rPr>
          <w:rFonts w:cs="Times New Roman"/>
          <w:lang w:val="fr-CA"/>
        </w:rPr>
        <w:t>était pas directement en cause et où notre Cour n</w:t>
      </w:r>
      <w:r>
        <w:rPr>
          <w:rFonts w:cs="Times New Roman"/>
          <w:lang w:val="fr-CA"/>
        </w:rPr>
        <w:t>’</w:t>
      </w:r>
      <w:r w:rsidRPr="00375EDE">
        <w:rPr>
          <w:rFonts w:cs="Times New Roman"/>
          <w:lang w:val="fr-CA"/>
        </w:rPr>
        <w:t>avait pas à l</w:t>
      </w:r>
      <w:r>
        <w:rPr>
          <w:rFonts w:cs="Times New Roman"/>
          <w:lang w:val="fr-CA"/>
        </w:rPr>
        <w:t>’</w:t>
      </w:r>
      <w:r w:rsidRPr="00375EDE">
        <w:rPr>
          <w:rFonts w:cs="Times New Roman"/>
          <w:lang w:val="fr-CA"/>
        </w:rPr>
        <w:t>interpréter de façon significative, se révèlent fort utiles en l</w:t>
      </w:r>
      <w:r>
        <w:rPr>
          <w:rFonts w:cs="Times New Roman"/>
          <w:lang w:val="fr-CA"/>
        </w:rPr>
        <w:t>’</w:t>
      </w:r>
      <w:r w:rsidRPr="00375EDE">
        <w:rPr>
          <w:rFonts w:cs="Times New Roman"/>
          <w:lang w:val="fr-CA"/>
        </w:rPr>
        <w:t xml:space="preserve">espèce. </w:t>
      </w:r>
    </w:p>
    <w:p w:rsidR="00DF13E5" w:rsidRPr="00375EDE" w:rsidRDefault="00DF13E5" w:rsidP="00DF13E5">
      <w:pPr>
        <w:pStyle w:val="ParaNoNdepar-AltN"/>
        <w:rPr>
          <w:rFonts w:cs="Times New Roman"/>
          <w:lang w:val="fr-CA"/>
        </w:rPr>
      </w:pPr>
      <w:r w:rsidRPr="00375EDE">
        <w:rPr>
          <w:rFonts w:cs="Times New Roman"/>
          <w:lang w:val="fr-CA"/>
        </w:rPr>
        <w:t>Certes, le début du par. 14.06(4) parle de la responsabilité personnelle du syndic. Cependant, lorsqu</w:t>
      </w:r>
      <w:r>
        <w:rPr>
          <w:rFonts w:cs="Times New Roman"/>
          <w:lang w:val="fr-CA"/>
        </w:rPr>
        <w:t>’</w:t>
      </w:r>
      <w:r w:rsidRPr="00375EDE">
        <w:rPr>
          <w:rFonts w:cs="Times New Roman"/>
          <w:lang w:val="fr-CA"/>
        </w:rPr>
        <w:t xml:space="preserve">on lit les termes du paragraphe « dans leur contexte global en suivant le sens ordinaire et </w:t>
      </w:r>
      <w:r w:rsidRPr="00375EDE">
        <w:rPr>
          <w:rFonts w:cs="Times New Roman"/>
          <w:lang w:val="fr-CA" w:bidi="en-US"/>
        </w:rPr>
        <w:t>grammatical qui s</w:t>
      </w:r>
      <w:r>
        <w:rPr>
          <w:rFonts w:cs="Times New Roman"/>
          <w:lang w:val="fr-CA" w:bidi="en-US"/>
        </w:rPr>
        <w:t>’</w:t>
      </w:r>
      <w:r w:rsidRPr="00375EDE">
        <w:rPr>
          <w:rFonts w:cs="Times New Roman"/>
          <w:lang w:val="fr-CA" w:bidi="en-US"/>
        </w:rPr>
        <w:t>harmonise avec l</w:t>
      </w:r>
      <w:r>
        <w:rPr>
          <w:rFonts w:cs="Times New Roman"/>
          <w:lang w:val="fr-CA" w:bidi="en-US"/>
        </w:rPr>
        <w:t>’</w:t>
      </w:r>
      <w:r w:rsidRPr="00375EDE">
        <w:rPr>
          <w:rFonts w:cs="Times New Roman"/>
          <w:lang w:val="fr-CA" w:bidi="en-US"/>
        </w:rPr>
        <w:t>[économie] de la loi, l</w:t>
      </w:r>
      <w:r>
        <w:rPr>
          <w:rFonts w:cs="Times New Roman"/>
          <w:lang w:val="fr-CA" w:bidi="en-US"/>
        </w:rPr>
        <w:t>’</w:t>
      </w:r>
      <w:r w:rsidRPr="00375EDE">
        <w:rPr>
          <w:rFonts w:cs="Times New Roman"/>
          <w:lang w:val="fr-CA" w:bidi="en-US"/>
        </w:rPr>
        <w:t>objet de la loi et l</w:t>
      </w:r>
      <w:r>
        <w:rPr>
          <w:rFonts w:cs="Times New Roman"/>
          <w:lang w:val="fr-CA" w:bidi="en-US"/>
        </w:rPr>
        <w:t>’</w:t>
      </w:r>
      <w:r w:rsidRPr="00375EDE">
        <w:rPr>
          <w:rFonts w:cs="Times New Roman"/>
          <w:lang w:val="fr-CA" w:bidi="en-US"/>
        </w:rPr>
        <w:t xml:space="preserve">intention du législateur », tel que doivent le faire les tribunaux </w:t>
      </w:r>
      <w:r w:rsidRPr="00375EDE">
        <w:rPr>
          <w:rFonts w:cs="Times New Roman"/>
          <w:lang w:val="fr-CA"/>
        </w:rPr>
        <w:t xml:space="preserve">(voir </w:t>
      </w:r>
      <w:r w:rsidRPr="00375EDE">
        <w:rPr>
          <w:rFonts w:cs="Times New Roman"/>
          <w:i/>
          <w:lang w:val="fr-CA"/>
        </w:rPr>
        <w:t>Rizzo &amp; Rizzo Shoes Ltd. (Re)</w:t>
      </w:r>
      <w:r w:rsidRPr="00375EDE">
        <w:rPr>
          <w:rFonts w:cs="Times New Roman"/>
          <w:lang w:val="fr-CA"/>
        </w:rPr>
        <w:t xml:space="preserve">, [1998] 1 R.C.S. 27; </w:t>
      </w:r>
      <w:r w:rsidRPr="00375EDE">
        <w:rPr>
          <w:rFonts w:cs="Times New Roman"/>
          <w:i/>
          <w:lang w:val="fr-CA"/>
        </w:rPr>
        <w:t>Bell ExpressVu</w:t>
      </w:r>
      <w:r w:rsidRPr="00375EDE">
        <w:rPr>
          <w:rFonts w:cs="Times New Roman"/>
          <w:lang w:val="fr-CA"/>
        </w:rPr>
        <w:t xml:space="preserve">, par. 26, citant E. Driedger, </w:t>
      </w:r>
      <w:r w:rsidRPr="00375EDE">
        <w:rPr>
          <w:rFonts w:cs="Times New Roman"/>
          <w:i/>
          <w:lang w:val="fr-CA"/>
        </w:rPr>
        <w:t>Construction of Statutes</w:t>
      </w:r>
      <w:r w:rsidRPr="00375EDE">
        <w:rPr>
          <w:rFonts w:cs="Times New Roman"/>
          <w:lang w:val="fr-CA"/>
        </w:rPr>
        <w:t xml:space="preserve"> (2</w:t>
      </w:r>
      <w:r w:rsidRPr="00375EDE">
        <w:rPr>
          <w:rFonts w:cs="Times New Roman"/>
          <w:vertAlign w:val="superscript"/>
          <w:lang w:val="fr-CA"/>
        </w:rPr>
        <w:t>e</w:t>
      </w:r>
      <w:r w:rsidR="00F502FF">
        <w:rPr>
          <w:rFonts w:cs="Times New Roman"/>
          <w:lang w:val="fr-CA"/>
        </w:rPr>
        <w:t xml:space="preserve"> éd. 1</w:t>
      </w:r>
      <w:r w:rsidRPr="00375EDE">
        <w:rPr>
          <w:rFonts w:cs="Times New Roman"/>
          <w:lang w:val="fr-CA"/>
        </w:rPr>
        <w:t xml:space="preserve">983), p. 87), leur sens devient apparent. </w:t>
      </w:r>
    </w:p>
    <w:p w:rsidR="00DF13E5" w:rsidRPr="00375EDE" w:rsidRDefault="00DF13E5" w:rsidP="00DF13E5">
      <w:pPr>
        <w:pStyle w:val="ParaNoNdepar-AltN"/>
        <w:rPr>
          <w:rFonts w:cs="Times New Roman"/>
          <w:lang w:val="fr-CA"/>
        </w:rPr>
      </w:pPr>
      <w:r w:rsidRPr="00375EDE">
        <w:rPr>
          <w:rFonts w:cs="Times New Roman"/>
          <w:lang w:val="fr-CA"/>
        </w:rPr>
        <w:t>Le paragr</w:t>
      </w:r>
      <w:r w:rsidR="00135C75">
        <w:rPr>
          <w:rFonts w:cs="Times New Roman"/>
          <w:lang w:val="fr-CA"/>
        </w:rPr>
        <w:t>aphe 14.06(4) tient pour acquis et repose sur</w:t>
      </w:r>
      <w:r w:rsidRPr="00375EDE">
        <w:rPr>
          <w:rFonts w:cs="Times New Roman"/>
          <w:lang w:val="fr-CA"/>
        </w:rPr>
        <w:t xml:space="preserve"> le pouvoir des syndics en common law de renoncer à des biens, un pouvoir dont l</w:t>
      </w:r>
      <w:r>
        <w:rPr>
          <w:rFonts w:cs="Times New Roman"/>
          <w:lang w:val="fr-CA"/>
        </w:rPr>
        <w:t>’</w:t>
      </w:r>
      <w:r w:rsidRPr="00375EDE">
        <w:rPr>
          <w:rFonts w:cs="Times New Roman"/>
          <w:lang w:val="fr-CA"/>
        </w:rPr>
        <w:t>exercice est [</w:t>
      </w:r>
      <w:r w:rsidRPr="00375EDE">
        <w:rPr>
          <w:rFonts w:cs="Times New Roman"/>
          <w:smallCaps/>
          <w:lang w:val="fr-CA"/>
        </w:rPr>
        <w:t>traduction</w:t>
      </w:r>
      <w:r w:rsidRPr="00375EDE">
        <w:rPr>
          <w:rFonts w:cs="Times New Roman"/>
          <w:lang w:val="fr-CA"/>
        </w:rPr>
        <w:t>] « monnaie courante », affirment les juges majoritaires de la Cour d</w:t>
      </w:r>
      <w:r>
        <w:rPr>
          <w:rFonts w:cs="Times New Roman"/>
          <w:lang w:val="fr-CA"/>
        </w:rPr>
        <w:t>’</w:t>
      </w:r>
      <w:r w:rsidRPr="00375EDE">
        <w:rPr>
          <w:rFonts w:cs="Times New Roman"/>
          <w:lang w:val="fr-CA"/>
        </w:rPr>
        <w:t xml:space="preserve">appel (par. 47). Même mon collègue semble accepter que ce pouvoir de renonciation </w:t>
      </w:r>
      <w:r w:rsidRPr="00375EDE">
        <w:rPr>
          <w:rFonts w:cs="Times New Roman"/>
          <w:lang w:val="fr-CA"/>
        </w:rPr>
        <w:lastRenderedPageBreak/>
        <w:t>« </w:t>
      </w:r>
      <w:r>
        <w:rPr>
          <w:rFonts w:cs="Times New Roman"/>
          <w:lang w:val="fr-CA"/>
        </w:rPr>
        <w:t>précède </w:t>
      </w:r>
      <w:r w:rsidRPr="00375EDE">
        <w:rPr>
          <w:rFonts w:cs="Times New Roman"/>
          <w:lang w:val="fr-CA"/>
        </w:rPr>
        <w:t>» le par. 14.06(4) lui</w:t>
      </w:r>
      <w:r w:rsidRPr="00375EDE">
        <w:rPr>
          <w:rFonts w:cs="Times New Roman"/>
          <w:lang w:val="fr-CA"/>
        </w:rPr>
        <w:noBreakHyphen/>
        <w:t>même (par. 95). En effet, les juges majoritaires de la Cour d</w:t>
      </w:r>
      <w:r>
        <w:rPr>
          <w:rFonts w:cs="Times New Roman"/>
          <w:lang w:val="fr-CA"/>
        </w:rPr>
        <w:t>’</w:t>
      </w:r>
      <w:r w:rsidRPr="00375EDE">
        <w:rPr>
          <w:rFonts w:cs="Times New Roman"/>
          <w:lang w:val="fr-CA"/>
        </w:rPr>
        <w:t>appel ont reconnu que « [l]</w:t>
      </w:r>
      <w:r>
        <w:rPr>
          <w:rFonts w:cs="Times New Roman"/>
          <w:lang w:val="fr-CA"/>
        </w:rPr>
        <w:t>’</w:t>
      </w:r>
      <w:r w:rsidRPr="00375EDE">
        <w:rPr>
          <w:rFonts w:cs="Times New Roman"/>
          <w:lang w:val="fr-CA"/>
        </w:rPr>
        <w:t>article </w:t>
      </w:r>
      <w:r w:rsidRPr="00375EDE">
        <w:rPr>
          <w:rFonts w:cs="Times New Roman"/>
          <w:lang w:val="fr-CA" w:bidi="en-US"/>
        </w:rPr>
        <w:t>14.06 ne semble pas créer le droit du syndic d</w:t>
      </w:r>
      <w:r>
        <w:rPr>
          <w:rFonts w:cs="Times New Roman"/>
          <w:lang w:val="fr-CA" w:bidi="en-US"/>
        </w:rPr>
        <w:t>’</w:t>
      </w:r>
      <w:r w:rsidRPr="00375EDE">
        <w:rPr>
          <w:rFonts w:cs="Times New Roman"/>
          <w:lang w:val="fr-CA" w:bidi="en-US"/>
        </w:rPr>
        <w:t>abandonner des biens sans valeur; il en tient plutôt l</w:t>
      </w:r>
      <w:r>
        <w:rPr>
          <w:rFonts w:cs="Times New Roman"/>
          <w:lang w:val="fr-CA" w:bidi="en-US"/>
        </w:rPr>
        <w:t>’</w:t>
      </w:r>
      <w:r w:rsidRPr="00375EDE">
        <w:rPr>
          <w:rFonts w:cs="Times New Roman"/>
          <w:lang w:val="fr-CA" w:bidi="en-US"/>
        </w:rPr>
        <w:t>existence pour acquise en cas de faillite » (par. 63). C</w:t>
      </w:r>
      <w:r>
        <w:rPr>
          <w:rFonts w:cs="Times New Roman"/>
          <w:lang w:val="fr-CA" w:bidi="en-US"/>
        </w:rPr>
        <w:t>’</w:t>
      </w:r>
      <w:r w:rsidRPr="00375EDE">
        <w:rPr>
          <w:rFonts w:cs="Times New Roman"/>
          <w:lang w:val="fr-CA" w:bidi="en-US"/>
        </w:rPr>
        <w:t>est la seule explication logique pour laquelle le Parlement a laissé le par. </w:t>
      </w:r>
      <w:r w:rsidRPr="00375EDE">
        <w:rPr>
          <w:rFonts w:cs="Times New Roman"/>
          <w:lang w:val="fr-CA"/>
        </w:rPr>
        <w:t>14.06(4) produire ses effets lorsque le syndic « abandonne [. . .] tout intérêt sur le bien réel en cause, en dispose ou s</w:t>
      </w:r>
      <w:r>
        <w:rPr>
          <w:rFonts w:cs="Times New Roman"/>
          <w:lang w:val="fr-CA"/>
        </w:rPr>
        <w:t>’</w:t>
      </w:r>
      <w:r w:rsidRPr="00375EDE">
        <w:rPr>
          <w:rFonts w:cs="Times New Roman"/>
          <w:lang w:val="fr-CA"/>
        </w:rPr>
        <w:t>en dessaisit ». Bien que la protection contre toute responsabilité personnelle soit un effet de l</w:t>
      </w:r>
      <w:r>
        <w:rPr>
          <w:rFonts w:cs="Times New Roman"/>
          <w:lang w:val="fr-CA"/>
        </w:rPr>
        <w:t>’</w:t>
      </w:r>
      <w:r w:rsidRPr="00375EDE">
        <w:rPr>
          <w:rFonts w:cs="Times New Roman"/>
          <w:lang w:val="fr-CA"/>
        </w:rPr>
        <w:t>exercice régulier de ce pouvoir, ce n</w:t>
      </w:r>
      <w:r>
        <w:rPr>
          <w:rFonts w:cs="Times New Roman"/>
          <w:lang w:val="fr-CA"/>
        </w:rPr>
        <w:t>’</w:t>
      </w:r>
      <w:r w:rsidRPr="00375EDE">
        <w:rPr>
          <w:rFonts w:cs="Times New Roman"/>
          <w:lang w:val="fr-CA"/>
        </w:rPr>
        <w:t>est pas le seul. La renonciation sert à [</w:t>
      </w:r>
      <w:r w:rsidRPr="00375EDE">
        <w:rPr>
          <w:rFonts w:cs="Times New Roman"/>
          <w:smallCaps/>
          <w:lang w:val="fr-CA"/>
        </w:rPr>
        <w:t>traduction</w:t>
      </w:r>
      <w:r w:rsidRPr="00375EDE">
        <w:rPr>
          <w:rFonts w:cs="Times New Roman"/>
          <w:lang w:val="fr-CA"/>
        </w:rPr>
        <w:t xml:space="preserve">] « déterminer, à partir de sa date, les droits, intérêts et engagements » sur le bien auquel le syndic a renoncé (R. Goode, </w:t>
      </w:r>
      <w:r w:rsidRPr="00375EDE">
        <w:rPr>
          <w:rFonts w:cs="Times New Roman"/>
          <w:i/>
          <w:lang w:val="fr-CA"/>
        </w:rPr>
        <w:t>Principles of Corporate Insolvency Law</w:t>
      </w:r>
      <w:r w:rsidRPr="00375EDE">
        <w:rPr>
          <w:rFonts w:cs="Times New Roman"/>
          <w:lang w:val="fr-CA"/>
        </w:rPr>
        <w:t xml:space="preserve"> (4</w:t>
      </w:r>
      <w:r w:rsidRPr="00375EDE">
        <w:rPr>
          <w:rFonts w:cs="Times New Roman"/>
          <w:vertAlign w:val="superscript"/>
          <w:lang w:val="fr-CA"/>
        </w:rPr>
        <w:t>e</w:t>
      </w:r>
      <w:r w:rsidR="00F502FF">
        <w:rPr>
          <w:rFonts w:cs="Times New Roman"/>
          <w:lang w:val="fr-CA"/>
        </w:rPr>
        <w:t xml:space="preserve"> éd.</w:t>
      </w:r>
      <w:r w:rsidRPr="00375EDE">
        <w:rPr>
          <w:rFonts w:cs="Times New Roman"/>
          <w:lang w:val="fr-CA"/>
        </w:rPr>
        <w:t xml:space="preserve"> 2011), p. 202). En renonçant à bon droit à certains biens, le syndic est dégagé de toute responsabilité associée aux biens faisant l</w:t>
      </w:r>
      <w:r>
        <w:rPr>
          <w:rFonts w:cs="Times New Roman"/>
          <w:lang w:val="fr-CA"/>
        </w:rPr>
        <w:t>’</w:t>
      </w:r>
      <w:r w:rsidRPr="00375EDE">
        <w:rPr>
          <w:rFonts w:cs="Times New Roman"/>
          <w:lang w:val="fr-CA"/>
        </w:rPr>
        <w:t>objet de la renonciation et ne peut plus vendre les biens au profit de l</w:t>
      </w:r>
      <w:r>
        <w:rPr>
          <w:rFonts w:cs="Times New Roman"/>
          <w:lang w:val="fr-CA"/>
        </w:rPr>
        <w:t>’</w:t>
      </w:r>
      <w:r w:rsidRPr="00375EDE">
        <w:rPr>
          <w:rFonts w:cs="Times New Roman"/>
          <w:lang w:val="fr-CA"/>
        </w:rPr>
        <w:t>actif. Dans le contexte de l</w:t>
      </w:r>
      <w:r>
        <w:rPr>
          <w:rFonts w:cs="Times New Roman"/>
          <w:lang w:val="fr-CA"/>
        </w:rPr>
        <w:t>’</w:t>
      </w:r>
      <w:r w:rsidRPr="00375EDE">
        <w:rPr>
          <w:rFonts w:cs="Times New Roman"/>
          <w:lang w:val="fr-CA"/>
        </w:rPr>
        <w:t>administration des biens réels du failli, l</w:t>
      </w:r>
      <w:r>
        <w:rPr>
          <w:rFonts w:cs="Times New Roman"/>
          <w:lang w:val="fr-CA"/>
        </w:rPr>
        <w:t>’</w:t>
      </w:r>
      <w:r w:rsidRPr="00375EDE">
        <w:rPr>
          <w:rFonts w:cs="Times New Roman"/>
          <w:lang w:val="fr-CA"/>
        </w:rPr>
        <w:t xml:space="preserve">auteur Frank Bennett explique que </w:t>
      </w:r>
      <w:r w:rsidRPr="00375EDE">
        <w:rPr>
          <w:rFonts w:cs="Times New Roman"/>
          <w:smallCaps/>
          <w:lang w:val="fr-CA"/>
        </w:rPr>
        <w:t>[traduction</w:t>
      </w:r>
      <w:r w:rsidRPr="00375EDE">
        <w:rPr>
          <w:rFonts w:cs="Times New Roman"/>
          <w:lang w:val="fr-CA"/>
        </w:rPr>
        <w:t>] « [l]orsque le syndic renonce à son intérêt, la renonciation emporte dessaisissement de tout droit, titre et intérêt sur le bien en question » (</w:t>
      </w:r>
      <w:r w:rsidRPr="00375EDE">
        <w:rPr>
          <w:rFonts w:cs="Times New Roman"/>
          <w:i/>
          <w:lang w:val="fr-CA"/>
        </w:rPr>
        <w:t>Bennett on Creditors</w:t>
      </w:r>
      <w:r>
        <w:rPr>
          <w:rFonts w:cs="Times New Roman"/>
          <w:i/>
          <w:lang w:val="fr-CA"/>
        </w:rPr>
        <w:t>’</w:t>
      </w:r>
      <w:r w:rsidRPr="00375EDE">
        <w:rPr>
          <w:rFonts w:cs="Times New Roman"/>
          <w:i/>
          <w:lang w:val="fr-CA"/>
        </w:rPr>
        <w:t xml:space="preserve"> and Debtors</w:t>
      </w:r>
      <w:r>
        <w:rPr>
          <w:rFonts w:cs="Times New Roman"/>
          <w:i/>
          <w:lang w:val="fr-CA"/>
        </w:rPr>
        <w:t>’</w:t>
      </w:r>
      <w:r w:rsidRPr="00375EDE">
        <w:rPr>
          <w:rFonts w:cs="Times New Roman"/>
          <w:i/>
          <w:lang w:val="fr-CA"/>
        </w:rPr>
        <w:t xml:space="preserve"> Rights and Remedies</w:t>
      </w:r>
      <w:r w:rsidRPr="00375EDE">
        <w:rPr>
          <w:rFonts w:cs="Times New Roman"/>
          <w:lang w:val="fr-CA"/>
        </w:rPr>
        <w:t xml:space="preserve"> (5</w:t>
      </w:r>
      <w:r w:rsidRPr="00375EDE">
        <w:rPr>
          <w:rFonts w:cs="Times New Roman"/>
          <w:vertAlign w:val="superscript"/>
          <w:lang w:val="fr-CA"/>
        </w:rPr>
        <w:t>e</w:t>
      </w:r>
      <w:r w:rsidR="00F502FF">
        <w:rPr>
          <w:rFonts w:cs="Times New Roman"/>
          <w:lang w:val="fr-CA"/>
        </w:rPr>
        <w:t xml:space="preserve"> éd.</w:t>
      </w:r>
      <w:r w:rsidRPr="00375EDE">
        <w:rPr>
          <w:rFonts w:cs="Times New Roman"/>
          <w:lang w:val="fr-CA"/>
        </w:rPr>
        <w:t xml:space="preserve"> 2006), p. 482 (note </w:t>
      </w:r>
      <w:r w:rsidR="00135C75">
        <w:rPr>
          <w:rFonts w:cs="Times New Roman"/>
          <w:lang w:val="fr-CA"/>
        </w:rPr>
        <w:t>en</w:t>
      </w:r>
      <w:r w:rsidRPr="00375EDE">
        <w:rPr>
          <w:rFonts w:cs="Times New Roman"/>
          <w:lang w:val="fr-CA"/>
        </w:rPr>
        <w:t xml:space="preserve"> bas de page omise)).</w:t>
      </w:r>
    </w:p>
    <w:p w:rsidR="00DF13E5" w:rsidRPr="00375EDE" w:rsidRDefault="00DF13E5" w:rsidP="00DF13E5">
      <w:pPr>
        <w:pStyle w:val="ParaNoNdepar-AltN"/>
        <w:rPr>
          <w:rFonts w:cs="Times New Roman"/>
          <w:lang w:val="fr-CA"/>
        </w:rPr>
      </w:pPr>
      <w:r w:rsidRPr="00375EDE">
        <w:rPr>
          <w:rFonts w:cs="Times New Roman"/>
          <w:lang w:val="fr-CA"/>
        </w:rPr>
        <w:t>Les juges majoritaires font valoir que le par. 14.06(4) n</w:t>
      </w:r>
      <w:r>
        <w:rPr>
          <w:rFonts w:cs="Times New Roman"/>
          <w:lang w:val="fr-CA"/>
        </w:rPr>
        <w:t>’</w:t>
      </w:r>
      <w:r w:rsidR="00135C75">
        <w:rPr>
          <w:rFonts w:cs="Times New Roman"/>
          <w:lang w:val="fr-CA"/>
        </w:rPr>
        <w:t xml:space="preserve">autorise pas le syndic à </w:t>
      </w:r>
      <w:r w:rsidRPr="00375EDE">
        <w:rPr>
          <w:rFonts w:cs="Times New Roman"/>
          <w:lang w:val="fr-CA"/>
        </w:rPr>
        <w:t>« délaisser » des biens ou à se soustraire aux engagements environnementaux qui s</w:t>
      </w:r>
      <w:r>
        <w:rPr>
          <w:rFonts w:cs="Times New Roman"/>
          <w:lang w:val="fr-CA"/>
        </w:rPr>
        <w:t>’</w:t>
      </w:r>
      <w:r w:rsidRPr="00375EDE">
        <w:rPr>
          <w:rFonts w:cs="Times New Roman"/>
          <w:lang w:val="fr-CA"/>
        </w:rPr>
        <w:t>y rattachent (par. 86, 100 et 102). Or, c</w:t>
      </w:r>
      <w:r>
        <w:rPr>
          <w:rFonts w:cs="Times New Roman"/>
          <w:lang w:val="fr-CA"/>
        </w:rPr>
        <w:t>’</w:t>
      </w:r>
      <w:r w:rsidRPr="00375EDE">
        <w:rPr>
          <w:rFonts w:cs="Times New Roman"/>
          <w:lang w:val="fr-CA"/>
        </w:rPr>
        <w:t>est exactement ce qu</w:t>
      </w:r>
      <w:r>
        <w:rPr>
          <w:rFonts w:cs="Times New Roman"/>
          <w:lang w:val="fr-CA"/>
        </w:rPr>
        <w:t>’</w:t>
      </w:r>
      <w:r w:rsidRPr="00375EDE">
        <w:rPr>
          <w:rFonts w:cs="Times New Roman"/>
          <w:lang w:val="fr-CA"/>
        </w:rPr>
        <w:t xml:space="preserve">entraîne la </w:t>
      </w:r>
      <w:r w:rsidRPr="00375EDE">
        <w:rPr>
          <w:rFonts w:cs="Times New Roman"/>
          <w:i/>
          <w:lang w:val="fr-CA"/>
        </w:rPr>
        <w:t xml:space="preserve">renonciation </w:t>
      </w:r>
      <w:r w:rsidRPr="00375EDE">
        <w:rPr>
          <w:rFonts w:cs="Times New Roman"/>
          <w:lang w:val="fr-CA"/>
        </w:rPr>
        <w:t>à des biens. Elle permet au syndic de ne pas réaliser des biens qui ne seraient pas profitables aux créanciers de l</w:t>
      </w:r>
      <w:r>
        <w:rPr>
          <w:rFonts w:cs="Times New Roman"/>
          <w:lang w:val="fr-CA"/>
        </w:rPr>
        <w:t>’</w:t>
      </w:r>
      <w:r w:rsidRPr="00375EDE">
        <w:rPr>
          <w:rFonts w:cs="Times New Roman"/>
          <w:lang w:val="fr-CA"/>
        </w:rPr>
        <w:t>actif et compromettraient par le fa</w:t>
      </w:r>
      <w:r w:rsidR="00084AE6">
        <w:rPr>
          <w:rFonts w:cs="Times New Roman"/>
          <w:lang w:val="fr-CA"/>
        </w:rPr>
        <w:t xml:space="preserve">it même son objectif principal. </w:t>
      </w:r>
      <w:r w:rsidRPr="00375EDE">
        <w:rPr>
          <w:rFonts w:cs="Times New Roman"/>
          <w:lang w:val="fr-CA"/>
        </w:rPr>
        <w:t>Le pouvoir de ren</w:t>
      </w:r>
      <w:r w:rsidR="00CF6584">
        <w:rPr>
          <w:rFonts w:cs="Times New Roman"/>
          <w:lang w:val="fr-CA"/>
        </w:rPr>
        <w:t xml:space="preserve">onciation a pour objet reconnu </w:t>
      </w:r>
      <w:r w:rsidRPr="00375EDE">
        <w:rPr>
          <w:rFonts w:cs="Times New Roman"/>
          <w:lang w:val="fr-CA"/>
        </w:rPr>
        <w:t>[</w:t>
      </w:r>
      <w:r w:rsidRPr="00375EDE">
        <w:rPr>
          <w:rFonts w:cs="Times New Roman"/>
          <w:smallCaps/>
          <w:lang w:val="fr-CA"/>
        </w:rPr>
        <w:t>traduction</w:t>
      </w:r>
      <w:r w:rsidRPr="00375EDE">
        <w:rPr>
          <w:rFonts w:cs="Times New Roman"/>
          <w:lang w:val="fr-CA"/>
        </w:rPr>
        <w:t>] « </w:t>
      </w:r>
      <w:r w:rsidR="00CF6584">
        <w:rPr>
          <w:rFonts w:cs="Times New Roman"/>
          <w:lang w:val="fr-CA"/>
        </w:rPr>
        <w:t>[d’]</w:t>
      </w:r>
      <w:r w:rsidR="00CF6584" w:rsidRPr="00375EDE">
        <w:rPr>
          <w:rFonts w:cs="Times New Roman"/>
          <w:lang w:val="fr-CA"/>
        </w:rPr>
        <w:t>éviter</w:t>
      </w:r>
      <w:r w:rsidRPr="00375EDE">
        <w:rPr>
          <w:rFonts w:cs="Times New Roman"/>
          <w:lang w:val="fr-CA"/>
        </w:rPr>
        <w:t xml:space="preserve"> la poursuite des engagements à l</w:t>
      </w:r>
      <w:r>
        <w:rPr>
          <w:rFonts w:cs="Times New Roman"/>
          <w:lang w:val="fr-CA"/>
        </w:rPr>
        <w:t>’</w:t>
      </w:r>
      <w:r w:rsidRPr="00375EDE">
        <w:rPr>
          <w:rFonts w:cs="Times New Roman"/>
          <w:lang w:val="fr-CA"/>
        </w:rPr>
        <w:t xml:space="preserve">égard de biens onéreux qui seraient </w:t>
      </w:r>
      <w:r w:rsidRPr="00375EDE">
        <w:rPr>
          <w:rFonts w:cs="Times New Roman"/>
          <w:lang w:val="fr-CA"/>
        </w:rPr>
        <w:lastRenderedPageBreak/>
        <w:t xml:space="preserve">payables aux dépens de la liquidation, et ce, au détriment des créanciers non garantis » </w:t>
      </w:r>
      <w:r>
        <w:rPr>
          <w:rFonts w:cs="Times New Roman"/>
          <w:lang w:val="fr-CA"/>
        </w:rPr>
        <w:t>(</w:t>
      </w:r>
      <w:r w:rsidRPr="00375EDE">
        <w:rPr>
          <w:rFonts w:cs="Times New Roman"/>
          <w:lang w:val="fr-CA"/>
        </w:rPr>
        <w:t xml:space="preserve">Goode, p. 200 (note </w:t>
      </w:r>
      <w:r w:rsidR="00135C75">
        <w:rPr>
          <w:rFonts w:cs="Times New Roman"/>
          <w:lang w:val="fr-CA"/>
        </w:rPr>
        <w:t>en</w:t>
      </w:r>
      <w:r w:rsidRPr="00375EDE">
        <w:rPr>
          <w:rFonts w:cs="Times New Roman"/>
          <w:lang w:val="fr-CA"/>
        </w:rPr>
        <w:t xml:space="preserve"> bas de page omise)). Ces principes valent tout autant dans le cas des biens réels sans valeur que dans celui des contrats exécutoires non rentables et contraignants. En fait, personne n</w:t>
      </w:r>
      <w:r>
        <w:rPr>
          <w:rFonts w:cs="Times New Roman"/>
          <w:lang w:val="fr-CA"/>
        </w:rPr>
        <w:t>’</w:t>
      </w:r>
      <w:r w:rsidRPr="00375EDE">
        <w:rPr>
          <w:rFonts w:cs="Times New Roman"/>
          <w:lang w:val="fr-CA"/>
        </w:rPr>
        <w:t>a laissé entendre en l</w:t>
      </w:r>
      <w:r>
        <w:rPr>
          <w:rFonts w:cs="Times New Roman"/>
          <w:lang w:val="fr-CA"/>
        </w:rPr>
        <w:t>’</w:t>
      </w:r>
      <w:r w:rsidRPr="00375EDE">
        <w:rPr>
          <w:rFonts w:cs="Times New Roman"/>
          <w:lang w:val="fr-CA"/>
        </w:rPr>
        <w:t>espèce, pas même l</w:t>
      </w:r>
      <w:r>
        <w:rPr>
          <w:rFonts w:cs="Times New Roman"/>
          <w:lang w:val="fr-CA"/>
        </w:rPr>
        <w:t>’</w:t>
      </w:r>
      <w:r w:rsidRPr="00375EDE">
        <w:rPr>
          <w:rFonts w:cs="Times New Roman"/>
          <w:lang w:val="fr-CA"/>
        </w:rPr>
        <w:t>AER ou l</w:t>
      </w:r>
      <w:r>
        <w:rPr>
          <w:rFonts w:cs="Times New Roman"/>
          <w:lang w:val="fr-CA"/>
        </w:rPr>
        <w:t>’</w:t>
      </w:r>
      <w:r w:rsidRPr="00375EDE">
        <w:rPr>
          <w:rFonts w:cs="Times New Roman"/>
          <w:lang w:val="fr-CA"/>
        </w:rPr>
        <w:t xml:space="preserve">OWA, que les syndics ne peuvent jamais renoncer à des biens réels onéreux.  </w:t>
      </w:r>
    </w:p>
    <w:p w:rsidR="00DF13E5" w:rsidRPr="00375EDE" w:rsidRDefault="00DF13E5" w:rsidP="00DF13E5">
      <w:pPr>
        <w:pStyle w:val="ParaNoNdepar-AltN"/>
        <w:rPr>
          <w:rFonts w:cs="Times New Roman"/>
          <w:lang w:val="fr-CA"/>
        </w:rPr>
      </w:pPr>
      <w:r w:rsidRPr="00375EDE">
        <w:rPr>
          <w:rFonts w:cs="Times New Roman"/>
          <w:lang w:val="fr-CA"/>
        </w:rPr>
        <w:t>Cette explication du pouvoir de renonciation est confirmée par les agissements de GTL en l</w:t>
      </w:r>
      <w:r>
        <w:rPr>
          <w:rFonts w:cs="Times New Roman"/>
          <w:lang w:val="fr-CA"/>
        </w:rPr>
        <w:t>’</w:t>
      </w:r>
      <w:r w:rsidRPr="00375EDE">
        <w:rPr>
          <w:rFonts w:cs="Times New Roman"/>
          <w:lang w:val="fr-CA"/>
        </w:rPr>
        <w:t>espèce. Après avoir estimé la viabilité économique et la qualité marchande des biens de Redwater, GTL a décidé que ce qui serait le plus profitable aux créanciers de Redwater dans leur ensemble, ce serait qu</w:t>
      </w:r>
      <w:r>
        <w:rPr>
          <w:rFonts w:cs="Times New Roman"/>
          <w:lang w:val="fr-CA"/>
        </w:rPr>
        <w:t>’</w:t>
      </w:r>
      <w:r w:rsidRPr="00375EDE">
        <w:rPr>
          <w:rFonts w:cs="Times New Roman"/>
          <w:lang w:val="fr-CA"/>
        </w:rPr>
        <w:t>il renonce aux biens inexploités et grevés d</w:t>
      </w:r>
      <w:r>
        <w:rPr>
          <w:rFonts w:cs="Times New Roman"/>
          <w:lang w:val="fr-CA"/>
        </w:rPr>
        <w:t>’</w:t>
      </w:r>
      <w:r w:rsidRPr="00375EDE">
        <w:rPr>
          <w:rFonts w:cs="Times New Roman"/>
          <w:lang w:val="fr-CA"/>
        </w:rPr>
        <w:t xml:space="preserve">engagements. </w:t>
      </w:r>
    </w:p>
    <w:p w:rsidR="00DF13E5" w:rsidRPr="00375EDE" w:rsidRDefault="00DF13E5" w:rsidP="00DF13E5">
      <w:pPr>
        <w:pStyle w:val="ParaNoNdepar-AltN"/>
        <w:rPr>
          <w:rFonts w:cs="Times New Roman"/>
          <w:lang w:val="fr-CA"/>
        </w:rPr>
      </w:pPr>
      <w:r w:rsidRPr="00375EDE">
        <w:rPr>
          <w:rFonts w:cs="Times New Roman"/>
          <w:lang w:val="fr-CA"/>
        </w:rPr>
        <w:t>La reconnaissance par le Parlement, au par. 14.06(4), de ce pouvoir de renonciation en common law n</w:t>
      </w:r>
      <w:r>
        <w:rPr>
          <w:rFonts w:cs="Times New Roman"/>
          <w:lang w:val="fr-CA"/>
        </w:rPr>
        <w:t>’</w:t>
      </w:r>
      <w:r w:rsidRPr="00375EDE">
        <w:rPr>
          <w:rFonts w:cs="Times New Roman"/>
          <w:lang w:val="fr-CA"/>
        </w:rPr>
        <w:t xml:space="preserve">a rien de nouveau. Le pouvoir est aussi mentionné dans une autre disposition, quoique dans un contexte plus général. Le paragraphe 20(1) de la </w:t>
      </w:r>
      <w:r w:rsidRPr="00043E34">
        <w:rPr>
          <w:rFonts w:cs="Times New Roman"/>
          <w:i/>
          <w:lang w:val="fr-CA"/>
        </w:rPr>
        <w:t xml:space="preserve">LFI </w:t>
      </w:r>
      <w:r w:rsidRPr="00375EDE">
        <w:rPr>
          <w:rFonts w:cs="Times New Roman"/>
          <w:lang w:val="fr-CA"/>
        </w:rPr>
        <w:t>donne au syndic la possibilité de « renoncer » à « un immeuble ou [à] un bien réel du failli » en génér</w:t>
      </w:r>
      <w:r>
        <w:rPr>
          <w:rFonts w:cs="Times New Roman"/>
          <w:lang w:val="fr-CA"/>
        </w:rPr>
        <w:t xml:space="preserve">al. </w:t>
      </w:r>
      <w:r w:rsidRPr="00375EDE">
        <w:rPr>
          <w:rFonts w:cs="Times New Roman"/>
          <w:lang w:val="fr-CA"/>
        </w:rPr>
        <w:t>Le pouvoir de renonciation lui</w:t>
      </w:r>
      <w:r w:rsidRPr="00375EDE">
        <w:rPr>
          <w:rFonts w:cs="Times New Roman"/>
          <w:lang w:val="fr-CA"/>
        </w:rPr>
        <w:noBreakHyphen/>
        <w:t>même ne découle cependant pas de cette disposition. Le syndic n</w:t>
      </w:r>
      <w:r>
        <w:rPr>
          <w:rFonts w:cs="Times New Roman"/>
          <w:lang w:val="fr-CA"/>
        </w:rPr>
        <w:t>’</w:t>
      </w:r>
      <w:r w:rsidRPr="00375EDE">
        <w:rPr>
          <w:rFonts w:cs="Times New Roman"/>
          <w:lang w:val="fr-CA"/>
        </w:rPr>
        <w:t>est pas non plus obligé d</w:t>
      </w:r>
      <w:r>
        <w:rPr>
          <w:rFonts w:cs="Times New Roman"/>
          <w:lang w:val="fr-CA"/>
        </w:rPr>
        <w:t>’</w:t>
      </w:r>
      <w:r w:rsidRPr="00375EDE">
        <w:rPr>
          <w:rFonts w:cs="Times New Roman"/>
          <w:lang w:val="fr-CA"/>
        </w:rPr>
        <w:t>invoquer le par. </w:t>
      </w:r>
      <w:r w:rsidRPr="00375EDE">
        <w:rPr>
          <w:rFonts w:cs="Times New Roman"/>
          <w:lang w:val="fr-CA" w:bidi="en-US"/>
        </w:rPr>
        <w:t>20(1) pour exercer le pouvoir de renonciation décrit au par. 14.06(4), lequel incorpore ce pouvoir et expose certains effets de son exercice dans le contexte précis des ordonnances de décontamination environnementale. Quoi qu</w:t>
      </w:r>
      <w:r>
        <w:rPr>
          <w:rFonts w:cs="Times New Roman"/>
          <w:lang w:val="fr-CA" w:bidi="en-US"/>
        </w:rPr>
        <w:t>’</w:t>
      </w:r>
      <w:r w:rsidRPr="00375EDE">
        <w:rPr>
          <w:rFonts w:cs="Times New Roman"/>
          <w:lang w:val="fr-CA" w:bidi="en-US"/>
        </w:rPr>
        <w:t>il en soit, notre Cour n</w:t>
      </w:r>
      <w:r>
        <w:rPr>
          <w:rFonts w:cs="Times New Roman"/>
          <w:lang w:val="fr-CA" w:bidi="en-US"/>
        </w:rPr>
        <w:t>’</w:t>
      </w:r>
      <w:r w:rsidRPr="00375EDE">
        <w:rPr>
          <w:rFonts w:cs="Times New Roman"/>
          <w:lang w:val="fr-CA" w:bidi="en-US"/>
        </w:rPr>
        <w:t>a pas à commenter en l</w:t>
      </w:r>
      <w:r>
        <w:rPr>
          <w:rFonts w:cs="Times New Roman"/>
          <w:lang w:val="fr-CA" w:bidi="en-US"/>
        </w:rPr>
        <w:t>’</w:t>
      </w:r>
      <w:r w:rsidRPr="00375EDE">
        <w:rPr>
          <w:rFonts w:cs="Times New Roman"/>
          <w:lang w:val="fr-CA" w:bidi="en-US"/>
        </w:rPr>
        <w:t>espèce tous les effets du par. 20(1).</w:t>
      </w:r>
    </w:p>
    <w:p w:rsidR="00DF13E5" w:rsidRPr="00375EDE" w:rsidRDefault="00DF13E5" w:rsidP="00DF13E5">
      <w:pPr>
        <w:pStyle w:val="ParaNoNdepar-AltN"/>
        <w:rPr>
          <w:rFonts w:cs="Times New Roman"/>
          <w:lang w:val="fr-CA"/>
        </w:rPr>
      </w:pPr>
      <w:r w:rsidRPr="00375EDE">
        <w:rPr>
          <w:rFonts w:cs="Times New Roman"/>
          <w:lang w:val="fr-CA"/>
        </w:rPr>
        <w:t>Suivant l</w:t>
      </w:r>
      <w:r>
        <w:rPr>
          <w:rFonts w:cs="Times New Roman"/>
          <w:lang w:val="fr-CA"/>
        </w:rPr>
        <w:t>’</w:t>
      </w:r>
      <w:r w:rsidRPr="00375EDE">
        <w:rPr>
          <w:rFonts w:cs="Times New Roman"/>
          <w:lang w:val="fr-CA"/>
        </w:rPr>
        <w:t>interprétation de mon collègue, la raison pour laquelle le Parlement a choisi d</w:t>
      </w:r>
      <w:r>
        <w:rPr>
          <w:rFonts w:cs="Times New Roman"/>
          <w:lang w:val="fr-CA"/>
        </w:rPr>
        <w:t>’</w:t>
      </w:r>
      <w:r w:rsidRPr="00375EDE">
        <w:rPr>
          <w:rFonts w:cs="Times New Roman"/>
          <w:lang w:val="fr-CA"/>
        </w:rPr>
        <w:t>instaurer</w:t>
      </w:r>
      <w:r>
        <w:rPr>
          <w:rFonts w:cs="Times New Roman"/>
          <w:lang w:val="fr-CA"/>
        </w:rPr>
        <w:t xml:space="preserve"> le mécanisme de renonciation</w:t>
      </w:r>
      <w:r w:rsidRPr="00375EDE">
        <w:rPr>
          <w:rFonts w:cs="Times New Roman"/>
          <w:lang w:val="fr-CA"/>
        </w:rPr>
        <w:t xml:space="preserve"> n</w:t>
      </w:r>
      <w:r>
        <w:rPr>
          <w:rFonts w:cs="Times New Roman"/>
          <w:lang w:val="fr-CA"/>
        </w:rPr>
        <w:t>’</w:t>
      </w:r>
      <w:r w:rsidRPr="00375EDE">
        <w:rPr>
          <w:rFonts w:cs="Times New Roman"/>
          <w:lang w:val="fr-CA"/>
        </w:rPr>
        <w:t xml:space="preserve">est pas claire. Il ne fait </w:t>
      </w:r>
      <w:r w:rsidRPr="00375EDE">
        <w:rPr>
          <w:rFonts w:cs="Times New Roman"/>
          <w:lang w:val="fr-CA"/>
        </w:rPr>
        <w:lastRenderedPageBreak/>
        <w:t>aucun doute que le Parlement aurait pu atteindre le même résultat en employant un langage plus simple. Si le Parlement comptait simplement protéger les syndics contre toute responsabilité personnelle découlant du non</w:t>
      </w:r>
      <w:r w:rsidRPr="00375EDE">
        <w:rPr>
          <w:rFonts w:cs="Times New Roman"/>
          <w:lang w:val="fr-CA"/>
        </w:rPr>
        <w:noBreakHyphen/>
        <w:t>respect d</w:t>
      </w:r>
      <w:r>
        <w:rPr>
          <w:rFonts w:cs="Times New Roman"/>
          <w:lang w:val="fr-CA"/>
        </w:rPr>
        <w:t>’</w:t>
      </w:r>
      <w:r w:rsidRPr="00375EDE">
        <w:rPr>
          <w:rFonts w:cs="Times New Roman"/>
          <w:lang w:val="fr-CA"/>
        </w:rPr>
        <w:t>ordonnances environnementales, il aurait pu aisément le faire directement; en fait, il l</w:t>
      </w:r>
      <w:r>
        <w:rPr>
          <w:rFonts w:cs="Times New Roman"/>
          <w:lang w:val="fr-CA"/>
        </w:rPr>
        <w:t>’</w:t>
      </w:r>
      <w:r w:rsidRPr="00375EDE">
        <w:rPr>
          <w:rFonts w:cs="Times New Roman"/>
          <w:lang w:val="fr-CA"/>
        </w:rPr>
        <w:t>avait déjà fait au par. 14.06(2). Il n</w:t>
      </w:r>
      <w:r>
        <w:rPr>
          <w:rFonts w:cs="Times New Roman"/>
          <w:lang w:val="fr-CA"/>
        </w:rPr>
        <w:t>’</w:t>
      </w:r>
      <w:r w:rsidRPr="00375EDE">
        <w:rPr>
          <w:rFonts w:cs="Times New Roman"/>
          <w:lang w:val="fr-CA"/>
        </w:rPr>
        <w:t>y a aucune raison pour laquelle le Parlement aurait tenté d</w:t>
      </w:r>
      <w:r>
        <w:rPr>
          <w:rFonts w:cs="Times New Roman"/>
          <w:lang w:val="fr-CA"/>
        </w:rPr>
        <w:t>’</w:t>
      </w:r>
      <w:r w:rsidRPr="00375EDE">
        <w:rPr>
          <w:rFonts w:cs="Times New Roman"/>
          <w:lang w:val="fr-CA"/>
        </w:rPr>
        <w:t>obtenir ce résultat relativement simple par le mécanisme alambiqué consistant à exiger des syndics qu</w:t>
      </w:r>
      <w:r>
        <w:rPr>
          <w:rFonts w:cs="Times New Roman"/>
          <w:lang w:val="fr-CA"/>
        </w:rPr>
        <w:t>’</w:t>
      </w:r>
      <w:r w:rsidRPr="00375EDE">
        <w:rPr>
          <w:rFonts w:cs="Times New Roman"/>
          <w:lang w:val="fr-CA"/>
        </w:rPr>
        <w:t>ils renoncent aux biens, tout en évitant que cette renonciation ait « couramment » des effets en common law. Il y a une raison pour laquelle le Parlement a mentionné le pouvoir de renonciation au par. 14.06(4); nous devons donner effet à ce choix et aux mots qu</w:t>
      </w:r>
      <w:r>
        <w:rPr>
          <w:rFonts w:cs="Times New Roman"/>
          <w:lang w:val="fr-CA"/>
        </w:rPr>
        <w:t>’</w:t>
      </w:r>
      <w:r w:rsidRPr="00375EDE">
        <w:rPr>
          <w:rFonts w:cs="Times New Roman"/>
          <w:lang w:val="fr-CA"/>
        </w:rPr>
        <w:t>il a utilisés.</w:t>
      </w:r>
    </w:p>
    <w:p w:rsidR="00DF13E5" w:rsidRPr="00375EDE" w:rsidRDefault="00DF13E5" w:rsidP="00DF13E5">
      <w:pPr>
        <w:pStyle w:val="ParaNoNdepar-AltN"/>
        <w:rPr>
          <w:rFonts w:cs="Times New Roman"/>
          <w:lang w:val="fr-CA"/>
        </w:rPr>
      </w:pPr>
      <w:r w:rsidRPr="00375EDE">
        <w:rPr>
          <w:rFonts w:cs="Times New Roman"/>
          <w:lang w:val="fr-CA"/>
        </w:rPr>
        <w:t>Par conséquent, avec égards, je ne suis pas d</w:t>
      </w:r>
      <w:r>
        <w:rPr>
          <w:rFonts w:cs="Times New Roman"/>
          <w:lang w:val="fr-CA"/>
        </w:rPr>
        <w:t>’</w:t>
      </w:r>
      <w:r w:rsidRPr="00375EDE">
        <w:rPr>
          <w:rFonts w:cs="Times New Roman"/>
          <w:lang w:val="fr-CA"/>
        </w:rPr>
        <w:t>accord pour dire que le par. 14.06(4) protège les syndics uniquement contre certains types de responsabilité personnelle. Mais cela ne signifie pas que l</w:t>
      </w:r>
      <w:r>
        <w:rPr>
          <w:rFonts w:cs="Times New Roman"/>
          <w:lang w:val="fr-CA"/>
        </w:rPr>
        <w:t>’</w:t>
      </w:r>
      <w:r w:rsidRPr="00375EDE">
        <w:rPr>
          <w:rFonts w:cs="Times New Roman"/>
          <w:i/>
          <w:lang w:val="fr-CA"/>
        </w:rPr>
        <w:t xml:space="preserve">actif </w:t>
      </w:r>
      <w:r w:rsidRPr="00375EDE">
        <w:rPr>
          <w:rFonts w:cs="Times New Roman"/>
          <w:lang w:val="fr-CA"/>
        </w:rPr>
        <w:t>est déchargé de ses engagements une fois que le syndic exerce son pouvoir de renonciation — une idée fausse qui est omniprésente dans les observations de l</w:t>
      </w:r>
      <w:r>
        <w:rPr>
          <w:rFonts w:cs="Times New Roman"/>
          <w:lang w:val="fr-CA"/>
        </w:rPr>
        <w:t>’</w:t>
      </w:r>
      <w:r w:rsidRPr="00375EDE">
        <w:rPr>
          <w:rFonts w:cs="Times New Roman"/>
          <w:lang w:val="fr-CA"/>
        </w:rPr>
        <w:t>AER et l</w:t>
      </w:r>
      <w:r>
        <w:rPr>
          <w:rFonts w:cs="Times New Roman"/>
          <w:lang w:val="fr-CA"/>
        </w:rPr>
        <w:t>’</w:t>
      </w:r>
      <w:r w:rsidRPr="00375EDE">
        <w:rPr>
          <w:rFonts w:cs="Times New Roman"/>
          <w:lang w:val="fr-CA"/>
        </w:rPr>
        <w:t>analyse de la majorité. Le bien visé par une renonciation retourne ultimement dans l</w:t>
      </w:r>
      <w:r>
        <w:rPr>
          <w:rFonts w:cs="Times New Roman"/>
          <w:lang w:val="fr-CA"/>
        </w:rPr>
        <w:t>’</w:t>
      </w:r>
      <w:r w:rsidRPr="00375EDE">
        <w:rPr>
          <w:rFonts w:cs="Times New Roman"/>
          <w:lang w:val="fr-CA"/>
        </w:rPr>
        <w:t>actif à l</w:t>
      </w:r>
      <w:r>
        <w:rPr>
          <w:rFonts w:cs="Times New Roman"/>
          <w:lang w:val="fr-CA"/>
        </w:rPr>
        <w:t>’</w:t>
      </w:r>
      <w:r w:rsidRPr="00375EDE">
        <w:rPr>
          <w:rFonts w:cs="Times New Roman"/>
          <w:lang w:val="fr-CA"/>
        </w:rPr>
        <w:t>issue du processus de faillite, comme c</w:t>
      </w:r>
      <w:r>
        <w:rPr>
          <w:rFonts w:cs="Times New Roman"/>
          <w:lang w:val="fr-CA"/>
        </w:rPr>
        <w:t>’</w:t>
      </w:r>
      <w:r w:rsidRPr="00375EDE">
        <w:rPr>
          <w:rFonts w:cs="Times New Roman"/>
          <w:lang w:val="fr-CA"/>
        </w:rPr>
        <w:t xml:space="preserve">est le cas pour les biens non réalisés (voir </w:t>
      </w:r>
      <w:r w:rsidRPr="00043E34">
        <w:rPr>
          <w:rFonts w:cs="Times New Roman"/>
          <w:i/>
          <w:lang w:val="fr-CA"/>
        </w:rPr>
        <w:t>LFI</w:t>
      </w:r>
      <w:r w:rsidRPr="00375EDE">
        <w:rPr>
          <w:rFonts w:cs="Times New Roman"/>
          <w:lang w:val="fr-CA"/>
        </w:rPr>
        <w:t>, art. 40; voir aussi Bennett, p. 528). L</w:t>
      </w:r>
      <w:r>
        <w:rPr>
          <w:rFonts w:cs="Times New Roman"/>
          <w:lang w:val="fr-CA"/>
        </w:rPr>
        <w:t>’</w:t>
      </w:r>
      <w:r w:rsidRPr="00375EDE">
        <w:rPr>
          <w:rFonts w:cs="Times New Roman"/>
          <w:lang w:val="fr-CA"/>
        </w:rPr>
        <w:t>actif demeure responsable des obligations de décontamination qui se rattachent au terrain. La question de savoir si les éléments d</w:t>
      </w:r>
      <w:r>
        <w:rPr>
          <w:rFonts w:cs="Times New Roman"/>
          <w:lang w:val="fr-CA"/>
        </w:rPr>
        <w:t>’</w:t>
      </w:r>
      <w:r w:rsidRPr="00375EDE">
        <w:rPr>
          <w:rFonts w:cs="Times New Roman"/>
          <w:lang w:val="fr-CA"/>
        </w:rPr>
        <w:t>actif sont suffisants pour satisfaire à ces engagements à ce moment précis est une question distincte qui n</w:t>
      </w:r>
      <w:r>
        <w:rPr>
          <w:rFonts w:cs="Times New Roman"/>
          <w:lang w:val="fr-CA"/>
        </w:rPr>
        <w:t>’</w:t>
      </w:r>
      <w:r w:rsidRPr="00375EDE">
        <w:rPr>
          <w:rFonts w:cs="Times New Roman"/>
          <w:lang w:val="fr-CA"/>
        </w:rPr>
        <w:t>a aucun rapport avec le fait sous</w:t>
      </w:r>
      <w:r w:rsidRPr="00375EDE">
        <w:rPr>
          <w:rFonts w:cs="Times New Roman"/>
          <w:lang w:val="fr-CA"/>
        </w:rPr>
        <w:noBreakHyphen/>
        <w:t>jacent de la responsabilité continue. Dans tous les cas, le régime de réglementation continue de s</w:t>
      </w:r>
      <w:r>
        <w:rPr>
          <w:rFonts w:cs="Times New Roman"/>
          <w:lang w:val="fr-CA"/>
        </w:rPr>
        <w:t>’</w:t>
      </w:r>
      <w:r w:rsidRPr="00375EDE">
        <w:rPr>
          <w:rFonts w:cs="Times New Roman"/>
          <w:lang w:val="fr-CA"/>
        </w:rPr>
        <w:t>appliquer aux biens conservés. En exprimant maintes fois l</w:t>
      </w:r>
      <w:r>
        <w:rPr>
          <w:rFonts w:cs="Times New Roman"/>
          <w:lang w:val="fr-CA"/>
        </w:rPr>
        <w:t>’</w:t>
      </w:r>
      <w:r w:rsidRPr="00375EDE">
        <w:rPr>
          <w:rFonts w:cs="Times New Roman"/>
          <w:lang w:val="fr-CA"/>
        </w:rPr>
        <w:t>idée que la renonciation ne met pas « les biens des faillis à l</w:t>
      </w:r>
      <w:r>
        <w:rPr>
          <w:rFonts w:cs="Times New Roman"/>
          <w:lang w:val="fr-CA"/>
        </w:rPr>
        <w:t>’</w:t>
      </w:r>
      <w:r w:rsidRPr="00375EDE">
        <w:rPr>
          <w:rFonts w:cs="Times New Roman"/>
          <w:lang w:val="fr-CA"/>
        </w:rPr>
        <w:t>abri de toute responsabilité environnementale » (par. 81), la majorité se méprend sur l</w:t>
      </w:r>
      <w:r>
        <w:rPr>
          <w:rFonts w:cs="Times New Roman"/>
          <w:lang w:val="fr-CA"/>
        </w:rPr>
        <w:t>’</w:t>
      </w:r>
      <w:r w:rsidRPr="00375EDE">
        <w:rPr>
          <w:rFonts w:cs="Times New Roman"/>
          <w:lang w:val="fr-CA"/>
        </w:rPr>
        <w:t xml:space="preserve">incidence et </w:t>
      </w:r>
      <w:r w:rsidRPr="00375EDE">
        <w:rPr>
          <w:rFonts w:cs="Times New Roman"/>
          <w:lang w:val="fr-CA"/>
        </w:rPr>
        <w:lastRenderedPageBreak/>
        <w:t>l</w:t>
      </w:r>
      <w:r>
        <w:rPr>
          <w:rFonts w:cs="Times New Roman"/>
          <w:lang w:val="fr-CA"/>
        </w:rPr>
        <w:t>’</w:t>
      </w:r>
      <w:r w:rsidRPr="00375EDE">
        <w:rPr>
          <w:rFonts w:cs="Times New Roman"/>
          <w:lang w:val="fr-CA"/>
        </w:rPr>
        <w:t>objet du pouvoir de renonciation. L</w:t>
      </w:r>
      <w:r>
        <w:rPr>
          <w:rFonts w:cs="Times New Roman"/>
          <w:lang w:val="fr-CA"/>
        </w:rPr>
        <w:t>’</w:t>
      </w:r>
      <w:r w:rsidRPr="00375EDE">
        <w:rPr>
          <w:rFonts w:cs="Times New Roman"/>
          <w:lang w:val="fr-CA"/>
        </w:rPr>
        <w:t>actif en soi n</w:t>
      </w:r>
      <w:r>
        <w:rPr>
          <w:rFonts w:cs="Times New Roman"/>
          <w:lang w:val="fr-CA"/>
        </w:rPr>
        <w:t>’</w:t>
      </w:r>
      <w:r w:rsidRPr="00375EDE">
        <w:rPr>
          <w:rFonts w:cs="Times New Roman"/>
          <w:lang w:val="fr-CA"/>
        </w:rPr>
        <w:t>est pas libéré des obligations environnementales. Comme je l</w:t>
      </w:r>
      <w:r>
        <w:rPr>
          <w:rFonts w:cs="Times New Roman"/>
          <w:lang w:val="fr-CA"/>
        </w:rPr>
        <w:t>’</w:t>
      </w:r>
      <w:r w:rsidRPr="00375EDE">
        <w:rPr>
          <w:rFonts w:cs="Times New Roman"/>
          <w:lang w:val="fr-CA"/>
        </w:rPr>
        <w:t>ai noté, le syndic ne prend pas possession des biens du failli en vue de poursuivre indéfiniment la vie du failli. Il a pour fonction de réaliser les biens de valeur de l</w:t>
      </w:r>
      <w:r>
        <w:rPr>
          <w:rFonts w:cs="Times New Roman"/>
          <w:lang w:val="fr-CA"/>
        </w:rPr>
        <w:t>’</w:t>
      </w:r>
      <w:r w:rsidRPr="00375EDE">
        <w:rPr>
          <w:rFonts w:cs="Times New Roman"/>
          <w:lang w:val="fr-CA"/>
        </w:rPr>
        <w:t>actif et de maximiser le recouvrement global au profit de tous les créanciers. Permettre au syndic de s</w:t>
      </w:r>
      <w:r>
        <w:rPr>
          <w:rFonts w:cs="Times New Roman"/>
          <w:lang w:val="fr-CA"/>
        </w:rPr>
        <w:t>’</w:t>
      </w:r>
      <w:r w:rsidRPr="00375EDE">
        <w:rPr>
          <w:rFonts w:cs="Times New Roman"/>
          <w:lang w:val="fr-CA"/>
        </w:rPr>
        <w:t>occuper uniquement des biens de valeur pour atteindre cet objectif ne libère pas l</w:t>
      </w:r>
      <w:r>
        <w:rPr>
          <w:rFonts w:cs="Times New Roman"/>
          <w:lang w:val="fr-CA"/>
        </w:rPr>
        <w:t>’</w:t>
      </w:r>
      <w:r w:rsidRPr="00375EDE">
        <w:rPr>
          <w:rFonts w:cs="Times New Roman"/>
          <w:i/>
          <w:lang w:val="fr-CA"/>
        </w:rPr>
        <w:t>actif</w:t>
      </w:r>
      <w:r w:rsidRPr="00375EDE">
        <w:rPr>
          <w:rFonts w:cs="Times New Roman"/>
          <w:lang w:val="fr-CA"/>
        </w:rPr>
        <w:t xml:space="preserve"> de ses obligations environnementales. Ainsi, le pouvoir de renonciation et son incorporation au par. 14.06(4) s</w:t>
      </w:r>
      <w:r>
        <w:rPr>
          <w:rFonts w:cs="Times New Roman"/>
          <w:lang w:val="fr-CA"/>
        </w:rPr>
        <w:t>’</w:t>
      </w:r>
      <w:r w:rsidRPr="00375EDE">
        <w:rPr>
          <w:rFonts w:cs="Times New Roman"/>
          <w:lang w:val="fr-CA"/>
        </w:rPr>
        <w:t>accordent parfaitement avec les principes fondamentaux du droit de l</w:t>
      </w:r>
      <w:r>
        <w:rPr>
          <w:rFonts w:cs="Times New Roman"/>
          <w:lang w:val="fr-CA"/>
        </w:rPr>
        <w:t>’</w:t>
      </w:r>
      <w:r w:rsidRPr="00375EDE">
        <w:rPr>
          <w:rFonts w:cs="Times New Roman"/>
          <w:lang w:val="fr-CA"/>
        </w:rPr>
        <w:t xml:space="preserve">insolvabilité.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Au par</w:t>
      </w:r>
      <w:r w:rsidR="00043E34">
        <w:rPr>
          <w:rFonts w:cs="Times New Roman"/>
          <w:lang w:val="fr-CA"/>
        </w:rPr>
        <w:t>a</w:t>
      </w:r>
      <w:r w:rsidR="009C36B3">
        <w:rPr>
          <w:rFonts w:cs="Times New Roman"/>
          <w:lang w:val="fr-CA"/>
        </w:rPr>
        <w:t>graphe</w:t>
      </w:r>
      <w:r w:rsidRPr="00375EDE">
        <w:rPr>
          <w:rFonts w:cs="Times New Roman"/>
          <w:lang w:val="fr-CA"/>
        </w:rPr>
        <w:t> 14.06(4), le Parlement a mentionné expressément ce pouvoir de renonciation et exposé les effets particuliers découlant de son exercice approprié. Il a incorporé ainsi à dessein à son régime législatif le pouvoir de renonciation pour en réaliser les objectifs visés.</w:t>
      </w:r>
    </w:p>
    <w:p w:rsidR="00DF13E5" w:rsidRPr="00375EDE" w:rsidRDefault="00DF13E5" w:rsidP="00DF13E5">
      <w:pPr>
        <w:pStyle w:val="ParaNoNdepar-AltN"/>
        <w:rPr>
          <w:rFonts w:cs="Times New Roman"/>
          <w:lang w:val="fr-CA"/>
        </w:rPr>
      </w:pPr>
      <w:r w:rsidRPr="00375EDE">
        <w:rPr>
          <w:rFonts w:cs="Times New Roman"/>
          <w:lang w:val="fr-CA"/>
        </w:rPr>
        <w:t>Mon interprétation du par. 14.06(4) est amplement étayée par les débats parlementaires. Lors des débats qui ont précédé l</w:t>
      </w:r>
      <w:r>
        <w:rPr>
          <w:rFonts w:cs="Times New Roman"/>
          <w:lang w:val="fr-CA"/>
        </w:rPr>
        <w:t>’</w:t>
      </w:r>
      <w:r w:rsidRPr="00375EDE">
        <w:rPr>
          <w:rFonts w:cs="Times New Roman"/>
          <w:lang w:val="fr-CA"/>
        </w:rPr>
        <w:t>adoption du par. 14.06(4) en 1997, Jacques Hains, directeur au ministère d</w:t>
      </w:r>
      <w:r>
        <w:rPr>
          <w:rFonts w:cs="Times New Roman"/>
          <w:lang w:val="fr-CA"/>
        </w:rPr>
        <w:t>’</w:t>
      </w:r>
      <w:r w:rsidRPr="00375EDE">
        <w:rPr>
          <w:rFonts w:cs="Times New Roman"/>
          <w:lang w:val="fr-CA"/>
        </w:rPr>
        <w:t xml:space="preserve">Industrie </w:t>
      </w:r>
      <w:r w:rsidRPr="00375EDE">
        <w:rPr>
          <w:rFonts w:cs="Times New Roman"/>
          <w:lang w:val="fr-CA" w:bidi="en-US"/>
        </w:rPr>
        <w:t xml:space="preserve">Canada qui avait participé à la rédaction des modifications à la </w:t>
      </w:r>
      <w:r w:rsidRPr="00043E34">
        <w:rPr>
          <w:rFonts w:cs="Times New Roman"/>
          <w:i/>
          <w:lang w:val="fr-CA" w:bidi="en-US"/>
        </w:rPr>
        <w:t>LFI</w:t>
      </w:r>
      <w:r w:rsidRPr="00375EDE">
        <w:rPr>
          <w:rFonts w:cs="Times New Roman"/>
          <w:lang w:val="fr-CA" w:bidi="en-US"/>
        </w:rPr>
        <w:t>, a discuté des nouvelles solutions qui s</w:t>
      </w:r>
      <w:r>
        <w:rPr>
          <w:rFonts w:cs="Times New Roman"/>
          <w:lang w:val="fr-CA" w:bidi="en-US"/>
        </w:rPr>
        <w:t>’</w:t>
      </w:r>
      <w:r w:rsidRPr="00375EDE">
        <w:rPr>
          <w:rFonts w:cs="Times New Roman"/>
          <w:lang w:val="fr-CA" w:bidi="en-US"/>
        </w:rPr>
        <w:t xml:space="preserve">offraient aux syndics aux prises avec des ordonnances de décontamination environnementale : </w:t>
      </w:r>
    </w:p>
    <w:p w:rsidR="00DF13E5" w:rsidRPr="00375EDE" w:rsidRDefault="00DF13E5" w:rsidP="00DF13E5">
      <w:pPr>
        <w:pStyle w:val="Citation-AltC"/>
        <w:spacing w:after="240"/>
        <w:ind w:hanging="1166"/>
        <w:contextualSpacing w:val="0"/>
        <w:rPr>
          <w:lang w:val="fr-CA" w:bidi="en-US"/>
        </w:rPr>
      </w:pPr>
      <w:r w:rsidRPr="00375EDE">
        <w:rPr>
          <w:lang w:val="fr-CA" w:bidi="en-US"/>
        </w:rPr>
        <w:tab/>
        <w:t>Premièrement, ils pourraient décider de se conformer à l</w:t>
      </w:r>
      <w:r>
        <w:rPr>
          <w:lang w:val="fr-CA" w:bidi="en-US"/>
        </w:rPr>
        <w:t>’</w:t>
      </w:r>
      <w:r w:rsidRPr="00375EDE">
        <w:rPr>
          <w:lang w:val="fr-CA" w:bidi="en-US"/>
        </w:rPr>
        <w:t>ordonnance et d</w:t>
      </w:r>
      <w:r>
        <w:rPr>
          <w:lang w:val="fr-CA" w:bidi="en-US"/>
        </w:rPr>
        <w:t>’</w:t>
      </w:r>
      <w:r w:rsidRPr="00375EDE">
        <w:rPr>
          <w:lang w:val="fr-CA" w:bidi="en-US"/>
        </w:rPr>
        <w:t>effectuer la dépollution, dont les coûts seraient des coûts d</w:t>
      </w:r>
      <w:r>
        <w:rPr>
          <w:lang w:val="fr-CA" w:bidi="en-US"/>
        </w:rPr>
        <w:t>’</w:t>
      </w:r>
      <w:r w:rsidRPr="00375EDE">
        <w:rPr>
          <w:lang w:val="fr-CA" w:bidi="en-US"/>
        </w:rPr>
        <w:t>administration des actifs du failli.</w:t>
      </w:r>
    </w:p>
    <w:p w:rsidR="00DF13E5" w:rsidRPr="00375EDE" w:rsidRDefault="00DF13E5" w:rsidP="00DF13E5">
      <w:pPr>
        <w:pStyle w:val="Citation-AltC"/>
        <w:spacing w:after="240"/>
        <w:ind w:hanging="1166"/>
        <w:contextualSpacing w:val="0"/>
        <w:rPr>
          <w:lang w:val="fr-CA" w:bidi="en-US"/>
        </w:rPr>
      </w:pPr>
      <w:r w:rsidRPr="00375EDE">
        <w:rPr>
          <w:lang w:val="fr-CA" w:bidi="en-US"/>
        </w:rPr>
        <w:tab/>
        <w:t>Comme deuxième option, ils pourraient contester devant les tribunaux compétents cette ordonnance de dépollution; ces deux options sont déjà prévues dans les lois en matière d</w:t>
      </w:r>
      <w:r>
        <w:rPr>
          <w:lang w:val="fr-CA" w:bidi="en-US"/>
        </w:rPr>
        <w:t>’</w:t>
      </w:r>
      <w:r w:rsidRPr="00375EDE">
        <w:rPr>
          <w:lang w:val="fr-CA" w:bidi="en-US"/>
        </w:rPr>
        <w:t xml:space="preserve">environnement. </w:t>
      </w:r>
    </w:p>
    <w:p w:rsidR="00DF13E5" w:rsidRPr="00375EDE" w:rsidRDefault="00DF13E5" w:rsidP="00DF13E5">
      <w:pPr>
        <w:pStyle w:val="Citation-AltC"/>
        <w:spacing w:after="240"/>
        <w:ind w:hanging="1166"/>
        <w:contextualSpacing w:val="0"/>
        <w:rPr>
          <w:lang w:val="fr-CA" w:bidi="en-US"/>
        </w:rPr>
      </w:pPr>
      <w:r w:rsidRPr="00375EDE">
        <w:rPr>
          <w:lang w:val="fr-CA" w:bidi="en-US"/>
        </w:rPr>
        <w:tab/>
        <w:t>La troisième option du praticien consisterait à demander à un tribunal compétent du temps de réflexion pour évaluer s</w:t>
      </w:r>
      <w:r>
        <w:rPr>
          <w:lang w:val="fr-CA" w:bidi="en-US"/>
        </w:rPr>
        <w:t>’</w:t>
      </w:r>
      <w:r w:rsidRPr="00375EDE">
        <w:rPr>
          <w:lang w:val="fr-CA" w:bidi="en-US"/>
        </w:rPr>
        <w:t xml:space="preserve">il est économique de se </w:t>
      </w:r>
      <w:r w:rsidRPr="00375EDE">
        <w:rPr>
          <w:lang w:val="fr-CA" w:bidi="en-US"/>
        </w:rPr>
        <w:lastRenderedPageBreak/>
        <w:t>conformer à l</w:t>
      </w:r>
      <w:r>
        <w:rPr>
          <w:lang w:val="fr-CA" w:bidi="en-US"/>
        </w:rPr>
        <w:t>’</w:t>
      </w:r>
      <w:r w:rsidRPr="00375EDE">
        <w:rPr>
          <w:lang w:val="fr-CA" w:bidi="en-US"/>
        </w:rPr>
        <w:t xml:space="preserve">ordonnance ou non, si cela en vaut la peine et si les actifs sont suffisants pour couvrir les frais de dépollution. </w:t>
      </w:r>
    </w:p>
    <w:p w:rsidR="00DF13E5" w:rsidRPr="00375EDE" w:rsidRDefault="00DF13E5" w:rsidP="00DF13E5">
      <w:pPr>
        <w:pStyle w:val="Citation-AltC"/>
        <w:spacing w:after="240"/>
        <w:ind w:hanging="1166"/>
        <w:contextualSpacing w:val="0"/>
        <w:rPr>
          <w:u w:val="single"/>
          <w:lang w:val="fr-CA" w:bidi="en-US"/>
        </w:rPr>
      </w:pPr>
      <w:r w:rsidRPr="00375EDE">
        <w:rPr>
          <w:lang w:val="fr-CA" w:bidi="en-US"/>
        </w:rPr>
        <w:tab/>
        <w:t xml:space="preserve">Comme quatrième option, </w:t>
      </w:r>
      <w:r w:rsidRPr="00375EDE">
        <w:rPr>
          <w:u w:val="single"/>
          <w:lang w:val="fr-CA" w:bidi="en-US"/>
        </w:rPr>
        <w:t>s</w:t>
      </w:r>
      <w:r>
        <w:rPr>
          <w:u w:val="single"/>
          <w:lang w:val="fr-CA" w:bidi="en-US"/>
        </w:rPr>
        <w:t>’</w:t>
      </w:r>
      <w:r w:rsidRPr="00375EDE">
        <w:rPr>
          <w:u w:val="single"/>
          <w:lang w:val="fr-CA" w:bidi="en-US"/>
        </w:rPr>
        <w:t>il croit que ce n</w:t>
      </w:r>
      <w:r>
        <w:rPr>
          <w:u w:val="single"/>
          <w:lang w:val="fr-CA" w:bidi="en-US"/>
        </w:rPr>
        <w:t>’</w:t>
      </w:r>
      <w:r w:rsidRPr="00375EDE">
        <w:rPr>
          <w:u w:val="single"/>
          <w:lang w:val="fr-CA" w:bidi="en-US"/>
        </w:rPr>
        <w:t>est absolument pas une décision économique, il pourra signifier qu</w:t>
      </w:r>
      <w:r>
        <w:rPr>
          <w:u w:val="single"/>
          <w:lang w:val="fr-CA" w:bidi="en-US"/>
        </w:rPr>
        <w:t>’</w:t>
      </w:r>
      <w:r w:rsidRPr="00375EDE">
        <w:rPr>
          <w:u w:val="single"/>
          <w:lang w:val="fr-CA" w:bidi="en-US"/>
        </w:rPr>
        <w:t>il abandonne les sites faisant l</w:t>
      </w:r>
      <w:r>
        <w:rPr>
          <w:u w:val="single"/>
          <w:lang w:val="fr-CA" w:bidi="en-US"/>
        </w:rPr>
        <w:t>’</w:t>
      </w:r>
      <w:r w:rsidRPr="00375EDE">
        <w:rPr>
          <w:u w:val="single"/>
          <w:lang w:val="fr-CA" w:bidi="en-US"/>
        </w:rPr>
        <w:t>objet de l</w:t>
      </w:r>
      <w:r>
        <w:rPr>
          <w:u w:val="single"/>
          <w:lang w:val="fr-CA" w:bidi="en-US"/>
        </w:rPr>
        <w:t>’</w:t>
      </w:r>
      <w:r w:rsidRPr="00375EDE">
        <w:rPr>
          <w:u w:val="single"/>
          <w:lang w:val="fr-CA" w:bidi="en-US"/>
        </w:rPr>
        <w:t>ordonnance</w:t>
      </w:r>
      <w:r w:rsidRPr="00084AE6">
        <w:rPr>
          <w:lang w:val="fr-CA" w:bidi="en-US"/>
        </w:rPr>
        <w:t>.</w:t>
      </w:r>
      <w:r w:rsidRPr="00375EDE">
        <w:rPr>
          <w:lang w:val="fr-CA" w:bidi="en-US"/>
        </w:rPr>
        <w:t xml:space="preserve"> [Je souligne.]</w:t>
      </w:r>
    </w:p>
    <w:p w:rsidR="00DF13E5" w:rsidRPr="00375EDE" w:rsidRDefault="00DF13E5" w:rsidP="000624A5">
      <w:pPr>
        <w:pStyle w:val="Citation-AltC"/>
        <w:ind w:left="0"/>
        <w:rPr>
          <w:lang w:val="fr-CA"/>
        </w:rPr>
      </w:pPr>
      <w:r w:rsidRPr="00375EDE">
        <w:rPr>
          <w:lang w:val="fr-CA" w:bidi="en-US"/>
        </w:rPr>
        <w:t>(Comité permanent de l</w:t>
      </w:r>
      <w:r>
        <w:rPr>
          <w:lang w:val="fr-CA" w:bidi="en-US"/>
        </w:rPr>
        <w:t>’</w:t>
      </w:r>
      <w:r w:rsidRPr="00375EDE">
        <w:rPr>
          <w:lang w:val="fr-CA" w:bidi="en-US"/>
        </w:rPr>
        <w:t xml:space="preserve">industrie, </w:t>
      </w:r>
      <w:r w:rsidRPr="00375EDE">
        <w:rPr>
          <w:i/>
          <w:lang w:val="fr-CA" w:bidi="en-US"/>
        </w:rPr>
        <w:t>Témoignages</w:t>
      </w:r>
      <w:r w:rsidRPr="00375EDE">
        <w:rPr>
          <w:lang w:val="fr-CA" w:bidi="en-US"/>
        </w:rPr>
        <w:t>, n</w:t>
      </w:r>
      <w:r w:rsidRPr="00375EDE">
        <w:rPr>
          <w:vertAlign w:val="superscript"/>
          <w:lang w:val="fr-CA" w:bidi="en-US"/>
        </w:rPr>
        <w:t>o </w:t>
      </w:r>
      <w:r w:rsidRPr="00375EDE">
        <w:rPr>
          <w:lang w:val="fr-CA" w:bidi="en-US"/>
        </w:rPr>
        <w:t>16, 2</w:t>
      </w:r>
      <w:r w:rsidRPr="00375EDE">
        <w:rPr>
          <w:vertAlign w:val="superscript"/>
          <w:lang w:val="fr-CA" w:bidi="en-US"/>
        </w:rPr>
        <w:t>e</w:t>
      </w:r>
      <w:r w:rsidRPr="00375EDE">
        <w:rPr>
          <w:lang w:val="fr-CA" w:bidi="en-US"/>
        </w:rPr>
        <w:t xml:space="preserve"> sess., 35</w:t>
      </w:r>
      <w:r w:rsidRPr="00375EDE">
        <w:rPr>
          <w:vertAlign w:val="superscript"/>
          <w:lang w:val="fr-CA" w:bidi="en-US"/>
        </w:rPr>
        <w:t>e</w:t>
      </w:r>
      <w:r w:rsidR="000624A5">
        <w:rPr>
          <w:lang w:val="fr-CA" w:bidi="en-US"/>
        </w:rPr>
        <w:t xml:space="preserve"> lég., 11 juin 1996, </w:t>
      </w:r>
      <w:r w:rsidR="00043E34">
        <w:rPr>
          <w:lang w:val="fr-CA" w:bidi="en-US"/>
        </w:rPr>
        <w:t>entre</w:t>
      </w:r>
      <w:r w:rsidR="000624A5">
        <w:rPr>
          <w:lang w:val="fr-CA" w:bidi="en-US"/>
        </w:rPr>
        <w:t xml:space="preserve"> </w:t>
      </w:r>
      <w:r w:rsidRPr="00375EDE">
        <w:rPr>
          <w:lang w:val="fr-CA" w:bidi="en-US"/>
        </w:rPr>
        <w:t xml:space="preserve">15 h 45 </w:t>
      </w:r>
      <w:r w:rsidR="00043E34">
        <w:rPr>
          <w:lang w:val="fr-CA" w:bidi="en-US"/>
        </w:rPr>
        <w:t>et</w:t>
      </w:r>
      <w:r w:rsidRPr="00375EDE">
        <w:rPr>
          <w:lang w:val="fr-CA" w:bidi="en-US"/>
        </w:rPr>
        <w:t xml:space="preserve"> 15 h 50)</w:t>
      </w:r>
    </w:p>
    <w:p w:rsidR="00DF13E5" w:rsidRPr="00375EDE" w:rsidRDefault="00DF13E5" w:rsidP="00DF13E5">
      <w:pPr>
        <w:pStyle w:val="ContinueParaSuitedupar-AltP"/>
        <w:rPr>
          <w:rFonts w:cs="Times New Roman"/>
          <w:lang w:val="fr-CA"/>
        </w:rPr>
      </w:pPr>
      <w:r w:rsidRPr="00375EDE">
        <w:rPr>
          <w:rFonts w:cs="Times New Roman"/>
          <w:lang w:val="fr-CA"/>
        </w:rPr>
        <w:t>Le passage précité ne mentionne aucunement la responsabilité personnelle du syndic qui se demande s</w:t>
      </w:r>
      <w:r>
        <w:rPr>
          <w:rFonts w:cs="Times New Roman"/>
          <w:lang w:val="fr-CA"/>
        </w:rPr>
        <w:t>’</w:t>
      </w:r>
      <w:r w:rsidRPr="00375EDE">
        <w:rPr>
          <w:rFonts w:cs="Times New Roman"/>
          <w:lang w:val="fr-CA"/>
        </w:rPr>
        <w:t>il y a lieu de se prévaloir de la « quatrième option » et de renoncer au bien. M. Hains a clairement affirmé que la décision de renoncer repose sur la viabilité « économique » du respect des ordonnances de décontamination, tout particulièrement sur la question de savoir « si les actifs sont suffisants pour couvrir les frais de dépollution ». Cela n</w:t>
      </w:r>
      <w:r>
        <w:rPr>
          <w:rFonts w:cs="Times New Roman"/>
          <w:lang w:val="fr-CA"/>
        </w:rPr>
        <w:t>’</w:t>
      </w:r>
      <w:r w:rsidRPr="00375EDE">
        <w:rPr>
          <w:rFonts w:cs="Times New Roman"/>
          <w:lang w:val="fr-CA"/>
        </w:rPr>
        <w:t>est logique que dans le contexte de l</w:t>
      </w:r>
      <w:r>
        <w:rPr>
          <w:rFonts w:cs="Times New Roman"/>
          <w:lang w:val="fr-CA"/>
        </w:rPr>
        <w:t>’</w:t>
      </w:r>
      <w:r w:rsidRPr="00375EDE">
        <w:rPr>
          <w:rFonts w:cs="Times New Roman"/>
          <w:lang w:val="fr-CA"/>
        </w:rPr>
        <w:t xml:space="preserve">obligation du syndic de maximiser le recouvrement au profit des créanciers. </w:t>
      </w:r>
    </w:p>
    <w:p w:rsidR="00DF13E5" w:rsidRPr="00375EDE" w:rsidRDefault="00DF13E5" w:rsidP="00DF13E5">
      <w:pPr>
        <w:pStyle w:val="ParaNoNdepar-AltN"/>
        <w:rPr>
          <w:rFonts w:cs="Times New Roman"/>
          <w:lang w:val="fr-CA"/>
        </w:rPr>
      </w:pPr>
      <w:r w:rsidRPr="00375EDE">
        <w:rPr>
          <w:rFonts w:cs="Times New Roman"/>
          <w:lang w:val="fr-CA"/>
        </w:rPr>
        <w:t>Plusieurs mois plus tard, M. Hains a répété cette quatrième option, expliquant qu</w:t>
      </w:r>
      <w:r>
        <w:rPr>
          <w:rFonts w:cs="Times New Roman"/>
          <w:lang w:val="fr-CA"/>
        </w:rPr>
        <w:t>’</w:t>
      </w:r>
      <w:r w:rsidRPr="00375EDE">
        <w:rPr>
          <w:rFonts w:cs="Times New Roman"/>
          <w:lang w:val="fr-CA"/>
        </w:rPr>
        <w:t>après avoir évalué s</w:t>
      </w:r>
      <w:r>
        <w:rPr>
          <w:rFonts w:cs="Times New Roman"/>
          <w:lang w:val="fr-CA"/>
        </w:rPr>
        <w:t>’</w:t>
      </w:r>
      <w:r w:rsidRPr="00375EDE">
        <w:rPr>
          <w:rFonts w:cs="Times New Roman"/>
          <w:lang w:val="fr-CA"/>
        </w:rPr>
        <w:t>il est économique de se conformer à l</w:t>
      </w:r>
      <w:r>
        <w:rPr>
          <w:rFonts w:cs="Times New Roman"/>
          <w:lang w:val="fr-CA"/>
        </w:rPr>
        <w:t>’</w:t>
      </w:r>
      <w:r w:rsidRPr="00375EDE">
        <w:rPr>
          <w:rFonts w:cs="Times New Roman"/>
          <w:lang w:val="fr-CA"/>
        </w:rPr>
        <w:t xml:space="preserve">ordonnance et « sachant que la facture sera trop élevée et que la proposition ne sera donc pas économiquement viable, </w:t>
      </w:r>
      <w:r w:rsidRPr="00375EDE">
        <w:rPr>
          <w:rFonts w:cs="Times New Roman"/>
          <w:u w:val="single"/>
          <w:lang w:val="fr-CA"/>
        </w:rPr>
        <w:t>le syndic peut s</w:t>
      </w:r>
      <w:r>
        <w:rPr>
          <w:rFonts w:cs="Times New Roman"/>
          <w:u w:val="single"/>
          <w:lang w:val="fr-CA"/>
        </w:rPr>
        <w:t>’</w:t>
      </w:r>
      <w:r w:rsidRPr="00375EDE">
        <w:rPr>
          <w:rFonts w:cs="Times New Roman"/>
          <w:u w:val="single"/>
          <w:lang w:val="fr-CA"/>
        </w:rPr>
        <w:t>en laver les mains et abandonner la propriété</w:t>
      </w:r>
      <w:r w:rsidRPr="00375EDE">
        <w:rPr>
          <w:rFonts w:cs="Times New Roman"/>
          <w:lang w:val="fr-CA"/>
        </w:rPr>
        <w:t xml:space="preserve"> visée par l</w:t>
      </w:r>
      <w:r>
        <w:rPr>
          <w:rFonts w:cs="Times New Roman"/>
          <w:lang w:val="fr-CA"/>
        </w:rPr>
        <w:t>’</w:t>
      </w:r>
      <w:r w:rsidRPr="00375EDE">
        <w:rPr>
          <w:rFonts w:cs="Times New Roman"/>
          <w:lang w:val="fr-CA"/>
        </w:rPr>
        <w:t>ordonnance » (</w:t>
      </w:r>
      <w:r w:rsidRPr="00375EDE">
        <w:rPr>
          <w:rFonts w:cs="Times New Roman"/>
          <w:i/>
          <w:lang w:val="fr-CA"/>
        </w:rPr>
        <w:t xml:space="preserve">Délibérations du comité sénatorial </w:t>
      </w:r>
      <w:r w:rsidR="00084AE6" w:rsidRPr="00375EDE">
        <w:rPr>
          <w:rFonts w:cs="Times New Roman"/>
          <w:i/>
          <w:lang w:val="fr-CA"/>
        </w:rPr>
        <w:t>permanent</w:t>
      </w:r>
      <w:r w:rsidRPr="00375EDE">
        <w:rPr>
          <w:rFonts w:cs="Times New Roman"/>
          <w:i/>
          <w:lang w:val="fr-CA"/>
        </w:rPr>
        <w:t xml:space="preserve"> des Banques et du commerce</w:t>
      </w:r>
      <w:r w:rsidRPr="00375EDE">
        <w:rPr>
          <w:rFonts w:cs="Times New Roman"/>
          <w:lang w:val="fr-CA"/>
        </w:rPr>
        <w:t>, n</w:t>
      </w:r>
      <w:r w:rsidRPr="00375EDE">
        <w:rPr>
          <w:rFonts w:cs="Times New Roman"/>
          <w:vertAlign w:val="superscript"/>
          <w:lang w:val="fr-CA"/>
        </w:rPr>
        <w:t>o</w:t>
      </w:r>
      <w:r w:rsidRPr="00375EDE">
        <w:rPr>
          <w:rFonts w:cs="Times New Roman"/>
          <w:lang w:val="fr-CA"/>
        </w:rPr>
        <w:t> 13,</w:t>
      </w:r>
      <w:r>
        <w:rPr>
          <w:rFonts w:cs="Times New Roman"/>
          <w:lang w:val="fr-CA"/>
        </w:rPr>
        <w:t xml:space="preserve"> 2</w:t>
      </w:r>
      <w:r w:rsidRPr="00257722">
        <w:rPr>
          <w:rFonts w:cs="Times New Roman"/>
          <w:vertAlign w:val="superscript"/>
          <w:lang w:val="fr-CA"/>
        </w:rPr>
        <w:t>e</w:t>
      </w:r>
      <w:r>
        <w:rPr>
          <w:rFonts w:cs="Times New Roman"/>
          <w:lang w:val="fr-CA"/>
        </w:rPr>
        <w:t xml:space="preserve"> sess., 35</w:t>
      </w:r>
      <w:r w:rsidRPr="00257722">
        <w:rPr>
          <w:rFonts w:cs="Times New Roman"/>
          <w:vertAlign w:val="superscript"/>
          <w:lang w:val="fr-CA"/>
        </w:rPr>
        <w:t>e</w:t>
      </w:r>
      <w:r>
        <w:rPr>
          <w:rFonts w:cs="Times New Roman"/>
          <w:lang w:val="fr-CA"/>
        </w:rPr>
        <w:t xml:space="preserve"> leg.,</w:t>
      </w:r>
      <w:r w:rsidRPr="00375EDE">
        <w:rPr>
          <w:rFonts w:cs="Times New Roman"/>
          <w:lang w:val="fr-CA"/>
        </w:rPr>
        <w:t xml:space="preserve"> 4 novembre 1996, p. 13:68 (je souligne)). Cette description traduit clairement la fonction du pouvoir de renonciation, qui permet au syndic de « délaisser » les biens grevés d</w:t>
      </w:r>
      <w:r>
        <w:rPr>
          <w:rFonts w:cs="Times New Roman"/>
          <w:lang w:val="fr-CA"/>
        </w:rPr>
        <w:t>’</w:t>
      </w:r>
      <w:r w:rsidRPr="00375EDE">
        <w:rPr>
          <w:rFonts w:cs="Times New Roman"/>
          <w:lang w:val="fr-CA"/>
        </w:rPr>
        <w:t xml:space="preserve">engagement qui ne contribuent pas à maximiser le recouvrement au profit des créanciers. </w:t>
      </w:r>
    </w:p>
    <w:p w:rsidR="00DF13E5" w:rsidRPr="00375EDE" w:rsidRDefault="00DF13E5" w:rsidP="00DF13E5">
      <w:pPr>
        <w:pStyle w:val="ParaNoNdepar-AltN"/>
        <w:rPr>
          <w:rFonts w:cs="Times New Roman"/>
          <w:lang w:val="fr-CA"/>
        </w:rPr>
      </w:pPr>
      <w:r w:rsidRPr="00375EDE">
        <w:rPr>
          <w:rFonts w:cs="Times New Roman"/>
          <w:lang w:val="fr-CA"/>
        </w:rPr>
        <w:lastRenderedPageBreak/>
        <w:t>Les réponses de M. Hains aux questions du Comité permanent de la Chambre des communes confirment elles aussi cette interprétation du pouvoir de renonciation. L</w:t>
      </w:r>
      <w:r>
        <w:rPr>
          <w:rFonts w:cs="Times New Roman"/>
          <w:lang w:val="fr-CA"/>
        </w:rPr>
        <w:t>’</w:t>
      </w:r>
      <w:r w:rsidRPr="00375EDE">
        <w:rPr>
          <w:rFonts w:cs="Times New Roman"/>
          <w:lang w:val="fr-CA"/>
        </w:rPr>
        <w:t>échange qui suit est fort éloquent :</w:t>
      </w:r>
    </w:p>
    <w:p w:rsidR="00DF13E5" w:rsidRPr="00375EDE" w:rsidRDefault="00DF13E5" w:rsidP="00DF13E5">
      <w:pPr>
        <w:pStyle w:val="Citation-AltC"/>
        <w:spacing w:after="240"/>
        <w:ind w:hanging="1166"/>
        <w:contextualSpacing w:val="0"/>
        <w:rPr>
          <w:lang w:val="fr-CA" w:bidi="en-US"/>
        </w:rPr>
      </w:pPr>
      <w:r w:rsidRPr="00375EDE">
        <w:rPr>
          <w:b/>
          <w:lang w:val="fr-CA" w:bidi="en-US"/>
        </w:rPr>
        <w:tab/>
        <w:t>M. Lebel [député de Chambly] :</w:t>
      </w:r>
      <w:r w:rsidRPr="00375EDE">
        <w:rPr>
          <w:lang w:val="fr-CA" w:bidi="en-US"/>
        </w:rPr>
        <w:t xml:space="preserve"> Lorsque le syndic décide de renoncer au terrain et réalise des actifs par ailleurs, par exemple en faisant un profit par la vente d</w:t>
      </w:r>
      <w:r>
        <w:rPr>
          <w:lang w:val="fr-CA" w:bidi="en-US"/>
        </w:rPr>
        <w:t>’</w:t>
      </w:r>
      <w:r w:rsidRPr="00375EDE">
        <w:rPr>
          <w:lang w:val="fr-CA" w:bidi="en-US"/>
        </w:rPr>
        <w:t xml:space="preserve">actifs, </w:t>
      </w:r>
      <w:r w:rsidRPr="00375EDE">
        <w:rPr>
          <w:u w:val="single"/>
          <w:lang w:val="fr-CA" w:bidi="en-US"/>
        </w:rPr>
        <w:t>s</w:t>
      </w:r>
      <w:r>
        <w:rPr>
          <w:u w:val="single"/>
          <w:lang w:val="fr-CA" w:bidi="en-US"/>
        </w:rPr>
        <w:t>’</w:t>
      </w:r>
      <w:r w:rsidRPr="00375EDE">
        <w:rPr>
          <w:u w:val="single"/>
          <w:lang w:val="fr-CA" w:bidi="en-US"/>
        </w:rPr>
        <w:t>étant libéré de son obligation de dépolluer le terrain</w:t>
      </w:r>
      <w:r w:rsidRPr="00375EDE">
        <w:rPr>
          <w:lang w:val="fr-CA" w:bidi="en-US"/>
        </w:rPr>
        <w:t>, il partage un dividende réalisé sur d</w:t>
      </w:r>
      <w:r>
        <w:rPr>
          <w:lang w:val="fr-CA" w:bidi="en-US"/>
        </w:rPr>
        <w:t>’</w:t>
      </w:r>
      <w:r w:rsidRPr="00375EDE">
        <w:rPr>
          <w:lang w:val="fr-CA" w:bidi="en-US"/>
        </w:rPr>
        <w:t>autres actifs rentables et dit aux créanciers de s</w:t>
      </w:r>
      <w:r>
        <w:rPr>
          <w:lang w:val="fr-CA" w:bidi="en-US"/>
        </w:rPr>
        <w:t>’</w:t>
      </w:r>
      <w:r w:rsidRPr="00375EDE">
        <w:rPr>
          <w:lang w:val="fr-CA" w:bidi="en-US"/>
        </w:rPr>
        <w:t>organiser avec le terrain. Si les créanciers ne veulent pas y toucher, il dit au gouvernement de le dépolluer. À ce moment</w:t>
      </w:r>
      <w:r w:rsidRPr="00375EDE">
        <w:rPr>
          <w:lang w:val="fr-CA" w:bidi="en-US"/>
        </w:rPr>
        <w:noBreakHyphen/>
        <w:t>là, chacun des autres créanciers de la faillite ressort avec un petit dividende. C</w:t>
      </w:r>
      <w:r>
        <w:rPr>
          <w:lang w:val="fr-CA" w:bidi="en-US"/>
        </w:rPr>
        <w:t>’</w:t>
      </w:r>
      <w:r w:rsidRPr="00375EDE">
        <w:rPr>
          <w:lang w:val="fr-CA" w:bidi="en-US"/>
        </w:rPr>
        <w:t>est ainsi qu</w:t>
      </w:r>
      <w:r>
        <w:rPr>
          <w:lang w:val="fr-CA" w:bidi="en-US"/>
        </w:rPr>
        <w:t>’</w:t>
      </w:r>
      <w:r w:rsidRPr="00375EDE">
        <w:rPr>
          <w:lang w:val="fr-CA" w:bidi="en-US"/>
        </w:rPr>
        <w:t xml:space="preserve">on appelle cela en droit de la faillite. </w:t>
      </w:r>
    </w:p>
    <w:p w:rsidR="00DF13E5" w:rsidRPr="00375EDE" w:rsidRDefault="00DF13E5" w:rsidP="00DF13E5">
      <w:pPr>
        <w:pStyle w:val="Citation-AltC"/>
        <w:spacing w:after="240"/>
        <w:ind w:hanging="1166"/>
        <w:contextualSpacing w:val="0"/>
        <w:rPr>
          <w:lang w:val="fr-CA" w:bidi="en-US"/>
        </w:rPr>
      </w:pPr>
      <w:r w:rsidRPr="00375EDE">
        <w:rPr>
          <w:lang w:val="fr-CA" w:bidi="en-US"/>
        </w:rPr>
        <w:tab/>
      </w:r>
      <w:r w:rsidRPr="00375EDE">
        <w:rPr>
          <w:u w:val="single"/>
          <w:lang w:val="fr-CA" w:bidi="en-US"/>
        </w:rPr>
        <w:t>Ne pensez</w:t>
      </w:r>
      <w:r w:rsidRPr="00375EDE">
        <w:rPr>
          <w:u w:val="single"/>
          <w:lang w:val="fr-CA" w:bidi="en-US"/>
        </w:rPr>
        <w:noBreakHyphen/>
        <w:t>vous pas que votre projet de loi devrait forcer le syndic à faire la décontamination à même les actifs de la faillite avant de distribuer des dividendes?</w:t>
      </w:r>
      <w:r w:rsidRPr="00375EDE">
        <w:rPr>
          <w:lang w:val="fr-CA" w:bidi="en-US"/>
        </w:rPr>
        <w:t xml:space="preserve"> </w:t>
      </w:r>
    </w:p>
    <w:p w:rsidR="00DF13E5" w:rsidRPr="00375EDE" w:rsidRDefault="00DF13E5" w:rsidP="00DF13E5">
      <w:pPr>
        <w:pStyle w:val="Citation-AltC"/>
        <w:spacing w:after="240"/>
        <w:ind w:hanging="1166"/>
        <w:contextualSpacing w:val="0"/>
        <w:rPr>
          <w:lang w:val="fr-CA" w:bidi="en-US"/>
        </w:rPr>
      </w:pPr>
      <w:r w:rsidRPr="00375EDE">
        <w:rPr>
          <w:b/>
          <w:lang w:val="fr-CA" w:bidi="en-US"/>
        </w:rPr>
        <w:tab/>
        <w:t>M. Hains :</w:t>
      </w:r>
      <w:r w:rsidRPr="00375EDE">
        <w:rPr>
          <w:lang w:val="fr-CA" w:bidi="en-US"/>
        </w:rPr>
        <w:t xml:space="preserve"> C</w:t>
      </w:r>
      <w:r>
        <w:rPr>
          <w:lang w:val="fr-CA" w:bidi="en-US"/>
        </w:rPr>
        <w:t>’</w:t>
      </w:r>
      <w:r w:rsidRPr="00375EDE">
        <w:rPr>
          <w:lang w:val="fr-CA" w:bidi="en-US"/>
        </w:rPr>
        <w:t>est une excellente question qui m</w:t>
      </w:r>
      <w:r>
        <w:rPr>
          <w:lang w:val="fr-CA" w:bidi="en-US"/>
        </w:rPr>
        <w:t>’</w:t>
      </w:r>
      <w:r w:rsidRPr="00375EDE">
        <w:rPr>
          <w:lang w:val="fr-CA" w:bidi="en-US"/>
        </w:rPr>
        <w:t>a été posée il y a à peine trois semaines par des collègues du ministère de l</w:t>
      </w:r>
      <w:r>
        <w:rPr>
          <w:lang w:val="fr-CA" w:bidi="en-US"/>
        </w:rPr>
        <w:t>’</w:t>
      </w:r>
      <w:r w:rsidRPr="00375EDE">
        <w:rPr>
          <w:lang w:val="fr-CA" w:bidi="en-US"/>
        </w:rPr>
        <w:t>Environnement du Québec, que j</w:t>
      </w:r>
      <w:r>
        <w:rPr>
          <w:lang w:val="fr-CA" w:bidi="en-US"/>
        </w:rPr>
        <w:t>’</w:t>
      </w:r>
      <w:r w:rsidRPr="00375EDE">
        <w:rPr>
          <w:lang w:val="fr-CA" w:bidi="en-US"/>
        </w:rPr>
        <w:t>ai rencontrés pour parler de ce sujet</w:t>
      </w:r>
      <w:r w:rsidRPr="00375EDE">
        <w:rPr>
          <w:lang w:val="fr-CA" w:bidi="en-US"/>
        </w:rPr>
        <w:noBreakHyphen/>
        <w:t>là. Il y avait des questions qui les intéressaient, notamment celle que M. Lebel soulève. [Je souligne.]</w:t>
      </w:r>
    </w:p>
    <w:p w:rsidR="00DF13E5" w:rsidRPr="00375EDE" w:rsidRDefault="00DF13E5" w:rsidP="00DF13E5">
      <w:pPr>
        <w:pStyle w:val="Citation-AltC"/>
        <w:ind w:hanging="1166"/>
        <w:contextualSpacing w:val="0"/>
        <w:rPr>
          <w:b/>
          <w:lang w:val="fr-CA"/>
        </w:rPr>
      </w:pPr>
      <w:r w:rsidRPr="00375EDE">
        <w:rPr>
          <w:lang w:val="fr-CA" w:bidi="en-US"/>
        </w:rPr>
        <w:t>(Comité permanent de l</w:t>
      </w:r>
      <w:r>
        <w:rPr>
          <w:lang w:val="fr-CA" w:bidi="en-US"/>
        </w:rPr>
        <w:t>’</w:t>
      </w:r>
      <w:r w:rsidRPr="00375EDE">
        <w:rPr>
          <w:lang w:val="fr-CA" w:bidi="en-US"/>
        </w:rPr>
        <w:t>industrie, 11 juin 1996</w:t>
      </w:r>
      <w:r w:rsidR="00084AE6">
        <w:rPr>
          <w:lang w:val="fr-CA" w:bidi="en-US"/>
        </w:rPr>
        <w:t>,</w:t>
      </w:r>
      <w:r w:rsidRPr="00375EDE">
        <w:rPr>
          <w:lang w:val="fr-CA" w:bidi="en-US"/>
        </w:rPr>
        <w:t xml:space="preserve"> à 16 h 55)</w:t>
      </w:r>
    </w:p>
    <w:p w:rsidR="00DF13E5" w:rsidRPr="00375EDE" w:rsidRDefault="00DF13E5" w:rsidP="00DF13E5">
      <w:pPr>
        <w:pStyle w:val="ContinueParaSuitedupar-AltP"/>
        <w:rPr>
          <w:rFonts w:cs="Times New Roman"/>
          <w:lang w:val="fr-CA"/>
        </w:rPr>
      </w:pPr>
      <w:r w:rsidRPr="00375EDE">
        <w:rPr>
          <w:rFonts w:cs="Times New Roman"/>
          <w:lang w:val="fr-CA"/>
        </w:rPr>
        <w:t>M. Hains a ensuite mentionné plusieurs autres caractéristiques du régime pour dissiper les préoccupations de M. Lebel et a fait remarquer que les organismes de réglementation environnementaux provinciaux devraient exécuter les travaux de décontamination. Fait important, M. Hains ne contredit jamais la conception que M. Lebel se fait des dispositions du projet de loi. Il ne conteste pas non plus la prémisse qui sous</w:t>
      </w:r>
      <w:r w:rsidRPr="00375EDE">
        <w:rPr>
          <w:rFonts w:cs="Times New Roman"/>
          <w:lang w:val="fr-CA"/>
        </w:rPr>
        <w:noBreakHyphen/>
        <w:t>tend la question : la nouvelle loi ne « </w:t>
      </w:r>
      <w:r w:rsidRPr="00375EDE">
        <w:rPr>
          <w:rFonts w:cs="Times New Roman"/>
          <w:lang w:val="fr-CA" w:bidi="en-US"/>
        </w:rPr>
        <w:t xml:space="preserve">force [. . .] pas le syndic à faire la décontamination à même les actifs de la faillite » avant leur répartition entre les créanciers. </w:t>
      </w:r>
      <w:r w:rsidRPr="00375EDE">
        <w:rPr>
          <w:rFonts w:cs="Times New Roman"/>
          <w:lang w:val="fr-CA"/>
        </w:rPr>
        <w:t>M. Hains ne prétend pas que les organismes de réglementation provinciaux peuvent toujours assurer le respect d</w:t>
      </w:r>
      <w:r>
        <w:rPr>
          <w:rFonts w:cs="Times New Roman"/>
          <w:lang w:val="fr-CA"/>
        </w:rPr>
        <w:t>’</w:t>
      </w:r>
      <w:r w:rsidRPr="00375EDE">
        <w:rPr>
          <w:rFonts w:cs="Times New Roman"/>
          <w:lang w:val="fr-CA"/>
        </w:rPr>
        <w:t xml:space="preserve">une telle exigence.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lastRenderedPageBreak/>
        <w:t>Cet échange entre MM. Lebel et Hains démontre clairement que toutes les parties s</w:t>
      </w:r>
      <w:r>
        <w:rPr>
          <w:rFonts w:cs="Times New Roman"/>
          <w:lang w:val="fr-CA"/>
        </w:rPr>
        <w:t>’</w:t>
      </w:r>
      <w:r w:rsidRPr="00375EDE">
        <w:rPr>
          <w:rFonts w:cs="Times New Roman"/>
          <w:lang w:val="fr-CA"/>
        </w:rPr>
        <w:t xml:space="preserve">entendent pour dire que les modifications proposées, lesquelles contiennent ce qui allait devenir le par. 14.06(4), </w:t>
      </w:r>
      <w:r w:rsidRPr="00375EDE">
        <w:rPr>
          <w:rFonts w:cs="Times New Roman"/>
          <w:i/>
          <w:lang w:val="fr-CA"/>
        </w:rPr>
        <w:t>n</w:t>
      </w:r>
      <w:r>
        <w:rPr>
          <w:rFonts w:cs="Times New Roman"/>
          <w:i/>
          <w:lang w:val="fr-CA"/>
        </w:rPr>
        <w:t>’</w:t>
      </w:r>
      <w:r w:rsidRPr="00375EDE">
        <w:rPr>
          <w:rFonts w:cs="Times New Roman"/>
          <w:lang w:val="fr-CA"/>
        </w:rPr>
        <w:t xml:space="preserve">obligeaient </w:t>
      </w:r>
      <w:r w:rsidRPr="00375EDE">
        <w:rPr>
          <w:rFonts w:cs="Times New Roman"/>
          <w:i/>
          <w:lang w:val="fr-CA"/>
        </w:rPr>
        <w:t>pas</w:t>
      </w:r>
      <w:r w:rsidRPr="00375EDE">
        <w:rPr>
          <w:rFonts w:cs="Times New Roman"/>
          <w:lang w:val="fr-CA"/>
        </w:rPr>
        <w:t xml:space="preserve"> expressément le syndic à dépenser les biens de l</w:t>
      </w:r>
      <w:r>
        <w:rPr>
          <w:rFonts w:cs="Times New Roman"/>
          <w:lang w:val="fr-CA"/>
        </w:rPr>
        <w:t>’</w:t>
      </w:r>
      <w:r w:rsidRPr="00375EDE">
        <w:rPr>
          <w:rFonts w:cs="Times New Roman"/>
          <w:lang w:val="fr-CA"/>
        </w:rPr>
        <w:t xml:space="preserve">actif pour respecter les ordonnances de décontamination environnementale. Les rédacteurs du par. 14.06(4) se sont ainsi directement attardés à cette question et leur conception des effets de la disposition contredisait celle proposée par les juges majoritaires.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Étant donné les extraits précédents des débats parlementaires, je ne peux souscrire à l</w:t>
      </w:r>
      <w:r>
        <w:rPr>
          <w:rFonts w:cs="Times New Roman"/>
          <w:lang w:val="fr-CA"/>
        </w:rPr>
        <w:t>’</w:t>
      </w:r>
      <w:r w:rsidRPr="00375EDE">
        <w:rPr>
          <w:rFonts w:cs="Times New Roman"/>
          <w:lang w:val="fr-CA"/>
        </w:rPr>
        <w:t>affirmation des juges majoritaires selon laquelle les débats législatifs ne donnent « aucun indice » d</w:t>
      </w:r>
      <w:r>
        <w:rPr>
          <w:rFonts w:cs="Times New Roman"/>
          <w:lang w:val="fr-CA"/>
        </w:rPr>
        <w:t>’</w:t>
      </w:r>
      <w:r w:rsidRPr="00375EDE">
        <w:rPr>
          <w:rFonts w:cs="Times New Roman"/>
          <w:lang w:val="fr-CA"/>
        </w:rPr>
        <w:t>une intention du Parlement de relever les syndics de l</w:t>
      </w:r>
      <w:r>
        <w:rPr>
          <w:rFonts w:cs="Times New Roman"/>
          <w:lang w:val="fr-CA"/>
        </w:rPr>
        <w:t>’</w:t>
      </w:r>
      <w:r w:rsidRPr="00375EDE">
        <w:rPr>
          <w:rFonts w:cs="Times New Roman"/>
          <w:lang w:val="fr-CA"/>
        </w:rPr>
        <w:t>obligation de consacrer des biens de l</w:t>
      </w:r>
      <w:r>
        <w:rPr>
          <w:rFonts w:cs="Times New Roman"/>
          <w:lang w:val="fr-CA"/>
        </w:rPr>
        <w:t>’</w:t>
      </w:r>
      <w:r w:rsidRPr="00375EDE">
        <w:rPr>
          <w:rFonts w:cs="Times New Roman"/>
          <w:lang w:val="fr-CA"/>
        </w:rPr>
        <w:t>actif à la décontamination environnementale (par. 81). Le Parlement a clairement manifesté cette intention à maintes reprises.</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Puisque les tribunaux doivent lire les dispositions législatives dans leur contexte global, et que le Parlement est présumé rédiger les articles et paragraphes d</w:t>
      </w:r>
      <w:r>
        <w:rPr>
          <w:rFonts w:cs="Times New Roman"/>
          <w:lang w:val="fr-CA"/>
        </w:rPr>
        <w:t>’</w:t>
      </w:r>
      <w:r w:rsidRPr="00375EDE">
        <w:rPr>
          <w:rFonts w:cs="Times New Roman"/>
          <w:lang w:val="fr-CA"/>
        </w:rPr>
        <w:t>une loi comme un tout cohérent, il importe d</w:t>
      </w:r>
      <w:r>
        <w:rPr>
          <w:rFonts w:cs="Times New Roman"/>
          <w:lang w:val="fr-CA"/>
        </w:rPr>
        <w:t>’</w:t>
      </w:r>
      <w:r w:rsidRPr="00375EDE">
        <w:rPr>
          <w:rFonts w:cs="Times New Roman"/>
          <w:lang w:val="fr-CA"/>
        </w:rPr>
        <w:t>examiner avec soin les autres paragraphes de l</w:t>
      </w:r>
      <w:r>
        <w:rPr>
          <w:rFonts w:cs="Times New Roman"/>
          <w:lang w:val="fr-CA"/>
        </w:rPr>
        <w:t>’</w:t>
      </w:r>
      <w:r w:rsidRPr="00375EDE">
        <w:rPr>
          <w:rFonts w:cs="Times New Roman"/>
          <w:lang w:val="fr-CA"/>
        </w:rPr>
        <w:t>art. 14.06. Il en est ainsi, peu importe qu</w:t>
      </w:r>
      <w:r>
        <w:rPr>
          <w:rFonts w:cs="Times New Roman"/>
          <w:lang w:val="fr-CA"/>
        </w:rPr>
        <w:t>’</w:t>
      </w:r>
      <w:r w:rsidRPr="00375EDE">
        <w:rPr>
          <w:rFonts w:cs="Times New Roman"/>
          <w:lang w:val="fr-CA"/>
        </w:rPr>
        <w:t>une partie au litige cherche à les appliquer ou à les mettre directement en cause (motifs des juges majoritaires, par. 88 et 101). Fait révélateur, le contexte immédiat du par. 14.06(4) confirme que le droit du syndic de renoncer à des biens n</w:t>
      </w:r>
      <w:r>
        <w:rPr>
          <w:rFonts w:cs="Times New Roman"/>
          <w:lang w:val="fr-CA"/>
        </w:rPr>
        <w:t>’</w:t>
      </w:r>
      <w:r w:rsidRPr="00375EDE">
        <w:rPr>
          <w:rFonts w:cs="Times New Roman"/>
          <w:lang w:val="fr-CA"/>
        </w:rPr>
        <w:t>est pas limité de la façon suggérée par l</w:t>
      </w:r>
      <w:r>
        <w:rPr>
          <w:rFonts w:cs="Times New Roman"/>
          <w:lang w:val="fr-CA"/>
        </w:rPr>
        <w:t>’</w:t>
      </w:r>
      <w:r w:rsidRPr="00375EDE">
        <w:rPr>
          <w:rFonts w:cs="Times New Roman"/>
          <w:lang w:val="fr-CA"/>
        </w:rPr>
        <w:t>AER ou mon collègue. Quatre dispositions adjacentes au par. 14.06(4) étayent cette conclusion.</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lastRenderedPageBreak/>
        <w:t>Premièrement, le par. 14.06(5) prévoit que le tribunal peut suspendre une ordonnance environnementale « [e]</w:t>
      </w:r>
      <w:r w:rsidRPr="00375EDE">
        <w:rPr>
          <w:rFonts w:cs="Times New Roman"/>
          <w:lang w:val="fr-FR"/>
        </w:rPr>
        <w:t>n vue de permettre au syndic d</w:t>
      </w:r>
      <w:r>
        <w:rPr>
          <w:rFonts w:cs="Times New Roman"/>
          <w:lang w:val="fr-FR"/>
        </w:rPr>
        <w:t>’</w:t>
      </w:r>
      <w:r w:rsidRPr="00375EDE">
        <w:rPr>
          <w:rFonts w:cs="Times New Roman"/>
          <w:lang w:val="fr-FR"/>
        </w:rPr>
        <w:t>évaluer les conséquences économiques du respect de l</w:t>
      </w:r>
      <w:r>
        <w:rPr>
          <w:rFonts w:cs="Times New Roman"/>
          <w:lang w:val="fr-FR"/>
        </w:rPr>
        <w:t>’</w:t>
      </w:r>
      <w:r w:rsidRPr="00375EDE">
        <w:rPr>
          <w:rFonts w:cs="Times New Roman"/>
          <w:lang w:val="fr-FR"/>
        </w:rPr>
        <w:t>ordonnance</w:t>
      </w:r>
      <w:r w:rsidRPr="00375EDE">
        <w:rPr>
          <w:rFonts w:cs="Times New Roman"/>
          <w:lang w:val="fr-CA"/>
        </w:rPr>
        <w:t> ». Évaluer les « </w:t>
      </w:r>
      <w:r w:rsidRPr="00375EDE">
        <w:rPr>
          <w:rFonts w:cs="Times New Roman"/>
          <w:lang w:val="fr-FR"/>
        </w:rPr>
        <w:t>conséquences économiques</w:t>
      </w:r>
      <w:r w:rsidRPr="00375EDE">
        <w:rPr>
          <w:rFonts w:cs="Times New Roman"/>
          <w:lang w:val="fr-CA"/>
        </w:rPr>
        <w:t> » a, à première vue, une portée plus large qu</w:t>
      </w:r>
      <w:r>
        <w:rPr>
          <w:rFonts w:cs="Times New Roman"/>
          <w:lang w:val="fr-CA"/>
        </w:rPr>
        <w:t>’</w:t>
      </w:r>
      <w:r w:rsidRPr="00375EDE">
        <w:rPr>
          <w:rFonts w:cs="Times New Roman"/>
          <w:lang w:val="fr-CA"/>
        </w:rPr>
        <w:t>évaluer le risque de responsabilité personnelle. Cette disposition indique que le syndic a le droit de renoncer à des biens en se fondant sur une analyse économique rationnelle visant à maximiser la valeur de l</w:t>
      </w:r>
      <w:r>
        <w:rPr>
          <w:rFonts w:cs="Times New Roman"/>
          <w:lang w:val="fr-CA"/>
        </w:rPr>
        <w:t>’</w:t>
      </w:r>
      <w:r w:rsidRPr="00375EDE">
        <w:rPr>
          <w:rFonts w:cs="Times New Roman"/>
          <w:lang w:val="fr-CA"/>
        </w:rPr>
        <w:t>actif, et non simplement afin de se prémunir contre une responsabilité personnelle. Sinon, le Parlement n</w:t>
      </w:r>
      <w:r>
        <w:rPr>
          <w:rFonts w:cs="Times New Roman"/>
          <w:lang w:val="fr-CA"/>
        </w:rPr>
        <w:t>’</w:t>
      </w:r>
      <w:r w:rsidRPr="00375EDE">
        <w:rPr>
          <w:rFonts w:cs="Times New Roman"/>
          <w:lang w:val="fr-CA"/>
        </w:rPr>
        <w:t>aurait aucune raison d</w:t>
      </w:r>
      <w:r>
        <w:rPr>
          <w:rFonts w:cs="Times New Roman"/>
          <w:lang w:val="fr-CA"/>
        </w:rPr>
        <w:t>’</w:t>
      </w:r>
      <w:r w:rsidRPr="00375EDE">
        <w:rPr>
          <w:rFonts w:cs="Times New Roman"/>
          <w:lang w:val="fr-CA"/>
        </w:rPr>
        <w:t>autoriser le tribunal à accorder une suspension en vue de permettre l</w:t>
      </w:r>
      <w:r>
        <w:rPr>
          <w:rFonts w:cs="Times New Roman"/>
          <w:lang w:val="fr-CA"/>
        </w:rPr>
        <w:t>’</w:t>
      </w:r>
      <w:r w:rsidRPr="00375EDE">
        <w:rPr>
          <w:rFonts w:cs="Times New Roman"/>
          <w:lang w:val="fr-CA"/>
        </w:rPr>
        <w:t>évaluation des conséquences économiques. Cette interprétation s</w:t>
      </w:r>
      <w:r>
        <w:rPr>
          <w:rFonts w:cs="Times New Roman"/>
          <w:lang w:val="fr-CA"/>
        </w:rPr>
        <w:t>’</w:t>
      </w:r>
      <w:r w:rsidRPr="00375EDE">
        <w:rPr>
          <w:rFonts w:cs="Times New Roman"/>
          <w:lang w:val="fr-CA"/>
        </w:rPr>
        <w:t>accorde avec les principes fondamentaux du droit de l</w:t>
      </w:r>
      <w:r>
        <w:rPr>
          <w:rFonts w:cs="Times New Roman"/>
          <w:lang w:val="fr-CA"/>
        </w:rPr>
        <w:t>’</w:t>
      </w:r>
      <w:r w:rsidRPr="00375EDE">
        <w:rPr>
          <w:rFonts w:cs="Times New Roman"/>
          <w:lang w:val="fr-CA"/>
        </w:rPr>
        <w:t>insolvabilité et les débats parlementaires, tel que je l</w:t>
      </w:r>
      <w:r>
        <w:rPr>
          <w:rFonts w:cs="Times New Roman"/>
          <w:lang w:val="fr-CA"/>
        </w:rPr>
        <w:t>’</w:t>
      </w:r>
      <w:r w:rsidRPr="00375EDE">
        <w:rPr>
          <w:rFonts w:cs="Times New Roman"/>
          <w:lang w:val="fr-CA"/>
        </w:rPr>
        <w:t>ai signalé précédemment, de même qu</w:t>
      </w:r>
      <w:r>
        <w:rPr>
          <w:rFonts w:cs="Times New Roman"/>
          <w:lang w:val="fr-CA"/>
        </w:rPr>
        <w:t>’</w:t>
      </w:r>
      <w:r w:rsidRPr="00375EDE">
        <w:rPr>
          <w:rFonts w:cs="Times New Roman"/>
          <w:lang w:val="fr-CA"/>
        </w:rPr>
        <w:t>avec l</w:t>
      </w:r>
      <w:r>
        <w:rPr>
          <w:rFonts w:cs="Times New Roman"/>
          <w:lang w:val="fr-CA"/>
        </w:rPr>
        <w:t>’</w:t>
      </w:r>
      <w:r w:rsidRPr="00375EDE">
        <w:rPr>
          <w:rFonts w:cs="Times New Roman"/>
          <w:lang w:val="fr-CA"/>
        </w:rPr>
        <w:t>une des justifications reconnues du pouvoir de renonciation de façon plus générale : permettre au syndic [</w:t>
      </w:r>
      <w:r w:rsidRPr="00375EDE">
        <w:rPr>
          <w:rFonts w:cs="Times New Roman"/>
          <w:smallCaps/>
          <w:lang w:val="fr-CA"/>
        </w:rPr>
        <w:t>traduction</w:t>
      </w:r>
      <w:r w:rsidRPr="00375EDE">
        <w:rPr>
          <w:rFonts w:cs="Times New Roman"/>
          <w:lang w:val="fr-CA"/>
        </w:rPr>
        <w:t>] « de mener à terme la liquidation sans être freiné par les obligations permanentes de la société [. . .] en conservant la propriété et la possession de biens qui n</w:t>
      </w:r>
      <w:r>
        <w:rPr>
          <w:rFonts w:cs="Times New Roman"/>
          <w:lang w:val="fr-CA"/>
        </w:rPr>
        <w:t>’</w:t>
      </w:r>
      <w:r w:rsidRPr="00375EDE">
        <w:rPr>
          <w:rFonts w:cs="Times New Roman"/>
          <w:lang w:val="fr-CA"/>
        </w:rPr>
        <w:t>augmentent en rien la valeur de l</w:t>
      </w:r>
      <w:r>
        <w:rPr>
          <w:rFonts w:cs="Times New Roman"/>
          <w:lang w:val="fr-CA"/>
        </w:rPr>
        <w:t>’</w:t>
      </w:r>
      <w:r w:rsidRPr="00375EDE">
        <w:rPr>
          <w:rFonts w:cs="Times New Roman"/>
          <w:lang w:val="fr-CA"/>
        </w:rPr>
        <w:t>actif » (Goode, p. 200).</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Deuxièmement, le par. 14.06(7) accorde au gouvernement une superpriorité à l</w:t>
      </w:r>
      <w:r>
        <w:rPr>
          <w:rFonts w:cs="Times New Roman"/>
          <w:lang w:val="fr-CA"/>
        </w:rPr>
        <w:t>’</w:t>
      </w:r>
      <w:r w:rsidRPr="00375EDE">
        <w:rPr>
          <w:rFonts w:cs="Times New Roman"/>
          <w:lang w:val="fr-CA"/>
        </w:rPr>
        <w:t>égard des réclamations environnementales dans les cas où il a déjà pris des mesures pour réparer le fait ou le dommage. Cette disposition serait fort peu utile si un organisme de réglementation gouvernemental pouvait faire valoir une superpriorité à l</w:t>
      </w:r>
      <w:r>
        <w:rPr>
          <w:rFonts w:cs="Times New Roman"/>
          <w:lang w:val="fr-CA"/>
        </w:rPr>
        <w:t>’</w:t>
      </w:r>
      <w:r w:rsidRPr="00375EDE">
        <w:rPr>
          <w:rFonts w:cs="Times New Roman"/>
          <w:lang w:val="fr-CA"/>
        </w:rPr>
        <w:t xml:space="preserve">égard de </w:t>
      </w:r>
      <w:r w:rsidRPr="00375EDE">
        <w:rPr>
          <w:rFonts w:cs="Times New Roman"/>
          <w:i/>
          <w:lang w:val="fr-CA"/>
        </w:rPr>
        <w:t xml:space="preserve">toutes </w:t>
      </w:r>
      <w:r w:rsidRPr="00375EDE">
        <w:rPr>
          <w:rFonts w:cs="Times New Roman"/>
          <w:lang w:val="fr-CA"/>
        </w:rPr>
        <w:t>les réclamations environnementales, comme l</w:t>
      </w:r>
      <w:r>
        <w:rPr>
          <w:rFonts w:cs="Times New Roman"/>
          <w:lang w:val="fr-CA"/>
        </w:rPr>
        <w:t>’</w:t>
      </w:r>
      <w:r w:rsidRPr="00375EDE">
        <w:rPr>
          <w:rFonts w:cs="Times New Roman"/>
          <w:lang w:val="fr-CA"/>
        </w:rPr>
        <w:t>AER a effectivement la prétention de le faire en l</w:t>
      </w:r>
      <w:r>
        <w:rPr>
          <w:rFonts w:cs="Times New Roman"/>
          <w:lang w:val="fr-CA"/>
        </w:rPr>
        <w:t>’</w:t>
      </w:r>
      <w:r w:rsidRPr="00375EDE">
        <w:rPr>
          <w:rFonts w:cs="Times New Roman"/>
          <w:lang w:val="fr-CA"/>
        </w:rPr>
        <w:t xml:space="preserve">espèce, en refusant de reconnaître la légalité des renonciations de GTL. Elle donne également à penser que le Parlement a expressément prévu que le gouvernement pouvait obtenir une superpriorité et devancer </w:t>
      </w:r>
      <w:r w:rsidRPr="00375EDE">
        <w:rPr>
          <w:rFonts w:cs="Times New Roman"/>
          <w:lang w:val="fr-CA"/>
        </w:rPr>
        <w:lastRenderedPageBreak/>
        <w:t xml:space="preserve">les autres créanciers, mais </w:t>
      </w:r>
      <w:r w:rsidRPr="00375EDE">
        <w:rPr>
          <w:rFonts w:cs="Times New Roman"/>
          <w:i/>
          <w:lang w:val="fr-CA"/>
        </w:rPr>
        <w:t xml:space="preserve">seulement </w:t>
      </w:r>
      <w:r w:rsidRPr="00375EDE">
        <w:rPr>
          <w:rFonts w:cs="Times New Roman"/>
          <w:lang w:val="fr-CA"/>
        </w:rPr>
        <w:t>lorsqu</w:t>
      </w:r>
      <w:r>
        <w:rPr>
          <w:rFonts w:cs="Times New Roman"/>
          <w:lang w:val="fr-CA"/>
        </w:rPr>
        <w:t>’</w:t>
      </w:r>
      <w:r w:rsidRPr="00375EDE">
        <w:rPr>
          <w:rFonts w:cs="Times New Roman"/>
          <w:lang w:val="fr-CA"/>
        </w:rPr>
        <w:t>il a lui</w:t>
      </w:r>
      <w:r w:rsidRPr="00375EDE">
        <w:rPr>
          <w:rFonts w:cs="Times New Roman"/>
          <w:lang w:val="fr-CA"/>
        </w:rPr>
        <w:noBreakHyphen/>
        <w:t>même déjà réparé le dommage lié à l</w:t>
      </w:r>
      <w:r>
        <w:rPr>
          <w:rFonts w:cs="Times New Roman"/>
          <w:lang w:val="fr-CA"/>
        </w:rPr>
        <w:t>’</w:t>
      </w:r>
      <w:r w:rsidRPr="00375EDE">
        <w:rPr>
          <w:rFonts w:cs="Times New Roman"/>
          <w:lang w:val="fr-CA"/>
        </w:rPr>
        <w:t>environnement. Un argument analogue a constitué l</w:t>
      </w:r>
      <w:r>
        <w:rPr>
          <w:rFonts w:cs="Times New Roman"/>
          <w:lang w:val="fr-CA"/>
        </w:rPr>
        <w:t>’</w:t>
      </w:r>
      <w:r w:rsidRPr="00375EDE">
        <w:rPr>
          <w:rFonts w:cs="Times New Roman"/>
          <w:lang w:val="fr-CA"/>
        </w:rPr>
        <w:t xml:space="preserve">élément central du raisonnement dans </w:t>
      </w:r>
      <w:r w:rsidRPr="00375EDE">
        <w:rPr>
          <w:rFonts w:cs="Times New Roman"/>
          <w:i/>
          <w:lang w:val="fr-CA"/>
        </w:rPr>
        <w:t>Abitibi</w:t>
      </w:r>
      <w:r w:rsidRPr="00375EDE">
        <w:rPr>
          <w:rFonts w:cs="Times New Roman"/>
          <w:lang w:val="fr-CA"/>
        </w:rPr>
        <w:t>, où la Cour a fait remarquer que l</w:t>
      </w:r>
      <w:r>
        <w:rPr>
          <w:rFonts w:cs="Times New Roman"/>
          <w:lang w:val="fr-CA"/>
        </w:rPr>
        <w:t>’</w:t>
      </w:r>
      <w:r w:rsidRPr="00375EDE">
        <w:rPr>
          <w:rFonts w:cs="Times New Roman"/>
          <w:lang w:val="fr-CA"/>
        </w:rPr>
        <w:t>existence d</w:t>
      </w:r>
      <w:r>
        <w:rPr>
          <w:rFonts w:cs="Times New Roman"/>
          <w:lang w:val="fr-CA"/>
        </w:rPr>
        <w:t>’</w:t>
      </w:r>
      <w:r w:rsidRPr="00375EDE">
        <w:rPr>
          <w:rFonts w:cs="Times New Roman"/>
          <w:lang w:val="fr-CA"/>
        </w:rPr>
        <w:t xml:space="preserve">une priorité de la Couronne portant uniquement sur les biens contaminés et certains biens connexes en vertu du par. 11.8(8) de la </w:t>
      </w:r>
      <w:r w:rsidRPr="00375EDE">
        <w:rPr>
          <w:rFonts w:cs="Times New Roman"/>
          <w:i/>
          <w:lang w:val="fr-CA"/>
        </w:rPr>
        <w:t>Loi sur les arrangements avec les créanciers des compagnies</w:t>
      </w:r>
      <w:r w:rsidR="003329FE">
        <w:rPr>
          <w:rFonts w:cs="Times New Roman"/>
          <w:lang w:val="fr-CA"/>
        </w:rPr>
        <w:t>, L.R.C. 1985, c. C</w:t>
      </w:r>
      <w:r w:rsidR="003329FE">
        <w:rPr>
          <w:rFonts w:cs="Times New Roman"/>
          <w:lang w:val="fr-CA"/>
        </w:rPr>
        <w:noBreakHyphen/>
        <w:t>36</w:t>
      </w:r>
      <w:r w:rsidRPr="00375EDE">
        <w:rPr>
          <w:rFonts w:cs="Times New Roman"/>
          <w:lang w:val="fr-CA"/>
        </w:rPr>
        <w:t>,</w:t>
      </w:r>
      <w:r w:rsidRPr="00375EDE">
        <w:rPr>
          <w:rFonts w:cs="Times New Roman"/>
          <w:i/>
          <w:lang w:val="fr-CA"/>
        </w:rPr>
        <w:t xml:space="preserve"> </w:t>
      </w:r>
      <w:r w:rsidRPr="00375EDE">
        <w:rPr>
          <w:rFonts w:cs="Times New Roman"/>
          <w:lang w:val="fr-CA"/>
        </w:rPr>
        <w:t>mine l</w:t>
      </w:r>
      <w:r>
        <w:rPr>
          <w:rFonts w:cs="Times New Roman"/>
          <w:lang w:val="fr-CA"/>
        </w:rPr>
        <w:t>’</w:t>
      </w:r>
      <w:r w:rsidRPr="00375EDE">
        <w:rPr>
          <w:rFonts w:cs="Times New Roman"/>
          <w:lang w:val="fr-CA"/>
        </w:rPr>
        <w:t>argument selon lequel le Parlement a eu « l</w:t>
      </w:r>
      <w:r>
        <w:rPr>
          <w:rFonts w:cs="Times New Roman"/>
          <w:lang w:val="fr-CA"/>
        </w:rPr>
        <w:t>’</w:t>
      </w:r>
      <w:r w:rsidRPr="00375EDE">
        <w:rPr>
          <w:rFonts w:cs="Times New Roman"/>
          <w:lang w:val="fr-CA"/>
        </w:rPr>
        <w:t>intention d</w:t>
      </w:r>
      <w:r>
        <w:rPr>
          <w:rFonts w:cs="Times New Roman"/>
          <w:lang w:val="fr-CA"/>
        </w:rPr>
        <w:t>’</w:t>
      </w:r>
      <w:r w:rsidRPr="00375EDE">
        <w:rPr>
          <w:rFonts w:cs="Times New Roman"/>
          <w:lang w:val="fr-CA"/>
        </w:rPr>
        <w:t xml:space="preserve">obliger </w:t>
      </w:r>
      <w:r w:rsidRPr="00375EDE">
        <w:rPr>
          <w:rFonts w:cs="Times New Roman"/>
          <w:lang w:val="fr-FR"/>
        </w:rPr>
        <w:t>le débiteur à supporter dans tous les cas tous les coûts des travaux de décontamination »</w:t>
      </w:r>
      <w:r w:rsidRPr="00375EDE">
        <w:rPr>
          <w:rFonts w:cs="Times New Roman"/>
          <w:lang w:val="fr-CA"/>
        </w:rPr>
        <w:t xml:space="preserve"> dans les situations où ce droit de priorité exprès était inapplicable et où la Couronne ne disposait d</w:t>
      </w:r>
      <w:r>
        <w:rPr>
          <w:rFonts w:cs="Times New Roman"/>
          <w:lang w:val="fr-CA"/>
        </w:rPr>
        <w:t>’</w:t>
      </w:r>
      <w:r w:rsidRPr="00375EDE">
        <w:rPr>
          <w:rFonts w:cs="Times New Roman"/>
          <w:lang w:val="fr-CA"/>
        </w:rPr>
        <w:t>aucune autre priorité sur l</w:t>
      </w:r>
      <w:r>
        <w:rPr>
          <w:rFonts w:cs="Times New Roman"/>
          <w:lang w:val="fr-CA"/>
        </w:rPr>
        <w:t>’</w:t>
      </w:r>
      <w:r w:rsidRPr="00375EDE">
        <w:rPr>
          <w:rFonts w:cs="Times New Roman"/>
          <w:lang w:val="fr-CA"/>
        </w:rPr>
        <w:t>ensemble des biens de l</w:t>
      </w:r>
      <w:r>
        <w:rPr>
          <w:rFonts w:cs="Times New Roman"/>
          <w:lang w:val="fr-CA"/>
        </w:rPr>
        <w:t>’</w:t>
      </w:r>
      <w:r w:rsidRPr="00375EDE">
        <w:rPr>
          <w:rFonts w:cs="Times New Roman"/>
          <w:lang w:val="fr-CA"/>
        </w:rPr>
        <w:t>actif (par. 33).</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Troisièmement, le par. 14.06(6) prévoit que les réclamations visant les frais de réparation du fait ou dommage lié à l</w:t>
      </w:r>
      <w:r>
        <w:rPr>
          <w:rFonts w:cs="Times New Roman"/>
          <w:lang w:val="fr-CA"/>
        </w:rPr>
        <w:t>’</w:t>
      </w:r>
      <w:r w:rsidRPr="00375EDE">
        <w:rPr>
          <w:rFonts w:cs="Times New Roman"/>
          <w:lang w:val="fr-CA"/>
        </w:rPr>
        <w:t>environnement ne peuvent faire partie des frais d</w:t>
      </w:r>
      <w:r>
        <w:rPr>
          <w:rFonts w:cs="Times New Roman"/>
          <w:lang w:val="fr-CA"/>
        </w:rPr>
        <w:t>’</w:t>
      </w:r>
      <w:r w:rsidRPr="00375EDE">
        <w:rPr>
          <w:rFonts w:cs="Times New Roman"/>
          <w:lang w:val="fr-CA"/>
        </w:rPr>
        <w:t>administration si le syndic a renoncé au bien en question. Encore une fois, si l</w:t>
      </w:r>
      <w:r>
        <w:rPr>
          <w:rFonts w:cs="Times New Roman"/>
          <w:lang w:val="fr-CA"/>
        </w:rPr>
        <w:t>’</w:t>
      </w:r>
      <w:r w:rsidRPr="00375EDE">
        <w:rPr>
          <w:rFonts w:cs="Times New Roman"/>
          <w:lang w:val="fr-CA"/>
        </w:rPr>
        <w:t>AER pouvait effectivement faire valoir une superpriorité en obligeant GTL à utiliser tous les biens de Redwater pour satisfaire aux engagements environnementaux non acquittés de celle</w:t>
      </w:r>
      <w:r w:rsidRPr="00375EDE">
        <w:rPr>
          <w:rFonts w:cs="Times New Roman"/>
          <w:lang w:val="fr-CA"/>
        </w:rPr>
        <w:noBreakHyphen/>
        <w:t xml:space="preserve">ci, cette disposition ne serait pas nécessaire parce que les frais de décontamination environnementale passeraient </w:t>
      </w:r>
      <w:r w:rsidRPr="00375EDE">
        <w:rPr>
          <w:rFonts w:cs="Times New Roman"/>
          <w:i/>
          <w:lang w:val="fr-CA"/>
        </w:rPr>
        <w:t xml:space="preserve">avant </w:t>
      </w:r>
      <w:r w:rsidRPr="00375EDE">
        <w:rPr>
          <w:rFonts w:cs="Times New Roman"/>
          <w:lang w:val="fr-CA"/>
        </w:rPr>
        <w:t>les frais d</w:t>
      </w:r>
      <w:r>
        <w:rPr>
          <w:rFonts w:cs="Times New Roman"/>
          <w:lang w:val="fr-CA"/>
        </w:rPr>
        <w:t>’</w:t>
      </w:r>
      <w:r w:rsidRPr="00375EDE">
        <w:rPr>
          <w:rFonts w:cs="Times New Roman"/>
          <w:lang w:val="fr-CA"/>
        </w:rPr>
        <w:t>administration dans l</w:t>
      </w:r>
      <w:r>
        <w:rPr>
          <w:rFonts w:cs="Times New Roman"/>
          <w:lang w:val="fr-CA"/>
        </w:rPr>
        <w:t>’</w:t>
      </w:r>
      <w:r w:rsidRPr="00375EDE">
        <w:rPr>
          <w:rFonts w:cs="Times New Roman"/>
          <w:lang w:val="fr-CA"/>
        </w:rPr>
        <w:t>ordre de priorité. De plus, le par. 14.06(6) fait ressortir la possibilité d</w:t>
      </w:r>
      <w:r>
        <w:rPr>
          <w:rFonts w:cs="Times New Roman"/>
          <w:lang w:val="fr-CA"/>
        </w:rPr>
        <w:t>’</w:t>
      </w:r>
      <w:r w:rsidRPr="00375EDE">
        <w:rPr>
          <w:rFonts w:cs="Times New Roman"/>
          <w:lang w:val="fr-CA"/>
        </w:rPr>
        <w:t>un conflit direct entre la loi fédérale et la loi provinciale. Le syndic ne peut pas obtempérer à la directive de l</w:t>
      </w:r>
      <w:r>
        <w:rPr>
          <w:rFonts w:cs="Times New Roman"/>
          <w:lang w:val="fr-CA"/>
        </w:rPr>
        <w:t>’</w:t>
      </w:r>
      <w:r w:rsidRPr="00375EDE">
        <w:rPr>
          <w:rFonts w:cs="Times New Roman"/>
          <w:lang w:val="fr-CA"/>
        </w:rPr>
        <w:t>AER lui indiquant de supporter les frais environnementaux dans le cadre de son administration de l</w:t>
      </w:r>
      <w:r>
        <w:rPr>
          <w:rFonts w:cs="Times New Roman"/>
          <w:lang w:val="fr-CA"/>
        </w:rPr>
        <w:t>’</w:t>
      </w:r>
      <w:r w:rsidRPr="00375EDE">
        <w:rPr>
          <w:rFonts w:cs="Times New Roman"/>
          <w:lang w:val="fr-CA"/>
        </w:rPr>
        <w:t>actif tout en respectant l</w:t>
      </w:r>
      <w:r>
        <w:rPr>
          <w:rFonts w:cs="Times New Roman"/>
          <w:lang w:val="fr-CA"/>
        </w:rPr>
        <w:t>’</w:t>
      </w:r>
      <w:r w:rsidRPr="00375EDE">
        <w:rPr>
          <w:rFonts w:cs="Times New Roman"/>
          <w:lang w:val="fr-CA"/>
        </w:rPr>
        <w:t xml:space="preserve">exigence de la </w:t>
      </w:r>
      <w:r w:rsidRPr="00CB3646">
        <w:rPr>
          <w:rFonts w:cs="Times New Roman"/>
          <w:i/>
          <w:lang w:val="fr-CA"/>
        </w:rPr>
        <w:t>LFI</w:t>
      </w:r>
      <w:r w:rsidRPr="00375EDE">
        <w:rPr>
          <w:rFonts w:cs="Times New Roman"/>
          <w:lang w:val="fr-CA"/>
        </w:rPr>
        <w:t xml:space="preserve"> selon laquelle ces frais </w:t>
      </w:r>
      <w:r w:rsidRPr="00375EDE">
        <w:rPr>
          <w:rFonts w:cs="Times New Roman"/>
          <w:i/>
          <w:lang w:val="fr-CA"/>
        </w:rPr>
        <w:t xml:space="preserve">ne </w:t>
      </w:r>
      <w:r w:rsidRPr="00375EDE">
        <w:rPr>
          <w:rFonts w:cs="Times New Roman"/>
          <w:lang w:val="fr-CA"/>
        </w:rPr>
        <w:t>font</w:t>
      </w:r>
      <w:r w:rsidRPr="00375EDE">
        <w:rPr>
          <w:rFonts w:cs="Times New Roman"/>
          <w:i/>
          <w:lang w:val="fr-CA"/>
        </w:rPr>
        <w:t xml:space="preserve"> pas </w:t>
      </w:r>
      <w:r w:rsidRPr="00375EDE">
        <w:rPr>
          <w:rFonts w:cs="Times New Roman"/>
          <w:lang w:val="fr-CA"/>
        </w:rPr>
        <w:t>partie des frais d</w:t>
      </w:r>
      <w:r>
        <w:rPr>
          <w:rFonts w:cs="Times New Roman"/>
          <w:lang w:val="fr-CA"/>
        </w:rPr>
        <w:t>’</w:t>
      </w:r>
      <w:r w:rsidRPr="00375EDE">
        <w:rPr>
          <w:rFonts w:cs="Times New Roman"/>
          <w:lang w:val="fr-CA"/>
        </w:rPr>
        <w:t>administration du syndic. Cela fait également apparaître le spectre de l</w:t>
      </w:r>
      <w:r>
        <w:rPr>
          <w:rFonts w:cs="Times New Roman"/>
          <w:lang w:val="fr-CA"/>
        </w:rPr>
        <w:t>’</w:t>
      </w:r>
      <w:r w:rsidRPr="00375EDE">
        <w:rPr>
          <w:rFonts w:cs="Times New Roman"/>
          <w:lang w:val="fr-CA"/>
        </w:rPr>
        <w:t xml:space="preserve">obligation pour les professionnels de la faillite de dépenser leurs propres fonds en application du régime de réglementation </w:t>
      </w:r>
      <w:r w:rsidR="00CE68EC">
        <w:rPr>
          <w:rFonts w:cs="Times New Roman"/>
          <w:lang w:val="fr-CA"/>
        </w:rPr>
        <w:t>albertain,</w:t>
      </w:r>
      <w:r w:rsidRPr="00375EDE">
        <w:rPr>
          <w:rFonts w:cs="Times New Roman"/>
          <w:lang w:val="fr-CA"/>
        </w:rPr>
        <w:t xml:space="preserve"> une idée que le Parlement </w:t>
      </w:r>
      <w:r w:rsidRPr="00375EDE">
        <w:rPr>
          <w:rFonts w:cs="Times New Roman"/>
          <w:lang w:val="fr-CA"/>
        </w:rPr>
        <w:lastRenderedPageBreak/>
        <w:t xml:space="preserve">a clairement rejetée en modifiant la </w:t>
      </w:r>
      <w:r w:rsidRPr="00CB3646">
        <w:rPr>
          <w:rFonts w:cs="Times New Roman"/>
          <w:i/>
          <w:lang w:val="fr-CA"/>
        </w:rPr>
        <w:t xml:space="preserve">LFI </w:t>
      </w:r>
      <w:r w:rsidRPr="00375EDE">
        <w:rPr>
          <w:rFonts w:cs="Times New Roman"/>
          <w:lang w:val="fr-CA"/>
        </w:rPr>
        <w:t>en réaction à l</w:t>
      </w:r>
      <w:r>
        <w:rPr>
          <w:rFonts w:cs="Times New Roman"/>
          <w:lang w:val="fr-CA"/>
        </w:rPr>
        <w:t>’</w:t>
      </w:r>
      <w:r w:rsidRPr="00375EDE">
        <w:rPr>
          <w:rFonts w:cs="Times New Roman"/>
          <w:lang w:val="fr-CA"/>
        </w:rPr>
        <w:t xml:space="preserve">arrêt </w:t>
      </w:r>
      <w:r w:rsidRPr="00375EDE">
        <w:rPr>
          <w:rFonts w:cs="Times New Roman"/>
          <w:i/>
          <w:lang w:val="fr-CA"/>
        </w:rPr>
        <w:t>Panamericana de Bienes y Servicios S.A. c. Northern Badger Oil &amp; Gas Ltd.</w:t>
      </w:r>
      <w:r w:rsidRPr="00375EDE">
        <w:rPr>
          <w:rFonts w:cs="Times New Roman"/>
          <w:lang w:val="fr-CA"/>
        </w:rPr>
        <w:t>, 1991 ABCA 181, 81 D.L.R. (4th) 280 (voir motifs de la Cour d</w:t>
      </w:r>
      <w:r>
        <w:rPr>
          <w:rFonts w:cs="Times New Roman"/>
          <w:lang w:val="fr-CA"/>
        </w:rPr>
        <w:t>’</w:t>
      </w:r>
      <w:r w:rsidRPr="00375EDE">
        <w:rPr>
          <w:rFonts w:cs="Times New Roman"/>
          <w:lang w:val="fr-CA"/>
        </w:rPr>
        <w:t>appel, par. 63). C</w:t>
      </w:r>
      <w:r>
        <w:rPr>
          <w:rFonts w:cs="Times New Roman"/>
          <w:lang w:val="fr-CA"/>
        </w:rPr>
        <w:t>’</w:t>
      </w:r>
      <w:r w:rsidRPr="00375EDE">
        <w:rPr>
          <w:rFonts w:cs="Times New Roman"/>
          <w:lang w:val="fr-CA"/>
        </w:rPr>
        <w:t>est un risque auquel l</w:t>
      </w:r>
      <w:r>
        <w:rPr>
          <w:rFonts w:cs="Times New Roman"/>
          <w:lang w:val="fr-CA"/>
        </w:rPr>
        <w:t>’</w:t>
      </w:r>
      <w:r w:rsidRPr="00375EDE">
        <w:rPr>
          <w:rFonts w:cs="Times New Roman"/>
          <w:lang w:val="fr-CA"/>
        </w:rPr>
        <w:t>interprétation de mon collègue ne répond pas adéquatement.</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Quatrièmement, le par. 14.06(2) traite déjà des circonstances dans lesquelles le syndic peut être tenu personnellement responsable des engagements environnementaux du failli. Selon cette disposition, la responsabilité personnelle du syndic ne peut être engagée que si le dommage lié à l</w:t>
      </w:r>
      <w:r>
        <w:rPr>
          <w:rFonts w:cs="Times New Roman"/>
          <w:lang w:val="fr-CA"/>
        </w:rPr>
        <w:t>’</w:t>
      </w:r>
      <w:r w:rsidRPr="00375EDE">
        <w:rPr>
          <w:rFonts w:cs="Times New Roman"/>
          <w:lang w:val="fr-CA"/>
        </w:rPr>
        <w:t>environnement est imputable à sa négligence grave ou à son inconduite délibérée. Si le risque de responsabilité personnelle constitue, en fait, une condition essentielle à la renonciation prévue par le par. 14.06(4), ou si la protection contre toute responsabilité personnelle est le seul effet de la renonciation, cela signifie que le pouvoir de renonciation ne peut être exercé ou n</w:t>
      </w:r>
      <w:r>
        <w:rPr>
          <w:rFonts w:cs="Times New Roman"/>
          <w:lang w:val="fr-CA"/>
        </w:rPr>
        <w:t>’</w:t>
      </w:r>
      <w:r w:rsidRPr="00375EDE">
        <w:rPr>
          <w:rFonts w:cs="Times New Roman"/>
          <w:lang w:val="fr-CA"/>
        </w:rPr>
        <w:t>est utile que dans les cas où le fait sous</w:t>
      </w:r>
      <w:r w:rsidRPr="00375EDE">
        <w:rPr>
          <w:rFonts w:cs="Times New Roman"/>
          <w:lang w:val="fr-CA"/>
        </w:rPr>
        <w:noBreakHyphen/>
        <w:t>jacent lié à l</w:t>
      </w:r>
      <w:r>
        <w:rPr>
          <w:rFonts w:cs="Times New Roman"/>
          <w:lang w:val="fr-CA"/>
        </w:rPr>
        <w:t>’</w:t>
      </w:r>
      <w:r w:rsidRPr="00375EDE">
        <w:rPr>
          <w:rFonts w:cs="Times New Roman"/>
          <w:lang w:val="fr-CA"/>
        </w:rPr>
        <w:t>environnement prend naissance après la nomination du syndic et où ce dernier est responsable de négligence grave ou d</w:t>
      </w:r>
      <w:r>
        <w:rPr>
          <w:rFonts w:cs="Times New Roman"/>
          <w:lang w:val="fr-CA"/>
        </w:rPr>
        <w:t>’</w:t>
      </w:r>
      <w:r w:rsidRPr="00375EDE">
        <w:rPr>
          <w:rFonts w:cs="Times New Roman"/>
          <w:lang w:val="fr-CA"/>
        </w:rPr>
        <w:t>inconduite délibérée.</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On ne saurait contourner ce résultat manifestement absurde en tentant d</w:t>
      </w:r>
      <w:r>
        <w:rPr>
          <w:rFonts w:cs="Times New Roman"/>
          <w:lang w:val="fr-CA"/>
        </w:rPr>
        <w:t>’</w:t>
      </w:r>
      <w:r w:rsidRPr="00375EDE">
        <w:rPr>
          <w:rFonts w:cs="Times New Roman"/>
          <w:lang w:val="fr-CA"/>
        </w:rPr>
        <w:t>établir une distinction entre la responsabilité découlant d</w:t>
      </w:r>
      <w:r>
        <w:rPr>
          <w:rFonts w:cs="Times New Roman"/>
          <w:lang w:val="fr-CA"/>
        </w:rPr>
        <w:t>’</w:t>
      </w:r>
      <w:r w:rsidRPr="00375EDE">
        <w:rPr>
          <w:rFonts w:cs="Times New Roman"/>
          <w:lang w:val="fr-CA"/>
        </w:rPr>
        <w:t xml:space="preserve">un </w:t>
      </w:r>
      <w:r w:rsidRPr="00375EDE">
        <w:rPr>
          <w:rFonts w:cs="Times New Roman"/>
          <w:i/>
          <w:lang w:val="fr-CA"/>
        </w:rPr>
        <w:t xml:space="preserve">dommage </w:t>
      </w:r>
      <w:r w:rsidRPr="00375EDE">
        <w:rPr>
          <w:rFonts w:cs="Times New Roman"/>
          <w:lang w:val="fr-CA"/>
        </w:rPr>
        <w:t>lié à l</w:t>
      </w:r>
      <w:r>
        <w:rPr>
          <w:rFonts w:cs="Times New Roman"/>
          <w:lang w:val="fr-CA"/>
        </w:rPr>
        <w:t>’</w:t>
      </w:r>
      <w:r w:rsidRPr="00375EDE">
        <w:rPr>
          <w:rFonts w:cs="Times New Roman"/>
          <w:lang w:val="fr-CA"/>
        </w:rPr>
        <w:t xml:space="preserve">environnement (qui serait visée par le par. 14.06(2)) et la responsabilité découlant du </w:t>
      </w:r>
      <w:r w:rsidRPr="00375EDE">
        <w:rPr>
          <w:rFonts w:cs="Times New Roman"/>
          <w:i/>
          <w:lang w:val="fr-CA"/>
        </w:rPr>
        <w:t>non</w:t>
      </w:r>
      <w:r w:rsidRPr="00375EDE">
        <w:rPr>
          <w:rFonts w:cs="Times New Roman"/>
          <w:i/>
          <w:lang w:val="fr-CA"/>
        </w:rPr>
        <w:noBreakHyphen/>
        <w:t>respect de toute ordonnance</w:t>
      </w:r>
      <w:r w:rsidRPr="00375EDE">
        <w:rPr>
          <w:rFonts w:cs="Times New Roman"/>
          <w:lang w:val="fr-CA"/>
        </w:rPr>
        <w:t xml:space="preserve"> de réparation de ce dommage (qui serait visée par le par. 14.06(4)). Cette distinction est tout à fait artificielle. Si l</w:t>
      </w:r>
      <w:r>
        <w:rPr>
          <w:rFonts w:cs="Times New Roman"/>
          <w:lang w:val="fr-CA"/>
        </w:rPr>
        <w:t>’</w:t>
      </w:r>
      <w:r w:rsidRPr="00375EDE">
        <w:rPr>
          <w:rFonts w:cs="Times New Roman"/>
          <w:lang w:val="fr-CA"/>
        </w:rPr>
        <w:t>AER rend une ordonnance d</w:t>
      </w:r>
      <w:r>
        <w:rPr>
          <w:rFonts w:cs="Times New Roman"/>
          <w:lang w:val="fr-CA"/>
        </w:rPr>
        <w:t>’</w:t>
      </w:r>
      <w:r w:rsidRPr="00375EDE">
        <w:rPr>
          <w:rFonts w:cs="Times New Roman"/>
          <w:lang w:val="fr-CA"/>
        </w:rPr>
        <w:t>abandon à l</w:t>
      </w:r>
      <w:r>
        <w:rPr>
          <w:rFonts w:cs="Times New Roman"/>
          <w:lang w:val="fr-CA"/>
        </w:rPr>
        <w:t>’</w:t>
      </w:r>
      <w:r w:rsidRPr="00375EDE">
        <w:rPr>
          <w:rFonts w:cs="Times New Roman"/>
          <w:lang w:val="fr-CA"/>
        </w:rPr>
        <w:t>égard d</w:t>
      </w:r>
      <w:r>
        <w:rPr>
          <w:rFonts w:cs="Times New Roman"/>
          <w:lang w:val="fr-CA"/>
        </w:rPr>
        <w:t>’</w:t>
      </w:r>
      <w:r w:rsidRPr="00375EDE">
        <w:rPr>
          <w:rFonts w:cs="Times New Roman"/>
          <w:lang w:val="fr-CA"/>
        </w:rPr>
        <w:t>un bien visé par un permis, il crée effectivement une responsabilité découlant du fait sous</w:t>
      </w:r>
      <w:r w:rsidRPr="00375EDE">
        <w:rPr>
          <w:rFonts w:cs="Times New Roman"/>
          <w:lang w:val="fr-CA"/>
        </w:rPr>
        <w:noBreakHyphen/>
        <w:t>jacent lui</w:t>
      </w:r>
      <w:r w:rsidRPr="00375EDE">
        <w:rPr>
          <w:rFonts w:cs="Times New Roman"/>
          <w:lang w:val="fr-CA"/>
        </w:rPr>
        <w:noBreakHyphen/>
        <w:t xml:space="preserve">même — une responsabilité qui serait toujours visée par le par. 14.06(2). Cela ressort clairement de la note marginale du </w:t>
      </w:r>
      <w:r w:rsidRPr="00375EDE">
        <w:rPr>
          <w:rFonts w:cs="Times New Roman"/>
          <w:lang w:val="fr-CA"/>
        </w:rPr>
        <w:lastRenderedPageBreak/>
        <w:t xml:space="preserve">par. 14.06(2), « [r]esponsabilité </w:t>
      </w:r>
      <w:r w:rsidRPr="00375EDE">
        <w:rPr>
          <w:rFonts w:cs="Times New Roman"/>
          <w:u w:val="single"/>
          <w:lang w:val="fr-CA"/>
        </w:rPr>
        <w:t>en matière</w:t>
      </w:r>
      <w:r w:rsidRPr="00375EDE">
        <w:rPr>
          <w:rFonts w:cs="Times New Roman"/>
          <w:lang w:val="fr-CA"/>
        </w:rPr>
        <w:t xml:space="preserve"> d</w:t>
      </w:r>
      <w:r>
        <w:rPr>
          <w:rFonts w:cs="Times New Roman"/>
          <w:lang w:val="fr-CA"/>
        </w:rPr>
        <w:t>’</w:t>
      </w:r>
      <w:r w:rsidRPr="00375EDE">
        <w:rPr>
          <w:rFonts w:cs="Times New Roman"/>
          <w:lang w:val="fr-CA"/>
        </w:rPr>
        <w:t>environnement », qui est suffisamment vaste pour englober la responsabilité découlant du non</w:t>
      </w:r>
      <w:r w:rsidRPr="00375EDE">
        <w:rPr>
          <w:rFonts w:cs="Times New Roman"/>
          <w:lang w:val="fr-CA"/>
        </w:rPr>
        <w:noBreakHyphen/>
        <w:t>respect d</w:t>
      </w:r>
      <w:r>
        <w:rPr>
          <w:rFonts w:cs="Times New Roman"/>
          <w:lang w:val="fr-CA"/>
        </w:rPr>
        <w:t>’</w:t>
      </w:r>
      <w:r w:rsidRPr="00375EDE">
        <w:rPr>
          <w:rFonts w:cs="Times New Roman"/>
          <w:lang w:val="fr-CA"/>
        </w:rPr>
        <w:t>une ordonnance environnementale. Quoi qu</w:t>
      </w:r>
      <w:r>
        <w:rPr>
          <w:rFonts w:cs="Times New Roman"/>
          <w:lang w:val="fr-CA"/>
        </w:rPr>
        <w:t>’</w:t>
      </w:r>
      <w:r w:rsidRPr="00375EDE">
        <w:rPr>
          <w:rFonts w:cs="Times New Roman"/>
          <w:lang w:val="fr-CA"/>
        </w:rPr>
        <w:t>il en soit, il est difficile d</w:t>
      </w:r>
      <w:r>
        <w:rPr>
          <w:rFonts w:cs="Times New Roman"/>
          <w:lang w:val="fr-CA"/>
        </w:rPr>
        <w:t>’</w:t>
      </w:r>
      <w:r w:rsidRPr="00375EDE">
        <w:rPr>
          <w:rFonts w:cs="Times New Roman"/>
          <w:lang w:val="fr-CA"/>
        </w:rPr>
        <w:t>imaginer pourquoi le Parlement voudrait mettre le syndic à l</w:t>
      </w:r>
      <w:r>
        <w:rPr>
          <w:rFonts w:cs="Times New Roman"/>
          <w:lang w:val="fr-CA"/>
        </w:rPr>
        <w:t>’</w:t>
      </w:r>
      <w:r w:rsidRPr="00375EDE">
        <w:rPr>
          <w:rFonts w:cs="Times New Roman"/>
          <w:lang w:val="fr-CA"/>
        </w:rPr>
        <w:t>abri d</w:t>
      </w:r>
      <w:r>
        <w:rPr>
          <w:rFonts w:cs="Times New Roman"/>
          <w:lang w:val="fr-CA"/>
        </w:rPr>
        <w:t>’</w:t>
      </w:r>
      <w:r w:rsidRPr="00375EDE">
        <w:rPr>
          <w:rFonts w:cs="Times New Roman"/>
          <w:lang w:val="fr-CA"/>
        </w:rPr>
        <w:t>une responsabilité personnelle découlant d</w:t>
      </w:r>
      <w:r>
        <w:rPr>
          <w:rFonts w:cs="Times New Roman"/>
          <w:lang w:val="fr-CA"/>
        </w:rPr>
        <w:t>’</w:t>
      </w:r>
      <w:r w:rsidRPr="00375EDE">
        <w:rPr>
          <w:rFonts w:cs="Times New Roman"/>
          <w:lang w:val="fr-CA"/>
        </w:rPr>
        <w:t xml:space="preserve">un </w:t>
      </w:r>
      <w:r w:rsidRPr="00375EDE">
        <w:rPr>
          <w:rFonts w:cs="Times New Roman"/>
          <w:i/>
          <w:lang w:val="fr-CA"/>
        </w:rPr>
        <w:t>fait</w:t>
      </w:r>
      <w:r w:rsidRPr="00375EDE">
        <w:rPr>
          <w:rFonts w:cs="Times New Roman"/>
          <w:lang w:val="fr-CA"/>
        </w:rPr>
        <w:t xml:space="preserve"> lié à l</w:t>
      </w:r>
      <w:r>
        <w:rPr>
          <w:rFonts w:cs="Times New Roman"/>
          <w:lang w:val="fr-CA"/>
        </w:rPr>
        <w:t>’</w:t>
      </w:r>
      <w:r w:rsidRPr="00375EDE">
        <w:rPr>
          <w:rFonts w:cs="Times New Roman"/>
          <w:lang w:val="fr-CA"/>
        </w:rPr>
        <w:t>environnement, tout en tenant néanmoins le syndic responsable du non</w:t>
      </w:r>
      <w:r w:rsidRPr="00375EDE">
        <w:rPr>
          <w:rFonts w:cs="Times New Roman"/>
          <w:lang w:val="fr-CA"/>
        </w:rPr>
        <w:noBreakHyphen/>
        <w:t>respect d</w:t>
      </w:r>
      <w:r>
        <w:rPr>
          <w:rFonts w:cs="Times New Roman"/>
          <w:lang w:val="fr-CA"/>
        </w:rPr>
        <w:t>’</w:t>
      </w:r>
      <w:r w:rsidRPr="00375EDE">
        <w:rPr>
          <w:rFonts w:cs="Times New Roman"/>
          <w:lang w:val="fr-CA"/>
        </w:rPr>
        <w:t xml:space="preserve">une </w:t>
      </w:r>
      <w:r w:rsidRPr="00375EDE">
        <w:rPr>
          <w:rFonts w:cs="Times New Roman"/>
          <w:i/>
          <w:lang w:val="fr-CA"/>
        </w:rPr>
        <w:t>ordonnance</w:t>
      </w:r>
      <w:r w:rsidRPr="00375EDE">
        <w:rPr>
          <w:rFonts w:cs="Times New Roman"/>
          <w:lang w:val="fr-CA"/>
        </w:rPr>
        <w:t xml:space="preserve"> de réparation concernant exactement le même fait — pour ensuite permettre au syndic d</w:t>
      </w:r>
      <w:r>
        <w:rPr>
          <w:rFonts w:cs="Times New Roman"/>
          <w:lang w:val="fr-CA"/>
        </w:rPr>
        <w:t>’</w:t>
      </w:r>
      <w:r w:rsidRPr="00375EDE">
        <w:rPr>
          <w:rFonts w:cs="Times New Roman"/>
          <w:lang w:val="fr-CA"/>
        </w:rPr>
        <w:t xml:space="preserve">être dégagé de cette même responsabilité en renonçant au bien, mais en </w:t>
      </w:r>
      <w:r w:rsidRPr="00257722">
        <w:rPr>
          <w:rFonts w:cs="Times New Roman"/>
          <w:lang w:val="fr-CA"/>
        </w:rPr>
        <w:t>ne</w:t>
      </w:r>
      <w:r w:rsidRPr="00375EDE">
        <w:rPr>
          <w:rFonts w:cs="Times New Roman"/>
          <w:i/>
          <w:lang w:val="fr-CA"/>
        </w:rPr>
        <w:t xml:space="preserve"> </w:t>
      </w:r>
      <w:r w:rsidRPr="00375EDE">
        <w:rPr>
          <w:rFonts w:cs="Times New Roman"/>
          <w:lang w:val="fr-CA"/>
        </w:rPr>
        <w:t xml:space="preserve">permettant </w:t>
      </w:r>
      <w:r w:rsidRPr="00257722">
        <w:rPr>
          <w:rFonts w:cs="Times New Roman"/>
          <w:lang w:val="fr-CA"/>
        </w:rPr>
        <w:t>pas</w:t>
      </w:r>
      <w:r w:rsidRPr="00375EDE">
        <w:rPr>
          <w:rFonts w:cs="Times New Roman"/>
          <w:i/>
          <w:lang w:val="fr-CA"/>
        </w:rPr>
        <w:t xml:space="preserve"> </w:t>
      </w:r>
      <w:r w:rsidRPr="00375EDE">
        <w:rPr>
          <w:rFonts w:cs="Times New Roman"/>
          <w:lang w:val="fr-CA"/>
        </w:rPr>
        <w:t>au syndic de renoncer à ce bien dans d</w:t>
      </w:r>
      <w:r>
        <w:rPr>
          <w:rFonts w:cs="Times New Roman"/>
          <w:lang w:val="fr-CA"/>
        </w:rPr>
        <w:t>’</w:t>
      </w:r>
      <w:r w:rsidRPr="00375EDE">
        <w:rPr>
          <w:rFonts w:cs="Times New Roman"/>
          <w:lang w:val="fr-CA"/>
        </w:rPr>
        <w:t>autres circonstances ou en rendant inutile cette renonciation. Non seulement ce raisonnement alambiqué constitue</w:t>
      </w:r>
      <w:r w:rsidRPr="00375EDE">
        <w:rPr>
          <w:rFonts w:cs="Times New Roman"/>
          <w:lang w:val="fr-CA"/>
        </w:rPr>
        <w:noBreakHyphen/>
        <w:t>t</w:t>
      </w:r>
      <w:r w:rsidRPr="00375EDE">
        <w:rPr>
          <w:rFonts w:cs="Times New Roman"/>
          <w:lang w:val="fr-CA"/>
        </w:rPr>
        <w:noBreakHyphen/>
        <w:t>il une mauvaise interprétation du par. 14.06(4), mais il équivaut en même temps à une reformulation du par. 14.06(2). Cela revient en fait à créer une exemption sectorielle à l</w:t>
      </w:r>
      <w:r>
        <w:rPr>
          <w:rFonts w:cs="Times New Roman"/>
          <w:lang w:val="fr-CA"/>
        </w:rPr>
        <w:t>’</w:t>
      </w:r>
      <w:r w:rsidRPr="00375EDE">
        <w:rPr>
          <w:rFonts w:cs="Times New Roman"/>
          <w:lang w:val="fr-CA"/>
        </w:rPr>
        <w:t>application du droit de la faillite qui empêcherait les séquestres et les syndics qui exercent leurs activités dans l</w:t>
      </w:r>
      <w:r>
        <w:rPr>
          <w:rFonts w:cs="Times New Roman"/>
          <w:lang w:val="fr-CA"/>
        </w:rPr>
        <w:t>’</w:t>
      </w:r>
      <w:r w:rsidRPr="00375EDE">
        <w:rPr>
          <w:rFonts w:cs="Times New Roman"/>
          <w:lang w:val="fr-CA"/>
        </w:rPr>
        <w:t xml:space="preserve">industrie pétrolière et gazière de renoncer à des biens (voir N. Bankes, </w:t>
      </w:r>
      <w:r w:rsidRPr="00375EDE">
        <w:rPr>
          <w:rFonts w:cs="Times New Roman"/>
          <w:i/>
          <w:lang w:val="fr-CA"/>
        </w:rPr>
        <w:t>Majority of the Court of Appeal Confirms Chief Justice Wittmann</w:t>
      </w:r>
      <w:r>
        <w:rPr>
          <w:rFonts w:cs="Times New Roman"/>
          <w:i/>
          <w:lang w:val="fr-CA"/>
        </w:rPr>
        <w:t>’</w:t>
      </w:r>
      <w:r w:rsidRPr="00375EDE">
        <w:rPr>
          <w:rFonts w:cs="Times New Roman"/>
          <w:i/>
          <w:lang w:val="fr-CA"/>
        </w:rPr>
        <w:t>s Redwater Decision</w:t>
      </w:r>
      <w:r w:rsidRPr="00375EDE">
        <w:rPr>
          <w:rFonts w:cs="Times New Roman"/>
          <w:lang w:val="fr-CA"/>
        </w:rPr>
        <w:t xml:space="preserve">, 3 mai 2017 (en ligne)). </w:t>
      </w:r>
    </w:p>
    <w:p w:rsidR="00DF13E5" w:rsidRPr="00375EDE" w:rsidRDefault="00DF13E5" w:rsidP="00DF13E5">
      <w:pPr>
        <w:pStyle w:val="ParaNoNdepar-AltN"/>
        <w:rPr>
          <w:rFonts w:cs="Times New Roman"/>
          <w:lang w:val="fr-CA"/>
        </w:rPr>
      </w:pPr>
      <w:r w:rsidRPr="00375EDE">
        <w:rPr>
          <w:rFonts w:cs="Times New Roman"/>
          <w:lang w:val="fr-CA"/>
        </w:rPr>
        <w:t>Je ne peux non plus accepter que le Parlement a adopté le par. 14.06(4) dans le simple but de protéger les syndics contre toute responsabilité personnelle dans le sous</w:t>
      </w:r>
      <w:r w:rsidRPr="00375EDE">
        <w:rPr>
          <w:rFonts w:cs="Times New Roman"/>
          <w:lang w:val="fr-CA"/>
        </w:rPr>
        <w:noBreakHyphen/>
        <w:t>ensemble restreint de circonstances qui ne sont pas déjà visées par le par. 14.06(2) — à savoir celles où un fait ou dommage lié à l</w:t>
      </w:r>
      <w:r>
        <w:rPr>
          <w:rFonts w:cs="Times New Roman"/>
          <w:lang w:val="fr-CA"/>
        </w:rPr>
        <w:t>’</w:t>
      </w:r>
      <w:r w:rsidRPr="00375EDE">
        <w:rPr>
          <w:rFonts w:cs="Times New Roman"/>
          <w:lang w:val="fr-CA"/>
        </w:rPr>
        <w:t>environnement survient après la nomination du syndic et à cause de sa négligence grave ou de son inconduite délibérée — pour deux raisons principales. Tout d</w:t>
      </w:r>
      <w:r>
        <w:rPr>
          <w:rFonts w:cs="Times New Roman"/>
          <w:lang w:val="fr-CA"/>
        </w:rPr>
        <w:t>’</w:t>
      </w:r>
      <w:r w:rsidRPr="00375EDE">
        <w:rPr>
          <w:rFonts w:cs="Times New Roman"/>
          <w:lang w:val="fr-CA"/>
        </w:rPr>
        <w:t>abord, le texte de la disposition contredit lui</w:t>
      </w:r>
      <w:r w:rsidRPr="00375EDE">
        <w:rPr>
          <w:rFonts w:cs="Times New Roman"/>
          <w:lang w:val="fr-CA"/>
        </w:rPr>
        <w:noBreakHyphen/>
        <w:t>même cette théorie. Les premières lignes du par. 14.06(4) limitent expressément la responsabilité « sous réserve du paragraphe (2) ». Le Parlement tenait donc à ce que le par. (2) l</w:t>
      </w:r>
      <w:r>
        <w:rPr>
          <w:rFonts w:cs="Times New Roman"/>
          <w:lang w:val="fr-CA"/>
        </w:rPr>
        <w:t>’</w:t>
      </w:r>
      <w:r w:rsidRPr="00375EDE">
        <w:rPr>
          <w:rFonts w:cs="Times New Roman"/>
          <w:lang w:val="fr-CA"/>
        </w:rPr>
        <w:t xml:space="preserve">emporte </w:t>
      </w:r>
      <w:r w:rsidR="00CE68EC">
        <w:rPr>
          <w:rFonts w:cs="Times New Roman"/>
          <w:lang w:val="fr-CA"/>
        </w:rPr>
        <w:t xml:space="preserve">sur </w:t>
      </w:r>
      <w:r w:rsidRPr="00375EDE">
        <w:rPr>
          <w:rFonts w:cs="Times New Roman"/>
          <w:lang w:val="fr-CA"/>
        </w:rPr>
        <w:t xml:space="preserve">le par. (4) pour ce qui est de déterminer la </w:t>
      </w:r>
      <w:r w:rsidRPr="00375EDE">
        <w:rPr>
          <w:rFonts w:cs="Times New Roman"/>
          <w:lang w:val="fr-CA"/>
        </w:rPr>
        <w:lastRenderedPageBreak/>
        <w:t>responsabilité. Ainsi, le syndic ayant causé un fait ou dommage lié à l</w:t>
      </w:r>
      <w:r>
        <w:rPr>
          <w:rFonts w:cs="Times New Roman"/>
          <w:lang w:val="fr-CA"/>
        </w:rPr>
        <w:t>’</w:t>
      </w:r>
      <w:r w:rsidRPr="00375EDE">
        <w:rPr>
          <w:rFonts w:cs="Times New Roman"/>
          <w:lang w:val="fr-CA"/>
        </w:rPr>
        <w:t xml:space="preserve">environnement par son inconduite délibérée ou sa négligence grave </w:t>
      </w:r>
      <w:r w:rsidRPr="00375EDE">
        <w:rPr>
          <w:rFonts w:cs="Times New Roman"/>
          <w:i/>
          <w:lang w:val="fr-CA"/>
        </w:rPr>
        <w:t>engagera toujours sa responsabilité personnelle</w:t>
      </w:r>
      <w:r w:rsidR="00CE68EC">
        <w:rPr>
          <w:rFonts w:cs="Times New Roman"/>
          <w:lang w:val="fr-CA"/>
        </w:rPr>
        <w:t xml:space="preserve">, </w:t>
      </w:r>
      <w:r w:rsidRPr="00375EDE">
        <w:rPr>
          <w:rFonts w:cs="Times New Roman"/>
          <w:lang w:val="fr-CA"/>
        </w:rPr>
        <w:t>malgré toute renonciation dûment effectuée en vertu du par. (4). Ensuite, aucune preuve, ni raison en fait, n</w:t>
      </w:r>
      <w:r>
        <w:rPr>
          <w:rFonts w:cs="Times New Roman"/>
          <w:lang w:val="fr-CA"/>
        </w:rPr>
        <w:t>’</w:t>
      </w:r>
      <w:r w:rsidRPr="00375EDE">
        <w:rPr>
          <w:rFonts w:cs="Times New Roman"/>
          <w:lang w:val="fr-CA"/>
        </w:rPr>
        <w:t>explique pourquoi le Parlement aurait rédigé le par. 14.06(4) afin de protéger les syndics dans des situations aussi particulières, par la renonciation à des biens, et de les mettre à l</w:t>
      </w:r>
      <w:r>
        <w:rPr>
          <w:rFonts w:cs="Times New Roman"/>
          <w:lang w:val="fr-CA"/>
        </w:rPr>
        <w:t>’</w:t>
      </w:r>
      <w:r w:rsidRPr="00375EDE">
        <w:rPr>
          <w:rFonts w:cs="Times New Roman"/>
          <w:lang w:val="fr-CA"/>
        </w:rPr>
        <w:t>abri de leur responsabilité lorsqu</w:t>
      </w:r>
      <w:r>
        <w:rPr>
          <w:rFonts w:cs="Times New Roman"/>
          <w:lang w:val="fr-CA"/>
        </w:rPr>
        <w:t>’</w:t>
      </w:r>
      <w:r w:rsidRPr="00375EDE">
        <w:rPr>
          <w:rFonts w:cs="Times New Roman"/>
          <w:lang w:val="fr-CA"/>
        </w:rPr>
        <w:t>ils endommagent l</w:t>
      </w:r>
      <w:r>
        <w:rPr>
          <w:rFonts w:cs="Times New Roman"/>
          <w:lang w:val="fr-CA"/>
        </w:rPr>
        <w:t>’</w:t>
      </w:r>
      <w:r w:rsidRPr="00375EDE">
        <w:rPr>
          <w:rFonts w:cs="Times New Roman"/>
          <w:lang w:val="fr-CA"/>
        </w:rPr>
        <w:t xml:space="preserve">environnement par leurs propres actes répréhensibles. </w:t>
      </w:r>
    </w:p>
    <w:p w:rsidR="00DF13E5" w:rsidRPr="00375EDE" w:rsidRDefault="00DF13E5" w:rsidP="00DF13E5">
      <w:pPr>
        <w:pStyle w:val="ParaNoNdepar-AltN"/>
        <w:rPr>
          <w:rFonts w:cs="Times New Roman"/>
          <w:lang w:val="fr-CA"/>
        </w:rPr>
      </w:pPr>
      <w:r w:rsidRPr="00375EDE">
        <w:rPr>
          <w:rFonts w:cs="Times New Roman"/>
          <w:lang w:val="fr-CA"/>
        </w:rPr>
        <w:t>Les juges majoritaires reconnaissent que, d</w:t>
      </w:r>
      <w:r>
        <w:rPr>
          <w:rFonts w:cs="Times New Roman"/>
          <w:lang w:val="fr-CA"/>
        </w:rPr>
        <w:t>’</w:t>
      </w:r>
      <w:r w:rsidRPr="00375EDE">
        <w:rPr>
          <w:rFonts w:cs="Times New Roman"/>
          <w:lang w:val="fr-CA"/>
        </w:rPr>
        <w:t>après leur interprétation, on ne peut établir de distinction utile entre l</w:t>
      </w:r>
      <w:r>
        <w:rPr>
          <w:rFonts w:cs="Times New Roman"/>
          <w:lang w:val="fr-CA"/>
        </w:rPr>
        <w:t>’</w:t>
      </w:r>
      <w:r w:rsidRPr="00375EDE">
        <w:rPr>
          <w:rFonts w:cs="Times New Roman"/>
          <w:lang w:val="fr-CA"/>
        </w:rPr>
        <w:t>immunité de responsabilité personnelle accordée par le par. (2) et celle fournie par le par. (4). En effet, ils semblent croire que cette distinction n</w:t>
      </w:r>
      <w:r>
        <w:rPr>
          <w:rFonts w:cs="Times New Roman"/>
          <w:lang w:val="fr-CA"/>
        </w:rPr>
        <w:t>’</w:t>
      </w:r>
      <w:r w:rsidRPr="00375EDE">
        <w:rPr>
          <w:rFonts w:cs="Times New Roman"/>
          <w:lang w:val="fr-CA"/>
        </w:rPr>
        <w:t>est même pas nécessaire, acceptant que « le par. 14.06(4) n</w:t>
      </w:r>
      <w:r>
        <w:rPr>
          <w:rFonts w:cs="Times New Roman"/>
          <w:lang w:val="fr-CA"/>
        </w:rPr>
        <w:t>’</w:t>
      </w:r>
      <w:r w:rsidRPr="00375EDE">
        <w:rPr>
          <w:rFonts w:cs="Times New Roman"/>
          <w:lang w:val="fr-CA"/>
        </w:rPr>
        <w:t>offre pas aux syndics une protection contre la responsabilité personnelle plus large que celle fournie par le par. 14.06(2) » (par. 93). Cette interprétation a cependant pour effet de rendre le par. (4) tout à fait dénué de sens et redondant. Le syndic n</w:t>
      </w:r>
      <w:r>
        <w:rPr>
          <w:rFonts w:cs="Times New Roman"/>
          <w:lang w:val="fr-CA"/>
        </w:rPr>
        <w:t>’</w:t>
      </w:r>
      <w:r w:rsidRPr="00375EDE">
        <w:rPr>
          <w:rFonts w:cs="Times New Roman"/>
          <w:lang w:val="fr-CA"/>
        </w:rPr>
        <w:t>aurait aucune raison d</w:t>
      </w:r>
      <w:r>
        <w:rPr>
          <w:rFonts w:cs="Times New Roman"/>
          <w:lang w:val="fr-CA"/>
        </w:rPr>
        <w:t>’</w:t>
      </w:r>
      <w:r w:rsidRPr="00375EDE">
        <w:rPr>
          <w:rFonts w:cs="Times New Roman"/>
          <w:lang w:val="fr-CA"/>
        </w:rPr>
        <w:t>exercer son pouvoir de renoncer à des biens, car cette mesure ne servirait qu</w:t>
      </w:r>
      <w:r>
        <w:rPr>
          <w:rFonts w:cs="Times New Roman"/>
          <w:lang w:val="fr-CA"/>
        </w:rPr>
        <w:t>’</w:t>
      </w:r>
      <w:r w:rsidRPr="00375EDE">
        <w:rPr>
          <w:rFonts w:cs="Times New Roman"/>
          <w:lang w:val="fr-CA"/>
        </w:rPr>
        <w:t>à le protéger contre la responsabilité personnelle dont le par. (2) le met déjà entièrement à l</w:t>
      </w:r>
      <w:r>
        <w:rPr>
          <w:rFonts w:cs="Times New Roman"/>
          <w:lang w:val="fr-CA"/>
        </w:rPr>
        <w:t>’</w:t>
      </w:r>
      <w:r w:rsidRPr="00375EDE">
        <w:rPr>
          <w:rFonts w:cs="Times New Roman"/>
          <w:lang w:val="fr-CA"/>
        </w:rPr>
        <w:t>abri. Ainsi, le par. 14.06(4) n</w:t>
      </w:r>
      <w:r>
        <w:rPr>
          <w:rFonts w:cs="Times New Roman"/>
          <w:lang w:val="fr-CA"/>
        </w:rPr>
        <w:t>’</w:t>
      </w:r>
      <w:r w:rsidRPr="00375EDE">
        <w:rPr>
          <w:rFonts w:cs="Times New Roman"/>
          <w:lang w:val="fr-CA"/>
        </w:rPr>
        <w:t>aurait absolument aucune utilité dans le régime de faillite du Parlement. Je ne peux saisir la logique, pour le Parlement, de mentionner explicitement et d</w:t>
      </w:r>
      <w:r>
        <w:rPr>
          <w:rFonts w:cs="Times New Roman"/>
          <w:lang w:val="fr-CA"/>
        </w:rPr>
        <w:t>’</w:t>
      </w:r>
      <w:r w:rsidRPr="00375EDE">
        <w:rPr>
          <w:rFonts w:cs="Times New Roman"/>
          <w:lang w:val="fr-CA"/>
        </w:rPr>
        <w:t>incorporer le pouvoir du syndic de renoncer à ces biens — et d</w:t>
      </w:r>
      <w:r>
        <w:rPr>
          <w:rFonts w:cs="Times New Roman"/>
          <w:lang w:val="fr-CA"/>
        </w:rPr>
        <w:t>’</w:t>
      </w:r>
      <w:r w:rsidRPr="00375EDE">
        <w:rPr>
          <w:rFonts w:cs="Times New Roman"/>
          <w:lang w:val="fr-CA"/>
        </w:rPr>
        <w:t>énoncer en termes exprès une conséquence de ce pouvoir — simplement pour disposer que cette mesure n</w:t>
      </w:r>
      <w:r>
        <w:rPr>
          <w:rFonts w:cs="Times New Roman"/>
          <w:lang w:val="fr-CA"/>
        </w:rPr>
        <w:t>’</w:t>
      </w:r>
      <w:r w:rsidRPr="00375EDE">
        <w:rPr>
          <w:rFonts w:cs="Times New Roman"/>
          <w:lang w:val="fr-CA"/>
        </w:rPr>
        <w:t>a aucun effet utile. Nous devons présumer que le Parlement ne parle pas pour ne rien dire et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a pas rédigé une disposition inutile (</w:t>
      </w:r>
      <w:r w:rsidRPr="00375EDE">
        <w:rPr>
          <w:rFonts w:cs="Times New Roman"/>
          <w:i/>
          <w:lang w:val="fr-CA" w:bidi="en-US"/>
        </w:rPr>
        <w:t>Canada (Procureur général) c</w:t>
      </w:r>
      <w:r w:rsidRPr="00375EDE">
        <w:rPr>
          <w:rFonts w:cs="Times New Roman"/>
          <w:i/>
          <w:iCs/>
          <w:lang w:val="fr-CA" w:bidi="en-US"/>
        </w:rPr>
        <w:t xml:space="preserve">. </w:t>
      </w:r>
      <w:r w:rsidRPr="00375EDE">
        <w:rPr>
          <w:rFonts w:cs="Times New Roman"/>
          <w:i/>
          <w:lang w:val="fr-CA" w:bidi="en-US"/>
        </w:rPr>
        <w:t>JTI</w:t>
      </w:r>
      <w:r w:rsidRPr="00375EDE">
        <w:rPr>
          <w:rFonts w:cs="Times New Roman"/>
          <w:i/>
          <w:lang w:val="fr-CA" w:bidi="en-US"/>
        </w:rPr>
        <w:noBreakHyphen/>
        <w:t>Macdonald Corp.</w:t>
      </w:r>
      <w:r w:rsidRPr="00375EDE">
        <w:rPr>
          <w:rFonts w:cs="Times New Roman"/>
          <w:lang w:val="fr-CA" w:bidi="en-US"/>
        </w:rPr>
        <w:t xml:space="preserve">, 2007 CSC 30, [2007] 2 R.C.S. 610, </w:t>
      </w:r>
      <w:r w:rsidRPr="00375EDE">
        <w:rPr>
          <w:rFonts w:cs="Times New Roman"/>
          <w:lang w:val="fr-CA" w:bidi="en-US"/>
        </w:rPr>
        <w:lastRenderedPageBreak/>
        <w:t>par. 87)</w:t>
      </w:r>
      <w:r w:rsidRPr="00375EDE">
        <w:rPr>
          <w:rFonts w:cs="Times New Roman"/>
          <w:lang w:val="fr-CA"/>
        </w:rPr>
        <w:t>. Un principe reconnu d</w:t>
      </w:r>
      <w:r>
        <w:rPr>
          <w:rFonts w:cs="Times New Roman"/>
          <w:lang w:val="fr-CA"/>
        </w:rPr>
        <w:t>’</w:t>
      </w:r>
      <w:r w:rsidRPr="00375EDE">
        <w:rPr>
          <w:rFonts w:cs="Times New Roman"/>
          <w:lang w:val="fr-CA"/>
        </w:rPr>
        <w:t>interprétation législative veut que chaque disposition d</w:t>
      </w:r>
      <w:r>
        <w:rPr>
          <w:rFonts w:cs="Times New Roman"/>
          <w:lang w:val="fr-CA"/>
        </w:rPr>
        <w:t>’</w:t>
      </w:r>
      <w:r w:rsidRPr="00375EDE">
        <w:rPr>
          <w:rFonts w:cs="Times New Roman"/>
          <w:lang w:val="fr-CA"/>
        </w:rPr>
        <w:t>une loi reçoive un sens :</w:t>
      </w:r>
    </w:p>
    <w:p w:rsidR="00DF13E5" w:rsidRPr="00375EDE" w:rsidRDefault="00DF13E5" w:rsidP="00CE68EC">
      <w:pPr>
        <w:pStyle w:val="Citation-AltC"/>
        <w:spacing w:after="240"/>
        <w:ind w:hanging="1166"/>
        <w:contextualSpacing w:val="0"/>
        <w:rPr>
          <w:lang w:val="fr-CA"/>
        </w:rPr>
      </w:pPr>
      <w:r w:rsidRPr="00375EDE">
        <w:rPr>
          <w:lang w:val="fr-CA"/>
        </w:rPr>
        <w:tab/>
        <w:t>[</w:t>
      </w:r>
      <w:r w:rsidRPr="00375EDE">
        <w:rPr>
          <w:smallCaps/>
          <w:lang w:val="fr-CA"/>
        </w:rPr>
        <w:t>traduction</w:t>
      </w:r>
      <w:r w:rsidRPr="00375EDE">
        <w:rPr>
          <w:lang w:val="fr-CA"/>
        </w:rPr>
        <w:t>]</w:t>
      </w:r>
      <w:r w:rsidR="00CE68EC">
        <w:rPr>
          <w:lang w:val="fr-CA"/>
        </w:rPr>
        <w:t xml:space="preserve"> </w:t>
      </w:r>
      <w:r w:rsidRPr="00375EDE">
        <w:rPr>
          <w:lang w:val="fr-CA"/>
        </w:rPr>
        <w:t>On présume que chaque caractéristique d</w:t>
      </w:r>
      <w:r>
        <w:rPr>
          <w:lang w:val="fr-CA"/>
        </w:rPr>
        <w:t>’</w:t>
      </w:r>
      <w:r w:rsidRPr="00375EDE">
        <w:rPr>
          <w:lang w:val="fr-CA"/>
        </w:rPr>
        <w:t>un texte de loi a été délibérément choisie et a un rôle précis à jouer dans le cadre législatif. Le législateur n</w:t>
      </w:r>
      <w:r>
        <w:rPr>
          <w:lang w:val="fr-CA"/>
        </w:rPr>
        <w:t>’</w:t>
      </w:r>
      <w:r w:rsidRPr="00375EDE">
        <w:rPr>
          <w:lang w:val="fr-CA"/>
        </w:rPr>
        <w:t>emploie pas de termes inutiles ou dénués de sens dans ses lois; [. . .] il ne dit pas la même chose deux fois.</w:t>
      </w:r>
    </w:p>
    <w:p w:rsidR="00DF13E5" w:rsidRPr="00F502FF" w:rsidRDefault="00DF13E5" w:rsidP="00DF13E5">
      <w:pPr>
        <w:pStyle w:val="Citation-AltC"/>
        <w:ind w:hanging="1166"/>
        <w:contextualSpacing w:val="0"/>
        <w:rPr>
          <w:lang w:val="fr-CA"/>
        </w:rPr>
      </w:pPr>
      <w:r w:rsidRPr="00F502FF">
        <w:rPr>
          <w:lang w:val="fr-CA"/>
        </w:rPr>
        <w:t>(R. </w:t>
      </w:r>
      <w:r w:rsidRPr="00375EDE">
        <w:rPr>
          <w:lang w:val="fr-CA"/>
        </w:rPr>
        <w:t>Sullivan</w:t>
      </w:r>
      <w:r w:rsidRPr="00F502FF">
        <w:rPr>
          <w:lang w:val="fr-CA"/>
        </w:rPr>
        <w:t xml:space="preserve">, </w:t>
      </w:r>
      <w:r w:rsidRPr="00F502FF">
        <w:rPr>
          <w:i/>
          <w:lang w:val="fr-CA"/>
        </w:rPr>
        <w:t>Statutory Interpretation</w:t>
      </w:r>
      <w:r w:rsidRPr="00F502FF">
        <w:rPr>
          <w:lang w:val="fr-CA"/>
        </w:rPr>
        <w:t xml:space="preserve"> (3</w:t>
      </w:r>
      <w:r w:rsidRPr="00F502FF">
        <w:rPr>
          <w:vertAlign w:val="superscript"/>
          <w:lang w:val="fr-CA"/>
        </w:rPr>
        <w:t>e</w:t>
      </w:r>
      <w:r w:rsidR="00F502FF" w:rsidRPr="00F502FF">
        <w:rPr>
          <w:lang w:val="fr-CA"/>
        </w:rPr>
        <w:t xml:space="preserve"> éd.</w:t>
      </w:r>
      <w:r w:rsidRPr="00F502FF">
        <w:rPr>
          <w:lang w:val="fr-CA"/>
        </w:rPr>
        <w:t xml:space="preserve"> 2016), p. 43)</w:t>
      </w:r>
    </w:p>
    <w:p w:rsidR="00DF13E5" w:rsidRPr="00375EDE" w:rsidRDefault="00DF13E5" w:rsidP="00DF13E5">
      <w:pPr>
        <w:pStyle w:val="ParaNoNdepar-AltN"/>
        <w:rPr>
          <w:rFonts w:cs="Times New Roman"/>
          <w:lang w:val="fr-CA"/>
        </w:rPr>
      </w:pPr>
      <w:r w:rsidRPr="00375EDE">
        <w:rPr>
          <w:rFonts w:cs="Times New Roman"/>
          <w:lang w:val="fr-CA"/>
        </w:rPr>
        <w:t>Il est impossible d</w:t>
      </w:r>
      <w:r>
        <w:rPr>
          <w:rFonts w:cs="Times New Roman"/>
          <w:lang w:val="fr-CA"/>
        </w:rPr>
        <w:t>’</w:t>
      </w:r>
      <w:r w:rsidRPr="00375EDE">
        <w:rPr>
          <w:rFonts w:cs="Times New Roman"/>
          <w:lang w:val="fr-CA"/>
        </w:rPr>
        <w:t>éviter cette absurdité évidente en affirmant que le par. 14.06(4) visait à préciser au syndic qu</w:t>
      </w:r>
      <w:r>
        <w:rPr>
          <w:rFonts w:cs="Times New Roman"/>
          <w:lang w:val="fr-CA"/>
        </w:rPr>
        <w:t>’</w:t>
      </w:r>
      <w:r w:rsidRPr="00375EDE">
        <w:rPr>
          <w:rFonts w:cs="Times New Roman"/>
          <w:lang w:val="fr-CA"/>
        </w:rPr>
        <w:t>il devait dépenser toute la valeur de l</w:t>
      </w:r>
      <w:r>
        <w:rPr>
          <w:rFonts w:cs="Times New Roman"/>
          <w:lang w:val="fr-CA"/>
        </w:rPr>
        <w:t>’</w:t>
      </w:r>
      <w:r w:rsidRPr="00375EDE">
        <w:rPr>
          <w:rFonts w:cs="Times New Roman"/>
          <w:lang w:val="fr-CA"/>
        </w:rPr>
        <w:t>actif d</w:t>
      </w:r>
      <w:r>
        <w:rPr>
          <w:rFonts w:cs="Times New Roman"/>
          <w:lang w:val="fr-CA"/>
        </w:rPr>
        <w:t>’</w:t>
      </w:r>
      <w:r w:rsidRPr="00375EDE">
        <w:rPr>
          <w:rFonts w:cs="Times New Roman"/>
          <w:lang w:val="fr-CA"/>
        </w:rPr>
        <w:t>un failli pour se conformer à des ordonnances environnementales en dépit de renonciations valides. Si le Parlement avait vraiment eu l</w:t>
      </w:r>
      <w:r>
        <w:rPr>
          <w:rFonts w:cs="Times New Roman"/>
          <w:lang w:val="fr-CA"/>
        </w:rPr>
        <w:t>’</w:t>
      </w:r>
      <w:r w:rsidRPr="00375EDE">
        <w:rPr>
          <w:rFonts w:cs="Times New Roman"/>
          <w:lang w:val="fr-CA"/>
        </w:rPr>
        <w:t>intention de miner ainsi le pouvoir de renonciation, il est difficile d</w:t>
      </w:r>
      <w:r>
        <w:rPr>
          <w:rFonts w:cs="Times New Roman"/>
          <w:lang w:val="fr-CA"/>
        </w:rPr>
        <w:t>’</w:t>
      </w:r>
      <w:r w:rsidRPr="00375EDE">
        <w:rPr>
          <w:rFonts w:cs="Times New Roman"/>
          <w:lang w:val="fr-CA"/>
        </w:rPr>
        <w:t>imaginer un moyen plus alambiqué, tortueux et vague d</w:t>
      </w:r>
      <w:r>
        <w:rPr>
          <w:rFonts w:cs="Times New Roman"/>
          <w:lang w:val="fr-CA"/>
        </w:rPr>
        <w:t>’</w:t>
      </w:r>
      <w:r w:rsidRPr="00375EDE">
        <w:rPr>
          <w:rFonts w:cs="Times New Roman"/>
          <w:lang w:val="fr-CA"/>
        </w:rPr>
        <w:t>atteindre ce résultat que le par. 14.06(4). Si le Parlement avait simplement voulu préciser au syndic que la renonciation ne leur permettrait pas d</w:t>
      </w:r>
      <w:r>
        <w:rPr>
          <w:rFonts w:cs="Times New Roman"/>
          <w:lang w:val="fr-CA"/>
        </w:rPr>
        <w:t>’</w:t>
      </w:r>
      <w:r w:rsidRPr="00375EDE">
        <w:rPr>
          <w:rFonts w:cs="Times New Roman"/>
          <w:lang w:val="fr-CA"/>
        </w:rPr>
        <w:t>être dégagés de l</w:t>
      </w:r>
      <w:r>
        <w:rPr>
          <w:rFonts w:cs="Times New Roman"/>
          <w:lang w:val="fr-CA"/>
        </w:rPr>
        <w:t>’</w:t>
      </w:r>
      <w:r w:rsidRPr="00375EDE">
        <w:rPr>
          <w:rFonts w:cs="Times New Roman"/>
          <w:lang w:val="fr-CA"/>
        </w:rPr>
        <w:t>obligation de respecter les engagements environnementaux, il lui aurait été facile de le faire directement, plutôt que d</w:t>
      </w:r>
      <w:r>
        <w:rPr>
          <w:rFonts w:cs="Times New Roman"/>
          <w:lang w:val="fr-CA"/>
        </w:rPr>
        <w:t>’</w:t>
      </w:r>
      <w:r w:rsidRPr="00375EDE">
        <w:rPr>
          <w:rFonts w:cs="Times New Roman"/>
          <w:lang w:val="fr-CA"/>
        </w:rPr>
        <w:t>adopter une disposition décrivant une immunité de responsabilité personnelle dont le syndic n</w:t>
      </w:r>
      <w:r>
        <w:rPr>
          <w:rFonts w:cs="Times New Roman"/>
          <w:lang w:val="fr-CA"/>
        </w:rPr>
        <w:t>’</w:t>
      </w:r>
      <w:r w:rsidRPr="00375EDE">
        <w:rPr>
          <w:rFonts w:cs="Times New Roman"/>
          <w:lang w:val="fr-CA"/>
        </w:rPr>
        <w:t xml:space="preserve">a pas besoin. </w:t>
      </w:r>
    </w:p>
    <w:p w:rsidR="00DF13E5" w:rsidRPr="00CB01F5" w:rsidRDefault="00DF13E5" w:rsidP="00DF13E5">
      <w:pPr>
        <w:pStyle w:val="ParaNoNdepar-AltN"/>
        <w:rPr>
          <w:rFonts w:cs="Times New Roman"/>
          <w:lang w:val="fr-CA"/>
        </w:rPr>
      </w:pPr>
      <w:r w:rsidRPr="00375EDE">
        <w:rPr>
          <w:rFonts w:cs="Times New Roman"/>
          <w:lang w:val="fr-CA"/>
        </w:rPr>
        <w:t>Lu dans son ensemble, l</w:t>
      </w:r>
      <w:r>
        <w:rPr>
          <w:rFonts w:cs="Times New Roman"/>
          <w:lang w:val="fr-CA"/>
        </w:rPr>
        <w:t>’</w:t>
      </w:r>
      <w:r w:rsidRPr="00375EDE">
        <w:rPr>
          <w:rFonts w:cs="Times New Roman"/>
          <w:lang w:val="fr-CA"/>
        </w:rPr>
        <w:t>art. 14.06 indique que le par. (4) ne se borne pas à dégager les syndics de toute responsabilité personnelle. Mon collègue a même refusé d</w:t>
      </w:r>
      <w:r>
        <w:rPr>
          <w:rFonts w:cs="Times New Roman"/>
          <w:lang w:val="fr-CA"/>
        </w:rPr>
        <w:t>’</w:t>
      </w:r>
      <w:r w:rsidRPr="00375EDE">
        <w:rPr>
          <w:rFonts w:cs="Times New Roman"/>
          <w:lang w:val="fr-CA"/>
        </w:rPr>
        <w:t>examiner les autres paragraphes de l</w:t>
      </w:r>
      <w:r>
        <w:rPr>
          <w:rFonts w:cs="Times New Roman"/>
          <w:lang w:val="fr-CA"/>
        </w:rPr>
        <w:t>’</w:t>
      </w:r>
      <w:r w:rsidRPr="00375EDE">
        <w:rPr>
          <w:rFonts w:cs="Times New Roman"/>
          <w:lang w:val="fr-CA"/>
        </w:rPr>
        <w:t>art. 14.06 dont j</w:t>
      </w:r>
      <w:r>
        <w:rPr>
          <w:rFonts w:cs="Times New Roman"/>
          <w:lang w:val="fr-CA"/>
        </w:rPr>
        <w:t>’</w:t>
      </w:r>
      <w:r w:rsidRPr="00375EDE">
        <w:rPr>
          <w:rFonts w:cs="Times New Roman"/>
          <w:lang w:val="fr-CA"/>
        </w:rPr>
        <w:t>ai parlé, sauf le par. (2). Peu importe, dit</w:t>
      </w:r>
      <w:r w:rsidRPr="00375EDE">
        <w:rPr>
          <w:rFonts w:cs="Times New Roman"/>
          <w:lang w:val="fr-CA"/>
        </w:rPr>
        <w:noBreakHyphen/>
        <w:t>il, on ne peut « </w:t>
      </w:r>
      <w:r w:rsidRPr="00375EDE">
        <w:rPr>
          <w:rFonts w:cs="Times New Roman"/>
          <w:szCs w:val="24"/>
          <w:lang w:val="fr-CA"/>
        </w:rPr>
        <w:t>déforme[r] le sens clair d</w:t>
      </w:r>
      <w:r>
        <w:rPr>
          <w:rFonts w:cs="Times New Roman"/>
          <w:szCs w:val="24"/>
          <w:lang w:val="fr-CA"/>
        </w:rPr>
        <w:t>’</w:t>
      </w:r>
      <w:r w:rsidRPr="00375EDE">
        <w:rPr>
          <w:rFonts w:cs="Times New Roman"/>
          <w:szCs w:val="24"/>
          <w:lang w:val="fr-CA"/>
        </w:rPr>
        <w:t xml:space="preserve">une disposition pour en rendre le régime plus cohérent » (par. 101). Cette approche mènerait à la conclusion selon laquelle </w:t>
      </w:r>
      <w:r w:rsidRPr="00375EDE">
        <w:rPr>
          <w:rFonts w:cs="Times New Roman"/>
          <w:lang w:val="fr-CA"/>
        </w:rPr>
        <w:t>le Parlement voulait simplement concevoir un cadre incohérent en grande partie. Je suis en désaccord avec cette conclusion. Tel que l</w:t>
      </w:r>
      <w:r>
        <w:rPr>
          <w:rFonts w:cs="Times New Roman"/>
          <w:lang w:val="fr-CA"/>
        </w:rPr>
        <w:t>’</w:t>
      </w:r>
      <w:r w:rsidRPr="00375EDE">
        <w:rPr>
          <w:rFonts w:cs="Times New Roman"/>
          <w:lang w:val="fr-CA"/>
        </w:rPr>
        <w:t xml:space="preserve">a mentionné le juge </w:t>
      </w:r>
      <w:r w:rsidRPr="00375EDE">
        <w:rPr>
          <w:rFonts w:cs="Times New Roman"/>
          <w:lang w:val="fr-CA"/>
        </w:rPr>
        <w:lastRenderedPageBreak/>
        <w:t xml:space="preserve">Dickson (plus tard juge en chef) dans </w:t>
      </w:r>
      <w:r w:rsidRPr="00375EDE">
        <w:rPr>
          <w:rFonts w:cs="Times New Roman"/>
          <w:bCs/>
          <w:i/>
          <w:lang w:val="fr-CA" w:bidi="en-US"/>
        </w:rPr>
        <w:t>Morgentaler c. La Reine</w:t>
      </w:r>
      <w:r w:rsidRPr="00375EDE">
        <w:rPr>
          <w:rFonts w:cs="Times New Roman"/>
          <w:bCs/>
          <w:lang w:val="fr-CA" w:bidi="en-US"/>
        </w:rPr>
        <w:t>, [1976] 1 R.C.S. 616, p. 676 :</w:t>
      </w:r>
      <w:r w:rsidRPr="00375EDE">
        <w:rPr>
          <w:rFonts w:cs="Times New Roman"/>
          <w:lang w:val="fr-CA"/>
        </w:rPr>
        <w:t xml:space="preserve"> « Nous devons avoir envers le Parlement la courtoisie de ne pas présumer aisément qu</w:t>
      </w:r>
      <w:r>
        <w:rPr>
          <w:rFonts w:cs="Times New Roman"/>
          <w:lang w:val="fr-CA"/>
        </w:rPr>
        <w:t>’</w:t>
      </w:r>
      <w:r w:rsidRPr="00375EDE">
        <w:rPr>
          <w:rFonts w:cs="Times New Roman"/>
          <w:lang w:val="fr-CA"/>
        </w:rPr>
        <w:t>il a édicté des incohérences ou des absurdités</w:t>
      </w:r>
      <w:r w:rsidR="00CB01F5">
        <w:rPr>
          <w:rFonts w:cs="Times New Roman"/>
          <w:lang w:val="fr-CA"/>
        </w:rPr>
        <w:t xml:space="preserve"> </w:t>
      </w:r>
      <w:r w:rsidRPr="00375EDE">
        <w:rPr>
          <w:rFonts w:cs="Times New Roman"/>
          <w:lang w:val="fr-CA"/>
        </w:rPr>
        <w:t>»</w:t>
      </w:r>
      <w:r w:rsidR="00CB3646">
        <w:rPr>
          <w:rFonts w:cs="Times New Roman"/>
          <w:lang w:val="fr-CA"/>
        </w:rPr>
        <w:t>.</w:t>
      </w:r>
      <w:r w:rsidRPr="00375EDE">
        <w:rPr>
          <w:rFonts w:cs="Times New Roman"/>
          <w:lang w:val="fr-CA" w:bidi="en-US"/>
        </w:rPr>
        <w:t xml:space="preserve"> La conclusion que le Parlement a conçu l</w:t>
      </w:r>
      <w:r>
        <w:rPr>
          <w:rFonts w:cs="Times New Roman"/>
          <w:lang w:val="fr-CA" w:bidi="en-US"/>
        </w:rPr>
        <w:t>’</w:t>
      </w:r>
      <w:r w:rsidRPr="00375EDE">
        <w:rPr>
          <w:rFonts w:cs="Times New Roman"/>
          <w:lang w:val="fr-CA" w:bidi="en-US"/>
        </w:rPr>
        <w:t>art. </w:t>
      </w:r>
      <w:r w:rsidRPr="00375EDE">
        <w:rPr>
          <w:rFonts w:cs="Times New Roman"/>
          <w:lang w:val="fr-CA"/>
        </w:rPr>
        <w:t>14.06 comme un tout incohérent est incompatible avec la tâche confiée aux tribunaux dans l</w:t>
      </w:r>
      <w:r>
        <w:rPr>
          <w:rFonts w:cs="Times New Roman"/>
          <w:lang w:val="fr-CA"/>
        </w:rPr>
        <w:t>’</w:t>
      </w:r>
      <w:r w:rsidRPr="00375EDE">
        <w:rPr>
          <w:rFonts w:cs="Times New Roman"/>
          <w:lang w:val="fr-CA"/>
        </w:rPr>
        <w:t>interprétation législative, laquelle consiste à lire les termes d</w:t>
      </w:r>
      <w:r>
        <w:rPr>
          <w:rFonts w:cs="Times New Roman"/>
          <w:lang w:val="fr-CA"/>
        </w:rPr>
        <w:t>’</w:t>
      </w:r>
      <w:r w:rsidRPr="00375EDE">
        <w:rPr>
          <w:rFonts w:cs="Times New Roman"/>
          <w:lang w:val="fr-CA"/>
        </w:rPr>
        <w:t>une loi dans leur contexte global en harmonie avec l</w:t>
      </w:r>
      <w:r>
        <w:rPr>
          <w:rFonts w:cs="Times New Roman"/>
          <w:lang w:val="fr-CA"/>
        </w:rPr>
        <w:t>’</w:t>
      </w:r>
      <w:r w:rsidRPr="00375EDE">
        <w:rPr>
          <w:rFonts w:cs="Times New Roman"/>
          <w:lang w:val="fr-CA"/>
        </w:rPr>
        <w:t>économie de la loi. Comme l</w:t>
      </w:r>
      <w:r>
        <w:rPr>
          <w:rFonts w:cs="Times New Roman"/>
          <w:lang w:val="fr-CA"/>
        </w:rPr>
        <w:t>’</w:t>
      </w:r>
      <w:r w:rsidRPr="00375EDE">
        <w:rPr>
          <w:rFonts w:cs="Times New Roman"/>
          <w:lang w:val="fr-CA"/>
        </w:rPr>
        <w:t xml:space="preserve">a fait remarquer </w:t>
      </w:r>
      <w:r w:rsidRPr="00CB01F5">
        <w:rPr>
          <w:rFonts w:cs="Times New Roman"/>
          <w:lang w:val="fr-CA"/>
        </w:rPr>
        <w:t>Ruth Sullivan :</w:t>
      </w:r>
    </w:p>
    <w:p w:rsidR="00DF13E5" w:rsidRPr="00375EDE" w:rsidRDefault="00DF13E5" w:rsidP="00CB01F5">
      <w:pPr>
        <w:pStyle w:val="Citation-AltC"/>
        <w:keepNext/>
        <w:spacing w:after="240"/>
        <w:ind w:hanging="1166"/>
        <w:contextualSpacing w:val="0"/>
        <w:rPr>
          <w:lang w:val="fr-CA"/>
        </w:rPr>
      </w:pPr>
      <w:r w:rsidRPr="00CB01F5">
        <w:rPr>
          <w:lang w:val="fr-CA"/>
        </w:rPr>
        <w:tab/>
      </w:r>
      <w:r w:rsidR="00CB01F5" w:rsidRPr="00CB01F5">
        <w:rPr>
          <w:lang w:val="fr-CA"/>
        </w:rPr>
        <w:tab/>
      </w:r>
      <w:r w:rsidRPr="00CB01F5">
        <w:rPr>
          <w:lang w:val="fr-CA"/>
        </w:rPr>
        <w:t>[</w:t>
      </w:r>
      <w:r w:rsidRPr="00CB01F5">
        <w:rPr>
          <w:smallCaps/>
          <w:lang w:val="fr-CA"/>
        </w:rPr>
        <w:t>traduction</w:t>
      </w:r>
      <w:r w:rsidRPr="00CB01F5">
        <w:rPr>
          <w:lang w:val="fr-CA"/>
        </w:rPr>
        <w:t>]</w:t>
      </w:r>
      <w:r w:rsidR="00CB01F5" w:rsidRPr="00CB01F5">
        <w:rPr>
          <w:lang w:val="fr-CA"/>
        </w:rPr>
        <w:t xml:space="preserve"> </w:t>
      </w:r>
      <w:r w:rsidRPr="00375EDE">
        <w:rPr>
          <w:lang w:val="fr-CA"/>
        </w:rPr>
        <w:t>Les dispositions d</w:t>
      </w:r>
      <w:r>
        <w:rPr>
          <w:lang w:val="fr-CA"/>
        </w:rPr>
        <w:t>’</w:t>
      </w:r>
      <w:r w:rsidRPr="00375EDE">
        <w:rPr>
          <w:lang w:val="fr-CA"/>
        </w:rPr>
        <w:t>une loi sont présumées fonctionner ensemble, tant logiquement que téléologiquement, comme les diverses parties d</w:t>
      </w:r>
      <w:r>
        <w:rPr>
          <w:lang w:val="fr-CA"/>
        </w:rPr>
        <w:t>’</w:t>
      </w:r>
      <w:r w:rsidRPr="00375EDE">
        <w:rPr>
          <w:lang w:val="fr-CA"/>
        </w:rPr>
        <w:t>un tout. Les parties sont présumées s</w:t>
      </w:r>
      <w:r>
        <w:rPr>
          <w:lang w:val="fr-CA"/>
        </w:rPr>
        <w:t>’</w:t>
      </w:r>
      <w:r w:rsidRPr="00375EDE">
        <w:rPr>
          <w:lang w:val="fr-CA"/>
        </w:rPr>
        <w:t>assembler logiquement pour former un cadre rationnel, intrinsèquement cohérent; et parce que ce cadre a un objet, ses éléments sont aussi présumés s</w:t>
      </w:r>
      <w:r>
        <w:rPr>
          <w:lang w:val="fr-CA"/>
        </w:rPr>
        <w:t>’</w:t>
      </w:r>
      <w:r w:rsidRPr="00375EDE">
        <w:rPr>
          <w:lang w:val="fr-CA"/>
        </w:rPr>
        <w:t>appliquer ensemble de façon dynamique, chacun contribuant à la réalisation de l</w:t>
      </w:r>
      <w:r>
        <w:rPr>
          <w:lang w:val="fr-CA"/>
        </w:rPr>
        <w:t>’</w:t>
      </w:r>
      <w:r w:rsidRPr="00375EDE">
        <w:rPr>
          <w:lang w:val="fr-CA"/>
        </w:rPr>
        <w:t xml:space="preserve">objectif visé. </w:t>
      </w:r>
    </w:p>
    <w:p w:rsidR="00DF13E5" w:rsidRPr="00375EDE" w:rsidRDefault="00DF13E5" w:rsidP="00DF13E5">
      <w:pPr>
        <w:pStyle w:val="Citation-AltC"/>
        <w:spacing w:after="240"/>
        <w:ind w:hanging="1166"/>
        <w:contextualSpacing w:val="0"/>
        <w:rPr>
          <w:lang w:val="fr-CA"/>
        </w:rPr>
      </w:pPr>
      <w:r w:rsidRPr="00375EDE">
        <w:rPr>
          <w:lang w:val="fr-CA"/>
        </w:rPr>
        <w:tab/>
      </w:r>
      <w:r w:rsidRPr="00375EDE">
        <w:rPr>
          <w:lang w:val="fr-CA"/>
        </w:rPr>
        <w:tab/>
        <w:t>La présomption de cohérence se traduit également par une présomption d</w:t>
      </w:r>
      <w:r>
        <w:rPr>
          <w:lang w:val="fr-CA"/>
        </w:rPr>
        <w:t>’</w:t>
      </w:r>
      <w:r w:rsidRPr="00375EDE">
        <w:rPr>
          <w:lang w:val="fr-CA"/>
        </w:rPr>
        <w:t>absence d</w:t>
      </w:r>
      <w:r>
        <w:rPr>
          <w:lang w:val="fr-CA"/>
        </w:rPr>
        <w:t>’</w:t>
      </w:r>
      <w:r w:rsidRPr="00375EDE">
        <w:rPr>
          <w:lang w:val="fr-CA"/>
        </w:rPr>
        <w:t>incompatibilité intrinsèque. Il est présumé que l</w:t>
      </w:r>
      <w:r>
        <w:rPr>
          <w:lang w:val="fr-CA"/>
        </w:rPr>
        <w:t>’</w:t>
      </w:r>
      <w:r w:rsidRPr="00375EDE">
        <w:rPr>
          <w:lang w:val="fr-CA"/>
        </w:rPr>
        <w:t>ensemble des textes législatifs édictés par une législature ne comporte pas de contradictions ou d</w:t>
      </w:r>
      <w:r>
        <w:rPr>
          <w:lang w:val="fr-CA"/>
        </w:rPr>
        <w:t>’</w:t>
      </w:r>
      <w:r w:rsidRPr="00375EDE">
        <w:rPr>
          <w:lang w:val="fr-CA"/>
        </w:rPr>
        <w:t>incohérences et que chaque disposition peut être appliquée sans entrer en conflit avec une autre.</w:t>
      </w:r>
      <w:r w:rsidR="00CB3646">
        <w:rPr>
          <w:lang w:val="fr-CA"/>
        </w:rPr>
        <w:t xml:space="preserve">  [Note en bas de page omise.]</w:t>
      </w:r>
    </w:p>
    <w:p w:rsidR="00DF13E5" w:rsidRPr="00375EDE" w:rsidRDefault="00DF13E5" w:rsidP="00063424">
      <w:pPr>
        <w:pStyle w:val="Citation-AltC"/>
        <w:ind w:left="0"/>
        <w:contextualSpacing w:val="0"/>
        <w:rPr>
          <w:lang w:val="fr-CA"/>
        </w:rPr>
      </w:pPr>
      <w:r w:rsidRPr="00375EDE">
        <w:rPr>
          <w:lang w:val="fr-CA"/>
        </w:rPr>
        <w:t>(</w:t>
      </w:r>
      <w:r w:rsidRPr="00375EDE">
        <w:rPr>
          <w:i/>
          <w:lang w:val="fr-CA"/>
        </w:rPr>
        <w:t xml:space="preserve">Sullivan on the Construction of Statutes </w:t>
      </w:r>
      <w:r w:rsidRPr="00375EDE">
        <w:rPr>
          <w:lang w:val="fr-CA"/>
        </w:rPr>
        <w:t>(6</w:t>
      </w:r>
      <w:r w:rsidRPr="00B36E87">
        <w:rPr>
          <w:vertAlign w:val="superscript"/>
          <w:lang w:val="fr-CA"/>
        </w:rPr>
        <w:t>e</w:t>
      </w:r>
      <w:r>
        <w:rPr>
          <w:lang w:val="fr-CA"/>
        </w:rPr>
        <w:t xml:space="preserve"> </w:t>
      </w:r>
      <w:r w:rsidR="00F502FF">
        <w:rPr>
          <w:lang w:val="fr-CA"/>
        </w:rPr>
        <w:t>éd.</w:t>
      </w:r>
      <w:r w:rsidRPr="00375EDE">
        <w:rPr>
          <w:lang w:val="fr-CA"/>
        </w:rPr>
        <w:t xml:space="preserve"> 2014), p. 337; voir aussi </w:t>
      </w:r>
      <w:r w:rsidRPr="00375EDE">
        <w:rPr>
          <w:i/>
          <w:lang w:val="fr-CA" w:bidi="en-US"/>
        </w:rPr>
        <w:t>R. c</w:t>
      </w:r>
      <w:r w:rsidRPr="00375EDE">
        <w:rPr>
          <w:i/>
          <w:iCs/>
          <w:lang w:val="fr-CA" w:bidi="en-US"/>
        </w:rPr>
        <w:t>.</w:t>
      </w:r>
      <w:r w:rsidRPr="00375EDE">
        <w:rPr>
          <w:i/>
          <w:lang w:val="fr-CA" w:bidi="en-US"/>
        </w:rPr>
        <w:t xml:space="preserve"> L.T.H.</w:t>
      </w:r>
      <w:r w:rsidRPr="00375EDE">
        <w:rPr>
          <w:lang w:val="fr-CA" w:bidi="en-US"/>
        </w:rPr>
        <w:t>, 2008 CSC 49, [2008] 2 R.C.S. 739, par. 47.)</w:t>
      </w:r>
      <w:r w:rsidRPr="00375EDE">
        <w:rPr>
          <w:lang w:val="fr-CA"/>
        </w:rPr>
        <w:t xml:space="preserve">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Quand il est possible d</w:t>
      </w:r>
      <w:r>
        <w:rPr>
          <w:rFonts w:cs="Times New Roman"/>
          <w:lang w:val="fr-CA"/>
        </w:rPr>
        <w:t>’</w:t>
      </w:r>
      <w:r w:rsidRPr="00375EDE">
        <w:rPr>
          <w:rFonts w:cs="Times New Roman"/>
          <w:lang w:val="fr-CA"/>
        </w:rPr>
        <w:t>interpréter les dispositions d</w:t>
      </w:r>
      <w:r>
        <w:rPr>
          <w:rFonts w:cs="Times New Roman"/>
          <w:lang w:val="fr-CA"/>
        </w:rPr>
        <w:t>’</w:t>
      </w:r>
      <w:r w:rsidRPr="00375EDE">
        <w:rPr>
          <w:rFonts w:cs="Times New Roman"/>
          <w:lang w:val="fr-CA"/>
        </w:rPr>
        <w:t>une loi — surtout les divers paragraphes d</w:t>
      </w:r>
      <w:r>
        <w:rPr>
          <w:rFonts w:cs="Times New Roman"/>
          <w:lang w:val="fr-CA"/>
        </w:rPr>
        <w:t>’</w:t>
      </w:r>
      <w:r w:rsidRPr="00375EDE">
        <w:rPr>
          <w:rFonts w:cs="Times New Roman"/>
          <w:lang w:val="fr-CA"/>
        </w:rPr>
        <w:t>un même article — de façon cohérente, il faut privilégier cette interprétation à une interprétation qui donne lieu à une incohérence intrinsèque. À mon avis, et comme je l</w:t>
      </w:r>
      <w:r>
        <w:rPr>
          <w:rFonts w:cs="Times New Roman"/>
          <w:lang w:val="fr-CA"/>
        </w:rPr>
        <w:t>’</w:t>
      </w:r>
      <w:r w:rsidRPr="00375EDE">
        <w:rPr>
          <w:rFonts w:cs="Times New Roman"/>
          <w:lang w:val="fr-CA"/>
        </w:rPr>
        <w:t>ai déjà dit, il est possible de lire le par. 14.06(4) de façon cohérente avec le reste de l</w:t>
      </w:r>
      <w:r>
        <w:rPr>
          <w:rFonts w:cs="Times New Roman"/>
          <w:lang w:val="fr-CA"/>
        </w:rPr>
        <w:t>’</w:t>
      </w:r>
      <w:r w:rsidRPr="00375EDE">
        <w:rPr>
          <w:rFonts w:cs="Times New Roman"/>
          <w:lang w:val="fr-CA"/>
        </w:rPr>
        <w:t>article. Voilà l</w:t>
      </w:r>
      <w:r>
        <w:rPr>
          <w:rFonts w:cs="Times New Roman"/>
          <w:lang w:val="fr-CA"/>
        </w:rPr>
        <w:t>’</w:t>
      </w:r>
      <w:r w:rsidRPr="00375EDE">
        <w:rPr>
          <w:rFonts w:cs="Times New Roman"/>
          <w:lang w:val="fr-CA"/>
        </w:rPr>
        <w:t>interprétation que le Parlement est présumé avoir donnée à ce paragraphe. En l</w:t>
      </w:r>
      <w:r>
        <w:rPr>
          <w:rFonts w:cs="Times New Roman"/>
          <w:lang w:val="fr-CA"/>
        </w:rPr>
        <w:t>’</w:t>
      </w:r>
      <w:r w:rsidRPr="00375EDE">
        <w:rPr>
          <w:rFonts w:cs="Times New Roman"/>
          <w:lang w:val="fr-CA"/>
        </w:rPr>
        <w:t>espèce, je ne vois aucune raison impérieuse de s</w:t>
      </w:r>
      <w:r>
        <w:rPr>
          <w:rFonts w:cs="Times New Roman"/>
          <w:lang w:val="fr-CA"/>
        </w:rPr>
        <w:t>’</w:t>
      </w:r>
      <w:r w:rsidRPr="00375EDE">
        <w:rPr>
          <w:rFonts w:cs="Times New Roman"/>
          <w:lang w:val="fr-CA"/>
        </w:rPr>
        <w:t xml:space="preserve">écarter de cette présomption. </w:t>
      </w:r>
    </w:p>
    <w:p w:rsidR="00DF13E5" w:rsidRPr="00375EDE" w:rsidRDefault="00DF13E5" w:rsidP="00DF13E5">
      <w:pPr>
        <w:pStyle w:val="ParaNoNdepar-AltN"/>
        <w:rPr>
          <w:rFonts w:cs="Times New Roman"/>
          <w:lang w:val="fr-CA" w:bidi="en-US"/>
        </w:rPr>
      </w:pPr>
      <w:r w:rsidRPr="00375EDE">
        <w:rPr>
          <w:rFonts w:cs="Times New Roman"/>
          <w:lang w:val="fr-CA"/>
        </w:rPr>
        <w:lastRenderedPageBreak/>
        <w:t>L</w:t>
      </w:r>
      <w:r>
        <w:rPr>
          <w:rFonts w:cs="Times New Roman"/>
          <w:lang w:val="fr-CA"/>
        </w:rPr>
        <w:t>’</w:t>
      </w:r>
      <w:r w:rsidRPr="00375EDE">
        <w:rPr>
          <w:rFonts w:cs="Times New Roman"/>
          <w:lang w:val="fr-CA"/>
        </w:rPr>
        <w:t>analyse de mon collègue rappelle la méthode purement textuelle ou littérale d</w:t>
      </w:r>
      <w:r>
        <w:rPr>
          <w:rFonts w:cs="Times New Roman"/>
          <w:lang w:val="fr-CA"/>
        </w:rPr>
        <w:t>’</w:t>
      </w:r>
      <w:r w:rsidRPr="00375EDE">
        <w:rPr>
          <w:rFonts w:cs="Times New Roman"/>
          <w:lang w:val="fr-CA"/>
        </w:rPr>
        <w:t xml:space="preserve">interprétation des lois — la « règle du sens ordinaire » — que notre Cour a rejetée sans équivoque dans </w:t>
      </w:r>
      <w:r w:rsidRPr="00375EDE">
        <w:rPr>
          <w:rFonts w:cs="Times New Roman"/>
          <w:i/>
          <w:lang w:val="fr-CA" w:bidi="en-US"/>
        </w:rPr>
        <w:t>Rizzo</w:t>
      </w:r>
      <w:r w:rsidRPr="00375EDE">
        <w:rPr>
          <w:rFonts w:cs="Times New Roman"/>
          <w:lang w:val="fr-CA"/>
        </w:rPr>
        <w:t>. Cela ressort du fait qu</w:t>
      </w:r>
      <w:r>
        <w:rPr>
          <w:rFonts w:cs="Times New Roman"/>
          <w:lang w:val="fr-CA"/>
        </w:rPr>
        <w:t>’</w:t>
      </w:r>
      <w:r w:rsidRPr="00375EDE">
        <w:rPr>
          <w:rFonts w:cs="Times New Roman"/>
          <w:lang w:val="fr-CA"/>
        </w:rPr>
        <w:t>il se fonde strictement sur ce qu</w:t>
      </w:r>
      <w:r>
        <w:rPr>
          <w:rFonts w:cs="Times New Roman"/>
          <w:lang w:val="fr-CA"/>
        </w:rPr>
        <w:t>’</w:t>
      </w:r>
      <w:r w:rsidRPr="00375EDE">
        <w:rPr>
          <w:rFonts w:cs="Times New Roman"/>
          <w:lang w:val="fr-CA"/>
        </w:rPr>
        <w:t xml:space="preserve">il prétend être le texte « clai[r] et non ambig[u] » du par. 14.06(4), tout en ne tenant pas compte du contexte de la disposition. </w:t>
      </w:r>
      <w:r w:rsidRPr="00375EDE">
        <w:rPr>
          <w:rFonts w:cs="Times New Roman"/>
          <w:lang w:val="fr-CA" w:bidi="en-US"/>
        </w:rPr>
        <w:t>Avec égards, j</w:t>
      </w:r>
      <w:r>
        <w:rPr>
          <w:rFonts w:cs="Times New Roman"/>
          <w:lang w:val="fr-CA" w:bidi="en-US"/>
        </w:rPr>
        <w:t>’</w:t>
      </w:r>
      <w:r w:rsidRPr="00375EDE">
        <w:rPr>
          <w:rFonts w:cs="Times New Roman"/>
          <w:lang w:val="fr-CA" w:bidi="en-US"/>
        </w:rPr>
        <w:t>estime que la Cour devrait recourir à la méthode prédominante et bien établie d</w:t>
      </w:r>
      <w:r>
        <w:rPr>
          <w:rFonts w:cs="Times New Roman"/>
          <w:lang w:val="fr-CA" w:bidi="en-US"/>
        </w:rPr>
        <w:t>’</w:t>
      </w:r>
      <w:r w:rsidRPr="00375EDE">
        <w:rPr>
          <w:rFonts w:cs="Times New Roman"/>
          <w:lang w:val="fr-CA" w:bidi="en-US"/>
        </w:rPr>
        <w:t>interprétation des lois : il faut lire les termes d</w:t>
      </w:r>
      <w:r>
        <w:rPr>
          <w:rFonts w:cs="Times New Roman"/>
          <w:lang w:val="fr-CA" w:bidi="en-US"/>
        </w:rPr>
        <w:t>’</w:t>
      </w:r>
      <w:r w:rsidRPr="00375EDE">
        <w:rPr>
          <w:rFonts w:cs="Times New Roman"/>
          <w:lang w:val="fr-CA" w:bidi="en-US"/>
        </w:rPr>
        <w:t xml:space="preserve">une loi </w:t>
      </w:r>
      <w:r>
        <w:rPr>
          <w:rFonts w:cs="Times New Roman"/>
          <w:lang w:val="fr-CA" w:bidi="en-US"/>
        </w:rPr>
        <w:t>« </w:t>
      </w:r>
      <w:r w:rsidRPr="00375EDE">
        <w:rPr>
          <w:rFonts w:cs="Times New Roman"/>
          <w:lang w:val="fr-CA" w:bidi="en-US"/>
        </w:rPr>
        <w:t>dans leur contexte global en suivant le sens ordinaire et grammatical qui s</w:t>
      </w:r>
      <w:r>
        <w:rPr>
          <w:rFonts w:cs="Times New Roman"/>
          <w:lang w:val="fr-CA" w:bidi="en-US"/>
        </w:rPr>
        <w:t>’</w:t>
      </w:r>
      <w:r w:rsidRPr="00375EDE">
        <w:rPr>
          <w:rFonts w:cs="Times New Roman"/>
          <w:lang w:val="fr-CA" w:bidi="en-US"/>
        </w:rPr>
        <w:t>harmonise avec l</w:t>
      </w:r>
      <w:r>
        <w:rPr>
          <w:rFonts w:cs="Times New Roman"/>
          <w:lang w:val="fr-CA" w:bidi="en-US"/>
        </w:rPr>
        <w:t>’</w:t>
      </w:r>
      <w:r w:rsidRPr="00375EDE">
        <w:rPr>
          <w:rFonts w:cs="Times New Roman"/>
          <w:lang w:val="fr-CA" w:bidi="en-US"/>
        </w:rPr>
        <w:t>[économie] de la loi, l</w:t>
      </w:r>
      <w:r>
        <w:rPr>
          <w:rFonts w:cs="Times New Roman"/>
          <w:lang w:val="fr-CA" w:bidi="en-US"/>
        </w:rPr>
        <w:t>’</w:t>
      </w:r>
      <w:r w:rsidRPr="00375EDE">
        <w:rPr>
          <w:rFonts w:cs="Times New Roman"/>
          <w:lang w:val="fr-CA" w:bidi="en-US"/>
        </w:rPr>
        <w:t>objet de la loi et l</w:t>
      </w:r>
      <w:r>
        <w:rPr>
          <w:rFonts w:cs="Times New Roman"/>
          <w:lang w:val="fr-CA" w:bidi="en-US"/>
        </w:rPr>
        <w:t>’</w:t>
      </w:r>
      <w:r w:rsidRPr="00375EDE">
        <w:rPr>
          <w:rFonts w:cs="Times New Roman"/>
          <w:lang w:val="fr-CA" w:bidi="en-US"/>
        </w:rPr>
        <w:t>intention du législateur</w:t>
      </w:r>
      <w:r>
        <w:rPr>
          <w:rFonts w:cs="Times New Roman"/>
          <w:lang w:val="fr-CA" w:bidi="en-US"/>
        </w:rPr>
        <w:t> </w:t>
      </w:r>
      <w:r w:rsidRPr="00375EDE">
        <w:rPr>
          <w:rFonts w:cs="Times New Roman"/>
          <w:lang w:val="fr-CA" w:bidi="en-US"/>
        </w:rPr>
        <w:t>» (</w:t>
      </w:r>
      <w:r w:rsidRPr="00375EDE">
        <w:rPr>
          <w:rFonts w:cs="Times New Roman"/>
          <w:i/>
          <w:lang w:val="fr-CA" w:bidi="en-US"/>
        </w:rPr>
        <w:t>Rizzo</w:t>
      </w:r>
      <w:r w:rsidRPr="00375EDE">
        <w:rPr>
          <w:rFonts w:cs="Times New Roman"/>
          <w:lang w:val="fr-CA" w:bidi="en-US"/>
        </w:rPr>
        <w:t xml:space="preserve">, par. 21; </w:t>
      </w:r>
      <w:r w:rsidRPr="00375EDE">
        <w:rPr>
          <w:rFonts w:cs="Times New Roman"/>
          <w:i/>
          <w:lang w:val="fr-CA" w:bidi="en-US"/>
        </w:rPr>
        <w:t>Bell ExpressVu</w:t>
      </w:r>
      <w:r w:rsidRPr="00375EDE">
        <w:rPr>
          <w:rFonts w:cs="Times New Roman"/>
          <w:lang w:val="fr-CA" w:bidi="en-US"/>
        </w:rPr>
        <w:t xml:space="preserve">, par. 26, citant tous les deux Driedger, p. 87). </w:t>
      </w:r>
    </w:p>
    <w:p w:rsidR="00DF13E5" w:rsidRPr="00375EDE" w:rsidRDefault="00DF13E5" w:rsidP="00DF13E5">
      <w:pPr>
        <w:pStyle w:val="ParaNoNdepar-AltN"/>
        <w:rPr>
          <w:rFonts w:cs="Times New Roman"/>
          <w:lang w:val="fr-CA"/>
        </w:rPr>
      </w:pPr>
      <w:r w:rsidRPr="00375EDE">
        <w:rPr>
          <w:rFonts w:cs="Times New Roman"/>
          <w:lang w:val="fr-CA"/>
        </w:rPr>
        <w:t>Dans l</w:t>
      </w:r>
      <w:r>
        <w:rPr>
          <w:rFonts w:cs="Times New Roman"/>
          <w:lang w:val="fr-CA"/>
        </w:rPr>
        <w:t>’</w:t>
      </w:r>
      <w:r w:rsidRPr="00375EDE">
        <w:rPr>
          <w:rFonts w:cs="Times New Roman"/>
          <w:lang w:val="fr-CA"/>
        </w:rPr>
        <w:t xml:space="preserve">arrêt </w:t>
      </w:r>
      <w:r w:rsidRPr="00375EDE">
        <w:rPr>
          <w:rFonts w:cs="Times New Roman"/>
          <w:i/>
          <w:lang w:val="fr-CA"/>
        </w:rPr>
        <w:t>Rizzo</w:t>
      </w:r>
      <w:r w:rsidRPr="00375EDE">
        <w:rPr>
          <w:rFonts w:cs="Times New Roman"/>
          <w:lang w:val="fr-CA"/>
        </w:rPr>
        <w:t xml:space="preserve">, le juge Iaccobucci a </w:t>
      </w:r>
      <w:r w:rsidRPr="00375EDE">
        <w:rPr>
          <w:rFonts w:cs="Times New Roman"/>
          <w:lang w:val="fr-CA" w:bidi="en-US"/>
        </w:rPr>
        <w:t>expliqué que « l</w:t>
      </w:r>
      <w:r>
        <w:rPr>
          <w:rFonts w:cs="Times New Roman"/>
          <w:lang w:val="fr-CA" w:bidi="en-US"/>
        </w:rPr>
        <w:t>’</w:t>
      </w:r>
      <w:r w:rsidRPr="00375EDE">
        <w:rPr>
          <w:rFonts w:cs="Times New Roman"/>
          <w:lang w:val="fr-CA" w:bidi="en-US"/>
        </w:rPr>
        <w:t>interprétation législative ne peut pas être fondée sur le seul libellé du texte de loi » (par. 21). La Cour d</w:t>
      </w:r>
      <w:r>
        <w:rPr>
          <w:rFonts w:cs="Times New Roman"/>
          <w:lang w:val="fr-CA" w:bidi="en-US"/>
        </w:rPr>
        <w:t>’</w:t>
      </w:r>
      <w:r w:rsidRPr="00375EDE">
        <w:rPr>
          <w:rFonts w:cs="Times New Roman"/>
          <w:lang w:val="fr-CA" w:bidi="en-US"/>
        </w:rPr>
        <w:t>appel saisie de l</w:t>
      </w:r>
      <w:r>
        <w:rPr>
          <w:rFonts w:cs="Times New Roman"/>
          <w:lang w:val="fr-CA" w:bidi="en-US"/>
        </w:rPr>
        <w:t>’</w:t>
      </w:r>
      <w:r w:rsidRPr="00375EDE">
        <w:rPr>
          <w:rFonts w:cs="Times New Roman"/>
          <w:lang w:val="fr-CA" w:bidi="en-US"/>
        </w:rPr>
        <w:t xml:space="preserve">affaire </w:t>
      </w:r>
      <w:r w:rsidRPr="00375EDE">
        <w:rPr>
          <w:rFonts w:cs="Times New Roman"/>
          <w:i/>
          <w:lang w:val="fr-CA" w:bidi="en-US"/>
        </w:rPr>
        <w:t>Rizzo</w:t>
      </w:r>
      <w:r w:rsidRPr="00375EDE">
        <w:rPr>
          <w:rFonts w:cs="Times New Roman"/>
          <w:lang w:val="fr-CA" w:bidi="en-US"/>
        </w:rPr>
        <w:t>, qui avait retenu l</w:t>
      </w:r>
      <w:r>
        <w:rPr>
          <w:rFonts w:cs="Times New Roman"/>
          <w:lang w:val="fr-CA" w:bidi="en-US"/>
        </w:rPr>
        <w:t>’</w:t>
      </w:r>
      <w:r w:rsidRPr="00375EDE">
        <w:rPr>
          <w:rFonts w:cs="Times New Roman"/>
          <w:lang w:val="fr-CA" w:bidi="en-US"/>
        </w:rPr>
        <w:t>interprétation fondée sur le sens ordinaire, « n</w:t>
      </w:r>
      <w:r>
        <w:rPr>
          <w:rFonts w:cs="Times New Roman"/>
          <w:lang w:val="fr-CA" w:bidi="en-US"/>
        </w:rPr>
        <w:t>’</w:t>
      </w:r>
      <w:r w:rsidRPr="00375EDE">
        <w:rPr>
          <w:rFonts w:cs="Times New Roman"/>
          <w:lang w:val="fr-CA" w:bidi="en-US"/>
        </w:rPr>
        <w:t>a pas accordé suffisamment d</w:t>
      </w:r>
      <w:r>
        <w:rPr>
          <w:rFonts w:cs="Times New Roman"/>
          <w:lang w:val="fr-CA" w:bidi="en-US"/>
        </w:rPr>
        <w:t>’</w:t>
      </w:r>
      <w:r w:rsidRPr="00375EDE">
        <w:rPr>
          <w:rFonts w:cs="Times New Roman"/>
          <w:lang w:val="fr-CA" w:bidi="en-US"/>
        </w:rPr>
        <w:t>attention à l</w:t>
      </w:r>
      <w:r>
        <w:rPr>
          <w:rFonts w:cs="Times New Roman"/>
          <w:lang w:val="fr-CA" w:bidi="en-US"/>
        </w:rPr>
        <w:t>’</w:t>
      </w:r>
      <w:r w:rsidRPr="00375EDE">
        <w:rPr>
          <w:rFonts w:cs="Times New Roman"/>
          <w:lang w:val="fr-CA" w:bidi="en-US"/>
        </w:rPr>
        <w:t>économie de la [Loi], à son objet ni à l</w:t>
      </w:r>
      <w:r>
        <w:rPr>
          <w:rFonts w:cs="Times New Roman"/>
          <w:lang w:val="fr-CA" w:bidi="en-US"/>
        </w:rPr>
        <w:t>’</w:t>
      </w:r>
      <w:r w:rsidRPr="00375EDE">
        <w:rPr>
          <w:rFonts w:cs="Times New Roman"/>
          <w:lang w:val="fr-CA" w:bidi="en-US"/>
        </w:rPr>
        <w:t>intention du législateur; le contexte des mots en cause n</w:t>
      </w:r>
      <w:r>
        <w:rPr>
          <w:rFonts w:cs="Times New Roman"/>
          <w:lang w:val="fr-CA" w:bidi="en-US"/>
        </w:rPr>
        <w:t>’</w:t>
      </w:r>
      <w:r w:rsidRPr="00375EDE">
        <w:rPr>
          <w:rFonts w:cs="Times New Roman"/>
          <w:lang w:val="fr-CA" w:bidi="en-US"/>
        </w:rPr>
        <w:t xml:space="preserve">a pas non plus été pris en compte adéquatement » (par. 23).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bidi="en-US"/>
        </w:rPr>
        <w:t xml:space="preserve">En interprétant le par. 14.06(4) de la </w:t>
      </w:r>
      <w:r w:rsidRPr="001428A0">
        <w:rPr>
          <w:rFonts w:cs="Times New Roman"/>
          <w:i/>
          <w:lang w:val="fr-CA" w:bidi="en-US"/>
        </w:rPr>
        <w:t>LFI</w:t>
      </w:r>
      <w:r w:rsidRPr="00375EDE">
        <w:rPr>
          <w:rFonts w:cs="Times New Roman"/>
          <w:lang w:val="fr-CA" w:bidi="en-US"/>
        </w:rPr>
        <w:t>, la majorité s</w:t>
      </w:r>
      <w:r>
        <w:rPr>
          <w:rFonts w:cs="Times New Roman"/>
          <w:lang w:val="fr-CA" w:bidi="en-US"/>
        </w:rPr>
        <w:t>’</w:t>
      </w:r>
      <w:r w:rsidRPr="00375EDE">
        <w:rPr>
          <w:rFonts w:cs="Times New Roman"/>
          <w:lang w:val="fr-CA" w:bidi="en-US"/>
        </w:rPr>
        <w:t>appuie elle aussi sur le supposé sens ordinaire des mots de la disposition mais n</w:t>
      </w:r>
      <w:r>
        <w:rPr>
          <w:rFonts w:cs="Times New Roman"/>
          <w:lang w:val="fr-CA" w:bidi="en-US"/>
        </w:rPr>
        <w:t>’</w:t>
      </w:r>
      <w:r w:rsidRPr="00375EDE">
        <w:rPr>
          <w:rFonts w:cs="Times New Roman"/>
          <w:lang w:val="fr-CA" w:bidi="en-US"/>
        </w:rPr>
        <w:t>accorde pas suffisamment d</w:t>
      </w:r>
      <w:r>
        <w:rPr>
          <w:rFonts w:cs="Times New Roman"/>
          <w:lang w:val="fr-CA" w:bidi="en-US"/>
        </w:rPr>
        <w:t>’</w:t>
      </w:r>
      <w:r w:rsidRPr="00375EDE">
        <w:rPr>
          <w:rFonts w:cs="Times New Roman"/>
          <w:lang w:val="fr-CA" w:bidi="en-US"/>
        </w:rPr>
        <w:t>attention à l</w:t>
      </w:r>
      <w:r>
        <w:rPr>
          <w:rFonts w:cs="Times New Roman"/>
          <w:lang w:val="fr-CA" w:bidi="en-US"/>
        </w:rPr>
        <w:t>’</w:t>
      </w:r>
      <w:r w:rsidRPr="00375EDE">
        <w:rPr>
          <w:rFonts w:cs="Times New Roman"/>
          <w:lang w:val="fr-CA" w:bidi="en-US"/>
        </w:rPr>
        <w:t>économie de l</w:t>
      </w:r>
      <w:r>
        <w:rPr>
          <w:rFonts w:cs="Times New Roman"/>
          <w:lang w:val="fr-CA" w:bidi="en-US"/>
        </w:rPr>
        <w:t>’</w:t>
      </w:r>
      <w:r w:rsidRPr="00375EDE">
        <w:rPr>
          <w:rFonts w:cs="Times New Roman"/>
          <w:lang w:val="fr-CA" w:bidi="en-US"/>
        </w:rPr>
        <w:t>art. 14.06 dans son ensemble; elle ne prend pas non plus adéquatement en compte le contexte de ces mots.</w:t>
      </w:r>
    </w:p>
    <w:p w:rsidR="00DF13E5" w:rsidRPr="00375EDE" w:rsidRDefault="00DF13E5" w:rsidP="00DF13E5">
      <w:pPr>
        <w:pStyle w:val="ParaNoNdepar-AltN"/>
        <w:rPr>
          <w:rFonts w:cs="Times New Roman"/>
          <w:lang w:val="fr-CA"/>
        </w:rPr>
      </w:pPr>
      <w:r w:rsidRPr="00375EDE">
        <w:rPr>
          <w:rFonts w:cs="Times New Roman"/>
          <w:lang w:val="fr-CA"/>
        </w:rPr>
        <w:t>Même si nous faisions abstraction du libellé de la disposition elle</w:t>
      </w:r>
      <w:r w:rsidRPr="00375EDE">
        <w:rPr>
          <w:rFonts w:cs="Times New Roman"/>
          <w:lang w:val="fr-CA"/>
        </w:rPr>
        <w:noBreakHyphen/>
        <w:t>même et de</w:t>
      </w:r>
      <w:r w:rsidRPr="00375EDE">
        <w:rPr>
          <w:rFonts w:eastAsia="Times New Roman" w:cs="Times New Roman"/>
          <w:szCs w:val="24"/>
          <w:lang w:val="fr-CA" w:eastAsia="en-CA"/>
        </w:rPr>
        <w:t xml:space="preserve"> son </w:t>
      </w:r>
      <w:r w:rsidRPr="00375EDE">
        <w:rPr>
          <w:rFonts w:cs="Times New Roman"/>
          <w:lang w:val="fr-CA"/>
        </w:rPr>
        <w:t xml:space="preserve">contexte législatif immédiat, une interprétation téléologique mènerait au même </w:t>
      </w:r>
      <w:r w:rsidRPr="00375EDE">
        <w:rPr>
          <w:rFonts w:cs="Times New Roman"/>
          <w:lang w:val="fr-CA"/>
        </w:rPr>
        <w:lastRenderedPageBreak/>
        <w:t>résultat. Considérons les conséquences de l</w:t>
      </w:r>
      <w:r>
        <w:rPr>
          <w:rFonts w:cs="Times New Roman"/>
          <w:lang w:val="fr-CA"/>
        </w:rPr>
        <w:t>’</w:t>
      </w:r>
      <w:r w:rsidRPr="00375EDE">
        <w:rPr>
          <w:rFonts w:cs="Times New Roman"/>
          <w:lang w:val="fr-CA"/>
        </w:rPr>
        <w:t>analyse de l</w:t>
      </w:r>
      <w:r>
        <w:rPr>
          <w:rFonts w:cs="Times New Roman"/>
          <w:lang w:val="fr-CA"/>
        </w:rPr>
        <w:t>’</w:t>
      </w:r>
      <w:r w:rsidRPr="00375EDE">
        <w:rPr>
          <w:rFonts w:cs="Times New Roman"/>
          <w:lang w:val="fr-CA"/>
        </w:rPr>
        <w:t>AER ou de celle de mon collègue dans d</w:t>
      </w:r>
      <w:r>
        <w:rPr>
          <w:rFonts w:cs="Times New Roman"/>
          <w:lang w:val="fr-CA"/>
        </w:rPr>
        <w:t>’</w:t>
      </w:r>
      <w:r w:rsidRPr="00375EDE">
        <w:rPr>
          <w:rFonts w:cs="Times New Roman"/>
          <w:lang w:val="fr-CA"/>
        </w:rPr>
        <w:t>autres cas comme celui qui nous occupe, où les engagements environnementaux de la société pétrolière excèdent la valeur de son actif réalisable. Les professionnels de l</w:t>
      </w:r>
      <w:r>
        <w:rPr>
          <w:rFonts w:cs="Times New Roman"/>
          <w:lang w:val="fr-CA"/>
        </w:rPr>
        <w:t>’</w:t>
      </w:r>
      <w:r w:rsidRPr="00375EDE">
        <w:rPr>
          <w:rFonts w:cs="Times New Roman"/>
          <w:lang w:val="fr-CA"/>
        </w:rPr>
        <w:t>insolvabilité, sachant d</w:t>
      </w:r>
      <w:r>
        <w:rPr>
          <w:rFonts w:cs="Times New Roman"/>
          <w:lang w:val="fr-CA"/>
        </w:rPr>
        <w:t>’</w:t>
      </w:r>
      <w:r w:rsidRPr="00375EDE">
        <w:rPr>
          <w:rFonts w:cs="Times New Roman"/>
          <w:lang w:val="fr-CA"/>
        </w:rPr>
        <w:t>avance qu</w:t>
      </w:r>
      <w:r>
        <w:rPr>
          <w:rFonts w:cs="Times New Roman"/>
          <w:lang w:val="fr-CA"/>
        </w:rPr>
        <w:t>’</w:t>
      </w:r>
      <w:r w:rsidRPr="00375EDE">
        <w:rPr>
          <w:rFonts w:cs="Times New Roman"/>
          <w:lang w:val="fr-CA"/>
        </w:rPr>
        <w:t>ils peuvent être contraints de canaliser tous les autres éléments d</w:t>
      </w:r>
      <w:r>
        <w:rPr>
          <w:rFonts w:cs="Times New Roman"/>
          <w:lang w:val="fr-CA"/>
        </w:rPr>
        <w:t>’</w:t>
      </w:r>
      <w:r w:rsidRPr="00375EDE">
        <w:rPr>
          <w:rFonts w:cs="Times New Roman"/>
          <w:lang w:val="fr-CA"/>
        </w:rPr>
        <w:t>actif vers ces engagements environnementaux (soit parce qu</w:t>
      </w:r>
      <w:r>
        <w:rPr>
          <w:rFonts w:cs="Times New Roman"/>
          <w:lang w:val="fr-CA"/>
        </w:rPr>
        <w:t>’</w:t>
      </w:r>
      <w:r w:rsidRPr="00375EDE">
        <w:rPr>
          <w:rFonts w:cs="Times New Roman"/>
          <w:lang w:val="fr-CA"/>
        </w:rPr>
        <w:t>ils ne peuvent renoncer à des biens ayant une valeur négative en l</w:t>
      </w:r>
      <w:r>
        <w:rPr>
          <w:rFonts w:cs="Times New Roman"/>
          <w:lang w:val="fr-CA"/>
        </w:rPr>
        <w:t>’</w:t>
      </w:r>
      <w:r w:rsidRPr="00375EDE">
        <w:rPr>
          <w:rFonts w:cs="Times New Roman"/>
          <w:lang w:val="fr-CA"/>
        </w:rPr>
        <w:t>absence du risque d</w:t>
      </w:r>
      <w:r>
        <w:rPr>
          <w:rFonts w:cs="Times New Roman"/>
          <w:lang w:val="fr-CA"/>
        </w:rPr>
        <w:t>’</w:t>
      </w:r>
      <w:r w:rsidRPr="00375EDE">
        <w:rPr>
          <w:rFonts w:cs="Times New Roman"/>
          <w:lang w:val="fr-CA"/>
        </w:rPr>
        <w:t>engager leur responsabilité personnelle, soit parce que leur renonciation n</w:t>
      </w:r>
      <w:r>
        <w:rPr>
          <w:rFonts w:cs="Times New Roman"/>
          <w:lang w:val="fr-CA"/>
        </w:rPr>
        <w:t>’</w:t>
      </w:r>
      <w:r w:rsidRPr="00375EDE">
        <w:rPr>
          <w:rFonts w:cs="Times New Roman"/>
          <w:lang w:val="fr-CA"/>
        </w:rPr>
        <w:t>empêchera pas cette éventualité de se produire), n</w:t>
      </w:r>
      <w:r>
        <w:rPr>
          <w:rFonts w:cs="Times New Roman"/>
          <w:lang w:val="fr-CA"/>
        </w:rPr>
        <w:t>’</w:t>
      </w:r>
      <w:r w:rsidRPr="00375EDE">
        <w:rPr>
          <w:rFonts w:cs="Times New Roman"/>
          <w:lang w:val="fr-CA"/>
        </w:rPr>
        <w:t>accepteront jamais de mandats au départ. Il s</w:t>
      </w:r>
      <w:r>
        <w:rPr>
          <w:rFonts w:cs="Times New Roman"/>
          <w:lang w:val="fr-CA"/>
        </w:rPr>
        <w:t>’</w:t>
      </w:r>
      <w:r w:rsidRPr="00375EDE">
        <w:rPr>
          <w:rFonts w:cs="Times New Roman"/>
          <w:lang w:val="fr-CA"/>
        </w:rPr>
        <w:t>agit là d</w:t>
      </w:r>
      <w:r>
        <w:rPr>
          <w:rFonts w:cs="Times New Roman"/>
          <w:lang w:val="fr-CA"/>
        </w:rPr>
        <w:t>’</w:t>
      </w:r>
      <w:r w:rsidRPr="00375EDE">
        <w:rPr>
          <w:rFonts w:cs="Times New Roman"/>
          <w:lang w:val="fr-CA"/>
        </w:rPr>
        <w:t>une pratique commerciale sensée : si toute la valeur réalisable de l</w:t>
      </w:r>
      <w:r>
        <w:rPr>
          <w:rFonts w:cs="Times New Roman"/>
          <w:lang w:val="fr-CA"/>
        </w:rPr>
        <w:t>’</w:t>
      </w:r>
      <w:r w:rsidRPr="00375EDE">
        <w:rPr>
          <w:rFonts w:cs="Times New Roman"/>
          <w:lang w:val="fr-CA"/>
        </w:rPr>
        <w:t>actif doit être dirigée vers ces engagements environnementaux, et qu</w:t>
      </w:r>
      <w:r>
        <w:rPr>
          <w:rFonts w:cs="Times New Roman"/>
          <w:lang w:val="fr-CA"/>
        </w:rPr>
        <w:t>’</w:t>
      </w:r>
      <w:r w:rsidRPr="00375EDE">
        <w:rPr>
          <w:rFonts w:cs="Times New Roman"/>
          <w:lang w:val="fr-CA"/>
        </w:rPr>
        <w:t>il ne reste rien pour couvrir les frais administratifs, les professionnels de l</w:t>
      </w:r>
      <w:r>
        <w:rPr>
          <w:rFonts w:cs="Times New Roman"/>
          <w:lang w:val="fr-CA"/>
        </w:rPr>
        <w:t>’</w:t>
      </w:r>
      <w:r w:rsidRPr="00375EDE">
        <w:rPr>
          <w:rFonts w:cs="Times New Roman"/>
          <w:lang w:val="fr-CA"/>
        </w:rPr>
        <w:t>insolvabilité n</w:t>
      </w:r>
      <w:r>
        <w:rPr>
          <w:rFonts w:cs="Times New Roman"/>
          <w:lang w:val="fr-CA"/>
        </w:rPr>
        <w:t>’</w:t>
      </w:r>
      <w:r w:rsidRPr="00375EDE">
        <w:rPr>
          <w:rFonts w:cs="Times New Roman"/>
          <w:lang w:val="fr-CA"/>
        </w:rPr>
        <w:t>auront rien à gagner — et beaucoup à perdre — en acceptant d</w:t>
      </w:r>
      <w:r>
        <w:rPr>
          <w:rFonts w:cs="Times New Roman"/>
          <w:lang w:val="fr-CA"/>
        </w:rPr>
        <w:t>’</w:t>
      </w:r>
      <w:r w:rsidRPr="00375EDE">
        <w:rPr>
          <w:rFonts w:cs="Times New Roman"/>
          <w:lang w:val="fr-CA"/>
        </w:rPr>
        <w:t>exercer les fonctions de séquestre et de syndic, indépendamment de la question de savoir s</w:t>
      </w:r>
      <w:r>
        <w:rPr>
          <w:rFonts w:cs="Times New Roman"/>
          <w:lang w:val="fr-CA"/>
        </w:rPr>
        <w:t>’</w:t>
      </w:r>
      <w:r w:rsidRPr="00375EDE">
        <w:rPr>
          <w:rFonts w:cs="Times New Roman"/>
          <w:lang w:val="fr-CA"/>
        </w:rPr>
        <w:t>ils sont protégés contre toute responsabilité personnelle. Les débiteurs tout comme les créanciers, sachant qu</w:t>
      </w:r>
      <w:r>
        <w:rPr>
          <w:rFonts w:cs="Times New Roman"/>
          <w:lang w:val="fr-CA"/>
        </w:rPr>
        <w:t>’</w:t>
      </w:r>
      <w:r w:rsidRPr="00375EDE">
        <w:rPr>
          <w:rFonts w:cs="Times New Roman"/>
          <w:lang w:val="fr-CA"/>
        </w:rPr>
        <w:t>il en est ainsi, n</w:t>
      </w:r>
      <w:r>
        <w:rPr>
          <w:rFonts w:cs="Times New Roman"/>
          <w:lang w:val="fr-CA"/>
        </w:rPr>
        <w:t>’</w:t>
      </w:r>
      <w:r w:rsidRPr="00375EDE">
        <w:rPr>
          <w:rFonts w:cs="Times New Roman"/>
          <w:lang w:val="fr-CA"/>
        </w:rPr>
        <w:t>auront aucune raison de même présenter une requête de mise en faillite. Il s</w:t>
      </w:r>
      <w:r>
        <w:rPr>
          <w:rFonts w:cs="Times New Roman"/>
          <w:lang w:val="fr-CA"/>
        </w:rPr>
        <w:t>’</w:t>
      </w:r>
      <w:r w:rsidRPr="00375EDE">
        <w:rPr>
          <w:rFonts w:cs="Times New Roman"/>
          <w:lang w:val="fr-CA"/>
        </w:rPr>
        <w:t>ensuit qu</w:t>
      </w:r>
      <w:r>
        <w:rPr>
          <w:rFonts w:cs="Times New Roman"/>
          <w:lang w:val="fr-CA"/>
        </w:rPr>
        <w:t>’</w:t>
      </w:r>
      <w:r w:rsidRPr="00375EDE">
        <w:rPr>
          <w:rFonts w:cs="Times New Roman"/>
          <w:i/>
          <w:lang w:val="fr-CA"/>
        </w:rPr>
        <w:t>aucun</w:t>
      </w:r>
      <w:r w:rsidRPr="00375EDE">
        <w:rPr>
          <w:rFonts w:cs="Times New Roman"/>
          <w:lang w:val="fr-CA"/>
        </w:rPr>
        <w:t xml:space="preserve"> des biens de l</w:t>
      </w:r>
      <w:r>
        <w:rPr>
          <w:rFonts w:cs="Times New Roman"/>
          <w:lang w:val="fr-CA"/>
        </w:rPr>
        <w:t>’</w:t>
      </w:r>
      <w:r w:rsidRPr="00375EDE">
        <w:rPr>
          <w:rFonts w:cs="Times New Roman"/>
          <w:lang w:val="fr-CA"/>
        </w:rPr>
        <w:t xml:space="preserve">actif du failli ne sera vendu — pas même les puits de valeur de la société pétrolière — et que le nombre de biens orphelins augmentera. Cela est bien loin des objectifs des modifications apportées à la </w:t>
      </w:r>
      <w:r w:rsidRPr="0059011A">
        <w:rPr>
          <w:rFonts w:cs="Times New Roman"/>
          <w:i/>
          <w:lang w:val="fr-CA"/>
        </w:rPr>
        <w:t xml:space="preserve">LFI </w:t>
      </w:r>
      <w:r w:rsidRPr="00375EDE">
        <w:rPr>
          <w:rFonts w:cs="Times New Roman"/>
          <w:lang w:val="fr-CA"/>
        </w:rPr>
        <w:t>en 1997 qui ont été débattues au Parlement et qui devaient « encourager [les professionnels de l</w:t>
      </w:r>
      <w:r>
        <w:rPr>
          <w:rFonts w:cs="Times New Roman"/>
          <w:lang w:val="fr-CA"/>
        </w:rPr>
        <w:t>’</w:t>
      </w:r>
      <w:r w:rsidRPr="00375EDE">
        <w:rPr>
          <w:rFonts w:cs="Times New Roman"/>
          <w:lang w:val="fr-CA"/>
        </w:rPr>
        <w:t>insolvabilité] à accepter des mandats » et « réduire le nombre de sites abandonnés » (Comité permanent de l</w:t>
      </w:r>
      <w:r>
        <w:rPr>
          <w:rFonts w:cs="Times New Roman"/>
          <w:lang w:val="fr-CA"/>
        </w:rPr>
        <w:t>’</w:t>
      </w:r>
      <w:r w:rsidRPr="00375EDE">
        <w:rPr>
          <w:rFonts w:cs="Times New Roman"/>
          <w:lang w:val="fr-CA"/>
        </w:rPr>
        <w:t>industrie, 11 juin 1996 à 15 h 49). Il est difficile d</w:t>
      </w:r>
      <w:r>
        <w:rPr>
          <w:rFonts w:cs="Times New Roman"/>
          <w:lang w:val="fr-CA"/>
        </w:rPr>
        <w:t>’</w:t>
      </w:r>
      <w:r w:rsidRPr="00375EDE">
        <w:rPr>
          <w:rFonts w:cs="Times New Roman"/>
          <w:lang w:val="fr-CA"/>
        </w:rPr>
        <w:t>imaginer que le Parlement aurait privilégié une interprétation du par. 14.06(4) qui nuit explicitement aux objectifs qu</w:t>
      </w:r>
      <w:r>
        <w:rPr>
          <w:rFonts w:cs="Times New Roman"/>
          <w:lang w:val="fr-CA"/>
        </w:rPr>
        <w:t>’</w:t>
      </w:r>
      <w:r w:rsidRPr="00375EDE">
        <w:rPr>
          <w:rFonts w:cs="Times New Roman"/>
          <w:lang w:val="fr-CA"/>
        </w:rPr>
        <w:t>il a énoncés.</w:t>
      </w:r>
    </w:p>
    <w:p w:rsidR="00DF13E5" w:rsidRPr="00375EDE" w:rsidRDefault="00DF13E5" w:rsidP="00DF13E5">
      <w:pPr>
        <w:pStyle w:val="ParaNoNdepar-AltN"/>
        <w:rPr>
          <w:rFonts w:cs="Times New Roman"/>
          <w:lang w:val="fr-CA"/>
        </w:rPr>
      </w:pPr>
      <w:r w:rsidRPr="00375EDE">
        <w:rPr>
          <w:rFonts w:cs="Times New Roman"/>
          <w:lang w:val="fr-CA"/>
        </w:rPr>
        <w:lastRenderedPageBreak/>
        <w:t xml:space="preserve">La majorité semble reconnaître que le par. 14.06(4) de la </w:t>
      </w:r>
      <w:r w:rsidRPr="0059011A">
        <w:rPr>
          <w:rFonts w:cs="Times New Roman"/>
          <w:i/>
          <w:lang w:val="fr-CA"/>
        </w:rPr>
        <w:t>LFI</w:t>
      </w:r>
      <w:r w:rsidRPr="00375EDE">
        <w:rPr>
          <w:rFonts w:cs="Times New Roman"/>
          <w:lang w:val="fr-CA"/>
        </w:rPr>
        <w:t xml:space="preserve"> a eu notamment pour objectif d</w:t>
      </w:r>
      <w:r>
        <w:rPr>
          <w:rFonts w:cs="Times New Roman"/>
          <w:lang w:val="fr-CA"/>
        </w:rPr>
        <w:t>’</w:t>
      </w:r>
      <w:r w:rsidRPr="00375EDE">
        <w:rPr>
          <w:rFonts w:cs="Times New Roman"/>
          <w:lang w:val="fr-CA"/>
        </w:rPr>
        <w:t>encourager les professionnels de l</w:t>
      </w:r>
      <w:r>
        <w:rPr>
          <w:rFonts w:cs="Times New Roman"/>
          <w:lang w:val="fr-CA"/>
        </w:rPr>
        <w:t>’</w:t>
      </w:r>
      <w:r w:rsidRPr="00375EDE">
        <w:rPr>
          <w:rFonts w:cs="Times New Roman"/>
          <w:lang w:val="fr-CA"/>
        </w:rPr>
        <w:t>insolvabilité à accepter des mandats dans des cas où il existe peut</w:t>
      </w:r>
      <w:r w:rsidRPr="00375EDE">
        <w:rPr>
          <w:rFonts w:cs="Times New Roman"/>
          <w:lang w:val="fr-CA"/>
        </w:rPr>
        <w:noBreakHyphen/>
        <w:t>être des engagements environnementaux (par. 80</w:t>
      </w:r>
      <w:r w:rsidRPr="00375EDE">
        <w:rPr>
          <w:rFonts w:cs="Times New Roman"/>
          <w:lang w:val="fr-CA"/>
        </w:rPr>
        <w:noBreakHyphen/>
        <w:t>81). Or, le simple fait de mettre les syndics à l</w:t>
      </w:r>
      <w:r>
        <w:rPr>
          <w:rFonts w:cs="Times New Roman"/>
          <w:lang w:val="fr-CA"/>
        </w:rPr>
        <w:t>’</w:t>
      </w:r>
      <w:r w:rsidRPr="00375EDE">
        <w:rPr>
          <w:rFonts w:cs="Times New Roman"/>
          <w:lang w:val="fr-CA"/>
        </w:rPr>
        <w:t>abri de la responsabilité personnelle en pareil cas ne permettra pas d</w:t>
      </w:r>
      <w:r>
        <w:rPr>
          <w:rFonts w:cs="Times New Roman"/>
          <w:lang w:val="fr-CA"/>
        </w:rPr>
        <w:t>’</w:t>
      </w:r>
      <w:r w:rsidRPr="00375EDE">
        <w:rPr>
          <w:rFonts w:cs="Times New Roman"/>
          <w:lang w:val="fr-CA"/>
        </w:rPr>
        <w:t>atteindre le résultat escompté par le Parlement. Comme je l</w:t>
      </w:r>
      <w:r>
        <w:rPr>
          <w:rFonts w:cs="Times New Roman"/>
          <w:lang w:val="fr-CA"/>
        </w:rPr>
        <w:t>’</w:t>
      </w:r>
      <w:r w:rsidRPr="00375EDE">
        <w:rPr>
          <w:rFonts w:cs="Times New Roman"/>
          <w:lang w:val="fr-CA"/>
        </w:rPr>
        <w:t>ai expliqué, même lorsque les syndics potentiels ne courent aucun risque d</w:t>
      </w:r>
      <w:r>
        <w:rPr>
          <w:rFonts w:cs="Times New Roman"/>
          <w:lang w:val="fr-CA"/>
        </w:rPr>
        <w:t>’</w:t>
      </w:r>
      <w:r w:rsidRPr="00375EDE">
        <w:rPr>
          <w:rFonts w:cs="Times New Roman"/>
          <w:lang w:val="fr-CA"/>
        </w:rPr>
        <w:t>engager leur responsabilité personnelle, ils seront réticents à accepter des mandats si des entités provinciales peuvent exiger que toute la valeur de l</w:t>
      </w:r>
      <w:r>
        <w:rPr>
          <w:rFonts w:cs="Times New Roman"/>
          <w:lang w:val="fr-CA"/>
        </w:rPr>
        <w:t>’</w:t>
      </w:r>
      <w:r w:rsidRPr="00375EDE">
        <w:rPr>
          <w:rFonts w:cs="Times New Roman"/>
          <w:lang w:val="fr-CA"/>
        </w:rPr>
        <w:t>actif réalisable d</w:t>
      </w:r>
      <w:r>
        <w:rPr>
          <w:rFonts w:cs="Times New Roman"/>
          <w:lang w:val="fr-CA"/>
        </w:rPr>
        <w:t>’</w:t>
      </w:r>
      <w:r w:rsidRPr="00375EDE">
        <w:rPr>
          <w:rFonts w:cs="Times New Roman"/>
          <w:lang w:val="fr-CA"/>
        </w:rPr>
        <w:t xml:space="preserve">un failli serve à acquitter des obligations environnementales.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Ayant expliqué que le par. 14.06(4) confère aux syndics le pouvoir de renoncer à des biens même en l</w:t>
      </w:r>
      <w:r>
        <w:rPr>
          <w:rFonts w:cs="Times New Roman"/>
          <w:lang w:val="fr-CA"/>
        </w:rPr>
        <w:t>’</w:t>
      </w:r>
      <w:r w:rsidRPr="00375EDE">
        <w:rPr>
          <w:rFonts w:cs="Times New Roman"/>
          <w:lang w:val="fr-CA"/>
        </w:rPr>
        <w:t>absence d</w:t>
      </w:r>
      <w:r>
        <w:rPr>
          <w:rFonts w:cs="Times New Roman"/>
          <w:lang w:val="fr-CA"/>
        </w:rPr>
        <w:t>’</w:t>
      </w:r>
      <w:r w:rsidRPr="00375EDE">
        <w:rPr>
          <w:rFonts w:cs="Times New Roman"/>
          <w:lang w:val="fr-CA"/>
        </w:rPr>
        <w:t>un risque de responsabilité personnelle, je dois maintenant me demander brièvement si GTL disposait de ce pouvoir à la lumière des faits de la présente affaire. En l</w:t>
      </w:r>
      <w:r>
        <w:rPr>
          <w:rFonts w:cs="Times New Roman"/>
          <w:lang w:val="fr-CA"/>
        </w:rPr>
        <w:t>’</w:t>
      </w:r>
      <w:r w:rsidRPr="00375EDE">
        <w:rPr>
          <w:rFonts w:cs="Times New Roman"/>
          <w:lang w:val="fr-CA"/>
        </w:rPr>
        <w:t>espèce, les conditions statutaires préalables à l</w:t>
      </w:r>
      <w:r>
        <w:rPr>
          <w:rFonts w:cs="Times New Roman"/>
          <w:lang w:val="fr-CA"/>
        </w:rPr>
        <w:t>’</w:t>
      </w:r>
      <w:r w:rsidRPr="00375EDE">
        <w:rPr>
          <w:rFonts w:cs="Times New Roman"/>
          <w:lang w:val="fr-CA"/>
        </w:rPr>
        <w:t>exercice de ce pouvoir étaient réunies. Les ordonnances d</w:t>
      </w:r>
      <w:r>
        <w:rPr>
          <w:rFonts w:cs="Times New Roman"/>
          <w:lang w:val="fr-CA"/>
        </w:rPr>
        <w:t>’</w:t>
      </w:r>
      <w:r w:rsidRPr="00375EDE">
        <w:rPr>
          <w:rFonts w:cs="Times New Roman"/>
          <w:lang w:val="fr-CA"/>
        </w:rPr>
        <w:t xml:space="preserve">abandon se rapportent clairement à la réparation </w:t>
      </w:r>
      <w:r>
        <w:rPr>
          <w:rFonts w:cs="Times New Roman"/>
          <w:lang w:val="fr-CA"/>
        </w:rPr>
        <w:t xml:space="preserve">de </w:t>
      </w:r>
      <w:r w:rsidRPr="00375EDE">
        <w:rPr>
          <w:rFonts w:cs="Times New Roman"/>
          <w:lang w:val="fr-CA"/>
        </w:rPr>
        <w:t>« tout fait [. . .</w:t>
      </w:r>
      <w:r>
        <w:rPr>
          <w:rFonts w:cs="Times New Roman"/>
          <w:lang w:val="fr-CA"/>
        </w:rPr>
        <w:t>] lié à l’environnement </w:t>
      </w:r>
      <w:r w:rsidRPr="00375EDE">
        <w:rPr>
          <w:rFonts w:cs="Times New Roman"/>
          <w:lang w:val="fr-CA"/>
        </w:rPr>
        <w:t xml:space="preserve">» (dans la version française de la </w:t>
      </w:r>
      <w:r w:rsidRPr="0059011A">
        <w:rPr>
          <w:rFonts w:cs="Times New Roman"/>
          <w:i/>
          <w:lang w:val="fr-CA"/>
        </w:rPr>
        <w:t>LFI</w:t>
      </w:r>
      <w:r w:rsidRPr="00375EDE">
        <w:rPr>
          <w:rFonts w:cs="Times New Roman"/>
          <w:lang w:val="fr-CA"/>
        </w:rPr>
        <w:t>)</w:t>
      </w:r>
      <w:r>
        <w:rPr>
          <w:rFonts w:cs="Times New Roman"/>
          <w:lang w:val="fr-CA"/>
        </w:rPr>
        <w:t xml:space="preserve"> ou </w:t>
      </w:r>
      <w:r w:rsidRPr="00375EDE">
        <w:rPr>
          <w:rFonts w:cs="Times New Roman"/>
          <w:lang w:val="fr-CA"/>
        </w:rPr>
        <w:t>d</w:t>
      </w:r>
      <w:r>
        <w:rPr>
          <w:rFonts w:cs="Times New Roman"/>
          <w:lang w:val="fr-CA"/>
        </w:rPr>
        <w:t>’</w:t>
      </w:r>
      <w:r w:rsidRPr="00375EDE">
        <w:rPr>
          <w:rFonts w:cs="Times New Roman"/>
          <w:lang w:val="fr-CA"/>
        </w:rPr>
        <w:t>u</w:t>
      </w:r>
      <w:r>
        <w:rPr>
          <w:rFonts w:cs="Times New Roman"/>
          <w:lang w:val="fr-CA"/>
        </w:rPr>
        <w:t>ne « condition environnementale </w:t>
      </w:r>
      <w:r w:rsidRPr="00375EDE">
        <w:rPr>
          <w:rFonts w:cs="Times New Roman"/>
          <w:lang w:val="fr-CA"/>
        </w:rPr>
        <w:t xml:space="preserve">» (une </w:t>
      </w:r>
      <w:r>
        <w:rPr>
          <w:rFonts w:cs="Times New Roman"/>
          <w:lang w:val="fr-CA"/>
        </w:rPr>
        <w:t>traduction littérale du terme « </w:t>
      </w:r>
      <w:r w:rsidRPr="00375EDE">
        <w:rPr>
          <w:rFonts w:cs="Times New Roman"/>
          <w:i/>
          <w:lang w:val="fr-CA"/>
        </w:rPr>
        <w:t>environmental condition</w:t>
      </w:r>
      <w:r>
        <w:rPr>
          <w:rFonts w:cs="Times New Roman"/>
          <w:i/>
          <w:lang w:val="fr-CA"/>
        </w:rPr>
        <w:t> </w:t>
      </w:r>
      <w:r w:rsidRPr="00375EDE">
        <w:rPr>
          <w:rFonts w:cs="Times New Roman"/>
          <w:lang w:val="fr-CA"/>
        </w:rPr>
        <w:t xml:space="preserve">» dans la version anglaise de la </w:t>
      </w:r>
      <w:r w:rsidRPr="0059011A">
        <w:rPr>
          <w:rFonts w:cs="Times New Roman"/>
          <w:i/>
          <w:lang w:val="fr-CA"/>
        </w:rPr>
        <w:t>LFI</w:t>
      </w:r>
      <w:r w:rsidRPr="00375EDE">
        <w:rPr>
          <w:rFonts w:cs="Times New Roman"/>
          <w:lang w:val="fr-CA"/>
        </w:rPr>
        <w:t>). En effet, même l</w:t>
      </w:r>
      <w:r>
        <w:rPr>
          <w:rFonts w:cs="Times New Roman"/>
          <w:lang w:val="fr-CA"/>
        </w:rPr>
        <w:t>’</w:t>
      </w:r>
      <w:r w:rsidRPr="00375EDE">
        <w:rPr>
          <w:rFonts w:cs="Times New Roman"/>
          <w:lang w:val="fr-CA"/>
        </w:rPr>
        <w:t>AER et l</w:t>
      </w:r>
      <w:r>
        <w:rPr>
          <w:rFonts w:cs="Times New Roman"/>
          <w:lang w:val="fr-CA"/>
        </w:rPr>
        <w:t>’</w:t>
      </w:r>
      <w:r w:rsidRPr="00375EDE">
        <w:rPr>
          <w:rFonts w:cs="Times New Roman"/>
          <w:lang w:val="fr-CA"/>
        </w:rPr>
        <w:t>OWA n</w:t>
      </w:r>
      <w:r>
        <w:rPr>
          <w:rFonts w:cs="Times New Roman"/>
          <w:lang w:val="fr-CA"/>
        </w:rPr>
        <w:t>’</w:t>
      </w:r>
      <w:r w:rsidRPr="00375EDE">
        <w:rPr>
          <w:rFonts w:cs="Times New Roman"/>
          <w:lang w:val="fr-CA"/>
        </w:rPr>
        <w:t>ont jamais contesté ce point. En réaction à de telles ordonnances, GTL pouvait donc exercer le pouvoir de renonciation prévu au par. 14.06(4).</w:t>
      </w:r>
    </w:p>
    <w:p w:rsidR="00DF13E5" w:rsidRPr="0026437A" w:rsidRDefault="00DF13E5" w:rsidP="0026437A">
      <w:pPr>
        <w:pStyle w:val="Title3LevelTitre3Niveau"/>
        <w:numPr>
          <w:ilvl w:val="2"/>
          <w:numId w:val="46"/>
        </w:numPr>
        <w:rPr>
          <w:rFonts w:cs="Times New Roman"/>
          <w:lang w:val="fr-CA"/>
        </w:rPr>
      </w:pPr>
      <w:r w:rsidRPr="0026437A">
        <w:rPr>
          <w:rFonts w:cs="Times New Roman"/>
          <w:lang w:val="fr-CA"/>
        </w:rPr>
        <w:t>Le paragraphe 14.06(4) s’applique à l’industrie pétrolière et gazière de l’Alberta</w:t>
      </w:r>
    </w:p>
    <w:p w:rsidR="00DF13E5" w:rsidRPr="00375EDE" w:rsidRDefault="00DF13E5" w:rsidP="00DF13E5">
      <w:pPr>
        <w:pStyle w:val="ParaNoNdepar-AltN"/>
        <w:rPr>
          <w:rFonts w:cs="Times New Roman"/>
          <w:lang w:val="fr-CA"/>
        </w:rPr>
      </w:pPr>
      <w:r w:rsidRPr="00375EDE">
        <w:rPr>
          <w:rFonts w:cs="Times New Roman"/>
          <w:lang w:val="fr-CA"/>
        </w:rPr>
        <w:lastRenderedPageBreak/>
        <w:t>L</w:t>
      </w:r>
      <w:r>
        <w:rPr>
          <w:rFonts w:cs="Times New Roman"/>
          <w:lang w:val="fr-CA"/>
        </w:rPr>
        <w:t>’</w:t>
      </w:r>
      <w:r w:rsidRPr="00375EDE">
        <w:rPr>
          <w:rFonts w:cs="Times New Roman"/>
          <w:lang w:val="fr-CA"/>
        </w:rPr>
        <w:t>AER a également soutenu que le droit de renonciation ne s</w:t>
      </w:r>
      <w:r>
        <w:rPr>
          <w:rFonts w:cs="Times New Roman"/>
          <w:lang w:val="fr-CA"/>
        </w:rPr>
        <w:t>’</w:t>
      </w:r>
      <w:r w:rsidRPr="00375EDE">
        <w:rPr>
          <w:rFonts w:cs="Times New Roman"/>
          <w:lang w:val="fr-CA"/>
        </w:rPr>
        <w:t>applique aucunement dans le contexte du régime législatif régissant l</w:t>
      </w:r>
      <w:r>
        <w:rPr>
          <w:rFonts w:cs="Times New Roman"/>
          <w:lang w:val="fr-CA"/>
        </w:rPr>
        <w:t>’</w:t>
      </w:r>
      <w:r w:rsidRPr="00375EDE">
        <w:rPr>
          <w:rFonts w:cs="Times New Roman"/>
          <w:lang w:val="fr-CA"/>
        </w:rPr>
        <w:t>industrie pétrolière et gazière en raison du rôle joué par les tiers propriétaires de droits de surface et de la nature des droits de propriété en cause qui empêchaient la Couronne de se prévaloir de la superpriorité dont elle jouit en vertu du par. 14</w:t>
      </w:r>
      <w:r>
        <w:rPr>
          <w:rFonts w:cs="Times New Roman"/>
          <w:lang w:val="fr-CA"/>
        </w:rPr>
        <w:t>.</w:t>
      </w:r>
      <w:r w:rsidRPr="00375EDE">
        <w:rPr>
          <w:rFonts w:cs="Times New Roman"/>
          <w:lang w:val="fr-CA"/>
        </w:rPr>
        <w:t>06(7). La juge Martin (</w:t>
      </w:r>
      <w:r w:rsidR="00CB01F5">
        <w:rPr>
          <w:rFonts w:cs="Times New Roman"/>
          <w:lang w:val="fr-CA"/>
        </w:rPr>
        <w:t>maintenant</w:t>
      </w:r>
      <w:r w:rsidRPr="00375EDE">
        <w:rPr>
          <w:rFonts w:cs="Times New Roman"/>
          <w:lang w:val="fr-CA"/>
        </w:rPr>
        <w:t xml:space="preserve"> juge de notre Cour), dissidente en Cour d</w:t>
      </w:r>
      <w:r>
        <w:rPr>
          <w:rFonts w:cs="Times New Roman"/>
          <w:lang w:val="fr-CA"/>
        </w:rPr>
        <w:t>’</w:t>
      </w:r>
      <w:r w:rsidRPr="00375EDE">
        <w:rPr>
          <w:rFonts w:cs="Times New Roman"/>
          <w:lang w:val="fr-CA"/>
        </w:rPr>
        <w:t>appel de l</w:t>
      </w:r>
      <w:r>
        <w:rPr>
          <w:rFonts w:cs="Times New Roman"/>
          <w:lang w:val="fr-CA"/>
        </w:rPr>
        <w:t>’</w:t>
      </w:r>
      <w:r w:rsidRPr="00375EDE">
        <w:rPr>
          <w:rFonts w:cs="Times New Roman"/>
          <w:lang w:val="fr-CA"/>
        </w:rPr>
        <w:t>Alberta, est parvenue à la même conclusion. Avec égards, je ne peux partager son avis. Le Parlement n</w:t>
      </w:r>
      <w:r>
        <w:rPr>
          <w:rFonts w:cs="Times New Roman"/>
          <w:lang w:val="fr-CA"/>
        </w:rPr>
        <w:t>’</w:t>
      </w:r>
      <w:r w:rsidRPr="00375EDE">
        <w:rPr>
          <w:rFonts w:cs="Times New Roman"/>
          <w:lang w:val="fr-CA"/>
        </w:rPr>
        <w:t xml:space="preserve">a pas rendu le pouvoir de renonciation prévu au par. 14.06(4) conditionnel à la possibilité pour la Couronne de se prévaloir de sa superpriorité. </w:t>
      </w:r>
    </w:p>
    <w:p w:rsidR="00DF13E5" w:rsidRPr="00375EDE" w:rsidRDefault="00DF13E5" w:rsidP="00DF13E5">
      <w:pPr>
        <w:pStyle w:val="ParaNoNdepar-AltN"/>
        <w:rPr>
          <w:rFonts w:cs="Times New Roman"/>
          <w:lang w:val="fr-CA"/>
        </w:rPr>
      </w:pPr>
      <w:r w:rsidRPr="00375EDE">
        <w:rPr>
          <w:rFonts w:cs="Times New Roman"/>
          <w:lang w:val="fr-CA"/>
        </w:rPr>
        <w:t>En décidant des intérêts auxquels peut renoncer un syndic en vertu du par. 14.06(4), le Parlement a utilisé des mots exceptionnellement larges. Il est permis au syndic de renoncer à « tout intérêt » sur « le bien réel ». Bien que les permis réglementaires de Redwater ne soient peut</w:t>
      </w:r>
      <w:r w:rsidRPr="00375EDE">
        <w:rPr>
          <w:rFonts w:cs="Times New Roman"/>
          <w:lang w:val="fr-CA"/>
        </w:rPr>
        <w:noBreakHyphen/>
        <w:t>être pas des biens réels, toutes les parties reconnaissent que les profits à prendre et droits de surface peuvent être qualifiés d</w:t>
      </w:r>
      <w:r>
        <w:rPr>
          <w:rFonts w:cs="Times New Roman"/>
          <w:lang w:val="fr-CA"/>
        </w:rPr>
        <w:t>’</w:t>
      </w:r>
      <w:r w:rsidRPr="00375EDE">
        <w:rPr>
          <w:rFonts w:cs="Times New Roman"/>
          <w:lang w:val="fr-CA"/>
        </w:rPr>
        <w:t>intérêts sur des biens réels. Dans le contexte de la présente affaire, ce sont les droits auxquels GTL veut vraiment renoncer. L</w:t>
      </w:r>
      <w:r>
        <w:rPr>
          <w:rFonts w:cs="Times New Roman"/>
          <w:lang w:val="fr-CA"/>
        </w:rPr>
        <w:t>’</w:t>
      </w:r>
      <w:r w:rsidRPr="00375EDE">
        <w:rPr>
          <w:rFonts w:cs="Times New Roman"/>
          <w:lang w:val="fr-CA"/>
        </w:rPr>
        <w:t>AER a soutenu que le par. 14.06(4) autorise uniquement la renonciation à de « véritables biens réels », soit un terrain qui appartient ou appartenait au failli, sans tiers propriétaires fonciers. Cette interprétation ne s</w:t>
      </w:r>
      <w:r>
        <w:rPr>
          <w:rFonts w:cs="Times New Roman"/>
          <w:lang w:val="fr-CA"/>
        </w:rPr>
        <w:t>’</w:t>
      </w:r>
      <w:r w:rsidRPr="00375EDE">
        <w:rPr>
          <w:rFonts w:cs="Times New Roman"/>
          <w:lang w:val="fr-CA"/>
        </w:rPr>
        <w:t>accorde pas avec les mots employés par le Parlement. Si ce dernier avait voulu ne restreindre le pouvoir de renonciation qu</w:t>
      </w:r>
      <w:r>
        <w:rPr>
          <w:rFonts w:cs="Times New Roman"/>
          <w:lang w:val="fr-CA"/>
        </w:rPr>
        <w:t>’</w:t>
      </w:r>
      <w:r w:rsidRPr="00375EDE">
        <w:rPr>
          <w:rFonts w:cs="Times New Roman"/>
          <w:lang w:val="fr-CA"/>
        </w:rPr>
        <w:t>aux intérêts en fief simple, il aurait pu le dire plutôt que de parler de « tout intérêt sur le bien réel ».</w:t>
      </w:r>
    </w:p>
    <w:p w:rsidR="00DF13E5" w:rsidRPr="00375EDE" w:rsidRDefault="00DF13E5" w:rsidP="00DF13E5">
      <w:pPr>
        <w:pStyle w:val="ParaNoNdepar-AltN"/>
        <w:rPr>
          <w:rFonts w:cs="Times New Roman"/>
          <w:lang w:val="fr-CA"/>
        </w:rPr>
      </w:pPr>
      <w:r w:rsidRPr="00375EDE">
        <w:rPr>
          <w:rFonts w:cs="Times New Roman"/>
          <w:lang w:val="fr-CA"/>
        </w:rPr>
        <w:t>De plus, l</w:t>
      </w:r>
      <w:r>
        <w:rPr>
          <w:rFonts w:cs="Times New Roman"/>
          <w:lang w:val="fr-CA"/>
        </w:rPr>
        <w:t>’</w:t>
      </w:r>
      <w:r w:rsidRPr="00375EDE">
        <w:rPr>
          <w:rFonts w:cs="Times New Roman"/>
          <w:lang w:val="fr-CA"/>
        </w:rPr>
        <w:t>industrie pétrolière et gazière de l</w:t>
      </w:r>
      <w:r>
        <w:rPr>
          <w:rFonts w:cs="Times New Roman"/>
          <w:lang w:val="fr-CA"/>
        </w:rPr>
        <w:t>’</w:t>
      </w:r>
      <w:r w:rsidRPr="00375EDE">
        <w:rPr>
          <w:rFonts w:cs="Times New Roman"/>
          <w:lang w:val="fr-CA"/>
        </w:rPr>
        <w:t>Alberta est loin d</w:t>
      </w:r>
      <w:r>
        <w:rPr>
          <w:rFonts w:cs="Times New Roman"/>
          <w:lang w:val="fr-CA"/>
        </w:rPr>
        <w:t>’</w:t>
      </w:r>
      <w:r w:rsidRPr="00375EDE">
        <w:rPr>
          <w:rFonts w:cs="Times New Roman"/>
          <w:lang w:val="fr-CA"/>
        </w:rPr>
        <w:t xml:space="preserve">être le seul secteur de ressources naturelles où les sociétés exercent depuis longtemps leurs </w:t>
      </w:r>
      <w:r w:rsidRPr="00375EDE">
        <w:rPr>
          <w:rFonts w:cs="Times New Roman"/>
          <w:lang w:val="fr-CA"/>
        </w:rPr>
        <w:lastRenderedPageBreak/>
        <w:t>activités sur le terrain de tiers, qu</w:t>
      </w:r>
      <w:r>
        <w:rPr>
          <w:rFonts w:cs="Times New Roman"/>
          <w:lang w:val="fr-CA"/>
        </w:rPr>
        <w:t>’</w:t>
      </w:r>
      <w:r w:rsidRPr="00375EDE">
        <w:rPr>
          <w:rFonts w:cs="Times New Roman"/>
          <w:lang w:val="fr-CA"/>
        </w:rPr>
        <w:t>il s</w:t>
      </w:r>
      <w:r>
        <w:rPr>
          <w:rFonts w:cs="Times New Roman"/>
          <w:lang w:val="fr-CA"/>
        </w:rPr>
        <w:t>’</w:t>
      </w:r>
      <w:r w:rsidRPr="00375EDE">
        <w:rPr>
          <w:rFonts w:cs="Times New Roman"/>
          <w:lang w:val="fr-CA"/>
        </w:rPr>
        <w:t>agisse de la Couronne ou de propriétaires privés. La responsabilité potentielle des syndics exploserait si la simple présence de ces tiers propriétaires fonciers écartait complètement l</w:t>
      </w:r>
      <w:r>
        <w:rPr>
          <w:rFonts w:cs="Times New Roman"/>
          <w:lang w:val="fr-CA"/>
        </w:rPr>
        <w:t>’</w:t>
      </w:r>
      <w:r w:rsidRPr="00375EDE">
        <w:rPr>
          <w:rFonts w:cs="Times New Roman"/>
          <w:lang w:val="fr-CA"/>
        </w:rPr>
        <w:t>application du pouvoir de renonciation prévu au par. 14.06(4). Le texte du paragraphe est manifestement assez large pour embrasser le régime législatif régissant le secteur pétrolier et gazier de l</w:t>
      </w:r>
      <w:r>
        <w:rPr>
          <w:rFonts w:cs="Times New Roman"/>
          <w:lang w:val="fr-CA"/>
        </w:rPr>
        <w:t>’</w:t>
      </w:r>
      <w:r w:rsidRPr="00375EDE">
        <w:rPr>
          <w:rFonts w:cs="Times New Roman"/>
          <w:lang w:val="fr-CA"/>
        </w:rPr>
        <w:t>Alberta.</w:t>
      </w:r>
    </w:p>
    <w:p w:rsidR="00DF13E5" w:rsidRPr="007872F1" w:rsidRDefault="00DF13E5" w:rsidP="007872F1">
      <w:pPr>
        <w:pStyle w:val="Title3LevelTitre3Niveau"/>
        <w:numPr>
          <w:ilvl w:val="2"/>
          <w:numId w:val="8"/>
        </w:numPr>
        <w:jc w:val="left"/>
        <w:rPr>
          <w:rFonts w:cs="Times New Roman"/>
          <w:lang w:val="fr-CA"/>
        </w:rPr>
      </w:pPr>
      <w:r w:rsidRPr="007872F1">
        <w:rPr>
          <w:rFonts w:cs="Times New Roman"/>
          <w:lang w:val="fr-CA"/>
        </w:rPr>
        <w:t xml:space="preserve">Conclusion </w:t>
      </w:r>
      <w:r w:rsidRPr="007872F1">
        <w:rPr>
          <w:rFonts w:cs="Times New Roman"/>
        </w:rPr>
        <w:t>sur</w:t>
      </w:r>
      <w:r w:rsidRPr="007872F1">
        <w:rPr>
          <w:rFonts w:cs="Times New Roman"/>
          <w:lang w:val="fr-CA"/>
        </w:rPr>
        <w:t xml:space="preserve"> le conflit d’application</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Compte tenu de cette interprétation du par. 14.06(4), je suis d</w:t>
      </w:r>
      <w:r>
        <w:rPr>
          <w:rFonts w:cs="Times New Roman"/>
          <w:lang w:val="fr-CA"/>
        </w:rPr>
        <w:t>’</w:t>
      </w:r>
      <w:r w:rsidRPr="00375EDE">
        <w:rPr>
          <w:rFonts w:cs="Times New Roman"/>
          <w:lang w:val="fr-CA"/>
        </w:rPr>
        <w:t>accord avec les deux tribunaux d</w:t>
      </w:r>
      <w:r>
        <w:rPr>
          <w:rFonts w:cs="Times New Roman"/>
          <w:lang w:val="fr-CA"/>
        </w:rPr>
        <w:t>’</w:t>
      </w:r>
      <w:r w:rsidRPr="00375EDE">
        <w:rPr>
          <w:rFonts w:cs="Times New Roman"/>
          <w:lang w:val="fr-CA"/>
        </w:rPr>
        <w:t>instance inférieure pour dire qu</w:t>
      </w:r>
      <w:r>
        <w:rPr>
          <w:rFonts w:cs="Times New Roman"/>
          <w:lang w:val="fr-CA"/>
        </w:rPr>
        <w:t>’</w:t>
      </w:r>
      <w:r w:rsidRPr="00375EDE">
        <w:rPr>
          <w:rFonts w:cs="Times New Roman"/>
          <w:lang w:val="fr-CA"/>
        </w:rPr>
        <w:t>il y a un conflit d</w:t>
      </w:r>
      <w:r>
        <w:rPr>
          <w:rFonts w:cs="Times New Roman"/>
          <w:lang w:val="fr-CA"/>
        </w:rPr>
        <w:t>’</w:t>
      </w:r>
      <w:r w:rsidRPr="00375EDE">
        <w:rPr>
          <w:rFonts w:cs="Times New Roman"/>
          <w:lang w:val="fr-CA"/>
        </w:rPr>
        <w:t>application dans la mesure où le régime législatif albertain tient les séquestres et les syndics responsables en tant que « titulaires de permis » relativement aux biens faisant l</w:t>
      </w:r>
      <w:r>
        <w:rPr>
          <w:rFonts w:cs="Times New Roman"/>
          <w:lang w:val="fr-CA"/>
        </w:rPr>
        <w:t>’</w:t>
      </w:r>
      <w:r w:rsidRPr="00375EDE">
        <w:rPr>
          <w:rFonts w:cs="Times New Roman"/>
          <w:lang w:val="fr-CA"/>
        </w:rPr>
        <w:t>objet d</w:t>
      </w:r>
      <w:r>
        <w:rPr>
          <w:rFonts w:cs="Times New Roman"/>
          <w:lang w:val="fr-CA"/>
        </w:rPr>
        <w:t>’</w:t>
      </w:r>
      <w:r w:rsidRPr="00375EDE">
        <w:rPr>
          <w:rFonts w:cs="Times New Roman"/>
          <w:lang w:val="fr-CA"/>
        </w:rPr>
        <w:t>une renonciation (voir les motifs du juge en cabinet, par. 181; motifs de la Cour d</w:t>
      </w:r>
      <w:r>
        <w:rPr>
          <w:rFonts w:cs="Times New Roman"/>
          <w:lang w:val="fr-CA"/>
        </w:rPr>
        <w:t>’</w:t>
      </w:r>
      <w:r w:rsidRPr="00375EDE">
        <w:rPr>
          <w:rFonts w:cs="Times New Roman"/>
          <w:lang w:val="fr-CA"/>
        </w:rPr>
        <w:t>appel, par. 57). Ce conflit est loin d</w:t>
      </w:r>
      <w:r>
        <w:rPr>
          <w:rFonts w:cs="Times New Roman"/>
          <w:lang w:val="fr-CA"/>
        </w:rPr>
        <w:t>’</w:t>
      </w:r>
      <w:r w:rsidRPr="00375EDE">
        <w:rPr>
          <w:rFonts w:cs="Times New Roman"/>
          <w:lang w:val="fr-CA"/>
        </w:rPr>
        <w:t>être hypothétique. En vertu de la loi fédérale, GTL peut renoncer aux biens du failli touchés par les ordonnances d</w:t>
      </w:r>
      <w:r>
        <w:rPr>
          <w:rFonts w:cs="Times New Roman"/>
          <w:lang w:val="fr-CA"/>
        </w:rPr>
        <w:t>’</w:t>
      </w:r>
      <w:r w:rsidRPr="00375EDE">
        <w:rPr>
          <w:rFonts w:cs="Times New Roman"/>
          <w:lang w:val="fr-CA"/>
        </w:rPr>
        <w:t xml:space="preserve">abandon. Selon la </w:t>
      </w:r>
      <w:r w:rsidRPr="0059011A">
        <w:rPr>
          <w:rFonts w:cs="Times New Roman"/>
          <w:i/>
          <w:lang w:val="fr-CA"/>
        </w:rPr>
        <w:t>LFI</w:t>
      </w:r>
      <w:r w:rsidRPr="00375EDE">
        <w:rPr>
          <w:rFonts w:cs="Times New Roman"/>
          <w:lang w:val="fr-CA"/>
        </w:rPr>
        <w:t>, GTL ne peut être contraint de prendre des mesures à l</w:t>
      </w:r>
      <w:r>
        <w:rPr>
          <w:rFonts w:cs="Times New Roman"/>
          <w:lang w:val="fr-CA"/>
        </w:rPr>
        <w:t>’</w:t>
      </w:r>
      <w:r w:rsidRPr="00375EDE">
        <w:rPr>
          <w:rFonts w:cs="Times New Roman"/>
          <w:lang w:val="fr-CA"/>
        </w:rPr>
        <w:t>égard des biens auxquels il a valablement renoncé puisque l</w:t>
      </w:r>
      <w:r>
        <w:rPr>
          <w:rFonts w:cs="Times New Roman"/>
          <w:lang w:val="fr-CA"/>
        </w:rPr>
        <w:t>’</w:t>
      </w:r>
      <w:r w:rsidRPr="00375EDE">
        <w:rPr>
          <w:rFonts w:cs="Times New Roman"/>
          <w:lang w:val="fr-CA"/>
        </w:rPr>
        <w:t>acte de renonciation le libère de tous les droits, intérêts et obligations à l</w:t>
      </w:r>
      <w:r>
        <w:rPr>
          <w:rFonts w:cs="Times New Roman"/>
          <w:lang w:val="fr-CA"/>
        </w:rPr>
        <w:t>’</w:t>
      </w:r>
      <w:r w:rsidRPr="00375EDE">
        <w:rPr>
          <w:rFonts w:cs="Times New Roman"/>
          <w:lang w:val="fr-CA"/>
        </w:rPr>
        <w:t>égard des biens visés par la renonciation. Mais selon la loi provinciale, l</w:t>
      </w:r>
      <w:r>
        <w:rPr>
          <w:rFonts w:cs="Times New Roman"/>
          <w:lang w:val="fr-CA"/>
        </w:rPr>
        <w:t>’</w:t>
      </w:r>
      <w:r w:rsidRPr="00375EDE">
        <w:rPr>
          <w:rFonts w:cs="Times New Roman"/>
          <w:lang w:val="fr-CA"/>
        </w:rPr>
        <w:t>AER peut notamment ordonner à GTL d</w:t>
      </w:r>
      <w:r>
        <w:rPr>
          <w:rFonts w:cs="Times New Roman"/>
          <w:lang w:val="fr-CA"/>
        </w:rPr>
        <w:t>’</w:t>
      </w:r>
      <w:r w:rsidRPr="00375EDE">
        <w:rPr>
          <w:rFonts w:cs="Times New Roman"/>
          <w:lang w:val="fr-CA"/>
        </w:rPr>
        <w:t>abandonner les biens ayant fait l</w:t>
      </w:r>
      <w:r>
        <w:rPr>
          <w:rFonts w:cs="Times New Roman"/>
          <w:lang w:val="fr-CA"/>
        </w:rPr>
        <w:t>’</w:t>
      </w:r>
      <w:r w:rsidRPr="00375EDE">
        <w:rPr>
          <w:rFonts w:cs="Times New Roman"/>
          <w:lang w:val="fr-CA"/>
        </w:rPr>
        <w:t>objet d</w:t>
      </w:r>
      <w:r>
        <w:rPr>
          <w:rFonts w:cs="Times New Roman"/>
          <w:lang w:val="fr-CA"/>
        </w:rPr>
        <w:t>’</w:t>
      </w:r>
      <w:r w:rsidRPr="00375EDE">
        <w:rPr>
          <w:rFonts w:cs="Times New Roman"/>
          <w:lang w:val="fr-CA"/>
        </w:rPr>
        <w:t>une renonciation (voir par. 11). C</w:t>
      </w:r>
      <w:r>
        <w:rPr>
          <w:rFonts w:cs="Times New Roman"/>
          <w:lang w:val="fr-CA"/>
        </w:rPr>
        <w:t>’</w:t>
      </w:r>
      <w:r w:rsidRPr="00375EDE">
        <w:rPr>
          <w:rFonts w:cs="Times New Roman"/>
          <w:lang w:val="fr-CA"/>
        </w:rPr>
        <w:t>est exactement ce qui s</w:t>
      </w:r>
      <w:r>
        <w:rPr>
          <w:rFonts w:cs="Times New Roman"/>
          <w:lang w:val="fr-CA"/>
        </w:rPr>
        <w:t>’</w:t>
      </w:r>
      <w:r w:rsidRPr="00375EDE">
        <w:rPr>
          <w:rFonts w:cs="Times New Roman"/>
          <w:lang w:val="fr-CA"/>
        </w:rPr>
        <w:t>est passé en l</w:t>
      </w:r>
      <w:r>
        <w:rPr>
          <w:rFonts w:cs="Times New Roman"/>
          <w:lang w:val="fr-CA"/>
        </w:rPr>
        <w:t>’</w:t>
      </w:r>
      <w:r w:rsidRPr="00375EDE">
        <w:rPr>
          <w:rFonts w:cs="Times New Roman"/>
          <w:lang w:val="fr-CA"/>
        </w:rPr>
        <w:t>espèce. Non seulement l</w:t>
      </w:r>
      <w:r>
        <w:rPr>
          <w:rFonts w:cs="Times New Roman"/>
          <w:lang w:val="fr-CA"/>
        </w:rPr>
        <w:t>’</w:t>
      </w:r>
      <w:r w:rsidRPr="00375EDE">
        <w:rPr>
          <w:rFonts w:cs="Times New Roman"/>
          <w:lang w:val="fr-CA"/>
        </w:rPr>
        <w:t>AER a</w:t>
      </w:r>
      <w:r w:rsidRPr="00375EDE">
        <w:rPr>
          <w:rFonts w:cs="Times New Roman"/>
          <w:lang w:val="fr-CA"/>
        </w:rPr>
        <w:noBreakHyphen/>
        <w:t>t</w:t>
      </w:r>
      <w:r w:rsidRPr="00375EDE">
        <w:rPr>
          <w:rFonts w:cs="Times New Roman"/>
          <w:lang w:val="fr-CA"/>
        </w:rPr>
        <w:noBreakHyphen/>
        <w:t>il ordonné à GTL de mener les travaux à terme, mais il a aussi rendu la vente des biens de valeur de Redwater conditionnelle à l</w:t>
      </w:r>
      <w:r>
        <w:rPr>
          <w:rFonts w:cs="Times New Roman"/>
          <w:lang w:val="fr-CA"/>
        </w:rPr>
        <w:t>’</w:t>
      </w:r>
      <w:r w:rsidRPr="00375EDE">
        <w:rPr>
          <w:rFonts w:cs="Times New Roman"/>
          <w:lang w:val="fr-CA"/>
        </w:rPr>
        <w:t>abandon des biens inexploités par GTL lui</w:t>
      </w:r>
      <w:r w:rsidRPr="00375EDE">
        <w:rPr>
          <w:rFonts w:cs="Times New Roman"/>
          <w:lang w:val="fr-CA"/>
        </w:rPr>
        <w:noBreakHyphen/>
        <w:t>même ou de la vente de ces biens avec les biens de valeur de l</w:t>
      </w:r>
      <w:r>
        <w:rPr>
          <w:rFonts w:cs="Times New Roman"/>
          <w:lang w:val="fr-CA"/>
        </w:rPr>
        <w:t>’</w:t>
      </w:r>
      <w:r w:rsidRPr="00375EDE">
        <w:rPr>
          <w:rFonts w:cs="Times New Roman"/>
          <w:lang w:val="fr-CA"/>
        </w:rPr>
        <w:t>actif comme un tout unique. En agissant ainsi, l</w:t>
      </w:r>
      <w:r>
        <w:rPr>
          <w:rFonts w:cs="Times New Roman"/>
          <w:lang w:val="fr-CA"/>
        </w:rPr>
        <w:t>’</w:t>
      </w:r>
      <w:r w:rsidRPr="00375EDE">
        <w:rPr>
          <w:rFonts w:cs="Times New Roman"/>
          <w:lang w:val="fr-CA"/>
        </w:rPr>
        <w:t>AER a indûment fait abstraction de l</w:t>
      </w:r>
      <w:r>
        <w:rPr>
          <w:rFonts w:cs="Times New Roman"/>
          <w:lang w:val="fr-CA"/>
        </w:rPr>
        <w:t>’</w:t>
      </w:r>
      <w:r w:rsidRPr="00375EDE">
        <w:rPr>
          <w:rFonts w:cs="Times New Roman"/>
          <w:lang w:val="fr-CA"/>
        </w:rPr>
        <w:t xml:space="preserve">effet des renonciations de GTL. Cela demeure vrai indépendamment de la question </w:t>
      </w:r>
      <w:r w:rsidRPr="00375EDE">
        <w:rPr>
          <w:rFonts w:cs="Times New Roman"/>
          <w:lang w:val="fr-CA"/>
        </w:rPr>
        <w:lastRenderedPageBreak/>
        <w:t>de savoir si GTL pouvait (ou allait) être tenue personnellement responsable des frais d</w:t>
      </w:r>
      <w:r>
        <w:rPr>
          <w:rFonts w:cs="Times New Roman"/>
          <w:lang w:val="fr-CA"/>
        </w:rPr>
        <w:t>’</w:t>
      </w:r>
      <w:r w:rsidRPr="00375EDE">
        <w:rPr>
          <w:rFonts w:cs="Times New Roman"/>
          <w:lang w:val="fr-CA"/>
        </w:rPr>
        <w:t>abandon des biens susmentionnés au</w:t>
      </w:r>
      <w:r w:rsidRPr="00375EDE">
        <w:rPr>
          <w:rFonts w:cs="Times New Roman"/>
          <w:lang w:val="fr-CA"/>
        </w:rPr>
        <w:noBreakHyphen/>
        <w:t>delà de la valeur totale de l</w:t>
      </w:r>
      <w:r>
        <w:rPr>
          <w:rFonts w:cs="Times New Roman"/>
          <w:lang w:val="fr-CA"/>
        </w:rPr>
        <w:t>’</w:t>
      </w:r>
      <w:r w:rsidRPr="00375EDE">
        <w:rPr>
          <w:rFonts w:cs="Times New Roman"/>
          <w:lang w:val="fr-CA"/>
        </w:rPr>
        <w:t xml:space="preserve">actif. </w:t>
      </w:r>
    </w:p>
    <w:p w:rsidR="00DF13E5" w:rsidRPr="00375EDE" w:rsidRDefault="00DF13E5" w:rsidP="00DF13E5">
      <w:pPr>
        <w:pStyle w:val="ParaNoNdepar-AltN"/>
        <w:rPr>
          <w:rFonts w:cs="Times New Roman"/>
          <w:lang w:val="fr-CA"/>
        </w:rPr>
      </w:pPr>
      <w:r w:rsidRPr="00375EDE">
        <w:rPr>
          <w:rFonts w:cs="Times New Roman"/>
          <w:lang w:val="fr-CA"/>
        </w:rPr>
        <w:t>Mon collègue prétend que l</w:t>
      </w:r>
      <w:r>
        <w:rPr>
          <w:rFonts w:cs="Times New Roman"/>
          <w:lang w:val="fr-CA"/>
        </w:rPr>
        <w:t>’</w:t>
      </w:r>
      <w:r w:rsidRPr="00375EDE">
        <w:rPr>
          <w:rFonts w:cs="Times New Roman"/>
          <w:lang w:val="fr-CA"/>
        </w:rPr>
        <w:t>AER « </w:t>
      </w:r>
      <w:r w:rsidRPr="00375EDE">
        <w:rPr>
          <w:rFonts w:cs="Times New Roman"/>
          <w:szCs w:val="24"/>
          <w:lang w:val="fr-CA"/>
        </w:rPr>
        <w:t>n</w:t>
      </w:r>
      <w:r>
        <w:rPr>
          <w:rFonts w:cs="Times New Roman"/>
          <w:szCs w:val="24"/>
          <w:lang w:val="fr-CA"/>
        </w:rPr>
        <w:t>’</w:t>
      </w:r>
      <w:r w:rsidRPr="00375EDE">
        <w:rPr>
          <w:rFonts w:cs="Times New Roman"/>
          <w:szCs w:val="24"/>
          <w:lang w:val="fr-CA"/>
        </w:rPr>
        <w:t>a jamais essayé d</w:t>
      </w:r>
      <w:r>
        <w:rPr>
          <w:rFonts w:cs="Times New Roman"/>
          <w:szCs w:val="24"/>
          <w:lang w:val="fr-CA"/>
        </w:rPr>
        <w:t>’</w:t>
      </w:r>
      <w:r w:rsidRPr="00375EDE">
        <w:rPr>
          <w:rFonts w:cs="Times New Roman"/>
          <w:szCs w:val="24"/>
          <w:lang w:val="fr-CA"/>
        </w:rPr>
        <w:t>engager la responsabilité personnelle d</w:t>
      </w:r>
      <w:r>
        <w:rPr>
          <w:rFonts w:cs="Times New Roman"/>
          <w:szCs w:val="24"/>
          <w:lang w:val="fr-CA"/>
        </w:rPr>
        <w:t>’</w:t>
      </w:r>
      <w:r w:rsidRPr="00375EDE">
        <w:rPr>
          <w:rFonts w:cs="Times New Roman"/>
          <w:szCs w:val="24"/>
          <w:lang w:val="fr-CA"/>
        </w:rPr>
        <w:t xml:space="preserve">un syndic » </w:t>
      </w:r>
      <w:r w:rsidRPr="00375EDE">
        <w:rPr>
          <w:rFonts w:cs="Times New Roman"/>
          <w:lang w:val="fr-CA"/>
        </w:rPr>
        <w:t>(par. 107). Ce qui est clair, c</w:t>
      </w:r>
      <w:r>
        <w:rPr>
          <w:rFonts w:cs="Times New Roman"/>
          <w:lang w:val="fr-CA"/>
        </w:rPr>
        <w:t>’</w:t>
      </w:r>
      <w:r w:rsidRPr="00375EDE">
        <w:rPr>
          <w:rFonts w:cs="Times New Roman"/>
          <w:lang w:val="fr-CA"/>
        </w:rPr>
        <w:t>est qu</w:t>
      </w:r>
      <w:r>
        <w:rPr>
          <w:rFonts w:cs="Times New Roman"/>
          <w:lang w:val="fr-CA"/>
        </w:rPr>
        <w:t>’</w:t>
      </w:r>
      <w:r w:rsidRPr="00375EDE">
        <w:rPr>
          <w:rFonts w:cs="Times New Roman"/>
          <w:lang w:val="fr-CA"/>
        </w:rPr>
        <w:t>à la lumière des faits de l</w:t>
      </w:r>
      <w:r>
        <w:rPr>
          <w:rFonts w:cs="Times New Roman"/>
          <w:lang w:val="fr-CA"/>
        </w:rPr>
        <w:t>’</w:t>
      </w:r>
      <w:r w:rsidRPr="00375EDE">
        <w:rPr>
          <w:rFonts w:cs="Times New Roman"/>
          <w:lang w:val="fr-CA"/>
        </w:rPr>
        <w:t>espèce, l</w:t>
      </w:r>
      <w:r>
        <w:rPr>
          <w:rFonts w:cs="Times New Roman"/>
          <w:lang w:val="fr-CA"/>
        </w:rPr>
        <w:t>’</w:t>
      </w:r>
      <w:r w:rsidRPr="00375EDE">
        <w:rPr>
          <w:rFonts w:cs="Times New Roman"/>
          <w:lang w:val="fr-CA"/>
        </w:rPr>
        <w:t>AER a directement tenté de contraindre GTL à exécuter ou à payer lui</w:t>
      </w:r>
      <w:r w:rsidRPr="00375EDE">
        <w:rPr>
          <w:rFonts w:cs="Times New Roman"/>
          <w:lang w:val="fr-CA"/>
        </w:rPr>
        <w:noBreakHyphen/>
        <w:t>même les travaux d</w:t>
      </w:r>
      <w:r>
        <w:rPr>
          <w:rFonts w:cs="Times New Roman"/>
          <w:lang w:val="fr-CA"/>
        </w:rPr>
        <w:t>’</w:t>
      </w:r>
      <w:r w:rsidRPr="00375EDE">
        <w:rPr>
          <w:rFonts w:cs="Times New Roman"/>
          <w:lang w:val="fr-CA"/>
        </w:rPr>
        <w:t>abandon, que l</w:t>
      </w:r>
      <w:r>
        <w:rPr>
          <w:rFonts w:cs="Times New Roman"/>
          <w:lang w:val="fr-CA"/>
        </w:rPr>
        <w:t>’</w:t>
      </w:r>
      <w:r w:rsidRPr="00375EDE">
        <w:rPr>
          <w:rFonts w:cs="Times New Roman"/>
          <w:lang w:val="fr-CA"/>
        </w:rPr>
        <w:t>on qualifie cela de responsabilité personnelle ou non. Il est primordial de faire remarquer que le présent litige a commencé lorsque l</w:t>
      </w:r>
      <w:r>
        <w:rPr>
          <w:rFonts w:cs="Times New Roman"/>
          <w:lang w:val="fr-CA"/>
        </w:rPr>
        <w:t>’</w:t>
      </w:r>
      <w:r w:rsidRPr="00375EDE">
        <w:rPr>
          <w:rFonts w:cs="Times New Roman"/>
          <w:lang w:val="fr-CA"/>
        </w:rPr>
        <w:t>AER a déposé une demande visant à contraindre GTL à respecter ses obligations en tant que titulaire de permis, notamment l</w:t>
      </w:r>
      <w:r>
        <w:rPr>
          <w:rFonts w:cs="Times New Roman"/>
          <w:lang w:val="fr-CA"/>
        </w:rPr>
        <w:t>’</w:t>
      </w:r>
      <w:r w:rsidRPr="00375EDE">
        <w:rPr>
          <w:rFonts w:cs="Times New Roman"/>
          <w:lang w:val="fr-CA"/>
        </w:rPr>
        <w:t>obligation d</w:t>
      </w:r>
      <w:r>
        <w:rPr>
          <w:rFonts w:cs="Times New Roman"/>
          <w:lang w:val="fr-CA"/>
        </w:rPr>
        <w:t>’</w:t>
      </w:r>
      <w:r w:rsidRPr="00375EDE">
        <w:rPr>
          <w:rFonts w:cs="Times New Roman"/>
          <w:lang w:val="fr-CA"/>
        </w:rPr>
        <w:t xml:space="preserve">abandonner des biens inexploités. Sur le plan pratique, cela constituait </w:t>
      </w:r>
      <w:r w:rsidRPr="00375EDE">
        <w:rPr>
          <w:rFonts w:eastAsia="Times New Roman" w:cs="Times New Roman"/>
          <w:szCs w:val="24"/>
          <w:lang w:val="fr-CA" w:eastAsia="en-CA"/>
        </w:rPr>
        <w:t xml:space="preserve">une </w:t>
      </w:r>
      <w:r w:rsidRPr="00375EDE">
        <w:rPr>
          <w:rFonts w:cs="Times New Roman"/>
          <w:lang w:val="fr-CA"/>
        </w:rPr>
        <w:t>tentative de tenir GTL personnellement responsable. Où d</w:t>
      </w:r>
      <w:r>
        <w:rPr>
          <w:rFonts w:cs="Times New Roman"/>
          <w:lang w:val="fr-CA"/>
        </w:rPr>
        <w:t>’</w:t>
      </w:r>
      <w:r w:rsidRPr="00375EDE">
        <w:rPr>
          <w:rFonts w:cs="Times New Roman"/>
          <w:lang w:val="fr-CA"/>
        </w:rPr>
        <w:t>autre aurait</w:t>
      </w:r>
      <w:r w:rsidRPr="00375EDE">
        <w:rPr>
          <w:rFonts w:cs="Times New Roman"/>
          <w:lang w:val="fr-CA"/>
        </w:rPr>
        <w:noBreakHyphen/>
        <w:t>on pris l</w:t>
      </w:r>
      <w:r>
        <w:rPr>
          <w:rFonts w:cs="Times New Roman"/>
          <w:lang w:val="fr-CA"/>
        </w:rPr>
        <w:t>’</w:t>
      </w:r>
      <w:r w:rsidRPr="00375EDE">
        <w:rPr>
          <w:rFonts w:cs="Times New Roman"/>
          <w:lang w:val="fr-CA"/>
        </w:rPr>
        <w:t>argent nécessaire à l</w:t>
      </w:r>
      <w:r>
        <w:rPr>
          <w:rFonts w:cs="Times New Roman"/>
          <w:lang w:val="fr-CA"/>
        </w:rPr>
        <w:t>’</w:t>
      </w:r>
      <w:r w:rsidRPr="00375EDE">
        <w:rPr>
          <w:rFonts w:cs="Times New Roman"/>
          <w:lang w:val="fr-CA"/>
        </w:rPr>
        <w:t>abandon des biens visés par les renonciations? La valeur de l</w:t>
      </w:r>
      <w:r>
        <w:rPr>
          <w:rFonts w:cs="Times New Roman"/>
          <w:lang w:val="fr-CA"/>
        </w:rPr>
        <w:t>’</w:t>
      </w:r>
      <w:r w:rsidRPr="00375EDE">
        <w:rPr>
          <w:rFonts w:cs="Times New Roman"/>
          <w:lang w:val="fr-CA"/>
        </w:rPr>
        <w:t>actif dans son ensemble était négative, et l</w:t>
      </w:r>
      <w:r>
        <w:rPr>
          <w:rFonts w:cs="Times New Roman"/>
          <w:lang w:val="fr-CA"/>
        </w:rPr>
        <w:t>’</w:t>
      </w:r>
      <w:r w:rsidRPr="00375EDE">
        <w:rPr>
          <w:rFonts w:cs="Times New Roman"/>
          <w:lang w:val="fr-CA"/>
        </w:rPr>
        <w:t>AER a refusé de permettre à GTL de vendre isolément les biens de valeur. Personne n</w:t>
      </w:r>
      <w:r>
        <w:rPr>
          <w:rFonts w:cs="Times New Roman"/>
          <w:lang w:val="fr-CA"/>
        </w:rPr>
        <w:t>’</w:t>
      </w:r>
      <w:r w:rsidRPr="00375EDE">
        <w:rPr>
          <w:rFonts w:cs="Times New Roman"/>
          <w:lang w:val="fr-CA"/>
        </w:rPr>
        <w:t>aurait consenti à acheter les biens tous ensemble. GTL ne disposait par conséquent d</w:t>
      </w:r>
      <w:r>
        <w:rPr>
          <w:rFonts w:cs="Times New Roman"/>
          <w:lang w:val="fr-CA"/>
        </w:rPr>
        <w:t>’</w:t>
      </w:r>
      <w:r w:rsidRPr="00375EDE">
        <w:rPr>
          <w:rFonts w:cs="Times New Roman"/>
          <w:lang w:val="fr-CA"/>
        </w:rPr>
        <w:t>aucun moyen de recouvrer une quelconque valeur de l</w:t>
      </w:r>
      <w:r>
        <w:rPr>
          <w:rFonts w:cs="Times New Roman"/>
          <w:lang w:val="fr-CA"/>
        </w:rPr>
        <w:t>’</w:t>
      </w:r>
      <w:r w:rsidRPr="00375EDE">
        <w:rPr>
          <w:rFonts w:cs="Times New Roman"/>
          <w:lang w:val="fr-CA"/>
        </w:rPr>
        <w:t xml:space="preserve">actif, car Redwater était en faillite et ne générait plus aucun revenu. La </w:t>
      </w:r>
      <w:r w:rsidRPr="00375EDE">
        <w:rPr>
          <w:rFonts w:cs="Times New Roman"/>
          <w:i/>
          <w:lang w:val="fr-CA"/>
        </w:rPr>
        <w:t xml:space="preserve">seule </w:t>
      </w:r>
      <w:r w:rsidRPr="00375EDE">
        <w:rPr>
          <w:rFonts w:cs="Times New Roman"/>
          <w:lang w:val="fr-CA"/>
        </w:rPr>
        <w:t>source de fonds, dans ce scénario, était GTL lui</w:t>
      </w:r>
      <w:r w:rsidRPr="00375EDE">
        <w:rPr>
          <w:rFonts w:cs="Times New Roman"/>
          <w:lang w:val="fr-CA"/>
        </w:rPr>
        <w:noBreakHyphen/>
        <w:t>même. C</w:t>
      </w:r>
      <w:r>
        <w:rPr>
          <w:rFonts w:cs="Times New Roman"/>
          <w:lang w:val="fr-CA"/>
        </w:rPr>
        <w:t>’</w:t>
      </w:r>
      <w:r w:rsidRPr="00375EDE">
        <w:rPr>
          <w:rFonts w:cs="Times New Roman"/>
          <w:lang w:val="fr-CA"/>
        </w:rPr>
        <w:t>est pourquoi l</w:t>
      </w:r>
      <w:r>
        <w:rPr>
          <w:rFonts w:cs="Times New Roman"/>
          <w:lang w:val="fr-CA"/>
        </w:rPr>
        <w:t>’</w:t>
      </w:r>
      <w:r w:rsidRPr="00375EDE">
        <w:rPr>
          <w:rFonts w:cs="Times New Roman"/>
          <w:lang w:val="fr-CA"/>
        </w:rPr>
        <w:t>AER a intenté une poursuite visant à contraindre GTL à exécuter les obligations d</w:t>
      </w:r>
      <w:r>
        <w:rPr>
          <w:rFonts w:cs="Times New Roman"/>
          <w:lang w:val="fr-CA"/>
        </w:rPr>
        <w:t>’</w:t>
      </w:r>
      <w:r w:rsidRPr="00375EDE">
        <w:rPr>
          <w:rFonts w:cs="Times New Roman"/>
          <w:lang w:val="fr-CA"/>
        </w:rPr>
        <w:t>abandon de Redwater. Il est donc clair que je ne puis souscrire à l</w:t>
      </w:r>
      <w:r>
        <w:rPr>
          <w:rFonts w:cs="Times New Roman"/>
          <w:lang w:val="fr-CA"/>
        </w:rPr>
        <w:t>’</w:t>
      </w:r>
      <w:r w:rsidRPr="00375EDE">
        <w:rPr>
          <w:rFonts w:cs="Times New Roman"/>
          <w:lang w:val="fr-CA"/>
        </w:rPr>
        <w:t>idée que le régime provincial n</w:t>
      </w:r>
      <w:r>
        <w:rPr>
          <w:rFonts w:cs="Times New Roman"/>
          <w:lang w:val="fr-CA"/>
        </w:rPr>
        <w:t>’</w:t>
      </w:r>
      <w:r w:rsidRPr="00375EDE">
        <w:rPr>
          <w:rFonts w:cs="Times New Roman"/>
          <w:lang w:val="fr-CA"/>
        </w:rPr>
        <w:t>a jamais été utilisé pour tenir les syndics personnellement responsables en violation de la loi fédérale. C</w:t>
      </w:r>
      <w:r>
        <w:rPr>
          <w:rFonts w:cs="Times New Roman"/>
          <w:lang w:val="fr-CA"/>
        </w:rPr>
        <w:t>’</w:t>
      </w:r>
      <w:r w:rsidRPr="00375EDE">
        <w:rPr>
          <w:rFonts w:cs="Times New Roman"/>
          <w:lang w:val="fr-CA"/>
        </w:rPr>
        <w:t>est justement ce qui s</w:t>
      </w:r>
      <w:r>
        <w:rPr>
          <w:rFonts w:cs="Times New Roman"/>
          <w:lang w:val="fr-CA"/>
        </w:rPr>
        <w:t>’</w:t>
      </w:r>
      <w:r w:rsidRPr="00375EDE">
        <w:rPr>
          <w:rFonts w:cs="Times New Roman"/>
          <w:lang w:val="fr-CA"/>
        </w:rPr>
        <w:t xml:space="preserve">est passé dans la présente affaire. </w:t>
      </w:r>
    </w:p>
    <w:p w:rsidR="00DF13E5" w:rsidRPr="00375EDE" w:rsidRDefault="00DF13E5" w:rsidP="00DF13E5">
      <w:pPr>
        <w:pStyle w:val="ParaNoNdepar-AltN"/>
        <w:rPr>
          <w:rFonts w:cs="Times New Roman"/>
          <w:lang w:val="fr-CA"/>
        </w:rPr>
      </w:pPr>
      <w:r w:rsidRPr="00375EDE">
        <w:rPr>
          <w:rFonts w:cs="Times New Roman"/>
          <w:lang w:val="fr-CA"/>
        </w:rPr>
        <w:t xml:space="preserve">On ne peut éviter cette conclusion en invoquant le fait que, conformément aux ordonnances des tribunaux albertains, GTL a déjà vendu les biens de valeur de </w:t>
      </w:r>
      <w:r w:rsidRPr="00375EDE">
        <w:rPr>
          <w:rFonts w:cs="Times New Roman"/>
          <w:lang w:val="fr-CA"/>
        </w:rPr>
        <w:lastRenderedPageBreak/>
        <w:t>Redwater et que le produit de leur vente est détenu en fiducie en attendant l</w:t>
      </w:r>
      <w:r>
        <w:rPr>
          <w:rFonts w:cs="Times New Roman"/>
          <w:lang w:val="fr-CA"/>
        </w:rPr>
        <w:t>’</w:t>
      </w:r>
      <w:r w:rsidRPr="00375EDE">
        <w:rPr>
          <w:rFonts w:cs="Times New Roman"/>
          <w:lang w:val="fr-CA"/>
        </w:rPr>
        <w:t>issue du présent pourvoi (voir les motifs de la majorité, par. 108). C</w:t>
      </w:r>
      <w:r>
        <w:rPr>
          <w:rFonts w:cs="Times New Roman"/>
          <w:lang w:val="fr-CA"/>
        </w:rPr>
        <w:t>’</w:t>
      </w:r>
      <w:r w:rsidRPr="00375EDE">
        <w:rPr>
          <w:rFonts w:cs="Times New Roman"/>
          <w:lang w:val="fr-CA"/>
        </w:rPr>
        <w:t>est exactement le résultat que l</w:t>
      </w:r>
      <w:r>
        <w:rPr>
          <w:rFonts w:cs="Times New Roman"/>
          <w:lang w:val="fr-CA"/>
        </w:rPr>
        <w:t>’</w:t>
      </w:r>
      <w:r w:rsidRPr="00375EDE">
        <w:rPr>
          <w:rFonts w:cs="Times New Roman"/>
          <w:lang w:val="fr-CA"/>
        </w:rPr>
        <w:t>AER a cherché à prévenir en empêchant GTL de vendre uniquement les biens de valeur, sans les biens faisant l</w:t>
      </w:r>
      <w:r>
        <w:rPr>
          <w:rFonts w:cs="Times New Roman"/>
          <w:lang w:val="fr-CA"/>
        </w:rPr>
        <w:t>’</w:t>
      </w:r>
      <w:r w:rsidRPr="00375EDE">
        <w:rPr>
          <w:rFonts w:cs="Times New Roman"/>
          <w:lang w:val="fr-CA"/>
        </w:rPr>
        <w:t>objet de la renonciation. GTL n</w:t>
      </w:r>
      <w:r>
        <w:rPr>
          <w:rFonts w:cs="Times New Roman"/>
          <w:lang w:val="fr-CA"/>
        </w:rPr>
        <w:t>’</w:t>
      </w:r>
      <w:r w:rsidRPr="00375EDE">
        <w:rPr>
          <w:rFonts w:cs="Times New Roman"/>
          <w:lang w:val="fr-CA"/>
        </w:rPr>
        <w:t>est parvenu à le faire qu</w:t>
      </w:r>
      <w:r>
        <w:rPr>
          <w:rFonts w:cs="Times New Roman"/>
          <w:lang w:val="fr-CA"/>
        </w:rPr>
        <w:t>’</w:t>
      </w:r>
      <w:r w:rsidRPr="00375EDE">
        <w:rPr>
          <w:rFonts w:cs="Times New Roman"/>
          <w:lang w:val="fr-CA"/>
        </w:rPr>
        <w:t>à la suite du présent litige.</w:t>
      </w:r>
    </w:p>
    <w:p w:rsidR="00DF13E5" w:rsidRPr="00375EDE" w:rsidRDefault="00DF13E5" w:rsidP="00DF13E5">
      <w:pPr>
        <w:pStyle w:val="ParaNoNdepar-AltN"/>
        <w:rPr>
          <w:rFonts w:cs="Times New Roman"/>
          <w:lang w:val="fr-CA"/>
        </w:rPr>
      </w:pPr>
      <w:r w:rsidRPr="00375EDE">
        <w:rPr>
          <w:rFonts w:cs="Times New Roman"/>
          <w:lang w:val="fr-CA"/>
        </w:rPr>
        <w:t>Mon collègue dit que, si l</w:t>
      </w:r>
      <w:r>
        <w:rPr>
          <w:rFonts w:cs="Times New Roman"/>
          <w:lang w:val="fr-CA"/>
        </w:rPr>
        <w:t>’</w:t>
      </w:r>
      <w:r w:rsidRPr="00375EDE">
        <w:rPr>
          <w:rFonts w:cs="Times New Roman"/>
          <w:lang w:val="fr-CA"/>
        </w:rPr>
        <w:t>AER « </w:t>
      </w:r>
      <w:r w:rsidRPr="00375EDE">
        <w:rPr>
          <w:rFonts w:cs="Times New Roman"/>
          <w:szCs w:val="24"/>
          <w:lang w:val="fr-CA"/>
        </w:rPr>
        <w:t>devait tenter d</w:t>
      </w:r>
      <w:r>
        <w:rPr>
          <w:rFonts w:cs="Times New Roman"/>
          <w:szCs w:val="24"/>
          <w:lang w:val="fr-CA"/>
        </w:rPr>
        <w:t>’</w:t>
      </w:r>
      <w:r w:rsidRPr="00375EDE">
        <w:rPr>
          <w:rFonts w:cs="Times New Roman"/>
          <w:szCs w:val="24"/>
          <w:lang w:val="fr-CA"/>
        </w:rPr>
        <w:t xml:space="preserve">obliger personnellement </w:t>
      </w:r>
      <w:r w:rsidR="00CB01F5">
        <w:rPr>
          <w:rFonts w:cs="Times New Roman"/>
          <w:szCs w:val="24"/>
          <w:lang w:val="fr-CA"/>
        </w:rPr>
        <w:t>GTL</w:t>
      </w:r>
      <w:r w:rsidRPr="00375EDE">
        <w:rPr>
          <w:rFonts w:cs="Times New Roman"/>
          <w:szCs w:val="24"/>
          <w:lang w:val="fr-CA"/>
        </w:rPr>
        <w:t xml:space="preserve"> à se conformer aux ordonnances d</w:t>
      </w:r>
      <w:r>
        <w:rPr>
          <w:rFonts w:cs="Times New Roman"/>
          <w:szCs w:val="24"/>
          <w:lang w:val="fr-CA"/>
        </w:rPr>
        <w:t>’</w:t>
      </w:r>
      <w:r w:rsidRPr="00375EDE">
        <w:rPr>
          <w:rFonts w:cs="Times New Roman"/>
          <w:szCs w:val="24"/>
          <w:lang w:val="fr-CA"/>
        </w:rPr>
        <w:t xml:space="preserve">abandon, </w:t>
      </w:r>
      <w:r w:rsidR="00CB01F5">
        <w:rPr>
          <w:rFonts w:cs="Times New Roman"/>
          <w:szCs w:val="24"/>
          <w:lang w:val="fr-CA"/>
        </w:rPr>
        <w:t>cela engenderait</w:t>
      </w:r>
      <w:r w:rsidRPr="00375EDE">
        <w:rPr>
          <w:rFonts w:cs="Times New Roman"/>
          <w:szCs w:val="24"/>
          <w:lang w:val="fr-CA"/>
        </w:rPr>
        <w:t xml:space="preserve"> un conflit d</w:t>
      </w:r>
      <w:r>
        <w:rPr>
          <w:rFonts w:cs="Times New Roman"/>
          <w:szCs w:val="24"/>
          <w:lang w:val="fr-CA"/>
        </w:rPr>
        <w:t>’</w:t>
      </w:r>
      <w:r w:rsidRPr="00375EDE">
        <w:rPr>
          <w:rFonts w:cs="Times New Roman"/>
          <w:szCs w:val="24"/>
          <w:lang w:val="fr-CA"/>
        </w:rPr>
        <w:t>application entre, d</w:t>
      </w:r>
      <w:r>
        <w:rPr>
          <w:rFonts w:cs="Times New Roman"/>
          <w:szCs w:val="24"/>
          <w:lang w:val="fr-CA"/>
        </w:rPr>
        <w:t>’</w:t>
      </w:r>
      <w:r w:rsidRPr="00375EDE">
        <w:rPr>
          <w:rFonts w:cs="Times New Roman"/>
          <w:szCs w:val="24"/>
          <w:lang w:val="fr-CA"/>
        </w:rPr>
        <w:t>une part, l</w:t>
      </w:r>
      <w:r>
        <w:rPr>
          <w:rFonts w:cs="Times New Roman"/>
          <w:szCs w:val="24"/>
          <w:lang w:val="fr-CA"/>
        </w:rPr>
        <w:t>’</w:t>
      </w:r>
      <w:r w:rsidRPr="0059011A">
        <w:rPr>
          <w:rFonts w:cs="Times New Roman"/>
          <w:i/>
          <w:szCs w:val="24"/>
          <w:lang w:val="fr-CA"/>
        </w:rPr>
        <w:t>OGCA</w:t>
      </w:r>
      <w:r w:rsidRPr="00375EDE">
        <w:rPr>
          <w:rFonts w:cs="Times New Roman"/>
          <w:szCs w:val="24"/>
          <w:lang w:val="fr-CA"/>
        </w:rPr>
        <w:t xml:space="preserve"> et la </w:t>
      </w:r>
      <w:r w:rsidRPr="00375EDE">
        <w:rPr>
          <w:rFonts w:cs="Times New Roman"/>
          <w:i/>
          <w:szCs w:val="24"/>
          <w:lang w:val="fr-CA"/>
        </w:rPr>
        <w:t xml:space="preserve">Pipeline Act </w:t>
      </w:r>
      <w:r w:rsidRPr="00375EDE">
        <w:rPr>
          <w:rFonts w:cs="Times New Roman"/>
          <w:szCs w:val="24"/>
          <w:lang w:val="fr-CA"/>
        </w:rPr>
        <w:t>et, d</w:t>
      </w:r>
      <w:r>
        <w:rPr>
          <w:rFonts w:cs="Times New Roman"/>
          <w:szCs w:val="24"/>
          <w:lang w:val="fr-CA"/>
        </w:rPr>
        <w:t>’</w:t>
      </w:r>
      <w:r w:rsidRPr="00375EDE">
        <w:rPr>
          <w:rFonts w:cs="Times New Roman"/>
          <w:szCs w:val="24"/>
          <w:lang w:val="fr-CA"/>
        </w:rPr>
        <w:t xml:space="preserve">autre part, le par. 14.06(2) de la </w:t>
      </w:r>
      <w:r w:rsidRPr="0059011A">
        <w:rPr>
          <w:rFonts w:cs="Times New Roman"/>
          <w:i/>
          <w:szCs w:val="24"/>
          <w:lang w:val="fr-CA"/>
        </w:rPr>
        <w:t>LFI</w:t>
      </w:r>
      <w:r w:rsidRPr="00375EDE">
        <w:rPr>
          <w:rFonts w:cs="Times New Roman"/>
          <w:szCs w:val="24"/>
          <w:lang w:val="fr-CA"/>
        </w:rPr>
        <w:t>, ce qui rendrait les deux premières lois inopérantes dans la mesure de ce conflit </w:t>
      </w:r>
      <w:r w:rsidRPr="00375EDE">
        <w:rPr>
          <w:rFonts w:cs="Times New Roman"/>
          <w:lang w:val="fr-CA"/>
        </w:rPr>
        <w:t>» (par. 107). Ainsi, même d</w:t>
      </w:r>
      <w:r>
        <w:rPr>
          <w:rFonts w:cs="Times New Roman"/>
          <w:lang w:val="fr-CA"/>
        </w:rPr>
        <w:t>’</w:t>
      </w:r>
      <w:r w:rsidRPr="00375EDE">
        <w:rPr>
          <w:rFonts w:cs="Times New Roman"/>
          <w:lang w:val="fr-CA"/>
        </w:rPr>
        <w:t>après l</w:t>
      </w:r>
      <w:r>
        <w:rPr>
          <w:rFonts w:cs="Times New Roman"/>
          <w:lang w:val="fr-CA"/>
        </w:rPr>
        <w:t>’</w:t>
      </w:r>
      <w:r w:rsidRPr="00375EDE">
        <w:rPr>
          <w:rFonts w:cs="Times New Roman"/>
          <w:lang w:val="fr-CA"/>
        </w:rPr>
        <w:t>interprétation donnée par mon collègue à l</w:t>
      </w:r>
      <w:r>
        <w:rPr>
          <w:rFonts w:cs="Times New Roman"/>
          <w:lang w:val="fr-CA"/>
        </w:rPr>
        <w:t>’</w:t>
      </w:r>
      <w:r w:rsidRPr="00375EDE">
        <w:rPr>
          <w:rFonts w:cs="Times New Roman"/>
          <w:lang w:val="fr-CA"/>
        </w:rPr>
        <w:t>art. 14.06 — que je ne retiens pas — il existe bel et bien un conflit d</w:t>
      </w:r>
      <w:r>
        <w:rPr>
          <w:rFonts w:cs="Times New Roman"/>
          <w:lang w:val="fr-CA"/>
        </w:rPr>
        <w:t>’</w:t>
      </w:r>
      <w:r w:rsidRPr="00375EDE">
        <w:rPr>
          <w:rFonts w:cs="Times New Roman"/>
          <w:lang w:val="fr-CA"/>
        </w:rPr>
        <w:t>application eu égard aux faits de l</w:t>
      </w:r>
      <w:r>
        <w:rPr>
          <w:rFonts w:cs="Times New Roman"/>
          <w:lang w:val="fr-CA"/>
        </w:rPr>
        <w:t>’</w:t>
      </w:r>
      <w:r w:rsidRPr="00375EDE">
        <w:rPr>
          <w:rFonts w:cs="Times New Roman"/>
          <w:lang w:val="fr-CA"/>
        </w:rPr>
        <w:t>espèce, surtout du fait de la demande présentée par l</w:t>
      </w:r>
      <w:r>
        <w:rPr>
          <w:rFonts w:cs="Times New Roman"/>
          <w:lang w:val="fr-CA"/>
        </w:rPr>
        <w:t>’</w:t>
      </w:r>
      <w:r w:rsidRPr="00375EDE">
        <w:rPr>
          <w:rFonts w:cs="Times New Roman"/>
          <w:lang w:val="fr-CA"/>
        </w:rPr>
        <w:t>AER à la Cour du Banc de la Reine de l</w:t>
      </w:r>
      <w:r>
        <w:rPr>
          <w:rFonts w:cs="Times New Roman"/>
          <w:lang w:val="fr-CA"/>
        </w:rPr>
        <w:t>’</w:t>
      </w:r>
      <w:r w:rsidRPr="00375EDE">
        <w:rPr>
          <w:rFonts w:cs="Times New Roman"/>
          <w:lang w:val="fr-CA"/>
        </w:rPr>
        <w:t>Alberta pour que GTL respecte personnellement les obligations environnementales associées aux biens faisant l</w:t>
      </w:r>
      <w:r>
        <w:rPr>
          <w:rFonts w:cs="Times New Roman"/>
          <w:lang w:val="fr-CA"/>
        </w:rPr>
        <w:t>’</w:t>
      </w:r>
      <w:r w:rsidRPr="00375EDE">
        <w:rPr>
          <w:rFonts w:cs="Times New Roman"/>
          <w:lang w:val="fr-CA"/>
        </w:rPr>
        <w:t>objet de la renonciation.</w:t>
      </w:r>
    </w:p>
    <w:p w:rsidR="00DF13E5" w:rsidRPr="00375EDE" w:rsidRDefault="00DF13E5" w:rsidP="00DF13E5">
      <w:pPr>
        <w:pStyle w:val="ParaNoNdepar-AltN"/>
        <w:rPr>
          <w:rFonts w:cs="Times New Roman"/>
          <w:lang w:val="fr-CA"/>
        </w:rPr>
      </w:pPr>
      <w:r w:rsidRPr="00375EDE">
        <w:rPr>
          <w:rFonts w:cs="Times New Roman"/>
          <w:lang w:val="fr-CA"/>
        </w:rPr>
        <w:t xml:space="preserve">Tout cela étant dit, les créanciers ayant des réclamations prouvables peuvent toujours demander un paiement conformément au régime de priorité établi par la </w:t>
      </w:r>
      <w:r w:rsidRPr="0059011A">
        <w:rPr>
          <w:rFonts w:cs="Times New Roman"/>
          <w:i/>
          <w:lang w:val="fr-CA"/>
        </w:rPr>
        <w:t>LFI</w:t>
      </w:r>
      <w:r w:rsidRPr="00375EDE">
        <w:rPr>
          <w:rFonts w:cs="Times New Roman"/>
          <w:lang w:val="fr-CA"/>
        </w:rPr>
        <w:t xml:space="preserve"> (</w:t>
      </w:r>
      <w:r w:rsidRPr="00375EDE">
        <w:rPr>
          <w:rFonts w:cs="Times New Roman"/>
          <w:i/>
          <w:lang w:val="fr-CA"/>
        </w:rPr>
        <w:t>Abitibi</w:t>
      </w:r>
      <w:r w:rsidRPr="00375EDE">
        <w:rPr>
          <w:rFonts w:cs="Times New Roman"/>
          <w:lang w:val="fr-CA"/>
        </w:rPr>
        <w:t>, par. 98). Comme je l</w:t>
      </w:r>
      <w:r>
        <w:rPr>
          <w:rFonts w:cs="Times New Roman"/>
          <w:lang w:val="fr-CA"/>
        </w:rPr>
        <w:t>’</w:t>
      </w:r>
      <w:r w:rsidRPr="00375EDE">
        <w:rPr>
          <w:rFonts w:cs="Times New Roman"/>
          <w:lang w:val="fr-CA"/>
        </w:rPr>
        <w:t>explique plus loin, les réclamations environnementales de l</w:t>
      </w:r>
      <w:r>
        <w:rPr>
          <w:rFonts w:cs="Times New Roman"/>
          <w:lang w:val="fr-CA"/>
        </w:rPr>
        <w:t>’</w:t>
      </w:r>
      <w:r w:rsidRPr="00375EDE">
        <w:rPr>
          <w:rFonts w:cs="Times New Roman"/>
          <w:lang w:val="fr-CA"/>
        </w:rPr>
        <w:t>AER demeurent valides à l</w:t>
      </w:r>
      <w:r>
        <w:rPr>
          <w:rFonts w:cs="Times New Roman"/>
          <w:lang w:val="fr-CA"/>
        </w:rPr>
        <w:t>’</w:t>
      </w:r>
      <w:r w:rsidRPr="00375EDE">
        <w:rPr>
          <w:rFonts w:cs="Times New Roman"/>
          <w:lang w:val="fr-CA"/>
        </w:rPr>
        <w:t>égard de l</w:t>
      </w:r>
      <w:r>
        <w:rPr>
          <w:rFonts w:cs="Times New Roman"/>
          <w:lang w:val="fr-CA"/>
        </w:rPr>
        <w:t>’</w:t>
      </w:r>
      <w:r w:rsidRPr="00375EDE">
        <w:rPr>
          <w:rFonts w:cs="Times New Roman"/>
          <w:lang w:val="fr-CA"/>
        </w:rPr>
        <w:t>actif de Redwater, et il peut faire valoir ces réclamations dans le cadre du processus normal de faillite. Donc, même si le par. 14.06(4) n</w:t>
      </w:r>
      <w:r>
        <w:rPr>
          <w:rFonts w:cs="Times New Roman"/>
          <w:lang w:val="fr-CA"/>
        </w:rPr>
        <w:t>’</w:t>
      </w:r>
      <w:r w:rsidRPr="00375EDE">
        <w:rPr>
          <w:rFonts w:cs="Times New Roman"/>
          <w:lang w:val="fr-CA"/>
        </w:rPr>
        <w:t>autorise pas GTL à renoncer aux puits inexploités et à se libérer des obligations environnementales qui s</w:t>
      </w:r>
      <w:r>
        <w:rPr>
          <w:rFonts w:cs="Times New Roman"/>
          <w:lang w:val="fr-CA"/>
        </w:rPr>
        <w:t>’</w:t>
      </w:r>
      <w:r w:rsidRPr="00375EDE">
        <w:rPr>
          <w:rFonts w:cs="Times New Roman"/>
          <w:lang w:val="fr-CA"/>
        </w:rPr>
        <w:t>y rattachent, il n</w:t>
      </w:r>
      <w:r>
        <w:rPr>
          <w:rFonts w:cs="Times New Roman"/>
          <w:lang w:val="fr-CA"/>
        </w:rPr>
        <w:t>’</w:t>
      </w:r>
      <w:r w:rsidRPr="00375EDE">
        <w:rPr>
          <w:rFonts w:cs="Times New Roman"/>
          <w:lang w:val="fr-CA"/>
        </w:rPr>
        <w:t xml:space="preserve">en demeure pas moins </w:t>
      </w:r>
      <w:r w:rsidRPr="00375EDE">
        <w:rPr>
          <w:rFonts w:cs="Times New Roman"/>
          <w:lang w:val="fr-CA"/>
        </w:rPr>
        <w:lastRenderedPageBreak/>
        <w:t>que l</w:t>
      </w:r>
      <w:r>
        <w:rPr>
          <w:rFonts w:cs="Times New Roman"/>
          <w:lang w:val="fr-CA"/>
        </w:rPr>
        <w:t>’</w:t>
      </w:r>
      <w:r w:rsidRPr="00375EDE">
        <w:rPr>
          <w:rFonts w:cs="Times New Roman"/>
          <w:lang w:val="fr-CA"/>
        </w:rPr>
        <w:t xml:space="preserve">AER ne peut pas contraindre GTL à régler ses propres réclamations avant celles des créanciers garantis de Redwater. </w:t>
      </w:r>
    </w:p>
    <w:p w:rsidR="00DF13E5" w:rsidRPr="00375EDE" w:rsidRDefault="00DF13E5" w:rsidP="00DF13E5">
      <w:pPr>
        <w:pStyle w:val="Title2LevelTitre2Niveau"/>
        <w:numPr>
          <w:ilvl w:val="1"/>
          <w:numId w:val="8"/>
        </w:numPr>
        <w:jc w:val="left"/>
        <w:rPr>
          <w:rFonts w:cs="Times New Roman"/>
          <w:lang w:val="fr-CA"/>
        </w:rPr>
      </w:pPr>
      <w:r w:rsidRPr="00375EDE">
        <w:rPr>
          <w:rFonts w:cs="Times New Roman"/>
          <w:lang w:val="fr-CA"/>
        </w:rPr>
        <w:t>Entrave à la réalisation d</w:t>
      </w:r>
      <w:r>
        <w:rPr>
          <w:rFonts w:cs="Times New Roman"/>
          <w:lang w:val="fr-CA"/>
        </w:rPr>
        <w:t>’</w:t>
      </w:r>
      <w:r w:rsidRPr="00375EDE">
        <w:rPr>
          <w:rFonts w:cs="Times New Roman"/>
          <w:lang w:val="fr-CA"/>
        </w:rPr>
        <w:t>un objet fédéral</w:t>
      </w:r>
    </w:p>
    <w:p w:rsidR="00DF13E5" w:rsidRPr="00375EDE" w:rsidRDefault="00DF13E5" w:rsidP="00DF13E5">
      <w:pPr>
        <w:pStyle w:val="ParaNoNdepar-AltN"/>
        <w:rPr>
          <w:rFonts w:cs="Times New Roman"/>
          <w:lang w:val="fr-CA"/>
        </w:rPr>
      </w:pPr>
      <w:r w:rsidRPr="00375EDE">
        <w:rPr>
          <w:rFonts w:cs="Times New Roman"/>
          <w:lang w:val="fr-CA"/>
        </w:rPr>
        <w:t>Le second volet du test de la prépondérance est l</w:t>
      </w:r>
      <w:r>
        <w:rPr>
          <w:rFonts w:cs="Times New Roman"/>
          <w:lang w:val="fr-CA"/>
        </w:rPr>
        <w:t>’</w:t>
      </w:r>
      <w:r w:rsidRPr="00375EDE">
        <w:rPr>
          <w:rFonts w:cs="Times New Roman"/>
          <w:lang w:val="fr-CA"/>
        </w:rPr>
        <w:t>entrave à la réalisation d</w:t>
      </w:r>
      <w:r>
        <w:rPr>
          <w:rFonts w:cs="Times New Roman"/>
          <w:lang w:val="fr-CA"/>
        </w:rPr>
        <w:t>’</w:t>
      </w:r>
      <w:r w:rsidRPr="00375EDE">
        <w:rPr>
          <w:rFonts w:cs="Times New Roman"/>
          <w:lang w:val="fr-CA"/>
        </w:rPr>
        <w:t>un objet fédéral. Même lorsqu</w:t>
      </w:r>
      <w:r>
        <w:rPr>
          <w:rFonts w:cs="Times New Roman"/>
          <w:lang w:val="fr-CA"/>
        </w:rPr>
        <w:t>’</w:t>
      </w:r>
      <w:r w:rsidRPr="00375EDE">
        <w:rPr>
          <w:rFonts w:cs="Times New Roman"/>
          <w:lang w:val="fr-CA"/>
        </w:rPr>
        <w:t>il est à proprement parler possible de se conformer à la fois à la loi fédérale et à la loi provinciale, la loi ou les dispositions provinciales seront néanmoins rendues inopérantes dans la mesure où elles ont pour effet d</w:t>
      </w:r>
      <w:r>
        <w:rPr>
          <w:rFonts w:cs="Times New Roman"/>
          <w:lang w:val="fr-CA"/>
        </w:rPr>
        <w:t>’</w:t>
      </w:r>
      <w:r w:rsidRPr="00375EDE">
        <w:rPr>
          <w:rFonts w:cs="Times New Roman"/>
          <w:lang w:val="fr-CA"/>
        </w:rPr>
        <w:t>entraver la réalisation d</w:t>
      </w:r>
      <w:r>
        <w:rPr>
          <w:rFonts w:cs="Times New Roman"/>
          <w:lang w:val="fr-CA"/>
        </w:rPr>
        <w:t>’</w:t>
      </w:r>
      <w:r w:rsidRPr="00375EDE">
        <w:rPr>
          <w:rFonts w:cs="Times New Roman"/>
          <w:lang w:val="fr-CA"/>
        </w:rPr>
        <w:t>un objet valide d</w:t>
      </w:r>
      <w:r>
        <w:rPr>
          <w:rFonts w:cs="Times New Roman"/>
          <w:lang w:val="fr-CA"/>
        </w:rPr>
        <w:t>’</w:t>
      </w:r>
      <w:r w:rsidRPr="00375EDE">
        <w:rPr>
          <w:rFonts w:cs="Times New Roman"/>
          <w:lang w:val="fr-CA"/>
        </w:rPr>
        <w:t>une loi fédérale (</w:t>
      </w:r>
      <w:r w:rsidRPr="00375EDE">
        <w:rPr>
          <w:rFonts w:cs="Times New Roman"/>
          <w:i/>
          <w:lang w:val="fr-CA"/>
        </w:rPr>
        <w:t>Moloney</w:t>
      </w:r>
      <w:r w:rsidRPr="00375EDE">
        <w:rPr>
          <w:rFonts w:cs="Times New Roman"/>
          <w:lang w:val="fr-CA"/>
        </w:rPr>
        <w:t xml:space="preserve">, par. 25; </w:t>
      </w:r>
      <w:r w:rsidRPr="00375EDE">
        <w:rPr>
          <w:rFonts w:cs="Times New Roman"/>
          <w:i/>
          <w:lang w:val="fr-CA"/>
        </w:rPr>
        <w:t>Banque de Montréal c. Hall</w:t>
      </w:r>
      <w:r w:rsidRPr="00375EDE">
        <w:rPr>
          <w:rFonts w:cs="Times New Roman"/>
          <w:lang w:val="fr-CA"/>
        </w:rPr>
        <w:t>, [1990] 1 R.C.S. 121, p. 154</w:t>
      </w:r>
      <w:r w:rsidRPr="00375EDE">
        <w:rPr>
          <w:rFonts w:cs="Times New Roman"/>
          <w:lang w:val="fr-CA"/>
        </w:rPr>
        <w:noBreakHyphen/>
        <w:t xml:space="preserve">155; </w:t>
      </w:r>
      <w:r w:rsidRPr="00375EDE">
        <w:rPr>
          <w:rFonts w:cs="Times New Roman"/>
          <w:i/>
          <w:lang w:val="fr-CA"/>
        </w:rPr>
        <w:t>Banque canadienne de l</w:t>
      </w:r>
      <w:r>
        <w:rPr>
          <w:rFonts w:cs="Times New Roman"/>
          <w:i/>
          <w:lang w:val="fr-CA"/>
        </w:rPr>
        <w:t>’</w:t>
      </w:r>
      <w:r w:rsidRPr="00375EDE">
        <w:rPr>
          <w:rFonts w:cs="Times New Roman"/>
          <w:i/>
          <w:lang w:val="fr-CA"/>
        </w:rPr>
        <w:t>Ouest</w:t>
      </w:r>
      <w:r w:rsidRPr="00375EDE">
        <w:rPr>
          <w:rFonts w:cs="Times New Roman"/>
          <w:lang w:val="fr-CA"/>
        </w:rPr>
        <w:t>, par. 73). L</w:t>
      </w:r>
      <w:r>
        <w:rPr>
          <w:rFonts w:cs="Times New Roman"/>
          <w:lang w:val="fr-CA"/>
        </w:rPr>
        <w:t>’</w:t>
      </w:r>
      <w:r w:rsidRPr="00375EDE">
        <w:rPr>
          <w:rFonts w:cs="Times New Roman"/>
          <w:lang w:val="fr-CA"/>
        </w:rPr>
        <w:t>analyse est axée sur l</w:t>
      </w:r>
      <w:r>
        <w:rPr>
          <w:rFonts w:cs="Times New Roman"/>
          <w:lang w:val="fr-CA"/>
        </w:rPr>
        <w:t>’</w:t>
      </w:r>
      <w:r w:rsidRPr="00375EDE">
        <w:rPr>
          <w:rFonts w:cs="Times New Roman"/>
          <w:lang w:val="fr-CA"/>
        </w:rPr>
        <w:t>effet de la loi ou des dispositions provinciales, et non sur son objet (</w:t>
      </w:r>
      <w:r w:rsidRPr="00375EDE">
        <w:rPr>
          <w:rFonts w:cs="Times New Roman"/>
          <w:i/>
          <w:lang w:val="fr-CA"/>
        </w:rPr>
        <w:t>Moloney</w:t>
      </w:r>
      <w:r w:rsidRPr="00375EDE">
        <w:rPr>
          <w:rFonts w:cs="Times New Roman"/>
          <w:lang w:val="fr-CA"/>
        </w:rPr>
        <w:t xml:space="preserve">, par. 28; </w:t>
      </w:r>
      <w:r w:rsidRPr="00375EDE">
        <w:rPr>
          <w:rFonts w:cs="Times New Roman"/>
          <w:i/>
          <w:lang w:val="fr-CA"/>
        </w:rPr>
        <w:t>Husky Oil</w:t>
      </w:r>
      <w:r w:rsidRPr="00375EDE">
        <w:rPr>
          <w:rFonts w:cs="Times New Roman"/>
          <w:lang w:val="fr-CA"/>
        </w:rPr>
        <w:t xml:space="preserve">, par. 39). </w:t>
      </w:r>
    </w:p>
    <w:p w:rsidR="00DF13E5" w:rsidRPr="00375EDE" w:rsidRDefault="00DF13E5" w:rsidP="00DF13E5">
      <w:pPr>
        <w:pStyle w:val="ParaNoNdepar-AltN"/>
        <w:rPr>
          <w:rFonts w:cs="Times New Roman"/>
          <w:lang w:val="fr-CA"/>
        </w:rPr>
      </w:pPr>
      <w:r w:rsidRPr="00375EDE">
        <w:rPr>
          <w:rFonts w:cs="Times New Roman"/>
          <w:lang w:val="fr-CA"/>
        </w:rPr>
        <w:t>La Cour a maintes fois reconnu que l</w:t>
      </w:r>
      <w:r>
        <w:rPr>
          <w:rFonts w:cs="Times New Roman"/>
          <w:lang w:val="fr-CA"/>
        </w:rPr>
        <w:t>’</w:t>
      </w:r>
      <w:r w:rsidRPr="00375EDE">
        <w:rPr>
          <w:rFonts w:cs="Times New Roman"/>
          <w:lang w:val="fr-CA"/>
        </w:rPr>
        <w:t xml:space="preserve">un des objets de la </w:t>
      </w:r>
      <w:r w:rsidRPr="0059011A">
        <w:rPr>
          <w:rFonts w:cs="Times New Roman"/>
          <w:i/>
          <w:lang w:val="fr-CA"/>
        </w:rPr>
        <w:t xml:space="preserve">LFI </w:t>
      </w:r>
      <w:r w:rsidRPr="00375EDE">
        <w:rPr>
          <w:rFonts w:cs="Times New Roman"/>
          <w:lang w:val="fr-CA"/>
        </w:rPr>
        <w:t>est « </w:t>
      </w:r>
      <w:r w:rsidRPr="00375EDE">
        <w:rPr>
          <w:rFonts w:cs="Times New Roman"/>
          <w:lang w:val="fr-FR"/>
        </w:rPr>
        <w:t>le partage équitable des biens du failli entre ses créanciers</w:t>
      </w:r>
      <w:r w:rsidRPr="00375EDE">
        <w:rPr>
          <w:rFonts w:cs="Times New Roman"/>
          <w:lang w:val="fr-CA"/>
        </w:rPr>
        <w:t> » (</w:t>
      </w:r>
      <w:r w:rsidRPr="00375EDE">
        <w:rPr>
          <w:rFonts w:cs="Times New Roman"/>
          <w:i/>
          <w:lang w:val="fr-CA"/>
        </w:rPr>
        <w:t>Moloney</w:t>
      </w:r>
      <w:r w:rsidRPr="00375EDE">
        <w:rPr>
          <w:rFonts w:cs="Times New Roman"/>
          <w:lang w:val="fr-CA"/>
        </w:rPr>
        <w:t xml:space="preserve">, par. 32; </w:t>
      </w:r>
      <w:r w:rsidRPr="00375EDE">
        <w:rPr>
          <w:rFonts w:cs="Times New Roman"/>
          <w:i/>
          <w:lang w:val="fr-CA"/>
        </w:rPr>
        <w:t>Husky Oil</w:t>
      </w:r>
      <w:r w:rsidRPr="00375EDE">
        <w:rPr>
          <w:rFonts w:cs="Times New Roman"/>
          <w:lang w:val="fr-CA"/>
        </w:rPr>
        <w:t>, par. 7). Elle réalise cet objectif au moyen d</w:t>
      </w:r>
      <w:r>
        <w:rPr>
          <w:rFonts w:cs="Times New Roman"/>
          <w:lang w:val="fr-CA"/>
        </w:rPr>
        <w:t>’</w:t>
      </w:r>
      <w:r w:rsidRPr="00375EDE">
        <w:rPr>
          <w:rFonts w:cs="Times New Roman"/>
          <w:lang w:val="fr-CA"/>
        </w:rPr>
        <w:t xml:space="preserve">un modèle de procédure collective — </w:t>
      </w:r>
      <w:r w:rsidR="00CB01F5">
        <w:rPr>
          <w:rFonts w:cs="Times New Roman"/>
          <w:lang w:val="fr-CA"/>
        </w:rPr>
        <w:t xml:space="preserve">modèle </w:t>
      </w:r>
      <w:r w:rsidRPr="00375EDE">
        <w:rPr>
          <w:rFonts w:cs="Times New Roman"/>
          <w:lang w:val="fr-CA"/>
        </w:rPr>
        <w:t>qui maximise le recouvrement intégral au profit des créanciers et fait régner l</w:t>
      </w:r>
      <w:r>
        <w:rPr>
          <w:rFonts w:cs="Times New Roman"/>
          <w:lang w:val="fr-CA"/>
        </w:rPr>
        <w:t>’</w:t>
      </w:r>
      <w:r w:rsidRPr="00375EDE">
        <w:rPr>
          <w:rFonts w:cs="Times New Roman"/>
          <w:lang w:val="fr-CA"/>
        </w:rPr>
        <w:t>ordre et l</w:t>
      </w:r>
      <w:r>
        <w:rPr>
          <w:rFonts w:cs="Times New Roman"/>
          <w:lang w:val="fr-CA"/>
        </w:rPr>
        <w:t>’</w:t>
      </w:r>
      <w:r w:rsidRPr="00375EDE">
        <w:rPr>
          <w:rFonts w:cs="Times New Roman"/>
          <w:lang w:val="fr-CA"/>
        </w:rPr>
        <w:t>efficacité en partageant les biens de l</w:t>
      </w:r>
      <w:r>
        <w:rPr>
          <w:rFonts w:cs="Times New Roman"/>
          <w:lang w:val="fr-CA"/>
        </w:rPr>
        <w:t>’</w:t>
      </w:r>
      <w:r w:rsidRPr="00375EDE">
        <w:rPr>
          <w:rFonts w:cs="Times New Roman"/>
          <w:lang w:val="fr-CA"/>
        </w:rPr>
        <w:t>actif conformément à un régime de priorité désigné (</w:t>
      </w:r>
      <w:r w:rsidRPr="00375EDE">
        <w:rPr>
          <w:rFonts w:cs="Times New Roman"/>
          <w:i/>
          <w:lang w:val="fr-CA"/>
        </w:rPr>
        <w:t>Century Services Inc. c. Canada (Procureur général)</w:t>
      </w:r>
      <w:r w:rsidRPr="00375EDE">
        <w:rPr>
          <w:rFonts w:cs="Times New Roman"/>
          <w:lang w:val="fr-CA"/>
        </w:rPr>
        <w:t>, 2010 CSC 60, [2010] 3 R.C.S. 379, par. 22). Toutes les réclamations « prouvables en matière de faillite » sont assujetties à ce régime de priorité. Les exercices d</w:t>
      </w:r>
      <w:r>
        <w:rPr>
          <w:rFonts w:cs="Times New Roman"/>
          <w:lang w:val="fr-CA"/>
        </w:rPr>
        <w:t>’</w:t>
      </w:r>
      <w:r w:rsidRPr="00375EDE">
        <w:rPr>
          <w:rFonts w:cs="Times New Roman"/>
          <w:lang w:val="fr-CA"/>
        </w:rPr>
        <w:t>un pouvoir provincial ayant pour effet de modifier les priorités en matière de faillite sont donc inopérants parce qu</w:t>
      </w:r>
      <w:r>
        <w:rPr>
          <w:rFonts w:cs="Times New Roman"/>
          <w:lang w:val="fr-CA"/>
        </w:rPr>
        <w:t>’</w:t>
      </w:r>
      <w:r w:rsidRPr="00375EDE">
        <w:rPr>
          <w:rFonts w:cs="Times New Roman"/>
          <w:lang w:val="fr-CA"/>
        </w:rPr>
        <w:t>ils entravent la réalisation de l</w:t>
      </w:r>
      <w:r>
        <w:rPr>
          <w:rFonts w:cs="Times New Roman"/>
          <w:lang w:val="fr-CA"/>
        </w:rPr>
        <w:t>’</w:t>
      </w:r>
      <w:r w:rsidRPr="00375EDE">
        <w:rPr>
          <w:rFonts w:cs="Times New Roman"/>
          <w:lang w:val="fr-CA"/>
        </w:rPr>
        <w:t>objectif du Parlement d</w:t>
      </w:r>
      <w:r>
        <w:rPr>
          <w:rFonts w:cs="Times New Roman"/>
          <w:lang w:val="fr-CA"/>
        </w:rPr>
        <w:t>’</w:t>
      </w:r>
      <w:r w:rsidRPr="00375EDE">
        <w:rPr>
          <w:rFonts w:cs="Times New Roman"/>
          <w:lang w:val="fr-CA"/>
        </w:rPr>
        <w:t>assurer le partage équitable des biens de l</w:t>
      </w:r>
      <w:r>
        <w:rPr>
          <w:rFonts w:cs="Times New Roman"/>
          <w:lang w:val="fr-CA"/>
        </w:rPr>
        <w:t>’</w:t>
      </w:r>
      <w:r w:rsidRPr="00375EDE">
        <w:rPr>
          <w:rFonts w:cs="Times New Roman"/>
          <w:lang w:val="fr-CA"/>
        </w:rPr>
        <w:t>actif conformément au régime établi par la loi fédérale (</w:t>
      </w:r>
      <w:r w:rsidRPr="00375EDE">
        <w:rPr>
          <w:rFonts w:cs="Times New Roman"/>
          <w:i/>
          <w:lang w:val="fr-CA"/>
        </w:rPr>
        <w:t>Abitibi</w:t>
      </w:r>
      <w:r w:rsidRPr="00375EDE">
        <w:rPr>
          <w:rFonts w:cs="Times New Roman"/>
          <w:lang w:val="fr-CA"/>
        </w:rPr>
        <w:t xml:space="preserve">, par. 19; </w:t>
      </w:r>
      <w:r w:rsidRPr="00375EDE">
        <w:rPr>
          <w:rFonts w:cs="Times New Roman"/>
          <w:i/>
          <w:lang w:val="fr-CA"/>
        </w:rPr>
        <w:t>Husky Oil</w:t>
      </w:r>
      <w:r w:rsidRPr="00375EDE">
        <w:rPr>
          <w:rFonts w:cs="Times New Roman"/>
          <w:lang w:val="fr-CA"/>
        </w:rPr>
        <w:t xml:space="preserve">, par. 32). </w:t>
      </w:r>
    </w:p>
    <w:p w:rsidR="00DF13E5" w:rsidRPr="00375EDE" w:rsidRDefault="00DF13E5" w:rsidP="00DF13E5">
      <w:pPr>
        <w:pStyle w:val="ParaNoNdepar-AltN"/>
        <w:rPr>
          <w:rFonts w:cs="Times New Roman"/>
          <w:lang w:val="fr-CA"/>
        </w:rPr>
      </w:pPr>
      <w:r w:rsidRPr="00375EDE">
        <w:rPr>
          <w:rFonts w:cs="Times New Roman"/>
          <w:lang w:val="fr-CA"/>
        </w:rPr>
        <w:lastRenderedPageBreak/>
        <w:t>Il s</w:t>
      </w:r>
      <w:r>
        <w:rPr>
          <w:rFonts w:cs="Times New Roman"/>
          <w:lang w:val="fr-CA"/>
        </w:rPr>
        <w:t>’</w:t>
      </w:r>
      <w:r w:rsidRPr="00375EDE">
        <w:rPr>
          <w:rFonts w:cs="Times New Roman"/>
          <w:lang w:val="fr-CA"/>
        </w:rPr>
        <w:t>agit de savoir en l</w:t>
      </w:r>
      <w:r>
        <w:rPr>
          <w:rFonts w:cs="Times New Roman"/>
          <w:lang w:val="fr-CA"/>
        </w:rPr>
        <w:t>’</w:t>
      </w:r>
      <w:r w:rsidRPr="00375EDE">
        <w:rPr>
          <w:rFonts w:cs="Times New Roman"/>
          <w:lang w:val="fr-CA"/>
        </w:rPr>
        <w:t>espèce si les réclamations environnementales que fait valoir l</w:t>
      </w:r>
      <w:r>
        <w:rPr>
          <w:rFonts w:cs="Times New Roman"/>
          <w:lang w:val="fr-CA"/>
        </w:rPr>
        <w:t>’</w:t>
      </w:r>
      <w:r w:rsidRPr="00375EDE">
        <w:rPr>
          <w:rFonts w:cs="Times New Roman"/>
          <w:lang w:val="fr-CA"/>
        </w:rPr>
        <w:t>AER (c.</w:t>
      </w:r>
      <w:r w:rsidRPr="00375EDE">
        <w:rPr>
          <w:rFonts w:cs="Times New Roman"/>
          <w:lang w:val="fr-CA"/>
        </w:rPr>
        <w:noBreakHyphen/>
        <w:t>à</w:t>
      </w:r>
      <w:r w:rsidRPr="00375EDE">
        <w:rPr>
          <w:rFonts w:cs="Times New Roman"/>
          <w:lang w:val="fr-CA"/>
        </w:rPr>
        <w:noBreakHyphen/>
        <w:t>d. les ordonnances d</w:t>
      </w:r>
      <w:r>
        <w:rPr>
          <w:rFonts w:cs="Times New Roman"/>
          <w:lang w:val="fr-CA"/>
        </w:rPr>
        <w:t>’</w:t>
      </w:r>
      <w:r w:rsidRPr="00375EDE">
        <w:rPr>
          <w:rFonts w:cs="Times New Roman"/>
          <w:lang w:val="fr-CA"/>
        </w:rPr>
        <w:t>abandon) sont prouvables en matière de faillite. Si elles le sont, l</w:t>
      </w:r>
      <w:r>
        <w:rPr>
          <w:rFonts w:cs="Times New Roman"/>
          <w:lang w:val="fr-CA"/>
        </w:rPr>
        <w:t>’</w:t>
      </w:r>
      <w:r w:rsidRPr="00375EDE">
        <w:rPr>
          <w:rFonts w:cs="Times New Roman"/>
          <w:lang w:val="fr-CA"/>
        </w:rPr>
        <w:t>AER n</w:t>
      </w:r>
      <w:r>
        <w:rPr>
          <w:rFonts w:cs="Times New Roman"/>
          <w:lang w:val="fr-CA"/>
        </w:rPr>
        <w:t>’</w:t>
      </w:r>
      <w:r w:rsidRPr="00375EDE">
        <w:rPr>
          <w:rFonts w:cs="Times New Roman"/>
          <w:lang w:val="fr-CA"/>
        </w:rPr>
        <w:t>est pas autorisé à faire valoir ces réclamations en dehors du processus de faillite et avant les créanciers garantis de Redwater, car cela entraverait la réalisation de l</w:t>
      </w:r>
      <w:r>
        <w:rPr>
          <w:rFonts w:cs="Times New Roman"/>
          <w:lang w:val="fr-CA"/>
        </w:rPr>
        <w:t>’</w:t>
      </w:r>
      <w:r w:rsidRPr="00375EDE">
        <w:rPr>
          <w:rFonts w:cs="Times New Roman"/>
          <w:lang w:val="fr-CA"/>
        </w:rPr>
        <w:t xml:space="preserve">objet du régime de priorité fédéral. Il doit plutôt se conformer à la </w:t>
      </w:r>
      <w:r w:rsidRPr="0059011A">
        <w:rPr>
          <w:rFonts w:cs="Times New Roman"/>
          <w:i/>
          <w:lang w:val="fr-CA"/>
        </w:rPr>
        <w:t>LFI</w:t>
      </w:r>
      <w:r w:rsidRPr="00375EDE">
        <w:rPr>
          <w:rFonts w:cs="Times New Roman"/>
          <w:lang w:val="fr-CA"/>
        </w:rPr>
        <w:t xml:space="preserve"> et tenter de recouvrer de l</w:t>
      </w:r>
      <w:r>
        <w:rPr>
          <w:rFonts w:cs="Times New Roman"/>
          <w:lang w:val="fr-CA"/>
        </w:rPr>
        <w:t>’</w:t>
      </w:r>
      <w:r w:rsidRPr="00375EDE">
        <w:rPr>
          <w:rFonts w:cs="Times New Roman"/>
          <w:lang w:val="fr-CA"/>
        </w:rPr>
        <w:t>actif par le truchement de la procédure normale de faillite (</w:t>
      </w:r>
      <w:r w:rsidRPr="00375EDE">
        <w:rPr>
          <w:rFonts w:cs="Times New Roman"/>
          <w:i/>
          <w:lang w:val="fr-CA"/>
        </w:rPr>
        <w:t>Abitibi</w:t>
      </w:r>
      <w:r w:rsidRPr="00375EDE">
        <w:rPr>
          <w:rFonts w:cs="Times New Roman"/>
          <w:lang w:val="fr-CA"/>
        </w:rPr>
        <w:t xml:space="preserve">, par. 40). </w:t>
      </w:r>
    </w:p>
    <w:p w:rsidR="00DF13E5" w:rsidRPr="00375EDE" w:rsidRDefault="00DF13E5" w:rsidP="00DF13E5">
      <w:pPr>
        <w:pStyle w:val="ParaNoNdepar-AltN"/>
        <w:rPr>
          <w:rFonts w:cs="Times New Roman"/>
          <w:lang w:val="fr-CA"/>
        </w:rPr>
      </w:pPr>
      <w:r w:rsidRPr="00375EDE">
        <w:rPr>
          <w:rFonts w:cs="Times New Roman"/>
          <w:lang w:val="fr-CA"/>
        </w:rPr>
        <w:t xml:space="preserve">Dans </w:t>
      </w:r>
      <w:r w:rsidRPr="00375EDE">
        <w:rPr>
          <w:rFonts w:cs="Times New Roman"/>
          <w:i/>
          <w:lang w:val="fr-CA"/>
        </w:rPr>
        <w:t>Abitibi</w:t>
      </w:r>
      <w:r w:rsidRPr="005A2EFF">
        <w:rPr>
          <w:rFonts w:cs="Times New Roman"/>
          <w:lang w:val="fr-CA"/>
        </w:rPr>
        <w:t>,</w:t>
      </w:r>
      <w:r w:rsidRPr="00375EDE">
        <w:rPr>
          <w:rFonts w:cs="Times New Roman"/>
          <w:i/>
          <w:lang w:val="fr-CA"/>
        </w:rPr>
        <w:t xml:space="preserve"> </w:t>
      </w:r>
      <w:r w:rsidRPr="00375EDE">
        <w:rPr>
          <w:rFonts w:cs="Times New Roman"/>
          <w:lang w:val="fr-CA"/>
        </w:rPr>
        <w:t xml:space="preserve">la Cour a établi un test à trois volets, fondé sur le libellé de la </w:t>
      </w:r>
      <w:r w:rsidRPr="0059011A">
        <w:rPr>
          <w:rFonts w:cs="Times New Roman"/>
          <w:i/>
          <w:lang w:val="fr-CA"/>
        </w:rPr>
        <w:t>LFI</w:t>
      </w:r>
      <w:r w:rsidRPr="00375EDE">
        <w:rPr>
          <w:rFonts w:cs="Times New Roman"/>
          <w:lang w:val="fr-CA"/>
        </w:rPr>
        <w:t>, pour déterminer si une réclamation est prouvable en matière de faillite : « </w:t>
      </w:r>
      <w:r w:rsidRPr="00375EDE">
        <w:rPr>
          <w:rFonts w:cs="Times New Roman"/>
          <w:lang w:val="fr-FR"/>
        </w:rPr>
        <w:t>Premièrement, on doit être en présence d</w:t>
      </w:r>
      <w:r>
        <w:rPr>
          <w:rFonts w:cs="Times New Roman"/>
          <w:lang w:val="fr-FR"/>
        </w:rPr>
        <w:t>’</w:t>
      </w:r>
      <w:r w:rsidRPr="00375EDE">
        <w:rPr>
          <w:rFonts w:cs="Times New Roman"/>
          <w:lang w:val="fr-FR"/>
        </w:rPr>
        <w:t>une dette, d</w:t>
      </w:r>
      <w:r>
        <w:rPr>
          <w:rFonts w:cs="Times New Roman"/>
          <w:lang w:val="fr-FR"/>
        </w:rPr>
        <w:t>’</w:t>
      </w:r>
      <w:r w:rsidRPr="00375EDE">
        <w:rPr>
          <w:rFonts w:cs="Times New Roman"/>
          <w:lang w:val="fr-FR"/>
        </w:rPr>
        <w:t>un engagement ou d</w:t>
      </w:r>
      <w:r>
        <w:rPr>
          <w:rFonts w:cs="Times New Roman"/>
          <w:lang w:val="fr-FR"/>
        </w:rPr>
        <w:t>’</w:t>
      </w:r>
      <w:r w:rsidRPr="00375EDE">
        <w:rPr>
          <w:rFonts w:cs="Times New Roman"/>
          <w:lang w:val="fr-FR"/>
        </w:rPr>
        <w:t xml:space="preserve">une obligation envers un </w:t>
      </w:r>
      <w:r w:rsidRPr="00375EDE">
        <w:rPr>
          <w:rFonts w:cs="Times New Roman"/>
          <w:i/>
          <w:iCs/>
          <w:lang w:val="fr-FR"/>
        </w:rPr>
        <w:t>créancier</w:t>
      </w:r>
      <w:r w:rsidRPr="00375EDE">
        <w:rPr>
          <w:rFonts w:cs="Times New Roman"/>
          <w:lang w:val="fr-FR"/>
        </w:rPr>
        <w:t>. Deuxièmement, la dette, l</w:t>
      </w:r>
      <w:r>
        <w:rPr>
          <w:rFonts w:cs="Times New Roman"/>
          <w:lang w:val="fr-FR"/>
        </w:rPr>
        <w:t>’</w:t>
      </w:r>
      <w:r w:rsidRPr="00375EDE">
        <w:rPr>
          <w:rFonts w:cs="Times New Roman"/>
          <w:lang w:val="fr-FR"/>
        </w:rPr>
        <w:t>engagement ou l</w:t>
      </w:r>
      <w:r>
        <w:rPr>
          <w:rFonts w:cs="Times New Roman"/>
          <w:lang w:val="fr-FR"/>
        </w:rPr>
        <w:t>’</w:t>
      </w:r>
      <w:r w:rsidRPr="00375EDE">
        <w:rPr>
          <w:rFonts w:cs="Times New Roman"/>
          <w:lang w:val="fr-FR"/>
        </w:rPr>
        <w:t>obligation doit avoir pris naissance</w:t>
      </w:r>
      <w:r w:rsidRPr="00375EDE">
        <w:rPr>
          <w:rFonts w:cs="Times New Roman"/>
          <w:i/>
          <w:iCs/>
          <w:lang w:val="fr-FR"/>
        </w:rPr>
        <w:t xml:space="preserve"> avant que le débiteur ne devienne failli</w:t>
      </w:r>
      <w:r w:rsidRPr="00375EDE">
        <w:rPr>
          <w:rFonts w:cs="Times New Roman"/>
          <w:lang w:val="fr-FR"/>
        </w:rPr>
        <w:t>. Troisièmement, il doit être possible d</w:t>
      </w:r>
      <w:r>
        <w:rPr>
          <w:rFonts w:cs="Times New Roman"/>
          <w:lang w:val="fr-FR"/>
        </w:rPr>
        <w:t>’</w:t>
      </w:r>
      <w:r w:rsidRPr="00375EDE">
        <w:rPr>
          <w:rFonts w:cs="Times New Roman"/>
          <w:lang w:val="fr-FR"/>
        </w:rPr>
        <w:t xml:space="preserve">attribuer une </w:t>
      </w:r>
      <w:r w:rsidRPr="00375EDE">
        <w:rPr>
          <w:rFonts w:cs="Times New Roman"/>
          <w:i/>
          <w:iCs/>
          <w:lang w:val="fr-FR"/>
        </w:rPr>
        <w:t>valeur pécuniaire</w:t>
      </w:r>
      <w:r w:rsidRPr="00375EDE">
        <w:rPr>
          <w:rFonts w:cs="Times New Roman"/>
          <w:lang w:val="fr-FR"/>
        </w:rPr>
        <w:t xml:space="preserve"> à cette dette, cet engagement ou cette obligation</w:t>
      </w:r>
      <w:r w:rsidRPr="00375EDE">
        <w:rPr>
          <w:rFonts w:cs="Times New Roman"/>
          <w:lang w:val="fr-CA"/>
        </w:rPr>
        <w:t> » (par. 26 (en italique dans l</w:t>
      </w:r>
      <w:r>
        <w:rPr>
          <w:rFonts w:cs="Times New Roman"/>
          <w:lang w:val="fr-CA"/>
        </w:rPr>
        <w:t>’</w:t>
      </w:r>
      <w:r w:rsidRPr="00375EDE">
        <w:rPr>
          <w:rFonts w:cs="Times New Roman"/>
          <w:lang w:val="fr-CA"/>
        </w:rPr>
        <w:t>original)). Comme personne ne conteste le fait que les obligations environnementales de Redwater ont pris naissance avant que cette dernière ne devienne faillie, je limiterai mon analyse ci</w:t>
      </w:r>
      <w:r w:rsidRPr="00375EDE">
        <w:rPr>
          <w:rFonts w:cs="Times New Roman"/>
          <w:lang w:val="fr-CA"/>
        </w:rPr>
        <w:noBreakHyphen/>
        <w:t xml:space="preserve">dessous aux premier et troisième volets du test établi dans </w:t>
      </w:r>
      <w:r w:rsidRPr="00375EDE">
        <w:rPr>
          <w:rFonts w:cs="Times New Roman"/>
          <w:i/>
          <w:lang w:val="fr-CA"/>
        </w:rPr>
        <w:t>Abitibi </w:t>
      </w:r>
      <w:r w:rsidRPr="00375EDE">
        <w:rPr>
          <w:rFonts w:cs="Times New Roman"/>
          <w:lang w:val="fr-CA"/>
        </w:rPr>
        <w:t>: la question de savoir si l</w:t>
      </w:r>
      <w:r>
        <w:rPr>
          <w:rFonts w:cs="Times New Roman"/>
          <w:lang w:val="fr-CA"/>
        </w:rPr>
        <w:t>’</w:t>
      </w:r>
      <w:r w:rsidRPr="00375EDE">
        <w:rPr>
          <w:rFonts w:cs="Times New Roman"/>
          <w:lang w:val="fr-CA"/>
        </w:rPr>
        <w:t>engagement est dû à un créancier, et celle de savoir s</w:t>
      </w:r>
      <w:r>
        <w:rPr>
          <w:rFonts w:cs="Times New Roman"/>
          <w:lang w:val="fr-CA"/>
        </w:rPr>
        <w:t>’</w:t>
      </w:r>
      <w:r w:rsidRPr="00375EDE">
        <w:rPr>
          <w:rFonts w:cs="Times New Roman"/>
          <w:lang w:val="fr-CA"/>
        </w:rPr>
        <w:t xml:space="preserve">il est </w:t>
      </w:r>
      <w:r w:rsidRPr="00375EDE">
        <w:rPr>
          <w:rFonts w:cs="Times New Roman"/>
          <w:lang w:val="fr-FR"/>
        </w:rPr>
        <w:t>possible d</w:t>
      </w:r>
      <w:r>
        <w:rPr>
          <w:rFonts w:cs="Times New Roman"/>
          <w:lang w:val="fr-FR"/>
        </w:rPr>
        <w:t>’</w:t>
      </w:r>
      <w:r w:rsidRPr="00375EDE">
        <w:rPr>
          <w:rFonts w:cs="Times New Roman"/>
          <w:lang w:val="fr-FR"/>
        </w:rPr>
        <w:t xml:space="preserve">attribuer une </w:t>
      </w:r>
      <w:r w:rsidRPr="00375EDE">
        <w:rPr>
          <w:rFonts w:cs="Times New Roman"/>
          <w:iCs/>
          <w:lang w:val="fr-FR"/>
        </w:rPr>
        <w:t>valeur pécuniaire</w:t>
      </w:r>
      <w:r w:rsidRPr="00375EDE">
        <w:rPr>
          <w:rFonts w:cs="Times New Roman"/>
          <w:lang w:val="fr-FR"/>
        </w:rPr>
        <w:t xml:space="preserve"> à cet engagement</w:t>
      </w:r>
      <w:r w:rsidRPr="00375EDE">
        <w:rPr>
          <w:rFonts w:cs="Times New Roman"/>
          <w:lang w:val="fr-CA"/>
        </w:rPr>
        <w:t xml:space="preserve">. </w:t>
      </w:r>
    </w:p>
    <w:p w:rsidR="00DF13E5" w:rsidRPr="00375EDE" w:rsidRDefault="00DF13E5" w:rsidP="00DF13E5">
      <w:pPr>
        <w:pStyle w:val="ParaNoNdepar-AltN"/>
        <w:rPr>
          <w:rFonts w:cs="Times New Roman"/>
          <w:lang w:val="fr-CA"/>
        </w:rPr>
      </w:pPr>
      <w:r w:rsidRPr="00375EDE">
        <w:rPr>
          <w:rFonts w:cs="Times New Roman"/>
          <w:lang w:val="fr-CA"/>
        </w:rPr>
        <w:t xml:space="preserve">Le premier volet du test </w:t>
      </w:r>
      <w:r w:rsidRPr="00375EDE">
        <w:rPr>
          <w:rFonts w:cs="Times New Roman"/>
          <w:i/>
          <w:lang w:val="fr-CA"/>
        </w:rPr>
        <w:t xml:space="preserve">Abitibi </w:t>
      </w:r>
      <w:r w:rsidRPr="00375EDE">
        <w:rPr>
          <w:rFonts w:cs="Times New Roman"/>
          <w:lang w:val="fr-CA"/>
        </w:rPr>
        <w:t>pose la question de savoir si la</w:t>
      </w:r>
      <w:r w:rsidRPr="00375EDE">
        <w:rPr>
          <w:rFonts w:eastAsia="Times New Roman" w:cs="Times New Roman"/>
          <w:szCs w:val="24"/>
          <w:lang w:val="fr-FR" w:eastAsia="en-CA"/>
        </w:rPr>
        <w:t xml:space="preserve"> </w:t>
      </w:r>
      <w:r w:rsidRPr="00375EDE">
        <w:rPr>
          <w:rFonts w:cs="Times New Roman"/>
          <w:lang w:val="fr-FR"/>
        </w:rPr>
        <w:t>dette, l</w:t>
      </w:r>
      <w:r>
        <w:rPr>
          <w:rFonts w:cs="Times New Roman"/>
          <w:lang w:val="fr-FR"/>
        </w:rPr>
        <w:t>’</w:t>
      </w:r>
      <w:r w:rsidRPr="00375EDE">
        <w:rPr>
          <w:rFonts w:cs="Times New Roman"/>
          <w:lang w:val="fr-FR"/>
        </w:rPr>
        <w:t>engagement ou l</w:t>
      </w:r>
      <w:r>
        <w:rPr>
          <w:rFonts w:cs="Times New Roman"/>
          <w:lang w:val="fr-FR"/>
        </w:rPr>
        <w:t>’</w:t>
      </w:r>
      <w:r w:rsidRPr="00375EDE">
        <w:rPr>
          <w:rFonts w:cs="Times New Roman"/>
          <w:lang w:val="fr-FR"/>
        </w:rPr>
        <w:t xml:space="preserve">obligation en cause sont dus par une entité faillie à un </w:t>
      </w:r>
      <w:r w:rsidRPr="00375EDE">
        <w:rPr>
          <w:rFonts w:cs="Times New Roman"/>
          <w:iCs/>
          <w:lang w:val="fr-FR"/>
        </w:rPr>
        <w:t>créancier</w:t>
      </w:r>
      <w:r w:rsidRPr="00375EDE">
        <w:rPr>
          <w:rFonts w:cs="Times New Roman"/>
          <w:lang w:val="fr-CA"/>
        </w:rPr>
        <w:t>. S</w:t>
      </w:r>
      <w:r>
        <w:rPr>
          <w:rFonts w:cs="Times New Roman"/>
          <w:lang w:val="fr-CA"/>
        </w:rPr>
        <w:t>’</w:t>
      </w:r>
      <w:r w:rsidRPr="00375EDE">
        <w:rPr>
          <w:rFonts w:cs="Times New Roman"/>
          <w:lang w:val="fr-CA"/>
        </w:rPr>
        <w:t>exprimant au nom des juges majoritaires, la juge Deschamps a laissé entendre qu</w:t>
      </w:r>
      <w:r>
        <w:rPr>
          <w:rFonts w:cs="Times New Roman"/>
          <w:lang w:val="fr-CA"/>
        </w:rPr>
        <w:t>’</w:t>
      </w:r>
      <w:r w:rsidRPr="00375EDE">
        <w:rPr>
          <w:rFonts w:cs="Times New Roman"/>
          <w:lang w:val="fr-CA"/>
        </w:rPr>
        <w:t>il ne s</w:t>
      </w:r>
      <w:r>
        <w:rPr>
          <w:rFonts w:cs="Times New Roman"/>
          <w:lang w:val="fr-CA"/>
        </w:rPr>
        <w:t>’</w:t>
      </w:r>
      <w:r w:rsidRPr="00375EDE">
        <w:rPr>
          <w:rFonts w:cs="Times New Roman"/>
          <w:lang w:val="fr-CA"/>
        </w:rPr>
        <w:t>agit pas d</w:t>
      </w:r>
      <w:r>
        <w:rPr>
          <w:rFonts w:cs="Times New Roman"/>
          <w:lang w:val="fr-CA"/>
        </w:rPr>
        <w:t>’</w:t>
      </w:r>
      <w:r w:rsidRPr="00375EDE">
        <w:rPr>
          <w:rFonts w:cs="Times New Roman"/>
          <w:lang w:val="fr-CA"/>
        </w:rPr>
        <w:t>une exigence rigoureuse : « [à]</w:t>
      </w:r>
      <w:r w:rsidRPr="00375EDE">
        <w:rPr>
          <w:rFonts w:cs="Times New Roman"/>
          <w:lang w:val="fr-FR"/>
        </w:rPr>
        <w:t xml:space="preserve"> cette étape, la </w:t>
      </w:r>
      <w:r w:rsidRPr="00375EDE">
        <w:rPr>
          <w:rFonts w:cs="Times New Roman"/>
          <w:u w:val="single"/>
          <w:lang w:val="fr-FR"/>
        </w:rPr>
        <w:t>seule question à trancher</w:t>
      </w:r>
      <w:r w:rsidRPr="00375EDE">
        <w:rPr>
          <w:rFonts w:cs="Times New Roman"/>
          <w:lang w:val="fr-FR"/>
        </w:rPr>
        <w:t xml:space="preserve"> </w:t>
      </w:r>
      <w:r w:rsidRPr="00375EDE">
        <w:rPr>
          <w:rFonts w:cs="Times New Roman"/>
          <w:lang w:val="fr-FR"/>
        </w:rPr>
        <w:lastRenderedPageBreak/>
        <w:t>est de savoir si l</w:t>
      </w:r>
      <w:r>
        <w:rPr>
          <w:rFonts w:cs="Times New Roman"/>
          <w:lang w:val="fr-FR"/>
        </w:rPr>
        <w:t>’</w:t>
      </w:r>
      <w:r w:rsidRPr="00375EDE">
        <w:rPr>
          <w:rFonts w:cs="Times New Roman"/>
          <w:lang w:val="fr-FR"/>
        </w:rPr>
        <w:t>organisme administratif a exercé, à l</w:t>
      </w:r>
      <w:r>
        <w:rPr>
          <w:rFonts w:cs="Times New Roman"/>
          <w:lang w:val="fr-FR"/>
        </w:rPr>
        <w:t>’</w:t>
      </w:r>
      <w:r w:rsidRPr="00375EDE">
        <w:rPr>
          <w:rFonts w:cs="Times New Roman"/>
          <w:lang w:val="fr-FR"/>
        </w:rPr>
        <w:t>encontre d</w:t>
      </w:r>
      <w:r>
        <w:rPr>
          <w:rFonts w:cs="Times New Roman"/>
          <w:lang w:val="fr-FR"/>
        </w:rPr>
        <w:t>’</w:t>
      </w:r>
      <w:r w:rsidRPr="00375EDE">
        <w:rPr>
          <w:rFonts w:cs="Times New Roman"/>
          <w:lang w:val="fr-FR"/>
        </w:rPr>
        <w:t>un débiteur, son pouvoir de faire appliquer la loi. Lorsqu</w:t>
      </w:r>
      <w:r>
        <w:rPr>
          <w:rFonts w:cs="Times New Roman"/>
          <w:lang w:val="fr-FR"/>
        </w:rPr>
        <w:t>’</w:t>
      </w:r>
      <w:r w:rsidRPr="00375EDE">
        <w:rPr>
          <w:rFonts w:cs="Times New Roman"/>
          <w:lang w:val="fr-FR"/>
        </w:rPr>
        <w:t>il le fait, il s</w:t>
      </w:r>
      <w:r>
        <w:rPr>
          <w:rFonts w:cs="Times New Roman"/>
          <w:lang w:val="fr-FR"/>
        </w:rPr>
        <w:t>’</w:t>
      </w:r>
      <w:r w:rsidRPr="00375EDE">
        <w:rPr>
          <w:rFonts w:cs="Times New Roman"/>
          <w:lang w:val="fr-FR"/>
        </w:rPr>
        <w:t>identifie alors comme créancier et la condition de cette étape est respectée</w:t>
      </w:r>
      <w:r w:rsidRPr="00375EDE">
        <w:rPr>
          <w:rFonts w:cs="Times New Roman"/>
          <w:lang w:val="fr-CA"/>
        </w:rPr>
        <w:t> » (par. 27 (je souligne)). Je n</w:t>
      </w:r>
      <w:r>
        <w:rPr>
          <w:rFonts w:cs="Times New Roman"/>
          <w:lang w:val="fr-CA"/>
        </w:rPr>
        <w:t>’</w:t>
      </w:r>
      <w:r w:rsidRPr="00375EDE">
        <w:rPr>
          <w:rFonts w:cs="Times New Roman"/>
          <w:lang w:val="fr-CA"/>
        </w:rPr>
        <w:t>irais pas jusqu</w:t>
      </w:r>
      <w:r>
        <w:rPr>
          <w:rFonts w:cs="Times New Roman"/>
          <w:lang w:val="fr-CA"/>
        </w:rPr>
        <w:t>’</w:t>
      </w:r>
      <w:r w:rsidRPr="00375EDE">
        <w:rPr>
          <w:rFonts w:cs="Times New Roman"/>
          <w:lang w:val="fr-CA"/>
        </w:rPr>
        <w:t>à dire que l</w:t>
      </w:r>
      <w:r>
        <w:rPr>
          <w:rFonts w:cs="Times New Roman"/>
          <w:lang w:val="fr-CA"/>
        </w:rPr>
        <w:t>’</w:t>
      </w:r>
      <w:r w:rsidRPr="00375EDE">
        <w:rPr>
          <w:rFonts w:cs="Times New Roman"/>
          <w:lang w:val="fr-CA"/>
        </w:rPr>
        <w:t xml:space="preserve">analyse à effectuer au premier volet est une simple analyse superficielle ou </w:t>
      </w:r>
      <w:r w:rsidRPr="00375EDE">
        <w:rPr>
          <w:rFonts w:cs="Times New Roman"/>
          <w:i/>
          <w:lang w:val="fr-CA"/>
        </w:rPr>
        <w:t>pro forma</w:t>
      </w:r>
      <w:r w:rsidRPr="00375EDE">
        <w:rPr>
          <w:rFonts w:cs="Times New Roman"/>
          <w:lang w:val="fr-CA"/>
        </w:rPr>
        <w:t> et il peut fort bien exister des cas où il n</w:t>
      </w:r>
      <w:r>
        <w:rPr>
          <w:rFonts w:cs="Times New Roman"/>
          <w:lang w:val="fr-CA"/>
        </w:rPr>
        <w:t>’</w:t>
      </w:r>
      <w:r w:rsidRPr="00375EDE">
        <w:rPr>
          <w:rFonts w:cs="Times New Roman"/>
          <w:lang w:val="fr-CA"/>
        </w:rPr>
        <w:t xml:space="preserve">est pas satisfait à ce volet, mais la juge Deschamps indique clairement dans </w:t>
      </w:r>
      <w:r w:rsidRPr="00375EDE">
        <w:rPr>
          <w:rFonts w:cs="Times New Roman"/>
          <w:i/>
          <w:lang w:val="fr-CA"/>
        </w:rPr>
        <w:t xml:space="preserve">Abitibi </w:t>
      </w:r>
      <w:r w:rsidRPr="00375EDE">
        <w:rPr>
          <w:rFonts w:cs="Times New Roman"/>
          <w:lang w:val="fr-CA"/>
        </w:rPr>
        <w:t>que « </w:t>
      </w:r>
      <w:r w:rsidRPr="0059011A">
        <w:rPr>
          <w:rFonts w:cs="Times New Roman"/>
          <w:u w:val="single"/>
          <w:lang w:val="fr-CA"/>
        </w:rPr>
        <w:t xml:space="preserve">[l]a </w:t>
      </w:r>
      <w:r w:rsidRPr="00375EDE">
        <w:rPr>
          <w:rFonts w:cs="Times New Roman"/>
          <w:u w:val="single"/>
          <w:lang w:val="fr-CA"/>
        </w:rPr>
        <w:t>plupart</w:t>
      </w:r>
      <w:r w:rsidRPr="00375EDE">
        <w:rPr>
          <w:rFonts w:cs="Times New Roman"/>
          <w:lang w:val="fr-CA"/>
        </w:rPr>
        <w:t xml:space="preserve"> </w:t>
      </w:r>
      <w:r w:rsidRPr="00375EDE">
        <w:rPr>
          <w:rFonts w:cs="Times New Roman"/>
          <w:lang w:val="fr-FR"/>
        </w:rPr>
        <w:t>des organismes administratifs [environnementaux] peuvent agir à titre de créanciers »</w:t>
      </w:r>
      <w:r w:rsidRPr="00375EDE">
        <w:rPr>
          <w:rFonts w:cs="Times New Roman"/>
          <w:lang w:val="fr-CA"/>
        </w:rPr>
        <w:t xml:space="preserve"> (par. 27 (je souligne)), soulignant encore une fois que les entités gouvernementales ne sauraient systématiquement se soustraire aux exigences en matière de priorité de la loi fédérale sur la faillite sous le couvert de l</w:t>
      </w:r>
      <w:r>
        <w:rPr>
          <w:rFonts w:cs="Times New Roman"/>
          <w:lang w:val="fr-CA"/>
        </w:rPr>
        <w:t>’</w:t>
      </w:r>
      <w:r w:rsidRPr="00375EDE">
        <w:rPr>
          <w:rFonts w:cs="Times New Roman"/>
          <w:lang w:val="fr-CA"/>
        </w:rPr>
        <w:t>obligation de faire respecter les devoirs publics. Même la juge d</w:t>
      </w:r>
      <w:r>
        <w:rPr>
          <w:rFonts w:cs="Times New Roman"/>
          <w:lang w:val="fr-CA"/>
        </w:rPr>
        <w:t>’</w:t>
      </w:r>
      <w:r w:rsidRPr="00375EDE">
        <w:rPr>
          <w:rFonts w:cs="Times New Roman"/>
          <w:lang w:val="fr-CA"/>
        </w:rPr>
        <w:t>appel Martin, dans les motifs dissidents qu</w:t>
      </w:r>
      <w:r>
        <w:rPr>
          <w:rFonts w:cs="Times New Roman"/>
          <w:lang w:val="fr-CA"/>
        </w:rPr>
        <w:t>’</w:t>
      </w:r>
      <w:r w:rsidRPr="00375EDE">
        <w:rPr>
          <w:rFonts w:cs="Times New Roman"/>
          <w:lang w:val="fr-CA"/>
        </w:rPr>
        <w:t>elle a rédigés, a reconnu que [</w:t>
      </w:r>
      <w:r w:rsidRPr="00375EDE">
        <w:rPr>
          <w:rFonts w:cs="Times New Roman"/>
          <w:smallCaps/>
          <w:lang w:val="fr-CA"/>
        </w:rPr>
        <w:t>traduction</w:t>
      </w:r>
      <w:r>
        <w:rPr>
          <w:rFonts w:cs="Times New Roman"/>
          <w:lang w:val="fr-CA"/>
        </w:rPr>
        <w:t>] </w:t>
      </w:r>
      <w:r w:rsidRPr="00375EDE">
        <w:rPr>
          <w:rFonts w:cs="Times New Roman"/>
          <w:lang w:val="fr-CA"/>
        </w:rPr>
        <w:t>« l</w:t>
      </w:r>
      <w:r>
        <w:rPr>
          <w:rFonts w:cs="Times New Roman"/>
          <w:lang w:val="fr-CA"/>
        </w:rPr>
        <w:t>’</w:t>
      </w:r>
      <w:r w:rsidRPr="00375EDE">
        <w:rPr>
          <w:rFonts w:cs="Times New Roman"/>
          <w:lang w:val="fr-CA"/>
        </w:rPr>
        <w:t xml:space="preserve">arrêt </w:t>
      </w:r>
      <w:r w:rsidRPr="00375EDE">
        <w:rPr>
          <w:rFonts w:cs="Times New Roman"/>
          <w:i/>
          <w:lang w:val="fr-CA"/>
        </w:rPr>
        <w:t xml:space="preserve">Abitibi </w:t>
      </w:r>
      <w:r w:rsidRPr="00375EDE">
        <w:rPr>
          <w:rFonts w:cs="Times New Roman"/>
          <w:lang w:val="fr-CA"/>
        </w:rPr>
        <w:t>ratisse large en ce qui a trait à la qualité de créancier » (par. 186). Le texte de cet arrêt ne laisse place à aucune ambiguïté, incertitude ou doute à cet égard.</w:t>
      </w:r>
    </w:p>
    <w:p w:rsidR="00DF13E5" w:rsidRPr="00375EDE" w:rsidRDefault="00DF13E5" w:rsidP="00DF13E5">
      <w:pPr>
        <w:pStyle w:val="ParaNoNdepar-AltN"/>
        <w:rPr>
          <w:rFonts w:cs="Times New Roman"/>
          <w:lang w:val="fr-CA"/>
        </w:rPr>
      </w:pPr>
      <w:r w:rsidRPr="00375EDE">
        <w:rPr>
          <w:rFonts w:cs="Times New Roman"/>
          <w:lang w:val="fr-CA"/>
        </w:rPr>
        <w:t>Les juges majoritaires soutiennent que, si l</w:t>
      </w:r>
      <w:r>
        <w:rPr>
          <w:rFonts w:cs="Times New Roman"/>
          <w:lang w:val="fr-CA"/>
        </w:rPr>
        <w:t>’</w:t>
      </w:r>
      <w:r w:rsidRPr="00375EDE">
        <w:rPr>
          <w:rFonts w:cs="Times New Roman"/>
          <w:lang w:val="fr-CA"/>
        </w:rPr>
        <w:t>on applique tel quel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cela « exclut la possibilité qu</w:t>
      </w:r>
      <w:r>
        <w:rPr>
          <w:rFonts w:cs="Times New Roman"/>
          <w:lang w:val="fr-CA"/>
        </w:rPr>
        <w:t>’</w:t>
      </w:r>
      <w:r w:rsidRPr="00375EDE">
        <w:rPr>
          <w:rFonts w:cs="Times New Roman"/>
          <w:lang w:val="fr-CA"/>
        </w:rPr>
        <w:t xml:space="preserve">un organisme de réglementation </w:t>
      </w:r>
      <w:r w:rsidRPr="00375EDE">
        <w:rPr>
          <w:rFonts w:cs="Times New Roman"/>
          <w:i/>
          <w:lang w:val="fr-CA"/>
        </w:rPr>
        <w:t>ne</w:t>
      </w:r>
      <w:r w:rsidRPr="00375EDE">
        <w:rPr>
          <w:rFonts w:cs="Times New Roman"/>
          <w:lang w:val="fr-CA"/>
        </w:rPr>
        <w:t xml:space="preserve"> soit </w:t>
      </w:r>
      <w:r w:rsidRPr="00375EDE">
        <w:rPr>
          <w:rFonts w:cs="Times New Roman"/>
          <w:i/>
          <w:lang w:val="fr-CA"/>
        </w:rPr>
        <w:t>pas</w:t>
      </w:r>
      <w:r w:rsidRPr="00375EDE">
        <w:rPr>
          <w:rFonts w:cs="Times New Roman"/>
          <w:lang w:val="fr-CA"/>
        </w:rPr>
        <w:t xml:space="preserve"> un créa</w:t>
      </w:r>
      <w:r w:rsidR="009C36B3">
        <w:rPr>
          <w:rFonts w:cs="Times New Roman"/>
          <w:lang w:val="fr-CA"/>
        </w:rPr>
        <w:t xml:space="preserve">ncier » (par. 136 (en italique </w:t>
      </w:r>
      <w:r w:rsidRPr="00375EDE">
        <w:rPr>
          <w:rFonts w:cs="Times New Roman"/>
          <w:lang w:val="fr-CA"/>
        </w:rPr>
        <w:t>dans l</w:t>
      </w:r>
      <w:r>
        <w:rPr>
          <w:rFonts w:cs="Times New Roman"/>
          <w:lang w:val="fr-CA"/>
        </w:rPr>
        <w:t>’</w:t>
      </w:r>
      <w:r w:rsidRPr="00375EDE">
        <w:rPr>
          <w:rFonts w:cs="Times New Roman"/>
          <w:lang w:val="fr-CA"/>
        </w:rPr>
        <w:t>original)). Sans vouloir conjecturer tous les scénarios possibles, je ferai simplement remarquer qu</w:t>
      </w:r>
      <w:r>
        <w:rPr>
          <w:rFonts w:cs="Times New Roman"/>
          <w:lang w:val="fr-CA"/>
        </w:rPr>
        <w:t>’</w:t>
      </w:r>
      <w:r w:rsidRPr="00375EDE">
        <w:rPr>
          <w:rFonts w:cs="Times New Roman"/>
          <w:lang w:val="fr-CA"/>
        </w:rPr>
        <w:t>il existe de nombreuses situations évidentes où des organismes de réglementation n</w:t>
      </w:r>
      <w:r>
        <w:rPr>
          <w:rFonts w:cs="Times New Roman"/>
          <w:lang w:val="fr-CA"/>
        </w:rPr>
        <w:t>’</w:t>
      </w:r>
      <w:r w:rsidRPr="00375EDE">
        <w:rPr>
          <w:rFonts w:cs="Times New Roman"/>
          <w:lang w:val="fr-CA"/>
        </w:rPr>
        <w:t>exercent même pas de pouvoirs d</w:t>
      </w:r>
      <w:r>
        <w:rPr>
          <w:rFonts w:cs="Times New Roman"/>
          <w:lang w:val="fr-CA"/>
        </w:rPr>
        <w:t>’</w:t>
      </w:r>
      <w:r w:rsidRPr="00375EDE">
        <w:rPr>
          <w:rFonts w:cs="Times New Roman"/>
          <w:lang w:val="fr-CA"/>
        </w:rPr>
        <w:t>application à l</w:t>
      </w:r>
      <w:r>
        <w:rPr>
          <w:rFonts w:cs="Times New Roman"/>
          <w:lang w:val="fr-CA"/>
        </w:rPr>
        <w:t>’</w:t>
      </w:r>
      <w:r w:rsidRPr="00375EDE">
        <w:rPr>
          <w:rFonts w:cs="Times New Roman"/>
          <w:lang w:val="fr-CA"/>
        </w:rPr>
        <w:t>encontre de débiteurs en particulier, et l</w:t>
      </w:r>
      <w:r>
        <w:rPr>
          <w:rFonts w:cs="Times New Roman"/>
          <w:lang w:val="fr-CA"/>
        </w:rPr>
        <w:t>’</w:t>
      </w:r>
      <w:r w:rsidRPr="00375EDE">
        <w:rPr>
          <w:rFonts w:cs="Times New Roman"/>
          <w:lang w:val="fr-CA"/>
        </w:rPr>
        <w:t>analyse tirée d</w:t>
      </w:r>
      <w:r>
        <w:rPr>
          <w:rFonts w:cs="Times New Roman"/>
          <w:lang w:val="fr-CA"/>
        </w:rPr>
        <w:t>’</w:t>
      </w:r>
      <w:r w:rsidRPr="00375EDE">
        <w:rPr>
          <w:rFonts w:cs="Times New Roman"/>
          <w:i/>
          <w:lang w:val="fr-CA"/>
        </w:rPr>
        <w:t xml:space="preserve">Abitibi </w:t>
      </w:r>
      <w:r w:rsidRPr="00375EDE">
        <w:rPr>
          <w:rFonts w:cs="Times New Roman"/>
          <w:lang w:val="fr-CA"/>
        </w:rPr>
        <w:t>peut être menée à terme très tôt. Les organismes de réglementation font bien des choses qui ne participent pas de mécanismes d</w:t>
      </w:r>
      <w:r>
        <w:rPr>
          <w:rFonts w:cs="Times New Roman"/>
          <w:lang w:val="fr-CA"/>
        </w:rPr>
        <w:t>’</w:t>
      </w:r>
      <w:r w:rsidRPr="00375EDE">
        <w:rPr>
          <w:rFonts w:cs="Times New Roman"/>
          <w:lang w:val="fr-CA"/>
        </w:rPr>
        <w:t>application à l</w:t>
      </w:r>
      <w:r>
        <w:rPr>
          <w:rFonts w:cs="Times New Roman"/>
          <w:lang w:val="fr-CA"/>
        </w:rPr>
        <w:t>’</w:t>
      </w:r>
      <w:r w:rsidRPr="00375EDE">
        <w:rPr>
          <w:rFonts w:cs="Times New Roman"/>
          <w:lang w:val="fr-CA"/>
        </w:rPr>
        <w:t>encontre de certaines parties. Par exemple, un organisme de réglementation peut publier des lignes directrices pour le bien de tous les acteurs d</w:t>
      </w:r>
      <w:r>
        <w:rPr>
          <w:rFonts w:cs="Times New Roman"/>
          <w:lang w:val="fr-CA"/>
        </w:rPr>
        <w:t>’</w:t>
      </w:r>
      <w:r w:rsidRPr="00375EDE">
        <w:rPr>
          <w:rFonts w:cs="Times New Roman"/>
          <w:lang w:val="fr-CA"/>
        </w:rPr>
        <w:t xml:space="preserve">une industrie donnée, ou encore délivrer une licence </w:t>
      </w:r>
      <w:r w:rsidRPr="00375EDE">
        <w:rPr>
          <w:rFonts w:cs="Times New Roman"/>
          <w:lang w:val="fr-CA"/>
        </w:rPr>
        <w:lastRenderedPageBreak/>
        <w:t>ou un permis à un particulier. Dans ces cas, toute analyse de l</w:t>
      </w:r>
      <w:r>
        <w:rPr>
          <w:rFonts w:cs="Times New Roman"/>
          <w:lang w:val="fr-CA"/>
        </w:rPr>
        <w:t>’</w:t>
      </w:r>
      <w:r w:rsidRPr="00375EDE">
        <w:rPr>
          <w:rFonts w:cs="Times New Roman"/>
          <w:lang w:val="fr-CA"/>
        </w:rPr>
        <w:t>entrave à la réalisation d</w:t>
      </w:r>
      <w:r>
        <w:rPr>
          <w:rFonts w:cs="Times New Roman"/>
          <w:lang w:val="fr-CA"/>
        </w:rPr>
        <w:t>’</w:t>
      </w:r>
      <w:r w:rsidRPr="00375EDE">
        <w:rPr>
          <w:rFonts w:cs="Times New Roman"/>
          <w:lang w:val="fr-CA"/>
        </w:rPr>
        <w:t>objets fédéraux sera brève. Or, comme l</w:t>
      </w:r>
      <w:r>
        <w:rPr>
          <w:rFonts w:cs="Times New Roman"/>
          <w:lang w:val="fr-CA"/>
        </w:rPr>
        <w:t>’</w:t>
      </w:r>
      <w:r w:rsidRPr="00375EDE">
        <w:rPr>
          <w:rFonts w:cs="Times New Roman"/>
          <w:lang w:val="fr-CA"/>
        </w:rPr>
        <w:t>a explicitement reconnu la juge Deschamps, le premier volet du test sera d</w:t>
      </w:r>
      <w:r>
        <w:rPr>
          <w:rFonts w:cs="Times New Roman"/>
          <w:lang w:val="fr-CA"/>
        </w:rPr>
        <w:t>’</w:t>
      </w:r>
      <w:r w:rsidRPr="00375EDE">
        <w:rPr>
          <w:rFonts w:cs="Times New Roman"/>
          <w:lang w:val="fr-CA"/>
        </w:rPr>
        <w:t>application très large. Notre Cour ne devrait pas se sentir contrainte d</w:t>
      </w:r>
      <w:r>
        <w:rPr>
          <w:rFonts w:cs="Times New Roman"/>
          <w:lang w:val="fr-CA"/>
        </w:rPr>
        <w:t>’</w:t>
      </w:r>
      <w:r w:rsidRPr="00375EDE">
        <w:rPr>
          <w:rFonts w:cs="Times New Roman"/>
          <w:lang w:val="fr-CA"/>
        </w:rPr>
        <w:t>en restreindre la portée alors que des termes clairs sont employés dans cet arrêt pour reconnaître sans réserve ses vastes effets.</w:t>
      </w:r>
    </w:p>
    <w:p w:rsidR="00DF13E5" w:rsidRPr="00375EDE" w:rsidRDefault="00DF13E5" w:rsidP="00DF13E5">
      <w:pPr>
        <w:pStyle w:val="ParaNoNdepar-AltN"/>
        <w:rPr>
          <w:rFonts w:cs="Times New Roman"/>
          <w:lang w:val="fr-CA"/>
        </w:rPr>
      </w:pPr>
      <w:r w:rsidRPr="00375EDE">
        <w:rPr>
          <w:rFonts w:cs="Times New Roman"/>
          <w:lang w:val="fr-CA"/>
        </w:rPr>
        <w:t>En l</w:t>
      </w:r>
      <w:r>
        <w:rPr>
          <w:rFonts w:cs="Times New Roman"/>
          <w:lang w:val="fr-CA"/>
        </w:rPr>
        <w:t>’</w:t>
      </w:r>
      <w:r w:rsidRPr="00375EDE">
        <w:rPr>
          <w:rFonts w:cs="Times New Roman"/>
          <w:lang w:val="fr-CA"/>
        </w:rPr>
        <w:t>espèce, il ne fait aucun doute que l</w:t>
      </w:r>
      <w:r>
        <w:rPr>
          <w:rFonts w:cs="Times New Roman"/>
          <w:lang w:val="fr-CA"/>
        </w:rPr>
        <w:t>’</w:t>
      </w:r>
      <w:r w:rsidRPr="00375EDE">
        <w:rPr>
          <w:rFonts w:cs="Times New Roman"/>
          <w:lang w:val="fr-CA"/>
        </w:rPr>
        <w:t xml:space="preserve">AER </w:t>
      </w:r>
      <w:r w:rsidRPr="00375EDE">
        <w:rPr>
          <w:rFonts w:cs="Times New Roman"/>
          <w:lang w:val="fr-FR"/>
        </w:rPr>
        <w:t>a exercé son pouvoir d</w:t>
      </w:r>
      <w:r>
        <w:rPr>
          <w:rFonts w:cs="Times New Roman"/>
          <w:lang w:val="fr-FR"/>
        </w:rPr>
        <w:t>’</w:t>
      </w:r>
      <w:r w:rsidRPr="00375EDE">
        <w:rPr>
          <w:rFonts w:cs="Times New Roman"/>
          <w:lang w:val="fr-FR"/>
        </w:rPr>
        <w:t>appliquer la loi à l</w:t>
      </w:r>
      <w:r>
        <w:rPr>
          <w:rFonts w:cs="Times New Roman"/>
          <w:lang w:val="fr-FR"/>
        </w:rPr>
        <w:t>’</w:t>
      </w:r>
      <w:r w:rsidRPr="00375EDE">
        <w:rPr>
          <w:rFonts w:cs="Times New Roman"/>
          <w:lang w:val="fr-FR"/>
        </w:rPr>
        <w:t>encontre d</w:t>
      </w:r>
      <w:r>
        <w:rPr>
          <w:rFonts w:cs="Times New Roman"/>
          <w:lang w:val="fr-FR"/>
        </w:rPr>
        <w:t>’</w:t>
      </w:r>
      <w:r w:rsidRPr="00375EDE">
        <w:rPr>
          <w:rFonts w:cs="Times New Roman"/>
          <w:lang w:val="fr-FR"/>
        </w:rPr>
        <w:t>une débitrice</w:t>
      </w:r>
      <w:r w:rsidRPr="00375EDE">
        <w:rPr>
          <w:rFonts w:cs="Times New Roman"/>
          <w:lang w:val="fr-CA"/>
        </w:rPr>
        <w:t xml:space="preserve"> lorsqu</w:t>
      </w:r>
      <w:r>
        <w:rPr>
          <w:rFonts w:cs="Times New Roman"/>
          <w:lang w:val="fr-CA"/>
        </w:rPr>
        <w:t>’</w:t>
      </w:r>
      <w:r w:rsidRPr="00375EDE">
        <w:rPr>
          <w:rFonts w:cs="Times New Roman"/>
          <w:lang w:val="fr-CA"/>
        </w:rPr>
        <w:t>il a rendu les ordonnances enjoignant à Redwater d</w:t>
      </w:r>
      <w:r>
        <w:rPr>
          <w:rFonts w:cs="Times New Roman"/>
          <w:lang w:val="fr-CA"/>
        </w:rPr>
        <w:t>’</w:t>
      </w:r>
      <w:r w:rsidRPr="00375EDE">
        <w:rPr>
          <w:rFonts w:cs="Times New Roman"/>
          <w:lang w:val="fr-CA"/>
        </w:rPr>
        <w:t>accomplir les travaux environnementaux sur les biens inexploités. Le raisonnement est simple : Redwater a une dette envers l</w:t>
      </w:r>
      <w:r>
        <w:rPr>
          <w:rFonts w:cs="Times New Roman"/>
          <w:lang w:val="fr-CA"/>
        </w:rPr>
        <w:t>’</w:t>
      </w:r>
      <w:r w:rsidRPr="00375EDE">
        <w:rPr>
          <w:rFonts w:cs="Times New Roman"/>
          <w:lang w:val="fr-CA"/>
        </w:rPr>
        <w:t>AER, et l</w:t>
      </w:r>
      <w:r>
        <w:rPr>
          <w:rFonts w:cs="Times New Roman"/>
          <w:lang w:val="fr-CA"/>
        </w:rPr>
        <w:t>’</w:t>
      </w:r>
      <w:r w:rsidRPr="00375EDE">
        <w:rPr>
          <w:rFonts w:cs="Times New Roman"/>
          <w:lang w:val="fr-CA"/>
        </w:rPr>
        <w:t>AER a tenté de recouvrer cette créance en rendant les ordonnances d</w:t>
      </w:r>
      <w:r>
        <w:rPr>
          <w:rFonts w:cs="Times New Roman"/>
          <w:lang w:val="fr-CA"/>
        </w:rPr>
        <w:t>’</w:t>
      </w:r>
      <w:r w:rsidRPr="00375EDE">
        <w:rPr>
          <w:rFonts w:cs="Times New Roman"/>
          <w:lang w:val="fr-CA"/>
        </w:rPr>
        <w:t>abandon, qui enjoignent à Redwater d</w:t>
      </w:r>
      <w:r>
        <w:rPr>
          <w:rFonts w:cs="Times New Roman"/>
          <w:lang w:val="fr-CA"/>
        </w:rPr>
        <w:t>’</w:t>
      </w:r>
      <w:r w:rsidRPr="00375EDE">
        <w:rPr>
          <w:rFonts w:cs="Times New Roman"/>
          <w:lang w:val="fr-CA"/>
        </w:rPr>
        <w:t>honorer son obligation. Si Redwater (ou GTL, en tant que séquestre et syndic) ne respecte pas ces ordonnances — au détriment des autres créanciers de l</w:t>
      </w:r>
      <w:r>
        <w:rPr>
          <w:rFonts w:cs="Times New Roman"/>
          <w:lang w:val="fr-CA"/>
        </w:rPr>
        <w:t>’</w:t>
      </w:r>
      <w:r w:rsidRPr="00375EDE">
        <w:rPr>
          <w:rFonts w:cs="Times New Roman"/>
          <w:lang w:val="fr-CA"/>
        </w:rPr>
        <w:t>actif — elle peut être tenue responsable en application de la loi provinciale. Il s</w:t>
      </w:r>
      <w:r>
        <w:rPr>
          <w:rFonts w:cs="Times New Roman"/>
          <w:lang w:val="fr-CA"/>
        </w:rPr>
        <w:t>’</w:t>
      </w:r>
      <w:r w:rsidRPr="00375EDE">
        <w:rPr>
          <w:rFonts w:cs="Times New Roman"/>
          <w:lang w:val="fr-CA"/>
        </w:rPr>
        <w:t>agit, par définition, de l</w:t>
      </w:r>
      <w:r>
        <w:rPr>
          <w:rFonts w:cs="Times New Roman"/>
          <w:lang w:val="fr-CA"/>
        </w:rPr>
        <w:t>’</w:t>
      </w:r>
      <w:r w:rsidRPr="00375EDE">
        <w:rPr>
          <w:rFonts w:cs="Times New Roman"/>
          <w:lang w:val="fr-CA"/>
        </w:rPr>
        <w:t>exercice d</w:t>
      </w:r>
      <w:r>
        <w:rPr>
          <w:rFonts w:cs="Times New Roman"/>
          <w:lang w:val="fr-CA"/>
        </w:rPr>
        <w:t>’</w:t>
      </w:r>
      <w:r w:rsidRPr="00375EDE">
        <w:rPr>
          <w:rFonts w:cs="Times New Roman"/>
          <w:lang w:val="fr-CA"/>
        </w:rPr>
        <w:t>un pouvoir d</w:t>
      </w:r>
      <w:r>
        <w:rPr>
          <w:rFonts w:cs="Times New Roman"/>
          <w:lang w:val="fr-CA"/>
        </w:rPr>
        <w:t>’</w:t>
      </w:r>
      <w:r w:rsidRPr="00375EDE">
        <w:rPr>
          <w:rFonts w:cs="Times New Roman"/>
          <w:lang w:val="fr-CA"/>
        </w:rPr>
        <w:t>appliquer la loi, ce qui est précisément ce que décrit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En fait, l</w:t>
      </w:r>
      <w:r>
        <w:rPr>
          <w:rFonts w:cs="Times New Roman"/>
          <w:lang w:val="fr-CA"/>
        </w:rPr>
        <w:t>’</w:t>
      </w:r>
      <w:r w:rsidRPr="00375EDE">
        <w:rPr>
          <w:rFonts w:cs="Times New Roman"/>
          <w:lang w:val="fr-CA"/>
        </w:rPr>
        <w:t>AER a lui</w:t>
      </w:r>
      <w:r w:rsidRPr="00375EDE">
        <w:rPr>
          <w:rFonts w:cs="Times New Roman"/>
          <w:lang w:val="fr-CA"/>
        </w:rPr>
        <w:noBreakHyphen/>
        <w:t xml:space="preserve">même concédé ce point </w:t>
      </w:r>
      <w:r w:rsidRPr="00375EDE">
        <w:rPr>
          <w:rFonts w:cs="Times New Roman"/>
          <w:i/>
          <w:lang w:val="fr-CA"/>
        </w:rPr>
        <w:t xml:space="preserve">à deux reprises </w:t>
      </w:r>
      <w:r w:rsidRPr="00375EDE">
        <w:rPr>
          <w:rFonts w:cs="Times New Roman"/>
          <w:lang w:val="fr-CA"/>
        </w:rPr>
        <w:t>— la première fois devant la Cour du Banc de la Reine, et la deuxième fois devant la Cour d</w:t>
      </w:r>
      <w:r>
        <w:rPr>
          <w:rFonts w:cs="Times New Roman"/>
          <w:lang w:val="fr-CA"/>
        </w:rPr>
        <w:t>’</w:t>
      </w:r>
      <w:r w:rsidRPr="00375EDE">
        <w:rPr>
          <w:rFonts w:cs="Times New Roman"/>
          <w:lang w:val="fr-CA"/>
        </w:rPr>
        <w:t>appel (motifs du juge en cabinet, par. 164; motifs de la Cour d</w:t>
      </w:r>
      <w:r>
        <w:rPr>
          <w:rFonts w:cs="Times New Roman"/>
          <w:lang w:val="fr-CA"/>
        </w:rPr>
        <w:t>’</w:t>
      </w:r>
      <w:r w:rsidRPr="00375EDE">
        <w:rPr>
          <w:rFonts w:cs="Times New Roman"/>
          <w:lang w:val="fr-CA"/>
        </w:rPr>
        <w:t xml:space="preserve">appel, par. 73). </w:t>
      </w:r>
    </w:p>
    <w:p w:rsidR="00DF13E5" w:rsidRPr="00375EDE" w:rsidRDefault="00DF13E5" w:rsidP="00DF13E5">
      <w:pPr>
        <w:pStyle w:val="ParaNoNdepar-AltN"/>
        <w:rPr>
          <w:rFonts w:cs="Times New Roman"/>
          <w:lang w:val="fr-CA"/>
        </w:rPr>
      </w:pPr>
      <w:r w:rsidRPr="00375EDE">
        <w:rPr>
          <w:rFonts w:cs="Times New Roman"/>
          <w:lang w:val="fr-CA"/>
        </w:rPr>
        <w:t>La conclusion que je tire quant au statut de créancier de l</w:t>
      </w:r>
      <w:r>
        <w:rPr>
          <w:rFonts w:cs="Times New Roman"/>
          <w:lang w:val="fr-CA"/>
        </w:rPr>
        <w:t>’</w:t>
      </w:r>
      <w:r w:rsidRPr="00375EDE">
        <w:rPr>
          <w:rFonts w:cs="Times New Roman"/>
          <w:lang w:val="fr-CA"/>
        </w:rPr>
        <w:t>AER découle d</w:t>
      </w:r>
      <w:r>
        <w:rPr>
          <w:rFonts w:cs="Times New Roman"/>
          <w:lang w:val="fr-CA"/>
        </w:rPr>
        <w:t>’</w:t>
      </w:r>
      <w:r w:rsidRPr="00375EDE">
        <w:rPr>
          <w:rFonts w:cs="Times New Roman"/>
          <w:lang w:val="fr-CA"/>
        </w:rPr>
        <w:t>une application pure et simple de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Mon collègue, en revanche, cherche à reformuler ce volet du critère. Il soutient qu</w:t>
      </w:r>
      <w:r>
        <w:rPr>
          <w:rFonts w:cs="Times New Roman"/>
          <w:lang w:val="fr-CA"/>
        </w:rPr>
        <w:t>’</w:t>
      </w:r>
      <w:r w:rsidRPr="00375EDE">
        <w:rPr>
          <w:rFonts w:cs="Times New Roman"/>
          <w:lang w:val="fr-CA"/>
        </w:rPr>
        <w:t>un organisme de réglementation agit comme créancier seulement lorsqu</w:t>
      </w:r>
      <w:r>
        <w:rPr>
          <w:rFonts w:cs="Times New Roman"/>
          <w:lang w:val="fr-CA"/>
        </w:rPr>
        <w:t>’</w:t>
      </w:r>
      <w:r w:rsidRPr="00375EDE">
        <w:rPr>
          <w:rFonts w:cs="Times New Roman"/>
          <w:lang w:val="fr-CA"/>
        </w:rPr>
        <w:t>il ne le fait pas dans l</w:t>
      </w:r>
      <w:r>
        <w:rPr>
          <w:rFonts w:cs="Times New Roman"/>
          <w:lang w:val="fr-CA"/>
        </w:rPr>
        <w:t>’</w:t>
      </w:r>
      <w:r w:rsidRPr="00375EDE">
        <w:rPr>
          <w:rFonts w:cs="Times New Roman"/>
          <w:lang w:val="fr-CA"/>
        </w:rPr>
        <w:t>intérêt public et lorsque l</w:t>
      </w:r>
      <w:r>
        <w:rPr>
          <w:rFonts w:cs="Times New Roman"/>
          <w:lang w:val="fr-CA"/>
        </w:rPr>
        <w:t>’</w:t>
      </w:r>
      <w:r w:rsidRPr="00375EDE">
        <w:rPr>
          <w:rFonts w:cs="Times New Roman"/>
          <w:lang w:val="fr-CA"/>
        </w:rPr>
        <w:t>organisme lui</w:t>
      </w:r>
      <w:r w:rsidRPr="00375EDE">
        <w:rPr>
          <w:rFonts w:cs="Times New Roman"/>
          <w:lang w:val="fr-CA"/>
        </w:rPr>
        <w:noBreakHyphen/>
        <w:t>même, ou le Trésor, est le bénéficiaire de l</w:t>
      </w:r>
      <w:r>
        <w:rPr>
          <w:rFonts w:cs="Times New Roman"/>
          <w:lang w:val="fr-CA"/>
        </w:rPr>
        <w:t>’</w:t>
      </w:r>
      <w:r w:rsidRPr="00375EDE">
        <w:rPr>
          <w:rFonts w:cs="Times New Roman"/>
          <w:lang w:val="fr-CA"/>
        </w:rPr>
        <w:t xml:space="preserve">obligation environnementale. Il fait sienne la conclusion qui aurait été tirée dans </w:t>
      </w:r>
      <w:r w:rsidRPr="00375EDE">
        <w:rPr>
          <w:rFonts w:cs="Times New Roman"/>
          <w:i/>
          <w:lang w:val="fr-CA"/>
        </w:rPr>
        <w:t>Northern Badger</w:t>
      </w:r>
      <w:r w:rsidRPr="00375EDE">
        <w:rPr>
          <w:rFonts w:cs="Times New Roman"/>
          <w:lang w:val="fr-CA"/>
        </w:rPr>
        <w:t xml:space="preserve"> </w:t>
      </w:r>
      <w:r w:rsidRPr="00375EDE">
        <w:rPr>
          <w:rFonts w:cs="Times New Roman"/>
          <w:lang w:val="fr-CA"/>
        </w:rPr>
        <w:lastRenderedPageBreak/>
        <w:t>selon laquelle « un organisme de réglementation faisant respecter un devoir public au moyen d</w:t>
      </w:r>
      <w:r>
        <w:rPr>
          <w:rFonts w:cs="Times New Roman"/>
          <w:lang w:val="fr-CA"/>
        </w:rPr>
        <w:t>’</w:t>
      </w:r>
      <w:r w:rsidRPr="00375EDE">
        <w:rPr>
          <w:rFonts w:cs="Times New Roman"/>
          <w:lang w:val="fr-CA"/>
        </w:rPr>
        <w:t>une ordonnance non pécuniaire n</w:t>
      </w:r>
      <w:r>
        <w:rPr>
          <w:rFonts w:cs="Times New Roman"/>
          <w:lang w:val="fr-CA"/>
        </w:rPr>
        <w:t>’</w:t>
      </w:r>
      <w:r w:rsidRPr="00375EDE">
        <w:rPr>
          <w:rFonts w:cs="Times New Roman"/>
          <w:lang w:val="fr-CA"/>
        </w:rPr>
        <w:t>est pas un créancier</w:t>
      </w:r>
      <w:r>
        <w:rPr>
          <w:rFonts w:cs="Times New Roman"/>
          <w:lang w:val="fr-CA"/>
        </w:rPr>
        <w:t> </w:t>
      </w:r>
      <w:r w:rsidRPr="00375EDE">
        <w:rPr>
          <w:rFonts w:cs="Times New Roman"/>
          <w:lang w:val="fr-CA"/>
        </w:rPr>
        <w:t>» (par. 130).</w:t>
      </w:r>
    </w:p>
    <w:p w:rsidR="00DF13E5" w:rsidRPr="00375EDE" w:rsidRDefault="00DF13E5" w:rsidP="00DF13E5">
      <w:pPr>
        <w:pStyle w:val="ParaNoNdepar-AltN"/>
        <w:rPr>
          <w:rFonts w:cs="Times New Roman"/>
          <w:lang w:val="fr-CA"/>
        </w:rPr>
      </w:pPr>
      <w:r w:rsidRPr="00375EDE">
        <w:rPr>
          <w:rFonts w:cs="Times New Roman"/>
          <w:lang w:val="fr-CA"/>
        </w:rPr>
        <w:t>À mon sens, il n</w:t>
      </w:r>
      <w:r>
        <w:rPr>
          <w:rFonts w:cs="Times New Roman"/>
          <w:lang w:val="fr-CA"/>
        </w:rPr>
        <w:t>’</w:t>
      </w:r>
      <w:r w:rsidRPr="00375EDE">
        <w:rPr>
          <w:rFonts w:cs="Times New Roman"/>
          <w:lang w:val="fr-CA"/>
        </w:rPr>
        <w:t>est ni approprié ni nécessaire en l</w:t>
      </w:r>
      <w:r>
        <w:rPr>
          <w:rFonts w:cs="Times New Roman"/>
          <w:lang w:val="fr-CA"/>
        </w:rPr>
        <w:t>’</w:t>
      </w:r>
      <w:r w:rsidRPr="00375EDE">
        <w:rPr>
          <w:rFonts w:cs="Times New Roman"/>
          <w:lang w:val="fr-CA"/>
        </w:rPr>
        <w:t>espèce d</w:t>
      </w:r>
      <w:r>
        <w:rPr>
          <w:rFonts w:cs="Times New Roman"/>
          <w:lang w:val="fr-CA"/>
        </w:rPr>
        <w:t>’</w:t>
      </w:r>
      <w:r w:rsidRPr="00375EDE">
        <w:rPr>
          <w:rFonts w:cs="Times New Roman"/>
          <w:lang w:val="fr-CA"/>
        </w:rPr>
        <w:t xml:space="preserve">essayer de redéfinir ce volet du critère </w:t>
      </w:r>
      <w:r w:rsidRPr="00375EDE">
        <w:rPr>
          <w:rFonts w:cs="Times New Roman"/>
          <w:i/>
          <w:lang w:val="fr-CA"/>
        </w:rPr>
        <w:t xml:space="preserve">Abitibi </w:t>
      </w:r>
      <w:r w:rsidRPr="00375EDE">
        <w:rPr>
          <w:rFonts w:cs="Times New Roman"/>
          <w:lang w:val="fr-CA"/>
        </w:rPr>
        <w:t>et de restreindre le large sens attribué par la juge Deschamps au mot « créancier ». La Cour devrait s</w:t>
      </w:r>
      <w:r>
        <w:rPr>
          <w:rFonts w:cs="Times New Roman"/>
          <w:lang w:val="fr-CA"/>
        </w:rPr>
        <w:t>’</w:t>
      </w:r>
      <w:r w:rsidRPr="00375EDE">
        <w:rPr>
          <w:rFonts w:cs="Times New Roman"/>
          <w:lang w:val="fr-CA"/>
        </w:rPr>
        <w:t>en tenir à la description claire que fait la juge</w:t>
      </w:r>
      <w:r>
        <w:rPr>
          <w:rFonts w:cs="Times New Roman"/>
          <w:lang w:val="fr-CA"/>
        </w:rPr>
        <w:t xml:space="preserve"> </w:t>
      </w:r>
      <w:r w:rsidRPr="00375EDE">
        <w:rPr>
          <w:rFonts w:cs="Times New Roman"/>
          <w:lang w:val="fr-CA"/>
        </w:rPr>
        <w:t>Deschamps de la norme de la réclamation prouvable. Avec égards, je ne puis me rallier à la façon dont les juges majoritaires tentent de reformuler l</w:t>
      </w:r>
      <w:r>
        <w:rPr>
          <w:rFonts w:cs="Times New Roman"/>
          <w:lang w:val="fr-CA"/>
        </w:rPr>
        <w:t>’</w:t>
      </w:r>
      <w:r w:rsidRPr="00375EDE">
        <w:rPr>
          <w:rFonts w:cs="Times New Roman"/>
          <w:lang w:val="fr-CA"/>
        </w:rPr>
        <w:t>analyse relative au « créancier », et ce, pour plusieurs raisons.</w:t>
      </w:r>
    </w:p>
    <w:p w:rsidR="00DF13E5" w:rsidRPr="00375EDE" w:rsidRDefault="00DF13E5" w:rsidP="00DF13E5">
      <w:pPr>
        <w:pStyle w:val="ParaNoNdepar-AltN"/>
        <w:rPr>
          <w:rFonts w:cs="Times New Roman"/>
          <w:lang w:val="fr-CA"/>
        </w:rPr>
      </w:pPr>
      <w:r w:rsidRPr="00375EDE">
        <w:rPr>
          <w:rFonts w:cs="Times New Roman"/>
          <w:lang w:val="fr-CA"/>
        </w:rPr>
        <w:t>Premièrement, je ne crois pas que la présente affaire soit une bonne occasion de revoir l</w:t>
      </w:r>
      <w:r>
        <w:rPr>
          <w:rFonts w:cs="Times New Roman"/>
          <w:lang w:val="fr-CA"/>
        </w:rPr>
        <w:t>’</w:t>
      </w:r>
      <w:r w:rsidRPr="00375EDE">
        <w:rPr>
          <w:rFonts w:cs="Times New Roman"/>
          <w:lang w:val="fr-CA"/>
        </w:rPr>
        <w:t xml:space="preserve">étape « créancier » du critère </w:t>
      </w:r>
      <w:r w:rsidRPr="00375EDE">
        <w:rPr>
          <w:rFonts w:cs="Times New Roman"/>
          <w:i/>
          <w:lang w:val="fr-CA"/>
        </w:rPr>
        <w:t>Abitibi</w:t>
      </w:r>
      <w:r w:rsidRPr="00375EDE">
        <w:rPr>
          <w:rFonts w:cs="Times New Roman"/>
          <w:lang w:val="fr-CA"/>
        </w:rPr>
        <w:t>. L</w:t>
      </w:r>
      <w:r>
        <w:rPr>
          <w:rFonts w:cs="Times New Roman"/>
          <w:lang w:val="fr-CA"/>
        </w:rPr>
        <w:t>’</w:t>
      </w:r>
      <w:r w:rsidRPr="00375EDE">
        <w:rPr>
          <w:rFonts w:cs="Times New Roman"/>
          <w:lang w:val="fr-CA"/>
        </w:rPr>
        <w:t>AER a concédé devant les deux tribunaux d</w:t>
      </w:r>
      <w:r>
        <w:rPr>
          <w:rFonts w:cs="Times New Roman"/>
          <w:lang w:val="fr-CA"/>
        </w:rPr>
        <w:t>’</w:t>
      </w:r>
      <w:r w:rsidRPr="00375EDE">
        <w:rPr>
          <w:rFonts w:cs="Times New Roman"/>
          <w:lang w:val="fr-CA"/>
        </w:rPr>
        <w:t>instance inférieure qu</w:t>
      </w:r>
      <w:r>
        <w:rPr>
          <w:rFonts w:cs="Times New Roman"/>
          <w:lang w:val="fr-CA"/>
        </w:rPr>
        <w:t>’</w:t>
      </w:r>
      <w:r w:rsidRPr="00375EDE">
        <w:rPr>
          <w:rFonts w:cs="Times New Roman"/>
          <w:lang w:val="fr-CA"/>
        </w:rPr>
        <w:t>il était en effet un créancier de GTL. Ces concessions ont pour conséquence directe que la question n</w:t>
      </w:r>
      <w:r>
        <w:rPr>
          <w:rFonts w:cs="Times New Roman"/>
          <w:lang w:val="fr-CA"/>
        </w:rPr>
        <w:t>’</w:t>
      </w:r>
      <w:r w:rsidRPr="00375EDE">
        <w:rPr>
          <w:rFonts w:cs="Times New Roman"/>
          <w:lang w:val="fr-CA"/>
        </w:rPr>
        <w:t>a été abordée directement ni par la Cour du Banc de la Reine de l</w:t>
      </w:r>
      <w:r>
        <w:rPr>
          <w:rFonts w:cs="Times New Roman"/>
          <w:lang w:val="fr-CA"/>
        </w:rPr>
        <w:t>’</w:t>
      </w:r>
      <w:r w:rsidRPr="00375EDE">
        <w:rPr>
          <w:rFonts w:cs="Times New Roman"/>
          <w:lang w:val="fr-CA"/>
        </w:rPr>
        <w:t>Alberta ni par les juges majoritaires de la Cour d</w:t>
      </w:r>
      <w:r>
        <w:rPr>
          <w:rFonts w:cs="Times New Roman"/>
          <w:lang w:val="fr-CA"/>
        </w:rPr>
        <w:t>’</w:t>
      </w:r>
      <w:r w:rsidRPr="00375EDE">
        <w:rPr>
          <w:rFonts w:cs="Times New Roman"/>
          <w:lang w:val="fr-CA"/>
        </w:rPr>
        <w:t>appel, qui se sont plutôt contentés de formuler de brefs commentaires. Cette question semble avoir été soulevée pour la première par la juge d</w:t>
      </w:r>
      <w:r>
        <w:rPr>
          <w:rFonts w:cs="Times New Roman"/>
          <w:lang w:val="fr-CA"/>
        </w:rPr>
        <w:t>’</w:t>
      </w:r>
      <w:r w:rsidRPr="00375EDE">
        <w:rPr>
          <w:rFonts w:cs="Times New Roman"/>
          <w:lang w:val="fr-CA"/>
        </w:rPr>
        <w:t>appel Martin dans ses motifs dissidents. Toutefois, même son analyse est relativement brève, ne compte que trois paragraphes et se limite principalement à l</w:t>
      </w:r>
      <w:r>
        <w:rPr>
          <w:rFonts w:cs="Times New Roman"/>
          <w:lang w:val="fr-CA"/>
        </w:rPr>
        <w:t>’</w:t>
      </w:r>
      <w:r w:rsidRPr="00375EDE">
        <w:rPr>
          <w:rFonts w:cs="Times New Roman"/>
          <w:lang w:val="fr-CA"/>
        </w:rPr>
        <w:t>affirmation portant que les coûts liés à l</w:t>
      </w:r>
      <w:r>
        <w:rPr>
          <w:rFonts w:cs="Times New Roman"/>
          <w:lang w:val="fr-CA"/>
        </w:rPr>
        <w:t>’</w:t>
      </w:r>
      <w:r w:rsidRPr="00375EDE">
        <w:rPr>
          <w:rFonts w:cs="Times New Roman"/>
          <w:lang w:val="fr-CA"/>
        </w:rPr>
        <w:t>abandon ne sont pas dûs à [</w:t>
      </w:r>
      <w:r w:rsidRPr="00375EDE">
        <w:rPr>
          <w:rFonts w:cs="Times New Roman"/>
          <w:smallCaps/>
          <w:lang w:val="fr-CA"/>
        </w:rPr>
        <w:t>traduction</w:t>
      </w:r>
      <w:r>
        <w:rPr>
          <w:rFonts w:cs="Times New Roman"/>
          <w:lang w:val="fr-CA"/>
        </w:rPr>
        <w:t>] </w:t>
      </w:r>
      <w:r w:rsidRPr="00375EDE">
        <w:rPr>
          <w:rFonts w:cs="Times New Roman"/>
          <w:lang w:val="fr-CA"/>
        </w:rPr>
        <w:t>« l</w:t>
      </w:r>
      <w:r>
        <w:rPr>
          <w:rFonts w:cs="Times New Roman"/>
          <w:lang w:val="fr-CA"/>
        </w:rPr>
        <w:t>’</w:t>
      </w:r>
      <w:r w:rsidRPr="00375EDE">
        <w:rPr>
          <w:rFonts w:cs="Times New Roman"/>
          <w:lang w:val="fr-CA"/>
        </w:rPr>
        <w:t>organisme de réglementation ou à</w:t>
      </w:r>
      <w:r>
        <w:rPr>
          <w:rFonts w:cs="Times New Roman"/>
          <w:lang w:val="fr-CA"/>
        </w:rPr>
        <w:t xml:space="preserve"> la province </w:t>
      </w:r>
      <w:r w:rsidRPr="00375EDE">
        <w:rPr>
          <w:rFonts w:cs="Times New Roman"/>
          <w:lang w:val="fr-CA"/>
        </w:rPr>
        <w:t>» (par. 185). Bien que les parties aient abordé succinctement la question dans leurs observations écrites et leurs plaidoiries présentées à la Cour, ce n</w:t>
      </w:r>
      <w:r>
        <w:rPr>
          <w:rFonts w:cs="Times New Roman"/>
          <w:lang w:val="fr-CA"/>
        </w:rPr>
        <w:t>’</w:t>
      </w:r>
      <w:r w:rsidRPr="00375EDE">
        <w:rPr>
          <w:rFonts w:cs="Times New Roman"/>
          <w:lang w:val="fr-CA"/>
        </w:rPr>
        <w:t>était clairement pas au cœur de leur argumentaire. En l</w:t>
      </w:r>
      <w:r>
        <w:rPr>
          <w:rFonts w:cs="Times New Roman"/>
          <w:lang w:val="fr-CA"/>
        </w:rPr>
        <w:t>’</w:t>
      </w:r>
      <w:r w:rsidRPr="00375EDE">
        <w:rPr>
          <w:rFonts w:cs="Times New Roman"/>
          <w:lang w:val="fr-CA"/>
        </w:rPr>
        <w:t>absence de motifs réfléchis des tribunaux d</w:t>
      </w:r>
      <w:r>
        <w:rPr>
          <w:rFonts w:cs="Times New Roman"/>
          <w:lang w:val="fr-CA"/>
        </w:rPr>
        <w:t>’</w:t>
      </w:r>
      <w:r w:rsidRPr="00375EDE">
        <w:rPr>
          <w:rFonts w:cs="Times New Roman"/>
          <w:lang w:val="fr-CA"/>
        </w:rPr>
        <w:t>instance inférieure ou d</w:t>
      </w:r>
      <w:r>
        <w:rPr>
          <w:rFonts w:cs="Times New Roman"/>
          <w:lang w:val="fr-CA"/>
        </w:rPr>
        <w:t>’</w:t>
      </w:r>
      <w:r w:rsidRPr="00375EDE">
        <w:rPr>
          <w:rFonts w:cs="Times New Roman"/>
          <w:lang w:val="fr-CA"/>
        </w:rPr>
        <w:t>observations exhaustives sur l</w:t>
      </w:r>
      <w:r>
        <w:rPr>
          <w:rFonts w:cs="Times New Roman"/>
          <w:lang w:val="fr-CA"/>
        </w:rPr>
        <w:t>’</w:t>
      </w:r>
      <w:r w:rsidRPr="00375EDE">
        <w:rPr>
          <w:rFonts w:cs="Times New Roman"/>
          <w:lang w:val="fr-CA"/>
        </w:rPr>
        <w:t xml:space="preserve">application continue du </w:t>
      </w:r>
      <w:r w:rsidRPr="00375EDE">
        <w:rPr>
          <w:rFonts w:cs="Times New Roman"/>
          <w:lang w:val="fr-CA"/>
        </w:rPr>
        <w:lastRenderedPageBreak/>
        <w:t xml:space="preserve">premier volet du test formulé dans </w:t>
      </w:r>
      <w:r w:rsidRPr="00375EDE">
        <w:rPr>
          <w:rFonts w:cs="Times New Roman"/>
          <w:i/>
          <w:lang w:val="fr-CA"/>
        </w:rPr>
        <w:t>Abitibi</w:t>
      </w:r>
      <w:r w:rsidRPr="00375EDE">
        <w:rPr>
          <w:rFonts w:cs="Times New Roman"/>
          <w:lang w:val="fr-CA"/>
        </w:rPr>
        <w:t>, la Cour ne devrait pas tenter de le modifier substantiellement.</w:t>
      </w:r>
    </w:p>
    <w:p w:rsidR="00DF13E5" w:rsidRDefault="00DF13E5" w:rsidP="00DF13E5">
      <w:pPr>
        <w:pStyle w:val="ParaNoNdepar-AltN"/>
        <w:rPr>
          <w:rFonts w:cs="Times New Roman"/>
          <w:lang w:val="fr-CA"/>
        </w:rPr>
      </w:pPr>
      <w:r w:rsidRPr="00375EDE">
        <w:rPr>
          <w:rFonts w:cs="Times New Roman"/>
          <w:lang w:val="fr-CA"/>
        </w:rPr>
        <w:t>Deuxièmement, selon les juges majoritaires, on ne soulève aucune préoccupation en matière d</w:t>
      </w:r>
      <w:r>
        <w:rPr>
          <w:rFonts w:cs="Times New Roman"/>
          <w:lang w:val="fr-CA"/>
        </w:rPr>
        <w:t>’</w:t>
      </w:r>
      <w:r w:rsidRPr="00375EDE">
        <w:rPr>
          <w:rFonts w:cs="Times New Roman"/>
          <w:lang w:val="fr-CA"/>
        </w:rPr>
        <w:t>équité en ne tenant pas compte de la concession faite par l</w:t>
      </w:r>
      <w:r>
        <w:rPr>
          <w:rFonts w:cs="Times New Roman"/>
          <w:lang w:val="fr-CA"/>
        </w:rPr>
        <w:t>’</w:t>
      </w:r>
      <w:r w:rsidRPr="00375EDE">
        <w:rPr>
          <w:rFonts w:cs="Times New Roman"/>
          <w:lang w:val="fr-CA"/>
        </w:rPr>
        <w:t>AER devant les tribunaux d</w:t>
      </w:r>
      <w:r>
        <w:rPr>
          <w:rFonts w:cs="Times New Roman"/>
          <w:lang w:val="fr-CA"/>
        </w:rPr>
        <w:t>’</w:t>
      </w:r>
      <w:r w:rsidRPr="00375EDE">
        <w:rPr>
          <w:rFonts w:cs="Times New Roman"/>
          <w:lang w:val="fr-CA"/>
        </w:rPr>
        <w:t>instance inférieure. La majorité apporte cette précision principalement parce que la question a été soulevée et débattue devant la Cour et en raison de l</w:t>
      </w:r>
      <w:r>
        <w:rPr>
          <w:rFonts w:cs="Times New Roman"/>
          <w:lang w:val="fr-CA"/>
        </w:rPr>
        <w:t>’</w:t>
      </w:r>
      <w:r w:rsidRPr="00375EDE">
        <w:rPr>
          <w:rFonts w:cs="Times New Roman"/>
          <w:lang w:val="fr-CA"/>
        </w:rPr>
        <w:t>affirmation unilatérale contenue dans la lettre de l</w:t>
      </w:r>
      <w:r>
        <w:rPr>
          <w:rFonts w:cs="Times New Roman"/>
          <w:lang w:val="fr-CA"/>
        </w:rPr>
        <w:t>’</w:t>
      </w:r>
      <w:r w:rsidRPr="00375EDE">
        <w:rPr>
          <w:rFonts w:cs="Times New Roman"/>
          <w:lang w:val="fr-CA"/>
        </w:rPr>
        <w:t>AER adressée à GTL en mai 2015. Il importe toutefois de noter que les concessions de l</w:t>
      </w:r>
      <w:r>
        <w:rPr>
          <w:rFonts w:cs="Times New Roman"/>
          <w:lang w:val="fr-CA"/>
        </w:rPr>
        <w:t>’</w:t>
      </w:r>
      <w:r w:rsidRPr="00375EDE">
        <w:rPr>
          <w:rFonts w:cs="Times New Roman"/>
          <w:lang w:val="fr-CA"/>
        </w:rPr>
        <w:t xml:space="preserve">AER ont eu pour effet que GTL et </w:t>
      </w:r>
      <w:r w:rsidRPr="00375EDE">
        <w:rPr>
          <w:rFonts w:cs="Times New Roman"/>
          <w:lang w:val="fr-CA" w:bidi="en-US"/>
        </w:rPr>
        <w:t>ATB Financial ne sont plus tenus de présenter de la preuve à cet égard (S.</w:t>
      </w:r>
      <w:r w:rsidR="00F0174D">
        <w:rPr>
          <w:rFonts w:cs="Times New Roman"/>
          <w:lang w:val="fr-CA" w:bidi="en-US"/>
        </w:rPr>
        <w:t> </w:t>
      </w:r>
      <w:r w:rsidRPr="00375EDE">
        <w:rPr>
          <w:rFonts w:cs="Times New Roman"/>
          <w:lang w:val="fr-CA" w:bidi="en-US"/>
        </w:rPr>
        <w:t>N. Lederman, A.</w:t>
      </w:r>
      <w:r w:rsidR="00F0174D">
        <w:rPr>
          <w:rFonts w:cs="Times New Roman"/>
          <w:lang w:val="fr-CA" w:bidi="en-US"/>
        </w:rPr>
        <w:t> </w:t>
      </w:r>
      <w:r w:rsidRPr="00375EDE">
        <w:rPr>
          <w:rFonts w:cs="Times New Roman"/>
          <w:lang w:val="fr-CA" w:bidi="en-US"/>
        </w:rPr>
        <w:t>W. Bryant et M.</w:t>
      </w:r>
      <w:r w:rsidR="00F0174D">
        <w:rPr>
          <w:rFonts w:cs="Times New Roman"/>
          <w:lang w:val="fr-CA" w:bidi="en-US"/>
        </w:rPr>
        <w:t> </w:t>
      </w:r>
      <w:r w:rsidRPr="00375EDE">
        <w:rPr>
          <w:rFonts w:cs="Times New Roman"/>
          <w:lang w:val="fr-CA" w:bidi="en-US"/>
        </w:rPr>
        <w:t xml:space="preserve">K. Fuerst, </w:t>
      </w:r>
      <w:r w:rsidRPr="00375EDE">
        <w:rPr>
          <w:rFonts w:cs="Times New Roman"/>
          <w:i/>
          <w:lang w:val="fr-CA" w:bidi="en-US"/>
        </w:rPr>
        <w:t xml:space="preserve">The Law of Evidence in Canada </w:t>
      </w:r>
      <w:r w:rsidRPr="00375EDE">
        <w:rPr>
          <w:rFonts w:cs="Times New Roman"/>
          <w:lang w:val="fr-CA" w:bidi="en-US"/>
        </w:rPr>
        <w:t>(5</w:t>
      </w:r>
      <w:r w:rsidRPr="00375EDE">
        <w:rPr>
          <w:rFonts w:cs="Times New Roman"/>
          <w:vertAlign w:val="superscript"/>
          <w:lang w:val="fr-CA" w:bidi="en-US"/>
        </w:rPr>
        <w:t>e</w:t>
      </w:r>
      <w:r w:rsidR="00F502FF">
        <w:rPr>
          <w:rFonts w:cs="Times New Roman"/>
          <w:lang w:val="fr-CA" w:bidi="en-US"/>
        </w:rPr>
        <w:t xml:space="preserve"> éd.</w:t>
      </w:r>
      <w:r w:rsidRPr="00375EDE">
        <w:rPr>
          <w:rFonts w:cs="Times New Roman"/>
          <w:lang w:val="fr-CA" w:bidi="en-US"/>
        </w:rPr>
        <w:t xml:space="preserve"> 2018), p. 1387). Il s</w:t>
      </w:r>
      <w:r>
        <w:rPr>
          <w:rFonts w:cs="Times New Roman"/>
          <w:lang w:val="fr-CA" w:bidi="en-US"/>
        </w:rPr>
        <w:t>’</w:t>
      </w:r>
      <w:r w:rsidRPr="00375EDE">
        <w:rPr>
          <w:rFonts w:cs="Times New Roman"/>
          <w:lang w:val="fr-CA" w:bidi="en-US"/>
        </w:rPr>
        <w:t>agit d</w:t>
      </w:r>
      <w:r>
        <w:rPr>
          <w:rFonts w:cs="Times New Roman"/>
          <w:lang w:val="fr-CA" w:bidi="en-US"/>
        </w:rPr>
        <w:t>’</w:t>
      </w:r>
      <w:r w:rsidRPr="00375EDE">
        <w:rPr>
          <w:rFonts w:cs="Times New Roman"/>
          <w:lang w:val="fr-CA" w:bidi="en-US"/>
        </w:rPr>
        <w:t>un point important étant donné que la reformulation, par les juges majoritaires, de l</w:t>
      </w:r>
      <w:r>
        <w:rPr>
          <w:rFonts w:cs="Times New Roman"/>
          <w:lang w:val="fr-CA" w:bidi="en-US"/>
        </w:rPr>
        <w:t>’</w:t>
      </w:r>
      <w:r w:rsidRPr="00375EDE">
        <w:rPr>
          <w:rFonts w:cs="Times New Roman"/>
          <w:lang w:val="fr-CA" w:bidi="en-US"/>
        </w:rPr>
        <w:t>exigence « créancier » au premier volet du test est largement tributaire des faits et dépend des circonstances de l</w:t>
      </w:r>
      <w:r>
        <w:rPr>
          <w:rFonts w:cs="Times New Roman"/>
          <w:lang w:val="fr-CA" w:bidi="en-US"/>
        </w:rPr>
        <w:t>’</w:t>
      </w:r>
      <w:r w:rsidRPr="00375EDE">
        <w:rPr>
          <w:rFonts w:cs="Times New Roman"/>
          <w:lang w:val="fr-CA" w:bidi="en-US"/>
        </w:rPr>
        <w:t>affaire en cause. La concession de l</w:t>
      </w:r>
      <w:r>
        <w:rPr>
          <w:rFonts w:cs="Times New Roman"/>
          <w:lang w:val="fr-CA" w:bidi="en-US"/>
        </w:rPr>
        <w:t>’</w:t>
      </w:r>
      <w:r w:rsidRPr="00375EDE">
        <w:rPr>
          <w:rFonts w:cs="Times New Roman"/>
          <w:lang w:val="fr-CA" w:bidi="en-US"/>
        </w:rPr>
        <w:t>AER devant la Cour du Banc de la Reine de l</w:t>
      </w:r>
      <w:r>
        <w:rPr>
          <w:rFonts w:cs="Times New Roman"/>
          <w:lang w:val="fr-CA" w:bidi="en-US"/>
        </w:rPr>
        <w:t>’</w:t>
      </w:r>
      <w:r w:rsidRPr="00375EDE">
        <w:rPr>
          <w:rFonts w:cs="Times New Roman"/>
          <w:lang w:val="fr-CA" w:bidi="en-US"/>
        </w:rPr>
        <w:t>Alberta a pour résultat direct qu</w:t>
      </w:r>
      <w:r>
        <w:rPr>
          <w:rFonts w:cs="Times New Roman"/>
          <w:lang w:val="fr-CA" w:bidi="en-US"/>
        </w:rPr>
        <w:t>’</w:t>
      </w:r>
      <w:r w:rsidRPr="00375EDE">
        <w:rPr>
          <w:rFonts w:cs="Times New Roman"/>
          <w:lang w:val="fr-CA" w:bidi="en-US"/>
        </w:rPr>
        <w:t>il nous est impossible de savoir quels éléments de preuve GTL ou ATB Financial aurait présentés à ce sujet. Par conséquent, ne pas tenir compte de la concession à ce moment</w:t>
      </w:r>
      <w:r w:rsidRPr="00375EDE">
        <w:rPr>
          <w:rFonts w:cs="Times New Roman"/>
          <w:lang w:val="fr-CA" w:bidi="en-US"/>
        </w:rPr>
        <w:noBreakHyphen/>
        <w:t xml:space="preserve">ci pourrait bien causer un véritable préjudice aux parties. </w:t>
      </w:r>
    </w:p>
    <w:p w:rsidR="00DF13E5" w:rsidRPr="005D1184" w:rsidRDefault="00DF13E5" w:rsidP="00DF13E5">
      <w:pPr>
        <w:pStyle w:val="ParaNoNdepar-AltN"/>
        <w:rPr>
          <w:rFonts w:cs="Times New Roman"/>
          <w:lang w:val="fr-CA"/>
        </w:rPr>
      </w:pPr>
      <w:r w:rsidRPr="00375EDE">
        <w:rPr>
          <w:rFonts w:cs="Times New Roman"/>
          <w:lang w:val="fr-CA"/>
        </w:rPr>
        <w:t>Troisièmement, mon collègue s</w:t>
      </w:r>
      <w:r>
        <w:rPr>
          <w:rFonts w:cs="Times New Roman"/>
          <w:lang w:val="fr-CA"/>
        </w:rPr>
        <w:t>’</w:t>
      </w:r>
      <w:r w:rsidRPr="00375EDE">
        <w:rPr>
          <w:rFonts w:cs="Times New Roman"/>
          <w:lang w:val="fr-CA"/>
        </w:rPr>
        <w:t xml:space="preserve">appuie sur le fait que, dans </w:t>
      </w:r>
      <w:r w:rsidRPr="00375EDE">
        <w:rPr>
          <w:rFonts w:cs="Times New Roman"/>
          <w:i/>
          <w:lang w:val="fr-CA"/>
        </w:rPr>
        <w:t>Abitibi</w:t>
      </w:r>
      <w:r w:rsidRPr="00375EDE">
        <w:rPr>
          <w:rFonts w:cs="Times New Roman"/>
          <w:lang w:val="fr-CA"/>
        </w:rPr>
        <w:t>, le juge en cabinet a conclu que la Province avait déjà exproprié trois des cinq sites pour lesquels elle avait émis des ordonnances exigeant la décontamination et qu</w:t>
      </w:r>
      <w:r>
        <w:rPr>
          <w:rFonts w:cs="Times New Roman"/>
          <w:lang w:val="fr-CA"/>
        </w:rPr>
        <w:t>’</w:t>
      </w:r>
      <w:r w:rsidRPr="00375EDE">
        <w:rPr>
          <w:rFonts w:cs="Times New Roman"/>
          <w:lang w:val="fr-CA"/>
        </w:rPr>
        <w:t>elle utilisait vraisemblablement ces ordonnances pour compenser les réclamations d</w:t>
      </w:r>
      <w:r>
        <w:rPr>
          <w:rFonts w:cs="Times New Roman"/>
          <w:lang w:val="fr-CA"/>
        </w:rPr>
        <w:t>’</w:t>
      </w:r>
      <w:r w:rsidRPr="00375EDE">
        <w:rPr>
          <w:rFonts w:cs="Times New Roman"/>
          <w:lang w:val="fr-CA"/>
        </w:rPr>
        <w:t>AbitibiBowater fondées sur l</w:t>
      </w:r>
      <w:r>
        <w:rPr>
          <w:rFonts w:cs="Times New Roman"/>
          <w:lang w:val="fr-CA"/>
        </w:rPr>
        <w:t>’</w:t>
      </w:r>
      <w:r w:rsidRPr="00375EDE">
        <w:rPr>
          <w:rFonts w:cs="Times New Roman"/>
          <w:lang w:val="fr-CA"/>
        </w:rPr>
        <w:t>ALENA. Bien que le juge en cabinet soit effectivement arrivé à ces conclusions, celles</w:t>
      </w:r>
      <w:r w:rsidRPr="00375EDE">
        <w:rPr>
          <w:rFonts w:cs="Times New Roman"/>
          <w:lang w:val="fr-CA"/>
        </w:rPr>
        <w:noBreakHyphen/>
        <w:t>ci n</w:t>
      </w:r>
      <w:r>
        <w:rPr>
          <w:rFonts w:cs="Times New Roman"/>
          <w:lang w:val="fr-CA"/>
        </w:rPr>
        <w:t>’</w:t>
      </w:r>
      <w:r w:rsidRPr="00375EDE">
        <w:rPr>
          <w:rFonts w:cs="Times New Roman"/>
          <w:lang w:val="fr-CA"/>
        </w:rPr>
        <w:t>ont eu aucune incidence sur l</w:t>
      </w:r>
      <w:r>
        <w:rPr>
          <w:rFonts w:cs="Times New Roman"/>
          <w:lang w:val="fr-CA"/>
        </w:rPr>
        <w:t>’</w:t>
      </w:r>
      <w:r w:rsidRPr="00375EDE">
        <w:rPr>
          <w:rFonts w:cs="Times New Roman"/>
          <w:lang w:val="fr-CA"/>
        </w:rPr>
        <w:t xml:space="preserve">analyse de la juge </w:t>
      </w:r>
      <w:r w:rsidRPr="00375EDE">
        <w:rPr>
          <w:rFonts w:cs="Times New Roman"/>
          <w:lang w:val="fr-CA"/>
        </w:rPr>
        <w:lastRenderedPageBreak/>
        <w:t>Deschamps relativement au volet « créancier » du test. Appliquant le test aux faits dans l</w:t>
      </w:r>
      <w:r>
        <w:rPr>
          <w:rFonts w:cs="Times New Roman"/>
          <w:lang w:val="fr-CA"/>
        </w:rPr>
        <w:t>’</w:t>
      </w:r>
      <w:r w:rsidRPr="00375EDE">
        <w:rPr>
          <w:rFonts w:cs="Times New Roman"/>
          <w:lang w:val="fr-CA"/>
        </w:rPr>
        <w:t xml:space="preserve">affaire </w:t>
      </w:r>
      <w:r w:rsidRPr="00375EDE">
        <w:rPr>
          <w:rFonts w:cs="Times New Roman"/>
          <w:i/>
          <w:lang w:val="fr-CA"/>
        </w:rPr>
        <w:t>Abitibi</w:t>
      </w:r>
      <w:r w:rsidRPr="00375EDE">
        <w:rPr>
          <w:rFonts w:cs="Times New Roman"/>
          <w:lang w:val="fr-CA"/>
        </w:rPr>
        <w:t>, elle a expliqué qu</w:t>
      </w:r>
      <w:r>
        <w:rPr>
          <w:rFonts w:cs="Times New Roman"/>
          <w:lang w:val="fr-CA"/>
        </w:rPr>
        <w:t>’</w:t>
      </w:r>
      <w:r w:rsidRPr="00375EDE">
        <w:rPr>
          <w:rFonts w:cs="Times New Roman"/>
          <w:lang w:val="fr-CA"/>
        </w:rPr>
        <w:t>il était « facile de répondre » au premier volet étant donné que « </w:t>
      </w:r>
      <w:r w:rsidRPr="00375EDE">
        <w:rPr>
          <w:rFonts w:cs="Times New Roman"/>
          <w:lang w:val="fr-FR"/>
        </w:rPr>
        <w:t>la province s</w:t>
      </w:r>
      <w:r>
        <w:rPr>
          <w:rFonts w:cs="Times New Roman"/>
          <w:lang w:val="fr-FR"/>
        </w:rPr>
        <w:t>’</w:t>
      </w:r>
      <w:r w:rsidRPr="00375EDE">
        <w:rPr>
          <w:rFonts w:cs="Times New Roman"/>
          <w:lang w:val="fr-FR"/>
        </w:rPr>
        <w:t>est elle</w:t>
      </w:r>
      <w:r w:rsidRPr="00375EDE">
        <w:rPr>
          <w:rFonts w:cs="Times New Roman"/>
          <w:lang w:val="fr-FR"/>
        </w:rPr>
        <w:noBreakHyphen/>
        <w:t>même présentée comme créancière en ayant recours aux mécanismes d</w:t>
      </w:r>
      <w:r>
        <w:rPr>
          <w:rFonts w:cs="Times New Roman"/>
          <w:lang w:val="fr-FR"/>
        </w:rPr>
        <w:t>’</w:t>
      </w:r>
      <w:r w:rsidRPr="00375EDE">
        <w:rPr>
          <w:rFonts w:cs="Times New Roman"/>
          <w:lang w:val="fr-FR"/>
        </w:rPr>
        <w:t>application de l</w:t>
      </w:r>
      <w:r>
        <w:rPr>
          <w:rFonts w:cs="Times New Roman"/>
          <w:lang w:val="fr-FR"/>
        </w:rPr>
        <w:t>’</w:t>
      </w:r>
      <w:r w:rsidRPr="00375EDE">
        <w:rPr>
          <w:rFonts w:cs="Times New Roman"/>
          <w:lang w:val="fr-FR"/>
        </w:rPr>
        <w:t>[</w:t>
      </w:r>
      <w:r w:rsidRPr="00375EDE">
        <w:rPr>
          <w:rFonts w:cs="Times New Roman"/>
          <w:i/>
          <w:iCs/>
          <w:lang w:val="fr-FR"/>
        </w:rPr>
        <w:t>Environmental Protection Act</w:t>
      </w:r>
      <w:r w:rsidRPr="00375EDE">
        <w:rPr>
          <w:rFonts w:cs="Times New Roman"/>
          <w:iCs/>
          <w:lang w:val="fr-FR"/>
        </w:rPr>
        <w:t>, S.N.L. 2002, c. E</w:t>
      </w:r>
      <w:r w:rsidRPr="00375EDE">
        <w:rPr>
          <w:rFonts w:cs="Times New Roman"/>
          <w:iCs/>
          <w:lang w:val="fr-FR"/>
        </w:rPr>
        <w:noBreakHyphen/>
        <w:t>14.2] » (</w:t>
      </w:r>
      <w:r w:rsidRPr="00375EDE">
        <w:rPr>
          <w:rFonts w:cs="Times New Roman"/>
          <w:i/>
          <w:iCs/>
          <w:lang w:val="fr-FR"/>
        </w:rPr>
        <w:t>Abitibi</w:t>
      </w:r>
      <w:r w:rsidRPr="00375EDE">
        <w:rPr>
          <w:rFonts w:cs="Times New Roman"/>
          <w:iCs/>
          <w:lang w:val="fr-FR"/>
        </w:rPr>
        <w:t>, par. 49). Elle n</w:t>
      </w:r>
      <w:r>
        <w:rPr>
          <w:rFonts w:cs="Times New Roman"/>
          <w:iCs/>
          <w:lang w:val="fr-FR"/>
        </w:rPr>
        <w:t>’</w:t>
      </w:r>
      <w:r w:rsidRPr="00375EDE">
        <w:rPr>
          <w:rFonts w:cs="Times New Roman"/>
          <w:iCs/>
          <w:lang w:val="fr-FR"/>
        </w:rPr>
        <w:t>a pas tenu compte du fait que la Province pourrait elle</w:t>
      </w:r>
      <w:r w:rsidRPr="00375EDE">
        <w:rPr>
          <w:rFonts w:cs="Times New Roman"/>
          <w:iCs/>
          <w:lang w:val="fr-FR"/>
        </w:rPr>
        <w:noBreakHyphen/>
        <w:t>même tirer un avantage financier de ses actions et qu</w:t>
      </w:r>
      <w:r>
        <w:rPr>
          <w:rFonts w:cs="Times New Roman"/>
          <w:iCs/>
          <w:lang w:val="fr-FR"/>
        </w:rPr>
        <w:t>’</w:t>
      </w:r>
      <w:r w:rsidRPr="00375EDE">
        <w:rPr>
          <w:rFonts w:cs="Times New Roman"/>
          <w:iCs/>
          <w:lang w:val="fr-FR"/>
        </w:rPr>
        <w:t>elle n</w:t>
      </w:r>
      <w:r>
        <w:rPr>
          <w:rFonts w:cs="Times New Roman"/>
          <w:iCs/>
          <w:lang w:val="fr-FR"/>
        </w:rPr>
        <w:t>’</w:t>
      </w:r>
      <w:r w:rsidRPr="00375EDE">
        <w:rPr>
          <w:rFonts w:cs="Times New Roman"/>
          <w:iCs/>
          <w:lang w:val="fr-FR"/>
        </w:rPr>
        <w:t xml:space="preserve">appliquait pas un devoir purement public. Son analyse ne reposait aucunement sur la conclusion suivant laquelle les mesures de la Province étaient une « tentative déguisée » de recouvrer une créance ou témoignaient de « motifs obliques » (motifs des juges majoritaires, par. 128). </w:t>
      </w:r>
    </w:p>
    <w:p w:rsidR="00DF13E5" w:rsidRDefault="00DF13E5" w:rsidP="00DF13E5">
      <w:pPr>
        <w:pStyle w:val="ParaNoNdepar-AltN"/>
        <w:rPr>
          <w:rFonts w:cs="Times New Roman"/>
          <w:lang w:val="fr-CA"/>
        </w:rPr>
      </w:pPr>
      <w:r w:rsidRPr="00375EDE">
        <w:rPr>
          <w:rFonts w:cs="Times New Roman"/>
          <w:iCs/>
          <w:lang w:val="fr-FR"/>
        </w:rPr>
        <w:t>Quatrièmement, il me paraît incorrect de s</w:t>
      </w:r>
      <w:r>
        <w:rPr>
          <w:rFonts w:cs="Times New Roman"/>
          <w:iCs/>
          <w:lang w:val="fr-FR"/>
        </w:rPr>
        <w:t>’</w:t>
      </w:r>
      <w:r w:rsidRPr="00375EDE">
        <w:rPr>
          <w:rFonts w:cs="Times New Roman"/>
          <w:iCs/>
          <w:lang w:val="fr-FR"/>
        </w:rPr>
        <w:t>appuyer sur l</w:t>
      </w:r>
      <w:r>
        <w:rPr>
          <w:rFonts w:cs="Times New Roman"/>
          <w:iCs/>
          <w:lang w:val="fr-FR"/>
        </w:rPr>
        <w:t>’</w:t>
      </w:r>
      <w:r w:rsidRPr="00375EDE">
        <w:rPr>
          <w:rFonts w:cs="Times New Roman"/>
          <w:iCs/>
          <w:lang w:val="fr-FR"/>
        </w:rPr>
        <w:t xml:space="preserve">arrêt </w:t>
      </w:r>
      <w:r w:rsidRPr="00375EDE">
        <w:rPr>
          <w:rFonts w:cs="Times New Roman"/>
          <w:i/>
          <w:iCs/>
          <w:lang w:val="fr-FR"/>
        </w:rPr>
        <w:t>Northern Badger</w:t>
      </w:r>
      <w:r w:rsidRPr="00375EDE">
        <w:rPr>
          <w:rFonts w:cs="Times New Roman"/>
          <w:iCs/>
          <w:lang w:val="fr-FR"/>
        </w:rPr>
        <w:t xml:space="preserve"> en l</w:t>
      </w:r>
      <w:r>
        <w:rPr>
          <w:rFonts w:cs="Times New Roman"/>
          <w:iCs/>
          <w:lang w:val="fr-FR"/>
        </w:rPr>
        <w:t>’</w:t>
      </w:r>
      <w:r w:rsidRPr="00375EDE">
        <w:rPr>
          <w:rFonts w:cs="Times New Roman"/>
          <w:iCs/>
          <w:lang w:val="fr-FR"/>
        </w:rPr>
        <w:t>espèce. Cet arrêt n</w:t>
      </w:r>
      <w:r>
        <w:rPr>
          <w:rFonts w:cs="Times New Roman"/>
          <w:iCs/>
          <w:lang w:val="fr-FR"/>
        </w:rPr>
        <w:t>’</w:t>
      </w:r>
      <w:r w:rsidRPr="00375EDE">
        <w:rPr>
          <w:rFonts w:cs="Times New Roman"/>
          <w:iCs/>
          <w:lang w:val="fr-FR"/>
        </w:rPr>
        <w:t>étaye pas la position de mon collègue comme il l</w:t>
      </w:r>
      <w:r>
        <w:rPr>
          <w:rFonts w:cs="Times New Roman"/>
          <w:iCs/>
          <w:lang w:val="fr-FR"/>
        </w:rPr>
        <w:t>’</w:t>
      </w:r>
      <w:r w:rsidRPr="00375EDE">
        <w:rPr>
          <w:rFonts w:cs="Times New Roman"/>
          <w:iCs/>
          <w:lang w:val="fr-FR"/>
        </w:rPr>
        <w:t>affirme. L</w:t>
      </w:r>
      <w:r>
        <w:rPr>
          <w:rFonts w:cs="Times New Roman"/>
          <w:iCs/>
          <w:lang w:val="fr-FR"/>
        </w:rPr>
        <w:t>’</w:t>
      </w:r>
      <w:r w:rsidRPr="00375EDE">
        <w:rPr>
          <w:rFonts w:cs="Times New Roman"/>
          <w:iCs/>
          <w:lang w:val="fr-FR"/>
        </w:rPr>
        <w:t xml:space="preserve">arrêt </w:t>
      </w:r>
      <w:r w:rsidRPr="00375EDE">
        <w:rPr>
          <w:rFonts w:cs="Times New Roman"/>
          <w:i/>
          <w:iCs/>
          <w:lang w:val="fr-FR"/>
        </w:rPr>
        <w:t>Northern Badger</w:t>
      </w:r>
      <w:r w:rsidRPr="00375EDE">
        <w:rPr>
          <w:rFonts w:cs="Times New Roman"/>
          <w:iCs/>
          <w:lang w:val="fr-FR"/>
        </w:rPr>
        <w:t xml:space="preserve"> portait également sur la question de savoir si des ordonnances de décontamination environnementale pouvaient être considérées comme des réclamations prouvables en matière de faillite. Le nœud du litige consistait toutefois à établir si [</w:t>
      </w:r>
      <w:r w:rsidRPr="00375EDE">
        <w:rPr>
          <w:rFonts w:cs="Times New Roman"/>
          <w:iCs/>
          <w:smallCaps/>
          <w:lang w:val="fr-FR"/>
        </w:rPr>
        <w:t>traduction</w:t>
      </w:r>
      <w:r w:rsidRPr="00375EDE">
        <w:rPr>
          <w:rFonts w:cs="Times New Roman"/>
          <w:iCs/>
          <w:lang w:val="fr-FR"/>
        </w:rPr>
        <w:t>] « l</w:t>
      </w:r>
      <w:r>
        <w:rPr>
          <w:rFonts w:cs="Times New Roman"/>
          <w:iCs/>
          <w:lang w:val="fr-FR"/>
        </w:rPr>
        <w:t>’</w:t>
      </w:r>
      <w:r w:rsidRPr="00375EDE">
        <w:rPr>
          <w:rFonts w:cs="Times New Roman"/>
          <w:iCs/>
          <w:lang w:val="fr-FR"/>
        </w:rPr>
        <w:t>application de l</w:t>
      </w:r>
      <w:r>
        <w:rPr>
          <w:rFonts w:cs="Times New Roman"/>
          <w:iCs/>
          <w:lang w:val="fr-FR"/>
        </w:rPr>
        <w:t>’</w:t>
      </w:r>
      <w:r w:rsidRPr="00375EDE">
        <w:rPr>
          <w:rFonts w:cs="Times New Roman"/>
          <w:iCs/>
          <w:lang w:val="fr-FR"/>
        </w:rPr>
        <w:t>exigence concernant l</w:t>
      </w:r>
      <w:r>
        <w:rPr>
          <w:rFonts w:cs="Times New Roman"/>
          <w:iCs/>
          <w:lang w:val="fr-FR"/>
        </w:rPr>
        <w:t>’</w:t>
      </w:r>
      <w:r w:rsidRPr="00375EDE">
        <w:rPr>
          <w:rFonts w:cs="Times New Roman"/>
          <w:iCs/>
          <w:lang w:val="fr-FR"/>
        </w:rPr>
        <w:t>abandon de puits de pétrole et de gaz » (p. 57) donnait naissance en soi à une réclamation prouvable parce qu</w:t>
      </w:r>
      <w:r>
        <w:rPr>
          <w:rFonts w:cs="Times New Roman"/>
          <w:iCs/>
          <w:lang w:val="fr-FR"/>
        </w:rPr>
        <w:t>’</w:t>
      </w:r>
      <w:r w:rsidRPr="00375EDE">
        <w:rPr>
          <w:rFonts w:cs="Times New Roman"/>
          <w:iCs/>
          <w:lang w:val="fr-FR"/>
        </w:rPr>
        <w:t>elle exigerait du séquestre qu</w:t>
      </w:r>
      <w:r>
        <w:rPr>
          <w:rFonts w:cs="Times New Roman"/>
          <w:iCs/>
          <w:lang w:val="fr-FR"/>
        </w:rPr>
        <w:t>’</w:t>
      </w:r>
      <w:r w:rsidRPr="00375EDE">
        <w:rPr>
          <w:rFonts w:cs="Times New Roman"/>
          <w:iCs/>
          <w:lang w:val="fr-FR"/>
        </w:rPr>
        <w:t>il débourse des fonds. Le juge en chef Laycraft de la Cour d</w:t>
      </w:r>
      <w:r>
        <w:rPr>
          <w:rFonts w:cs="Times New Roman"/>
          <w:iCs/>
          <w:lang w:val="fr-FR"/>
        </w:rPr>
        <w:t>’appel</w:t>
      </w:r>
      <w:r w:rsidRPr="00375EDE">
        <w:rPr>
          <w:rFonts w:cs="Times New Roman"/>
          <w:iCs/>
          <w:lang w:val="fr-FR"/>
        </w:rPr>
        <w:t xml:space="preserve"> n</w:t>
      </w:r>
      <w:r>
        <w:rPr>
          <w:rFonts w:cs="Times New Roman"/>
          <w:iCs/>
          <w:lang w:val="fr-FR"/>
        </w:rPr>
        <w:t>’</w:t>
      </w:r>
      <w:r w:rsidRPr="00375EDE">
        <w:rPr>
          <w:rFonts w:cs="Times New Roman"/>
          <w:iCs/>
          <w:lang w:val="fr-FR"/>
        </w:rPr>
        <w:t>a jamais abordé la question de savoir s</w:t>
      </w:r>
      <w:r>
        <w:rPr>
          <w:rFonts w:cs="Times New Roman"/>
          <w:iCs/>
          <w:lang w:val="fr-FR"/>
        </w:rPr>
        <w:t>’</w:t>
      </w:r>
      <w:r w:rsidRPr="00375EDE">
        <w:rPr>
          <w:rFonts w:cs="Times New Roman"/>
          <w:iCs/>
          <w:lang w:val="fr-FR"/>
        </w:rPr>
        <w:t>il était possible d</w:t>
      </w:r>
      <w:r>
        <w:rPr>
          <w:rFonts w:cs="Times New Roman"/>
          <w:iCs/>
          <w:lang w:val="fr-FR"/>
        </w:rPr>
        <w:t>’</w:t>
      </w:r>
      <w:r w:rsidRPr="00375EDE">
        <w:rPr>
          <w:rFonts w:cs="Times New Roman"/>
          <w:iCs/>
          <w:lang w:val="fr-FR"/>
        </w:rPr>
        <w:t>affirmer que l</w:t>
      </w:r>
      <w:r>
        <w:rPr>
          <w:rFonts w:cs="Times New Roman"/>
          <w:iCs/>
          <w:lang w:val="fr-FR"/>
        </w:rPr>
        <w:t>’</w:t>
      </w:r>
      <w:r w:rsidRPr="00375EDE">
        <w:rPr>
          <w:rFonts w:cs="Times New Roman"/>
          <w:iCs/>
          <w:lang w:val="fr-FR"/>
        </w:rPr>
        <w:t>organisme de réglementation pouvait faire valoir une réclamation éventuelle du fait qu</w:t>
      </w:r>
      <w:r>
        <w:rPr>
          <w:rFonts w:cs="Times New Roman"/>
          <w:iCs/>
          <w:lang w:val="fr-FR"/>
        </w:rPr>
        <w:t>’</w:t>
      </w:r>
      <w:r w:rsidRPr="00375EDE">
        <w:rPr>
          <w:rFonts w:cs="Times New Roman"/>
          <w:iCs/>
          <w:lang w:val="fr-FR"/>
        </w:rPr>
        <w:t>il achèverait lui</w:t>
      </w:r>
      <w:r w:rsidRPr="00375EDE">
        <w:rPr>
          <w:rFonts w:cs="Times New Roman"/>
          <w:iCs/>
          <w:lang w:val="fr-FR"/>
        </w:rPr>
        <w:noBreakHyphen/>
        <w:t>même les travaux et présenterait une demande de remboursement. C</w:t>
      </w:r>
      <w:r>
        <w:rPr>
          <w:rFonts w:cs="Times New Roman"/>
          <w:iCs/>
          <w:lang w:val="fr-FR"/>
        </w:rPr>
        <w:t>’</w:t>
      </w:r>
      <w:r w:rsidRPr="00375EDE">
        <w:rPr>
          <w:rFonts w:cs="Times New Roman"/>
          <w:iCs/>
          <w:lang w:val="fr-FR"/>
        </w:rPr>
        <w:t>est dans le contexte o</w:t>
      </w:r>
      <w:r w:rsidRPr="00375EDE">
        <w:rPr>
          <w:rFonts w:cs="Times New Roman"/>
          <w:iCs/>
          <w:lang w:val="fr-CA"/>
        </w:rPr>
        <w:t>ù</w:t>
      </w:r>
      <w:r w:rsidRPr="00375EDE">
        <w:rPr>
          <w:rFonts w:cs="Times New Roman"/>
          <w:iCs/>
          <w:lang w:val="fr-FR"/>
        </w:rPr>
        <w:t xml:space="preserve"> l</w:t>
      </w:r>
      <w:r>
        <w:rPr>
          <w:rFonts w:cs="Times New Roman"/>
          <w:iCs/>
          <w:lang w:val="fr-FR"/>
        </w:rPr>
        <w:t>’</w:t>
      </w:r>
      <w:r w:rsidRPr="00375EDE">
        <w:rPr>
          <w:rFonts w:cs="Times New Roman"/>
          <w:iCs/>
          <w:lang w:val="fr-FR"/>
        </w:rPr>
        <w:t>organisme de réglementation exige du séquestre qu</w:t>
      </w:r>
      <w:r>
        <w:rPr>
          <w:rFonts w:cs="Times New Roman"/>
          <w:iCs/>
          <w:lang w:val="fr-FR"/>
        </w:rPr>
        <w:t>’</w:t>
      </w:r>
      <w:r w:rsidRPr="00375EDE">
        <w:rPr>
          <w:rFonts w:cs="Times New Roman"/>
          <w:iCs/>
          <w:lang w:val="fr-FR"/>
        </w:rPr>
        <w:t>il s</w:t>
      </w:r>
      <w:r>
        <w:rPr>
          <w:rFonts w:cs="Times New Roman"/>
          <w:iCs/>
          <w:lang w:val="fr-FR"/>
        </w:rPr>
        <w:t>’</w:t>
      </w:r>
      <w:r w:rsidRPr="00375EDE">
        <w:rPr>
          <w:rFonts w:cs="Times New Roman"/>
          <w:iCs/>
          <w:lang w:val="fr-FR"/>
        </w:rPr>
        <w:t xml:space="preserve">acquitte </w:t>
      </w:r>
      <w:r w:rsidRPr="00CD5709">
        <w:rPr>
          <w:rFonts w:cs="Times New Roman"/>
          <w:i/>
          <w:iCs/>
          <w:lang w:val="fr-FR"/>
        </w:rPr>
        <w:t>lui</w:t>
      </w:r>
      <w:r w:rsidRPr="00CD5709">
        <w:rPr>
          <w:rFonts w:cs="Times New Roman"/>
          <w:i/>
          <w:iCs/>
          <w:lang w:val="fr-FR"/>
        </w:rPr>
        <w:noBreakHyphen/>
        <w:t>même</w:t>
      </w:r>
      <w:r w:rsidRPr="00375EDE">
        <w:rPr>
          <w:rFonts w:cs="Times New Roman"/>
          <w:iCs/>
          <w:lang w:val="fr-FR"/>
        </w:rPr>
        <w:t xml:space="preserve"> des obligations liées à l</w:t>
      </w:r>
      <w:r>
        <w:rPr>
          <w:rFonts w:cs="Times New Roman"/>
          <w:iCs/>
          <w:lang w:val="fr-FR"/>
        </w:rPr>
        <w:t>’</w:t>
      </w:r>
      <w:r w:rsidRPr="00375EDE">
        <w:rPr>
          <w:rFonts w:cs="Times New Roman"/>
          <w:iCs/>
          <w:lang w:val="fr-FR"/>
        </w:rPr>
        <w:t>abandon que la Cour d</w:t>
      </w:r>
      <w:r>
        <w:rPr>
          <w:rFonts w:cs="Times New Roman"/>
          <w:iCs/>
          <w:lang w:val="fr-FR"/>
        </w:rPr>
        <w:t>’</w:t>
      </w:r>
      <w:r w:rsidRPr="00375EDE">
        <w:rPr>
          <w:rFonts w:cs="Times New Roman"/>
          <w:iCs/>
          <w:lang w:val="fr-FR"/>
        </w:rPr>
        <w:t>appel de l</w:t>
      </w:r>
      <w:r>
        <w:rPr>
          <w:rFonts w:cs="Times New Roman"/>
          <w:iCs/>
          <w:lang w:val="fr-FR"/>
        </w:rPr>
        <w:t>’</w:t>
      </w:r>
      <w:r w:rsidRPr="00375EDE">
        <w:rPr>
          <w:rFonts w:cs="Times New Roman"/>
          <w:iCs/>
          <w:lang w:val="fr-FR"/>
        </w:rPr>
        <w:t>Alberta s</w:t>
      </w:r>
      <w:r>
        <w:rPr>
          <w:rFonts w:cs="Times New Roman"/>
          <w:iCs/>
          <w:lang w:val="fr-FR"/>
        </w:rPr>
        <w:t>’</w:t>
      </w:r>
      <w:r w:rsidRPr="00375EDE">
        <w:rPr>
          <w:rFonts w:cs="Times New Roman"/>
          <w:iCs/>
          <w:lang w:val="fr-FR"/>
        </w:rPr>
        <w:t>est prononcée sur l</w:t>
      </w:r>
      <w:r>
        <w:rPr>
          <w:rFonts w:cs="Times New Roman"/>
          <w:iCs/>
          <w:lang w:val="fr-FR"/>
        </w:rPr>
        <w:t>’</w:t>
      </w:r>
      <w:r w:rsidRPr="00375EDE">
        <w:rPr>
          <w:rFonts w:cs="Times New Roman"/>
          <w:iCs/>
          <w:lang w:val="fr-FR"/>
        </w:rPr>
        <w:t>exécution d</w:t>
      </w:r>
      <w:r>
        <w:rPr>
          <w:rFonts w:cs="Times New Roman"/>
          <w:iCs/>
          <w:lang w:val="fr-FR"/>
        </w:rPr>
        <w:t>’</w:t>
      </w:r>
      <w:r w:rsidRPr="00375EDE">
        <w:rPr>
          <w:rFonts w:cs="Times New Roman"/>
          <w:iCs/>
          <w:lang w:val="fr-FR"/>
        </w:rPr>
        <w:t>un devoir public par l</w:t>
      </w:r>
      <w:r>
        <w:rPr>
          <w:rFonts w:cs="Times New Roman"/>
          <w:iCs/>
          <w:lang w:val="fr-FR"/>
        </w:rPr>
        <w:t>’</w:t>
      </w:r>
      <w:r w:rsidRPr="00375EDE">
        <w:rPr>
          <w:rFonts w:cs="Times New Roman"/>
          <w:iCs/>
          <w:lang w:val="fr-FR"/>
        </w:rPr>
        <w:t xml:space="preserve">organisme </w:t>
      </w:r>
      <w:r w:rsidRPr="00375EDE">
        <w:rPr>
          <w:rFonts w:cs="Times New Roman"/>
          <w:iCs/>
          <w:lang w:val="fr-FR"/>
        </w:rPr>
        <w:lastRenderedPageBreak/>
        <w:t>de réglementation. Il est important d</w:t>
      </w:r>
      <w:r>
        <w:rPr>
          <w:rFonts w:cs="Times New Roman"/>
          <w:iCs/>
          <w:lang w:val="fr-FR"/>
        </w:rPr>
        <w:t>’</w:t>
      </w:r>
      <w:r w:rsidRPr="00375EDE">
        <w:rPr>
          <w:rFonts w:cs="Times New Roman"/>
          <w:iCs/>
          <w:lang w:val="fr-FR"/>
        </w:rPr>
        <w:t>examiner avec soin les propos tenus par la Cour d</w:t>
      </w:r>
      <w:r>
        <w:rPr>
          <w:rFonts w:cs="Times New Roman"/>
          <w:iCs/>
          <w:lang w:val="fr-FR"/>
        </w:rPr>
        <w:t>’</w:t>
      </w:r>
      <w:r w:rsidRPr="00375EDE">
        <w:rPr>
          <w:rFonts w:cs="Times New Roman"/>
          <w:iCs/>
          <w:lang w:val="fr-FR"/>
        </w:rPr>
        <w:t>appel à cet égard :</w:t>
      </w:r>
    </w:p>
    <w:p w:rsidR="00DF13E5" w:rsidRPr="00375EDE" w:rsidRDefault="00DF13E5" w:rsidP="00CB01F5">
      <w:pPr>
        <w:pStyle w:val="Citation-AltC"/>
        <w:keepNext/>
        <w:spacing w:after="240"/>
        <w:ind w:hanging="1166"/>
        <w:contextualSpacing w:val="0"/>
        <w:rPr>
          <w:lang w:val="fr-CA"/>
        </w:rPr>
      </w:pPr>
      <w:r w:rsidRPr="00375EDE">
        <w:rPr>
          <w:lang w:val="fr-CA"/>
        </w:rPr>
        <w:tab/>
      </w:r>
      <w:r w:rsidR="00CB01F5">
        <w:rPr>
          <w:lang w:val="fr-CA"/>
        </w:rPr>
        <w:tab/>
      </w:r>
      <w:r w:rsidRPr="00375EDE">
        <w:rPr>
          <w:lang w:val="fr-CA"/>
        </w:rPr>
        <w:t>[</w:t>
      </w:r>
      <w:r w:rsidRPr="00375EDE">
        <w:rPr>
          <w:smallCaps/>
          <w:lang w:val="fr-CA"/>
        </w:rPr>
        <w:t>traduction</w:t>
      </w:r>
      <w:r w:rsidRPr="00375EDE">
        <w:rPr>
          <w:lang w:val="fr-CA"/>
        </w:rPr>
        <w:t>]</w:t>
      </w:r>
      <w:r w:rsidRPr="00375EDE">
        <w:rPr>
          <w:lang w:val="fr-CA"/>
        </w:rPr>
        <w:tab/>
        <w:t>Les dispositions statutaires exigeant l</w:t>
      </w:r>
      <w:r>
        <w:rPr>
          <w:lang w:val="fr-CA"/>
        </w:rPr>
        <w:t>’</w:t>
      </w:r>
      <w:r w:rsidRPr="00375EDE">
        <w:rPr>
          <w:lang w:val="fr-CA"/>
        </w:rPr>
        <w:t>abandon des puits de pétrole et de gaz font partie des lois d</w:t>
      </w:r>
      <w:r>
        <w:rPr>
          <w:lang w:val="fr-CA"/>
        </w:rPr>
        <w:t>’</w:t>
      </w:r>
      <w:r w:rsidRPr="00375EDE">
        <w:rPr>
          <w:lang w:val="fr-CA"/>
        </w:rPr>
        <w:t>application générale de l</w:t>
      </w:r>
      <w:r>
        <w:rPr>
          <w:lang w:val="fr-CA"/>
        </w:rPr>
        <w:t>’</w:t>
      </w:r>
      <w:r w:rsidRPr="00375EDE">
        <w:rPr>
          <w:lang w:val="fr-CA"/>
        </w:rPr>
        <w:t>Alberta et lient tous les citoyens de la province. Quiconque devient titulaire de permis relativement à de tels puits y est assujetti. Les citoyens sont liés par des obligations statutaires similaires dans de nombreux domaines de la vie moderne. Notons, par exemple, les règles relatives à la santé, à la prévention des incendies, à l</w:t>
      </w:r>
      <w:r>
        <w:rPr>
          <w:lang w:val="fr-CA"/>
        </w:rPr>
        <w:t>’</w:t>
      </w:r>
      <w:r w:rsidRPr="00375EDE">
        <w:rPr>
          <w:lang w:val="fr-CA"/>
        </w:rPr>
        <w:t>enlèvement de la glace et de la neige ou à la démolition des structures non sécuritaires. Mais l</w:t>
      </w:r>
      <w:r>
        <w:rPr>
          <w:lang w:val="fr-CA"/>
        </w:rPr>
        <w:t>’</w:t>
      </w:r>
      <w:r w:rsidRPr="00375EDE">
        <w:rPr>
          <w:lang w:val="fr-CA"/>
        </w:rPr>
        <w:t>obligation qui incombe au citoyen n</w:t>
      </w:r>
      <w:r>
        <w:rPr>
          <w:lang w:val="fr-CA"/>
        </w:rPr>
        <w:t>’</w:t>
      </w:r>
      <w:r w:rsidRPr="00375EDE">
        <w:rPr>
          <w:lang w:val="fr-CA"/>
        </w:rPr>
        <w:t>incombe pas au policier ou à l</w:t>
      </w:r>
      <w:r>
        <w:rPr>
          <w:lang w:val="fr-CA"/>
        </w:rPr>
        <w:t>’</w:t>
      </w:r>
      <w:r w:rsidRPr="00375EDE">
        <w:rPr>
          <w:lang w:val="fr-CA"/>
        </w:rPr>
        <w:t>autorité publique qui applique la loi. L</w:t>
      </w:r>
      <w:r>
        <w:rPr>
          <w:lang w:val="fr-CA"/>
        </w:rPr>
        <w:t>’</w:t>
      </w:r>
      <w:r w:rsidRPr="00375EDE">
        <w:rPr>
          <w:lang w:val="fr-CA"/>
        </w:rPr>
        <w:t>obligation est établie comme une obligation à caractère public qui doit être respectée par l</w:t>
      </w:r>
      <w:r>
        <w:rPr>
          <w:lang w:val="fr-CA"/>
        </w:rPr>
        <w:t>’</w:t>
      </w:r>
      <w:r w:rsidRPr="00375EDE">
        <w:rPr>
          <w:lang w:val="fr-CA"/>
        </w:rPr>
        <w:t>ensemble des citoyens de la collectivité à l</w:t>
      </w:r>
      <w:r>
        <w:rPr>
          <w:lang w:val="fr-CA"/>
        </w:rPr>
        <w:t>’</w:t>
      </w:r>
      <w:r w:rsidRPr="00375EDE">
        <w:rPr>
          <w:lang w:val="fr-CA"/>
        </w:rPr>
        <w:t>égard de leurs concitoyens. Lorsque le citoyen visé par l</w:t>
      </w:r>
      <w:r>
        <w:rPr>
          <w:lang w:val="fr-CA"/>
        </w:rPr>
        <w:t>’</w:t>
      </w:r>
      <w:r w:rsidRPr="00375EDE">
        <w:rPr>
          <w:lang w:val="fr-CA"/>
        </w:rPr>
        <w:t>ordonnance s</w:t>
      </w:r>
      <w:r>
        <w:rPr>
          <w:lang w:val="fr-CA"/>
        </w:rPr>
        <w:t>’</w:t>
      </w:r>
      <w:r w:rsidRPr="00375EDE">
        <w:rPr>
          <w:lang w:val="fr-CA"/>
        </w:rPr>
        <w:t>y conforme, le résultat n</w:t>
      </w:r>
      <w:r>
        <w:rPr>
          <w:lang w:val="fr-CA"/>
        </w:rPr>
        <w:t>’</w:t>
      </w:r>
      <w:r w:rsidRPr="00375EDE">
        <w:rPr>
          <w:lang w:val="fr-CA"/>
        </w:rPr>
        <w:t>est pas perçu comme le recouvrement d</w:t>
      </w:r>
      <w:r>
        <w:rPr>
          <w:lang w:val="fr-CA"/>
        </w:rPr>
        <w:t>’</w:t>
      </w:r>
      <w:r w:rsidRPr="00375EDE">
        <w:rPr>
          <w:lang w:val="fr-CA"/>
        </w:rPr>
        <w:t>une somme d</w:t>
      </w:r>
      <w:r>
        <w:rPr>
          <w:lang w:val="fr-CA"/>
        </w:rPr>
        <w:t>’</w:t>
      </w:r>
      <w:r w:rsidRPr="00375EDE">
        <w:rPr>
          <w:lang w:val="fr-CA"/>
        </w:rPr>
        <w:t>argent par un agent de la paix ou l</w:t>
      </w:r>
      <w:r>
        <w:rPr>
          <w:lang w:val="fr-CA"/>
        </w:rPr>
        <w:t>’</w:t>
      </w:r>
      <w:r w:rsidRPr="00375EDE">
        <w:rPr>
          <w:lang w:val="fr-CA"/>
        </w:rPr>
        <w:t>autorité publique, ni comme l</w:t>
      </w:r>
      <w:r>
        <w:rPr>
          <w:lang w:val="fr-CA"/>
        </w:rPr>
        <w:t>’</w:t>
      </w:r>
      <w:r w:rsidRPr="00375EDE">
        <w:rPr>
          <w:lang w:val="fr-CA"/>
        </w:rPr>
        <w:t>exécution d</w:t>
      </w:r>
      <w:r>
        <w:rPr>
          <w:lang w:val="fr-CA"/>
        </w:rPr>
        <w:t>’</w:t>
      </w:r>
      <w:r w:rsidRPr="00375EDE">
        <w:rPr>
          <w:lang w:val="fr-CA"/>
        </w:rPr>
        <w:t>un jugement ordonnant le paiement d</w:t>
      </w:r>
      <w:r>
        <w:rPr>
          <w:lang w:val="fr-CA"/>
        </w:rPr>
        <w:t>’</w:t>
      </w:r>
      <w:r w:rsidRPr="00375EDE">
        <w:rPr>
          <w:lang w:val="fr-CA"/>
        </w:rPr>
        <w:t>une somme d</w:t>
      </w:r>
      <w:r>
        <w:rPr>
          <w:lang w:val="fr-CA"/>
        </w:rPr>
        <w:t>’</w:t>
      </w:r>
      <w:r w:rsidRPr="00375EDE">
        <w:rPr>
          <w:lang w:val="fr-CA"/>
        </w:rPr>
        <w:t>argent; d</w:t>
      </w:r>
      <w:r>
        <w:rPr>
          <w:lang w:val="fr-CA"/>
        </w:rPr>
        <w:t>’</w:t>
      </w:r>
      <w:r w:rsidRPr="00375EDE">
        <w:rPr>
          <w:lang w:val="fr-CA"/>
        </w:rPr>
        <w:t>ailleurs, cela ne constitue pas non plus l</w:t>
      </w:r>
      <w:r>
        <w:rPr>
          <w:lang w:val="fr-CA"/>
        </w:rPr>
        <w:t>’</w:t>
      </w:r>
      <w:r w:rsidRPr="00375EDE">
        <w:rPr>
          <w:lang w:val="fr-CA"/>
        </w:rPr>
        <w:t>objectif de l</w:t>
      </w:r>
      <w:r>
        <w:rPr>
          <w:lang w:val="fr-CA"/>
        </w:rPr>
        <w:t>’</w:t>
      </w:r>
      <w:r w:rsidRPr="00375EDE">
        <w:rPr>
          <w:lang w:val="fr-CA"/>
        </w:rPr>
        <w:t>ensemble du processus. Il faut plutôt y voir l</w:t>
      </w:r>
      <w:r>
        <w:rPr>
          <w:lang w:val="fr-CA"/>
        </w:rPr>
        <w:t>’</w:t>
      </w:r>
      <w:r w:rsidRPr="00375EDE">
        <w:rPr>
          <w:lang w:val="fr-CA"/>
        </w:rPr>
        <w:t>application d</w:t>
      </w:r>
      <w:r>
        <w:rPr>
          <w:lang w:val="fr-CA"/>
        </w:rPr>
        <w:t>’</w:t>
      </w:r>
      <w:r w:rsidRPr="00375EDE">
        <w:rPr>
          <w:lang w:val="fr-CA"/>
        </w:rPr>
        <w:t>une loi générale. L</w:t>
      </w:r>
      <w:r>
        <w:rPr>
          <w:lang w:val="fr-CA"/>
        </w:rPr>
        <w:t>’</w:t>
      </w:r>
      <w:r w:rsidRPr="00375EDE">
        <w:rPr>
          <w:lang w:val="fr-CA"/>
        </w:rPr>
        <w:t>organisme d</w:t>
      </w:r>
      <w:r>
        <w:rPr>
          <w:lang w:val="fr-CA"/>
        </w:rPr>
        <w:t>’</w:t>
      </w:r>
      <w:r w:rsidRPr="00375EDE">
        <w:rPr>
          <w:lang w:val="fr-CA"/>
        </w:rPr>
        <w:t>application de la loi ne devient pas un « créancier » du citoyen à qui incombe l</w:t>
      </w:r>
      <w:r>
        <w:rPr>
          <w:lang w:val="fr-CA"/>
        </w:rPr>
        <w:t>’</w:t>
      </w:r>
      <w:r w:rsidRPr="00375EDE">
        <w:rPr>
          <w:lang w:val="fr-CA"/>
        </w:rPr>
        <w:t xml:space="preserve">obligation. </w:t>
      </w:r>
    </w:p>
    <w:p w:rsidR="00DF13E5" w:rsidRPr="00375EDE" w:rsidRDefault="00DF13E5" w:rsidP="00DF13E5">
      <w:pPr>
        <w:pStyle w:val="Citation-AltC"/>
        <w:tabs>
          <w:tab w:val="left" w:pos="1440"/>
        </w:tabs>
        <w:ind w:hanging="1166"/>
        <w:contextualSpacing w:val="0"/>
        <w:rPr>
          <w:lang w:val="fr-CA"/>
        </w:rPr>
      </w:pPr>
      <w:r w:rsidRPr="00375EDE">
        <w:rPr>
          <w:lang w:val="fr-CA"/>
        </w:rPr>
        <w:tab/>
      </w:r>
      <w:r w:rsidRPr="00375EDE">
        <w:rPr>
          <w:lang w:val="fr-CA"/>
        </w:rPr>
        <w:tab/>
      </w:r>
      <w:r w:rsidRPr="00375EDE">
        <w:rPr>
          <w:u w:val="single"/>
          <w:lang w:val="fr-CA"/>
        </w:rPr>
        <w:t>Il est vrai que la loi autorise l</w:t>
      </w:r>
      <w:r>
        <w:rPr>
          <w:u w:val="single"/>
          <w:lang w:val="fr-CA"/>
        </w:rPr>
        <w:t>’</w:t>
      </w:r>
      <w:r w:rsidRPr="00375EDE">
        <w:rPr>
          <w:u w:val="single"/>
          <w:lang w:val="fr-CA"/>
        </w:rPr>
        <w:t>Office à créer une créance légale en sa faveur s</w:t>
      </w:r>
      <w:r>
        <w:rPr>
          <w:u w:val="single"/>
          <w:lang w:val="fr-CA"/>
        </w:rPr>
        <w:t>’</w:t>
      </w:r>
      <w:r w:rsidRPr="00375EDE">
        <w:rPr>
          <w:u w:val="single"/>
          <w:lang w:val="fr-CA"/>
        </w:rPr>
        <w:t>il le désire</w:t>
      </w:r>
      <w:r w:rsidRPr="00375EDE">
        <w:rPr>
          <w:lang w:val="fr-CA"/>
        </w:rPr>
        <w:t>. En vertu des par. 91(1) et (2) de l</w:t>
      </w:r>
      <w:r>
        <w:rPr>
          <w:lang w:val="fr-CA"/>
        </w:rPr>
        <w:t>’</w:t>
      </w:r>
      <w:r w:rsidRPr="00375EDE">
        <w:rPr>
          <w:i/>
          <w:lang w:val="fr-CA"/>
        </w:rPr>
        <w:t>Oil and Gas Conservation Act</w:t>
      </w:r>
      <w:r w:rsidRPr="00375EDE">
        <w:rPr>
          <w:lang w:val="fr-CA"/>
        </w:rPr>
        <w:t xml:space="preserve"> (analysée précédemment), </w:t>
      </w:r>
      <w:r w:rsidRPr="00375EDE">
        <w:rPr>
          <w:u w:val="single"/>
          <w:lang w:val="fr-CA"/>
        </w:rPr>
        <w:t>l</w:t>
      </w:r>
      <w:r>
        <w:rPr>
          <w:u w:val="single"/>
          <w:lang w:val="fr-CA"/>
        </w:rPr>
        <w:t>’</w:t>
      </w:r>
      <w:r w:rsidRPr="00375EDE">
        <w:rPr>
          <w:u w:val="single"/>
          <w:lang w:val="fr-CA"/>
        </w:rPr>
        <w:t>Office peut exécuter lui</w:t>
      </w:r>
      <w:r w:rsidRPr="00375EDE">
        <w:rPr>
          <w:u w:val="single"/>
          <w:lang w:val="fr-CA"/>
        </w:rPr>
        <w:noBreakHyphen/>
        <w:t>même les travaux d</w:t>
      </w:r>
      <w:r>
        <w:rPr>
          <w:u w:val="single"/>
          <w:lang w:val="fr-CA"/>
        </w:rPr>
        <w:t>’</w:t>
      </w:r>
      <w:r w:rsidRPr="00375EDE">
        <w:rPr>
          <w:u w:val="single"/>
          <w:lang w:val="fr-CA"/>
        </w:rPr>
        <w:t>abandon et devenir créancier à l</w:t>
      </w:r>
      <w:r>
        <w:rPr>
          <w:u w:val="single"/>
          <w:lang w:val="fr-CA"/>
        </w:rPr>
        <w:t>’</w:t>
      </w:r>
      <w:r w:rsidRPr="00375EDE">
        <w:rPr>
          <w:u w:val="single"/>
          <w:lang w:val="fr-CA"/>
        </w:rPr>
        <w:t>égard des sommes dépensées</w:t>
      </w:r>
      <w:r w:rsidRPr="00375EDE">
        <w:rPr>
          <w:lang w:val="fr-CA"/>
        </w:rPr>
        <w:t>. Mais il n</w:t>
      </w:r>
      <w:r>
        <w:rPr>
          <w:lang w:val="fr-CA"/>
        </w:rPr>
        <w:t>’</w:t>
      </w:r>
      <w:r w:rsidRPr="00375EDE">
        <w:rPr>
          <w:lang w:val="fr-CA"/>
        </w:rPr>
        <w:t>a pas procédé de cette façon en l</w:t>
      </w:r>
      <w:r>
        <w:rPr>
          <w:lang w:val="fr-CA"/>
        </w:rPr>
        <w:t>’</w:t>
      </w:r>
      <w:r w:rsidRPr="00375EDE">
        <w:rPr>
          <w:lang w:val="fr-CA"/>
        </w:rPr>
        <w:t>espèce. En réalité, il applique simplement une partie des lois d</w:t>
      </w:r>
      <w:r>
        <w:rPr>
          <w:lang w:val="fr-CA"/>
        </w:rPr>
        <w:t>’</w:t>
      </w:r>
      <w:r w:rsidRPr="00375EDE">
        <w:rPr>
          <w:lang w:val="fr-CA"/>
        </w:rPr>
        <w:t>application générale de l</w:t>
      </w:r>
      <w:r>
        <w:rPr>
          <w:lang w:val="fr-CA"/>
        </w:rPr>
        <w:t>’</w:t>
      </w:r>
      <w:r w:rsidRPr="00375EDE">
        <w:rPr>
          <w:lang w:val="fr-CA"/>
        </w:rPr>
        <w:t xml:space="preserve">Alberta. </w:t>
      </w:r>
      <w:r w:rsidRPr="00375EDE">
        <w:t>[Je souligne; par. 33</w:t>
      </w:r>
      <w:r w:rsidRPr="00375EDE">
        <w:noBreakHyphen/>
        <w:t>34.]</w:t>
      </w:r>
    </w:p>
    <w:p w:rsidR="00DF13E5" w:rsidRPr="00375EDE" w:rsidRDefault="00DF13E5" w:rsidP="00DF13E5">
      <w:pPr>
        <w:pStyle w:val="ParaNoNdepar-AltN"/>
        <w:rPr>
          <w:rFonts w:cs="Times New Roman"/>
          <w:lang w:val="fr-CA"/>
        </w:rPr>
      </w:pPr>
      <w:r w:rsidRPr="00375EDE">
        <w:rPr>
          <w:rFonts w:cs="Times New Roman"/>
          <w:lang w:val="fr-CA"/>
        </w:rPr>
        <w:t>Comme il ressort du par. 34 précité de l</w:t>
      </w:r>
      <w:r>
        <w:rPr>
          <w:rFonts w:cs="Times New Roman"/>
          <w:lang w:val="fr-CA"/>
        </w:rPr>
        <w:t>’</w:t>
      </w:r>
      <w:r w:rsidRPr="00375EDE">
        <w:rPr>
          <w:rFonts w:cs="Times New Roman"/>
          <w:lang w:val="fr-CA"/>
        </w:rPr>
        <w:t xml:space="preserve">arrêt </w:t>
      </w:r>
      <w:r w:rsidRPr="00375EDE">
        <w:rPr>
          <w:rFonts w:cs="Times New Roman"/>
          <w:i/>
          <w:lang w:val="fr-CA"/>
        </w:rPr>
        <w:t>Northern Badger</w:t>
      </w:r>
      <w:r w:rsidRPr="00375EDE">
        <w:rPr>
          <w:rFonts w:cs="Times New Roman"/>
          <w:lang w:val="fr-CA"/>
        </w:rPr>
        <w:t>, la Cour d</w:t>
      </w:r>
      <w:r>
        <w:rPr>
          <w:rFonts w:cs="Times New Roman"/>
          <w:lang w:val="fr-CA"/>
        </w:rPr>
        <w:t>’</w:t>
      </w:r>
      <w:r w:rsidRPr="00375EDE">
        <w:rPr>
          <w:rFonts w:cs="Times New Roman"/>
          <w:lang w:val="fr-CA"/>
        </w:rPr>
        <w:t>appel n</w:t>
      </w:r>
      <w:r>
        <w:rPr>
          <w:rFonts w:cs="Times New Roman"/>
          <w:lang w:val="fr-CA"/>
        </w:rPr>
        <w:t>’</w:t>
      </w:r>
      <w:r w:rsidRPr="00375EDE">
        <w:rPr>
          <w:rFonts w:cs="Times New Roman"/>
          <w:lang w:val="fr-CA"/>
        </w:rPr>
        <w:t>a jamais mentionné dans cette affaire qu</w:t>
      </w:r>
      <w:r>
        <w:rPr>
          <w:rFonts w:cs="Times New Roman"/>
          <w:lang w:val="fr-CA"/>
        </w:rPr>
        <w:t>’</w:t>
      </w:r>
      <w:r w:rsidRPr="00375EDE">
        <w:rPr>
          <w:rFonts w:cs="Times New Roman"/>
          <w:lang w:val="fr-CA"/>
        </w:rPr>
        <w:t>un organisme de réglementation n</w:t>
      </w:r>
      <w:r>
        <w:rPr>
          <w:rFonts w:cs="Times New Roman"/>
          <w:lang w:val="fr-CA"/>
        </w:rPr>
        <w:t>’</w:t>
      </w:r>
      <w:r w:rsidRPr="00375EDE">
        <w:rPr>
          <w:rFonts w:cs="Times New Roman"/>
          <w:lang w:val="fr-CA"/>
        </w:rPr>
        <w:t>a pas — ou ne peut avoir — le statut de créancier lorsqu</w:t>
      </w:r>
      <w:r>
        <w:rPr>
          <w:rFonts w:cs="Times New Roman"/>
          <w:lang w:val="fr-CA"/>
        </w:rPr>
        <w:t>’</w:t>
      </w:r>
      <w:r w:rsidRPr="00375EDE">
        <w:rPr>
          <w:rFonts w:cs="Times New Roman"/>
          <w:lang w:val="fr-CA"/>
        </w:rPr>
        <w:t xml:space="preserve">il fait respecter un devoir public. En parlant de </w:t>
      </w:r>
      <w:r w:rsidRPr="00375EDE">
        <w:rPr>
          <w:rFonts w:cs="Times New Roman"/>
          <w:i/>
          <w:lang w:val="fr-CA"/>
        </w:rPr>
        <w:t>Northern Badger</w:t>
      </w:r>
      <w:r w:rsidRPr="00375EDE">
        <w:rPr>
          <w:rFonts w:cs="Times New Roman"/>
          <w:lang w:val="fr-CA"/>
        </w:rPr>
        <w:t xml:space="preserve"> dans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la juge Deschamps a expliqué que la Cour d</w:t>
      </w:r>
      <w:r>
        <w:rPr>
          <w:rFonts w:cs="Times New Roman"/>
          <w:lang w:val="fr-CA"/>
        </w:rPr>
        <w:t>’</w:t>
      </w:r>
      <w:r w:rsidRPr="00375EDE">
        <w:rPr>
          <w:rFonts w:cs="Times New Roman"/>
          <w:lang w:val="fr-CA"/>
        </w:rPr>
        <w:t>appel de l</w:t>
      </w:r>
      <w:r>
        <w:rPr>
          <w:rFonts w:cs="Times New Roman"/>
          <w:lang w:val="fr-CA"/>
        </w:rPr>
        <w:t>’</w:t>
      </w:r>
      <w:r w:rsidRPr="00375EDE">
        <w:rPr>
          <w:rFonts w:cs="Times New Roman"/>
          <w:lang w:val="fr-CA"/>
        </w:rPr>
        <w:t>Alberta a « conclu que l</w:t>
      </w:r>
      <w:r>
        <w:rPr>
          <w:rFonts w:cs="Times New Roman"/>
          <w:lang w:val="fr-CA"/>
        </w:rPr>
        <w:t>’</w:t>
      </w:r>
      <w:r w:rsidRPr="00375EDE">
        <w:rPr>
          <w:rFonts w:cs="Times New Roman"/>
          <w:lang w:val="fr-CA"/>
        </w:rPr>
        <w:t>obligation d</w:t>
      </w:r>
      <w:r>
        <w:rPr>
          <w:rFonts w:cs="Times New Roman"/>
          <w:lang w:val="fr-CA"/>
        </w:rPr>
        <w:t>’</w:t>
      </w:r>
      <w:r w:rsidRPr="00375EDE">
        <w:rPr>
          <w:rFonts w:cs="Times New Roman"/>
          <w:lang w:val="fr-CA"/>
        </w:rPr>
        <w:t xml:space="preserve">entreprendre les travaux de décontamination est due au public en général </w:t>
      </w:r>
      <w:r w:rsidRPr="00375EDE">
        <w:rPr>
          <w:rFonts w:cs="Times New Roman"/>
          <w:u w:val="single"/>
          <w:lang w:val="fr-CA"/>
        </w:rPr>
        <w:t>jusqu</w:t>
      </w:r>
      <w:r>
        <w:rPr>
          <w:rFonts w:cs="Times New Roman"/>
          <w:u w:val="single"/>
          <w:lang w:val="fr-CA"/>
        </w:rPr>
        <w:t>’</w:t>
      </w:r>
      <w:r w:rsidRPr="00375EDE">
        <w:rPr>
          <w:rFonts w:cs="Times New Roman"/>
          <w:u w:val="single"/>
          <w:lang w:val="fr-CA"/>
        </w:rPr>
        <w:t>à ce que l</w:t>
      </w:r>
      <w:r>
        <w:rPr>
          <w:rFonts w:cs="Times New Roman"/>
          <w:u w:val="single"/>
          <w:lang w:val="fr-CA"/>
        </w:rPr>
        <w:t>’</w:t>
      </w:r>
      <w:r w:rsidRPr="00375EDE">
        <w:rPr>
          <w:rFonts w:cs="Times New Roman"/>
          <w:u w:val="single"/>
          <w:lang w:val="fr-CA"/>
        </w:rPr>
        <w:t>organisme administratif exerce son pouvoir de faire valoir une réclamation pécuniaire</w:t>
      </w:r>
      <w:r w:rsidRPr="00375EDE">
        <w:rPr>
          <w:rFonts w:cs="Times New Roman"/>
          <w:lang w:val="fr-CA"/>
        </w:rPr>
        <w:t> » (</w:t>
      </w:r>
      <w:r w:rsidRPr="00375EDE">
        <w:rPr>
          <w:rFonts w:cs="Times New Roman"/>
          <w:i/>
          <w:lang w:val="fr-CA"/>
        </w:rPr>
        <w:t>Abitibi</w:t>
      </w:r>
      <w:r w:rsidRPr="00375EDE">
        <w:rPr>
          <w:rFonts w:cs="Times New Roman"/>
          <w:lang w:val="fr-CA"/>
        </w:rPr>
        <w:t xml:space="preserve">, par. 44 (je </w:t>
      </w:r>
      <w:r w:rsidRPr="00375EDE">
        <w:rPr>
          <w:rFonts w:cs="Times New Roman"/>
          <w:lang w:val="fr-CA"/>
        </w:rPr>
        <w:lastRenderedPageBreak/>
        <w:t>souligne)). Le juge Laycraft a reconnu que l</w:t>
      </w:r>
      <w:r>
        <w:rPr>
          <w:rFonts w:cs="Times New Roman"/>
          <w:lang w:val="fr-CA"/>
        </w:rPr>
        <w:t>’</w:t>
      </w:r>
      <w:r w:rsidRPr="00375EDE">
        <w:rPr>
          <w:rFonts w:cs="Times New Roman"/>
          <w:lang w:val="fr-CA"/>
        </w:rPr>
        <w:t>organisme de règlementation qui s</w:t>
      </w:r>
      <w:r>
        <w:rPr>
          <w:rFonts w:cs="Times New Roman"/>
          <w:lang w:val="fr-CA"/>
        </w:rPr>
        <w:t>’</w:t>
      </w:r>
      <w:r w:rsidRPr="00375EDE">
        <w:rPr>
          <w:rFonts w:cs="Times New Roman"/>
          <w:lang w:val="fr-CA"/>
        </w:rPr>
        <w:t>acquitte lui</w:t>
      </w:r>
      <w:r w:rsidRPr="00375EDE">
        <w:rPr>
          <w:rFonts w:cs="Times New Roman"/>
          <w:lang w:val="fr-CA"/>
        </w:rPr>
        <w:noBreakHyphen/>
        <w:t>même d</w:t>
      </w:r>
      <w:r>
        <w:rPr>
          <w:rFonts w:cs="Times New Roman"/>
          <w:lang w:val="fr-CA"/>
        </w:rPr>
        <w:t>’</w:t>
      </w:r>
      <w:r w:rsidRPr="00375EDE">
        <w:rPr>
          <w:rFonts w:cs="Times New Roman"/>
          <w:lang w:val="fr-CA"/>
        </w:rPr>
        <w:t>une obligation environnementale et présente une demande de remboursement devient effectivement [</w:t>
      </w:r>
      <w:r w:rsidRPr="00375EDE">
        <w:rPr>
          <w:rFonts w:cs="Times New Roman"/>
          <w:smallCaps/>
          <w:lang w:val="fr-CA"/>
        </w:rPr>
        <w:t>traduction</w:t>
      </w:r>
      <w:r w:rsidRPr="00375EDE">
        <w:rPr>
          <w:rFonts w:cs="Times New Roman"/>
          <w:lang w:val="fr-CA"/>
        </w:rPr>
        <w:t>] « créancier à l</w:t>
      </w:r>
      <w:r>
        <w:rPr>
          <w:rFonts w:cs="Times New Roman"/>
          <w:lang w:val="fr-CA"/>
        </w:rPr>
        <w:t>’</w:t>
      </w:r>
      <w:r w:rsidRPr="00375EDE">
        <w:rPr>
          <w:rFonts w:cs="Times New Roman"/>
          <w:lang w:val="fr-CA"/>
        </w:rPr>
        <w:t>égard des sommes dépensées ». Même dans une telle situation, le public demeure l</w:t>
      </w:r>
      <w:r>
        <w:rPr>
          <w:rFonts w:cs="Times New Roman"/>
          <w:lang w:val="fr-CA"/>
        </w:rPr>
        <w:t>’</w:t>
      </w:r>
      <w:r w:rsidRPr="00375EDE">
        <w:rPr>
          <w:rFonts w:cs="Times New Roman"/>
          <w:lang w:val="fr-CA"/>
        </w:rPr>
        <w:t xml:space="preserve">ultime bénéficiaire des travaux de décontamination, ce qui cadre largement avec la norme de la réclamation prouvable énoncée par la juge Deschamps. En fait, notre Cour a simplement élargi ce principe dans </w:t>
      </w:r>
      <w:r w:rsidRPr="00375EDE">
        <w:rPr>
          <w:rFonts w:cs="Times New Roman"/>
          <w:i/>
          <w:lang w:val="fr-CA"/>
        </w:rPr>
        <w:t>Abitibi</w:t>
      </w:r>
      <w:r w:rsidRPr="00375EDE">
        <w:rPr>
          <w:rFonts w:cs="Times New Roman"/>
          <w:lang w:val="fr-CA"/>
        </w:rPr>
        <w:t>, concluant que l</w:t>
      </w:r>
      <w:r>
        <w:rPr>
          <w:rFonts w:cs="Times New Roman"/>
          <w:lang w:val="fr-CA"/>
        </w:rPr>
        <w:t>’</w:t>
      </w:r>
      <w:r w:rsidRPr="00375EDE">
        <w:rPr>
          <w:rFonts w:cs="Times New Roman"/>
          <w:lang w:val="fr-CA"/>
        </w:rPr>
        <w:t>organisme de réglementation peut également avoir le statut de créancier relativement à une revendication éventuelle prouvable s</w:t>
      </w:r>
      <w:r>
        <w:rPr>
          <w:rFonts w:cs="Times New Roman"/>
          <w:lang w:val="fr-CA"/>
        </w:rPr>
        <w:t>’</w:t>
      </w:r>
      <w:r w:rsidRPr="00375EDE">
        <w:rPr>
          <w:rFonts w:cs="Times New Roman"/>
          <w:lang w:val="fr-CA"/>
        </w:rPr>
        <w:t>il est suffisamment certain qu</w:t>
      </w:r>
      <w:r>
        <w:rPr>
          <w:rFonts w:cs="Times New Roman"/>
          <w:lang w:val="fr-CA"/>
        </w:rPr>
        <w:t>’</w:t>
      </w:r>
      <w:r w:rsidRPr="00375EDE">
        <w:rPr>
          <w:rFonts w:cs="Times New Roman"/>
          <w:lang w:val="fr-CA"/>
        </w:rPr>
        <w:t>il exécutera les travaux de décontamination et présentera une demande de remboursement. Comme je l</w:t>
      </w:r>
      <w:r>
        <w:rPr>
          <w:rFonts w:cs="Times New Roman"/>
          <w:lang w:val="fr-CA"/>
        </w:rPr>
        <w:t>’</w:t>
      </w:r>
      <w:r w:rsidRPr="00375EDE">
        <w:rPr>
          <w:rFonts w:cs="Times New Roman"/>
          <w:lang w:val="fr-CA"/>
        </w:rPr>
        <w:t>expliquerai plus en détail, il s</w:t>
      </w:r>
      <w:r>
        <w:rPr>
          <w:rFonts w:cs="Times New Roman"/>
          <w:lang w:val="fr-CA"/>
        </w:rPr>
        <w:t>’</w:t>
      </w:r>
      <w:r w:rsidRPr="00375EDE">
        <w:rPr>
          <w:rFonts w:cs="Times New Roman"/>
          <w:lang w:val="fr-CA"/>
        </w:rPr>
        <w:t>agit précisément de la situation dans laquelle se trouvent l</w:t>
      </w:r>
      <w:r>
        <w:rPr>
          <w:rFonts w:cs="Times New Roman"/>
          <w:lang w:val="fr-CA"/>
        </w:rPr>
        <w:t>’</w:t>
      </w:r>
      <w:r w:rsidRPr="00375EDE">
        <w:rPr>
          <w:rFonts w:cs="Times New Roman"/>
          <w:lang w:val="fr-CA"/>
        </w:rPr>
        <w:t>AER et OWA en l</w:t>
      </w:r>
      <w:r>
        <w:rPr>
          <w:rFonts w:cs="Times New Roman"/>
          <w:lang w:val="fr-CA"/>
        </w:rPr>
        <w:t>’</w:t>
      </w:r>
      <w:r w:rsidRPr="00375EDE">
        <w:rPr>
          <w:rFonts w:cs="Times New Roman"/>
          <w:lang w:val="fr-CA"/>
        </w:rPr>
        <w:t>espèce. La Cour d</w:t>
      </w:r>
      <w:r>
        <w:rPr>
          <w:rFonts w:cs="Times New Roman"/>
          <w:lang w:val="fr-CA"/>
        </w:rPr>
        <w:t>’</w:t>
      </w:r>
      <w:r w:rsidRPr="00375EDE">
        <w:rPr>
          <w:rFonts w:cs="Times New Roman"/>
          <w:lang w:val="fr-CA"/>
        </w:rPr>
        <w:t>appel de l</w:t>
      </w:r>
      <w:r>
        <w:rPr>
          <w:rFonts w:cs="Times New Roman"/>
          <w:lang w:val="fr-CA"/>
        </w:rPr>
        <w:t>’</w:t>
      </w:r>
      <w:r w:rsidRPr="00375EDE">
        <w:rPr>
          <w:rFonts w:cs="Times New Roman"/>
          <w:lang w:val="fr-CA"/>
        </w:rPr>
        <w:t>Alberta n</w:t>
      </w:r>
      <w:r>
        <w:rPr>
          <w:rFonts w:cs="Times New Roman"/>
          <w:lang w:val="fr-CA"/>
        </w:rPr>
        <w:t>’</w:t>
      </w:r>
      <w:r w:rsidRPr="00375EDE">
        <w:rPr>
          <w:rFonts w:cs="Times New Roman"/>
          <w:lang w:val="fr-CA"/>
        </w:rPr>
        <w:t>a pas formulé la question sous l</w:t>
      </w:r>
      <w:r>
        <w:rPr>
          <w:rFonts w:cs="Times New Roman"/>
          <w:lang w:val="fr-CA"/>
        </w:rPr>
        <w:t>’</w:t>
      </w:r>
      <w:r w:rsidRPr="00375EDE">
        <w:rPr>
          <w:rFonts w:cs="Times New Roman"/>
          <w:lang w:val="fr-CA"/>
        </w:rPr>
        <w:t xml:space="preserve">angle du test à trois volets qui a été élaboré par la suite dans </w:t>
      </w:r>
      <w:r w:rsidRPr="00375EDE">
        <w:rPr>
          <w:rFonts w:cs="Times New Roman"/>
          <w:i/>
          <w:lang w:val="fr-CA"/>
        </w:rPr>
        <w:t>Abitibi</w:t>
      </w:r>
      <w:r w:rsidRPr="00375EDE">
        <w:rPr>
          <w:rFonts w:cs="Times New Roman"/>
          <w:lang w:val="fr-CA"/>
        </w:rPr>
        <w:t>; elle n</w:t>
      </w:r>
      <w:r>
        <w:rPr>
          <w:rFonts w:cs="Times New Roman"/>
          <w:lang w:val="fr-CA"/>
        </w:rPr>
        <w:t>’</w:t>
      </w:r>
      <w:r w:rsidRPr="00375EDE">
        <w:rPr>
          <w:rFonts w:cs="Times New Roman"/>
          <w:lang w:val="fr-CA"/>
        </w:rPr>
        <w:t>a pas divisé son analyse de la question de savoir s</w:t>
      </w:r>
      <w:r>
        <w:rPr>
          <w:rFonts w:cs="Times New Roman"/>
          <w:lang w:val="fr-CA"/>
        </w:rPr>
        <w:t>’</w:t>
      </w:r>
      <w:r w:rsidRPr="00375EDE">
        <w:rPr>
          <w:rFonts w:cs="Times New Roman"/>
          <w:lang w:val="fr-CA"/>
        </w:rPr>
        <w:t xml:space="preserve">il existait une réclamation prouvable. Toutefois, il est juste de considérer que la juge Deschamps a traité des préoccupations exprimées dans </w:t>
      </w:r>
      <w:r w:rsidRPr="00375EDE">
        <w:rPr>
          <w:rFonts w:cs="Times New Roman"/>
          <w:i/>
          <w:lang w:val="fr-CA"/>
        </w:rPr>
        <w:t>Northern Badger</w:t>
      </w:r>
      <w:r w:rsidRPr="00375EDE">
        <w:rPr>
          <w:rFonts w:cs="Times New Roman"/>
          <w:lang w:val="fr-CA"/>
        </w:rPr>
        <w:t xml:space="preserve"> en fonction du troisième volet du test </w:t>
      </w:r>
      <w:r w:rsidRPr="00375EDE">
        <w:rPr>
          <w:rFonts w:cs="Times New Roman"/>
          <w:i/>
          <w:lang w:val="fr-CA"/>
        </w:rPr>
        <w:t>Abitibi</w:t>
      </w:r>
      <w:r w:rsidRPr="00375EDE">
        <w:rPr>
          <w:rFonts w:cs="Times New Roman"/>
          <w:lang w:val="fr-CA"/>
        </w:rPr>
        <w:t>. Il ne convient pas de reprendre ces principes au premier volet également, comme le propose la majorité. C</w:t>
      </w:r>
      <w:r>
        <w:rPr>
          <w:rFonts w:cs="Times New Roman"/>
          <w:lang w:val="fr-CA"/>
        </w:rPr>
        <w:t>’</w:t>
      </w:r>
      <w:r w:rsidRPr="00375EDE">
        <w:rPr>
          <w:rFonts w:cs="Times New Roman"/>
          <w:lang w:val="fr-CA"/>
        </w:rPr>
        <w:t>est pourquoi il est malavisé de se fonder sur l</w:t>
      </w:r>
      <w:r>
        <w:rPr>
          <w:rFonts w:cs="Times New Roman"/>
          <w:lang w:val="fr-CA"/>
        </w:rPr>
        <w:t>’</w:t>
      </w:r>
      <w:r w:rsidRPr="00375EDE">
        <w:rPr>
          <w:rFonts w:cs="Times New Roman"/>
          <w:lang w:val="fr-CA"/>
        </w:rPr>
        <w:t xml:space="preserve">arrêt </w:t>
      </w:r>
      <w:r w:rsidRPr="00375EDE">
        <w:rPr>
          <w:rFonts w:cs="Times New Roman"/>
          <w:i/>
          <w:lang w:val="fr-CA"/>
        </w:rPr>
        <w:t>Northern Badger</w:t>
      </w:r>
      <w:r w:rsidRPr="00375EDE">
        <w:rPr>
          <w:rFonts w:cs="Times New Roman"/>
          <w:lang w:val="fr-CA"/>
        </w:rPr>
        <w:t xml:space="preserve"> en l</w:t>
      </w:r>
      <w:r>
        <w:rPr>
          <w:rFonts w:cs="Times New Roman"/>
          <w:lang w:val="fr-CA"/>
        </w:rPr>
        <w:t>’</w:t>
      </w:r>
      <w:r w:rsidRPr="00375EDE">
        <w:rPr>
          <w:rFonts w:cs="Times New Roman"/>
          <w:lang w:val="fr-CA"/>
        </w:rPr>
        <w:t>espèce pour conclure que l</w:t>
      </w:r>
      <w:r>
        <w:rPr>
          <w:rFonts w:cs="Times New Roman"/>
          <w:lang w:val="fr-CA"/>
        </w:rPr>
        <w:t>’</w:t>
      </w:r>
      <w:r w:rsidRPr="00375EDE">
        <w:rPr>
          <w:rFonts w:cs="Times New Roman"/>
          <w:lang w:val="fr-CA"/>
        </w:rPr>
        <w:t>AER n</w:t>
      </w:r>
      <w:r>
        <w:rPr>
          <w:rFonts w:cs="Times New Roman"/>
          <w:lang w:val="fr-CA"/>
        </w:rPr>
        <w:t>’</w:t>
      </w:r>
      <w:r w:rsidRPr="00375EDE">
        <w:rPr>
          <w:rFonts w:cs="Times New Roman"/>
          <w:lang w:val="fr-CA"/>
        </w:rPr>
        <w:t>est pas un créancier.</w:t>
      </w:r>
    </w:p>
    <w:p w:rsidR="00DF13E5" w:rsidRPr="00375EDE" w:rsidRDefault="00DF13E5" w:rsidP="00DF13E5">
      <w:pPr>
        <w:pStyle w:val="ParaNoNdepar-AltN"/>
        <w:rPr>
          <w:rFonts w:cs="Times New Roman"/>
          <w:lang w:val="fr-CA"/>
        </w:rPr>
      </w:pPr>
      <w:r w:rsidRPr="00375EDE">
        <w:rPr>
          <w:rFonts w:cs="Times New Roman"/>
          <w:lang w:val="fr-CA"/>
        </w:rPr>
        <w:t>Cependant, même si les juges majoritaires avaient raison quant au raisonnement dans l</w:t>
      </w:r>
      <w:r>
        <w:rPr>
          <w:rFonts w:cs="Times New Roman"/>
          <w:lang w:val="fr-CA"/>
        </w:rPr>
        <w:t>’</w:t>
      </w:r>
      <w:r w:rsidRPr="00375EDE">
        <w:rPr>
          <w:rFonts w:cs="Times New Roman"/>
          <w:lang w:val="fr-CA"/>
        </w:rPr>
        <w:t xml:space="preserve">arrêt </w:t>
      </w:r>
      <w:r w:rsidRPr="00375EDE">
        <w:rPr>
          <w:rFonts w:cs="Times New Roman"/>
          <w:i/>
          <w:lang w:val="fr-CA"/>
        </w:rPr>
        <w:t>Northern Badger</w:t>
      </w:r>
      <w:r w:rsidRPr="00375EDE">
        <w:rPr>
          <w:rFonts w:cs="Times New Roman"/>
          <w:lang w:val="fr-CA"/>
        </w:rPr>
        <w:t xml:space="preserve"> à savoir si un organisme de réglementation faisant respecter un devoir public peut avoir le statut de créancier — ce que je ne concède pas — je ne retiens pas leur conclusion portant que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xml:space="preserve"> n</w:t>
      </w:r>
      <w:r>
        <w:rPr>
          <w:rFonts w:cs="Times New Roman"/>
          <w:lang w:val="fr-CA"/>
        </w:rPr>
        <w:t>’</w:t>
      </w:r>
      <w:r w:rsidRPr="00375EDE">
        <w:rPr>
          <w:rFonts w:cs="Times New Roman"/>
          <w:lang w:val="fr-CA"/>
        </w:rPr>
        <w:t xml:space="preserve">a pas écarté ce raisonnement. La Cour était bien au fait de la décision rendue dans </w:t>
      </w:r>
      <w:r w:rsidRPr="00375EDE">
        <w:rPr>
          <w:rFonts w:cs="Times New Roman"/>
          <w:i/>
          <w:lang w:val="fr-CA"/>
        </w:rPr>
        <w:t xml:space="preserve">Northern Badger </w:t>
      </w:r>
      <w:r w:rsidRPr="00375EDE">
        <w:rPr>
          <w:rFonts w:cs="Times New Roman"/>
          <w:lang w:val="fr-CA"/>
        </w:rPr>
        <w:lastRenderedPageBreak/>
        <w:t>et l</w:t>
      </w:r>
      <w:r>
        <w:rPr>
          <w:rFonts w:cs="Times New Roman"/>
          <w:lang w:val="fr-CA"/>
        </w:rPr>
        <w:t>’</w:t>
      </w:r>
      <w:r w:rsidRPr="00375EDE">
        <w:rPr>
          <w:rFonts w:cs="Times New Roman"/>
          <w:lang w:val="fr-CA"/>
        </w:rPr>
        <w:t>a citée textuellement. Malgré cela, lorsqu</w:t>
      </w:r>
      <w:r>
        <w:rPr>
          <w:rFonts w:cs="Times New Roman"/>
          <w:lang w:val="fr-CA"/>
        </w:rPr>
        <w:t>’</w:t>
      </w:r>
      <w:r w:rsidRPr="00375EDE">
        <w:rPr>
          <w:rFonts w:cs="Times New Roman"/>
          <w:lang w:val="fr-CA"/>
        </w:rPr>
        <w:t>elle a formulé le premier volet du test, la juge Deschamps n</w:t>
      </w:r>
      <w:r>
        <w:rPr>
          <w:rFonts w:cs="Times New Roman"/>
          <w:lang w:val="fr-CA"/>
        </w:rPr>
        <w:t>’</w:t>
      </w:r>
      <w:r w:rsidRPr="00375EDE">
        <w:rPr>
          <w:rFonts w:cs="Times New Roman"/>
          <w:lang w:val="fr-CA"/>
        </w:rPr>
        <w:t>a établi aucune distinction entre les organismes de réglementation qui agissent dans un intérêt public et ceux qui agissent dans leur propre intérêt. Elle a plutôt affirmé que « la seule question à trancher » (par. 27) est de savoir si l</w:t>
      </w:r>
      <w:r>
        <w:rPr>
          <w:rFonts w:cs="Times New Roman"/>
          <w:lang w:val="fr-CA"/>
        </w:rPr>
        <w:t>’</w:t>
      </w:r>
      <w:r w:rsidRPr="00375EDE">
        <w:rPr>
          <w:rFonts w:cs="Times New Roman"/>
          <w:lang w:val="fr-CA"/>
        </w:rPr>
        <w:t>organisme exerce ses pouvoirs d</w:t>
      </w:r>
      <w:r>
        <w:rPr>
          <w:rFonts w:cs="Times New Roman"/>
          <w:lang w:val="fr-CA"/>
        </w:rPr>
        <w:t>’</w:t>
      </w:r>
      <w:r w:rsidRPr="00375EDE">
        <w:rPr>
          <w:rFonts w:cs="Times New Roman"/>
          <w:lang w:val="fr-CA"/>
        </w:rPr>
        <w:t>application de la loi à l</w:t>
      </w:r>
      <w:r>
        <w:rPr>
          <w:rFonts w:cs="Times New Roman"/>
          <w:lang w:val="fr-CA"/>
        </w:rPr>
        <w:t>’</w:t>
      </w:r>
      <w:r w:rsidRPr="00375EDE">
        <w:rPr>
          <w:rFonts w:cs="Times New Roman"/>
          <w:lang w:val="fr-CA"/>
        </w:rPr>
        <w:t>encontre d</w:t>
      </w:r>
      <w:r>
        <w:rPr>
          <w:rFonts w:cs="Times New Roman"/>
          <w:lang w:val="fr-CA"/>
        </w:rPr>
        <w:t>’</w:t>
      </w:r>
      <w:r w:rsidRPr="00375EDE">
        <w:rPr>
          <w:rFonts w:cs="Times New Roman"/>
          <w:lang w:val="fr-CA"/>
        </w:rPr>
        <w:t>un débiteur. En mentionnant l</w:t>
      </w:r>
      <w:r>
        <w:rPr>
          <w:rFonts w:cs="Times New Roman"/>
          <w:lang w:val="fr-CA"/>
        </w:rPr>
        <w:t>’</w:t>
      </w:r>
      <w:r w:rsidRPr="00375EDE">
        <w:rPr>
          <w:rFonts w:cs="Times New Roman"/>
          <w:lang w:val="fr-CA"/>
        </w:rPr>
        <w:t xml:space="preserve">arrêt </w:t>
      </w:r>
      <w:r w:rsidRPr="00375EDE">
        <w:rPr>
          <w:rFonts w:cs="Times New Roman"/>
          <w:i/>
          <w:lang w:val="fr-CA"/>
        </w:rPr>
        <w:t>Northern Badger</w:t>
      </w:r>
      <w:r w:rsidRPr="00375EDE">
        <w:rPr>
          <w:rFonts w:cs="Times New Roman"/>
          <w:lang w:val="fr-CA"/>
        </w:rPr>
        <w:t>, elle a souligné expressément que « </w:t>
      </w:r>
      <w:r w:rsidRPr="00375EDE">
        <w:rPr>
          <w:rFonts w:cs="Times New Roman"/>
          <w:u w:val="single"/>
          <w:lang w:val="fr-CA"/>
        </w:rPr>
        <w:t>[l]a véritable question n</w:t>
      </w:r>
      <w:r>
        <w:rPr>
          <w:rFonts w:cs="Times New Roman"/>
          <w:u w:val="single"/>
          <w:lang w:val="fr-CA"/>
        </w:rPr>
        <w:t>’</w:t>
      </w:r>
      <w:r w:rsidRPr="00375EDE">
        <w:rPr>
          <w:rFonts w:cs="Times New Roman"/>
          <w:u w:val="single"/>
          <w:lang w:val="fr-CA"/>
        </w:rPr>
        <w:t>est pas de savoir à qui est due l</w:t>
      </w:r>
      <w:r>
        <w:rPr>
          <w:rFonts w:cs="Times New Roman"/>
          <w:u w:val="single"/>
          <w:lang w:val="fr-CA"/>
        </w:rPr>
        <w:t>’</w:t>
      </w:r>
      <w:r w:rsidRPr="00375EDE">
        <w:rPr>
          <w:rFonts w:cs="Times New Roman"/>
          <w:u w:val="single"/>
          <w:lang w:val="fr-CA"/>
        </w:rPr>
        <w:t>obligation</w:t>
      </w:r>
      <w:r w:rsidRPr="00375EDE">
        <w:rPr>
          <w:rFonts w:cs="Times New Roman"/>
          <w:lang w:val="fr-CA"/>
        </w:rPr>
        <w:t>, puisque la loi y répond en indiquant qui peut en exiger l</w:t>
      </w:r>
      <w:r>
        <w:rPr>
          <w:rFonts w:cs="Times New Roman"/>
          <w:lang w:val="fr-CA"/>
        </w:rPr>
        <w:t>’</w:t>
      </w:r>
      <w:r w:rsidRPr="00375EDE">
        <w:rPr>
          <w:rFonts w:cs="Times New Roman"/>
          <w:lang w:val="fr-CA"/>
        </w:rPr>
        <w:t>exécution » (par. 27 et 46 (je souligne)).</w:t>
      </w:r>
    </w:p>
    <w:p w:rsidR="00DF13E5" w:rsidRPr="00375EDE" w:rsidRDefault="00DF13E5" w:rsidP="00DF13E5">
      <w:pPr>
        <w:pStyle w:val="ParaNoNdepar-AltN"/>
        <w:rPr>
          <w:rFonts w:cs="Times New Roman"/>
          <w:lang w:val="fr-CA"/>
        </w:rPr>
      </w:pPr>
      <w:r w:rsidRPr="00375EDE">
        <w:rPr>
          <w:rFonts w:cs="Times New Roman"/>
          <w:lang w:val="fr-CA"/>
        </w:rPr>
        <w:t>Enfin, et fait peut</w:t>
      </w:r>
      <w:r w:rsidRPr="00375EDE">
        <w:rPr>
          <w:rFonts w:cs="Times New Roman"/>
          <w:lang w:val="fr-CA"/>
        </w:rPr>
        <w:noBreakHyphen/>
        <w:t>être plus important encore, laisser entendre qu</w:t>
      </w:r>
      <w:r>
        <w:rPr>
          <w:rFonts w:cs="Times New Roman"/>
          <w:lang w:val="fr-CA"/>
        </w:rPr>
        <w:t>’</w:t>
      </w:r>
      <w:r w:rsidRPr="00375EDE">
        <w:rPr>
          <w:rFonts w:cs="Times New Roman"/>
          <w:lang w:val="fr-CA"/>
        </w:rPr>
        <w:t>un organisme de réglementation n</w:t>
      </w:r>
      <w:r>
        <w:rPr>
          <w:rFonts w:cs="Times New Roman"/>
          <w:lang w:val="fr-CA"/>
        </w:rPr>
        <w:t>’</w:t>
      </w:r>
      <w:r w:rsidRPr="00375EDE">
        <w:rPr>
          <w:rFonts w:cs="Times New Roman"/>
          <w:lang w:val="fr-CA"/>
        </w:rPr>
        <w:t>agit pas comme créancier quand ses activités de protection de l</w:t>
      </w:r>
      <w:r>
        <w:rPr>
          <w:rFonts w:cs="Times New Roman"/>
          <w:lang w:val="fr-CA"/>
        </w:rPr>
        <w:t>’</w:t>
      </w:r>
      <w:r w:rsidRPr="00375EDE">
        <w:rPr>
          <w:rFonts w:cs="Times New Roman"/>
          <w:lang w:val="fr-CA"/>
        </w:rPr>
        <w:t xml:space="preserve">environnement visent le bien public et profitent au public écarte dans les faits le premier volet du test </w:t>
      </w:r>
      <w:r w:rsidRPr="00375EDE">
        <w:rPr>
          <w:rFonts w:cs="Times New Roman"/>
          <w:i/>
          <w:lang w:val="fr-CA"/>
        </w:rPr>
        <w:t>Abitibi</w:t>
      </w:r>
      <w:r w:rsidRPr="00375EDE">
        <w:rPr>
          <w:rFonts w:cs="Times New Roman"/>
          <w:lang w:val="fr-CA"/>
        </w:rPr>
        <w:t>. Suivant l</w:t>
      </w:r>
      <w:r>
        <w:rPr>
          <w:rFonts w:cs="Times New Roman"/>
          <w:lang w:val="fr-CA"/>
        </w:rPr>
        <w:t>’</w:t>
      </w:r>
      <w:r w:rsidRPr="00375EDE">
        <w:rPr>
          <w:rFonts w:cs="Times New Roman"/>
          <w:lang w:val="fr-CA"/>
        </w:rPr>
        <w:t>approche de mon collègue, la question de savoir « si l</w:t>
      </w:r>
      <w:r>
        <w:rPr>
          <w:rFonts w:cs="Times New Roman"/>
          <w:lang w:val="fr-CA"/>
        </w:rPr>
        <w:t>’</w:t>
      </w:r>
      <w:r w:rsidRPr="00375EDE">
        <w:rPr>
          <w:rFonts w:cs="Times New Roman"/>
          <w:lang w:val="fr-CA"/>
        </w:rPr>
        <w:t>organisme [de réglementation] a exercé, à l</w:t>
      </w:r>
      <w:r>
        <w:rPr>
          <w:rFonts w:cs="Times New Roman"/>
          <w:lang w:val="fr-CA"/>
        </w:rPr>
        <w:t>’</w:t>
      </w:r>
      <w:r w:rsidRPr="00375EDE">
        <w:rPr>
          <w:rFonts w:cs="Times New Roman"/>
          <w:lang w:val="fr-CA"/>
        </w:rPr>
        <w:t>encontre d</w:t>
      </w:r>
      <w:r>
        <w:rPr>
          <w:rFonts w:cs="Times New Roman"/>
          <w:lang w:val="fr-CA"/>
        </w:rPr>
        <w:t>’</w:t>
      </w:r>
      <w:r w:rsidRPr="00375EDE">
        <w:rPr>
          <w:rFonts w:cs="Times New Roman"/>
          <w:lang w:val="fr-CA"/>
        </w:rPr>
        <w:t>un débiteur, son pouvoir de faire appliquer la loi » (</w:t>
      </w:r>
      <w:r w:rsidRPr="00375EDE">
        <w:rPr>
          <w:rFonts w:cs="Times New Roman"/>
          <w:i/>
          <w:lang w:val="fr-CA"/>
        </w:rPr>
        <w:t>Abitibi</w:t>
      </w:r>
      <w:r w:rsidRPr="00375EDE">
        <w:rPr>
          <w:rFonts w:cs="Times New Roman"/>
          <w:lang w:val="fr-CA"/>
        </w:rPr>
        <w:t>, par. 27) n</w:t>
      </w:r>
      <w:r>
        <w:rPr>
          <w:rFonts w:cs="Times New Roman"/>
          <w:lang w:val="fr-CA"/>
        </w:rPr>
        <w:t>’</w:t>
      </w:r>
      <w:r w:rsidRPr="00375EDE">
        <w:rPr>
          <w:rFonts w:cs="Times New Roman"/>
          <w:lang w:val="fr-CA"/>
        </w:rPr>
        <w:t xml:space="preserve">est plus la </w:t>
      </w:r>
      <w:r w:rsidRPr="00375EDE">
        <w:rPr>
          <w:rFonts w:cs="Times New Roman"/>
          <w:i/>
          <w:lang w:val="fr-CA"/>
        </w:rPr>
        <w:t>seule</w:t>
      </w:r>
      <w:r w:rsidRPr="00375EDE">
        <w:rPr>
          <w:rFonts w:cs="Times New Roman"/>
          <w:lang w:val="fr-CA"/>
        </w:rPr>
        <w:t xml:space="preserve"> question à trancher à l</w:t>
      </w:r>
      <w:r>
        <w:rPr>
          <w:rFonts w:cs="Times New Roman"/>
          <w:lang w:val="fr-CA"/>
        </w:rPr>
        <w:t>’</w:t>
      </w:r>
      <w:r w:rsidRPr="00375EDE">
        <w:rPr>
          <w:rFonts w:cs="Times New Roman"/>
          <w:lang w:val="fr-CA"/>
        </w:rPr>
        <w:t>étape « créancier » de l</w:t>
      </w:r>
      <w:r>
        <w:rPr>
          <w:rFonts w:cs="Times New Roman"/>
          <w:lang w:val="fr-CA"/>
        </w:rPr>
        <w:t>’</w:t>
      </w:r>
      <w:r w:rsidRPr="00375EDE">
        <w:rPr>
          <w:rFonts w:cs="Times New Roman"/>
          <w:lang w:val="fr-CA"/>
        </w:rPr>
        <w:t>analyse. Le tribunal doit plutôt se demander si l</w:t>
      </w:r>
      <w:r>
        <w:rPr>
          <w:rFonts w:cs="Times New Roman"/>
          <w:lang w:val="fr-CA"/>
        </w:rPr>
        <w:t>’</w:t>
      </w:r>
      <w:r w:rsidRPr="00375EDE">
        <w:rPr>
          <w:rFonts w:cs="Times New Roman"/>
          <w:lang w:val="fr-CA"/>
        </w:rPr>
        <w:t>organisme de réglementation fait respecter un devoir public et s</w:t>
      </w:r>
      <w:r>
        <w:rPr>
          <w:rFonts w:cs="Times New Roman"/>
          <w:lang w:val="fr-CA"/>
        </w:rPr>
        <w:t>’</w:t>
      </w:r>
      <w:r w:rsidRPr="00375EDE">
        <w:rPr>
          <w:rFonts w:cs="Times New Roman"/>
          <w:lang w:val="fr-CA"/>
        </w:rPr>
        <w:t>il peut tirer un avantage financier de l</w:t>
      </w:r>
      <w:r>
        <w:rPr>
          <w:rFonts w:cs="Times New Roman"/>
          <w:lang w:val="fr-CA"/>
        </w:rPr>
        <w:t>’</w:t>
      </w:r>
      <w:r w:rsidRPr="00375EDE">
        <w:rPr>
          <w:rFonts w:cs="Times New Roman"/>
          <w:lang w:val="fr-CA"/>
        </w:rPr>
        <w:t>acquittement de l</w:t>
      </w:r>
      <w:r>
        <w:rPr>
          <w:rFonts w:cs="Times New Roman"/>
          <w:lang w:val="fr-CA"/>
        </w:rPr>
        <w:t>’</w:t>
      </w:r>
      <w:r w:rsidRPr="00375EDE">
        <w:rPr>
          <w:rFonts w:cs="Times New Roman"/>
          <w:lang w:val="fr-CA"/>
        </w:rPr>
        <w:t>obligation en question.</w:t>
      </w:r>
    </w:p>
    <w:p w:rsidR="00DF13E5" w:rsidRPr="00375EDE" w:rsidRDefault="00DF13E5" w:rsidP="00DF13E5">
      <w:pPr>
        <w:pStyle w:val="ParaNoNdepar-AltN"/>
        <w:rPr>
          <w:rFonts w:cs="Times New Roman"/>
          <w:lang w:val="fr-CA"/>
        </w:rPr>
      </w:pPr>
      <w:r w:rsidRPr="00375EDE">
        <w:rPr>
          <w:rFonts w:cs="Times New Roman"/>
          <w:lang w:val="fr-CA"/>
        </w:rPr>
        <w:t>Dans l</w:t>
      </w:r>
      <w:r>
        <w:rPr>
          <w:rFonts w:cs="Times New Roman"/>
          <w:lang w:val="fr-CA"/>
        </w:rPr>
        <w:t>’</w:t>
      </w:r>
      <w:r w:rsidRPr="00375EDE">
        <w:rPr>
          <w:rFonts w:cs="Times New Roman"/>
          <w:lang w:val="fr-CA"/>
        </w:rPr>
        <w:t>exercice des pouvoirs que la loi leur confie en matière d</w:t>
      </w:r>
      <w:r>
        <w:rPr>
          <w:rFonts w:cs="Times New Roman"/>
          <w:lang w:val="fr-CA"/>
        </w:rPr>
        <w:t>’</w:t>
      </w:r>
      <w:r w:rsidRPr="00375EDE">
        <w:rPr>
          <w:rFonts w:cs="Times New Roman"/>
          <w:lang w:val="fr-CA"/>
        </w:rPr>
        <w:t>environnement, les organismes de réglementation provinciaux agissent, en quelque sorte, toujours dans un intérêt public ou au bénéfice d</w:t>
      </w:r>
      <w:r>
        <w:rPr>
          <w:rFonts w:cs="Times New Roman"/>
          <w:lang w:val="fr-CA"/>
        </w:rPr>
        <w:t>’</w:t>
      </w:r>
      <w:r w:rsidRPr="00375EDE">
        <w:rPr>
          <w:rFonts w:cs="Times New Roman"/>
          <w:lang w:val="fr-CA"/>
        </w:rPr>
        <w:t xml:space="preserve">une partie de la population. Selon le premier volet du test </w:t>
      </w:r>
      <w:r w:rsidRPr="00375EDE">
        <w:rPr>
          <w:rFonts w:cs="Times New Roman"/>
          <w:i/>
          <w:lang w:val="fr-CA"/>
        </w:rPr>
        <w:t xml:space="preserve">Abitibi </w:t>
      </w:r>
      <w:r w:rsidRPr="00375EDE">
        <w:rPr>
          <w:rFonts w:cs="Times New Roman"/>
          <w:lang w:val="fr-CA"/>
        </w:rPr>
        <w:t>reformulé par mon collègue, il sera presque impossible de conclure que les organismes de réglementation protégeant les droits environnementaux sont des « créanciers » à l</w:t>
      </w:r>
      <w:r>
        <w:rPr>
          <w:rFonts w:cs="Times New Roman"/>
          <w:lang w:val="fr-CA"/>
        </w:rPr>
        <w:t>’</w:t>
      </w:r>
      <w:r w:rsidRPr="00375EDE">
        <w:rPr>
          <w:rFonts w:cs="Times New Roman"/>
          <w:lang w:val="fr-CA"/>
        </w:rPr>
        <w:t>extérieur du cadre de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xml:space="preserve"> </w:t>
      </w:r>
      <w:r w:rsidRPr="00375EDE">
        <w:rPr>
          <w:rFonts w:cs="Times New Roman"/>
          <w:lang w:val="fr-CA"/>
        </w:rPr>
        <w:lastRenderedPageBreak/>
        <w:t>lui</w:t>
      </w:r>
      <w:r w:rsidRPr="00375EDE">
        <w:rPr>
          <w:rFonts w:cs="Times New Roman"/>
          <w:lang w:val="fr-CA"/>
        </w:rPr>
        <w:noBreakHyphen/>
        <w:t xml:space="preserve">même. Par conséquent, les entités provinciales pourront totalement ignorer le régime de priorité de la </w:t>
      </w:r>
      <w:r w:rsidRPr="007A584A">
        <w:rPr>
          <w:rFonts w:cs="Times New Roman"/>
          <w:i/>
          <w:lang w:val="fr-CA"/>
        </w:rPr>
        <w:t xml:space="preserve">LFI </w:t>
      </w:r>
      <w:r w:rsidRPr="00375EDE">
        <w:rPr>
          <w:rFonts w:cs="Times New Roman"/>
          <w:lang w:val="fr-CA"/>
        </w:rPr>
        <w:t>tant qu</w:t>
      </w:r>
      <w:r>
        <w:rPr>
          <w:rFonts w:cs="Times New Roman"/>
          <w:lang w:val="fr-CA"/>
        </w:rPr>
        <w:t>’</w:t>
      </w:r>
      <w:r w:rsidRPr="00375EDE">
        <w:rPr>
          <w:rFonts w:cs="Times New Roman"/>
          <w:lang w:val="fr-CA"/>
        </w:rPr>
        <w:t>elles sont en mesure de relever un quelconque intérêt public qui est servi par leurs actions. Pareil résultat vide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xml:space="preserve"> de sa conclusion centrale et permet aux organismes de réglementation provinciaux de faire obstacle aisément à l</w:t>
      </w:r>
      <w:r>
        <w:rPr>
          <w:rFonts w:cs="Times New Roman"/>
          <w:lang w:val="fr-CA"/>
        </w:rPr>
        <w:t>’</w:t>
      </w:r>
      <w:r w:rsidRPr="00375EDE">
        <w:rPr>
          <w:rFonts w:cs="Times New Roman"/>
          <w:lang w:val="fr-CA"/>
        </w:rPr>
        <w:t>objectif du Parlement d</w:t>
      </w:r>
      <w:r>
        <w:rPr>
          <w:rFonts w:cs="Times New Roman"/>
          <w:lang w:val="fr-CA"/>
        </w:rPr>
        <w:t>’</w:t>
      </w:r>
      <w:r w:rsidRPr="00375EDE">
        <w:rPr>
          <w:rFonts w:cs="Times New Roman"/>
          <w:lang w:val="fr-CA"/>
        </w:rPr>
        <w:t>instaurer un régime équitable de recouvrement des créances en matière de faillite au bénéfice de tous les créanciers.</w:t>
      </w:r>
    </w:p>
    <w:p w:rsidR="00DF13E5" w:rsidRPr="00375EDE" w:rsidRDefault="00DF13E5" w:rsidP="00DF13E5">
      <w:pPr>
        <w:pStyle w:val="ParaNoNdepar-AltN"/>
        <w:rPr>
          <w:rFonts w:cs="Times New Roman"/>
          <w:lang w:val="fr-CA"/>
        </w:rPr>
      </w:pPr>
      <w:r w:rsidRPr="00375EDE">
        <w:rPr>
          <w:rFonts w:cs="Times New Roman"/>
          <w:lang w:val="fr-CA"/>
        </w:rPr>
        <w:t>À mon avis, il ne suffit pas de noter simplement que les faits de l</w:t>
      </w:r>
      <w:r>
        <w:rPr>
          <w:rFonts w:cs="Times New Roman"/>
          <w:lang w:val="fr-CA"/>
        </w:rPr>
        <w:t>’</w:t>
      </w:r>
      <w:r w:rsidRPr="00375EDE">
        <w:rPr>
          <w:rFonts w:cs="Times New Roman"/>
          <w:lang w:val="fr-CA"/>
        </w:rPr>
        <w:t xml:space="preserve">affaire </w:t>
      </w:r>
      <w:r w:rsidRPr="00375EDE">
        <w:rPr>
          <w:rFonts w:cs="Times New Roman"/>
          <w:i/>
          <w:lang w:val="fr-CA"/>
        </w:rPr>
        <w:t xml:space="preserve">Abitibi </w:t>
      </w:r>
      <w:r w:rsidRPr="00375EDE">
        <w:rPr>
          <w:rFonts w:cs="Times New Roman"/>
          <w:lang w:val="fr-CA"/>
        </w:rPr>
        <w:t>diffèrent de ceux de l</w:t>
      </w:r>
      <w:r>
        <w:rPr>
          <w:rFonts w:cs="Times New Roman"/>
          <w:lang w:val="fr-CA"/>
        </w:rPr>
        <w:t>’</w:t>
      </w:r>
      <w:r w:rsidRPr="00375EDE">
        <w:rPr>
          <w:rFonts w:cs="Times New Roman"/>
          <w:lang w:val="fr-CA"/>
        </w:rPr>
        <w:t>espèce (motifs des juges majoritaires, par. 136). Les termes larges employés par la juge Deschamps pour formuler le premier volet du test n</w:t>
      </w:r>
      <w:r>
        <w:rPr>
          <w:rFonts w:cs="Times New Roman"/>
          <w:lang w:val="fr-CA"/>
        </w:rPr>
        <w:t>’</w:t>
      </w:r>
      <w:r w:rsidRPr="00375EDE">
        <w:rPr>
          <w:rFonts w:cs="Times New Roman"/>
          <w:lang w:val="fr-CA"/>
        </w:rPr>
        <w:t>étaient aucunement tributaires des faits propres à cette affaire. Elle a cherché à établir un cadre général clair indiquant dans quelles circonstances l</w:t>
      </w:r>
      <w:r>
        <w:rPr>
          <w:rFonts w:cs="Times New Roman"/>
          <w:lang w:val="fr-CA"/>
        </w:rPr>
        <w:t>’</w:t>
      </w:r>
      <w:r w:rsidRPr="00375EDE">
        <w:rPr>
          <w:rFonts w:cs="Times New Roman"/>
          <w:lang w:val="fr-CA"/>
        </w:rPr>
        <w:t xml:space="preserve">organisme de réglementation sera considéré comme un créancier, un cadre effectivement remanié dans les motifs de la majorité. </w:t>
      </w:r>
    </w:p>
    <w:p w:rsidR="00DF13E5" w:rsidRPr="00375EDE" w:rsidRDefault="00DF13E5" w:rsidP="00DF13E5">
      <w:pPr>
        <w:pStyle w:val="ParaNoNdepar-AltN"/>
        <w:rPr>
          <w:rFonts w:cs="Times New Roman"/>
          <w:lang w:val="fr-CA"/>
        </w:rPr>
      </w:pPr>
      <w:r w:rsidRPr="00375EDE">
        <w:rPr>
          <w:rFonts w:cs="Times New Roman"/>
          <w:lang w:val="fr-CA"/>
        </w:rPr>
        <w:t xml:space="preserve">En outre, il convient de souligner que, dans </w:t>
      </w:r>
      <w:r w:rsidRPr="00375EDE">
        <w:rPr>
          <w:rFonts w:cs="Times New Roman"/>
          <w:i/>
          <w:lang w:val="fr-CA"/>
        </w:rPr>
        <w:t>Moloney</w:t>
      </w:r>
      <w:r w:rsidRPr="00375EDE">
        <w:rPr>
          <w:rFonts w:cs="Times New Roman"/>
          <w:lang w:val="fr-CA"/>
        </w:rPr>
        <w:t>, la Cour a suivi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xml:space="preserve"> en appliquant la définition large de « créancier ». Dans cette affaire, la Cour a conclu que la province de l</w:t>
      </w:r>
      <w:r>
        <w:rPr>
          <w:rFonts w:cs="Times New Roman"/>
          <w:lang w:val="fr-CA"/>
        </w:rPr>
        <w:t>’</w:t>
      </w:r>
      <w:r w:rsidRPr="00375EDE">
        <w:rPr>
          <w:rFonts w:cs="Times New Roman"/>
          <w:lang w:val="fr-CA"/>
        </w:rPr>
        <w:t>Alberta agissait à titre de créancier même si la créance qu</w:t>
      </w:r>
      <w:r>
        <w:rPr>
          <w:rFonts w:cs="Times New Roman"/>
          <w:lang w:val="fr-CA"/>
        </w:rPr>
        <w:t>’</w:t>
      </w:r>
      <w:r w:rsidRPr="00375EDE">
        <w:rPr>
          <w:rFonts w:cs="Times New Roman"/>
          <w:lang w:val="fr-CA"/>
        </w:rPr>
        <w:t>elle cherchait à recouvrer était le remboursement d</w:t>
      </w:r>
      <w:r>
        <w:rPr>
          <w:rFonts w:cs="Times New Roman"/>
          <w:lang w:val="fr-CA"/>
        </w:rPr>
        <w:t>’</w:t>
      </w:r>
      <w:r w:rsidRPr="00375EDE">
        <w:rPr>
          <w:rFonts w:cs="Times New Roman"/>
          <w:lang w:val="fr-CA"/>
        </w:rPr>
        <w:t>une indemnité versée à une tierce partie blessée par le débiteur dans un accident de voiture (par. 55). Je ne vois pas en quoi il est possible d</w:t>
      </w:r>
      <w:r>
        <w:rPr>
          <w:rFonts w:cs="Times New Roman"/>
          <w:lang w:val="fr-CA"/>
        </w:rPr>
        <w:t>’</w:t>
      </w:r>
      <w:r w:rsidRPr="00375EDE">
        <w:rPr>
          <w:rFonts w:cs="Times New Roman"/>
          <w:lang w:val="fr-CA"/>
        </w:rPr>
        <w:t>établir quelque véritable distinction que ce soit entre cette situation et celle d</w:t>
      </w:r>
      <w:r>
        <w:rPr>
          <w:rFonts w:cs="Times New Roman"/>
          <w:lang w:val="fr-CA"/>
        </w:rPr>
        <w:t>’</w:t>
      </w:r>
      <w:r w:rsidRPr="00375EDE">
        <w:rPr>
          <w:rFonts w:cs="Times New Roman"/>
          <w:lang w:val="fr-CA"/>
        </w:rPr>
        <w:t>un organisme de réglementation qui chercherait à obtenir le remboursement des dépenses engagées pour réparer des dommages environnementaux causés au terrain d</w:t>
      </w:r>
      <w:r>
        <w:rPr>
          <w:rFonts w:cs="Times New Roman"/>
          <w:lang w:val="fr-CA"/>
        </w:rPr>
        <w:t>’</w:t>
      </w:r>
      <w:r w:rsidRPr="00375EDE">
        <w:rPr>
          <w:rFonts w:cs="Times New Roman"/>
          <w:lang w:val="fr-CA"/>
        </w:rPr>
        <w:t>un tiers par le débiteur.</w:t>
      </w:r>
    </w:p>
    <w:p w:rsidR="00DF13E5" w:rsidRPr="00375EDE" w:rsidRDefault="00DF13E5" w:rsidP="00DF13E5">
      <w:pPr>
        <w:pStyle w:val="ParaNoNdepar-AltN"/>
        <w:rPr>
          <w:rFonts w:cs="Times New Roman"/>
          <w:lang w:val="fr-CA"/>
        </w:rPr>
      </w:pPr>
      <w:r w:rsidRPr="00375EDE">
        <w:rPr>
          <w:rFonts w:cs="Times New Roman"/>
          <w:lang w:val="fr-CA"/>
        </w:rPr>
        <w:lastRenderedPageBreak/>
        <w:t>« [U]ne grande prudence s</w:t>
      </w:r>
      <w:r>
        <w:rPr>
          <w:rFonts w:cs="Times New Roman"/>
          <w:lang w:val="fr-CA"/>
        </w:rPr>
        <w:t>’</w:t>
      </w:r>
      <w:r w:rsidRPr="00375EDE">
        <w:rPr>
          <w:rFonts w:cs="Times New Roman"/>
          <w:lang w:val="fr-CA"/>
        </w:rPr>
        <w:t>impose » avant que notre Cour n</w:t>
      </w:r>
      <w:r>
        <w:rPr>
          <w:rFonts w:cs="Times New Roman"/>
          <w:lang w:val="fr-CA"/>
        </w:rPr>
        <w:t>’</w:t>
      </w:r>
      <w:r w:rsidRPr="00375EDE">
        <w:rPr>
          <w:rFonts w:cs="Times New Roman"/>
          <w:lang w:val="fr-CA"/>
        </w:rPr>
        <w:t>infirme ou n</w:t>
      </w:r>
      <w:r>
        <w:rPr>
          <w:rFonts w:cs="Times New Roman"/>
          <w:lang w:val="fr-CA"/>
        </w:rPr>
        <w:t>’</w:t>
      </w:r>
      <w:r w:rsidRPr="00375EDE">
        <w:rPr>
          <w:rFonts w:cs="Times New Roman"/>
          <w:lang w:val="fr-CA"/>
        </w:rPr>
        <w:t>écarte l</w:t>
      </w:r>
      <w:r>
        <w:rPr>
          <w:rFonts w:cs="Times New Roman"/>
          <w:lang w:val="fr-CA"/>
        </w:rPr>
        <w:t>’</w:t>
      </w:r>
      <w:r w:rsidRPr="00375EDE">
        <w:rPr>
          <w:rFonts w:cs="Times New Roman"/>
          <w:lang w:val="fr-CA"/>
        </w:rPr>
        <w:t>un de ses précédents (</w:t>
      </w:r>
      <w:r w:rsidRPr="00375EDE">
        <w:rPr>
          <w:rFonts w:cs="Times New Roman"/>
          <w:i/>
          <w:lang w:val="fr-CA"/>
        </w:rPr>
        <w:t>Teva Canada Ltée c. TD Canada Trust</w:t>
      </w:r>
      <w:r w:rsidRPr="00375EDE">
        <w:rPr>
          <w:rFonts w:cs="Times New Roman"/>
          <w:lang w:val="fr-CA"/>
        </w:rPr>
        <w:t>, 2017 CSC 51, [2017] 2 R.C.S. 317, par. 65). Cette étape ne peut être accomplie « à la légère » (</w:t>
      </w:r>
      <w:r w:rsidRPr="00375EDE">
        <w:rPr>
          <w:rFonts w:cs="Times New Roman"/>
          <w:i/>
          <w:lang w:val="fr-CA"/>
        </w:rPr>
        <w:t>Canada c. Craig</w:t>
      </w:r>
      <w:r w:rsidRPr="00375EDE">
        <w:rPr>
          <w:rFonts w:cs="Times New Roman"/>
          <w:lang w:val="fr-CA"/>
        </w:rPr>
        <w:t>, 2012 CSC 43, [2012] 2 R.C.S. 489, par. 24). Pour ce faire, la Cour doit « être convaincue, pour des raisons impérieuses, que la décision est erronée et qu</w:t>
      </w:r>
      <w:r>
        <w:rPr>
          <w:rFonts w:cs="Times New Roman"/>
          <w:lang w:val="fr-CA"/>
        </w:rPr>
        <w:t>’</w:t>
      </w:r>
      <w:r w:rsidRPr="00375EDE">
        <w:rPr>
          <w:rFonts w:cs="Times New Roman"/>
          <w:lang w:val="fr-CA"/>
        </w:rPr>
        <w:t>elle devrait être écartée » (</w:t>
      </w:r>
      <w:r w:rsidRPr="00375EDE">
        <w:rPr>
          <w:rFonts w:cs="Times New Roman"/>
          <w:i/>
          <w:lang w:val="fr-CA"/>
        </w:rPr>
        <w:t>Craig</w:t>
      </w:r>
      <w:r w:rsidRPr="00375EDE">
        <w:rPr>
          <w:rFonts w:cs="Times New Roman"/>
          <w:lang w:val="fr-CA"/>
        </w:rPr>
        <w:t xml:space="preserve">, par. 25; voir aussi </w:t>
      </w:r>
      <w:r w:rsidRPr="00375EDE">
        <w:rPr>
          <w:rFonts w:cs="Times New Roman"/>
          <w:i/>
          <w:lang w:val="fr-CA"/>
        </w:rPr>
        <w:t>Teva</w:t>
      </w:r>
      <w:r w:rsidRPr="00375EDE">
        <w:rPr>
          <w:rFonts w:cs="Times New Roman"/>
          <w:lang w:val="fr-CA"/>
        </w:rPr>
        <w:t>, par. 65). Il y de bonnes raisons qui, clairement, justifient de prendre une telle précaution, à savoir assurer « la certitude, la cohérence et la légitimité institutionnelle » et reconnaître que « le public s</w:t>
      </w:r>
      <w:r>
        <w:rPr>
          <w:rFonts w:cs="Times New Roman"/>
          <w:lang w:val="fr-CA"/>
        </w:rPr>
        <w:t>’</w:t>
      </w:r>
      <w:r w:rsidRPr="00375EDE">
        <w:rPr>
          <w:rFonts w:cs="Times New Roman"/>
          <w:lang w:val="fr-CA"/>
        </w:rPr>
        <w:t>attend à ce que nous respections scrupuleusement nos précédents » (</w:t>
      </w:r>
      <w:r w:rsidRPr="00375EDE">
        <w:rPr>
          <w:rFonts w:cs="Times New Roman"/>
          <w:i/>
          <w:lang w:val="fr-CA"/>
        </w:rPr>
        <w:t>Teva</w:t>
      </w:r>
      <w:r w:rsidRPr="00375EDE">
        <w:rPr>
          <w:rFonts w:cs="Times New Roman"/>
          <w:lang w:val="fr-CA"/>
        </w:rPr>
        <w:t>, par. 65). Lorsque la Cour juge nécessaire de s</w:t>
      </w:r>
      <w:r>
        <w:rPr>
          <w:rFonts w:cs="Times New Roman"/>
          <w:lang w:val="fr-CA"/>
        </w:rPr>
        <w:t>’</w:t>
      </w:r>
      <w:r w:rsidRPr="00375EDE">
        <w:rPr>
          <w:rFonts w:cs="Times New Roman"/>
          <w:lang w:val="fr-CA"/>
        </w:rPr>
        <w:t>écarter de l</w:t>
      </w:r>
      <w:r>
        <w:rPr>
          <w:rFonts w:cs="Times New Roman"/>
          <w:lang w:val="fr-CA"/>
        </w:rPr>
        <w:t>’</w:t>
      </w:r>
      <w:r w:rsidRPr="00375EDE">
        <w:rPr>
          <w:rFonts w:cs="Times New Roman"/>
          <w:lang w:val="fr-CA"/>
        </w:rPr>
        <w:t>un de ses précédents, sa décision et ce qui la motive devraient être clairs.</w:t>
      </w:r>
    </w:p>
    <w:p w:rsidR="00DF13E5" w:rsidRPr="00375EDE" w:rsidRDefault="00DF13E5" w:rsidP="00DF13E5">
      <w:pPr>
        <w:pStyle w:val="ParaNoNdepar-AltN"/>
        <w:rPr>
          <w:rFonts w:cs="Times New Roman"/>
          <w:lang w:val="fr-CA"/>
        </w:rPr>
      </w:pPr>
      <w:r w:rsidRPr="00375EDE">
        <w:rPr>
          <w:rFonts w:cs="Times New Roman"/>
          <w:lang w:val="fr-CA"/>
        </w:rPr>
        <w:t>Malgré ces mises en garde claires contre l</w:t>
      </w:r>
      <w:r>
        <w:rPr>
          <w:rFonts w:cs="Times New Roman"/>
          <w:lang w:val="fr-CA"/>
        </w:rPr>
        <w:t>’</w:t>
      </w:r>
      <w:r w:rsidRPr="00375EDE">
        <w:rPr>
          <w:rFonts w:cs="Times New Roman"/>
          <w:lang w:val="fr-CA"/>
        </w:rPr>
        <w:t>idée pour la Cour d</w:t>
      </w:r>
      <w:r>
        <w:rPr>
          <w:rFonts w:cs="Times New Roman"/>
          <w:lang w:val="fr-CA"/>
        </w:rPr>
        <w:t>’</w:t>
      </w:r>
      <w:r w:rsidRPr="00375EDE">
        <w:rPr>
          <w:rFonts w:cs="Times New Roman"/>
          <w:lang w:val="fr-CA"/>
        </w:rPr>
        <w:t>écarter trop aisément ses propres précédents, c</w:t>
      </w:r>
      <w:r>
        <w:rPr>
          <w:rFonts w:cs="Times New Roman"/>
          <w:lang w:val="fr-CA"/>
        </w:rPr>
        <w:t>’</w:t>
      </w:r>
      <w:r w:rsidRPr="00375EDE">
        <w:rPr>
          <w:rFonts w:cs="Times New Roman"/>
          <w:lang w:val="fr-CA"/>
        </w:rPr>
        <w:t>est précisément ce que les juges majoritaires proposent de faire en l</w:t>
      </w:r>
      <w:r>
        <w:rPr>
          <w:rFonts w:cs="Times New Roman"/>
          <w:lang w:val="fr-CA"/>
        </w:rPr>
        <w:t>’</w:t>
      </w:r>
      <w:r w:rsidRPr="00375EDE">
        <w:rPr>
          <w:rFonts w:cs="Times New Roman"/>
          <w:lang w:val="fr-CA"/>
        </w:rPr>
        <w:t>espèce. Leur approche revient, dans les faits, à infirmer la définition sans équivoque de « créancier » énoncée dans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xml:space="preserve"> — une décision réfléchie rendue par les juges majoritaires de la Cour il y a six ans à peine. En plus de ne fournir aucune raison impérieuse qui expliquerait en quoi la définition claire de la juge Deschamps est erronée, les juges majoritaires, dans leurs motifs, ne reconnaissent pas qu</w:t>
      </w:r>
      <w:r>
        <w:rPr>
          <w:rFonts w:cs="Times New Roman"/>
          <w:lang w:val="fr-CA"/>
        </w:rPr>
        <w:t>’</w:t>
      </w:r>
      <w:r w:rsidRPr="00375EDE">
        <w:rPr>
          <w:rFonts w:cs="Times New Roman"/>
          <w:lang w:val="fr-CA"/>
        </w:rPr>
        <w:t>ils écartent une décision récente de la Cour et rejettent la proposition que c</w:t>
      </w:r>
      <w:r>
        <w:rPr>
          <w:rFonts w:cs="Times New Roman"/>
          <w:lang w:val="fr-CA"/>
        </w:rPr>
        <w:t>’</w:t>
      </w:r>
      <w:r w:rsidRPr="00375EDE">
        <w:rPr>
          <w:rFonts w:cs="Times New Roman"/>
          <w:lang w:val="fr-CA"/>
        </w:rPr>
        <w:t>est là l</w:t>
      </w:r>
      <w:r>
        <w:rPr>
          <w:rFonts w:cs="Times New Roman"/>
          <w:lang w:val="fr-CA"/>
        </w:rPr>
        <w:t>’</w:t>
      </w:r>
      <w:r w:rsidRPr="00375EDE">
        <w:rPr>
          <w:rFonts w:cs="Times New Roman"/>
          <w:lang w:val="fr-CA"/>
        </w:rPr>
        <w:t>incidence de leur raisonnement (par. 136). Qui plus est, ils ont pris leur décision en l</w:t>
      </w:r>
      <w:r>
        <w:rPr>
          <w:rFonts w:cs="Times New Roman"/>
          <w:lang w:val="fr-CA"/>
        </w:rPr>
        <w:t>’</w:t>
      </w:r>
      <w:r w:rsidRPr="00375EDE">
        <w:rPr>
          <w:rFonts w:cs="Times New Roman"/>
          <w:lang w:val="fr-CA"/>
        </w:rPr>
        <w:t>absence d</w:t>
      </w:r>
      <w:r>
        <w:rPr>
          <w:rFonts w:cs="Times New Roman"/>
          <w:lang w:val="fr-CA"/>
        </w:rPr>
        <w:t>’</w:t>
      </w:r>
      <w:r w:rsidRPr="00375EDE">
        <w:rPr>
          <w:rFonts w:cs="Times New Roman"/>
          <w:lang w:val="fr-CA"/>
        </w:rPr>
        <w:t>observations complètes et étoffées à ce sujet. Adopter une telle approche à l</w:t>
      </w:r>
      <w:r>
        <w:rPr>
          <w:rFonts w:cs="Times New Roman"/>
          <w:lang w:val="fr-CA"/>
        </w:rPr>
        <w:t>’</w:t>
      </w:r>
      <w:r w:rsidRPr="00375EDE">
        <w:rPr>
          <w:rFonts w:cs="Times New Roman"/>
          <w:lang w:val="fr-CA"/>
        </w:rPr>
        <w:t>égard de nos propres précédents ne permet pas d</w:t>
      </w:r>
      <w:r>
        <w:rPr>
          <w:rFonts w:cs="Times New Roman"/>
          <w:lang w:val="fr-CA"/>
        </w:rPr>
        <w:t>’</w:t>
      </w:r>
      <w:r w:rsidRPr="00375EDE">
        <w:rPr>
          <w:rFonts w:cs="Times New Roman"/>
          <w:lang w:val="fr-CA"/>
        </w:rPr>
        <w:t>atteindre les objectifs de certitude, de cohérence ou de légitimité institutionnelle.</w:t>
      </w:r>
    </w:p>
    <w:p w:rsidR="00DF13E5" w:rsidRPr="00375EDE" w:rsidRDefault="00DF13E5" w:rsidP="00DF13E5">
      <w:pPr>
        <w:pStyle w:val="ParaNoNdepar-AltN"/>
        <w:rPr>
          <w:rFonts w:cs="Times New Roman"/>
          <w:lang w:val="fr-CA"/>
        </w:rPr>
      </w:pPr>
      <w:r w:rsidRPr="00375EDE">
        <w:rPr>
          <w:rFonts w:cs="Times New Roman"/>
          <w:lang w:val="fr-CA"/>
        </w:rPr>
        <w:lastRenderedPageBreak/>
        <w:t>La Cour devrait continuer d</w:t>
      </w:r>
      <w:r>
        <w:rPr>
          <w:rFonts w:cs="Times New Roman"/>
          <w:lang w:val="fr-CA"/>
        </w:rPr>
        <w:t>’</w:t>
      </w:r>
      <w:r w:rsidRPr="00375EDE">
        <w:rPr>
          <w:rFonts w:cs="Times New Roman"/>
          <w:lang w:val="fr-CA"/>
        </w:rPr>
        <w:t>appliquer l</w:t>
      </w:r>
      <w:r>
        <w:rPr>
          <w:rFonts w:cs="Times New Roman"/>
          <w:lang w:val="fr-CA"/>
        </w:rPr>
        <w:t>’</w:t>
      </w:r>
      <w:r w:rsidRPr="00375EDE">
        <w:rPr>
          <w:rFonts w:cs="Times New Roman"/>
          <w:lang w:val="fr-CA"/>
        </w:rPr>
        <w:t>analyse relative au « créancier » telle qu</w:t>
      </w:r>
      <w:r>
        <w:rPr>
          <w:rFonts w:cs="Times New Roman"/>
          <w:lang w:val="fr-CA"/>
        </w:rPr>
        <w:t>’</w:t>
      </w:r>
      <w:r w:rsidRPr="00375EDE">
        <w:rPr>
          <w:rFonts w:cs="Times New Roman"/>
          <w:lang w:val="fr-CA"/>
        </w:rPr>
        <w:t>elle a été clairement formulée dans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La définition de la juge Deschamps empêche les organismes de réglementation provinciaux de s</w:t>
      </w:r>
      <w:r>
        <w:rPr>
          <w:rFonts w:cs="Times New Roman"/>
          <w:lang w:val="fr-CA"/>
        </w:rPr>
        <w:t>’</w:t>
      </w:r>
      <w:r w:rsidRPr="00375EDE">
        <w:rPr>
          <w:rFonts w:cs="Times New Roman"/>
          <w:lang w:val="fr-CA"/>
        </w:rPr>
        <w:t>approprier facilement un rang supérieur en matière de faillite et de saper le régime de priorité du Parlement. Cette définition favorise l</w:t>
      </w:r>
      <w:r>
        <w:rPr>
          <w:rFonts w:cs="Times New Roman"/>
          <w:lang w:val="fr-CA"/>
        </w:rPr>
        <w:t>’</w:t>
      </w:r>
      <w:r w:rsidRPr="00375EDE">
        <w:rPr>
          <w:rFonts w:cs="Times New Roman"/>
          <w:lang w:val="fr-CA"/>
        </w:rPr>
        <w:t>atteinte des objectifs d</w:t>
      </w:r>
      <w:r>
        <w:rPr>
          <w:rFonts w:cs="Times New Roman"/>
          <w:lang w:val="fr-CA"/>
        </w:rPr>
        <w:t>’</w:t>
      </w:r>
      <w:r w:rsidRPr="00375EDE">
        <w:rPr>
          <w:rFonts w:cs="Times New Roman"/>
          <w:lang w:val="fr-CA"/>
        </w:rPr>
        <w:t>ordre et d</w:t>
      </w:r>
      <w:r>
        <w:rPr>
          <w:rFonts w:cs="Times New Roman"/>
          <w:lang w:val="fr-CA"/>
        </w:rPr>
        <w:t>’</w:t>
      </w:r>
      <w:r w:rsidRPr="00375EDE">
        <w:rPr>
          <w:rFonts w:cs="Times New Roman"/>
          <w:lang w:val="fr-CA"/>
        </w:rPr>
        <w:t>équité dans les procédures d</w:t>
      </w:r>
      <w:r>
        <w:rPr>
          <w:rFonts w:cs="Times New Roman"/>
          <w:lang w:val="fr-CA"/>
        </w:rPr>
        <w:t>’</w:t>
      </w:r>
      <w:r w:rsidRPr="00375EDE">
        <w:rPr>
          <w:rFonts w:cs="Times New Roman"/>
          <w:lang w:val="fr-CA"/>
        </w:rPr>
        <w:t>insolvabilité. Suivant ce critère général, l</w:t>
      </w:r>
      <w:r>
        <w:rPr>
          <w:rFonts w:cs="Times New Roman"/>
          <w:lang w:val="fr-CA"/>
        </w:rPr>
        <w:t>’</w:t>
      </w:r>
      <w:r w:rsidRPr="00375EDE">
        <w:rPr>
          <w:rFonts w:cs="Times New Roman"/>
          <w:lang w:val="fr-CA"/>
        </w:rPr>
        <w:t>AER a clairement agi comme créancier relativement à l</w:t>
      </w:r>
      <w:r>
        <w:rPr>
          <w:rFonts w:cs="Times New Roman"/>
          <w:lang w:val="fr-CA"/>
        </w:rPr>
        <w:t>’</w:t>
      </w:r>
      <w:r w:rsidRPr="00375EDE">
        <w:rPr>
          <w:rFonts w:cs="Times New Roman"/>
          <w:lang w:val="fr-CA"/>
        </w:rPr>
        <w:t>actif de Redwater, et c</w:t>
      </w:r>
      <w:r>
        <w:rPr>
          <w:rFonts w:cs="Times New Roman"/>
          <w:lang w:val="fr-CA"/>
        </w:rPr>
        <w:t>’</w:t>
      </w:r>
      <w:r w:rsidRPr="00375EDE">
        <w:rPr>
          <w:rFonts w:cs="Times New Roman"/>
          <w:lang w:val="fr-CA"/>
        </w:rPr>
        <w:t>est probablement pour cette raison qu</w:t>
      </w:r>
      <w:r>
        <w:rPr>
          <w:rFonts w:cs="Times New Roman"/>
          <w:lang w:val="fr-CA"/>
        </w:rPr>
        <w:t>’</w:t>
      </w:r>
      <w:r w:rsidRPr="00375EDE">
        <w:rPr>
          <w:rFonts w:cs="Times New Roman"/>
          <w:lang w:val="fr-CA"/>
        </w:rPr>
        <w:t>il a concédé ce point devant les deux tribunaux d</w:t>
      </w:r>
      <w:r>
        <w:rPr>
          <w:rFonts w:cs="Times New Roman"/>
          <w:lang w:val="fr-CA"/>
        </w:rPr>
        <w:t>’</w:t>
      </w:r>
      <w:r w:rsidRPr="00375EDE">
        <w:rPr>
          <w:rFonts w:cs="Times New Roman"/>
          <w:lang w:val="fr-CA"/>
        </w:rPr>
        <w:t>instance inférieure.</w:t>
      </w:r>
    </w:p>
    <w:p w:rsidR="00DF13E5" w:rsidRPr="00375EDE" w:rsidRDefault="00DF13E5" w:rsidP="00DF13E5">
      <w:pPr>
        <w:pStyle w:val="ParaNoNdepar-AltN"/>
        <w:rPr>
          <w:rFonts w:cs="Times New Roman"/>
          <w:lang w:val="fr-CA"/>
        </w:rPr>
      </w:pPr>
      <w:r w:rsidRPr="00375EDE">
        <w:rPr>
          <w:rFonts w:cs="Times New Roman"/>
          <w:lang w:val="fr-CA"/>
        </w:rPr>
        <w:t>Puisque personne ne conteste qu</w:t>
      </w:r>
      <w:r>
        <w:rPr>
          <w:rFonts w:cs="Times New Roman"/>
          <w:lang w:val="fr-CA"/>
        </w:rPr>
        <w:t>’</w:t>
      </w:r>
      <w:r w:rsidRPr="00375EDE">
        <w:rPr>
          <w:rFonts w:cs="Times New Roman"/>
          <w:lang w:val="fr-CA"/>
        </w:rPr>
        <w:t xml:space="preserve">il est satisfait au second volet du test </w:t>
      </w:r>
      <w:r w:rsidRPr="00375EDE">
        <w:rPr>
          <w:rFonts w:cs="Times New Roman"/>
          <w:i/>
          <w:lang w:val="fr-CA"/>
        </w:rPr>
        <w:t>Abitibi</w:t>
      </w:r>
      <w:r w:rsidRPr="00375EDE">
        <w:rPr>
          <w:rFonts w:cs="Times New Roman"/>
          <w:lang w:val="fr-CA"/>
        </w:rPr>
        <w:t>, je passe maintenant au troisième volet, qui pose la question de savoir s</w:t>
      </w:r>
      <w:r>
        <w:rPr>
          <w:rFonts w:cs="Times New Roman"/>
          <w:lang w:val="fr-CA"/>
        </w:rPr>
        <w:t>’</w:t>
      </w:r>
      <w:r w:rsidRPr="00375EDE">
        <w:rPr>
          <w:rFonts w:cs="Times New Roman"/>
          <w:lang w:val="fr-CA"/>
        </w:rPr>
        <w:t>il est suffisamment certain que l</w:t>
      </w:r>
      <w:r>
        <w:rPr>
          <w:rFonts w:cs="Times New Roman"/>
          <w:lang w:val="fr-CA"/>
        </w:rPr>
        <w:t>’</w:t>
      </w:r>
      <w:r w:rsidRPr="00375EDE">
        <w:rPr>
          <w:rFonts w:cs="Times New Roman"/>
          <w:lang w:val="fr-CA"/>
        </w:rPr>
        <w:t>organisme de réglementation exécutera les travaux et présentera une demande de remboursement. Comme l</w:t>
      </w:r>
      <w:r>
        <w:rPr>
          <w:rFonts w:cs="Times New Roman"/>
          <w:lang w:val="fr-CA"/>
        </w:rPr>
        <w:t>’</w:t>
      </w:r>
      <w:r w:rsidRPr="00375EDE">
        <w:rPr>
          <w:rFonts w:cs="Times New Roman"/>
          <w:lang w:val="fr-CA"/>
        </w:rPr>
        <w:t>explique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dans le contexte d</w:t>
      </w:r>
      <w:r>
        <w:rPr>
          <w:rFonts w:cs="Times New Roman"/>
          <w:lang w:val="fr-CA"/>
        </w:rPr>
        <w:t>’</w:t>
      </w:r>
      <w:r w:rsidRPr="00375EDE">
        <w:rPr>
          <w:rFonts w:cs="Times New Roman"/>
          <w:lang w:val="fr-CA"/>
        </w:rPr>
        <w:t>une ordonnance environnementale :</w:t>
      </w:r>
    </w:p>
    <w:p w:rsidR="00DF13E5" w:rsidRPr="00375EDE" w:rsidRDefault="00DF13E5" w:rsidP="00DF13E5">
      <w:pPr>
        <w:pStyle w:val="Citation-AltC"/>
        <w:spacing w:after="240"/>
        <w:ind w:hanging="1166"/>
        <w:contextualSpacing w:val="0"/>
        <w:rPr>
          <w:lang w:val="fr-CA"/>
        </w:rPr>
      </w:pPr>
      <w:r w:rsidRPr="00375EDE">
        <w:rPr>
          <w:lang w:val="fr-CA"/>
        </w:rPr>
        <w:tab/>
      </w:r>
      <w:r w:rsidRPr="00375EDE">
        <w:rPr>
          <w:lang w:val="fr-CA"/>
        </w:rPr>
        <w:tab/>
        <w:t>En ce qui concerne la troisième condition, soit qu</w:t>
      </w:r>
      <w:r>
        <w:rPr>
          <w:lang w:val="fr-CA"/>
        </w:rPr>
        <w:t>’</w:t>
      </w:r>
      <w:r w:rsidRPr="00375EDE">
        <w:rPr>
          <w:lang w:val="fr-CA"/>
        </w:rPr>
        <w:t>il doit être possible d</w:t>
      </w:r>
      <w:r>
        <w:rPr>
          <w:lang w:val="fr-CA"/>
        </w:rPr>
        <w:t>’</w:t>
      </w:r>
      <w:r w:rsidRPr="00375EDE">
        <w:rPr>
          <w:lang w:val="fr-CA"/>
        </w:rPr>
        <w:t>attribuer à l</w:t>
      </w:r>
      <w:r>
        <w:rPr>
          <w:lang w:val="fr-CA"/>
        </w:rPr>
        <w:t>’</w:t>
      </w:r>
      <w:r w:rsidRPr="00375EDE">
        <w:rPr>
          <w:lang w:val="fr-CA"/>
        </w:rPr>
        <w:t>obligation une valeur pécuniaire, la question est de savoir si des ordonnances qui ne sont pas formulées en termes pécuniaires peuvent être formulées en de tels termes. Je souligne que lorsqu</w:t>
      </w:r>
      <w:r>
        <w:rPr>
          <w:lang w:val="fr-CA"/>
        </w:rPr>
        <w:t>’</w:t>
      </w:r>
      <w:r w:rsidRPr="00375EDE">
        <w:rPr>
          <w:lang w:val="fr-CA"/>
        </w:rPr>
        <w:t>un organisme administratif réclame une somme qui est due à la date pertinente, il formule ainsi son ordonnance en termes pécuniaires. Le tribunal n</w:t>
      </w:r>
      <w:r>
        <w:rPr>
          <w:lang w:val="fr-CA"/>
        </w:rPr>
        <w:t>’</w:t>
      </w:r>
      <w:r w:rsidRPr="00375EDE">
        <w:rPr>
          <w:lang w:val="fr-CA"/>
        </w:rPr>
        <w:t>a alors aucune détermination à faire à cette étape car ce qui est réclamé est une « dette » et est, par conséquent, clairement visé par la définition d</w:t>
      </w:r>
      <w:r>
        <w:rPr>
          <w:lang w:val="fr-CA"/>
        </w:rPr>
        <w:t>’</w:t>
      </w:r>
      <w:r w:rsidRPr="00375EDE">
        <w:rPr>
          <w:lang w:val="fr-CA"/>
        </w:rPr>
        <w:t xml:space="preserve">une « réclamation » prévue au par. 12(1) de la </w:t>
      </w:r>
      <w:r w:rsidRPr="00375EDE">
        <w:rPr>
          <w:i/>
          <w:lang w:val="fr-CA"/>
        </w:rPr>
        <w:t>LACC</w:t>
      </w:r>
      <w:r w:rsidRPr="00375EDE">
        <w:rPr>
          <w:lang w:val="fr-CA"/>
        </w:rPr>
        <w:t>.</w:t>
      </w:r>
    </w:p>
    <w:p w:rsidR="00DF13E5" w:rsidRPr="00375EDE" w:rsidRDefault="007A584A" w:rsidP="00DF13E5">
      <w:pPr>
        <w:pStyle w:val="Citation-AltC"/>
        <w:spacing w:after="240"/>
        <w:ind w:hanging="1166"/>
        <w:contextualSpacing w:val="0"/>
        <w:jc w:val="center"/>
        <w:rPr>
          <w:lang w:val="fr-CA"/>
        </w:rPr>
      </w:pPr>
      <w:r>
        <w:rPr>
          <w:lang w:val="fr-CA"/>
        </w:rPr>
        <w:t>. . .</w:t>
      </w:r>
    </w:p>
    <w:p w:rsidR="00DF13E5" w:rsidRPr="00375EDE" w:rsidRDefault="00DF13E5" w:rsidP="00DF13E5">
      <w:pPr>
        <w:pStyle w:val="Citation-AltC"/>
        <w:ind w:hanging="1166"/>
        <w:contextualSpacing w:val="0"/>
        <w:rPr>
          <w:lang w:val="fr-CA"/>
        </w:rPr>
      </w:pPr>
      <w:r w:rsidRPr="00375EDE">
        <w:rPr>
          <w:lang w:val="fr-CA"/>
        </w:rPr>
        <w:tab/>
      </w:r>
      <w:r w:rsidRPr="00375EDE">
        <w:rPr>
          <w:lang w:val="fr-CA"/>
        </w:rPr>
        <w:tab/>
        <w:t>Le critère retenu par les tribunaux pour décider si une réclamation éventuelle sera incluse dans le processus d</w:t>
      </w:r>
      <w:r>
        <w:rPr>
          <w:lang w:val="fr-CA"/>
        </w:rPr>
        <w:t>’</w:t>
      </w:r>
      <w:r w:rsidRPr="00375EDE">
        <w:rPr>
          <w:lang w:val="fr-CA"/>
        </w:rPr>
        <w:t>insolvabilité est celui qui consiste à déterminer si l</w:t>
      </w:r>
      <w:r>
        <w:rPr>
          <w:lang w:val="fr-CA"/>
        </w:rPr>
        <w:t>’</w:t>
      </w:r>
      <w:r w:rsidRPr="00375EDE">
        <w:rPr>
          <w:lang w:val="fr-CA"/>
        </w:rPr>
        <w:t>événement non encore survenu est trop éloigné ou conjectural (</w:t>
      </w:r>
      <w:r w:rsidRPr="00375EDE">
        <w:rPr>
          <w:i/>
          <w:iCs/>
          <w:lang w:val="fr-CA"/>
        </w:rPr>
        <w:t xml:space="preserve">Confederation Treasury Service Ltd. (Bankrupt), Re </w:t>
      </w:r>
      <w:r w:rsidRPr="00375EDE">
        <w:rPr>
          <w:lang w:val="fr-CA"/>
        </w:rPr>
        <w:t>(1997), 96 O.A.C. 75). Dans le contexte d</w:t>
      </w:r>
      <w:r>
        <w:rPr>
          <w:lang w:val="fr-CA"/>
        </w:rPr>
        <w:t>’</w:t>
      </w:r>
      <w:r w:rsidRPr="00375EDE">
        <w:rPr>
          <w:lang w:val="fr-CA"/>
        </w:rPr>
        <w:t>une ordonnance environnementale, cela signifie qu</w:t>
      </w:r>
      <w:r>
        <w:rPr>
          <w:lang w:val="fr-CA"/>
        </w:rPr>
        <w:t>’</w:t>
      </w:r>
      <w:r w:rsidRPr="00375EDE">
        <w:rPr>
          <w:u w:val="single"/>
          <w:lang w:val="fr-CA"/>
        </w:rPr>
        <w:t>il doit y avoir des indications suffisantes permettant de conclure que l</w:t>
      </w:r>
      <w:r>
        <w:rPr>
          <w:u w:val="single"/>
          <w:lang w:val="fr-CA"/>
        </w:rPr>
        <w:t>’</w:t>
      </w:r>
      <w:r w:rsidRPr="00375EDE">
        <w:rPr>
          <w:u w:val="single"/>
          <w:lang w:val="fr-CA"/>
        </w:rPr>
        <w:t>organisme administratif qui a eu recours aux mécanismes d</w:t>
      </w:r>
      <w:r>
        <w:rPr>
          <w:u w:val="single"/>
          <w:lang w:val="fr-CA"/>
        </w:rPr>
        <w:t>’</w:t>
      </w:r>
      <w:r w:rsidRPr="00375EDE">
        <w:rPr>
          <w:u w:val="single"/>
          <w:lang w:val="fr-CA"/>
        </w:rPr>
        <w:t xml:space="preserve">application de la loi effectuera en fin de compte </w:t>
      </w:r>
      <w:r w:rsidRPr="00375EDE">
        <w:rPr>
          <w:u w:val="single"/>
          <w:lang w:val="fr-CA"/>
        </w:rPr>
        <w:lastRenderedPageBreak/>
        <w:t>des travaux de décontamination et présentera une réclamation pécuniaire afin d</w:t>
      </w:r>
      <w:r>
        <w:rPr>
          <w:u w:val="single"/>
          <w:lang w:val="fr-CA"/>
        </w:rPr>
        <w:t>’</w:t>
      </w:r>
      <w:r w:rsidRPr="00375EDE">
        <w:rPr>
          <w:u w:val="single"/>
          <w:lang w:val="fr-CA"/>
        </w:rPr>
        <w:t>obtenir le remboursement de ses débours. Si cela est suffisamment certain, le tribunal conclura que l</w:t>
      </w:r>
      <w:r>
        <w:rPr>
          <w:u w:val="single"/>
          <w:lang w:val="fr-CA"/>
        </w:rPr>
        <w:t>’</w:t>
      </w:r>
      <w:r w:rsidRPr="00375EDE">
        <w:rPr>
          <w:u w:val="single"/>
          <w:lang w:val="fr-CA"/>
        </w:rPr>
        <w:t>ordonnance peut être assujettie au processus d</w:t>
      </w:r>
      <w:r>
        <w:rPr>
          <w:u w:val="single"/>
          <w:lang w:val="fr-CA"/>
        </w:rPr>
        <w:t>’</w:t>
      </w:r>
      <w:r w:rsidRPr="00375EDE">
        <w:rPr>
          <w:u w:val="single"/>
          <w:lang w:val="fr-CA"/>
        </w:rPr>
        <w:t>insolvabilité</w:t>
      </w:r>
      <w:r w:rsidRPr="00422DD4">
        <w:rPr>
          <w:u w:val="single"/>
          <w:lang w:val="fr-CA"/>
        </w:rPr>
        <w:t>.</w:t>
      </w:r>
      <w:r w:rsidRPr="00375EDE">
        <w:rPr>
          <w:lang w:val="fr-CA"/>
        </w:rPr>
        <w:t xml:space="preserve"> [Je souligne; par. 30 et 36]</w:t>
      </w:r>
    </w:p>
    <w:p w:rsidR="00DF13E5" w:rsidRPr="00375EDE" w:rsidRDefault="00DF13E5" w:rsidP="00DF13E5">
      <w:pPr>
        <w:pStyle w:val="ParaNoNdepar-AltN"/>
        <w:rPr>
          <w:rFonts w:cs="Times New Roman"/>
          <w:lang w:val="fr-CA"/>
        </w:rPr>
      </w:pPr>
      <w:r w:rsidRPr="00375EDE">
        <w:rPr>
          <w:rFonts w:cs="Times New Roman"/>
          <w:lang w:val="fr-CA"/>
        </w:rPr>
        <w:t>À mon avis, il est suffisamment certain que l</w:t>
      </w:r>
      <w:r>
        <w:rPr>
          <w:rFonts w:cs="Times New Roman"/>
          <w:lang w:val="fr-CA"/>
        </w:rPr>
        <w:t>’</w:t>
      </w:r>
      <w:r w:rsidRPr="00375EDE">
        <w:rPr>
          <w:rFonts w:cs="Times New Roman"/>
          <w:lang w:val="fr-CA"/>
        </w:rPr>
        <w:t>AER ou l</w:t>
      </w:r>
      <w:r>
        <w:rPr>
          <w:rFonts w:cs="Times New Roman"/>
          <w:lang w:val="fr-CA"/>
        </w:rPr>
        <w:t>’</w:t>
      </w:r>
      <w:r w:rsidRPr="00375EDE">
        <w:rPr>
          <w:rFonts w:cs="Times New Roman"/>
          <w:lang w:val="fr-CA"/>
        </w:rPr>
        <w:t>OWA effectuera ultimement les travaux d</w:t>
      </w:r>
      <w:r>
        <w:rPr>
          <w:rFonts w:cs="Times New Roman"/>
          <w:lang w:val="fr-CA"/>
        </w:rPr>
        <w:t>’</w:t>
      </w:r>
      <w:r w:rsidRPr="00375EDE">
        <w:rPr>
          <w:rFonts w:cs="Times New Roman"/>
          <w:lang w:val="fr-CA"/>
        </w:rPr>
        <w:t>abandon et de remise en état et fera valoir une réclamation pécuniaire afin d</w:t>
      </w:r>
      <w:r>
        <w:rPr>
          <w:rFonts w:cs="Times New Roman"/>
          <w:lang w:val="fr-CA"/>
        </w:rPr>
        <w:t>’</w:t>
      </w:r>
      <w:r w:rsidRPr="00375EDE">
        <w:rPr>
          <w:rFonts w:cs="Times New Roman"/>
          <w:lang w:val="fr-CA"/>
        </w:rPr>
        <w:t xml:space="preserve">obtenir un remboursement. Il est donc satisfait au dernier volet du test </w:t>
      </w:r>
      <w:r w:rsidRPr="00375EDE">
        <w:rPr>
          <w:rFonts w:cs="Times New Roman"/>
          <w:i/>
          <w:lang w:val="fr-CA"/>
        </w:rPr>
        <w:t>Abitibi</w:t>
      </w:r>
      <w:r w:rsidRPr="00375EDE">
        <w:rPr>
          <w:rFonts w:cs="Times New Roman"/>
          <w:lang w:val="fr-CA"/>
        </w:rPr>
        <w:t>. Le juge en cabinet a tiré trois conclusions de fait cruciales — chacune d</w:t>
      </w:r>
      <w:r>
        <w:rPr>
          <w:rFonts w:cs="Times New Roman"/>
          <w:lang w:val="fr-CA"/>
        </w:rPr>
        <w:t>’</w:t>
      </w:r>
      <w:r w:rsidRPr="00375EDE">
        <w:rPr>
          <w:rFonts w:cs="Times New Roman"/>
          <w:lang w:val="fr-CA"/>
        </w:rPr>
        <w:t>elles commandant la déférence en appel (</w:t>
      </w:r>
      <w:r w:rsidRPr="00375EDE">
        <w:rPr>
          <w:rFonts w:cs="Times New Roman"/>
          <w:i/>
          <w:lang w:val="fr-CA"/>
        </w:rPr>
        <w:t>Housen c. Nikolaisen</w:t>
      </w:r>
      <w:r w:rsidRPr="00375EDE">
        <w:rPr>
          <w:rFonts w:cs="Times New Roman"/>
          <w:lang w:val="fr-CA"/>
        </w:rPr>
        <w:t xml:space="preserve">, 2002 CSC 33, [2002] 2 R.C.S. 235, par. 10) — qui appuient aisément cette conclusion. </w:t>
      </w:r>
    </w:p>
    <w:p w:rsidR="00DF13E5" w:rsidRPr="00375EDE" w:rsidRDefault="00DF13E5" w:rsidP="00DF13E5">
      <w:pPr>
        <w:pStyle w:val="ParaNoNdepar-AltN"/>
        <w:rPr>
          <w:rFonts w:cs="Times New Roman"/>
          <w:lang w:val="fr-CA"/>
        </w:rPr>
      </w:pPr>
      <w:r w:rsidRPr="00375EDE">
        <w:rPr>
          <w:rFonts w:cs="Times New Roman"/>
          <w:lang w:val="fr-CA"/>
        </w:rPr>
        <w:t>Premièrement, le juge en chef Wittmann a conclu que GTL n</w:t>
      </w:r>
      <w:r>
        <w:rPr>
          <w:rFonts w:cs="Times New Roman"/>
          <w:lang w:val="fr-CA"/>
        </w:rPr>
        <w:t>’</w:t>
      </w:r>
      <w:r w:rsidRPr="00375EDE">
        <w:rPr>
          <w:rFonts w:cs="Times New Roman"/>
          <w:lang w:val="fr-CA"/>
        </w:rPr>
        <w:t>était pas en possession des biens visés par les renonciations et, de toute façon, il [</w:t>
      </w:r>
      <w:r w:rsidRPr="00375EDE">
        <w:rPr>
          <w:rFonts w:cs="Times New Roman"/>
          <w:smallCaps/>
          <w:lang w:val="fr-CA"/>
        </w:rPr>
        <w:t>traduction</w:t>
      </w:r>
      <w:r w:rsidRPr="00375EDE">
        <w:rPr>
          <w:rFonts w:cs="Times New Roman"/>
          <w:lang w:val="fr-CA"/>
        </w:rPr>
        <w:t>] « ne peut pas exécuter de travaux sur les biens » parce que les engagements environnementaux dépassaient la valeur de l</w:t>
      </w:r>
      <w:r>
        <w:rPr>
          <w:rFonts w:cs="Times New Roman"/>
          <w:lang w:val="fr-CA"/>
        </w:rPr>
        <w:t>’</w:t>
      </w:r>
      <w:r w:rsidRPr="00375EDE">
        <w:rPr>
          <w:rFonts w:cs="Times New Roman"/>
          <w:lang w:val="fr-CA"/>
        </w:rPr>
        <w:t xml:space="preserve">actif même (par. 170; voir également </w:t>
      </w:r>
      <w:r w:rsidRPr="00375EDE">
        <w:rPr>
          <w:rFonts w:cs="Times New Roman"/>
          <w:i/>
          <w:lang w:val="fr-CA"/>
        </w:rPr>
        <w:t>Abitibi</w:t>
      </w:r>
      <w:r w:rsidRPr="00375EDE">
        <w:rPr>
          <w:rFonts w:cs="Times New Roman"/>
          <w:lang w:val="fr-CA"/>
        </w:rPr>
        <w:t xml:space="preserve">, par. 53, où la Cour a dit que : « Abitibi </w:t>
      </w:r>
      <w:r w:rsidRPr="00375EDE">
        <w:rPr>
          <w:rFonts w:cs="Times New Roman"/>
          <w:lang w:val="fr-FR"/>
        </w:rPr>
        <w:t>ne disposait d</w:t>
      </w:r>
      <w:r>
        <w:rPr>
          <w:rFonts w:cs="Times New Roman"/>
          <w:lang w:val="fr-FR"/>
        </w:rPr>
        <w:t>’</w:t>
      </w:r>
      <w:r w:rsidRPr="00375EDE">
        <w:rPr>
          <w:rFonts w:cs="Times New Roman"/>
          <w:lang w:val="fr-FR"/>
        </w:rPr>
        <w:t>aucune ressource pour exécuter les travaux »</w:t>
      </w:r>
      <w:r w:rsidRPr="00375EDE">
        <w:rPr>
          <w:rFonts w:cs="Times New Roman"/>
          <w:lang w:val="fr-CA"/>
        </w:rPr>
        <w:t>). Il a écarté la possibilité que les participants en participation directe de Redwater se chargent de le faire même à l</w:t>
      </w:r>
      <w:r>
        <w:rPr>
          <w:rFonts w:cs="Times New Roman"/>
          <w:lang w:val="fr-CA"/>
        </w:rPr>
        <w:t>’</w:t>
      </w:r>
      <w:r w:rsidRPr="00375EDE">
        <w:rPr>
          <w:rFonts w:cs="Times New Roman"/>
          <w:lang w:val="fr-CA"/>
        </w:rPr>
        <w:t>égard des quelques biens visés par des permis de Redwater pour lesquels de tels partenaires existaient (motifs du juge en cabinet, par. 171). Bref, il a conclu [</w:t>
      </w:r>
      <w:r w:rsidRPr="00375EDE">
        <w:rPr>
          <w:rFonts w:cs="Times New Roman"/>
          <w:smallCaps/>
          <w:lang w:val="fr-CA"/>
        </w:rPr>
        <w:t>traduction</w:t>
      </w:r>
      <w:r w:rsidRPr="00375EDE">
        <w:rPr>
          <w:rFonts w:cs="Times New Roman"/>
          <w:lang w:val="fr-CA"/>
        </w:rPr>
        <w:t>] «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existe aucune autre partie susceptible d</w:t>
      </w:r>
      <w:r>
        <w:rPr>
          <w:rFonts w:cs="Times New Roman"/>
          <w:lang w:val="fr-CA"/>
        </w:rPr>
        <w:t>’</w:t>
      </w:r>
      <w:r w:rsidRPr="00375EDE">
        <w:rPr>
          <w:rFonts w:cs="Times New Roman"/>
          <w:lang w:val="fr-CA"/>
        </w:rPr>
        <w:t>être contrainte d</w:t>
      </w:r>
      <w:r>
        <w:rPr>
          <w:rFonts w:cs="Times New Roman"/>
          <w:lang w:val="fr-CA"/>
        </w:rPr>
        <w:t>’</w:t>
      </w:r>
      <w:r w:rsidRPr="00375EDE">
        <w:rPr>
          <w:rFonts w:cs="Times New Roman"/>
          <w:lang w:val="fr-CA"/>
        </w:rPr>
        <w:t>exécuter les travaux d</w:t>
      </w:r>
      <w:r>
        <w:rPr>
          <w:rFonts w:cs="Times New Roman"/>
          <w:lang w:val="fr-CA"/>
        </w:rPr>
        <w:t>’</w:t>
      </w:r>
      <w:r w:rsidRPr="00375EDE">
        <w:rPr>
          <w:rFonts w:cs="Times New Roman"/>
          <w:lang w:val="fr-CA"/>
        </w:rPr>
        <w:t>abandon » (par. 172).</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Deux décisions de la Cour d</w:t>
      </w:r>
      <w:r>
        <w:rPr>
          <w:rFonts w:cs="Times New Roman"/>
          <w:lang w:val="fr-CA"/>
        </w:rPr>
        <w:t>’</w:t>
      </w:r>
      <w:r w:rsidRPr="00375EDE">
        <w:rPr>
          <w:rFonts w:cs="Times New Roman"/>
          <w:lang w:val="fr-CA"/>
        </w:rPr>
        <w:t>appel de l</w:t>
      </w:r>
      <w:r>
        <w:rPr>
          <w:rFonts w:cs="Times New Roman"/>
          <w:lang w:val="fr-CA"/>
        </w:rPr>
        <w:t>’</w:t>
      </w:r>
      <w:r w:rsidRPr="00375EDE">
        <w:rPr>
          <w:rFonts w:cs="Times New Roman"/>
          <w:lang w:val="fr-CA"/>
        </w:rPr>
        <w:t xml:space="preserve">Ontario font ressortir pourquoi cela est important. Dans </w:t>
      </w:r>
      <w:r w:rsidRPr="00375EDE">
        <w:rPr>
          <w:rFonts w:cs="Times New Roman"/>
          <w:i/>
          <w:lang w:val="fr-CA"/>
        </w:rPr>
        <w:t>Nortel Networks Corp., Re</w:t>
      </w:r>
      <w:r w:rsidRPr="00375EDE">
        <w:rPr>
          <w:rFonts w:cs="Times New Roman"/>
          <w:lang w:val="fr-CA"/>
        </w:rPr>
        <w:t>, 2013 ONCA 599, 6 C.B.R. (6th) 159, le juge Juriansz a conclu qu</w:t>
      </w:r>
      <w:r>
        <w:rPr>
          <w:rFonts w:cs="Times New Roman"/>
          <w:lang w:val="fr-CA"/>
        </w:rPr>
        <w:t>’</w:t>
      </w:r>
      <w:r w:rsidRPr="00375EDE">
        <w:rPr>
          <w:rFonts w:cs="Times New Roman"/>
          <w:lang w:val="fr-CA"/>
        </w:rPr>
        <w:t xml:space="preserve">il </w:t>
      </w:r>
      <w:r w:rsidRPr="00375EDE">
        <w:rPr>
          <w:rFonts w:cs="Times New Roman"/>
          <w:i/>
          <w:lang w:val="fr-CA"/>
        </w:rPr>
        <w:t>n</w:t>
      </w:r>
      <w:r>
        <w:rPr>
          <w:rFonts w:cs="Times New Roman"/>
          <w:i/>
          <w:lang w:val="fr-CA"/>
        </w:rPr>
        <w:t>’</w:t>
      </w:r>
      <w:r w:rsidRPr="00375EDE">
        <w:rPr>
          <w:rFonts w:cs="Times New Roman"/>
          <w:i/>
          <w:lang w:val="fr-CA"/>
        </w:rPr>
        <w:t>était pas</w:t>
      </w:r>
      <w:r w:rsidRPr="00375EDE">
        <w:rPr>
          <w:rFonts w:cs="Times New Roman"/>
          <w:lang w:val="fr-CA"/>
        </w:rPr>
        <w:t xml:space="preserve"> satisfait au critère de la « certitude suffisante » relativement à certains sites parce que ceux</w:t>
      </w:r>
      <w:r w:rsidRPr="00375EDE">
        <w:rPr>
          <w:rFonts w:cs="Times New Roman"/>
          <w:lang w:val="fr-CA"/>
        </w:rPr>
        <w:noBreakHyphen/>
        <w:t xml:space="preserve">ci avaient déjà été achetés. Les </w:t>
      </w:r>
      <w:r w:rsidRPr="00375EDE">
        <w:rPr>
          <w:rFonts w:cs="Times New Roman"/>
          <w:lang w:val="fr-CA"/>
        </w:rPr>
        <w:lastRenderedPageBreak/>
        <w:t>acheteurs pouvaient par conséquent être contraints d</w:t>
      </w:r>
      <w:r>
        <w:rPr>
          <w:rFonts w:cs="Times New Roman"/>
          <w:lang w:val="fr-CA"/>
        </w:rPr>
        <w:t>’</w:t>
      </w:r>
      <w:r w:rsidRPr="00375EDE">
        <w:rPr>
          <w:rFonts w:cs="Times New Roman"/>
          <w:lang w:val="fr-CA"/>
        </w:rPr>
        <w:t>exécuter les travaux parce qu</w:t>
      </w:r>
      <w:r>
        <w:rPr>
          <w:rFonts w:cs="Times New Roman"/>
          <w:lang w:val="fr-CA"/>
        </w:rPr>
        <w:t>’</w:t>
      </w:r>
      <w:r w:rsidRPr="00375EDE">
        <w:rPr>
          <w:rFonts w:cs="Times New Roman"/>
          <w:lang w:val="fr-CA"/>
        </w:rPr>
        <w:t>ils étaient solidairement responsables des obligations de décontamination (par. 39</w:t>
      </w:r>
      <w:r w:rsidRPr="00375EDE">
        <w:rPr>
          <w:rFonts w:cs="Times New Roman"/>
          <w:lang w:val="fr-CA"/>
        </w:rPr>
        <w:noBreakHyphen/>
        <w:t xml:space="preserve">40). Mais dans </w:t>
      </w:r>
      <w:r w:rsidRPr="00375EDE">
        <w:rPr>
          <w:rFonts w:cs="Times New Roman"/>
          <w:i/>
          <w:lang w:val="fr-CA"/>
        </w:rPr>
        <w:t>Northstar Aerospace Inc., Re</w:t>
      </w:r>
      <w:r w:rsidRPr="00375EDE">
        <w:rPr>
          <w:rFonts w:cs="Times New Roman"/>
          <w:lang w:val="fr-CA"/>
        </w:rPr>
        <w:t>, 2013 ONCA 600, 8 C.B.R. (6th) 154, le juge Juriansz a conclu qu</w:t>
      </w:r>
      <w:r>
        <w:rPr>
          <w:rFonts w:cs="Times New Roman"/>
          <w:lang w:val="fr-CA"/>
        </w:rPr>
        <w:t>’</w:t>
      </w:r>
      <w:r w:rsidRPr="00375EDE">
        <w:rPr>
          <w:rFonts w:cs="Times New Roman"/>
          <w:lang w:val="fr-CA"/>
        </w:rPr>
        <w:t xml:space="preserve">il </w:t>
      </w:r>
      <w:r w:rsidRPr="00375EDE">
        <w:rPr>
          <w:rFonts w:cs="Times New Roman"/>
          <w:i/>
          <w:lang w:val="fr-CA"/>
        </w:rPr>
        <w:t>était</w:t>
      </w:r>
      <w:r w:rsidRPr="00375EDE">
        <w:rPr>
          <w:rFonts w:cs="Times New Roman"/>
          <w:lang w:val="fr-CA"/>
        </w:rPr>
        <w:t xml:space="preserve"> satisfait au critère de la </w:t>
      </w:r>
      <w:r>
        <w:rPr>
          <w:rFonts w:cs="Times New Roman"/>
          <w:lang w:val="fr-CA"/>
        </w:rPr>
        <w:t>« </w:t>
      </w:r>
      <w:r w:rsidRPr="00375EDE">
        <w:rPr>
          <w:rFonts w:cs="Times New Roman"/>
          <w:lang w:val="fr-CA"/>
        </w:rPr>
        <w:t>certitude suffisante » parce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y avait pas d</w:t>
      </w:r>
      <w:r>
        <w:rPr>
          <w:rFonts w:cs="Times New Roman"/>
          <w:lang w:val="fr-CA"/>
        </w:rPr>
        <w:t>’</w:t>
      </w:r>
      <w:r w:rsidRPr="00375EDE">
        <w:rPr>
          <w:rFonts w:cs="Times New Roman"/>
          <w:lang w:val="fr-CA"/>
        </w:rPr>
        <w:t>acheteur qui pouvait être contraint d</w:t>
      </w:r>
      <w:r>
        <w:rPr>
          <w:rFonts w:cs="Times New Roman"/>
          <w:lang w:val="fr-CA"/>
        </w:rPr>
        <w:t>’</w:t>
      </w:r>
      <w:r w:rsidRPr="00375EDE">
        <w:rPr>
          <w:rFonts w:cs="Times New Roman"/>
          <w:lang w:val="fr-CA"/>
        </w:rPr>
        <w:t>exécuter les travaux par l</w:t>
      </w:r>
      <w:r>
        <w:rPr>
          <w:rFonts w:cs="Times New Roman"/>
          <w:lang w:val="fr-CA"/>
        </w:rPr>
        <w:t>’</w:t>
      </w:r>
      <w:r w:rsidRPr="00375EDE">
        <w:rPr>
          <w:rFonts w:cs="Times New Roman"/>
          <w:lang w:val="fr-CA"/>
        </w:rPr>
        <w:t>organisme de réglementation. Certes, les éléments de preuve nouveaux déposés en appel révèlent que le ministère de l</w:t>
      </w:r>
      <w:r>
        <w:rPr>
          <w:rFonts w:cs="Times New Roman"/>
          <w:lang w:val="fr-CA"/>
        </w:rPr>
        <w:t>’</w:t>
      </w:r>
      <w:r w:rsidRPr="00375EDE">
        <w:rPr>
          <w:rFonts w:cs="Times New Roman"/>
          <w:lang w:val="fr-CA"/>
        </w:rPr>
        <w:t>Environnement avait amorcé les travaux de décontamination, mais le juge Juriansz a conclu que l</w:t>
      </w:r>
      <w:r>
        <w:rPr>
          <w:rFonts w:cs="Times New Roman"/>
          <w:lang w:val="fr-CA"/>
        </w:rPr>
        <w:t>’</w:t>
      </w:r>
      <w:r w:rsidRPr="00375EDE">
        <w:rPr>
          <w:rFonts w:cs="Times New Roman"/>
          <w:lang w:val="fr-CA"/>
        </w:rPr>
        <w:t>absence d</w:t>
      </w:r>
      <w:r>
        <w:rPr>
          <w:rFonts w:cs="Times New Roman"/>
          <w:lang w:val="fr-CA"/>
        </w:rPr>
        <w:t>’</w:t>
      </w:r>
      <w:r w:rsidRPr="00375EDE">
        <w:rPr>
          <w:rFonts w:cs="Times New Roman"/>
          <w:lang w:val="fr-CA"/>
        </w:rPr>
        <w:t>acheteurs subséquents justifiait la conclusion implicite du juge de première instance quant à la certitude suffisante (par. 16</w:t>
      </w:r>
      <w:r w:rsidRPr="00375EDE">
        <w:rPr>
          <w:rFonts w:cs="Times New Roman"/>
          <w:lang w:val="fr-CA"/>
        </w:rPr>
        <w:noBreakHyphen/>
        <w:t>17). La présente affaire s</w:t>
      </w:r>
      <w:r>
        <w:rPr>
          <w:rFonts w:cs="Times New Roman"/>
          <w:lang w:val="fr-CA"/>
        </w:rPr>
        <w:t>’</w:t>
      </w:r>
      <w:r w:rsidRPr="00375EDE">
        <w:rPr>
          <w:rFonts w:cs="Times New Roman"/>
          <w:lang w:val="fr-CA"/>
        </w:rPr>
        <w:t xml:space="preserve">apparente à </w:t>
      </w:r>
      <w:r w:rsidRPr="00375EDE">
        <w:rPr>
          <w:rFonts w:cs="Times New Roman"/>
          <w:i/>
          <w:lang w:val="fr-CA"/>
        </w:rPr>
        <w:t>Northstar</w:t>
      </w:r>
      <w:r w:rsidRPr="00375EDE">
        <w:rPr>
          <w:rFonts w:cs="Times New Roman"/>
          <w:lang w:val="fr-CA"/>
        </w:rPr>
        <w:t>, qui s</w:t>
      </w:r>
      <w:r>
        <w:rPr>
          <w:rFonts w:cs="Times New Roman"/>
          <w:lang w:val="fr-CA"/>
        </w:rPr>
        <w:t>’</w:t>
      </w:r>
      <w:r w:rsidRPr="00375EDE">
        <w:rPr>
          <w:rFonts w:cs="Times New Roman"/>
          <w:lang w:val="fr-CA"/>
        </w:rPr>
        <w:t>applique parfaitement aux faits de l</w:t>
      </w:r>
      <w:r>
        <w:rPr>
          <w:rFonts w:cs="Times New Roman"/>
          <w:lang w:val="fr-CA"/>
        </w:rPr>
        <w:t>’</w:t>
      </w:r>
      <w:r w:rsidRPr="00375EDE">
        <w:rPr>
          <w:rFonts w:cs="Times New Roman"/>
          <w:lang w:val="fr-CA"/>
        </w:rPr>
        <w:t>espèce : il n</w:t>
      </w:r>
      <w:r>
        <w:rPr>
          <w:rFonts w:cs="Times New Roman"/>
          <w:lang w:val="fr-CA"/>
        </w:rPr>
        <w:t>’</w:t>
      </w:r>
      <w:r w:rsidRPr="00375EDE">
        <w:rPr>
          <w:rFonts w:cs="Times New Roman"/>
          <w:lang w:val="fr-CA"/>
        </w:rPr>
        <w:t>y a aucun acheteur pour prendre en charge les biens de Redwater, et la débitrice elle</w:t>
      </w:r>
      <w:r w:rsidRPr="00375EDE">
        <w:rPr>
          <w:rFonts w:cs="Times New Roman"/>
          <w:lang w:val="fr-CA"/>
        </w:rPr>
        <w:noBreakHyphen/>
        <w:t>même est insolvable. Le juge en cabinet en l</w:t>
      </w:r>
      <w:r>
        <w:rPr>
          <w:rFonts w:cs="Times New Roman"/>
          <w:lang w:val="fr-CA"/>
        </w:rPr>
        <w:t>’</w:t>
      </w:r>
      <w:r w:rsidRPr="00375EDE">
        <w:rPr>
          <w:rFonts w:cs="Times New Roman"/>
          <w:lang w:val="fr-CA"/>
        </w:rPr>
        <w:t>espèce a conclu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existe aucune autre partie qui pourrait être contrainte d</w:t>
      </w:r>
      <w:r>
        <w:rPr>
          <w:rFonts w:cs="Times New Roman"/>
          <w:lang w:val="fr-CA"/>
        </w:rPr>
        <w:t>’</w:t>
      </w:r>
      <w:r w:rsidRPr="00375EDE">
        <w:rPr>
          <w:rFonts w:cs="Times New Roman"/>
          <w:lang w:val="fr-CA"/>
        </w:rPr>
        <w:t>exécuter les travaux.</w:t>
      </w:r>
    </w:p>
    <w:p w:rsidR="00DF13E5" w:rsidRPr="00375EDE" w:rsidRDefault="00DF13E5" w:rsidP="00DF13E5">
      <w:pPr>
        <w:pStyle w:val="ParaNoNdepar-AltN"/>
        <w:rPr>
          <w:rFonts w:cs="Times New Roman"/>
          <w:lang w:val="fr-CA"/>
        </w:rPr>
      </w:pPr>
      <w:r w:rsidRPr="00375EDE">
        <w:rPr>
          <w:rFonts w:cs="Times New Roman"/>
          <w:lang w:val="fr-CA"/>
        </w:rPr>
        <w:t>Deuxièmement, compte tenu du fait que ni GTL ni les participants en participation directe de Redwater ne voudraient (ou ne pourraient) entreprendre ces travaux, le juge en chef Wittmann a tiré la conclusion de fait selon laquelle [</w:t>
      </w:r>
      <w:r w:rsidRPr="00375EDE">
        <w:rPr>
          <w:rFonts w:cs="Times New Roman"/>
          <w:smallCaps/>
          <w:lang w:val="fr-CA"/>
        </w:rPr>
        <w:t>traduction</w:t>
      </w:r>
      <w:r w:rsidRPr="00375EDE">
        <w:rPr>
          <w:rFonts w:cs="Times New Roman"/>
          <w:lang w:val="fr-CA"/>
        </w:rPr>
        <w:t>] « l</w:t>
      </w:r>
      <w:r>
        <w:rPr>
          <w:rFonts w:cs="Times New Roman"/>
          <w:lang w:val="fr-CA"/>
        </w:rPr>
        <w:t>’</w:t>
      </w:r>
      <w:r w:rsidRPr="00375EDE">
        <w:rPr>
          <w:rFonts w:cs="Times New Roman"/>
          <w:lang w:val="fr-CA"/>
        </w:rPr>
        <w:t>AER sera en fin de compte responsable des frais [d</w:t>
      </w:r>
      <w:r>
        <w:rPr>
          <w:rFonts w:cs="Times New Roman"/>
          <w:lang w:val="fr-CA"/>
        </w:rPr>
        <w:t>’</w:t>
      </w:r>
      <w:r w:rsidRPr="00375EDE">
        <w:rPr>
          <w:rFonts w:cs="Times New Roman"/>
          <w:lang w:val="fr-CA"/>
        </w:rPr>
        <w:t>abandon] » (par. 171). Il a conclu que « l</w:t>
      </w:r>
      <w:r>
        <w:rPr>
          <w:rFonts w:cs="Times New Roman"/>
          <w:lang w:val="fr-CA"/>
        </w:rPr>
        <w:t>’</w:t>
      </w:r>
      <w:r w:rsidRPr="00375EDE">
        <w:rPr>
          <w:rFonts w:cs="Times New Roman"/>
          <w:lang w:val="fr-CA"/>
        </w:rPr>
        <w:t>AER a le pouvoir [de tenter de recouvrer les frais d</w:t>
      </w:r>
      <w:r>
        <w:rPr>
          <w:rFonts w:cs="Times New Roman"/>
          <w:lang w:val="fr-CA"/>
        </w:rPr>
        <w:t>’</w:t>
      </w:r>
      <w:r w:rsidRPr="00375EDE">
        <w:rPr>
          <w:rFonts w:cs="Times New Roman"/>
          <w:lang w:val="fr-CA"/>
        </w:rPr>
        <w:t>abandon] et a réellement exécuté les travaux à l</w:t>
      </w:r>
      <w:r>
        <w:rPr>
          <w:rFonts w:cs="Times New Roman"/>
          <w:lang w:val="fr-CA"/>
        </w:rPr>
        <w:t>’</w:t>
      </w:r>
      <w:r w:rsidRPr="00375EDE">
        <w:rPr>
          <w:rFonts w:cs="Times New Roman"/>
          <w:lang w:val="fr-CA"/>
        </w:rPr>
        <w:t>occasion » (par. 168). Dans les faits, en l</w:t>
      </w:r>
      <w:r>
        <w:rPr>
          <w:rFonts w:cs="Times New Roman"/>
          <w:lang w:val="fr-CA"/>
        </w:rPr>
        <w:t>’</w:t>
      </w:r>
      <w:r w:rsidRPr="00375EDE">
        <w:rPr>
          <w:rFonts w:cs="Times New Roman"/>
          <w:lang w:val="fr-CA"/>
        </w:rPr>
        <w:t>espèce, « l</w:t>
      </w:r>
      <w:r>
        <w:rPr>
          <w:rFonts w:cs="Times New Roman"/>
          <w:lang w:val="fr-CA"/>
        </w:rPr>
        <w:t>’</w:t>
      </w:r>
      <w:r w:rsidRPr="00375EDE">
        <w:rPr>
          <w:rFonts w:cs="Times New Roman"/>
          <w:lang w:val="fr-CA"/>
        </w:rPr>
        <w:t>AER a expressément manifesté l</w:t>
      </w:r>
      <w:r>
        <w:rPr>
          <w:rFonts w:cs="Times New Roman"/>
          <w:lang w:val="fr-CA"/>
        </w:rPr>
        <w:t>’</w:t>
      </w:r>
      <w:r w:rsidRPr="00375EDE">
        <w:rPr>
          <w:rFonts w:cs="Times New Roman"/>
          <w:lang w:val="fr-CA"/>
        </w:rPr>
        <w:t>intention de demander le remboursement des frais liés à l</w:t>
      </w:r>
      <w:r>
        <w:rPr>
          <w:rFonts w:cs="Times New Roman"/>
          <w:lang w:val="fr-CA"/>
        </w:rPr>
        <w:t>’</w:t>
      </w:r>
      <w:r w:rsidRPr="00375EDE">
        <w:rPr>
          <w:rFonts w:cs="Times New Roman"/>
          <w:lang w:val="fr-CA"/>
        </w:rPr>
        <w:t>abandon des biens faisant l</w:t>
      </w:r>
      <w:r>
        <w:rPr>
          <w:rFonts w:cs="Times New Roman"/>
          <w:lang w:val="fr-CA"/>
        </w:rPr>
        <w:t>’</w:t>
      </w:r>
      <w:r w:rsidRPr="00375EDE">
        <w:rPr>
          <w:rFonts w:cs="Times New Roman"/>
          <w:lang w:val="fr-CA"/>
        </w:rPr>
        <w:t>objet de la renonciation » (par. 172). Cette conclusion est amplement étayée par le dossier. Dans la lettre du 15 juillet 2015 accompagnant les ordonnances d</w:t>
      </w:r>
      <w:r>
        <w:rPr>
          <w:rFonts w:cs="Times New Roman"/>
          <w:lang w:val="fr-CA"/>
        </w:rPr>
        <w:t>’</w:t>
      </w:r>
      <w:r w:rsidRPr="00375EDE">
        <w:rPr>
          <w:rFonts w:cs="Times New Roman"/>
          <w:lang w:val="fr-CA"/>
        </w:rPr>
        <w:t>abandon, l</w:t>
      </w:r>
      <w:r>
        <w:rPr>
          <w:rFonts w:cs="Times New Roman"/>
          <w:lang w:val="fr-CA"/>
        </w:rPr>
        <w:t>’</w:t>
      </w:r>
      <w:r w:rsidRPr="00375EDE">
        <w:rPr>
          <w:rFonts w:cs="Times New Roman"/>
          <w:lang w:val="fr-CA"/>
        </w:rPr>
        <w:t xml:space="preserve">AER a déclaré sans </w:t>
      </w:r>
      <w:r w:rsidRPr="00375EDE">
        <w:rPr>
          <w:rFonts w:cs="Times New Roman"/>
          <w:lang w:val="fr-CA"/>
        </w:rPr>
        <w:lastRenderedPageBreak/>
        <w:t>équivoque que, si Redwater ne procède pas à l</w:t>
      </w:r>
      <w:r>
        <w:rPr>
          <w:rFonts w:cs="Times New Roman"/>
          <w:lang w:val="fr-CA"/>
        </w:rPr>
        <w:t>’</w:t>
      </w:r>
      <w:r w:rsidRPr="00375EDE">
        <w:rPr>
          <w:rFonts w:cs="Times New Roman"/>
          <w:lang w:val="fr-CA"/>
        </w:rPr>
        <w:t>abandon des biens visés par les renonciations conformément aux directives de l</w:t>
      </w:r>
      <w:r>
        <w:rPr>
          <w:rFonts w:cs="Times New Roman"/>
          <w:lang w:val="fr-CA"/>
        </w:rPr>
        <w:t>’</w:t>
      </w:r>
      <w:r w:rsidRPr="00375EDE">
        <w:rPr>
          <w:rFonts w:cs="Times New Roman"/>
          <w:lang w:val="fr-CA"/>
        </w:rPr>
        <w:t>AER, [</w:t>
      </w:r>
      <w:r w:rsidRPr="00375EDE">
        <w:rPr>
          <w:rFonts w:cs="Times New Roman"/>
          <w:smallCaps/>
          <w:lang w:val="fr-CA"/>
        </w:rPr>
        <w:t>traduction</w:t>
      </w:r>
      <w:r w:rsidRPr="00375EDE">
        <w:rPr>
          <w:rFonts w:cs="Times New Roman"/>
          <w:lang w:val="fr-CA"/>
        </w:rPr>
        <w:t>] « l</w:t>
      </w:r>
      <w:r>
        <w:rPr>
          <w:rFonts w:cs="Times New Roman"/>
          <w:lang w:val="fr-CA"/>
        </w:rPr>
        <w:t>’</w:t>
      </w:r>
      <w:r w:rsidRPr="00375EDE">
        <w:rPr>
          <w:rFonts w:cs="Times New Roman"/>
          <w:lang w:val="fr-CA"/>
        </w:rPr>
        <w:t xml:space="preserve">AER </w:t>
      </w:r>
      <w:r w:rsidRPr="00375EDE">
        <w:rPr>
          <w:rFonts w:cs="Times New Roman"/>
          <w:u w:val="single"/>
          <w:lang w:val="fr-CA"/>
        </w:rPr>
        <w:t>utilisera, sans autre avis, sa procédure pour faire abandonner les biens</w:t>
      </w:r>
      <w:r w:rsidRPr="00375EDE">
        <w:rPr>
          <w:rFonts w:cs="Times New Roman"/>
          <w:lang w:val="fr-CA"/>
        </w:rPr>
        <w:t> » (dossier de GTL, vol. </w:t>
      </w:r>
      <w:r w:rsidR="00CB01F5">
        <w:rPr>
          <w:rFonts w:cs="Times New Roman"/>
          <w:lang w:val="fr-CA"/>
        </w:rPr>
        <w:t>I</w:t>
      </w:r>
      <w:r w:rsidRPr="00375EDE">
        <w:rPr>
          <w:rFonts w:cs="Times New Roman"/>
          <w:lang w:val="fr-CA"/>
        </w:rPr>
        <w:t>, p. 102 (je souligne)). La lettre indiquait également que « [l</w:t>
      </w:r>
      <w:r>
        <w:rPr>
          <w:rFonts w:cs="Times New Roman"/>
          <w:lang w:val="fr-CA"/>
        </w:rPr>
        <w:t>’</w:t>
      </w:r>
      <w:r w:rsidRPr="00375EDE">
        <w:rPr>
          <w:rFonts w:cs="Times New Roman"/>
          <w:lang w:val="fr-CA"/>
        </w:rPr>
        <w:t xml:space="preserve">]AER </w:t>
      </w:r>
      <w:r w:rsidRPr="00375EDE">
        <w:rPr>
          <w:rFonts w:cs="Times New Roman"/>
          <w:u w:val="single"/>
          <w:lang w:val="fr-CA"/>
        </w:rPr>
        <w:t>exercera tous les recours dont il dispose pour recouvrer les frais des parties responsables</w:t>
      </w:r>
      <w:r w:rsidRPr="00375EDE">
        <w:rPr>
          <w:rFonts w:cs="Times New Roman"/>
          <w:lang w:val="fr-CA"/>
        </w:rPr>
        <w:t> » (p. 102 (je souligne)). Le juge siégeant en cabinet n</w:t>
      </w:r>
      <w:r>
        <w:rPr>
          <w:rFonts w:cs="Times New Roman"/>
          <w:lang w:val="fr-CA"/>
        </w:rPr>
        <w:t>’</w:t>
      </w:r>
      <w:r w:rsidRPr="00375EDE">
        <w:rPr>
          <w:rFonts w:cs="Times New Roman"/>
          <w:lang w:val="fr-CA"/>
        </w:rPr>
        <w:t>a pas commis d</w:t>
      </w:r>
      <w:r>
        <w:rPr>
          <w:rFonts w:cs="Times New Roman"/>
          <w:lang w:val="fr-CA"/>
        </w:rPr>
        <w:t>’</w:t>
      </w:r>
      <w:r w:rsidRPr="00375EDE">
        <w:rPr>
          <w:rFonts w:cs="Times New Roman"/>
          <w:lang w:val="fr-CA"/>
        </w:rPr>
        <w:t>erreur en se fondant sur ces déclarations sans équivoque de l</w:t>
      </w:r>
      <w:r>
        <w:rPr>
          <w:rFonts w:cs="Times New Roman"/>
          <w:lang w:val="fr-CA"/>
        </w:rPr>
        <w:t>’</w:t>
      </w:r>
      <w:r w:rsidRPr="00375EDE">
        <w:rPr>
          <w:rFonts w:cs="Times New Roman"/>
          <w:lang w:val="fr-CA"/>
        </w:rPr>
        <w:t>AER lui</w:t>
      </w:r>
      <w:r w:rsidRPr="00375EDE">
        <w:rPr>
          <w:rFonts w:cs="Times New Roman"/>
          <w:lang w:val="fr-CA"/>
        </w:rPr>
        <w:noBreakHyphen/>
        <w:t xml:space="preserve">même — selon lesquelles il </w:t>
      </w:r>
      <w:r w:rsidRPr="00375EDE">
        <w:rPr>
          <w:rFonts w:cs="Times New Roman"/>
          <w:i/>
          <w:lang w:val="fr-CA"/>
        </w:rPr>
        <w:t>fera</w:t>
      </w:r>
      <w:r w:rsidRPr="00375EDE">
        <w:rPr>
          <w:rFonts w:cs="Times New Roman"/>
          <w:lang w:val="fr-CA"/>
        </w:rPr>
        <w:t xml:space="preserve"> exécuter les travaux d</w:t>
      </w:r>
      <w:r>
        <w:rPr>
          <w:rFonts w:cs="Times New Roman"/>
          <w:lang w:val="fr-CA"/>
        </w:rPr>
        <w:t>’</w:t>
      </w:r>
      <w:r w:rsidRPr="00375EDE">
        <w:rPr>
          <w:rFonts w:cs="Times New Roman"/>
          <w:lang w:val="fr-CA"/>
        </w:rPr>
        <w:t>abandon et demandera un remboursement — pour conclure qu</w:t>
      </w:r>
      <w:r>
        <w:rPr>
          <w:rFonts w:cs="Times New Roman"/>
          <w:lang w:val="fr-CA"/>
        </w:rPr>
        <w:t>’</w:t>
      </w:r>
      <w:r w:rsidRPr="00375EDE">
        <w:rPr>
          <w:rFonts w:cs="Times New Roman"/>
          <w:lang w:val="fr-CA"/>
        </w:rPr>
        <w:t>il y avait une certitude suffisante en l</w:t>
      </w:r>
      <w:r>
        <w:rPr>
          <w:rFonts w:cs="Times New Roman"/>
          <w:lang w:val="fr-CA"/>
        </w:rPr>
        <w:t>’</w:t>
      </w:r>
      <w:r w:rsidRPr="00375EDE">
        <w:rPr>
          <w:rFonts w:cs="Times New Roman"/>
          <w:lang w:val="fr-CA"/>
        </w:rPr>
        <w:t>espèce.</w:t>
      </w:r>
    </w:p>
    <w:p w:rsidR="00DF13E5" w:rsidRPr="00375EDE" w:rsidRDefault="00DF13E5" w:rsidP="00DF13E5">
      <w:pPr>
        <w:pStyle w:val="ParaNoNdepar-AltN"/>
        <w:rPr>
          <w:rFonts w:cs="Times New Roman"/>
          <w:lang w:val="fr-CA"/>
        </w:rPr>
      </w:pPr>
      <w:r w:rsidRPr="00375EDE">
        <w:rPr>
          <w:rFonts w:cs="Times New Roman"/>
          <w:lang w:val="fr-CA"/>
        </w:rPr>
        <w:t>Bien qu</w:t>
      </w:r>
      <w:r>
        <w:rPr>
          <w:rFonts w:cs="Times New Roman"/>
          <w:lang w:val="fr-CA"/>
        </w:rPr>
        <w:t>’</w:t>
      </w:r>
      <w:r w:rsidRPr="00375EDE">
        <w:rPr>
          <w:rFonts w:cs="Times New Roman"/>
          <w:lang w:val="fr-CA"/>
        </w:rPr>
        <w:t>il y ait certains éléments de preuve contraires au dossier — notamment les propos d</w:t>
      </w:r>
      <w:r>
        <w:rPr>
          <w:rFonts w:cs="Times New Roman"/>
          <w:lang w:val="fr-CA"/>
        </w:rPr>
        <w:t>’</w:t>
      </w:r>
      <w:r w:rsidRPr="00375EDE">
        <w:rPr>
          <w:rFonts w:cs="Times New Roman"/>
          <w:lang w:val="fr-CA"/>
        </w:rPr>
        <w:t>un déclarant de l</w:t>
      </w:r>
      <w:r>
        <w:rPr>
          <w:rFonts w:cs="Times New Roman"/>
          <w:lang w:val="fr-CA"/>
        </w:rPr>
        <w:t>’</w:t>
      </w:r>
      <w:r w:rsidRPr="00375EDE">
        <w:rPr>
          <w:rFonts w:cs="Times New Roman"/>
          <w:lang w:val="fr-CA"/>
        </w:rPr>
        <w:t>AER selon lesquels l</w:t>
      </w:r>
      <w:r>
        <w:rPr>
          <w:rFonts w:cs="Times New Roman"/>
          <w:lang w:val="fr-CA"/>
        </w:rPr>
        <w:t>’</w:t>
      </w:r>
      <w:r w:rsidRPr="00375EDE">
        <w:rPr>
          <w:rFonts w:cs="Times New Roman"/>
          <w:lang w:val="fr-CA"/>
        </w:rPr>
        <w:t>AER ne procéderait pas à l</w:t>
      </w:r>
      <w:r>
        <w:rPr>
          <w:rFonts w:cs="Times New Roman"/>
          <w:lang w:val="fr-CA"/>
        </w:rPr>
        <w:t>’</w:t>
      </w:r>
      <w:r w:rsidRPr="00375EDE">
        <w:rPr>
          <w:rFonts w:cs="Times New Roman"/>
          <w:lang w:val="fr-CA"/>
        </w:rPr>
        <w:t>abandon des biens — le juge en chef Wittmann n</w:t>
      </w:r>
      <w:r>
        <w:rPr>
          <w:rFonts w:cs="Times New Roman"/>
          <w:lang w:val="fr-CA"/>
        </w:rPr>
        <w:t>’</w:t>
      </w:r>
      <w:r w:rsidRPr="00375EDE">
        <w:rPr>
          <w:rFonts w:cs="Times New Roman"/>
          <w:lang w:val="fr-CA"/>
        </w:rPr>
        <w:t>a pas commis d</w:t>
      </w:r>
      <w:r>
        <w:rPr>
          <w:rFonts w:cs="Times New Roman"/>
          <w:lang w:val="fr-CA"/>
        </w:rPr>
        <w:t>’</w:t>
      </w:r>
      <w:r w:rsidRPr="00375EDE">
        <w:rPr>
          <w:rFonts w:cs="Times New Roman"/>
          <w:lang w:val="fr-CA"/>
        </w:rPr>
        <w:t>erreur manifeste et dominante en accordant plus de poids à la lettre que l</w:t>
      </w:r>
      <w:r>
        <w:rPr>
          <w:rFonts w:cs="Times New Roman"/>
          <w:lang w:val="fr-CA"/>
        </w:rPr>
        <w:t>’</w:t>
      </w:r>
      <w:r w:rsidRPr="00375EDE">
        <w:rPr>
          <w:rFonts w:cs="Times New Roman"/>
          <w:lang w:val="fr-CA"/>
        </w:rPr>
        <w:t>AER a envoyée en même temps que les ordonnances d</w:t>
      </w:r>
      <w:r>
        <w:rPr>
          <w:rFonts w:cs="Times New Roman"/>
          <w:lang w:val="fr-CA"/>
        </w:rPr>
        <w:t>’</w:t>
      </w:r>
      <w:r w:rsidRPr="00375EDE">
        <w:rPr>
          <w:rFonts w:cs="Times New Roman"/>
          <w:lang w:val="fr-CA"/>
        </w:rPr>
        <w:t>abandon. De même, dans la mesure où l</w:t>
      </w:r>
      <w:r>
        <w:rPr>
          <w:rFonts w:cs="Times New Roman"/>
          <w:lang w:val="fr-CA"/>
        </w:rPr>
        <w:t>’</w:t>
      </w:r>
      <w:r w:rsidRPr="00375EDE">
        <w:rPr>
          <w:rFonts w:cs="Times New Roman"/>
          <w:lang w:val="fr-CA"/>
        </w:rPr>
        <w:t>AER a envoyé d</w:t>
      </w:r>
      <w:r>
        <w:rPr>
          <w:rFonts w:cs="Times New Roman"/>
          <w:lang w:val="fr-CA"/>
        </w:rPr>
        <w:t>’</w:t>
      </w:r>
      <w:r w:rsidRPr="00375EDE">
        <w:rPr>
          <w:rFonts w:cs="Times New Roman"/>
          <w:lang w:val="fr-CA"/>
        </w:rPr>
        <w:t>autres lettres dans lesquelles il déclarait ne pas être un créancier et ne pas faire valoir une réclamation prouvable, le juge en chef Wittmann n</w:t>
      </w:r>
      <w:r>
        <w:rPr>
          <w:rFonts w:cs="Times New Roman"/>
          <w:lang w:val="fr-CA"/>
        </w:rPr>
        <w:t>’</w:t>
      </w:r>
      <w:r w:rsidRPr="00375EDE">
        <w:rPr>
          <w:rFonts w:cs="Times New Roman"/>
          <w:lang w:val="fr-CA"/>
        </w:rPr>
        <w:t>a pas commis d</w:t>
      </w:r>
      <w:r>
        <w:rPr>
          <w:rFonts w:cs="Times New Roman"/>
          <w:lang w:val="fr-CA"/>
        </w:rPr>
        <w:t>’</w:t>
      </w:r>
      <w:r w:rsidRPr="00375EDE">
        <w:rPr>
          <w:rFonts w:cs="Times New Roman"/>
          <w:lang w:val="fr-CA"/>
        </w:rPr>
        <w:t>erreur en faisant abstraction de ces déclarations intéressées parce qu</w:t>
      </w:r>
      <w:r>
        <w:rPr>
          <w:rFonts w:cs="Times New Roman"/>
          <w:lang w:val="fr-CA"/>
        </w:rPr>
        <w:t>’</w:t>
      </w:r>
      <w:r w:rsidRPr="00375EDE">
        <w:rPr>
          <w:rFonts w:cs="Times New Roman"/>
          <w:lang w:val="fr-CA"/>
        </w:rPr>
        <w:t>elles n</w:t>
      </w:r>
      <w:r>
        <w:rPr>
          <w:rFonts w:cs="Times New Roman"/>
          <w:lang w:val="fr-CA"/>
        </w:rPr>
        <w:t>’</w:t>
      </w:r>
      <w:r w:rsidRPr="00375EDE">
        <w:rPr>
          <w:rFonts w:cs="Times New Roman"/>
          <w:lang w:val="fr-CA"/>
        </w:rPr>
        <w:t>étaient pas suffisamment probantes quant aux questions de droit ultimes. Il n</w:t>
      </w:r>
      <w:r>
        <w:rPr>
          <w:rFonts w:cs="Times New Roman"/>
          <w:lang w:val="fr-CA"/>
        </w:rPr>
        <w:t>’</w:t>
      </w:r>
      <w:r w:rsidRPr="00375EDE">
        <w:rPr>
          <w:rFonts w:cs="Times New Roman"/>
          <w:lang w:val="fr-CA"/>
        </w:rPr>
        <w:t>y a donc aucune raison de modifier ces conclusions de fait ou d</w:t>
      </w:r>
      <w:r>
        <w:rPr>
          <w:rFonts w:cs="Times New Roman"/>
          <w:lang w:val="fr-CA"/>
        </w:rPr>
        <w:t>’</w:t>
      </w:r>
      <w:r w:rsidRPr="00375EDE">
        <w:rPr>
          <w:rFonts w:cs="Times New Roman"/>
          <w:lang w:val="fr-CA"/>
        </w:rPr>
        <w:t xml:space="preserve">apprécier de nouveau ces éléments de preuve en appel. </w:t>
      </w:r>
    </w:p>
    <w:p w:rsidR="00DF13E5" w:rsidRPr="00375EDE" w:rsidRDefault="00DF13E5" w:rsidP="00DF13E5">
      <w:pPr>
        <w:pStyle w:val="ParaNoNdepar-AltN"/>
        <w:rPr>
          <w:rFonts w:cs="Times New Roman"/>
          <w:lang w:val="fr-CA"/>
        </w:rPr>
      </w:pPr>
      <w:r w:rsidRPr="00375EDE">
        <w:rPr>
          <w:rFonts w:cs="Times New Roman"/>
          <w:lang w:val="fr-CA"/>
        </w:rPr>
        <w:t>Même si la déclaration de l</w:t>
      </w:r>
      <w:r>
        <w:rPr>
          <w:rFonts w:cs="Times New Roman"/>
          <w:lang w:val="fr-CA"/>
        </w:rPr>
        <w:t>’</w:t>
      </w:r>
      <w:r w:rsidRPr="00375EDE">
        <w:rPr>
          <w:rFonts w:cs="Times New Roman"/>
          <w:lang w:val="fr-CA"/>
        </w:rPr>
        <w:t>AER selon laquelle il procéderait lui</w:t>
      </w:r>
      <w:r w:rsidRPr="00375EDE">
        <w:rPr>
          <w:rFonts w:cs="Times New Roman"/>
          <w:lang w:val="fr-CA"/>
        </w:rPr>
        <w:noBreakHyphen/>
        <w:t>même à l</w:t>
      </w:r>
      <w:r>
        <w:rPr>
          <w:rFonts w:cs="Times New Roman"/>
          <w:lang w:val="fr-CA"/>
        </w:rPr>
        <w:t>’</w:t>
      </w:r>
      <w:r w:rsidRPr="00375EDE">
        <w:rPr>
          <w:rFonts w:cs="Times New Roman"/>
          <w:lang w:val="fr-CA"/>
        </w:rPr>
        <w:t>abandon des biens n</w:t>
      </w:r>
      <w:r>
        <w:rPr>
          <w:rFonts w:cs="Times New Roman"/>
          <w:lang w:val="fr-CA"/>
        </w:rPr>
        <w:t>’</w:t>
      </w:r>
      <w:r w:rsidRPr="00375EDE">
        <w:rPr>
          <w:rFonts w:cs="Times New Roman"/>
          <w:lang w:val="fr-CA"/>
        </w:rPr>
        <w:t>est pas suffisante en soi, le juge en chef Wittmann a tiré une troisième conclusion de fait cruciale : la seule [</w:t>
      </w:r>
      <w:r w:rsidRPr="00375EDE">
        <w:rPr>
          <w:rFonts w:cs="Times New Roman"/>
          <w:smallCaps/>
          <w:lang w:val="fr-CA"/>
        </w:rPr>
        <w:t>traduction</w:t>
      </w:r>
      <w:r w:rsidRPr="00375EDE">
        <w:rPr>
          <w:rFonts w:cs="Times New Roman"/>
          <w:lang w:val="fr-CA"/>
        </w:rPr>
        <w:t xml:space="preserve">] « solution réaliste [qui </w:t>
      </w:r>
      <w:r w:rsidRPr="00375EDE">
        <w:rPr>
          <w:rFonts w:cs="Times New Roman"/>
          <w:lang w:val="fr-CA"/>
        </w:rPr>
        <w:lastRenderedPageBreak/>
        <w:t>s</w:t>
      </w:r>
      <w:r>
        <w:rPr>
          <w:rFonts w:cs="Times New Roman"/>
          <w:lang w:val="fr-CA"/>
        </w:rPr>
        <w:t>’</w:t>
      </w:r>
      <w:r w:rsidRPr="00375EDE">
        <w:rPr>
          <w:rFonts w:cs="Times New Roman"/>
          <w:lang w:val="fr-CA"/>
        </w:rPr>
        <w:t>offre à l</w:t>
      </w:r>
      <w:r>
        <w:rPr>
          <w:rFonts w:cs="Times New Roman"/>
          <w:lang w:val="fr-CA"/>
        </w:rPr>
        <w:t>’</w:t>
      </w:r>
      <w:r w:rsidRPr="00375EDE">
        <w:rPr>
          <w:rFonts w:cs="Times New Roman"/>
          <w:lang w:val="fr-CA"/>
        </w:rPr>
        <w:t>AER] autre que celle d</w:t>
      </w:r>
      <w:r>
        <w:rPr>
          <w:rFonts w:cs="Times New Roman"/>
          <w:lang w:val="fr-CA"/>
        </w:rPr>
        <w:t>’</w:t>
      </w:r>
      <w:r w:rsidRPr="00375EDE">
        <w:rPr>
          <w:rFonts w:cs="Times New Roman"/>
          <w:lang w:val="fr-CA"/>
        </w:rPr>
        <w:t>effectuer lui</w:t>
      </w:r>
      <w:r w:rsidRPr="00375EDE">
        <w:rPr>
          <w:rFonts w:cs="Times New Roman"/>
          <w:lang w:val="fr-CA"/>
        </w:rPr>
        <w:noBreakHyphen/>
        <w:t>même les travaux de décontamination » était de considérer les biens faisant l</w:t>
      </w:r>
      <w:r>
        <w:rPr>
          <w:rFonts w:cs="Times New Roman"/>
          <w:lang w:val="fr-CA"/>
        </w:rPr>
        <w:t>’</w:t>
      </w:r>
      <w:r w:rsidRPr="00375EDE">
        <w:rPr>
          <w:rFonts w:cs="Times New Roman"/>
          <w:lang w:val="fr-CA"/>
        </w:rPr>
        <w:t>objet de la renonciation comme des puits orphelins (par. 172). Il a conclu qu</w:t>
      </w:r>
      <w:r>
        <w:rPr>
          <w:rFonts w:cs="Times New Roman"/>
          <w:lang w:val="fr-CA"/>
        </w:rPr>
        <w:t>’</w:t>
      </w:r>
      <w:r w:rsidRPr="00375EDE">
        <w:rPr>
          <w:rFonts w:cs="Times New Roman"/>
          <w:lang w:val="fr-CA"/>
        </w:rPr>
        <w:t>en pareil cas, « les dispositions législatives et les éléments de preuve démontrent que, si l</w:t>
      </w:r>
      <w:r>
        <w:rPr>
          <w:rFonts w:cs="Times New Roman"/>
          <w:lang w:val="fr-CA"/>
        </w:rPr>
        <w:t>’</w:t>
      </w:r>
      <w:r w:rsidRPr="00375EDE">
        <w:rPr>
          <w:rFonts w:cs="Times New Roman"/>
          <w:lang w:val="fr-CA"/>
        </w:rPr>
        <w:t xml:space="preserve">AER considère un puits comme orphelin, </w:t>
      </w:r>
      <w:r w:rsidRPr="00375EDE">
        <w:rPr>
          <w:rFonts w:cs="Times New Roman"/>
          <w:u w:val="single"/>
          <w:lang w:val="fr-CA"/>
        </w:rPr>
        <w:t>l</w:t>
      </w:r>
      <w:r>
        <w:rPr>
          <w:rFonts w:cs="Times New Roman"/>
          <w:u w:val="single"/>
          <w:lang w:val="fr-CA"/>
        </w:rPr>
        <w:t>’</w:t>
      </w:r>
      <w:r w:rsidRPr="00375EDE">
        <w:rPr>
          <w:rFonts w:cs="Times New Roman"/>
          <w:u w:val="single"/>
          <w:lang w:val="fr-CA"/>
        </w:rPr>
        <w:t>OWA exécutera les travaux</w:t>
      </w:r>
      <w:r w:rsidRPr="00375EDE">
        <w:rPr>
          <w:rFonts w:cs="Times New Roman"/>
          <w:lang w:val="fr-CA"/>
        </w:rPr>
        <w:t xml:space="preserve"> » (par. 166 (je souligne)). </w:t>
      </w:r>
    </w:p>
    <w:p w:rsidR="00DF13E5" w:rsidRPr="00375EDE" w:rsidRDefault="00DF13E5" w:rsidP="00DF13E5">
      <w:pPr>
        <w:pStyle w:val="ParaNoNdepar-AltN"/>
        <w:tabs>
          <w:tab w:val="clear" w:pos="1152"/>
          <w:tab w:val="left" w:pos="1166"/>
        </w:tabs>
        <w:rPr>
          <w:rFonts w:cs="Times New Roman"/>
          <w:lang w:val="fr-CA"/>
        </w:rPr>
      </w:pPr>
      <w:r w:rsidRPr="00375EDE">
        <w:rPr>
          <w:rFonts w:cs="Times New Roman"/>
          <w:lang w:val="fr-CA"/>
        </w:rPr>
        <w:t>À la lumière de ces conclusions de fait, le juge en chef Wittmann a eu raison de conclure qu</w:t>
      </w:r>
      <w:r>
        <w:rPr>
          <w:rFonts w:cs="Times New Roman"/>
          <w:lang w:val="fr-CA"/>
        </w:rPr>
        <w:t>’</w:t>
      </w:r>
      <w:r w:rsidRPr="00375EDE">
        <w:rPr>
          <w:rFonts w:cs="Times New Roman"/>
          <w:lang w:val="fr-CA"/>
        </w:rPr>
        <w:t>il était satisfait à l</w:t>
      </w:r>
      <w:r>
        <w:rPr>
          <w:rFonts w:cs="Times New Roman"/>
          <w:lang w:val="fr-CA"/>
        </w:rPr>
        <w:t>a norme de « </w:t>
      </w:r>
      <w:r w:rsidRPr="00375EDE">
        <w:rPr>
          <w:rFonts w:cs="Times New Roman"/>
          <w:lang w:val="fr-CA"/>
        </w:rPr>
        <w:t>certitude suffisante</w:t>
      </w:r>
      <w:r>
        <w:rPr>
          <w:rFonts w:cs="Times New Roman"/>
          <w:lang w:val="fr-CA"/>
        </w:rPr>
        <w:t> </w:t>
      </w:r>
      <w:r w:rsidRPr="00375EDE">
        <w:rPr>
          <w:rFonts w:cs="Times New Roman"/>
          <w:lang w:val="fr-CA"/>
        </w:rPr>
        <w:t xml:space="preserve">» énoncée dans </w:t>
      </w:r>
      <w:r w:rsidRPr="00375EDE">
        <w:rPr>
          <w:rFonts w:cs="Times New Roman"/>
          <w:i/>
          <w:lang w:val="fr-CA"/>
        </w:rPr>
        <w:t>Abitibi</w:t>
      </w:r>
      <w:r w:rsidRPr="00375EDE">
        <w:rPr>
          <w:rFonts w:cs="Times New Roman"/>
          <w:lang w:val="fr-CA"/>
        </w:rPr>
        <w:t>. Il a précisé ainsi le fondement juridique de cette conclusion :</w:t>
      </w:r>
    </w:p>
    <w:p w:rsidR="00DF13E5" w:rsidRPr="00375EDE" w:rsidRDefault="00DF13E5" w:rsidP="00F0174D">
      <w:pPr>
        <w:pStyle w:val="Citation-AltC"/>
        <w:spacing w:after="240"/>
        <w:ind w:hanging="1166"/>
        <w:contextualSpacing w:val="0"/>
      </w:pPr>
      <w:r w:rsidRPr="00375EDE">
        <w:rPr>
          <w:lang w:val="fr-CA"/>
        </w:rPr>
        <w:tab/>
        <w:t>[</w:t>
      </w:r>
      <w:r w:rsidRPr="00375EDE">
        <w:rPr>
          <w:smallCaps/>
          <w:lang w:val="fr-CA"/>
        </w:rPr>
        <w:t>traduction</w:t>
      </w:r>
      <w:r w:rsidRPr="00375EDE">
        <w:rPr>
          <w:lang w:val="fr-CA"/>
        </w:rPr>
        <w:t>] La situation répond</w:t>
      </w:r>
      <w:r w:rsidRPr="00375EDE">
        <w:rPr>
          <w:lang w:val="fr-CA"/>
        </w:rPr>
        <w:noBreakHyphen/>
        <w:t>elle au critère de la certitude suffisante décrit dans l</w:t>
      </w:r>
      <w:r>
        <w:rPr>
          <w:lang w:val="fr-CA"/>
        </w:rPr>
        <w:t>’</w:t>
      </w:r>
      <w:r w:rsidRPr="00375EDE">
        <w:rPr>
          <w:lang w:val="fr-CA"/>
        </w:rPr>
        <w:t xml:space="preserve">arrêt </w:t>
      </w:r>
      <w:r w:rsidRPr="00375EDE">
        <w:rPr>
          <w:i/>
          <w:lang w:val="fr-CA"/>
        </w:rPr>
        <w:t>AbitibiBowater</w:t>
      </w:r>
      <w:r w:rsidRPr="00375EDE">
        <w:rPr>
          <w:lang w:val="fr-CA"/>
        </w:rPr>
        <w:t>?</w:t>
      </w:r>
      <w:r w:rsidRPr="00375EDE">
        <w:rPr>
          <w:i/>
          <w:lang w:val="fr-CA"/>
        </w:rPr>
        <w:t xml:space="preserve"> </w:t>
      </w:r>
      <w:r w:rsidRPr="00375EDE">
        <w:rPr>
          <w:lang w:val="fr-CA"/>
        </w:rPr>
        <w:t>Au sens strict et technique du terme, la réponse est non, car il n</w:t>
      </w:r>
      <w:r>
        <w:rPr>
          <w:lang w:val="fr-CA"/>
        </w:rPr>
        <w:t>’</w:t>
      </w:r>
      <w:r w:rsidRPr="00375EDE">
        <w:rPr>
          <w:lang w:val="fr-CA"/>
        </w:rPr>
        <w:t>est pas clair si l</w:t>
      </w:r>
      <w:r>
        <w:rPr>
          <w:lang w:val="fr-CA"/>
        </w:rPr>
        <w:t>’</w:t>
      </w:r>
      <w:r w:rsidRPr="00375EDE">
        <w:rPr>
          <w:lang w:val="fr-CA"/>
        </w:rPr>
        <w:t>AER effectuera lui</w:t>
      </w:r>
      <w:r w:rsidRPr="00375EDE">
        <w:rPr>
          <w:lang w:val="fr-CA"/>
        </w:rPr>
        <w:noBreakHyphen/>
        <w:t>même les travaux ou s</w:t>
      </w:r>
      <w:r>
        <w:rPr>
          <w:lang w:val="fr-CA"/>
        </w:rPr>
        <w:t>’</w:t>
      </w:r>
      <w:r w:rsidRPr="00375EDE">
        <w:rPr>
          <w:lang w:val="fr-CA"/>
        </w:rPr>
        <w:t>il considérera les biens visés par les ordonnances comme orphelins. Dans l</w:t>
      </w:r>
      <w:r>
        <w:rPr>
          <w:lang w:val="fr-CA"/>
        </w:rPr>
        <w:t>’</w:t>
      </w:r>
      <w:r w:rsidRPr="00375EDE">
        <w:rPr>
          <w:lang w:val="fr-CA"/>
        </w:rPr>
        <w:t>affirmative, l</w:t>
      </w:r>
      <w:r>
        <w:rPr>
          <w:lang w:val="fr-CA"/>
        </w:rPr>
        <w:t>’</w:t>
      </w:r>
      <w:r w:rsidRPr="00375EDE">
        <w:rPr>
          <w:lang w:val="fr-CA"/>
        </w:rPr>
        <w:t>OWA exécutera probablement les travaux, mais pas nécessairement dans un délai précis. La situation correspond toutefois, à mon avis, à ce qu</w:t>
      </w:r>
      <w:r>
        <w:rPr>
          <w:lang w:val="fr-CA"/>
        </w:rPr>
        <w:t>’</w:t>
      </w:r>
      <w:r w:rsidRPr="00375EDE">
        <w:rPr>
          <w:lang w:val="fr-CA"/>
        </w:rPr>
        <w:t xml:space="preserve">ont voulu les juges majoritaires de la Cour dans </w:t>
      </w:r>
      <w:r w:rsidRPr="00375EDE">
        <w:rPr>
          <w:i/>
          <w:lang w:val="fr-CA"/>
        </w:rPr>
        <w:t>AbitibiBowater</w:t>
      </w:r>
      <w:r w:rsidRPr="007A5FD4">
        <w:rPr>
          <w:lang w:val="fr-CA"/>
        </w:rPr>
        <w:t xml:space="preserve">. </w:t>
      </w:r>
      <w:r w:rsidRPr="00375EDE">
        <w:rPr>
          <w:lang w:val="fr-CA"/>
        </w:rPr>
        <w:t>. . . Par conséquent, je conclus que, bien qu</w:t>
      </w:r>
      <w:r>
        <w:rPr>
          <w:lang w:val="fr-CA"/>
        </w:rPr>
        <w:t>’</w:t>
      </w:r>
      <w:r w:rsidRPr="00375EDE">
        <w:rPr>
          <w:lang w:val="fr-CA"/>
        </w:rPr>
        <w:t>elles ne soient pas formulées en termes pécuniaires, les ordonnances de l</w:t>
      </w:r>
      <w:r>
        <w:rPr>
          <w:lang w:val="fr-CA"/>
        </w:rPr>
        <w:t>’</w:t>
      </w:r>
      <w:r w:rsidRPr="00375EDE">
        <w:rPr>
          <w:lang w:val="fr-CA"/>
        </w:rPr>
        <w:t>AER sont, en l</w:t>
      </w:r>
      <w:r>
        <w:rPr>
          <w:lang w:val="fr-CA"/>
        </w:rPr>
        <w:t>’</w:t>
      </w:r>
      <w:r w:rsidRPr="00375EDE">
        <w:rPr>
          <w:lang w:val="fr-CA"/>
        </w:rPr>
        <w:t>espèce, intrinsèquement financières. [</w:t>
      </w:r>
      <w:r w:rsidRPr="00375EDE">
        <w:t>par. 173]</w:t>
      </w:r>
    </w:p>
    <w:p w:rsidR="00DF13E5" w:rsidRPr="00375EDE" w:rsidRDefault="00DF13E5" w:rsidP="00DF13E5">
      <w:pPr>
        <w:pStyle w:val="ParaNoNdepar-AltN"/>
        <w:rPr>
          <w:rFonts w:cs="Times New Roman"/>
          <w:lang w:val="fr-CA"/>
        </w:rPr>
      </w:pPr>
      <w:r w:rsidRPr="00375EDE">
        <w:rPr>
          <w:rFonts w:cs="Times New Roman"/>
          <w:lang w:val="fr-CA"/>
        </w:rPr>
        <w:t>Mon collègue ne précise pas la norme de contrôle qu</w:t>
      </w:r>
      <w:r>
        <w:rPr>
          <w:rFonts w:cs="Times New Roman"/>
          <w:lang w:val="fr-CA"/>
        </w:rPr>
        <w:t>’</w:t>
      </w:r>
      <w:r w:rsidRPr="00375EDE">
        <w:rPr>
          <w:rFonts w:cs="Times New Roman"/>
          <w:lang w:val="fr-CA"/>
        </w:rPr>
        <w:t>il applique en infirmant l</w:t>
      </w:r>
      <w:r>
        <w:rPr>
          <w:rFonts w:cs="Times New Roman"/>
          <w:lang w:val="fr-CA"/>
        </w:rPr>
        <w:t>’</w:t>
      </w:r>
      <w:r w:rsidRPr="00375EDE">
        <w:rPr>
          <w:rFonts w:cs="Times New Roman"/>
          <w:lang w:val="fr-CA"/>
        </w:rPr>
        <w:t xml:space="preserve">application par le juge en chef Wittmann du troisième volet du test </w:t>
      </w:r>
      <w:r w:rsidRPr="00375EDE">
        <w:rPr>
          <w:rFonts w:cs="Times New Roman"/>
          <w:i/>
          <w:lang w:val="fr-CA"/>
        </w:rPr>
        <w:t xml:space="preserve">Abitibi </w:t>
      </w:r>
      <w:r w:rsidRPr="00375EDE">
        <w:rPr>
          <w:rFonts w:cs="Times New Roman"/>
          <w:lang w:val="fr-CA"/>
        </w:rPr>
        <w:t>à la présente affaire. Néanmoins, il est en désaccord avec le juge en cabinet et conclut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 xml:space="preserve">est pas satisfait au volet de la « certitude suffisante ». Il donne deux raisons pour infirmer la conclusion du juge en chef Wittmann; mais ce faisant, il ne relève aucune erreur manifeste et dominante (ni même une véritable erreur selon la norme de la décision correcte, qui ne commande aucune déférence) dans la conclusion ultime du juge en cabinet. </w:t>
      </w:r>
    </w:p>
    <w:p w:rsidR="00DF13E5" w:rsidRPr="00375EDE" w:rsidRDefault="00DF13E5" w:rsidP="00DF13E5">
      <w:pPr>
        <w:pStyle w:val="ParaNoNdepar-AltN"/>
        <w:rPr>
          <w:rFonts w:cs="Times New Roman"/>
          <w:lang w:val="fr-CA"/>
        </w:rPr>
      </w:pPr>
      <w:r w:rsidRPr="00375EDE">
        <w:rPr>
          <w:rFonts w:cs="Times New Roman"/>
          <w:lang w:val="fr-CA"/>
        </w:rPr>
        <w:lastRenderedPageBreak/>
        <w:t>La première raison, la prétendue erreur de droit consistant à décider que les ordonnances d</w:t>
      </w:r>
      <w:r>
        <w:rPr>
          <w:rFonts w:cs="Times New Roman"/>
          <w:lang w:val="fr-CA"/>
        </w:rPr>
        <w:t>’</w:t>
      </w:r>
      <w:r w:rsidRPr="00375EDE">
        <w:rPr>
          <w:rFonts w:cs="Times New Roman"/>
          <w:lang w:val="fr-CA"/>
        </w:rPr>
        <w:t>abandon sont [</w:t>
      </w:r>
      <w:r w:rsidRPr="00375EDE">
        <w:rPr>
          <w:rFonts w:cs="Times New Roman"/>
          <w:smallCaps/>
          <w:lang w:val="fr-CA"/>
        </w:rPr>
        <w:t>traduction</w:t>
      </w:r>
      <w:r>
        <w:rPr>
          <w:rFonts w:cs="Times New Roman"/>
          <w:lang w:val="fr-CA"/>
        </w:rPr>
        <w:t>] </w:t>
      </w:r>
      <w:r w:rsidRPr="00375EDE">
        <w:rPr>
          <w:rFonts w:cs="Times New Roman"/>
          <w:lang w:val="fr-CA"/>
        </w:rPr>
        <w:t>« intrinsèquement financières », n</w:t>
      </w:r>
      <w:r>
        <w:rPr>
          <w:rFonts w:cs="Times New Roman"/>
          <w:lang w:val="fr-CA"/>
        </w:rPr>
        <w:t>’</w:t>
      </w:r>
      <w:r w:rsidRPr="00375EDE">
        <w:rPr>
          <w:rFonts w:cs="Times New Roman"/>
          <w:lang w:val="fr-CA"/>
        </w:rPr>
        <w:t>est guère plus qu</w:t>
      </w:r>
      <w:r>
        <w:rPr>
          <w:rFonts w:cs="Times New Roman"/>
          <w:lang w:val="fr-CA"/>
        </w:rPr>
        <w:t>’</w:t>
      </w:r>
      <w:r w:rsidRPr="00375EDE">
        <w:rPr>
          <w:rFonts w:cs="Times New Roman"/>
          <w:lang w:val="fr-CA"/>
        </w:rPr>
        <w:t>une distraction. Même s</w:t>
      </w:r>
      <w:r>
        <w:rPr>
          <w:rFonts w:cs="Times New Roman"/>
          <w:lang w:val="fr-CA"/>
        </w:rPr>
        <w:t>’</w:t>
      </w:r>
      <w:r w:rsidRPr="00375EDE">
        <w:rPr>
          <w:rFonts w:cs="Times New Roman"/>
          <w:lang w:val="fr-CA"/>
        </w:rPr>
        <w:t>il s</w:t>
      </w:r>
      <w:r>
        <w:rPr>
          <w:rFonts w:cs="Times New Roman"/>
          <w:lang w:val="fr-CA"/>
        </w:rPr>
        <w:t>’</w:t>
      </w:r>
      <w:r w:rsidRPr="00375EDE">
        <w:rPr>
          <w:rFonts w:cs="Times New Roman"/>
          <w:lang w:val="fr-CA"/>
        </w:rPr>
        <w:t>agit d</w:t>
      </w:r>
      <w:r>
        <w:rPr>
          <w:rFonts w:cs="Times New Roman"/>
          <w:lang w:val="fr-CA"/>
        </w:rPr>
        <w:t>’</w:t>
      </w:r>
      <w:r w:rsidRPr="00375EDE">
        <w:rPr>
          <w:rFonts w:cs="Times New Roman"/>
          <w:lang w:val="fr-CA"/>
        </w:rPr>
        <w:t>une application erronée de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xml:space="preserve">, il est manifeste que le juge en chef Wittmann a estimé, </w:t>
      </w:r>
      <w:r w:rsidRPr="00375EDE">
        <w:rPr>
          <w:rFonts w:cs="Times New Roman"/>
          <w:i/>
          <w:lang w:val="fr-CA"/>
        </w:rPr>
        <w:t>au moins</w:t>
      </w:r>
      <w:r w:rsidRPr="00375EDE">
        <w:rPr>
          <w:rFonts w:cs="Times New Roman"/>
          <w:lang w:val="fr-CA"/>
        </w:rPr>
        <w:t>, que l</w:t>
      </w:r>
      <w:r>
        <w:rPr>
          <w:rFonts w:cs="Times New Roman"/>
          <w:lang w:val="fr-CA"/>
        </w:rPr>
        <w:t>’</w:t>
      </w:r>
      <w:r w:rsidRPr="00375EDE">
        <w:rPr>
          <w:rFonts w:cs="Times New Roman"/>
          <w:lang w:val="fr-CA"/>
        </w:rPr>
        <w:t>AER ou l</w:t>
      </w:r>
      <w:r>
        <w:rPr>
          <w:rFonts w:cs="Times New Roman"/>
          <w:lang w:val="fr-CA"/>
        </w:rPr>
        <w:t>’</w:t>
      </w:r>
      <w:r w:rsidRPr="00375EDE">
        <w:rPr>
          <w:rFonts w:cs="Times New Roman"/>
          <w:lang w:val="fr-CA"/>
        </w:rPr>
        <w:t>OWA mènerait à terme les travaux d</w:t>
      </w:r>
      <w:r>
        <w:rPr>
          <w:rFonts w:cs="Times New Roman"/>
          <w:lang w:val="fr-CA"/>
        </w:rPr>
        <w:t>’</w:t>
      </w:r>
      <w:r w:rsidRPr="00375EDE">
        <w:rPr>
          <w:rFonts w:cs="Times New Roman"/>
          <w:lang w:val="fr-CA"/>
        </w:rPr>
        <w:t>abandon. Et comme je l</w:t>
      </w:r>
      <w:r>
        <w:rPr>
          <w:rFonts w:cs="Times New Roman"/>
          <w:lang w:val="fr-CA"/>
        </w:rPr>
        <w:t>’</w:t>
      </w:r>
      <w:r w:rsidRPr="00375EDE">
        <w:rPr>
          <w:rFonts w:cs="Times New Roman"/>
          <w:lang w:val="fr-CA"/>
        </w:rPr>
        <w:t>explique plus loin, cela suffit en soi pour satisfaire à la norme de « certitude suffisante</w:t>
      </w:r>
      <w:r>
        <w:rPr>
          <w:rFonts w:cs="Times New Roman"/>
          <w:lang w:val="fr-CA"/>
        </w:rPr>
        <w:t> </w:t>
      </w:r>
      <w:r w:rsidRPr="00375EDE">
        <w:rPr>
          <w:rFonts w:cs="Times New Roman"/>
          <w:lang w:val="fr-CA"/>
        </w:rPr>
        <w:t>». Mon collègue surestime l</w:t>
      </w:r>
      <w:r>
        <w:rPr>
          <w:rFonts w:cs="Times New Roman"/>
          <w:lang w:val="fr-CA"/>
        </w:rPr>
        <w:t>’</w:t>
      </w:r>
      <w:r w:rsidRPr="00375EDE">
        <w:rPr>
          <w:rFonts w:cs="Times New Roman"/>
          <w:lang w:val="fr-CA"/>
        </w:rPr>
        <w:t>importance de ce commentaire isolé dans le contexte d</w:t>
      </w:r>
      <w:r>
        <w:rPr>
          <w:rFonts w:cs="Times New Roman"/>
          <w:lang w:val="fr-CA"/>
        </w:rPr>
        <w:t>’</w:t>
      </w:r>
      <w:r w:rsidRPr="00375EDE">
        <w:rPr>
          <w:rFonts w:cs="Times New Roman"/>
          <w:lang w:val="fr-CA"/>
        </w:rPr>
        <w:t>un ensemble de motifs étoffés où la norme appropriée est par ailleurs fidèlement appliquée. Toute erreur de droit de ce genre, dans la mesure où il en existe une, n</w:t>
      </w:r>
      <w:r>
        <w:rPr>
          <w:rFonts w:cs="Times New Roman"/>
          <w:lang w:val="fr-CA"/>
        </w:rPr>
        <w:t>’</w:t>
      </w:r>
      <w:r w:rsidRPr="00375EDE">
        <w:rPr>
          <w:rFonts w:cs="Times New Roman"/>
          <w:lang w:val="fr-CA"/>
        </w:rPr>
        <w:t xml:space="preserve">écarte en rien le résultat auquel est arrivé le juge en cabinet. </w:t>
      </w:r>
    </w:p>
    <w:p w:rsidR="00DF13E5" w:rsidRPr="00375EDE" w:rsidRDefault="00DF13E5" w:rsidP="00DF13E5">
      <w:pPr>
        <w:pStyle w:val="ParaNoNdepar-AltN"/>
        <w:rPr>
          <w:rFonts w:cs="Times New Roman"/>
          <w:lang w:val="fr-CA"/>
        </w:rPr>
      </w:pPr>
      <w:r w:rsidRPr="00375EDE">
        <w:rPr>
          <w:rFonts w:cs="Times New Roman"/>
          <w:lang w:val="fr-CA"/>
        </w:rPr>
        <w:t xml:space="preserve">La deuxième raison est plus sérieuse. </w:t>
      </w:r>
      <w:r>
        <w:rPr>
          <w:rFonts w:cs="Times New Roman"/>
          <w:lang w:val="fr-CA"/>
        </w:rPr>
        <w:t xml:space="preserve">Selon le juge en chef </w:t>
      </w:r>
      <w:r w:rsidRPr="00375EDE">
        <w:rPr>
          <w:rFonts w:cs="Times New Roman"/>
          <w:lang w:val="fr-CA"/>
        </w:rPr>
        <w:t>Wagner, la question de savoir si l</w:t>
      </w:r>
      <w:r>
        <w:rPr>
          <w:rFonts w:cs="Times New Roman"/>
          <w:lang w:val="fr-CA"/>
        </w:rPr>
        <w:t>’</w:t>
      </w:r>
      <w:r w:rsidRPr="00375EDE">
        <w:rPr>
          <w:rFonts w:cs="Times New Roman"/>
          <w:lang w:val="fr-CA"/>
        </w:rPr>
        <w:t>AER effectuera lui</w:t>
      </w:r>
      <w:r w:rsidRPr="00375EDE">
        <w:rPr>
          <w:rFonts w:cs="Times New Roman"/>
          <w:lang w:val="fr-CA"/>
        </w:rPr>
        <w:noBreakHyphen/>
        <w:t>même les travaux d</w:t>
      </w:r>
      <w:r>
        <w:rPr>
          <w:rFonts w:cs="Times New Roman"/>
          <w:lang w:val="fr-CA"/>
        </w:rPr>
        <w:t>’</w:t>
      </w:r>
      <w:r w:rsidRPr="00375EDE">
        <w:rPr>
          <w:rFonts w:cs="Times New Roman"/>
          <w:lang w:val="fr-CA"/>
        </w:rPr>
        <w:t>abandon ou s</w:t>
      </w:r>
      <w:r>
        <w:rPr>
          <w:rFonts w:cs="Times New Roman"/>
          <w:lang w:val="fr-CA"/>
        </w:rPr>
        <w:t>’</w:t>
      </w:r>
      <w:r w:rsidRPr="00375EDE">
        <w:rPr>
          <w:rFonts w:cs="Times New Roman"/>
          <w:lang w:val="fr-CA"/>
        </w:rPr>
        <w:t>il déléguera cette tâche à l</w:t>
      </w:r>
      <w:r>
        <w:rPr>
          <w:rFonts w:cs="Times New Roman"/>
          <w:lang w:val="fr-CA"/>
        </w:rPr>
        <w:t>’</w:t>
      </w:r>
      <w:r w:rsidRPr="00375EDE">
        <w:rPr>
          <w:rFonts w:cs="Times New Roman"/>
          <w:lang w:val="fr-CA"/>
        </w:rPr>
        <w:t>OWA est déterminante, car c</w:t>
      </w:r>
      <w:r>
        <w:rPr>
          <w:rFonts w:cs="Times New Roman"/>
          <w:lang w:val="fr-CA"/>
        </w:rPr>
        <w:t>’</w:t>
      </w:r>
      <w:r w:rsidRPr="00375EDE">
        <w:rPr>
          <w:rFonts w:cs="Times New Roman"/>
          <w:lang w:val="fr-CA"/>
        </w:rPr>
        <w:t>est la Province elle</w:t>
      </w:r>
      <w:r w:rsidRPr="00375EDE">
        <w:rPr>
          <w:rFonts w:cs="Times New Roman"/>
          <w:lang w:val="fr-CA"/>
        </w:rPr>
        <w:noBreakHyphen/>
        <w:t xml:space="preserve">même qui a procédé aux travaux de décontamination dans </w:t>
      </w:r>
      <w:r w:rsidRPr="00375EDE">
        <w:rPr>
          <w:rFonts w:cs="Times New Roman"/>
          <w:i/>
          <w:lang w:val="fr-CA"/>
        </w:rPr>
        <w:t>Abitibi</w:t>
      </w:r>
      <w:r w:rsidRPr="00375EDE">
        <w:rPr>
          <w:rFonts w:cs="Times New Roman"/>
          <w:lang w:val="fr-CA"/>
        </w:rPr>
        <w:t>. Dans l</w:t>
      </w:r>
      <w:r>
        <w:rPr>
          <w:rFonts w:cs="Times New Roman"/>
          <w:lang w:val="fr-CA"/>
        </w:rPr>
        <w:t>’</w:t>
      </w:r>
      <w:r w:rsidRPr="00375EDE">
        <w:rPr>
          <w:rFonts w:cs="Times New Roman"/>
          <w:lang w:val="fr-CA"/>
        </w:rPr>
        <w:t>affaire qui nous occupe, suggère</w:t>
      </w:r>
      <w:r w:rsidRPr="00375EDE">
        <w:rPr>
          <w:rFonts w:cs="Times New Roman"/>
          <w:lang w:val="fr-CA"/>
        </w:rPr>
        <w:noBreakHyphen/>
        <w:t>t</w:t>
      </w:r>
      <w:r w:rsidRPr="00375EDE">
        <w:rPr>
          <w:rFonts w:cs="Times New Roman"/>
          <w:lang w:val="fr-CA"/>
        </w:rPr>
        <w:noBreakHyphen/>
        <w:t>il, « l</w:t>
      </w:r>
      <w:r>
        <w:rPr>
          <w:rFonts w:cs="Times New Roman"/>
          <w:lang w:val="fr-CA"/>
        </w:rPr>
        <w:t>’</w:t>
      </w:r>
      <w:r w:rsidRPr="00375EDE">
        <w:rPr>
          <w:rFonts w:cs="Times New Roman"/>
          <w:lang w:val="fr-CA"/>
        </w:rPr>
        <w:t>OWA n</w:t>
      </w:r>
      <w:r>
        <w:rPr>
          <w:rFonts w:cs="Times New Roman"/>
          <w:lang w:val="fr-CA"/>
        </w:rPr>
        <w:t>’</w:t>
      </w:r>
      <w:r w:rsidRPr="00375EDE">
        <w:rPr>
          <w:rFonts w:cs="Times New Roman"/>
          <w:lang w:val="fr-CA"/>
        </w:rPr>
        <w:t>est pas l</w:t>
      </w:r>
      <w:r>
        <w:rPr>
          <w:rFonts w:cs="Times New Roman"/>
          <w:lang w:val="fr-CA"/>
        </w:rPr>
        <w:t>’</w:t>
      </w:r>
      <w:r w:rsidRPr="00375EDE">
        <w:rPr>
          <w:rFonts w:cs="Times New Roman"/>
          <w:lang w:val="fr-CA"/>
        </w:rPr>
        <w:t>organisme de réglementation » (par. 147) et, en conséquence, l</w:t>
      </w:r>
      <w:r>
        <w:rPr>
          <w:rFonts w:cs="Times New Roman"/>
          <w:lang w:val="fr-CA"/>
        </w:rPr>
        <w:t>’</w:t>
      </w:r>
      <w:r w:rsidRPr="00375EDE">
        <w:rPr>
          <w:rFonts w:cs="Times New Roman"/>
          <w:lang w:val="fr-CA"/>
        </w:rPr>
        <w:t>intervention de l</w:t>
      </w:r>
      <w:r>
        <w:rPr>
          <w:rFonts w:cs="Times New Roman"/>
          <w:lang w:val="fr-CA"/>
        </w:rPr>
        <w:t>’</w:t>
      </w:r>
      <w:r w:rsidRPr="00375EDE">
        <w:rPr>
          <w:rFonts w:cs="Times New Roman"/>
          <w:lang w:val="fr-CA"/>
        </w:rPr>
        <w:t>OWA «</w:t>
      </w:r>
      <w:r>
        <w:rPr>
          <w:rFonts w:cs="Times New Roman"/>
          <w:lang w:val="fr-CA"/>
        </w:rPr>
        <w:t> </w:t>
      </w:r>
      <w:r w:rsidRPr="00375EDE">
        <w:rPr>
          <w:rFonts w:cs="Times New Roman"/>
          <w:lang w:val="fr-CA"/>
        </w:rPr>
        <w:t xml:space="preserve">est insuffisante pour satisfaire au critère de la “certitude suffisante” » (par. 146). </w:t>
      </w:r>
    </w:p>
    <w:p w:rsidR="00DF13E5" w:rsidRPr="00375EDE" w:rsidRDefault="00DF13E5" w:rsidP="00DF13E5">
      <w:pPr>
        <w:pStyle w:val="ParaNoNdepar-AltN"/>
        <w:rPr>
          <w:rFonts w:cs="Times New Roman"/>
          <w:lang w:val="fr-CA"/>
        </w:rPr>
      </w:pPr>
      <w:r w:rsidRPr="00375EDE">
        <w:rPr>
          <w:rFonts w:cs="Times New Roman"/>
          <w:lang w:val="fr-CA"/>
        </w:rPr>
        <w:t>Acceptant pour un instant la pertinence éventuelle de cette distinction, j</w:t>
      </w:r>
      <w:r>
        <w:rPr>
          <w:rFonts w:cs="Times New Roman"/>
          <w:lang w:val="fr-CA"/>
        </w:rPr>
        <w:t>’</w:t>
      </w:r>
      <w:r w:rsidRPr="00375EDE">
        <w:rPr>
          <w:rFonts w:cs="Times New Roman"/>
          <w:lang w:val="fr-CA"/>
        </w:rPr>
        <w:t>estime que toute incertitude quant à la question de savoir si l</w:t>
      </w:r>
      <w:r>
        <w:rPr>
          <w:rFonts w:cs="Times New Roman"/>
          <w:lang w:val="fr-CA"/>
        </w:rPr>
        <w:t>’</w:t>
      </w:r>
      <w:r w:rsidRPr="00375EDE">
        <w:rPr>
          <w:rFonts w:cs="Times New Roman"/>
          <w:lang w:val="fr-CA"/>
        </w:rPr>
        <w:t xml:space="preserve">AER </w:t>
      </w:r>
      <w:r w:rsidRPr="00375EDE">
        <w:rPr>
          <w:rFonts w:cs="Times New Roman"/>
          <w:i/>
          <w:lang w:val="fr-CA"/>
        </w:rPr>
        <w:t>déléguerait</w:t>
      </w:r>
      <w:r w:rsidRPr="00375EDE">
        <w:rPr>
          <w:rFonts w:cs="Times New Roman"/>
          <w:lang w:val="fr-CA"/>
        </w:rPr>
        <w:t xml:space="preserve"> l</w:t>
      </w:r>
      <w:r>
        <w:rPr>
          <w:rFonts w:cs="Times New Roman"/>
          <w:lang w:val="fr-CA"/>
        </w:rPr>
        <w:t>’</w:t>
      </w:r>
      <w:r w:rsidRPr="00375EDE">
        <w:rPr>
          <w:rFonts w:cs="Times New Roman"/>
          <w:lang w:val="fr-CA"/>
        </w:rPr>
        <w:t>exécution des travaux de décontamination à l</w:t>
      </w:r>
      <w:r>
        <w:rPr>
          <w:rFonts w:cs="Times New Roman"/>
          <w:lang w:val="fr-CA"/>
        </w:rPr>
        <w:t>’</w:t>
      </w:r>
      <w:r w:rsidRPr="00375EDE">
        <w:rPr>
          <w:rFonts w:cs="Times New Roman"/>
          <w:lang w:val="fr-CA"/>
        </w:rPr>
        <w:t>OWA est discutable. L</w:t>
      </w:r>
      <w:r>
        <w:rPr>
          <w:rFonts w:cs="Times New Roman"/>
          <w:lang w:val="fr-CA"/>
        </w:rPr>
        <w:t>’</w:t>
      </w:r>
      <w:r w:rsidRPr="00375EDE">
        <w:rPr>
          <w:rFonts w:cs="Times New Roman"/>
          <w:lang w:val="fr-CA"/>
        </w:rPr>
        <w:t>importance qu</w:t>
      </w:r>
      <w:r>
        <w:rPr>
          <w:rFonts w:cs="Times New Roman"/>
          <w:lang w:val="fr-CA"/>
        </w:rPr>
        <w:t>’</w:t>
      </w:r>
      <w:r w:rsidRPr="00375EDE">
        <w:rPr>
          <w:rFonts w:cs="Times New Roman"/>
          <w:lang w:val="fr-CA"/>
        </w:rPr>
        <w:t>accorde mon collègue aux propos intéressés d</w:t>
      </w:r>
      <w:r>
        <w:rPr>
          <w:rFonts w:cs="Times New Roman"/>
          <w:lang w:val="fr-CA"/>
        </w:rPr>
        <w:t>’</w:t>
      </w:r>
      <w:r w:rsidRPr="00375EDE">
        <w:rPr>
          <w:rFonts w:cs="Times New Roman"/>
          <w:lang w:val="fr-CA"/>
        </w:rPr>
        <w:t>un déclarant de l</w:t>
      </w:r>
      <w:r>
        <w:rPr>
          <w:rFonts w:cs="Times New Roman"/>
          <w:lang w:val="fr-CA"/>
        </w:rPr>
        <w:t>’</w:t>
      </w:r>
      <w:r w:rsidRPr="00375EDE">
        <w:rPr>
          <w:rFonts w:cs="Times New Roman"/>
          <w:lang w:val="fr-CA"/>
        </w:rPr>
        <w:t>AER et au fait que l</w:t>
      </w:r>
      <w:r>
        <w:rPr>
          <w:rFonts w:cs="Times New Roman"/>
          <w:lang w:val="fr-CA"/>
        </w:rPr>
        <w:t>’</w:t>
      </w:r>
      <w:r w:rsidRPr="00375EDE">
        <w:rPr>
          <w:rFonts w:cs="Times New Roman"/>
          <w:lang w:val="fr-CA"/>
        </w:rPr>
        <w:t>AER n</w:t>
      </w:r>
      <w:r>
        <w:rPr>
          <w:rFonts w:cs="Times New Roman"/>
          <w:lang w:val="fr-CA"/>
        </w:rPr>
        <w:t>’</w:t>
      </w:r>
      <w:r w:rsidRPr="00375EDE">
        <w:rPr>
          <w:rFonts w:cs="Times New Roman"/>
          <w:lang w:val="fr-CA"/>
        </w:rPr>
        <w:t>a rien fait sur</w:t>
      </w:r>
      <w:r w:rsidRPr="00375EDE">
        <w:rPr>
          <w:rFonts w:cs="Times New Roman"/>
          <w:lang w:val="fr-CA"/>
        </w:rPr>
        <w:noBreakHyphen/>
        <w:t>le</w:t>
      </w:r>
      <w:r w:rsidRPr="00375EDE">
        <w:rPr>
          <w:rFonts w:cs="Times New Roman"/>
          <w:lang w:val="fr-CA"/>
        </w:rPr>
        <w:noBreakHyphen/>
        <w:t>champ pour exécuter lui</w:t>
      </w:r>
      <w:r w:rsidRPr="00375EDE">
        <w:rPr>
          <w:rFonts w:cs="Times New Roman"/>
          <w:lang w:val="fr-CA"/>
        </w:rPr>
        <w:noBreakHyphen/>
        <w:t>même les travaux d</w:t>
      </w:r>
      <w:r>
        <w:rPr>
          <w:rFonts w:cs="Times New Roman"/>
          <w:lang w:val="fr-CA"/>
        </w:rPr>
        <w:t>’</w:t>
      </w:r>
      <w:r w:rsidRPr="00375EDE">
        <w:rPr>
          <w:rFonts w:cs="Times New Roman"/>
          <w:lang w:val="fr-CA"/>
        </w:rPr>
        <w:t>abandon ne constitue rien de moins qu</w:t>
      </w:r>
      <w:r>
        <w:rPr>
          <w:rFonts w:cs="Times New Roman"/>
          <w:lang w:val="fr-CA"/>
        </w:rPr>
        <w:t>’</w:t>
      </w:r>
      <w:r w:rsidRPr="00375EDE">
        <w:rPr>
          <w:rFonts w:cs="Times New Roman"/>
          <w:lang w:val="fr-CA"/>
        </w:rPr>
        <w:t xml:space="preserve">une appréciation des faits après coup en appel, surtout </w:t>
      </w:r>
      <w:r w:rsidRPr="00375EDE">
        <w:rPr>
          <w:rFonts w:cs="Times New Roman"/>
          <w:lang w:val="fr-CA"/>
        </w:rPr>
        <w:lastRenderedPageBreak/>
        <w:t>compte tenu de la propre déclaration de l</w:t>
      </w:r>
      <w:r>
        <w:rPr>
          <w:rFonts w:cs="Times New Roman"/>
          <w:lang w:val="fr-CA"/>
        </w:rPr>
        <w:t>’</w:t>
      </w:r>
      <w:r w:rsidRPr="00375EDE">
        <w:rPr>
          <w:rFonts w:cs="Times New Roman"/>
          <w:lang w:val="fr-CA"/>
        </w:rPr>
        <w:t>AER. Bien que le juge en chef Wittmann ait affirmé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était [</w:t>
      </w:r>
      <w:r w:rsidRPr="00375EDE">
        <w:rPr>
          <w:rFonts w:cs="Times New Roman"/>
          <w:smallCaps/>
          <w:lang w:val="fr-CA"/>
        </w:rPr>
        <w:t>traduction</w:t>
      </w:r>
      <w:r w:rsidRPr="00375EDE">
        <w:rPr>
          <w:rFonts w:cs="Times New Roman"/>
          <w:lang w:val="fr-CA"/>
        </w:rPr>
        <w:t>] « pas clair » si l</w:t>
      </w:r>
      <w:r>
        <w:rPr>
          <w:rFonts w:cs="Times New Roman"/>
          <w:lang w:val="fr-CA"/>
        </w:rPr>
        <w:t>’</w:t>
      </w:r>
      <w:r w:rsidRPr="00375EDE">
        <w:rPr>
          <w:rFonts w:cs="Times New Roman"/>
          <w:lang w:val="fr-CA"/>
        </w:rPr>
        <w:t>AER effectuerait lui</w:t>
      </w:r>
      <w:r w:rsidRPr="00375EDE">
        <w:rPr>
          <w:rFonts w:cs="Times New Roman"/>
          <w:lang w:val="fr-CA"/>
        </w:rPr>
        <w:noBreakHyphen/>
        <w:t>même les travaux, ses autres conclusions de fait et de droit — que la loi confère à l</w:t>
      </w:r>
      <w:r>
        <w:rPr>
          <w:rFonts w:cs="Times New Roman"/>
          <w:lang w:val="fr-CA"/>
        </w:rPr>
        <w:t>’</w:t>
      </w:r>
      <w:r w:rsidRPr="00375EDE">
        <w:rPr>
          <w:rFonts w:cs="Times New Roman"/>
          <w:lang w:val="fr-CA"/>
        </w:rPr>
        <w:t>AER le pouvoir d</w:t>
      </w:r>
      <w:r>
        <w:rPr>
          <w:rFonts w:cs="Times New Roman"/>
          <w:lang w:val="fr-CA"/>
        </w:rPr>
        <w:t>’</w:t>
      </w:r>
      <w:r w:rsidRPr="00375EDE">
        <w:rPr>
          <w:rFonts w:cs="Times New Roman"/>
          <w:lang w:val="fr-CA"/>
        </w:rPr>
        <w:t>exécuter les travaux, qu</w:t>
      </w:r>
      <w:r>
        <w:rPr>
          <w:rFonts w:cs="Times New Roman"/>
          <w:lang w:val="fr-CA"/>
        </w:rPr>
        <w:t>’</w:t>
      </w:r>
      <w:r w:rsidRPr="00375EDE">
        <w:rPr>
          <w:rFonts w:cs="Times New Roman"/>
          <w:lang w:val="fr-CA"/>
        </w:rPr>
        <w:t>il l</w:t>
      </w:r>
      <w:r>
        <w:rPr>
          <w:rFonts w:cs="Times New Roman"/>
          <w:lang w:val="fr-CA"/>
        </w:rPr>
        <w:t>’</w:t>
      </w:r>
      <w:r w:rsidRPr="00375EDE">
        <w:rPr>
          <w:rFonts w:cs="Times New Roman"/>
          <w:lang w:val="fr-CA"/>
        </w:rPr>
        <w:t>a réellement fait dans le passé et qu</w:t>
      </w:r>
      <w:r>
        <w:rPr>
          <w:rFonts w:cs="Times New Roman"/>
          <w:lang w:val="fr-CA"/>
        </w:rPr>
        <w:t>’</w:t>
      </w:r>
      <w:r w:rsidRPr="00375EDE">
        <w:rPr>
          <w:rFonts w:cs="Times New Roman"/>
          <w:lang w:val="fr-CA"/>
        </w:rPr>
        <w:t>il a expressément manifesté l</w:t>
      </w:r>
      <w:r>
        <w:rPr>
          <w:rFonts w:cs="Times New Roman"/>
          <w:lang w:val="fr-CA"/>
        </w:rPr>
        <w:t>’</w:t>
      </w:r>
      <w:r w:rsidRPr="00375EDE">
        <w:rPr>
          <w:rFonts w:cs="Times New Roman"/>
          <w:lang w:val="fr-CA"/>
        </w:rPr>
        <w:t>intention de demander un remboursement en l</w:t>
      </w:r>
      <w:r>
        <w:rPr>
          <w:rFonts w:cs="Times New Roman"/>
          <w:lang w:val="fr-CA"/>
        </w:rPr>
        <w:t>’</w:t>
      </w:r>
      <w:r w:rsidRPr="00375EDE">
        <w:rPr>
          <w:rFonts w:cs="Times New Roman"/>
          <w:lang w:val="fr-CA"/>
        </w:rPr>
        <w:t>espèce — indiquent le contraire. Quoi qu</w:t>
      </w:r>
      <w:r>
        <w:rPr>
          <w:rFonts w:cs="Times New Roman"/>
          <w:lang w:val="fr-CA"/>
        </w:rPr>
        <w:t>’</w:t>
      </w:r>
      <w:r w:rsidRPr="00375EDE">
        <w:rPr>
          <w:rFonts w:cs="Times New Roman"/>
          <w:lang w:val="fr-CA"/>
        </w:rPr>
        <w:t>il en soit, la remarque du juge en chef Wittmann selon laquelle il n</w:t>
      </w:r>
      <w:r>
        <w:rPr>
          <w:rFonts w:cs="Times New Roman"/>
          <w:lang w:val="fr-CA"/>
        </w:rPr>
        <w:t>’</w:t>
      </w:r>
      <w:r w:rsidRPr="00375EDE">
        <w:rPr>
          <w:rFonts w:cs="Times New Roman"/>
          <w:lang w:val="fr-CA"/>
        </w:rPr>
        <w:t>était pas satisfait à la norme de « certitude suffisante » « au sens strict et technique » doit être interprétée dans ce contexte : il voulait tout simplement dire qu</w:t>
      </w:r>
      <w:r>
        <w:rPr>
          <w:rFonts w:cs="Times New Roman"/>
          <w:lang w:val="fr-CA"/>
        </w:rPr>
        <w:t>’</w:t>
      </w:r>
      <w:r w:rsidRPr="00375EDE">
        <w:rPr>
          <w:rFonts w:cs="Times New Roman"/>
          <w:lang w:val="fr-CA"/>
        </w:rPr>
        <w:t>il y avait une certaine incertitude quant à savoir « si l</w:t>
      </w:r>
      <w:r>
        <w:rPr>
          <w:rFonts w:cs="Times New Roman"/>
          <w:lang w:val="fr-CA"/>
        </w:rPr>
        <w:t>’</w:t>
      </w:r>
      <w:r w:rsidRPr="00375EDE">
        <w:rPr>
          <w:rFonts w:cs="Times New Roman"/>
          <w:lang w:val="fr-CA"/>
        </w:rPr>
        <w:t>AER effectuera[it] lui</w:t>
      </w:r>
      <w:r w:rsidRPr="00375EDE">
        <w:rPr>
          <w:rFonts w:cs="Times New Roman"/>
          <w:lang w:val="fr-CA"/>
        </w:rPr>
        <w:noBreakHyphen/>
        <w:t>même les travaux » au lieu de déléguer les travaux à l</w:t>
      </w:r>
      <w:r>
        <w:rPr>
          <w:rFonts w:cs="Times New Roman"/>
          <w:lang w:val="fr-CA"/>
        </w:rPr>
        <w:t>’</w:t>
      </w:r>
      <w:r w:rsidRPr="00375EDE">
        <w:rPr>
          <w:rFonts w:cs="Times New Roman"/>
          <w:lang w:val="fr-CA"/>
        </w:rPr>
        <w:t xml:space="preserve">OWA (par. 173). Il </w:t>
      </w:r>
      <w:r w:rsidRPr="00CB01F5">
        <w:rPr>
          <w:rFonts w:cs="Times New Roman"/>
          <w:i/>
          <w:lang w:val="fr-CA"/>
        </w:rPr>
        <w:t>ne</w:t>
      </w:r>
      <w:r w:rsidRPr="00375EDE">
        <w:rPr>
          <w:rFonts w:cs="Times New Roman"/>
          <w:lang w:val="fr-CA"/>
        </w:rPr>
        <w:t xml:space="preserve"> sous</w:t>
      </w:r>
      <w:r w:rsidRPr="00375EDE">
        <w:rPr>
          <w:rFonts w:cs="Times New Roman"/>
          <w:lang w:val="fr-CA"/>
        </w:rPr>
        <w:noBreakHyphen/>
        <w:t xml:space="preserve">entendait </w:t>
      </w:r>
      <w:r w:rsidRPr="00375EDE">
        <w:rPr>
          <w:rFonts w:cs="Times New Roman"/>
          <w:i/>
          <w:lang w:val="fr-CA"/>
        </w:rPr>
        <w:t>pas</w:t>
      </w:r>
      <w:r w:rsidRPr="00375EDE">
        <w:rPr>
          <w:rFonts w:cs="Times New Roman"/>
          <w:lang w:val="fr-CA"/>
        </w:rPr>
        <w:t xml:space="preserve"> — et concluait encore moins en droit — que GTL n</w:t>
      </w:r>
      <w:r>
        <w:rPr>
          <w:rFonts w:cs="Times New Roman"/>
          <w:lang w:val="fr-CA"/>
        </w:rPr>
        <w:t>’</w:t>
      </w:r>
      <w:r w:rsidRPr="00375EDE">
        <w:rPr>
          <w:rFonts w:cs="Times New Roman"/>
          <w:lang w:val="fr-CA"/>
        </w:rPr>
        <w:t xml:space="preserve">avait pas réussi à établir le troisième volet du test </w:t>
      </w:r>
      <w:r w:rsidRPr="00375EDE">
        <w:rPr>
          <w:rFonts w:cs="Times New Roman"/>
          <w:i/>
          <w:lang w:val="fr-CA"/>
        </w:rPr>
        <w:t>Abitibi</w:t>
      </w:r>
      <w:r w:rsidRPr="00375EDE">
        <w:rPr>
          <w:rFonts w:cs="Times New Roman"/>
          <w:lang w:val="fr-CA"/>
        </w:rPr>
        <w:t xml:space="preserve">. Cette interprétation exagère considérablement le sens de quelques mots isolés contenus dans ses motifs, et sort complètement ces mots de leur contexte.  </w:t>
      </w:r>
    </w:p>
    <w:p w:rsidR="00DF13E5" w:rsidRPr="00375EDE" w:rsidRDefault="00DF13E5" w:rsidP="00DF13E5">
      <w:pPr>
        <w:pStyle w:val="ParaNoNdepar-AltN"/>
        <w:rPr>
          <w:rFonts w:cs="Times New Roman"/>
          <w:lang w:val="fr-CA"/>
        </w:rPr>
      </w:pPr>
      <w:r w:rsidRPr="00375EDE">
        <w:rPr>
          <w:rFonts w:cs="Times New Roman"/>
          <w:lang w:val="fr-CA"/>
        </w:rPr>
        <w:t>Le problème le plus important, cependant, c</w:t>
      </w:r>
      <w:r>
        <w:rPr>
          <w:rFonts w:cs="Times New Roman"/>
          <w:lang w:val="fr-CA"/>
        </w:rPr>
        <w:t>’</w:t>
      </w:r>
      <w:r w:rsidRPr="00375EDE">
        <w:rPr>
          <w:rFonts w:cs="Times New Roman"/>
          <w:lang w:val="fr-CA"/>
        </w:rPr>
        <w:t>est que toute distinction entre l</w:t>
      </w:r>
      <w:r>
        <w:rPr>
          <w:rFonts w:cs="Times New Roman"/>
          <w:lang w:val="fr-CA"/>
        </w:rPr>
        <w:t>’</w:t>
      </w:r>
      <w:r w:rsidRPr="00375EDE">
        <w:rPr>
          <w:rFonts w:cs="Times New Roman"/>
          <w:lang w:val="fr-CA"/>
        </w:rPr>
        <w:t>exécution des travaux d</w:t>
      </w:r>
      <w:r>
        <w:rPr>
          <w:rFonts w:cs="Times New Roman"/>
          <w:lang w:val="fr-CA"/>
        </w:rPr>
        <w:t>’</w:t>
      </w:r>
      <w:r w:rsidRPr="00375EDE">
        <w:rPr>
          <w:rFonts w:cs="Times New Roman"/>
          <w:lang w:val="fr-CA"/>
        </w:rPr>
        <w:t>abandon par l</w:t>
      </w:r>
      <w:r>
        <w:rPr>
          <w:rFonts w:cs="Times New Roman"/>
          <w:lang w:val="fr-CA"/>
        </w:rPr>
        <w:t>’</w:t>
      </w:r>
      <w:r w:rsidRPr="00375EDE">
        <w:rPr>
          <w:rFonts w:cs="Times New Roman"/>
          <w:lang w:val="fr-CA"/>
        </w:rPr>
        <w:t>AER et leur exécution par l</w:t>
      </w:r>
      <w:r>
        <w:rPr>
          <w:rFonts w:cs="Times New Roman"/>
          <w:lang w:val="fr-CA"/>
        </w:rPr>
        <w:t>’</w:t>
      </w:r>
      <w:r w:rsidRPr="00375EDE">
        <w:rPr>
          <w:rFonts w:cs="Times New Roman"/>
          <w:lang w:val="fr-CA"/>
        </w:rPr>
        <w:t>OWA est dénuée de sens. C</w:t>
      </w:r>
      <w:r>
        <w:rPr>
          <w:rFonts w:cs="Times New Roman"/>
          <w:lang w:val="fr-CA"/>
        </w:rPr>
        <w:t>’</w:t>
      </w:r>
      <w:r w:rsidRPr="00375EDE">
        <w:rPr>
          <w:rFonts w:cs="Times New Roman"/>
          <w:lang w:val="fr-CA"/>
        </w:rPr>
        <w:t>est faire passer la forme avant le fond que de conclure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est pas satisfait à la norme de « certitude suffisante » lorsque le délégataire de l</w:t>
      </w:r>
      <w:r>
        <w:rPr>
          <w:rFonts w:cs="Times New Roman"/>
          <w:lang w:val="fr-CA"/>
        </w:rPr>
        <w:t>’</w:t>
      </w:r>
      <w:r w:rsidRPr="00375EDE">
        <w:rPr>
          <w:rFonts w:cs="Times New Roman"/>
          <w:lang w:val="fr-CA"/>
        </w:rPr>
        <w:t>organisme de réglementation, et non l</w:t>
      </w:r>
      <w:r>
        <w:rPr>
          <w:rFonts w:cs="Times New Roman"/>
          <w:lang w:val="fr-CA"/>
        </w:rPr>
        <w:t>’</w:t>
      </w:r>
      <w:r w:rsidRPr="00375EDE">
        <w:rPr>
          <w:rFonts w:cs="Times New Roman"/>
          <w:lang w:val="fr-CA"/>
        </w:rPr>
        <w:t>organisme de réglementation lui</w:t>
      </w:r>
      <w:r w:rsidRPr="00375EDE">
        <w:rPr>
          <w:rFonts w:cs="Times New Roman"/>
          <w:lang w:val="fr-CA"/>
        </w:rPr>
        <w:noBreakHyphen/>
        <w:t>même, effectue les travaux. Et malgré l</w:t>
      </w:r>
      <w:r>
        <w:rPr>
          <w:rFonts w:cs="Times New Roman"/>
          <w:lang w:val="fr-CA"/>
        </w:rPr>
        <w:t>’</w:t>
      </w:r>
      <w:r w:rsidRPr="00375EDE">
        <w:rPr>
          <w:rFonts w:cs="Times New Roman"/>
          <w:lang w:val="fr-CA"/>
        </w:rPr>
        <w:t>affirmation de mon collègue selon laquelle un organisme de réglementation ne saurait stratégiquement éviter l</w:t>
      </w:r>
      <w:r>
        <w:rPr>
          <w:rFonts w:cs="Times New Roman"/>
          <w:lang w:val="fr-CA"/>
        </w:rPr>
        <w:t>’</w:t>
      </w:r>
      <w:r w:rsidRPr="00375EDE">
        <w:rPr>
          <w:rFonts w:cs="Times New Roman"/>
          <w:lang w:val="fr-CA"/>
        </w:rPr>
        <w:t xml:space="preserve">arrêt </w:t>
      </w:r>
      <w:r w:rsidRPr="00375EDE">
        <w:rPr>
          <w:rFonts w:cs="Times New Roman"/>
          <w:i/>
          <w:lang w:val="fr-CA"/>
        </w:rPr>
        <w:t>Abitibi</w:t>
      </w:r>
      <w:r w:rsidRPr="00375EDE">
        <w:rPr>
          <w:rFonts w:cs="Times New Roman"/>
          <w:lang w:val="fr-CA"/>
        </w:rPr>
        <w:t>, c</w:t>
      </w:r>
      <w:r>
        <w:rPr>
          <w:rFonts w:cs="Times New Roman"/>
          <w:lang w:val="fr-CA"/>
        </w:rPr>
        <w:t>’</w:t>
      </w:r>
      <w:r w:rsidRPr="00375EDE">
        <w:rPr>
          <w:rFonts w:cs="Times New Roman"/>
          <w:lang w:val="fr-CA"/>
        </w:rPr>
        <w:t xml:space="preserve">est précisément ce que son analyse permet de faire. </w:t>
      </w:r>
    </w:p>
    <w:p w:rsidR="00DF13E5" w:rsidRPr="00375EDE" w:rsidRDefault="00CB01F5" w:rsidP="00DF13E5">
      <w:pPr>
        <w:pStyle w:val="ParaNoNdepar-AltN"/>
        <w:rPr>
          <w:rFonts w:cs="Times New Roman"/>
          <w:lang w:val="fr-CA"/>
        </w:rPr>
      </w:pPr>
      <w:r>
        <w:rPr>
          <w:rFonts w:cs="Times New Roman"/>
          <w:lang w:val="fr-CA"/>
        </w:rPr>
        <w:lastRenderedPageBreak/>
        <w:t>On nous dit que la</w:t>
      </w:r>
      <w:r w:rsidR="00DF13E5" w:rsidRPr="00375EDE">
        <w:rPr>
          <w:rFonts w:cs="Times New Roman"/>
          <w:lang w:val="fr-CA"/>
        </w:rPr>
        <w:t xml:space="preserve"> « véritable nature de l</w:t>
      </w:r>
      <w:r w:rsidR="00DF13E5">
        <w:rPr>
          <w:rFonts w:cs="Times New Roman"/>
          <w:lang w:val="fr-CA"/>
        </w:rPr>
        <w:t>’</w:t>
      </w:r>
      <w:r w:rsidR="00DF13E5" w:rsidRPr="00375EDE">
        <w:rPr>
          <w:rFonts w:cs="Times New Roman"/>
          <w:lang w:val="fr-CA"/>
        </w:rPr>
        <w:t>OWA » (</w:t>
      </w:r>
      <w:r w:rsidR="00DF13E5">
        <w:rPr>
          <w:rFonts w:cs="Times New Roman"/>
          <w:lang w:val="fr-CA"/>
        </w:rPr>
        <w:t xml:space="preserve">motifs majoritaires, </w:t>
      </w:r>
      <w:r w:rsidR="00DF13E5" w:rsidRPr="00375EDE">
        <w:rPr>
          <w:rFonts w:cs="Times New Roman"/>
          <w:lang w:val="fr-CA"/>
        </w:rPr>
        <w:t xml:space="preserve">par. 147) — et, par conséquent, ce qui est censé distinguer la présente affaire des exemples inadmissibles de délégation stratégique — repose sur quatre facteurs : </w:t>
      </w:r>
      <w:r w:rsidR="00422DD4">
        <w:rPr>
          <w:rFonts w:cs="Times New Roman"/>
          <w:lang w:val="fr-CA"/>
        </w:rPr>
        <w:t>(</w:t>
      </w:r>
      <w:r w:rsidR="00DF13E5" w:rsidRPr="00375EDE">
        <w:rPr>
          <w:rFonts w:cs="Times New Roman"/>
          <w:lang w:val="fr-CA"/>
        </w:rPr>
        <w:t>1) l</w:t>
      </w:r>
      <w:r w:rsidR="00DF13E5">
        <w:rPr>
          <w:rFonts w:cs="Times New Roman"/>
          <w:lang w:val="fr-CA"/>
        </w:rPr>
        <w:t>’</w:t>
      </w:r>
      <w:r w:rsidR="00DF13E5" w:rsidRPr="00375EDE">
        <w:rPr>
          <w:rFonts w:cs="Times New Roman"/>
          <w:lang w:val="fr-CA"/>
        </w:rPr>
        <w:t xml:space="preserve">OWA est un organisme sans but lucratif; </w:t>
      </w:r>
      <w:r w:rsidR="00422DD4">
        <w:rPr>
          <w:rFonts w:cs="Times New Roman"/>
          <w:lang w:val="fr-CA"/>
        </w:rPr>
        <w:t>(</w:t>
      </w:r>
      <w:r w:rsidR="00DF13E5" w:rsidRPr="00375EDE">
        <w:rPr>
          <w:rFonts w:cs="Times New Roman"/>
          <w:lang w:val="fr-CA"/>
        </w:rPr>
        <w:t>2) elle a un conseil d</w:t>
      </w:r>
      <w:r w:rsidR="00DF13E5">
        <w:rPr>
          <w:rFonts w:cs="Times New Roman"/>
          <w:lang w:val="fr-CA"/>
        </w:rPr>
        <w:t>’</w:t>
      </w:r>
      <w:r w:rsidR="00DF13E5" w:rsidRPr="00375EDE">
        <w:rPr>
          <w:rFonts w:cs="Times New Roman"/>
          <w:lang w:val="fr-CA"/>
        </w:rPr>
        <w:t xml:space="preserve">administration indépendant; </w:t>
      </w:r>
      <w:r w:rsidR="00422DD4">
        <w:rPr>
          <w:rFonts w:cs="Times New Roman"/>
          <w:lang w:val="fr-CA"/>
        </w:rPr>
        <w:t>(</w:t>
      </w:r>
      <w:r w:rsidR="00DF13E5" w:rsidRPr="00375EDE">
        <w:rPr>
          <w:rFonts w:cs="Times New Roman"/>
          <w:lang w:val="fr-CA"/>
        </w:rPr>
        <w:t>3) elle dispose de son propre mandat et décide « </w:t>
      </w:r>
      <w:r>
        <w:rPr>
          <w:rFonts w:cs="Times New Roman"/>
          <w:lang w:val="fr-CA"/>
        </w:rPr>
        <w:t>quand et de quelle manière</w:t>
      </w:r>
      <w:r w:rsidR="00DF13E5" w:rsidRPr="00375EDE">
        <w:rPr>
          <w:rFonts w:cs="Times New Roman"/>
          <w:lang w:val="fr-CA"/>
        </w:rPr>
        <w:t xml:space="preserve"> elle exécutera des travaux environnementaux » (par. 148); </w:t>
      </w:r>
      <w:r w:rsidR="007E23B6">
        <w:rPr>
          <w:rFonts w:cs="Times New Roman"/>
          <w:lang w:val="fr-CA"/>
        </w:rPr>
        <w:t>(</w:t>
      </w:r>
      <w:r w:rsidR="00DF13E5" w:rsidRPr="00375EDE">
        <w:rPr>
          <w:rFonts w:cs="Times New Roman"/>
          <w:lang w:val="fr-CA"/>
        </w:rPr>
        <w:t xml:space="preserve">4) elle est </w:t>
      </w:r>
      <w:r w:rsidRPr="00375EDE">
        <w:rPr>
          <w:rFonts w:cs="Times New Roman"/>
          <w:lang w:val="fr-CA"/>
        </w:rPr>
        <w:t>«</w:t>
      </w:r>
      <w:r>
        <w:rPr>
          <w:rFonts w:cs="Times New Roman"/>
          <w:lang w:val="fr-CA"/>
        </w:rPr>
        <w:t> </w:t>
      </w:r>
      <w:r w:rsidR="00DF13E5" w:rsidRPr="00375EDE">
        <w:rPr>
          <w:rFonts w:cs="Times New Roman"/>
          <w:lang w:val="fr-CA"/>
        </w:rPr>
        <w:t>financièrement indépendante</w:t>
      </w:r>
      <w:r>
        <w:rPr>
          <w:rFonts w:cs="Times New Roman"/>
          <w:lang w:val="fr-CA"/>
        </w:rPr>
        <w:t> </w:t>
      </w:r>
      <w:r w:rsidRPr="00375EDE">
        <w:rPr>
          <w:rFonts w:cs="Times New Roman"/>
          <w:lang w:val="fr-CA"/>
        </w:rPr>
        <w:t>»</w:t>
      </w:r>
      <w:r w:rsidR="00DF13E5" w:rsidRPr="00375EDE">
        <w:rPr>
          <w:rFonts w:cs="Times New Roman"/>
          <w:lang w:val="fr-CA"/>
        </w:rPr>
        <w:t xml:space="preserve"> (par. 148) et « presque entièrement » financée par une taxe imposée à l</w:t>
      </w:r>
      <w:r w:rsidR="00DF13E5">
        <w:rPr>
          <w:rFonts w:cs="Times New Roman"/>
          <w:lang w:val="fr-CA"/>
        </w:rPr>
        <w:t>’</w:t>
      </w:r>
      <w:r w:rsidR="00DF13E5" w:rsidRPr="00375EDE">
        <w:rPr>
          <w:rFonts w:cs="Times New Roman"/>
          <w:lang w:val="fr-CA"/>
        </w:rPr>
        <w:t xml:space="preserve">industrie pétrolière et gazière (par. 23). </w:t>
      </w:r>
    </w:p>
    <w:p w:rsidR="00DF13E5" w:rsidRPr="00375EDE" w:rsidRDefault="00DF13E5" w:rsidP="00DF13E5">
      <w:pPr>
        <w:pStyle w:val="ParaNoNdepar-AltN"/>
        <w:rPr>
          <w:rFonts w:cs="Times New Roman"/>
          <w:lang w:val="fr-CA"/>
        </w:rPr>
      </w:pPr>
      <w:r w:rsidRPr="00375EDE">
        <w:rPr>
          <w:rFonts w:cs="Times New Roman"/>
          <w:lang w:val="fr-CA"/>
        </w:rPr>
        <w:t>Le premier point est exact, mais non pertinent. Pourquoi le statut d</w:t>
      </w:r>
      <w:r>
        <w:rPr>
          <w:rFonts w:cs="Times New Roman"/>
          <w:lang w:val="fr-CA"/>
        </w:rPr>
        <w:t>’</w:t>
      </w:r>
      <w:r w:rsidRPr="00375EDE">
        <w:rPr>
          <w:rFonts w:cs="Times New Roman"/>
          <w:lang w:val="fr-CA"/>
        </w:rPr>
        <w:t>organisme sans but lucratif aurait</w:t>
      </w:r>
      <w:r w:rsidRPr="00375EDE">
        <w:rPr>
          <w:rFonts w:cs="Times New Roman"/>
          <w:lang w:val="fr-CA"/>
        </w:rPr>
        <w:noBreakHyphen/>
        <w:t>il une incidence sur la question de savoir s</w:t>
      </w:r>
      <w:r>
        <w:rPr>
          <w:rFonts w:cs="Times New Roman"/>
          <w:lang w:val="fr-CA"/>
        </w:rPr>
        <w:t>’</w:t>
      </w:r>
      <w:r w:rsidRPr="00375EDE">
        <w:rPr>
          <w:rFonts w:cs="Times New Roman"/>
          <w:lang w:val="fr-CA"/>
        </w:rPr>
        <w:t>il est utilisé comme moyen d</w:t>
      </w:r>
      <w:r>
        <w:rPr>
          <w:rFonts w:cs="Times New Roman"/>
          <w:lang w:val="fr-CA"/>
        </w:rPr>
        <w:t>’</w:t>
      </w:r>
      <w:r w:rsidRPr="00375EDE">
        <w:rPr>
          <w:rFonts w:cs="Times New Roman"/>
          <w:lang w:val="fr-CA"/>
        </w:rPr>
        <w:t xml:space="preserve">éviter la norme de « certitude suffisante » fixée dans </w:t>
      </w:r>
      <w:r w:rsidRPr="00375EDE">
        <w:rPr>
          <w:rFonts w:cs="Times New Roman"/>
          <w:i/>
          <w:lang w:val="fr-CA"/>
        </w:rPr>
        <w:t>Abitibi</w:t>
      </w:r>
      <w:r w:rsidRPr="00375EDE">
        <w:rPr>
          <w:rFonts w:cs="Times New Roman"/>
          <w:lang w:val="fr-CA"/>
        </w:rPr>
        <w:t xml:space="preserve">? </w:t>
      </w:r>
    </w:p>
    <w:p w:rsidR="00DF13E5" w:rsidRPr="00375EDE" w:rsidRDefault="00DF13E5" w:rsidP="00DF13E5">
      <w:pPr>
        <w:pStyle w:val="ParaNoNdepar-AltN"/>
        <w:rPr>
          <w:rFonts w:cs="Times New Roman"/>
          <w:lang w:val="fr-CA"/>
        </w:rPr>
      </w:pPr>
      <w:r w:rsidRPr="00375EDE">
        <w:rPr>
          <w:rFonts w:cs="Times New Roman"/>
          <w:lang w:val="fr-CA"/>
        </w:rPr>
        <w:t>Le deuxième point est inexact. L</w:t>
      </w:r>
      <w:r>
        <w:rPr>
          <w:rFonts w:cs="Times New Roman"/>
          <w:lang w:val="fr-CA"/>
        </w:rPr>
        <w:t>’</w:t>
      </w:r>
      <w:r w:rsidRPr="00375EDE">
        <w:rPr>
          <w:rFonts w:cs="Times New Roman"/>
          <w:lang w:val="fr-CA"/>
        </w:rPr>
        <w:t>AER nomme les membres du conseil d</w:t>
      </w:r>
      <w:r>
        <w:rPr>
          <w:rFonts w:cs="Times New Roman"/>
          <w:lang w:val="fr-CA"/>
        </w:rPr>
        <w:t>’</w:t>
      </w:r>
      <w:r w:rsidRPr="00375EDE">
        <w:rPr>
          <w:rFonts w:cs="Times New Roman"/>
          <w:lang w:val="fr-CA"/>
        </w:rPr>
        <w:t>administration de l</w:t>
      </w:r>
      <w:r>
        <w:rPr>
          <w:rFonts w:cs="Times New Roman"/>
          <w:lang w:val="fr-CA"/>
        </w:rPr>
        <w:t>’</w:t>
      </w:r>
      <w:r w:rsidRPr="00375EDE">
        <w:rPr>
          <w:rFonts w:cs="Times New Roman"/>
          <w:lang w:val="fr-CA"/>
        </w:rPr>
        <w:t>OWA, comme le fait un autre organisme provincial, Alberta Environment and Parks — ce qui fait ressortir à quel point le gouvernement provincial peut influencer les activités de l</w:t>
      </w:r>
      <w:r>
        <w:rPr>
          <w:rFonts w:cs="Times New Roman"/>
          <w:lang w:val="fr-CA"/>
        </w:rPr>
        <w:t>’</w:t>
      </w:r>
      <w:r w:rsidRPr="00375EDE">
        <w:rPr>
          <w:rFonts w:cs="Times New Roman"/>
          <w:lang w:val="fr-CA"/>
        </w:rPr>
        <w:t xml:space="preserve">OWA. </w:t>
      </w:r>
    </w:p>
    <w:p w:rsidR="00DF13E5" w:rsidRPr="00375EDE" w:rsidRDefault="00DF13E5" w:rsidP="00DF13E5">
      <w:pPr>
        <w:pStyle w:val="ParaNoNdepar-AltN"/>
        <w:rPr>
          <w:rFonts w:cs="Times New Roman"/>
          <w:lang w:val="fr-CA"/>
        </w:rPr>
      </w:pPr>
      <w:r w:rsidRPr="00375EDE">
        <w:rPr>
          <w:rFonts w:cs="Times New Roman"/>
          <w:lang w:val="fr-CA"/>
        </w:rPr>
        <w:t>Le troisième point surestime l</w:t>
      </w:r>
      <w:r>
        <w:rPr>
          <w:rFonts w:cs="Times New Roman"/>
          <w:lang w:val="fr-CA"/>
        </w:rPr>
        <w:t>’</w:t>
      </w:r>
      <w:r w:rsidRPr="00375EDE">
        <w:rPr>
          <w:rFonts w:cs="Times New Roman"/>
          <w:lang w:val="fr-CA"/>
        </w:rPr>
        <w:t>indépendance de l</w:t>
      </w:r>
      <w:r>
        <w:rPr>
          <w:rFonts w:cs="Times New Roman"/>
          <w:lang w:val="fr-CA"/>
        </w:rPr>
        <w:t>’</w:t>
      </w:r>
      <w:r w:rsidRPr="00375EDE">
        <w:rPr>
          <w:rFonts w:cs="Times New Roman"/>
          <w:lang w:val="fr-CA"/>
        </w:rPr>
        <w:t xml:space="preserve">OWA. Le </w:t>
      </w:r>
      <w:r w:rsidRPr="00375EDE">
        <w:rPr>
          <w:rFonts w:cs="Times New Roman"/>
          <w:i/>
          <w:lang w:val="fr-CA"/>
        </w:rPr>
        <w:t>Orphan Fund Delegated Administration Regulation</w:t>
      </w:r>
      <w:r w:rsidRPr="00375EDE">
        <w:rPr>
          <w:rFonts w:cs="Times New Roman"/>
          <w:lang w:val="fr-CA"/>
        </w:rPr>
        <w:t>, Alta. Reg. 45/2001, accorde à l</w:t>
      </w:r>
      <w:r>
        <w:rPr>
          <w:rFonts w:cs="Times New Roman"/>
          <w:lang w:val="fr-CA"/>
        </w:rPr>
        <w:t>’</w:t>
      </w:r>
      <w:r w:rsidRPr="00375EDE">
        <w:rPr>
          <w:rFonts w:cs="Times New Roman"/>
          <w:lang w:val="fr-CA"/>
        </w:rPr>
        <w:t>AER le pouvoir important d</w:t>
      </w:r>
      <w:r>
        <w:rPr>
          <w:rFonts w:cs="Times New Roman"/>
          <w:lang w:val="fr-CA"/>
        </w:rPr>
        <w:t>’</w:t>
      </w:r>
      <w:r w:rsidRPr="00375EDE">
        <w:rPr>
          <w:rFonts w:cs="Times New Roman"/>
          <w:lang w:val="fr-CA"/>
        </w:rPr>
        <w:t>influencer la prise de décisions de l</w:t>
      </w:r>
      <w:r>
        <w:rPr>
          <w:rFonts w:cs="Times New Roman"/>
          <w:lang w:val="fr-CA"/>
        </w:rPr>
        <w:t>’</w:t>
      </w:r>
      <w:r w:rsidRPr="00375EDE">
        <w:rPr>
          <w:rFonts w:cs="Times New Roman"/>
          <w:lang w:val="fr-CA"/>
        </w:rPr>
        <w:t>OWA. L</w:t>
      </w:r>
      <w:r>
        <w:rPr>
          <w:rFonts w:cs="Times New Roman"/>
          <w:lang w:val="fr-CA"/>
        </w:rPr>
        <w:t>’</w:t>
      </w:r>
      <w:r w:rsidRPr="00375EDE">
        <w:rPr>
          <w:rFonts w:cs="Times New Roman"/>
          <w:lang w:val="fr-CA"/>
        </w:rPr>
        <w:t>alinéa 3(2)</w:t>
      </w:r>
      <w:r w:rsidR="000624A5">
        <w:rPr>
          <w:rFonts w:cs="Times New Roman"/>
          <w:lang w:val="fr-CA"/>
        </w:rPr>
        <w:t>(</w:t>
      </w:r>
      <w:r w:rsidRPr="00375EDE">
        <w:rPr>
          <w:rFonts w:cs="Times New Roman"/>
          <w:lang w:val="fr-CA"/>
        </w:rPr>
        <w:t>b) du règlement dispose en termes exprès que, dans l</w:t>
      </w:r>
      <w:r>
        <w:rPr>
          <w:rFonts w:cs="Times New Roman"/>
          <w:lang w:val="fr-CA"/>
        </w:rPr>
        <w:t>’</w:t>
      </w:r>
      <w:r w:rsidRPr="00375EDE">
        <w:rPr>
          <w:rFonts w:cs="Times New Roman"/>
          <w:lang w:val="fr-CA"/>
        </w:rPr>
        <w:t>exercice des pouvoirs, obligations et attributions qui lui sont déléguées, l</w:t>
      </w:r>
      <w:r>
        <w:rPr>
          <w:rFonts w:cs="Times New Roman"/>
          <w:lang w:val="fr-CA"/>
        </w:rPr>
        <w:t>’</w:t>
      </w:r>
      <w:r w:rsidRPr="00375EDE">
        <w:rPr>
          <w:rFonts w:cs="Times New Roman"/>
          <w:lang w:val="fr-CA"/>
        </w:rPr>
        <w:t>OWA doit se conformer aux [</w:t>
      </w:r>
      <w:r w:rsidRPr="00375EDE">
        <w:rPr>
          <w:rFonts w:cs="Times New Roman"/>
          <w:smallCaps/>
          <w:lang w:val="fr-CA"/>
        </w:rPr>
        <w:t>traduction</w:t>
      </w:r>
      <w:r w:rsidRPr="00375EDE">
        <w:rPr>
          <w:rFonts w:cs="Times New Roman"/>
          <w:lang w:val="fr-CA"/>
        </w:rPr>
        <w:t>] « conditions, lignes directrices, directives et ordonnances applicables de [l</w:t>
      </w:r>
      <w:r>
        <w:rPr>
          <w:rFonts w:cs="Times New Roman"/>
          <w:lang w:val="fr-CA"/>
        </w:rPr>
        <w:t>’</w:t>
      </w:r>
      <w:r w:rsidRPr="00375EDE">
        <w:rPr>
          <w:rFonts w:cs="Times New Roman"/>
          <w:lang w:val="fr-CA"/>
        </w:rPr>
        <w:t>AER] ». Le règlement exige que l</w:t>
      </w:r>
      <w:r>
        <w:rPr>
          <w:rFonts w:cs="Times New Roman"/>
          <w:lang w:val="fr-CA"/>
        </w:rPr>
        <w:t>’</w:t>
      </w:r>
      <w:r w:rsidRPr="00375EDE">
        <w:rPr>
          <w:rFonts w:cs="Times New Roman"/>
          <w:lang w:val="fr-CA"/>
        </w:rPr>
        <w:t>OWA fournisse sur demande des renseignements à l</w:t>
      </w:r>
      <w:r>
        <w:rPr>
          <w:rFonts w:cs="Times New Roman"/>
          <w:lang w:val="fr-CA"/>
        </w:rPr>
        <w:t>’</w:t>
      </w:r>
      <w:r w:rsidRPr="00375EDE">
        <w:rPr>
          <w:rFonts w:cs="Times New Roman"/>
          <w:lang w:val="fr-CA"/>
        </w:rPr>
        <w:t xml:space="preserve">AER et dépose </w:t>
      </w:r>
      <w:r w:rsidRPr="00375EDE">
        <w:rPr>
          <w:rFonts w:cs="Times New Roman"/>
          <w:lang w:val="fr-CA"/>
        </w:rPr>
        <w:lastRenderedPageBreak/>
        <w:t xml:space="preserve">périodiquement des rapports décrivant son budget de même que ses « objectifs, stratégies, </w:t>
      </w:r>
      <w:r>
        <w:rPr>
          <w:rFonts w:cs="Times New Roman"/>
          <w:lang w:val="fr-CA"/>
        </w:rPr>
        <w:t>mesures du rendement </w:t>
      </w:r>
      <w:r w:rsidRPr="00375EDE">
        <w:rPr>
          <w:rFonts w:cs="Times New Roman"/>
          <w:lang w:val="fr-CA"/>
        </w:rPr>
        <w:t>», activités de l</w:t>
      </w:r>
      <w:r>
        <w:rPr>
          <w:rFonts w:cs="Times New Roman"/>
          <w:lang w:val="fr-CA"/>
        </w:rPr>
        <w:t>’</w:t>
      </w:r>
      <w:r w:rsidRPr="00375EDE">
        <w:rPr>
          <w:rFonts w:cs="Times New Roman"/>
          <w:lang w:val="fr-CA"/>
        </w:rPr>
        <w:t>année précédente et états financiers (art. 6). L</w:t>
      </w:r>
      <w:r>
        <w:rPr>
          <w:rFonts w:cs="Times New Roman"/>
          <w:lang w:val="fr-CA"/>
        </w:rPr>
        <w:t>’</w:t>
      </w:r>
      <w:r w:rsidRPr="00375EDE">
        <w:rPr>
          <w:rFonts w:cs="Times New Roman"/>
          <w:lang w:val="fr-CA"/>
        </w:rPr>
        <w:t>AER semble être à même d</w:t>
      </w:r>
      <w:r>
        <w:rPr>
          <w:rFonts w:cs="Times New Roman"/>
          <w:lang w:val="fr-CA"/>
        </w:rPr>
        <w:t>’</w:t>
      </w:r>
      <w:r w:rsidRPr="00375EDE">
        <w:rPr>
          <w:rFonts w:cs="Times New Roman"/>
          <w:lang w:val="fr-CA"/>
        </w:rPr>
        <w:t>exercer beaucoup d</w:t>
      </w:r>
      <w:r>
        <w:rPr>
          <w:rFonts w:cs="Times New Roman"/>
          <w:lang w:val="fr-CA"/>
        </w:rPr>
        <w:t>’</w:t>
      </w:r>
      <w:r w:rsidRPr="00375EDE">
        <w:rPr>
          <w:rFonts w:cs="Times New Roman"/>
          <w:lang w:val="fr-CA"/>
        </w:rPr>
        <w:t>emprise et de surveillance sur l</w:t>
      </w:r>
      <w:r>
        <w:rPr>
          <w:rFonts w:cs="Times New Roman"/>
          <w:lang w:val="fr-CA"/>
        </w:rPr>
        <w:t>’</w:t>
      </w:r>
      <w:r w:rsidRPr="00375EDE">
        <w:rPr>
          <w:rFonts w:cs="Times New Roman"/>
          <w:lang w:val="fr-CA"/>
        </w:rPr>
        <w:t>OWA, si tel est son désir, y compris sur la manière dont l</w:t>
      </w:r>
      <w:r>
        <w:rPr>
          <w:rFonts w:cs="Times New Roman"/>
          <w:lang w:val="fr-CA"/>
        </w:rPr>
        <w:t>’</w:t>
      </w:r>
      <w:r w:rsidRPr="00375EDE">
        <w:rPr>
          <w:rFonts w:cs="Times New Roman"/>
          <w:lang w:val="fr-CA"/>
        </w:rPr>
        <w:t>OWA effectue ses travaux environnementaux.</w:t>
      </w:r>
    </w:p>
    <w:p w:rsidR="00DF13E5" w:rsidRPr="00375EDE" w:rsidRDefault="00DF13E5" w:rsidP="00DF13E5">
      <w:pPr>
        <w:pStyle w:val="ParaNoNdepar-AltN"/>
        <w:rPr>
          <w:rFonts w:cs="Times New Roman"/>
          <w:lang w:val="fr-CA"/>
        </w:rPr>
      </w:pPr>
      <w:r w:rsidRPr="00375EDE">
        <w:rPr>
          <w:rFonts w:cs="Times New Roman"/>
          <w:lang w:val="fr-CA"/>
        </w:rPr>
        <w:t>Le quatrième point est lui aussi inexact et il n</w:t>
      </w:r>
      <w:r>
        <w:rPr>
          <w:rFonts w:cs="Times New Roman"/>
          <w:lang w:val="fr-CA"/>
        </w:rPr>
        <w:t>’</w:t>
      </w:r>
      <w:r w:rsidRPr="00375EDE">
        <w:rPr>
          <w:rFonts w:cs="Times New Roman"/>
          <w:lang w:val="fr-CA"/>
        </w:rPr>
        <w:t>aurait probablement aucune pertinence même s</w:t>
      </w:r>
      <w:r>
        <w:rPr>
          <w:rFonts w:cs="Times New Roman"/>
          <w:lang w:val="fr-CA"/>
        </w:rPr>
        <w:t>’</w:t>
      </w:r>
      <w:r w:rsidRPr="00375EDE">
        <w:rPr>
          <w:rFonts w:cs="Times New Roman"/>
          <w:lang w:val="fr-CA"/>
        </w:rPr>
        <w:t>il était exact. La Province a fourni des fonds à l</w:t>
      </w:r>
      <w:r>
        <w:rPr>
          <w:rFonts w:cs="Times New Roman"/>
          <w:lang w:val="fr-CA"/>
        </w:rPr>
        <w:t>’</w:t>
      </w:r>
      <w:r w:rsidRPr="00375EDE">
        <w:rPr>
          <w:rFonts w:cs="Times New Roman"/>
          <w:lang w:val="fr-CA"/>
        </w:rPr>
        <w:t>OWA dans le passé, notamment une contribution de 30 millions de dollars en 2009 et une somme supplémentaire de 50 000 $ en 2012, et elle a annoncé qu</w:t>
      </w:r>
      <w:r>
        <w:rPr>
          <w:rFonts w:cs="Times New Roman"/>
          <w:lang w:val="fr-CA"/>
        </w:rPr>
        <w:t>’</w:t>
      </w:r>
      <w:r w:rsidRPr="00375EDE">
        <w:rPr>
          <w:rFonts w:cs="Times New Roman"/>
          <w:lang w:val="fr-CA"/>
        </w:rPr>
        <w:t>elle prêtera une somme supplémentaire de 230 millions de dollars à l</w:t>
      </w:r>
      <w:r>
        <w:rPr>
          <w:rFonts w:cs="Times New Roman"/>
          <w:lang w:val="fr-CA"/>
        </w:rPr>
        <w:t>’</w:t>
      </w:r>
      <w:r w:rsidRPr="00375EDE">
        <w:rPr>
          <w:rFonts w:cs="Times New Roman"/>
          <w:lang w:val="fr-CA"/>
        </w:rPr>
        <w:t xml:space="preserve">OWA (voir le m.a., par. 99 (faisant allusion à ce prêt); rappelons ce que la Cour a affirmé dans </w:t>
      </w:r>
      <w:r w:rsidRPr="00375EDE">
        <w:rPr>
          <w:rFonts w:cs="Times New Roman"/>
          <w:i/>
          <w:lang w:val="fr-CA"/>
        </w:rPr>
        <w:t>Abitibi</w:t>
      </w:r>
      <w:r>
        <w:rPr>
          <w:rFonts w:cs="Times New Roman"/>
          <w:lang w:val="fr-CA"/>
        </w:rPr>
        <w:t>, par. 58 </w:t>
      </w:r>
      <w:r w:rsidRPr="00375EDE">
        <w:rPr>
          <w:rFonts w:cs="Times New Roman"/>
          <w:lang w:val="fr-CA"/>
        </w:rPr>
        <w:t>: « [l]</w:t>
      </w:r>
      <w:r w:rsidRPr="00375EDE">
        <w:rPr>
          <w:rFonts w:cs="Times New Roman"/>
          <w:lang w:val="fr-FR"/>
        </w:rPr>
        <w:t>e fait de prévoir un budget peut constituer un indicateur clair qu</w:t>
      </w:r>
      <w:r>
        <w:rPr>
          <w:rFonts w:cs="Times New Roman"/>
          <w:lang w:val="fr-FR"/>
        </w:rPr>
        <w:t>’</w:t>
      </w:r>
      <w:r w:rsidRPr="00375EDE">
        <w:rPr>
          <w:rFonts w:cs="Times New Roman"/>
          <w:lang w:val="fr-FR"/>
        </w:rPr>
        <w:t>une province exécutera des travaux de décontamination</w:t>
      </w:r>
      <w:r w:rsidRPr="00375EDE">
        <w:rPr>
          <w:rFonts w:cs="Times New Roman"/>
          <w:lang w:val="fr-CA"/>
        </w:rPr>
        <w:t xml:space="preserve"> »). </w:t>
      </w:r>
    </w:p>
    <w:p w:rsidR="00DF13E5" w:rsidRPr="00375EDE" w:rsidRDefault="00DF13E5" w:rsidP="00DF13E5">
      <w:pPr>
        <w:pStyle w:val="ParaNoNdepar-AltN"/>
        <w:rPr>
          <w:rFonts w:cs="Times New Roman"/>
          <w:lang w:val="fr-CA"/>
        </w:rPr>
      </w:pPr>
      <w:r w:rsidRPr="00375EDE">
        <w:rPr>
          <w:rFonts w:cs="Times New Roman"/>
          <w:lang w:val="fr-CA"/>
        </w:rPr>
        <w:t>Quoi qu</w:t>
      </w:r>
      <w:r>
        <w:rPr>
          <w:rFonts w:cs="Times New Roman"/>
          <w:lang w:val="fr-CA"/>
        </w:rPr>
        <w:t>’</w:t>
      </w:r>
      <w:r w:rsidRPr="00375EDE">
        <w:rPr>
          <w:rFonts w:cs="Times New Roman"/>
          <w:lang w:val="fr-CA"/>
        </w:rPr>
        <w:t>il en soit, il importe de souligner les caractéristiques plus saillantes de l</w:t>
      </w:r>
      <w:r>
        <w:rPr>
          <w:rFonts w:cs="Times New Roman"/>
          <w:lang w:val="fr-CA"/>
        </w:rPr>
        <w:t>’</w:t>
      </w:r>
      <w:r w:rsidRPr="00375EDE">
        <w:rPr>
          <w:rFonts w:cs="Times New Roman"/>
          <w:lang w:val="fr-CA"/>
        </w:rPr>
        <w:t>OWA et de sa relation avec l</w:t>
      </w:r>
      <w:r>
        <w:rPr>
          <w:rFonts w:cs="Times New Roman"/>
          <w:lang w:val="fr-CA"/>
        </w:rPr>
        <w:t>’</w:t>
      </w:r>
      <w:r w:rsidRPr="00375EDE">
        <w:rPr>
          <w:rFonts w:cs="Times New Roman"/>
          <w:lang w:val="fr-CA"/>
        </w:rPr>
        <w:t>AER (et, de façon plus générale, avec le gouvernement provincial). L</w:t>
      </w:r>
      <w:r>
        <w:rPr>
          <w:rFonts w:cs="Times New Roman"/>
          <w:lang w:val="fr-CA"/>
        </w:rPr>
        <w:t>’</w:t>
      </w:r>
      <w:r w:rsidRPr="00375EDE">
        <w:rPr>
          <w:rFonts w:cs="Times New Roman"/>
          <w:lang w:val="fr-CA"/>
        </w:rPr>
        <w:t>OWA agit en vertu du pouvoir légal qui lui est délégué par l</w:t>
      </w:r>
      <w:r>
        <w:rPr>
          <w:rFonts w:cs="Times New Roman"/>
          <w:lang w:val="fr-CA"/>
        </w:rPr>
        <w:t>’</w:t>
      </w:r>
      <w:r w:rsidRPr="00375EDE">
        <w:rPr>
          <w:rFonts w:cs="Times New Roman"/>
          <w:lang w:val="fr-CA"/>
        </w:rPr>
        <w:t>AER et conformément au protocole d</w:t>
      </w:r>
      <w:r>
        <w:rPr>
          <w:rFonts w:cs="Times New Roman"/>
          <w:lang w:val="fr-CA"/>
        </w:rPr>
        <w:t>’</w:t>
      </w:r>
      <w:r w:rsidRPr="00375EDE">
        <w:rPr>
          <w:rFonts w:cs="Times New Roman"/>
          <w:lang w:val="fr-CA"/>
        </w:rPr>
        <w:t>entente qu</w:t>
      </w:r>
      <w:r>
        <w:rPr>
          <w:rFonts w:cs="Times New Roman"/>
          <w:lang w:val="fr-CA"/>
        </w:rPr>
        <w:t>’</w:t>
      </w:r>
      <w:r w:rsidRPr="00375EDE">
        <w:rPr>
          <w:rFonts w:cs="Times New Roman"/>
          <w:lang w:val="fr-CA"/>
        </w:rPr>
        <w:t>elle a signé avec l</w:t>
      </w:r>
      <w:r>
        <w:rPr>
          <w:rFonts w:cs="Times New Roman"/>
          <w:lang w:val="fr-CA"/>
        </w:rPr>
        <w:t>’</w:t>
      </w:r>
      <w:r w:rsidRPr="00375EDE">
        <w:rPr>
          <w:rFonts w:cs="Times New Roman"/>
          <w:lang w:val="fr-CA"/>
        </w:rPr>
        <w:t>AER et Alberta Environment and Parks. Le fonds pour les puits orphelins est lui</w:t>
      </w:r>
      <w:r w:rsidRPr="00375EDE">
        <w:rPr>
          <w:rFonts w:cs="Times New Roman"/>
          <w:lang w:val="fr-CA"/>
        </w:rPr>
        <w:noBreakHyphen/>
        <w:t>même administré par l</w:t>
      </w:r>
      <w:r>
        <w:rPr>
          <w:rFonts w:cs="Times New Roman"/>
          <w:lang w:val="fr-CA"/>
        </w:rPr>
        <w:t>’</w:t>
      </w:r>
      <w:r w:rsidRPr="00375EDE">
        <w:rPr>
          <w:rFonts w:cs="Times New Roman"/>
          <w:lang w:val="fr-CA"/>
        </w:rPr>
        <w:t>AER, qui fixe et recueille les contributions de l</w:t>
      </w:r>
      <w:r>
        <w:rPr>
          <w:rFonts w:cs="Times New Roman"/>
          <w:lang w:val="fr-CA"/>
        </w:rPr>
        <w:t>’</w:t>
      </w:r>
      <w:r w:rsidRPr="00375EDE">
        <w:rPr>
          <w:rFonts w:cs="Times New Roman"/>
          <w:lang w:val="fr-CA"/>
        </w:rPr>
        <w:t>industrie et remet les fonds à l</w:t>
      </w:r>
      <w:r>
        <w:rPr>
          <w:rFonts w:cs="Times New Roman"/>
          <w:lang w:val="fr-CA"/>
        </w:rPr>
        <w:t>’</w:t>
      </w:r>
      <w:r w:rsidRPr="00375EDE">
        <w:rPr>
          <w:rFonts w:cs="Times New Roman"/>
          <w:lang w:val="fr-CA"/>
        </w:rPr>
        <w:t>OWA. L</w:t>
      </w:r>
      <w:r>
        <w:rPr>
          <w:rFonts w:cs="Times New Roman"/>
          <w:lang w:val="fr-CA"/>
        </w:rPr>
        <w:t>’</w:t>
      </w:r>
      <w:r w:rsidRPr="00375EDE">
        <w:rPr>
          <w:rFonts w:cs="Times New Roman"/>
          <w:lang w:val="fr-CA"/>
        </w:rPr>
        <w:t>OWA ne peut pas augmenter les prélèvements qu</w:t>
      </w:r>
      <w:r>
        <w:rPr>
          <w:rFonts w:cs="Times New Roman"/>
          <w:lang w:val="fr-CA"/>
        </w:rPr>
        <w:t>’</w:t>
      </w:r>
      <w:r w:rsidRPr="00375EDE">
        <w:rPr>
          <w:rFonts w:cs="Times New Roman"/>
          <w:lang w:val="fr-CA"/>
        </w:rPr>
        <w:t>elle effectue auprès de l</w:t>
      </w:r>
      <w:r>
        <w:rPr>
          <w:rFonts w:cs="Times New Roman"/>
          <w:lang w:val="fr-CA"/>
        </w:rPr>
        <w:t>’</w:t>
      </w:r>
      <w:r w:rsidRPr="00375EDE">
        <w:rPr>
          <w:rFonts w:cs="Times New Roman"/>
          <w:lang w:val="fr-CA"/>
        </w:rPr>
        <w:t>industrie sans d</w:t>
      </w:r>
      <w:r>
        <w:rPr>
          <w:rFonts w:cs="Times New Roman"/>
          <w:lang w:val="fr-CA"/>
        </w:rPr>
        <w:t>’</w:t>
      </w:r>
      <w:r w:rsidRPr="00375EDE">
        <w:rPr>
          <w:rFonts w:cs="Times New Roman"/>
          <w:lang w:val="fr-CA"/>
        </w:rPr>
        <w:t>abord obtenir l</w:t>
      </w:r>
      <w:r>
        <w:rPr>
          <w:rFonts w:cs="Times New Roman"/>
          <w:lang w:val="fr-CA"/>
        </w:rPr>
        <w:t>’</w:t>
      </w:r>
      <w:r w:rsidRPr="00375EDE">
        <w:rPr>
          <w:rFonts w:cs="Times New Roman"/>
          <w:lang w:val="fr-CA"/>
        </w:rPr>
        <w:t>approbation du Conseil du trésor de l</w:t>
      </w:r>
      <w:r>
        <w:rPr>
          <w:rFonts w:cs="Times New Roman"/>
          <w:lang w:val="fr-CA"/>
        </w:rPr>
        <w:t>’</w:t>
      </w:r>
      <w:r w:rsidRPr="00375EDE">
        <w:rPr>
          <w:rFonts w:cs="Times New Roman"/>
          <w:lang w:val="fr-CA"/>
        </w:rPr>
        <w:t>Alberta. De plus, l</w:t>
      </w:r>
      <w:r>
        <w:rPr>
          <w:rFonts w:cs="Times New Roman"/>
          <w:lang w:val="fr-CA"/>
        </w:rPr>
        <w:t>’</w:t>
      </w:r>
      <w:r w:rsidRPr="00073A9A">
        <w:rPr>
          <w:rFonts w:cs="Times New Roman"/>
          <w:i/>
          <w:lang w:val="fr-CA"/>
        </w:rPr>
        <w:t>OGCA</w:t>
      </w:r>
      <w:r w:rsidRPr="00375EDE">
        <w:rPr>
          <w:rFonts w:cs="Times New Roman"/>
          <w:lang w:val="fr-CA"/>
        </w:rPr>
        <w:t xml:space="preserve"> indique clairement que les frais liés à l</w:t>
      </w:r>
      <w:r>
        <w:rPr>
          <w:rFonts w:cs="Times New Roman"/>
          <w:lang w:val="fr-CA"/>
        </w:rPr>
        <w:t>’</w:t>
      </w:r>
      <w:r w:rsidRPr="00375EDE">
        <w:rPr>
          <w:rFonts w:cs="Times New Roman"/>
          <w:lang w:val="fr-CA"/>
        </w:rPr>
        <w:t>abandon engagés par toute personne autorisée par l</w:t>
      </w:r>
      <w:r>
        <w:rPr>
          <w:rFonts w:cs="Times New Roman"/>
          <w:lang w:val="fr-CA"/>
        </w:rPr>
        <w:t>’</w:t>
      </w:r>
      <w:r w:rsidRPr="00375EDE">
        <w:rPr>
          <w:rFonts w:cs="Times New Roman"/>
          <w:lang w:val="fr-CA"/>
        </w:rPr>
        <w:t>AER — y compris l</w:t>
      </w:r>
      <w:r>
        <w:rPr>
          <w:rFonts w:cs="Times New Roman"/>
          <w:lang w:val="fr-CA"/>
        </w:rPr>
        <w:t>’</w:t>
      </w:r>
      <w:r w:rsidRPr="00375EDE">
        <w:rPr>
          <w:rFonts w:cs="Times New Roman"/>
          <w:lang w:val="fr-CA"/>
        </w:rPr>
        <w:t xml:space="preserve">OWA — constituent une dette </w:t>
      </w:r>
      <w:r w:rsidRPr="00375EDE">
        <w:rPr>
          <w:rFonts w:cs="Times New Roman"/>
          <w:lang w:val="fr-CA"/>
        </w:rPr>
        <w:lastRenderedPageBreak/>
        <w:t>payable à l</w:t>
      </w:r>
      <w:r>
        <w:rPr>
          <w:rFonts w:cs="Times New Roman"/>
          <w:lang w:val="fr-CA"/>
        </w:rPr>
        <w:t>’</w:t>
      </w:r>
      <w:r w:rsidRPr="00375EDE">
        <w:rPr>
          <w:rFonts w:cs="Times New Roman"/>
          <w:lang w:val="fr-CA"/>
        </w:rPr>
        <w:t>AER (</w:t>
      </w:r>
      <w:r w:rsidRPr="00073A9A">
        <w:rPr>
          <w:rFonts w:cs="Times New Roman"/>
          <w:i/>
          <w:lang w:val="fr-CA"/>
        </w:rPr>
        <w:t>OGCA</w:t>
      </w:r>
      <w:r w:rsidRPr="00375EDE">
        <w:rPr>
          <w:rFonts w:cs="Times New Roman"/>
          <w:lang w:val="fr-CA"/>
        </w:rPr>
        <w:t>, par. 30(5)). Le dossier révèle que l</w:t>
      </w:r>
      <w:r>
        <w:rPr>
          <w:rFonts w:cs="Times New Roman"/>
          <w:lang w:val="fr-CA"/>
        </w:rPr>
        <w:t>’</w:t>
      </w:r>
      <w:r w:rsidRPr="00375EDE">
        <w:rPr>
          <w:rFonts w:cs="Times New Roman"/>
          <w:lang w:val="fr-CA"/>
        </w:rPr>
        <w:t>AER a versé des frais d</w:t>
      </w:r>
      <w:r>
        <w:rPr>
          <w:rFonts w:cs="Times New Roman"/>
          <w:lang w:val="fr-CA"/>
        </w:rPr>
        <w:t>’</w:t>
      </w:r>
      <w:r w:rsidRPr="00375EDE">
        <w:rPr>
          <w:rFonts w:cs="Times New Roman"/>
          <w:lang w:val="fr-CA"/>
        </w:rPr>
        <w:t>abandon à l</w:t>
      </w:r>
      <w:r>
        <w:rPr>
          <w:rFonts w:cs="Times New Roman"/>
          <w:lang w:val="fr-CA"/>
        </w:rPr>
        <w:t>’</w:t>
      </w:r>
      <w:r w:rsidRPr="00375EDE">
        <w:rPr>
          <w:rFonts w:cs="Times New Roman"/>
          <w:lang w:val="fr-CA"/>
        </w:rPr>
        <w:t>OWA dans le passé, sous la forme de dépôts de garantie et de sommes recouvrées grâce à des mesures de recouvrement réussies à l</w:t>
      </w:r>
      <w:r>
        <w:rPr>
          <w:rFonts w:cs="Times New Roman"/>
          <w:lang w:val="fr-CA"/>
        </w:rPr>
        <w:t>’</w:t>
      </w:r>
      <w:r w:rsidRPr="00375EDE">
        <w:rPr>
          <w:rFonts w:cs="Times New Roman"/>
          <w:lang w:val="fr-CA"/>
        </w:rPr>
        <w:t xml:space="preserve">encontre des titulaires de permis. </w:t>
      </w:r>
    </w:p>
    <w:p w:rsidR="00DF13E5" w:rsidRPr="00375EDE" w:rsidRDefault="00DF13E5" w:rsidP="00DF13E5">
      <w:pPr>
        <w:pStyle w:val="ParaNoNdepar-AltN"/>
        <w:rPr>
          <w:rFonts w:cs="Times New Roman"/>
          <w:lang w:val="fr-CA"/>
        </w:rPr>
      </w:pPr>
      <w:r w:rsidRPr="00375EDE">
        <w:rPr>
          <w:rFonts w:cs="Times New Roman"/>
          <w:lang w:val="fr-CA"/>
        </w:rPr>
        <w:t>L</w:t>
      </w:r>
      <w:r>
        <w:rPr>
          <w:rFonts w:cs="Times New Roman"/>
          <w:lang w:val="fr-CA"/>
        </w:rPr>
        <w:t>’</w:t>
      </w:r>
      <w:r w:rsidRPr="00375EDE">
        <w:rPr>
          <w:rFonts w:cs="Times New Roman"/>
          <w:lang w:val="fr-CA"/>
        </w:rPr>
        <w:t>AER et l</w:t>
      </w:r>
      <w:r>
        <w:rPr>
          <w:rFonts w:cs="Times New Roman"/>
          <w:lang w:val="fr-CA"/>
        </w:rPr>
        <w:t>’</w:t>
      </w:r>
      <w:r w:rsidRPr="00375EDE">
        <w:rPr>
          <w:rFonts w:cs="Times New Roman"/>
          <w:lang w:val="fr-CA"/>
        </w:rPr>
        <w:t>OWA sont donc inextricablement liés. Il faut reconnaître cet arrangement pour ce qu</w:t>
      </w:r>
      <w:r>
        <w:rPr>
          <w:rFonts w:cs="Times New Roman"/>
          <w:lang w:val="fr-CA"/>
        </w:rPr>
        <w:t>’</w:t>
      </w:r>
      <w:r w:rsidRPr="00375EDE">
        <w:rPr>
          <w:rFonts w:cs="Times New Roman"/>
          <w:lang w:val="fr-CA"/>
        </w:rPr>
        <w:t>il est : lorsque l</w:t>
      </w:r>
      <w:r>
        <w:rPr>
          <w:rFonts w:cs="Times New Roman"/>
          <w:lang w:val="fr-CA"/>
        </w:rPr>
        <w:t>’</w:t>
      </w:r>
      <w:r w:rsidRPr="00375EDE">
        <w:rPr>
          <w:rFonts w:cs="Times New Roman"/>
          <w:lang w:val="fr-CA"/>
        </w:rPr>
        <w:t>AER exerce le pouvoir de déclarer un bien [</w:t>
      </w:r>
      <w:r w:rsidRPr="00375EDE">
        <w:rPr>
          <w:rFonts w:cs="Times New Roman"/>
          <w:smallCaps/>
          <w:lang w:val="fr-CA"/>
        </w:rPr>
        <w:t>traduction</w:t>
      </w:r>
      <w:r w:rsidRPr="00375EDE">
        <w:rPr>
          <w:rFonts w:cs="Times New Roman"/>
          <w:lang w:val="fr-CA"/>
        </w:rPr>
        <w:t>] « orphelin » que lui confère le par. 70(2) de l</w:t>
      </w:r>
      <w:r>
        <w:rPr>
          <w:rFonts w:cs="Times New Roman"/>
          <w:lang w:val="fr-CA"/>
        </w:rPr>
        <w:t>’</w:t>
      </w:r>
      <w:r w:rsidRPr="00073A9A">
        <w:rPr>
          <w:rFonts w:cs="Times New Roman"/>
          <w:i/>
          <w:lang w:val="fr-CA"/>
        </w:rPr>
        <w:t>OGCA</w:t>
      </w:r>
      <w:r w:rsidRPr="00375EDE">
        <w:rPr>
          <w:rFonts w:cs="Times New Roman"/>
          <w:lang w:val="fr-CA"/>
        </w:rPr>
        <w:t>, il délègue effectivement l</w:t>
      </w:r>
      <w:r>
        <w:rPr>
          <w:rFonts w:cs="Times New Roman"/>
          <w:lang w:val="fr-CA"/>
        </w:rPr>
        <w:t>’</w:t>
      </w:r>
      <w:r w:rsidRPr="00375EDE">
        <w:rPr>
          <w:rFonts w:cs="Times New Roman"/>
          <w:lang w:val="fr-CA"/>
        </w:rPr>
        <w:t>exécution des travaux d</w:t>
      </w:r>
      <w:r>
        <w:rPr>
          <w:rFonts w:cs="Times New Roman"/>
          <w:lang w:val="fr-CA"/>
        </w:rPr>
        <w:t>’</w:t>
      </w:r>
      <w:r w:rsidRPr="00375EDE">
        <w:rPr>
          <w:rFonts w:cs="Times New Roman"/>
          <w:lang w:val="fr-CA"/>
        </w:rPr>
        <w:t>abandon à l</w:t>
      </w:r>
      <w:r>
        <w:rPr>
          <w:rFonts w:cs="Times New Roman"/>
          <w:lang w:val="fr-CA"/>
        </w:rPr>
        <w:t>’</w:t>
      </w:r>
      <w:r w:rsidRPr="00375EDE">
        <w:rPr>
          <w:rFonts w:cs="Times New Roman"/>
          <w:lang w:val="fr-CA"/>
        </w:rPr>
        <w:t>OWA. Considérer les travaux de l</w:t>
      </w:r>
      <w:r>
        <w:rPr>
          <w:rFonts w:cs="Times New Roman"/>
          <w:lang w:val="fr-CA"/>
        </w:rPr>
        <w:t>’</w:t>
      </w:r>
      <w:r w:rsidRPr="00375EDE">
        <w:rPr>
          <w:rFonts w:cs="Times New Roman"/>
          <w:lang w:val="fr-CA"/>
        </w:rPr>
        <w:t>OWA comme significativement différents des activités d</w:t>
      </w:r>
      <w:r>
        <w:rPr>
          <w:rFonts w:cs="Times New Roman"/>
          <w:lang w:val="fr-CA"/>
        </w:rPr>
        <w:t>’</w:t>
      </w:r>
      <w:r w:rsidRPr="00375EDE">
        <w:rPr>
          <w:rFonts w:cs="Times New Roman"/>
          <w:lang w:val="fr-CA"/>
        </w:rPr>
        <w:t>abandon menées par l</w:t>
      </w:r>
      <w:r>
        <w:rPr>
          <w:rFonts w:cs="Times New Roman"/>
          <w:lang w:val="fr-CA"/>
        </w:rPr>
        <w:t>’</w:t>
      </w:r>
      <w:r w:rsidRPr="00375EDE">
        <w:rPr>
          <w:rFonts w:cs="Times New Roman"/>
          <w:lang w:val="fr-CA"/>
        </w:rPr>
        <w:t>AER ne tient pas compte de cette réalité et n</w:t>
      </w:r>
      <w:r>
        <w:rPr>
          <w:rFonts w:cs="Times New Roman"/>
          <w:lang w:val="fr-CA"/>
        </w:rPr>
        <w:t>’</w:t>
      </w:r>
      <w:r w:rsidRPr="00375EDE">
        <w:rPr>
          <w:rFonts w:cs="Times New Roman"/>
          <w:lang w:val="fr-CA"/>
        </w:rPr>
        <w:t>aide en rien à favoriser l</w:t>
      </w:r>
      <w:r>
        <w:rPr>
          <w:rFonts w:cs="Times New Roman"/>
          <w:lang w:val="fr-CA"/>
        </w:rPr>
        <w:t>’</w:t>
      </w:r>
      <w:r w:rsidRPr="00375EDE">
        <w:rPr>
          <w:rFonts w:cs="Times New Roman"/>
          <w:lang w:val="fr-CA"/>
        </w:rPr>
        <w:t>application des principes sous</w:t>
      </w:r>
      <w:r w:rsidRPr="00375EDE">
        <w:rPr>
          <w:rFonts w:cs="Times New Roman"/>
          <w:lang w:val="fr-CA"/>
        </w:rPr>
        <w:noBreakHyphen/>
        <w:t>jacents de la prépondérance. Au contraire, cela donne aux organismes de réglementation provinciaux un moyen facile d</w:t>
      </w:r>
      <w:r>
        <w:rPr>
          <w:rFonts w:cs="Times New Roman"/>
          <w:lang w:val="fr-CA"/>
        </w:rPr>
        <w:t>’</w:t>
      </w:r>
      <w:r w:rsidRPr="00375EDE">
        <w:rPr>
          <w:rFonts w:cs="Times New Roman"/>
          <w:lang w:val="fr-CA"/>
        </w:rPr>
        <w:t xml:space="preserve">échapper au test </w:t>
      </w:r>
      <w:r w:rsidRPr="00375EDE">
        <w:rPr>
          <w:rFonts w:cs="Times New Roman"/>
          <w:i/>
          <w:lang w:val="fr-CA"/>
        </w:rPr>
        <w:t xml:space="preserve">Abitibi </w:t>
      </w:r>
      <w:r w:rsidRPr="00375EDE">
        <w:rPr>
          <w:rFonts w:cs="Times New Roman"/>
          <w:lang w:val="fr-CA"/>
        </w:rPr>
        <w:t>par l</w:t>
      </w:r>
      <w:r>
        <w:rPr>
          <w:rFonts w:cs="Times New Roman"/>
          <w:lang w:val="fr-CA"/>
        </w:rPr>
        <w:t>’</w:t>
      </w:r>
      <w:r w:rsidRPr="00375EDE">
        <w:rPr>
          <w:rFonts w:cs="Times New Roman"/>
          <w:lang w:val="fr-CA"/>
        </w:rPr>
        <w:t>adoption d</w:t>
      </w:r>
      <w:r>
        <w:rPr>
          <w:rFonts w:cs="Times New Roman"/>
          <w:lang w:val="fr-CA"/>
        </w:rPr>
        <w:t>’</w:t>
      </w:r>
      <w:r w:rsidRPr="00375EDE">
        <w:rPr>
          <w:rFonts w:cs="Times New Roman"/>
          <w:lang w:val="fr-CA"/>
        </w:rPr>
        <w:t>un comportement stratégique, minant ainsi l</w:t>
      </w:r>
      <w:r>
        <w:rPr>
          <w:rFonts w:cs="Times New Roman"/>
          <w:lang w:val="fr-CA"/>
        </w:rPr>
        <w:t>’</w:t>
      </w:r>
      <w:r w:rsidRPr="00375EDE">
        <w:rPr>
          <w:rFonts w:cs="Times New Roman"/>
          <w:lang w:val="fr-CA"/>
        </w:rPr>
        <w:t xml:space="preserve">intérêt légitime du gouvernement fédéral à assurer le respect du régime de priorité établi par la </w:t>
      </w:r>
      <w:r w:rsidRPr="00073A9A">
        <w:rPr>
          <w:rFonts w:cs="Times New Roman"/>
          <w:i/>
          <w:lang w:val="fr-CA"/>
        </w:rPr>
        <w:t>LFI</w:t>
      </w:r>
      <w:r w:rsidRPr="00375EDE">
        <w:rPr>
          <w:rFonts w:cs="Times New Roman"/>
          <w:lang w:val="fr-CA"/>
        </w:rPr>
        <w:t>. Il importe peu de savoir qui effectue les travaux (voir les motifs de la Cour d</w:t>
      </w:r>
      <w:r>
        <w:rPr>
          <w:rFonts w:cs="Times New Roman"/>
          <w:lang w:val="fr-CA"/>
        </w:rPr>
        <w:t>’</w:t>
      </w:r>
      <w:r w:rsidRPr="00375EDE">
        <w:rPr>
          <w:rFonts w:cs="Times New Roman"/>
          <w:lang w:val="fr-CA"/>
        </w:rPr>
        <w:t xml:space="preserve">appel, par. 78; </w:t>
      </w:r>
      <w:r w:rsidRPr="00073A9A">
        <w:rPr>
          <w:rFonts w:cs="Times New Roman"/>
          <w:i/>
          <w:lang w:val="fr-CA"/>
        </w:rPr>
        <w:t>OGCA</w:t>
      </w:r>
      <w:r w:rsidRPr="00375EDE">
        <w:rPr>
          <w:rFonts w:cs="Times New Roman"/>
          <w:lang w:val="fr-CA"/>
        </w:rPr>
        <w:t>, sous</w:t>
      </w:r>
      <w:r w:rsidRPr="00375EDE">
        <w:rPr>
          <w:rFonts w:cs="Times New Roman"/>
          <w:lang w:val="fr-CA"/>
        </w:rPr>
        <w:noBreakHyphen/>
        <w:t>al. 70(1)</w:t>
      </w:r>
      <w:r w:rsidR="000624A5">
        <w:rPr>
          <w:rFonts w:cs="Times New Roman"/>
          <w:lang w:val="fr-CA"/>
        </w:rPr>
        <w:t>(</w:t>
      </w:r>
      <w:r w:rsidRPr="00375EDE">
        <w:rPr>
          <w:rFonts w:cs="Times New Roman"/>
          <w:lang w:val="fr-CA"/>
        </w:rPr>
        <w:t xml:space="preserve">a)(ii)). </w:t>
      </w:r>
    </w:p>
    <w:p w:rsidR="00DF13E5" w:rsidRPr="00375EDE" w:rsidRDefault="00DF13E5" w:rsidP="00DF13E5">
      <w:pPr>
        <w:pStyle w:val="ParaNoNdepar-AltN"/>
        <w:rPr>
          <w:rFonts w:cs="Times New Roman"/>
          <w:lang w:val="fr-CA"/>
        </w:rPr>
      </w:pPr>
      <w:r w:rsidRPr="00375EDE">
        <w:rPr>
          <w:rFonts w:cs="Times New Roman"/>
          <w:lang w:val="fr-CA"/>
        </w:rPr>
        <w:t>La majorité reproche au juge en cabinet de « ne pas se demander si l</w:t>
      </w:r>
      <w:r>
        <w:rPr>
          <w:rFonts w:cs="Times New Roman"/>
          <w:lang w:val="fr-CA"/>
        </w:rPr>
        <w:t>’</w:t>
      </w:r>
      <w:r w:rsidRPr="00375EDE">
        <w:rPr>
          <w:rFonts w:cs="Times New Roman"/>
          <w:lang w:val="fr-CA"/>
        </w:rPr>
        <w:t xml:space="preserve">OWA </w:t>
      </w:r>
      <w:r w:rsidR="00CB01F5">
        <w:rPr>
          <w:rFonts w:cs="Times New Roman"/>
          <w:lang w:val="fr-CA"/>
        </w:rPr>
        <w:t>[</w:t>
      </w:r>
      <w:r w:rsidRPr="00375EDE">
        <w:rPr>
          <w:rFonts w:cs="Times New Roman"/>
          <w:lang w:val="fr-CA"/>
        </w:rPr>
        <w:t>pouvait</w:t>
      </w:r>
      <w:r w:rsidR="00CB01F5">
        <w:rPr>
          <w:rFonts w:cs="Times New Roman"/>
          <w:lang w:val="fr-CA"/>
        </w:rPr>
        <w:t>]</w:t>
      </w:r>
      <w:r w:rsidRPr="00375EDE">
        <w:rPr>
          <w:rFonts w:cs="Times New Roman"/>
          <w:lang w:val="fr-CA"/>
        </w:rPr>
        <w:t xml:space="preserve"> être assimilé à l</w:t>
      </w:r>
      <w:r>
        <w:rPr>
          <w:rFonts w:cs="Times New Roman"/>
          <w:lang w:val="fr-CA"/>
        </w:rPr>
        <w:t>’</w:t>
      </w:r>
      <w:r w:rsidRPr="00375EDE">
        <w:rPr>
          <w:rFonts w:cs="Times New Roman"/>
          <w:lang w:val="fr-CA"/>
        </w:rPr>
        <w:t>organisme de réglementation » (par. 153). Le juge en cabinet ne peut toutefois avoir fait erreur en n</w:t>
      </w:r>
      <w:r>
        <w:rPr>
          <w:rFonts w:cs="Times New Roman"/>
          <w:lang w:val="fr-CA"/>
        </w:rPr>
        <w:t>’</w:t>
      </w:r>
      <w:r w:rsidRPr="00375EDE">
        <w:rPr>
          <w:rFonts w:cs="Times New Roman"/>
          <w:lang w:val="fr-CA"/>
        </w:rPr>
        <w:t>appréciant pas une indépendance qui n</w:t>
      </w:r>
      <w:r>
        <w:rPr>
          <w:rFonts w:cs="Times New Roman"/>
          <w:lang w:val="fr-CA"/>
        </w:rPr>
        <w:t>’</w:t>
      </w:r>
      <w:r w:rsidRPr="00375EDE">
        <w:rPr>
          <w:rFonts w:cs="Times New Roman"/>
          <w:lang w:val="fr-CA"/>
        </w:rPr>
        <w:t xml:space="preserve">existe tout simplement pas. </w:t>
      </w:r>
    </w:p>
    <w:p w:rsidR="00DF13E5" w:rsidRPr="00375EDE" w:rsidRDefault="00DF13E5" w:rsidP="00DF13E5">
      <w:pPr>
        <w:pStyle w:val="ParaNoNdepar-AltN"/>
        <w:rPr>
          <w:rFonts w:cs="Times New Roman"/>
          <w:lang w:val="fr-CA"/>
        </w:rPr>
      </w:pPr>
      <w:r w:rsidRPr="00375EDE">
        <w:rPr>
          <w:rFonts w:cs="Times New Roman"/>
          <w:lang w:val="fr-CA"/>
        </w:rPr>
        <w:t>La majorité tire aussi une conclusion subsidiaire : il n</w:t>
      </w:r>
      <w:r>
        <w:rPr>
          <w:rFonts w:cs="Times New Roman"/>
          <w:lang w:val="fr-CA"/>
        </w:rPr>
        <w:t>’</w:t>
      </w:r>
      <w:r w:rsidRPr="00375EDE">
        <w:rPr>
          <w:rFonts w:cs="Times New Roman"/>
          <w:lang w:val="fr-CA"/>
        </w:rPr>
        <w:t>est pas suffisamment certain que même l</w:t>
      </w:r>
      <w:r>
        <w:rPr>
          <w:rFonts w:cs="Times New Roman"/>
          <w:lang w:val="fr-CA"/>
        </w:rPr>
        <w:t>’</w:t>
      </w:r>
      <w:r w:rsidRPr="00375EDE">
        <w:rPr>
          <w:rFonts w:cs="Times New Roman"/>
          <w:lang w:val="fr-CA"/>
        </w:rPr>
        <w:t>OWA exécutera les travaux d</w:t>
      </w:r>
      <w:r>
        <w:rPr>
          <w:rFonts w:cs="Times New Roman"/>
          <w:lang w:val="fr-CA"/>
        </w:rPr>
        <w:t>’</w:t>
      </w:r>
      <w:r w:rsidRPr="00375EDE">
        <w:rPr>
          <w:rFonts w:cs="Times New Roman"/>
          <w:lang w:val="fr-CA"/>
        </w:rPr>
        <w:t xml:space="preserve">abandon (par. 149). Quant à savoir </w:t>
      </w:r>
      <w:r w:rsidRPr="00375EDE">
        <w:rPr>
          <w:rFonts w:cs="Times New Roman"/>
          <w:lang w:val="fr-CA"/>
        </w:rPr>
        <w:lastRenderedPageBreak/>
        <w:t>si la conclusion contraire du juge en cabinet équivaut à une erreur manifeste et dominante, ou à quelque chose d</w:t>
      </w:r>
      <w:r>
        <w:rPr>
          <w:rFonts w:cs="Times New Roman"/>
          <w:lang w:val="fr-CA"/>
        </w:rPr>
        <w:t>’</w:t>
      </w:r>
      <w:r w:rsidRPr="00375EDE">
        <w:rPr>
          <w:rFonts w:cs="Times New Roman"/>
          <w:lang w:val="fr-CA"/>
        </w:rPr>
        <w:t xml:space="preserve">autre, on ne nous le dit pas. </w:t>
      </w:r>
    </w:p>
    <w:p w:rsidR="00DF13E5" w:rsidRPr="00375EDE" w:rsidRDefault="00DF13E5" w:rsidP="00DF13E5">
      <w:pPr>
        <w:pStyle w:val="ParaNoNdepar-AltN"/>
        <w:rPr>
          <w:rFonts w:cs="Times New Roman"/>
          <w:lang w:val="fr-CA"/>
        </w:rPr>
      </w:pPr>
      <w:r w:rsidRPr="00375EDE">
        <w:rPr>
          <w:rFonts w:cs="Times New Roman"/>
          <w:lang w:val="fr-CA"/>
        </w:rPr>
        <w:t>Là encore, une telle approche permettrait à l</w:t>
      </w:r>
      <w:r>
        <w:rPr>
          <w:rFonts w:cs="Times New Roman"/>
          <w:lang w:val="fr-CA"/>
        </w:rPr>
        <w:t>’</w:t>
      </w:r>
      <w:r w:rsidRPr="00375EDE">
        <w:rPr>
          <w:rFonts w:cs="Times New Roman"/>
          <w:lang w:val="fr-CA"/>
        </w:rPr>
        <w:t>AER de tirer profit de manœuvres stratégiques en manipulant le moment de son intervention afin de se soustraire au régime d</w:t>
      </w:r>
      <w:r>
        <w:rPr>
          <w:rFonts w:cs="Times New Roman"/>
          <w:lang w:val="fr-CA"/>
        </w:rPr>
        <w:t>’</w:t>
      </w:r>
      <w:r w:rsidRPr="00375EDE">
        <w:rPr>
          <w:rFonts w:cs="Times New Roman"/>
          <w:lang w:val="fr-CA"/>
        </w:rPr>
        <w:t xml:space="preserve">insolvabilité et de dépouiller Redwater de ses biens. Cet exercice de délimitation arbitraire, dans lequel une période de </w:t>
      </w:r>
      <w:r w:rsidR="00CB01F5">
        <w:rPr>
          <w:rFonts w:cs="Times New Roman"/>
          <w:lang w:val="fr-CA"/>
        </w:rPr>
        <w:t>10</w:t>
      </w:r>
      <w:r w:rsidRPr="00375EDE">
        <w:rPr>
          <w:rFonts w:cs="Times New Roman"/>
          <w:lang w:val="fr-CA"/>
        </w:rPr>
        <w:t xml:space="preserve"> ans avant que les puits fassent l</w:t>
      </w:r>
      <w:r>
        <w:rPr>
          <w:rFonts w:cs="Times New Roman"/>
          <w:lang w:val="fr-CA"/>
        </w:rPr>
        <w:t>’</w:t>
      </w:r>
      <w:r w:rsidRPr="00375EDE">
        <w:rPr>
          <w:rFonts w:cs="Times New Roman"/>
          <w:lang w:val="fr-CA"/>
        </w:rPr>
        <w:t>objet d</w:t>
      </w:r>
      <w:r>
        <w:rPr>
          <w:rFonts w:cs="Times New Roman"/>
          <w:lang w:val="fr-CA"/>
        </w:rPr>
        <w:t>’</w:t>
      </w:r>
      <w:r w:rsidRPr="00375EDE">
        <w:rPr>
          <w:rFonts w:cs="Times New Roman"/>
          <w:lang w:val="fr-CA"/>
        </w:rPr>
        <w:t>un abandon est trop longue (mais selon lequel une période plus courte ne le serait présumément pas), n</w:t>
      </w:r>
      <w:r>
        <w:rPr>
          <w:rFonts w:cs="Times New Roman"/>
          <w:lang w:val="fr-CA"/>
        </w:rPr>
        <w:t>’</w:t>
      </w:r>
      <w:r w:rsidRPr="00375EDE">
        <w:rPr>
          <w:rFonts w:cs="Times New Roman"/>
          <w:lang w:val="fr-CA"/>
        </w:rPr>
        <w:t>a aucun fondement en droit. Comme le juge Slatter l</w:t>
      </w:r>
      <w:r>
        <w:rPr>
          <w:rFonts w:cs="Times New Roman"/>
          <w:lang w:val="fr-CA"/>
        </w:rPr>
        <w:t>’</w:t>
      </w:r>
      <w:r w:rsidRPr="00375EDE">
        <w:rPr>
          <w:rFonts w:cs="Times New Roman"/>
          <w:lang w:val="fr-CA"/>
        </w:rPr>
        <w:t>a fait observer de manière convaincante dans ses motifs, l</w:t>
      </w:r>
      <w:r>
        <w:rPr>
          <w:rFonts w:cs="Times New Roman"/>
          <w:lang w:val="fr-CA"/>
        </w:rPr>
        <w:t>’</w:t>
      </w:r>
      <w:r w:rsidR="00421A79">
        <w:rPr>
          <w:rFonts w:cs="Times New Roman"/>
          <w:lang w:val="fr-CA"/>
        </w:rPr>
        <w:t>AER</w:t>
      </w:r>
    </w:p>
    <w:p w:rsidR="00DF13E5" w:rsidRPr="00CB01F5" w:rsidRDefault="00DF13E5" w:rsidP="00CB01F5">
      <w:pPr>
        <w:pStyle w:val="Citation-AltC"/>
        <w:keepNext/>
        <w:spacing w:after="240"/>
        <w:ind w:hanging="1166"/>
        <w:contextualSpacing w:val="0"/>
        <w:rPr>
          <w:lang w:val="fr-CA"/>
        </w:rPr>
      </w:pPr>
      <w:r w:rsidRPr="00375EDE">
        <w:rPr>
          <w:lang w:val="fr-CA"/>
        </w:rPr>
        <w:tab/>
      </w:r>
      <w:r w:rsidR="00F0174D">
        <w:rPr>
          <w:lang w:val="fr-CA"/>
        </w:rPr>
        <w:tab/>
      </w:r>
      <w:r w:rsidRPr="00375EDE">
        <w:rPr>
          <w:lang w:val="fr-CA"/>
        </w:rPr>
        <w:t>[</w:t>
      </w:r>
      <w:r w:rsidRPr="00375EDE">
        <w:rPr>
          <w:smallCaps/>
          <w:lang w:val="fr-CA"/>
        </w:rPr>
        <w:t>traduction</w:t>
      </w:r>
      <w:r w:rsidR="00F0174D">
        <w:rPr>
          <w:lang w:val="fr-CA"/>
        </w:rPr>
        <w:t xml:space="preserve">] </w:t>
      </w:r>
      <w:r w:rsidRPr="00375EDE">
        <w:rPr>
          <w:u w:val="single"/>
          <w:lang w:val="fr-CA"/>
        </w:rPr>
        <w:t>ne peut exiger qu</w:t>
      </w:r>
      <w:r>
        <w:rPr>
          <w:u w:val="single"/>
          <w:lang w:val="fr-CA"/>
        </w:rPr>
        <w:t>’</w:t>
      </w:r>
      <w:r w:rsidRPr="00375EDE">
        <w:rPr>
          <w:u w:val="single"/>
          <w:lang w:val="fr-CA"/>
        </w:rPr>
        <w:t>un dépôt de garantie soit versé pour couvrir les frais environnementaux, et en même temps faire valoir qu</w:t>
      </w:r>
      <w:r>
        <w:rPr>
          <w:u w:val="single"/>
          <w:lang w:val="fr-CA"/>
        </w:rPr>
        <w:t>’</w:t>
      </w:r>
      <w:r w:rsidRPr="00375EDE">
        <w:rPr>
          <w:u w:val="single"/>
          <w:lang w:val="fr-CA"/>
        </w:rPr>
        <w:t>il pourrait s</w:t>
      </w:r>
      <w:r>
        <w:rPr>
          <w:u w:val="single"/>
          <w:lang w:val="fr-CA"/>
        </w:rPr>
        <w:t>’</w:t>
      </w:r>
      <w:r w:rsidRPr="00375EDE">
        <w:rPr>
          <w:u w:val="single"/>
          <w:lang w:val="fr-CA"/>
        </w:rPr>
        <w:t>écouler beaucoup de temps avant que l</w:t>
      </w:r>
      <w:r>
        <w:rPr>
          <w:u w:val="single"/>
          <w:lang w:val="fr-CA"/>
        </w:rPr>
        <w:t>’</w:t>
      </w:r>
      <w:r w:rsidRPr="00375EDE">
        <w:rPr>
          <w:u w:val="single"/>
          <w:lang w:val="fr-CA"/>
        </w:rPr>
        <w:t>Orphan Well Association procède réellement à la décontamination</w:t>
      </w:r>
      <w:r w:rsidRPr="00375EDE">
        <w:rPr>
          <w:lang w:val="fr-CA"/>
        </w:rPr>
        <w:t>. Si l</w:t>
      </w:r>
      <w:r>
        <w:rPr>
          <w:lang w:val="fr-CA"/>
        </w:rPr>
        <w:t>’</w:t>
      </w:r>
      <w:r w:rsidRPr="00375EDE">
        <w:rPr>
          <w:lang w:val="fr-CA"/>
        </w:rPr>
        <w:t xml:space="preserve">organisme de réglementation prend un dépôt de garantie afin de décontaminer les puits orphelins de Redwater, ces fonds ne peuvent être utilisés à aucune autre fin. </w:t>
      </w:r>
      <w:r w:rsidRPr="00375EDE">
        <w:rPr>
          <w:u w:val="single"/>
          <w:lang w:val="fr-CA"/>
        </w:rPr>
        <w:t>Si un dépôt de garantie est pris, il ne suffit pas de répondre que ce dépôt pourrait être conservé pendant une période indéterminée</w:t>
      </w:r>
      <w:r w:rsidRPr="00375EDE">
        <w:rPr>
          <w:lang w:val="fr-CA"/>
        </w:rPr>
        <w:t>; les conséquences pour la procédure d</w:t>
      </w:r>
      <w:r>
        <w:rPr>
          <w:lang w:val="fr-CA"/>
        </w:rPr>
        <w:t>’</w:t>
      </w:r>
      <w:r w:rsidRPr="00375EDE">
        <w:rPr>
          <w:lang w:val="fr-CA"/>
        </w:rPr>
        <w:t>insolvabilité et la distribution des fonds aux créanciers sont immédiates et certaines. De plus, si un dépôt de garantie est pris, l</w:t>
      </w:r>
      <w:r>
        <w:rPr>
          <w:lang w:val="fr-CA"/>
        </w:rPr>
        <w:t>’</w:t>
      </w:r>
      <w:r w:rsidRPr="00375EDE">
        <w:rPr>
          <w:lang w:val="fr-CA"/>
        </w:rPr>
        <w:t xml:space="preserve">obligation environnementale est clairement réduite à une obligation formulée en termes pécuniaires. [Je souligne; par. 79.] </w:t>
      </w:r>
    </w:p>
    <w:p w:rsidR="00DF13E5" w:rsidRPr="00375EDE" w:rsidRDefault="00DF13E5" w:rsidP="00DF13E5">
      <w:pPr>
        <w:pStyle w:val="ParaNoNdepar-AltN"/>
        <w:rPr>
          <w:rFonts w:cs="Times New Roman"/>
          <w:lang w:val="fr-CA"/>
        </w:rPr>
      </w:pPr>
      <w:r w:rsidRPr="00375EDE">
        <w:rPr>
          <w:rFonts w:cs="Times New Roman"/>
          <w:lang w:val="fr-CA"/>
        </w:rPr>
        <w:t>De plus, l</w:t>
      </w:r>
      <w:r>
        <w:rPr>
          <w:rFonts w:cs="Times New Roman"/>
          <w:lang w:val="fr-CA"/>
        </w:rPr>
        <w:t>’</w:t>
      </w:r>
      <w:r w:rsidRPr="00375EDE">
        <w:rPr>
          <w:rFonts w:cs="Times New Roman"/>
          <w:lang w:val="fr-CA"/>
        </w:rPr>
        <w:t xml:space="preserve">estimation de </w:t>
      </w:r>
      <w:r w:rsidR="00950720">
        <w:rPr>
          <w:rFonts w:cs="Times New Roman"/>
          <w:lang w:val="fr-CA"/>
        </w:rPr>
        <w:t>10</w:t>
      </w:r>
      <w:r w:rsidRPr="00375EDE">
        <w:rPr>
          <w:rFonts w:cs="Times New Roman"/>
          <w:lang w:val="fr-CA"/>
        </w:rPr>
        <w:t xml:space="preserve"> à </w:t>
      </w:r>
      <w:r w:rsidR="00950720">
        <w:rPr>
          <w:rFonts w:cs="Times New Roman"/>
          <w:lang w:val="fr-CA"/>
        </w:rPr>
        <w:t>12</w:t>
      </w:r>
      <w:r w:rsidRPr="00375EDE">
        <w:rPr>
          <w:rFonts w:cs="Times New Roman"/>
          <w:lang w:val="fr-CA"/>
        </w:rPr>
        <w:t xml:space="preserve"> ans de l</w:t>
      </w:r>
      <w:r>
        <w:rPr>
          <w:rFonts w:cs="Times New Roman"/>
          <w:lang w:val="fr-CA"/>
        </w:rPr>
        <w:t>’</w:t>
      </w:r>
      <w:r w:rsidRPr="00375EDE">
        <w:rPr>
          <w:rFonts w:cs="Times New Roman"/>
          <w:lang w:val="fr-CA"/>
        </w:rPr>
        <w:t>OWA a été mise de l</w:t>
      </w:r>
      <w:r>
        <w:rPr>
          <w:rFonts w:cs="Times New Roman"/>
          <w:lang w:val="fr-CA"/>
        </w:rPr>
        <w:t>’</w:t>
      </w:r>
      <w:r w:rsidRPr="00375EDE">
        <w:rPr>
          <w:rFonts w:cs="Times New Roman"/>
          <w:lang w:val="fr-CA"/>
        </w:rPr>
        <w:t xml:space="preserve">avant au début du présent litige il y a plus de </w:t>
      </w:r>
      <w:r w:rsidR="00950720">
        <w:rPr>
          <w:rFonts w:cs="Times New Roman"/>
          <w:lang w:val="fr-CA"/>
        </w:rPr>
        <w:t>3</w:t>
      </w:r>
      <w:r w:rsidRPr="00375EDE">
        <w:rPr>
          <w:rFonts w:cs="Times New Roman"/>
          <w:lang w:val="fr-CA"/>
        </w:rPr>
        <w:t xml:space="preserve"> ans. La question de savoir si cette estimation demeure exacte après l</w:t>
      </w:r>
      <w:r>
        <w:rPr>
          <w:rFonts w:cs="Times New Roman"/>
          <w:lang w:val="fr-CA"/>
        </w:rPr>
        <w:t>’</w:t>
      </w:r>
      <w:r w:rsidRPr="00375EDE">
        <w:rPr>
          <w:rFonts w:cs="Times New Roman"/>
          <w:lang w:val="fr-CA"/>
        </w:rPr>
        <w:t>injection proposée par la province de près d</w:t>
      </w:r>
      <w:r>
        <w:rPr>
          <w:rFonts w:cs="Times New Roman"/>
          <w:lang w:val="fr-CA"/>
        </w:rPr>
        <w:t>’</w:t>
      </w:r>
      <w:r w:rsidRPr="00375EDE">
        <w:rPr>
          <w:rFonts w:cs="Times New Roman"/>
          <w:lang w:val="fr-CA"/>
        </w:rPr>
        <w:t>un quart de milliard de dollars dans le fonds pour les puits orphelins (m.a., par. 99)</w:t>
      </w:r>
      <w:r w:rsidRPr="00073A9A">
        <w:rPr>
          <w:rStyle w:val="Hyperlink"/>
          <w:u w:val="none"/>
          <w:vertAlign w:val="superscript"/>
        </w:rPr>
        <w:footnoteReference w:id="1"/>
      </w:r>
      <w:r w:rsidRPr="00375EDE">
        <w:rPr>
          <w:rFonts w:cs="Times New Roman"/>
          <w:lang w:val="fr-CA"/>
        </w:rPr>
        <w:t xml:space="preserve"> — des sommes qui accéléreront sans doute les efforts d</w:t>
      </w:r>
      <w:r>
        <w:rPr>
          <w:rFonts w:cs="Times New Roman"/>
          <w:lang w:val="fr-CA"/>
        </w:rPr>
        <w:t>’</w:t>
      </w:r>
      <w:r w:rsidRPr="00375EDE">
        <w:rPr>
          <w:rFonts w:cs="Times New Roman"/>
          <w:lang w:val="fr-CA"/>
        </w:rPr>
        <w:t>abandon de l</w:t>
      </w:r>
      <w:r>
        <w:rPr>
          <w:rFonts w:cs="Times New Roman"/>
          <w:lang w:val="fr-CA"/>
        </w:rPr>
        <w:t>’</w:t>
      </w:r>
      <w:r w:rsidRPr="00375EDE">
        <w:rPr>
          <w:rFonts w:cs="Times New Roman"/>
          <w:lang w:val="fr-CA"/>
        </w:rPr>
        <w:t>OWA — demeure sans réponse. Quoi qu</w:t>
      </w:r>
      <w:r>
        <w:rPr>
          <w:rFonts w:cs="Times New Roman"/>
          <w:lang w:val="fr-CA"/>
        </w:rPr>
        <w:t>’</w:t>
      </w:r>
      <w:r w:rsidRPr="00375EDE">
        <w:rPr>
          <w:rFonts w:cs="Times New Roman"/>
          <w:lang w:val="fr-CA"/>
        </w:rPr>
        <w:t xml:space="preserve">il en soit, le contexte factuel changeant met en lumière le problème fondamental </w:t>
      </w:r>
      <w:r w:rsidRPr="00375EDE">
        <w:rPr>
          <w:rFonts w:cs="Times New Roman"/>
          <w:lang w:val="fr-CA"/>
        </w:rPr>
        <w:lastRenderedPageBreak/>
        <w:t>que pose l</w:t>
      </w:r>
      <w:r>
        <w:rPr>
          <w:rFonts w:cs="Times New Roman"/>
          <w:lang w:val="fr-CA"/>
        </w:rPr>
        <w:t>’</w:t>
      </w:r>
      <w:r w:rsidRPr="00375EDE">
        <w:rPr>
          <w:rFonts w:cs="Times New Roman"/>
          <w:lang w:val="fr-CA"/>
        </w:rPr>
        <w:t>approche de la majorité : arrimer l</w:t>
      </w:r>
      <w:r>
        <w:rPr>
          <w:rFonts w:cs="Times New Roman"/>
          <w:lang w:val="fr-CA"/>
        </w:rPr>
        <w:t>’</w:t>
      </w:r>
      <w:r w:rsidRPr="00375EDE">
        <w:rPr>
          <w:rFonts w:cs="Times New Roman"/>
          <w:lang w:val="fr-CA"/>
        </w:rPr>
        <w:t>analyse constitutionnelle au moment de l</w:t>
      </w:r>
      <w:r>
        <w:rPr>
          <w:rFonts w:cs="Times New Roman"/>
          <w:lang w:val="fr-CA"/>
        </w:rPr>
        <w:t>’</w:t>
      </w:r>
      <w:r w:rsidRPr="00375EDE">
        <w:rPr>
          <w:rFonts w:cs="Times New Roman"/>
          <w:lang w:val="fr-CA"/>
        </w:rPr>
        <w:t>intervention de l</w:t>
      </w:r>
      <w:r>
        <w:rPr>
          <w:rFonts w:cs="Times New Roman"/>
          <w:lang w:val="fr-CA"/>
        </w:rPr>
        <w:t>’</w:t>
      </w:r>
      <w:r w:rsidRPr="00375EDE">
        <w:rPr>
          <w:rFonts w:cs="Times New Roman"/>
          <w:lang w:val="fr-CA"/>
        </w:rPr>
        <w:t>OWA est arbitraire et irrationnel, car cette approche a pour effet d</w:t>
      </w:r>
      <w:r>
        <w:rPr>
          <w:rFonts w:cs="Times New Roman"/>
          <w:lang w:val="fr-CA"/>
        </w:rPr>
        <w:t>’</w:t>
      </w:r>
      <w:r w:rsidRPr="00375EDE">
        <w:rPr>
          <w:rFonts w:cs="Times New Roman"/>
          <w:lang w:val="fr-CA"/>
        </w:rPr>
        <w:t>inverser le résultat en fonction de décisions prises par l</w:t>
      </w:r>
      <w:r>
        <w:rPr>
          <w:rFonts w:cs="Times New Roman"/>
          <w:lang w:val="fr-CA"/>
        </w:rPr>
        <w:t>’</w:t>
      </w:r>
      <w:r w:rsidRPr="00375EDE">
        <w:rPr>
          <w:rFonts w:cs="Times New Roman"/>
          <w:lang w:val="fr-CA"/>
        </w:rPr>
        <w:t>acteur même qui peut bénéficier de la conclusion selon laquelle il n</w:t>
      </w:r>
      <w:r>
        <w:rPr>
          <w:rFonts w:cs="Times New Roman"/>
          <w:lang w:val="fr-CA"/>
        </w:rPr>
        <w:t>’</w:t>
      </w:r>
      <w:r w:rsidRPr="00375EDE">
        <w:rPr>
          <w:rFonts w:cs="Times New Roman"/>
          <w:lang w:val="fr-CA"/>
        </w:rPr>
        <w:t xml:space="preserve">est pas satisfait à la norme de « certitude suffisante ». </w:t>
      </w:r>
    </w:p>
    <w:p w:rsidR="00DF13E5" w:rsidRPr="00375EDE" w:rsidRDefault="00DF13E5" w:rsidP="00DF13E5">
      <w:pPr>
        <w:pStyle w:val="ParaNoNdepar-AltN"/>
        <w:rPr>
          <w:rFonts w:cs="Times New Roman"/>
          <w:lang w:val="fr-CA"/>
        </w:rPr>
      </w:pPr>
      <w:r w:rsidRPr="00375EDE">
        <w:rPr>
          <w:rFonts w:cs="Times New Roman"/>
          <w:lang w:val="fr-CA"/>
        </w:rPr>
        <w:t>Mis à part tout ce qui précède, la reconnaissance par le juge en cabinet que l</w:t>
      </w:r>
      <w:r>
        <w:rPr>
          <w:rFonts w:cs="Times New Roman"/>
          <w:lang w:val="fr-CA"/>
        </w:rPr>
        <w:t>’</w:t>
      </w:r>
      <w:r w:rsidRPr="00375EDE">
        <w:rPr>
          <w:rFonts w:cs="Times New Roman"/>
          <w:lang w:val="fr-CA"/>
        </w:rPr>
        <w:t>OWA abandonnera [</w:t>
      </w:r>
      <w:r w:rsidRPr="00375EDE">
        <w:rPr>
          <w:rFonts w:cs="Times New Roman"/>
          <w:smallCaps/>
          <w:lang w:val="fr-CA"/>
        </w:rPr>
        <w:t>traduction</w:t>
      </w:r>
      <w:r w:rsidRPr="00375EDE">
        <w:rPr>
          <w:rFonts w:cs="Times New Roman"/>
          <w:lang w:val="fr-CA"/>
        </w:rPr>
        <w:t>] « probablement » les biens devrait suffire (motifs du juge en cabinet, par. 173). Il n</w:t>
      </w:r>
      <w:r>
        <w:rPr>
          <w:rFonts w:cs="Times New Roman"/>
          <w:lang w:val="fr-CA"/>
        </w:rPr>
        <w:t>’</w:t>
      </w:r>
      <w:r w:rsidRPr="00375EDE">
        <w:rPr>
          <w:rFonts w:cs="Times New Roman"/>
          <w:lang w:val="fr-CA"/>
        </w:rPr>
        <w:t>est pas justifié de conclure le contraire, car cela reviendrait à appliquer une norme plus stricte en matière de certitude que celle que commande l</w:t>
      </w:r>
      <w:r>
        <w:rPr>
          <w:rFonts w:cs="Times New Roman"/>
          <w:lang w:val="fr-CA"/>
        </w:rPr>
        <w:t>’</w:t>
      </w:r>
      <w:r w:rsidRPr="00375EDE">
        <w:rPr>
          <w:rFonts w:cs="Times New Roman"/>
          <w:lang w:val="fr-CA"/>
        </w:rPr>
        <w:t xml:space="preserve">arrêt </w:t>
      </w:r>
      <w:r w:rsidRPr="00375EDE">
        <w:rPr>
          <w:rFonts w:cs="Times New Roman"/>
          <w:i/>
          <w:lang w:val="fr-CA"/>
        </w:rPr>
        <w:t xml:space="preserve">Abitibi </w:t>
      </w:r>
      <w:r w:rsidRPr="00375EDE">
        <w:rPr>
          <w:rFonts w:cs="Times New Roman"/>
          <w:lang w:val="fr-CA"/>
        </w:rPr>
        <w:t>lui</w:t>
      </w:r>
      <w:r w:rsidRPr="00375EDE">
        <w:rPr>
          <w:rFonts w:cs="Times New Roman"/>
          <w:lang w:val="fr-CA"/>
        </w:rPr>
        <w:noBreakHyphen/>
        <w:t>même. La juge Deschamps a expressément rejeté la norme subsidiaire — une « </w:t>
      </w:r>
      <w:r w:rsidRPr="00375EDE">
        <w:rPr>
          <w:rFonts w:cs="Times New Roman"/>
          <w:lang w:val="fr-FR"/>
        </w:rPr>
        <w:t>probabilité proche de la certitude</w:t>
      </w:r>
      <w:r w:rsidRPr="00375EDE">
        <w:rPr>
          <w:rFonts w:cs="Times New Roman"/>
          <w:lang w:val="fr-CA"/>
        </w:rPr>
        <w:t> » — qu</w:t>
      </w:r>
      <w:r>
        <w:rPr>
          <w:rFonts w:cs="Times New Roman"/>
          <w:lang w:val="fr-CA"/>
        </w:rPr>
        <w:t>’</w:t>
      </w:r>
      <w:r w:rsidRPr="00375EDE">
        <w:rPr>
          <w:rFonts w:cs="Times New Roman"/>
          <w:lang w:val="fr-CA"/>
        </w:rPr>
        <w:t>a adoptée la juge en chef McLachlin dans ses motifs dissidents (</w:t>
      </w:r>
      <w:r w:rsidRPr="00375EDE">
        <w:rPr>
          <w:rFonts w:cs="Times New Roman"/>
          <w:i/>
          <w:lang w:val="fr-CA"/>
        </w:rPr>
        <w:t>Abitibi</w:t>
      </w:r>
      <w:r w:rsidRPr="00375EDE">
        <w:rPr>
          <w:rFonts w:cs="Times New Roman"/>
          <w:lang w:val="fr-CA"/>
        </w:rPr>
        <w:t>, par. 60). Mais en l</w:t>
      </w:r>
      <w:r>
        <w:rPr>
          <w:rFonts w:cs="Times New Roman"/>
          <w:lang w:val="fr-CA"/>
        </w:rPr>
        <w:t>’</w:t>
      </w:r>
      <w:r w:rsidRPr="00375EDE">
        <w:rPr>
          <w:rFonts w:cs="Times New Roman"/>
          <w:lang w:val="fr-CA"/>
        </w:rPr>
        <w:t>espèce, rejeter comme insuffisante la conclusion du juge en cabinet selon laquelle l</w:t>
      </w:r>
      <w:r>
        <w:rPr>
          <w:rFonts w:cs="Times New Roman"/>
          <w:lang w:val="fr-CA"/>
        </w:rPr>
        <w:t>’</w:t>
      </w:r>
      <w:r w:rsidRPr="00375EDE">
        <w:rPr>
          <w:rFonts w:cs="Times New Roman"/>
          <w:lang w:val="fr-CA"/>
        </w:rPr>
        <w:t>OWA mènerait « probablement » à terme les travaux revient essentiellement à exiger une</w:t>
      </w:r>
      <w:r w:rsidRPr="00375EDE">
        <w:rPr>
          <w:rFonts w:eastAsia="Times New Roman" w:cs="Times New Roman"/>
          <w:szCs w:val="24"/>
          <w:lang w:val="fr-FR" w:eastAsia="en-CA"/>
        </w:rPr>
        <w:t xml:space="preserve"> « </w:t>
      </w:r>
      <w:r w:rsidRPr="00375EDE">
        <w:rPr>
          <w:rFonts w:cs="Times New Roman"/>
          <w:lang w:val="fr-FR"/>
        </w:rPr>
        <w:t>probabilité proche de la certitude »</w:t>
      </w:r>
      <w:r w:rsidRPr="00375EDE">
        <w:rPr>
          <w:rFonts w:cs="Times New Roman"/>
          <w:lang w:val="fr-CA"/>
        </w:rPr>
        <w:t>. Étant donné que l</w:t>
      </w:r>
      <w:r>
        <w:rPr>
          <w:rFonts w:cs="Times New Roman"/>
          <w:lang w:val="fr-CA"/>
        </w:rPr>
        <w:t>’</w:t>
      </w:r>
      <w:r w:rsidRPr="00375EDE">
        <w:rPr>
          <w:rFonts w:cs="Times New Roman"/>
          <w:lang w:val="fr-CA"/>
        </w:rPr>
        <w:t xml:space="preserve">arrêt </w:t>
      </w:r>
      <w:r w:rsidRPr="00375EDE">
        <w:rPr>
          <w:rFonts w:cs="Times New Roman"/>
          <w:i/>
          <w:lang w:val="fr-CA"/>
        </w:rPr>
        <w:t xml:space="preserve">Abitibi </w:t>
      </w:r>
      <w:r w:rsidRPr="00375EDE">
        <w:rPr>
          <w:rFonts w:cs="Times New Roman"/>
          <w:lang w:val="fr-CA"/>
        </w:rPr>
        <w:t>n</w:t>
      </w:r>
      <w:r>
        <w:rPr>
          <w:rFonts w:cs="Times New Roman"/>
          <w:lang w:val="fr-CA"/>
        </w:rPr>
        <w:t>’</w:t>
      </w:r>
      <w:r w:rsidRPr="00375EDE">
        <w:rPr>
          <w:rFonts w:cs="Times New Roman"/>
          <w:lang w:val="fr-CA"/>
        </w:rPr>
        <w:t>exige pas une certitude absolue, ni même une</w:t>
      </w:r>
      <w:r w:rsidRPr="00375EDE">
        <w:rPr>
          <w:rFonts w:eastAsia="Times New Roman" w:cs="Times New Roman"/>
          <w:szCs w:val="24"/>
          <w:lang w:val="fr-FR" w:eastAsia="en-CA"/>
        </w:rPr>
        <w:t xml:space="preserve"> </w:t>
      </w:r>
      <w:r w:rsidRPr="00375EDE">
        <w:rPr>
          <w:rFonts w:cs="Times New Roman"/>
          <w:lang w:val="fr-FR"/>
        </w:rPr>
        <w:t>probabilité proche de la certitude</w:t>
      </w:r>
      <w:r w:rsidRPr="00375EDE">
        <w:rPr>
          <w:rFonts w:cs="Times New Roman"/>
          <w:lang w:val="fr-CA"/>
        </w:rPr>
        <w:t>, le juge en chef Wittmann n</w:t>
      </w:r>
      <w:r>
        <w:rPr>
          <w:rFonts w:cs="Times New Roman"/>
          <w:lang w:val="fr-CA"/>
        </w:rPr>
        <w:t>’</w:t>
      </w:r>
      <w:r w:rsidRPr="00375EDE">
        <w:rPr>
          <w:rFonts w:cs="Times New Roman"/>
          <w:lang w:val="fr-CA"/>
        </w:rPr>
        <w:t>a pas commis d</w:t>
      </w:r>
      <w:r>
        <w:rPr>
          <w:rFonts w:cs="Times New Roman"/>
          <w:lang w:val="fr-CA"/>
        </w:rPr>
        <w:t>’</w:t>
      </w:r>
      <w:r w:rsidRPr="00375EDE">
        <w:rPr>
          <w:rFonts w:cs="Times New Roman"/>
          <w:lang w:val="fr-CA"/>
        </w:rPr>
        <w:t>erreur en concluant qu</w:t>
      </w:r>
      <w:r>
        <w:rPr>
          <w:rFonts w:cs="Times New Roman"/>
          <w:lang w:val="fr-CA"/>
        </w:rPr>
        <w:t>’</w:t>
      </w:r>
      <w:r w:rsidRPr="00375EDE">
        <w:rPr>
          <w:rFonts w:cs="Times New Roman"/>
          <w:lang w:val="fr-CA"/>
        </w:rPr>
        <w:t>il était satisfait au troisième volet du test (voir l</w:t>
      </w:r>
      <w:r>
        <w:rPr>
          <w:rFonts w:cs="Times New Roman"/>
          <w:lang w:val="fr-CA"/>
        </w:rPr>
        <w:t>’</w:t>
      </w:r>
      <w:r w:rsidRPr="00375EDE">
        <w:rPr>
          <w:rFonts w:cs="Times New Roman"/>
          <w:i/>
          <w:lang w:val="fr-CA"/>
        </w:rPr>
        <w:t>Oxford English Dictionary</w:t>
      </w:r>
      <w:r w:rsidR="000624A5">
        <w:rPr>
          <w:rFonts w:cs="Times New Roman"/>
          <w:i/>
          <w:lang w:val="fr-CA"/>
        </w:rPr>
        <w:t xml:space="preserve"> </w:t>
      </w:r>
      <w:r w:rsidR="000624A5" w:rsidRPr="00375EDE">
        <w:rPr>
          <w:rFonts w:cs="Times New Roman"/>
          <w:lang w:val="fr-CA"/>
        </w:rPr>
        <w:t>(en ligne)</w:t>
      </w:r>
      <w:r w:rsidRPr="00375EDE">
        <w:rPr>
          <w:rFonts w:cs="Times New Roman"/>
          <w:lang w:val="fr-CA"/>
        </w:rPr>
        <w:t>, qui définit</w:t>
      </w:r>
      <w:r w:rsidR="00281049">
        <w:rPr>
          <w:rFonts w:cs="Times New Roman"/>
          <w:lang w:val="fr-CA"/>
        </w:rPr>
        <w:t xml:space="preserve"> </w:t>
      </w:r>
      <w:r w:rsidR="00281049" w:rsidRPr="00375EDE">
        <w:rPr>
          <w:rFonts w:cs="Times New Roman"/>
          <w:lang w:val="fr-CA"/>
        </w:rPr>
        <w:t>[</w:t>
      </w:r>
      <w:r w:rsidR="00281049" w:rsidRPr="00375EDE">
        <w:rPr>
          <w:rFonts w:cs="Times New Roman"/>
          <w:smallCaps/>
          <w:lang w:val="fr-CA"/>
        </w:rPr>
        <w:t>traduction</w:t>
      </w:r>
      <w:r w:rsidR="00281049">
        <w:rPr>
          <w:rFonts w:cs="Times New Roman"/>
          <w:lang w:val="fr-CA"/>
        </w:rPr>
        <w:t>]</w:t>
      </w:r>
      <w:r w:rsidRPr="00375EDE">
        <w:rPr>
          <w:rFonts w:cs="Times New Roman"/>
          <w:lang w:val="fr-CA"/>
        </w:rPr>
        <w:t xml:space="preserve"> </w:t>
      </w:r>
      <w:r w:rsidR="00281049">
        <w:rPr>
          <w:rFonts w:cs="Times New Roman"/>
          <w:lang w:val="fr-CA"/>
        </w:rPr>
        <w:t xml:space="preserve">« probablement » comme </w:t>
      </w:r>
      <w:r w:rsidRPr="00375EDE">
        <w:rPr>
          <w:rFonts w:cs="Times New Roman"/>
          <w:lang w:val="fr-CA"/>
        </w:rPr>
        <w:t>« selon la vraisemblance (mais sans certitude) »; « presque certainement; pour autant que l</w:t>
      </w:r>
      <w:r>
        <w:rPr>
          <w:rFonts w:cs="Times New Roman"/>
          <w:lang w:val="fr-CA"/>
        </w:rPr>
        <w:t>’</w:t>
      </w:r>
      <w:r w:rsidRPr="00375EDE">
        <w:rPr>
          <w:rFonts w:cs="Times New Roman"/>
          <w:lang w:val="fr-CA"/>
        </w:rPr>
        <w:t>on sache ou que l</w:t>
      </w:r>
      <w:r>
        <w:rPr>
          <w:rFonts w:cs="Times New Roman"/>
          <w:lang w:val="fr-CA"/>
        </w:rPr>
        <w:t>’</w:t>
      </w:r>
      <w:r w:rsidRPr="00375EDE">
        <w:rPr>
          <w:rFonts w:cs="Times New Roman"/>
          <w:lang w:val="fr-CA"/>
        </w:rPr>
        <w:t xml:space="preserve">on puisse le dire; selon toute vraisemblance; vraisemblablement »). </w:t>
      </w:r>
    </w:p>
    <w:p w:rsidR="00DF13E5" w:rsidRPr="00375EDE" w:rsidRDefault="00DF13E5" w:rsidP="00DF13E5">
      <w:pPr>
        <w:pStyle w:val="ParaNoNdepar-AltN"/>
        <w:rPr>
          <w:rFonts w:cs="Times New Roman"/>
          <w:lang w:val="fr-CA"/>
        </w:rPr>
      </w:pPr>
      <w:r w:rsidRPr="00375EDE">
        <w:rPr>
          <w:rFonts w:cs="Times New Roman"/>
          <w:lang w:val="fr-CA"/>
        </w:rPr>
        <w:t>Après avoir conclu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est pas suffisamment certain que l</w:t>
      </w:r>
      <w:r>
        <w:rPr>
          <w:rFonts w:cs="Times New Roman"/>
          <w:lang w:val="fr-CA"/>
        </w:rPr>
        <w:t>’</w:t>
      </w:r>
      <w:r w:rsidRPr="00375EDE">
        <w:rPr>
          <w:rFonts w:cs="Times New Roman"/>
          <w:lang w:val="fr-CA"/>
        </w:rPr>
        <w:t>AER abandonnera les sites, la majorité juge que les restrictions imposées par l</w:t>
      </w:r>
      <w:r>
        <w:rPr>
          <w:rFonts w:cs="Times New Roman"/>
          <w:lang w:val="fr-CA"/>
        </w:rPr>
        <w:t>’</w:t>
      </w:r>
      <w:r w:rsidRPr="00375EDE">
        <w:rPr>
          <w:rFonts w:cs="Times New Roman"/>
          <w:lang w:val="fr-CA"/>
        </w:rPr>
        <w:t xml:space="preserve">AER au </w:t>
      </w:r>
      <w:r w:rsidRPr="00375EDE">
        <w:rPr>
          <w:rFonts w:cs="Times New Roman"/>
          <w:lang w:val="fr-CA"/>
        </w:rPr>
        <w:lastRenderedPageBreak/>
        <w:t xml:space="preserve">transfert de permis ne satisfont pas non plus au test </w:t>
      </w:r>
      <w:r w:rsidRPr="00375EDE">
        <w:rPr>
          <w:rFonts w:cs="Times New Roman"/>
          <w:i/>
          <w:lang w:val="fr-CA"/>
        </w:rPr>
        <w:t>Abitibi</w:t>
      </w:r>
      <w:r w:rsidRPr="00375EDE">
        <w:rPr>
          <w:rFonts w:cs="Times New Roman"/>
          <w:lang w:val="fr-CA"/>
        </w:rPr>
        <w:t>. Il en est ainsi, dit</w:t>
      </w:r>
      <w:r w:rsidRPr="00375EDE">
        <w:rPr>
          <w:rFonts w:cs="Times New Roman"/>
          <w:lang w:val="fr-CA"/>
        </w:rPr>
        <w:noBreakHyphen/>
        <w:t>elle, parce que le refus de l</w:t>
      </w:r>
      <w:r>
        <w:rPr>
          <w:rFonts w:cs="Times New Roman"/>
          <w:lang w:val="fr-CA"/>
        </w:rPr>
        <w:t>’</w:t>
      </w:r>
      <w:r w:rsidRPr="00375EDE">
        <w:rPr>
          <w:rFonts w:cs="Times New Roman"/>
          <w:lang w:val="fr-CA"/>
        </w:rPr>
        <w:t>AER d</w:t>
      </w:r>
      <w:r>
        <w:rPr>
          <w:rFonts w:cs="Times New Roman"/>
          <w:lang w:val="fr-CA"/>
        </w:rPr>
        <w:t>’</w:t>
      </w:r>
      <w:r w:rsidRPr="00375EDE">
        <w:rPr>
          <w:rFonts w:cs="Times New Roman"/>
          <w:lang w:val="fr-CA"/>
        </w:rPr>
        <w:t>approuver le transfert d</w:t>
      </w:r>
      <w:r>
        <w:rPr>
          <w:rFonts w:cs="Times New Roman"/>
          <w:lang w:val="fr-CA"/>
        </w:rPr>
        <w:t>’</w:t>
      </w:r>
      <w:r w:rsidRPr="00375EDE">
        <w:rPr>
          <w:rFonts w:cs="Times New Roman"/>
          <w:lang w:val="fr-CA"/>
        </w:rPr>
        <w:t>un permis ne lui confère pas une réclamation pécuniaire contre Redwater et que le respect des conditions liées au ratio de gestion du titulaire de permis (« RGTP ») « reflète la valeur inhérente des biens détenus par l</w:t>
      </w:r>
      <w:r>
        <w:rPr>
          <w:rFonts w:cs="Times New Roman"/>
          <w:lang w:val="fr-CA"/>
        </w:rPr>
        <w:t>’</w:t>
      </w:r>
      <w:r w:rsidRPr="00375EDE">
        <w:rPr>
          <w:rFonts w:cs="Times New Roman"/>
          <w:lang w:val="fr-CA"/>
        </w:rPr>
        <w:t>actif du failli » (par. 157). Tout d</w:t>
      </w:r>
      <w:r>
        <w:rPr>
          <w:rFonts w:cs="Times New Roman"/>
          <w:lang w:val="fr-CA"/>
        </w:rPr>
        <w:t>’</w:t>
      </w:r>
      <w:r w:rsidRPr="00375EDE">
        <w:rPr>
          <w:rFonts w:cs="Times New Roman"/>
          <w:lang w:val="fr-CA"/>
        </w:rPr>
        <w:t>abord, je tiens à préciser une chose : j</w:t>
      </w:r>
      <w:r>
        <w:rPr>
          <w:rFonts w:cs="Times New Roman"/>
          <w:lang w:val="fr-CA"/>
        </w:rPr>
        <w:t>’</w:t>
      </w:r>
      <w:r w:rsidRPr="00375EDE">
        <w:rPr>
          <w:rFonts w:cs="Times New Roman"/>
          <w:lang w:val="fr-CA"/>
        </w:rPr>
        <w:t>ai déjà conclu qu</w:t>
      </w:r>
      <w:r>
        <w:rPr>
          <w:rFonts w:cs="Times New Roman"/>
          <w:lang w:val="fr-CA"/>
        </w:rPr>
        <w:t>’</w:t>
      </w:r>
      <w:r w:rsidRPr="00375EDE">
        <w:rPr>
          <w:rFonts w:cs="Times New Roman"/>
          <w:lang w:val="fr-CA"/>
        </w:rPr>
        <w:t xml:space="preserve">étant donné que GTL a légalement renoncé aux bien inexploités en vertu du par. 14.06(4) de la </w:t>
      </w:r>
      <w:r w:rsidRPr="00073A9A">
        <w:rPr>
          <w:rFonts w:cs="Times New Roman"/>
          <w:i/>
          <w:lang w:val="fr-CA"/>
        </w:rPr>
        <w:t>LFI</w:t>
      </w:r>
      <w:r w:rsidRPr="00375EDE">
        <w:rPr>
          <w:rFonts w:cs="Times New Roman"/>
          <w:lang w:val="fr-CA"/>
        </w:rPr>
        <w:t>, il y a un conflit d</w:t>
      </w:r>
      <w:r>
        <w:rPr>
          <w:rFonts w:cs="Times New Roman"/>
          <w:lang w:val="fr-CA"/>
        </w:rPr>
        <w:t>’</w:t>
      </w:r>
      <w:r w:rsidRPr="00375EDE">
        <w:rPr>
          <w:rFonts w:cs="Times New Roman"/>
          <w:lang w:val="fr-CA"/>
        </w:rPr>
        <w:t>application dans la mesure où l</w:t>
      </w:r>
      <w:r>
        <w:rPr>
          <w:rFonts w:cs="Times New Roman"/>
          <w:lang w:val="fr-CA"/>
        </w:rPr>
        <w:t>’</w:t>
      </w:r>
      <w:r w:rsidRPr="00375EDE">
        <w:rPr>
          <w:rFonts w:cs="Times New Roman"/>
          <w:lang w:val="fr-CA"/>
        </w:rPr>
        <w:t>AER a inclus ces biens visés par les renonciations dans le calcul du RGTP de Redwater afin d</w:t>
      </w:r>
      <w:r>
        <w:rPr>
          <w:rFonts w:cs="Times New Roman"/>
          <w:lang w:val="fr-CA"/>
        </w:rPr>
        <w:t>’</w:t>
      </w:r>
      <w:r w:rsidRPr="00375EDE">
        <w:rPr>
          <w:rFonts w:cs="Times New Roman"/>
          <w:lang w:val="fr-CA"/>
        </w:rPr>
        <w:t>imposer des conditions à la vente des actifs de Redwater. Dans l</w:t>
      </w:r>
      <w:r>
        <w:rPr>
          <w:rFonts w:cs="Times New Roman"/>
          <w:lang w:val="fr-CA"/>
        </w:rPr>
        <w:t>’</w:t>
      </w:r>
      <w:r w:rsidRPr="00375EDE">
        <w:rPr>
          <w:rFonts w:cs="Times New Roman"/>
          <w:lang w:val="fr-CA"/>
        </w:rPr>
        <w:t>analyse qui suit, j</w:t>
      </w:r>
      <w:r>
        <w:rPr>
          <w:rFonts w:cs="Times New Roman"/>
          <w:lang w:val="fr-CA"/>
        </w:rPr>
        <w:t>’</w:t>
      </w:r>
      <w:r w:rsidRPr="00375EDE">
        <w:rPr>
          <w:rFonts w:cs="Times New Roman"/>
          <w:lang w:val="fr-CA"/>
        </w:rPr>
        <w:t>arrive également à la même conclusion en m</w:t>
      </w:r>
      <w:r>
        <w:rPr>
          <w:rFonts w:cs="Times New Roman"/>
          <w:lang w:val="fr-CA"/>
        </w:rPr>
        <w:t>’</w:t>
      </w:r>
      <w:r w:rsidRPr="00375EDE">
        <w:rPr>
          <w:rFonts w:cs="Times New Roman"/>
          <w:lang w:val="fr-CA"/>
        </w:rPr>
        <w:t>appuyant sur le second volet concernant l</w:t>
      </w:r>
      <w:r>
        <w:rPr>
          <w:rFonts w:cs="Times New Roman"/>
          <w:lang w:val="fr-CA"/>
        </w:rPr>
        <w:t>’</w:t>
      </w:r>
      <w:r w:rsidRPr="00375EDE">
        <w:rPr>
          <w:rFonts w:cs="Times New Roman"/>
          <w:lang w:val="fr-CA"/>
        </w:rPr>
        <w:t>entrave à la réalisation d</w:t>
      </w:r>
      <w:r>
        <w:rPr>
          <w:rFonts w:cs="Times New Roman"/>
          <w:lang w:val="fr-CA"/>
        </w:rPr>
        <w:t>’</w:t>
      </w:r>
      <w:r w:rsidRPr="00375EDE">
        <w:rPr>
          <w:rFonts w:cs="Times New Roman"/>
          <w:lang w:val="fr-CA"/>
        </w:rPr>
        <w:t>un objet fédéral du test de la prépondérance.</w:t>
      </w:r>
    </w:p>
    <w:p w:rsidR="00DF13E5" w:rsidRPr="00375EDE" w:rsidRDefault="00DF13E5" w:rsidP="00DF13E5">
      <w:pPr>
        <w:pStyle w:val="ParaNoNdepar-AltN"/>
        <w:rPr>
          <w:rFonts w:cs="Times New Roman"/>
          <w:lang w:val="fr-CA"/>
        </w:rPr>
      </w:pPr>
      <w:r w:rsidRPr="00375EDE">
        <w:rPr>
          <w:rFonts w:cs="Times New Roman"/>
          <w:lang w:val="fr-CA"/>
        </w:rPr>
        <w:t>Je suis en désaccord avec la conclusion de la majorité quant aux conditions relatives au RGTP pour deux raisons. D</w:t>
      </w:r>
      <w:r>
        <w:rPr>
          <w:rFonts w:cs="Times New Roman"/>
          <w:lang w:val="fr-CA"/>
        </w:rPr>
        <w:t>’</w:t>
      </w:r>
      <w:r w:rsidRPr="00375EDE">
        <w:rPr>
          <w:rFonts w:cs="Times New Roman"/>
          <w:lang w:val="fr-CA"/>
        </w:rPr>
        <w:t>abord, cette approche fait passer la forme avant le fond, ignorant la mise en garde du juge Gascon dans l</w:t>
      </w:r>
      <w:r>
        <w:rPr>
          <w:rFonts w:cs="Times New Roman"/>
          <w:lang w:val="fr-CA"/>
        </w:rPr>
        <w:t>’</w:t>
      </w:r>
      <w:r w:rsidRPr="00375EDE">
        <w:rPr>
          <w:rFonts w:cs="Times New Roman"/>
          <w:lang w:val="fr-CA"/>
        </w:rPr>
        <w:t xml:space="preserve">arrêt </w:t>
      </w:r>
      <w:r w:rsidRPr="00375EDE">
        <w:rPr>
          <w:rFonts w:cs="Times New Roman"/>
          <w:i/>
          <w:lang w:val="fr-CA"/>
        </w:rPr>
        <w:t xml:space="preserve">Moloney </w:t>
      </w:r>
      <w:r w:rsidRPr="00375EDE">
        <w:rPr>
          <w:rFonts w:cs="Times New Roman"/>
          <w:lang w:val="fr-CA"/>
        </w:rPr>
        <w:t xml:space="preserve">selon laquelle « [l]a </w:t>
      </w:r>
      <w:r w:rsidRPr="00375EDE">
        <w:rPr>
          <w:rFonts w:cs="Times New Roman"/>
          <w:lang w:val="fr-FR"/>
        </w:rPr>
        <w:t>province ne peut faire indirectement ce qu</w:t>
      </w:r>
      <w:r>
        <w:rPr>
          <w:rFonts w:cs="Times New Roman"/>
          <w:lang w:val="fr-FR"/>
        </w:rPr>
        <w:t>’</w:t>
      </w:r>
      <w:r w:rsidRPr="00375EDE">
        <w:rPr>
          <w:rFonts w:cs="Times New Roman"/>
          <w:lang w:val="fr-FR"/>
        </w:rPr>
        <w:t>il lui est interdit de faire directement </w:t>
      </w:r>
      <w:r w:rsidRPr="00375EDE">
        <w:rPr>
          <w:rFonts w:cs="Times New Roman"/>
          <w:lang w:val="fr-CA"/>
        </w:rPr>
        <w:t xml:space="preserve">» (par. 28; voir aussi </w:t>
      </w:r>
      <w:r w:rsidRPr="00375EDE">
        <w:rPr>
          <w:rFonts w:cs="Times New Roman"/>
          <w:i/>
          <w:lang w:val="fr-CA"/>
        </w:rPr>
        <w:t>Husky Oil</w:t>
      </w:r>
      <w:r w:rsidRPr="00375EDE">
        <w:rPr>
          <w:rFonts w:cs="Times New Roman"/>
          <w:lang w:val="fr-CA"/>
        </w:rPr>
        <w:t>, par. 41). Refuser d</w:t>
      </w:r>
      <w:r>
        <w:rPr>
          <w:rFonts w:cs="Times New Roman"/>
          <w:lang w:val="fr-CA"/>
        </w:rPr>
        <w:t>’</w:t>
      </w:r>
      <w:r w:rsidRPr="00375EDE">
        <w:rPr>
          <w:rFonts w:cs="Times New Roman"/>
          <w:lang w:val="fr-CA"/>
        </w:rPr>
        <w:t>approuver la vente des biens de Redwater à moins que GTL ne satisfasse aux obligations environnementales de Redwater n</w:t>
      </w:r>
      <w:r>
        <w:rPr>
          <w:rFonts w:cs="Times New Roman"/>
          <w:lang w:val="fr-CA"/>
        </w:rPr>
        <w:t>’</w:t>
      </w:r>
      <w:r w:rsidRPr="00375EDE">
        <w:rPr>
          <w:rFonts w:cs="Times New Roman"/>
          <w:lang w:val="fr-CA"/>
        </w:rPr>
        <w:t>est pas différent, au fond, que d</w:t>
      </w:r>
      <w:r>
        <w:rPr>
          <w:rFonts w:cs="Times New Roman"/>
          <w:lang w:val="fr-CA"/>
        </w:rPr>
        <w:t>’</w:t>
      </w:r>
      <w:r w:rsidRPr="00375EDE">
        <w:rPr>
          <w:rFonts w:cs="Times New Roman"/>
          <w:lang w:val="fr-CA"/>
        </w:rPr>
        <w:t>ordonner directement à Redwater ou à GTL de procéder à ces travaux. Il en est ainsi parce que l</w:t>
      </w:r>
      <w:r>
        <w:rPr>
          <w:rFonts w:cs="Times New Roman"/>
          <w:lang w:val="fr-CA"/>
        </w:rPr>
        <w:t>’</w:t>
      </w:r>
      <w:r w:rsidRPr="00375EDE">
        <w:rPr>
          <w:rFonts w:cs="Times New Roman"/>
          <w:lang w:val="fr-CA"/>
        </w:rPr>
        <w:t>AER atteint exactement le même résultat — le respect des obligations environnementales de Redwater — en faisant dépendre la vente de l</w:t>
      </w:r>
      <w:r>
        <w:rPr>
          <w:rFonts w:cs="Times New Roman"/>
          <w:lang w:val="fr-CA"/>
        </w:rPr>
        <w:t>’</w:t>
      </w:r>
      <w:r w:rsidRPr="00375EDE">
        <w:rPr>
          <w:rFonts w:cs="Times New Roman"/>
          <w:lang w:val="fr-CA"/>
        </w:rPr>
        <w:t>exécution des travaux par GTL lui</w:t>
      </w:r>
      <w:r w:rsidRPr="00375EDE">
        <w:rPr>
          <w:rFonts w:cs="Times New Roman"/>
          <w:lang w:val="fr-CA"/>
        </w:rPr>
        <w:noBreakHyphen/>
        <w:t>même, du versement par celle</w:t>
      </w:r>
      <w:r w:rsidRPr="00375EDE">
        <w:rPr>
          <w:rFonts w:cs="Times New Roman"/>
          <w:lang w:val="fr-CA"/>
        </w:rPr>
        <w:noBreakHyphen/>
        <w:t>ci d</w:t>
      </w:r>
      <w:r>
        <w:rPr>
          <w:rFonts w:cs="Times New Roman"/>
          <w:lang w:val="fr-CA"/>
        </w:rPr>
        <w:t>’</w:t>
      </w:r>
      <w:r w:rsidRPr="00375EDE">
        <w:rPr>
          <w:rFonts w:cs="Times New Roman"/>
          <w:lang w:val="fr-CA"/>
        </w:rPr>
        <w:t>un dépôt de garantie ou de l</w:t>
      </w:r>
      <w:r>
        <w:rPr>
          <w:rFonts w:cs="Times New Roman"/>
          <w:lang w:val="fr-CA"/>
        </w:rPr>
        <w:t>’</w:t>
      </w:r>
      <w:r w:rsidRPr="00375EDE">
        <w:rPr>
          <w:rFonts w:cs="Times New Roman"/>
          <w:lang w:val="fr-CA"/>
        </w:rPr>
        <w:t xml:space="preserve">inclusion des biens inexploités dans la vente, ce qui réduit le prix de vente du montant exact de ces engagements et permet de </w:t>
      </w:r>
      <w:r w:rsidRPr="00375EDE">
        <w:rPr>
          <w:rFonts w:cs="Times New Roman"/>
          <w:lang w:val="fr-CA"/>
        </w:rPr>
        <w:lastRenderedPageBreak/>
        <w:t>contraindre l</w:t>
      </w:r>
      <w:r>
        <w:rPr>
          <w:rFonts w:cs="Times New Roman"/>
          <w:lang w:val="fr-CA"/>
        </w:rPr>
        <w:t>’</w:t>
      </w:r>
      <w:r w:rsidRPr="00375EDE">
        <w:rPr>
          <w:rFonts w:cs="Times New Roman"/>
          <w:lang w:val="fr-CA"/>
        </w:rPr>
        <w:t>acheteur, en tant que « titulaire de permis » subséquent sous le régime de la loi provinciale, à se conformer aux ordonnances d</w:t>
      </w:r>
      <w:r>
        <w:rPr>
          <w:rFonts w:cs="Times New Roman"/>
          <w:lang w:val="fr-CA"/>
        </w:rPr>
        <w:t>’</w:t>
      </w:r>
      <w:r w:rsidRPr="00375EDE">
        <w:rPr>
          <w:rFonts w:cs="Times New Roman"/>
          <w:lang w:val="fr-CA"/>
        </w:rPr>
        <w:t xml:space="preserve">abandon. </w:t>
      </w:r>
    </w:p>
    <w:p w:rsidR="00DF13E5" w:rsidRPr="00375EDE" w:rsidRDefault="00DF13E5" w:rsidP="00DF13E5">
      <w:pPr>
        <w:pStyle w:val="ParaNoNdepar-AltN"/>
        <w:rPr>
          <w:rFonts w:cs="Times New Roman"/>
          <w:lang w:val="fr-CA"/>
        </w:rPr>
      </w:pPr>
      <w:r w:rsidRPr="00375EDE">
        <w:rPr>
          <w:rFonts w:cs="Times New Roman"/>
          <w:lang w:val="fr-CA"/>
        </w:rPr>
        <w:t>La seule différence entre ces deux exercices d</w:t>
      </w:r>
      <w:r>
        <w:rPr>
          <w:rFonts w:cs="Times New Roman"/>
          <w:lang w:val="fr-CA"/>
        </w:rPr>
        <w:t>’</w:t>
      </w:r>
      <w:r w:rsidRPr="00375EDE">
        <w:rPr>
          <w:rFonts w:cs="Times New Roman"/>
          <w:lang w:val="fr-CA"/>
        </w:rPr>
        <w:t>un pouvoir provincial est le moyen par lequel l</w:t>
      </w:r>
      <w:r>
        <w:rPr>
          <w:rFonts w:cs="Times New Roman"/>
          <w:lang w:val="fr-CA"/>
        </w:rPr>
        <w:t>’</w:t>
      </w:r>
      <w:r w:rsidRPr="00375EDE">
        <w:rPr>
          <w:rFonts w:cs="Times New Roman"/>
          <w:lang w:val="fr-CA"/>
        </w:rPr>
        <w:t>AER a choisi de faire exécuter les obligations sous</w:t>
      </w:r>
      <w:r w:rsidRPr="00375EDE">
        <w:rPr>
          <w:rFonts w:cs="Times New Roman"/>
          <w:lang w:val="fr-CA"/>
        </w:rPr>
        <w:noBreakHyphen/>
        <w:t>jacentes. Les ordonnances d</w:t>
      </w:r>
      <w:r>
        <w:rPr>
          <w:rFonts w:cs="Times New Roman"/>
          <w:lang w:val="fr-CA"/>
        </w:rPr>
        <w:t>’</w:t>
      </w:r>
      <w:r w:rsidRPr="00375EDE">
        <w:rPr>
          <w:rFonts w:cs="Times New Roman"/>
          <w:lang w:val="fr-CA"/>
        </w:rPr>
        <w:t>abandon comportent un risque de responsabilité pour non</w:t>
      </w:r>
      <w:r w:rsidRPr="00375EDE">
        <w:rPr>
          <w:rFonts w:cs="Times New Roman"/>
          <w:lang w:val="fr-CA"/>
        </w:rPr>
        <w:noBreakHyphen/>
        <w:t>respect; l</w:t>
      </w:r>
      <w:r>
        <w:rPr>
          <w:rFonts w:cs="Times New Roman"/>
          <w:lang w:val="fr-CA"/>
        </w:rPr>
        <w:t>’</w:t>
      </w:r>
      <w:r w:rsidRPr="00375EDE">
        <w:rPr>
          <w:rFonts w:cs="Times New Roman"/>
          <w:lang w:val="fr-CA"/>
        </w:rPr>
        <w:t>imposition de conditions à la vente des actifs de Redwater, par contre, ne crée pas formellement de responsabilité, mais empêche effectivement toute vente de se réaliser tant et aussi longtemps qu</w:t>
      </w:r>
      <w:r>
        <w:rPr>
          <w:rFonts w:cs="Times New Roman"/>
          <w:lang w:val="fr-CA"/>
        </w:rPr>
        <w:t>’</w:t>
      </w:r>
      <w:r w:rsidRPr="00375EDE">
        <w:rPr>
          <w:rFonts w:cs="Times New Roman"/>
          <w:lang w:val="fr-CA"/>
        </w:rPr>
        <w:t>il n</w:t>
      </w:r>
      <w:r>
        <w:rPr>
          <w:rFonts w:cs="Times New Roman"/>
          <w:lang w:val="fr-CA"/>
        </w:rPr>
        <w:t>’</w:t>
      </w:r>
      <w:r w:rsidRPr="00375EDE">
        <w:rPr>
          <w:rFonts w:cs="Times New Roman"/>
          <w:lang w:val="fr-CA"/>
        </w:rPr>
        <w:t>est pas satisfait à ces obligations. Étant donné que le syndic doit vendre les biens afin de remplir son mandat, l</w:t>
      </w:r>
      <w:r>
        <w:rPr>
          <w:rFonts w:cs="Times New Roman"/>
          <w:lang w:val="fr-CA"/>
        </w:rPr>
        <w:t>’</w:t>
      </w:r>
      <w:r w:rsidRPr="00375EDE">
        <w:rPr>
          <w:rFonts w:cs="Times New Roman"/>
          <w:i/>
          <w:lang w:val="fr-CA"/>
        </w:rPr>
        <w:t xml:space="preserve">effet </w:t>
      </w:r>
      <w:r w:rsidRPr="00375EDE">
        <w:rPr>
          <w:rFonts w:cs="Times New Roman"/>
          <w:lang w:val="fr-CA"/>
        </w:rPr>
        <w:t>de l</w:t>
      </w:r>
      <w:r>
        <w:rPr>
          <w:rFonts w:cs="Times New Roman"/>
          <w:lang w:val="fr-CA"/>
        </w:rPr>
        <w:t>’</w:t>
      </w:r>
      <w:r w:rsidRPr="00375EDE">
        <w:rPr>
          <w:rFonts w:cs="Times New Roman"/>
          <w:lang w:val="fr-CA"/>
        </w:rPr>
        <w:t>imposition de conditions à la vente des biens de Redwater est le même que celui des ordonnances d</w:t>
      </w:r>
      <w:r>
        <w:rPr>
          <w:rFonts w:cs="Times New Roman"/>
          <w:lang w:val="fr-CA"/>
        </w:rPr>
        <w:t>’</w:t>
      </w:r>
      <w:r w:rsidRPr="00375EDE">
        <w:rPr>
          <w:rFonts w:cs="Times New Roman"/>
          <w:lang w:val="fr-CA"/>
        </w:rPr>
        <w:t>abandon — et, comme le reconnaît mon collègue, c</w:t>
      </w:r>
      <w:r>
        <w:rPr>
          <w:rFonts w:cs="Times New Roman"/>
          <w:lang w:val="fr-CA"/>
        </w:rPr>
        <w:t>’</w:t>
      </w:r>
      <w:r w:rsidRPr="00375EDE">
        <w:rPr>
          <w:rFonts w:cs="Times New Roman"/>
          <w:lang w:val="fr-CA"/>
        </w:rPr>
        <w:t>est l</w:t>
      </w:r>
      <w:r>
        <w:rPr>
          <w:rFonts w:cs="Times New Roman"/>
          <w:lang w:val="fr-CA"/>
        </w:rPr>
        <w:t>’</w:t>
      </w:r>
      <w:r w:rsidRPr="00375EDE">
        <w:rPr>
          <w:rFonts w:cs="Times New Roman"/>
          <w:lang w:val="fr-CA"/>
        </w:rPr>
        <w:t>effet de l</w:t>
      </w:r>
      <w:r>
        <w:rPr>
          <w:rFonts w:cs="Times New Roman"/>
          <w:lang w:val="fr-CA"/>
        </w:rPr>
        <w:t>’</w:t>
      </w:r>
      <w:r w:rsidRPr="00375EDE">
        <w:rPr>
          <w:rFonts w:cs="Times New Roman"/>
          <w:lang w:val="fr-CA"/>
        </w:rPr>
        <w:t>action provinciale, et non son intention ou sa forme, qui est au cœur de l</w:t>
      </w:r>
      <w:r>
        <w:rPr>
          <w:rFonts w:cs="Times New Roman"/>
          <w:lang w:val="fr-CA"/>
        </w:rPr>
        <w:t>’</w:t>
      </w:r>
      <w:r w:rsidRPr="00375EDE">
        <w:rPr>
          <w:rFonts w:cs="Times New Roman"/>
          <w:lang w:val="fr-CA"/>
        </w:rPr>
        <w:t xml:space="preserve">analyse relative à la prépondérance (par. 116; voir aussi </w:t>
      </w:r>
      <w:r w:rsidRPr="00375EDE">
        <w:rPr>
          <w:rFonts w:cs="Times New Roman"/>
          <w:i/>
          <w:lang w:val="fr-CA"/>
        </w:rPr>
        <w:t>Husky Oil</w:t>
      </w:r>
      <w:r w:rsidRPr="00375EDE">
        <w:rPr>
          <w:rFonts w:cs="Times New Roman"/>
          <w:lang w:val="fr-CA"/>
        </w:rPr>
        <w:t>, par. 40). L</w:t>
      </w:r>
      <w:r>
        <w:rPr>
          <w:rFonts w:cs="Times New Roman"/>
          <w:lang w:val="fr-CA"/>
        </w:rPr>
        <w:t>’</w:t>
      </w:r>
      <w:r w:rsidRPr="00375EDE">
        <w:rPr>
          <w:rFonts w:cs="Times New Roman"/>
          <w:lang w:val="fr-CA"/>
        </w:rPr>
        <w:t>effet de l</w:t>
      </w:r>
      <w:r>
        <w:rPr>
          <w:rFonts w:cs="Times New Roman"/>
          <w:lang w:val="fr-CA"/>
        </w:rPr>
        <w:t>’</w:t>
      </w:r>
      <w:r w:rsidRPr="00375EDE">
        <w:rPr>
          <w:rFonts w:cs="Times New Roman"/>
          <w:lang w:val="fr-CA"/>
        </w:rPr>
        <w:t>action de l</w:t>
      </w:r>
      <w:r>
        <w:rPr>
          <w:rFonts w:cs="Times New Roman"/>
          <w:lang w:val="fr-CA"/>
        </w:rPr>
        <w:t>’</w:t>
      </w:r>
      <w:r w:rsidRPr="00375EDE">
        <w:rPr>
          <w:rFonts w:cs="Times New Roman"/>
          <w:lang w:val="fr-CA"/>
        </w:rPr>
        <w:t>AER est donc, dans les deux cas, de créer un régime de recouvrement des créances — qui exige que les obligations environnementales envers l</w:t>
      </w:r>
      <w:r>
        <w:rPr>
          <w:rFonts w:cs="Times New Roman"/>
          <w:lang w:val="fr-CA"/>
        </w:rPr>
        <w:t>’</w:t>
      </w:r>
      <w:r w:rsidRPr="00375EDE">
        <w:rPr>
          <w:rFonts w:cs="Times New Roman"/>
          <w:lang w:val="fr-CA"/>
        </w:rPr>
        <w:t xml:space="preserve">AER soient acquittées avant les autres dettes du failli. </w:t>
      </w:r>
    </w:p>
    <w:p w:rsidR="00DF13E5" w:rsidRPr="00375EDE" w:rsidRDefault="00DF13E5" w:rsidP="00DF13E5">
      <w:pPr>
        <w:pStyle w:val="ParaNoNdepar-AltN"/>
        <w:rPr>
          <w:rFonts w:cs="Times New Roman"/>
          <w:lang w:val="fr-CA"/>
        </w:rPr>
      </w:pPr>
      <w:r w:rsidRPr="00375EDE">
        <w:rPr>
          <w:rFonts w:cs="Times New Roman"/>
          <w:lang w:val="fr-CA"/>
        </w:rPr>
        <w:t>Ensuite, le fait que les exigences en matière de permis précèdent la faillite et s</w:t>
      </w:r>
      <w:r>
        <w:rPr>
          <w:rFonts w:cs="Times New Roman"/>
          <w:lang w:val="fr-CA"/>
        </w:rPr>
        <w:t>’</w:t>
      </w:r>
      <w:r w:rsidRPr="00375EDE">
        <w:rPr>
          <w:rFonts w:cs="Times New Roman"/>
          <w:lang w:val="fr-CA"/>
        </w:rPr>
        <w:t>appliquent à tous les titulaires de permis n</w:t>
      </w:r>
      <w:r>
        <w:rPr>
          <w:rFonts w:cs="Times New Roman"/>
          <w:lang w:val="fr-CA"/>
        </w:rPr>
        <w:t>’</w:t>
      </w:r>
      <w:r w:rsidRPr="00375EDE">
        <w:rPr>
          <w:rFonts w:cs="Times New Roman"/>
          <w:lang w:val="fr-CA"/>
        </w:rPr>
        <w:t>est pas pertinent pour les besoins de la présente analyse. La situation n</w:t>
      </w:r>
      <w:r>
        <w:rPr>
          <w:rFonts w:cs="Times New Roman"/>
          <w:lang w:val="fr-CA"/>
        </w:rPr>
        <w:t>’</w:t>
      </w:r>
      <w:r w:rsidRPr="00375EDE">
        <w:rPr>
          <w:rFonts w:cs="Times New Roman"/>
          <w:lang w:val="fr-CA"/>
        </w:rPr>
        <w:t>est pas différente de celle dans l</w:t>
      </w:r>
      <w:r>
        <w:rPr>
          <w:rFonts w:cs="Times New Roman"/>
          <w:lang w:val="fr-CA"/>
        </w:rPr>
        <w:t>’</w:t>
      </w:r>
      <w:r w:rsidRPr="00375EDE">
        <w:rPr>
          <w:rFonts w:cs="Times New Roman"/>
          <w:lang w:val="fr-CA"/>
        </w:rPr>
        <w:t xml:space="preserve">affaire </w:t>
      </w:r>
      <w:r w:rsidRPr="00375EDE">
        <w:rPr>
          <w:rFonts w:cs="Times New Roman"/>
          <w:i/>
          <w:lang w:val="fr-CA"/>
        </w:rPr>
        <w:t>Abitibi</w:t>
      </w:r>
      <w:r w:rsidRPr="00375EDE">
        <w:rPr>
          <w:rFonts w:cs="Times New Roman"/>
          <w:lang w:val="fr-CA"/>
        </w:rPr>
        <w:t>, où l</w:t>
      </w:r>
      <w:r>
        <w:rPr>
          <w:rFonts w:cs="Times New Roman"/>
          <w:lang w:val="fr-CA"/>
        </w:rPr>
        <w:t>’</w:t>
      </w:r>
      <w:r w:rsidRPr="00375EDE">
        <w:rPr>
          <w:rFonts w:cs="Times New Roman"/>
          <w:lang w:val="fr-CA"/>
        </w:rPr>
        <w:t>obligation de fermer et de décontaminer les biens précédait la faillite d</w:t>
      </w:r>
      <w:r>
        <w:rPr>
          <w:rFonts w:cs="Times New Roman"/>
          <w:lang w:val="fr-CA"/>
        </w:rPr>
        <w:t>’</w:t>
      </w:r>
      <w:r w:rsidRPr="00375EDE">
        <w:rPr>
          <w:rFonts w:cs="Times New Roman"/>
          <w:lang w:val="fr-CA"/>
        </w:rPr>
        <w:t>AbitibiBowater et aurait également pu être considérée comme constituant une limite « inhérente » à la valeur du permis réglementaire. Pourtant, les obligations en cause dans cette affaire étaient des réclamations prouvables. C</w:t>
      </w:r>
      <w:r>
        <w:rPr>
          <w:rFonts w:cs="Times New Roman"/>
          <w:lang w:val="fr-CA"/>
        </w:rPr>
        <w:t>’</w:t>
      </w:r>
      <w:r w:rsidRPr="00375EDE">
        <w:rPr>
          <w:rFonts w:cs="Times New Roman"/>
          <w:lang w:val="fr-CA"/>
        </w:rPr>
        <w:t xml:space="preserve">est également le cas en </w:t>
      </w:r>
      <w:r w:rsidRPr="00375EDE">
        <w:rPr>
          <w:rFonts w:cs="Times New Roman"/>
          <w:lang w:val="fr-CA"/>
        </w:rPr>
        <w:lastRenderedPageBreak/>
        <w:t>l</w:t>
      </w:r>
      <w:r>
        <w:rPr>
          <w:rFonts w:cs="Times New Roman"/>
          <w:lang w:val="fr-CA"/>
        </w:rPr>
        <w:t>’</w:t>
      </w:r>
      <w:r w:rsidRPr="00375EDE">
        <w:rPr>
          <w:rFonts w:cs="Times New Roman"/>
          <w:lang w:val="fr-CA"/>
        </w:rPr>
        <w:t>espèce. Il est certes loisible à l</w:t>
      </w:r>
      <w:r>
        <w:rPr>
          <w:rFonts w:cs="Times New Roman"/>
          <w:lang w:val="fr-CA"/>
        </w:rPr>
        <w:t>’</w:t>
      </w:r>
      <w:r w:rsidRPr="00375EDE">
        <w:rPr>
          <w:rFonts w:cs="Times New Roman"/>
          <w:lang w:val="fr-CA"/>
        </w:rPr>
        <w:t>Alberta de modifier l</w:t>
      </w:r>
      <w:r>
        <w:rPr>
          <w:rFonts w:cs="Times New Roman"/>
          <w:lang w:val="fr-CA"/>
        </w:rPr>
        <w:t>’</w:t>
      </w:r>
      <w:r w:rsidRPr="00375EDE">
        <w:rPr>
          <w:rFonts w:cs="Times New Roman"/>
          <w:lang w:val="fr-CA"/>
        </w:rPr>
        <w:t>ordre de priorité des réclamations dans un contexte autre que celui d</w:t>
      </w:r>
      <w:r>
        <w:rPr>
          <w:rFonts w:cs="Times New Roman"/>
          <w:lang w:val="fr-CA"/>
        </w:rPr>
        <w:t>’</w:t>
      </w:r>
      <w:r w:rsidRPr="00375EDE">
        <w:rPr>
          <w:rFonts w:cs="Times New Roman"/>
          <w:lang w:val="fr-CA"/>
        </w:rPr>
        <w:t xml:space="preserve">une faillite. Par exemple, elle peut se servir de son pouvoir de délivrer des permis pour faire dépendre la vente des biens des sociétés </w:t>
      </w:r>
      <w:r w:rsidRPr="00375EDE">
        <w:rPr>
          <w:rFonts w:cs="Times New Roman"/>
          <w:i/>
          <w:lang w:val="fr-CA"/>
        </w:rPr>
        <w:t>solvables</w:t>
      </w:r>
      <w:r w:rsidRPr="00375EDE">
        <w:rPr>
          <w:rFonts w:cs="Times New Roman"/>
          <w:lang w:val="fr-CA"/>
        </w:rPr>
        <w:t xml:space="preserve"> du paiement des dettes impayées envers la province. Mais « </w:t>
      </w:r>
      <w:r w:rsidRPr="00375EDE">
        <w:rPr>
          <w:rFonts w:cs="Times New Roman"/>
          <w:lang w:val="fr-FR"/>
        </w:rPr>
        <w:t>dès qu</w:t>
      </w:r>
      <w:r>
        <w:rPr>
          <w:rFonts w:cs="Times New Roman"/>
          <w:lang w:val="fr-FR"/>
        </w:rPr>
        <w:t>’</w:t>
      </w:r>
      <w:r w:rsidRPr="00375EDE">
        <w:rPr>
          <w:rFonts w:cs="Times New Roman"/>
          <w:lang w:val="fr-FR"/>
        </w:rPr>
        <w:t>il y a faillite, c</w:t>
      </w:r>
      <w:r>
        <w:rPr>
          <w:rFonts w:cs="Times New Roman"/>
          <w:lang w:val="fr-FR"/>
        </w:rPr>
        <w:t>’</w:t>
      </w:r>
      <w:r w:rsidRPr="00375EDE">
        <w:rPr>
          <w:rFonts w:cs="Times New Roman"/>
          <w:lang w:val="fr-FR"/>
        </w:rPr>
        <w:t xml:space="preserve">est [la </w:t>
      </w:r>
      <w:r w:rsidRPr="00073A9A">
        <w:rPr>
          <w:rFonts w:cs="Times New Roman"/>
          <w:i/>
          <w:lang w:val="fr-FR"/>
        </w:rPr>
        <w:t>LFI</w:t>
      </w:r>
      <w:r w:rsidRPr="00375EDE">
        <w:rPr>
          <w:rFonts w:cs="Times New Roman"/>
          <w:lang w:val="fr-FR"/>
        </w:rPr>
        <w:t>] qui détermine le statut et l</w:t>
      </w:r>
      <w:r>
        <w:rPr>
          <w:rFonts w:cs="Times New Roman"/>
          <w:lang w:val="fr-FR"/>
        </w:rPr>
        <w:t>’</w:t>
      </w:r>
      <w:r w:rsidRPr="00375EDE">
        <w:rPr>
          <w:rFonts w:cs="Times New Roman"/>
          <w:lang w:val="fr-FR"/>
        </w:rPr>
        <w:t>ordre de priorité des réclamations</w:t>
      </w:r>
      <w:r w:rsidRPr="00375EDE">
        <w:rPr>
          <w:rFonts w:cs="Times New Roman"/>
          <w:lang w:val="fr-CA"/>
        </w:rPr>
        <w:t> » (</w:t>
      </w:r>
      <w:r w:rsidRPr="00375EDE">
        <w:rPr>
          <w:rFonts w:cs="Times New Roman"/>
          <w:i/>
          <w:lang w:val="fr-CA"/>
        </w:rPr>
        <w:t>Husky Oil</w:t>
      </w:r>
      <w:r w:rsidRPr="00375EDE">
        <w:rPr>
          <w:rFonts w:cs="Times New Roman"/>
          <w:lang w:val="fr-CA"/>
        </w:rPr>
        <w:t>, par. 32, citant A.</w:t>
      </w:r>
      <w:r w:rsidR="00F0174D">
        <w:rPr>
          <w:rFonts w:cs="Times New Roman"/>
          <w:lang w:val="fr-CA"/>
        </w:rPr>
        <w:t> </w:t>
      </w:r>
      <w:r w:rsidRPr="00375EDE">
        <w:rPr>
          <w:rFonts w:cs="Times New Roman"/>
          <w:lang w:val="fr-CA"/>
        </w:rPr>
        <w:t>J. Roman et</w:t>
      </w:r>
      <w:r w:rsidR="00950720">
        <w:rPr>
          <w:rFonts w:cs="Times New Roman"/>
          <w:lang w:val="fr-CA"/>
        </w:rPr>
        <w:t xml:space="preserve"> M.</w:t>
      </w:r>
      <w:r w:rsidR="00F0174D">
        <w:rPr>
          <w:rFonts w:cs="Times New Roman"/>
          <w:lang w:val="fr-CA"/>
        </w:rPr>
        <w:t> </w:t>
      </w:r>
      <w:r w:rsidR="00950720">
        <w:rPr>
          <w:rFonts w:cs="Times New Roman"/>
          <w:lang w:val="fr-CA"/>
        </w:rPr>
        <w:t>J. Sweatman, « The Conflict B</w:t>
      </w:r>
      <w:r w:rsidRPr="00375EDE">
        <w:rPr>
          <w:rFonts w:cs="Times New Roman"/>
          <w:lang w:val="fr-CA"/>
        </w:rPr>
        <w:t>etween Canadian Provincial Personal Property Security Acts and the Federal Bankrupcy Act</w:t>
      </w:r>
      <w:r>
        <w:rPr>
          <w:rFonts w:cs="Times New Roman"/>
          <w:lang w:val="fr-CA"/>
        </w:rPr>
        <w:t> </w:t>
      </w:r>
      <w:r w:rsidRPr="00375EDE">
        <w:rPr>
          <w:rFonts w:cs="Times New Roman"/>
          <w:lang w:val="fr-CA"/>
        </w:rPr>
        <w:t xml:space="preserve">: The War is Over » (1992), 71 </w:t>
      </w:r>
      <w:r w:rsidR="003A0D3D">
        <w:rPr>
          <w:rFonts w:cs="Times New Roman"/>
          <w:i/>
          <w:lang w:val="fr-CA"/>
        </w:rPr>
        <w:t xml:space="preserve">R. </w:t>
      </w:r>
      <w:r w:rsidR="006B3749">
        <w:rPr>
          <w:rFonts w:cs="Times New Roman"/>
          <w:i/>
          <w:lang w:val="fr-CA"/>
        </w:rPr>
        <w:t xml:space="preserve">du </w:t>
      </w:r>
      <w:r w:rsidR="003A0D3D">
        <w:rPr>
          <w:rFonts w:cs="Times New Roman"/>
          <w:i/>
          <w:lang w:val="fr-CA"/>
        </w:rPr>
        <w:t>B</w:t>
      </w:r>
      <w:r w:rsidR="009B0384">
        <w:rPr>
          <w:rFonts w:cs="Times New Roman"/>
          <w:i/>
          <w:lang w:val="fr-CA"/>
        </w:rPr>
        <w:t>. c</w:t>
      </w:r>
      <w:r w:rsidRPr="00375EDE">
        <w:rPr>
          <w:rFonts w:cs="Times New Roman"/>
          <w:i/>
          <w:lang w:val="fr-CA"/>
        </w:rPr>
        <w:t>an.</w:t>
      </w:r>
      <w:r w:rsidRPr="00375EDE">
        <w:rPr>
          <w:rFonts w:cs="Times New Roman"/>
          <w:lang w:val="fr-CA"/>
        </w:rPr>
        <w:t xml:space="preserve"> 77, p. 79). </w:t>
      </w:r>
    </w:p>
    <w:p w:rsidR="00DF13E5" w:rsidRPr="00375EDE" w:rsidRDefault="00DF13E5" w:rsidP="00DF13E5">
      <w:pPr>
        <w:pStyle w:val="ParaNoNdepar-AltN"/>
        <w:rPr>
          <w:rFonts w:cs="Times New Roman"/>
          <w:lang w:val="fr-CA"/>
        </w:rPr>
      </w:pPr>
      <w:r w:rsidRPr="00375EDE">
        <w:rPr>
          <w:rFonts w:cs="Times New Roman"/>
          <w:lang w:val="fr-CA"/>
        </w:rPr>
        <w:t>En l</w:t>
      </w:r>
      <w:r>
        <w:rPr>
          <w:rFonts w:cs="Times New Roman"/>
          <w:lang w:val="fr-CA"/>
        </w:rPr>
        <w:t>’</w:t>
      </w:r>
      <w:r w:rsidRPr="00375EDE">
        <w:rPr>
          <w:rFonts w:cs="Times New Roman"/>
          <w:lang w:val="fr-CA"/>
        </w:rPr>
        <w:t>espèce, l</w:t>
      </w:r>
      <w:r>
        <w:rPr>
          <w:rFonts w:cs="Times New Roman"/>
          <w:lang w:val="fr-CA"/>
        </w:rPr>
        <w:t>’</w:t>
      </w:r>
      <w:r w:rsidRPr="00375EDE">
        <w:rPr>
          <w:rFonts w:cs="Times New Roman"/>
          <w:lang w:val="fr-CA"/>
        </w:rPr>
        <w:t xml:space="preserve">imposition de conditions à la vente des actifs de valeur de Redwater entraîne </w:t>
      </w:r>
      <w:r w:rsidRPr="00375EDE">
        <w:rPr>
          <w:rFonts w:cs="Times New Roman"/>
          <w:i/>
          <w:lang w:val="fr-CA"/>
        </w:rPr>
        <w:t xml:space="preserve">bel et bien </w:t>
      </w:r>
      <w:r w:rsidRPr="00375EDE">
        <w:rPr>
          <w:rFonts w:cs="Times New Roman"/>
          <w:lang w:val="fr-CA"/>
        </w:rPr>
        <w:t>une créance pécuniaire en faveur de l</w:t>
      </w:r>
      <w:r>
        <w:rPr>
          <w:rFonts w:cs="Times New Roman"/>
          <w:lang w:val="fr-CA"/>
        </w:rPr>
        <w:t>’</w:t>
      </w:r>
      <w:r w:rsidRPr="00375EDE">
        <w:rPr>
          <w:rFonts w:cs="Times New Roman"/>
          <w:lang w:val="fr-CA"/>
        </w:rPr>
        <w:t>AER, que ce soit sous forme :</w:t>
      </w:r>
      <w:r w:rsidR="007C0F2F">
        <w:rPr>
          <w:rFonts w:cs="Times New Roman"/>
          <w:lang w:val="fr-CA"/>
        </w:rPr>
        <w:t xml:space="preserve"> (1)</w:t>
      </w:r>
      <w:r w:rsidRPr="00375EDE">
        <w:rPr>
          <w:rFonts w:cs="Times New Roman"/>
          <w:lang w:val="fr-CA"/>
        </w:rPr>
        <w:t> de versement d</w:t>
      </w:r>
      <w:r>
        <w:rPr>
          <w:rFonts w:cs="Times New Roman"/>
          <w:lang w:val="fr-CA"/>
        </w:rPr>
        <w:t>’</w:t>
      </w:r>
      <w:r w:rsidRPr="00375EDE">
        <w:rPr>
          <w:rFonts w:cs="Times New Roman"/>
          <w:lang w:val="fr-CA"/>
        </w:rPr>
        <w:t xml:space="preserve">un dépôt de garantie; </w:t>
      </w:r>
      <w:r w:rsidR="007C0F2F">
        <w:rPr>
          <w:rFonts w:cs="Times New Roman"/>
          <w:lang w:val="fr-CA"/>
        </w:rPr>
        <w:t>(</w:t>
      </w:r>
      <w:r w:rsidRPr="00375EDE">
        <w:rPr>
          <w:rFonts w:cs="Times New Roman"/>
          <w:lang w:val="fr-CA"/>
        </w:rPr>
        <w:t>2) d</w:t>
      </w:r>
      <w:r>
        <w:rPr>
          <w:rFonts w:cs="Times New Roman"/>
          <w:lang w:val="fr-CA"/>
        </w:rPr>
        <w:t>’</w:t>
      </w:r>
      <w:r w:rsidRPr="00375EDE">
        <w:rPr>
          <w:rFonts w:cs="Times New Roman"/>
          <w:lang w:val="fr-CA"/>
        </w:rPr>
        <w:t xml:space="preserve">achèvement réel des travaux environnementaux; ou </w:t>
      </w:r>
      <w:r w:rsidR="007C0F2F">
        <w:rPr>
          <w:rFonts w:cs="Times New Roman"/>
          <w:lang w:val="fr-CA"/>
        </w:rPr>
        <w:t>(</w:t>
      </w:r>
      <w:r w:rsidRPr="00375EDE">
        <w:rPr>
          <w:rFonts w:cs="Times New Roman"/>
          <w:lang w:val="fr-CA"/>
        </w:rPr>
        <w:t xml:space="preserve">3) de vente des biens inexploités à une autre entité qui est alors réglementée comme « titulaire de </w:t>
      </w:r>
      <w:r>
        <w:rPr>
          <w:rFonts w:cs="Times New Roman"/>
          <w:lang w:val="fr-CA"/>
        </w:rPr>
        <w:t>permis</w:t>
      </w:r>
      <w:r w:rsidRPr="00375EDE">
        <w:rPr>
          <w:rFonts w:cs="Times New Roman"/>
          <w:lang w:val="fr-CA"/>
        </w:rPr>
        <w:t> » et qui peut ainsi être contrainte en application de la loi provinciale à mener à bien les travaux. Dans un cas comme dans l</w:t>
      </w:r>
      <w:r>
        <w:rPr>
          <w:rFonts w:cs="Times New Roman"/>
          <w:lang w:val="fr-CA"/>
        </w:rPr>
        <w:t>’</w:t>
      </w:r>
      <w:r w:rsidRPr="00375EDE">
        <w:rPr>
          <w:rFonts w:cs="Times New Roman"/>
          <w:lang w:val="fr-CA"/>
        </w:rPr>
        <w:t>autre, le résultat est le même : l</w:t>
      </w:r>
      <w:r>
        <w:rPr>
          <w:rFonts w:cs="Times New Roman"/>
          <w:lang w:val="fr-CA"/>
        </w:rPr>
        <w:t>’</w:t>
      </w:r>
      <w:r w:rsidRPr="00375EDE">
        <w:rPr>
          <w:rFonts w:cs="Times New Roman"/>
          <w:lang w:val="fr-CA"/>
        </w:rPr>
        <w:t xml:space="preserve">AER fait dépendre la vente des biens de Redwater de sa capacité de recouvrer une dette préexistante que lui devait le failli. </w:t>
      </w:r>
    </w:p>
    <w:p w:rsidR="00DF13E5" w:rsidRPr="00375EDE" w:rsidRDefault="00DF13E5" w:rsidP="00DF13E5">
      <w:pPr>
        <w:pStyle w:val="ParaNoNdepar-AltN"/>
        <w:rPr>
          <w:rFonts w:cs="Times New Roman"/>
          <w:lang w:val="fr-CA"/>
        </w:rPr>
      </w:pPr>
      <w:r w:rsidRPr="00375EDE">
        <w:rPr>
          <w:rFonts w:cs="Times New Roman"/>
          <w:lang w:val="fr-CA"/>
        </w:rPr>
        <w:t>Une approche qui différencie artificiellement les ordonnances d</w:t>
      </w:r>
      <w:r>
        <w:rPr>
          <w:rFonts w:cs="Times New Roman"/>
          <w:lang w:val="fr-CA"/>
        </w:rPr>
        <w:t>’</w:t>
      </w:r>
      <w:r w:rsidRPr="00375EDE">
        <w:rPr>
          <w:rFonts w:cs="Times New Roman"/>
          <w:lang w:val="fr-CA"/>
        </w:rPr>
        <w:t xml:space="preserve">abandon et les exigences relatives au transfert afin de leur réserver un traitement distinct sur le plan analytique en application du critère </w:t>
      </w:r>
      <w:r w:rsidRPr="00375EDE">
        <w:rPr>
          <w:rFonts w:cs="Times New Roman"/>
          <w:i/>
          <w:lang w:val="fr-CA"/>
        </w:rPr>
        <w:t>Abitibi</w:t>
      </w:r>
      <w:r w:rsidRPr="00375EDE">
        <w:rPr>
          <w:rFonts w:cs="Times New Roman"/>
          <w:lang w:val="fr-CA"/>
        </w:rPr>
        <w:t xml:space="preserve"> ferait reposer l</w:t>
      </w:r>
      <w:r>
        <w:rPr>
          <w:rFonts w:cs="Times New Roman"/>
          <w:lang w:val="fr-CA"/>
        </w:rPr>
        <w:t>’</w:t>
      </w:r>
      <w:r w:rsidRPr="00375EDE">
        <w:rPr>
          <w:rFonts w:cs="Times New Roman"/>
          <w:lang w:val="fr-CA"/>
        </w:rPr>
        <w:t>analyse relative à la prépondérance sur des subtilités non pertinentes concernant la manière dont la province a choisi d</w:t>
      </w:r>
      <w:r>
        <w:rPr>
          <w:rFonts w:cs="Times New Roman"/>
          <w:lang w:val="fr-CA"/>
        </w:rPr>
        <w:t>’</w:t>
      </w:r>
      <w:r w:rsidRPr="00375EDE">
        <w:rPr>
          <w:rFonts w:cs="Times New Roman"/>
          <w:lang w:val="fr-CA"/>
        </w:rPr>
        <w:t>exercer son pouvoir ou la forme que prend ce choix. Les deux mesures doivent être considérées ensemble comme le moyen employé par l</w:t>
      </w:r>
      <w:r>
        <w:rPr>
          <w:rFonts w:cs="Times New Roman"/>
          <w:lang w:val="fr-CA"/>
        </w:rPr>
        <w:t>’</w:t>
      </w:r>
      <w:r w:rsidRPr="00375EDE">
        <w:rPr>
          <w:rFonts w:cs="Times New Roman"/>
          <w:lang w:val="fr-CA"/>
        </w:rPr>
        <w:t>AER pour recouvrer une créance à l</w:t>
      </w:r>
      <w:r>
        <w:rPr>
          <w:rFonts w:cs="Times New Roman"/>
          <w:lang w:val="fr-CA"/>
        </w:rPr>
        <w:t>’</w:t>
      </w:r>
      <w:r w:rsidRPr="00375EDE">
        <w:rPr>
          <w:rFonts w:cs="Times New Roman"/>
          <w:lang w:val="fr-CA"/>
        </w:rPr>
        <w:t>encontre de l</w:t>
      </w:r>
      <w:r>
        <w:rPr>
          <w:rFonts w:cs="Times New Roman"/>
          <w:lang w:val="fr-CA"/>
        </w:rPr>
        <w:t>’</w:t>
      </w:r>
      <w:r w:rsidRPr="00375EDE">
        <w:rPr>
          <w:rFonts w:cs="Times New Roman"/>
          <w:lang w:val="fr-CA"/>
        </w:rPr>
        <w:t>actif de Redwater. Comme je l</w:t>
      </w:r>
      <w:r>
        <w:rPr>
          <w:rFonts w:cs="Times New Roman"/>
          <w:lang w:val="fr-CA"/>
        </w:rPr>
        <w:t>’</w:t>
      </w:r>
      <w:r w:rsidRPr="00375EDE">
        <w:rPr>
          <w:rFonts w:cs="Times New Roman"/>
          <w:lang w:val="fr-CA"/>
        </w:rPr>
        <w:t>ai expliqué, il n</w:t>
      </w:r>
      <w:r>
        <w:rPr>
          <w:rFonts w:cs="Times New Roman"/>
          <w:lang w:val="fr-CA"/>
        </w:rPr>
        <w:t>’</w:t>
      </w:r>
      <w:r w:rsidRPr="00375EDE">
        <w:rPr>
          <w:rFonts w:cs="Times New Roman"/>
          <w:lang w:val="fr-CA"/>
        </w:rPr>
        <w:t xml:space="preserve">existe </w:t>
      </w:r>
      <w:r w:rsidRPr="00375EDE">
        <w:rPr>
          <w:rFonts w:cs="Times New Roman"/>
          <w:lang w:val="fr-CA"/>
        </w:rPr>
        <w:lastRenderedPageBreak/>
        <w:t>aucune différence significative dans le contexte de la faillite entre une ordonnance officielle d</w:t>
      </w:r>
      <w:r>
        <w:rPr>
          <w:rFonts w:cs="Times New Roman"/>
          <w:lang w:val="fr-CA"/>
        </w:rPr>
        <w:t>’</w:t>
      </w:r>
      <w:r w:rsidRPr="00375EDE">
        <w:rPr>
          <w:rFonts w:cs="Times New Roman"/>
          <w:lang w:val="fr-CA"/>
        </w:rPr>
        <w:t xml:space="preserve">abandon enjoignant au syndic de procéder à des travaux de décontamination et un système de délivrance de permis rigide qui impose exactement les mêmes obligations comme condition de la vente — une vente qui, si le syndic veut remplir son mandat, </w:t>
      </w:r>
      <w:r w:rsidRPr="00375EDE">
        <w:rPr>
          <w:rFonts w:cs="Times New Roman"/>
          <w:i/>
          <w:lang w:val="fr-CA"/>
        </w:rPr>
        <w:t xml:space="preserve">doit </w:t>
      </w:r>
      <w:r w:rsidRPr="00375EDE">
        <w:rPr>
          <w:rFonts w:cs="Times New Roman"/>
          <w:lang w:val="fr-CA"/>
        </w:rPr>
        <w:t>avoir lieu. Le seul effet qu</w:t>
      </w:r>
      <w:r>
        <w:rPr>
          <w:rFonts w:cs="Times New Roman"/>
          <w:lang w:val="fr-CA"/>
        </w:rPr>
        <w:t>’</w:t>
      </w:r>
      <w:r w:rsidRPr="00375EDE">
        <w:rPr>
          <w:rFonts w:cs="Times New Roman"/>
          <w:lang w:val="fr-CA"/>
        </w:rPr>
        <w:t>a l</w:t>
      </w:r>
      <w:r>
        <w:rPr>
          <w:rFonts w:cs="Times New Roman"/>
          <w:lang w:val="fr-CA"/>
        </w:rPr>
        <w:t>’</w:t>
      </w:r>
      <w:r w:rsidRPr="00375EDE">
        <w:rPr>
          <w:rFonts w:cs="Times New Roman"/>
          <w:lang w:val="fr-CA"/>
        </w:rPr>
        <w:t>analyse de la majorité est d</w:t>
      </w:r>
      <w:r>
        <w:rPr>
          <w:rFonts w:cs="Times New Roman"/>
          <w:lang w:val="fr-CA"/>
        </w:rPr>
        <w:t>’</w:t>
      </w:r>
      <w:r w:rsidRPr="00375EDE">
        <w:rPr>
          <w:rFonts w:cs="Times New Roman"/>
          <w:lang w:val="fr-CA"/>
        </w:rPr>
        <w:t>encourager les organismes de réglementation à trouver des façons plus ingénieuses de recouvrer leurs créances. Rien de tout cela ne sert les fins de la prépondérance; et, fait plus important, rien dans cette analyse ne donne aux professionnels de l</w:t>
      </w:r>
      <w:r>
        <w:rPr>
          <w:rFonts w:cs="Times New Roman"/>
          <w:lang w:val="fr-CA"/>
        </w:rPr>
        <w:t>’</w:t>
      </w:r>
      <w:r w:rsidRPr="00375EDE">
        <w:rPr>
          <w:rFonts w:cs="Times New Roman"/>
          <w:lang w:val="fr-CA"/>
        </w:rPr>
        <w:t>insolvabilité (ni aux organismes de réglementation, d</w:t>
      </w:r>
      <w:r>
        <w:rPr>
          <w:rFonts w:cs="Times New Roman"/>
          <w:lang w:val="fr-CA"/>
        </w:rPr>
        <w:t>’</w:t>
      </w:r>
      <w:r w:rsidRPr="00375EDE">
        <w:rPr>
          <w:rFonts w:cs="Times New Roman"/>
          <w:lang w:val="fr-CA"/>
        </w:rPr>
        <w:t>ailleurs) des indications claires quant aux types d</w:t>
      </w:r>
      <w:r>
        <w:rPr>
          <w:rFonts w:cs="Times New Roman"/>
          <w:lang w:val="fr-CA"/>
        </w:rPr>
        <w:t>’</w:t>
      </w:r>
      <w:r w:rsidRPr="00375EDE">
        <w:rPr>
          <w:rFonts w:cs="Times New Roman"/>
          <w:lang w:val="fr-CA"/>
        </w:rPr>
        <w:t xml:space="preserve">obligations qui peuvent ou non satisfaire au test </w:t>
      </w:r>
      <w:r w:rsidRPr="00375EDE">
        <w:rPr>
          <w:rFonts w:cs="Times New Roman"/>
          <w:i/>
          <w:lang w:val="fr-CA"/>
        </w:rPr>
        <w:t>Abitibi</w:t>
      </w:r>
      <w:r w:rsidRPr="00375EDE">
        <w:rPr>
          <w:rFonts w:cs="Times New Roman"/>
          <w:lang w:val="fr-CA"/>
        </w:rPr>
        <w:t>.</w:t>
      </w:r>
      <w:r w:rsidRPr="00375EDE">
        <w:rPr>
          <w:rFonts w:cs="Times New Roman"/>
          <w:i/>
          <w:lang w:val="fr-CA"/>
        </w:rPr>
        <w:t xml:space="preserve"> </w:t>
      </w:r>
    </w:p>
    <w:p w:rsidR="00DF13E5" w:rsidRPr="00375EDE" w:rsidRDefault="00DF13E5" w:rsidP="00DF13E5">
      <w:pPr>
        <w:pStyle w:val="ParaNoNdepar-AltN"/>
        <w:rPr>
          <w:rFonts w:cs="Times New Roman"/>
          <w:lang w:val="fr-CA"/>
        </w:rPr>
      </w:pPr>
      <w:r w:rsidRPr="00375EDE">
        <w:rPr>
          <w:rFonts w:cs="Times New Roman"/>
          <w:lang w:val="fr-CA"/>
        </w:rPr>
        <w:t>Comme il est suffisamment certain que l</w:t>
      </w:r>
      <w:r>
        <w:rPr>
          <w:rFonts w:cs="Times New Roman"/>
          <w:lang w:val="fr-CA"/>
        </w:rPr>
        <w:t>’</w:t>
      </w:r>
      <w:r w:rsidRPr="00375EDE">
        <w:rPr>
          <w:rFonts w:cs="Times New Roman"/>
          <w:lang w:val="fr-CA"/>
        </w:rPr>
        <w:t>AER (ou l</w:t>
      </w:r>
      <w:r>
        <w:rPr>
          <w:rFonts w:cs="Times New Roman"/>
          <w:lang w:val="fr-CA"/>
        </w:rPr>
        <w:t>’</w:t>
      </w:r>
      <w:r w:rsidRPr="00375EDE">
        <w:rPr>
          <w:rFonts w:cs="Times New Roman"/>
          <w:lang w:val="fr-CA"/>
        </w:rPr>
        <w:t>OWA, sa délégataire) achèvera les travaux d</w:t>
      </w:r>
      <w:r>
        <w:rPr>
          <w:rFonts w:cs="Times New Roman"/>
          <w:lang w:val="fr-CA"/>
        </w:rPr>
        <w:t>’</w:t>
      </w:r>
      <w:r w:rsidRPr="00375EDE">
        <w:rPr>
          <w:rFonts w:cs="Times New Roman"/>
          <w:lang w:val="fr-CA"/>
        </w:rPr>
        <w:t xml:space="preserve">abandon et de remise en état, il est satisfait aux trois volets du test </w:t>
      </w:r>
      <w:r w:rsidRPr="00375EDE">
        <w:rPr>
          <w:rFonts w:cs="Times New Roman"/>
          <w:i/>
          <w:lang w:val="fr-CA"/>
        </w:rPr>
        <w:t>Abitibi</w:t>
      </w:r>
      <w:r w:rsidRPr="00375EDE">
        <w:rPr>
          <w:rFonts w:cs="Times New Roman"/>
          <w:lang w:val="fr-CA"/>
        </w:rPr>
        <w:t>. Les ordonnances d</w:t>
      </w:r>
      <w:r>
        <w:rPr>
          <w:rFonts w:cs="Times New Roman"/>
          <w:lang w:val="fr-CA"/>
        </w:rPr>
        <w:t>’</w:t>
      </w:r>
      <w:r w:rsidRPr="00375EDE">
        <w:rPr>
          <w:rFonts w:cs="Times New Roman"/>
          <w:lang w:val="fr-CA"/>
        </w:rPr>
        <w:t>abandon sont des réclamations prouvables, et l</w:t>
      </w:r>
      <w:r>
        <w:rPr>
          <w:rFonts w:cs="Times New Roman"/>
          <w:lang w:val="fr-CA"/>
        </w:rPr>
        <w:t>’</w:t>
      </w:r>
      <w:r w:rsidRPr="00375EDE">
        <w:rPr>
          <w:rFonts w:cs="Times New Roman"/>
          <w:lang w:val="fr-CA"/>
        </w:rPr>
        <w:t>AER ne peut donc contraindre Redwater ou son syndic à acquitter les obligations en cause à l</w:t>
      </w:r>
      <w:r>
        <w:rPr>
          <w:rFonts w:cs="Times New Roman"/>
          <w:lang w:val="fr-CA"/>
        </w:rPr>
        <w:t>’</w:t>
      </w:r>
      <w:r w:rsidRPr="00375EDE">
        <w:rPr>
          <w:rFonts w:cs="Times New Roman"/>
          <w:lang w:val="fr-CA"/>
        </w:rPr>
        <w:t xml:space="preserve">extérieur du régime de priorité établi par la </w:t>
      </w:r>
      <w:r w:rsidRPr="00073A9A">
        <w:rPr>
          <w:rFonts w:cs="Times New Roman"/>
          <w:i/>
          <w:lang w:val="fr-CA"/>
        </w:rPr>
        <w:t>LFI</w:t>
      </w:r>
      <w:r w:rsidRPr="00375EDE">
        <w:rPr>
          <w:rFonts w:cs="Times New Roman"/>
          <w:lang w:val="fr-CA"/>
        </w:rPr>
        <w:t>. De la même façon, l</w:t>
      </w:r>
      <w:r>
        <w:rPr>
          <w:rFonts w:cs="Times New Roman"/>
          <w:lang w:val="fr-CA"/>
        </w:rPr>
        <w:t>’</w:t>
      </w:r>
      <w:r w:rsidRPr="00375EDE">
        <w:rPr>
          <w:rFonts w:cs="Times New Roman"/>
          <w:lang w:val="fr-CA"/>
        </w:rPr>
        <w:t>AER ne peut faire dépendre la vente des biens de valeur de Redwater de l</w:t>
      </w:r>
      <w:r>
        <w:rPr>
          <w:rFonts w:cs="Times New Roman"/>
          <w:lang w:val="fr-CA"/>
        </w:rPr>
        <w:t>’</w:t>
      </w:r>
      <w:r w:rsidRPr="00375EDE">
        <w:rPr>
          <w:rFonts w:cs="Times New Roman"/>
          <w:lang w:val="fr-CA"/>
        </w:rPr>
        <w:t>exécution de ces mêmes obligations.</w:t>
      </w:r>
    </w:p>
    <w:p w:rsidR="00DF13E5" w:rsidRPr="00073A9A" w:rsidRDefault="00DF13E5" w:rsidP="00073A9A">
      <w:pPr>
        <w:pStyle w:val="ParaNoNdepar-AltN"/>
        <w:rPr>
          <w:rFonts w:cs="Times New Roman"/>
          <w:lang w:val="fr-CA"/>
        </w:rPr>
      </w:pPr>
      <w:r w:rsidRPr="00375EDE">
        <w:rPr>
          <w:rFonts w:cs="Times New Roman"/>
          <w:lang w:val="fr-CA"/>
        </w:rPr>
        <w:t>Vers la fin de son analyse, la majorité soutient que les mesures d</w:t>
      </w:r>
      <w:r>
        <w:rPr>
          <w:rFonts w:cs="Times New Roman"/>
          <w:lang w:val="fr-CA"/>
        </w:rPr>
        <w:t>’</w:t>
      </w:r>
      <w:r w:rsidRPr="00375EDE">
        <w:rPr>
          <w:rFonts w:cs="Times New Roman"/>
          <w:lang w:val="fr-CA"/>
        </w:rPr>
        <w:t>application prises par l</w:t>
      </w:r>
      <w:r>
        <w:rPr>
          <w:rFonts w:cs="Times New Roman"/>
          <w:lang w:val="fr-CA"/>
        </w:rPr>
        <w:t>’</w:t>
      </w:r>
      <w:r w:rsidRPr="00375EDE">
        <w:rPr>
          <w:rFonts w:cs="Times New Roman"/>
          <w:lang w:val="fr-CA"/>
        </w:rPr>
        <w:t>AER en l</w:t>
      </w:r>
      <w:r>
        <w:rPr>
          <w:rFonts w:cs="Times New Roman"/>
          <w:lang w:val="fr-CA"/>
        </w:rPr>
        <w:t>’</w:t>
      </w:r>
      <w:r w:rsidRPr="00375EDE">
        <w:rPr>
          <w:rFonts w:cs="Times New Roman"/>
          <w:lang w:val="fr-CA"/>
        </w:rPr>
        <w:t>espèce favorisent, au lieu de contrecarrer, la réalisation des intentions du Parlement qui sous</w:t>
      </w:r>
      <w:r w:rsidRPr="00375EDE">
        <w:rPr>
          <w:rFonts w:cs="Times New Roman"/>
          <w:lang w:val="fr-CA"/>
        </w:rPr>
        <w:noBreakHyphen/>
        <w:t xml:space="preserve">tendent le régime de priorité de la </w:t>
      </w:r>
      <w:r w:rsidRPr="00073A9A">
        <w:rPr>
          <w:rFonts w:cs="Times New Roman"/>
          <w:i/>
          <w:lang w:val="fr-CA"/>
        </w:rPr>
        <w:t>LFI</w:t>
      </w:r>
      <w:r w:rsidRPr="00375EDE">
        <w:rPr>
          <w:rFonts w:cs="Times New Roman"/>
          <w:lang w:val="fr-CA"/>
        </w:rPr>
        <w:t xml:space="preserve"> en raison de la superpriorité</w:t>
      </w:r>
      <w:r w:rsidRPr="00073A9A">
        <w:rPr>
          <w:rFonts w:cs="Times New Roman"/>
          <w:lang w:val="fr-CA"/>
        </w:rPr>
        <w:t xml:space="preserve"> prévue au par. 14.06(7) pour les frais de décontamination environnementale (par. 159). Avec égards, je rejette entièrement cette prétention. Aucune partie n’a tenté de faire valoir que la superpriorité visée au par. (7) s’appliquait </w:t>
      </w:r>
      <w:r w:rsidRPr="00073A9A">
        <w:rPr>
          <w:rFonts w:cs="Times New Roman"/>
          <w:lang w:val="fr-CA"/>
        </w:rPr>
        <w:lastRenderedPageBreak/>
        <w:t>aux faits de l’espèce. En effet, elle ne s’applique clairement pas, comme le reconnait elle</w:t>
      </w:r>
      <w:r w:rsidRPr="00073A9A">
        <w:rPr>
          <w:rFonts w:cs="Times New Roman"/>
          <w:lang w:val="fr-CA"/>
        </w:rPr>
        <w:noBreakHyphen/>
        <w:t xml:space="preserve">même la majorité. Je ne peux accepter que, dans les cas où le Parlement a conféré à la Couronne une superpriorité lorsque certaines conditions sont réunies pour les frais de décontamination environnementale et l’a garantie par une sûreté sur certains biens réels du failli, on « favorise » d’une façon ou d’une autre le régime de priorité du Parlement en imposant dans les faits cette superpriorité sur d’autres biens alors que ces conditions statutaires ne sont pas remplies. Il est erroné d’invoquer le par. 14.06(7) pour reconnaître à l’AER une superpriorité dans des situations où les conditions de ce paragraphe ne s’appliquent pas. Agir de la sorte sape clairement le régime de priorité détaillé et complet que le Parlement a établi dans la </w:t>
      </w:r>
      <w:r w:rsidRPr="00073A9A">
        <w:rPr>
          <w:rFonts w:cs="Times New Roman"/>
          <w:i/>
          <w:lang w:val="fr-CA"/>
        </w:rPr>
        <w:t>LFI</w:t>
      </w:r>
      <w:r w:rsidRPr="00073A9A">
        <w:rPr>
          <w:rFonts w:cs="Times New Roman"/>
          <w:lang w:val="fr-CA"/>
        </w:rPr>
        <w:t xml:space="preserve"> pour réaliser ses objectifs. Si le Parlement avait souhaité étendre une superpriorité de la Couronne pour des frais de décontamination environnementale dans d’autres cas que ceux visés au par. 14.06(7), il aurait pu le faire. </w:t>
      </w:r>
    </w:p>
    <w:p w:rsidR="00DF13E5" w:rsidRPr="00375EDE" w:rsidRDefault="00DF13E5" w:rsidP="00DF13E5">
      <w:pPr>
        <w:pStyle w:val="ParaNoNdepar-AltN"/>
        <w:rPr>
          <w:rFonts w:cs="Times New Roman"/>
          <w:lang w:val="fr-CA"/>
        </w:rPr>
      </w:pPr>
      <w:r w:rsidRPr="00375EDE">
        <w:rPr>
          <w:rFonts w:cs="Times New Roman"/>
          <w:lang w:val="fr-CA"/>
        </w:rPr>
        <w:t xml:space="preserve">En terminant, GTL et ATB Financial font valoir des arguments subsidiaires selon lesquels certains aspects du régime de réglementation albertain, notamment la définition de </w:t>
      </w:r>
      <w:r>
        <w:rPr>
          <w:rFonts w:cs="Times New Roman"/>
          <w:lang w:val="fr-CA"/>
        </w:rPr>
        <w:t>« </w:t>
      </w:r>
      <w:r w:rsidRPr="00375EDE">
        <w:rPr>
          <w:rFonts w:cs="Times New Roman"/>
          <w:lang w:val="fr-CA"/>
        </w:rPr>
        <w:t>titulaire de permis</w:t>
      </w:r>
      <w:r>
        <w:rPr>
          <w:rFonts w:cs="Times New Roman"/>
          <w:lang w:val="fr-CA"/>
        </w:rPr>
        <w:t> »</w:t>
      </w:r>
      <w:r w:rsidRPr="00375EDE">
        <w:rPr>
          <w:rFonts w:cs="Times New Roman"/>
          <w:lang w:val="fr-CA"/>
        </w:rPr>
        <w:t xml:space="preserve">, entravent la réalisation des objets des modifications apportées à la </w:t>
      </w:r>
      <w:r w:rsidRPr="00073A9A">
        <w:rPr>
          <w:rFonts w:cs="Times New Roman"/>
          <w:i/>
          <w:lang w:val="fr-CA"/>
        </w:rPr>
        <w:t>LFI</w:t>
      </w:r>
      <w:r w:rsidRPr="00375EDE">
        <w:rPr>
          <w:rFonts w:cs="Times New Roman"/>
          <w:lang w:val="fr-CA"/>
        </w:rPr>
        <w:t xml:space="preserve"> en 1997 — objets qui, affirment</w:t>
      </w:r>
      <w:r w:rsidRPr="00375EDE">
        <w:rPr>
          <w:rFonts w:cs="Times New Roman"/>
          <w:lang w:val="fr-CA"/>
        </w:rPr>
        <w:noBreakHyphen/>
        <w:t>ils, comprennent la protection des professionnels de l</w:t>
      </w:r>
      <w:r>
        <w:rPr>
          <w:rFonts w:cs="Times New Roman"/>
          <w:lang w:val="fr-CA"/>
        </w:rPr>
        <w:t>’</w:t>
      </w:r>
      <w:r w:rsidRPr="00375EDE">
        <w:rPr>
          <w:rFonts w:cs="Times New Roman"/>
          <w:lang w:val="fr-CA"/>
        </w:rPr>
        <w:t xml:space="preserve">insolvabilité contre la responsabilité et la réduction du nombre de sites orphelins. </w:t>
      </w:r>
    </w:p>
    <w:p w:rsidR="00DF13E5" w:rsidRPr="00375EDE" w:rsidRDefault="00DF13E5" w:rsidP="00DF13E5">
      <w:pPr>
        <w:pStyle w:val="ParaNoNdepar-AltN"/>
        <w:rPr>
          <w:rFonts w:cs="Times New Roman"/>
          <w:lang w:val="fr-CA"/>
        </w:rPr>
      </w:pPr>
      <w:r w:rsidRPr="00375EDE">
        <w:rPr>
          <w:rFonts w:cs="Times New Roman"/>
          <w:lang w:val="fr-CA"/>
        </w:rPr>
        <w:t>Il n</w:t>
      </w:r>
      <w:r>
        <w:rPr>
          <w:rFonts w:cs="Times New Roman"/>
          <w:lang w:val="fr-CA"/>
        </w:rPr>
        <w:t>’</w:t>
      </w:r>
      <w:r w:rsidRPr="00375EDE">
        <w:rPr>
          <w:rFonts w:cs="Times New Roman"/>
          <w:lang w:val="fr-CA"/>
        </w:rPr>
        <w:t>est pas strictement nécessaire que j</w:t>
      </w:r>
      <w:r>
        <w:rPr>
          <w:rFonts w:cs="Times New Roman"/>
          <w:lang w:val="fr-CA"/>
        </w:rPr>
        <w:t>’</w:t>
      </w:r>
      <w:r w:rsidRPr="00375EDE">
        <w:rPr>
          <w:rFonts w:cs="Times New Roman"/>
          <w:lang w:val="fr-CA"/>
        </w:rPr>
        <w:t>examine ces arguments, car j</w:t>
      </w:r>
      <w:r>
        <w:rPr>
          <w:rFonts w:cs="Times New Roman"/>
          <w:lang w:val="fr-CA"/>
        </w:rPr>
        <w:t>’</w:t>
      </w:r>
      <w:r w:rsidRPr="00375EDE">
        <w:rPr>
          <w:rFonts w:cs="Times New Roman"/>
          <w:lang w:val="fr-CA"/>
        </w:rPr>
        <w:t>ai déjà conclu qu</w:t>
      </w:r>
      <w:r>
        <w:rPr>
          <w:rFonts w:cs="Times New Roman"/>
          <w:lang w:val="fr-CA"/>
        </w:rPr>
        <w:t>’</w:t>
      </w:r>
      <w:r w:rsidRPr="00375EDE">
        <w:rPr>
          <w:rFonts w:cs="Times New Roman"/>
          <w:lang w:val="fr-CA"/>
        </w:rPr>
        <w:t>il existe un conflit d</w:t>
      </w:r>
      <w:r>
        <w:rPr>
          <w:rFonts w:cs="Times New Roman"/>
          <w:lang w:val="fr-CA"/>
        </w:rPr>
        <w:t>’</w:t>
      </w:r>
      <w:r w:rsidRPr="00375EDE">
        <w:rPr>
          <w:rFonts w:cs="Times New Roman"/>
          <w:lang w:val="fr-CA"/>
        </w:rPr>
        <w:t>application (la non</w:t>
      </w:r>
      <w:r w:rsidRPr="00375EDE">
        <w:rPr>
          <w:rFonts w:cs="Times New Roman"/>
          <w:lang w:val="fr-CA"/>
        </w:rPr>
        <w:noBreakHyphen/>
        <w:t>reconnaissance par le régime albertain de la légalité des renonciations de GTL) ainsi qu</w:t>
      </w:r>
      <w:r>
        <w:rPr>
          <w:rFonts w:cs="Times New Roman"/>
          <w:lang w:val="fr-CA"/>
        </w:rPr>
        <w:t>’</w:t>
      </w:r>
      <w:r w:rsidRPr="00375EDE">
        <w:rPr>
          <w:rFonts w:cs="Times New Roman"/>
          <w:lang w:val="fr-CA"/>
        </w:rPr>
        <w:t>une entrave à la réalisation d</w:t>
      </w:r>
      <w:r>
        <w:rPr>
          <w:rFonts w:cs="Times New Roman"/>
          <w:lang w:val="fr-CA"/>
        </w:rPr>
        <w:t>’</w:t>
      </w:r>
      <w:r w:rsidRPr="00375EDE">
        <w:rPr>
          <w:rFonts w:cs="Times New Roman"/>
          <w:lang w:val="fr-CA"/>
        </w:rPr>
        <w:t>objet pour d</w:t>
      </w:r>
      <w:r>
        <w:rPr>
          <w:rFonts w:cs="Times New Roman"/>
          <w:lang w:val="fr-CA"/>
        </w:rPr>
        <w:t>’</w:t>
      </w:r>
      <w:r w:rsidRPr="00375EDE">
        <w:rPr>
          <w:rFonts w:cs="Times New Roman"/>
          <w:lang w:val="fr-CA"/>
        </w:rPr>
        <w:t xml:space="preserve">autres motifs (atteinte au régime de priorité établi par la </w:t>
      </w:r>
      <w:r w:rsidRPr="00073A9A">
        <w:rPr>
          <w:rFonts w:cs="Times New Roman"/>
          <w:i/>
          <w:lang w:val="fr-CA"/>
        </w:rPr>
        <w:t>LFI</w:t>
      </w:r>
      <w:r w:rsidRPr="00375EDE">
        <w:rPr>
          <w:rFonts w:cs="Times New Roman"/>
          <w:lang w:val="fr-CA"/>
        </w:rPr>
        <w:t xml:space="preserve">). Je tiens </w:t>
      </w:r>
      <w:r w:rsidRPr="00375EDE">
        <w:rPr>
          <w:rFonts w:cs="Times New Roman"/>
          <w:lang w:val="fr-CA"/>
        </w:rPr>
        <w:lastRenderedPageBreak/>
        <w:t>toutefois à souligner que GTL a déclaré qu</w:t>
      </w:r>
      <w:r>
        <w:rPr>
          <w:rFonts w:cs="Times New Roman"/>
          <w:lang w:val="fr-CA"/>
        </w:rPr>
        <w:t>’</w:t>
      </w:r>
      <w:r w:rsidRPr="00375EDE">
        <w:rPr>
          <w:rFonts w:cs="Times New Roman"/>
          <w:lang w:val="fr-CA"/>
        </w:rPr>
        <w:t>elle demanderait immédiatement une libération si elle était tenue d</w:t>
      </w:r>
      <w:r>
        <w:rPr>
          <w:rFonts w:cs="Times New Roman"/>
          <w:lang w:val="fr-CA"/>
        </w:rPr>
        <w:t>’</w:t>
      </w:r>
      <w:r w:rsidRPr="00375EDE">
        <w:rPr>
          <w:rFonts w:cs="Times New Roman"/>
          <w:lang w:val="fr-CA"/>
        </w:rPr>
        <w:t>exécuter les travaux d</w:t>
      </w:r>
      <w:r>
        <w:rPr>
          <w:rFonts w:cs="Times New Roman"/>
          <w:lang w:val="fr-CA"/>
        </w:rPr>
        <w:t>’</w:t>
      </w:r>
      <w:r w:rsidRPr="00375EDE">
        <w:rPr>
          <w:rFonts w:cs="Times New Roman"/>
          <w:lang w:val="fr-CA"/>
        </w:rPr>
        <w:t>abandon, ce qui entraînerait la cession du reste des biens de Redwater à l</w:t>
      </w:r>
      <w:r>
        <w:rPr>
          <w:rFonts w:cs="Times New Roman"/>
          <w:lang w:val="fr-CA"/>
        </w:rPr>
        <w:t>’</w:t>
      </w:r>
      <w:r w:rsidRPr="00375EDE">
        <w:rPr>
          <w:rFonts w:cs="Times New Roman"/>
          <w:lang w:val="fr-CA"/>
        </w:rPr>
        <w:t xml:space="preserve">OWA. Il en résulterait, ce qui ne semble pas être reconnu ou paraît être passé sous silence dans les motifs de mon collègue, un nombre </w:t>
      </w:r>
      <w:r w:rsidRPr="00375EDE">
        <w:rPr>
          <w:rFonts w:cs="Times New Roman"/>
          <w:i/>
          <w:lang w:val="fr-CA"/>
        </w:rPr>
        <w:t xml:space="preserve">plus élevé </w:t>
      </w:r>
      <w:r w:rsidRPr="00375EDE">
        <w:rPr>
          <w:rFonts w:cs="Times New Roman"/>
          <w:lang w:val="fr-CA"/>
        </w:rPr>
        <w:t xml:space="preserve">de puits de pétrole orphelins. Dans la mesure où les modifications de 1997 étaient censées entraîner une réduction du nombre de biens orphelins, la réalisation de cet objet est également entravée en empêchant le séquestre ou le syndic de renoncer aux biens ayant une valeur négative. </w:t>
      </w:r>
    </w:p>
    <w:p w:rsidR="00DF13E5" w:rsidRPr="00375EDE" w:rsidRDefault="00DF13E5" w:rsidP="00DF13E5">
      <w:pPr>
        <w:pStyle w:val="Title1LevelTitre1Niveau-AltL"/>
        <w:numPr>
          <w:ilvl w:val="0"/>
          <w:numId w:val="8"/>
        </w:numPr>
        <w:jc w:val="left"/>
        <w:rPr>
          <w:rFonts w:cs="Times New Roman"/>
        </w:rPr>
      </w:pPr>
      <w:r w:rsidRPr="00375EDE">
        <w:rPr>
          <w:rFonts w:cs="Times New Roman"/>
        </w:rPr>
        <w:t>Conclusion</w:t>
      </w:r>
    </w:p>
    <w:p w:rsidR="00DF13E5" w:rsidRPr="00375EDE" w:rsidRDefault="00DF13E5" w:rsidP="00DF13E5">
      <w:pPr>
        <w:pStyle w:val="ParaNoNdepar-AltN"/>
        <w:rPr>
          <w:rFonts w:cs="Times New Roman"/>
          <w:lang w:val="fr-CA"/>
        </w:rPr>
      </w:pPr>
      <w:r w:rsidRPr="00375EDE">
        <w:rPr>
          <w:rFonts w:cs="Times New Roman"/>
          <w:lang w:val="fr-CA"/>
        </w:rPr>
        <w:t>Il y a beaucoup à dire, dans le contexte du présent pourvoi, sur l</w:t>
      </w:r>
      <w:r>
        <w:rPr>
          <w:rFonts w:cs="Times New Roman"/>
          <w:lang w:val="fr-CA"/>
        </w:rPr>
        <w:t>’</w:t>
      </w:r>
      <w:r w:rsidRPr="00375EDE">
        <w:rPr>
          <w:rFonts w:cs="Times New Roman"/>
          <w:lang w:val="fr-CA"/>
        </w:rPr>
        <w:t>issue qui établirait un équilibre optimal entre la protection de l</w:t>
      </w:r>
      <w:r>
        <w:rPr>
          <w:rFonts w:cs="Times New Roman"/>
          <w:lang w:val="fr-CA"/>
        </w:rPr>
        <w:t>’</w:t>
      </w:r>
      <w:r w:rsidRPr="00375EDE">
        <w:rPr>
          <w:rFonts w:cs="Times New Roman"/>
          <w:lang w:val="fr-CA"/>
        </w:rPr>
        <w:t>environnement et le développement économique. D</w:t>
      </w:r>
      <w:r>
        <w:rPr>
          <w:rFonts w:cs="Times New Roman"/>
          <w:lang w:val="fr-CA"/>
        </w:rPr>
        <w:t>’</w:t>
      </w:r>
      <w:r w:rsidRPr="00375EDE">
        <w:rPr>
          <w:rFonts w:cs="Times New Roman"/>
          <w:lang w:val="fr-CA"/>
        </w:rPr>
        <w:t>une part, faire exécuter les ordonnances de décontamination de l</w:t>
      </w:r>
      <w:r>
        <w:rPr>
          <w:rFonts w:cs="Times New Roman"/>
          <w:lang w:val="fr-CA"/>
        </w:rPr>
        <w:t>’</w:t>
      </w:r>
      <w:r w:rsidRPr="00375EDE">
        <w:rPr>
          <w:rFonts w:cs="Times New Roman"/>
          <w:lang w:val="fr-CA"/>
        </w:rPr>
        <w:t>AER aurait pour effet d</w:t>
      </w:r>
      <w:r>
        <w:rPr>
          <w:rFonts w:cs="Times New Roman"/>
          <w:lang w:val="fr-CA"/>
        </w:rPr>
        <w:t>’</w:t>
      </w:r>
      <w:r w:rsidRPr="00375EDE">
        <w:rPr>
          <w:rFonts w:cs="Times New Roman"/>
          <w:lang w:val="fr-CA"/>
        </w:rPr>
        <w:t>éliminer la valeur restante de l</w:t>
      </w:r>
      <w:r>
        <w:rPr>
          <w:rFonts w:cs="Times New Roman"/>
          <w:lang w:val="fr-CA"/>
        </w:rPr>
        <w:t>’</w:t>
      </w:r>
      <w:r w:rsidRPr="00375EDE">
        <w:rPr>
          <w:rFonts w:cs="Times New Roman"/>
          <w:lang w:val="fr-CA"/>
        </w:rPr>
        <w:t>actif et priverait tous ses créanciers (sauf l</w:t>
      </w:r>
      <w:r>
        <w:rPr>
          <w:rFonts w:cs="Times New Roman"/>
          <w:lang w:val="fr-CA"/>
        </w:rPr>
        <w:t>’</w:t>
      </w:r>
      <w:r w:rsidRPr="00375EDE">
        <w:rPr>
          <w:rFonts w:cs="Times New Roman"/>
          <w:lang w:val="fr-CA"/>
        </w:rPr>
        <w:t>AER) de tout recouvrement. En outre, cela découragerait vraisemblablement les professionnels de l</w:t>
      </w:r>
      <w:r>
        <w:rPr>
          <w:rFonts w:cs="Times New Roman"/>
          <w:lang w:val="fr-CA"/>
        </w:rPr>
        <w:t>’</w:t>
      </w:r>
      <w:r w:rsidRPr="00375EDE">
        <w:rPr>
          <w:rFonts w:cs="Times New Roman"/>
          <w:lang w:val="fr-CA"/>
        </w:rPr>
        <w:t>insolvabilité d</w:t>
      </w:r>
      <w:r>
        <w:rPr>
          <w:rFonts w:cs="Times New Roman"/>
          <w:lang w:val="fr-CA"/>
        </w:rPr>
        <w:t>’</w:t>
      </w:r>
      <w:r w:rsidRPr="00375EDE">
        <w:rPr>
          <w:rFonts w:cs="Times New Roman"/>
          <w:lang w:val="fr-CA"/>
        </w:rPr>
        <w:t>accepter des mandats dans des cas comme celui qui nous occupe, ce qui pourrait occasionner une augmentation du nombre de biens orphelins dans l</w:t>
      </w:r>
      <w:r>
        <w:rPr>
          <w:rFonts w:cs="Times New Roman"/>
          <w:lang w:val="fr-CA"/>
        </w:rPr>
        <w:t>’</w:t>
      </w:r>
      <w:r w:rsidRPr="00375EDE">
        <w:rPr>
          <w:rFonts w:cs="Times New Roman"/>
          <w:lang w:val="fr-CA"/>
        </w:rPr>
        <w:t>ensemble de la province. D</w:t>
      </w:r>
      <w:r>
        <w:rPr>
          <w:rFonts w:cs="Times New Roman"/>
          <w:lang w:val="fr-CA"/>
        </w:rPr>
        <w:t>’</w:t>
      </w:r>
      <w:r w:rsidRPr="00375EDE">
        <w:rPr>
          <w:rFonts w:cs="Times New Roman"/>
          <w:lang w:val="fr-CA"/>
        </w:rPr>
        <w:t>autre part, permettre à GTL de renoncer aux puits inexploités en empêchant l</w:t>
      </w:r>
      <w:r>
        <w:rPr>
          <w:rFonts w:cs="Times New Roman"/>
          <w:lang w:val="fr-CA"/>
        </w:rPr>
        <w:t>’</w:t>
      </w:r>
      <w:r w:rsidRPr="00375EDE">
        <w:rPr>
          <w:rFonts w:cs="Times New Roman"/>
          <w:lang w:val="fr-CA"/>
        </w:rPr>
        <w:t>AER de faire exécuter les obligations environnementales avant que l</w:t>
      </w:r>
      <w:r>
        <w:rPr>
          <w:rFonts w:cs="Times New Roman"/>
          <w:lang w:val="fr-CA"/>
        </w:rPr>
        <w:t>’</w:t>
      </w:r>
      <w:r w:rsidRPr="00375EDE">
        <w:rPr>
          <w:rFonts w:cs="Times New Roman"/>
          <w:lang w:val="fr-CA"/>
        </w:rPr>
        <w:t xml:space="preserve">actif soit épuisé laisserait sans réponse la question de savoir qui, exactement, devrait payer la facture de la décontamination des terrains concernés. </w:t>
      </w:r>
    </w:p>
    <w:p w:rsidR="00DF13E5" w:rsidRPr="00375EDE" w:rsidRDefault="00DF13E5" w:rsidP="00DF13E5">
      <w:pPr>
        <w:pStyle w:val="ParaNoNdepar-AltN"/>
        <w:rPr>
          <w:rFonts w:cs="Times New Roman"/>
          <w:lang w:val="fr-CA"/>
        </w:rPr>
      </w:pPr>
      <w:r w:rsidRPr="00375EDE">
        <w:rPr>
          <w:rFonts w:cs="Times New Roman"/>
          <w:lang w:val="fr-CA"/>
        </w:rPr>
        <w:t>Quel que soit le bien</w:t>
      </w:r>
      <w:r w:rsidRPr="00375EDE">
        <w:rPr>
          <w:rFonts w:cs="Times New Roman"/>
          <w:lang w:val="fr-CA"/>
        </w:rPr>
        <w:noBreakHyphen/>
        <w:t>fondé de ces positions opposées en matière d</w:t>
      </w:r>
      <w:r>
        <w:rPr>
          <w:rFonts w:cs="Times New Roman"/>
          <w:lang w:val="fr-CA"/>
        </w:rPr>
        <w:t>’</w:t>
      </w:r>
      <w:r w:rsidRPr="00375EDE">
        <w:rPr>
          <w:rFonts w:cs="Times New Roman"/>
          <w:lang w:val="fr-CA"/>
        </w:rPr>
        <w:t xml:space="preserve">interprétation statutaire, notre Cour est un tribunal de droit, et non de politique. </w:t>
      </w:r>
      <w:r w:rsidRPr="00375EDE">
        <w:rPr>
          <w:rFonts w:cs="Times New Roman"/>
          <w:lang w:val="fr-CA"/>
        </w:rPr>
        <w:lastRenderedPageBreak/>
        <w:t>Comme le reconnaît la majorité (par. 30), « il ne revient pas à notre Cour de décider de la meilleure approche réglementaire pour l</w:t>
      </w:r>
      <w:r>
        <w:rPr>
          <w:rFonts w:cs="Times New Roman"/>
          <w:lang w:val="fr-CA"/>
        </w:rPr>
        <w:t>’</w:t>
      </w:r>
      <w:r w:rsidRPr="00375EDE">
        <w:rPr>
          <w:rFonts w:cs="Times New Roman"/>
          <w:lang w:val="fr-CA"/>
        </w:rPr>
        <w:t>industrie pétrolière et gazière » : les décisions sur ces enjeux sont prises — et ont d</w:t>
      </w:r>
      <w:r>
        <w:rPr>
          <w:rFonts w:cs="Times New Roman"/>
          <w:lang w:val="fr-CA"/>
        </w:rPr>
        <w:t>’</w:t>
      </w:r>
      <w:r w:rsidRPr="00375EDE">
        <w:rPr>
          <w:rFonts w:cs="Times New Roman"/>
          <w:lang w:val="fr-CA"/>
        </w:rPr>
        <w:t xml:space="preserve">ailleurs </w:t>
      </w:r>
      <w:r w:rsidRPr="00375EDE">
        <w:rPr>
          <w:rFonts w:cs="Times New Roman"/>
          <w:i/>
          <w:lang w:val="fr-CA"/>
        </w:rPr>
        <w:t xml:space="preserve">été prises </w:t>
      </w:r>
      <w:r w:rsidRPr="00375EDE">
        <w:rPr>
          <w:rFonts w:cs="Times New Roman"/>
          <w:lang w:val="fr-CA"/>
        </w:rPr>
        <w:t>— par les législateurs, et non par les juges. Et le droit en l</w:t>
      </w:r>
      <w:r>
        <w:rPr>
          <w:rFonts w:cs="Times New Roman"/>
          <w:lang w:val="fr-CA"/>
        </w:rPr>
        <w:t>’</w:t>
      </w:r>
      <w:r w:rsidRPr="00375EDE">
        <w:rPr>
          <w:rFonts w:cs="Times New Roman"/>
          <w:lang w:val="fr-CA"/>
        </w:rPr>
        <w:t>espèce n</w:t>
      </w:r>
      <w:r>
        <w:rPr>
          <w:rFonts w:cs="Times New Roman"/>
          <w:lang w:val="fr-CA"/>
        </w:rPr>
        <w:t>’</w:t>
      </w:r>
      <w:r w:rsidRPr="00375EDE">
        <w:rPr>
          <w:rFonts w:cs="Times New Roman"/>
          <w:lang w:val="fr-CA"/>
        </w:rPr>
        <w:t>appuie qu</w:t>
      </w:r>
      <w:r>
        <w:rPr>
          <w:rFonts w:cs="Times New Roman"/>
          <w:lang w:val="fr-CA"/>
        </w:rPr>
        <w:t>’</w:t>
      </w:r>
      <w:r w:rsidRPr="00375EDE">
        <w:rPr>
          <w:rFonts w:cs="Times New Roman"/>
          <w:lang w:val="fr-CA"/>
        </w:rPr>
        <w:t>une seule issue. Mais cela ne veut pas dire qu</w:t>
      </w:r>
      <w:r>
        <w:rPr>
          <w:rFonts w:cs="Times New Roman"/>
          <w:lang w:val="fr-CA"/>
        </w:rPr>
        <w:t>’</w:t>
      </w:r>
      <w:r w:rsidRPr="00375EDE">
        <w:rPr>
          <w:rFonts w:cs="Times New Roman"/>
          <w:lang w:val="fr-CA"/>
        </w:rPr>
        <w:t>aucune solution ne s</w:t>
      </w:r>
      <w:r>
        <w:rPr>
          <w:rFonts w:cs="Times New Roman"/>
          <w:lang w:val="fr-CA"/>
        </w:rPr>
        <w:t>’</w:t>
      </w:r>
      <w:r w:rsidRPr="00375EDE">
        <w:rPr>
          <w:rFonts w:cs="Times New Roman"/>
          <w:lang w:val="fr-CA"/>
        </w:rPr>
        <w:t>offre à l</w:t>
      </w:r>
      <w:r>
        <w:rPr>
          <w:rFonts w:cs="Times New Roman"/>
          <w:lang w:val="fr-CA"/>
        </w:rPr>
        <w:t>’</w:t>
      </w:r>
      <w:r w:rsidRPr="00375EDE">
        <w:rPr>
          <w:rFonts w:cs="Times New Roman"/>
          <w:lang w:val="fr-CA"/>
        </w:rPr>
        <w:t>AER pour empêcher le public d</w:t>
      </w:r>
      <w:r>
        <w:rPr>
          <w:rFonts w:cs="Times New Roman"/>
          <w:lang w:val="fr-CA"/>
        </w:rPr>
        <w:t>’</w:t>
      </w:r>
      <w:r w:rsidRPr="00375EDE">
        <w:rPr>
          <w:rFonts w:cs="Times New Roman"/>
          <w:lang w:val="fr-CA"/>
        </w:rPr>
        <w:t>avoir à supporter les frais liés à l</w:t>
      </w:r>
      <w:r>
        <w:rPr>
          <w:rFonts w:cs="Times New Roman"/>
          <w:lang w:val="fr-CA"/>
        </w:rPr>
        <w:t>’</w:t>
      </w:r>
      <w:r w:rsidRPr="00375EDE">
        <w:rPr>
          <w:rFonts w:cs="Times New Roman"/>
          <w:lang w:val="fr-CA"/>
        </w:rPr>
        <w:t>abandon des puits de pétrole. Il pourrait ajuster ses exigences relatives à la RGTP afin d</w:t>
      </w:r>
      <w:r>
        <w:rPr>
          <w:rFonts w:cs="Times New Roman"/>
          <w:lang w:val="fr-CA"/>
        </w:rPr>
        <w:t>’</w:t>
      </w:r>
      <w:r w:rsidRPr="00375EDE">
        <w:rPr>
          <w:rFonts w:cs="Times New Roman"/>
          <w:lang w:val="fr-CA"/>
        </w:rPr>
        <w:t>éviter que d</w:t>
      </w:r>
      <w:r>
        <w:rPr>
          <w:rFonts w:cs="Times New Roman"/>
          <w:lang w:val="fr-CA"/>
        </w:rPr>
        <w:t>’</w:t>
      </w:r>
      <w:r w:rsidRPr="00375EDE">
        <w:rPr>
          <w:rFonts w:cs="Times New Roman"/>
          <w:lang w:val="fr-CA"/>
        </w:rPr>
        <w:t>autres sociétés pétrolières soient acculées à la faillite en raison d</w:t>
      </w:r>
      <w:r>
        <w:rPr>
          <w:rFonts w:cs="Times New Roman"/>
          <w:lang w:val="fr-CA"/>
        </w:rPr>
        <w:t>’</w:t>
      </w:r>
      <w:r w:rsidRPr="00375EDE">
        <w:rPr>
          <w:rFonts w:cs="Times New Roman"/>
          <w:lang w:val="fr-CA"/>
        </w:rPr>
        <w:t>obligations d</w:t>
      </w:r>
      <w:r>
        <w:rPr>
          <w:rFonts w:cs="Times New Roman"/>
          <w:lang w:val="fr-CA"/>
        </w:rPr>
        <w:t>’</w:t>
      </w:r>
      <w:r w:rsidRPr="00375EDE">
        <w:rPr>
          <w:rFonts w:cs="Times New Roman"/>
          <w:lang w:val="fr-CA"/>
        </w:rPr>
        <w:t>abandon non financées (comme il l</w:t>
      </w:r>
      <w:r>
        <w:rPr>
          <w:rFonts w:cs="Times New Roman"/>
          <w:lang w:val="fr-CA"/>
        </w:rPr>
        <w:t>’</w:t>
      </w:r>
      <w:r w:rsidRPr="00375EDE">
        <w:rPr>
          <w:rFonts w:cs="Times New Roman"/>
          <w:lang w:val="fr-CA"/>
        </w:rPr>
        <w:t>a déjà fait depuis que le présent litige a commencé). Il pourrait adopter les stratégies utilisées dans d</w:t>
      </w:r>
      <w:r>
        <w:rPr>
          <w:rFonts w:cs="Times New Roman"/>
          <w:lang w:val="fr-CA"/>
        </w:rPr>
        <w:t>’</w:t>
      </w:r>
      <w:r w:rsidRPr="00375EDE">
        <w:rPr>
          <w:rFonts w:cs="Times New Roman"/>
          <w:lang w:val="fr-CA"/>
        </w:rPr>
        <w:t>autres ressorts, comme exiger dès le début le versement d</w:t>
      </w:r>
      <w:r>
        <w:rPr>
          <w:rFonts w:cs="Times New Roman"/>
          <w:lang w:val="fr-CA"/>
        </w:rPr>
        <w:t>’</w:t>
      </w:r>
      <w:r w:rsidRPr="00375EDE">
        <w:rPr>
          <w:rFonts w:cs="Times New Roman"/>
          <w:lang w:val="fr-CA"/>
        </w:rPr>
        <w:t>un dépôt de garantie afin que les frais liés à l</w:t>
      </w:r>
      <w:r>
        <w:rPr>
          <w:rFonts w:cs="Times New Roman"/>
          <w:lang w:val="fr-CA"/>
        </w:rPr>
        <w:t>’</w:t>
      </w:r>
      <w:r w:rsidRPr="00375EDE">
        <w:rPr>
          <w:rFonts w:cs="Times New Roman"/>
          <w:lang w:val="fr-CA"/>
        </w:rPr>
        <w:t>abandon ne soient pas entièrement supportés à la fin du cycle de vie du puits de pétrole. L</w:t>
      </w:r>
      <w:r>
        <w:rPr>
          <w:rFonts w:cs="Times New Roman"/>
          <w:lang w:val="fr-CA"/>
        </w:rPr>
        <w:t>’</w:t>
      </w:r>
      <w:r w:rsidRPr="00375EDE">
        <w:rPr>
          <w:rFonts w:cs="Times New Roman"/>
          <w:lang w:val="fr-CA"/>
        </w:rPr>
        <w:t>une des intervenants, l</w:t>
      </w:r>
      <w:r>
        <w:rPr>
          <w:rFonts w:cs="Times New Roman"/>
          <w:lang w:val="fr-CA"/>
        </w:rPr>
        <w:t>’</w:t>
      </w:r>
      <w:r w:rsidRPr="00375EDE">
        <w:rPr>
          <w:rFonts w:cs="Times New Roman"/>
          <w:lang w:val="fr-CA"/>
        </w:rPr>
        <w:t>Association des banquiers canadiens, a fait remarquer que de tels systèmes de dépôts de garantie au départ abondent dans les États américains. L</w:t>
      </w:r>
      <w:r>
        <w:rPr>
          <w:rFonts w:cs="Times New Roman"/>
          <w:lang w:val="fr-CA"/>
        </w:rPr>
        <w:t>’</w:t>
      </w:r>
      <w:r w:rsidRPr="00375EDE">
        <w:rPr>
          <w:rFonts w:cs="Times New Roman"/>
          <w:lang w:val="fr-CA"/>
        </w:rPr>
        <w:t>AER pourrait collaborer avec l</w:t>
      </w:r>
      <w:r>
        <w:rPr>
          <w:rFonts w:cs="Times New Roman"/>
          <w:lang w:val="fr-CA"/>
        </w:rPr>
        <w:t>’</w:t>
      </w:r>
      <w:r w:rsidRPr="00375EDE">
        <w:rPr>
          <w:rFonts w:cs="Times New Roman"/>
          <w:lang w:val="fr-CA"/>
        </w:rPr>
        <w:t>industrie pour augmenter les prélèvements afin que le fonds pour les puits orphelins dispose de ressources suffisantes pour répondre à la récente augmentation du nombre de biens orphelins. Il pourrait solliciter l</w:t>
      </w:r>
      <w:r>
        <w:rPr>
          <w:rFonts w:cs="Times New Roman"/>
          <w:lang w:val="fr-CA"/>
        </w:rPr>
        <w:t>’</w:t>
      </w:r>
      <w:r w:rsidRPr="00375EDE">
        <w:rPr>
          <w:rFonts w:cs="Times New Roman"/>
          <w:lang w:val="fr-CA"/>
        </w:rPr>
        <w:t>intervention des tribunaux dans les cas où il soupçonne une société d</w:t>
      </w:r>
      <w:r>
        <w:rPr>
          <w:rFonts w:cs="Times New Roman"/>
          <w:lang w:val="fr-CA"/>
        </w:rPr>
        <w:t>’</w:t>
      </w:r>
      <w:r w:rsidRPr="00375EDE">
        <w:rPr>
          <w:rFonts w:cs="Times New Roman"/>
          <w:lang w:val="fr-CA"/>
        </w:rPr>
        <w:t>utiliser stratégiquement l</w:t>
      </w:r>
      <w:r>
        <w:rPr>
          <w:rFonts w:cs="Times New Roman"/>
          <w:lang w:val="fr-CA"/>
        </w:rPr>
        <w:t>’</w:t>
      </w:r>
      <w:r w:rsidRPr="00375EDE">
        <w:rPr>
          <w:rFonts w:cs="Times New Roman"/>
          <w:lang w:val="fr-CA"/>
        </w:rPr>
        <w:t>insolvabilité comme une mesure facultative lui permettant de se soustraire à ses engagements environnementaux (</w:t>
      </w:r>
      <w:r w:rsidRPr="00375EDE">
        <w:rPr>
          <w:rFonts w:cs="Times New Roman"/>
          <w:i/>
          <w:lang w:val="fr-CA"/>
        </w:rPr>
        <w:t>Sydco Energy Inc. (Re)</w:t>
      </w:r>
      <w:r w:rsidRPr="00375EDE">
        <w:rPr>
          <w:rFonts w:cs="Times New Roman"/>
          <w:lang w:val="fr-CA"/>
        </w:rPr>
        <w:t>, 2018 ABQB 75, 64 Alta. L.R. (6th) 156, par. 84). Et, comme je l</w:t>
      </w:r>
      <w:r>
        <w:rPr>
          <w:rFonts w:cs="Times New Roman"/>
          <w:lang w:val="fr-CA"/>
        </w:rPr>
        <w:t>’</w:t>
      </w:r>
      <w:r w:rsidRPr="00375EDE">
        <w:rPr>
          <w:rFonts w:cs="Times New Roman"/>
          <w:lang w:val="fr-CA"/>
        </w:rPr>
        <w:t>ai mentionné, il peut continuer d</w:t>
      </w:r>
      <w:r>
        <w:rPr>
          <w:rFonts w:cs="Times New Roman"/>
          <w:lang w:val="fr-CA"/>
        </w:rPr>
        <w:t>’</w:t>
      </w:r>
      <w:r w:rsidRPr="00375EDE">
        <w:rPr>
          <w:rFonts w:cs="Times New Roman"/>
          <w:lang w:val="fr-CA"/>
        </w:rPr>
        <w:t>appliquer le régime législatif provincial à tous les biens d</w:t>
      </w:r>
      <w:r>
        <w:rPr>
          <w:rFonts w:cs="Times New Roman"/>
          <w:lang w:val="fr-CA"/>
        </w:rPr>
        <w:t>’</w:t>
      </w:r>
      <w:r w:rsidRPr="00375EDE">
        <w:rPr>
          <w:rFonts w:cs="Times New Roman"/>
          <w:lang w:val="fr-CA"/>
        </w:rPr>
        <w:t xml:space="preserve">un débiteur insolvable ou en faillite qui sont conservés par un séquestre ou un syndic, y compris les puits et installations que le séquestre ou le syndic veut exploiter plutôt que de les vendre. </w:t>
      </w:r>
    </w:p>
    <w:p w:rsidR="00DF13E5" w:rsidRPr="00375EDE" w:rsidRDefault="00DF13E5" w:rsidP="00DF13E5">
      <w:pPr>
        <w:pStyle w:val="ParaNoNdepar-AltN"/>
        <w:rPr>
          <w:rFonts w:cs="Times New Roman"/>
          <w:lang w:val="fr-CA"/>
        </w:rPr>
      </w:pPr>
      <w:r w:rsidRPr="00375EDE">
        <w:rPr>
          <w:rFonts w:cs="Times New Roman"/>
          <w:lang w:val="fr-CA"/>
        </w:rPr>
        <w:lastRenderedPageBreak/>
        <w:t>L</w:t>
      </w:r>
      <w:r>
        <w:rPr>
          <w:rFonts w:cs="Times New Roman"/>
          <w:lang w:val="fr-CA"/>
        </w:rPr>
        <w:t>’</w:t>
      </w:r>
      <w:r w:rsidRPr="00375EDE">
        <w:rPr>
          <w:rFonts w:cs="Times New Roman"/>
          <w:lang w:val="fr-CA"/>
        </w:rPr>
        <w:t>AER ne peut pas, cependant, faire abstraction du droit fédéral de la faillite pour atteindre des objectifs statutaires par ailleurs valides. Or, c</w:t>
      </w:r>
      <w:r>
        <w:rPr>
          <w:rFonts w:cs="Times New Roman"/>
          <w:lang w:val="fr-CA"/>
        </w:rPr>
        <w:t>’</w:t>
      </w:r>
      <w:r w:rsidRPr="00375EDE">
        <w:rPr>
          <w:rFonts w:cs="Times New Roman"/>
          <w:lang w:val="fr-CA"/>
        </w:rPr>
        <w:t>est précisément ce qu</w:t>
      </w:r>
      <w:r>
        <w:rPr>
          <w:rFonts w:cs="Times New Roman"/>
          <w:lang w:val="fr-CA"/>
        </w:rPr>
        <w:t>’</w:t>
      </w:r>
      <w:r w:rsidRPr="00375EDE">
        <w:rPr>
          <w:rFonts w:cs="Times New Roman"/>
          <w:lang w:val="fr-CA"/>
        </w:rPr>
        <w:t>il a fait en l</w:t>
      </w:r>
      <w:r>
        <w:rPr>
          <w:rFonts w:cs="Times New Roman"/>
          <w:lang w:val="fr-CA"/>
        </w:rPr>
        <w:t>’</w:t>
      </w:r>
      <w:r w:rsidRPr="00375EDE">
        <w:rPr>
          <w:rFonts w:cs="Times New Roman"/>
          <w:lang w:val="fr-CA"/>
        </w:rPr>
        <w:t>espèce en écartant effectivement le principe du « pollueur</w:t>
      </w:r>
      <w:r w:rsidRPr="00375EDE">
        <w:rPr>
          <w:rFonts w:cs="Times New Roman"/>
          <w:lang w:val="fr-CA"/>
        </w:rPr>
        <w:noBreakHyphen/>
        <w:t>payeur » adopté par le Parlement en faveur d</w:t>
      </w:r>
      <w:r>
        <w:rPr>
          <w:rFonts w:cs="Times New Roman"/>
          <w:lang w:val="fr-CA"/>
        </w:rPr>
        <w:t>’</w:t>
      </w:r>
      <w:r w:rsidRPr="00375EDE">
        <w:rPr>
          <w:rFonts w:cs="Times New Roman"/>
          <w:lang w:val="fr-CA"/>
        </w:rPr>
        <w:t>un régime du « prêteur</w:t>
      </w:r>
      <w:r w:rsidRPr="00375EDE">
        <w:rPr>
          <w:rFonts w:cs="Times New Roman"/>
          <w:lang w:val="fr-CA"/>
        </w:rPr>
        <w:noBreakHyphen/>
        <w:t>payeur », dans le cadre duquel la responsabilité à l</w:t>
      </w:r>
      <w:r>
        <w:rPr>
          <w:rFonts w:cs="Times New Roman"/>
          <w:lang w:val="fr-CA"/>
        </w:rPr>
        <w:t>’</w:t>
      </w:r>
      <w:r w:rsidRPr="00375EDE">
        <w:rPr>
          <w:rFonts w:cs="Times New Roman"/>
          <w:lang w:val="fr-CA"/>
        </w:rPr>
        <w:t>égard des engagements environnementaux du failli passe aux créanciers de l</w:t>
      </w:r>
      <w:r>
        <w:rPr>
          <w:rFonts w:cs="Times New Roman"/>
          <w:lang w:val="fr-CA"/>
        </w:rPr>
        <w:t>’</w:t>
      </w:r>
      <w:r w:rsidRPr="00375EDE">
        <w:rPr>
          <w:rFonts w:cs="Times New Roman"/>
          <w:lang w:val="fr-CA"/>
        </w:rPr>
        <w:t>actif. Notre jurisprudence en matière de prépondérance n</w:t>
      </w:r>
      <w:r>
        <w:rPr>
          <w:rFonts w:cs="Times New Roman"/>
          <w:lang w:val="fr-CA"/>
        </w:rPr>
        <w:t>’</w:t>
      </w:r>
      <w:r w:rsidRPr="00375EDE">
        <w:rPr>
          <w:rFonts w:cs="Times New Roman"/>
          <w:lang w:val="fr-CA"/>
        </w:rPr>
        <w:t>admet pas ce résultat.</w:t>
      </w:r>
    </w:p>
    <w:p w:rsidR="00DF13E5" w:rsidRPr="00565B7B" w:rsidRDefault="00DF13E5" w:rsidP="00073A9A">
      <w:pPr>
        <w:pStyle w:val="ParaNoNdepar-AltN"/>
        <w:rPr>
          <w:rFonts w:eastAsiaTheme="minorHAnsi"/>
          <w:b/>
          <w:lang w:val="fr-CA"/>
        </w:rPr>
      </w:pPr>
      <w:r w:rsidRPr="007B5C68">
        <w:rPr>
          <w:rFonts w:cs="Times New Roman"/>
          <w:lang w:val="fr-CA"/>
        </w:rPr>
        <w:t xml:space="preserve">Pour les motifs qui précèdent, je suis d’avis de rejeter le pourvoi et de confirmer les ordonnances rendues par le juge en cabinet. </w:t>
      </w:r>
    </w:p>
    <w:p w:rsidR="000624A5" w:rsidRDefault="000624A5" w:rsidP="00DF13E5">
      <w:pPr>
        <w:pStyle w:val="ContinueParaSuitedupar-AltP"/>
        <w:spacing w:after="120"/>
        <w:jc w:val="center"/>
        <w:rPr>
          <w:rFonts w:cs="Times New Roman"/>
          <w:b/>
          <w:lang w:val="fr-CA"/>
        </w:rPr>
      </w:pPr>
      <w:r w:rsidRPr="00565B7B">
        <w:rPr>
          <w:rFonts w:cs="Times New Roman"/>
          <w:b/>
          <w:lang w:val="fr-CA"/>
        </w:rPr>
        <w:t>ANNEXE</w:t>
      </w:r>
      <w:r>
        <w:rPr>
          <w:rFonts w:cs="Times New Roman"/>
          <w:b/>
          <w:lang w:val="fr-CA"/>
        </w:rPr>
        <w:t> </w:t>
      </w:r>
    </w:p>
    <w:p w:rsidR="00DF13E5" w:rsidRPr="00063424" w:rsidRDefault="00DF13E5" w:rsidP="000624A5">
      <w:pPr>
        <w:pStyle w:val="ContinueParaSuitedupar-AltP"/>
        <w:spacing w:after="120"/>
        <w:rPr>
          <w:rFonts w:cs="Times New Roman"/>
          <w:lang w:val="fr-CA"/>
        </w:rPr>
      </w:pPr>
      <w:r w:rsidRPr="00063424">
        <w:rPr>
          <w:rFonts w:cs="Times New Roman"/>
          <w:i/>
          <w:lang w:val="fr-CA"/>
        </w:rPr>
        <w:t>Loi sur la faillite et l’insolvabilité</w:t>
      </w:r>
      <w:r w:rsidRPr="00063424">
        <w:rPr>
          <w:rFonts w:cs="Times New Roman"/>
          <w:lang w:val="fr-CA"/>
        </w:rPr>
        <w:t>, L.R.C. 1985, c. B</w:t>
      </w:r>
      <w:r w:rsidRPr="00063424">
        <w:rPr>
          <w:rFonts w:cs="Times New Roman"/>
          <w:lang w:val="fr-CA"/>
        </w:rPr>
        <w:noBreakHyphen/>
        <w:t>3</w:t>
      </w:r>
    </w:p>
    <w:p w:rsidR="00DF13E5" w:rsidRPr="00565B7B" w:rsidRDefault="00DF13E5" w:rsidP="000624A5">
      <w:pPr>
        <w:spacing w:before="100" w:beforeAutospacing="1" w:after="120"/>
        <w:ind w:left="720"/>
        <w:jc w:val="both"/>
        <w:rPr>
          <w:b/>
          <w:iCs/>
          <w:lang w:val="fr-CA"/>
        </w:rPr>
      </w:pPr>
      <w:r w:rsidRPr="00565B7B">
        <w:rPr>
          <w:b/>
          <w:iCs/>
          <w:lang w:val="fr-CA"/>
        </w:rPr>
        <w:t xml:space="preserve">14.06 (1) </w:t>
      </w:r>
      <w:r w:rsidRPr="00565B7B">
        <w:rPr>
          <w:iCs/>
          <w:lang w:val="fr-CA"/>
        </w:rPr>
        <w:t>Le syndic n’est pas tenu d’assumer les fonctions de syndic relativement à des cessions, à des ordonnances de faillite ou à des propositions concordataires; toutefois, dès qu’il accepte sa nomination à ce titre, il doit accomplir les fonctions que la présente loi lui impose, jusqu’à ce qu’il ait été libéré ou qu’un autre syndic ait été nommé à sa place.</w:t>
      </w:r>
    </w:p>
    <w:p w:rsidR="00DF13E5" w:rsidRPr="00565B7B" w:rsidRDefault="00DF13E5" w:rsidP="000624A5">
      <w:pPr>
        <w:spacing w:before="100" w:beforeAutospacing="1" w:after="100" w:afterAutospacing="1"/>
        <w:ind w:left="720"/>
        <w:jc w:val="both"/>
        <w:rPr>
          <w:iCs/>
          <w:lang w:val="fr-CA"/>
        </w:rPr>
      </w:pPr>
      <w:r w:rsidRPr="00565B7B">
        <w:rPr>
          <w:b/>
          <w:iCs/>
          <w:lang w:val="fr-CA"/>
        </w:rPr>
        <w:t>(1.1)</w:t>
      </w:r>
      <w:r w:rsidRPr="00565B7B">
        <w:rPr>
          <w:iCs/>
          <w:lang w:val="fr-CA"/>
        </w:rPr>
        <w:t xml:space="preserve"> Les paragraphes (1.2) à (6) s’appliquent également aux syndics agissant dans le cadre d’une faillite ou d’une proposition ainsi qu’aux personnes suivantes :</w:t>
      </w:r>
    </w:p>
    <w:p w:rsidR="00DF13E5" w:rsidRPr="00565B7B" w:rsidRDefault="00DF13E5" w:rsidP="00DF13E5">
      <w:pPr>
        <w:spacing w:before="100" w:beforeAutospacing="1" w:after="100" w:afterAutospacing="1"/>
        <w:ind w:left="1080"/>
        <w:jc w:val="both"/>
        <w:rPr>
          <w:iCs/>
          <w:lang w:val="fr-CA"/>
        </w:rPr>
      </w:pPr>
      <w:r w:rsidRPr="00565B7B">
        <w:rPr>
          <w:b/>
          <w:iCs/>
          <w:lang w:val="fr-CA"/>
        </w:rPr>
        <w:t>a)</w:t>
      </w:r>
      <w:r w:rsidRPr="00565B7B">
        <w:rPr>
          <w:b/>
          <w:iCs/>
          <w:lang w:val="fr-CA"/>
        </w:rPr>
        <w:tab/>
      </w:r>
      <w:r w:rsidRPr="00565B7B">
        <w:rPr>
          <w:lang w:val="fr-CA"/>
        </w:rPr>
        <w:t>les</w:t>
      </w:r>
      <w:r w:rsidRPr="00565B7B">
        <w:rPr>
          <w:iCs/>
          <w:lang w:val="fr-CA"/>
        </w:rPr>
        <w:t xml:space="preserve"> séquestres intérimaires;</w:t>
      </w:r>
    </w:p>
    <w:p w:rsidR="00DF13E5" w:rsidRPr="00565B7B" w:rsidRDefault="00DF13E5" w:rsidP="00DF13E5">
      <w:pPr>
        <w:spacing w:before="100" w:beforeAutospacing="1" w:after="100" w:afterAutospacing="1"/>
        <w:ind w:left="1080"/>
        <w:jc w:val="both"/>
        <w:rPr>
          <w:iCs/>
          <w:lang w:val="fr-CA"/>
        </w:rPr>
      </w:pPr>
      <w:r w:rsidRPr="00565B7B">
        <w:rPr>
          <w:b/>
          <w:iCs/>
          <w:lang w:val="fr-CA"/>
        </w:rPr>
        <w:t>b)</w:t>
      </w:r>
      <w:r w:rsidRPr="00565B7B">
        <w:rPr>
          <w:iCs/>
          <w:lang w:val="fr-CA"/>
        </w:rPr>
        <w:tab/>
        <w:t>les séquestres au sens du paragraphe 243(2);</w:t>
      </w:r>
    </w:p>
    <w:p w:rsidR="00DF13E5" w:rsidRPr="00565B7B" w:rsidRDefault="00DF13E5" w:rsidP="00DF13E5">
      <w:pPr>
        <w:spacing w:before="100" w:beforeAutospacing="1" w:after="100" w:afterAutospacing="1"/>
        <w:ind w:left="1080"/>
        <w:jc w:val="both"/>
        <w:rPr>
          <w:iCs/>
          <w:lang w:val="fr-CA"/>
        </w:rPr>
      </w:pPr>
      <w:r w:rsidRPr="00565B7B">
        <w:rPr>
          <w:b/>
          <w:iCs/>
          <w:lang w:val="fr-CA"/>
        </w:rPr>
        <w:t>c)</w:t>
      </w:r>
      <w:r w:rsidRPr="00565B7B">
        <w:rPr>
          <w:iCs/>
          <w:lang w:val="fr-CA"/>
        </w:rPr>
        <w:tab/>
        <w:t>les autres personnes qui sont nommément habilitées à prendre — ou ont pris légalement — la possession ou la responsabilité d’un bien acquis ou utilisé par une personne insolvable ou un failli dans le cadre de ses affaires.</w:t>
      </w:r>
    </w:p>
    <w:p w:rsidR="00DF13E5" w:rsidRPr="00565B7B" w:rsidRDefault="000624A5" w:rsidP="000624A5">
      <w:pPr>
        <w:spacing w:before="100" w:beforeAutospacing="1" w:after="100" w:afterAutospacing="1"/>
        <w:jc w:val="center"/>
        <w:rPr>
          <w:lang w:val="fr-CA"/>
        </w:rPr>
      </w:pPr>
      <w:r>
        <w:rPr>
          <w:lang w:val="fr-CA"/>
        </w:rPr>
        <w:t>. . .</w:t>
      </w:r>
    </w:p>
    <w:p w:rsidR="00DF13E5" w:rsidRPr="00565B7B" w:rsidRDefault="00DF13E5" w:rsidP="000624A5">
      <w:pPr>
        <w:spacing w:before="100" w:beforeAutospacing="1" w:after="100" w:afterAutospacing="1"/>
        <w:ind w:left="720"/>
        <w:jc w:val="both"/>
        <w:rPr>
          <w:lang w:val="fr-CA"/>
        </w:rPr>
      </w:pPr>
      <w:r w:rsidRPr="00565B7B">
        <w:rPr>
          <w:b/>
          <w:lang w:val="fr-CA"/>
        </w:rPr>
        <w:lastRenderedPageBreak/>
        <w:t>(2)</w:t>
      </w:r>
      <w:r w:rsidRPr="00565B7B">
        <w:rPr>
          <w:lang w:val="fr-CA"/>
        </w:rPr>
        <w:t xml:space="preserve"> Par dérogation au droit fédéral et provincial, le syndic est, ès qualités, dégagé de toute responsabilité personnelle découlant de tout fait ou dommage lié à l’environnement survenu avant ou après sa nomination, sauf celui causé par sa négligence grave ou son inconduite délibérée ou, dans la province de Québec, par sa faute lourde ou intentionnelle.</w:t>
      </w:r>
    </w:p>
    <w:p w:rsidR="00DF13E5" w:rsidRPr="00565B7B" w:rsidRDefault="00DF13E5" w:rsidP="000624A5">
      <w:pPr>
        <w:spacing w:before="100" w:beforeAutospacing="1" w:after="100" w:afterAutospacing="1"/>
        <w:ind w:left="720"/>
        <w:jc w:val="both"/>
        <w:rPr>
          <w:lang w:val="fr-CA"/>
        </w:rPr>
      </w:pPr>
      <w:r w:rsidRPr="00565B7B">
        <w:rPr>
          <w:b/>
          <w:lang w:val="fr-CA"/>
        </w:rPr>
        <w:t>(3)</w:t>
      </w:r>
      <w:r w:rsidRPr="00565B7B">
        <w:rPr>
          <w:lang w:val="fr-CA"/>
        </w:rPr>
        <w:t xml:space="preserve"> Le paragraphe (2) n’a pas pour effet de soustraire le syndic à une obligation de faire rapport ou de communiquer des renseignements prévue par le droit applicable en l’espèce.</w:t>
      </w:r>
    </w:p>
    <w:p w:rsidR="00DF13E5" w:rsidRPr="00565B7B" w:rsidRDefault="00DF13E5" w:rsidP="000624A5">
      <w:pPr>
        <w:spacing w:before="100" w:beforeAutospacing="1" w:after="100" w:afterAutospacing="1"/>
        <w:ind w:left="720"/>
        <w:jc w:val="both"/>
        <w:rPr>
          <w:lang w:val="fr-CA"/>
        </w:rPr>
      </w:pPr>
      <w:r w:rsidRPr="00565B7B">
        <w:rPr>
          <w:b/>
          <w:lang w:val="fr-CA"/>
        </w:rPr>
        <w:t>(4)</w:t>
      </w:r>
      <w:r w:rsidRPr="00565B7B">
        <w:rPr>
          <w:lang w:val="fr-CA"/>
        </w:rPr>
        <w:t xml:space="preserve"> Par dérogation au droit fédéral et provincial, mais sous réserve du paragraphe (2), le syndic est, ès qualités, dégagé de toute responsabilité personnelle découlant du non</w:t>
      </w:r>
      <w:r w:rsidRPr="00565B7B">
        <w:rPr>
          <w:lang w:val="fr-CA"/>
        </w:rPr>
        <w:noBreakHyphen/>
        <w:t>respect de toute ordonnance de réparation de tout fait ou dommage lié à l’environnement et touchant un bien visé par une faillite, une proposition ou une mise sous séquestre administrée par un séquestre, et de toute responsabilité personnelle relativement aux frais engagés par toute personne exécutant l’ordonnance :</w:t>
      </w:r>
    </w:p>
    <w:p w:rsidR="00DF13E5" w:rsidRPr="00565B7B" w:rsidRDefault="00DF13E5" w:rsidP="00510364">
      <w:pPr>
        <w:spacing w:before="100" w:beforeAutospacing="1" w:after="100" w:afterAutospacing="1"/>
        <w:ind w:left="1080"/>
        <w:jc w:val="both"/>
        <w:rPr>
          <w:lang w:val="fr-CA"/>
        </w:rPr>
      </w:pPr>
      <w:r w:rsidRPr="00565B7B">
        <w:rPr>
          <w:b/>
          <w:lang w:val="fr-CA"/>
        </w:rPr>
        <w:t>a)</w:t>
      </w:r>
      <w:r w:rsidRPr="00565B7B">
        <w:rPr>
          <w:sz w:val="14"/>
          <w:szCs w:val="14"/>
          <w:lang w:val="fr-CA"/>
        </w:rPr>
        <w:tab/>
      </w:r>
      <w:r w:rsidRPr="00565B7B">
        <w:rPr>
          <w:lang w:val="fr-CA"/>
        </w:rPr>
        <w:t xml:space="preserve">si, dans les dix </w:t>
      </w:r>
      <w:r w:rsidRPr="00565B7B">
        <w:rPr>
          <w:iCs/>
          <w:lang w:val="fr-CA"/>
        </w:rPr>
        <w:t>jours</w:t>
      </w:r>
      <w:r w:rsidRPr="00565B7B">
        <w:rPr>
          <w:lang w:val="fr-CA"/>
        </w:rPr>
        <w:t xml:space="preserve"> suivant l’ordonnance ou dans le délai fixé par celle</w:t>
      </w:r>
      <w:r w:rsidRPr="00565B7B">
        <w:rPr>
          <w:lang w:val="fr-CA"/>
        </w:rPr>
        <w:noBreakHyphen/>
        <w:t>ci, dans les dix jours suivant sa nomination si l’ordonnance est alors en vigueur ou pendant la durée de la suspension visée à l’alinéa b) :</w:t>
      </w:r>
    </w:p>
    <w:p w:rsidR="00DF13E5" w:rsidRPr="00565B7B" w:rsidRDefault="00DF13E5" w:rsidP="00510364">
      <w:pPr>
        <w:tabs>
          <w:tab w:val="left" w:pos="2250"/>
        </w:tabs>
        <w:spacing w:before="100" w:beforeAutospacing="1" w:after="100" w:afterAutospacing="1"/>
        <w:ind w:left="1890" w:hanging="2160"/>
        <w:jc w:val="both"/>
        <w:rPr>
          <w:lang w:val="fr-CA"/>
        </w:rPr>
      </w:pPr>
      <w:r w:rsidRPr="00565B7B">
        <w:rPr>
          <w:b/>
          <w:lang w:val="fr-CA"/>
        </w:rPr>
        <w:tab/>
        <w:t>(i)</w:t>
      </w:r>
      <w:r w:rsidRPr="00565B7B">
        <w:rPr>
          <w:b/>
          <w:lang w:val="fr-CA"/>
        </w:rPr>
        <w:tab/>
      </w:r>
      <w:r w:rsidRPr="00565B7B">
        <w:rPr>
          <w:lang w:val="fr-CA"/>
        </w:rPr>
        <w:t>il s’y conforme,</w:t>
      </w:r>
    </w:p>
    <w:p w:rsidR="00DF13E5" w:rsidRPr="00565B7B" w:rsidRDefault="00DF13E5" w:rsidP="00DF13E5">
      <w:pPr>
        <w:tabs>
          <w:tab w:val="left" w:pos="2250"/>
        </w:tabs>
        <w:spacing w:before="100" w:beforeAutospacing="1" w:after="100" w:afterAutospacing="1"/>
        <w:ind w:left="1890" w:hanging="2160"/>
        <w:jc w:val="both"/>
        <w:rPr>
          <w:lang w:val="fr-CA"/>
        </w:rPr>
      </w:pPr>
      <w:r w:rsidRPr="00565B7B">
        <w:rPr>
          <w:b/>
          <w:lang w:val="fr-CA"/>
        </w:rPr>
        <w:tab/>
        <w:t>(ii)</w:t>
      </w:r>
      <w:r w:rsidRPr="00565B7B">
        <w:rPr>
          <w:b/>
          <w:lang w:val="fr-CA"/>
        </w:rPr>
        <w:tab/>
      </w:r>
      <w:r w:rsidRPr="00565B7B">
        <w:rPr>
          <w:lang w:val="fr-CA"/>
        </w:rPr>
        <w:t>il abandonne, après avis à la personne ayant rendu l’ordonnance, tout droit sur l’immeuble en cause ou tout intérêt sur le bien réel en cause, en dispose ou s’en dessaisit;</w:t>
      </w:r>
    </w:p>
    <w:p w:rsidR="00DF13E5" w:rsidRPr="00565B7B" w:rsidRDefault="00DF13E5" w:rsidP="00DF13E5">
      <w:pPr>
        <w:tabs>
          <w:tab w:val="left" w:pos="1440"/>
        </w:tabs>
        <w:spacing w:before="100" w:beforeAutospacing="1" w:after="100" w:afterAutospacing="1"/>
        <w:ind w:left="1080" w:hanging="1080"/>
        <w:jc w:val="both"/>
        <w:rPr>
          <w:lang w:val="fr-CA"/>
        </w:rPr>
      </w:pPr>
      <w:r w:rsidRPr="00565B7B">
        <w:rPr>
          <w:b/>
          <w:lang w:val="fr-CA"/>
        </w:rPr>
        <w:tab/>
        <w:t>b)</w:t>
      </w:r>
      <w:r w:rsidRPr="00565B7B">
        <w:rPr>
          <w:b/>
          <w:lang w:val="fr-CA"/>
        </w:rPr>
        <w:tab/>
      </w:r>
      <w:r w:rsidRPr="00565B7B">
        <w:rPr>
          <w:lang w:val="fr-CA"/>
        </w:rPr>
        <w:t>pendant la durée de la suspension de l’ordonnance qui est accordée, sur demande présentée dans les dix jours suivant l’ordonnance visée à l’alinéa a) ou dans le délai fixé par celle</w:t>
      </w:r>
      <w:r w:rsidRPr="00565B7B">
        <w:rPr>
          <w:lang w:val="fr-CA"/>
        </w:rPr>
        <w:noBreakHyphen/>
        <w:t>ci, ou dans les dix jours suivant sa nomination si l’ordonnance est alors en vigueur :</w:t>
      </w:r>
    </w:p>
    <w:p w:rsidR="00DF13E5" w:rsidRPr="00565B7B" w:rsidRDefault="00DF13E5" w:rsidP="00DF13E5">
      <w:pPr>
        <w:spacing w:before="100" w:beforeAutospacing="1" w:after="100" w:afterAutospacing="1"/>
        <w:ind w:left="1890" w:hanging="2160"/>
        <w:jc w:val="both"/>
        <w:rPr>
          <w:lang w:val="fr-CA"/>
        </w:rPr>
      </w:pPr>
      <w:r w:rsidRPr="00565B7B">
        <w:rPr>
          <w:sz w:val="14"/>
          <w:szCs w:val="14"/>
          <w:lang w:val="fr-CA"/>
        </w:rPr>
        <w:tab/>
      </w:r>
      <w:r w:rsidRPr="00565B7B">
        <w:rPr>
          <w:b/>
          <w:lang w:val="fr-CA"/>
        </w:rPr>
        <w:t>(i)</w:t>
      </w:r>
      <w:r w:rsidRPr="00565B7B">
        <w:rPr>
          <w:sz w:val="14"/>
          <w:szCs w:val="14"/>
          <w:lang w:val="fr-CA"/>
        </w:rPr>
        <w:t xml:space="preserve"> </w:t>
      </w:r>
      <w:r w:rsidRPr="00565B7B">
        <w:rPr>
          <w:lang w:val="fr-CA"/>
        </w:rPr>
        <w:t>soit par le tribunal ou l’autorité qui a compétence relativement à l’ordonnance, en vue de permettre au syndic de la contester,</w:t>
      </w:r>
    </w:p>
    <w:p w:rsidR="00DF13E5" w:rsidRPr="00565B7B" w:rsidRDefault="00DF13E5" w:rsidP="00DF13E5">
      <w:pPr>
        <w:spacing w:before="100" w:beforeAutospacing="1" w:after="100" w:afterAutospacing="1"/>
        <w:ind w:left="1890" w:hanging="2160"/>
        <w:jc w:val="both"/>
        <w:rPr>
          <w:lang w:val="fr-CA"/>
        </w:rPr>
      </w:pPr>
      <w:r w:rsidRPr="00565B7B">
        <w:rPr>
          <w:b/>
          <w:lang w:val="fr-CA"/>
        </w:rPr>
        <w:tab/>
        <w:t>(ii)</w:t>
      </w:r>
      <w:r w:rsidRPr="00565B7B">
        <w:rPr>
          <w:sz w:val="14"/>
          <w:szCs w:val="14"/>
          <w:lang w:val="fr-CA"/>
        </w:rPr>
        <w:t xml:space="preserve"> </w:t>
      </w:r>
      <w:r w:rsidRPr="00565B7B">
        <w:rPr>
          <w:lang w:val="fr-CA"/>
        </w:rPr>
        <w:t>soit par le tribunal qui a compétence en matière de faillite, en vue d’évaluer les conséquences économiques du respect de l’ordonnance;</w:t>
      </w:r>
    </w:p>
    <w:p w:rsidR="00DF13E5" w:rsidRPr="00565B7B" w:rsidRDefault="00DF13E5" w:rsidP="00DF13E5">
      <w:pPr>
        <w:tabs>
          <w:tab w:val="left" w:pos="1440"/>
        </w:tabs>
        <w:spacing w:before="100" w:beforeAutospacing="1" w:after="100" w:afterAutospacing="1"/>
        <w:ind w:left="1080" w:hanging="1080"/>
        <w:jc w:val="both"/>
        <w:rPr>
          <w:lang w:val="fr-CA"/>
        </w:rPr>
      </w:pPr>
      <w:r w:rsidRPr="00565B7B">
        <w:rPr>
          <w:b/>
          <w:lang w:val="fr-CA"/>
        </w:rPr>
        <w:tab/>
        <w:t>c)</w:t>
      </w:r>
      <w:r w:rsidRPr="00565B7B">
        <w:rPr>
          <w:sz w:val="14"/>
          <w:szCs w:val="14"/>
          <w:lang w:val="fr-CA"/>
        </w:rPr>
        <w:tab/>
      </w:r>
      <w:r w:rsidRPr="00565B7B">
        <w:rPr>
          <w:lang w:val="fr-CA"/>
        </w:rPr>
        <w:t>si, avant que l’ordonnance ne soit rendue, il avait abandonné tout droit sur l’immeuble en cause ou tout intérêt sur le bien réel en cause ou y avait renoncé, ou s’en était dessaisi.</w:t>
      </w:r>
    </w:p>
    <w:p w:rsidR="00DF13E5" w:rsidRPr="00565B7B" w:rsidRDefault="00DF13E5" w:rsidP="000624A5">
      <w:pPr>
        <w:spacing w:before="100" w:beforeAutospacing="1" w:after="100" w:afterAutospacing="1"/>
        <w:ind w:left="720"/>
        <w:jc w:val="both"/>
        <w:rPr>
          <w:lang w:val="fr-CA"/>
        </w:rPr>
      </w:pPr>
      <w:r w:rsidRPr="00565B7B">
        <w:rPr>
          <w:b/>
          <w:lang w:val="fr-CA"/>
        </w:rPr>
        <w:t>(5)</w:t>
      </w:r>
      <w:r w:rsidRPr="00565B7B">
        <w:rPr>
          <w:lang w:val="fr-CA"/>
        </w:rPr>
        <w:t xml:space="preserve"> En vue de permettre au syndic d’évaluer les conséquences économiques du respect de l’ordonnance, le tribunal peut en ordonner la suspension après avis et pour la période qu’il estime indiqués.</w:t>
      </w:r>
    </w:p>
    <w:p w:rsidR="00DF13E5" w:rsidRPr="00565B7B" w:rsidRDefault="00DF13E5" w:rsidP="000624A5">
      <w:pPr>
        <w:spacing w:before="100" w:beforeAutospacing="1" w:after="100" w:afterAutospacing="1"/>
        <w:ind w:left="720"/>
        <w:jc w:val="both"/>
        <w:rPr>
          <w:lang w:val="fr-CA"/>
        </w:rPr>
      </w:pPr>
      <w:r w:rsidRPr="00565B7B">
        <w:rPr>
          <w:b/>
          <w:lang w:val="fr-CA"/>
        </w:rPr>
        <w:t>(6)</w:t>
      </w:r>
      <w:r w:rsidRPr="00565B7B">
        <w:rPr>
          <w:lang w:val="fr-CA"/>
        </w:rPr>
        <w:t xml:space="preserve"> Si le syndic a abandonné tout droit sur l’immeuble en cause ou tout intérêt sur le bien réel en cause ou y a renoncé, les réclamations pour les frais de </w:t>
      </w:r>
      <w:r w:rsidRPr="00565B7B">
        <w:rPr>
          <w:lang w:val="fr-CA"/>
        </w:rPr>
        <w:lastRenderedPageBreak/>
        <w:t>réparation du fait ou dommage lié à l’environnement et touchant le bien ne font pas partie des frais d’administration.</w:t>
      </w:r>
    </w:p>
    <w:p w:rsidR="00DF13E5" w:rsidRPr="00565B7B" w:rsidRDefault="00DF13E5" w:rsidP="000624A5">
      <w:pPr>
        <w:spacing w:before="100" w:beforeAutospacing="1" w:after="100" w:afterAutospacing="1"/>
        <w:ind w:left="720"/>
        <w:jc w:val="both"/>
        <w:rPr>
          <w:lang w:val="fr-CA"/>
        </w:rPr>
      </w:pPr>
      <w:r w:rsidRPr="00565B7B">
        <w:rPr>
          <w:b/>
          <w:lang w:val="fr-CA"/>
        </w:rPr>
        <w:t>(7)</w:t>
      </w:r>
      <w:r w:rsidRPr="00565B7B">
        <w:rPr>
          <w:lang w:val="fr-CA"/>
        </w:rPr>
        <w:t xml:space="preserve"> En cas de faillite, de proposition ou de mise sous séquestre administrée par un séquestre, toute réclamation de Sa Majesté du chef du Canada ou d’une province contre le débiteur pour les frais de réparation du fait ou dommage lié à l’environnement et touchant un de ses immeubles ou biens réels est garantie par une sûreté sur le bien en cause et sur ceux qui sont contigus à celui où le dommage est survenu et qui sont liés à l’activité ayant causé le fait ou le dommage; la sûreté peut être exécutée selon le droit du lieu où est situé le bien comme s’il s’agissait d’une hypothèque ou autre garantie sur celui</w:t>
      </w:r>
      <w:r w:rsidRPr="00565B7B">
        <w:rPr>
          <w:lang w:val="fr-CA"/>
        </w:rPr>
        <w:noBreakHyphen/>
        <w:t>ci et, par dérogation aux autres dispositions de la présente loi et à toute règle de droit fédéral et provincial, a priorité sur tout autre droit, charge, sûreté ou réclamation visant le bien.</w:t>
      </w:r>
    </w:p>
    <w:p w:rsidR="00DF13E5" w:rsidRPr="00565B7B" w:rsidRDefault="00DF13E5" w:rsidP="000624A5">
      <w:pPr>
        <w:spacing w:before="100" w:beforeAutospacing="1" w:after="100" w:afterAutospacing="1"/>
        <w:ind w:left="720"/>
        <w:jc w:val="both"/>
        <w:rPr>
          <w:lang w:val="fr-CA"/>
        </w:rPr>
      </w:pPr>
      <w:r w:rsidRPr="00565B7B">
        <w:rPr>
          <w:b/>
          <w:lang w:val="fr-CA"/>
        </w:rPr>
        <w:t>(8)</w:t>
      </w:r>
      <w:r w:rsidRPr="00565B7B">
        <w:rPr>
          <w:lang w:val="fr-CA"/>
        </w:rPr>
        <w:t xml:space="preserve"> Malgré le paragraphe 121(1), la réclamation pour les frais de réparation du fait ou dommage lié à l’environnement et touchant l’immeuble ou le bien réel du débiteur constitue une réclamation prouvable, que la date du fait ou dommage soit antérieure ou postérieure à celle de la faillite ou du dépôt de la proposition.</w:t>
      </w:r>
    </w:p>
    <w:p w:rsidR="00DF13E5" w:rsidRDefault="00DF13E5" w:rsidP="00FE589F">
      <w:pPr>
        <w:pStyle w:val="SCCNormalDoubleSpacing"/>
        <w:spacing w:after="480"/>
        <w:rPr>
          <w:rStyle w:val="SCCCounselPartyRoleChar"/>
          <w:lang w:val="fr-CA"/>
        </w:rPr>
      </w:pPr>
    </w:p>
    <w:p w:rsidR="004D7D95" w:rsidRPr="007B3EA8" w:rsidRDefault="009C1AE2" w:rsidP="00FE589F">
      <w:pPr>
        <w:pStyle w:val="SCCNormalDoubleSpacing"/>
        <w:spacing w:after="480"/>
        <w:rPr>
          <w:lang w:val="fr-CA"/>
        </w:rPr>
      </w:pPr>
      <w:r w:rsidRPr="007B3EA8">
        <w:rPr>
          <w:lang w:val="fr-CA"/>
        </w:rPr>
        <w:tab/>
      </w:r>
      <w:r w:rsidRPr="007B3EA8">
        <w:rPr>
          <w:i/>
          <w:lang w:val="fr-CA"/>
        </w:rPr>
        <w:t xml:space="preserve">Pourvoi </w:t>
      </w:r>
      <w:r w:rsidR="001E4628" w:rsidRPr="007B3EA8">
        <w:rPr>
          <w:i/>
          <w:lang w:val="fr-CA"/>
        </w:rPr>
        <w:t xml:space="preserve">accueilli, les juges </w:t>
      </w:r>
      <w:r w:rsidR="001E4628" w:rsidRPr="007B3EA8">
        <w:rPr>
          <w:smallCaps/>
          <w:lang w:val="fr-CA"/>
        </w:rPr>
        <w:t xml:space="preserve">Moldaver </w:t>
      </w:r>
      <w:r w:rsidR="001E4628" w:rsidRPr="007B3EA8">
        <w:rPr>
          <w:i/>
          <w:lang w:val="fr-CA"/>
        </w:rPr>
        <w:t xml:space="preserve">et </w:t>
      </w:r>
      <w:r w:rsidR="001E4628" w:rsidRPr="007B3EA8">
        <w:rPr>
          <w:smallCaps/>
          <w:lang w:val="fr-CA"/>
        </w:rPr>
        <w:t>Côté</w:t>
      </w:r>
      <w:r w:rsidR="001E4628" w:rsidRPr="007B3EA8">
        <w:rPr>
          <w:i/>
          <w:lang w:val="fr-CA"/>
        </w:rPr>
        <w:t xml:space="preserve"> sont dissidents.</w:t>
      </w:r>
    </w:p>
    <w:p w:rsidR="00065867" w:rsidRPr="007B3EA8" w:rsidRDefault="009C1AE2" w:rsidP="00FE589F">
      <w:pPr>
        <w:pStyle w:val="SCCLawFirm"/>
        <w:spacing w:after="480"/>
        <w:rPr>
          <w:lang w:val="fr-CA"/>
        </w:rPr>
      </w:pPr>
      <w:r w:rsidRPr="007B3EA8">
        <w:rPr>
          <w:lang w:val="fr-CA"/>
        </w:rPr>
        <w:tab/>
        <w:t>Procureurs</w:t>
      </w:r>
      <w:r w:rsidR="000B6A0C">
        <w:rPr>
          <w:lang w:val="fr-CA"/>
        </w:rPr>
        <w:t xml:space="preserve"> d</w:t>
      </w:r>
      <w:r w:rsidR="00AC7CB4" w:rsidRPr="007B3EA8">
        <w:rPr>
          <w:lang w:val="fr-CA"/>
        </w:rPr>
        <w:t>e</w:t>
      </w:r>
      <w:r w:rsidRPr="007B3EA8">
        <w:rPr>
          <w:lang w:val="fr-CA"/>
        </w:rPr>
        <w:t>s</w:t>
      </w:r>
      <w:r w:rsidR="00AC7CB4" w:rsidRPr="007B3EA8">
        <w:rPr>
          <w:lang w:val="fr-CA"/>
        </w:rPr>
        <w:t xml:space="preserve"> </w:t>
      </w:r>
      <w:r w:rsidRPr="007B3EA8">
        <w:rPr>
          <w:lang w:val="fr-CA"/>
        </w:rPr>
        <w:t>appelants</w:t>
      </w:r>
      <w:r w:rsidR="00FE589F" w:rsidRPr="007B3EA8">
        <w:rPr>
          <w:lang w:val="fr-CA"/>
        </w:rPr>
        <w:t> </w:t>
      </w:r>
      <w:r w:rsidR="004B5B15" w:rsidRPr="007B3EA8">
        <w:rPr>
          <w:lang w:val="fr-CA"/>
        </w:rPr>
        <w:t>: </w:t>
      </w:r>
      <w:r w:rsidRPr="007B3EA8">
        <w:rPr>
          <w:lang w:val="fr-CA"/>
        </w:rPr>
        <w:t xml:space="preserve">Bennett Jones, Calgary; </w:t>
      </w:r>
      <w:r w:rsidR="00AC7CB4" w:rsidRPr="007B3EA8">
        <w:rPr>
          <w:lang w:val="fr-CA"/>
        </w:rPr>
        <w:t>Alberta Energy Regulator, Calgary.</w:t>
      </w:r>
    </w:p>
    <w:p w:rsidR="00065867" w:rsidRPr="007B3EA8" w:rsidRDefault="009C1AE2" w:rsidP="00FE589F">
      <w:pPr>
        <w:pStyle w:val="SCCLawFirm"/>
        <w:spacing w:after="480"/>
        <w:rPr>
          <w:lang w:val="fr-CA"/>
        </w:rPr>
      </w:pPr>
      <w:r w:rsidRPr="007B3EA8">
        <w:rPr>
          <w:lang w:val="fr-CA"/>
        </w:rPr>
        <w:tab/>
        <w:t>Procureurs</w:t>
      </w:r>
      <w:r w:rsidR="000B6A0C">
        <w:rPr>
          <w:lang w:val="fr-CA"/>
        </w:rPr>
        <w:t xml:space="preserve"> d</w:t>
      </w:r>
      <w:r w:rsidR="00AC7CB4" w:rsidRPr="007B3EA8">
        <w:rPr>
          <w:lang w:val="fr-CA"/>
        </w:rPr>
        <w:t>e</w:t>
      </w:r>
      <w:r w:rsidR="002D2429" w:rsidRPr="007B3EA8">
        <w:rPr>
          <w:lang w:val="fr-CA"/>
        </w:rPr>
        <w:t>s intimé</w:t>
      </w:r>
      <w:r w:rsidR="00AE74DA" w:rsidRPr="007B3EA8">
        <w:rPr>
          <w:lang w:val="fr-CA"/>
        </w:rPr>
        <w:t>e</w:t>
      </w:r>
      <w:r w:rsidRPr="007B3EA8">
        <w:rPr>
          <w:lang w:val="fr-CA"/>
        </w:rPr>
        <w:t>s</w:t>
      </w:r>
      <w:r w:rsidR="00FE589F" w:rsidRPr="007B3EA8">
        <w:rPr>
          <w:lang w:val="fr-CA"/>
        </w:rPr>
        <w:t> </w:t>
      </w:r>
      <w:r w:rsidR="004B5B15" w:rsidRPr="007B3EA8">
        <w:rPr>
          <w:lang w:val="fr-CA"/>
        </w:rPr>
        <w:t>: </w:t>
      </w:r>
      <w:r w:rsidRPr="007B3EA8">
        <w:rPr>
          <w:lang w:val="fr-CA"/>
        </w:rPr>
        <w:t>Blake, Cassels &amp; Graydon, Calgary; Cassels Brock &amp; Blackwell, Calgary; Gowling WLG (Canada), Calgary.</w:t>
      </w:r>
    </w:p>
    <w:p w:rsidR="001A0C07" w:rsidRPr="007B3EA8" w:rsidRDefault="00C0554C" w:rsidP="00FE589F">
      <w:pPr>
        <w:pStyle w:val="SCCLawFirm"/>
        <w:spacing w:after="480"/>
        <w:rPr>
          <w:lang w:val="fr-CA"/>
        </w:rPr>
      </w:pPr>
      <w:r w:rsidRPr="007B3EA8">
        <w:rPr>
          <w:lang w:val="fr-CA"/>
        </w:rPr>
        <w:tab/>
        <w:t>Procureur de l’intervenant</w:t>
      </w:r>
      <w:r w:rsidR="000B6A0C">
        <w:rPr>
          <w:lang w:val="fr-CA"/>
        </w:rPr>
        <w:t>e</w:t>
      </w:r>
      <w:r w:rsidRPr="007B3EA8">
        <w:rPr>
          <w:lang w:val="fr-CA"/>
        </w:rPr>
        <w:t xml:space="preserve"> la</w:t>
      </w:r>
      <w:r w:rsidR="009C1AE2" w:rsidRPr="007B3EA8">
        <w:rPr>
          <w:lang w:val="fr-CA"/>
        </w:rPr>
        <w:t xml:space="preserve"> p</w:t>
      </w:r>
      <w:r w:rsidR="001A0C07" w:rsidRPr="007B3EA8">
        <w:rPr>
          <w:lang w:val="fr-CA"/>
        </w:rPr>
        <w:t>rocureur</w:t>
      </w:r>
      <w:r w:rsidR="00F66443" w:rsidRPr="007B3EA8">
        <w:rPr>
          <w:lang w:val="fr-CA"/>
        </w:rPr>
        <w:t>e</w:t>
      </w:r>
      <w:r w:rsidR="001A0C07" w:rsidRPr="007B3EA8">
        <w:rPr>
          <w:lang w:val="fr-CA"/>
        </w:rPr>
        <w:t xml:space="preserve"> général</w:t>
      </w:r>
      <w:r w:rsidR="00F66443" w:rsidRPr="007B3EA8">
        <w:rPr>
          <w:lang w:val="fr-CA"/>
        </w:rPr>
        <w:t>e</w:t>
      </w:r>
      <w:r w:rsidR="001A0C07" w:rsidRPr="007B3EA8">
        <w:rPr>
          <w:lang w:val="fr-CA"/>
        </w:rPr>
        <w:t xml:space="preserve"> de l’Ontario</w:t>
      </w:r>
      <w:r w:rsidR="00FE589F" w:rsidRPr="007B3EA8">
        <w:rPr>
          <w:lang w:val="fr-CA"/>
        </w:rPr>
        <w:t> </w:t>
      </w:r>
      <w:r w:rsidR="004B5B15" w:rsidRPr="007B3EA8">
        <w:rPr>
          <w:lang w:val="fr-CA"/>
        </w:rPr>
        <w:t>: </w:t>
      </w:r>
      <w:r w:rsidR="000D27F3" w:rsidRPr="007B3EA8">
        <w:rPr>
          <w:lang w:val="fr-CA"/>
        </w:rPr>
        <w:t>Procureur</w:t>
      </w:r>
      <w:r w:rsidR="00F66443" w:rsidRPr="007B3EA8">
        <w:rPr>
          <w:lang w:val="fr-CA"/>
        </w:rPr>
        <w:t>e</w:t>
      </w:r>
      <w:r w:rsidR="000D27F3" w:rsidRPr="007B3EA8">
        <w:rPr>
          <w:lang w:val="fr-CA"/>
        </w:rPr>
        <w:t xml:space="preserve"> général</w:t>
      </w:r>
      <w:r w:rsidR="00F66443" w:rsidRPr="007B3EA8">
        <w:rPr>
          <w:lang w:val="fr-CA"/>
        </w:rPr>
        <w:t>e</w:t>
      </w:r>
      <w:r w:rsidR="000D27F3" w:rsidRPr="007B3EA8">
        <w:rPr>
          <w:lang w:val="fr-CA"/>
        </w:rPr>
        <w:t xml:space="preserve"> de l’Ontario</w:t>
      </w:r>
      <w:r w:rsidR="001A0C07" w:rsidRPr="007B3EA8">
        <w:rPr>
          <w:lang w:val="fr-CA"/>
        </w:rPr>
        <w:t>, Toronto.</w:t>
      </w:r>
    </w:p>
    <w:p w:rsidR="001A0C07" w:rsidRPr="007B3EA8" w:rsidRDefault="000D27F3" w:rsidP="00FE589F">
      <w:pPr>
        <w:pStyle w:val="SCCLawFirm"/>
        <w:spacing w:after="480"/>
        <w:rPr>
          <w:lang w:val="fr-CA"/>
        </w:rPr>
      </w:pPr>
      <w:r w:rsidRPr="007B3EA8">
        <w:rPr>
          <w:lang w:val="fr-CA"/>
        </w:rPr>
        <w:tab/>
        <w:t>Procureur de l’intervenant le p</w:t>
      </w:r>
      <w:r w:rsidR="001A0C07" w:rsidRPr="007B3EA8">
        <w:rPr>
          <w:lang w:val="fr-CA"/>
        </w:rPr>
        <w:t>rocureur général de la Colombie</w:t>
      </w:r>
      <w:r w:rsidR="00FE589F" w:rsidRPr="007B3EA8">
        <w:rPr>
          <w:lang w:val="fr-CA"/>
        </w:rPr>
        <w:noBreakHyphen/>
      </w:r>
      <w:r w:rsidR="001A0C07" w:rsidRPr="007B3EA8">
        <w:rPr>
          <w:lang w:val="fr-CA"/>
        </w:rPr>
        <w:t>Britannique</w:t>
      </w:r>
      <w:r w:rsidR="00FE589F" w:rsidRPr="007B3EA8">
        <w:rPr>
          <w:lang w:val="fr-CA"/>
        </w:rPr>
        <w:t> </w:t>
      </w:r>
      <w:r w:rsidR="004B5B15" w:rsidRPr="007B3EA8">
        <w:rPr>
          <w:lang w:val="fr-CA"/>
        </w:rPr>
        <w:t>: </w:t>
      </w:r>
      <w:r w:rsidRPr="007B3EA8">
        <w:rPr>
          <w:lang w:val="fr-CA"/>
        </w:rPr>
        <w:t>Procureur général de la Colombie</w:t>
      </w:r>
      <w:r w:rsidR="00FE589F" w:rsidRPr="007B3EA8">
        <w:rPr>
          <w:lang w:val="fr-CA"/>
        </w:rPr>
        <w:noBreakHyphen/>
      </w:r>
      <w:r w:rsidRPr="007B3EA8">
        <w:rPr>
          <w:lang w:val="fr-CA"/>
        </w:rPr>
        <w:t>Britannique</w:t>
      </w:r>
      <w:r w:rsidR="001A0C07" w:rsidRPr="007B3EA8">
        <w:rPr>
          <w:lang w:val="fr-CA"/>
        </w:rPr>
        <w:t>, Victoria.</w:t>
      </w:r>
    </w:p>
    <w:p w:rsidR="001A0C07" w:rsidRPr="007B3EA8" w:rsidRDefault="000D27F3" w:rsidP="00FE589F">
      <w:pPr>
        <w:pStyle w:val="SCCLawFirm"/>
        <w:spacing w:after="480"/>
        <w:rPr>
          <w:lang w:val="fr-CA"/>
        </w:rPr>
      </w:pPr>
      <w:r w:rsidRPr="007B3EA8">
        <w:rPr>
          <w:lang w:val="fr-CA"/>
        </w:rPr>
        <w:lastRenderedPageBreak/>
        <w:tab/>
        <w:t>Procureur de l’intervenant le p</w:t>
      </w:r>
      <w:r w:rsidR="001A0C07" w:rsidRPr="007B3EA8">
        <w:rPr>
          <w:lang w:val="fr-CA"/>
        </w:rPr>
        <w:t>rocureur général de la Saskatchewan</w:t>
      </w:r>
      <w:r w:rsidR="00FE589F" w:rsidRPr="007B3EA8">
        <w:rPr>
          <w:lang w:val="fr-CA"/>
        </w:rPr>
        <w:t> </w:t>
      </w:r>
      <w:r w:rsidR="004B5B15" w:rsidRPr="007B3EA8">
        <w:rPr>
          <w:lang w:val="fr-CA"/>
        </w:rPr>
        <w:t>: </w:t>
      </w:r>
      <w:r w:rsidRPr="007B3EA8">
        <w:rPr>
          <w:lang w:val="fr-CA"/>
        </w:rPr>
        <w:t>Procureur général de la Saskatchewan</w:t>
      </w:r>
      <w:r w:rsidR="001A0C07" w:rsidRPr="007B3EA8">
        <w:rPr>
          <w:lang w:val="fr-CA"/>
        </w:rPr>
        <w:t>, Regina.</w:t>
      </w:r>
    </w:p>
    <w:p w:rsidR="00065867" w:rsidRPr="007B3EA8" w:rsidRDefault="00FE0371" w:rsidP="00FE589F">
      <w:pPr>
        <w:pStyle w:val="SCCLawFirm"/>
        <w:spacing w:after="480"/>
        <w:rPr>
          <w:lang w:val="fr-CA"/>
        </w:rPr>
      </w:pPr>
      <w:r w:rsidRPr="007B3EA8">
        <w:rPr>
          <w:lang w:val="fr-CA"/>
        </w:rPr>
        <w:tab/>
        <w:t>Procureur de l’intervenant</w:t>
      </w:r>
      <w:r w:rsidR="00AC7CB4" w:rsidRPr="007B3EA8">
        <w:rPr>
          <w:lang w:val="fr-CA"/>
        </w:rPr>
        <w:t xml:space="preserve"> </w:t>
      </w:r>
      <w:r w:rsidR="009612EE" w:rsidRPr="007B3EA8">
        <w:rPr>
          <w:lang w:val="fr-CA"/>
        </w:rPr>
        <w:t>le procureur général de l’</w:t>
      </w:r>
      <w:r w:rsidR="00AC7CB4" w:rsidRPr="007B3EA8">
        <w:rPr>
          <w:lang w:val="fr-CA"/>
        </w:rPr>
        <w:t>Alberta</w:t>
      </w:r>
      <w:r w:rsidR="00FE589F" w:rsidRPr="007B3EA8">
        <w:rPr>
          <w:lang w:val="fr-CA"/>
        </w:rPr>
        <w:t> </w:t>
      </w:r>
      <w:r w:rsidR="004B5B15" w:rsidRPr="007B3EA8">
        <w:rPr>
          <w:lang w:val="fr-CA"/>
        </w:rPr>
        <w:t>: </w:t>
      </w:r>
      <w:r w:rsidRPr="007B3EA8">
        <w:rPr>
          <w:lang w:val="fr-CA"/>
        </w:rPr>
        <w:t>Procureur général de l’</w:t>
      </w:r>
      <w:r w:rsidR="00AC7CB4" w:rsidRPr="007B3EA8">
        <w:rPr>
          <w:lang w:val="fr-CA"/>
        </w:rPr>
        <w:t>Alberta, Edmonton.</w:t>
      </w:r>
    </w:p>
    <w:p w:rsidR="001A0C07" w:rsidRPr="007B3EA8" w:rsidRDefault="00FE0371" w:rsidP="00FE589F">
      <w:pPr>
        <w:pStyle w:val="SCCLawFirm"/>
        <w:spacing w:after="480"/>
        <w:rPr>
          <w:lang w:val="fr-CA"/>
        </w:rPr>
      </w:pPr>
      <w:r w:rsidRPr="007B3EA8">
        <w:rPr>
          <w:lang w:val="fr-CA"/>
        </w:rPr>
        <w:tab/>
        <w:t>Procureur de l’intervenante</w:t>
      </w:r>
      <w:r w:rsidR="001A0C07" w:rsidRPr="007B3EA8">
        <w:rPr>
          <w:lang w:val="fr-CA"/>
        </w:rPr>
        <w:t xml:space="preserve"> Ecojustice Canada Society</w:t>
      </w:r>
      <w:r w:rsidR="00FE589F" w:rsidRPr="007B3EA8">
        <w:rPr>
          <w:lang w:val="fr-CA"/>
        </w:rPr>
        <w:t> </w:t>
      </w:r>
      <w:r w:rsidR="004B5B15" w:rsidRPr="007B3EA8">
        <w:rPr>
          <w:lang w:val="fr-CA"/>
        </w:rPr>
        <w:t>: </w:t>
      </w:r>
      <w:r w:rsidR="001B6EE6" w:rsidRPr="007B3EA8">
        <w:rPr>
          <w:lang w:val="fr-CA"/>
        </w:rPr>
        <w:t xml:space="preserve">Clinique </w:t>
      </w:r>
      <w:r w:rsidR="001A0C07" w:rsidRPr="007B3EA8">
        <w:rPr>
          <w:lang w:val="fr-CA"/>
        </w:rPr>
        <w:t>Ecojustice</w:t>
      </w:r>
      <w:r w:rsidR="001B6EE6" w:rsidRPr="007B3EA8">
        <w:rPr>
          <w:lang w:val="fr-CA"/>
        </w:rPr>
        <w:t xml:space="preserve"> à l’Université d’Ottawa</w:t>
      </w:r>
      <w:r w:rsidR="001A0C07" w:rsidRPr="007B3EA8">
        <w:rPr>
          <w:lang w:val="fr-CA"/>
        </w:rPr>
        <w:t xml:space="preserve">, </w:t>
      </w:r>
      <w:r w:rsidR="001B6EE6" w:rsidRPr="007B3EA8">
        <w:rPr>
          <w:lang w:val="fr-CA"/>
        </w:rPr>
        <w:t>Ottawa</w:t>
      </w:r>
      <w:r w:rsidR="001A0C07" w:rsidRPr="007B3EA8">
        <w:rPr>
          <w:lang w:val="fr-CA"/>
        </w:rPr>
        <w:t>.</w:t>
      </w:r>
    </w:p>
    <w:p w:rsidR="00065867" w:rsidRPr="007B3EA8" w:rsidRDefault="001B6EE6" w:rsidP="00FE589F">
      <w:pPr>
        <w:pStyle w:val="SCCLawFirm"/>
        <w:spacing w:after="480"/>
        <w:rPr>
          <w:lang w:val="fr-CA"/>
        </w:rPr>
      </w:pPr>
      <w:r w:rsidRPr="007B3EA8">
        <w:rPr>
          <w:lang w:val="fr-CA"/>
        </w:rPr>
        <w:tab/>
        <w:t>Procureurs de l’intervenante</w:t>
      </w:r>
      <w:r w:rsidR="00AC7CB4" w:rsidRPr="007B3EA8">
        <w:rPr>
          <w:lang w:val="fr-CA"/>
        </w:rPr>
        <w:t xml:space="preserve"> </w:t>
      </w:r>
      <w:r w:rsidRPr="007B3EA8">
        <w:rPr>
          <w:lang w:val="fr-CA"/>
        </w:rPr>
        <w:t>l’</w:t>
      </w:r>
      <w:r w:rsidR="00AC7CB4" w:rsidRPr="007B3EA8">
        <w:rPr>
          <w:lang w:val="fr-CA"/>
        </w:rPr>
        <w:t>Association canadienne des producteurs pétroliers</w:t>
      </w:r>
      <w:r w:rsidR="00FE589F" w:rsidRPr="007B3EA8">
        <w:rPr>
          <w:lang w:val="fr-CA"/>
        </w:rPr>
        <w:t> </w:t>
      </w:r>
      <w:r w:rsidR="004B5B15" w:rsidRPr="007B3EA8">
        <w:rPr>
          <w:lang w:val="fr-CA"/>
        </w:rPr>
        <w:t>: </w:t>
      </w:r>
      <w:r w:rsidR="00AC7CB4" w:rsidRPr="007B3EA8">
        <w:rPr>
          <w:lang w:val="fr-CA"/>
        </w:rPr>
        <w:t>Lawson Lundell, Calgary.</w:t>
      </w:r>
    </w:p>
    <w:p w:rsidR="001A0C07" w:rsidRPr="007B3EA8" w:rsidRDefault="001B6EE6" w:rsidP="00FE589F">
      <w:pPr>
        <w:pStyle w:val="SCCLawFirm"/>
        <w:spacing w:after="480"/>
        <w:rPr>
          <w:lang w:val="fr-CA"/>
        </w:rPr>
      </w:pPr>
      <w:r w:rsidRPr="007B3EA8">
        <w:rPr>
          <w:lang w:val="fr-CA"/>
        </w:rPr>
        <w:tab/>
        <w:t>Procureurs de l’intervenante</w:t>
      </w:r>
      <w:r w:rsidR="001A0C07" w:rsidRPr="007B3EA8">
        <w:rPr>
          <w:lang w:val="fr-CA"/>
        </w:rPr>
        <w:t xml:space="preserve"> Greenpeace Canada</w:t>
      </w:r>
      <w:r w:rsidR="00FE589F" w:rsidRPr="007B3EA8">
        <w:rPr>
          <w:lang w:val="fr-CA"/>
        </w:rPr>
        <w:t> </w:t>
      </w:r>
      <w:r w:rsidR="004B5B15" w:rsidRPr="007B3EA8">
        <w:rPr>
          <w:lang w:val="fr-CA"/>
        </w:rPr>
        <w:t>: </w:t>
      </w:r>
      <w:r w:rsidR="001A0C07" w:rsidRPr="007B3EA8">
        <w:rPr>
          <w:lang w:val="fr-CA"/>
        </w:rPr>
        <w:t>Stockwoods, Toronto.</w:t>
      </w:r>
    </w:p>
    <w:p w:rsidR="001A0C07" w:rsidRPr="007B3EA8" w:rsidRDefault="001B6EE6" w:rsidP="00FE589F">
      <w:pPr>
        <w:pStyle w:val="SCCLawFirm"/>
        <w:spacing w:after="480"/>
        <w:rPr>
          <w:lang w:val="fr-CA"/>
        </w:rPr>
      </w:pPr>
      <w:r w:rsidRPr="007B3EA8">
        <w:rPr>
          <w:lang w:val="fr-CA"/>
        </w:rPr>
        <w:tab/>
        <w:t>Procureur de l’intervenante</w:t>
      </w:r>
      <w:r w:rsidR="001A0C07" w:rsidRPr="007B3EA8">
        <w:rPr>
          <w:lang w:val="fr-CA"/>
        </w:rPr>
        <w:t xml:space="preserve"> Action Surface Rights Association</w:t>
      </w:r>
      <w:r w:rsidR="00FE589F" w:rsidRPr="007B3EA8">
        <w:rPr>
          <w:lang w:val="fr-CA"/>
        </w:rPr>
        <w:t> </w:t>
      </w:r>
      <w:r w:rsidR="004B5B15" w:rsidRPr="007B3EA8">
        <w:rPr>
          <w:lang w:val="fr-CA"/>
        </w:rPr>
        <w:t>: </w:t>
      </w:r>
      <w:r w:rsidRPr="007B3EA8">
        <w:rPr>
          <w:lang w:val="fr-CA"/>
        </w:rPr>
        <w:t>University of Calgary Public Interest Law Clinic</w:t>
      </w:r>
      <w:r w:rsidR="001A0C07" w:rsidRPr="007B3EA8">
        <w:rPr>
          <w:lang w:val="fr-CA"/>
        </w:rPr>
        <w:t>, Calgary.</w:t>
      </w:r>
    </w:p>
    <w:p w:rsidR="00065867" w:rsidRPr="007B3EA8" w:rsidRDefault="001B6EE6" w:rsidP="00FE589F">
      <w:pPr>
        <w:pStyle w:val="SCCLawFirm"/>
        <w:spacing w:after="480"/>
        <w:rPr>
          <w:lang w:val="fr-CA"/>
        </w:rPr>
      </w:pPr>
      <w:r w:rsidRPr="007B3EA8">
        <w:rPr>
          <w:lang w:val="fr-CA"/>
        </w:rPr>
        <w:tab/>
        <w:t>Procureur</w:t>
      </w:r>
      <w:r w:rsidR="00AC7CB4" w:rsidRPr="007B3EA8">
        <w:rPr>
          <w:lang w:val="fr-CA"/>
        </w:rPr>
        <w:t>s</w:t>
      </w:r>
      <w:r w:rsidRPr="007B3EA8">
        <w:rPr>
          <w:lang w:val="fr-CA"/>
        </w:rPr>
        <w:t xml:space="preserve"> de l’intervenante</w:t>
      </w:r>
      <w:r w:rsidR="00AC7CB4" w:rsidRPr="007B3EA8">
        <w:rPr>
          <w:lang w:val="fr-CA"/>
        </w:rPr>
        <w:t xml:space="preserve"> </w:t>
      </w:r>
      <w:r w:rsidRPr="007B3EA8">
        <w:rPr>
          <w:lang w:val="fr-CA"/>
        </w:rPr>
        <w:t>l’</w:t>
      </w:r>
      <w:r w:rsidR="00AC7CB4" w:rsidRPr="007B3EA8">
        <w:rPr>
          <w:lang w:val="fr-CA"/>
        </w:rPr>
        <w:t>Association canadienne des professionnels de l’insolvabilité et de la réorganisation</w:t>
      </w:r>
      <w:r w:rsidR="00FE589F" w:rsidRPr="007B3EA8">
        <w:rPr>
          <w:lang w:val="fr-CA"/>
        </w:rPr>
        <w:t> </w:t>
      </w:r>
      <w:r w:rsidR="004B5B15" w:rsidRPr="007B3EA8">
        <w:rPr>
          <w:lang w:val="fr-CA"/>
        </w:rPr>
        <w:t>: </w:t>
      </w:r>
      <w:r w:rsidR="00AC7CB4" w:rsidRPr="007B3EA8">
        <w:rPr>
          <w:lang w:val="fr-CA"/>
        </w:rPr>
        <w:t>McMillan, Calgary.</w:t>
      </w:r>
    </w:p>
    <w:p w:rsidR="00065867" w:rsidRPr="007B3EA8" w:rsidRDefault="001B6EE6">
      <w:pPr>
        <w:pStyle w:val="SCCLawFirm"/>
        <w:rPr>
          <w:lang w:val="fr-CA"/>
        </w:rPr>
      </w:pPr>
      <w:r w:rsidRPr="007B3EA8">
        <w:rPr>
          <w:lang w:val="fr-CA"/>
        </w:rPr>
        <w:tab/>
        <w:t>Procureurs de l’intervenante</w:t>
      </w:r>
      <w:r w:rsidR="00AC7CB4" w:rsidRPr="007B3EA8">
        <w:rPr>
          <w:lang w:val="fr-CA"/>
        </w:rPr>
        <w:t xml:space="preserve"> </w:t>
      </w:r>
      <w:r w:rsidRPr="007B3EA8">
        <w:rPr>
          <w:lang w:val="fr-CA"/>
        </w:rPr>
        <w:t>l’</w:t>
      </w:r>
      <w:r w:rsidR="00AC7CB4" w:rsidRPr="007B3EA8">
        <w:rPr>
          <w:lang w:val="fr-CA"/>
        </w:rPr>
        <w:t>Association de</w:t>
      </w:r>
      <w:r w:rsidR="00E62428" w:rsidRPr="007B3EA8">
        <w:rPr>
          <w:lang w:val="fr-CA"/>
        </w:rPr>
        <w:t>s</w:t>
      </w:r>
      <w:r w:rsidR="00AC7CB4" w:rsidRPr="007B3EA8">
        <w:rPr>
          <w:lang w:val="fr-CA"/>
        </w:rPr>
        <w:t xml:space="preserve"> banquiers canadiens</w:t>
      </w:r>
      <w:r w:rsidR="00FE589F" w:rsidRPr="007B3EA8">
        <w:rPr>
          <w:lang w:val="fr-CA"/>
        </w:rPr>
        <w:t> </w:t>
      </w:r>
      <w:r w:rsidR="004B5B15" w:rsidRPr="007B3EA8">
        <w:rPr>
          <w:lang w:val="fr-CA"/>
        </w:rPr>
        <w:t>: </w:t>
      </w:r>
      <w:r w:rsidR="00AC7CB4" w:rsidRPr="007B3EA8">
        <w:rPr>
          <w:lang w:val="fr-CA"/>
        </w:rPr>
        <w:t>Norton Rose Fulbright Canada, Calgary.</w:t>
      </w:r>
    </w:p>
    <w:p w:rsidR="009B57B3" w:rsidRPr="007B3EA8" w:rsidRDefault="009B57B3" w:rsidP="004D7D95">
      <w:pPr>
        <w:rPr>
          <w:lang w:val="fr-CA"/>
        </w:rPr>
      </w:pPr>
    </w:p>
    <w:sectPr w:rsidR="009B57B3" w:rsidRPr="007B3EA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A2" w:rsidRDefault="000A41A2">
      <w:r>
        <w:separator/>
      </w:r>
    </w:p>
  </w:endnote>
  <w:endnote w:type="continuationSeparator" w:id="0">
    <w:p w:rsidR="000A41A2" w:rsidRDefault="000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A2" w:rsidRDefault="000A41A2">
      <w:r>
        <w:separator/>
      </w:r>
    </w:p>
  </w:footnote>
  <w:footnote w:type="continuationSeparator" w:id="0">
    <w:p w:rsidR="000A41A2" w:rsidRDefault="000A41A2">
      <w:r>
        <w:continuationSeparator/>
      </w:r>
    </w:p>
  </w:footnote>
  <w:footnote w:id="1">
    <w:p w:rsidR="001323EE" w:rsidRPr="00FE076A" w:rsidRDefault="001323EE" w:rsidP="00DF13E5">
      <w:pPr>
        <w:pStyle w:val="FootnoteText"/>
        <w:rPr>
          <w:lang w:val="fr-CA"/>
        </w:rPr>
      </w:pPr>
      <w:r>
        <w:rPr>
          <w:rStyle w:val="FootnoteReference"/>
        </w:rPr>
        <w:footnoteRef/>
      </w:r>
      <w:r w:rsidRPr="003F184D">
        <w:rPr>
          <w:lang w:val="fr-CA"/>
        </w:rPr>
        <w:t xml:space="preserve"> </w:t>
      </w:r>
      <w:r>
        <w:rPr>
          <w:lang w:val="fr-CA"/>
        </w:rPr>
        <w:tab/>
      </w:r>
      <w:r>
        <w:rPr>
          <w:lang w:val="fr-CA"/>
        </w:rPr>
        <w:tab/>
      </w:r>
      <w:r w:rsidRPr="003F184D">
        <w:rPr>
          <w:lang w:val="fr-CA"/>
        </w:rPr>
        <w:t>J</w:t>
      </w:r>
      <w:r>
        <w:rPr>
          <w:lang w:val="fr-CA"/>
        </w:rPr>
        <w:t>e suppose que le mémoire de l’AER est exact quand il fait état de l’existence et du montant de ce prêt (des faits qui n’ont pas été contestés par une autre partie).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3A6C"/>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B32FDE"/>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A835DC"/>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942B11"/>
    <w:multiLevelType w:val="hybridMultilevel"/>
    <w:tmpl w:val="96BAE3E8"/>
    <w:lvl w:ilvl="0" w:tplc="6D7E19E4">
      <w:start w:val="2"/>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1BE43232"/>
    <w:multiLevelType w:val="hybridMultilevel"/>
    <w:tmpl w:val="E3864BC6"/>
    <w:lvl w:ilvl="0" w:tplc="36B04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FF235E6"/>
    <w:multiLevelType w:val="hybridMultilevel"/>
    <w:tmpl w:val="CB809938"/>
    <w:lvl w:ilvl="0" w:tplc="36747F30">
      <w:start w:val="1"/>
      <w:numFmt w:val="decimal"/>
      <w:lvlText w:val="(%1)"/>
      <w:lvlJc w:val="left"/>
      <w:pPr>
        <w:ind w:left="1152"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C22B3"/>
    <w:multiLevelType w:val="multilevel"/>
    <w:tmpl w:val="B334821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411058"/>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03130A"/>
    <w:multiLevelType w:val="multilevel"/>
    <w:tmpl w:val="B3266970"/>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center"/>
      <w:pPr>
        <w:tabs>
          <w:tab w:val="num" w:pos="1152"/>
        </w:tabs>
        <w:ind w:left="1152" w:hanging="576"/>
      </w:pPr>
      <w:rPr>
        <w:rFonts w:ascii="Times New Roman" w:hAnsi="Times New Roman" w:hint="default"/>
        <w:b w:val="0"/>
        <w:i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2880"/>
        </w:tabs>
        <w:ind w:left="2880" w:hanging="576"/>
      </w:pPr>
      <w:rPr>
        <w:rFonts w:hint="default"/>
      </w:rPr>
    </w:lvl>
    <w:lvl w:ilvl="5">
      <w:start w:val="1"/>
      <w:numFmt w:val="decimal"/>
      <w:pStyle w:val="Title6LevelTitre6Niveau"/>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6D08361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tabs>
          <w:tab w:val="num" w:pos="1512"/>
        </w:tabs>
        <w:ind w:left="1152" w:hanging="576"/>
      </w:pPr>
      <w:rPr>
        <w:rFonts w:hint="default"/>
        <w:i w:val="0"/>
      </w:rPr>
    </w:lvl>
    <w:lvl w:ilvl="2">
      <w:start w:val="1"/>
      <w:numFmt w:val="lowerRoman"/>
      <w:lvlText w:val="%3)"/>
      <w:lvlJc w:val="left"/>
      <w:pPr>
        <w:tabs>
          <w:tab w:val="num" w:pos="1872"/>
        </w:tabs>
        <w:ind w:left="720" w:firstLine="0"/>
      </w:pPr>
      <w:rPr>
        <w:rFonts w:hint="default"/>
      </w:rPr>
    </w:lvl>
    <w:lvl w:ilvl="3">
      <w:start w:val="1"/>
      <w:numFmt w:val="lowerLetter"/>
      <w:suff w:val="space"/>
      <w:lvlText w:val="%4)"/>
      <w:lvlJc w:val="left"/>
      <w:pPr>
        <w:ind w:left="1152" w:hanging="576"/>
      </w:pPr>
      <w:rPr>
        <w:rFonts w:hint="default"/>
        <w:i w:val="0"/>
      </w:rPr>
    </w:lvl>
    <w:lvl w:ilvl="4">
      <w:start w:val="1"/>
      <w:numFmt w:val="decimal"/>
      <w:lvlText w:val="(%5)"/>
      <w:lvlJc w:val="left"/>
      <w:pPr>
        <w:tabs>
          <w:tab w:val="num" w:pos="2592"/>
        </w:tabs>
        <w:ind w:left="1152" w:hanging="576"/>
      </w:pPr>
      <w:rPr>
        <w:rFonts w:hint="default"/>
        <w:i w:val="0"/>
      </w:rPr>
    </w:lvl>
    <w:lvl w:ilvl="5">
      <w:start w:val="1"/>
      <w:numFmt w:val="lowerRoman"/>
      <w:lvlText w:val="(%6)"/>
      <w:lvlJc w:val="left"/>
      <w:pPr>
        <w:tabs>
          <w:tab w:val="num" w:pos="2952"/>
        </w:tabs>
        <w:ind w:left="1800" w:firstLine="0"/>
      </w:pPr>
      <w:rPr>
        <w:rFonts w:hint="default"/>
      </w:rPr>
    </w:lvl>
    <w:lvl w:ilvl="6">
      <w:start w:val="2"/>
      <w:numFmt w:val="decimal"/>
      <w:lvlText w:val="(%7)"/>
      <w:lvlJc w:val="left"/>
      <w:pPr>
        <w:tabs>
          <w:tab w:val="num" w:pos="3312"/>
        </w:tabs>
        <w:ind w:left="1152" w:hanging="576"/>
      </w:pPr>
      <w:rPr>
        <w:rFonts w:hint="default"/>
      </w:rPr>
    </w:lvl>
    <w:lvl w:ilvl="7">
      <w:start w:val="1"/>
      <w:numFmt w:val="lowerLetter"/>
      <w:lvlText w:val="%8."/>
      <w:lvlJc w:val="left"/>
      <w:pPr>
        <w:tabs>
          <w:tab w:val="num" w:pos="3672"/>
        </w:tabs>
        <w:ind w:left="2520" w:firstLine="0"/>
      </w:pPr>
      <w:rPr>
        <w:rFonts w:hint="default"/>
      </w:rPr>
    </w:lvl>
    <w:lvl w:ilvl="8">
      <w:start w:val="1"/>
      <w:numFmt w:val="lowerRoman"/>
      <w:lvlText w:val="%9."/>
      <w:lvlJc w:val="left"/>
      <w:pPr>
        <w:tabs>
          <w:tab w:val="num" w:pos="4032"/>
        </w:tabs>
        <w:ind w:left="2880" w:firstLine="0"/>
      </w:pPr>
      <w:rPr>
        <w:rFonts w:hint="default"/>
      </w:rPr>
    </w:lvl>
  </w:abstractNum>
  <w:abstractNum w:abstractNumId="26" w15:restartNumberingAfterBreak="0">
    <w:nsid w:val="59B23D41"/>
    <w:multiLevelType w:val="hybridMultilevel"/>
    <w:tmpl w:val="0316D146"/>
    <w:lvl w:ilvl="0" w:tplc="8A7C2934">
      <w:start w:val="1"/>
      <w:numFmt w:val="decimal"/>
      <w:lvlText w:val="(%1)"/>
      <w:lvlJc w:val="left"/>
      <w:pPr>
        <w:ind w:left="546" w:hanging="576"/>
      </w:pPr>
      <w:rPr>
        <w:rFonts w:hint="default"/>
      </w:rPr>
    </w:lvl>
    <w:lvl w:ilvl="1" w:tplc="04090019" w:tentative="1">
      <w:start w:val="1"/>
      <w:numFmt w:val="lowerLetter"/>
      <w:lvlText w:val="%2."/>
      <w:lvlJc w:val="left"/>
      <w:pPr>
        <w:ind w:left="834" w:hanging="360"/>
      </w:pPr>
    </w:lvl>
    <w:lvl w:ilvl="2" w:tplc="0409001B" w:tentative="1">
      <w:start w:val="1"/>
      <w:numFmt w:val="lowerRoman"/>
      <w:lvlText w:val="%3."/>
      <w:lvlJc w:val="right"/>
      <w:pPr>
        <w:ind w:left="1554" w:hanging="180"/>
      </w:pPr>
    </w:lvl>
    <w:lvl w:ilvl="3" w:tplc="0409000F" w:tentative="1">
      <w:start w:val="1"/>
      <w:numFmt w:val="decimal"/>
      <w:lvlText w:val="%4."/>
      <w:lvlJc w:val="left"/>
      <w:pPr>
        <w:ind w:left="2274" w:hanging="360"/>
      </w:pPr>
    </w:lvl>
    <w:lvl w:ilvl="4" w:tplc="04090019" w:tentative="1">
      <w:start w:val="1"/>
      <w:numFmt w:val="lowerLetter"/>
      <w:lvlText w:val="%5."/>
      <w:lvlJc w:val="left"/>
      <w:pPr>
        <w:ind w:left="2994" w:hanging="360"/>
      </w:pPr>
    </w:lvl>
    <w:lvl w:ilvl="5" w:tplc="0409001B" w:tentative="1">
      <w:start w:val="1"/>
      <w:numFmt w:val="lowerRoman"/>
      <w:lvlText w:val="%6."/>
      <w:lvlJc w:val="right"/>
      <w:pPr>
        <w:ind w:left="3714" w:hanging="180"/>
      </w:pPr>
    </w:lvl>
    <w:lvl w:ilvl="6" w:tplc="0409000F" w:tentative="1">
      <w:start w:val="1"/>
      <w:numFmt w:val="decimal"/>
      <w:lvlText w:val="%7."/>
      <w:lvlJc w:val="left"/>
      <w:pPr>
        <w:ind w:left="4434" w:hanging="360"/>
      </w:pPr>
    </w:lvl>
    <w:lvl w:ilvl="7" w:tplc="04090019" w:tentative="1">
      <w:start w:val="1"/>
      <w:numFmt w:val="lowerLetter"/>
      <w:lvlText w:val="%8."/>
      <w:lvlJc w:val="left"/>
      <w:pPr>
        <w:ind w:left="5154" w:hanging="360"/>
      </w:pPr>
    </w:lvl>
    <w:lvl w:ilvl="8" w:tplc="0409001B" w:tentative="1">
      <w:start w:val="1"/>
      <w:numFmt w:val="lowerRoman"/>
      <w:lvlText w:val="%9."/>
      <w:lvlJc w:val="right"/>
      <w:pPr>
        <w:ind w:left="5874" w:hanging="180"/>
      </w:p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683F9B"/>
    <w:multiLevelType w:val="hybridMultilevel"/>
    <w:tmpl w:val="47E693A0"/>
    <w:lvl w:ilvl="0" w:tplc="C2F6E04C">
      <w:start w:val="1"/>
      <w:numFmt w:val="lowerLetter"/>
      <w:lvlText w:val="%1)"/>
      <w:lvlJc w:val="left"/>
      <w:pPr>
        <w:tabs>
          <w:tab w:val="num" w:pos="1152"/>
        </w:tabs>
        <w:ind w:left="1152" w:hanging="576"/>
      </w:pPr>
      <w:rPr>
        <w:rFonts w:hint="default"/>
        <w:i w:val="0"/>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5"/>
  </w:num>
  <w:num w:numId="2">
    <w:abstractNumId w:val="27"/>
  </w:num>
  <w:num w:numId="3">
    <w:abstractNumId w:val="16"/>
  </w:num>
  <w:num w:numId="4">
    <w:abstractNumId w:val="13"/>
  </w:num>
  <w:num w:numId="5">
    <w:abstractNumId w:val="23"/>
  </w:num>
  <w:num w:numId="6">
    <w:abstractNumId w:val="24"/>
  </w:num>
  <w:num w:numId="7">
    <w:abstractNumId w:val="21"/>
  </w:num>
  <w:num w:numId="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3"/>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2">
    <w:abstractNumId w:val="25"/>
  </w:num>
  <w:num w:numId="13">
    <w:abstractNumId w:val="1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1"/>
  </w:num>
  <w:num w:numId="19">
    <w:abstractNumId w:val="12"/>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2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5"/>
  </w:num>
  <w:num w:numId="36">
    <w:abstractNumId w:val="26"/>
  </w:num>
  <w:num w:numId="37">
    <w:abstractNumId w:val="25"/>
    <w:lvlOverride w:ilvl="0">
      <w:lvl w:ilvl="0">
        <w:start w:val="56"/>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2"/>
        <w:numFmt w:val="decimal"/>
        <w:lvlText w:val="(%7)"/>
        <w:lvlJc w:val="left"/>
        <w:pPr>
          <w:ind w:left="1152" w:hanging="57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9">
    <w:abstractNumId w:val="25"/>
    <w:lvlOverride w:ilvl="0">
      <w:startOverride w:val="108"/>
      <w:lvl w:ilvl="0">
        <w:start w:val="108"/>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1152" w:hanging="576"/>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21"/>
    <w:lvlOverride w:ilvl="0">
      <w:startOverride w:val="2"/>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13"/>
    </w:lvlOverride>
    <w:lvlOverride w:ilvl="1">
      <w:startOverride w:val="1"/>
    </w:lvlOverride>
    <w:lvlOverride w:ilvl="2">
      <w:startOverride w:val="1"/>
    </w:lvlOverride>
    <w:lvlOverride w:ilvl="3">
      <w:startOverride w:val="3"/>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42">
    <w:abstractNumId w:val="2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3">
    <w:abstractNumId w:val="2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4">
    <w:abstractNumId w:val="25"/>
    <w:lvlOverride w:ilvl="0">
      <w:startOverride w:val="11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45">
    <w:abstractNumId w:val="17"/>
  </w:num>
  <w:num w:numId="46">
    <w:abstractNumId w:val="21"/>
    <w:lvlOverride w:ilvl="0">
      <w:startOverride w:val="3"/>
      <w:lvl w:ilvl="0">
        <w:start w:val="3"/>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2A63"/>
    <w:rsid w:val="00042104"/>
    <w:rsid w:val="00043E34"/>
    <w:rsid w:val="000473C0"/>
    <w:rsid w:val="000554F4"/>
    <w:rsid w:val="000578A3"/>
    <w:rsid w:val="000624A5"/>
    <w:rsid w:val="00063424"/>
    <w:rsid w:val="000648CC"/>
    <w:rsid w:val="00065867"/>
    <w:rsid w:val="00066D9D"/>
    <w:rsid w:val="00067922"/>
    <w:rsid w:val="00073A9A"/>
    <w:rsid w:val="00084AE6"/>
    <w:rsid w:val="00085571"/>
    <w:rsid w:val="0009346F"/>
    <w:rsid w:val="00095339"/>
    <w:rsid w:val="000A0E06"/>
    <w:rsid w:val="000A138B"/>
    <w:rsid w:val="000A3390"/>
    <w:rsid w:val="000A41A2"/>
    <w:rsid w:val="000A4D25"/>
    <w:rsid w:val="000B20D0"/>
    <w:rsid w:val="000B6A0C"/>
    <w:rsid w:val="000B6D93"/>
    <w:rsid w:val="000C59B8"/>
    <w:rsid w:val="000C6AF0"/>
    <w:rsid w:val="000D0A77"/>
    <w:rsid w:val="000D27F3"/>
    <w:rsid w:val="000D6B3A"/>
    <w:rsid w:val="000F729F"/>
    <w:rsid w:val="000F7993"/>
    <w:rsid w:val="00100639"/>
    <w:rsid w:val="00102ACF"/>
    <w:rsid w:val="00104B8A"/>
    <w:rsid w:val="00104F33"/>
    <w:rsid w:val="00111DE2"/>
    <w:rsid w:val="00116B38"/>
    <w:rsid w:val="00116BF1"/>
    <w:rsid w:val="001323EE"/>
    <w:rsid w:val="00133DB7"/>
    <w:rsid w:val="00135406"/>
    <w:rsid w:val="00135972"/>
    <w:rsid w:val="00135C75"/>
    <w:rsid w:val="0014024F"/>
    <w:rsid w:val="00140FB7"/>
    <w:rsid w:val="00141C8A"/>
    <w:rsid w:val="001426A9"/>
    <w:rsid w:val="001428A0"/>
    <w:rsid w:val="00145386"/>
    <w:rsid w:val="00154D7C"/>
    <w:rsid w:val="001570B0"/>
    <w:rsid w:val="0015752C"/>
    <w:rsid w:val="00157737"/>
    <w:rsid w:val="0016230A"/>
    <w:rsid w:val="00165277"/>
    <w:rsid w:val="0016632C"/>
    <w:rsid w:val="00170592"/>
    <w:rsid w:val="00170881"/>
    <w:rsid w:val="00171C4A"/>
    <w:rsid w:val="001720F7"/>
    <w:rsid w:val="00173272"/>
    <w:rsid w:val="001847A5"/>
    <w:rsid w:val="001874D0"/>
    <w:rsid w:val="001935B0"/>
    <w:rsid w:val="00194528"/>
    <w:rsid w:val="00195D83"/>
    <w:rsid w:val="00197871"/>
    <w:rsid w:val="001A00C1"/>
    <w:rsid w:val="001A0C07"/>
    <w:rsid w:val="001A56B6"/>
    <w:rsid w:val="001A7828"/>
    <w:rsid w:val="001B0F9A"/>
    <w:rsid w:val="001B33E0"/>
    <w:rsid w:val="001B4573"/>
    <w:rsid w:val="001B6EE6"/>
    <w:rsid w:val="001C779F"/>
    <w:rsid w:val="001D2AC1"/>
    <w:rsid w:val="001D4E88"/>
    <w:rsid w:val="001E4628"/>
    <w:rsid w:val="001F0FE7"/>
    <w:rsid w:val="00202F58"/>
    <w:rsid w:val="00204120"/>
    <w:rsid w:val="00205C29"/>
    <w:rsid w:val="002162C6"/>
    <w:rsid w:val="00216A75"/>
    <w:rsid w:val="00220FC2"/>
    <w:rsid w:val="002222F4"/>
    <w:rsid w:val="00224F3A"/>
    <w:rsid w:val="00224FC0"/>
    <w:rsid w:val="00225EA4"/>
    <w:rsid w:val="00226EAF"/>
    <w:rsid w:val="00227954"/>
    <w:rsid w:val="00231F3A"/>
    <w:rsid w:val="002406EE"/>
    <w:rsid w:val="00243EC8"/>
    <w:rsid w:val="0025040F"/>
    <w:rsid w:val="00250527"/>
    <w:rsid w:val="00250AFE"/>
    <w:rsid w:val="0026050D"/>
    <w:rsid w:val="0026437A"/>
    <w:rsid w:val="00265CC8"/>
    <w:rsid w:val="00270D93"/>
    <w:rsid w:val="002745CC"/>
    <w:rsid w:val="002776F0"/>
    <w:rsid w:val="00277B0C"/>
    <w:rsid w:val="00281049"/>
    <w:rsid w:val="002814EB"/>
    <w:rsid w:val="002942C9"/>
    <w:rsid w:val="002B6FBE"/>
    <w:rsid w:val="002B7924"/>
    <w:rsid w:val="002C0710"/>
    <w:rsid w:val="002C10A6"/>
    <w:rsid w:val="002C74B6"/>
    <w:rsid w:val="002D05C0"/>
    <w:rsid w:val="002D20E7"/>
    <w:rsid w:val="002D2429"/>
    <w:rsid w:val="002D28C3"/>
    <w:rsid w:val="002D39A4"/>
    <w:rsid w:val="002D4BD3"/>
    <w:rsid w:val="002E0A8A"/>
    <w:rsid w:val="002E272C"/>
    <w:rsid w:val="002E6705"/>
    <w:rsid w:val="002F7742"/>
    <w:rsid w:val="0030329A"/>
    <w:rsid w:val="00305460"/>
    <w:rsid w:val="00306F3D"/>
    <w:rsid w:val="0031086F"/>
    <w:rsid w:val="0031414C"/>
    <w:rsid w:val="00314E01"/>
    <w:rsid w:val="0032089D"/>
    <w:rsid w:val="00327029"/>
    <w:rsid w:val="003310DE"/>
    <w:rsid w:val="003323B0"/>
    <w:rsid w:val="003329FE"/>
    <w:rsid w:val="003402F5"/>
    <w:rsid w:val="00340A49"/>
    <w:rsid w:val="0035169A"/>
    <w:rsid w:val="0035259D"/>
    <w:rsid w:val="00364B18"/>
    <w:rsid w:val="00365C6B"/>
    <w:rsid w:val="00370913"/>
    <w:rsid w:val="00380BFE"/>
    <w:rsid w:val="0038139F"/>
    <w:rsid w:val="00385148"/>
    <w:rsid w:val="00395BC3"/>
    <w:rsid w:val="003A0D3D"/>
    <w:rsid w:val="003A125D"/>
    <w:rsid w:val="003A4C70"/>
    <w:rsid w:val="003B215F"/>
    <w:rsid w:val="003C0727"/>
    <w:rsid w:val="003C4388"/>
    <w:rsid w:val="003C5AE2"/>
    <w:rsid w:val="003C799C"/>
    <w:rsid w:val="003D0399"/>
    <w:rsid w:val="003D3A84"/>
    <w:rsid w:val="003E131F"/>
    <w:rsid w:val="003E1C71"/>
    <w:rsid w:val="003E381F"/>
    <w:rsid w:val="003E4E79"/>
    <w:rsid w:val="003F327B"/>
    <w:rsid w:val="00404208"/>
    <w:rsid w:val="00406166"/>
    <w:rsid w:val="0040704B"/>
    <w:rsid w:val="00410A55"/>
    <w:rsid w:val="00411300"/>
    <w:rsid w:val="00413F17"/>
    <w:rsid w:val="00415417"/>
    <w:rsid w:val="004168F8"/>
    <w:rsid w:val="00421A79"/>
    <w:rsid w:val="00422DD4"/>
    <w:rsid w:val="004260F2"/>
    <w:rsid w:val="00426659"/>
    <w:rsid w:val="0043188D"/>
    <w:rsid w:val="00450352"/>
    <w:rsid w:val="00450C6D"/>
    <w:rsid w:val="00454BDB"/>
    <w:rsid w:val="00456E19"/>
    <w:rsid w:val="00460688"/>
    <w:rsid w:val="00461513"/>
    <w:rsid w:val="00465132"/>
    <w:rsid w:val="004707DC"/>
    <w:rsid w:val="00471564"/>
    <w:rsid w:val="00475DA0"/>
    <w:rsid w:val="00480C90"/>
    <w:rsid w:val="0048396F"/>
    <w:rsid w:val="00493C18"/>
    <w:rsid w:val="00497831"/>
    <w:rsid w:val="004A600C"/>
    <w:rsid w:val="004A6118"/>
    <w:rsid w:val="004B0D1D"/>
    <w:rsid w:val="004B5B15"/>
    <w:rsid w:val="004B6533"/>
    <w:rsid w:val="004C478D"/>
    <w:rsid w:val="004D08D0"/>
    <w:rsid w:val="004D2DE3"/>
    <w:rsid w:val="004D7D95"/>
    <w:rsid w:val="004E0F63"/>
    <w:rsid w:val="004E2C26"/>
    <w:rsid w:val="004F4623"/>
    <w:rsid w:val="005102D5"/>
    <w:rsid w:val="00510364"/>
    <w:rsid w:val="005125A8"/>
    <w:rsid w:val="0051710C"/>
    <w:rsid w:val="00517549"/>
    <w:rsid w:val="00520ABC"/>
    <w:rsid w:val="00521AE8"/>
    <w:rsid w:val="00527180"/>
    <w:rsid w:val="0053192F"/>
    <w:rsid w:val="00532235"/>
    <w:rsid w:val="00534190"/>
    <w:rsid w:val="00535BC7"/>
    <w:rsid w:val="00537FA2"/>
    <w:rsid w:val="0055281A"/>
    <w:rsid w:val="00552B2C"/>
    <w:rsid w:val="00554EDC"/>
    <w:rsid w:val="00555291"/>
    <w:rsid w:val="00562B6A"/>
    <w:rsid w:val="00563568"/>
    <w:rsid w:val="00563DBA"/>
    <w:rsid w:val="00563E13"/>
    <w:rsid w:val="005646ED"/>
    <w:rsid w:val="00566AD1"/>
    <w:rsid w:val="00567C44"/>
    <w:rsid w:val="00576FBD"/>
    <w:rsid w:val="00577CCD"/>
    <w:rsid w:val="00580C9A"/>
    <w:rsid w:val="00583EDE"/>
    <w:rsid w:val="00586ABE"/>
    <w:rsid w:val="0059011A"/>
    <w:rsid w:val="00594C48"/>
    <w:rsid w:val="005A5CC6"/>
    <w:rsid w:val="005A6079"/>
    <w:rsid w:val="005C0EC1"/>
    <w:rsid w:val="005C7F4C"/>
    <w:rsid w:val="005D5D68"/>
    <w:rsid w:val="005D5FD2"/>
    <w:rsid w:val="005E446B"/>
    <w:rsid w:val="005E4698"/>
    <w:rsid w:val="005F283F"/>
    <w:rsid w:val="005F388A"/>
    <w:rsid w:val="005F4E25"/>
    <w:rsid w:val="005F72D7"/>
    <w:rsid w:val="00603924"/>
    <w:rsid w:val="006052D6"/>
    <w:rsid w:val="0061028A"/>
    <w:rsid w:val="00610539"/>
    <w:rsid w:val="00611A89"/>
    <w:rsid w:val="00613969"/>
    <w:rsid w:val="00622382"/>
    <w:rsid w:val="00625C35"/>
    <w:rsid w:val="00631ED7"/>
    <w:rsid w:val="00636183"/>
    <w:rsid w:val="006434C5"/>
    <w:rsid w:val="00647E49"/>
    <w:rsid w:val="00652B29"/>
    <w:rsid w:val="00654116"/>
    <w:rsid w:val="00656313"/>
    <w:rsid w:val="006565F4"/>
    <w:rsid w:val="00656E50"/>
    <w:rsid w:val="00684E84"/>
    <w:rsid w:val="00684EEA"/>
    <w:rsid w:val="00694DC6"/>
    <w:rsid w:val="0069689B"/>
    <w:rsid w:val="006A4F38"/>
    <w:rsid w:val="006B32F0"/>
    <w:rsid w:val="006B3749"/>
    <w:rsid w:val="006B5FF5"/>
    <w:rsid w:val="006B679F"/>
    <w:rsid w:val="006C2C72"/>
    <w:rsid w:val="006C33A7"/>
    <w:rsid w:val="006C4DDD"/>
    <w:rsid w:val="006F30AF"/>
    <w:rsid w:val="00701759"/>
    <w:rsid w:val="007041C3"/>
    <w:rsid w:val="00705C15"/>
    <w:rsid w:val="007110F6"/>
    <w:rsid w:val="007208D1"/>
    <w:rsid w:val="00726ECA"/>
    <w:rsid w:val="00734D59"/>
    <w:rsid w:val="007359C1"/>
    <w:rsid w:val="00736878"/>
    <w:rsid w:val="00744518"/>
    <w:rsid w:val="00747288"/>
    <w:rsid w:val="00747322"/>
    <w:rsid w:val="00747DD3"/>
    <w:rsid w:val="007549C8"/>
    <w:rsid w:val="00762C62"/>
    <w:rsid w:val="00766064"/>
    <w:rsid w:val="00766D14"/>
    <w:rsid w:val="00767A0F"/>
    <w:rsid w:val="00781EA7"/>
    <w:rsid w:val="00783B1D"/>
    <w:rsid w:val="00783CA2"/>
    <w:rsid w:val="007872F1"/>
    <w:rsid w:val="00791272"/>
    <w:rsid w:val="00797C80"/>
    <w:rsid w:val="007A05F6"/>
    <w:rsid w:val="007A2632"/>
    <w:rsid w:val="007A584A"/>
    <w:rsid w:val="007B3EA8"/>
    <w:rsid w:val="007B5C68"/>
    <w:rsid w:val="007B6F4A"/>
    <w:rsid w:val="007C0F2F"/>
    <w:rsid w:val="007C5DF1"/>
    <w:rsid w:val="007C69D5"/>
    <w:rsid w:val="007D1E76"/>
    <w:rsid w:val="007E1C47"/>
    <w:rsid w:val="007E23B6"/>
    <w:rsid w:val="007E337A"/>
    <w:rsid w:val="007E5C70"/>
    <w:rsid w:val="007E76EE"/>
    <w:rsid w:val="007F26DB"/>
    <w:rsid w:val="007F2FF5"/>
    <w:rsid w:val="007F3F08"/>
    <w:rsid w:val="007F61E8"/>
    <w:rsid w:val="00804CC6"/>
    <w:rsid w:val="00805520"/>
    <w:rsid w:val="0081433E"/>
    <w:rsid w:val="00815271"/>
    <w:rsid w:val="00815B61"/>
    <w:rsid w:val="008167FE"/>
    <w:rsid w:val="00817190"/>
    <w:rsid w:val="0082033C"/>
    <w:rsid w:val="008260E2"/>
    <w:rsid w:val="0082646F"/>
    <w:rsid w:val="008322BD"/>
    <w:rsid w:val="00834BFC"/>
    <w:rsid w:val="00834F73"/>
    <w:rsid w:val="008446E5"/>
    <w:rsid w:val="0085155E"/>
    <w:rsid w:val="0085285B"/>
    <w:rsid w:val="00856AB6"/>
    <w:rsid w:val="00857F46"/>
    <w:rsid w:val="00864425"/>
    <w:rsid w:val="00864C8A"/>
    <w:rsid w:val="00864CF8"/>
    <w:rsid w:val="00867393"/>
    <w:rsid w:val="00874914"/>
    <w:rsid w:val="00877B1F"/>
    <w:rsid w:val="00877FF6"/>
    <w:rsid w:val="00881AD1"/>
    <w:rsid w:val="008845A6"/>
    <w:rsid w:val="00891422"/>
    <w:rsid w:val="00892E1A"/>
    <w:rsid w:val="00894934"/>
    <w:rsid w:val="00897083"/>
    <w:rsid w:val="008A70F1"/>
    <w:rsid w:val="008B00D1"/>
    <w:rsid w:val="008B660A"/>
    <w:rsid w:val="008C01DA"/>
    <w:rsid w:val="008D367D"/>
    <w:rsid w:val="008E21B4"/>
    <w:rsid w:val="008F2674"/>
    <w:rsid w:val="008F6BC1"/>
    <w:rsid w:val="008F78E9"/>
    <w:rsid w:val="008F7A71"/>
    <w:rsid w:val="00905C2B"/>
    <w:rsid w:val="00907D74"/>
    <w:rsid w:val="009130DE"/>
    <w:rsid w:val="009179F9"/>
    <w:rsid w:val="00917C7A"/>
    <w:rsid w:val="009205B6"/>
    <w:rsid w:val="009301F2"/>
    <w:rsid w:val="0093185F"/>
    <w:rsid w:val="00933E5E"/>
    <w:rsid w:val="00935218"/>
    <w:rsid w:val="00937C52"/>
    <w:rsid w:val="009403F3"/>
    <w:rsid w:val="009418EF"/>
    <w:rsid w:val="00950720"/>
    <w:rsid w:val="009539F9"/>
    <w:rsid w:val="009548DF"/>
    <w:rsid w:val="009555B7"/>
    <w:rsid w:val="009567AA"/>
    <w:rsid w:val="009602C9"/>
    <w:rsid w:val="009612EE"/>
    <w:rsid w:val="00967374"/>
    <w:rsid w:val="009735D8"/>
    <w:rsid w:val="00975C5E"/>
    <w:rsid w:val="0098429D"/>
    <w:rsid w:val="009909A6"/>
    <w:rsid w:val="00990B83"/>
    <w:rsid w:val="00992DA7"/>
    <w:rsid w:val="0099326E"/>
    <w:rsid w:val="009A00C8"/>
    <w:rsid w:val="009A1334"/>
    <w:rsid w:val="009A343A"/>
    <w:rsid w:val="009B0384"/>
    <w:rsid w:val="009B2F23"/>
    <w:rsid w:val="009B57B3"/>
    <w:rsid w:val="009C1AE2"/>
    <w:rsid w:val="009C36B3"/>
    <w:rsid w:val="009C5633"/>
    <w:rsid w:val="009D2920"/>
    <w:rsid w:val="009D5AEB"/>
    <w:rsid w:val="009D7B70"/>
    <w:rsid w:val="009F09EF"/>
    <w:rsid w:val="009F0E33"/>
    <w:rsid w:val="009F3519"/>
    <w:rsid w:val="009F6A33"/>
    <w:rsid w:val="00A02AFB"/>
    <w:rsid w:val="00A048C6"/>
    <w:rsid w:val="00A11FC1"/>
    <w:rsid w:val="00A12100"/>
    <w:rsid w:val="00A149DF"/>
    <w:rsid w:val="00A1755C"/>
    <w:rsid w:val="00A17F2C"/>
    <w:rsid w:val="00A21B90"/>
    <w:rsid w:val="00A22AAC"/>
    <w:rsid w:val="00A23A18"/>
    <w:rsid w:val="00A23B40"/>
    <w:rsid w:val="00A242AD"/>
    <w:rsid w:val="00A26A6A"/>
    <w:rsid w:val="00A3033A"/>
    <w:rsid w:val="00A33805"/>
    <w:rsid w:val="00A34E32"/>
    <w:rsid w:val="00A41805"/>
    <w:rsid w:val="00A43503"/>
    <w:rsid w:val="00A46C92"/>
    <w:rsid w:val="00A51882"/>
    <w:rsid w:val="00A52AFB"/>
    <w:rsid w:val="00A548CB"/>
    <w:rsid w:val="00A5521C"/>
    <w:rsid w:val="00A55BB1"/>
    <w:rsid w:val="00A57B8B"/>
    <w:rsid w:val="00A61B5B"/>
    <w:rsid w:val="00A63534"/>
    <w:rsid w:val="00A63851"/>
    <w:rsid w:val="00A643E7"/>
    <w:rsid w:val="00A711A5"/>
    <w:rsid w:val="00A73AA6"/>
    <w:rsid w:val="00A73C38"/>
    <w:rsid w:val="00A90246"/>
    <w:rsid w:val="00A921A7"/>
    <w:rsid w:val="00A9329D"/>
    <w:rsid w:val="00A96AFF"/>
    <w:rsid w:val="00AA0F19"/>
    <w:rsid w:val="00AA7FE2"/>
    <w:rsid w:val="00AB670D"/>
    <w:rsid w:val="00AB7B4C"/>
    <w:rsid w:val="00AC0134"/>
    <w:rsid w:val="00AC5AEB"/>
    <w:rsid w:val="00AC7CB4"/>
    <w:rsid w:val="00AD081D"/>
    <w:rsid w:val="00AD235C"/>
    <w:rsid w:val="00AD29B8"/>
    <w:rsid w:val="00AE74DA"/>
    <w:rsid w:val="00AF03C5"/>
    <w:rsid w:val="00AF6846"/>
    <w:rsid w:val="00AF6B66"/>
    <w:rsid w:val="00B000D8"/>
    <w:rsid w:val="00B00F75"/>
    <w:rsid w:val="00B04434"/>
    <w:rsid w:val="00B0733C"/>
    <w:rsid w:val="00B145B6"/>
    <w:rsid w:val="00B14970"/>
    <w:rsid w:val="00B15ADE"/>
    <w:rsid w:val="00B17919"/>
    <w:rsid w:val="00B279EB"/>
    <w:rsid w:val="00B50C81"/>
    <w:rsid w:val="00B557F8"/>
    <w:rsid w:val="00B639E9"/>
    <w:rsid w:val="00B66A09"/>
    <w:rsid w:val="00B815FC"/>
    <w:rsid w:val="00B8548C"/>
    <w:rsid w:val="00B909A1"/>
    <w:rsid w:val="00B93FBC"/>
    <w:rsid w:val="00B96446"/>
    <w:rsid w:val="00BA003A"/>
    <w:rsid w:val="00BA63F5"/>
    <w:rsid w:val="00BA7DA0"/>
    <w:rsid w:val="00BB2EE4"/>
    <w:rsid w:val="00BB4C92"/>
    <w:rsid w:val="00BC1EEA"/>
    <w:rsid w:val="00BC2108"/>
    <w:rsid w:val="00BD0103"/>
    <w:rsid w:val="00BD0E9E"/>
    <w:rsid w:val="00BD1949"/>
    <w:rsid w:val="00BD198B"/>
    <w:rsid w:val="00BD1BEC"/>
    <w:rsid w:val="00BD32FF"/>
    <w:rsid w:val="00BD5FC3"/>
    <w:rsid w:val="00BE3BA8"/>
    <w:rsid w:val="00BE7736"/>
    <w:rsid w:val="00BF0A47"/>
    <w:rsid w:val="00BF6FE9"/>
    <w:rsid w:val="00C02092"/>
    <w:rsid w:val="00C0382A"/>
    <w:rsid w:val="00C0554C"/>
    <w:rsid w:val="00C06216"/>
    <w:rsid w:val="00C14544"/>
    <w:rsid w:val="00C24D91"/>
    <w:rsid w:val="00C26DB2"/>
    <w:rsid w:val="00C30958"/>
    <w:rsid w:val="00C33283"/>
    <w:rsid w:val="00C33A26"/>
    <w:rsid w:val="00C3623F"/>
    <w:rsid w:val="00C53F14"/>
    <w:rsid w:val="00C56987"/>
    <w:rsid w:val="00C600CF"/>
    <w:rsid w:val="00C6084F"/>
    <w:rsid w:val="00C62A66"/>
    <w:rsid w:val="00C66359"/>
    <w:rsid w:val="00C71458"/>
    <w:rsid w:val="00C75791"/>
    <w:rsid w:val="00C77613"/>
    <w:rsid w:val="00C828E7"/>
    <w:rsid w:val="00C86719"/>
    <w:rsid w:val="00C921DD"/>
    <w:rsid w:val="00C942C7"/>
    <w:rsid w:val="00CA585A"/>
    <w:rsid w:val="00CA6391"/>
    <w:rsid w:val="00CB01F5"/>
    <w:rsid w:val="00CB3646"/>
    <w:rsid w:val="00CB38FF"/>
    <w:rsid w:val="00CB7250"/>
    <w:rsid w:val="00CD3F47"/>
    <w:rsid w:val="00CD71FC"/>
    <w:rsid w:val="00CE036E"/>
    <w:rsid w:val="00CE3171"/>
    <w:rsid w:val="00CE4E8F"/>
    <w:rsid w:val="00CE68EC"/>
    <w:rsid w:val="00CF1601"/>
    <w:rsid w:val="00CF2DA9"/>
    <w:rsid w:val="00CF6584"/>
    <w:rsid w:val="00D0163A"/>
    <w:rsid w:val="00D0172F"/>
    <w:rsid w:val="00D01E33"/>
    <w:rsid w:val="00D0230D"/>
    <w:rsid w:val="00D068A7"/>
    <w:rsid w:val="00D17476"/>
    <w:rsid w:val="00D17B0E"/>
    <w:rsid w:val="00D233AC"/>
    <w:rsid w:val="00D24FA7"/>
    <w:rsid w:val="00D32086"/>
    <w:rsid w:val="00D3383F"/>
    <w:rsid w:val="00D37A3F"/>
    <w:rsid w:val="00D41A77"/>
    <w:rsid w:val="00D4431D"/>
    <w:rsid w:val="00D464BA"/>
    <w:rsid w:val="00D4667A"/>
    <w:rsid w:val="00D55511"/>
    <w:rsid w:val="00D6225E"/>
    <w:rsid w:val="00D63A1C"/>
    <w:rsid w:val="00D7516F"/>
    <w:rsid w:val="00D84357"/>
    <w:rsid w:val="00D95F8E"/>
    <w:rsid w:val="00D97E77"/>
    <w:rsid w:val="00DA0590"/>
    <w:rsid w:val="00DA48B6"/>
    <w:rsid w:val="00DC1739"/>
    <w:rsid w:val="00DC1788"/>
    <w:rsid w:val="00DC3F54"/>
    <w:rsid w:val="00DC6046"/>
    <w:rsid w:val="00DC64EA"/>
    <w:rsid w:val="00DD4422"/>
    <w:rsid w:val="00DE08C3"/>
    <w:rsid w:val="00DE08D4"/>
    <w:rsid w:val="00DE306D"/>
    <w:rsid w:val="00DE319C"/>
    <w:rsid w:val="00DE74A2"/>
    <w:rsid w:val="00DF0CA8"/>
    <w:rsid w:val="00DF13E5"/>
    <w:rsid w:val="00DF2B48"/>
    <w:rsid w:val="00DF49A7"/>
    <w:rsid w:val="00E022FA"/>
    <w:rsid w:val="00E03CE4"/>
    <w:rsid w:val="00E07EE2"/>
    <w:rsid w:val="00E07FD1"/>
    <w:rsid w:val="00E15B71"/>
    <w:rsid w:val="00E24573"/>
    <w:rsid w:val="00E25E1E"/>
    <w:rsid w:val="00E27EE7"/>
    <w:rsid w:val="00E35404"/>
    <w:rsid w:val="00E36F3B"/>
    <w:rsid w:val="00E37ED6"/>
    <w:rsid w:val="00E45109"/>
    <w:rsid w:val="00E46BA8"/>
    <w:rsid w:val="00E47B7A"/>
    <w:rsid w:val="00E543C7"/>
    <w:rsid w:val="00E56A44"/>
    <w:rsid w:val="00E57E84"/>
    <w:rsid w:val="00E60269"/>
    <w:rsid w:val="00E607AD"/>
    <w:rsid w:val="00E62428"/>
    <w:rsid w:val="00E7248F"/>
    <w:rsid w:val="00E75558"/>
    <w:rsid w:val="00E76110"/>
    <w:rsid w:val="00E84D3E"/>
    <w:rsid w:val="00E972C9"/>
    <w:rsid w:val="00E9774C"/>
    <w:rsid w:val="00E97830"/>
    <w:rsid w:val="00EB0866"/>
    <w:rsid w:val="00EB3B90"/>
    <w:rsid w:val="00EC565F"/>
    <w:rsid w:val="00ED2C11"/>
    <w:rsid w:val="00EE0830"/>
    <w:rsid w:val="00EE0D3C"/>
    <w:rsid w:val="00EE33C2"/>
    <w:rsid w:val="00EE34AD"/>
    <w:rsid w:val="00EE6CB8"/>
    <w:rsid w:val="00EF0683"/>
    <w:rsid w:val="00EF75FB"/>
    <w:rsid w:val="00F0070C"/>
    <w:rsid w:val="00F00EB7"/>
    <w:rsid w:val="00F0174D"/>
    <w:rsid w:val="00F0301A"/>
    <w:rsid w:val="00F05A65"/>
    <w:rsid w:val="00F07867"/>
    <w:rsid w:val="00F23961"/>
    <w:rsid w:val="00F36AB6"/>
    <w:rsid w:val="00F37A09"/>
    <w:rsid w:val="00F37B5C"/>
    <w:rsid w:val="00F400C9"/>
    <w:rsid w:val="00F409CE"/>
    <w:rsid w:val="00F436A3"/>
    <w:rsid w:val="00F4379D"/>
    <w:rsid w:val="00F459B2"/>
    <w:rsid w:val="00F502FF"/>
    <w:rsid w:val="00F50D2D"/>
    <w:rsid w:val="00F517A2"/>
    <w:rsid w:val="00F5225F"/>
    <w:rsid w:val="00F5360B"/>
    <w:rsid w:val="00F56C8B"/>
    <w:rsid w:val="00F60C32"/>
    <w:rsid w:val="00F62639"/>
    <w:rsid w:val="00F63F33"/>
    <w:rsid w:val="00F655DE"/>
    <w:rsid w:val="00F66443"/>
    <w:rsid w:val="00F66810"/>
    <w:rsid w:val="00F7202D"/>
    <w:rsid w:val="00F72BE2"/>
    <w:rsid w:val="00F84DF4"/>
    <w:rsid w:val="00F85C97"/>
    <w:rsid w:val="00F92AFD"/>
    <w:rsid w:val="00F93A07"/>
    <w:rsid w:val="00FB02FA"/>
    <w:rsid w:val="00FB37D2"/>
    <w:rsid w:val="00FB4953"/>
    <w:rsid w:val="00FB58A2"/>
    <w:rsid w:val="00FB6155"/>
    <w:rsid w:val="00FC4EFB"/>
    <w:rsid w:val="00FC5B1A"/>
    <w:rsid w:val="00FD068D"/>
    <w:rsid w:val="00FD1EA4"/>
    <w:rsid w:val="00FD4F28"/>
    <w:rsid w:val="00FE0371"/>
    <w:rsid w:val="00FE175A"/>
    <w:rsid w:val="00FE589F"/>
    <w:rsid w:val="00FE6581"/>
    <w:rsid w:val="00FE6784"/>
    <w:rsid w:val="00FE7A8B"/>
    <w:rsid w:val="00FE7DC9"/>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13E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F13E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F13E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F13E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F13E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F13E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F13E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25040F"/>
    <w:rPr>
      <w:color w:val="0000FF" w:themeColor="hyperlink"/>
      <w:u w:val="single"/>
    </w:rPr>
  </w:style>
  <w:style w:type="paragraph" w:customStyle="1" w:styleId="ParaNoNdepar-AltN">
    <w:name w:val="Para. No. / Nº de par. - Alt N"/>
    <w:link w:val="ParaNoNdepar-AltNChar"/>
    <w:qFormat/>
    <w:rsid w:val="007C5DF1"/>
    <w:pPr>
      <w:numPr>
        <w:numId w:val="12"/>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C5DF1"/>
    <w:rPr>
      <w:rFonts w:eastAsiaTheme="minorEastAsia" w:cstheme="minorBidi"/>
      <w:sz w:val="24"/>
      <w:szCs w:val="22"/>
      <w:lang w:eastAsia="en-US"/>
    </w:rPr>
  </w:style>
  <w:style w:type="paragraph" w:customStyle="1" w:styleId="SCCCoram">
    <w:name w:val="SCC.Coram"/>
    <w:basedOn w:val="Normal"/>
    <w:next w:val="Normal"/>
    <w:link w:val="SCCCoramChar"/>
    <w:rsid w:val="007C5DF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C5DF1"/>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F13E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F13E5"/>
    <w:rPr>
      <w:rFonts w:eastAsiaTheme="minorHAnsi" w:cstheme="minorBidi"/>
      <w:sz w:val="24"/>
      <w:szCs w:val="22"/>
      <w:lang w:eastAsia="en-US"/>
    </w:rPr>
  </w:style>
  <w:style w:type="character" w:customStyle="1" w:styleId="SCCBanSummaryChar">
    <w:name w:val="SCC.BanSummary Char"/>
    <w:basedOn w:val="DefaultParagraphFont"/>
    <w:link w:val="SCCBanSummary"/>
    <w:rsid w:val="00DF13E5"/>
    <w:rPr>
      <w:b/>
      <w:sz w:val="24"/>
    </w:rPr>
  </w:style>
  <w:style w:type="table" w:styleId="TableGrid">
    <w:name w:val="Table Grid"/>
    <w:basedOn w:val="TableNormal"/>
    <w:uiPriority w:val="59"/>
    <w:rsid w:val="00DF13E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F13E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F13E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F13E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F13E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F13E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F13E5"/>
    <w:pPr>
      <w:numPr>
        <w:ilvl w:val="2"/>
      </w:numPr>
      <w:outlineLvl w:val="2"/>
    </w:pPr>
  </w:style>
  <w:style w:type="paragraph" w:customStyle="1" w:styleId="Title4LevelTitre4Niveau">
    <w:name w:val="Title 4 Level / Titre 4 Niveau"/>
    <w:basedOn w:val="Title3LevelTitre3Niveau"/>
    <w:next w:val="ParaNoNdepar-AltN"/>
    <w:uiPriority w:val="4"/>
    <w:qFormat/>
    <w:rsid w:val="00DF13E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F13E5"/>
    <w:pPr>
      <w:numPr>
        <w:ilvl w:val="4"/>
      </w:numPr>
      <w:outlineLvl w:val="4"/>
    </w:pPr>
  </w:style>
  <w:style w:type="paragraph" w:styleId="TOC1">
    <w:name w:val="toc 1"/>
    <w:basedOn w:val="Normal"/>
    <w:next w:val="Normal"/>
    <w:autoRedefine/>
    <w:uiPriority w:val="39"/>
    <w:unhideWhenUsed/>
    <w:rsid w:val="00DF13E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F13E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F13E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F13E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F13E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F13E5"/>
    <w:pPr>
      <w:tabs>
        <w:tab w:val="left" w:pos="2160"/>
        <w:tab w:val="right" w:leader="dot" w:pos="8270"/>
      </w:tabs>
      <w:spacing w:after="100"/>
      <w:ind w:left="1800"/>
    </w:pPr>
    <w:rPr>
      <w:noProof/>
    </w:rPr>
  </w:style>
  <w:style w:type="table" w:customStyle="1" w:styleId="TableGrid1">
    <w:name w:val="Table Grid1"/>
    <w:basedOn w:val="TableNormal"/>
    <w:uiPriority w:val="59"/>
    <w:rsid w:val="00DF13E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F13E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F13E5"/>
    <w:pPr>
      <w:numPr>
        <w:ilvl w:val="5"/>
      </w:numPr>
      <w:outlineLvl w:val="5"/>
    </w:pPr>
    <w:rPr>
      <w:i/>
      <w:u w:val="none"/>
    </w:rPr>
  </w:style>
  <w:style w:type="paragraph" w:styleId="FootnoteText">
    <w:name w:val="footnote text"/>
    <w:basedOn w:val="Normal"/>
    <w:link w:val="FootnoteTextChar"/>
    <w:uiPriority w:val="99"/>
    <w:unhideWhenUsed/>
    <w:rsid w:val="00DF13E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F13E5"/>
  </w:style>
  <w:style w:type="character" w:styleId="FootnoteReference">
    <w:name w:val="footnote reference"/>
    <w:basedOn w:val="DefaultParagraphFont"/>
    <w:uiPriority w:val="99"/>
    <w:semiHidden/>
    <w:unhideWhenUsed/>
    <w:rsid w:val="00DF13E5"/>
    <w:rPr>
      <w:vertAlign w:val="superscript"/>
    </w:rPr>
  </w:style>
  <w:style w:type="character" w:styleId="HTMLDefinition">
    <w:name w:val="HTML Definition"/>
    <w:basedOn w:val="DefaultParagraphFont"/>
    <w:uiPriority w:val="99"/>
    <w:semiHidden/>
    <w:unhideWhenUsed/>
    <w:rsid w:val="00DF13E5"/>
    <w:rPr>
      <w:i/>
      <w:iCs/>
    </w:rPr>
  </w:style>
  <w:style w:type="character" w:customStyle="1" w:styleId="reflex3-block">
    <w:name w:val="reflex3-block"/>
    <w:basedOn w:val="DefaultParagraphFont"/>
    <w:rsid w:val="00DF13E5"/>
  </w:style>
  <w:style w:type="character" w:customStyle="1" w:styleId="Heading3Char">
    <w:name w:val="Heading 3 Char"/>
    <w:basedOn w:val="DefaultParagraphFont"/>
    <w:link w:val="Heading3"/>
    <w:uiPriority w:val="9"/>
    <w:semiHidden/>
    <w:rsid w:val="00DF13E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F13E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F13E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F13E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F13E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F13E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F13E5"/>
    <w:rPr>
      <w:rFonts w:asciiTheme="majorHAnsi" w:eastAsiaTheme="majorEastAsia" w:hAnsiTheme="majorHAnsi" w:cstheme="majorBidi"/>
      <w:i/>
      <w:iCs/>
      <w:color w:val="404040" w:themeColor="text1" w:themeTint="BF"/>
      <w:lang w:val="en-US" w:eastAsia="en-US" w:bidi="en-US"/>
    </w:rPr>
  </w:style>
  <w:style w:type="paragraph" w:styleId="ListParagraph">
    <w:name w:val="List Paragraph"/>
    <w:basedOn w:val="Normal"/>
    <w:uiPriority w:val="34"/>
    <w:rsid w:val="00DF13E5"/>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F13E5"/>
    <w:rPr>
      <w:sz w:val="16"/>
      <w:szCs w:val="16"/>
    </w:rPr>
  </w:style>
  <w:style w:type="paragraph" w:styleId="CommentText">
    <w:name w:val="annotation text"/>
    <w:basedOn w:val="Normal"/>
    <w:link w:val="CommentTextChar"/>
    <w:uiPriority w:val="99"/>
    <w:semiHidden/>
    <w:unhideWhenUsed/>
    <w:rsid w:val="00DF13E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F13E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F13E5"/>
    <w:rPr>
      <w:b/>
      <w:bCs/>
    </w:rPr>
  </w:style>
  <w:style w:type="character" w:customStyle="1" w:styleId="CommentSubjectChar">
    <w:name w:val="Comment Subject Char"/>
    <w:basedOn w:val="CommentTextChar"/>
    <w:link w:val="CommentSubject"/>
    <w:uiPriority w:val="99"/>
    <w:semiHidden/>
    <w:rsid w:val="00DF13E5"/>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DF13E5"/>
    <w:rPr>
      <w:color w:val="800080" w:themeColor="followedHyperlink"/>
      <w:u w:val="single"/>
    </w:rPr>
  </w:style>
  <w:style w:type="character" w:customStyle="1" w:styleId="JudgeJugeChar">
    <w:name w:val="Judge / Juge Char"/>
    <w:basedOn w:val="DefaultParagraphFont"/>
    <w:link w:val="JudgeJuge"/>
    <w:uiPriority w:val="3"/>
    <w:rsid w:val="00DF13E5"/>
    <w:rPr>
      <w:smallCaps/>
      <w:sz w:val="24"/>
      <w:szCs w:val="24"/>
    </w:rPr>
  </w:style>
  <w:style w:type="paragraph" w:styleId="NoSpacing">
    <w:name w:val="No Spacing"/>
    <w:uiPriority w:val="1"/>
    <w:rsid w:val="00DF13E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F13E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F13E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F13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F13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F13E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F13E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F13E5"/>
    <w:rPr>
      <w:i/>
      <w:iCs/>
    </w:rPr>
  </w:style>
  <w:style w:type="paragraph" w:styleId="IntenseQuote">
    <w:name w:val="Intense Quote"/>
    <w:basedOn w:val="Normal"/>
    <w:next w:val="Normal"/>
    <w:link w:val="IntenseQuoteChar"/>
    <w:uiPriority w:val="30"/>
    <w:rsid w:val="00DF13E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F13E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F13E5"/>
    <w:rPr>
      <w:i/>
      <w:iCs/>
      <w:color w:val="808080" w:themeColor="text1" w:themeTint="7F"/>
    </w:rPr>
  </w:style>
  <w:style w:type="character" w:styleId="IntenseEmphasis">
    <w:name w:val="Intense Emphasis"/>
    <w:basedOn w:val="DefaultParagraphFont"/>
    <w:uiPriority w:val="21"/>
    <w:rsid w:val="00DF13E5"/>
    <w:rPr>
      <w:b/>
      <w:bCs/>
      <w:i/>
      <w:iCs/>
      <w:color w:val="4F81BD" w:themeColor="accent1"/>
    </w:rPr>
  </w:style>
  <w:style w:type="character" w:styleId="SubtleReference">
    <w:name w:val="Subtle Reference"/>
    <w:basedOn w:val="DefaultParagraphFont"/>
    <w:uiPriority w:val="31"/>
    <w:rsid w:val="00DF13E5"/>
    <w:rPr>
      <w:smallCaps/>
      <w:color w:val="C0504D" w:themeColor="accent2"/>
      <w:u w:val="single"/>
    </w:rPr>
  </w:style>
  <w:style w:type="character" w:styleId="IntenseReference">
    <w:name w:val="Intense Reference"/>
    <w:basedOn w:val="DefaultParagraphFont"/>
    <w:uiPriority w:val="32"/>
    <w:rsid w:val="00DF13E5"/>
    <w:rPr>
      <w:b/>
      <w:bCs/>
      <w:smallCaps/>
      <w:color w:val="C0504D" w:themeColor="accent2"/>
      <w:spacing w:val="5"/>
      <w:u w:val="single"/>
    </w:rPr>
  </w:style>
  <w:style w:type="character" w:styleId="BookTitle">
    <w:name w:val="Book Title"/>
    <w:basedOn w:val="DefaultParagraphFont"/>
    <w:uiPriority w:val="33"/>
    <w:rsid w:val="00DF13E5"/>
    <w:rPr>
      <w:b/>
      <w:bCs/>
      <w:smallCaps/>
      <w:spacing w:val="5"/>
    </w:rPr>
  </w:style>
  <w:style w:type="paragraph" w:styleId="Revision">
    <w:name w:val="Revision"/>
    <w:hidden/>
    <w:uiPriority w:val="99"/>
    <w:semiHidden/>
    <w:rsid w:val="00DF13E5"/>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DF13E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6050D"/>
    <w:rPr>
      <w:lang w:val="fr-CA"/>
    </w:rPr>
  </w:style>
  <w:style w:type="paragraph" w:customStyle="1" w:styleId="SCCLsocPrefix">
    <w:name w:val="SCC.Lsoc.Prefix"/>
    <w:basedOn w:val="Normal"/>
    <w:next w:val="Normal"/>
    <w:link w:val="SCCLsocPrefixChar"/>
    <w:rsid w:val="002605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6050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7334">
      <w:bodyDiv w:val="1"/>
      <w:marLeft w:val="0"/>
      <w:marRight w:val="0"/>
      <w:marTop w:val="0"/>
      <w:marBottom w:val="0"/>
      <w:divBdr>
        <w:top w:val="none" w:sz="0" w:space="0" w:color="auto"/>
        <w:left w:val="none" w:sz="0" w:space="0" w:color="auto"/>
        <w:bottom w:val="none" w:sz="0" w:space="0" w:color="auto"/>
        <w:right w:val="none" w:sz="0" w:space="0" w:color="auto"/>
      </w:divBdr>
    </w:div>
    <w:div w:id="498471113">
      <w:bodyDiv w:val="1"/>
      <w:marLeft w:val="0"/>
      <w:marRight w:val="0"/>
      <w:marTop w:val="0"/>
      <w:marBottom w:val="0"/>
      <w:divBdr>
        <w:top w:val="none" w:sz="0" w:space="0" w:color="auto"/>
        <w:left w:val="none" w:sz="0" w:space="0" w:color="auto"/>
        <w:bottom w:val="none" w:sz="0" w:space="0" w:color="auto"/>
        <w:right w:val="none" w:sz="0" w:space="0" w:color="auto"/>
      </w:divBdr>
    </w:div>
    <w:div w:id="767042288">
      <w:bodyDiv w:val="1"/>
      <w:marLeft w:val="0"/>
      <w:marRight w:val="0"/>
      <w:marTop w:val="0"/>
      <w:marBottom w:val="0"/>
      <w:divBdr>
        <w:top w:val="none" w:sz="0" w:space="0" w:color="auto"/>
        <w:left w:val="none" w:sz="0" w:space="0" w:color="auto"/>
        <w:bottom w:val="none" w:sz="0" w:space="0" w:color="auto"/>
        <w:right w:val="none" w:sz="0" w:space="0" w:color="auto"/>
      </w:divBdr>
    </w:div>
    <w:div w:id="795634745">
      <w:bodyDiv w:val="1"/>
      <w:marLeft w:val="0"/>
      <w:marRight w:val="0"/>
      <w:marTop w:val="0"/>
      <w:marBottom w:val="0"/>
      <w:divBdr>
        <w:top w:val="none" w:sz="0" w:space="0" w:color="auto"/>
        <w:left w:val="none" w:sz="0" w:space="0" w:color="auto"/>
        <w:bottom w:val="none" w:sz="0" w:space="0" w:color="auto"/>
        <w:right w:val="none" w:sz="0" w:space="0" w:color="auto"/>
      </w:divBdr>
    </w:div>
    <w:div w:id="11317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5_2_eng.pdf" TargetMode="External"/><Relationship Id="rId5" Type="http://schemas.openxmlformats.org/officeDocument/2006/relationships/webSettings" Target="webSettings.xml"/><Relationship Id="rId10" Type="http://schemas.openxmlformats.org/officeDocument/2006/relationships/hyperlink" Target="https://www.scc-csc.ca/cso-dce/2019SCC-CSC5_1_eng.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417B-3BCE-4502-8299-95BA55AB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54697</Words>
  <Characters>290433</Characters>
  <Application>Microsoft Office Word</Application>
  <DocSecurity>0</DocSecurity>
  <Lines>2420</Lines>
  <Paragraphs>688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2019-05-14T18:36:00Z</dcterms:created>
  <dcterms:modified xsi:type="dcterms:W3CDTF">2020-02-13T14:25:00Z</dcterms:modified>
</cp:coreProperties>
</file>