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39" w:rsidRPr="00031B14" w:rsidRDefault="00B86839" w:rsidP="00B86839">
      <w:pPr>
        <w:pStyle w:val="Header"/>
      </w:pPr>
      <w:r w:rsidRPr="00031B14">
        <w:ptab w:relativeTo="margin" w:alignment="center" w:leader="none"/>
      </w:r>
      <w:r w:rsidRPr="00031B14">
        <w:t xml:space="preserve"> </w:t>
      </w:r>
      <w:r w:rsidRPr="00031B14"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64.5pt" o:ole="">
            <v:imagedata r:id="rId6" o:title=""/>
          </v:shape>
          <o:OLEObject Type="Embed" ProgID="Presentations.Drawing.13" ShapeID="_x0000_i1025" DrawAspect="Content" ObjectID="_1703048889" r:id="rId7"/>
        </w:object>
      </w:r>
      <w:r w:rsidRPr="00031B14">
        <w:t xml:space="preserve"> </w:t>
      </w:r>
      <w:r w:rsidRPr="00031B14">
        <w:ptab w:relativeTo="margin" w:alignment="right" w:leader="none"/>
      </w:r>
    </w:p>
    <w:p w:rsidR="00B86839" w:rsidRPr="00031B14" w:rsidRDefault="00B86839" w:rsidP="00B86839">
      <w:pPr>
        <w:pStyle w:val="Header"/>
      </w:pPr>
    </w:p>
    <w:p w:rsidR="00B86839" w:rsidRPr="00031B14" w:rsidRDefault="00B86839" w:rsidP="00B86839">
      <w:pPr>
        <w:jc w:val="center"/>
        <w:rPr>
          <w:b/>
        </w:rPr>
      </w:pPr>
      <w:r w:rsidRPr="00031B14">
        <w:rPr>
          <w:b/>
        </w:rPr>
        <w:t>COUR SUPRÊME DU CANADA</w:t>
      </w:r>
    </w:p>
    <w:p w:rsidR="00B86839" w:rsidRPr="00031B14" w:rsidRDefault="00B86839" w:rsidP="00B86839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B86839" w:rsidRPr="00031B14" w:rsidTr="00341CBD">
        <w:trPr>
          <w:cantSplit/>
        </w:trPr>
        <w:tc>
          <w:tcPr>
            <w:tcW w:w="5310" w:type="dxa"/>
          </w:tcPr>
          <w:p w:rsidR="00B86839" w:rsidRPr="00031B14" w:rsidRDefault="00B86839" w:rsidP="00B86839">
            <w:pPr>
              <w:rPr>
                <w:lang w:val="fr-CA"/>
              </w:rPr>
            </w:pPr>
            <w:r w:rsidRPr="00031B14">
              <w:rPr>
                <w:b/>
                <w:smallCaps/>
                <w:lang w:val="fr-CA"/>
              </w:rPr>
              <w:t>Référence :</w:t>
            </w:r>
            <w:r w:rsidRPr="00031B14">
              <w:rPr>
                <w:lang w:val="fr-CA"/>
              </w:rPr>
              <w:t xml:space="preserve"> </w:t>
            </w:r>
            <w:r w:rsidRPr="00031B14">
              <w:rPr>
                <w:rStyle w:val="SCCAppellantForIndexChar"/>
                <w:b w:val="0"/>
                <w:lang w:val="fr-CA"/>
              </w:rPr>
              <w:t>R.</w:t>
            </w:r>
            <w:r w:rsidRPr="00031B14">
              <w:rPr>
                <w:lang w:val="fr-CA"/>
              </w:rPr>
              <w:t xml:space="preserve"> </w:t>
            </w:r>
            <w:r w:rsidRPr="00031B14">
              <w:rPr>
                <w:i/>
                <w:lang w:val="fr-CA"/>
              </w:rPr>
              <w:t>c.</w:t>
            </w:r>
            <w:r w:rsidRPr="00031B14">
              <w:rPr>
                <w:lang w:val="fr-CA"/>
              </w:rPr>
              <w:t xml:space="preserve"> C.J.</w:t>
            </w:r>
            <w:r w:rsidRPr="00031B14">
              <w:rPr>
                <w:rStyle w:val="SCCAppellantForRunningHeadChar"/>
                <w:lang w:val="fr-CA"/>
              </w:rPr>
              <w:t xml:space="preserve">, </w:t>
            </w:r>
            <w:r w:rsidRPr="00031B14">
              <w:rPr>
                <w:lang w:val="fr-CA"/>
              </w:rPr>
              <w:t>2019 CSC 8, [2019] 1 R.C.S. 484</w:t>
            </w:r>
          </w:p>
        </w:tc>
        <w:tc>
          <w:tcPr>
            <w:tcW w:w="4266" w:type="dxa"/>
          </w:tcPr>
          <w:p w:rsidR="00B86839" w:rsidRPr="00031B14" w:rsidRDefault="00B86839" w:rsidP="00341CBD">
            <w:pPr>
              <w:rPr>
                <w:lang w:val="fr-CA"/>
              </w:rPr>
            </w:pPr>
            <w:r w:rsidRPr="00031B14">
              <w:rPr>
                <w:b/>
                <w:smallCaps/>
                <w:lang w:val="fr-CA"/>
              </w:rPr>
              <w:t>Appel entendu:</w:t>
            </w:r>
            <w:r w:rsidRPr="00031B14">
              <w:rPr>
                <w:lang w:val="fr-CA"/>
              </w:rPr>
              <w:t xml:space="preserve"> 12 février 2019</w:t>
            </w:r>
          </w:p>
          <w:p w:rsidR="00B86839" w:rsidRPr="00031B14" w:rsidRDefault="00B86839" w:rsidP="00341CBD">
            <w:pPr>
              <w:rPr>
                <w:b/>
                <w:smallCaps/>
                <w:lang w:val="fr-CA"/>
              </w:rPr>
            </w:pPr>
            <w:r w:rsidRPr="00031B14">
              <w:rPr>
                <w:b/>
                <w:smallCaps/>
                <w:lang w:val="fr-CA"/>
              </w:rPr>
              <w:t>Jugement rendu :</w:t>
            </w:r>
            <w:r w:rsidRPr="00031B14">
              <w:rPr>
                <w:lang w:val="fr-CA"/>
              </w:rPr>
              <w:t xml:space="preserve"> 12 février 2019</w:t>
            </w:r>
          </w:p>
          <w:p w:rsidR="00B86839" w:rsidRPr="00031B14" w:rsidRDefault="00B86839" w:rsidP="00341CBD">
            <w:r w:rsidRPr="00031B14">
              <w:rPr>
                <w:b/>
                <w:smallCaps/>
              </w:rPr>
              <w:t>Dossier :</w:t>
            </w:r>
            <w:r w:rsidRPr="00031B14">
              <w:t xml:space="preserve"> 38220</w:t>
            </w:r>
          </w:p>
        </w:tc>
      </w:tr>
    </w:tbl>
    <w:p w:rsidR="00B86839" w:rsidRPr="00031B14" w:rsidRDefault="00B86839" w:rsidP="00B86839">
      <w:pPr>
        <w:pStyle w:val="SCCLsocPrefix"/>
      </w:pPr>
    </w:p>
    <w:p w:rsidR="00B86839" w:rsidRPr="00031B14" w:rsidRDefault="00B86839" w:rsidP="00B86839">
      <w:pPr>
        <w:pStyle w:val="SCCLsocPrefix"/>
      </w:pPr>
    </w:p>
    <w:p w:rsidR="00B86839" w:rsidRPr="00031B14" w:rsidRDefault="00B86839" w:rsidP="00B86839">
      <w:pPr>
        <w:pStyle w:val="SCCLsocPrefix"/>
      </w:pPr>
      <w:r w:rsidRPr="00031B14">
        <w:t>Entre :</w:t>
      </w:r>
    </w:p>
    <w:p w:rsidR="00B86839" w:rsidRPr="00031B14" w:rsidRDefault="00B86839" w:rsidP="00B86839">
      <w:pPr>
        <w:jc w:val="center"/>
        <w:rPr>
          <w:b/>
        </w:rPr>
      </w:pPr>
      <w:r w:rsidRPr="00031B14">
        <w:rPr>
          <w:b/>
        </w:rPr>
        <w:t>Sa Majesté la Reine</w:t>
      </w:r>
    </w:p>
    <w:p w:rsidR="00B86839" w:rsidRPr="00031B14" w:rsidRDefault="00B86839" w:rsidP="00B86839">
      <w:pPr>
        <w:jc w:val="center"/>
      </w:pPr>
      <w:r w:rsidRPr="00031B14">
        <w:t>Appelante</w:t>
      </w:r>
    </w:p>
    <w:p w:rsidR="00B86839" w:rsidRPr="00031B14" w:rsidRDefault="00B86839" w:rsidP="00B86839">
      <w:pPr>
        <w:jc w:val="center"/>
      </w:pPr>
    </w:p>
    <w:p w:rsidR="00B86839" w:rsidRPr="00031B14" w:rsidRDefault="00B86839" w:rsidP="00B86839">
      <w:pPr>
        <w:pStyle w:val="SCCLsocVersus"/>
        <w:spacing w:after="0"/>
        <w:jc w:val="center"/>
        <w:rPr>
          <w:i w:val="0"/>
        </w:rPr>
      </w:pPr>
      <w:proofErr w:type="gramStart"/>
      <w:r w:rsidRPr="00031B14">
        <w:rPr>
          <w:i w:val="0"/>
        </w:rPr>
        <w:t>et</w:t>
      </w:r>
      <w:proofErr w:type="gramEnd"/>
    </w:p>
    <w:p w:rsidR="00B86839" w:rsidRPr="00031B14" w:rsidRDefault="00B86839" w:rsidP="00B86839">
      <w:pPr>
        <w:jc w:val="center"/>
      </w:pPr>
    </w:p>
    <w:p w:rsidR="00B86839" w:rsidRPr="00031B14" w:rsidRDefault="00B86839" w:rsidP="00B86839">
      <w:pPr>
        <w:pStyle w:val="SCCLsocParty"/>
        <w:jc w:val="center"/>
      </w:pPr>
      <w:r w:rsidRPr="00031B14">
        <w:t>C.J.</w:t>
      </w:r>
    </w:p>
    <w:p w:rsidR="00B86839" w:rsidRPr="00031B14" w:rsidRDefault="00B86839" w:rsidP="00B86839">
      <w:pPr>
        <w:jc w:val="center"/>
      </w:pPr>
      <w:r w:rsidRPr="00031B14">
        <w:t>Intimé</w:t>
      </w:r>
    </w:p>
    <w:p w:rsidR="00B86839" w:rsidRPr="00031B14" w:rsidRDefault="00B86839" w:rsidP="00B86839">
      <w:pPr>
        <w:jc w:val="center"/>
      </w:pPr>
    </w:p>
    <w:p w:rsidR="00B86839" w:rsidRPr="00031B14" w:rsidRDefault="00B86839" w:rsidP="00B86839"/>
    <w:p w:rsidR="00B86839" w:rsidRPr="00031B14" w:rsidRDefault="00B86839" w:rsidP="00B86839">
      <w:pPr>
        <w:jc w:val="center"/>
        <w:rPr>
          <w:b/>
          <w:smallCaps/>
          <w:lang w:val="fr-CA"/>
        </w:rPr>
      </w:pPr>
      <w:r w:rsidRPr="00031B14">
        <w:rPr>
          <w:b/>
          <w:smallCaps/>
          <w:lang w:val="fr-CA"/>
        </w:rPr>
        <w:t>Traduction française officielle</w:t>
      </w:r>
    </w:p>
    <w:p w:rsidR="00B86839" w:rsidRPr="00031B14" w:rsidRDefault="00B86839" w:rsidP="00B86839">
      <w:pPr>
        <w:rPr>
          <w:lang w:val="fr-CA"/>
        </w:rPr>
      </w:pPr>
    </w:p>
    <w:p w:rsidR="00B86839" w:rsidRPr="00031B14" w:rsidRDefault="00B86839" w:rsidP="00B86839">
      <w:pPr>
        <w:rPr>
          <w:lang w:val="fr-CA"/>
        </w:rPr>
      </w:pPr>
      <w:r w:rsidRPr="00031B14">
        <w:rPr>
          <w:b/>
          <w:smallCaps/>
          <w:lang w:val="fr-CA"/>
        </w:rPr>
        <w:t>Coram :</w:t>
      </w:r>
      <w:r w:rsidRPr="00031B14">
        <w:rPr>
          <w:lang w:val="fr-CA"/>
        </w:rPr>
        <w:t xml:space="preserve"> Le juge en chef Wagner et les juges Abella, Moldaver, Karakatsanis et Brown</w:t>
      </w:r>
    </w:p>
    <w:p w:rsidR="00B86839" w:rsidRPr="00031B14" w:rsidRDefault="00B86839" w:rsidP="00B86839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B86839" w:rsidRPr="00031B14" w:rsidTr="00341CBD">
        <w:trPr>
          <w:cantSplit/>
        </w:trPr>
        <w:tc>
          <w:tcPr>
            <w:tcW w:w="3618" w:type="dxa"/>
          </w:tcPr>
          <w:p w:rsidR="00B86839" w:rsidRPr="00031B14" w:rsidRDefault="00B86839" w:rsidP="00341CBD">
            <w:pPr>
              <w:rPr>
                <w:b/>
                <w:smallCaps/>
                <w:lang w:val="fr-CA"/>
              </w:rPr>
            </w:pPr>
            <w:r w:rsidRPr="00031B14">
              <w:rPr>
                <w:b/>
                <w:smallCaps/>
                <w:lang w:val="fr-CA"/>
              </w:rPr>
              <w:t>Motifs de jugement :</w:t>
            </w:r>
          </w:p>
          <w:p w:rsidR="00B86839" w:rsidRPr="00031B14" w:rsidRDefault="00B86839" w:rsidP="00341CBD">
            <w:pPr>
              <w:rPr>
                <w:lang w:val="fr-CA"/>
              </w:rPr>
            </w:pPr>
            <w:r w:rsidRPr="00031B14">
              <w:rPr>
                <w:lang w:val="fr-CA"/>
              </w:rPr>
              <w:t>(par. 1 à 3)</w:t>
            </w:r>
          </w:p>
        </w:tc>
        <w:tc>
          <w:tcPr>
            <w:tcW w:w="5958" w:type="dxa"/>
          </w:tcPr>
          <w:p w:rsidR="00B86839" w:rsidRPr="00031B14" w:rsidRDefault="00B86839" w:rsidP="00341CBD">
            <w:pPr>
              <w:rPr>
                <w:lang w:val="fr-CA"/>
              </w:rPr>
            </w:pPr>
            <w:r w:rsidRPr="00031B14">
              <w:rPr>
                <w:lang w:val="fr-CA"/>
              </w:rPr>
              <w:t>Le juge en chef Wagner (avec l’accord des juges Abella, Moldaver, Karakatsanis et Brown)</w:t>
            </w:r>
          </w:p>
        </w:tc>
      </w:tr>
    </w:tbl>
    <w:p w:rsidR="00B86839" w:rsidRPr="00031B14" w:rsidRDefault="00B86839" w:rsidP="00B86839">
      <w:pPr>
        <w:rPr>
          <w:lang w:val="fr-CA"/>
        </w:rPr>
      </w:pPr>
    </w:p>
    <w:p w:rsidR="00B86839" w:rsidRPr="00031B14" w:rsidRDefault="00B86839" w:rsidP="00B86839">
      <w:pPr>
        <w:rPr>
          <w:lang w:val="fr-CA"/>
        </w:rPr>
      </w:pPr>
      <w:r w:rsidRPr="00031B1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63777" wp14:editId="3FAAD0A8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B6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B86839" w:rsidRPr="00031B14" w:rsidRDefault="00B86839" w:rsidP="00B86839">
      <w:pPr>
        <w:rPr>
          <w:lang w:val="fr-CA"/>
        </w:rPr>
      </w:pPr>
    </w:p>
    <w:p w:rsidR="00B86839" w:rsidRPr="00031B14" w:rsidRDefault="00B86839" w:rsidP="00B86839">
      <w:pPr>
        <w:rPr>
          <w:lang w:val="fr-CA"/>
        </w:rPr>
      </w:pPr>
    </w:p>
    <w:p w:rsidR="00B86839" w:rsidRPr="00031B14" w:rsidRDefault="00B86839" w:rsidP="004D7D95">
      <w:pPr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031B14" w:rsidRDefault="006142F5" w:rsidP="004D7D95">
      <w:pPr>
        <w:spacing w:line="480" w:lineRule="auto"/>
        <w:jc w:val="both"/>
        <w:rPr>
          <w:lang w:val="fr-CA"/>
        </w:rPr>
      </w:pPr>
      <w:r w:rsidRPr="00031B14">
        <w:rPr>
          <w:rStyle w:val="SCCAppellantForRunningHeadChar"/>
          <w:smallCaps w:val="0"/>
          <w:lang w:val="fr-CA"/>
        </w:rPr>
        <w:t>R</w:t>
      </w:r>
      <w:r w:rsidR="004D7D95" w:rsidRPr="00031B14">
        <w:rPr>
          <w:rStyle w:val="SCCAppellantForRunningHeadChar"/>
          <w:smallCaps w:val="0"/>
          <w:lang w:val="fr-CA"/>
        </w:rPr>
        <w:t>.</w:t>
      </w:r>
      <w:r w:rsidR="004D7D95" w:rsidRPr="00031B14">
        <w:rPr>
          <w:lang w:val="fr-CA"/>
        </w:rPr>
        <w:t xml:space="preserve"> </w:t>
      </w:r>
      <w:r w:rsidR="004D7D95" w:rsidRPr="00031B14">
        <w:rPr>
          <w:i/>
          <w:lang w:val="fr-CA"/>
        </w:rPr>
        <w:t>c.</w:t>
      </w:r>
      <w:r w:rsidR="004D7D95" w:rsidRPr="00031B14">
        <w:rPr>
          <w:lang w:val="fr-CA"/>
        </w:rPr>
        <w:t xml:space="preserve"> </w:t>
      </w:r>
      <w:r w:rsidRPr="00031B14">
        <w:rPr>
          <w:rStyle w:val="SCCRespondentForRunningHeadChar"/>
          <w:lang w:val="fr-CA"/>
        </w:rPr>
        <w:t>C.J.</w:t>
      </w:r>
      <w:r w:rsidR="00940765" w:rsidRPr="00031B14">
        <w:rPr>
          <w:rStyle w:val="SCCRespondentForRunningHeadChar"/>
          <w:lang w:val="fr-CA"/>
        </w:rPr>
        <w:t xml:space="preserve">, </w:t>
      </w:r>
      <w:r w:rsidR="00940765" w:rsidRPr="00031B14">
        <w:rPr>
          <w:lang w:val="fr-CA"/>
        </w:rPr>
        <w:t>2019 CSC 8, [2019] 1 R.C.S. 484</w:t>
      </w: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</w:p>
    <w:p w:rsidR="002C7890" w:rsidRPr="00031B14" w:rsidRDefault="0046721C">
      <w:pPr>
        <w:pStyle w:val="SCCLsocLastPartyInRole"/>
        <w:rPr>
          <w:lang w:val="fr-CA"/>
        </w:rPr>
      </w:pPr>
      <w:r w:rsidRPr="00031B14">
        <w:rPr>
          <w:lang w:val="fr-CA"/>
        </w:rPr>
        <w:t>Sa Majesté la Reine</w:t>
      </w:r>
      <w:r w:rsidRPr="00031B14">
        <w:rPr>
          <w:rStyle w:val="SCCLsocPartyRole"/>
          <w:lang w:val="fr-CA"/>
        </w:rPr>
        <w:tab/>
      </w:r>
      <w:r w:rsidR="00287EB6" w:rsidRPr="00031B14">
        <w:rPr>
          <w:rStyle w:val="SCCLsocPartyRole"/>
          <w:lang w:val="fr-CA"/>
        </w:rPr>
        <w:t>Appelante</w:t>
      </w:r>
    </w:p>
    <w:p w:rsidR="002C7890" w:rsidRPr="00031B14" w:rsidRDefault="0046721C">
      <w:pPr>
        <w:pStyle w:val="SCCLsocVersus"/>
        <w:rPr>
          <w:lang w:val="fr-CA"/>
        </w:rPr>
      </w:pPr>
      <w:proofErr w:type="gramStart"/>
      <w:r w:rsidRPr="00031B14">
        <w:rPr>
          <w:lang w:val="fr-CA"/>
        </w:rPr>
        <w:t>c</w:t>
      </w:r>
      <w:proofErr w:type="gramEnd"/>
      <w:r w:rsidRPr="00031B14">
        <w:rPr>
          <w:lang w:val="fr-CA"/>
        </w:rPr>
        <w:t>.</w:t>
      </w:r>
    </w:p>
    <w:p w:rsidR="002C7890" w:rsidRPr="00031B14" w:rsidRDefault="0046721C">
      <w:pPr>
        <w:pStyle w:val="SCCLsocLastPartyInRole"/>
        <w:rPr>
          <w:lang w:val="fr-CA"/>
        </w:rPr>
      </w:pPr>
      <w:r w:rsidRPr="00031B14">
        <w:rPr>
          <w:lang w:val="fr-CA"/>
        </w:rPr>
        <w:lastRenderedPageBreak/>
        <w:t>C.J.</w:t>
      </w:r>
      <w:r w:rsidRPr="00031B14">
        <w:rPr>
          <w:rStyle w:val="SCCLsocPartyRole"/>
          <w:lang w:val="fr-CA"/>
        </w:rPr>
        <w:tab/>
        <w:t>Intimé</w:t>
      </w: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EF2D8E" w:rsidP="004D7D95">
      <w:pPr>
        <w:jc w:val="both"/>
        <w:rPr>
          <w:b/>
          <w:lang w:val="fr-CA"/>
        </w:rPr>
      </w:pPr>
      <w:r w:rsidRPr="00031B14">
        <w:rPr>
          <w:b/>
          <w:lang w:val="fr-CA"/>
        </w:rPr>
        <w:t>Répertorié : </w:t>
      </w:r>
      <w:r w:rsidR="004D7D95" w:rsidRPr="00031B14">
        <w:rPr>
          <w:rStyle w:val="SCCAppellantForIndexChar"/>
          <w:lang w:val="fr-CA"/>
        </w:rPr>
        <w:t>R.</w:t>
      </w:r>
      <w:r w:rsidR="004D7D95" w:rsidRPr="00031B14">
        <w:rPr>
          <w:b/>
          <w:lang w:val="fr-CA"/>
        </w:rPr>
        <w:t xml:space="preserve"> </w:t>
      </w:r>
      <w:r w:rsidR="004D7D95" w:rsidRPr="00031B14">
        <w:rPr>
          <w:b/>
          <w:i/>
          <w:lang w:val="fr-CA"/>
        </w:rPr>
        <w:t>c.</w:t>
      </w:r>
      <w:r w:rsidR="004D7D95" w:rsidRPr="00031B14">
        <w:rPr>
          <w:b/>
          <w:lang w:val="fr-CA"/>
        </w:rPr>
        <w:t xml:space="preserve"> </w:t>
      </w:r>
      <w:r w:rsidR="004D7D95" w:rsidRPr="00031B14">
        <w:rPr>
          <w:rStyle w:val="SCCRespondentForIndexChar"/>
          <w:lang w:val="fr-CA"/>
        </w:rPr>
        <w:t>C.J.</w:t>
      </w: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D17B0E" w:rsidP="004D7D95">
      <w:pPr>
        <w:pStyle w:val="SCCSystemYear"/>
        <w:jc w:val="both"/>
        <w:rPr>
          <w:lang w:val="fr-CA"/>
        </w:rPr>
      </w:pPr>
      <w:r w:rsidRPr="00031B14">
        <w:rPr>
          <w:lang w:val="fr-CA"/>
        </w:rPr>
        <w:t>2019</w:t>
      </w:r>
      <w:r w:rsidR="004D7D95" w:rsidRPr="00031B14">
        <w:rPr>
          <w:lang w:val="fr-CA"/>
        </w:rPr>
        <w:t xml:space="preserve"> CSC </w:t>
      </w:r>
      <w:r w:rsidR="00EF2D8E" w:rsidRPr="00031B14">
        <w:rPr>
          <w:lang w:val="fr-CA"/>
        </w:rPr>
        <w:t>8</w:t>
      </w: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  <w:r w:rsidRPr="00031B14">
        <w:rPr>
          <w:lang w:val="fr-CA"/>
        </w:rPr>
        <w:t>N</w:t>
      </w:r>
      <w:r w:rsidRPr="00031B14">
        <w:rPr>
          <w:vertAlign w:val="superscript"/>
          <w:lang w:val="fr-CA"/>
        </w:rPr>
        <w:t>o</w:t>
      </w:r>
      <w:r w:rsidRPr="00031B14">
        <w:rPr>
          <w:lang w:val="fr-CA"/>
        </w:rPr>
        <w:t xml:space="preserve"> du greffe : 38220.</w:t>
      </w: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D17B0E" w:rsidP="004D7D95">
      <w:pPr>
        <w:jc w:val="both"/>
        <w:rPr>
          <w:lang w:val="fr-CA"/>
        </w:rPr>
      </w:pPr>
      <w:r w:rsidRPr="00031B14">
        <w:rPr>
          <w:lang w:val="fr-CA"/>
        </w:rPr>
        <w:t>2019 : 12 février</w:t>
      </w:r>
      <w:r w:rsidR="00A477DA" w:rsidRPr="00031B14">
        <w:rPr>
          <w:lang w:val="fr-CA"/>
        </w:rPr>
        <w:t>.</w:t>
      </w: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</w:p>
    <w:p w:rsidR="004D7D95" w:rsidRPr="00031B14" w:rsidRDefault="004D7D95" w:rsidP="004D7D95">
      <w:pPr>
        <w:jc w:val="both"/>
        <w:rPr>
          <w:lang w:val="fr-CA"/>
        </w:rPr>
      </w:pPr>
      <w:r w:rsidRPr="00031B14">
        <w:rPr>
          <w:lang w:val="fr-CA"/>
        </w:rPr>
        <w:t>Présents : Le juge en chef Wagner et les juges Abella, Moldaver, Karakatsanis et Brown.</w:t>
      </w:r>
    </w:p>
    <w:p w:rsidR="004D7D95" w:rsidRPr="00031B14" w:rsidRDefault="004D7D95" w:rsidP="004D7D95">
      <w:pPr>
        <w:jc w:val="both"/>
        <w:rPr>
          <w:lang w:val="fr-CA"/>
        </w:rPr>
      </w:pPr>
    </w:p>
    <w:p w:rsidR="00EE0830" w:rsidRPr="00031B14" w:rsidRDefault="00EE0830" w:rsidP="004D7D95">
      <w:pPr>
        <w:jc w:val="both"/>
        <w:rPr>
          <w:lang w:val="fr-CA"/>
        </w:rPr>
      </w:pPr>
    </w:p>
    <w:p w:rsidR="002C7890" w:rsidRPr="00031B14" w:rsidRDefault="002C7890">
      <w:pPr>
        <w:rPr>
          <w:lang w:val="fr-CA"/>
        </w:rPr>
      </w:pPr>
    </w:p>
    <w:p w:rsidR="004D7D95" w:rsidRPr="00031B14" w:rsidRDefault="004D7D95" w:rsidP="000F7993">
      <w:pPr>
        <w:jc w:val="both"/>
        <w:rPr>
          <w:smallCaps/>
          <w:lang w:val="fr-CA"/>
        </w:rPr>
      </w:pPr>
      <w:r w:rsidRPr="00031B14">
        <w:rPr>
          <w:smallCaps/>
          <w:lang w:val="fr-CA"/>
        </w:rPr>
        <w:t>en appel de la cour d</w:t>
      </w:r>
      <w:r w:rsidR="00287EB6" w:rsidRPr="00031B14">
        <w:rPr>
          <w:smallCaps/>
          <w:lang w:val="fr-CA"/>
        </w:rPr>
        <w:t>’</w:t>
      </w:r>
      <w:r w:rsidRPr="00031B14">
        <w:rPr>
          <w:smallCaps/>
          <w:lang w:val="fr-CA"/>
        </w:rPr>
        <w:t xml:space="preserve">appel du </w:t>
      </w:r>
      <w:proofErr w:type="spellStart"/>
      <w:r w:rsidRPr="00031B14">
        <w:rPr>
          <w:smallCaps/>
          <w:lang w:val="fr-CA"/>
        </w:rPr>
        <w:t>manitoba</w:t>
      </w:r>
      <w:proofErr w:type="spellEnd"/>
    </w:p>
    <w:p w:rsidR="004D7D95" w:rsidRPr="00031B14" w:rsidRDefault="004D7D95" w:rsidP="004D7D95">
      <w:pPr>
        <w:pStyle w:val="SCCNormalDoubleSpacing"/>
        <w:rPr>
          <w:lang w:val="fr-CA"/>
        </w:rPr>
      </w:pPr>
    </w:p>
    <w:p w:rsidR="004D7D95" w:rsidRPr="00031B14" w:rsidRDefault="004D7D95" w:rsidP="00CB597B">
      <w:pPr>
        <w:pStyle w:val="SCCNormalDoubleSpacing"/>
        <w:rPr>
          <w:i/>
          <w:lang w:val="fr-CA"/>
        </w:rPr>
      </w:pPr>
      <w:r w:rsidRPr="00031B14">
        <w:rPr>
          <w:lang w:val="fr-CA"/>
        </w:rPr>
        <w:tab/>
      </w:r>
      <w:r w:rsidR="00D576FC" w:rsidRPr="00031B14">
        <w:rPr>
          <w:i/>
          <w:lang w:val="fr-CA"/>
        </w:rPr>
        <w:t>Droit criminel — Appels — Mauvaise appréciation de la preuve —</w:t>
      </w:r>
      <w:r w:rsidR="00DD0FB2" w:rsidRPr="00031B14">
        <w:rPr>
          <w:i/>
          <w:lang w:val="fr-CA"/>
        </w:rPr>
        <w:t xml:space="preserve"> </w:t>
      </w:r>
      <w:r w:rsidR="00D576FC" w:rsidRPr="00031B14">
        <w:rPr>
          <w:i/>
          <w:lang w:val="fr-CA"/>
        </w:rPr>
        <w:t>Contrôle des appréciations de la crédibilité</w:t>
      </w:r>
      <w:r w:rsidR="008008B9" w:rsidRPr="00031B14">
        <w:rPr>
          <w:i/>
          <w:lang w:val="fr-CA"/>
        </w:rPr>
        <w:t xml:space="preserve"> effectuées </w:t>
      </w:r>
      <w:r w:rsidR="00E6697D" w:rsidRPr="00031B14">
        <w:rPr>
          <w:i/>
          <w:lang w:val="fr-CA"/>
        </w:rPr>
        <w:t xml:space="preserve">par </w:t>
      </w:r>
      <w:r w:rsidR="008008B9" w:rsidRPr="00031B14">
        <w:rPr>
          <w:i/>
          <w:lang w:val="fr-CA"/>
        </w:rPr>
        <w:t>le juge du procès</w:t>
      </w:r>
      <w:r w:rsidR="00D576FC" w:rsidRPr="00031B14">
        <w:rPr>
          <w:i/>
          <w:lang w:val="fr-CA"/>
        </w:rPr>
        <w:t xml:space="preserve"> — Accus</w:t>
      </w:r>
      <w:r w:rsidR="008008B9" w:rsidRPr="00031B14">
        <w:rPr>
          <w:i/>
          <w:lang w:val="fr-CA"/>
        </w:rPr>
        <w:t>é déclaré coupable au procès d’un chef de contacts sexuels et d’un chef d’incitation à des attouchements sexuels</w:t>
      </w:r>
      <w:r w:rsidR="005034E4" w:rsidRPr="00031B14">
        <w:rPr>
          <w:i/>
          <w:lang w:val="fr-CA"/>
        </w:rPr>
        <w:t xml:space="preserve"> — Nouveau procès ordonné par la Cour d’appel</w:t>
      </w:r>
      <w:r w:rsidR="00D576FC" w:rsidRPr="00031B14">
        <w:rPr>
          <w:i/>
          <w:lang w:val="fr-CA"/>
        </w:rPr>
        <w:t xml:space="preserve"> — </w:t>
      </w:r>
      <w:r w:rsidR="005034E4" w:rsidRPr="00031B14">
        <w:rPr>
          <w:i/>
          <w:lang w:val="fr-CA"/>
        </w:rPr>
        <w:t>Conclusion de la juge dissidente</w:t>
      </w:r>
      <w:r w:rsidR="00E6697D" w:rsidRPr="00031B14">
        <w:rPr>
          <w:i/>
          <w:lang w:val="fr-CA"/>
        </w:rPr>
        <w:t xml:space="preserve"> </w:t>
      </w:r>
      <w:r w:rsidR="005034E4" w:rsidRPr="00031B14">
        <w:rPr>
          <w:i/>
          <w:lang w:val="fr-CA"/>
        </w:rPr>
        <w:t xml:space="preserve">portant qu’il y avait lieu de faire montre de déférence envers les appréciations de la crédibilité effectuées par le juge du procès, et que l’appel devait être rejeté — Le juge du procès n’a pas mal apprécié la preuve ni commis </w:t>
      </w:r>
      <w:r w:rsidR="005034E4" w:rsidRPr="00031B14">
        <w:rPr>
          <w:i/>
          <w:lang w:val="fr-CA"/>
        </w:rPr>
        <w:lastRenderedPageBreak/>
        <w:t>d’erreur dans ses conclusions concernant la crédibilité</w:t>
      </w:r>
      <w:r w:rsidR="00D576FC" w:rsidRPr="00031B14">
        <w:rPr>
          <w:i/>
          <w:lang w:val="fr-CA"/>
        </w:rPr>
        <w:t xml:space="preserve"> — </w:t>
      </w:r>
      <w:r w:rsidR="005034E4" w:rsidRPr="00031B14">
        <w:rPr>
          <w:i/>
          <w:lang w:val="fr-CA"/>
        </w:rPr>
        <w:t>Déclarations de culpabilité rétablies</w:t>
      </w:r>
      <w:r w:rsidR="00D576FC" w:rsidRPr="00031B14">
        <w:rPr>
          <w:i/>
          <w:lang w:val="fr-CA"/>
        </w:rPr>
        <w:t>.</w:t>
      </w:r>
    </w:p>
    <w:p w:rsidR="00D72E32" w:rsidRPr="00031B14" w:rsidRDefault="00D72E32" w:rsidP="00CB597B">
      <w:pPr>
        <w:pStyle w:val="SCCNormalDoubleSpacing"/>
        <w:rPr>
          <w:lang w:val="fr-CA"/>
        </w:rPr>
      </w:pPr>
    </w:p>
    <w:p w:rsidR="004D7D95" w:rsidRPr="00031B14" w:rsidRDefault="004D7D95" w:rsidP="00AA0E26">
      <w:pPr>
        <w:pStyle w:val="SCCNormalDoubleSpacing"/>
        <w:rPr>
          <w:lang w:val="fr-CA"/>
        </w:rPr>
      </w:pPr>
      <w:r w:rsidRPr="00031B14">
        <w:rPr>
          <w:lang w:val="fr-CA"/>
        </w:rPr>
        <w:tab/>
        <w:t>POURVOI contre un arrêt de la Cour d</w:t>
      </w:r>
      <w:r w:rsidR="00287EB6" w:rsidRPr="00031B14">
        <w:rPr>
          <w:lang w:val="fr-CA"/>
        </w:rPr>
        <w:t>’</w:t>
      </w:r>
      <w:r w:rsidRPr="00031B14">
        <w:rPr>
          <w:lang w:val="fr-CA"/>
        </w:rPr>
        <w:t>appel du Manitoba</w:t>
      </w:r>
      <w:r w:rsidR="00D657F5" w:rsidRPr="00031B14">
        <w:rPr>
          <w:lang w:val="fr-CA"/>
        </w:rPr>
        <w:t xml:space="preserve"> (les juges Beard, Monnin et Pfuetzner), 2018 MBCA 65, 362 C.C.C. (3d) 137, 47 C.R. (7th) 109, [2018] M.J. No. 144 (QL), 2018 </w:t>
      </w:r>
      <w:proofErr w:type="spellStart"/>
      <w:r w:rsidR="00D657F5" w:rsidRPr="00031B14">
        <w:rPr>
          <w:lang w:val="fr-CA"/>
        </w:rPr>
        <w:t>CarswellMan</w:t>
      </w:r>
      <w:proofErr w:type="spellEnd"/>
      <w:r w:rsidR="00D657F5" w:rsidRPr="00031B14">
        <w:rPr>
          <w:lang w:val="fr-CA"/>
        </w:rPr>
        <w:t xml:space="preserve"> 224 (WL Can.),</w:t>
      </w:r>
      <w:r w:rsidR="002E2230" w:rsidRPr="00031B14">
        <w:rPr>
          <w:lang w:val="fr-CA"/>
        </w:rPr>
        <w:t xml:space="preserve"> </w:t>
      </w:r>
      <w:r w:rsidR="00991E64" w:rsidRPr="00031B14">
        <w:rPr>
          <w:lang w:val="fr-CA"/>
        </w:rPr>
        <w:t>qui a annulé les déclarations de culpabilité prononcé</w:t>
      </w:r>
      <w:r w:rsidR="00F715F2" w:rsidRPr="00031B14">
        <w:rPr>
          <w:lang w:val="fr-CA"/>
        </w:rPr>
        <w:t>e</w:t>
      </w:r>
      <w:r w:rsidR="00991E64" w:rsidRPr="00031B14">
        <w:rPr>
          <w:lang w:val="fr-CA"/>
        </w:rPr>
        <w:t>s contre l’accusé</w:t>
      </w:r>
      <w:r w:rsidR="00F715F2" w:rsidRPr="00031B14">
        <w:rPr>
          <w:lang w:val="fr-CA"/>
        </w:rPr>
        <w:t xml:space="preserve"> pour </w:t>
      </w:r>
      <w:r w:rsidR="00AA0E26" w:rsidRPr="00031B14">
        <w:rPr>
          <w:lang w:val="fr-CA"/>
        </w:rPr>
        <w:t xml:space="preserve">contacts sexuels </w:t>
      </w:r>
      <w:r w:rsidR="002E2230" w:rsidRPr="00031B14">
        <w:rPr>
          <w:lang w:val="fr-CA"/>
        </w:rPr>
        <w:t>et</w:t>
      </w:r>
      <w:r w:rsidR="00AA0E26" w:rsidRPr="00031B14">
        <w:rPr>
          <w:lang w:val="fr-CA"/>
        </w:rPr>
        <w:t xml:space="preserve"> incitation à des attouchements sexuels</w:t>
      </w:r>
      <w:r w:rsidR="00497B0D" w:rsidRPr="00031B14">
        <w:rPr>
          <w:lang w:val="fr-CA"/>
        </w:rPr>
        <w:t>,</w:t>
      </w:r>
      <w:r w:rsidR="00AA0E26" w:rsidRPr="00031B14">
        <w:rPr>
          <w:lang w:val="fr-CA"/>
        </w:rPr>
        <w:t xml:space="preserve"> et</w:t>
      </w:r>
      <w:r w:rsidR="00D657F5" w:rsidRPr="00031B14">
        <w:rPr>
          <w:lang w:val="fr-CA"/>
        </w:rPr>
        <w:t xml:space="preserve"> </w:t>
      </w:r>
      <w:r w:rsidR="00497B0D" w:rsidRPr="00031B14">
        <w:rPr>
          <w:lang w:val="fr-CA"/>
        </w:rPr>
        <w:t xml:space="preserve">qui a </w:t>
      </w:r>
      <w:r w:rsidR="00991E64" w:rsidRPr="00031B14">
        <w:rPr>
          <w:lang w:val="fr-CA"/>
        </w:rPr>
        <w:t>ordonné</w:t>
      </w:r>
      <w:r w:rsidR="00D657F5" w:rsidRPr="00031B14">
        <w:rPr>
          <w:lang w:val="fr-CA"/>
        </w:rPr>
        <w:t xml:space="preserve"> </w:t>
      </w:r>
      <w:r w:rsidR="00497B0D" w:rsidRPr="00031B14">
        <w:rPr>
          <w:lang w:val="fr-CA"/>
        </w:rPr>
        <w:t>la tenue d’</w:t>
      </w:r>
      <w:r w:rsidR="00D657F5" w:rsidRPr="00031B14">
        <w:rPr>
          <w:lang w:val="fr-CA"/>
        </w:rPr>
        <w:t>un nouveau procès. Pourvoi accueilli.</w:t>
      </w:r>
    </w:p>
    <w:p w:rsidR="004D7D95" w:rsidRPr="00031B14" w:rsidRDefault="004D7D95" w:rsidP="004D7D95">
      <w:pPr>
        <w:pStyle w:val="SCCNormalDoubleSpacing"/>
        <w:rPr>
          <w:lang w:val="fr-CA"/>
        </w:rPr>
      </w:pPr>
    </w:p>
    <w:p w:rsidR="002C7890" w:rsidRPr="00031B14" w:rsidRDefault="0046721C">
      <w:pPr>
        <w:pStyle w:val="SCCNormalDoubleSpacing"/>
        <w:rPr>
          <w:lang w:val="fr-CA"/>
        </w:rPr>
      </w:pPr>
      <w:r w:rsidRPr="00031B14">
        <w:rPr>
          <w:rStyle w:val="SCCCounselNameChar"/>
          <w:lang w:val="fr-CA"/>
        </w:rPr>
        <w:tab/>
        <w:t>Craig Savage</w:t>
      </w:r>
      <w:r w:rsidRPr="00031B14">
        <w:rPr>
          <w:rStyle w:val="SCCCounselPartyRoleChar"/>
          <w:lang w:val="fr-CA"/>
        </w:rPr>
        <w:t>, pour l</w:t>
      </w:r>
      <w:r w:rsidR="00287EB6" w:rsidRPr="00031B14">
        <w:rPr>
          <w:rStyle w:val="SCCCounselPartyRoleChar"/>
          <w:lang w:val="fr-CA"/>
        </w:rPr>
        <w:t>’appelante</w:t>
      </w:r>
      <w:r w:rsidRPr="00031B14">
        <w:rPr>
          <w:rStyle w:val="SCCCounselPartyRoleChar"/>
          <w:lang w:val="fr-CA"/>
        </w:rPr>
        <w:t>.</w:t>
      </w:r>
    </w:p>
    <w:p w:rsidR="002C7890" w:rsidRPr="00031B14" w:rsidRDefault="002C7890">
      <w:pPr>
        <w:pStyle w:val="SCCNormalDoubleSpacing"/>
        <w:rPr>
          <w:lang w:val="fr-CA"/>
        </w:rPr>
      </w:pPr>
    </w:p>
    <w:p w:rsidR="002C7890" w:rsidRPr="00031B14" w:rsidRDefault="0046721C" w:rsidP="00D72E32">
      <w:pPr>
        <w:pStyle w:val="SCCNormalDoubleSpacing"/>
        <w:rPr>
          <w:rStyle w:val="SCCCounselPartyRoleChar"/>
          <w:lang w:val="fr-CA"/>
        </w:rPr>
      </w:pPr>
      <w:r w:rsidRPr="00031B14">
        <w:rPr>
          <w:rStyle w:val="SCCCounselNameChar"/>
          <w:lang w:val="fr-CA"/>
        </w:rPr>
        <w:tab/>
      </w:r>
      <w:proofErr w:type="spellStart"/>
      <w:r w:rsidRPr="00031B14">
        <w:rPr>
          <w:rStyle w:val="SCCCounselNameChar"/>
          <w:lang w:val="fr-CA"/>
        </w:rPr>
        <w:t>Zilla</w:t>
      </w:r>
      <w:proofErr w:type="spellEnd"/>
      <w:r w:rsidRPr="00031B14">
        <w:rPr>
          <w:rStyle w:val="SCCCounselNameChar"/>
          <w:lang w:val="fr-CA"/>
        </w:rPr>
        <w:t xml:space="preserve"> Jones</w:t>
      </w:r>
      <w:r w:rsidRPr="00031B14">
        <w:rPr>
          <w:rStyle w:val="SCCCounselSeparatorChar"/>
          <w:lang w:val="fr-CA"/>
        </w:rPr>
        <w:t xml:space="preserve"> et </w:t>
      </w:r>
      <w:r w:rsidRPr="00031B14">
        <w:rPr>
          <w:rStyle w:val="SCCCounselNameChar"/>
          <w:lang w:val="fr-CA"/>
        </w:rPr>
        <w:t xml:space="preserve">Amanda </w:t>
      </w:r>
      <w:proofErr w:type="spellStart"/>
      <w:r w:rsidRPr="00031B14">
        <w:rPr>
          <w:rStyle w:val="SCCCounselNameChar"/>
          <w:lang w:val="fr-CA"/>
        </w:rPr>
        <w:t>Sansregret</w:t>
      </w:r>
      <w:proofErr w:type="spellEnd"/>
      <w:r w:rsidRPr="00031B14">
        <w:rPr>
          <w:rStyle w:val="SCCCounselPartyRoleChar"/>
          <w:lang w:val="fr-CA"/>
        </w:rPr>
        <w:t>, pour l</w:t>
      </w:r>
      <w:r w:rsidR="00287EB6" w:rsidRPr="00031B14">
        <w:rPr>
          <w:rStyle w:val="SCCCounselPartyRoleChar"/>
          <w:lang w:val="fr-CA"/>
        </w:rPr>
        <w:t>’intimé</w:t>
      </w:r>
      <w:r w:rsidRPr="00031B14">
        <w:rPr>
          <w:rStyle w:val="SCCCounselPartyRoleChar"/>
          <w:lang w:val="fr-CA"/>
        </w:rPr>
        <w:t>.</w:t>
      </w:r>
    </w:p>
    <w:p w:rsidR="00920CBC" w:rsidRPr="00031B14" w:rsidRDefault="00920CBC" w:rsidP="00EA6BB6">
      <w:pPr>
        <w:pStyle w:val="SCCNormalDoubleSpacing"/>
        <w:rPr>
          <w:lang w:val="fr-CA"/>
        </w:rPr>
      </w:pPr>
    </w:p>
    <w:p w:rsidR="00965552" w:rsidRPr="00031B14" w:rsidRDefault="00F715F2" w:rsidP="00965552">
      <w:pPr>
        <w:pStyle w:val="SCCNormalDoubleSpacing"/>
        <w:rPr>
          <w:lang w:val="fr-CA"/>
        </w:rPr>
      </w:pPr>
      <w:r w:rsidRPr="00031B14">
        <w:rPr>
          <w:lang w:val="fr-CA"/>
        </w:rPr>
        <w:tab/>
      </w:r>
      <w:r w:rsidR="00EA6BB6" w:rsidRPr="00031B14">
        <w:rPr>
          <w:lang w:val="fr-CA"/>
        </w:rPr>
        <w:t>Version française du jugement de la Cour rendu oralement par</w:t>
      </w:r>
    </w:p>
    <w:p w:rsidR="00EA6BB6" w:rsidRPr="00031B14" w:rsidRDefault="00EA6BB6" w:rsidP="00965552">
      <w:pPr>
        <w:pStyle w:val="SCCNormalDoubleSpacing"/>
        <w:rPr>
          <w:lang w:val="fr-CA"/>
        </w:rPr>
      </w:pPr>
    </w:p>
    <w:p w:rsidR="00965552" w:rsidRPr="00031B14" w:rsidRDefault="00965552" w:rsidP="00965552">
      <w:pPr>
        <w:pStyle w:val="SCCNormalDoubleSpacing"/>
        <w:rPr>
          <w:lang w:val="fr-CA"/>
        </w:rPr>
      </w:pPr>
      <w:r w:rsidRPr="00031B14">
        <w:rPr>
          <w:smallCaps/>
          <w:lang w:val="fr-CA"/>
        </w:rPr>
        <w:t>[</w:t>
      </w:r>
      <w:r w:rsidRPr="00031B14">
        <w:rPr>
          <w:iCs/>
          <w:smallCaps/>
          <w:lang w:val="fr-CA"/>
        </w:rPr>
        <w:t>1</w:t>
      </w:r>
      <w:r w:rsidRPr="00031B14">
        <w:rPr>
          <w:smallCaps/>
          <w:lang w:val="fr-CA"/>
        </w:rPr>
        <w:t xml:space="preserve">] </w:t>
      </w:r>
      <w:r w:rsidRPr="00031B14">
        <w:rPr>
          <w:smallCaps/>
          <w:lang w:val="fr-CA"/>
        </w:rPr>
        <w:tab/>
        <w:t>Le juge en chef</w:t>
      </w:r>
      <w:r w:rsidRPr="00031B14">
        <w:rPr>
          <w:lang w:val="fr-CA"/>
        </w:rPr>
        <w:t xml:space="preserve"> — Pour les motifs exposés par la juge Pfuetzner, nous sommes d’avis d’accueillir l’appel.</w:t>
      </w:r>
    </w:p>
    <w:p w:rsidR="00965552" w:rsidRPr="00031B14" w:rsidRDefault="00965552" w:rsidP="00965552">
      <w:pPr>
        <w:pStyle w:val="SCCNormalDoubleSpacing"/>
        <w:rPr>
          <w:lang w:val="fr-CA"/>
        </w:rPr>
      </w:pPr>
    </w:p>
    <w:p w:rsidR="00965552" w:rsidRPr="00031B14" w:rsidRDefault="00965552" w:rsidP="00965552">
      <w:pPr>
        <w:pStyle w:val="SCCNormalDoubleSpacing"/>
        <w:rPr>
          <w:lang w:val="fr-CA"/>
        </w:rPr>
      </w:pPr>
      <w:r w:rsidRPr="00031B14">
        <w:rPr>
          <w:smallCaps/>
          <w:lang w:val="fr-CA"/>
        </w:rPr>
        <w:t>[</w:t>
      </w:r>
      <w:r w:rsidRPr="00031B14">
        <w:rPr>
          <w:iCs/>
          <w:smallCaps/>
          <w:lang w:val="fr-CA"/>
        </w:rPr>
        <w:t>2</w:t>
      </w:r>
      <w:r w:rsidRPr="00031B14">
        <w:rPr>
          <w:smallCaps/>
          <w:lang w:val="fr-CA"/>
        </w:rPr>
        <w:t xml:space="preserve">] </w:t>
      </w:r>
      <w:r w:rsidRPr="00031B14">
        <w:rPr>
          <w:smallCaps/>
          <w:lang w:val="fr-CA"/>
        </w:rPr>
        <w:tab/>
      </w:r>
      <w:r w:rsidRPr="00031B14">
        <w:rPr>
          <w:lang w:val="fr-CA"/>
        </w:rPr>
        <w:t>Plus précisément, nous souscrivons à l’opinion de la</w:t>
      </w:r>
      <w:r w:rsidR="0073674A" w:rsidRPr="00031B14">
        <w:rPr>
          <w:lang w:val="fr-CA"/>
        </w:rPr>
        <w:t xml:space="preserve"> juge dissidente selon laquelle</w:t>
      </w:r>
      <w:r w:rsidRPr="00031B14">
        <w:rPr>
          <w:lang w:val="fr-CA"/>
        </w:rPr>
        <w:t xml:space="preserve"> le juge du procès n’a pas mal apprécié la preuve ou fait des inférences inadmissibles compte tenu de celle-ci, et n’a pas non plus commis d’erreur dans ses conclusions quant à la crédibilité.</w:t>
      </w:r>
    </w:p>
    <w:p w:rsidR="00965552" w:rsidRPr="00031B14" w:rsidRDefault="00965552" w:rsidP="00965552">
      <w:pPr>
        <w:pStyle w:val="SCCNormalDoubleSpacing"/>
        <w:rPr>
          <w:lang w:val="fr-CA"/>
        </w:rPr>
      </w:pPr>
    </w:p>
    <w:p w:rsidR="00965552" w:rsidRPr="00031B14" w:rsidRDefault="00965552" w:rsidP="004D7D95">
      <w:pPr>
        <w:pStyle w:val="SCCNormalDoubleSpacing"/>
        <w:rPr>
          <w:lang w:val="fr-CA"/>
        </w:rPr>
      </w:pPr>
      <w:r w:rsidRPr="00031B14">
        <w:rPr>
          <w:smallCaps/>
          <w:lang w:val="fr-CA"/>
        </w:rPr>
        <w:lastRenderedPageBreak/>
        <w:t>[</w:t>
      </w:r>
      <w:r w:rsidRPr="00031B14">
        <w:rPr>
          <w:iCs/>
          <w:smallCaps/>
          <w:lang w:val="fr-CA"/>
        </w:rPr>
        <w:t>3</w:t>
      </w:r>
      <w:r w:rsidRPr="00031B14">
        <w:rPr>
          <w:smallCaps/>
          <w:lang w:val="fr-CA"/>
        </w:rPr>
        <w:t xml:space="preserve">] </w:t>
      </w:r>
      <w:r w:rsidRPr="00031B14">
        <w:rPr>
          <w:smallCaps/>
          <w:lang w:val="fr-CA"/>
        </w:rPr>
        <w:tab/>
      </w:r>
      <w:r w:rsidRPr="00031B14">
        <w:rPr>
          <w:lang w:val="fr-CA"/>
        </w:rPr>
        <w:t>L’appel est donc accueilli et les déclarations de culpabilité rétablies.</w:t>
      </w:r>
    </w:p>
    <w:p w:rsidR="00965552" w:rsidRPr="00031B14" w:rsidRDefault="00965552" w:rsidP="004D7D95">
      <w:pPr>
        <w:pStyle w:val="SCCNormalDoubleSpacing"/>
        <w:rPr>
          <w:lang w:val="fr-CA"/>
        </w:rPr>
      </w:pPr>
    </w:p>
    <w:p w:rsidR="004D7D95" w:rsidRPr="00031B14" w:rsidRDefault="00965552" w:rsidP="004D7D95">
      <w:pPr>
        <w:pStyle w:val="SCCNormalDoubleSpacing"/>
        <w:rPr>
          <w:lang w:val="fr-CA"/>
        </w:rPr>
      </w:pPr>
      <w:r w:rsidRPr="00031B14">
        <w:rPr>
          <w:i/>
          <w:iCs/>
          <w:lang w:val="fr-FR"/>
        </w:rPr>
        <w:tab/>
      </w:r>
      <w:r w:rsidR="00CB597B" w:rsidRPr="00031B14">
        <w:rPr>
          <w:i/>
          <w:iCs/>
          <w:lang w:val="fr-FR"/>
        </w:rPr>
        <w:t>Jugement en conséquence.</w:t>
      </w:r>
    </w:p>
    <w:p w:rsidR="004D7D95" w:rsidRPr="00031B14" w:rsidRDefault="004D7D95" w:rsidP="004D7D95">
      <w:pPr>
        <w:pStyle w:val="SCCNormalDoubleSpacing"/>
        <w:rPr>
          <w:lang w:val="fr-CA"/>
        </w:rPr>
      </w:pPr>
    </w:p>
    <w:p w:rsidR="00CB597B" w:rsidRPr="00031B14" w:rsidRDefault="0046721C" w:rsidP="00CB597B">
      <w:pPr>
        <w:pStyle w:val="SCCLawFirm"/>
        <w:rPr>
          <w:lang w:val="fr-CA"/>
        </w:rPr>
      </w:pPr>
      <w:r w:rsidRPr="00031B14">
        <w:rPr>
          <w:lang w:val="fr-CA"/>
        </w:rPr>
        <w:tab/>
      </w:r>
      <w:r w:rsidR="00CB597B" w:rsidRPr="00031B14">
        <w:rPr>
          <w:lang w:val="fr-CA"/>
        </w:rPr>
        <w:t xml:space="preserve">Procureur de l’appelante : </w:t>
      </w:r>
      <w:r w:rsidR="00F715F2" w:rsidRPr="00031B14">
        <w:rPr>
          <w:lang w:val="fr-CA"/>
        </w:rPr>
        <w:t>Manitoba</w:t>
      </w:r>
      <w:r w:rsidR="00CB597B" w:rsidRPr="00031B14">
        <w:rPr>
          <w:lang w:val="fr-CA"/>
        </w:rPr>
        <w:t xml:space="preserve"> Justice, Winnipeg.</w:t>
      </w:r>
    </w:p>
    <w:p w:rsidR="00CB597B" w:rsidRPr="00031B14" w:rsidRDefault="00CB597B" w:rsidP="00CB597B">
      <w:pPr>
        <w:pStyle w:val="SCCLawFirm"/>
        <w:rPr>
          <w:lang w:val="fr-CA"/>
        </w:rPr>
      </w:pPr>
    </w:p>
    <w:p w:rsidR="00CB597B" w:rsidRPr="00287EB6" w:rsidRDefault="00CB597B" w:rsidP="00CB597B">
      <w:pPr>
        <w:pStyle w:val="SCCLawFirm"/>
      </w:pPr>
      <w:r w:rsidRPr="00031B14">
        <w:rPr>
          <w:lang w:val="fr-CA"/>
        </w:rPr>
        <w:tab/>
      </w:r>
      <w:r w:rsidRPr="00031B14">
        <w:t xml:space="preserve">Procureurs de </w:t>
      </w:r>
      <w:proofErr w:type="spellStart"/>
      <w:proofErr w:type="gramStart"/>
      <w:r w:rsidRPr="00031B14">
        <w:t>l’intimé</w:t>
      </w:r>
      <w:proofErr w:type="spellEnd"/>
      <w:r w:rsidRPr="00031B14">
        <w:t> :</w:t>
      </w:r>
      <w:proofErr w:type="gramEnd"/>
      <w:r w:rsidRPr="00031B14">
        <w:t xml:space="preserve"> Jones Law Office, Winnipeg; Legal Aid Manitoba, Winnipeg.</w:t>
      </w:r>
      <w:bookmarkStart w:id="0" w:name="_GoBack"/>
      <w:bookmarkEnd w:id="0"/>
    </w:p>
    <w:sectPr w:rsidR="00CB597B" w:rsidRPr="00287EB6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31B14"/>
    <w:rsid w:val="000578A3"/>
    <w:rsid w:val="000648CC"/>
    <w:rsid w:val="000A51DE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77F0F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87EB6"/>
    <w:rsid w:val="002B6FBE"/>
    <w:rsid w:val="002B7924"/>
    <w:rsid w:val="002C10A6"/>
    <w:rsid w:val="002C7890"/>
    <w:rsid w:val="002D28C3"/>
    <w:rsid w:val="002D39A4"/>
    <w:rsid w:val="002E2230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6721C"/>
    <w:rsid w:val="00480C90"/>
    <w:rsid w:val="0048396F"/>
    <w:rsid w:val="00493C18"/>
    <w:rsid w:val="00497B0D"/>
    <w:rsid w:val="004A600C"/>
    <w:rsid w:val="004A6118"/>
    <w:rsid w:val="004C478D"/>
    <w:rsid w:val="004D7D95"/>
    <w:rsid w:val="004E2C26"/>
    <w:rsid w:val="005034E4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E4698"/>
    <w:rsid w:val="00603924"/>
    <w:rsid w:val="00610539"/>
    <w:rsid w:val="00613969"/>
    <w:rsid w:val="006142F5"/>
    <w:rsid w:val="00625C35"/>
    <w:rsid w:val="00647E49"/>
    <w:rsid w:val="00656313"/>
    <w:rsid w:val="006565F4"/>
    <w:rsid w:val="00684EEA"/>
    <w:rsid w:val="0069689B"/>
    <w:rsid w:val="006B5FF5"/>
    <w:rsid w:val="006F30AF"/>
    <w:rsid w:val="00701759"/>
    <w:rsid w:val="00705C15"/>
    <w:rsid w:val="007110F6"/>
    <w:rsid w:val="007208D1"/>
    <w:rsid w:val="0073674A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08B9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20CBC"/>
    <w:rsid w:val="00933E5E"/>
    <w:rsid w:val="00935218"/>
    <w:rsid w:val="00937C52"/>
    <w:rsid w:val="009403F3"/>
    <w:rsid w:val="00940765"/>
    <w:rsid w:val="009555B7"/>
    <w:rsid w:val="009567AA"/>
    <w:rsid w:val="009602C9"/>
    <w:rsid w:val="00965552"/>
    <w:rsid w:val="00967374"/>
    <w:rsid w:val="00991E6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477DA"/>
    <w:rsid w:val="00A51882"/>
    <w:rsid w:val="00A52AFB"/>
    <w:rsid w:val="00A548CB"/>
    <w:rsid w:val="00A5521C"/>
    <w:rsid w:val="00A643E7"/>
    <w:rsid w:val="00A73C38"/>
    <w:rsid w:val="00A921A7"/>
    <w:rsid w:val="00AA0E26"/>
    <w:rsid w:val="00AB670D"/>
    <w:rsid w:val="00AE76A1"/>
    <w:rsid w:val="00AF03C5"/>
    <w:rsid w:val="00B000D8"/>
    <w:rsid w:val="00B00F75"/>
    <w:rsid w:val="00B145B6"/>
    <w:rsid w:val="00B279EB"/>
    <w:rsid w:val="00B50C81"/>
    <w:rsid w:val="00B557F8"/>
    <w:rsid w:val="00B815FC"/>
    <w:rsid w:val="00B86839"/>
    <w:rsid w:val="00B93FBC"/>
    <w:rsid w:val="00BA7DA0"/>
    <w:rsid w:val="00BB2EE4"/>
    <w:rsid w:val="00BB4C92"/>
    <w:rsid w:val="00BB7AC5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B597B"/>
    <w:rsid w:val="00CE036E"/>
    <w:rsid w:val="00CE3171"/>
    <w:rsid w:val="00CF1601"/>
    <w:rsid w:val="00D0172F"/>
    <w:rsid w:val="00D01E33"/>
    <w:rsid w:val="00D068A7"/>
    <w:rsid w:val="00D148E2"/>
    <w:rsid w:val="00D17476"/>
    <w:rsid w:val="00D17B0E"/>
    <w:rsid w:val="00D32086"/>
    <w:rsid w:val="00D37A3F"/>
    <w:rsid w:val="00D4431D"/>
    <w:rsid w:val="00D4667A"/>
    <w:rsid w:val="00D576FC"/>
    <w:rsid w:val="00D63A1C"/>
    <w:rsid w:val="00D657F5"/>
    <w:rsid w:val="00D72E32"/>
    <w:rsid w:val="00D7516F"/>
    <w:rsid w:val="00D95F8E"/>
    <w:rsid w:val="00DA0590"/>
    <w:rsid w:val="00DC1739"/>
    <w:rsid w:val="00DC1788"/>
    <w:rsid w:val="00DD0FB2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6697D"/>
    <w:rsid w:val="00E97830"/>
    <w:rsid w:val="00EA6BB6"/>
    <w:rsid w:val="00EE0830"/>
    <w:rsid w:val="00EE6CB8"/>
    <w:rsid w:val="00EF0683"/>
    <w:rsid w:val="00EF1563"/>
    <w:rsid w:val="00EF2D8E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715F2"/>
    <w:rsid w:val="00F84DF4"/>
    <w:rsid w:val="00F85C97"/>
    <w:rsid w:val="00FB37D2"/>
    <w:rsid w:val="00FB574E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B86839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B86839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B86839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B86839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2019-02-12T16:34:00Z</dcterms:created>
  <dcterms:modified xsi:type="dcterms:W3CDTF">2022-01-07T13:22:00Z</dcterms:modified>
</cp:coreProperties>
</file>