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F1" w:rsidRDefault="00B84FF1" w:rsidP="00B84FF1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4pt" o:ole="">
            <v:imagedata r:id="rId6" o:title=""/>
          </v:shape>
          <o:OLEObject Type="Embed" ProgID="Presentations.Drawing.13" ShapeID="_x0000_i1025" DrawAspect="Content" ObjectID="_1643521158" r:id="rId7"/>
        </w:object>
      </w:r>
      <w:r>
        <w:t xml:space="preserve"> </w:t>
      </w:r>
      <w:r>
        <w:ptab w:relativeTo="margin" w:alignment="right" w:leader="none"/>
      </w:r>
    </w:p>
    <w:p w:rsidR="00B84FF1" w:rsidRDefault="00B84FF1" w:rsidP="00B84FF1">
      <w:pPr>
        <w:pStyle w:val="Header"/>
      </w:pPr>
    </w:p>
    <w:p w:rsidR="00B84FF1" w:rsidRPr="001E12E2" w:rsidRDefault="00B84FF1" w:rsidP="00B84FF1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B84FF1" w:rsidRDefault="00B84FF1" w:rsidP="00B84FF1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4266"/>
      </w:tblGrid>
      <w:tr w:rsidR="00B84FF1" w:rsidRPr="001E12E2" w:rsidTr="008556B0">
        <w:trPr>
          <w:cantSplit/>
        </w:trPr>
        <w:tc>
          <w:tcPr>
            <w:tcW w:w="5310" w:type="dxa"/>
          </w:tcPr>
          <w:p w:rsidR="00B84FF1" w:rsidRPr="00B84FF1" w:rsidRDefault="00B84FF1" w:rsidP="00B84FF1">
            <w:pPr>
              <w:rPr>
                <w:lang w:val="fr-CA"/>
              </w:rPr>
            </w:pPr>
            <w:r w:rsidRPr="00B84FF1">
              <w:rPr>
                <w:b/>
                <w:smallCaps/>
                <w:lang w:val="fr-CA"/>
              </w:rPr>
              <w:t>Référence :</w:t>
            </w:r>
            <w:r w:rsidRPr="00B84FF1">
              <w:rPr>
                <w:lang w:val="fr-CA"/>
              </w:rPr>
              <w:t xml:space="preserve"> </w:t>
            </w:r>
            <w:r w:rsidRPr="00B84FF1">
              <w:rPr>
                <w:rStyle w:val="SCCAppellantForRunningHeadChar"/>
                <w:smallCaps w:val="0"/>
                <w:lang w:val="fr-CA"/>
              </w:rPr>
              <w:t xml:space="preserve">R. </w:t>
            </w:r>
            <w:r w:rsidRPr="00B84FF1">
              <w:rPr>
                <w:rStyle w:val="SCCAppellantForRunningHeadChar"/>
                <w:i/>
                <w:smallCaps w:val="0"/>
                <w:lang w:val="fr-CA"/>
              </w:rPr>
              <w:t>c.</w:t>
            </w:r>
            <w:r w:rsidRPr="00B84FF1">
              <w:rPr>
                <w:rStyle w:val="SCCAppellantForRunningHeadChar"/>
                <w:smallCaps w:val="0"/>
                <w:lang w:val="fr-CA"/>
              </w:rPr>
              <w:t xml:space="preserve"> </w:t>
            </w:r>
            <w:proofErr w:type="spellStart"/>
            <w:r w:rsidRPr="00B84FF1">
              <w:rPr>
                <w:rStyle w:val="SCCAppellantForRunningHeadChar"/>
                <w:smallCaps w:val="0"/>
                <w:lang w:val="fr-CA"/>
              </w:rPr>
              <w:t>Demedeiros</w:t>
            </w:r>
            <w:proofErr w:type="spellEnd"/>
            <w:r>
              <w:rPr>
                <w:rStyle w:val="SCCAppellantForRunningHeadChar"/>
                <w:lang w:val="fr-CA"/>
              </w:rPr>
              <w:t>,</w:t>
            </w:r>
            <w:r w:rsidRPr="006A4755">
              <w:rPr>
                <w:rStyle w:val="SCCAppellantForRunningHeadChar"/>
                <w:lang w:val="fr-CA"/>
              </w:rPr>
              <w:t xml:space="preserve"> </w:t>
            </w:r>
            <w:r w:rsidRPr="00B84FF1">
              <w:rPr>
                <w:smallCaps/>
                <w:lang w:val="fr-CA"/>
              </w:rPr>
              <w:t xml:space="preserve">2019 CSC 11, [2019] </w:t>
            </w:r>
            <w:r>
              <w:rPr>
                <w:smallCaps/>
                <w:lang w:val="fr-CA"/>
              </w:rPr>
              <w:t>1</w:t>
            </w:r>
            <w:r w:rsidRPr="00B84FF1">
              <w:rPr>
                <w:smallCaps/>
                <w:lang w:val="fr-CA"/>
              </w:rPr>
              <w:t xml:space="preserve"> R.C.S. </w:t>
            </w:r>
            <w:r>
              <w:rPr>
                <w:smallCaps/>
                <w:lang w:val="fr-CA"/>
              </w:rPr>
              <w:t>568</w:t>
            </w:r>
          </w:p>
        </w:tc>
        <w:tc>
          <w:tcPr>
            <w:tcW w:w="4266" w:type="dxa"/>
          </w:tcPr>
          <w:p w:rsidR="00B84FF1" w:rsidRPr="00B84FF1" w:rsidRDefault="00B84FF1" w:rsidP="008556B0">
            <w:pPr>
              <w:rPr>
                <w:lang w:val="fr-CA"/>
              </w:rPr>
            </w:pPr>
            <w:r w:rsidRPr="00B84FF1">
              <w:rPr>
                <w:b/>
                <w:smallCaps/>
                <w:lang w:val="fr-CA"/>
              </w:rPr>
              <w:t>Appel entendu:</w:t>
            </w:r>
            <w:r w:rsidRPr="00B84FF1">
              <w:rPr>
                <w:lang w:val="fr-CA"/>
              </w:rPr>
              <w:t xml:space="preserve"> 14 février 2019</w:t>
            </w:r>
          </w:p>
          <w:p w:rsidR="00B84FF1" w:rsidRPr="00B84FF1" w:rsidRDefault="00B84FF1" w:rsidP="008556B0">
            <w:pPr>
              <w:rPr>
                <w:b/>
                <w:smallCaps/>
                <w:lang w:val="fr-CA"/>
              </w:rPr>
            </w:pPr>
            <w:r w:rsidRPr="00B84FF1">
              <w:rPr>
                <w:b/>
                <w:smallCaps/>
                <w:lang w:val="fr-CA"/>
              </w:rPr>
              <w:t>Jugement rendu :</w:t>
            </w:r>
            <w:r w:rsidRPr="00B84FF1">
              <w:rPr>
                <w:lang w:val="fr-CA"/>
              </w:rPr>
              <w:t xml:space="preserve"> 14 février 2019</w:t>
            </w:r>
          </w:p>
          <w:p w:rsidR="00B84FF1" w:rsidRPr="001E12E2" w:rsidRDefault="00B84FF1" w:rsidP="008556B0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 :</w:t>
            </w:r>
            <w:r w:rsidRPr="001E12E2">
              <w:t xml:space="preserve"> </w:t>
            </w:r>
            <w:r>
              <w:t>38269</w:t>
            </w:r>
          </w:p>
        </w:tc>
      </w:tr>
    </w:tbl>
    <w:p w:rsidR="00B84FF1" w:rsidRDefault="00B84FF1" w:rsidP="00B84FF1">
      <w:pPr>
        <w:pStyle w:val="SCCLsocPrefix"/>
      </w:pPr>
    </w:p>
    <w:p w:rsidR="00B84FF1" w:rsidRDefault="00B84FF1" w:rsidP="00B84FF1">
      <w:pPr>
        <w:pStyle w:val="SCCLsocPrefix"/>
      </w:pPr>
    </w:p>
    <w:p w:rsidR="00B84FF1" w:rsidRDefault="00B84FF1" w:rsidP="00B84FF1">
      <w:pPr>
        <w:pStyle w:val="SCCLsocPrefix"/>
      </w:pPr>
      <w:r>
        <w:t>Entre :</w:t>
      </w:r>
    </w:p>
    <w:p w:rsidR="00B84FF1" w:rsidRPr="00451E91" w:rsidRDefault="00B84FF1" w:rsidP="008F283D">
      <w:pPr>
        <w:jc w:val="center"/>
        <w:rPr>
          <w:b/>
        </w:rPr>
      </w:pPr>
      <w:r w:rsidRPr="00451E91">
        <w:rPr>
          <w:b/>
        </w:rPr>
        <w:t xml:space="preserve">Nelson Silva </w:t>
      </w:r>
      <w:proofErr w:type="spellStart"/>
      <w:r w:rsidRPr="00451E91">
        <w:rPr>
          <w:b/>
        </w:rPr>
        <w:t>Demedeiros</w:t>
      </w:r>
      <w:proofErr w:type="spellEnd"/>
    </w:p>
    <w:p w:rsidR="00B84FF1" w:rsidRPr="00D85283" w:rsidRDefault="00B84FF1" w:rsidP="008F283D">
      <w:pPr>
        <w:jc w:val="center"/>
      </w:pPr>
      <w:proofErr w:type="spellStart"/>
      <w:r w:rsidRPr="00D85283">
        <w:t>Appelant</w:t>
      </w:r>
      <w:proofErr w:type="spellEnd"/>
    </w:p>
    <w:p w:rsidR="00B84FF1" w:rsidRPr="00D85283" w:rsidRDefault="00B84FF1" w:rsidP="008F283D">
      <w:pPr>
        <w:jc w:val="center"/>
      </w:pPr>
    </w:p>
    <w:p w:rsidR="00B84FF1" w:rsidRPr="008F283D" w:rsidRDefault="00B84FF1" w:rsidP="008F283D">
      <w:pPr>
        <w:pStyle w:val="SCCLsocVersus"/>
        <w:spacing w:after="0"/>
        <w:jc w:val="center"/>
        <w:rPr>
          <w:i w:val="0"/>
        </w:rPr>
      </w:pPr>
      <w:proofErr w:type="gramStart"/>
      <w:r w:rsidRPr="008F283D">
        <w:rPr>
          <w:i w:val="0"/>
        </w:rPr>
        <w:t>et</w:t>
      </w:r>
      <w:proofErr w:type="gramEnd"/>
    </w:p>
    <w:p w:rsidR="00B84FF1" w:rsidRPr="0033260A" w:rsidRDefault="00B84FF1" w:rsidP="008F283D">
      <w:pPr>
        <w:jc w:val="center"/>
      </w:pPr>
    </w:p>
    <w:p w:rsidR="00B84FF1" w:rsidRDefault="00B84FF1" w:rsidP="008F283D">
      <w:pPr>
        <w:pStyle w:val="SCCLsocParty"/>
        <w:jc w:val="center"/>
      </w:pPr>
      <w:r w:rsidRPr="00BE0133">
        <w:t xml:space="preserve">Sa </w:t>
      </w:r>
      <w:proofErr w:type="spellStart"/>
      <w:r w:rsidRPr="00BE0133">
        <w:t>Majesté</w:t>
      </w:r>
      <w:proofErr w:type="spellEnd"/>
      <w:r w:rsidRPr="00BE0133">
        <w:t xml:space="preserve"> la </w:t>
      </w:r>
      <w:proofErr w:type="spellStart"/>
      <w:r w:rsidRPr="00BE0133">
        <w:t>Reine</w:t>
      </w:r>
      <w:proofErr w:type="spellEnd"/>
    </w:p>
    <w:p w:rsidR="00B84FF1" w:rsidRDefault="00B84FF1" w:rsidP="008F283D">
      <w:pPr>
        <w:jc w:val="center"/>
      </w:pPr>
      <w:proofErr w:type="spellStart"/>
      <w:r>
        <w:t>Intimée</w:t>
      </w:r>
      <w:proofErr w:type="spellEnd"/>
    </w:p>
    <w:p w:rsidR="00B84FF1" w:rsidRDefault="00B84FF1" w:rsidP="008F283D">
      <w:pPr>
        <w:jc w:val="center"/>
      </w:pPr>
    </w:p>
    <w:p w:rsidR="00B84FF1" w:rsidRDefault="00B84FF1" w:rsidP="00B84FF1">
      <w:bookmarkStart w:id="0" w:name="_GoBack"/>
      <w:bookmarkEnd w:id="0"/>
    </w:p>
    <w:p w:rsidR="00B84FF1" w:rsidRDefault="00B84FF1" w:rsidP="00B84FF1"/>
    <w:p w:rsidR="00B84FF1" w:rsidRPr="001E12E2" w:rsidRDefault="00B84FF1" w:rsidP="00B84FF1">
      <w:pPr>
        <w:jc w:val="center"/>
        <w:rPr>
          <w:b/>
          <w:smallCaps/>
        </w:rPr>
      </w:pPr>
      <w:proofErr w:type="spellStart"/>
      <w:r>
        <w:rPr>
          <w:b/>
          <w:smallCaps/>
        </w:rPr>
        <w:t>Traduction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française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o</w:t>
      </w:r>
      <w:r w:rsidRPr="001E12E2">
        <w:rPr>
          <w:b/>
          <w:smallCaps/>
        </w:rPr>
        <w:t>ffici</w:t>
      </w:r>
      <w:r>
        <w:rPr>
          <w:b/>
          <w:smallCaps/>
        </w:rPr>
        <w:t>elle</w:t>
      </w:r>
      <w:proofErr w:type="spellEnd"/>
    </w:p>
    <w:p w:rsidR="00B84FF1" w:rsidRPr="001E12E2" w:rsidRDefault="00B84FF1" w:rsidP="00B84FF1"/>
    <w:p w:rsidR="00B84FF1" w:rsidRPr="00B84FF1" w:rsidRDefault="00B84FF1" w:rsidP="00B84FF1">
      <w:pPr>
        <w:rPr>
          <w:lang w:val="fr-CA"/>
        </w:rPr>
      </w:pPr>
      <w:r w:rsidRPr="00B84FF1">
        <w:rPr>
          <w:b/>
          <w:smallCaps/>
          <w:lang w:val="fr-CA"/>
        </w:rPr>
        <w:t>Coram :</w:t>
      </w:r>
      <w:r w:rsidRPr="00B84FF1">
        <w:rPr>
          <w:lang w:val="fr-CA"/>
        </w:rPr>
        <w:t xml:space="preserve"> Les juges </w:t>
      </w:r>
      <w:proofErr w:type="spellStart"/>
      <w:r w:rsidRPr="00B84FF1">
        <w:rPr>
          <w:lang w:val="fr-CA"/>
        </w:rPr>
        <w:t>Moldaver</w:t>
      </w:r>
      <w:proofErr w:type="spellEnd"/>
      <w:r w:rsidRPr="00B84FF1">
        <w:rPr>
          <w:lang w:val="fr-CA"/>
        </w:rPr>
        <w:t>, Gascon, Brown, Rowe et Martin</w:t>
      </w:r>
    </w:p>
    <w:p w:rsidR="00B84FF1" w:rsidRPr="00B84FF1" w:rsidRDefault="00B84FF1" w:rsidP="00B84FF1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B84FF1" w:rsidRPr="00B84FF1" w:rsidTr="008556B0">
        <w:trPr>
          <w:cantSplit/>
        </w:trPr>
        <w:tc>
          <w:tcPr>
            <w:tcW w:w="3618" w:type="dxa"/>
          </w:tcPr>
          <w:p w:rsidR="00B84FF1" w:rsidRDefault="00B84FF1" w:rsidP="008556B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j</w:t>
            </w:r>
            <w:r w:rsidRPr="001E12E2">
              <w:rPr>
                <w:b/>
                <w:smallCaps/>
              </w:rPr>
              <w:t>ug</w:t>
            </w:r>
            <w:r>
              <w:rPr>
                <w:b/>
                <w:smallCaps/>
              </w:rPr>
              <w:t>e</w:t>
            </w:r>
            <w:r w:rsidRPr="001E12E2">
              <w:rPr>
                <w:b/>
                <w:smallCaps/>
              </w:rPr>
              <w:t>ment</w:t>
            </w:r>
            <w:proofErr w:type="spellEnd"/>
            <w:r>
              <w:rPr>
                <w:b/>
                <w:smallCaps/>
              </w:rPr>
              <w:t> :</w:t>
            </w:r>
          </w:p>
          <w:p w:rsidR="00B84FF1" w:rsidRPr="0097746B" w:rsidRDefault="00B84FF1" w:rsidP="008556B0">
            <w:r w:rsidRPr="0097746B">
              <w:t>(par. 1)</w:t>
            </w:r>
          </w:p>
        </w:tc>
        <w:tc>
          <w:tcPr>
            <w:tcW w:w="5958" w:type="dxa"/>
          </w:tcPr>
          <w:p w:rsidR="00B84FF1" w:rsidRPr="00B84FF1" w:rsidRDefault="00B84FF1" w:rsidP="008556B0">
            <w:pPr>
              <w:rPr>
                <w:lang w:val="fr-CA"/>
              </w:rPr>
            </w:pPr>
            <w:r w:rsidRPr="00B84FF1">
              <w:rPr>
                <w:lang w:val="fr-CA"/>
              </w:rPr>
              <w:t xml:space="preserve">Le juge </w:t>
            </w:r>
            <w:proofErr w:type="spellStart"/>
            <w:r w:rsidRPr="00B84FF1">
              <w:rPr>
                <w:lang w:val="fr-CA"/>
              </w:rPr>
              <w:t>Moldaver</w:t>
            </w:r>
            <w:proofErr w:type="spellEnd"/>
            <w:r w:rsidRPr="00B84FF1">
              <w:rPr>
                <w:lang w:val="fr-CA"/>
              </w:rPr>
              <w:t xml:space="preserve"> (avec l’accord des juges Gascon, Brown, Rowe et Martin)</w:t>
            </w:r>
          </w:p>
        </w:tc>
      </w:tr>
    </w:tbl>
    <w:p w:rsidR="00B84FF1" w:rsidRPr="00B84FF1" w:rsidRDefault="00B84FF1" w:rsidP="00B84FF1">
      <w:pPr>
        <w:rPr>
          <w:lang w:val="fr-CA"/>
        </w:rPr>
      </w:pPr>
    </w:p>
    <w:p w:rsidR="00B84FF1" w:rsidRPr="00B84FF1" w:rsidRDefault="00B84FF1" w:rsidP="00B84FF1">
      <w:pPr>
        <w:rPr>
          <w:lang w:val="fr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B4A22" wp14:editId="1DE7E7E6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71F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B84FF1" w:rsidRPr="00B84FF1" w:rsidRDefault="00B84FF1" w:rsidP="00B84FF1">
      <w:pPr>
        <w:rPr>
          <w:lang w:val="fr-CA"/>
        </w:rPr>
      </w:pPr>
    </w:p>
    <w:p w:rsidR="00B84FF1" w:rsidRPr="00B84FF1" w:rsidRDefault="00B84FF1" w:rsidP="004D7D95">
      <w:pPr>
        <w:spacing w:line="480" w:lineRule="auto"/>
        <w:jc w:val="both"/>
        <w:rPr>
          <w:rStyle w:val="SCCAppellantForRunningHeadChar"/>
          <w:smallCaps w:val="0"/>
          <w:lang w:val="fr-CA"/>
        </w:rPr>
      </w:pPr>
    </w:p>
    <w:p w:rsidR="004D7D95" w:rsidRPr="00B84FF1" w:rsidRDefault="006844E8" w:rsidP="004D7D95">
      <w:pPr>
        <w:spacing w:line="480" w:lineRule="auto"/>
        <w:jc w:val="both"/>
        <w:rPr>
          <w:lang w:val="en-US"/>
        </w:rPr>
      </w:pPr>
      <w:r w:rsidRPr="00B84FF1">
        <w:rPr>
          <w:rStyle w:val="SCCAppellantForRunningHeadChar"/>
          <w:smallCaps w:val="0"/>
          <w:lang w:val="en-US"/>
        </w:rPr>
        <w:t>R</w:t>
      </w:r>
      <w:r w:rsidR="001E648E" w:rsidRPr="00B84FF1">
        <w:rPr>
          <w:rStyle w:val="SCCAppellantForRunningHeadChar"/>
          <w:smallCaps w:val="0"/>
          <w:lang w:val="en-US"/>
        </w:rPr>
        <w:t>.</w:t>
      </w:r>
      <w:r w:rsidR="00AB33FA" w:rsidRPr="00B84FF1">
        <w:rPr>
          <w:rStyle w:val="SCCAppellantForRunningHeadChar"/>
          <w:lang w:val="en-US"/>
        </w:rPr>
        <w:t xml:space="preserve"> </w:t>
      </w:r>
      <w:r w:rsidR="00AB33FA" w:rsidRPr="00B84FF1">
        <w:rPr>
          <w:i/>
          <w:lang w:val="en-US"/>
        </w:rPr>
        <w:t>c.</w:t>
      </w:r>
      <w:r w:rsidR="00AB33FA" w:rsidRPr="00B84FF1">
        <w:rPr>
          <w:lang w:val="en-US"/>
        </w:rPr>
        <w:t xml:space="preserve"> </w:t>
      </w:r>
      <w:proofErr w:type="spellStart"/>
      <w:r w:rsidRPr="00B84FF1">
        <w:rPr>
          <w:rStyle w:val="SCCAppellantForRunningHeadChar"/>
          <w:smallCaps w:val="0"/>
          <w:lang w:val="en-US"/>
        </w:rPr>
        <w:t>D</w:t>
      </w:r>
      <w:r w:rsidR="00AB33FA" w:rsidRPr="00B84FF1">
        <w:rPr>
          <w:rStyle w:val="SCCAppellantForRunningHeadChar"/>
          <w:smallCaps w:val="0"/>
          <w:lang w:val="en-US"/>
        </w:rPr>
        <w:t>e</w:t>
      </w:r>
      <w:r w:rsidR="004D7D95" w:rsidRPr="00B84FF1">
        <w:rPr>
          <w:rStyle w:val="SCCAppellantForRunningHeadChar"/>
          <w:smallCaps w:val="0"/>
          <w:lang w:val="en-US"/>
        </w:rPr>
        <w:t>medeiros</w:t>
      </w:r>
      <w:proofErr w:type="spellEnd"/>
      <w:r w:rsidRPr="00B84FF1">
        <w:rPr>
          <w:rStyle w:val="SCCAppellantForRunningHeadChar"/>
          <w:smallCaps w:val="0"/>
          <w:lang w:val="en-US"/>
        </w:rPr>
        <w:t xml:space="preserve">, </w:t>
      </w:r>
      <w:r w:rsidRPr="00B84FF1">
        <w:rPr>
          <w:lang w:val="en-US"/>
        </w:rPr>
        <w:t>2019 CSC 11, [2019] 1 R.C.S. 568</w:t>
      </w:r>
      <w:r w:rsidR="004D7D95" w:rsidRPr="00B84FF1">
        <w:rPr>
          <w:lang w:val="en-US"/>
        </w:rPr>
        <w:t xml:space="preserve"> </w:t>
      </w:r>
    </w:p>
    <w:p w:rsidR="004D7D95" w:rsidRPr="00B84FF1" w:rsidRDefault="004D7D95" w:rsidP="004D7D95">
      <w:pPr>
        <w:jc w:val="both"/>
        <w:rPr>
          <w:lang w:val="en-US"/>
        </w:rPr>
      </w:pPr>
    </w:p>
    <w:p w:rsidR="004D7D95" w:rsidRPr="00B84FF1" w:rsidRDefault="004D7D95" w:rsidP="004D7D95">
      <w:pPr>
        <w:jc w:val="both"/>
        <w:rPr>
          <w:lang w:val="en-US"/>
        </w:rPr>
      </w:pPr>
    </w:p>
    <w:p w:rsidR="004D7D95" w:rsidRPr="00B84FF1" w:rsidRDefault="004D7D95" w:rsidP="004D7D95">
      <w:pPr>
        <w:jc w:val="both"/>
        <w:rPr>
          <w:lang w:val="en-US"/>
        </w:rPr>
      </w:pPr>
    </w:p>
    <w:p w:rsidR="0061795C" w:rsidRPr="000D72A6" w:rsidRDefault="000D72A6">
      <w:pPr>
        <w:pStyle w:val="SCCLsocLastPartyInRole"/>
        <w:rPr>
          <w:lang w:val="fr-CA"/>
        </w:rPr>
      </w:pPr>
      <w:r w:rsidRPr="000D72A6">
        <w:rPr>
          <w:lang w:val="fr-CA"/>
        </w:rPr>
        <w:t xml:space="preserve">Nelson Silva </w:t>
      </w:r>
      <w:proofErr w:type="spellStart"/>
      <w:r w:rsidRPr="000D72A6">
        <w:rPr>
          <w:lang w:val="fr-CA"/>
        </w:rPr>
        <w:t>Demedeiros</w:t>
      </w:r>
      <w:proofErr w:type="spellEnd"/>
      <w:r w:rsidR="00AB33FA">
        <w:rPr>
          <w:rStyle w:val="SCCLsocPartyRole"/>
          <w:lang w:val="fr-CA"/>
        </w:rPr>
        <w:tab/>
        <w:t>Appelant</w:t>
      </w:r>
    </w:p>
    <w:p w:rsidR="0061795C" w:rsidRPr="000D72A6" w:rsidRDefault="000D72A6">
      <w:pPr>
        <w:pStyle w:val="SCCLsocVersus"/>
        <w:rPr>
          <w:lang w:val="fr-CA"/>
        </w:rPr>
      </w:pPr>
      <w:proofErr w:type="gramStart"/>
      <w:r w:rsidRPr="000D72A6">
        <w:rPr>
          <w:lang w:val="fr-CA"/>
        </w:rPr>
        <w:t>c</w:t>
      </w:r>
      <w:proofErr w:type="gramEnd"/>
      <w:r w:rsidRPr="000D72A6">
        <w:rPr>
          <w:lang w:val="fr-CA"/>
        </w:rPr>
        <w:t>.</w:t>
      </w:r>
    </w:p>
    <w:p w:rsidR="0061795C" w:rsidRPr="000D72A6" w:rsidRDefault="000D72A6">
      <w:pPr>
        <w:pStyle w:val="SCCLsocLastPartyInRole"/>
        <w:rPr>
          <w:lang w:val="fr-CA"/>
        </w:rPr>
      </w:pPr>
      <w:r w:rsidRPr="000D72A6">
        <w:rPr>
          <w:lang w:val="fr-CA"/>
        </w:rPr>
        <w:lastRenderedPageBreak/>
        <w:t>Sa Majesté la Reine</w:t>
      </w:r>
      <w:r w:rsidR="00AB33FA">
        <w:rPr>
          <w:rStyle w:val="SCCLsocPartyRole"/>
          <w:lang w:val="fr-CA"/>
        </w:rPr>
        <w:tab/>
        <w:t>Intimée</w:t>
      </w:r>
    </w:p>
    <w:p w:rsidR="004D7D95" w:rsidRPr="000D72A6" w:rsidRDefault="004D7D95" w:rsidP="004D7D95">
      <w:pPr>
        <w:jc w:val="both"/>
        <w:rPr>
          <w:lang w:val="fr-CA"/>
        </w:rPr>
      </w:pPr>
    </w:p>
    <w:p w:rsidR="004D7D95" w:rsidRPr="000D72A6" w:rsidRDefault="004D7D95" w:rsidP="004D7D95">
      <w:pPr>
        <w:jc w:val="both"/>
        <w:rPr>
          <w:lang w:val="fr-CA"/>
        </w:rPr>
      </w:pPr>
    </w:p>
    <w:p w:rsidR="004D7D95" w:rsidRPr="000D72A6" w:rsidRDefault="004D7D95" w:rsidP="004D7D95">
      <w:pPr>
        <w:jc w:val="both"/>
        <w:rPr>
          <w:lang w:val="fr-CA"/>
        </w:rPr>
      </w:pPr>
    </w:p>
    <w:p w:rsidR="004D7D95" w:rsidRPr="000D72A6" w:rsidRDefault="00AB33FA" w:rsidP="004D7D95">
      <w:pPr>
        <w:jc w:val="both"/>
        <w:rPr>
          <w:b/>
          <w:lang w:val="fr-CA"/>
        </w:rPr>
      </w:pPr>
      <w:r>
        <w:rPr>
          <w:b/>
          <w:lang w:val="fr-CA"/>
        </w:rPr>
        <w:t>Répertorié : </w:t>
      </w:r>
      <w:r w:rsidRPr="000D72A6">
        <w:rPr>
          <w:rStyle w:val="SCCRespondentForIndexChar"/>
          <w:lang w:val="fr-CA"/>
        </w:rPr>
        <w:t>R.</w:t>
      </w:r>
      <w:r w:rsidRPr="00AB33FA">
        <w:rPr>
          <w:b/>
          <w:i/>
          <w:lang w:val="fr-CA"/>
        </w:rPr>
        <w:t xml:space="preserve"> </w:t>
      </w:r>
      <w:r w:rsidRPr="00BB4C92">
        <w:rPr>
          <w:b/>
          <w:i/>
          <w:lang w:val="fr-CA"/>
        </w:rPr>
        <w:t>c.</w:t>
      </w:r>
      <w:r>
        <w:rPr>
          <w:b/>
          <w:lang w:val="fr-CA"/>
        </w:rPr>
        <w:t xml:space="preserve"> </w:t>
      </w:r>
      <w:proofErr w:type="spellStart"/>
      <w:r w:rsidR="004D7D95" w:rsidRPr="000D72A6">
        <w:rPr>
          <w:rStyle w:val="SCCAppellantForIndexChar"/>
          <w:lang w:val="fr-CA"/>
        </w:rPr>
        <w:t>Demedeiros</w:t>
      </w:r>
      <w:proofErr w:type="spellEnd"/>
      <w:r w:rsidR="004D7D95" w:rsidRPr="00BB4C92">
        <w:rPr>
          <w:b/>
          <w:lang w:val="fr-CA"/>
        </w:rPr>
        <w:t xml:space="preserve"> </w:t>
      </w:r>
    </w:p>
    <w:p w:rsidR="004D7D95" w:rsidRPr="000D72A6" w:rsidRDefault="004D7D95" w:rsidP="004D7D95">
      <w:pPr>
        <w:jc w:val="both"/>
        <w:rPr>
          <w:lang w:val="fr-CA"/>
        </w:rPr>
      </w:pPr>
    </w:p>
    <w:p w:rsidR="004D7D95" w:rsidRPr="000D72A6" w:rsidRDefault="004D7D95" w:rsidP="004D7D95">
      <w:pPr>
        <w:jc w:val="both"/>
        <w:rPr>
          <w:lang w:val="fr-CA"/>
        </w:rPr>
      </w:pPr>
    </w:p>
    <w:p w:rsidR="004D7D95" w:rsidRPr="000D72A6" w:rsidRDefault="004D7D95" w:rsidP="004D7D95">
      <w:pPr>
        <w:jc w:val="both"/>
        <w:rPr>
          <w:lang w:val="fr-CA"/>
        </w:rPr>
      </w:pPr>
    </w:p>
    <w:p w:rsidR="004D7D95" w:rsidRPr="000D72A6" w:rsidRDefault="00D17B0E" w:rsidP="004D7D95">
      <w:pPr>
        <w:pStyle w:val="SCCSystemYear"/>
        <w:jc w:val="both"/>
        <w:rPr>
          <w:lang w:val="fr-CA"/>
        </w:rPr>
      </w:pPr>
      <w:r w:rsidRPr="000D72A6">
        <w:rPr>
          <w:lang w:val="fr-CA"/>
        </w:rPr>
        <w:t>2019</w:t>
      </w:r>
      <w:r w:rsidR="00AB33FA">
        <w:rPr>
          <w:lang w:val="fr-CA"/>
        </w:rPr>
        <w:t xml:space="preserve"> CSC 11</w:t>
      </w:r>
    </w:p>
    <w:p w:rsidR="004D7D95" w:rsidRPr="000D72A6" w:rsidRDefault="004D7D95" w:rsidP="004D7D95">
      <w:pPr>
        <w:jc w:val="both"/>
        <w:rPr>
          <w:lang w:val="fr-CA"/>
        </w:rPr>
      </w:pPr>
    </w:p>
    <w:p w:rsidR="004D7D95" w:rsidRPr="000D72A6" w:rsidRDefault="004D7D95" w:rsidP="004D7D95">
      <w:pPr>
        <w:jc w:val="both"/>
        <w:rPr>
          <w:lang w:val="fr-CA"/>
        </w:rPr>
      </w:pPr>
    </w:p>
    <w:p w:rsidR="004D7D95" w:rsidRPr="000D72A6" w:rsidRDefault="004D7D95" w:rsidP="004D7D95">
      <w:pPr>
        <w:jc w:val="both"/>
        <w:rPr>
          <w:lang w:val="fr-CA"/>
        </w:rPr>
      </w:pPr>
    </w:p>
    <w:p w:rsidR="004D7D95" w:rsidRPr="000D72A6" w:rsidRDefault="004D7D95" w:rsidP="004D7D95">
      <w:pPr>
        <w:jc w:val="both"/>
        <w:rPr>
          <w:lang w:val="fr-CA"/>
        </w:rPr>
      </w:pPr>
      <w:r w:rsidRPr="000D72A6">
        <w:rPr>
          <w:lang w:val="fr-CA"/>
        </w:rPr>
        <w:t>N</w:t>
      </w:r>
      <w:r w:rsidRPr="000D72A6">
        <w:rPr>
          <w:vertAlign w:val="superscript"/>
          <w:lang w:val="fr-CA"/>
        </w:rPr>
        <w:t>o</w:t>
      </w:r>
      <w:r w:rsidRPr="000D72A6">
        <w:rPr>
          <w:lang w:val="fr-CA"/>
        </w:rPr>
        <w:t xml:space="preserve"> du greffe : 38269.</w:t>
      </w:r>
    </w:p>
    <w:p w:rsidR="004D7D95" w:rsidRPr="000D72A6" w:rsidRDefault="004D7D95" w:rsidP="004D7D95">
      <w:pPr>
        <w:jc w:val="both"/>
        <w:rPr>
          <w:lang w:val="fr-CA"/>
        </w:rPr>
      </w:pPr>
    </w:p>
    <w:p w:rsidR="004D7D95" w:rsidRPr="000D72A6" w:rsidRDefault="004D7D95" w:rsidP="004D7D95">
      <w:pPr>
        <w:jc w:val="both"/>
        <w:rPr>
          <w:lang w:val="fr-CA"/>
        </w:rPr>
      </w:pPr>
    </w:p>
    <w:p w:rsidR="004D7D95" w:rsidRPr="000D72A6" w:rsidRDefault="004D7D95" w:rsidP="004D7D95">
      <w:pPr>
        <w:jc w:val="both"/>
        <w:rPr>
          <w:lang w:val="fr-CA"/>
        </w:rPr>
      </w:pPr>
    </w:p>
    <w:p w:rsidR="004D7D95" w:rsidRPr="000D72A6" w:rsidRDefault="00D17B0E" w:rsidP="004D7D95">
      <w:pPr>
        <w:jc w:val="both"/>
        <w:rPr>
          <w:lang w:val="fr-CA"/>
        </w:rPr>
      </w:pPr>
      <w:r w:rsidRPr="000D72A6">
        <w:rPr>
          <w:lang w:val="fr-CA"/>
        </w:rPr>
        <w:t>2019 : 14 février</w:t>
      </w:r>
      <w:r w:rsidR="00AB33FA">
        <w:rPr>
          <w:lang w:val="fr-CA"/>
        </w:rPr>
        <w:t>.</w:t>
      </w:r>
    </w:p>
    <w:p w:rsidR="004D7D95" w:rsidRPr="000D72A6" w:rsidRDefault="004D7D95" w:rsidP="004D7D95">
      <w:pPr>
        <w:jc w:val="both"/>
        <w:rPr>
          <w:lang w:val="fr-CA"/>
        </w:rPr>
      </w:pPr>
    </w:p>
    <w:p w:rsidR="004D7D95" w:rsidRPr="000D72A6" w:rsidRDefault="004D7D95" w:rsidP="004D7D95">
      <w:pPr>
        <w:jc w:val="both"/>
        <w:rPr>
          <w:lang w:val="fr-CA"/>
        </w:rPr>
      </w:pPr>
    </w:p>
    <w:p w:rsidR="004D7D95" w:rsidRPr="000D72A6" w:rsidRDefault="004D7D95" w:rsidP="004D7D95">
      <w:pPr>
        <w:jc w:val="both"/>
        <w:rPr>
          <w:lang w:val="fr-CA"/>
        </w:rPr>
      </w:pPr>
    </w:p>
    <w:p w:rsidR="004D7D95" w:rsidRPr="000D72A6" w:rsidRDefault="004D7D95" w:rsidP="004D7D95">
      <w:pPr>
        <w:jc w:val="both"/>
        <w:rPr>
          <w:lang w:val="fr-CA"/>
        </w:rPr>
      </w:pPr>
      <w:r w:rsidRPr="000D72A6">
        <w:rPr>
          <w:lang w:val="fr-CA"/>
        </w:rPr>
        <w:t xml:space="preserve">Présents : Les juges </w:t>
      </w:r>
      <w:proofErr w:type="spellStart"/>
      <w:r w:rsidRPr="000D72A6">
        <w:rPr>
          <w:lang w:val="fr-CA"/>
        </w:rPr>
        <w:t>Moldaver</w:t>
      </w:r>
      <w:proofErr w:type="spellEnd"/>
      <w:r w:rsidRPr="000D72A6">
        <w:rPr>
          <w:lang w:val="fr-CA"/>
        </w:rPr>
        <w:t>, Gascon, Brown, Rowe et Martin.</w:t>
      </w:r>
    </w:p>
    <w:p w:rsidR="004D7D95" w:rsidRPr="000D72A6" w:rsidRDefault="004D7D95" w:rsidP="004D7D95">
      <w:pPr>
        <w:jc w:val="both"/>
        <w:rPr>
          <w:lang w:val="fr-CA"/>
        </w:rPr>
      </w:pPr>
    </w:p>
    <w:p w:rsidR="00EE0830" w:rsidRPr="000D72A6" w:rsidRDefault="00EE0830" w:rsidP="004D7D95">
      <w:pPr>
        <w:jc w:val="both"/>
        <w:rPr>
          <w:lang w:val="fr-CA"/>
        </w:rPr>
      </w:pPr>
    </w:p>
    <w:p w:rsidR="0061795C" w:rsidRPr="000D72A6" w:rsidRDefault="0061795C">
      <w:pPr>
        <w:rPr>
          <w:lang w:val="fr-CA"/>
        </w:rPr>
      </w:pPr>
    </w:p>
    <w:p w:rsidR="004D7D95" w:rsidRPr="00AB33FA" w:rsidRDefault="004D7D95" w:rsidP="000F7993">
      <w:pPr>
        <w:jc w:val="both"/>
        <w:rPr>
          <w:smallCaps/>
          <w:lang w:val="fr-CA"/>
        </w:rPr>
      </w:pPr>
      <w:r w:rsidRPr="00AB33FA">
        <w:rPr>
          <w:smallCaps/>
          <w:lang w:val="fr-CA"/>
        </w:rPr>
        <w:t>en appel de la cour d</w:t>
      </w:r>
      <w:r w:rsidR="00AB33FA" w:rsidRPr="00AB33FA">
        <w:rPr>
          <w:smallCaps/>
          <w:lang w:val="fr-CA"/>
        </w:rPr>
        <w:t>’</w:t>
      </w:r>
      <w:r w:rsidRPr="00AB33FA">
        <w:rPr>
          <w:smallCaps/>
          <w:lang w:val="fr-CA"/>
        </w:rPr>
        <w:t xml:space="preserve">appel de </w:t>
      </w:r>
      <w:proofErr w:type="spellStart"/>
      <w:r w:rsidRPr="00AB33FA">
        <w:rPr>
          <w:smallCaps/>
          <w:lang w:val="fr-CA"/>
        </w:rPr>
        <w:t>l</w:t>
      </w:r>
      <w:r w:rsidR="00AB33FA" w:rsidRPr="00AB33FA">
        <w:rPr>
          <w:smallCaps/>
          <w:lang w:val="fr-CA"/>
        </w:rPr>
        <w:t>’</w:t>
      </w:r>
      <w:r w:rsidRPr="00AB33FA">
        <w:rPr>
          <w:smallCaps/>
          <w:lang w:val="fr-CA"/>
        </w:rPr>
        <w:t>alberta</w:t>
      </w:r>
      <w:proofErr w:type="spellEnd"/>
      <w:r w:rsidRPr="00AB33FA">
        <w:rPr>
          <w:smallCaps/>
          <w:lang w:val="fr-CA"/>
        </w:rPr>
        <w:t xml:space="preserve"> </w:t>
      </w:r>
    </w:p>
    <w:p w:rsidR="004D7D95" w:rsidRPr="00BB4C92" w:rsidRDefault="004D7D95" w:rsidP="004D7D95">
      <w:pPr>
        <w:pStyle w:val="SCCNormalDoubleSpacing"/>
        <w:rPr>
          <w:lang w:val="fr-CA"/>
        </w:rPr>
      </w:pPr>
    </w:p>
    <w:p w:rsidR="004D7D95" w:rsidRPr="006340C1" w:rsidRDefault="004D7D95" w:rsidP="004D7D95">
      <w:pPr>
        <w:pStyle w:val="SCCNormalDoubleSpacing"/>
        <w:rPr>
          <w:i/>
          <w:lang w:val="fr-CA"/>
        </w:rPr>
      </w:pPr>
      <w:r w:rsidRPr="00BB4C92">
        <w:rPr>
          <w:lang w:val="fr-CA"/>
        </w:rPr>
        <w:tab/>
      </w:r>
      <w:r w:rsidR="0078627E" w:rsidRPr="006340C1">
        <w:rPr>
          <w:i/>
          <w:lang w:val="fr-CA"/>
        </w:rPr>
        <w:t>Droit criminel</w:t>
      </w:r>
      <w:r w:rsidR="00086838" w:rsidRPr="006340C1">
        <w:rPr>
          <w:i/>
          <w:lang w:val="fr-CA"/>
        </w:rPr>
        <w:t xml:space="preserve"> — </w:t>
      </w:r>
      <w:r w:rsidR="0078627E" w:rsidRPr="006340C1">
        <w:rPr>
          <w:i/>
          <w:lang w:val="fr-CA"/>
        </w:rPr>
        <w:t>V</w:t>
      </w:r>
      <w:r w:rsidR="00086838" w:rsidRPr="006340C1">
        <w:rPr>
          <w:i/>
          <w:lang w:val="fr-CA"/>
        </w:rPr>
        <w:t>erdict</w:t>
      </w:r>
      <w:r w:rsidR="0078627E" w:rsidRPr="006340C1">
        <w:rPr>
          <w:i/>
          <w:lang w:val="fr-CA"/>
        </w:rPr>
        <w:t xml:space="preserve"> déraisonnable</w:t>
      </w:r>
      <w:r w:rsidR="00086838" w:rsidRPr="006340C1">
        <w:rPr>
          <w:i/>
          <w:lang w:val="fr-CA"/>
        </w:rPr>
        <w:t xml:space="preserve"> — </w:t>
      </w:r>
      <w:r w:rsidR="0078627E" w:rsidRPr="006340C1">
        <w:rPr>
          <w:i/>
          <w:lang w:val="fr-CA"/>
        </w:rPr>
        <w:t>Preuve</w:t>
      </w:r>
      <w:r w:rsidR="00086838" w:rsidRPr="006340C1">
        <w:rPr>
          <w:i/>
          <w:lang w:val="fr-CA"/>
        </w:rPr>
        <w:t xml:space="preserve"> — A</w:t>
      </w:r>
      <w:r w:rsidR="0078627E" w:rsidRPr="006340C1">
        <w:rPr>
          <w:i/>
          <w:lang w:val="fr-CA"/>
        </w:rPr>
        <w:t>ppréciation</w:t>
      </w:r>
      <w:r w:rsidR="00086838" w:rsidRPr="006340C1">
        <w:rPr>
          <w:i/>
          <w:lang w:val="fr-CA"/>
        </w:rPr>
        <w:t xml:space="preserve"> — A</w:t>
      </w:r>
      <w:r w:rsidR="0078627E" w:rsidRPr="006340C1">
        <w:rPr>
          <w:i/>
          <w:lang w:val="fr-CA"/>
        </w:rPr>
        <w:t xml:space="preserve">ppel formé par l’accusé à l’encontre des déclarations de culpabilité prononcées contre lui pour agression sexuelle </w:t>
      </w:r>
      <w:r w:rsidR="00380CC5" w:rsidRPr="006340C1">
        <w:rPr>
          <w:i/>
          <w:lang w:val="fr-CA"/>
        </w:rPr>
        <w:t>armée et séquestration illégale</w:t>
      </w:r>
      <w:r w:rsidR="00086838" w:rsidRPr="006340C1">
        <w:rPr>
          <w:i/>
          <w:lang w:val="fr-CA"/>
        </w:rPr>
        <w:t xml:space="preserve"> — </w:t>
      </w:r>
      <w:r w:rsidR="00380CC5" w:rsidRPr="006340C1">
        <w:rPr>
          <w:i/>
          <w:lang w:val="fr-CA"/>
        </w:rPr>
        <w:t>Appel rejeté par la Cour d’appel</w:t>
      </w:r>
      <w:r w:rsidR="00086838" w:rsidRPr="006340C1">
        <w:rPr>
          <w:i/>
          <w:lang w:val="fr-CA"/>
        </w:rPr>
        <w:t xml:space="preserve"> — D</w:t>
      </w:r>
      <w:r w:rsidR="00380CC5" w:rsidRPr="006340C1">
        <w:rPr>
          <w:i/>
          <w:lang w:val="fr-CA"/>
        </w:rPr>
        <w:t xml:space="preserve">éférence </w:t>
      </w:r>
      <w:r w:rsidR="00FC0BCF" w:rsidRPr="006340C1">
        <w:rPr>
          <w:i/>
          <w:lang w:val="fr-CA"/>
        </w:rPr>
        <w:t>due à l’égard de l’appréciation de la crédibilité effectuée par le juge du procès</w:t>
      </w:r>
      <w:r w:rsidR="00086838" w:rsidRPr="006340C1">
        <w:rPr>
          <w:i/>
          <w:lang w:val="fr-CA"/>
        </w:rPr>
        <w:t xml:space="preserve"> — Verdict no</w:t>
      </w:r>
      <w:r w:rsidR="00380CC5" w:rsidRPr="006340C1">
        <w:rPr>
          <w:i/>
          <w:lang w:val="fr-CA"/>
        </w:rPr>
        <w:t>n déraisonnable</w:t>
      </w:r>
      <w:r w:rsidR="00086838" w:rsidRPr="006340C1">
        <w:rPr>
          <w:i/>
          <w:lang w:val="fr-CA"/>
        </w:rPr>
        <w:t xml:space="preserve"> — </w:t>
      </w:r>
      <w:r w:rsidR="00380CC5" w:rsidRPr="006340C1">
        <w:rPr>
          <w:i/>
          <w:lang w:val="fr-CA"/>
        </w:rPr>
        <w:t>Déclarations de culpabilité confirmées</w:t>
      </w:r>
      <w:r w:rsidR="00086838" w:rsidRPr="006340C1">
        <w:rPr>
          <w:i/>
          <w:lang w:val="fr-CA"/>
        </w:rPr>
        <w:t xml:space="preserve">. </w:t>
      </w:r>
    </w:p>
    <w:p w:rsidR="004D7D95" w:rsidRPr="0078627E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Pr="0078627E" w:rsidRDefault="004D7D95" w:rsidP="00AB33FA">
      <w:pPr>
        <w:pStyle w:val="SCCNormalDoubleSpacing"/>
        <w:spacing w:line="240" w:lineRule="auto"/>
        <w:rPr>
          <w:lang w:val="fr-CA"/>
        </w:rPr>
      </w:pPr>
    </w:p>
    <w:p w:rsidR="004D7D95" w:rsidRPr="0078627E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AB33FA" w:rsidRPr="00AB33FA" w:rsidRDefault="00AB33FA" w:rsidP="00AB33FA">
      <w:pPr>
        <w:pStyle w:val="SCCNormalDoubleSpacing"/>
        <w:rPr>
          <w:lang w:val="fr-CA"/>
        </w:rPr>
      </w:pPr>
      <w:r w:rsidRPr="0078627E">
        <w:rPr>
          <w:lang w:val="fr-CA"/>
        </w:rPr>
        <w:lastRenderedPageBreak/>
        <w:tab/>
      </w:r>
      <w:r w:rsidR="004D7D95" w:rsidRPr="004D7D95">
        <w:rPr>
          <w:lang w:val="fr-CA"/>
        </w:rPr>
        <w:t xml:space="preserve">POURVOI contre un arrêt de la </w:t>
      </w:r>
      <w:r w:rsidR="004D7D95" w:rsidRPr="000D72A6">
        <w:rPr>
          <w:lang w:val="fr-CA"/>
        </w:rPr>
        <w:t>Cour d</w:t>
      </w:r>
      <w:r>
        <w:rPr>
          <w:lang w:val="fr-CA"/>
        </w:rPr>
        <w:t>’</w:t>
      </w:r>
      <w:r w:rsidR="004D7D95" w:rsidRPr="000D72A6">
        <w:rPr>
          <w:lang w:val="fr-CA"/>
        </w:rPr>
        <w:t>appel de l</w:t>
      </w:r>
      <w:r>
        <w:rPr>
          <w:lang w:val="fr-CA"/>
        </w:rPr>
        <w:t>’</w:t>
      </w:r>
      <w:r w:rsidR="004D7D95" w:rsidRPr="000D72A6">
        <w:rPr>
          <w:lang w:val="fr-CA"/>
        </w:rPr>
        <w:t xml:space="preserve">Alberta </w:t>
      </w:r>
      <w:r>
        <w:rPr>
          <w:lang w:val="fr-CA"/>
        </w:rPr>
        <w:t xml:space="preserve">(les juges Berger, </w:t>
      </w:r>
      <w:proofErr w:type="spellStart"/>
      <w:r>
        <w:rPr>
          <w:lang w:val="fr-CA"/>
        </w:rPr>
        <w:t>Costigan</w:t>
      </w:r>
      <w:proofErr w:type="spellEnd"/>
      <w:r>
        <w:rPr>
          <w:lang w:val="fr-CA"/>
        </w:rPr>
        <w:t xml:space="preserve"> et </w:t>
      </w:r>
      <w:proofErr w:type="spellStart"/>
      <w:r w:rsidRPr="00227759">
        <w:rPr>
          <w:lang w:val="fr-CA"/>
        </w:rPr>
        <w:t>Slatter</w:t>
      </w:r>
      <w:proofErr w:type="spellEnd"/>
      <w:r w:rsidRPr="00227759">
        <w:rPr>
          <w:lang w:val="fr-CA"/>
        </w:rPr>
        <w:t xml:space="preserve">), 2018 ABCA 241, 364 C.C.C. (3d) 271, </w:t>
      </w:r>
      <w:r w:rsidR="006B27AE" w:rsidRPr="006B27AE">
        <w:rPr>
          <w:lang w:val="fr-CA"/>
        </w:rPr>
        <w:t>74 Alta. L.R. (6th) 1</w:t>
      </w:r>
      <w:r w:rsidR="006B27AE">
        <w:rPr>
          <w:lang w:val="fr-CA"/>
        </w:rPr>
        <w:t xml:space="preserve">, </w:t>
      </w:r>
      <w:r w:rsidR="006835A6">
        <w:rPr>
          <w:lang w:val="fr-CA"/>
        </w:rPr>
        <w:t xml:space="preserve">431 D.L.R. (4th) 650, </w:t>
      </w:r>
      <w:r w:rsidR="00ED5CD8" w:rsidRPr="00ED5CD8">
        <w:rPr>
          <w:lang w:val="fr-CA"/>
        </w:rPr>
        <w:t>[2018] 10 W.W.R. 293,</w:t>
      </w:r>
      <w:r w:rsidRPr="00227759">
        <w:rPr>
          <w:lang w:val="fr-CA"/>
        </w:rPr>
        <w:t xml:space="preserve"> [2018] A.J. No. 831 (QL), 2018 </w:t>
      </w:r>
      <w:proofErr w:type="spellStart"/>
      <w:r w:rsidRPr="00227759">
        <w:rPr>
          <w:lang w:val="fr-CA"/>
        </w:rPr>
        <w:t>CarswellAlta</w:t>
      </w:r>
      <w:proofErr w:type="spellEnd"/>
      <w:r w:rsidRPr="00227759">
        <w:rPr>
          <w:lang w:val="fr-CA"/>
        </w:rPr>
        <w:t xml:space="preserve"> 1313 (WL Can.), </w:t>
      </w:r>
      <w:r w:rsidR="006835A6" w:rsidRPr="00FF4986">
        <w:rPr>
          <w:lang w:val="fr-CA"/>
        </w:rPr>
        <w:t>qui a confirmé les déclarations de culpabilité inscrite</w:t>
      </w:r>
      <w:r w:rsidR="00FF4986" w:rsidRPr="00FF4986">
        <w:rPr>
          <w:lang w:val="fr-CA"/>
        </w:rPr>
        <w:t>s</w:t>
      </w:r>
      <w:r w:rsidR="006835A6" w:rsidRPr="00FF4986">
        <w:rPr>
          <w:lang w:val="fr-CA"/>
        </w:rPr>
        <w:t xml:space="preserve"> par le juge </w:t>
      </w:r>
      <w:proofErr w:type="spellStart"/>
      <w:r w:rsidR="006835A6" w:rsidRPr="00FF4986">
        <w:rPr>
          <w:lang w:val="fr-CA"/>
        </w:rPr>
        <w:t>MacDonald</w:t>
      </w:r>
      <w:proofErr w:type="spellEnd"/>
      <w:r w:rsidRPr="00FF4986">
        <w:rPr>
          <w:lang w:val="fr-CA"/>
        </w:rPr>
        <w:t>,</w:t>
      </w:r>
      <w:r w:rsidRPr="00227759">
        <w:rPr>
          <w:lang w:val="fr-CA"/>
        </w:rPr>
        <w:t xml:space="preserve"> 2016 ABPC 129, [2016] A.J. No. 893 (QL), 2016 </w:t>
      </w:r>
      <w:proofErr w:type="spellStart"/>
      <w:r w:rsidRPr="00227759">
        <w:rPr>
          <w:lang w:val="fr-CA"/>
        </w:rPr>
        <w:t>CarswellAlta</w:t>
      </w:r>
      <w:proofErr w:type="spellEnd"/>
      <w:r w:rsidRPr="00227759">
        <w:rPr>
          <w:lang w:val="fr-CA"/>
        </w:rPr>
        <w:t xml:space="preserve"> 1833 (WL Can.). Pourvoi</w:t>
      </w:r>
      <w:r w:rsidRPr="00AB33FA">
        <w:rPr>
          <w:lang w:val="fr-CA"/>
        </w:rPr>
        <w:t xml:space="preserve"> rejeté.</w:t>
      </w:r>
    </w:p>
    <w:p w:rsidR="00AB33FA" w:rsidRPr="004D7D95" w:rsidRDefault="00AB33FA" w:rsidP="004D7D95">
      <w:pPr>
        <w:pStyle w:val="SCCNormalDoubleSpacing"/>
        <w:rPr>
          <w:lang w:val="fr-CA"/>
        </w:rPr>
      </w:pPr>
    </w:p>
    <w:p w:rsidR="0061795C" w:rsidRPr="000D72A6" w:rsidRDefault="000D72A6">
      <w:pPr>
        <w:pStyle w:val="SCCNormalDoubleSpacing"/>
        <w:rPr>
          <w:lang w:val="fr-CA"/>
        </w:rPr>
      </w:pPr>
      <w:r w:rsidRPr="000D72A6">
        <w:rPr>
          <w:rStyle w:val="SCCCounselNameChar"/>
          <w:lang w:val="fr-CA"/>
        </w:rPr>
        <w:tab/>
      </w:r>
      <w:r w:rsidR="00AB33FA" w:rsidRPr="000D72A6">
        <w:rPr>
          <w:rStyle w:val="SCCCounselNameChar"/>
          <w:lang w:val="fr-CA"/>
        </w:rPr>
        <w:t xml:space="preserve">Heather </w:t>
      </w:r>
      <w:proofErr w:type="spellStart"/>
      <w:r w:rsidR="00AB33FA" w:rsidRPr="000D72A6">
        <w:rPr>
          <w:rStyle w:val="SCCCounselNameChar"/>
          <w:lang w:val="fr-CA"/>
        </w:rPr>
        <w:t>Ferg</w:t>
      </w:r>
      <w:proofErr w:type="spellEnd"/>
      <w:r w:rsidR="00AB33FA" w:rsidRPr="000D72A6">
        <w:rPr>
          <w:rStyle w:val="SCCCounselPartyRoleChar"/>
          <w:lang w:val="fr-CA"/>
        </w:rPr>
        <w:t xml:space="preserve"> </w:t>
      </w:r>
      <w:r w:rsidRPr="000D72A6">
        <w:rPr>
          <w:rStyle w:val="SCCCounselSeparatorChar"/>
          <w:lang w:val="fr-CA"/>
        </w:rPr>
        <w:t xml:space="preserve">et </w:t>
      </w:r>
      <w:r w:rsidR="00AB33FA" w:rsidRPr="000D72A6">
        <w:rPr>
          <w:rStyle w:val="SCCCounselNameChar"/>
          <w:lang w:val="fr-CA"/>
        </w:rPr>
        <w:t>Karen B. Molle</w:t>
      </w:r>
      <w:r w:rsidR="00AB33FA">
        <w:rPr>
          <w:rStyle w:val="SCCCounselSeparatorChar"/>
          <w:lang w:val="fr-CA"/>
        </w:rPr>
        <w:t xml:space="preserve">, </w:t>
      </w:r>
      <w:r w:rsidRPr="000D72A6">
        <w:rPr>
          <w:rStyle w:val="SCCCounselPartyRoleChar"/>
          <w:lang w:val="fr-CA"/>
        </w:rPr>
        <w:t>pour l</w:t>
      </w:r>
      <w:r w:rsidR="00AB33FA">
        <w:rPr>
          <w:rStyle w:val="SCCCounselPartyRoleChar"/>
          <w:lang w:val="fr-CA"/>
        </w:rPr>
        <w:t>’appelant</w:t>
      </w:r>
      <w:r w:rsidRPr="000D72A6">
        <w:rPr>
          <w:rStyle w:val="SCCCounselPartyRoleChar"/>
          <w:lang w:val="fr-CA"/>
        </w:rPr>
        <w:t>.</w:t>
      </w:r>
    </w:p>
    <w:p w:rsidR="0061795C" w:rsidRPr="000D72A6" w:rsidRDefault="0061795C">
      <w:pPr>
        <w:pStyle w:val="SCCNormalDoubleSpacing"/>
        <w:rPr>
          <w:lang w:val="fr-CA"/>
        </w:rPr>
      </w:pPr>
    </w:p>
    <w:p w:rsidR="0061795C" w:rsidRDefault="000D72A6">
      <w:pPr>
        <w:pStyle w:val="SCCNormalDoubleSpacing"/>
        <w:rPr>
          <w:rStyle w:val="SCCCounselPartyRoleChar"/>
          <w:lang w:val="fr-CA"/>
        </w:rPr>
      </w:pPr>
      <w:r w:rsidRPr="000D72A6">
        <w:rPr>
          <w:rStyle w:val="SCCCounselNameChar"/>
          <w:lang w:val="fr-CA"/>
        </w:rPr>
        <w:tab/>
        <w:t>Troy Couillard</w:t>
      </w:r>
      <w:r w:rsidRPr="000D72A6">
        <w:rPr>
          <w:rStyle w:val="SCCCounselPartyRoleChar"/>
          <w:lang w:val="fr-CA"/>
        </w:rPr>
        <w:t>, pour l</w:t>
      </w:r>
      <w:r w:rsidR="00AB33FA">
        <w:rPr>
          <w:rStyle w:val="SCCCounselPartyRoleChar"/>
          <w:lang w:val="fr-CA"/>
        </w:rPr>
        <w:t>’intimée</w:t>
      </w:r>
      <w:r w:rsidRPr="000D72A6">
        <w:rPr>
          <w:rStyle w:val="SCCCounselPartyRoleChar"/>
          <w:lang w:val="fr-CA"/>
        </w:rPr>
        <w:t>.</w:t>
      </w:r>
    </w:p>
    <w:p w:rsidR="00AB33FA" w:rsidRDefault="00AB33FA">
      <w:pPr>
        <w:pStyle w:val="SCCNormalDoubleSpacing"/>
        <w:rPr>
          <w:rStyle w:val="SCCCounselPartyRoleChar"/>
          <w:lang w:val="fr-CA"/>
        </w:rPr>
      </w:pPr>
    </w:p>
    <w:p w:rsidR="00AB33FA" w:rsidRDefault="00AB33FA">
      <w:pPr>
        <w:pStyle w:val="SCCNormalDoubleSpacing"/>
        <w:rPr>
          <w:lang w:val="fr-FR"/>
        </w:rPr>
      </w:pPr>
      <w:r>
        <w:rPr>
          <w:lang w:val="fr-FR"/>
        </w:rPr>
        <w:tab/>
      </w:r>
      <w:r w:rsidRPr="00AB33FA">
        <w:rPr>
          <w:lang w:val="fr-FR"/>
        </w:rPr>
        <w:t>Version française du jugement de la Cour rendu oralement par</w:t>
      </w:r>
    </w:p>
    <w:p w:rsidR="00AB33FA" w:rsidRDefault="00AB33FA">
      <w:pPr>
        <w:pStyle w:val="SCCNormalDoubleSpacing"/>
        <w:rPr>
          <w:rStyle w:val="SCCCounselPartyRoleChar"/>
          <w:lang w:val="fr-CA"/>
        </w:rPr>
      </w:pPr>
    </w:p>
    <w:p w:rsidR="00AB33FA" w:rsidRPr="00086838" w:rsidRDefault="00AB33FA" w:rsidP="00FF4986">
      <w:pPr>
        <w:pStyle w:val="SCCLawFirm"/>
        <w:rPr>
          <w:i w:val="0"/>
          <w:lang w:val="fr-CA"/>
        </w:rPr>
      </w:pPr>
      <w:r w:rsidRPr="00086838">
        <w:rPr>
          <w:i w:val="0"/>
          <w:lang w:val="fr-CA"/>
        </w:rPr>
        <w:t xml:space="preserve">[1] </w:t>
      </w:r>
      <w:r w:rsidRPr="00086838">
        <w:rPr>
          <w:i w:val="0"/>
          <w:lang w:val="fr-CA"/>
        </w:rPr>
        <w:tab/>
      </w:r>
      <w:r w:rsidRPr="00086838">
        <w:rPr>
          <w:i w:val="0"/>
          <w:smallCaps/>
          <w:lang w:val="fr-CA"/>
        </w:rPr>
        <w:t xml:space="preserve">Le juge </w:t>
      </w:r>
      <w:proofErr w:type="spellStart"/>
      <w:r w:rsidRPr="00086838">
        <w:rPr>
          <w:i w:val="0"/>
          <w:smallCaps/>
          <w:lang w:val="fr-CA"/>
        </w:rPr>
        <w:t>Moldaver</w:t>
      </w:r>
      <w:proofErr w:type="spellEnd"/>
      <w:r w:rsidRPr="00086838">
        <w:rPr>
          <w:i w:val="0"/>
          <w:lang w:val="fr-CA"/>
        </w:rPr>
        <w:t xml:space="preserve"> — Nous sommes d’avis de rejeter l’appel, essentiellement pour les motifs énoncés par les juges majoritaires de la Cour d’appel.</w:t>
      </w:r>
    </w:p>
    <w:p w:rsidR="00AB33FA" w:rsidRPr="000D72A6" w:rsidRDefault="00AB33FA">
      <w:pPr>
        <w:pStyle w:val="SCCNormalDoubleSpacing"/>
        <w:rPr>
          <w:lang w:val="fr-CA"/>
        </w:rPr>
      </w:pPr>
    </w:p>
    <w:p w:rsidR="004D7D95" w:rsidRPr="00AB33FA" w:rsidRDefault="00AB33FA" w:rsidP="004D7D95">
      <w:pPr>
        <w:pStyle w:val="SCCNormalDoubleSpacing"/>
        <w:rPr>
          <w:i/>
          <w:lang w:val="fr-CA"/>
        </w:rPr>
      </w:pPr>
      <w:r>
        <w:rPr>
          <w:i/>
          <w:lang w:val="fr-CA"/>
        </w:rPr>
        <w:tab/>
      </w:r>
      <w:r w:rsidRPr="00AB33FA">
        <w:rPr>
          <w:i/>
          <w:lang w:val="fr-CA"/>
        </w:rPr>
        <w:t>Jugement en conséquence.</w:t>
      </w:r>
    </w:p>
    <w:p w:rsidR="00AB33FA" w:rsidRPr="000D72A6" w:rsidRDefault="00AB33FA" w:rsidP="00AB33FA">
      <w:pPr>
        <w:rPr>
          <w:lang w:val="fr-CA"/>
        </w:rPr>
      </w:pPr>
    </w:p>
    <w:p w:rsidR="00AB33FA" w:rsidRPr="000D72A6" w:rsidRDefault="00AB33FA" w:rsidP="00AB33FA">
      <w:pPr>
        <w:pStyle w:val="SCCLawFirm"/>
        <w:rPr>
          <w:lang w:val="fr-CA"/>
        </w:rPr>
      </w:pPr>
      <w:r>
        <w:rPr>
          <w:lang w:val="fr-CA"/>
        </w:rPr>
        <w:tab/>
        <w:t>Procureurs</w:t>
      </w:r>
      <w:r w:rsidRPr="000D72A6">
        <w:rPr>
          <w:lang w:val="fr-CA"/>
        </w:rPr>
        <w:t xml:space="preserve"> de l</w:t>
      </w:r>
      <w:r>
        <w:rPr>
          <w:lang w:val="fr-CA"/>
        </w:rPr>
        <w:t>’appelant</w:t>
      </w:r>
      <w:r w:rsidRPr="000D72A6">
        <w:rPr>
          <w:lang w:val="fr-CA"/>
        </w:rPr>
        <w:t xml:space="preserve"> : </w:t>
      </w:r>
      <w:r>
        <w:rPr>
          <w:lang w:val="fr-CA"/>
        </w:rPr>
        <w:t xml:space="preserve">McKay </w:t>
      </w:r>
      <w:proofErr w:type="spellStart"/>
      <w:r>
        <w:rPr>
          <w:lang w:val="fr-CA"/>
        </w:rPr>
        <w:t>Criminal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Defence</w:t>
      </w:r>
      <w:proofErr w:type="spellEnd"/>
      <w:r>
        <w:rPr>
          <w:lang w:val="fr-CA"/>
        </w:rPr>
        <w:t xml:space="preserve">, Calgary; </w:t>
      </w:r>
      <w:r w:rsidRPr="000D72A6">
        <w:rPr>
          <w:lang w:val="fr-CA"/>
        </w:rPr>
        <w:t>Karen Molle</w:t>
      </w:r>
      <w:r w:rsidR="001E648E">
        <w:rPr>
          <w:lang w:val="fr-CA"/>
        </w:rPr>
        <w:t xml:space="preserve"> Law Office</w:t>
      </w:r>
      <w:r w:rsidRPr="000D72A6">
        <w:rPr>
          <w:lang w:val="fr-CA"/>
        </w:rPr>
        <w:t>, Calgary.</w:t>
      </w:r>
    </w:p>
    <w:p w:rsidR="00AB33FA" w:rsidRPr="000D72A6" w:rsidRDefault="00AB33FA" w:rsidP="00AB33FA">
      <w:pPr>
        <w:pStyle w:val="SCCLawFirm"/>
        <w:rPr>
          <w:lang w:val="fr-CA"/>
        </w:rPr>
      </w:pPr>
    </w:p>
    <w:p w:rsidR="009B57B3" w:rsidRPr="005147BE" w:rsidRDefault="00AB33FA" w:rsidP="005147BE">
      <w:pPr>
        <w:pStyle w:val="SCCLawFirm"/>
        <w:rPr>
          <w:lang w:val="fr-CA"/>
        </w:rPr>
      </w:pPr>
      <w:r>
        <w:rPr>
          <w:lang w:val="fr-CA"/>
        </w:rPr>
        <w:tab/>
        <w:t>Procureur</w:t>
      </w:r>
      <w:r w:rsidRPr="000D72A6">
        <w:rPr>
          <w:lang w:val="fr-CA"/>
        </w:rPr>
        <w:t xml:space="preserve"> de </w:t>
      </w:r>
      <w:r w:rsidRPr="009C3128">
        <w:rPr>
          <w:lang w:val="fr-CA"/>
        </w:rPr>
        <w:t xml:space="preserve">l’intimée : Alberta </w:t>
      </w:r>
      <w:proofErr w:type="spellStart"/>
      <w:r w:rsidRPr="009C3128">
        <w:rPr>
          <w:lang w:val="fr-CA"/>
        </w:rPr>
        <w:t>Department</w:t>
      </w:r>
      <w:proofErr w:type="spellEnd"/>
      <w:r w:rsidRPr="009C3128">
        <w:rPr>
          <w:lang w:val="fr-CA"/>
        </w:rPr>
        <w:t xml:space="preserve"> of Justice</w:t>
      </w:r>
      <w:r w:rsidR="005147BE" w:rsidRPr="009C3128">
        <w:rPr>
          <w:lang w:val="fr-CA"/>
        </w:rPr>
        <w:t>,</w:t>
      </w:r>
      <w:r w:rsidR="005147BE">
        <w:rPr>
          <w:lang w:val="fr-CA"/>
        </w:rPr>
        <w:t xml:space="preserve"> Edmonton.</w:t>
      </w:r>
    </w:p>
    <w:sectPr w:rsidR="009B57B3" w:rsidRPr="005147BE" w:rsidSect="000648CC">
      <w:headerReference w:type="default" r:id="rId8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578A3"/>
    <w:rsid w:val="000648CC"/>
    <w:rsid w:val="00086838"/>
    <w:rsid w:val="000C59B8"/>
    <w:rsid w:val="000C6AF0"/>
    <w:rsid w:val="000D0A77"/>
    <w:rsid w:val="000D72A6"/>
    <w:rsid w:val="000F7993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95D83"/>
    <w:rsid w:val="001A00C1"/>
    <w:rsid w:val="001B33E0"/>
    <w:rsid w:val="001B4573"/>
    <w:rsid w:val="001C779F"/>
    <w:rsid w:val="001D2AC1"/>
    <w:rsid w:val="001D4E88"/>
    <w:rsid w:val="001E648E"/>
    <w:rsid w:val="00220FC2"/>
    <w:rsid w:val="002222F4"/>
    <w:rsid w:val="00224FC0"/>
    <w:rsid w:val="00225EA4"/>
    <w:rsid w:val="00226EAF"/>
    <w:rsid w:val="00227759"/>
    <w:rsid w:val="00231F3A"/>
    <w:rsid w:val="002406EE"/>
    <w:rsid w:val="00243EC8"/>
    <w:rsid w:val="00270D93"/>
    <w:rsid w:val="002745CC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64B18"/>
    <w:rsid w:val="00380CC5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50352"/>
    <w:rsid w:val="00454BDB"/>
    <w:rsid w:val="00465132"/>
    <w:rsid w:val="0046778F"/>
    <w:rsid w:val="00480C90"/>
    <w:rsid w:val="0048396F"/>
    <w:rsid w:val="00493C18"/>
    <w:rsid w:val="004A600C"/>
    <w:rsid w:val="004A6118"/>
    <w:rsid w:val="004B4D18"/>
    <w:rsid w:val="004C478D"/>
    <w:rsid w:val="004D7D95"/>
    <w:rsid w:val="004E2C26"/>
    <w:rsid w:val="005125A8"/>
    <w:rsid w:val="005147BE"/>
    <w:rsid w:val="00517549"/>
    <w:rsid w:val="00520ABC"/>
    <w:rsid w:val="00521AE8"/>
    <w:rsid w:val="00527180"/>
    <w:rsid w:val="00555291"/>
    <w:rsid w:val="00566AD1"/>
    <w:rsid w:val="00583EDE"/>
    <w:rsid w:val="005A6079"/>
    <w:rsid w:val="005E4698"/>
    <w:rsid w:val="00602C55"/>
    <w:rsid w:val="00603924"/>
    <w:rsid w:val="00610539"/>
    <w:rsid w:val="00613969"/>
    <w:rsid w:val="0061795C"/>
    <w:rsid w:val="00625C35"/>
    <w:rsid w:val="006340C1"/>
    <w:rsid w:val="00647E49"/>
    <w:rsid w:val="00656313"/>
    <w:rsid w:val="006565F4"/>
    <w:rsid w:val="006835A6"/>
    <w:rsid w:val="006844E8"/>
    <w:rsid w:val="00684EEA"/>
    <w:rsid w:val="0069689B"/>
    <w:rsid w:val="006B27AE"/>
    <w:rsid w:val="006B5FF5"/>
    <w:rsid w:val="006F30AF"/>
    <w:rsid w:val="00701759"/>
    <w:rsid w:val="00705C15"/>
    <w:rsid w:val="007110F6"/>
    <w:rsid w:val="007208D1"/>
    <w:rsid w:val="00744518"/>
    <w:rsid w:val="00747288"/>
    <w:rsid w:val="00747DD3"/>
    <w:rsid w:val="007549C8"/>
    <w:rsid w:val="00766D14"/>
    <w:rsid w:val="00767A0F"/>
    <w:rsid w:val="0078627E"/>
    <w:rsid w:val="00791272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64C8A"/>
    <w:rsid w:val="00864CF8"/>
    <w:rsid w:val="00874914"/>
    <w:rsid w:val="00891422"/>
    <w:rsid w:val="00892E1A"/>
    <w:rsid w:val="008B660A"/>
    <w:rsid w:val="008C01DA"/>
    <w:rsid w:val="008F2674"/>
    <w:rsid w:val="008F283D"/>
    <w:rsid w:val="008F78E9"/>
    <w:rsid w:val="009179F9"/>
    <w:rsid w:val="00917C7A"/>
    <w:rsid w:val="00933E5E"/>
    <w:rsid w:val="00935218"/>
    <w:rsid w:val="00937C52"/>
    <w:rsid w:val="009403F3"/>
    <w:rsid w:val="009555B7"/>
    <w:rsid w:val="009567AA"/>
    <w:rsid w:val="009602C9"/>
    <w:rsid w:val="00967374"/>
    <w:rsid w:val="009A343A"/>
    <w:rsid w:val="009B2F23"/>
    <w:rsid w:val="009B57B3"/>
    <w:rsid w:val="009C3128"/>
    <w:rsid w:val="009D2920"/>
    <w:rsid w:val="009D5AEB"/>
    <w:rsid w:val="009F0E33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921A7"/>
    <w:rsid w:val="00AB33FA"/>
    <w:rsid w:val="00AB670D"/>
    <w:rsid w:val="00AF03C5"/>
    <w:rsid w:val="00B000D8"/>
    <w:rsid w:val="00B00F75"/>
    <w:rsid w:val="00B145B6"/>
    <w:rsid w:val="00B279EB"/>
    <w:rsid w:val="00B50C81"/>
    <w:rsid w:val="00B557F8"/>
    <w:rsid w:val="00B815FC"/>
    <w:rsid w:val="00B84FF1"/>
    <w:rsid w:val="00B93FBC"/>
    <w:rsid w:val="00BA7DA0"/>
    <w:rsid w:val="00BB2EE4"/>
    <w:rsid w:val="00BB4C92"/>
    <w:rsid w:val="00BC2108"/>
    <w:rsid w:val="00BD0E9E"/>
    <w:rsid w:val="00BD1BEC"/>
    <w:rsid w:val="00BD32FF"/>
    <w:rsid w:val="00BF6FE9"/>
    <w:rsid w:val="00C02092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A6391"/>
    <w:rsid w:val="00CE036E"/>
    <w:rsid w:val="00CE3171"/>
    <w:rsid w:val="00CF1601"/>
    <w:rsid w:val="00D0172F"/>
    <w:rsid w:val="00D01E33"/>
    <w:rsid w:val="00D068A7"/>
    <w:rsid w:val="00D17476"/>
    <w:rsid w:val="00D17B0E"/>
    <w:rsid w:val="00D32086"/>
    <w:rsid w:val="00D37A3F"/>
    <w:rsid w:val="00D4431D"/>
    <w:rsid w:val="00D4667A"/>
    <w:rsid w:val="00D63A1C"/>
    <w:rsid w:val="00D7516F"/>
    <w:rsid w:val="00D95F8E"/>
    <w:rsid w:val="00DA0590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97830"/>
    <w:rsid w:val="00ED5CD8"/>
    <w:rsid w:val="00EE0830"/>
    <w:rsid w:val="00EE6CB8"/>
    <w:rsid w:val="00EF0683"/>
    <w:rsid w:val="00F0070C"/>
    <w:rsid w:val="00F00EB7"/>
    <w:rsid w:val="00F36AB6"/>
    <w:rsid w:val="00F37A09"/>
    <w:rsid w:val="00F409CE"/>
    <w:rsid w:val="00F4379D"/>
    <w:rsid w:val="00F50D2D"/>
    <w:rsid w:val="00F56C8B"/>
    <w:rsid w:val="00F62639"/>
    <w:rsid w:val="00F66810"/>
    <w:rsid w:val="00F84DF4"/>
    <w:rsid w:val="00F85C97"/>
    <w:rsid w:val="00FB37D2"/>
    <w:rsid w:val="00FC0BCF"/>
    <w:rsid w:val="00FC4EFB"/>
    <w:rsid w:val="00FD068D"/>
    <w:rsid w:val="00FD4F28"/>
    <w:rsid w:val="00FE6784"/>
    <w:rsid w:val="00FE7A8B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table" w:styleId="TableGrid">
    <w:name w:val="Table Grid"/>
    <w:basedOn w:val="TableNormal"/>
    <w:uiPriority w:val="59"/>
    <w:rsid w:val="00B84FF1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B84FF1"/>
    <w:rPr>
      <w:rFonts w:ascii="Times New Roman" w:hAnsi="Times New Roman"/>
      <w:sz w:val="24"/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B84FF1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B84FF1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2019-02-21T19:49:00Z</dcterms:created>
  <dcterms:modified xsi:type="dcterms:W3CDTF">2020-02-18T13:53:00Z</dcterms:modified>
</cp:coreProperties>
</file>